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62CF1" w14:textId="77777777" w:rsidR="00DF1B3B" w:rsidRDefault="00DB66FF" w:rsidP="00DF1B3B">
      <w:pPr>
        <w:pStyle w:val="NameofProject"/>
        <w:spacing w:before="1440"/>
      </w:pPr>
      <w:r>
        <w:rPr>
          <w:lang w:val="en-US"/>
        </w:rPr>
        <w:t xml:space="preserve"> </w:t>
      </w:r>
      <w:r>
        <w:t>New York State</w:t>
      </w:r>
    </w:p>
    <w:p w14:paraId="79DBEFB9" w14:textId="5C53108D" w:rsidR="00DF1B3B" w:rsidRDefault="00DF1B3B" w:rsidP="00DF1B3B">
      <w:pPr>
        <w:pStyle w:val="NameofProject"/>
        <w:tabs>
          <w:tab w:val="center" w:pos="4680"/>
          <w:tab w:val="left" w:pos="7503"/>
        </w:tabs>
      </w:pPr>
      <w:r>
        <w:t>Department of Health</w:t>
      </w:r>
    </w:p>
    <w:p w14:paraId="176AC286" w14:textId="77777777" w:rsidR="00DF1B3B" w:rsidRPr="004F5029" w:rsidRDefault="00DF1B3B" w:rsidP="00DF1B3B">
      <w:pPr>
        <w:pStyle w:val="NameofProject"/>
      </w:pPr>
    </w:p>
    <w:p w14:paraId="1BB1D607" w14:textId="00D91933" w:rsidR="00DF1B3B" w:rsidRPr="004F5029" w:rsidRDefault="00DF1B3B" w:rsidP="00DF1B3B">
      <w:pPr>
        <w:pStyle w:val="NameofProject"/>
      </w:pPr>
      <w:r>
        <w:t>Continuing Medicaid Eligibility Modernization</w:t>
      </w:r>
    </w:p>
    <w:p w14:paraId="791F9A69" w14:textId="2502D4DA" w:rsidR="00DF1B3B" w:rsidRDefault="00DF1B3B" w:rsidP="00DF1B3B">
      <w:pPr>
        <w:pStyle w:val="NameofProject"/>
      </w:pPr>
    </w:p>
    <w:p w14:paraId="50BB01C6" w14:textId="77777777" w:rsidR="00DF1B3B" w:rsidRDefault="00DF1B3B" w:rsidP="00DF1B3B">
      <w:pPr>
        <w:pStyle w:val="NameofProject"/>
      </w:pPr>
    </w:p>
    <w:p w14:paraId="7E226A55" w14:textId="01934960" w:rsidR="00E03C26" w:rsidRPr="004F5029" w:rsidRDefault="00E03C26" w:rsidP="00DF1B3B">
      <w:pPr>
        <w:pStyle w:val="NameofProject"/>
      </w:pPr>
    </w:p>
    <w:p w14:paraId="20B7C913" w14:textId="5B5210A5" w:rsidR="00E66788" w:rsidRPr="00A21682" w:rsidRDefault="00DB7C27" w:rsidP="00C0530C">
      <w:pPr>
        <w:pStyle w:val="Deliverable"/>
        <w:jc w:val="center"/>
      </w:pPr>
      <w:r>
        <w:t>DEL-05 Project Management Plan (PMP)</w:t>
      </w:r>
    </w:p>
    <w:p w14:paraId="66919526" w14:textId="56B05DF9" w:rsidR="00C0530C" w:rsidRPr="00A21682" w:rsidRDefault="00C0530C" w:rsidP="00C0530C"/>
    <w:p w14:paraId="4EDA9E5A" w14:textId="77777777" w:rsidR="003C364A" w:rsidRPr="00A21682" w:rsidRDefault="003C364A" w:rsidP="00A16882">
      <w:pPr>
        <w:pStyle w:val="MonthDateYearVersion"/>
        <w:jc w:val="center"/>
      </w:pPr>
    </w:p>
    <w:p w14:paraId="0EEC4705" w14:textId="77777777" w:rsidR="003C364A" w:rsidRPr="00A21682" w:rsidRDefault="003C364A" w:rsidP="00A16882">
      <w:pPr>
        <w:pStyle w:val="MonthDateYearVersion"/>
        <w:jc w:val="center"/>
      </w:pPr>
    </w:p>
    <w:p w14:paraId="48A1F1B7" w14:textId="77777777" w:rsidR="003C364A" w:rsidRPr="00A21682" w:rsidRDefault="003C364A" w:rsidP="00A16882">
      <w:pPr>
        <w:pStyle w:val="MonthDateYearVersion"/>
        <w:jc w:val="center"/>
      </w:pPr>
    </w:p>
    <w:p w14:paraId="7929008D" w14:textId="35D30C8E" w:rsidR="00E66788" w:rsidRPr="00A21682" w:rsidRDefault="00000EBB" w:rsidP="00A16882">
      <w:pPr>
        <w:pStyle w:val="MonthDateYearVersion"/>
        <w:jc w:val="center"/>
      </w:pPr>
      <w:r>
        <w:t>March 14, 2025</w:t>
      </w:r>
    </w:p>
    <w:p w14:paraId="328FA753" w14:textId="773B72E7" w:rsidR="00434E1B" w:rsidRPr="00A21682" w:rsidRDefault="00C0530C" w:rsidP="00C269F0">
      <w:pPr>
        <w:pStyle w:val="MonthDateYearVersion"/>
        <w:jc w:val="center"/>
      </w:pPr>
      <w:r>
        <w:t>Version 2.1</w:t>
      </w:r>
    </w:p>
    <w:p w14:paraId="5CC72DAA" w14:textId="17EE7874" w:rsidR="00434E1B" w:rsidRPr="00A21682" w:rsidRDefault="00434E1B" w:rsidP="00434E1B">
      <w:pPr>
        <w:pStyle w:val="MonthDateYearVersion"/>
        <w:sectPr w:rsidR="00434E1B" w:rsidRPr="00A21682" w:rsidSect="004376E0">
          <w:headerReference w:type="default" r:id="rId10"/>
          <w:footerReference w:type="even" r:id="rId11"/>
          <w:footerReference w:type="default" r:id="rId12"/>
          <w:headerReference w:type="first" r:id="rId13"/>
          <w:footerReference w:type="first" r:id="rId14"/>
          <w:pgSz w:w="12240" w:h="15840"/>
          <w:pgMar w:top="1440" w:right="1440" w:bottom="1440" w:left="1440" w:header="720" w:footer="432" w:gutter="0"/>
          <w:cols w:space="720"/>
          <w:titlePg/>
          <w:docGrid w:linePitch="360"/>
        </w:sectPr>
      </w:pPr>
    </w:p>
    <w:p w14:paraId="6EDDA290" w14:textId="1EBA0B5B" w:rsidR="00C0530C" w:rsidRPr="00A21682" w:rsidRDefault="004F2D04" w:rsidP="004F2D04">
      <w:pPr>
        <w:pStyle w:val="NonEnumeratedMainHeader"/>
      </w:pPr>
      <w:r>
        <w:lastRenderedPageBreak/>
        <w:t>Document Control Information</w:t>
      </w:r>
    </w:p>
    <w:p w14:paraId="6E355D5C" w14:textId="38A4C34A" w:rsidR="00E66788" w:rsidRPr="00A21682" w:rsidRDefault="00E66788"/>
    <w:p w14:paraId="3AA45F92" w14:textId="748F6240" w:rsidR="00E66788" w:rsidRPr="00A21682" w:rsidRDefault="00621339" w:rsidP="00621339">
      <w:pPr>
        <w:pStyle w:val="DCTableHeader"/>
        <w:rPr>
          <w:sz w:val="18"/>
          <w:szCs w:val="18"/>
        </w:rPr>
      </w:pPr>
      <w:r>
        <w:rPr>
          <w:sz w:val="18"/>
          <w:szCs w:val="18"/>
        </w:rPr>
        <w:t>Document Information</w:t>
      </w:r>
    </w:p>
    <w:tbl>
      <w:tblPr>
        <w:tblStyle w:val="TableGrid1"/>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bottom w:w="14" w:type="dxa"/>
        </w:tblCellMar>
        <w:tblLook w:val="04A0" w:firstRow="1" w:lastRow="0" w:firstColumn="1" w:lastColumn="0" w:noHBand="0" w:noVBand="1"/>
      </w:tblPr>
      <w:tblGrid>
        <w:gridCol w:w="2695"/>
        <w:gridCol w:w="6930"/>
      </w:tblGrid>
      <w:tr w:rsidR="00621339" w:rsidRPr="00A21682" w14:paraId="4D49F2DF" w14:textId="77777777" w:rsidTr="00CB07B4">
        <w:trPr>
          <w:trHeight w:val="403"/>
        </w:trPr>
        <w:tc>
          <w:tcPr>
            <w:tcW w:w="2695" w:type="dxa"/>
          </w:tcPr>
          <w:p w14:paraId="04A2539F" w14:textId="77777777" w:rsidR="00621339" w:rsidRPr="00A21682" w:rsidRDefault="00621339" w:rsidP="00442031">
            <w:pPr>
              <w:pStyle w:val="Tabletext"/>
              <w:rPr>
                <w:b/>
                <w:bCs/>
                <w:lang w:val="en-US"/>
              </w:rPr>
            </w:pPr>
            <w:r>
              <w:rPr>
                <w:b/>
                <w:bCs/>
                <w:lang w:val="en-US"/>
              </w:rPr>
              <w:t>Document Identification</w:t>
            </w:r>
          </w:p>
        </w:tc>
        <w:tc>
          <w:tcPr>
            <w:tcW w:w="6930" w:type="dxa"/>
          </w:tcPr>
          <w:p w14:paraId="626EBCB2" w14:textId="6ACA35E1" w:rsidR="00621339" w:rsidRPr="00A21682" w:rsidRDefault="00621339" w:rsidP="00442031">
            <w:pPr>
              <w:pStyle w:val="Tabletext"/>
              <w:rPr>
                <w:lang w:val="en-US"/>
              </w:rPr>
            </w:pPr>
            <w:r>
              <w:rPr>
                <w:lang w:val="en-US"/>
              </w:rPr>
              <w:t>Master Statement of Work (MSOW) Deliverable #5</w:t>
            </w:r>
          </w:p>
        </w:tc>
      </w:tr>
      <w:tr w:rsidR="00621339" w:rsidRPr="00A21682" w14:paraId="222D77B8" w14:textId="77777777" w:rsidTr="00CB07B4">
        <w:trPr>
          <w:trHeight w:val="403"/>
        </w:trPr>
        <w:tc>
          <w:tcPr>
            <w:tcW w:w="2695" w:type="dxa"/>
          </w:tcPr>
          <w:p w14:paraId="28F738AB" w14:textId="77777777" w:rsidR="00621339" w:rsidRPr="00A21682" w:rsidRDefault="00621339" w:rsidP="00442031">
            <w:pPr>
              <w:pStyle w:val="Tabletext"/>
              <w:rPr>
                <w:b/>
                <w:bCs/>
                <w:lang w:val="en-US"/>
              </w:rPr>
            </w:pPr>
            <w:r>
              <w:rPr>
                <w:b/>
                <w:bCs/>
                <w:lang w:val="en-US"/>
              </w:rPr>
              <w:t>Document Name</w:t>
            </w:r>
          </w:p>
        </w:tc>
        <w:tc>
          <w:tcPr>
            <w:tcW w:w="6930" w:type="dxa"/>
          </w:tcPr>
          <w:p w14:paraId="2F45C1ED" w14:textId="048CC581" w:rsidR="00621339" w:rsidRPr="00A21682" w:rsidRDefault="00725EA2" w:rsidP="00442031">
            <w:pPr>
              <w:pStyle w:val="Tabletext"/>
              <w:rPr>
                <w:lang w:val="en-US"/>
              </w:rPr>
            </w:pPr>
            <w:r>
              <w:rPr>
                <w:lang w:val="en-US"/>
              </w:rPr>
              <w:t>Project Management Plan (PMP)</w:t>
            </w:r>
          </w:p>
        </w:tc>
      </w:tr>
      <w:tr w:rsidR="00621339" w:rsidRPr="00A21682" w14:paraId="0F1AA992" w14:textId="77777777" w:rsidTr="00CB07B4">
        <w:trPr>
          <w:trHeight w:val="403"/>
        </w:trPr>
        <w:tc>
          <w:tcPr>
            <w:tcW w:w="2695" w:type="dxa"/>
          </w:tcPr>
          <w:p w14:paraId="4556806C" w14:textId="77777777" w:rsidR="00621339" w:rsidRPr="00A21682" w:rsidRDefault="00621339" w:rsidP="00442031">
            <w:pPr>
              <w:pStyle w:val="Tabletext"/>
              <w:rPr>
                <w:b/>
                <w:bCs/>
                <w:lang w:val="en-US"/>
              </w:rPr>
            </w:pPr>
            <w:r>
              <w:rPr>
                <w:b/>
                <w:bCs/>
                <w:lang w:val="en-US"/>
              </w:rPr>
              <w:t>Project Name</w:t>
            </w:r>
          </w:p>
        </w:tc>
        <w:tc>
          <w:tcPr>
            <w:tcW w:w="6930" w:type="dxa"/>
          </w:tcPr>
          <w:p w14:paraId="22897A04" w14:textId="5BDE2FC4" w:rsidR="00621339" w:rsidRPr="00A21682" w:rsidRDefault="00C00A29" w:rsidP="00442031">
            <w:pPr>
              <w:pStyle w:val="Tabletext"/>
              <w:rPr>
                <w:lang w:val="en-US"/>
              </w:rPr>
            </w:pPr>
            <w:r>
              <w:rPr>
                <w:lang w:val="en-US"/>
              </w:rPr>
              <w:t>Continuing Medicaid Eligibility Modernization</w:t>
            </w:r>
          </w:p>
        </w:tc>
      </w:tr>
      <w:tr w:rsidR="00621339" w:rsidRPr="00A21682" w14:paraId="685AC30A" w14:textId="77777777" w:rsidTr="00CB07B4">
        <w:trPr>
          <w:trHeight w:val="403"/>
        </w:trPr>
        <w:tc>
          <w:tcPr>
            <w:tcW w:w="2695" w:type="dxa"/>
          </w:tcPr>
          <w:p w14:paraId="0CE80FC6" w14:textId="77777777" w:rsidR="00621339" w:rsidRPr="00A21682" w:rsidRDefault="00621339" w:rsidP="00442031">
            <w:pPr>
              <w:pStyle w:val="Tabletext"/>
              <w:rPr>
                <w:b/>
                <w:bCs/>
                <w:lang w:val="en-US"/>
              </w:rPr>
            </w:pPr>
            <w:r>
              <w:rPr>
                <w:b/>
                <w:bCs/>
                <w:lang w:val="en-US"/>
              </w:rPr>
              <w:t>Client</w:t>
            </w:r>
          </w:p>
        </w:tc>
        <w:tc>
          <w:tcPr>
            <w:tcW w:w="6930" w:type="dxa"/>
          </w:tcPr>
          <w:p w14:paraId="3DB1C837" w14:textId="3B0D83C5" w:rsidR="00621339" w:rsidRPr="00A21682" w:rsidRDefault="00621339" w:rsidP="00442031">
            <w:pPr>
              <w:pStyle w:val="Tabletext"/>
              <w:rPr>
                <w:lang w:val="en-US"/>
              </w:rPr>
            </w:pPr>
            <w:r>
              <w:rPr>
                <w:lang w:val="en-US"/>
              </w:rPr>
              <w:t xml:space="preserve">New York State Department of Health Office of Health Insurance Programs (DOH OHIP) </w:t>
            </w:r>
          </w:p>
        </w:tc>
      </w:tr>
      <w:tr w:rsidR="00621339" w:rsidRPr="00A21682" w14:paraId="45B6836C" w14:textId="77777777" w:rsidTr="00CB07B4">
        <w:trPr>
          <w:trHeight w:val="403"/>
        </w:trPr>
        <w:tc>
          <w:tcPr>
            <w:tcW w:w="2695" w:type="dxa"/>
          </w:tcPr>
          <w:p w14:paraId="7CF94766" w14:textId="77777777" w:rsidR="00621339" w:rsidRPr="00A21682" w:rsidRDefault="00621339" w:rsidP="00442031">
            <w:pPr>
              <w:pStyle w:val="Tabletext"/>
              <w:rPr>
                <w:b/>
                <w:bCs/>
                <w:lang w:val="en-US"/>
              </w:rPr>
            </w:pPr>
            <w:r>
              <w:rPr>
                <w:b/>
                <w:bCs/>
                <w:lang w:val="en-US"/>
              </w:rPr>
              <w:t>Document Author</w:t>
            </w:r>
          </w:p>
        </w:tc>
        <w:tc>
          <w:tcPr>
            <w:tcW w:w="6930" w:type="dxa"/>
          </w:tcPr>
          <w:p w14:paraId="0234FC0F" w14:textId="12988824" w:rsidR="00621339" w:rsidRPr="00A21682" w:rsidRDefault="0075653D" w:rsidP="00442031">
            <w:pPr>
              <w:pStyle w:val="Tabletext"/>
              <w:rPr>
                <w:highlight w:val="yellow"/>
                <w:lang w:val="en-US"/>
              </w:rPr>
            </w:pPr>
            <w:r>
              <w:rPr>
                <w:highlight w:val="black"/>
                <w:lang w:val="en-US"/>
              </w:rPr>
              <w:t>Redacted</w:t>
            </w:r>
          </w:p>
        </w:tc>
      </w:tr>
      <w:tr w:rsidR="00621339" w:rsidRPr="00A21682" w14:paraId="4FA6BFD5" w14:textId="77777777" w:rsidTr="00CB07B4">
        <w:trPr>
          <w:trHeight w:val="403"/>
        </w:trPr>
        <w:tc>
          <w:tcPr>
            <w:tcW w:w="2695" w:type="dxa"/>
          </w:tcPr>
          <w:p w14:paraId="05DC9404" w14:textId="77777777" w:rsidR="00621339" w:rsidRPr="00A21682" w:rsidRDefault="00621339" w:rsidP="00442031">
            <w:pPr>
              <w:pStyle w:val="Tabletext"/>
              <w:rPr>
                <w:b/>
                <w:bCs/>
                <w:lang w:val="en-US"/>
              </w:rPr>
            </w:pPr>
            <w:r>
              <w:rPr>
                <w:b/>
                <w:bCs/>
                <w:lang w:val="en-US"/>
              </w:rPr>
              <w:t>Document Version</w:t>
            </w:r>
          </w:p>
        </w:tc>
        <w:tc>
          <w:tcPr>
            <w:tcW w:w="6930" w:type="dxa"/>
          </w:tcPr>
          <w:p w14:paraId="489322B1" w14:textId="0F409795" w:rsidR="00621339" w:rsidRPr="00A21682" w:rsidRDefault="00225624" w:rsidP="00442031">
            <w:pPr>
              <w:pStyle w:val="Tabletext"/>
              <w:rPr>
                <w:highlight w:val="yellow"/>
                <w:lang w:val="en-US"/>
              </w:rPr>
            </w:pPr>
            <w:r>
              <w:rPr>
                <w:lang w:val="en-US"/>
              </w:rPr>
              <w:t>v2.1</w:t>
            </w:r>
          </w:p>
        </w:tc>
      </w:tr>
      <w:tr w:rsidR="00621339" w:rsidRPr="00A21682" w14:paraId="3C2ECDB7" w14:textId="77777777" w:rsidTr="00CB07B4">
        <w:trPr>
          <w:trHeight w:val="403"/>
        </w:trPr>
        <w:tc>
          <w:tcPr>
            <w:tcW w:w="2695" w:type="dxa"/>
          </w:tcPr>
          <w:p w14:paraId="4B1A3EEC" w14:textId="77777777" w:rsidR="00621339" w:rsidRPr="00A21682" w:rsidRDefault="00621339" w:rsidP="00442031">
            <w:pPr>
              <w:pStyle w:val="Tabletext"/>
              <w:rPr>
                <w:b/>
                <w:bCs/>
                <w:lang w:val="en-US"/>
              </w:rPr>
            </w:pPr>
            <w:r>
              <w:rPr>
                <w:b/>
                <w:bCs/>
                <w:lang w:val="en-US"/>
              </w:rPr>
              <w:t>Document Type</w:t>
            </w:r>
          </w:p>
        </w:tc>
        <w:tc>
          <w:tcPr>
            <w:tcW w:w="6930" w:type="dxa"/>
          </w:tcPr>
          <w:p w14:paraId="48ECB6D4" w14:textId="58CD51FB" w:rsidR="00621339" w:rsidRPr="00A21682" w:rsidRDefault="00621339" w:rsidP="00442031">
            <w:pPr>
              <w:pStyle w:val="Tabletext"/>
              <w:rPr>
                <w:lang w:val="en-US"/>
              </w:rPr>
            </w:pPr>
            <w:r>
              <w:rPr>
                <w:lang w:val="en-US"/>
              </w:rPr>
              <w:t>MSOW Deliverable</w:t>
            </w:r>
          </w:p>
        </w:tc>
      </w:tr>
    </w:tbl>
    <w:p w14:paraId="62CAE73B" w14:textId="7F9DCEBE" w:rsidR="00E66788" w:rsidRPr="00A21682" w:rsidRDefault="00E66788"/>
    <w:p w14:paraId="74AE944A" w14:textId="77765FBA" w:rsidR="00621339" w:rsidRPr="00A21682" w:rsidRDefault="00621339" w:rsidP="00621339">
      <w:pPr>
        <w:pStyle w:val="DCTableHeader"/>
        <w:rPr>
          <w:sz w:val="18"/>
          <w:szCs w:val="18"/>
        </w:rPr>
      </w:pPr>
      <w:r>
        <w:rPr>
          <w:sz w:val="18"/>
          <w:szCs w:val="18"/>
        </w:rPr>
        <w:t>Document Edit History</w:t>
      </w:r>
    </w:p>
    <w:tbl>
      <w:tblPr>
        <w:tblStyle w:val="TableGrid1"/>
        <w:tblW w:w="96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77"/>
        <w:gridCol w:w="2282"/>
        <w:gridCol w:w="3566"/>
        <w:gridCol w:w="2702"/>
      </w:tblGrid>
      <w:tr w:rsidR="00621339" w:rsidRPr="00A21682" w14:paraId="0935C6C6" w14:textId="77777777" w:rsidTr="00CB07B4">
        <w:trPr>
          <w:trHeight w:val="403"/>
          <w:tblHeader/>
        </w:trPr>
        <w:tc>
          <w:tcPr>
            <w:tcW w:w="1077" w:type="dxa"/>
            <w:tcBorders>
              <w:right w:val="single" w:sz="4" w:space="0" w:color="FFFFFF" w:themeColor="background1"/>
            </w:tcBorders>
            <w:shd w:val="clear" w:color="auto" w:fill="000000"/>
          </w:tcPr>
          <w:p w14:paraId="5BDF390E" w14:textId="77777777" w:rsidR="00621339" w:rsidRPr="00A21682" w:rsidRDefault="00621339">
            <w:pPr>
              <w:pStyle w:val="Tablehead1"/>
              <w:rPr>
                <w:lang w:val="en-US"/>
              </w:rPr>
            </w:pPr>
            <w:r>
              <w:rPr>
                <w:lang w:val="en-US"/>
              </w:rPr>
              <w:t>Version</w:t>
            </w:r>
          </w:p>
        </w:tc>
        <w:tc>
          <w:tcPr>
            <w:tcW w:w="2282" w:type="dxa"/>
            <w:tcBorders>
              <w:left w:val="single" w:sz="4" w:space="0" w:color="FFFFFF" w:themeColor="background1"/>
              <w:right w:val="single" w:sz="4" w:space="0" w:color="FFFFFF" w:themeColor="background1"/>
            </w:tcBorders>
            <w:shd w:val="clear" w:color="auto" w:fill="000000"/>
          </w:tcPr>
          <w:p w14:paraId="1D9CA647" w14:textId="77777777" w:rsidR="00621339" w:rsidRPr="00A21682" w:rsidRDefault="00621339">
            <w:pPr>
              <w:pStyle w:val="Tablehead1"/>
              <w:rPr>
                <w:lang w:val="en-US"/>
              </w:rPr>
            </w:pPr>
            <w:r>
              <w:rPr>
                <w:lang w:val="en-US"/>
              </w:rPr>
              <w:t>Date</w:t>
            </w:r>
          </w:p>
        </w:tc>
        <w:tc>
          <w:tcPr>
            <w:tcW w:w="3566" w:type="dxa"/>
            <w:tcBorders>
              <w:left w:val="single" w:sz="4" w:space="0" w:color="FFFFFF" w:themeColor="background1"/>
              <w:right w:val="single" w:sz="4" w:space="0" w:color="FFFFFF" w:themeColor="background1"/>
            </w:tcBorders>
            <w:shd w:val="clear" w:color="auto" w:fill="000000"/>
          </w:tcPr>
          <w:p w14:paraId="1DA3C39E" w14:textId="28F72887" w:rsidR="00621339" w:rsidRPr="00A21682" w:rsidRDefault="00621339">
            <w:pPr>
              <w:pStyle w:val="Tablehead1"/>
              <w:rPr>
                <w:lang w:val="en-US"/>
              </w:rPr>
            </w:pPr>
            <w:r>
              <w:rPr>
                <w:lang w:val="en-US"/>
              </w:rPr>
              <w:t>Addition/Modifications</w:t>
            </w:r>
          </w:p>
        </w:tc>
        <w:tc>
          <w:tcPr>
            <w:tcW w:w="2702" w:type="dxa"/>
            <w:tcBorders>
              <w:left w:val="single" w:sz="4" w:space="0" w:color="FFFFFF" w:themeColor="background1"/>
            </w:tcBorders>
            <w:shd w:val="clear" w:color="auto" w:fill="000000"/>
          </w:tcPr>
          <w:p w14:paraId="2E94455D" w14:textId="58867F43" w:rsidR="00621339" w:rsidRPr="00A21682" w:rsidRDefault="00621339">
            <w:pPr>
              <w:pStyle w:val="Tablehead1"/>
              <w:rPr>
                <w:lang w:val="en-US"/>
              </w:rPr>
            </w:pPr>
            <w:r>
              <w:rPr>
                <w:lang w:val="en-US"/>
              </w:rPr>
              <w:t>Prepared/ Revised by</w:t>
            </w:r>
          </w:p>
        </w:tc>
      </w:tr>
      <w:tr w:rsidR="00621339" w:rsidRPr="00A21682" w14:paraId="37A998EC" w14:textId="77777777" w:rsidTr="00CB07B4">
        <w:trPr>
          <w:trHeight w:val="364"/>
        </w:trPr>
        <w:tc>
          <w:tcPr>
            <w:tcW w:w="1077" w:type="dxa"/>
          </w:tcPr>
          <w:p w14:paraId="6F174011" w14:textId="5791065B" w:rsidR="00621339" w:rsidRPr="00A21682" w:rsidRDefault="00621339" w:rsidP="00442031">
            <w:pPr>
              <w:pStyle w:val="Tabletext"/>
              <w:rPr>
                <w:lang w:val="en-US"/>
              </w:rPr>
            </w:pPr>
            <w:r>
              <w:rPr>
                <w:lang w:val="en-US"/>
              </w:rPr>
              <w:t>v0.1</w:t>
            </w:r>
          </w:p>
        </w:tc>
        <w:tc>
          <w:tcPr>
            <w:tcW w:w="2282" w:type="dxa"/>
          </w:tcPr>
          <w:p w14:paraId="6A01B779" w14:textId="28FE3D9F" w:rsidR="00621339" w:rsidRPr="00A21682" w:rsidRDefault="00205713" w:rsidP="00442031">
            <w:pPr>
              <w:pStyle w:val="Tabletext"/>
              <w:rPr>
                <w:lang w:val="en-US"/>
              </w:rPr>
            </w:pPr>
            <w:r>
              <w:rPr>
                <w:lang w:val="en-US"/>
              </w:rPr>
              <w:t>January 3, 2024</w:t>
            </w:r>
          </w:p>
        </w:tc>
        <w:tc>
          <w:tcPr>
            <w:tcW w:w="3566" w:type="dxa"/>
          </w:tcPr>
          <w:p w14:paraId="5EE87AFE" w14:textId="77777777" w:rsidR="00621339" w:rsidRPr="00A21682" w:rsidRDefault="00621339" w:rsidP="00442031">
            <w:pPr>
              <w:pStyle w:val="Tabletext"/>
              <w:rPr>
                <w:lang w:val="en-US"/>
              </w:rPr>
            </w:pPr>
            <w:r>
              <w:rPr>
                <w:lang w:val="en-US"/>
              </w:rPr>
              <w:t xml:space="preserve">Walkthrough Submission </w:t>
            </w:r>
          </w:p>
        </w:tc>
        <w:tc>
          <w:tcPr>
            <w:tcW w:w="2702" w:type="dxa"/>
          </w:tcPr>
          <w:p w14:paraId="17C33A8B" w14:textId="6BE581BF" w:rsidR="00621339" w:rsidRPr="000318E4" w:rsidRDefault="00557F35" w:rsidP="00442031">
            <w:pPr>
              <w:pStyle w:val="Tabletext"/>
              <w:rPr>
                <w:highlight w:val="black"/>
                <w:lang w:val="en-US"/>
              </w:rPr>
            </w:pPr>
            <w:r>
              <w:rPr>
                <w:highlight w:val="black"/>
                <w:lang w:val="en-US"/>
              </w:rPr>
              <w:t>Redacted</w:t>
            </w:r>
          </w:p>
        </w:tc>
      </w:tr>
      <w:tr w:rsidR="00621339" w:rsidRPr="00A21682" w14:paraId="5F409B00" w14:textId="77777777" w:rsidTr="00CB07B4">
        <w:trPr>
          <w:trHeight w:val="357"/>
        </w:trPr>
        <w:tc>
          <w:tcPr>
            <w:tcW w:w="1077" w:type="dxa"/>
          </w:tcPr>
          <w:p w14:paraId="005C78F2" w14:textId="066C326E" w:rsidR="00621339" w:rsidRPr="00A21682" w:rsidRDefault="0087422D" w:rsidP="00442031">
            <w:pPr>
              <w:pStyle w:val="Tabletext"/>
              <w:rPr>
                <w:lang w:val="en-US"/>
              </w:rPr>
            </w:pPr>
            <w:r>
              <w:rPr>
                <w:lang w:val="en-US"/>
              </w:rPr>
              <w:t>v1.0</w:t>
            </w:r>
          </w:p>
        </w:tc>
        <w:tc>
          <w:tcPr>
            <w:tcW w:w="2282" w:type="dxa"/>
          </w:tcPr>
          <w:p w14:paraId="76987BE8" w14:textId="0AFEC4CF" w:rsidR="00621339" w:rsidRPr="00A21682" w:rsidRDefault="0087422D" w:rsidP="00442031">
            <w:pPr>
              <w:pStyle w:val="Tabletext"/>
              <w:rPr>
                <w:lang w:val="en-US"/>
              </w:rPr>
            </w:pPr>
            <w:r>
              <w:rPr>
                <w:lang w:val="en-US"/>
              </w:rPr>
              <w:t>January 29, 2024</w:t>
            </w:r>
          </w:p>
        </w:tc>
        <w:tc>
          <w:tcPr>
            <w:tcW w:w="3566" w:type="dxa"/>
          </w:tcPr>
          <w:p w14:paraId="52D662A0" w14:textId="15146778" w:rsidR="00621339" w:rsidRPr="00A21682" w:rsidRDefault="00526E2F" w:rsidP="00442031">
            <w:pPr>
              <w:pStyle w:val="Tabletext"/>
              <w:rPr>
                <w:lang w:val="en-US"/>
              </w:rPr>
            </w:pPr>
            <w:r>
              <w:rPr>
                <w:lang w:val="en-US"/>
              </w:rPr>
              <w:t>Deliverable Submission</w:t>
            </w:r>
          </w:p>
        </w:tc>
        <w:tc>
          <w:tcPr>
            <w:tcW w:w="2702" w:type="dxa"/>
          </w:tcPr>
          <w:p w14:paraId="05927935" w14:textId="7BEE81B9" w:rsidR="00621339" w:rsidRPr="000318E4" w:rsidRDefault="00557F35" w:rsidP="00442031">
            <w:pPr>
              <w:pStyle w:val="Tabletext"/>
              <w:rPr>
                <w:highlight w:val="black"/>
                <w:lang w:val="en-US"/>
              </w:rPr>
            </w:pPr>
            <w:r>
              <w:rPr>
                <w:highlight w:val="black"/>
                <w:lang w:val="en-US"/>
              </w:rPr>
              <w:t>Redacted</w:t>
            </w:r>
          </w:p>
        </w:tc>
      </w:tr>
      <w:tr w:rsidR="00557F35" w:rsidRPr="00A21682" w14:paraId="3F547AF9" w14:textId="77777777" w:rsidTr="00CB07B4">
        <w:trPr>
          <w:trHeight w:val="357"/>
        </w:trPr>
        <w:tc>
          <w:tcPr>
            <w:tcW w:w="1077" w:type="dxa"/>
          </w:tcPr>
          <w:p w14:paraId="14F1E510" w14:textId="2382C6F0" w:rsidR="00557F35" w:rsidRPr="00A21682" w:rsidRDefault="00557F35" w:rsidP="00442031">
            <w:pPr>
              <w:pStyle w:val="Tabletext"/>
              <w:rPr>
                <w:lang w:val="en-US"/>
              </w:rPr>
            </w:pPr>
            <w:r>
              <w:rPr>
                <w:lang w:val="en-US"/>
              </w:rPr>
              <w:t>v1.1</w:t>
            </w:r>
          </w:p>
        </w:tc>
        <w:tc>
          <w:tcPr>
            <w:tcW w:w="2282" w:type="dxa"/>
          </w:tcPr>
          <w:p w14:paraId="1EED42DF" w14:textId="2F4E36DC" w:rsidR="00557F35" w:rsidRPr="00A21682" w:rsidRDefault="00BC55F9" w:rsidP="00442031">
            <w:pPr>
              <w:pStyle w:val="Tabletext"/>
              <w:rPr>
                <w:lang w:val="en-US"/>
              </w:rPr>
            </w:pPr>
            <w:r>
              <w:rPr>
                <w:lang w:val="en-US"/>
              </w:rPr>
              <w:t>September 27, 2024</w:t>
            </w:r>
          </w:p>
        </w:tc>
        <w:tc>
          <w:tcPr>
            <w:tcW w:w="3566" w:type="dxa"/>
          </w:tcPr>
          <w:p w14:paraId="0F2B375C" w14:textId="18F6BBBD" w:rsidR="00557F35" w:rsidRPr="00A21682" w:rsidRDefault="00557F35" w:rsidP="00442031">
            <w:pPr>
              <w:pStyle w:val="Tabletext"/>
              <w:rPr>
                <w:lang w:val="en-US"/>
              </w:rPr>
            </w:pPr>
            <w:r>
              <w:rPr>
                <w:lang w:val="en-US"/>
              </w:rPr>
              <w:t>Deliverable Resubmission for CR MECM-19564 and MECM-27107</w:t>
            </w:r>
          </w:p>
        </w:tc>
        <w:tc>
          <w:tcPr>
            <w:tcW w:w="2702" w:type="dxa"/>
          </w:tcPr>
          <w:p w14:paraId="07F78FCE" w14:textId="13600915" w:rsidR="00557F35" w:rsidRPr="000318E4" w:rsidDel="00557F35" w:rsidRDefault="00557F35" w:rsidP="00442031">
            <w:pPr>
              <w:pStyle w:val="Tabletext"/>
              <w:rPr>
                <w:highlight w:val="black"/>
                <w:lang w:val="en-US"/>
              </w:rPr>
            </w:pPr>
            <w:r>
              <w:rPr>
                <w:highlight w:val="black"/>
                <w:lang w:val="en-US"/>
              </w:rPr>
              <w:t>Redacted</w:t>
            </w:r>
          </w:p>
        </w:tc>
      </w:tr>
      <w:tr w:rsidR="00676501" w:rsidRPr="00A21682" w14:paraId="6CBE2E7E" w14:textId="77777777" w:rsidTr="00CB07B4">
        <w:trPr>
          <w:trHeight w:val="357"/>
        </w:trPr>
        <w:tc>
          <w:tcPr>
            <w:tcW w:w="1077" w:type="dxa"/>
          </w:tcPr>
          <w:p w14:paraId="1F2A65F2" w14:textId="703BA822" w:rsidR="00676501" w:rsidRPr="00A21682" w:rsidRDefault="00676501" w:rsidP="00442031">
            <w:pPr>
              <w:pStyle w:val="Tabletext"/>
              <w:rPr>
                <w:lang w:val="en-US"/>
              </w:rPr>
            </w:pPr>
            <w:r>
              <w:rPr>
                <w:lang w:val="en-US"/>
              </w:rPr>
              <w:t>v1.2</w:t>
            </w:r>
          </w:p>
        </w:tc>
        <w:tc>
          <w:tcPr>
            <w:tcW w:w="2282" w:type="dxa"/>
          </w:tcPr>
          <w:p w14:paraId="3895B19B" w14:textId="1A4AC480" w:rsidR="00676501" w:rsidRPr="00A21682" w:rsidRDefault="00FF39BD" w:rsidP="00442031">
            <w:pPr>
              <w:pStyle w:val="Tabletext"/>
              <w:rPr>
                <w:lang w:val="en-US"/>
              </w:rPr>
            </w:pPr>
            <w:r>
              <w:rPr>
                <w:lang w:val="en-US"/>
              </w:rPr>
              <w:t>December 24, 2024</w:t>
            </w:r>
          </w:p>
        </w:tc>
        <w:tc>
          <w:tcPr>
            <w:tcW w:w="3566" w:type="dxa"/>
          </w:tcPr>
          <w:p w14:paraId="61CB6617" w14:textId="40571B3C" w:rsidR="00676501" w:rsidRPr="00A21682" w:rsidRDefault="00442031" w:rsidP="00442031">
            <w:pPr>
              <w:pStyle w:val="Tabletext"/>
              <w:rPr>
                <w:lang w:val="en-US"/>
              </w:rPr>
            </w:pPr>
            <w:r>
              <w:rPr>
                <w:lang w:val="en-US"/>
              </w:rPr>
              <w:t>Deliverable Resubmission Addressing DOH comments</w:t>
            </w:r>
          </w:p>
        </w:tc>
        <w:tc>
          <w:tcPr>
            <w:tcW w:w="2702" w:type="dxa"/>
          </w:tcPr>
          <w:p w14:paraId="531877F1" w14:textId="40EF0861" w:rsidR="00676501" w:rsidRPr="000318E4" w:rsidRDefault="00442031" w:rsidP="00442031">
            <w:pPr>
              <w:pStyle w:val="Tabletext"/>
              <w:rPr>
                <w:highlight w:val="black"/>
                <w:lang w:val="en-US"/>
              </w:rPr>
            </w:pPr>
            <w:r>
              <w:rPr>
                <w:highlight w:val="black"/>
                <w:lang w:val="en-US"/>
              </w:rPr>
              <w:t>Redacted</w:t>
            </w:r>
          </w:p>
        </w:tc>
      </w:tr>
      <w:tr w:rsidR="004376E0" w:rsidRPr="00A21682" w14:paraId="05E6E16F" w14:textId="77777777" w:rsidTr="00CB07B4">
        <w:trPr>
          <w:trHeight w:val="357"/>
        </w:trPr>
        <w:tc>
          <w:tcPr>
            <w:tcW w:w="1077" w:type="dxa"/>
          </w:tcPr>
          <w:p w14:paraId="338CC49C" w14:textId="7D2C5678" w:rsidR="004376E0" w:rsidRPr="00A21682" w:rsidRDefault="00225624" w:rsidP="00442031">
            <w:pPr>
              <w:pStyle w:val="Tabletext"/>
              <w:rPr>
                <w:lang w:val="en-US"/>
              </w:rPr>
            </w:pPr>
            <w:r>
              <w:rPr>
                <w:lang w:val="en-US"/>
              </w:rPr>
              <w:t>v2.0</w:t>
            </w:r>
          </w:p>
        </w:tc>
        <w:tc>
          <w:tcPr>
            <w:tcW w:w="2282" w:type="dxa"/>
          </w:tcPr>
          <w:p w14:paraId="3A5F58C8" w14:textId="29FF2505" w:rsidR="004376E0" w:rsidRPr="00A21682" w:rsidRDefault="004376E0" w:rsidP="00442031">
            <w:pPr>
              <w:pStyle w:val="Tabletext"/>
              <w:rPr>
                <w:lang w:val="en-US"/>
              </w:rPr>
            </w:pPr>
            <w:r>
              <w:rPr>
                <w:lang w:val="en-US"/>
              </w:rPr>
              <w:t>February 14, 2025</w:t>
            </w:r>
          </w:p>
        </w:tc>
        <w:tc>
          <w:tcPr>
            <w:tcW w:w="3566" w:type="dxa"/>
          </w:tcPr>
          <w:p w14:paraId="76DDCEC3" w14:textId="6D931A5D" w:rsidR="004376E0" w:rsidRPr="00A21682" w:rsidRDefault="004376E0" w:rsidP="00442031">
            <w:pPr>
              <w:pStyle w:val="Tabletext"/>
              <w:rPr>
                <w:lang w:val="en-US"/>
              </w:rPr>
            </w:pPr>
            <w:r>
              <w:rPr>
                <w:lang w:val="en-US"/>
              </w:rPr>
              <w:t>Deliverable Submission</w:t>
            </w:r>
          </w:p>
        </w:tc>
        <w:tc>
          <w:tcPr>
            <w:tcW w:w="2702" w:type="dxa"/>
          </w:tcPr>
          <w:p w14:paraId="36521470" w14:textId="3B1147D2" w:rsidR="004376E0" w:rsidRPr="000318E4" w:rsidRDefault="004376E0" w:rsidP="00442031">
            <w:pPr>
              <w:pStyle w:val="Tabletext"/>
              <w:rPr>
                <w:highlight w:val="black"/>
                <w:lang w:val="en-US"/>
              </w:rPr>
            </w:pPr>
            <w:r>
              <w:rPr>
                <w:highlight w:val="black"/>
                <w:lang w:val="en-US"/>
              </w:rPr>
              <w:t>Redacted</w:t>
            </w:r>
          </w:p>
        </w:tc>
      </w:tr>
      <w:tr w:rsidR="00000EBB" w:rsidRPr="00A21682" w14:paraId="52AE0275" w14:textId="77777777" w:rsidTr="00CB07B4">
        <w:trPr>
          <w:trHeight w:val="357"/>
        </w:trPr>
        <w:tc>
          <w:tcPr>
            <w:tcW w:w="1077" w:type="dxa"/>
          </w:tcPr>
          <w:p w14:paraId="4D00E461" w14:textId="2BD756F7" w:rsidR="00000EBB" w:rsidRPr="00A21682" w:rsidRDefault="00000EBB" w:rsidP="00442031">
            <w:pPr>
              <w:pStyle w:val="Tabletext"/>
            </w:pPr>
            <w:r>
              <w:t>v2.1</w:t>
            </w:r>
          </w:p>
        </w:tc>
        <w:tc>
          <w:tcPr>
            <w:tcW w:w="2282" w:type="dxa"/>
          </w:tcPr>
          <w:p w14:paraId="36463E45" w14:textId="544684D4" w:rsidR="00000EBB" w:rsidRPr="00A21682" w:rsidRDefault="00000EBB" w:rsidP="00442031">
            <w:pPr>
              <w:pStyle w:val="Tabletext"/>
            </w:pPr>
            <w:r>
              <w:t>March 14, 2025</w:t>
            </w:r>
          </w:p>
        </w:tc>
        <w:tc>
          <w:tcPr>
            <w:tcW w:w="3566" w:type="dxa"/>
          </w:tcPr>
          <w:p w14:paraId="3FCFBF86" w14:textId="3F7C70E2" w:rsidR="00000EBB" w:rsidRPr="00A21682" w:rsidRDefault="00000EBB" w:rsidP="00442031">
            <w:pPr>
              <w:pStyle w:val="Tabletext"/>
            </w:pPr>
            <w:r>
              <w:t>Addressed DOH comments</w:t>
            </w:r>
          </w:p>
        </w:tc>
        <w:tc>
          <w:tcPr>
            <w:tcW w:w="2702" w:type="dxa"/>
          </w:tcPr>
          <w:p w14:paraId="1FF34515" w14:textId="5338A720" w:rsidR="00000EBB" w:rsidRPr="000318E4" w:rsidRDefault="00000EBB" w:rsidP="00442031">
            <w:pPr>
              <w:pStyle w:val="Tabletext"/>
              <w:rPr>
                <w:highlight w:val="black"/>
              </w:rPr>
            </w:pPr>
            <w:r>
              <w:rPr>
                <w:highlight w:val="black"/>
              </w:rPr>
              <w:t>Redacted</w:t>
            </w:r>
          </w:p>
        </w:tc>
      </w:tr>
    </w:tbl>
    <w:p w14:paraId="45024D15" w14:textId="1363853E" w:rsidR="00621339" w:rsidRPr="00A21682" w:rsidRDefault="00621339" w:rsidP="00DD12D4">
      <w:pPr>
        <w:pStyle w:val="NormalNEW"/>
        <w:rPr>
          <w:lang w:val="en-US"/>
        </w:rPr>
      </w:pPr>
    </w:p>
    <w:p w14:paraId="1B1DF94F" w14:textId="391B1B08" w:rsidR="009A084A" w:rsidRPr="00A21682" w:rsidRDefault="009A084A" w:rsidP="00DD12D4">
      <w:pPr>
        <w:pStyle w:val="NormalNEW"/>
        <w:rPr>
          <w:lang w:val="en-US"/>
        </w:rPr>
      </w:pPr>
      <w:r>
        <w:rPr>
          <w:lang w:val="en-US"/>
        </w:rPr>
        <w:br w:type="page"/>
      </w:r>
    </w:p>
    <w:sdt>
      <w:sdtPr>
        <w:rPr>
          <w:rFonts w:ascii="Verdana" w:eastAsiaTheme="minorEastAsia" w:hAnsi="Verdana" w:cs="Arial"/>
          <w:i w:val="0"/>
          <w:noProof/>
          <w:color w:val="auto"/>
          <w:sz w:val="18"/>
          <w:szCs w:val="18"/>
        </w:rPr>
        <w:id w:val="-1673338535"/>
        <w:docPartObj>
          <w:docPartGallery w:val="Table of Contents"/>
          <w:docPartUnique/>
        </w:docPartObj>
      </w:sdtPr>
      <w:sdtEndPr>
        <w:rPr>
          <w:rFonts w:cstheme="minorBidi"/>
        </w:rPr>
      </w:sdtEndPr>
      <w:sdtContent>
        <w:p w14:paraId="394AE085" w14:textId="77777777" w:rsidR="003C0FB3" w:rsidRPr="00A21682" w:rsidRDefault="003C0FB3" w:rsidP="009C6F17">
          <w:pPr>
            <w:pStyle w:val="TOCHeading"/>
            <w:tabs>
              <w:tab w:val="clear" w:pos="720"/>
            </w:tabs>
            <w:spacing w:before="240" w:line="259" w:lineRule="auto"/>
            <w:jc w:val="left"/>
            <w:rPr>
              <w:rFonts w:ascii="Verdana" w:hAnsi="Verdana"/>
              <w:i w:val="0"/>
              <w:iCs/>
              <w:color w:val="auto"/>
              <w:sz w:val="18"/>
              <w:szCs w:val="18"/>
              <w:u w:val="single"/>
            </w:rPr>
          </w:pPr>
          <w:r>
            <w:rPr>
              <w:rFonts w:ascii="Verdana" w:hAnsi="Verdana"/>
              <w:i w:val="0"/>
              <w:iCs/>
              <w:color w:val="auto"/>
              <w:sz w:val="18"/>
              <w:szCs w:val="18"/>
              <w:u w:val="single"/>
            </w:rPr>
            <w:t>Table of Contents</w:t>
          </w:r>
        </w:p>
        <w:p w14:paraId="68AE89DD" w14:textId="722735F5" w:rsidR="00274557" w:rsidRDefault="003C0FB3">
          <w:pPr>
            <w:pStyle w:val="TOC1"/>
            <w:rPr>
              <w:rFonts w:asciiTheme="minorHAnsi" w:eastAsiaTheme="minorEastAsia" w:hAnsiTheme="minorHAnsi"/>
              <w:b w:val="0"/>
              <w:kern w:val="2"/>
              <w:sz w:val="22"/>
              <w14:ligatures w14:val="standardContextual"/>
            </w:rPr>
          </w:pPr>
          <w:r>
            <w:rPr>
              <w:noProof w:val="0"/>
            </w:rPr>
            <w:fldChar w:fldCharType="begin"/>
          </w:r>
          <w:r>
            <w:rPr>
              <w:noProof w:val="0"/>
            </w:rPr>
            <w:instrText xml:space="preserve"> TOC \o "1-4" \h \z \u </w:instrText>
          </w:r>
          <w:r>
            <w:rPr>
              <w:noProof w:val="0"/>
            </w:rPr>
            <w:fldChar w:fldCharType="separate"/>
          </w:r>
          <w:hyperlink w:anchor="_Toc192874631" w:history="1">
            <w:r>
              <w:rPr>
                <w:rStyle w:val="Hyperlink"/>
              </w:rPr>
              <w:t>Preface</w:t>
            </w:r>
            <w:r>
              <w:rPr>
                <w:webHidden/>
              </w:rPr>
              <w:tab/>
            </w:r>
            <w:r>
              <w:rPr>
                <w:webHidden/>
              </w:rPr>
              <w:fldChar w:fldCharType="begin"/>
            </w:r>
            <w:r>
              <w:rPr>
                <w:webHidden/>
              </w:rPr>
              <w:instrText xml:space="preserve"> PAGEREF _Toc192874631 \h </w:instrText>
            </w:r>
            <w:r>
              <w:rPr>
                <w:webHidden/>
              </w:rPr>
            </w:r>
            <w:r>
              <w:rPr>
                <w:webHidden/>
              </w:rPr>
              <w:fldChar w:fldCharType="separate"/>
            </w:r>
            <w:r>
              <w:rPr>
                <w:webHidden/>
              </w:rPr>
              <w:t>1</w:t>
            </w:r>
            <w:r>
              <w:rPr>
                <w:webHidden/>
              </w:rPr>
              <w:fldChar w:fldCharType="end"/>
            </w:r>
          </w:hyperlink>
        </w:p>
        <w:p w14:paraId="0AEBD554" w14:textId="28D96F5C" w:rsidR="00274557" w:rsidRDefault="00274557">
          <w:pPr>
            <w:pStyle w:val="TOC1"/>
            <w:rPr>
              <w:rFonts w:asciiTheme="minorHAnsi" w:eastAsiaTheme="minorEastAsia" w:hAnsiTheme="minorHAnsi"/>
              <w:b w:val="0"/>
              <w:kern w:val="2"/>
              <w:sz w:val="22"/>
              <w14:ligatures w14:val="standardContextual"/>
            </w:rPr>
          </w:pPr>
          <w:hyperlink w:anchor="_Toc192874632" w:history="1">
            <w:r>
              <w:rPr>
                <w:rStyle w:val="Hyperlink"/>
              </w:rPr>
              <w:t>1</w:t>
            </w:r>
            <w:r>
              <w:rPr>
                <w:rFonts w:asciiTheme="minorHAnsi" w:eastAsiaTheme="minorEastAsia" w:hAnsiTheme="minorHAnsi"/>
                <w:b w:val="0"/>
                <w:kern w:val="2"/>
                <w:sz w:val="22"/>
                <w14:ligatures w14:val="standardContextual"/>
              </w:rPr>
              <w:tab/>
            </w:r>
            <w:r>
              <w:rPr>
                <w:rStyle w:val="Hyperlink"/>
              </w:rPr>
              <w:t>Governance Structure</w:t>
            </w:r>
            <w:r>
              <w:rPr>
                <w:webHidden/>
              </w:rPr>
              <w:tab/>
            </w:r>
            <w:r>
              <w:rPr>
                <w:webHidden/>
              </w:rPr>
              <w:fldChar w:fldCharType="begin"/>
            </w:r>
            <w:r>
              <w:rPr>
                <w:webHidden/>
              </w:rPr>
              <w:instrText xml:space="preserve"> PAGEREF _Toc192874632 \h </w:instrText>
            </w:r>
            <w:r>
              <w:rPr>
                <w:webHidden/>
              </w:rPr>
            </w:r>
            <w:r>
              <w:rPr>
                <w:webHidden/>
              </w:rPr>
              <w:fldChar w:fldCharType="separate"/>
            </w:r>
            <w:r>
              <w:rPr>
                <w:webHidden/>
              </w:rPr>
              <w:t>3</w:t>
            </w:r>
            <w:r>
              <w:rPr>
                <w:webHidden/>
              </w:rPr>
              <w:fldChar w:fldCharType="end"/>
            </w:r>
          </w:hyperlink>
        </w:p>
        <w:p w14:paraId="1463BC87" w14:textId="75055538" w:rsidR="00274557" w:rsidRDefault="00274557">
          <w:pPr>
            <w:pStyle w:val="TOC2"/>
            <w:rPr>
              <w:rFonts w:asciiTheme="minorHAnsi" w:eastAsiaTheme="minorEastAsia" w:hAnsiTheme="minorHAnsi"/>
              <w:b w:val="0"/>
              <w:kern w:val="2"/>
              <w:sz w:val="22"/>
              <w:lang w:val="en-US"/>
              <w14:ligatures w14:val="standardContextual"/>
            </w:rPr>
          </w:pPr>
          <w:hyperlink w:anchor="_Toc192874633" w:history="1">
            <w:r>
              <w:rPr>
                <w:rStyle w:val="Hyperlink"/>
              </w:rPr>
              <w:t>1.1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_Toc192874633 \h </w:instrText>
            </w:r>
            <w:r>
              <w:rPr>
                <w:webHidden/>
              </w:rPr>
            </w:r>
            <w:r>
              <w:rPr>
                <w:webHidden/>
              </w:rPr>
              <w:fldChar w:fldCharType="separate"/>
            </w:r>
            <w:r>
              <w:rPr>
                <w:webHidden/>
              </w:rPr>
              <w:t>3</w:t>
            </w:r>
            <w:r>
              <w:rPr>
                <w:webHidden/>
              </w:rPr>
              <w:fldChar w:fldCharType="end"/>
            </w:r>
          </w:hyperlink>
        </w:p>
        <w:p w14:paraId="514445AF" w14:textId="7EC9C87D" w:rsidR="00274557" w:rsidRDefault="00274557">
          <w:pPr>
            <w:pStyle w:val="TOC2"/>
            <w:rPr>
              <w:rFonts w:asciiTheme="minorHAnsi" w:eastAsiaTheme="minorEastAsia" w:hAnsiTheme="minorHAnsi"/>
              <w:b w:val="0"/>
              <w:kern w:val="2"/>
              <w:sz w:val="22"/>
              <w:lang w:val="en-US"/>
              <w14:ligatures w14:val="standardContextual"/>
            </w:rPr>
          </w:pPr>
          <w:hyperlink w:anchor="_Toc192874634" w:history="1">
            <w:r>
              <w:rPr>
                <w:rStyle w:val="Hyperlink"/>
              </w:rPr>
              <w:t>1.2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_Toc192874634 \h </w:instrText>
            </w:r>
            <w:r>
              <w:rPr>
                <w:webHidden/>
              </w:rPr>
            </w:r>
            <w:r>
              <w:rPr>
                <w:webHidden/>
              </w:rPr>
              <w:fldChar w:fldCharType="separate"/>
            </w:r>
            <w:r>
              <w:rPr>
                <w:webHidden/>
              </w:rPr>
              <w:t>3</w:t>
            </w:r>
            <w:r>
              <w:rPr>
                <w:webHidden/>
              </w:rPr>
              <w:fldChar w:fldCharType="end"/>
            </w:r>
          </w:hyperlink>
        </w:p>
        <w:p w14:paraId="43321EB8" w14:textId="1872567C" w:rsidR="00274557" w:rsidRDefault="00274557">
          <w:pPr>
            <w:pStyle w:val="TOC2"/>
            <w:rPr>
              <w:rFonts w:asciiTheme="minorHAnsi" w:eastAsiaTheme="minorEastAsia" w:hAnsiTheme="minorHAnsi"/>
              <w:b w:val="0"/>
              <w:kern w:val="2"/>
              <w:sz w:val="22"/>
              <w:lang w:val="en-US"/>
              <w14:ligatures w14:val="standardContextual"/>
            </w:rPr>
          </w:pPr>
          <w:hyperlink w:anchor="_Toc192874635" w:history="1">
            <w:r>
              <w:rPr>
                <w:rStyle w:val="Hyperlink"/>
              </w:rPr>
              <w:t>1.3</w:t>
            </w:r>
            <w:r>
              <w:rPr>
                <w:rFonts w:asciiTheme="minorHAnsi" w:eastAsiaTheme="minorEastAsia" w:hAnsiTheme="minorHAnsi"/>
                <w:b w:val="0"/>
                <w:kern w:val="2"/>
                <w:sz w:val="22"/>
                <w:lang w:val="en-US"/>
                <w14:ligatures w14:val="standardContextual"/>
              </w:rPr>
              <w:tab/>
            </w:r>
            <w:r>
              <w:rPr>
                <w:rStyle w:val="Hyperlink"/>
              </w:rPr>
              <w:t>Approach</w:t>
            </w:r>
            <w:r>
              <w:rPr>
                <w:webHidden/>
              </w:rPr>
              <w:tab/>
            </w:r>
            <w:r>
              <w:rPr>
                <w:webHidden/>
              </w:rPr>
              <w:fldChar w:fldCharType="begin"/>
            </w:r>
            <w:r>
              <w:rPr>
                <w:webHidden/>
              </w:rPr>
              <w:instrText xml:space="preserve"> PAGEREF _Toc192874635 \h </w:instrText>
            </w:r>
            <w:r>
              <w:rPr>
                <w:webHidden/>
              </w:rPr>
            </w:r>
            <w:r>
              <w:rPr>
                <w:webHidden/>
              </w:rPr>
              <w:fldChar w:fldCharType="separate"/>
            </w:r>
            <w:r>
              <w:rPr>
                <w:webHidden/>
              </w:rPr>
              <w:t>3</w:t>
            </w:r>
            <w:r>
              <w:rPr>
                <w:webHidden/>
              </w:rPr>
              <w:fldChar w:fldCharType="end"/>
            </w:r>
          </w:hyperlink>
        </w:p>
        <w:p w14:paraId="74D15201" w14:textId="61A6F98F" w:rsidR="00274557" w:rsidRDefault="00274557">
          <w:pPr>
            <w:pStyle w:val="TOC3"/>
            <w:rPr>
              <w:rFonts w:asciiTheme="minorHAnsi" w:hAnsiTheme="minorHAnsi"/>
              <w:sz w:val="22"/>
            </w:rPr>
          </w:pPr>
          <w:hyperlink w:anchor="_Toc192874636" w:history="1">
            <w:r>
              <w:rPr>
                <w:rStyle w:val="Hyperlink"/>
                <w:bCs/>
              </w:rPr>
              <w:t>1.3.1</w:t>
            </w:r>
            <w:r>
              <w:rPr>
                <w:rFonts w:asciiTheme="minorHAnsi" w:hAnsiTheme="minorHAnsi"/>
                <w:sz w:val="22"/>
              </w:rPr>
              <w:tab/>
            </w:r>
            <w:r>
              <w:rPr>
                <w:rStyle w:val="Hyperlink"/>
              </w:rPr>
              <w:t>Executive Governance</w:t>
            </w:r>
            <w:r>
              <w:rPr>
                <w:webHidden/>
              </w:rPr>
              <w:tab/>
            </w:r>
            <w:r>
              <w:rPr>
                <w:webHidden/>
              </w:rPr>
              <w:fldChar w:fldCharType="begin"/>
            </w:r>
            <w:r>
              <w:rPr>
                <w:webHidden/>
              </w:rPr>
              <w:instrText xml:space="preserve"> PAGEREF _Toc192874636 \h </w:instrText>
            </w:r>
            <w:r>
              <w:rPr>
                <w:webHidden/>
              </w:rPr>
            </w:r>
            <w:r>
              <w:rPr>
                <w:webHidden/>
              </w:rPr>
              <w:fldChar w:fldCharType="separate"/>
            </w:r>
            <w:r>
              <w:rPr>
                <w:webHidden/>
              </w:rPr>
              <w:t>6</w:t>
            </w:r>
            <w:r>
              <w:rPr>
                <w:webHidden/>
              </w:rPr>
              <w:fldChar w:fldCharType="end"/>
            </w:r>
          </w:hyperlink>
        </w:p>
        <w:p w14:paraId="1D43F66A" w14:textId="75E4C0A8" w:rsidR="00274557" w:rsidRDefault="00274557">
          <w:pPr>
            <w:pStyle w:val="TOC4"/>
            <w:rPr>
              <w:rFonts w:asciiTheme="minorHAnsi" w:eastAsiaTheme="minorEastAsia" w:hAnsiTheme="minorHAnsi"/>
              <w:noProof/>
              <w:kern w:val="2"/>
              <w:sz w:val="22"/>
              <w14:ligatures w14:val="standardContextual"/>
            </w:rPr>
          </w:pPr>
          <w:hyperlink w:anchor="_Toc192874637" w:history="1">
            <w:r>
              <w:rPr>
                <w:rStyle w:val="Hyperlink"/>
                <w:noProof/>
              </w:rPr>
              <w:t>1.3.1.1</w:t>
            </w:r>
            <w:r>
              <w:rPr>
                <w:rFonts w:asciiTheme="minorHAnsi" w:eastAsiaTheme="minorEastAsia" w:hAnsiTheme="minorHAnsi"/>
                <w:noProof/>
                <w:kern w:val="2"/>
                <w:sz w:val="22"/>
                <w14:ligatures w14:val="standardContextual"/>
              </w:rPr>
              <w:tab/>
            </w:r>
            <w:r>
              <w:rPr>
                <w:rStyle w:val="Hyperlink"/>
                <w:noProof/>
              </w:rPr>
              <w:t>Executive Steering Committee</w:t>
            </w:r>
            <w:r>
              <w:rPr>
                <w:noProof/>
                <w:webHidden/>
              </w:rPr>
              <w:tab/>
            </w:r>
            <w:r>
              <w:rPr>
                <w:noProof/>
                <w:webHidden/>
              </w:rPr>
              <w:fldChar w:fldCharType="begin"/>
            </w:r>
            <w:r>
              <w:rPr>
                <w:noProof/>
                <w:webHidden/>
              </w:rPr>
              <w:instrText xml:space="preserve"> PAGEREF _Toc192874637 \h </w:instrText>
            </w:r>
            <w:r>
              <w:rPr>
                <w:noProof/>
                <w:webHidden/>
              </w:rPr>
            </w:r>
            <w:r>
              <w:rPr>
                <w:noProof/>
                <w:webHidden/>
              </w:rPr>
              <w:fldChar w:fldCharType="separate"/>
            </w:r>
            <w:r>
              <w:rPr>
                <w:noProof/>
                <w:webHidden/>
              </w:rPr>
              <w:t>6</w:t>
            </w:r>
            <w:r>
              <w:rPr>
                <w:noProof/>
                <w:webHidden/>
              </w:rPr>
              <w:fldChar w:fldCharType="end"/>
            </w:r>
          </w:hyperlink>
        </w:p>
        <w:p w14:paraId="5350F256" w14:textId="348CBBAC" w:rsidR="00274557" w:rsidRDefault="00274557">
          <w:pPr>
            <w:pStyle w:val="TOC3"/>
            <w:rPr>
              <w:rFonts w:asciiTheme="minorHAnsi" w:hAnsiTheme="minorHAnsi"/>
              <w:sz w:val="22"/>
            </w:rPr>
          </w:pPr>
          <w:hyperlink w:anchor="_Toc192874638" w:history="1">
            <w:r>
              <w:rPr>
                <w:rStyle w:val="Hyperlink"/>
                <w:bCs/>
              </w:rPr>
              <w:t>1.3.2</w:t>
            </w:r>
            <w:r>
              <w:rPr>
                <w:rFonts w:asciiTheme="minorHAnsi" w:hAnsiTheme="minorHAnsi"/>
                <w:sz w:val="22"/>
              </w:rPr>
              <w:tab/>
            </w:r>
            <w:r>
              <w:rPr>
                <w:rStyle w:val="Hyperlink"/>
              </w:rPr>
              <w:t>Managerial Governance</w:t>
            </w:r>
            <w:r>
              <w:rPr>
                <w:webHidden/>
              </w:rPr>
              <w:tab/>
            </w:r>
            <w:r>
              <w:rPr>
                <w:webHidden/>
              </w:rPr>
              <w:fldChar w:fldCharType="begin"/>
            </w:r>
            <w:r>
              <w:rPr>
                <w:webHidden/>
              </w:rPr>
              <w:instrText xml:space="preserve"> PAGEREF _Toc192874638 \h </w:instrText>
            </w:r>
            <w:r>
              <w:rPr>
                <w:webHidden/>
              </w:rPr>
            </w:r>
            <w:r>
              <w:rPr>
                <w:webHidden/>
              </w:rPr>
              <w:fldChar w:fldCharType="separate"/>
            </w:r>
            <w:r>
              <w:rPr>
                <w:webHidden/>
              </w:rPr>
              <w:t>6</w:t>
            </w:r>
            <w:r>
              <w:rPr>
                <w:webHidden/>
              </w:rPr>
              <w:fldChar w:fldCharType="end"/>
            </w:r>
          </w:hyperlink>
        </w:p>
        <w:p w14:paraId="636D9F10" w14:textId="6B39710F" w:rsidR="00274557" w:rsidRDefault="00274557">
          <w:pPr>
            <w:pStyle w:val="TOC4"/>
            <w:rPr>
              <w:rFonts w:asciiTheme="minorHAnsi" w:eastAsiaTheme="minorEastAsia" w:hAnsiTheme="minorHAnsi"/>
              <w:noProof/>
              <w:kern w:val="2"/>
              <w:sz w:val="22"/>
              <w14:ligatures w14:val="standardContextual"/>
            </w:rPr>
          </w:pPr>
          <w:hyperlink w:anchor="_Toc192874639" w:history="1">
            <w:r>
              <w:rPr>
                <w:rStyle w:val="Hyperlink"/>
                <w:noProof/>
              </w:rPr>
              <w:t>1.3.2.1</w:t>
            </w:r>
            <w:r>
              <w:rPr>
                <w:rFonts w:asciiTheme="minorHAnsi" w:eastAsiaTheme="minorEastAsia" w:hAnsiTheme="minorHAnsi"/>
                <w:noProof/>
                <w:kern w:val="2"/>
                <w:sz w:val="22"/>
                <w14:ligatures w14:val="standardContextual"/>
              </w:rPr>
              <w:tab/>
            </w:r>
            <w:r>
              <w:rPr>
                <w:rStyle w:val="Hyperlink"/>
                <w:noProof/>
              </w:rPr>
              <w:t>Project Steering Committee</w:t>
            </w:r>
            <w:r>
              <w:rPr>
                <w:noProof/>
                <w:webHidden/>
              </w:rPr>
              <w:tab/>
            </w:r>
            <w:r>
              <w:rPr>
                <w:noProof/>
                <w:webHidden/>
              </w:rPr>
              <w:fldChar w:fldCharType="begin"/>
            </w:r>
            <w:r>
              <w:rPr>
                <w:noProof/>
                <w:webHidden/>
              </w:rPr>
              <w:instrText xml:space="preserve"> PAGEREF _Toc192874639 \h </w:instrText>
            </w:r>
            <w:r>
              <w:rPr>
                <w:noProof/>
                <w:webHidden/>
              </w:rPr>
            </w:r>
            <w:r>
              <w:rPr>
                <w:noProof/>
                <w:webHidden/>
              </w:rPr>
              <w:fldChar w:fldCharType="separate"/>
            </w:r>
            <w:r>
              <w:rPr>
                <w:noProof/>
                <w:webHidden/>
              </w:rPr>
              <w:t>6</w:t>
            </w:r>
            <w:r>
              <w:rPr>
                <w:noProof/>
                <w:webHidden/>
              </w:rPr>
              <w:fldChar w:fldCharType="end"/>
            </w:r>
          </w:hyperlink>
        </w:p>
        <w:p w14:paraId="7F7C1023" w14:textId="21566AD8" w:rsidR="00274557" w:rsidRDefault="00274557">
          <w:pPr>
            <w:pStyle w:val="TOC4"/>
            <w:rPr>
              <w:rFonts w:asciiTheme="minorHAnsi" w:eastAsiaTheme="minorEastAsia" w:hAnsiTheme="minorHAnsi"/>
              <w:noProof/>
              <w:kern w:val="2"/>
              <w:sz w:val="22"/>
              <w14:ligatures w14:val="standardContextual"/>
            </w:rPr>
          </w:pPr>
          <w:hyperlink w:anchor="_Toc192874640" w:history="1">
            <w:r>
              <w:rPr>
                <w:rStyle w:val="Hyperlink"/>
                <w:noProof/>
              </w:rPr>
              <w:t>1.3.2.2</w:t>
            </w:r>
            <w:r>
              <w:rPr>
                <w:rFonts w:asciiTheme="minorHAnsi" w:eastAsiaTheme="minorEastAsia" w:hAnsiTheme="minorHAnsi"/>
                <w:noProof/>
                <w:kern w:val="2"/>
                <w:sz w:val="22"/>
                <w14:ligatures w14:val="standardContextual"/>
              </w:rPr>
              <w:tab/>
            </w:r>
            <w:r>
              <w:rPr>
                <w:rStyle w:val="Hyperlink"/>
                <w:noProof/>
              </w:rPr>
              <w:t>Change Advisory Board</w:t>
            </w:r>
            <w:r>
              <w:rPr>
                <w:noProof/>
                <w:webHidden/>
              </w:rPr>
              <w:tab/>
            </w:r>
            <w:r>
              <w:rPr>
                <w:noProof/>
                <w:webHidden/>
              </w:rPr>
              <w:fldChar w:fldCharType="begin"/>
            </w:r>
            <w:r>
              <w:rPr>
                <w:noProof/>
                <w:webHidden/>
              </w:rPr>
              <w:instrText xml:space="preserve"> PAGEREF _Toc192874640 \h </w:instrText>
            </w:r>
            <w:r>
              <w:rPr>
                <w:noProof/>
                <w:webHidden/>
              </w:rPr>
            </w:r>
            <w:r>
              <w:rPr>
                <w:noProof/>
                <w:webHidden/>
              </w:rPr>
              <w:fldChar w:fldCharType="separate"/>
            </w:r>
            <w:r>
              <w:rPr>
                <w:noProof/>
                <w:webHidden/>
              </w:rPr>
              <w:t>6</w:t>
            </w:r>
            <w:r>
              <w:rPr>
                <w:noProof/>
                <w:webHidden/>
              </w:rPr>
              <w:fldChar w:fldCharType="end"/>
            </w:r>
          </w:hyperlink>
        </w:p>
        <w:p w14:paraId="5583FB0F" w14:textId="32E0876B" w:rsidR="00274557" w:rsidRDefault="00274557">
          <w:pPr>
            <w:pStyle w:val="TOC4"/>
            <w:rPr>
              <w:rFonts w:asciiTheme="minorHAnsi" w:eastAsiaTheme="minorEastAsia" w:hAnsiTheme="minorHAnsi"/>
              <w:noProof/>
              <w:kern w:val="2"/>
              <w:sz w:val="22"/>
              <w14:ligatures w14:val="standardContextual"/>
            </w:rPr>
          </w:pPr>
          <w:hyperlink w:anchor="_Toc192874641" w:history="1">
            <w:r>
              <w:rPr>
                <w:rStyle w:val="Hyperlink"/>
                <w:noProof/>
              </w:rPr>
              <w:t>1.3.2.3</w:t>
            </w:r>
            <w:r>
              <w:rPr>
                <w:rFonts w:asciiTheme="minorHAnsi" w:eastAsiaTheme="minorEastAsia" w:hAnsiTheme="minorHAnsi"/>
                <w:noProof/>
                <w:kern w:val="2"/>
                <w:sz w:val="22"/>
                <w14:ligatures w14:val="standardContextual"/>
              </w:rPr>
              <w:tab/>
            </w:r>
            <w:r>
              <w:rPr>
                <w:rStyle w:val="Hyperlink"/>
                <w:noProof/>
              </w:rPr>
              <w:t>Change Review Board</w:t>
            </w:r>
            <w:r>
              <w:rPr>
                <w:noProof/>
                <w:webHidden/>
              </w:rPr>
              <w:tab/>
            </w:r>
            <w:r>
              <w:rPr>
                <w:noProof/>
                <w:webHidden/>
              </w:rPr>
              <w:fldChar w:fldCharType="begin"/>
            </w:r>
            <w:r>
              <w:rPr>
                <w:noProof/>
                <w:webHidden/>
              </w:rPr>
              <w:instrText xml:space="preserve"> PAGEREF _Toc192874641 \h </w:instrText>
            </w:r>
            <w:r>
              <w:rPr>
                <w:noProof/>
                <w:webHidden/>
              </w:rPr>
            </w:r>
            <w:r>
              <w:rPr>
                <w:noProof/>
                <w:webHidden/>
              </w:rPr>
              <w:fldChar w:fldCharType="separate"/>
            </w:r>
            <w:r>
              <w:rPr>
                <w:noProof/>
                <w:webHidden/>
              </w:rPr>
              <w:t>7</w:t>
            </w:r>
            <w:r>
              <w:rPr>
                <w:noProof/>
                <w:webHidden/>
              </w:rPr>
              <w:fldChar w:fldCharType="end"/>
            </w:r>
          </w:hyperlink>
        </w:p>
        <w:p w14:paraId="43436177" w14:textId="0AD96F62" w:rsidR="00274557" w:rsidRDefault="00274557">
          <w:pPr>
            <w:pStyle w:val="TOC4"/>
            <w:rPr>
              <w:rFonts w:asciiTheme="minorHAnsi" w:eastAsiaTheme="minorEastAsia" w:hAnsiTheme="minorHAnsi"/>
              <w:noProof/>
              <w:kern w:val="2"/>
              <w:sz w:val="22"/>
              <w14:ligatures w14:val="standardContextual"/>
            </w:rPr>
          </w:pPr>
          <w:hyperlink w:anchor="_Toc192874642" w:history="1">
            <w:r>
              <w:rPr>
                <w:rStyle w:val="Hyperlink"/>
                <w:noProof/>
              </w:rPr>
              <w:t>1.3.2.4</w:t>
            </w:r>
            <w:r>
              <w:rPr>
                <w:rFonts w:asciiTheme="minorHAnsi" w:eastAsiaTheme="minorEastAsia" w:hAnsiTheme="minorHAnsi"/>
                <w:noProof/>
                <w:kern w:val="2"/>
                <w:sz w:val="22"/>
                <w14:ligatures w14:val="standardContextual"/>
              </w:rPr>
              <w:tab/>
            </w:r>
            <w:r>
              <w:rPr>
                <w:rStyle w:val="Hyperlink"/>
                <w:noProof/>
              </w:rPr>
              <w:t>Architecture Review Board</w:t>
            </w:r>
            <w:r>
              <w:rPr>
                <w:noProof/>
                <w:webHidden/>
              </w:rPr>
              <w:tab/>
            </w:r>
            <w:r>
              <w:rPr>
                <w:noProof/>
                <w:webHidden/>
              </w:rPr>
              <w:fldChar w:fldCharType="begin"/>
            </w:r>
            <w:r>
              <w:rPr>
                <w:noProof/>
                <w:webHidden/>
              </w:rPr>
              <w:instrText xml:space="preserve"> PAGEREF _Toc192874642 \h </w:instrText>
            </w:r>
            <w:r>
              <w:rPr>
                <w:noProof/>
                <w:webHidden/>
              </w:rPr>
            </w:r>
            <w:r>
              <w:rPr>
                <w:noProof/>
                <w:webHidden/>
              </w:rPr>
              <w:fldChar w:fldCharType="separate"/>
            </w:r>
            <w:r>
              <w:rPr>
                <w:noProof/>
                <w:webHidden/>
              </w:rPr>
              <w:t>7</w:t>
            </w:r>
            <w:r>
              <w:rPr>
                <w:noProof/>
                <w:webHidden/>
              </w:rPr>
              <w:fldChar w:fldCharType="end"/>
            </w:r>
          </w:hyperlink>
        </w:p>
        <w:p w14:paraId="0AFEE51B" w14:textId="15295493" w:rsidR="00274557" w:rsidRDefault="00274557">
          <w:pPr>
            <w:pStyle w:val="TOC3"/>
            <w:rPr>
              <w:rFonts w:asciiTheme="minorHAnsi" w:hAnsiTheme="minorHAnsi"/>
              <w:sz w:val="22"/>
            </w:rPr>
          </w:pPr>
          <w:hyperlink w:anchor="_Toc192874643" w:history="1">
            <w:r>
              <w:rPr>
                <w:rStyle w:val="Hyperlink"/>
                <w:bCs/>
              </w:rPr>
              <w:t>1.3.3</w:t>
            </w:r>
            <w:r>
              <w:rPr>
                <w:rFonts w:asciiTheme="minorHAnsi" w:hAnsiTheme="minorHAnsi"/>
                <w:sz w:val="22"/>
              </w:rPr>
              <w:tab/>
            </w:r>
            <w:r>
              <w:rPr>
                <w:rStyle w:val="Hyperlink"/>
              </w:rPr>
              <w:t>Project Administration and Execution (PAE)</w:t>
            </w:r>
            <w:r>
              <w:rPr>
                <w:webHidden/>
              </w:rPr>
              <w:tab/>
            </w:r>
            <w:r>
              <w:rPr>
                <w:webHidden/>
              </w:rPr>
              <w:fldChar w:fldCharType="begin"/>
            </w:r>
            <w:r>
              <w:rPr>
                <w:webHidden/>
              </w:rPr>
              <w:instrText xml:space="preserve"> PAGEREF _Toc192874643 \h </w:instrText>
            </w:r>
            <w:r>
              <w:rPr>
                <w:webHidden/>
              </w:rPr>
            </w:r>
            <w:r>
              <w:rPr>
                <w:webHidden/>
              </w:rPr>
              <w:fldChar w:fldCharType="separate"/>
            </w:r>
            <w:r>
              <w:rPr>
                <w:webHidden/>
              </w:rPr>
              <w:t>7</w:t>
            </w:r>
            <w:r>
              <w:rPr>
                <w:webHidden/>
              </w:rPr>
              <w:fldChar w:fldCharType="end"/>
            </w:r>
          </w:hyperlink>
        </w:p>
        <w:p w14:paraId="6FA7EC3C" w14:textId="2F5BC192" w:rsidR="00274557" w:rsidRDefault="00274557">
          <w:pPr>
            <w:pStyle w:val="TOC4"/>
            <w:rPr>
              <w:rFonts w:asciiTheme="minorHAnsi" w:eastAsiaTheme="minorEastAsia" w:hAnsiTheme="minorHAnsi"/>
              <w:noProof/>
              <w:kern w:val="2"/>
              <w:sz w:val="22"/>
              <w14:ligatures w14:val="standardContextual"/>
            </w:rPr>
          </w:pPr>
          <w:hyperlink w:anchor="_Toc192874644" w:history="1">
            <w:r>
              <w:rPr>
                <w:rStyle w:val="Hyperlink"/>
                <w:noProof/>
              </w:rPr>
              <w:t>1.3.3.1</w:t>
            </w:r>
            <w:r>
              <w:rPr>
                <w:rFonts w:asciiTheme="minorHAnsi" w:eastAsiaTheme="minorEastAsia" w:hAnsiTheme="minorHAnsi"/>
                <w:noProof/>
                <w:kern w:val="2"/>
                <w:sz w:val="22"/>
                <w14:ligatures w14:val="standardContextual"/>
              </w:rPr>
              <w:tab/>
            </w:r>
            <w:r>
              <w:rPr>
                <w:rStyle w:val="Hyperlink"/>
                <w:noProof/>
              </w:rPr>
              <w:t>Project Management Office</w:t>
            </w:r>
            <w:r>
              <w:rPr>
                <w:noProof/>
                <w:webHidden/>
              </w:rPr>
              <w:tab/>
            </w:r>
            <w:r>
              <w:rPr>
                <w:noProof/>
                <w:webHidden/>
              </w:rPr>
              <w:fldChar w:fldCharType="begin"/>
            </w:r>
            <w:r>
              <w:rPr>
                <w:noProof/>
                <w:webHidden/>
              </w:rPr>
              <w:instrText xml:space="preserve"> PAGEREF _Toc192874644 \h </w:instrText>
            </w:r>
            <w:r>
              <w:rPr>
                <w:noProof/>
                <w:webHidden/>
              </w:rPr>
            </w:r>
            <w:r>
              <w:rPr>
                <w:noProof/>
                <w:webHidden/>
              </w:rPr>
              <w:fldChar w:fldCharType="separate"/>
            </w:r>
            <w:r>
              <w:rPr>
                <w:noProof/>
                <w:webHidden/>
              </w:rPr>
              <w:t>7</w:t>
            </w:r>
            <w:r>
              <w:rPr>
                <w:noProof/>
                <w:webHidden/>
              </w:rPr>
              <w:fldChar w:fldCharType="end"/>
            </w:r>
          </w:hyperlink>
        </w:p>
        <w:p w14:paraId="181EB92D" w14:textId="2203FB20" w:rsidR="00274557" w:rsidRDefault="00274557">
          <w:pPr>
            <w:pStyle w:val="TOC4"/>
            <w:rPr>
              <w:rFonts w:asciiTheme="minorHAnsi" w:eastAsiaTheme="minorEastAsia" w:hAnsiTheme="minorHAnsi"/>
              <w:noProof/>
              <w:kern w:val="2"/>
              <w:sz w:val="22"/>
              <w14:ligatures w14:val="standardContextual"/>
            </w:rPr>
          </w:pPr>
          <w:hyperlink w:anchor="_Toc192874645" w:history="1">
            <w:r>
              <w:rPr>
                <w:rStyle w:val="Hyperlink"/>
                <w:noProof/>
              </w:rPr>
              <w:t>1.3.3.2</w:t>
            </w:r>
            <w:r>
              <w:rPr>
                <w:rFonts w:asciiTheme="minorHAnsi" w:eastAsiaTheme="minorEastAsia" w:hAnsiTheme="minorHAnsi"/>
                <w:noProof/>
                <w:kern w:val="2"/>
                <w:sz w:val="22"/>
                <w14:ligatures w14:val="standardContextual"/>
              </w:rPr>
              <w:tab/>
            </w:r>
            <w:r>
              <w:rPr>
                <w:rStyle w:val="Hyperlink"/>
                <w:noProof/>
              </w:rPr>
              <w:t>Technology, Change Management, Security Compliance, Quality Assurance, and Functional Tracks</w:t>
            </w:r>
            <w:r>
              <w:rPr>
                <w:noProof/>
                <w:webHidden/>
              </w:rPr>
              <w:tab/>
            </w:r>
            <w:r>
              <w:rPr>
                <w:noProof/>
                <w:webHidden/>
              </w:rPr>
              <w:fldChar w:fldCharType="begin"/>
            </w:r>
            <w:r>
              <w:rPr>
                <w:noProof/>
                <w:webHidden/>
              </w:rPr>
              <w:instrText xml:space="preserve"> PAGEREF _Toc192874645 \h </w:instrText>
            </w:r>
            <w:r>
              <w:rPr>
                <w:noProof/>
                <w:webHidden/>
              </w:rPr>
            </w:r>
            <w:r>
              <w:rPr>
                <w:noProof/>
                <w:webHidden/>
              </w:rPr>
              <w:fldChar w:fldCharType="separate"/>
            </w:r>
            <w:r>
              <w:rPr>
                <w:noProof/>
                <w:webHidden/>
              </w:rPr>
              <w:t>8</w:t>
            </w:r>
            <w:r>
              <w:rPr>
                <w:noProof/>
                <w:webHidden/>
              </w:rPr>
              <w:fldChar w:fldCharType="end"/>
            </w:r>
          </w:hyperlink>
        </w:p>
        <w:p w14:paraId="6DB2C518" w14:textId="14045B1A" w:rsidR="00274557" w:rsidRDefault="00274557">
          <w:pPr>
            <w:pStyle w:val="TOC2"/>
            <w:rPr>
              <w:rFonts w:asciiTheme="minorHAnsi" w:eastAsiaTheme="minorEastAsia" w:hAnsiTheme="minorHAnsi"/>
              <w:b w:val="0"/>
              <w:kern w:val="2"/>
              <w:sz w:val="22"/>
              <w:lang w:val="en-US"/>
              <w14:ligatures w14:val="standardContextual"/>
            </w:rPr>
          </w:pPr>
          <w:hyperlink w:anchor="_Toc192874646" w:history="1">
            <w:r>
              <w:rPr>
                <w:rStyle w:val="Hyperlink"/>
              </w:rPr>
              <w:t>1.4</w:t>
            </w:r>
            <w:r>
              <w:rPr>
                <w:rFonts w:asciiTheme="minorHAnsi" w:eastAsiaTheme="minorEastAsia" w:hAnsiTheme="minorHAnsi"/>
                <w:b w:val="0"/>
                <w:kern w:val="2"/>
                <w:sz w:val="22"/>
                <w:lang w:val="en-US"/>
                <w14:ligatures w14:val="standardContextual"/>
              </w:rPr>
              <w:tab/>
            </w:r>
            <w:r>
              <w:rPr>
                <w:rStyle w:val="Hyperlink"/>
              </w:rPr>
              <w:t>References</w:t>
            </w:r>
            <w:r>
              <w:rPr>
                <w:webHidden/>
              </w:rPr>
              <w:tab/>
            </w:r>
            <w:r>
              <w:rPr>
                <w:webHidden/>
              </w:rPr>
              <w:fldChar w:fldCharType="begin"/>
            </w:r>
            <w:r>
              <w:rPr>
                <w:webHidden/>
              </w:rPr>
              <w:instrText xml:space="preserve"> PAGEREF _Toc192874646 \h </w:instrText>
            </w:r>
            <w:r>
              <w:rPr>
                <w:webHidden/>
              </w:rPr>
            </w:r>
            <w:r>
              <w:rPr>
                <w:webHidden/>
              </w:rPr>
              <w:fldChar w:fldCharType="separate"/>
            </w:r>
            <w:r>
              <w:rPr>
                <w:webHidden/>
              </w:rPr>
              <w:t>8</w:t>
            </w:r>
            <w:r>
              <w:rPr>
                <w:webHidden/>
              </w:rPr>
              <w:fldChar w:fldCharType="end"/>
            </w:r>
          </w:hyperlink>
        </w:p>
        <w:p w14:paraId="7E400A13" w14:textId="551DBD1B" w:rsidR="00274557" w:rsidRDefault="00274557">
          <w:pPr>
            <w:pStyle w:val="TOC3"/>
            <w:rPr>
              <w:rFonts w:asciiTheme="minorHAnsi" w:hAnsiTheme="minorHAnsi"/>
              <w:sz w:val="22"/>
            </w:rPr>
          </w:pPr>
          <w:hyperlink w:anchor="_Toc192874647" w:history="1">
            <w:r>
              <w:rPr>
                <w:rStyle w:val="Hyperlink"/>
                <w:bCs/>
              </w:rPr>
              <w:t>1.4.1</w:t>
            </w:r>
            <w:r>
              <w:rPr>
                <w:rFonts w:asciiTheme="minorHAnsi" w:hAnsiTheme="minorHAnsi"/>
                <w:sz w:val="22"/>
              </w:rPr>
              <w:tab/>
            </w:r>
            <w:r>
              <w:rPr>
                <w:rStyle w:val="Hyperlink"/>
              </w:rPr>
              <w:t>Integrated Change Control Process</w:t>
            </w:r>
            <w:r>
              <w:rPr>
                <w:webHidden/>
              </w:rPr>
              <w:tab/>
            </w:r>
            <w:r>
              <w:rPr>
                <w:webHidden/>
              </w:rPr>
              <w:fldChar w:fldCharType="begin"/>
            </w:r>
            <w:r>
              <w:rPr>
                <w:webHidden/>
              </w:rPr>
              <w:instrText xml:space="preserve"> PAGEREF _Toc192874647 \h </w:instrText>
            </w:r>
            <w:r>
              <w:rPr>
                <w:webHidden/>
              </w:rPr>
            </w:r>
            <w:r>
              <w:rPr>
                <w:webHidden/>
              </w:rPr>
              <w:fldChar w:fldCharType="separate"/>
            </w:r>
            <w:r>
              <w:rPr>
                <w:webHidden/>
              </w:rPr>
              <w:t>8</w:t>
            </w:r>
            <w:r>
              <w:rPr>
                <w:webHidden/>
              </w:rPr>
              <w:fldChar w:fldCharType="end"/>
            </w:r>
          </w:hyperlink>
        </w:p>
        <w:p w14:paraId="79CF6B84" w14:textId="0F6A51EF" w:rsidR="00274557" w:rsidRDefault="00274557">
          <w:pPr>
            <w:pStyle w:val="TOC3"/>
            <w:rPr>
              <w:rFonts w:asciiTheme="minorHAnsi" w:hAnsiTheme="minorHAnsi"/>
              <w:sz w:val="22"/>
            </w:rPr>
          </w:pPr>
          <w:hyperlink w:anchor="_Toc192874648" w:history="1">
            <w:r>
              <w:rPr>
                <w:rStyle w:val="Hyperlink"/>
                <w:bCs/>
              </w:rPr>
              <w:t>1.4.2</w:t>
            </w:r>
            <w:r>
              <w:rPr>
                <w:rFonts w:asciiTheme="minorHAnsi" w:hAnsiTheme="minorHAnsi"/>
                <w:sz w:val="22"/>
              </w:rPr>
              <w:tab/>
            </w:r>
            <w:r>
              <w:rPr>
                <w:rStyle w:val="Hyperlink"/>
              </w:rPr>
              <w:t>Project Controls Plan</w:t>
            </w:r>
            <w:r>
              <w:rPr>
                <w:webHidden/>
              </w:rPr>
              <w:tab/>
            </w:r>
            <w:r>
              <w:rPr>
                <w:webHidden/>
              </w:rPr>
              <w:fldChar w:fldCharType="begin"/>
            </w:r>
            <w:r>
              <w:rPr>
                <w:webHidden/>
              </w:rPr>
              <w:instrText xml:space="preserve"> PAGEREF _Toc192874648 \h </w:instrText>
            </w:r>
            <w:r>
              <w:rPr>
                <w:webHidden/>
              </w:rPr>
            </w:r>
            <w:r>
              <w:rPr>
                <w:webHidden/>
              </w:rPr>
              <w:fldChar w:fldCharType="separate"/>
            </w:r>
            <w:r>
              <w:rPr>
                <w:webHidden/>
              </w:rPr>
              <w:t>8</w:t>
            </w:r>
            <w:r>
              <w:rPr>
                <w:webHidden/>
              </w:rPr>
              <w:fldChar w:fldCharType="end"/>
            </w:r>
          </w:hyperlink>
        </w:p>
        <w:p w14:paraId="255CA775" w14:textId="4DF27F67" w:rsidR="00274557" w:rsidRDefault="00274557">
          <w:pPr>
            <w:pStyle w:val="TOC3"/>
            <w:rPr>
              <w:rFonts w:asciiTheme="minorHAnsi" w:hAnsiTheme="minorHAnsi"/>
              <w:sz w:val="22"/>
            </w:rPr>
          </w:pPr>
          <w:hyperlink w:anchor="_Toc192874649" w:history="1">
            <w:r>
              <w:rPr>
                <w:rStyle w:val="Hyperlink"/>
                <w:rFonts w:eastAsia="Calibri" w:cs="Arial Narrow"/>
                <w:bCs/>
              </w:rPr>
              <w:t>1.4.3</w:t>
            </w:r>
            <w:r>
              <w:rPr>
                <w:rFonts w:asciiTheme="minorHAnsi" w:hAnsiTheme="minorHAnsi"/>
                <w:sz w:val="22"/>
              </w:rPr>
              <w:tab/>
            </w:r>
            <w:r>
              <w:rPr>
                <w:rStyle w:val="Hyperlink"/>
              </w:rPr>
              <w:t>Schedule Management Plan</w:t>
            </w:r>
            <w:r>
              <w:rPr>
                <w:webHidden/>
              </w:rPr>
              <w:tab/>
            </w:r>
            <w:r>
              <w:rPr>
                <w:webHidden/>
              </w:rPr>
              <w:fldChar w:fldCharType="begin"/>
            </w:r>
            <w:r>
              <w:rPr>
                <w:webHidden/>
              </w:rPr>
              <w:instrText xml:space="preserve"> PAGEREF _Toc192874649 \h </w:instrText>
            </w:r>
            <w:r>
              <w:rPr>
                <w:webHidden/>
              </w:rPr>
            </w:r>
            <w:r>
              <w:rPr>
                <w:webHidden/>
              </w:rPr>
              <w:fldChar w:fldCharType="separate"/>
            </w:r>
            <w:r>
              <w:rPr>
                <w:webHidden/>
              </w:rPr>
              <w:t>8</w:t>
            </w:r>
            <w:r>
              <w:rPr>
                <w:webHidden/>
              </w:rPr>
              <w:fldChar w:fldCharType="end"/>
            </w:r>
          </w:hyperlink>
        </w:p>
        <w:p w14:paraId="6E90FAC2" w14:textId="137E7D79" w:rsidR="00274557" w:rsidRDefault="00274557">
          <w:pPr>
            <w:pStyle w:val="TOC3"/>
            <w:rPr>
              <w:rFonts w:asciiTheme="minorHAnsi" w:hAnsiTheme="minorHAnsi"/>
              <w:sz w:val="22"/>
            </w:rPr>
          </w:pPr>
          <w:hyperlink w:anchor="_Toc192874650" w:history="1">
            <w:r>
              <w:rPr>
                <w:rStyle w:val="Hyperlink"/>
                <w:bCs/>
              </w:rPr>
              <w:t>1.4.4</w:t>
            </w:r>
            <w:r>
              <w:rPr>
                <w:rFonts w:asciiTheme="minorHAnsi" w:hAnsiTheme="minorHAnsi"/>
                <w:sz w:val="22"/>
              </w:rPr>
              <w:tab/>
            </w:r>
            <w:r>
              <w:rPr>
                <w:rStyle w:val="Hyperlink"/>
              </w:rPr>
              <w:t>Resource/Staff Management Plan</w:t>
            </w:r>
            <w:r>
              <w:rPr>
                <w:webHidden/>
              </w:rPr>
              <w:tab/>
            </w:r>
            <w:r>
              <w:rPr>
                <w:webHidden/>
              </w:rPr>
              <w:fldChar w:fldCharType="begin"/>
            </w:r>
            <w:r>
              <w:rPr>
                <w:webHidden/>
              </w:rPr>
              <w:instrText xml:space="preserve"> PAGEREF _Toc192874650 \h </w:instrText>
            </w:r>
            <w:r>
              <w:rPr>
                <w:webHidden/>
              </w:rPr>
            </w:r>
            <w:r>
              <w:rPr>
                <w:webHidden/>
              </w:rPr>
              <w:fldChar w:fldCharType="separate"/>
            </w:r>
            <w:r>
              <w:rPr>
                <w:webHidden/>
              </w:rPr>
              <w:t>8</w:t>
            </w:r>
            <w:r>
              <w:rPr>
                <w:webHidden/>
              </w:rPr>
              <w:fldChar w:fldCharType="end"/>
            </w:r>
          </w:hyperlink>
        </w:p>
        <w:p w14:paraId="4AF0DAB7" w14:textId="4231B968" w:rsidR="00274557" w:rsidRDefault="00274557">
          <w:pPr>
            <w:pStyle w:val="TOC3"/>
            <w:rPr>
              <w:rFonts w:asciiTheme="minorHAnsi" w:hAnsiTheme="minorHAnsi"/>
              <w:sz w:val="22"/>
            </w:rPr>
          </w:pPr>
          <w:hyperlink w:anchor="_Toc192874651" w:history="1">
            <w:r>
              <w:rPr>
                <w:rStyle w:val="Hyperlink"/>
                <w:bCs/>
              </w:rPr>
              <w:t>1.4.5</w:t>
            </w:r>
            <w:r>
              <w:rPr>
                <w:rFonts w:asciiTheme="minorHAnsi" w:hAnsiTheme="minorHAnsi"/>
                <w:sz w:val="22"/>
              </w:rPr>
              <w:tab/>
            </w:r>
            <w:r>
              <w:rPr>
                <w:rStyle w:val="Hyperlink"/>
              </w:rPr>
              <w:t>Stakeholder Engagement Plan</w:t>
            </w:r>
            <w:r>
              <w:rPr>
                <w:webHidden/>
              </w:rPr>
              <w:tab/>
            </w:r>
            <w:r>
              <w:rPr>
                <w:webHidden/>
              </w:rPr>
              <w:fldChar w:fldCharType="begin"/>
            </w:r>
            <w:r>
              <w:rPr>
                <w:webHidden/>
              </w:rPr>
              <w:instrText xml:space="preserve"> PAGEREF _Toc192874651 \h </w:instrText>
            </w:r>
            <w:r>
              <w:rPr>
                <w:webHidden/>
              </w:rPr>
            </w:r>
            <w:r>
              <w:rPr>
                <w:webHidden/>
              </w:rPr>
              <w:fldChar w:fldCharType="separate"/>
            </w:r>
            <w:r>
              <w:rPr>
                <w:webHidden/>
              </w:rPr>
              <w:t>8</w:t>
            </w:r>
            <w:r>
              <w:rPr>
                <w:webHidden/>
              </w:rPr>
              <w:fldChar w:fldCharType="end"/>
            </w:r>
          </w:hyperlink>
        </w:p>
        <w:p w14:paraId="15036A3C" w14:textId="63736ADF" w:rsidR="00274557" w:rsidRDefault="00274557">
          <w:pPr>
            <w:pStyle w:val="TOC3"/>
            <w:rPr>
              <w:rFonts w:asciiTheme="minorHAnsi" w:hAnsiTheme="minorHAnsi"/>
              <w:sz w:val="22"/>
            </w:rPr>
          </w:pPr>
          <w:hyperlink w:anchor="_Toc192874652" w:history="1">
            <w:r>
              <w:rPr>
                <w:rStyle w:val="Hyperlink"/>
                <w:bCs/>
              </w:rPr>
              <w:t>1.4.6</w:t>
            </w:r>
            <w:r>
              <w:rPr>
                <w:rFonts w:asciiTheme="minorHAnsi" w:hAnsiTheme="minorHAnsi"/>
                <w:sz w:val="22"/>
              </w:rPr>
              <w:tab/>
            </w:r>
            <w:r>
              <w:rPr>
                <w:rStyle w:val="Hyperlink"/>
              </w:rPr>
              <w:t>Communications Management Plan</w:t>
            </w:r>
            <w:r>
              <w:rPr>
                <w:webHidden/>
              </w:rPr>
              <w:tab/>
            </w:r>
            <w:r>
              <w:rPr>
                <w:webHidden/>
              </w:rPr>
              <w:fldChar w:fldCharType="begin"/>
            </w:r>
            <w:r>
              <w:rPr>
                <w:webHidden/>
              </w:rPr>
              <w:instrText xml:space="preserve"> PAGEREF _Toc192874652 \h </w:instrText>
            </w:r>
            <w:r>
              <w:rPr>
                <w:webHidden/>
              </w:rPr>
            </w:r>
            <w:r>
              <w:rPr>
                <w:webHidden/>
              </w:rPr>
              <w:fldChar w:fldCharType="separate"/>
            </w:r>
            <w:r>
              <w:rPr>
                <w:webHidden/>
              </w:rPr>
              <w:t>9</w:t>
            </w:r>
            <w:r>
              <w:rPr>
                <w:webHidden/>
              </w:rPr>
              <w:fldChar w:fldCharType="end"/>
            </w:r>
          </w:hyperlink>
        </w:p>
        <w:p w14:paraId="3F0F4BC6" w14:textId="03D8A5CA" w:rsidR="00274557" w:rsidRDefault="00274557">
          <w:pPr>
            <w:pStyle w:val="TOC3"/>
            <w:rPr>
              <w:rFonts w:asciiTheme="minorHAnsi" w:hAnsiTheme="minorHAnsi"/>
              <w:sz w:val="22"/>
            </w:rPr>
          </w:pPr>
          <w:hyperlink w:anchor="_Toc192874653" w:history="1">
            <w:r>
              <w:rPr>
                <w:rStyle w:val="Hyperlink"/>
                <w:bCs/>
              </w:rPr>
              <w:t>1.4.7</w:t>
            </w:r>
            <w:r>
              <w:rPr>
                <w:rFonts w:asciiTheme="minorHAnsi" w:hAnsiTheme="minorHAnsi"/>
                <w:sz w:val="22"/>
              </w:rPr>
              <w:tab/>
            </w:r>
            <w:r>
              <w:rPr>
                <w:rStyle w:val="Hyperlink"/>
              </w:rPr>
              <w:t>Quality Management Plan</w:t>
            </w:r>
            <w:r>
              <w:rPr>
                <w:webHidden/>
              </w:rPr>
              <w:tab/>
            </w:r>
            <w:r>
              <w:rPr>
                <w:webHidden/>
              </w:rPr>
              <w:fldChar w:fldCharType="begin"/>
            </w:r>
            <w:r>
              <w:rPr>
                <w:webHidden/>
              </w:rPr>
              <w:instrText xml:space="preserve"> PAGEREF _Toc192874653 \h </w:instrText>
            </w:r>
            <w:r>
              <w:rPr>
                <w:webHidden/>
              </w:rPr>
            </w:r>
            <w:r>
              <w:rPr>
                <w:webHidden/>
              </w:rPr>
              <w:fldChar w:fldCharType="separate"/>
            </w:r>
            <w:r>
              <w:rPr>
                <w:webHidden/>
              </w:rPr>
              <w:t>9</w:t>
            </w:r>
            <w:r>
              <w:rPr>
                <w:webHidden/>
              </w:rPr>
              <w:fldChar w:fldCharType="end"/>
            </w:r>
          </w:hyperlink>
        </w:p>
        <w:p w14:paraId="48DACBD0" w14:textId="242A3E3A" w:rsidR="00274557" w:rsidRDefault="00274557">
          <w:pPr>
            <w:pStyle w:val="TOC3"/>
            <w:rPr>
              <w:rFonts w:asciiTheme="minorHAnsi" w:hAnsiTheme="minorHAnsi"/>
              <w:sz w:val="22"/>
            </w:rPr>
          </w:pPr>
          <w:hyperlink w:anchor="_Toc192874654" w:history="1">
            <w:r>
              <w:rPr>
                <w:rStyle w:val="Hyperlink"/>
                <w:bCs/>
              </w:rPr>
              <w:t>1.4.8</w:t>
            </w:r>
            <w:r>
              <w:rPr>
                <w:rFonts w:asciiTheme="minorHAnsi" w:hAnsiTheme="minorHAnsi"/>
                <w:sz w:val="22"/>
              </w:rPr>
              <w:tab/>
            </w:r>
            <w:r>
              <w:rPr>
                <w:rStyle w:val="Hyperlink"/>
              </w:rPr>
              <w:t>Deliverable Management Plan</w:t>
            </w:r>
            <w:r>
              <w:rPr>
                <w:webHidden/>
              </w:rPr>
              <w:tab/>
            </w:r>
            <w:r>
              <w:rPr>
                <w:webHidden/>
              </w:rPr>
              <w:fldChar w:fldCharType="begin"/>
            </w:r>
            <w:r>
              <w:rPr>
                <w:webHidden/>
              </w:rPr>
              <w:instrText xml:space="preserve"> PAGEREF _Toc192874654 \h </w:instrText>
            </w:r>
            <w:r>
              <w:rPr>
                <w:webHidden/>
              </w:rPr>
            </w:r>
            <w:r>
              <w:rPr>
                <w:webHidden/>
              </w:rPr>
              <w:fldChar w:fldCharType="separate"/>
            </w:r>
            <w:r>
              <w:rPr>
                <w:webHidden/>
              </w:rPr>
              <w:t>9</w:t>
            </w:r>
            <w:r>
              <w:rPr>
                <w:webHidden/>
              </w:rPr>
              <w:fldChar w:fldCharType="end"/>
            </w:r>
          </w:hyperlink>
        </w:p>
        <w:p w14:paraId="0CC9BF16" w14:textId="1D5D91E3" w:rsidR="00274557" w:rsidRDefault="00274557">
          <w:pPr>
            <w:pStyle w:val="TOC1"/>
            <w:rPr>
              <w:rFonts w:asciiTheme="minorHAnsi" w:eastAsiaTheme="minorEastAsia" w:hAnsiTheme="minorHAnsi"/>
              <w:b w:val="0"/>
              <w:kern w:val="2"/>
              <w:sz w:val="22"/>
              <w14:ligatures w14:val="standardContextual"/>
            </w:rPr>
          </w:pPr>
          <w:hyperlink w:anchor="_Toc192874655" w:history="1">
            <w:r>
              <w:rPr>
                <w:rStyle w:val="Hyperlink"/>
              </w:rPr>
              <w:t>2</w:t>
            </w:r>
            <w:r>
              <w:rPr>
                <w:rFonts w:asciiTheme="minorHAnsi" w:eastAsiaTheme="minorEastAsia" w:hAnsiTheme="minorHAnsi"/>
                <w:b w:val="0"/>
                <w:kern w:val="2"/>
                <w:sz w:val="22"/>
                <w14:ligatures w14:val="standardContextual"/>
              </w:rPr>
              <w:tab/>
            </w:r>
            <w:r>
              <w:rPr>
                <w:rStyle w:val="Hyperlink"/>
              </w:rPr>
              <w:t>Software Development Life Cycle Methodology</w:t>
            </w:r>
            <w:r>
              <w:rPr>
                <w:webHidden/>
              </w:rPr>
              <w:tab/>
            </w:r>
            <w:r>
              <w:rPr>
                <w:webHidden/>
              </w:rPr>
              <w:fldChar w:fldCharType="begin"/>
            </w:r>
            <w:r>
              <w:rPr>
                <w:webHidden/>
              </w:rPr>
              <w:instrText xml:space="preserve"> PAGEREF _Toc192874655 \h </w:instrText>
            </w:r>
            <w:r>
              <w:rPr>
                <w:webHidden/>
              </w:rPr>
            </w:r>
            <w:r>
              <w:rPr>
                <w:webHidden/>
              </w:rPr>
              <w:fldChar w:fldCharType="separate"/>
            </w:r>
            <w:r>
              <w:rPr>
                <w:webHidden/>
              </w:rPr>
              <w:t>11</w:t>
            </w:r>
            <w:r>
              <w:rPr>
                <w:webHidden/>
              </w:rPr>
              <w:fldChar w:fldCharType="end"/>
            </w:r>
          </w:hyperlink>
        </w:p>
        <w:p w14:paraId="32B45E46" w14:textId="1672673D" w:rsidR="00274557" w:rsidRDefault="00274557">
          <w:pPr>
            <w:pStyle w:val="TOC2"/>
            <w:rPr>
              <w:rFonts w:asciiTheme="minorHAnsi" w:eastAsiaTheme="minorEastAsia" w:hAnsiTheme="minorHAnsi"/>
              <w:b w:val="0"/>
              <w:kern w:val="2"/>
              <w:sz w:val="22"/>
              <w:lang w:val="en-US"/>
              <w14:ligatures w14:val="standardContextual"/>
            </w:rPr>
          </w:pPr>
          <w:hyperlink w:anchor="_Toc192874656" w:history="1">
            <w:r>
              <w:rPr>
                <w:rStyle w:val="Hyperlink"/>
              </w:rPr>
              <w:t>2.1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_Toc192874656 \h </w:instrText>
            </w:r>
            <w:r>
              <w:rPr>
                <w:webHidden/>
              </w:rPr>
            </w:r>
            <w:r>
              <w:rPr>
                <w:webHidden/>
              </w:rPr>
              <w:fldChar w:fldCharType="separate"/>
            </w:r>
            <w:r>
              <w:rPr>
                <w:webHidden/>
              </w:rPr>
              <w:t>11</w:t>
            </w:r>
            <w:r>
              <w:rPr>
                <w:webHidden/>
              </w:rPr>
              <w:fldChar w:fldCharType="end"/>
            </w:r>
          </w:hyperlink>
        </w:p>
        <w:p w14:paraId="4C916E82" w14:textId="09781D6F" w:rsidR="00274557" w:rsidRDefault="00274557">
          <w:pPr>
            <w:pStyle w:val="TOC2"/>
            <w:rPr>
              <w:rFonts w:asciiTheme="minorHAnsi" w:eastAsiaTheme="minorEastAsia" w:hAnsiTheme="minorHAnsi"/>
              <w:b w:val="0"/>
              <w:kern w:val="2"/>
              <w:sz w:val="22"/>
              <w:lang w:val="en-US"/>
              <w14:ligatures w14:val="standardContextual"/>
            </w:rPr>
          </w:pPr>
          <w:hyperlink w:anchor="_Toc192874657" w:history="1">
            <w:r>
              <w:rPr>
                <w:rStyle w:val="Hyperlink"/>
              </w:rPr>
              <w:t>2.2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_Toc192874657 \h </w:instrText>
            </w:r>
            <w:r>
              <w:rPr>
                <w:webHidden/>
              </w:rPr>
            </w:r>
            <w:r>
              <w:rPr>
                <w:webHidden/>
              </w:rPr>
              <w:fldChar w:fldCharType="separate"/>
            </w:r>
            <w:r>
              <w:rPr>
                <w:webHidden/>
              </w:rPr>
              <w:t>11</w:t>
            </w:r>
            <w:r>
              <w:rPr>
                <w:webHidden/>
              </w:rPr>
              <w:fldChar w:fldCharType="end"/>
            </w:r>
          </w:hyperlink>
        </w:p>
        <w:p w14:paraId="02494B38" w14:textId="2A3705AE" w:rsidR="00274557" w:rsidRDefault="00274557">
          <w:pPr>
            <w:pStyle w:val="TOC2"/>
            <w:rPr>
              <w:rFonts w:asciiTheme="minorHAnsi" w:eastAsiaTheme="minorEastAsia" w:hAnsiTheme="minorHAnsi"/>
              <w:b w:val="0"/>
              <w:kern w:val="2"/>
              <w:sz w:val="22"/>
              <w:lang w:val="en-US"/>
              <w14:ligatures w14:val="standardContextual"/>
            </w:rPr>
          </w:pPr>
          <w:hyperlink w:anchor="_Toc192874658" w:history="1">
            <w:r>
              <w:rPr>
                <w:rStyle w:val="Hyperlink"/>
              </w:rPr>
              <w:t>2.3</w:t>
            </w:r>
            <w:r>
              <w:rPr>
                <w:rFonts w:asciiTheme="minorHAnsi" w:eastAsiaTheme="minorEastAsia" w:hAnsiTheme="minorHAnsi"/>
                <w:b w:val="0"/>
                <w:kern w:val="2"/>
                <w:sz w:val="22"/>
                <w:lang w:val="en-US"/>
                <w14:ligatures w14:val="standardContextual"/>
              </w:rPr>
              <w:tab/>
            </w:r>
            <w:r>
              <w:rPr>
                <w:rStyle w:val="Hyperlink"/>
              </w:rPr>
              <w:t>MECM SDLC Methodology Overview</w:t>
            </w:r>
            <w:r>
              <w:rPr>
                <w:webHidden/>
              </w:rPr>
              <w:tab/>
            </w:r>
            <w:r>
              <w:rPr>
                <w:webHidden/>
              </w:rPr>
              <w:fldChar w:fldCharType="begin"/>
            </w:r>
            <w:r>
              <w:rPr>
                <w:webHidden/>
              </w:rPr>
              <w:instrText xml:space="preserve"> PAGEREF _Toc192874658 \h </w:instrText>
            </w:r>
            <w:r>
              <w:rPr>
                <w:webHidden/>
              </w:rPr>
            </w:r>
            <w:r>
              <w:rPr>
                <w:webHidden/>
              </w:rPr>
              <w:fldChar w:fldCharType="separate"/>
            </w:r>
            <w:r>
              <w:rPr>
                <w:webHidden/>
              </w:rPr>
              <w:t>11</w:t>
            </w:r>
            <w:r>
              <w:rPr>
                <w:webHidden/>
              </w:rPr>
              <w:fldChar w:fldCharType="end"/>
            </w:r>
          </w:hyperlink>
        </w:p>
        <w:p w14:paraId="50D75C97" w14:textId="4EE66D3F" w:rsidR="00274557" w:rsidRDefault="00274557">
          <w:pPr>
            <w:pStyle w:val="TOC2"/>
            <w:rPr>
              <w:rFonts w:asciiTheme="minorHAnsi" w:eastAsiaTheme="minorEastAsia" w:hAnsiTheme="minorHAnsi"/>
              <w:b w:val="0"/>
              <w:kern w:val="2"/>
              <w:sz w:val="22"/>
              <w:lang w:val="en-US"/>
              <w14:ligatures w14:val="standardContextual"/>
            </w:rPr>
          </w:pPr>
          <w:hyperlink w:anchor="_Toc192874659" w:history="1">
            <w:r>
              <w:rPr>
                <w:rStyle w:val="Hyperlink"/>
              </w:rPr>
              <w:t>2.4</w:t>
            </w:r>
            <w:r>
              <w:rPr>
                <w:rFonts w:asciiTheme="minorHAnsi" w:eastAsiaTheme="minorEastAsia" w:hAnsiTheme="minorHAnsi"/>
                <w:b w:val="0"/>
                <w:kern w:val="2"/>
                <w:sz w:val="22"/>
                <w:lang w:val="en-US"/>
                <w14:ligatures w14:val="standardContextual"/>
              </w:rPr>
              <w:tab/>
            </w:r>
            <w:r>
              <w:rPr>
                <w:rStyle w:val="Hyperlink"/>
              </w:rPr>
              <w:t>MECM SDLC Methodology Detail</w:t>
            </w:r>
            <w:r>
              <w:rPr>
                <w:webHidden/>
              </w:rPr>
              <w:tab/>
            </w:r>
            <w:r>
              <w:rPr>
                <w:webHidden/>
              </w:rPr>
              <w:fldChar w:fldCharType="begin"/>
            </w:r>
            <w:r>
              <w:rPr>
                <w:webHidden/>
              </w:rPr>
              <w:instrText xml:space="preserve"> PAGEREF _Toc192874659 \h </w:instrText>
            </w:r>
            <w:r>
              <w:rPr>
                <w:webHidden/>
              </w:rPr>
            </w:r>
            <w:r>
              <w:rPr>
                <w:webHidden/>
              </w:rPr>
              <w:fldChar w:fldCharType="separate"/>
            </w:r>
            <w:r>
              <w:rPr>
                <w:webHidden/>
              </w:rPr>
              <w:t>20</w:t>
            </w:r>
            <w:r>
              <w:rPr>
                <w:webHidden/>
              </w:rPr>
              <w:fldChar w:fldCharType="end"/>
            </w:r>
          </w:hyperlink>
        </w:p>
        <w:p w14:paraId="7107DE01" w14:textId="08096AE2" w:rsidR="00274557" w:rsidRDefault="00274557">
          <w:pPr>
            <w:pStyle w:val="TOC2"/>
            <w:rPr>
              <w:rFonts w:asciiTheme="minorHAnsi" w:eastAsiaTheme="minorEastAsia" w:hAnsiTheme="minorHAnsi"/>
              <w:b w:val="0"/>
              <w:kern w:val="2"/>
              <w:sz w:val="22"/>
              <w:lang w:val="en-US"/>
              <w14:ligatures w14:val="standardContextual"/>
            </w:rPr>
          </w:pPr>
          <w:hyperlink w:anchor="_Toc192874660" w:history="1">
            <w:r>
              <w:rPr>
                <w:rStyle w:val="Hyperlink"/>
              </w:rPr>
              <w:t>2.5</w:t>
            </w:r>
            <w:r>
              <w:rPr>
                <w:rFonts w:asciiTheme="minorHAnsi" w:eastAsiaTheme="minorEastAsia" w:hAnsiTheme="minorHAnsi"/>
                <w:b w:val="0"/>
                <w:kern w:val="2"/>
                <w:sz w:val="22"/>
                <w:lang w:val="en-US"/>
                <w14:ligatures w14:val="standardContextual"/>
              </w:rPr>
              <w:tab/>
            </w:r>
            <w:r>
              <w:rPr>
                <w:rStyle w:val="Hyperlink"/>
              </w:rPr>
              <w:t>Project Wave Planning Phase</w:t>
            </w:r>
            <w:r>
              <w:rPr>
                <w:webHidden/>
              </w:rPr>
              <w:tab/>
            </w:r>
            <w:r>
              <w:rPr>
                <w:webHidden/>
              </w:rPr>
              <w:fldChar w:fldCharType="begin"/>
            </w:r>
            <w:r>
              <w:rPr>
                <w:webHidden/>
              </w:rPr>
              <w:instrText xml:space="preserve"> PAGEREF _Toc192874660 \h </w:instrText>
            </w:r>
            <w:r>
              <w:rPr>
                <w:webHidden/>
              </w:rPr>
            </w:r>
            <w:r>
              <w:rPr>
                <w:webHidden/>
              </w:rPr>
              <w:fldChar w:fldCharType="separate"/>
            </w:r>
            <w:r>
              <w:rPr>
                <w:webHidden/>
              </w:rPr>
              <w:t>20</w:t>
            </w:r>
            <w:r>
              <w:rPr>
                <w:webHidden/>
              </w:rPr>
              <w:fldChar w:fldCharType="end"/>
            </w:r>
          </w:hyperlink>
        </w:p>
        <w:p w14:paraId="55DCB257" w14:textId="2A82F4D3" w:rsidR="00274557" w:rsidRDefault="00274557">
          <w:pPr>
            <w:pStyle w:val="TOC3"/>
            <w:rPr>
              <w:rFonts w:asciiTheme="minorHAnsi" w:hAnsiTheme="minorHAnsi"/>
              <w:sz w:val="22"/>
            </w:rPr>
          </w:pPr>
          <w:hyperlink w:anchor="_Toc192874661" w:history="1">
            <w:r>
              <w:rPr>
                <w:rStyle w:val="Hyperlink"/>
                <w:bCs/>
              </w:rPr>
              <w:t>2.5.1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_Toc192874661 \h </w:instrText>
            </w:r>
            <w:r>
              <w:rPr>
                <w:webHidden/>
              </w:rPr>
            </w:r>
            <w:r>
              <w:rPr>
                <w:webHidden/>
              </w:rPr>
              <w:fldChar w:fldCharType="separate"/>
            </w:r>
            <w:r>
              <w:rPr>
                <w:webHidden/>
              </w:rPr>
              <w:t>20</w:t>
            </w:r>
            <w:r>
              <w:rPr>
                <w:webHidden/>
              </w:rPr>
              <w:fldChar w:fldCharType="end"/>
            </w:r>
          </w:hyperlink>
        </w:p>
        <w:p w14:paraId="0EB295B1" w14:textId="04F32402" w:rsidR="00274557" w:rsidRDefault="00274557">
          <w:pPr>
            <w:pStyle w:val="TOC3"/>
            <w:rPr>
              <w:rFonts w:asciiTheme="minorHAnsi" w:hAnsiTheme="minorHAnsi"/>
              <w:sz w:val="22"/>
            </w:rPr>
          </w:pPr>
          <w:hyperlink w:anchor="_Toc192874662" w:history="1">
            <w:r>
              <w:rPr>
                <w:rStyle w:val="Hyperlink"/>
                <w:bCs/>
              </w:rPr>
              <w:t>2.5.2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_Toc192874662 \h </w:instrText>
            </w:r>
            <w:r>
              <w:rPr>
                <w:webHidden/>
              </w:rPr>
            </w:r>
            <w:r>
              <w:rPr>
                <w:webHidden/>
              </w:rPr>
              <w:fldChar w:fldCharType="separate"/>
            </w:r>
            <w:r>
              <w:rPr>
                <w:webHidden/>
              </w:rPr>
              <w:t>21</w:t>
            </w:r>
            <w:r>
              <w:rPr>
                <w:webHidden/>
              </w:rPr>
              <w:fldChar w:fldCharType="end"/>
            </w:r>
          </w:hyperlink>
        </w:p>
        <w:p w14:paraId="742551DB" w14:textId="1B644345" w:rsidR="00274557" w:rsidRDefault="00274557">
          <w:pPr>
            <w:pStyle w:val="TOC3"/>
            <w:rPr>
              <w:rFonts w:asciiTheme="minorHAnsi" w:hAnsiTheme="minorHAnsi"/>
              <w:sz w:val="22"/>
            </w:rPr>
          </w:pPr>
          <w:hyperlink w:anchor="_Toc192874663" w:history="1">
            <w:r>
              <w:rPr>
                <w:rStyle w:val="Hyperlink"/>
                <w:bCs/>
              </w:rPr>
              <w:t>2.5.3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_Toc192874663 \h </w:instrText>
            </w:r>
            <w:r>
              <w:rPr>
                <w:webHidden/>
              </w:rPr>
            </w:r>
            <w:r>
              <w:rPr>
                <w:webHidden/>
              </w:rPr>
              <w:fldChar w:fldCharType="separate"/>
            </w:r>
            <w:r>
              <w:rPr>
                <w:webHidden/>
              </w:rPr>
              <w:t>21</w:t>
            </w:r>
            <w:r>
              <w:rPr>
                <w:webHidden/>
              </w:rPr>
              <w:fldChar w:fldCharType="end"/>
            </w:r>
          </w:hyperlink>
        </w:p>
        <w:p w14:paraId="56C2455B" w14:textId="407FA04C" w:rsidR="00274557" w:rsidRDefault="00274557">
          <w:pPr>
            <w:pStyle w:val="TOC3"/>
            <w:rPr>
              <w:rFonts w:asciiTheme="minorHAnsi" w:hAnsiTheme="minorHAnsi"/>
              <w:sz w:val="22"/>
            </w:rPr>
          </w:pPr>
          <w:hyperlink w:anchor="_Toc192874664" w:history="1">
            <w:r>
              <w:rPr>
                <w:rStyle w:val="Hyperlink"/>
                <w:bCs/>
              </w:rPr>
              <w:t>2.5.4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_Toc192874664 \h </w:instrText>
            </w:r>
            <w:r>
              <w:rPr>
                <w:webHidden/>
              </w:rPr>
            </w:r>
            <w:r>
              <w:rPr>
                <w:webHidden/>
              </w:rPr>
              <w:fldChar w:fldCharType="separate"/>
            </w:r>
            <w:r>
              <w:rPr>
                <w:webHidden/>
              </w:rPr>
              <w:t>23</w:t>
            </w:r>
            <w:r>
              <w:rPr>
                <w:webHidden/>
              </w:rPr>
              <w:fldChar w:fldCharType="end"/>
            </w:r>
          </w:hyperlink>
        </w:p>
        <w:p w14:paraId="75EB8534" w14:textId="78BCF507" w:rsidR="00274557" w:rsidRDefault="00274557">
          <w:pPr>
            <w:pStyle w:val="TOC3"/>
            <w:rPr>
              <w:rFonts w:asciiTheme="minorHAnsi" w:hAnsiTheme="minorHAnsi"/>
              <w:sz w:val="22"/>
            </w:rPr>
          </w:pPr>
          <w:hyperlink w:anchor="_Toc192874665" w:history="1">
            <w:r>
              <w:rPr>
                <w:rStyle w:val="Hyperlink"/>
                <w:rFonts w:eastAsia="Times New Roman"/>
                <w:bCs/>
              </w:rPr>
              <w:t>2.5.5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_Toc192874665 \h </w:instrText>
            </w:r>
            <w:r>
              <w:rPr>
                <w:webHidden/>
              </w:rPr>
            </w:r>
            <w:r>
              <w:rPr>
                <w:webHidden/>
              </w:rPr>
              <w:fldChar w:fldCharType="separate"/>
            </w:r>
            <w:r>
              <w:rPr>
                <w:webHidden/>
              </w:rPr>
              <w:t>23</w:t>
            </w:r>
            <w:r>
              <w:rPr>
                <w:webHidden/>
              </w:rPr>
              <w:fldChar w:fldCharType="end"/>
            </w:r>
          </w:hyperlink>
        </w:p>
        <w:p w14:paraId="6762113A" w14:textId="288CEE9C" w:rsidR="00274557" w:rsidRDefault="00274557">
          <w:pPr>
            <w:pStyle w:val="TOC3"/>
            <w:rPr>
              <w:rFonts w:asciiTheme="minorHAnsi" w:hAnsiTheme="minorHAnsi"/>
              <w:sz w:val="22"/>
            </w:rPr>
          </w:pPr>
          <w:hyperlink w:anchor="_Toc192874666" w:history="1">
            <w:r>
              <w:rPr>
                <w:rStyle w:val="Hyperlink"/>
                <w:bCs/>
              </w:rPr>
              <w:t>2.5.6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_Toc192874666 \h </w:instrText>
            </w:r>
            <w:r>
              <w:rPr>
                <w:webHidden/>
              </w:rPr>
            </w:r>
            <w:r>
              <w:rPr>
                <w:webHidden/>
              </w:rPr>
              <w:fldChar w:fldCharType="separate"/>
            </w:r>
            <w:r>
              <w:rPr>
                <w:webHidden/>
              </w:rPr>
              <w:t>24</w:t>
            </w:r>
            <w:r>
              <w:rPr>
                <w:webHidden/>
              </w:rPr>
              <w:fldChar w:fldCharType="end"/>
            </w:r>
          </w:hyperlink>
        </w:p>
        <w:p w14:paraId="383BC94B" w14:textId="1CD4D880" w:rsidR="00274557" w:rsidRDefault="00274557">
          <w:pPr>
            <w:pStyle w:val="TOC2"/>
            <w:rPr>
              <w:rFonts w:asciiTheme="minorHAnsi" w:eastAsiaTheme="minorEastAsia" w:hAnsiTheme="minorHAnsi"/>
              <w:b w:val="0"/>
              <w:kern w:val="2"/>
              <w:sz w:val="22"/>
              <w:lang w:val="en-US"/>
              <w14:ligatures w14:val="standardContextual"/>
            </w:rPr>
          </w:pPr>
          <w:hyperlink w:anchor="_Toc192874667" w:history="1">
            <w:r>
              <w:rPr>
                <w:rStyle w:val="Hyperlink"/>
              </w:rPr>
              <w:t>2.6</w:t>
            </w:r>
            <w:r>
              <w:rPr>
                <w:rFonts w:asciiTheme="minorHAnsi" w:eastAsiaTheme="minorEastAsia" w:hAnsiTheme="minorHAnsi"/>
                <w:b w:val="0"/>
                <w:kern w:val="2"/>
                <w:sz w:val="22"/>
                <w:lang w:val="en-US"/>
                <w14:ligatures w14:val="standardContextual"/>
              </w:rPr>
              <w:tab/>
            </w:r>
            <w:r>
              <w:rPr>
                <w:rStyle w:val="Hyperlink"/>
              </w:rPr>
              <w:t>Business Process Analysis Phase</w:t>
            </w:r>
            <w:r>
              <w:rPr>
                <w:webHidden/>
              </w:rPr>
              <w:tab/>
            </w:r>
            <w:r>
              <w:rPr>
                <w:webHidden/>
              </w:rPr>
              <w:fldChar w:fldCharType="begin"/>
            </w:r>
            <w:r>
              <w:rPr>
                <w:webHidden/>
              </w:rPr>
              <w:instrText xml:space="preserve"> PAGEREF _Toc192874667 \h </w:instrText>
            </w:r>
            <w:r>
              <w:rPr>
                <w:webHidden/>
              </w:rPr>
            </w:r>
            <w:r>
              <w:rPr>
                <w:webHidden/>
              </w:rPr>
              <w:fldChar w:fldCharType="separate"/>
            </w:r>
            <w:r>
              <w:rPr>
                <w:webHidden/>
              </w:rPr>
              <w:t>24</w:t>
            </w:r>
            <w:r>
              <w:rPr>
                <w:webHidden/>
              </w:rPr>
              <w:fldChar w:fldCharType="end"/>
            </w:r>
          </w:hyperlink>
        </w:p>
        <w:p w14:paraId="68A61950" w14:textId="3573BC06" w:rsidR="00274557" w:rsidRDefault="00274557">
          <w:pPr>
            <w:pStyle w:val="TOC3"/>
            <w:rPr>
              <w:rFonts w:asciiTheme="minorHAnsi" w:hAnsiTheme="minorHAnsi"/>
              <w:sz w:val="22"/>
            </w:rPr>
          </w:pPr>
          <w:hyperlink w:anchor="_Toc192874668" w:history="1">
            <w:r>
              <w:rPr>
                <w:rStyle w:val="Hyperlink"/>
                <w:bCs/>
              </w:rPr>
              <w:t>2.6.1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_Toc192874668 \h </w:instrText>
            </w:r>
            <w:r>
              <w:rPr>
                <w:webHidden/>
              </w:rPr>
            </w:r>
            <w:r>
              <w:rPr>
                <w:webHidden/>
              </w:rPr>
              <w:fldChar w:fldCharType="separate"/>
            </w:r>
            <w:r>
              <w:rPr>
                <w:webHidden/>
              </w:rPr>
              <w:t>24</w:t>
            </w:r>
            <w:r>
              <w:rPr>
                <w:webHidden/>
              </w:rPr>
              <w:fldChar w:fldCharType="end"/>
            </w:r>
          </w:hyperlink>
        </w:p>
        <w:p w14:paraId="4725EE73" w14:textId="1F3E680B" w:rsidR="00274557" w:rsidRDefault="00274557">
          <w:pPr>
            <w:pStyle w:val="TOC3"/>
            <w:rPr>
              <w:rFonts w:asciiTheme="minorHAnsi" w:hAnsiTheme="minorHAnsi"/>
              <w:sz w:val="22"/>
            </w:rPr>
          </w:pPr>
          <w:hyperlink w:anchor="_Toc192874669" w:history="1">
            <w:r>
              <w:rPr>
                <w:rStyle w:val="Hyperlink"/>
                <w:bCs/>
              </w:rPr>
              <w:t>2.6.2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_Toc192874669 \h </w:instrText>
            </w:r>
            <w:r>
              <w:rPr>
                <w:webHidden/>
              </w:rPr>
            </w:r>
            <w:r>
              <w:rPr>
                <w:webHidden/>
              </w:rPr>
              <w:fldChar w:fldCharType="separate"/>
            </w:r>
            <w:r>
              <w:rPr>
                <w:webHidden/>
              </w:rPr>
              <w:t>25</w:t>
            </w:r>
            <w:r>
              <w:rPr>
                <w:webHidden/>
              </w:rPr>
              <w:fldChar w:fldCharType="end"/>
            </w:r>
          </w:hyperlink>
        </w:p>
        <w:p w14:paraId="15398A32" w14:textId="57AF0816" w:rsidR="00274557" w:rsidRDefault="00274557">
          <w:pPr>
            <w:pStyle w:val="TOC3"/>
            <w:rPr>
              <w:rFonts w:asciiTheme="minorHAnsi" w:hAnsiTheme="minorHAnsi"/>
              <w:sz w:val="22"/>
            </w:rPr>
          </w:pPr>
          <w:hyperlink w:anchor="_Toc192874670" w:history="1">
            <w:r>
              <w:rPr>
                <w:rStyle w:val="Hyperlink"/>
                <w:bCs/>
              </w:rPr>
              <w:t>2.6.3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_Toc192874670 \h </w:instrText>
            </w:r>
            <w:r>
              <w:rPr>
                <w:webHidden/>
              </w:rPr>
            </w:r>
            <w:r>
              <w:rPr>
                <w:webHidden/>
              </w:rPr>
              <w:fldChar w:fldCharType="separate"/>
            </w:r>
            <w:r>
              <w:rPr>
                <w:webHidden/>
              </w:rPr>
              <w:t>25</w:t>
            </w:r>
            <w:r>
              <w:rPr>
                <w:webHidden/>
              </w:rPr>
              <w:fldChar w:fldCharType="end"/>
            </w:r>
          </w:hyperlink>
        </w:p>
        <w:p w14:paraId="5B776087" w14:textId="767D1C16" w:rsidR="00274557" w:rsidRDefault="00274557">
          <w:pPr>
            <w:pStyle w:val="TOC3"/>
            <w:rPr>
              <w:rFonts w:asciiTheme="minorHAnsi" w:hAnsiTheme="minorHAnsi"/>
              <w:sz w:val="22"/>
            </w:rPr>
          </w:pPr>
          <w:hyperlink w:anchor="_Toc192874671" w:history="1">
            <w:r>
              <w:rPr>
                <w:rStyle w:val="Hyperlink"/>
                <w:bCs/>
              </w:rPr>
              <w:t>2.6.4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_Toc192874671 \h </w:instrText>
            </w:r>
            <w:r>
              <w:rPr>
                <w:webHidden/>
              </w:rPr>
            </w:r>
            <w:r>
              <w:rPr>
                <w:webHidden/>
              </w:rPr>
              <w:fldChar w:fldCharType="separate"/>
            </w:r>
            <w:r>
              <w:rPr>
                <w:webHidden/>
              </w:rPr>
              <w:t>28</w:t>
            </w:r>
            <w:r>
              <w:rPr>
                <w:webHidden/>
              </w:rPr>
              <w:fldChar w:fldCharType="end"/>
            </w:r>
          </w:hyperlink>
        </w:p>
        <w:p w14:paraId="0DBEF602" w14:textId="508D22AB" w:rsidR="00274557" w:rsidRDefault="00274557">
          <w:pPr>
            <w:pStyle w:val="TOC3"/>
            <w:rPr>
              <w:rFonts w:asciiTheme="minorHAnsi" w:hAnsiTheme="minorHAnsi"/>
              <w:sz w:val="22"/>
            </w:rPr>
          </w:pPr>
          <w:hyperlink w:anchor="_Toc192874672" w:history="1">
            <w:r>
              <w:rPr>
                <w:rStyle w:val="Hyperlink"/>
                <w:bCs/>
              </w:rPr>
              <w:t>2.6.5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_Toc192874672 \h </w:instrText>
            </w:r>
            <w:r>
              <w:rPr>
                <w:webHidden/>
              </w:rPr>
            </w:r>
            <w:r>
              <w:rPr>
                <w:webHidden/>
              </w:rPr>
              <w:fldChar w:fldCharType="separate"/>
            </w:r>
            <w:r>
              <w:rPr>
                <w:webHidden/>
              </w:rPr>
              <w:t>28</w:t>
            </w:r>
            <w:r>
              <w:rPr>
                <w:webHidden/>
              </w:rPr>
              <w:fldChar w:fldCharType="end"/>
            </w:r>
          </w:hyperlink>
        </w:p>
        <w:p w14:paraId="71F071D5" w14:textId="4E018201" w:rsidR="00274557" w:rsidRDefault="00274557">
          <w:pPr>
            <w:pStyle w:val="TOC3"/>
            <w:rPr>
              <w:rFonts w:asciiTheme="minorHAnsi" w:hAnsiTheme="minorHAnsi"/>
              <w:sz w:val="22"/>
            </w:rPr>
          </w:pPr>
          <w:hyperlink w:anchor="_Toc192874673" w:history="1">
            <w:r>
              <w:rPr>
                <w:rStyle w:val="Hyperlink"/>
                <w:bCs/>
              </w:rPr>
              <w:t>2.6.6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_Toc192874673 \h </w:instrText>
            </w:r>
            <w:r>
              <w:rPr>
                <w:webHidden/>
              </w:rPr>
            </w:r>
            <w:r>
              <w:rPr>
                <w:webHidden/>
              </w:rPr>
              <w:fldChar w:fldCharType="separate"/>
            </w:r>
            <w:r>
              <w:rPr>
                <w:webHidden/>
              </w:rPr>
              <w:t>28</w:t>
            </w:r>
            <w:r>
              <w:rPr>
                <w:webHidden/>
              </w:rPr>
              <w:fldChar w:fldCharType="end"/>
            </w:r>
          </w:hyperlink>
        </w:p>
        <w:p w14:paraId="304BE0AE" w14:textId="3A8291B5" w:rsidR="00274557" w:rsidRDefault="00274557">
          <w:pPr>
            <w:pStyle w:val="TOC2"/>
            <w:rPr>
              <w:rFonts w:asciiTheme="minorHAnsi" w:eastAsiaTheme="minorEastAsia" w:hAnsiTheme="minorHAnsi"/>
              <w:b w:val="0"/>
              <w:kern w:val="2"/>
              <w:sz w:val="22"/>
              <w:lang w:val="en-US"/>
              <w14:ligatures w14:val="standardContextual"/>
            </w:rPr>
          </w:pPr>
          <w:hyperlink w:anchor="_Toc192874674" w:history="1">
            <w:r>
              <w:rPr>
                <w:rStyle w:val="Hyperlink"/>
              </w:rPr>
              <w:t>2.7</w:t>
            </w:r>
            <w:r>
              <w:rPr>
                <w:rFonts w:asciiTheme="minorHAnsi" w:eastAsiaTheme="minorEastAsia" w:hAnsiTheme="minorHAnsi"/>
                <w:b w:val="0"/>
                <w:kern w:val="2"/>
                <w:sz w:val="22"/>
                <w:lang w:val="en-US"/>
                <w14:ligatures w14:val="standardContextual"/>
              </w:rPr>
              <w:tab/>
            </w:r>
            <w:r>
              <w:rPr>
                <w:rStyle w:val="Hyperlink"/>
              </w:rPr>
              <w:t>Requirements Gathering Phase</w:t>
            </w:r>
            <w:r>
              <w:rPr>
                <w:webHidden/>
              </w:rPr>
              <w:tab/>
            </w:r>
            <w:r>
              <w:rPr>
                <w:webHidden/>
              </w:rPr>
              <w:fldChar w:fldCharType="begin"/>
            </w:r>
            <w:r>
              <w:rPr>
                <w:webHidden/>
              </w:rPr>
              <w:instrText xml:space="preserve"> PAGEREF _Toc192874674 \h </w:instrText>
            </w:r>
            <w:r>
              <w:rPr>
                <w:webHidden/>
              </w:rPr>
            </w:r>
            <w:r>
              <w:rPr>
                <w:webHidden/>
              </w:rPr>
              <w:fldChar w:fldCharType="separate"/>
            </w:r>
            <w:r>
              <w:rPr>
                <w:webHidden/>
              </w:rPr>
              <w:t>28</w:t>
            </w:r>
            <w:r>
              <w:rPr>
                <w:webHidden/>
              </w:rPr>
              <w:fldChar w:fldCharType="end"/>
            </w:r>
          </w:hyperlink>
        </w:p>
        <w:p w14:paraId="69F7470E" w14:textId="737C7088" w:rsidR="00274557" w:rsidRDefault="00274557">
          <w:pPr>
            <w:pStyle w:val="TOC3"/>
            <w:rPr>
              <w:rFonts w:asciiTheme="minorHAnsi" w:hAnsiTheme="minorHAnsi"/>
              <w:sz w:val="22"/>
            </w:rPr>
          </w:pPr>
          <w:hyperlink w:anchor="_Toc192874675" w:history="1">
            <w:r>
              <w:rPr>
                <w:rStyle w:val="Hyperlink"/>
                <w:bCs/>
              </w:rPr>
              <w:t>2.7.1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_Toc192874675 \h </w:instrText>
            </w:r>
            <w:r>
              <w:rPr>
                <w:webHidden/>
              </w:rPr>
            </w:r>
            <w:r>
              <w:rPr>
                <w:webHidden/>
              </w:rPr>
              <w:fldChar w:fldCharType="separate"/>
            </w:r>
            <w:r>
              <w:rPr>
                <w:webHidden/>
              </w:rPr>
              <w:t>28</w:t>
            </w:r>
            <w:r>
              <w:rPr>
                <w:webHidden/>
              </w:rPr>
              <w:fldChar w:fldCharType="end"/>
            </w:r>
          </w:hyperlink>
        </w:p>
        <w:p w14:paraId="4E6DC7BD" w14:textId="7C16FED3" w:rsidR="00274557" w:rsidRDefault="00274557">
          <w:pPr>
            <w:pStyle w:val="TOC3"/>
            <w:rPr>
              <w:rFonts w:asciiTheme="minorHAnsi" w:hAnsiTheme="minorHAnsi"/>
              <w:sz w:val="22"/>
            </w:rPr>
          </w:pPr>
          <w:hyperlink w:anchor="_Toc192874676" w:history="1">
            <w:r>
              <w:rPr>
                <w:rStyle w:val="Hyperlink"/>
                <w:bCs/>
              </w:rPr>
              <w:t>2.7.2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_Toc192874676 \h </w:instrText>
            </w:r>
            <w:r>
              <w:rPr>
                <w:webHidden/>
              </w:rPr>
            </w:r>
            <w:r>
              <w:rPr>
                <w:webHidden/>
              </w:rPr>
              <w:fldChar w:fldCharType="separate"/>
            </w:r>
            <w:r>
              <w:rPr>
                <w:webHidden/>
              </w:rPr>
              <w:t>29</w:t>
            </w:r>
            <w:r>
              <w:rPr>
                <w:webHidden/>
              </w:rPr>
              <w:fldChar w:fldCharType="end"/>
            </w:r>
          </w:hyperlink>
        </w:p>
        <w:p w14:paraId="64948DD3" w14:textId="5E1F039E" w:rsidR="00274557" w:rsidRDefault="00274557">
          <w:pPr>
            <w:pStyle w:val="TOC3"/>
            <w:rPr>
              <w:rFonts w:asciiTheme="minorHAnsi" w:hAnsiTheme="minorHAnsi"/>
              <w:sz w:val="22"/>
            </w:rPr>
          </w:pPr>
          <w:hyperlink w:anchor="_Toc192874677" w:history="1">
            <w:r>
              <w:rPr>
                <w:rStyle w:val="Hyperlink"/>
                <w:bCs/>
              </w:rPr>
              <w:t>2.7.3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_Toc192874677 \h </w:instrText>
            </w:r>
            <w:r>
              <w:rPr>
                <w:webHidden/>
              </w:rPr>
            </w:r>
            <w:r>
              <w:rPr>
                <w:webHidden/>
              </w:rPr>
              <w:fldChar w:fldCharType="separate"/>
            </w:r>
            <w:r>
              <w:rPr>
                <w:webHidden/>
              </w:rPr>
              <w:t>29</w:t>
            </w:r>
            <w:r>
              <w:rPr>
                <w:webHidden/>
              </w:rPr>
              <w:fldChar w:fldCharType="end"/>
            </w:r>
          </w:hyperlink>
        </w:p>
        <w:p w14:paraId="3211D4A2" w14:textId="14F1159D" w:rsidR="00274557" w:rsidRDefault="00274557">
          <w:pPr>
            <w:pStyle w:val="TOC3"/>
            <w:rPr>
              <w:rFonts w:asciiTheme="minorHAnsi" w:hAnsiTheme="minorHAnsi"/>
              <w:sz w:val="22"/>
            </w:rPr>
          </w:pPr>
          <w:hyperlink w:anchor="_Toc192874678" w:history="1">
            <w:r>
              <w:rPr>
                <w:rStyle w:val="Hyperlink"/>
                <w:bCs/>
              </w:rPr>
              <w:t>2.7.4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_Toc192874678 \h </w:instrText>
            </w:r>
            <w:r>
              <w:rPr>
                <w:webHidden/>
              </w:rPr>
            </w:r>
            <w:r>
              <w:rPr>
                <w:webHidden/>
              </w:rPr>
              <w:fldChar w:fldCharType="separate"/>
            </w:r>
            <w:r>
              <w:rPr>
                <w:webHidden/>
              </w:rPr>
              <w:t>34</w:t>
            </w:r>
            <w:r>
              <w:rPr>
                <w:webHidden/>
              </w:rPr>
              <w:fldChar w:fldCharType="end"/>
            </w:r>
          </w:hyperlink>
        </w:p>
        <w:p w14:paraId="711723CA" w14:textId="7A51FAFF" w:rsidR="00274557" w:rsidRDefault="00274557">
          <w:pPr>
            <w:pStyle w:val="TOC3"/>
            <w:rPr>
              <w:rFonts w:asciiTheme="minorHAnsi" w:hAnsiTheme="minorHAnsi"/>
              <w:sz w:val="22"/>
            </w:rPr>
          </w:pPr>
          <w:hyperlink w:anchor="_Toc192874679" w:history="1">
            <w:r>
              <w:rPr>
                <w:rStyle w:val="Hyperlink"/>
                <w:bCs/>
              </w:rPr>
              <w:t>2.7.5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_Toc192874679 \h </w:instrText>
            </w:r>
            <w:r>
              <w:rPr>
                <w:webHidden/>
              </w:rPr>
            </w:r>
            <w:r>
              <w:rPr>
                <w:webHidden/>
              </w:rPr>
              <w:fldChar w:fldCharType="separate"/>
            </w:r>
            <w:r>
              <w:rPr>
                <w:webHidden/>
              </w:rPr>
              <w:t>34</w:t>
            </w:r>
            <w:r>
              <w:rPr>
                <w:webHidden/>
              </w:rPr>
              <w:fldChar w:fldCharType="end"/>
            </w:r>
          </w:hyperlink>
        </w:p>
        <w:p w14:paraId="1FC4ED87" w14:textId="7B75EEAC" w:rsidR="00274557" w:rsidRDefault="00274557">
          <w:pPr>
            <w:pStyle w:val="TOC3"/>
            <w:rPr>
              <w:rFonts w:asciiTheme="minorHAnsi" w:hAnsiTheme="minorHAnsi"/>
              <w:sz w:val="22"/>
            </w:rPr>
          </w:pPr>
          <w:hyperlink w:anchor="_Toc192874680" w:history="1">
            <w:r>
              <w:rPr>
                <w:rStyle w:val="Hyperlink"/>
                <w:bCs/>
              </w:rPr>
              <w:t>2.7.6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_Toc192874680 \h </w:instrText>
            </w:r>
            <w:r>
              <w:rPr>
                <w:webHidden/>
              </w:rPr>
            </w:r>
            <w:r>
              <w:rPr>
                <w:webHidden/>
              </w:rPr>
              <w:fldChar w:fldCharType="separate"/>
            </w:r>
            <w:r>
              <w:rPr>
                <w:webHidden/>
              </w:rPr>
              <w:t>34</w:t>
            </w:r>
            <w:r>
              <w:rPr>
                <w:webHidden/>
              </w:rPr>
              <w:fldChar w:fldCharType="end"/>
            </w:r>
          </w:hyperlink>
        </w:p>
        <w:p w14:paraId="60D9124F" w14:textId="24941C9B" w:rsidR="00274557" w:rsidRDefault="00274557">
          <w:pPr>
            <w:pStyle w:val="TOC2"/>
            <w:rPr>
              <w:rFonts w:asciiTheme="minorHAnsi" w:eastAsiaTheme="minorEastAsia" w:hAnsiTheme="minorHAnsi"/>
              <w:b w:val="0"/>
              <w:kern w:val="2"/>
              <w:sz w:val="22"/>
              <w:lang w:val="en-US"/>
              <w14:ligatures w14:val="standardContextual"/>
            </w:rPr>
          </w:pPr>
          <w:hyperlink w:anchor="_Toc192874681" w:history="1">
            <w:r>
              <w:rPr>
                <w:rStyle w:val="Hyperlink"/>
              </w:rPr>
              <w:t>2.8</w:t>
            </w:r>
            <w:r>
              <w:rPr>
                <w:rFonts w:asciiTheme="minorHAnsi" w:eastAsiaTheme="minorEastAsia" w:hAnsiTheme="minorHAnsi"/>
                <w:b w:val="0"/>
                <w:kern w:val="2"/>
                <w:sz w:val="22"/>
                <w:lang w:val="en-US"/>
                <w14:ligatures w14:val="standardContextual"/>
              </w:rPr>
              <w:tab/>
            </w:r>
            <w:r>
              <w:rPr>
                <w:rStyle w:val="Hyperlink"/>
              </w:rPr>
              <w:t>Prioritization and Iteration/Bundle Planning</w:t>
            </w:r>
            <w:r>
              <w:rPr>
                <w:webHidden/>
              </w:rPr>
              <w:tab/>
            </w:r>
            <w:r>
              <w:rPr>
                <w:webHidden/>
              </w:rPr>
              <w:fldChar w:fldCharType="begin"/>
            </w:r>
            <w:r>
              <w:rPr>
                <w:webHidden/>
              </w:rPr>
              <w:instrText xml:space="preserve"> PAGEREF _Toc192874681 \h </w:instrText>
            </w:r>
            <w:r>
              <w:rPr>
                <w:webHidden/>
              </w:rPr>
            </w:r>
            <w:r>
              <w:rPr>
                <w:webHidden/>
              </w:rPr>
              <w:fldChar w:fldCharType="separate"/>
            </w:r>
            <w:r>
              <w:rPr>
                <w:webHidden/>
              </w:rPr>
              <w:t>34</w:t>
            </w:r>
            <w:r>
              <w:rPr>
                <w:webHidden/>
              </w:rPr>
              <w:fldChar w:fldCharType="end"/>
            </w:r>
          </w:hyperlink>
        </w:p>
        <w:p w14:paraId="02A0385F" w14:textId="7E664B74" w:rsidR="00274557" w:rsidRDefault="00274557">
          <w:pPr>
            <w:pStyle w:val="TOC3"/>
            <w:rPr>
              <w:rFonts w:asciiTheme="minorHAnsi" w:hAnsiTheme="minorHAnsi"/>
              <w:sz w:val="22"/>
            </w:rPr>
          </w:pPr>
          <w:hyperlink w:anchor="_Toc192874682" w:history="1">
            <w:r>
              <w:rPr>
                <w:rStyle w:val="Hyperlink"/>
                <w:bCs/>
              </w:rPr>
              <w:t>2.8.1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_Toc192874682 \h </w:instrText>
            </w:r>
            <w:r>
              <w:rPr>
                <w:webHidden/>
              </w:rPr>
            </w:r>
            <w:r>
              <w:rPr>
                <w:webHidden/>
              </w:rPr>
              <w:fldChar w:fldCharType="separate"/>
            </w:r>
            <w:r>
              <w:rPr>
                <w:webHidden/>
              </w:rPr>
              <w:t>34</w:t>
            </w:r>
            <w:r>
              <w:rPr>
                <w:webHidden/>
              </w:rPr>
              <w:fldChar w:fldCharType="end"/>
            </w:r>
          </w:hyperlink>
        </w:p>
        <w:p w14:paraId="579F358E" w14:textId="024A7B9E" w:rsidR="00274557" w:rsidRDefault="00274557">
          <w:pPr>
            <w:pStyle w:val="TOC3"/>
            <w:rPr>
              <w:rFonts w:asciiTheme="minorHAnsi" w:hAnsiTheme="minorHAnsi"/>
              <w:sz w:val="22"/>
            </w:rPr>
          </w:pPr>
          <w:hyperlink w:anchor="_Toc192874683" w:history="1">
            <w:r>
              <w:rPr>
                <w:rStyle w:val="Hyperlink"/>
                <w:bCs/>
              </w:rPr>
              <w:t>2.8.2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_Toc192874683 \h </w:instrText>
            </w:r>
            <w:r>
              <w:rPr>
                <w:webHidden/>
              </w:rPr>
            </w:r>
            <w:r>
              <w:rPr>
                <w:webHidden/>
              </w:rPr>
              <w:fldChar w:fldCharType="separate"/>
            </w:r>
            <w:r>
              <w:rPr>
                <w:webHidden/>
              </w:rPr>
              <w:t>34</w:t>
            </w:r>
            <w:r>
              <w:rPr>
                <w:webHidden/>
              </w:rPr>
              <w:fldChar w:fldCharType="end"/>
            </w:r>
          </w:hyperlink>
        </w:p>
        <w:p w14:paraId="11D66667" w14:textId="2F2E39B3" w:rsidR="00274557" w:rsidRDefault="00274557">
          <w:pPr>
            <w:pStyle w:val="TOC3"/>
            <w:rPr>
              <w:rFonts w:asciiTheme="minorHAnsi" w:hAnsiTheme="minorHAnsi"/>
              <w:sz w:val="22"/>
            </w:rPr>
          </w:pPr>
          <w:hyperlink w:anchor="_Toc192874684" w:history="1">
            <w:r>
              <w:rPr>
                <w:rStyle w:val="Hyperlink"/>
                <w:bCs/>
              </w:rPr>
              <w:t>2.8.3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_Toc192874684 \h </w:instrText>
            </w:r>
            <w:r>
              <w:rPr>
                <w:webHidden/>
              </w:rPr>
            </w:r>
            <w:r>
              <w:rPr>
                <w:webHidden/>
              </w:rPr>
              <w:fldChar w:fldCharType="separate"/>
            </w:r>
            <w:r>
              <w:rPr>
                <w:webHidden/>
              </w:rPr>
              <w:t>35</w:t>
            </w:r>
            <w:r>
              <w:rPr>
                <w:webHidden/>
              </w:rPr>
              <w:fldChar w:fldCharType="end"/>
            </w:r>
          </w:hyperlink>
        </w:p>
        <w:p w14:paraId="6923316B" w14:textId="13211A8F" w:rsidR="00274557" w:rsidRDefault="00274557">
          <w:pPr>
            <w:pStyle w:val="TOC3"/>
            <w:rPr>
              <w:rFonts w:asciiTheme="minorHAnsi" w:hAnsiTheme="minorHAnsi"/>
              <w:sz w:val="22"/>
            </w:rPr>
          </w:pPr>
          <w:hyperlink w:anchor="_Toc192874685" w:history="1">
            <w:r>
              <w:rPr>
                <w:rStyle w:val="Hyperlink"/>
                <w:bCs/>
              </w:rPr>
              <w:t>2.8.4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_Toc192874685 \h </w:instrText>
            </w:r>
            <w:r>
              <w:rPr>
                <w:webHidden/>
              </w:rPr>
            </w:r>
            <w:r>
              <w:rPr>
                <w:webHidden/>
              </w:rPr>
              <w:fldChar w:fldCharType="separate"/>
            </w:r>
            <w:r>
              <w:rPr>
                <w:webHidden/>
              </w:rPr>
              <w:t>38</w:t>
            </w:r>
            <w:r>
              <w:rPr>
                <w:webHidden/>
              </w:rPr>
              <w:fldChar w:fldCharType="end"/>
            </w:r>
          </w:hyperlink>
        </w:p>
        <w:p w14:paraId="062BB1F6" w14:textId="038BDB5F" w:rsidR="00274557" w:rsidRDefault="00274557">
          <w:pPr>
            <w:pStyle w:val="TOC3"/>
            <w:rPr>
              <w:rFonts w:asciiTheme="minorHAnsi" w:hAnsiTheme="minorHAnsi"/>
              <w:sz w:val="22"/>
            </w:rPr>
          </w:pPr>
          <w:hyperlink w:anchor="_Toc192874686" w:history="1">
            <w:r>
              <w:rPr>
                <w:rStyle w:val="Hyperlink"/>
                <w:bCs/>
              </w:rPr>
              <w:t>2.8.5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_Toc192874686 \h </w:instrText>
            </w:r>
            <w:r>
              <w:rPr>
                <w:webHidden/>
              </w:rPr>
            </w:r>
            <w:r>
              <w:rPr>
                <w:webHidden/>
              </w:rPr>
              <w:fldChar w:fldCharType="separate"/>
            </w:r>
            <w:r>
              <w:rPr>
                <w:webHidden/>
              </w:rPr>
              <w:t>39</w:t>
            </w:r>
            <w:r>
              <w:rPr>
                <w:webHidden/>
              </w:rPr>
              <w:fldChar w:fldCharType="end"/>
            </w:r>
          </w:hyperlink>
        </w:p>
        <w:p w14:paraId="5556E6E9" w14:textId="3E128E01" w:rsidR="00274557" w:rsidRDefault="00274557">
          <w:pPr>
            <w:pStyle w:val="TOC3"/>
            <w:rPr>
              <w:rFonts w:asciiTheme="minorHAnsi" w:hAnsiTheme="minorHAnsi"/>
              <w:sz w:val="22"/>
            </w:rPr>
          </w:pPr>
          <w:hyperlink w:anchor="_Toc192874687" w:history="1">
            <w:r>
              <w:rPr>
                <w:rStyle w:val="Hyperlink"/>
                <w:bCs/>
              </w:rPr>
              <w:t>2.8.6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_Toc192874687 \h </w:instrText>
            </w:r>
            <w:r>
              <w:rPr>
                <w:webHidden/>
              </w:rPr>
            </w:r>
            <w:r>
              <w:rPr>
                <w:webHidden/>
              </w:rPr>
              <w:fldChar w:fldCharType="separate"/>
            </w:r>
            <w:r>
              <w:rPr>
                <w:webHidden/>
              </w:rPr>
              <w:t>39</w:t>
            </w:r>
            <w:r>
              <w:rPr>
                <w:webHidden/>
              </w:rPr>
              <w:fldChar w:fldCharType="end"/>
            </w:r>
          </w:hyperlink>
        </w:p>
        <w:p w14:paraId="01E5497F" w14:textId="5B485413" w:rsidR="00274557" w:rsidRDefault="00274557">
          <w:pPr>
            <w:pStyle w:val="TOC2"/>
            <w:rPr>
              <w:rFonts w:asciiTheme="minorHAnsi" w:eastAsiaTheme="minorEastAsia" w:hAnsiTheme="minorHAnsi"/>
              <w:b w:val="0"/>
              <w:kern w:val="2"/>
              <w:sz w:val="22"/>
              <w:lang w:val="en-US"/>
              <w14:ligatures w14:val="standardContextual"/>
            </w:rPr>
          </w:pPr>
          <w:hyperlink w:anchor="_Toc192874688" w:history="1">
            <w:r>
              <w:rPr>
                <w:rStyle w:val="Hyperlink"/>
              </w:rPr>
              <w:t>2.9</w:t>
            </w:r>
            <w:r>
              <w:rPr>
                <w:rFonts w:asciiTheme="minorHAnsi" w:eastAsiaTheme="minorEastAsia" w:hAnsiTheme="minorHAnsi"/>
                <w:b w:val="0"/>
                <w:kern w:val="2"/>
                <w:sz w:val="22"/>
                <w:lang w:val="en-US"/>
                <w14:ligatures w14:val="standardContextual"/>
              </w:rPr>
              <w:tab/>
            </w:r>
            <w:r>
              <w:rPr>
                <w:rStyle w:val="Hyperlink"/>
              </w:rPr>
              <w:t>Design Phase</w:t>
            </w:r>
            <w:r>
              <w:rPr>
                <w:webHidden/>
              </w:rPr>
              <w:tab/>
            </w:r>
            <w:r>
              <w:rPr>
                <w:webHidden/>
              </w:rPr>
              <w:fldChar w:fldCharType="begin"/>
            </w:r>
            <w:r>
              <w:rPr>
                <w:webHidden/>
              </w:rPr>
              <w:instrText xml:space="preserve"> PAGEREF _Toc192874688 \h </w:instrText>
            </w:r>
            <w:r>
              <w:rPr>
                <w:webHidden/>
              </w:rPr>
            </w:r>
            <w:r>
              <w:rPr>
                <w:webHidden/>
              </w:rPr>
              <w:fldChar w:fldCharType="separate"/>
            </w:r>
            <w:r>
              <w:rPr>
                <w:webHidden/>
              </w:rPr>
              <w:t>39</w:t>
            </w:r>
            <w:r>
              <w:rPr>
                <w:webHidden/>
              </w:rPr>
              <w:fldChar w:fldCharType="end"/>
            </w:r>
          </w:hyperlink>
        </w:p>
        <w:p w14:paraId="5441403D" w14:textId="6518BEE3" w:rsidR="00274557" w:rsidRDefault="00274557">
          <w:pPr>
            <w:pStyle w:val="TOC3"/>
            <w:rPr>
              <w:rFonts w:asciiTheme="minorHAnsi" w:hAnsiTheme="minorHAnsi"/>
              <w:sz w:val="22"/>
            </w:rPr>
          </w:pPr>
          <w:hyperlink w:anchor="_Toc192874689" w:history="1">
            <w:r>
              <w:rPr>
                <w:rStyle w:val="Hyperlink"/>
                <w:bCs/>
              </w:rPr>
              <w:t>2.9.1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_Toc192874689 \h </w:instrText>
            </w:r>
            <w:r>
              <w:rPr>
                <w:webHidden/>
              </w:rPr>
            </w:r>
            <w:r>
              <w:rPr>
                <w:webHidden/>
              </w:rPr>
              <w:fldChar w:fldCharType="separate"/>
            </w:r>
            <w:r>
              <w:rPr>
                <w:webHidden/>
              </w:rPr>
              <w:t>39</w:t>
            </w:r>
            <w:r>
              <w:rPr>
                <w:webHidden/>
              </w:rPr>
              <w:fldChar w:fldCharType="end"/>
            </w:r>
          </w:hyperlink>
        </w:p>
        <w:p w14:paraId="664A395B" w14:textId="7EA830C5" w:rsidR="00274557" w:rsidRDefault="00274557">
          <w:pPr>
            <w:pStyle w:val="TOC3"/>
            <w:rPr>
              <w:rFonts w:asciiTheme="minorHAnsi" w:hAnsiTheme="minorHAnsi"/>
              <w:sz w:val="22"/>
            </w:rPr>
          </w:pPr>
          <w:hyperlink w:anchor="_Toc192874690" w:history="1">
            <w:r>
              <w:rPr>
                <w:rStyle w:val="Hyperlink"/>
                <w:bCs/>
              </w:rPr>
              <w:t>2.9.2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_Toc192874690 \h </w:instrText>
            </w:r>
            <w:r>
              <w:rPr>
                <w:webHidden/>
              </w:rPr>
            </w:r>
            <w:r>
              <w:rPr>
                <w:webHidden/>
              </w:rPr>
              <w:fldChar w:fldCharType="separate"/>
            </w:r>
            <w:r>
              <w:rPr>
                <w:webHidden/>
              </w:rPr>
              <w:t>40</w:t>
            </w:r>
            <w:r>
              <w:rPr>
                <w:webHidden/>
              </w:rPr>
              <w:fldChar w:fldCharType="end"/>
            </w:r>
          </w:hyperlink>
        </w:p>
        <w:p w14:paraId="488736B1" w14:textId="57E79694" w:rsidR="00274557" w:rsidRDefault="00274557">
          <w:pPr>
            <w:pStyle w:val="TOC3"/>
            <w:rPr>
              <w:rFonts w:asciiTheme="minorHAnsi" w:hAnsiTheme="minorHAnsi"/>
              <w:sz w:val="22"/>
            </w:rPr>
          </w:pPr>
          <w:hyperlink w:anchor="_Toc192874691" w:history="1">
            <w:r>
              <w:rPr>
                <w:rStyle w:val="Hyperlink"/>
                <w:bCs/>
              </w:rPr>
              <w:t>2.9.3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_Toc192874691 \h </w:instrText>
            </w:r>
            <w:r>
              <w:rPr>
                <w:webHidden/>
              </w:rPr>
            </w:r>
            <w:r>
              <w:rPr>
                <w:webHidden/>
              </w:rPr>
              <w:fldChar w:fldCharType="separate"/>
            </w:r>
            <w:r>
              <w:rPr>
                <w:webHidden/>
              </w:rPr>
              <w:t>40</w:t>
            </w:r>
            <w:r>
              <w:rPr>
                <w:webHidden/>
              </w:rPr>
              <w:fldChar w:fldCharType="end"/>
            </w:r>
          </w:hyperlink>
        </w:p>
        <w:p w14:paraId="064A0DF4" w14:textId="054CCB53" w:rsidR="00274557" w:rsidRDefault="00274557">
          <w:pPr>
            <w:pStyle w:val="TOC3"/>
            <w:rPr>
              <w:rFonts w:asciiTheme="minorHAnsi" w:hAnsiTheme="minorHAnsi"/>
              <w:sz w:val="22"/>
            </w:rPr>
          </w:pPr>
          <w:hyperlink w:anchor="_Toc192874692" w:history="1">
            <w:r>
              <w:rPr>
                <w:rStyle w:val="Hyperlink"/>
                <w:bCs/>
              </w:rPr>
              <w:t>2.9.4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_Toc192874692 \h </w:instrText>
            </w:r>
            <w:r>
              <w:rPr>
                <w:webHidden/>
              </w:rPr>
            </w:r>
            <w:r>
              <w:rPr>
                <w:webHidden/>
              </w:rPr>
              <w:fldChar w:fldCharType="separate"/>
            </w:r>
            <w:r>
              <w:rPr>
                <w:webHidden/>
              </w:rPr>
              <w:t>45</w:t>
            </w:r>
            <w:r>
              <w:rPr>
                <w:webHidden/>
              </w:rPr>
              <w:fldChar w:fldCharType="end"/>
            </w:r>
          </w:hyperlink>
        </w:p>
        <w:p w14:paraId="62060176" w14:textId="4A42910F" w:rsidR="00274557" w:rsidRDefault="00274557">
          <w:pPr>
            <w:pStyle w:val="TOC3"/>
            <w:rPr>
              <w:rFonts w:asciiTheme="minorHAnsi" w:hAnsiTheme="minorHAnsi"/>
              <w:sz w:val="22"/>
            </w:rPr>
          </w:pPr>
          <w:hyperlink w:anchor="_Toc192874693" w:history="1">
            <w:r>
              <w:rPr>
                <w:rStyle w:val="Hyperlink"/>
                <w:bCs/>
              </w:rPr>
              <w:t>2.9.5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_Toc192874693 \h </w:instrText>
            </w:r>
            <w:r>
              <w:rPr>
                <w:webHidden/>
              </w:rPr>
            </w:r>
            <w:r>
              <w:rPr>
                <w:webHidden/>
              </w:rPr>
              <w:fldChar w:fldCharType="separate"/>
            </w:r>
            <w:r>
              <w:rPr>
                <w:webHidden/>
              </w:rPr>
              <w:t>45</w:t>
            </w:r>
            <w:r>
              <w:rPr>
                <w:webHidden/>
              </w:rPr>
              <w:fldChar w:fldCharType="end"/>
            </w:r>
          </w:hyperlink>
        </w:p>
        <w:p w14:paraId="1B72F212" w14:textId="2B0F7D53" w:rsidR="00274557" w:rsidRDefault="00274557">
          <w:pPr>
            <w:pStyle w:val="TOC3"/>
            <w:rPr>
              <w:rFonts w:asciiTheme="minorHAnsi" w:hAnsiTheme="minorHAnsi"/>
              <w:sz w:val="22"/>
            </w:rPr>
          </w:pPr>
          <w:hyperlink w:anchor="_Toc192874694" w:history="1">
            <w:r>
              <w:rPr>
                <w:rStyle w:val="Hyperlink"/>
                <w:bCs/>
              </w:rPr>
              <w:t>2.9.6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_Toc192874694 \h </w:instrText>
            </w:r>
            <w:r>
              <w:rPr>
                <w:webHidden/>
              </w:rPr>
            </w:r>
            <w:r>
              <w:rPr>
                <w:webHidden/>
              </w:rPr>
              <w:fldChar w:fldCharType="separate"/>
            </w:r>
            <w:r>
              <w:rPr>
                <w:webHidden/>
              </w:rPr>
              <w:t>45</w:t>
            </w:r>
            <w:r>
              <w:rPr>
                <w:webHidden/>
              </w:rPr>
              <w:fldChar w:fldCharType="end"/>
            </w:r>
          </w:hyperlink>
        </w:p>
        <w:p w14:paraId="23BD6D17" w14:textId="6B632DD6" w:rsidR="00274557" w:rsidRDefault="00274557">
          <w:pPr>
            <w:pStyle w:val="TOC2"/>
            <w:rPr>
              <w:rFonts w:asciiTheme="minorHAnsi" w:eastAsiaTheme="minorEastAsia" w:hAnsiTheme="minorHAnsi"/>
              <w:b w:val="0"/>
              <w:kern w:val="2"/>
              <w:sz w:val="22"/>
              <w:lang w:val="en-US"/>
              <w14:ligatures w14:val="standardContextual"/>
            </w:rPr>
          </w:pPr>
          <w:hyperlink w:anchor="_Toc192874695" w:history="1">
            <w:r>
              <w:rPr>
                <w:rStyle w:val="Hyperlink"/>
              </w:rPr>
              <w:t>2.10</w:t>
            </w:r>
            <w:r>
              <w:rPr>
                <w:rFonts w:asciiTheme="minorHAnsi" w:eastAsiaTheme="minorEastAsia" w:hAnsiTheme="minorHAnsi"/>
                <w:b w:val="0"/>
                <w:kern w:val="2"/>
                <w:sz w:val="22"/>
                <w:lang w:val="en-US"/>
                <w14:ligatures w14:val="standardContextual"/>
              </w:rPr>
              <w:tab/>
            </w:r>
            <w:r>
              <w:rPr>
                <w:rStyle w:val="Hyperlink"/>
              </w:rPr>
              <w:t>Development Phase</w:t>
            </w:r>
            <w:r>
              <w:rPr>
                <w:webHidden/>
              </w:rPr>
              <w:tab/>
            </w:r>
            <w:r>
              <w:rPr>
                <w:webHidden/>
              </w:rPr>
              <w:fldChar w:fldCharType="begin"/>
            </w:r>
            <w:r>
              <w:rPr>
                <w:webHidden/>
              </w:rPr>
              <w:instrText xml:space="preserve"> PAGEREF _Toc192874695 \h </w:instrText>
            </w:r>
            <w:r>
              <w:rPr>
                <w:webHidden/>
              </w:rPr>
            </w:r>
            <w:r>
              <w:rPr>
                <w:webHidden/>
              </w:rPr>
              <w:fldChar w:fldCharType="separate"/>
            </w:r>
            <w:r>
              <w:rPr>
                <w:webHidden/>
              </w:rPr>
              <w:t>46</w:t>
            </w:r>
            <w:r>
              <w:rPr>
                <w:webHidden/>
              </w:rPr>
              <w:fldChar w:fldCharType="end"/>
            </w:r>
          </w:hyperlink>
        </w:p>
        <w:p w14:paraId="350EC8F3" w14:textId="2003216F" w:rsidR="00274557" w:rsidRDefault="00274557">
          <w:pPr>
            <w:pStyle w:val="TOC3"/>
            <w:rPr>
              <w:rFonts w:asciiTheme="minorHAnsi" w:hAnsiTheme="minorHAnsi"/>
              <w:sz w:val="22"/>
            </w:rPr>
          </w:pPr>
          <w:hyperlink w:anchor="_Toc192874696" w:history="1">
            <w:r>
              <w:rPr>
                <w:rStyle w:val="Hyperlink"/>
                <w:bCs/>
              </w:rPr>
              <w:t>2.10.1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_Toc192874696 \h </w:instrText>
            </w:r>
            <w:r>
              <w:rPr>
                <w:webHidden/>
              </w:rPr>
            </w:r>
            <w:r>
              <w:rPr>
                <w:webHidden/>
              </w:rPr>
              <w:fldChar w:fldCharType="separate"/>
            </w:r>
            <w:r>
              <w:rPr>
                <w:webHidden/>
              </w:rPr>
              <w:t>46</w:t>
            </w:r>
            <w:r>
              <w:rPr>
                <w:webHidden/>
              </w:rPr>
              <w:fldChar w:fldCharType="end"/>
            </w:r>
          </w:hyperlink>
        </w:p>
        <w:p w14:paraId="133FD198" w14:textId="3B27C13E" w:rsidR="00274557" w:rsidRDefault="00274557">
          <w:pPr>
            <w:pStyle w:val="TOC3"/>
            <w:rPr>
              <w:rFonts w:asciiTheme="minorHAnsi" w:hAnsiTheme="minorHAnsi"/>
              <w:sz w:val="22"/>
            </w:rPr>
          </w:pPr>
          <w:hyperlink w:anchor="_Toc192874697" w:history="1">
            <w:r>
              <w:rPr>
                <w:rStyle w:val="Hyperlink"/>
                <w:bCs/>
              </w:rPr>
              <w:t>2.10.2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_Toc192874697 \h </w:instrText>
            </w:r>
            <w:r>
              <w:rPr>
                <w:webHidden/>
              </w:rPr>
            </w:r>
            <w:r>
              <w:rPr>
                <w:webHidden/>
              </w:rPr>
              <w:fldChar w:fldCharType="separate"/>
            </w:r>
            <w:r>
              <w:rPr>
                <w:webHidden/>
              </w:rPr>
              <w:t>46</w:t>
            </w:r>
            <w:r>
              <w:rPr>
                <w:webHidden/>
              </w:rPr>
              <w:fldChar w:fldCharType="end"/>
            </w:r>
          </w:hyperlink>
        </w:p>
        <w:p w14:paraId="12587A5B" w14:textId="2B52DCF3" w:rsidR="00274557" w:rsidRDefault="00274557">
          <w:pPr>
            <w:pStyle w:val="TOC3"/>
            <w:rPr>
              <w:rFonts w:asciiTheme="minorHAnsi" w:hAnsiTheme="minorHAnsi"/>
              <w:sz w:val="22"/>
            </w:rPr>
          </w:pPr>
          <w:hyperlink w:anchor="_Toc192874698" w:history="1">
            <w:r>
              <w:rPr>
                <w:rStyle w:val="Hyperlink"/>
                <w:bCs/>
              </w:rPr>
              <w:t>2.10.3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_Toc192874698 \h </w:instrText>
            </w:r>
            <w:r>
              <w:rPr>
                <w:webHidden/>
              </w:rPr>
            </w:r>
            <w:r>
              <w:rPr>
                <w:webHidden/>
              </w:rPr>
              <w:fldChar w:fldCharType="separate"/>
            </w:r>
            <w:r>
              <w:rPr>
                <w:webHidden/>
              </w:rPr>
              <w:t>46</w:t>
            </w:r>
            <w:r>
              <w:rPr>
                <w:webHidden/>
              </w:rPr>
              <w:fldChar w:fldCharType="end"/>
            </w:r>
          </w:hyperlink>
        </w:p>
        <w:p w14:paraId="675AA922" w14:textId="250A4620" w:rsidR="00274557" w:rsidRDefault="00274557">
          <w:pPr>
            <w:pStyle w:val="TOC3"/>
            <w:rPr>
              <w:rFonts w:asciiTheme="minorHAnsi" w:hAnsiTheme="minorHAnsi"/>
              <w:sz w:val="22"/>
            </w:rPr>
          </w:pPr>
          <w:hyperlink w:anchor="_Toc192874699" w:history="1">
            <w:r>
              <w:rPr>
                <w:rStyle w:val="Hyperlink"/>
                <w:bCs/>
              </w:rPr>
              <w:t>2.10.4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_Toc192874699 \h </w:instrText>
            </w:r>
            <w:r>
              <w:rPr>
                <w:webHidden/>
              </w:rPr>
            </w:r>
            <w:r>
              <w:rPr>
                <w:webHidden/>
              </w:rPr>
              <w:fldChar w:fldCharType="separate"/>
            </w:r>
            <w:r>
              <w:rPr>
                <w:webHidden/>
              </w:rPr>
              <w:t>51</w:t>
            </w:r>
            <w:r>
              <w:rPr>
                <w:webHidden/>
              </w:rPr>
              <w:fldChar w:fldCharType="end"/>
            </w:r>
          </w:hyperlink>
        </w:p>
        <w:p w14:paraId="1C176069" w14:textId="065A1DC5" w:rsidR="00274557" w:rsidRDefault="00274557">
          <w:pPr>
            <w:pStyle w:val="TOC3"/>
            <w:rPr>
              <w:rFonts w:asciiTheme="minorHAnsi" w:hAnsiTheme="minorHAnsi"/>
              <w:sz w:val="22"/>
            </w:rPr>
          </w:pPr>
          <w:hyperlink w:anchor="_Toc192874700" w:history="1">
            <w:r>
              <w:rPr>
                <w:rStyle w:val="Hyperlink"/>
                <w:bCs/>
              </w:rPr>
              <w:t>2.10.5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_Toc192874700 \h </w:instrText>
            </w:r>
            <w:r>
              <w:rPr>
                <w:webHidden/>
              </w:rPr>
            </w:r>
            <w:r>
              <w:rPr>
                <w:webHidden/>
              </w:rPr>
              <w:fldChar w:fldCharType="separate"/>
            </w:r>
            <w:r>
              <w:rPr>
                <w:webHidden/>
              </w:rPr>
              <w:t>51</w:t>
            </w:r>
            <w:r>
              <w:rPr>
                <w:webHidden/>
              </w:rPr>
              <w:fldChar w:fldCharType="end"/>
            </w:r>
          </w:hyperlink>
        </w:p>
        <w:p w14:paraId="47DA5491" w14:textId="4902CEB1" w:rsidR="00274557" w:rsidRDefault="00274557">
          <w:pPr>
            <w:pStyle w:val="TOC3"/>
            <w:rPr>
              <w:rFonts w:asciiTheme="minorHAnsi" w:hAnsiTheme="minorHAnsi"/>
              <w:sz w:val="22"/>
            </w:rPr>
          </w:pPr>
          <w:hyperlink w:anchor="_Toc192874701" w:history="1">
            <w:r>
              <w:rPr>
                <w:rStyle w:val="Hyperlink"/>
                <w:bCs/>
              </w:rPr>
              <w:t>2.10.6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_Toc192874701 \h </w:instrText>
            </w:r>
            <w:r>
              <w:rPr>
                <w:webHidden/>
              </w:rPr>
            </w:r>
            <w:r>
              <w:rPr>
                <w:webHidden/>
              </w:rPr>
              <w:fldChar w:fldCharType="separate"/>
            </w:r>
            <w:r>
              <w:rPr>
                <w:webHidden/>
              </w:rPr>
              <w:t>52</w:t>
            </w:r>
            <w:r>
              <w:rPr>
                <w:webHidden/>
              </w:rPr>
              <w:fldChar w:fldCharType="end"/>
            </w:r>
          </w:hyperlink>
        </w:p>
        <w:p w14:paraId="1DEB0FE7" w14:textId="220EFF0A" w:rsidR="00274557" w:rsidRDefault="00274557">
          <w:pPr>
            <w:pStyle w:val="TOC2"/>
            <w:rPr>
              <w:rFonts w:asciiTheme="minorHAnsi" w:eastAsiaTheme="minorEastAsia" w:hAnsiTheme="minorHAnsi"/>
              <w:b w:val="0"/>
              <w:kern w:val="2"/>
              <w:sz w:val="22"/>
              <w:lang w:val="en-US"/>
              <w14:ligatures w14:val="standardContextual"/>
            </w:rPr>
          </w:pPr>
          <w:hyperlink w:anchor="_Toc192874702" w:history="1">
            <w:r>
              <w:rPr>
                <w:rStyle w:val="Hyperlink"/>
              </w:rPr>
              <w:t>2.11</w:t>
            </w:r>
            <w:r>
              <w:rPr>
                <w:rFonts w:asciiTheme="minorHAnsi" w:eastAsiaTheme="minorEastAsia" w:hAnsiTheme="minorHAnsi"/>
                <w:b w:val="0"/>
                <w:kern w:val="2"/>
                <w:sz w:val="22"/>
                <w:lang w:val="en-US"/>
                <w14:ligatures w14:val="standardContextual"/>
              </w:rPr>
              <w:tab/>
            </w:r>
            <w:r>
              <w:rPr>
                <w:rStyle w:val="Hyperlink"/>
              </w:rPr>
              <w:t>System Integration Test (SIT) Phase</w:t>
            </w:r>
            <w:r>
              <w:rPr>
                <w:webHidden/>
              </w:rPr>
              <w:tab/>
            </w:r>
            <w:r>
              <w:rPr>
                <w:webHidden/>
              </w:rPr>
              <w:fldChar w:fldCharType="begin"/>
            </w:r>
            <w:r>
              <w:rPr>
                <w:webHidden/>
              </w:rPr>
              <w:instrText xml:space="preserve"> PAGEREF _Toc192874702 \h </w:instrText>
            </w:r>
            <w:r>
              <w:rPr>
                <w:webHidden/>
              </w:rPr>
            </w:r>
            <w:r>
              <w:rPr>
                <w:webHidden/>
              </w:rPr>
              <w:fldChar w:fldCharType="separate"/>
            </w:r>
            <w:r>
              <w:rPr>
                <w:webHidden/>
              </w:rPr>
              <w:t>52</w:t>
            </w:r>
            <w:r>
              <w:rPr>
                <w:webHidden/>
              </w:rPr>
              <w:fldChar w:fldCharType="end"/>
            </w:r>
          </w:hyperlink>
        </w:p>
        <w:p w14:paraId="5DCDC07F" w14:textId="52103B43" w:rsidR="00274557" w:rsidRDefault="00274557">
          <w:pPr>
            <w:pStyle w:val="TOC3"/>
            <w:rPr>
              <w:rFonts w:asciiTheme="minorHAnsi" w:hAnsiTheme="minorHAnsi"/>
              <w:sz w:val="22"/>
            </w:rPr>
          </w:pPr>
          <w:hyperlink w:anchor="_Toc192874703" w:history="1">
            <w:r>
              <w:rPr>
                <w:rStyle w:val="Hyperlink"/>
                <w:bCs/>
              </w:rPr>
              <w:t>2.11.1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_Toc192874703 \h </w:instrText>
            </w:r>
            <w:r>
              <w:rPr>
                <w:webHidden/>
              </w:rPr>
            </w:r>
            <w:r>
              <w:rPr>
                <w:webHidden/>
              </w:rPr>
              <w:fldChar w:fldCharType="separate"/>
            </w:r>
            <w:r>
              <w:rPr>
                <w:webHidden/>
              </w:rPr>
              <w:t>52</w:t>
            </w:r>
            <w:r>
              <w:rPr>
                <w:webHidden/>
              </w:rPr>
              <w:fldChar w:fldCharType="end"/>
            </w:r>
          </w:hyperlink>
        </w:p>
        <w:p w14:paraId="395EAF17" w14:textId="74EEFCFB" w:rsidR="00274557" w:rsidRDefault="00274557">
          <w:pPr>
            <w:pStyle w:val="TOC3"/>
            <w:rPr>
              <w:rFonts w:asciiTheme="minorHAnsi" w:hAnsiTheme="minorHAnsi"/>
              <w:sz w:val="22"/>
            </w:rPr>
          </w:pPr>
          <w:hyperlink w:anchor="_Toc192874704" w:history="1">
            <w:r>
              <w:rPr>
                <w:rStyle w:val="Hyperlink"/>
                <w:bCs/>
              </w:rPr>
              <w:t>2.11.2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_Toc192874704 \h </w:instrText>
            </w:r>
            <w:r>
              <w:rPr>
                <w:webHidden/>
              </w:rPr>
            </w:r>
            <w:r>
              <w:rPr>
                <w:webHidden/>
              </w:rPr>
              <w:fldChar w:fldCharType="separate"/>
            </w:r>
            <w:r>
              <w:rPr>
                <w:webHidden/>
              </w:rPr>
              <w:t>53</w:t>
            </w:r>
            <w:r>
              <w:rPr>
                <w:webHidden/>
              </w:rPr>
              <w:fldChar w:fldCharType="end"/>
            </w:r>
          </w:hyperlink>
        </w:p>
        <w:p w14:paraId="006FCEDD" w14:textId="3B962C5A" w:rsidR="00274557" w:rsidRDefault="00274557">
          <w:pPr>
            <w:pStyle w:val="TOC3"/>
            <w:rPr>
              <w:rFonts w:asciiTheme="minorHAnsi" w:hAnsiTheme="minorHAnsi"/>
              <w:sz w:val="22"/>
            </w:rPr>
          </w:pPr>
          <w:hyperlink w:anchor="_Toc192874705" w:history="1">
            <w:r>
              <w:rPr>
                <w:rStyle w:val="Hyperlink"/>
                <w:bCs/>
              </w:rPr>
              <w:t>2.11.3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_Toc192874705 \h </w:instrText>
            </w:r>
            <w:r>
              <w:rPr>
                <w:webHidden/>
              </w:rPr>
            </w:r>
            <w:r>
              <w:rPr>
                <w:webHidden/>
              </w:rPr>
              <w:fldChar w:fldCharType="separate"/>
            </w:r>
            <w:r>
              <w:rPr>
                <w:webHidden/>
              </w:rPr>
              <w:t>53</w:t>
            </w:r>
            <w:r>
              <w:rPr>
                <w:webHidden/>
              </w:rPr>
              <w:fldChar w:fldCharType="end"/>
            </w:r>
          </w:hyperlink>
        </w:p>
        <w:p w14:paraId="5C5FAF07" w14:textId="342C73CA" w:rsidR="00274557" w:rsidRDefault="00274557">
          <w:pPr>
            <w:pStyle w:val="TOC3"/>
            <w:rPr>
              <w:rFonts w:asciiTheme="minorHAnsi" w:hAnsiTheme="minorHAnsi"/>
              <w:sz w:val="22"/>
            </w:rPr>
          </w:pPr>
          <w:hyperlink w:anchor="_Toc192874706" w:history="1">
            <w:r>
              <w:rPr>
                <w:rStyle w:val="Hyperlink"/>
                <w:bCs/>
              </w:rPr>
              <w:t>2.11.4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_Toc192874706 \h </w:instrText>
            </w:r>
            <w:r>
              <w:rPr>
                <w:webHidden/>
              </w:rPr>
            </w:r>
            <w:r>
              <w:rPr>
                <w:webHidden/>
              </w:rPr>
              <w:fldChar w:fldCharType="separate"/>
            </w:r>
            <w:r>
              <w:rPr>
                <w:webHidden/>
              </w:rPr>
              <w:t>59</w:t>
            </w:r>
            <w:r>
              <w:rPr>
                <w:webHidden/>
              </w:rPr>
              <w:fldChar w:fldCharType="end"/>
            </w:r>
          </w:hyperlink>
        </w:p>
        <w:p w14:paraId="5DCA88F7" w14:textId="63C94549" w:rsidR="00274557" w:rsidRDefault="00274557">
          <w:pPr>
            <w:pStyle w:val="TOC3"/>
            <w:rPr>
              <w:rFonts w:asciiTheme="minorHAnsi" w:hAnsiTheme="minorHAnsi"/>
              <w:sz w:val="22"/>
            </w:rPr>
          </w:pPr>
          <w:hyperlink w:anchor="_Toc192874707" w:history="1">
            <w:r>
              <w:rPr>
                <w:rStyle w:val="Hyperlink"/>
                <w:bCs/>
              </w:rPr>
              <w:t>2.11.5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_Toc192874707 \h </w:instrText>
            </w:r>
            <w:r>
              <w:rPr>
                <w:webHidden/>
              </w:rPr>
            </w:r>
            <w:r>
              <w:rPr>
                <w:webHidden/>
              </w:rPr>
              <w:fldChar w:fldCharType="separate"/>
            </w:r>
            <w:r>
              <w:rPr>
                <w:webHidden/>
              </w:rPr>
              <w:t>59</w:t>
            </w:r>
            <w:r>
              <w:rPr>
                <w:webHidden/>
              </w:rPr>
              <w:fldChar w:fldCharType="end"/>
            </w:r>
          </w:hyperlink>
        </w:p>
        <w:p w14:paraId="3DF566D7" w14:textId="2F1A1A6F" w:rsidR="00274557" w:rsidRDefault="00274557">
          <w:pPr>
            <w:pStyle w:val="TOC3"/>
            <w:rPr>
              <w:rFonts w:asciiTheme="minorHAnsi" w:hAnsiTheme="minorHAnsi"/>
              <w:sz w:val="22"/>
            </w:rPr>
          </w:pPr>
          <w:hyperlink w:anchor="_Toc192874708" w:history="1">
            <w:r>
              <w:rPr>
                <w:rStyle w:val="Hyperlink"/>
                <w:bCs/>
              </w:rPr>
              <w:t>2.11.6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_Toc192874708 \h </w:instrText>
            </w:r>
            <w:r>
              <w:rPr>
                <w:webHidden/>
              </w:rPr>
            </w:r>
            <w:r>
              <w:rPr>
                <w:webHidden/>
              </w:rPr>
              <w:fldChar w:fldCharType="separate"/>
            </w:r>
            <w:r>
              <w:rPr>
                <w:webHidden/>
              </w:rPr>
              <w:t>59</w:t>
            </w:r>
            <w:r>
              <w:rPr>
                <w:webHidden/>
              </w:rPr>
              <w:fldChar w:fldCharType="end"/>
            </w:r>
          </w:hyperlink>
        </w:p>
        <w:p w14:paraId="0A770A4B" w14:textId="0C46185D" w:rsidR="00274557" w:rsidRDefault="00274557">
          <w:pPr>
            <w:pStyle w:val="TOC2"/>
            <w:rPr>
              <w:rFonts w:asciiTheme="minorHAnsi" w:eastAsiaTheme="minorEastAsia" w:hAnsiTheme="minorHAnsi"/>
              <w:b w:val="0"/>
              <w:kern w:val="2"/>
              <w:sz w:val="22"/>
              <w:lang w:val="en-US"/>
              <w14:ligatures w14:val="standardContextual"/>
            </w:rPr>
          </w:pPr>
          <w:hyperlink w:anchor="_Toc192874709" w:history="1">
            <w:r>
              <w:rPr>
                <w:rStyle w:val="Hyperlink"/>
              </w:rPr>
              <w:t>2.12</w:t>
            </w:r>
            <w:r>
              <w:rPr>
                <w:rFonts w:asciiTheme="minorHAnsi" w:eastAsiaTheme="minorEastAsia" w:hAnsiTheme="minorHAnsi"/>
                <w:b w:val="0"/>
                <w:kern w:val="2"/>
                <w:sz w:val="22"/>
                <w:lang w:val="en-US"/>
                <w14:ligatures w14:val="standardContextual"/>
              </w:rPr>
              <w:tab/>
            </w:r>
            <w:r>
              <w:rPr>
                <w:rStyle w:val="Hyperlink"/>
              </w:rPr>
              <w:t>Solution Exploration Phase</w:t>
            </w:r>
            <w:r>
              <w:rPr>
                <w:webHidden/>
              </w:rPr>
              <w:tab/>
            </w:r>
            <w:r>
              <w:rPr>
                <w:webHidden/>
              </w:rPr>
              <w:fldChar w:fldCharType="begin"/>
            </w:r>
            <w:r>
              <w:rPr>
                <w:webHidden/>
              </w:rPr>
              <w:instrText xml:space="preserve"> PAGEREF _Toc192874709 \h </w:instrText>
            </w:r>
            <w:r>
              <w:rPr>
                <w:webHidden/>
              </w:rPr>
            </w:r>
            <w:r>
              <w:rPr>
                <w:webHidden/>
              </w:rPr>
              <w:fldChar w:fldCharType="separate"/>
            </w:r>
            <w:r>
              <w:rPr>
                <w:webHidden/>
              </w:rPr>
              <w:t>60</w:t>
            </w:r>
            <w:r>
              <w:rPr>
                <w:webHidden/>
              </w:rPr>
              <w:fldChar w:fldCharType="end"/>
            </w:r>
          </w:hyperlink>
        </w:p>
        <w:p w14:paraId="13D29DF7" w14:textId="264AA6F3" w:rsidR="00274557" w:rsidRDefault="00274557">
          <w:pPr>
            <w:pStyle w:val="TOC3"/>
            <w:rPr>
              <w:rFonts w:asciiTheme="minorHAnsi" w:hAnsiTheme="minorHAnsi"/>
              <w:sz w:val="22"/>
            </w:rPr>
          </w:pPr>
          <w:hyperlink w:anchor="_Toc192874710" w:history="1">
            <w:r>
              <w:rPr>
                <w:rStyle w:val="Hyperlink"/>
                <w:bCs/>
              </w:rPr>
              <w:t>2.12.1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_Toc192874710 \h </w:instrText>
            </w:r>
            <w:r>
              <w:rPr>
                <w:webHidden/>
              </w:rPr>
            </w:r>
            <w:r>
              <w:rPr>
                <w:webHidden/>
              </w:rPr>
              <w:fldChar w:fldCharType="separate"/>
            </w:r>
            <w:r>
              <w:rPr>
                <w:webHidden/>
              </w:rPr>
              <w:t>60</w:t>
            </w:r>
            <w:r>
              <w:rPr>
                <w:webHidden/>
              </w:rPr>
              <w:fldChar w:fldCharType="end"/>
            </w:r>
          </w:hyperlink>
        </w:p>
        <w:p w14:paraId="1202C17C" w14:textId="72BB9795" w:rsidR="00274557" w:rsidRDefault="00274557">
          <w:pPr>
            <w:pStyle w:val="TOC3"/>
            <w:rPr>
              <w:rFonts w:asciiTheme="minorHAnsi" w:hAnsiTheme="minorHAnsi"/>
              <w:sz w:val="22"/>
            </w:rPr>
          </w:pPr>
          <w:hyperlink w:anchor="_Toc192874711" w:history="1">
            <w:r>
              <w:rPr>
                <w:rStyle w:val="Hyperlink"/>
                <w:bCs/>
              </w:rPr>
              <w:t>2.12.2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_Toc192874711 \h </w:instrText>
            </w:r>
            <w:r>
              <w:rPr>
                <w:webHidden/>
              </w:rPr>
            </w:r>
            <w:r>
              <w:rPr>
                <w:webHidden/>
              </w:rPr>
              <w:fldChar w:fldCharType="separate"/>
            </w:r>
            <w:r>
              <w:rPr>
                <w:webHidden/>
              </w:rPr>
              <w:t>60</w:t>
            </w:r>
            <w:r>
              <w:rPr>
                <w:webHidden/>
              </w:rPr>
              <w:fldChar w:fldCharType="end"/>
            </w:r>
          </w:hyperlink>
        </w:p>
        <w:p w14:paraId="0EC560BB" w14:textId="77953249" w:rsidR="00274557" w:rsidRDefault="00274557">
          <w:pPr>
            <w:pStyle w:val="TOC3"/>
            <w:rPr>
              <w:rFonts w:asciiTheme="minorHAnsi" w:hAnsiTheme="minorHAnsi"/>
              <w:sz w:val="22"/>
            </w:rPr>
          </w:pPr>
          <w:hyperlink w:anchor="_Toc192874712" w:history="1">
            <w:r>
              <w:rPr>
                <w:rStyle w:val="Hyperlink"/>
                <w:bCs/>
              </w:rPr>
              <w:t>2.12.3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_Toc192874712 \h </w:instrText>
            </w:r>
            <w:r>
              <w:rPr>
                <w:webHidden/>
              </w:rPr>
            </w:r>
            <w:r>
              <w:rPr>
                <w:webHidden/>
              </w:rPr>
              <w:fldChar w:fldCharType="separate"/>
            </w:r>
            <w:r>
              <w:rPr>
                <w:webHidden/>
              </w:rPr>
              <w:t>60</w:t>
            </w:r>
            <w:r>
              <w:rPr>
                <w:webHidden/>
              </w:rPr>
              <w:fldChar w:fldCharType="end"/>
            </w:r>
          </w:hyperlink>
        </w:p>
        <w:p w14:paraId="451C9FA1" w14:textId="2642C9D0" w:rsidR="00274557" w:rsidRDefault="00274557">
          <w:pPr>
            <w:pStyle w:val="TOC3"/>
            <w:rPr>
              <w:rFonts w:asciiTheme="minorHAnsi" w:hAnsiTheme="minorHAnsi"/>
              <w:sz w:val="22"/>
            </w:rPr>
          </w:pPr>
          <w:hyperlink w:anchor="_Toc192874713" w:history="1">
            <w:r>
              <w:rPr>
                <w:rStyle w:val="Hyperlink"/>
                <w:bCs/>
              </w:rPr>
              <w:t>2.12.4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_Toc192874713 \h </w:instrText>
            </w:r>
            <w:r>
              <w:rPr>
                <w:webHidden/>
              </w:rPr>
            </w:r>
            <w:r>
              <w:rPr>
                <w:webHidden/>
              </w:rPr>
              <w:fldChar w:fldCharType="separate"/>
            </w:r>
            <w:r>
              <w:rPr>
                <w:webHidden/>
              </w:rPr>
              <w:t>62</w:t>
            </w:r>
            <w:r>
              <w:rPr>
                <w:webHidden/>
              </w:rPr>
              <w:fldChar w:fldCharType="end"/>
            </w:r>
          </w:hyperlink>
        </w:p>
        <w:p w14:paraId="7624B814" w14:textId="134AE5C3" w:rsidR="00274557" w:rsidRDefault="00274557">
          <w:pPr>
            <w:pStyle w:val="TOC3"/>
            <w:rPr>
              <w:rFonts w:asciiTheme="minorHAnsi" w:hAnsiTheme="minorHAnsi"/>
              <w:sz w:val="22"/>
            </w:rPr>
          </w:pPr>
          <w:hyperlink w:anchor="_Toc192874714" w:history="1">
            <w:r>
              <w:rPr>
                <w:rStyle w:val="Hyperlink"/>
                <w:bCs/>
              </w:rPr>
              <w:t>2.12.5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_Toc192874714 \h </w:instrText>
            </w:r>
            <w:r>
              <w:rPr>
                <w:webHidden/>
              </w:rPr>
            </w:r>
            <w:r>
              <w:rPr>
                <w:webHidden/>
              </w:rPr>
              <w:fldChar w:fldCharType="separate"/>
            </w:r>
            <w:r>
              <w:rPr>
                <w:webHidden/>
              </w:rPr>
              <w:t>62</w:t>
            </w:r>
            <w:r>
              <w:rPr>
                <w:webHidden/>
              </w:rPr>
              <w:fldChar w:fldCharType="end"/>
            </w:r>
          </w:hyperlink>
        </w:p>
        <w:p w14:paraId="79B6DA3D" w14:textId="7D27D896" w:rsidR="00274557" w:rsidRDefault="00274557">
          <w:pPr>
            <w:pStyle w:val="TOC3"/>
            <w:rPr>
              <w:rFonts w:asciiTheme="minorHAnsi" w:hAnsiTheme="minorHAnsi"/>
              <w:sz w:val="22"/>
            </w:rPr>
          </w:pPr>
          <w:hyperlink w:anchor="_Toc192874715" w:history="1">
            <w:r>
              <w:rPr>
                <w:rStyle w:val="Hyperlink"/>
                <w:bCs/>
              </w:rPr>
              <w:t>2.12.6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_Toc192874715 \h </w:instrText>
            </w:r>
            <w:r>
              <w:rPr>
                <w:webHidden/>
              </w:rPr>
            </w:r>
            <w:r>
              <w:rPr>
                <w:webHidden/>
              </w:rPr>
              <w:fldChar w:fldCharType="separate"/>
            </w:r>
            <w:r>
              <w:rPr>
                <w:webHidden/>
              </w:rPr>
              <w:t>63</w:t>
            </w:r>
            <w:r>
              <w:rPr>
                <w:webHidden/>
              </w:rPr>
              <w:fldChar w:fldCharType="end"/>
            </w:r>
          </w:hyperlink>
        </w:p>
        <w:p w14:paraId="76DF437A" w14:textId="51BFC62A" w:rsidR="00274557" w:rsidRDefault="00274557">
          <w:pPr>
            <w:pStyle w:val="TOC2"/>
            <w:rPr>
              <w:rFonts w:asciiTheme="minorHAnsi" w:eastAsiaTheme="minorEastAsia" w:hAnsiTheme="minorHAnsi"/>
              <w:b w:val="0"/>
              <w:kern w:val="2"/>
              <w:sz w:val="22"/>
              <w:lang w:val="en-US"/>
              <w14:ligatures w14:val="standardContextual"/>
            </w:rPr>
          </w:pPr>
          <w:hyperlink w:anchor="_Toc192874716" w:history="1">
            <w:r>
              <w:rPr>
                <w:rStyle w:val="Hyperlink"/>
              </w:rPr>
              <w:t>2.13</w:t>
            </w:r>
            <w:r>
              <w:rPr>
                <w:rFonts w:asciiTheme="minorHAnsi" w:eastAsiaTheme="minorEastAsia" w:hAnsiTheme="minorHAnsi"/>
                <w:b w:val="0"/>
                <w:kern w:val="2"/>
                <w:sz w:val="22"/>
                <w:lang w:val="en-US"/>
                <w14:ligatures w14:val="standardContextual"/>
              </w:rPr>
              <w:tab/>
            </w:r>
            <w:r>
              <w:rPr>
                <w:rStyle w:val="Hyperlink"/>
              </w:rPr>
              <w:t>Operational Readiness Test (ORT) Phase</w:t>
            </w:r>
            <w:r>
              <w:rPr>
                <w:webHidden/>
              </w:rPr>
              <w:tab/>
            </w:r>
            <w:r>
              <w:rPr>
                <w:webHidden/>
              </w:rPr>
              <w:fldChar w:fldCharType="begin"/>
            </w:r>
            <w:r>
              <w:rPr>
                <w:webHidden/>
              </w:rPr>
              <w:instrText xml:space="preserve"> PAGEREF _Toc192874716 \h </w:instrText>
            </w:r>
            <w:r>
              <w:rPr>
                <w:webHidden/>
              </w:rPr>
            </w:r>
            <w:r>
              <w:rPr>
                <w:webHidden/>
              </w:rPr>
              <w:fldChar w:fldCharType="separate"/>
            </w:r>
            <w:r>
              <w:rPr>
                <w:webHidden/>
              </w:rPr>
              <w:t>63</w:t>
            </w:r>
            <w:r>
              <w:rPr>
                <w:webHidden/>
              </w:rPr>
              <w:fldChar w:fldCharType="end"/>
            </w:r>
          </w:hyperlink>
        </w:p>
        <w:p w14:paraId="6E2CA01F" w14:textId="1FB72936" w:rsidR="00274557" w:rsidRDefault="00274557">
          <w:pPr>
            <w:pStyle w:val="TOC3"/>
            <w:rPr>
              <w:rFonts w:asciiTheme="minorHAnsi" w:hAnsiTheme="minorHAnsi"/>
              <w:sz w:val="22"/>
            </w:rPr>
          </w:pPr>
          <w:hyperlink w:anchor="_Toc192874717" w:history="1">
            <w:r>
              <w:rPr>
                <w:rStyle w:val="Hyperlink"/>
                <w:bCs/>
              </w:rPr>
              <w:t>2.13.1</w:t>
            </w:r>
            <w:r>
              <w:rPr>
                <w:rFonts w:asciiTheme="minorHAnsi" w:hAnsiTheme="minorHAnsi"/>
                <w:sz w:val="22"/>
              </w:rPr>
              <w:tab/>
            </w:r>
            <w:r>
              <w:rPr>
                <w:rStyle w:val="Hyperlink"/>
              </w:rPr>
              <w:t>Functional-Related End to End Testing</w:t>
            </w:r>
            <w:r>
              <w:rPr>
                <w:webHidden/>
              </w:rPr>
              <w:tab/>
            </w:r>
            <w:r>
              <w:rPr>
                <w:webHidden/>
              </w:rPr>
              <w:fldChar w:fldCharType="begin"/>
            </w:r>
            <w:r>
              <w:rPr>
                <w:webHidden/>
              </w:rPr>
              <w:instrText xml:space="preserve"> PAGEREF _Toc192874717 \h </w:instrText>
            </w:r>
            <w:r>
              <w:rPr>
                <w:webHidden/>
              </w:rPr>
            </w:r>
            <w:r>
              <w:rPr>
                <w:webHidden/>
              </w:rPr>
              <w:fldChar w:fldCharType="separate"/>
            </w:r>
            <w:r>
              <w:rPr>
                <w:webHidden/>
              </w:rPr>
              <w:t>63</w:t>
            </w:r>
            <w:r>
              <w:rPr>
                <w:webHidden/>
              </w:rPr>
              <w:fldChar w:fldCharType="end"/>
            </w:r>
          </w:hyperlink>
        </w:p>
        <w:p w14:paraId="4107A864" w14:textId="41E03632" w:rsidR="00274557" w:rsidRDefault="00274557">
          <w:pPr>
            <w:pStyle w:val="TOC3"/>
            <w:rPr>
              <w:rFonts w:asciiTheme="minorHAnsi" w:hAnsiTheme="minorHAnsi"/>
              <w:sz w:val="22"/>
            </w:rPr>
          </w:pPr>
          <w:hyperlink w:anchor="_Toc192874718" w:history="1">
            <w:r>
              <w:rPr>
                <w:rStyle w:val="Hyperlink"/>
                <w:bCs/>
              </w:rPr>
              <w:t>2.13.2</w:t>
            </w:r>
            <w:r>
              <w:rPr>
                <w:rFonts w:asciiTheme="minorHAnsi" w:hAnsiTheme="minorHAnsi"/>
                <w:sz w:val="22"/>
              </w:rPr>
              <w:tab/>
            </w:r>
            <w:r>
              <w:rPr>
                <w:rStyle w:val="Hyperlink"/>
              </w:rPr>
              <w:t>Phase Entry Criteria (Functional ORT)</w:t>
            </w:r>
            <w:r>
              <w:rPr>
                <w:webHidden/>
              </w:rPr>
              <w:tab/>
            </w:r>
            <w:r>
              <w:rPr>
                <w:webHidden/>
              </w:rPr>
              <w:fldChar w:fldCharType="begin"/>
            </w:r>
            <w:r>
              <w:rPr>
                <w:webHidden/>
              </w:rPr>
              <w:instrText xml:space="preserve"> PAGEREF _Toc192874718 \h </w:instrText>
            </w:r>
            <w:r>
              <w:rPr>
                <w:webHidden/>
              </w:rPr>
            </w:r>
            <w:r>
              <w:rPr>
                <w:webHidden/>
              </w:rPr>
              <w:fldChar w:fldCharType="separate"/>
            </w:r>
            <w:r>
              <w:rPr>
                <w:webHidden/>
              </w:rPr>
              <w:t>64</w:t>
            </w:r>
            <w:r>
              <w:rPr>
                <w:webHidden/>
              </w:rPr>
              <w:fldChar w:fldCharType="end"/>
            </w:r>
          </w:hyperlink>
        </w:p>
        <w:p w14:paraId="5DD3EA27" w14:textId="6A1F2BF6" w:rsidR="00274557" w:rsidRDefault="00274557">
          <w:pPr>
            <w:pStyle w:val="TOC3"/>
            <w:rPr>
              <w:rFonts w:asciiTheme="minorHAnsi" w:hAnsiTheme="minorHAnsi"/>
              <w:sz w:val="22"/>
            </w:rPr>
          </w:pPr>
          <w:hyperlink w:anchor="_Toc192874719" w:history="1">
            <w:r>
              <w:rPr>
                <w:rStyle w:val="Hyperlink"/>
                <w:bCs/>
              </w:rPr>
              <w:t>2.13.3</w:t>
            </w:r>
            <w:r>
              <w:rPr>
                <w:rFonts w:asciiTheme="minorHAnsi" w:hAnsiTheme="minorHAnsi"/>
                <w:sz w:val="22"/>
              </w:rPr>
              <w:tab/>
            </w:r>
            <w:r>
              <w:rPr>
                <w:rStyle w:val="Hyperlink"/>
              </w:rPr>
              <w:t>Security and Failover Testing</w:t>
            </w:r>
            <w:r>
              <w:rPr>
                <w:webHidden/>
              </w:rPr>
              <w:tab/>
            </w:r>
            <w:r>
              <w:rPr>
                <w:webHidden/>
              </w:rPr>
              <w:fldChar w:fldCharType="begin"/>
            </w:r>
            <w:r>
              <w:rPr>
                <w:webHidden/>
              </w:rPr>
              <w:instrText xml:space="preserve"> PAGEREF _Toc192874719 \h </w:instrText>
            </w:r>
            <w:r>
              <w:rPr>
                <w:webHidden/>
              </w:rPr>
            </w:r>
            <w:r>
              <w:rPr>
                <w:webHidden/>
              </w:rPr>
              <w:fldChar w:fldCharType="separate"/>
            </w:r>
            <w:r>
              <w:rPr>
                <w:webHidden/>
              </w:rPr>
              <w:t>65</w:t>
            </w:r>
            <w:r>
              <w:rPr>
                <w:webHidden/>
              </w:rPr>
              <w:fldChar w:fldCharType="end"/>
            </w:r>
          </w:hyperlink>
        </w:p>
        <w:p w14:paraId="25CAD49A" w14:textId="7A06993A" w:rsidR="00274557" w:rsidRDefault="00274557">
          <w:pPr>
            <w:pStyle w:val="TOC3"/>
            <w:rPr>
              <w:rFonts w:asciiTheme="minorHAnsi" w:hAnsiTheme="minorHAnsi"/>
              <w:sz w:val="22"/>
            </w:rPr>
          </w:pPr>
          <w:hyperlink w:anchor="_Toc192874720" w:history="1">
            <w:r>
              <w:rPr>
                <w:rStyle w:val="Hyperlink"/>
                <w:bCs/>
              </w:rPr>
              <w:t>2.13.4</w:t>
            </w:r>
            <w:r>
              <w:rPr>
                <w:rFonts w:asciiTheme="minorHAnsi" w:hAnsiTheme="minorHAnsi"/>
                <w:sz w:val="22"/>
              </w:rPr>
              <w:tab/>
            </w:r>
            <w:r>
              <w:rPr>
                <w:rStyle w:val="Hyperlink"/>
              </w:rPr>
              <w:t>Phase Entry Criteria (Security and Failover ORT)</w:t>
            </w:r>
            <w:r>
              <w:rPr>
                <w:webHidden/>
              </w:rPr>
              <w:tab/>
            </w:r>
            <w:r>
              <w:rPr>
                <w:webHidden/>
              </w:rPr>
              <w:fldChar w:fldCharType="begin"/>
            </w:r>
            <w:r>
              <w:rPr>
                <w:webHidden/>
              </w:rPr>
              <w:instrText xml:space="preserve"> PAGEREF _Toc192874720 \h </w:instrText>
            </w:r>
            <w:r>
              <w:rPr>
                <w:webHidden/>
              </w:rPr>
            </w:r>
            <w:r>
              <w:rPr>
                <w:webHidden/>
              </w:rPr>
              <w:fldChar w:fldCharType="separate"/>
            </w:r>
            <w:r>
              <w:rPr>
                <w:webHidden/>
              </w:rPr>
              <w:t>65</w:t>
            </w:r>
            <w:r>
              <w:rPr>
                <w:webHidden/>
              </w:rPr>
              <w:fldChar w:fldCharType="end"/>
            </w:r>
          </w:hyperlink>
        </w:p>
        <w:p w14:paraId="714AEA24" w14:textId="2CECF8A3" w:rsidR="00274557" w:rsidRDefault="00274557">
          <w:pPr>
            <w:pStyle w:val="TOC3"/>
            <w:rPr>
              <w:rFonts w:asciiTheme="minorHAnsi" w:hAnsiTheme="minorHAnsi"/>
              <w:sz w:val="22"/>
            </w:rPr>
          </w:pPr>
          <w:hyperlink w:anchor="_Toc192874721" w:history="1">
            <w:r>
              <w:rPr>
                <w:rStyle w:val="Hyperlink"/>
                <w:bCs/>
              </w:rPr>
              <w:t>2.13.5</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_Toc192874721 \h </w:instrText>
            </w:r>
            <w:r>
              <w:rPr>
                <w:webHidden/>
              </w:rPr>
            </w:r>
            <w:r>
              <w:rPr>
                <w:webHidden/>
              </w:rPr>
              <w:fldChar w:fldCharType="separate"/>
            </w:r>
            <w:r>
              <w:rPr>
                <w:webHidden/>
              </w:rPr>
              <w:t>67</w:t>
            </w:r>
            <w:r>
              <w:rPr>
                <w:webHidden/>
              </w:rPr>
              <w:fldChar w:fldCharType="end"/>
            </w:r>
          </w:hyperlink>
        </w:p>
        <w:p w14:paraId="62054AE1" w14:textId="4E43804A" w:rsidR="00274557" w:rsidRDefault="00274557">
          <w:pPr>
            <w:pStyle w:val="TOC3"/>
            <w:rPr>
              <w:rFonts w:asciiTheme="minorHAnsi" w:hAnsiTheme="minorHAnsi"/>
              <w:sz w:val="22"/>
            </w:rPr>
          </w:pPr>
          <w:hyperlink w:anchor="_Toc192874722" w:history="1">
            <w:r>
              <w:rPr>
                <w:rStyle w:val="Hyperlink"/>
                <w:bCs/>
              </w:rPr>
              <w:t>2.13.6</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_Toc192874722 \h </w:instrText>
            </w:r>
            <w:r>
              <w:rPr>
                <w:webHidden/>
              </w:rPr>
            </w:r>
            <w:r>
              <w:rPr>
                <w:webHidden/>
              </w:rPr>
              <w:fldChar w:fldCharType="separate"/>
            </w:r>
            <w:r>
              <w:rPr>
                <w:webHidden/>
              </w:rPr>
              <w:t>67</w:t>
            </w:r>
            <w:r>
              <w:rPr>
                <w:webHidden/>
              </w:rPr>
              <w:fldChar w:fldCharType="end"/>
            </w:r>
          </w:hyperlink>
        </w:p>
        <w:p w14:paraId="001697D9" w14:textId="5BC88F47" w:rsidR="00274557" w:rsidRDefault="00274557">
          <w:pPr>
            <w:pStyle w:val="TOC3"/>
            <w:rPr>
              <w:rFonts w:asciiTheme="minorHAnsi" w:hAnsiTheme="minorHAnsi"/>
              <w:sz w:val="22"/>
            </w:rPr>
          </w:pPr>
          <w:hyperlink w:anchor="_Toc192874723" w:history="1">
            <w:r>
              <w:rPr>
                <w:rStyle w:val="Hyperlink"/>
                <w:bCs/>
              </w:rPr>
              <w:t>2.13.7</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_Toc192874723 \h </w:instrText>
            </w:r>
            <w:r>
              <w:rPr>
                <w:webHidden/>
              </w:rPr>
            </w:r>
            <w:r>
              <w:rPr>
                <w:webHidden/>
              </w:rPr>
              <w:fldChar w:fldCharType="separate"/>
            </w:r>
            <w:r>
              <w:rPr>
                <w:webHidden/>
              </w:rPr>
              <w:t>74</w:t>
            </w:r>
            <w:r>
              <w:rPr>
                <w:webHidden/>
              </w:rPr>
              <w:fldChar w:fldCharType="end"/>
            </w:r>
          </w:hyperlink>
        </w:p>
        <w:p w14:paraId="7DCC07D7" w14:textId="4FB085BB" w:rsidR="00274557" w:rsidRDefault="00274557">
          <w:pPr>
            <w:pStyle w:val="TOC3"/>
            <w:rPr>
              <w:rFonts w:asciiTheme="minorHAnsi" w:hAnsiTheme="minorHAnsi"/>
              <w:sz w:val="22"/>
            </w:rPr>
          </w:pPr>
          <w:hyperlink w:anchor="_Toc192874724" w:history="1">
            <w:r>
              <w:rPr>
                <w:rStyle w:val="Hyperlink"/>
                <w:bCs/>
              </w:rPr>
              <w:t>2.13.8</w:t>
            </w:r>
            <w:r>
              <w:rPr>
                <w:rFonts w:asciiTheme="minorHAnsi" w:hAnsiTheme="minorHAnsi"/>
                <w:sz w:val="22"/>
              </w:rPr>
              <w:tab/>
            </w:r>
            <w:r>
              <w:rPr>
                <w:rStyle w:val="Hyperlink"/>
              </w:rPr>
              <w:t>Phase Exit Criteria (Functional ORT)</w:t>
            </w:r>
            <w:r>
              <w:rPr>
                <w:webHidden/>
              </w:rPr>
              <w:tab/>
            </w:r>
            <w:r>
              <w:rPr>
                <w:webHidden/>
              </w:rPr>
              <w:fldChar w:fldCharType="begin"/>
            </w:r>
            <w:r>
              <w:rPr>
                <w:webHidden/>
              </w:rPr>
              <w:instrText xml:space="preserve"> PAGEREF _Toc192874724 \h </w:instrText>
            </w:r>
            <w:r>
              <w:rPr>
                <w:webHidden/>
              </w:rPr>
            </w:r>
            <w:r>
              <w:rPr>
                <w:webHidden/>
              </w:rPr>
              <w:fldChar w:fldCharType="separate"/>
            </w:r>
            <w:r>
              <w:rPr>
                <w:webHidden/>
              </w:rPr>
              <w:t>75</w:t>
            </w:r>
            <w:r>
              <w:rPr>
                <w:webHidden/>
              </w:rPr>
              <w:fldChar w:fldCharType="end"/>
            </w:r>
          </w:hyperlink>
        </w:p>
        <w:p w14:paraId="1755C32A" w14:textId="088CCF95" w:rsidR="00274557" w:rsidRDefault="00274557">
          <w:pPr>
            <w:pStyle w:val="TOC3"/>
            <w:rPr>
              <w:rFonts w:asciiTheme="minorHAnsi" w:hAnsiTheme="minorHAnsi"/>
              <w:sz w:val="22"/>
            </w:rPr>
          </w:pPr>
          <w:hyperlink w:anchor="_Toc192874725" w:history="1">
            <w:r>
              <w:rPr>
                <w:rStyle w:val="Hyperlink"/>
                <w:bCs/>
              </w:rPr>
              <w:t>2.13.9</w:t>
            </w:r>
            <w:r>
              <w:rPr>
                <w:rFonts w:asciiTheme="minorHAnsi" w:hAnsiTheme="minorHAnsi"/>
                <w:sz w:val="22"/>
              </w:rPr>
              <w:tab/>
            </w:r>
            <w:r>
              <w:rPr>
                <w:rStyle w:val="Hyperlink"/>
              </w:rPr>
              <w:t>Phase Exit Criteria (Security and Failover ORT)</w:t>
            </w:r>
            <w:r>
              <w:rPr>
                <w:webHidden/>
              </w:rPr>
              <w:tab/>
            </w:r>
            <w:r>
              <w:rPr>
                <w:webHidden/>
              </w:rPr>
              <w:fldChar w:fldCharType="begin"/>
            </w:r>
            <w:r>
              <w:rPr>
                <w:webHidden/>
              </w:rPr>
              <w:instrText xml:space="preserve"> PAGEREF _Toc192874725 \h </w:instrText>
            </w:r>
            <w:r>
              <w:rPr>
                <w:webHidden/>
              </w:rPr>
            </w:r>
            <w:r>
              <w:rPr>
                <w:webHidden/>
              </w:rPr>
              <w:fldChar w:fldCharType="separate"/>
            </w:r>
            <w:r>
              <w:rPr>
                <w:webHidden/>
              </w:rPr>
              <w:t>75</w:t>
            </w:r>
            <w:r>
              <w:rPr>
                <w:webHidden/>
              </w:rPr>
              <w:fldChar w:fldCharType="end"/>
            </w:r>
          </w:hyperlink>
        </w:p>
        <w:p w14:paraId="502CCD57" w14:textId="137840B5" w:rsidR="00274557" w:rsidRDefault="00274557">
          <w:pPr>
            <w:pStyle w:val="TOC3"/>
            <w:rPr>
              <w:rFonts w:asciiTheme="minorHAnsi" w:hAnsiTheme="minorHAnsi"/>
              <w:sz w:val="22"/>
            </w:rPr>
          </w:pPr>
          <w:hyperlink w:anchor="_Toc192874726" w:history="1">
            <w:r>
              <w:rPr>
                <w:rStyle w:val="Hyperlink"/>
                <w:bCs/>
              </w:rPr>
              <w:t>2.13.10</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_Toc192874726 \h </w:instrText>
            </w:r>
            <w:r>
              <w:rPr>
                <w:webHidden/>
              </w:rPr>
            </w:r>
            <w:r>
              <w:rPr>
                <w:webHidden/>
              </w:rPr>
              <w:fldChar w:fldCharType="separate"/>
            </w:r>
            <w:r>
              <w:rPr>
                <w:webHidden/>
              </w:rPr>
              <w:t>76</w:t>
            </w:r>
            <w:r>
              <w:rPr>
                <w:webHidden/>
              </w:rPr>
              <w:fldChar w:fldCharType="end"/>
            </w:r>
          </w:hyperlink>
        </w:p>
        <w:p w14:paraId="61CE6D74" w14:textId="7BFD95C6" w:rsidR="00274557" w:rsidRDefault="00274557">
          <w:pPr>
            <w:pStyle w:val="TOC2"/>
            <w:rPr>
              <w:rFonts w:asciiTheme="minorHAnsi" w:eastAsiaTheme="minorEastAsia" w:hAnsiTheme="minorHAnsi"/>
              <w:b w:val="0"/>
              <w:kern w:val="2"/>
              <w:sz w:val="22"/>
              <w:lang w:val="en-US"/>
              <w14:ligatures w14:val="standardContextual"/>
            </w:rPr>
          </w:pPr>
          <w:hyperlink w:anchor="_Toc192874727" w:history="1">
            <w:r>
              <w:rPr>
                <w:rStyle w:val="Hyperlink"/>
              </w:rPr>
              <w:t>2.14</w:t>
            </w:r>
            <w:r>
              <w:rPr>
                <w:rFonts w:asciiTheme="minorHAnsi" w:eastAsiaTheme="minorEastAsia" w:hAnsiTheme="minorHAnsi"/>
                <w:b w:val="0"/>
                <w:kern w:val="2"/>
                <w:sz w:val="22"/>
                <w:lang w:val="en-US"/>
                <w14:ligatures w14:val="standardContextual"/>
              </w:rPr>
              <w:tab/>
            </w:r>
            <w:r>
              <w:rPr>
                <w:rStyle w:val="Hyperlink"/>
              </w:rPr>
              <w:t>User Acceptance Test (UAT) Phase</w:t>
            </w:r>
            <w:r>
              <w:rPr>
                <w:webHidden/>
              </w:rPr>
              <w:tab/>
            </w:r>
            <w:r>
              <w:rPr>
                <w:webHidden/>
              </w:rPr>
              <w:fldChar w:fldCharType="begin"/>
            </w:r>
            <w:r>
              <w:rPr>
                <w:webHidden/>
              </w:rPr>
              <w:instrText xml:space="preserve"> PAGEREF _Toc192874727 \h </w:instrText>
            </w:r>
            <w:r>
              <w:rPr>
                <w:webHidden/>
              </w:rPr>
            </w:r>
            <w:r>
              <w:rPr>
                <w:webHidden/>
              </w:rPr>
              <w:fldChar w:fldCharType="separate"/>
            </w:r>
            <w:r>
              <w:rPr>
                <w:webHidden/>
              </w:rPr>
              <w:t>76</w:t>
            </w:r>
            <w:r>
              <w:rPr>
                <w:webHidden/>
              </w:rPr>
              <w:fldChar w:fldCharType="end"/>
            </w:r>
          </w:hyperlink>
        </w:p>
        <w:p w14:paraId="4749D5BB" w14:textId="55665C47" w:rsidR="00274557" w:rsidRDefault="00274557">
          <w:pPr>
            <w:pStyle w:val="TOC3"/>
            <w:rPr>
              <w:rFonts w:asciiTheme="minorHAnsi" w:hAnsiTheme="minorHAnsi"/>
              <w:sz w:val="22"/>
            </w:rPr>
          </w:pPr>
          <w:hyperlink w:anchor="_Toc192874728" w:history="1">
            <w:r>
              <w:rPr>
                <w:rStyle w:val="Hyperlink"/>
                <w:bCs/>
              </w:rPr>
              <w:t>2.14.1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_Toc192874728 \h </w:instrText>
            </w:r>
            <w:r>
              <w:rPr>
                <w:webHidden/>
              </w:rPr>
            </w:r>
            <w:r>
              <w:rPr>
                <w:webHidden/>
              </w:rPr>
              <w:fldChar w:fldCharType="separate"/>
            </w:r>
            <w:r>
              <w:rPr>
                <w:webHidden/>
              </w:rPr>
              <w:t>77</w:t>
            </w:r>
            <w:r>
              <w:rPr>
                <w:webHidden/>
              </w:rPr>
              <w:fldChar w:fldCharType="end"/>
            </w:r>
          </w:hyperlink>
        </w:p>
        <w:p w14:paraId="7699318F" w14:textId="1BE32746" w:rsidR="00274557" w:rsidRDefault="00274557">
          <w:pPr>
            <w:pStyle w:val="TOC3"/>
            <w:rPr>
              <w:rFonts w:asciiTheme="minorHAnsi" w:hAnsiTheme="minorHAnsi"/>
              <w:sz w:val="22"/>
            </w:rPr>
          </w:pPr>
          <w:hyperlink w:anchor="_Toc192874729" w:history="1">
            <w:r>
              <w:rPr>
                <w:rStyle w:val="Hyperlink"/>
                <w:bCs/>
              </w:rPr>
              <w:t>2.14.2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_Toc192874729 \h </w:instrText>
            </w:r>
            <w:r>
              <w:rPr>
                <w:webHidden/>
              </w:rPr>
            </w:r>
            <w:r>
              <w:rPr>
                <w:webHidden/>
              </w:rPr>
              <w:fldChar w:fldCharType="separate"/>
            </w:r>
            <w:r>
              <w:rPr>
                <w:webHidden/>
              </w:rPr>
              <w:t>77</w:t>
            </w:r>
            <w:r>
              <w:rPr>
                <w:webHidden/>
              </w:rPr>
              <w:fldChar w:fldCharType="end"/>
            </w:r>
          </w:hyperlink>
        </w:p>
        <w:p w14:paraId="6E0F37DA" w14:textId="77A059FF" w:rsidR="00274557" w:rsidRDefault="00274557">
          <w:pPr>
            <w:pStyle w:val="TOC3"/>
            <w:rPr>
              <w:rFonts w:asciiTheme="minorHAnsi" w:hAnsiTheme="minorHAnsi"/>
              <w:sz w:val="22"/>
            </w:rPr>
          </w:pPr>
          <w:hyperlink w:anchor="_Toc192874730" w:history="1">
            <w:r>
              <w:rPr>
                <w:rStyle w:val="Hyperlink"/>
                <w:bCs/>
              </w:rPr>
              <w:t>2.14.3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_Toc192874730 \h </w:instrText>
            </w:r>
            <w:r>
              <w:rPr>
                <w:webHidden/>
              </w:rPr>
            </w:r>
            <w:r>
              <w:rPr>
                <w:webHidden/>
              </w:rPr>
              <w:fldChar w:fldCharType="separate"/>
            </w:r>
            <w:r>
              <w:rPr>
                <w:webHidden/>
              </w:rPr>
              <w:t>78</w:t>
            </w:r>
            <w:r>
              <w:rPr>
                <w:webHidden/>
              </w:rPr>
              <w:fldChar w:fldCharType="end"/>
            </w:r>
          </w:hyperlink>
        </w:p>
        <w:p w14:paraId="58DE9E9B" w14:textId="2A2731AA" w:rsidR="00274557" w:rsidRDefault="00274557">
          <w:pPr>
            <w:pStyle w:val="TOC3"/>
            <w:rPr>
              <w:rFonts w:asciiTheme="minorHAnsi" w:hAnsiTheme="minorHAnsi"/>
              <w:sz w:val="22"/>
            </w:rPr>
          </w:pPr>
          <w:hyperlink w:anchor="_Toc192874731" w:history="1">
            <w:r>
              <w:rPr>
                <w:rStyle w:val="Hyperlink"/>
                <w:bCs/>
              </w:rPr>
              <w:t>2.14.4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_Toc192874731 \h </w:instrText>
            </w:r>
            <w:r>
              <w:rPr>
                <w:webHidden/>
              </w:rPr>
            </w:r>
            <w:r>
              <w:rPr>
                <w:webHidden/>
              </w:rPr>
              <w:fldChar w:fldCharType="separate"/>
            </w:r>
            <w:r>
              <w:rPr>
                <w:webHidden/>
              </w:rPr>
              <w:t>82</w:t>
            </w:r>
            <w:r>
              <w:rPr>
                <w:webHidden/>
              </w:rPr>
              <w:fldChar w:fldCharType="end"/>
            </w:r>
          </w:hyperlink>
        </w:p>
        <w:p w14:paraId="6F777640" w14:textId="5AC48C24" w:rsidR="00274557" w:rsidRDefault="00274557">
          <w:pPr>
            <w:pStyle w:val="TOC3"/>
            <w:rPr>
              <w:rFonts w:asciiTheme="minorHAnsi" w:hAnsiTheme="minorHAnsi"/>
              <w:sz w:val="22"/>
            </w:rPr>
          </w:pPr>
          <w:hyperlink w:anchor="_Toc192874732" w:history="1">
            <w:r>
              <w:rPr>
                <w:rStyle w:val="Hyperlink"/>
                <w:bCs/>
              </w:rPr>
              <w:t>2.14.5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_Toc192874732 \h </w:instrText>
            </w:r>
            <w:r>
              <w:rPr>
                <w:webHidden/>
              </w:rPr>
            </w:r>
            <w:r>
              <w:rPr>
                <w:webHidden/>
              </w:rPr>
              <w:fldChar w:fldCharType="separate"/>
            </w:r>
            <w:r>
              <w:rPr>
                <w:webHidden/>
              </w:rPr>
              <w:t>82</w:t>
            </w:r>
            <w:r>
              <w:rPr>
                <w:webHidden/>
              </w:rPr>
              <w:fldChar w:fldCharType="end"/>
            </w:r>
          </w:hyperlink>
        </w:p>
        <w:p w14:paraId="55005C33" w14:textId="624B3421" w:rsidR="00274557" w:rsidRDefault="00274557">
          <w:pPr>
            <w:pStyle w:val="TOC3"/>
            <w:rPr>
              <w:rFonts w:asciiTheme="minorHAnsi" w:hAnsiTheme="minorHAnsi"/>
              <w:sz w:val="22"/>
            </w:rPr>
          </w:pPr>
          <w:hyperlink w:anchor="_Toc192874733" w:history="1">
            <w:r>
              <w:rPr>
                <w:rStyle w:val="Hyperlink"/>
                <w:bCs/>
              </w:rPr>
              <w:t>2.14.6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_Toc192874733 \h </w:instrText>
            </w:r>
            <w:r>
              <w:rPr>
                <w:webHidden/>
              </w:rPr>
            </w:r>
            <w:r>
              <w:rPr>
                <w:webHidden/>
              </w:rPr>
              <w:fldChar w:fldCharType="separate"/>
            </w:r>
            <w:r>
              <w:rPr>
                <w:webHidden/>
              </w:rPr>
              <w:t>83</w:t>
            </w:r>
            <w:r>
              <w:rPr>
                <w:webHidden/>
              </w:rPr>
              <w:fldChar w:fldCharType="end"/>
            </w:r>
          </w:hyperlink>
        </w:p>
        <w:p w14:paraId="09DE008C" w14:textId="7AF78E1C" w:rsidR="00274557" w:rsidRDefault="00274557">
          <w:pPr>
            <w:pStyle w:val="TOC2"/>
            <w:rPr>
              <w:rFonts w:asciiTheme="minorHAnsi" w:eastAsiaTheme="minorEastAsia" w:hAnsiTheme="minorHAnsi"/>
              <w:b w:val="0"/>
              <w:kern w:val="2"/>
              <w:sz w:val="22"/>
              <w:lang w:val="en-US"/>
              <w14:ligatures w14:val="standardContextual"/>
            </w:rPr>
          </w:pPr>
          <w:hyperlink w:anchor="_Toc192874734" w:history="1">
            <w:r>
              <w:rPr>
                <w:rStyle w:val="Hyperlink"/>
              </w:rPr>
              <w:t>2.15</w:t>
            </w:r>
            <w:r>
              <w:rPr>
                <w:rFonts w:asciiTheme="minorHAnsi" w:eastAsiaTheme="minorEastAsia" w:hAnsiTheme="minorHAnsi"/>
                <w:b w:val="0"/>
                <w:kern w:val="2"/>
                <w:sz w:val="22"/>
                <w:lang w:val="en-US"/>
                <w14:ligatures w14:val="standardContextual"/>
              </w:rPr>
              <w:tab/>
            </w:r>
            <w:r>
              <w:rPr>
                <w:rStyle w:val="Hyperlink"/>
              </w:rPr>
              <w:t>Rollout Phase</w:t>
            </w:r>
            <w:r>
              <w:rPr>
                <w:webHidden/>
              </w:rPr>
              <w:tab/>
            </w:r>
            <w:r>
              <w:rPr>
                <w:webHidden/>
              </w:rPr>
              <w:fldChar w:fldCharType="begin"/>
            </w:r>
            <w:r>
              <w:rPr>
                <w:webHidden/>
              </w:rPr>
              <w:instrText xml:space="preserve"> PAGEREF _Toc192874734 \h </w:instrText>
            </w:r>
            <w:r>
              <w:rPr>
                <w:webHidden/>
              </w:rPr>
            </w:r>
            <w:r>
              <w:rPr>
                <w:webHidden/>
              </w:rPr>
              <w:fldChar w:fldCharType="separate"/>
            </w:r>
            <w:r>
              <w:rPr>
                <w:webHidden/>
              </w:rPr>
              <w:t>83</w:t>
            </w:r>
            <w:r>
              <w:rPr>
                <w:webHidden/>
              </w:rPr>
              <w:fldChar w:fldCharType="end"/>
            </w:r>
          </w:hyperlink>
        </w:p>
        <w:p w14:paraId="24C7C38B" w14:textId="511128B9" w:rsidR="00274557" w:rsidRDefault="00274557">
          <w:pPr>
            <w:pStyle w:val="TOC3"/>
            <w:rPr>
              <w:rFonts w:asciiTheme="minorHAnsi" w:hAnsiTheme="minorHAnsi"/>
              <w:sz w:val="22"/>
            </w:rPr>
          </w:pPr>
          <w:hyperlink w:anchor="_Toc192874735" w:history="1">
            <w:r>
              <w:rPr>
                <w:rStyle w:val="Hyperlink"/>
                <w:bCs/>
              </w:rPr>
              <w:t>2.15.1</w:t>
            </w:r>
            <w:r>
              <w:rPr>
                <w:rFonts w:asciiTheme="minorHAnsi" w:hAnsiTheme="minorHAnsi"/>
                <w:sz w:val="22"/>
              </w:rPr>
              <w:tab/>
            </w:r>
            <w:r>
              <w:rPr>
                <w:rStyle w:val="Hyperlink"/>
              </w:rPr>
              <w:t>Phase Entry Criteria</w:t>
            </w:r>
            <w:r>
              <w:rPr>
                <w:webHidden/>
              </w:rPr>
              <w:tab/>
            </w:r>
            <w:r>
              <w:rPr>
                <w:webHidden/>
              </w:rPr>
              <w:fldChar w:fldCharType="begin"/>
            </w:r>
            <w:r>
              <w:rPr>
                <w:webHidden/>
              </w:rPr>
              <w:instrText xml:space="preserve"> PAGEREF _Toc192874735 \h </w:instrText>
            </w:r>
            <w:r>
              <w:rPr>
                <w:webHidden/>
              </w:rPr>
            </w:r>
            <w:r>
              <w:rPr>
                <w:webHidden/>
              </w:rPr>
              <w:fldChar w:fldCharType="separate"/>
            </w:r>
            <w:r>
              <w:rPr>
                <w:webHidden/>
              </w:rPr>
              <w:t>83</w:t>
            </w:r>
            <w:r>
              <w:rPr>
                <w:webHidden/>
              </w:rPr>
              <w:fldChar w:fldCharType="end"/>
            </w:r>
          </w:hyperlink>
        </w:p>
        <w:p w14:paraId="1EA56651" w14:textId="11581BF6" w:rsidR="00274557" w:rsidRDefault="00274557">
          <w:pPr>
            <w:pStyle w:val="TOC3"/>
            <w:rPr>
              <w:rFonts w:asciiTheme="minorHAnsi" w:hAnsiTheme="minorHAnsi"/>
              <w:sz w:val="22"/>
            </w:rPr>
          </w:pPr>
          <w:hyperlink w:anchor="_Toc192874736" w:history="1">
            <w:r>
              <w:rPr>
                <w:rStyle w:val="Hyperlink"/>
                <w:bCs/>
              </w:rPr>
              <w:t>2.15.2</w:t>
            </w:r>
            <w:r>
              <w:rPr>
                <w:rFonts w:asciiTheme="minorHAnsi" w:hAnsiTheme="minorHAnsi"/>
                <w:sz w:val="22"/>
              </w:rPr>
              <w:tab/>
            </w:r>
            <w:r>
              <w:rPr>
                <w:rStyle w:val="Hyperlink"/>
              </w:rPr>
              <w:t>Process Flow Diagram</w:t>
            </w:r>
            <w:r>
              <w:rPr>
                <w:webHidden/>
              </w:rPr>
              <w:tab/>
            </w:r>
            <w:r>
              <w:rPr>
                <w:webHidden/>
              </w:rPr>
              <w:fldChar w:fldCharType="begin"/>
            </w:r>
            <w:r>
              <w:rPr>
                <w:webHidden/>
              </w:rPr>
              <w:instrText xml:space="preserve"> PAGEREF _Toc192874736 \h </w:instrText>
            </w:r>
            <w:r>
              <w:rPr>
                <w:webHidden/>
              </w:rPr>
            </w:r>
            <w:r>
              <w:rPr>
                <w:webHidden/>
              </w:rPr>
              <w:fldChar w:fldCharType="separate"/>
            </w:r>
            <w:r>
              <w:rPr>
                <w:webHidden/>
              </w:rPr>
              <w:t>84</w:t>
            </w:r>
            <w:r>
              <w:rPr>
                <w:webHidden/>
              </w:rPr>
              <w:fldChar w:fldCharType="end"/>
            </w:r>
          </w:hyperlink>
        </w:p>
        <w:p w14:paraId="4A52FB74" w14:textId="6FF9B1C6" w:rsidR="00274557" w:rsidRDefault="00274557">
          <w:pPr>
            <w:pStyle w:val="TOC3"/>
            <w:rPr>
              <w:rFonts w:asciiTheme="minorHAnsi" w:hAnsiTheme="minorHAnsi"/>
              <w:sz w:val="22"/>
            </w:rPr>
          </w:pPr>
          <w:hyperlink w:anchor="_Toc192874737" w:history="1">
            <w:r>
              <w:rPr>
                <w:rStyle w:val="Hyperlink"/>
                <w:bCs/>
              </w:rPr>
              <w:t>2.15.3</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_Toc192874737 \h </w:instrText>
            </w:r>
            <w:r>
              <w:rPr>
                <w:webHidden/>
              </w:rPr>
            </w:r>
            <w:r>
              <w:rPr>
                <w:webHidden/>
              </w:rPr>
              <w:fldChar w:fldCharType="separate"/>
            </w:r>
            <w:r>
              <w:rPr>
                <w:webHidden/>
              </w:rPr>
              <w:t>84</w:t>
            </w:r>
            <w:r>
              <w:rPr>
                <w:webHidden/>
              </w:rPr>
              <w:fldChar w:fldCharType="end"/>
            </w:r>
          </w:hyperlink>
        </w:p>
        <w:p w14:paraId="6C857CA9" w14:textId="6E7FBA82" w:rsidR="00274557" w:rsidRDefault="00274557">
          <w:pPr>
            <w:pStyle w:val="TOC3"/>
            <w:rPr>
              <w:rFonts w:asciiTheme="minorHAnsi" w:hAnsiTheme="minorHAnsi"/>
              <w:sz w:val="22"/>
            </w:rPr>
          </w:pPr>
          <w:hyperlink w:anchor="_Toc192874738" w:history="1">
            <w:r>
              <w:rPr>
                <w:rStyle w:val="Hyperlink"/>
                <w:bCs/>
              </w:rPr>
              <w:t>2.15.4</w:t>
            </w:r>
            <w:r>
              <w:rPr>
                <w:rFonts w:asciiTheme="minorHAnsi" w:hAnsiTheme="minorHAnsi"/>
                <w:sz w:val="22"/>
              </w:rPr>
              <w:tab/>
            </w:r>
            <w:r>
              <w:rPr>
                <w:rStyle w:val="Hyperlink"/>
              </w:rPr>
              <w:t>Roles and Responsibilities</w:t>
            </w:r>
            <w:r>
              <w:rPr>
                <w:webHidden/>
              </w:rPr>
              <w:tab/>
            </w:r>
            <w:r>
              <w:rPr>
                <w:webHidden/>
              </w:rPr>
              <w:fldChar w:fldCharType="begin"/>
            </w:r>
            <w:r>
              <w:rPr>
                <w:webHidden/>
              </w:rPr>
              <w:instrText xml:space="preserve"> PAGEREF _Toc192874738 \h </w:instrText>
            </w:r>
            <w:r>
              <w:rPr>
                <w:webHidden/>
              </w:rPr>
            </w:r>
            <w:r>
              <w:rPr>
                <w:webHidden/>
              </w:rPr>
              <w:fldChar w:fldCharType="separate"/>
            </w:r>
            <w:r>
              <w:rPr>
                <w:webHidden/>
              </w:rPr>
              <w:t>85</w:t>
            </w:r>
            <w:r>
              <w:rPr>
                <w:webHidden/>
              </w:rPr>
              <w:fldChar w:fldCharType="end"/>
            </w:r>
          </w:hyperlink>
        </w:p>
        <w:p w14:paraId="580C5255" w14:textId="1CFAC0D2" w:rsidR="00274557" w:rsidRDefault="00274557">
          <w:pPr>
            <w:pStyle w:val="TOC3"/>
            <w:rPr>
              <w:rFonts w:asciiTheme="minorHAnsi" w:hAnsiTheme="minorHAnsi"/>
              <w:sz w:val="22"/>
            </w:rPr>
          </w:pPr>
          <w:hyperlink w:anchor="_Toc192874739" w:history="1">
            <w:r>
              <w:rPr>
                <w:rStyle w:val="Hyperlink"/>
                <w:bCs/>
              </w:rPr>
              <w:t>2.15.5</w:t>
            </w:r>
            <w:r>
              <w:rPr>
                <w:rFonts w:asciiTheme="minorHAnsi" w:hAnsiTheme="minorHAnsi"/>
                <w:sz w:val="22"/>
              </w:rPr>
              <w:tab/>
            </w:r>
            <w:r>
              <w:rPr>
                <w:rStyle w:val="Hyperlink"/>
              </w:rPr>
              <w:t>Phase Exit Criteria</w:t>
            </w:r>
            <w:r>
              <w:rPr>
                <w:webHidden/>
              </w:rPr>
              <w:tab/>
            </w:r>
            <w:r>
              <w:rPr>
                <w:webHidden/>
              </w:rPr>
              <w:fldChar w:fldCharType="begin"/>
            </w:r>
            <w:r>
              <w:rPr>
                <w:webHidden/>
              </w:rPr>
              <w:instrText xml:space="preserve"> PAGEREF _Toc192874739 \h </w:instrText>
            </w:r>
            <w:r>
              <w:rPr>
                <w:webHidden/>
              </w:rPr>
            </w:r>
            <w:r>
              <w:rPr>
                <w:webHidden/>
              </w:rPr>
              <w:fldChar w:fldCharType="separate"/>
            </w:r>
            <w:r>
              <w:rPr>
                <w:webHidden/>
              </w:rPr>
              <w:t>85</w:t>
            </w:r>
            <w:r>
              <w:rPr>
                <w:webHidden/>
              </w:rPr>
              <w:fldChar w:fldCharType="end"/>
            </w:r>
          </w:hyperlink>
        </w:p>
        <w:p w14:paraId="6BBF794B" w14:textId="44A87E54" w:rsidR="00274557" w:rsidRDefault="00274557">
          <w:pPr>
            <w:pStyle w:val="TOC3"/>
            <w:rPr>
              <w:rFonts w:asciiTheme="minorHAnsi" w:hAnsiTheme="minorHAnsi"/>
              <w:sz w:val="22"/>
            </w:rPr>
          </w:pPr>
          <w:hyperlink w:anchor="_Toc192874740" w:history="1">
            <w:r>
              <w:rPr>
                <w:rStyle w:val="Hyperlink"/>
                <w:bCs/>
              </w:rPr>
              <w:t>2.15.6</w:t>
            </w:r>
            <w:r>
              <w:rPr>
                <w:rFonts w:asciiTheme="minorHAnsi" w:hAnsiTheme="minorHAnsi"/>
                <w:sz w:val="22"/>
              </w:rPr>
              <w:tab/>
            </w:r>
            <w:r>
              <w:rPr>
                <w:rStyle w:val="Hyperlink"/>
              </w:rPr>
              <w:t>Supporting Application Lifecycle Management (ALM) Tools</w:t>
            </w:r>
            <w:r>
              <w:rPr>
                <w:webHidden/>
              </w:rPr>
              <w:tab/>
            </w:r>
            <w:r>
              <w:rPr>
                <w:webHidden/>
              </w:rPr>
              <w:fldChar w:fldCharType="begin"/>
            </w:r>
            <w:r>
              <w:rPr>
                <w:webHidden/>
              </w:rPr>
              <w:instrText xml:space="preserve"> PAGEREF _Toc192874740 \h </w:instrText>
            </w:r>
            <w:r>
              <w:rPr>
                <w:webHidden/>
              </w:rPr>
            </w:r>
            <w:r>
              <w:rPr>
                <w:webHidden/>
              </w:rPr>
              <w:fldChar w:fldCharType="separate"/>
            </w:r>
            <w:r>
              <w:rPr>
                <w:webHidden/>
              </w:rPr>
              <w:t>85</w:t>
            </w:r>
            <w:r>
              <w:rPr>
                <w:webHidden/>
              </w:rPr>
              <w:fldChar w:fldCharType="end"/>
            </w:r>
          </w:hyperlink>
        </w:p>
        <w:p w14:paraId="2B9D1A19" w14:textId="0442EF1A" w:rsidR="00274557" w:rsidRDefault="00274557">
          <w:pPr>
            <w:pStyle w:val="TOC2"/>
            <w:rPr>
              <w:rFonts w:asciiTheme="minorHAnsi" w:eastAsiaTheme="minorEastAsia" w:hAnsiTheme="minorHAnsi"/>
              <w:b w:val="0"/>
              <w:kern w:val="2"/>
              <w:sz w:val="22"/>
              <w:lang w:val="en-US"/>
              <w14:ligatures w14:val="standardContextual"/>
            </w:rPr>
          </w:pPr>
          <w:hyperlink w:anchor="_Toc192874741" w:history="1">
            <w:r>
              <w:rPr>
                <w:rStyle w:val="Hyperlink"/>
              </w:rPr>
              <w:t>2.16</w:t>
            </w:r>
            <w:r>
              <w:rPr>
                <w:rFonts w:asciiTheme="minorHAnsi" w:eastAsiaTheme="minorEastAsia" w:hAnsiTheme="minorHAnsi"/>
                <w:b w:val="0"/>
                <w:kern w:val="2"/>
                <w:sz w:val="22"/>
                <w:lang w:val="en-US"/>
                <w14:ligatures w14:val="standardContextual"/>
              </w:rPr>
              <w:tab/>
            </w:r>
            <w:r>
              <w:rPr>
                <w:rStyle w:val="Hyperlink"/>
              </w:rPr>
              <w:t>SDLC High-Level Process</w:t>
            </w:r>
            <w:r>
              <w:rPr>
                <w:webHidden/>
              </w:rPr>
              <w:tab/>
            </w:r>
            <w:r>
              <w:rPr>
                <w:webHidden/>
              </w:rPr>
              <w:fldChar w:fldCharType="begin"/>
            </w:r>
            <w:r>
              <w:rPr>
                <w:webHidden/>
              </w:rPr>
              <w:instrText xml:space="preserve"> PAGEREF _Toc192874741 \h </w:instrText>
            </w:r>
            <w:r>
              <w:rPr>
                <w:webHidden/>
              </w:rPr>
            </w:r>
            <w:r>
              <w:rPr>
                <w:webHidden/>
              </w:rPr>
              <w:fldChar w:fldCharType="separate"/>
            </w:r>
            <w:r>
              <w:rPr>
                <w:webHidden/>
              </w:rPr>
              <w:t>86</w:t>
            </w:r>
            <w:r>
              <w:rPr>
                <w:webHidden/>
              </w:rPr>
              <w:fldChar w:fldCharType="end"/>
            </w:r>
          </w:hyperlink>
        </w:p>
        <w:p w14:paraId="44FF01A1" w14:textId="7E0074F0" w:rsidR="00274557" w:rsidRDefault="00274557">
          <w:pPr>
            <w:pStyle w:val="TOC3"/>
            <w:rPr>
              <w:rFonts w:asciiTheme="minorHAnsi" w:hAnsiTheme="minorHAnsi"/>
              <w:sz w:val="22"/>
            </w:rPr>
          </w:pPr>
          <w:hyperlink w:anchor="_Toc192874742" w:history="1">
            <w:r>
              <w:rPr>
                <w:rStyle w:val="Hyperlink"/>
                <w:bCs/>
              </w:rPr>
              <w:t>2.16.1</w:t>
            </w:r>
            <w:r>
              <w:rPr>
                <w:rFonts w:asciiTheme="minorHAnsi" w:hAnsiTheme="minorHAnsi"/>
                <w:sz w:val="22"/>
              </w:rPr>
              <w:tab/>
            </w:r>
            <w:r>
              <w:rPr>
                <w:rStyle w:val="Hyperlink"/>
              </w:rPr>
              <w:t>Process Flow Narrative</w:t>
            </w:r>
            <w:r>
              <w:rPr>
                <w:webHidden/>
              </w:rPr>
              <w:tab/>
            </w:r>
            <w:r>
              <w:rPr>
                <w:webHidden/>
              </w:rPr>
              <w:fldChar w:fldCharType="begin"/>
            </w:r>
            <w:r>
              <w:rPr>
                <w:webHidden/>
              </w:rPr>
              <w:instrText xml:space="preserve"> PAGEREF _Toc192874742 \h </w:instrText>
            </w:r>
            <w:r>
              <w:rPr>
                <w:webHidden/>
              </w:rPr>
            </w:r>
            <w:r>
              <w:rPr>
                <w:webHidden/>
              </w:rPr>
              <w:fldChar w:fldCharType="separate"/>
            </w:r>
            <w:r>
              <w:rPr>
                <w:webHidden/>
              </w:rPr>
              <w:t>86</w:t>
            </w:r>
            <w:r>
              <w:rPr>
                <w:webHidden/>
              </w:rPr>
              <w:fldChar w:fldCharType="end"/>
            </w:r>
          </w:hyperlink>
        </w:p>
        <w:p w14:paraId="05EE6172" w14:textId="08FB1618" w:rsidR="00274557" w:rsidRDefault="00274557">
          <w:pPr>
            <w:pStyle w:val="TOC2"/>
            <w:rPr>
              <w:rFonts w:asciiTheme="minorHAnsi" w:eastAsiaTheme="minorEastAsia" w:hAnsiTheme="minorHAnsi"/>
              <w:b w:val="0"/>
              <w:kern w:val="2"/>
              <w:sz w:val="22"/>
              <w:lang w:val="en-US"/>
              <w14:ligatures w14:val="standardContextual"/>
            </w:rPr>
          </w:pPr>
          <w:hyperlink w:anchor="_Toc192874743" w:history="1">
            <w:r>
              <w:rPr>
                <w:rStyle w:val="Hyperlink"/>
              </w:rPr>
              <w:t>2.17</w:t>
            </w:r>
            <w:r>
              <w:rPr>
                <w:rFonts w:asciiTheme="minorHAnsi" w:eastAsiaTheme="minorEastAsia" w:hAnsiTheme="minorHAnsi"/>
                <w:b w:val="0"/>
                <w:kern w:val="2"/>
                <w:sz w:val="22"/>
                <w:lang w:val="en-US"/>
                <w14:ligatures w14:val="standardContextual"/>
              </w:rPr>
              <w:tab/>
            </w:r>
            <w:r>
              <w:rPr>
                <w:rStyle w:val="Hyperlink"/>
              </w:rPr>
              <w:t>ALM Tools</w:t>
            </w:r>
            <w:r>
              <w:rPr>
                <w:webHidden/>
              </w:rPr>
              <w:tab/>
            </w:r>
            <w:r>
              <w:rPr>
                <w:webHidden/>
              </w:rPr>
              <w:fldChar w:fldCharType="begin"/>
            </w:r>
            <w:r>
              <w:rPr>
                <w:webHidden/>
              </w:rPr>
              <w:instrText xml:space="preserve"> PAGEREF _Toc192874743 \h </w:instrText>
            </w:r>
            <w:r>
              <w:rPr>
                <w:webHidden/>
              </w:rPr>
            </w:r>
            <w:r>
              <w:rPr>
                <w:webHidden/>
              </w:rPr>
              <w:fldChar w:fldCharType="separate"/>
            </w:r>
            <w:r>
              <w:rPr>
                <w:webHidden/>
              </w:rPr>
              <w:t>95</w:t>
            </w:r>
            <w:r>
              <w:rPr>
                <w:webHidden/>
              </w:rPr>
              <w:fldChar w:fldCharType="end"/>
            </w:r>
          </w:hyperlink>
        </w:p>
        <w:p w14:paraId="251D11BB" w14:textId="304C2DAD" w:rsidR="00274557" w:rsidRDefault="00274557">
          <w:pPr>
            <w:pStyle w:val="TOC2"/>
            <w:rPr>
              <w:rFonts w:asciiTheme="minorHAnsi" w:eastAsiaTheme="minorEastAsia" w:hAnsiTheme="minorHAnsi"/>
              <w:b w:val="0"/>
              <w:kern w:val="2"/>
              <w:sz w:val="22"/>
              <w:lang w:val="en-US"/>
              <w14:ligatures w14:val="standardContextual"/>
            </w:rPr>
          </w:pPr>
          <w:hyperlink w:anchor="_Toc192874744" w:history="1">
            <w:r>
              <w:rPr>
                <w:rStyle w:val="Hyperlink"/>
              </w:rPr>
              <w:t>2.18</w:t>
            </w:r>
            <w:r>
              <w:rPr>
                <w:rFonts w:asciiTheme="minorHAnsi" w:eastAsiaTheme="minorEastAsia" w:hAnsiTheme="minorHAnsi"/>
                <w:b w:val="0"/>
                <w:kern w:val="2"/>
                <w:sz w:val="22"/>
                <w:lang w:val="en-US"/>
                <w14:ligatures w14:val="standardContextual"/>
              </w:rPr>
              <w:tab/>
            </w:r>
            <w:r>
              <w:rPr>
                <w:rStyle w:val="Hyperlink"/>
              </w:rPr>
              <w:t>Continuing Medicaid Eligibility Modernization SharePoint</w:t>
            </w:r>
            <w:r>
              <w:rPr>
                <w:webHidden/>
              </w:rPr>
              <w:tab/>
            </w:r>
            <w:r>
              <w:rPr>
                <w:webHidden/>
              </w:rPr>
              <w:fldChar w:fldCharType="begin"/>
            </w:r>
            <w:r>
              <w:rPr>
                <w:webHidden/>
              </w:rPr>
              <w:instrText xml:space="preserve"> PAGEREF _Toc192874744 \h </w:instrText>
            </w:r>
            <w:r>
              <w:rPr>
                <w:webHidden/>
              </w:rPr>
            </w:r>
            <w:r>
              <w:rPr>
                <w:webHidden/>
              </w:rPr>
              <w:fldChar w:fldCharType="separate"/>
            </w:r>
            <w:r>
              <w:rPr>
                <w:webHidden/>
              </w:rPr>
              <w:t>100</w:t>
            </w:r>
            <w:r>
              <w:rPr>
                <w:webHidden/>
              </w:rPr>
              <w:fldChar w:fldCharType="end"/>
            </w:r>
          </w:hyperlink>
        </w:p>
        <w:p w14:paraId="673DF910" w14:textId="2C3854E7" w:rsidR="00274557" w:rsidRDefault="00274557">
          <w:pPr>
            <w:pStyle w:val="TOC3"/>
            <w:rPr>
              <w:rFonts w:asciiTheme="minorHAnsi" w:hAnsiTheme="minorHAnsi"/>
              <w:sz w:val="22"/>
            </w:rPr>
          </w:pPr>
          <w:hyperlink w:anchor="_Toc192874745" w:history="1">
            <w:r>
              <w:rPr>
                <w:rStyle w:val="Hyperlink"/>
                <w:bCs/>
              </w:rPr>
              <w:t>2.18.1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_Toc192874745 \h </w:instrText>
            </w:r>
            <w:r>
              <w:rPr>
                <w:webHidden/>
              </w:rPr>
            </w:r>
            <w:r>
              <w:rPr>
                <w:webHidden/>
              </w:rPr>
              <w:fldChar w:fldCharType="separate"/>
            </w:r>
            <w:r>
              <w:rPr>
                <w:webHidden/>
              </w:rPr>
              <w:t>100</w:t>
            </w:r>
            <w:r>
              <w:rPr>
                <w:webHidden/>
              </w:rPr>
              <w:fldChar w:fldCharType="end"/>
            </w:r>
          </w:hyperlink>
        </w:p>
        <w:p w14:paraId="4F88DB9D" w14:textId="0C75B81E" w:rsidR="00274557" w:rsidRDefault="00274557">
          <w:pPr>
            <w:pStyle w:val="TOC3"/>
            <w:rPr>
              <w:rFonts w:asciiTheme="minorHAnsi" w:hAnsiTheme="minorHAnsi"/>
              <w:sz w:val="22"/>
            </w:rPr>
          </w:pPr>
          <w:hyperlink w:anchor="_Toc192874746" w:history="1">
            <w:r>
              <w:rPr>
                <w:rStyle w:val="Hyperlink"/>
                <w:bCs/>
              </w:rPr>
              <w:t>2.18.2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_Toc192874746 \h </w:instrText>
            </w:r>
            <w:r>
              <w:rPr>
                <w:webHidden/>
              </w:rPr>
            </w:r>
            <w:r>
              <w:rPr>
                <w:webHidden/>
              </w:rPr>
              <w:fldChar w:fldCharType="separate"/>
            </w:r>
            <w:r>
              <w:rPr>
                <w:webHidden/>
              </w:rPr>
              <w:t>101</w:t>
            </w:r>
            <w:r>
              <w:rPr>
                <w:webHidden/>
              </w:rPr>
              <w:fldChar w:fldCharType="end"/>
            </w:r>
          </w:hyperlink>
        </w:p>
        <w:p w14:paraId="505DF917" w14:textId="6C5D24CA" w:rsidR="00274557" w:rsidRDefault="00274557">
          <w:pPr>
            <w:pStyle w:val="TOC3"/>
            <w:rPr>
              <w:rFonts w:asciiTheme="minorHAnsi" w:hAnsiTheme="minorHAnsi"/>
              <w:sz w:val="22"/>
            </w:rPr>
          </w:pPr>
          <w:hyperlink w:anchor="_Toc192874747" w:history="1">
            <w:r>
              <w:rPr>
                <w:rStyle w:val="Hyperlink"/>
                <w:bCs/>
              </w:rPr>
              <w:t>2.18.3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_Toc192874747 \h </w:instrText>
            </w:r>
            <w:r>
              <w:rPr>
                <w:webHidden/>
              </w:rPr>
            </w:r>
            <w:r>
              <w:rPr>
                <w:webHidden/>
              </w:rPr>
              <w:fldChar w:fldCharType="separate"/>
            </w:r>
            <w:r>
              <w:rPr>
                <w:webHidden/>
              </w:rPr>
              <w:t>101</w:t>
            </w:r>
            <w:r>
              <w:rPr>
                <w:webHidden/>
              </w:rPr>
              <w:fldChar w:fldCharType="end"/>
            </w:r>
          </w:hyperlink>
        </w:p>
        <w:p w14:paraId="4029C624" w14:textId="180A5304" w:rsidR="00274557" w:rsidRDefault="00274557">
          <w:pPr>
            <w:pStyle w:val="TOC2"/>
            <w:rPr>
              <w:rFonts w:asciiTheme="minorHAnsi" w:eastAsiaTheme="minorEastAsia" w:hAnsiTheme="minorHAnsi"/>
              <w:b w:val="0"/>
              <w:kern w:val="2"/>
              <w:sz w:val="22"/>
              <w:lang w:val="en-US"/>
              <w14:ligatures w14:val="standardContextual"/>
            </w:rPr>
          </w:pPr>
          <w:hyperlink w:anchor="_Toc192874748" w:history="1">
            <w:r>
              <w:rPr>
                <w:rStyle w:val="Hyperlink"/>
              </w:rPr>
              <w:t>2.19</w:t>
            </w:r>
            <w:r>
              <w:rPr>
                <w:rFonts w:asciiTheme="minorHAnsi" w:eastAsiaTheme="minorEastAsia" w:hAnsiTheme="minorHAnsi"/>
                <w:b w:val="0"/>
                <w:kern w:val="2"/>
                <w:sz w:val="22"/>
                <w:lang w:val="en-US"/>
                <w14:ligatures w14:val="standardContextual"/>
              </w:rPr>
              <w:tab/>
            </w:r>
            <w:r>
              <w:rPr>
                <w:rStyle w:val="Hyperlink"/>
              </w:rPr>
              <w:t>Figma Organization</w:t>
            </w:r>
            <w:r>
              <w:rPr>
                <w:webHidden/>
              </w:rPr>
              <w:tab/>
            </w:r>
            <w:r>
              <w:rPr>
                <w:webHidden/>
              </w:rPr>
              <w:fldChar w:fldCharType="begin"/>
            </w:r>
            <w:r>
              <w:rPr>
                <w:webHidden/>
              </w:rPr>
              <w:instrText xml:space="preserve"> PAGEREF _Toc192874748 \h </w:instrText>
            </w:r>
            <w:r>
              <w:rPr>
                <w:webHidden/>
              </w:rPr>
            </w:r>
            <w:r>
              <w:rPr>
                <w:webHidden/>
              </w:rPr>
              <w:fldChar w:fldCharType="separate"/>
            </w:r>
            <w:r>
              <w:rPr>
                <w:webHidden/>
              </w:rPr>
              <w:t>101</w:t>
            </w:r>
            <w:r>
              <w:rPr>
                <w:webHidden/>
              </w:rPr>
              <w:fldChar w:fldCharType="end"/>
            </w:r>
          </w:hyperlink>
        </w:p>
        <w:p w14:paraId="1DA3244E" w14:textId="6A891335" w:rsidR="00274557" w:rsidRDefault="00274557">
          <w:pPr>
            <w:pStyle w:val="TOC3"/>
            <w:rPr>
              <w:rFonts w:asciiTheme="minorHAnsi" w:hAnsiTheme="minorHAnsi"/>
              <w:sz w:val="22"/>
            </w:rPr>
          </w:pPr>
          <w:hyperlink w:anchor="_Toc192874749" w:history="1">
            <w:r>
              <w:rPr>
                <w:rStyle w:val="Hyperlink"/>
                <w:bCs/>
              </w:rPr>
              <w:t>2.19.1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_Toc192874749 \h </w:instrText>
            </w:r>
            <w:r>
              <w:rPr>
                <w:webHidden/>
              </w:rPr>
            </w:r>
            <w:r>
              <w:rPr>
                <w:webHidden/>
              </w:rPr>
              <w:fldChar w:fldCharType="separate"/>
            </w:r>
            <w:r>
              <w:rPr>
                <w:webHidden/>
              </w:rPr>
              <w:t>102</w:t>
            </w:r>
            <w:r>
              <w:rPr>
                <w:webHidden/>
              </w:rPr>
              <w:fldChar w:fldCharType="end"/>
            </w:r>
          </w:hyperlink>
        </w:p>
        <w:p w14:paraId="16B473EB" w14:textId="35F8B908" w:rsidR="00274557" w:rsidRDefault="00274557">
          <w:pPr>
            <w:pStyle w:val="TOC3"/>
            <w:rPr>
              <w:rFonts w:asciiTheme="minorHAnsi" w:hAnsiTheme="minorHAnsi"/>
              <w:sz w:val="22"/>
            </w:rPr>
          </w:pPr>
          <w:hyperlink w:anchor="_Toc192874750" w:history="1">
            <w:r>
              <w:rPr>
                <w:rStyle w:val="Hyperlink"/>
                <w:bCs/>
              </w:rPr>
              <w:t>2.19.2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_Toc192874750 \h </w:instrText>
            </w:r>
            <w:r>
              <w:rPr>
                <w:webHidden/>
              </w:rPr>
            </w:r>
            <w:r>
              <w:rPr>
                <w:webHidden/>
              </w:rPr>
              <w:fldChar w:fldCharType="separate"/>
            </w:r>
            <w:r>
              <w:rPr>
                <w:webHidden/>
              </w:rPr>
              <w:t>102</w:t>
            </w:r>
            <w:r>
              <w:rPr>
                <w:webHidden/>
              </w:rPr>
              <w:fldChar w:fldCharType="end"/>
            </w:r>
          </w:hyperlink>
        </w:p>
        <w:p w14:paraId="23CFBEF6" w14:textId="3F760E46" w:rsidR="00274557" w:rsidRDefault="00274557">
          <w:pPr>
            <w:pStyle w:val="TOC3"/>
            <w:rPr>
              <w:rFonts w:asciiTheme="minorHAnsi" w:hAnsiTheme="minorHAnsi"/>
              <w:sz w:val="22"/>
            </w:rPr>
          </w:pPr>
          <w:hyperlink w:anchor="_Toc192874751" w:history="1">
            <w:r>
              <w:rPr>
                <w:rStyle w:val="Hyperlink"/>
                <w:bCs/>
              </w:rPr>
              <w:t>2.19.3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_Toc192874751 \h </w:instrText>
            </w:r>
            <w:r>
              <w:rPr>
                <w:webHidden/>
              </w:rPr>
            </w:r>
            <w:r>
              <w:rPr>
                <w:webHidden/>
              </w:rPr>
              <w:fldChar w:fldCharType="separate"/>
            </w:r>
            <w:r>
              <w:rPr>
                <w:webHidden/>
              </w:rPr>
              <w:t>102</w:t>
            </w:r>
            <w:r>
              <w:rPr>
                <w:webHidden/>
              </w:rPr>
              <w:fldChar w:fldCharType="end"/>
            </w:r>
          </w:hyperlink>
        </w:p>
        <w:p w14:paraId="73DDACDE" w14:textId="20FC5131" w:rsidR="00274557" w:rsidRDefault="00274557">
          <w:pPr>
            <w:pStyle w:val="TOC2"/>
            <w:rPr>
              <w:rFonts w:asciiTheme="minorHAnsi" w:eastAsiaTheme="minorEastAsia" w:hAnsiTheme="minorHAnsi"/>
              <w:b w:val="0"/>
              <w:kern w:val="2"/>
              <w:sz w:val="22"/>
              <w:lang w:val="en-US"/>
              <w14:ligatures w14:val="standardContextual"/>
            </w:rPr>
          </w:pPr>
          <w:hyperlink w:anchor="_Toc192874752" w:history="1">
            <w:r>
              <w:rPr>
                <w:rStyle w:val="Hyperlink"/>
              </w:rPr>
              <w:t>2.20</w:t>
            </w:r>
            <w:r>
              <w:rPr>
                <w:rFonts w:asciiTheme="minorHAnsi" w:eastAsiaTheme="minorEastAsia" w:hAnsiTheme="minorHAnsi"/>
                <w:b w:val="0"/>
                <w:kern w:val="2"/>
                <w:sz w:val="22"/>
                <w:lang w:val="en-US"/>
                <w14:ligatures w14:val="standardContextual"/>
              </w:rPr>
              <w:tab/>
            </w:r>
            <w:r>
              <w:rPr>
                <w:rStyle w:val="Hyperlink"/>
              </w:rPr>
              <w:t>The ALM tool</w:t>
            </w:r>
            <w:r>
              <w:rPr>
                <w:webHidden/>
              </w:rPr>
              <w:tab/>
            </w:r>
            <w:r>
              <w:rPr>
                <w:webHidden/>
              </w:rPr>
              <w:fldChar w:fldCharType="begin"/>
            </w:r>
            <w:r>
              <w:rPr>
                <w:webHidden/>
              </w:rPr>
              <w:instrText xml:space="preserve"> PAGEREF _Toc192874752 \h </w:instrText>
            </w:r>
            <w:r>
              <w:rPr>
                <w:webHidden/>
              </w:rPr>
            </w:r>
            <w:r>
              <w:rPr>
                <w:webHidden/>
              </w:rPr>
              <w:fldChar w:fldCharType="separate"/>
            </w:r>
            <w:r>
              <w:rPr>
                <w:webHidden/>
              </w:rPr>
              <w:t>102</w:t>
            </w:r>
            <w:r>
              <w:rPr>
                <w:webHidden/>
              </w:rPr>
              <w:fldChar w:fldCharType="end"/>
            </w:r>
          </w:hyperlink>
        </w:p>
        <w:p w14:paraId="1A3DC81F" w14:textId="1EA63B4C" w:rsidR="00274557" w:rsidRDefault="00274557">
          <w:pPr>
            <w:pStyle w:val="TOC3"/>
            <w:rPr>
              <w:rFonts w:asciiTheme="minorHAnsi" w:hAnsiTheme="minorHAnsi"/>
              <w:sz w:val="22"/>
            </w:rPr>
          </w:pPr>
          <w:hyperlink w:anchor="_Toc192874753" w:history="1">
            <w:r>
              <w:rPr>
                <w:rStyle w:val="Hyperlink"/>
                <w:rFonts w:eastAsia="Times New Roman"/>
                <w:bCs/>
              </w:rPr>
              <w:t>2.20.1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_Toc192874753 \h </w:instrText>
            </w:r>
            <w:r>
              <w:rPr>
                <w:webHidden/>
              </w:rPr>
            </w:r>
            <w:r>
              <w:rPr>
                <w:webHidden/>
              </w:rPr>
              <w:fldChar w:fldCharType="separate"/>
            </w:r>
            <w:r>
              <w:rPr>
                <w:webHidden/>
              </w:rPr>
              <w:t>102</w:t>
            </w:r>
            <w:r>
              <w:rPr>
                <w:webHidden/>
              </w:rPr>
              <w:fldChar w:fldCharType="end"/>
            </w:r>
          </w:hyperlink>
        </w:p>
        <w:p w14:paraId="4F331052" w14:textId="2877F762" w:rsidR="00274557" w:rsidRDefault="00274557">
          <w:pPr>
            <w:pStyle w:val="TOC3"/>
            <w:rPr>
              <w:rFonts w:asciiTheme="minorHAnsi" w:hAnsiTheme="minorHAnsi"/>
              <w:sz w:val="22"/>
            </w:rPr>
          </w:pPr>
          <w:hyperlink w:anchor="_Toc192874754" w:history="1">
            <w:r>
              <w:rPr>
                <w:rStyle w:val="Hyperlink"/>
                <w:bCs/>
              </w:rPr>
              <w:t>2.20.2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_Toc192874754 \h </w:instrText>
            </w:r>
            <w:r>
              <w:rPr>
                <w:webHidden/>
              </w:rPr>
            </w:r>
            <w:r>
              <w:rPr>
                <w:webHidden/>
              </w:rPr>
              <w:fldChar w:fldCharType="separate"/>
            </w:r>
            <w:r>
              <w:rPr>
                <w:webHidden/>
              </w:rPr>
              <w:t>103</w:t>
            </w:r>
            <w:r>
              <w:rPr>
                <w:webHidden/>
              </w:rPr>
              <w:fldChar w:fldCharType="end"/>
            </w:r>
          </w:hyperlink>
        </w:p>
        <w:p w14:paraId="7506096E" w14:textId="1A8913B8" w:rsidR="00274557" w:rsidRDefault="00274557">
          <w:pPr>
            <w:pStyle w:val="TOC3"/>
            <w:rPr>
              <w:rFonts w:asciiTheme="minorHAnsi" w:hAnsiTheme="minorHAnsi"/>
              <w:sz w:val="22"/>
            </w:rPr>
          </w:pPr>
          <w:hyperlink w:anchor="_Toc192874755" w:history="1">
            <w:r>
              <w:rPr>
                <w:rStyle w:val="Hyperlink"/>
                <w:bCs/>
              </w:rPr>
              <w:t>2.20.3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_Toc192874755 \h </w:instrText>
            </w:r>
            <w:r>
              <w:rPr>
                <w:webHidden/>
              </w:rPr>
            </w:r>
            <w:r>
              <w:rPr>
                <w:webHidden/>
              </w:rPr>
              <w:fldChar w:fldCharType="separate"/>
            </w:r>
            <w:r>
              <w:rPr>
                <w:webHidden/>
              </w:rPr>
              <w:t>103</w:t>
            </w:r>
            <w:r>
              <w:rPr>
                <w:webHidden/>
              </w:rPr>
              <w:fldChar w:fldCharType="end"/>
            </w:r>
          </w:hyperlink>
        </w:p>
        <w:p w14:paraId="03A4B388" w14:textId="1A0EF0D9" w:rsidR="00274557" w:rsidRDefault="00274557">
          <w:pPr>
            <w:pStyle w:val="TOC2"/>
            <w:rPr>
              <w:rFonts w:asciiTheme="minorHAnsi" w:eastAsiaTheme="minorEastAsia" w:hAnsiTheme="minorHAnsi"/>
              <w:b w:val="0"/>
              <w:kern w:val="2"/>
              <w:sz w:val="22"/>
              <w:lang w:val="en-US"/>
              <w14:ligatures w14:val="standardContextual"/>
            </w:rPr>
          </w:pPr>
          <w:hyperlink w:anchor="_Toc192874756" w:history="1">
            <w:r>
              <w:rPr>
                <w:rStyle w:val="Hyperlink"/>
              </w:rPr>
              <w:t>2.21</w:t>
            </w:r>
            <w:r>
              <w:rPr>
                <w:rFonts w:asciiTheme="minorHAnsi" w:eastAsiaTheme="minorEastAsia" w:hAnsiTheme="minorHAnsi"/>
                <w:b w:val="0"/>
                <w:kern w:val="2"/>
                <w:sz w:val="22"/>
                <w:lang w:val="en-US"/>
                <w14:ligatures w14:val="standardContextual"/>
              </w:rPr>
              <w:tab/>
            </w:r>
            <w:r>
              <w:rPr>
                <w:rStyle w:val="Hyperlink"/>
              </w:rPr>
              <w:t>the source-code repository</w:t>
            </w:r>
            <w:r>
              <w:rPr>
                <w:webHidden/>
              </w:rPr>
              <w:tab/>
            </w:r>
            <w:r>
              <w:rPr>
                <w:webHidden/>
              </w:rPr>
              <w:fldChar w:fldCharType="begin"/>
            </w:r>
            <w:r>
              <w:rPr>
                <w:webHidden/>
              </w:rPr>
              <w:instrText xml:space="preserve"> PAGEREF _Toc192874756 \h </w:instrText>
            </w:r>
            <w:r>
              <w:rPr>
                <w:webHidden/>
              </w:rPr>
            </w:r>
            <w:r>
              <w:rPr>
                <w:webHidden/>
              </w:rPr>
              <w:fldChar w:fldCharType="separate"/>
            </w:r>
            <w:r>
              <w:rPr>
                <w:webHidden/>
              </w:rPr>
              <w:t>103</w:t>
            </w:r>
            <w:r>
              <w:rPr>
                <w:webHidden/>
              </w:rPr>
              <w:fldChar w:fldCharType="end"/>
            </w:r>
          </w:hyperlink>
        </w:p>
        <w:p w14:paraId="6088118A" w14:textId="1C4C6FC1" w:rsidR="00274557" w:rsidRDefault="00274557">
          <w:pPr>
            <w:pStyle w:val="TOC3"/>
            <w:rPr>
              <w:rFonts w:asciiTheme="minorHAnsi" w:hAnsiTheme="minorHAnsi"/>
              <w:sz w:val="22"/>
            </w:rPr>
          </w:pPr>
          <w:hyperlink w:anchor="_Toc192874757" w:history="1">
            <w:r>
              <w:rPr>
                <w:rStyle w:val="Hyperlink"/>
                <w:bCs/>
              </w:rPr>
              <w:t>2.21.1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_Toc192874757 \h </w:instrText>
            </w:r>
            <w:r>
              <w:rPr>
                <w:webHidden/>
              </w:rPr>
            </w:r>
            <w:r>
              <w:rPr>
                <w:webHidden/>
              </w:rPr>
              <w:fldChar w:fldCharType="separate"/>
            </w:r>
            <w:r>
              <w:rPr>
                <w:webHidden/>
              </w:rPr>
              <w:t>104</w:t>
            </w:r>
            <w:r>
              <w:rPr>
                <w:webHidden/>
              </w:rPr>
              <w:fldChar w:fldCharType="end"/>
            </w:r>
          </w:hyperlink>
        </w:p>
        <w:p w14:paraId="5F15D09E" w14:textId="6109EC9C" w:rsidR="00274557" w:rsidRDefault="00274557">
          <w:pPr>
            <w:pStyle w:val="TOC3"/>
            <w:rPr>
              <w:rFonts w:asciiTheme="minorHAnsi" w:hAnsiTheme="minorHAnsi"/>
              <w:sz w:val="22"/>
            </w:rPr>
          </w:pPr>
          <w:hyperlink w:anchor="_Toc192874758" w:history="1">
            <w:r>
              <w:rPr>
                <w:rStyle w:val="Hyperlink"/>
                <w:bCs/>
              </w:rPr>
              <w:t>2.21.2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_Toc192874758 \h </w:instrText>
            </w:r>
            <w:r>
              <w:rPr>
                <w:webHidden/>
              </w:rPr>
            </w:r>
            <w:r>
              <w:rPr>
                <w:webHidden/>
              </w:rPr>
              <w:fldChar w:fldCharType="separate"/>
            </w:r>
            <w:r>
              <w:rPr>
                <w:webHidden/>
              </w:rPr>
              <w:t>104</w:t>
            </w:r>
            <w:r>
              <w:rPr>
                <w:webHidden/>
              </w:rPr>
              <w:fldChar w:fldCharType="end"/>
            </w:r>
          </w:hyperlink>
        </w:p>
        <w:p w14:paraId="62F13668" w14:textId="057D088D" w:rsidR="00274557" w:rsidRDefault="00274557">
          <w:pPr>
            <w:pStyle w:val="TOC3"/>
            <w:rPr>
              <w:rFonts w:asciiTheme="minorHAnsi" w:hAnsiTheme="minorHAnsi"/>
              <w:sz w:val="22"/>
            </w:rPr>
          </w:pPr>
          <w:hyperlink w:anchor="_Toc192874759" w:history="1">
            <w:r>
              <w:rPr>
                <w:rStyle w:val="Hyperlink"/>
                <w:bCs/>
              </w:rPr>
              <w:t>2.21.3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_Toc192874759 \h </w:instrText>
            </w:r>
            <w:r>
              <w:rPr>
                <w:webHidden/>
              </w:rPr>
            </w:r>
            <w:r>
              <w:rPr>
                <w:webHidden/>
              </w:rPr>
              <w:fldChar w:fldCharType="separate"/>
            </w:r>
            <w:r>
              <w:rPr>
                <w:webHidden/>
              </w:rPr>
              <w:t>105</w:t>
            </w:r>
            <w:r>
              <w:rPr>
                <w:webHidden/>
              </w:rPr>
              <w:fldChar w:fldCharType="end"/>
            </w:r>
          </w:hyperlink>
        </w:p>
        <w:p w14:paraId="5AC11B08" w14:textId="10057854" w:rsidR="00274557" w:rsidRDefault="00274557">
          <w:pPr>
            <w:pStyle w:val="TOC2"/>
            <w:rPr>
              <w:rFonts w:asciiTheme="minorHAnsi" w:eastAsiaTheme="minorEastAsia" w:hAnsiTheme="minorHAnsi"/>
              <w:b w:val="0"/>
              <w:kern w:val="2"/>
              <w:sz w:val="22"/>
              <w:lang w:val="en-US"/>
              <w14:ligatures w14:val="standardContextual"/>
            </w:rPr>
          </w:pPr>
          <w:hyperlink w:anchor="_Toc192874760" w:history="1">
            <w:r>
              <w:rPr>
                <w:rStyle w:val="Hyperlink"/>
              </w:rPr>
              <w:t>2.22</w:t>
            </w:r>
            <w:r>
              <w:rPr>
                <w:rFonts w:asciiTheme="minorHAnsi" w:eastAsiaTheme="minorEastAsia" w:hAnsiTheme="minorHAnsi"/>
                <w:b w:val="0"/>
                <w:kern w:val="2"/>
                <w:sz w:val="22"/>
                <w:lang w:val="en-US"/>
                <w14:ligatures w14:val="standardContextual"/>
              </w:rPr>
              <w:tab/>
            </w:r>
            <w:r>
              <w:rPr>
                <w:rStyle w:val="Hyperlink"/>
              </w:rPr>
              <w:t>the static code analysis tool</w:t>
            </w:r>
            <w:r>
              <w:rPr>
                <w:webHidden/>
              </w:rPr>
              <w:tab/>
            </w:r>
            <w:r>
              <w:rPr>
                <w:webHidden/>
              </w:rPr>
              <w:fldChar w:fldCharType="begin"/>
            </w:r>
            <w:r>
              <w:rPr>
                <w:webHidden/>
              </w:rPr>
              <w:instrText xml:space="preserve"> PAGEREF _Toc192874760 \h </w:instrText>
            </w:r>
            <w:r>
              <w:rPr>
                <w:webHidden/>
              </w:rPr>
            </w:r>
            <w:r>
              <w:rPr>
                <w:webHidden/>
              </w:rPr>
              <w:fldChar w:fldCharType="separate"/>
            </w:r>
            <w:r>
              <w:rPr>
                <w:webHidden/>
              </w:rPr>
              <w:t>105</w:t>
            </w:r>
            <w:r>
              <w:rPr>
                <w:webHidden/>
              </w:rPr>
              <w:fldChar w:fldCharType="end"/>
            </w:r>
          </w:hyperlink>
        </w:p>
        <w:p w14:paraId="3D36E749" w14:textId="0DD071CD" w:rsidR="00274557" w:rsidRDefault="00274557">
          <w:pPr>
            <w:pStyle w:val="TOC3"/>
            <w:rPr>
              <w:rFonts w:asciiTheme="minorHAnsi" w:hAnsiTheme="minorHAnsi"/>
              <w:sz w:val="22"/>
            </w:rPr>
          </w:pPr>
          <w:hyperlink w:anchor="_Toc192874761" w:history="1">
            <w:r>
              <w:rPr>
                <w:rStyle w:val="Hyperlink"/>
                <w:bCs/>
              </w:rPr>
              <w:t>2.22.1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_Toc192874761 \h </w:instrText>
            </w:r>
            <w:r>
              <w:rPr>
                <w:webHidden/>
              </w:rPr>
            </w:r>
            <w:r>
              <w:rPr>
                <w:webHidden/>
              </w:rPr>
              <w:fldChar w:fldCharType="separate"/>
            </w:r>
            <w:r>
              <w:rPr>
                <w:webHidden/>
              </w:rPr>
              <w:t>105</w:t>
            </w:r>
            <w:r>
              <w:rPr>
                <w:webHidden/>
              </w:rPr>
              <w:fldChar w:fldCharType="end"/>
            </w:r>
          </w:hyperlink>
        </w:p>
        <w:p w14:paraId="7E53AC24" w14:textId="76AAE609" w:rsidR="00274557" w:rsidRDefault="00274557">
          <w:pPr>
            <w:pStyle w:val="TOC3"/>
            <w:rPr>
              <w:rFonts w:asciiTheme="minorHAnsi" w:hAnsiTheme="minorHAnsi"/>
              <w:sz w:val="22"/>
            </w:rPr>
          </w:pPr>
          <w:hyperlink w:anchor="_Toc192874762" w:history="1">
            <w:r>
              <w:rPr>
                <w:rStyle w:val="Hyperlink"/>
                <w:bCs/>
              </w:rPr>
              <w:t>2.22.2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_Toc192874762 \h </w:instrText>
            </w:r>
            <w:r>
              <w:rPr>
                <w:webHidden/>
              </w:rPr>
            </w:r>
            <w:r>
              <w:rPr>
                <w:webHidden/>
              </w:rPr>
              <w:fldChar w:fldCharType="separate"/>
            </w:r>
            <w:r>
              <w:rPr>
                <w:webHidden/>
              </w:rPr>
              <w:t>105</w:t>
            </w:r>
            <w:r>
              <w:rPr>
                <w:webHidden/>
              </w:rPr>
              <w:fldChar w:fldCharType="end"/>
            </w:r>
          </w:hyperlink>
        </w:p>
        <w:p w14:paraId="6AFFCC00" w14:textId="68E87D75" w:rsidR="00274557" w:rsidRDefault="00274557">
          <w:pPr>
            <w:pStyle w:val="TOC3"/>
            <w:rPr>
              <w:rFonts w:asciiTheme="minorHAnsi" w:hAnsiTheme="minorHAnsi"/>
              <w:sz w:val="22"/>
            </w:rPr>
          </w:pPr>
          <w:hyperlink w:anchor="_Toc192874763" w:history="1">
            <w:r>
              <w:rPr>
                <w:rStyle w:val="Hyperlink"/>
                <w:bCs/>
              </w:rPr>
              <w:t>2.22.3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_Toc192874763 \h </w:instrText>
            </w:r>
            <w:r>
              <w:rPr>
                <w:webHidden/>
              </w:rPr>
            </w:r>
            <w:r>
              <w:rPr>
                <w:webHidden/>
              </w:rPr>
              <w:fldChar w:fldCharType="separate"/>
            </w:r>
            <w:r>
              <w:rPr>
                <w:webHidden/>
              </w:rPr>
              <w:t>106</w:t>
            </w:r>
            <w:r>
              <w:rPr>
                <w:webHidden/>
              </w:rPr>
              <w:fldChar w:fldCharType="end"/>
            </w:r>
          </w:hyperlink>
        </w:p>
        <w:p w14:paraId="7241FDA1" w14:textId="23CA68C4" w:rsidR="00274557" w:rsidRDefault="00274557">
          <w:pPr>
            <w:pStyle w:val="TOC2"/>
            <w:rPr>
              <w:rFonts w:asciiTheme="minorHAnsi" w:eastAsiaTheme="minorEastAsia" w:hAnsiTheme="minorHAnsi"/>
              <w:b w:val="0"/>
              <w:kern w:val="2"/>
              <w:sz w:val="22"/>
              <w:lang w:val="en-US"/>
              <w14:ligatures w14:val="standardContextual"/>
            </w:rPr>
          </w:pPr>
          <w:hyperlink w:anchor="_Toc192874764" w:history="1">
            <w:r>
              <w:rPr>
                <w:rStyle w:val="Hyperlink"/>
              </w:rPr>
              <w:t>2.23</w:t>
            </w:r>
            <w:r>
              <w:rPr>
                <w:rFonts w:asciiTheme="minorHAnsi" w:eastAsiaTheme="minorEastAsia" w:hAnsiTheme="minorHAnsi"/>
                <w:b w:val="0"/>
                <w:kern w:val="2"/>
                <w:sz w:val="22"/>
                <w:lang w:val="en-US"/>
                <w14:ligatures w14:val="standardContextual"/>
              </w:rPr>
              <w:tab/>
            </w:r>
            <w:r>
              <w:rPr>
                <w:rStyle w:val="Hyperlink"/>
              </w:rPr>
              <w:t>the build server</w:t>
            </w:r>
            <w:r>
              <w:rPr>
                <w:webHidden/>
              </w:rPr>
              <w:tab/>
            </w:r>
            <w:r>
              <w:rPr>
                <w:webHidden/>
              </w:rPr>
              <w:fldChar w:fldCharType="begin"/>
            </w:r>
            <w:r>
              <w:rPr>
                <w:webHidden/>
              </w:rPr>
              <w:instrText xml:space="preserve"> PAGEREF _Toc192874764 \h </w:instrText>
            </w:r>
            <w:r>
              <w:rPr>
                <w:webHidden/>
              </w:rPr>
            </w:r>
            <w:r>
              <w:rPr>
                <w:webHidden/>
              </w:rPr>
              <w:fldChar w:fldCharType="separate"/>
            </w:r>
            <w:r>
              <w:rPr>
                <w:webHidden/>
              </w:rPr>
              <w:t>106</w:t>
            </w:r>
            <w:r>
              <w:rPr>
                <w:webHidden/>
              </w:rPr>
              <w:fldChar w:fldCharType="end"/>
            </w:r>
          </w:hyperlink>
        </w:p>
        <w:p w14:paraId="68ABFD66" w14:textId="720968A7" w:rsidR="00274557" w:rsidRDefault="00274557">
          <w:pPr>
            <w:pStyle w:val="TOC3"/>
            <w:rPr>
              <w:rFonts w:asciiTheme="minorHAnsi" w:hAnsiTheme="minorHAnsi"/>
              <w:sz w:val="22"/>
            </w:rPr>
          </w:pPr>
          <w:hyperlink w:anchor="_Toc192874765" w:history="1">
            <w:r>
              <w:rPr>
                <w:rStyle w:val="Hyperlink"/>
                <w:bCs/>
              </w:rPr>
              <w:t>2.23.1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_Toc192874765 \h </w:instrText>
            </w:r>
            <w:r>
              <w:rPr>
                <w:webHidden/>
              </w:rPr>
            </w:r>
            <w:r>
              <w:rPr>
                <w:webHidden/>
              </w:rPr>
              <w:fldChar w:fldCharType="separate"/>
            </w:r>
            <w:r>
              <w:rPr>
                <w:webHidden/>
              </w:rPr>
              <w:t>106</w:t>
            </w:r>
            <w:r>
              <w:rPr>
                <w:webHidden/>
              </w:rPr>
              <w:fldChar w:fldCharType="end"/>
            </w:r>
          </w:hyperlink>
        </w:p>
        <w:p w14:paraId="29253242" w14:textId="52192F7F" w:rsidR="00274557" w:rsidRDefault="00274557">
          <w:pPr>
            <w:pStyle w:val="TOC3"/>
            <w:rPr>
              <w:rFonts w:asciiTheme="minorHAnsi" w:hAnsiTheme="minorHAnsi"/>
              <w:sz w:val="22"/>
            </w:rPr>
          </w:pPr>
          <w:hyperlink w:anchor="_Toc192874766" w:history="1">
            <w:r>
              <w:rPr>
                <w:rStyle w:val="Hyperlink"/>
                <w:bCs/>
              </w:rPr>
              <w:t>2.23.2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_Toc192874766 \h </w:instrText>
            </w:r>
            <w:r>
              <w:rPr>
                <w:webHidden/>
              </w:rPr>
            </w:r>
            <w:r>
              <w:rPr>
                <w:webHidden/>
              </w:rPr>
              <w:fldChar w:fldCharType="separate"/>
            </w:r>
            <w:r>
              <w:rPr>
                <w:webHidden/>
              </w:rPr>
              <w:t>107</w:t>
            </w:r>
            <w:r>
              <w:rPr>
                <w:webHidden/>
              </w:rPr>
              <w:fldChar w:fldCharType="end"/>
            </w:r>
          </w:hyperlink>
        </w:p>
        <w:p w14:paraId="1305DFA7" w14:textId="6BC657A8" w:rsidR="00274557" w:rsidRDefault="00274557">
          <w:pPr>
            <w:pStyle w:val="TOC3"/>
            <w:rPr>
              <w:rFonts w:asciiTheme="minorHAnsi" w:hAnsiTheme="minorHAnsi"/>
              <w:sz w:val="22"/>
            </w:rPr>
          </w:pPr>
          <w:hyperlink w:anchor="_Toc192874767" w:history="1">
            <w:r>
              <w:rPr>
                <w:rStyle w:val="Hyperlink"/>
                <w:bCs/>
              </w:rPr>
              <w:t>2.23.3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_Toc192874767 \h </w:instrText>
            </w:r>
            <w:r>
              <w:rPr>
                <w:webHidden/>
              </w:rPr>
            </w:r>
            <w:r>
              <w:rPr>
                <w:webHidden/>
              </w:rPr>
              <w:fldChar w:fldCharType="separate"/>
            </w:r>
            <w:r>
              <w:rPr>
                <w:webHidden/>
              </w:rPr>
              <w:t>107</w:t>
            </w:r>
            <w:r>
              <w:rPr>
                <w:webHidden/>
              </w:rPr>
              <w:fldChar w:fldCharType="end"/>
            </w:r>
          </w:hyperlink>
        </w:p>
        <w:p w14:paraId="6361BCB1" w14:textId="5C6BDD3A" w:rsidR="00274557" w:rsidRDefault="00274557">
          <w:pPr>
            <w:pStyle w:val="TOC2"/>
            <w:rPr>
              <w:rFonts w:asciiTheme="minorHAnsi" w:eastAsiaTheme="minorEastAsia" w:hAnsiTheme="minorHAnsi"/>
              <w:b w:val="0"/>
              <w:kern w:val="2"/>
              <w:sz w:val="22"/>
              <w:lang w:val="en-US"/>
              <w14:ligatures w14:val="standardContextual"/>
            </w:rPr>
          </w:pPr>
          <w:hyperlink w:anchor="_Toc192874768" w:history="1">
            <w:r>
              <w:rPr>
                <w:rStyle w:val="Hyperlink"/>
              </w:rPr>
              <w:t>2.24</w:t>
            </w:r>
            <w:r>
              <w:rPr>
                <w:rFonts w:asciiTheme="minorHAnsi" w:eastAsiaTheme="minorEastAsia" w:hAnsiTheme="minorHAnsi"/>
                <w:b w:val="0"/>
                <w:kern w:val="2"/>
                <w:sz w:val="22"/>
                <w:lang w:val="en-US"/>
                <w14:ligatures w14:val="standardContextual"/>
              </w:rPr>
              <w:tab/>
            </w:r>
            <w:r>
              <w:rPr>
                <w:rStyle w:val="Hyperlink"/>
              </w:rPr>
              <w:t>artifact repository</w:t>
            </w:r>
            <w:r>
              <w:rPr>
                <w:webHidden/>
              </w:rPr>
              <w:tab/>
            </w:r>
            <w:r>
              <w:rPr>
                <w:webHidden/>
              </w:rPr>
              <w:fldChar w:fldCharType="begin"/>
            </w:r>
            <w:r>
              <w:rPr>
                <w:webHidden/>
              </w:rPr>
              <w:instrText xml:space="preserve"> PAGEREF _Toc192874768 \h </w:instrText>
            </w:r>
            <w:r>
              <w:rPr>
                <w:webHidden/>
              </w:rPr>
            </w:r>
            <w:r>
              <w:rPr>
                <w:webHidden/>
              </w:rPr>
              <w:fldChar w:fldCharType="separate"/>
            </w:r>
            <w:r>
              <w:rPr>
                <w:webHidden/>
              </w:rPr>
              <w:t>107</w:t>
            </w:r>
            <w:r>
              <w:rPr>
                <w:webHidden/>
              </w:rPr>
              <w:fldChar w:fldCharType="end"/>
            </w:r>
          </w:hyperlink>
        </w:p>
        <w:p w14:paraId="3790C6E4" w14:textId="33F981AD" w:rsidR="00274557" w:rsidRDefault="00274557">
          <w:pPr>
            <w:pStyle w:val="TOC3"/>
            <w:rPr>
              <w:rFonts w:asciiTheme="minorHAnsi" w:hAnsiTheme="minorHAnsi"/>
              <w:sz w:val="22"/>
            </w:rPr>
          </w:pPr>
          <w:hyperlink w:anchor="_Toc192874769" w:history="1">
            <w:r>
              <w:rPr>
                <w:rStyle w:val="Hyperlink"/>
                <w:rFonts w:eastAsia="Times New Roman"/>
                <w:bCs/>
              </w:rPr>
              <w:t>2.24.1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_Toc192874769 \h </w:instrText>
            </w:r>
            <w:r>
              <w:rPr>
                <w:webHidden/>
              </w:rPr>
            </w:r>
            <w:r>
              <w:rPr>
                <w:webHidden/>
              </w:rPr>
              <w:fldChar w:fldCharType="separate"/>
            </w:r>
            <w:r>
              <w:rPr>
                <w:webHidden/>
              </w:rPr>
              <w:t>108</w:t>
            </w:r>
            <w:r>
              <w:rPr>
                <w:webHidden/>
              </w:rPr>
              <w:fldChar w:fldCharType="end"/>
            </w:r>
          </w:hyperlink>
        </w:p>
        <w:p w14:paraId="482AE495" w14:textId="29598A3B" w:rsidR="00274557" w:rsidRDefault="00274557">
          <w:pPr>
            <w:pStyle w:val="TOC3"/>
            <w:rPr>
              <w:rFonts w:asciiTheme="minorHAnsi" w:hAnsiTheme="minorHAnsi"/>
              <w:sz w:val="22"/>
            </w:rPr>
          </w:pPr>
          <w:hyperlink w:anchor="_Toc192874770" w:history="1">
            <w:r>
              <w:rPr>
                <w:rStyle w:val="Hyperlink"/>
                <w:bCs/>
              </w:rPr>
              <w:t>2.24.2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_Toc192874770 \h </w:instrText>
            </w:r>
            <w:r>
              <w:rPr>
                <w:webHidden/>
              </w:rPr>
            </w:r>
            <w:r>
              <w:rPr>
                <w:webHidden/>
              </w:rPr>
              <w:fldChar w:fldCharType="separate"/>
            </w:r>
            <w:r>
              <w:rPr>
                <w:webHidden/>
              </w:rPr>
              <w:t>108</w:t>
            </w:r>
            <w:r>
              <w:rPr>
                <w:webHidden/>
              </w:rPr>
              <w:fldChar w:fldCharType="end"/>
            </w:r>
          </w:hyperlink>
        </w:p>
        <w:p w14:paraId="308FF41C" w14:textId="39D270CB" w:rsidR="00274557" w:rsidRDefault="00274557">
          <w:pPr>
            <w:pStyle w:val="TOC3"/>
            <w:rPr>
              <w:rFonts w:asciiTheme="minorHAnsi" w:hAnsiTheme="minorHAnsi"/>
              <w:sz w:val="22"/>
            </w:rPr>
          </w:pPr>
          <w:hyperlink w:anchor="_Toc192874771" w:history="1">
            <w:r>
              <w:rPr>
                <w:rStyle w:val="Hyperlink"/>
                <w:bCs/>
              </w:rPr>
              <w:t>2.24.3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_Toc192874771 \h </w:instrText>
            </w:r>
            <w:r>
              <w:rPr>
                <w:webHidden/>
              </w:rPr>
            </w:r>
            <w:r>
              <w:rPr>
                <w:webHidden/>
              </w:rPr>
              <w:fldChar w:fldCharType="separate"/>
            </w:r>
            <w:r>
              <w:rPr>
                <w:webHidden/>
              </w:rPr>
              <w:t>109</w:t>
            </w:r>
            <w:r>
              <w:rPr>
                <w:webHidden/>
              </w:rPr>
              <w:fldChar w:fldCharType="end"/>
            </w:r>
          </w:hyperlink>
        </w:p>
        <w:p w14:paraId="1D9490B1" w14:textId="19875B52" w:rsidR="00274557" w:rsidRDefault="00274557">
          <w:pPr>
            <w:pStyle w:val="TOC2"/>
            <w:rPr>
              <w:rFonts w:asciiTheme="minorHAnsi" w:eastAsiaTheme="minorEastAsia" w:hAnsiTheme="minorHAnsi"/>
              <w:b w:val="0"/>
              <w:kern w:val="2"/>
              <w:sz w:val="22"/>
              <w:lang w:val="en-US"/>
              <w14:ligatures w14:val="standardContextual"/>
            </w:rPr>
          </w:pPr>
          <w:hyperlink w:anchor="_Toc192874772" w:history="1">
            <w:r>
              <w:rPr>
                <w:rStyle w:val="Hyperlink"/>
              </w:rPr>
              <w:t>2.25</w:t>
            </w:r>
            <w:r>
              <w:rPr>
                <w:rFonts w:asciiTheme="minorHAnsi" w:eastAsiaTheme="minorEastAsia" w:hAnsiTheme="minorHAnsi"/>
                <w:b w:val="0"/>
                <w:kern w:val="2"/>
                <w:sz w:val="22"/>
                <w:lang w:val="en-US"/>
                <w14:ligatures w14:val="standardContextual"/>
              </w:rPr>
              <w:tab/>
            </w:r>
            <w:r>
              <w:rPr>
                <w:rStyle w:val="Hyperlink"/>
              </w:rPr>
              <w:t>Selenium</w:t>
            </w:r>
            <w:r>
              <w:rPr>
                <w:webHidden/>
              </w:rPr>
              <w:tab/>
            </w:r>
            <w:r>
              <w:rPr>
                <w:webHidden/>
              </w:rPr>
              <w:fldChar w:fldCharType="begin"/>
            </w:r>
            <w:r>
              <w:rPr>
                <w:webHidden/>
              </w:rPr>
              <w:instrText xml:space="preserve"> PAGEREF _Toc192874772 \h </w:instrText>
            </w:r>
            <w:r>
              <w:rPr>
                <w:webHidden/>
              </w:rPr>
            </w:r>
            <w:r>
              <w:rPr>
                <w:webHidden/>
              </w:rPr>
              <w:fldChar w:fldCharType="separate"/>
            </w:r>
            <w:r>
              <w:rPr>
                <w:webHidden/>
              </w:rPr>
              <w:t>109</w:t>
            </w:r>
            <w:r>
              <w:rPr>
                <w:webHidden/>
              </w:rPr>
              <w:fldChar w:fldCharType="end"/>
            </w:r>
          </w:hyperlink>
        </w:p>
        <w:p w14:paraId="677FAAD1" w14:textId="573941BD" w:rsidR="00274557" w:rsidRDefault="00274557">
          <w:pPr>
            <w:pStyle w:val="TOC3"/>
            <w:rPr>
              <w:rFonts w:asciiTheme="minorHAnsi" w:hAnsiTheme="minorHAnsi"/>
              <w:sz w:val="22"/>
            </w:rPr>
          </w:pPr>
          <w:hyperlink w:anchor="_Toc192874773" w:history="1">
            <w:r>
              <w:rPr>
                <w:rStyle w:val="Hyperlink"/>
                <w:bCs/>
              </w:rPr>
              <w:t>2.25.1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_Toc192874773 \h </w:instrText>
            </w:r>
            <w:r>
              <w:rPr>
                <w:webHidden/>
              </w:rPr>
            </w:r>
            <w:r>
              <w:rPr>
                <w:webHidden/>
              </w:rPr>
              <w:fldChar w:fldCharType="separate"/>
            </w:r>
            <w:r>
              <w:rPr>
                <w:webHidden/>
              </w:rPr>
              <w:t>110</w:t>
            </w:r>
            <w:r>
              <w:rPr>
                <w:webHidden/>
              </w:rPr>
              <w:fldChar w:fldCharType="end"/>
            </w:r>
          </w:hyperlink>
        </w:p>
        <w:p w14:paraId="27C90FEF" w14:textId="300E198F" w:rsidR="00274557" w:rsidRDefault="00274557">
          <w:pPr>
            <w:pStyle w:val="TOC3"/>
            <w:rPr>
              <w:rFonts w:asciiTheme="minorHAnsi" w:hAnsiTheme="minorHAnsi"/>
              <w:sz w:val="22"/>
            </w:rPr>
          </w:pPr>
          <w:hyperlink w:anchor="_Toc192874774" w:history="1">
            <w:r>
              <w:rPr>
                <w:rStyle w:val="Hyperlink"/>
                <w:bCs/>
              </w:rPr>
              <w:t>2.25.2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_Toc192874774 \h </w:instrText>
            </w:r>
            <w:r>
              <w:rPr>
                <w:webHidden/>
              </w:rPr>
            </w:r>
            <w:r>
              <w:rPr>
                <w:webHidden/>
              </w:rPr>
              <w:fldChar w:fldCharType="separate"/>
            </w:r>
            <w:r>
              <w:rPr>
                <w:webHidden/>
              </w:rPr>
              <w:t>110</w:t>
            </w:r>
            <w:r>
              <w:rPr>
                <w:webHidden/>
              </w:rPr>
              <w:fldChar w:fldCharType="end"/>
            </w:r>
          </w:hyperlink>
        </w:p>
        <w:p w14:paraId="67750EE6" w14:textId="325E484B" w:rsidR="00274557" w:rsidRDefault="00274557">
          <w:pPr>
            <w:pStyle w:val="TOC3"/>
            <w:rPr>
              <w:rFonts w:asciiTheme="minorHAnsi" w:hAnsiTheme="minorHAnsi"/>
              <w:sz w:val="22"/>
            </w:rPr>
          </w:pPr>
          <w:hyperlink w:anchor="_Toc192874775" w:history="1">
            <w:r>
              <w:rPr>
                <w:rStyle w:val="Hyperlink"/>
                <w:bCs/>
              </w:rPr>
              <w:t>2.25.3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_Toc192874775 \h </w:instrText>
            </w:r>
            <w:r>
              <w:rPr>
                <w:webHidden/>
              </w:rPr>
            </w:r>
            <w:r>
              <w:rPr>
                <w:webHidden/>
              </w:rPr>
              <w:fldChar w:fldCharType="separate"/>
            </w:r>
            <w:r>
              <w:rPr>
                <w:webHidden/>
              </w:rPr>
              <w:t>111</w:t>
            </w:r>
            <w:r>
              <w:rPr>
                <w:webHidden/>
              </w:rPr>
              <w:fldChar w:fldCharType="end"/>
            </w:r>
          </w:hyperlink>
        </w:p>
        <w:p w14:paraId="10C98DE9" w14:textId="225B2828" w:rsidR="00274557" w:rsidRDefault="00274557">
          <w:pPr>
            <w:pStyle w:val="TOC2"/>
            <w:rPr>
              <w:rFonts w:asciiTheme="minorHAnsi" w:eastAsiaTheme="minorEastAsia" w:hAnsiTheme="minorHAnsi"/>
              <w:b w:val="0"/>
              <w:kern w:val="2"/>
              <w:sz w:val="22"/>
              <w:lang w:val="en-US"/>
              <w14:ligatures w14:val="standardContextual"/>
            </w:rPr>
          </w:pPr>
          <w:hyperlink w:anchor="_Toc192874776" w:history="1">
            <w:r>
              <w:rPr>
                <w:rStyle w:val="Hyperlink"/>
              </w:rPr>
              <w:t>2.26</w:t>
            </w:r>
            <w:r>
              <w:rPr>
                <w:rFonts w:asciiTheme="minorHAnsi" w:eastAsiaTheme="minorEastAsia" w:hAnsiTheme="minorHAnsi"/>
                <w:b w:val="0"/>
                <w:kern w:val="2"/>
                <w:sz w:val="22"/>
                <w:lang w:val="en-US"/>
                <w14:ligatures w14:val="standardContextual"/>
              </w:rPr>
              <w:tab/>
            </w:r>
            <w:r>
              <w:rPr>
                <w:rStyle w:val="Hyperlink"/>
              </w:rPr>
              <w:t>WAVE</w:t>
            </w:r>
            <w:r>
              <w:rPr>
                <w:webHidden/>
              </w:rPr>
              <w:tab/>
            </w:r>
            <w:r>
              <w:rPr>
                <w:webHidden/>
              </w:rPr>
              <w:fldChar w:fldCharType="begin"/>
            </w:r>
            <w:r>
              <w:rPr>
                <w:webHidden/>
              </w:rPr>
              <w:instrText xml:space="preserve"> PAGEREF _Toc192874776 \h </w:instrText>
            </w:r>
            <w:r>
              <w:rPr>
                <w:webHidden/>
              </w:rPr>
            </w:r>
            <w:r>
              <w:rPr>
                <w:webHidden/>
              </w:rPr>
              <w:fldChar w:fldCharType="separate"/>
            </w:r>
            <w:r>
              <w:rPr>
                <w:webHidden/>
              </w:rPr>
              <w:t>111</w:t>
            </w:r>
            <w:r>
              <w:rPr>
                <w:webHidden/>
              </w:rPr>
              <w:fldChar w:fldCharType="end"/>
            </w:r>
          </w:hyperlink>
        </w:p>
        <w:p w14:paraId="1F55DCE4" w14:textId="7D9BF67A" w:rsidR="00274557" w:rsidRDefault="00274557">
          <w:pPr>
            <w:pStyle w:val="TOC3"/>
            <w:rPr>
              <w:rFonts w:asciiTheme="minorHAnsi" w:hAnsiTheme="minorHAnsi"/>
              <w:sz w:val="22"/>
            </w:rPr>
          </w:pPr>
          <w:hyperlink w:anchor="_Toc192874777" w:history="1">
            <w:r>
              <w:rPr>
                <w:rStyle w:val="Hyperlink"/>
                <w:bCs/>
              </w:rPr>
              <w:t>2.26.1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_Toc192874777 \h </w:instrText>
            </w:r>
            <w:r>
              <w:rPr>
                <w:webHidden/>
              </w:rPr>
            </w:r>
            <w:r>
              <w:rPr>
                <w:webHidden/>
              </w:rPr>
              <w:fldChar w:fldCharType="separate"/>
            </w:r>
            <w:r>
              <w:rPr>
                <w:webHidden/>
              </w:rPr>
              <w:t>111</w:t>
            </w:r>
            <w:r>
              <w:rPr>
                <w:webHidden/>
              </w:rPr>
              <w:fldChar w:fldCharType="end"/>
            </w:r>
          </w:hyperlink>
        </w:p>
        <w:p w14:paraId="3C07E7FA" w14:textId="257F08F1" w:rsidR="00274557" w:rsidRDefault="00274557">
          <w:pPr>
            <w:pStyle w:val="TOC3"/>
            <w:rPr>
              <w:rFonts w:asciiTheme="minorHAnsi" w:hAnsiTheme="minorHAnsi"/>
              <w:sz w:val="22"/>
            </w:rPr>
          </w:pPr>
          <w:hyperlink w:anchor="_Toc192874778" w:history="1">
            <w:r>
              <w:rPr>
                <w:rStyle w:val="Hyperlink"/>
                <w:bCs/>
              </w:rPr>
              <w:t>2.26.2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_Toc192874778 \h </w:instrText>
            </w:r>
            <w:r>
              <w:rPr>
                <w:webHidden/>
              </w:rPr>
            </w:r>
            <w:r>
              <w:rPr>
                <w:webHidden/>
              </w:rPr>
              <w:fldChar w:fldCharType="separate"/>
            </w:r>
            <w:r>
              <w:rPr>
                <w:webHidden/>
              </w:rPr>
              <w:t>111</w:t>
            </w:r>
            <w:r>
              <w:rPr>
                <w:webHidden/>
              </w:rPr>
              <w:fldChar w:fldCharType="end"/>
            </w:r>
          </w:hyperlink>
        </w:p>
        <w:p w14:paraId="165B30CC" w14:textId="6C2FACE7" w:rsidR="00274557" w:rsidRDefault="00274557">
          <w:pPr>
            <w:pStyle w:val="TOC3"/>
            <w:rPr>
              <w:rFonts w:asciiTheme="minorHAnsi" w:hAnsiTheme="minorHAnsi"/>
              <w:sz w:val="22"/>
            </w:rPr>
          </w:pPr>
          <w:hyperlink w:anchor="_Toc192874779" w:history="1">
            <w:r>
              <w:rPr>
                <w:rStyle w:val="Hyperlink"/>
                <w:bCs/>
              </w:rPr>
              <w:t>2.26.3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_Toc192874779 \h </w:instrText>
            </w:r>
            <w:r>
              <w:rPr>
                <w:webHidden/>
              </w:rPr>
            </w:r>
            <w:r>
              <w:rPr>
                <w:webHidden/>
              </w:rPr>
              <w:fldChar w:fldCharType="separate"/>
            </w:r>
            <w:r>
              <w:rPr>
                <w:webHidden/>
              </w:rPr>
              <w:t>111</w:t>
            </w:r>
            <w:r>
              <w:rPr>
                <w:webHidden/>
              </w:rPr>
              <w:fldChar w:fldCharType="end"/>
            </w:r>
          </w:hyperlink>
        </w:p>
        <w:p w14:paraId="436BC6D2" w14:textId="56FABFA4" w:rsidR="00274557" w:rsidRDefault="00274557">
          <w:pPr>
            <w:pStyle w:val="TOC2"/>
            <w:rPr>
              <w:rFonts w:asciiTheme="minorHAnsi" w:eastAsiaTheme="minorEastAsia" w:hAnsiTheme="minorHAnsi"/>
              <w:b w:val="0"/>
              <w:kern w:val="2"/>
              <w:sz w:val="22"/>
              <w:lang w:val="en-US"/>
              <w14:ligatures w14:val="standardContextual"/>
            </w:rPr>
          </w:pPr>
          <w:hyperlink w:anchor="_Toc192874780" w:history="1">
            <w:r>
              <w:rPr>
                <w:rStyle w:val="Hyperlink"/>
              </w:rPr>
              <w:t>2.27</w:t>
            </w:r>
            <w:r>
              <w:rPr>
                <w:rFonts w:asciiTheme="minorHAnsi" w:eastAsiaTheme="minorEastAsia" w:hAnsiTheme="minorHAnsi"/>
                <w:b w:val="0"/>
                <w:kern w:val="2"/>
                <w:sz w:val="22"/>
                <w:lang w:val="en-US"/>
                <w14:ligatures w14:val="standardContextual"/>
              </w:rPr>
              <w:tab/>
            </w:r>
            <w:r>
              <w:rPr>
                <w:rStyle w:val="Hyperlink"/>
              </w:rPr>
              <w:t>JAWS</w:t>
            </w:r>
            <w:r>
              <w:rPr>
                <w:webHidden/>
              </w:rPr>
              <w:tab/>
            </w:r>
            <w:r>
              <w:rPr>
                <w:webHidden/>
              </w:rPr>
              <w:fldChar w:fldCharType="begin"/>
            </w:r>
            <w:r>
              <w:rPr>
                <w:webHidden/>
              </w:rPr>
              <w:instrText xml:space="preserve"> PAGEREF _Toc192874780 \h </w:instrText>
            </w:r>
            <w:r>
              <w:rPr>
                <w:webHidden/>
              </w:rPr>
            </w:r>
            <w:r>
              <w:rPr>
                <w:webHidden/>
              </w:rPr>
              <w:fldChar w:fldCharType="separate"/>
            </w:r>
            <w:r>
              <w:rPr>
                <w:webHidden/>
              </w:rPr>
              <w:t>111</w:t>
            </w:r>
            <w:r>
              <w:rPr>
                <w:webHidden/>
              </w:rPr>
              <w:fldChar w:fldCharType="end"/>
            </w:r>
          </w:hyperlink>
        </w:p>
        <w:p w14:paraId="18B72F6C" w14:textId="5310C03C" w:rsidR="00274557" w:rsidRDefault="00274557">
          <w:pPr>
            <w:pStyle w:val="TOC3"/>
            <w:rPr>
              <w:rFonts w:asciiTheme="minorHAnsi" w:hAnsiTheme="minorHAnsi"/>
              <w:sz w:val="22"/>
            </w:rPr>
          </w:pPr>
          <w:hyperlink w:anchor="_Toc192874781" w:history="1">
            <w:r>
              <w:rPr>
                <w:rStyle w:val="Hyperlink"/>
                <w:bCs/>
              </w:rPr>
              <w:t>2.27.1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_Toc192874781 \h </w:instrText>
            </w:r>
            <w:r>
              <w:rPr>
                <w:webHidden/>
              </w:rPr>
            </w:r>
            <w:r>
              <w:rPr>
                <w:webHidden/>
              </w:rPr>
              <w:fldChar w:fldCharType="separate"/>
            </w:r>
            <w:r>
              <w:rPr>
                <w:webHidden/>
              </w:rPr>
              <w:t>111</w:t>
            </w:r>
            <w:r>
              <w:rPr>
                <w:webHidden/>
              </w:rPr>
              <w:fldChar w:fldCharType="end"/>
            </w:r>
          </w:hyperlink>
        </w:p>
        <w:p w14:paraId="46A30080" w14:textId="6009A84D" w:rsidR="00274557" w:rsidRDefault="00274557">
          <w:pPr>
            <w:pStyle w:val="TOC3"/>
            <w:rPr>
              <w:rFonts w:asciiTheme="minorHAnsi" w:hAnsiTheme="minorHAnsi"/>
              <w:sz w:val="22"/>
            </w:rPr>
          </w:pPr>
          <w:hyperlink w:anchor="_Toc192874782" w:history="1">
            <w:r>
              <w:rPr>
                <w:rStyle w:val="Hyperlink"/>
                <w:bCs/>
              </w:rPr>
              <w:t>2.27.2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_Toc192874782 \h </w:instrText>
            </w:r>
            <w:r>
              <w:rPr>
                <w:webHidden/>
              </w:rPr>
            </w:r>
            <w:r>
              <w:rPr>
                <w:webHidden/>
              </w:rPr>
              <w:fldChar w:fldCharType="separate"/>
            </w:r>
            <w:r>
              <w:rPr>
                <w:webHidden/>
              </w:rPr>
              <w:t>112</w:t>
            </w:r>
            <w:r>
              <w:rPr>
                <w:webHidden/>
              </w:rPr>
              <w:fldChar w:fldCharType="end"/>
            </w:r>
          </w:hyperlink>
        </w:p>
        <w:p w14:paraId="7657062A" w14:textId="4597A16B" w:rsidR="00274557" w:rsidRDefault="00274557">
          <w:pPr>
            <w:pStyle w:val="TOC3"/>
            <w:rPr>
              <w:rFonts w:asciiTheme="minorHAnsi" w:hAnsiTheme="minorHAnsi"/>
              <w:sz w:val="22"/>
            </w:rPr>
          </w:pPr>
          <w:hyperlink w:anchor="_Toc192874783" w:history="1">
            <w:r>
              <w:rPr>
                <w:rStyle w:val="Hyperlink"/>
                <w:bCs/>
              </w:rPr>
              <w:t>2.27.3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_Toc192874783 \h </w:instrText>
            </w:r>
            <w:r>
              <w:rPr>
                <w:webHidden/>
              </w:rPr>
            </w:r>
            <w:r>
              <w:rPr>
                <w:webHidden/>
              </w:rPr>
              <w:fldChar w:fldCharType="separate"/>
            </w:r>
            <w:r>
              <w:rPr>
                <w:webHidden/>
              </w:rPr>
              <w:t>112</w:t>
            </w:r>
            <w:r>
              <w:rPr>
                <w:webHidden/>
              </w:rPr>
              <w:fldChar w:fldCharType="end"/>
            </w:r>
          </w:hyperlink>
        </w:p>
        <w:p w14:paraId="03946708" w14:textId="5ED00C24" w:rsidR="00274557" w:rsidRDefault="00274557">
          <w:pPr>
            <w:pStyle w:val="TOC2"/>
            <w:rPr>
              <w:rFonts w:asciiTheme="minorHAnsi" w:eastAsiaTheme="minorEastAsia" w:hAnsiTheme="minorHAnsi"/>
              <w:b w:val="0"/>
              <w:kern w:val="2"/>
              <w:sz w:val="22"/>
              <w:lang w:val="en-US"/>
              <w14:ligatures w14:val="standardContextual"/>
            </w:rPr>
          </w:pPr>
          <w:hyperlink w:anchor="_Toc192874784" w:history="1">
            <w:r>
              <w:rPr>
                <w:rStyle w:val="Hyperlink"/>
              </w:rPr>
              <w:t>2.28</w:t>
            </w:r>
            <w:r>
              <w:rPr>
                <w:rFonts w:asciiTheme="minorHAnsi" w:eastAsiaTheme="minorEastAsia" w:hAnsiTheme="minorHAnsi"/>
                <w:b w:val="0"/>
                <w:kern w:val="2"/>
                <w:sz w:val="22"/>
                <w:lang w:val="en-US"/>
                <w14:ligatures w14:val="standardContextual"/>
              </w:rPr>
              <w:tab/>
            </w:r>
            <w:r>
              <w:rPr>
                <w:rStyle w:val="Hyperlink"/>
              </w:rPr>
              <w:t>The test management tool</w:t>
            </w:r>
            <w:r>
              <w:rPr>
                <w:webHidden/>
              </w:rPr>
              <w:tab/>
            </w:r>
            <w:r>
              <w:rPr>
                <w:webHidden/>
              </w:rPr>
              <w:fldChar w:fldCharType="begin"/>
            </w:r>
            <w:r>
              <w:rPr>
                <w:webHidden/>
              </w:rPr>
              <w:instrText xml:space="preserve"> PAGEREF _Toc192874784 \h </w:instrText>
            </w:r>
            <w:r>
              <w:rPr>
                <w:webHidden/>
              </w:rPr>
            </w:r>
            <w:r>
              <w:rPr>
                <w:webHidden/>
              </w:rPr>
              <w:fldChar w:fldCharType="separate"/>
            </w:r>
            <w:r>
              <w:rPr>
                <w:webHidden/>
              </w:rPr>
              <w:t>112</w:t>
            </w:r>
            <w:r>
              <w:rPr>
                <w:webHidden/>
              </w:rPr>
              <w:fldChar w:fldCharType="end"/>
            </w:r>
          </w:hyperlink>
        </w:p>
        <w:p w14:paraId="6F41556D" w14:textId="23A5741F" w:rsidR="00274557" w:rsidRDefault="00274557">
          <w:pPr>
            <w:pStyle w:val="TOC3"/>
            <w:rPr>
              <w:rFonts w:asciiTheme="minorHAnsi" w:hAnsiTheme="minorHAnsi"/>
              <w:sz w:val="22"/>
            </w:rPr>
          </w:pPr>
          <w:hyperlink w:anchor="_Toc192874785" w:history="1">
            <w:r>
              <w:rPr>
                <w:rStyle w:val="Hyperlink"/>
                <w:bCs/>
              </w:rPr>
              <w:t>2.28.1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_Toc192874785 \h </w:instrText>
            </w:r>
            <w:r>
              <w:rPr>
                <w:webHidden/>
              </w:rPr>
            </w:r>
            <w:r>
              <w:rPr>
                <w:webHidden/>
              </w:rPr>
              <w:fldChar w:fldCharType="separate"/>
            </w:r>
            <w:r>
              <w:rPr>
                <w:webHidden/>
              </w:rPr>
              <w:t>112</w:t>
            </w:r>
            <w:r>
              <w:rPr>
                <w:webHidden/>
              </w:rPr>
              <w:fldChar w:fldCharType="end"/>
            </w:r>
          </w:hyperlink>
        </w:p>
        <w:p w14:paraId="3877274A" w14:textId="460F6DD1" w:rsidR="00274557" w:rsidRDefault="00274557">
          <w:pPr>
            <w:pStyle w:val="TOC3"/>
            <w:rPr>
              <w:rFonts w:asciiTheme="minorHAnsi" w:hAnsiTheme="minorHAnsi"/>
              <w:sz w:val="22"/>
            </w:rPr>
          </w:pPr>
          <w:hyperlink w:anchor="_Toc192874786" w:history="1">
            <w:r>
              <w:rPr>
                <w:rStyle w:val="Hyperlink"/>
                <w:bCs/>
              </w:rPr>
              <w:t>2.28.2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_Toc192874786 \h </w:instrText>
            </w:r>
            <w:r>
              <w:rPr>
                <w:webHidden/>
              </w:rPr>
            </w:r>
            <w:r>
              <w:rPr>
                <w:webHidden/>
              </w:rPr>
              <w:fldChar w:fldCharType="separate"/>
            </w:r>
            <w:r>
              <w:rPr>
                <w:webHidden/>
              </w:rPr>
              <w:t>112</w:t>
            </w:r>
            <w:r>
              <w:rPr>
                <w:webHidden/>
              </w:rPr>
              <w:fldChar w:fldCharType="end"/>
            </w:r>
          </w:hyperlink>
        </w:p>
        <w:p w14:paraId="4E2B22EA" w14:textId="5405A775" w:rsidR="00274557" w:rsidRDefault="00274557">
          <w:pPr>
            <w:pStyle w:val="TOC3"/>
            <w:rPr>
              <w:rFonts w:asciiTheme="minorHAnsi" w:hAnsiTheme="minorHAnsi"/>
              <w:sz w:val="22"/>
            </w:rPr>
          </w:pPr>
          <w:hyperlink w:anchor="_Toc192874787" w:history="1">
            <w:r>
              <w:rPr>
                <w:rStyle w:val="Hyperlink"/>
                <w:bCs/>
              </w:rPr>
              <w:t>2.28.3</w:t>
            </w:r>
            <w:r>
              <w:rPr>
                <w:rFonts w:asciiTheme="minorHAnsi" w:hAnsiTheme="minorHAnsi"/>
                <w:sz w:val="22"/>
              </w:rPr>
              <w:tab/>
            </w:r>
            <w:r>
              <w:rPr>
                <w:rStyle w:val="Hyperlink"/>
              </w:rPr>
              <w:t>Accessing the Test Management Tool</w:t>
            </w:r>
            <w:r>
              <w:rPr>
                <w:webHidden/>
              </w:rPr>
              <w:tab/>
            </w:r>
            <w:r>
              <w:rPr>
                <w:webHidden/>
              </w:rPr>
              <w:fldChar w:fldCharType="begin"/>
            </w:r>
            <w:r>
              <w:rPr>
                <w:webHidden/>
              </w:rPr>
              <w:instrText xml:space="preserve"> PAGEREF _Toc192874787 \h </w:instrText>
            </w:r>
            <w:r>
              <w:rPr>
                <w:webHidden/>
              </w:rPr>
            </w:r>
            <w:r>
              <w:rPr>
                <w:webHidden/>
              </w:rPr>
              <w:fldChar w:fldCharType="separate"/>
            </w:r>
            <w:r>
              <w:rPr>
                <w:webHidden/>
              </w:rPr>
              <w:t>115</w:t>
            </w:r>
            <w:r>
              <w:rPr>
                <w:webHidden/>
              </w:rPr>
              <w:fldChar w:fldCharType="end"/>
            </w:r>
          </w:hyperlink>
        </w:p>
        <w:p w14:paraId="67E74D76" w14:textId="119AA570" w:rsidR="00274557" w:rsidRDefault="00274557">
          <w:pPr>
            <w:pStyle w:val="TOC2"/>
            <w:rPr>
              <w:rFonts w:asciiTheme="minorHAnsi" w:eastAsiaTheme="minorEastAsia" w:hAnsiTheme="minorHAnsi"/>
              <w:b w:val="0"/>
              <w:kern w:val="2"/>
              <w:sz w:val="22"/>
              <w:lang w:val="en-US"/>
              <w14:ligatures w14:val="standardContextual"/>
            </w:rPr>
          </w:pPr>
          <w:hyperlink w:anchor="_Toc192874788" w:history="1">
            <w:r>
              <w:rPr>
                <w:rStyle w:val="Hyperlink"/>
              </w:rPr>
              <w:t>2.29</w:t>
            </w:r>
            <w:r>
              <w:rPr>
                <w:rFonts w:asciiTheme="minorHAnsi" w:eastAsiaTheme="minorEastAsia" w:hAnsiTheme="minorHAnsi"/>
                <w:b w:val="0"/>
                <w:kern w:val="2"/>
                <w:sz w:val="22"/>
                <w:lang w:val="en-US"/>
                <w14:ligatures w14:val="standardContextual"/>
              </w:rPr>
              <w:tab/>
            </w:r>
            <w:r>
              <w:rPr>
                <w:rStyle w:val="Hyperlink"/>
              </w:rPr>
              <w:t>Checkmarx SAST</w:t>
            </w:r>
            <w:r>
              <w:rPr>
                <w:webHidden/>
              </w:rPr>
              <w:tab/>
            </w:r>
            <w:r>
              <w:rPr>
                <w:webHidden/>
              </w:rPr>
              <w:fldChar w:fldCharType="begin"/>
            </w:r>
            <w:r>
              <w:rPr>
                <w:webHidden/>
              </w:rPr>
              <w:instrText xml:space="preserve"> PAGEREF _Toc192874788 \h </w:instrText>
            </w:r>
            <w:r>
              <w:rPr>
                <w:webHidden/>
              </w:rPr>
            </w:r>
            <w:r>
              <w:rPr>
                <w:webHidden/>
              </w:rPr>
              <w:fldChar w:fldCharType="separate"/>
            </w:r>
            <w:r>
              <w:rPr>
                <w:webHidden/>
              </w:rPr>
              <w:t>115</w:t>
            </w:r>
            <w:r>
              <w:rPr>
                <w:webHidden/>
              </w:rPr>
              <w:fldChar w:fldCharType="end"/>
            </w:r>
          </w:hyperlink>
        </w:p>
        <w:p w14:paraId="2F939BA2" w14:textId="603DDFA9" w:rsidR="00274557" w:rsidRDefault="00274557">
          <w:pPr>
            <w:pStyle w:val="TOC3"/>
            <w:rPr>
              <w:rFonts w:asciiTheme="minorHAnsi" w:hAnsiTheme="minorHAnsi"/>
              <w:sz w:val="22"/>
            </w:rPr>
          </w:pPr>
          <w:hyperlink w:anchor="_Toc192874789" w:history="1">
            <w:r>
              <w:rPr>
                <w:rStyle w:val="Hyperlink"/>
                <w:bCs/>
              </w:rPr>
              <w:t>2.29.1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_Toc192874789 \h </w:instrText>
            </w:r>
            <w:r>
              <w:rPr>
                <w:webHidden/>
              </w:rPr>
            </w:r>
            <w:r>
              <w:rPr>
                <w:webHidden/>
              </w:rPr>
              <w:fldChar w:fldCharType="separate"/>
            </w:r>
            <w:r>
              <w:rPr>
                <w:webHidden/>
              </w:rPr>
              <w:t>115</w:t>
            </w:r>
            <w:r>
              <w:rPr>
                <w:webHidden/>
              </w:rPr>
              <w:fldChar w:fldCharType="end"/>
            </w:r>
          </w:hyperlink>
        </w:p>
        <w:p w14:paraId="4CC661AE" w14:textId="57448258" w:rsidR="00274557" w:rsidRDefault="00274557">
          <w:pPr>
            <w:pStyle w:val="TOC3"/>
            <w:rPr>
              <w:rFonts w:asciiTheme="minorHAnsi" w:hAnsiTheme="minorHAnsi"/>
              <w:sz w:val="22"/>
            </w:rPr>
          </w:pPr>
          <w:hyperlink w:anchor="_Toc192874790" w:history="1">
            <w:r>
              <w:rPr>
                <w:rStyle w:val="Hyperlink"/>
                <w:bCs/>
              </w:rPr>
              <w:t>2.29.2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_Toc192874790 \h </w:instrText>
            </w:r>
            <w:r>
              <w:rPr>
                <w:webHidden/>
              </w:rPr>
            </w:r>
            <w:r>
              <w:rPr>
                <w:webHidden/>
              </w:rPr>
              <w:fldChar w:fldCharType="separate"/>
            </w:r>
            <w:r>
              <w:rPr>
                <w:webHidden/>
              </w:rPr>
              <w:t>115</w:t>
            </w:r>
            <w:r>
              <w:rPr>
                <w:webHidden/>
              </w:rPr>
              <w:fldChar w:fldCharType="end"/>
            </w:r>
          </w:hyperlink>
        </w:p>
        <w:p w14:paraId="719E2327" w14:textId="6F495426" w:rsidR="00274557" w:rsidRDefault="00274557">
          <w:pPr>
            <w:pStyle w:val="TOC3"/>
            <w:rPr>
              <w:rFonts w:asciiTheme="minorHAnsi" w:hAnsiTheme="minorHAnsi"/>
              <w:sz w:val="22"/>
            </w:rPr>
          </w:pPr>
          <w:hyperlink w:anchor="_Toc192874791" w:history="1">
            <w:r>
              <w:rPr>
                <w:rStyle w:val="Hyperlink"/>
                <w:bCs/>
              </w:rPr>
              <w:t>2.29.3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_Toc192874791 \h </w:instrText>
            </w:r>
            <w:r>
              <w:rPr>
                <w:webHidden/>
              </w:rPr>
            </w:r>
            <w:r>
              <w:rPr>
                <w:webHidden/>
              </w:rPr>
              <w:fldChar w:fldCharType="separate"/>
            </w:r>
            <w:r>
              <w:rPr>
                <w:webHidden/>
              </w:rPr>
              <w:t>117</w:t>
            </w:r>
            <w:r>
              <w:rPr>
                <w:webHidden/>
              </w:rPr>
              <w:fldChar w:fldCharType="end"/>
            </w:r>
          </w:hyperlink>
        </w:p>
        <w:p w14:paraId="5AB7924B" w14:textId="7CBD92A6" w:rsidR="00274557" w:rsidRDefault="00274557">
          <w:pPr>
            <w:pStyle w:val="TOC2"/>
            <w:rPr>
              <w:rFonts w:asciiTheme="minorHAnsi" w:eastAsiaTheme="minorEastAsia" w:hAnsiTheme="minorHAnsi"/>
              <w:b w:val="0"/>
              <w:kern w:val="2"/>
              <w:sz w:val="22"/>
              <w:lang w:val="en-US"/>
              <w14:ligatures w14:val="standardContextual"/>
            </w:rPr>
          </w:pPr>
          <w:hyperlink w:anchor="_Toc192874792" w:history="1">
            <w:r>
              <w:rPr>
                <w:rStyle w:val="Hyperlink"/>
              </w:rPr>
              <w:t>2.30</w:t>
            </w:r>
            <w:r>
              <w:rPr>
                <w:rFonts w:asciiTheme="minorHAnsi" w:eastAsiaTheme="minorEastAsia" w:hAnsiTheme="minorHAnsi"/>
                <w:b w:val="0"/>
                <w:kern w:val="2"/>
                <w:sz w:val="22"/>
                <w:lang w:val="en-US"/>
                <w14:ligatures w14:val="standardContextual"/>
              </w:rPr>
              <w:tab/>
            </w:r>
            <w:r>
              <w:rPr>
                <w:rStyle w:val="Hyperlink"/>
              </w:rPr>
              <w:t>Burp Suite Pro</w:t>
            </w:r>
            <w:r>
              <w:rPr>
                <w:webHidden/>
              </w:rPr>
              <w:tab/>
            </w:r>
            <w:r>
              <w:rPr>
                <w:webHidden/>
              </w:rPr>
              <w:fldChar w:fldCharType="begin"/>
            </w:r>
            <w:r>
              <w:rPr>
                <w:webHidden/>
              </w:rPr>
              <w:instrText xml:space="preserve"> PAGEREF _Toc192874792 \h </w:instrText>
            </w:r>
            <w:r>
              <w:rPr>
                <w:webHidden/>
              </w:rPr>
            </w:r>
            <w:r>
              <w:rPr>
                <w:webHidden/>
              </w:rPr>
              <w:fldChar w:fldCharType="separate"/>
            </w:r>
            <w:r>
              <w:rPr>
                <w:webHidden/>
              </w:rPr>
              <w:t>117</w:t>
            </w:r>
            <w:r>
              <w:rPr>
                <w:webHidden/>
              </w:rPr>
              <w:fldChar w:fldCharType="end"/>
            </w:r>
          </w:hyperlink>
        </w:p>
        <w:p w14:paraId="4F741C4A" w14:textId="2A03062A" w:rsidR="00274557" w:rsidRDefault="00274557">
          <w:pPr>
            <w:pStyle w:val="TOC3"/>
            <w:rPr>
              <w:rFonts w:asciiTheme="minorHAnsi" w:hAnsiTheme="minorHAnsi"/>
              <w:sz w:val="22"/>
            </w:rPr>
          </w:pPr>
          <w:hyperlink w:anchor="_Toc192874793" w:history="1">
            <w:r>
              <w:rPr>
                <w:rStyle w:val="Hyperlink"/>
                <w:rFonts w:eastAsia="Times New Roman" w:cs="Times New Roman"/>
                <w:bCs/>
              </w:rPr>
              <w:t>2.30.1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_Toc192874793 \h </w:instrText>
            </w:r>
            <w:r>
              <w:rPr>
                <w:webHidden/>
              </w:rPr>
            </w:r>
            <w:r>
              <w:rPr>
                <w:webHidden/>
              </w:rPr>
              <w:fldChar w:fldCharType="separate"/>
            </w:r>
            <w:r>
              <w:rPr>
                <w:webHidden/>
              </w:rPr>
              <w:t>117</w:t>
            </w:r>
            <w:r>
              <w:rPr>
                <w:webHidden/>
              </w:rPr>
              <w:fldChar w:fldCharType="end"/>
            </w:r>
          </w:hyperlink>
        </w:p>
        <w:p w14:paraId="346E22F1" w14:textId="21FA50E5" w:rsidR="00274557" w:rsidRDefault="00274557">
          <w:pPr>
            <w:pStyle w:val="TOC3"/>
            <w:rPr>
              <w:rFonts w:asciiTheme="minorHAnsi" w:hAnsiTheme="minorHAnsi"/>
              <w:sz w:val="22"/>
            </w:rPr>
          </w:pPr>
          <w:hyperlink w:anchor="_Toc192874794" w:history="1">
            <w:r>
              <w:rPr>
                <w:rStyle w:val="Hyperlink"/>
                <w:bCs/>
              </w:rPr>
              <w:t>2.30.2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_Toc192874794 \h </w:instrText>
            </w:r>
            <w:r>
              <w:rPr>
                <w:webHidden/>
              </w:rPr>
            </w:r>
            <w:r>
              <w:rPr>
                <w:webHidden/>
              </w:rPr>
              <w:fldChar w:fldCharType="separate"/>
            </w:r>
            <w:r>
              <w:rPr>
                <w:webHidden/>
              </w:rPr>
              <w:t>117</w:t>
            </w:r>
            <w:r>
              <w:rPr>
                <w:webHidden/>
              </w:rPr>
              <w:fldChar w:fldCharType="end"/>
            </w:r>
          </w:hyperlink>
        </w:p>
        <w:p w14:paraId="003F4C26" w14:textId="56958D06" w:rsidR="00274557" w:rsidRDefault="00274557">
          <w:pPr>
            <w:pStyle w:val="TOC3"/>
            <w:rPr>
              <w:rFonts w:asciiTheme="minorHAnsi" w:hAnsiTheme="minorHAnsi"/>
              <w:sz w:val="22"/>
            </w:rPr>
          </w:pPr>
          <w:hyperlink w:anchor="_Toc192874795" w:history="1">
            <w:r>
              <w:rPr>
                <w:rStyle w:val="Hyperlink"/>
                <w:bCs/>
              </w:rPr>
              <w:t>2.30.3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_Toc192874795 \h </w:instrText>
            </w:r>
            <w:r>
              <w:rPr>
                <w:webHidden/>
              </w:rPr>
            </w:r>
            <w:r>
              <w:rPr>
                <w:webHidden/>
              </w:rPr>
              <w:fldChar w:fldCharType="separate"/>
            </w:r>
            <w:r>
              <w:rPr>
                <w:webHidden/>
              </w:rPr>
              <w:t>118</w:t>
            </w:r>
            <w:r>
              <w:rPr>
                <w:webHidden/>
              </w:rPr>
              <w:fldChar w:fldCharType="end"/>
            </w:r>
          </w:hyperlink>
        </w:p>
        <w:p w14:paraId="1759040E" w14:textId="3F2EF023" w:rsidR="00274557" w:rsidRDefault="00274557">
          <w:pPr>
            <w:pStyle w:val="TOC2"/>
            <w:rPr>
              <w:rFonts w:asciiTheme="minorHAnsi" w:eastAsiaTheme="minorEastAsia" w:hAnsiTheme="minorHAnsi"/>
              <w:b w:val="0"/>
              <w:kern w:val="2"/>
              <w:sz w:val="22"/>
              <w:lang w:val="en-US"/>
              <w14:ligatures w14:val="standardContextual"/>
            </w:rPr>
          </w:pPr>
          <w:hyperlink w:anchor="_Toc192874796" w:history="1">
            <w:r>
              <w:rPr>
                <w:rStyle w:val="Hyperlink"/>
              </w:rPr>
              <w:t>2.31</w:t>
            </w:r>
            <w:r>
              <w:rPr>
                <w:rFonts w:asciiTheme="minorHAnsi" w:eastAsiaTheme="minorEastAsia" w:hAnsiTheme="minorHAnsi"/>
                <w:b w:val="0"/>
                <w:kern w:val="2"/>
                <w:sz w:val="22"/>
                <w:lang w:val="en-US"/>
                <w14:ligatures w14:val="standardContextual"/>
              </w:rPr>
              <w:tab/>
            </w:r>
            <w:r>
              <w:rPr>
                <w:rStyle w:val="Hyperlink"/>
              </w:rPr>
              <w:t>LoadRunner Enterprise</w:t>
            </w:r>
            <w:r>
              <w:rPr>
                <w:webHidden/>
              </w:rPr>
              <w:tab/>
            </w:r>
            <w:r>
              <w:rPr>
                <w:webHidden/>
              </w:rPr>
              <w:fldChar w:fldCharType="begin"/>
            </w:r>
            <w:r>
              <w:rPr>
                <w:webHidden/>
              </w:rPr>
              <w:instrText xml:space="preserve"> PAGEREF _Toc192874796 \h </w:instrText>
            </w:r>
            <w:r>
              <w:rPr>
                <w:webHidden/>
              </w:rPr>
            </w:r>
            <w:r>
              <w:rPr>
                <w:webHidden/>
              </w:rPr>
              <w:fldChar w:fldCharType="separate"/>
            </w:r>
            <w:r>
              <w:rPr>
                <w:webHidden/>
              </w:rPr>
              <w:t>118</w:t>
            </w:r>
            <w:r>
              <w:rPr>
                <w:webHidden/>
              </w:rPr>
              <w:fldChar w:fldCharType="end"/>
            </w:r>
          </w:hyperlink>
        </w:p>
        <w:p w14:paraId="4CFD540B" w14:textId="762A8FF3" w:rsidR="00274557" w:rsidRDefault="00274557">
          <w:pPr>
            <w:pStyle w:val="TOC3"/>
            <w:rPr>
              <w:rFonts w:asciiTheme="minorHAnsi" w:hAnsiTheme="minorHAnsi"/>
              <w:sz w:val="22"/>
            </w:rPr>
          </w:pPr>
          <w:hyperlink w:anchor="_Toc192874797" w:history="1">
            <w:r>
              <w:rPr>
                <w:rStyle w:val="Hyperlink"/>
                <w:bCs/>
              </w:rPr>
              <w:t>2.31.1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_Toc192874797 \h </w:instrText>
            </w:r>
            <w:r>
              <w:rPr>
                <w:webHidden/>
              </w:rPr>
            </w:r>
            <w:r>
              <w:rPr>
                <w:webHidden/>
              </w:rPr>
              <w:fldChar w:fldCharType="separate"/>
            </w:r>
            <w:r>
              <w:rPr>
                <w:webHidden/>
              </w:rPr>
              <w:t>119</w:t>
            </w:r>
            <w:r>
              <w:rPr>
                <w:webHidden/>
              </w:rPr>
              <w:fldChar w:fldCharType="end"/>
            </w:r>
          </w:hyperlink>
        </w:p>
        <w:p w14:paraId="2D8E12BB" w14:textId="350E8A1F" w:rsidR="00274557" w:rsidRDefault="00274557">
          <w:pPr>
            <w:pStyle w:val="TOC3"/>
            <w:rPr>
              <w:rFonts w:asciiTheme="minorHAnsi" w:hAnsiTheme="minorHAnsi"/>
              <w:sz w:val="22"/>
            </w:rPr>
          </w:pPr>
          <w:hyperlink w:anchor="_Toc192874798" w:history="1">
            <w:r>
              <w:rPr>
                <w:rStyle w:val="Hyperlink"/>
                <w:bCs/>
              </w:rPr>
              <w:t>2.31.2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_Toc192874798 \h </w:instrText>
            </w:r>
            <w:r>
              <w:rPr>
                <w:webHidden/>
              </w:rPr>
            </w:r>
            <w:r>
              <w:rPr>
                <w:webHidden/>
              </w:rPr>
              <w:fldChar w:fldCharType="separate"/>
            </w:r>
            <w:r>
              <w:rPr>
                <w:webHidden/>
              </w:rPr>
              <w:t>119</w:t>
            </w:r>
            <w:r>
              <w:rPr>
                <w:webHidden/>
              </w:rPr>
              <w:fldChar w:fldCharType="end"/>
            </w:r>
          </w:hyperlink>
        </w:p>
        <w:p w14:paraId="3E7148BB" w14:textId="070A4351" w:rsidR="00274557" w:rsidRDefault="00274557">
          <w:pPr>
            <w:pStyle w:val="TOC3"/>
            <w:rPr>
              <w:rFonts w:asciiTheme="minorHAnsi" w:hAnsiTheme="minorHAnsi"/>
              <w:sz w:val="22"/>
            </w:rPr>
          </w:pPr>
          <w:hyperlink w:anchor="_Toc192874799" w:history="1">
            <w:r>
              <w:rPr>
                <w:rStyle w:val="Hyperlink"/>
                <w:bCs/>
              </w:rPr>
              <w:t>2.31.3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_Toc192874799 \h </w:instrText>
            </w:r>
            <w:r>
              <w:rPr>
                <w:webHidden/>
              </w:rPr>
            </w:r>
            <w:r>
              <w:rPr>
                <w:webHidden/>
              </w:rPr>
              <w:fldChar w:fldCharType="separate"/>
            </w:r>
            <w:r>
              <w:rPr>
                <w:webHidden/>
              </w:rPr>
              <w:t>119</w:t>
            </w:r>
            <w:r>
              <w:rPr>
                <w:webHidden/>
              </w:rPr>
              <w:fldChar w:fldCharType="end"/>
            </w:r>
          </w:hyperlink>
        </w:p>
        <w:p w14:paraId="1AFFFBA3" w14:textId="3E9BB85B" w:rsidR="00274557" w:rsidRDefault="00274557">
          <w:pPr>
            <w:pStyle w:val="TOC2"/>
            <w:rPr>
              <w:rFonts w:asciiTheme="minorHAnsi" w:eastAsiaTheme="minorEastAsia" w:hAnsiTheme="minorHAnsi"/>
              <w:b w:val="0"/>
              <w:kern w:val="2"/>
              <w:sz w:val="22"/>
              <w:lang w:val="en-US"/>
              <w14:ligatures w14:val="standardContextual"/>
            </w:rPr>
          </w:pPr>
          <w:hyperlink w:anchor="_Toc192874800" w:history="1">
            <w:r>
              <w:rPr>
                <w:rStyle w:val="Hyperlink"/>
              </w:rPr>
              <w:t>2.32</w:t>
            </w:r>
            <w:r>
              <w:rPr>
                <w:rFonts w:asciiTheme="minorHAnsi" w:eastAsiaTheme="minorEastAsia" w:hAnsiTheme="minorHAnsi"/>
                <w:b w:val="0"/>
                <w:kern w:val="2"/>
                <w:sz w:val="22"/>
                <w:lang w:val="en-US"/>
                <w14:ligatures w14:val="standardContextual"/>
              </w:rPr>
              <w:tab/>
            </w:r>
            <w:r>
              <w:rPr>
                <w:rStyle w:val="Hyperlink"/>
              </w:rPr>
              <w:t>Splunk</w:t>
            </w:r>
            <w:r>
              <w:rPr>
                <w:webHidden/>
              </w:rPr>
              <w:tab/>
            </w:r>
            <w:r>
              <w:rPr>
                <w:webHidden/>
              </w:rPr>
              <w:fldChar w:fldCharType="begin"/>
            </w:r>
            <w:r>
              <w:rPr>
                <w:webHidden/>
              </w:rPr>
              <w:instrText xml:space="preserve"> PAGEREF _Toc192874800 \h </w:instrText>
            </w:r>
            <w:r>
              <w:rPr>
                <w:webHidden/>
              </w:rPr>
            </w:r>
            <w:r>
              <w:rPr>
                <w:webHidden/>
              </w:rPr>
              <w:fldChar w:fldCharType="separate"/>
            </w:r>
            <w:r>
              <w:rPr>
                <w:webHidden/>
              </w:rPr>
              <w:t>119</w:t>
            </w:r>
            <w:r>
              <w:rPr>
                <w:webHidden/>
              </w:rPr>
              <w:fldChar w:fldCharType="end"/>
            </w:r>
          </w:hyperlink>
        </w:p>
        <w:p w14:paraId="69655D8D" w14:textId="7638D51A" w:rsidR="00274557" w:rsidRDefault="00274557">
          <w:pPr>
            <w:pStyle w:val="TOC3"/>
            <w:rPr>
              <w:rFonts w:asciiTheme="minorHAnsi" w:hAnsiTheme="minorHAnsi"/>
              <w:sz w:val="22"/>
            </w:rPr>
          </w:pPr>
          <w:hyperlink w:anchor="_Toc192874801" w:history="1">
            <w:r>
              <w:rPr>
                <w:rStyle w:val="Hyperlink"/>
                <w:rFonts w:eastAsia="Times New Roman"/>
                <w:bCs/>
              </w:rPr>
              <w:t>2.32.1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_Toc192874801 \h </w:instrText>
            </w:r>
            <w:r>
              <w:rPr>
                <w:webHidden/>
              </w:rPr>
            </w:r>
            <w:r>
              <w:rPr>
                <w:webHidden/>
              </w:rPr>
              <w:fldChar w:fldCharType="separate"/>
            </w:r>
            <w:r>
              <w:rPr>
                <w:webHidden/>
              </w:rPr>
              <w:t>119</w:t>
            </w:r>
            <w:r>
              <w:rPr>
                <w:webHidden/>
              </w:rPr>
              <w:fldChar w:fldCharType="end"/>
            </w:r>
          </w:hyperlink>
        </w:p>
        <w:p w14:paraId="70C2D30B" w14:textId="34580520" w:rsidR="00274557" w:rsidRDefault="00274557">
          <w:pPr>
            <w:pStyle w:val="TOC3"/>
            <w:rPr>
              <w:rFonts w:asciiTheme="minorHAnsi" w:hAnsiTheme="minorHAnsi"/>
              <w:sz w:val="22"/>
            </w:rPr>
          </w:pPr>
          <w:hyperlink w:anchor="_Toc192874802" w:history="1">
            <w:r>
              <w:rPr>
                <w:rStyle w:val="Hyperlink"/>
                <w:bCs/>
              </w:rPr>
              <w:t>2.32.2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_Toc192874802 \h </w:instrText>
            </w:r>
            <w:r>
              <w:rPr>
                <w:webHidden/>
              </w:rPr>
            </w:r>
            <w:r>
              <w:rPr>
                <w:webHidden/>
              </w:rPr>
              <w:fldChar w:fldCharType="separate"/>
            </w:r>
            <w:r>
              <w:rPr>
                <w:webHidden/>
              </w:rPr>
              <w:t>119</w:t>
            </w:r>
            <w:r>
              <w:rPr>
                <w:webHidden/>
              </w:rPr>
              <w:fldChar w:fldCharType="end"/>
            </w:r>
          </w:hyperlink>
        </w:p>
        <w:p w14:paraId="7D27519E" w14:textId="54FC18AB" w:rsidR="00274557" w:rsidRDefault="00274557">
          <w:pPr>
            <w:pStyle w:val="TOC3"/>
            <w:rPr>
              <w:rFonts w:asciiTheme="minorHAnsi" w:hAnsiTheme="minorHAnsi"/>
              <w:sz w:val="22"/>
            </w:rPr>
          </w:pPr>
          <w:hyperlink w:anchor="_Toc192874803" w:history="1">
            <w:r>
              <w:rPr>
                <w:rStyle w:val="Hyperlink"/>
                <w:bCs/>
              </w:rPr>
              <w:t>2.32.3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_Toc192874803 \h </w:instrText>
            </w:r>
            <w:r>
              <w:rPr>
                <w:webHidden/>
              </w:rPr>
            </w:r>
            <w:r>
              <w:rPr>
                <w:webHidden/>
              </w:rPr>
              <w:fldChar w:fldCharType="separate"/>
            </w:r>
            <w:r>
              <w:rPr>
                <w:webHidden/>
              </w:rPr>
              <w:t>120</w:t>
            </w:r>
            <w:r>
              <w:rPr>
                <w:webHidden/>
              </w:rPr>
              <w:fldChar w:fldCharType="end"/>
            </w:r>
          </w:hyperlink>
        </w:p>
        <w:p w14:paraId="687307B7" w14:textId="214EAAC9" w:rsidR="00274557" w:rsidRDefault="00274557">
          <w:pPr>
            <w:pStyle w:val="TOC2"/>
            <w:rPr>
              <w:rFonts w:asciiTheme="minorHAnsi" w:eastAsiaTheme="minorEastAsia" w:hAnsiTheme="minorHAnsi"/>
              <w:b w:val="0"/>
              <w:kern w:val="2"/>
              <w:sz w:val="22"/>
              <w:lang w:val="en-US"/>
              <w14:ligatures w14:val="standardContextual"/>
            </w:rPr>
          </w:pPr>
          <w:hyperlink w:anchor="_Toc192874804" w:history="1">
            <w:r>
              <w:rPr>
                <w:rStyle w:val="Hyperlink"/>
              </w:rPr>
              <w:t>2.33</w:t>
            </w:r>
            <w:r>
              <w:rPr>
                <w:rFonts w:asciiTheme="minorHAnsi" w:eastAsiaTheme="minorEastAsia" w:hAnsiTheme="minorHAnsi"/>
                <w:b w:val="0"/>
                <w:kern w:val="2"/>
                <w:sz w:val="22"/>
                <w:lang w:val="en-US"/>
                <w14:ligatures w14:val="standardContextual"/>
              </w:rPr>
              <w:tab/>
            </w:r>
            <w:r>
              <w:rPr>
                <w:rStyle w:val="Hyperlink"/>
              </w:rPr>
              <w:t>BrowserStack</w:t>
            </w:r>
            <w:r>
              <w:rPr>
                <w:webHidden/>
              </w:rPr>
              <w:tab/>
            </w:r>
            <w:r>
              <w:rPr>
                <w:webHidden/>
              </w:rPr>
              <w:fldChar w:fldCharType="begin"/>
            </w:r>
            <w:r>
              <w:rPr>
                <w:webHidden/>
              </w:rPr>
              <w:instrText xml:space="preserve"> PAGEREF _Toc192874804 \h </w:instrText>
            </w:r>
            <w:r>
              <w:rPr>
                <w:webHidden/>
              </w:rPr>
            </w:r>
            <w:r>
              <w:rPr>
                <w:webHidden/>
              </w:rPr>
              <w:fldChar w:fldCharType="separate"/>
            </w:r>
            <w:r>
              <w:rPr>
                <w:webHidden/>
              </w:rPr>
              <w:t>121</w:t>
            </w:r>
            <w:r>
              <w:rPr>
                <w:webHidden/>
              </w:rPr>
              <w:fldChar w:fldCharType="end"/>
            </w:r>
          </w:hyperlink>
        </w:p>
        <w:p w14:paraId="1FFBF849" w14:textId="03030130" w:rsidR="00274557" w:rsidRDefault="00274557">
          <w:pPr>
            <w:pStyle w:val="TOC3"/>
            <w:rPr>
              <w:rFonts w:asciiTheme="minorHAnsi" w:hAnsiTheme="minorHAnsi"/>
              <w:sz w:val="22"/>
            </w:rPr>
          </w:pPr>
          <w:hyperlink w:anchor="_Toc192874805" w:history="1">
            <w:r>
              <w:rPr>
                <w:rStyle w:val="Hyperlink"/>
                <w:rFonts w:eastAsia="Times New Roman"/>
                <w:bCs/>
              </w:rPr>
              <w:t>2.33.1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_Toc192874805 \h </w:instrText>
            </w:r>
            <w:r>
              <w:rPr>
                <w:webHidden/>
              </w:rPr>
            </w:r>
            <w:r>
              <w:rPr>
                <w:webHidden/>
              </w:rPr>
              <w:fldChar w:fldCharType="separate"/>
            </w:r>
            <w:r>
              <w:rPr>
                <w:webHidden/>
              </w:rPr>
              <w:t>121</w:t>
            </w:r>
            <w:r>
              <w:rPr>
                <w:webHidden/>
              </w:rPr>
              <w:fldChar w:fldCharType="end"/>
            </w:r>
          </w:hyperlink>
        </w:p>
        <w:p w14:paraId="2070C537" w14:textId="7D808985" w:rsidR="00274557" w:rsidRDefault="00274557">
          <w:pPr>
            <w:pStyle w:val="TOC3"/>
            <w:rPr>
              <w:rFonts w:asciiTheme="minorHAnsi" w:hAnsiTheme="minorHAnsi"/>
              <w:sz w:val="22"/>
            </w:rPr>
          </w:pPr>
          <w:hyperlink w:anchor="_Toc192874806" w:history="1">
            <w:r>
              <w:rPr>
                <w:rStyle w:val="Hyperlink"/>
                <w:bCs/>
              </w:rPr>
              <w:t>2.33.2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_Toc192874806 \h </w:instrText>
            </w:r>
            <w:r>
              <w:rPr>
                <w:webHidden/>
              </w:rPr>
            </w:r>
            <w:r>
              <w:rPr>
                <w:webHidden/>
              </w:rPr>
              <w:fldChar w:fldCharType="separate"/>
            </w:r>
            <w:r>
              <w:rPr>
                <w:webHidden/>
              </w:rPr>
              <w:t>121</w:t>
            </w:r>
            <w:r>
              <w:rPr>
                <w:webHidden/>
              </w:rPr>
              <w:fldChar w:fldCharType="end"/>
            </w:r>
          </w:hyperlink>
        </w:p>
        <w:p w14:paraId="214A8767" w14:textId="0799FDD8" w:rsidR="00274557" w:rsidRDefault="00274557">
          <w:pPr>
            <w:pStyle w:val="TOC3"/>
            <w:rPr>
              <w:rFonts w:asciiTheme="minorHAnsi" w:hAnsiTheme="minorHAnsi"/>
              <w:sz w:val="22"/>
            </w:rPr>
          </w:pPr>
          <w:hyperlink w:anchor="_Toc192874807" w:history="1">
            <w:r>
              <w:rPr>
                <w:rStyle w:val="Hyperlink"/>
                <w:bCs/>
              </w:rPr>
              <w:t>2.33.3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_Toc192874807 \h </w:instrText>
            </w:r>
            <w:r>
              <w:rPr>
                <w:webHidden/>
              </w:rPr>
            </w:r>
            <w:r>
              <w:rPr>
                <w:webHidden/>
              </w:rPr>
              <w:fldChar w:fldCharType="separate"/>
            </w:r>
            <w:r>
              <w:rPr>
                <w:webHidden/>
              </w:rPr>
              <w:t>122</w:t>
            </w:r>
            <w:r>
              <w:rPr>
                <w:webHidden/>
              </w:rPr>
              <w:fldChar w:fldCharType="end"/>
            </w:r>
          </w:hyperlink>
        </w:p>
        <w:p w14:paraId="43394BA4" w14:textId="7179359F" w:rsidR="00274557" w:rsidRDefault="00274557">
          <w:pPr>
            <w:pStyle w:val="TOC2"/>
            <w:rPr>
              <w:rFonts w:asciiTheme="minorHAnsi" w:eastAsiaTheme="minorEastAsia" w:hAnsiTheme="minorHAnsi"/>
              <w:b w:val="0"/>
              <w:kern w:val="2"/>
              <w:sz w:val="22"/>
              <w:lang w:val="en-US"/>
              <w14:ligatures w14:val="standardContextual"/>
            </w:rPr>
          </w:pPr>
          <w:hyperlink w:anchor="_Toc192874808" w:history="1">
            <w:r>
              <w:rPr>
                <w:rStyle w:val="Hyperlink"/>
              </w:rPr>
              <w:t>2.34</w:t>
            </w:r>
            <w:r>
              <w:rPr>
                <w:rFonts w:asciiTheme="minorHAnsi" w:eastAsiaTheme="minorEastAsia" w:hAnsiTheme="minorHAnsi"/>
                <w:b w:val="0"/>
                <w:kern w:val="2"/>
                <w:sz w:val="22"/>
                <w:lang w:val="en-US"/>
                <w14:ligatures w14:val="standardContextual"/>
              </w:rPr>
              <w:tab/>
            </w:r>
            <w:r>
              <w:rPr>
                <w:rStyle w:val="Hyperlink"/>
              </w:rPr>
              <w:t>The requirements management tool</w:t>
            </w:r>
            <w:r>
              <w:rPr>
                <w:webHidden/>
              </w:rPr>
              <w:tab/>
            </w:r>
            <w:r>
              <w:rPr>
                <w:webHidden/>
              </w:rPr>
              <w:fldChar w:fldCharType="begin"/>
            </w:r>
            <w:r>
              <w:rPr>
                <w:webHidden/>
              </w:rPr>
              <w:instrText xml:space="preserve"> PAGEREF _Toc192874808 \h </w:instrText>
            </w:r>
            <w:r>
              <w:rPr>
                <w:webHidden/>
              </w:rPr>
            </w:r>
            <w:r>
              <w:rPr>
                <w:webHidden/>
              </w:rPr>
              <w:fldChar w:fldCharType="separate"/>
            </w:r>
            <w:r>
              <w:rPr>
                <w:webHidden/>
              </w:rPr>
              <w:t>122</w:t>
            </w:r>
            <w:r>
              <w:rPr>
                <w:webHidden/>
              </w:rPr>
              <w:fldChar w:fldCharType="end"/>
            </w:r>
          </w:hyperlink>
        </w:p>
        <w:p w14:paraId="0817A886" w14:textId="3D42A281" w:rsidR="00274557" w:rsidRDefault="00274557">
          <w:pPr>
            <w:pStyle w:val="TOC3"/>
            <w:rPr>
              <w:rFonts w:asciiTheme="minorHAnsi" w:hAnsiTheme="minorHAnsi"/>
              <w:sz w:val="22"/>
            </w:rPr>
          </w:pPr>
          <w:hyperlink w:anchor="_Toc192874809" w:history="1">
            <w:r>
              <w:rPr>
                <w:rStyle w:val="Hyperlink"/>
                <w:rFonts w:eastAsia="Times New Roman"/>
                <w:bCs/>
              </w:rPr>
              <w:t>2.34.1</w:t>
            </w:r>
            <w:r>
              <w:rPr>
                <w:rFonts w:asciiTheme="minorHAnsi" w:hAnsiTheme="minorHAnsi"/>
                <w:sz w:val="22"/>
              </w:rPr>
              <w:tab/>
            </w:r>
            <w:r>
              <w:rPr>
                <w:rStyle w:val="Hyperlink"/>
              </w:rPr>
              <w:t>ALM Tool Roles and Permissions</w:t>
            </w:r>
            <w:r>
              <w:rPr>
                <w:webHidden/>
              </w:rPr>
              <w:tab/>
            </w:r>
            <w:r>
              <w:rPr>
                <w:webHidden/>
              </w:rPr>
              <w:fldChar w:fldCharType="begin"/>
            </w:r>
            <w:r>
              <w:rPr>
                <w:webHidden/>
              </w:rPr>
              <w:instrText xml:space="preserve"> PAGEREF _Toc192874809 \h </w:instrText>
            </w:r>
            <w:r>
              <w:rPr>
                <w:webHidden/>
              </w:rPr>
            </w:r>
            <w:r>
              <w:rPr>
                <w:webHidden/>
              </w:rPr>
              <w:fldChar w:fldCharType="separate"/>
            </w:r>
            <w:r>
              <w:rPr>
                <w:webHidden/>
              </w:rPr>
              <w:t>122</w:t>
            </w:r>
            <w:r>
              <w:rPr>
                <w:webHidden/>
              </w:rPr>
              <w:fldChar w:fldCharType="end"/>
            </w:r>
          </w:hyperlink>
        </w:p>
        <w:p w14:paraId="0EA8DD45" w14:textId="0F9710AD" w:rsidR="00274557" w:rsidRDefault="00274557">
          <w:pPr>
            <w:pStyle w:val="TOC3"/>
            <w:rPr>
              <w:rFonts w:asciiTheme="minorHAnsi" w:hAnsiTheme="minorHAnsi"/>
              <w:sz w:val="22"/>
            </w:rPr>
          </w:pPr>
          <w:hyperlink w:anchor="_Toc192874810" w:history="1">
            <w:r>
              <w:rPr>
                <w:rStyle w:val="Hyperlink"/>
                <w:bCs/>
              </w:rPr>
              <w:t>2.34.2</w:t>
            </w:r>
            <w:r>
              <w:rPr>
                <w:rFonts w:asciiTheme="minorHAnsi" w:hAnsiTheme="minorHAnsi"/>
                <w:sz w:val="22"/>
              </w:rPr>
              <w:tab/>
            </w:r>
            <w:r>
              <w:rPr>
                <w:rStyle w:val="Hyperlink"/>
              </w:rPr>
              <w:t>ALM Tool Workflows</w:t>
            </w:r>
            <w:r>
              <w:rPr>
                <w:webHidden/>
              </w:rPr>
              <w:tab/>
            </w:r>
            <w:r>
              <w:rPr>
                <w:webHidden/>
              </w:rPr>
              <w:fldChar w:fldCharType="begin"/>
            </w:r>
            <w:r>
              <w:rPr>
                <w:webHidden/>
              </w:rPr>
              <w:instrText xml:space="preserve"> PAGEREF _Toc192874810 \h </w:instrText>
            </w:r>
            <w:r>
              <w:rPr>
                <w:webHidden/>
              </w:rPr>
            </w:r>
            <w:r>
              <w:rPr>
                <w:webHidden/>
              </w:rPr>
              <w:fldChar w:fldCharType="separate"/>
            </w:r>
            <w:r>
              <w:rPr>
                <w:webHidden/>
              </w:rPr>
              <w:t>123</w:t>
            </w:r>
            <w:r>
              <w:rPr>
                <w:webHidden/>
              </w:rPr>
              <w:fldChar w:fldCharType="end"/>
            </w:r>
          </w:hyperlink>
        </w:p>
        <w:p w14:paraId="7F3D6991" w14:textId="4D84DC56" w:rsidR="00274557" w:rsidRDefault="00274557">
          <w:pPr>
            <w:pStyle w:val="TOC3"/>
            <w:rPr>
              <w:rFonts w:asciiTheme="minorHAnsi" w:hAnsiTheme="minorHAnsi"/>
              <w:sz w:val="22"/>
            </w:rPr>
          </w:pPr>
          <w:hyperlink w:anchor="_Toc192874811" w:history="1">
            <w:r>
              <w:rPr>
                <w:rStyle w:val="Hyperlink"/>
                <w:bCs/>
              </w:rPr>
              <w:t>2.34.3</w:t>
            </w:r>
            <w:r>
              <w:rPr>
                <w:rFonts w:asciiTheme="minorHAnsi" w:hAnsiTheme="minorHAnsi"/>
                <w:sz w:val="22"/>
              </w:rPr>
              <w:tab/>
            </w:r>
            <w:r>
              <w:rPr>
                <w:rStyle w:val="Hyperlink"/>
              </w:rPr>
              <w:t>Accessing ALM Tool</w:t>
            </w:r>
            <w:r>
              <w:rPr>
                <w:webHidden/>
              </w:rPr>
              <w:tab/>
            </w:r>
            <w:r>
              <w:rPr>
                <w:webHidden/>
              </w:rPr>
              <w:fldChar w:fldCharType="begin"/>
            </w:r>
            <w:r>
              <w:rPr>
                <w:webHidden/>
              </w:rPr>
              <w:instrText xml:space="preserve"> PAGEREF _Toc192874811 \h </w:instrText>
            </w:r>
            <w:r>
              <w:rPr>
                <w:webHidden/>
              </w:rPr>
            </w:r>
            <w:r>
              <w:rPr>
                <w:webHidden/>
              </w:rPr>
              <w:fldChar w:fldCharType="separate"/>
            </w:r>
            <w:r>
              <w:rPr>
                <w:webHidden/>
              </w:rPr>
              <w:t>124</w:t>
            </w:r>
            <w:r>
              <w:rPr>
                <w:webHidden/>
              </w:rPr>
              <w:fldChar w:fldCharType="end"/>
            </w:r>
          </w:hyperlink>
        </w:p>
        <w:p w14:paraId="7207E725" w14:textId="7211AEF2" w:rsidR="00274557" w:rsidRDefault="00274557">
          <w:pPr>
            <w:pStyle w:val="TOC1"/>
            <w:rPr>
              <w:rFonts w:asciiTheme="minorHAnsi" w:eastAsiaTheme="minorEastAsia" w:hAnsiTheme="minorHAnsi"/>
              <w:b w:val="0"/>
              <w:kern w:val="2"/>
              <w:sz w:val="22"/>
              <w14:ligatures w14:val="standardContextual"/>
            </w:rPr>
          </w:pPr>
          <w:hyperlink w:anchor="_Toc192874812" w:history="1">
            <w:r>
              <w:rPr>
                <w:rStyle w:val="Hyperlink"/>
              </w:rPr>
              <w:t>3</w:t>
            </w:r>
            <w:r>
              <w:rPr>
                <w:rFonts w:asciiTheme="minorHAnsi" w:eastAsiaTheme="minorEastAsia" w:hAnsiTheme="minorHAnsi"/>
                <w:b w:val="0"/>
                <w:kern w:val="2"/>
                <w:sz w:val="22"/>
                <w14:ligatures w14:val="standardContextual"/>
              </w:rPr>
              <w:tab/>
            </w:r>
            <w:r>
              <w:rPr>
                <w:rStyle w:val="Hyperlink"/>
              </w:rPr>
              <w:t>Stakeholder Engagement Plan</w:t>
            </w:r>
            <w:r>
              <w:rPr>
                <w:webHidden/>
              </w:rPr>
              <w:tab/>
            </w:r>
            <w:r>
              <w:rPr>
                <w:webHidden/>
              </w:rPr>
              <w:fldChar w:fldCharType="begin"/>
            </w:r>
            <w:r>
              <w:rPr>
                <w:webHidden/>
              </w:rPr>
              <w:instrText xml:space="preserve"> PAGEREF _Toc192874812 \h </w:instrText>
            </w:r>
            <w:r>
              <w:rPr>
                <w:webHidden/>
              </w:rPr>
            </w:r>
            <w:r>
              <w:rPr>
                <w:webHidden/>
              </w:rPr>
              <w:fldChar w:fldCharType="separate"/>
            </w:r>
            <w:r>
              <w:rPr>
                <w:webHidden/>
              </w:rPr>
              <w:t>126</w:t>
            </w:r>
            <w:r>
              <w:rPr>
                <w:webHidden/>
              </w:rPr>
              <w:fldChar w:fldCharType="end"/>
            </w:r>
          </w:hyperlink>
        </w:p>
        <w:p w14:paraId="343B5FDE" w14:textId="507F83F4" w:rsidR="00274557" w:rsidRDefault="00274557">
          <w:pPr>
            <w:pStyle w:val="TOC2"/>
            <w:rPr>
              <w:rFonts w:asciiTheme="minorHAnsi" w:eastAsiaTheme="minorEastAsia" w:hAnsiTheme="minorHAnsi"/>
              <w:b w:val="0"/>
              <w:kern w:val="2"/>
              <w:sz w:val="22"/>
              <w:lang w:val="en-US"/>
              <w14:ligatures w14:val="standardContextual"/>
            </w:rPr>
          </w:pPr>
          <w:hyperlink w:anchor="_Toc192874813" w:history="1">
            <w:r>
              <w:rPr>
                <w:rStyle w:val="Hyperlink"/>
              </w:rPr>
              <w:t>3.1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_Toc192874813 \h </w:instrText>
            </w:r>
            <w:r>
              <w:rPr>
                <w:webHidden/>
              </w:rPr>
            </w:r>
            <w:r>
              <w:rPr>
                <w:webHidden/>
              </w:rPr>
              <w:fldChar w:fldCharType="separate"/>
            </w:r>
            <w:r>
              <w:rPr>
                <w:webHidden/>
              </w:rPr>
              <w:t>126</w:t>
            </w:r>
            <w:r>
              <w:rPr>
                <w:webHidden/>
              </w:rPr>
              <w:fldChar w:fldCharType="end"/>
            </w:r>
          </w:hyperlink>
        </w:p>
        <w:p w14:paraId="64D99100" w14:textId="334EF76D" w:rsidR="00274557" w:rsidRDefault="00274557">
          <w:pPr>
            <w:pStyle w:val="TOC2"/>
            <w:rPr>
              <w:rFonts w:asciiTheme="minorHAnsi" w:eastAsiaTheme="minorEastAsia" w:hAnsiTheme="minorHAnsi"/>
              <w:b w:val="0"/>
              <w:kern w:val="2"/>
              <w:sz w:val="22"/>
              <w:lang w:val="en-US"/>
              <w14:ligatures w14:val="standardContextual"/>
            </w:rPr>
          </w:pPr>
          <w:hyperlink w:anchor="_Toc192874814" w:history="1">
            <w:r>
              <w:rPr>
                <w:rStyle w:val="Hyperlink"/>
              </w:rPr>
              <w:t>3.2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_Toc192874814 \h </w:instrText>
            </w:r>
            <w:r>
              <w:rPr>
                <w:webHidden/>
              </w:rPr>
            </w:r>
            <w:r>
              <w:rPr>
                <w:webHidden/>
              </w:rPr>
              <w:fldChar w:fldCharType="separate"/>
            </w:r>
            <w:r>
              <w:rPr>
                <w:webHidden/>
              </w:rPr>
              <w:t>126</w:t>
            </w:r>
            <w:r>
              <w:rPr>
                <w:webHidden/>
              </w:rPr>
              <w:fldChar w:fldCharType="end"/>
            </w:r>
          </w:hyperlink>
        </w:p>
        <w:p w14:paraId="099CA68A" w14:textId="43DDDBAF" w:rsidR="00274557" w:rsidRDefault="00274557">
          <w:pPr>
            <w:pStyle w:val="TOC2"/>
            <w:rPr>
              <w:rFonts w:asciiTheme="minorHAnsi" w:eastAsiaTheme="minorEastAsia" w:hAnsiTheme="minorHAnsi"/>
              <w:b w:val="0"/>
              <w:kern w:val="2"/>
              <w:sz w:val="22"/>
              <w:lang w:val="en-US"/>
              <w14:ligatures w14:val="standardContextual"/>
            </w:rPr>
          </w:pPr>
          <w:hyperlink w:anchor="_Toc192874815" w:history="1">
            <w:r>
              <w:rPr>
                <w:rStyle w:val="Hyperlink"/>
              </w:rPr>
              <w:t>3.3</w:t>
            </w:r>
            <w:r>
              <w:rPr>
                <w:rFonts w:asciiTheme="minorHAnsi" w:eastAsiaTheme="minorEastAsia" w:hAnsiTheme="minorHAnsi"/>
                <w:b w:val="0"/>
                <w:kern w:val="2"/>
                <w:sz w:val="22"/>
                <w:lang w:val="en-US"/>
                <w14:ligatures w14:val="standardContextual"/>
              </w:rPr>
              <w:tab/>
            </w:r>
            <w:r>
              <w:rPr>
                <w:rStyle w:val="Hyperlink"/>
              </w:rPr>
              <w:t>Stakeholder Engagement Approach</w:t>
            </w:r>
            <w:r>
              <w:rPr>
                <w:webHidden/>
              </w:rPr>
              <w:tab/>
            </w:r>
            <w:r>
              <w:rPr>
                <w:webHidden/>
              </w:rPr>
              <w:fldChar w:fldCharType="begin"/>
            </w:r>
            <w:r>
              <w:rPr>
                <w:webHidden/>
              </w:rPr>
              <w:instrText xml:space="preserve"> PAGEREF _Toc192874815 \h </w:instrText>
            </w:r>
            <w:r>
              <w:rPr>
                <w:webHidden/>
              </w:rPr>
            </w:r>
            <w:r>
              <w:rPr>
                <w:webHidden/>
              </w:rPr>
              <w:fldChar w:fldCharType="separate"/>
            </w:r>
            <w:r>
              <w:rPr>
                <w:webHidden/>
              </w:rPr>
              <w:t>126</w:t>
            </w:r>
            <w:r>
              <w:rPr>
                <w:webHidden/>
              </w:rPr>
              <w:fldChar w:fldCharType="end"/>
            </w:r>
          </w:hyperlink>
        </w:p>
        <w:p w14:paraId="59ADA112" w14:textId="326E6EDE" w:rsidR="00274557" w:rsidRDefault="00274557">
          <w:pPr>
            <w:pStyle w:val="TOC3"/>
            <w:rPr>
              <w:rFonts w:asciiTheme="minorHAnsi" w:hAnsiTheme="minorHAnsi"/>
              <w:sz w:val="22"/>
            </w:rPr>
          </w:pPr>
          <w:hyperlink w:anchor="_Toc192874816" w:history="1">
            <w:r>
              <w:rPr>
                <w:rStyle w:val="Hyperlink"/>
                <w:bCs/>
              </w:rPr>
              <w:t>3.3.1</w:t>
            </w:r>
            <w:r>
              <w:rPr>
                <w:rFonts w:asciiTheme="minorHAnsi" w:hAnsiTheme="minorHAnsi"/>
                <w:sz w:val="22"/>
              </w:rPr>
              <w:tab/>
            </w:r>
            <w:r>
              <w:rPr>
                <w:rStyle w:val="Hyperlink"/>
              </w:rPr>
              <w:t>Stakeholder Identification and Analysis</w:t>
            </w:r>
            <w:r>
              <w:rPr>
                <w:webHidden/>
              </w:rPr>
              <w:tab/>
            </w:r>
            <w:r>
              <w:rPr>
                <w:webHidden/>
              </w:rPr>
              <w:fldChar w:fldCharType="begin"/>
            </w:r>
            <w:r>
              <w:rPr>
                <w:webHidden/>
              </w:rPr>
              <w:instrText xml:space="preserve"> PAGEREF _Toc192874816 \h </w:instrText>
            </w:r>
            <w:r>
              <w:rPr>
                <w:webHidden/>
              </w:rPr>
            </w:r>
            <w:r>
              <w:rPr>
                <w:webHidden/>
              </w:rPr>
              <w:fldChar w:fldCharType="separate"/>
            </w:r>
            <w:r>
              <w:rPr>
                <w:webHidden/>
              </w:rPr>
              <w:t>126</w:t>
            </w:r>
            <w:r>
              <w:rPr>
                <w:webHidden/>
              </w:rPr>
              <w:fldChar w:fldCharType="end"/>
            </w:r>
          </w:hyperlink>
        </w:p>
        <w:p w14:paraId="75091E6E" w14:textId="7DA554CA" w:rsidR="00274557" w:rsidRDefault="00274557">
          <w:pPr>
            <w:pStyle w:val="TOC3"/>
            <w:rPr>
              <w:rFonts w:asciiTheme="minorHAnsi" w:hAnsiTheme="minorHAnsi"/>
              <w:sz w:val="22"/>
            </w:rPr>
          </w:pPr>
          <w:hyperlink w:anchor="_Toc192874817" w:history="1">
            <w:r>
              <w:rPr>
                <w:rStyle w:val="Hyperlink"/>
                <w:bCs/>
              </w:rPr>
              <w:t>3.3.2</w:t>
            </w:r>
            <w:r>
              <w:rPr>
                <w:rFonts w:asciiTheme="minorHAnsi" w:hAnsiTheme="minorHAnsi"/>
                <w:sz w:val="22"/>
              </w:rPr>
              <w:tab/>
            </w:r>
            <w:r>
              <w:rPr>
                <w:rStyle w:val="Hyperlink"/>
              </w:rPr>
              <w:t>Communications Management</w:t>
            </w:r>
            <w:r>
              <w:rPr>
                <w:webHidden/>
              </w:rPr>
              <w:tab/>
            </w:r>
            <w:r>
              <w:rPr>
                <w:webHidden/>
              </w:rPr>
              <w:fldChar w:fldCharType="begin"/>
            </w:r>
            <w:r>
              <w:rPr>
                <w:webHidden/>
              </w:rPr>
              <w:instrText xml:space="preserve"> PAGEREF _Toc192874817 \h </w:instrText>
            </w:r>
            <w:r>
              <w:rPr>
                <w:webHidden/>
              </w:rPr>
            </w:r>
            <w:r>
              <w:rPr>
                <w:webHidden/>
              </w:rPr>
              <w:fldChar w:fldCharType="separate"/>
            </w:r>
            <w:r>
              <w:rPr>
                <w:webHidden/>
              </w:rPr>
              <w:t>127</w:t>
            </w:r>
            <w:r>
              <w:rPr>
                <w:webHidden/>
              </w:rPr>
              <w:fldChar w:fldCharType="end"/>
            </w:r>
          </w:hyperlink>
        </w:p>
        <w:p w14:paraId="79E15B91" w14:textId="6F2068AB" w:rsidR="00274557" w:rsidRDefault="00274557">
          <w:pPr>
            <w:pStyle w:val="TOC3"/>
            <w:rPr>
              <w:rFonts w:asciiTheme="minorHAnsi" w:hAnsiTheme="minorHAnsi"/>
              <w:sz w:val="22"/>
            </w:rPr>
          </w:pPr>
          <w:hyperlink w:anchor="_Toc192874818" w:history="1">
            <w:r>
              <w:rPr>
                <w:rStyle w:val="Hyperlink"/>
                <w:bCs/>
              </w:rPr>
              <w:t>3.3.3</w:t>
            </w:r>
            <w:r>
              <w:rPr>
                <w:rFonts w:asciiTheme="minorHAnsi" w:hAnsiTheme="minorHAnsi"/>
                <w:sz w:val="22"/>
              </w:rPr>
              <w:tab/>
            </w:r>
            <w:r>
              <w:rPr>
                <w:rStyle w:val="Hyperlink"/>
              </w:rPr>
              <w:t>Governance Structure</w:t>
            </w:r>
            <w:r>
              <w:rPr>
                <w:webHidden/>
              </w:rPr>
              <w:tab/>
            </w:r>
            <w:r>
              <w:rPr>
                <w:webHidden/>
              </w:rPr>
              <w:fldChar w:fldCharType="begin"/>
            </w:r>
            <w:r>
              <w:rPr>
                <w:webHidden/>
              </w:rPr>
              <w:instrText xml:space="preserve"> PAGEREF _Toc192874818 \h </w:instrText>
            </w:r>
            <w:r>
              <w:rPr>
                <w:webHidden/>
              </w:rPr>
            </w:r>
            <w:r>
              <w:rPr>
                <w:webHidden/>
              </w:rPr>
              <w:fldChar w:fldCharType="separate"/>
            </w:r>
            <w:r>
              <w:rPr>
                <w:webHidden/>
              </w:rPr>
              <w:t>127</w:t>
            </w:r>
            <w:r>
              <w:rPr>
                <w:webHidden/>
              </w:rPr>
              <w:fldChar w:fldCharType="end"/>
            </w:r>
          </w:hyperlink>
        </w:p>
        <w:p w14:paraId="5582C262" w14:textId="7C098EF8" w:rsidR="00274557" w:rsidRDefault="00274557">
          <w:pPr>
            <w:pStyle w:val="TOC1"/>
            <w:rPr>
              <w:rFonts w:asciiTheme="minorHAnsi" w:eastAsiaTheme="minorEastAsia" w:hAnsiTheme="minorHAnsi"/>
              <w:b w:val="0"/>
              <w:kern w:val="2"/>
              <w:sz w:val="22"/>
              <w14:ligatures w14:val="standardContextual"/>
            </w:rPr>
          </w:pPr>
          <w:hyperlink w:anchor="_Toc192874819" w:history="1">
            <w:r>
              <w:rPr>
                <w:rStyle w:val="Hyperlink"/>
              </w:rPr>
              <w:t>4</w:t>
            </w:r>
            <w:r>
              <w:rPr>
                <w:rFonts w:asciiTheme="minorHAnsi" w:eastAsiaTheme="minorEastAsia" w:hAnsiTheme="minorHAnsi"/>
                <w:b w:val="0"/>
                <w:kern w:val="2"/>
                <w:sz w:val="22"/>
                <w14:ligatures w14:val="standardContextual"/>
              </w:rPr>
              <w:tab/>
            </w:r>
            <w:r>
              <w:rPr>
                <w:rStyle w:val="Hyperlink"/>
              </w:rPr>
              <w:t>Communications Management Plan</w:t>
            </w:r>
            <w:r>
              <w:rPr>
                <w:webHidden/>
              </w:rPr>
              <w:tab/>
            </w:r>
            <w:r>
              <w:rPr>
                <w:webHidden/>
              </w:rPr>
              <w:fldChar w:fldCharType="begin"/>
            </w:r>
            <w:r>
              <w:rPr>
                <w:webHidden/>
              </w:rPr>
              <w:instrText xml:space="preserve"> PAGEREF _Toc192874819 \h </w:instrText>
            </w:r>
            <w:r>
              <w:rPr>
                <w:webHidden/>
              </w:rPr>
            </w:r>
            <w:r>
              <w:rPr>
                <w:webHidden/>
              </w:rPr>
              <w:fldChar w:fldCharType="separate"/>
            </w:r>
            <w:r>
              <w:rPr>
                <w:webHidden/>
              </w:rPr>
              <w:t>129</w:t>
            </w:r>
            <w:r>
              <w:rPr>
                <w:webHidden/>
              </w:rPr>
              <w:fldChar w:fldCharType="end"/>
            </w:r>
          </w:hyperlink>
        </w:p>
        <w:p w14:paraId="14681B6C" w14:textId="7E5FFD78" w:rsidR="00274557" w:rsidRDefault="00274557">
          <w:pPr>
            <w:pStyle w:val="TOC2"/>
            <w:rPr>
              <w:rFonts w:asciiTheme="minorHAnsi" w:eastAsiaTheme="minorEastAsia" w:hAnsiTheme="minorHAnsi"/>
              <w:b w:val="0"/>
              <w:kern w:val="2"/>
              <w:sz w:val="22"/>
              <w:lang w:val="en-US"/>
              <w14:ligatures w14:val="standardContextual"/>
            </w:rPr>
          </w:pPr>
          <w:hyperlink w:anchor="_Toc192874820" w:history="1">
            <w:r>
              <w:rPr>
                <w:rStyle w:val="Hyperlink"/>
              </w:rPr>
              <w:t>4.1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_Toc192874820 \h </w:instrText>
            </w:r>
            <w:r>
              <w:rPr>
                <w:webHidden/>
              </w:rPr>
            </w:r>
            <w:r>
              <w:rPr>
                <w:webHidden/>
              </w:rPr>
              <w:fldChar w:fldCharType="separate"/>
            </w:r>
            <w:r>
              <w:rPr>
                <w:webHidden/>
              </w:rPr>
              <w:t>129</w:t>
            </w:r>
            <w:r>
              <w:rPr>
                <w:webHidden/>
              </w:rPr>
              <w:fldChar w:fldCharType="end"/>
            </w:r>
          </w:hyperlink>
        </w:p>
        <w:p w14:paraId="78F0AE56" w14:textId="7C26BD32" w:rsidR="00274557" w:rsidRDefault="00274557">
          <w:pPr>
            <w:pStyle w:val="TOC2"/>
            <w:rPr>
              <w:rFonts w:asciiTheme="minorHAnsi" w:eastAsiaTheme="minorEastAsia" w:hAnsiTheme="minorHAnsi"/>
              <w:b w:val="0"/>
              <w:kern w:val="2"/>
              <w:sz w:val="22"/>
              <w:lang w:val="en-US"/>
              <w14:ligatures w14:val="standardContextual"/>
            </w:rPr>
          </w:pPr>
          <w:hyperlink w:anchor="_Toc192874821" w:history="1">
            <w:r>
              <w:rPr>
                <w:rStyle w:val="Hyperlink"/>
              </w:rPr>
              <w:t>4.2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_Toc192874821 \h </w:instrText>
            </w:r>
            <w:r>
              <w:rPr>
                <w:webHidden/>
              </w:rPr>
            </w:r>
            <w:r>
              <w:rPr>
                <w:webHidden/>
              </w:rPr>
              <w:fldChar w:fldCharType="separate"/>
            </w:r>
            <w:r>
              <w:rPr>
                <w:webHidden/>
              </w:rPr>
              <w:t>129</w:t>
            </w:r>
            <w:r>
              <w:rPr>
                <w:webHidden/>
              </w:rPr>
              <w:fldChar w:fldCharType="end"/>
            </w:r>
          </w:hyperlink>
        </w:p>
        <w:p w14:paraId="445D0A9C" w14:textId="14C53000" w:rsidR="00274557" w:rsidRDefault="00274557">
          <w:pPr>
            <w:pStyle w:val="TOC2"/>
            <w:rPr>
              <w:rFonts w:asciiTheme="minorHAnsi" w:eastAsiaTheme="minorEastAsia" w:hAnsiTheme="minorHAnsi"/>
              <w:b w:val="0"/>
              <w:kern w:val="2"/>
              <w:sz w:val="22"/>
              <w:lang w:val="en-US"/>
              <w14:ligatures w14:val="standardContextual"/>
            </w:rPr>
          </w:pPr>
          <w:hyperlink w:anchor="_Toc192874822" w:history="1">
            <w:r>
              <w:rPr>
                <w:rStyle w:val="Hyperlink"/>
              </w:rPr>
              <w:t>4.3</w:t>
            </w:r>
            <w:r>
              <w:rPr>
                <w:rFonts w:asciiTheme="minorHAnsi" w:eastAsiaTheme="minorEastAsia" w:hAnsiTheme="minorHAnsi"/>
                <w:b w:val="0"/>
                <w:kern w:val="2"/>
                <w:sz w:val="22"/>
                <w:lang w:val="en-US"/>
                <w14:ligatures w14:val="standardContextual"/>
              </w:rPr>
              <w:tab/>
            </w:r>
            <w:r>
              <w:rPr>
                <w:rStyle w:val="Hyperlink"/>
              </w:rPr>
              <w:t>Communications Approach</w:t>
            </w:r>
            <w:r>
              <w:rPr>
                <w:webHidden/>
              </w:rPr>
              <w:tab/>
            </w:r>
            <w:r>
              <w:rPr>
                <w:webHidden/>
              </w:rPr>
              <w:fldChar w:fldCharType="begin"/>
            </w:r>
            <w:r>
              <w:rPr>
                <w:webHidden/>
              </w:rPr>
              <w:instrText xml:space="preserve"> PAGEREF _Toc192874822 \h </w:instrText>
            </w:r>
            <w:r>
              <w:rPr>
                <w:webHidden/>
              </w:rPr>
            </w:r>
            <w:r>
              <w:rPr>
                <w:webHidden/>
              </w:rPr>
              <w:fldChar w:fldCharType="separate"/>
            </w:r>
            <w:r>
              <w:rPr>
                <w:webHidden/>
              </w:rPr>
              <w:t>129</w:t>
            </w:r>
            <w:r>
              <w:rPr>
                <w:webHidden/>
              </w:rPr>
              <w:fldChar w:fldCharType="end"/>
            </w:r>
          </w:hyperlink>
        </w:p>
        <w:p w14:paraId="406CD5C5" w14:textId="4251226B" w:rsidR="00274557" w:rsidRDefault="00274557">
          <w:pPr>
            <w:pStyle w:val="TOC3"/>
            <w:rPr>
              <w:rFonts w:asciiTheme="minorHAnsi" w:hAnsiTheme="minorHAnsi"/>
              <w:sz w:val="22"/>
            </w:rPr>
          </w:pPr>
          <w:hyperlink w:anchor="_Toc192874823" w:history="1">
            <w:r>
              <w:rPr>
                <w:rStyle w:val="Hyperlink"/>
                <w:bCs/>
              </w:rPr>
              <w:t>4.3.1</w:t>
            </w:r>
            <w:r>
              <w:rPr>
                <w:rFonts w:asciiTheme="minorHAnsi" w:hAnsiTheme="minorHAnsi"/>
                <w:sz w:val="22"/>
              </w:rPr>
              <w:tab/>
            </w:r>
            <w:r>
              <w:rPr>
                <w:rStyle w:val="Hyperlink"/>
              </w:rPr>
              <w:t>Project Management Communication Channels</w:t>
            </w:r>
            <w:r>
              <w:rPr>
                <w:webHidden/>
              </w:rPr>
              <w:tab/>
            </w:r>
            <w:r>
              <w:rPr>
                <w:webHidden/>
              </w:rPr>
              <w:fldChar w:fldCharType="begin"/>
            </w:r>
            <w:r>
              <w:rPr>
                <w:webHidden/>
              </w:rPr>
              <w:instrText xml:space="preserve"> PAGEREF _Toc192874823 \h </w:instrText>
            </w:r>
            <w:r>
              <w:rPr>
                <w:webHidden/>
              </w:rPr>
            </w:r>
            <w:r>
              <w:rPr>
                <w:webHidden/>
              </w:rPr>
              <w:fldChar w:fldCharType="separate"/>
            </w:r>
            <w:r>
              <w:rPr>
                <w:webHidden/>
              </w:rPr>
              <w:t>129</w:t>
            </w:r>
            <w:r>
              <w:rPr>
                <w:webHidden/>
              </w:rPr>
              <w:fldChar w:fldCharType="end"/>
            </w:r>
          </w:hyperlink>
        </w:p>
        <w:p w14:paraId="2A51AAE7" w14:textId="0A4AABEA" w:rsidR="00274557" w:rsidRDefault="00274557">
          <w:pPr>
            <w:pStyle w:val="TOC3"/>
            <w:rPr>
              <w:rFonts w:asciiTheme="minorHAnsi" w:hAnsiTheme="minorHAnsi"/>
              <w:sz w:val="22"/>
            </w:rPr>
          </w:pPr>
          <w:hyperlink w:anchor="_Toc192874824" w:history="1">
            <w:r>
              <w:rPr>
                <w:rStyle w:val="Hyperlink"/>
                <w:bCs/>
              </w:rPr>
              <w:t>4.3.2</w:t>
            </w:r>
            <w:r>
              <w:rPr>
                <w:rFonts w:asciiTheme="minorHAnsi" w:hAnsiTheme="minorHAnsi"/>
                <w:sz w:val="22"/>
              </w:rPr>
              <w:tab/>
            </w:r>
            <w:r>
              <w:rPr>
                <w:rStyle w:val="Hyperlink"/>
              </w:rPr>
              <w:t>Project Management Communication Types</w:t>
            </w:r>
            <w:r>
              <w:rPr>
                <w:webHidden/>
              </w:rPr>
              <w:tab/>
            </w:r>
            <w:r>
              <w:rPr>
                <w:webHidden/>
              </w:rPr>
              <w:fldChar w:fldCharType="begin"/>
            </w:r>
            <w:r>
              <w:rPr>
                <w:webHidden/>
              </w:rPr>
              <w:instrText xml:space="preserve"> PAGEREF _Toc192874824 \h </w:instrText>
            </w:r>
            <w:r>
              <w:rPr>
                <w:webHidden/>
              </w:rPr>
            </w:r>
            <w:r>
              <w:rPr>
                <w:webHidden/>
              </w:rPr>
              <w:fldChar w:fldCharType="separate"/>
            </w:r>
            <w:r>
              <w:rPr>
                <w:webHidden/>
              </w:rPr>
              <w:t>130</w:t>
            </w:r>
            <w:r>
              <w:rPr>
                <w:webHidden/>
              </w:rPr>
              <w:fldChar w:fldCharType="end"/>
            </w:r>
          </w:hyperlink>
        </w:p>
        <w:p w14:paraId="1A162C92" w14:textId="2680CEE2" w:rsidR="00274557" w:rsidRDefault="00274557">
          <w:pPr>
            <w:pStyle w:val="TOC3"/>
            <w:rPr>
              <w:rFonts w:asciiTheme="minorHAnsi" w:hAnsiTheme="minorHAnsi"/>
              <w:sz w:val="22"/>
            </w:rPr>
          </w:pPr>
          <w:hyperlink w:anchor="_Toc192874825" w:history="1">
            <w:r>
              <w:rPr>
                <w:rStyle w:val="Hyperlink"/>
                <w:bCs/>
              </w:rPr>
              <w:t>4.3.3</w:t>
            </w:r>
            <w:r>
              <w:rPr>
                <w:rFonts w:asciiTheme="minorHAnsi" w:hAnsiTheme="minorHAnsi"/>
                <w:sz w:val="22"/>
              </w:rPr>
              <w:tab/>
            </w:r>
            <w:r>
              <w:rPr>
                <w:rStyle w:val="Hyperlink"/>
              </w:rPr>
              <w:t>Guiding Principles of Communications</w:t>
            </w:r>
            <w:r>
              <w:rPr>
                <w:webHidden/>
              </w:rPr>
              <w:tab/>
            </w:r>
            <w:r>
              <w:rPr>
                <w:webHidden/>
              </w:rPr>
              <w:fldChar w:fldCharType="begin"/>
            </w:r>
            <w:r>
              <w:rPr>
                <w:webHidden/>
              </w:rPr>
              <w:instrText xml:space="preserve"> PAGEREF _Toc192874825 \h </w:instrText>
            </w:r>
            <w:r>
              <w:rPr>
                <w:webHidden/>
              </w:rPr>
            </w:r>
            <w:r>
              <w:rPr>
                <w:webHidden/>
              </w:rPr>
              <w:fldChar w:fldCharType="separate"/>
            </w:r>
            <w:r>
              <w:rPr>
                <w:webHidden/>
              </w:rPr>
              <w:t>132</w:t>
            </w:r>
            <w:r>
              <w:rPr>
                <w:webHidden/>
              </w:rPr>
              <w:fldChar w:fldCharType="end"/>
            </w:r>
          </w:hyperlink>
        </w:p>
        <w:p w14:paraId="5FB8AFE8" w14:textId="294ADF54" w:rsidR="00274557" w:rsidRDefault="00274557">
          <w:pPr>
            <w:pStyle w:val="TOC3"/>
            <w:rPr>
              <w:rFonts w:asciiTheme="minorHAnsi" w:hAnsiTheme="minorHAnsi"/>
              <w:sz w:val="22"/>
            </w:rPr>
          </w:pPr>
          <w:hyperlink w:anchor="_Toc192874826" w:history="1">
            <w:r>
              <w:rPr>
                <w:rStyle w:val="Hyperlink"/>
                <w:bCs/>
              </w:rPr>
              <w:t>4.3.4</w:t>
            </w:r>
            <w:r>
              <w:rPr>
                <w:rFonts w:asciiTheme="minorHAnsi" w:hAnsiTheme="minorHAnsi"/>
                <w:sz w:val="22"/>
              </w:rPr>
              <w:tab/>
            </w:r>
            <w:r>
              <w:rPr>
                <w:rStyle w:val="Hyperlink"/>
              </w:rPr>
              <w:t>Virtual Meeting Communication Guide</w:t>
            </w:r>
            <w:r>
              <w:rPr>
                <w:webHidden/>
              </w:rPr>
              <w:tab/>
            </w:r>
            <w:r>
              <w:rPr>
                <w:webHidden/>
              </w:rPr>
              <w:fldChar w:fldCharType="begin"/>
            </w:r>
            <w:r>
              <w:rPr>
                <w:webHidden/>
              </w:rPr>
              <w:instrText xml:space="preserve"> PAGEREF _Toc192874826 \h </w:instrText>
            </w:r>
            <w:r>
              <w:rPr>
                <w:webHidden/>
              </w:rPr>
            </w:r>
            <w:r>
              <w:rPr>
                <w:webHidden/>
              </w:rPr>
              <w:fldChar w:fldCharType="separate"/>
            </w:r>
            <w:r>
              <w:rPr>
                <w:webHidden/>
              </w:rPr>
              <w:t>133</w:t>
            </w:r>
            <w:r>
              <w:rPr>
                <w:webHidden/>
              </w:rPr>
              <w:fldChar w:fldCharType="end"/>
            </w:r>
          </w:hyperlink>
        </w:p>
        <w:p w14:paraId="4B415370" w14:textId="451DB970" w:rsidR="00274557" w:rsidRDefault="00274557">
          <w:pPr>
            <w:pStyle w:val="TOC3"/>
            <w:rPr>
              <w:rFonts w:asciiTheme="minorHAnsi" w:hAnsiTheme="minorHAnsi"/>
              <w:sz w:val="22"/>
            </w:rPr>
          </w:pPr>
          <w:hyperlink w:anchor="_Toc192874827" w:history="1">
            <w:r>
              <w:rPr>
                <w:rStyle w:val="Hyperlink"/>
                <w:bCs/>
              </w:rPr>
              <w:t>4.3.5</w:t>
            </w:r>
            <w:r>
              <w:rPr>
                <w:rFonts w:asciiTheme="minorHAnsi" w:hAnsiTheme="minorHAnsi"/>
                <w:sz w:val="22"/>
              </w:rPr>
              <w:tab/>
            </w:r>
            <w:r>
              <w:rPr>
                <w:rStyle w:val="Hyperlink"/>
              </w:rPr>
              <w:t>In-Person Meeting Communication Guide</w:t>
            </w:r>
            <w:r>
              <w:rPr>
                <w:webHidden/>
              </w:rPr>
              <w:tab/>
            </w:r>
            <w:r>
              <w:rPr>
                <w:webHidden/>
              </w:rPr>
              <w:fldChar w:fldCharType="begin"/>
            </w:r>
            <w:r>
              <w:rPr>
                <w:webHidden/>
              </w:rPr>
              <w:instrText xml:space="preserve"> PAGEREF _Toc192874827 \h </w:instrText>
            </w:r>
            <w:r>
              <w:rPr>
                <w:webHidden/>
              </w:rPr>
            </w:r>
            <w:r>
              <w:rPr>
                <w:webHidden/>
              </w:rPr>
              <w:fldChar w:fldCharType="separate"/>
            </w:r>
            <w:r>
              <w:rPr>
                <w:webHidden/>
              </w:rPr>
              <w:t>134</w:t>
            </w:r>
            <w:r>
              <w:rPr>
                <w:webHidden/>
              </w:rPr>
              <w:fldChar w:fldCharType="end"/>
            </w:r>
          </w:hyperlink>
        </w:p>
        <w:p w14:paraId="242AC8B4" w14:textId="30B4C374" w:rsidR="00274557" w:rsidRDefault="00274557">
          <w:pPr>
            <w:pStyle w:val="TOC3"/>
            <w:rPr>
              <w:rFonts w:asciiTheme="minorHAnsi" w:hAnsiTheme="minorHAnsi"/>
              <w:sz w:val="22"/>
            </w:rPr>
          </w:pPr>
          <w:hyperlink w:anchor="_Toc192874828" w:history="1">
            <w:r>
              <w:rPr>
                <w:rStyle w:val="Hyperlink"/>
                <w:bCs/>
              </w:rPr>
              <w:t>4.3.6</w:t>
            </w:r>
            <w:r>
              <w:rPr>
                <w:rFonts w:asciiTheme="minorHAnsi" w:hAnsiTheme="minorHAnsi"/>
                <w:sz w:val="22"/>
              </w:rPr>
              <w:tab/>
            </w:r>
            <w:r>
              <w:rPr>
                <w:rStyle w:val="Hyperlink"/>
              </w:rPr>
              <w:t>Schedule of Communications Throughout Delivery Phases</w:t>
            </w:r>
            <w:r>
              <w:rPr>
                <w:webHidden/>
              </w:rPr>
              <w:tab/>
            </w:r>
            <w:r>
              <w:rPr>
                <w:webHidden/>
              </w:rPr>
              <w:fldChar w:fldCharType="begin"/>
            </w:r>
            <w:r>
              <w:rPr>
                <w:webHidden/>
              </w:rPr>
              <w:instrText xml:space="preserve"> PAGEREF _Toc192874828 \h </w:instrText>
            </w:r>
            <w:r>
              <w:rPr>
                <w:webHidden/>
              </w:rPr>
            </w:r>
            <w:r>
              <w:rPr>
                <w:webHidden/>
              </w:rPr>
              <w:fldChar w:fldCharType="separate"/>
            </w:r>
            <w:r>
              <w:rPr>
                <w:webHidden/>
              </w:rPr>
              <w:t>134</w:t>
            </w:r>
            <w:r>
              <w:rPr>
                <w:webHidden/>
              </w:rPr>
              <w:fldChar w:fldCharType="end"/>
            </w:r>
          </w:hyperlink>
        </w:p>
        <w:p w14:paraId="18627324" w14:textId="5D727ACB" w:rsidR="00274557" w:rsidRDefault="00274557">
          <w:pPr>
            <w:pStyle w:val="TOC2"/>
            <w:rPr>
              <w:rFonts w:asciiTheme="minorHAnsi" w:eastAsiaTheme="minorEastAsia" w:hAnsiTheme="minorHAnsi"/>
              <w:b w:val="0"/>
              <w:kern w:val="2"/>
              <w:sz w:val="22"/>
              <w:lang w:val="en-US"/>
              <w14:ligatures w14:val="standardContextual"/>
            </w:rPr>
          </w:pPr>
          <w:hyperlink w:anchor="_Toc192874829" w:history="1">
            <w:r>
              <w:rPr>
                <w:rStyle w:val="Hyperlink"/>
              </w:rPr>
              <w:t>4.4</w:t>
            </w:r>
            <w:r>
              <w:rPr>
                <w:rFonts w:asciiTheme="minorHAnsi" w:eastAsiaTheme="minorEastAsia" w:hAnsiTheme="minorHAnsi"/>
                <w:b w:val="0"/>
                <w:kern w:val="2"/>
                <w:sz w:val="22"/>
                <w:lang w:val="en-US"/>
                <w14:ligatures w14:val="standardContextual"/>
              </w:rPr>
              <w:tab/>
            </w:r>
            <w:r>
              <w:rPr>
                <w:rStyle w:val="Hyperlink"/>
              </w:rPr>
              <w:t>Communications Processes</w:t>
            </w:r>
            <w:r>
              <w:rPr>
                <w:webHidden/>
              </w:rPr>
              <w:tab/>
            </w:r>
            <w:r>
              <w:rPr>
                <w:webHidden/>
              </w:rPr>
              <w:fldChar w:fldCharType="begin"/>
            </w:r>
            <w:r>
              <w:rPr>
                <w:webHidden/>
              </w:rPr>
              <w:instrText xml:space="preserve"> PAGEREF _Toc192874829 \h </w:instrText>
            </w:r>
            <w:r>
              <w:rPr>
                <w:webHidden/>
              </w:rPr>
            </w:r>
            <w:r>
              <w:rPr>
                <w:webHidden/>
              </w:rPr>
              <w:fldChar w:fldCharType="separate"/>
            </w:r>
            <w:r>
              <w:rPr>
                <w:webHidden/>
              </w:rPr>
              <w:t>134</w:t>
            </w:r>
            <w:r>
              <w:rPr>
                <w:webHidden/>
              </w:rPr>
              <w:fldChar w:fldCharType="end"/>
            </w:r>
          </w:hyperlink>
        </w:p>
        <w:p w14:paraId="13E7E613" w14:textId="5A44C9D2" w:rsidR="00274557" w:rsidRDefault="00274557">
          <w:pPr>
            <w:pStyle w:val="TOC3"/>
            <w:rPr>
              <w:rFonts w:asciiTheme="minorHAnsi" w:hAnsiTheme="minorHAnsi"/>
              <w:sz w:val="22"/>
            </w:rPr>
          </w:pPr>
          <w:hyperlink w:anchor="_Toc192874830" w:history="1">
            <w:r>
              <w:rPr>
                <w:rStyle w:val="Hyperlink"/>
                <w:bCs/>
              </w:rPr>
              <w:t>4.4.1</w:t>
            </w:r>
            <w:r>
              <w:rPr>
                <w:rFonts w:asciiTheme="minorHAnsi" w:hAnsiTheme="minorHAnsi"/>
                <w:sz w:val="22"/>
              </w:rPr>
              <w:tab/>
            </w:r>
            <w:r>
              <w:rPr>
                <w:rStyle w:val="Hyperlink"/>
              </w:rPr>
              <w:t>Project Status Report Process Flow Narrative</w:t>
            </w:r>
            <w:r>
              <w:rPr>
                <w:webHidden/>
              </w:rPr>
              <w:tab/>
            </w:r>
            <w:r>
              <w:rPr>
                <w:webHidden/>
              </w:rPr>
              <w:fldChar w:fldCharType="begin"/>
            </w:r>
            <w:r>
              <w:rPr>
                <w:webHidden/>
              </w:rPr>
              <w:instrText xml:space="preserve"> PAGEREF _Toc192874830 \h </w:instrText>
            </w:r>
            <w:r>
              <w:rPr>
                <w:webHidden/>
              </w:rPr>
            </w:r>
            <w:r>
              <w:rPr>
                <w:webHidden/>
              </w:rPr>
              <w:fldChar w:fldCharType="separate"/>
            </w:r>
            <w:r>
              <w:rPr>
                <w:webHidden/>
              </w:rPr>
              <w:t>135</w:t>
            </w:r>
            <w:r>
              <w:rPr>
                <w:webHidden/>
              </w:rPr>
              <w:fldChar w:fldCharType="end"/>
            </w:r>
          </w:hyperlink>
        </w:p>
        <w:p w14:paraId="42723102" w14:textId="18C2989A" w:rsidR="00274557" w:rsidRDefault="00274557">
          <w:pPr>
            <w:pStyle w:val="TOC3"/>
            <w:rPr>
              <w:rFonts w:asciiTheme="minorHAnsi" w:hAnsiTheme="minorHAnsi"/>
              <w:sz w:val="22"/>
            </w:rPr>
          </w:pPr>
          <w:hyperlink w:anchor="_Toc192874831" w:history="1">
            <w:r>
              <w:rPr>
                <w:rStyle w:val="Hyperlink"/>
                <w:bCs/>
              </w:rPr>
              <w:t>4.4.2</w:t>
            </w:r>
            <w:r>
              <w:rPr>
                <w:rFonts w:asciiTheme="minorHAnsi" w:hAnsiTheme="minorHAnsi"/>
                <w:sz w:val="22"/>
              </w:rPr>
              <w:tab/>
            </w:r>
            <w:r>
              <w:rPr>
                <w:rStyle w:val="Hyperlink"/>
              </w:rPr>
              <w:t>Work Plan Updates Process Flow Narrative</w:t>
            </w:r>
            <w:r>
              <w:rPr>
                <w:webHidden/>
              </w:rPr>
              <w:tab/>
            </w:r>
            <w:r>
              <w:rPr>
                <w:webHidden/>
              </w:rPr>
              <w:fldChar w:fldCharType="begin"/>
            </w:r>
            <w:r>
              <w:rPr>
                <w:webHidden/>
              </w:rPr>
              <w:instrText xml:space="preserve"> PAGEREF _Toc192874831 \h </w:instrText>
            </w:r>
            <w:r>
              <w:rPr>
                <w:webHidden/>
              </w:rPr>
            </w:r>
            <w:r>
              <w:rPr>
                <w:webHidden/>
              </w:rPr>
              <w:fldChar w:fldCharType="separate"/>
            </w:r>
            <w:r>
              <w:rPr>
                <w:webHidden/>
              </w:rPr>
              <w:t>136</w:t>
            </w:r>
            <w:r>
              <w:rPr>
                <w:webHidden/>
              </w:rPr>
              <w:fldChar w:fldCharType="end"/>
            </w:r>
          </w:hyperlink>
        </w:p>
        <w:p w14:paraId="31CEE5DB" w14:textId="0E2714C3" w:rsidR="00274557" w:rsidRDefault="00274557">
          <w:pPr>
            <w:pStyle w:val="TOC3"/>
            <w:rPr>
              <w:rFonts w:asciiTheme="minorHAnsi" w:hAnsiTheme="minorHAnsi"/>
              <w:sz w:val="22"/>
            </w:rPr>
          </w:pPr>
          <w:hyperlink w:anchor="_Toc192874832" w:history="1">
            <w:r>
              <w:rPr>
                <w:rStyle w:val="Hyperlink"/>
                <w:bCs/>
              </w:rPr>
              <w:t>4.4.3</w:t>
            </w:r>
            <w:r>
              <w:rPr>
                <w:rFonts w:asciiTheme="minorHAnsi" w:hAnsiTheme="minorHAnsi"/>
                <w:sz w:val="22"/>
              </w:rPr>
              <w:tab/>
            </w:r>
            <w:r>
              <w:rPr>
                <w:rStyle w:val="Hyperlink"/>
              </w:rPr>
              <w:t>SIT/UAT Test Metrics Process Flow Narrative</w:t>
            </w:r>
            <w:r>
              <w:rPr>
                <w:webHidden/>
              </w:rPr>
              <w:tab/>
            </w:r>
            <w:r>
              <w:rPr>
                <w:webHidden/>
              </w:rPr>
              <w:fldChar w:fldCharType="begin"/>
            </w:r>
            <w:r>
              <w:rPr>
                <w:webHidden/>
              </w:rPr>
              <w:instrText xml:space="preserve"> PAGEREF _Toc192874832 \h </w:instrText>
            </w:r>
            <w:r>
              <w:rPr>
                <w:webHidden/>
              </w:rPr>
            </w:r>
            <w:r>
              <w:rPr>
                <w:webHidden/>
              </w:rPr>
              <w:fldChar w:fldCharType="separate"/>
            </w:r>
            <w:r>
              <w:rPr>
                <w:webHidden/>
              </w:rPr>
              <w:t>137</w:t>
            </w:r>
            <w:r>
              <w:rPr>
                <w:webHidden/>
              </w:rPr>
              <w:fldChar w:fldCharType="end"/>
            </w:r>
          </w:hyperlink>
        </w:p>
        <w:p w14:paraId="6954CB03" w14:textId="2F2BAC57" w:rsidR="00274557" w:rsidRDefault="00274557">
          <w:pPr>
            <w:pStyle w:val="TOC3"/>
            <w:rPr>
              <w:rFonts w:asciiTheme="minorHAnsi" w:hAnsiTheme="minorHAnsi"/>
              <w:sz w:val="22"/>
            </w:rPr>
          </w:pPr>
          <w:hyperlink w:anchor="_Toc192874833" w:history="1">
            <w:r>
              <w:rPr>
                <w:rStyle w:val="Hyperlink"/>
                <w:bCs/>
              </w:rPr>
              <w:t>4.4.4</w:t>
            </w:r>
            <w:r>
              <w:rPr>
                <w:rFonts w:asciiTheme="minorHAnsi" w:hAnsiTheme="minorHAnsi"/>
                <w:sz w:val="22"/>
              </w:rPr>
              <w:tab/>
            </w:r>
            <w:r>
              <w:rPr>
                <w:rStyle w:val="Hyperlink"/>
              </w:rPr>
              <w:t>Release Plans Process Flow Narrative</w:t>
            </w:r>
            <w:r>
              <w:rPr>
                <w:webHidden/>
              </w:rPr>
              <w:tab/>
            </w:r>
            <w:r>
              <w:rPr>
                <w:webHidden/>
              </w:rPr>
              <w:fldChar w:fldCharType="begin"/>
            </w:r>
            <w:r>
              <w:rPr>
                <w:webHidden/>
              </w:rPr>
              <w:instrText xml:space="preserve"> PAGEREF _Toc192874833 \h </w:instrText>
            </w:r>
            <w:r>
              <w:rPr>
                <w:webHidden/>
              </w:rPr>
            </w:r>
            <w:r>
              <w:rPr>
                <w:webHidden/>
              </w:rPr>
              <w:fldChar w:fldCharType="separate"/>
            </w:r>
            <w:r>
              <w:rPr>
                <w:webHidden/>
              </w:rPr>
              <w:t>137</w:t>
            </w:r>
            <w:r>
              <w:rPr>
                <w:webHidden/>
              </w:rPr>
              <w:fldChar w:fldCharType="end"/>
            </w:r>
          </w:hyperlink>
        </w:p>
        <w:p w14:paraId="74FD24BA" w14:textId="00BDE8A0" w:rsidR="00274557" w:rsidRDefault="00274557">
          <w:pPr>
            <w:pStyle w:val="TOC3"/>
            <w:rPr>
              <w:rFonts w:asciiTheme="minorHAnsi" w:hAnsiTheme="minorHAnsi"/>
              <w:sz w:val="22"/>
            </w:rPr>
          </w:pPr>
          <w:hyperlink w:anchor="_Toc192874834" w:history="1">
            <w:r>
              <w:rPr>
                <w:rStyle w:val="Hyperlink"/>
                <w:bCs/>
              </w:rPr>
              <w:t>4.4.5</w:t>
            </w:r>
            <w:r>
              <w:rPr>
                <w:rFonts w:asciiTheme="minorHAnsi" w:hAnsiTheme="minorHAnsi"/>
                <w:sz w:val="22"/>
              </w:rPr>
              <w:tab/>
            </w:r>
            <w:r>
              <w:rPr>
                <w:rStyle w:val="Hyperlink"/>
              </w:rPr>
              <w:t>Technical Deployment Checklists Process Flow Narrative</w:t>
            </w:r>
            <w:r>
              <w:rPr>
                <w:webHidden/>
              </w:rPr>
              <w:tab/>
            </w:r>
            <w:r>
              <w:rPr>
                <w:webHidden/>
              </w:rPr>
              <w:fldChar w:fldCharType="begin"/>
            </w:r>
            <w:r>
              <w:rPr>
                <w:webHidden/>
              </w:rPr>
              <w:instrText xml:space="preserve"> PAGEREF _Toc192874834 \h </w:instrText>
            </w:r>
            <w:r>
              <w:rPr>
                <w:webHidden/>
              </w:rPr>
            </w:r>
            <w:r>
              <w:rPr>
                <w:webHidden/>
              </w:rPr>
              <w:fldChar w:fldCharType="separate"/>
            </w:r>
            <w:r>
              <w:rPr>
                <w:webHidden/>
              </w:rPr>
              <w:t>137</w:t>
            </w:r>
            <w:r>
              <w:rPr>
                <w:webHidden/>
              </w:rPr>
              <w:fldChar w:fldCharType="end"/>
            </w:r>
          </w:hyperlink>
        </w:p>
        <w:p w14:paraId="2E76F054" w14:textId="7A6BA17C" w:rsidR="00274557" w:rsidRDefault="00274557">
          <w:pPr>
            <w:pStyle w:val="TOC3"/>
            <w:rPr>
              <w:rFonts w:asciiTheme="minorHAnsi" w:hAnsiTheme="minorHAnsi"/>
              <w:sz w:val="22"/>
            </w:rPr>
          </w:pPr>
          <w:hyperlink w:anchor="_Toc192874835" w:history="1">
            <w:r>
              <w:rPr>
                <w:rStyle w:val="Hyperlink"/>
                <w:bCs/>
              </w:rPr>
              <w:t>4.4.6</w:t>
            </w:r>
            <w:r>
              <w:rPr>
                <w:rFonts w:asciiTheme="minorHAnsi" w:hAnsiTheme="minorHAnsi"/>
                <w:sz w:val="22"/>
              </w:rPr>
              <w:tab/>
            </w:r>
            <w:r>
              <w:rPr>
                <w:rStyle w:val="Hyperlink"/>
              </w:rPr>
              <w:t>End-User Training Materials Process Flow Narrative</w:t>
            </w:r>
            <w:r>
              <w:rPr>
                <w:webHidden/>
              </w:rPr>
              <w:tab/>
            </w:r>
            <w:r>
              <w:rPr>
                <w:webHidden/>
              </w:rPr>
              <w:fldChar w:fldCharType="begin"/>
            </w:r>
            <w:r>
              <w:rPr>
                <w:webHidden/>
              </w:rPr>
              <w:instrText xml:space="preserve"> PAGEREF _Toc192874835 \h </w:instrText>
            </w:r>
            <w:r>
              <w:rPr>
                <w:webHidden/>
              </w:rPr>
            </w:r>
            <w:r>
              <w:rPr>
                <w:webHidden/>
              </w:rPr>
              <w:fldChar w:fldCharType="separate"/>
            </w:r>
            <w:r>
              <w:rPr>
                <w:webHidden/>
              </w:rPr>
              <w:t>137</w:t>
            </w:r>
            <w:r>
              <w:rPr>
                <w:webHidden/>
              </w:rPr>
              <w:fldChar w:fldCharType="end"/>
            </w:r>
          </w:hyperlink>
        </w:p>
        <w:p w14:paraId="23EE8AA1" w14:textId="211DFAC3" w:rsidR="00274557" w:rsidRDefault="00274557">
          <w:pPr>
            <w:pStyle w:val="TOC3"/>
            <w:rPr>
              <w:rFonts w:asciiTheme="minorHAnsi" w:hAnsiTheme="minorHAnsi"/>
              <w:sz w:val="22"/>
            </w:rPr>
          </w:pPr>
          <w:hyperlink w:anchor="_Toc192874836" w:history="1">
            <w:r>
              <w:rPr>
                <w:rStyle w:val="Hyperlink"/>
                <w:bCs/>
              </w:rPr>
              <w:t>4.4.7</w:t>
            </w:r>
            <w:r>
              <w:rPr>
                <w:rFonts w:asciiTheme="minorHAnsi" w:hAnsiTheme="minorHAnsi"/>
                <w:sz w:val="22"/>
              </w:rPr>
              <w:tab/>
            </w:r>
            <w:r>
              <w:rPr>
                <w:rStyle w:val="Hyperlink"/>
              </w:rPr>
              <w:t>Critical Communication Process Flow</w:t>
            </w:r>
            <w:r>
              <w:rPr>
                <w:rStyle w:val="Hyperlink"/>
                <w:rFonts w:cs="Verdana"/>
              </w:rPr>
              <w:t xml:space="preserve"> </w:t>
            </w:r>
            <w:r>
              <w:rPr>
                <w:rStyle w:val="Hyperlink"/>
              </w:rPr>
              <w:t>Narrative</w:t>
            </w:r>
            <w:r>
              <w:rPr>
                <w:webHidden/>
              </w:rPr>
              <w:tab/>
            </w:r>
            <w:r>
              <w:rPr>
                <w:webHidden/>
              </w:rPr>
              <w:fldChar w:fldCharType="begin"/>
            </w:r>
            <w:r>
              <w:rPr>
                <w:webHidden/>
              </w:rPr>
              <w:instrText xml:space="preserve"> PAGEREF _Toc192874836 \h </w:instrText>
            </w:r>
            <w:r>
              <w:rPr>
                <w:webHidden/>
              </w:rPr>
            </w:r>
            <w:r>
              <w:rPr>
                <w:webHidden/>
              </w:rPr>
              <w:fldChar w:fldCharType="separate"/>
            </w:r>
            <w:r>
              <w:rPr>
                <w:webHidden/>
              </w:rPr>
              <w:t>137</w:t>
            </w:r>
            <w:r>
              <w:rPr>
                <w:webHidden/>
              </w:rPr>
              <w:fldChar w:fldCharType="end"/>
            </w:r>
          </w:hyperlink>
        </w:p>
        <w:p w14:paraId="1148FA3D" w14:textId="77E77AA1" w:rsidR="00274557" w:rsidRDefault="00274557">
          <w:pPr>
            <w:pStyle w:val="TOC2"/>
            <w:rPr>
              <w:rFonts w:asciiTheme="minorHAnsi" w:eastAsiaTheme="minorEastAsia" w:hAnsiTheme="minorHAnsi"/>
              <w:b w:val="0"/>
              <w:kern w:val="2"/>
              <w:sz w:val="22"/>
              <w:lang w:val="en-US"/>
              <w14:ligatures w14:val="standardContextual"/>
            </w:rPr>
          </w:pPr>
          <w:hyperlink w:anchor="_Toc192874837" w:history="1">
            <w:r>
              <w:rPr>
                <w:rStyle w:val="Hyperlink"/>
              </w:rPr>
              <w:t>4.5</w:t>
            </w:r>
            <w:r>
              <w:rPr>
                <w:rFonts w:asciiTheme="minorHAnsi" w:eastAsiaTheme="minorEastAsia" w:hAnsiTheme="minorHAnsi"/>
                <w:b w:val="0"/>
                <w:kern w:val="2"/>
                <w:sz w:val="22"/>
                <w:lang w:val="en-US"/>
                <w14:ligatures w14:val="standardContextual"/>
              </w:rPr>
              <w:tab/>
            </w:r>
            <w:r>
              <w:rPr>
                <w:rStyle w:val="Hyperlink"/>
              </w:rPr>
              <w:t>Communication Review and Approval Process</w:t>
            </w:r>
            <w:r>
              <w:rPr>
                <w:webHidden/>
              </w:rPr>
              <w:tab/>
            </w:r>
            <w:r>
              <w:rPr>
                <w:webHidden/>
              </w:rPr>
              <w:fldChar w:fldCharType="begin"/>
            </w:r>
            <w:r>
              <w:rPr>
                <w:webHidden/>
              </w:rPr>
              <w:instrText xml:space="preserve"> PAGEREF _Toc192874837 \h </w:instrText>
            </w:r>
            <w:r>
              <w:rPr>
                <w:webHidden/>
              </w:rPr>
            </w:r>
            <w:r>
              <w:rPr>
                <w:webHidden/>
              </w:rPr>
              <w:fldChar w:fldCharType="separate"/>
            </w:r>
            <w:r>
              <w:rPr>
                <w:webHidden/>
              </w:rPr>
              <w:t>138</w:t>
            </w:r>
            <w:r>
              <w:rPr>
                <w:webHidden/>
              </w:rPr>
              <w:fldChar w:fldCharType="end"/>
            </w:r>
          </w:hyperlink>
        </w:p>
        <w:p w14:paraId="37B4AF08" w14:textId="035CA155" w:rsidR="00274557" w:rsidRDefault="00274557">
          <w:pPr>
            <w:pStyle w:val="TOC3"/>
            <w:rPr>
              <w:rFonts w:asciiTheme="minorHAnsi" w:hAnsiTheme="minorHAnsi"/>
              <w:sz w:val="22"/>
            </w:rPr>
          </w:pPr>
          <w:hyperlink w:anchor="_Toc192874838" w:history="1">
            <w:r>
              <w:rPr>
                <w:rStyle w:val="Hyperlink"/>
                <w:bCs/>
              </w:rPr>
              <w:t>4.5.1</w:t>
            </w:r>
            <w:r>
              <w:rPr>
                <w:rFonts w:asciiTheme="minorHAnsi" w:hAnsiTheme="minorHAnsi"/>
                <w:sz w:val="22"/>
              </w:rPr>
              <w:tab/>
            </w:r>
            <w:r>
              <w:rPr>
                <w:rStyle w:val="Hyperlink"/>
              </w:rPr>
              <w:t>Communication Review and Approval Process Flow Narrative</w:t>
            </w:r>
            <w:r>
              <w:rPr>
                <w:webHidden/>
              </w:rPr>
              <w:tab/>
            </w:r>
            <w:r>
              <w:rPr>
                <w:webHidden/>
              </w:rPr>
              <w:fldChar w:fldCharType="begin"/>
            </w:r>
            <w:r>
              <w:rPr>
                <w:webHidden/>
              </w:rPr>
              <w:instrText xml:space="preserve"> PAGEREF _Toc192874838 \h </w:instrText>
            </w:r>
            <w:r>
              <w:rPr>
                <w:webHidden/>
              </w:rPr>
            </w:r>
            <w:r>
              <w:rPr>
                <w:webHidden/>
              </w:rPr>
              <w:fldChar w:fldCharType="separate"/>
            </w:r>
            <w:r>
              <w:rPr>
                <w:webHidden/>
              </w:rPr>
              <w:t>138</w:t>
            </w:r>
            <w:r>
              <w:rPr>
                <w:webHidden/>
              </w:rPr>
              <w:fldChar w:fldCharType="end"/>
            </w:r>
          </w:hyperlink>
        </w:p>
        <w:p w14:paraId="29AB9A94" w14:textId="452CB8F8" w:rsidR="00274557" w:rsidRDefault="00274557">
          <w:pPr>
            <w:pStyle w:val="TOC1"/>
            <w:rPr>
              <w:rFonts w:asciiTheme="minorHAnsi" w:eastAsiaTheme="minorEastAsia" w:hAnsiTheme="minorHAnsi"/>
              <w:b w:val="0"/>
              <w:kern w:val="2"/>
              <w:sz w:val="22"/>
              <w14:ligatures w14:val="standardContextual"/>
            </w:rPr>
          </w:pPr>
          <w:hyperlink w:anchor="_Toc192874839" w:history="1">
            <w:r>
              <w:rPr>
                <w:rStyle w:val="Hyperlink"/>
              </w:rPr>
              <w:t>5</w:t>
            </w:r>
            <w:r>
              <w:rPr>
                <w:rFonts w:asciiTheme="minorHAnsi" w:eastAsiaTheme="minorEastAsia" w:hAnsiTheme="minorHAnsi"/>
                <w:b w:val="0"/>
                <w:kern w:val="2"/>
                <w:sz w:val="22"/>
                <w14:ligatures w14:val="standardContextual"/>
              </w:rPr>
              <w:tab/>
            </w:r>
            <w:r>
              <w:rPr>
                <w:rStyle w:val="Hyperlink"/>
              </w:rPr>
              <w:t>Deliverable Management Plan</w:t>
            </w:r>
            <w:r>
              <w:rPr>
                <w:webHidden/>
              </w:rPr>
              <w:tab/>
            </w:r>
            <w:r>
              <w:rPr>
                <w:webHidden/>
              </w:rPr>
              <w:fldChar w:fldCharType="begin"/>
            </w:r>
            <w:r>
              <w:rPr>
                <w:webHidden/>
              </w:rPr>
              <w:instrText xml:space="preserve"> PAGEREF _Toc192874839 \h </w:instrText>
            </w:r>
            <w:r>
              <w:rPr>
                <w:webHidden/>
              </w:rPr>
            </w:r>
            <w:r>
              <w:rPr>
                <w:webHidden/>
              </w:rPr>
              <w:fldChar w:fldCharType="separate"/>
            </w:r>
            <w:r>
              <w:rPr>
                <w:webHidden/>
              </w:rPr>
              <w:t>140</w:t>
            </w:r>
            <w:r>
              <w:rPr>
                <w:webHidden/>
              </w:rPr>
              <w:fldChar w:fldCharType="end"/>
            </w:r>
          </w:hyperlink>
        </w:p>
        <w:p w14:paraId="3755DCFC" w14:textId="3E790CC4" w:rsidR="00274557" w:rsidRDefault="00274557">
          <w:pPr>
            <w:pStyle w:val="TOC2"/>
            <w:rPr>
              <w:rFonts w:asciiTheme="minorHAnsi" w:eastAsiaTheme="minorEastAsia" w:hAnsiTheme="minorHAnsi"/>
              <w:b w:val="0"/>
              <w:kern w:val="2"/>
              <w:sz w:val="22"/>
              <w:lang w:val="en-US"/>
              <w14:ligatures w14:val="standardContextual"/>
            </w:rPr>
          </w:pPr>
          <w:hyperlink w:anchor="_Toc192874840" w:history="1">
            <w:r>
              <w:rPr>
                <w:rStyle w:val="Hyperlink"/>
              </w:rPr>
              <w:t>5.1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_Toc192874840 \h </w:instrText>
            </w:r>
            <w:r>
              <w:rPr>
                <w:webHidden/>
              </w:rPr>
            </w:r>
            <w:r>
              <w:rPr>
                <w:webHidden/>
              </w:rPr>
              <w:fldChar w:fldCharType="separate"/>
            </w:r>
            <w:r>
              <w:rPr>
                <w:webHidden/>
              </w:rPr>
              <w:t>140</w:t>
            </w:r>
            <w:r>
              <w:rPr>
                <w:webHidden/>
              </w:rPr>
              <w:fldChar w:fldCharType="end"/>
            </w:r>
          </w:hyperlink>
        </w:p>
        <w:p w14:paraId="740B7261" w14:textId="6439A39F" w:rsidR="00274557" w:rsidRDefault="00274557">
          <w:pPr>
            <w:pStyle w:val="TOC2"/>
            <w:rPr>
              <w:rFonts w:asciiTheme="minorHAnsi" w:eastAsiaTheme="minorEastAsia" w:hAnsiTheme="minorHAnsi"/>
              <w:b w:val="0"/>
              <w:kern w:val="2"/>
              <w:sz w:val="22"/>
              <w:lang w:val="en-US"/>
              <w14:ligatures w14:val="standardContextual"/>
            </w:rPr>
          </w:pPr>
          <w:hyperlink w:anchor="_Toc192874841" w:history="1">
            <w:r>
              <w:rPr>
                <w:rStyle w:val="Hyperlink"/>
              </w:rPr>
              <w:t>5.2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_Toc192874841 \h </w:instrText>
            </w:r>
            <w:r>
              <w:rPr>
                <w:webHidden/>
              </w:rPr>
            </w:r>
            <w:r>
              <w:rPr>
                <w:webHidden/>
              </w:rPr>
              <w:fldChar w:fldCharType="separate"/>
            </w:r>
            <w:r>
              <w:rPr>
                <w:webHidden/>
              </w:rPr>
              <w:t>140</w:t>
            </w:r>
            <w:r>
              <w:rPr>
                <w:webHidden/>
              </w:rPr>
              <w:fldChar w:fldCharType="end"/>
            </w:r>
          </w:hyperlink>
        </w:p>
        <w:p w14:paraId="762FF456" w14:textId="08C17962" w:rsidR="00274557" w:rsidRDefault="00274557">
          <w:pPr>
            <w:pStyle w:val="TOC2"/>
            <w:rPr>
              <w:rFonts w:asciiTheme="minorHAnsi" w:eastAsiaTheme="minorEastAsia" w:hAnsiTheme="minorHAnsi"/>
              <w:b w:val="0"/>
              <w:kern w:val="2"/>
              <w:sz w:val="22"/>
              <w:lang w:val="en-US"/>
              <w14:ligatures w14:val="standardContextual"/>
            </w:rPr>
          </w:pPr>
          <w:hyperlink w:anchor="_Toc192874842" w:history="1">
            <w:r>
              <w:rPr>
                <w:rStyle w:val="Hyperlink"/>
              </w:rPr>
              <w:t>5.3</w:t>
            </w:r>
            <w:r>
              <w:rPr>
                <w:rFonts w:asciiTheme="minorHAnsi" w:eastAsiaTheme="minorEastAsia" w:hAnsiTheme="minorHAnsi"/>
                <w:b w:val="0"/>
                <w:kern w:val="2"/>
                <w:sz w:val="22"/>
                <w:lang w:val="en-US"/>
                <w14:ligatures w14:val="standardContextual"/>
              </w:rPr>
              <w:tab/>
            </w:r>
            <w:r>
              <w:rPr>
                <w:rStyle w:val="Hyperlink"/>
              </w:rPr>
              <w:t>Deliverable Expectation Documents and Deliverables</w:t>
            </w:r>
            <w:r>
              <w:rPr>
                <w:webHidden/>
              </w:rPr>
              <w:tab/>
            </w:r>
            <w:r>
              <w:rPr>
                <w:webHidden/>
              </w:rPr>
              <w:fldChar w:fldCharType="begin"/>
            </w:r>
            <w:r>
              <w:rPr>
                <w:webHidden/>
              </w:rPr>
              <w:instrText xml:space="preserve"> PAGEREF _Toc192874842 \h </w:instrText>
            </w:r>
            <w:r>
              <w:rPr>
                <w:webHidden/>
              </w:rPr>
            </w:r>
            <w:r>
              <w:rPr>
                <w:webHidden/>
              </w:rPr>
              <w:fldChar w:fldCharType="separate"/>
            </w:r>
            <w:r>
              <w:rPr>
                <w:webHidden/>
              </w:rPr>
              <w:t>140</w:t>
            </w:r>
            <w:r>
              <w:rPr>
                <w:webHidden/>
              </w:rPr>
              <w:fldChar w:fldCharType="end"/>
            </w:r>
          </w:hyperlink>
        </w:p>
        <w:p w14:paraId="28BD863F" w14:textId="008FB76D" w:rsidR="00274557" w:rsidRDefault="00274557">
          <w:pPr>
            <w:pStyle w:val="TOC2"/>
            <w:rPr>
              <w:rFonts w:asciiTheme="minorHAnsi" w:eastAsiaTheme="minorEastAsia" w:hAnsiTheme="minorHAnsi"/>
              <w:b w:val="0"/>
              <w:kern w:val="2"/>
              <w:sz w:val="22"/>
              <w:lang w:val="en-US"/>
              <w14:ligatures w14:val="standardContextual"/>
            </w:rPr>
          </w:pPr>
          <w:hyperlink w:anchor="_Toc192874843" w:history="1">
            <w:r>
              <w:rPr>
                <w:rStyle w:val="Hyperlink"/>
              </w:rPr>
              <w:t>5.4</w:t>
            </w:r>
            <w:r>
              <w:rPr>
                <w:rFonts w:asciiTheme="minorHAnsi" w:eastAsiaTheme="minorEastAsia" w:hAnsiTheme="minorHAnsi"/>
                <w:b w:val="0"/>
                <w:kern w:val="2"/>
                <w:sz w:val="22"/>
                <w:lang w:val="en-US"/>
                <w14:ligatures w14:val="standardContextual"/>
              </w:rPr>
              <w:tab/>
            </w:r>
            <w:r>
              <w:rPr>
                <w:rStyle w:val="Hyperlink"/>
              </w:rPr>
              <w:t>Non-Design Deliverable Management Approach</w:t>
            </w:r>
            <w:r>
              <w:rPr>
                <w:webHidden/>
              </w:rPr>
              <w:tab/>
            </w:r>
            <w:r>
              <w:rPr>
                <w:webHidden/>
              </w:rPr>
              <w:fldChar w:fldCharType="begin"/>
            </w:r>
            <w:r>
              <w:rPr>
                <w:webHidden/>
              </w:rPr>
              <w:instrText xml:space="preserve"> PAGEREF _Toc192874843 \h </w:instrText>
            </w:r>
            <w:r>
              <w:rPr>
                <w:webHidden/>
              </w:rPr>
            </w:r>
            <w:r>
              <w:rPr>
                <w:webHidden/>
              </w:rPr>
              <w:fldChar w:fldCharType="separate"/>
            </w:r>
            <w:r>
              <w:rPr>
                <w:webHidden/>
              </w:rPr>
              <w:t>141</w:t>
            </w:r>
            <w:r>
              <w:rPr>
                <w:webHidden/>
              </w:rPr>
              <w:fldChar w:fldCharType="end"/>
            </w:r>
          </w:hyperlink>
        </w:p>
        <w:p w14:paraId="09D3F43C" w14:textId="29A9BA59" w:rsidR="00274557" w:rsidRDefault="00274557">
          <w:pPr>
            <w:pStyle w:val="TOC3"/>
            <w:rPr>
              <w:rFonts w:asciiTheme="minorHAnsi" w:hAnsiTheme="minorHAnsi"/>
              <w:sz w:val="22"/>
            </w:rPr>
          </w:pPr>
          <w:hyperlink w:anchor="_Toc192874844" w:history="1">
            <w:r>
              <w:rPr>
                <w:rStyle w:val="Hyperlink"/>
                <w:bCs/>
              </w:rPr>
              <w:t>5.4.1</w:t>
            </w:r>
            <w:r>
              <w:rPr>
                <w:rFonts w:asciiTheme="minorHAnsi" w:hAnsiTheme="minorHAnsi"/>
                <w:sz w:val="22"/>
              </w:rPr>
              <w:tab/>
            </w:r>
            <w:r>
              <w:rPr>
                <w:rStyle w:val="Hyperlink"/>
              </w:rPr>
              <w:t>DED/Deliverable Management Process Flow</w:t>
            </w:r>
            <w:r>
              <w:rPr>
                <w:webHidden/>
              </w:rPr>
              <w:tab/>
            </w:r>
            <w:r>
              <w:rPr>
                <w:webHidden/>
              </w:rPr>
              <w:fldChar w:fldCharType="begin"/>
            </w:r>
            <w:r>
              <w:rPr>
                <w:webHidden/>
              </w:rPr>
              <w:instrText xml:space="preserve"> PAGEREF _Toc192874844 \h </w:instrText>
            </w:r>
            <w:r>
              <w:rPr>
                <w:webHidden/>
              </w:rPr>
            </w:r>
            <w:r>
              <w:rPr>
                <w:webHidden/>
              </w:rPr>
              <w:fldChar w:fldCharType="separate"/>
            </w:r>
            <w:r>
              <w:rPr>
                <w:webHidden/>
              </w:rPr>
              <w:t>141</w:t>
            </w:r>
            <w:r>
              <w:rPr>
                <w:webHidden/>
              </w:rPr>
              <w:fldChar w:fldCharType="end"/>
            </w:r>
          </w:hyperlink>
        </w:p>
        <w:p w14:paraId="234D5101" w14:textId="176C38E9" w:rsidR="00274557" w:rsidRDefault="00274557">
          <w:pPr>
            <w:pStyle w:val="TOC3"/>
            <w:rPr>
              <w:rFonts w:asciiTheme="minorHAnsi" w:hAnsiTheme="minorHAnsi"/>
              <w:sz w:val="22"/>
            </w:rPr>
          </w:pPr>
          <w:hyperlink w:anchor="_Toc192874845" w:history="1">
            <w:r>
              <w:rPr>
                <w:rStyle w:val="Hyperlink"/>
                <w:bCs/>
              </w:rPr>
              <w:t>5.4.2</w:t>
            </w:r>
            <w:r>
              <w:rPr>
                <w:rFonts w:asciiTheme="minorHAnsi" w:hAnsiTheme="minorHAnsi"/>
                <w:sz w:val="22"/>
              </w:rPr>
              <w:tab/>
            </w:r>
            <w:r>
              <w:rPr>
                <w:rStyle w:val="Hyperlink"/>
              </w:rPr>
              <w:t>DED/Deliverable Management Process Flow Narrative</w:t>
            </w:r>
            <w:r>
              <w:rPr>
                <w:webHidden/>
              </w:rPr>
              <w:tab/>
            </w:r>
            <w:r>
              <w:rPr>
                <w:webHidden/>
              </w:rPr>
              <w:fldChar w:fldCharType="begin"/>
            </w:r>
            <w:r>
              <w:rPr>
                <w:webHidden/>
              </w:rPr>
              <w:instrText xml:space="preserve"> PAGEREF _Toc192874845 \h </w:instrText>
            </w:r>
            <w:r>
              <w:rPr>
                <w:webHidden/>
              </w:rPr>
            </w:r>
            <w:r>
              <w:rPr>
                <w:webHidden/>
              </w:rPr>
              <w:fldChar w:fldCharType="separate"/>
            </w:r>
            <w:r>
              <w:rPr>
                <w:webHidden/>
              </w:rPr>
              <w:t>142</w:t>
            </w:r>
            <w:r>
              <w:rPr>
                <w:webHidden/>
              </w:rPr>
              <w:fldChar w:fldCharType="end"/>
            </w:r>
          </w:hyperlink>
        </w:p>
        <w:p w14:paraId="68295779" w14:textId="246E0A1C" w:rsidR="00274557" w:rsidRDefault="00274557">
          <w:pPr>
            <w:pStyle w:val="TOC3"/>
            <w:rPr>
              <w:rFonts w:asciiTheme="minorHAnsi" w:hAnsiTheme="minorHAnsi"/>
              <w:sz w:val="22"/>
            </w:rPr>
          </w:pPr>
          <w:hyperlink w:anchor="_Toc192874846" w:history="1">
            <w:r>
              <w:rPr>
                <w:rStyle w:val="Hyperlink"/>
                <w:bCs/>
              </w:rPr>
              <w:t>5.4.3</w:t>
            </w:r>
            <w:r>
              <w:rPr>
                <w:rFonts w:asciiTheme="minorHAnsi" w:hAnsiTheme="minorHAnsi"/>
                <w:sz w:val="22"/>
              </w:rPr>
              <w:tab/>
            </w:r>
            <w:r>
              <w:rPr>
                <w:rStyle w:val="Hyperlink"/>
              </w:rPr>
              <w:t>Collaboration Review Cycle Oversight</w:t>
            </w:r>
            <w:r>
              <w:rPr>
                <w:webHidden/>
              </w:rPr>
              <w:tab/>
            </w:r>
            <w:r>
              <w:rPr>
                <w:webHidden/>
              </w:rPr>
              <w:fldChar w:fldCharType="begin"/>
            </w:r>
            <w:r>
              <w:rPr>
                <w:webHidden/>
              </w:rPr>
              <w:instrText xml:space="preserve"> PAGEREF _Toc192874846 \h </w:instrText>
            </w:r>
            <w:r>
              <w:rPr>
                <w:webHidden/>
              </w:rPr>
            </w:r>
            <w:r>
              <w:rPr>
                <w:webHidden/>
              </w:rPr>
              <w:fldChar w:fldCharType="separate"/>
            </w:r>
            <w:r>
              <w:rPr>
                <w:webHidden/>
              </w:rPr>
              <w:t>144</w:t>
            </w:r>
            <w:r>
              <w:rPr>
                <w:webHidden/>
              </w:rPr>
              <w:fldChar w:fldCharType="end"/>
            </w:r>
          </w:hyperlink>
        </w:p>
        <w:p w14:paraId="150D9B12" w14:textId="233B4AA3" w:rsidR="00274557" w:rsidRDefault="00274557">
          <w:pPr>
            <w:pStyle w:val="TOC3"/>
            <w:rPr>
              <w:rFonts w:asciiTheme="minorHAnsi" w:hAnsiTheme="minorHAnsi"/>
              <w:sz w:val="22"/>
            </w:rPr>
          </w:pPr>
          <w:hyperlink w:anchor="_Toc192874847" w:history="1">
            <w:r>
              <w:rPr>
                <w:rStyle w:val="Hyperlink"/>
                <w:bCs/>
              </w:rPr>
              <w:t>5.4.4</w:t>
            </w:r>
            <w:r>
              <w:rPr>
                <w:rFonts w:asciiTheme="minorHAnsi" w:hAnsiTheme="minorHAnsi"/>
                <w:sz w:val="22"/>
              </w:rPr>
              <w:tab/>
            </w:r>
            <w:r>
              <w:rPr>
                <w:rStyle w:val="Hyperlink"/>
              </w:rPr>
              <w:t>Collaboration Process for DEDs/Deliverables</w:t>
            </w:r>
            <w:r>
              <w:rPr>
                <w:webHidden/>
              </w:rPr>
              <w:tab/>
            </w:r>
            <w:r>
              <w:rPr>
                <w:webHidden/>
              </w:rPr>
              <w:fldChar w:fldCharType="begin"/>
            </w:r>
            <w:r>
              <w:rPr>
                <w:webHidden/>
              </w:rPr>
              <w:instrText xml:space="preserve"> PAGEREF _Toc192874847 \h </w:instrText>
            </w:r>
            <w:r>
              <w:rPr>
                <w:webHidden/>
              </w:rPr>
            </w:r>
            <w:r>
              <w:rPr>
                <w:webHidden/>
              </w:rPr>
              <w:fldChar w:fldCharType="separate"/>
            </w:r>
            <w:r>
              <w:rPr>
                <w:webHidden/>
              </w:rPr>
              <w:t>144</w:t>
            </w:r>
            <w:r>
              <w:rPr>
                <w:webHidden/>
              </w:rPr>
              <w:fldChar w:fldCharType="end"/>
            </w:r>
          </w:hyperlink>
        </w:p>
        <w:p w14:paraId="4602BA69" w14:textId="4E1581D7" w:rsidR="00274557" w:rsidRDefault="00274557">
          <w:pPr>
            <w:pStyle w:val="TOC3"/>
            <w:rPr>
              <w:rFonts w:asciiTheme="minorHAnsi" w:hAnsiTheme="minorHAnsi"/>
              <w:sz w:val="22"/>
            </w:rPr>
          </w:pPr>
          <w:hyperlink w:anchor="_Toc192874848" w:history="1">
            <w:r>
              <w:rPr>
                <w:rStyle w:val="Hyperlink"/>
                <w:bCs/>
              </w:rPr>
              <w:t>5.4.5</w:t>
            </w:r>
            <w:r>
              <w:rPr>
                <w:rFonts w:asciiTheme="minorHAnsi" w:hAnsiTheme="minorHAnsi"/>
                <w:sz w:val="22"/>
              </w:rPr>
              <w:tab/>
            </w:r>
            <w:r>
              <w:rPr>
                <w:rStyle w:val="Hyperlink"/>
              </w:rPr>
              <w:t>PMO Review Following Completion of Collaboration Review</w:t>
            </w:r>
            <w:r>
              <w:rPr>
                <w:webHidden/>
              </w:rPr>
              <w:tab/>
            </w:r>
            <w:r>
              <w:rPr>
                <w:webHidden/>
              </w:rPr>
              <w:fldChar w:fldCharType="begin"/>
            </w:r>
            <w:r>
              <w:rPr>
                <w:webHidden/>
              </w:rPr>
              <w:instrText xml:space="preserve"> PAGEREF _Toc192874848 \h </w:instrText>
            </w:r>
            <w:r>
              <w:rPr>
                <w:webHidden/>
              </w:rPr>
            </w:r>
            <w:r>
              <w:rPr>
                <w:webHidden/>
              </w:rPr>
              <w:fldChar w:fldCharType="separate"/>
            </w:r>
            <w:r>
              <w:rPr>
                <w:webHidden/>
              </w:rPr>
              <w:t>144</w:t>
            </w:r>
            <w:r>
              <w:rPr>
                <w:webHidden/>
              </w:rPr>
              <w:fldChar w:fldCharType="end"/>
            </w:r>
          </w:hyperlink>
        </w:p>
        <w:p w14:paraId="71B622D0" w14:textId="559FFCC2" w:rsidR="00274557" w:rsidRDefault="00274557">
          <w:pPr>
            <w:pStyle w:val="TOC3"/>
            <w:rPr>
              <w:rFonts w:asciiTheme="minorHAnsi" w:hAnsiTheme="minorHAnsi"/>
              <w:sz w:val="22"/>
            </w:rPr>
          </w:pPr>
          <w:hyperlink w:anchor="_Toc192874849" w:history="1">
            <w:r>
              <w:rPr>
                <w:rStyle w:val="Hyperlink"/>
                <w:bCs/>
              </w:rPr>
              <w:t>5.4.6</w:t>
            </w:r>
            <w:r>
              <w:rPr>
                <w:rFonts w:asciiTheme="minorHAnsi" w:hAnsiTheme="minorHAnsi"/>
                <w:sz w:val="22"/>
              </w:rPr>
              <w:tab/>
            </w:r>
            <w:r>
              <w:rPr>
                <w:rStyle w:val="Hyperlink"/>
              </w:rPr>
              <w:t>Final Review and Disposition</w:t>
            </w:r>
            <w:r>
              <w:rPr>
                <w:webHidden/>
              </w:rPr>
              <w:tab/>
            </w:r>
            <w:r>
              <w:rPr>
                <w:webHidden/>
              </w:rPr>
              <w:fldChar w:fldCharType="begin"/>
            </w:r>
            <w:r>
              <w:rPr>
                <w:webHidden/>
              </w:rPr>
              <w:instrText xml:space="preserve"> PAGEREF _Toc192874849 \h </w:instrText>
            </w:r>
            <w:r>
              <w:rPr>
                <w:webHidden/>
              </w:rPr>
            </w:r>
            <w:r>
              <w:rPr>
                <w:webHidden/>
              </w:rPr>
              <w:fldChar w:fldCharType="separate"/>
            </w:r>
            <w:r>
              <w:rPr>
                <w:webHidden/>
              </w:rPr>
              <w:t>146</w:t>
            </w:r>
            <w:r>
              <w:rPr>
                <w:webHidden/>
              </w:rPr>
              <w:fldChar w:fldCharType="end"/>
            </w:r>
          </w:hyperlink>
        </w:p>
        <w:p w14:paraId="73626924" w14:textId="380785E1" w:rsidR="00274557" w:rsidRDefault="00274557">
          <w:pPr>
            <w:pStyle w:val="TOC3"/>
            <w:rPr>
              <w:rFonts w:asciiTheme="minorHAnsi" w:hAnsiTheme="minorHAnsi"/>
              <w:sz w:val="22"/>
            </w:rPr>
          </w:pPr>
          <w:hyperlink w:anchor="_Toc192874850" w:history="1">
            <w:r>
              <w:rPr>
                <w:rStyle w:val="Hyperlink"/>
                <w:bCs/>
              </w:rPr>
              <w:t>5.4.7</w:t>
            </w:r>
            <w:r>
              <w:rPr>
                <w:rFonts w:asciiTheme="minorHAnsi" w:hAnsiTheme="minorHAnsi"/>
                <w:sz w:val="22"/>
              </w:rPr>
              <w:tab/>
            </w:r>
            <w:r>
              <w:rPr>
                <w:rStyle w:val="Hyperlink"/>
              </w:rPr>
              <w:t>Modifying Deliverables Post Transmittal Approval</w:t>
            </w:r>
            <w:r>
              <w:rPr>
                <w:webHidden/>
              </w:rPr>
              <w:tab/>
            </w:r>
            <w:r>
              <w:rPr>
                <w:webHidden/>
              </w:rPr>
              <w:fldChar w:fldCharType="begin"/>
            </w:r>
            <w:r>
              <w:rPr>
                <w:webHidden/>
              </w:rPr>
              <w:instrText xml:space="preserve"> PAGEREF _Toc192874850 \h </w:instrText>
            </w:r>
            <w:r>
              <w:rPr>
                <w:webHidden/>
              </w:rPr>
            </w:r>
            <w:r>
              <w:rPr>
                <w:webHidden/>
              </w:rPr>
              <w:fldChar w:fldCharType="separate"/>
            </w:r>
            <w:r>
              <w:rPr>
                <w:webHidden/>
              </w:rPr>
              <w:t>146</w:t>
            </w:r>
            <w:r>
              <w:rPr>
                <w:webHidden/>
              </w:rPr>
              <w:fldChar w:fldCharType="end"/>
            </w:r>
          </w:hyperlink>
        </w:p>
        <w:p w14:paraId="2168735B" w14:textId="1F5FCF81" w:rsidR="00274557" w:rsidRDefault="00274557">
          <w:pPr>
            <w:pStyle w:val="TOC3"/>
            <w:rPr>
              <w:rFonts w:asciiTheme="minorHAnsi" w:hAnsiTheme="minorHAnsi"/>
              <w:sz w:val="22"/>
            </w:rPr>
          </w:pPr>
          <w:hyperlink w:anchor="_Toc192874851" w:history="1">
            <w:r>
              <w:rPr>
                <w:rStyle w:val="Hyperlink"/>
                <w:bCs/>
              </w:rPr>
              <w:t>5.4.8</w:t>
            </w:r>
            <w:r>
              <w:rPr>
                <w:rFonts w:asciiTheme="minorHAnsi" w:hAnsiTheme="minorHAnsi"/>
                <w:sz w:val="22"/>
              </w:rPr>
              <w:tab/>
            </w:r>
            <w:r>
              <w:rPr>
                <w:rStyle w:val="Hyperlink"/>
              </w:rPr>
              <w:t>Deliverable Approval Criteria</w:t>
            </w:r>
            <w:r>
              <w:rPr>
                <w:webHidden/>
              </w:rPr>
              <w:tab/>
            </w:r>
            <w:r>
              <w:rPr>
                <w:webHidden/>
              </w:rPr>
              <w:fldChar w:fldCharType="begin"/>
            </w:r>
            <w:r>
              <w:rPr>
                <w:webHidden/>
              </w:rPr>
              <w:instrText xml:space="preserve"> PAGEREF _Toc192874851 \h </w:instrText>
            </w:r>
            <w:r>
              <w:rPr>
                <w:webHidden/>
              </w:rPr>
            </w:r>
            <w:r>
              <w:rPr>
                <w:webHidden/>
              </w:rPr>
              <w:fldChar w:fldCharType="separate"/>
            </w:r>
            <w:r>
              <w:rPr>
                <w:webHidden/>
              </w:rPr>
              <w:t>146</w:t>
            </w:r>
            <w:r>
              <w:rPr>
                <w:webHidden/>
              </w:rPr>
              <w:fldChar w:fldCharType="end"/>
            </w:r>
          </w:hyperlink>
        </w:p>
        <w:p w14:paraId="3F1E257A" w14:textId="5B24BC3F" w:rsidR="00274557" w:rsidRDefault="00274557">
          <w:pPr>
            <w:pStyle w:val="TOC2"/>
            <w:rPr>
              <w:rFonts w:asciiTheme="minorHAnsi" w:eastAsiaTheme="minorEastAsia" w:hAnsiTheme="minorHAnsi"/>
              <w:b w:val="0"/>
              <w:kern w:val="2"/>
              <w:sz w:val="22"/>
              <w:lang w:val="en-US"/>
              <w14:ligatures w14:val="standardContextual"/>
            </w:rPr>
          </w:pPr>
          <w:hyperlink w:anchor="_Toc192874852" w:history="1">
            <w:r>
              <w:rPr>
                <w:rStyle w:val="Hyperlink"/>
              </w:rPr>
              <w:t>5.5</w:t>
            </w:r>
            <w:r>
              <w:rPr>
                <w:rFonts w:asciiTheme="minorHAnsi" w:eastAsiaTheme="minorEastAsia" w:hAnsiTheme="minorHAnsi"/>
                <w:b w:val="0"/>
                <w:kern w:val="2"/>
                <w:sz w:val="22"/>
                <w:lang w:val="en-US"/>
                <w14:ligatures w14:val="standardContextual"/>
              </w:rPr>
              <w:tab/>
            </w:r>
            <w:r>
              <w:rPr>
                <w:rStyle w:val="Hyperlink"/>
              </w:rPr>
              <w:t>Design Document Deliverable Management Approach</w:t>
            </w:r>
            <w:r>
              <w:rPr>
                <w:webHidden/>
              </w:rPr>
              <w:tab/>
            </w:r>
            <w:r>
              <w:rPr>
                <w:webHidden/>
              </w:rPr>
              <w:fldChar w:fldCharType="begin"/>
            </w:r>
            <w:r>
              <w:rPr>
                <w:webHidden/>
              </w:rPr>
              <w:instrText xml:space="preserve"> PAGEREF _Toc192874852 \h </w:instrText>
            </w:r>
            <w:r>
              <w:rPr>
                <w:webHidden/>
              </w:rPr>
            </w:r>
            <w:r>
              <w:rPr>
                <w:webHidden/>
              </w:rPr>
              <w:fldChar w:fldCharType="separate"/>
            </w:r>
            <w:r>
              <w:rPr>
                <w:webHidden/>
              </w:rPr>
              <w:t>147</w:t>
            </w:r>
            <w:r>
              <w:rPr>
                <w:webHidden/>
              </w:rPr>
              <w:fldChar w:fldCharType="end"/>
            </w:r>
          </w:hyperlink>
        </w:p>
        <w:p w14:paraId="029094BD" w14:textId="7DC2EB30" w:rsidR="00274557" w:rsidRDefault="00274557">
          <w:pPr>
            <w:pStyle w:val="TOC3"/>
            <w:rPr>
              <w:rFonts w:asciiTheme="minorHAnsi" w:hAnsiTheme="minorHAnsi"/>
              <w:sz w:val="22"/>
            </w:rPr>
          </w:pPr>
          <w:hyperlink w:anchor="_Toc192874853" w:history="1">
            <w:r>
              <w:rPr>
                <w:rStyle w:val="Hyperlink"/>
                <w:bCs/>
              </w:rPr>
              <w:t>5.5.1</w:t>
            </w:r>
            <w:r>
              <w:rPr>
                <w:rFonts w:asciiTheme="minorHAnsi" w:hAnsiTheme="minorHAnsi"/>
                <w:sz w:val="22"/>
              </w:rPr>
              <w:tab/>
            </w:r>
            <w:r>
              <w:rPr>
                <w:rStyle w:val="Hyperlink"/>
              </w:rPr>
              <w:t>Design Document DED/Deliverable Management Process Flow</w:t>
            </w:r>
            <w:r>
              <w:rPr>
                <w:webHidden/>
              </w:rPr>
              <w:tab/>
            </w:r>
            <w:r>
              <w:rPr>
                <w:webHidden/>
              </w:rPr>
              <w:fldChar w:fldCharType="begin"/>
            </w:r>
            <w:r>
              <w:rPr>
                <w:webHidden/>
              </w:rPr>
              <w:instrText xml:space="preserve"> PAGEREF _Toc192874853 \h </w:instrText>
            </w:r>
            <w:r>
              <w:rPr>
                <w:webHidden/>
              </w:rPr>
            </w:r>
            <w:r>
              <w:rPr>
                <w:webHidden/>
              </w:rPr>
              <w:fldChar w:fldCharType="separate"/>
            </w:r>
            <w:r>
              <w:rPr>
                <w:webHidden/>
              </w:rPr>
              <w:t>148</w:t>
            </w:r>
            <w:r>
              <w:rPr>
                <w:webHidden/>
              </w:rPr>
              <w:fldChar w:fldCharType="end"/>
            </w:r>
          </w:hyperlink>
        </w:p>
        <w:p w14:paraId="7FA6BAD9" w14:textId="517521CB" w:rsidR="00274557" w:rsidRDefault="00274557">
          <w:pPr>
            <w:pStyle w:val="TOC3"/>
            <w:rPr>
              <w:rFonts w:asciiTheme="minorHAnsi" w:hAnsiTheme="minorHAnsi"/>
              <w:sz w:val="22"/>
            </w:rPr>
          </w:pPr>
          <w:hyperlink w:anchor="_Toc192874854" w:history="1">
            <w:r>
              <w:rPr>
                <w:rStyle w:val="Hyperlink"/>
                <w:bCs/>
              </w:rPr>
              <w:t>5.5.2</w:t>
            </w:r>
            <w:r>
              <w:rPr>
                <w:rFonts w:asciiTheme="minorHAnsi" w:hAnsiTheme="minorHAnsi"/>
                <w:sz w:val="22"/>
              </w:rPr>
              <w:tab/>
            </w:r>
            <w:r>
              <w:rPr>
                <w:rStyle w:val="Hyperlink"/>
              </w:rPr>
              <w:t>Design Document DED/Deliverable Management Process Flow Narrative</w:t>
            </w:r>
            <w:r>
              <w:rPr>
                <w:webHidden/>
              </w:rPr>
              <w:tab/>
            </w:r>
            <w:r>
              <w:rPr>
                <w:webHidden/>
              </w:rPr>
              <w:fldChar w:fldCharType="begin"/>
            </w:r>
            <w:r>
              <w:rPr>
                <w:webHidden/>
              </w:rPr>
              <w:instrText xml:space="preserve"> PAGEREF _Toc192874854 \h </w:instrText>
            </w:r>
            <w:r>
              <w:rPr>
                <w:webHidden/>
              </w:rPr>
            </w:r>
            <w:r>
              <w:rPr>
                <w:webHidden/>
              </w:rPr>
              <w:fldChar w:fldCharType="separate"/>
            </w:r>
            <w:r>
              <w:rPr>
                <w:webHidden/>
              </w:rPr>
              <w:t>148</w:t>
            </w:r>
            <w:r>
              <w:rPr>
                <w:webHidden/>
              </w:rPr>
              <w:fldChar w:fldCharType="end"/>
            </w:r>
          </w:hyperlink>
        </w:p>
        <w:p w14:paraId="3A5B0CC6" w14:textId="07290706" w:rsidR="00274557" w:rsidRDefault="00274557">
          <w:pPr>
            <w:pStyle w:val="TOC3"/>
            <w:rPr>
              <w:rFonts w:asciiTheme="minorHAnsi" w:hAnsiTheme="minorHAnsi"/>
              <w:sz w:val="22"/>
            </w:rPr>
          </w:pPr>
          <w:hyperlink w:anchor="_Toc192874855" w:history="1">
            <w:r>
              <w:rPr>
                <w:rStyle w:val="Hyperlink"/>
                <w:bCs/>
              </w:rPr>
              <w:t>5.5.3</w:t>
            </w:r>
            <w:r>
              <w:rPr>
                <w:rFonts w:asciiTheme="minorHAnsi" w:hAnsiTheme="minorHAnsi"/>
                <w:sz w:val="22"/>
              </w:rPr>
              <w:tab/>
            </w:r>
            <w:r>
              <w:rPr>
                <w:rStyle w:val="Hyperlink"/>
              </w:rPr>
              <w:t>Design Document Collaboration Review Cycle Oversight</w:t>
            </w:r>
            <w:r>
              <w:rPr>
                <w:webHidden/>
              </w:rPr>
              <w:tab/>
            </w:r>
            <w:r>
              <w:rPr>
                <w:webHidden/>
              </w:rPr>
              <w:fldChar w:fldCharType="begin"/>
            </w:r>
            <w:r>
              <w:rPr>
                <w:webHidden/>
              </w:rPr>
              <w:instrText xml:space="preserve"> PAGEREF _Toc192874855 \h </w:instrText>
            </w:r>
            <w:r>
              <w:rPr>
                <w:webHidden/>
              </w:rPr>
            </w:r>
            <w:r>
              <w:rPr>
                <w:webHidden/>
              </w:rPr>
              <w:fldChar w:fldCharType="separate"/>
            </w:r>
            <w:r>
              <w:rPr>
                <w:webHidden/>
              </w:rPr>
              <w:t>151</w:t>
            </w:r>
            <w:r>
              <w:rPr>
                <w:webHidden/>
              </w:rPr>
              <w:fldChar w:fldCharType="end"/>
            </w:r>
          </w:hyperlink>
        </w:p>
        <w:p w14:paraId="5205CEBC" w14:textId="1005B782" w:rsidR="00274557" w:rsidRDefault="00274557">
          <w:pPr>
            <w:pStyle w:val="TOC3"/>
            <w:rPr>
              <w:rFonts w:asciiTheme="minorHAnsi" w:hAnsiTheme="minorHAnsi"/>
              <w:sz w:val="22"/>
            </w:rPr>
          </w:pPr>
          <w:hyperlink w:anchor="_Toc192874856" w:history="1">
            <w:r>
              <w:rPr>
                <w:rStyle w:val="Hyperlink"/>
                <w:bCs/>
              </w:rPr>
              <w:t>5.5.4</w:t>
            </w:r>
            <w:r>
              <w:rPr>
                <w:rFonts w:asciiTheme="minorHAnsi" w:hAnsiTheme="minorHAnsi"/>
                <w:sz w:val="22"/>
              </w:rPr>
              <w:tab/>
            </w:r>
            <w:r>
              <w:rPr>
                <w:rStyle w:val="Hyperlink"/>
              </w:rPr>
              <w:t>Collaboration Process for Design Document DEDs/Deliverables</w:t>
            </w:r>
            <w:r>
              <w:rPr>
                <w:webHidden/>
              </w:rPr>
              <w:tab/>
            </w:r>
            <w:r>
              <w:rPr>
                <w:webHidden/>
              </w:rPr>
              <w:fldChar w:fldCharType="begin"/>
            </w:r>
            <w:r>
              <w:rPr>
                <w:webHidden/>
              </w:rPr>
              <w:instrText xml:space="preserve"> PAGEREF _Toc192874856 \h </w:instrText>
            </w:r>
            <w:r>
              <w:rPr>
                <w:webHidden/>
              </w:rPr>
            </w:r>
            <w:r>
              <w:rPr>
                <w:webHidden/>
              </w:rPr>
              <w:fldChar w:fldCharType="separate"/>
            </w:r>
            <w:r>
              <w:rPr>
                <w:webHidden/>
              </w:rPr>
              <w:t>151</w:t>
            </w:r>
            <w:r>
              <w:rPr>
                <w:webHidden/>
              </w:rPr>
              <w:fldChar w:fldCharType="end"/>
            </w:r>
          </w:hyperlink>
        </w:p>
        <w:p w14:paraId="43D8F516" w14:textId="58C98FC1" w:rsidR="00274557" w:rsidRDefault="00274557">
          <w:pPr>
            <w:pStyle w:val="TOC3"/>
            <w:rPr>
              <w:rFonts w:asciiTheme="minorHAnsi" w:hAnsiTheme="minorHAnsi"/>
              <w:sz w:val="22"/>
            </w:rPr>
          </w:pPr>
          <w:hyperlink w:anchor="_Toc192874857" w:history="1">
            <w:r>
              <w:rPr>
                <w:rStyle w:val="Hyperlink"/>
                <w:bCs/>
              </w:rPr>
              <w:t>5.5.5</w:t>
            </w:r>
            <w:r>
              <w:rPr>
                <w:rFonts w:asciiTheme="minorHAnsi" w:hAnsiTheme="minorHAnsi"/>
                <w:sz w:val="22"/>
              </w:rPr>
              <w:tab/>
            </w:r>
            <w:r>
              <w:rPr>
                <w:rStyle w:val="Hyperlink"/>
              </w:rPr>
              <w:t>Final Review and Disposition</w:t>
            </w:r>
            <w:r>
              <w:rPr>
                <w:webHidden/>
              </w:rPr>
              <w:tab/>
            </w:r>
            <w:r>
              <w:rPr>
                <w:webHidden/>
              </w:rPr>
              <w:fldChar w:fldCharType="begin"/>
            </w:r>
            <w:r>
              <w:rPr>
                <w:webHidden/>
              </w:rPr>
              <w:instrText xml:space="preserve"> PAGEREF _Toc192874857 \h </w:instrText>
            </w:r>
            <w:r>
              <w:rPr>
                <w:webHidden/>
              </w:rPr>
            </w:r>
            <w:r>
              <w:rPr>
                <w:webHidden/>
              </w:rPr>
              <w:fldChar w:fldCharType="separate"/>
            </w:r>
            <w:r>
              <w:rPr>
                <w:webHidden/>
              </w:rPr>
              <w:t>151</w:t>
            </w:r>
            <w:r>
              <w:rPr>
                <w:webHidden/>
              </w:rPr>
              <w:fldChar w:fldCharType="end"/>
            </w:r>
          </w:hyperlink>
        </w:p>
        <w:p w14:paraId="753F3151" w14:textId="202C6624" w:rsidR="00274557" w:rsidRDefault="00274557">
          <w:pPr>
            <w:pStyle w:val="TOC3"/>
            <w:rPr>
              <w:rFonts w:asciiTheme="minorHAnsi" w:hAnsiTheme="minorHAnsi"/>
              <w:sz w:val="22"/>
            </w:rPr>
          </w:pPr>
          <w:hyperlink w:anchor="_Toc192874858" w:history="1">
            <w:r>
              <w:rPr>
                <w:rStyle w:val="Hyperlink"/>
                <w:bCs/>
              </w:rPr>
              <w:t>5.5.6</w:t>
            </w:r>
            <w:r>
              <w:rPr>
                <w:rFonts w:asciiTheme="minorHAnsi" w:hAnsiTheme="minorHAnsi"/>
                <w:sz w:val="22"/>
              </w:rPr>
              <w:tab/>
            </w:r>
            <w:r>
              <w:rPr>
                <w:rStyle w:val="Hyperlink"/>
              </w:rPr>
              <w:t>Modifying Design Deliverables Post Transmittal Approval or Post Concurrence</w:t>
            </w:r>
            <w:r>
              <w:rPr>
                <w:webHidden/>
              </w:rPr>
              <w:tab/>
            </w:r>
            <w:r>
              <w:rPr>
                <w:webHidden/>
              </w:rPr>
              <w:fldChar w:fldCharType="begin"/>
            </w:r>
            <w:r>
              <w:rPr>
                <w:webHidden/>
              </w:rPr>
              <w:instrText xml:space="preserve"> PAGEREF _Toc192874858 \h </w:instrText>
            </w:r>
            <w:r>
              <w:rPr>
                <w:webHidden/>
              </w:rPr>
            </w:r>
            <w:r>
              <w:rPr>
                <w:webHidden/>
              </w:rPr>
              <w:fldChar w:fldCharType="separate"/>
            </w:r>
            <w:r>
              <w:rPr>
                <w:webHidden/>
              </w:rPr>
              <w:t>151</w:t>
            </w:r>
            <w:r>
              <w:rPr>
                <w:webHidden/>
              </w:rPr>
              <w:fldChar w:fldCharType="end"/>
            </w:r>
          </w:hyperlink>
        </w:p>
        <w:p w14:paraId="1453F8F3" w14:textId="3658C7C3" w:rsidR="00274557" w:rsidRDefault="00274557">
          <w:pPr>
            <w:pStyle w:val="TOC4"/>
            <w:rPr>
              <w:rFonts w:asciiTheme="minorHAnsi" w:eastAsiaTheme="minorEastAsia" w:hAnsiTheme="minorHAnsi"/>
              <w:noProof/>
              <w:kern w:val="2"/>
              <w:sz w:val="22"/>
              <w14:ligatures w14:val="standardContextual"/>
            </w:rPr>
          </w:pPr>
          <w:hyperlink w:anchor="_Toc192874859" w:history="1">
            <w:r>
              <w:rPr>
                <w:rStyle w:val="Hyperlink"/>
                <w:noProof/>
              </w:rPr>
              <w:t>5.5.6.1</w:t>
            </w:r>
            <w:r>
              <w:rPr>
                <w:rFonts w:asciiTheme="minorHAnsi" w:eastAsiaTheme="minorEastAsia" w:hAnsiTheme="minorHAnsi"/>
                <w:noProof/>
                <w:kern w:val="2"/>
                <w:sz w:val="22"/>
                <w14:ligatures w14:val="standardContextual"/>
              </w:rPr>
              <w:tab/>
            </w:r>
            <w:r>
              <w:rPr>
                <w:rStyle w:val="Hyperlink"/>
                <w:noProof/>
              </w:rPr>
              <w:t>Design Updates to FDD Post Transmittal Approval Diagram</w:t>
            </w:r>
            <w:r>
              <w:rPr>
                <w:noProof/>
                <w:webHidden/>
              </w:rPr>
              <w:tab/>
            </w:r>
            <w:r>
              <w:rPr>
                <w:noProof/>
                <w:webHidden/>
              </w:rPr>
              <w:fldChar w:fldCharType="begin"/>
            </w:r>
            <w:r>
              <w:rPr>
                <w:noProof/>
                <w:webHidden/>
              </w:rPr>
              <w:instrText xml:space="preserve"> PAGEREF _Toc192874859 \h </w:instrText>
            </w:r>
            <w:r>
              <w:rPr>
                <w:noProof/>
                <w:webHidden/>
              </w:rPr>
            </w:r>
            <w:r>
              <w:rPr>
                <w:noProof/>
                <w:webHidden/>
              </w:rPr>
              <w:fldChar w:fldCharType="separate"/>
            </w:r>
            <w:r>
              <w:rPr>
                <w:noProof/>
                <w:webHidden/>
              </w:rPr>
              <w:t>152</w:t>
            </w:r>
            <w:r>
              <w:rPr>
                <w:noProof/>
                <w:webHidden/>
              </w:rPr>
              <w:fldChar w:fldCharType="end"/>
            </w:r>
          </w:hyperlink>
        </w:p>
        <w:p w14:paraId="748233F4" w14:textId="199E4865" w:rsidR="00274557" w:rsidRDefault="00274557">
          <w:pPr>
            <w:pStyle w:val="TOC4"/>
            <w:rPr>
              <w:rFonts w:asciiTheme="minorHAnsi" w:eastAsiaTheme="minorEastAsia" w:hAnsiTheme="minorHAnsi"/>
              <w:noProof/>
              <w:kern w:val="2"/>
              <w:sz w:val="22"/>
              <w14:ligatures w14:val="standardContextual"/>
            </w:rPr>
          </w:pPr>
          <w:hyperlink w:anchor="_Toc192874860" w:history="1">
            <w:r>
              <w:rPr>
                <w:rStyle w:val="Hyperlink"/>
                <w:noProof/>
              </w:rPr>
              <w:t>5.5.6.2</w:t>
            </w:r>
            <w:r>
              <w:rPr>
                <w:rFonts w:asciiTheme="minorHAnsi" w:eastAsiaTheme="minorEastAsia" w:hAnsiTheme="minorHAnsi"/>
                <w:noProof/>
                <w:kern w:val="2"/>
                <w:sz w:val="22"/>
                <w14:ligatures w14:val="standardContextual"/>
              </w:rPr>
              <w:tab/>
            </w:r>
            <w:r>
              <w:rPr>
                <w:rStyle w:val="Hyperlink"/>
                <w:noProof/>
              </w:rPr>
              <w:t>Design Updates to FDD Post Transmittal Approval Narrative</w:t>
            </w:r>
            <w:r>
              <w:rPr>
                <w:noProof/>
                <w:webHidden/>
              </w:rPr>
              <w:tab/>
            </w:r>
            <w:r>
              <w:rPr>
                <w:noProof/>
                <w:webHidden/>
              </w:rPr>
              <w:fldChar w:fldCharType="begin"/>
            </w:r>
            <w:r>
              <w:rPr>
                <w:noProof/>
                <w:webHidden/>
              </w:rPr>
              <w:instrText xml:space="preserve"> PAGEREF _Toc192874860 \h </w:instrText>
            </w:r>
            <w:r>
              <w:rPr>
                <w:noProof/>
                <w:webHidden/>
              </w:rPr>
            </w:r>
            <w:r>
              <w:rPr>
                <w:noProof/>
                <w:webHidden/>
              </w:rPr>
              <w:fldChar w:fldCharType="separate"/>
            </w:r>
            <w:r>
              <w:rPr>
                <w:noProof/>
                <w:webHidden/>
              </w:rPr>
              <w:t>152</w:t>
            </w:r>
            <w:r>
              <w:rPr>
                <w:noProof/>
                <w:webHidden/>
              </w:rPr>
              <w:fldChar w:fldCharType="end"/>
            </w:r>
          </w:hyperlink>
        </w:p>
        <w:p w14:paraId="421001E4" w14:textId="23F2E61F" w:rsidR="00274557" w:rsidRDefault="00274557">
          <w:pPr>
            <w:pStyle w:val="TOC3"/>
            <w:rPr>
              <w:rFonts w:asciiTheme="minorHAnsi" w:hAnsiTheme="minorHAnsi"/>
              <w:sz w:val="22"/>
            </w:rPr>
          </w:pPr>
          <w:hyperlink w:anchor="_Toc192874861" w:history="1">
            <w:r>
              <w:rPr>
                <w:rStyle w:val="Hyperlink"/>
                <w:bCs/>
              </w:rPr>
              <w:t>5.5.7</w:t>
            </w:r>
            <w:r>
              <w:rPr>
                <w:rFonts w:asciiTheme="minorHAnsi" w:hAnsiTheme="minorHAnsi"/>
                <w:sz w:val="22"/>
              </w:rPr>
              <w:tab/>
            </w:r>
            <w:r>
              <w:rPr>
                <w:rStyle w:val="Hyperlink"/>
              </w:rPr>
              <w:t>Storing Design Documentation in DOH SharePoint</w:t>
            </w:r>
            <w:r>
              <w:rPr>
                <w:webHidden/>
              </w:rPr>
              <w:tab/>
            </w:r>
            <w:r>
              <w:rPr>
                <w:webHidden/>
              </w:rPr>
              <w:fldChar w:fldCharType="begin"/>
            </w:r>
            <w:r>
              <w:rPr>
                <w:webHidden/>
              </w:rPr>
              <w:instrText xml:space="preserve"> PAGEREF _Toc192874861 \h </w:instrText>
            </w:r>
            <w:r>
              <w:rPr>
                <w:webHidden/>
              </w:rPr>
            </w:r>
            <w:r>
              <w:rPr>
                <w:webHidden/>
              </w:rPr>
              <w:fldChar w:fldCharType="separate"/>
            </w:r>
            <w:r>
              <w:rPr>
                <w:webHidden/>
              </w:rPr>
              <w:t>156</w:t>
            </w:r>
            <w:r>
              <w:rPr>
                <w:webHidden/>
              </w:rPr>
              <w:fldChar w:fldCharType="end"/>
            </w:r>
          </w:hyperlink>
        </w:p>
        <w:p w14:paraId="7B25512E" w14:textId="4E371FA6" w:rsidR="00274557" w:rsidRDefault="00274557">
          <w:pPr>
            <w:pStyle w:val="TOC3"/>
            <w:rPr>
              <w:rFonts w:asciiTheme="minorHAnsi" w:hAnsiTheme="minorHAnsi"/>
              <w:sz w:val="22"/>
            </w:rPr>
          </w:pPr>
          <w:hyperlink w:anchor="_Toc192874862" w:history="1">
            <w:r>
              <w:rPr>
                <w:rStyle w:val="Hyperlink"/>
                <w:bCs/>
              </w:rPr>
              <w:t>5.5.8</w:t>
            </w:r>
            <w:r>
              <w:rPr>
                <w:rFonts w:asciiTheme="minorHAnsi" w:hAnsiTheme="minorHAnsi"/>
                <w:sz w:val="22"/>
              </w:rPr>
              <w:tab/>
            </w:r>
            <w:r>
              <w:rPr>
                <w:rStyle w:val="Hyperlink"/>
              </w:rPr>
              <w:t>Deliverable Approval Criteria</w:t>
            </w:r>
            <w:r>
              <w:rPr>
                <w:webHidden/>
              </w:rPr>
              <w:tab/>
            </w:r>
            <w:r>
              <w:rPr>
                <w:webHidden/>
              </w:rPr>
              <w:fldChar w:fldCharType="begin"/>
            </w:r>
            <w:r>
              <w:rPr>
                <w:webHidden/>
              </w:rPr>
              <w:instrText xml:space="preserve"> PAGEREF _Toc192874862 \h </w:instrText>
            </w:r>
            <w:r>
              <w:rPr>
                <w:webHidden/>
              </w:rPr>
            </w:r>
            <w:r>
              <w:rPr>
                <w:webHidden/>
              </w:rPr>
              <w:fldChar w:fldCharType="separate"/>
            </w:r>
            <w:r>
              <w:rPr>
                <w:webHidden/>
              </w:rPr>
              <w:t>156</w:t>
            </w:r>
            <w:r>
              <w:rPr>
                <w:webHidden/>
              </w:rPr>
              <w:fldChar w:fldCharType="end"/>
            </w:r>
          </w:hyperlink>
        </w:p>
        <w:p w14:paraId="61A84B3E" w14:textId="4F5C17C1" w:rsidR="00274557" w:rsidRDefault="00274557">
          <w:pPr>
            <w:pStyle w:val="TOC2"/>
            <w:rPr>
              <w:rFonts w:asciiTheme="minorHAnsi" w:eastAsiaTheme="minorEastAsia" w:hAnsiTheme="minorHAnsi"/>
              <w:b w:val="0"/>
              <w:kern w:val="2"/>
              <w:sz w:val="22"/>
              <w:lang w:val="en-US"/>
              <w14:ligatures w14:val="standardContextual"/>
            </w:rPr>
          </w:pPr>
          <w:hyperlink w:anchor="_Toc192874863" w:history="1">
            <w:r>
              <w:rPr>
                <w:rStyle w:val="Hyperlink"/>
              </w:rPr>
              <w:t>5.6</w:t>
            </w:r>
            <w:r>
              <w:rPr>
                <w:rFonts w:asciiTheme="minorHAnsi" w:eastAsiaTheme="minorEastAsia" w:hAnsiTheme="minorHAnsi"/>
                <w:b w:val="0"/>
                <w:kern w:val="2"/>
                <w:sz w:val="22"/>
                <w:lang w:val="en-US"/>
                <w14:ligatures w14:val="standardContextual"/>
              </w:rPr>
              <w:tab/>
            </w:r>
            <w:r>
              <w:rPr>
                <w:rStyle w:val="Hyperlink"/>
              </w:rPr>
              <w:t>Work Products</w:t>
            </w:r>
            <w:r>
              <w:rPr>
                <w:webHidden/>
              </w:rPr>
              <w:tab/>
            </w:r>
            <w:r>
              <w:rPr>
                <w:webHidden/>
              </w:rPr>
              <w:fldChar w:fldCharType="begin"/>
            </w:r>
            <w:r>
              <w:rPr>
                <w:webHidden/>
              </w:rPr>
              <w:instrText xml:space="preserve"> PAGEREF _Toc192874863 \h </w:instrText>
            </w:r>
            <w:r>
              <w:rPr>
                <w:webHidden/>
              </w:rPr>
            </w:r>
            <w:r>
              <w:rPr>
                <w:webHidden/>
              </w:rPr>
              <w:fldChar w:fldCharType="separate"/>
            </w:r>
            <w:r>
              <w:rPr>
                <w:webHidden/>
              </w:rPr>
              <w:t>156</w:t>
            </w:r>
            <w:r>
              <w:rPr>
                <w:webHidden/>
              </w:rPr>
              <w:fldChar w:fldCharType="end"/>
            </w:r>
          </w:hyperlink>
        </w:p>
        <w:p w14:paraId="105B7B58" w14:textId="72DACA8E" w:rsidR="00274557" w:rsidRDefault="00274557">
          <w:pPr>
            <w:pStyle w:val="TOC2"/>
            <w:rPr>
              <w:rFonts w:asciiTheme="minorHAnsi" w:eastAsiaTheme="minorEastAsia" w:hAnsiTheme="minorHAnsi"/>
              <w:b w:val="0"/>
              <w:kern w:val="2"/>
              <w:sz w:val="22"/>
              <w:lang w:val="en-US"/>
              <w14:ligatures w14:val="standardContextual"/>
            </w:rPr>
          </w:pPr>
          <w:hyperlink w:anchor="_Toc192874864" w:history="1">
            <w:r>
              <w:rPr>
                <w:rStyle w:val="Hyperlink"/>
              </w:rPr>
              <w:t>5.7</w:t>
            </w:r>
            <w:r>
              <w:rPr>
                <w:rFonts w:asciiTheme="minorHAnsi" w:eastAsiaTheme="minorEastAsia" w:hAnsiTheme="minorHAnsi"/>
                <w:b w:val="0"/>
                <w:kern w:val="2"/>
                <w:sz w:val="22"/>
                <w:lang w:val="en-US"/>
                <w14:ligatures w14:val="standardContextual"/>
              </w:rPr>
              <w:tab/>
            </w:r>
            <w:r>
              <w:rPr>
                <w:rStyle w:val="Hyperlink"/>
              </w:rPr>
              <w:t>Application Lifecycle Management (ALM) Tools</w:t>
            </w:r>
            <w:r>
              <w:rPr>
                <w:webHidden/>
              </w:rPr>
              <w:tab/>
            </w:r>
            <w:r>
              <w:rPr>
                <w:webHidden/>
              </w:rPr>
              <w:fldChar w:fldCharType="begin"/>
            </w:r>
            <w:r>
              <w:rPr>
                <w:webHidden/>
              </w:rPr>
              <w:instrText xml:space="preserve"> PAGEREF _Toc192874864 \h </w:instrText>
            </w:r>
            <w:r>
              <w:rPr>
                <w:webHidden/>
              </w:rPr>
            </w:r>
            <w:r>
              <w:rPr>
                <w:webHidden/>
              </w:rPr>
              <w:fldChar w:fldCharType="separate"/>
            </w:r>
            <w:r>
              <w:rPr>
                <w:webHidden/>
              </w:rPr>
              <w:t>157</w:t>
            </w:r>
            <w:r>
              <w:rPr>
                <w:webHidden/>
              </w:rPr>
              <w:fldChar w:fldCharType="end"/>
            </w:r>
          </w:hyperlink>
        </w:p>
        <w:p w14:paraId="20978F13" w14:textId="61C86BA2" w:rsidR="00274557" w:rsidRDefault="00274557">
          <w:pPr>
            <w:pStyle w:val="TOC1"/>
            <w:rPr>
              <w:rFonts w:asciiTheme="minorHAnsi" w:eastAsiaTheme="minorEastAsia" w:hAnsiTheme="minorHAnsi"/>
              <w:b w:val="0"/>
              <w:kern w:val="2"/>
              <w:sz w:val="22"/>
              <w14:ligatures w14:val="standardContextual"/>
            </w:rPr>
          </w:pPr>
          <w:hyperlink w:anchor="_Toc192874865" w:history="1">
            <w:r>
              <w:rPr>
                <w:rStyle w:val="Hyperlink"/>
              </w:rPr>
              <w:t>6</w:t>
            </w:r>
            <w:r>
              <w:rPr>
                <w:rFonts w:asciiTheme="minorHAnsi" w:eastAsiaTheme="minorEastAsia" w:hAnsiTheme="minorHAnsi"/>
                <w:b w:val="0"/>
                <w:kern w:val="2"/>
                <w:sz w:val="22"/>
                <w14:ligatures w14:val="standardContextual"/>
              </w:rPr>
              <w:tab/>
            </w:r>
            <w:r>
              <w:rPr>
                <w:rStyle w:val="Hyperlink"/>
              </w:rPr>
              <w:t>Budget Management Plan</w:t>
            </w:r>
            <w:r>
              <w:rPr>
                <w:webHidden/>
              </w:rPr>
              <w:tab/>
            </w:r>
            <w:r>
              <w:rPr>
                <w:webHidden/>
              </w:rPr>
              <w:fldChar w:fldCharType="begin"/>
            </w:r>
            <w:r>
              <w:rPr>
                <w:webHidden/>
              </w:rPr>
              <w:instrText xml:space="preserve"> PAGEREF _Toc192874865 \h </w:instrText>
            </w:r>
            <w:r>
              <w:rPr>
                <w:webHidden/>
              </w:rPr>
            </w:r>
            <w:r>
              <w:rPr>
                <w:webHidden/>
              </w:rPr>
              <w:fldChar w:fldCharType="separate"/>
            </w:r>
            <w:r>
              <w:rPr>
                <w:webHidden/>
              </w:rPr>
              <w:t>159</w:t>
            </w:r>
            <w:r>
              <w:rPr>
                <w:webHidden/>
              </w:rPr>
              <w:fldChar w:fldCharType="end"/>
            </w:r>
          </w:hyperlink>
        </w:p>
        <w:p w14:paraId="715896E7" w14:textId="351625BA" w:rsidR="00274557" w:rsidRDefault="00274557">
          <w:pPr>
            <w:pStyle w:val="TOC2"/>
            <w:rPr>
              <w:rFonts w:asciiTheme="minorHAnsi" w:eastAsiaTheme="minorEastAsia" w:hAnsiTheme="minorHAnsi"/>
              <w:b w:val="0"/>
              <w:kern w:val="2"/>
              <w:sz w:val="22"/>
              <w:lang w:val="en-US"/>
              <w14:ligatures w14:val="standardContextual"/>
            </w:rPr>
          </w:pPr>
          <w:hyperlink w:anchor="_Toc192874866" w:history="1">
            <w:r>
              <w:rPr>
                <w:rStyle w:val="Hyperlink"/>
              </w:rPr>
              <w:t>6.1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_Toc192874866 \h </w:instrText>
            </w:r>
            <w:r>
              <w:rPr>
                <w:webHidden/>
              </w:rPr>
            </w:r>
            <w:r>
              <w:rPr>
                <w:webHidden/>
              </w:rPr>
              <w:fldChar w:fldCharType="separate"/>
            </w:r>
            <w:r>
              <w:rPr>
                <w:webHidden/>
              </w:rPr>
              <w:t>159</w:t>
            </w:r>
            <w:r>
              <w:rPr>
                <w:webHidden/>
              </w:rPr>
              <w:fldChar w:fldCharType="end"/>
            </w:r>
          </w:hyperlink>
        </w:p>
        <w:p w14:paraId="6EA2154D" w14:textId="3CEC4AA1" w:rsidR="00274557" w:rsidRDefault="00274557">
          <w:pPr>
            <w:pStyle w:val="TOC2"/>
            <w:rPr>
              <w:rFonts w:asciiTheme="minorHAnsi" w:eastAsiaTheme="minorEastAsia" w:hAnsiTheme="minorHAnsi"/>
              <w:b w:val="0"/>
              <w:kern w:val="2"/>
              <w:sz w:val="22"/>
              <w:lang w:val="en-US"/>
              <w14:ligatures w14:val="standardContextual"/>
            </w:rPr>
          </w:pPr>
          <w:hyperlink w:anchor="_Toc192874867" w:history="1">
            <w:r>
              <w:rPr>
                <w:rStyle w:val="Hyperlink"/>
              </w:rPr>
              <w:t>6.2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_Toc192874867 \h </w:instrText>
            </w:r>
            <w:r>
              <w:rPr>
                <w:webHidden/>
              </w:rPr>
            </w:r>
            <w:r>
              <w:rPr>
                <w:webHidden/>
              </w:rPr>
              <w:fldChar w:fldCharType="separate"/>
            </w:r>
            <w:r>
              <w:rPr>
                <w:webHidden/>
              </w:rPr>
              <w:t>159</w:t>
            </w:r>
            <w:r>
              <w:rPr>
                <w:webHidden/>
              </w:rPr>
              <w:fldChar w:fldCharType="end"/>
            </w:r>
          </w:hyperlink>
        </w:p>
        <w:p w14:paraId="5B180EB3" w14:textId="0C392F6C" w:rsidR="00274557" w:rsidRDefault="00274557">
          <w:pPr>
            <w:pStyle w:val="TOC2"/>
            <w:rPr>
              <w:rFonts w:asciiTheme="minorHAnsi" w:eastAsiaTheme="minorEastAsia" w:hAnsiTheme="minorHAnsi"/>
              <w:b w:val="0"/>
              <w:kern w:val="2"/>
              <w:sz w:val="22"/>
              <w:lang w:val="en-US"/>
              <w14:ligatures w14:val="standardContextual"/>
            </w:rPr>
          </w:pPr>
          <w:hyperlink w:anchor="_Toc192874868" w:history="1">
            <w:r>
              <w:rPr>
                <w:rStyle w:val="Hyperlink"/>
              </w:rPr>
              <w:t>6.3</w:t>
            </w:r>
            <w:r>
              <w:rPr>
                <w:rFonts w:asciiTheme="minorHAnsi" w:eastAsiaTheme="minorEastAsia" w:hAnsiTheme="minorHAnsi"/>
                <w:b w:val="0"/>
                <w:kern w:val="2"/>
                <w:sz w:val="22"/>
                <w:lang w:val="en-US"/>
                <w14:ligatures w14:val="standardContextual"/>
              </w:rPr>
              <w:tab/>
            </w:r>
            <w:r>
              <w:rPr>
                <w:rStyle w:val="Hyperlink"/>
              </w:rPr>
              <w:t>Budget Management Approach</w:t>
            </w:r>
            <w:r>
              <w:rPr>
                <w:webHidden/>
              </w:rPr>
              <w:tab/>
            </w:r>
            <w:r>
              <w:rPr>
                <w:webHidden/>
              </w:rPr>
              <w:fldChar w:fldCharType="begin"/>
            </w:r>
            <w:r>
              <w:rPr>
                <w:webHidden/>
              </w:rPr>
              <w:instrText xml:space="preserve"> PAGEREF _Toc192874868 \h </w:instrText>
            </w:r>
            <w:r>
              <w:rPr>
                <w:webHidden/>
              </w:rPr>
            </w:r>
            <w:r>
              <w:rPr>
                <w:webHidden/>
              </w:rPr>
              <w:fldChar w:fldCharType="separate"/>
            </w:r>
            <w:r>
              <w:rPr>
                <w:webHidden/>
              </w:rPr>
              <w:t>159</w:t>
            </w:r>
            <w:r>
              <w:rPr>
                <w:webHidden/>
              </w:rPr>
              <w:fldChar w:fldCharType="end"/>
            </w:r>
          </w:hyperlink>
        </w:p>
        <w:p w14:paraId="44F8E03D" w14:textId="0E380E98" w:rsidR="00274557" w:rsidRDefault="00274557">
          <w:pPr>
            <w:pStyle w:val="TOC3"/>
            <w:rPr>
              <w:rFonts w:asciiTheme="minorHAnsi" w:hAnsiTheme="minorHAnsi"/>
              <w:sz w:val="22"/>
            </w:rPr>
          </w:pPr>
          <w:hyperlink w:anchor="_Toc192874869" w:history="1">
            <w:r>
              <w:rPr>
                <w:rStyle w:val="Hyperlink"/>
                <w:bCs/>
              </w:rPr>
              <w:t>6.3.1</w:t>
            </w:r>
            <w:r>
              <w:rPr>
                <w:rFonts w:asciiTheme="minorHAnsi" w:hAnsiTheme="minorHAnsi"/>
                <w:sz w:val="22"/>
              </w:rPr>
              <w:tab/>
            </w:r>
            <w:r>
              <w:rPr>
                <w:rStyle w:val="Hyperlink"/>
              </w:rPr>
              <w:t>Initial Budget Allocation Process</w:t>
            </w:r>
            <w:r>
              <w:rPr>
                <w:webHidden/>
              </w:rPr>
              <w:tab/>
            </w:r>
            <w:r>
              <w:rPr>
                <w:webHidden/>
              </w:rPr>
              <w:fldChar w:fldCharType="begin"/>
            </w:r>
            <w:r>
              <w:rPr>
                <w:webHidden/>
              </w:rPr>
              <w:instrText xml:space="preserve"> PAGEREF _Toc192874869 \h </w:instrText>
            </w:r>
            <w:r>
              <w:rPr>
                <w:webHidden/>
              </w:rPr>
            </w:r>
            <w:r>
              <w:rPr>
                <w:webHidden/>
              </w:rPr>
              <w:fldChar w:fldCharType="separate"/>
            </w:r>
            <w:r>
              <w:rPr>
                <w:webHidden/>
              </w:rPr>
              <w:t>159</w:t>
            </w:r>
            <w:r>
              <w:rPr>
                <w:webHidden/>
              </w:rPr>
              <w:fldChar w:fldCharType="end"/>
            </w:r>
          </w:hyperlink>
        </w:p>
        <w:p w14:paraId="1ABF5DA1" w14:textId="692FC4A6" w:rsidR="00274557" w:rsidRDefault="00274557">
          <w:pPr>
            <w:pStyle w:val="TOC4"/>
            <w:rPr>
              <w:rFonts w:asciiTheme="minorHAnsi" w:eastAsiaTheme="minorEastAsia" w:hAnsiTheme="minorHAnsi"/>
              <w:noProof/>
              <w:kern w:val="2"/>
              <w:sz w:val="22"/>
              <w14:ligatures w14:val="standardContextual"/>
            </w:rPr>
          </w:pPr>
          <w:hyperlink w:anchor="_Toc192874870" w:history="1">
            <w:r>
              <w:rPr>
                <w:rStyle w:val="Hyperlink"/>
                <w:noProof/>
                <w:lang w:eastAsia="ko-KR"/>
              </w:rPr>
              <w:t>6.3.1.1</w:t>
            </w:r>
            <w:r>
              <w:rPr>
                <w:rFonts w:asciiTheme="minorHAnsi" w:eastAsiaTheme="minorEastAsia" w:hAnsiTheme="minorHAnsi"/>
                <w:noProof/>
                <w:kern w:val="2"/>
                <w:sz w:val="22"/>
                <w14:ligatures w14:val="standardContextual"/>
              </w:rPr>
              <w:tab/>
            </w:r>
            <w:r>
              <w:rPr>
                <w:rStyle w:val="Hyperlink"/>
                <w:noProof/>
                <w:lang w:eastAsia="ko-KR"/>
              </w:rPr>
              <w:t>Budget Allocation Process Flow Diagram</w:t>
            </w:r>
            <w:r>
              <w:rPr>
                <w:noProof/>
                <w:webHidden/>
              </w:rPr>
              <w:tab/>
            </w:r>
            <w:r>
              <w:rPr>
                <w:noProof/>
                <w:webHidden/>
              </w:rPr>
              <w:fldChar w:fldCharType="begin"/>
            </w:r>
            <w:r>
              <w:rPr>
                <w:noProof/>
                <w:webHidden/>
              </w:rPr>
              <w:instrText xml:space="preserve"> PAGEREF _Toc192874870 \h </w:instrText>
            </w:r>
            <w:r>
              <w:rPr>
                <w:noProof/>
                <w:webHidden/>
              </w:rPr>
            </w:r>
            <w:r>
              <w:rPr>
                <w:noProof/>
                <w:webHidden/>
              </w:rPr>
              <w:fldChar w:fldCharType="separate"/>
            </w:r>
            <w:r>
              <w:rPr>
                <w:noProof/>
                <w:webHidden/>
              </w:rPr>
              <w:t>159</w:t>
            </w:r>
            <w:r>
              <w:rPr>
                <w:noProof/>
                <w:webHidden/>
              </w:rPr>
              <w:fldChar w:fldCharType="end"/>
            </w:r>
          </w:hyperlink>
        </w:p>
        <w:p w14:paraId="3A779852" w14:textId="7C4DB5F6" w:rsidR="00274557" w:rsidRDefault="00274557">
          <w:pPr>
            <w:pStyle w:val="TOC4"/>
            <w:rPr>
              <w:rFonts w:asciiTheme="minorHAnsi" w:eastAsiaTheme="minorEastAsia" w:hAnsiTheme="minorHAnsi"/>
              <w:noProof/>
              <w:kern w:val="2"/>
              <w:sz w:val="22"/>
              <w14:ligatures w14:val="standardContextual"/>
            </w:rPr>
          </w:pPr>
          <w:hyperlink w:anchor="_Toc192874871" w:history="1">
            <w:r>
              <w:rPr>
                <w:rStyle w:val="Hyperlink"/>
                <w:noProof/>
                <w:lang w:eastAsia="ko-KR"/>
              </w:rPr>
              <w:t>6.3.1.2</w:t>
            </w:r>
            <w:r>
              <w:rPr>
                <w:rFonts w:asciiTheme="minorHAnsi" w:eastAsiaTheme="minorEastAsia" w:hAnsiTheme="minorHAnsi"/>
                <w:noProof/>
                <w:kern w:val="2"/>
                <w:sz w:val="22"/>
                <w14:ligatures w14:val="standardContextual"/>
              </w:rPr>
              <w:tab/>
            </w:r>
            <w:r>
              <w:rPr>
                <w:rStyle w:val="Hyperlink"/>
                <w:noProof/>
                <w:lang w:eastAsia="ko-KR"/>
              </w:rPr>
              <w:t>Initial Budget Allocation Process Flow Narrative</w:t>
            </w:r>
            <w:r>
              <w:rPr>
                <w:noProof/>
                <w:webHidden/>
              </w:rPr>
              <w:tab/>
            </w:r>
            <w:r>
              <w:rPr>
                <w:noProof/>
                <w:webHidden/>
              </w:rPr>
              <w:fldChar w:fldCharType="begin"/>
            </w:r>
            <w:r>
              <w:rPr>
                <w:noProof/>
                <w:webHidden/>
              </w:rPr>
              <w:instrText xml:space="preserve"> PAGEREF _Toc192874871 \h </w:instrText>
            </w:r>
            <w:r>
              <w:rPr>
                <w:noProof/>
                <w:webHidden/>
              </w:rPr>
            </w:r>
            <w:r>
              <w:rPr>
                <w:noProof/>
                <w:webHidden/>
              </w:rPr>
              <w:fldChar w:fldCharType="separate"/>
            </w:r>
            <w:r>
              <w:rPr>
                <w:noProof/>
                <w:webHidden/>
              </w:rPr>
              <w:t>160</w:t>
            </w:r>
            <w:r>
              <w:rPr>
                <w:noProof/>
                <w:webHidden/>
              </w:rPr>
              <w:fldChar w:fldCharType="end"/>
            </w:r>
          </w:hyperlink>
        </w:p>
        <w:p w14:paraId="191B496C" w14:textId="6AF53B5A" w:rsidR="00274557" w:rsidRDefault="00274557">
          <w:pPr>
            <w:pStyle w:val="TOC4"/>
            <w:rPr>
              <w:rFonts w:asciiTheme="minorHAnsi" w:eastAsiaTheme="minorEastAsia" w:hAnsiTheme="minorHAnsi"/>
              <w:noProof/>
              <w:kern w:val="2"/>
              <w:sz w:val="22"/>
              <w14:ligatures w14:val="standardContextual"/>
            </w:rPr>
          </w:pPr>
          <w:hyperlink w:anchor="_Toc192874872" w:history="1">
            <w:r>
              <w:rPr>
                <w:rStyle w:val="Hyperlink"/>
                <w:noProof/>
                <w:lang w:eastAsia="ko-KR"/>
              </w:rPr>
              <w:t>6.3.1.3</w:t>
            </w:r>
            <w:r>
              <w:rPr>
                <w:rFonts w:asciiTheme="minorHAnsi" w:eastAsiaTheme="minorEastAsia" w:hAnsiTheme="minorHAnsi"/>
                <w:noProof/>
                <w:kern w:val="2"/>
                <w:sz w:val="22"/>
                <w14:ligatures w14:val="standardContextual"/>
              </w:rPr>
              <w:tab/>
            </w:r>
            <w:r>
              <w:rPr>
                <w:rStyle w:val="Hyperlink"/>
                <w:noProof/>
                <w:lang w:eastAsia="ko-KR"/>
              </w:rPr>
              <w:t>Budget Maintenance</w:t>
            </w:r>
            <w:r>
              <w:rPr>
                <w:noProof/>
                <w:webHidden/>
              </w:rPr>
              <w:tab/>
            </w:r>
            <w:r>
              <w:rPr>
                <w:noProof/>
                <w:webHidden/>
              </w:rPr>
              <w:fldChar w:fldCharType="begin"/>
            </w:r>
            <w:r>
              <w:rPr>
                <w:noProof/>
                <w:webHidden/>
              </w:rPr>
              <w:instrText xml:space="preserve"> PAGEREF _Toc192874872 \h </w:instrText>
            </w:r>
            <w:r>
              <w:rPr>
                <w:noProof/>
                <w:webHidden/>
              </w:rPr>
            </w:r>
            <w:r>
              <w:rPr>
                <w:noProof/>
                <w:webHidden/>
              </w:rPr>
              <w:fldChar w:fldCharType="separate"/>
            </w:r>
            <w:r>
              <w:rPr>
                <w:noProof/>
                <w:webHidden/>
              </w:rPr>
              <w:t>161</w:t>
            </w:r>
            <w:r>
              <w:rPr>
                <w:noProof/>
                <w:webHidden/>
              </w:rPr>
              <w:fldChar w:fldCharType="end"/>
            </w:r>
          </w:hyperlink>
        </w:p>
        <w:p w14:paraId="46DC8096" w14:textId="35DCD1D9" w:rsidR="00274557" w:rsidRDefault="00274557">
          <w:pPr>
            <w:pStyle w:val="TOC3"/>
            <w:rPr>
              <w:rFonts w:asciiTheme="minorHAnsi" w:hAnsiTheme="minorHAnsi"/>
              <w:sz w:val="22"/>
            </w:rPr>
          </w:pPr>
          <w:hyperlink w:anchor="_Toc192874873" w:history="1">
            <w:r>
              <w:rPr>
                <w:rStyle w:val="Hyperlink"/>
                <w:bCs/>
              </w:rPr>
              <w:t>6.3.2</w:t>
            </w:r>
            <w:r>
              <w:rPr>
                <w:rFonts w:asciiTheme="minorHAnsi" w:hAnsiTheme="minorHAnsi"/>
                <w:sz w:val="22"/>
              </w:rPr>
              <w:tab/>
            </w:r>
            <w:r>
              <w:rPr>
                <w:rStyle w:val="Hyperlink"/>
              </w:rPr>
              <w:t>Invoicing</w:t>
            </w:r>
            <w:r>
              <w:rPr>
                <w:webHidden/>
              </w:rPr>
              <w:tab/>
            </w:r>
            <w:r>
              <w:rPr>
                <w:webHidden/>
              </w:rPr>
              <w:fldChar w:fldCharType="begin"/>
            </w:r>
            <w:r>
              <w:rPr>
                <w:webHidden/>
              </w:rPr>
              <w:instrText xml:space="preserve"> PAGEREF _Toc192874873 \h </w:instrText>
            </w:r>
            <w:r>
              <w:rPr>
                <w:webHidden/>
              </w:rPr>
            </w:r>
            <w:r>
              <w:rPr>
                <w:webHidden/>
              </w:rPr>
              <w:fldChar w:fldCharType="separate"/>
            </w:r>
            <w:r>
              <w:rPr>
                <w:webHidden/>
              </w:rPr>
              <w:t>161</w:t>
            </w:r>
            <w:r>
              <w:rPr>
                <w:webHidden/>
              </w:rPr>
              <w:fldChar w:fldCharType="end"/>
            </w:r>
          </w:hyperlink>
        </w:p>
        <w:p w14:paraId="143DD7DB" w14:textId="037613B2" w:rsidR="00274557" w:rsidRDefault="00274557">
          <w:pPr>
            <w:pStyle w:val="TOC4"/>
            <w:rPr>
              <w:rFonts w:asciiTheme="minorHAnsi" w:eastAsiaTheme="minorEastAsia" w:hAnsiTheme="minorHAnsi"/>
              <w:noProof/>
              <w:kern w:val="2"/>
              <w:sz w:val="22"/>
              <w14:ligatures w14:val="standardContextual"/>
            </w:rPr>
          </w:pPr>
          <w:hyperlink w:anchor="_Toc192874874" w:history="1">
            <w:r>
              <w:rPr>
                <w:rStyle w:val="Hyperlink"/>
                <w:noProof/>
                <w:lang w:eastAsia="ko-KR"/>
              </w:rPr>
              <w:t>6.3.2.1</w:t>
            </w:r>
            <w:r>
              <w:rPr>
                <w:rFonts w:asciiTheme="minorHAnsi" w:eastAsiaTheme="minorEastAsia" w:hAnsiTheme="minorHAnsi"/>
                <w:noProof/>
                <w:kern w:val="2"/>
                <w:sz w:val="22"/>
                <w14:ligatures w14:val="standardContextual"/>
              </w:rPr>
              <w:tab/>
            </w:r>
            <w:r>
              <w:rPr>
                <w:rStyle w:val="Hyperlink"/>
                <w:noProof/>
                <w:lang w:eastAsia="ko-KR"/>
              </w:rPr>
              <w:t>Invoicing Process Flow Diagram</w:t>
            </w:r>
            <w:r>
              <w:rPr>
                <w:noProof/>
                <w:webHidden/>
              </w:rPr>
              <w:tab/>
            </w:r>
            <w:r>
              <w:rPr>
                <w:noProof/>
                <w:webHidden/>
              </w:rPr>
              <w:fldChar w:fldCharType="begin"/>
            </w:r>
            <w:r>
              <w:rPr>
                <w:noProof/>
                <w:webHidden/>
              </w:rPr>
              <w:instrText xml:space="preserve"> PAGEREF _Toc192874874 \h </w:instrText>
            </w:r>
            <w:r>
              <w:rPr>
                <w:noProof/>
                <w:webHidden/>
              </w:rPr>
            </w:r>
            <w:r>
              <w:rPr>
                <w:noProof/>
                <w:webHidden/>
              </w:rPr>
              <w:fldChar w:fldCharType="separate"/>
            </w:r>
            <w:r>
              <w:rPr>
                <w:noProof/>
                <w:webHidden/>
              </w:rPr>
              <w:t>162</w:t>
            </w:r>
            <w:r>
              <w:rPr>
                <w:noProof/>
                <w:webHidden/>
              </w:rPr>
              <w:fldChar w:fldCharType="end"/>
            </w:r>
          </w:hyperlink>
        </w:p>
        <w:p w14:paraId="238EAC79" w14:textId="1652A3C2" w:rsidR="00274557" w:rsidRDefault="00274557">
          <w:pPr>
            <w:pStyle w:val="TOC4"/>
            <w:rPr>
              <w:rFonts w:asciiTheme="minorHAnsi" w:eastAsiaTheme="minorEastAsia" w:hAnsiTheme="minorHAnsi"/>
              <w:noProof/>
              <w:kern w:val="2"/>
              <w:sz w:val="22"/>
              <w14:ligatures w14:val="standardContextual"/>
            </w:rPr>
          </w:pPr>
          <w:hyperlink w:anchor="_Toc192874875" w:history="1">
            <w:r>
              <w:rPr>
                <w:rStyle w:val="Hyperlink"/>
                <w:noProof/>
                <w:lang w:eastAsia="ko-KR"/>
              </w:rPr>
              <w:t>6.3.2.2</w:t>
            </w:r>
            <w:r>
              <w:rPr>
                <w:rFonts w:asciiTheme="minorHAnsi" w:eastAsiaTheme="minorEastAsia" w:hAnsiTheme="minorHAnsi"/>
                <w:noProof/>
                <w:kern w:val="2"/>
                <w:sz w:val="22"/>
                <w14:ligatures w14:val="standardContextual"/>
              </w:rPr>
              <w:tab/>
            </w:r>
            <w:r>
              <w:rPr>
                <w:rStyle w:val="Hyperlink"/>
                <w:noProof/>
                <w:lang w:eastAsia="ko-KR"/>
              </w:rPr>
              <w:t>Invoicing Process Flow Narrative</w:t>
            </w:r>
            <w:r>
              <w:rPr>
                <w:noProof/>
                <w:webHidden/>
              </w:rPr>
              <w:tab/>
            </w:r>
            <w:r>
              <w:rPr>
                <w:noProof/>
                <w:webHidden/>
              </w:rPr>
              <w:fldChar w:fldCharType="begin"/>
            </w:r>
            <w:r>
              <w:rPr>
                <w:noProof/>
                <w:webHidden/>
              </w:rPr>
              <w:instrText xml:space="preserve"> PAGEREF _Toc192874875 \h </w:instrText>
            </w:r>
            <w:r>
              <w:rPr>
                <w:noProof/>
                <w:webHidden/>
              </w:rPr>
            </w:r>
            <w:r>
              <w:rPr>
                <w:noProof/>
                <w:webHidden/>
              </w:rPr>
              <w:fldChar w:fldCharType="separate"/>
            </w:r>
            <w:r>
              <w:rPr>
                <w:noProof/>
                <w:webHidden/>
              </w:rPr>
              <w:t>162</w:t>
            </w:r>
            <w:r>
              <w:rPr>
                <w:noProof/>
                <w:webHidden/>
              </w:rPr>
              <w:fldChar w:fldCharType="end"/>
            </w:r>
          </w:hyperlink>
        </w:p>
        <w:p w14:paraId="337B7579" w14:textId="7691CD9D" w:rsidR="00274557" w:rsidRDefault="00274557">
          <w:pPr>
            <w:pStyle w:val="TOC3"/>
            <w:rPr>
              <w:rFonts w:asciiTheme="minorHAnsi" w:hAnsiTheme="minorHAnsi"/>
              <w:sz w:val="22"/>
            </w:rPr>
          </w:pPr>
          <w:hyperlink w:anchor="_Toc192874876" w:history="1">
            <w:r>
              <w:rPr>
                <w:rStyle w:val="Hyperlink"/>
                <w:bCs/>
              </w:rPr>
              <w:t>6.3.3</w:t>
            </w:r>
            <w:r>
              <w:rPr>
                <w:rFonts w:asciiTheme="minorHAnsi" w:hAnsiTheme="minorHAnsi"/>
                <w:sz w:val="22"/>
              </w:rPr>
              <w:tab/>
            </w:r>
            <w:r>
              <w:rPr>
                <w:rStyle w:val="Hyperlink"/>
              </w:rPr>
              <w:t>Budget Reporting</w:t>
            </w:r>
            <w:r>
              <w:rPr>
                <w:webHidden/>
              </w:rPr>
              <w:tab/>
            </w:r>
            <w:r>
              <w:rPr>
                <w:webHidden/>
              </w:rPr>
              <w:fldChar w:fldCharType="begin"/>
            </w:r>
            <w:r>
              <w:rPr>
                <w:webHidden/>
              </w:rPr>
              <w:instrText xml:space="preserve"> PAGEREF _Toc192874876 \h </w:instrText>
            </w:r>
            <w:r>
              <w:rPr>
                <w:webHidden/>
              </w:rPr>
            </w:r>
            <w:r>
              <w:rPr>
                <w:webHidden/>
              </w:rPr>
              <w:fldChar w:fldCharType="separate"/>
            </w:r>
            <w:r>
              <w:rPr>
                <w:webHidden/>
              </w:rPr>
              <w:t>163</w:t>
            </w:r>
            <w:r>
              <w:rPr>
                <w:webHidden/>
              </w:rPr>
              <w:fldChar w:fldCharType="end"/>
            </w:r>
          </w:hyperlink>
        </w:p>
        <w:p w14:paraId="225682CB" w14:textId="55500DAD" w:rsidR="00274557" w:rsidRDefault="00274557">
          <w:pPr>
            <w:pStyle w:val="TOC3"/>
            <w:rPr>
              <w:rFonts w:asciiTheme="minorHAnsi" w:hAnsiTheme="minorHAnsi"/>
              <w:sz w:val="22"/>
            </w:rPr>
          </w:pPr>
          <w:hyperlink w:anchor="_Toc192874877" w:history="1">
            <w:r>
              <w:rPr>
                <w:rStyle w:val="Hyperlink"/>
                <w:bCs/>
              </w:rPr>
              <w:t>6.3.4</w:t>
            </w:r>
            <w:r>
              <w:rPr>
                <w:rFonts w:asciiTheme="minorHAnsi" w:hAnsiTheme="minorHAnsi"/>
                <w:sz w:val="22"/>
              </w:rPr>
              <w:tab/>
            </w:r>
            <w:r>
              <w:rPr>
                <w:rStyle w:val="Hyperlink"/>
              </w:rPr>
              <w:t>Budget Adjustments</w:t>
            </w:r>
            <w:r>
              <w:rPr>
                <w:webHidden/>
              </w:rPr>
              <w:tab/>
            </w:r>
            <w:r>
              <w:rPr>
                <w:webHidden/>
              </w:rPr>
              <w:fldChar w:fldCharType="begin"/>
            </w:r>
            <w:r>
              <w:rPr>
                <w:webHidden/>
              </w:rPr>
              <w:instrText xml:space="preserve"> PAGEREF _Toc192874877 \h </w:instrText>
            </w:r>
            <w:r>
              <w:rPr>
                <w:webHidden/>
              </w:rPr>
            </w:r>
            <w:r>
              <w:rPr>
                <w:webHidden/>
              </w:rPr>
              <w:fldChar w:fldCharType="separate"/>
            </w:r>
            <w:r>
              <w:rPr>
                <w:webHidden/>
              </w:rPr>
              <w:t>163</w:t>
            </w:r>
            <w:r>
              <w:rPr>
                <w:webHidden/>
              </w:rPr>
              <w:fldChar w:fldCharType="end"/>
            </w:r>
          </w:hyperlink>
        </w:p>
        <w:p w14:paraId="6BE4656F" w14:textId="05DC59EC" w:rsidR="00274557" w:rsidRDefault="00274557">
          <w:pPr>
            <w:pStyle w:val="TOC2"/>
            <w:rPr>
              <w:rFonts w:asciiTheme="minorHAnsi" w:eastAsiaTheme="minorEastAsia" w:hAnsiTheme="minorHAnsi"/>
              <w:b w:val="0"/>
              <w:kern w:val="2"/>
              <w:sz w:val="22"/>
              <w:lang w:val="en-US"/>
              <w14:ligatures w14:val="standardContextual"/>
            </w:rPr>
          </w:pPr>
          <w:hyperlink w:anchor="_Toc192874878" w:history="1">
            <w:r>
              <w:rPr>
                <w:rStyle w:val="Hyperlink"/>
              </w:rPr>
              <w:t>6.4</w:t>
            </w:r>
            <w:r>
              <w:rPr>
                <w:rFonts w:asciiTheme="minorHAnsi" w:eastAsiaTheme="minorEastAsia" w:hAnsiTheme="minorHAnsi"/>
                <w:b w:val="0"/>
                <w:kern w:val="2"/>
                <w:sz w:val="22"/>
                <w:lang w:val="en-US"/>
                <w14:ligatures w14:val="standardContextual"/>
              </w:rPr>
              <w:tab/>
            </w:r>
            <w:r>
              <w:rPr>
                <w:rStyle w:val="Hyperlink"/>
              </w:rPr>
              <w:t>Tool and Descriptions</w:t>
            </w:r>
            <w:r>
              <w:rPr>
                <w:webHidden/>
              </w:rPr>
              <w:tab/>
            </w:r>
            <w:r>
              <w:rPr>
                <w:webHidden/>
              </w:rPr>
              <w:fldChar w:fldCharType="begin"/>
            </w:r>
            <w:r>
              <w:rPr>
                <w:webHidden/>
              </w:rPr>
              <w:instrText xml:space="preserve"> PAGEREF _Toc192874878 \h </w:instrText>
            </w:r>
            <w:r>
              <w:rPr>
                <w:webHidden/>
              </w:rPr>
            </w:r>
            <w:r>
              <w:rPr>
                <w:webHidden/>
              </w:rPr>
              <w:fldChar w:fldCharType="separate"/>
            </w:r>
            <w:r>
              <w:rPr>
                <w:webHidden/>
              </w:rPr>
              <w:t>164</w:t>
            </w:r>
            <w:r>
              <w:rPr>
                <w:webHidden/>
              </w:rPr>
              <w:fldChar w:fldCharType="end"/>
            </w:r>
          </w:hyperlink>
        </w:p>
        <w:p w14:paraId="34143C4D" w14:textId="7B9D4182" w:rsidR="00274557" w:rsidRDefault="00274557">
          <w:pPr>
            <w:pStyle w:val="TOC2"/>
            <w:rPr>
              <w:rFonts w:asciiTheme="minorHAnsi" w:eastAsiaTheme="minorEastAsia" w:hAnsiTheme="minorHAnsi"/>
              <w:b w:val="0"/>
              <w:kern w:val="2"/>
              <w:sz w:val="22"/>
              <w:lang w:val="en-US"/>
              <w14:ligatures w14:val="standardContextual"/>
            </w:rPr>
          </w:pPr>
          <w:hyperlink w:anchor="_Toc192874879" w:history="1">
            <w:r>
              <w:rPr>
                <w:rStyle w:val="Hyperlink"/>
              </w:rPr>
              <w:t>6.5</w:t>
            </w:r>
            <w:r>
              <w:rPr>
                <w:rFonts w:asciiTheme="minorHAnsi" w:eastAsiaTheme="minorEastAsia" w:hAnsiTheme="minorHAnsi"/>
                <w:b w:val="0"/>
                <w:kern w:val="2"/>
                <w:sz w:val="22"/>
                <w:lang w:val="en-US"/>
                <w14:ligatures w14:val="standardContextual"/>
              </w:rPr>
              <w:tab/>
            </w:r>
            <w:r>
              <w:rPr>
                <w:rStyle w:val="Hyperlink"/>
              </w:rPr>
              <w:t>State Of New York Claim for Payment Form</w:t>
            </w:r>
            <w:r>
              <w:rPr>
                <w:webHidden/>
              </w:rPr>
              <w:tab/>
            </w:r>
            <w:r>
              <w:rPr>
                <w:webHidden/>
              </w:rPr>
              <w:fldChar w:fldCharType="begin"/>
            </w:r>
            <w:r>
              <w:rPr>
                <w:webHidden/>
              </w:rPr>
              <w:instrText xml:space="preserve"> PAGEREF _Toc192874879 \h </w:instrText>
            </w:r>
            <w:r>
              <w:rPr>
                <w:webHidden/>
              </w:rPr>
            </w:r>
            <w:r>
              <w:rPr>
                <w:webHidden/>
              </w:rPr>
              <w:fldChar w:fldCharType="separate"/>
            </w:r>
            <w:r>
              <w:rPr>
                <w:webHidden/>
              </w:rPr>
              <w:t>165</w:t>
            </w:r>
            <w:r>
              <w:rPr>
                <w:webHidden/>
              </w:rPr>
              <w:fldChar w:fldCharType="end"/>
            </w:r>
          </w:hyperlink>
        </w:p>
        <w:p w14:paraId="075A1BE2" w14:textId="190CCAE1" w:rsidR="00274557" w:rsidRDefault="00274557">
          <w:pPr>
            <w:pStyle w:val="TOC2"/>
            <w:rPr>
              <w:rFonts w:asciiTheme="minorHAnsi" w:eastAsiaTheme="minorEastAsia" w:hAnsiTheme="minorHAnsi"/>
              <w:b w:val="0"/>
              <w:kern w:val="2"/>
              <w:sz w:val="22"/>
              <w:lang w:val="en-US"/>
              <w14:ligatures w14:val="standardContextual"/>
            </w:rPr>
          </w:pPr>
          <w:hyperlink w:anchor="_Toc192874880" w:history="1">
            <w:r>
              <w:rPr>
                <w:rStyle w:val="Hyperlink"/>
              </w:rPr>
              <w:t>6.6</w:t>
            </w:r>
            <w:r>
              <w:rPr>
                <w:rFonts w:asciiTheme="minorHAnsi" w:eastAsiaTheme="minorEastAsia" w:hAnsiTheme="minorHAnsi"/>
                <w:b w:val="0"/>
                <w:kern w:val="2"/>
                <w:sz w:val="22"/>
                <w:lang w:val="en-US"/>
                <w14:ligatures w14:val="standardContextual"/>
              </w:rPr>
              <w:tab/>
            </w:r>
            <w:r>
              <w:rPr>
                <w:rStyle w:val="Hyperlink"/>
              </w:rPr>
              <w:t>OHIP Invoice Submission FAQ</w:t>
            </w:r>
            <w:r>
              <w:rPr>
                <w:webHidden/>
              </w:rPr>
              <w:tab/>
            </w:r>
            <w:r>
              <w:rPr>
                <w:webHidden/>
              </w:rPr>
              <w:fldChar w:fldCharType="begin"/>
            </w:r>
            <w:r>
              <w:rPr>
                <w:webHidden/>
              </w:rPr>
              <w:instrText xml:space="preserve"> PAGEREF _Toc192874880 \h </w:instrText>
            </w:r>
            <w:r>
              <w:rPr>
                <w:webHidden/>
              </w:rPr>
            </w:r>
            <w:r>
              <w:rPr>
                <w:webHidden/>
              </w:rPr>
              <w:fldChar w:fldCharType="separate"/>
            </w:r>
            <w:r>
              <w:rPr>
                <w:webHidden/>
              </w:rPr>
              <w:t>166</w:t>
            </w:r>
            <w:r>
              <w:rPr>
                <w:webHidden/>
              </w:rPr>
              <w:fldChar w:fldCharType="end"/>
            </w:r>
          </w:hyperlink>
        </w:p>
        <w:p w14:paraId="26EC72A3" w14:textId="2F6FCF01" w:rsidR="00274557" w:rsidRDefault="00274557">
          <w:pPr>
            <w:pStyle w:val="TOC1"/>
            <w:rPr>
              <w:rFonts w:asciiTheme="minorHAnsi" w:eastAsiaTheme="minorEastAsia" w:hAnsiTheme="minorHAnsi"/>
              <w:b w:val="0"/>
              <w:kern w:val="2"/>
              <w:sz w:val="22"/>
              <w14:ligatures w14:val="standardContextual"/>
            </w:rPr>
          </w:pPr>
          <w:hyperlink w:anchor="_Toc192874881" w:history="1">
            <w:r>
              <w:rPr>
                <w:rStyle w:val="Hyperlink"/>
              </w:rPr>
              <w:t>7</w:t>
            </w:r>
            <w:r>
              <w:rPr>
                <w:rFonts w:asciiTheme="minorHAnsi" w:eastAsiaTheme="minorEastAsia" w:hAnsiTheme="minorHAnsi"/>
                <w:b w:val="0"/>
                <w:kern w:val="2"/>
                <w:sz w:val="22"/>
                <w14:ligatures w14:val="standardContextual"/>
              </w:rPr>
              <w:tab/>
            </w:r>
            <w:r>
              <w:rPr>
                <w:rStyle w:val="Hyperlink"/>
              </w:rPr>
              <w:t>Quality Management Plan</w:t>
            </w:r>
            <w:r>
              <w:rPr>
                <w:webHidden/>
              </w:rPr>
              <w:tab/>
            </w:r>
            <w:r>
              <w:rPr>
                <w:webHidden/>
              </w:rPr>
              <w:fldChar w:fldCharType="begin"/>
            </w:r>
            <w:r>
              <w:rPr>
                <w:webHidden/>
              </w:rPr>
              <w:instrText xml:space="preserve"> PAGEREF _Toc192874881 \h </w:instrText>
            </w:r>
            <w:r>
              <w:rPr>
                <w:webHidden/>
              </w:rPr>
            </w:r>
            <w:r>
              <w:rPr>
                <w:webHidden/>
              </w:rPr>
              <w:fldChar w:fldCharType="separate"/>
            </w:r>
            <w:r>
              <w:rPr>
                <w:webHidden/>
              </w:rPr>
              <w:t>168</w:t>
            </w:r>
            <w:r>
              <w:rPr>
                <w:webHidden/>
              </w:rPr>
              <w:fldChar w:fldCharType="end"/>
            </w:r>
          </w:hyperlink>
        </w:p>
        <w:p w14:paraId="57F6A045" w14:textId="5B241A67" w:rsidR="00274557" w:rsidRDefault="00274557">
          <w:pPr>
            <w:pStyle w:val="TOC2"/>
            <w:rPr>
              <w:rFonts w:asciiTheme="minorHAnsi" w:eastAsiaTheme="minorEastAsia" w:hAnsiTheme="minorHAnsi"/>
              <w:b w:val="0"/>
              <w:kern w:val="2"/>
              <w:sz w:val="22"/>
              <w:lang w:val="en-US"/>
              <w14:ligatures w14:val="standardContextual"/>
            </w:rPr>
          </w:pPr>
          <w:hyperlink w:anchor="_Toc192874882" w:history="1">
            <w:r>
              <w:rPr>
                <w:rStyle w:val="Hyperlink"/>
              </w:rPr>
              <w:t>7.1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_Toc192874882 \h </w:instrText>
            </w:r>
            <w:r>
              <w:rPr>
                <w:webHidden/>
              </w:rPr>
            </w:r>
            <w:r>
              <w:rPr>
                <w:webHidden/>
              </w:rPr>
              <w:fldChar w:fldCharType="separate"/>
            </w:r>
            <w:r>
              <w:rPr>
                <w:webHidden/>
              </w:rPr>
              <w:t>168</w:t>
            </w:r>
            <w:r>
              <w:rPr>
                <w:webHidden/>
              </w:rPr>
              <w:fldChar w:fldCharType="end"/>
            </w:r>
          </w:hyperlink>
        </w:p>
        <w:p w14:paraId="2B6F54BA" w14:textId="7CE894AD" w:rsidR="00274557" w:rsidRDefault="00274557">
          <w:pPr>
            <w:pStyle w:val="TOC2"/>
            <w:rPr>
              <w:rFonts w:asciiTheme="minorHAnsi" w:eastAsiaTheme="minorEastAsia" w:hAnsiTheme="minorHAnsi"/>
              <w:b w:val="0"/>
              <w:kern w:val="2"/>
              <w:sz w:val="22"/>
              <w:lang w:val="en-US"/>
              <w14:ligatures w14:val="standardContextual"/>
            </w:rPr>
          </w:pPr>
          <w:hyperlink w:anchor="_Toc192874883" w:history="1">
            <w:r>
              <w:rPr>
                <w:rStyle w:val="Hyperlink"/>
              </w:rPr>
              <w:t>7.2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_Toc192874883 \h </w:instrText>
            </w:r>
            <w:r>
              <w:rPr>
                <w:webHidden/>
              </w:rPr>
            </w:r>
            <w:r>
              <w:rPr>
                <w:webHidden/>
              </w:rPr>
              <w:fldChar w:fldCharType="separate"/>
            </w:r>
            <w:r>
              <w:rPr>
                <w:webHidden/>
              </w:rPr>
              <w:t>168</w:t>
            </w:r>
            <w:r>
              <w:rPr>
                <w:webHidden/>
              </w:rPr>
              <w:fldChar w:fldCharType="end"/>
            </w:r>
          </w:hyperlink>
        </w:p>
        <w:p w14:paraId="69123F5B" w14:textId="7B454ED1" w:rsidR="00274557" w:rsidRDefault="00274557">
          <w:pPr>
            <w:pStyle w:val="TOC2"/>
            <w:rPr>
              <w:rFonts w:asciiTheme="minorHAnsi" w:eastAsiaTheme="minorEastAsia" w:hAnsiTheme="minorHAnsi"/>
              <w:b w:val="0"/>
              <w:kern w:val="2"/>
              <w:sz w:val="22"/>
              <w:lang w:val="en-US"/>
              <w14:ligatures w14:val="standardContextual"/>
            </w:rPr>
          </w:pPr>
          <w:hyperlink w:anchor="_Toc192874884" w:history="1">
            <w:r>
              <w:rPr>
                <w:rStyle w:val="Hyperlink"/>
              </w:rPr>
              <w:t>7.3</w:t>
            </w:r>
            <w:r>
              <w:rPr>
                <w:rFonts w:asciiTheme="minorHAnsi" w:eastAsiaTheme="minorEastAsia" w:hAnsiTheme="minorHAnsi"/>
                <w:b w:val="0"/>
                <w:kern w:val="2"/>
                <w:sz w:val="22"/>
                <w:lang w:val="en-US"/>
                <w14:ligatures w14:val="standardContextual"/>
              </w:rPr>
              <w:tab/>
            </w:r>
            <w:r>
              <w:rPr>
                <w:rStyle w:val="Hyperlink"/>
              </w:rPr>
              <w:t>Quality Assurance Approach</w:t>
            </w:r>
            <w:r>
              <w:rPr>
                <w:webHidden/>
              </w:rPr>
              <w:tab/>
            </w:r>
            <w:r>
              <w:rPr>
                <w:webHidden/>
              </w:rPr>
              <w:fldChar w:fldCharType="begin"/>
            </w:r>
            <w:r>
              <w:rPr>
                <w:webHidden/>
              </w:rPr>
              <w:instrText xml:space="preserve"> PAGEREF _Toc192874884 \h </w:instrText>
            </w:r>
            <w:r>
              <w:rPr>
                <w:webHidden/>
              </w:rPr>
            </w:r>
            <w:r>
              <w:rPr>
                <w:webHidden/>
              </w:rPr>
              <w:fldChar w:fldCharType="separate"/>
            </w:r>
            <w:r>
              <w:rPr>
                <w:webHidden/>
              </w:rPr>
              <w:t>168</w:t>
            </w:r>
            <w:r>
              <w:rPr>
                <w:webHidden/>
              </w:rPr>
              <w:fldChar w:fldCharType="end"/>
            </w:r>
          </w:hyperlink>
        </w:p>
        <w:p w14:paraId="7C157373" w14:textId="5E628F27" w:rsidR="00274557" w:rsidRDefault="00274557">
          <w:pPr>
            <w:pStyle w:val="TOC3"/>
            <w:rPr>
              <w:rFonts w:asciiTheme="minorHAnsi" w:hAnsiTheme="minorHAnsi"/>
              <w:sz w:val="22"/>
            </w:rPr>
          </w:pPr>
          <w:hyperlink w:anchor="_Toc192874885" w:history="1">
            <w:r>
              <w:rPr>
                <w:rStyle w:val="Hyperlink"/>
                <w:bCs/>
              </w:rPr>
              <w:t>7.3.1</w:t>
            </w:r>
            <w:r>
              <w:rPr>
                <w:rFonts w:asciiTheme="minorHAnsi" w:hAnsiTheme="minorHAnsi"/>
                <w:sz w:val="22"/>
              </w:rPr>
              <w:tab/>
            </w:r>
            <w:r>
              <w:rPr>
                <w:rStyle w:val="Hyperlink"/>
              </w:rPr>
              <w:t>Implementing the Quality Management Plan</w:t>
            </w:r>
            <w:r>
              <w:rPr>
                <w:webHidden/>
              </w:rPr>
              <w:tab/>
            </w:r>
            <w:r>
              <w:rPr>
                <w:webHidden/>
              </w:rPr>
              <w:fldChar w:fldCharType="begin"/>
            </w:r>
            <w:r>
              <w:rPr>
                <w:webHidden/>
              </w:rPr>
              <w:instrText xml:space="preserve"> PAGEREF _Toc192874885 \h </w:instrText>
            </w:r>
            <w:r>
              <w:rPr>
                <w:webHidden/>
              </w:rPr>
            </w:r>
            <w:r>
              <w:rPr>
                <w:webHidden/>
              </w:rPr>
              <w:fldChar w:fldCharType="separate"/>
            </w:r>
            <w:r>
              <w:rPr>
                <w:webHidden/>
              </w:rPr>
              <w:t>169</w:t>
            </w:r>
            <w:r>
              <w:rPr>
                <w:webHidden/>
              </w:rPr>
              <w:fldChar w:fldCharType="end"/>
            </w:r>
          </w:hyperlink>
        </w:p>
        <w:p w14:paraId="5DFB0A79" w14:textId="1E1F51EC" w:rsidR="00274557" w:rsidRDefault="00274557">
          <w:pPr>
            <w:pStyle w:val="TOC3"/>
            <w:rPr>
              <w:rFonts w:asciiTheme="minorHAnsi" w:hAnsiTheme="minorHAnsi"/>
              <w:sz w:val="22"/>
            </w:rPr>
          </w:pPr>
          <w:hyperlink w:anchor="_Toc192874886" w:history="1">
            <w:r>
              <w:rPr>
                <w:rStyle w:val="Hyperlink"/>
                <w:bCs/>
              </w:rPr>
              <w:t>7.3.2</w:t>
            </w:r>
            <w:r>
              <w:rPr>
                <w:rFonts w:asciiTheme="minorHAnsi" w:hAnsiTheme="minorHAnsi"/>
                <w:sz w:val="22"/>
              </w:rPr>
              <w:tab/>
            </w:r>
            <w:r>
              <w:rPr>
                <w:rStyle w:val="Hyperlink"/>
              </w:rPr>
              <w:t>Quality Management to Meet State and Federal Regulations</w:t>
            </w:r>
            <w:r>
              <w:rPr>
                <w:webHidden/>
              </w:rPr>
              <w:tab/>
            </w:r>
            <w:r>
              <w:rPr>
                <w:webHidden/>
              </w:rPr>
              <w:fldChar w:fldCharType="begin"/>
            </w:r>
            <w:r>
              <w:rPr>
                <w:webHidden/>
              </w:rPr>
              <w:instrText xml:space="preserve"> PAGEREF _Toc192874886 \h </w:instrText>
            </w:r>
            <w:r>
              <w:rPr>
                <w:webHidden/>
              </w:rPr>
            </w:r>
            <w:r>
              <w:rPr>
                <w:webHidden/>
              </w:rPr>
              <w:fldChar w:fldCharType="separate"/>
            </w:r>
            <w:r>
              <w:rPr>
                <w:webHidden/>
              </w:rPr>
              <w:t>169</w:t>
            </w:r>
            <w:r>
              <w:rPr>
                <w:webHidden/>
              </w:rPr>
              <w:fldChar w:fldCharType="end"/>
            </w:r>
          </w:hyperlink>
        </w:p>
        <w:p w14:paraId="02CD9C00" w14:textId="67494C92" w:rsidR="00274557" w:rsidRDefault="00274557">
          <w:pPr>
            <w:pStyle w:val="TOC3"/>
            <w:rPr>
              <w:rFonts w:asciiTheme="minorHAnsi" w:hAnsiTheme="minorHAnsi"/>
              <w:sz w:val="22"/>
            </w:rPr>
          </w:pPr>
          <w:hyperlink w:anchor="_Toc192874887" w:history="1">
            <w:r>
              <w:rPr>
                <w:rStyle w:val="Hyperlink"/>
                <w:bCs/>
              </w:rPr>
              <w:t>7.3.3</w:t>
            </w:r>
            <w:r>
              <w:rPr>
                <w:rFonts w:asciiTheme="minorHAnsi" w:hAnsiTheme="minorHAnsi"/>
                <w:sz w:val="22"/>
              </w:rPr>
              <w:tab/>
            </w:r>
            <w:r>
              <w:rPr>
                <w:rStyle w:val="Hyperlink"/>
              </w:rPr>
              <w:t>Quality Assurance Reviews</w:t>
            </w:r>
            <w:r>
              <w:rPr>
                <w:webHidden/>
              </w:rPr>
              <w:tab/>
            </w:r>
            <w:r>
              <w:rPr>
                <w:webHidden/>
              </w:rPr>
              <w:fldChar w:fldCharType="begin"/>
            </w:r>
            <w:r>
              <w:rPr>
                <w:webHidden/>
              </w:rPr>
              <w:instrText xml:space="preserve"> PAGEREF _Toc192874887 \h </w:instrText>
            </w:r>
            <w:r>
              <w:rPr>
                <w:webHidden/>
              </w:rPr>
            </w:r>
            <w:r>
              <w:rPr>
                <w:webHidden/>
              </w:rPr>
              <w:fldChar w:fldCharType="separate"/>
            </w:r>
            <w:r>
              <w:rPr>
                <w:webHidden/>
              </w:rPr>
              <w:t>169</w:t>
            </w:r>
            <w:r>
              <w:rPr>
                <w:webHidden/>
              </w:rPr>
              <w:fldChar w:fldCharType="end"/>
            </w:r>
          </w:hyperlink>
        </w:p>
        <w:p w14:paraId="24E66FE3" w14:textId="5F3FB1F9" w:rsidR="00274557" w:rsidRDefault="00274557">
          <w:pPr>
            <w:pStyle w:val="TOC3"/>
            <w:rPr>
              <w:rFonts w:asciiTheme="minorHAnsi" w:hAnsiTheme="minorHAnsi"/>
              <w:sz w:val="22"/>
            </w:rPr>
          </w:pPr>
          <w:hyperlink w:anchor="_Toc192874888" w:history="1">
            <w:r>
              <w:rPr>
                <w:rStyle w:val="Hyperlink"/>
                <w:bCs/>
              </w:rPr>
              <w:t>7.3.4</w:t>
            </w:r>
            <w:r>
              <w:rPr>
                <w:rFonts w:asciiTheme="minorHAnsi" w:hAnsiTheme="minorHAnsi"/>
                <w:sz w:val="22"/>
              </w:rPr>
              <w:tab/>
            </w:r>
            <w:r>
              <w:rPr>
                <w:rStyle w:val="Hyperlink"/>
              </w:rPr>
              <w:t>Project Quality Standards</w:t>
            </w:r>
            <w:r>
              <w:rPr>
                <w:webHidden/>
              </w:rPr>
              <w:tab/>
            </w:r>
            <w:r>
              <w:rPr>
                <w:webHidden/>
              </w:rPr>
              <w:fldChar w:fldCharType="begin"/>
            </w:r>
            <w:r>
              <w:rPr>
                <w:webHidden/>
              </w:rPr>
              <w:instrText xml:space="preserve"> PAGEREF _Toc192874888 \h </w:instrText>
            </w:r>
            <w:r>
              <w:rPr>
                <w:webHidden/>
              </w:rPr>
            </w:r>
            <w:r>
              <w:rPr>
                <w:webHidden/>
              </w:rPr>
              <w:fldChar w:fldCharType="separate"/>
            </w:r>
            <w:r>
              <w:rPr>
                <w:webHidden/>
              </w:rPr>
              <w:t>170</w:t>
            </w:r>
            <w:r>
              <w:rPr>
                <w:webHidden/>
              </w:rPr>
              <w:fldChar w:fldCharType="end"/>
            </w:r>
          </w:hyperlink>
        </w:p>
        <w:p w14:paraId="375F20AC" w14:textId="6C3568EF" w:rsidR="00274557" w:rsidRDefault="00274557">
          <w:pPr>
            <w:pStyle w:val="TOC3"/>
            <w:rPr>
              <w:rFonts w:asciiTheme="minorHAnsi" w:hAnsiTheme="minorHAnsi"/>
              <w:sz w:val="22"/>
            </w:rPr>
          </w:pPr>
          <w:hyperlink w:anchor="_Toc192874889" w:history="1">
            <w:r>
              <w:rPr>
                <w:rStyle w:val="Hyperlink"/>
                <w:rFonts w:cs="Arial Narrow"/>
                <w:bCs/>
              </w:rPr>
              <w:t>7.3.5</w:t>
            </w:r>
            <w:r>
              <w:rPr>
                <w:rFonts w:asciiTheme="minorHAnsi" w:hAnsiTheme="minorHAnsi"/>
                <w:sz w:val="22"/>
              </w:rPr>
              <w:tab/>
            </w:r>
            <w:r>
              <w:rPr>
                <w:rStyle w:val="Hyperlink"/>
              </w:rPr>
              <w:t>Standard Verification</w:t>
            </w:r>
            <w:r>
              <w:rPr>
                <w:webHidden/>
              </w:rPr>
              <w:tab/>
            </w:r>
            <w:r>
              <w:rPr>
                <w:webHidden/>
              </w:rPr>
              <w:fldChar w:fldCharType="begin"/>
            </w:r>
            <w:r>
              <w:rPr>
                <w:webHidden/>
              </w:rPr>
              <w:instrText xml:space="preserve"> PAGEREF _Toc192874889 \h </w:instrText>
            </w:r>
            <w:r>
              <w:rPr>
                <w:webHidden/>
              </w:rPr>
            </w:r>
            <w:r>
              <w:rPr>
                <w:webHidden/>
              </w:rPr>
              <w:fldChar w:fldCharType="separate"/>
            </w:r>
            <w:r>
              <w:rPr>
                <w:webHidden/>
              </w:rPr>
              <w:t>171</w:t>
            </w:r>
            <w:r>
              <w:rPr>
                <w:webHidden/>
              </w:rPr>
              <w:fldChar w:fldCharType="end"/>
            </w:r>
          </w:hyperlink>
        </w:p>
        <w:p w14:paraId="577542B8" w14:textId="78923EF2" w:rsidR="00274557" w:rsidRDefault="00274557">
          <w:pPr>
            <w:pStyle w:val="TOC3"/>
            <w:rPr>
              <w:rFonts w:asciiTheme="minorHAnsi" w:hAnsiTheme="minorHAnsi"/>
              <w:sz w:val="22"/>
            </w:rPr>
          </w:pPr>
          <w:hyperlink w:anchor="_Toc192874890" w:history="1">
            <w:r>
              <w:rPr>
                <w:rStyle w:val="Hyperlink"/>
                <w:bCs/>
              </w:rPr>
              <w:t>7.3.6</w:t>
            </w:r>
            <w:r>
              <w:rPr>
                <w:rFonts w:asciiTheme="minorHAnsi" w:hAnsiTheme="minorHAnsi"/>
                <w:sz w:val="22"/>
              </w:rPr>
              <w:tab/>
            </w:r>
            <w:r>
              <w:rPr>
                <w:rStyle w:val="Hyperlink"/>
              </w:rPr>
              <w:t>Standard Verification Checklists</w:t>
            </w:r>
            <w:r>
              <w:rPr>
                <w:webHidden/>
              </w:rPr>
              <w:tab/>
            </w:r>
            <w:r>
              <w:rPr>
                <w:webHidden/>
              </w:rPr>
              <w:fldChar w:fldCharType="begin"/>
            </w:r>
            <w:r>
              <w:rPr>
                <w:webHidden/>
              </w:rPr>
              <w:instrText xml:space="preserve"> PAGEREF _Toc192874890 \h </w:instrText>
            </w:r>
            <w:r>
              <w:rPr>
                <w:webHidden/>
              </w:rPr>
            </w:r>
            <w:r>
              <w:rPr>
                <w:webHidden/>
              </w:rPr>
              <w:fldChar w:fldCharType="separate"/>
            </w:r>
            <w:r>
              <w:rPr>
                <w:webHidden/>
              </w:rPr>
              <w:t>173</w:t>
            </w:r>
            <w:r>
              <w:rPr>
                <w:webHidden/>
              </w:rPr>
              <w:fldChar w:fldCharType="end"/>
            </w:r>
          </w:hyperlink>
        </w:p>
        <w:p w14:paraId="488D7DB0" w14:textId="67BC0A23" w:rsidR="00274557" w:rsidRDefault="00274557">
          <w:pPr>
            <w:pStyle w:val="TOC3"/>
            <w:rPr>
              <w:rFonts w:asciiTheme="minorHAnsi" w:hAnsiTheme="minorHAnsi"/>
              <w:sz w:val="22"/>
            </w:rPr>
          </w:pPr>
          <w:hyperlink w:anchor="_Toc192874891" w:history="1">
            <w:r>
              <w:rPr>
                <w:rStyle w:val="Hyperlink"/>
                <w:bCs/>
              </w:rPr>
              <w:t>7.3.7</w:t>
            </w:r>
            <w:r>
              <w:rPr>
                <w:rFonts w:asciiTheme="minorHAnsi" w:hAnsiTheme="minorHAnsi"/>
                <w:sz w:val="22"/>
              </w:rPr>
              <w:tab/>
            </w:r>
            <w:r>
              <w:rPr>
                <w:rStyle w:val="Hyperlink"/>
              </w:rPr>
              <w:t>Quality Assurance Reporting</w:t>
            </w:r>
            <w:r>
              <w:rPr>
                <w:webHidden/>
              </w:rPr>
              <w:tab/>
            </w:r>
            <w:r>
              <w:rPr>
                <w:webHidden/>
              </w:rPr>
              <w:fldChar w:fldCharType="begin"/>
            </w:r>
            <w:r>
              <w:rPr>
                <w:webHidden/>
              </w:rPr>
              <w:instrText xml:space="preserve"> PAGEREF _Toc192874891 \h </w:instrText>
            </w:r>
            <w:r>
              <w:rPr>
                <w:webHidden/>
              </w:rPr>
            </w:r>
            <w:r>
              <w:rPr>
                <w:webHidden/>
              </w:rPr>
              <w:fldChar w:fldCharType="separate"/>
            </w:r>
            <w:r>
              <w:rPr>
                <w:webHidden/>
              </w:rPr>
              <w:t>173</w:t>
            </w:r>
            <w:r>
              <w:rPr>
                <w:webHidden/>
              </w:rPr>
              <w:fldChar w:fldCharType="end"/>
            </w:r>
          </w:hyperlink>
        </w:p>
        <w:p w14:paraId="771B918A" w14:textId="03B76C92" w:rsidR="00274557" w:rsidRDefault="00274557">
          <w:pPr>
            <w:pStyle w:val="TOC4"/>
            <w:rPr>
              <w:rFonts w:asciiTheme="minorHAnsi" w:eastAsiaTheme="minorEastAsia" w:hAnsiTheme="minorHAnsi"/>
              <w:noProof/>
              <w:kern w:val="2"/>
              <w:sz w:val="22"/>
              <w14:ligatures w14:val="standardContextual"/>
            </w:rPr>
          </w:pPr>
          <w:hyperlink w:anchor="_Toc192874892" w:history="1">
            <w:r>
              <w:rPr>
                <w:rStyle w:val="Hyperlink"/>
                <w:noProof/>
              </w:rPr>
              <w:t>7.3.7.1</w:t>
            </w:r>
            <w:r>
              <w:rPr>
                <w:rFonts w:asciiTheme="minorHAnsi" w:eastAsiaTheme="minorEastAsia" w:hAnsiTheme="minorHAnsi"/>
                <w:noProof/>
                <w:kern w:val="2"/>
                <w:sz w:val="22"/>
                <w14:ligatures w14:val="standardContextual"/>
              </w:rPr>
              <w:tab/>
            </w:r>
            <w:r>
              <w:rPr>
                <w:rStyle w:val="Hyperlink"/>
                <w:noProof/>
              </w:rPr>
              <w:t>Contract Compliance</w:t>
            </w:r>
            <w:r>
              <w:rPr>
                <w:noProof/>
                <w:webHidden/>
              </w:rPr>
              <w:tab/>
            </w:r>
            <w:r>
              <w:rPr>
                <w:noProof/>
                <w:webHidden/>
              </w:rPr>
              <w:fldChar w:fldCharType="begin"/>
            </w:r>
            <w:r>
              <w:rPr>
                <w:noProof/>
                <w:webHidden/>
              </w:rPr>
              <w:instrText xml:space="preserve"> PAGEREF _Toc192874892 \h </w:instrText>
            </w:r>
            <w:r>
              <w:rPr>
                <w:noProof/>
                <w:webHidden/>
              </w:rPr>
            </w:r>
            <w:r>
              <w:rPr>
                <w:noProof/>
                <w:webHidden/>
              </w:rPr>
              <w:fldChar w:fldCharType="separate"/>
            </w:r>
            <w:r>
              <w:rPr>
                <w:noProof/>
                <w:webHidden/>
              </w:rPr>
              <w:t>173</w:t>
            </w:r>
            <w:r>
              <w:rPr>
                <w:noProof/>
                <w:webHidden/>
              </w:rPr>
              <w:fldChar w:fldCharType="end"/>
            </w:r>
          </w:hyperlink>
        </w:p>
        <w:p w14:paraId="77AB5BB5" w14:textId="028D146A" w:rsidR="00274557" w:rsidRDefault="00274557">
          <w:pPr>
            <w:pStyle w:val="TOC4"/>
            <w:rPr>
              <w:rFonts w:asciiTheme="minorHAnsi" w:eastAsiaTheme="minorEastAsia" w:hAnsiTheme="minorHAnsi"/>
              <w:noProof/>
              <w:kern w:val="2"/>
              <w:sz w:val="22"/>
              <w14:ligatures w14:val="standardContextual"/>
            </w:rPr>
          </w:pPr>
          <w:hyperlink w:anchor="_Toc192874893" w:history="1">
            <w:r>
              <w:rPr>
                <w:rStyle w:val="Hyperlink"/>
                <w:noProof/>
              </w:rPr>
              <w:t>7.3.7.2</w:t>
            </w:r>
            <w:r>
              <w:rPr>
                <w:rFonts w:asciiTheme="minorHAnsi" w:eastAsiaTheme="minorEastAsia" w:hAnsiTheme="minorHAnsi"/>
                <w:noProof/>
                <w:kern w:val="2"/>
                <w:sz w:val="22"/>
                <w14:ligatures w14:val="standardContextual"/>
              </w:rPr>
              <w:tab/>
            </w:r>
            <w:r>
              <w:rPr>
                <w:rStyle w:val="Hyperlink"/>
                <w:noProof/>
              </w:rPr>
              <w:t>Evaluation of Standards</w:t>
            </w:r>
            <w:r>
              <w:rPr>
                <w:noProof/>
                <w:webHidden/>
              </w:rPr>
              <w:tab/>
            </w:r>
            <w:r>
              <w:rPr>
                <w:noProof/>
                <w:webHidden/>
              </w:rPr>
              <w:fldChar w:fldCharType="begin"/>
            </w:r>
            <w:r>
              <w:rPr>
                <w:noProof/>
                <w:webHidden/>
              </w:rPr>
              <w:instrText xml:space="preserve"> PAGEREF _Toc192874893 \h </w:instrText>
            </w:r>
            <w:r>
              <w:rPr>
                <w:noProof/>
                <w:webHidden/>
              </w:rPr>
            </w:r>
            <w:r>
              <w:rPr>
                <w:noProof/>
                <w:webHidden/>
              </w:rPr>
              <w:fldChar w:fldCharType="separate"/>
            </w:r>
            <w:r>
              <w:rPr>
                <w:noProof/>
                <w:webHidden/>
              </w:rPr>
              <w:t>173</w:t>
            </w:r>
            <w:r>
              <w:rPr>
                <w:noProof/>
                <w:webHidden/>
              </w:rPr>
              <w:fldChar w:fldCharType="end"/>
            </w:r>
          </w:hyperlink>
        </w:p>
        <w:p w14:paraId="03EA2345" w14:textId="5359BD37" w:rsidR="00274557" w:rsidRDefault="00274557">
          <w:pPr>
            <w:pStyle w:val="TOC3"/>
            <w:rPr>
              <w:rFonts w:asciiTheme="minorHAnsi" w:hAnsiTheme="minorHAnsi"/>
              <w:sz w:val="22"/>
            </w:rPr>
          </w:pPr>
          <w:hyperlink w:anchor="_Toc192874894" w:history="1">
            <w:r>
              <w:rPr>
                <w:rStyle w:val="Hyperlink"/>
                <w:bCs/>
              </w:rPr>
              <w:t>7.3.8</w:t>
            </w:r>
            <w:r>
              <w:rPr>
                <w:rFonts w:asciiTheme="minorHAnsi" w:hAnsiTheme="minorHAnsi"/>
                <w:sz w:val="22"/>
              </w:rPr>
              <w:tab/>
            </w:r>
            <w:r>
              <w:rPr>
                <w:rStyle w:val="Hyperlink"/>
              </w:rPr>
              <w:t>Continuous Process Improvement</w:t>
            </w:r>
            <w:r>
              <w:rPr>
                <w:webHidden/>
              </w:rPr>
              <w:tab/>
            </w:r>
            <w:r>
              <w:rPr>
                <w:webHidden/>
              </w:rPr>
              <w:fldChar w:fldCharType="begin"/>
            </w:r>
            <w:r>
              <w:rPr>
                <w:webHidden/>
              </w:rPr>
              <w:instrText xml:space="preserve"> PAGEREF _Toc192874894 \h </w:instrText>
            </w:r>
            <w:r>
              <w:rPr>
                <w:webHidden/>
              </w:rPr>
            </w:r>
            <w:r>
              <w:rPr>
                <w:webHidden/>
              </w:rPr>
              <w:fldChar w:fldCharType="separate"/>
            </w:r>
            <w:r>
              <w:rPr>
                <w:webHidden/>
              </w:rPr>
              <w:t>174</w:t>
            </w:r>
            <w:r>
              <w:rPr>
                <w:webHidden/>
              </w:rPr>
              <w:fldChar w:fldCharType="end"/>
            </w:r>
          </w:hyperlink>
        </w:p>
        <w:p w14:paraId="4857D2ED" w14:textId="654D91CF" w:rsidR="00274557" w:rsidRDefault="00274557">
          <w:pPr>
            <w:pStyle w:val="TOC2"/>
            <w:rPr>
              <w:rFonts w:asciiTheme="minorHAnsi" w:eastAsiaTheme="minorEastAsia" w:hAnsiTheme="minorHAnsi"/>
              <w:b w:val="0"/>
              <w:kern w:val="2"/>
              <w:sz w:val="22"/>
              <w:lang w:val="en-US"/>
              <w14:ligatures w14:val="standardContextual"/>
            </w:rPr>
          </w:pPr>
          <w:hyperlink w:anchor="_Toc192874895" w:history="1">
            <w:r>
              <w:rPr>
                <w:rStyle w:val="Hyperlink"/>
              </w:rPr>
              <w:t>7.4</w:t>
            </w:r>
            <w:r>
              <w:rPr>
                <w:rFonts w:asciiTheme="minorHAnsi" w:eastAsiaTheme="minorEastAsia" w:hAnsiTheme="minorHAnsi"/>
                <w:b w:val="0"/>
                <w:kern w:val="2"/>
                <w:sz w:val="22"/>
                <w:lang w:val="en-US"/>
                <w14:ligatures w14:val="standardContextual"/>
              </w:rPr>
              <w:tab/>
            </w:r>
            <w:r>
              <w:rPr>
                <w:rStyle w:val="Hyperlink"/>
              </w:rPr>
              <w:t>Quality Control Plan</w:t>
            </w:r>
            <w:r>
              <w:rPr>
                <w:webHidden/>
              </w:rPr>
              <w:tab/>
            </w:r>
            <w:r>
              <w:rPr>
                <w:webHidden/>
              </w:rPr>
              <w:fldChar w:fldCharType="begin"/>
            </w:r>
            <w:r>
              <w:rPr>
                <w:webHidden/>
              </w:rPr>
              <w:instrText xml:space="preserve"> PAGEREF _Toc192874895 \h </w:instrText>
            </w:r>
            <w:r>
              <w:rPr>
                <w:webHidden/>
              </w:rPr>
            </w:r>
            <w:r>
              <w:rPr>
                <w:webHidden/>
              </w:rPr>
              <w:fldChar w:fldCharType="separate"/>
            </w:r>
            <w:r>
              <w:rPr>
                <w:webHidden/>
              </w:rPr>
              <w:t>174</w:t>
            </w:r>
            <w:r>
              <w:rPr>
                <w:webHidden/>
              </w:rPr>
              <w:fldChar w:fldCharType="end"/>
            </w:r>
          </w:hyperlink>
        </w:p>
        <w:p w14:paraId="6C43A529" w14:textId="1DEBEC15" w:rsidR="00274557" w:rsidRDefault="00274557">
          <w:pPr>
            <w:pStyle w:val="TOC3"/>
            <w:rPr>
              <w:rFonts w:asciiTheme="minorHAnsi" w:hAnsiTheme="minorHAnsi"/>
              <w:sz w:val="22"/>
            </w:rPr>
          </w:pPr>
          <w:hyperlink w:anchor="_Toc192874896" w:history="1">
            <w:r>
              <w:rPr>
                <w:rStyle w:val="Hyperlink"/>
                <w:bCs/>
              </w:rPr>
              <w:t>7.4.1</w:t>
            </w:r>
            <w:r>
              <w:rPr>
                <w:rFonts w:asciiTheme="minorHAnsi" w:hAnsiTheme="minorHAnsi"/>
                <w:sz w:val="22"/>
              </w:rPr>
              <w:tab/>
            </w:r>
            <w:r>
              <w:rPr>
                <w:rStyle w:val="Hyperlink"/>
              </w:rPr>
              <w:t>Transmittal Management</w:t>
            </w:r>
            <w:r>
              <w:rPr>
                <w:webHidden/>
              </w:rPr>
              <w:tab/>
            </w:r>
            <w:r>
              <w:rPr>
                <w:webHidden/>
              </w:rPr>
              <w:fldChar w:fldCharType="begin"/>
            </w:r>
            <w:r>
              <w:rPr>
                <w:webHidden/>
              </w:rPr>
              <w:instrText xml:space="preserve"> PAGEREF _Toc192874896 \h </w:instrText>
            </w:r>
            <w:r>
              <w:rPr>
                <w:webHidden/>
              </w:rPr>
            </w:r>
            <w:r>
              <w:rPr>
                <w:webHidden/>
              </w:rPr>
              <w:fldChar w:fldCharType="separate"/>
            </w:r>
            <w:r>
              <w:rPr>
                <w:webHidden/>
              </w:rPr>
              <w:t>174</w:t>
            </w:r>
            <w:r>
              <w:rPr>
                <w:webHidden/>
              </w:rPr>
              <w:fldChar w:fldCharType="end"/>
            </w:r>
          </w:hyperlink>
        </w:p>
        <w:p w14:paraId="7A2418A4" w14:textId="1ECAD8AB" w:rsidR="00274557" w:rsidRDefault="00274557">
          <w:pPr>
            <w:pStyle w:val="TOC4"/>
            <w:rPr>
              <w:rFonts w:asciiTheme="minorHAnsi" w:eastAsiaTheme="minorEastAsia" w:hAnsiTheme="minorHAnsi"/>
              <w:noProof/>
              <w:kern w:val="2"/>
              <w:sz w:val="22"/>
              <w14:ligatures w14:val="standardContextual"/>
            </w:rPr>
          </w:pPr>
          <w:hyperlink w:anchor="_Toc192874897" w:history="1">
            <w:r>
              <w:rPr>
                <w:rStyle w:val="Hyperlink"/>
                <w:noProof/>
              </w:rPr>
              <w:t>7.4.1.1</w:t>
            </w:r>
            <w:r>
              <w:rPr>
                <w:rFonts w:asciiTheme="minorHAnsi" w:eastAsiaTheme="minorEastAsia" w:hAnsiTheme="minorHAnsi"/>
                <w:noProof/>
                <w:kern w:val="2"/>
                <w:sz w:val="22"/>
                <w14:ligatures w14:val="standardContextual"/>
              </w:rPr>
              <w:tab/>
            </w:r>
            <w:r>
              <w:rPr>
                <w:rStyle w:val="Hyperlink"/>
                <w:noProof/>
              </w:rPr>
              <w:t>Transmittal Process – Inbound Flow Diagram</w:t>
            </w:r>
            <w:r>
              <w:rPr>
                <w:noProof/>
                <w:webHidden/>
              </w:rPr>
              <w:tab/>
            </w:r>
            <w:r>
              <w:rPr>
                <w:noProof/>
                <w:webHidden/>
              </w:rPr>
              <w:fldChar w:fldCharType="begin"/>
            </w:r>
            <w:r>
              <w:rPr>
                <w:noProof/>
                <w:webHidden/>
              </w:rPr>
              <w:instrText xml:space="preserve"> PAGEREF _Toc192874897 \h </w:instrText>
            </w:r>
            <w:r>
              <w:rPr>
                <w:noProof/>
                <w:webHidden/>
              </w:rPr>
            </w:r>
            <w:r>
              <w:rPr>
                <w:noProof/>
                <w:webHidden/>
              </w:rPr>
              <w:fldChar w:fldCharType="separate"/>
            </w:r>
            <w:r>
              <w:rPr>
                <w:noProof/>
                <w:webHidden/>
              </w:rPr>
              <w:t>175</w:t>
            </w:r>
            <w:r>
              <w:rPr>
                <w:noProof/>
                <w:webHidden/>
              </w:rPr>
              <w:fldChar w:fldCharType="end"/>
            </w:r>
          </w:hyperlink>
        </w:p>
        <w:p w14:paraId="55D24A6E" w14:textId="49BCDBCE" w:rsidR="00274557" w:rsidRDefault="00274557">
          <w:pPr>
            <w:pStyle w:val="TOC4"/>
            <w:rPr>
              <w:rFonts w:asciiTheme="minorHAnsi" w:eastAsiaTheme="minorEastAsia" w:hAnsiTheme="minorHAnsi"/>
              <w:noProof/>
              <w:kern w:val="2"/>
              <w:sz w:val="22"/>
              <w14:ligatures w14:val="standardContextual"/>
            </w:rPr>
          </w:pPr>
          <w:hyperlink w:anchor="_Toc192874898" w:history="1">
            <w:r>
              <w:rPr>
                <w:rStyle w:val="Hyperlink"/>
                <w:noProof/>
              </w:rPr>
              <w:t>7.4.1.2</w:t>
            </w:r>
            <w:r>
              <w:rPr>
                <w:rFonts w:asciiTheme="minorHAnsi" w:eastAsiaTheme="minorEastAsia" w:hAnsiTheme="minorHAnsi"/>
                <w:noProof/>
                <w:kern w:val="2"/>
                <w:sz w:val="22"/>
                <w14:ligatures w14:val="standardContextual"/>
              </w:rPr>
              <w:tab/>
            </w:r>
            <w:r>
              <w:rPr>
                <w:rStyle w:val="Hyperlink"/>
                <w:noProof/>
              </w:rPr>
              <w:t>Transmittal Process – Inbound Process Flow Narrative</w:t>
            </w:r>
            <w:r>
              <w:rPr>
                <w:noProof/>
                <w:webHidden/>
              </w:rPr>
              <w:tab/>
            </w:r>
            <w:r>
              <w:rPr>
                <w:noProof/>
                <w:webHidden/>
              </w:rPr>
              <w:fldChar w:fldCharType="begin"/>
            </w:r>
            <w:r>
              <w:rPr>
                <w:noProof/>
                <w:webHidden/>
              </w:rPr>
              <w:instrText xml:space="preserve"> PAGEREF _Toc192874898 \h </w:instrText>
            </w:r>
            <w:r>
              <w:rPr>
                <w:noProof/>
                <w:webHidden/>
              </w:rPr>
            </w:r>
            <w:r>
              <w:rPr>
                <w:noProof/>
                <w:webHidden/>
              </w:rPr>
              <w:fldChar w:fldCharType="separate"/>
            </w:r>
            <w:r>
              <w:rPr>
                <w:noProof/>
                <w:webHidden/>
              </w:rPr>
              <w:t>175</w:t>
            </w:r>
            <w:r>
              <w:rPr>
                <w:noProof/>
                <w:webHidden/>
              </w:rPr>
              <w:fldChar w:fldCharType="end"/>
            </w:r>
          </w:hyperlink>
        </w:p>
        <w:p w14:paraId="7F7E4BBA" w14:textId="290F21CC" w:rsidR="00274557" w:rsidRDefault="00274557">
          <w:pPr>
            <w:pStyle w:val="TOC4"/>
            <w:rPr>
              <w:rFonts w:asciiTheme="minorHAnsi" w:eastAsiaTheme="minorEastAsia" w:hAnsiTheme="minorHAnsi"/>
              <w:noProof/>
              <w:kern w:val="2"/>
              <w:sz w:val="22"/>
              <w14:ligatures w14:val="standardContextual"/>
            </w:rPr>
          </w:pPr>
          <w:hyperlink w:anchor="_Toc192874899" w:history="1">
            <w:r>
              <w:rPr>
                <w:rStyle w:val="Hyperlink"/>
                <w:noProof/>
              </w:rPr>
              <w:t>7.4.1.3</w:t>
            </w:r>
            <w:r>
              <w:rPr>
                <w:rFonts w:asciiTheme="minorHAnsi" w:eastAsiaTheme="minorEastAsia" w:hAnsiTheme="minorHAnsi"/>
                <w:noProof/>
                <w:kern w:val="2"/>
                <w:sz w:val="22"/>
                <w14:ligatures w14:val="standardContextual"/>
              </w:rPr>
              <w:tab/>
            </w:r>
            <w:r>
              <w:rPr>
                <w:rStyle w:val="Hyperlink"/>
                <w:noProof/>
              </w:rPr>
              <w:t>Transmittal Process – Outbound Flow Diagram</w:t>
            </w:r>
            <w:r>
              <w:rPr>
                <w:noProof/>
                <w:webHidden/>
              </w:rPr>
              <w:tab/>
            </w:r>
            <w:r>
              <w:rPr>
                <w:noProof/>
                <w:webHidden/>
              </w:rPr>
              <w:fldChar w:fldCharType="begin"/>
            </w:r>
            <w:r>
              <w:rPr>
                <w:noProof/>
                <w:webHidden/>
              </w:rPr>
              <w:instrText xml:space="preserve"> PAGEREF _Toc192874899 \h </w:instrText>
            </w:r>
            <w:r>
              <w:rPr>
                <w:noProof/>
                <w:webHidden/>
              </w:rPr>
            </w:r>
            <w:r>
              <w:rPr>
                <w:noProof/>
                <w:webHidden/>
              </w:rPr>
              <w:fldChar w:fldCharType="separate"/>
            </w:r>
            <w:r>
              <w:rPr>
                <w:noProof/>
                <w:webHidden/>
              </w:rPr>
              <w:t>177</w:t>
            </w:r>
            <w:r>
              <w:rPr>
                <w:noProof/>
                <w:webHidden/>
              </w:rPr>
              <w:fldChar w:fldCharType="end"/>
            </w:r>
          </w:hyperlink>
        </w:p>
        <w:p w14:paraId="2B2C22BF" w14:textId="71344DF3" w:rsidR="00274557" w:rsidRDefault="00274557">
          <w:pPr>
            <w:pStyle w:val="TOC4"/>
            <w:rPr>
              <w:rFonts w:asciiTheme="minorHAnsi" w:eastAsiaTheme="minorEastAsia" w:hAnsiTheme="minorHAnsi"/>
              <w:noProof/>
              <w:kern w:val="2"/>
              <w:sz w:val="22"/>
              <w14:ligatures w14:val="standardContextual"/>
            </w:rPr>
          </w:pPr>
          <w:hyperlink w:anchor="_Toc192874900" w:history="1">
            <w:r>
              <w:rPr>
                <w:rStyle w:val="Hyperlink"/>
                <w:noProof/>
              </w:rPr>
              <w:t>7.4.1.4</w:t>
            </w:r>
            <w:r>
              <w:rPr>
                <w:rFonts w:asciiTheme="minorHAnsi" w:eastAsiaTheme="minorEastAsia" w:hAnsiTheme="minorHAnsi"/>
                <w:noProof/>
                <w:kern w:val="2"/>
                <w:sz w:val="22"/>
                <w14:ligatures w14:val="standardContextual"/>
              </w:rPr>
              <w:tab/>
            </w:r>
            <w:r>
              <w:rPr>
                <w:rStyle w:val="Hyperlink"/>
                <w:noProof/>
              </w:rPr>
              <w:t>Transmittal Process – Outbound Process Flow Narrative</w:t>
            </w:r>
            <w:r>
              <w:rPr>
                <w:noProof/>
                <w:webHidden/>
              </w:rPr>
              <w:tab/>
            </w:r>
            <w:r>
              <w:rPr>
                <w:noProof/>
                <w:webHidden/>
              </w:rPr>
              <w:fldChar w:fldCharType="begin"/>
            </w:r>
            <w:r>
              <w:rPr>
                <w:noProof/>
                <w:webHidden/>
              </w:rPr>
              <w:instrText xml:space="preserve"> PAGEREF _Toc192874900 \h </w:instrText>
            </w:r>
            <w:r>
              <w:rPr>
                <w:noProof/>
                <w:webHidden/>
              </w:rPr>
            </w:r>
            <w:r>
              <w:rPr>
                <w:noProof/>
                <w:webHidden/>
              </w:rPr>
              <w:fldChar w:fldCharType="separate"/>
            </w:r>
            <w:r>
              <w:rPr>
                <w:noProof/>
                <w:webHidden/>
              </w:rPr>
              <w:t>177</w:t>
            </w:r>
            <w:r>
              <w:rPr>
                <w:noProof/>
                <w:webHidden/>
              </w:rPr>
              <w:fldChar w:fldCharType="end"/>
            </w:r>
          </w:hyperlink>
        </w:p>
        <w:p w14:paraId="573DBCBF" w14:textId="7C1552D1" w:rsidR="00274557" w:rsidRDefault="00274557">
          <w:pPr>
            <w:pStyle w:val="TOC3"/>
            <w:rPr>
              <w:rFonts w:asciiTheme="minorHAnsi" w:hAnsiTheme="minorHAnsi"/>
              <w:sz w:val="22"/>
            </w:rPr>
          </w:pPr>
          <w:hyperlink w:anchor="_Toc192874901" w:history="1">
            <w:r>
              <w:rPr>
                <w:rStyle w:val="Hyperlink"/>
                <w:bCs/>
              </w:rPr>
              <w:t>7.4.2</w:t>
            </w:r>
            <w:r>
              <w:rPr>
                <w:rFonts w:asciiTheme="minorHAnsi" w:hAnsiTheme="minorHAnsi"/>
                <w:sz w:val="22"/>
              </w:rPr>
              <w:tab/>
            </w:r>
            <w:r>
              <w:rPr>
                <w:rStyle w:val="Hyperlink"/>
              </w:rPr>
              <w:t>Components of DED/Deliverable Quality Reviews</w:t>
            </w:r>
            <w:r>
              <w:rPr>
                <w:webHidden/>
              </w:rPr>
              <w:tab/>
            </w:r>
            <w:r>
              <w:rPr>
                <w:webHidden/>
              </w:rPr>
              <w:fldChar w:fldCharType="begin"/>
            </w:r>
            <w:r>
              <w:rPr>
                <w:webHidden/>
              </w:rPr>
              <w:instrText xml:space="preserve"> PAGEREF _Toc192874901 \h </w:instrText>
            </w:r>
            <w:r>
              <w:rPr>
                <w:webHidden/>
              </w:rPr>
            </w:r>
            <w:r>
              <w:rPr>
                <w:webHidden/>
              </w:rPr>
              <w:fldChar w:fldCharType="separate"/>
            </w:r>
            <w:r>
              <w:rPr>
                <w:webHidden/>
              </w:rPr>
              <w:t>178</w:t>
            </w:r>
            <w:r>
              <w:rPr>
                <w:webHidden/>
              </w:rPr>
              <w:fldChar w:fldCharType="end"/>
            </w:r>
          </w:hyperlink>
        </w:p>
        <w:p w14:paraId="767ED089" w14:textId="65199B80" w:rsidR="00274557" w:rsidRDefault="00274557">
          <w:pPr>
            <w:pStyle w:val="TOC3"/>
            <w:rPr>
              <w:rFonts w:asciiTheme="minorHAnsi" w:hAnsiTheme="minorHAnsi"/>
              <w:sz w:val="22"/>
            </w:rPr>
          </w:pPr>
          <w:hyperlink w:anchor="_Toc192874902" w:history="1">
            <w:r>
              <w:rPr>
                <w:rStyle w:val="Hyperlink"/>
                <w:bCs/>
              </w:rPr>
              <w:t>7.4.3</w:t>
            </w:r>
            <w:r>
              <w:rPr>
                <w:rFonts w:asciiTheme="minorHAnsi" w:hAnsiTheme="minorHAnsi"/>
                <w:sz w:val="22"/>
              </w:rPr>
              <w:tab/>
            </w:r>
            <w:r>
              <w:rPr>
                <w:rStyle w:val="Hyperlink"/>
              </w:rPr>
              <w:t>Approval Process</w:t>
            </w:r>
            <w:r>
              <w:rPr>
                <w:webHidden/>
              </w:rPr>
              <w:tab/>
            </w:r>
            <w:r>
              <w:rPr>
                <w:webHidden/>
              </w:rPr>
              <w:fldChar w:fldCharType="begin"/>
            </w:r>
            <w:r>
              <w:rPr>
                <w:webHidden/>
              </w:rPr>
              <w:instrText xml:space="preserve"> PAGEREF _Toc192874902 \h </w:instrText>
            </w:r>
            <w:r>
              <w:rPr>
                <w:webHidden/>
              </w:rPr>
            </w:r>
            <w:r>
              <w:rPr>
                <w:webHidden/>
              </w:rPr>
              <w:fldChar w:fldCharType="separate"/>
            </w:r>
            <w:r>
              <w:rPr>
                <w:webHidden/>
              </w:rPr>
              <w:t>179</w:t>
            </w:r>
            <w:r>
              <w:rPr>
                <w:webHidden/>
              </w:rPr>
              <w:fldChar w:fldCharType="end"/>
            </w:r>
          </w:hyperlink>
        </w:p>
        <w:p w14:paraId="7A132036" w14:textId="04CE621A" w:rsidR="00274557" w:rsidRDefault="00274557">
          <w:pPr>
            <w:pStyle w:val="TOC4"/>
            <w:rPr>
              <w:rFonts w:asciiTheme="minorHAnsi" w:eastAsiaTheme="minorEastAsia" w:hAnsiTheme="minorHAnsi"/>
              <w:noProof/>
              <w:kern w:val="2"/>
              <w:sz w:val="22"/>
              <w14:ligatures w14:val="standardContextual"/>
            </w:rPr>
          </w:pPr>
          <w:hyperlink w:anchor="_Toc192874903" w:history="1">
            <w:r>
              <w:rPr>
                <w:rStyle w:val="Hyperlink"/>
                <w:noProof/>
              </w:rPr>
              <w:t>7.4.3.1</w:t>
            </w:r>
            <w:r>
              <w:rPr>
                <w:rFonts w:asciiTheme="minorHAnsi" w:eastAsiaTheme="minorEastAsia" w:hAnsiTheme="minorHAnsi"/>
                <w:noProof/>
                <w:kern w:val="2"/>
                <w:sz w:val="22"/>
                <w14:ligatures w14:val="standardContextual"/>
              </w:rPr>
              <w:tab/>
            </w:r>
            <w:r>
              <w:rPr>
                <w:rStyle w:val="Hyperlink"/>
                <w:noProof/>
              </w:rPr>
              <w:t>Approved</w:t>
            </w:r>
            <w:r>
              <w:rPr>
                <w:noProof/>
                <w:webHidden/>
              </w:rPr>
              <w:tab/>
            </w:r>
            <w:r>
              <w:rPr>
                <w:noProof/>
                <w:webHidden/>
              </w:rPr>
              <w:fldChar w:fldCharType="begin"/>
            </w:r>
            <w:r>
              <w:rPr>
                <w:noProof/>
                <w:webHidden/>
              </w:rPr>
              <w:instrText xml:space="preserve"> PAGEREF _Toc192874903 \h </w:instrText>
            </w:r>
            <w:r>
              <w:rPr>
                <w:noProof/>
                <w:webHidden/>
              </w:rPr>
            </w:r>
            <w:r>
              <w:rPr>
                <w:noProof/>
                <w:webHidden/>
              </w:rPr>
              <w:fldChar w:fldCharType="separate"/>
            </w:r>
            <w:r>
              <w:rPr>
                <w:noProof/>
                <w:webHidden/>
              </w:rPr>
              <w:t>179</w:t>
            </w:r>
            <w:r>
              <w:rPr>
                <w:noProof/>
                <w:webHidden/>
              </w:rPr>
              <w:fldChar w:fldCharType="end"/>
            </w:r>
          </w:hyperlink>
        </w:p>
        <w:p w14:paraId="4AC7AEFA" w14:textId="30F739BD" w:rsidR="00274557" w:rsidRDefault="00274557">
          <w:pPr>
            <w:pStyle w:val="TOC4"/>
            <w:rPr>
              <w:rFonts w:asciiTheme="minorHAnsi" w:eastAsiaTheme="minorEastAsia" w:hAnsiTheme="minorHAnsi"/>
              <w:noProof/>
              <w:kern w:val="2"/>
              <w:sz w:val="22"/>
              <w14:ligatures w14:val="standardContextual"/>
            </w:rPr>
          </w:pPr>
          <w:hyperlink w:anchor="_Toc192874904" w:history="1">
            <w:r>
              <w:rPr>
                <w:rStyle w:val="Hyperlink"/>
                <w:noProof/>
              </w:rPr>
              <w:t>7.4.3.2</w:t>
            </w:r>
            <w:r>
              <w:rPr>
                <w:rFonts w:asciiTheme="minorHAnsi" w:eastAsiaTheme="minorEastAsia" w:hAnsiTheme="minorHAnsi"/>
                <w:noProof/>
                <w:kern w:val="2"/>
                <w:sz w:val="22"/>
                <w14:ligatures w14:val="standardContextual"/>
              </w:rPr>
              <w:tab/>
            </w:r>
            <w:r>
              <w:rPr>
                <w:rStyle w:val="Hyperlink"/>
                <w:noProof/>
              </w:rPr>
              <w:t>Approved with Comments</w:t>
            </w:r>
            <w:r>
              <w:rPr>
                <w:noProof/>
                <w:webHidden/>
              </w:rPr>
              <w:tab/>
            </w:r>
            <w:r>
              <w:rPr>
                <w:noProof/>
                <w:webHidden/>
              </w:rPr>
              <w:fldChar w:fldCharType="begin"/>
            </w:r>
            <w:r>
              <w:rPr>
                <w:noProof/>
                <w:webHidden/>
              </w:rPr>
              <w:instrText xml:space="preserve"> PAGEREF _Toc192874904 \h </w:instrText>
            </w:r>
            <w:r>
              <w:rPr>
                <w:noProof/>
                <w:webHidden/>
              </w:rPr>
            </w:r>
            <w:r>
              <w:rPr>
                <w:noProof/>
                <w:webHidden/>
              </w:rPr>
              <w:fldChar w:fldCharType="separate"/>
            </w:r>
            <w:r>
              <w:rPr>
                <w:noProof/>
                <w:webHidden/>
              </w:rPr>
              <w:t>179</w:t>
            </w:r>
            <w:r>
              <w:rPr>
                <w:noProof/>
                <w:webHidden/>
              </w:rPr>
              <w:fldChar w:fldCharType="end"/>
            </w:r>
          </w:hyperlink>
        </w:p>
        <w:p w14:paraId="6990944B" w14:textId="41D43091" w:rsidR="00274557" w:rsidRDefault="00274557">
          <w:pPr>
            <w:pStyle w:val="TOC4"/>
            <w:rPr>
              <w:rFonts w:asciiTheme="minorHAnsi" w:eastAsiaTheme="minorEastAsia" w:hAnsiTheme="minorHAnsi"/>
              <w:noProof/>
              <w:kern w:val="2"/>
              <w:sz w:val="22"/>
              <w14:ligatures w14:val="standardContextual"/>
            </w:rPr>
          </w:pPr>
          <w:hyperlink w:anchor="_Toc192874905" w:history="1">
            <w:r>
              <w:rPr>
                <w:rStyle w:val="Hyperlink"/>
                <w:noProof/>
              </w:rPr>
              <w:t>7.4.3.3</w:t>
            </w:r>
            <w:r>
              <w:rPr>
                <w:rFonts w:asciiTheme="minorHAnsi" w:eastAsiaTheme="minorEastAsia" w:hAnsiTheme="minorHAnsi"/>
                <w:noProof/>
                <w:kern w:val="2"/>
                <w:sz w:val="22"/>
                <w14:ligatures w14:val="standardContextual"/>
              </w:rPr>
              <w:tab/>
            </w:r>
            <w:r>
              <w:rPr>
                <w:rStyle w:val="Hyperlink"/>
                <w:noProof/>
              </w:rPr>
              <w:t>Rejected</w:t>
            </w:r>
            <w:r>
              <w:rPr>
                <w:noProof/>
                <w:webHidden/>
              </w:rPr>
              <w:tab/>
            </w:r>
            <w:r>
              <w:rPr>
                <w:noProof/>
                <w:webHidden/>
              </w:rPr>
              <w:fldChar w:fldCharType="begin"/>
            </w:r>
            <w:r>
              <w:rPr>
                <w:noProof/>
                <w:webHidden/>
              </w:rPr>
              <w:instrText xml:space="preserve"> PAGEREF _Toc192874905 \h </w:instrText>
            </w:r>
            <w:r>
              <w:rPr>
                <w:noProof/>
                <w:webHidden/>
              </w:rPr>
            </w:r>
            <w:r>
              <w:rPr>
                <w:noProof/>
                <w:webHidden/>
              </w:rPr>
              <w:fldChar w:fldCharType="separate"/>
            </w:r>
            <w:r>
              <w:rPr>
                <w:noProof/>
                <w:webHidden/>
              </w:rPr>
              <w:t>179</w:t>
            </w:r>
            <w:r>
              <w:rPr>
                <w:noProof/>
                <w:webHidden/>
              </w:rPr>
              <w:fldChar w:fldCharType="end"/>
            </w:r>
          </w:hyperlink>
        </w:p>
        <w:p w14:paraId="6A95FB87" w14:textId="2564367A" w:rsidR="00274557" w:rsidRDefault="00274557">
          <w:pPr>
            <w:pStyle w:val="TOC3"/>
            <w:rPr>
              <w:rFonts w:asciiTheme="minorHAnsi" w:hAnsiTheme="minorHAnsi"/>
              <w:sz w:val="22"/>
            </w:rPr>
          </w:pPr>
          <w:hyperlink w:anchor="_Toc192874906" w:history="1">
            <w:r>
              <w:rPr>
                <w:rStyle w:val="Hyperlink"/>
                <w:bCs/>
              </w:rPr>
              <w:t>7.4.4</w:t>
            </w:r>
            <w:r>
              <w:rPr>
                <w:rFonts w:asciiTheme="minorHAnsi" w:hAnsiTheme="minorHAnsi"/>
                <w:sz w:val="22"/>
              </w:rPr>
              <w:tab/>
            </w:r>
            <w:r>
              <w:rPr>
                <w:rStyle w:val="Hyperlink"/>
              </w:rPr>
              <w:t>Quality Control Tools</w:t>
            </w:r>
            <w:r>
              <w:rPr>
                <w:webHidden/>
              </w:rPr>
              <w:tab/>
            </w:r>
            <w:r>
              <w:rPr>
                <w:webHidden/>
              </w:rPr>
              <w:fldChar w:fldCharType="begin"/>
            </w:r>
            <w:r>
              <w:rPr>
                <w:webHidden/>
              </w:rPr>
              <w:instrText xml:space="preserve"> PAGEREF _Toc192874906 \h </w:instrText>
            </w:r>
            <w:r>
              <w:rPr>
                <w:webHidden/>
              </w:rPr>
            </w:r>
            <w:r>
              <w:rPr>
                <w:webHidden/>
              </w:rPr>
              <w:fldChar w:fldCharType="separate"/>
            </w:r>
            <w:r>
              <w:rPr>
                <w:webHidden/>
              </w:rPr>
              <w:t>179</w:t>
            </w:r>
            <w:r>
              <w:rPr>
                <w:webHidden/>
              </w:rPr>
              <w:fldChar w:fldCharType="end"/>
            </w:r>
          </w:hyperlink>
        </w:p>
        <w:p w14:paraId="16DF54AB" w14:textId="1E6D76D8" w:rsidR="00274557" w:rsidRDefault="00274557">
          <w:pPr>
            <w:pStyle w:val="TOC2"/>
            <w:rPr>
              <w:rFonts w:asciiTheme="minorHAnsi" w:eastAsiaTheme="minorEastAsia" w:hAnsiTheme="minorHAnsi"/>
              <w:b w:val="0"/>
              <w:kern w:val="2"/>
              <w:sz w:val="22"/>
              <w:lang w:val="en-US"/>
              <w14:ligatures w14:val="standardContextual"/>
            </w:rPr>
          </w:pPr>
          <w:hyperlink w:anchor="_Toc192874907" w:history="1">
            <w:r>
              <w:rPr>
                <w:rStyle w:val="Hyperlink"/>
              </w:rPr>
              <w:t>7.5</w:t>
            </w:r>
            <w:r>
              <w:rPr>
                <w:rFonts w:asciiTheme="minorHAnsi" w:eastAsiaTheme="minorEastAsia" w:hAnsiTheme="minorHAnsi"/>
                <w:b w:val="0"/>
                <w:kern w:val="2"/>
                <w:sz w:val="22"/>
                <w:lang w:val="en-US"/>
                <w14:ligatures w14:val="standardContextual"/>
              </w:rPr>
              <w:tab/>
            </w:r>
            <w:r>
              <w:rPr>
                <w:rStyle w:val="Hyperlink"/>
              </w:rPr>
              <w:t>Quality Support Plan</w:t>
            </w:r>
            <w:r>
              <w:rPr>
                <w:webHidden/>
              </w:rPr>
              <w:tab/>
            </w:r>
            <w:r>
              <w:rPr>
                <w:webHidden/>
              </w:rPr>
              <w:fldChar w:fldCharType="begin"/>
            </w:r>
            <w:r>
              <w:rPr>
                <w:webHidden/>
              </w:rPr>
              <w:instrText xml:space="preserve"> PAGEREF _Toc192874907 \h </w:instrText>
            </w:r>
            <w:r>
              <w:rPr>
                <w:webHidden/>
              </w:rPr>
            </w:r>
            <w:r>
              <w:rPr>
                <w:webHidden/>
              </w:rPr>
              <w:fldChar w:fldCharType="separate"/>
            </w:r>
            <w:r>
              <w:rPr>
                <w:webHidden/>
              </w:rPr>
              <w:t>180</w:t>
            </w:r>
            <w:r>
              <w:rPr>
                <w:webHidden/>
              </w:rPr>
              <w:fldChar w:fldCharType="end"/>
            </w:r>
          </w:hyperlink>
        </w:p>
        <w:p w14:paraId="10BFE9CF" w14:textId="67AB06D5" w:rsidR="00274557" w:rsidRDefault="00274557">
          <w:pPr>
            <w:pStyle w:val="TOC3"/>
            <w:rPr>
              <w:rFonts w:asciiTheme="minorHAnsi" w:hAnsiTheme="minorHAnsi"/>
              <w:sz w:val="22"/>
            </w:rPr>
          </w:pPr>
          <w:hyperlink w:anchor="_Toc192874908" w:history="1">
            <w:r>
              <w:rPr>
                <w:rStyle w:val="Hyperlink"/>
                <w:bCs/>
              </w:rPr>
              <w:t>7.5.1</w:t>
            </w:r>
            <w:r>
              <w:rPr>
                <w:rFonts w:asciiTheme="minorHAnsi" w:hAnsiTheme="minorHAnsi"/>
                <w:sz w:val="22"/>
              </w:rPr>
              <w:tab/>
            </w:r>
            <w:r>
              <w:rPr>
                <w:rStyle w:val="Hyperlink"/>
              </w:rPr>
              <w:t>Engagement Review Program</w:t>
            </w:r>
            <w:r>
              <w:rPr>
                <w:webHidden/>
              </w:rPr>
              <w:tab/>
            </w:r>
            <w:r>
              <w:rPr>
                <w:webHidden/>
              </w:rPr>
              <w:fldChar w:fldCharType="begin"/>
            </w:r>
            <w:r>
              <w:rPr>
                <w:webHidden/>
              </w:rPr>
              <w:instrText xml:space="preserve"> PAGEREF _Toc192874908 \h </w:instrText>
            </w:r>
            <w:r>
              <w:rPr>
                <w:webHidden/>
              </w:rPr>
            </w:r>
            <w:r>
              <w:rPr>
                <w:webHidden/>
              </w:rPr>
              <w:fldChar w:fldCharType="separate"/>
            </w:r>
            <w:r>
              <w:rPr>
                <w:webHidden/>
              </w:rPr>
              <w:t>180</w:t>
            </w:r>
            <w:r>
              <w:rPr>
                <w:webHidden/>
              </w:rPr>
              <w:fldChar w:fldCharType="end"/>
            </w:r>
          </w:hyperlink>
        </w:p>
        <w:p w14:paraId="2D795AD4" w14:textId="6D29E763" w:rsidR="00274557" w:rsidRDefault="00274557">
          <w:pPr>
            <w:pStyle w:val="TOC3"/>
            <w:rPr>
              <w:rFonts w:asciiTheme="minorHAnsi" w:hAnsiTheme="minorHAnsi"/>
              <w:sz w:val="22"/>
            </w:rPr>
          </w:pPr>
          <w:hyperlink w:anchor="_Toc192874909" w:history="1">
            <w:r>
              <w:rPr>
                <w:rStyle w:val="Hyperlink"/>
                <w:bCs/>
              </w:rPr>
              <w:t>7.5.2</w:t>
            </w:r>
            <w:r>
              <w:rPr>
                <w:rFonts w:asciiTheme="minorHAnsi" w:hAnsiTheme="minorHAnsi"/>
                <w:sz w:val="22"/>
              </w:rPr>
              <w:tab/>
            </w:r>
            <w:r>
              <w:rPr>
                <w:rStyle w:val="Hyperlink"/>
              </w:rPr>
              <w:t>Delivery Excellence Program</w:t>
            </w:r>
            <w:r>
              <w:rPr>
                <w:webHidden/>
              </w:rPr>
              <w:tab/>
            </w:r>
            <w:r>
              <w:rPr>
                <w:webHidden/>
              </w:rPr>
              <w:fldChar w:fldCharType="begin"/>
            </w:r>
            <w:r>
              <w:rPr>
                <w:webHidden/>
              </w:rPr>
              <w:instrText xml:space="preserve"> PAGEREF _Toc192874909 \h </w:instrText>
            </w:r>
            <w:r>
              <w:rPr>
                <w:webHidden/>
              </w:rPr>
            </w:r>
            <w:r>
              <w:rPr>
                <w:webHidden/>
              </w:rPr>
              <w:fldChar w:fldCharType="separate"/>
            </w:r>
            <w:r>
              <w:rPr>
                <w:webHidden/>
              </w:rPr>
              <w:t>181</w:t>
            </w:r>
            <w:r>
              <w:rPr>
                <w:webHidden/>
              </w:rPr>
              <w:fldChar w:fldCharType="end"/>
            </w:r>
          </w:hyperlink>
        </w:p>
        <w:p w14:paraId="239E4C70" w14:textId="0119B30D" w:rsidR="00274557" w:rsidRDefault="00274557">
          <w:pPr>
            <w:pStyle w:val="TOC3"/>
            <w:rPr>
              <w:rFonts w:asciiTheme="minorHAnsi" w:hAnsiTheme="minorHAnsi"/>
              <w:sz w:val="22"/>
            </w:rPr>
          </w:pPr>
          <w:hyperlink w:anchor="_Toc192874910" w:history="1">
            <w:r>
              <w:rPr>
                <w:rStyle w:val="Hyperlink"/>
                <w:bCs/>
              </w:rPr>
              <w:t>7.5.3</w:t>
            </w:r>
            <w:r>
              <w:rPr>
                <w:rFonts w:asciiTheme="minorHAnsi" w:hAnsiTheme="minorHAnsi"/>
                <w:sz w:val="22"/>
              </w:rPr>
              <w:tab/>
            </w:r>
            <w:r>
              <w:rPr>
                <w:rStyle w:val="Hyperlink"/>
              </w:rPr>
              <w:t>Guest Star Program</w:t>
            </w:r>
            <w:r>
              <w:rPr>
                <w:webHidden/>
              </w:rPr>
              <w:tab/>
            </w:r>
            <w:r>
              <w:rPr>
                <w:webHidden/>
              </w:rPr>
              <w:fldChar w:fldCharType="begin"/>
            </w:r>
            <w:r>
              <w:rPr>
                <w:webHidden/>
              </w:rPr>
              <w:instrText xml:space="preserve"> PAGEREF _Toc192874910 \h </w:instrText>
            </w:r>
            <w:r>
              <w:rPr>
                <w:webHidden/>
              </w:rPr>
            </w:r>
            <w:r>
              <w:rPr>
                <w:webHidden/>
              </w:rPr>
              <w:fldChar w:fldCharType="separate"/>
            </w:r>
            <w:r>
              <w:rPr>
                <w:webHidden/>
              </w:rPr>
              <w:t>181</w:t>
            </w:r>
            <w:r>
              <w:rPr>
                <w:webHidden/>
              </w:rPr>
              <w:fldChar w:fldCharType="end"/>
            </w:r>
          </w:hyperlink>
        </w:p>
        <w:p w14:paraId="0AE71ADD" w14:textId="56F6263E" w:rsidR="00274557" w:rsidRDefault="00274557">
          <w:pPr>
            <w:pStyle w:val="TOC3"/>
            <w:rPr>
              <w:rFonts w:asciiTheme="minorHAnsi" w:hAnsiTheme="minorHAnsi"/>
              <w:sz w:val="22"/>
            </w:rPr>
          </w:pPr>
          <w:hyperlink w:anchor="_Toc192874911" w:history="1">
            <w:r>
              <w:rPr>
                <w:rStyle w:val="Hyperlink"/>
                <w:bCs/>
              </w:rPr>
              <w:t>7.5.4</w:t>
            </w:r>
            <w:r>
              <w:rPr>
                <w:rFonts w:asciiTheme="minorHAnsi" w:hAnsiTheme="minorHAnsi"/>
                <w:sz w:val="22"/>
              </w:rPr>
              <w:tab/>
            </w:r>
            <w:r>
              <w:rPr>
                <w:rStyle w:val="Hyperlink"/>
              </w:rPr>
              <w:t>External Training and Tools Support</w:t>
            </w:r>
            <w:r>
              <w:rPr>
                <w:webHidden/>
              </w:rPr>
              <w:tab/>
            </w:r>
            <w:r>
              <w:rPr>
                <w:webHidden/>
              </w:rPr>
              <w:fldChar w:fldCharType="begin"/>
            </w:r>
            <w:r>
              <w:rPr>
                <w:webHidden/>
              </w:rPr>
              <w:instrText xml:space="preserve"> PAGEREF _Toc192874911 \h </w:instrText>
            </w:r>
            <w:r>
              <w:rPr>
                <w:webHidden/>
              </w:rPr>
            </w:r>
            <w:r>
              <w:rPr>
                <w:webHidden/>
              </w:rPr>
              <w:fldChar w:fldCharType="separate"/>
            </w:r>
            <w:r>
              <w:rPr>
                <w:webHidden/>
              </w:rPr>
              <w:t>182</w:t>
            </w:r>
            <w:r>
              <w:rPr>
                <w:webHidden/>
              </w:rPr>
              <w:fldChar w:fldCharType="end"/>
            </w:r>
          </w:hyperlink>
        </w:p>
        <w:p w14:paraId="5EFE5046" w14:textId="70407F11" w:rsidR="00274557" w:rsidRDefault="00274557">
          <w:pPr>
            <w:pStyle w:val="TOC2"/>
            <w:rPr>
              <w:rFonts w:asciiTheme="minorHAnsi" w:eastAsiaTheme="minorEastAsia" w:hAnsiTheme="minorHAnsi"/>
              <w:b w:val="0"/>
              <w:kern w:val="2"/>
              <w:sz w:val="22"/>
              <w:lang w:val="en-US"/>
              <w14:ligatures w14:val="standardContextual"/>
            </w:rPr>
          </w:pPr>
          <w:hyperlink w:anchor="_Toc192874912" w:history="1">
            <w:r>
              <w:rPr>
                <w:rStyle w:val="Hyperlink"/>
              </w:rPr>
              <w:t>7.6</w:t>
            </w:r>
            <w:r>
              <w:rPr>
                <w:rFonts w:asciiTheme="minorHAnsi" w:eastAsiaTheme="minorEastAsia" w:hAnsiTheme="minorHAnsi"/>
                <w:b w:val="0"/>
                <w:kern w:val="2"/>
                <w:sz w:val="22"/>
                <w:lang w:val="en-US"/>
                <w14:ligatures w14:val="standardContextual"/>
              </w:rPr>
              <w:tab/>
            </w:r>
            <w:r>
              <w:rPr>
                <w:rStyle w:val="Hyperlink"/>
              </w:rPr>
              <w:t>DED Checklist</w:t>
            </w:r>
            <w:r>
              <w:rPr>
                <w:webHidden/>
              </w:rPr>
              <w:tab/>
            </w:r>
            <w:r>
              <w:rPr>
                <w:webHidden/>
              </w:rPr>
              <w:fldChar w:fldCharType="begin"/>
            </w:r>
            <w:r>
              <w:rPr>
                <w:webHidden/>
              </w:rPr>
              <w:instrText xml:space="preserve"> PAGEREF _Toc192874912 \h </w:instrText>
            </w:r>
            <w:r>
              <w:rPr>
                <w:webHidden/>
              </w:rPr>
            </w:r>
            <w:r>
              <w:rPr>
                <w:webHidden/>
              </w:rPr>
              <w:fldChar w:fldCharType="separate"/>
            </w:r>
            <w:r>
              <w:rPr>
                <w:webHidden/>
              </w:rPr>
              <w:t>182</w:t>
            </w:r>
            <w:r>
              <w:rPr>
                <w:webHidden/>
              </w:rPr>
              <w:fldChar w:fldCharType="end"/>
            </w:r>
          </w:hyperlink>
        </w:p>
        <w:p w14:paraId="5D5A6BEA" w14:textId="15E0ABF7" w:rsidR="00274557" w:rsidRDefault="00274557">
          <w:pPr>
            <w:pStyle w:val="TOC2"/>
            <w:rPr>
              <w:rFonts w:asciiTheme="minorHAnsi" w:eastAsiaTheme="minorEastAsia" w:hAnsiTheme="minorHAnsi"/>
              <w:b w:val="0"/>
              <w:kern w:val="2"/>
              <w:sz w:val="22"/>
              <w:lang w:val="en-US"/>
              <w14:ligatures w14:val="standardContextual"/>
            </w:rPr>
          </w:pPr>
          <w:hyperlink w:anchor="_Toc192874913" w:history="1">
            <w:r>
              <w:rPr>
                <w:rStyle w:val="Hyperlink"/>
              </w:rPr>
              <w:t>7.7</w:t>
            </w:r>
            <w:r>
              <w:rPr>
                <w:rFonts w:asciiTheme="minorHAnsi" w:eastAsiaTheme="minorEastAsia" w:hAnsiTheme="minorHAnsi"/>
                <w:b w:val="0"/>
                <w:kern w:val="2"/>
                <w:sz w:val="22"/>
                <w:lang w:val="en-US"/>
                <w14:ligatures w14:val="standardContextual"/>
              </w:rPr>
              <w:tab/>
            </w:r>
            <w:r>
              <w:rPr>
                <w:rStyle w:val="Hyperlink"/>
              </w:rPr>
              <w:t>Deliverable Quality Checklist</w:t>
            </w:r>
            <w:r>
              <w:rPr>
                <w:webHidden/>
              </w:rPr>
              <w:tab/>
            </w:r>
            <w:r>
              <w:rPr>
                <w:webHidden/>
              </w:rPr>
              <w:fldChar w:fldCharType="begin"/>
            </w:r>
            <w:r>
              <w:rPr>
                <w:webHidden/>
              </w:rPr>
              <w:instrText xml:space="preserve"> PAGEREF _Toc192874913 \h </w:instrText>
            </w:r>
            <w:r>
              <w:rPr>
                <w:webHidden/>
              </w:rPr>
            </w:r>
            <w:r>
              <w:rPr>
                <w:webHidden/>
              </w:rPr>
              <w:fldChar w:fldCharType="separate"/>
            </w:r>
            <w:r>
              <w:rPr>
                <w:webHidden/>
              </w:rPr>
              <w:t>183</w:t>
            </w:r>
            <w:r>
              <w:rPr>
                <w:webHidden/>
              </w:rPr>
              <w:fldChar w:fldCharType="end"/>
            </w:r>
          </w:hyperlink>
        </w:p>
        <w:p w14:paraId="70EACBB8" w14:textId="1AFB03DB" w:rsidR="00274557" w:rsidRDefault="00274557">
          <w:pPr>
            <w:pStyle w:val="TOC2"/>
            <w:rPr>
              <w:rFonts w:asciiTheme="minorHAnsi" w:eastAsiaTheme="minorEastAsia" w:hAnsiTheme="minorHAnsi"/>
              <w:b w:val="0"/>
              <w:kern w:val="2"/>
              <w:sz w:val="22"/>
              <w:lang w:val="en-US"/>
              <w14:ligatures w14:val="standardContextual"/>
            </w:rPr>
          </w:pPr>
          <w:hyperlink w:anchor="_Toc192874914" w:history="1">
            <w:r>
              <w:rPr>
                <w:rStyle w:val="Hyperlink"/>
              </w:rPr>
              <w:t>7.8</w:t>
            </w:r>
            <w:r>
              <w:rPr>
                <w:rFonts w:asciiTheme="minorHAnsi" w:eastAsiaTheme="minorEastAsia" w:hAnsiTheme="minorHAnsi"/>
                <w:b w:val="0"/>
                <w:kern w:val="2"/>
                <w:sz w:val="22"/>
                <w:lang w:val="en-US"/>
                <w14:ligatures w14:val="standardContextual"/>
              </w:rPr>
              <w:tab/>
            </w:r>
            <w:r>
              <w:rPr>
                <w:rStyle w:val="Hyperlink"/>
              </w:rPr>
              <w:t>References</w:t>
            </w:r>
            <w:r>
              <w:rPr>
                <w:webHidden/>
              </w:rPr>
              <w:tab/>
            </w:r>
            <w:r>
              <w:rPr>
                <w:webHidden/>
              </w:rPr>
              <w:fldChar w:fldCharType="begin"/>
            </w:r>
            <w:r>
              <w:rPr>
                <w:webHidden/>
              </w:rPr>
              <w:instrText xml:space="preserve"> PAGEREF _Toc192874914 \h </w:instrText>
            </w:r>
            <w:r>
              <w:rPr>
                <w:webHidden/>
              </w:rPr>
            </w:r>
            <w:r>
              <w:rPr>
                <w:webHidden/>
              </w:rPr>
              <w:fldChar w:fldCharType="separate"/>
            </w:r>
            <w:r>
              <w:rPr>
                <w:webHidden/>
              </w:rPr>
              <w:t>183</w:t>
            </w:r>
            <w:r>
              <w:rPr>
                <w:webHidden/>
              </w:rPr>
              <w:fldChar w:fldCharType="end"/>
            </w:r>
          </w:hyperlink>
        </w:p>
        <w:p w14:paraId="7A963844" w14:textId="7DF38FB0" w:rsidR="00274557" w:rsidRDefault="00274557">
          <w:pPr>
            <w:pStyle w:val="TOC3"/>
            <w:rPr>
              <w:rFonts w:asciiTheme="minorHAnsi" w:hAnsiTheme="minorHAnsi"/>
              <w:sz w:val="22"/>
            </w:rPr>
          </w:pPr>
          <w:hyperlink w:anchor="_Toc192874915" w:history="1">
            <w:r>
              <w:rPr>
                <w:rStyle w:val="Hyperlink"/>
                <w:b/>
                <w:bCs/>
              </w:rPr>
              <w:t>7.8.1</w:t>
            </w:r>
            <w:r>
              <w:rPr>
                <w:rFonts w:asciiTheme="minorHAnsi" w:hAnsiTheme="minorHAnsi"/>
                <w:sz w:val="22"/>
              </w:rPr>
              <w:tab/>
            </w:r>
            <w:r>
              <w:rPr>
                <w:rStyle w:val="Hyperlink"/>
                <w:rFonts w:eastAsiaTheme="majorEastAsia" w:cstheme="majorBidi"/>
                <w:b/>
              </w:rPr>
              <w:t>SDLC Methodology</w:t>
            </w:r>
            <w:r>
              <w:rPr>
                <w:webHidden/>
              </w:rPr>
              <w:tab/>
            </w:r>
            <w:r>
              <w:rPr>
                <w:webHidden/>
              </w:rPr>
              <w:fldChar w:fldCharType="begin"/>
            </w:r>
            <w:r>
              <w:rPr>
                <w:webHidden/>
              </w:rPr>
              <w:instrText xml:space="preserve"> PAGEREF _Toc192874915 \h </w:instrText>
            </w:r>
            <w:r>
              <w:rPr>
                <w:webHidden/>
              </w:rPr>
            </w:r>
            <w:r>
              <w:rPr>
                <w:webHidden/>
              </w:rPr>
              <w:fldChar w:fldCharType="separate"/>
            </w:r>
            <w:r>
              <w:rPr>
                <w:webHidden/>
              </w:rPr>
              <w:t>183</w:t>
            </w:r>
            <w:r>
              <w:rPr>
                <w:webHidden/>
              </w:rPr>
              <w:fldChar w:fldCharType="end"/>
            </w:r>
          </w:hyperlink>
        </w:p>
        <w:p w14:paraId="6FF99497" w14:textId="4EB9DA9B" w:rsidR="00274557" w:rsidRDefault="00274557">
          <w:pPr>
            <w:pStyle w:val="TOC3"/>
            <w:rPr>
              <w:rFonts w:asciiTheme="minorHAnsi" w:hAnsiTheme="minorHAnsi"/>
              <w:sz w:val="22"/>
            </w:rPr>
          </w:pPr>
          <w:hyperlink w:anchor="_Toc192874916" w:history="1">
            <w:r>
              <w:rPr>
                <w:rStyle w:val="Hyperlink"/>
                <w:b/>
                <w:bCs/>
              </w:rPr>
              <w:t>7.8.2</w:t>
            </w:r>
            <w:r>
              <w:rPr>
                <w:rFonts w:asciiTheme="minorHAnsi" w:hAnsiTheme="minorHAnsi"/>
                <w:sz w:val="22"/>
              </w:rPr>
              <w:tab/>
            </w:r>
            <w:r>
              <w:rPr>
                <w:rStyle w:val="Hyperlink"/>
                <w:rFonts w:eastAsiaTheme="majorEastAsia" w:cstheme="majorBidi"/>
                <w:b/>
              </w:rPr>
              <w:t>Deliverable Management Plan</w:t>
            </w:r>
            <w:r>
              <w:rPr>
                <w:webHidden/>
              </w:rPr>
              <w:tab/>
            </w:r>
            <w:r>
              <w:rPr>
                <w:webHidden/>
              </w:rPr>
              <w:fldChar w:fldCharType="begin"/>
            </w:r>
            <w:r>
              <w:rPr>
                <w:webHidden/>
              </w:rPr>
              <w:instrText xml:space="preserve"> PAGEREF _Toc192874916 \h </w:instrText>
            </w:r>
            <w:r>
              <w:rPr>
                <w:webHidden/>
              </w:rPr>
            </w:r>
            <w:r>
              <w:rPr>
                <w:webHidden/>
              </w:rPr>
              <w:fldChar w:fldCharType="separate"/>
            </w:r>
            <w:r>
              <w:rPr>
                <w:webHidden/>
              </w:rPr>
              <w:t>183</w:t>
            </w:r>
            <w:r>
              <w:rPr>
                <w:webHidden/>
              </w:rPr>
              <w:fldChar w:fldCharType="end"/>
            </w:r>
          </w:hyperlink>
        </w:p>
        <w:p w14:paraId="54C669DA" w14:textId="3CD6AEA8" w:rsidR="00274557" w:rsidRDefault="00274557">
          <w:pPr>
            <w:pStyle w:val="TOC3"/>
            <w:rPr>
              <w:rFonts w:asciiTheme="minorHAnsi" w:hAnsiTheme="minorHAnsi"/>
              <w:sz w:val="22"/>
            </w:rPr>
          </w:pPr>
          <w:hyperlink w:anchor="_Toc192874917" w:history="1">
            <w:r>
              <w:rPr>
                <w:rStyle w:val="Hyperlink"/>
                <w:b/>
                <w:bCs/>
              </w:rPr>
              <w:t>7.8.3</w:t>
            </w:r>
            <w:r>
              <w:rPr>
                <w:rFonts w:asciiTheme="minorHAnsi" w:hAnsiTheme="minorHAnsi"/>
                <w:sz w:val="22"/>
              </w:rPr>
              <w:tab/>
            </w:r>
            <w:r>
              <w:rPr>
                <w:rStyle w:val="Hyperlink"/>
                <w:rFonts w:eastAsiaTheme="majorEastAsia" w:cstheme="majorBidi"/>
                <w:b/>
              </w:rPr>
              <w:t>Project Controls Plan</w:t>
            </w:r>
            <w:r>
              <w:rPr>
                <w:webHidden/>
              </w:rPr>
              <w:tab/>
            </w:r>
            <w:r>
              <w:rPr>
                <w:webHidden/>
              </w:rPr>
              <w:fldChar w:fldCharType="begin"/>
            </w:r>
            <w:r>
              <w:rPr>
                <w:webHidden/>
              </w:rPr>
              <w:instrText xml:space="preserve"> PAGEREF _Toc192874917 \h </w:instrText>
            </w:r>
            <w:r>
              <w:rPr>
                <w:webHidden/>
              </w:rPr>
            </w:r>
            <w:r>
              <w:rPr>
                <w:webHidden/>
              </w:rPr>
              <w:fldChar w:fldCharType="separate"/>
            </w:r>
            <w:r>
              <w:rPr>
                <w:webHidden/>
              </w:rPr>
              <w:t>183</w:t>
            </w:r>
            <w:r>
              <w:rPr>
                <w:webHidden/>
              </w:rPr>
              <w:fldChar w:fldCharType="end"/>
            </w:r>
          </w:hyperlink>
        </w:p>
        <w:p w14:paraId="5AD7B9EB" w14:textId="014219D2" w:rsidR="00274557" w:rsidRDefault="00274557">
          <w:pPr>
            <w:pStyle w:val="TOC3"/>
            <w:rPr>
              <w:rFonts w:asciiTheme="minorHAnsi" w:hAnsiTheme="minorHAnsi"/>
              <w:sz w:val="22"/>
            </w:rPr>
          </w:pPr>
          <w:hyperlink w:anchor="_Toc192874918" w:history="1">
            <w:r>
              <w:rPr>
                <w:rStyle w:val="Hyperlink"/>
                <w:rFonts w:eastAsiaTheme="majorEastAsia" w:cstheme="majorBidi"/>
                <w:b/>
                <w:bCs/>
              </w:rPr>
              <w:t>7.8.4</w:t>
            </w:r>
            <w:r>
              <w:rPr>
                <w:rFonts w:asciiTheme="minorHAnsi" w:hAnsiTheme="minorHAnsi"/>
                <w:sz w:val="22"/>
              </w:rPr>
              <w:tab/>
            </w:r>
            <w:r>
              <w:rPr>
                <w:rStyle w:val="Hyperlink"/>
                <w:rFonts w:eastAsiaTheme="majorEastAsia" w:cstheme="majorBidi"/>
                <w:b/>
              </w:rPr>
              <w:t>Test Management Plan</w:t>
            </w:r>
            <w:r>
              <w:rPr>
                <w:webHidden/>
              </w:rPr>
              <w:tab/>
            </w:r>
            <w:r>
              <w:rPr>
                <w:webHidden/>
              </w:rPr>
              <w:fldChar w:fldCharType="begin"/>
            </w:r>
            <w:r>
              <w:rPr>
                <w:webHidden/>
              </w:rPr>
              <w:instrText xml:space="preserve"> PAGEREF _Toc192874918 \h </w:instrText>
            </w:r>
            <w:r>
              <w:rPr>
                <w:webHidden/>
              </w:rPr>
            </w:r>
            <w:r>
              <w:rPr>
                <w:webHidden/>
              </w:rPr>
              <w:fldChar w:fldCharType="separate"/>
            </w:r>
            <w:r>
              <w:rPr>
                <w:webHidden/>
              </w:rPr>
              <w:t>183</w:t>
            </w:r>
            <w:r>
              <w:rPr>
                <w:webHidden/>
              </w:rPr>
              <w:fldChar w:fldCharType="end"/>
            </w:r>
          </w:hyperlink>
        </w:p>
        <w:p w14:paraId="21045187" w14:textId="1A1730C5" w:rsidR="00274557" w:rsidRDefault="00274557">
          <w:pPr>
            <w:pStyle w:val="TOC3"/>
            <w:rPr>
              <w:rFonts w:asciiTheme="minorHAnsi" w:hAnsiTheme="minorHAnsi"/>
              <w:sz w:val="22"/>
            </w:rPr>
          </w:pPr>
          <w:hyperlink w:anchor="_Toc192874919" w:history="1">
            <w:r>
              <w:rPr>
                <w:rStyle w:val="Hyperlink"/>
                <w:rFonts w:eastAsiaTheme="majorEastAsia" w:cstheme="majorBidi"/>
                <w:b/>
                <w:bCs/>
              </w:rPr>
              <w:t>7.8.5</w:t>
            </w:r>
            <w:r>
              <w:rPr>
                <w:rFonts w:asciiTheme="minorHAnsi" w:hAnsiTheme="minorHAnsi"/>
                <w:sz w:val="22"/>
              </w:rPr>
              <w:tab/>
            </w:r>
            <w:r>
              <w:rPr>
                <w:rStyle w:val="Hyperlink"/>
                <w:rFonts w:eastAsiaTheme="majorEastAsia" w:cstheme="majorBidi"/>
                <w:b/>
              </w:rPr>
              <w:t>Maintenance and Operations Run Book</w:t>
            </w:r>
            <w:r>
              <w:rPr>
                <w:webHidden/>
              </w:rPr>
              <w:tab/>
            </w:r>
            <w:r>
              <w:rPr>
                <w:webHidden/>
              </w:rPr>
              <w:fldChar w:fldCharType="begin"/>
            </w:r>
            <w:r>
              <w:rPr>
                <w:webHidden/>
              </w:rPr>
              <w:instrText xml:space="preserve"> PAGEREF _Toc192874919 \h </w:instrText>
            </w:r>
            <w:r>
              <w:rPr>
                <w:webHidden/>
              </w:rPr>
            </w:r>
            <w:r>
              <w:rPr>
                <w:webHidden/>
              </w:rPr>
              <w:fldChar w:fldCharType="separate"/>
            </w:r>
            <w:r>
              <w:rPr>
                <w:webHidden/>
              </w:rPr>
              <w:t>183</w:t>
            </w:r>
            <w:r>
              <w:rPr>
                <w:webHidden/>
              </w:rPr>
              <w:fldChar w:fldCharType="end"/>
            </w:r>
          </w:hyperlink>
        </w:p>
        <w:p w14:paraId="3DB863C3" w14:textId="6000FCCA" w:rsidR="00274557" w:rsidRDefault="00274557">
          <w:pPr>
            <w:pStyle w:val="TOC1"/>
            <w:rPr>
              <w:rFonts w:asciiTheme="minorHAnsi" w:eastAsiaTheme="minorEastAsia" w:hAnsiTheme="minorHAnsi"/>
              <w:b w:val="0"/>
              <w:kern w:val="2"/>
              <w:sz w:val="22"/>
              <w14:ligatures w14:val="standardContextual"/>
            </w:rPr>
          </w:pPr>
          <w:hyperlink w:anchor="_Toc192874920" w:history="1">
            <w:r>
              <w:rPr>
                <w:rStyle w:val="Hyperlink"/>
              </w:rPr>
              <w:t>8</w:t>
            </w:r>
            <w:r>
              <w:rPr>
                <w:rFonts w:asciiTheme="minorHAnsi" w:eastAsiaTheme="minorEastAsia" w:hAnsiTheme="minorHAnsi"/>
                <w:b w:val="0"/>
                <w:kern w:val="2"/>
                <w:sz w:val="22"/>
                <w14:ligatures w14:val="standardContextual"/>
              </w:rPr>
              <w:tab/>
            </w:r>
            <w:r>
              <w:rPr>
                <w:rStyle w:val="Hyperlink"/>
              </w:rPr>
              <w:t>Resource Management Plan</w:t>
            </w:r>
            <w:r>
              <w:rPr>
                <w:webHidden/>
              </w:rPr>
              <w:tab/>
            </w:r>
            <w:r>
              <w:rPr>
                <w:webHidden/>
              </w:rPr>
              <w:fldChar w:fldCharType="begin"/>
            </w:r>
            <w:r>
              <w:rPr>
                <w:webHidden/>
              </w:rPr>
              <w:instrText xml:space="preserve"> PAGEREF _Toc192874920 \h </w:instrText>
            </w:r>
            <w:r>
              <w:rPr>
                <w:webHidden/>
              </w:rPr>
            </w:r>
            <w:r>
              <w:rPr>
                <w:webHidden/>
              </w:rPr>
              <w:fldChar w:fldCharType="separate"/>
            </w:r>
            <w:r>
              <w:rPr>
                <w:webHidden/>
              </w:rPr>
              <w:t>185</w:t>
            </w:r>
            <w:r>
              <w:rPr>
                <w:webHidden/>
              </w:rPr>
              <w:fldChar w:fldCharType="end"/>
            </w:r>
          </w:hyperlink>
        </w:p>
        <w:p w14:paraId="65D800C3" w14:textId="6D18B0FE" w:rsidR="00274557" w:rsidRDefault="00274557">
          <w:pPr>
            <w:pStyle w:val="TOC2"/>
            <w:rPr>
              <w:rFonts w:asciiTheme="minorHAnsi" w:eastAsiaTheme="minorEastAsia" w:hAnsiTheme="minorHAnsi"/>
              <w:b w:val="0"/>
              <w:kern w:val="2"/>
              <w:sz w:val="22"/>
              <w:lang w:val="en-US"/>
              <w14:ligatures w14:val="standardContextual"/>
            </w:rPr>
          </w:pPr>
          <w:hyperlink w:anchor="_Toc192874921" w:history="1">
            <w:r>
              <w:rPr>
                <w:rStyle w:val="Hyperlink"/>
              </w:rPr>
              <w:t>8.1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_Toc192874921 \h </w:instrText>
            </w:r>
            <w:r>
              <w:rPr>
                <w:webHidden/>
              </w:rPr>
            </w:r>
            <w:r>
              <w:rPr>
                <w:webHidden/>
              </w:rPr>
              <w:fldChar w:fldCharType="separate"/>
            </w:r>
            <w:r>
              <w:rPr>
                <w:webHidden/>
              </w:rPr>
              <w:t>185</w:t>
            </w:r>
            <w:r>
              <w:rPr>
                <w:webHidden/>
              </w:rPr>
              <w:fldChar w:fldCharType="end"/>
            </w:r>
          </w:hyperlink>
        </w:p>
        <w:p w14:paraId="2AA21946" w14:textId="0639FA5E" w:rsidR="00274557" w:rsidRDefault="00274557">
          <w:pPr>
            <w:pStyle w:val="TOC2"/>
            <w:rPr>
              <w:rFonts w:asciiTheme="minorHAnsi" w:eastAsiaTheme="minorEastAsia" w:hAnsiTheme="minorHAnsi"/>
              <w:b w:val="0"/>
              <w:kern w:val="2"/>
              <w:sz w:val="22"/>
              <w:lang w:val="en-US"/>
              <w14:ligatures w14:val="standardContextual"/>
            </w:rPr>
          </w:pPr>
          <w:hyperlink w:anchor="_Toc192874922" w:history="1">
            <w:r>
              <w:rPr>
                <w:rStyle w:val="Hyperlink"/>
              </w:rPr>
              <w:t>8.2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_Toc192874922 \h </w:instrText>
            </w:r>
            <w:r>
              <w:rPr>
                <w:webHidden/>
              </w:rPr>
            </w:r>
            <w:r>
              <w:rPr>
                <w:webHidden/>
              </w:rPr>
              <w:fldChar w:fldCharType="separate"/>
            </w:r>
            <w:r>
              <w:rPr>
                <w:webHidden/>
              </w:rPr>
              <w:t>185</w:t>
            </w:r>
            <w:r>
              <w:rPr>
                <w:webHidden/>
              </w:rPr>
              <w:fldChar w:fldCharType="end"/>
            </w:r>
          </w:hyperlink>
        </w:p>
        <w:p w14:paraId="27B06381" w14:textId="28EDC1C5" w:rsidR="00274557" w:rsidRDefault="00274557">
          <w:pPr>
            <w:pStyle w:val="TOC3"/>
            <w:rPr>
              <w:rFonts w:asciiTheme="minorHAnsi" w:hAnsiTheme="minorHAnsi"/>
              <w:sz w:val="22"/>
            </w:rPr>
          </w:pPr>
          <w:hyperlink w:anchor="_Toc192874923" w:history="1">
            <w:r>
              <w:rPr>
                <w:rStyle w:val="Hyperlink"/>
                <w:bCs/>
                <w:lang w:eastAsia="ko-KR"/>
              </w:rPr>
              <w:t>8.2.1</w:t>
            </w:r>
            <w:r>
              <w:rPr>
                <w:rFonts w:asciiTheme="minorHAnsi" w:hAnsiTheme="minorHAnsi"/>
                <w:sz w:val="22"/>
              </w:rPr>
              <w:tab/>
            </w:r>
            <w:r>
              <w:rPr>
                <w:rStyle w:val="Hyperlink"/>
                <w:lang w:eastAsia="ko-KR"/>
              </w:rPr>
              <w:t>Organizational Structure</w:t>
            </w:r>
            <w:r>
              <w:rPr>
                <w:webHidden/>
              </w:rPr>
              <w:tab/>
            </w:r>
            <w:r>
              <w:rPr>
                <w:webHidden/>
              </w:rPr>
              <w:fldChar w:fldCharType="begin"/>
            </w:r>
            <w:r>
              <w:rPr>
                <w:webHidden/>
              </w:rPr>
              <w:instrText xml:space="preserve"> PAGEREF _Toc192874923 \h </w:instrText>
            </w:r>
            <w:r>
              <w:rPr>
                <w:webHidden/>
              </w:rPr>
            </w:r>
            <w:r>
              <w:rPr>
                <w:webHidden/>
              </w:rPr>
              <w:fldChar w:fldCharType="separate"/>
            </w:r>
            <w:r>
              <w:rPr>
                <w:webHidden/>
              </w:rPr>
              <w:t>185</w:t>
            </w:r>
            <w:r>
              <w:rPr>
                <w:webHidden/>
              </w:rPr>
              <w:fldChar w:fldCharType="end"/>
            </w:r>
          </w:hyperlink>
        </w:p>
        <w:p w14:paraId="34E613DF" w14:textId="61DC11C0" w:rsidR="00274557" w:rsidRDefault="00274557">
          <w:pPr>
            <w:pStyle w:val="TOC2"/>
            <w:rPr>
              <w:rFonts w:asciiTheme="minorHAnsi" w:eastAsiaTheme="minorEastAsia" w:hAnsiTheme="minorHAnsi"/>
              <w:b w:val="0"/>
              <w:kern w:val="2"/>
              <w:sz w:val="22"/>
              <w:lang w:val="en-US"/>
              <w14:ligatures w14:val="standardContextual"/>
            </w:rPr>
          </w:pPr>
          <w:hyperlink w:anchor="_Toc192874924" w:history="1">
            <w:r>
              <w:rPr>
                <w:rStyle w:val="Hyperlink"/>
              </w:rPr>
              <w:t>8.3</w:t>
            </w:r>
            <w:r>
              <w:rPr>
                <w:rFonts w:asciiTheme="minorHAnsi" w:eastAsiaTheme="minorEastAsia" w:hAnsiTheme="minorHAnsi"/>
                <w:b w:val="0"/>
                <w:kern w:val="2"/>
                <w:sz w:val="22"/>
                <w:lang w:val="en-US"/>
                <w14:ligatures w14:val="standardContextual"/>
              </w:rPr>
              <w:tab/>
            </w:r>
            <w:r>
              <w:rPr>
                <w:rStyle w:val="Hyperlink"/>
              </w:rPr>
              <w:t>Resource/Staff Management Approach</w:t>
            </w:r>
            <w:r>
              <w:rPr>
                <w:webHidden/>
              </w:rPr>
              <w:tab/>
            </w:r>
            <w:r>
              <w:rPr>
                <w:webHidden/>
              </w:rPr>
              <w:fldChar w:fldCharType="begin"/>
            </w:r>
            <w:r>
              <w:rPr>
                <w:webHidden/>
              </w:rPr>
              <w:instrText xml:space="preserve"> PAGEREF _Toc192874924 \h </w:instrText>
            </w:r>
            <w:r>
              <w:rPr>
                <w:webHidden/>
              </w:rPr>
            </w:r>
            <w:r>
              <w:rPr>
                <w:webHidden/>
              </w:rPr>
              <w:fldChar w:fldCharType="separate"/>
            </w:r>
            <w:r>
              <w:rPr>
                <w:webHidden/>
              </w:rPr>
              <w:t>185</w:t>
            </w:r>
            <w:r>
              <w:rPr>
                <w:webHidden/>
              </w:rPr>
              <w:fldChar w:fldCharType="end"/>
            </w:r>
          </w:hyperlink>
        </w:p>
        <w:p w14:paraId="79951AD7" w14:textId="34C5F98F" w:rsidR="00274557" w:rsidRDefault="00274557">
          <w:pPr>
            <w:pStyle w:val="TOC3"/>
            <w:rPr>
              <w:rFonts w:asciiTheme="minorHAnsi" w:hAnsiTheme="minorHAnsi"/>
              <w:sz w:val="22"/>
            </w:rPr>
          </w:pPr>
          <w:hyperlink w:anchor="_Toc192874925" w:history="1">
            <w:r>
              <w:rPr>
                <w:rStyle w:val="Hyperlink"/>
                <w:bCs/>
                <w:lang w:eastAsia="ko-KR"/>
              </w:rPr>
              <w:t>8.3.1</w:t>
            </w:r>
            <w:r>
              <w:rPr>
                <w:rFonts w:asciiTheme="minorHAnsi" w:hAnsiTheme="minorHAnsi"/>
                <w:sz w:val="22"/>
              </w:rPr>
              <w:tab/>
            </w:r>
            <w:r>
              <w:rPr>
                <w:rStyle w:val="Hyperlink"/>
                <w:lang w:eastAsia="ko-KR"/>
              </w:rPr>
              <w:t>Staffing Process</w:t>
            </w:r>
            <w:r>
              <w:rPr>
                <w:webHidden/>
              </w:rPr>
              <w:tab/>
            </w:r>
            <w:r>
              <w:rPr>
                <w:webHidden/>
              </w:rPr>
              <w:fldChar w:fldCharType="begin"/>
            </w:r>
            <w:r>
              <w:rPr>
                <w:webHidden/>
              </w:rPr>
              <w:instrText xml:space="preserve"> PAGEREF _Toc192874925 \h </w:instrText>
            </w:r>
            <w:r>
              <w:rPr>
                <w:webHidden/>
              </w:rPr>
            </w:r>
            <w:r>
              <w:rPr>
                <w:webHidden/>
              </w:rPr>
              <w:fldChar w:fldCharType="separate"/>
            </w:r>
            <w:r>
              <w:rPr>
                <w:webHidden/>
              </w:rPr>
              <w:t>185</w:t>
            </w:r>
            <w:r>
              <w:rPr>
                <w:webHidden/>
              </w:rPr>
              <w:fldChar w:fldCharType="end"/>
            </w:r>
          </w:hyperlink>
        </w:p>
        <w:p w14:paraId="68339939" w14:textId="5839580C" w:rsidR="00274557" w:rsidRDefault="00274557">
          <w:pPr>
            <w:pStyle w:val="TOC4"/>
            <w:rPr>
              <w:rFonts w:asciiTheme="minorHAnsi" w:eastAsiaTheme="minorEastAsia" w:hAnsiTheme="minorHAnsi"/>
              <w:noProof/>
              <w:kern w:val="2"/>
              <w:sz w:val="22"/>
              <w14:ligatures w14:val="standardContextual"/>
            </w:rPr>
          </w:pPr>
          <w:hyperlink w:anchor="_Toc192874926" w:history="1">
            <w:r>
              <w:rPr>
                <w:rStyle w:val="Hyperlink"/>
                <w:noProof/>
                <w:lang w:eastAsia="ko-KR"/>
              </w:rPr>
              <w:t>8.3.1.1</w:t>
            </w:r>
            <w:r>
              <w:rPr>
                <w:rFonts w:asciiTheme="minorHAnsi" w:eastAsiaTheme="minorEastAsia" w:hAnsiTheme="minorHAnsi"/>
                <w:noProof/>
                <w:kern w:val="2"/>
                <w:sz w:val="22"/>
                <w14:ligatures w14:val="standardContextual"/>
              </w:rPr>
              <w:tab/>
            </w:r>
            <w:r>
              <w:rPr>
                <w:rStyle w:val="Hyperlink"/>
                <w:noProof/>
                <w:lang w:eastAsia="ko-KR"/>
              </w:rPr>
              <w:t>Staffing Process Flow Diagram</w:t>
            </w:r>
            <w:r>
              <w:rPr>
                <w:noProof/>
                <w:webHidden/>
              </w:rPr>
              <w:tab/>
            </w:r>
            <w:r>
              <w:rPr>
                <w:noProof/>
                <w:webHidden/>
              </w:rPr>
              <w:fldChar w:fldCharType="begin"/>
            </w:r>
            <w:r>
              <w:rPr>
                <w:noProof/>
                <w:webHidden/>
              </w:rPr>
              <w:instrText xml:space="preserve"> PAGEREF _Toc192874926 \h </w:instrText>
            </w:r>
            <w:r>
              <w:rPr>
                <w:noProof/>
                <w:webHidden/>
              </w:rPr>
            </w:r>
            <w:r>
              <w:rPr>
                <w:noProof/>
                <w:webHidden/>
              </w:rPr>
              <w:fldChar w:fldCharType="separate"/>
            </w:r>
            <w:r>
              <w:rPr>
                <w:noProof/>
                <w:webHidden/>
              </w:rPr>
              <w:t>186</w:t>
            </w:r>
            <w:r>
              <w:rPr>
                <w:noProof/>
                <w:webHidden/>
              </w:rPr>
              <w:fldChar w:fldCharType="end"/>
            </w:r>
          </w:hyperlink>
        </w:p>
        <w:p w14:paraId="1E8A07EF" w14:textId="735ED98D" w:rsidR="00274557" w:rsidRDefault="00274557">
          <w:pPr>
            <w:pStyle w:val="TOC4"/>
            <w:rPr>
              <w:rFonts w:asciiTheme="minorHAnsi" w:eastAsiaTheme="minorEastAsia" w:hAnsiTheme="minorHAnsi"/>
              <w:noProof/>
              <w:kern w:val="2"/>
              <w:sz w:val="22"/>
              <w14:ligatures w14:val="standardContextual"/>
            </w:rPr>
          </w:pPr>
          <w:hyperlink w:anchor="_Toc192874927" w:history="1">
            <w:r>
              <w:rPr>
                <w:rStyle w:val="Hyperlink"/>
                <w:noProof/>
                <w:lang w:eastAsia="ko-KR"/>
              </w:rPr>
              <w:t>8.3.1.2</w:t>
            </w:r>
            <w:r>
              <w:rPr>
                <w:rFonts w:asciiTheme="minorHAnsi" w:eastAsiaTheme="minorEastAsia" w:hAnsiTheme="minorHAnsi"/>
                <w:noProof/>
                <w:kern w:val="2"/>
                <w:sz w:val="22"/>
                <w14:ligatures w14:val="standardContextual"/>
              </w:rPr>
              <w:tab/>
            </w:r>
            <w:r>
              <w:rPr>
                <w:rStyle w:val="Hyperlink"/>
                <w:noProof/>
                <w:lang w:eastAsia="ko-KR"/>
              </w:rPr>
              <w:t>Staffing Process Flow Narrative</w:t>
            </w:r>
            <w:r>
              <w:rPr>
                <w:noProof/>
                <w:webHidden/>
              </w:rPr>
              <w:tab/>
            </w:r>
            <w:r>
              <w:rPr>
                <w:noProof/>
                <w:webHidden/>
              </w:rPr>
              <w:fldChar w:fldCharType="begin"/>
            </w:r>
            <w:r>
              <w:rPr>
                <w:noProof/>
                <w:webHidden/>
              </w:rPr>
              <w:instrText xml:space="preserve"> PAGEREF _Toc192874927 \h </w:instrText>
            </w:r>
            <w:r>
              <w:rPr>
                <w:noProof/>
                <w:webHidden/>
              </w:rPr>
            </w:r>
            <w:r>
              <w:rPr>
                <w:noProof/>
                <w:webHidden/>
              </w:rPr>
              <w:fldChar w:fldCharType="separate"/>
            </w:r>
            <w:r>
              <w:rPr>
                <w:noProof/>
                <w:webHidden/>
              </w:rPr>
              <w:t>186</w:t>
            </w:r>
            <w:r>
              <w:rPr>
                <w:noProof/>
                <w:webHidden/>
              </w:rPr>
              <w:fldChar w:fldCharType="end"/>
            </w:r>
          </w:hyperlink>
        </w:p>
        <w:p w14:paraId="305F28B4" w14:textId="38FA3A87" w:rsidR="00274557" w:rsidRDefault="00274557">
          <w:pPr>
            <w:pStyle w:val="TOC3"/>
            <w:rPr>
              <w:rFonts w:asciiTheme="minorHAnsi" w:hAnsiTheme="minorHAnsi"/>
              <w:sz w:val="22"/>
            </w:rPr>
          </w:pPr>
          <w:hyperlink w:anchor="_Toc192874928" w:history="1">
            <w:r>
              <w:rPr>
                <w:rStyle w:val="Hyperlink"/>
                <w:bCs/>
                <w:lang w:eastAsia="ko-KR"/>
              </w:rPr>
              <w:t>8.3.2</w:t>
            </w:r>
            <w:r>
              <w:rPr>
                <w:rFonts w:asciiTheme="minorHAnsi" w:hAnsiTheme="minorHAnsi"/>
                <w:sz w:val="22"/>
              </w:rPr>
              <w:tab/>
            </w:r>
            <w:r>
              <w:rPr>
                <w:rStyle w:val="Hyperlink"/>
                <w:lang w:eastAsia="ko-KR"/>
              </w:rPr>
              <w:t>Staffing Management</w:t>
            </w:r>
            <w:r>
              <w:rPr>
                <w:webHidden/>
              </w:rPr>
              <w:tab/>
            </w:r>
            <w:r>
              <w:rPr>
                <w:webHidden/>
              </w:rPr>
              <w:fldChar w:fldCharType="begin"/>
            </w:r>
            <w:r>
              <w:rPr>
                <w:webHidden/>
              </w:rPr>
              <w:instrText xml:space="preserve"> PAGEREF _Toc192874928 \h </w:instrText>
            </w:r>
            <w:r>
              <w:rPr>
                <w:webHidden/>
              </w:rPr>
            </w:r>
            <w:r>
              <w:rPr>
                <w:webHidden/>
              </w:rPr>
              <w:fldChar w:fldCharType="separate"/>
            </w:r>
            <w:r>
              <w:rPr>
                <w:webHidden/>
              </w:rPr>
              <w:t>188</w:t>
            </w:r>
            <w:r>
              <w:rPr>
                <w:webHidden/>
              </w:rPr>
              <w:fldChar w:fldCharType="end"/>
            </w:r>
          </w:hyperlink>
        </w:p>
        <w:p w14:paraId="4DA942CD" w14:textId="56E0FEA8" w:rsidR="00274557" w:rsidRDefault="00274557">
          <w:pPr>
            <w:pStyle w:val="TOC3"/>
            <w:rPr>
              <w:rFonts w:asciiTheme="minorHAnsi" w:hAnsiTheme="minorHAnsi"/>
              <w:sz w:val="22"/>
            </w:rPr>
          </w:pPr>
          <w:hyperlink w:anchor="_Toc192874929" w:history="1">
            <w:r>
              <w:rPr>
                <w:rStyle w:val="Hyperlink"/>
                <w:bCs/>
                <w:lang w:eastAsia="ko-KR"/>
              </w:rPr>
              <w:t>8.3.3</w:t>
            </w:r>
            <w:r>
              <w:rPr>
                <w:rFonts w:asciiTheme="minorHAnsi" w:hAnsiTheme="minorHAnsi"/>
                <w:sz w:val="22"/>
              </w:rPr>
              <w:tab/>
            </w:r>
            <w:r>
              <w:rPr>
                <w:rStyle w:val="Hyperlink"/>
                <w:lang w:eastAsia="ko-KR"/>
              </w:rPr>
              <w:t>Personnel Transition</w:t>
            </w:r>
            <w:r>
              <w:rPr>
                <w:webHidden/>
              </w:rPr>
              <w:tab/>
            </w:r>
            <w:r>
              <w:rPr>
                <w:webHidden/>
              </w:rPr>
              <w:fldChar w:fldCharType="begin"/>
            </w:r>
            <w:r>
              <w:rPr>
                <w:webHidden/>
              </w:rPr>
              <w:instrText xml:space="preserve"> PAGEREF _Toc192874929 \h </w:instrText>
            </w:r>
            <w:r>
              <w:rPr>
                <w:webHidden/>
              </w:rPr>
            </w:r>
            <w:r>
              <w:rPr>
                <w:webHidden/>
              </w:rPr>
              <w:fldChar w:fldCharType="separate"/>
            </w:r>
            <w:r>
              <w:rPr>
                <w:webHidden/>
              </w:rPr>
              <w:t>188</w:t>
            </w:r>
            <w:r>
              <w:rPr>
                <w:webHidden/>
              </w:rPr>
              <w:fldChar w:fldCharType="end"/>
            </w:r>
          </w:hyperlink>
        </w:p>
        <w:p w14:paraId="7174A243" w14:textId="41314FA2" w:rsidR="00274557" w:rsidRDefault="00274557">
          <w:pPr>
            <w:pStyle w:val="TOC3"/>
            <w:rPr>
              <w:rFonts w:asciiTheme="minorHAnsi" w:hAnsiTheme="minorHAnsi"/>
              <w:sz w:val="22"/>
            </w:rPr>
          </w:pPr>
          <w:hyperlink w:anchor="_Toc192874930" w:history="1">
            <w:r>
              <w:rPr>
                <w:rStyle w:val="Hyperlink"/>
                <w:bCs/>
                <w:lang w:eastAsia="ko-KR"/>
              </w:rPr>
              <w:t>8.3.4</w:t>
            </w:r>
            <w:r>
              <w:rPr>
                <w:rFonts w:asciiTheme="minorHAnsi" w:hAnsiTheme="minorHAnsi"/>
                <w:sz w:val="22"/>
              </w:rPr>
              <w:tab/>
            </w:r>
            <w:r>
              <w:rPr>
                <w:rStyle w:val="Hyperlink"/>
                <w:lang w:eastAsia="ko-KR"/>
              </w:rPr>
              <w:t>Onboarding</w:t>
            </w:r>
            <w:r>
              <w:rPr>
                <w:webHidden/>
              </w:rPr>
              <w:tab/>
            </w:r>
            <w:r>
              <w:rPr>
                <w:webHidden/>
              </w:rPr>
              <w:fldChar w:fldCharType="begin"/>
            </w:r>
            <w:r>
              <w:rPr>
                <w:webHidden/>
              </w:rPr>
              <w:instrText xml:space="preserve"> PAGEREF _Toc192874930 \h </w:instrText>
            </w:r>
            <w:r>
              <w:rPr>
                <w:webHidden/>
              </w:rPr>
            </w:r>
            <w:r>
              <w:rPr>
                <w:webHidden/>
              </w:rPr>
              <w:fldChar w:fldCharType="separate"/>
            </w:r>
            <w:r>
              <w:rPr>
                <w:webHidden/>
              </w:rPr>
              <w:t>188</w:t>
            </w:r>
            <w:r>
              <w:rPr>
                <w:webHidden/>
              </w:rPr>
              <w:fldChar w:fldCharType="end"/>
            </w:r>
          </w:hyperlink>
        </w:p>
        <w:p w14:paraId="2281E4D8" w14:textId="3728F229" w:rsidR="00274557" w:rsidRDefault="00274557">
          <w:pPr>
            <w:pStyle w:val="TOC3"/>
            <w:rPr>
              <w:rFonts w:asciiTheme="minorHAnsi" w:hAnsiTheme="minorHAnsi"/>
              <w:sz w:val="22"/>
            </w:rPr>
          </w:pPr>
          <w:hyperlink w:anchor="_Toc192874931" w:history="1">
            <w:r>
              <w:rPr>
                <w:rStyle w:val="Hyperlink"/>
                <w:bCs/>
                <w:lang w:eastAsia="ko-KR"/>
              </w:rPr>
              <w:t>8.3.5</w:t>
            </w:r>
            <w:r>
              <w:rPr>
                <w:rFonts w:asciiTheme="minorHAnsi" w:hAnsiTheme="minorHAnsi"/>
                <w:sz w:val="22"/>
              </w:rPr>
              <w:tab/>
            </w:r>
            <w:r>
              <w:rPr>
                <w:rStyle w:val="Hyperlink"/>
                <w:lang w:eastAsia="ko-KR"/>
              </w:rPr>
              <w:t>Offboarding</w:t>
            </w:r>
            <w:r>
              <w:rPr>
                <w:webHidden/>
              </w:rPr>
              <w:tab/>
            </w:r>
            <w:r>
              <w:rPr>
                <w:webHidden/>
              </w:rPr>
              <w:fldChar w:fldCharType="begin"/>
            </w:r>
            <w:r>
              <w:rPr>
                <w:webHidden/>
              </w:rPr>
              <w:instrText xml:space="preserve"> PAGEREF _Toc192874931 \h </w:instrText>
            </w:r>
            <w:r>
              <w:rPr>
                <w:webHidden/>
              </w:rPr>
            </w:r>
            <w:r>
              <w:rPr>
                <w:webHidden/>
              </w:rPr>
              <w:fldChar w:fldCharType="separate"/>
            </w:r>
            <w:r>
              <w:rPr>
                <w:webHidden/>
              </w:rPr>
              <w:t>189</w:t>
            </w:r>
            <w:r>
              <w:rPr>
                <w:webHidden/>
              </w:rPr>
              <w:fldChar w:fldCharType="end"/>
            </w:r>
          </w:hyperlink>
        </w:p>
        <w:p w14:paraId="6C34F9B9" w14:textId="1D43FB4D" w:rsidR="00274557" w:rsidRDefault="00274557">
          <w:pPr>
            <w:pStyle w:val="TOC3"/>
            <w:rPr>
              <w:rFonts w:asciiTheme="minorHAnsi" w:hAnsiTheme="minorHAnsi"/>
              <w:sz w:val="22"/>
            </w:rPr>
          </w:pPr>
          <w:hyperlink w:anchor="_Toc192874932" w:history="1">
            <w:r>
              <w:rPr>
                <w:rStyle w:val="Hyperlink"/>
                <w:bCs/>
                <w:lang w:eastAsia="ko-KR"/>
              </w:rPr>
              <w:t>8.3.6</w:t>
            </w:r>
            <w:r>
              <w:rPr>
                <w:rFonts w:asciiTheme="minorHAnsi" w:hAnsiTheme="minorHAnsi"/>
                <w:sz w:val="22"/>
              </w:rPr>
              <w:tab/>
            </w:r>
            <w:r>
              <w:rPr>
                <w:rStyle w:val="Hyperlink"/>
              </w:rPr>
              <w:t xml:space="preserve">Application Lifecycle Management </w:t>
            </w:r>
            <w:r>
              <w:rPr>
                <w:rStyle w:val="Hyperlink"/>
                <w:lang w:eastAsia="ko-KR"/>
              </w:rPr>
              <w:t>Tools</w:t>
            </w:r>
            <w:r>
              <w:rPr>
                <w:webHidden/>
              </w:rPr>
              <w:tab/>
            </w:r>
            <w:r>
              <w:rPr>
                <w:webHidden/>
              </w:rPr>
              <w:fldChar w:fldCharType="begin"/>
            </w:r>
            <w:r>
              <w:rPr>
                <w:webHidden/>
              </w:rPr>
              <w:instrText xml:space="preserve"> PAGEREF _Toc192874932 \h </w:instrText>
            </w:r>
            <w:r>
              <w:rPr>
                <w:webHidden/>
              </w:rPr>
            </w:r>
            <w:r>
              <w:rPr>
                <w:webHidden/>
              </w:rPr>
              <w:fldChar w:fldCharType="separate"/>
            </w:r>
            <w:r>
              <w:rPr>
                <w:webHidden/>
              </w:rPr>
              <w:t>189</w:t>
            </w:r>
            <w:r>
              <w:rPr>
                <w:webHidden/>
              </w:rPr>
              <w:fldChar w:fldCharType="end"/>
            </w:r>
          </w:hyperlink>
        </w:p>
        <w:p w14:paraId="475D2472" w14:textId="473F3282" w:rsidR="00274557" w:rsidRDefault="00274557">
          <w:pPr>
            <w:pStyle w:val="TOC1"/>
            <w:rPr>
              <w:rFonts w:asciiTheme="minorHAnsi" w:eastAsiaTheme="minorEastAsia" w:hAnsiTheme="minorHAnsi"/>
              <w:b w:val="0"/>
              <w:kern w:val="2"/>
              <w:sz w:val="22"/>
              <w14:ligatures w14:val="standardContextual"/>
            </w:rPr>
          </w:pPr>
          <w:hyperlink w:anchor="_Toc192874933" w:history="1">
            <w:r>
              <w:rPr>
                <w:rStyle w:val="Hyperlink"/>
              </w:rPr>
              <w:t>9</w:t>
            </w:r>
            <w:r>
              <w:rPr>
                <w:rFonts w:asciiTheme="minorHAnsi" w:eastAsiaTheme="minorEastAsia" w:hAnsiTheme="minorHAnsi"/>
                <w:b w:val="0"/>
                <w:kern w:val="2"/>
                <w:sz w:val="22"/>
                <w14:ligatures w14:val="standardContextual"/>
              </w:rPr>
              <w:tab/>
            </w:r>
            <w:r>
              <w:rPr>
                <w:rStyle w:val="Hyperlink"/>
              </w:rPr>
              <w:t>Project Controls Plan</w:t>
            </w:r>
            <w:r>
              <w:rPr>
                <w:webHidden/>
              </w:rPr>
              <w:tab/>
            </w:r>
            <w:r>
              <w:rPr>
                <w:webHidden/>
              </w:rPr>
              <w:fldChar w:fldCharType="begin"/>
            </w:r>
            <w:r>
              <w:rPr>
                <w:webHidden/>
              </w:rPr>
              <w:instrText xml:space="preserve"> PAGEREF _Toc192874933 \h </w:instrText>
            </w:r>
            <w:r>
              <w:rPr>
                <w:webHidden/>
              </w:rPr>
            </w:r>
            <w:r>
              <w:rPr>
                <w:webHidden/>
              </w:rPr>
              <w:fldChar w:fldCharType="separate"/>
            </w:r>
            <w:r>
              <w:rPr>
                <w:webHidden/>
              </w:rPr>
              <w:t>191</w:t>
            </w:r>
            <w:r>
              <w:rPr>
                <w:webHidden/>
              </w:rPr>
              <w:fldChar w:fldCharType="end"/>
            </w:r>
          </w:hyperlink>
        </w:p>
        <w:p w14:paraId="5B4BF52A" w14:textId="5269369B" w:rsidR="00274557" w:rsidRDefault="00274557">
          <w:pPr>
            <w:pStyle w:val="TOC2"/>
            <w:rPr>
              <w:rFonts w:asciiTheme="minorHAnsi" w:eastAsiaTheme="minorEastAsia" w:hAnsiTheme="minorHAnsi"/>
              <w:b w:val="0"/>
              <w:kern w:val="2"/>
              <w:sz w:val="22"/>
              <w:lang w:val="en-US"/>
              <w14:ligatures w14:val="standardContextual"/>
            </w:rPr>
          </w:pPr>
          <w:hyperlink w:anchor="_Toc192874934" w:history="1">
            <w:r>
              <w:rPr>
                <w:rStyle w:val="Hyperlink"/>
              </w:rPr>
              <w:t>9.1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_Toc192874934 \h </w:instrText>
            </w:r>
            <w:r>
              <w:rPr>
                <w:webHidden/>
              </w:rPr>
            </w:r>
            <w:r>
              <w:rPr>
                <w:webHidden/>
              </w:rPr>
              <w:fldChar w:fldCharType="separate"/>
            </w:r>
            <w:r>
              <w:rPr>
                <w:webHidden/>
              </w:rPr>
              <w:t>191</w:t>
            </w:r>
            <w:r>
              <w:rPr>
                <w:webHidden/>
              </w:rPr>
              <w:fldChar w:fldCharType="end"/>
            </w:r>
          </w:hyperlink>
        </w:p>
        <w:p w14:paraId="0C093E9A" w14:textId="39658789" w:rsidR="00274557" w:rsidRDefault="00274557">
          <w:pPr>
            <w:pStyle w:val="TOC2"/>
            <w:rPr>
              <w:rFonts w:asciiTheme="minorHAnsi" w:eastAsiaTheme="minorEastAsia" w:hAnsiTheme="minorHAnsi"/>
              <w:b w:val="0"/>
              <w:kern w:val="2"/>
              <w:sz w:val="22"/>
              <w:lang w:val="en-US"/>
              <w14:ligatures w14:val="standardContextual"/>
            </w:rPr>
          </w:pPr>
          <w:hyperlink w:anchor="_Toc192874935" w:history="1">
            <w:r>
              <w:rPr>
                <w:rStyle w:val="Hyperlink"/>
              </w:rPr>
              <w:t>9.2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_Toc192874935 \h </w:instrText>
            </w:r>
            <w:r>
              <w:rPr>
                <w:webHidden/>
              </w:rPr>
            </w:r>
            <w:r>
              <w:rPr>
                <w:webHidden/>
              </w:rPr>
              <w:fldChar w:fldCharType="separate"/>
            </w:r>
            <w:r>
              <w:rPr>
                <w:webHidden/>
              </w:rPr>
              <w:t>191</w:t>
            </w:r>
            <w:r>
              <w:rPr>
                <w:webHidden/>
              </w:rPr>
              <w:fldChar w:fldCharType="end"/>
            </w:r>
          </w:hyperlink>
        </w:p>
        <w:p w14:paraId="59B35477" w14:textId="4789BE3A" w:rsidR="00274557" w:rsidRDefault="00274557">
          <w:pPr>
            <w:pStyle w:val="TOC2"/>
            <w:rPr>
              <w:rFonts w:asciiTheme="minorHAnsi" w:eastAsiaTheme="minorEastAsia" w:hAnsiTheme="minorHAnsi"/>
              <w:b w:val="0"/>
              <w:kern w:val="2"/>
              <w:sz w:val="22"/>
              <w:lang w:val="en-US"/>
              <w14:ligatures w14:val="standardContextual"/>
            </w:rPr>
          </w:pPr>
          <w:hyperlink w:anchor="_Toc192874936" w:history="1">
            <w:r>
              <w:rPr>
                <w:rStyle w:val="Hyperlink"/>
              </w:rPr>
              <w:t>9.3</w:t>
            </w:r>
            <w:r>
              <w:rPr>
                <w:rFonts w:asciiTheme="minorHAnsi" w:eastAsiaTheme="minorEastAsia" w:hAnsiTheme="minorHAnsi"/>
                <w:b w:val="0"/>
                <w:kern w:val="2"/>
                <w:sz w:val="22"/>
                <w:lang w:val="en-US"/>
                <w14:ligatures w14:val="standardContextual"/>
              </w:rPr>
              <w:tab/>
            </w:r>
            <w:r>
              <w:rPr>
                <w:rStyle w:val="Hyperlink"/>
              </w:rPr>
              <w:t>Risk Management Approach</w:t>
            </w:r>
            <w:r>
              <w:rPr>
                <w:webHidden/>
              </w:rPr>
              <w:tab/>
            </w:r>
            <w:r>
              <w:rPr>
                <w:webHidden/>
              </w:rPr>
              <w:fldChar w:fldCharType="begin"/>
            </w:r>
            <w:r>
              <w:rPr>
                <w:webHidden/>
              </w:rPr>
              <w:instrText xml:space="preserve"> PAGEREF _Toc192874936 \h </w:instrText>
            </w:r>
            <w:r>
              <w:rPr>
                <w:webHidden/>
              </w:rPr>
            </w:r>
            <w:r>
              <w:rPr>
                <w:webHidden/>
              </w:rPr>
              <w:fldChar w:fldCharType="separate"/>
            </w:r>
            <w:r>
              <w:rPr>
                <w:webHidden/>
              </w:rPr>
              <w:t>191</w:t>
            </w:r>
            <w:r>
              <w:rPr>
                <w:webHidden/>
              </w:rPr>
              <w:fldChar w:fldCharType="end"/>
            </w:r>
          </w:hyperlink>
        </w:p>
        <w:p w14:paraId="4FBC2DC0" w14:textId="38408627" w:rsidR="00274557" w:rsidRDefault="00274557">
          <w:pPr>
            <w:pStyle w:val="TOC3"/>
            <w:rPr>
              <w:rFonts w:asciiTheme="minorHAnsi" w:hAnsiTheme="minorHAnsi"/>
              <w:sz w:val="22"/>
            </w:rPr>
          </w:pPr>
          <w:hyperlink w:anchor="_Toc192874937" w:history="1">
            <w:r>
              <w:rPr>
                <w:rStyle w:val="Hyperlink"/>
                <w:bCs/>
              </w:rPr>
              <w:t>9.3.1</w:t>
            </w:r>
            <w:r>
              <w:rPr>
                <w:rFonts w:asciiTheme="minorHAnsi" w:hAnsiTheme="minorHAnsi"/>
                <w:sz w:val="22"/>
              </w:rPr>
              <w:tab/>
            </w:r>
            <w:r>
              <w:rPr>
                <w:rStyle w:val="Hyperlink"/>
              </w:rPr>
              <w:t>Risk Management Process Summary</w:t>
            </w:r>
            <w:r>
              <w:rPr>
                <w:webHidden/>
              </w:rPr>
              <w:tab/>
            </w:r>
            <w:r>
              <w:rPr>
                <w:webHidden/>
              </w:rPr>
              <w:fldChar w:fldCharType="begin"/>
            </w:r>
            <w:r>
              <w:rPr>
                <w:webHidden/>
              </w:rPr>
              <w:instrText xml:space="preserve"> PAGEREF _Toc192874937 \h </w:instrText>
            </w:r>
            <w:r>
              <w:rPr>
                <w:webHidden/>
              </w:rPr>
            </w:r>
            <w:r>
              <w:rPr>
                <w:webHidden/>
              </w:rPr>
              <w:fldChar w:fldCharType="separate"/>
            </w:r>
            <w:r>
              <w:rPr>
                <w:webHidden/>
              </w:rPr>
              <w:t>191</w:t>
            </w:r>
            <w:r>
              <w:rPr>
                <w:webHidden/>
              </w:rPr>
              <w:fldChar w:fldCharType="end"/>
            </w:r>
          </w:hyperlink>
        </w:p>
        <w:p w14:paraId="0133F466" w14:textId="66019E07" w:rsidR="00274557" w:rsidRDefault="00274557">
          <w:pPr>
            <w:pStyle w:val="TOC3"/>
            <w:rPr>
              <w:rFonts w:asciiTheme="minorHAnsi" w:hAnsiTheme="minorHAnsi"/>
              <w:sz w:val="22"/>
            </w:rPr>
          </w:pPr>
          <w:hyperlink w:anchor="_Toc192874938" w:history="1">
            <w:r>
              <w:rPr>
                <w:rStyle w:val="Hyperlink"/>
                <w:bCs/>
              </w:rPr>
              <w:t>9.3.2</w:t>
            </w:r>
            <w:r>
              <w:rPr>
                <w:rFonts w:asciiTheme="minorHAnsi" w:hAnsiTheme="minorHAnsi"/>
                <w:sz w:val="22"/>
              </w:rPr>
              <w:tab/>
            </w:r>
            <w:r>
              <w:rPr>
                <w:rStyle w:val="Hyperlink"/>
              </w:rPr>
              <w:t>Risk Management Process Flow Diagram</w:t>
            </w:r>
            <w:r>
              <w:rPr>
                <w:webHidden/>
              </w:rPr>
              <w:tab/>
            </w:r>
            <w:r>
              <w:rPr>
                <w:webHidden/>
              </w:rPr>
              <w:fldChar w:fldCharType="begin"/>
            </w:r>
            <w:r>
              <w:rPr>
                <w:webHidden/>
              </w:rPr>
              <w:instrText xml:space="preserve"> PAGEREF _Toc192874938 \h </w:instrText>
            </w:r>
            <w:r>
              <w:rPr>
                <w:webHidden/>
              </w:rPr>
            </w:r>
            <w:r>
              <w:rPr>
                <w:webHidden/>
              </w:rPr>
              <w:fldChar w:fldCharType="separate"/>
            </w:r>
            <w:r>
              <w:rPr>
                <w:webHidden/>
              </w:rPr>
              <w:t>192</w:t>
            </w:r>
            <w:r>
              <w:rPr>
                <w:webHidden/>
              </w:rPr>
              <w:fldChar w:fldCharType="end"/>
            </w:r>
          </w:hyperlink>
        </w:p>
        <w:p w14:paraId="413391C5" w14:textId="71BA90A3" w:rsidR="00274557" w:rsidRDefault="00274557">
          <w:pPr>
            <w:pStyle w:val="TOC3"/>
            <w:rPr>
              <w:rFonts w:asciiTheme="minorHAnsi" w:hAnsiTheme="minorHAnsi"/>
              <w:sz w:val="22"/>
            </w:rPr>
          </w:pPr>
          <w:hyperlink w:anchor="_Toc192874939" w:history="1">
            <w:r>
              <w:rPr>
                <w:rStyle w:val="Hyperlink"/>
                <w:bCs/>
              </w:rPr>
              <w:t>9.3.3</w:t>
            </w:r>
            <w:r>
              <w:rPr>
                <w:rFonts w:asciiTheme="minorHAnsi" w:hAnsiTheme="minorHAnsi"/>
                <w:sz w:val="22"/>
              </w:rPr>
              <w:tab/>
            </w:r>
            <w:r>
              <w:rPr>
                <w:rStyle w:val="Hyperlink"/>
              </w:rPr>
              <w:t>Risk Management Process Flow Narrative</w:t>
            </w:r>
            <w:r>
              <w:rPr>
                <w:webHidden/>
              </w:rPr>
              <w:tab/>
            </w:r>
            <w:r>
              <w:rPr>
                <w:webHidden/>
              </w:rPr>
              <w:fldChar w:fldCharType="begin"/>
            </w:r>
            <w:r>
              <w:rPr>
                <w:webHidden/>
              </w:rPr>
              <w:instrText xml:space="preserve"> PAGEREF _Toc192874939 \h </w:instrText>
            </w:r>
            <w:r>
              <w:rPr>
                <w:webHidden/>
              </w:rPr>
            </w:r>
            <w:r>
              <w:rPr>
                <w:webHidden/>
              </w:rPr>
              <w:fldChar w:fldCharType="separate"/>
            </w:r>
            <w:r>
              <w:rPr>
                <w:webHidden/>
              </w:rPr>
              <w:t>193</w:t>
            </w:r>
            <w:r>
              <w:rPr>
                <w:webHidden/>
              </w:rPr>
              <w:fldChar w:fldCharType="end"/>
            </w:r>
          </w:hyperlink>
        </w:p>
        <w:p w14:paraId="726C0C8E" w14:textId="683E0BE5" w:rsidR="00274557" w:rsidRDefault="00274557">
          <w:pPr>
            <w:pStyle w:val="TOC3"/>
            <w:rPr>
              <w:rFonts w:asciiTheme="minorHAnsi" w:hAnsiTheme="minorHAnsi"/>
              <w:sz w:val="22"/>
            </w:rPr>
          </w:pPr>
          <w:hyperlink w:anchor="_Toc192874940" w:history="1">
            <w:r>
              <w:rPr>
                <w:rStyle w:val="Hyperlink"/>
                <w:bCs/>
              </w:rPr>
              <w:t>9.3.4</w:t>
            </w:r>
            <w:r>
              <w:rPr>
                <w:rFonts w:asciiTheme="minorHAnsi" w:hAnsiTheme="minorHAnsi"/>
                <w:sz w:val="22"/>
              </w:rPr>
              <w:tab/>
            </w:r>
            <w:r>
              <w:rPr>
                <w:rStyle w:val="Hyperlink"/>
              </w:rPr>
              <w:t>Risk Status</w:t>
            </w:r>
            <w:r>
              <w:rPr>
                <w:webHidden/>
              </w:rPr>
              <w:tab/>
            </w:r>
            <w:r>
              <w:rPr>
                <w:webHidden/>
              </w:rPr>
              <w:fldChar w:fldCharType="begin"/>
            </w:r>
            <w:r>
              <w:rPr>
                <w:webHidden/>
              </w:rPr>
              <w:instrText xml:space="preserve"> PAGEREF _Toc192874940 \h </w:instrText>
            </w:r>
            <w:r>
              <w:rPr>
                <w:webHidden/>
              </w:rPr>
            </w:r>
            <w:r>
              <w:rPr>
                <w:webHidden/>
              </w:rPr>
              <w:fldChar w:fldCharType="separate"/>
            </w:r>
            <w:r>
              <w:rPr>
                <w:webHidden/>
              </w:rPr>
              <w:t>195</w:t>
            </w:r>
            <w:r>
              <w:rPr>
                <w:webHidden/>
              </w:rPr>
              <w:fldChar w:fldCharType="end"/>
            </w:r>
          </w:hyperlink>
        </w:p>
        <w:p w14:paraId="362A8EA9" w14:textId="3A529EFB" w:rsidR="00274557" w:rsidRDefault="00274557">
          <w:pPr>
            <w:pStyle w:val="TOC3"/>
            <w:rPr>
              <w:rFonts w:asciiTheme="minorHAnsi" w:hAnsiTheme="minorHAnsi"/>
              <w:sz w:val="22"/>
            </w:rPr>
          </w:pPr>
          <w:hyperlink w:anchor="_Toc192874941" w:history="1">
            <w:r>
              <w:rPr>
                <w:rStyle w:val="Hyperlink"/>
                <w:bCs/>
              </w:rPr>
              <w:t>9.3.5</w:t>
            </w:r>
            <w:r>
              <w:rPr>
                <w:rFonts w:asciiTheme="minorHAnsi" w:hAnsiTheme="minorHAnsi"/>
                <w:sz w:val="22"/>
              </w:rPr>
              <w:tab/>
            </w:r>
            <w:r>
              <w:rPr>
                <w:rStyle w:val="Hyperlink"/>
              </w:rPr>
              <w:t>Risk Attributes, Types, and Tracks</w:t>
            </w:r>
            <w:r>
              <w:rPr>
                <w:webHidden/>
              </w:rPr>
              <w:tab/>
            </w:r>
            <w:r>
              <w:rPr>
                <w:webHidden/>
              </w:rPr>
              <w:fldChar w:fldCharType="begin"/>
            </w:r>
            <w:r>
              <w:rPr>
                <w:webHidden/>
              </w:rPr>
              <w:instrText xml:space="preserve"> PAGEREF _Toc192874941 \h </w:instrText>
            </w:r>
            <w:r>
              <w:rPr>
                <w:webHidden/>
              </w:rPr>
            </w:r>
            <w:r>
              <w:rPr>
                <w:webHidden/>
              </w:rPr>
              <w:fldChar w:fldCharType="separate"/>
            </w:r>
            <w:r>
              <w:rPr>
                <w:webHidden/>
              </w:rPr>
              <w:t>196</w:t>
            </w:r>
            <w:r>
              <w:rPr>
                <w:webHidden/>
              </w:rPr>
              <w:fldChar w:fldCharType="end"/>
            </w:r>
          </w:hyperlink>
        </w:p>
        <w:p w14:paraId="19AFB29A" w14:textId="4F4FE097" w:rsidR="00274557" w:rsidRDefault="00274557">
          <w:pPr>
            <w:pStyle w:val="TOC3"/>
            <w:rPr>
              <w:rFonts w:asciiTheme="minorHAnsi" w:hAnsiTheme="minorHAnsi"/>
              <w:sz w:val="22"/>
            </w:rPr>
          </w:pPr>
          <w:hyperlink w:anchor="_Toc192874942" w:history="1">
            <w:r>
              <w:rPr>
                <w:rStyle w:val="Hyperlink"/>
                <w:bCs/>
              </w:rPr>
              <w:t>9.3.6</w:t>
            </w:r>
            <w:r>
              <w:rPr>
                <w:rFonts w:asciiTheme="minorHAnsi" w:hAnsiTheme="minorHAnsi"/>
                <w:sz w:val="22"/>
              </w:rPr>
              <w:tab/>
            </w:r>
            <w:r>
              <w:rPr>
                <w:rStyle w:val="Hyperlink"/>
              </w:rPr>
              <w:t>Escalation Level</w:t>
            </w:r>
            <w:r>
              <w:rPr>
                <w:webHidden/>
              </w:rPr>
              <w:tab/>
            </w:r>
            <w:r>
              <w:rPr>
                <w:webHidden/>
              </w:rPr>
              <w:fldChar w:fldCharType="begin"/>
            </w:r>
            <w:r>
              <w:rPr>
                <w:webHidden/>
              </w:rPr>
              <w:instrText xml:space="preserve"> PAGEREF _Toc192874942 \h </w:instrText>
            </w:r>
            <w:r>
              <w:rPr>
                <w:webHidden/>
              </w:rPr>
            </w:r>
            <w:r>
              <w:rPr>
                <w:webHidden/>
              </w:rPr>
              <w:fldChar w:fldCharType="separate"/>
            </w:r>
            <w:r>
              <w:rPr>
                <w:webHidden/>
              </w:rPr>
              <w:t>196</w:t>
            </w:r>
            <w:r>
              <w:rPr>
                <w:webHidden/>
              </w:rPr>
              <w:fldChar w:fldCharType="end"/>
            </w:r>
          </w:hyperlink>
        </w:p>
        <w:p w14:paraId="0463832F" w14:textId="7AC6B3A7" w:rsidR="00274557" w:rsidRDefault="00274557">
          <w:pPr>
            <w:pStyle w:val="TOC3"/>
            <w:rPr>
              <w:rFonts w:asciiTheme="minorHAnsi" w:hAnsiTheme="minorHAnsi"/>
              <w:sz w:val="22"/>
            </w:rPr>
          </w:pPr>
          <w:hyperlink w:anchor="_Toc192874943" w:history="1">
            <w:r>
              <w:rPr>
                <w:rStyle w:val="Hyperlink"/>
                <w:bCs/>
              </w:rPr>
              <w:t>9.3.7</w:t>
            </w:r>
            <w:r>
              <w:rPr>
                <w:rFonts w:asciiTheme="minorHAnsi" w:hAnsiTheme="minorHAnsi"/>
                <w:sz w:val="22"/>
              </w:rPr>
              <w:tab/>
            </w:r>
            <w:r>
              <w:rPr>
                <w:rStyle w:val="Hyperlink"/>
              </w:rPr>
              <w:t>Risk Probability, Impact, and Severity</w:t>
            </w:r>
            <w:r>
              <w:rPr>
                <w:webHidden/>
              </w:rPr>
              <w:tab/>
            </w:r>
            <w:r>
              <w:rPr>
                <w:webHidden/>
              </w:rPr>
              <w:fldChar w:fldCharType="begin"/>
            </w:r>
            <w:r>
              <w:rPr>
                <w:webHidden/>
              </w:rPr>
              <w:instrText xml:space="preserve"> PAGEREF _Toc192874943 \h </w:instrText>
            </w:r>
            <w:r>
              <w:rPr>
                <w:webHidden/>
              </w:rPr>
            </w:r>
            <w:r>
              <w:rPr>
                <w:webHidden/>
              </w:rPr>
              <w:fldChar w:fldCharType="separate"/>
            </w:r>
            <w:r>
              <w:rPr>
                <w:webHidden/>
              </w:rPr>
              <w:t>197</w:t>
            </w:r>
            <w:r>
              <w:rPr>
                <w:webHidden/>
              </w:rPr>
              <w:fldChar w:fldCharType="end"/>
            </w:r>
          </w:hyperlink>
        </w:p>
        <w:p w14:paraId="78AC4F41" w14:textId="719C69D0" w:rsidR="00274557" w:rsidRDefault="00274557">
          <w:pPr>
            <w:pStyle w:val="TOC3"/>
            <w:rPr>
              <w:rFonts w:asciiTheme="minorHAnsi" w:hAnsiTheme="minorHAnsi"/>
              <w:sz w:val="22"/>
            </w:rPr>
          </w:pPr>
          <w:hyperlink w:anchor="_Toc192874944" w:history="1">
            <w:r>
              <w:rPr>
                <w:rStyle w:val="Hyperlink"/>
                <w:bCs/>
              </w:rPr>
              <w:t>9.3.8</w:t>
            </w:r>
            <w:r>
              <w:rPr>
                <w:rFonts w:asciiTheme="minorHAnsi" w:hAnsiTheme="minorHAnsi"/>
                <w:sz w:val="22"/>
              </w:rPr>
              <w:tab/>
            </w:r>
            <w:r>
              <w:rPr>
                <w:rStyle w:val="Hyperlink"/>
              </w:rPr>
              <w:t>Risk Monitoring and Reporting</w:t>
            </w:r>
            <w:r>
              <w:rPr>
                <w:webHidden/>
              </w:rPr>
              <w:tab/>
            </w:r>
            <w:r>
              <w:rPr>
                <w:webHidden/>
              </w:rPr>
              <w:fldChar w:fldCharType="begin"/>
            </w:r>
            <w:r>
              <w:rPr>
                <w:webHidden/>
              </w:rPr>
              <w:instrText xml:space="preserve"> PAGEREF _Toc192874944 \h </w:instrText>
            </w:r>
            <w:r>
              <w:rPr>
                <w:webHidden/>
              </w:rPr>
            </w:r>
            <w:r>
              <w:rPr>
                <w:webHidden/>
              </w:rPr>
              <w:fldChar w:fldCharType="separate"/>
            </w:r>
            <w:r>
              <w:rPr>
                <w:webHidden/>
              </w:rPr>
              <w:t>198</w:t>
            </w:r>
            <w:r>
              <w:rPr>
                <w:webHidden/>
              </w:rPr>
              <w:fldChar w:fldCharType="end"/>
            </w:r>
          </w:hyperlink>
        </w:p>
        <w:p w14:paraId="05695EC3" w14:textId="69E3DC27" w:rsidR="00274557" w:rsidRDefault="00274557">
          <w:pPr>
            <w:pStyle w:val="TOC3"/>
            <w:rPr>
              <w:rFonts w:asciiTheme="minorHAnsi" w:hAnsiTheme="minorHAnsi"/>
              <w:sz w:val="22"/>
            </w:rPr>
          </w:pPr>
          <w:hyperlink w:anchor="_Toc192874945" w:history="1">
            <w:r>
              <w:rPr>
                <w:rStyle w:val="Hyperlink"/>
                <w:bCs/>
              </w:rPr>
              <w:t>9.3.9</w:t>
            </w:r>
            <w:r>
              <w:rPr>
                <w:rFonts w:asciiTheme="minorHAnsi" w:hAnsiTheme="minorHAnsi"/>
                <w:sz w:val="22"/>
              </w:rPr>
              <w:tab/>
            </w:r>
            <w:r>
              <w:rPr>
                <w:rStyle w:val="Hyperlink"/>
              </w:rPr>
              <w:t>Lessons Learned</w:t>
            </w:r>
            <w:r>
              <w:rPr>
                <w:webHidden/>
              </w:rPr>
              <w:tab/>
            </w:r>
            <w:r>
              <w:rPr>
                <w:webHidden/>
              </w:rPr>
              <w:fldChar w:fldCharType="begin"/>
            </w:r>
            <w:r>
              <w:rPr>
                <w:webHidden/>
              </w:rPr>
              <w:instrText xml:space="preserve"> PAGEREF _Toc192874945 \h </w:instrText>
            </w:r>
            <w:r>
              <w:rPr>
                <w:webHidden/>
              </w:rPr>
            </w:r>
            <w:r>
              <w:rPr>
                <w:webHidden/>
              </w:rPr>
              <w:fldChar w:fldCharType="separate"/>
            </w:r>
            <w:r>
              <w:rPr>
                <w:webHidden/>
              </w:rPr>
              <w:t>199</w:t>
            </w:r>
            <w:r>
              <w:rPr>
                <w:webHidden/>
              </w:rPr>
              <w:fldChar w:fldCharType="end"/>
            </w:r>
          </w:hyperlink>
        </w:p>
        <w:p w14:paraId="366512EA" w14:textId="5DF8F116" w:rsidR="00274557" w:rsidRDefault="00274557">
          <w:pPr>
            <w:pStyle w:val="TOC2"/>
            <w:rPr>
              <w:rFonts w:asciiTheme="minorHAnsi" w:eastAsiaTheme="minorEastAsia" w:hAnsiTheme="minorHAnsi"/>
              <w:b w:val="0"/>
              <w:kern w:val="2"/>
              <w:sz w:val="22"/>
              <w:lang w:val="en-US"/>
              <w14:ligatures w14:val="standardContextual"/>
            </w:rPr>
          </w:pPr>
          <w:hyperlink w:anchor="_Toc192874946" w:history="1">
            <w:r>
              <w:rPr>
                <w:rStyle w:val="Hyperlink"/>
              </w:rPr>
              <w:t>9.4</w:t>
            </w:r>
            <w:r>
              <w:rPr>
                <w:rFonts w:asciiTheme="minorHAnsi" w:eastAsiaTheme="minorEastAsia" w:hAnsiTheme="minorHAnsi"/>
                <w:b w:val="0"/>
                <w:kern w:val="2"/>
                <w:sz w:val="22"/>
                <w:lang w:val="en-US"/>
                <w14:ligatures w14:val="standardContextual"/>
              </w:rPr>
              <w:tab/>
            </w:r>
            <w:r>
              <w:rPr>
                <w:rStyle w:val="Hyperlink"/>
              </w:rPr>
              <w:t>Issue Resolution Approach</w:t>
            </w:r>
            <w:r>
              <w:rPr>
                <w:webHidden/>
              </w:rPr>
              <w:tab/>
            </w:r>
            <w:r>
              <w:rPr>
                <w:webHidden/>
              </w:rPr>
              <w:fldChar w:fldCharType="begin"/>
            </w:r>
            <w:r>
              <w:rPr>
                <w:webHidden/>
              </w:rPr>
              <w:instrText xml:space="preserve"> PAGEREF _Toc192874946 \h </w:instrText>
            </w:r>
            <w:r>
              <w:rPr>
                <w:webHidden/>
              </w:rPr>
            </w:r>
            <w:r>
              <w:rPr>
                <w:webHidden/>
              </w:rPr>
              <w:fldChar w:fldCharType="separate"/>
            </w:r>
            <w:r>
              <w:rPr>
                <w:webHidden/>
              </w:rPr>
              <w:t>199</w:t>
            </w:r>
            <w:r>
              <w:rPr>
                <w:webHidden/>
              </w:rPr>
              <w:fldChar w:fldCharType="end"/>
            </w:r>
          </w:hyperlink>
        </w:p>
        <w:p w14:paraId="5E937E10" w14:textId="70B03F32" w:rsidR="00274557" w:rsidRDefault="00274557">
          <w:pPr>
            <w:pStyle w:val="TOC3"/>
            <w:rPr>
              <w:rFonts w:asciiTheme="minorHAnsi" w:hAnsiTheme="minorHAnsi"/>
              <w:sz w:val="22"/>
            </w:rPr>
          </w:pPr>
          <w:hyperlink w:anchor="_Toc192874947" w:history="1">
            <w:r>
              <w:rPr>
                <w:rStyle w:val="Hyperlink"/>
                <w:bCs/>
              </w:rPr>
              <w:t>9.4.1</w:t>
            </w:r>
            <w:r>
              <w:rPr>
                <w:rFonts w:asciiTheme="minorHAnsi" w:hAnsiTheme="minorHAnsi"/>
                <w:sz w:val="22"/>
              </w:rPr>
              <w:tab/>
            </w:r>
            <w:r>
              <w:rPr>
                <w:rStyle w:val="Hyperlink"/>
              </w:rPr>
              <w:t>Issue Identification Summary</w:t>
            </w:r>
            <w:r>
              <w:rPr>
                <w:webHidden/>
              </w:rPr>
              <w:tab/>
            </w:r>
            <w:r>
              <w:rPr>
                <w:webHidden/>
              </w:rPr>
              <w:fldChar w:fldCharType="begin"/>
            </w:r>
            <w:r>
              <w:rPr>
                <w:webHidden/>
              </w:rPr>
              <w:instrText xml:space="preserve"> PAGEREF _Toc192874947 \h </w:instrText>
            </w:r>
            <w:r>
              <w:rPr>
                <w:webHidden/>
              </w:rPr>
            </w:r>
            <w:r>
              <w:rPr>
                <w:webHidden/>
              </w:rPr>
              <w:fldChar w:fldCharType="separate"/>
            </w:r>
            <w:r>
              <w:rPr>
                <w:webHidden/>
              </w:rPr>
              <w:t>199</w:t>
            </w:r>
            <w:r>
              <w:rPr>
                <w:webHidden/>
              </w:rPr>
              <w:fldChar w:fldCharType="end"/>
            </w:r>
          </w:hyperlink>
        </w:p>
        <w:p w14:paraId="5B580A98" w14:textId="3FABC0E5" w:rsidR="00274557" w:rsidRDefault="00274557">
          <w:pPr>
            <w:pStyle w:val="TOC3"/>
            <w:rPr>
              <w:rFonts w:asciiTheme="minorHAnsi" w:hAnsiTheme="minorHAnsi"/>
              <w:sz w:val="22"/>
            </w:rPr>
          </w:pPr>
          <w:hyperlink w:anchor="_Toc192874948" w:history="1">
            <w:r>
              <w:rPr>
                <w:rStyle w:val="Hyperlink"/>
                <w:bCs/>
              </w:rPr>
              <w:t>9.4.2</w:t>
            </w:r>
            <w:r>
              <w:rPr>
                <w:rFonts w:asciiTheme="minorHAnsi" w:hAnsiTheme="minorHAnsi"/>
                <w:sz w:val="22"/>
              </w:rPr>
              <w:tab/>
            </w:r>
            <w:r>
              <w:rPr>
                <w:rStyle w:val="Hyperlink"/>
              </w:rPr>
              <w:t>Issue Resolution Process Summary</w:t>
            </w:r>
            <w:r>
              <w:rPr>
                <w:webHidden/>
              </w:rPr>
              <w:tab/>
            </w:r>
            <w:r>
              <w:rPr>
                <w:webHidden/>
              </w:rPr>
              <w:fldChar w:fldCharType="begin"/>
            </w:r>
            <w:r>
              <w:rPr>
                <w:webHidden/>
              </w:rPr>
              <w:instrText xml:space="preserve"> PAGEREF _Toc192874948 \h </w:instrText>
            </w:r>
            <w:r>
              <w:rPr>
                <w:webHidden/>
              </w:rPr>
            </w:r>
            <w:r>
              <w:rPr>
                <w:webHidden/>
              </w:rPr>
              <w:fldChar w:fldCharType="separate"/>
            </w:r>
            <w:r>
              <w:rPr>
                <w:webHidden/>
              </w:rPr>
              <w:t>199</w:t>
            </w:r>
            <w:r>
              <w:rPr>
                <w:webHidden/>
              </w:rPr>
              <w:fldChar w:fldCharType="end"/>
            </w:r>
          </w:hyperlink>
        </w:p>
        <w:p w14:paraId="5B9B60CE" w14:textId="667289D5" w:rsidR="00274557" w:rsidRDefault="00274557">
          <w:pPr>
            <w:pStyle w:val="TOC3"/>
            <w:rPr>
              <w:rFonts w:asciiTheme="minorHAnsi" w:hAnsiTheme="minorHAnsi"/>
              <w:sz w:val="22"/>
            </w:rPr>
          </w:pPr>
          <w:hyperlink w:anchor="_Toc192874949" w:history="1">
            <w:r>
              <w:rPr>
                <w:rStyle w:val="Hyperlink"/>
                <w:bCs/>
              </w:rPr>
              <w:t>9.4.3</w:t>
            </w:r>
            <w:r>
              <w:rPr>
                <w:rFonts w:asciiTheme="minorHAnsi" w:hAnsiTheme="minorHAnsi"/>
                <w:sz w:val="22"/>
              </w:rPr>
              <w:tab/>
            </w:r>
            <w:r>
              <w:rPr>
                <w:rStyle w:val="Hyperlink"/>
              </w:rPr>
              <w:t>Issue Resolution Process Flow Diagram</w:t>
            </w:r>
            <w:r>
              <w:rPr>
                <w:webHidden/>
              </w:rPr>
              <w:tab/>
            </w:r>
            <w:r>
              <w:rPr>
                <w:webHidden/>
              </w:rPr>
              <w:fldChar w:fldCharType="begin"/>
            </w:r>
            <w:r>
              <w:rPr>
                <w:webHidden/>
              </w:rPr>
              <w:instrText xml:space="preserve"> PAGEREF _Toc192874949 \h </w:instrText>
            </w:r>
            <w:r>
              <w:rPr>
                <w:webHidden/>
              </w:rPr>
            </w:r>
            <w:r>
              <w:rPr>
                <w:webHidden/>
              </w:rPr>
              <w:fldChar w:fldCharType="separate"/>
            </w:r>
            <w:r>
              <w:rPr>
                <w:webHidden/>
              </w:rPr>
              <w:t>200</w:t>
            </w:r>
            <w:r>
              <w:rPr>
                <w:webHidden/>
              </w:rPr>
              <w:fldChar w:fldCharType="end"/>
            </w:r>
          </w:hyperlink>
        </w:p>
        <w:p w14:paraId="72DD94C7" w14:textId="0EEF6041" w:rsidR="00274557" w:rsidRDefault="00274557">
          <w:pPr>
            <w:pStyle w:val="TOC3"/>
            <w:rPr>
              <w:rFonts w:asciiTheme="minorHAnsi" w:hAnsiTheme="minorHAnsi"/>
              <w:sz w:val="22"/>
            </w:rPr>
          </w:pPr>
          <w:hyperlink w:anchor="_Toc192874950" w:history="1">
            <w:r>
              <w:rPr>
                <w:rStyle w:val="Hyperlink"/>
                <w:bCs/>
              </w:rPr>
              <w:t>9.4.4</w:t>
            </w:r>
            <w:r>
              <w:rPr>
                <w:rFonts w:asciiTheme="minorHAnsi" w:hAnsiTheme="minorHAnsi"/>
                <w:sz w:val="22"/>
              </w:rPr>
              <w:tab/>
            </w:r>
            <w:r>
              <w:rPr>
                <w:rStyle w:val="Hyperlink"/>
              </w:rPr>
              <w:t>Issue Resolution Process Flow Narrative</w:t>
            </w:r>
            <w:r>
              <w:rPr>
                <w:webHidden/>
              </w:rPr>
              <w:tab/>
            </w:r>
            <w:r>
              <w:rPr>
                <w:webHidden/>
              </w:rPr>
              <w:fldChar w:fldCharType="begin"/>
            </w:r>
            <w:r>
              <w:rPr>
                <w:webHidden/>
              </w:rPr>
              <w:instrText xml:space="preserve"> PAGEREF _Toc192874950 \h </w:instrText>
            </w:r>
            <w:r>
              <w:rPr>
                <w:webHidden/>
              </w:rPr>
            </w:r>
            <w:r>
              <w:rPr>
                <w:webHidden/>
              </w:rPr>
              <w:fldChar w:fldCharType="separate"/>
            </w:r>
            <w:r>
              <w:rPr>
                <w:webHidden/>
              </w:rPr>
              <w:t>200</w:t>
            </w:r>
            <w:r>
              <w:rPr>
                <w:webHidden/>
              </w:rPr>
              <w:fldChar w:fldCharType="end"/>
            </w:r>
          </w:hyperlink>
        </w:p>
        <w:p w14:paraId="39A17D3F" w14:textId="7056C0D8" w:rsidR="00274557" w:rsidRDefault="00274557">
          <w:pPr>
            <w:pStyle w:val="TOC3"/>
            <w:rPr>
              <w:rFonts w:asciiTheme="minorHAnsi" w:hAnsiTheme="minorHAnsi"/>
              <w:sz w:val="22"/>
            </w:rPr>
          </w:pPr>
          <w:hyperlink w:anchor="_Toc192874951" w:history="1">
            <w:r>
              <w:rPr>
                <w:rStyle w:val="Hyperlink"/>
                <w:bCs/>
              </w:rPr>
              <w:t>9.4.5</w:t>
            </w:r>
            <w:r>
              <w:rPr>
                <w:rFonts w:asciiTheme="minorHAnsi" w:hAnsiTheme="minorHAnsi"/>
                <w:sz w:val="22"/>
              </w:rPr>
              <w:tab/>
            </w:r>
            <w:r>
              <w:rPr>
                <w:rStyle w:val="Hyperlink"/>
              </w:rPr>
              <w:t>Issue Status</w:t>
            </w:r>
            <w:r>
              <w:rPr>
                <w:webHidden/>
              </w:rPr>
              <w:tab/>
            </w:r>
            <w:r>
              <w:rPr>
                <w:webHidden/>
              </w:rPr>
              <w:fldChar w:fldCharType="begin"/>
            </w:r>
            <w:r>
              <w:rPr>
                <w:webHidden/>
              </w:rPr>
              <w:instrText xml:space="preserve"> PAGEREF _Toc192874951 \h </w:instrText>
            </w:r>
            <w:r>
              <w:rPr>
                <w:webHidden/>
              </w:rPr>
            </w:r>
            <w:r>
              <w:rPr>
                <w:webHidden/>
              </w:rPr>
              <w:fldChar w:fldCharType="separate"/>
            </w:r>
            <w:r>
              <w:rPr>
                <w:webHidden/>
              </w:rPr>
              <w:t>201</w:t>
            </w:r>
            <w:r>
              <w:rPr>
                <w:webHidden/>
              </w:rPr>
              <w:fldChar w:fldCharType="end"/>
            </w:r>
          </w:hyperlink>
        </w:p>
        <w:p w14:paraId="034EA38C" w14:textId="14E87625" w:rsidR="00274557" w:rsidRDefault="00274557">
          <w:pPr>
            <w:pStyle w:val="TOC3"/>
            <w:rPr>
              <w:rFonts w:asciiTheme="minorHAnsi" w:hAnsiTheme="minorHAnsi"/>
              <w:sz w:val="22"/>
            </w:rPr>
          </w:pPr>
          <w:hyperlink w:anchor="_Toc192874952" w:history="1">
            <w:r>
              <w:rPr>
                <w:rStyle w:val="Hyperlink"/>
                <w:bCs/>
              </w:rPr>
              <w:t>9.4.6</w:t>
            </w:r>
            <w:r>
              <w:rPr>
                <w:rFonts w:asciiTheme="minorHAnsi" w:hAnsiTheme="minorHAnsi"/>
                <w:sz w:val="22"/>
              </w:rPr>
              <w:tab/>
            </w:r>
            <w:r>
              <w:rPr>
                <w:rStyle w:val="Hyperlink"/>
              </w:rPr>
              <w:t>Issue Attributes, Types, and Tracks</w:t>
            </w:r>
            <w:r>
              <w:rPr>
                <w:webHidden/>
              </w:rPr>
              <w:tab/>
            </w:r>
            <w:r>
              <w:rPr>
                <w:webHidden/>
              </w:rPr>
              <w:fldChar w:fldCharType="begin"/>
            </w:r>
            <w:r>
              <w:rPr>
                <w:webHidden/>
              </w:rPr>
              <w:instrText xml:space="preserve"> PAGEREF _Toc192874952 \h </w:instrText>
            </w:r>
            <w:r>
              <w:rPr>
                <w:webHidden/>
              </w:rPr>
            </w:r>
            <w:r>
              <w:rPr>
                <w:webHidden/>
              </w:rPr>
              <w:fldChar w:fldCharType="separate"/>
            </w:r>
            <w:r>
              <w:rPr>
                <w:webHidden/>
              </w:rPr>
              <w:t>202</w:t>
            </w:r>
            <w:r>
              <w:rPr>
                <w:webHidden/>
              </w:rPr>
              <w:fldChar w:fldCharType="end"/>
            </w:r>
          </w:hyperlink>
        </w:p>
        <w:p w14:paraId="7AE4D42C" w14:textId="53032DCA" w:rsidR="00274557" w:rsidRDefault="00274557">
          <w:pPr>
            <w:pStyle w:val="TOC3"/>
            <w:rPr>
              <w:rFonts w:asciiTheme="minorHAnsi" w:hAnsiTheme="minorHAnsi"/>
              <w:sz w:val="22"/>
            </w:rPr>
          </w:pPr>
          <w:hyperlink w:anchor="_Toc192874953" w:history="1">
            <w:r>
              <w:rPr>
                <w:rStyle w:val="Hyperlink"/>
                <w:bCs/>
              </w:rPr>
              <w:t>9.4.7</w:t>
            </w:r>
            <w:r>
              <w:rPr>
                <w:rFonts w:asciiTheme="minorHAnsi" w:hAnsiTheme="minorHAnsi"/>
                <w:sz w:val="22"/>
              </w:rPr>
              <w:tab/>
            </w:r>
            <w:r>
              <w:rPr>
                <w:rStyle w:val="Hyperlink"/>
              </w:rPr>
              <w:t>Escalation Level</w:t>
            </w:r>
            <w:r>
              <w:rPr>
                <w:webHidden/>
              </w:rPr>
              <w:tab/>
            </w:r>
            <w:r>
              <w:rPr>
                <w:webHidden/>
              </w:rPr>
              <w:fldChar w:fldCharType="begin"/>
            </w:r>
            <w:r>
              <w:rPr>
                <w:webHidden/>
              </w:rPr>
              <w:instrText xml:space="preserve"> PAGEREF _Toc192874953 \h </w:instrText>
            </w:r>
            <w:r>
              <w:rPr>
                <w:webHidden/>
              </w:rPr>
            </w:r>
            <w:r>
              <w:rPr>
                <w:webHidden/>
              </w:rPr>
              <w:fldChar w:fldCharType="separate"/>
            </w:r>
            <w:r>
              <w:rPr>
                <w:webHidden/>
              </w:rPr>
              <w:t>202</w:t>
            </w:r>
            <w:r>
              <w:rPr>
                <w:webHidden/>
              </w:rPr>
              <w:fldChar w:fldCharType="end"/>
            </w:r>
          </w:hyperlink>
        </w:p>
        <w:p w14:paraId="37ACA388" w14:textId="2867D49C" w:rsidR="00274557" w:rsidRDefault="00274557">
          <w:pPr>
            <w:pStyle w:val="TOC3"/>
            <w:rPr>
              <w:rFonts w:asciiTheme="minorHAnsi" w:hAnsiTheme="minorHAnsi"/>
              <w:sz w:val="22"/>
            </w:rPr>
          </w:pPr>
          <w:hyperlink w:anchor="_Toc192874954" w:history="1">
            <w:r>
              <w:rPr>
                <w:rStyle w:val="Hyperlink"/>
                <w:bCs/>
              </w:rPr>
              <w:t>9.4.8</w:t>
            </w:r>
            <w:r>
              <w:rPr>
                <w:rFonts w:asciiTheme="minorHAnsi" w:hAnsiTheme="minorHAnsi"/>
                <w:sz w:val="22"/>
              </w:rPr>
              <w:tab/>
            </w:r>
            <w:r>
              <w:rPr>
                <w:rStyle w:val="Hyperlink"/>
              </w:rPr>
              <w:t>Issue Monitoring and Reporting</w:t>
            </w:r>
            <w:r>
              <w:rPr>
                <w:webHidden/>
              </w:rPr>
              <w:tab/>
            </w:r>
            <w:r>
              <w:rPr>
                <w:webHidden/>
              </w:rPr>
              <w:fldChar w:fldCharType="begin"/>
            </w:r>
            <w:r>
              <w:rPr>
                <w:webHidden/>
              </w:rPr>
              <w:instrText xml:space="preserve"> PAGEREF _Toc192874954 \h </w:instrText>
            </w:r>
            <w:r>
              <w:rPr>
                <w:webHidden/>
              </w:rPr>
            </w:r>
            <w:r>
              <w:rPr>
                <w:webHidden/>
              </w:rPr>
              <w:fldChar w:fldCharType="separate"/>
            </w:r>
            <w:r>
              <w:rPr>
                <w:webHidden/>
              </w:rPr>
              <w:t>203</w:t>
            </w:r>
            <w:r>
              <w:rPr>
                <w:webHidden/>
              </w:rPr>
              <w:fldChar w:fldCharType="end"/>
            </w:r>
          </w:hyperlink>
        </w:p>
        <w:p w14:paraId="750A796F" w14:textId="4CAA099B" w:rsidR="00274557" w:rsidRDefault="00274557">
          <w:pPr>
            <w:pStyle w:val="TOC2"/>
            <w:rPr>
              <w:rFonts w:asciiTheme="minorHAnsi" w:eastAsiaTheme="minorEastAsia" w:hAnsiTheme="minorHAnsi"/>
              <w:b w:val="0"/>
              <w:kern w:val="2"/>
              <w:sz w:val="22"/>
              <w:lang w:val="en-US"/>
              <w14:ligatures w14:val="standardContextual"/>
            </w:rPr>
          </w:pPr>
          <w:hyperlink w:anchor="_Toc192874955" w:history="1">
            <w:r>
              <w:rPr>
                <w:rStyle w:val="Hyperlink"/>
              </w:rPr>
              <w:t>9.5</w:t>
            </w:r>
            <w:r>
              <w:rPr>
                <w:rFonts w:asciiTheme="minorHAnsi" w:eastAsiaTheme="minorEastAsia" w:hAnsiTheme="minorHAnsi"/>
                <w:b w:val="0"/>
                <w:kern w:val="2"/>
                <w:sz w:val="22"/>
                <w:lang w:val="en-US"/>
                <w14:ligatures w14:val="standardContextual"/>
              </w:rPr>
              <w:tab/>
            </w:r>
            <w:r>
              <w:rPr>
                <w:rStyle w:val="Hyperlink"/>
              </w:rPr>
              <w:t>Action Item (AI) Management</w:t>
            </w:r>
            <w:r>
              <w:rPr>
                <w:webHidden/>
              </w:rPr>
              <w:tab/>
            </w:r>
            <w:r>
              <w:rPr>
                <w:webHidden/>
              </w:rPr>
              <w:fldChar w:fldCharType="begin"/>
            </w:r>
            <w:r>
              <w:rPr>
                <w:webHidden/>
              </w:rPr>
              <w:instrText xml:space="preserve"> PAGEREF _Toc192874955 \h </w:instrText>
            </w:r>
            <w:r>
              <w:rPr>
                <w:webHidden/>
              </w:rPr>
            </w:r>
            <w:r>
              <w:rPr>
                <w:webHidden/>
              </w:rPr>
              <w:fldChar w:fldCharType="separate"/>
            </w:r>
            <w:r>
              <w:rPr>
                <w:webHidden/>
              </w:rPr>
              <w:t>204</w:t>
            </w:r>
            <w:r>
              <w:rPr>
                <w:webHidden/>
              </w:rPr>
              <w:fldChar w:fldCharType="end"/>
            </w:r>
          </w:hyperlink>
        </w:p>
        <w:p w14:paraId="2DE1A025" w14:textId="5019F108" w:rsidR="00274557" w:rsidRDefault="00274557">
          <w:pPr>
            <w:pStyle w:val="TOC3"/>
            <w:rPr>
              <w:rFonts w:asciiTheme="minorHAnsi" w:hAnsiTheme="minorHAnsi"/>
              <w:sz w:val="22"/>
            </w:rPr>
          </w:pPr>
          <w:hyperlink w:anchor="_Toc192874956" w:history="1">
            <w:r>
              <w:rPr>
                <w:rStyle w:val="Hyperlink"/>
                <w:bCs/>
              </w:rPr>
              <w:t>9.5.1</w:t>
            </w:r>
            <w:r>
              <w:rPr>
                <w:rFonts w:asciiTheme="minorHAnsi" w:hAnsiTheme="minorHAnsi"/>
                <w:sz w:val="22"/>
              </w:rPr>
              <w:tab/>
            </w:r>
            <w:r>
              <w:rPr>
                <w:rStyle w:val="Hyperlink"/>
              </w:rPr>
              <w:t>Action Item Management Process Flow</w:t>
            </w:r>
            <w:r>
              <w:rPr>
                <w:webHidden/>
              </w:rPr>
              <w:tab/>
            </w:r>
            <w:r>
              <w:rPr>
                <w:webHidden/>
              </w:rPr>
              <w:fldChar w:fldCharType="begin"/>
            </w:r>
            <w:r>
              <w:rPr>
                <w:webHidden/>
              </w:rPr>
              <w:instrText xml:space="preserve"> PAGEREF _Toc192874956 \h </w:instrText>
            </w:r>
            <w:r>
              <w:rPr>
                <w:webHidden/>
              </w:rPr>
            </w:r>
            <w:r>
              <w:rPr>
                <w:webHidden/>
              </w:rPr>
              <w:fldChar w:fldCharType="separate"/>
            </w:r>
            <w:r>
              <w:rPr>
                <w:webHidden/>
              </w:rPr>
              <w:t>204</w:t>
            </w:r>
            <w:r>
              <w:rPr>
                <w:webHidden/>
              </w:rPr>
              <w:fldChar w:fldCharType="end"/>
            </w:r>
          </w:hyperlink>
        </w:p>
        <w:p w14:paraId="43C978FE" w14:textId="7F686E6D" w:rsidR="00274557" w:rsidRDefault="00274557">
          <w:pPr>
            <w:pStyle w:val="TOC3"/>
            <w:rPr>
              <w:rFonts w:asciiTheme="minorHAnsi" w:hAnsiTheme="minorHAnsi"/>
              <w:sz w:val="22"/>
            </w:rPr>
          </w:pPr>
          <w:hyperlink w:anchor="_Toc192874957" w:history="1">
            <w:r>
              <w:rPr>
                <w:rStyle w:val="Hyperlink"/>
                <w:bCs/>
              </w:rPr>
              <w:t>9.5.2</w:t>
            </w:r>
            <w:r>
              <w:rPr>
                <w:rFonts w:asciiTheme="minorHAnsi" w:hAnsiTheme="minorHAnsi"/>
                <w:sz w:val="22"/>
              </w:rPr>
              <w:tab/>
            </w:r>
            <w:r>
              <w:rPr>
                <w:rStyle w:val="Hyperlink"/>
              </w:rPr>
              <w:t>Action Item Management Process Flow Narrative</w:t>
            </w:r>
            <w:r>
              <w:rPr>
                <w:webHidden/>
              </w:rPr>
              <w:tab/>
            </w:r>
            <w:r>
              <w:rPr>
                <w:webHidden/>
              </w:rPr>
              <w:fldChar w:fldCharType="begin"/>
            </w:r>
            <w:r>
              <w:rPr>
                <w:webHidden/>
              </w:rPr>
              <w:instrText xml:space="preserve"> PAGEREF _Toc192874957 \h </w:instrText>
            </w:r>
            <w:r>
              <w:rPr>
                <w:webHidden/>
              </w:rPr>
            </w:r>
            <w:r>
              <w:rPr>
                <w:webHidden/>
              </w:rPr>
              <w:fldChar w:fldCharType="separate"/>
            </w:r>
            <w:r>
              <w:rPr>
                <w:webHidden/>
              </w:rPr>
              <w:t>204</w:t>
            </w:r>
            <w:r>
              <w:rPr>
                <w:webHidden/>
              </w:rPr>
              <w:fldChar w:fldCharType="end"/>
            </w:r>
          </w:hyperlink>
        </w:p>
        <w:p w14:paraId="2333820A" w14:textId="04929A7E" w:rsidR="00274557" w:rsidRDefault="00274557">
          <w:pPr>
            <w:pStyle w:val="TOC3"/>
            <w:rPr>
              <w:rFonts w:asciiTheme="minorHAnsi" w:hAnsiTheme="minorHAnsi"/>
              <w:sz w:val="22"/>
            </w:rPr>
          </w:pPr>
          <w:hyperlink w:anchor="_Toc192874958" w:history="1">
            <w:r>
              <w:rPr>
                <w:rStyle w:val="Hyperlink"/>
                <w:bCs/>
              </w:rPr>
              <w:t>9.5.3</w:t>
            </w:r>
            <w:r>
              <w:rPr>
                <w:rFonts w:asciiTheme="minorHAnsi" w:hAnsiTheme="minorHAnsi"/>
                <w:sz w:val="22"/>
              </w:rPr>
              <w:tab/>
            </w:r>
            <w:r>
              <w:rPr>
                <w:rStyle w:val="Hyperlink"/>
              </w:rPr>
              <w:t>Action Item Attributes</w:t>
            </w:r>
            <w:r>
              <w:rPr>
                <w:webHidden/>
              </w:rPr>
              <w:tab/>
            </w:r>
            <w:r>
              <w:rPr>
                <w:webHidden/>
              </w:rPr>
              <w:fldChar w:fldCharType="begin"/>
            </w:r>
            <w:r>
              <w:rPr>
                <w:webHidden/>
              </w:rPr>
              <w:instrText xml:space="preserve"> PAGEREF _Toc192874958 \h </w:instrText>
            </w:r>
            <w:r>
              <w:rPr>
                <w:webHidden/>
              </w:rPr>
            </w:r>
            <w:r>
              <w:rPr>
                <w:webHidden/>
              </w:rPr>
              <w:fldChar w:fldCharType="separate"/>
            </w:r>
            <w:r>
              <w:rPr>
                <w:webHidden/>
              </w:rPr>
              <w:t>205</w:t>
            </w:r>
            <w:r>
              <w:rPr>
                <w:webHidden/>
              </w:rPr>
              <w:fldChar w:fldCharType="end"/>
            </w:r>
          </w:hyperlink>
        </w:p>
        <w:p w14:paraId="0A108457" w14:textId="75084206" w:rsidR="00274557" w:rsidRDefault="00274557">
          <w:pPr>
            <w:pStyle w:val="TOC3"/>
            <w:rPr>
              <w:rFonts w:asciiTheme="minorHAnsi" w:hAnsiTheme="minorHAnsi"/>
              <w:sz w:val="22"/>
            </w:rPr>
          </w:pPr>
          <w:hyperlink w:anchor="_Toc192874959" w:history="1">
            <w:r>
              <w:rPr>
                <w:rStyle w:val="Hyperlink"/>
                <w:bCs/>
              </w:rPr>
              <w:t>9.5.4</w:t>
            </w:r>
            <w:r>
              <w:rPr>
                <w:rFonts w:asciiTheme="minorHAnsi" w:hAnsiTheme="minorHAnsi"/>
                <w:sz w:val="22"/>
              </w:rPr>
              <w:tab/>
            </w:r>
            <w:r>
              <w:rPr>
                <w:rStyle w:val="Hyperlink"/>
              </w:rPr>
              <w:t>Action Item Types</w:t>
            </w:r>
            <w:r>
              <w:rPr>
                <w:webHidden/>
              </w:rPr>
              <w:tab/>
            </w:r>
            <w:r>
              <w:rPr>
                <w:webHidden/>
              </w:rPr>
              <w:fldChar w:fldCharType="begin"/>
            </w:r>
            <w:r>
              <w:rPr>
                <w:webHidden/>
              </w:rPr>
              <w:instrText xml:space="preserve"> PAGEREF _Toc192874959 \h </w:instrText>
            </w:r>
            <w:r>
              <w:rPr>
                <w:webHidden/>
              </w:rPr>
            </w:r>
            <w:r>
              <w:rPr>
                <w:webHidden/>
              </w:rPr>
              <w:fldChar w:fldCharType="separate"/>
            </w:r>
            <w:r>
              <w:rPr>
                <w:webHidden/>
              </w:rPr>
              <w:t>206</w:t>
            </w:r>
            <w:r>
              <w:rPr>
                <w:webHidden/>
              </w:rPr>
              <w:fldChar w:fldCharType="end"/>
            </w:r>
          </w:hyperlink>
        </w:p>
        <w:p w14:paraId="36B1B4C1" w14:textId="13A46FC6" w:rsidR="00274557" w:rsidRDefault="00274557">
          <w:pPr>
            <w:pStyle w:val="TOC3"/>
            <w:rPr>
              <w:rFonts w:asciiTheme="minorHAnsi" w:hAnsiTheme="minorHAnsi"/>
              <w:sz w:val="22"/>
            </w:rPr>
          </w:pPr>
          <w:hyperlink w:anchor="_Toc192874960" w:history="1">
            <w:r>
              <w:rPr>
                <w:rStyle w:val="Hyperlink"/>
                <w:bCs/>
              </w:rPr>
              <w:t>9.5.5</w:t>
            </w:r>
            <w:r>
              <w:rPr>
                <w:rFonts w:asciiTheme="minorHAnsi" w:hAnsiTheme="minorHAnsi"/>
                <w:sz w:val="22"/>
              </w:rPr>
              <w:tab/>
            </w:r>
            <w:r>
              <w:rPr>
                <w:rStyle w:val="Hyperlink"/>
              </w:rPr>
              <w:t>Action Item Priorities</w:t>
            </w:r>
            <w:r>
              <w:rPr>
                <w:webHidden/>
              </w:rPr>
              <w:tab/>
            </w:r>
            <w:r>
              <w:rPr>
                <w:webHidden/>
              </w:rPr>
              <w:fldChar w:fldCharType="begin"/>
            </w:r>
            <w:r>
              <w:rPr>
                <w:webHidden/>
              </w:rPr>
              <w:instrText xml:space="preserve"> PAGEREF _Toc192874960 \h </w:instrText>
            </w:r>
            <w:r>
              <w:rPr>
                <w:webHidden/>
              </w:rPr>
            </w:r>
            <w:r>
              <w:rPr>
                <w:webHidden/>
              </w:rPr>
              <w:fldChar w:fldCharType="separate"/>
            </w:r>
            <w:r>
              <w:rPr>
                <w:webHidden/>
              </w:rPr>
              <w:t>206</w:t>
            </w:r>
            <w:r>
              <w:rPr>
                <w:webHidden/>
              </w:rPr>
              <w:fldChar w:fldCharType="end"/>
            </w:r>
          </w:hyperlink>
        </w:p>
        <w:p w14:paraId="5A701DF6" w14:textId="481ADF3F" w:rsidR="00274557" w:rsidRDefault="00274557">
          <w:pPr>
            <w:pStyle w:val="TOC3"/>
            <w:rPr>
              <w:rFonts w:asciiTheme="minorHAnsi" w:hAnsiTheme="minorHAnsi"/>
              <w:sz w:val="22"/>
            </w:rPr>
          </w:pPr>
          <w:hyperlink w:anchor="_Toc192874961" w:history="1">
            <w:r>
              <w:rPr>
                <w:rStyle w:val="Hyperlink"/>
                <w:bCs/>
              </w:rPr>
              <w:t>9.5.6</w:t>
            </w:r>
            <w:r>
              <w:rPr>
                <w:rFonts w:asciiTheme="minorHAnsi" w:hAnsiTheme="minorHAnsi"/>
                <w:sz w:val="22"/>
              </w:rPr>
              <w:tab/>
            </w:r>
            <w:r>
              <w:rPr>
                <w:rStyle w:val="Hyperlink"/>
              </w:rPr>
              <w:t>Action Item Status</w:t>
            </w:r>
            <w:r>
              <w:rPr>
                <w:webHidden/>
              </w:rPr>
              <w:tab/>
            </w:r>
            <w:r>
              <w:rPr>
                <w:webHidden/>
              </w:rPr>
              <w:fldChar w:fldCharType="begin"/>
            </w:r>
            <w:r>
              <w:rPr>
                <w:webHidden/>
              </w:rPr>
              <w:instrText xml:space="preserve"> PAGEREF _Toc192874961 \h </w:instrText>
            </w:r>
            <w:r>
              <w:rPr>
                <w:webHidden/>
              </w:rPr>
            </w:r>
            <w:r>
              <w:rPr>
                <w:webHidden/>
              </w:rPr>
              <w:fldChar w:fldCharType="separate"/>
            </w:r>
            <w:r>
              <w:rPr>
                <w:webHidden/>
              </w:rPr>
              <w:t>206</w:t>
            </w:r>
            <w:r>
              <w:rPr>
                <w:webHidden/>
              </w:rPr>
              <w:fldChar w:fldCharType="end"/>
            </w:r>
          </w:hyperlink>
        </w:p>
        <w:p w14:paraId="1A3A5C02" w14:textId="5B6FE274" w:rsidR="00274557" w:rsidRDefault="00274557">
          <w:pPr>
            <w:pStyle w:val="TOC3"/>
            <w:rPr>
              <w:rFonts w:asciiTheme="minorHAnsi" w:hAnsiTheme="minorHAnsi"/>
              <w:sz w:val="22"/>
            </w:rPr>
          </w:pPr>
          <w:hyperlink w:anchor="_Toc192874962" w:history="1">
            <w:r>
              <w:rPr>
                <w:rStyle w:val="Hyperlink"/>
                <w:bCs/>
              </w:rPr>
              <w:t>9.5.7</w:t>
            </w:r>
            <w:r>
              <w:rPr>
                <w:rFonts w:asciiTheme="minorHAnsi" w:hAnsiTheme="minorHAnsi"/>
                <w:sz w:val="22"/>
              </w:rPr>
              <w:tab/>
            </w:r>
            <w:r>
              <w:rPr>
                <w:rStyle w:val="Hyperlink"/>
              </w:rPr>
              <w:t>Close Action Item</w:t>
            </w:r>
            <w:r>
              <w:rPr>
                <w:webHidden/>
              </w:rPr>
              <w:tab/>
            </w:r>
            <w:r>
              <w:rPr>
                <w:webHidden/>
              </w:rPr>
              <w:fldChar w:fldCharType="begin"/>
            </w:r>
            <w:r>
              <w:rPr>
                <w:webHidden/>
              </w:rPr>
              <w:instrText xml:space="preserve"> PAGEREF _Toc192874962 \h </w:instrText>
            </w:r>
            <w:r>
              <w:rPr>
                <w:webHidden/>
              </w:rPr>
            </w:r>
            <w:r>
              <w:rPr>
                <w:webHidden/>
              </w:rPr>
              <w:fldChar w:fldCharType="separate"/>
            </w:r>
            <w:r>
              <w:rPr>
                <w:webHidden/>
              </w:rPr>
              <w:t>207</w:t>
            </w:r>
            <w:r>
              <w:rPr>
                <w:webHidden/>
              </w:rPr>
              <w:fldChar w:fldCharType="end"/>
            </w:r>
          </w:hyperlink>
        </w:p>
        <w:p w14:paraId="4BE872F2" w14:textId="71FABFCA" w:rsidR="00274557" w:rsidRDefault="00274557">
          <w:pPr>
            <w:pStyle w:val="TOC3"/>
            <w:rPr>
              <w:rFonts w:asciiTheme="minorHAnsi" w:hAnsiTheme="minorHAnsi"/>
              <w:sz w:val="22"/>
            </w:rPr>
          </w:pPr>
          <w:hyperlink w:anchor="_Toc192874963" w:history="1">
            <w:r>
              <w:rPr>
                <w:rStyle w:val="Hyperlink"/>
                <w:bCs/>
              </w:rPr>
              <w:t>9.5.8</w:t>
            </w:r>
            <w:r>
              <w:rPr>
                <w:rFonts w:asciiTheme="minorHAnsi" w:hAnsiTheme="minorHAnsi"/>
                <w:sz w:val="22"/>
              </w:rPr>
              <w:tab/>
            </w:r>
            <w:r>
              <w:rPr>
                <w:rStyle w:val="Hyperlink"/>
              </w:rPr>
              <w:t>Action Item Monitoring and Reporting</w:t>
            </w:r>
            <w:r>
              <w:rPr>
                <w:webHidden/>
              </w:rPr>
              <w:tab/>
            </w:r>
            <w:r>
              <w:rPr>
                <w:webHidden/>
              </w:rPr>
              <w:fldChar w:fldCharType="begin"/>
            </w:r>
            <w:r>
              <w:rPr>
                <w:webHidden/>
              </w:rPr>
              <w:instrText xml:space="preserve"> PAGEREF _Toc192874963 \h </w:instrText>
            </w:r>
            <w:r>
              <w:rPr>
                <w:webHidden/>
              </w:rPr>
            </w:r>
            <w:r>
              <w:rPr>
                <w:webHidden/>
              </w:rPr>
              <w:fldChar w:fldCharType="separate"/>
            </w:r>
            <w:r>
              <w:rPr>
                <w:webHidden/>
              </w:rPr>
              <w:t>207</w:t>
            </w:r>
            <w:r>
              <w:rPr>
                <w:webHidden/>
              </w:rPr>
              <w:fldChar w:fldCharType="end"/>
            </w:r>
          </w:hyperlink>
        </w:p>
        <w:p w14:paraId="2F8E8CED" w14:textId="11EC1D76" w:rsidR="00274557" w:rsidRDefault="00274557">
          <w:pPr>
            <w:pStyle w:val="TOC2"/>
            <w:rPr>
              <w:rFonts w:asciiTheme="minorHAnsi" w:eastAsiaTheme="minorEastAsia" w:hAnsiTheme="minorHAnsi"/>
              <w:b w:val="0"/>
              <w:kern w:val="2"/>
              <w:sz w:val="22"/>
              <w:lang w:val="en-US"/>
              <w14:ligatures w14:val="standardContextual"/>
            </w:rPr>
          </w:pPr>
          <w:hyperlink w:anchor="_Toc192874964" w:history="1">
            <w:r>
              <w:rPr>
                <w:rStyle w:val="Hyperlink"/>
              </w:rPr>
              <w:t>9.6</w:t>
            </w:r>
            <w:r>
              <w:rPr>
                <w:rFonts w:asciiTheme="minorHAnsi" w:eastAsiaTheme="minorEastAsia" w:hAnsiTheme="minorHAnsi"/>
                <w:b w:val="0"/>
                <w:kern w:val="2"/>
                <w:sz w:val="22"/>
                <w:lang w:val="en-US"/>
                <w14:ligatures w14:val="standardContextual"/>
              </w:rPr>
              <w:tab/>
            </w:r>
            <w:r>
              <w:rPr>
                <w:rStyle w:val="Hyperlink"/>
              </w:rPr>
              <w:t>Decision Management</w:t>
            </w:r>
            <w:r>
              <w:rPr>
                <w:webHidden/>
              </w:rPr>
              <w:tab/>
            </w:r>
            <w:r>
              <w:rPr>
                <w:webHidden/>
              </w:rPr>
              <w:fldChar w:fldCharType="begin"/>
            </w:r>
            <w:r>
              <w:rPr>
                <w:webHidden/>
              </w:rPr>
              <w:instrText xml:space="preserve"> PAGEREF _Toc192874964 \h </w:instrText>
            </w:r>
            <w:r>
              <w:rPr>
                <w:webHidden/>
              </w:rPr>
            </w:r>
            <w:r>
              <w:rPr>
                <w:webHidden/>
              </w:rPr>
              <w:fldChar w:fldCharType="separate"/>
            </w:r>
            <w:r>
              <w:rPr>
                <w:webHidden/>
              </w:rPr>
              <w:t>207</w:t>
            </w:r>
            <w:r>
              <w:rPr>
                <w:webHidden/>
              </w:rPr>
              <w:fldChar w:fldCharType="end"/>
            </w:r>
          </w:hyperlink>
        </w:p>
        <w:p w14:paraId="0AC11FDD" w14:textId="36F6589F" w:rsidR="00274557" w:rsidRDefault="00274557">
          <w:pPr>
            <w:pStyle w:val="TOC3"/>
            <w:rPr>
              <w:rFonts w:asciiTheme="minorHAnsi" w:hAnsiTheme="minorHAnsi"/>
              <w:sz w:val="22"/>
            </w:rPr>
          </w:pPr>
          <w:hyperlink w:anchor="_Toc192874965" w:history="1">
            <w:r>
              <w:rPr>
                <w:rStyle w:val="Hyperlink"/>
                <w:bCs/>
              </w:rPr>
              <w:t>9.6.1</w:t>
            </w:r>
            <w:r>
              <w:rPr>
                <w:rFonts w:asciiTheme="minorHAnsi" w:hAnsiTheme="minorHAnsi"/>
                <w:sz w:val="22"/>
              </w:rPr>
              <w:tab/>
            </w:r>
            <w:r>
              <w:rPr>
                <w:rStyle w:val="Hyperlink"/>
              </w:rPr>
              <w:t>Decision Management Process Flow Diagram</w:t>
            </w:r>
            <w:r>
              <w:rPr>
                <w:webHidden/>
              </w:rPr>
              <w:tab/>
            </w:r>
            <w:r>
              <w:rPr>
                <w:webHidden/>
              </w:rPr>
              <w:fldChar w:fldCharType="begin"/>
            </w:r>
            <w:r>
              <w:rPr>
                <w:webHidden/>
              </w:rPr>
              <w:instrText xml:space="preserve"> PAGEREF _Toc192874965 \h </w:instrText>
            </w:r>
            <w:r>
              <w:rPr>
                <w:webHidden/>
              </w:rPr>
            </w:r>
            <w:r>
              <w:rPr>
                <w:webHidden/>
              </w:rPr>
              <w:fldChar w:fldCharType="separate"/>
            </w:r>
            <w:r>
              <w:rPr>
                <w:webHidden/>
              </w:rPr>
              <w:t>208</w:t>
            </w:r>
            <w:r>
              <w:rPr>
                <w:webHidden/>
              </w:rPr>
              <w:fldChar w:fldCharType="end"/>
            </w:r>
          </w:hyperlink>
        </w:p>
        <w:p w14:paraId="2DF02ADE" w14:textId="437493EA" w:rsidR="00274557" w:rsidRDefault="00274557">
          <w:pPr>
            <w:pStyle w:val="TOC3"/>
            <w:rPr>
              <w:rFonts w:asciiTheme="minorHAnsi" w:hAnsiTheme="minorHAnsi"/>
              <w:sz w:val="22"/>
            </w:rPr>
          </w:pPr>
          <w:hyperlink w:anchor="_Toc192874966" w:history="1">
            <w:r>
              <w:rPr>
                <w:rStyle w:val="Hyperlink"/>
                <w:bCs/>
              </w:rPr>
              <w:t>9.6.2</w:t>
            </w:r>
            <w:r>
              <w:rPr>
                <w:rFonts w:asciiTheme="minorHAnsi" w:hAnsiTheme="minorHAnsi"/>
                <w:sz w:val="22"/>
              </w:rPr>
              <w:tab/>
            </w:r>
            <w:r>
              <w:rPr>
                <w:rStyle w:val="Hyperlink"/>
              </w:rPr>
              <w:t>Decision Management Process Flow Narrative</w:t>
            </w:r>
            <w:r>
              <w:rPr>
                <w:webHidden/>
              </w:rPr>
              <w:tab/>
            </w:r>
            <w:r>
              <w:rPr>
                <w:webHidden/>
              </w:rPr>
              <w:fldChar w:fldCharType="begin"/>
            </w:r>
            <w:r>
              <w:rPr>
                <w:webHidden/>
              </w:rPr>
              <w:instrText xml:space="preserve"> PAGEREF _Toc192874966 \h </w:instrText>
            </w:r>
            <w:r>
              <w:rPr>
                <w:webHidden/>
              </w:rPr>
            </w:r>
            <w:r>
              <w:rPr>
                <w:webHidden/>
              </w:rPr>
              <w:fldChar w:fldCharType="separate"/>
            </w:r>
            <w:r>
              <w:rPr>
                <w:webHidden/>
              </w:rPr>
              <w:t>208</w:t>
            </w:r>
            <w:r>
              <w:rPr>
                <w:webHidden/>
              </w:rPr>
              <w:fldChar w:fldCharType="end"/>
            </w:r>
          </w:hyperlink>
        </w:p>
        <w:p w14:paraId="71A9485C" w14:textId="073A73D5" w:rsidR="00274557" w:rsidRDefault="00274557">
          <w:pPr>
            <w:pStyle w:val="TOC3"/>
            <w:rPr>
              <w:rFonts w:asciiTheme="minorHAnsi" w:hAnsiTheme="minorHAnsi"/>
              <w:sz w:val="22"/>
            </w:rPr>
          </w:pPr>
          <w:hyperlink w:anchor="_Toc192874967" w:history="1">
            <w:r>
              <w:rPr>
                <w:rStyle w:val="Hyperlink"/>
                <w:bCs/>
              </w:rPr>
              <w:t>9.6.3</w:t>
            </w:r>
            <w:r>
              <w:rPr>
                <w:rFonts w:asciiTheme="minorHAnsi" w:hAnsiTheme="minorHAnsi"/>
                <w:sz w:val="22"/>
              </w:rPr>
              <w:tab/>
            </w:r>
            <w:r>
              <w:rPr>
                <w:rStyle w:val="Hyperlink"/>
              </w:rPr>
              <w:t>Decision Attributes</w:t>
            </w:r>
            <w:r>
              <w:rPr>
                <w:webHidden/>
              </w:rPr>
              <w:tab/>
            </w:r>
            <w:r>
              <w:rPr>
                <w:webHidden/>
              </w:rPr>
              <w:fldChar w:fldCharType="begin"/>
            </w:r>
            <w:r>
              <w:rPr>
                <w:webHidden/>
              </w:rPr>
              <w:instrText xml:space="preserve"> PAGEREF _Toc192874967 \h </w:instrText>
            </w:r>
            <w:r>
              <w:rPr>
                <w:webHidden/>
              </w:rPr>
            </w:r>
            <w:r>
              <w:rPr>
                <w:webHidden/>
              </w:rPr>
              <w:fldChar w:fldCharType="separate"/>
            </w:r>
            <w:r>
              <w:rPr>
                <w:webHidden/>
              </w:rPr>
              <w:t>208</w:t>
            </w:r>
            <w:r>
              <w:rPr>
                <w:webHidden/>
              </w:rPr>
              <w:fldChar w:fldCharType="end"/>
            </w:r>
          </w:hyperlink>
        </w:p>
        <w:p w14:paraId="0649D6BB" w14:textId="189008A9" w:rsidR="00274557" w:rsidRDefault="00274557">
          <w:pPr>
            <w:pStyle w:val="TOC3"/>
            <w:rPr>
              <w:rFonts w:asciiTheme="minorHAnsi" w:hAnsiTheme="minorHAnsi"/>
              <w:sz w:val="22"/>
            </w:rPr>
          </w:pPr>
          <w:hyperlink w:anchor="_Toc192874968" w:history="1">
            <w:r>
              <w:rPr>
                <w:rStyle w:val="Hyperlink"/>
                <w:bCs/>
              </w:rPr>
              <w:t>9.6.4</w:t>
            </w:r>
            <w:r>
              <w:rPr>
                <w:rFonts w:asciiTheme="minorHAnsi" w:hAnsiTheme="minorHAnsi"/>
                <w:sz w:val="22"/>
              </w:rPr>
              <w:tab/>
            </w:r>
            <w:r>
              <w:rPr>
                <w:rStyle w:val="Hyperlink"/>
              </w:rPr>
              <w:t>Decision Monitoring and Reporting</w:t>
            </w:r>
            <w:r>
              <w:rPr>
                <w:webHidden/>
              </w:rPr>
              <w:tab/>
            </w:r>
            <w:r>
              <w:rPr>
                <w:webHidden/>
              </w:rPr>
              <w:fldChar w:fldCharType="begin"/>
            </w:r>
            <w:r>
              <w:rPr>
                <w:webHidden/>
              </w:rPr>
              <w:instrText xml:space="preserve"> PAGEREF _Toc192874968 \h </w:instrText>
            </w:r>
            <w:r>
              <w:rPr>
                <w:webHidden/>
              </w:rPr>
            </w:r>
            <w:r>
              <w:rPr>
                <w:webHidden/>
              </w:rPr>
              <w:fldChar w:fldCharType="separate"/>
            </w:r>
            <w:r>
              <w:rPr>
                <w:webHidden/>
              </w:rPr>
              <w:t>209</w:t>
            </w:r>
            <w:r>
              <w:rPr>
                <w:webHidden/>
              </w:rPr>
              <w:fldChar w:fldCharType="end"/>
            </w:r>
          </w:hyperlink>
        </w:p>
        <w:p w14:paraId="59BF6739" w14:textId="283E1B26" w:rsidR="00274557" w:rsidRDefault="00274557">
          <w:pPr>
            <w:pStyle w:val="TOC1"/>
            <w:rPr>
              <w:rFonts w:asciiTheme="minorHAnsi" w:eastAsiaTheme="minorEastAsia" w:hAnsiTheme="minorHAnsi"/>
              <w:b w:val="0"/>
              <w:kern w:val="2"/>
              <w:sz w:val="22"/>
              <w14:ligatures w14:val="standardContextual"/>
            </w:rPr>
          </w:pPr>
          <w:hyperlink w:anchor="_Toc192874969" w:history="1">
            <w:r>
              <w:rPr>
                <w:rStyle w:val="Hyperlink"/>
              </w:rPr>
              <w:t>10</w:t>
            </w:r>
            <w:r>
              <w:rPr>
                <w:rFonts w:asciiTheme="minorHAnsi" w:eastAsiaTheme="minorEastAsia" w:hAnsiTheme="minorHAnsi"/>
                <w:b w:val="0"/>
                <w:kern w:val="2"/>
                <w:sz w:val="22"/>
                <w14:ligatures w14:val="standardContextual"/>
              </w:rPr>
              <w:tab/>
            </w:r>
            <w:r>
              <w:rPr>
                <w:rStyle w:val="Hyperlink"/>
              </w:rPr>
              <w:t>Integrated Change Control Process</w:t>
            </w:r>
            <w:r>
              <w:rPr>
                <w:webHidden/>
              </w:rPr>
              <w:tab/>
            </w:r>
            <w:r>
              <w:rPr>
                <w:webHidden/>
              </w:rPr>
              <w:fldChar w:fldCharType="begin"/>
            </w:r>
            <w:r>
              <w:rPr>
                <w:webHidden/>
              </w:rPr>
              <w:instrText xml:space="preserve"> PAGEREF _Toc192874969 \h </w:instrText>
            </w:r>
            <w:r>
              <w:rPr>
                <w:webHidden/>
              </w:rPr>
            </w:r>
            <w:r>
              <w:rPr>
                <w:webHidden/>
              </w:rPr>
              <w:fldChar w:fldCharType="separate"/>
            </w:r>
            <w:r>
              <w:rPr>
                <w:webHidden/>
              </w:rPr>
              <w:t>211</w:t>
            </w:r>
            <w:r>
              <w:rPr>
                <w:webHidden/>
              </w:rPr>
              <w:fldChar w:fldCharType="end"/>
            </w:r>
          </w:hyperlink>
        </w:p>
        <w:p w14:paraId="1EE7E4C1" w14:textId="17FCEB61" w:rsidR="00274557" w:rsidRDefault="00274557">
          <w:pPr>
            <w:pStyle w:val="TOC2"/>
            <w:rPr>
              <w:rFonts w:asciiTheme="minorHAnsi" w:eastAsiaTheme="minorEastAsia" w:hAnsiTheme="minorHAnsi"/>
              <w:b w:val="0"/>
              <w:kern w:val="2"/>
              <w:sz w:val="22"/>
              <w:lang w:val="en-US"/>
              <w14:ligatures w14:val="standardContextual"/>
            </w:rPr>
          </w:pPr>
          <w:hyperlink w:anchor="_Toc192874970" w:history="1">
            <w:r>
              <w:rPr>
                <w:rStyle w:val="Hyperlink"/>
              </w:rPr>
              <w:t>10.1</w:t>
            </w:r>
            <w:r>
              <w:rPr>
                <w:rFonts w:asciiTheme="minorHAnsi" w:eastAsiaTheme="minorEastAsia" w:hAnsiTheme="minorHAnsi"/>
                <w:b w:val="0"/>
                <w:kern w:val="2"/>
                <w:sz w:val="22"/>
                <w:lang w:val="en-US"/>
                <w14:ligatures w14:val="standardContextual"/>
              </w:rPr>
              <w:tab/>
            </w:r>
            <w:r>
              <w:rPr>
                <w:rStyle w:val="Hyperlink"/>
              </w:rPr>
              <w:t>Integrated Change Control Overview</w:t>
            </w:r>
            <w:r>
              <w:rPr>
                <w:webHidden/>
              </w:rPr>
              <w:tab/>
            </w:r>
            <w:r>
              <w:rPr>
                <w:webHidden/>
              </w:rPr>
              <w:fldChar w:fldCharType="begin"/>
            </w:r>
            <w:r>
              <w:rPr>
                <w:webHidden/>
              </w:rPr>
              <w:instrText xml:space="preserve"> PAGEREF _Toc192874970 \h </w:instrText>
            </w:r>
            <w:r>
              <w:rPr>
                <w:webHidden/>
              </w:rPr>
            </w:r>
            <w:r>
              <w:rPr>
                <w:webHidden/>
              </w:rPr>
              <w:fldChar w:fldCharType="separate"/>
            </w:r>
            <w:r>
              <w:rPr>
                <w:webHidden/>
              </w:rPr>
              <w:t>211</w:t>
            </w:r>
            <w:r>
              <w:rPr>
                <w:webHidden/>
              </w:rPr>
              <w:fldChar w:fldCharType="end"/>
            </w:r>
          </w:hyperlink>
        </w:p>
        <w:p w14:paraId="413F7AEF" w14:textId="0E8DFE3F" w:rsidR="00274557" w:rsidRDefault="00274557">
          <w:pPr>
            <w:pStyle w:val="TOC2"/>
            <w:rPr>
              <w:rFonts w:asciiTheme="minorHAnsi" w:eastAsiaTheme="minorEastAsia" w:hAnsiTheme="minorHAnsi"/>
              <w:b w:val="0"/>
              <w:kern w:val="2"/>
              <w:sz w:val="22"/>
              <w:lang w:val="en-US"/>
              <w14:ligatures w14:val="standardContextual"/>
            </w:rPr>
          </w:pPr>
          <w:hyperlink w:anchor="_Toc192874971" w:history="1">
            <w:r>
              <w:rPr>
                <w:rStyle w:val="Hyperlink"/>
              </w:rPr>
              <w:t>10.2</w:t>
            </w:r>
            <w:r>
              <w:rPr>
                <w:rFonts w:asciiTheme="minorHAnsi" w:eastAsiaTheme="minorEastAsia" w:hAnsiTheme="minorHAnsi"/>
                <w:b w:val="0"/>
                <w:kern w:val="2"/>
                <w:sz w:val="22"/>
                <w:lang w:val="en-US"/>
                <w14:ligatures w14:val="standardContextual"/>
              </w:rPr>
              <w:tab/>
            </w:r>
            <w:r>
              <w:rPr>
                <w:rStyle w:val="Hyperlink"/>
              </w:rPr>
              <w:t>Introduction and Purpose</w:t>
            </w:r>
            <w:r>
              <w:rPr>
                <w:webHidden/>
              </w:rPr>
              <w:tab/>
            </w:r>
            <w:r>
              <w:rPr>
                <w:webHidden/>
              </w:rPr>
              <w:fldChar w:fldCharType="begin"/>
            </w:r>
            <w:r>
              <w:rPr>
                <w:webHidden/>
              </w:rPr>
              <w:instrText xml:space="preserve"> PAGEREF _Toc192874971 \h </w:instrText>
            </w:r>
            <w:r>
              <w:rPr>
                <w:webHidden/>
              </w:rPr>
            </w:r>
            <w:r>
              <w:rPr>
                <w:webHidden/>
              </w:rPr>
              <w:fldChar w:fldCharType="separate"/>
            </w:r>
            <w:r>
              <w:rPr>
                <w:webHidden/>
              </w:rPr>
              <w:t>211</w:t>
            </w:r>
            <w:r>
              <w:rPr>
                <w:webHidden/>
              </w:rPr>
              <w:fldChar w:fldCharType="end"/>
            </w:r>
          </w:hyperlink>
        </w:p>
        <w:p w14:paraId="3B5BECDB" w14:textId="11C5A65E" w:rsidR="00274557" w:rsidRDefault="00274557">
          <w:pPr>
            <w:pStyle w:val="TOC2"/>
            <w:rPr>
              <w:rFonts w:asciiTheme="minorHAnsi" w:eastAsiaTheme="minorEastAsia" w:hAnsiTheme="minorHAnsi"/>
              <w:b w:val="0"/>
              <w:kern w:val="2"/>
              <w:sz w:val="22"/>
              <w:lang w:val="en-US"/>
              <w14:ligatures w14:val="standardContextual"/>
            </w:rPr>
          </w:pPr>
          <w:hyperlink w:anchor="_Toc192874972" w:history="1">
            <w:r>
              <w:rPr>
                <w:rStyle w:val="Hyperlink"/>
              </w:rPr>
              <w:t>10.3</w:t>
            </w:r>
            <w:r>
              <w:rPr>
                <w:rFonts w:asciiTheme="minorHAnsi" w:eastAsiaTheme="minorEastAsia" w:hAnsiTheme="minorHAnsi"/>
                <w:b w:val="0"/>
                <w:kern w:val="2"/>
                <w:sz w:val="22"/>
                <w:lang w:val="en-US"/>
                <w14:ligatures w14:val="standardContextual"/>
              </w:rPr>
              <w:tab/>
            </w:r>
            <w:r>
              <w:rPr>
                <w:rStyle w:val="Hyperlink"/>
              </w:rPr>
              <w:t>Objectives</w:t>
            </w:r>
            <w:r>
              <w:rPr>
                <w:webHidden/>
              </w:rPr>
              <w:tab/>
            </w:r>
            <w:r>
              <w:rPr>
                <w:webHidden/>
              </w:rPr>
              <w:fldChar w:fldCharType="begin"/>
            </w:r>
            <w:r>
              <w:rPr>
                <w:webHidden/>
              </w:rPr>
              <w:instrText xml:space="preserve"> PAGEREF _Toc192874972 \h </w:instrText>
            </w:r>
            <w:r>
              <w:rPr>
                <w:webHidden/>
              </w:rPr>
            </w:r>
            <w:r>
              <w:rPr>
                <w:webHidden/>
              </w:rPr>
              <w:fldChar w:fldCharType="separate"/>
            </w:r>
            <w:r>
              <w:rPr>
                <w:webHidden/>
              </w:rPr>
              <w:t>211</w:t>
            </w:r>
            <w:r>
              <w:rPr>
                <w:webHidden/>
              </w:rPr>
              <w:fldChar w:fldCharType="end"/>
            </w:r>
          </w:hyperlink>
        </w:p>
        <w:p w14:paraId="509A52B7" w14:textId="538696FA" w:rsidR="00274557" w:rsidRDefault="00274557">
          <w:pPr>
            <w:pStyle w:val="TOC2"/>
            <w:rPr>
              <w:rFonts w:asciiTheme="minorHAnsi" w:eastAsiaTheme="minorEastAsia" w:hAnsiTheme="minorHAnsi"/>
              <w:b w:val="0"/>
              <w:kern w:val="2"/>
              <w:sz w:val="22"/>
              <w:lang w:val="en-US"/>
              <w14:ligatures w14:val="standardContextual"/>
            </w:rPr>
          </w:pPr>
          <w:hyperlink w:anchor="_Toc192874973" w:history="1">
            <w:r>
              <w:rPr>
                <w:rStyle w:val="Hyperlink"/>
              </w:rPr>
              <w:t>10.4</w:t>
            </w:r>
            <w:r>
              <w:rPr>
                <w:rFonts w:asciiTheme="minorHAnsi" w:eastAsiaTheme="minorEastAsia" w:hAnsiTheme="minorHAnsi"/>
                <w:b w:val="0"/>
                <w:kern w:val="2"/>
                <w:sz w:val="22"/>
                <w:lang w:val="en-US"/>
                <w14:ligatures w14:val="standardContextual"/>
              </w:rPr>
              <w:tab/>
            </w:r>
            <w:r>
              <w:rPr>
                <w:rStyle w:val="Hyperlink"/>
              </w:rPr>
              <w:t>Integrated Change Control Process Roles and Responsibilities</w:t>
            </w:r>
            <w:r>
              <w:rPr>
                <w:webHidden/>
              </w:rPr>
              <w:tab/>
            </w:r>
            <w:r>
              <w:rPr>
                <w:webHidden/>
              </w:rPr>
              <w:fldChar w:fldCharType="begin"/>
            </w:r>
            <w:r>
              <w:rPr>
                <w:webHidden/>
              </w:rPr>
              <w:instrText xml:space="preserve"> PAGEREF _Toc192874973 \h </w:instrText>
            </w:r>
            <w:r>
              <w:rPr>
                <w:webHidden/>
              </w:rPr>
            </w:r>
            <w:r>
              <w:rPr>
                <w:webHidden/>
              </w:rPr>
              <w:fldChar w:fldCharType="separate"/>
            </w:r>
            <w:r>
              <w:rPr>
                <w:webHidden/>
              </w:rPr>
              <w:t>212</w:t>
            </w:r>
            <w:r>
              <w:rPr>
                <w:webHidden/>
              </w:rPr>
              <w:fldChar w:fldCharType="end"/>
            </w:r>
          </w:hyperlink>
        </w:p>
        <w:p w14:paraId="4B64296C" w14:textId="02B6EE41" w:rsidR="00274557" w:rsidRDefault="00274557">
          <w:pPr>
            <w:pStyle w:val="TOC2"/>
            <w:rPr>
              <w:rFonts w:asciiTheme="minorHAnsi" w:eastAsiaTheme="minorEastAsia" w:hAnsiTheme="minorHAnsi"/>
              <w:b w:val="0"/>
              <w:kern w:val="2"/>
              <w:sz w:val="22"/>
              <w:lang w:val="en-US"/>
              <w14:ligatures w14:val="standardContextual"/>
            </w:rPr>
          </w:pPr>
          <w:hyperlink w:anchor="_Toc192874974" w:history="1">
            <w:r>
              <w:rPr>
                <w:rStyle w:val="Hyperlink"/>
              </w:rPr>
              <w:t>10.5</w:t>
            </w:r>
            <w:r>
              <w:rPr>
                <w:rFonts w:asciiTheme="minorHAnsi" w:eastAsiaTheme="minorEastAsia" w:hAnsiTheme="minorHAnsi"/>
                <w:b w:val="0"/>
                <w:kern w:val="2"/>
                <w:sz w:val="22"/>
                <w:lang w:val="en-US"/>
                <w14:ligatures w14:val="standardContextual"/>
              </w:rPr>
              <w:tab/>
            </w:r>
            <w:r>
              <w:rPr>
                <w:rStyle w:val="Hyperlink"/>
              </w:rPr>
              <w:t>Integrated Change Control Process</w:t>
            </w:r>
            <w:r>
              <w:rPr>
                <w:webHidden/>
              </w:rPr>
              <w:tab/>
            </w:r>
            <w:r>
              <w:rPr>
                <w:webHidden/>
              </w:rPr>
              <w:fldChar w:fldCharType="begin"/>
            </w:r>
            <w:r>
              <w:rPr>
                <w:webHidden/>
              </w:rPr>
              <w:instrText xml:space="preserve"> PAGEREF _Toc192874974 \h </w:instrText>
            </w:r>
            <w:r>
              <w:rPr>
                <w:webHidden/>
              </w:rPr>
            </w:r>
            <w:r>
              <w:rPr>
                <w:webHidden/>
              </w:rPr>
              <w:fldChar w:fldCharType="separate"/>
            </w:r>
            <w:r>
              <w:rPr>
                <w:webHidden/>
              </w:rPr>
              <w:t>212</w:t>
            </w:r>
            <w:r>
              <w:rPr>
                <w:webHidden/>
              </w:rPr>
              <w:fldChar w:fldCharType="end"/>
            </w:r>
          </w:hyperlink>
        </w:p>
        <w:p w14:paraId="5C95E023" w14:textId="582D2AC1" w:rsidR="00274557" w:rsidRDefault="00274557">
          <w:pPr>
            <w:pStyle w:val="TOC2"/>
            <w:rPr>
              <w:rFonts w:asciiTheme="minorHAnsi" w:eastAsiaTheme="minorEastAsia" w:hAnsiTheme="minorHAnsi"/>
              <w:b w:val="0"/>
              <w:kern w:val="2"/>
              <w:sz w:val="22"/>
              <w:lang w:val="en-US"/>
              <w14:ligatures w14:val="standardContextual"/>
            </w:rPr>
          </w:pPr>
          <w:hyperlink w:anchor="_Toc192874975" w:history="1">
            <w:r>
              <w:rPr>
                <w:rStyle w:val="Hyperlink"/>
              </w:rPr>
              <w:t>10.6</w:t>
            </w:r>
            <w:r>
              <w:rPr>
                <w:rFonts w:asciiTheme="minorHAnsi" w:eastAsiaTheme="minorEastAsia" w:hAnsiTheme="minorHAnsi"/>
                <w:b w:val="0"/>
                <w:kern w:val="2"/>
                <w:sz w:val="22"/>
                <w:lang w:val="en-US"/>
                <w14:ligatures w14:val="standardContextual"/>
              </w:rPr>
              <w:tab/>
            </w:r>
            <w:r>
              <w:rPr>
                <w:rStyle w:val="Hyperlink"/>
              </w:rPr>
              <w:t>Identifying and Requesting Changes</w:t>
            </w:r>
            <w:r>
              <w:rPr>
                <w:webHidden/>
              </w:rPr>
              <w:tab/>
            </w:r>
            <w:r>
              <w:rPr>
                <w:webHidden/>
              </w:rPr>
              <w:fldChar w:fldCharType="begin"/>
            </w:r>
            <w:r>
              <w:rPr>
                <w:webHidden/>
              </w:rPr>
              <w:instrText xml:space="preserve"> PAGEREF _Toc192874975 \h </w:instrText>
            </w:r>
            <w:r>
              <w:rPr>
                <w:webHidden/>
              </w:rPr>
            </w:r>
            <w:r>
              <w:rPr>
                <w:webHidden/>
              </w:rPr>
              <w:fldChar w:fldCharType="separate"/>
            </w:r>
            <w:r>
              <w:rPr>
                <w:webHidden/>
              </w:rPr>
              <w:t>212</w:t>
            </w:r>
            <w:r>
              <w:rPr>
                <w:webHidden/>
              </w:rPr>
              <w:fldChar w:fldCharType="end"/>
            </w:r>
          </w:hyperlink>
        </w:p>
        <w:p w14:paraId="7CC478A0" w14:textId="6DE5A3C8" w:rsidR="00274557" w:rsidRDefault="00274557">
          <w:pPr>
            <w:pStyle w:val="TOC3"/>
            <w:rPr>
              <w:rFonts w:asciiTheme="minorHAnsi" w:hAnsiTheme="minorHAnsi"/>
              <w:sz w:val="22"/>
            </w:rPr>
          </w:pPr>
          <w:hyperlink w:anchor="_Toc192874976" w:history="1">
            <w:r>
              <w:rPr>
                <w:rStyle w:val="Hyperlink"/>
                <w:bCs/>
              </w:rPr>
              <w:t>10.6.1</w:t>
            </w:r>
            <w:r>
              <w:rPr>
                <w:rFonts w:asciiTheme="minorHAnsi" w:hAnsiTheme="minorHAnsi"/>
                <w:sz w:val="22"/>
              </w:rPr>
              <w:tab/>
            </w:r>
            <w:r>
              <w:rPr>
                <w:rStyle w:val="Hyperlink"/>
              </w:rPr>
              <w:t>Prioritizing Change Requests for Impact Assessment and Decision</w:t>
            </w:r>
            <w:r>
              <w:rPr>
                <w:webHidden/>
              </w:rPr>
              <w:tab/>
            </w:r>
            <w:r>
              <w:rPr>
                <w:webHidden/>
              </w:rPr>
              <w:fldChar w:fldCharType="begin"/>
            </w:r>
            <w:r>
              <w:rPr>
                <w:webHidden/>
              </w:rPr>
              <w:instrText xml:space="preserve"> PAGEREF _Toc192874976 \h </w:instrText>
            </w:r>
            <w:r>
              <w:rPr>
                <w:webHidden/>
              </w:rPr>
            </w:r>
            <w:r>
              <w:rPr>
                <w:webHidden/>
              </w:rPr>
              <w:fldChar w:fldCharType="separate"/>
            </w:r>
            <w:r>
              <w:rPr>
                <w:webHidden/>
              </w:rPr>
              <w:t>218</w:t>
            </w:r>
            <w:r>
              <w:rPr>
                <w:webHidden/>
              </w:rPr>
              <w:fldChar w:fldCharType="end"/>
            </w:r>
          </w:hyperlink>
        </w:p>
        <w:p w14:paraId="18549122" w14:textId="2ABA0D13" w:rsidR="00274557" w:rsidRDefault="00274557">
          <w:pPr>
            <w:pStyle w:val="TOC3"/>
            <w:rPr>
              <w:rFonts w:asciiTheme="minorHAnsi" w:hAnsiTheme="minorHAnsi"/>
              <w:sz w:val="22"/>
            </w:rPr>
          </w:pPr>
          <w:hyperlink w:anchor="_Toc192874977" w:history="1">
            <w:r>
              <w:rPr>
                <w:rStyle w:val="Hyperlink"/>
                <w:bCs/>
              </w:rPr>
              <w:t>10.6.2</w:t>
            </w:r>
            <w:r>
              <w:rPr>
                <w:rFonts w:asciiTheme="minorHAnsi" w:hAnsiTheme="minorHAnsi"/>
                <w:sz w:val="22"/>
              </w:rPr>
              <w:tab/>
            </w:r>
            <w:r>
              <w:rPr>
                <w:rStyle w:val="Hyperlink"/>
              </w:rPr>
              <w:t>Change Request Statuses</w:t>
            </w:r>
            <w:r>
              <w:rPr>
                <w:webHidden/>
              </w:rPr>
              <w:tab/>
            </w:r>
            <w:r>
              <w:rPr>
                <w:webHidden/>
              </w:rPr>
              <w:fldChar w:fldCharType="begin"/>
            </w:r>
            <w:r>
              <w:rPr>
                <w:webHidden/>
              </w:rPr>
              <w:instrText xml:space="preserve"> PAGEREF _Toc192874977 \h </w:instrText>
            </w:r>
            <w:r>
              <w:rPr>
                <w:webHidden/>
              </w:rPr>
            </w:r>
            <w:r>
              <w:rPr>
                <w:webHidden/>
              </w:rPr>
              <w:fldChar w:fldCharType="separate"/>
            </w:r>
            <w:r>
              <w:rPr>
                <w:webHidden/>
              </w:rPr>
              <w:t>219</w:t>
            </w:r>
            <w:r>
              <w:rPr>
                <w:webHidden/>
              </w:rPr>
              <w:fldChar w:fldCharType="end"/>
            </w:r>
          </w:hyperlink>
        </w:p>
        <w:p w14:paraId="7F507454" w14:textId="3924B0FA" w:rsidR="00274557" w:rsidRDefault="00274557">
          <w:pPr>
            <w:pStyle w:val="TOC2"/>
            <w:rPr>
              <w:rFonts w:asciiTheme="minorHAnsi" w:eastAsiaTheme="minorEastAsia" w:hAnsiTheme="minorHAnsi"/>
              <w:b w:val="0"/>
              <w:kern w:val="2"/>
              <w:sz w:val="22"/>
              <w:lang w:val="en-US"/>
              <w14:ligatures w14:val="standardContextual"/>
            </w:rPr>
          </w:pPr>
          <w:hyperlink w:anchor="_Toc192874978" w:history="1">
            <w:r>
              <w:rPr>
                <w:rStyle w:val="Hyperlink"/>
              </w:rPr>
              <w:t>10.7</w:t>
            </w:r>
            <w:r>
              <w:rPr>
                <w:rFonts w:asciiTheme="minorHAnsi" w:eastAsiaTheme="minorEastAsia" w:hAnsiTheme="minorHAnsi"/>
                <w:b w:val="0"/>
                <w:kern w:val="2"/>
                <w:sz w:val="22"/>
                <w:lang w:val="en-US"/>
                <w14:ligatures w14:val="standardContextual"/>
              </w:rPr>
              <w:tab/>
            </w:r>
            <w:r>
              <w:rPr>
                <w:rStyle w:val="Hyperlink"/>
              </w:rPr>
              <w:t>Change Request Evaluation/Authorization</w:t>
            </w:r>
            <w:r>
              <w:rPr>
                <w:webHidden/>
              </w:rPr>
              <w:tab/>
            </w:r>
            <w:r>
              <w:rPr>
                <w:webHidden/>
              </w:rPr>
              <w:fldChar w:fldCharType="begin"/>
            </w:r>
            <w:r>
              <w:rPr>
                <w:webHidden/>
              </w:rPr>
              <w:instrText xml:space="preserve"> PAGEREF _Toc192874978 \h </w:instrText>
            </w:r>
            <w:r>
              <w:rPr>
                <w:webHidden/>
              </w:rPr>
            </w:r>
            <w:r>
              <w:rPr>
                <w:webHidden/>
              </w:rPr>
              <w:fldChar w:fldCharType="separate"/>
            </w:r>
            <w:r>
              <w:rPr>
                <w:webHidden/>
              </w:rPr>
              <w:t>219</w:t>
            </w:r>
            <w:r>
              <w:rPr>
                <w:webHidden/>
              </w:rPr>
              <w:fldChar w:fldCharType="end"/>
            </w:r>
          </w:hyperlink>
        </w:p>
        <w:p w14:paraId="4C8BB672" w14:textId="7D417732" w:rsidR="00274557" w:rsidRDefault="00274557">
          <w:pPr>
            <w:pStyle w:val="TOC3"/>
            <w:rPr>
              <w:rFonts w:asciiTheme="minorHAnsi" w:hAnsiTheme="minorHAnsi"/>
              <w:sz w:val="22"/>
            </w:rPr>
          </w:pPr>
          <w:hyperlink w:anchor="_Toc192874979" w:history="1">
            <w:r>
              <w:rPr>
                <w:rStyle w:val="Hyperlink"/>
                <w:bCs/>
              </w:rPr>
              <w:t>10.7.1</w:t>
            </w:r>
            <w:r>
              <w:rPr>
                <w:rFonts w:asciiTheme="minorHAnsi" w:hAnsiTheme="minorHAnsi"/>
                <w:sz w:val="22"/>
              </w:rPr>
              <w:tab/>
            </w:r>
            <w:r>
              <w:rPr>
                <w:rStyle w:val="Hyperlink"/>
              </w:rPr>
              <w:t>Change Request Implementation</w:t>
            </w:r>
            <w:r>
              <w:rPr>
                <w:webHidden/>
              </w:rPr>
              <w:tab/>
            </w:r>
            <w:r>
              <w:rPr>
                <w:webHidden/>
              </w:rPr>
              <w:fldChar w:fldCharType="begin"/>
            </w:r>
            <w:r>
              <w:rPr>
                <w:webHidden/>
              </w:rPr>
              <w:instrText xml:space="preserve"> PAGEREF _Toc192874979 \h </w:instrText>
            </w:r>
            <w:r>
              <w:rPr>
                <w:webHidden/>
              </w:rPr>
            </w:r>
            <w:r>
              <w:rPr>
                <w:webHidden/>
              </w:rPr>
              <w:fldChar w:fldCharType="separate"/>
            </w:r>
            <w:r>
              <w:rPr>
                <w:webHidden/>
              </w:rPr>
              <w:t>220</w:t>
            </w:r>
            <w:r>
              <w:rPr>
                <w:webHidden/>
              </w:rPr>
              <w:fldChar w:fldCharType="end"/>
            </w:r>
          </w:hyperlink>
        </w:p>
        <w:p w14:paraId="26E31E0A" w14:textId="02F2B3B4" w:rsidR="00274557" w:rsidRDefault="00274557">
          <w:pPr>
            <w:pStyle w:val="TOC3"/>
            <w:rPr>
              <w:rFonts w:asciiTheme="minorHAnsi" w:hAnsiTheme="minorHAnsi"/>
              <w:sz w:val="22"/>
            </w:rPr>
          </w:pPr>
          <w:hyperlink w:anchor="_Toc192874980" w:history="1">
            <w:r>
              <w:rPr>
                <w:rStyle w:val="Hyperlink"/>
                <w:bCs/>
              </w:rPr>
              <w:t>10.7.2</w:t>
            </w:r>
            <w:r>
              <w:rPr>
                <w:rFonts w:asciiTheme="minorHAnsi" w:hAnsiTheme="minorHAnsi"/>
                <w:sz w:val="22"/>
              </w:rPr>
              <w:tab/>
            </w:r>
            <w:r>
              <w:rPr>
                <w:rStyle w:val="Hyperlink"/>
              </w:rPr>
              <w:t>Procedures for Emergency Change</w:t>
            </w:r>
            <w:r>
              <w:rPr>
                <w:webHidden/>
              </w:rPr>
              <w:tab/>
            </w:r>
            <w:r>
              <w:rPr>
                <w:webHidden/>
              </w:rPr>
              <w:fldChar w:fldCharType="begin"/>
            </w:r>
            <w:r>
              <w:rPr>
                <w:webHidden/>
              </w:rPr>
              <w:instrText xml:space="preserve"> PAGEREF _Toc192874980 \h </w:instrText>
            </w:r>
            <w:r>
              <w:rPr>
                <w:webHidden/>
              </w:rPr>
            </w:r>
            <w:r>
              <w:rPr>
                <w:webHidden/>
              </w:rPr>
              <w:fldChar w:fldCharType="separate"/>
            </w:r>
            <w:r>
              <w:rPr>
                <w:webHidden/>
              </w:rPr>
              <w:t>221</w:t>
            </w:r>
            <w:r>
              <w:rPr>
                <w:webHidden/>
              </w:rPr>
              <w:fldChar w:fldCharType="end"/>
            </w:r>
          </w:hyperlink>
        </w:p>
        <w:p w14:paraId="72042B50" w14:textId="116C24EF" w:rsidR="00274557" w:rsidRDefault="00274557">
          <w:pPr>
            <w:pStyle w:val="TOC2"/>
            <w:rPr>
              <w:rFonts w:asciiTheme="minorHAnsi" w:eastAsiaTheme="minorEastAsia" w:hAnsiTheme="minorHAnsi"/>
              <w:b w:val="0"/>
              <w:kern w:val="2"/>
              <w:sz w:val="22"/>
              <w:lang w:val="en-US"/>
              <w14:ligatures w14:val="standardContextual"/>
            </w:rPr>
          </w:pPr>
          <w:hyperlink w:anchor="_Toc192874981" w:history="1">
            <w:r>
              <w:rPr>
                <w:rStyle w:val="Hyperlink"/>
              </w:rPr>
              <w:t>10.8</w:t>
            </w:r>
            <w:r>
              <w:rPr>
                <w:rFonts w:asciiTheme="minorHAnsi" w:eastAsiaTheme="minorEastAsia" w:hAnsiTheme="minorHAnsi"/>
                <w:b w:val="0"/>
                <w:kern w:val="2"/>
                <w:sz w:val="22"/>
                <w:lang w:val="en-US"/>
                <w14:ligatures w14:val="standardContextual"/>
              </w:rPr>
              <w:tab/>
            </w:r>
            <w:r>
              <w:rPr>
                <w:rStyle w:val="Hyperlink"/>
              </w:rPr>
              <w:t>Tools</w:t>
            </w:r>
            <w:r>
              <w:rPr>
                <w:webHidden/>
              </w:rPr>
              <w:tab/>
            </w:r>
            <w:r>
              <w:rPr>
                <w:webHidden/>
              </w:rPr>
              <w:fldChar w:fldCharType="begin"/>
            </w:r>
            <w:r>
              <w:rPr>
                <w:webHidden/>
              </w:rPr>
              <w:instrText xml:space="preserve"> PAGEREF _Toc192874981 \h </w:instrText>
            </w:r>
            <w:r>
              <w:rPr>
                <w:webHidden/>
              </w:rPr>
            </w:r>
            <w:r>
              <w:rPr>
                <w:webHidden/>
              </w:rPr>
              <w:fldChar w:fldCharType="separate"/>
            </w:r>
            <w:r>
              <w:rPr>
                <w:webHidden/>
              </w:rPr>
              <w:t>221</w:t>
            </w:r>
            <w:r>
              <w:rPr>
                <w:webHidden/>
              </w:rPr>
              <w:fldChar w:fldCharType="end"/>
            </w:r>
          </w:hyperlink>
        </w:p>
        <w:p w14:paraId="24FE996B" w14:textId="6931816C" w:rsidR="00274557" w:rsidRDefault="00274557">
          <w:pPr>
            <w:pStyle w:val="TOC2"/>
            <w:rPr>
              <w:rFonts w:asciiTheme="minorHAnsi" w:eastAsiaTheme="minorEastAsia" w:hAnsiTheme="minorHAnsi"/>
              <w:b w:val="0"/>
              <w:kern w:val="2"/>
              <w:sz w:val="22"/>
              <w:lang w:val="en-US"/>
              <w14:ligatures w14:val="standardContextual"/>
            </w:rPr>
          </w:pPr>
          <w:hyperlink w:anchor="_Toc192874982" w:history="1">
            <w:r>
              <w:rPr>
                <w:rStyle w:val="Hyperlink"/>
              </w:rPr>
              <w:t>10.9</w:t>
            </w:r>
            <w:r>
              <w:rPr>
                <w:rFonts w:asciiTheme="minorHAnsi" w:eastAsiaTheme="minorEastAsia" w:hAnsiTheme="minorHAnsi"/>
                <w:b w:val="0"/>
                <w:kern w:val="2"/>
                <w:sz w:val="22"/>
                <w:lang w:val="en-US"/>
                <w14:ligatures w14:val="standardContextual"/>
              </w:rPr>
              <w:tab/>
            </w:r>
            <w:r>
              <w:rPr>
                <w:rStyle w:val="Hyperlink"/>
              </w:rPr>
              <w:t>ALM Tool Attributes</w:t>
            </w:r>
            <w:r>
              <w:rPr>
                <w:webHidden/>
              </w:rPr>
              <w:tab/>
            </w:r>
            <w:r>
              <w:rPr>
                <w:webHidden/>
              </w:rPr>
              <w:fldChar w:fldCharType="begin"/>
            </w:r>
            <w:r>
              <w:rPr>
                <w:webHidden/>
              </w:rPr>
              <w:instrText xml:space="preserve"> PAGEREF _Toc192874982 \h </w:instrText>
            </w:r>
            <w:r>
              <w:rPr>
                <w:webHidden/>
              </w:rPr>
            </w:r>
            <w:r>
              <w:rPr>
                <w:webHidden/>
              </w:rPr>
              <w:fldChar w:fldCharType="separate"/>
            </w:r>
            <w:r>
              <w:rPr>
                <w:webHidden/>
              </w:rPr>
              <w:t>221</w:t>
            </w:r>
            <w:r>
              <w:rPr>
                <w:webHidden/>
              </w:rPr>
              <w:fldChar w:fldCharType="end"/>
            </w:r>
          </w:hyperlink>
        </w:p>
        <w:p w14:paraId="5650735D" w14:textId="0D7DE61A" w:rsidR="00274557" w:rsidRDefault="00274557">
          <w:pPr>
            <w:pStyle w:val="TOC3"/>
            <w:rPr>
              <w:rFonts w:asciiTheme="minorHAnsi" w:hAnsiTheme="minorHAnsi"/>
              <w:sz w:val="22"/>
            </w:rPr>
          </w:pPr>
          <w:hyperlink w:anchor="_Toc192874983" w:history="1">
            <w:r>
              <w:rPr>
                <w:rStyle w:val="Hyperlink"/>
                <w:bCs/>
              </w:rPr>
              <w:t>10.9.1</w:t>
            </w:r>
            <w:r>
              <w:rPr>
                <w:rFonts w:asciiTheme="minorHAnsi" w:hAnsiTheme="minorHAnsi"/>
                <w:sz w:val="22"/>
              </w:rPr>
              <w:tab/>
            </w:r>
            <w:r>
              <w:rPr>
                <w:rStyle w:val="Hyperlink"/>
              </w:rPr>
              <w:t>ALM Tool Workflow</w:t>
            </w:r>
            <w:r>
              <w:rPr>
                <w:webHidden/>
              </w:rPr>
              <w:tab/>
            </w:r>
            <w:r>
              <w:rPr>
                <w:webHidden/>
              </w:rPr>
              <w:fldChar w:fldCharType="begin"/>
            </w:r>
            <w:r>
              <w:rPr>
                <w:webHidden/>
              </w:rPr>
              <w:instrText xml:space="preserve"> PAGEREF _Toc192874983 \h </w:instrText>
            </w:r>
            <w:r>
              <w:rPr>
                <w:webHidden/>
              </w:rPr>
            </w:r>
            <w:r>
              <w:rPr>
                <w:webHidden/>
              </w:rPr>
              <w:fldChar w:fldCharType="separate"/>
            </w:r>
            <w:r>
              <w:rPr>
                <w:webHidden/>
              </w:rPr>
              <w:t>222</w:t>
            </w:r>
            <w:r>
              <w:rPr>
                <w:webHidden/>
              </w:rPr>
              <w:fldChar w:fldCharType="end"/>
            </w:r>
          </w:hyperlink>
        </w:p>
        <w:p w14:paraId="67669A4A" w14:textId="5AE70D9E" w:rsidR="00274557" w:rsidRDefault="00274557">
          <w:pPr>
            <w:pStyle w:val="TOC1"/>
            <w:rPr>
              <w:rFonts w:asciiTheme="minorHAnsi" w:eastAsiaTheme="minorEastAsia" w:hAnsiTheme="minorHAnsi"/>
              <w:b w:val="0"/>
              <w:kern w:val="2"/>
              <w:sz w:val="22"/>
              <w14:ligatures w14:val="standardContextual"/>
            </w:rPr>
          </w:pPr>
          <w:hyperlink w:anchor="_Toc192874984" w:history="1">
            <w:r>
              <w:rPr>
                <w:rStyle w:val="Hyperlink"/>
              </w:rPr>
              <w:t>11</w:t>
            </w:r>
            <w:r>
              <w:rPr>
                <w:rFonts w:asciiTheme="minorHAnsi" w:eastAsiaTheme="minorEastAsia" w:hAnsiTheme="minorHAnsi"/>
                <w:b w:val="0"/>
                <w:kern w:val="2"/>
                <w:sz w:val="22"/>
                <w14:ligatures w14:val="standardContextual"/>
              </w:rPr>
              <w:tab/>
            </w:r>
            <w:r>
              <w:rPr>
                <w:rStyle w:val="Hyperlink"/>
              </w:rPr>
              <w:t>Schedule Management Plan</w:t>
            </w:r>
            <w:r>
              <w:rPr>
                <w:webHidden/>
              </w:rPr>
              <w:tab/>
            </w:r>
            <w:r>
              <w:rPr>
                <w:webHidden/>
              </w:rPr>
              <w:fldChar w:fldCharType="begin"/>
            </w:r>
            <w:r>
              <w:rPr>
                <w:webHidden/>
              </w:rPr>
              <w:instrText xml:space="preserve"> PAGEREF _Toc192874984 \h </w:instrText>
            </w:r>
            <w:r>
              <w:rPr>
                <w:webHidden/>
              </w:rPr>
            </w:r>
            <w:r>
              <w:rPr>
                <w:webHidden/>
              </w:rPr>
              <w:fldChar w:fldCharType="separate"/>
            </w:r>
            <w:r>
              <w:rPr>
                <w:webHidden/>
              </w:rPr>
              <w:t>224</w:t>
            </w:r>
            <w:r>
              <w:rPr>
                <w:webHidden/>
              </w:rPr>
              <w:fldChar w:fldCharType="end"/>
            </w:r>
          </w:hyperlink>
        </w:p>
        <w:p w14:paraId="6639EB1D" w14:textId="70D4E3FF" w:rsidR="00274557" w:rsidRDefault="00274557">
          <w:pPr>
            <w:pStyle w:val="TOC2"/>
            <w:rPr>
              <w:rFonts w:asciiTheme="minorHAnsi" w:eastAsiaTheme="minorEastAsia" w:hAnsiTheme="minorHAnsi"/>
              <w:b w:val="0"/>
              <w:kern w:val="2"/>
              <w:sz w:val="22"/>
              <w:lang w:val="en-US"/>
              <w14:ligatures w14:val="standardContextual"/>
            </w:rPr>
          </w:pPr>
          <w:hyperlink w:anchor="_Toc192874985" w:history="1">
            <w:r>
              <w:rPr>
                <w:rStyle w:val="Hyperlink"/>
              </w:rPr>
              <w:t>11.1</w:t>
            </w:r>
            <w:r>
              <w:rPr>
                <w:rFonts w:asciiTheme="minorHAnsi" w:eastAsiaTheme="minorEastAsia" w:hAnsiTheme="minorHAnsi"/>
                <w:b w:val="0"/>
                <w:kern w:val="2"/>
                <w:sz w:val="22"/>
                <w:lang w:val="en-US"/>
                <w14:ligatures w14:val="standardContextual"/>
              </w:rPr>
              <w:tab/>
            </w:r>
            <w:r>
              <w:rPr>
                <w:rStyle w:val="Hyperlink"/>
                <w:shd w:val="clear" w:color="auto" w:fill="FFFFFF"/>
              </w:rPr>
              <w:t>Introduction</w:t>
            </w:r>
            <w:r>
              <w:rPr>
                <w:webHidden/>
              </w:rPr>
              <w:tab/>
            </w:r>
            <w:r>
              <w:rPr>
                <w:webHidden/>
              </w:rPr>
              <w:fldChar w:fldCharType="begin"/>
            </w:r>
            <w:r>
              <w:rPr>
                <w:webHidden/>
              </w:rPr>
              <w:instrText xml:space="preserve"> PAGEREF _Toc192874985 \h </w:instrText>
            </w:r>
            <w:r>
              <w:rPr>
                <w:webHidden/>
              </w:rPr>
            </w:r>
            <w:r>
              <w:rPr>
                <w:webHidden/>
              </w:rPr>
              <w:fldChar w:fldCharType="separate"/>
            </w:r>
            <w:r>
              <w:rPr>
                <w:webHidden/>
              </w:rPr>
              <w:t>224</w:t>
            </w:r>
            <w:r>
              <w:rPr>
                <w:webHidden/>
              </w:rPr>
              <w:fldChar w:fldCharType="end"/>
            </w:r>
          </w:hyperlink>
        </w:p>
        <w:p w14:paraId="56FD9665" w14:textId="019516E9" w:rsidR="00274557" w:rsidRDefault="00274557">
          <w:pPr>
            <w:pStyle w:val="TOC2"/>
            <w:rPr>
              <w:rFonts w:asciiTheme="minorHAnsi" w:eastAsiaTheme="minorEastAsia" w:hAnsiTheme="minorHAnsi"/>
              <w:b w:val="0"/>
              <w:kern w:val="2"/>
              <w:sz w:val="22"/>
              <w:lang w:val="en-US"/>
              <w14:ligatures w14:val="standardContextual"/>
            </w:rPr>
          </w:pPr>
          <w:hyperlink w:anchor="_Toc192874986" w:history="1">
            <w:r>
              <w:rPr>
                <w:rStyle w:val="Hyperlink"/>
              </w:rPr>
              <w:t>11.2</w:t>
            </w:r>
            <w:r>
              <w:rPr>
                <w:rFonts w:asciiTheme="minorHAnsi" w:eastAsiaTheme="minorEastAsia" w:hAnsiTheme="minorHAnsi"/>
                <w:b w:val="0"/>
                <w:kern w:val="2"/>
                <w:sz w:val="22"/>
                <w:lang w:val="en-US"/>
                <w14:ligatures w14:val="standardContextual"/>
              </w:rPr>
              <w:tab/>
            </w:r>
            <w:r>
              <w:rPr>
                <w:rStyle w:val="Hyperlink"/>
                <w:shd w:val="clear" w:color="auto" w:fill="FFFFFF"/>
              </w:rPr>
              <w:t>Purpose</w:t>
            </w:r>
            <w:r>
              <w:rPr>
                <w:webHidden/>
              </w:rPr>
              <w:tab/>
            </w:r>
            <w:r>
              <w:rPr>
                <w:webHidden/>
              </w:rPr>
              <w:fldChar w:fldCharType="begin"/>
            </w:r>
            <w:r>
              <w:rPr>
                <w:webHidden/>
              </w:rPr>
              <w:instrText xml:space="preserve"> PAGEREF _Toc192874986 \h </w:instrText>
            </w:r>
            <w:r>
              <w:rPr>
                <w:webHidden/>
              </w:rPr>
            </w:r>
            <w:r>
              <w:rPr>
                <w:webHidden/>
              </w:rPr>
              <w:fldChar w:fldCharType="separate"/>
            </w:r>
            <w:r>
              <w:rPr>
                <w:webHidden/>
              </w:rPr>
              <w:t>224</w:t>
            </w:r>
            <w:r>
              <w:rPr>
                <w:webHidden/>
              </w:rPr>
              <w:fldChar w:fldCharType="end"/>
            </w:r>
          </w:hyperlink>
        </w:p>
        <w:p w14:paraId="597F78E1" w14:textId="4CB81213" w:rsidR="00274557" w:rsidRDefault="00274557">
          <w:pPr>
            <w:pStyle w:val="TOC2"/>
            <w:rPr>
              <w:rFonts w:asciiTheme="minorHAnsi" w:eastAsiaTheme="minorEastAsia" w:hAnsiTheme="minorHAnsi"/>
              <w:b w:val="0"/>
              <w:kern w:val="2"/>
              <w:sz w:val="22"/>
              <w:lang w:val="en-US"/>
              <w14:ligatures w14:val="standardContextual"/>
            </w:rPr>
          </w:pPr>
          <w:hyperlink w:anchor="_Toc192874987" w:history="1">
            <w:r>
              <w:rPr>
                <w:rStyle w:val="Hyperlink"/>
              </w:rPr>
              <w:t>11.3</w:t>
            </w:r>
            <w:r>
              <w:rPr>
                <w:rFonts w:asciiTheme="minorHAnsi" w:eastAsiaTheme="minorEastAsia" w:hAnsiTheme="minorHAnsi"/>
                <w:b w:val="0"/>
                <w:kern w:val="2"/>
                <w:sz w:val="22"/>
                <w:lang w:val="en-US"/>
                <w14:ligatures w14:val="standardContextual"/>
              </w:rPr>
              <w:tab/>
            </w:r>
            <w:r>
              <w:rPr>
                <w:rStyle w:val="Hyperlink"/>
                <w:shd w:val="clear" w:color="auto" w:fill="FFFFFF"/>
              </w:rPr>
              <w:t>Schedule Management Approach</w:t>
            </w:r>
            <w:r>
              <w:rPr>
                <w:webHidden/>
              </w:rPr>
              <w:tab/>
            </w:r>
            <w:r>
              <w:rPr>
                <w:webHidden/>
              </w:rPr>
              <w:fldChar w:fldCharType="begin"/>
            </w:r>
            <w:r>
              <w:rPr>
                <w:webHidden/>
              </w:rPr>
              <w:instrText xml:space="preserve"> PAGEREF _Toc192874987 \h </w:instrText>
            </w:r>
            <w:r>
              <w:rPr>
                <w:webHidden/>
              </w:rPr>
            </w:r>
            <w:r>
              <w:rPr>
                <w:webHidden/>
              </w:rPr>
              <w:fldChar w:fldCharType="separate"/>
            </w:r>
            <w:r>
              <w:rPr>
                <w:webHidden/>
              </w:rPr>
              <w:t>224</w:t>
            </w:r>
            <w:r>
              <w:rPr>
                <w:webHidden/>
              </w:rPr>
              <w:fldChar w:fldCharType="end"/>
            </w:r>
          </w:hyperlink>
        </w:p>
        <w:p w14:paraId="0A4D47ED" w14:textId="69A088BC" w:rsidR="00274557" w:rsidRDefault="00274557">
          <w:pPr>
            <w:pStyle w:val="TOC3"/>
            <w:rPr>
              <w:rFonts w:asciiTheme="minorHAnsi" w:hAnsiTheme="minorHAnsi"/>
              <w:sz w:val="22"/>
            </w:rPr>
          </w:pPr>
          <w:hyperlink w:anchor="_Toc192874988" w:history="1">
            <w:r>
              <w:rPr>
                <w:rStyle w:val="Hyperlink"/>
                <w:bCs/>
              </w:rPr>
              <w:t>11.3.1</w:t>
            </w:r>
            <w:r>
              <w:rPr>
                <w:rFonts w:asciiTheme="minorHAnsi" w:hAnsiTheme="minorHAnsi"/>
                <w:sz w:val="22"/>
              </w:rPr>
              <w:tab/>
            </w:r>
            <w:r>
              <w:rPr>
                <w:rStyle w:val="Hyperlink"/>
                <w:shd w:val="clear" w:color="auto" w:fill="FFFFFF"/>
              </w:rPr>
              <w:t>Schedule Management Process Flow Diagram</w:t>
            </w:r>
            <w:r>
              <w:rPr>
                <w:webHidden/>
              </w:rPr>
              <w:tab/>
            </w:r>
            <w:r>
              <w:rPr>
                <w:webHidden/>
              </w:rPr>
              <w:fldChar w:fldCharType="begin"/>
            </w:r>
            <w:r>
              <w:rPr>
                <w:webHidden/>
              </w:rPr>
              <w:instrText xml:space="preserve"> PAGEREF _Toc192874988 \h </w:instrText>
            </w:r>
            <w:r>
              <w:rPr>
                <w:webHidden/>
              </w:rPr>
            </w:r>
            <w:r>
              <w:rPr>
                <w:webHidden/>
              </w:rPr>
              <w:fldChar w:fldCharType="separate"/>
            </w:r>
            <w:r>
              <w:rPr>
                <w:webHidden/>
              </w:rPr>
              <w:t>224</w:t>
            </w:r>
            <w:r>
              <w:rPr>
                <w:webHidden/>
              </w:rPr>
              <w:fldChar w:fldCharType="end"/>
            </w:r>
          </w:hyperlink>
        </w:p>
        <w:p w14:paraId="51CD100F" w14:textId="458F67C2" w:rsidR="00274557" w:rsidRDefault="00274557">
          <w:pPr>
            <w:pStyle w:val="TOC3"/>
            <w:rPr>
              <w:rFonts w:asciiTheme="minorHAnsi" w:hAnsiTheme="minorHAnsi"/>
              <w:sz w:val="22"/>
            </w:rPr>
          </w:pPr>
          <w:hyperlink w:anchor="_Toc192874989" w:history="1">
            <w:r>
              <w:rPr>
                <w:rStyle w:val="Hyperlink"/>
                <w:bCs/>
              </w:rPr>
              <w:t>11.3.2</w:t>
            </w:r>
            <w:r>
              <w:rPr>
                <w:rFonts w:asciiTheme="minorHAnsi" w:hAnsiTheme="minorHAnsi"/>
                <w:sz w:val="22"/>
              </w:rPr>
              <w:tab/>
            </w:r>
            <w:r>
              <w:rPr>
                <w:rStyle w:val="Hyperlink"/>
                <w:shd w:val="clear" w:color="auto" w:fill="FFFFFF"/>
              </w:rPr>
              <w:t>Schedule Management Process Flow Narrative</w:t>
            </w:r>
            <w:r>
              <w:rPr>
                <w:webHidden/>
              </w:rPr>
              <w:tab/>
            </w:r>
            <w:r>
              <w:rPr>
                <w:webHidden/>
              </w:rPr>
              <w:fldChar w:fldCharType="begin"/>
            </w:r>
            <w:r>
              <w:rPr>
                <w:webHidden/>
              </w:rPr>
              <w:instrText xml:space="preserve"> PAGEREF _Toc192874989 \h </w:instrText>
            </w:r>
            <w:r>
              <w:rPr>
                <w:webHidden/>
              </w:rPr>
            </w:r>
            <w:r>
              <w:rPr>
                <w:webHidden/>
              </w:rPr>
              <w:fldChar w:fldCharType="separate"/>
            </w:r>
            <w:r>
              <w:rPr>
                <w:webHidden/>
              </w:rPr>
              <w:t>225</w:t>
            </w:r>
            <w:r>
              <w:rPr>
                <w:webHidden/>
              </w:rPr>
              <w:fldChar w:fldCharType="end"/>
            </w:r>
          </w:hyperlink>
        </w:p>
        <w:p w14:paraId="42EDFBCC" w14:textId="30CDFB27" w:rsidR="00274557" w:rsidRDefault="00274557">
          <w:pPr>
            <w:pStyle w:val="TOC2"/>
            <w:rPr>
              <w:rFonts w:asciiTheme="minorHAnsi" w:eastAsiaTheme="minorEastAsia" w:hAnsiTheme="minorHAnsi"/>
              <w:b w:val="0"/>
              <w:kern w:val="2"/>
              <w:sz w:val="22"/>
              <w:lang w:val="en-US"/>
              <w14:ligatures w14:val="standardContextual"/>
            </w:rPr>
          </w:pPr>
          <w:hyperlink w:anchor="_Toc192874990" w:history="1">
            <w:r>
              <w:rPr>
                <w:rStyle w:val="Hyperlink"/>
              </w:rPr>
              <w:t>11.4</w:t>
            </w:r>
            <w:r>
              <w:rPr>
                <w:rFonts w:asciiTheme="minorHAnsi" w:eastAsiaTheme="minorEastAsia" w:hAnsiTheme="minorHAnsi"/>
                <w:b w:val="0"/>
                <w:kern w:val="2"/>
                <w:sz w:val="22"/>
                <w:lang w:val="en-US"/>
                <w14:ligatures w14:val="standardContextual"/>
              </w:rPr>
              <w:tab/>
            </w:r>
            <w:r>
              <w:rPr>
                <w:rStyle w:val="Hyperlink"/>
                <w:shd w:val="clear" w:color="auto" w:fill="FFFFFF"/>
              </w:rPr>
              <w:t>Schedule Performance Monitoring</w:t>
            </w:r>
            <w:r>
              <w:rPr>
                <w:webHidden/>
              </w:rPr>
              <w:tab/>
            </w:r>
            <w:r>
              <w:rPr>
                <w:webHidden/>
              </w:rPr>
              <w:fldChar w:fldCharType="begin"/>
            </w:r>
            <w:r>
              <w:rPr>
                <w:webHidden/>
              </w:rPr>
              <w:instrText xml:space="preserve"> PAGEREF _Toc192874990 \h </w:instrText>
            </w:r>
            <w:r>
              <w:rPr>
                <w:webHidden/>
              </w:rPr>
            </w:r>
            <w:r>
              <w:rPr>
                <w:webHidden/>
              </w:rPr>
              <w:fldChar w:fldCharType="separate"/>
            </w:r>
            <w:r>
              <w:rPr>
                <w:webHidden/>
              </w:rPr>
              <w:t>227</w:t>
            </w:r>
            <w:r>
              <w:rPr>
                <w:webHidden/>
              </w:rPr>
              <w:fldChar w:fldCharType="end"/>
            </w:r>
          </w:hyperlink>
        </w:p>
        <w:p w14:paraId="3EE18D9D" w14:textId="4CFE81D2" w:rsidR="00274557" w:rsidRDefault="00274557">
          <w:pPr>
            <w:pStyle w:val="TOC3"/>
            <w:rPr>
              <w:rFonts w:asciiTheme="minorHAnsi" w:hAnsiTheme="minorHAnsi"/>
              <w:sz w:val="22"/>
            </w:rPr>
          </w:pPr>
          <w:hyperlink w:anchor="_Toc192874991" w:history="1">
            <w:r>
              <w:rPr>
                <w:rStyle w:val="Hyperlink"/>
                <w:bCs/>
              </w:rPr>
              <w:t>11.4.1</w:t>
            </w:r>
            <w:r>
              <w:rPr>
                <w:rFonts w:asciiTheme="minorHAnsi" w:hAnsiTheme="minorHAnsi"/>
                <w:sz w:val="22"/>
              </w:rPr>
              <w:tab/>
            </w:r>
            <w:r>
              <w:rPr>
                <w:rStyle w:val="Hyperlink"/>
                <w:shd w:val="clear" w:color="auto" w:fill="FFFFFF"/>
              </w:rPr>
              <w:t>Background and Purpose</w:t>
            </w:r>
            <w:r>
              <w:rPr>
                <w:webHidden/>
              </w:rPr>
              <w:tab/>
            </w:r>
            <w:r>
              <w:rPr>
                <w:webHidden/>
              </w:rPr>
              <w:fldChar w:fldCharType="begin"/>
            </w:r>
            <w:r>
              <w:rPr>
                <w:webHidden/>
              </w:rPr>
              <w:instrText xml:space="preserve"> PAGEREF _Toc192874991 \h </w:instrText>
            </w:r>
            <w:r>
              <w:rPr>
                <w:webHidden/>
              </w:rPr>
            </w:r>
            <w:r>
              <w:rPr>
                <w:webHidden/>
              </w:rPr>
              <w:fldChar w:fldCharType="separate"/>
            </w:r>
            <w:r>
              <w:rPr>
                <w:webHidden/>
              </w:rPr>
              <w:t>227</w:t>
            </w:r>
            <w:r>
              <w:rPr>
                <w:webHidden/>
              </w:rPr>
              <w:fldChar w:fldCharType="end"/>
            </w:r>
          </w:hyperlink>
        </w:p>
        <w:p w14:paraId="6E0284F7" w14:textId="6A97FFB1" w:rsidR="00274557" w:rsidRDefault="00274557">
          <w:pPr>
            <w:pStyle w:val="TOC3"/>
            <w:rPr>
              <w:rFonts w:asciiTheme="minorHAnsi" w:hAnsiTheme="minorHAnsi"/>
              <w:sz w:val="22"/>
            </w:rPr>
          </w:pPr>
          <w:hyperlink w:anchor="_Toc192874992" w:history="1">
            <w:r>
              <w:rPr>
                <w:rStyle w:val="Hyperlink"/>
                <w:bCs/>
              </w:rPr>
              <w:t>11.4.2</w:t>
            </w:r>
            <w:r>
              <w:rPr>
                <w:rFonts w:asciiTheme="minorHAnsi" w:hAnsiTheme="minorHAnsi"/>
                <w:sz w:val="22"/>
              </w:rPr>
              <w:tab/>
            </w:r>
            <w:r>
              <w:rPr>
                <w:rStyle w:val="Hyperlink"/>
                <w:shd w:val="clear" w:color="auto" w:fill="FFFFFF"/>
              </w:rPr>
              <w:t>Schedule Performance Index</w:t>
            </w:r>
            <w:r>
              <w:rPr>
                <w:webHidden/>
              </w:rPr>
              <w:tab/>
            </w:r>
            <w:r>
              <w:rPr>
                <w:webHidden/>
              </w:rPr>
              <w:fldChar w:fldCharType="begin"/>
            </w:r>
            <w:r>
              <w:rPr>
                <w:webHidden/>
              </w:rPr>
              <w:instrText xml:space="preserve"> PAGEREF _Toc192874992 \h </w:instrText>
            </w:r>
            <w:r>
              <w:rPr>
                <w:webHidden/>
              </w:rPr>
            </w:r>
            <w:r>
              <w:rPr>
                <w:webHidden/>
              </w:rPr>
              <w:fldChar w:fldCharType="separate"/>
            </w:r>
            <w:r>
              <w:rPr>
                <w:webHidden/>
              </w:rPr>
              <w:t>227</w:t>
            </w:r>
            <w:r>
              <w:rPr>
                <w:webHidden/>
              </w:rPr>
              <w:fldChar w:fldCharType="end"/>
            </w:r>
          </w:hyperlink>
        </w:p>
        <w:p w14:paraId="71B3FC20" w14:textId="1EECE3A6" w:rsidR="00274557" w:rsidRDefault="00274557">
          <w:pPr>
            <w:pStyle w:val="TOC3"/>
            <w:rPr>
              <w:rFonts w:asciiTheme="minorHAnsi" w:hAnsiTheme="minorHAnsi"/>
              <w:sz w:val="22"/>
            </w:rPr>
          </w:pPr>
          <w:hyperlink w:anchor="_Toc192874993" w:history="1">
            <w:r>
              <w:rPr>
                <w:rStyle w:val="Hyperlink"/>
                <w:bCs/>
              </w:rPr>
              <w:t>11.4.3</w:t>
            </w:r>
            <w:r>
              <w:rPr>
                <w:rFonts w:asciiTheme="minorHAnsi" w:hAnsiTheme="minorHAnsi"/>
                <w:sz w:val="22"/>
              </w:rPr>
              <w:tab/>
            </w:r>
            <w:r>
              <w:rPr>
                <w:rStyle w:val="Hyperlink"/>
              </w:rPr>
              <w:t>Variance</w:t>
            </w:r>
            <w:r>
              <w:rPr>
                <w:webHidden/>
              </w:rPr>
              <w:tab/>
            </w:r>
            <w:r>
              <w:rPr>
                <w:webHidden/>
              </w:rPr>
              <w:fldChar w:fldCharType="begin"/>
            </w:r>
            <w:r>
              <w:rPr>
                <w:webHidden/>
              </w:rPr>
              <w:instrText xml:space="preserve"> PAGEREF _Toc192874993 \h </w:instrText>
            </w:r>
            <w:r>
              <w:rPr>
                <w:webHidden/>
              </w:rPr>
            </w:r>
            <w:r>
              <w:rPr>
                <w:webHidden/>
              </w:rPr>
              <w:fldChar w:fldCharType="separate"/>
            </w:r>
            <w:r>
              <w:rPr>
                <w:webHidden/>
              </w:rPr>
              <w:t>228</w:t>
            </w:r>
            <w:r>
              <w:rPr>
                <w:webHidden/>
              </w:rPr>
              <w:fldChar w:fldCharType="end"/>
            </w:r>
          </w:hyperlink>
        </w:p>
        <w:p w14:paraId="20DC5655" w14:textId="1AC80774" w:rsidR="00274557" w:rsidRDefault="00274557">
          <w:pPr>
            <w:pStyle w:val="TOC3"/>
            <w:rPr>
              <w:rFonts w:asciiTheme="minorHAnsi" w:hAnsiTheme="minorHAnsi"/>
              <w:sz w:val="22"/>
            </w:rPr>
          </w:pPr>
          <w:hyperlink w:anchor="_Toc192874994" w:history="1">
            <w:r>
              <w:rPr>
                <w:rStyle w:val="Hyperlink"/>
                <w:bCs/>
              </w:rPr>
              <w:t>11.4.4</w:t>
            </w:r>
            <w:r>
              <w:rPr>
                <w:rFonts w:asciiTheme="minorHAnsi" w:hAnsiTheme="minorHAnsi"/>
                <w:sz w:val="22"/>
              </w:rPr>
              <w:tab/>
            </w:r>
            <w:r>
              <w:rPr>
                <w:rStyle w:val="Hyperlink"/>
              </w:rPr>
              <w:t>Stakeholder Engagement</w:t>
            </w:r>
            <w:r>
              <w:rPr>
                <w:webHidden/>
              </w:rPr>
              <w:tab/>
            </w:r>
            <w:r>
              <w:rPr>
                <w:webHidden/>
              </w:rPr>
              <w:fldChar w:fldCharType="begin"/>
            </w:r>
            <w:r>
              <w:rPr>
                <w:webHidden/>
              </w:rPr>
              <w:instrText xml:space="preserve"> PAGEREF _Toc192874994 \h </w:instrText>
            </w:r>
            <w:r>
              <w:rPr>
                <w:webHidden/>
              </w:rPr>
            </w:r>
            <w:r>
              <w:rPr>
                <w:webHidden/>
              </w:rPr>
              <w:fldChar w:fldCharType="separate"/>
            </w:r>
            <w:r>
              <w:rPr>
                <w:webHidden/>
              </w:rPr>
              <w:t>228</w:t>
            </w:r>
            <w:r>
              <w:rPr>
                <w:webHidden/>
              </w:rPr>
              <w:fldChar w:fldCharType="end"/>
            </w:r>
          </w:hyperlink>
        </w:p>
        <w:p w14:paraId="3FE8B459" w14:textId="060E60F9" w:rsidR="00274557" w:rsidRDefault="00274557">
          <w:pPr>
            <w:pStyle w:val="TOC3"/>
            <w:rPr>
              <w:rFonts w:asciiTheme="minorHAnsi" w:hAnsiTheme="minorHAnsi"/>
              <w:sz w:val="22"/>
            </w:rPr>
          </w:pPr>
          <w:hyperlink w:anchor="_Toc192874995" w:history="1">
            <w:r>
              <w:rPr>
                <w:rStyle w:val="Hyperlink"/>
                <w:bCs/>
              </w:rPr>
              <w:t>11.4.5</w:t>
            </w:r>
            <w:r>
              <w:rPr>
                <w:rFonts w:asciiTheme="minorHAnsi" w:hAnsiTheme="minorHAnsi"/>
                <w:sz w:val="22"/>
              </w:rPr>
              <w:tab/>
            </w:r>
            <w:r>
              <w:rPr>
                <w:rStyle w:val="Hyperlink"/>
              </w:rPr>
              <w:t>Sample SPI Dashboard</w:t>
            </w:r>
            <w:r>
              <w:rPr>
                <w:webHidden/>
              </w:rPr>
              <w:tab/>
            </w:r>
            <w:r>
              <w:rPr>
                <w:webHidden/>
              </w:rPr>
              <w:fldChar w:fldCharType="begin"/>
            </w:r>
            <w:r>
              <w:rPr>
                <w:webHidden/>
              </w:rPr>
              <w:instrText xml:space="preserve"> PAGEREF _Toc192874995 \h </w:instrText>
            </w:r>
            <w:r>
              <w:rPr>
                <w:webHidden/>
              </w:rPr>
            </w:r>
            <w:r>
              <w:rPr>
                <w:webHidden/>
              </w:rPr>
              <w:fldChar w:fldCharType="separate"/>
            </w:r>
            <w:r>
              <w:rPr>
                <w:webHidden/>
              </w:rPr>
              <w:t>228</w:t>
            </w:r>
            <w:r>
              <w:rPr>
                <w:webHidden/>
              </w:rPr>
              <w:fldChar w:fldCharType="end"/>
            </w:r>
          </w:hyperlink>
        </w:p>
        <w:p w14:paraId="5D5BA062" w14:textId="3EC3FECC" w:rsidR="00274557" w:rsidRDefault="00274557">
          <w:pPr>
            <w:pStyle w:val="TOC2"/>
            <w:rPr>
              <w:rFonts w:asciiTheme="minorHAnsi" w:eastAsiaTheme="minorEastAsia" w:hAnsiTheme="minorHAnsi"/>
              <w:b w:val="0"/>
              <w:kern w:val="2"/>
              <w:sz w:val="22"/>
              <w:lang w:val="en-US"/>
              <w14:ligatures w14:val="standardContextual"/>
            </w:rPr>
          </w:pPr>
          <w:hyperlink w:anchor="_Toc192874996" w:history="1">
            <w:r>
              <w:rPr>
                <w:rStyle w:val="Hyperlink"/>
              </w:rPr>
              <w:t>11.5</w:t>
            </w:r>
            <w:r>
              <w:rPr>
                <w:rFonts w:asciiTheme="minorHAnsi" w:eastAsiaTheme="minorEastAsia" w:hAnsiTheme="minorHAnsi"/>
                <w:b w:val="0"/>
                <w:kern w:val="2"/>
                <w:sz w:val="22"/>
                <w:lang w:val="en-US"/>
                <w14:ligatures w14:val="standardContextual"/>
              </w:rPr>
              <w:tab/>
            </w:r>
            <w:r>
              <w:rPr>
                <w:rStyle w:val="Hyperlink"/>
                <w:shd w:val="clear" w:color="auto" w:fill="FFFFFF"/>
              </w:rPr>
              <w:t>Work Plan</w:t>
            </w:r>
            <w:r>
              <w:rPr>
                <w:webHidden/>
              </w:rPr>
              <w:tab/>
            </w:r>
            <w:r>
              <w:rPr>
                <w:webHidden/>
              </w:rPr>
              <w:fldChar w:fldCharType="begin"/>
            </w:r>
            <w:r>
              <w:rPr>
                <w:webHidden/>
              </w:rPr>
              <w:instrText xml:space="preserve"> PAGEREF _Toc192874996 \h </w:instrText>
            </w:r>
            <w:r>
              <w:rPr>
                <w:webHidden/>
              </w:rPr>
            </w:r>
            <w:r>
              <w:rPr>
                <w:webHidden/>
              </w:rPr>
              <w:fldChar w:fldCharType="separate"/>
            </w:r>
            <w:r>
              <w:rPr>
                <w:webHidden/>
              </w:rPr>
              <w:t>229</w:t>
            </w:r>
            <w:r>
              <w:rPr>
                <w:webHidden/>
              </w:rPr>
              <w:fldChar w:fldCharType="end"/>
            </w:r>
          </w:hyperlink>
        </w:p>
        <w:p w14:paraId="1F24B894" w14:textId="609BBF76" w:rsidR="00274557" w:rsidRDefault="00274557">
          <w:pPr>
            <w:pStyle w:val="TOC3"/>
            <w:rPr>
              <w:rFonts w:asciiTheme="minorHAnsi" w:hAnsiTheme="minorHAnsi"/>
              <w:sz w:val="22"/>
            </w:rPr>
          </w:pPr>
          <w:hyperlink w:anchor="_Toc192874997" w:history="1">
            <w:r>
              <w:rPr>
                <w:rStyle w:val="Hyperlink"/>
                <w:bCs/>
              </w:rPr>
              <w:t>11.5.1</w:t>
            </w:r>
            <w:r>
              <w:rPr>
                <w:rFonts w:asciiTheme="minorHAnsi" w:hAnsiTheme="minorHAnsi"/>
                <w:sz w:val="22"/>
              </w:rPr>
              <w:tab/>
            </w:r>
            <w:r>
              <w:rPr>
                <w:rStyle w:val="Hyperlink"/>
                <w:shd w:val="clear" w:color="auto" w:fill="FFFFFF"/>
              </w:rPr>
              <w:t>Core Contents</w:t>
            </w:r>
            <w:r>
              <w:rPr>
                <w:webHidden/>
              </w:rPr>
              <w:tab/>
            </w:r>
            <w:r>
              <w:rPr>
                <w:webHidden/>
              </w:rPr>
              <w:fldChar w:fldCharType="begin"/>
            </w:r>
            <w:r>
              <w:rPr>
                <w:webHidden/>
              </w:rPr>
              <w:instrText xml:space="preserve"> PAGEREF _Toc192874997 \h </w:instrText>
            </w:r>
            <w:r>
              <w:rPr>
                <w:webHidden/>
              </w:rPr>
            </w:r>
            <w:r>
              <w:rPr>
                <w:webHidden/>
              </w:rPr>
              <w:fldChar w:fldCharType="separate"/>
            </w:r>
            <w:r>
              <w:rPr>
                <w:webHidden/>
              </w:rPr>
              <w:t>229</w:t>
            </w:r>
            <w:r>
              <w:rPr>
                <w:webHidden/>
              </w:rPr>
              <w:fldChar w:fldCharType="end"/>
            </w:r>
          </w:hyperlink>
        </w:p>
        <w:p w14:paraId="5EC9CB99" w14:textId="38669508" w:rsidR="00274557" w:rsidRDefault="00274557">
          <w:pPr>
            <w:pStyle w:val="TOC3"/>
            <w:rPr>
              <w:rFonts w:asciiTheme="minorHAnsi" w:hAnsiTheme="minorHAnsi"/>
              <w:sz w:val="22"/>
            </w:rPr>
          </w:pPr>
          <w:hyperlink w:anchor="_Toc192874998" w:history="1">
            <w:r>
              <w:rPr>
                <w:rStyle w:val="Hyperlink"/>
                <w:bCs/>
              </w:rPr>
              <w:t>11.5.2</w:t>
            </w:r>
            <w:r>
              <w:rPr>
                <w:rFonts w:asciiTheme="minorHAnsi" w:hAnsiTheme="minorHAnsi"/>
                <w:sz w:val="22"/>
              </w:rPr>
              <w:tab/>
            </w:r>
            <w:r>
              <w:rPr>
                <w:rStyle w:val="Hyperlink"/>
                <w:shd w:val="clear" w:color="auto" w:fill="FFFFFF"/>
              </w:rPr>
              <w:t>Work Plan Fields</w:t>
            </w:r>
            <w:r>
              <w:rPr>
                <w:webHidden/>
              </w:rPr>
              <w:tab/>
            </w:r>
            <w:r>
              <w:rPr>
                <w:webHidden/>
              </w:rPr>
              <w:fldChar w:fldCharType="begin"/>
            </w:r>
            <w:r>
              <w:rPr>
                <w:webHidden/>
              </w:rPr>
              <w:instrText xml:space="preserve"> PAGEREF _Toc192874998 \h </w:instrText>
            </w:r>
            <w:r>
              <w:rPr>
                <w:webHidden/>
              </w:rPr>
            </w:r>
            <w:r>
              <w:rPr>
                <w:webHidden/>
              </w:rPr>
              <w:fldChar w:fldCharType="separate"/>
            </w:r>
            <w:r>
              <w:rPr>
                <w:webHidden/>
              </w:rPr>
              <w:t>230</w:t>
            </w:r>
            <w:r>
              <w:rPr>
                <w:webHidden/>
              </w:rPr>
              <w:fldChar w:fldCharType="end"/>
            </w:r>
          </w:hyperlink>
        </w:p>
        <w:p w14:paraId="7E949182" w14:textId="77E4B3EF" w:rsidR="00274557" w:rsidRDefault="00274557">
          <w:pPr>
            <w:pStyle w:val="TOC3"/>
            <w:rPr>
              <w:rFonts w:asciiTheme="minorHAnsi" w:hAnsiTheme="minorHAnsi"/>
              <w:sz w:val="22"/>
            </w:rPr>
          </w:pPr>
          <w:hyperlink w:anchor="_Toc192874999" w:history="1">
            <w:r>
              <w:rPr>
                <w:rStyle w:val="Hyperlink"/>
                <w:bCs/>
              </w:rPr>
              <w:t>11.5.3</w:t>
            </w:r>
            <w:r>
              <w:rPr>
                <w:rFonts w:asciiTheme="minorHAnsi" w:hAnsiTheme="minorHAnsi"/>
                <w:sz w:val="22"/>
              </w:rPr>
              <w:tab/>
            </w:r>
            <w:r>
              <w:rPr>
                <w:rStyle w:val="Hyperlink"/>
                <w:shd w:val="clear" w:color="auto" w:fill="FFFFFF"/>
              </w:rPr>
              <w:t>Monitoring and Managing Updates</w:t>
            </w:r>
            <w:r>
              <w:rPr>
                <w:webHidden/>
              </w:rPr>
              <w:tab/>
            </w:r>
            <w:r>
              <w:rPr>
                <w:webHidden/>
              </w:rPr>
              <w:fldChar w:fldCharType="begin"/>
            </w:r>
            <w:r>
              <w:rPr>
                <w:webHidden/>
              </w:rPr>
              <w:instrText xml:space="preserve"> PAGEREF _Toc192874999 \h </w:instrText>
            </w:r>
            <w:r>
              <w:rPr>
                <w:webHidden/>
              </w:rPr>
            </w:r>
            <w:r>
              <w:rPr>
                <w:webHidden/>
              </w:rPr>
              <w:fldChar w:fldCharType="separate"/>
            </w:r>
            <w:r>
              <w:rPr>
                <w:webHidden/>
              </w:rPr>
              <w:t>231</w:t>
            </w:r>
            <w:r>
              <w:rPr>
                <w:webHidden/>
              </w:rPr>
              <w:fldChar w:fldCharType="end"/>
            </w:r>
          </w:hyperlink>
        </w:p>
        <w:p w14:paraId="249F1BC5" w14:textId="5F698DBB" w:rsidR="00274557" w:rsidRDefault="00274557">
          <w:pPr>
            <w:pStyle w:val="TOC3"/>
            <w:rPr>
              <w:rFonts w:asciiTheme="minorHAnsi" w:hAnsiTheme="minorHAnsi"/>
              <w:sz w:val="22"/>
            </w:rPr>
          </w:pPr>
          <w:hyperlink w:anchor="_Toc192875000" w:history="1">
            <w:r>
              <w:rPr>
                <w:rStyle w:val="Hyperlink"/>
                <w:bCs/>
              </w:rPr>
              <w:t>11.5.4</w:t>
            </w:r>
            <w:r>
              <w:rPr>
                <w:rFonts w:asciiTheme="minorHAnsi" w:hAnsiTheme="minorHAnsi"/>
                <w:sz w:val="22"/>
              </w:rPr>
              <w:tab/>
            </w:r>
            <w:r>
              <w:rPr>
                <w:rStyle w:val="Hyperlink"/>
                <w:shd w:val="clear" w:color="auto" w:fill="FFFFFF"/>
              </w:rPr>
              <w:t>Operational Quality</w:t>
            </w:r>
            <w:r>
              <w:rPr>
                <w:webHidden/>
              </w:rPr>
              <w:tab/>
            </w:r>
            <w:r>
              <w:rPr>
                <w:webHidden/>
              </w:rPr>
              <w:fldChar w:fldCharType="begin"/>
            </w:r>
            <w:r>
              <w:rPr>
                <w:webHidden/>
              </w:rPr>
              <w:instrText xml:space="preserve"> PAGEREF _Toc192875000 \h </w:instrText>
            </w:r>
            <w:r>
              <w:rPr>
                <w:webHidden/>
              </w:rPr>
            </w:r>
            <w:r>
              <w:rPr>
                <w:webHidden/>
              </w:rPr>
              <w:fldChar w:fldCharType="separate"/>
            </w:r>
            <w:r>
              <w:rPr>
                <w:webHidden/>
              </w:rPr>
              <w:t>231</w:t>
            </w:r>
            <w:r>
              <w:rPr>
                <w:webHidden/>
              </w:rPr>
              <w:fldChar w:fldCharType="end"/>
            </w:r>
          </w:hyperlink>
        </w:p>
        <w:p w14:paraId="06F90BA4" w14:textId="6FBC63CF" w:rsidR="00274557" w:rsidRDefault="00274557">
          <w:pPr>
            <w:pStyle w:val="TOC2"/>
            <w:rPr>
              <w:rFonts w:asciiTheme="minorHAnsi" w:eastAsiaTheme="minorEastAsia" w:hAnsiTheme="minorHAnsi"/>
              <w:b w:val="0"/>
              <w:kern w:val="2"/>
              <w:sz w:val="22"/>
              <w:lang w:val="en-US"/>
              <w14:ligatures w14:val="standardContextual"/>
            </w:rPr>
          </w:pPr>
          <w:hyperlink w:anchor="_Toc192875001" w:history="1">
            <w:r>
              <w:rPr>
                <w:rStyle w:val="Hyperlink"/>
              </w:rPr>
              <w:t>11.6</w:t>
            </w:r>
            <w:r>
              <w:rPr>
                <w:rFonts w:asciiTheme="minorHAnsi" w:eastAsiaTheme="minorEastAsia" w:hAnsiTheme="minorHAnsi"/>
                <w:b w:val="0"/>
                <w:kern w:val="2"/>
                <w:sz w:val="22"/>
                <w:lang w:val="en-US"/>
                <w14:ligatures w14:val="standardContextual"/>
              </w:rPr>
              <w:tab/>
            </w:r>
            <w:r>
              <w:rPr>
                <w:rStyle w:val="Hyperlink"/>
                <w:shd w:val="clear" w:color="auto" w:fill="FFFFFF"/>
              </w:rPr>
              <w:t>Task Creation and Maintenance</w:t>
            </w:r>
            <w:r>
              <w:rPr>
                <w:webHidden/>
              </w:rPr>
              <w:tab/>
            </w:r>
            <w:r>
              <w:rPr>
                <w:webHidden/>
              </w:rPr>
              <w:fldChar w:fldCharType="begin"/>
            </w:r>
            <w:r>
              <w:rPr>
                <w:webHidden/>
              </w:rPr>
              <w:instrText xml:space="preserve"> PAGEREF _Toc192875001 \h </w:instrText>
            </w:r>
            <w:r>
              <w:rPr>
                <w:webHidden/>
              </w:rPr>
            </w:r>
            <w:r>
              <w:rPr>
                <w:webHidden/>
              </w:rPr>
              <w:fldChar w:fldCharType="separate"/>
            </w:r>
            <w:r>
              <w:rPr>
                <w:webHidden/>
              </w:rPr>
              <w:t>233</w:t>
            </w:r>
            <w:r>
              <w:rPr>
                <w:webHidden/>
              </w:rPr>
              <w:fldChar w:fldCharType="end"/>
            </w:r>
          </w:hyperlink>
        </w:p>
        <w:p w14:paraId="1B405976" w14:textId="7C4AE2C6" w:rsidR="00274557" w:rsidRDefault="00274557">
          <w:pPr>
            <w:pStyle w:val="TOC3"/>
            <w:rPr>
              <w:rFonts w:asciiTheme="minorHAnsi" w:hAnsiTheme="minorHAnsi"/>
              <w:sz w:val="22"/>
            </w:rPr>
          </w:pPr>
          <w:hyperlink w:anchor="_Toc192875002" w:history="1">
            <w:r>
              <w:rPr>
                <w:rStyle w:val="Hyperlink"/>
                <w:bCs/>
              </w:rPr>
              <w:t>11.6.1</w:t>
            </w:r>
            <w:r>
              <w:rPr>
                <w:rFonts w:asciiTheme="minorHAnsi" w:hAnsiTheme="minorHAnsi"/>
                <w:sz w:val="22"/>
              </w:rPr>
              <w:tab/>
            </w:r>
            <w:r>
              <w:rPr>
                <w:rStyle w:val="Hyperlink"/>
                <w:shd w:val="clear" w:color="auto" w:fill="FFFFFF"/>
              </w:rPr>
              <w:t>Establishing the Overall Work Plan Structure</w:t>
            </w:r>
            <w:r>
              <w:rPr>
                <w:webHidden/>
              </w:rPr>
              <w:tab/>
            </w:r>
            <w:r>
              <w:rPr>
                <w:webHidden/>
              </w:rPr>
              <w:fldChar w:fldCharType="begin"/>
            </w:r>
            <w:r>
              <w:rPr>
                <w:webHidden/>
              </w:rPr>
              <w:instrText xml:space="preserve"> PAGEREF _Toc192875002 \h </w:instrText>
            </w:r>
            <w:r>
              <w:rPr>
                <w:webHidden/>
              </w:rPr>
            </w:r>
            <w:r>
              <w:rPr>
                <w:webHidden/>
              </w:rPr>
              <w:fldChar w:fldCharType="separate"/>
            </w:r>
            <w:r>
              <w:rPr>
                <w:webHidden/>
              </w:rPr>
              <w:t>233</w:t>
            </w:r>
            <w:r>
              <w:rPr>
                <w:webHidden/>
              </w:rPr>
              <w:fldChar w:fldCharType="end"/>
            </w:r>
          </w:hyperlink>
        </w:p>
        <w:p w14:paraId="0EB4D744" w14:textId="7EABE1E8" w:rsidR="00274557" w:rsidRDefault="00274557">
          <w:pPr>
            <w:pStyle w:val="TOC3"/>
            <w:rPr>
              <w:rFonts w:asciiTheme="minorHAnsi" w:hAnsiTheme="minorHAnsi"/>
              <w:sz w:val="22"/>
            </w:rPr>
          </w:pPr>
          <w:hyperlink w:anchor="_Toc192875003" w:history="1">
            <w:r>
              <w:rPr>
                <w:rStyle w:val="Hyperlink"/>
                <w:bCs/>
              </w:rPr>
              <w:t>11.6.2</w:t>
            </w:r>
            <w:r>
              <w:rPr>
                <w:rFonts w:asciiTheme="minorHAnsi" w:hAnsiTheme="minorHAnsi"/>
                <w:sz w:val="22"/>
              </w:rPr>
              <w:tab/>
            </w:r>
            <w:r>
              <w:rPr>
                <w:rStyle w:val="Hyperlink"/>
                <w:shd w:val="clear" w:color="auto" w:fill="FFFFFF"/>
              </w:rPr>
              <w:t>Creating a Task</w:t>
            </w:r>
            <w:r>
              <w:rPr>
                <w:webHidden/>
              </w:rPr>
              <w:tab/>
            </w:r>
            <w:r>
              <w:rPr>
                <w:webHidden/>
              </w:rPr>
              <w:fldChar w:fldCharType="begin"/>
            </w:r>
            <w:r>
              <w:rPr>
                <w:webHidden/>
              </w:rPr>
              <w:instrText xml:space="preserve"> PAGEREF _Toc192875003 \h </w:instrText>
            </w:r>
            <w:r>
              <w:rPr>
                <w:webHidden/>
              </w:rPr>
            </w:r>
            <w:r>
              <w:rPr>
                <w:webHidden/>
              </w:rPr>
              <w:fldChar w:fldCharType="separate"/>
            </w:r>
            <w:r>
              <w:rPr>
                <w:webHidden/>
              </w:rPr>
              <w:t>234</w:t>
            </w:r>
            <w:r>
              <w:rPr>
                <w:webHidden/>
              </w:rPr>
              <w:fldChar w:fldCharType="end"/>
            </w:r>
          </w:hyperlink>
        </w:p>
        <w:p w14:paraId="4AB3058C" w14:textId="5C8DBA69" w:rsidR="00274557" w:rsidRDefault="00274557">
          <w:pPr>
            <w:pStyle w:val="TOC3"/>
            <w:rPr>
              <w:rFonts w:asciiTheme="minorHAnsi" w:hAnsiTheme="minorHAnsi"/>
              <w:sz w:val="22"/>
            </w:rPr>
          </w:pPr>
          <w:hyperlink w:anchor="_Toc192875004" w:history="1">
            <w:r>
              <w:rPr>
                <w:rStyle w:val="Hyperlink"/>
                <w:bCs/>
              </w:rPr>
              <w:t>11.6.3</w:t>
            </w:r>
            <w:r>
              <w:rPr>
                <w:rFonts w:asciiTheme="minorHAnsi" w:hAnsiTheme="minorHAnsi"/>
                <w:sz w:val="22"/>
              </w:rPr>
              <w:tab/>
            </w:r>
            <w:r>
              <w:rPr>
                <w:rStyle w:val="Hyperlink"/>
                <w:shd w:val="clear" w:color="auto" w:fill="FFFFFF"/>
              </w:rPr>
              <w:t>Removing or Cancelling a Task</w:t>
            </w:r>
            <w:r>
              <w:rPr>
                <w:webHidden/>
              </w:rPr>
              <w:tab/>
            </w:r>
            <w:r>
              <w:rPr>
                <w:webHidden/>
              </w:rPr>
              <w:fldChar w:fldCharType="begin"/>
            </w:r>
            <w:r>
              <w:rPr>
                <w:webHidden/>
              </w:rPr>
              <w:instrText xml:space="preserve"> PAGEREF _Toc192875004 \h </w:instrText>
            </w:r>
            <w:r>
              <w:rPr>
                <w:webHidden/>
              </w:rPr>
            </w:r>
            <w:r>
              <w:rPr>
                <w:webHidden/>
              </w:rPr>
              <w:fldChar w:fldCharType="separate"/>
            </w:r>
            <w:r>
              <w:rPr>
                <w:webHidden/>
              </w:rPr>
              <w:t>235</w:t>
            </w:r>
            <w:r>
              <w:rPr>
                <w:webHidden/>
              </w:rPr>
              <w:fldChar w:fldCharType="end"/>
            </w:r>
          </w:hyperlink>
        </w:p>
        <w:p w14:paraId="50E8AE64" w14:textId="7E752544" w:rsidR="00274557" w:rsidRDefault="00274557">
          <w:pPr>
            <w:pStyle w:val="TOC3"/>
            <w:rPr>
              <w:rFonts w:asciiTheme="minorHAnsi" w:hAnsiTheme="minorHAnsi"/>
              <w:sz w:val="22"/>
            </w:rPr>
          </w:pPr>
          <w:hyperlink w:anchor="_Toc192875005" w:history="1">
            <w:r>
              <w:rPr>
                <w:rStyle w:val="Hyperlink"/>
                <w:bCs/>
              </w:rPr>
              <w:t>11.6.4</w:t>
            </w:r>
            <w:r>
              <w:rPr>
                <w:rFonts w:asciiTheme="minorHAnsi" w:hAnsiTheme="minorHAnsi"/>
                <w:sz w:val="22"/>
              </w:rPr>
              <w:tab/>
            </w:r>
            <w:r>
              <w:rPr>
                <w:rStyle w:val="Hyperlink"/>
                <w:shd w:val="clear" w:color="auto" w:fill="FFFFFF"/>
              </w:rPr>
              <w:t>Assigning a Task</w:t>
            </w:r>
            <w:r>
              <w:rPr>
                <w:webHidden/>
              </w:rPr>
              <w:tab/>
            </w:r>
            <w:r>
              <w:rPr>
                <w:webHidden/>
              </w:rPr>
              <w:fldChar w:fldCharType="begin"/>
            </w:r>
            <w:r>
              <w:rPr>
                <w:webHidden/>
              </w:rPr>
              <w:instrText xml:space="preserve"> PAGEREF _Toc192875005 \h </w:instrText>
            </w:r>
            <w:r>
              <w:rPr>
                <w:webHidden/>
              </w:rPr>
            </w:r>
            <w:r>
              <w:rPr>
                <w:webHidden/>
              </w:rPr>
              <w:fldChar w:fldCharType="separate"/>
            </w:r>
            <w:r>
              <w:rPr>
                <w:webHidden/>
              </w:rPr>
              <w:t>235</w:t>
            </w:r>
            <w:r>
              <w:rPr>
                <w:webHidden/>
              </w:rPr>
              <w:fldChar w:fldCharType="end"/>
            </w:r>
          </w:hyperlink>
        </w:p>
        <w:p w14:paraId="097706B3" w14:textId="72C69473" w:rsidR="00274557" w:rsidRDefault="00274557">
          <w:pPr>
            <w:pStyle w:val="TOC3"/>
            <w:rPr>
              <w:rFonts w:asciiTheme="minorHAnsi" w:hAnsiTheme="minorHAnsi"/>
              <w:sz w:val="22"/>
            </w:rPr>
          </w:pPr>
          <w:hyperlink w:anchor="_Toc192875006" w:history="1">
            <w:r>
              <w:rPr>
                <w:rStyle w:val="Hyperlink"/>
                <w:bCs/>
              </w:rPr>
              <w:t>11.6.5</w:t>
            </w:r>
            <w:r>
              <w:rPr>
                <w:rFonts w:asciiTheme="minorHAnsi" w:hAnsiTheme="minorHAnsi"/>
                <w:sz w:val="22"/>
              </w:rPr>
              <w:tab/>
            </w:r>
            <w:r>
              <w:rPr>
                <w:rStyle w:val="Hyperlink"/>
                <w:shd w:val="clear" w:color="auto" w:fill="FFFFFF"/>
              </w:rPr>
              <w:t>Leveling and Resource Balancing</w:t>
            </w:r>
            <w:r>
              <w:rPr>
                <w:webHidden/>
              </w:rPr>
              <w:tab/>
            </w:r>
            <w:r>
              <w:rPr>
                <w:webHidden/>
              </w:rPr>
              <w:fldChar w:fldCharType="begin"/>
            </w:r>
            <w:r>
              <w:rPr>
                <w:webHidden/>
              </w:rPr>
              <w:instrText xml:space="preserve"> PAGEREF _Toc192875006 \h </w:instrText>
            </w:r>
            <w:r>
              <w:rPr>
                <w:webHidden/>
              </w:rPr>
            </w:r>
            <w:r>
              <w:rPr>
                <w:webHidden/>
              </w:rPr>
              <w:fldChar w:fldCharType="separate"/>
            </w:r>
            <w:r>
              <w:rPr>
                <w:webHidden/>
              </w:rPr>
              <w:t>235</w:t>
            </w:r>
            <w:r>
              <w:rPr>
                <w:webHidden/>
              </w:rPr>
              <w:fldChar w:fldCharType="end"/>
            </w:r>
          </w:hyperlink>
        </w:p>
        <w:p w14:paraId="3648C8BC" w14:textId="01C39D8C" w:rsidR="00274557" w:rsidRDefault="00274557">
          <w:pPr>
            <w:pStyle w:val="TOC3"/>
            <w:rPr>
              <w:rFonts w:asciiTheme="minorHAnsi" w:hAnsiTheme="minorHAnsi"/>
              <w:sz w:val="22"/>
            </w:rPr>
          </w:pPr>
          <w:hyperlink w:anchor="_Toc192875007" w:history="1">
            <w:r>
              <w:rPr>
                <w:rStyle w:val="Hyperlink"/>
                <w:bCs/>
              </w:rPr>
              <w:t>11.6.6</w:t>
            </w:r>
            <w:r>
              <w:rPr>
                <w:rFonts w:asciiTheme="minorHAnsi" w:hAnsiTheme="minorHAnsi"/>
                <w:sz w:val="22"/>
              </w:rPr>
              <w:tab/>
            </w:r>
            <w:r>
              <w:rPr>
                <w:rStyle w:val="Hyperlink"/>
                <w:shd w:val="clear" w:color="auto" w:fill="FFFFFF"/>
              </w:rPr>
              <w:t>Controlling the Schedule</w:t>
            </w:r>
            <w:r>
              <w:rPr>
                <w:webHidden/>
              </w:rPr>
              <w:tab/>
            </w:r>
            <w:r>
              <w:rPr>
                <w:webHidden/>
              </w:rPr>
              <w:fldChar w:fldCharType="begin"/>
            </w:r>
            <w:r>
              <w:rPr>
                <w:webHidden/>
              </w:rPr>
              <w:instrText xml:space="preserve"> PAGEREF _Toc192875007 \h </w:instrText>
            </w:r>
            <w:r>
              <w:rPr>
                <w:webHidden/>
              </w:rPr>
            </w:r>
            <w:r>
              <w:rPr>
                <w:webHidden/>
              </w:rPr>
              <w:fldChar w:fldCharType="separate"/>
            </w:r>
            <w:r>
              <w:rPr>
                <w:webHidden/>
              </w:rPr>
              <w:t>235</w:t>
            </w:r>
            <w:r>
              <w:rPr>
                <w:webHidden/>
              </w:rPr>
              <w:fldChar w:fldCharType="end"/>
            </w:r>
          </w:hyperlink>
        </w:p>
        <w:p w14:paraId="2149A79F" w14:textId="28FA24AF" w:rsidR="00274557" w:rsidRDefault="00274557">
          <w:pPr>
            <w:pStyle w:val="TOC4"/>
            <w:rPr>
              <w:rFonts w:asciiTheme="minorHAnsi" w:eastAsiaTheme="minorEastAsia" w:hAnsiTheme="minorHAnsi"/>
              <w:noProof/>
              <w:kern w:val="2"/>
              <w:sz w:val="22"/>
              <w14:ligatures w14:val="standardContextual"/>
            </w:rPr>
          </w:pPr>
          <w:hyperlink w:anchor="_Toc192875008" w:history="1">
            <w:r>
              <w:rPr>
                <w:rStyle w:val="Hyperlink"/>
                <w:noProof/>
              </w:rPr>
              <w:t>11.6.6.1</w:t>
            </w:r>
            <w:r>
              <w:rPr>
                <w:rFonts w:asciiTheme="minorHAnsi" w:eastAsiaTheme="minorEastAsia" w:hAnsiTheme="minorHAnsi"/>
                <w:noProof/>
                <w:kern w:val="2"/>
                <w:sz w:val="22"/>
                <w14:ligatures w14:val="standardContextual"/>
              </w:rPr>
              <w:tab/>
            </w:r>
            <w:r>
              <w:rPr>
                <w:rStyle w:val="Hyperlink"/>
                <w:noProof/>
              </w:rPr>
              <w:t>Adding Notes to a Task</w:t>
            </w:r>
            <w:r>
              <w:rPr>
                <w:noProof/>
                <w:webHidden/>
              </w:rPr>
              <w:tab/>
            </w:r>
            <w:r>
              <w:rPr>
                <w:noProof/>
                <w:webHidden/>
              </w:rPr>
              <w:fldChar w:fldCharType="begin"/>
            </w:r>
            <w:r>
              <w:rPr>
                <w:noProof/>
                <w:webHidden/>
              </w:rPr>
              <w:instrText xml:space="preserve"> PAGEREF _Toc192875008 \h </w:instrText>
            </w:r>
            <w:r>
              <w:rPr>
                <w:noProof/>
                <w:webHidden/>
              </w:rPr>
            </w:r>
            <w:r>
              <w:rPr>
                <w:noProof/>
                <w:webHidden/>
              </w:rPr>
              <w:fldChar w:fldCharType="separate"/>
            </w:r>
            <w:r>
              <w:rPr>
                <w:noProof/>
                <w:webHidden/>
              </w:rPr>
              <w:t>237</w:t>
            </w:r>
            <w:r>
              <w:rPr>
                <w:noProof/>
                <w:webHidden/>
              </w:rPr>
              <w:fldChar w:fldCharType="end"/>
            </w:r>
          </w:hyperlink>
        </w:p>
        <w:p w14:paraId="21B031A4" w14:textId="4AC8E8B1" w:rsidR="00274557" w:rsidRDefault="00274557">
          <w:pPr>
            <w:pStyle w:val="TOC3"/>
            <w:rPr>
              <w:rFonts w:asciiTheme="minorHAnsi" w:hAnsiTheme="minorHAnsi"/>
              <w:sz w:val="22"/>
            </w:rPr>
          </w:pPr>
          <w:hyperlink w:anchor="_Toc192875009" w:history="1">
            <w:r>
              <w:rPr>
                <w:rStyle w:val="Hyperlink"/>
                <w:bCs/>
              </w:rPr>
              <w:t>11.6.7</w:t>
            </w:r>
            <w:r>
              <w:rPr>
                <w:rFonts w:asciiTheme="minorHAnsi" w:hAnsiTheme="minorHAnsi"/>
                <w:sz w:val="22"/>
              </w:rPr>
              <w:tab/>
            </w:r>
            <w:r>
              <w:rPr>
                <w:rStyle w:val="Hyperlink"/>
                <w:shd w:val="clear" w:color="auto" w:fill="FFFFFF"/>
              </w:rPr>
              <w:t>Flagging Tasks for Discussion</w:t>
            </w:r>
            <w:r>
              <w:rPr>
                <w:webHidden/>
              </w:rPr>
              <w:tab/>
            </w:r>
            <w:r>
              <w:rPr>
                <w:webHidden/>
              </w:rPr>
              <w:fldChar w:fldCharType="begin"/>
            </w:r>
            <w:r>
              <w:rPr>
                <w:webHidden/>
              </w:rPr>
              <w:instrText xml:space="preserve"> PAGEREF _Toc192875009 \h </w:instrText>
            </w:r>
            <w:r>
              <w:rPr>
                <w:webHidden/>
              </w:rPr>
            </w:r>
            <w:r>
              <w:rPr>
                <w:webHidden/>
              </w:rPr>
              <w:fldChar w:fldCharType="separate"/>
            </w:r>
            <w:r>
              <w:rPr>
                <w:webHidden/>
              </w:rPr>
              <w:t>237</w:t>
            </w:r>
            <w:r>
              <w:rPr>
                <w:webHidden/>
              </w:rPr>
              <w:fldChar w:fldCharType="end"/>
            </w:r>
          </w:hyperlink>
        </w:p>
        <w:p w14:paraId="7F6D20DD" w14:textId="3472FFF2" w:rsidR="00274557" w:rsidRDefault="00274557">
          <w:pPr>
            <w:pStyle w:val="TOC3"/>
            <w:rPr>
              <w:rFonts w:asciiTheme="minorHAnsi" w:hAnsiTheme="minorHAnsi"/>
              <w:sz w:val="22"/>
            </w:rPr>
          </w:pPr>
          <w:hyperlink w:anchor="_Toc192875010" w:history="1">
            <w:r>
              <w:rPr>
                <w:rStyle w:val="Hyperlink"/>
                <w:bCs/>
              </w:rPr>
              <w:t>11.6.8</w:t>
            </w:r>
            <w:r>
              <w:rPr>
                <w:rFonts w:asciiTheme="minorHAnsi" w:hAnsiTheme="minorHAnsi"/>
                <w:sz w:val="22"/>
              </w:rPr>
              <w:tab/>
            </w:r>
            <w:r>
              <w:rPr>
                <w:rStyle w:val="Hyperlink"/>
                <w:shd w:val="clear" w:color="auto" w:fill="FFFFFF"/>
              </w:rPr>
              <w:t>Baselining the Project</w:t>
            </w:r>
            <w:r>
              <w:rPr>
                <w:webHidden/>
              </w:rPr>
              <w:tab/>
            </w:r>
            <w:r>
              <w:rPr>
                <w:webHidden/>
              </w:rPr>
              <w:fldChar w:fldCharType="begin"/>
            </w:r>
            <w:r>
              <w:rPr>
                <w:webHidden/>
              </w:rPr>
              <w:instrText xml:space="preserve"> PAGEREF _Toc192875010 \h </w:instrText>
            </w:r>
            <w:r>
              <w:rPr>
                <w:webHidden/>
              </w:rPr>
            </w:r>
            <w:r>
              <w:rPr>
                <w:webHidden/>
              </w:rPr>
              <w:fldChar w:fldCharType="separate"/>
            </w:r>
            <w:r>
              <w:rPr>
                <w:webHidden/>
              </w:rPr>
              <w:t>237</w:t>
            </w:r>
            <w:r>
              <w:rPr>
                <w:webHidden/>
              </w:rPr>
              <w:fldChar w:fldCharType="end"/>
            </w:r>
          </w:hyperlink>
        </w:p>
        <w:p w14:paraId="1892B8A5" w14:textId="43928451" w:rsidR="00274557" w:rsidRDefault="00274557">
          <w:pPr>
            <w:pStyle w:val="TOC1"/>
            <w:rPr>
              <w:rFonts w:asciiTheme="minorHAnsi" w:eastAsiaTheme="minorEastAsia" w:hAnsiTheme="minorHAnsi"/>
              <w:b w:val="0"/>
              <w:kern w:val="2"/>
              <w:sz w:val="22"/>
              <w14:ligatures w14:val="standardContextual"/>
            </w:rPr>
          </w:pPr>
          <w:hyperlink w:anchor="_Toc192875011" w:history="1">
            <w:r>
              <w:rPr>
                <w:rStyle w:val="Hyperlink"/>
              </w:rPr>
              <w:t>12</w:t>
            </w:r>
            <w:r>
              <w:rPr>
                <w:rFonts w:asciiTheme="minorHAnsi" w:eastAsiaTheme="minorEastAsia" w:hAnsiTheme="minorHAnsi"/>
                <w:b w:val="0"/>
                <w:kern w:val="2"/>
                <w:sz w:val="22"/>
                <w14:ligatures w14:val="standardContextual"/>
              </w:rPr>
              <w:tab/>
            </w:r>
            <w:r>
              <w:rPr>
                <w:rStyle w:val="Hyperlink"/>
              </w:rPr>
              <w:t>Requirements Management Plan</w:t>
            </w:r>
            <w:r>
              <w:rPr>
                <w:webHidden/>
              </w:rPr>
              <w:tab/>
            </w:r>
            <w:r>
              <w:rPr>
                <w:webHidden/>
              </w:rPr>
              <w:fldChar w:fldCharType="begin"/>
            </w:r>
            <w:r>
              <w:rPr>
                <w:webHidden/>
              </w:rPr>
              <w:instrText xml:space="preserve"> PAGEREF _Toc192875011 \h </w:instrText>
            </w:r>
            <w:r>
              <w:rPr>
                <w:webHidden/>
              </w:rPr>
            </w:r>
            <w:r>
              <w:rPr>
                <w:webHidden/>
              </w:rPr>
              <w:fldChar w:fldCharType="separate"/>
            </w:r>
            <w:r>
              <w:rPr>
                <w:webHidden/>
              </w:rPr>
              <w:t>239</w:t>
            </w:r>
            <w:r>
              <w:rPr>
                <w:webHidden/>
              </w:rPr>
              <w:fldChar w:fldCharType="end"/>
            </w:r>
          </w:hyperlink>
        </w:p>
        <w:p w14:paraId="4FC25D3E" w14:textId="3345C0BF" w:rsidR="00274557" w:rsidRDefault="00274557">
          <w:pPr>
            <w:pStyle w:val="TOC2"/>
            <w:rPr>
              <w:rFonts w:asciiTheme="minorHAnsi" w:eastAsiaTheme="minorEastAsia" w:hAnsiTheme="minorHAnsi"/>
              <w:b w:val="0"/>
              <w:kern w:val="2"/>
              <w:sz w:val="22"/>
              <w:lang w:val="en-US"/>
              <w14:ligatures w14:val="standardContextual"/>
            </w:rPr>
          </w:pPr>
          <w:hyperlink w:anchor="_Toc192875012" w:history="1">
            <w:r>
              <w:rPr>
                <w:rStyle w:val="Hyperlink"/>
              </w:rPr>
              <w:t>12.1</w:t>
            </w:r>
            <w:r>
              <w:rPr>
                <w:rFonts w:asciiTheme="minorHAnsi" w:eastAsiaTheme="minorEastAsia" w:hAnsiTheme="minorHAnsi"/>
                <w:b w:val="0"/>
                <w:kern w:val="2"/>
                <w:sz w:val="22"/>
                <w:lang w:val="en-US"/>
                <w14:ligatures w14:val="standardContextual"/>
              </w:rPr>
              <w:tab/>
            </w:r>
            <w:r>
              <w:rPr>
                <w:rStyle w:val="Hyperlink"/>
              </w:rPr>
              <w:t>Introduction</w:t>
            </w:r>
            <w:r>
              <w:rPr>
                <w:webHidden/>
              </w:rPr>
              <w:tab/>
            </w:r>
            <w:r>
              <w:rPr>
                <w:webHidden/>
              </w:rPr>
              <w:fldChar w:fldCharType="begin"/>
            </w:r>
            <w:r>
              <w:rPr>
                <w:webHidden/>
              </w:rPr>
              <w:instrText xml:space="preserve"> PAGEREF _Toc192875012 \h </w:instrText>
            </w:r>
            <w:r>
              <w:rPr>
                <w:webHidden/>
              </w:rPr>
            </w:r>
            <w:r>
              <w:rPr>
                <w:webHidden/>
              </w:rPr>
              <w:fldChar w:fldCharType="separate"/>
            </w:r>
            <w:r>
              <w:rPr>
                <w:webHidden/>
              </w:rPr>
              <w:t>239</w:t>
            </w:r>
            <w:r>
              <w:rPr>
                <w:webHidden/>
              </w:rPr>
              <w:fldChar w:fldCharType="end"/>
            </w:r>
          </w:hyperlink>
        </w:p>
        <w:p w14:paraId="6E80026A" w14:textId="3C51CFC8" w:rsidR="00274557" w:rsidRDefault="00274557">
          <w:pPr>
            <w:pStyle w:val="TOC2"/>
            <w:rPr>
              <w:rFonts w:asciiTheme="minorHAnsi" w:eastAsiaTheme="minorEastAsia" w:hAnsiTheme="minorHAnsi"/>
              <w:b w:val="0"/>
              <w:kern w:val="2"/>
              <w:sz w:val="22"/>
              <w:lang w:val="en-US"/>
              <w14:ligatures w14:val="standardContextual"/>
            </w:rPr>
          </w:pPr>
          <w:hyperlink w:anchor="_Toc192875013" w:history="1">
            <w:r>
              <w:rPr>
                <w:rStyle w:val="Hyperlink"/>
              </w:rPr>
              <w:t>12.2</w:t>
            </w:r>
            <w:r>
              <w:rPr>
                <w:rFonts w:asciiTheme="minorHAnsi" w:eastAsiaTheme="minorEastAsia" w:hAnsiTheme="minorHAnsi"/>
                <w:b w:val="0"/>
                <w:kern w:val="2"/>
                <w:sz w:val="22"/>
                <w:lang w:val="en-US"/>
                <w14:ligatures w14:val="standardContextual"/>
              </w:rPr>
              <w:tab/>
            </w:r>
            <w:r>
              <w:rPr>
                <w:rStyle w:val="Hyperlink"/>
              </w:rPr>
              <w:t>Purpose</w:t>
            </w:r>
            <w:r>
              <w:rPr>
                <w:webHidden/>
              </w:rPr>
              <w:tab/>
            </w:r>
            <w:r>
              <w:rPr>
                <w:webHidden/>
              </w:rPr>
              <w:fldChar w:fldCharType="begin"/>
            </w:r>
            <w:r>
              <w:rPr>
                <w:webHidden/>
              </w:rPr>
              <w:instrText xml:space="preserve"> PAGEREF _Toc192875013 \h </w:instrText>
            </w:r>
            <w:r>
              <w:rPr>
                <w:webHidden/>
              </w:rPr>
            </w:r>
            <w:r>
              <w:rPr>
                <w:webHidden/>
              </w:rPr>
              <w:fldChar w:fldCharType="separate"/>
            </w:r>
            <w:r>
              <w:rPr>
                <w:webHidden/>
              </w:rPr>
              <w:t>239</w:t>
            </w:r>
            <w:r>
              <w:rPr>
                <w:webHidden/>
              </w:rPr>
              <w:fldChar w:fldCharType="end"/>
            </w:r>
          </w:hyperlink>
        </w:p>
        <w:p w14:paraId="3FE9961E" w14:textId="01E79F6C" w:rsidR="00274557" w:rsidRDefault="00274557">
          <w:pPr>
            <w:pStyle w:val="TOC2"/>
            <w:rPr>
              <w:rFonts w:asciiTheme="minorHAnsi" w:eastAsiaTheme="minorEastAsia" w:hAnsiTheme="minorHAnsi"/>
              <w:b w:val="0"/>
              <w:kern w:val="2"/>
              <w:sz w:val="22"/>
              <w:lang w:val="en-US"/>
              <w14:ligatures w14:val="standardContextual"/>
            </w:rPr>
          </w:pPr>
          <w:hyperlink w:anchor="_Toc192875014" w:history="1">
            <w:r>
              <w:rPr>
                <w:rStyle w:val="Hyperlink"/>
              </w:rPr>
              <w:t>12.3</w:t>
            </w:r>
            <w:r>
              <w:rPr>
                <w:rFonts w:asciiTheme="minorHAnsi" w:eastAsiaTheme="minorEastAsia" w:hAnsiTheme="minorHAnsi"/>
                <w:b w:val="0"/>
                <w:kern w:val="2"/>
                <w:sz w:val="22"/>
                <w:lang w:val="en-US"/>
                <w14:ligatures w14:val="standardContextual"/>
              </w:rPr>
              <w:tab/>
            </w:r>
            <w:r>
              <w:rPr>
                <w:rStyle w:val="Hyperlink"/>
              </w:rPr>
              <w:t>Requirements Management Approach</w:t>
            </w:r>
            <w:r>
              <w:rPr>
                <w:webHidden/>
              </w:rPr>
              <w:tab/>
            </w:r>
            <w:r>
              <w:rPr>
                <w:webHidden/>
              </w:rPr>
              <w:fldChar w:fldCharType="begin"/>
            </w:r>
            <w:r>
              <w:rPr>
                <w:webHidden/>
              </w:rPr>
              <w:instrText xml:space="preserve"> PAGEREF _Toc192875014 \h </w:instrText>
            </w:r>
            <w:r>
              <w:rPr>
                <w:webHidden/>
              </w:rPr>
            </w:r>
            <w:r>
              <w:rPr>
                <w:webHidden/>
              </w:rPr>
              <w:fldChar w:fldCharType="separate"/>
            </w:r>
            <w:r>
              <w:rPr>
                <w:webHidden/>
              </w:rPr>
              <w:t>239</w:t>
            </w:r>
            <w:r>
              <w:rPr>
                <w:webHidden/>
              </w:rPr>
              <w:fldChar w:fldCharType="end"/>
            </w:r>
          </w:hyperlink>
        </w:p>
        <w:p w14:paraId="7F30CF3E" w14:textId="62AAFADE" w:rsidR="00274557" w:rsidRDefault="00274557">
          <w:pPr>
            <w:pStyle w:val="TOC3"/>
            <w:rPr>
              <w:rFonts w:asciiTheme="minorHAnsi" w:hAnsiTheme="minorHAnsi"/>
              <w:sz w:val="22"/>
            </w:rPr>
          </w:pPr>
          <w:hyperlink w:anchor="_Toc192875015" w:history="1">
            <w:r>
              <w:rPr>
                <w:rStyle w:val="Hyperlink"/>
                <w:bCs/>
              </w:rPr>
              <w:t>12.3.1</w:t>
            </w:r>
            <w:r>
              <w:rPr>
                <w:rFonts w:asciiTheme="minorHAnsi" w:hAnsiTheme="minorHAnsi"/>
                <w:sz w:val="22"/>
              </w:rPr>
              <w:tab/>
            </w:r>
            <w:r>
              <w:rPr>
                <w:rStyle w:val="Hyperlink"/>
              </w:rPr>
              <w:t>Requirement Types</w:t>
            </w:r>
            <w:r>
              <w:rPr>
                <w:webHidden/>
              </w:rPr>
              <w:tab/>
            </w:r>
            <w:r>
              <w:rPr>
                <w:webHidden/>
              </w:rPr>
              <w:fldChar w:fldCharType="begin"/>
            </w:r>
            <w:r>
              <w:rPr>
                <w:webHidden/>
              </w:rPr>
              <w:instrText xml:space="preserve"> PAGEREF _Toc192875015 \h </w:instrText>
            </w:r>
            <w:r>
              <w:rPr>
                <w:webHidden/>
              </w:rPr>
            </w:r>
            <w:r>
              <w:rPr>
                <w:webHidden/>
              </w:rPr>
              <w:fldChar w:fldCharType="separate"/>
            </w:r>
            <w:r>
              <w:rPr>
                <w:webHidden/>
              </w:rPr>
              <w:t>240</w:t>
            </w:r>
            <w:r>
              <w:rPr>
                <w:webHidden/>
              </w:rPr>
              <w:fldChar w:fldCharType="end"/>
            </w:r>
          </w:hyperlink>
        </w:p>
        <w:p w14:paraId="0E8B6F45" w14:textId="179F97AF" w:rsidR="00274557" w:rsidRDefault="00274557">
          <w:pPr>
            <w:pStyle w:val="TOC3"/>
            <w:rPr>
              <w:rFonts w:asciiTheme="minorHAnsi" w:hAnsiTheme="minorHAnsi"/>
              <w:sz w:val="22"/>
            </w:rPr>
          </w:pPr>
          <w:hyperlink w:anchor="_Toc192875016" w:history="1">
            <w:r>
              <w:rPr>
                <w:rStyle w:val="Hyperlink"/>
                <w:bCs/>
              </w:rPr>
              <w:t>12.3.2</w:t>
            </w:r>
            <w:r>
              <w:rPr>
                <w:rFonts w:asciiTheme="minorHAnsi" w:hAnsiTheme="minorHAnsi"/>
                <w:sz w:val="22"/>
              </w:rPr>
              <w:tab/>
            </w:r>
            <w:r>
              <w:rPr>
                <w:rStyle w:val="Hyperlink"/>
              </w:rPr>
              <w:t>Requirements Status Reporting</w:t>
            </w:r>
            <w:r>
              <w:rPr>
                <w:webHidden/>
              </w:rPr>
              <w:tab/>
            </w:r>
            <w:r>
              <w:rPr>
                <w:webHidden/>
              </w:rPr>
              <w:fldChar w:fldCharType="begin"/>
            </w:r>
            <w:r>
              <w:rPr>
                <w:webHidden/>
              </w:rPr>
              <w:instrText xml:space="preserve"> PAGEREF _Toc192875016 \h </w:instrText>
            </w:r>
            <w:r>
              <w:rPr>
                <w:webHidden/>
              </w:rPr>
            </w:r>
            <w:r>
              <w:rPr>
                <w:webHidden/>
              </w:rPr>
              <w:fldChar w:fldCharType="separate"/>
            </w:r>
            <w:r>
              <w:rPr>
                <w:webHidden/>
              </w:rPr>
              <w:t>240</w:t>
            </w:r>
            <w:r>
              <w:rPr>
                <w:webHidden/>
              </w:rPr>
              <w:fldChar w:fldCharType="end"/>
            </w:r>
          </w:hyperlink>
        </w:p>
        <w:p w14:paraId="1638535B" w14:textId="65870153" w:rsidR="00274557" w:rsidRDefault="00274557">
          <w:pPr>
            <w:pStyle w:val="TOC2"/>
            <w:rPr>
              <w:rFonts w:asciiTheme="minorHAnsi" w:eastAsiaTheme="minorEastAsia" w:hAnsiTheme="minorHAnsi"/>
              <w:b w:val="0"/>
              <w:kern w:val="2"/>
              <w:sz w:val="22"/>
              <w:lang w:val="en-US"/>
              <w14:ligatures w14:val="standardContextual"/>
            </w:rPr>
          </w:pPr>
          <w:hyperlink w:anchor="_Toc192875017" w:history="1">
            <w:r>
              <w:rPr>
                <w:rStyle w:val="Hyperlink"/>
              </w:rPr>
              <w:t>12.4</w:t>
            </w:r>
            <w:r>
              <w:rPr>
                <w:rFonts w:asciiTheme="minorHAnsi" w:eastAsiaTheme="minorEastAsia" w:hAnsiTheme="minorHAnsi"/>
                <w:b w:val="0"/>
                <w:kern w:val="2"/>
                <w:sz w:val="22"/>
                <w:lang w:val="en-US"/>
                <w14:ligatures w14:val="standardContextual"/>
              </w:rPr>
              <w:tab/>
            </w:r>
            <w:r>
              <w:rPr>
                <w:rStyle w:val="Hyperlink"/>
              </w:rPr>
              <w:t>Initial Requirements Approval Process</w:t>
            </w:r>
            <w:r>
              <w:rPr>
                <w:webHidden/>
              </w:rPr>
              <w:tab/>
            </w:r>
            <w:r>
              <w:rPr>
                <w:webHidden/>
              </w:rPr>
              <w:fldChar w:fldCharType="begin"/>
            </w:r>
            <w:r>
              <w:rPr>
                <w:webHidden/>
              </w:rPr>
              <w:instrText xml:space="preserve"> PAGEREF _Toc192875017 \h </w:instrText>
            </w:r>
            <w:r>
              <w:rPr>
                <w:webHidden/>
              </w:rPr>
            </w:r>
            <w:r>
              <w:rPr>
                <w:webHidden/>
              </w:rPr>
              <w:fldChar w:fldCharType="separate"/>
            </w:r>
            <w:r>
              <w:rPr>
                <w:webHidden/>
              </w:rPr>
              <w:t>240</w:t>
            </w:r>
            <w:r>
              <w:rPr>
                <w:webHidden/>
              </w:rPr>
              <w:fldChar w:fldCharType="end"/>
            </w:r>
          </w:hyperlink>
        </w:p>
        <w:p w14:paraId="09E280C3" w14:textId="4FA5716F" w:rsidR="00274557" w:rsidRDefault="00274557">
          <w:pPr>
            <w:pStyle w:val="TOC3"/>
            <w:rPr>
              <w:rFonts w:asciiTheme="minorHAnsi" w:hAnsiTheme="minorHAnsi"/>
              <w:sz w:val="22"/>
            </w:rPr>
          </w:pPr>
          <w:hyperlink w:anchor="_Toc192875018" w:history="1">
            <w:r>
              <w:rPr>
                <w:rStyle w:val="Hyperlink"/>
                <w:bCs/>
              </w:rPr>
              <w:t>12.4.1</w:t>
            </w:r>
            <w:r>
              <w:rPr>
                <w:rFonts w:asciiTheme="minorHAnsi" w:hAnsiTheme="minorHAnsi"/>
                <w:sz w:val="22"/>
              </w:rPr>
              <w:tab/>
            </w:r>
            <w:r>
              <w:rPr>
                <w:rStyle w:val="Hyperlink"/>
              </w:rPr>
              <w:t>Initial Requirements Approval Process Flow</w:t>
            </w:r>
            <w:r>
              <w:rPr>
                <w:webHidden/>
              </w:rPr>
              <w:tab/>
            </w:r>
            <w:r>
              <w:rPr>
                <w:webHidden/>
              </w:rPr>
              <w:fldChar w:fldCharType="begin"/>
            </w:r>
            <w:r>
              <w:rPr>
                <w:webHidden/>
              </w:rPr>
              <w:instrText xml:space="preserve"> PAGEREF _Toc192875018 \h </w:instrText>
            </w:r>
            <w:r>
              <w:rPr>
                <w:webHidden/>
              </w:rPr>
            </w:r>
            <w:r>
              <w:rPr>
                <w:webHidden/>
              </w:rPr>
              <w:fldChar w:fldCharType="separate"/>
            </w:r>
            <w:r>
              <w:rPr>
                <w:webHidden/>
              </w:rPr>
              <w:t>240</w:t>
            </w:r>
            <w:r>
              <w:rPr>
                <w:webHidden/>
              </w:rPr>
              <w:fldChar w:fldCharType="end"/>
            </w:r>
          </w:hyperlink>
        </w:p>
        <w:p w14:paraId="51725CE1" w14:textId="6512A16D" w:rsidR="00274557" w:rsidRDefault="00274557">
          <w:pPr>
            <w:pStyle w:val="TOC3"/>
            <w:rPr>
              <w:rFonts w:asciiTheme="minorHAnsi" w:hAnsiTheme="minorHAnsi"/>
              <w:sz w:val="22"/>
            </w:rPr>
          </w:pPr>
          <w:hyperlink w:anchor="_Toc192875019" w:history="1">
            <w:r>
              <w:rPr>
                <w:rStyle w:val="Hyperlink"/>
                <w:bCs/>
              </w:rPr>
              <w:t>12.4.2</w:t>
            </w:r>
            <w:r>
              <w:rPr>
                <w:rFonts w:asciiTheme="minorHAnsi" w:hAnsiTheme="minorHAnsi"/>
                <w:sz w:val="22"/>
              </w:rPr>
              <w:tab/>
            </w:r>
            <w:r>
              <w:rPr>
                <w:rStyle w:val="Hyperlink"/>
              </w:rPr>
              <w:t>Initial Requirements Approval Process Flow Narrative</w:t>
            </w:r>
            <w:r>
              <w:rPr>
                <w:webHidden/>
              </w:rPr>
              <w:tab/>
            </w:r>
            <w:r>
              <w:rPr>
                <w:webHidden/>
              </w:rPr>
              <w:fldChar w:fldCharType="begin"/>
            </w:r>
            <w:r>
              <w:rPr>
                <w:webHidden/>
              </w:rPr>
              <w:instrText xml:space="preserve"> PAGEREF _Toc192875019 \h </w:instrText>
            </w:r>
            <w:r>
              <w:rPr>
                <w:webHidden/>
              </w:rPr>
            </w:r>
            <w:r>
              <w:rPr>
                <w:webHidden/>
              </w:rPr>
              <w:fldChar w:fldCharType="separate"/>
            </w:r>
            <w:r>
              <w:rPr>
                <w:webHidden/>
              </w:rPr>
              <w:t>241</w:t>
            </w:r>
            <w:r>
              <w:rPr>
                <w:webHidden/>
              </w:rPr>
              <w:fldChar w:fldCharType="end"/>
            </w:r>
          </w:hyperlink>
        </w:p>
        <w:p w14:paraId="2B620BBE" w14:textId="428C2EAC" w:rsidR="00274557" w:rsidRDefault="00274557">
          <w:pPr>
            <w:pStyle w:val="TOC2"/>
            <w:rPr>
              <w:rFonts w:asciiTheme="minorHAnsi" w:eastAsiaTheme="minorEastAsia" w:hAnsiTheme="minorHAnsi"/>
              <w:b w:val="0"/>
              <w:kern w:val="2"/>
              <w:sz w:val="22"/>
              <w:lang w:val="en-US"/>
              <w14:ligatures w14:val="standardContextual"/>
            </w:rPr>
          </w:pPr>
          <w:hyperlink w:anchor="_Toc192875020" w:history="1">
            <w:r>
              <w:rPr>
                <w:rStyle w:val="Hyperlink"/>
              </w:rPr>
              <w:t>12.5</w:t>
            </w:r>
            <w:r>
              <w:rPr>
                <w:rFonts w:asciiTheme="minorHAnsi" w:eastAsiaTheme="minorEastAsia" w:hAnsiTheme="minorHAnsi"/>
                <w:b w:val="0"/>
                <w:kern w:val="2"/>
                <w:sz w:val="22"/>
                <w:lang w:val="en-US"/>
                <w14:ligatures w14:val="standardContextual"/>
              </w:rPr>
              <w:tab/>
            </w:r>
            <w:r>
              <w:rPr>
                <w:rStyle w:val="Hyperlink"/>
              </w:rPr>
              <w:t>Post Transmittal Approval Requirements Modifications</w:t>
            </w:r>
            <w:r>
              <w:rPr>
                <w:webHidden/>
              </w:rPr>
              <w:tab/>
            </w:r>
            <w:r>
              <w:rPr>
                <w:webHidden/>
              </w:rPr>
              <w:fldChar w:fldCharType="begin"/>
            </w:r>
            <w:r>
              <w:rPr>
                <w:webHidden/>
              </w:rPr>
              <w:instrText xml:space="preserve"> PAGEREF _Toc192875020 \h </w:instrText>
            </w:r>
            <w:r>
              <w:rPr>
                <w:webHidden/>
              </w:rPr>
            </w:r>
            <w:r>
              <w:rPr>
                <w:webHidden/>
              </w:rPr>
              <w:fldChar w:fldCharType="separate"/>
            </w:r>
            <w:r>
              <w:rPr>
                <w:webHidden/>
              </w:rPr>
              <w:t>242</w:t>
            </w:r>
            <w:r>
              <w:rPr>
                <w:webHidden/>
              </w:rPr>
              <w:fldChar w:fldCharType="end"/>
            </w:r>
          </w:hyperlink>
        </w:p>
        <w:p w14:paraId="6B692FFE" w14:textId="138B2337" w:rsidR="00274557" w:rsidRDefault="00274557">
          <w:pPr>
            <w:pStyle w:val="TOC3"/>
            <w:rPr>
              <w:rFonts w:asciiTheme="minorHAnsi" w:hAnsiTheme="minorHAnsi"/>
              <w:sz w:val="22"/>
            </w:rPr>
          </w:pPr>
          <w:hyperlink w:anchor="_Toc192875021" w:history="1">
            <w:r>
              <w:rPr>
                <w:rStyle w:val="Hyperlink"/>
                <w:bCs/>
              </w:rPr>
              <w:t>12.5.1</w:t>
            </w:r>
            <w:r>
              <w:rPr>
                <w:rFonts w:asciiTheme="minorHAnsi" w:hAnsiTheme="minorHAnsi"/>
                <w:sz w:val="22"/>
              </w:rPr>
              <w:tab/>
            </w:r>
            <w:r>
              <w:rPr>
                <w:rStyle w:val="Hyperlink"/>
              </w:rPr>
              <w:t>Post Transmittal Approval Requirements Modification Process Flow</w:t>
            </w:r>
            <w:r>
              <w:rPr>
                <w:webHidden/>
              </w:rPr>
              <w:tab/>
            </w:r>
            <w:r>
              <w:rPr>
                <w:webHidden/>
              </w:rPr>
              <w:fldChar w:fldCharType="begin"/>
            </w:r>
            <w:r>
              <w:rPr>
                <w:webHidden/>
              </w:rPr>
              <w:instrText xml:space="preserve"> PAGEREF _Toc192875021 \h </w:instrText>
            </w:r>
            <w:r>
              <w:rPr>
                <w:webHidden/>
              </w:rPr>
            </w:r>
            <w:r>
              <w:rPr>
                <w:webHidden/>
              </w:rPr>
              <w:fldChar w:fldCharType="separate"/>
            </w:r>
            <w:r>
              <w:rPr>
                <w:webHidden/>
              </w:rPr>
              <w:t>243</w:t>
            </w:r>
            <w:r>
              <w:rPr>
                <w:webHidden/>
              </w:rPr>
              <w:fldChar w:fldCharType="end"/>
            </w:r>
          </w:hyperlink>
        </w:p>
        <w:p w14:paraId="3D63176A" w14:textId="672F858B" w:rsidR="00274557" w:rsidRDefault="00274557">
          <w:pPr>
            <w:pStyle w:val="TOC3"/>
            <w:rPr>
              <w:rFonts w:asciiTheme="minorHAnsi" w:hAnsiTheme="minorHAnsi"/>
              <w:sz w:val="22"/>
            </w:rPr>
          </w:pPr>
          <w:hyperlink w:anchor="_Toc192875022" w:history="1">
            <w:r>
              <w:rPr>
                <w:rStyle w:val="Hyperlink"/>
                <w:bCs/>
              </w:rPr>
              <w:t>12.5.2</w:t>
            </w:r>
            <w:r>
              <w:rPr>
                <w:rFonts w:asciiTheme="minorHAnsi" w:hAnsiTheme="minorHAnsi"/>
                <w:sz w:val="22"/>
              </w:rPr>
              <w:tab/>
            </w:r>
            <w:r>
              <w:rPr>
                <w:rStyle w:val="Hyperlink"/>
              </w:rPr>
              <w:t>Post Transmittal Approval Requirements Modification Process Narrative</w:t>
            </w:r>
            <w:r>
              <w:rPr>
                <w:webHidden/>
              </w:rPr>
              <w:tab/>
            </w:r>
            <w:r>
              <w:rPr>
                <w:webHidden/>
              </w:rPr>
              <w:fldChar w:fldCharType="begin"/>
            </w:r>
            <w:r>
              <w:rPr>
                <w:webHidden/>
              </w:rPr>
              <w:instrText xml:space="preserve"> PAGEREF _Toc192875022 \h </w:instrText>
            </w:r>
            <w:r>
              <w:rPr>
                <w:webHidden/>
              </w:rPr>
            </w:r>
            <w:r>
              <w:rPr>
                <w:webHidden/>
              </w:rPr>
              <w:fldChar w:fldCharType="separate"/>
            </w:r>
            <w:r>
              <w:rPr>
                <w:webHidden/>
              </w:rPr>
              <w:t>243</w:t>
            </w:r>
            <w:r>
              <w:rPr>
                <w:webHidden/>
              </w:rPr>
              <w:fldChar w:fldCharType="end"/>
            </w:r>
          </w:hyperlink>
        </w:p>
        <w:p w14:paraId="1D8605F7" w14:textId="3C799B6D" w:rsidR="00274557" w:rsidRDefault="00274557">
          <w:pPr>
            <w:pStyle w:val="TOC2"/>
            <w:rPr>
              <w:rFonts w:asciiTheme="minorHAnsi" w:eastAsiaTheme="minorEastAsia" w:hAnsiTheme="minorHAnsi"/>
              <w:b w:val="0"/>
              <w:kern w:val="2"/>
              <w:sz w:val="22"/>
              <w:lang w:val="en-US"/>
              <w14:ligatures w14:val="standardContextual"/>
            </w:rPr>
          </w:pPr>
          <w:hyperlink w:anchor="_Toc192875023" w:history="1">
            <w:r>
              <w:rPr>
                <w:rStyle w:val="Hyperlink"/>
              </w:rPr>
              <w:t>12.6</w:t>
            </w:r>
            <w:r>
              <w:rPr>
                <w:rFonts w:asciiTheme="minorHAnsi" w:eastAsiaTheme="minorEastAsia" w:hAnsiTheme="minorHAnsi"/>
                <w:b w:val="0"/>
                <w:kern w:val="2"/>
                <w:sz w:val="22"/>
                <w:lang w:val="en-US"/>
                <w14:ligatures w14:val="standardContextual"/>
              </w:rPr>
              <w:tab/>
            </w:r>
            <w:r>
              <w:rPr>
                <w:rStyle w:val="Hyperlink"/>
              </w:rPr>
              <w:t>Requirements Traceability</w:t>
            </w:r>
            <w:r>
              <w:rPr>
                <w:webHidden/>
              </w:rPr>
              <w:tab/>
            </w:r>
            <w:r>
              <w:rPr>
                <w:webHidden/>
              </w:rPr>
              <w:fldChar w:fldCharType="begin"/>
            </w:r>
            <w:r>
              <w:rPr>
                <w:webHidden/>
              </w:rPr>
              <w:instrText xml:space="preserve"> PAGEREF _Toc192875023 \h </w:instrText>
            </w:r>
            <w:r>
              <w:rPr>
                <w:webHidden/>
              </w:rPr>
            </w:r>
            <w:r>
              <w:rPr>
                <w:webHidden/>
              </w:rPr>
              <w:fldChar w:fldCharType="separate"/>
            </w:r>
            <w:r>
              <w:rPr>
                <w:webHidden/>
              </w:rPr>
              <w:t>245</w:t>
            </w:r>
            <w:r>
              <w:rPr>
                <w:webHidden/>
              </w:rPr>
              <w:fldChar w:fldCharType="end"/>
            </w:r>
          </w:hyperlink>
        </w:p>
        <w:p w14:paraId="399FA102" w14:textId="60257BD7" w:rsidR="00274557" w:rsidRDefault="00274557">
          <w:pPr>
            <w:pStyle w:val="TOC3"/>
            <w:rPr>
              <w:rFonts w:asciiTheme="minorHAnsi" w:hAnsiTheme="minorHAnsi"/>
              <w:sz w:val="22"/>
            </w:rPr>
          </w:pPr>
          <w:hyperlink w:anchor="_Toc192875024" w:history="1">
            <w:r>
              <w:rPr>
                <w:rStyle w:val="Hyperlink"/>
                <w:bCs/>
              </w:rPr>
              <w:t>12.6.1</w:t>
            </w:r>
            <w:r>
              <w:rPr>
                <w:rFonts w:asciiTheme="minorHAnsi" w:hAnsiTheme="minorHAnsi"/>
                <w:sz w:val="22"/>
              </w:rPr>
              <w:tab/>
            </w:r>
            <w:r>
              <w:rPr>
                <w:rStyle w:val="Hyperlink"/>
              </w:rPr>
              <w:t>Requirements Management Tool</w:t>
            </w:r>
            <w:r>
              <w:rPr>
                <w:webHidden/>
              </w:rPr>
              <w:tab/>
            </w:r>
            <w:r>
              <w:rPr>
                <w:webHidden/>
              </w:rPr>
              <w:fldChar w:fldCharType="begin"/>
            </w:r>
            <w:r>
              <w:rPr>
                <w:webHidden/>
              </w:rPr>
              <w:instrText xml:space="preserve"> PAGEREF _Toc192875024 \h </w:instrText>
            </w:r>
            <w:r>
              <w:rPr>
                <w:webHidden/>
              </w:rPr>
            </w:r>
            <w:r>
              <w:rPr>
                <w:webHidden/>
              </w:rPr>
              <w:fldChar w:fldCharType="separate"/>
            </w:r>
            <w:r>
              <w:rPr>
                <w:webHidden/>
              </w:rPr>
              <w:t>245</w:t>
            </w:r>
            <w:r>
              <w:rPr>
                <w:webHidden/>
              </w:rPr>
              <w:fldChar w:fldCharType="end"/>
            </w:r>
          </w:hyperlink>
        </w:p>
        <w:p w14:paraId="3BF0A01F" w14:textId="4EC73CFF" w:rsidR="00274557" w:rsidRDefault="00274557">
          <w:pPr>
            <w:pStyle w:val="TOC3"/>
            <w:rPr>
              <w:rFonts w:asciiTheme="minorHAnsi" w:hAnsiTheme="minorHAnsi"/>
              <w:sz w:val="22"/>
            </w:rPr>
          </w:pPr>
          <w:hyperlink w:anchor="_Toc192875025" w:history="1">
            <w:r>
              <w:rPr>
                <w:rStyle w:val="Hyperlink"/>
                <w:rFonts w:cstheme="majorHAnsi"/>
                <w:bCs/>
              </w:rPr>
              <w:t>12.6.2</w:t>
            </w:r>
            <w:r>
              <w:rPr>
                <w:rFonts w:asciiTheme="minorHAnsi" w:hAnsiTheme="minorHAnsi"/>
                <w:sz w:val="22"/>
              </w:rPr>
              <w:tab/>
            </w:r>
            <w:r>
              <w:rPr>
                <w:rStyle w:val="Hyperlink"/>
                <w:rFonts w:cstheme="majorHAnsi"/>
              </w:rPr>
              <w:t>Requirements Attributes in the ALM tool</w:t>
            </w:r>
            <w:r>
              <w:rPr>
                <w:webHidden/>
              </w:rPr>
              <w:tab/>
            </w:r>
            <w:r>
              <w:rPr>
                <w:webHidden/>
              </w:rPr>
              <w:fldChar w:fldCharType="begin"/>
            </w:r>
            <w:r>
              <w:rPr>
                <w:webHidden/>
              </w:rPr>
              <w:instrText xml:space="preserve"> PAGEREF _Toc192875025 \h </w:instrText>
            </w:r>
            <w:r>
              <w:rPr>
                <w:webHidden/>
              </w:rPr>
            </w:r>
            <w:r>
              <w:rPr>
                <w:webHidden/>
              </w:rPr>
              <w:fldChar w:fldCharType="separate"/>
            </w:r>
            <w:r>
              <w:rPr>
                <w:webHidden/>
              </w:rPr>
              <w:t>245</w:t>
            </w:r>
            <w:r>
              <w:rPr>
                <w:webHidden/>
              </w:rPr>
              <w:fldChar w:fldCharType="end"/>
            </w:r>
          </w:hyperlink>
        </w:p>
        <w:p w14:paraId="193B894D" w14:textId="6D137E29" w:rsidR="00274557" w:rsidRDefault="00274557">
          <w:pPr>
            <w:pStyle w:val="TOC2"/>
            <w:rPr>
              <w:rFonts w:asciiTheme="minorHAnsi" w:eastAsiaTheme="minorEastAsia" w:hAnsiTheme="minorHAnsi"/>
              <w:b w:val="0"/>
              <w:kern w:val="2"/>
              <w:sz w:val="22"/>
              <w:lang w:val="en-US"/>
              <w14:ligatures w14:val="standardContextual"/>
            </w:rPr>
          </w:pPr>
          <w:hyperlink w:anchor="_Toc192875026" w:history="1">
            <w:r>
              <w:rPr>
                <w:rStyle w:val="Hyperlink"/>
              </w:rPr>
              <w:t>12.7</w:t>
            </w:r>
            <w:r>
              <w:rPr>
                <w:rFonts w:asciiTheme="minorHAnsi" w:eastAsiaTheme="minorEastAsia" w:hAnsiTheme="minorHAnsi"/>
                <w:b w:val="0"/>
                <w:kern w:val="2"/>
                <w:sz w:val="22"/>
                <w:lang w:val="en-US"/>
                <w14:ligatures w14:val="standardContextual"/>
              </w:rPr>
              <w:tab/>
            </w:r>
            <w:r>
              <w:rPr>
                <w:rStyle w:val="Hyperlink"/>
              </w:rPr>
              <w:t>Requirements Versioning Control</w:t>
            </w:r>
            <w:r>
              <w:rPr>
                <w:webHidden/>
              </w:rPr>
              <w:tab/>
            </w:r>
            <w:r>
              <w:rPr>
                <w:webHidden/>
              </w:rPr>
              <w:fldChar w:fldCharType="begin"/>
            </w:r>
            <w:r>
              <w:rPr>
                <w:webHidden/>
              </w:rPr>
              <w:instrText xml:space="preserve"> PAGEREF _Toc192875026 \h </w:instrText>
            </w:r>
            <w:r>
              <w:rPr>
                <w:webHidden/>
              </w:rPr>
            </w:r>
            <w:r>
              <w:rPr>
                <w:webHidden/>
              </w:rPr>
              <w:fldChar w:fldCharType="separate"/>
            </w:r>
            <w:r>
              <w:rPr>
                <w:webHidden/>
              </w:rPr>
              <w:t>246</w:t>
            </w:r>
            <w:r>
              <w:rPr>
                <w:webHidden/>
              </w:rPr>
              <w:fldChar w:fldCharType="end"/>
            </w:r>
          </w:hyperlink>
        </w:p>
        <w:p w14:paraId="1C0EFFC1" w14:textId="6A144CF1" w:rsidR="00274557" w:rsidRDefault="00274557">
          <w:pPr>
            <w:pStyle w:val="TOC1"/>
            <w:rPr>
              <w:rFonts w:asciiTheme="minorHAnsi" w:eastAsiaTheme="minorEastAsia" w:hAnsiTheme="minorHAnsi"/>
              <w:b w:val="0"/>
              <w:kern w:val="2"/>
              <w:sz w:val="22"/>
              <w14:ligatures w14:val="standardContextual"/>
            </w:rPr>
          </w:pPr>
          <w:hyperlink w:anchor="_Toc192875027" w:history="1">
            <w:r>
              <w:rPr>
                <w:rStyle w:val="Hyperlink"/>
              </w:rPr>
              <w:t>13</w:t>
            </w:r>
            <w:r>
              <w:rPr>
                <w:rFonts w:asciiTheme="minorHAnsi" w:eastAsiaTheme="minorEastAsia" w:hAnsiTheme="minorHAnsi"/>
                <w:b w:val="0"/>
                <w:kern w:val="2"/>
                <w:sz w:val="22"/>
                <w14:ligatures w14:val="standardContextual"/>
              </w:rPr>
              <w:tab/>
            </w:r>
            <w:r>
              <w:rPr>
                <w:rStyle w:val="Hyperlink"/>
              </w:rPr>
              <w:t>Appendix</w:t>
            </w:r>
            <w:r>
              <w:rPr>
                <w:webHidden/>
              </w:rPr>
              <w:tab/>
            </w:r>
            <w:r>
              <w:rPr>
                <w:webHidden/>
              </w:rPr>
              <w:fldChar w:fldCharType="begin"/>
            </w:r>
            <w:r>
              <w:rPr>
                <w:webHidden/>
              </w:rPr>
              <w:instrText xml:space="preserve"> PAGEREF _Toc192875027 \h </w:instrText>
            </w:r>
            <w:r>
              <w:rPr>
                <w:webHidden/>
              </w:rPr>
            </w:r>
            <w:r>
              <w:rPr>
                <w:webHidden/>
              </w:rPr>
              <w:fldChar w:fldCharType="separate"/>
            </w:r>
            <w:r>
              <w:rPr>
                <w:webHidden/>
              </w:rPr>
              <w:t>248</w:t>
            </w:r>
            <w:r>
              <w:rPr>
                <w:webHidden/>
              </w:rPr>
              <w:fldChar w:fldCharType="end"/>
            </w:r>
          </w:hyperlink>
        </w:p>
        <w:p w14:paraId="06764C1C" w14:textId="6AC4A39E" w:rsidR="00274557" w:rsidRDefault="00274557">
          <w:pPr>
            <w:pStyle w:val="TOC2"/>
            <w:rPr>
              <w:rFonts w:asciiTheme="minorHAnsi" w:eastAsiaTheme="minorEastAsia" w:hAnsiTheme="minorHAnsi"/>
              <w:b w:val="0"/>
              <w:kern w:val="2"/>
              <w:sz w:val="22"/>
              <w:lang w:val="en-US"/>
              <w14:ligatures w14:val="standardContextual"/>
            </w:rPr>
          </w:pPr>
          <w:hyperlink w:anchor="_Toc192875028" w:history="1">
            <w:r>
              <w:rPr>
                <w:rStyle w:val="Hyperlink"/>
              </w:rPr>
              <w:t>13.1</w:t>
            </w:r>
            <w:r>
              <w:rPr>
                <w:rFonts w:asciiTheme="minorHAnsi" w:eastAsiaTheme="minorEastAsia" w:hAnsiTheme="minorHAnsi"/>
                <w:b w:val="0"/>
                <w:kern w:val="2"/>
                <w:sz w:val="22"/>
                <w:lang w:val="en-US"/>
                <w14:ligatures w14:val="standardContextual"/>
              </w:rPr>
              <w:tab/>
            </w:r>
            <w:r>
              <w:rPr>
                <w:rStyle w:val="Hyperlink"/>
              </w:rPr>
              <w:t>Appendix A: Terms and Definitions</w:t>
            </w:r>
            <w:r>
              <w:rPr>
                <w:webHidden/>
              </w:rPr>
              <w:tab/>
            </w:r>
            <w:r>
              <w:rPr>
                <w:webHidden/>
              </w:rPr>
              <w:fldChar w:fldCharType="begin"/>
            </w:r>
            <w:r>
              <w:rPr>
                <w:webHidden/>
              </w:rPr>
              <w:instrText xml:space="preserve"> PAGEREF _Toc192875028 \h </w:instrText>
            </w:r>
            <w:r>
              <w:rPr>
                <w:webHidden/>
              </w:rPr>
            </w:r>
            <w:r>
              <w:rPr>
                <w:webHidden/>
              </w:rPr>
              <w:fldChar w:fldCharType="separate"/>
            </w:r>
            <w:r>
              <w:rPr>
                <w:webHidden/>
              </w:rPr>
              <w:t>248</w:t>
            </w:r>
            <w:r>
              <w:rPr>
                <w:webHidden/>
              </w:rPr>
              <w:fldChar w:fldCharType="end"/>
            </w:r>
          </w:hyperlink>
        </w:p>
        <w:p w14:paraId="03527C1B" w14:textId="4E18F4D5" w:rsidR="00274557" w:rsidRDefault="00274557">
          <w:pPr>
            <w:pStyle w:val="TOC2"/>
            <w:rPr>
              <w:rFonts w:asciiTheme="minorHAnsi" w:eastAsiaTheme="minorEastAsia" w:hAnsiTheme="minorHAnsi"/>
              <w:b w:val="0"/>
              <w:kern w:val="2"/>
              <w:sz w:val="22"/>
              <w:lang w:val="en-US"/>
              <w14:ligatures w14:val="standardContextual"/>
            </w:rPr>
          </w:pPr>
          <w:hyperlink w:anchor="_Toc192875029" w:history="1">
            <w:r>
              <w:rPr>
                <w:rStyle w:val="Hyperlink"/>
              </w:rPr>
              <w:t>13.2</w:t>
            </w:r>
            <w:r>
              <w:rPr>
                <w:rFonts w:asciiTheme="minorHAnsi" w:eastAsiaTheme="minorEastAsia" w:hAnsiTheme="minorHAnsi"/>
                <w:b w:val="0"/>
                <w:kern w:val="2"/>
                <w:sz w:val="22"/>
                <w:lang w:val="en-US"/>
                <w14:ligatures w14:val="standardContextual"/>
              </w:rPr>
              <w:tab/>
            </w:r>
            <w:r>
              <w:rPr>
                <w:rStyle w:val="Hyperlink"/>
              </w:rPr>
              <w:t>Appendix B: Acronyms</w:t>
            </w:r>
            <w:r>
              <w:rPr>
                <w:webHidden/>
              </w:rPr>
              <w:tab/>
            </w:r>
            <w:r>
              <w:rPr>
                <w:webHidden/>
              </w:rPr>
              <w:fldChar w:fldCharType="begin"/>
            </w:r>
            <w:r>
              <w:rPr>
                <w:webHidden/>
              </w:rPr>
              <w:instrText xml:space="preserve"> PAGEREF _Toc192875029 \h </w:instrText>
            </w:r>
            <w:r>
              <w:rPr>
                <w:webHidden/>
              </w:rPr>
            </w:r>
            <w:r>
              <w:rPr>
                <w:webHidden/>
              </w:rPr>
              <w:fldChar w:fldCharType="separate"/>
            </w:r>
            <w:r>
              <w:rPr>
                <w:webHidden/>
              </w:rPr>
              <w:t>251</w:t>
            </w:r>
            <w:r>
              <w:rPr>
                <w:webHidden/>
              </w:rPr>
              <w:fldChar w:fldCharType="end"/>
            </w:r>
          </w:hyperlink>
        </w:p>
        <w:p w14:paraId="0E6FD88D" w14:textId="56C54A06" w:rsidR="00274557" w:rsidRDefault="00274557">
          <w:pPr>
            <w:pStyle w:val="TOC2"/>
            <w:rPr>
              <w:rFonts w:asciiTheme="minorHAnsi" w:eastAsiaTheme="minorEastAsia" w:hAnsiTheme="minorHAnsi"/>
              <w:b w:val="0"/>
              <w:kern w:val="2"/>
              <w:sz w:val="22"/>
              <w:lang w:val="en-US"/>
              <w14:ligatures w14:val="standardContextual"/>
            </w:rPr>
          </w:pPr>
          <w:hyperlink w:anchor="_Toc192875030" w:history="1">
            <w:r>
              <w:rPr>
                <w:rStyle w:val="Hyperlink"/>
              </w:rPr>
              <w:t>13.3</w:t>
            </w:r>
            <w:r>
              <w:rPr>
                <w:rFonts w:asciiTheme="minorHAnsi" w:eastAsiaTheme="minorEastAsia" w:hAnsiTheme="minorHAnsi"/>
                <w:b w:val="0"/>
                <w:kern w:val="2"/>
                <w:sz w:val="22"/>
                <w:lang w:val="en-US"/>
                <w14:ligatures w14:val="standardContextual"/>
              </w:rPr>
              <w:tab/>
            </w:r>
            <w:r>
              <w:rPr>
                <w:rStyle w:val="Hyperlink"/>
              </w:rPr>
              <w:t>Appendix C: Roles and Responsibilities</w:t>
            </w:r>
            <w:r>
              <w:rPr>
                <w:webHidden/>
              </w:rPr>
              <w:tab/>
            </w:r>
            <w:r>
              <w:rPr>
                <w:webHidden/>
              </w:rPr>
              <w:fldChar w:fldCharType="begin"/>
            </w:r>
            <w:r>
              <w:rPr>
                <w:webHidden/>
              </w:rPr>
              <w:instrText xml:space="preserve"> PAGEREF _Toc192875030 \h </w:instrText>
            </w:r>
            <w:r>
              <w:rPr>
                <w:webHidden/>
              </w:rPr>
            </w:r>
            <w:r>
              <w:rPr>
                <w:webHidden/>
              </w:rPr>
              <w:fldChar w:fldCharType="separate"/>
            </w:r>
            <w:r>
              <w:rPr>
                <w:webHidden/>
              </w:rPr>
              <w:t>254</w:t>
            </w:r>
            <w:r>
              <w:rPr>
                <w:webHidden/>
              </w:rPr>
              <w:fldChar w:fldCharType="end"/>
            </w:r>
          </w:hyperlink>
        </w:p>
        <w:p w14:paraId="73D34A4D" w14:textId="7A44CFB1" w:rsidR="00274557" w:rsidRDefault="00274557">
          <w:pPr>
            <w:pStyle w:val="TOC2"/>
            <w:rPr>
              <w:rFonts w:asciiTheme="minorHAnsi" w:eastAsiaTheme="minorEastAsia" w:hAnsiTheme="minorHAnsi"/>
              <w:b w:val="0"/>
              <w:kern w:val="2"/>
              <w:sz w:val="22"/>
              <w:lang w:val="en-US"/>
              <w14:ligatures w14:val="standardContextual"/>
            </w:rPr>
          </w:pPr>
          <w:hyperlink w:anchor="_Toc192875031" w:history="1">
            <w:r>
              <w:rPr>
                <w:rStyle w:val="Hyperlink"/>
              </w:rPr>
              <w:t>13.4</w:t>
            </w:r>
            <w:r>
              <w:rPr>
                <w:rFonts w:asciiTheme="minorHAnsi" w:eastAsiaTheme="minorEastAsia" w:hAnsiTheme="minorHAnsi"/>
                <w:b w:val="0"/>
                <w:kern w:val="2"/>
                <w:sz w:val="22"/>
                <w:lang w:val="en-US"/>
                <w14:ligatures w14:val="standardContextual"/>
              </w:rPr>
              <w:tab/>
            </w:r>
            <w:r>
              <w:rPr>
                <w:rStyle w:val="Hyperlink"/>
              </w:rPr>
              <w:t>Appendix D: ALM Tool Field Attributes and Workflows</w:t>
            </w:r>
            <w:r>
              <w:rPr>
                <w:webHidden/>
              </w:rPr>
              <w:tab/>
            </w:r>
            <w:r>
              <w:rPr>
                <w:webHidden/>
              </w:rPr>
              <w:fldChar w:fldCharType="begin"/>
            </w:r>
            <w:r>
              <w:rPr>
                <w:webHidden/>
              </w:rPr>
              <w:instrText xml:space="preserve"> PAGEREF _Toc192875031 \h </w:instrText>
            </w:r>
            <w:r>
              <w:rPr>
                <w:webHidden/>
              </w:rPr>
            </w:r>
            <w:r>
              <w:rPr>
                <w:webHidden/>
              </w:rPr>
              <w:fldChar w:fldCharType="separate"/>
            </w:r>
            <w:r>
              <w:rPr>
                <w:webHidden/>
              </w:rPr>
              <w:t>276</w:t>
            </w:r>
            <w:r>
              <w:rPr>
                <w:webHidden/>
              </w:rPr>
              <w:fldChar w:fldCharType="end"/>
            </w:r>
          </w:hyperlink>
        </w:p>
        <w:p w14:paraId="0BD65BD8" w14:textId="59FC0A37" w:rsidR="00274557" w:rsidRDefault="00274557">
          <w:pPr>
            <w:pStyle w:val="TOC2"/>
            <w:rPr>
              <w:rFonts w:asciiTheme="minorHAnsi" w:eastAsiaTheme="minorEastAsia" w:hAnsiTheme="minorHAnsi"/>
              <w:b w:val="0"/>
              <w:kern w:val="2"/>
              <w:sz w:val="22"/>
              <w:lang w:val="en-US"/>
              <w14:ligatures w14:val="standardContextual"/>
            </w:rPr>
          </w:pPr>
          <w:hyperlink w:anchor="_Toc192875032" w:history="1">
            <w:r>
              <w:rPr>
                <w:rStyle w:val="Hyperlink"/>
                <w:bCs/>
              </w:rPr>
              <w:t>13.5</w:t>
            </w:r>
            <w:r>
              <w:rPr>
                <w:rFonts w:asciiTheme="minorHAnsi" w:eastAsiaTheme="minorEastAsia" w:hAnsiTheme="minorHAnsi"/>
                <w:b w:val="0"/>
                <w:kern w:val="2"/>
                <w:sz w:val="22"/>
                <w:lang w:val="en-US"/>
                <w14:ligatures w14:val="standardContextual"/>
              </w:rPr>
              <w:tab/>
            </w:r>
            <w:r>
              <w:rPr>
                <w:rStyle w:val="Hyperlink"/>
              </w:rPr>
              <w:t>Appendix</w:t>
            </w:r>
            <w:r>
              <w:rPr>
                <w:rStyle w:val="Hyperlink"/>
                <w:bCs/>
              </w:rPr>
              <w:t xml:space="preserve"> E: DED/Deliverable Quality Checklists</w:t>
            </w:r>
            <w:r>
              <w:rPr>
                <w:webHidden/>
              </w:rPr>
              <w:tab/>
            </w:r>
            <w:r>
              <w:rPr>
                <w:webHidden/>
              </w:rPr>
              <w:fldChar w:fldCharType="begin"/>
            </w:r>
            <w:r>
              <w:rPr>
                <w:webHidden/>
              </w:rPr>
              <w:instrText xml:space="preserve"> PAGEREF _Toc192875032 \h </w:instrText>
            </w:r>
            <w:r>
              <w:rPr>
                <w:webHidden/>
              </w:rPr>
            </w:r>
            <w:r>
              <w:rPr>
                <w:webHidden/>
              </w:rPr>
              <w:fldChar w:fldCharType="separate"/>
            </w:r>
            <w:r>
              <w:rPr>
                <w:webHidden/>
              </w:rPr>
              <w:t>277</w:t>
            </w:r>
            <w:r>
              <w:rPr>
                <w:webHidden/>
              </w:rPr>
              <w:fldChar w:fldCharType="end"/>
            </w:r>
          </w:hyperlink>
        </w:p>
        <w:p w14:paraId="398E284A" w14:textId="76F40AAB" w:rsidR="00274557" w:rsidRDefault="00274557">
          <w:pPr>
            <w:pStyle w:val="TOC2"/>
            <w:rPr>
              <w:rFonts w:asciiTheme="minorHAnsi" w:eastAsiaTheme="minorEastAsia" w:hAnsiTheme="minorHAnsi"/>
              <w:b w:val="0"/>
              <w:kern w:val="2"/>
              <w:sz w:val="22"/>
              <w:lang w:val="en-US"/>
              <w14:ligatures w14:val="standardContextual"/>
            </w:rPr>
          </w:pPr>
          <w:hyperlink w:anchor="_Toc192875033" w:history="1">
            <w:r>
              <w:rPr>
                <w:rStyle w:val="Hyperlink"/>
                <w:bCs/>
              </w:rPr>
              <w:t>13.6</w:t>
            </w:r>
            <w:r>
              <w:rPr>
                <w:rFonts w:asciiTheme="minorHAnsi" w:eastAsiaTheme="minorEastAsia" w:hAnsiTheme="minorHAnsi"/>
                <w:b w:val="0"/>
                <w:kern w:val="2"/>
                <w:sz w:val="22"/>
                <w:lang w:val="en-US"/>
                <w14:ligatures w14:val="standardContextual"/>
              </w:rPr>
              <w:tab/>
            </w:r>
            <w:r>
              <w:rPr>
                <w:rStyle w:val="Hyperlink"/>
              </w:rPr>
              <w:t>Appendix</w:t>
            </w:r>
            <w:r>
              <w:rPr>
                <w:rStyle w:val="Hyperlink"/>
                <w:bCs/>
              </w:rPr>
              <w:t xml:space="preserve"> F: Best Practices for Writing Clear System Requirements</w:t>
            </w:r>
            <w:r>
              <w:rPr>
                <w:webHidden/>
              </w:rPr>
              <w:tab/>
            </w:r>
            <w:r>
              <w:rPr>
                <w:webHidden/>
              </w:rPr>
              <w:fldChar w:fldCharType="begin"/>
            </w:r>
            <w:r>
              <w:rPr>
                <w:webHidden/>
              </w:rPr>
              <w:instrText xml:space="preserve"> PAGEREF _Toc192875033 \h </w:instrText>
            </w:r>
            <w:r>
              <w:rPr>
                <w:webHidden/>
              </w:rPr>
            </w:r>
            <w:r>
              <w:rPr>
                <w:webHidden/>
              </w:rPr>
              <w:fldChar w:fldCharType="separate"/>
            </w:r>
            <w:r>
              <w:rPr>
                <w:webHidden/>
              </w:rPr>
              <w:t>278</w:t>
            </w:r>
            <w:r>
              <w:rPr>
                <w:webHidden/>
              </w:rPr>
              <w:fldChar w:fldCharType="end"/>
            </w:r>
          </w:hyperlink>
        </w:p>
        <w:p w14:paraId="1DAC68EA" w14:textId="5490BF43" w:rsidR="00274557" w:rsidRDefault="00274557">
          <w:pPr>
            <w:pStyle w:val="TOC2"/>
            <w:rPr>
              <w:rFonts w:asciiTheme="minorHAnsi" w:eastAsiaTheme="minorEastAsia" w:hAnsiTheme="minorHAnsi"/>
              <w:b w:val="0"/>
              <w:kern w:val="2"/>
              <w:sz w:val="22"/>
              <w:lang w:val="en-US"/>
              <w14:ligatures w14:val="standardContextual"/>
            </w:rPr>
          </w:pPr>
          <w:hyperlink w:anchor="_Toc192875034" w:history="1">
            <w:r>
              <w:rPr>
                <w:rStyle w:val="Hyperlink"/>
              </w:rPr>
              <w:t>13.7</w:t>
            </w:r>
            <w:r>
              <w:rPr>
                <w:rFonts w:asciiTheme="minorHAnsi" w:eastAsiaTheme="minorEastAsia" w:hAnsiTheme="minorHAnsi"/>
                <w:b w:val="0"/>
                <w:kern w:val="2"/>
                <w:sz w:val="22"/>
                <w:lang w:val="en-US"/>
                <w14:ligatures w14:val="standardContextual"/>
              </w:rPr>
              <w:tab/>
            </w:r>
            <w:r>
              <w:rPr>
                <w:rStyle w:val="Hyperlink"/>
              </w:rPr>
              <w:t>Appendix G: Collaboration Process for DEDs/Deliverables</w:t>
            </w:r>
            <w:r>
              <w:rPr>
                <w:webHidden/>
              </w:rPr>
              <w:tab/>
            </w:r>
            <w:r>
              <w:rPr>
                <w:webHidden/>
              </w:rPr>
              <w:fldChar w:fldCharType="begin"/>
            </w:r>
            <w:r>
              <w:rPr>
                <w:webHidden/>
              </w:rPr>
              <w:instrText xml:space="preserve"> PAGEREF _Toc192875034 \h </w:instrText>
            </w:r>
            <w:r>
              <w:rPr>
                <w:webHidden/>
              </w:rPr>
            </w:r>
            <w:r>
              <w:rPr>
                <w:webHidden/>
              </w:rPr>
              <w:fldChar w:fldCharType="separate"/>
            </w:r>
            <w:r>
              <w:rPr>
                <w:webHidden/>
              </w:rPr>
              <w:t>280</w:t>
            </w:r>
            <w:r>
              <w:rPr>
                <w:webHidden/>
              </w:rPr>
              <w:fldChar w:fldCharType="end"/>
            </w:r>
          </w:hyperlink>
        </w:p>
        <w:p w14:paraId="7A419E2A" w14:textId="42F9D365" w:rsidR="00274557" w:rsidRDefault="00274557">
          <w:pPr>
            <w:pStyle w:val="TOC2"/>
            <w:rPr>
              <w:rFonts w:asciiTheme="minorHAnsi" w:eastAsiaTheme="minorEastAsia" w:hAnsiTheme="minorHAnsi"/>
              <w:b w:val="0"/>
              <w:kern w:val="2"/>
              <w:sz w:val="22"/>
              <w:lang w:val="en-US"/>
              <w14:ligatures w14:val="standardContextual"/>
            </w:rPr>
          </w:pPr>
          <w:hyperlink w:anchor="_Toc192875035" w:history="1">
            <w:r>
              <w:rPr>
                <w:rStyle w:val="Hyperlink"/>
              </w:rPr>
              <w:t>13.8</w:t>
            </w:r>
            <w:r>
              <w:rPr>
                <w:rFonts w:asciiTheme="minorHAnsi" w:eastAsiaTheme="minorEastAsia" w:hAnsiTheme="minorHAnsi"/>
                <w:b w:val="0"/>
                <w:kern w:val="2"/>
                <w:sz w:val="22"/>
                <w:lang w:val="en-US"/>
                <w14:ligatures w14:val="standardContextual"/>
              </w:rPr>
              <w:tab/>
            </w:r>
            <w:r>
              <w:rPr>
                <w:rStyle w:val="Hyperlink"/>
              </w:rPr>
              <w:t>Appendix H: Design Document Storage on DOH SharePoint</w:t>
            </w:r>
            <w:r>
              <w:rPr>
                <w:webHidden/>
              </w:rPr>
              <w:tab/>
            </w:r>
            <w:r>
              <w:rPr>
                <w:webHidden/>
              </w:rPr>
              <w:fldChar w:fldCharType="begin"/>
            </w:r>
            <w:r>
              <w:rPr>
                <w:webHidden/>
              </w:rPr>
              <w:instrText xml:space="preserve"> PAGEREF _Toc192875035 \h </w:instrText>
            </w:r>
            <w:r>
              <w:rPr>
                <w:webHidden/>
              </w:rPr>
            </w:r>
            <w:r>
              <w:rPr>
                <w:webHidden/>
              </w:rPr>
              <w:fldChar w:fldCharType="separate"/>
            </w:r>
            <w:r>
              <w:rPr>
                <w:webHidden/>
              </w:rPr>
              <w:t>280</w:t>
            </w:r>
            <w:r>
              <w:rPr>
                <w:webHidden/>
              </w:rPr>
              <w:fldChar w:fldCharType="end"/>
            </w:r>
          </w:hyperlink>
        </w:p>
        <w:p w14:paraId="425DA433" w14:textId="4C5B28A3" w:rsidR="00274557" w:rsidRDefault="00274557">
          <w:pPr>
            <w:pStyle w:val="TOC2"/>
            <w:rPr>
              <w:rFonts w:asciiTheme="minorHAnsi" w:eastAsiaTheme="minorEastAsia" w:hAnsiTheme="minorHAnsi"/>
              <w:b w:val="0"/>
              <w:kern w:val="2"/>
              <w:sz w:val="22"/>
              <w:lang w:val="en-US"/>
              <w14:ligatures w14:val="standardContextual"/>
            </w:rPr>
          </w:pPr>
          <w:hyperlink w:anchor="_Toc192875036" w:history="1">
            <w:r>
              <w:rPr>
                <w:rStyle w:val="Hyperlink"/>
              </w:rPr>
              <w:t>13.9</w:t>
            </w:r>
            <w:r>
              <w:rPr>
                <w:rFonts w:asciiTheme="minorHAnsi" w:eastAsiaTheme="minorEastAsia" w:hAnsiTheme="minorHAnsi"/>
                <w:b w:val="0"/>
                <w:kern w:val="2"/>
                <w:sz w:val="22"/>
                <w:lang w:val="en-US"/>
                <w14:ligatures w14:val="standardContextual"/>
              </w:rPr>
              <w:tab/>
            </w:r>
            <w:r>
              <w:rPr>
                <w:rStyle w:val="Hyperlink"/>
              </w:rPr>
              <w:t>Appendix I: Change Tracker for Modifying Deliverables Post Transmittal Approval</w:t>
            </w:r>
            <w:r>
              <w:rPr>
                <w:webHidden/>
              </w:rPr>
              <w:tab/>
            </w:r>
            <w:r>
              <w:rPr>
                <w:webHidden/>
              </w:rPr>
              <w:fldChar w:fldCharType="begin"/>
            </w:r>
            <w:r>
              <w:rPr>
                <w:webHidden/>
              </w:rPr>
              <w:instrText xml:space="preserve"> PAGEREF _Toc192875036 \h </w:instrText>
            </w:r>
            <w:r>
              <w:rPr>
                <w:webHidden/>
              </w:rPr>
            </w:r>
            <w:r>
              <w:rPr>
                <w:webHidden/>
              </w:rPr>
              <w:fldChar w:fldCharType="separate"/>
            </w:r>
            <w:r>
              <w:rPr>
                <w:webHidden/>
              </w:rPr>
              <w:t>280</w:t>
            </w:r>
            <w:r>
              <w:rPr>
                <w:webHidden/>
              </w:rPr>
              <w:fldChar w:fldCharType="end"/>
            </w:r>
          </w:hyperlink>
        </w:p>
        <w:p w14:paraId="78BB615B" w14:textId="1D710495" w:rsidR="003C0FB3" w:rsidRPr="00A21682" w:rsidRDefault="003C0FB3" w:rsidP="00ED1AE5">
          <w:pPr>
            <w:pStyle w:val="TOC1"/>
          </w:pPr>
          <w:r>
            <w:fldChar w:fldCharType="end"/>
          </w:r>
        </w:p>
      </w:sdtContent>
    </w:sdt>
    <w:p w14:paraId="6317A9CA" w14:textId="77777777" w:rsidR="00CA7F17" w:rsidRPr="00A21682" w:rsidRDefault="00CA7F17" w:rsidP="00CA7F17">
      <w:pPr>
        <w:pStyle w:val="TOCHeading"/>
        <w:rPr>
          <w:rFonts w:ascii="Verdana" w:hAnsi="Verdana"/>
          <w:i w:val="0"/>
          <w:color w:val="auto"/>
          <w:sz w:val="18"/>
          <w:szCs w:val="18"/>
          <w:u w:val="single"/>
        </w:rPr>
      </w:pPr>
      <w:r>
        <w:rPr>
          <w:rFonts w:ascii="Verdana" w:hAnsi="Verdana"/>
          <w:i w:val="0"/>
          <w:color w:val="auto"/>
          <w:sz w:val="18"/>
          <w:szCs w:val="18"/>
          <w:u w:val="single"/>
        </w:rPr>
        <w:t>Table of Figures</w:t>
      </w:r>
    </w:p>
    <w:p w14:paraId="5A773D82" w14:textId="734B40E1" w:rsidR="00274557" w:rsidRDefault="00CA7F17">
      <w:pPr>
        <w:pStyle w:val="TableofFigures"/>
        <w:rPr>
          <w:rFonts w:asciiTheme="minorHAnsi" w:eastAsiaTheme="minorEastAsia" w:hAnsiTheme="minorHAnsi"/>
          <w:noProof/>
          <w:kern w:val="2"/>
          <w:sz w:val="22"/>
          <w14:ligatures w14:val="standardContextual"/>
        </w:rPr>
      </w:pPr>
      <w:r>
        <w:fldChar w:fldCharType="begin"/>
      </w:r>
      <w:r>
        <w:instrText xml:space="preserve"> TOC \h \z \c "Figure" </w:instrText>
      </w:r>
      <w:r>
        <w:fldChar w:fldCharType="separate"/>
      </w:r>
      <w:hyperlink w:anchor="_Toc192875037" w:history="1">
        <w:r>
          <w:rPr>
            <w:rStyle w:val="Hyperlink"/>
            <w:noProof/>
          </w:rPr>
          <w:t>Figure 1-1: Governance Structure</w:t>
        </w:r>
        <w:r>
          <w:rPr>
            <w:noProof/>
            <w:webHidden/>
          </w:rPr>
          <w:tab/>
        </w:r>
        <w:r>
          <w:rPr>
            <w:noProof/>
            <w:webHidden/>
          </w:rPr>
          <w:fldChar w:fldCharType="begin"/>
        </w:r>
        <w:r>
          <w:rPr>
            <w:noProof/>
            <w:webHidden/>
          </w:rPr>
          <w:instrText xml:space="preserve"> PAGEREF _Toc192875037 \h </w:instrText>
        </w:r>
        <w:r>
          <w:rPr>
            <w:noProof/>
            <w:webHidden/>
          </w:rPr>
        </w:r>
        <w:r>
          <w:rPr>
            <w:noProof/>
            <w:webHidden/>
          </w:rPr>
          <w:fldChar w:fldCharType="separate"/>
        </w:r>
        <w:r>
          <w:rPr>
            <w:noProof/>
            <w:webHidden/>
          </w:rPr>
          <w:t>4</w:t>
        </w:r>
        <w:r>
          <w:rPr>
            <w:noProof/>
            <w:webHidden/>
          </w:rPr>
          <w:fldChar w:fldCharType="end"/>
        </w:r>
      </w:hyperlink>
    </w:p>
    <w:p w14:paraId="2B7F9585" w14:textId="4201BB79" w:rsidR="00274557" w:rsidRDefault="00274557">
      <w:pPr>
        <w:pStyle w:val="TableofFigures"/>
        <w:rPr>
          <w:rFonts w:asciiTheme="minorHAnsi" w:eastAsiaTheme="minorEastAsia" w:hAnsiTheme="minorHAnsi"/>
          <w:noProof/>
          <w:kern w:val="2"/>
          <w:sz w:val="22"/>
          <w14:ligatures w14:val="standardContextual"/>
        </w:rPr>
      </w:pPr>
      <w:hyperlink w:anchor="_Toc192875038" w:history="1">
        <w:r>
          <w:rPr>
            <w:rStyle w:val="Hyperlink"/>
            <w:noProof/>
          </w:rPr>
          <w:t>Figure 2-1: Approach to Application SDLC</w:t>
        </w:r>
        <w:r>
          <w:rPr>
            <w:noProof/>
            <w:webHidden/>
          </w:rPr>
          <w:tab/>
        </w:r>
        <w:r>
          <w:rPr>
            <w:noProof/>
            <w:webHidden/>
          </w:rPr>
          <w:fldChar w:fldCharType="begin"/>
        </w:r>
        <w:r>
          <w:rPr>
            <w:noProof/>
            <w:webHidden/>
          </w:rPr>
          <w:instrText xml:space="preserve"> PAGEREF _Toc192875038 \h </w:instrText>
        </w:r>
        <w:r>
          <w:rPr>
            <w:noProof/>
            <w:webHidden/>
          </w:rPr>
        </w:r>
        <w:r>
          <w:rPr>
            <w:noProof/>
            <w:webHidden/>
          </w:rPr>
          <w:fldChar w:fldCharType="separate"/>
        </w:r>
        <w:r>
          <w:rPr>
            <w:noProof/>
            <w:webHidden/>
          </w:rPr>
          <w:t>13</w:t>
        </w:r>
        <w:r>
          <w:rPr>
            <w:noProof/>
            <w:webHidden/>
          </w:rPr>
          <w:fldChar w:fldCharType="end"/>
        </w:r>
      </w:hyperlink>
    </w:p>
    <w:p w14:paraId="5897DB5E" w14:textId="60D26981" w:rsidR="00274557" w:rsidRDefault="00274557">
      <w:pPr>
        <w:pStyle w:val="TableofFigures"/>
        <w:rPr>
          <w:rFonts w:asciiTheme="minorHAnsi" w:eastAsiaTheme="minorEastAsia" w:hAnsiTheme="minorHAnsi"/>
          <w:noProof/>
          <w:kern w:val="2"/>
          <w:sz w:val="22"/>
          <w14:ligatures w14:val="standardContextual"/>
        </w:rPr>
      </w:pPr>
      <w:hyperlink w:anchor="_Toc192875039" w:history="1">
        <w:r>
          <w:rPr>
            <w:rStyle w:val="Hyperlink"/>
            <w:noProof/>
          </w:rPr>
          <w:t>Figure 2-2: Project Wave Planning Phase Process Flow</w:t>
        </w:r>
        <w:r>
          <w:rPr>
            <w:noProof/>
            <w:webHidden/>
          </w:rPr>
          <w:tab/>
        </w:r>
        <w:r>
          <w:rPr>
            <w:noProof/>
            <w:webHidden/>
          </w:rPr>
          <w:fldChar w:fldCharType="begin"/>
        </w:r>
        <w:r>
          <w:rPr>
            <w:noProof/>
            <w:webHidden/>
          </w:rPr>
          <w:instrText xml:space="preserve"> PAGEREF _Toc192875039 \h </w:instrText>
        </w:r>
        <w:r>
          <w:rPr>
            <w:noProof/>
            <w:webHidden/>
          </w:rPr>
        </w:r>
        <w:r>
          <w:rPr>
            <w:noProof/>
            <w:webHidden/>
          </w:rPr>
          <w:fldChar w:fldCharType="separate"/>
        </w:r>
        <w:r>
          <w:rPr>
            <w:noProof/>
            <w:webHidden/>
          </w:rPr>
          <w:t>21</w:t>
        </w:r>
        <w:r>
          <w:rPr>
            <w:noProof/>
            <w:webHidden/>
          </w:rPr>
          <w:fldChar w:fldCharType="end"/>
        </w:r>
      </w:hyperlink>
    </w:p>
    <w:p w14:paraId="54C78D00" w14:textId="3B0CE482" w:rsidR="00274557" w:rsidRDefault="00274557">
      <w:pPr>
        <w:pStyle w:val="TableofFigures"/>
        <w:rPr>
          <w:rFonts w:asciiTheme="minorHAnsi" w:eastAsiaTheme="minorEastAsia" w:hAnsiTheme="minorHAnsi"/>
          <w:noProof/>
          <w:kern w:val="2"/>
          <w:sz w:val="22"/>
          <w14:ligatures w14:val="standardContextual"/>
        </w:rPr>
      </w:pPr>
      <w:hyperlink w:anchor="_Toc192875040" w:history="1">
        <w:r>
          <w:rPr>
            <w:rStyle w:val="Hyperlink"/>
            <w:noProof/>
          </w:rPr>
          <w:t xml:space="preserve">Figure 2-3: </w:t>
        </w:r>
        <w:r>
          <w:rPr>
            <w:rStyle w:val="Hyperlink"/>
            <w:rFonts w:cs="Arial"/>
            <w:noProof/>
          </w:rPr>
          <w:t>Business Process Analysis Phase Process Flow</w:t>
        </w:r>
        <w:r>
          <w:rPr>
            <w:noProof/>
            <w:webHidden/>
          </w:rPr>
          <w:tab/>
        </w:r>
        <w:r>
          <w:rPr>
            <w:noProof/>
            <w:webHidden/>
          </w:rPr>
          <w:fldChar w:fldCharType="begin"/>
        </w:r>
        <w:r>
          <w:rPr>
            <w:noProof/>
            <w:webHidden/>
          </w:rPr>
          <w:instrText xml:space="preserve"> PAGEREF _Toc192875040 \h </w:instrText>
        </w:r>
        <w:r>
          <w:rPr>
            <w:noProof/>
            <w:webHidden/>
          </w:rPr>
        </w:r>
        <w:r>
          <w:rPr>
            <w:noProof/>
            <w:webHidden/>
          </w:rPr>
          <w:fldChar w:fldCharType="separate"/>
        </w:r>
        <w:r>
          <w:rPr>
            <w:noProof/>
            <w:webHidden/>
          </w:rPr>
          <w:t>25</w:t>
        </w:r>
        <w:r>
          <w:rPr>
            <w:noProof/>
            <w:webHidden/>
          </w:rPr>
          <w:fldChar w:fldCharType="end"/>
        </w:r>
      </w:hyperlink>
    </w:p>
    <w:p w14:paraId="06790967" w14:textId="0EADBA20" w:rsidR="00274557" w:rsidRDefault="00274557">
      <w:pPr>
        <w:pStyle w:val="TableofFigures"/>
        <w:rPr>
          <w:rFonts w:asciiTheme="minorHAnsi" w:eastAsiaTheme="minorEastAsia" w:hAnsiTheme="minorHAnsi"/>
          <w:noProof/>
          <w:kern w:val="2"/>
          <w:sz w:val="22"/>
          <w14:ligatures w14:val="standardContextual"/>
        </w:rPr>
      </w:pPr>
      <w:hyperlink w:anchor="_Toc192875041" w:history="1">
        <w:r>
          <w:rPr>
            <w:rStyle w:val="Hyperlink"/>
            <w:noProof/>
          </w:rPr>
          <w:t>Figure 2-4: Requirements Gathering Phase Process Flow</w:t>
        </w:r>
        <w:r>
          <w:rPr>
            <w:noProof/>
            <w:webHidden/>
          </w:rPr>
          <w:tab/>
        </w:r>
        <w:r>
          <w:rPr>
            <w:noProof/>
            <w:webHidden/>
          </w:rPr>
          <w:fldChar w:fldCharType="begin"/>
        </w:r>
        <w:r>
          <w:rPr>
            <w:noProof/>
            <w:webHidden/>
          </w:rPr>
          <w:instrText xml:space="preserve"> PAGEREF _Toc192875041 \h </w:instrText>
        </w:r>
        <w:r>
          <w:rPr>
            <w:noProof/>
            <w:webHidden/>
          </w:rPr>
        </w:r>
        <w:r>
          <w:rPr>
            <w:noProof/>
            <w:webHidden/>
          </w:rPr>
          <w:fldChar w:fldCharType="separate"/>
        </w:r>
        <w:r>
          <w:rPr>
            <w:noProof/>
            <w:webHidden/>
          </w:rPr>
          <w:t>29</w:t>
        </w:r>
        <w:r>
          <w:rPr>
            <w:noProof/>
            <w:webHidden/>
          </w:rPr>
          <w:fldChar w:fldCharType="end"/>
        </w:r>
      </w:hyperlink>
    </w:p>
    <w:p w14:paraId="6C6A6412" w14:textId="0D07E7A6" w:rsidR="00274557" w:rsidRDefault="00274557">
      <w:pPr>
        <w:pStyle w:val="TableofFigures"/>
        <w:rPr>
          <w:rFonts w:asciiTheme="minorHAnsi" w:eastAsiaTheme="minorEastAsia" w:hAnsiTheme="minorHAnsi"/>
          <w:noProof/>
          <w:kern w:val="2"/>
          <w:sz w:val="22"/>
          <w14:ligatures w14:val="standardContextual"/>
        </w:rPr>
      </w:pPr>
      <w:hyperlink w:anchor="_Toc192875042" w:history="1">
        <w:r>
          <w:rPr>
            <w:rStyle w:val="Hyperlink"/>
            <w:noProof/>
          </w:rPr>
          <w:t>Figure 2-5: Prioritization and Iteration/Bundle Planning Phase Process Flow</w:t>
        </w:r>
        <w:r>
          <w:rPr>
            <w:noProof/>
            <w:webHidden/>
          </w:rPr>
          <w:tab/>
        </w:r>
        <w:r>
          <w:rPr>
            <w:noProof/>
            <w:webHidden/>
          </w:rPr>
          <w:fldChar w:fldCharType="begin"/>
        </w:r>
        <w:r>
          <w:rPr>
            <w:noProof/>
            <w:webHidden/>
          </w:rPr>
          <w:instrText xml:space="preserve"> PAGEREF _Toc192875042 \h </w:instrText>
        </w:r>
        <w:r>
          <w:rPr>
            <w:noProof/>
            <w:webHidden/>
          </w:rPr>
        </w:r>
        <w:r>
          <w:rPr>
            <w:noProof/>
            <w:webHidden/>
          </w:rPr>
          <w:fldChar w:fldCharType="separate"/>
        </w:r>
        <w:r>
          <w:rPr>
            <w:noProof/>
            <w:webHidden/>
          </w:rPr>
          <w:t>35</w:t>
        </w:r>
        <w:r>
          <w:rPr>
            <w:noProof/>
            <w:webHidden/>
          </w:rPr>
          <w:fldChar w:fldCharType="end"/>
        </w:r>
      </w:hyperlink>
    </w:p>
    <w:p w14:paraId="488DF475" w14:textId="201613AA" w:rsidR="00274557" w:rsidRDefault="00274557">
      <w:pPr>
        <w:pStyle w:val="TableofFigures"/>
        <w:rPr>
          <w:rFonts w:asciiTheme="minorHAnsi" w:eastAsiaTheme="minorEastAsia" w:hAnsiTheme="minorHAnsi"/>
          <w:noProof/>
          <w:kern w:val="2"/>
          <w:sz w:val="22"/>
          <w14:ligatures w14:val="standardContextual"/>
        </w:rPr>
      </w:pPr>
      <w:hyperlink w:anchor="_Toc192875043" w:history="1">
        <w:r>
          <w:rPr>
            <w:rStyle w:val="Hyperlink"/>
            <w:noProof/>
          </w:rPr>
          <w:t>Figure 2-6: Design Phase Process Flow</w:t>
        </w:r>
        <w:r>
          <w:rPr>
            <w:noProof/>
            <w:webHidden/>
          </w:rPr>
          <w:tab/>
        </w:r>
        <w:r>
          <w:rPr>
            <w:noProof/>
            <w:webHidden/>
          </w:rPr>
          <w:fldChar w:fldCharType="begin"/>
        </w:r>
        <w:r>
          <w:rPr>
            <w:noProof/>
            <w:webHidden/>
          </w:rPr>
          <w:instrText xml:space="preserve"> PAGEREF _Toc192875043 \h </w:instrText>
        </w:r>
        <w:r>
          <w:rPr>
            <w:noProof/>
            <w:webHidden/>
          </w:rPr>
        </w:r>
        <w:r>
          <w:rPr>
            <w:noProof/>
            <w:webHidden/>
          </w:rPr>
          <w:fldChar w:fldCharType="separate"/>
        </w:r>
        <w:r>
          <w:rPr>
            <w:noProof/>
            <w:webHidden/>
          </w:rPr>
          <w:t>40</w:t>
        </w:r>
        <w:r>
          <w:rPr>
            <w:noProof/>
            <w:webHidden/>
          </w:rPr>
          <w:fldChar w:fldCharType="end"/>
        </w:r>
      </w:hyperlink>
    </w:p>
    <w:p w14:paraId="08E81854" w14:textId="7140761D" w:rsidR="00274557" w:rsidRDefault="00274557">
      <w:pPr>
        <w:pStyle w:val="TableofFigures"/>
        <w:rPr>
          <w:rFonts w:asciiTheme="minorHAnsi" w:eastAsiaTheme="minorEastAsia" w:hAnsiTheme="minorHAnsi"/>
          <w:noProof/>
          <w:kern w:val="2"/>
          <w:sz w:val="22"/>
          <w14:ligatures w14:val="standardContextual"/>
        </w:rPr>
      </w:pPr>
      <w:hyperlink w:anchor="_Toc192875044" w:history="1">
        <w:r>
          <w:rPr>
            <w:rStyle w:val="Hyperlink"/>
            <w:noProof/>
          </w:rPr>
          <w:t>Figure 2-7: Development Phase Process Flow</w:t>
        </w:r>
        <w:r>
          <w:rPr>
            <w:noProof/>
            <w:webHidden/>
          </w:rPr>
          <w:tab/>
        </w:r>
        <w:r>
          <w:rPr>
            <w:noProof/>
            <w:webHidden/>
          </w:rPr>
          <w:fldChar w:fldCharType="begin"/>
        </w:r>
        <w:r>
          <w:rPr>
            <w:noProof/>
            <w:webHidden/>
          </w:rPr>
          <w:instrText xml:space="preserve"> PAGEREF _Toc192875044 \h </w:instrText>
        </w:r>
        <w:r>
          <w:rPr>
            <w:noProof/>
            <w:webHidden/>
          </w:rPr>
        </w:r>
        <w:r>
          <w:rPr>
            <w:noProof/>
            <w:webHidden/>
          </w:rPr>
          <w:fldChar w:fldCharType="separate"/>
        </w:r>
        <w:r>
          <w:rPr>
            <w:noProof/>
            <w:webHidden/>
          </w:rPr>
          <w:t>46</w:t>
        </w:r>
        <w:r>
          <w:rPr>
            <w:noProof/>
            <w:webHidden/>
          </w:rPr>
          <w:fldChar w:fldCharType="end"/>
        </w:r>
      </w:hyperlink>
    </w:p>
    <w:p w14:paraId="4AFA109A" w14:textId="043005D8" w:rsidR="00274557" w:rsidRDefault="00274557">
      <w:pPr>
        <w:pStyle w:val="TableofFigures"/>
        <w:rPr>
          <w:rFonts w:asciiTheme="minorHAnsi" w:eastAsiaTheme="minorEastAsia" w:hAnsiTheme="minorHAnsi"/>
          <w:noProof/>
          <w:kern w:val="2"/>
          <w:sz w:val="22"/>
          <w14:ligatures w14:val="standardContextual"/>
        </w:rPr>
      </w:pPr>
      <w:hyperlink w:anchor="_Toc192875045" w:history="1">
        <w:r>
          <w:rPr>
            <w:rStyle w:val="Hyperlink"/>
            <w:noProof/>
          </w:rPr>
          <w:t>Figure 2-8: SIT Process Flow</w:t>
        </w:r>
        <w:r>
          <w:rPr>
            <w:noProof/>
            <w:webHidden/>
          </w:rPr>
          <w:tab/>
        </w:r>
        <w:r>
          <w:rPr>
            <w:noProof/>
            <w:webHidden/>
          </w:rPr>
          <w:fldChar w:fldCharType="begin"/>
        </w:r>
        <w:r>
          <w:rPr>
            <w:noProof/>
            <w:webHidden/>
          </w:rPr>
          <w:instrText xml:space="preserve"> PAGEREF _Toc192875045 \h </w:instrText>
        </w:r>
        <w:r>
          <w:rPr>
            <w:noProof/>
            <w:webHidden/>
          </w:rPr>
        </w:r>
        <w:r>
          <w:rPr>
            <w:noProof/>
            <w:webHidden/>
          </w:rPr>
          <w:fldChar w:fldCharType="separate"/>
        </w:r>
        <w:r>
          <w:rPr>
            <w:noProof/>
            <w:webHidden/>
          </w:rPr>
          <w:t>53</w:t>
        </w:r>
        <w:r>
          <w:rPr>
            <w:noProof/>
            <w:webHidden/>
          </w:rPr>
          <w:fldChar w:fldCharType="end"/>
        </w:r>
      </w:hyperlink>
    </w:p>
    <w:p w14:paraId="765BC5B9" w14:textId="14B6A5BA" w:rsidR="00274557" w:rsidRDefault="00274557">
      <w:pPr>
        <w:pStyle w:val="TableofFigures"/>
        <w:rPr>
          <w:rFonts w:asciiTheme="minorHAnsi" w:eastAsiaTheme="minorEastAsia" w:hAnsiTheme="minorHAnsi"/>
          <w:noProof/>
          <w:kern w:val="2"/>
          <w:sz w:val="22"/>
          <w14:ligatures w14:val="standardContextual"/>
        </w:rPr>
      </w:pPr>
      <w:hyperlink w:anchor="_Toc192875046" w:history="1">
        <w:r>
          <w:rPr>
            <w:rStyle w:val="Hyperlink"/>
            <w:noProof/>
          </w:rPr>
          <w:t>Figure 2-9: Solution Exploration Process Flow</w:t>
        </w:r>
        <w:r>
          <w:rPr>
            <w:noProof/>
            <w:webHidden/>
          </w:rPr>
          <w:tab/>
        </w:r>
        <w:r>
          <w:rPr>
            <w:noProof/>
            <w:webHidden/>
          </w:rPr>
          <w:fldChar w:fldCharType="begin"/>
        </w:r>
        <w:r>
          <w:rPr>
            <w:noProof/>
            <w:webHidden/>
          </w:rPr>
          <w:instrText xml:space="preserve"> PAGEREF _Toc192875046 \h </w:instrText>
        </w:r>
        <w:r>
          <w:rPr>
            <w:noProof/>
            <w:webHidden/>
          </w:rPr>
        </w:r>
        <w:r>
          <w:rPr>
            <w:noProof/>
            <w:webHidden/>
          </w:rPr>
          <w:fldChar w:fldCharType="separate"/>
        </w:r>
        <w:r>
          <w:rPr>
            <w:noProof/>
            <w:webHidden/>
          </w:rPr>
          <w:t>60</w:t>
        </w:r>
        <w:r>
          <w:rPr>
            <w:noProof/>
            <w:webHidden/>
          </w:rPr>
          <w:fldChar w:fldCharType="end"/>
        </w:r>
      </w:hyperlink>
    </w:p>
    <w:p w14:paraId="39BD4BFC" w14:textId="6F1CFB79" w:rsidR="00274557" w:rsidRDefault="00274557">
      <w:pPr>
        <w:pStyle w:val="TableofFigures"/>
        <w:rPr>
          <w:rFonts w:asciiTheme="minorHAnsi" w:eastAsiaTheme="minorEastAsia" w:hAnsiTheme="minorHAnsi"/>
          <w:noProof/>
          <w:kern w:val="2"/>
          <w:sz w:val="22"/>
          <w14:ligatures w14:val="standardContextual"/>
        </w:rPr>
      </w:pPr>
      <w:hyperlink w:anchor="_Toc192875047" w:history="1">
        <w:r>
          <w:rPr>
            <w:rStyle w:val="Hyperlink"/>
            <w:noProof/>
          </w:rPr>
          <w:t>Figure 2-10: Operational Readiness Test Phase Process Flow</w:t>
        </w:r>
        <w:r>
          <w:rPr>
            <w:noProof/>
            <w:webHidden/>
          </w:rPr>
          <w:tab/>
        </w:r>
        <w:r>
          <w:rPr>
            <w:noProof/>
            <w:webHidden/>
          </w:rPr>
          <w:fldChar w:fldCharType="begin"/>
        </w:r>
        <w:r>
          <w:rPr>
            <w:noProof/>
            <w:webHidden/>
          </w:rPr>
          <w:instrText xml:space="preserve"> PAGEREF _Toc192875047 \h </w:instrText>
        </w:r>
        <w:r>
          <w:rPr>
            <w:noProof/>
            <w:webHidden/>
          </w:rPr>
        </w:r>
        <w:r>
          <w:rPr>
            <w:noProof/>
            <w:webHidden/>
          </w:rPr>
          <w:fldChar w:fldCharType="separate"/>
        </w:r>
        <w:r>
          <w:rPr>
            <w:noProof/>
            <w:webHidden/>
          </w:rPr>
          <w:t>67</w:t>
        </w:r>
        <w:r>
          <w:rPr>
            <w:noProof/>
            <w:webHidden/>
          </w:rPr>
          <w:fldChar w:fldCharType="end"/>
        </w:r>
      </w:hyperlink>
    </w:p>
    <w:p w14:paraId="2E18CD1A" w14:textId="23A737C0" w:rsidR="00274557" w:rsidRDefault="00274557">
      <w:pPr>
        <w:pStyle w:val="TableofFigures"/>
        <w:rPr>
          <w:rFonts w:asciiTheme="minorHAnsi" w:eastAsiaTheme="minorEastAsia" w:hAnsiTheme="minorHAnsi"/>
          <w:noProof/>
          <w:kern w:val="2"/>
          <w:sz w:val="22"/>
          <w14:ligatures w14:val="standardContextual"/>
        </w:rPr>
      </w:pPr>
      <w:hyperlink w:anchor="_Toc192875048" w:history="1">
        <w:r>
          <w:rPr>
            <w:rStyle w:val="Hyperlink"/>
            <w:noProof/>
          </w:rPr>
          <w:t>Figure 2-11: User Acceptance Test (UAT) Process Flow Diagram</w:t>
        </w:r>
        <w:r>
          <w:rPr>
            <w:noProof/>
            <w:webHidden/>
          </w:rPr>
          <w:tab/>
        </w:r>
        <w:r>
          <w:rPr>
            <w:noProof/>
            <w:webHidden/>
          </w:rPr>
          <w:fldChar w:fldCharType="begin"/>
        </w:r>
        <w:r>
          <w:rPr>
            <w:noProof/>
            <w:webHidden/>
          </w:rPr>
          <w:instrText xml:space="preserve"> PAGEREF _Toc192875048 \h </w:instrText>
        </w:r>
        <w:r>
          <w:rPr>
            <w:noProof/>
            <w:webHidden/>
          </w:rPr>
        </w:r>
        <w:r>
          <w:rPr>
            <w:noProof/>
            <w:webHidden/>
          </w:rPr>
          <w:fldChar w:fldCharType="separate"/>
        </w:r>
        <w:r>
          <w:rPr>
            <w:noProof/>
            <w:webHidden/>
          </w:rPr>
          <w:t>78</w:t>
        </w:r>
        <w:r>
          <w:rPr>
            <w:noProof/>
            <w:webHidden/>
          </w:rPr>
          <w:fldChar w:fldCharType="end"/>
        </w:r>
      </w:hyperlink>
    </w:p>
    <w:p w14:paraId="08812E06" w14:textId="35815F3B" w:rsidR="00274557" w:rsidRDefault="00274557">
      <w:pPr>
        <w:pStyle w:val="TableofFigures"/>
        <w:rPr>
          <w:rFonts w:asciiTheme="minorHAnsi" w:eastAsiaTheme="minorEastAsia" w:hAnsiTheme="minorHAnsi"/>
          <w:noProof/>
          <w:kern w:val="2"/>
          <w:sz w:val="22"/>
          <w14:ligatures w14:val="standardContextual"/>
        </w:rPr>
      </w:pPr>
      <w:hyperlink w:anchor="_Toc192875049" w:history="1">
        <w:r>
          <w:rPr>
            <w:rStyle w:val="Hyperlink"/>
            <w:noProof/>
          </w:rPr>
          <w:t>Figure 2-12: Rollout Phase Process Flow</w:t>
        </w:r>
        <w:r>
          <w:rPr>
            <w:noProof/>
            <w:webHidden/>
          </w:rPr>
          <w:tab/>
        </w:r>
        <w:r>
          <w:rPr>
            <w:noProof/>
            <w:webHidden/>
          </w:rPr>
          <w:fldChar w:fldCharType="begin"/>
        </w:r>
        <w:r>
          <w:rPr>
            <w:noProof/>
            <w:webHidden/>
          </w:rPr>
          <w:instrText xml:space="preserve"> PAGEREF _Toc192875049 \h </w:instrText>
        </w:r>
        <w:r>
          <w:rPr>
            <w:noProof/>
            <w:webHidden/>
          </w:rPr>
        </w:r>
        <w:r>
          <w:rPr>
            <w:noProof/>
            <w:webHidden/>
          </w:rPr>
          <w:fldChar w:fldCharType="separate"/>
        </w:r>
        <w:r>
          <w:rPr>
            <w:noProof/>
            <w:webHidden/>
          </w:rPr>
          <w:t>84</w:t>
        </w:r>
        <w:r>
          <w:rPr>
            <w:noProof/>
            <w:webHidden/>
          </w:rPr>
          <w:fldChar w:fldCharType="end"/>
        </w:r>
      </w:hyperlink>
    </w:p>
    <w:p w14:paraId="5ECF4BE8" w14:textId="43C61AD7" w:rsidR="00274557" w:rsidRDefault="00274557">
      <w:pPr>
        <w:pStyle w:val="TableofFigures"/>
        <w:rPr>
          <w:rFonts w:asciiTheme="minorHAnsi" w:eastAsiaTheme="minorEastAsia" w:hAnsiTheme="minorHAnsi"/>
          <w:noProof/>
          <w:kern w:val="2"/>
          <w:sz w:val="22"/>
          <w14:ligatures w14:val="standardContextual"/>
        </w:rPr>
      </w:pPr>
      <w:hyperlink w:anchor="_Toc192875050" w:history="1">
        <w:r>
          <w:rPr>
            <w:rStyle w:val="Hyperlink"/>
            <w:noProof/>
          </w:rPr>
          <w:t>Figure 2-13: SDLC High-Level Process Flow</w:t>
        </w:r>
        <w:r>
          <w:rPr>
            <w:noProof/>
            <w:webHidden/>
          </w:rPr>
          <w:tab/>
        </w:r>
        <w:r>
          <w:rPr>
            <w:noProof/>
            <w:webHidden/>
          </w:rPr>
          <w:fldChar w:fldCharType="begin"/>
        </w:r>
        <w:r>
          <w:rPr>
            <w:noProof/>
            <w:webHidden/>
          </w:rPr>
          <w:instrText xml:space="preserve"> PAGEREF _Toc192875050 \h </w:instrText>
        </w:r>
        <w:r>
          <w:rPr>
            <w:noProof/>
            <w:webHidden/>
          </w:rPr>
        </w:r>
        <w:r>
          <w:rPr>
            <w:noProof/>
            <w:webHidden/>
          </w:rPr>
          <w:fldChar w:fldCharType="separate"/>
        </w:r>
        <w:r>
          <w:rPr>
            <w:noProof/>
            <w:webHidden/>
          </w:rPr>
          <w:t>86</w:t>
        </w:r>
        <w:r>
          <w:rPr>
            <w:noProof/>
            <w:webHidden/>
          </w:rPr>
          <w:fldChar w:fldCharType="end"/>
        </w:r>
      </w:hyperlink>
    </w:p>
    <w:p w14:paraId="519FF82B" w14:textId="795C33EA" w:rsidR="00274557" w:rsidRDefault="00274557">
      <w:pPr>
        <w:pStyle w:val="TableofFigures"/>
        <w:rPr>
          <w:rFonts w:asciiTheme="minorHAnsi" w:eastAsiaTheme="minorEastAsia" w:hAnsiTheme="minorHAnsi"/>
          <w:noProof/>
          <w:kern w:val="2"/>
          <w:sz w:val="22"/>
          <w14:ligatures w14:val="standardContextual"/>
        </w:rPr>
      </w:pPr>
      <w:hyperlink w:anchor="_Toc192875051" w:history="1">
        <w:r>
          <w:rPr>
            <w:rStyle w:val="Hyperlink"/>
            <w:noProof/>
          </w:rPr>
          <w:t xml:space="preserve">Figure 2-14: </w:t>
        </w:r>
        <w:r>
          <w:rPr>
            <w:rStyle w:val="Hyperlink"/>
            <w:rFonts w:cs="Arial"/>
            <w:noProof/>
          </w:rPr>
          <w:t>Overview of ALM Tools Utilized for MECM</w:t>
        </w:r>
        <w:r>
          <w:rPr>
            <w:noProof/>
            <w:webHidden/>
          </w:rPr>
          <w:tab/>
        </w:r>
        <w:r>
          <w:rPr>
            <w:noProof/>
            <w:webHidden/>
          </w:rPr>
          <w:fldChar w:fldCharType="begin"/>
        </w:r>
        <w:r>
          <w:rPr>
            <w:noProof/>
            <w:webHidden/>
          </w:rPr>
          <w:instrText xml:space="preserve"> PAGEREF _Toc192875051 \h </w:instrText>
        </w:r>
        <w:r>
          <w:rPr>
            <w:noProof/>
            <w:webHidden/>
          </w:rPr>
        </w:r>
        <w:r>
          <w:rPr>
            <w:noProof/>
            <w:webHidden/>
          </w:rPr>
          <w:fldChar w:fldCharType="separate"/>
        </w:r>
        <w:r>
          <w:rPr>
            <w:noProof/>
            <w:webHidden/>
          </w:rPr>
          <w:t>96</w:t>
        </w:r>
        <w:r>
          <w:rPr>
            <w:noProof/>
            <w:webHidden/>
          </w:rPr>
          <w:fldChar w:fldCharType="end"/>
        </w:r>
      </w:hyperlink>
    </w:p>
    <w:p w14:paraId="01007140" w14:textId="238FBC21" w:rsidR="00274557" w:rsidRDefault="00274557">
      <w:pPr>
        <w:pStyle w:val="TableofFigures"/>
        <w:rPr>
          <w:rFonts w:asciiTheme="minorHAnsi" w:eastAsiaTheme="minorEastAsia" w:hAnsiTheme="minorHAnsi"/>
          <w:noProof/>
          <w:kern w:val="2"/>
          <w:sz w:val="22"/>
          <w14:ligatures w14:val="standardContextual"/>
        </w:rPr>
      </w:pPr>
      <w:hyperlink w:anchor="_Toc192875052" w:history="1">
        <w:r>
          <w:rPr>
            <w:rStyle w:val="Hyperlink"/>
            <w:noProof/>
          </w:rPr>
          <w:t>Figure 2-15: ALM Tools Supporting SDLC Methodology</w:t>
        </w:r>
        <w:r>
          <w:rPr>
            <w:noProof/>
            <w:webHidden/>
          </w:rPr>
          <w:tab/>
        </w:r>
        <w:r>
          <w:rPr>
            <w:noProof/>
            <w:webHidden/>
          </w:rPr>
          <w:fldChar w:fldCharType="begin"/>
        </w:r>
        <w:r>
          <w:rPr>
            <w:noProof/>
            <w:webHidden/>
          </w:rPr>
          <w:instrText xml:space="preserve"> PAGEREF _Toc192875052 \h </w:instrText>
        </w:r>
        <w:r>
          <w:rPr>
            <w:noProof/>
            <w:webHidden/>
          </w:rPr>
        </w:r>
        <w:r>
          <w:rPr>
            <w:noProof/>
            <w:webHidden/>
          </w:rPr>
          <w:fldChar w:fldCharType="separate"/>
        </w:r>
        <w:r>
          <w:rPr>
            <w:noProof/>
            <w:webHidden/>
          </w:rPr>
          <w:t>100</w:t>
        </w:r>
        <w:r>
          <w:rPr>
            <w:noProof/>
            <w:webHidden/>
          </w:rPr>
          <w:fldChar w:fldCharType="end"/>
        </w:r>
      </w:hyperlink>
    </w:p>
    <w:p w14:paraId="09055FBF" w14:textId="5F10ACD7" w:rsidR="00274557" w:rsidRDefault="00274557">
      <w:pPr>
        <w:pStyle w:val="TableofFigures"/>
        <w:rPr>
          <w:rFonts w:asciiTheme="minorHAnsi" w:eastAsiaTheme="minorEastAsia" w:hAnsiTheme="minorHAnsi"/>
          <w:noProof/>
          <w:kern w:val="2"/>
          <w:sz w:val="22"/>
          <w14:ligatures w14:val="standardContextual"/>
        </w:rPr>
      </w:pPr>
      <w:hyperlink w:anchor="_Toc192875053" w:history="1">
        <w:r>
          <w:rPr>
            <w:rStyle w:val="Hyperlink"/>
            <w:noProof/>
          </w:rPr>
          <w:t>Figure 2-16: Source-Code Repository Workflow</w:t>
        </w:r>
        <w:r>
          <w:rPr>
            <w:noProof/>
            <w:webHidden/>
          </w:rPr>
          <w:tab/>
        </w:r>
        <w:r>
          <w:rPr>
            <w:noProof/>
            <w:webHidden/>
          </w:rPr>
          <w:fldChar w:fldCharType="begin"/>
        </w:r>
        <w:r>
          <w:rPr>
            <w:noProof/>
            <w:webHidden/>
          </w:rPr>
          <w:instrText xml:space="preserve"> PAGEREF _Toc192875053 \h </w:instrText>
        </w:r>
        <w:r>
          <w:rPr>
            <w:noProof/>
            <w:webHidden/>
          </w:rPr>
        </w:r>
        <w:r>
          <w:rPr>
            <w:noProof/>
            <w:webHidden/>
          </w:rPr>
          <w:fldChar w:fldCharType="separate"/>
        </w:r>
        <w:r>
          <w:rPr>
            <w:noProof/>
            <w:webHidden/>
          </w:rPr>
          <w:t>104</w:t>
        </w:r>
        <w:r>
          <w:rPr>
            <w:noProof/>
            <w:webHidden/>
          </w:rPr>
          <w:fldChar w:fldCharType="end"/>
        </w:r>
      </w:hyperlink>
    </w:p>
    <w:p w14:paraId="2E36DE68" w14:textId="21D9F57F" w:rsidR="00274557" w:rsidRDefault="00274557">
      <w:pPr>
        <w:pStyle w:val="TableofFigures"/>
        <w:rPr>
          <w:rFonts w:asciiTheme="minorHAnsi" w:eastAsiaTheme="minorEastAsia" w:hAnsiTheme="minorHAnsi"/>
          <w:noProof/>
          <w:kern w:val="2"/>
          <w:sz w:val="22"/>
          <w14:ligatures w14:val="standardContextual"/>
        </w:rPr>
      </w:pPr>
      <w:hyperlink w:anchor="_Toc192875054" w:history="1">
        <w:r>
          <w:rPr>
            <w:rStyle w:val="Hyperlink"/>
            <w:noProof/>
          </w:rPr>
          <w:t>Figure 2-17: Static Code Analysis Workflow</w:t>
        </w:r>
        <w:r>
          <w:rPr>
            <w:noProof/>
            <w:webHidden/>
          </w:rPr>
          <w:tab/>
        </w:r>
        <w:r>
          <w:rPr>
            <w:noProof/>
            <w:webHidden/>
          </w:rPr>
          <w:fldChar w:fldCharType="begin"/>
        </w:r>
        <w:r>
          <w:rPr>
            <w:noProof/>
            <w:webHidden/>
          </w:rPr>
          <w:instrText xml:space="preserve"> PAGEREF _Toc192875054 \h </w:instrText>
        </w:r>
        <w:r>
          <w:rPr>
            <w:noProof/>
            <w:webHidden/>
          </w:rPr>
        </w:r>
        <w:r>
          <w:rPr>
            <w:noProof/>
            <w:webHidden/>
          </w:rPr>
          <w:fldChar w:fldCharType="separate"/>
        </w:r>
        <w:r>
          <w:rPr>
            <w:noProof/>
            <w:webHidden/>
          </w:rPr>
          <w:t>105</w:t>
        </w:r>
        <w:r>
          <w:rPr>
            <w:noProof/>
            <w:webHidden/>
          </w:rPr>
          <w:fldChar w:fldCharType="end"/>
        </w:r>
      </w:hyperlink>
    </w:p>
    <w:p w14:paraId="09FF0DB8" w14:textId="5212EA28" w:rsidR="00274557" w:rsidRDefault="00274557">
      <w:pPr>
        <w:pStyle w:val="TableofFigures"/>
        <w:rPr>
          <w:rFonts w:asciiTheme="minorHAnsi" w:eastAsiaTheme="minorEastAsia" w:hAnsiTheme="minorHAnsi"/>
          <w:noProof/>
          <w:kern w:val="2"/>
          <w:sz w:val="22"/>
          <w14:ligatures w14:val="standardContextual"/>
        </w:rPr>
      </w:pPr>
      <w:hyperlink w:anchor="_Toc192875055" w:history="1">
        <w:r>
          <w:rPr>
            <w:rStyle w:val="Hyperlink"/>
            <w:noProof/>
          </w:rPr>
          <w:t>Figure 2-18: Build Server Workflow</w:t>
        </w:r>
        <w:r>
          <w:rPr>
            <w:noProof/>
            <w:webHidden/>
          </w:rPr>
          <w:tab/>
        </w:r>
        <w:r>
          <w:rPr>
            <w:noProof/>
            <w:webHidden/>
          </w:rPr>
          <w:fldChar w:fldCharType="begin"/>
        </w:r>
        <w:r>
          <w:rPr>
            <w:noProof/>
            <w:webHidden/>
          </w:rPr>
          <w:instrText xml:space="preserve"> PAGEREF _Toc192875055 \h </w:instrText>
        </w:r>
        <w:r>
          <w:rPr>
            <w:noProof/>
            <w:webHidden/>
          </w:rPr>
        </w:r>
        <w:r>
          <w:rPr>
            <w:noProof/>
            <w:webHidden/>
          </w:rPr>
          <w:fldChar w:fldCharType="separate"/>
        </w:r>
        <w:r>
          <w:rPr>
            <w:noProof/>
            <w:webHidden/>
          </w:rPr>
          <w:t>107</w:t>
        </w:r>
        <w:r>
          <w:rPr>
            <w:noProof/>
            <w:webHidden/>
          </w:rPr>
          <w:fldChar w:fldCharType="end"/>
        </w:r>
      </w:hyperlink>
    </w:p>
    <w:p w14:paraId="18BE0415" w14:textId="45ACEA4E" w:rsidR="00274557" w:rsidRDefault="00274557">
      <w:pPr>
        <w:pStyle w:val="TableofFigures"/>
        <w:rPr>
          <w:rFonts w:asciiTheme="minorHAnsi" w:eastAsiaTheme="minorEastAsia" w:hAnsiTheme="minorHAnsi"/>
          <w:noProof/>
          <w:kern w:val="2"/>
          <w:sz w:val="22"/>
          <w14:ligatures w14:val="standardContextual"/>
        </w:rPr>
      </w:pPr>
      <w:hyperlink w:anchor="_Toc192875056" w:history="1">
        <w:r>
          <w:rPr>
            <w:rStyle w:val="Hyperlink"/>
            <w:noProof/>
          </w:rPr>
          <w:t>Figure 2-19: artifact repository Workflow</w:t>
        </w:r>
        <w:r>
          <w:rPr>
            <w:noProof/>
            <w:webHidden/>
          </w:rPr>
          <w:tab/>
        </w:r>
        <w:r>
          <w:rPr>
            <w:noProof/>
            <w:webHidden/>
          </w:rPr>
          <w:fldChar w:fldCharType="begin"/>
        </w:r>
        <w:r>
          <w:rPr>
            <w:noProof/>
            <w:webHidden/>
          </w:rPr>
          <w:instrText xml:space="preserve"> PAGEREF _Toc192875056 \h </w:instrText>
        </w:r>
        <w:r>
          <w:rPr>
            <w:noProof/>
            <w:webHidden/>
          </w:rPr>
        </w:r>
        <w:r>
          <w:rPr>
            <w:noProof/>
            <w:webHidden/>
          </w:rPr>
          <w:fldChar w:fldCharType="separate"/>
        </w:r>
        <w:r>
          <w:rPr>
            <w:noProof/>
            <w:webHidden/>
          </w:rPr>
          <w:t>108</w:t>
        </w:r>
        <w:r>
          <w:rPr>
            <w:noProof/>
            <w:webHidden/>
          </w:rPr>
          <w:fldChar w:fldCharType="end"/>
        </w:r>
      </w:hyperlink>
    </w:p>
    <w:p w14:paraId="4CAF4640" w14:textId="744B5D5F" w:rsidR="00274557" w:rsidRDefault="00274557">
      <w:pPr>
        <w:pStyle w:val="TableofFigures"/>
        <w:rPr>
          <w:rFonts w:asciiTheme="minorHAnsi" w:eastAsiaTheme="minorEastAsia" w:hAnsiTheme="minorHAnsi"/>
          <w:noProof/>
          <w:kern w:val="2"/>
          <w:sz w:val="22"/>
          <w14:ligatures w14:val="standardContextual"/>
        </w:rPr>
      </w:pPr>
      <w:hyperlink w:anchor="_Toc192875057" w:history="1">
        <w:r>
          <w:rPr>
            <w:rStyle w:val="Hyperlink"/>
            <w:noProof/>
          </w:rPr>
          <w:t>Figure 2-20: Selenium High-Level Process</w:t>
        </w:r>
        <w:r>
          <w:rPr>
            <w:noProof/>
            <w:webHidden/>
          </w:rPr>
          <w:tab/>
        </w:r>
        <w:r>
          <w:rPr>
            <w:noProof/>
            <w:webHidden/>
          </w:rPr>
          <w:fldChar w:fldCharType="begin"/>
        </w:r>
        <w:r>
          <w:rPr>
            <w:noProof/>
            <w:webHidden/>
          </w:rPr>
          <w:instrText xml:space="preserve"> PAGEREF _Toc192875057 \h </w:instrText>
        </w:r>
        <w:r>
          <w:rPr>
            <w:noProof/>
            <w:webHidden/>
          </w:rPr>
        </w:r>
        <w:r>
          <w:rPr>
            <w:noProof/>
            <w:webHidden/>
          </w:rPr>
          <w:fldChar w:fldCharType="separate"/>
        </w:r>
        <w:r>
          <w:rPr>
            <w:noProof/>
            <w:webHidden/>
          </w:rPr>
          <w:t>110</w:t>
        </w:r>
        <w:r>
          <w:rPr>
            <w:noProof/>
            <w:webHidden/>
          </w:rPr>
          <w:fldChar w:fldCharType="end"/>
        </w:r>
      </w:hyperlink>
    </w:p>
    <w:p w14:paraId="7B26D24F" w14:textId="6102583C" w:rsidR="00274557" w:rsidRDefault="00274557">
      <w:pPr>
        <w:pStyle w:val="TableofFigures"/>
        <w:rPr>
          <w:rFonts w:asciiTheme="minorHAnsi" w:eastAsiaTheme="minorEastAsia" w:hAnsiTheme="minorHAnsi"/>
          <w:noProof/>
          <w:kern w:val="2"/>
          <w:sz w:val="22"/>
          <w14:ligatures w14:val="standardContextual"/>
        </w:rPr>
      </w:pPr>
      <w:hyperlink w:anchor="_Toc192875058" w:history="1">
        <w:r>
          <w:rPr>
            <w:rStyle w:val="Hyperlink"/>
            <w:noProof/>
          </w:rPr>
          <w:t>Figure 2-21: Test Case Workflow</w:t>
        </w:r>
        <w:r>
          <w:rPr>
            <w:noProof/>
            <w:webHidden/>
          </w:rPr>
          <w:tab/>
        </w:r>
        <w:r>
          <w:rPr>
            <w:noProof/>
            <w:webHidden/>
          </w:rPr>
          <w:fldChar w:fldCharType="begin"/>
        </w:r>
        <w:r>
          <w:rPr>
            <w:noProof/>
            <w:webHidden/>
          </w:rPr>
          <w:instrText xml:space="preserve"> PAGEREF _Toc192875058 \h </w:instrText>
        </w:r>
        <w:r>
          <w:rPr>
            <w:noProof/>
            <w:webHidden/>
          </w:rPr>
        </w:r>
        <w:r>
          <w:rPr>
            <w:noProof/>
            <w:webHidden/>
          </w:rPr>
          <w:fldChar w:fldCharType="separate"/>
        </w:r>
        <w:r>
          <w:rPr>
            <w:noProof/>
            <w:webHidden/>
          </w:rPr>
          <w:t>113</w:t>
        </w:r>
        <w:r>
          <w:rPr>
            <w:noProof/>
            <w:webHidden/>
          </w:rPr>
          <w:fldChar w:fldCharType="end"/>
        </w:r>
      </w:hyperlink>
    </w:p>
    <w:p w14:paraId="1B5F2D1E" w14:textId="14F440E6" w:rsidR="00274557" w:rsidRDefault="00274557">
      <w:pPr>
        <w:pStyle w:val="TableofFigures"/>
        <w:rPr>
          <w:rFonts w:asciiTheme="minorHAnsi" w:eastAsiaTheme="minorEastAsia" w:hAnsiTheme="minorHAnsi"/>
          <w:noProof/>
          <w:kern w:val="2"/>
          <w:sz w:val="22"/>
          <w14:ligatures w14:val="standardContextual"/>
        </w:rPr>
      </w:pPr>
      <w:hyperlink w:anchor="_Toc192875059" w:history="1">
        <w:r>
          <w:rPr>
            <w:rStyle w:val="Hyperlink"/>
            <w:noProof/>
          </w:rPr>
          <w:t>Figure 2-22: Test Run Workflow</w:t>
        </w:r>
        <w:r>
          <w:rPr>
            <w:noProof/>
            <w:webHidden/>
          </w:rPr>
          <w:tab/>
        </w:r>
        <w:r>
          <w:rPr>
            <w:noProof/>
            <w:webHidden/>
          </w:rPr>
          <w:fldChar w:fldCharType="begin"/>
        </w:r>
        <w:r>
          <w:rPr>
            <w:noProof/>
            <w:webHidden/>
          </w:rPr>
          <w:instrText xml:space="preserve"> PAGEREF _Toc192875059 \h </w:instrText>
        </w:r>
        <w:r>
          <w:rPr>
            <w:noProof/>
            <w:webHidden/>
          </w:rPr>
        </w:r>
        <w:r>
          <w:rPr>
            <w:noProof/>
            <w:webHidden/>
          </w:rPr>
          <w:fldChar w:fldCharType="separate"/>
        </w:r>
        <w:r>
          <w:rPr>
            <w:noProof/>
            <w:webHidden/>
          </w:rPr>
          <w:t>114</w:t>
        </w:r>
        <w:r>
          <w:rPr>
            <w:noProof/>
            <w:webHidden/>
          </w:rPr>
          <w:fldChar w:fldCharType="end"/>
        </w:r>
      </w:hyperlink>
    </w:p>
    <w:p w14:paraId="2D529AA9" w14:textId="04E87F5A" w:rsidR="00274557" w:rsidRDefault="00274557">
      <w:pPr>
        <w:pStyle w:val="TableofFigures"/>
        <w:rPr>
          <w:rFonts w:asciiTheme="minorHAnsi" w:eastAsiaTheme="minorEastAsia" w:hAnsiTheme="minorHAnsi"/>
          <w:noProof/>
          <w:kern w:val="2"/>
          <w:sz w:val="22"/>
          <w14:ligatures w14:val="standardContextual"/>
        </w:rPr>
      </w:pPr>
      <w:hyperlink w:anchor="_Toc192875060" w:history="1">
        <w:r>
          <w:rPr>
            <w:rStyle w:val="Hyperlink"/>
            <w:noProof/>
          </w:rPr>
          <w:t>Figure 2-23: Checkmarx SAST Workflow</w:t>
        </w:r>
        <w:r>
          <w:rPr>
            <w:noProof/>
            <w:webHidden/>
          </w:rPr>
          <w:tab/>
        </w:r>
        <w:r>
          <w:rPr>
            <w:noProof/>
            <w:webHidden/>
          </w:rPr>
          <w:fldChar w:fldCharType="begin"/>
        </w:r>
        <w:r>
          <w:rPr>
            <w:noProof/>
            <w:webHidden/>
          </w:rPr>
          <w:instrText xml:space="preserve"> PAGEREF _Toc192875060 \h </w:instrText>
        </w:r>
        <w:r>
          <w:rPr>
            <w:noProof/>
            <w:webHidden/>
          </w:rPr>
        </w:r>
        <w:r>
          <w:rPr>
            <w:noProof/>
            <w:webHidden/>
          </w:rPr>
          <w:fldChar w:fldCharType="separate"/>
        </w:r>
        <w:r>
          <w:rPr>
            <w:noProof/>
            <w:webHidden/>
          </w:rPr>
          <w:t>116</w:t>
        </w:r>
        <w:r>
          <w:rPr>
            <w:noProof/>
            <w:webHidden/>
          </w:rPr>
          <w:fldChar w:fldCharType="end"/>
        </w:r>
      </w:hyperlink>
    </w:p>
    <w:p w14:paraId="5504192A" w14:textId="3A8326BF" w:rsidR="00274557" w:rsidRDefault="00274557">
      <w:pPr>
        <w:pStyle w:val="TableofFigures"/>
        <w:rPr>
          <w:rFonts w:asciiTheme="minorHAnsi" w:eastAsiaTheme="minorEastAsia" w:hAnsiTheme="minorHAnsi"/>
          <w:noProof/>
          <w:kern w:val="2"/>
          <w:sz w:val="22"/>
          <w14:ligatures w14:val="standardContextual"/>
        </w:rPr>
      </w:pPr>
      <w:hyperlink w:anchor="_Toc192875061" w:history="1">
        <w:r>
          <w:rPr>
            <w:rStyle w:val="Hyperlink"/>
            <w:noProof/>
          </w:rPr>
          <w:t>Figure 2-24: Burp Suite Workflow</w:t>
        </w:r>
        <w:r>
          <w:rPr>
            <w:noProof/>
            <w:webHidden/>
          </w:rPr>
          <w:tab/>
        </w:r>
        <w:r>
          <w:rPr>
            <w:noProof/>
            <w:webHidden/>
          </w:rPr>
          <w:fldChar w:fldCharType="begin"/>
        </w:r>
        <w:r>
          <w:rPr>
            <w:noProof/>
            <w:webHidden/>
          </w:rPr>
          <w:instrText xml:space="preserve"> PAGEREF _Toc192875061 \h </w:instrText>
        </w:r>
        <w:r>
          <w:rPr>
            <w:noProof/>
            <w:webHidden/>
          </w:rPr>
        </w:r>
        <w:r>
          <w:rPr>
            <w:noProof/>
            <w:webHidden/>
          </w:rPr>
          <w:fldChar w:fldCharType="separate"/>
        </w:r>
        <w:r>
          <w:rPr>
            <w:noProof/>
            <w:webHidden/>
          </w:rPr>
          <w:t>117</w:t>
        </w:r>
        <w:r>
          <w:rPr>
            <w:noProof/>
            <w:webHidden/>
          </w:rPr>
          <w:fldChar w:fldCharType="end"/>
        </w:r>
      </w:hyperlink>
    </w:p>
    <w:p w14:paraId="19463CF2" w14:textId="6A7307FE" w:rsidR="00274557" w:rsidRDefault="00274557">
      <w:pPr>
        <w:pStyle w:val="TableofFigures"/>
        <w:rPr>
          <w:rFonts w:asciiTheme="minorHAnsi" w:eastAsiaTheme="minorEastAsia" w:hAnsiTheme="minorHAnsi"/>
          <w:noProof/>
          <w:kern w:val="2"/>
          <w:sz w:val="22"/>
          <w14:ligatures w14:val="standardContextual"/>
        </w:rPr>
      </w:pPr>
      <w:hyperlink w:anchor="_Toc192875062" w:history="1">
        <w:r>
          <w:rPr>
            <w:rStyle w:val="Hyperlink"/>
            <w:noProof/>
          </w:rPr>
          <w:t>Figure 2-25: Splunk Workflow</w:t>
        </w:r>
        <w:r>
          <w:rPr>
            <w:noProof/>
            <w:webHidden/>
          </w:rPr>
          <w:tab/>
        </w:r>
        <w:r>
          <w:rPr>
            <w:noProof/>
            <w:webHidden/>
          </w:rPr>
          <w:fldChar w:fldCharType="begin"/>
        </w:r>
        <w:r>
          <w:rPr>
            <w:noProof/>
            <w:webHidden/>
          </w:rPr>
          <w:instrText xml:space="preserve"> PAGEREF _Toc192875062 \h </w:instrText>
        </w:r>
        <w:r>
          <w:rPr>
            <w:noProof/>
            <w:webHidden/>
          </w:rPr>
        </w:r>
        <w:r>
          <w:rPr>
            <w:noProof/>
            <w:webHidden/>
          </w:rPr>
          <w:fldChar w:fldCharType="separate"/>
        </w:r>
        <w:r>
          <w:rPr>
            <w:noProof/>
            <w:webHidden/>
          </w:rPr>
          <w:t>120</w:t>
        </w:r>
        <w:r>
          <w:rPr>
            <w:noProof/>
            <w:webHidden/>
          </w:rPr>
          <w:fldChar w:fldCharType="end"/>
        </w:r>
      </w:hyperlink>
    </w:p>
    <w:p w14:paraId="369CDDD7" w14:textId="53D89B94" w:rsidR="00274557" w:rsidRDefault="00274557">
      <w:pPr>
        <w:pStyle w:val="TableofFigures"/>
        <w:rPr>
          <w:rFonts w:asciiTheme="minorHAnsi" w:eastAsiaTheme="minorEastAsia" w:hAnsiTheme="minorHAnsi"/>
          <w:noProof/>
          <w:kern w:val="2"/>
          <w:sz w:val="22"/>
          <w14:ligatures w14:val="standardContextual"/>
        </w:rPr>
      </w:pPr>
      <w:hyperlink w:anchor="_Toc192875063" w:history="1">
        <w:r>
          <w:rPr>
            <w:rStyle w:val="Hyperlink"/>
            <w:noProof/>
          </w:rPr>
          <w:t>Figure 2-26: BrowserStack Workflow</w:t>
        </w:r>
        <w:r>
          <w:rPr>
            <w:noProof/>
            <w:webHidden/>
          </w:rPr>
          <w:tab/>
        </w:r>
        <w:r>
          <w:rPr>
            <w:noProof/>
            <w:webHidden/>
          </w:rPr>
          <w:fldChar w:fldCharType="begin"/>
        </w:r>
        <w:r>
          <w:rPr>
            <w:noProof/>
            <w:webHidden/>
          </w:rPr>
          <w:instrText xml:space="preserve"> PAGEREF _Toc192875063 \h </w:instrText>
        </w:r>
        <w:r>
          <w:rPr>
            <w:noProof/>
            <w:webHidden/>
          </w:rPr>
        </w:r>
        <w:r>
          <w:rPr>
            <w:noProof/>
            <w:webHidden/>
          </w:rPr>
          <w:fldChar w:fldCharType="separate"/>
        </w:r>
        <w:r>
          <w:rPr>
            <w:noProof/>
            <w:webHidden/>
          </w:rPr>
          <w:t>121</w:t>
        </w:r>
        <w:r>
          <w:rPr>
            <w:noProof/>
            <w:webHidden/>
          </w:rPr>
          <w:fldChar w:fldCharType="end"/>
        </w:r>
      </w:hyperlink>
    </w:p>
    <w:p w14:paraId="3AF75759" w14:textId="63090025" w:rsidR="00274557" w:rsidRDefault="00274557">
      <w:pPr>
        <w:pStyle w:val="TableofFigures"/>
        <w:rPr>
          <w:rFonts w:asciiTheme="minorHAnsi" w:eastAsiaTheme="minorEastAsia" w:hAnsiTheme="minorHAnsi"/>
          <w:noProof/>
          <w:kern w:val="2"/>
          <w:sz w:val="22"/>
          <w14:ligatures w14:val="standardContextual"/>
        </w:rPr>
      </w:pPr>
      <w:hyperlink w:anchor="_Toc192875064" w:history="1">
        <w:r>
          <w:rPr>
            <w:rStyle w:val="Hyperlink"/>
            <w:noProof/>
          </w:rPr>
          <w:t>Figure 2-27: Requirements Traceability Conceptual Design</w:t>
        </w:r>
        <w:r>
          <w:rPr>
            <w:noProof/>
            <w:webHidden/>
          </w:rPr>
          <w:tab/>
        </w:r>
        <w:r>
          <w:rPr>
            <w:noProof/>
            <w:webHidden/>
          </w:rPr>
          <w:fldChar w:fldCharType="begin"/>
        </w:r>
        <w:r>
          <w:rPr>
            <w:noProof/>
            <w:webHidden/>
          </w:rPr>
          <w:instrText xml:space="preserve"> PAGEREF _Toc192875064 \h </w:instrText>
        </w:r>
        <w:r>
          <w:rPr>
            <w:noProof/>
            <w:webHidden/>
          </w:rPr>
        </w:r>
        <w:r>
          <w:rPr>
            <w:noProof/>
            <w:webHidden/>
          </w:rPr>
          <w:fldChar w:fldCharType="separate"/>
        </w:r>
        <w:r>
          <w:rPr>
            <w:noProof/>
            <w:webHidden/>
          </w:rPr>
          <w:t>123</w:t>
        </w:r>
        <w:r>
          <w:rPr>
            <w:noProof/>
            <w:webHidden/>
          </w:rPr>
          <w:fldChar w:fldCharType="end"/>
        </w:r>
      </w:hyperlink>
    </w:p>
    <w:p w14:paraId="3DDECDCB" w14:textId="133DA444" w:rsidR="00274557" w:rsidRDefault="00274557">
      <w:pPr>
        <w:pStyle w:val="TableofFigures"/>
        <w:rPr>
          <w:rFonts w:asciiTheme="minorHAnsi" w:eastAsiaTheme="minorEastAsia" w:hAnsiTheme="minorHAnsi"/>
          <w:noProof/>
          <w:kern w:val="2"/>
          <w:sz w:val="22"/>
          <w14:ligatures w14:val="standardContextual"/>
        </w:rPr>
      </w:pPr>
      <w:hyperlink w:anchor="_Toc192875065" w:history="1">
        <w:r>
          <w:rPr>
            <w:rStyle w:val="Hyperlink"/>
            <w:noProof/>
          </w:rPr>
          <w:t>Figure 4-1: Communications Process Flow</w:t>
        </w:r>
        <w:r>
          <w:rPr>
            <w:noProof/>
            <w:webHidden/>
          </w:rPr>
          <w:tab/>
        </w:r>
        <w:r>
          <w:rPr>
            <w:noProof/>
            <w:webHidden/>
          </w:rPr>
          <w:fldChar w:fldCharType="begin"/>
        </w:r>
        <w:r>
          <w:rPr>
            <w:noProof/>
            <w:webHidden/>
          </w:rPr>
          <w:instrText xml:space="preserve"> PAGEREF _Toc192875065 \h </w:instrText>
        </w:r>
        <w:r>
          <w:rPr>
            <w:noProof/>
            <w:webHidden/>
          </w:rPr>
        </w:r>
        <w:r>
          <w:rPr>
            <w:noProof/>
            <w:webHidden/>
          </w:rPr>
          <w:fldChar w:fldCharType="separate"/>
        </w:r>
        <w:r>
          <w:rPr>
            <w:noProof/>
            <w:webHidden/>
          </w:rPr>
          <w:t>135</w:t>
        </w:r>
        <w:r>
          <w:rPr>
            <w:noProof/>
            <w:webHidden/>
          </w:rPr>
          <w:fldChar w:fldCharType="end"/>
        </w:r>
      </w:hyperlink>
    </w:p>
    <w:p w14:paraId="2789C422" w14:textId="460B2A9B" w:rsidR="00274557" w:rsidRDefault="00274557">
      <w:pPr>
        <w:pStyle w:val="TableofFigures"/>
        <w:rPr>
          <w:rFonts w:asciiTheme="minorHAnsi" w:eastAsiaTheme="minorEastAsia" w:hAnsiTheme="minorHAnsi"/>
          <w:noProof/>
          <w:kern w:val="2"/>
          <w:sz w:val="22"/>
          <w14:ligatures w14:val="standardContextual"/>
        </w:rPr>
      </w:pPr>
      <w:hyperlink w:anchor="_Toc192875066" w:history="1">
        <w:r>
          <w:rPr>
            <w:rStyle w:val="Hyperlink"/>
            <w:noProof/>
          </w:rPr>
          <w:t>Figure 5-1: PMO Review Following Completion of Collaboration Review Process</w:t>
        </w:r>
        <w:r>
          <w:rPr>
            <w:noProof/>
            <w:webHidden/>
          </w:rPr>
          <w:tab/>
        </w:r>
        <w:r>
          <w:rPr>
            <w:noProof/>
            <w:webHidden/>
          </w:rPr>
          <w:fldChar w:fldCharType="begin"/>
        </w:r>
        <w:r>
          <w:rPr>
            <w:noProof/>
            <w:webHidden/>
          </w:rPr>
          <w:instrText xml:space="preserve"> PAGEREF _Toc192875066 \h </w:instrText>
        </w:r>
        <w:r>
          <w:rPr>
            <w:noProof/>
            <w:webHidden/>
          </w:rPr>
        </w:r>
        <w:r>
          <w:rPr>
            <w:noProof/>
            <w:webHidden/>
          </w:rPr>
          <w:fldChar w:fldCharType="separate"/>
        </w:r>
        <w:r>
          <w:rPr>
            <w:noProof/>
            <w:webHidden/>
          </w:rPr>
          <w:t>145</w:t>
        </w:r>
        <w:r>
          <w:rPr>
            <w:noProof/>
            <w:webHidden/>
          </w:rPr>
          <w:fldChar w:fldCharType="end"/>
        </w:r>
      </w:hyperlink>
    </w:p>
    <w:p w14:paraId="6B360897" w14:textId="0E9AD3B5" w:rsidR="00274557" w:rsidRDefault="00274557">
      <w:pPr>
        <w:pStyle w:val="TableofFigures"/>
        <w:rPr>
          <w:rFonts w:asciiTheme="minorHAnsi" w:eastAsiaTheme="minorEastAsia" w:hAnsiTheme="minorHAnsi"/>
          <w:noProof/>
          <w:kern w:val="2"/>
          <w:sz w:val="22"/>
          <w14:ligatures w14:val="standardContextual"/>
        </w:rPr>
      </w:pPr>
      <w:hyperlink w:anchor="_Toc192875067" w:history="1">
        <w:r>
          <w:rPr>
            <w:rStyle w:val="Hyperlink"/>
            <w:noProof/>
            <w:lang w:eastAsia="ja-JP"/>
          </w:rPr>
          <w:t>Figure 6-1: Initial Budget Allocation Process Flow Diagram</w:t>
        </w:r>
        <w:r>
          <w:rPr>
            <w:noProof/>
            <w:webHidden/>
          </w:rPr>
          <w:tab/>
        </w:r>
        <w:r>
          <w:rPr>
            <w:noProof/>
            <w:webHidden/>
          </w:rPr>
          <w:fldChar w:fldCharType="begin"/>
        </w:r>
        <w:r>
          <w:rPr>
            <w:noProof/>
            <w:webHidden/>
          </w:rPr>
          <w:instrText xml:space="preserve"> PAGEREF _Toc192875067 \h </w:instrText>
        </w:r>
        <w:r>
          <w:rPr>
            <w:noProof/>
            <w:webHidden/>
          </w:rPr>
        </w:r>
        <w:r>
          <w:rPr>
            <w:noProof/>
            <w:webHidden/>
          </w:rPr>
          <w:fldChar w:fldCharType="separate"/>
        </w:r>
        <w:r>
          <w:rPr>
            <w:noProof/>
            <w:webHidden/>
          </w:rPr>
          <w:t>160</w:t>
        </w:r>
        <w:r>
          <w:rPr>
            <w:noProof/>
            <w:webHidden/>
          </w:rPr>
          <w:fldChar w:fldCharType="end"/>
        </w:r>
      </w:hyperlink>
    </w:p>
    <w:p w14:paraId="12F48A8F" w14:textId="42E77026" w:rsidR="00274557" w:rsidRDefault="00274557">
      <w:pPr>
        <w:pStyle w:val="TableofFigures"/>
        <w:rPr>
          <w:rFonts w:asciiTheme="minorHAnsi" w:eastAsiaTheme="minorEastAsia" w:hAnsiTheme="minorHAnsi"/>
          <w:noProof/>
          <w:kern w:val="2"/>
          <w:sz w:val="22"/>
          <w14:ligatures w14:val="standardContextual"/>
        </w:rPr>
      </w:pPr>
      <w:hyperlink w:anchor="_Toc192875068" w:history="1">
        <w:r>
          <w:rPr>
            <w:rStyle w:val="Hyperlink"/>
            <w:noProof/>
            <w:lang w:eastAsia="ja-JP"/>
          </w:rPr>
          <w:t>Figure 6-2: Invoicing Process Flow Diagram</w:t>
        </w:r>
        <w:r>
          <w:rPr>
            <w:noProof/>
            <w:webHidden/>
          </w:rPr>
          <w:tab/>
        </w:r>
        <w:r>
          <w:rPr>
            <w:noProof/>
            <w:webHidden/>
          </w:rPr>
          <w:fldChar w:fldCharType="begin"/>
        </w:r>
        <w:r>
          <w:rPr>
            <w:noProof/>
            <w:webHidden/>
          </w:rPr>
          <w:instrText xml:space="preserve"> PAGEREF _Toc192875068 \h </w:instrText>
        </w:r>
        <w:r>
          <w:rPr>
            <w:noProof/>
            <w:webHidden/>
          </w:rPr>
        </w:r>
        <w:r>
          <w:rPr>
            <w:noProof/>
            <w:webHidden/>
          </w:rPr>
          <w:fldChar w:fldCharType="separate"/>
        </w:r>
        <w:r>
          <w:rPr>
            <w:noProof/>
            <w:webHidden/>
          </w:rPr>
          <w:t>162</w:t>
        </w:r>
        <w:r>
          <w:rPr>
            <w:noProof/>
            <w:webHidden/>
          </w:rPr>
          <w:fldChar w:fldCharType="end"/>
        </w:r>
      </w:hyperlink>
    </w:p>
    <w:p w14:paraId="4A74539C" w14:textId="68A8A923" w:rsidR="00274557" w:rsidRDefault="00274557">
      <w:pPr>
        <w:pStyle w:val="TableofFigures"/>
        <w:rPr>
          <w:rFonts w:asciiTheme="minorHAnsi" w:eastAsiaTheme="minorEastAsia" w:hAnsiTheme="minorHAnsi"/>
          <w:noProof/>
          <w:kern w:val="2"/>
          <w:sz w:val="22"/>
          <w14:ligatures w14:val="standardContextual"/>
        </w:rPr>
      </w:pPr>
      <w:hyperlink w:anchor="_Toc192875069" w:history="1">
        <w:r>
          <w:rPr>
            <w:rStyle w:val="Hyperlink"/>
            <w:noProof/>
            <w:lang w:eastAsia="ja-JP"/>
          </w:rPr>
          <w:t>Figure 6-3: State Of New York Claim for Payment Form</w:t>
        </w:r>
        <w:r>
          <w:rPr>
            <w:noProof/>
            <w:webHidden/>
          </w:rPr>
          <w:tab/>
        </w:r>
        <w:r>
          <w:rPr>
            <w:noProof/>
            <w:webHidden/>
          </w:rPr>
          <w:fldChar w:fldCharType="begin"/>
        </w:r>
        <w:r>
          <w:rPr>
            <w:noProof/>
            <w:webHidden/>
          </w:rPr>
          <w:instrText xml:space="preserve"> PAGEREF _Toc192875069 \h </w:instrText>
        </w:r>
        <w:r>
          <w:rPr>
            <w:noProof/>
            <w:webHidden/>
          </w:rPr>
        </w:r>
        <w:r>
          <w:rPr>
            <w:noProof/>
            <w:webHidden/>
          </w:rPr>
          <w:fldChar w:fldCharType="separate"/>
        </w:r>
        <w:r>
          <w:rPr>
            <w:noProof/>
            <w:webHidden/>
          </w:rPr>
          <w:t>165</w:t>
        </w:r>
        <w:r>
          <w:rPr>
            <w:noProof/>
            <w:webHidden/>
          </w:rPr>
          <w:fldChar w:fldCharType="end"/>
        </w:r>
      </w:hyperlink>
    </w:p>
    <w:p w14:paraId="6BB86255" w14:textId="67AEBBED" w:rsidR="00274557" w:rsidRDefault="00274557">
      <w:pPr>
        <w:pStyle w:val="TableofFigures"/>
        <w:rPr>
          <w:rFonts w:asciiTheme="minorHAnsi" w:eastAsiaTheme="minorEastAsia" w:hAnsiTheme="minorHAnsi"/>
          <w:noProof/>
          <w:kern w:val="2"/>
          <w:sz w:val="22"/>
          <w14:ligatures w14:val="standardContextual"/>
        </w:rPr>
      </w:pPr>
      <w:hyperlink w:anchor="_Toc192875070" w:history="1">
        <w:r>
          <w:rPr>
            <w:rStyle w:val="Hyperlink"/>
            <w:noProof/>
            <w:lang w:eastAsia="ja-JP"/>
          </w:rPr>
          <w:t>Figure 6-4: OHIP Invoice Submission FAQ</w:t>
        </w:r>
        <w:r>
          <w:rPr>
            <w:noProof/>
            <w:webHidden/>
          </w:rPr>
          <w:tab/>
        </w:r>
        <w:r>
          <w:rPr>
            <w:noProof/>
            <w:webHidden/>
          </w:rPr>
          <w:fldChar w:fldCharType="begin"/>
        </w:r>
        <w:r>
          <w:rPr>
            <w:noProof/>
            <w:webHidden/>
          </w:rPr>
          <w:instrText xml:space="preserve"> PAGEREF _Toc192875070 \h </w:instrText>
        </w:r>
        <w:r>
          <w:rPr>
            <w:noProof/>
            <w:webHidden/>
          </w:rPr>
        </w:r>
        <w:r>
          <w:rPr>
            <w:noProof/>
            <w:webHidden/>
          </w:rPr>
          <w:fldChar w:fldCharType="separate"/>
        </w:r>
        <w:r>
          <w:rPr>
            <w:noProof/>
            <w:webHidden/>
          </w:rPr>
          <w:t>166</w:t>
        </w:r>
        <w:r>
          <w:rPr>
            <w:noProof/>
            <w:webHidden/>
          </w:rPr>
          <w:fldChar w:fldCharType="end"/>
        </w:r>
      </w:hyperlink>
    </w:p>
    <w:p w14:paraId="1BA14ED7" w14:textId="33D68702" w:rsidR="00274557" w:rsidRDefault="00274557">
      <w:pPr>
        <w:pStyle w:val="TableofFigures"/>
        <w:rPr>
          <w:rFonts w:asciiTheme="minorHAnsi" w:eastAsiaTheme="minorEastAsia" w:hAnsiTheme="minorHAnsi"/>
          <w:noProof/>
          <w:kern w:val="2"/>
          <w:sz w:val="22"/>
          <w14:ligatures w14:val="standardContextual"/>
        </w:rPr>
      </w:pPr>
      <w:hyperlink w:anchor="_Toc192875071" w:history="1">
        <w:r>
          <w:rPr>
            <w:rStyle w:val="Hyperlink"/>
            <w:noProof/>
          </w:rPr>
          <w:t>Figure 7-1: Transmittal Process - Inbound</w:t>
        </w:r>
        <w:r>
          <w:rPr>
            <w:noProof/>
            <w:webHidden/>
          </w:rPr>
          <w:tab/>
        </w:r>
        <w:r>
          <w:rPr>
            <w:noProof/>
            <w:webHidden/>
          </w:rPr>
          <w:fldChar w:fldCharType="begin"/>
        </w:r>
        <w:r>
          <w:rPr>
            <w:noProof/>
            <w:webHidden/>
          </w:rPr>
          <w:instrText xml:space="preserve"> PAGEREF _Toc192875071 \h </w:instrText>
        </w:r>
        <w:r>
          <w:rPr>
            <w:noProof/>
            <w:webHidden/>
          </w:rPr>
        </w:r>
        <w:r>
          <w:rPr>
            <w:noProof/>
            <w:webHidden/>
          </w:rPr>
          <w:fldChar w:fldCharType="separate"/>
        </w:r>
        <w:r>
          <w:rPr>
            <w:noProof/>
            <w:webHidden/>
          </w:rPr>
          <w:t>175</w:t>
        </w:r>
        <w:r>
          <w:rPr>
            <w:noProof/>
            <w:webHidden/>
          </w:rPr>
          <w:fldChar w:fldCharType="end"/>
        </w:r>
      </w:hyperlink>
    </w:p>
    <w:p w14:paraId="165A609B" w14:textId="47BCC01B" w:rsidR="00274557" w:rsidRDefault="00274557">
      <w:pPr>
        <w:pStyle w:val="TableofFigures"/>
        <w:rPr>
          <w:rFonts w:asciiTheme="minorHAnsi" w:eastAsiaTheme="minorEastAsia" w:hAnsiTheme="minorHAnsi"/>
          <w:noProof/>
          <w:kern w:val="2"/>
          <w:sz w:val="22"/>
          <w14:ligatures w14:val="standardContextual"/>
        </w:rPr>
      </w:pPr>
      <w:hyperlink w:anchor="_Toc192875072" w:history="1">
        <w:r>
          <w:rPr>
            <w:rStyle w:val="Hyperlink"/>
            <w:noProof/>
          </w:rPr>
          <w:t>Figure 7-2: Transmittal Process - Outbound</w:t>
        </w:r>
        <w:r>
          <w:rPr>
            <w:noProof/>
            <w:webHidden/>
          </w:rPr>
          <w:tab/>
        </w:r>
        <w:r>
          <w:rPr>
            <w:noProof/>
            <w:webHidden/>
          </w:rPr>
          <w:fldChar w:fldCharType="begin"/>
        </w:r>
        <w:r>
          <w:rPr>
            <w:noProof/>
            <w:webHidden/>
          </w:rPr>
          <w:instrText xml:space="preserve"> PAGEREF _Toc192875072 \h </w:instrText>
        </w:r>
        <w:r>
          <w:rPr>
            <w:noProof/>
            <w:webHidden/>
          </w:rPr>
        </w:r>
        <w:r>
          <w:rPr>
            <w:noProof/>
            <w:webHidden/>
          </w:rPr>
          <w:fldChar w:fldCharType="separate"/>
        </w:r>
        <w:r>
          <w:rPr>
            <w:noProof/>
            <w:webHidden/>
          </w:rPr>
          <w:t>177</w:t>
        </w:r>
        <w:r>
          <w:rPr>
            <w:noProof/>
            <w:webHidden/>
          </w:rPr>
          <w:fldChar w:fldCharType="end"/>
        </w:r>
      </w:hyperlink>
    </w:p>
    <w:p w14:paraId="2438CD43" w14:textId="2188C61F" w:rsidR="00274557" w:rsidRDefault="00274557">
      <w:pPr>
        <w:pStyle w:val="TableofFigures"/>
        <w:rPr>
          <w:rFonts w:asciiTheme="minorHAnsi" w:eastAsiaTheme="minorEastAsia" w:hAnsiTheme="minorHAnsi"/>
          <w:noProof/>
          <w:kern w:val="2"/>
          <w:sz w:val="22"/>
          <w14:ligatures w14:val="standardContextual"/>
        </w:rPr>
      </w:pPr>
      <w:hyperlink w:anchor="_Toc192875073" w:history="1">
        <w:r>
          <w:rPr>
            <w:rStyle w:val="Hyperlink"/>
            <w:noProof/>
          </w:rPr>
          <w:t>Figure 7-3: Six Categories of Project Review</w:t>
        </w:r>
        <w:r>
          <w:rPr>
            <w:noProof/>
            <w:webHidden/>
          </w:rPr>
          <w:tab/>
        </w:r>
        <w:r>
          <w:rPr>
            <w:noProof/>
            <w:webHidden/>
          </w:rPr>
          <w:fldChar w:fldCharType="begin"/>
        </w:r>
        <w:r>
          <w:rPr>
            <w:noProof/>
            <w:webHidden/>
          </w:rPr>
          <w:instrText xml:space="preserve"> PAGEREF _Toc192875073 \h </w:instrText>
        </w:r>
        <w:r>
          <w:rPr>
            <w:noProof/>
            <w:webHidden/>
          </w:rPr>
        </w:r>
        <w:r>
          <w:rPr>
            <w:noProof/>
            <w:webHidden/>
          </w:rPr>
          <w:fldChar w:fldCharType="separate"/>
        </w:r>
        <w:r>
          <w:rPr>
            <w:noProof/>
            <w:webHidden/>
          </w:rPr>
          <w:t>181</w:t>
        </w:r>
        <w:r>
          <w:rPr>
            <w:noProof/>
            <w:webHidden/>
          </w:rPr>
          <w:fldChar w:fldCharType="end"/>
        </w:r>
      </w:hyperlink>
    </w:p>
    <w:p w14:paraId="32274A99" w14:textId="1C788EC3" w:rsidR="00274557" w:rsidRDefault="00274557">
      <w:pPr>
        <w:pStyle w:val="TableofFigures"/>
        <w:rPr>
          <w:rFonts w:asciiTheme="minorHAnsi" w:eastAsiaTheme="minorEastAsia" w:hAnsiTheme="minorHAnsi"/>
          <w:noProof/>
          <w:kern w:val="2"/>
          <w:sz w:val="22"/>
          <w14:ligatures w14:val="standardContextual"/>
        </w:rPr>
      </w:pPr>
      <w:hyperlink w:anchor="_Toc192875074" w:history="1">
        <w:r>
          <w:rPr>
            <w:rStyle w:val="Hyperlink"/>
            <w:noProof/>
          </w:rPr>
          <w:t>Figure 8-1: Staffing Process Flow Diagram</w:t>
        </w:r>
        <w:r>
          <w:rPr>
            <w:noProof/>
            <w:webHidden/>
          </w:rPr>
          <w:tab/>
        </w:r>
        <w:r>
          <w:rPr>
            <w:noProof/>
            <w:webHidden/>
          </w:rPr>
          <w:fldChar w:fldCharType="begin"/>
        </w:r>
        <w:r>
          <w:rPr>
            <w:noProof/>
            <w:webHidden/>
          </w:rPr>
          <w:instrText xml:space="preserve"> PAGEREF _Toc192875074 \h </w:instrText>
        </w:r>
        <w:r>
          <w:rPr>
            <w:noProof/>
            <w:webHidden/>
          </w:rPr>
        </w:r>
        <w:r>
          <w:rPr>
            <w:noProof/>
            <w:webHidden/>
          </w:rPr>
          <w:fldChar w:fldCharType="separate"/>
        </w:r>
        <w:r>
          <w:rPr>
            <w:noProof/>
            <w:webHidden/>
          </w:rPr>
          <w:t>186</w:t>
        </w:r>
        <w:r>
          <w:rPr>
            <w:noProof/>
            <w:webHidden/>
          </w:rPr>
          <w:fldChar w:fldCharType="end"/>
        </w:r>
      </w:hyperlink>
    </w:p>
    <w:p w14:paraId="28659F75" w14:textId="0A296EDE" w:rsidR="00274557" w:rsidRDefault="00274557">
      <w:pPr>
        <w:pStyle w:val="TableofFigures"/>
        <w:rPr>
          <w:rFonts w:asciiTheme="minorHAnsi" w:eastAsiaTheme="minorEastAsia" w:hAnsiTheme="minorHAnsi"/>
          <w:noProof/>
          <w:kern w:val="2"/>
          <w:sz w:val="22"/>
          <w14:ligatures w14:val="standardContextual"/>
        </w:rPr>
      </w:pPr>
      <w:hyperlink w:anchor="_Toc192875075" w:history="1">
        <w:r>
          <w:rPr>
            <w:rStyle w:val="Hyperlink"/>
            <w:noProof/>
          </w:rPr>
          <w:t>Figure 9-1: Risk Management Process Flow</w:t>
        </w:r>
        <w:r>
          <w:rPr>
            <w:noProof/>
            <w:webHidden/>
          </w:rPr>
          <w:tab/>
        </w:r>
        <w:r>
          <w:rPr>
            <w:noProof/>
            <w:webHidden/>
          </w:rPr>
          <w:fldChar w:fldCharType="begin"/>
        </w:r>
        <w:r>
          <w:rPr>
            <w:noProof/>
            <w:webHidden/>
          </w:rPr>
          <w:instrText xml:space="preserve"> PAGEREF _Toc192875075 \h </w:instrText>
        </w:r>
        <w:r>
          <w:rPr>
            <w:noProof/>
            <w:webHidden/>
          </w:rPr>
        </w:r>
        <w:r>
          <w:rPr>
            <w:noProof/>
            <w:webHidden/>
          </w:rPr>
          <w:fldChar w:fldCharType="separate"/>
        </w:r>
        <w:r>
          <w:rPr>
            <w:noProof/>
            <w:webHidden/>
          </w:rPr>
          <w:t>193</w:t>
        </w:r>
        <w:r>
          <w:rPr>
            <w:noProof/>
            <w:webHidden/>
          </w:rPr>
          <w:fldChar w:fldCharType="end"/>
        </w:r>
      </w:hyperlink>
    </w:p>
    <w:p w14:paraId="5DA3171B" w14:textId="60E5B7E5" w:rsidR="00274557" w:rsidRDefault="00274557">
      <w:pPr>
        <w:pStyle w:val="TableofFigures"/>
        <w:rPr>
          <w:rFonts w:asciiTheme="minorHAnsi" w:eastAsiaTheme="minorEastAsia" w:hAnsiTheme="minorHAnsi"/>
          <w:noProof/>
          <w:kern w:val="2"/>
          <w:sz w:val="22"/>
          <w14:ligatures w14:val="standardContextual"/>
        </w:rPr>
      </w:pPr>
      <w:hyperlink w:anchor="_Toc192875076" w:history="1">
        <w:r>
          <w:rPr>
            <w:rStyle w:val="Hyperlink"/>
            <w:noProof/>
          </w:rPr>
          <w:t>Figure 9-2: Sample Risk Dashboard</w:t>
        </w:r>
        <w:r>
          <w:rPr>
            <w:noProof/>
            <w:webHidden/>
          </w:rPr>
          <w:tab/>
        </w:r>
        <w:r>
          <w:rPr>
            <w:noProof/>
            <w:webHidden/>
          </w:rPr>
          <w:fldChar w:fldCharType="begin"/>
        </w:r>
        <w:r>
          <w:rPr>
            <w:noProof/>
            <w:webHidden/>
          </w:rPr>
          <w:instrText xml:space="preserve"> PAGEREF _Toc192875076 \h </w:instrText>
        </w:r>
        <w:r>
          <w:rPr>
            <w:noProof/>
            <w:webHidden/>
          </w:rPr>
        </w:r>
        <w:r>
          <w:rPr>
            <w:noProof/>
            <w:webHidden/>
          </w:rPr>
          <w:fldChar w:fldCharType="separate"/>
        </w:r>
        <w:r>
          <w:rPr>
            <w:noProof/>
            <w:webHidden/>
          </w:rPr>
          <w:t>198</w:t>
        </w:r>
        <w:r>
          <w:rPr>
            <w:noProof/>
            <w:webHidden/>
          </w:rPr>
          <w:fldChar w:fldCharType="end"/>
        </w:r>
      </w:hyperlink>
    </w:p>
    <w:p w14:paraId="54BA4B36" w14:textId="34C408F9" w:rsidR="00274557" w:rsidRDefault="00274557">
      <w:pPr>
        <w:pStyle w:val="TableofFigures"/>
        <w:rPr>
          <w:rFonts w:asciiTheme="minorHAnsi" w:eastAsiaTheme="minorEastAsia" w:hAnsiTheme="minorHAnsi"/>
          <w:noProof/>
          <w:kern w:val="2"/>
          <w:sz w:val="22"/>
          <w14:ligatures w14:val="standardContextual"/>
        </w:rPr>
      </w:pPr>
      <w:hyperlink w:anchor="_Toc192875077" w:history="1">
        <w:r>
          <w:rPr>
            <w:rStyle w:val="Hyperlink"/>
            <w:noProof/>
          </w:rPr>
          <w:t>Figure 9-3: Issue Resolution Process Flow</w:t>
        </w:r>
        <w:r>
          <w:rPr>
            <w:noProof/>
            <w:webHidden/>
          </w:rPr>
          <w:tab/>
        </w:r>
        <w:r>
          <w:rPr>
            <w:noProof/>
            <w:webHidden/>
          </w:rPr>
          <w:fldChar w:fldCharType="begin"/>
        </w:r>
        <w:r>
          <w:rPr>
            <w:noProof/>
            <w:webHidden/>
          </w:rPr>
          <w:instrText xml:space="preserve"> PAGEREF _Toc192875077 \h </w:instrText>
        </w:r>
        <w:r>
          <w:rPr>
            <w:noProof/>
            <w:webHidden/>
          </w:rPr>
        </w:r>
        <w:r>
          <w:rPr>
            <w:noProof/>
            <w:webHidden/>
          </w:rPr>
          <w:fldChar w:fldCharType="separate"/>
        </w:r>
        <w:r>
          <w:rPr>
            <w:noProof/>
            <w:webHidden/>
          </w:rPr>
          <w:t>200</w:t>
        </w:r>
        <w:r>
          <w:rPr>
            <w:noProof/>
            <w:webHidden/>
          </w:rPr>
          <w:fldChar w:fldCharType="end"/>
        </w:r>
      </w:hyperlink>
    </w:p>
    <w:p w14:paraId="09E43FBF" w14:textId="7C4E3890" w:rsidR="00274557" w:rsidRDefault="00274557">
      <w:pPr>
        <w:pStyle w:val="TableofFigures"/>
        <w:rPr>
          <w:rFonts w:asciiTheme="minorHAnsi" w:eastAsiaTheme="minorEastAsia" w:hAnsiTheme="minorHAnsi"/>
          <w:noProof/>
          <w:kern w:val="2"/>
          <w:sz w:val="22"/>
          <w14:ligatures w14:val="standardContextual"/>
        </w:rPr>
      </w:pPr>
      <w:hyperlink w:anchor="_Toc192875078" w:history="1">
        <w:r>
          <w:rPr>
            <w:rStyle w:val="Hyperlink"/>
            <w:noProof/>
          </w:rPr>
          <w:t>Figure 9-4: Sample Issue Dashboard</w:t>
        </w:r>
        <w:r>
          <w:rPr>
            <w:noProof/>
            <w:webHidden/>
          </w:rPr>
          <w:tab/>
        </w:r>
        <w:r>
          <w:rPr>
            <w:noProof/>
            <w:webHidden/>
          </w:rPr>
          <w:fldChar w:fldCharType="begin"/>
        </w:r>
        <w:r>
          <w:rPr>
            <w:noProof/>
            <w:webHidden/>
          </w:rPr>
          <w:instrText xml:space="preserve"> PAGEREF _Toc192875078 \h </w:instrText>
        </w:r>
        <w:r>
          <w:rPr>
            <w:noProof/>
            <w:webHidden/>
          </w:rPr>
        </w:r>
        <w:r>
          <w:rPr>
            <w:noProof/>
            <w:webHidden/>
          </w:rPr>
          <w:fldChar w:fldCharType="separate"/>
        </w:r>
        <w:r>
          <w:rPr>
            <w:noProof/>
            <w:webHidden/>
          </w:rPr>
          <w:t>204</w:t>
        </w:r>
        <w:r>
          <w:rPr>
            <w:noProof/>
            <w:webHidden/>
          </w:rPr>
          <w:fldChar w:fldCharType="end"/>
        </w:r>
      </w:hyperlink>
    </w:p>
    <w:p w14:paraId="146E2FCC" w14:textId="2855A968" w:rsidR="00274557" w:rsidRDefault="00274557">
      <w:pPr>
        <w:pStyle w:val="TableofFigures"/>
        <w:rPr>
          <w:rFonts w:asciiTheme="minorHAnsi" w:eastAsiaTheme="minorEastAsia" w:hAnsiTheme="minorHAnsi"/>
          <w:noProof/>
          <w:kern w:val="2"/>
          <w:sz w:val="22"/>
          <w14:ligatures w14:val="standardContextual"/>
        </w:rPr>
      </w:pPr>
      <w:hyperlink w:anchor="_Toc192875079" w:history="1">
        <w:r>
          <w:rPr>
            <w:rStyle w:val="Hyperlink"/>
            <w:noProof/>
          </w:rPr>
          <w:t>Figure 9-5: Action Item Management Process Flow Diagram</w:t>
        </w:r>
        <w:r>
          <w:rPr>
            <w:noProof/>
            <w:webHidden/>
          </w:rPr>
          <w:tab/>
        </w:r>
        <w:r>
          <w:rPr>
            <w:noProof/>
            <w:webHidden/>
          </w:rPr>
          <w:fldChar w:fldCharType="begin"/>
        </w:r>
        <w:r>
          <w:rPr>
            <w:noProof/>
            <w:webHidden/>
          </w:rPr>
          <w:instrText xml:space="preserve"> PAGEREF _Toc192875079 \h </w:instrText>
        </w:r>
        <w:r>
          <w:rPr>
            <w:noProof/>
            <w:webHidden/>
          </w:rPr>
        </w:r>
        <w:r>
          <w:rPr>
            <w:noProof/>
            <w:webHidden/>
          </w:rPr>
          <w:fldChar w:fldCharType="separate"/>
        </w:r>
        <w:r>
          <w:rPr>
            <w:noProof/>
            <w:webHidden/>
          </w:rPr>
          <w:t>204</w:t>
        </w:r>
        <w:r>
          <w:rPr>
            <w:noProof/>
            <w:webHidden/>
          </w:rPr>
          <w:fldChar w:fldCharType="end"/>
        </w:r>
      </w:hyperlink>
    </w:p>
    <w:p w14:paraId="622C5B6E" w14:textId="3E49C4FB" w:rsidR="00274557" w:rsidRDefault="00274557">
      <w:pPr>
        <w:pStyle w:val="TableofFigures"/>
        <w:rPr>
          <w:rFonts w:asciiTheme="minorHAnsi" w:eastAsiaTheme="minorEastAsia" w:hAnsiTheme="minorHAnsi"/>
          <w:noProof/>
          <w:kern w:val="2"/>
          <w:sz w:val="22"/>
          <w14:ligatures w14:val="standardContextual"/>
        </w:rPr>
      </w:pPr>
      <w:hyperlink w:anchor="_Toc192875080" w:history="1">
        <w:r>
          <w:rPr>
            <w:rStyle w:val="Hyperlink"/>
            <w:noProof/>
          </w:rPr>
          <w:t>Figure 9-6: Decision Management Process Flow</w:t>
        </w:r>
        <w:r>
          <w:rPr>
            <w:noProof/>
            <w:webHidden/>
          </w:rPr>
          <w:tab/>
        </w:r>
        <w:r>
          <w:rPr>
            <w:noProof/>
            <w:webHidden/>
          </w:rPr>
          <w:fldChar w:fldCharType="begin"/>
        </w:r>
        <w:r>
          <w:rPr>
            <w:noProof/>
            <w:webHidden/>
          </w:rPr>
          <w:instrText xml:space="preserve"> PAGEREF _Toc192875080 \h </w:instrText>
        </w:r>
        <w:r>
          <w:rPr>
            <w:noProof/>
            <w:webHidden/>
          </w:rPr>
        </w:r>
        <w:r>
          <w:rPr>
            <w:noProof/>
            <w:webHidden/>
          </w:rPr>
          <w:fldChar w:fldCharType="separate"/>
        </w:r>
        <w:r>
          <w:rPr>
            <w:noProof/>
            <w:webHidden/>
          </w:rPr>
          <w:t>208</w:t>
        </w:r>
        <w:r>
          <w:rPr>
            <w:noProof/>
            <w:webHidden/>
          </w:rPr>
          <w:fldChar w:fldCharType="end"/>
        </w:r>
      </w:hyperlink>
    </w:p>
    <w:p w14:paraId="5ABC7F40" w14:textId="698019D2" w:rsidR="00274557" w:rsidRDefault="00274557">
      <w:pPr>
        <w:pStyle w:val="TableofFigures"/>
        <w:rPr>
          <w:rFonts w:asciiTheme="minorHAnsi" w:eastAsiaTheme="minorEastAsia" w:hAnsiTheme="minorHAnsi"/>
          <w:noProof/>
          <w:kern w:val="2"/>
          <w:sz w:val="22"/>
          <w14:ligatures w14:val="standardContextual"/>
        </w:rPr>
      </w:pPr>
      <w:hyperlink w:anchor="_Toc192875081" w:history="1">
        <w:r>
          <w:rPr>
            <w:rStyle w:val="Hyperlink"/>
            <w:noProof/>
            <w:shd w:val="clear" w:color="auto" w:fill="FFFFFF"/>
          </w:rPr>
          <w:t>Figure 11-1: Schedule Management Process Flow Diagram</w:t>
        </w:r>
        <w:r>
          <w:rPr>
            <w:noProof/>
            <w:webHidden/>
          </w:rPr>
          <w:tab/>
        </w:r>
        <w:r>
          <w:rPr>
            <w:noProof/>
            <w:webHidden/>
          </w:rPr>
          <w:fldChar w:fldCharType="begin"/>
        </w:r>
        <w:r>
          <w:rPr>
            <w:noProof/>
            <w:webHidden/>
          </w:rPr>
          <w:instrText xml:space="preserve"> PAGEREF _Toc192875081 \h </w:instrText>
        </w:r>
        <w:r>
          <w:rPr>
            <w:noProof/>
            <w:webHidden/>
          </w:rPr>
        </w:r>
        <w:r>
          <w:rPr>
            <w:noProof/>
            <w:webHidden/>
          </w:rPr>
          <w:fldChar w:fldCharType="separate"/>
        </w:r>
        <w:r>
          <w:rPr>
            <w:noProof/>
            <w:webHidden/>
          </w:rPr>
          <w:t>225</w:t>
        </w:r>
        <w:r>
          <w:rPr>
            <w:noProof/>
            <w:webHidden/>
          </w:rPr>
          <w:fldChar w:fldCharType="end"/>
        </w:r>
      </w:hyperlink>
    </w:p>
    <w:p w14:paraId="0C6A907F" w14:textId="0CF1FA15" w:rsidR="00274557" w:rsidRDefault="00274557">
      <w:pPr>
        <w:pStyle w:val="TableofFigures"/>
        <w:rPr>
          <w:rFonts w:asciiTheme="minorHAnsi" w:eastAsiaTheme="minorEastAsia" w:hAnsiTheme="minorHAnsi"/>
          <w:noProof/>
          <w:kern w:val="2"/>
          <w:sz w:val="22"/>
          <w14:ligatures w14:val="standardContextual"/>
        </w:rPr>
      </w:pPr>
      <w:hyperlink w:anchor="_Toc192875082" w:history="1">
        <w:r>
          <w:rPr>
            <w:rStyle w:val="Hyperlink"/>
            <w:noProof/>
            <w:shd w:val="clear" w:color="auto" w:fill="FFFFFF"/>
          </w:rPr>
          <w:t>Figure 11-2: Sample SPI Dashboard</w:t>
        </w:r>
        <w:r>
          <w:rPr>
            <w:noProof/>
            <w:webHidden/>
          </w:rPr>
          <w:tab/>
        </w:r>
        <w:r>
          <w:rPr>
            <w:noProof/>
            <w:webHidden/>
          </w:rPr>
          <w:fldChar w:fldCharType="begin"/>
        </w:r>
        <w:r>
          <w:rPr>
            <w:noProof/>
            <w:webHidden/>
          </w:rPr>
          <w:instrText xml:space="preserve"> PAGEREF _Toc192875082 \h </w:instrText>
        </w:r>
        <w:r>
          <w:rPr>
            <w:noProof/>
            <w:webHidden/>
          </w:rPr>
        </w:r>
        <w:r>
          <w:rPr>
            <w:noProof/>
            <w:webHidden/>
          </w:rPr>
          <w:fldChar w:fldCharType="separate"/>
        </w:r>
        <w:r>
          <w:rPr>
            <w:noProof/>
            <w:webHidden/>
          </w:rPr>
          <w:t>229</w:t>
        </w:r>
        <w:r>
          <w:rPr>
            <w:noProof/>
            <w:webHidden/>
          </w:rPr>
          <w:fldChar w:fldCharType="end"/>
        </w:r>
      </w:hyperlink>
    </w:p>
    <w:p w14:paraId="6F360E3B" w14:textId="3A453250" w:rsidR="00274557" w:rsidRDefault="00274557">
      <w:pPr>
        <w:pStyle w:val="TableofFigures"/>
        <w:rPr>
          <w:rFonts w:asciiTheme="minorHAnsi" w:eastAsiaTheme="minorEastAsia" w:hAnsiTheme="minorHAnsi"/>
          <w:noProof/>
          <w:kern w:val="2"/>
          <w:sz w:val="22"/>
          <w14:ligatures w14:val="standardContextual"/>
        </w:rPr>
      </w:pPr>
      <w:hyperlink w:anchor="_Toc192875083" w:history="1">
        <w:r>
          <w:rPr>
            <w:rStyle w:val="Hyperlink"/>
            <w:noProof/>
          </w:rPr>
          <w:t>Figure 12-1: Requirements Management Process Flow Diagram</w:t>
        </w:r>
        <w:r>
          <w:rPr>
            <w:noProof/>
            <w:webHidden/>
          </w:rPr>
          <w:tab/>
        </w:r>
        <w:r>
          <w:rPr>
            <w:noProof/>
            <w:webHidden/>
          </w:rPr>
          <w:fldChar w:fldCharType="begin"/>
        </w:r>
        <w:r>
          <w:rPr>
            <w:noProof/>
            <w:webHidden/>
          </w:rPr>
          <w:instrText xml:space="preserve"> PAGEREF _Toc192875083 \h </w:instrText>
        </w:r>
        <w:r>
          <w:rPr>
            <w:noProof/>
            <w:webHidden/>
          </w:rPr>
        </w:r>
        <w:r>
          <w:rPr>
            <w:noProof/>
            <w:webHidden/>
          </w:rPr>
          <w:fldChar w:fldCharType="separate"/>
        </w:r>
        <w:r>
          <w:rPr>
            <w:noProof/>
            <w:webHidden/>
          </w:rPr>
          <w:t>240</w:t>
        </w:r>
        <w:r>
          <w:rPr>
            <w:noProof/>
            <w:webHidden/>
          </w:rPr>
          <w:fldChar w:fldCharType="end"/>
        </w:r>
      </w:hyperlink>
    </w:p>
    <w:p w14:paraId="07CCF32F" w14:textId="4EEFBF5C" w:rsidR="00274557" w:rsidRDefault="00274557">
      <w:pPr>
        <w:pStyle w:val="TableofFigures"/>
        <w:rPr>
          <w:rFonts w:asciiTheme="minorHAnsi" w:eastAsiaTheme="minorEastAsia" w:hAnsiTheme="minorHAnsi"/>
          <w:noProof/>
          <w:kern w:val="2"/>
          <w:sz w:val="22"/>
          <w14:ligatures w14:val="standardContextual"/>
        </w:rPr>
      </w:pPr>
      <w:hyperlink w:anchor="_Toc192875084" w:history="1">
        <w:r>
          <w:rPr>
            <w:rStyle w:val="Hyperlink"/>
            <w:noProof/>
          </w:rPr>
          <w:t>Figure 12-2: Post Transmittal Approval Requirements Modification Process Flow Diagram</w:t>
        </w:r>
        <w:r>
          <w:rPr>
            <w:noProof/>
            <w:webHidden/>
          </w:rPr>
          <w:tab/>
        </w:r>
        <w:r>
          <w:rPr>
            <w:noProof/>
            <w:webHidden/>
          </w:rPr>
          <w:fldChar w:fldCharType="begin"/>
        </w:r>
        <w:r>
          <w:rPr>
            <w:noProof/>
            <w:webHidden/>
          </w:rPr>
          <w:instrText xml:space="preserve"> PAGEREF _Toc192875084 \h </w:instrText>
        </w:r>
        <w:r>
          <w:rPr>
            <w:noProof/>
            <w:webHidden/>
          </w:rPr>
        </w:r>
        <w:r>
          <w:rPr>
            <w:noProof/>
            <w:webHidden/>
          </w:rPr>
          <w:fldChar w:fldCharType="separate"/>
        </w:r>
        <w:r>
          <w:rPr>
            <w:noProof/>
            <w:webHidden/>
          </w:rPr>
          <w:t>243</w:t>
        </w:r>
        <w:r>
          <w:rPr>
            <w:noProof/>
            <w:webHidden/>
          </w:rPr>
          <w:fldChar w:fldCharType="end"/>
        </w:r>
      </w:hyperlink>
    </w:p>
    <w:p w14:paraId="20D67C6F" w14:textId="5C9A0E64" w:rsidR="004D4B9E" w:rsidRPr="00A21682" w:rsidRDefault="00CA7F17" w:rsidP="00CA7F17">
      <w:pPr>
        <w:pStyle w:val="DCTableHeader"/>
        <w:rPr>
          <w:rFonts w:ascii="Calibri" w:hAnsi="Calibri" w:cs="Calibri"/>
          <w:b w:val="0"/>
          <w:sz w:val="22"/>
        </w:rPr>
      </w:pPr>
      <w:r>
        <w:fldChar w:fldCharType="end"/>
      </w:r>
    </w:p>
    <w:p w14:paraId="6D6AC780" w14:textId="77777777" w:rsidR="004D4B9E" w:rsidRPr="00A21682" w:rsidRDefault="004D4B9E" w:rsidP="00FA55D2"/>
    <w:p w14:paraId="3325099F" w14:textId="42DBB7FE" w:rsidR="001A01C1" w:rsidRPr="00A21682" w:rsidRDefault="009A084A" w:rsidP="00FA55D2">
      <w:r>
        <w:rPr>
          <w:rFonts w:ascii="Verdana" w:hAnsi="Verdana" w:cstheme="minorBidi"/>
          <w:b/>
          <w:bCs/>
          <w:sz w:val="18"/>
          <w:szCs w:val="20"/>
          <w:u w:val="single"/>
        </w:rPr>
        <w:t>Table of Tables</w:t>
      </w:r>
    </w:p>
    <w:p w14:paraId="23601DB5" w14:textId="555BEB53" w:rsidR="00274557" w:rsidRDefault="00AA3230">
      <w:pPr>
        <w:pStyle w:val="TableofFigures"/>
        <w:rPr>
          <w:rFonts w:asciiTheme="minorHAnsi" w:eastAsiaTheme="minorEastAsia" w:hAnsiTheme="minorHAnsi"/>
          <w:noProof/>
          <w:kern w:val="2"/>
          <w:sz w:val="22"/>
          <w14:ligatures w14:val="standardContextual"/>
        </w:rPr>
      </w:pPr>
      <w:r>
        <w:fldChar w:fldCharType="begin"/>
      </w:r>
      <w:r>
        <w:instrText xml:space="preserve"> TOC \h \z \c "Table" </w:instrText>
      </w:r>
      <w:r>
        <w:fldChar w:fldCharType="separate"/>
      </w:r>
      <w:hyperlink w:anchor="_Toc192875085" w:history="1">
        <w:r>
          <w:rPr>
            <w:rStyle w:val="Hyperlink"/>
            <w:noProof/>
          </w:rPr>
          <w:t>Table 1</w:t>
        </w:r>
        <w:r>
          <w:rPr>
            <w:rStyle w:val="Hyperlink"/>
            <w:noProof/>
          </w:rPr>
          <w:noBreakHyphen/>
          <w:t>1: Governance Structure Membership</w:t>
        </w:r>
        <w:r>
          <w:rPr>
            <w:noProof/>
            <w:webHidden/>
          </w:rPr>
          <w:tab/>
        </w:r>
        <w:r>
          <w:rPr>
            <w:noProof/>
            <w:webHidden/>
          </w:rPr>
          <w:fldChar w:fldCharType="begin"/>
        </w:r>
        <w:r>
          <w:rPr>
            <w:noProof/>
            <w:webHidden/>
          </w:rPr>
          <w:instrText xml:space="preserve"> PAGEREF _Toc192875085 \h </w:instrText>
        </w:r>
        <w:r>
          <w:rPr>
            <w:noProof/>
            <w:webHidden/>
          </w:rPr>
        </w:r>
        <w:r>
          <w:rPr>
            <w:noProof/>
            <w:webHidden/>
          </w:rPr>
          <w:fldChar w:fldCharType="separate"/>
        </w:r>
        <w:r>
          <w:rPr>
            <w:noProof/>
            <w:webHidden/>
          </w:rPr>
          <w:t>5</w:t>
        </w:r>
        <w:r>
          <w:rPr>
            <w:noProof/>
            <w:webHidden/>
          </w:rPr>
          <w:fldChar w:fldCharType="end"/>
        </w:r>
      </w:hyperlink>
    </w:p>
    <w:p w14:paraId="39607508" w14:textId="62B8C23F" w:rsidR="00274557" w:rsidRDefault="00274557">
      <w:pPr>
        <w:pStyle w:val="TableofFigures"/>
        <w:rPr>
          <w:rFonts w:asciiTheme="minorHAnsi" w:eastAsiaTheme="minorEastAsia" w:hAnsiTheme="minorHAnsi"/>
          <w:noProof/>
          <w:kern w:val="2"/>
          <w:sz w:val="22"/>
          <w14:ligatures w14:val="standardContextual"/>
        </w:rPr>
      </w:pPr>
      <w:hyperlink w:anchor="_Toc192875086" w:history="1">
        <w:r>
          <w:rPr>
            <w:rStyle w:val="Hyperlink"/>
            <w:noProof/>
          </w:rPr>
          <w:t>Table 2</w:t>
        </w:r>
        <w:r>
          <w:rPr>
            <w:rStyle w:val="Hyperlink"/>
            <w:noProof/>
          </w:rPr>
          <w:noBreakHyphen/>
          <w:t>1: NYS ITS SDLC Guideline to Continuing Medicaid Eligibility Modernization Document/Deliverable Mapping</w:t>
        </w:r>
        <w:r>
          <w:rPr>
            <w:noProof/>
            <w:webHidden/>
          </w:rPr>
          <w:tab/>
        </w:r>
        <w:r>
          <w:rPr>
            <w:noProof/>
            <w:webHidden/>
          </w:rPr>
          <w:fldChar w:fldCharType="begin"/>
        </w:r>
        <w:r>
          <w:rPr>
            <w:noProof/>
            <w:webHidden/>
          </w:rPr>
          <w:instrText xml:space="preserve"> PAGEREF _Toc192875086 \h </w:instrText>
        </w:r>
        <w:r>
          <w:rPr>
            <w:noProof/>
            <w:webHidden/>
          </w:rPr>
        </w:r>
        <w:r>
          <w:rPr>
            <w:noProof/>
            <w:webHidden/>
          </w:rPr>
          <w:fldChar w:fldCharType="separate"/>
        </w:r>
        <w:r>
          <w:rPr>
            <w:noProof/>
            <w:webHidden/>
          </w:rPr>
          <w:t>12</w:t>
        </w:r>
        <w:r>
          <w:rPr>
            <w:noProof/>
            <w:webHidden/>
          </w:rPr>
          <w:fldChar w:fldCharType="end"/>
        </w:r>
      </w:hyperlink>
    </w:p>
    <w:p w14:paraId="44768A4C" w14:textId="10D1D977" w:rsidR="00274557" w:rsidRDefault="00274557">
      <w:pPr>
        <w:pStyle w:val="TableofFigures"/>
        <w:rPr>
          <w:rFonts w:asciiTheme="minorHAnsi" w:eastAsiaTheme="minorEastAsia" w:hAnsiTheme="minorHAnsi"/>
          <w:noProof/>
          <w:kern w:val="2"/>
          <w:sz w:val="22"/>
          <w14:ligatures w14:val="standardContextual"/>
        </w:rPr>
      </w:pPr>
      <w:hyperlink w:anchor="_Toc192875087" w:history="1">
        <w:r>
          <w:rPr>
            <w:rStyle w:val="Hyperlink"/>
            <w:noProof/>
          </w:rPr>
          <w:t>Table 2</w:t>
        </w:r>
        <w:r>
          <w:rPr>
            <w:rStyle w:val="Hyperlink"/>
            <w:noProof/>
          </w:rPr>
          <w:noBreakHyphen/>
          <w:t>2: SDLC High-Level Process Key Inputs and Outputs</w:t>
        </w:r>
        <w:r>
          <w:rPr>
            <w:noProof/>
            <w:webHidden/>
          </w:rPr>
          <w:tab/>
        </w:r>
        <w:r>
          <w:rPr>
            <w:noProof/>
            <w:webHidden/>
          </w:rPr>
          <w:fldChar w:fldCharType="begin"/>
        </w:r>
        <w:r>
          <w:rPr>
            <w:noProof/>
            <w:webHidden/>
          </w:rPr>
          <w:instrText xml:space="preserve"> PAGEREF _Toc192875087 \h </w:instrText>
        </w:r>
        <w:r>
          <w:rPr>
            <w:noProof/>
            <w:webHidden/>
          </w:rPr>
        </w:r>
        <w:r>
          <w:rPr>
            <w:noProof/>
            <w:webHidden/>
          </w:rPr>
          <w:fldChar w:fldCharType="separate"/>
        </w:r>
        <w:r>
          <w:rPr>
            <w:noProof/>
            <w:webHidden/>
          </w:rPr>
          <w:t>18</w:t>
        </w:r>
        <w:r>
          <w:rPr>
            <w:noProof/>
            <w:webHidden/>
          </w:rPr>
          <w:fldChar w:fldCharType="end"/>
        </w:r>
      </w:hyperlink>
    </w:p>
    <w:p w14:paraId="12A47003" w14:textId="0B9A847D" w:rsidR="00274557" w:rsidRDefault="00274557">
      <w:pPr>
        <w:pStyle w:val="TableofFigures"/>
        <w:rPr>
          <w:rFonts w:asciiTheme="minorHAnsi" w:eastAsiaTheme="minorEastAsia" w:hAnsiTheme="minorHAnsi"/>
          <w:noProof/>
          <w:kern w:val="2"/>
          <w:sz w:val="22"/>
          <w14:ligatures w14:val="standardContextual"/>
        </w:rPr>
      </w:pPr>
      <w:hyperlink w:anchor="_Toc192875088" w:history="1">
        <w:r>
          <w:rPr>
            <w:rStyle w:val="Hyperlink"/>
            <w:noProof/>
          </w:rPr>
          <w:t>Table 2</w:t>
        </w:r>
        <w:r>
          <w:rPr>
            <w:rStyle w:val="Hyperlink"/>
            <w:noProof/>
          </w:rPr>
          <w:noBreakHyphen/>
          <w:t>3: MECM Key Stakeholders</w:t>
        </w:r>
        <w:r>
          <w:rPr>
            <w:noProof/>
            <w:webHidden/>
          </w:rPr>
          <w:tab/>
        </w:r>
        <w:r>
          <w:rPr>
            <w:noProof/>
            <w:webHidden/>
          </w:rPr>
          <w:fldChar w:fldCharType="begin"/>
        </w:r>
        <w:r>
          <w:rPr>
            <w:noProof/>
            <w:webHidden/>
          </w:rPr>
          <w:instrText xml:space="preserve"> PAGEREF _Toc192875088 \h </w:instrText>
        </w:r>
        <w:r>
          <w:rPr>
            <w:noProof/>
            <w:webHidden/>
          </w:rPr>
        </w:r>
        <w:r>
          <w:rPr>
            <w:noProof/>
            <w:webHidden/>
          </w:rPr>
          <w:fldChar w:fldCharType="separate"/>
        </w:r>
        <w:r>
          <w:rPr>
            <w:noProof/>
            <w:webHidden/>
          </w:rPr>
          <w:t>20</w:t>
        </w:r>
        <w:r>
          <w:rPr>
            <w:noProof/>
            <w:webHidden/>
          </w:rPr>
          <w:fldChar w:fldCharType="end"/>
        </w:r>
      </w:hyperlink>
    </w:p>
    <w:p w14:paraId="4969D3DE" w14:textId="1A114491" w:rsidR="00274557" w:rsidRDefault="00274557">
      <w:pPr>
        <w:pStyle w:val="TableofFigures"/>
        <w:rPr>
          <w:rFonts w:asciiTheme="minorHAnsi" w:eastAsiaTheme="minorEastAsia" w:hAnsiTheme="minorHAnsi"/>
          <w:noProof/>
          <w:kern w:val="2"/>
          <w:sz w:val="22"/>
          <w14:ligatures w14:val="standardContextual"/>
        </w:rPr>
      </w:pPr>
      <w:hyperlink w:anchor="_Toc192875089" w:history="1">
        <w:r>
          <w:rPr>
            <w:rStyle w:val="Hyperlink"/>
            <w:noProof/>
          </w:rPr>
          <w:t>Table 2</w:t>
        </w:r>
        <w:r>
          <w:rPr>
            <w:rStyle w:val="Hyperlink"/>
            <w:noProof/>
          </w:rPr>
          <w:noBreakHyphen/>
          <w:t>4: Project Wave Planning Phase Entry Criteria</w:t>
        </w:r>
        <w:r>
          <w:rPr>
            <w:noProof/>
            <w:webHidden/>
          </w:rPr>
          <w:tab/>
        </w:r>
        <w:r>
          <w:rPr>
            <w:noProof/>
            <w:webHidden/>
          </w:rPr>
          <w:fldChar w:fldCharType="begin"/>
        </w:r>
        <w:r>
          <w:rPr>
            <w:noProof/>
            <w:webHidden/>
          </w:rPr>
          <w:instrText xml:space="preserve"> PAGEREF _Toc192875089 \h </w:instrText>
        </w:r>
        <w:r>
          <w:rPr>
            <w:noProof/>
            <w:webHidden/>
          </w:rPr>
        </w:r>
        <w:r>
          <w:rPr>
            <w:noProof/>
            <w:webHidden/>
          </w:rPr>
          <w:fldChar w:fldCharType="separate"/>
        </w:r>
        <w:r>
          <w:rPr>
            <w:noProof/>
            <w:webHidden/>
          </w:rPr>
          <w:t>20</w:t>
        </w:r>
        <w:r>
          <w:rPr>
            <w:noProof/>
            <w:webHidden/>
          </w:rPr>
          <w:fldChar w:fldCharType="end"/>
        </w:r>
      </w:hyperlink>
    </w:p>
    <w:p w14:paraId="7BF1CF00" w14:textId="0836B1BB" w:rsidR="00274557" w:rsidRDefault="00274557">
      <w:pPr>
        <w:pStyle w:val="TableofFigures"/>
        <w:rPr>
          <w:rFonts w:asciiTheme="minorHAnsi" w:eastAsiaTheme="minorEastAsia" w:hAnsiTheme="minorHAnsi"/>
          <w:noProof/>
          <w:kern w:val="2"/>
          <w:sz w:val="22"/>
          <w14:ligatures w14:val="standardContextual"/>
        </w:rPr>
      </w:pPr>
      <w:hyperlink w:anchor="_Toc192875090" w:history="1">
        <w:r>
          <w:rPr>
            <w:rStyle w:val="Hyperlink"/>
            <w:noProof/>
          </w:rPr>
          <w:t>Table 2</w:t>
        </w:r>
        <w:r>
          <w:rPr>
            <w:rStyle w:val="Hyperlink"/>
            <w:noProof/>
          </w:rPr>
          <w:noBreakHyphen/>
          <w:t>5: Project Wave Planning Phase Process Flow Narrative</w:t>
        </w:r>
        <w:r>
          <w:rPr>
            <w:noProof/>
            <w:webHidden/>
          </w:rPr>
          <w:tab/>
        </w:r>
        <w:r>
          <w:rPr>
            <w:noProof/>
            <w:webHidden/>
          </w:rPr>
          <w:fldChar w:fldCharType="begin"/>
        </w:r>
        <w:r>
          <w:rPr>
            <w:noProof/>
            <w:webHidden/>
          </w:rPr>
          <w:instrText xml:space="preserve"> PAGEREF _Toc192875090 \h </w:instrText>
        </w:r>
        <w:r>
          <w:rPr>
            <w:noProof/>
            <w:webHidden/>
          </w:rPr>
        </w:r>
        <w:r>
          <w:rPr>
            <w:noProof/>
            <w:webHidden/>
          </w:rPr>
          <w:fldChar w:fldCharType="separate"/>
        </w:r>
        <w:r>
          <w:rPr>
            <w:noProof/>
            <w:webHidden/>
          </w:rPr>
          <w:t>23</w:t>
        </w:r>
        <w:r>
          <w:rPr>
            <w:noProof/>
            <w:webHidden/>
          </w:rPr>
          <w:fldChar w:fldCharType="end"/>
        </w:r>
      </w:hyperlink>
    </w:p>
    <w:p w14:paraId="069F2DA9" w14:textId="6099535B" w:rsidR="00274557" w:rsidRDefault="00274557">
      <w:pPr>
        <w:pStyle w:val="TableofFigures"/>
        <w:rPr>
          <w:rFonts w:asciiTheme="minorHAnsi" w:eastAsiaTheme="minorEastAsia" w:hAnsiTheme="minorHAnsi"/>
          <w:noProof/>
          <w:kern w:val="2"/>
          <w:sz w:val="22"/>
          <w14:ligatures w14:val="standardContextual"/>
        </w:rPr>
      </w:pPr>
      <w:hyperlink w:anchor="_Toc192875091" w:history="1">
        <w:r>
          <w:rPr>
            <w:rStyle w:val="Hyperlink"/>
            <w:noProof/>
          </w:rPr>
          <w:t>Table 2</w:t>
        </w:r>
        <w:r>
          <w:rPr>
            <w:rStyle w:val="Hyperlink"/>
            <w:noProof/>
          </w:rPr>
          <w:noBreakHyphen/>
          <w:t>6:</w:t>
        </w:r>
        <w:r>
          <w:rPr>
            <w:rStyle w:val="Hyperlink"/>
            <w:rFonts w:eastAsia="MS Gothic"/>
            <w:noProof/>
          </w:rPr>
          <w:t xml:space="preserve"> Project Wave Planning Phase Exit Criteria</w:t>
        </w:r>
        <w:r>
          <w:rPr>
            <w:noProof/>
            <w:webHidden/>
          </w:rPr>
          <w:tab/>
        </w:r>
        <w:r>
          <w:rPr>
            <w:noProof/>
            <w:webHidden/>
          </w:rPr>
          <w:fldChar w:fldCharType="begin"/>
        </w:r>
        <w:r>
          <w:rPr>
            <w:noProof/>
            <w:webHidden/>
          </w:rPr>
          <w:instrText xml:space="preserve"> PAGEREF _Toc192875091 \h </w:instrText>
        </w:r>
        <w:r>
          <w:rPr>
            <w:noProof/>
            <w:webHidden/>
          </w:rPr>
        </w:r>
        <w:r>
          <w:rPr>
            <w:noProof/>
            <w:webHidden/>
          </w:rPr>
          <w:fldChar w:fldCharType="separate"/>
        </w:r>
        <w:r>
          <w:rPr>
            <w:noProof/>
            <w:webHidden/>
          </w:rPr>
          <w:t>24</w:t>
        </w:r>
        <w:r>
          <w:rPr>
            <w:noProof/>
            <w:webHidden/>
          </w:rPr>
          <w:fldChar w:fldCharType="end"/>
        </w:r>
      </w:hyperlink>
    </w:p>
    <w:p w14:paraId="23A76D36" w14:textId="3A659AD0" w:rsidR="00274557" w:rsidRDefault="00274557">
      <w:pPr>
        <w:pStyle w:val="TableofFigures"/>
        <w:rPr>
          <w:rFonts w:asciiTheme="minorHAnsi" w:eastAsiaTheme="minorEastAsia" w:hAnsiTheme="minorHAnsi"/>
          <w:noProof/>
          <w:kern w:val="2"/>
          <w:sz w:val="22"/>
          <w14:ligatures w14:val="standardContextual"/>
        </w:rPr>
      </w:pPr>
      <w:hyperlink w:anchor="_Toc192875092" w:history="1">
        <w:r>
          <w:rPr>
            <w:rStyle w:val="Hyperlink"/>
            <w:noProof/>
          </w:rPr>
          <w:t>Table 2</w:t>
        </w:r>
        <w:r>
          <w:rPr>
            <w:rStyle w:val="Hyperlink"/>
            <w:noProof/>
          </w:rPr>
          <w:noBreakHyphen/>
          <w:t xml:space="preserve">7: </w:t>
        </w:r>
        <w:r>
          <w:rPr>
            <w:rStyle w:val="Hyperlink"/>
            <w:rFonts w:eastAsia="MS Gothic"/>
            <w:noProof/>
          </w:rPr>
          <w:t>Business Process Analysis Phase Entry Criteria</w:t>
        </w:r>
        <w:r>
          <w:rPr>
            <w:noProof/>
            <w:webHidden/>
          </w:rPr>
          <w:tab/>
        </w:r>
        <w:r>
          <w:rPr>
            <w:noProof/>
            <w:webHidden/>
          </w:rPr>
          <w:fldChar w:fldCharType="begin"/>
        </w:r>
        <w:r>
          <w:rPr>
            <w:noProof/>
            <w:webHidden/>
          </w:rPr>
          <w:instrText xml:space="preserve"> PAGEREF _Toc192875092 \h </w:instrText>
        </w:r>
        <w:r>
          <w:rPr>
            <w:noProof/>
            <w:webHidden/>
          </w:rPr>
        </w:r>
        <w:r>
          <w:rPr>
            <w:noProof/>
            <w:webHidden/>
          </w:rPr>
          <w:fldChar w:fldCharType="separate"/>
        </w:r>
        <w:r>
          <w:rPr>
            <w:noProof/>
            <w:webHidden/>
          </w:rPr>
          <w:t>24</w:t>
        </w:r>
        <w:r>
          <w:rPr>
            <w:noProof/>
            <w:webHidden/>
          </w:rPr>
          <w:fldChar w:fldCharType="end"/>
        </w:r>
      </w:hyperlink>
    </w:p>
    <w:p w14:paraId="691568A9" w14:textId="4C575B49" w:rsidR="00274557" w:rsidRDefault="00274557">
      <w:pPr>
        <w:pStyle w:val="TableofFigures"/>
        <w:rPr>
          <w:rFonts w:asciiTheme="minorHAnsi" w:eastAsiaTheme="minorEastAsia" w:hAnsiTheme="minorHAnsi"/>
          <w:noProof/>
          <w:kern w:val="2"/>
          <w:sz w:val="22"/>
          <w14:ligatures w14:val="standardContextual"/>
        </w:rPr>
      </w:pPr>
      <w:hyperlink w:anchor="_Toc192875093" w:history="1">
        <w:r>
          <w:rPr>
            <w:rStyle w:val="Hyperlink"/>
            <w:noProof/>
          </w:rPr>
          <w:t>Table 2</w:t>
        </w:r>
        <w:r>
          <w:rPr>
            <w:rStyle w:val="Hyperlink"/>
            <w:noProof/>
          </w:rPr>
          <w:noBreakHyphen/>
          <w:t>8:</w:t>
        </w:r>
        <w:r>
          <w:rPr>
            <w:rStyle w:val="Hyperlink"/>
            <w:rFonts w:cs="Arial"/>
            <w:noProof/>
          </w:rPr>
          <w:t xml:space="preserve"> Business Process Analysis Process Flow Narrative</w:t>
        </w:r>
        <w:r>
          <w:rPr>
            <w:noProof/>
            <w:webHidden/>
          </w:rPr>
          <w:tab/>
        </w:r>
        <w:r>
          <w:rPr>
            <w:noProof/>
            <w:webHidden/>
          </w:rPr>
          <w:fldChar w:fldCharType="begin"/>
        </w:r>
        <w:r>
          <w:rPr>
            <w:noProof/>
            <w:webHidden/>
          </w:rPr>
          <w:instrText xml:space="preserve"> PAGEREF _Toc192875093 \h </w:instrText>
        </w:r>
        <w:r>
          <w:rPr>
            <w:noProof/>
            <w:webHidden/>
          </w:rPr>
        </w:r>
        <w:r>
          <w:rPr>
            <w:noProof/>
            <w:webHidden/>
          </w:rPr>
          <w:fldChar w:fldCharType="separate"/>
        </w:r>
        <w:r>
          <w:rPr>
            <w:noProof/>
            <w:webHidden/>
          </w:rPr>
          <w:t>27</w:t>
        </w:r>
        <w:r>
          <w:rPr>
            <w:noProof/>
            <w:webHidden/>
          </w:rPr>
          <w:fldChar w:fldCharType="end"/>
        </w:r>
      </w:hyperlink>
    </w:p>
    <w:p w14:paraId="755D1680" w14:textId="387126CB" w:rsidR="00274557" w:rsidRDefault="00274557">
      <w:pPr>
        <w:pStyle w:val="TableofFigures"/>
        <w:rPr>
          <w:rFonts w:asciiTheme="minorHAnsi" w:eastAsiaTheme="minorEastAsia" w:hAnsiTheme="minorHAnsi"/>
          <w:noProof/>
          <w:kern w:val="2"/>
          <w:sz w:val="22"/>
          <w14:ligatures w14:val="standardContextual"/>
        </w:rPr>
      </w:pPr>
      <w:hyperlink w:anchor="_Toc192875094" w:history="1">
        <w:r>
          <w:rPr>
            <w:rStyle w:val="Hyperlink"/>
            <w:noProof/>
          </w:rPr>
          <w:t>Table 2</w:t>
        </w:r>
        <w:r>
          <w:rPr>
            <w:rStyle w:val="Hyperlink"/>
            <w:noProof/>
          </w:rPr>
          <w:noBreakHyphen/>
          <w:t>9:</w:t>
        </w:r>
        <w:r>
          <w:rPr>
            <w:rStyle w:val="Hyperlink"/>
            <w:rFonts w:cs="Arial"/>
            <w:noProof/>
          </w:rPr>
          <w:t xml:space="preserve"> Business Process Analysis Phase Exit Criteria</w:t>
        </w:r>
        <w:r>
          <w:rPr>
            <w:noProof/>
            <w:webHidden/>
          </w:rPr>
          <w:tab/>
        </w:r>
        <w:r>
          <w:rPr>
            <w:noProof/>
            <w:webHidden/>
          </w:rPr>
          <w:fldChar w:fldCharType="begin"/>
        </w:r>
        <w:r>
          <w:rPr>
            <w:noProof/>
            <w:webHidden/>
          </w:rPr>
          <w:instrText xml:space="preserve"> PAGEREF _Toc192875094 \h </w:instrText>
        </w:r>
        <w:r>
          <w:rPr>
            <w:noProof/>
            <w:webHidden/>
          </w:rPr>
        </w:r>
        <w:r>
          <w:rPr>
            <w:noProof/>
            <w:webHidden/>
          </w:rPr>
          <w:fldChar w:fldCharType="separate"/>
        </w:r>
        <w:r>
          <w:rPr>
            <w:noProof/>
            <w:webHidden/>
          </w:rPr>
          <w:t>28</w:t>
        </w:r>
        <w:r>
          <w:rPr>
            <w:noProof/>
            <w:webHidden/>
          </w:rPr>
          <w:fldChar w:fldCharType="end"/>
        </w:r>
      </w:hyperlink>
    </w:p>
    <w:p w14:paraId="0F35170D" w14:textId="38A76E08" w:rsidR="00274557" w:rsidRDefault="00274557">
      <w:pPr>
        <w:pStyle w:val="TableofFigures"/>
        <w:rPr>
          <w:rFonts w:asciiTheme="minorHAnsi" w:eastAsiaTheme="minorEastAsia" w:hAnsiTheme="minorHAnsi"/>
          <w:noProof/>
          <w:kern w:val="2"/>
          <w:sz w:val="22"/>
          <w14:ligatures w14:val="standardContextual"/>
        </w:rPr>
      </w:pPr>
      <w:hyperlink w:anchor="_Toc192875095" w:history="1">
        <w:r>
          <w:rPr>
            <w:rStyle w:val="Hyperlink"/>
            <w:noProof/>
          </w:rPr>
          <w:t>Table 2</w:t>
        </w:r>
        <w:r>
          <w:rPr>
            <w:rStyle w:val="Hyperlink"/>
            <w:noProof/>
          </w:rPr>
          <w:noBreakHyphen/>
          <w:t xml:space="preserve">10: </w:t>
        </w:r>
        <w:r>
          <w:rPr>
            <w:rStyle w:val="Hyperlink"/>
            <w:rFonts w:cs="Arial"/>
            <w:noProof/>
          </w:rPr>
          <w:t>Requirements Gathering Phase Entry Criteria</w:t>
        </w:r>
        <w:r>
          <w:rPr>
            <w:noProof/>
            <w:webHidden/>
          </w:rPr>
          <w:tab/>
        </w:r>
        <w:r>
          <w:rPr>
            <w:noProof/>
            <w:webHidden/>
          </w:rPr>
          <w:fldChar w:fldCharType="begin"/>
        </w:r>
        <w:r>
          <w:rPr>
            <w:noProof/>
            <w:webHidden/>
          </w:rPr>
          <w:instrText xml:space="preserve"> PAGEREF _Toc192875095 \h </w:instrText>
        </w:r>
        <w:r>
          <w:rPr>
            <w:noProof/>
            <w:webHidden/>
          </w:rPr>
        </w:r>
        <w:r>
          <w:rPr>
            <w:noProof/>
            <w:webHidden/>
          </w:rPr>
          <w:fldChar w:fldCharType="separate"/>
        </w:r>
        <w:r>
          <w:rPr>
            <w:noProof/>
            <w:webHidden/>
          </w:rPr>
          <w:t>29</w:t>
        </w:r>
        <w:r>
          <w:rPr>
            <w:noProof/>
            <w:webHidden/>
          </w:rPr>
          <w:fldChar w:fldCharType="end"/>
        </w:r>
      </w:hyperlink>
    </w:p>
    <w:p w14:paraId="02C20C97" w14:textId="4C51F6BC" w:rsidR="00274557" w:rsidRDefault="00274557">
      <w:pPr>
        <w:pStyle w:val="TableofFigures"/>
        <w:rPr>
          <w:rFonts w:asciiTheme="minorHAnsi" w:eastAsiaTheme="minorEastAsia" w:hAnsiTheme="minorHAnsi"/>
          <w:noProof/>
          <w:kern w:val="2"/>
          <w:sz w:val="22"/>
          <w14:ligatures w14:val="standardContextual"/>
        </w:rPr>
      </w:pPr>
      <w:hyperlink w:anchor="_Toc192875096" w:history="1">
        <w:r>
          <w:rPr>
            <w:rStyle w:val="Hyperlink"/>
            <w:noProof/>
          </w:rPr>
          <w:t>Table 2</w:t>
        </w:r>
        <w:r>
          <w:rPr>
            <w:rStyle w:val="Hyperlink"/>
            <w:noProof/>
          </w:rPr>
          <w:noBreakHyphen/>
          <w:t>11:</w:t>
        </w:r>
        <w:r>
          <w:rPr>
            <w:rStyle w:val="Hyperlink"/>
            <w:rFonts w:cs="Arial"/>
            <w:noProof/>
          </w:rPr>
          <w:t xml:space="preserve"> Requirements Gathering Phase Process Flow Narrative</w:t>
        </w:r>
        <w:r>
          <w:rPr>
            <w:noProof/>
            <w:webHidden/>
          </w:rPr>
          <w:tab/>
        </w:r>
        <w:r>
          <w:rPr>
            <w:noProof/>
            <w:webHidden/>
          </w:rPr>
          <w:fldChar w:fldCharType="begin"/>
        </w:r>
        <w:r>
          <w:rPr>
            <w:noProof/>
            <w:webHidden/>
          </w:rPr>
          <w:instrText xml:space="preserve"> PAGEREF _Toc192875096 \h </w:instrText>
        </w:r>
        <w:r>
          <w:rPr>
            <w:noProof/>
            <w:webHidden/>
          </w:rPr>
        </w:r>
        <w:r>
          <w:rPr>
            <w:noProof/>
            <w:webHidden/>
          </w:rPr>
          <w:fldChar w:fldCharType="separate"/>
        </w:r>
        <w:r>
          <w:rPr>
            <w:noProof/>
            <w:webHidden/>
          </w:rPr>
          <w:t>33</w:t>
        </w:r>
        <w:r>
          <w:rPr>
            <w:noProof/>
            <w:webHidden/>
          </w:rPr>
          <w:fldChar w:fldCharType="end"/>
        </w:r>
      </w:hyperlink>
    </w:p>
    <w:p w14:paraId="6969BF8A" w14:textId="090178EC" w:rsidR="00274557" w:rsidRDefault="00274557">
      <w:pPr>
        <w:pStyle w:val="TableofFigures"/>
        <w:rPr>
          <w:rFonts w:asciiTheme="minorHAnsi" w:eastAsiaTheme="minorEastAsia" w:hAnsiTheme="minorHAnsi"/>
          <w:noProof/>
          <w:kern w:val="2"/>
          <w:sz w:val="22"/>
          <w14:ligatures w14:val="standardContextual"/>
        </w:rPr>
      </w:pPr>
      <w:hyperlink w:anchor="_Toc192875097" w:history="1">
        <w:r>
          <w:rPr>
            <w:rStyle w:val="Hyperlink"/>
            <w:noProof/>
          </w:rPr>
          <w:t>Table 2</w:t>
        </w:r>
        <w:r>
          <w:rPr>
            <w:rStyle w:val="Hyperlink"/>
            <w:noProof/>
          </w:rPr>
          <w:noBreakHyphen/>
          <w:t>12: Requirements Gathering Phase Exit Criteria</w:t>
        </w:r>
        <w:r>
          <w:rPr>
            <w:noProof/>
            <w:webHidden/>
          </w:rPr>
          <w:tab/>
        </w:r>
        <w:r>
          <w:rPr>
            <w:noProof/>
            <w:webHidden/>
          </w:rPr>
          <w:fldChar w:fldCharType="begin"/>
        </w:r>
        <w:r>
          <w:rPr>
            <w:noProof/>
            <w:webHidden/>
          </w:rPr>
          <w:instrText xml:space="preserve"> PAGEREF _Toc192875097 \h </w:instrText>
        </w:r>
        <w:r>
          <w:rPr>
            <w:noProof/>
            <w:webHidden/>
          </w:rPr>
        </w:r>
        <w:r>
          <w:rPr>
            <w:noProof/>
            <w:webHidden/>
          </w:rPr>
          <w:fldChar w:fldCharType="separate"/>
        </w:r>
        <w:r>
          <w:rPr>
            <w:noProof/>
            <w:webHidden/>
          </w:rPr>
          <w:t>34</w:t>
        </w:r>
        <w:r>
          <w:rPr>
            <w:noProof/>
            <w:webHidden/>
          </w:rPr>
          <w:fldChar w:fldCharType="end"/>
        </w:r>
      </w:hyperlink>
    </w:p>
    <w:p w14:paraId="18E6044D" w14:textId="4321247C" w:rsidR="00274557" w:rsidRDefault="00274557">
      <w:pPr>
        <w:pStyle w:val="TableofFigures"/>
        <w:rPr>
          <w:rFonts w:asciiTheme="minorHAnsi" w:eastAsiaTheme="minorEastAsia" w:hAnsiTheme="minorHAnsi"/>
          <w:noProof/>
          <w:kern w:val="2"/>
          <w:sz w:val="22"/>
          <w14:ligatures w14:val="standardContextual"/>
        </w:rPr>
      </w:pPr>
      <w:hyperlink w:anchor="_Toc192875098" w:history="1">
        <w:r>
          <w:rPr>
            <w:rStyle w:val="Hyperlink"/>
            <w:noProof/>
          </w:rPr>
          <w:t>Table 2</w:t>
        </w:r>
        <w:r>
          <w:rPr>
            <w:rStyle w:val="Hyperlink"/>
            <w:noProof/>
          </w:rPr>
          <w:noBreakHyphen/>
          <w:t>13: Prioritization and Iteration/Bundle Planning Phase Entry Criteria</w:t>
        </w:r>
        <w:r>
          <w:rPr>
            <w:noProof/>
            <w:webHidden/>
          </w:rPr>
          <w:tab/>
        </w:r>
        <w:r>
          <w:rPr>
            <w:noProof/>
            <w:webHidden/>
          </w:rPr>
          <w:fldChar w:fldCharType="begin"/>
        </w:r>
        <w:r>
          <w:rPr>
            <w:noProof/>
            <w:webHidden/>
          </w:rPr>
          <w:instrText xml:space="preserve"> PAGEREF _Toc192875098 \h </w:instrText>
        </w:r>
        <w:r>
          <w:rPr>
            <w:noProof/>
            <w:webHidden/>
          </w:rPr>
        </w:r>
        <w:r>
          <w:rPr>
            <w:noProof/>
            <w:webHidden/>
          </w:rPr>
          <w:fldChar w:fldCharType="separate"/>
        </w:r>
        <w:r>
          <w:rPr>
            <w:noProof/>
            <w:webHidden/>
          </w:rPr>
          <w:t>34</w:t>
        </w:r>
        <w:r>
          <w:rPr>
            <w:noProof/>
            <w:webHidden/>
          </w:rPr>
          <w:fldChar w:fldCharType="end"/>
        </w:r>
      </w:hyperlink>
    </w:p>
    <w:p w14:paraId="4B3FCF6B" w14:textId="59259210" w:rsidR="00274557" w:rsidRDefault="00274557">
      <w:pPr>
        <w:pStyle w:val="TableofFigures"/>
        <w:rPr>
          <w:rFonts w:asciiTheme="minorHAnsi" w:eastAsiaTheme="minorEastAsia" w:hAnsiTheme="minorHAnsi"/>
          <w:noProof/>
          <w:kern w:val="2"/>
          <w:sz w:val="22"/>
          <w14:ligatures w14:val="standardContextual"/>
        </w:rPr>
      </w:pPr>
      <w:hyperlink w:anchor="_Toc192875099" w:history="1">
        <w:r>
          <w:rPr>
            <w:rStyle w:val="Hyperlink"/>
            <w:noProof/>
          </w:rPr>
          <w:t>Table 2</w:t>
        </w:r>
        <w:r>
          <w:rPr>
            <w:rStyle w:val="Hyperlink"/>
            <w:noProof/>
          </w:rPr>
          <w:noBreakHyphen/>
          <w:t>14: Prioritization and Iteration/Bundle Planning Phase Process Flow Narrative</w:t>
        </w:r>
        <w:r>
          <w:rPr>
            <w:noProof/>
            <w:webHidden/>
          </w:rPr>
          <w:tab/>
        </w:r>
        <w:r>
          <w:rPr>
            <w:noProof/>
            <w:webHidden/>
          </w:rPr>
          <w:fldChar w:fldCharType="begin"/>
        </w:r>
        <w:r>
          <w:rPr>
            <w:noProof/>
            <w:webHidden/>
          </w:rPr>
          <w:instrText xml:space="preserve"> PAGEREF _Toc192875099 \h </w:instrText>
        </w:r>
        <w:r>
          <w:rPr>
            <w:noProof/>
            <w:webHidden/>
          </w:rPr>
        </w:r>
        <w:r>
          <w:rPr>
            <w:noProof/>
            <w:webHidden/>
          </w:rPr>
          <w:fldChar w:fldCharType="separate"/>
        </w:r>
        <w:r>
          <w:rPr>
            <w:noProof/>
            <w:webHidden/>
          </w:rPr>
          <w:t>38</w:t>
        </w:r>
        <w:r>
          <w:rPr>
            <w:noProof/>
            <w:webHidden/>
          </w:rPr>
          <w:fldChar w:fldCharType="end"/>
        </w:r>
      </w:hyperlink>
    </w:p>
    <w:p w14:paraId="6A0526B7" w14:textId="423738CB" w:rsidR="00274557" w:rsidRDefault="00274557">
      <w:pPr>
        <w:pStyle w:val="TableofFigures"/>
        <w:rPr>
          <w:rFonts w:asciiTheme="minorHAnsi" w:eastAsiaTheme="minorEastAsia" w:hAnsiTheme="minorHAnsi"/>
          <w:noProof/>
          <w:kern w:val="2"/>
          <w:sz w:val="22"/>
          <w14:ligatures w14:val="standardContextual"/>
        </w:rPr>
      </w:pPr>
      <w:hyperlink w:anchor="_Toc192875100" w:history="1">
        <w:r>
          <w:rPr>
            <w:rStyle w:val="Hyperlink"/>
            <w:noProof/>
          </w:rPr>
          <w:t>Table 2</w:t>
        </w:r>
        <w:r>
          <w:rPr>
            <w:rStyle w:val="Hyperlink"/>
            <w:noProof/>
          </w:rPr>
          <w:noBreakHyphen/>
          <w:t>15: Prioritization and Iteration/Bundle Planning Phase Exit Criteria</w:t>
        </w:r>
        <w:r>
          <w:rPr>
            <w:noProof/>
            <w:webHidden/>
          </w:rPr>
          <w:tab/>
        </w:r>
        <w:r>
          <w:rPr>
            <w:noProof/>
            <w:webHidden/>
          </w:rPr>
          <w:fldChar w:fldCharType="begin"/>
        </w:r>
        <w:r>
          <w:rPr>
            <w:noProof/>
            <w:webHidden/>
          </w:rPr>
          <w:instrText xml:space="preserve"> PAGEREF _Toc192875100 \h </w:instrText>
        </w:r>
        <w:r>
          <w:rPr>
            <w:noProof/>
            <w:webHidden/>
          </w:rPr>
        </w:r>
        <w:r>
          <w:rPr>
            <w:noProof/>
            <w:webHidden/>
          </w:rPr>
          <w:fldChar w:fldCharType="separate"/>
        </w:r>
        <w:r>
          <w:rPr>
            <w:noProof/>
            <w:webHidden/>
          </w:rPr>
          <w:t>39</w:t>
        </w:r>
        <w:r>
          <w:rPr>
            <w:noProof/>
            <w:webHidden/>
          </w:rPr>
          <w:fldChar w:fldCharType="end"/>
        </w:r>
      </w:hyperlink>
    </w:p>
    <w:p w14:paraId="62AB3B6E" w14:textId="796AA894" w:rsidR="00274557" w:rsidRDefault="00274557">
      <w:pPr>
        <w:pStyle w:val="TableofFigures"/>
        <w:rPr>
          <w:rFonts w:asciiTheme="minorHAnsi" w:eastAsiaTheme="minorEastAsia" w:hAnsiTheme="minorHAnsi"/>
          <w:noProof/>
          <w:kern w:val="2"/>
          <w:sz w:val="22"/>
          <w14:ligatures w14:val="standardContextual"/>
        </w:rPr>
      </w:pPr>
      <w:hyperlink w:anchor="_Toc192875101" w:history="1">
        <w:r>
          <w:rPr>
            <w:rStyle w:val="Hyperlink"/>
            <w:noProof/>
          </w:rPr>
          <w:t>Table 2</w:t>
        </w:r>
        <w:r>
          <w:rPr>
            <w:rStyle w:val="Hyperlink"/>
            <w:noProof/>
          </w:rPr>
          <w:noBreakHyphen/>
          <w:t>16: Design Phase Entry Criteria</w:t>
        </w:r>
        <w:r>
          <w:rPr>
            <w:noProof/>
            <w:webHidden/>
          </w:rPr>
          <w:tab/>
        </w:r>
        <w:r>
          <w:rPr>
            <w:noProof/>
            <w:webHidden/>
          </w:rPr>
          <w:fldChar w:fldCharType="begin"/>
        </w:r>
        <w:r>
          <w:rPr>
            <w:noProof/>
            <w:webHidden/>
          </w:rPr>
          <w:instrText xml:space="preserve"> PAGEREF _Toc192875101 \h </w:instrText>
        </w:r>
        <w:r>
          <w:rPr>
            <w:noProof/>
            <w:webHidden/>
          </w:rPr>
        </w:r>
        <w:r>
          <w:rPr>
            <w:noProof/>
            <w:webHidden/>
          </w:rPr>
          <w:fldChar w:fldCharType="separate"/>
        </w:r>
        <w:r>
          <w:rPr>
            <w:noProof/>
            <w:webHidden/>
          </w:rPr>
          <w:t>40</w:t>
        </w:r>
        <w:r>
          <w:rPr>
            <w:noProof/>
            <w:webHidden/>
          </w:rPr>
          <w:fldChar w:fldCharType="end"/>
        </w:r>
      </w:hyperlink>
    </w:p>
    <w:p w14:paraId="5E13DBF4" w14:textId="40B527FD" w:rsidR="00274557" w:rsidRDefault="00274557">
      <w:pPr>
        <w:pStyle w:val="TableofFigures"/>
        <w:rPr>
          <w:rFonts w:asciiTheme="minorHAnsi" w:eastAsiaTheme="minorEastAsia" w:hAnsiTheme="minorHAnsi"/>
          <w:noProof/>
          <w:kern w:val="2"/>
          <w:sz w:val="22"/>
          <w14:ligatures w14:val="standardContextual"/>
        </w:rPr>
      </w:pPr>
      <w:hyperlink w:anchor="_Toc192875102" w:history="1">
        <w:r>
          <w:rPr>
            <w:rStyle w:val="Hyperlink"/>
            <w:noProof/>
          </w:rPr>
          <w:t>Table 2</w:t>
        </w:r>
        <w:r>
          <w:rPr>
            <w:rStyle w:val="Hyperlink"/>
            <w:noProof/>
          </w:rPr>
          <w:noBreakHyphen/>
          <w:t>17: Design Phase Process Flow Narrative</w:t>
        </w:r>
        <w:r>
          <w:rPr>
            <w:noProof/>
            <w:webHidden/>
          </w:rPr>
          <w:tab/>
        </w:r>
        <w:r>
          <w:rPr>
            <w:noProof/>
            <w:webHidden/>
          </w:rPr>
          <w:fldChar w:fldCharType="begin"/>
        </w:r>
        <w:r>
          <w:rPr>
            <w:noProof/>
            <w:webHidden/>
          </w:rPr>
          <w:instrText xml:space="preserve"> PAGEREF _Toc192875102 \h </w:instrText>
        </w:r>
        <w:r>
          <w:rPr>
            <w:noProof/>
            <w:webHidden/>
          </w:rPr>
        </w:r>
        <w:r>
          <w:rPr>
            <w:noProof/>
            <w:webHidden/>
          </w:rPr>
          <w:fldChar w:fldCharType="separate"/>
        </w:r>
        <w:r>
          <w:rPr>
            <w:noProof/>
            <w:webHidden/>
          </w:rPr>
          <w:t>45</w:t>
        </w:r>
        <w:r>
          <w:rPr>
            <w:noProof/>
            <w:webHidden/>
          </w:rPr>
          <w:fldChar w:fldCharType="end"/>
        </w:r>
      </w:hyperlink>
    </w:p>
    <w:p w14:paraId="3AE9F62F" w14:textId="3311C641" w:rsidR="00274557" w:rsidRDefault="00274557">
      <w:pPr>
        <w:pStyle w:val="TableofFigures"/>
        <w:rPr>
          <w:rFonts w:asciiTheme="minorHAnsi" w:eastAsiaTheme="minorEastAsia" w:hAnsiTheme="minorHAnsi"/>
          <w:noProof/>
          <w:kern w:val="2"/>
          <w:sz w:val="22"/>
          <w14:ligatures w14:val="standardContextual"/>
        </w:rPr>
      </w:pPr>
      <w:hyperlink w:anchor="_Toc192875103" w:history="1">
        <w:r>
          <w:rPr>
            <w:rStyle w:val="Hyperlink"/>
            <w:noProof/>
          </w:rPr>
          <w:t>Table 2</w:t>
        </w:r>
        <w:r>
          <w:rPr>
            <w:rStyle w:val="Hyperlink"/>
            <w:noProof/>
          </w:rPr>
          <w:noBreakHyphen/>
          <w:t>18:</w:t>
        </w:r>
        <w:r>
          <w:rPr>
            <w:rStyle w:val="Hyperlink"/>
            <w:rFonts w:cs="Arial"/>
            <w:noProof/>
          </w:rPr>
          <w:t xml:space="preserve"> Design Phase Exit Criteria</w:t>
        </w:r>
        <w:r>
          <w:rPr>
            <w:noProof/>
            <w:webHidden/>
          </w:rPr>
          <w:tab/>
        </w:r>
        <w:r>
          <w:rPr>
            <w:noProof/>
            <w:webHidden/>
          </w:rPr>
          <w:fldChar w:fldCharType="begin"/>
        </w:r>
        <w:r>
          <w:rPr>
            <w:noProof/>
            <w:webHidden/>
          </w:rPr>
          <w:instrText xml:space="preserve"> PAGEREF _Toc192875103 \h </w:instrText>
        </w:r>
        <w:r>
          <w:rPr>
            <w:noProof/>
            <w:webHidden/>
          </w:rPr>
        </w:r>
        <w:r>
          <w:rPr>
            <w:noProof/>
            <w:webHidden/>
          </w:rPr>
          <w:fldChar w:fldCharType="separate"/>
        </w:r>
        <w:r>
          <w:rPr>
            <w:noProof/>
            <w:webHidden/>
          </w:rPr>
          <w:t>45</w:t>
        </w:r>
        <w:r>
          <w:rPr>
            <w:noProof/>
            <w:webHidden/>
          </w:rPr>
          <w:fldChar w:fldCharType="end"/>
        </w:r>
      </w:hyperlink>
    </w:p>
    <w:p w14:paraId="3C963B0C" w14:textId="6CC0A947" w:rsidR="00274557" w:rsidRDefault="00274557">
      <w:pPr>
        <w:pStyle w:val="TableofFigures"/>
        <w:rPr>
          <w:rFonts w:asciiTheme="minorHAnsi" w:eastAsiaTheme="minorEastAsia" w:hAnsiTheme="minorHAnsi"/>
          <w:noProof/>
          <w:kern w:val="2"/>
          <w:sz w:val="22"/>
          <w14:ligatures w14:val="standardContextual"/>
        </w:rPr>
      </w:pPr>
      <w:hyperlink w:anchor="_Toc192875104" w:history="1">
        <w:r>
          <w:rPr>
            <w:rStyle w:val="Hyperlink"/>
            <w:noProof/>
          </w:rPr>
          <w:t>Table 2</w:t>
        </w:r>
        <w:r>
          <w:rPr>
            <w:rStyle w:val="Hyperlink"/>
            <w:noProof/>
          </w:rPr>
          <w:noBreakHyphen/>
          <w:t>19:</w:t>
        </w:r>
        <w:r>
          <w:rPr>
            <w:rStyle w:val="Hyperlink"/>
            <w:rFonts w:cs="Arial"/>
            <w:noProof/>
          </w:rPr>
          <w:t xml:space="preserve"> Development Phase Entry Criteria</w:t>
        </w:r>
        <w:r>
          <w:rPr>
            <w:noProof/>
            <w:webHidden/>
          </w:rPr>
          <w:tab/>
        </w:r>
        <w:r>
          <w:rPr>
            <w:noProof/>
            <w:webHidden/>
          </w:rPr>
          <w:fldChar w:fldCharType="begin"/>
        </w:r>
        <w:r>
          <w:rPr>
            <w:noProof/>
            <w:webHidden/>
          </w:rPr>
          <w:instrText xml:space="preserve"> PAGEREF _Toc192875104 \h </w:instrText>
        </w:r>
        <w:r>
          <w:rPr>
            <w:noProof/>
            <w:webHidden/>
          </w:rPr>
        </w:r>
        <w:r>
          <w:rPr>
            <w:noProof/>
            <w:webHidden/>
          </w:rPr>
          <w:fldChar w:fldCharType="separate"/>
        </w:r>
        <w:r>
          <w:rPr>
            <w:noProof/>
            <w:webHidden/>
          </w:rPr>
          <w:t>46</w:t>
        </w:r>
        <w:r>
          <w:rPr>
            <w:noProof/>
            <w:webHidden/>
          </w:rPr>
          <w:fldChar w:fldCharType="end"/>
        </w:r>
      </w:hyperlink>
    </w:p>
    <w:p w14:paraId="6A640A42" w14:textId="51356C42" w:rsidR="00274557" w:rsidRDefault="00274557">
      <w:pPr>
        <w:pStyle w:val="TableofFigures"/>
        <w:rPr>
          <w:rFonts w:asciiTheme="minorHAnsi" w:eastAsiaTheme="minorEastAsia" w:hAnsiTheme="minorHAnsi"/>
          <w:noProof/>
          <w:kern w:val="2"/>
          <w:sz w:val="22"/>
          <w14:ligatures w14:val="standardContextual"/>
        </w:rPr>
      </w:pPr>
      <w:hyperlink w:anchor="_Toc192875105" w:history="1">
        <w:r>
          <w:rPr>
            <w:rStyle w:val="Hyperlink"/>
            <w:noProof/>
          </w:rPr>
          <w:t>Table 2</w:t>
        </w:r>
        <w:r>
          <w:rPr>
            <w:rStyle w:val="Hyperlink"/>
            <w:noProof/>
          </w:rPr>
          <w:noBreakHyphen/>
          <w:t>20: Development Phase Process Flow Narrative</w:t>
        </w:r>
        <w:r>
          <w:rPr>
            <w:noProof/>
            <w:webHidden/>
          </w:rPr>
          <w:tab/>
        </w:r>
        <w:r>
          <w:rPr>
            <w:noProof/>
            <w:webHidden/>
          </w:rPr>
          <w:fldChar w:fldCharType="begin"/>
        </w:r>
        <w:r>
          <w:rPr>
            <w:noProof/>
            <w:webHidden/>
          </w:rPr>
          <w:instrText xml:space="preserve"> PAGEREF _Toc192875105 \h </w:instrText>
        </w:r>
        <w:r>
          <w:rPr>
            <w:noProof/>
            <w:webHidden/>
          </w:rPr>
        </w:r>
        <w:r>
          <w:rPr>
            <w:noProof/>
            <w:webHidden/>
          </w:rPr>
          <w:fldChar w:fldCharType="separate"/>
        </w:r>
        <w:r>
          <w:rPr>
            <w:noProof/>
            <w:webHidden/>
          </w:rPr>
          <w:t>51</w:t>
        </w:r>
        <w:r>
          <w:rPr>
            <w:noProof/>
            <w:webHidden/>
          </w:rPr>
          <w:fldChar w:fldCharType="end"/>
        </w:r>
      </w:hyperlink>
    </w:p>
    <w:p w14:paraId="1AEA6A15" w14:textId="1C229F83" w:rsidR="00274557" w:rsidRDefault="00274557">
      <w:pPr>
        <w:pStyle w:val="TableofFigures"/>
        <w:rPr>
          <w:rFonts w:asciiTheme="minorHAnsi" w:eastAsiaTheme="minorEastAsia" w:hAnsiTheme="minorHAnsi"/>
          <w:noProof/>
          <w:kern w:val="2"/>
          <w:sz w:val="22"/>
          <w14:ligatures w14:val="standardContextual"/>
        </w:rPr>
      </w:pPr>
      <w:hyperlink w:anchor="_Toc192875106" w:history="1">
        <w:r>
          <w:rPr>
            <w:rStyle w:val="Hyperlink"/>
            <w:noProof/>
          </w:rPr>
          <w:t>Table 2</w:t>
        </w:r>
        <w:r>
          <w:rPr>
            <w:rStyle w:val="Hyperlink"/>
            <w:noProof/>
          </w:rPr>
          <w:noBreakHyphen/>
          <w:t>21:</w:t>
        </w:r>
        <w:r>
          <w:rPr>
            <w:rStyle w:val="Hyperlink"/>
            <w:rFonts w:cs="Arial"/>
            <w:noProof/>
          </w:rPr>
          <w:t xml:space="preserve"> Development Phase Exit Criteria</w:t>
        </w:r>
        <w:r>
          <w:rPr>
            <w:noProof/>
            <w:webHidden/>
          </w:rPr>
          <w:tab/>
        </w:r>
        <w:r>
          <w:rPr>
            <w:noProof/>
            <w:webHidden/>
          </w:rPr>
          <w:fldChar w:fldCharType="begin"/>
        </w:r>
        <w:r>
          <w:rPr>
            <w:noProof/>
            <w:webHidden/>
          </w:rPr>
          <w:instrText xml:space="preserve"> PAGEREF _Toc192875106 \h </w:instrText>
        </w:r>
        <w:r>
          <w:rPr>
            <w:noProof/>
            <w:webHidden/>
          </w:rPr>
        </w:r>
        <w:r>
          <w:rPr>
            <w:noProof/>
            <w:webHidden/>
          </w:rPr>
          <w:fldChar w:fldCharType="separate"/>
        </w:r>
        <w:r>
          <w:rPr>
            <w:noProof/>
            <w:webHidden/>
          </w:rPr>
          <w:t>52</w:t>
        </w:r>
        <w:r>
          <w:rPr>
            <w:noProof/>
            <w:webHidden/>
          </w:rPr>
          <w:fldChar w:fldCharType="end"/>
        </w:r>
      </w:hyperlink>
    </w:p>
    <w:p w14:paraId="2DF474E2" w14:textId="02EF3CEB" w:rsidR="00274557" w:rsidRDefault="00274557">
      <w:pPr>
        <w:pStyle w:val="TableofFigures"/>
        <w:rPr>
          <w:rFonts w:asciiTheme="minorHAnsi" w:eastAsiaTheme="minorEastAsia" w:hAnsiTheme="minorHAnsi"/>
          <w:noProof/>
          <w:kern w:val="2"/>
          <w:sz w:val="22"/>
          <w14:ligatures w14:val="standardContextual"/>
        </w:rPr>
      </w:pPr>
      <w:hyperlink w:anchor="_Toc192875107" w:history="1">
        <w:r>
          <w:rPr>
            <w:rStyle w:val="Hyperlink"/>
            <w:noProof/>
          </w:rPr>
          <w:t>Table 2</w:t>
        </w:r>
        <w:r>
          <w:rPr>
            <w:rStyle w:val="Hyperlink"/>
            <w:noProof/>
          </w:rPr>
          <w:noBreakHyphen/>
          <w:t>22:</w:t>
        </w:r>
        <w:r>
          <w:rPr>
            <w:rStyle w:val="Hyperlink"/>
            <w:rFonts w:cs="Arial"/>
            <w:noProof/>
          </w:rPr>
          <w:t xml:space="preserve"> SIT Phase Entry Criteria</w:t>
        </w:r>
        <w:r>
          <w:rPr>
            <w:noProof/>
            <w:webHidden/>
          </w:rPr>
          <w:tab/>
        </w:r>
        <w:r>
          <w:rPr>
            <w:noProof/>
            <w:webHidden/>
          </w:rPr>
          <w:fldChar w:fldCharType="begin"/>
        </w:r>
        <w:r>
          <w:rPr>
            <w:noProof/>
            <w:webHidden/>
          </w:rPr>
          <w:instrText xml:space="preserve"> PAGEREF _Toc192875107 \h </w:instrText>
        </w:r>
        <w:r>
          <w:rPr>
            <w:noProof/>
            <w:webHidden/>
          </w:rPr>
        </w:r>
        <w:r>
          <w:rPr>
            <w:noProof/>
            <w:webHidden/>
          </w:rPr>
          <w:fldChar w:fldCharType="separate"/>
        </w:r>
        <w:r>
          <w:rPr>
            <w:noProof/>
            <w:webHidden/>
          </w:rPr>
          <w:t>52</w:t>
        </w:r>
        <w:r>
          <w:rPr>
            <w:noProof/>
            <w:webHidden/>
          </w:rPr>
          <w:fldChar w:fldCharType="end"/>
        </w:r>
      </w:hyperlink>
    </w:p>
    <w:p w14:paraId="1634BFFF" w14:textId="6B436815" w:rsidR="00274557" w:rsidRDefault="00274557">
      <w:pPr>
        <w:pStyle w:val="TableofFigures"/>
        <w:rPr>
          <w:rFonts w:asciiTheme="minorHAnsi" w:eastAsiaTheme="minorEastAsia" w:hAnsiTheme="minorHAnsi"/>
          <w:noProof/>
          <w:kern w:val="2"/>
          <w:sz w:val="22"/>
          <w14:ligatures w14:val="standardContextual"/>
        </w:rPr>
      </w:pPr>
      <w:hyperlink w:anchor="_Toc192875108" w:history="1">
        <w:r>
          <w:rPr>
            <w:rStyle w:val="Hyperlink"/>
            <w:noProof/>
          </w:rPr>
          <w:t>Table 2</w:t>
        </w:r>
        <w:r>
          <w:rPr>
            <w:rStyle w:val="Hyperlink"/>
            <w:noProof/>
          </w:rPr>
          <w:noBreakHyphen/>
          <w:t>23: SIT Phase Process Flow Narrative</w:t>
        </w:r>
        <w:r>
          <w:rPr>
            <w:noProof/>
            <w:webHidden/>
          </w:rPr>
          <w:tab/>
        </w:r>
        <w:r>
          <w:rPr>
            <w:noProof/>
            <w:webHidden/>
          </w:rPr>
          <w:fldChar w:fldCharType="begin"/>
        </w:r>
        <w:r>
          <w:rPr>
            <w:noProof/>
            <w:webHidden/>
          </w:rPr>
          <w:instrText xml:space="preserve"> PAGEREF _Toc192875108 \h </w:instrText>
        </w:r>
        <w:r>
          <w:rPr>
            <w:noProof/>
            <w:webHidden/>
          </w:rPr>
        </w:r>
        <w:r>
          <w:rPr>
            <w:noProof/>
            <w:webHidden/>
          </w:rPr>
          <w:fldChar w:fldCharType="separate"/>
        </w:r>
        <w:r>
          <w:rPr>
            <w:noProof/>
            <w:webHidden/>
          </w:rPr>
          <w:t>59</w:t>
        </w:r>
        <w:r>
          <w:rPr>
            <w:noProof/>
            <w:webHidden/>
          </w:rPr>
          <w:fldChar w:fldCharType="end"/>
        </w:r>
      </w:hyperlink>
    </w:p>
    <w:p w14:paraId="00B64E77" w14:textId="6FE45A6F" w:rsidR="00274557" w:rsidRDefault="00274557">
      <w:pPr>
        <w:pStyle w:val="TableofFigures"/>
        <w:rPr>
          <w:rFonts w:asciiTheme="minorHAnsi" w:eastAsiaTheme="minorEastAsia" w:hAnsiTheme="minorHAnsi"/>
          <w:noProof/>
          <w:kern w:val="2"/>
          <w:sz w:val="22"/>
          <w14:ligatures w14:val="standardContextual"/>
        </w:rPr>
      </w:pPr>
      <w:hyperlink w:anchor="_Toc192875109" w:history="1">
        <w:r>
          <w:rPr>
            <w:rStyle w:val="Hyperlink"/>
            <w:noProof/>
          </w:rPr>
          <w:t>Table 2</w:t>
        </w:r>
        <w:r>
          <w:rPr>
            <w:rStyle w:val="Hyperlink"/>
            <w:noProof/>
          </w:rPr>
          <w:noBreakHyphen/>
          <w:t>24: SIT Phase Exit Criteria</w:t>
        </w:r>
        <w:r>
          <w:rPr>
            <w:noProof/>
            <w:webHidden/>
          </w:rPr>
          <w:tab/>
        </w:r>
        <w:r>
          <w:rPr>
            <w:noProof/>
            <w:webHidden/>
          </w:rPr>
          <w:fldChar w:fldCharType="begin"/>
        </w:r>
        <w:r>
          <w:rPr>
            <w:noProof/>
            <w:webHidden/>
          </w:rPr>
          <w:instrText xml:space="preserve"> PAGEREF _Toc192875109 \h </w:instrText>
        </w:r>
        <w:r>
          <w:rPr>
            <w:noProof/>
            <w:webHidden/>
          </w:rPr>
        </w:r>
        <w:r>
          <w:rPr>
            <w:noProof/>
            <w:webHidden/>
          </w:rPr>
          <w:fldChar w:fldCharType="separate"/>
        </w:r>
        <w:r>
          <w:rPr>
            <w:noProof/>
            <w:webHidden/>
          </w:rPr>
          <w:t>59</w:t>
        </w:r>
        <w:r>
          <w:rPr>
            <w:noProof/>
            <w:webHidden/>
          </w:rPr>
          <w:fldChar w:fldCharType="end"/>
        </w:r>
      </w:hyperlink>
    </w:p>
    <w:p w14:paraId="6CECE0E0" w14:textId="4CA13253" w:rsidR="00274557" w:rsidRDefault="00274557">
      <w:pPr>
        <w:pStyle w:val="TableofFigures"/>
        <w:rPr>
          <w:rFonts w:asciiTheme="minorHAnsi" w:eastAsiaTheme="minorEastAsia" w:hAnsiTheme="minorHAnsi"/>
          <w:noProof/>
          <w:kern w:val="2"/>
          <w:sz w:val="22"/>
          <w14:ligatures w14:val="standardContextual"/>
        </w:rPr>
      </w:pPr>
      <w:hyperlink w:anchor="_Toc192875110" w:history="1">
        <w:r>
          <w:rPr>
            <w:rStyle w:val="Hyperlink"/>
            <w:noProof/>
          </w:rPr>
          <w:t>Table 2</w:t>
        </w:r>
        <w:r>
          <w:rPr>
            <w:rStyle w:val="Hyperlink"/>
            <w:noProof/>
          </w:rPr>
          <w:noBreakHyphen/>
          <w:t>25:</w:t>
        </w:r>
        <w:r>
          <w:rPr>
            <w:rStyle w:val="Hyperlink"/>
            <w:rFonts w:cs="Arial"/>
            <w:noProof/>
          </w:rPr>
          <w:t xml:space="preserve"> Solution Exploration Phase Entry Criteria</w:t>
        </w:r>
        <w:r>
          <w:rPr>
            <w:noProof/>
            <w:webHidden/>
          </w:rPr>
          <w:tab/>
        </w:r>
        <w:r>
          <w:rPr>
            <w:noProof/>
            <w:webHidden/>
          </w:rPr>
          <w:fldChar w:fldCharType="begin"/>
        </w:r>
        <w:r>
          <w:rPr>
            <w:noProof/>
            <w:webHidden/>
          </w:rPr>
          <w:instrText xml:space="preserve"> PAGEREF _Toc192875110 \h </w:instrText>
        </w:r>
        <w:r>
          <w:rPr>
            <w:noProof/>
            <w:webHidden/>
          </w:rPr>
        </w:r>
        <w:r>
          <w:rPr>
            <w:noProof/>
            <w:webHidden/>
          </w:rPr>
          <w:fldChar w:fldCharType="separate"/>
        </w:r>
        <w:r>
          <w:rPr>
            <w:noProof/>
            <w:webHidden/>
          </w:rPr>
          <w:t>60</w:t>
        </w:r>
        <w:r>
          <w:rPr>
            <w:noProof/>
            <w:webHidden/>
          </w:rPr>
          <w:fldChar w:fldCharType="end"/>
        </w:r>
      </w:hyperlink>
    </w:p>
    <w:p w14:paraId="567BF3AD" w14:textId="71EC4F3B" w:rsidR="00274557" w:rsidRDefault="00274557">
      <w:pPr>
        <w:pStyle w:val="TableofFigures"/>
        <w:rPr>
          <w:rFonts w:asciiTheme="minorHAnsi" w:eastAsiaTheme="minorEastAsia" w:hAnsiTheme="minorHAnsi"/>
          <w:noProof/>
          <w:kern w:val="2"/>
          <w:sz w:val="22"/>
          <w14:ligatures w14:val="standardContextual"/>
        </w:rPr>
      </w:pPr>
      <w:hyperlink w:anchor="_Toc192875111" w:history="1">
        <w:r>
          <w:rPr>
            <w:rStyle w:val="Hyperlink"/>
            <w:noProof/>
          </w:rPr>
          <w:t>Table 2</w:t>
        </w:r>
        <w:r>
          <w:rPr>
            <w:rStyle w:val="Hyperlink"/>
            <w:noProof/>
          </w:rPr>
          <w:noBreakHyphen/>
          <w:t>26: Solution Exploration Phase Process Flow Narrative</w:t>
        </w:r>
        <w:r>
          <w:rPr>
            <w:noProof/>
            <w:webHidden/>
          </w:rPr>
          <w:tab/>
        </w:r>
        <w:r>
          <w:rPr>
            <w:noProof/>
            <w:webHidden/>
          </w:rPr>
          <w:fldChar w:fldCharType="begin"/>
        </w:r>
        <w:r>
          <w:rPr>
            <w:noProof/>
            <w:webHidden/>
          </w:rPr>
          <w:instrText xml:space="preserve"> PAGEREF _Toc192875111 \h </w:instrText>
        </w:r>
        <w:r>
          <w:rPr>
            <w:noProof/>
            <w:webHidden/>
          </w:rPr>
        </w:r>
        <w:r>
          <w:rPr>
            <w:noProof/>
            <w:webHidden/>
          </w:rPr>
          <w:fldChar w:fldCharType="separate"/>
        </w:r>
        <w:r>
          <w:rPr>
            <w:noProof/>
            <w:webHidden/>
          </w:rPr>
          <w:t>62</w:t>
        </w:r>
        <w:r>
          <w:rPr>
            <w:noProof/>
            <w:webHidden/>
          </w:rPr>
          <w:fldChar w:fldCharType="end"/>
        </w:r>
      </w:hyperlink>
    </w:p>
    <w:p w14:paraId="6C40146E" w14:textId="5B9B027F" w:rsidR="00274557" w:rsidRDefault="00274557">
      <w:pPr>
        <w:pStyle w:val="TableofFigures"/>
        <w:rPr>
          <w:rFonts w:asciiTheme="minorHAnsi" w:eastAsiaTheme="minorEastAsia" w:hAnsiTheme="minorHAnsi"/>
          <w:noProof/>
          <w:kern w:val="2"/>
          <w:sz w:val="22"/>
          <w14:ligatures w14:val="standardContextual"/>
        </w:rPr>
      </w:pPr>
      <w:hyperlink w:anchor="_Toc192875112" w:history="1">
        <w:r>
          <w:rPr>
            <w:rStyle w:val="Hyperlink"/>
            <w:noProof/>
          </w:rPr>
          <w:t>Table 2</w:t>
        </w:r>
        <w:r>
          <w:rPr>
            <w:rStyle w:val="Hyperlink"/>
            <w:noProof/>
          </w:rPr>
          <w:noBreakHyphen/>
          <w:t>27: Solution Exploration Phase Exit Criteria</w:t>
        </w:r>
        <w:r>
          <w:rPr>
            <w:noProof/>
            <w:webHidden/>
          </w:rPr>
          <w:tab/>
        </w:r>
        <w:r>
          <w:rPr>
            <w:noProof/>
            <w:webHidden/>
          </w:rPr>
          <w:fldChar w:fldCharType="begin"/>
        </w:r>
        <w:r>
          <w:rPr>
            <w:noProof/>
            <w:webHidden/>
          </w:rPr>
          <w:instrText xml:space="preserve"> PAGEREF _Toc192875112 \h </w:instrText>
        </w:r>
        <w:r>
          <w:rPr>
            <w:noProof/>
            <w:webHidden/>
          </w:rPr>
        </w:r>
        <w:r>
          <w:rPr>
            <w:noProof/>
            <w:webHidden/>
          </w:rPr>
          <w:fldChar w:fldCharType="separate"/>
        </w:r>
        <w:r>
          <w:rPr>
            <w:noProof/>
            <w:webHidden/>
          </w:rPr>
          <w:t>63</w:t>
        </w:r>
        <w:r>
          <w:rPr>
            <w:noProof/>
            <w:webHidden/>
          </w:rPr>
          <w:fldChar w:fldCharType="end"/>
        </w:r>
      </w:hyperlink>
    </w:p>
    <w:p w14:paraId="715C9EF8" w14:textId="7590D052" w:rsidR="00274557" w:rsidRDefault="00274557">
      <w:pPr>
        <w:pStyle w:val="TableofFigures"/>
        <w:rPr>
          <w:rFonts w:asciiTheme="minorHAnsi" w:eastAsiaTheme="minorEastAsia" w:hAnsiTheme="minorHAnsi"/>
          <w:noProof/>
          <w:kern w:val="2"/>
          <w:sz w:val="22"/>
          <w14:ligatures w14:val="standardContextual"/>
        </w:rPr>
      </w:pPr>
      <w:hyperlink w:anchor="_Toc192875113" w:history="1">
        <w:r>
          <w:rPr>
            <w:rStyle w:val="Hyperlink"/>
            <w:noProof/>
          </w:rPr>
          <w:t>Table 2</w:t>
        </w:r>
        <w:r>
          <w:rPr>
            <w:rStyle w:val="Hyperlink"/>
            <w:noProof/>
          </w:rPr>
          <w:noBreakHyphen/>
          <w:t>28: Functional Testing Entry Criteria</w:t>
        </w:r>
        <w:r>
          <w:rPr>
            <w:noProof/>
            <w:webHidden/>
          </w:rPr>
          <w:tab/>
        </w:r>
        <w:r>
          <w:rPr>
            <w:noProof/>
            <w:webHidden/>
          </w:rPr>
          <w:fldChar w:fldCharType="begin"/>
        </w:r>
        <w:r>
          <w:rPr>
            <w:noProof/>
            <w:webHidden/>
          </w:rPr>
          <w:instrText xml:space="preserve"> PAGEREF _Toc192875113 \h </w:instrText>
        </w:r>
        <w:r>
          <w:rPr>
            <w:noProof/>
            <w:webHidden/>
          </w:rPr>
        </w:r>
        <w:r>
          <w:rPr>
            <w:noProof/>
            <w:webHidden/>
          </w:rPr>
          <w:fldChar w:fldCharType="separate"/>
        </w:r>
        <w:r>
          <w:rPr>
            <w:noProof/>
            <w:webHidden/>
          </w:rPr>
          <w:t>65</w:t>
        </w:r>
        <w:r>
          <w:rPr>
            <w:noProof/>
            <w:webHidden/>
          </w:rPr>
          <w:fldChar w:fldCharType="end"/>
        </w:r>
      </w:hyperlink>
    </w:p>
    <w:p w14:paraId="094B763A" w14:textId="577C38C5" w:rsidR="00274557" w:rsidRDefault="00274557">
      <w:pPr>
        <w:pStyle w:val="TableofFigures"/>
        <w:rPr>
          <w:rFonts w:asciiTheme="minorHAnsi" w:eastAsiaTheme="minorEastAsia" w:hAnsiTheme="minorHAnsi"/>
          <w:noProof/>
          <w:kern w:val="2"/>
          <w:sz w:val="22"/>
          <w14:ligatures w14:val="standardContextual"/>
        </w:rPr>
      </w:pPr>
      <w:hyperlink w:anchor="_Toc192875114" w:history="1">
        <w:r>
          <w:rPr>
            <w:rStyle w:val="Hyperlink"/>
            <w:noProof/>
          </w:rPr>
          <w:t>Table 2</w:t>
        </w:r>
        <w:r>
          <w:rPr>
            <w:rStyle w:val="Hyperlink"/>
            <w:noProof/>
          </w:rPr>
          <w:noBreakHyphen/>
          <w:t>29: Security and Failover Testing Entry Criteria</w:t>
        </w:r>
        <w:r>
          <w:rPr>
            <w:noProof/>
            <w:webHidden/>
          </w:rPr>
          <w:tab/>
        </w:r>
        <w:r>
          <w:rPr>
            <w:noProof/>
            <w:webHidden/>
          </w:rPr>
          <w:fldChar w:fldCharType="begin"/>
        </w:r>
        <w:r>
          <w:rPr>
            <w:noProof/>
            <w:webHidden/>
          </w:rPr>
          <w:instrText xml:space="preserve"> PAGEREF _Toc192875114 \h </w:instrText>
        </w:r>
        <w:r>
          <w:rPr>
            <w:noProof/>
            <w:webHidden/>
          </w:rPr>
        </w:r>
        <w:r>
          <w:rPr>
            <w:noProof/>
            <w:webHidden/>
          </w:rPr>
          <w:fldChar w:fldCharType="separate"/>
        </w:r>
        <w:r>
          <w:rPr>
            <w:noProof/>
            <w:webHidden/>
          </w:rPr>
          <w:t>66</w:t>
        </w:r>
        <w:r>
          <w:rPr>
            <w:noProof/>
            <w:webHidden/>
          </w:rPr>
          <w:fldChar w:fldCharType="end"/>
        </w:r>
      </w:hyperlink>
    </w:p>
    <w:p w14:paraId="2F03325D" w14:textId="31774532" w:rsidR="00274557" w:rsidRDefault="00274557">
      <w:pPr>
        <w:pStyle w:val="TableofFigures"/>
        <w:rPr>
          <w:rFonts w:asciiTheme="minorHAnsi" w:eastAsiaTheme="minorEastAsia" w:hAnsiTheme="minorHAnsi"/>
          <w:noProof/>
          <w:kern w:val="2"/>
          <w:sz w:val="22"/>
          <w14:ligatures w14:val="standardContextual"/>
        </w:rPr>
      </w:pPr>
      <w:hyperlink w:anchor="_Toc192875115" w:history="1">
        <w:r>
          <w:rPr>
            <w:rStyle w:val="Hyperlink"/>
            <w:noProof/>
          </w:rPr>
          <w:t>Table 2</w:t>
        </w:r>
        <w:r>
          <w:rPr>
            <w:rStyle w:val="Hyperlink"/>
            <w:noProof/>
          </w:rPr>
          <w:noBreakHyphen/>
          <w:t>30: Operational Readiness Test Phase Process Flow Narrative</w:t>
        </w:r>
        <w:r>
          <w:rPr>
            <w:noProof/>
            <w:webHidden/>
          </w:rPr>
          <w:tab/>
        </w:r>
        <w:r>
          <w:rPr>
            <w:noProof/>
            <w:webHidden/>
          </w:rPr>
          <w:fldChar w:fldCharType="begin"/>
        </w:r>
        <w:r>
          <w:rPr>
            <w:noProof/>
            <w:webHidden/>
          </w:rPr>
          <w:instrText xml:space="preserve"> PAGEREF _Toc192875115 \h </w:instrText>
        </w:r>
        <w:r>
          <w:rPr>
            <w:noProof/>
            <w:webHidden/>
          </w:rPr>
        </w:r>
        <w:r>
          <w:rPr>
            <w:noProof/>
            <w:webHidden/>
          </w:rPr>
          <w:fldChar w:fldCharType="separate"/>
        </w:r>
        <w:r>
          <w:rPr>
            <w:noProof/>
            <w:webHidden/>
          </w:rPr>
          <w:t>74</w:t>
        </w:r>
        <w:r>
          <w:rPr>
            <w:noProof/>
            <w:webHidden/>
          </w:rPr>
          <w:fldChar w:fldCharType="end"/>
        </w:r>
      </w:hyperlink>
    </w:p>
    <w:p w14:paraId="28AFE278" w14:textId="7B8B26C5" w:rsidR="00274557" w:rsidRDefault="00274557">
      <w:pPr>
        <w:pStyle w:val="TableofFigures"/>
        <w:rPr>
          <w:rFonts w:asciiTheme="minorHAnsi" w:eastAsiaTheme="minorEastAsia" w:hAnsiTheme="minorHAnsi"/>
          <w:noProof/>
          <w:kern w:val="2"/>
          <w:sz w:val="22"/>
          <w14:ligatures w14:val="standardContextual"/>
        </w:rPr>
      </w:pPr>
      <w:hyperlink w:anchor="_Toc192875116" w:history="1">
        <w:r>
          <w:rPr>
            <w:rStyle w:val="Hyperlink"/>
            <w:noProof/>
          </w:rPr>
          <w:t>Table 2</w:t>
        </w:r>
        <w:r>
          <w:rPr>
            <w:rStyle w:val="Hyperlink"/>
            <w:noProof/>
          </w:rPr>
          <w:noBreakHyphen/>
          <w:t>31: Operational Readiness Test Testing Types</w:t>
        </w:r>
        <w:r>
          <w:rPr>
            <w:noProof/>
            <w:webHidden/>
          </w:rPr>
          <w:tab/>
        </w:r>
        <w:r>
          <w:rPr>
            <w:noProof/>
            <w:webHidden/>
          </w:rPr>
          <w:fldChar w:fldCharType="begin"/>
        </w:r>
        <w:r>
          <w:rPr>
            <w:noProof/>
            <w:webHidden/>
          </w:rPr>
          <w:instrText xml:space="preserve"> PAGEREF _Toc192875116 \h </w:instrText>
        </w:r>
        <w:r>
          <w:rPr>
            <w:noProof/>
            <w:webHidden/>
          </w:rPr>
        </w:r>
        <w:r>
          <w:rPr>
            <w:noProof/>
            <w:webHidden/>
          </w:rPr>
          <w:fldChar w:fldCharType="separate"/>
        </w:r>
        <w:r>
          <w:rPr>
            <w:noProof/>
            <w:webHidden/>
          </w:rPr>
          <w:t>75</w:t>
        </w:r>
        <w:r>
          <w:rPr>
            <w:noProof/>
            <w:webHidden/>
          </w:rPr>
          <w:fldChar w:fldCharType="end"/>
        </w:r>
      </w:hyperlink>
    </w:p>
    <w:p w14:paraId="7E8FD069" w14:textId="64251622" w:rsidR="00274557" w:rsidRDefault="00274557">
      <w:pPr>
        <w:pStyle w:val="TableofFigures"/>
        <w:rPr>
          <w:rFonts w:asciiTheme="minorHAnsi" w:eastAsiaTheme="minorEastAsia" w:hAnsiTheme="minorHAnsi"/>
          <w:noProof/>
          <w:kern w:val="2"/>
          <w:sz w:val="22"/>
          <w14:ligatures w14:val="standardContextual"/>
        </w:rPr>
      </w:pPr>
      <w:hyperlink w:anchor="_Toc192875117" w:history="1">
        <w:r>
          <w:rPr>
            <w:rStyle w:val="Hyperlink"/>
            <w:noProof/>
          </w:rPr>
          <w:t>Table 2</w:t>
        </w:r>
        <w:r>
          <w:rPr>
            <w:rStyle w:val="Hyperlink"/>
            <w:noProof/>
          </w:rPr>
          <w:noBreakHyphen/>
          <w:t>32: Functional Testing Exit Criteria</w:t>
        </w:r>
        <w:r>
          <w:rPr>
            <w:noProof/>
            <w:webHidden/>
          </w:rPr>
          <w:tab/>
        </w:r>
        <w:r>
          <w:rPr>
            <w:noProof/>
            <w:webHidden/>
          </w:rPr>
          <w:fldChar w:fldCharType="begin"/>
        </w:r>
        <w:r>
          <w:rPr>
            <w:noProof/>
            <w:webHidden/>
          </w:rPr>
          <w:instrText xml:space="preserve"> PAGEREF _Toc192875117 \h </w:instrText>
        </w:r>
        <w:r>
          <w:rPr>
            <w:noProof/>
            <w:webHidden/>
          </w:rPr>
        </w:r>
        <w:r>
          <w:rPr>
            <w:noProof/>
            <w:webHidden/>
          </w:rPr>
          <w:fldChar w:fldCharType="separate"/>
        </w:r>
        <w:r>
          <w:rPr>
            <w:noProof/>
            <w:webHidden/>
          </w:rPr>
          <w:t>75</w:t>
        </w:r>
        <w:r>
          <w:rPr>
            <w:noProof/>
            <w:webHidden/>
          </w:rPr>
          <w:fldChar w:fldCharType="end"/>
        </w:r>
      </w:hyperlink>
    </w:p>
    <w:p w14:paraId="6E3B3C89" w14:textId="6CA60830" w:rsidR="00274557" w:rsidRDefault="00274557">
      <w:pPr>
        <w:pStyle w:val="TableofFigures"/>
        <w:rPr>
          <w:rFonts w:asciiTheme="minorHAnsi" w:eastAsiaTheme="minorEastAsia" w:hAnsiTheme="minorHAnsi"/>
          <w:noProof/>
          <w:kern w:val="2"/>
          <w:sz w:val="22"/>
          <w14:ligatures w14:val="standardContextual"/>
        </w:rPr>
      </w:pPr>
      <w:hyperlink w:anchor="_Toc192875118" w:history="1">
        <w:r>
          <w:rPr>
            <w:rStyle w:val="Hyperlink"/>
            <w:noProof/>
          </w:rPr>
          <w:t>Table 2</w:t>
        </w:r>
        <w:r>
          <w:rPr>
            <w:rStyle w:val="Hyperlink"/>
            <w:noProof/>
          </w:rPr>
          <w:noBreakHyphen/>
          <w:t>33: Security and Failover Testing Exit Criteria</w:t>
        </w:r>
        <w:r>
          <w:rPr>
            <w:noProof/>
            <w:webHidden/>
          </w:rPr>
          <w:tab/>
        </w:r>
        <w:r>
          <w:rPr>
            <w:noProof/>
            <w:webHidden/>
          </w:rPr>
          <w:fldChar w:fldCharType="begin"/>
        </w:r>
        <w:r>
          <w:rPr>
            <w:noProof/>
            <w:webHidden/>
          </w:rPr>
          <w:instrText xml:space="preserve"> PAGEREF _Toc192875118 \h </w:instrText>
        </w:r>
        <w:r>
          <w:rPr>
            <w:noProof/>
            <w:webHidden/>
          </w:rPr>
        </w:r>
        <w:r>
          <w:rPr>
            <w:noProof/>
            <w:webHidden/>
          </w:rPr>
          <w:fldChar w:fldCharType="separate"/>
        </w:r>
        <w:r>
          <w:rPr>
            <w:noProof/>
            <w:webHidden/>
          </w:rPr>
          <w:t>76</w:t>
        </w:r>
        <w:r>
          <w:rPr>
            <w:noProof/>
            <w:webHidden/>
          </w:rPr>
          <w:fldChar w:fldCharType="end"/>
        </w:r>
      </w:hyperlink>
    </w:p>
    <w:p w14:paraId="718E3F4A" w14:textId="3FD5FC8E" w:rsidR="00274557" w:rsidRDefault="00274557">
      <w:pPr>
        <w:pStyle w:val="TableofFigures"/>
        <w:rPr>
          <w:rFonts w:asciiTheme="minorHAnsi" w:eastAsiaTheme="minorEastAsia" w:hAnsiTheme="minorHAnsi"/>
          <w:noProof/>
          <w:kern w:val="2"/>
          <w:sz w:val="22"/>
          <w14:ligatures w14:val="standardContextual"/>
        </w:rPr>
      </w:pPr>
      <w:hyperlink w:anchor="_Toc192875119" w:history="1">
        <w:r>
          <w:rPr>
            <w:rStyle w:val="Hyperlink"/>
            <w:noProof/>
          </w:rPr>
          <w:t>Table 2</w:t>
        </w:r>
        <w:r>
          <w:rPr>
            <w:rStyle w:val="Hyperlink"/>
            <w:noProof/>
          </w:rPr>
          <w:noBreakHyphen/>
          <w:t>34: User Acceptance Test (UAT) Phase Entry Criteria</w:t>
        </w:r>
        <w:r>
          <w:rPr>
            <w:noProof/>
            <w:webHidden/>
          </w:rPr>
          <w:tab/>
        </w:r>
        <w:r>
          <w:rPr>
            <w:noProof/>
            <w:webHidden/>
          </w:rPr>
          <w:fldChar w:fldCharType="begin"/>
        </w:r>
        <w:r>
          <w:rPr>
            <w:noProof/>
            <w:webHidden/>
          </w:rPr>
          <w:instrText xml:space="preserve"> PAGEREF _Toc192875119 \h </w:instrText>
        </w:r>
        <w:r>
          <w:rPr>
            <w:noProof/>
            <w:webHidden/>
          </w:rPr>
        </w:r>
        <w:r>
          <w:rPr>
            <w:noProof/>
            <w:webHidden/>
          </w:rPr>
          <w:fldChar w:fldCharType="separate"/>
        </w:r>
        <w:r>
          <w:rPr>
            <w:noProof/>
            <w:webHidden/>
          </w:rPr>
          <w:t>77</w:t>
        </w:r>
        <w:r>
          <w:rPr>
            <w:noProof/>
            <w:webHidden/>
          </w:rPr>
          <w:fldChar w:fldCharType="end"/>
        </w:r>
      </w:hyperlink>
    </w:p>
    <w:p w14:paraId="791EECE5" w14:textId="42EDF64C" w:rsidR="00274557" w:rsidRDefault="00274557">
      <w:pPr>
        <w:pStyle w:val="TableofFigures"/>
        <w:rPr>
          <w:rFonts w:asciiTheme="minorHAnsi" w:eastAsiaTheme="minorEastAsia" w:hAnsiTheme="minorHAnsi"/>
          <w:noProof/>
          <w:kern w:val="2"/>
          <w:sz w:val="22"/>
          <w14:ligatures w14:val="standardContextual"/>
        </w:rPr>
      </w:pPr>
      <w:hyperlink w:anchor="_Toc192875120" w:history="1">
        <w:r>
          <w:rPr>
            <w:rStyle w:val="Hyperlink"/>
            <w:noProof/>
          </w:rPr>
          <w:t>Table 2</w:t>
        </w:r>
        <w:r>
          <w:rPr>
            <w:rStyle w:val="Hyperlink"/>
            <w:noProof/>
          </w:rPr>
          <w:noBreakHyphen/>
          <w:t>35: User Acceptance Test (UAT) Phase Process Flow Narrative</w:t>
        </w:r>
        <w:r>
          <w:rPr>
            <w:noProof/>
            <w:webHidden/>
          </w:rPr>
          <w:tab/>
        </w:r>
        <w:r>
          <w:rPr>
            <w:noProof/>
            <w:webHidden/>
          </w:rPr>
          <w:fldChar w:fldCharType="begin"/>
        </w:r>
        <w:r>
          <w:rPr>
            <w:noProof/>
            <w:webHidden/>
          </w:rPr>
          <w:instrText xml:space="preserve"> PAGEREF _Toc192875120 \h </w:instrText>
        </w:r>
        <w:r>
          <w:rPr>
            <w:noProof/>
            <w:webHidden/>
          </w:rPr>
        </w:r>
        <w:r>
          <w:rPr>
            <w:noProof/>
            <w:webHidden/>
          </w:rPr>
          <w:fldChar w:fldCharType="separate"/>
        </w:r>
        <w:r>
          <w:rPr>
            <w:noProof/>
            <w:webHidden/>
          </w:rPr>
          <w:t>82</w:t>
        </w:r>
        <w:r>
          <w:rPr>
            <w:noProof/>
            <w:webHidden/>
          </w:rPr>
          <w:fldChar w:fldCharType="end"/>
        </w:r>
      </w:hyperlink>
    </w:p>
    <w:p w14:paraId="32730680" w14:textId="02490957" w:rsidR="00274557" w:rsidRDefault="00274557">
      <w:pPr>
        <w:pStyle w:val="TableofFigures"/>
        <w:rPr>
          <w:rFonts w:asciiTheme="minorHAnsi" w:eastAsiaTheme="minorEastAsia" w:hAnsiTheme="minorHAnsi"/>
          <w:noProof/>
          <w:kern w:val="2"/>
          <w:sz w:val="22"/>
          <w14:ligatures w14:val="standardContextual"/>
        </w:rPr>
      </w:pPr>
      <w:hyperlink w:anchor="_Toc192875121" w:history="1">
        <w:r>
          <w:rPr>
            <w:rStyle w:val="Hyperlink"/>
            <w:noProof/>
          </w:rPr>
          <w:t>Table 2</w:t>
        </w:r>
        <w:r>
          <w:rPr>
            <w:rStyle w:val="Hyperlink"/>
            <w:noProof/>
          </w:rPr>
          <w:noBreakHyphen/>
          <w:t>36: User Acceptance Test (UAT) Phase Exit Criteria</w:t>
        </w:r>
        <w:r>
          <w:rPr>
            <w:noProof/>
            <w:webHidden/>
          </w:rPr>
          <w:tab/>
        </w:r>
        <w:r>
          <w:rPr>
            <w:noProof/>
            <w:webHidden/>
          </w:rPr>
          <w:fldChar w:fldCharType="begin"/>
        </w:r>
        <w:r>
          <w:rPr>
            <w:noProof/>
            <w:webHidden/>
          </w:rPr>
          <w:instrText xml:space="preserve"> PAGEREF _Toc192875121 \h </w:instrText>
        </w:r>
        <w:r>
          <w:rPr>
            <w:noProof/>
            <w:webHidden/>
          </w:rPr>
        </w:r>
        <w:r>
          <w:rPr>
            <w:noProof/>
            <w:webHidden/>
          </w:rPr>
          <w:fldChar w:fldCharType="separate"/>
        </w:r>
        <w:r>
          <w:rPr>
            <w:noProof/>
            <w:webHidden/>
          </w:rPr>
          <w:t>82</w:t>
        </w:r>
        <w:r>
          <w:rPr>
            <w:noProof/>
            <w:webHidden/>
          </w:rPr>
          <w:fldChar w:fldCharType="end"/>
        </w:r>
      </w:hyperlink>
    </w:p>
    <w:p w14:paraId="01CD3957" w14:textId="190E1B2D" w:rsidR="00274557" w:rsidRDefault="00274557">
      <w:pPr>
        <w:pStyle w:val="TableofFigures"/>
        <w:rPr>
          <w:rFonts w:asciiTheme="minorHAnsi" w:eastAsiaTheme="minorEastAsia" w:hAnsiTheme="minorHAnsi"/>
          <w:noProof/>
          <w:kern w:val="2"/>
          <w:sz w:val="22"/>
          <w14:ligatures w14:val="standardContextual"/>
        </w:rPr>
      </w:pPr>
      <w:hyperlink w:anchor="_Toc192875122" w:history="1">
        <w:r>
          <w:rPr>
            <w:rStyle w:val="Hyperlink"/>
            <w:noProof/>
          </w:rPr>
          <w:t>Table 2</w:t>
        </w:r>
        <w:r>
          <w:rPr>
            <w:rStyle w:val="Hyperlink"/>
            <w:noProof/>
          </w:rPr>
          <w:noBreakHyphen/>
          <w:t>37: Rollout Phase Entry Criteria</w:t>
        </w:r>
        <w:r>
          <w:rPr>
            <w:noProof/>
            <w:webHidden/>
          </w:rPr>
          <w:tab/>
        </w:r>
        <w:r>
          <w:rPr>
            <w:noProof/>
            <w:webHidden/>
          </w:rPr>
          <w:fldChar w:fldCharType="begin"/>
        </w:r>
        <w:r>
          <w:rPr>
            <w:noProof/>
            <w:webHidden/>
          </w:rPr>
          <w:instrText xml:space="preserve"> PAGEREF _Toc192875122 \h </w:instrText>
        </w:r>
        <w:r>
          <w:rPr>
            <w:noProof/>
            <w:webHidden/>
          </w:rPr>
        </w:r>
        <w:r>
          <w:rPr>
            <w:noProof/>
            <w:webHidden/>
          </w:rPr>
          <w:fldChar w:fldCharType="separate"/>
        </w:r>
        <w:r>
          <w:rPr>
            <w:noProof/>
            <w:webHidden/>
          </w:rPr>
          <w:t>83</w:t>
        </w:r>
        <w:r>
          <w:rPr>
            <w:noProof/>
            <w:webHidden/>
          </w:rPr>
          <w:fldChar w:fldCharType="end"/>
        </w:r>
      </w:hyperlink>
    </w:p>
    <w:p w14:paraId="391D741B" w14:textId="5B2342CC" w:rsidR="00274557" w:rsidRDefault="00274557">
      <w:pPr>
        <w:pStyle w:val="TableofFigures"/>
        <w:rPr>
          <w:rFonts w:asciiTheme="minorHAnsi" w:eastAsiaTheme="minorEastAsia" w:hAnsiTheme="minorHAnsi"/>
          <w:noProof/>
          <w:kern w:val="2"/>
          <w:sz w:val="22"/>
          <w14:ligatures w14:val="standardContextual"/>
        </w:rPr>
      </w:pPr>
      <w:hyperlink w:anchor="_Toc192875123" w:history="1">
        <w:r>
          <w:rPr>
            <w:rStyle w:val="Hyperlink"/>
            <w:noProof/>
          </w:rPr>
          <w:t>Table 2</w:t>
        </w:r>
        <w:r>
          <w:rPr>
            <w:rStyle w:val="Hyperlink"/>
            <w:noProof/>
          </w:rPr>
          <w:noBreakHyphen/>
          <w:t>38: Rollout Process Flow Narrative</w:t>
        </w:r>
        <w:r>
          <w:rPr>
            <w:noProof/>
            <w:webHidden/>
          </w:rPr>
          <w:tab/>
        </w:r>
        <w:r>
          <w:rPr>
            <w:noProof/>
            <w:webHidden/>
          </w:rPr>
          <w:fldChar w:fldCharType="begin"/>
        </w:r>
        <w:r>
          <w:rPr>
            <w:noProof/>
            <w:webHidden/>
          </w:rPr>
          <w:instrText xml:space="preserve"> PAGEREF _Toc192875123 \h </w:instrText>
        </w:r>
        <w:r>
          <w:rPr>
            <w:noProof/>
            <w:webHidden/>
          </w:rPr>
        </w:r>
        <w:r>
          <w:rPr>
            <w:noProof/>
            <w:webHidden/>
          </w:rPr>
          <w:fldChar w:fldCharType="separate"/>
        </w:r>
        <w:r>
          <w:rPr>
            <w:noProof/>
            <w:webHidden/>
          </w:rPr>
          <w:t>85</w:t>
        </w:r>
        <w:r>
          <w:rPr>
            <w:noProof/>
            <w:webHidden/>
          </w:rPr>
          <w:fldChar w:fldCharType="end"/>
        </w:r>
      </w:hyperlink>
    </w:p>
    <w:p w14:paraId="39FBFDD0" w14:textId="68C448F5" w:rsidR="00274557" w:rsidRDefault="00274557">
      <w:pPr>
        <w:pStyle w:val="TableofFigures"/>
        <w:rPr>
          <w:rFonts w:asciiTheme="minorHAnsi" w:eastAsiaTheme="minorEastAsia" w:hAnsiTheme="minorHAnsi"/>
          <w:noProof/>
          <w:kern w:val="2"/>
          <w:sz w:val="22"/>
          <w14:ligatures w14:val="standardContextual"/>
        </w:rPr>
      </w:pPr>
      <w:hyperlink w:anchor="_Toc192875124" w:history="1">
        <w:r>
          <w:rPr>
            <w:rStyle w:val="Hyperlink"/>
            <w:noProof/>
          </w:rPr>
          <w:t>Table 2</w:t>
        </w:r>
        <w:r>
          <w:rPr>
            <w:rStyle w:val="Hyperlink"/>
            <w:noProof/>
          </w:rPr>
          <w:noBreakHyphen/>
          <w:t>39: Rollout Phase Exit Criteria</w:t>
        </w:r>
        <w:r>
          <w:rPr>
            <w:noProof/>
            <w:webHidden/>
          </w:rPr>
          <w:tab/>
        </w:r>
        <w:r>
          <w:rPr>
            <w:noProof/>
            <w:webHidden/>
          </w:rPr>
          <w:fldChar w:fldCharType="begin"/>
        </w:r>
        <w:r>
          <w:rPr>
            <w:noProof/>
            <w:webHidden/>
          </w:rPr>
          <w:instrText xml:space="preserve"> PAGEREF _Toc192875124 \h </w:instrText>
        </w:r>
        <w:r>
          <w:rPr>
            <w:noProof/>
            <w:webHidden/>
          </w:rPr>
        </w:r>
        <w:r>
          <w:rPr>
            <w:noProof/>
            <w:webHidden/>
          </w:rPr>
          <w:fldChar w:fldCharType="separate"/>
        </w:r>
        <w:r>
          <w:rPr>
            <w:noProof/>
            <w:webHidden/>
          </w:rPr>
          <w:t>85</w:t>
        </w:r>
        <w:r>
          <w:rPr>
            <w:noProof/>
            <w:webHidden/>
          </w:rPr>
          <w:fldChar w:fldCharType="end"/>
        </w:r>
      </w:hyperlink>
    </w:p>
    <w:p w14:paraId="1344E26B" w14:textId="505C9746" w:rsidR="00274557" w:rsidRDefault="00274557">
      <w:pPr>
        <w:pStyle w:val="TableofFigures"/>
        <w:rPr>
          <w:rFonts w:asciiTheme="minorHAnsi" w:eastAsiaTheme="minorEastAsia" w:hAnsiTheme="minorHAnsi"/>
          <w:noProof/>
          <w:kern w:val="2"/>
          <w:sz w:val="22"/>
          <w14:ligatures w14:val="standardContextual"/>
        </w:rPr>
      </w:pPr>
      <w:hyperlink w:anchor="_Toc192875125" w:history="1">
        <w:r>
          <w:rPr>
            <w:rStyle w:val="Hyperlink"/>
            <w:noProof/>
          </w:rPr>
          <w:t>Table 2</w:t>
        </w:r>
        <w:r>
          <w:rPr>
            <w:rStyle w:val="Hyperlink"/>
            <w:noProof/>
          </w:rPr>
          <w:noBreakHyphen/>
          <w:t>40: SDLC High-Level Process Narrative</w:t>
        </w:r>
        <w:r>
          <w:rPr>
            <w:noProof/>
            <w:webHidden/>
          </w:rPr>
          <w:tab/>
        </w:r>
        <w:r>
          <w:rPr>
            <w:noProof/>
            <w:webHidden/>
          </w:rPr>
          <w:fldChar w:fldCharType="begin"/>
        </w:r>
        <w:r>
          <w:rPr>
            <w:noProof/>
            <w:webHidden/>
          </w:rPr>
          <w:instrText xml:space="preserve"> PAGEREF _Toc192875125 \h </w:instrText>
        </w:r>
        <w:r>
          <w:rPr>
            <w:noProof/>
            <w:webHidden/>
          </w:rPr>
        </w:r>
        <w:r>
          <w:rPr>
            <w:noProof/>
            <w:webHidden/>
          </w:rPr>
          <w:fldChar w:fldCharType="separate"/>
        </w:r>
        <w:r>
          <w:rPr>
            <w:noProof/>
            <w:webHidden/>
          </w:rPr>
          <w:t>95</w:t>
        </w:r>
        <w:r>
          <w:rPr>
            <w:noProof/>
            <w:webHidden/>
          </w:rPr>
          <w:fldChar w:fldCharType="end"/>
        </w:r>
      </w:hyperlink>
    </w:p>
    <w:p w14:paraId="54AECBC8" w14:textId="5BC07CFE" w:rsidR="00274557" w:rsidRDefault="00274557">
      <w:pPr>
        <w:pStyle w:val="TableofFigures"/>
        <w:rPr>
          <w:rFonts w:asciiTheme="minorHAnsi" w:eastAsiaTheme="minorEastAsia" w:hAnsiTheme="minorHAnsi"/>
          <w:noProof/>
          <w:kern w:val="2"/>
          <w:sz w:val="22"/>
          <w14:ligatures w14:val="standardContextual"/>
        </w:rPr>
      </w:pPr>
      <w:hyperlink w:anchor="_Toc192875126" w:history="1">
        <w:r>
          <w:rPr>
            <w:rStyle w:val="Hyperlink"/>
            <w:noProof/>
          </w:rPr>
          <w:t>Table 2</w:t>
        </w:r>
        <w:r>
          <w:rPr>
            <w:rStyle w:val="Hyperlink"/>
            <w:noProof/>
          </w:rPr>
          <w:noBreakHyphen/>
          <w:t>41: ALM Tools and Artifacts</w:t>
        </w:r>
        <w:r>
          <w:rPr>
            <w:noProof/>
            <w:webHidden/>
          </w:rPr>
          <w:tab/>
        </w:r>
        <w:r>
          <w:rPr>
            <w:noProof/>
            <w:webHidden/>
          </w:rPr>
          <w:fldChar w:fldCharType="begin"/>
        </w:r>
        <w:r>
          <w:rPr>
            <w:noProof/>
            <w:webHidden/>
          </w:rPr>
          <w:instrText xml:space="preserve"> PAGEREF _Toc192875126 \h </w:instrText>
        </w:r>
        <w:r>
          <w:rPr>
            <w:noProof/>
            <w:webHidden/>
          </w:rPr>
        </w:r>
        <w:r>
          <w:rPr>
            <w:noProof/>
            <w:webHidden/>
          </w:rPr>
          <w:fldChar w:fldCharType="separate"/>
        </w:r>
        <w:r>
          <w:rPr>
            <w:noProof/>
            <w:webHidden/>
          </w:rPr>
          <w:t>99</w:t>
        </w:r>
        <w:r>
          <w:rPr>
            <w:noProof/>
            <w:webHidden/>
          </w:rPr>
          <w:fldChar w:fldCharType="end"/>
        </w:r>
      </w:hyperlink>
    </w:p>
    <w:p w14:paraId="50CC983D" w14:textId="10FFF04B" w:rsidR="00274557" w:rsidRDefault="00274557">
      <w:pPr>
        <w:pStyle w:val="TableofFigures"/>
        <w:rPr>
          <w:rFonts w:asciiTheme="minorHAnsi" w:eastAsiaTheme="minorEastAsia" w:hAnsiTheme="minorHAnsi"/>
          <w:noProof/>
          <w:kern w:val="2"/>
          <w:sz w:val="22"/>
          <w14:ligatures w14:val="standardContextual"/>
        </w:rPr>
      </w:pPr>
      <w:hyperlink w:anchor="_Toc192875127" w:history="1">
        <w:r>
          <w:rPr>
            <w:rStyle w:val="Hyperlink"/>
            <w:noProof/>
          </w:rPr>
          <w:t>Table 2</w:t>
        </w:r>
        <w:r>
          <w:rPr>
            <w:rStyle w:val="Hyperlink"/>
            <w:noProof/>
          </w:rPr>
          <w:noBreakHyphen/>
          <w:t>42: ALM Tool Roles and Permissions</w:t>
        </w:r>
        <w:r>
          <w:rPr>
            <w:noProof/>
            <w:webHidden/>
          </w:rPr>
          <w:tab/>
        </w:r>
        <w:r>
          <w:rPr>
            <w:noProof/>
            <w:webHidden/>
          </w:rPr>
          <w:fldChar w:fldCharType="begin"/>
        </w:r>
        <w:r>
          <w:rPr>
            <w:noProof/>
            <w:webHidden/>
          </w:rPr>
          <w:instrText xml:space="preserve"> PAGEREF _Toc192875127 \h </w:instrText>
        </w:r>
        <w:r>
          <w:rPr>
            <w:noProof/>
            <w:webHidden/>
          </w:rPr>
        </w:r>
        <w:r>
          <w:rPr>
            <w:noProof/>
            <w:webHidden/>
          </w:rPr>
          <w:fldChar w:fldCharType="separate"/>
        </w:r>
        <w:r>
          <w:rPr>
            <w:noProof/>
            <w:webHidden/>
          </w:rPr>
          <w:t>101</w:t>
        </w:r>
        <w:r>
          <w:rPr>
            <w:noProof/>
            <w:webHidden/>
          </w:rPr>
          <w:fldChar w:fldCharType="end"/>
        </w:r>
      </w:hyperlink>
    </w:p>
    <w:p w14:paraId="53F93B2B" w14:textId="66429EB6" w:rsidR="00274557" w:rsidRDefault="00274557">
      <w:pPr>
        <w:pStyle w:val="TableofFigures"/>
        <w:rPr>
          <w:rFonts w:asciiTheme="minorHAnsi" w:eastAsiaTheme="minorEastAsia" w:hAnsiTheme="minorHAnsi"/>
          <w:noProof/>
          <w:kern w:val="2"/>
          <w:sz w:val="22"/>
          <w14:ligatures w14:val="standardContextual"/>
        </w:rPr>
      </w:pPr>
      <w:hyperlink w:anchor="_Toc192875128" w:history="1">
        <w:r>
          <w:rPr>
            <w:rStyle w:val="Hyperlink"/>
            <w:noProof/>
          </w:rPr>
          <w:t>Table 2</w:t>
        </w:r>
        <w:r>
          <w:rPr>
            <w:rStyle w:val="Hyperlink"/>
            <w:noProof/>
          </w:rPr>
          <w:noBreakHyphen/>
          <w:t>43: Continuing Medicaid Eligibility Modernization SharePoint Links for MECM System</w:t>
        </w:r>
        <w:r>
          <w:rPr>
            <w:noProof/>
            <w:webHidden/>
          </w:rPr>
          <w:tab/>
        </w:r>
        <w:r>
          <w:rPr>
            <w:noProof/>
            <w:webHidden/>
          </w:rPr>
          <w:fldChar w:fldCharType="begin"/>
        </w:r>
        <w:r>
          <w:rPr>
            <w:noProof/>
            <w:webHidden/>
          </w:rPr>
          <w:instrText xml:space="preserve"> PAGEREF _Toc192875128 \h </w:instrText>
        </w:r>
        <w:r>
          <w:rPr>
            <w:noProof/>
            <w:webHidden/>
          </w:rPr>
        </w:r>
        <w:r>
          <w:rPr>
            <w:noProof/>
            <w:webHidden/>
          </w:rPr>
          <w:fldChar w:fldCharType="separate"/>
        </w:r>
        <w:r>
          <w:rPr>
            <w:noProof/>
            <w:webHidden/>
          </w:rPr>
          <w:t>101</w:t>
        </w:r>
        <w:r>
          <w:rPr>
            <w:noProof/>
            <w:webHidden/>
          </w:rPr>
          <w:fldChar w:fldCharType="end"/>
        </w:r>
      </w:hyperlink>
    </w:p>
    <w:p w14:paraId="1B5FC6C0" w14:textId="63EDB018" w:rsidR="00274557" w:rsidRDefault="00274557">
      <w:pPr>
        <w:pStyle w:val="TableofFigures"/>
        <w:rPr>
          <w:rFonts w:asciiTheme="minorHAnsi" w:eastAsiaTheme="minorEastAsia" w:hAnsiTheme="minorHAnsi"/>
          <w:noProof/>
          <w:kern w:val="2"/>
          <w:sz w:val="22"/>
          <w14:ligatures w14:val="standardContextual"/>
        </w:rPr>
      </w:pPr>
      <w:hyperlink w:anchor="_Toc192875129" w:history="1">
        <w:r>
          <w:rPr>
            <w:rStyle w:val="Hyperlink"/>
            <w:noProof/>
          </w:rPr>
          <w:t>Table 2</w:t>
        </w:r>
        <w:r>
          <w:rPr>
            <w:rStyle w:val="Hyperlink"/>
            <w:noProof/>
          </w:rPr>
          <w:noBreakHyphen/>
          <w:t>44: SharePoint Access</w:t>
        </w:r>
        <w:r>
          <w:rPr>
            <w:noProof/>
            <w:webHidden/>
          </w:rPr>
          <w:tab/>
        </w:r>
        <w:r>
          <w:rPr>
            <w:noProof/>
            <w:webHidden/>
          </w:rPr>
          <w:fldChar w:fldCharType="begin"/>
        </w:r>
        <w:r>
          <w:rPr>
            <w:noProof/>
            <w:webHidden/>
          </w:rPr>
          <w:instrText xml:space="preserve"> PAGEREF _Toc192875129 \h </w:instrText>
        </w:r>
        <w:r>
          <w:rPr>
            <w:noProof/>
            <w:webHidden/>
          </w:rPr>
        </w:r>
        <w:r>
          <w:rPr>
            <w:noProof/>
            <w:webHidden/>
          </w:rPr>
          <w:fldChar w:fldCharType="separate"/>
        </w:r>
        <w:r>
          <w:rPr>
            <w:noProof/>
            <w:webHidden/>
          </w:rPr>
          <w:t>101</w:t>
        </w:r>
        <w:r>
          <w:rPr>
            <w:noProof/>
            <w:webHidden/>
          </w:rPr>
          <w:fldChar w:fldCharType="end"/>
        </w:r>
      </w:hyperlink>
    </w:p>
    <w:p w14:paraId="44587D54" w14:textId="58627553" w:rsidR="00274557" w:rsidRDefault="00274557">
      <w:pPr>
        <w:pStyle w:val="TableofFigures"/>
        <w:rPr>
          <w:rFonts w:asciiTheme="minorHAnsi" w:eastAsiaTheme="minorEastAsia" w:hAnsiTheme="minorHAnsi"/>
          <w:noProof/>
          <w:kern w:val="2"/>
          <w:sz w:val="22"/>
          <w14:ligatures w14:val="standardContextual"/>
        </w:rPr>
      </w:pPr>
      <w:hyperlink w:anchor="_Toc192875130" w:history="1">
        <w:r>
          <w:rPr>
            <w:rStyle w:val="Hyperlink"/>
            <w:noProof/>
          </w:rPr>
          <w:t>Table 2</w:t>
        </w:r>
        <w:r>
          <w:rPr>
            <w:rStyle w:val="Hyperlink"/>
            <w:noProof/>
          </w:rPr>
          <w:noBreakHyphen/>
          <w:t>45: Figma Roles and Responsibilities</w:t>
        </w:r>
        <w:r>
          <w:rPr>
            <w:noProof/>
            <w:webHidden/>
          </w:rPr>
          <w:tab/>
        </w:r>
        <w:r>
          <w:rPr>
            <w:noProof/>
            <w:webHidden/>
          </w:rPr>
          <w:fldChar w:fldCharType="begin"/>
        </w:r>
        <w:r>
          <w:rPr>
            <w:noProof/>
            <w:webHidden/>
          </w:rPr>
          <w:instrText xml:space="preserve"> PAGEREF _Toc192875130 \h </w:instrText>
        </w:r>
        <w:r>
          <w:rPr>
            <w:noProof/>
            <w:webHidden/>
          </w:rPr>
        </w:r>
        <w:r>
          <w:rPr>
            <w:noProof/>
            <w:webHidden/>
          </w:rPr>
          <w:fldChar w:fldCharType="separate"/>
        </w:r>
        <w:r>
          <w:rPr>
            <w:noProof/>
            <w:webHidden/>
          </w:rPr>
          <w:t>102</w:t>
        </w:r>
        <w:r>
          <w:rPr>
            <w:noProof/>
            <w:webHidden/>
          </w:rPr>
          <w:fldChar w:fldCharType="end"/>
        </w:r>
      </w:hyperlink>
    </w:p>
    <w:p w14:paraId="11CCE798" w14:textId="7CAB1720" w:rsidR="00274557" w:rsidRDefault="00274557">
      <w:pPr>
        <w:pStyle w:val="TableofFigures"/>
        <w:rPr>
          <w:rFonts w:asciiTheme="minorHAnsi" w:eastAsiaTheme="minorEastAsia" w:hAnsiTheme="minorHAnsi"/>
          <w:noProof/>
          <w:kern w:val="2"/>
          <w:sz w:val="22"/>
          <w14:ligatures w14:val="standardContextual"/>
        </w:rPr>
      </w:pPr>
      <w:hyperlink w:anchor="_Toc192875131" w:history="1">
        <w:r>
          <w:rPr>
            <w:rStyle w:val="Hyperlink"/>
            <w:noProof/>
          </w:rPr>
          <w:t>Table 2</w:t>
        </w:r>
        <w:r>
          <w:rPr>
            <w:rStyle w:val="Hyperlink"/>
            <w:noProof/>
          </w:rPr>
          <w:noBreakHyphen/>
          <w:t>46: Figma Access</w:t>
        </w:r>
        <w:r>
          <w:rPr>
            <w:noProof/>
            <w:webHidden/>
          </w:rPr>
          <w:tab/>
        </w:r>
        <w:r>
          <w:rPr>
            <w:noProof/>
            <w:webHidden/>
          </w:rPr>
          <w:fldChar w:fldCharType="begin"/>
        </w:r>
        <w:r>
          <w:rPr>
            <w:noProof/>
            <w:webHidden/>
          </w:rPr>
          <w:instrText xml:space="preserve"> PAGEREF _Toc192875131 \h </w:instrText>
        </w:r>
        <w:r>
          <w:rPr>
            <w:noProof/>
            <w:webHidden/>
          </w:rPr>
        </w:r>
        <w:r>
          <w:rPr>
            <w:noProof/>
            <w:webHidden/>
          </w:rPr>
          <w:fldChar w:fldCharType="separate"/>
        </w:r>
        <w:r>
          <w:rPr>
            <w:noProof/>
            <w:webHidden/>
          </w:rPr>
          <w:t>102</w:t>
        </w:r>
        <w:r>
          <w:rPr>
            <w:noProof/>
            <w:webHidden/>
          </w:rPr>
          <w:fldChar w:fldCharType="end"/>
        </w:r>
      </w:hyperlink>
    </w:p>
    <w:p w14:paraId="7CDD7128" w14:textId="603E4657" w:rsidR="00274557" w:rsidRDefault="00274557">
      <w:pPr>
        <w:pStyle w:val="TableofFigures"/>
        <w:rPr>
          <w:rFonts w:asciiTheme="minorHAnsi" w:eastAsiaTheme="minorEastAsia" w:hAnsiTheme="minorHAnsi"/>
          <w:noProof/>
          <w:kern w:val="2"/>
          <w:sz w:val="22"/>
          <w14:ligatures w14:val="standardContextual"/>
        </w:rPr>
      </w:pPr>
      <w:hyperlink w:anchor="_Toc192875132" w:history="1">
        <w:r>
          <w:rPr>
            <w:rStyle w:val="Hyperlink"/>
            <w:noProof/>
          </w:rPr>
          <w:t>Table 2</w:t>
        </w:r>
        <w:r>
          <w:rPr>
            <w:rStyle w:val="Hyperlink"/>
            <w:noProof/>
          </w:rPr>
          <w:noBreakHyphen/>
          <w:t>47: ALM Tool Roles and Responsibilities</w:t>
        </w:r>
        <w:r>
          <w:rPr>
            <w:noProof/>
            <w:webHidden/>
          </w:rPr>
          <w:tab/>
        </w:r>
        <w:r>
          <w:rPr>
            <w:noProof/>
            <w:webHidden/>
          </w:rPr>
          <w:fldChar w:fldCharType="begin"/>
        </w:r>
        <w:r>
          <w:rPr>
            <w:noProof/>
            <w:webHidden/>
          </w:rPr>
          <w:instrText xml:space="preserve"> PAGEREF _Toc192875132 \h </w:instrText>
        </w:r>
        <w:r>
          <w:rPr>
            <w:noProof/>
            <w:webHidden/>
          </w:rPr>
        </w:r>
        <w:r>
          <w:rPr>
            <w:noProof/>
            <w:webHidden/>
          </w:rPr>
          <w:fldChar w:fldCharType="separate"/>
        </w:r>
        <w:r>
          <w:rPr>
            <w:noProof/>
            <w:webHidden/>
          </w:rPr>
          <w:t>103</w:t>
        </w:r>
        <w:r>
          <w:rPr>
            <w:noProof/>
            <w:webHidden/>
          </w:rPr>
          <w:fldChar w:fldCharType="end"/>
        </w:r>
      </w:hyperlink>
    </w:p>
    <w:p w14:paraId="564AFB8C" w14:textId="6727C535" w:rsidR="00274557" w:rsidRDefault="00274557">
      <w:pPr>
        <w:pStyle w:val="TableofFigures"/>
        <w:rPr>
          <w:rFonts w:asciiTheme="minorHAnsi" w:eastAsiaTheme="minorEastAsia" w:hAnsiTheme="minorHAnsi"/>
          <w:noProof/>
          <w:kern w:val="2"/>
          <w:sz w:val="22"/>
          <w14:ligatures w14:val="standardContextual"/>
        </w:rPr>
      </w:pPr>
      <w:hyperlink w:anchor="_Toc192875133" w:history="1">
        <w:r>
          <w:rPr>
            <w:rStyle w:val="Hyperlink"/>
            <w:noProof/>
          </w:rPr>
          <w:t>Table 2</w:t>
        </w:r>
        <w:r>
          <w:rPr>
            <w:rStyle w:val="Hyperlink"/>
            <w:noProof/>
          </w:rPr>
          <w:noBreakHyphen/>
          <w:t>48: ALM Tool Access</w:t>
        </w:r>
        <w:r>
          <w:rPr>
            <w:noProof/>
            <w:webHidden/>
          </w:rPr>
          <w:tab/>
        </w:r>
        <w:r>
          <w:rPr>
            <w:noProof/>
            <w:webHidden/>
          </w:rPr>
          <w:fldChar w:fldCharType="begin"/>
        </w:r>
        <w:r>
          <w:rPr>
            <w:noProof/>
            <w:webHidden/>
          </w:rPr>
          <w:instrText xml:space="preserve"> PAGEREF _Toc192875133 \h </w:instrText>
        </w:r>
        <w:r>
          <w:rPr>
            <w:noProof/>
            <w:webHidden/>
          </w:rPr>
        </w:r>
        <w:r>
          <w:rPr>
            <w:noProof/>
            <w:webHidden/>
          </w:rPr>
          <w:fldChar w:fldCharType="separate"/>
        </w:r>
        <w:r>
          <w:rPr>
            <w:noProof/>
            <w:webHidden/>
          </w:rPr>
          <w:t>103</w:t>
        </w:r>
        <w:r>
          <w:rPr>
            <w:noProof/>
            <w:webHidden/>
          </w:rPr>
          <w:fldChar w:fldCharType="end"/>
        </w:r>
      </w:hyperlink>
    </w:p>
    <w:p w14:paraId="15A118FB" w14:textId="1F2DA9D3" w:rsidR="00274557" w:rsidRDefault="00274557">
      <w:pPr>
        <w:pStyle w:val="TableofFigures"/>
        <w:rPr>
          <w:rFonts w:asciiTheme="minorHAnsi" w:eastAsiaTheme="minorEastAsia" w:hAnsiTheme="minorHAnsi"/>
          <w:noProof/>
          <w:kern w:val="2"/>
          <w:sz w:val="22"/>
          <w14:ligatures w14:val="standardContextual"/>
        </w:rPr>
      </w:pPr>
      <w:hyperlink w:anchor="_Toc192875134" w:history="1">
        <w:r>
          <w:rPr>
            <w:rStyle w:val="Hyperlink"/>
            <w:noProof/>
          </w:rPr>
          <w:t>Table 2</w:t>
        </w:r>
        <w:r>
          <w:rPr>
            <w:rStyle w:val="Hyperlink"/>
            <w:noProof/>
          </w:rPr>
          <w:noBreakHyphen/>
          <w:t>49: Source-Code Repository Roles and Permissions</w:t>
        </w:r>
        <w:r>
          <w:rPr>
            <w:noProof/>
            <w:webHidden/>
          </w:rPr>
          <w:tab/>
        </w:r>
        <w:r>
          <w:rPr>
            <w:noProof/>
            <w:webHidden/>
          </w:rPr>
          <w:fldChar w:fldCharType="begin"/>
        </w:r>
        <w:r>
          <w:rPr>
            <w:noProof/>
            <w:webHidden/>
          </w:rPr>
          <w:instrText xml:space="preserve"> PAGEREF _Toc192875134 \h </w:instrText>
        </w:r>
        <w:r>
          <w:rPr>
            <w:noProof/>
            <w:webHidden/>
          </w:rPr>
        </w:r>
        <w:r>
          <w:rPr>
            <w:noProof/>
            <w:webHidden/>
          </w:rPr>
          <w:fldChar w:fldCharType="separate"/>
        </w:r>
        <w:r>
          <w:rPr>
            <w:noProof/>
            <w:webHidden/>
          </w:rPr>
          <w:t>104</w:t>
        </w:r>
        <w:r>
          <w:rPr>
            <w:noProof/>
            <w:webHidden/>
          </w:rPr>
          <w:fldChar w:fldCharType="end"/>
        </w:r>
      </w:hyperlink>
    </w:p>
    <w:p w14:paraId="604816F8" w14:textId="21BC23A6" w:rsidR="00274557" w:rsidRDefault="00274557">
      <w:pPr>
        <w:pStyle w:val="TableofFigures"/>
        <w:rPr>
          <w:rFonts w:asciiTheme="minorHAnsi" w:eastAsiaTheme="minorEastAsia" w:hAnsiTheme="minorHAnsi"/>
          <w:noProof/>
          <w:kern w:val="2"/>
          <w:sz w:val="22"/>
          <w14:ligatures w14:val="standardContextual"/>
        </w:rPr>
      </w:pPr>
      <w:hyperlink w:anchor="_Toc192875135" w:history="1">
        <w:r>
          <w:rPr>
            <w:rStyle w:val="Hyperlink"/>
            <w:noProof/>
          </w:rPr>
          <w:t>Table 2</w:t>
        </w:r>
        <w:r>
          <w:rPr>
            <w:rStyle w:val="Hyperlink"/>
            <w:noProof/>
          </w:rPr>
          <w:noBreakHyphen/>
          <w:t>50: Source-Code Repository Workflow Narrative</w:t>
        </w:r>
        <w:r>
          <w:rPr>
            <w:noProof/>
            <w:webHidden/>
          </w:rPr>
          <w:tab/>
        </w:r>
        <w:r>
          <w:rPr>
            <w:noProof/>
            <w:webHidden/>
          </w:rPr>
          <w:fldChar w:fldCharType="begin"/>
        </w:r>
        <w:r>
          <w:rPr>
            <w:noProof/>
            <w:webHidden/>
          </w:rPr>
          <w:instrText xml:space="preserve"> PAGEREF _Toc192875135 \h </w:instrText>
        </w:r>
        <w:r>
          <w:rPr>
            <w:noProof/>
            <w:webHidden/>
          </w:rPr>
        </w:r>
        <w:r>
          <w:rPr>
            <w:noProof/>
            <w:webHidden/>
          </w:rPr>
          <w:fldChar w:fldCharType="separate"/>
        </w:r>
        <w:r>
          <w:rPr>
            <w:noProof/>
            <w:webHidden/>
          </w:rPr>
          <w:t>104</w:t>
        </w:r>
        <w:r>
          <w:rPr>
            <w:noProof/>
            <w:webHidden/>
          </w:rPr>
          <w:fldChar w:fldCharType="end"/>
        </w:r>
      </w:hyperlink>
    </w:p>
    <w:p w14:paraId="48A6145D" w14:textId="01AE032A" w:rsidR="00274557" w:rsidRDefault="00274557">
      <w:pPr>
        <w:pStyle w:val="TableofFigures"/>
        <w:rPr>
          <w:rFonts w:asciiTheme="minorHAnsi" w:eastAsiaTheme="minorEastAsia" w:hAnsiTheme="minorHAnsi"/>
          <w:noProof/>
          <w:kern w:val="2"/>
          <w:sz w:val="22"/>
          <w14:ligatures w14:val="standardContextual"/>
        </w:rPr>
      </w:pPr>
      <w:hyperlink w:anchor="_Toc192875136" w:history="1">
        <w:r>
          <w:rPr>
            <w:rStyle w:val="Hyperlink"/>
            <w:noProof/>
          </w:rPr>
          <w:t>Table 2</w:t>
        </w:r>
        <w:r>
          <w:rPr>
            <w:rStyle w:val="Hyperlink"/>
            <w:noProof/>
          </w:rPr>
          <w:noBreakHyphen/>
          <w:t>51: Source-Code Repository Access</w:t>
        </w:r>
        <w:r>
          <w:rPr>
            <w:noProof/>
            <w:webHidden/>
          </w:rPr>
          <w:tab/>
        </w:r>
        <w:r>
          <w:rPr>
            <w:noProof/>
            <w:webHidden/>
          </w:rPr>
          <w:fldChar w:fldCharType="begin"/>
        </w:r>
        <w:r>
          <w:rPr>
            <w:noProof/>
            <w:webHidden/>
          </w:rPr>
          <w:instrText xml:space="preserve"> PAGEREF _Toc192875136 \h </w:instrText>
        </w:r>
        <w:r>
          <w:rPr>
            <w:noProof/>
            <w:webHidden/>
          </w:rPr>
        </w:r>
        <w:r>
          <w:rPr>
            <w:noProof/>
            <w:webHidden/>
          </w:rPr>
          <w:fldChar w:fldCharType="separate"/>
        </w:r>
        <w:r>
          <w:rPr>
            <w:noProof/>
            <w:webHidden/>
          </w:rPr>
          <w:t>105</w:t>
        </w:r>
        <w:r>
          <w:rPr>
            <w:noProof/>
            <w:webHidden/>
          </w:rPr>
          <w:fldChar w:fldCharType="end"/>
        </w:r>
      </w:hyperlink>
    </w:p>
    <w:p w14:paraId="26681FAF" w14:textId="48610FAB" w:rsidR="00274557" w:rsidRDefault="00274557">
      <w:pPr>
        <w:pStyle w:val="TableofFigures"/>
        <w:rPr>
          <w:rFonts w:asciiTheme="minorHAnsi" w:eastAsiaTheme="minorEastAsia" w:hAnsiTheme="minorHAnsi"/>
          <w:noProof/>
          <w:kern w:val="2"/>
          <w:sz w:val="22"/>
          <w14:ligatures w14:val="standardContextual"/>
        </w:rPr>
      </w:pPr>
      <w:hyperlink w:anchor="_Toc192875137" w:history="1">
        <w:r>
          <w:rPr>
            <w:rStyle w:val="Hyperlink"/>
            <w:noProof/>
          </w:rPr>
          <w:t>Table 2</w:t>
        </w:r>
        <w:r>
          <w:rPr>
            <w:rStyle w:val="Hyperlink"/>
            <w:noProof/>
          </w:rPr>
          <w:noBreakHyphen/>
          <w:t>52: Static Code Analysis Roles and Permissions</w:t>
        </w:r>
        <w:r>
          <w:rPr>
            <w:noProof/>
            <w:webHidden/>
          </w:rPr>
          <w:tab/>
        </w:r>
        <w:r>
          <w:rPr>
            <w:noProof/>
            <w:webHidden/>
          </w:rPr>
          <w:fldChar w:fldCharType="begin"/>
        </w:r>
        <w:r>
          <w:rPr>
            <w:noProof/>
            <w:webHidden/>
          </w:rPr>
          <w:instrText xml:space="preserve"> PAGEREF _Toc192875137 \h </w:instrText>
        </w:r>
        <w:r>
          <w:rPr>
            <w:noProof/>
            <w:webHidden/>
          </w:rPr>
        </w:r>
        <w:r>
          <w:rPr>
            <w:noProof/>
            <w:webHidden/>
          </w:rPr>
          <w:fldChar w:fldCharType="separate"/>
        </w:r>
        <w:r>
          <w:rPr>
            <w:noProof/>
            <w:webHidden/>
          </w:rPr>
          <w:t>105</w:t>
        </w:r>
        <w:r>
          <w:rPr>
            <w:noProof/>
            <w:webHidden/>
          </w:rPr>
          <w:fldChar w:fldCharType="end"/>
        </w:r>
      </w:hyperlink>
    </w:p>
    <w:p w14:paraId="039445A2" w14:textId="5452988C" w:rsidR="00274557" w:rsidRDefault="00274557">
      <w:pPr>
        <w:pStyle w:val="TableofFigures"/>
        <w:rPr>
          <w:rFonts w:asciiTheme="minorHAnsi" w:eastAsiaTheme="minorEastAsia" w:hAnsiTheme="minorHAnsi"/>
          <w:noProof/>
          <w:kern w:val="2"/>
          <w:sz w:val="22"/>
          <w14:ligatures w14:val="standardContextual"/>
        </w:rPr>
      </w:pPr>
      <w:hyperlink w:anchor="_Toc192875138" w:history="1">
        <w:r>
          <w:rPr>
            <w:rStyle w:val="Hyperlink"/>
            <w:noProof/>
          </w:rPr>
          <w:t>Table 2</w:t>
        </w:r>
        <w:r>
          <w:rPr>
            <w:rStyle w:val="Hyperlink"/>
            <w:noProof/>
          </w:rPr>
          <w:noBreakHyphen/>
          <w:t>53: Static Code Analysis Workflow Narrative</w:t>
        </w:r>
        <w:r>
          <w:rPr>
            <w:noProof/>
            <w:webHidden/>
          </w:rPr>
          <w:tab/>
        </w:r>
        <w:r>
          <w:rPr>
            <w:noProof/>
            <w:webHidden/>
          </w:rPr>
          <w:fldChar w:fldCharType="begin"/>
        </w:r>
        <w:r>
          <w:rPr>
            <w:noProof/>
            <w:webHidden/>
          </w:rPr>
          <w:instrText xml:space="preserve"> PAGEREF _Toc192875138 \h </w:instrText>
        </w:r>
        <w:r>
          <w:rPr>
            <w:noProof/>
            <w:webHidden/>
          </w:rPr>
        </w:r>
        <w:r>
          <w:rPr>
            <w:noProof/>
            <w:webHidden/>
          </w:rPr>
          <w:fldChar w:fldCharType="separate"/>
        </w:r>
        <w:r>
          <w:rPr>
            <w:noProof/>
            <w:webHidden/>
          </w:rPr>
          <w:t>106</w:t>
        </w:r>
        <w:r>
          <w:rPr>
            <w:noProof/>
            <w:webHidden/>
          </w:rPr>
          <w:fldChar w:fldCharType="end"/>
        </w:r>
      </w:hyperlink>
    </w:p>
    <w:p w14:paraId="6A400F25" w14:textId="3A7CE1F3" w:rsidR="00274557" w:rsidRDefault="00274557">
      <w:pPr>
        <w:pStyle w:val="TableofFigures"/>
        <w:rPr>
          <w:rFonts w:asciiTheme="minorHAnsi" w:eastAsiaTheme="minorEastAsia" w:hAnsiTheme="minorHAnsi"/>
          <w:noProof/>
          <w:kern w:val="2"/>
          <w:sz w:val="22"/>
          <w14:ligatures w14:val="standardContextual"/>
        </w:rPr>
      </w:pPr>
      <w:hyperlink w:anchor="_Toc192875139" w:history="1">
        <w:r>
          <w:rPr>
            <w:rStyle w:val="Hyperlink"/>
            <w:noProof/>
          </w:rPr>
          <w:t>Table 2</w:t>
        </w:r>
        <w:r>
          <w:rPr>
            <w:rStyle w:val="Hyperlink"/>
            <w:noProof/>
          </w:rPr>
          <w:noBreakHyphen/>
          <w:t>54: Static Code Analysis Access</w:t>
        </w:r>
        <w:r>
          <w:rPr>
            <w:noProof/>
            <w:webHidden/>
          </w:rPr>
          <w:tab/>
        </w:r>
        <w:r>
          <w:rPr>
            <w:noProof/>
            <w:webHidden/>
          </w:rPr>
          <w:fldChar w:fldCharType="begin"/>
        </w:r>
        <w:r>
          <w:rPr>
            <w:noProof/>
            <w:webHidden/>
          </w:rPr>
          <w:instrText xml:space="preserve"> PAGEREF _Toc192875139 \h </w:instrText>
        </w:r>
        <w:r>
          <w:rPr>
            <w:noProof/>
            <w:webHidden/>
          </w:rPr>
        </w:r>
        <w:r>
          <w:rPr>
            <w:noProof/>
            <w:webHidden/>
          </w:rPr>
          <w:fldChar w:fldCharType="separate"/>
        </w:r>
        <w:r>
          <w:rPr>
            <w:noProof/>
            <w:webHidden/>
          </w:rPr>
          <w:t>106</w:t>
        </w:r>
        <w:r>
          <w:rPr>
            <w:noProof/>
            <w:webHidden/>
          </w:rPr>
          <w:fldChar w:fldCharType="end"/>
        </w:r>
      </w:hyperlink>
    </w:p>
    <w:p w14:paraId="36920098" w14:textId="32848208" w:rsidR="00274557" w:rsidRDefault="00274557">
      <w:pPr>
        <w:pStyle w:val="TableofFigures"/>
        <w:rPr>
          <w:rFonts w:asciiTheme="minorHAnsi" w:eastAsiaTheme="minorEastAsia" w:hAnsiTheme="minorHAnsi"/>
          <w:noProof/>
          <w:kern w:val="2"/>
          <w:sz w:val="22"/>
          <w14:ligatures w14:val="standardContextual"/>
        </w:rPr>
      </w:pPr>
      <w:hyperlink w:anchor="_Toc192875140" w:history="1">
        <w:r>
          <w:rPr>
            <w:rStyle w:val="Hyperlink"/>
            <w:noProof/>
          </w:rPr>
          <w:t>Table 2</w:t>
        </w:r>
        <w:r>
          <w:rPr>
            <w:rStyle w:val="Hyperlink"/>
            <w:noProof/>
          </w:rPr>
          <w:noBreakHyphen/>
          <w:t>55: Build Server Roles and Permissions</w:t>
        </w:r>
        <w:r>
          <w:rPr>
            <w:noProof/>
            <w:webHidden/>
          </w:rPr>
          <w:tab/>
        </w:r>
        <w:r>
          <w:rPr>
            <w:noProof/>
            <w:webHidden/>
          </w:rPr>
          <w:fldChar w:fldCharType="begin"/>
        </w:r>
        <w:r>
          <w:rPr>
            <w:noProof/>
            <w:webHidden/>
          </w:rPr>
          <w:instrText xml:space="preserve"> PAGEREF _Toc192875140 \h </w:instrText>
        </w:r>
        <w:r>
          <w:rPr>
            <w:noProof/>
            <w:webHidden/>
          </w:rPr>
        </w:r>
        <w:r>
          <w:rPr>
            <w:noProof/>
            <w:webHidden/>
          </w:rPr>
          <w:fldChar w:fldCharType="separate"/>
        </w:r>
        <w:r>
          <w:rPr>
            <w:noProof/>
            <w:webHidden/>
          </w:rPr>
          <w:t>106</w:t>
        </w:r>
        <w:r>
          <w:rPr>
            <w:noProof/>
            <w:webHidden/>
          </w:rPr>
          <w:fldChar w:fldCharType="end"/>
        </w:r>
      </w:hyperlink>
    </w:p>
    <w:p w14:paraId="1A2D8E41" w14:textId="128337D5" w:rsidR="00274557" w:rsidRDefault="00274557">
      <w:pPr>
        <w:pStyle w:val="TableofFigures"/>
        <w:rPr>
          <w:rFonts w:asciiTheme="minorHAnsi" w:eastAsiaTheme="minorEastAsia" w:hAnsiTheme="minorHAnsi"/>
          <w:noProof/>
          <w:kern w:val="2"/>
          <w:sz w:val="22"/>
          <w14:ligatures w14:val="standardContextual"/>
        </w:rPr>
      </w:pPr>
      <w:hyperlink w:anchor="_Toc192875141" w:history="1">
        <w:r>
          <w:rPr>
            <w:rStyle w:val="Hyperlink"/>
            <w:noProof/>
          </w:rPr>
          <w:t>Table 2</w:t>
        </w:r>
        <w:r>
          <w:rPr>
            <w:rStyle w:val="Hyperlink"/>
            <w:noProof/>
          </w:rPr>
          <w:noBreakHyphen/>
          <w:t>56: Build Server Workflow Narrative</w:t>
        </w:r>
        <w:r>
          <w:rPr>
            <w:noProof/>
            <w:webHidden/>
          </w:rPr>
          <w:tab/>
        </w:r>
        <w:r>
          <w:rPr>
            <w:noProof/>
            <w:webHidden/>
          </w:rPr>
          <w:fldChar w:fldCharType="begin"/>
        </w:r>
        <w:r>
          <w:rPr>
            <w:noProof/>
            <w:webHidden/>
          </w:rPr>
          <w:instrText xml:space="preserve"> PAGEREF _Toc192875141 \h </w:instrText>
        </w:r>
        <w:r>
          <w:rPr>
            <w:noProof/>
            <w:webHidden/>
          </w:rPr>
        </w:r>
        <w:r>
          <w:rPr>
            <w:noProof/>
            <w:webHidden/>
          </w:rPr>
          <w:fldChar w:fldCharType="separate"/>
        </w:r>
        <w:r>
          <w:rPr>
            <w:noProof/>
            <w:webHidden/>
          </w:rPr>
          <w:t>107</w:t>
        </w:r>
        <w:r>
          <w:rPr>
            <w:noProof/>
            <w:webHidden/>
          </w:rPr>
          <w:fldChar w:fldCharType="end"/>
        </w:r>
      </w:hyperlink>
    </w:p>
    <w:p w14:paraId="60B70E95" w14:textId="0E2039AD" w:rsidR="00274557" w:rsidRDefault="00274557">
      <w:pPr>
        <w:pStyle w:val="TableofFigures"/>
        <w:rPr>
          <w:rFonts w:asciiTheme="minorHAnsi" w:eastAsiaTheme="minorEastAsia" w:hAnsiTheme="minorHAnsi"/>
          <w:noProof/>
          <w:kern w:val="2"/>
          <w:sz w:val="22"/>
          <w14:ligatures w14:val="standardContextual"/>
        </w:rPr>
      </w:pPr>
      <w:hyperlink w:anchor="_Toc192875142" w:history="1">
        <w:r>
          <w:rPr>
            <w:rStyle w:val="Hyperlink"/>
            <w:noProof/>
          </w:rPr>
          <w:t>Table 2</w:t>
        </w:r>
        <w:r>
          <w:rPr>
            <w:rStyle w:val="Hyperlink"/>
            <w:noProof/>
          </w:rPr>
          <w:noBreakHyphen/>
          <w:t>57: Build Server Access</w:t>
        </w:r>
        <w:r>
          <w:rPr>
            <w:noProof/>
            <w:webHidden/>
          </w:rPr>
          <w:tab/>
        </w:r>
        <w:r>
          <w:rPr>
            <w:noProof/>
            <w:webHidden/>
          </w:rPr>
          <w:fldChar w:fldCharType="begin"/>
        </w:r>
        <w:r>
          <w:rPr>
            <w:noProof/>
            <w:webHidden/>
          </w:rPr>
          <w:instrText xml:space="preserve"> PAGEREF _Toc192875142 \h </w:instrText>
        </w:r>
        <w:r>
          <w:rPr>
            <w:noProof/>
            <w:webHidden/>
          </w:rPr>
        </w:r>
        <w:r>
          <w:rPr>
            <w:noProof/>
            <w:webHidden/>
          </w:rPr>
          <w:fldChar w:fldCharType="separate"/>
        </w:r>
        <w:r>
          <w:rPr>
            <w:noProof/>
            <w:webHidden/>
          </w:rPr>
          <w:t>107</w:t>
        </w:r>
        <w:r>
          <w:rPr>
            <w:noProof/>
            <w:webHidden/>
          </w:rPr>
          <w:fldChar w:fldCharType="end"/>
        </w:r>
      </w:hyperlink>
    </w:p>
    <w:p w14:paraId="69B74218" w14:textId="356CE135" w:rsidR="00274557" w:rsidRDefault="00274557">
      <w:pPr>
        <w:pStyle w:val="TableofFigures"/>
        <w:rPr>
          <w:rFonts w:asciiTheme="minorHAnsi" w:eastAsiaTheme="minorEastAsia" w:hAnsiTheme="minorHAnsi"/>
          <w:noProof/>
          <w:kern w:val="2"/>
          <w:sz w:val="22"/>
          <w14:ligatures w14:val="standardContextual"/>
        </w:rPr>
      </w:pPr>
      <w:hyperlink w:anchor="_Toc192875143" w:history="1">
        <w:r>
          <w:rPr>
            <w:rStyle w:val="Hyperlink"/>
            <w:noProof/>
          </w:rPr>
          <w:t>Table 2</w:t>
        </w:r>
        <w:r>
          <w:rPr>
            <w:rStyle w:val="Hyperlink"/>
            <w:noProof/>
          </w:rPr>
          <w:noBreakHyphen/>
          <w:t>58: artifact repository Roles and Permissions</w:t>
        </w:r>
        <w:r>
          <w:rPr>
            <w:noProof/>
            <w:webHidden/>
          </w:rPr>
          <w:tab/>
        </w:r>
        <w:r>
          <w:rPr>
            <w:noProof/>
            <w:webHidden/>
          </w:rPr>
          <w:fldChar w:fldCharType="begin"/>
        </w:r>
        <w:r>
          <w:rPr>
            <w:noProof/>
            <w:webHidden/>
          </w:rPr>
          <w:instrText xml:space="preserve"> PAGEREF _Toc192875143 \h </w:instrText>
        </w:r>
        <w:r>
          <w:rPr>
            <w:noProof/>
            <w:webHidden/>
          </w:rPr>
        </w:r>
        <w:r>
          <w:rPr>
            <w:noProof/>
            <w:webHidden/>
          </w:rPr>
          <w:fldChar w:fldCharType="separate"/>
        </w:r>
        <w:r>
          <w:rPr>
            <w:noProof/>
            <w:webHidden/>
          </w:rPr>
          <w:t>108</w:t>
        </w:r>
        <w:r>
          <w:rPr>
            <w:noProof/>
            <w:webHidden/>
          </w:rPr>
          <w:fldChar w:fldCharType="end"/>
        </w:r>
      </w:hyperlink>
    </w:p>
    <w:p w14:paraId="366F7600" w14:textId="2F03DE89" w:rsidR="00274557" w:rsidRDefault="00274557">
      <w:pPr>
        <w:pStyle w:val="TableofFigures"/>
        <w:rPr>
          <w:rFonts w:asciiTheme="minorHAnsi" w:eastAsiaTheme="minorEastAsia" w:hAnsiTheme="minorHAnsi"/>
          <w:noProof/>
          <w:kern w:val="2"/>
          <w:sz w:val="22"/>
          <w14:ligatures w14:val="standardContextual"/>
        </w:rPr>
      </w:pPr>
      <w:hyperlink w:anchor="_Toc192875144" w:history="1">
        <w:r>
          <w:rPr>
            <w:rStyle w:val="Hyperlink"/>
            <w:noProof/>
          </w:rPr>
          <w:t>Table 2</w:t>
        </w:r>
        <w:r>
          <w:rPr>
            <w:rStyle w:val="Hyperlink"/>
            <w:noProof/>
          </w:rPr>
          <w:noBreakHyphen/>
          <w:t>59: artifact repository Workflow Narrative</w:t>
        </w:r>
        <w:r>
          <w:rPr>
            <w:noProof/>
            <w:webHidden/>
          </w:rPr>
          <w:tab/>
        </w:r>
        <w:r>
          <w:rPr>
            <w:noProof/>
            <w:webHidden/>
          </w:rPr>
          <w:fldChar w:fldCharType="begin"/>
        </w:r>
        <w:r>
          <w:rPr>
            <w:noProof/>
            <w:webHidden/>
          </w:rPr>
          <w:instrText xml:space="preserve"> PAGEREF _Toc192875144 \h </w:instrText>
        </w:r>
        <w:r>
          <w:rPr>
            <w:noProof/>
            <w:webHidden/>
          </w:rPr>
        </w:r>
        <w:r>
          <w:rPr>
            <w:noProof/>
            <w:webHidden/>
          </w:rPr>
          <w:fldChar w:fldCharType="separate"/>
        </w:r>
        <w:r>
          <w:rPr>
            <w:noProof/>
            <w:webHidden/>
          </w:rPr>
          <w:t>109</w:t>
        </w:r>
        <w:r>
          <w:rPr>
            <w:noProof/>
            <w:webHidden/>
          </w:rPr>
          <w:fldChar w:fldCharType="end"/>
        </w:r>
      </w:hyperlink>
    </w:p>
    <w:p w14:paraId="6D0EAB53" w14:textId="2C11875E" w:rsidR="00274557" w:rsidRDefault="00274557">
      <w:pPr>
        <w:pStyle w:val="TableofFigures"/>
        <w:rPr>
          <w:rFonts w:asciiTheme="minorHAnsi" w:eastAsiaTheme="minorEastAsia" w:hAnsiTheme="minorHAnsi"/>
          <w:noProof/>
          <w:kern w:val="2"/>
          <w:sz w:val="22"/>
          <w14:ligatures w14:val="standardContextual"/>
        </w:rPr>
      </w:pPr>
      <w:hyperlink w:anchor="_Toc192875145" w:history="1">
        <w:r>
          <w:rPr>
            <w:rStyle w:val="Hyperlink"/>
            <w:noProof/>
          </w:rPr>
          <w:t>Table 2</w:t>
        </w:r>
        <w:r>
          <w:rPr>
            <w:rStyle w:val="Hyperlink"/>
            <w:noProof/>
          </w:rPr>
          <w:noBreakHyphen/>
          <w:t>60: artifact repository Access</w:t>
        </w:r>
        <w:r>
          <w:rPr>
            <w:noProof/>
            <w:webHidden/>
          </w:rPr>
          <w:tab/>
        </w:r>
        <w:r>
          <w:rPr>
            <w:noProof/>
            <w:webHidden/>
          </w:rPr>
          <w:fldChar w:fldCharType="begin"/>
        </w:r>
        <w:r>
          <w:rPr>
            <w:noProof/>
            <w:webHidden/>
          </w:rPr>
          <w:instrText xml:space="preserve"> PAGEREF _Toc192875145 \h </w:instrText>
        </w:r>
        <w:r>
          <w:rPr>
            <w:noProof/>
            <w:webHidden/>
          </w:rPr>
        </w:r>
        <w:r>
          <w:rPr>
            <w:noProof/>
            <w:webHidden/>
          </w:rPr>
          <w:fldChar w:fldCharType="separate"/>
        </w:r>
        <w:r>
          <w:rPr>
            <w:noProof/>
            <w:webHidden/>
          </w:rPr>
          <w:t>109</w:t>
        </w:r>
        <w:r>
          <w:rPr>
            <w:noProof/>
            <w:webHidden/>
          </w:rPr>
          <w:fldChar w:fldCharType="end"/>
        </w:r>
      </w:hyperlink>
    </w:p>
    <w:p w14:paraId="66CF7A5F" w14:textId="2A10028A" w:rsidR="00274557" w:rsidRDefault="00274557">
      <w:pPr>
        <w:pStyle w:val="TableofFigures"/>
        <w:rPr>
          <w:rFonts w:asciiTheme="minorHAnsi" w:eastAsiaTheme="minorEastAsia" w:hAnsiTheme="minorHAnsi"/>
          <w:noProof/>
          <w:kern w:val="2"/>
          <w:sz w:val="22"/>
          <w14:ligatures w14:val="standardContextual"/>
        </w:rPr>
      </w:pPr>
      <w:hyperlink w:anchor="_Toc192875146" w:history="1">
        <w:r>
          <w:rPr>
            <w:rStyle w:val="Hyperlink"/>
            <w:noProof/>
          </w:rPr>
          <w:t>Table 2</w:t>
        </w:r>
        <w:r>
          <w:rPr>
            <w:rStyle w:val="Hyperlink"/>
            <w:noProof/>
          </w:rPr>
          <w:noBreakHyphen/>
          <w:t>61: Selenium Roles and Responsibilities</w:t>
        </w:r>
        <w:r>
          <w:rPr>
            <w:noProof/>
            <w:webHidden/>
          </w:rPr>
          <w:tab/>
        </w:r>
        <w:r>
          <w:rPr>
            <w:noProof/>
            <w:webHidden/>
          </w:rPr>
          <w:fldChar w:fldCharType="begin"/>
        </w:r>
        <w:r>
          <w:rPr>
            <w:noProof/>
            <w:webHidden/>
          </w:rPr>
          <w:instrText xml:space="preserve"> PAGEREF _Toc192875146 \h </w:instrText>
        </w:r>
        <w:r>
          <w:rPr>
            <w:noProof/>
            <w:webHidden/>
          </w:rPr>
        </w:r>
        <w:r>
          <w:rPr>
            <w:noProof/>
            <w:webHidden/>
          </w:rPr>
          <w:fldChar w:fldCharType="separate"/>
        </w:r>
        <w:r>
          <w:rPr>
            <w:noProof/>
            <w:webHidden/>
          </w:rPr>
          <w:t>110</w:t>
        </w:r>
        <w:r>
          <w:rPr>
            <w:noProof/>
            <w:webHidden/>
          </w:rPr>
          <w:fldChar w:fldCharType="end"/>
        </w:r>
      </w:hyperlink>
    </w:p>
    <w:p w14:paraId="40968C04" w14:textId="44B27578" w:rsidR="00274557" w:rsidRDefault="00274557">
      <w:pPr>
        <w:pStyle w:val="TableofFigures"/>
        <w:rPr>
          <w:rFonts w:asciiTheme="minorHAnsi" w:eastAsiaTheme="minorEastAsia" w:hAnsiTheme="minorHAnsi"/>
          <w:noProof/>
          <w:kern w:val="2"/>
          <w:sz w:val="22"/>
          <w14:ligatures w14:val="standardContextual"/>
        </w:rPr>
      </w:pPr>
      <w:hyperlink w:anchor="_Toc192875147" w:history="1">
        <w:r>
          <w:rPr>
            <w:rStyle w:val="Hyperlink"/>
            <w:noProof/>
          </w:rPr>
          <w:t>Table 2</w:t>
        </w:r>
        <w:r>
          <w:rPr>
            <w:rStyle w:val="Hyperlink"/>
            <w:noProof/>
          </w:rPr>
          <w:noBreakHyphen/>
          <w:t>62: Selenium Workflow Narrative</w:t>
        </w:r>
        <w:r>
          <w:rPr>
            <w:noProof/>
            <w:webHidden/>
          </w:rPr>
          <w:tab/>
        </w:r>
        <w:r>
          <w:rPr>
            <w:noProof/>
            <w:webHidden/>
          </w:rPr>
          <w:fldChar w:fldCharType="begin"/>
        </w:r>
        <w:r>
          <w:rPr>
            <w:noProof/>
            <w:webHidden/>
          </w:rPr>
          <w:instrText xml:space="preserve"> PAGEREF _Toc192875147 \h </w:instrText>
        </w:r>
        <w:r>
          <w:rPr>
            <w:noProof/>
            <w:webHidden/>
          </w:rPr>
        </w:r>
        <w:r>
          <w:rPr>
            <w:noProof/>
            <w:webHidden/>
          </w:rPr>
          <w:fldChar w:fldCharType="separate"/>
        </w:r>
        <w:r>
          <w:rPr>
            <w:noProof/>
            <w:webHidden/>
          </w:rPr>
          <w:t>110</w:t>
        </w:r>
        <w:r>
          <w:rPr>
            <w:noProof/>
            <w:webHidden/>
          </w:rPr>
          <w:fldChar w:fldCharType="end"/>
        </w:r>
      </w:hyperlink>
    </w:p>
    <w:p w14:paraId="6A8658CE" w14:textId="6B548B88" w:rsidR="00274557" w:rsidRDefault="00274557">
      <w:pPr>
        <w:pStyle w:val="TableofFigures"/>
        <w:rPr>
          <w:rFonts w:asciiTheme="minorHAnsi" w:eastAsiaTheme="minorEastAsia" w:hAnsiTheme="minorHAnsi"/>
          <w:noProof/>
          <w:kern w:val="2"/>
          <w:sz w:val="22"/>
          <w14:ligatures w14:val="standardContextual"/>
        </w:rPr>
      </w:pPr>
      <w:hyperlink w:anchor="_Toc192875148" w:history="1">
        <w:r>
          <w:rPr>
            <w:rStyle w:val="Hyperlink"/>
            <w:noProof/>
          </w:rPr>
          <w:t>Table 2</w:t>
        </w:r>
        <w:r>
          <w:rPr>
            <w:rStyle w:val="Hyperlink"/>
            <w:noProof/>
          </w:rPr>
          <w:noBreakHyphen/>
          <w:t>63: WAVE Roles and Responsibilities</w:t>
        </w:r>
        <w:r>
          <w:rPr>
            <w:noProof/>
            <w:webHidden/>
          </w:rPr>
          <w:tab/>
        </w:r>
        <w:r>
          <w:rPr>
            <w:noProof/>
            <w:webHidden/>
          </w:rPr>
          <w:fldChar w:fldCharType="begin"/>
        </w:r>
        <w:r>
          <w:rPr>
            <w:noProof/>
            <w:webHidden/>
          </w:rPr>
          <w:instrText xml:space="preserve"> PAGEREF _Toc192875148 \h </w:instrText>
        </w:r>
        <w:r>
          <w:rPr>
            <w:noProof/>
            <w:webHidden/>
          </w:rPr>
        </w:r>
        <w:r>
          <w:rPr>
            <w:noProof/>
            <w:webHidden/>
          </w:rPr>
          <w:fldChar w:fldCharType="separate"/>
        </w:r>
        <w:r>
          <w:rPr>
            <w:noProof/>
            <w:webHidden/>
          </w:rPr>
          <w:t>111</w:t>
        </w:r>
        <w:r>
          <w:rPr>
            <w:noProof/>
            <w:webHidden/>
          </w:rPr>
          <w:fldChar w:fldCharType="end"/>
        </w:r>
      </w:hyperlink>
    </w:p>
    <w:p w14:paraId="3F09D17E" w14:textId="1B7E4ECD" w:rsidR="00274557" w:rsidRDefault="00274557">
      <w:pPr>
        <w:pStyle w:val="TableofFigures"/>
        <w:rPr>
          <w:rFonts w:asciiTheme="minorHAnsi" w:eastAsiaTheme="minorEastAsia" w:hAnsiTheme="minorHAnsi"/>
          <w:noProof/>
          <w:kern w:val="2"/>
          <w:sz w:val="22"/>
          <w14:ligatures w14:val="standardContextual"/>
        </w:rPr>
      </w:pPr>
      <w:hyperlink w:anchor="_Toc192875149" w:history="1">
        <w:r>
          <w:rPr>
            <w:rStyle w:val="Hyperlink"/>
            <w:noProof/>
          </w:rPr>
          <w:t>Table 2</w:t>
        </w:r>
        <w:r>
          <w:rPr>
            <w:rStyle w:val="Hyperlink"/>
            <w:noProof/>
          </w:rPr>
          <w:noBreakHyphen/>
          <w:t>64: JAWS Roles and Responsibilities</w:t>
        </w:r>
        <w:r>
          <w:rPr>
            <w:noProof/>
            <w:webHidden/>
          </w:rPr>
          <w:tab/>
        </w:r>
        <w:r>
          <w:rPr>
            <w:noProof/>
            <w:webHidden/>
          </w:rPr>
          <w:fldChar w:fldCharType="begin"/>
        </w:r>
        <w:r>
          <w:rPr>
            <w:noProof/>
            <w:webHidden/>
          </w:rPr>
          <w:instrText xml:space="preserve"> PAGEREF _Toc192875149 \h </w:instrText>
        </w:r>
        <w:r>
          <w:rPr>
            <w:noProof/>
            <w:webHidden/>
          </w:rPr>
        </w:r>
        <w:r>
          <w:rPr>
            <w:noProof/>
            <w:webHidden/>
          </w:rPr>
          <w:fldChar w:fldCharType="separate"/>
        </w:r>
        <w:r>
          <w:rPr>
            <w:noProof/>
            <w:webHidden/>
          </w:rPr>
          <w:t>112</w:t>
        </w:r>
        <w:r>
          <w:rPr>
            <w:noProof/>
            <w:webHidden/>
          </w:rPr>
          <w:fldChar w:fldCharType="end"/>
        </w:r>
      </w:hyperlink>
    </w:p>
    <w:p w14:paraId="76B6B5DF" w14:textId="26C667E3" w:rsidR="00274557" w:rsidRDefault="00274557">
      <w:pPr>
        <w:pStyle w:val="TableofFigures"/>
        <w:rPr>
          <w:rFonts w:asciiTheme="minorHAnsi" w:eastAsiaTheme="minorEastAsia" w:hAnsiTheme="minorHAnsi"/>
          <w:noProof/>
          <w:kern w:val="2"/>
          <w:sz w:val="22"/>
          <w14:ligatures w14:val="standardContextual"/>
        </w:rPr>
      </w:pPr>
      <w:hyperlink w:anchor="_Toc192875150" w:history="1">
        <w:r>
          <w:rPr>
            <w:rStyle w:val="Hyperlink"/>
            <w:noProof/>
          </w:rPr>
          <w:t>Table 2</w:t>
        </w:r>
        <w:r>
          <w:rPr>
            <w:rStyle w:val="Hyperlink"/>
            <w:noProof/>
          </w:rPr>
          <w:noBreakHyphen/>
          <w:t>65: Test Management Tool Roles and Permissions</w:t>
        </w:r>
        <w:r>
          <w:rPr>
            <w:noProof/>
            <w:webHidden/>
          </w:rPr>
          <w:tab/>
        </w:r>
        <w:r>
          <w:rPr>
            <w:noProof/>
            <w:webHidden/>
          </w:rPr>
          <w:fldChar w:fldCharType="begin"/>
        </w:r>
        <w:r>
          <w:rPr>
            <w:noProof/>
            <w:webHidden/>
          </w:rPr>
          <w:instrText xml:space="preserve"> PAGEREF _Toc192875150 \h </w:instrText>
        </w:r>
        <w:r>
          <w:rPr>
            <w:noProof/>
            <w:webHidden/>
          </w:rPr>
        </w:r>
        <w:r>
          <w:rPr>
            <w:noProof/>
            <w:webHidden/>
          </w:rPr>
          <w:fldChar w:fldCharType="separate"/>
        </w:r>
        <w:r>
          <w:rPr>
            <w:noProof/>
            <w:webHidden/>
          </w:rPr>
          <w:t>112</w:t>
        </w:r>
        <w:r>
          <w:rPr>
            <w:noProof/>
            <w:webHidden/>
          </w:rPr>
          <w:fldChar w:fldCharType="end"/>
        </w:r>
      </w:hyperlink>
    </w:p>
    <w:p w14:paraId="5A6C29D1" w14:textId="2C2EDB0C" w:rsidR="00274557" w:rsidRDefault="00274557">
      <w:pPr>
        <w:pStyle w:val="TableofFigures"/>
        <w:rPr>
          <w:rFonts w:asciiTheme="minorHAnsi" w:eastAsiaTheme="minorEastAsia" w:hAnsiTheme="minorHAnsi"/>
          <w:noProof/>
          <w:kern w:val="2"/>
          <w:sz w:val="22"/>
          <w14:ligatures w14:val="standardContextual"/>
        </w:rPr>
      </w:pPr>
      <w:hyperlink w:anchor="_Toc192875151" w:history="1">
        <w:r>
          <w:rPr>
            <w:rStyle w:val="Hyperlink"/>
            <w:noProof/>
          </w:rPr>
          <w:t>Table 2</w:t>
        </w:r>
        <w:r>
          <w:rPr>
            <w:rStyle w:val="Hyperlink"/>
            <w:noProof/>
          </w:rPr>
          <w:noBreakHyphen/>
          <w:t>66: Test Case Workflow Narrative</w:t>
        </w:r>
        <w:r>
          <w:rPr>
            <w:noProof/>
            <w:webHidden/>
          </w:rPr>
          <w:tab/>
        </w:r>
        <w:r>
          <w:rPr>
            <w:noProof/>
            <w:webHidden/>
          </w:rPr>
          <w:fldChar w:fldCharType="begin"/>
        </w:r>
        <w:r>
          <w:rPr>
            <w:noProof/>
            <w:webHidden/>
          </w:rPr>
          <w:instrText xml:space="preserve"> PAGEREF _Toc192875151 \h </w:instrText>
        </w:r>
        <w:r>
          <w:rPr>
            <w:noProof/>
            <w:webHidden/>
          </w:rPr>
        </w:r>
        <w:r>
          <w:rPr>
            <w:noProof/>
            <w:webHidden/>
          </w:rPr>
          <w:fldChar w:fldCharType="separate"/>
        </w:r>
        <w:r>
          <w:rPr>
            <w:noProof/>
            <w:webHidden/>
          </w:rPr>
          <w:t>113</w:t>
        </w:r>
        <w:r>
          <w:rPr>
            <w:noProof/>
            <w:webHidden/>
          </w:rPr>
          <w:fldChar w:fldCharType="end"/>
        </w:r>
      </w:hyperlink>
    </w:p>
    <w:p w14:paraId="028D0FDF" w14:textId="78923D8E" w:rsidR="00274557" w:rsidRDefault="00274557">
      <w:pPr>
        <w:pStyle w:val="TableofFigures"/>
        <w:rPr>
          <w:rFonts w:asciiTheme="minorHAnsi" w:eastAsiaTheme="minorEastAsia" w:hAnsiTheme="minorHAnsi"/>
          <w:noProof/>
          <w:kern w:val="2"/>
          <w:sz w:val="22"/>
          <w14:ligatures w14:val="standardContextual"/>
        </w:rPr>
      </w:pPr>
      <w:hyperlink w:anchor="_Toc192875152" w:history="1">
        <w:r>
          <w:rPr>
            <w:rStyle w:val="Hyperlink"/>
            <w:noProof/>
          </w:rPr>
          <w:t>Table 2</w:t>
        </w:r>
        <w:r>
          <w:rPr>
            <w:rStyle w:val="Hyperlink"/>
            <w:noProof/>
          </w:rPr>
          <w:noBreakHyphen/>
          <w:t>67: Test Run Workflow Narrative</w:t>
        </w:r>
        <w:r>
          <w:rPr>
            <w:noProof/>
            <w:webHidden/>
          </w:rPr>
          <w:tab/>
        </w:r>
        <w:r>
          <w:rPr>
            <w:noProof/>
            <w:webHidden/>
          </w:rPr>
          <w:fldChar w:fldCharType="begin"/>
        </w:r>
        <w:r>
          <w:rPr>
            <w:noProof/>
            <w:webHidden/>
          </w:rPr>
          <w:instrText xml:space="preserve"> PAGEREF _Toc192875152 \h </w:instrText>
        </w:r>
        <w:r>
          <w:rPr>
            <w:noProof/>
            <w:webHidden/>
          </w:rPr>
        </w:r>
        <w:r>
          <w:rPr>
            <w:noProof/>
            <w:webHidden/>
          </w:rPr>
          <w:fldChar w:fldCharType="separate"/>
        </w:r>
        <w:r>
          <w:rPr>
            <w:noProof/>
            <w:webHidden/>
          </w:rPr>
          <w:t>114</w:t>
        </w:r>
        <w:r>
          <w:rPr>
            <w:noProof/>
            <w:webHidden/>
          </w:rPr>
          <w:fldChar w:fldCharType="end"/>
        </w:r>
      </w:hyperlink>
    </w:p>
    <w:p w14:paraId="78A6826C" w14:textId="1ABC5782" w:rsidR="00274557" w:rsidRDefault="00274557">
      <w:pPr>
        <w:pStyle w:val="TableofFigures"/>
        <w:rPr>
          <w:rFonts w:asciiTheme="minorHAnsi" w:eastAsiaTheme="minorEastAsia" w:hAnsiTheme="minorHAnsi"/>
          <w:noProof/>
          <w:kern w:val="2"/>
          <w:sz w:val="22"/>
          <w14:ligatures w14:val="standardContextual"/>
        </w:rPr>
      </w:pPr>
      <w:hyperlink w:anchor="_Toc192875153" w:history="1">
        <w:r>
          <w:rPr>
            <w:rStyle w:val="Hyperlink"/>
            <w:noProof/>
          </w:rPr>
          <w:t>Table 2</w:t>
        </w:r>
        <w:r>
          <w:rPr>
            <w:rStyle w:val="Hyperlink"/>
            <w:noProof/>
          </w:rPr>
          <w:noBreakHyphen/>
          <w:t>68: Test Management Tool Access</w:t>
        </w:r>
        <w:r>
          <w:rPr>
            <w:noProof/>
            <w:webHidden/>
          </w:rPr>
          <w:tab/>
        </w:r>
        <w:r>
          <w:rPr>
            <w:noProof/>
            <w:webHidden/>
          </w:rPr>
          <w:fldChar w:fldCharType="begin"/>
        </w:r>
        <w:r>
          <w:rPr>
            <w:noProof/>
            <w:webHidden/>
          </w:rPr>
          <w:instrText xml:space="preserve"> PAGEREF _Toc192875153 \h </w:instrText>
        </w:r>
        <w:r>
          <w:rPr>
            <w:noProof/>
            <w:webHidden/>
          </w:rPr>
        </w:r>
        <w:r>
          <w:rPr>
            <w:noProof/>
            <w:webHidden/>
          </w:rPr>
          <w:fldChar w:fldCharType="separate"/>
        </w:r>
        <w:r>
          <w:rPr>
            <w:noProof/>
            <w:webHidden/>
          </w:rPr>
          <w:t>115</w:t>
        </w:r>
        <w:r>
          <w:rPr>
            <w:noProof/>
            <w:webHidden/>
          </w:rPr>
          <w:fldChar w:fldCharType="end"/>
        </w:r>
      </w:hyperlink>
    </w:p>
    <w:p w14:paraId="26E67415" w14:textId="018914F7" w:rsidR="00274557" w:rsidRDefault="00274557">
      <w:pPr>
        <w:pStyle w:val="TableofFigures"/>
        <w:rPr>
          <w:rFonts w:asciiTheme="minorHAnsi" w:eastAsiaTheme="minorEastAsia" w:hAnsiTheme="minorHAnsi"/>
          <w:noProof/>
          <w:kern w:val="2"/>
          <w:sz w:val="22"/>
          <w14:ligatures w14:val="standardContextual"/>
        </w:rPr>
      </w:pPr>
      <w:hyperlink w:anchor="_Toc192875154" w:history="1">
        <w:r>
          <w:rPr>
            <w:rStyle w:val="Hyperlink"/>
            <w:noProof/>
          </w:rPr>
          <w:t>Table 2</w:t>
        </w:r>
        <w:r>
          <w:rPr>
            <w:rStyle w:val="Hyperlink"/>
            <w:noProof/>
          </w:rPr>
          <w:noBreakHyphen/>
          <w:t>69: Checkmarx Roles and Permissions</w:t>
        </w:r>
        <w:r>
          <w:rPr>
            <w:noProof/>
            <w:webHidden/>
          </w:rPr>
          <w:tab/>
        </w:r>
        <w:r>
          <w:rPr>
            <w:noProof/>
            <w:webHidden/>
          </w:rPr>
          <w:fldChar w:fldCharType="begin"/>
        </w:r>
        <w:r>
          <w:rPr>
            <w:noProof/>
            <w:webHidden/>
          </w:rPr>
          <w:instrText xml:space="preserve"> PAGEREF _Toc192875154 \h </w:instrText>
        </w:r>
        <w:r>
          <w:rPr>
            <w:noProof/>
            <w:webHidden/>
          </w:rPr>
        </w:r>
        <w:r>
          <w:rPr>
            <w:noProof/>
            <w:webHidden/>
          </w:rPr>
          <w:fldChar w:fldCharType="separate"/>
        </w:r>
        <w:r>
          <w:rPr>
            <w:noProof/>
            <w:webHidden/>
          </w:rPr>
          <w:t>115</w:t>
        </w:r>
        <w:r>
          <w:rPr>
            <w:noProof/>
            <w:webHidden/>
          </w:rPr>
          <w:fldChar w:fldCharType="end"/>
        </w:r>
      </w:hyperlink>
    </w:p>
    <w:p w14:paraId="720003FF" w14:textId="44BEA5B1" w:rsidR="00274557" w:rsidRDefault="00274557">
      <w:pPr>
        <w:pStyle w:val="TableofFigures"/>
        <w:rPr>
          <w:rFonts w:asciiTheme="minorHAnsi" w:eastAsiaTheme="minorEastAsia" w:hAnsiTheme="minorHAnsi"/>
          <w:noProof/>
          <w:kern w:val="2"/>
          <w:sz w:val="22"/>
          <w14:ligatures w14:val="standardContextual"/>
        </w:rPr>
      </w:pPr>
      <w:hyperlink w:anchor="_Toc192875155" w:history="1">
        <w:r>
          <w:rPr>
            <w:rStyle w:val="Hyperlink"/>
            <w:noProof/>
          </w:rPr>
          <w:t>Table 2</w:t>
        </w:r>
        <w:r>
          <w:rPr>
            <w:rStyle w:val="Hyperlink"/>
            <w:noProof/>
          </w:rPr>
          <w:noBreakHyphen/>
          <w:t>70: Checkmarx SAST Workflow Narrative</w:t>
        </w:r>
        <w:r>
          <w:rPr>
            <w:noProof/>
            <w:webHidden/>
          </w:rPr>
          <w:tab/>
        </w:r>
        <w:r>
          <w:rPr>
            <w:noProof/>
            <w:webHidden/>
          </w:rPr>
          <w:fldChar w:fldCharType="begin"/>
        </w:r>
        <w:r>
          <w:rPr>
            <w:noProof/>
            <w:webHidden/>
          </w:rPr>
          <w:instrText xml:space="preserve"> PAGEREF _Toc192875155 \h </w:instrText>
        </w:r>
        <w:r>
          <w:rPr>
            <w:noProof/>
            <w:webHidden/>
          </w:rPr>
        </w:r>
        <w:r>
          <w:rPr>
            <w:noProof/>
            <w:webHidden/>
          </w:rPr>
          <w:fldChar w:fldCharType="separate"/>
        </w:r>
        <w:r>
          <w:rPr>
            <w:noProof/>
            <w:webHidden/>
          </w:rPr>
          <w:t>116</w:t>
        </w:r>
        <w:r>
          <w:rPr>
            <w:noProof/>
            <w:webHidden/>
          </w:rPr>
          <w:fldChar w:fldCharType="end"/>
        </w:r>
      </w:hyperlink>
    </w:p>
    <w:p w14:paraId="05A63A96" w14:textId="5EC998DC" w:rsidR="00274557" w:rsidRDefault="00274557">
      <w:pPr>
        <w:pStyle w:val="TableofFigures"/>
        <w:rPr>
          <w:rFonts w:asciiTheme="minorHAnsi" w:eastAsiaTheme="minorEastAsia" w:hAnsiTheme="minorHAnsi"/>
          <w:noProof/>
          <w:kern w:val="2"/>
          <w:sz w:val="22"/>
          <w14:ligatures w14:val="standardContextual"/>
        </w:rPr>
      </w:pPr>
      <w:hyperlink w:anchor="_Toc192875156" w:history="1">
        <w:r>
          <w:rPr>
            <w:rStyle w:val="Hyperlink"/>
            <w:noProof/>
          </w:rPr>
          <w:t>Table 2</w:t>
        </w:r>
        <w:r>
          <w:rPr>
            <w:rStyle w:val="Hyperlink"/>
            <w:noProof/>
          </w:rPr>
          <w:noBreakHyphen/>
          <w:t>71: Checkmarx Access</w:t>
        </w:r>
        <w:r>
          <w:rPr>
            <w:noProof/>
            <w:webHidden/>
          </w:rPr>
          <w:tab/>
        </w:r>
        <w:r>
          <w:rPr>
            <w:noProof/>
            <w:webHidden/>
          </w:rPr>
          <w:fldChar w:fldCharType="begin"/>
        </w:r>
        <w:r>
          <w:rPr>
            <w:noProof/>
            <w:webHidden/>
          </w:rPr>
          <w:instrText xml:space="preserve"> PAGEREF _Toc192875156 \h </w:instrText>
        </w:r>
        <w:r>
          <w:rPr>
            <w:noProof/>
            <w:webHidden/>
          </w:rPr>
        </w:r>
        <w:r>
          <w:rPr>
            <w:noProof/>
            <w:webHidden/>
          </w:rPr>
          <w:fldChar w:fldCharType="separate"/>
        </w:r>
        <w:r>
          <w:rPr>
            <w:noProof/>
            <w:webHidden/>
          </w:rPr>
          <w:t>117</w:t>
        </w:r>
        <w:r>
          <w:rPr>
            <w:noProof/>
            <w:webHidden/>
          </w:rPr>
          <w:fldChar w:fldCharType="end"/>
        </w:r>
      </w:hyperlink>
    </w:p>
    <w:p w14:paraId="5522442A" w14:textId="0DBCE256" w:rsidR="00274557" w:rsidRDefault="00274557">
      <w:pPr>
        <w:pStyle w:val="TableofFigures"/>
        <w:rPr>
          <w:rFonts w:asciiTheme="minorHAnsi" w:eastAsiaTheme="minorEastAsia" w:hAnsiTheme="minorHAnsi"/>
          <w:noProof/>
          <w:kern w:val="2"/>
          <w:sz w:val="22"/>
          <w14:ligatures w14:val="standardContextual"/>
        </w:rPr>
      </w:pPr>
      <w:hyperlink w:anchor="_Toc192875157" w:history="1">
        <w:r>
          <w:rPr>
            <w:rStyle w:val="Hyperlink"/>
            <w:noProof/>
          </w:rPr>
          <w:t>Table 2</w:t>
        </w:r>
        <w:r>
          <w:rPr>
            <w:rStyle w:val="Hyperlink"/>
            <w:noProof/>
          </w:rPr>
          <w:noBreakHyphen/>
          <w:t>72: Burp Suite Roles and Permissions</w:t>
        </w:r>
        <w:r>
          <w:rPr>
            <w:noProof/>
            <w:webHidden/>
          </w:rPr>
          <w:tab/>
        </w:r>
        <w:r>
          <w:rPr>
            <w:noProof/>
            <w:webHidden/>
          </w:rPr>
          <w:fldChar w:fldCharType="begin"/>
        </w:r>
        <w:r>
          <w:rPr>
            <w:noProof/>
            <w:webHidden/>
          </w:rPr>
          <w:instrText xml:space="preserve"> PAGEREF _Toc192875157 \h </w:instrText>
        </w:r>
        <w:r>
          <w:rPr>
            <w:noProof/>
            <w:webHidden/>
          </w:rPr>
        </w:r>
        <w:r>
          <w:rPr>
            <w:noProof/>
            <w:webHidden/>
          </w:rPr>
          <w:fldChar w:fldCharType="separate"/>
        </w:r>
        <w:r>
          <w:rPr>
            <w:noProof/>
            <w:webHidden/>
          </w:rPr>
          <w:t>117</w:t>
        </w:r>
        <w:r>
          <w:rPr>
            <w:noProof/>
            <w:webHidden/>
          </w:rPr>
          <w:fldChar w:fldCharType="end"/>
        </w:r>
      </w:hyperlink>
    </w:p>
    <w:p w14:paraId="1E9DD787" w14:textId="4AEF1759" w:rsidR="00274557" w:rsidRDefault="00274557">
      <w:pPr>
        <w:pStyle w:val="TableofFigures"/>
        <w:rPr>
          <w:rFonts w:asciiTheme="minorHAnsi" w:eastAsiaTheme="minorEastAsia" w:hAnsiTheme="minorHAnsi"/>
          <w:noProof/>
          <w:kern w:val="2"/>
          <w:sz w:val="22"/>
          <w14:ligatures w14:val="standardContextual"/>
        </w:rPr>
      </w:pPr>
      <w:hyperlink w:anchor="_Toc192875158" w:history="1">
        <w:r>
          <w:rPr>
            <w:rStyle w:val="Hyperlink"/>
            <w:noProof/>
          </w:rPr>
          <w:t>Table 2</w:t>
        </w:r>
        <w:r>
          <w:rPr>
            <w:rStyle w:val="Hyperlink"/>
            <w:noProof/>
          </w:rPr>
          <w:noBreakHyphen/>
          <w:t>73: Burp Suite Workflow Narrative</w:t>
        </w:r>
        <w:r>
          <w:rPr>
            <w:noProof/>
            <w:webHidden/>
          </w:rPr>
          <w:tab/>
        </w:r>
        <w:r>
          <w:rPr>
            <w:noProof/>
            <w:webHidden/>
          </w:rPr>
          <w:fldChar w:fldCharType="begin"/>
        </w:r>
        <w:r>
          <w:rPr>
            <w:noProof/>
            <w:webHidden/>
          </w:rPr>
          <w:instrText xml:space="preserve"> PAGEREF _Toc192875158 \h </w:instrText>
        </w:r>
        <w:r>
          <w:rPr>
            <w:noProof/>
            <w:webHidden/>
          </w:rPr>
        </w:r>
        <w:r>
          <w:rPr>
            <w:noProof/>
            <w:webHidden/>
          </w:rPr>
          <w:fldChar w:fldCharType="separate"/>
        </w:r>
        <w:r>
          <w:rPr>
            <w:noProof/>
            <w:webHidden/>
          </w:rPr>
          <w:t>118</w:t>
        </w:r>
        <w:r>
          <w:rPr>
            <w:noProof/>
            <w:webHidden/>
          </w:rPr>
          <w:fldChar w:fldCharType="end"/>
        </w:r>
      </w:hyperlink>
    </w:p>
    <w:p w14:paraId="28620879" w14:textId="53FF235F" w:rsidR="00274557" w:rsidRDefault="00274557">
      <w:pPr>
        <w:pStyle w:val="TableofFigures"/>
        <w:rPr>
          <w:rFonts w:asciiTheme="minorHAnsi" w:eastAsiaTheme="minorEastAsia" w:hAnsiTheme="minorHAnsi"/>
          <w:noProof/>
          <w:kern w:val="2"/>
          <w:sz w:val="22"/>
          <w14:ligatures w14:val="standardContextual"/>
        </w:rPr>
      </w:pPr>
      <w:hyperlink w:anchor="_Toc192875159" w:history="1">
        <w:r>
          <w:rPr>
            <w:rStyle w:val="Hyperlink"/>
            <w:noProof/>
          </w:rPr>
          <w:t>Table 2</w:t>
        </w:r>
        <w:r>
          <w:rPr>
            <w:rStyle w:val="Hyperlink"/>
            <w:noProof/>
          </w:rPr>
          <w:noBreakHyphen/>
          <w:t>74: Burp Suite Access</w:t>
        </w:r>
        <w:r>
          <w:rPr>
            <w:noProof/>
            <w:webHidden/>
          </w:rPr>
          <w:tab/>
        </w:r>
        <w:r>
          <w:rPr>
            <w:noProof/>
            <w:webHidden/>
          </w:rPr>
          <w:fldChar w:fldCharType="begin"/>
        </w:r>
        <w:r>
          <w:rPr>
            <w:noProof/>
            <w:webHidden/>
          </w:rPr>
          <w:instrText xml:space="preserve"> PAGEREF _Toc192875159 \h </w:instrText>
        </w:r>
        <w:r>
          <w:rPr>
            <w:noProof/>
            <w:webHidden/>
          </w:rPr>
        </w:r>
        <w:r>
          <w:rPr>
            <w:noProof/>
            <w:webHidden/>
          </w:rPr>
          <w:fldChar w:fldCharType="separate"/>
        </w:r>
        <w:r>
          <w:rPr>
            <w:noProof/>
            <w:webHidden/>
          </w:rPr>
          <w:t>118</w:t>
        </w:r>
        <w:r>
          <w:rPr>
            <w:noProof/>
            <w:webHidden/>
          </w:rPr>
          <w:fldChar w:fldCharType="end"/>
        </w:r>
      </w:hyperlink>
    </w:p>
    <w:p w14:paraId="53EBC6CC" w14:textId="7E230E43" w:rsidR="00274557" w:rsidRDefault="00274557">
      <w:pPr>
        <w:pStyle w:val="TableofFigures"/>
        <w:rPr>
          <w:rFonts w:asciiTheme="minorHAnsi" w:eastAsiaTheme="minorEastAsia" w:hAnsiTheme="minorHAnsi"/>
          <w:noProof/>
          <w:kern w:val="2"/>
          <w:sz w:val="22"/>
          <w14:ligatures w14:val="standardContextual"/>
        </w:rPr>
      </w:pPr>
      <w:hyperlink w:anchor="_Toc192875160" w:history="1">
        <w:r>
          <w:rPr>
            <w:rStyle w:val="Hyperlink"/>
            <w:noProof/>
          </w:rPr>
          <w:t>Table 2</w:t>
        </w:r>
        <w:r>
          <w:rPr>
            <w:rStyle w:val="Hyperlink"/>
            <w:noProof/>
          </w:rPr>
          <w:noBreakHyphen/>
          <w:t>75: LoadRunner Roles and Permissions</w:t>
        </w:r>
        <w:r>
          <w:rPr>
            <w:noProof/>
            <w:webHidden/>
          </w:rPr>
          <w:tab/>
        </w:r>
        <w:r>
          <w:rPr>
            <w:noProof/>
            <w:webHidden/>
          </w:rPr>
          <w:fldChar w:fldCharType="begin"/>
        </w:r>
        <w:r>
          <w:rPr>
            <w:noProof/>
            <w:webHidden/>
          </w:rPr>
          <w:instrText xml:space="preserve"> PAGEREF _Toc192875160 \h </w:instrText>
        </w:r>
        <w:r>
          <w:rPr>
            <w:noProof/>
            <w:webHidden/>
          </w:rPr>
        </w:r>
        <w:r>
          <w:rPr>
            <w:noProof/>
            <w:webHidden/>
          </w:rPr>
          <w:fldChar w:fldCharType="separate"/>
        </w:r>
        <w:r>
          <w:rPr>
            <w:noProof/>
            <w:webHidden/>
          </w:rPr>
          <w:t>119</w:t>
        </w:r>
        <w:r>
          <w:rPr>
            <w:noProof/>
            <w:webHidden/>
          </w:rPr>
          <w:fldChar w:fldCharType="end"/>
        </w:r>
      </w:hyperlink>
    </w:p>
    <w:p w14:paraId="17366CD5" w14:textId="5D13EE4B" w:rsidR="00274557" w:rsidRDefault="00274557">
      <w:pPr>
        <w:pStyle w:val="TableofFigures"/>
        <w:rPr>
          <w:rFonts w:asciiTheme="minorHAnsi" w:eastAsiaTheme="minorEastAsia" w:hAnsiTheme="minorHAnsi"/>
          <w:noProof/>
          <w:kern w:val="2"/>
          <w:sz w:val="22"/>
          <w14:ligatures w14:val="standardContextual"/>
        </w:rPr>
      </w:pPr>
      <w:hyperlink w:anchor="_Toc192875161" w:history="1">
        <w:r>
          <w:rPr>
            <w:rStyle w:val="Hyperlink"/>
            <w:noProof/>
          </w:rPr>
          <w:t>Table 2</w:t>
        </w:r>
        <w:r>
          <w:rPr>
            <w:rStyle w:val="Hyperlink"/>
            <w:noProof/>
          </w:rPr>
          <w:noBreakHyphen/>
          <w:t>76: LoadRunner Access</w:t>
        </w:r>
        <w:r>
          <w:rPr>
            <w:noProof/>
            <w:webHidden/>
          </w:rPr>
          <w:tab/>
        </w:r>
        <w:r>
          <w:rPr>
            <w:noProof/>
            <w:webHidden/>
          </w:rPr>
          <w:fldChar w:fldCharType="begin"/>
        </w:r>
        <w:r>
          <w:rPr>
            <w:noProof/>
            <w:webHidden/>
          </w:rPr>
          <w:instrText xml:space="preserve"> PAGEREF _Toc192875161 \h </w:instrText>
        </w:r>
        <w:r>
          <w:rPr>
            <w:noProof/>
            <w:webHidden/>
          </w:rPr>
        </w:r>
        <w:r>
          <w:rPr>
            <w:noProof/>
            <w:webHidden/>
          </w:rPr>
          <w:fldChar w:fldCharType="separate"/>
        </w:r>
        <w:r>
          <w:rPr>
            <w:noProof/>
            <w:webHidden/>
          </w:rPr>
          <w:t>119</w:t>
        </w:r>
        <w:r>
          <w:rPr>
            <w:noProof/>
            <w:webHidden/>
          </w:rPr>
          <w:fldChar w:fldCharType="end"/>
        </w:r>
      </w:hyperlink>
    </w:p>
    <w:p w14:paraId="1DF9F05D" w14:textId="6F66CFE1" w:rsidR="00274557" w:rsidRDefault="00274557">
      <w:pPr>
        <w:pStyle w:val="TableofFigures"/>
        <w:rPr>
          <w:rFonts w:asciiTheme="minorHAnsi" w:eastAsiaTheme="minorEastAsia" w:hAnsiTheme="minorHAnsi"/>
          <w:noProof/>
          <w:kern w:val="2"/>
          <w:sz w:val="22"/>
          <w14:ligatures w14:val="standardContextual"/>
        </w:rPr>
      </w:pPr>
      <w:hyperlink w:anchor="_Toc192875162" w:history="1">
        <w:r>
          <w:rPr>
            <w:rStyle w:val="Hyperlink"/>
            <w:noProof/>
          </w:rPr>
          <w:t>Table 2</w:t>
        </w:r>
        <w:r>
          <w:rPr>
            <w:rStyle w:val="Hyperlink"/>
            <w:noProof/>
          </w:rPr>
          <w:noBreakHyphen/>
          <w:t>77: Splunk Roles and Permissions</w:t>
        </w:r>
        <w:r>
          <w:rPr>
            <w:noProof/>
            <w:webHidden/>
          </w:rPr>
          <w:tab/>
        </w:r>
        <w:r>
          <w:rPr>
            <w:noProof/>
            <w:webHidden/>
          </w:rPr>
          <w:fldChar w:fldCharType="begin"/>
        </w:r>
        <w:r>
          <w:rPr>
            <w:noProof/>
            <w:webHidden/>
          </w:rPr>
          <w:instrText xml:space="preserve"> PAGEREF _Toc192875162 \h </w:instrText>
        </w:r>
        <w:r>
          <w:rPr>
            <w:noProof/>
            <w:webHidden/>
          </w:rPr>
        </w:r>
        <w:r>
          <w:rPr>
            <w:noProof/>
            <w:webHidden/>
          </w:rPr>
          <w:fldChar w:fldCharType="separate"/>
        </w:r>
        <w:r>
          <w:rPr>
            <w:noProof/>
            <w:webHidden/>
          </w:rPr>
          <w:t>119</w:t>
        </w:r>
        <w:r>
          <w:rPr>
            <w:noProof/>
            <w:webHidden/>
          </w:rPr>
          <w:fldChar w:fldCharType="end"/>
        </w:r>
      </w:hyperlink>
    </w:p>
    <w:p w14:paraId="1886D01E" w14:textId="6E49AD61" w:rsidR="00274557" w:rsidRDefault="00274557">
      <w:pPr>
        <w:pStyle w:val="TableofFigures"/>
        <w:rPr>
          <w:rFonts w:asciiTheme="minorHAnsi" w:eastAsiaTheme="minorEastAsia" w:hAnsiTheme="minorHAnsi"/>
          <w:noProof/>
          <w:kern w:val="2"/>
          <w:sz w:val="22"/>
          <w14:ligatures w14:val="standardContextual"/>
        </w:rPr>
      </w:pPr>
      <w:hyperlink w:anchor="_Toc192875163" w:history="1">
        <w:r>
          <w:rPr>
            <w:rStyle w:val="Hyperlink"/>
            <w:noProof/>
          </w:rPr>
          <w:t>Table 2</w:t>
        </w:r>
        <w:r>
          <w:rPr>
            <w:rStyle w:val="Hyperlink"/>
            <w:noProof/>
          </w:rPr>
          <w:noBreakHyphen/>
          <w:t>78: Splunk Workflow Narrative</w:t>
        </w:r>
        <w:r>
          <w:rPr>
            <w:noProof/>
            <w:webHidden/>
          </w:rPr>
          <w:tab/>
        </w:r>
        <w:r>
          <w:rPr>
            <w:noProof/>
            <w:webHidden/>
          </w:rPr>
          <w:fldChar w:fldCharType="begin"/>
        </w:r>
        <w:r>
          <w:rPr>
            <w:noProof/>
            <w:webHidden/>
          </w:rPr>
          <w:instrText xml:space="preserve"> PAGEREF _Toc192875163 \h </w:instrText>
        </w:r>
        <w:r>
          <w:rPr>
            <w:noProof/>
            <w:webHidden/>
          </w:rPr>
        </w:r>
        <w:r>
          <w:rPr>
            <w:noProof/>
            <w:webHidden/>
          </w:rPr>
          <w:fldChar w:fldCharType="separate"/>
        </w:r>
        <w:r>
          <w:rPr>
            <w:noProof/>
            <w:webHidden/>
          </w:rPr>
          <w:t>120</w:t>
        </w:r>
        <w:r>
          <w:rPr>
            <w:noProof/>
            <w:webHidden/>
          </w:rPr>
          <w:fldChar w:fldCharType="end"/>
        </w:r>
      </w:hyperlink>
    </w:p>
    <w:p w14:paraId="06EAC872" w14:textId="71DD3E2B" w:rsidR="00274557" w:rsidRDefault="00274557">
      <w:pPr>
        <w:pStyle w:val="TableofFigures"/>
        <w:rPr>
          <w:rFonts w:asciiTheme="minorHAnsi" w:eastAsiaTheme="minorEastAsia" w:hAnsiTheme="minorHAnsi"/>
          <w:noProof/>
          <w:kern w:val="2"/>
          <w:sz w:val="22"/>
          <w14:ligatures w14:val="standardContextual"/>
        </w:rPr>
      </w:pPr>
      <w:hyperlink w:anchor="_Toc192875164" w:history="1">
        <w:r>
          <w:rPr>
            <w:rStyle w:val="Hyperlink"/>
            <w:noProof/>
          </w:rPr>
          <w:t>Table 2</w:t>
        </w:r>
        <w:r>
          <w:rPr>
            <w:rStyle w:val="Hyperlink"/>
            <w:noProof/>
          </w:rPr>
          <w:noBreakHyphen/>
          <w:t>79: Splunk Access</w:t>
        </w:r>
        <w:r>
          <w:rPr>
            <w:noProof/>
            <w:webHidden/>
          </w:rPr>
          <w:tab/>
        </w:r>
        <w:r>
          <w:rPr>
            <w:noProof/>
            <w:webHidden/>
          </w:rPr>
          <w:fldChar w:fldCharType="begin"/>
        </w:r>
        <w:r>
          <w:rPr>
            <w:noProof/>
            <w:webHidden/>
          </w:rPr>
          <w:instrText xml:space="preserve"> PAGEREF _Toc192875164 \h </w:instrText>
        </w:r>
        <w:r>
          <w:rPr>
            <w:noProof/>
            <w:webHidden/>
          </w:rPr>
        </w:r>
        <w:r>
          <w:rPr>
            <w:noProof/>
            <w:webHidden/>
          </w:rPr>
          <w:fldChar w:fldCharType="separate"/>
        </w:r>
        <w:r>
          <w:rPr>
            <w:noProof/>
            <w:webHidden/>
          </w:rPr>
          <w:t>121</w:t>
        </w:r>
        <w:r>
          <w:rPr>
            <w:noProof/>
            <w:webHidden/>
          </w:rPr>
          <w:fldChar w:fldCharType="end"/>
        </w:r>
      </w:hyperlink>
    </w:p>
    <w:p w14:paraId="78188411" w14:textId="1D038BF8" w:rsidR="00274557" w:rsidRDefault="00274557">
      <w:pPr>
        <w:pStyle w:val="TableofFigures"/>
        <w:rPr>
          <w:rFonts w:asciiTheme="minorHAnsi" w:eastAsiaTheme="minorEastAsia" w:hAnsiTheme="minorHAnsi"/>
          <w:noProof/>
          <w:kern w:val="2"/>
          <w:sz w:val="22"/>
          <w14:ligatures w14:val="standardContextual"/>
        </w:rPr>
      </w:pPr>
      <w:hyperlink w:anchor="_Toc192875165" w:history="1">
        <w:r>
          <w:rPr>
            <w:rStyle w:val="Hyperlink"/>
            <w:noProof/>
          </w:rPr>
          <w:t>Table 2</w:t>
        </w:r>
        <w:r>
          <w:rPr>
            <w:rStyle w:val="Hyperlink"/>
            <w:noProof/>
          </w:rPr>
          <w:noBreakHyphen/>
          <w:t>80: BrowserStack Roles and Permissions</w:t>
        </w:r>
        <w:r>
          <w:rPr>
            <w:noProof/>
            <w:webHidden/>
          </w:rPr>
          <w:tab/>
        </w:r>
        <w:r>
          <w:rPr>
            <w:noProof/>
            <w:webHidden/>
          </w:rPr>
          <w:fldChar w:fldCharType="begin"/>
        </w:r>
        <w:r>
          <w:rPr>
            <w:noProof/>
            <w:webHidden/>
          </w:rPr>
          <w:instrText xml:space="preserve"> PAGEREF _Toc192875165 \h </w:instrText>
        </w:r>
        <w:r>
          <w:rPr>
            <w:noProof/>
            <w:webHidden/>
          </w:rPr>
        </w:r>
        <w:r>
          <w:rPr>
            <w:noProof/>
            <w:webHidden/>
          </w:rPr>
          <w:fldChar w:fldCharType="separate"/>
        </w:r>
        <w:r>
          <w:rPr>
            <w:noProof/>
            <w:webHidden/>
          </w:rPr>
          <w:t>121</w:t>
        </w:r>
        <w:r>
          <w:rPr>
            <w:noProof/>
            <w:webHidden/>
          </w:rPr>
          <w:fldChar w:fldCharType="end"/>
        </w:r>
      </w:hyperlink>
    </w:p>
    <w:p w14:paraId="5F8F8B64" w14:textId="7F4F5249" w:rsidR="00274557" w:rsidRDefault="00274557">
      <w:pPr>
        <w:pStyle w:val="TableofFigures"/>
        <w:rPr>
          <w:rFonts w:asciiTheme="minorHAnsi" w:eastAsiaTheme="minorEastAsia" w:hAnsiTheme="minorHAnsi"/>
          <w:noProof/>
          <w:kern w:val="2"/>
          <w:sz w:val="22"/>
          <w14:ligatures w14:val="standardContextual"/>
        </w:rPr>
      </w:pPr>
      <w:hyperlink w:anchor="_Toc192875166" w:history="1">
        <w:r>
          <w:rPr>
            <w:rStyle w:val="Hyperlink"/>
            <w:noProof/>
          </w:rPr>
          <w:t>Table 2</w:t>
        </w:r>
        <w:r>
          <w:rPr>
            <w:rStyle w:val="Hyperlink"/>
            <w:noProof/>
          </w:rPr>
          <w:noBreakHyphen/>
          <w:t>81: BrowserStack Workflows</w:t>
        </w:r>
        <w:r>
          <w:rPr>
            <w:noProof/>
            <w:webHidden/>
          </w:rPr>
          <w:tab/>
        </w:r>
        <w:r>
          <w:rPr>
            <w:noProof/>
            <w:webHidden/>
          </w:rPr>
          <w:fldChar w:fldCharType="begin"/>
        </w:r>
        <w:r>
          <w:rPr>
            <w:noProof/>
            <w:webHidden/>
          </w:rPr>
          <w:instrText xml:space="preserve"> PAGEREF _Toc192875166 \h </w:instrText>
        </w:r>
        <w:r>
          <w:rPr>
            <w:noProof/>
            <w:webHidden/>
          </w:rPr>
        </w:r>
        <w:r>
          <w:rPr>
            <w:noProof/>
            <w:webHidden/>
          </w:rPr>
          <w:fldChar w:fldCharType="separate"/>
        </w:r>
        <w:r>
          <w:rPr>
            <w:noProof/>
            <w:webHidden/>
          </w:rPr>
          <w:t>122</w:t>
        </w:r>
        <w:r>
          <w:rPr>
            <w:noProof/>
            <w:webHidden/>
          </w:rPr>
          <w:fldChar w:fldCharType="end"/>
        </w:r>
      </w:hyperlink>
    </w:p>
    <w:p w14:paraId="20E3680D" w14:textId="5A6869C1" w:rsidR="00274557" w:rsidRDefault="00274557">
      <w:pPr>
        <w:pStyle w:val="TableofFigures"/>
        <w:rPr>
          <w:rFonts w:asciiTheme="minorHAnsi" w:eastAsiaTheme="minorEastAsia" w:hAnsiTheme="minorHAnsi"/>
          <w:noProof/>
          <w:kern w:val="2"/>
          <w:sz w:val="22"/>
          <w14:ligatures w14:val="standardContextual"/>
        </w:rPr>
      </w:pPr>
      <w:hyperlink w:anchor="_Toc192875167" w:history="1">
        <w:r>
          <w:rPr>
            <w:rStyle w:val="Hyperlink"/>
            <w:noProof/>
          </w:rPr>
          <w:t>Table 2</w:t>
        </w:r>
        <w:r>
          <w:rPr>
            <w:rStyle w:val="Hyperlink"/>
            <w:noProof/>
          </w:rPr>
          <w:noBreakHyphen/>
          <w:t>82: Requirements Management Tool Roles and Permissions</w:t>
        </w:r>
        <w:r>
          <w:rPr>
            <w:noProof/>
            <w:webHidden/>
          </w:rPr>
          <w:tab/>
        </w:r>
        <w:r>
          <w:rPr>
            <w:noProof/>
            <w:webHidden/>
          </w:rPr>
          <w:fldChar w:fldCharType="begin"/>
        </w:r>
        <w:r>
          <w:rPr>
            <w:noProof/>
            <w:webHidden/>
          </w:rPr>
          <w:instrText xml:space="preserve"> PAGEREF _Toc192875167 \h </w:instrText>
        </w:r>
        <w:r>
          <w:rPr>
            <w:noProof/>
            <w:webHidden/>
          </w:rPr>
        </w:r>
        <w:r>
          <w:rPr>
            <w:noProof/>
            <w:webHidden/>
          </w:rPr>
          <w:fldChar w:fldCharType="separate"/>
        </w:r>
        <w:r>
          <w:rPr>
            <w:noProof/>
            <w:webHidden/>
          </w:rPr>
          <w:t>123</w:t>
        </w:r>
        <w:r>
          <w:rPr>
            <w:noProof/>
            <w:webHidden/>
          </w:rPr>
          <w:fldChar w:fldCharType="end"/>
        </w:r>
      </w:hyperlink>
    </w:p>
    <w:p w14:paraId="4F1B83B4" w14:textId="6659852D" w:rsidR="00274557" w:rsidRDefault="00274557">
      <w:pPr>
        <w:pStyle w:val="TableofFigures"/>
        <w:rPr>
          <w:rFonts w:asciiTheme="minorHAnsi" w:eastAsiaTheme="minorEastAsia" w:hAnsiTheme="minorHAnsi"/>
          <w:noProof/>
          <w:kern w:val="2"/>
          <w:sz w:val="22"/>
          <w14:ligatures w14:val="standardContextual"/>
        </w:rPr>
      </w:pPr>
      <w:hyperlink w:anchor="_Toc192875168" w:history="1">
        <w:r>
          <w:rPr>
            <w:rStyle w:val="Hyperlink"/>
            <w:noProof/>
          </w:rPr>
          <w:t>Table 2</w:t>
        </w:r>
        <w:r>
          <w:rPr>
            <w:rStyle w:val="Hyperlink"/>
            <w:noProof/>
          </w:rPr>
          <w:noBreakHyphen/>
          <w:t>83: Requirements Traceability Conceptual Design Narrative</w:t>
        </w:r>
        <w:r>
          <w:rPr>
            <w:noProof/>
            <w:webHidden/>
          </w:rPr>
          <w:tab/>
        </w:r>
        <w:r>
          <w:rPr>
            <w:noProof/>
            <w:webHidden/>
          </w:rPr>
          <w:fldChar w:fldCharType="begin"/>
        </w:r>
        <w:r>
          <w:rPr>
            <w:noProof/>
            <w:webHidden/>
          </w:rPr>
          <w:instrText xml:space="preserve"> PAGEREF _Toc192875168 \h </w:instrText>
        </w:r>
        <w:r>
          <w:rPr>
            <w:noProof/>
            <w:webHidden/>
          </w:rPr>
        </w:r>
        <w:r>
          <w:rPr>
            <w:noProof/>
            <w:webHidden/>
          </w:rPr>
          <w:fldChar w:fldCharType="separate"/>
        </w:r>
        <w:r>
          <w:rPr>
            <w:noProof/>
            <w:webHidden/>
          </w:rPr>
          <w:t>124</w:t>
        </w:r>
        <w:r>
          <w:rPr>
            <w:noProof/>
            <w:webHidden/>
          </w:rPr>
          <w:fldChar w:fldCharType="end"/>
        </w:r>
      </w:hyperlink>
    </w:p>
    <w:p w14:paraId="6D986715" w14:textId="15DEF41E" w:rsidR="00274557" w:rsidRDefault="00274557">
      <w:pPr>
        <w:pStyle w:val="TableofFigures"/>
        <w:rPr>
          <w:rFonts w:asciiTheme="minorHAnsi" w:eastAsiaTheme="minorEastAsia" w:hAnsiTheme="minorHAnsi"/>
          <w:noProof/>
          <w:kern w:val="2"/>
          <w:sz w:val="22"/>
          <w14:ligatures w14:val="standardContextual"/>
        </w:rPr>
      </w:pPr>
      <w:hyperlink w:anchor="_Toc192875169" w:history="1">
        <w:r>
          <w:rPr>
            <w:rStyle w:val="Hyperlink"/>
            <w:noProof/>
          </w:rPr>
          <w:t>Table 2</w:t>
        </w:r>
        <w:r>
          <w:rPr>
            <w:rStyle w:val="Hyperlink"/>
            <w:noProof/>
          </w:rPr>
          <w:noBreakHyphen/>
          <w:t>84: ALM Tool Access</w:t>
        </w:r>
        <w:r>
          <w:rPr>
            <w:noProof/>
            <w:webHidden/>
          </w:rPr>
          <w:tab/>
        </w:r>
        <w:r>
          <w:rPr>
            <w:noProof/>
            <w:webHidden/>
          </w:rPr>
          <w:fldChar w:fldCharType="begin"/>
        </w:r>
        <w:r>
          <w:rPr>
            <w:noProof/>
            <w:webHidden/>
          </w:rPr>
          <w:instrText xml:space="preserve"> PAGEREF _Toc192875169 \h </w:instrText>
        </w:r>
        <w:r>
          <w:rPr>
            <w:noProof/>
            <w:webHidden/>
          </w:rPr>
        </w:r>
        <w:r>
          <w:rPr>
            <w:noProof/>
            <w:webHidden/>
          </w:rPr>
          <w:fldChar w:fldCharType="separate"/>
        </w:r>
        <w:r>
          <w:rPr>
            <w:noProof/>
            <w:webHidden/>
          </w:rPr>
          <w:t>124</w:t>
        </w:r>
        <w:r>
          <w:rPr>
            <w:noProof/>
            <w:webHidden/>
          </w:rPr>
          <w:fldChar w:fldCharType="end"/>
        </w:r>
      </w:hyperlink>
    </w:p>
    <w:p w14:paraId="0AB7708A" w14:textId="0FD33BF0" w:rsidR="00274557" w:rsidRDefault="00274557">
      <w:pPr>
        <w:pStyle w:val="TableofFigures"/>
        <w:rPr>
          <w:rFonts w:asciiTheme="minorHAnsi" w:eastAsiaTheme="minorEastAsia" w:hAnsiTheme="minorHAnsi"/>
          <w:noProof/>
          <w:kern w:val="2"/>
          <w:sz w:val="22"/>
          <w14:ligatures w14:val="standardContextual"/>
        </w:rPr>
      </w:pPr>
      <w:hyperlink w:anchor="_Toc192875170" w:history="1">
        <w:r>
          <w:rPr>
            <w:rStyle w:val="Hyperlink"/>
            <w:noProof/>
          </w:rPr>
          <w:t>Table 4</w:t>
        </w:r>
        <w:r>
          <w:rPr>
            <w:rStyle w:val="Hyperlink"/>
            <w:noProof/>
          </w:rPr>
          <w:noBreakHyphen/>
          <w:t>1: Project Management Communication Channels</w:t>
        </w:r>
        <w:r>
          <w:rPr>
            <w:noProof/>
            <w:webHidden/>
          </w:rPr>
          <w:tab/>
        </w:r>
        <w:r>
          <w:rPr>
            <w:noProof/>
            <w:webHidden/>
          </w:rPr>
          <w:fldChar w:fldCharType="begin"/>
        </w:r>
        <w:r>
          <w:rPr>
            <w:noProof/>
            <w:webHidden/>
          </w:rPr>
          <w:instrText xml:space="preserve"> PAGEREF _Toc192875170 \h </w:instrText>
        </w:r>
        <w:r>
          <w:rPr>
            <w:noProof/>
            <w:webHidden/>
          </w:rPr>
        </w:r>
        <w:r>
          <w:rPr>
            <w:noProof/>
            <w:webHidden/>
          </w:rPr>
          <w:fldChar w:fldCharType="separate"/>
        </w:r>
        <w:r>
          <w:rPr>
            <w:noProof/>
            <w:webHidden/>
          </w:rPr>
          <w:t>130</w:t>
        </w:r>
        <w:r>
          <w:rPr>
            <w:noProof/>
            <w:webHidden/>
          </w:rPr>
          <w:fldChar w:fldCharType="end"/>
        </w:r>
      </w:hyperlink>
    </w:p>
    <w:p w14:paraId="3A6524CA" w14:textId="02C654C0" w:rsidR="00274557" w:rsidRDefault="00274557">
      <w:pPr>
        <w:pStyle w:val="TableofFigures"/>
        <w:rPr>
          <w:rFonts w:asciiTheme="minorHAnsi" w:eastAsiaTheme="minorEastAsia" w:hAnsiTheme="minorHAnsi"/>
          <w:noProof/>
          <w:kern w:val="2"/>
          <w:sz w:val="22"/>
          <w14:ligatures w14:val="standardContextual"/>
        </w:rPr>
      </w:pPr>
      <w:hyperlink w:anchor="_Toc192875171" w:history="1">
        <w:r>
          <w:rPr>
            <w:rStyle w:val="Hyperlink"/>
            <w:noProof/>
          </w:rPr>
          <w:t>Table 4</w:t>
        </w:r>
        <w:r>
          <w:rPr>
            <w:rStyle w:val="Hyperlink"/>
            <w:noProof/>
          </w:rPr>
          <w:noBreakHyphen/>
          <w:t>2: Project Management Communication Types</w:t>
        </w:r>
        <w:r>
          <w:rPr>
            <w:noProof/>
            <w:webHidden/>
          </w:rPr>
          <w:tab/>
        </w:r>
        <w:r>
          <w:rPr>
            <w:noProof/>
            <w:webHidden/>
          </w:rPr>
          <w:fldChar w:fldCharType="begin"/>
        </w:r>
        <w:r>
          <w:rPr>
            <w:noProof/>
            <w:webHidden/>
          </w:rPr>
          <w:instrText xml:space="preserve"> PAGEREF _Toc192875171 \h </w:instrText>
        </w:r>
        <w:r>
          <w:rPr>
            <w:noProof/>
            <w:webHidden/>
          </w:rPr>
        </w:r>
        <w:r>
          <w:rPr>
            <w:noProof/>
            <w:webHidden/>
          </w:rPr>
          <w:fldChar w:fldCharType="separate"/>
        </w:r>
        <w:r>
          <w:rPr>
            <w:noProof/>
            <w:webHidden/>
          </w:rPr>
          <w:t>132</w:t>
        </w:r>
        <w:r>
          <w:rPr>
            <w:noProof/>
            <w:webHidden/>
          </w:rPr>
          <w:fldChar w:fldCharType="end"/>
        </w:r>
      </w:hyperlink>
    </w:p>
    <w:p w14:paraId="55413E3C" w14:textId="319B0051" w:rsidR="00274557" w:rsidRDefault="00274557">
      <w:pPr>
        <w:pStyle w:val="TableofFigures"/>
        <w:rPr>
          <w:rFonts w:asciiTheme="minorHAnsi" w:eastAsiaTheme="minorEastAsia" w:hAnsiTheme="minorHAnsi"/>
          <w:noProof/>
          <w:kern w:val="2"/>
          <w:sz w:val="22"/>
          <w14:ligatures w14:val="standardContextual"/>
        </w:rPr>
      </w:pPr>
      <w:hyperlink w:anchor="_Toc192875172" w:history="1">
        <w:r>
          <w:rPr>
            <w:rStyle w:val="Hyperlink"/>
            <w:noProof/>
          </w:rPr>
          <w:t>Table 4</w:t>
        </w:r>
        <w:r>
          <w:rPr>
            <w:rStyle w:val="Hyperlink"/>
            <w:noProof/>
          </w:rPr>
          <w:noBreakHyphen/>
          <w:t>3: Communication Approach Guiding Norms</w:t>
        </w:r>
        <w:r>
          <w:rPr>
            <w:noProof/>
            <w:webHidden/>
          </w:rPr>
          <w:tab/>
        </w:r>
        <w:r>
          <w:rPr>
            <w:noProof/>
            <w:webHidden/>
          </w:rPr>
          <w:fldChar w:fldCharType="begin"/>
        </w:r>
        <w:r>
          <w:rPr>
            <w:noProof/>
            <w:webHidden/>
          </w:rPr>
          <w:instrText xml:space="preserve"> PAGEREF _Toc192875172 \h </w:instrText>
        </w:r>
        <w:r>
          <w:rPr>
            <w:noProof/>
            <w:webHidden/>
          </w:rPr>
        </w:r>
        <w:r>
          <w:rPr>
            <w:noProof/>
            <w:webHidden/>
          </w:rPr>
          <w:fldChar w:fldCharType="separate"/>
        </w:r>
        <w:r>
          <w:rPr>
            <w:noProof/>
            <w:webHidden/>
          </w:rPr>
          <w:t>133</w:t>
        </w:r>
        <w:r>
          <w:rPr>
            <w:noProof/>
            <w:webHidden/>
          </w:rPr>
          <w:fldChar w:fldCharType="end"/>
        </w:r>
      </w:hyperlink>
    </w:p>
    <w:p w14:paraId="42FD705E" w14:textId="20A298FB" w:rsidR="00274557" w:rsidRDefault="00274557">
      <w:pPr>
        <w:pStyle w:val="TableofFigures"/>
        <w:rPr>
          <w:rFonts w:asciiTheme="minorHAnsi" w:eastAsiaTheme="minorEastAsia" w:hAnsiTheme="minorHAnsi"/>
          <w:noProof/>
          <w:kern w:val="2"/>
          <w:sz w:val="22"/>
          <w14:ligatures w14:val="standardContextual"/>
        </w:rPr>
      </w:pPr>
      <w:hyperlink w:anchor="_Toc192875173" w:history="1">
        <w:r>
          <w:rPr>
            <w:rStyle w:val="Hyperlink"/>
            <w:noProof/>
          </w:rPr>
          <w:t>Table 4</w:t>
        </w:r>
        <w:r>
          <w:rPr>
            <w:rStyle w:val="Hyperlink"/>
            <w:noProof/>
          </w:rPr>
          <w:noBreakHyphen/>
          <w:t>4: Virtual Meeting Guide</w:t>
        </w:r>
        <w:r>
          <w:rPr>
            <w:noProof/>
            <w:webHidden/>
          </w:rPr>
          <w:tab/>
        </w:r>
        <w:r>
          <w:rPr>
            <w:noProof/>
            <w:webHidden/>
          </w:rPr>
          <w:fldChar w:fldCharType="begin"/>
        </w:r>
        <w:r>
          <w:rPr>
            <w:noProof/>
            <w:webHidden/>
          </w:rPr>
          <w:instrText xml:space="preserve"> PAGEREF _Toc192875173 \h </w:instrText>
        </w:r>
        <w:r>
          <w:rPr>
            <w:noProof/>
            <w:webHidden/>
          </w:rPr>
        </w:r>
        <w:r>
          <w:rPr>
            <w:noProof/>
            <w:webHidden/>
          </w:rPr>
          <w:fldChar w:fldCharType="separate"/>
        </w:r>
        <w:r>
          <w:rPr>
            <w:noProof/>
            <w:webHidden/>
          </w:rPr>
          <w:t>133</w:t>
        </w:r>
        <w:r>
          <w:rPr>
            <w:noProof/>
            <w:webHidden/>
          </w:rPr>
          <w:fldChar w:fldCharType="end"/>
        </w:r>
      </w:hyperlink>
    </w:p>
    <w:p w14:paraId="0FCCA78F" w14:textId="2D21061E" w:rsidR="00274557" w:rsidRDefault="00274557">
      <w:pPr>
        <w:pStyle w:val="TableofFigures"/>
        <w:rPr>
          <w:rFonts w:asciiTheme="minorHAnsi" w:eastAsiaTheme="minorEastAsia" w:hAnsiTheme="minorHAnsi"/>
          <w:noProof/>
          <w:kern w:val="2"/>
          <w:sz w:val="22"/>
          <w14:ligatures w14:val="standardContextual"/>
        </w:rPr>
      </w:pPr>
      <w:hyperlink w:anchor="_Toc192875174" w:history="1">
        <w:r>
          <w:rPr>
            <w:rStyle w:val="Hyperlink"/>
            <w:noProof/>
          </w:rPr>
          <w:t>Table 4</w:t>
        </w:r>
        <w:r>
          <w:rPr>
            <w:rStyle w:val="Hyperlink"/>
            <w:noProof/>
          </w:rPr>
          <w:noBreakHyphen/>
          <w:t>5: In-Person Meeting Guide</w:t>
        </w:r>
        <w:r>
          <w:rPr>
            <w:noProof/>
            <w:webHidden/>
          </w:rPr>
          <w:tab/>
        </w:r>
        <w:r>
          <w:rPr>
            <w:noProof/>
            <w:webHidden/>
          </w:rPr>
          <w:fldChar w:fldCharType="begin"/>
        </w:r>
        <w:r>
          <w:rPr>
            <w:noProof/>
            <w:webHidden/>
          </w:rPr>
          <w:instrText xml:space="preserve"> PAGEREF _Toc192875174 \h </w:instrText>
        </w:r>
        <w:r>
          <w:rPr>
            <w:noProof/>
            <w:webHidden/>
          </w:rPr>
        </w:r>
        <w:r>
          <w:rPr>
            <w:noProof/>
            <w:webHidden/>
          </w:rPr>
          <w:fldChar w:fldCharType="separate"/>
        </w:r>
        <w:r>
          <w:rPr>
            <w:noProof/>
            <w:webHidden/>
          </w:rPr>
          <w:t>134</w:t>
        </w:r>
        <w:r>
          <w:rPr>
            <w:noProof/>
            <w:webHidden/>
          </w:rPr>
          <w:fldChar w:fldCharType="end"/>
        </w:r>
      </w:hyperlink>
    </w:p>
    <w:p w14:paraId="3944D185" w14:textId="2CFD00F1" w:rsidR="00274557" w:rsidRDefault="00274557">
      <w:pPr>
        <w:pStyle w:val="TableofFigures"/>
        <w:rPr>
          <w:rFonts w:asciiTheme="minorHAnsi" w:eastAsiaTheme="minorEastAsia" w:hAnsiTheme="minorHAnsi"/>
          <w:noProof/>
          <w:kern w:val="2"/>
          <w:sz w:val="22"/>
          <w14:ligatures w14:val="standardContextual"/>
        </w:rPr>
      </w:pPr>
      <w:hyperlink w:anchor="_Toc192875175" w:history="1">
        <w:r>
          <w:rPr>
            <w:rStyle w:val="Hyperlink"/>
            <w:noProof/>
          </w:rPr>
          <w:t>Table 4</w:t>
        </w:r>
        <w:r>
          <w:rPr>
            <w:rStyle w:val="Hyperlink"/>
            <w:noProof/>
          </w:rPr>
          <w:noBreakHyphen/>
          <w:t>6: Project Status Report Process</w:t>
        </w:r>
        <w:r>
          <w:rPr>
            <w:noProof/>
            <w:webHidden/>
          </w:rPr>
          <w:tab/>
        </w:r>
        <w:r>
          <w:rPr>
            <w:noProof/>
            <w:webHidden/>
          </w:rPr>
          <w:fldChar w:fldCharType="begin"/>
        </w:r>
        <w:r>
          <w:rPr>
            <w:noProof/>
            <w:webHidden/>
          </w:rPr>
          <w:instrText xml:space="preserve"> PAGEREF _Toc192875175 \h </w:instrText>
        </w:r>
        <w:r>
          <w:rPr>
            <w:noProof/>
            <w:webHidden/>
          </w:rPr>
        </w:r>
        <w:r>
          <w:rPr>
            <w:noProof/>
            <w:webHidden/>
          </w:rPr>
          <w:fldChar w:fldCharType="separate"/>
        </w:r>
        <w:r>
          <w:rPr>
            <w:noProof/>
            <w:webHidden/>
          </w:rPr>
          <w:t>136</w:t>
        </w:r>
        <w:r>
          <w:rPr>
            <w:noProof/>
            <w:webHidden/>
          </w:rPr>
          <w:fldChar w:fldCharType="end"/>
        </w:r>
      </w:hyperlink>
    </w:p>
    <w:p w14:paraId="2026BA7A" w14:textId="1D8C44C9" w:rsidR="00274557" w:rsidRDefault="00274557">
      <w:pPr>
        <w:pStyle w:val="TableofFigures"/>
        <w:rPr>
          <w:rFonts w:asciiTheme="minorHAnsi" w:eastAsiaTheme="minorEastAsia" w:hAnsiTheme="minorHAnsi"/>
          <w:noProof/>
          <w:kern w:val="2"/>
          <w:sz w:val="22"/>
          <w14:ligatures w14:val="standardContextual"/>
        </w:rPr>
      </w:pPr>
      <w:hyperlink w:anchor="_Toc192875176" w:history="1">
        <w:r>
          <w:rPr>
            <w:rStyle w:val="Hyperlink"/>
            <w:noProof/>
          </w:rPr>
          <w:t>Table 4</w:t>
        </w:r>
        <w:r>
          <w:rPr>
            <w:rStyle w:val="Hyperlink"/>
            <w:noProof/>
          </w:rPr>
          <w:noBreakHyphen/>
          <w:t>7: Work Plan Updates</w:t>
        </w:r>
        <w:r>
          <w:rPr>
            <w:noProof/>
            <w:webHidden/>
          </w:rPr>
          <w:tab/>
        </w:r>
        <w:r>
          <w:rPr>
            <w:noProof/>
            <w:webHidden/>
          </w:rPr>
          <w:fldChar w:fldCharType="begin"/>
        </w:r>
        <w:r>
          <w:rPr>
            <w:noProof/>
            <w:webHidden/>
          </w:rPr>
          <w:instrText xml:space="preserve"> PAGEREF _Toc192875176 \h </w:instrText>
        </w:r>
        <w:r>
          <w:rPr>
            <w:noProof/>
            <w:webHidden/>
          </w:rPr>
        </w:r>
        <w:r>
          <w:rPr>
            <w:noProof/>
            <w:webHidden/>
          </w:rPr>
          <w:fldChar w:fldCharType="separate"/>
        </w:r>
        <w:r>
          <w:rPr>
            <w:noProof/>
            <w:webHidden/>
          </w:rPr>
          <w:t>136</w:t>
        </w:r>
        <w:r>
          <w:rPr>
            <w:noProof/>
            <w:webHidden/>
          </w:rPr>
          <w:fldChar w:fldCharType="end"/>
        </w:r>
      </w:hyperlink>
    </w:p>
    <w:p w14:paraId="08CCA806" w14:textId="3B4F55C4" w:rsidR="00274557" w:rsidRDefault="00274557">
      <w:pPr>
        <w:pStyle w:val="TableofFigures"/>
        <w:rPr>
          <w:rFonts w:asciiTheme="minorHAnsi" w:eastAsiaTheme="minorEastAsia" w:hAnsiTheme="minorHAnsi"/>
          <w:noProof/>
          <w:kern w:val="2"/>
          <w:sz w:val="22"/>
          <w14:ligatures w14:val="standardContextual"/>
        </w:rPr>
      </w:pPr>
      <w:hyperlink w:anchor="_Toc192875177" w:history="1">
        <w:r>
          <w:rPr>
            <w:rStyle w:val="Hyperlink"/>
            <w:noProof/>
          </w:rPr>
          <w:t>Table 4</w:t>
        </w:r>
        <w:r>
          <w:rPr>
            <w:rStyle w:val="Hyperlink"/>
            <w:noProof/>
          </w:rPr>
          <w:noBreakHyphen/>
          <w:t>8: Critical Communication Process Flow Narrative</w:t>
        </w:r>
        <w:r>
          <w:rPr>
            <w:noProof/>
            <w:webHidden/>
          </w:rPr>
          <w:tab/>
        </w:r>
        <w:r>
          <w:rPr>
            <w:noProof/>
            <w:webHidden/>
          </w:rPr>
          <w:fldChar w:fldCharType="begin"/>
        </w:r>
        <w:r>
          <w:rPr>
            <w:noProof/>
            <w:webHidden/>
          </w:rPr>
          <w:instrText xml:space="preserve"> PAGEREF _Toc192875177 \h </w:instrText>
        </w:r>
        <w:r>
          <w:rPr>
            <w:noProof/>
            <w:webHidden/>
          </w:rPr>
        </w:r>
        <w:r>
          <w:rPr>
            <w:noProof/>
            <w:webHidden/>
          </w:rPr>
          <w:fldChar w:fldCharType="separate"/>
        </w:r>
        <w:r>
          <w:rPr>
            <w:noProof/>
            <w:webHidden/>
          </w:rPr>
          <w:t>138</w:t>
        </w:r>
        <w:r>
          <w:rPr>
            <w:noProof/>
            <w:webHidden/>
          </w:rPr>
          <w:fldChar w:fldCharType="end"/>
        </w:r>
      </w:hyperlink>
    </w:p>
    <w:p w14:paraId="2E56AF85" w14:textId="0EF7567B" w:rsidR="00274557" w:rsidRDefault="00274557">
      <w:pPr>
        <w:pStyle w:val="TableofFigures"/>
        <w:rPr>
          <w:rFonts w:asciiTheme="minorHAnsi" w:eastAsiaTheme="minorEastAsia" w:hAnsiTheme="minorHAnsi"/>
          <w:noProof/>
          <w:kern w:val="2"/>
          <w:sz w:val="22"/>
          <w14:ligatures w14:val="standardContextual"/>
        </w:rPr>
      </w:pPr>
      <w:hyperlink w:anchor="_Toc192875178" w:history="1">
        <w:r>
          <w:rPr>
            <w:rStyle w:val="Hyperlink"/>
            <w:noProof/>
          </w:rPr>
          <w:t>Table 4</w:t>
        </w:r>
        <w:r>
          <w:rPr>
            <w:rStyle w:val="Hyperlink"/>
            <w:noProof/>
          </w:rPr>
          <w:noBreakHyphen/>
          <w:t>9: Communication Review and Approval Process Flow Narrative</w:t>
        </w:r>
        <w:r>
          <w:rPr>
            <w:noProof/>
            <w:webHidden/>
          </w:rPr>
          <w:tab/>
        </w:r>
        <w:r>
          <w:rPr>
            <w:noProof/>
            <w:webHidden/>
          </w:rPr>
          <w:fldChar w:fldCharType="begin"/>
        </w:r>
        <w:r>
          <w:rPr>
            <w:noProof/>
            <w:webHidden/>
          </w:rPr>
          <w:instrText xml:space="preserve"> PAGEREF _Toc192875178 \h </w:instrText>
        </w:r>
        <w:r>
          <w:rPr>
            <w:noProof/>
            <w:webHidden/>
          </w:rPr>
        </w:r>
        <w:r>
          <w:rPr>
            <w:noProof/>
            <w:webHidden/>
          </w:rPr>
          <w:fldChar w:fldCharType="separate"/>
        </w:r>
        <w:r>
          <w:rPr>
            <w:noProof/>
            <w:webHidden/>
          </w:rPr>
          <w:t>138</w:t>
        </w:r>
        <w:r>
          <w:rPr>
            <w:noProof/>
            <w:webHidden/>
          </w:rPr>
          <w:fldChar w:fldCharType="end"/>
        </w:r>
      </w:hyperlink>
    </w:p>
    <w:p w14:paraId="4E9843C7" w14:textId="605773BF" w:rsidR="00274557" w:rsidRDefault="00274557">
      <w:pPr>
        <w:pStyle w:val="TableofFigures"/>
        <w:rPr>
          <w:rFonts w:asciiTheme="minorHAnsi" w:eastAsiaTheme="minorEastAsia" w:hAnsiTheme="minorHAnsi"/>
          <w:noProof/>
          <w:kern w:val="2"/>
          <w:sz w:val="22"/>
          <w14:ligatures w14:val="standardContextual"/>
        </w:rPr>
      </w:pPr>
      <w:hyperlink w:anchor="_Toc192875179" w:history="1">
        <w:r>
          <w:rPr>
            <w:rStyle w:val="Hyperlink"/>
            <w:noProof/>
          </w:rPr>
          <w:t>Table 5</w:t>
        </w:r>
        <w:r>
          <w:rPr>
            <w:rStyle w:val="Hyperlink"/>
            <w:noProof/>
          </w:rPr>
          <w:noBreakHyphen/>
          <w:t>1: Summary of Continuing Medicaid Eligibility Modernization Non-Design Documentation</w:t>
        </w:r>
        <w:r>
          <w:rPr>
            <w:noProof/>
            <w:webHidden/>
          </w:rPr>
          <w:tab/>
        </w:r>
        <w:r>
          <w:rPr>
            <w:noProof/>
            <w:webHidden/>
          </w:rPr>
          <w:fldChar w:fldCharType="begin"/>
        </w:r>
        <w:r>
          <w:rPr>
            <w:noProof/>
            <w:webHidden/>
          </w:rPr>
          <w:instrText xml:space="preserve"> PAGEREF _Toc192875179 \h </w:instrText>
        </w:r>
        <w:r>
          <w:rPr>
            <w:noProof/>
            <w:webHidden/>
          </w:rPr>
        </w:r>
        <w:r>
          <w:rPr>
            <w:noProof/>
            <w:webHidden/>
          </w:rPr>
          <w:fldChar w:fldCharType="separate"/>
        </w:r>
        <w:r>
          <w:rPr>
            <w:noProof/>
            <w:webHidden/>
          </w:rPr>
          <w:t>141</w:t>
        </w:r>
        <w:r>
          <w:rPr>
            <w:noProof/>
            <w:webHidden/>
          </w:rPr>
          <w:fldChar w:fldCharType="end"/>
        </w:r>
      </w:hyperlink>
    </w:p>
    <w:p w14:paraId="426D078E" w14:textId="509FC7BB" w:rsidR="00274557" w:rsidRDefault="00274557">
      <w:pPr>
        <w:pStyle w:val="TableofFigures"/>
        <w:rPr>
          <w:rFonts w:asciiTheme="minorHAnsi" w:eastAsiaTheme="minorEastAsia" w:hAnsiTheme="minorHAnsi"/>
          <w:noProof/>
          <w:kern w:val="2"/>
          <w:sz w:val="22"/>
          <w14:ligatures w14:val="standardContextual"/>
        </w:rPr>
      </w:pPr>
      <w:hyperlink w:anchor="_Toc192875180" w:history="1">
        <w:r>
          <w:rPr>
            <w:rStyle w:val="Hyperlink"/>
            <w:noProof/>
          </w:rPr>
          <w:t>Table 5</w:t>
        </w:r>
        <w:r>
          <w:rPr>
            <w:rStyle w:val="Hyperlink"/>
            <w:noProof/>
          </w:rPr>
          <w:noBreakHyphen/>
          <w:t>2: DED/Deliverable Management Process Flow Narrative</w:t>
        </w:r>
        <w:r>
          <w:rPr>
            <w:noProof/>
            <w:webHidden/>
          </w:rPr>
          <w:tab/>
        </w:r>
        <w:r>
          <w:rPr>
            <w:noProof/>
            <w:webHidden/>
          </w:rPr>
          <w:fldChar w:fldCharType="begin"/>
        </w:r>
        <w:r>
          <w:rPr>
            <w:noProof/>
            <w:webHidden/>
          </w:rPr>
          <w:instrText xml:space="preserve"> PAGEREF _Toc192875180 \h </w:instrText>
        </w:r>
        <w:r>
          <w:rPr>
            <w:noProof/>
            <w:webHidden/>
          </w:rPr>
        </w:r>
        <w:r>
          <w:rPr>
            <w:noProof/>
            <w:webHidden/>
          </w:rPr>
          <w:fldChar w:fldCharType="separate"/>
        </w:r>
        <w:r>
          <w:rPr>
            <w:noProof/>
            <w:webHidden/>
          </w:rPr>
          <w:t>143</w:t>
        </w:r>
        <w:r>
          <w:rPr>
            <w:noProof/>
            <w:webHidden/>
          </w:rPr>
          <w:fldChar w:fldCharType="end"/>
        </w:r>
      </w:hyperlink>
    </w:p>
    <w:p w14:paraId="6BC79964" w14:textId="1A8453DA" w:rsidR="00274557" w:rsidRDefault="00274557">
      <w:pPr>
        <w:pStyle w:val="TableofFigures"/>
        <w:rPr>
          <w:rFonts w:asciiTheme="minorHAnsi" w:eastAsiaTheme="minorEastAsia" w:hAnsiTheme="minorHAnsi"/>
          <w:noProof/>
          <w:kern w:val="2"/>
          <w:sz w:val="22"/>
          <w14:ligatures w14:val="standardContextual"/>
        </w:rPr>
      </w:pPr>
      <w:hyperlink w:anchor="_Toc192875181" w:history="1">
        <w:r>
          <w:rPr>
            <w:rStyle w:val="Hyperlink"/>
            <w:noProof/>
          </w:rPr>
          <w:t>Table 5</w:t>
        </w:r>
        <w:r>
          <w:rPr>
            <w:rStyle w:val="Hyperlink"/>
            <w:noProof/>
          </w:rPr>
          <w:noBreakHyphen/>
          <w:t>3: PMO Review Post Collaboration</w:t>
        </w:r>
        <w:r>
          <w:rPr>
            <w:noProof/>
            <w:webHidden/>
          </w:rPr>
          <w:tab/>
        </w:r>
        <w:r>
          <w:rPr>
            <w:noProof/>
            <w:webHidden/>
          </w:rPr>
          <w:fldChar w:fldCharType="begin"/>
        </w:r>
        <w:r>
          <w:rPr>
            <w:noProof/>
            <w:webHidden/>
          </w:rPr>
          <w:instrText xml:space="preserve"> PAGEREF _Toc192875181 \h </w:instrText>
        </w:r>
        <w:r>
          <w:rPr>
            <w:noProof/>
            <w:webHidden/>
          </w:rPr>
        </w:r>
        <w:r>
          <w:rPr>
            <w:noProof/>
            <w:webHidden/>
          </w:rPr>
          <w:fldChar w:fldCharType="separate"/>
        </w:r>
        <w:r>
          <w:rPr>
            <w:noProof/>
            <w:webHidden/>
          </w:rPr>
          <w:t>146</w:t>
        </w:r>
        <w:r>
          <w:rPr>
            <w:noProof/>
            <w:webHidden/>
          </w:rPr>
          <w:fldChar w:fldCharType="end"/>
        </w:r>
      </w:hyperlink>
    </w:p>
    <w:p w14:paraId="6354841E" w14:textId="5EA63973" w:rsidR="00274557" w:rsidRDefault="00274557">
      <w:pPr>
        <w:pStyle w:val="TableofFigures"/>
        <w:rPr>
          <w:rFonts w:asciiTheme="minorHAnsi" w:eastAsiaTheme="minorEastAsia" w:hAnsiTheme="minorHAnsi"/>
          <w:noProof/>
          <w:kern w:val="2"/>
          <w:sz w:val="22"/>
          <w14:ligatures w14:val="standardContextual"/>
        </w:rPr>
      </w:pPr>
      <w:hyperlink w:anchor="_Toc192875182" w:history="1">
        <w:r>
          <w:rPr>
            <w:rStyle w:val="Hyperlink"/>
            <w:noProof/>
          </w:rPr>
          <w:t>Table 5</w:t>
        </w:r>
        <w:r>
          <w:rPr>
            <w:rStyle w:val="Hyperlink"/>
            <w:noProof/>
          </w:rPr>
          <w:noBreakHyphen/>
          <w:t>4: Summary of MECM Design Documentation</w:t>
        </w:r>
        <w:r>
          <w:rPr>
            <w:noProof/>
            <w:webHidden/>
          </w:rPr>
          <w:tab/>
        </w:r>
        <w:r>
          <w:rPr>
            <w:noProof/>
            <w:webHidden/>
          </w:rPr>
          <w:fldChar w:fldCharType="begin"/>
        </w:r>
        <w:r>
          <w:rPr>
            <w:noProof/>
            <w:webHidden/>
          </w:rPr>
          <w:instrText xml:space="preserve"> PAGEREF _Toc192875182 \h </w:instrText>
        </w:r>
        <w:r>
          <w:rPr>
            <w:noProof/>
            <w:webHidden/>
          </w:rPr>
        </w:r>
        <w:r>
          <w:rPr>
            <w:noProof/>
            <w:webHidden/>
          </w:rPr>
          <w:fldChar w:fldCharType="separate"/>
        </w:r>
        <w:r>
          <w:rPr>
            <w:noProof/>
            <w:webHidden/>
          </w:rPr>
          <w:t>148</w:t>
        </w:r>
        <w:r>
          <w:rPr>
            <w:noProof/>
            <w:webHidden/>
          </w:rPr>
          <w:fldChar w:fldCharType="end"/>
        </w:r>
      </w:hyperlink>
    </w:p>
    <w:p w14:paraId="3C5D573A" w14:textId="06FEA28A" w:rsidR="00274557" w:rsidRDefault="00274557">
      <w:pPr>
        <w:pStyle w:val="TableofFigures"/>
        <w:rPr>
          <w:rFonts w:asciiTheme="minorHAnsi" w:eastAsiaTheme="minorEastAsia" w:hAnsiTheme="minorHAnsi"/>
          <w:noProof/>
          <w:kern w:val="2"/>
          <w:sz w:val="22"/>
          <w14:ligatures w14:val="standardContextual"/>
        </w:rPr>
      </w:pPr>
      <w:hyperlink w:anchor="_Toc192875183" w:history="1">
        <w:r>
          <w:rPr>
            <w:rStyle w:val="Hyperlink"/>
            <w:noProof/>
          </w:rPr>
          <w:t>Table 5</w:t>
        </w:r>
        <w:r>
          <w:rPr>
            <w:rStyle w:val="Hyperlink"/>
            <w:noProof/>
          </w:rPr>
          <w:noBreakHyphen/>
          <w:t>5: FDD and Related Documentation Development Process Narrative</w:t>
        </w:r>
        <w:r>
          <w:rPr>
            <w:noProof/>
            <w:webHidden/>
          </w:rPr>
          <w:tab/>
        </w:r>
        <w:r>
          <w:rPr>
            <w:noProof/>
            <w:webHidden/>
          </w:rPr>
          <w:fldChar w:fldCharType="begin"/>
        </w:r>
        <w:r>
          <w:rPr>
            <w:noProof/>
            <w:webHidden/>
          </w:rPr>
          <w:instrText xml:space="preserve"> PAGEREF _Toc192875183 \h </w:instrText>
        </w:r>
        <w:r>
          <w:rPr>
            <w:noProof/>
            <w:webHidden/>
          </w:rPr>
        </w:r>
        <w:r>
          <w:rPr>
            <w:noProof/>
            <w:webHidden/>
          </w:rPr>
          <w:fldChar w:fldCharType="separate"/>
        </w:r>
        <w:r>
          <w:rPr>
            <w:noProof/>
            <w:webHidden/>
          </w:rPr>
          <w:t>151</w:t>
        </w:r>
        <w:r>
          <w:rPr>
            <w:noProof/>
            <w:webHidden/>
          </w:rPr>
          <w:fldChar w:fldCharType="end"/>
        </w:r>
      </w:hyperlink>
    </w:p>
    <w:p w14:paraId="63E82E39" w14:textId="73D6F183" w:rsidR="00274557" w:rsidRDefault="00274557">
      <w:pPr>
        <w:pStyle w:val="TableofFigures"/>
        <w:rPr>
          <w:rFonts w:asciiTheme="minorHAnsi" w:eastAsiaTheme="minorEastAsia" w:hAnsiTheme="minorHAnsi"/>
          <w:noProof/>
          <w:kern w:val="2"/>
          <w:sz w:val="22"/>
          <w14:ligatures w14:val="standardContextual"/>
        </w:rPr>
      </w:pPr>
      <w:hyperlink w:anchor="_Toc192875184" w:history="1">
        <w:r>
          <w:rPr>
            <w:rStyle w:val="Hyperlink"/>
            <w:noProof/>
          </w:rPr>
          <w:t>Table 5</w:t>
        </w:r>
        <w:r>
          <w:rPr>
            <w:rStyle w:val="Hyperlink"/>
            <w:noProof/>
          </w:rPr>
          <w:noBreakHyphen/>
          <w:t>6: ICCP Approval for Design Documentation</w:t>
        </w:r>
        <w:r>
          <w:rPr>
            <w:noProof/>
            <w:webHidden/>
          </w:rPr>
          <w:tab/>
        </w:r>
        <w:r>
          <w:rPr>
            <w:noProof/>
            <w:webHidden/>
          </w:rPr>
          <w:fldChar w:fldCharType="begin"/>
        </w:r>
        <w:r>
          <w:rPr>
            <w:noProof/>
            <w:webHidden/>
          </w:rPr>
          <w:instrText xml:space="preserve"> PAGEREF _Toc192875184 \h </w:instrText>
        </w:r>
        <w:r>
          <w:rPr>
            <w:noProof/>
            <w:webHidden/>
          </w:rPr>
        </w:r>
        <w:r>
          <w:rPr>
            <w:noProof/>
            <w:webHidden/>
          </w:rPr>
          <w:fldChar w:fldCharType="separate"/>
        </w:r>
        <w:r>
          <w:rPr>
            <w:noProof/>
            <w:webHidden/>
          </w:rPr>
          <w:t>152</w:t>
        </w:r>
        <w:r>
          <w:rPr>
            <w:noProof/>
            <w:webHidden/>
          </w:rPr>
          <w:fldChar w:fldCharType="end"/>
        </w:r>
      </w:hyperlink>
    </w:p>
    <w:p w14:paraId="5D423EF6" w14:textId="02C8429D" w:rsidR="00274557" w:rsidRDefault="00274557">
      <w:pPr>
        <w:pStyle w:val="TableofFigures"/>
        <w:rPr>
          <w:rFonts w:asciiTheme="minorHAnsi" w:eastAsiaTheme="minorEastAsia" w:hAnsiTheme="minorHAnsi"/>
          <w:noProof/>
          <w:kern w:val="2"/>
          <w:sz w:val="22"/>
          <w14:ligatures w14:val="standardContextual"/>
        </w:rPr>
      </w:pPr>
      <w:hyperlink w:anchor="_Toc192875185" w:history="1">
        <w:r>
          <w:rPr>
            <w:rStyle w:val="Hyperlink"/>
            <w:noProof/>
          </w:rPr>
          <w:t>Table 5</w:t>
        </w:r>
        <w:r>
          <w:rPr>
            <w:rStyle w:val="Hyperlink"/>
            <w:noProof/>
          </w:rPr>
          <w:noBreakHyphen/>
          <w:t>7: Design Updates Post FDD Approval Narrative</w:t>
        </w:r>
        <w:r>
          <w:rPr>
            <w:noProof/>
            <w:webHidden/>
          </w:rPr>
          <w:tab/>
        </w:r>
        <w:r>
          <w:rPr>
            <w:noProof/>
            <w:webHidden/>
          </w:rPr>
          <w:fldChar w:fldCharType="begin"/>
        </w:r>
        <w:r>
          <w:rPr>
            <w:noProof/>
            <w:webHidden/>
          </w:rPr>
          <w:instrText xml:space="preserve"> PAGEREF _Toc192875185 \h </w:instrText>
        </w:r>
        <w:r>
          <w:rPr>
            <w:noProof/>
            <w:webHidden/>
          </w:rPr>
        </w:r>
        <w:r>
          <w:rPr>
            <w:noProof/>
            <w:webHidden/>
          </w:rPr>
          <w:fldChar w:fldCharType="separate"/>
        </w:r>
        <w:r>
          <w:rPr>
            <w:noProof/>
            <w:webHidden/>
          </w:rPr>
          <w:t>156</w:t>
        </w:r>
        <w:r>
          <w:rPr>
            <w:noProof/>
            <w:webHidden/>
          </w:rPr>
          <w:fldChar w:fldCharType="end"/>
        </w:r>
      </w:hyperlink>
    </w:p>
    <w:p w14:paraId="51763FAE" w14:textId="553D80C4" w:rsidR="00274557" w:rsidRDefault="00274557">
      <w:pPr>
        <w:pStyle w:val="TableofFigures"/>
        <w:rPr>
          <w:rFonts w:asciiTheme="minorHAnsi" w:eastAsiaTheme="minorEastAsia" w:hAnsiTheme="minorHAnsi"/>
          <w:noProof/>
          <w:kern w:val="2"/>
          <w:sz w:val="22"/>
          <w14:ligatures w14:val="standardContextual"/>
        </w:rPr>
      </w:pPr>
      <w:hyperlink w:anchor="_Toc192875186" w:history="1">
        <w:r>
          <w:rPr>
            <w:rStyle w:val="Hyperlink"/>
            <w:noProof/>
            <w:lang w:eastAsia="ja-JP"/>
          </w:rPr>
          <w:t>Table 6</w:t>
        </w:r>
        <w:r>
          <w:rPr>
            <w:rStyle w:val="Hyperlink"/>
            <w:noProof/>
            <w:lang w:eastAsia="ja-JP"/>
          </w:rPr>
          <w:noBreakHyphen/>
          <w:t>1: Initial Budget Allocation Process Narrative</w:t>
        </w:r>
        <w:r>
          <w:rPr>
            <w:noProof/>
            <w:webHidden/>
          </w:rPr>
          <w:tab/>
        </w:r>
        <w:r>
          <w:rPr>
            <w:noProof/>
            <w:webHidden/>
          </w:rPr>
          <w:fldChar w:fldCharType="begin"/>
        </w:r>
        <w:r>
          <w:rPr>
            <w:noProof/>
            <w:webHidden/>
          </w:rPr>
          <w:instrText xml:space="preserve"> PAGEREF _Toc192875186 \h </w:instrText>
        </w:r>
        <w:r>
          <w:rPr>
            <w:noProof/>
            <w:webHidden/>
          </w:rPr>
        </w:r>
        <w:r>
          <w:rPr>
            <w:noProof/>
            <w:webHidden/>
          </w:rPr>
          <w:fldChar w:fldCharType="separate"/>
        </w:r>
        <w:r>
          <w:rPr>
            <w:noProof/>
            <w:webHidden/>
          </w:rPr>
          <w:t>161</w:t>
        </w:r>
        <w:r>
          <w:rPr>
            <w:noProof/>
            <w:webHidden/>
          </w:rPr>
          <w:fldChar w:fldCharType="end"/>
        </w:r>
      </w:hyperlink>
    </w:p>
    <w:p w14:paraId="4075C7A9" w14:textId="0B5C62DD" w:rsidR="00274557" w:rsidRDefault="00274557">
      <w:pPr>
        <w:pStyle w:val="TableofFigures"/>
        <w:rPr>
          <w:rFonts w:asciiTheme="minorHAnsi" w:eastAsiaTheme="minorEastAsia" w:hAnsiTheme="minorHAnsi"/>
          <w:noProof/>
          <w:kern w:val="2"/>
          <w:sz w:val="22"/>
          <w14:ligatures w14:val="standardContextual"/>
        </w:rPr>
      </w:pPr>
      <w:hyperlink w:anchor="_Toc192875187" w:history="1">
        <w:r>
          <w:rPr>
            <w:rStyle w:val="Hyperlink"/>
            <w:noProof/>
          </w:rPr>
          <w:t>Table 6</w:t>
        </w:r>
        <w:r>
          <w:rPr>
            <w:rStyle w:val="Hyperlink"/>
            <w:noProof/>
          </w:rPr>
          <w:noBreakHyphen/>
          <w:t>2: Invoicing Process Flow Narrative</w:t>
        </w:r>
        <w:r>
          <w:rPr>
            <w:noProof/>
            <w:webHidden/>
          </w:rPr>
          <w:tab/>
        </w:r>
        <w:r>
          <w:rPr>
            <w:noProof/>
            <w:webHidden/>
          </w:rPr>
          <w:fldChar w:fldCharType="begin"/>
        </w:r>
        <w:r>
          <w:rPr>
            <w:noProof/>
            <w:webHidden/>
          </w:rPr>
          <w:instrText xml:space="preserve"> PAGEREF _Toc192875187 \h </w:instrText>
        </w:r>
        <w:r>
          <w:rPr>
            <w:noProof/>
            <w:webHidden/>
          </w:rPr>
        </w:r>
        <w:r>
          <w:rPr>
            <w:noProof/>
            <w:webHidden/>
          </w:rPr>
          <w:fldChar w:fldCharType="separate"/>
        </w:r>
        <w:r>
          <w:rPr>
            <w:noProof/>
            <w:webHidden/>
          </w:rPr>
          <w:t>163</w:t>
        </w:r>
        <w:r>
          <w:rPr>
            <w:noProof/>
            <w:webHidden/>
          </w:rPr>
          <w:fldChar w:fldCharType="end"/>
        </w:r>
      </w:hyperlink>
    </w:p>
    <w:p w14:paraId="017962E2" w14:textId="46595DBA" w:rsidR="00274557" w:rsidRDefault="00274557">
      <w:pPr>
        <w:pStyle w:val="TableofFigures"/>
        <w:rPr>
          <w:rFonts w:asciiTheme="minorHAnsi" w:eastAsiaTheme="minorEastAsia" w:hAnsiTheme="minorHAnsi"/>
          <w:noProof/>
          <w:kern w:val="2"/>
          <w:sz w:val="22"/>
          <w14:ligatures w14:val="standardContextual"/>
        </w:rPr>
      </w:pPr>
      <w:hyperlink w:anchor="_Toc192875188" w:history="1">
        <w:r>
          <w:rPr>
            <w:rStyle w:val="Hyperlink"/>
            <w:noProof/>
            <w:lang w:eastAsia="ja-JP"/>
          </w:rPr>
          <w:t>Table 6</w:t>
        </w:r>
        <w:r>
          <w:rPr>
            <w:rStyle w:val="Hyperlink"/>
            <w:noProof/>
            <w:lang w:eastAsia="ja-JP"/>
          </w:rPr>
          <w:noBreakHyphen/>
          <w:t>3: Tools and Descriptions</w:t>
        </w:r>
        <w:r>
          <w:rPr>
            <w:noProof/>
            <w:webHidden/>
          </w:rPr>
          <w:tab/>
        </w:r>
        <w:r>
          <w:rPr>
            <w:noProof/>
            <w:webHidden/>
          </w:rPr>
          <w:fldChar w:fldCharType="begin"/>
        </w:r>
        <w:r>
          <w:rPr>
            <w:noProof/>
            <w:webHidden/>
          </w:rPr>
          <w:instrText xml:space="preserve"> PAGEREF _Toc192875188 \h </w:instrText>
        </w:r>
        <w:r>
          <w:rPr>
            <w:noProof/>
            <w:webHidden/>
          </w:rPr>
        </w:r>
        <w:r>
          <w:rPr>
            <w:noProof/>
            <w:webHidden/>
          </w:rPr>
          <w:fldChar w:fldCharType="separate"/>
        </w:r>
        <w:r>
          <w:rPr>
            <w:noProof/>
            <w:webHidden/>
          </w:rPr>
          <w:t>164</w:t>
        </w:r>
        <w:r>
          <w:rPr>
            <w:noProof/>
            <w:webHidden/>
          </w:rPr>
          <w:fldChar w:fldCharType="end"/>
        </w:r>
      </w:hyperlink>
    </w:p>
    <w:p w14:paraId="28D32C54" w14:textId="34810588" w:rsidR="00274557" w:rsidRDefault="00274557">
      <w:pPr>
        <w:pStyle w:val="TableofFigures"/>
        <w:rPr>
          <w:rFonts w:asciiTheme="minorHAnsi" w:eastAsiaTheme="minorEastAsia" w:hAnsiTheme="minorHAnsi"/>
          <w:noProof/>
          <w:kern w:val="2"/>
          <w:sz w:val="22"/>
          <w14:ligatures w14:val="standardContextual"/>
        </w:rPr>
      </w:pPr>
      <w:hyperlink w:anchor="_Toc192875189" w:history="1">
        <w:r>
          <w:rPr>
            <w:rStyle w:val="Hyperlink"/>
            <w:noProof/>
          </w:rPr>
          <w:t>Table 7</w:t>
        </w:r>
        <w:r>
          <w:rPr>
            <w:rStyle w:val="Hyperlink"/>
            <w:noProof/>
          </w:rPr>
          <w:noBreakHyphen/>
          <w:t>1: Standard Verification</w:t>
        </w:r>
        <w:r>
          <w:rPr>
            <w:noProof/>
            <w:webHidden/>
          </w:rPr>
          <w:tab/>
        </w:r>
        <w:r>
          <w:rPr>
            <w:noProof/>
            <w:webHidden/>
          </w:rPr>
          <w:fldChar w:fldCharType="begin"/>
        </w:r>
        <w:r>
          <w:rPr>
            <w:noProof/>
            <w:webHidden/>
          </w:rPr>
          <w:instrText xml:space="preserve"> PAGEREF _Toc192875189 \h </w:instrText>
        </w:r>
        <w:r>
          <w:rPr>
            <w:noProof/>
            <w:webHidden/>
          </w:rPr>
        </w:r>
        <w:r>
          <w:rPr>
            <w:noProof/>
            <w:webHidden/>
          </w:rPr>
          <w:fldChar w:fldCharType="separate"/>
        </w:r>
        <w:r>
          <w:rPr>
            <w:noProof/>
            <w:webHidden/>
          </w:rPr>
          <w:t>171</w:t>
        </w:r>
        <w:r>
          <w:rPr>
            <w:noProof/>
            <w:webHidden/>
          </w:rPr>
          <w:fldChar w:fldCharType="end"/>
        </w:r>
      </w:hyperlink>
    </w:p>
    <w:p w14:paraId="48585D25" w14:textId="1C66D3D0" w:rsidR="00274557" w:rsidRDefault="00274557">
      <w:pPr>
        <w:pStyle w:val="TableofFigures"/>
        <w:rPr>
          <w:rFonts w:asciiTheme="minorHAnsi" w:eastAsiaTheme="minorEastAsia" w:hAnsiTheme="minorHAnsi"/>
          <w:noProof/>
          <w:kern w:val="2"/>
          <w:sz w:val="22"/>
          <w14:ligatures w14:val="standardContextual"/>
        </w:rPr>
      </w:pPr>
      <w:hyperlink w:anchor="_Toc192875190" w:history="1">
        <w:r>
          <w:rPr>
            <w:rStyle w:val="Hyperlink"/>
            <w:noProof/>
          </w:rPr>
          <w:t>Table 7</w:t>
        </w:r>
        <w:r>
          <w:rPr>
            <w:rStyle w:val="Hyperlink"/>
            <w:noProof/>
          </w:rPr>
          <w:noBreakHyphen/>
          <w:t>2: Document Review Types</w:t>
        </w:r>
        <w:r>
          <w:rPr>
            <w:noProof/>
            <w:webHidden/>
          </w:rPr>
          <w:tab/>
        </w:r>
        <w:r>
          <w:rPr>
            <w:noProof/>
            <w:webHidden/>
          </w:rPr>
          <w:fldChar w:fldCharType="begin"/>
        </w:r>
        <w:r>
          <w:rPr>
            <w:noProof/>
            <w:webHidden/>
          </w:rPr>
          <w:instrText xml:space="preserve"> PAGEREF _Toc192875190 \h </w:instrText>
        </w:r>
        <w:r>
          <w:rPr>
            <w:noProof/>
            <w:webHidden/>
          </w:rPr>
        </w:r>
        <w:r>
          <w:rPr>
            <w:noProof/>
            <w:webHidden/>
          </w:rPr>
          <w:fldChar w:fldCharType="separate"/>
        </w:r>
        <w:r>
          <w:rPr>
            <w:noProof/>
            <w:webHidden/>
          </w:rPr>
          <w:t>172</w:t>
        </w:r>
        <w:r>
          <w:rPr>
            <w:noProof/>
            <w:webHidden/>
          </w:rPr>
          <w:fldChar w:fldCharType="end"/>
        </w:r>
      </w:hyperlink>
    </w:p>
    <w:p w14:paraId="00FA367D" w14:textId="3579F01E" w:rsidR="00274557" w:rsidRDefault="00274557">
      <w:pPr>
        <w:pStyle w:val="TableofFigures"/>
        <w:rPr>
          <w:rFonts w:asciiTheme="minorHAnsi" w:eastAsiaTheme="minorEastAsia" w:hAnsiTheme="minorHAnsi"/>
          <w:noProof/>
          <w:kern w:val="2"/>
          <w:sz w:val="22"/>
          <w14:ligatures w14:val="standardContextual"/>
        </w:rPr>
      </w:pPr>
      <w:hyperlink w:anchor="_Toc192875191" w:history="1">
        <w:r>
          <w:rPr>
            <w:rStyle w:val="Hyperlink"/>
            <w:noProof/>
          </w:rPr>
          <w:t>Table 7</w:t>
        </w:r>
        <w:r>
          <w:rPr>
            <w:rStyle w:val="Hyperlink"/>
            <w:noProof/>
          </w:rPr>
          <w:noBreakHyphen/>
          <w:t>3: Methods of Measuring Standards</w:t>
        </w:r>
        <w:r>
          <w:rPr>
            <w:noProof/>
            <w:webHidden/>
          </w:rPr>
          <w:tab/>
        </w:r>
        <w:r>
          <w:rPr>
            <w:noProof/>
            <w:webHidden/>
          </w:rPr>
          <w:fldChar w:fldCharType="begin"/>
        </w:r>
        <w:r>
          <w:rPr>
            <w:noProof/>
            <w:webHidden/>
          </w:rPr>
          <w:instrText xml:space="preserve"> PAGEREF _Toc192875191 \h </w:instrText>
        </w:r>
        <w:r>
          <w:rPr>
            <w:noProof/>
            <w:webHidden/>
          </w:rPr>
        </w:r>
        <w:r>
          <w:rPr>
            <w:noProof/>
            <w:webHidden/>
          </w:rPr>
          <w:fldChar w:fldCharType="separate"/>
        </w:r>
        <w:r>
          <w:rPr>
            <w:noProof/>
            <w:webHidden/>
          </w:rPr>
          <w:t>173</w:t>
        </w:r>
        <w:r>
          <w:rPr>
            <w:noProof/>
            <w:webHidden/>
          </w:rPr>
          <w:fldChar w:fldCharType="end"/>
        </w:r>
      </w:hyperlink>
    </w:p>
    <w:p w14:paraId="1A0913B5" w14:textId="33060617" w:rsidR="00274557" w:rsidRDefault="00274557">
      <w:pPr>
        <w:pStyle w:val="TableofFigures"/>
        <w:rPr>
          <w:rFonts w:asciiTheme="minorHAnsi" w:eastAsiaTheme="minorEastAsia" w:hAnsiTheme="minorHAnsi"/>
          <w:noProof/>
          <w:kern w:val="2"/>
          <w:sz w:val="22"/>
          <w14:ligatures w14:val="standardContextual"/>
        </w:rPr>
      </w:pPr>
      <w:hyperlink w:anchor="_Toc192875192" w:history="1">
        <w:r>
          <w:rPr>
            <w:rStyle w:val="Hyperlink"/>
            <w:noProof/>
          </w:rPr>
          <w:t>Table 7</w:t>
        </w:r>
        <w:r>
          <w:rPr>
            <w:rStyle w:val="Hyperlink"/>
            <w:noProof/>
          </w:rPr>
          <w:noBreakHyphen/>
          <w:t>4: MECM Transmittal Process - Inbound Flow Narrative</w:t>
        </w:r>
        <w:r>
          <w:rPr>
            <w:noProof/>
            <w:webHidden/>
          </w:rPr>
          <w:tab/>
        </w:r>
        <w:r>
          <w:rPr>
            <w:noProof/>
            <w:webHidden/>
          </w:rPr>
          <w:fldChar w:fldCharType="begin"/>
        </w:r>
        <w:r>
          <w:rPr>
            <w:noProof/>
            <w:webHidden/>
          </w:rPr>
          <w:instrText xml:space="preserve"> PAGEREF _Toc192875192 \h </w:instrText>
        </w:r>
        <w:r>
          <w:rPr>
            <w:noProof/>
            <w:webHidden/>
          </w:rPr>
        </w:r>
        <w:r>
          <w:rPr>
            <w:noProof/>
            <w:webHidden/>
          </w:rPr>
          <w:fldChar w:fldCharType="separate"/>
        </w:r>
        <w:r>
          <w:rPr>
            <w:noProof/>
            <w:webHidden/>
          </w:rPr>
          <w:t>176</w:t>
        </w:r>
        <w:r>
          <w:rPr>
            <w:noProof/>
            <w:webHidden/>
          </w:rPr>
          <w:fldChar w:fldCharType="end"/>
        </w:r>
      </w:hyperlink>
    </w:p>
    <w:p w14:paraId="6945C65E" w14:textId="59D7BE3A" w:rsidR="00274557" w:rsidRDefault="00274557">
      <w:pPr>
        <w:pStyle w:val="TableofFigures"/>
        <w:rPr>
          <w:rFonts w:asciiTheme="minorHAnsi" w:eastAsiaTheme="minorEastAsia" w:hAnsiTheme="minorHAnsi"/>
          <w:noProof/>
          <w:kern w:val="2"/>
          <w:sz w:val="22"/>
          <w14:ligatures w14:val="standardContextual"/>
        </w:rPr>
      </w:pPr>
      <w:hyperlink w:anchor="_Toc192875193" w:history="1">
        <w:r>
          <w:rPr>
            <w:rStyle w:val="Hyperlink"/>
            <w:noProof/>
          </w:rPr>
          <w:t>Table 7</w:t>
        </w:r>
        <w:r>
          <w:rPr>
            <w:rStyle w:val="Hyperlink"/>
            <w:noProof/>
          </w:rPr>
          <w:noBreakHyphen/>
          <w:t>5: MECM Transmittal Process - Outbound Flow Narrative</w:t>
        </w:r>
        <w:r>
          <w:rPr>
            <w:noProof/>
            <w:webHidden/>
          </w:rPr>
          <w:tab/>
        </w:r>
        <w:r>
          <w:rPr>
            <w:noProof/>
            <w:webHidden/>
          </w:rPr>
          <w:fldChar w:fldCharType="begin"/>
        </w:r>
        <w:r>
          <w:rPr>
            <w:noProof/>
            <w:webHidden/>
          </w:rPr>
          <w:instrText xml:space="preserve"> PAGEREF _Toc192875193 \h </w:instrText>
        </w:r>
        <w:r>
          <w:rPr>
            <w:noProof/>
            <w:webHidden/>
          </w:rPr>
        </w:r>
        <w:r>
          <w:rPr>
            <w:noProof/>
            <w:webHidden/>
          </w:rPr>
          <w:fldChar w:fldCharType="separate"/>
        </w:r>
        <w:r>
          <w:rPr>
            <w:noProof/>
            <w:webHidden/>
          </w:rPr>
          <w:t>178</w:t>
        </w:r>
        <w:r>
          <w:rPr>
            <w:noProof/>
            <w:webHidden/>
          </w:rPr>
          <w:fldChar w:fldCharType="end"/>
        </w:r>
      </w:hyperlink>
    </w:p>
    <w:p w14:paraId="34D7F1A8" w14:textId="236BEA3E" w:rsidR="00274557" w:rsidRDefault="00274557">
      <w:pPr>
        <w:pStyle w:val="TableofFigures"/>
        <w:rPr>
          <w:rFonts w:asciiTheme="minorHAnsi" w:eastAsiaTheme="minorEastAsia" w:hAnsiTheme="minorHAnsi"/>
          <w:noProof/>
          <w:kern w:val="2"/>
          <w:sz w:val="22"/>
          <w14:ligatures w14:val="standardContextual"/>
        </w:rPr>
      </w:pPr>
      <w:hyperlink w:anchor="_Toc192875194" w:history="1">
        <w:r>
          <w:rPr>
            <w:rStyle w:val="Hyperlink"/>
            <w:noProof/>
          </w:rPr>
          <w:t>Table 7</w:t>
        </w:r>
        <w:r>
          <w:rPr>
            <w:rStyle w:val="Hyperlink"/>
            <w:noProof/>
          </w:rPr>
          <w:noBreakHyphen/>
          <w:t>6: Deliverable Review Process Components</w:t>
        </w:r>
        <w:r>
          <w:rPr>
            <w:noProof/>
            <w:webHidden/>
          </w:rPr>
          <w:tab/>
        </w:r>
        <w:r>
          <w:rPr>
            <w:noProof/>
            <w:webHidden/>
          </w:rPr>
          <w:fldChar w:fldCharType="begin"/>
        </w:r>
        <w:r>
          <w:rPr>
            <w:noProof/>
            <w:webHidden/>
          </w:rPr>
          <w:instrText xml:space="preserve"> PAGEREF _Toc192875194 \h </w:instrText>
        </w:r>
        <w:r>
          <w:rPr>
            <w:noProof/>
            <w:webHidden/>
          </w:rPr>
        </w:r>
        <w:r>
          <w:rPr>
            <w:noProof/>
            <w:webHidden/>
          </w:rPr>
          <w:fldChar w:fldCharType="separate"/>
        </w:r>
        <w:r>
          <w:rPr>
            <w:noProof/>
            <w:webHidden/>
          </w:rPr>
          <w:t>178</w:t>
        </w:r>
        <w:r>
          <w:rPr>
            <w:noProof/>
            <w:webHidden/>
          </w:rPr>
          <w:fldChar w:fldCharType="end"/>
        </w:r>
      </w:hyperlink>
    </w:p>
    <w:p w14:paraId="5B5E9298" w14:textId="2210471B" w:rsidR="00274557" w:rsidRDefault="00274557">
      <w:pPr>
        <w:pStyle w:val="TableofFigures"/>
        <w:rPr>
          <w:rFonts w:asciiTheme="minorHAnsi" w:eastAsiaTheme="minorEastAsia" w:hAnsiTheme="minorHAnsi"/>
          <w:noProof/>
          <w:kern w:val="2"/>
          <w:sz w:val="22"/>
          <w14:ligatures w14:val="standardContextual"/>
        </w:rPr>
      </w:pPr>
      <w:hyperlink w:anchor="_Toc192875195" w:history="1">
        <w:r>
          <w:rPr>
            <w:rStyle w:val="Hyperlink"/>
            <w:noProof/>
          </w:rPr>
          <w:t>Table 7</w:t>
        </w:r>
        <w:r>
          <w:rPr>
            <w:rStyle w:val="Hyperlink"/>
            <w:noProof/>
          </w:rPr>
          <w:noBreakHyphen/>
          <w:t>7: Quality Control Tools</w:t>
        </w:r>
        <w:r>
          <w:rPr>
            <w:noProof/>
            <w:webHidden/>
          </w:rPr>
          <w:tab/>
        </w:r>
        <w:r>
          <w:rPr>
            <w:noProof/>
            <w:webHidden/>
          </w:rPr>
          <w:fldChar w:fldCharType="begin"/>
        </w:r>
        <w:r>
          <w:rPr>
            <w:noProof/>
            <w:webHidden/>
          </w:rPr>
          <w:instrText xml:space="preserve"> PAGEREF _Toc192875195 \h </w:instrText>
        </w:r>
        <w:r>
          <w:rPr>
            <w:noProof/>
            <w:webHidden/>
          </w:rPr>
        </w:r>
        <w:r>
          <w:rPr>
            <w:noProof/>
            <w:webHidden/>
          </w:rPr>
          <w:fldChar w:fldCharType="separate"/>
        </w:r>
        <w:r>
          <w:rPr>
            <w:noProof/>
            <w:webHidden/>
          </w:rPr>
          <w:t>180</w:t>
        </w:r>
        <w:r>
          <w:rPr>
            <w:noProof/>
            <w:webHidden/>
          </w:rPr>
          <w:fldChar w:fldCharType="end"/>
        </w:r>
      </w:hyperlink>
    </w:p>
    <w:p w14:paraId="562AC5E2" w14:textId="3F485A1E" w:rsidR="00274557" w:rsidRDefault="00274557">
      <w:pPr>
        <w:pStyle w:val="TableofFigures"/>
        <w:rPr>
          <w:rFonts w:asciiTheme="minorHAnsi" w:eastAsiaTheme="minorEastAsia" w:hAnsiTheme="minorHAnsi"/>
          <w:noProof/>
          <w:kern w:val="2"/>
          <w:sz w:val="22"/>
          <w14:ligatures w14:val="standardContextual"/>
        </w:rPr>
      </w:pPr>
      <w:hyperlink w:anchor="_Toc192875196" w:history="1">
        <w:r>
          <w:rPr>
            <w:rStyle w:val="Hyperlink"/>
            <w:noProof/>
          </w:rPr>
          <w:t>Table 7</w:t>
        </w:r>
        <w:r>
          <w:rPr>
            <w:rStyle w:val="Hyperlink"/>
            <w:noProof/>
          </w:rPr>
          <w:noBreakHyphen/>
          <w:t>8: Guest Star Support Plan</w:t>
        </w:r>
        <w:r>
          <w:rPr>
            <w:noProof/>
            <w:webHidden/>
          </w:rPr>
          <w:tab/>
        </w:r>
        <w:r>
          <w:rPr>
            <w:noProof/>
            <w:webHidden/>
          </w:rPr>
          <w:fldChar w:fldCharType="begin"/>
        </w:r>
        <w:r>
          <w:rPr>
            <w:noProof/>
            <w:webHidden/>
          </w:rPr>
          <w:instrText xml:space="preserve"> PAGEREF _Toc192875196 \h </w:instrText>
        </w:r>
        <w:r>
          <w:rPr>
            <w:noProof/>
            <w:webHidden/>
          </w:rPr>
        </w:r>
        <w:r>
          <w:rPr>
            <w:noProof/>
            <w:webHidden/>
          </w:rPr>
          <w:fldChar w:fldCharType="separate"/>
        </w:r>
        <w:r>
          <w:rPr>
            <w:noProof/>
            <w:webHidden/>
          </w:rPr>
          <w:t>182</w:t>
        </w:r>
        <w:r>
          <w:rPr>
            <w:noProof/>
            <w:webHidden/>
          </w:rPr>
          <w:fldChar w:fldCharType="end"/>
        </w:r>
      </w:hyperlink>
    </w:p>
    <w:p w14:paraId="41F641D3" w14:textId="2E6347D3" w:rsidR="00274557" w:rsidRDefault="00274557">
      <w:pPr>
        <w:pStyle w:val="TableofFigures"/>
        <w:rPr>
          <w:rFonts w:asciiTheme="minorHAnsi" w:eastAsiaTheme="minorEastAsia" w:hAnsiTheme="minorHAnsi"/>
          <w:noProof/>
          <w:kern w:val="2"/>
          <w:sz w:val="22"/>
          <w14:ligatures w14:val="standardContextual"/>
        </w:rPr>
      </w:pPr>
      <w:hyperlink w:anchor="_Toc192875197" w:history="1">
        <w:r>
          <w:rPr>
            <w:rStyle w:val="Hyperlink"/>
            <w:noProof/>
          </w:rPr>
          <w:t>Table 8</w:t>
        </w:r>
        <w:r>
          <w:rPr>
            <w:rStyle w:val="Hyperlink"/>
            <w:noProof/>
          </w:rPr>
          <w:noBreakHyphen/>
          <w:t>1: Staffing Process Flow Narrative</w:t>
        </w:r>
        <w:r>
          <w:rPr>
            <w:noProof/>
            <w:webHidden/>
          </w:rPr>
          <w:tab/>
        </w:r>
        <w:r>
          <w:rPr>
            <w:noProof/>
            <w:webHidden/>
          </w:rPr>
          <w:fldChar w:fldCharType="begin"/>
        </w:r>
        <w:r>
          <w:rPr>
            <w:noProof/>
            <w:webHidden/>
          </w:rPr>
          <w:instrText xml:space="preserve"> PAGEREF _Toc192875197 \h </w:instrText>
        </w:r>
        <w:r>
          <w:rPr>
            <w:noProof/>
            <w:webHidden/>
          </w:rPr>
        </w:r>
        <w:r>
          <w:rPr>
            <w:noProof/>
            <w:webHidden/>
          </w:rPr>
          <w:fldChar w:fldCharType="separate"/>
        </w:r>
        <w:r>
          <w:rPr>
            <w:noProof/>
            <w:webHidden/>
          </w:rPr>
          <w:t>187</w:t>
        </w:r>
        <w:r>
          <w:rPr>
            <w:noProof/>
            <w:webHidden/>
          </w:rPr>
          <w:fldChar w:fldCharType="end"/>
        </w:r>
      </w:hyperlink>
    </w:p>
    <w:p w14:paraId="1F480383" w14:textId="6B92D58D" w:rsidR="00274557" w:rsidRDefault="00274557">
      <w:pPr>
        <w:pStyle w:val="TableofFigures"/>
        <w:rPr>
          <w:rFonts w:asciiTheme="minorHAnsi" w:eastAsiaTheme="minorEastAsia" w:hAnsiTheme="minorHAnsi"/>
          <w:noProof/>
          <w:kern w:val="2"/>
          <w:sz w:val="22"/>
          <w14:ligatures w14:val="standardContextual"/>
        </w:rPr>
      </w:pPr>
      <w:hyperlink w:anchor="_Toc192875198" w:history="1">
        <w:r>
          <w:rPr>
            <w:rStyle w:val="Hyperlink"/>
            <w:noProof/>
          </w:rPr>
          <w:t>Table 9</w:t>
        </w:r>
        <w:r>
          <w:rPr>
            <w:rStyle w:val="Hyperlink"/>
            <w:noProof/>
          </w:rPr>
          <w:noBreakHyphen/>
          <w:t>1: Risk Management Process Flow Narrative</w:t>
        </w:r>
        <w:r>
          <w:rPr>
            <w:noProof/>
            <w:webHidden/>
          </w:rPr>
          <w:tab/>
        </w:r>
        <w:r>
          <w:rPr>
            <w:noProof/>
            <w:webHidden/>
          </w:rPr>
          <w:fldChar w:fldCharType="begin"/>
        </w:r>
        <w:r>
          <w:rPr>
            <w:noProof/>
            <w:webHidden/>
          </w:rPr>
          <w:instrText xml:space="preserve"> PAGEREF _Toc192875198 \h </w:instrText>
        </w:r>
        <w:r>
          <w:rPr>
            <w:noProof/>
            <w:webHidden/>
          </w:rPr>
        </w:r>
        <w:r>
          <w:rPr>
            <w:noProof/>
            <w:webHidden/>
          </w:rPr>
          <w:fldChar w:fldCharType="separate"/>
        </w:r>
        <w:r>
          <w:rPr>
            <w:noProof/>
            <w:webHidden/>
          </w:rPr>
          <w:t>195</w:t>
        </w:r>
        <w:r>
          <w:rPr>
            <w:noProof/>
            <w:webHidden/>
          </w:rPr>
          <w:fldChar w:fldCharType="end"/>
        </w:r>
      </w:hyperlink>
    </w:p>
    <w:p w14:paraId="28BB737C" w14:textId="11DCA82F" w:rsidR="00274557" w:rsidRDefault="00274557">
      <w:pPr>
        <w:pStyle w:val="TableofFigures"/>
        <w:rPr>
          <w:rFonts w:asciiTheme="minorHAnsi" w:eastAsiaTheme="minorEastAsia" w:hAnsiTheme="minorHAnsi"/>
          <w:noProof/>
          <w:kern w:val="2"/>
          <w:sz w:val="22"/>
          <w14:ligatures w14:val="standardContextual"/>
        </w:rPr>
      </w:pPr>
      <w:hyperlink w:anchor="_Toc192875199" w:history="1">
        <w:r>
          <w:rPr>
            <w:rStyle w:val="Hyperlink"/>
            <w:noProof/>
          </w:rPr>
          <w:t>Table 9</w:t>
        </w:r>
        <w:r>
          <w:rPr>
            <w:rStyle w:val="Hyperlink"/>
            <w:noProof/>
          </w:rPr>
          <w:noBreakHyphen/>
          <w:t>2: Risk Status</w:t>
        </w:r>
        <w:r>
          <w:rPr>
            <w:noProof/>
            <w:webHidden/>
          </w:rPr>
          <w:tab/>
        </w:r>
        <w:r>
          <w:rPr>
            <w:noProof/>
            <w:webHidden/>
          </w:rPr>
          <w:fldChar w:fldCharType="begin"/>
        </w:r>
        <w:r>
          <w:rPr>
            <w:noProof/>
            <w:webHidden/>
          </w:rPr>
          <w:instrText xml:space="preserve"> PAGEREF _Toc192875199 \h </w:instrText>
        </w:r>
        <w:r>
          <w:rPr>
            <w:noProof/>
            <w:webHidden/>
          </w:rPr>
        </w:r>
        <w:r>
          <w:rPr>
            <w:noProof/>
            <w:webHidden/>
          </w:rPr>
          <w:fldChar w:fldCharType="separate"/>
        </w:r>
        <w:r>
          <w:rPr>
            <w:noProof/>
            <w:webHidden/>
          </w:rPr>
          <w:t>196</w:t>
        </w:r>
        <w:r>
          <w:rPr>
            <w:noProof/>
            <w:webHidden/>
          </w:rPr>
          <w:fldChar w:fldCharType="end"/>
        </w:r>
      </w:hyperlink>
    </w:p>
    <w:p w14:paraId="3A4A2D0C" w14:textId="6A26B349" w:rsidR="00274557" w:rsidRDefault="00274557">
      <w:pPr>
        <w:pStyle w:val="TableofFigures"/>
        <w:rPr>
          <w:rFonts w:asciiTheme="minorHAnsi" w:eastAsiaTheme="minorEastAsia" w:hAnsiTheme="minorHAnsi"/>
          <w:noProof/>
          <w:kern w:val="2"/>
          <w:sz w:val="22"/>
          <w14:ligatures w14:val="standardContextual"/>
        </w:rPr>
      </w:pPr>
      <w:hyperlink w:anchor="_Toc192875200" w:history="1">
        <w:r>
          <w:rPr>
            <w:rStyle w:val="Hyperlink"/>
            <w:noProof/>
          </w:rPr>
          <w:t>Table 9</w:t>
        </w:r>
        <w:r>
          <w:rPr>
            <w:rStyle w:val="Hyperlink"/>
            <w:noProof/>
          </w:rPr>
          <w:noBreakHyphen/>
          <w:t>4: Probability Values of Risks</w:t>
        </w:r>
        <w:r>
          <w:rPr>
            <w:noProof/>
            <w:webHidden/>
          </w:rPr>
          <w:tab/>
        </w:r>
        <w:r>
          <w:rPr>
            <w:noProof/>
            <w:webHidden/>
          </w:rPr>
          <w:fldChar w:fldCharType="begin"/>
        </w:r>
        <w:r>
          <w:rPr>
            <w:noProof/>
            <w:webHidden/>
          </w:rPr>
          <w:instrText xml:space="preserve"> PAGEREF _Toc192875200 \h </w:instrText>
        </w:r>
        <w:r>
          <w:rPr>
            <w:noProof/>
            <w:webHidden/>
          </w:rPr>
        </w:r>
        <w:r>
          <w:rPr>
            <w:noProof/>
            <w:webHidden/>
          </w:rPr>
          <w:fldChar w:fldCharType="separate"/>
        </w:r>
        <w:r>
          <w:rPr>
            <w:noProof/>
            <w:webHidden/>
          </w:rPr>
          <w:t>197</w:t>
        </w:r>
        <w:r>
          <w:rPr>
            <w:noProof/>
            <w:webHidden/>
          </w:rPr>
          <w:fldChar w:fldCharType="end"/>
        </w:r>
      </w:hyperlink>
    </w:p>
    <w:p w14:paraId="4AAEE666" w14:textId="18698897" w:rsidR="00274557" w:rsidRDefault="00274557">
      <w:pPr>
        <w:pStyle w:val="TableofFigures"/>
        <w:rPr>
          <w:rFonts w:asciiTheme="minorHAnsi" w:eastAsiaTheme="minorEastAsia" w:hAnsiTheme="minorHAnsi"/>
          <w:noProof/>
          <w:kern w:val="2"/>
          <w:sz w:val="22"/>
          <w14:ligatures w14:val="standardContextual"/>
        </w:rPr>
      </w:pPr>
      <w:hyperlink w:anchor="_Toc192875201" w:history="1">
        <w:r>
          <w:rPr>
            <w:rStyle w:val="Hyperlink"/>
            <w:noProof/>
          </w:rPr>
          <w:t>Table 9</w:t>
        </w:r>
        <w:r>
          <w:rPr>
            <w:rStyle w:val="Hyperlink"/>
            <w:noProof/>
          </w:rPr>
          <w:noBreakHyphen/>
          <w:t>5: Impact Values of Risks</w:t>
        </w:r>
        <w:r>
          <w:rPr>
            <w:noProof/>
            <w:webHidden/>
          </w:rPr>
          <w:tab/>
        </w:r>
        <w:r>
          <w:rPr>
            <w:noProof/>
            <w:webHidden/>
          </w:rPr>
          <w:fldChar w:fldCharType="begin"/>
        </w:r>
        <w:r>
          <w:rPr>
            <w:noProof/>
            <w:webHidden/>
          </w:rPr>
          <w:instrText xml:space="preserve"> PAGEREF _Toc192875201 \h </w:instrText>
        </w:r>
        <w:r>
          <w:rPr>
            <w:noProof/>
            <w:webHidden/>
          </w:rPr>
        </w:r>
        <w:r>
          <w:rPr>
            <w:noProof/>
            <w:webHidden/>
          </w:rPr>
          <w:fldChar w:fldCharType="separate"/>
        </w:r>
        <w:r>
          <w:rPr>
            <w:noProof/>
            <w:webHidden/>
          </w:rPr>
          <w:t>197</w:t>
        </w:r>
        <w:r>
          <w:rPr>
            <w:noProof/>
            <w:webHidden/>
          </w:rPr>
          <w:fldChar w:fldCharType="end"/>
        </w:r>
      </w:hyperlink>
    </w:p>
    <w:p w14:paraId="32C9A402" w14:textId="69DE51CE" w:rsidR="00274557" w:rsidRDefault="00274557">
      <w:pPr>
        <w:pStyle w:val="TableofFigures"/>
        <w:rPr>
          <w:rFonts w:asciiTheme="minorHAnsi" w:eastAsiaTheme="minorEastAsia" w:hAnsiTheme="minorHAnsi"/>
          <w:noProof/>
          <w:kern w:val="2"/>
          <w:sz w:val="22"/>
          <w14:ligatures w14:val="standardContextual"/>
        </w:rPr>
      </w:pPr>
      <w:hyperlink w:anchor="_Toc192875202" w:history="1">
        <w:r>
          <w:rPr>
            <w:rStyle w:val="Hyperlink"/>
            <w:noProof/>
          </w:rPr>
          <w:t>Table 9</w:t>
        </w:r>
        <w:r>
          <w:rPr>
            <w:rStyle w:val="Hyperlink"/>
            <w:noProof/>
          </w:rPr>
          <w:noBreakHyphen/>
          <w:t>6: Impact x Probability Matrix to Calculate Risk Severity</w:t>
        </w:r>
        <w:r>
          <w:rPr>
            <w:noProof/>
            <w:webHidden/>
          </w:rPr>
          <w:tab/>
        </w:r>
        <w:r>
          <w:rPr>
            <w:noProof/>
            <w:webHidden/>
          </w:rPr>
          <w:fldChar w:fldCharType="begin"/>
        </w:r>
        <w:r>
          <w:rPr>
            <w:noProof/>
            <w:webHidden/>
          </w:rPr>
          <w:instrText xml:space="preserve"> PAGEREF _Toc192875202 \h </w:instrText>
        </w:r>
        <w:r>
          <w:rPr>
            <w:noProof/>
            <w:webHidden/>
          </w:rPr>
        </w:r>
        <w:r>
          <w:rPr>
            <w:noProof/>
            <w:webHidden/>
          </w:rPr>
          <w:fldChar w:fldCharType="separate"/>
        </w:r>
        <w:r>
          <w:rPr>
            <w:noProof/>
            <w:webHidden/>
          </w:rPr>
          <w:t>197</w:t>
        </w:r>
        <w:r>
          <w:rPr>
            <w:noProof/>
            <w:webHidden/>
          </w:rPr>
          <w:fldChar w:fldCharType="end"/>
        </w:r>
      </w:hyperlink>
    </w:p>
    <w:p w14:paraId="7CA5A91B" w14:textId="4348AF9B" w:rsidR="00274557" w:rsidRDefault="00274557">
      <w:pPr>
        <w:pStyle w:val="TableofFigures"/>
        <w:rPr>
          <w:rFonts w:asciiTheme="minorHAnsi" w:eastAsiaTheme="minorEastAsia" w:hAnsiTheme="minorHAnsi"/>
          <w:noProof/>
          <w:kern w:val="2"/>
          <w:sz w:val="22"/>
          <w14:ligatures w14:val="standardContextual"/>
        </w:rPr>
      </w:pPr>
      <w:hyperlink w:anchor="_Toc192875203" w:history="1">
        <w:r>
          <w:rPr>
            <w:rStyle w:val="Hyperlink"/>
            <w:noProof/>
          </w:rPr>
          <w:t>Table 9</w:t>
        </w:r>
        <w:r>
          <w:rPr>
            <w:rStyle w:val="Hyperlink"/>
            <w:noProof/>
          </w:rPr>
          <w:noBreakHyphen/>
          <w:t>7: Issue Resolution Process Flow Narrative</w:t>
        </w:r>
        <w:r>
          <w:rPr>
            <w:noProof/>
            <w:webHidden/>
          </w:rPr>
          <w:tab/>
        </w:r>
        <w:r>
          <w:rPr>
            <w:noProof/>
            <w:webHidden/>
          </w:rPr>
          <w:fldChar w:fldCharType="begin"/>
        </w:r>
        <w:r>
          <w:rPr>
            <w:noProof/>
            <w:webHidden/>
          </w:rPr>
          <w:instrText xml:space="preserve"> PAGEREF _Toc192875203 \h </w:instrText>
        </w:r>
        <w:r>
          <w:rPr>
            <w:noProof/>
            <w:webHidden/>
          </w:rPr>
        </w:r>
        <w:r>
          <w:rPr>
            <w:noProof/>
            <w:webHidden/>
          </w:rPr>
          <w:fldChar w:fldCharType="separate"/>
        </w:r>
        <w:r>
          <w:rPr>
            <w:noProof/>
            <w:webHidden/>
          </w:rPr>
          <w:t>201</w:t>
        </w:r>
        <w:r>
          <w:rPr>
            <w:noProof/>
            <w:webHidden/>
          </w:rPr>
          <w:fldChar w:fldCharType="end"/>
        </w:r>
      </w:hyperlink>
    </w:p>
    <w:p w14:paraId="7A555C7A" w14:textId="35A9531C" w:rsidR="00274557" w:rsidRDefault="00274557">
      <w:pPr>
        <w:pStyle w:val="TableofFigures"/>
        <w:rPr>
          <w:rFonts w:asciiTheme="minorHAnsi" w:eastAsiaTheme="minorEastAsia" w:hAnsiTheme="minorHAnsi"/>
          <w:noProof/>
          <w:kern w:val="2"/>
          <w:sz w:val="22"/>
          <w14:ligatures w14:val="standardContextual"/>
        </w:rPr>
      </w:pPr>
      <w:hyperlink w:anchor="_Toc192875204" w:history="1">
        <w:r>
          <w:rPr>
            <w:rStyle w:val="Hyperlink"/>
            <w:noProof/>
          </w:rPr>
          <w:t>Table 9</w:t>
        </w:r>
        <w:r>
          <w:rPr>
            <w:rStyle w:val="Hyperlink"/>
            <w:noProof/>
          </w:rPr>
          <w:noBreakHyphen/>
          <w:t>8:Issue Status</w:t>
        </w:r>
        <w:r>
          <w:rPr>
            <w:noProof/>
            <w:webHidden/>
          </w:rPr>
          <w:tab/>
        </w:r>
        <w:r>
          <w:rPr>
            <w:noProof/>
            <w:webHidden/>
          </w:rPr>
          <w:fldChar w:fldCharType="begin"/>
        </w:r>
        <w:r>
          <w:rPr>
            <w:noProof/>
            <w:webHidden/>
          </w:rPr>
          <w:instrText xml:space="preserve"> PAGEREF _Toc192875204 \h </w:instrText>
        </w:r>
        <w:r>
          <w:rPr>
            <w:noProof/>
            <w:webHidden/>
          </w:rPr>
        </w:r>
        <w:r>
          <w:rPr>
            <w:noProof/>
            <w:webHidden/>
          </w:rPr>
          <w:fldChar w:fldCharType="separate"/>
        </w:r>
        <w:r>
          <w:rPr>
            <w:noProof/>
            <w:webHidden/>
          </w:rPr>
          <w:t>202</w:t>
        </w:r>
        <w:r>
          <w:rPr>
            <w:noProof/>
            <w:webHidden/>
          </w:rPr>
          <w:fldChar w:fldCharType="end"/>
        </w:r>
      </w:hyperlink>
    </w:p>
    <w:p w14:paraId="37C9B546" w14:textId="5A2FAD34" w:rsidR="00274557" w:rsidRDefault="00274557">
      <w:pPr>
        <w:pStyle w:val="TableofFigures"/>
        <w:rPr>
          <w:rFonts w:asciiTheme="minorHAnsi" w:eastAsiaTheme="minorEastAsia" w:hAnsiTheme="minorHAnsi"/>
          <w:noProof/>
          <w:kern w:val="2"/>
          <w:sz w:val="22"/>
          <w14:ligatures w14:val="standardContextual"/>
        </w:rPr>
      </w:pPr>
      <w:hyperlink w:anchor="_Toc192875205" w:history="1">
        <w:r>
          <w:rPr>
            <w:rStyle w:val="Hyperlink"/>
            <w:noProof/>
          </w:rPr>
          <w:t>Table 9</w:t>
        </w:r>
        <w:r>
          <w:rPr>
            <w:rStyle w:val="Hyperlink"/>
            <w:noProof/>
          </w:rPr>
          <w:noBreakHyphen/>
          <w:t>9: Action Item Management Process Flow Narrative</w:t>
        </w:r>
        <w:r>
          <w:rPr>
            <w:noProof/>
            <w:webHidden/>
          </w:rPr>
          <w:tab/>
        </w:r>
        <w:r>
          <w:rPr>
            <w:noProof/>
            <w:webHidden/>
          </w:rPr>
          <w:fldChar w:fldCharType="begin"/>
        </w:r>
        <w:r>
          <w:rPr>
            <w:noProof/>
            <w:webHidden/>
          </w:rPr>
          <w:instrText xml:space="preserve"> PAGEREF _Toc192875205 \h </w:instrText>
        </w:r>
        <w:r>
          <w:rPr>
            <w:noProof/>
            <w:webHidden/>
          </w:rPr>
        </w:r>
        <w:r>
          <w:rPr>
            <w:noProof/>
            <w:webHidden/>
          </w:rPr>
          <w:fldChar w:fldCharType="separate"/>
        </w:r>
        <w:r>
          <w:rPr>
            <w:noProof/>
            <w:webHidden/>
          </w:rPr>
          <w:t>205</w:t>
        </w:r>
        <w:r>
          <w:rPr>
            <w:noProof/>
            <w:webHidden/>
          </w:rPr>
          <w:fldChar w:fldCharType="end"/>
        </w:r>
      </w:hyperlink>
    </w:p>
    <w:p w14:paraId="503C0922" w14:textId="75AEDABC" w:rsidR="00274557" w:rsidRDefault="00274557">
      <w:pPr>
        <w:pStyle w:val="TableofFigures"/>
        <w:rPr>
          <w:rFonts w:asciiTheme="minorHAnsi" w:eastAsiaTheme="minorEastAsia" w:hAnsiTheme="minorHAnsi"/>
          <w:noProof/>
          <w:kern w:val="2"/>
          <w:sz w:val="22"/>
          <w14:ligatures w14:val="standardContextual"/>
        </w:rPr>
      </w:pPr>
      <w:hyperlink w:anchor="_Toc192875206" w:history="1">
        <w:r>
          <w:rPr>
            <w:rStyle w:val="Hyperlink"/>
            <w:noProof/>
          </w:rPr>
          <w:t>Table 9</w:t>
        </w:r>
        <w:r>
          <w:rPr>
            <w:rStyle w:val="Hyperlink"/>
            <w:noProof/>
          </w:rPr>
          <w:noBreakHyphen/>
          <w:t>11: Action Item Types</w:t>
        </w:r>
        <w:r>
          <w:rPr>
            <w:noProof/>
            <w:webHidden/>
          </w:rPr>
          <w:tab/>
        </w:r>
        <w:r>
          <w:rPr>
            <w:noProof/>
            <w:webHidden/>
          </w:rPr>
          <w:fldChar w:fldCharType="begin"/>
        </w:r>
        <w:r>
          <w:rPr>
            <w:noProof/>
            <w:webHidden/>
          </w:rPr>
          <w:instrText xml:space="preserve"> PAGEREF _Toc192875206 \h </w:instrText>
        </w:r>
        <w:r>
          <w:rPr>
            <w:noProof/>
            <w:webHidden/>
          </w:rPr>
        </w:r>
        <w:r>
          <w:rPr>
            <w:noProof/>
            <w:webHidden/>
          </w:rPr>
          <w:fldChar w:fldCharType="separate"/>
        </w:r>
        <w:r>
          <w:rPr>
            <w:noProof/>
            <w:webHidden/>
          </w:rPr>
          <w:t>206</w:t>
        </w:r>
        <w:r>
          <w:rPr>
            <w:noProof/>
            <w:webHidden/>
          </w:rPr>
          <w:fldChar w:fldCharType="end"/>
        </w:r>
      </w:hyperlink>
    </w:p>
    <w:p w14:paraId="2A373ADD" w14:textId="53945418" w:rsidR="00274557" w:rsidRDefault="00274557">
      <w:pPr>
        <w:pStyle w:val="TableofFigures"/>
        <w:rPr>
          <w:rFonts w:asciiTheme="minorHAnsi" w:eastAsiaTheme="minorEastAsia" w:hAnsiTheme="minorHAnsi"/>
          <w:noProof/>
          <w:kern w:val="2"/>
          <w:sz w:val="22"/>
          <w14:ligatures w14:val="standardContextual"/>
        </w:rPr>
      </w:pPr>
      <w:hyperlink w:anchor="_Toc192875207" w:history="1">
        <w:r>
          <w:rPr>
            <w:rStyle w:val="Hyperlink"/>
            <w:noProof/>
          </w:rPr>
          <w:t>Table 9</w:t>
        </w:r>
        <w:r>
          <w:rPr>
            <w:rStyle w:val="Hyperlink"/>
            <w:noProof/>
          </w:rPr>
          <w:noBreakHyphen/>
          <w:t>12: Action Item Status</w:t>
        </w:r>
        <w:r>
          <w:rPr>
            <w:noProof/>
            <w:webHidden/>
          </w:rPr>
          <w:tab/>
        </w:r>
        <w:r>
          <w:rPr>
            <w:noProof/>
            <w:webHidden/>
          </w:rPr>
          <w:fldChar w:fldCharType="begin"/>
        </w:r>
        <w:r>
          <w:rPr>
            <w:noProof/>
            <w:webHidden/>
          </w:rPr>
          <w:instrText xml:space="preserve"> PAGEREF _Toc192875207 \h </w:instrText>
        </w:r>
        <w:r>
          <w:rPr>
            <w:noProof/>
            <w:webHidden/>
          </w:rPr>
        </w:r>
        <w:r>
          <w:rPr>
            <w:noProof/>
            <w:webHidden/>
          </w:rPr>
          <w:fldChar w:fldCharType="separate"/>
        </w:r>
        <w:r>
          <w:rPr>
            <w:noProof/>
            <w:webHidden/>
          </w:rPr>
          <w:t>207</w:t>
        </w:r>
        <w:r>
          <w:rPr>
            <w:noProof/>
            <w:webHidden/>
          </w:rPr>
          <w:fldChar w:fldCharType="end"/>
        </w:r>
      </w:hyperlink>
    </w:p>
    <w:p w14:paraId="23D9FE23" w14:textId="1DE35210" w:rsidR="00274557" w:rsidRDefault="00274557">
      <w:pPr>
        <w:pStyle w:val="TableofFigures"/>
        <w:rPr>
          <w:rFonts w:asciiTheme="minorHAnsi" w:eastAsiaTheme="minorEastAsia" w:hAnsiTheme="minorHAnsi"/>
          <w:noProof/>
          <w:kern w:val="2"/>
          <w:sz w:val="22"/>
          <w14:ligatures w14:val="standardContextual"/>
        </w:rPr>
      </w:pPr>
      <w:hyperlink w:anchor="_Toc192875208" w:history="1">
        <w:r>
          <w:rPr>
            <w:rStyle w:val="Hyperlink"/>
            <w:noProof/>
          </w:rPr>
          <w:t>Table 9</w:t>
        </w:r>
        <w:r>
          <w:rPr>
            <w:rStyle w:val="Hyperlink"/>
            <w:noProof/>
          </w:rPr>
          <w:noBreakHyphen/>
          <w:t>13: Decision Management Process Flow Narrative</w:t>
        </w:r>
        <w:r>
          <w:rPr>
            <w:noProof/>
            <w:webHidden/>
          </w:rPr>
          <w:tab/>
        </w:r>
        <w:r>
          <w:rPr>
            <w:noProof/>
            <w:webHidden/>
          </w:rPr>
          <w:fldChar w:fldCharType="begin"/>
        </w:r>
        <w:r>
          <w:rPr>
            <w:noProof/>
            <w:webHidden/>
          </w:rPr>
          <w:instrText xml:space="preserve"> PAGEREF _Toc192875208 \h </w:instrText>
        </w:r>
        <w:r>
          <w:rPr>
            <w:noProof/>
            <w:webHidden/>
          </w:rPr>
        </w:r>
        <w:r>
          <w:rPr>
            <w:noProof/>
            <w:webHidden/>
          </w:rPr>
          <w:fldChar w:fldCharType="separate"/>
        </w:r>
        <w:r>
          <w:rPr>
            <w:noProof/>
            <w:webHidden/>
          </w:rPr>
          <w:t>208</w:t>
        </w:r>
        <w:r>
          <w:rPr>
            <w:noProof/>
            <w:webHidden/>
          </w:rPr>
          <w:fldChar w:fldCharType="end"/>
        </w:r>
      </w:hyperlink>
    </w:p>
    <w:p w14:paraId="7CF753FC" w14:textId="6B349277" w:rsidR="00274557" w:rsidRDefault="00274557">
      <w:pPr>
        <w:pStyle w:val="TableofFigures"/>
        <w:rPr>
          <w:rFonts w:asciiTheme="minorHAnsi" w:eastAsiaTheme="minorEastAsia" w:hAnsiTheme="minorHAnsi"/>
          <w:noProof/>
          <w:kern w:val="2"/>
          <w:sz w:val="22"/>
          <w14:ligatures w14:val="standardContextual"/>
        </w:rPr>
      </w:pPr>
      <w:hyperlink w:anchor="_Toc192875209" w:history="1">
        <w:r>
          <w:rPr>
            <w:rStyle w:val="Hyperlink"/>
            <w:noProof/>
          </w:rPr>
          <w:t>Table 10</w:t>
        </w:r>
        <w:r>
          <w:rPr>
            <w:rStyle w:val="Hyperlink"/>
            <w:noProof/>
          </w:rPr>
          <w:noBreakHyphen/>
          <w:t>1: Process Steps for Initiation/Change Identification of Change Requests</w:t>
        </w:r>
        <w:r>
          <w:rPr>
            <w:noProof/>
            <w:webHidden/>
          </w:rPr>
          <w:tab/>
        </w:r>
        <w:r>
          <w:rPr>
            <w:noProof/>
            <w:webHidden/>
          </w:rPr>
          <w:fldChar w:fldCharType="begin"/>
        </w:r>
        <w:r>
          <w:rPr>
            <w:noProof/>
            <w:webHidden/>
          </w:rPr>
          <w:instrText xml:space="preserve"> PAGEREF _Toc192875209 \h </w:instrText>
        </w:r>
        <w:r>
          <w:rPr>
            <w:noProof/>
            <w:webHidden/>
          </w:rPr>
        </w:r>
        <w:r>
          <w:rPr>
            <w:noProof/>
            <w:webHidden/>
          </w:rPr>
          <w:fldChar w:fldCharType="separate"/>
        </w:r>
        <w:r>
          <w:rPr>
            <w:noProof/>
            <w:webHidden/>
          </w:rPr>
          <w:t>214</w:t>
        </w:r>
        <w:r>
          <w:rPr>
            <w:noProof/>
            <w:webHidden/>
          </w:rPr>
          <w:fldChar w:fldCharType="end"/>
        </w:r>
      </w:hyperlink>
    </w:p>
    <w:p w14:paraId="375DF17E" w14:textId="00ECC946" w:rsidR="00274557" w:rsidRDefault="00274557">
      <w:pPr>
        <w:pStyle w:val="TableofFigures"/>
        <w:rPr>
          <w:rFonts w:asciiTheme="minorHAnsi" w:eastAsiaTheme="minorEastAsia" w:hAnsiTheme="minorHAnsi"/>
          <w:noProof/>
          <w:kern w:val="2"/>
          <w:sz w:val="22"/>
          <w14:ligatures w14:val="standardContextual"/>
        </w:rPr>
      </w:pPr>
      <w:hyperlink w:anchor="_Toc192875210" w:history="1">
        <w:r>
          <w:rPr>
            <w:rStyle w:val="Hyperlink"/>
            <w:noProof/>
          </w:rPr>
          <w:t>Table 10</w:t>
        </w:r>
        <w:r>
          <w:rPr>
            <w:rStyle w:val="Hyperlink"/>
            <w:noProof/>
          </w:rPr>
          <w:noBreakHyphen/>
          <w:t>2: Process Steps for Change Request Evaluation</w:t>
        </w:r>
        <w:r>
          <w:rPr>
            <w:noProof/>
            <w:webHidden/>
          </w:rPr>
          <w:tab/>
        </w:r>
        <w:r>
          <w:rPr>
            <w:noProof/>
            <w:webHidden/>
          </w:rPr>
          <w:fldChar w:fldCharType="begin"/>
        </w:r>
        <w:r>
          <w:rPr>
            <w:noProof/>
            <w:webHidden/>
          </w:rPr>
          <w:instrText xml:space="preserve"> PAGEREF _Toc192875210 \h </w:instrText>
        </w:r>
        <w:r>
          <w:rPr>
            <w:noProof/>
            <w:webHidden/>
          </w:rPr>
        </w:r>
        <w:r>
          <w:rPr>
            <w:noProof/>
            <w:webHidden/>
          </w:rPr>
          <w:fldChar w:fldCharType="separate"/>
        </w:r>
        <w:r>
          <w:rPr>
            <w:noProof/>
            <w:webHidden/>
          </w:rPr>
          <w:t>218</w:t>
        </w:r>
        <w:r>
          <w:rPr>
            <w:noProof/>
            <w:webHidden/>
          </w:rPr>
          <w:fldChar w:fldCharType="end"/>
        </w:r>
      </w:hyperlink>
    </w:p>
    <w:p w14:paraId="2A064DDC" w14:textId="607BDB26" w:rsidR="00274557" w:rsidRDefault="00274557">
      <w:pPr>
        <w:pStyle w:val="TableofFigures"/>
        <w:rPr>
          <w:rFonts w:asciiTheme="minorHAnsi" w:eastAsiaTheme="minorEastAsia" w:hAnsiTheme="minorHAnsi"/>
          <w:noProof/>
          <w:kern w:val="2"/>
          <w:sz w:val="22"/>
          <w14:ligatures w14:val="standardContextual"/>
        </w:rPr>
      </w:pPr>
      <w:hyperlink w:anchor="_Toc192875211" w:history="1">
        <w:r>
          <w:rPr>
            <w:rStyle w:val="Hyperlink"/>
            <w:noProof/>
          </w:rPr>
          <w:t>Table 10</w:t>
        </w:r>
        <w:r>
          <w:rPr>
            <w:rStyle w:val="Hyperlink"/>
            <w:noProof/>
          </w:rPr>
          <w:noBreakHyphen/>
          <w:t>3: Change Request Implementation Process</w:t>
        </w:r>
        <w:r>
          <w:rPr>
            <w:noProof/>
            <w:webHidden/>
          </w:rPr>
          <w:tab/>
        </w:r>
        <w:r>
          <w:rPr>
            <w:noProof/>
            <w:webHidden/>
          </w:rPr>
          <w:fldChar w:fldCharType="begin"/>
        </w:r>
        <w:r>
          <w:rPr>
            <w:noProof/>
            <w:webHidden/>
          </w:rPr>
          <w:instrText xml:space="preserve"> PAGEREF _Toc192875211 \h </w:instrText>
        </w:r>
        <w:r>
          <w:rPr>
            <w:noProof/>
            <w:webHidden/>
          </w:rPr>
        </w:r>
        <w:r>
          <w:rPr>
            <w:noProof/>
            <w:webHidden/>
          </w:rPr>
          <w:fldChar w:fldCharType="separate"/>
        </w:r>
        <w:r>
          <w:rPr>
            <w:noProof/>
            <w:webHidden/>
          </w:rPr>
          <w:t>218</w:t>
        </w:r>
        <w:r>
          <w:rPr>
            <w:noProof/>
            <w:webHidden/>
          </w:rPr>
          <w:fldChar w:fldCharType="end"/>
        </w:r>
      </w:hyperlink>
    </w:p>
    <w:p w14:paraId="4EE5B7A7" w14:textId="61FB1510" w:rsidR="00274557" w:rsidRDefault="00274557">
      <w:pPr>
        <w:pStyle w:val="TableofFigures"/>
        <w:rPr>
          <w:rFonts w:asciiTheme="minorHAnsi" w:eastAsiaTheme="minorEastAsia" w:hAnsiTheme="minorHAnsi"/>
          <w:noProof/>
          <w:kern w:val="2"/>
          <w:sz w:val="22"/>
          <w14:ligatures w14:val="standardContextual"/>
        </w:rPr>
      </w:pPr>
      <w:hyperlink w:anchor="_Toc192875212" w:history="1">
        <w:r>
          <w:rPr>
            <w:rStyle w:val="Hyperlink"/>
            <w:noProof/>
          </w:rPr>
          <w:t>Table 10</w:t>
        </w:r>
        <w:r>
          <w:rPr>
            <w:rStyle w:val="Hyperlink"/>
            <w:noProof/>
          </w:rPr>
          <w:noBreakHyphen/>
          <w:t>4: Change Request Statuses</w:t>
        </w:r>
        <w:r>
          <w:rPr>
            <w:noProof/>
            <w:webHidden/>
          </w:rPr>
          <w:tab/>
        </w:r>
        <w:r>
          <w:rPr>
            <w:noProof/>
            <w:webHidden/>
          </w:rPr>
          <w:fldChar w:fldCharType="begin"/>
        </w:r>
        <w:r>
          <w:rPr>
            <w:noProof/>
            <w:webHidden/>
          </w:rPr>
          <w:instrText xml:space="preserve"> PAGEREF _Toc192875212 \h </w:instrText>
        </w:r>
        <w:r>
          <w:rPr>
            <w:noProof/>
            <w:webHidden/>
          </w:rPr>
        </w:r>
        <w:r>
          <w:rPr>
            <w:noProof/>
            <w:webHidden/>
          </w:rPr>
          <w:fldChar w:fldCharType="separate"/>
        </w:r>
        <w:r>
          <w:rPr>
            <w:noProof/>
            <w:webHidden/>
          </w:rPr>
          <w:t>219</w:t>
        </w:r>
        <w:r>
          <w:rPr>
            <w:noProof/>
            <w:webHidden/>
          </w:rPr>
          <w:fldChar w:fldCharType="end"/>
        </w:r>
      </w:hyperlink>
    </w:p>
    <w:p w14:paraId="5DC36D7D" w14:textId="7244E029" w:rsidR="00274557" w:rsidRDefault="00274557">
      <w:pPr>
        <w:pStyle w:val="TableofFigures"/>
        <w:rPr>
          <w:rFonts w:asciiTheme="minorHAnsi" w:eastAsiaTheme="minorEastAsia" w:hAnsiTheme="minorHAnsi"/>
          <w:noProof/>
          <w:kern w:val="2"/>
          <w:sz w:val="22"/>
          <w14:ligatures w14:val="standardContextual"/>
        </w:rPr>
      </w:pPr>
      <w:hyperlink w:anchor="_Toc192875213" w:history="1">
        <w:r>
          <w:rPr>
            <w:rStyle w:val="Hyperlink"/>
            <w:noProof/>
          </w:rPr>
          <w:t>Table 10</w:t>
        </w:r>
        <w:r>
          <w:rPr>
            <w:rStyle w:val="Hyperlink"/>
            <w:noProof/>
          </w:rPr>
          <w:noBreakHyphen/>
          <w:t>5: Change Control Tools</w:t>
        </w:r>
        <w:r>
          <w:rPr>
            <w:noProof/>
            <w:webHidden/>
          </w:rPr>
          <w:tab/>
        </w:r>
        <w:r>
          <w:rPr>
            <w:noProof/>
            <w:webHidden/>
          </w:rPr>
          <w:fldChar w:fldCharType="begin"/>
        </w:r>
        <w:r>
          <w:rPr>
            <w:noProof/>
            <w:webHidden/>
          </w:rPr>
          <w:instrText xml:space="preserve"> PAGEREF _Toc192875213 \h </w:instrText>
        </w:r>
        <w:r>
          <w:rPr>
            <w:noProof/>
            <w:webHidden/>
          </w:rPr>
        </w:r>
        <w:r>
          <w:rPr>
            <w:noProof/>
            <w:webHidden/>
          </w:rPr>
          <w:fldChar w:fldCharType="separate"/>
        </w:r>
        <w:r>
          <w:rPr>
            <w:noProof/>
            <w:webHidden/>
          </w:rPr>
          <w:t>221</w:t>
        </w:r>
        <w:r>
          <w:rPr>
            <w:noProof/>
            <w:webHidden/>
          </w:rPr>
          <w:fldChar w:fldCharType="end"/>
        </w:r>
      </w:hyperlink>
    </w:p>
    <w:p w14:paraId="2D4C3CDD" w14:textId="03FB06F9" w:rsidR="00274557" w:rsidRDefault="00274557">
      <w:pPr>
        <w:pStyle w:val="TableofFigures"/>
        <w:rPr>
          <w:rFonts w:asciiTheme="minorHAnsi" w:eastAsiaTheme="minorEastAsia" w:hAnsiTheme="minorHAnsi"/>
          <w:noProof/>
          <w:kern w:val="2"/>
          <w:sz w:val="22"/>
          <w14:ligatures w14:val="standardContextual"/>
        </w:rPr>
      </w:pPr>
      <w:hyperlink w:anchor="_Toc192875214" w:history="1">
        <w:r>
          <w:rPr>
            <w:rStyle w:val="Hyperlink"/>
            <w:noProof/>
            <w:shd w:val="clear" w:color="auto" w:fill="FFFFFF"/>
          </w:rPr>
          <w:t>Table 11</w:t>
        </w:r>
        <w:r>
          <w:rPr>
            <w:rStyle w:val="Hyperlink"/>
            <w:noProof/>
            <w:shd w:val="clear" w:color="auto" w:fill="FFFFFF"/>
          </w:rPr>
          <w:noBreakHyphen/>
          <w:t>1: Schedule Management Process Flow Narrative</w:t>
        </w:r>
        <w:r>
          <w:rPr>
            <w:noProof/>
            <w:webHidden/>
          </w:rPr>
          <w:tab/>
        </w:r>
        <w:r>
          <w:rPr>
            <w:noProof/>
            <w:webHidden/>
          </w:rPr>
          <w:fldChar w:fldCharType="begin"/>
        </w:r>
        <w:r>
          <w:rPr>
            <w:noProof/>
            <w:webHidden/>
          </w:rPr>
          <w:instrText xml:space="preserve"> PAGEREF _Toc192875214 \h </w:instrText>
        </w:r>
        <w:r>
          <w:rPr>
            <w:noProof/>
            <w:webHidden/>
          </w:rPr>
        </w:r>
        <w:r>
          <w:rPr>
            <w:noProof/>
            <w:webHidden/>
          </w:rPr>
          <w:fldChar w:fldCharType="separate"/>
        </w:r>
        <w:r>
          <w:rPr>
            <w:noProof/>
            <w:webHidden/>
          </w:rPr>
          <w:t>227</w:t>
        </w:r>
        <w:r>
          <w:rPr>
            <w:noProof/>
            <w:webHidden/>
          </w:rPr>
          <w:fldChar w:fldCharType="end"/>
        </w:r>
      </w:hyperlink>
    </w:p>
    <w:p w14:paraId="60C7A5B4" w14:textId="7D9A9AF5" w:rsidR="00274557" w:rsidRDefault="00274557">
      <w:pPr>
        <w:pStyle w:val="TableofFigures"/>
        <w:rPr>
          <w:rFonts w:asciiTheme="minorHAnsi" w:eastAsiaTheme="minorEastAsia" w:hAnsiTheme="minorHAnsi"/>
          <w:noProof/>
          <w:kern w:val="2"/>
          <w:sz w:val="22"/>
          <w14:ligatures w14:val="standardContextual"/>
        </w:rPr>
      </w:pPr>
      <w:hyperlink w:anchor="_Toc192875215" w:history="1">
        <w:r>
          <w:rPr>
            <w:rStyle w:val="Hyperlink"/>
            <w:noProof/>
            <w:shd w:val="clear" w:color="auto" w:fill="FFFFFF"/>
          </w:rPr>
          <w:t>Table 11</w:t>
        </w:r>
        <w:r>
          <w:rPr>
            <w:rStyle w:val="Hyperlink"/>
            <w:noProof/>
            <w:shd w:val="clear" w:color="auto" w:fill="FFFFFF"/>
          </w:rPr>
          <w:noBreakHyphen/>
          <w:t>2: SPI Variance Types</w:t>
        </w:r>
        <w:r>
          <w:rPr>
            <w:noProof/>
            <w:webHidden/>
          </w:rPr>
          <w:tab/>
        </w:r>
        <w:r>
          <w:rPr>
            <w:noProof/>
            <w:webHidden/>
          </w:rPr>
          <w:fldChar w:fldCharType="begin"/>
        </w:r>
        <w:r>
          <w:rPr>
            <w:noProof/>
            <w:webHidden/>
          </w:rPr>
          <w:instrText xml:space="preserve"> PAGEREF _Toc192875215 \h </w:instrText>
        </w:r>
        <w:r>
          <w:rPr>
            <w:noProof/>
            <w:webHidden/>
          </w:rPr>
        </w:r>
        <w:r>
          <w:rPr>
            <w:noProof/>
            <w:webHidden/>
          </w:rPr>
          <w:fldChar w:fldCharType="separate"/>
        </w:r>
        <w:r>
          <w:rPr>
            <w:noProof/>
            <w:webHidden/>
          </w:rPr>
          <w:t>228</w:t>
        </w:r>
        <w:r>
          <w:rPr>
            <w:noProof/>
            <w:webHidden/>
          </w:rPr>
          <w:fldChar w:fldCharType="end"/>
        </w:r>
      </w:hyperlink>
    </w:p>
    <w:p w14:paraId="662CC5CD" w14:textId="42A8339E" w:rsidR="00274557" w:rsidRDefault="00274557">
      <w:pPr>
        <w:pStyle w:val="TableofFigures"/>
        <w:rPr>
          <w:rFonts w:asciiTheme="minorHAnsi" w:eastAsiaTheme="minorEastAsia" w:hAnsiTheme="minorHAnsi"/>
          <w:noProof/>
          <w:kern w:val="2"/>
          <w:sz w:val="22"/>
          <w14:ligatures w14:val="standardContextual"/>
        </w:rPr>
      </w:pPr>
      <w:hyperlink w:anchor="_Toc192875216" w:history="1">
        <w:r>
          <w:rPr>
            <w:rStyle w:val="Hyperlink"/>
            <w:noProof/>
            <w:shd w:val="clear" w:color="auto" w:fill="FFFFFF"/>
          </w:rPr>
          <w:t>Table 11</w:t>
        </w:r>
        <w:r>
          <w:rPr>
            <w:rStyle w:val="Hyperlink"/>
            <w:noProof/>
            <w:shd w:val="clear" w:color="auto" w:fill="FFFFFF"/>
          </w:rPr>
          <w:noBreakHyphen/>
          <w:t>3: Standard Fields</w:t>
        </w:r>
        <w:r>
          <w:rPr>
            <w:noProof/>
            <w:webHidden/>
          </w:rPr>
          <w:tab/>
        </w:r>
        <w:r>
          <w:rPr>
            <w:noProof/>
            <w:webHidden/>
          </w:rPr>
          <w:fldChar w:fldCharType="begin"/>
        </w:r>
        <w:r>
          <w:rPr>
            <w:noProof/>
            <w:webHidden/>
          </w:rPr>
          <w:instrText xml:space="preserve"> PAGEREF _Toc192875216 \h </w:instrText>
        </w:r>
        <w:r>
          <w:rPr>
            <w:noProof/>
            <w:webHidden/>
          </w:rPr>
        </w:r>
        <w:r>
          <w:rPr>
            <w:noProof/>
            <w:webHidden/>
          </w:rPr>
          <w:fldChar w:fldCharType="separate"/>
        </w:r>
        <w:r>
          <w:rPr>
            <w:noProof/>
            <w:webHidden/>
          </w:rPr>
          <w:t>231</w:t>
        </w:r>
        <w:r>
          <w:rPr>
            <w:noProof/>
            <w:webHidden/>
          </w:rPr>
          <w:fldChar w:fldCharType="end"/>
        </w:r>
      </w:hyperlink>
    </w:p>
    <w:p w14:paraId="5EAD3A63" w14:textId="3D95CEB8" w:rsidR="00274557" w:rsidRDefault="00274557">
      <w:pPr>
        <w:pStyle w:val="TableofFigures"/>
        <w:rPr>
          <w:rFonts w:asciiTheme="minorHAnsi" w:eastAsiaTheme="minorEastAsia" w:hAnsiTheme="minorHAnsi"/>
          <w:noProof/>
          <w:kern w:val="2"/>
          <w:sz w:val="22"/>
          <w14:ligatures w14:val="standardContextual"/>
        </w:rPr>
      </w:pPr>
      <w:hyperlink w:anchor="_Toc192875217" w:history="1">
        <w:r>
          <w:rPr>
            <w:rStyle w:val="Hyperlink"/>
            <w:noProof/>
            <w:shd w:val="clear" w:color="auto" w:fill="FFFFFF"/>
          </w:rPr>
          <w:t>Table 11</w:t>
        </w:r>
        <w:r>
          <w:rPr>
            <w:rStyle w:val="Hyperlink"/>
            <w:noProof/>
            <w:shd w:val="clear" w:color="auto" w:fill="FFFFFF"/>
          </w:rPr>
          <w:noBreakHyphen/>
          <w:t>4: Quality Checks</w:t>
        </w:r>
        <w:r>
          <w:rPr>
            <w:noProof/>
            <w:webHidden/>
          </w:rPr>
          <w:tab/>
        </w:r>
        <w:r>
          <w:rPr>
            <w:noProof/>
            <w:webHidden/>
          </w:rPr>
          <w:fldChar w:fldCharType="begin"/>
        </w:r>
        <w:r>
          <w:rPr>
            <w:noProof/>
            <w:webHidden/>
          </w:rPr>
          <w:instrText xml:space="preserve"> PAGEREF _Toc192875217 \h </w:instrText>
        </w:r>
        <w:r>
          <w:rPr>
            <w:noProof/>
            <w:webHidden/>
          </w:rPr>
        </w:r>
        <w:r>
          <w:rPr>
            <w:noProof/>
            <w:webHidden/>
          </w:rPr>
          <w:fldChar w:fldCharType="separate"/>
        </w:r>
        <w:r>
          <w:rPr>
            <w:noProof/>
            <w:webHidden/>
          </w:rPr>
          <w:t>233</w:t>
        </w:r>
        <w:r>
          <w:rPr>
            <w:noProof/>
            <w:webHidden/>
          </w:rPr>
          <w:fldChar w:fldCharType="end"/>
        </w:r>
      </w:hyperlink>
    </w:p>
    <w:p w14:paraId="36A5DDE7" w14:textId="4EB90414" w:rsidR="00274557" w:rsidRDefault="00274557">
      <w:pPr>
        <w:pStyle w:val="TableofFigures"/>
        <w:rPr>
          <w:rFonts w:asciiTheme="minorHAnsi" w:eastAsiaTheme="minorEastAsia" w:hAnsiTheme="minorHAnsi"/>
          <w:noProof/>
          <w:kern w:val="2"/>
          <w:sz w:val="22"/>
          <w14:ligatures w14:val="standardContextual"/>
        </w:rPr>
      </w:pPr>
      <w:hyperlink w:anchor="_Toc192875218" w:history="1">
        <w:r>
          <w:rPr>
            <w:rStyle w:val="Hyperlink"/>
            <w:noProof/>
            <w:shd w:val="clear" w:color="auto" w:fill="FFFFFF"/>
          </w:rPr>
          <w:t>Table 11</w:t>
        </w:r>
        <w:r>
          <w:rPr>
            <w:rStyle w:val="Hyperlink"/>
            <w:noProof/>
            <w:shd w:val="clear" w:color="auto" w:fill="FFFFFF"/>
          </w:rPr>
          <w:noBreakHyphen/>
          <w:t>5: Example Deliverable Development Tasks in Work Plan</w:t>
        </w:r>
        <w:r>
          <w:rPr>
            <w:noProof/>
            <w:webHidden/>
          </w:rPr>
          <w:tab/>
        </w:r>
        <w:r>
          <w:rPr>
            <w:noProof/>
            <w:webHidden/>
          </w:rPr>
          <w:fldChar w:fldCharType="begin"/>
        </w:r>
        <w:r>
          <w:rPr>
            <w:noProof/>
            <w:webHidden/>
          </w:rPr>
          <w:instrText xml:space="preserve"> PAGEREF _Toc192875218 \h </w:instrText>
        </w:r>
        <w:r>
          <w:rPr>
            <w:noProof/>
            <w:webHidden/>
          </w:rPr>
        </w:r>
        <w:r>
          <w:rPr>
            <w:noProof/>
            <w:webHidden/>
          </w:rPr>
          <w:fldChar w:fldCharType="separate"/>
        </w:r>
        <w:r>
          <w:rPr>
            <w:noProof/>
            <w:webHidden/>
          </w:rPr>
          <w:t>234</w:t>
        </w:r>
        <w:r>
          <w:rPr>
            <w:noProof/>
            <w:webHidden/>
          </w:rPr>
          <w:fldChar w:fldCharType="end"/>
        </w:r>
      </w:hyperlink>
    </w:p>
    <w:p w14:paraId="143EBD03" w14:textId="68B5CD15" w:rsidR="00274557" w:rsidRDefault="00274557">
      <w:pPr>
        <w:pStyle w:val="TableofFigures"/>
        <w:rPr>
          <w:rFonts w:asciiTheme="minorHAnsi" w:eastAsiaTheme="minorEastAsia" w:hAnsiTheme="minorHAnsi"/>
          <w:noProof/>
          <w:kern w:val="2"/>
          <w:sz w:val="22"/>
          <w14:ligatures w14:val="standardContextual"/>
        </w:rPr>
      </w:pPr>
      <w:hyperlink w:anchor="_Toc192875219" w:history="1">
        <w:r>
          <w:rPr>
            <w:rStyle w:val="Hyperlink"/>
            <w:noProof/>
            <w:shd w:val="clear" w:color="auto" w:fill="FFFFFF"/>
          </w:rPr>
          <w:t>Table 11</w:t>
        </w:r>
        <w:r>
          <w:rPr>
            <w:rStyle w:val="Hyperlink"/>
            <w:noProof/>
            <w:shd w:val="clear" w:color="auto" w:fill="FFFFFF"/>
          </w:rPr>
          <w:noBreakHyphen/>
          <w:t>6: Example Deliverable Transmittal Tasks in Work Plan</w:t>
        </w:r>
        <w:r>
          <w:rPr>
            <w:noProof/>
            <w:webHidden/>
          </w:rPr>
          <w:tab/>
        </w:r>
        <w:r>
          <w:rPr>
            <w:noProof/>
            <w:webHidden/>
          </w:rPr>
          <w:fldChar w:fldCharType="begin"/>
        </w:r>
        <w:r>
          <w:rPr>
            <w:noProof/>
            <w:webHidden/>
          </w:rPr>
          <w:instrText xml:space="preserve"> PAGEREF _Toc192875219 \h </w:instrText>
        </w:r>
        <w:r>
          <w:rPr>
            <w:noProof/>
            <w:webHidden/>
          </w:rPr>
        </w:r>
        <w:r>
          <w:rPr>
            <w:noProof/>
            <w:webHidden/>
          </w:rPr>
          <w:fldChar w:fldCharType="separate"/>
        </w:r>
        <w:r>
          <w:rPr>
            <w:noProof/>
            <w:webHidden/>
          </w:rPr>
          <w:t>234</w:t>
        </w:r>
        <w:r>
          <w:rPr>
            <w:noProof/>
            <w:webHidden/>
          </w:rPr>
          <w:fldChar w:fldCharType="end"/>
        </w:r>
      </w:hyperlink>
    </w:p>
    <w:p w14:paraId="45E5EA9D" w14:textId="699A1122" w:rsidR="00274557" w:rsidRDefault="00274557">
      <w:pPr>
        <w:pStyle w:val="TableofFigures"/>
        <w:rPr>
          <w:rFonts w:asciiTheme="minorHAnsi" w:eastAsiaTheme="minorEastAsia" w:hAnsiTheme="minorHAnsi"/>
          <w:noProof/>
          <w:kern w:val="2"/>
          <w:sz w:val="22"/>
          <w14:ligatures w14:val="standardContextual"/>
        </w:rPr>
      </w:pPr>
      <w:hyperlink w:anchor="_Toc192875220" w:history="1">
        <w:r>
          <w:rPr>
            <w:rStyle w:val="Hyperlink"/>
            <w:noProof/>
            <w:shd w:val="clear" w:color="auto" w:fill="FFFFFF"/>
          </w:rPr>
          <w:t>Table 11</w:t>
        </w:r>
        <w:r>
          <w:rPr>
            <w:rStyle w:val="Hyperlink"/>
            <w:noProof/>
            <w:shd w:val="clear" w:color="auto" w:fill="FFFFFF"/>
          </w:rPr>
          <w:noBreakHyphen/>
          <w:t>7: Schedule Techniques</w:t>
        </w:r>
        <w:r>
          <w:rPr>
            <w:noProof/>
            <w:webHidden/>
          </w:rPr>
          <w:tab/>
        </w:r>
        <w:r>
          <w:rPr>
            <w:noProof/>
            <w:webHidden/>
          </w:rPr>
          <w:fldChar w:fldCharType="begin"/>
        </w:r>
        <w:r>
          <w:rPr>
            <w:noProof/>
            <w:webHidden/>
          </w:rPr>
          <w:instrText xml:space="preserve"> PAGEREF _Toc192875220 \h </w:instrText>
        </w:r>
        <w:r>
          <w:rPr>
            <w:noProof/>
            <w:webHidden/>
          </w:rPr>
        </w:r>
        <w:r>
          <w:rPr>
            <w:noProof/>
            <w:webHidden/>
          </w:rPr>
          <w:fldChar w:fldCharType="separate"/>
        </w:r>
        <w:r>
          <w:rPr>
            <w:noProof/>
            <w:webHidden/>
          </w:rPr>
          <w:t>237</w:t>
        </w:r>
        <w:r>
          <w:rPr>
            <w:noProof/>
            <w:webHidden/>
          </w:rPr>
          <w:fldChar w:fldCharType="end"/>
        </w:r>
      </w:hyperlink>
    </w:p>
    <w:p w14:paraId="206670AA" w14:textId="351C3877" w:rsidR="00274557" w:rsidRDefault="00274557">
      <w:pPr>
        <w:pStyle w:val="TableofFigures"/>
        <w:rPr>
          <w:rFonts w:asciiTheme="minorHAnsi" w:eastAsiaTheme="minorEastAsia" w:hAnsiTheme="minorHAnsi"/>
          <w:noProof/>
          <w:kern w:val="2"/>
          <w:sz w:val="22"/>
          <w14:ligatures w14:val="standardContextual"/>
        </w:rPr>
      </w:pPr>
      <w:hyperlink w:anchor="_Toc192875221" w:history="1">
        <w:r>
          <w:rPr>
            <w:rStyle w:val="Hyperlink"/>
            <w:noProof/>
          </w:rPr>
          <w:t>Table 12</w:t>
        </w:r>
        <w:r>
          <w:rPr>
            <w:rStyle w:val="Hyperlink"/>
            <w:noProof/>
          </w:rPr>
          <w:noBreakHyphen/>
          <w:t>1: Initial Requirements Approval Process Flow Narrative</w:t>
        </w:r>
        <w:r>
          <w:rPr>
            <w:noProof/>
            <w:webHidden/>
          </w:rPr>
          <w:tab/>
        </w:r>
        <w:r>
          <w:rPr>
            <w:noProof/>
            <w:webHidden/>
          </w:rPr>
          <w:fldChar w:fldCharType="begin"/>
        </w:r>
        <w:r>
          <w:rPr>
            <w:noProof/>
            <w:webHidden/>
          </w:rPr>
          <w:instrText xml:space="preserve"> PAGEREF _Toc192875221 \h </w:instrText>
        </w:r>
        <w:r>
          <w:rPr>
            <w:noProof/>
            <w:webHidden/>
          </w:rPr>
        </w:r>
        <w:r>
          <w:rPr>
            <w:noProof/>
            <w:webHidden/>
          </w:rPr>
          <w:fldChar w:fldCharType="separate"/>
        </w:r>
        <w:r>
          <w:rPr>
            <w:noProof/>
            <w:webHidden/>
          </w:rPr>
          <w:t>242</w:t>
        </w:r>
        <w:r>
          <w:rPr>
            <w:noProof/>
            <w:webHidden/>
          </w:rPr>
          <w:fldChar w:fldCharType="end"/>
        </w:r>
      </w:hyperlink>
    </w:p>
    <w:p w14:paraId="14FCE541" w14:textId="004ABC81" w:rsidR="00274557" w:rsidRDefault="00274557">
      <w:pPr>
        <w:pStyle w:val="TableofFigures"/>
        <w:rPr>
          <w:rFonts w:asciiTheme="minorHAnsi" w:eastAsiaTheme="minorEastAsia" w:hAnsiTheme="minorHAnsi"/>
          <w:noProof/>
          <w:kern w:val="2"/>
          <w:sz w:val="22"/>
          <w14:ligatures w14:val="standardContextual"/>
        </w:rPr>
      </w:pPr>
      <w:hyperlink w:anchor="_Toc192875222" w:history="1">
        <w:r>
          <w:rPr>
            <w:rStyle w:val="Hyperlink"/>
            <w:noProof/>
          </w:rPr>
          <w:t>Table 12</w:t>
        </w:r>
        <w:r>
          <w:rPr>
            <w:rStyle w:val="Hyperlink"/>
            <w:noProof/>
          </w:rPr>
          <w:noBreakHyphen/>
          <w:t>2: Post Transmittal Approval Requirements Modification Process Flow Narrative</w:t>
        </w:r>
        <w:r>
          <w:rPr>
            <w:noProof/>
            <w:webHidden/>
          </w:rPr>
          <w:tab/>
        </w:r>
        <w:r>
          <w:rPr>
            <w:noProof/>
            <w:webHidden/>
          </w:rPr>
          <w:fldChar w:fldCharType="begin"/>
        </w:r>
        <w:r>
          <w:rPr>
            <w:noProof/>
            <w:webHidden/>
          </w:rPr>
          <w:instrText xml:space="preserve"> PAGEREF _Toc192875222 \h </w:instrText>
        </w:r>
        <w:r>
          <w:rPr>
            <w:noProof/>
            <w:webHidden/>
          </w:rPr>
        </w:r>
        <w:r>
          <w:rPr>
            <w:noProof/>
            <w:webHidden/>
          </w:rPr>
          <w:fldChar w:fldCharType="separate"/>
        </w:r>
        <w:r>
          <w:rPr>
            <w:noProof/>
            <w:webHidden/>
          </w:rPr>
          <w:t>245</w:t>
        </w:r>
        <w:r>
          <w:rPr>
            <w:noProof/>
            <w:webHidden/>
          </w:rPr>
          <w:fldChar w:fldCharType="end"/>
        </w:r>
      </w:hyperlink>
    </w:p>
    <w:p w14:paraId="44F3AAA2" w14:textId="6D583C02" w:rsidR="00274557" w:rsidRDefault="00274557">
      <w:pPr>
        <w:pStyle w:val="TableofFigures"/>
        <w:rPr>
          <w:rFonts w:asciiTheme="minorHAnsi" w:eastAsiaTheme="minorEastAsia" w:hAnsiTheme="minorHAnsi"/>
          <w:noProof/>
          <w:kern w:val="2"/>
          <w:sz w:val="22"/>
          <w14:ligatures w14:val="standardContextual"/>
        </w:rPr>
      </w:pPr>
      <w:hyperlink w:anchor="_Toc192875223" w:history="1">
        <w:r>
          <w:rPr>
            <w:rStyle w:val="Hyperlink"/>
            <w:noProof/>
          </w:rPr>
          <w:t>Table 12</w:t>
        </w:r>
        <w:r>
          <w:rPr>
            <w:rStyle w:val="Hyperlink"/>
            <w:noProof/>
          </w:rPr>
          <w:noBreakHyphen/>
          <w:t>3: Versioning</w:t>
        </w:r>
        <w:r>
          <w:rPr>
            <w:noProof/>
            <w:webHidden/>
          </w:rPr>
          <w:tab/>
        </w:r>
        <w:r>
          <w:rPr>
            <w:noProof/>
            <w:webHidden/>
          </w:rPr>
          <w:fldChar w:fldCharType="begin"/>
        </w:r>
        <w:r>
          <w:rPr>
            <w:noProof/>
            <w:webHidden/>
          </w:rPr>
          <w:instrText xml:space="preserve"> PAGEREF _Toc192875223 \h </w:instrText>
        </w:r>
        <w:r>
          <w:rPr>
            <w:noProof/>
            <w:webHidden/>
          </w:rPr>
        </w:r>
        <w:r>
          <w:rPr>
            <w:noProof/>
            <w:webHidden/>
          </w:rPr>
          <w:fldChar w:fldCharType="separate"/>
        </w:r>
        <w:r>
          <w:rPr>
            <w:noProof/>
            <w:webHidden/>
          </w:rPr>
          <w:t>246</w:t>
        </w:r>
        <w:r>
          <w:rPr>
            <w:noProof/>
            <w:webHidden/>
          </w:rPr>
          <w:fldChar w:fldCharType="end"/>
        </w:r>
      </w:hyperlink>
    </w:p>
    <w:p w14:paraId="52E5CF49" w14:textId="2B4D5AE9" w:rsidR="00274557" w:rsidRDefault="00274557">
      <w:pPr>
        <w:pStyle w:val="TableofFigures"/>
        <w:rPr>
          <w:rFonts w:asciiTheme="minorHAnsi" w:eastAsiaTheme="minorEastAsia" w:hAnsiTheme="minorHAnsi"/>
          <w:noProof/>
          <w:kern w:val="2"/>
          <w:sz w:val="22"/>
          <w14:ligatures w14:val="standardContextual"/>
        </w:rPr>
      </w:pPr>
      <w:hyperlink w:anchor="_Toc192875224" w:history="1">
        <w:r>
          <w:rPr>
            <w:rStyle w:val="Hyperlink"/>
            <w:noProof/>
          </w:rPr>
          <w:t>Table 13</w:t>
        </w:r>
        <w:r>
          <w:rPr>
            <w:rStyle w:val="Hyperlink"/>
            <w:noProof/>
          </w:rPr>
          <w:noBreakHyphen/>
          <w:t>1: Terms and Definitions</w:t>
        </w:r>
        <w:r>
          <w:rPr>
            <w:noProof/>
            <w:webHidden/>
          </w:rPr>
          <w:tab/>
        </w:r>
        <w:r>
          <w:rPr>
            <w:noProof/>
            <w:webHidden/>
          </w:rPr>
          <w:fldChar w:fldCharType="begin"/>
        </w:r>
        <w:r>
          <w:rPr>
            <w:noProof/>
            <w:webHidden/>
          </w:rPr>
          <w:instrText xml:space="preserve"> PAGEREF _Toc192875224 \h </w:instrText>
        </w:r>
        <w:r>
          <w:rPr>
            <w:noProof/>
            <w:webHidden/>
          </w:rPr>
        </w:r>
        <w:r>
          <w:rPr>
            <w:noProof/>
            <w:webHidden/>
          </w:rPr>
          <w:fldChar w:fldCharType="separate"/>
        </w:r>
        <w:r>
          <w:rPr>
            <w:noProof/>
            <w:webHidden/>
          </w:rPr>
          <w:t>250</w:t>
        </w:r>
        <w:r>
          <w:rPr>
            <w:noProof/>
            <w:webHidden/>
          </w:rPr>
          <w:fldChar w:fldCharType="end"/>
        </w:r>
      </w:hyperlink>
    </w:p>
    <w:p w14:paraId="554DF378" w14:textId="01FE2D1E" w:rsidR="00274557" w:rsidRDefault="00274557">
      <w:pPr>
        <w:pStyle w:val="TableofFigures"/>
        <w:rPr>
          <w:rFonts w:asciiTheme="minorHAnsi" w:eastAsiaTheme="minorEastAsia" w:hAnsiTheme="minorHAnsi"/>
          <w:noProof/>
          <w:kern w:val="2"/>
          <w:sz w:val="22"/>
          <w14:ligatures w14:val="standardContextual"/>
        </w:rPr>
      </w:pPr>
      <w:hyperlink w:anchor="_Toc192875225" w:history="1">
        <w:r>
          <w:rPr>
            <w:rStyle w:val="Hyperlink"/>
            <w:noProof/>
          </w:rPr>
          <w:t>Table 13</w:t>
        </w:r>
        <w:r>
          <w:rPr>
            <w:rStyle w:val="Hyperlink"/>
            <w:noProof/>
          </w:rPr>
          <w:noBreakHyphen/>
          <w:t>2: Acronyms</w:t>
        </w:r>
        <w:r>
          <w:rPr>
            <w:noProof/>
            <w:webHidden/>
          </w:rPr>
          <w:tab/>
        </w:r>
        <w:r>
          <w:rPr>
            <w:noProof/>
            <w:webHidden/>
          </w:rPr>
          <w:fldChar w:fldCharType="begin"/>
        </w:r>
        <w:r>
          <w:rPr>
            <w:noProof/>
            <w:webHidden/>
          </w:rPr>
          <w:instrText xml:space="preserve"> PAGEREF _Toc192875225 \h </w:instrText>
        </w:r>
        <w:r>
          <w:rPr>
            <w:noProof/>
            <w:webHidden/>
          </w:rPr>
        </w:r>
        <w:r>
          <w:rPr>
            <w:noProof/>
            <w:webHidden/>
          </w:rPr>
          <w:fldChar w:fldCharType="separate"/>
        </w:r>
        <w:r>
          <w:rPr>
            <w:noProof/>
            <w:webHidden/>
          </w:rPr>
          <w:t>253</w:t>
        </w:r>
        <w:r>
          <w:rPr>
            <w:noProof/>
            <w:webHidden/>
          </w:rPr>
          <w:fldChar w:fldCharType="end"/>
        </w:r>
      </w:hyperlink>
    </w:p>
    <w:p w14:paraId="2A82152B" w14:textId="43686DA6" w:rsidR="00274557" w:rsidRDefault="00274557">
      <w:pPr>
        <w:pStyle w:val="TableofFigures"/>
        <w:rPr>
          <w:rFonts w:asciiTheme="minorHAnsi" w:eastAsiaTheme="minorEastAsia" w:hAnsiTheme="minorHAnsi"/>
          <w:noProof/>
          <w:kern w:val="2"/>
          <w:sz w:val="22"/>
          <w14:ligatures w14:val="standardContextual"/>
        </w:rPr>
      </w:pPr>
      <w:hyperlink w:anchor="_Toc192875226" w:history="1">
        <w:r>
          <w:rPr>
            <w:rStyle w:val="Hyperlink"/>
            <w:noProof/>
          </w:rPr>
          <w:t>Table 13</w:t>
        </w:r>
        <w:r>
          <w:rPr>
            <w:rStyle w:val="Hyperlink"/>
            <w:noProof/>
          </w:rPr>
          <w:noBreakHyphen/>
          <w:t>3: SDLC Roles and Responsibilities</w:t>
        </w:r>
        <w:r>
          <w:rPr>
            <w:noProof/>
            <w:webHidden/>
          </w:rPr>
          <w:tab/>
        </w:r>
        <w:r>
          <w:rPr>
            <w:noProof/>
            <w:webHidden/>
          </w:rPr>
          <w:fldChar w:fldCharType="begin"/>
        </w:r>
        <w:r>
          <w:rPr>
            <w:noProof/>
            <w:webHidden/>
          </w:rPr>
          <w:instrText xml:space="preserve"> PAGEREF _Toc192875226 \h </w:instrText>
        </w:r>
        <w:r>
          <w:rPr>
            <w:noProof/>
            <w:webHidden/>
          </w:rPr>
        </w:r>
        <w:r>
          <w:rPr>
            <w:noProof/>
            <w:webHidden/>
          </w:rPr>
          <w:fldChar w:fldCharType="separate"/>
        </w:r>
        <w:r>
          <w:rPr>
            <w:noProof/>
            <w:webHidden/>
          </w:rPr>
          <w:t>261</w:t>
        </w:r>
        <w:r>
          <w:rPr>
            <w:noProof/>
            <w:webHidden/>
          </w:rPr>
          <w:fldChar w:fldCharType="end"/>
        </w:r>
      </w:hyperlink>
    </w:p>
    <w:p w14:paraId="5B72CC8A" w14:textId="30F0BD27" w:rsidR="00274557" w:rsidRDefault="00274557">
      <w:pPr>
        <w:pStyle w:val="TableofFigures"/>
        <w:rPr>
          <w:rFonts w:asciiTheme="minorHAnsi" w:eastAsiaTheme="minorEastAsia" w:hAnsiTheme="minorHAnsi"/>
          <w:noProof/>
          <w:kern w:val="2"/>
          <w:sz w:val="22"/>
          <w14:ligatures w14:val="standardContextual"/>
        </w:rPr>
      </w:pPr>
      <w:hyperlink w:anchor="_Toc192875227" w:history="1">
        <w:r>
          <w:rPr>
            <w:rStyle w:val="Hyperlink"/>
            <w:noProof/>
          </w:rPr>
          <w:t>Table 13</w:t>
        </w:r>
        <w:r>
          <w:rPr>
            <w:rStyle w:val="Hyperlink"/>
            <w:noProof/>
          </w:rPr>
          <w:noBreakHyphen/>
          <w:t>4: Stakeholder Engagement Roles and Responsibilities</w:t>
        </w:r>
        <w:r>
          <w:rPr>
            <w:noProof/>
            <w:webHidden/>
          </w:rPr>
          <w:tab/>
        </w:r>
        <w:r>
          <w:rPr>
            <w:noProof/>
            <w:webHidden/>
          </w:rPr>
          <w:fldChar w:fldCharType="begin"/>
        </w:r>
        <w:r>
          <w:rPr>
            <w:noProof/>
            <w:webHidden/>
          </w:rPr>
          <w:instrText xml:space="preserve"> PAGEREF _Toc192875227 \h </w:instrText>
        </w:r>
        <w:r>
          <w:rPr>
            <w:noProof/>
            <w:webHidden/>
          </w:rPr>
        </w:r>
        <w:r>
          <w:rPr>
            <w:noProof/>
            <w:webHidden/>
          </w:rPr>
          <w:fldChar w:fldCharType="separate"/>
        </w:r>
        <w:r>
          <w:rPr>
            <w:noProof/>
            <w:webHidden/>
          </w:rPr>
          <w:t>265</w:t>
        </w:r>
        <w:r>
          <w:rPr>
            <w:noProof/>
            <w:webHidden/>
          </w:rPr>
          <w:fldChar w:fldCharType="end"/>
        </w:r>
      </w:hyperlink>
    </w:p>
    <w:p w14:paraId="5E1DB3A1" w14:textId="57112C5F" w:rsidR="00274557" w:rsidRDefault="00274557">
      <w:pPr>
        <w:pStyle w:val="TableofFigures"/>
        <w:rPr>
          <w:rFonts w:asciiTheme="minorHAnsi" w:eastAsiaTheme="minorEastAsia" w:hAnsiTheme="minorHAnsi"/>
          <w:noProof/>
          <w:kern w:val="2"/>
          <w:sz w:val="22"/>
          <w14:ligatures w14:val="standardContextual"/>
        </w:rPr>
      </w:pPr>
      <w:hyperlink w:anchor="_Toc192875228" w:history="1">
        <w:r>
          <w:rPr>
            <w:rStyle w:val="Hyperlink"/>
            <w:noProof/>
          </w:rPr>
          <w:t>Table 13</w:t>
        </w:r>
        <w:r>
          <w:rPr>
            <w:rStyle w:val="Hyperlink"/>
            <w:noProof/>
          </w:rPr>
          <w:noBreakHyphen/>
          <w:t>5: Communications Management Plan Roles and Responsibilities</w:t>
        </w:r>
        <w:r>
          <w:rPr>
            <w:noProof/>
            <w:webHidden/>
          </w:rPr>
          <w:tab/>
        </w:r>
        <w:r>
          <w:rPr>
            <w:noProof/>
            <w:webHidden/>
          </w:rPr>
          <w:fldChar w:fldCharType="begin"/>
        </w:r>
        <w:r>
          <w:rPr>
            <w:noProof/>
            <w:webHidden/>
          </w:rPr>
          <w:instrText xml:space="preserve"> PAGEREF _Toc192875228 \h </w:instrText>
        </w:r>
        <w:r>
          <w:rPr>
            <w:noProof/>
            <w:webHidden/>
          </w:rPr>
        </w:r>
        <w:r>
          <w:rPr>
            <w:noProof/>
            <w:webHidden/>
          </w:rPr>
          <w:fldChar w:fldCharType="separate"/>
        </w:r>
        <w:r>
          <w:rPr>
            <w:noProof/>
            <w:webHidden/>
          </w:rPr>
          <w:t>266</w:t>
        </w:r>
        <w:r>
          <w:rPr>
            <w:noProof/>
            <w:webHidden/>
          </w:rPr>
          <w:fldChar w:fldCharType="end"/>
        </w:r>
      </w:hyperlink>
    </w:p>
    <w:p w14:paraId="34811E1A" w14:textId="3EBF1730" w:rsidR="00274557" w:rsidRDefault="00274557">
      <w:pPr>
        <w:pStyle w:val="TableofFigures"/>
        <w:rPr>
          <w:rFonts w:asciiTheme="minorHAnsi" w:eastAsiaTheme="minorEastAsia" w:hAnsiTheme="minorHAnsi"/>
          <w:noProof/>
          <w:kern w:val="2"/>
          <w:sz w:val="22"/>
          <w14:ligatures w14:val="standardContextual"/>
        </w:rPr>
      </w:pPr>
      <w:hyperlink w:anchor="_Toc192875229" w:history="1">
        <w:r>
          <w:rPr>
            <w:rStyle w:val="Hyperlink"/>
            <w:noProof/>
          </w:rPr>
          <w:t>Table 13</w:t>
        </w:r>
        <w:r>
          <w:rPr>
            <w:rStyle w:val="Hyperlink"/>
            <w:noProof/>
          </w:rPr>
          <w:noBreakHyphen/>
          <w:t>6: Deliverable Management Plan Roles and Responsibilities</w:t>
        </w:r>
        <w:r>
          <w:rPr>
            <w:noProof/>
            <w:webHidden/>
          </w:rPr>
          <w:tab/>
        </w:r>
        <w:r>
          <w:rPr>
            <w:noProof/>
            <w:webHidden/>
          </w:rPr>
          <w:fldChar w:fldCharType="begin"/>
        </w:r>
        <w:r>
          <w:rPr>
            <w:noProof/>
            <w:webHidden/>
          </w:rPr>
          <w:instrText xml:space="preserve"> PAGEREF _Toc192875229 \h </w:instrText>
        </w:r>
        <w:r>
          <w:rPr>
            <w:noProof/>
            <w:webHidden/>
          </w:rPr>
        </w:r>
        <w:r>
          <w:rPr>
            <w:noProof/>
            <w:webHidden/>
          </w:rPr>
          <w:fldChar w:fldCharType="separate"/>
        </w:r>
        <w:r>
          <w:rPr>
            <w:noProof/>
            <w:webHidden/>
          </w:rPr>
          <w:t>267</w:t>
        </w:r>
        <w:r>
          <w:rPr>
            <w:noProof/>
            <w:webHidden/>
          </w:rPr>
          <w:fldChar w:fldCharType="end"/>
        </w:r>
      </w:hyperlink>
    </w:p>
    <w:p w14:paraId="586C9386" w14:textId="5DB806C7" w:rsidR="00274557" w:rsidRDefault="00274557">
      <w:pPr>
        <w:pStyle w:val="TableofFigures"/>
        <w:rPr>
          <w:rFonts w:asciiTheme="minorHAnsi" w:eastAsiaTheme="minorEastAsia" w:hAnsiTheme="minorHAnsi"/>
          <w:noProof/>
          <w:kern w:val="2"/>
          <w:sz w:val="22"/>
          <w14:ligatures w14:val="standardContextual"/>
        </w:rPr>
      </w:pPr>
      <w:hyperlink w:anchor="_Toc192875230" w:history="1">
        <w:r>
          <w:rPr>
            <w:rStyle w:val="Hyperlink"/>
            <w:noProof/>
          </w:rPr>
          <w:t>Table 13</w:t>
        </w:r>
        <w:r>
          <w:rPr>
            <w:rStyle w:val="Hyperlink"/>
            <w:noProof/>
          </w:rPr>
          <w:noBreakHyphen/>
          <w:t>7: Budget Management Plan Roles and Responsibilities</w:t>
        </w:r>
        <w:r>
          <w:rPr>
            <w:noProof/>
            <w:webHidden/>
          </w:rPr>
          <w:tab/>
        </w:r>
        <w:r>
          <w:rPr>
            <w:noProof/>
            <w:webHidden/>
          </w:rPr>
          <w:fldChar w:fldCharType="begin"/>
        </w:r>
        <w:r>
          <w:rPr>
            <w:noProof/>
            <w:webHidden/>
          </w:rPr>
          <w:instrText xml:space="preserve"> PAGEREF _Toc192875230 \h </w:instrText>
        </w:r>
        <w:r>
          <w:rPr>
            <w:noProof/>
            <w:webHidden/>
          </w:rPr>
        </w:r>
        <w:r>
          <w:rPr>
            <w:noProof/>
            <w:webHidden/>
          </w:rPr>
          <w:fldChar w:fldCharType="separate"/>
        </w:r>
        <w:r>
          <w:rPr>
            <w:noProof/>
            <w:webHidden/>
          </w:rPr>
          <w:t>268</w:t>
        </w:r>
        <w:r>
          <w:rPr>
            <w:noProof/>
            <w:webHidden/>
          </w:rPr>
          <w:fldChar w:fldCharType="end"/>
        </w:r>
      </w:hyperlink>
    </w:p>
    <w:p w14:paraId="586471D7" w14:textId="7776FE57" w:rsidR="00274557" w:rsidRDefault="00274557">
      <w:pPr>
        <w:pStyle w:val="TableofFigures"/>
        <w:rPr>
          <w:rFonts w:asciiTheme="minorHAnsi" w:eastAsiaTheme="minorEastAsia" w:hAnsiTheme="minorHAnsi"/>
          <w:noProof/>
          <w:kern w:val="2"/>
          <w:sz w:val="22"/>
          <w14:ligatures w14:val="standardContextual"/>
        </w:rPr>
      </w:pPr>
      <w:hyperlink w:anchor="_Toc192875231" w:history="1">
        <w:r>
          <w:rPr>
            <w:rStyle w:val="Hyperlink"/>
            <w:noProof/>
          </w:rPr>
          <w:t>Table 13</w:t>
        </w:r>
        <w:r>
          <w:rPr>
            <w:rStyle w:val="Hyperlink"/>
            <w:noProof/>
          </w:rPr>
          <w:noBreakHyphen/>
          <w:t>8: Quality Management Plan Roles and Responsibilities</w:t>
        </w:r>
        <w:r>
          <w:rPr>
            <w:noProof/>
            <w:webHidden/>
          </w:rPr>
          <w:tab/>
        </w:r>
        <w:r>
          <w:rPr>
            <w:noProof/>
            <w:webHidden/>
          </w:rPr>
          <w:fldChar w:fldCharType="begin"/>
        </w:r>
        <w:r>
          <w:rPr>
            <w:noProof/>
            <w:webHidden/>
          </w:rPr>
          <w:instrText xml:space="preserve"> PAGEREF _Toc192875231 \h </w:instrText>
        </w:r>
        <w:r>
          <w:rPr>
            <w:noProof/>
            <w:webHidden/>
          </w:rPr>
        </w:r>
        <w:r>
          <w:rPr>
            <w:noProof/>
            <w:webHidden/>
          </w:rPr>
          <w:fldChar w:fldCharType="separate"/>
        </w:r>
        <w:r>
          <w:rPr>
            <w:noProof/>
            <w:webHidden/>
          </w:rPr>
          <w:t>270</w:t>
        </w:r>
        <w:r>
          <w:rPr>
            <w:noProof/>
            <w:webHidden/>
          </w:rPr>
          <w:fldChar w:fldCharType="end"/>
        </w:r>
      </w:hyperlink>
    </w:p>
    <w:p w14:paraId="2070301B" w14:textId="0242F8E1" w:rsidR="00274557" w:rsidRDefault="00274557">
      <w:pPr>
        <w:pStyle w:val="TableofFigures"/>
        <w:rPr>
          <w:rFonts w:asciiTheme="minorHAnsi" w:eastAsiaTheme="minorEastAsia" w:hAnsiTheme="minorHAnsi"/>
          <w:noProof/>
          <w:kern w:val="2"/>
          <w:sz w:val="22"/>
          <w14:ligatures w14:val="standardContextual"/>
        </w:rPr>
      </w:pPr>
      <w:hyperlink w:anchor="_Toc192875232" w:history="1">
        <w:r>
          <w:rPr>
            <w:rStyle w:val="Hyperlink"/>
            <w:noProof/>
          </w:rPr>
          <w:t>Table 13</w:t>
        </w:r>
        <w:r>
          <w:rPr>
            <w:rStyle w:val="Hyperlink"/>
            <w:noProof/>
          </w:rPr>
          <w:noBreakHyphen/>
          <w:t>9: Resource Management Plan Roles and Responsibilities</w:t>
        </w:r>
        <w:r>
          <w:rPr>
            <w:noProof/>
            <w:webHidden/>
          </w:rPr>
          <w:tab/>
        </w:r>
        <w:r>
          <w:rPr>
            <w:noProof/>
            <w:webHidden/>
          </w:rPr>
          <w:fldChar w:fldCharType="begin"/>
        </w:r>
        <w:r>
          <w:rPr>
            <w:noProof/>
            <w:webHidden/>
          </w:rPr>
          <w:instrText xml:space="preserve"> PAGEREF _Toc192875232 \h </w:instrText>
        </w:r>
        <w:r>
          <w:rPr>
            <w:noProof/>
            <w:webHidden/>
          </w:rPr>
        </w:r>
        <w:r>
          <w:rPr>
            <w:noProof/>
            <w:webHidden/>
          </w:rPr>
          <w:fldChar w:fldCharType="separate"/>
        </w:r>
        <w:r>
          <w:rPr>
            <w:noProof/>
            <w:webHidden/>
          </w:rPr>
          <w:t>271</w:t>
        </w:r>
        <w:r>
          <w:rPr>
            <w:noProof/>
            <w:webHidden/>
          </w:rPr>
          <w:fldChar w:fldCharType="end"/>
        </w:r>
      </w:hyperlink>
    </w:p>
    <w:p w14:paraId="0AF23DF9" w14:textId="5A9D327D" w:rsidR="00274557" w:rsidRDefault="00274557">
      <w:pPr>
        <w:pStyle w:val="TableofFigures"/>
        <w:rPr>
          <w:rFonts w:asciiTheme="minorHAnsi" w:eastAsiaTheme="minorEastAsia" w:hAnsiTheme="minorHAnsi"/>
          <w:noProof/>
          <w:kern w:val="2"/>
          <w:sz w:val="22"/>
          <w14:ligatures w14:val="standardContextual"/>
        </w:rPr>
      </w:pPr>
      <w:hyperlink w:anchor="_Toc192875233" w:history="1">
        <w:r>
          <w:rPr>
            <w:rStyle w:val="Hyperlink"/>
            <w:noProof/>
          </w:rPr>
          <w:t>Table 13</w:t>
        </w:r>
        <w:r>
          <w:rPr>
            <w:rStyle w:val="Hyperlink"/>
            <w:noProof/>
          </w:rPr>
          <w:noBreakHyphen/>
          <w:t>10: Project Controls Plan Roles and Responsibilities</w:t>
        </w:r>
        <w:r>
          <w:rPr>
            <w:noProof/>
            <w:webHidden/>
          </w:rPr>
          <w:tab/>
        </w:r>
        <w:r>
          <w:rPr>
            <w:noProof/>
            <w:webHidden/>
          </w:rPr>
          <w:fldChar w:fldCharType="begin"/>
        </w:r>
        <w:r>
          <w:rPr>
            <w:noProof/>
            <w:webHidden/>
          </w:rPr>
          <w:instrText xml:space="preserve"> PAGEREF _Toc192875233 \h </w:instrText>
        </w:r>
        <w:r>
          <w:rPr>
            <w:noProof/>
            <w:webHidden/>
          </w:rPr>
        </w:r>
        <w:r>
          <w:rPr>
            <w:noProof/>
            <w:webHidden/>
          </w:rPr>
          <w:fldChar w:fldCharType="separate"/>
        </w:r>
        <w:r>
          <w:rPr>
            <w:noProof/>
            <w:webHidden/>
          </w:rPr>
          <w:t>272</w:t>
        </w:r>
        <w:r>
          <w:rPr>
            <w:noProof/>
            <w:webHidden/>
          </w:rPr>
          <w:fldChar w:fldCharType="end"/>
        </w:r>
      </w:hyperlink>
    </w:p>
    <w:p w14:paraId="0A403BD9" w14:textId="74B6C782" w:rsidR="00274557" w:rsidRDefault="00274557">
      <w:pPr>
        <w:pStyle w:val="TableofFigures"/>
        <w:rPr>
          <w:rFonts w:asciiTheme="minorHAnsi" w:eastAsiaTheme="minorEastAsia" w:hAnsiTheme="minorHAnsi"/>
          <w:noProof/>
          <w:kern w:val="2"/>
          <w:sz w:val="22"/>
          <w14:ligatures w14:val="standardContextual"/>
        </w:rPr>
      </w:pPr>
      <w:hyperlink w:anchor="_Toc192875234" w:history="1">
        <w:r>
          <w:rPr>
            <w:rStyle w:val="Hyperlink"/>
            <w:noProof/>
          </w:rPr>
          <w:t>Table 13</w:t>
        </w:r>
        <w:r>
          <w:rPr>
            <w:rStyle w:val="Hyperlink"/>
            <w:noProof/>
          </w:rPr>
          <w:noBreakHyphen/>
          <w:t>11: Integrated Change Control Process Roles and Responsibilities</w:t>
        </w:r>
        <w:r>
          <w:rPr>
            <w:noProof/>
            <w:webHidden/>
          </w:rPr>
          <w:tab/>
        </w:r>
        <w:r>
          <w:rPr>
            <w:noProof/>
            <w:webHidden/>
          </w:rPr>
          <w:fldChar w:fldCharType="begin"/>
        </w:r>
        <w:r>
          <w:rPr>
            <w:noProof/>
            <w:webHidden/>
          </w:rPr>
          <w:instrText xml:space="preserve"> PAGEREF _Toc192875234 \h </w:instrText>
        </w:r>
        <w:r>
          <w:rPr>
            <w:noProof/>
            <w:webHidden/>
          </w:rPr>
        </w:r>
        <w:r>
          <w:rPr>
            <w:noProof/>
            <w:webHidden/>
          </w:rPr>
          <w:fldChar w:fldCharType="separate"/>
        </w:r>
        <w:r>
          <w:rPr>
            <w:noProof/>
            <w:webHidden/>
          </w:rPr>
          <w:t>273</w:t>
        </w:r>
        <w:r>
          <w:rPr>
            <w:noProof/>
            <w:webHidden/>
          </w:rPr>
          <w:fldChar w:fldCharType="end"/>
        </w:r>
      </w:hyperlink>
    </w:p>
    <w:p w14:paraId="5D44A4C2" w14:textId="18873110" w:rsidR="00274557" w:rsidRDefault="00274557">
      <w:pPr>
        <w:pStyle w:val="TableofFigures"/>
        <w:rPr>
          <w:rFonts w:asciiTheme="minorHAnsi" w:eastAsiaTheme="minorEastAsia" w:hAnsiTheme="minorHAnsi"/>
          <w:noProof/>
          <w:kern w:val="2"/>
          <w:sz w:val="22"/>
          <w14:ligatures w14:val="standardContextual"/>
        </w:rPr>
      </w:pPr>
      <w:hyperlink w:anchor="_Toc192875235" w:history="1">
        <w:r>
          <w:rPr>
            <w:rStyle w:val="Hyperlink"/>
            <w:noProof/>
          </w:rPr>
          <w:t>Table 13</w:t>
        </w:r>
        <w:r>
          <w:rPr>
            <w:rStyle w:val="Hyperlink"/>
            <w:noProof/>
          </w:rPr>
          <w:noBreakHyphen/>
          <w:t>12: Schedule Management Plan Roles and Responsibilities</w:t>
        </w:r>
        <w:r>
          <w:rPr>
            <w:noProof/>
            <w:webHidden/>
          </w:rPr>
          <w:tab/>
        </w:r>
        <w:r>
          <w:rPr>
            <w:noProof/>
            <w:webHidden/>
          </w:rPr>
          <w:fldChar w:fldCharType="begin"/>
        </w:r>
        <w:r>
          <w:rPr>
            <w:noProof/>
            <w:webHidden/>
          </w:rPr>
          <w:instrText xml:space="preserve"> PAGEREF _Toc192875235 \h </w:instrText>
        </w:r>
        <w:r>
          <w:rPr>
            <w:noProof/>
            <w:webHidden/>
          </w:rPr>
        </w:r>
        <w:r>
          <w:rPr>
            <w:noProof/>
            <w:webHidden/>
          </w:rPr>
          <w:fldChar w:fldCharType="separate"/>
        </w:r>
        <w:r>
          <w:rPr>
            <w:noProof/>
            <w:webHidden/>
          </w:rPr>
          <w:t>274</w:t>
        </w:r>
        <w:r>
          <w:rPr>
            <w:noProof/>
            <w:webHidden/>
          </w:rPr>
          <w:fldChar w:fldCharType="end"/>
        </w:r>
      </w:hyperlink>
    </w:p>
    <w:p w14:paraId="2D7197C5" w14:textId="26226311" w:rsidR="00274557" w:rsidRDefault="00274557">
      <w:pPr>
        <w:pStyle w:val="TableofFigures"/>
        <w:rPr>
          <w:rFonts w:asciiTheme="minorHAnsi" w:eastAsiaTheme="minorEastAsia" w:hAnsiTheme="minorHAnsi"/>
          <w:noProof/>
          <w:kern w:val="2"/>
          <w:sz w:val="22"/>
          <w14:ligatures w14:val="standardContextual"/>
        </w:rPr>
      </w:pPr>
      <w:hyperlink w:anchor="_Toc192875236" w:history="1">
        <w:r>
          <w:rPr>
            <w:rStyle w:val="Hyperlink"/>
            <w:noProof/>
          </w:rPr>
          <w:t>Table 13</w:t>
        </w:r>
        <w:r>
          <w:rPr>
            <w:rStyle w:val="Hyperlink"/>
            <w:noProof/>
          </w:rPr>
          <w:noBreakHyphen/>
          <w:t>13: Requirements Management Plan Roles and Responsibilities</w:t>
        </w:r>
        <w:r>
          <w:rPr>
            <w:noProof/>
            <w:webHidden/>
          </w:rPr>
          <w:tab/>
        </w:r>
        <w:r>
          <w:rPr>
            <w:noProof/>
            <w:webHidden/>
          </w:rPr>
          <w:fldChar w:fldCharType="begin"/>
        </w:r>
        <w:r>
          <w:rPr>
            <w:noProof/>
            <w:webHidden/>
          </w:rPr>
          <w:instrText xml:space="preserve"> PAGEREF _Toc192875236 \h </w:instrText>
        </w:r>
        <w:r>
          <w:rPr>
            <w:noProof/>
            <w:webHidden/>
          </w:rPr>
        </w:r>
        <w:r>
          <w:rPr>
            <w:noProof/>
            <w:webHidden/>
          </w:rPr>
          <w:fldChar w:fldCharType="separate"/>
        </w:r>
        <w:r>
          <w:rPr>
            <w:noProof/>
            <w:webHidden/>
          </w:rPr>
          <w:t>275</w:t>
        </w:r>
        <w:r>
          <w:rPr>
            <w:noProof/>
            <w:webHidden/>
          </w:rPr>
          <w:fldChar w:fldCharType="end"/>
        </w:r>
      </w:hyperlink>
    </w:p>
    <w:p w14:paraId="79D82C9E" w14:textId="3FA92870" w:rsidR="00274557" w:rsidRDefault="00274557">
      <w:pPr>
        <w:pStyle w:val="TableofFigures"/>
        <w:rPr>
          <w:rFonts w:asciiTheme="minorHAnsi" w:eastAsiaTheme="minorEastAsia" w:hAnsiTheme="minorHAnsi"/>
          <w:noProof/>
          <w:kern w:val="2"/>
          <w:sz w:val="22"/>
          <w14:ligatures w14:val="standardContextual"/>
        </w:rPr>
      </w:pPr>
      <w:hyperlink w:anchor="_Toc192875237" w:history="1">
        <w:r>
          <w:rPr>
            <w:rStyle w:val="Hyperlink"/>
            <w:noProof/>
          </w:rPr>
          <w:t>Table 13</w:t>
        </w:r>
        <w:r>
          <w:rPr>
            <w:rStyle w:val="Hyperlink"/>
            <w:noProof/>
          </w:rPr>
          <w:noBreakHyphen/>
          <w:t>14: ALM Tool Workflows</w:t>
        </w:r>
        <w:r>
          <w:rPr>
            <w:noProof/>
            <w:webHidden/>
          </w:rPr>
          <w:tab/>
        </w:r>
        <w:r>
          <w:rPr>
            <w:noProof/>
            <w:webHidden/>
          </w:rPr>
          <w:fldChar w:fldCharType="begin"/>
        </w:r>
        <w:r>
          <w:rPr>
            <w:noProof/>
            <w:webHidden/>
          </w:rPr>
          <w:instrText xml:space="preserve"> PAGEREF _Toc192875237 \h </w:instrText>
        </w:r>
        <w:r>
          <w:rPr>
            <w:noProof/>
            <w:webHidden/>
          </w:rPr>
        </w:r>
        <w:r>
          <w:rPr>
            <w:noProof/>
            <w:webHidden/>
          </w:rPr>
          <w:fldChar w:fldCharType="separate"/>
        </w:r>
        <w:r>
          <w:rPr>
            <w:noProof/>
            <w:webHidden/>
          </w:rPr>
          <w:t>276</w:t>
        </w:r>
        <w:r>
          <w:rPr>
            <w:noProof/>
            <w:webHidden/>
          </w:rPr>
          <w:fldChar w:fldCharType="end"/>
        </w:r>
      </w:hyperlink>
    </w:p>
    <w:p w14:paraId="7534913F" w14:textId="7FDA9BEC" w:rsidR="00274557" w:rsidRDefault="00274557">
      <w:pPr>
        <w:pStyle w:val="TableofFigures"/>
        <w:rPr>
          <w:rFonts w:asciiTheme="minorHAnsi" w:eastAsiaTheme="minorEastAsia" w:hAnsiTheme="minorHAnsi"/>
          <w:noProof/>
          <w:kern w:val="2"/>
          <w:sz w:val="22"/>
          <w14:ligatures w14:val="standardContextual"/>
        </w:rPr>
      </w:pPr>
      <w:hyperlink w:anchor="_Toc192875238" w:history="1">
        <w:r>
          <w:rPr>
            <w:rStyle w:val="Hyperlink"/>
            <w:noProof/>
          </w:rPr>
          <w:t>Table 13</w:t>
        </w:r>
        <w:r>
          <w:rPr>
            <w:rStyle w:val="Hyperlink"/>
            <w:noProof/>
          </w:rPr>
          <w:noBreakHyphen/>
          <w:t>15: DED/Deliverable Quality Checklists</w:t>
        </w:r>
        <w:r>
          <w:rPr>
            <w:noProof/>
            <w:webHidden/>
          </w:rPr>
          <w:tab/>
        </w:r>
        <w:r>
          <w:rPr>
            <w:noProof/>
            <w:webHidden/>
          </w:rPr>
          <w:fldChar w:fldCharType="begin"/>
        </w:r>
        <w:r>
          <w:rPr>
            <w:noProof/>
            <w:webHidden/>
          </w:rPr>
          <w:instrText xml:space="preserve"> PAGEREF _Toc192875238 \h </w:instrText>
        </w:r>
        <w:r>
          <w:rPr>
            <w:noProof/>
            <w:webHidden/>
          </w:rPr>
        </w:r>
        <w:r>
          <w:rPr>
            <w:noProof/>
            <w:webHidden/>
          </w:rPr>
          <w:fldChar w:fldCharType="separate"/>
        </w:r>
        <w:r>
          <w:rPr>
            <w:noProof/>
            <w:webHidden/>
          </w:rPr>
          <w:t>277</w:t>
        </w:r>
        <w:r>
          <w:rPr>
            <w:noProof/>
            <w:webHidden/>
          </w:rPr>
          <w:fldChar w:fldCharType="end"/>
        </w:r>
      </w:hyperlink>
    </w:p>
    <w:p w14:paraId="7CB514CB" w14:textId="320BF892" w:rsidR="00274557" w:rsidRDefault="00274557">
      <w:pPr>
        <w:pStyle w:val="TableofFigures"/>
        <w:rPr>
          <w:rFonts w:asciiTheme="minorHAnsi" w:eastAsiaTheme="minorEastAsia" w:hAnsiTheme="minorHAnsi"/>
          <w:noProof/>
          <w:kern w:val="2"/>
          <w:sz w:val="22"/>
          <w14:ligatures w14:val="standardContextual"/>
        </w:rPr>
      </w:pPr>
      <w:hyperlink w:anchor="_Toc192875239" w:history="1">
        <w:r>
          <w:rPr>
            <w:rStyle w:val="Hyperlink"/>
            <w:noProof/>
          </w:rPr>
          <w:t>Table 13</w:t>
        </w:r>
        <w:r>
          <w:rPr>
            <w:rStyle w:val="Hyperlink"/>
            <w:noProof/>
          </w:rPr>
          <w:noBreakHyphen/>
          <w:t>16: Writing Style Guide and Quality</w:t>
        </w:r>
        <w:r>
          <w:rPr>
            <w:noProof/>
            <w:webHidden/>
          </w:rPr>
          <w:tab/>
        </w:r>
        <w:r>
          <w:rPr>
            <w:noProof/>
            <w:webHidden/>
          </w:rPr>
          <w:fldChar w:fldCharType="begin"/>
        </w:r>
        <w:r>
          <w:rPr>
            <w:noProof/>
            <w:webHidden/>
          </w:rPr>
          <w:instrText xml:space="preserve"> PAGEREF _Toc192875239 \h </w:instrText>
        </w:r>
        <w:r>
          <w:rPr>
            <w:noProof/>
            <w:webHidden/>
          </w:rPr>
        </w:r>
        <w:r>
          <w:rPr>
            <w:noProof/>
            <w:webHidden/>
          </w:rPr>
          <w:fldChar w:fldCharType="separate"/>
        </w:r>
        <w:r>
          <w:rPr>
            <w:noProof/>
            <w:webHidden/>
          </w:rPr>
          <w:t>278</w:t>
        </w:r>
        <w:r>
          <w:rPr>
            <w:noProof/>
            <w:webHidden/>
          </w:rPr>
          <w:fldChar w:fldCharType="end"/>
        </w:r>
      </w:hyperlink>
    </w:p>
    <w:p w14:paraId="49EBBA23" w14:textId="437A6E05" w:rsidR="00274557" w:rsidRDefault="00274557">
      <w:pPr>
        <w:pStyle w:val="TableofFigures"/>
        <w:rPr>
          <w:rFonts w:asciiTheme="minorHAnsi" w:eastAsiaTheme="minorEastAsia" w:hAnsiTheme="minorHAnsi"/>
          <w:noProof/>
          <w:kern w:val="2"/>
          <w:sz w:val="22"/>
          <w14:ligatures w14:val="standardContextual"/>
        </w:rPr>
      </w:pPr>
      <w:hyperlink w:anchor="_Toc192875240" w:history="1">
        <w:r>
          <w:rPr>
            <w:rStyle w:val="Hyperlink"/>
            <w:noProof/>
          </w:rPr>
          <w:t>Table 13</w:t>
        </w:r>
        <w:r>
          <w:rPr>
            <w:rStyle w:val="Hyperlink"/>
            <w:noProof/>
          </w:rPr>
          <w:noBreakHyphen/>
          <w:t>17: PMI PMBOK</w:t>
        </w:r>
        <w:r>
          <w:rPr>
            <w:rStyle w:val="Hyperlink"/>
            <w:noProof/>
            <w:vertAlign w:val="superscript"/>
          </w:rPr>
          <w:t>®</w:t>
        </w:r>
        <w:r>
          <w:rPr>
            <w:rStyle w:val="Hyperlink"/>
            <w:noProof/>
          </w:rPr>
          <w:t xml:space="preserve"> Requirements Criteria</w:t>
        </w:r>
        <w:r>
          <w:rPr>
            <w:noProof/>
            <w:webHidden/>
          </w:rPr>
          <w:tab/>
        </w:r>
        <w:r>
          <w:rPr>
            <w:noProof/>
            <w:webHidden/>
          </w:rPr>
          <w:fldChar w:fldCharType="begin"/>
        </w:r>
        <w:r>
          <w:rPr>
            <w:noProof/>
            <w:webHidden/>
          </w:rPr>
          <w:instrText xml:space="preserve"> PAGEREF _Toc192875240 \h </w:instrText>
        </w:r>
        <w:r>
          <w:rPr>
            <w:noProof/>
            <w:webHidden/>
          </w:rPr>
        </w:r>
        <w:r>
          <w:rPr>
            <w:noProof/>
            <w:webHidden/>
          </w:rPr>
          <w:fldChar w:fldCharType="separate"/>
        </w:r>
        <w:r>
          <w:rPr>
            <w:noProof/>
            <w:webHidden/>
          </w:rPr>
          <w:t>279</w:t>
        </w:r>
        <w:r>
          <w:rPr>
            <w:noProof/>
            <w:webHidden/>
          </w:rPr>
          <w:fldChar w:fldCharType="end"/>
        </w:r>
      </w:hyperlink>
    </w:p>
    <w:p w14:paraId="7350BD6F" w14:textId="568EFF25" w:rsidR="00274557" w:rsidRDefault="00274557">
      <w:pPr>
        <w:pStyle w:val="TableofFigures"/>
        <w:rPr>
          <w:rFonts w:asciiTheme="minorHAnsi" w:eastAsiaTheme="minorEastAsia" w:hAnsiTheme="minorHAnsi"/>
          <w:noProof/>
          <w:kern w:val="2"/>
          <w:sz w:val="22"/>
          <w14:ligatures w14:val="standardContextual"/>
        </w:rPr>
      </w:pPr>
      <w:hyperlink w:anchor="_Toc192875241" w:history="1">
        <w:r>
          <w:rPr>
            <w:rStyle w:val="Hyperlink"/>
            <w:noProof/>
          </w:rPr>
          <w:t>Table 13</w:t>
        </w:r>
        <w:r>
          <w:rPr>
            <w:rStyle w:val="Hyperlink"/>
            <w:noProof/>
          </w:rPr>
          <w:noBreakHyphen/>
          <w:t>18: Requirement Examples Based on CMS/PMBOK Guidelines</w:t>
        </w:r>
        <w:r>
          <w:rPr>
            <w:noProof/>
            <w:webHidden/>
          </w:rPr>
          <w:tab/>
        </w:r>
        <w:r>
          <w:rPr>
            <w:noProof/>
            <w:webHidden/>
          </w:rPr>
          <w:fldChar w:fldCharType="begin"/>
        </w:r>
        <w:r>
          <w:rPr>
            <w:noProof/>
            <w:webHidden/>
          </w:rPr>
          <w:instrText xml:space="preserve"> PAGEREF _Toc192875241 \h </w:instrText>
        </w:r>
        <w:r>
          <w:rPr>
            <w:noProof/>
            <w:webHidden/>
          </w:rPr>
        </w:r>
        <w:r>
          <w:rPr>
            <w:noProof/>
            <w:webHidden/>
          </w:rPr>
          <w:fldChar w:fldCharType="separate"/>
        </w:r>
        <w:r>
          <w:rPr>
            <w:noProof/>
            <w:webHidden/>
          </w:rPr>
          <w:t>279</w:t>
        </w:r>
        <w:r>
          <w:rPr>
            <w:noProof/>
            <w:webHidden/>
          </w:rPr>
          <w:fldChar w:fldCharType="end"/>
        </w:r>
      </w:hyperlink>
    </w:p>
    <w:p w14:paraId="6BC20A2F" w14:textId="7B803AAA" w:rsidR="00C44BDF" w:rsidRPr="00A21682" w:rsidRDefault="00AA3230" w:rsidP="00FA55D2">
      <w:pPr>
        <w:pStyle w:val="DCTableHeader"/>
      </w:pPr>
      <w:r>
        <w:fldChar w:fldCharType="end"/>
      </w:r>
    </w:p>
    <w:p w14:paraId="2E47378B" w14:textId="77777777" w:rsidR="003D5AD4" w:rsidRPr="00A21682" w:rsidRDefault="003D5AD4" w:rsidP="009A084A"/>
    <w:p w14:paraId="5ECF2881" w14:textId="64D72F87" w:rsidR="003D5AD4" w:rsidRPr="00A21682" w:rsidRDefault="003D5AD4" w:rsidP="009A084A">
      <w:pPr>
        <w:sectPr w:rsidR="003D5AD4" w:rsidRPr="00A21682" w:rsidSect="00FB4E23">
          <w:footerReference w:type="default" r:id="rId15"/>
          <w:pgSz w:w="12240" w:h="15840"/>
          <w:pgMar w:top="1440" w:right="1440" w:bottom="1440" w:left="1440" w:header="720" w:footer="720" w:gutter="0"/>
          <w:pgNumType w:fmt="lowerRoman" w:start="1"/>
          <w:cols w:space="720"/>
          <w:docGrid w:linePitch="360"/>
        </w:sectPr>
      </w:pPr>
    </w:p>
    <w:p w14:paraId="10F3364A" w14:textId="789EAD90" w:rsidR="00A0139F" w:rsidRPr="00A21682" w:rsidRDefault="002E696E" w:rsidP="005D4573">
      <w:pPr>
        <w:pStyle w:val="Heading1nonumber"/>
      </w:pPr>
      <w:bookmarkStart w:id="0" w:name="_Toc177118901"/>
      <w:bookmarkStart w:id="1" w:name="_Toc185952456"/>
      <w:bookmarkStart w:id="2" w:name="_Toc192874631"/>
      <w:r>
        <w:lastRenderedPageBreak/>
        <w:t>Preface</w:t>
      </w:r>
      <w:bookmarkEnd w:id="0"/>
      <w:bookmarkEnd w:id="1"/>
      <w:bookmarkEnd w:id="2"/>
    </w:p>
    <w:p w14:paraId="6DE40170" w14:textId="24019A0F" w:rsidR="00725EA2" w:rsidRPr="00A21682" w:rsidRDefault="00725EA2" w:rsidP="00FA55D2">
      <w:pPr>
        <w:pStyle w:val="NormalNEW"/>
        <w:rPr>
          <w:lang w:val="en-US"/>
        </w:rPr>
      </w:pPr>
      <w:r>
        <w:rPr>
          <w:lang w:val="en-US"/>
        </w:rPr>
        <w:t xml:space="preserve">This Project Management Plan (PMP) provides a comprehensive overview of the management approaches for the New York State Department of Health Office of Health Insurance Programs (DOH OHIP), Continuing Medicaid Eligibility Modernization project. This project could have multiple sub-projects including the Medicaid Eligibility and Client Management (MECM) system, Appeals Solution, and future enhancements. It serves as a baseline any associated projects and details </w:t>
      </w:r>
      <w:r>
        <w:rPr>
          <w:highlight w:val="black"/>
          <w:lang w:val="en-US"/>
        </w:rPr>
        <w:t>███████’s</w:t>
      </w:r>
      <w:r>
        <w:rPr>
          <w:lang w:val="en-US"/>
        </w:rPr>
        <w:t xml:space="preserve"> and DOH OHIP’s approach and plan for project management of the Continuing Medicaid Eligibility Modernization project. The document outlines the strategic approach and methodologies employed to promote the successful planning, execution, and monitoring of the project. </w:t>
      </w:r>
    </w:p>
    <w:p w14:paraId="5F1805E5" w14:textId="43D5392A" w:rsidR="00725EA2" w:rsidRPr="00A21682" w:rsidRDefault="00725EA2" w:rsidP="00FA55D2">
      <w:pPr>
        <w:pStyle w:val="NormalNEW"/>
        <w:rPr>
          <w:lang w:val="en-US"/>
        </w:rPr>
      </w:pPr>
      <w:r>
        <w:rPr>
          <w:lang w:val="en-US"/>
        </w:rPr>
        <w:t xml:space="preserve">The PMP documents the structure, processes, and resources that are used to execute the project; covers the project organization, approach and timeline, work planning and controls, resource management, tools, and communication plans; and serves as a single reference point for policies and procedures for project management responsibilities. The PMP serves as the foundation for the project team to organize, prioritize, coordinate, integrate, and monitor project activities. </w:t>
      </w:r>
    </w:p>
    <w:p w14:paraId="37A704B9" w14:textId="00DFC9B7" w:rsidR="00725EA2" w:rsidRPr="00A21682" w:rsidRDefault="00725EA2" w:rsidP="00FA55D2">
      <w:pPr>
        <w:pStyle w:val="NormalNEW"/>
        <w:rPr>
          <w:lang w:val="en-US"/>
        </w:rPr>
      </w:pPr>
      <w:r>
        <w:rPr>
          <w:lang w:val="en-US"/>
        </w:rPr>
        <w:t xml:space="preserve">The PMP provides project team members, stakeholders, and decision-makers with a clear roadmap to navigate the complexities of the Continuing Medicaid Eligibility Modernization project and achieve the desired outcomes. The PMP, which is organized into twelve sections, addresses the following areas of project management: </w:t>
      </w:r>
    </w:p>
    <w:p w14:paraId="1D6D0194"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Governance Structure</w:t>
      </w:r>
    </w:p>
    <w:p w14:paraId="79E25278" w14:textId="2902CF93" w:rsidR="00725EA2" w:rsidRPr="00A21682" w:rsidRDefault="00966367"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Software Development Life Cycle (SDLC) Methodology</w:t>
      </w:r>
    </w:p>
    <w:p w14:paraId="7A82BF46"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Stakeholder Engagement Plan</w:t>
      </w:r>
    </w:p>
    <w:p w14:paraId="04F0E009"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Communications Management Plan</w:t>
      </w:r>
    </w:p>
    <w:p w14:paraId="27CF79A2"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Deliverable Management Plan</w:t>
      </w:r>
    </w:p>
    <w:p w14:paraId="5D7A16D0"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Budget Management Plan</w:t>
      </w:r>
    </w:p>
    <w:p w14:paraId="2FCA1709"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Quality Management Plan</w:t>
      </w:r>
    </w:p>
    <w:p w14:paraId="76E27634" w14:textId="0D99893F"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Resource Management Plan</w:t>
      </w:r>
    </w:p>
    <w:p w14:paraId="68DDA319" w14:textId="2F53BC1F" w:rsidR="00725EA2" w:rsidRPr="00A21682" w:rsidRDefault="005F0B76"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Project Controls Plan</w:t>
      </w:r>
    </w:p>
    <w:p w14:paraId="19C6D9D0" w14:textId="1A90DE10"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Integrated Change Control Process</w:t>
      </w:r>
    </w:p>
    <w:p w14:paraId="7C9ED155"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Schedule Management Plan</w:t>
      </w:r>
    </w:p>
    <w:p w14:paraId="73D1A2BC" w14:textId="77777777" w:rsidR="00725EA2" w:rsidRPr="00A21682" w:rsidRDefault="00725EA2" w:rsidP="00B24129">
      <w:pPr>
        <w:numPr>
          <w:ilvl w:val="0"/>
          <w:numId w:val="18"/>
        </w:numPr>
        <w:spacing w:after="60"/>
        <w:textAlignment w:val="center"/>
        <w:rPr>
          <w:rFonts w:ascii="Verdana" w:eastAsia="Times New Roman" w:hAnsi="Verdana"/>
          <w:sz w:val="18"/>
          <w:szCs w:val="18"/>
        </w:rPr>
      </w:pPr>
      <w:r>
        <w:rPr>
          <w:rFonts w:ascii="Verdana" w:eastAsia="Times New Roman" w:hAnsi="Verdana"/>
          <w:sz w:val="18"/>
          <w:szCs w:val="18"/>
        </w:rPr>
        <w:t>Requirements Management Plan</w:t>
      </w:r>
    </w:p>
    <w:p w14:paraId="4C5D060D" w14:textId="77777777" w:rsidR="00725EA2" w:rsidRPr="00A21682" w:rsidRDefault="00725EA2" w:rsidP="00725EA2">
      <w:pPr>
        <w:rPr>
          <w:rFonts w:ascii="Verdana" w:eastAsia="Times New Roman" w:hAnsi="Verdana"/>
          <w:sz w:val="18"/>
          <w:szCs w:val="18"/>
        </w:rPr>
      </w:pPr>
      <w:r>
        <w:rPr>
          <w:rFonts w:ascii="Verdana" w:eastAsia="Times New Roman" w:hAnsi="Verdana"/>
          <w:sz w:val="18"/>
          <w:szCs w:val="18"/>
        </w:rPr>
        <w:t> </w:t>
      </w:r>
    </w:p>
    <w:p w14:paraId="1ABD2C46" w14:textId="6EEA4D1E" w:rsidR="00133FD1" w:rsidRPr="00A21682" w:rsidRDefault="00092DDF" w:rsidP="0006122F">
      <w:pPr>
        <w:pStyle w:val="NormalNEW"/>
        <w:rPr>
          <w:lang w:val="en-US"/>
        </w:rPr>
      </w:pPr>
      <w:r>
        <w:rPr>
          <w:lang w:val="en-US"/>
        </w:rPr>
        <w:t xml:space="preserve">Upon approval by DOH OHIP, the PMP will be updated and maintained throughout the duration of the project to reflect the current, agreed-upon project management approach. </w:t>
      </w:r>
    </w:p>
    <w:p w14:paraId="716A85C5" w14:textId="655D9948" w:rsidR="00A0139F" w:rsidRPr="00A21682" w:rsidRDefault="00A0139F" w:rsidP="00DD12D4">
      <w:pPr>
        <w:pStyle w:val="NormalNEW"/>
        <w:rPr>
          <w:lang w:val="en-US"/>
        </w:rPr>
      </w:pPr>
    </w:p>
    <w:p w14:paraId="6C000E62" w14:textId="77777777" w:rsidR="00A0139F" w:rsidRPr="00A21682" w:rsidRDefault="00A0139F" w:rsidP="00DD12D4">
      <w:pPr>
        <w:pStyle w:val="NormalNEW"/>
        <w:rPr>
          <w:lang w:val="en-US"/>
        </w:rPr>
        <w:sectPr w:rsidR="00A0139F" w:rsidRPr="00A21682" w:rsidSect="00FB4E23">
          <w:footerReference w:type="default" r:id="rId16"/>
          <w:pgSz w:w="12240" w:h="15840"/>
          <w:pgMar w:top="1440" w:right="1440" w:bottom="1440" w:left="1440" w:header="720" w:footer="720" w:gutter="0"/>
          <w:pgNumType w:start="1"/>
          <w:cols w:space="720"/>
          <w:docGrid w:linePitch="360"/>
        </w:sectPr>
      </w:pPr>
    </w:p>
    <w:p w14:paraId="5278D7C7" w14:textId="62F837DF" w:rsidR="00AE2710" w:rsidRPr="00A21682" w:rsidRDefault="00030E07" w:rsidP="00A9704C">
      <w:pPr>
        <w:pStyle w:val="Deliverable"/>
        <w:jc w:val="center"/>
      </w:pPr>
      <w:r>
        <w:rPr>
          <w:color w:val="FFFFFF" w:themeColor="background1"/>
        </w:rPr>
        <w:lastRenderedPageBreak/>
        <w:t>Section 1 – Governance Structure</w:t>
      </w:r>
    </w:p>
    <w:p w14:paraId="543EA70E" w14:textId="553AF93F" w:rsidR="00AE2710" w:rsidRPr="00A21682" w:rsidRDefault="00AE2710" w:rsidP="009A084A">
      <w:pPr>
        <w:sectPr w:rsidR="00AE2710" w:rsidRPr="00A21682" w:rsidSect="00FB4E23">
          <w:headerReference w:type="default" r:id="rId17"/>
          <w:pgSz w:w="12240" w:h="15840" w:code="1"/>
          <w:pgMar w:top="1440" w:right="1440" w:bottom="1440" w:left="1440" w:header="720" w:footer="720" w:gutter="0"/>
          <w:cols w:space="720"/>
          <w:vAlign w:val="center"/>
          <w:docGrid w:linePitch="360"/>
        </w:sectPr>
      </w:pPr>
    </w:p>
    <w:p w14:paraId="6006C120" w14:textId="6DB04152" w:rsidR="009A084A" w:rsidRPr="00A21682" w:rsidRDefault="003C4713">
      <w:pPr>
        <w:pStyle w:val="Heading1"/>
      </w:pPr>
      <w:bookmarkStart w:id="3" w:name="_Toc177118902"/>
      <w:bookmarkStart w:id="4" w:name="_Toc185952457"/>
      <w:bookmarkStart w:id="5" w:name="_Toc192874632"/>
      <w:r>
        <w:lastRenderedPageBreak/>
        <w:t>Governance Structure</w:t>
      </w:r>
      <w:bookmarkEnd w:id="3"/>
      <w:bookmarkEnd w:id="4"/>
      <w:bookmarkEnd w:id="5"/>
    </w:p>
    <w:p w14:paraId="12294E47" w14:textId="17DE24EF" w:rsidR="00396960" w:rsidRPr="00A21682" w:rsidRDefault="00396960">
      <w:pPr>
        <w:pStyle w:val="Heading2"/>
      </w:pPr>
      <w:bookmarkStart w:id="6" w:name="_Toc143696777"/>
      <w:bookmarkStart w:id="7" w:name="_Toc143697007"/>
      <w:bookmarkStart w:id="8" w:name="_Toc143697759"/>
      <w:bookmarkStart w:id="9" w:name="_Toc143700159"/>
      <w:bookmarkStart w:id="10" w:name="_Toc152838932"/>
      <w:bookmarkStart w:id="11" w:name="_Toc177118903"/>
      <w:bookmarkStart w:id="12" w:name="_Toc185952458"/>
      <w:bookmarkStart w:id="13" w:name="_Toc192874633"/>
      <w:r>
        <w:t>Introduction</w:t>
      </w:r>
      <w:bookmarkEnd w:id="6"/>
      <w:bookmarkEnd w:id="7"/>
      <w:bookmarkEnd w:id="8"/>
      <w:bookmarkEnd w:id="9"/>
      <w:bookmarkEnd w:id="10"/>
      <w:bookmarkEnd w:id="11"/>
      <w:bookmarkEnd w:id="12"/>
      <w:bookmarkEnd w:id="13"/>
    </w:p>
    <w:p w14:paraId="55ACB06A" w14:textId="4DBF7D6C" w:rsidR="00396960" w:rsidRPr="00A21682" w:rsidRDefault="005A47AE" w:rsidP="008E3289">
      <w:pPr>
        <w:pStyle w:val="NormalNEW"/>
        <w:rPr>
          <w:lang w:val="en-US"/>
        </w:rPr>
      </w:pPr>
      <w:bookmarkStart w:id="14" w:name="_Toc141248314"/>
      <w:bookmarkStart w:id="15" w:name="_Toc143696778"/>
      <w:bookmarkStart w:id="16" w:name="_Toc143697008"/>
      <w:bookmarkStart w:id="17" w:name="_Toc143697760"/>
      <w:bookmarkStart w:id="18" w:name="_Toc143700160"/>
      <w:r>
        <w:rPr>
          <w:lang w:val="en-US"/>
        </w:rPr>
        <w:t>The Governance Structure provides the framework to effectively align key functions, leadership, and execution to deliver project success. The Governance structure intends to support the Continuing Medicaid Eligibility Modernization</w:t>
      </w:r>
      <w:r>
        <w:rPr>
          <w:color w:val="FF0000"/>
          <w:lang w:val="en-US"/>
        </w:rPr>
        <w:t xml:space="preserve"> </w:t>
      </w:r>
      <w:r>
        <w:rPr>
          <w:lang w:val="en-US"/>
        </w:rPr>
        <w:t>project by standardizing processes and improving efficiency. This document outlines how committees, processes, and cadences interact to form a comprehensive Governance Structure.</w:t>
      </w:r>
    </w:p>
    <w:p w14:paraId="5CF8BC4E" w14:textId="77777777" w:rsidR="00396960" w:rsidRPr="00A21682" w:rsidRDefault="00396960">
      <w:pPr>
        <w:pStyle w:val="Heading2"/>
      </w:pPr>
      <w:bookmarkStart w:id="19" w:name="_Toc152838933"/>
      <w:bookmarkStart w:id="20" w:name="_Toc177118904"/>
      <w:bookmarkStart w:id="21" w:name="_Toc185952459"/>
      <w:bookmarkStart w:id="22" w:name="_Toc192874634"/>
      <w:bookmarkEnd w:id="14"/>
      <w:r>
        <w:t>Purpose</w:t>
      </w:r>
      <w:bookmarkEnd w:id="15"/>
      <w:bookmarkEnd w:id="16"/>
      <w:bookmarkEnd w:id="17"/>
      <w:bookmarkEnd w:id="18"/>
      <w:bookmarkEnd w:id="19"/>
      <w:bookmarkEnd w:id="20"/>
      <w:bookmarkEnd w:id="21"/>
      <w:bookmarkEnd w:id="22"/>
    </w:p>
    <w:p w14:paraId="4D5CE875" w14:textId="77777777" w:rsidR="00396960" w:rsidRPr="00A21682" w:rsidRDefault="00396960" w:rsidP="00DD12D4">
      <w:pPr>
        <w:pStyle w:val="NormalNEW"/>
        <w:rPr>
          <w:rStyle w:val="normaltextrun"/>
          <w:lang w:val="en-US"/>
        </w:rPr>
      </w:pPr>
      <w:bookmarkStart w:id="23" w:name="_Toc143696779"/>
      <w:bookmarkStart w:id="24" w:name="_Toc143697009"/>
      <w:bookmarkStart w:id="25" w:name="_Toc143697761"/>
      <w:bookmarkStart w:id="26" w:name="_Toc143700161"/>
      <w:r>
        <w:rPr>
          <w:rStyle w:val="normaltextrun"/>
          <w:lang w:val="en-US"/>
        </w:rPr>
        <w:t>The Governance Structure outlines key components of how the project will be governed. The right team structure, supported by a decision authority and escalation framework, is essential for defining successful project governance. Project escalation procedures are directly aligned with the project governance hierarchy.</w:t>
      </w:r>
    </w:p>
    <w:p w14:paraId="004EAE78" w14:textId="77777777" w:rsidR="00396960" w:rsidRPr="00A21682" w:rsidRDefault="00396960" w:rsidP="00DD12D4">
      <w:pPr>
        <w:pStyle w:val="NormalNEW"/>
        <w:rPr>
          <w:rStyle w:val="normaltextrun"/>
          <w:lang w:val="en-US"/>
        </w:rPr>
      </w:pPr>
      <w:r>
        <w:rPr>
          <w:rStyle w:val="normaltextrun"/>
          <w:lang w:val="en-US"/>
        </w:rPr>
        <w:t>The objective of the Governance Structure is to provide a structure that achieves the following:</w:t>
      </w:r>
    </w:p>
    <w:p w14:paraId="6587DC87" w14:textId="77777777" w:rsidR="00396960" w:rsidRPr="00A21682" w:rsidRDefault="00396960" w:rsidP="0031550A">
      <w:pPr>
        <w:pStyle w:val="BulletNEW"/>
      </w:pPr>
      <w:r>
        <w:t>Outlines the overall governance approach to achieve project analysis, control, review, and decision making</w:t>
      </w:r>
    </w:p>
    <w:p w14:paraId="282403F5" w14:textId="6CEB747C" w:rsidR="00396960" w:rsidRPr="00A21682" w:rsidRDefault="00396960" w:rsidP="0031550A">
      <w:pPr>
        <w:pStyle w:val="BulletNEW"/>
      </w:pPr>
      <w:r>
        <w:t>Identifies the responsibilities of each governance body: Executive Governance, Managerial Governance, and Project Administration and Execution</w:t>
      </w:r>
    </w:p>
    <w:p w14:paraId="08B898DC" w14:textId="77777777" w:rsidR="00396960" w:rsidRPr="00A21682" w:rsidRDefault="00396960" w:rsidP="0031550A">
      <w:pPr>
        <w:pStyle w:val="BulletNEW"/>
      </w:pPr>
      <w:r>
        <w:t>Defines processes for how governance bodies escalate and address items</w:t>
      </w:r>
      <w:bookmarkStart w:id="27" w:name="_Toc143696780"/>
      <w:bookmarkStart w:id="28" w:name="_Toc143697010"/>
      <w:bookmarkStart w:id="29" w:name="_Toc143697762"/>
      <w:bookmarkStart w:id="30" w:name="_Toc143700162"/>
      <w:bookmarkEnd w:id="23"/>
      <w:bookmarkEnd w:id="24"/>
      <w:bookmarkEnd w:id="25"/>
      <w:bookmarkEnd w:id="26"/>
    </w:p>
    <w:p w14:paraId="2CCCF502" w14:textId="77777777" w:rsidR="00396960" w:rsidRPr="00A21682" w:rsidRDefault="00396960">
      <w:pPr>
        <w:pStyle w:val="Heading2"/>
      </w:pPr>
      <w:bookmarkStart w:id="31" w:name="_Toc152838934"/>
      <w:bookmarkStart w:id="32" w:name="_Toc177118905"/>
      <w:bookmarkStart w:id="33" w:name="_Toc185952460"/>
      <w:bookmarkStart w:id="34" w:name="_Toc192874635"/>
      <w:bookmarkEnd w:id="27"/>
      <w:bookmarkEnd w:id="28"/>
      <w:bookmarkEnd w:id="29"/>
      <w:bookmarkEnd w:id="30"/>
      <w:r>
        <w:t>Approach</w:t>
      </w:r>
      <w:bookmarkEnd w:id="31"/>
      <w:bookmarkEnd w:id="32"/>
      <w:bookmarkEnd w:id="33"/>
      <w:bookmarkEnd w:id="34"/>
    </w:p>
    <w:p w14:paraId="4DE01356" w14:textId="1BDC020F" w:rsidR="00396960" w:rsidRPr="00A21682" w:rsidRDefault="00396960" w:rsidP="008E3289">
      <w:pPr>
        <w:pStyle w:val="NormalNEW"/>
        <w:rPr>
          <w:lang w:val="en-US"/>
        </w:rPr>
      </w:pPr>
      <w:r>
        <w:rPr>
          <w:lang w:val="en-US"/>
        </w:rPr>
        <w:t>The Governance Structure is comprised of three levels: Executive Governance, Managerial Governance, and Project Administration and Execution. Within each governance level, committees maintain responsibilities across activities throughout the project life cycle. Committees include members of both, ███████ and New York State DOH OHIP teams, to confirm that decisions align with project priorities and with team expertise. The subsequent sections describe the committees in detail.</w:t>
      </w:r>
    </w:p>
    <w:p w14:paraId="28529A44" w14:textId="62CEC92D" w:rsidR="00396960" w:rsidRPr="00A21682" w:rsidRDefault="00396960" w:rsidP="008E3289">
      <w:pPr>
        <w:pStyle w:val="NormalNEW"/>
        <w:rPr>
          <w:lang w:val="en-US"/>
        </w:rPr>
      </w:pPr>
      <w:r>
        <w:rPr>
          <w:lang w:val="en-US"/>
        </w:rPr>
        <w:t xml:space="preserve">Figure 1-1 illustrates how the various governance committees share information and contribute to the project’s overall escalation framework. </w:t>
      </w:r>
    </w:p>
    <w:p w14:paraId="03F4FC3F" w14:textId="5B488556" w:rsidR="00396960" w:rsidRPr="00A21682" w:rsidRDefault="00396960" w:rsidP="00396960">
      <w:pPr>
        <w:spacing w:before="120" w:after="120" w:line="240" w:lineRule="atLeast"/>
        <w:rPr>
          <w:rFonts w:ascii="Verdana" w:eastAsia="Calibri" w:hAnsi="Verdana" w:cs="Arial Narrow"/>
          <w:sz w:val="18"/>
          <w:szCs w:val="18"/>
        </w:rPr>
      </w:pPr>
    </w:p>
    <w:p w14:paraId="6CA28180" w14:textId="77777777" w:rsidR="00396960" w:rsidRPr="00A21682" w:rsidRDefault="00396960" w:rsidP="00396960">
      <w:pPr>
        <w:spacing w:before="120" w:after="120" w:line="240" w:lineRule="atLeast"/>
        <w:rPr>
          <w:rFonts w:ascii="Verdana" w:eastAsia="Calibri" w:hAnsi="Verdana" w:cs="Arial Narrow"/>
          <w:sz w:val="18"/>
          <w:szCs w:val="18"/>
        </w:rPr>
      </w:pPr>
    </w:p>
    <w:p w14:paraId="314F0BB4" w14:textId="2784F42F" w:rsidR="00396960" w:rsidRPr="00A21682" w:rsidRDefault="00396960" w:rsidP="00396960">
      <w:pPr>
        <w:rPr>
          <w:rFonts w:ascii="Verdana" w:eastAsia="Calibri" w:hAnsi="Verdana" w:cs="Arial Narrow"/>
          <w:sz w:val="18"/>
          <w:szCs w:val="18"/>
        </w:rPr>
      </w:pPr>
      <w:r>
        <w:rPr>
          <w:rFonts w:ascii="Verdana" w:hAnsi="Verdana"/>
          <w:sz w:val="18"/>
          <w:szCs w:val="18"/>
        </w:rPr>
        <w:br w:type="page"/>
      </w:r>
    </w:p>
    <w:p w14:paraId="0BDC9A40" w14:textId="322AABE7" w:rsidR="008E3289" w:rsidRPr="00A21682" w:rsidRDefault="008E3289" w:rsidP="008E3289">
      <w:pPr>
        <w:pStyle w:val="NormalNEW"/>
        <w:jc w:val="center"/>
        <w:rPr>
          <w:lang w:val="en-US"/>
        </w:rPr>
      </w:pPr>
    </w:p>
    <w:p w14:paraId="0D4D21DD" w14:textId="4888562D" w:rsidR="00576B6D" w:rsidRPr="00A21682" w:rsidRDefault="00D025FD" w:rsidP="008E3289">
      <w:pPr>
        <w:pStyle w:val="NormalNEW"/>
        <w:jc w:val="center"/>
        <w:rPr>
          <w:lang w:val="en-US"/>
        </w:rPr>
      </w:pPr>
      <w:r>
        <w:rPr>
          <w:noProof/>
          <w:lang w:val="en-US"/>
        </w:rPr>
        <w:drawing>
          <wp:inline distT="0" distB="0" distL="0" distR="0" wp14:anchorId="4F931A13" wp14:editId="7A6FEB82">
            <wp:extent cx="5345723" cy="4344542"/>
            <wp:effectExtent l="19050" t="19050" r="26670" b="184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49532" cy="4347637"/>
                    </a:xfrm>
                    <a:prstGeom prst="rect">
                      <a:avLst/>
                    </a:prstGeom>
                    <a:ln w="9525">
                      <a:solidFill>
                        <a:schemeClr val="tx1"/>
                      </a:solidFill>
                    </a:ln>
                  </pic:spPr>
                </pic:pic>
              </a:graphicData>
            </a:graphic>
          </wp:inline>
        </w:drawing>
      </w:r>
    </w:p>
    <w:p w14:paraId="03298B25" w14:textId="076A13EA" w:rsidR="008E3289" w:rsidRPr="00A21682" w:rsidRDefault="008E3289" w:rsidP="008E3289">
      <w:pPr>
        <w:pStyle w:val="Caption"/>
        <w:rPr>
          <w:noProof w:val="0"/>
        </w:rPr>
      </w:pPr>
      <w:bookmarkStart w:id="35" w:name="_Toc178152022"/>
      <w:bookmarkStart w:id="36" w:name="_Toc192875037"/>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1</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Governance Structure</w:t>
      </w:r>
      <w:bookmarkEnd w:id="35"/>
      <w:bookmarkEnd w:id="36"/>
    </w:p>
    <w:p w14:paraId="4080CA23" w14:textId="459B279B" w:rsidR="00396960" w:rsidRPr="00A21682" w:rsidRDefault="00396960" w:rsidP="008E3289">
      <w:pPr>
        <w:pStyle w:val="NormalNEW"/>
        <w:rPr>
          <w:lang w:val="en-US"/>
        </w:rPr>
      </w:pPr>
      <w:r>
        <w:rPr>
          <w:lang w:val="en-US"/>
        </w:rPr>
        <w:t xml:space="preserve">Table 1-1 illustrates the membership of each level of the Governance Structure: </w:t>
      </w:r>
    </w:p>
    <w:tbl>
      <w:tblPr>
        <w:tblStyle w:val="TableGrid21"/>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26"/>
        <w:gridCol w:w="2103"/>
        <w:gridCol w:w="1899"/>
        <w:gridCol w:w="2117"/>
      </w:tblGrid>
      <w:tr w:rsidR="003F5645" w:rsidRPr="00A21682" w14:paraId="731D6F53" w14:textId="77777777" w:rsidTr="00862296">
        <w:trPr>
          <w:tblHeader/>
          <w:jc w:val="center"/>
        </w:trPr>
        <w:tc>
          <w:tcPr>
            <w:tcW w:w="3126" w:type="dxa"/>
            <w:tcBorders>
              <w:top w:val="single" w:sz="2" w:space="0" w:color="FFFFFF" w:themeColor="background1"/>
              <w:left w:val="single" w:sz="4" w:space="0" w:color="auto"/>
              <w:bottom w:val="single" w:sz="2" w:space="0" w:color="FFFFFF" w:themeColor="background1"/>
              <w:right w:val="single" w:sz="2" w:space="0" w:color="FFFFFF" w:themeColor="background1"/>
            </w:tcBorders>
            <w:shd w:val="clear" w:color="auto" w:fill="000000" w:themeFill="text1"/>
            <w:vAlign w:val="center"/>
          </w:tcPr>
          <w:p w14:paraId="117F8002" w14:textId="77777777" w:rsidR="00396960" w:rsidRPr="00A21682" w:rsidRDefault="00396960" w:rsidP="00944B85">
            <w:pPr>
              <w:pStyle w:val="TABLEHEADINGNEW"/>
            </w:pPr>
            <w:r>
              <w:t>Role</w:t>
            </w:r>
          </w:p>
        </w:tc>
        <w:tc>
          <w:tcPr>
            <w:tcW w:w="210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00000" w:themeFill="text1"/>
            <w:vAlign w:val="center"/>
          </w:tcPr>
          <w:p w14:paraId="635E98DA" w14:textId="686ACC1C" w:rsidR="00396960" w:rsidRPr="00A21682" w:rsidRDefault="00396960" w:rsidP="00944B85">
            <w:pPr>
              <w:pStyle w:val="TABLEHEADINGNEW"/>
            </w:pPr>
            <w:r>
              <w:t>Executive Governance</w:t>
            </w:r>
          </w:p>
        </w:tc>
        <w:tc>
          <w:tcPr>
            <w:tcW w:w="189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00000" w:themeFill="text1"/>
            <w:vAlign w:val="center"/>
          </w:tcPr>
          <w:p w14:paraId="3F1AD204" w14:textId="77777777" w:rsidR="00396960" w:rsidRPr="00A21682" w:rsidRDefault="00396960" w:rsidP="00944B85">
            <w:pPr>
              <w:pStyle w:val="TABLEHEADINGNEW"/>
            </w:pPr>
            <w:r>
              <w:t>Managerial Governance</w:t>
            </w:r>
          </w:p>
        </w:tc>
        <w:tc>
          <w:tcPr>
            <w:tcW w:w="2117" w:type="dxa"/>
            <w:tcBorders>
              <w:top w:val="single" w:sz="2" w:space="0" w:color="FFFFFF" w:themeColor="background1"/>
              <w:left w:val="single" w:sz="2" w:space="0" w:color="FFFFFF" w:themeColor="background1"/>
              <w:bottom w:val="single" w:sz="2" w:space="0" w:color="FFFFFF" w:themeColor="background1"/>
              <w:right w:val="single" w:sz="4" w:space="0" w:color="auto"/>
            </w:tcBorders>
            <w:shd w:val="clear" w:color="auto" w:fill="000000" w:themeFill="text1"/>
            <w:vAlign w:val="center"/>
          </w:tcPr>
          <w:p w14:paraId="02F7AFBC" w14:textId="77777777" w:rsidR="00396960" w:rsidRPr="00A21682" w:rsidRDefault="00396960" w:rsidP="00944B85">
            <w:pPr>
              <w:pStyle w:val="TABLEHEADINGNEW"/>
            </w:pPr>
            <w:r>
              <w:t>Project Administration and Execution</w:t>
            </w:r>
          </w:p>
        </w:tc>
      </w:tr>
      <w:tr w:rsidR="00396960" w:rsidRPr="00A21682" w14:paraId="4DED1711" w14:textId="77777777" w:rsidTr="00862296">
        <w:trPr>
          <w:jc w:val="center"/>
        </w:trPr>
        <w:tc>
          <w:tcPr>
            <w:tcW w:w="3126" w:type="dxa"/>
            <w:tcBorders>
              <w:top w:val="single" w:sz="2" w:space="0" w:color="FFFFFF" w:themeColor="background1"/>
            </w:tcBorders>
            <w:vAlign w:val="center"/>
          </w:tcPr>
          <w:p w14:paraId="4B44AD8D" w14:textId="77777777" w:rsidR="00396960" w:rsidRPr="00A21682" w:rsidRDefault="00396960" w:rsidP="008E3289">
            <w:pPr>
              <w:pStyle w:val="TABLETEXT1"/>
              <w:spacing w:before="40" w:after="40"/>
              <w:rPr>
                <w:lang w:val="en-US"/>
              </w:rPr>
            </w:pPr>
            <w:r>
              <w:rPr>
                <w:lang w:val="en-US"/>
              </w:rPr>
              <w:t>Medicaid Director</w:t>
            </w:r>
          </w:p>
        </w:tc>
        <w:tc>
          <w:tcPr>
            <w:tcW w:w="2103" w:type="dxa"/>
            <w:tcBorders>
              <w:top w:val="single" w:sz="2" w:space="0" w:color="FFFFFF" w:themeColor="background1"/>
            </w:tcBorders>
            <w:vAlign w:val="center"/>
          </w:tcPr>
          <w:p w14:paraId="24C2E872"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color w:val="4D5156"/>
                <w:sz w:val="18"/>
                <w:szCs w:val="18"/>
                <w:shd w:val="clear" w:color="auto" w:fill="FFFFFF"/>
              </w:rPr>
              <w:t>✔</w:t>
            </w:r>
          </w:p>
        </w:tc>
        <w:tc>
          <w:tcPr>
            <w:tcW w:w="1899" w:type="dxa"/>
            <w:tcBorders>
              <w:top w:val="single" w:sz="2" w:space="0" w:color="FFFFFF" w:themeColor="background1"/>
            </w:tcBorders>
            <w:vAlign w:val="center"/>
          </w:tcPr>
          <w:p w14:paraId="645C184E" w14:textId="77777777" w:rsidR="00396960" w:rsidRPr="00A21682" w:rsidRDefault="00396960" w:rsidP="008E3289">
            <w:pPr>
              <w:spacing w:before="40" w:after="40"/>
              <w:jc w:val="center"/>
              <w:rPr>
                <w:rFonts w:ascii="Verdana" w:hAnsi="Verdana"/>
                <w:sz w:val="18"/>
                <w:szCs w:val="18"/>
              </w:rPr>
            </w:pPr>
          </w:p>
        </w:tc>
        <w:tc>
          <w:tcPr>
            <w:tcW w:w="2117" w:type="dxa"/>
            <w:tcBorders>
              <w:top w:val="single" w:sz="2" w:space="0" w:color="FFFFFF" w:themeColor="background1"/>
            </w:tcBorders>
            <w:vAlign w:val="center"/>
          </w:tcPr>
          <w:p w14:paraId="3C1D5FB3" w14:textId="77777777" w:rsidR="00396960" w:rsidRPr="00A21682" w:rsidRDefault="00396960" w:rsidP="008E3289">
            <w:pPr>
              <w:spacing w:before="40" w:after="40"/>
              <w:jc w:val="center"/>
              <w:rPr>
                <w:rFonts w:ascii="Verdana" w:hAnsi="Verdana"/>
                <w:sz w:val="18"/>
                <w:szCs w:val="18"/>
              </w:rPr>
            </w:pPr>
          </w:p>
        </w:tc>
      </w:tr>
      <w:tr w:rsidR="00FC5906" w:rsidRPr="00A21682" w14:paraId="079E5866" w14:textId="77777777" w:rsidTr="00862296">
        <w:trPr>
          <w:jc w:val="center"/>
        </w:trPr>
        <w:tc>
          <w:tcPr>
            <w:tcW w:w="3126" w:type="dxa"/>
            <w:vAlign w:val="center"/>
          </w:tcPr>
          <w:p w14:paraId="1587D990" w14:textId="39DF7124" w:rsidR="00FC5906" w:rsidRPr="00A21682" w:rsidDel="0079560C" w:rsidRDefault="00FC5906" w:rsidP="008E3289">
            <w:pPr>
              <w:pStyle w:val="TABLETEXT1"/>
              <w:spacing w:before="40" w:after="40"/>
              <w:rPr>
                <w:lang w:val="en-US"/>
              </w:rPr>
            </w:pPr>
            <w:r>
              <w:rPr>
                <w:lang w:val="en-US"/>
              </w:rPr>
              <w:t>Medicaid Chief Operating Officer (COO)</w:t>
            </w:r>
          </w:p>
        </w:tc>
        <w:tc>
          <w:tcPr>
            <w:tcW w:w="2103" w:type="dxa"/>
            <w:vAlign w:val="center"/>
          </w:tcPr>
          <w:p w14:paraId="17B23930" w14:textId="37AC0C44" w:rsidR="00FC5906" w:rsidRPr="00A21682" w:rsidRDefault="00FC5906" w:rsidP="008E3289">
            <w:pPr>
              <w:spacing w:before="40" w:after="40"/>
              <w:jc w:val="center"/>
              <w:rPr>
                <w:rFonts w:ascii="Segoe UI Symbol" w:hAnsi="Segoe UI Symbol" w:cs="Segoe UI Symbol"/>
                <w:sz w:val="18"/>
                <w:szCs w:val="18"/>
                <w:shd w:val="clear" w:color="auto" w:fill="FFFFFF"/>
              </w:rPr>
            </w:pPr>
            <w:r>
              <w:rPr>
                <w:rFonts w:ascii="Segoe UI Symbol" w:hAnsi="Segoe UI Symbol" w:cs="Segoe UI Symbol"/>
                <w:color w:val="4D5156"/>
                <w:sz w:val="18"/>
                <w:szCs w:val="18"/>
                <w:shd w:val="clear" w:color="auto" w:fill="FFFFFF"/>
              </w:rPr>
              <w:t>✔</w:t>
            </w:r>
          </w:p>
        </w:tc>
        <w:tc>
          <w:tcPr>
            <w:tcW w:w="1899" w:type="dxa"/>
            <w:vAlign w:val="center"/>
          </w:tcPr>
          <w:p w14:paraId="2B48B20B" w14:textId="77777777" w:rsidR="00FC5906" w:rsidRPr="00A21682" w:rsidRDefault="00FC5906" w:rsidP="008E3289">
            <w:pPr>
              <w:spacing w:before="40" w:after="40"/>
              <w:jc w:val="center"/>
              <w:rPr>
                <w:rFonts w:ascii="Segoe UI Symbol" w:hAnsi="Segoe UI Symbol" w:cs="Segoe UI Symbol"/>
                <w:sz w:val="18"/>
                <w:szCs w:val="18"/>
                <w:shd w:val="clear" w:color="auto" w:fill="FFFFFF"/>
              </w:rPr>
            </w:pPr>
          </w:p>
        </w:tc>
        <w:tc>
          <w:tcPr>
            <w:tcW w:w="2117" w:type="dxa"/>
            <w:vAlign w:val="center"/>
          </w:tcPr>
          <w:p w14:paraId="1EE30E0A" w14:textId="77777777" w:rsidR="00FC5906" w:rsidRPr="00A21682" w:rsidRDefault="00FC5906" w:rsidP="008E3289">
            <w:pPr>
              <w:spacing w:before="40" w:after="40"/>
              <w:jc w:val="center"/>
              <w:rPr>
                <w:rFonts w:ascii="Verdana" w:hAnsi="Verdana"/>
                <w:sz w:val="18"/>
                <w:szCs w:val="18"/>
              </w:rPr>
            </w:pPr>
          </w:p>
        </w:tc>
      </w:tr>
      <w:tr w:rsidR="00396960" w:rsidRPr="00A21682" w14:paraId="7BC3CB7E" w14:textId="77777777" w:rsidTr="00862296">
        <w:trPr>
          <w:jc w:val="center"/>
        </w:trPr>
        <w:tc>
          <w:tcPr>
            <w:tcW w:w="3126" w:type="dxa"/>
            <w:vAlign w:val="center"/>
          </w:tcPr>
          <w:p w14:paraId="1B9AB421" w14:textId="71F013EF" w:rsidR="00396960" w:rsidRPr="00A21682" w:rsidRDefault="0079560C" w:rsidP="008E3289">
            <w:pPr>
              <w:pStyle w:val="TABLETEXT1"/>
              <w:spacing w:before="40" w:after="40"/>
              <w:rPr>
                <w:lang w:val="en-US"/>
              </w:rPr>
            </w:pPr>
            <w:r>
              <w:rPr>
                <w:lang w:val="en-US"/>
              </w:rPr>
              <w:t>Division of Eligibility and Marketplace Integration (DEMI) Director</w:t>
            </w:r>
          </w:p>
        </w:tc>
        <w:tc>
          <w:tcPr>
            <w:tcW w:w="2103" w:type="dxa"/>
            <w:vAlign w:val="center"/>
          </w:tcPr>
          <w:p w14:paraId="18FD1E5F"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4182E7D2" w14:textId="228491D1" w:rsidR="00396960" w:rsidRPr="00A21682" w:rsidRDefault="00C40569"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56043DCD" w14:textId="77777777" w:rsidR="00396960" w:rsidRPr="00A21682" w:rsidRDefault="00396960" w:rsidP="008E3289">
            <w:pPr>
              <w:spacing w:before="40" w:after="40"/>
              <w:jc w:val="center"/>
              <w:rPr>
                <w:rFonts w:ascii="Verdana" w:hAnsi="Verdana"/>
                <w:sz w:val="18"/>
                <w:szCs w:val="18"/>
              </w:rPr>
            </w:pPr>
          </w:p>
        </w:tc>
      </w:tr>
      <w:tr w:rsidR="00781CA5" w:rsidRPr="00A21682" w14:paraId="5D162E93" w14:textId="77777777" w:rsidTr="00862296">
        <w:trPr>
          <w:jc w:val="center"/>
        </w:trPr>
        <w:tc>
          <w:tcPr>
            <w:tcW w:w="3126" w:type="dxa"/>
            <w:vAlign w:val="center"/>
          </w:tcPr>
          <w:p w14:paraId="2CB34AF6" w14:textId="045100AA" w:rsidR="00781CA5" w:rsidRPr="00A21682" w:rsidRDefault="00C22F87">
            <w:pPr>
              <w:pStyle w:val="TABLETEXT1"/>
              <w:spacing w:before="40" w:after="40"/>
              <w:rPr>
                <w:lang w:val="en-US"/>
              </w:rPr>
            </w:pPr>
            <w:r>
              <w:rPr>
                <w:lang w:val="en-US"/>
              </w:rPr>
              <w:t>DEMI Deputy Director</w:t>
            </w:r>
          </w:p>
        </w:tc>
        <w:tc>
          <w:tcPr>
            <w:tcW w:w="2103" w:type="dxa"/>
            <w:vAlign w:val="center"/>
          </w:tcPr>
          <w:p w14:paraId="754F9229" w14:textId="0D1755BE" w:rsidR="00781CA5" w:rsidRPr="00A21682" w:rsidRDefault="00476910">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08A72416" w14:textId="77777777" w:rsidR="00781CA5" w:rsidRPr="00A21682" w:rsidRDefault="00781CA5">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0F2016C5" w14:textId="77777777" w:rsidR="00781CA5" w:rsidRPr="00A21682" w:rsidRDefault="00781CA5">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396960" w:rsidRPr="00A21682" w14:paraId="6C603243" w14:textId="77777777" w:rsidTr="00862296">
        <w:trPr>
          <w:jc w:val="center"/>
        </w:trPr>
        <w:tc>
          <w:tcPr>
            <w:tcW w:w="3126" w:type="dxa"/>
            <w:vAlign w:val="center"/>
          </w:tcPr>
          <w:p w14:paraId="2162A1CD" w14:textId="66315809" w:rsidR="00396960" w:rsidRPr="00A21682" w:rsidRDefault="00396960" w:rsidP="008E3289">
            <w:pPr>
              <w:pStyle w:val="TABLETEXT1"/>
              <w:spacing w:before="40" w:after="40"/>
              <w:rPr>
                <w:lang w:val="en-US"/>
              </w:rPr>
            </w:pPr>
            <w:r>
              <w:rPr>
                <w:lang w:val="en-US"/>
              </w:rPr>
              <w:t>eMedNY Bureau Director</w:t>
            </w:r>
          </w:p>
        </w:tc>
        <w:tc>
          <w:tcPr>
            <w:tcW w:w="2103" w:type="dxa"/>
            <w:vAlign w:val="center"/>
          </w:tcPr>
          <w:p w14:paraId="5FE60738"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16AFCFB4" w14:textId="77777777" w:rsidR="00396960" w:rsidRPr="00A21682" w:rsidRDefault="00396960" w:rsidP="008E3289">
            <w:pPr>
              <w:spacing w:before="40" w:after="40"/>
              <w:jc w:val="center"/>
              <w:rPr>
                <w:rFonts w:ascii="Verdana" w:hAnsi="Verdana"/>
                <w:sz w:val="18"/>
                <w:szCs w:val="18"/>
              </w:rPr>
            </w:pPr>
          </w:p>
        </w:tc>
        <w:tc>
          <w:tcPr>
            <w:tcW w:w="2117" w:type="dxa"/>
            <w:vAlign w:val="center"/>
          </w:tcPr>
          <w:p w14:paraId="71BFF67E" w14:textId="77777777" w:rsidR="00396960" w:rsidRPr="00A21682" w:rsidRDefault="00396960" w:rsidP="008E3289">
            <w:pPr>
              <w:spacing w:before="40" w:after="40"/>
              <w:jc w:val="center"/>
              <w:rPr>
                <w:rFonts w:ascii="Verdana" w:hAnsi="Verdana"/>
                <w:sz w:val="18"/>
                <w:szCs w:val="18"/>
              </w:rPr>
            </w:pPr>
          </w:p>
        </w:tc>
      </w:tr>
      <w:tr w:rsidR="00396960" w:rsidRPr="00A21682" w14:paraId="199143C7" w14:textId="77777777" w:rsidTr="00862296">
        <w:trPr>
          <w:jc w:val="center"/>
        </w:trPr>
        <w:tc>
          <w:tcPr>
            <w:tcW w:w="3126" w:type="dxa"/>
            <w:vAlign w:val="center"/>
          </w:tcPr>
          <w:p w14:paraId="41752329" w14:textId="52297501" w:rsidR="00396960" w:rsidRPr="00A21682" w:rsidRDefault="00944DFC" w:rsidP="008E3289">
            <w:pPr>
              <w:pStyle w:val="TABLETEXT1"/>
              <w:spacing w:before="40" w:after="40"/>
              <w:rPr>
                <w:lang w:val="en-US"/>
              </w:rPr>
            </w:pPr>
            <w:r>
              <w:rPr>
                <w:lang w:val="en-US"/>
              </w:rPr>
              <w:t>NY State of Health (NYSOH) Bureau Director</w:t>
            </w:r>
          </w:p>
        </w:tc>
        <w:tc>
          <w:tcPr>
            <w:tcW w:w="2103" w:type="dxa"/>
            <w:vAlign w:val="center"/>
          </w:tcPr>
          <w:p w14:paraId="45D2A83F"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3D8D563F" w14:textId="77777777" w:rsidR="00396960" w:rsidRPr="00A21682" w:rsidRDefault="00396960" w:rsidP="008E3289">
            <w:pPr>
              <w:spacing w:before="40" w:after="40"/>
              <w:jc w:val="center"/>
              <w:rPr>
                <w:rFonts w:ascii="Verdana" w:hAnsi="Verdana"/>
                <w:sz w:val="18"/>
                <w:szCs w:val="18"/>
              </w:rPr>
            </w:pPr>
          </w:p>
        </w:tc>
        <w:tc>
          <w:tcPr>
            <w:tcW w:w="2117" w:type="dxa"/>
            <w:vAlign w:val="center"/>
          </w:tcPr>
          <w:p w14:paraId="72329529" w14:textId="77777777" w:rsidR="00396960" w:rsidRPr="00A21682" w:rsidRDefault="00396960" w:rsidP="008E3289">
            <w:pPr>
              <w:spacing w:before="40" w:after="40"/>
              <w:jc w:val="center"/>
              <w:rPr>
                <w:rFonts w:ascii="Verdana" w:hAnsi="Verdana"/>
                <w:sz w:val="18"/>
                <w:szCs w:val="18"/>
              </w:rPr>
            </w:pPr>
          </w:p>
        </w:tc>
      </w:tr>
      <w:tr w:rsidR="00396960" w:rsidRPr="00A21682" w14:paraId="4E7CEFD5" w14:textId="77777777" w:rsidTr="00862296">
        <w:trPr>
          <w:jc w:val="center"/>
        </w:trPr>
        <w:tc>
          <w:tcPr>
            <w:tcW w:w="3126" w:type="dxa"/>
            <w:vAlign w:val="center"/>
          </w:tcPr>
          <w:p w14:paraId="74E1E2C3" w14:textId="1B7A99C8" w:rsidR="00396960" w:rsidRPr="00A21682" w:rsidRDefault="00944DFC" w:rsidP="008E3289">
            <w:pPr>
              <w:pStyle w:val="TABLETEXT1"/>
              <w:spacing w:before="40" w:after="40"/>
              <w:rPr>
                <w:lang w:val="en-US"/>
              </w:rPr>
            </w:pPr>
            <w:r>
              <w:rPr>
                <w:lang w:val="en-US"/>
              </w:rPr>
              <w:lastRenderedPageBreak/>
              <w:t>Division of Operations and Systems (DOS) Chief Information Office (CIO)</w:t>
            </w:r>
          </w:p>
        </w:tc>
        <w:tc>
          <w:tcPr>
            <w:tcW w:w="2103" w:type="dxa"/>
            <w:vAlign w:val="center"/>
          </w:tcPr>
          <w:p w14:paraId="18C538E5"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61246BF3"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4D4E4369" w14:textId="77777777" w:rsidR="00396960" w:rsidRPr="00A21682" w:rsidRDefault="00396960" w:rsidP="008E3289">
            <w:pPr>
              <w:spacing w:before="40" w:after="40"/>
              <w:jc w:val="center"/>
              <w:rPr>
                <w:rFonts w:ascii="Verdana" w:hAnsi="Verdana"/>
                <w:sz w:val="18"/>
                <w:szCs w:val="18"/>
              </w:rPr>
            </w:pPr>
          </w:p>
        </w:tc>
      </w:tr>
      <w:tr w:rsidR="00396960" w:rsidRPr="00A21682" w14:paraId="4E12E86E" w14:textId="77777777" w:rsidTr="00862296">
        <w:trPr>
          <w:jc w:val="center"/>
        </w:trPr>
        <w:tc>
          <w:tcPr>
            <w:tcW w:w="3126" w:type="dxa"/>
            <w:vAlign w:val="center"/>
          </w:tcPr>
          <w:p w14:paraId="0A9372BA" w14:textId="1C2E9EEB" w:rsidR="00396960" w:rsidRPr="00A21682" w:rsidRDefault="00396960" w:rsidP="008E3289">
            <w:pPr>
              <w:pStyle w:val="TABLETEXT1"/>
              <w:spacing w:before="40" w:after="40"/>
              <w:rPr>
                <w:lang w:val="en-US"/>
              </w:rPr>
            </w:pPr>
            <w:r>
              <w:rPr>
                <w:lang w:val="en-US"/>
              </w:rPr>
              <w:t>DOS Chief Technology Officer (CTO)</w:t>
            </w:r>
          </w:p>
        </w:tc>
        <w:tc>
          <w:tcPr>
            <w:tcW w:w="2103" w:type="dxa"/>
            <w:vAlign w:val="center"/>
          </w:tcPr>
          <w:p w14:paraId="55A50D28"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37F68B3A" w14:textId="77777777" w:rsidR="00396960" w:rsidRPr="00A21682" w:rsidRDefault="00396960" w:rsidP="008E3289">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084805CB" w14:textId="77777777" w:rsidR="00396960" w:rsidRPr="00A21682" w:rsidRDefault="00396960" w:rsidP="008E3289">
            <w:pPr>
              <w:spacing w:before="40" w:after="40"/>
              <w:jc w:val="center"/>
              <w:rPr>
                <w:rFonts w:ascii="Verdana" w:hAnsi="Verdana"/>
                <w:sz w:val="18"/>
                <w:szCs w:val="18"/>
              </w:rPr>
            </w:pPr>
          </w:p>
        </w:tc>
      </w:tr>
      <w:tr w:rsidR="00FC5906" w:rsidRPr="00A21682" w14:paraId="4736B164" w14:textId="77777777" w:rsidTr="00862296">
        <w:trPr>
          <w:jc w:val="center"/>
        </w:trPr>
        <w:tc>
          <w:tcPr>
            <w:tcW w:w="3126" w:type="dxa"/>
          </w:tcPr>
          <w:p w14:paraId="05CC7034" w14:textId="77777777" w:rsidR="00FC5906" w:rsidRPr="00A21682" w:rsidRDefault="00FC5906" w:rsidP="003C4670">
            <w:pPr>
              <w:pStyle w:val="TABLETEXT1"/>
              <w:spacing w:before="40" w:after="40"/>
              <w:rPr>
                <w:lang w:val="en-US"/>
              </w:rPr>
            </w:pPr>
            <w:r>
              <w:rPr>
                <w:lang w:val="en-US"/>
              </w:rPr>
              <w:t>DOS Deputy CIO</w:t>
            </w:r>
          </w:p>
        </w:tc>
        <w:tc>
          <w:tcPr>
            <w:tcW w:w="2103" w:type="dxa"/>
          </w:tcPr>
          <w:p w14:paraId="0EF927B3" w14:textId="77777777" w:rsidR="00FC5906" w:rsidRPr="00A21682" w:rsidRDefault="00FC5906" w:rsidP="003C4670">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tcPr>
          <w:p w14:paraId="0774C956" w14:textId="77777777" w:rsidR="00FC5906" w:rsidRPr="00A21682" w:rsidRDefault="00FC5906" w:rsidP="003C4670">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tcPr>
          <w:p w14:paraId="265C8A69" w14:textId="77777777" w:rsidR="00FC5906" w:rsidRPr="00A21682" w:rsidRDefault="00FC5906" w:rsidP="003C4670">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6AA755DE" w14:textId="77777777" w:rsidTr="00862296">
        <w:trPr>
          <w:jc w:val="center"/>
        </w:trPr>
        <w:tc>
          <w:tcPr>
            <w:tcW w:w="3126" w:type="dxa"/>
            <w:vAlign w:val="center"/>
          </w:tcPr>
          <w:p w14:paraId="7419AE5B" w14:textId="79641DD0" w:rsidR="00FC5906" w:rsidRPr="00A21682" w:rsidRDefault="00FC5906" w:rsidP="00FC5906">
            <w:pPr>
              <w:pStyle w:val="TABLETEXT1"/>
              <w:spacing w:before="40" w:after="40"/>
              <w:rPr>
                <w:lang w:val="en-US"/>
              </w:rPr>
            </w:pPr>
            <w:r>
              <w:rPr>
                <w:lang w:val="en-US"/>
              </w:rPr>
              <w:t>DOS Deputy Director/Security and Privacy Bureau Director</w:t>
            </w:r>
          </w:p>
        </w:tc>
        <w:tc>
          <w:tcPr>
            <w:tcW w:w="2103" w:type="dxa"/>
            <w:vAlign w:val="center"/>
          </w:tcPr>
          <w:p w14:paraId="1842BD2A" w14:textId="22C029F2" w:rsidR="00FC5906" w:rsidRPr="00A21682" w:rsidRDefault="00FC5906" w:rsidP="00FC5906">
            <w:pPr>
              <w:spacing w:before="40" w:after="40"/>
              <w:jc w:val="center"/>
              <w:rPr>
                <w:rFonts w:ascii="Segoe UI Symbol" w:hAnsi="Segoe UI Symbol" w:cs="Segoe UI Symbol"/>
                <w:sz w:val="18"/>
                <w:szCs w:val="18"/>
                <w:shd w:val="clear" w:color="auto" w:fill="FFFFFF"/>
              </w:rPr>
            </w:pPr>
            <w:r>
              <w:rPr>
                <w:rFonts w:ascii="Segoe UI Symbol" w:hAnsi="Segoe UI Symbol" w:cs="Segoe UI Symbol"/>
                <w:sz w:val="18"/>
                <w:szCs w:val="18"/>
                <w:shd w:val="clear" w:color="auto" w:fill="FFFFFF"/>
              </w:rPr>
              <w:t>✔</w:t>
            </w:r>
          </w:p>
        </w:tc>
        <w:tc>
          <w:tcPr>
            <w:tcW w:w="1899" w:type="dxa"/>
            <w:vAlign w:val="center"/>
          </w:tcPr>
          <w:p w14:paraId="535FC182" w14:textId="4115FC29" w:rsidR="00FC5906" w:rsidRPr="00A21682" w:rsidRDefault="00FC5906" w:rsidP="00FC5906">
            <w:pPr>
              <w:spacing w:before="40" w:after="40"/>
              <w:jc w:val="center"/>
              <w:rPr>
                <w:rFonts w:ascii="Segoe UI Symbol" w:hAnsi="Segoe UI Symbol" w:cs="Segoe UI Symbol"/>
                <w:sz w:val="18"/>
                <w:szCs w:val="18"/>
                <w:shd w:val="clear" w:color="auto" w:fill="FFFFFF"/>
              </w:rPr>
            </w:pPr>
            <w:r>
              <w:rPr>
                <w:rFonts w:ascii="Segoe UI Symbol" w:hAnsi="Segoe UI Symbol" w:cs="Segoe UI Symbol"/>
                <w:sz w:val="18"/>
                <w:szCs w:val="18"/>
                <w:shd w:val="clear" w:color="auto" w:fill="FFFFFF"/>
              </w:rPr>
              <w:t>✔</w:t>
            </w:r>
          </w:p>
        </w:tc>
        <w:tc>
          <w:tcPr>
            <w:tcW w:w="2117" w:type="dxa"/>
            <w:vAlign w:val="center"/>
          </w:tcPr>
          <w:p w14:paraId="1B8F7C7C" w14:textId="77777777" w:rsidR="00FC5906" w:rsidRPr="00A21682" w:rsidRDefault="00FC5906" w:rsidP="00FC5906">
            <w:pPr>
              <w:spacing w:before="40" w:after="40"/>
              <w:jc w:val="center"/>
              <w:rPr>
                <w:rFonts w:ascii="Verdana" w:hAnsi="Verdana"/>
                <w:sz w:val="18"/>
                <w:szCs w:val="18"/>
              </w:rPr>
            </w:pPr>
          </w:p>
        </w:tc>
      </w:tr>
      <w:tr w:rsidR="00FC5906" w:rsidRPr="00A21682" w14:paraId="63810794" w14:textId="77777777" w:rsidTr="00862296">
        <w:trPr>
          <w:jc w:val="center"/>
        </w:trPr>
        <w:tc>
          <w:tcPr>
            <w:tcW w:w="3126" w:type="dxa"/>
            <w:vAlign w:val="center"/>
          </w:tcPr>
          <w:p w14:paraId="466B99D4" w14:textId="7D52D0CC" w:rsidR="00FC5906" w:rsidRPr="00A21682" w:rsidRDefault="00FC5906" w:rsidP="00FC5906">
            <w:pPr>
              <w:pStyle w:val="TABLETEXT1"/>
              <w:spacing w:before="40" w:after="40"/>
              <w:rPr>
                <w:lang w:val="en-US"/>
              </w:rPr>
            </w:pPr>
            <w:r>
              <w:rPr>
                <w:lang w:val="en-US"/>
              </w:rPr>
              <w:t xml:space="preserve">DOS Project Director </w:t>
            </w:r>
          </w:p>
        </w:tc>
        <w:tc>
          <w:tcPr>
            <w:tcW w:w="2103" w:type="dxa"/>
            <w:vAlign w:val="center"/>
          </w:tcPr>
          <w:p w14:paraId="28F93A00"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7C32DF9F"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46B9DDDB" w14:textId="705164EC"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18D0077C" w14:textId="77777777" w:rsidTr="00862296">
        <w:trPr>
          <w:jc w:val="center"/>
        </w:trPr>
        <w:tc>
          <w:tcPr>
            <w:tcW w:w="3126" w:type="dxa"/>
            <w:vAlign w:val="center"/>
          </w:tcPr>
          <w:p w14:paraId="680C9D9E" w14:textId="77777777" w:rsidR="00FC5906" w:rsidRPr="00A21682" w:rsidRDefault="00FC5906" w:rsidP="00FC5906">
            <w:pPr>
              <w:pStyle w:val="TABLETEXT1"/>
              <w:spacing w:before="40" w:after="40"/>
              <w:rPr>
                <w:lang w:val="en-US"/>
              </w:rPr>
            </w:pPr>
            <w:r>
              <w:rPr>
                <w:lang w:val="en-US"/>
              </w:rPr>
              <w:t>DOS Program Manager</w:t>
            </w:r>
          </w:p>
        </w:tc>
        <w:tc>
          <w:tcPr>
            <w:tcW w:w="2103" w:type="dxa"/>
            <w:vAlign w:val="center"/>
          </w:tcPr>
          <w:p w14:paraId="4707A2F8"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0B03E581"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2F883E6F"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3AFC4150" w14:textId="77777777" w:rsidTr="00862296">
        <w:trPr>
          <w:jc w:val="center"/>
        </w:trPr>
        <w:tc>
          <w:tcPr>
            <w:tcW w:w="3126" w:type="dxa"/>
            <w:vAlign w:val="center"/>
          </w:tcPr>
          <w:p w14:paraId="547E690E" w14:textId="26315DA7" w:rsidR="00FC5906" w:rsidRPr="00A21682" w:rsidRDefault="00FC5906" w:rsidP="00FC5906">
            <w:pPr>
              <w:pStyle w:val="TABLETEXT1"/>
              <w:spacing w:before="40" w:after="40"/>
              <w:rPr>
                <w:lang w:val="en-US"/>
              </w:rPr>
            </w:pPr>
            <w:r>
              <w:rPr>
                <w:lang w:val="en-US"/>
              </w:rPr>
              <w:t>DOH OHIP Implementation and Organizational Change Management (OCM) Manager</w:t>
            </w:r>
          </w:p>
        </w:tc>
        <w:tc>
          <w:tcPr>
            <w:tcW w:w="2103" w:type="dxa"/>
            <w:vAlign w:val="center"/>
          </w:tcPr>
          <w:p w14:paraId="10911A2D"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29A5ECE4"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5D7DB7AD"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24C2B669" w14:textId="77777777" w:rsidTr="00862296">
        <w:trPr>
          <w:jc w:val="center"/>
        </w:trPr>
        <w:tc>
          <w:tcPr>
            <w:tcW w:w="3126" w:type="dxa"/>
            <w:vAlign w:val="center"/>
          </w:tcPr>
          <w:p w14:paraId="7A626F41" w14:textId="77777777" w:rsidR="00FC5906" w:rsidRPr="00A21682" w:rsidRDefault="00FC5906" w:rsidP="00FC5906">
            <w:pPr>
              <w:pStyle w:val="TABLETEXT1"/>
              <w:spacing w:before="40" w:after="40"/>
              <w:rPr>
                <w:lang w:val="en-US"/>
              </w:rPr>
            </w:pPr>
            <w:r>
              <w:rPr>
                <w:lang w:val="en-US"/>
              </w:rPr>
              <w:t>DOS Functional Manager</w:t>
            </w:r>
          </w:p>
        </w:tc>
        <w:tc>
          <w:tcPr>
            <w:tcW w:w="2103" w:type="dxa"/>
            <w:vAlign w:val="center"/>
          </w:tcPr>
          <w:p w14:paraId="2D52FE9C"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63FE7306"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338F8A8B"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0CF38EFF" w14:textId="77777777" w:rsidTr="00862296">
        <w:trPr>
          <w:jc w:val="center"/>
        </w:trPr>
        <w:tc>
          <w:tcPr>
            <w:tcW w:w="3126" w:type="dxa"/>
            <w:vAlign w:val="center"/>
          </w:tcPr>
          <w:p w14:paraId="5CDCB1A9" w14:textId="2C8EA917" w:rsidR="00FC5906" w:rsidRPr="00A21682" w:rsidRDefault="00FC5906" w:rsidP="00FC5906">
            <w:pPr>
              <w:pStyle w:val="TABLETEXT1"/>
              <w:spacing w:before="40" w:after="40"/>
              <w:rPr>
                <w:lang w:val="en-US"/>
              </w:rPr>
            </w:pPr>
            <w:r>
              <w:rPr>
                <w:lang w:val="en-US"/>
              </w:rPr>
              <w:t>MECM Quality Assurance (QA) Manager</w:t>
            </w:r>
          </w:p>
        </w:tc>
        <w:tc>
          <w:tcPr>
            <w:tcW w:w="2103" w:type="dxa"/>
            <w:vAlign w:val="center"/>
          </w:tcPr>
          <w:p w14:paraId="1998803B"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0A7C1720"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558FE93C"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6A85C7A2" w14:textId="77777777" w:rsidTr="00862296">
        <w:trPr>
          <w:jc w:val="center"/>
        </w:trPr>
        <w:tc>
          <w:tcPr>
            <w:tcW w:w="3126" w:type="dxa"/>
            <w:vAlign w:val="center"/>
          </w:tcPr>
          <w:p w14:paraId="76C18B33" w14:textId="77777777" w:rsidR="00FC5906" w:rsidRPr="00A21682" w:rsidRDefault="00FC5906" w:rsidP="00FC5906">
            <w:pPr>
              <w:pStyle w:val="TABLETEXT1"/>
              <w:spacing w:before="40" w:after="40"/>
              <w:rPr>
                <w:lang w:val="en-US"/>
              </w:rPr>
            </w:pPr>
            <w:r>
              <w:rPr>
                <w:lang w:val="en-US"/>
              </w:rPr>
              <w:t>DOS Technical Director</w:t>
            </w:r>
          </w:p>
        </w:tc>
        <w:tc>
          <w:tcPr>
            <w:tcW w:w="2103" w:type="dxa"/>
            <w:vAlign w:val="center"/>
          </w:tcPr>
          <w:p w14:paraId="7A061710" w14:textId="27F4B3D5"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56AFC49C"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301681FE" w14:textId="231F359A"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66F06B58" w14:textId="77777777" w:rsidTr="00862296">
        <w:trPr>
          <w:jc w:val="center"/>
        </w:trPr>
        <w:tc>
          <w:tcPr>
            <w:tcW w:w="3126" w:type="dxa"/>
            <w:vAlign w:val="center"/>
          </w:tcPr>
          <w:p w14:paraId="2948944E" w14:textId="77777777" w:rsidR="00FC5906" w:rsidRPr="00A21682" w:rsidRDefault="00FC5906" w:rsidP="00FC5906">
            <w:pPr>
              <w:pStyle w:val="TABLETEXT1"/>
              <w:spacing w:before="40" w:after="40"/>
              <w:rPr>
                <w:lang w:val="en-US"/>
              </w:rPr>
            </w:pPr>
            <w:r>
              <w:rPr>
                <w:lang w:val="en-US"/>
              </w:rPr>
              <w:t>DOS Technical Manager</w:t>
            </w:r>
          </w:p>
        </w:tc>
        <w:tc>
          <w:tcPr>
            <w:tcW w:w="2103" w:type="dxa"/>
            <w:vAlign w:val="center"/>
          </w:tcPr>
          <w:p w14:paraId="606E30E0"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7E55F895"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432E6BF5"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20EE7197" w14:textId="77777777" w:rsidTr="00862296">
        <w:trPr>
          <w:jc w:val="center"/>
        </w:trPr>
        <w:tc>
          <w:tcPr>
            <w:tcW w:w="3126" w:type="dxa"/>
            <w:vAlign w:val="center"/>
          </w:tcPr>
          <w:p w14:paraId="30530AE7" w14:textId="77777777" w:rsidR="00FC5906" w:rsidRPr="00A21682" w:rsidRDefault="00FC5906" w:rsidP="00FC5906">
            <w:pPr>
              <w:pStyle w:val="TABLETEXT1"/>
              <w:spacing w:before="40" w:after="40"/>
              <w:rPr>
                <w:lang w:val="en-US"/>
              </w:rPr>
            </w:pPr>
            <w:r>
              <w:rPr>
                <w:highlight w:val="black"/>
                <w:lang w:val="en-US"/>
              </w:rPr>
              <w:t>███████</w:t>
            </w:r>
            <w:r>
              <w:rPr>
                <w:lang w:val="en-US"/>
              </w:rPr>
              <w:t xml:space="preserve"> Human Services Transformation Practice Leader</w:t>
            </w:r>
          </w:p>
        </w:tc>
        <w:tc>
          <w:tcPr>
            <w:tcW w:w="2103" w:type="dxa"/>
            <w:vAlign w:val="center"/>
          </w:tcPr>
          <w:p w14:paraId="7CD60406"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39655EA7" w14:textId="77777777" w:rsidR="00FC5906" w:rsidRPr="00A21682" w:rsidRDefault="00FC5906" w:rsidP="00FC5906">
            <w:pPr>
              <w:spacing w:before="40" w:after="40"/>
              <w:jc w:val="center"/>
              <w:rPr>
                <w:rFonts w:ascii="Verdana" w:hAnsi="Verdana"/>
                <w:sz w:val="18"/>
                <w:szCs w:val="18"/>
              </w:rPr>
            </w:pPr>
          </w:p>
        </w:tc>
        <w:tc>
          <w:tcPr>
            <w:tcW w:w="2117" w:type="dxa"/>
            <w:vAlign w:val="center"/>
          </w:tcPr>
          <w:p w14:paraId="00ED0BE8" w14:textId="77777777" w:rsidR="00FC5906" w:rsidRPr="00A21682" w:rsidRDefault="00FC5906" w:rsidP="00FC5906">
            <w:pPr>
              <w:spacing w:before="40" w:after="40"/>
              <w:jc w:val="center"/>
              <w:rPr>
                <w:rFonts w:ascii="Verdana" w:hAnsi="Verdana"/>
                <w:sz w:val="18"/>
                <w:szCs w:val="18"/>
              </w:rPr>
            </w:pPr>
          </w:p>
        </w:tc>
      </w:tr>
      <w:tr w:rsidR="00FC5906" w:rsidRPr="00A21682" w14:paraId="6107A221" w14:textId="77777777" w:rsidTr="00862296">
        <w:trPr>
          <w:jc w:val="center"/>
        </w:trPr>
        <w:tc>
          <w:tcPr>
            <w:tcW w:w="3126" w:type="dxa"/>
            <w:vAlign w:val="center"/>
          </w:tcPr>
          <w:p w14:paraId="76886B12" w14:textId="7D296E0C" w:rsidR="00FC5906" w:rsidRPr="00A21682" w:rsidRDefault="00FC5906" w:rsidP="00FC5906">
            <w:pPr>
              <w:pStyle w:val="TABLETEXT1"/>
              <w:spacing w:before="40" w:after="40"/>
              <w:rPr>
                <w:lang w:val="en-US"/>
              </w:rPr>
            </w:pPr>
            <w:r>
              <w:rPr>
                <w:highlight w:val="black"/>
                <w:lang w:val="en-US"/>
              </w:rPr>
              <w:t>███████</w:t>
            </w:r>
            <w:r>
              <w:rPr>
                <w:lang w:val="en-US"/>
              </w:rPr>
              <w:t xml:space="preserve"> New York State (NYS) Account Consulting Leader</w:t>
            </w:r>
          </w:p>
        </w:tc>
        <w:tc>
          <w:tcPr>
            <w:tcW w:w="2103" w:type="dxa"/>
            <w:vAlign w:val="center"/>
          </w:tcPr>
          <w:p w14:paraId="6A80863D"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5FAABB95" w14:textId="77777777" w:rsidR="00FC5906" w:rsidRPr="00A21682" w:rsidRDefault="00FC5906" w:rsidP="00FC5906">
            <w:pPr>
              <w:spacing w:before="40" w:after="40"/>
              <w:jc w:val="center"/>
              <w:rPr>
                <w:rFonts w:ascii="Verdana" w:hAnsi="Verdana"/>
                <w:sz w:val="18"/>
                <w:szCs w:val="18"/>
              </w:rPr>
            </w:pPr>
          </w:p>
        </w:tc>
        <w:tc>
          <w:tcPr>
            <w:tcW w:w="2117" w:type="dxa"/>
            <w:vAlign w:val="center"/>
          </w:tcPr>
          <w:p w14:paraId="33EB32C6" w14:textId="77777777" w:rsidR="00FC5906" w:rsidRPr="00A21682" w:rsidRDefault="00FC5906" w:rsidP="00FC5906">
            <w:pPr>
              <w:spacing w:before="40" w:after="40"/>
              <w:jc w:val="center"/>
              <w:rPr>
                <w:rFonts w:ascii="Verdana" w:hAnsi="Verdana"/>
                <w:sz w:val="18"/>
                <w:szCs w:val="18"/>
              </w:rPr>
            </w:pPr>
          </w:p>
        </w:tc>
      </w:tr>
      <w:tr w:rsidR="00FC5906" w:rsidRPr="00A21682" w14:paraId="49073374" w14:textId="77777777" w:rsidTr="00862296">
        <w:trPr>
          <w:jc w:val="center"/>
        </w:trPr>
        <w:tc>
          <w:tcPr>
            <w:tcW w:w="3126" w:type="dxa"/>
            <w:vAlign w:val="center"/>
          </w:tcPr>
          <w:p w14:paraId="7CE3C1C6" w14:textId="77777777" w:rsidR="00FC5906" w:rsidRPr="00A21682" w:rsidRDefault="00FC5906" w:rsidP="00FC5906">
            <w:pPr>
              <w:pStyle w:val="TABLETEXT1"/>
              <w:spacing w:before="40" w:after="40"/>
              <w:rPr>
                <w:lang w:val="en-US"/>
              </w:rPr>
            </w:pPr>
            <w:r>
              <w:rPr>
                <w:highlight w:val="black"/>
                <w:lang w:val="en-US"/>
              </w:rPr>
              <w:t>███████</w:t>
            </w:r>
            <w:r>
              <w:rPr>
                <w:lang w:val="en-US"/>
              </w:rPr>
              <w:t xml:space="preserve"> Project Executive</w:t>
            </w:r>
          </w:p>
        </w:tc>
        <w:tc>
          <w:tcPr>
            <w:tcW w:w="2103" w:type="dxa"/>
            <w:vAlign w:val="center"/>
          </w:tcPr>
          <w:p w14:paraId="488DB773"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7FC38D9E"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0C1CD43F" w14:textId="77777777" w:rsidR="00FC5906" w:rsidRPr="00A21682" w:rsidRDefault="00FC5906" w:rsidP="00FC5906">
            <w:pPr>
              <w:spacing w:before="40" w:after="40"/>
              <w:jc w:val="center"/>
              <w:rPr>
                <w:rFonts w:ascii="Verdana" w:hAnsi="Verdana"/>
                <w:sz w:val="18"/>
                <w:szCs w:val="18"/>
              </w:rPr>
            </w:pPr>
          </w:p>
        </w:tc>
      </w:tr>
      <w:tr w:rsidR="00FC5906" w:rsidRPr="00A21682" w14:paraId="21F54D42" w14:textId="77777777" w:rsidTr="00862296">
        <w:trPr>
          <w:jc w:val="center"/>
        </w:trPr>
        <w:tc>
          <w:tcPr>
            <w:tcW w:w="3126" w:type="dxa"/>
            <w:vAlign w:val="center"/>
          </w:tcPr>
          <w:p w14:paraId="344DB651" w14:textId="77777777" w:rsidR="00FC5906" w:rsidRPr="00A21682" w:rsidRDefault="00FC5906" w:rsidP="00FC5906">
            <w:pPr>
              <w:pStyle w:val="TABLETEXT1"/>
              <w:spacing w:before="40" w:after="40"/>
              <w:rPr>
                <w:lang w:val="en-US"/>
              </w:rPr>
            </w:pPr>
            <w:r>
              <w:rPr>
                <w:highlight w:val="black"/>
                <w:lang w:val="en-US"/>
              </w:rPr>
              <w:t>███████</w:t>
            </w:r>
            <w:r>
              <w:rPr>
                <w:lang w:val="en-US"/>
              </w:rPr>
              <w:t xml:space="preserve"> Project Director</w:t>
            </w:r>
          </w:p>
        </w:tc>
        <w:tc>
          <w:tcPr>
            <w:tcW w:w="2103" w:type="dxa"/>
            <w:vAlign w:val="center"/>
          </w:tcPr>
          <w:p w14:paraId="24581EB7"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639F0B6D"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6786303C" w14:textId="77777777" w:rsidR="00FC5906" w:rsidRPr="00A21682" w:rsidRDefault="00FC5906" w:rsidP="00FC5906">
            <w:pPr>
              <w:spacing w:before="40" w:after="40"/>
              <w:jc w:val="center"/>
              <w:rPr>
                <w:rFonts w:ascii="Verdana" w:hAnsi="Verdana"/>
                <w:sz w:val="18"/>
                <w:szCs w:val="18"/>
              </w:rPr>
            </w:pPr>
          </w:p>
        </w:tc>
      </w:tr>
      <w:tr w:rsidR="00FC5906" w:rsidRPr="00A21682" w14:paraId="37CA94E4" w14:textId="77777777" w:rsidTr="00862296">
        <w:trPr>
          <w:jc w:val="center"/>
        </w:trPr>
        <w:tc>
          <w:tcPr>
            <w:tcW w:w="3126" w:type="dxa"/>
            <w:vAlign w:val="center"/>
          </w:tcPr>
          <w:p w14:paraId="5AA1A030" w14:textId="1D245381" w:rsidR="00FC5906" w:rsidRPr="00A21682" w:rsidRDefault="00FC5906" w:rsidP="00FC5906">
            <w:pPr>
              <w:pStyle w:val="TABLETEXT1"/>
              <w:spacing w:before="40" w:after="40"/>
              <w:rPr>
                <w:lang w:val="en-US"/>
              </w:rPr>
            </w:pPr>
            <w:r>
              <w:rPr>
                <w:highlight w:val="black"/>
                <w:lang w:val="en-US"/>
              </w:rPr>
              <w:t>███████</w:t>
            </w:r>
            <w:r>
              <w:rPr>
                <w:lang w:val="en-US"/>
              </w:rPr>
              <w:t xml:space="preserve"> OCM Director</w:t>
            </w:r>
          </w:p>
        </w:tc>
        <w:tc>
          <w:tcPr>
            <w:tcW w:w="2103" w:type="dxa"/>
            <w:vAlign w:val="center"/>
          </w:tcPr>
          <w:p w14:paraId="058B28A8" w14:textId="1FB7BC91"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1899" w:type="dxa"/>
            <w:vAlign w:val="center"/>
          </w:tcPr>
          <w:p w14:paraId="46A378FE"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08657873"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1556E30C" w14:textId="77777777" w:rsidTr="00862296">
        <w:trPr>
          <w:jc w:val="center"/>
        </w:trPr>
        <w:tc>
          <w:tcPr>
            <w:tcW w:w="3126" w:type="dxa"/>
            <w:vAlign w:val="center"/>
          </w:tcPr>
          <w:p w14:paraId="71BEC2BF" w14:textId="77777777" w:rsidR="00FC5906" w:rsidRPr="00A21682" w:rsidRDefault="00FC5906" w:rsidP="00FC5906">
            <w:pPr>
              <w:pStyle w:val="TABLETEXT1"/>
              <w:spacing w:before="40" w:after="40"/>
              <w:rPr>
                <w:lang w:val="en-US"/>
              </w:rPr>
            </w:pPr>
            <w:r>
              <w:rPr>
                <w:highlight w:val="black"/>
                <w:lang w:val="en-US"/>
              </w:rPr>
              <w:t>███████</w:t>
            </w:r>
            <w:r>
              <w:rPr>
                <w:lang w:val="en-US"/>
              </w:rPr>
              <w:t xml:space="preserve"> Technical Director</w:t>
            </w:r>
          </w:p>
        </w:tc>
        <w:tc>
          <w:tcPr>
            <w:tcW w:w="2103" w:type="dxa"/>
            <w:vAlign w:val="center"/>
          </w:tcPr>
          <w:p w14:paraId="3E420403"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05A0ACDA"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tcPr>
          <w:p w14:paraId="0013DECC"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49C2EA05" w14:textId="77777777" w:rsidTr="00862296">
        <w:trPr>
          <w:jc w:val="center"/>
        </w:trPr>
        <w:tc>
          <w:tcPr>
            <w:tcW w:w="3126" w:type="dxa"/>
            <w:vAlign w:val="center"/>
          </w:tcPr>
          <w:p w14:paraId="4150F9E9" w14:textId="75CC3406" w:rsidR="00FC5906" w:rsidRPr="00A21682" w:rsidRDefault="00FC5906" w:rsidP="00FC5906">
            <w:pPr>
              <w:pStyle w:val="TABLETEXT1"/>
              <w:spacing w:before="40" w:after="40"/>
              <w:rPr>
                <w:lang w:val="en-US"/>
              </w:rPr>
            </w:pPr>
            <w:r>
              <w:rPr>
                <w:highlight w:val="black"/>
                <w:lang w:val="en-US"/>
              </w:rPr>
              <w:t>███████</w:t>
            </w:r>
            <w:r>
              <w:rPr>
                <w:lang w:val="en-US"/>
              </w:rPr>
              <w:t xml:space="preserve"> Project Management Office (PMO) Manager</w:t>
            </w:r>
          </w:p>
        </w:tc>
        <w:tc>
          <w:tcPr>
            <w:tcW w:w="2103" w:type="dxa"/>
            <w:vAlign w:val="center"/>
          </w:tcPr>
          <w:p w14:paraId="5A9029C4"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679F2ED3"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60D440B2"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6A7A5815" w14:textId="77777777" w:rsidTr="00862296">
        <w:trPr>
          <w:jc w:val="center"/>
        </w:trPr>
        <w:tc>
          <w:tcPr>
            <w:tcW w:w="3126" w:type="dxa"/>
            <w:vAlign w:val="center"/>
          </w:tcPr>
          <w:p w14:paraId="5598973C" w14:textId="77777777" w:rsidR="00FC5906" w:rsidRPr="00A21682" w:rsidRDefault="00FC5906" w:rsidP="00FC5906">
            <w:pPr>
              <w:pStyle w:val="TABLETEXT1"/>
              <w:spacing w:before="40" w:after="40"/>
              <w:rPr>
                <w:lang w:val="en-US"/>
              </w:rPr>
            </w:pPr>
            <w:r>
              <w:rPr>
                <w:highlight w:val="black"/>
                <w:lang w:val="en-US"/>
              </w:rPr>
              <w:t>███████</w:t>
            </w:r>
            <w:r>
              <w:rPr>
                <w:lang w:val="en-US"/>
              </w:rPr>
              <w:t xml:space="preserve"> Functional Manager</w:t>
            </w:r>
          </w:p>
        </w:tc>
        <w:tc>
          <w:tcPr>
            <w:tcW w:w="2103" w:type="dxa"/>
            <w:vAlign w:val="center"/>
          </w:tcPr>
          <w:p w14:paraId="59EEB555"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35AF643B"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c>
          <w:tcPr>
            <w:tcW w:w="2117" w:type="dxa"/>
            <w:vAlign w:val="center"/>
          </w:tcPr>
          <w:p w14:paraId="24A509EC"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052AC971" w14:textId="77777777" w:rsidTr="00862296">
        <w:trPr>
          <w:jc w:val="center"/>
        </w:trPr>
        <w:tc>
          <w:tcPr>
            <w:tcW w:w="3126" w:type="dxa"/>
            <w:vAlign w:val="center"/>
          </w:tcPr>
          <w:p w14:paraId="7292040E" w14:textId="77777777" w:rsidR="00FC5906" w:rsidRPr="00A21682" w:rsidRDefault="00FC5906" w:rsidP="00FC5906">
            <w:pPr>
              <w:pStyle w:val="TABLETEXT1"/>
              <w:spacing w:before="40" w:after="40"/>
              <w:rPr>
                <w:lang w:val="en-US"/>
              </w:rPr>
            </w:pPr>
            <w:r>
              <w:rPr>
                <w:highlight w:val="black"/>
                <w:lang w:val="en-US"/>
              </w:rPr>
              <w:t>███████</w:t>
            </w:r>
            <w:r>
              <w:rPr>
                <w:lang w:val="en-US"/>
              </w:rPr>
              <w:t xml:space="preserve"> Implementation &amp; OCM Manager</w:t>
            </w:r>
          </w:p>
        </w:tc>
        <w:tc>
          <w:tcPr>
            <w:tcW w:w="2103" w:type="dxa"/>
            <w:vAlign w:val="center"/>
          </w:tcPr>
          <w:p w14:paraId="66B27289"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66E0EFDF" w14:textId="77777777" w:rsidR="00FC5906" w:rsidRPr="00A21682" w:rsidRDefault="00FC5906" w:rsidP="00FC5906">
            <w:pPr>
              <w:spacing w:before="40" w:after="40"/>
              <w:jc w:val="center"/>
              <w:rPr>
                <w:rFonts w:ascii="Verdana" w:hAnsi="Verdana"/>
                <w:sz w:val="18"/>
                <w:szCs w:val="18"/>
              </w:rPr>
            </w:pPr>
          </w:p>
        </w:tc>
        <w:tc>
          <w:tcPr>
            <w:tcW w:w="2117" w:type="dxa"/>
            <w:vAlign w:val="center"/>
          </w:tcPr>
          <w:p w14:paraId="5E5F32C0"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5CDEB3BA" w14:textId="77777777" w:rsidTr="00862296">
        <w:trPr>
          <w:jc w:val="center"/>
        </w:trPr>
        <w:tc>
          <w:tcPr>
            <w:tcW w:w="3126" w:type="dxa"/>
            <w:vAlign w:val="center"/>
          </w:tcPr>
          <w:p w14:paraId="557EB7C9" w14:textId="77777777" w:rsidR="00FC5906" w:rsidRPr="00A21682" w:rsidRDefault="00FC5906" w:rsidP="00FC5906">
            <w:pPr>
              <w:pStyle w:val="TABLETEXT1"/>
              <w:spacing w:before="40" w:after="40"/>
              <w:rPr>
                <w:lang w:val="en-US"/>
              </w:rPr>
            </w:pPr>
            <w:r>
              <w:rPr>
                <w:highlight w:val="black"/>
                <w:lang w:val="en-US"/>
              </w:rPr>
              <w:t>███████</w:t>
            </w:r>
            <w:r>
              <w:rPr>
                <w:lang w:val="en-US"/>
              </w:rPr>
              <w:t xml:space="preserve"> QA Manager</w:t>
            </w:r>
          </w:p>
        </w:tc>
        <w:tc>
          <w:tcPr>
            <w:tcW w:w="2103" w:type="dxa"/>
            <w:vAlign w:val="center"/>
          </w:tcPr>
          <w:p w14:paraId="795D7BA6"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125D8326" w14:textId="77777777" w:rsidR="00FC5906" w:rsidRPr="00A21682" w:rsidRDefault="00FC5906" w:rsidP="00FC5906">
            <w:pPr>
              <w:spacing w:before="40" w:after="40"/>
              <w:jc w:val="center"/>
              <w:rPr>
                <w:rFonts w:ascii="Verdana" w:hAnsi="Verdana"/>
                <w:sz w:val="18"/>
                <w:szCs w:val="18"/>
              </w:rPr>
            </w:pPr>
          </w:p>
        </w:tc>
        <w:tc>
          <w:tcPr>
            <w:tcW w:w="2117" w:type="dxa"/>
          </w:tcPr>
          <w:p w14:paraId="287CF564"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62F51D11" w14:textId="77777777" w:rsidTr="00862296">
        <w:trPr>
          <w:jc w:val="center"/>
        </w:trPr>
        <w:tc>
          <w:tcPr>
            <w:tcW w:w="3126" w:type="dxa"/>
            <w:vAlign w:val="center"/>
          </w:tcPr>
          <w:p w14:paraId="66A1BB76" w14:textId="77777777" w:rsidR="00FC5906" w:rsidRPr="00A21682" w:rsidRDefault="00FC5906" w:rsidP="00FC5906">
            <w:pPr>
              <w:pStyle w:val="TABLETEXT1"/>
              <w:spacing w:before="40" w:after="40"/>
              <w:rPr>
                <w:lang w:val="en-US"/>
              </w:rPr>
            </w:pPr>
            <w:r>
              <w:rPr>
                <w:highlight w:val="black"/>
                <w:lang w:val="en-US"/>
              </w:rPr>
              <w:t>███████</w:t>
            </w:r>
            <w:r>
              <w:rPr>
                <w:lang w:val="en-US"/>
              </w:rPr>
              <w:t xml:space="preserve"> Technical Manager</w:t>
            </w:r>
          </w:p>
        </w:tc>
        <w:tc>
          <w:tcPr>
            <w:tcW w:w="2103" w:type="dxa"/>
            <w:vAlign w:val="center"/>
          </w:tcPr>
          <w:p w14:paraId="65A1965A"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0311D789" w14:textId="77777777" w:rsidR="00FC5906" w:rsidRPr="00A21682" w:rsidRDefault="00FC5906" w:rsidP="00FC5906">
            <w:pPr>
              <w:spacing w:before="40" w:after="40"/>
              <w:jc w:val="center"/>
              <w:rPr>
                <w:rFonts w:ascii="Verdana" w:hAnsi="Verdana"/>
                <w:sz w:val="18"/>
                <w:szCs w:val="18"/>
              </w:rPr>
            </w:pPr>
          </w:p>
        </w:tc>
        <w:tc>
          <w:tcPr>
            <w:tcW w:w="2117" w:type="dxa"/>
          </w:tcPr>
          <w:p w14:paraId="5E865844"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5A5F02A1" w14:textId="77777777" w:rsidTr="00862296">
        <w:trPr>
          <w:jc w:val="center"/>
        </w:trPr>
        <w:tc>
          <w:tcPr>
            <w:tcW w:w="3126" w:type="dxa"/>
            <w:vAlign w:val="center"/>
          </w:tcPr>
          <w:p w14:paraId="70690963" w14:textId="77777777" w:rsidR="00FC5906" w:rsidRPr="00A21682" w:rsidRDefault="00FC5906" w:rsidP="00FC5906">
            <w:pPr>
              <w:pStyle w:val="TABLETEXT1"/>
              <w:spacing w:before="40" w:after="40"/>
              <w:rPr>
                <w:lang w:val="en-US"/>
              </w:rPr>
            </w:pPr>
            <w:r>
              <w:rPr>
                <w:highlight w:val="black"/>
                <w:lang w:val="en-US"/>
              </w:rPr>
              <w:t>███████</w:t>
            </w:r>
            <w:r>
              <w:rPr>
                <w:lang w:val="en-US"/>
              </w:rPr>
              <w:t xml:space="preserve"> Security Manager</w:t>
            </w:r>
          </w:p>
        </w:tc>
        <w:tc>
          <w:tcPr>
            <w:tcW w:w="2103" w:type="dxa"/>
            <w:vAlign w:val="center"/>
          </w:tcPr>
          <w:p w14:paraId="089A109B"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197BC4AE" w14:textId="77777777" w:rsidR="00FC5906" w:rsidRPr="00A21682" w:rsidRDefault="00FC5906" w:rsidP="00FC5906">
            <w:pPr>
              <w:spacing w:before="40" w:after="40"/>
              <w:jc w:val="center"/>
              <w:rPr>
                <w:rFonts w:ascii="Verdana" w:hAnsi="Verdana"/>
                <w:sz w:val="18"/>
                <w:szCs w:val="18"/>
              </w:rPr>
            </w:pPr>
          </w:p>
        </w:tc>
        <w:tc>
          <w:tcPr>
            <w:tcW w:w="2117" w:type="dxa"/>
          </w:tcPr>
          <w:p w14:paraId="3C350DCB" w14:textId="77777777" w:rsidR="00FC5906" w:rsidRPr="00A21682" w:rsidRDefault="00FC5906" w:rsidP="00FC5906">
            <w:pPr>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r w:rsidR="00FC5906" w:rsidRPr="00A21682" w14:paraId="2FC9EAD2" w14:textId="77777777" w:rsidTr="00862296">
        <w:trPr>
          <w:jc w:val="center"/>
        </w:trPr>
        <w:tc>
          <w:tcPr>
            <w:tcW w:w="3126" w:type="dxa"/>
            <w:vAlign w:val="center"/>
          </w:tcPr>
          <w:p w14:paraId="09F4CB2F" w14:textId="77777777" w:rsidR="00FC5906" w:rsidRPr="00A21682" w:rsidRDefault="00FC5906" w:rsidP="00FC5906">
            <w:pPr>
              <w:pStyle w:val="TABLETEXT1"/>
              <w:spacing w:before="40" w:after="40"/>
              <w:rPr>
                <w:lang w:val="en-US"/>
              </w:rPr>
            </w:pPr>
            <w:r>
              <w:rPr>
                <w:highlight w:val="black"/>
                <w:lang w:val="en-US"/>
              </w:rPr>
              <w:t>███████</w:t>
            </w:r>
            <w:r>
              <w:rPr>
                <w:lang w:val="en-US"/>
              </w:rPr>
              <w:t xml:space="preserve"> Application Development Manager</w:t>
            </w:r>
          </w:p>
        </w:tc>
        <w:tc>
          <w:tcPr>
            <w:tcW w:w="2103" w:type="dxa"/>
            <w:vAlign w:val="center"/>
          </w:tcPr>
          <w:p w14:paraId="0F2384BF" w14:textId="77777777" w:rsidR="00FC5906" w:rsidRPr="00A21682" w:rsidRDefault="00FC5906" w:rsidP="00FC5906">
            <w:pPr>
              <w:spacing w:before="40" w:after="40"/>
              <w:jc w:val="center"/>
              <w:rPr>
                <w:rFonts w:ascii="Verdana" w:hAnsi="Verdana"/>
                <w:sz w:val="18"/>
                <w:szCs w:val="18"/>
              </w:rPr>
            </w:pPr>
          </w:p>
        </w:tc>
        <w:tc>
          <w:tcPr>
            <w:tcW w:w="1899" w:type="dxa"/>
            <w:vAlign w:val="center"/>
          </w:tcPr>
          <w:p w14:paraId="60A84F7A" w14:textId="77777777" w:rsidR="00FC5906" w:rsidRPr="00A21682" w:rsidRDefault="00FC5906" w:rsidP="00FC5906">
            <w:pPr>
              <w:spacing w:before="40" w:after="40"/>
              <w:jc w:val="center"/>
              <w:rPr>
                <w:rFonts w:ascii="Verdana" w:hAnsi="Verdana"/>
                <w:sz w:val="18"/>
                <w:szCs w:val="18"/>
              </w:rPr>
            </w:pPr>
          </w:p>
        </w:tc>
        <w:tc>
          <w:tcPr>
            <w:tcW w:w="2117" w:type="dxa"/>
          </w:tcPr>
          <w:p w14:paraId="33FDEF16" w14:textId="2A811F8F" w:rsidR="00FC5906" w:rsidRPr="00A21682" w:rsidRDefault="00FC5906" w:rsidP="00FC5906">
            <w:pPr>
              <w:keepNext/>
              <w:spacing w:before="40" w:after="40"/>
              <w:jc w:val="center"/>
              <w:rPr>
                <w:rFonts w:ascii="Verdana" w:hAnsi="Verdana"/>
                <w:sz w:val="18"/>
                <w:szCs w:val="18"/>
              </w:rPr>
            </w:pPr>
            <w:r>
              <w:rPr>
                <w:rFonts w:ascii="Segoe UI Symbol" w:hAnsi="Segoe UI Symbol" w:cs="Segoe UI Symbol"/>
                <w:sz w:val="18"/>
                <w:szCs w:val="18"/>
                <w:shd w:val="clear" w:color="auto" w:fill="FFFFFF"/>
              </w:rPr>
              <w:t>✔</w:t>
            </w:r>
          </w:p>
        </w:tc>
      </w:tr>
    </w:tbl>
    <w:p w14:paraId="0306AD2D" w14:textId="6D840B03" w:rsidR="002E26FD" w:rsidRPr="00A21682" w:rsidRDefault="002E26FD" w:rsidP="009118FD">
      <w:pPr>
        <w:pStyle w:val="Caption"/>
        <w:rPr>
          <w:noProof w:val="0"/>
        </w:rPr>
      </w:pPr>
      <w:bookmarkStart w:id="37" w:name="_Toc19287508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Governance Structure Membership</w:t>
      </w:r>
      <w:bookmarkEnd w:id="37"/>
    </w:p>
    <w:p w14:paraId="3A99D38F" w14:textId="32933AF2" w:rsidR="00396960" w:rsidRPr="00A21682" w:rsidRDefault="00396960">
      <w:pPr>
        <w:pStyle w:val="Heading3"/>
      </w:pPr>
      <w:bookmarkStart w:id="38" w:name="_Toc152838935"/>
      <w:bookmarkStart w:id="39" w:name="_Toc177118906"/>
      <w:bookmarkStart w:id="40" w:name="_Toc185952461"/>
      <w:bookmarkStart w:id="41" w:name="_Toc192874636"/>
      <w:r>
        <w:lastRenderedPageBreak/>
        <w:t>Executive Governance</w:t>
      </w:r>
      <w:bookmarkEnd w:id="38"/>
      <w:bookmarkEnd w:id="39"/>
      <w:bookmarkEnd w:id="40"/>
      <w:bookmarkEnd w:id="41"/>
    </w:p>
    <w:p w14:paraId="3A55E9FE" w14:textId="720C644F" w:rsidR="00396960" w:rsidRPr="00A21682" w:rsidRDefault="00396960" w:rsidP="008E3289">
      <w:pPr>
        <w:pStyle w:val="NormalNEW"/>
        <w:rPr>
          <w:lang w:val="en-US"/>
        </w:rPr>
      </w:pPr>
      <w:r>
        <w:rPr>
          <w:lang w:val="en-US"/>
        </w:rPr>
        <w:t xml:space="preserve">Executive Governance, made up of DOH OHIP and </w:t>
      </w:r>
      <w:r>
        <w:rPr>
          <w:highlight w:val="black"/>
          <w:lang w:val="en-US"/>
        </w:rPr>
        <w:t>███████</w:t>
      </w:r>
      <w:r>
        <w:rPr>
          <w:lang w:val="en-US"/>
        </w:rPr>
        <w:t xml:space="preserve"> leadership, is the highest level of control and authority in the Governance Structure. Executive Governance members convene monthly as the Executive Steering Committee (ESC).</w:t>
      </w:r>
    </w:p>
    <w:p w14:paraId="0CFE9556" w14:textId="6B8A1BF9" w:rsidR="00396960" w:rsidRPr="00A21682" w:rsidRDefault="00396960" w:rsidP="00424DE9">
      <w:pPr>
        <w:pStyle w:val="Heading4"/>
      </w:pPr>
      <w:bookmarkStart w:id="42" w:name="_Toc152838936"/>
      <w:bookmarkStart w:id="43" w:name="_Toc177118907"/>
      <w:bookmarkStart w:id="44" w:name="_Toc185952462"/>
      <w:bookmarkStart w:id="45" w:name="_Toc192874637"/>
      <w:r>
        <w:t>Executive Steering Committee</w:t>
      </w:r>
      <w:bookmarkEnd w:id="42"/>
      <w:bookmarkEnd w:id="43"/>
      <w:bookmarkEnd w:id="44"/>
      <w:bookmarkEnd w:id="45"/>
    </w:p>
    <w:p w14:paraId="1DB3B27A" w14:textId="0DF628CC" w:rsidR="00396960" w:rsidRPr="00A21682" w:rsidRDefault="00396960" w:rsidP="008E3289">
      <w:pPr>
        <w:pStyle w:val="NormalNEW"/>
        <w:rPr>
          <w:lang w:val="en-US"/>
        </w:rPr>
      </w:pPr>
      <w:r>
        <w:rPr>
          <w:lang w:val="en-US"/>
        </w:rPr>
        <w:t xml:space="preserve">The ESC provides a monthly forum for strategic discussions between </w:t>
      </w:r>
      <w:r>
        <w:rPr>
          <w:highlight w:val="black"/>
          <w:lang w:val="en-US"/>
        </w:rPr>
        <w:t>███████</w:t>
      </w:r>
      <w:r>
        <w:rPr>
          <w:lang w:val="en-US"/>
        </w:rPr>
        <w:t xml:space="preserve"> and DOH OHIP leadership. Representatives from both organizations review program goals, business priorities, and outcomes. In doing so, the ESC sets overall direction for the Continuing Medicaid Eligibility Modernization project and oversees resource alignment. If necessary, the ESC can gather outside of the scheduled monthly meetings.</w:t>
      </w:r>
    </w:p>
    <w:p w14:paraId="11D2A892" w14:textId="43E20D82" w:rsidR="00396960" w:rsidRPr="00A21682" w:rsidRDefault="00396960" w:rsidP="008E3289">
      <w:pPr>
        <w:pStyle w:val="NormalNEW"/>
        <w:rPr>
          <w:lang w:val="en-US"/>
        </w:rPr>
      </w:pPr>
      <w:r>
        <w:rPr>
          <w:lang w:val="en-US"/>
        </w:rPr>
        <w:t xml:space="preserve">ESC members are also responsible for making decisions on escalated risks, issues, or change requests, in accordance with the Integrated Change Control Process (ICCP) (refer to Section 10) and the Project Controls Plan (refer to Section 9), summarized in Sections 1.4.1 and 1.4.2 below. When items are escalated out of Managerial Governance committees, the Project Management Office (PMO) facilitates ESC review by working with project teams to compile necessary information and coordinate presentations and discussions. The PMO communicates outcomes from ESC meetings to Managerial Governance entities and Project Administration and Execution teams. </w:t>
      </w:r>
    </w:p>
    <w:p w14:paraId="5999AFFF" w14:textId="4C862C20" w:rsidR="00396960" w:rsidRPr="00A21682" w:rsidRDefault="00396960">
      <w:pPr>
        <w:pStyle w:val="Heading3"/>
      </w:pPr>
      <w:bookmarkStart w:id="46" w:name="_Toc152838937"/>
      <w:bookmarkStart w:id="47" w:name="_Toc177118908"/>
      <w:bookmarkStart w:id="48" w:name="_Toc185952463"/>
      <w:bookmarkStart w:id="49" w:name="_Toc192874638"/>
      <w:r>
        <w:t>Managerial Governance</w:t>
      </w:r>
      <w:bookmarkEnd w:id="46"/>
      <w:bookmarkEnd w:id="47"/>
      <w:bookmarkEnd w:id="48"/>
      <w:bookmarkEnd w:id="49"/>
    </w:p>
    <w:p w14:paraId="7801A3FF" w14:textId="4DF725F8" w:rsidR="00396960" w:rsidRPr="00A21682" w:rsidRDefault="00396960" w:rsidP="008E3289">
      <w:pPr>
        <w:pStyle w:val="NormalNEW"/>
        <w:rPr>
          <w:lang w:val="en-US"/>
        </w:rPr>
      </w:pPr>
      <w:r>
        <w:rPr>
          <w:lang w:val="en-US"/>
        </w:rPr>
        <w:t xml:space="preserve">Managerial Governance, which is made up of Project Administration and Execution team leadership, is the second highest level of the Continuing Medicaid Eligibility Modernization Project Governance Structure. Managerial Governance includes the Project Steering Committee (PSC), the Architecture Review Board (ARB), the Change Advisory Board (CAB), and the Change Review Board (CRB). These committees are responsible for analyzing potential risks, issues, and change requests and making project decisions or recommendation to Executive Governance that emerge from Project Administration and Execution activities. </w:t>
      </w:r>
    </w:p>
    <w:p w14:paraId="23451262" w14:textId="11C5C824" w:rsidR="006D6AA3" w:rsidRPr="00A21682" w:rsidRDefault="00396960" w:rsidP="008E3289">
      <w:pPr>
        <w:pStyle w:val="NormalNEW"/>
        <w:rPr>
          <w:lang w:val="en-US"/>
        </w:rPr>
      </w:pPr>
      <w:r>
        <w:rPr>
          <w:lang w:val="en-US"/>
        </w:rPr>
        <w:t>When an item requires escalation to Managerial Governance, as determined by the ICCP and Project Controls Plan, the PMO facilitates this process by working with the project teams to compile the necessary information and present it to the appropriate Managerial Governance committees. If further escalation to Executive Governance is necessary, the PMO also liaises in that process.</w:t>
      </w:r>
    </w:p>
    <w:p w14:paraId="22C1DEF9" w14:textId="5190B582" w:rsidR="00396960" w:rsidRPr="00A21682" w:rsidRDefault="004624F1" w:rsidP="00424DE9">
      <w:pPr>
        <w:pStyle w:val="Heading4"/>
      </w:pPr>
      <w:bookmarkStart w:id="50" w:name="_Toc152838938"/>
      <w:r>
        <w:t xml:space="preserve"> </w:t>
      </w:r>
      <w:bookmarkStart w:id="51" w:name="_Toc177118909"/>
      <w:bookmarkStart w:id="52" w:name="_Toc185952464"/>
      <w:bookmarkStart w:id="53" w:name="_Toc192874639"/>
      <w:r>
        <w:t>Project Steering Committee</w:t>
      </w:r>
      <w:bookmarkEnd w:id="50"/>
      <w:bookmarkEnd w:id="51"/>
      <w:bookmarkEnd w:id="52"/>
      <w:bookmarkEnd w:id="53"/>
    </w:p>
    <w:p w14:paraId="69B3E7DC" w14:textId="45C8AEDB" w:rsidR="00A01BBE" w:rsidRPr="00A21682" w:rsidRDefault="00396960" w:rsidP="006F390A">
      <w:pPr>
        <w:pStyle w:val="NormalNEW"/>
        <w:rPr>
          <w:lang w:val="en-US"/>
        </w:rPr>
      </w:pPr>
      <w:r>
        <w:rPr>
          <w:lang w:val="en-US"/>
        </w:rPr>
        <w:t xml:space="preserve">The PSC, which is comprised of representatives from </w:t>
      </w:r>
      <w:r>
        <w:rPr>
          <w:highlight w:val="black"/>
          <w:lang w:val="en-US"/>
        </w:rPr>
        <w:t>███████</w:t>
      </w:r>
      <w:r>
        <w:rPr>
          <w:lang w:val="en-US"/>
        </w:rPr>
        <w:t xml:space="preserve"> and DOH OHIP project leadership, sets project priorities and discusses escalated risks, issues, and change requests (CRs) that could impact project objectives but do not require ESC input. The PSC meets on a weekly cadence during the Project Status Report Meeting to discuss the previously outlined topics. In addition, the PSC controls and monitors each project’s critical path schedule and monitors project progress, as outlined in the Schedule Management Plan (refer to Section 11) summarized in Section 1.4.3 below, to promote compliance with the project schedule, budget, and scope. PSC members, having holistic oversight over managerial activities, also support the other Managerial Governance committees with decisions. </w:t>
      </w:r>
      <w:bookmarkStart w:id="54" w:name="_Toc152838939"/>
    </w:p>
    <w:p w14:paraId="7D48231C" w14:textId="5C969227" w:rsidR="00A01BBE" w:rsidRPr="00A21682" w:rsidRDefault="00A01BBE" w:rsidP="00424DE9">
      <w:pPr>
        <w:pStyle w:val="Heading4"/>
      </w:pPr>
      <w:bookmarkStart w:id="55" w:name="_Toc177118910"/>
      <w:bookmarkStart w:id="56" w:name="_Toc185952466"/>
      <w:bookmarkStart w:id="57" w:name="_Toc192874640"/>
      <w:r>
        <w:t>Change Advisory Board</w:t>
      </w:r>
      <w:bookmarkEnd w:id="55"/>
      <w:bookmarkEnd w:id="56"/>
      <w:bookmarkEnd w:id="57"/>
    </w:p>
    <w:p w14:paraId="0A41241C" w14:textId="78CAA6B5" w:rsidR="00F562F8" w:rsidRPr="00A21682" w:rsidRDefault="00A01BBE" w:rsidP="006F390A">
      <w:pPr>
        <w:pStyle w:val="NormalNEW"/>
        <w:rPr>
          <w:szCs w:val="18"/>
          <w:lang w:val="en-US"/>
        </w:rPr>
      </w:pPr>
      <w:r>
        <w:rPr>
          <w:lang w:val="en-US"/>
        </w:rPr>
        <w:t xml:space="preserve">The CAB is responsible for the oversight and management of Contract Administration and Release Planning. </w:t>
      </w:r>
    </w:p>
    <w:p w14:paraId="26206741" w14:textId="500EA140" w:rsidR="00DC5FED" w:rsidRPr="00A21682" w:rsidRDefault="00DC5FED" w:rsidP="00E478FE">
      <w:pPr>
        <w:pStyle w:val="BodyText0"/>
        <w:rPr>
          <w:sz w:val="18"/>
          <w:lang w:val="en-US"/>
        </w:rPr>
      </w:pPr>
      <w:r>
        <w:rPr>
          <w:b/>
          <w:sz w:val="18"/>
          <w:lang w:val="en-US"/>
        </w:rPr>
        <w:t>Contract Administration:</w:t>
      </w:r>
      <w:r>
        <w:rPr>
          <w:sz w:val="18"/>
          <w:lang w:val="en-US"/>
        </w:rPr>
        <w:t xml:space="preserve"> This involves contracting, procurement, and budget management as well as reviewing and approving contract administration documents for contract compliance. In addition, contract administration includes oversight of contract life cycle management and the tracking of counterparties, terms and conditions, contract financials, staff, contractual risk, contract security and access, and contract management key performance indicators (KPIs). The CAB meets as necessary to </w:t>
      </w:r>
      <w:r>
        <w:rPr>
          <w:sz w:val="18"/>
          <w:lang w:val="en-US"/>
        </w:rPr>
        <w:lastRenderedPageBreak/>
        <w:t xml:space="preserve">discuss contractual items as they arise and require discussion and input. The CAB is responsible for monitoring contract compliance, service level agreement reports, invoices, and Individual Statement of Work (ISOW) processing and execution. </w:t>
      </w:r>
    </w:p>
    <w:p w14:paraId="5AE06C80" w14:textId="7E4761F8" w:rsidR="009B5A33" w:rsidRPr="00A21682" w:rsidRDefault="009B5A33" w:rsidP="00E478FE">
      <w:pPr>
        <w:pStyle w:val="BodyText0"/>
        <w:rPr>
          <w:lang w:val="en-US"/>
        </w:rPr>
      </w:pPr>
      <w:r>
        <w:rPr>
          <w:b/>
          <w:sz w:val="18"/>
          <w:lang w:val="en-US"/>
        </w:rPr>
        <w:t xml:space="preserve">Release Planning: </w:t>
      </w:r>
      <w:r>
        <w:rPr>
          <w:sz w:val="18"/>
          <w:lang w:val="en-US"/>
        </w:rPr>
        <w:t>This involves project leadership across tracks and oversees the project’s Release Planning process. Release Planning requires stakeholders to effectively collaborate and commit to a plan for delivering a product increment by a given deadline. Project Administration and Execution teams present objectives, priorities, technical specifications, and dependencies to the CAB and then work with the CAB members to reach a shared plan based on available resources. This method creates a platform for cross-functional collaboration throughout the project.</w:t>
      </w:r>
    </w:p>
    <w:p w14:paraId="2029E773" w14:textId="33B21B13" w:rsidR="00805FCE" w:rsidRPr="00A21682" w:rsidRDefault="009B5A33" w:rsidP="00E478FE">
      <w:pPr>
        <w:pStyle w:val="NormalNEW"/>
        <w:rPr>
          <w:lang w:val="en-US"/>
        </w:rPr>
      </w:pPr>
      <w:r>
        <w:rPr>
          <w:lang w:val="en-US"/>
        </w:rPr>
        <w:t>As part of Release Planning, the CAB maintains the project release runway and project release plan for the Project Administration and Execution teams and coordinates non-critical path release and deployment schedules. The CAB also validates release readiness for technical and business items or maintenance releases and assesses proposed changes to the release plan to identify risks and secure approvals when needed.</w:t>
      </w:r>
    </w:p>
    <w:p w14:paraId="2AE4C8C4" w14:textId="52D46998" w:rsidR="00A01BBE" w:rsidRPr="00A21682" w:rsidRDefault="00A01BBE" w:rsidP="00424DE9">
      <w:pPr>
        <w:pStyle w:val="Heading4"/>
      </w:pPr>
      <w:bookmarkStart w:id="58" w:name="_Toc177116604"/>
      <w:bookmarkStart w:id="59" w:name="_Toc177117374"/>
      <w:bookmarkStart w:id="60" w:name="_Toc177118144"/>
      <w:bookmarkStart w:id="61" w:name="_Toc177118911"/>
      <w:bookmarkStart w:id="62" w:name="_Toc178350378"/>
      <w:bookmarkStart w:id="63" w:name="_Toc178352222"/>
      <w:bookmarkStart w:id="64" w:name="_Toc178354336"/>
      <w:bookmarkStart w:id="65" w:name="_Toc178357145"/>
      <w:bookmarkStart w:id="66" w:name="_Toc178358944"/>
      <w:bookmarkStart w:id="67" w:name="_Toc177118912"/>
      <w:bookmarkStart w:id="68" w:name="_Toc185952467"/>
      <w:bookmarkStart w:id="69" w:name="_Toc192874641"/>
      <w:bookmarkEnd w:id="58"/>
      <w:bookmarkEnd w:id="59"/>
      <w:bookmarkEnd w:id="60"/>
      <w:bookmarkEnd w:id="61"/>
      <w:bookmarkEnd w:id="62"/>
      <w:bookmarkEnd w:id="63"/>
      <w:bookmarkEnd w:id="64"/>
      <w:bookmarkEnd w:id="65"/>
      <w:bookmarkEnd w:id="66"/>
      <w:r>
        <w:t>Change Review Board</w:t>
      </w:r>
      <w:bookmarkEnd w:id="67"/>
      <w:bookmarkEnd w:id="68"/>
      <w:bookmarkEnd w:id="69"/>
    </w:p>
    <w:p w14:paraId="35E1D859" w14:textId="36FF7ADE" w:rsidR="006F390A" w:rsidRPr="00A21682" w:rsidRDefault="00A01BBE" w:rsidP="005506A8">
      <w:pPr>
        <w:pStyle w:val="NormalNEW"/>
        <w:rPr>
          <w:lang w:val="en-US"/>
        </w:rPr>
      </w:pPr>
      <w:r>
        <w:rPr>
          <w:lang w:val="en-US"/>
        </w:rPr>
        <w:t xml:space="preserve">The CRB reviews, assesses, and dispositions all Change Requests for the project. </w:t>
      </w:r>
    </w:p>
    <w:p w14:paraId="2E387364" w14:textId="0AB61B46" w:rsidR="00396960" w:rsidRPr="00A21682" w:rsidRDefault="009F0C94" w:rsidP="00424DE9">
      <w:pPr>
        <w:pStyle w:val="Heading4"/>
      </w:pPr>
      <w:r>
        <w:t xml:space="preserve"> </w:t>
      </w:r>
      <w:bookmarkStart w:id="70" w:name="_Toc177118913"/>
      <w:bookmarkStart w:id="71" w:name="_Toc185952468"/>
      <w:bookmarkStart w:id="72" w:name="_Toc192874642"/>
      <w:r>
        <w:t>Architecture Review Board</w:t>
      </w:r>
      <w:bookmarkEnd w:id="54"/>
      <w:bookmarkEnd w:id="70"/>
      <w:bookmarkEnd w:id="71"/>
      <w:bookmarkEnd w:id="72"/>
    </w:p>
    <w:p w14:paraId="46AF9ED1" w14:textId="666738A3" w:rsidR="00396960" w:rsidRPr="00A21682" w:rsidRDefault="00396960" w:rsidP="008E3289">
      <w:pPr>
        <w:pStyle w:val="NormalNEW"/>
        <w:rPr>
          <w:lang w:val="en-US"/>
        </w:rPr>
      </w:pPr>
      <w:r>
        <w:rPr>
          <w:lang w:val="en-US"/>
        </w:rPr>
        <w:t>The ARB, which is made up of technical leadership and business leadership across project tracks, manages technical changes in accordance with the ICCP, and is responsible for enterprise architecture governance. This includes approving and publishing target architecture, assessing compliance with target architecture, and engaging stakeholders to correct noncompliance.</w:t>
      </w:r>
    </w:p>
    <w:p w14:paraId="5A6C8972" w14:textId="7CC28EF3" w:rsidR="00396960" w:rsidRPr="00A21682" w:rsidRDefault="00396960" w:rsidP="008E3289">
      <w:pPr>
        <w:pStyle w:val="NormalNEW"/>
        <w:rPr>
          <w:lang w:val="en-US"/>
        </w:rPr>
      </w:pPr>
      <w:r>
        <w:rPr>
          <w:lang w:val="en-US"/>
        </w:rPr>
        <w:t xml:space="preserve">When items are escalated from the Project Administration and Execution teams, the ARB reviews and approves technical and security changes in the MECM environments, including patches, product upgrades, maintenance, and architectural changes related to major system enhancements or technical upgrades. Given this scope, the ARB is responsible for proactively managing patching and upgrading calendars and changes to software and cloud bill of materials (BOM), if there are any. </w:t>
      </w:r>
    </w:p>
    <w:p w14:paraId="0007A406" w14:textId="77777777" w:rsidR="00396960" w:rsidRPr="00A21682" w:rsidRDefault="00396960">
      <w:pPr>
        <w:pStyle w:val="Heading3"/>
      </w:pPr>
      <w:bookmarkStart w:id="73" w:name="_Toc178371142"/>
      <w:bookmarkStart w:id="74" w:name="_Toc184746719"/>
      <w:bookmarkStart w:id="75" w:name="_Toc185948465"/>
      <w:bookmarkStart w:id="76" w:name="_Toc186883660"/>
      <w:bookmarkStart w:id="77" w:name="_Toc187427402"/>
      <w:bookmarkStart w:id="78" w:name="_Toc188449778"/>
      <w:bookmarkStart w:id="79" w:name="_Toc188618670"/>
      <w:bookmarkStart w:id="80" w:name="_Toc152838942"/>
      <w:bookmarkStart w:id="81" w:name="_Toc177118914"/>
      <w:bookmarkStart w:id="82" w:name="_Toc185952469"/>
      <w:bookmarkStart w:id="83" w:name="_Toc192874643"/>
      <w:bookmarkEnd w:id="73"/>
      <w:bookmarkEnd w:id="74"/>
      <w:bookmarkEnd w:id="75"/>
      <w:bookmarkEnd w:id="76"/>
      <w:bookmarkEnd w:id="77"/>
      <w:bookmarkEnd w:id="78"/>
      <w:bookmarkEnd w:id="79"/>
      <w:r>
        <w:t>Project Administration and Execution</w:t>
      </w:r>
      <w:bookmarkEnd w:id="80"/>
      <w:r>
        <w:t xml:space="preserve"> (PAE)</w:t>
      </w:r>
      <w:bookmarkEnd w:id="81"/>
      <w:bookmarkEnd w:id="82"/>
      <w:bookmarkEnd w:id="83"/>
    </w:p>
    <w:p w14:paraId="402C2D22" w14:textId="02CB9AC6" w:rsidR="00396960" w:rsidRPr="00A21682" w:rsidRDefault="00396960" w:rsidP="008E3289">
      <w:pPr>
        <w:pStyle w:val="NormalNEW"/>
        <w:rPr>
          <w:b/>
          <w:bCs/>
          <w:lang w:val="en-US"/>
        </w:rPr>
      </w:pPr>
      <w:r>
        <w:rPr>
          <w:lang w:val="en-US"/>
        </w:rPr>
        <w:t xml:space="preserve">Project Administration and Execution includes the PMO, the Technology team, the Change Management team, the Security Compliance team, and the Functional team. These teams are responsible for developing and executing </w:t>
      </w:r>
      <w:r>
        <w:rPr>
          <w:u w:color="000000"/>
          <w:lang w:val="en-US"/>
        </w:rPr>
        <w:t xml:space="preserve">Continuing Medicaid Eligibility Modernization </w:t>
      </w:r>
      <w:r>
        <w:rPr>
          <w:lang w:val="en-US"/>
        </w:rPr>
        <w:t xml:space="preserve">tasks, and thus, also identifying items that need escalation to Managerial Governance or Executive Governance during project planning and execution. The PAE meets, at minimum, weekly to discuss the progress, action items, and milestones for their respective tracks. </w:t>
      </w:r>
    </w:p>
    <w:p w14:paraId="79CC389B" w14:textId="1AF8983B" w:rsidR="00396960" w:rsidRPr="00A21682" w:rsidRDefault="00714177" w:rsidP="008E3289">
      <w:pPr>
        <w:pStyle w:val="NormalNEW"/>
        <w:rPr>
          <w:lang w:val="en-US"/>
        </w:rPr>
      </w:pPr>
      <w:r>
        <w:rPr>
          <w:lang w:val="en-US"/>
        </w:rPr>
        <w:t>The PMO supports all track teams by working with them to monitor and report on ongoing progress, present regular updates, and navigate project escalations, in accordance with the ICCP and Project Controls Plan. The PMO helps by tracking and compiling the necessary information and delivering it to the appropriate Managerial and Executive committees.</w:t>
      </w:r>
    </w:p>
    <w:p w14:paraId="2AA4962F" w14:textId="4DAADCB4" w:rsidR="00396960" w:rsidRPr="00A21682" w:rsidRDefault="00424DE9" w:rsidP="00424DE9">
      <w:pPr>
        <w:pStyle w:val="Heading4"/>
      </w:pPr>
      <w:bookmarkStart w:id="84" w:name="_Toc185952470"/>
      <w:bookmarkStart w:id="85" w:name="_Toc192874644"/>
      <w:r>
        <w:t>Project Management Office</w:t>
      </w:r>
      <w:bookmarkEnd w:id="84"/>
      <w:bookmarkEnd w:id="85"/>
    </w:p>
    <w:p w14:paraId="072256EE" w14:textId="7A4D9401" w:rsidR="00396960" w:rsidRPr="00A21682" w:rsidRDefault="00714177" w:rsidP="008E3289">
      <w:pPr>
        <w:pStyle w:val="NormalNEW"/>
        <w:rPr>
          <w:lang w:val="en-US"/>
        </w:rPr>
      </w:pPr>
      <w:r>
        <w:rPr>
          <w:lang w:val="en-US"/>
        </w:rPr>
        <w:t xml:space="preserve">The PMO is comprised of dedicated project management staff from both </w:t>
      </w:r>
      <w:r>
        <w:rPr>
          <w:highlight w:val="black"/>
          <w:lang w:val="en-US"/>
        </w:rPr>
        <w:t>███████</w:t>
      </w:r>
      <w:r>
        <w:rPr>
          <w:lang w:val="en-US"/>
        </w:rPr>
        <w:t xml:space="preserve"> and DOH OHIP. The PMO facilitates effective governance execution in accordance with this Governance Structure and enables cross-program integration in alignment with the Stakeholder Engagement Plan (refer to Section 3) and the Communications Management Plan (refer to Section 4), summarized in Sections 1.4.5 and 1.4.6 below.</w:t>
      </w:r>
    </w:p>
    <w:p w14:paraId="4B6D915F" w14:textId="3A24DC2D" w:rsidR="00396960" w:rsidRPr="00A21682" w:rsidRDefault="00714177" w:rsidP="008E3289">
      <w:pPr>
        <w:pStyle w:val="NormalNEW"/>
        <w:rPr>
          <w:lang w:val="en-US"/>
        </w:rPr>
      </w:pPr>
      <w:r>
        <w:rPr>
          <w:lang w:val="en-US"/>
        </w:rPr>
        <w:t xml:space="preserve">The PMO administers the change request process and escalates items to Managerial Governance and Executive Governance. Technology, Change Management, Security Compliance, and Functional tracks partner with the PMO to receive leadership reviews and approvals, in accordance with the Quality </w:t>
      </w:r>
      <w:r>
        <w:rPr>
          <w:lang w:val="en-US"/>
        </w:rPr>
        <w:lastRenderedPageBreak/>
        <w:t>Management Plan (refer to Section 7) and the Deliverable Management Plan (refer to Section 5), summarized in Sections 1.4.7 and 1.4.8 below.</w:t>
      </w:r>
    </w:p>
    <w:p w14:paraId="456ECA18" w14:textId="3C4EA715" w:rsidR="00396960" w:rsidRPr="00A21682" w:rsidRDefault="00396960" w:rsidP="00424DE9">
      <w:pPr>
        <w:pStyle w:val="Heading4"/>
      </w:pPr>
      <w:bookmarkStart w:id="86" w:name="_Toc152838944"/>
      <w:bookmarkStart w:id="87" w:name="_Toc177118916"/>
      <w:bookmarkStart w:id="88" w:name="_Toc185952471"/>
      <w:bookmarkStart w:id="89" w:name="_Toc192874645"/>
      <w:r>
        <w:t>Technology, Change Management, Security Compliance, Quality Assurance, and Functional Tracks</w:t>
      </w:r>
      <w:bookmarkEnd w:id="86"/>
      <w:bookmarkEnd w:id="87"/>
      <w:bookmarkEnd w:id="88"/>
      <w:bookmarkEnd w:id="89"/>
    </w:p>
    <w:p w14:paraId="464BD9BA" w14:textId="77777777" w:rsidR="00396960" w:rsidRPr="00A21682" w:rsidRDefault="00396960" w:rsidP="00D06432">
      <w:pPr>
        <w:pStyle w:val="NormalNEW"/>
        <w:keepNext/>
        <w:keepLines/>
        <w:rPr>
          <w:lang w:val="en-US"/>
        </w:rPr>
      </w:pPr>
      <w:r>
        <w:rPr>
          <w:lang w:val="en-US"/>
        </w:rPr>
        <w:t xml:space="preserve">The Technology, Change Management, Security Compliance, Functional, and QA tracks include subject matter advisors and team members from </w:t>
      </w:r>
      <w:r>
        <w:rPr>
          <w:highlight w:val="black"/>
          <w:lang w:val="en-US"/>
        </w:rPr>
        <w:t>███████</w:t>
      </w:r>
      <w:r>
        <w:rPr>
          <w:lang w:val="en-US"/>
        </w:rPr>
        <w:t xml:space="preserve"> and DOH OHIP. Each track team is responsible for managing their respective scopes, schedules, and budgets to achieve the shared goals of the project.</w:t>
      </w:r>
    </w:p>
    <w:p w14:paraId="66EC9AB2" w14:textId="63E6C8EB" w:rsidR="00396960" w:rsidRPr="00A21682" w:rsidRDefault="00396960" w:rsidP="008E3289">
      <w:pPr>
        <w:pStyle w:val="NormalNEW"/>
        <w:rPr>
          <w:lang w:val="en-US"/>
        </w:rPr>
      </w:pPr>
      <w:r>
        <w:rPr>
          <w:lang w:val="en-US"/>
        </w:rPr>
        <w:t>When needed, these teams provide inputs for Executive and Managerial committees that need escalation. The PMO assists in the development and delivery of such items.</w:t>
      </w:r>
    </w:p>
    <w:p w14:paraId="117C6CE8" w14:textId="49BBD519" w:rsidR="00396960" w:rsidRPr="00A21682" w:rsidRDefault="00396960" w:rsidP="008E3E3A">
      <w:pPr>
        <w:pStyle w:val="Heading2"/>
      </w:pPr>
      <w:bookmarkStart w:id="90" w:name="_Toc152838946"/>
      <w:bookmarkStart w:id="91" w:name="_Toc177118917"/>
      <w:bookmarkStart w:id="92" w:name="_Toc185952472"/>
      <w:bookmarkStart w:id="93" w:name="_Toc192874646"/>
      <w:r>
        <w:t>References</w:t>
      </w:r>
      <w:bookmarkEnd w:id="90"/>
      <w:bookmarkEnd w:id="91"/>
      <w:bookmarkEnd w:id="92"/>
      <w:bookmarkEnd w:id="93"/>
    </w:p>
    <w:p w14:paraId="6D6AC9EF" w14:textId="07AA8BB9" w:rsidR="00396960" w:rsidRPr="00A21682" w:rsidRDefault="00396960" w:rsidP="008E3289">
      <w:pPr>
        <w:pStyle w:val="NormalNEW"/>
        <w:rPr>
          <w:lang w:val="en-US"/>
        </w:rPr>
      </w:pPr>
      <w:r>
        <w:rPr>
          <w:lang w:val="en-US"/>
        </w:rPr>
        <w:t>The Governance Structure has project-wide implications and applicability. As such, the Governance Structure relies on several other sections of the Continuing Medicaid Eligibility Modernization PMP. The following section outlines the various PMP sections referenced in the Governance Structure.</w:t>
      </w:r>
    </w:p>
    <w:p w14:paraId="34D1C4DE" w14:textId="48FEB4AE" w:rsidR="00396960" w:rsidRPr="00A21682" w:rsidRDefault="00396960" w:rsidP="008E3E3A">
      <w:pPr>
        <w:pStyle w:val="Heading3"/>
      </w:pPr>
      <w:bookmarkStart w:id="94" w:name="_Toc177118918"/>
      <w:bookmarkStart w:id="95" w:name="_Toc192874647"/>
      <w:bookmarkStart w:id="96" w:name="_Toc152838947"/>
      <w:bookmarkStart w:id="97" w:name="_Toc185952473"/>
      <w:r>
        <w:t xml:space="preserve">Integrated Change Control </w:t>
      </w:r>
      <w:bookmarkEnd w:id="94"/>
      <w:r>
        <w:t>Process</w:t>
      </w:r>
      <w:bookmarkEnd w:id="95"/>
      <w:r>
        <w:t xml:space="preserve"> </w:t>
      </w:r>
      <w:bookmarkEnd w:id="96"/>
      <w:bookmarkEnd w:id="97"/>
    </w:p>
    <w:p w14:paraId="6E7A59FA" w14:textId="47C4A28D" w:rsidR="00396960" w:rsidRPr="00A21682" w:rsidRDefault="00396960" w:rsidP="008E3289">
      <w:pPr>
        <w:pStyle w:val="NormalNEW"/>
        <w:rPr>
          <w:lang w:val="en-US"/>
        </w:rPr>
      </w:pPr>
      <w:r>
        <w:rPr>
          <w:lang w:val="en-US"/>
        </w:rPr>
        <w:t xml:space="preserve">The ICCP (refer to Section 10) has a detailed workflow for how Executive Governance, Managerial Governance, and Project Administration and Execution groups escalate and address items. The ICCP includes a process flow diagram and narrative that outline critical steps, decision points, and outputs for change management. The process flow diagram and narrative also identify the responsible parties, which are defined in the Governance Structure. </w:t>
      </w:r>
    </w:p>
    <w:p w14:paraId="66DACA26" w14:textId="709A7C9B" w:rsidR="00396960" w:rsidRPr="00A21682" w:rsidRDefault="00C0174B" w:rsidP="008E3E3A">
      <w:pPr>
        <w:pStyle w:val="Heading3"/>
      </w:pPr>
      <w:bookmarkStart w:id="98" w:name="_Toc152838948"/>
      <w:bookmarkStart w:id="99" w:name="_Toc177118919"/>
      <w:bookmarkStart w:id="100" w:name="_Toc185952474"/>
      <w:bookmarkStart w:id="101" w:name="_Toc192874648"/>
      <w:r>
        <w:t>Project Controls Plan</w:t>
      </w:r>
      <w:bookmarkEnd w:id="98"/>
      <w:bookmarkEnd w:id="99"/>
      <w:bookmarkEnd w:id="100"/>
      <w:bookmarkEnd w:id="101"/>
    </w:p>
    <w:p w14:paraId="4CF53F97" w14:textId="1911E2FD" w:rsidR="009E2928" w:rsidRPr="00A21682" w:rsidRDefault="00396960" w:rsidP="008E3289">
      <w:pPr>
        <w:pStyle w:val="NormalNEW"/>
        <w:rPr>
          <w:lang w:val="en-US"/>
        </w:rPr>
      </w:pPr>
      <w:r>
        <w:rPr>
          <w:lang w:val="en-US"/>
        </w:rPr>
        <w:t xml:space="preserve">The Project Controls Plan (refer to Section 9) details how risks and issues (see DEL-08 Risk and Issue Register), as well as action items and decisions, are identified, escalated, and addressed by the project team. The risks, issues, action items, and decisions process flows detailed in this section of the PMP include responsibilities for the Executive Governance, Managerial Governance, and Project Administration and Execution governance groups. </w:t>
      </w:r>
      <w:bookmarkStart w:id="102" w:name="_Toc152838949"/>
    </w:p>
    <w:p w14:paraId="31DE9410" w14:textId="1499E856" w:rsidR="00396960" w:rsidRPr="00A21682" w:rsidRDefault="00396960" w:rsidP="008E3E3A">
      <w:pPr>
        <w:pStyle w:val="Heading3"/>
        <w:rPr>
          <w:rFonts w:eastAsia="Calibri" w:cs="Arial Narrow"/>
          <w:szCs w:val="18"/>
        </w:rPr>
      </w:pPr>
      <w:bookmarkStart w:id="103" w:name="_Toc177118920"/>
      <w:bookmarkStart w:id="104" w:name="_Toc185952475"/>
      <w:bookmarkStart w:id="105" w:name="_Toc192874649"/>
      <w:r>
        <w:t>Schedule Management Plan</w:t>
      </w:r>
      <w:bookmarkEnd w:id="102"/>
      <w:bookmarkEnd w:id="103"/>
      <w:bookmarkEnd w:id="104"/>
      <w:bookmarkEnd w:id="105"/>
    </w:p>
    <w:p w14:paraId="42E2E694" w14:textId="626F5353" w:rsidR="00396960" w:rsidRPr="00A21682" w:rsidRDefault="00396960" w:rsidP="008E3289">
      <w:pPr>
        <w:pStyle w:val="NormalNEW"/>
        <w:rPr>
          <w:lang w:val="en-US"/>
        </w:rPr>
      </w:pPr>
      <w:r>
        <w:rPr>
          <w:lang w:val="en-US"/>
        </w:rPr>
        <w:t>The Schedule Management Plan (refer to Section 11) outlines how Executive Governance, Managerial Governance, and Project Administration and Execution groups are responsible for contributing to the Work Plan (see DEL-06 Baselined Work Plan and Schedule) and maintaining it throughout the project. This section of the PMP includes the process flows that create and manage the project schedule.</w:t>
      </w:r>
    </w:p>
    <w:p w14:paraId="15B4A185" w14:textId="6F72D5A6" w:rsidR="00396960" w:rsidRPr="00A21682" w:rsidRDefault="00396960" w:rsidP="008E3E3A">
      <w:pPr>
        <w:pStyle w:val="Heading3"/>
      </w:pPr>
      <w:bookmarkStart w:id="106" w:name="_Toc152838950"/>
      <w:bookmarkStart w:id="107" w:name="_Toc177118921"/>
      <w:bookmarkStart w:id="108" w:name="_Toc185952476"/>
      <w:bookmarkStart w:id="109" w:name="_Toc192874650"/>
      <w:r>
        <w:t>Resource/Staff Management Plan</w:t>
      </w:r>
      <w:bookmarkEnd w:id="106"/>
      <w:bookmarkEnd w:id="107"/>
      <w:bookmarkEnd w:id="108"/>
      <w:bookmarkEnd w:id="109"/>
    </w:p>
    <w:p w14:paraId="4DA5386B" w14:textId="0D974317" w:rsidR="00396960" w:rsidRPr="00A21682" w:rsidRDefault="00396960" w:rsidP="008E3289">
      <w:pPr>
        <w:pStyle w:val="NormalNEW"/>
        <w:rPr>
          <w:lang w:val="en-US"/>
        </w:rPr>
      </w:pPr>
      <w:r>
        <w:rPr>
          <w:lang w:val="en-US"/>
        </w:rPr>
        <w:t>The process for engaging key and non-key project personnel is outlined in the Resource Management Plan (refer to Section 8). Key personnel require Executive Governance approval before committing and initiating project onboarding.</w:t>
      </w:r>
    </w:p>
    <w:p w14:paraId="56723730" w14:textId="237B3A2B" w:rsidR="00396960" w:rsidRPr="00A21682" w:rsidRDefault="00396960" w:rsidP="008E3E3A">
      <w:pPr>
        <w:pStyle w:val="Heading3"/>
      </w:pPr>
      <w:bookmarkStart w:id="110" w:name="_Toc152838951"/>
      <w:bookmarkStart w:id="111" w:name="_Toc177118922"/>
      <w:bookmarkStart w:id="112" w:name="_Toc185952477"/>
      <w:bookmarkStart w:id="113" w:name="_Toc192874651"/>
      <w:r>
        <w:t>Stakeholder Engagement Plan</w:t>
      </w:r>
      <w:bookmarkEnd w:id="110"/>
      <w:bookmarkEnd w:id="111"/>
      <w:bookmarkEnd w:id="112"/>
      <w:bookmarkEnd w:id="113"/>
    </w:p>
    <w:p w14:paraId="76BC0FDD" w14:textId="3102F7E3" w:rsidR="00396960" w:rsidRPr="00A21682" w:rsidRDefault="00396960" w:rsidP="008E3289">
      <w:pPr>
        <w:pStyle w:val="NormalNEW"/>
        <w:rPr>
          <w:lang w:val="en-US"/>
        </w:rPr>
      </w:pPr>
      <w:r>
        <w:rPr>
          <w:lang w:val="en-US"/>
        </w:rPr>
        <w:t>The Stakeholder Engagement Plan (refer to Section 3) is a collection of processes for stakeholders to build trust, enhance collaboration, and achieve positive outcomes for the project. The Governance Structure establishes the processes, channels, and methods to support stakeholder engagement in informing and/or escalating items to various stakeholders and governing bodies across the Continuing Medicaid Eligibility Modernization project. Effective stakeholder engagement enables project governance to drive accountability and decision-making with relevant parties to achieve with business objectives.</w:t>
      </w:r>
    </w:p>
    <w:p w14:paraId="27B992EA" w14:textId="5333E4B0" w:rsidR="00396960" w:rsidRPr="00A21682" w:rsidRDefault="00396960" w:rsidP="008E3E3A">
      <w:pPr>
        <w:pStyle w:val="Heading3"/>
      </w:pPr>
      <w:bookmarkStart w:id="114" w:name="_Toc152838952"/>
      <w:bookmarkStart w:id="115" w:name="_Toc177118923"/>
      <w:bookmarkStart w:id="116" w:name="_Toc185952478"/>
      <w:bookmarkStart w:id="117" w:name="_Toc192874652"/>
      <w:r>
        <w:lastRenderedPageBreak/>
        <w:t>Communications Management Plan</w:t>
      </w:r>
      <w:bookmarkEnd w:id="114"/>
      <w:bookmarkEnd w:id="115"/>
      <w:bookmarkEnd w:id="116"/>
      <w:bookmarkEnd w:id="117"/>
    </w:p>
    <w:p w14:paraId="1E96BA90" w14:textId="57071DA7" w:rsidR="009E2928" w:rsidRPr="00A21682" w:rsidRDefault="00396960" w:rsidP="008E3E3A">
      <w:pPr>
        <w:pStyle w:val="NormalNEW"/>
        <w:rPr>
          <w:rFonts w:eastAsiaTheme="majorEastAsia" w:cstheme="majorBidi"/>
          <w:b/>
          <w:szCs w:val="24"/>
          <w:lang w:val="en-US"/>
        </w:rPr>
      </w:pPr>
      <w:r>
        <w:rPr>
          <w:lang w:val="en-US"/>
        </w:rPr>
        <w:t>The Communications Management Plan (refer to Section 4) outlines planned communications, which are primarily developed and executed by relevant tracks in the Project Administration and Execution group. The Governance Structure becomes critical when unplanned communications are required. These unplanned communications have their own review and approval process, especially when the communication is to be expedited, in which case project leadership will be involved in development and approval.</w:t>
      </w:r>
      <w:bookmarkStart w:id="118" w:name="_Toc152838953"/>
    </w:p>
    <w:p w14:paraId="3373ACAF" w14:textId="496FBE29" w:rsidR="00396960" w:rsidRPr="00A21682" w:rsidRDefault="00396960" w:rsidP="008E3E3A">
      <w:pPr>
        <w:pStyle w:val="Heading3"/>
      </w:pPr>
      <w:bookmarkStart w:id="119" w:name="_Toc177118924"/>
      <w:bookmarkStart w:id="120" w:name="_Toc185952479"/>
      <w:bookmarkStart w:id="121" w:name="_Toc192874653"/>
      <w:r>
        <w:t>Quality Management Plan</w:t>
      </w:r>
      <w:bookmarkEnd w:id="118"/>
      <w:bookmarkEnd w:id="119"/>
      <w:bookmarkEnd w:id="120"/>
      <w:bookmarkEnd w:id="121"/>
    </w:p>
    <w:p w14:paraId="77B482AC" w14:textId="37AACF35" w:rsidR="00396960" w:rsidRPr="00A21682" w:rsidRDefault="00396960" w:rsidP="008E3E3A">
      <w:pPr>
        <w:pStyle w:val="NormalNEW"/>
        <w:keepLines/>
        <w:rPr>
          <w:lang w:val="en-US"/>
        </w:rPr>
      </w:pPr>
      <w:r>
        <w:rPr>
          <w:lang w:val="en-US"/>
        </w:rPr>
        <w:t>Performing internal quality project reviews requires updates and discussions with Executive and Managerial Governance bodies, as described in the Quality Management Plan (refer to Section 7). Internal reviews require participation from both the Managerial and Executive Governance levels.</w:t>
      </w:r>
    </w:p>
    <w:p w14:paraId="6305FD2A" w14:textId="48FA6785" w:rsidR="00396960" w:rsidRPr="00A21682" w:rsidRDefault="00396960" w:rsidP="008E3E3A">
      <w:pPr>
        <w:pStyle w:val="Heading3"/>
      </w:pPr>
      <w:bookmarkStart w:id="122" w:name="_Toc152838954"/>
      <w:bookmarkStart w:id="123" w:name="_Toc177118925"/>
      <w:bookmarkStart w:id="124" w:name="_Toc185952480"/>
      <w:bookmarkStart w:id="125" w:name="_Toc192874654"/>
      <w:r>
        <w:t>Deliverable Management Plan</w:t>
      </w:r>
      <w:bookmarkEnd w:id="122"/>
      <w:bookmarkEnd w:id="123"/>
      <w:bookmarkEnd w:id="124"/>
      <w:bookmarkEnd w:id="125"/>
    </w:p>
    <w:p w14:paraId="77CE17AF" w14:textId="62F11025" w:rsidR="00396960" w:rsidRPr="00A21682" w:rsidRDefault="00396960" w:rsidP="008E3289">
      <w:pPr>
        <w:pStyle w:val="NormalNEW"/>
        <w:rPr>
          <w:lang w:val="en-US"/>
        </w:rPr>
      </w:pPr>
      <w:r>
        <w:rPr>
          <w:lang w:val="en-US"/>
        </w:rPr>
        <w:t>The Deliverable Management Plan (refer to Section 5) summarizes the processes involved in the drafting, submission, collaboration review, approval, and transmittal of the deliverables which are referenced in each respective ISOW. When additional approvals and input are required, deliverables cycle through all levels of governance before finalization.</w:t>
      </w:r>
    </w:p>
    <w:p w14:paraId="2EE53C1C" w14:textId="77777777" w:rsidR="00363AF1" w:rsidRPr="00A21682" w:rsidRDefault="00363AF1" w:rsidP="001A09FC">
      <w:pPr>
        <w:sectPr w:rsidR="00363AF1" w:rsidRPr="00A21682" w:rsidSect="00FB4E23">
          <w:headerReference w:type="default" r:id="rId19"/>
          <w:footerReference w:type="default" r:id="rId20"/>
          <w:pgSz w:w="12240" w:h="15840"/>
          <w:pgMar w:top="1440" w:right="1440" w:bottom="1440" w:left="1440" w:header="720" w:footer="720" w:gutter="0"/>
          <w:cols w:space="720"/>
          <w:docGrid w:linePitch="360"/>
        </w:sectPr>
      </w:pPr>
    </w:p>
    <w:p w14:paraId="6AE78D28" w14:textId="311AF6CF" w:rsidR="001A09FC" w:rsidRPr="00A21682" w:rsidRDefault="000C0FD9" w:rsidP="00A9704C">
      <w:pPr>
        <w:pStyle w:val="Deliverable"/>
        <w:jc w:val="center"/>
      </w:pPr>
      <w:r>
        <w:rPr>
          <w:color w:val="FFFFFF" w:themeColor="background1"/>
        </w:rPr>
        <w:lastRenderedPageBreak/>
        <w:t xml:space="preserve">Section 2 – Software Development Life Cycle (SDLC) </w:t>
      </w:r>
    </w:p>
    <w:p w14:paraId="501F332A" w14:textId="77777777" w:rsidR="001A09FC" w:rsidRPr="00A21682" w:rsidRDefault="001A09FC" w:rsidP="001A09FC">
      <w:pPr>
        <w:sectPr w:rsidR="001A09FC" w:rsidRPr="00A21682" w:rsidSect="00FB4E23">
          <w:headerReference w:type="default" r:id="rId21"/>
          <w:footerReference w:type="default" r:id="rId22"/>
          <w:pgSz w:w="12240" w:h="15840"/>
          <w:pgMar w:top="1440" w:right="1440" w:bottom="1440" w:left="1440" w:header="720" w:footer="720" w:gutter="0"/>
          <w:cols w:space="720"/>
          <w:vAlign w:val="center"/>
          <w:docGrid w:linePitch="360"/>
        </w:sectPr>
      </w:pPr>
    </w:p>
    <w:p w14:paraId="3DB79B85" w14:textId="578F8363" w:rsidR="007D2B98" w:rsidRPr="00A21682" w:rsidRDefault="00335B9E">
      <w:pPr>
        <w:pStyle w:val="Heading1"/>
      </w:pPr>
      <w:bookmarkStart w:id="126" w:name="_Toc185952481"/>
      <w:bookmarkStart w:id="127" w:name="_Toc177118926"/>
      <w:bookmarkStart w:id="128" w:name="_Toc192874655"/>
      <w:bookmarkStart w:id="129" w:name="_Toc148102295"/>
      <w:bookmarkStart w:id="130" w:name="_Toc152605779"/>
      <w:bookmarkStart w:id="131" w:name="_Toc396111259"/>
      <w:r>
        <w:lastRenderedPageBreak/>
        <w:t>Software Development Life Cycle Methodology</w:t>
      </w:r>
      <w:bookmarkEnd w:id="126"/>
      <w:bookmarkEnd w:id="127"/>
      <w:bookmarkEnd w:id="128"/>
    </w:p>
    <w:p w14:paraId="5399FDCD" w14:textId="702E50E7" w:rsidR="00C5516F" w:rsidRPr="00A21682" w:rsidRDefault="00C5516F">
      <w:pPr>
        <w:pStyle w:val="Heading2"/>
      </w:pPr>
      <w:bookmarkStart w:id="132" w:name="_Toc177118927"/>
      <w:bookmarkStart w:id="133" w:name="_Toc185952482"/>
      <w:bookmarkStart w:id="134" w:name="_Toc192874656"/>
      <w:r>
        <w:t>Introduction</w:t>
      </w:r>
      <w:bookmarkEnd w:id="129"/>
      <w:bookmarkEnd w:id="130"/>
      <w:bookmarkEnd w:id="132"/>
      <w:bookmarkEnd w:id="133"/>
      <w:bookmarkEnd w:id="134"/>
    </w:p>
    <w:p w14:paraId="55AA934A" w14:textId="5569D14E" w:rsidR="00C5516F" w:rsidRPr="00A21682" w:rsidRDefault="00C5516F" w:rsidP="00C5516F">
      <w:pPr>
        <w:pStyle w:val="NormalNEW"/>
        <w:rPr>
          <w:u w:color="000000"/>
          <w:lang w:val="en-US"/>
        </w:rPr>
      </w:pPr>
      <w:r>
        <w:rPr>
          <w:u w:color="000000"/>
          <w:lang w:val="en-US"/>
        </w:rPr>
        <w:t>Defining and documenting the SDLC methodology is critical to aligning expectations across all project stakeholders to ‘how’ the MECM system will be implemented. It will serve as a guide during the execution of the project and a key component of the Project Management Plan (DEL-05) deliverable.</w:t>
      </w:r>
    </w:p>
    <w:p w14:paraId="5E6DCBB2" w14:textId="77777777" w:rsidR="00C5516F" w:rsidRPr="00A21682" w:rsidRDefault="00C5516F">
      <w:pPr>
        <w:pStyle w:val="Heading2"/>
        <w:rPr>
          <w:u w:color="000000"/>
        </w:rPr>
      </w:pPr>
      <w:bookmarkStart w:id="135" w:name="_Toc148102296"/>
      <w:bookmarkStart w:id="136" w:name="_Toc152605780"/>
      <w:bookmarkStart w:id="137" w:name="_Toc177118928"/>
      <w:bookmarkStart w:id="138" w:name="_Toc185952483"/>
      <w:bookmarkStart w:id="139" w:name="_Toc192874657"/>
      <w:bookmarkEnd w:id="131"/>
      <w:r>
        <w:rPr>
          <w:u w:color="000000"/>
        </w:rPr>
        <w:t>Purpose</w:t>
      </w:r>
      <w:bookmarkEnd w:id="135"/>
      <w:bookmarkEnd w:id="136"/>
      <w:bookmarkEnd w:id="137"/>
      <w:bookmarkEnd w:id="138"/>
      <w:bookmarkEnd w:id="139"/>
    </w:p>
    <w:p w14:paraId="352C650D" w14:textId="2EA48FA2" w:rsidR="00C5516F" w:rsidRPr="00A21682" w:rsidRDefault="00C5516F" w:rsidP="00C5516F">
      <w:pPr>
        <w:pStyle w:val="NormalNEW"/>
        <w:rPr>
          <w:u w:color="000000"/>
          <w:lang w:val="en-US"/>
        </w:rPr>
      </w:pPr>
      <w:r>
        <w:rPr>
          <w:u w:color="000000"/>
          <w:lang w:val="en-US"/>
        </w:rPr>
        <w:t xml:space="preserve">The purpose of this document is to define the SDLC methodology to be used for the implementation of Continuing Medicaid Eligibility Modernization projects. It defines how the MECM system will operate throughout the life cycle across each of its phases including the scope, inputs, outputs, roles and responsibilities. Process flows and process flow narratives supporting each of the phases further elaborate how the project will execute the SDLC along with supporting tools and resources. </w:t>
      </w:r>
    </w:p>
    <w:p w14:paraId="7EF28020" w14:textId="77777777" w:rsidR="00C5516F" w:rsidRPr="00A21682" w:rsidRDefault="00C5516F" w:rsidP="00C5516F">
      <w:pPr>
        <w:pStyle w:val="NormalNEW"/>
        <w:rPr>
          <w:u w:color="000000"/>
          <w:lang w:val="en-US"/>
        </w:rPr>
      </w:pPr>
      <w:r>
        <w:rPr>
          <w:u w:color="000000"/>
          <w:lang w:val="en-US"/>
        </w:rPr>
        <w:t>Objectives of the MECM SDLC methodology include:</w:t>
      </w:r>
    </w:p>
    <w:p w14:paraId="382A447D" w14:textId="77777777" w:rsidR="00C5516F" w:rsidRPr="0031550A" w:rsidRDefault="00C5516F" w:rsidP="0031550A">
      <w:pPr>
        <w:pStyle w:val="BulletNEW"/>
      </w:pPr>
      <w:r>
        <w:t>Establishing consistency of processes and standards used across each Wave and the various stakeholders for the project</w:t>
      </w:r>
    </w:p>
    <w:p w14:paraId="4892395D" w14:textId="65044955" w:rsidR="00C5516F" w:rsidRPr="0031550A" w:rsidRDefault="00C5516F" w:rsidP="0031550A">
      <w:pPr>
        <w:pStyle w:val="BulletNEW"/>
      </w:pPr>
      <w:r>
        <w:t>Demonstrating incremental progress through iterations or bundles while maintaining the rigor that SDLC phase gates provide</w:t>
      </w:r>
    </w:p>
    <w:p w14:paraId="2CAF8957" w14:textId="77777777" w:rsidR="00C5516F" w:rsidRPr="0031550A" w:rsidRDefault="00C5516F" w:rsidP="0031550A">
      <w:pPr>
        <w:pStyle w:val="BulletNEW"/>
      </w:pPr>
      <w:r>
        <w:t>Educating project staff that will execute the methodology with their responsibilities and available resources to set them up for success</w:t>
      </w:r>
    </w:p>
    <w:p w14:paraId="65349F4D" w14:textId="77777777" w:rsidR="00C5516F" w:rsidRPr="0031550A" w:rsidRDefault="00C5516F" w:rsidP="0031550A">
      <w:pPr>
        <w:pStyle w:val="BulletNEW"/>
      </w:pPr>
      <w:r>
        <w:t>Promoting collaboration across teams while clearly defining responsibilities that support an efficient use of project stakeholders’ time</w:t>
      </w:r>
    </w:p>
    <w:p w14:paraId="060881B9" w14:textId="77777777" w:rsidR="00C5516F" w:rsidRPr="00A21682" w:rsidRDefault="00C5516F">
      <w:pPr>
        <w:pStyle w:val="Heading2"/>
        <w:rPr>
          <w:u w:color="000000"/>
        </w:rPr>
      </w:pPr>
      <w:bookmarkStart w:id="140" w:name="_Toc148102297"/>
      <w:bookmarkStart w:id="141" w:name="_Toc152605781"/>
      <w:bookmarkStart w:id="142" w:name="_Toc177118929"/>
      <w:bookmarkStart w:id="143" w:name="_Toc185952484"/>
      <w:bookmarkStart w:id="144" w:name="_Toc192874658"/>
      <w:r>
        <w:rPr>
          <w:u w:color="000000"/>
        </w:rPr>
        <w:t>MECM SDLC Methodology Overview</w:t>
      </w:r>
      <w:bookmarkEnd w:id="140"/>
      <w:bookmarkEnd w:id="141"/>
      <w:bookmarkEnd w:id="142"/>
      <w:bookmarkEnd w:id="143"/>
      <w:bookmarkEnd w:id="144"/>
    </w:p>
    <w:p w14:paraId="3EB10EC0" w14:textId="7DA8C123" w:rsidR="00C5516F" w:rsidRPr="00A21682" w:rsidRDefault="00C5516F" w:rsidP="00C5516F">
      <w:pPr>
        <w:pStyle w:val="NormalNEW"/>
        <w:rPr>
          <w:u w:color="000000"/>
          <w:lang w:val="en-US"/>
        </w:rPr>
      </w:pPr>
      <w:r>
        <w:rPr>
          <w:u w:color="000000"/>
          <w:lang w:val="en-US"/>
        </w:rPr>
        <w:t>To achieve these goals, the MECM SDLC methodology will follow a hybrid SDLC approach. As such, certain phases of the SDLC in a Wave will be completed in sequence where a phase gate is used to exit one phase and begin the next while other Wave phases will occur iteratively and in parallel to each other. Respective exit criteria will define the project artifacts and deliverables requiring completion and or approvals necessary to pass the phase gate. It is possible that phases in different iterations/bundles may be worked in parallel, considering the stakeholder engagement needed. For example, the Development phase of a bundle may be worked in parallel with the Design phase of a subsequent bundle. It may not be optimal for the same phase(s) of a Wave across multiple iterations/bundles to be worked in parallel (e.g., Bundle 1 System Integration Test (SIT) and Bundle 2 SIT activities) due to the inputs needed from the same stakeholder groups.</w:t>
      </w:r>
    </w:p>
    <w:p w14:paraId="0A2A888A" w14:textId="439C0512" w:rsidR="00C5516F" w:rsidRPr="00A21682" w:rsidRDefault="00C5516F" w:rsidP="00C5516F">
      <w:pPr>
        <w:pStyle w:val="NormalNEW"/>
        <w:rPr>
          <w:u w:color="000000"/>
          <w:lang w:val="en-US"/>
        </w:rPr>
      </w:pPr>
      <w:r>
        <w:rPr>
          <w:u w:color="000000"/>
          <w:lang w:val="en-US"/>
        </w:rPr>
        <w:t>This approach benefits from the discipline and rigor of the waterfall and phase gates between key phases while adopting flexibility and allowing early access to working software for the Design, Development, and SIT phases of the SDLC through an iterative process, as illustrated in the Figure 2-1. As part of this approach, Solution Exploration will also take place using the same iterative process leveraged for Design, Development, and SIT for each iteration/bundle. Solution Exploration allows stakeholders and end users to provide feedback for each iteration/bundle, and these design updates will be incorporated iteratively prior to User Acceptance Testing (UAT). Solution Exploration helps validate that the system aligns with the Integrated Joint Application Development (JAD) sessions and provides stakeholders the ability to verify that the system meets requirements prior to the UAT phase of the project. Throughout this process, the SDLC methodology will follow principles set forth in the New York State (NYS) Information Technology Services (ITS) Secure SDLC Standards, which define the security standards that must be considered and addressed within every SDLC.</w:t>
      </w:r>
    </w:p>
    <w:p w14:paraId="751059C6" w14:textId="2976F37F" w:rsidR="00C24A85" w:rsidRPr="00A21682" w:rsidRDefault="001746DB" w:rsidP="00C5516F">
      <w:pPr>
        <w:pStyle w:val="NormalNEW"/>
        <w:rPr>
          <w:u w:color="000000"/>
          <w:lang w:val="en-US"/>
        </w:rPr>
      </w:pPr>
      <w:r>
        <w:rPr>
          <w:u w:color="000000"/>
          <w:lang w:val="en-US"/>
        </w:rPr>
        <w:lastRenderedPageBreak/>
        <w:t>The table below shows the traceability of each NYS ITS SDLC Guideline and corresponding Continuing Medicaid Eligibility Modernization documents or deliverables that most closely align with those guidelines. There is not necessarily a one to one match between the listed security activities and the Secure (SSDLC) phases, as security activities are performed iteratively throughout the SSDLC. NOTE: Each activity of the NYS ITS SDLC Guidelines and their corresponding start and end dates are maintained in the Baselined Work Plan and Schedule and subject to change.</w:t>
      </w:r>
    </w:p>
    <w:tbl>
      <w:tblPr>
        <w:tblStyle w:val="TableStyleCustom1"/>
        <w:tblW w:w="9805" w:type="dxa"/>
        <w:tblLook w:val="0420" w:firstRow="1" w:lastRow="0" w:firstColumn="0" w:lastColumn="0" w:noHBand="0" w:noVBand="1"/>
      </w:tblPr>
      <w:tblGrid>
        <w:gridCol w:w="1151"/>
        <w:gridCol w:w="3030"/>
        <w:gridCol w:w="5624"/>
      </w:tblGrid>
      <w:tr w:rsidR="005D3D53" w:rsidRPr="00A21682" w14:paraId="5FA192D5" w14:textId="77777777" w:rsidTr="00862296">
        <w:trPr>
          <w:cnfStyle w:val="100000000000" w:firstRow="1" w:lastRow="0" w:firstColumn="0" w:lastColumn="0" w:oddVBand="0" w:evenVBand="0" w:oddHBand="0" w:evenHBand="0" w:firstRowFirstColumn="0" w:firstRowLastColumn="0" w:lastRowFirstColumn="0" w:lastRowLastColumn="0"/>
        </w:trPr>
        <w:tc>
          <w:tcPr>
            <w:tcW w:w="0" w:type="dxa"/>
          </w:tcPr>
          <w:p w14:paraId="2008933F" w14:textId="7559A559" w:rsidR="005D3D53" w:rsidRPr="00A21682" w:rsidRDefault="005D3D53" w:rsidP="007F32FC">
            <w:pPr>
              <w:pStyle w:val="NormalNEW"/>
              <w:spacing w:before="60" w:after="60"/>
              <w:rPr>
                <w:u w:color="000000"/>
                <w:lang w:val="en-US"/>
              </w:rPr>
            </w:pPr>
            <w:r>
              <w:rPr>
                <w:u w:color="000000"/>
                <w:lang w:val="en-US"/>
              </w:rPr>
              <w:t>No.</w:t>
            </w:r>
          </w:p>
        </w:tc>
        <w:tc>
          <w:tcPr>
            <w:tcW w:w="0" w:type="dxa"/>
          </w:tcPr>
          <w:p w14:paraId="0C64449F" w14:textId="2EE875B9" w:rsidR="005D3D53" w:rsidRPr="00A21682" w:rsidRDefault="005D3D53" w:rsidP="007F32FC">
            <w:pPr>
              <w:pStyle w:val="NormalNEW"/>
              <w:spacing w:before="60" w:after="60"/>
              <w:rPr>
                <w:u w:color="000000"/>
                <w:lang w:val="en-US"/>
              </w:rPr>
            </w:pPr>
            <w:r>
              <w:rPr>
                <w:u w:color="000000"/>
                <w:lang w:val="en-US"/>
              </w:rPr>
              <w:t>NYS ITS SDLC Guideline</w:t>
            </w:r>
          </w:p>
        </w:tc>
        <w:tc>
          <w:tcPr>
            <w:tcW w:w="0" w:type="dxa"/>
          </w:tcPr>
          <w:p w14:paraId="0405981B" w14:textId="469D33A9" w:rsidR="005D3D53" w:rsidRPr="00A21682" w:rsidRDefault="005D3D53" w:rsidP="007F32FC">
            <w:pPr>
              <w:pStyle w:val="NormalNEW"/>
              <w:spacing w:before="60" w:after="60"/>
              <w:rPr>
                <w:u w:color="000000"/>
                <w:lang w:val="en-US"/>
              </w:rPr>
            </w:pPr>
            <w:r>
              <w:rPr>
                <w:u w:color="000000"/>
                <w:lang w:val="en-US"/>
              </w:rPr>
              <w:t>Corresponding Continuing Medicaid Eligibility Modernization Documents/Deliverables that Satisfies Criteria</w:t>
            </w:r>
          </w:p>
        </w:tc>
      </w:tr>
      <w:tr w:rsidR="005D3D53" w:rsidRPr="00A21682" w14:paraId="0B1518A1" w14:textId="77777777" w:rsidTr="00862296">
        <w:tc>
          <w:tcPr>
            <w:tcW w:w="0" w:type="dxa"/>
          </w:tcPr>
          <w:p w14:paraId="12F4B433" w14:textId="3FFBD295" w:rsidR="005D3D53" w:rsidRPr="00A21682" w:rsidRDefault="005D3D53" w:rsidP="007F32FC">
            <w:pPr>
              <w:pStyle w:val="NormalNEW"/>
              <w:spacing w:before="60" w:after="60"/>
              <w:rPr>
                <w:u w:color="000000"/>
                <w:lang w:val="en-US"/>
              </w:rPr>
            </w:pPr>
            <w:r>
              <w:rPr>
                <w:u w:color="000000"/>
                <w:lang w:val="en-US"/>
              </w:rPr>
              <w:t>1</w:t>
            </w:r>
          </w:p>
        </w:tc>
        <w:tc>
          <w:tcPr>
            <w:tcW w:w="0" w:type="dxa"/>
          </w:tcPr>
          <w:p w14:paraId="388633CB" w14:textId="26F8FD6B" w:rsidR="005D3D53" w:rsidRPr="00A21682" w:rsidRDefault="005D3D53" w:rsidP="007F32FC">
            <w:pPr>
              <w:pStyle w:val="NormalNEW"/>
              <w:spacing w:before="60" w:after="60"/>
              <w:rPr>
                <w:u w:color="000000"/>
                <w:lang w:val="en-US"/>
              </w:rPr>
            </w:pPr>
            <w:r>
              <w:rPr>
                <w:u w:color="000000"/>
                <w:lang w:val="en-US"/>
              </w:rPr>
              <w:t>Classify Information and Establish a System Criticality Level</w:t>
            </w:r>
          </w:p>
        </w:tc>
        <w:tc>
          <w:tcPr>
            <w:tcW w:w="0" w:type="dxa"/>
          </w:tcPr>
          <w:p w14:paraId="50B1CE96" w14:textId="3C06A9C3" w:rsidR="005D3D53" w:rsidRPr="00A21682" w:rsidRDefault="005D3D53" w:rsidP="007F32FC">
            <w:pPr>
              <w:pStyle w:val="NormalNEW"/>
              <w:spacing w:before="60" w:after="60"/>
              <w:rPr>
                <w:u w:color="000000"/>
                <w:lang w:val="en-US"/>
              </w:rPr>
            </w:pPr>
            <w:r>
              <w:rPr>
                <w:u w:color="000000"/>
                <w:lang w:val="en-US"/>
              </w:rPr>
              <w:t xml:space="preserve">Data Use Agreement (DUA) between </w:t>
            </w:r>
            <w:r>
              <w:rPr>
                <w:highlight w:val="black"/>
                <w:u w:color="000000"/>
                <w:lang w:val="en-US"/>
              </w:rPr>
              <w:t>███████</w:t>
            </w:r>
            <w:r>
              <w:rPr>
                <w:u w:color="000000"/>
                <w:lang w:val="en-US"/>
              </w:rPr>
              <w:t xml:space="preserve"> and DOH OHIP</w:t>
            </w:r>
          </w:p>
        </w:tc>
      </w:tr>
      <w:tr w:rsidR="005D3D53" w:rsidRPr="00A21682" w14:paraId="0C564835" w14:textId="77777777" w:rsidTr="00862296">
        <w:tc>
          <w:tcPr>
            <w:tcW w:w="0" w:type="dxa"/>
          </w:tcPr>
          <w:p w14:paraId="44B68ECD" w14:textId="14C202B7" w:rsidR="005D3D53" w:rsidRPr="00A21682" w:rsidRDefault="005D3D53" w:rsidP="007F32FC">
            <w:pPr>
              <w:pStyle w:val="NormalNEW"/>
              <w:spacing w:before="60" w:after="60"/>
              <w:rPr>
                <w:u w:color="000000"/>
                <w:lang w:val="en-US"/>
              </w:rPr>
            </w:pPr>
            <w:r>
              <w:rPr>
                <w:u w:color="000000"/>
                <w:lang w:val="en-US"/>
              </w:rPr>
              <w:t>2</w:t>
            </w:r>
          </w:p>
        </w:tc>
        <w:tc>
          <w:tcPr>
            <w:tcW w:w="0" w:type="dxa"/>
          </w:tcPr>
          <w:p w14:paraId="7249812A" w14:textId="391EC917" w:rsidR="005D3D53" w:rsidRPr="00A21682" w:rsidRDefault="005D3D53" w:rsidP="007F32FC">
            <w:pPr>
              <w:pStyle w:val="NormalNEW"/>
              <w:spacing w:before="60" w:after="60"/>
              <w:rPr>
                <w:u w:color="000000"/>
                <w:lang w:val="en-US"/>
              </w:rPr>
            </w:pPr>
            <w:r>
              <w:rPr>
                <w:u w:color="000000"/>
                <w:lang w:val="en-US"/>
              </w:rPr>
              <w:t>Establish Digital Identity Requirements</w:t>
            </w:r>
          </w:p>
        </w:tc>
        <w:tc>
          <w:tcPr>
            <w:tcW w:w="0" w:type="dxa"/>
          </w:tcPr>
          <w:p w14:paraId="2A913A85" w14:textId="111ECAF9" w:rsidR="005D3D53" w:rsidRPr="00A21682" w:rsidRDefault="005D3D53" w:rsidP="007F32FC">
            <w:pPr>
              <w:pStyle w:val="NormalNEW"/>
              <w:spacing w:before="60" w:after="60"/>
              <w:rPr>
                <w:u w:color="000000"/>
                <w:lang w:val="en-US"/>
              </w:rPr>
            </w:pPr>
            <w:r>
              <w:rPr>
                <w:u w:color="000000"/>
                <w:lang w:val="en-US"/>
              </w:rPr>
              <w:t xml:space="preserve">Identity and Access Management – System Architecture Design Document (SADD) </w:t>
            </w:r>
          </w:p>
        </w:tc>
      </w:tr>
      <w:tr w:rsidR="005D3D53" w:rsidRPr="00A21682" w14:paraId="7DDC13AE" w14:textId="77777777" w:rsidTr="00862296">
        <w:tc>
          <w:tcPr>
            <w:tcW w:w="0" w:type="dxa"/>
          </w:tcPr>
          <w:p w14:paraId="4ECA8955" w14:textId="4F4BCE73" w:rsidR="005D3D53" w:rsidRPr="00A21682" w:rsidRDefault="005D3D53" w:rsidP="007F32FC">
            <w:pPr>
              <w:pStyle w:val="NormalNEW"/>
              <w:spacing w:before="60" w:after="60"/>
              <w:rPr>
                <w:u w:color="000000"/>
                <w:lang w:val="en-US"/>
              </w:rPr>
            </w:pPr>
            <w:r>
              <w:rPr>
                <w:u w:color="000000"/>
                <w:lang w:val="en-US"/>
              </w:rPr>
              <w:t>3</w:t>
            </w:r>
          </w:p>
        </w:tc>
        <w:tc>
          <w:tcPr>
            <w:tcW w:w="0" w:type="dxa"/>
          </w:tcPr>
          <w:p w14:paraId="602CDD49" w14:textId="6D153B50" w:rsidR="005D3D53" w:rsidRPr="00A21682" w:rsidRDefault="005D3D53" w:rsidP="007F32FC">
            <w:pPr>
              <w:pStyle w:val="NormalNEW"/>
              <w:spacing w:before="60" w:after="60"/>
              <w:rPr>
                <w:u w:color="000000"/>
                <w:lang w:val="en-US"/>
              </w:rPr>
            </w:pPr>
            <w:r>
              <w:rPr>
                <w:u w:color="000000"/>
                <w:lang w:val="en-US"/>
              </w:rPr>
              <w:t>Create a System Profile and Decompose the System</w:t>
            </w:r>
          </w:p>
        </w:tc>
        <w:tc>
          <w:tcPr>
            <w:tcW w:w="0" w:type="dxa"/>
          </w:tcPr>
          <w:p w14:paraId="4B035D97" w14:textId="417894DF" w:rsidR="005D3D53" w:rsidRPr="00A21682" w:rsidRDefault="005D3D53" w:rsidP="007F32FC">
            <w:pPr>
              <w:pStyle w:val="NormalNEW"/>
              <w:spacing w:before="60" w:after="60"/>
              <w:rPr>
                <w:u w:color="000000"/>
                <w:lang w:val="en-US"/>
              </w:rPr>
            </w:pPr>
            <w:r>
              <w:rPr>
                <w:u w:color="000000"/>
                <w:lang w:val="en-US"/>
              </w:rPr>
              <w:t>System Security Plan (SSP)</w:t>
            </w:r>
          </w:p>
        </w:tc>
      </w:tr>
      <w:tr w:rsidR="005D3D53" w:rsidRPr="00A21682" w14:paraId="7B21B466" w14:textId="77777777" w:rsidTr="00862296">
        <w:tc>
          <w:tcPr>
            <w:tcW w:w="0" w:type="dxa"/>
          </w:tcPr>
          <w:p w14:paraId="67DF928C" w14:textId="3BB0207C" w:rsidR="005D3D53" w:rsidRPr="00A21682" w:rsidRDefault="005D3D53" w:rsidP="007F32FC">
            <w:pPr>
              <w:pStyle w:val="NormalNEW"/>
              <w:spacing w:before="60" w:after="60"/>
              <w:rPr>
                <w:u w:color="000000"/>
                <w:lang w:val="en-US"/>
              </w:rPr>
            </w:pPr>
            <w:r>
              <w:rPr>
                <w:u w:color="000000"/>
                <w:lang w:val="en-US"/>
              </w:rPr>
              <w:t>4</w:t>
            </w:r>
          </w:p>
        </w:tc>
        <w:tc>
          <w:tcPr>
            <w:tcW w:w="0" w:type="dxa"/>
          </w:tcPr>
          <w:p w14:paraId="34E01A77" w14:textId="62916299" w:rsidR="005D3D53" w:rsidRPr="00A21682" w:rsidRDefault="005D3D53" w:rsidP="007F32FC">
            <w:pPr>
              <w:pStyle w:val="NormalNEW"/>
              <w:spacing w:before="60" w:after="60"/>
              <w:rPr>
                <w:u w:color="000000"/>
                <w:lang w:val="en-US"/>
              </w:rPr>
            </w:pPr>
            <w:r>
              <w:rPr>
                <w:u w:color="000000"/>
                <w:lang w:val="en-US"/>
              </w:rPr>
              <w:t>Assess Risks</w:t>
            </w:r>
          </w:p>
        </w:tc>
        <w:tc>
          <w:tcPr>
            <w:tcW w:w="0" w:type="dxa"/>
          </w:tcPr>
          <w:p w14:paraId="0705ED3D" w14:textId="01BA2BF3" w:rsidR="005D3D53" w:rsidRPr="00A21682" w:rsidRDefault="005D3D53" w:rsidP="007F32FC">
            <w:pPr>
              <w:pStyle w:val="NormalNEW"/>
              <w:spacing w:before="60" w:after="60"/>
              <w:rPr>
                <w:u w:color="000000"/>
                <w:lang w:val="en-US"/>
              </w:rPr>
            </w:pPr>
            <w:r>
              <w:rPr>
                <w:u w:color="000000"/>
                <w:lang w:val="en-US"/>
              </w:rPr>
              <w:t>System Security Plan</w:t>
            </w:r>
          </w:p>
        </w:tc>
      </w:tr>
      <w:tr w:rsidR="005D3D53" w:rsidRPr="00A21682" w14:paraId="6DF9C16F" w14:textId="77777777" w:rsidTr="00862296">
        <w:tc>
          <w:tcPr>
            <w:tcW w:w="0" w:type="dxa"/>
          </w:tcPr>
          <w:p w14:paraId="5B7F4892" w14:textId="384D674E" w:rsidR="005D3D53" w:rsidRPr="00A21682" w:rsidRDefault="005D3D53" w:rsidP="007F32FC">
            <w:pPr>
              <w:pStyle w:val="NormalNEW"/>
              <w:spacing w:before="60" w:after="60"/>
              <w:rPr>
                <w:u w:color="000000"/>
                <w:lang w:val="en-US"/>
              </w:rPr>
            </w:pPr>
            <w:r>
              <w:rPr>
                <w:u w:color="000000"/>
                <w:lang w:val="en-US"/>
              </w:rPr>
              <w:t>5</w:t>
            </w:r>
          </w:p>
        </w:tc>
        <w:tc>
          <w:tcPr>
            <w:tcW w:w="0" w:type="dxa"/>
          </w:tcPr>
          <w:p w14:paraId="62983759" w14:textId="7E806F34" w:rsidR="005D3D53" w:rsidRPr="00A21682" w:rsidRDefault="005D3D53" w:rsidP="007F32FC">
            <w:pPr>
              <w:pStyle w:val="NormalNEW"/>
              <w:spacing w:before="60" w:after="60"/>
              <w:rPr>
                <w:u w:color="000000"/>
                <w:lang w:val="en-US"/>
              </w:rPr>
            </w:pPr>
            <w:r>
              <w:rPr>
                <w:u w:color="000000"/>
                <w:lang w:val="en-US"/>
              </w:rPr>
              <w:t>Select, Document, and Test Security Controls</w:t>
            </w:r>
          </w:p>
        </w:tc>
        <w:tc>
          <w:tcPr>
            <w:tcW w:w="0" w:type="dxa"/>
          </w:tcPr>
          <w:p w14:paraId="3D0FE128" w14:textId="06FE9502" w:rsidR="005D3D53" w:rsidRPr="00A21682" w:rsidRDefault="005D3D53" w:rsidP="007F32FC">
            <w:pPr>
              <w:pStyle w:val="NormalNEW"/>
              <w:spacing w:before="60" w:after="60"/>
              <w:rPr>
                <w:u w:color="000000"/>
                <w:lang w:val="en-US"/>
              </w:rPr>
            </w:pPr>
            <w:r>
              <w:rPr>
                <w:u w:color="000000"/>
                <w:lang w:val="en-US"/>
              </w:rPr>
              <w:t xml:space="preserve">Test Management Plan </w:t>
            </w:r>
          </w:p>
        </w:tc>
      </w:tr>
      <w:tr w:rsidR="005D3D53" w:rsidRPr="00A21682" w14:paraId="123B852E" w14:textId="77777777" w:rsidTr="00862296">
        <w:tc>
          <w:tcPr>
            <w:tcW w:w="0" w:type="dxa"/>
          </w:tcPr>
          <w:p w14:paraId="646C3875" w14:textId="3A7D1621" w:rsidR="005D3D53" w:rsidRPr="00A21682" w:rsidRDefault="005D3D53" w:rsidP="007F32FC">
            <w:pPr>
              <w:pStyle w:val="NormalNEW"/>
              <w:spacing w:before="60" w:after="60"/>
              <w:rPr>
                <w:u w:color="000000"/>
                <w:lang w:val="en-US"/>
              </w:rPr>
            </w:pPr>
            <w:r>
              <w:rPr>
                <w:u w:color="000000"/>
                <w:lang w:val="en-US"/>
              </w:rPr>
              <w:t>6</w:t>
            </w:r>
          </w:p>
        </w:tc>
        <w:tc>
          <w:tcPr>
            <w:tcW w:w="0" w:type="dxa"/>
          </w:tcPr>
          <w:p w14:paraId="6B6D8EFF" w14:textId="2037261D" w:rsidR="005D3D53" w:rsidRPr="00A21682" w:rsidRDefault="005D3D53" w:rsidP="007F32FC">
            <w:pPr>
              <w:pStyle w:val="NormalNEW"/>
              <w:spacing w:before="60" w:after="60"/>
              <w:rPr>
                <w:u w:color="000000"/>
                <w:lang w:val="en-US"/>
              </w:rPr>
            </w:pPr>
            <w:r>
              <w:rPr>
                <w:u w:color="000000"/>
                <w:lang w:val="en-US"/>
              </w:rPr>
              <w:t>Create Test Data</w:t>
            </w:r>
          </w:p>
        </w:tc>
        <w:tc>
          <w:tcPr>
            <w:tcW w:w="0" w:type="dxa"/>
          </w:tcPr>
          <w:p w14:paraId="26BEBCAB" w14:textId="720C9FFB" w:rsidR="005D3D53" w:rsidRPr="00A21682" w:rsidRDefault="005D3D53" w:rsidP="007F32FC">
            <w:pPr>
              <w:pStyle w:val="NormalNEW"/>
              <w:spacing w:before="60" w:after="60"/>
              <w:rPr>
                <w:u w:color="000000"/>
                <w:lang w:val="en-US"/>
              </w:rPr>
            </w:pPr>
            <w:r>
              <w:rPr>
                <w:u w:color="000000"/>
                <w:lang w:val="en-US"/>
              </w:rPr>
              <w:t>Test (test, interfaces, conversion teams)</w:t>
            </w:r>
          </w:p>
        </w:tc>
      </w:tr>
      <w:tr w:rsidR="005D3D53" w:rsidRPr="00A21682" w14:paraId="21FD6976" w14:textId="77777777" w:rsidTr="00862296">
        <w:tc>
          <w:tcPr>
            <w:tcW w:w="0" w:type="dxa"/>
          </w:tcPr>
          <w:p w14:paraId="10F93294" w14:textId="5970C1BF" w:rsidR="005D3D53" w:rsidRPr="00A21682" w:rsidRDefault="005D3D53" w:rsidP="007F32FC">
            <w:pPr>
              <w:pStyle w:val="NormalNEW"/>
              <w:spacing w:before="60" w:after="60"/>
              <w:rPr>
                <w:u w:color="000000"/>
                <w:lang w:val="en-US"/>
              </w:rPr>
            </w:pPr>
            <w:r>
              <w:rPr>
                <w:u w:color="000000"/>
                <w:lang w:val="en-US"/>
              </w:rPr>
              <w:t>7</w:t>
            </w:r>
          </w:p>
        </w:tc>
        <w:tc>
          <w:tcPr>
            <w:tcW w:w="0" w:type="dxa"/>
          </w:tcPr>
          <w:p w14:paraId="5A9C7A00" w14:textId="7EBDE2B3" w:rsidR="005D3D53" w:rsidRPr="00A21682" w:rsidRDefault="005D3D53" w:rsidP="007F32FC">
            <w:pPr>
              <w:pStyle w:val="NormalNEW"/>
              <w:spacing w:before="60" w:after="60"/>
              <w:rPr>
                <w:u w:color="000000"/>
                <w:lang w:val="en-US"/>
              </w:rPr>
            </w:pPr>
            <w:r>
              <w:rPr>
                <w:u w:color="000000"/>
                <w:lang w:val="en-US"/>
              </w:rPr>
              <w:t>Perform Certification and Accreditation</w:t>
            </w:r>
          </w:p>
        </w:tc>
        <w:tc>
          <w:tcPr>
            <w:tcW w:w="0" w:type="dxa"/>
          </w:tcPr>
          <w:p w14:paraId="4315FFA1" w14:textId="5D766037" w:rsidR="005D3D53" w:rsidRPr="00A21682" w:rsidRDefault="005D3D53" w:rsidP="007F32FC">
            <w:pPr>
              <w:pStyle w:val="NormalNEW"/>
              <w:spacing w:before="60" w:after="60"/>
              <w:rPr>
                <w:u w:color="000000"/>
                <w:lang w:val="en-US"/>
              </w:rPr>
            </w:pPr>
            <w:r>
              <w:rPr>
                <w:u w:color="000000"/>
                <w:lang w:val="en-US"/>
              </w:rPr>
              <w:t>Third Party Verification (April/May 2025)</w:t>
            </w:r>
          </w:p>
        </w:tc>
      </w:tr>
      <w:tr w:rsidR="005D3D53" w:rsidRPr="00A21682" w14:paraId="3CB4ABDC" w14:textId="77777777" w:rsidTr="00862296">
        <w:tc>
          <w:tcPr>
            <w:tcW w:w="0" w:type="dxa"/>
          </w:tcPr>
          <w:p w14:paraId="353F62E8" w14:textId="78A16389" w:rsidR="005D3D53" w:rsidRPr="00A21682" w:rsidRDefault="005D3D53" w:rsidP="007F32FC">
            <w:pPr>
              <w:pStyle w:val="NormalNEW"/>
              <w:spacing w:before="60" w:after="60"/>
              <w:rPr>
                <w:u w:color="000000"/>
                <w:lang w:val="en-US"/>
              </w:rPr>
            </w:pPr>
            <w:r>
              <w:rPr>
                <w:u w:color="000000"/>
                <w:lang w:val="en-US"/>
              </w:rPr>
              <w:t>8</w:t>
            </w:r>
          </w:p>
        </w:tc>
        <w:tc>
          <w:tcPr>
            <w:tcW w:w="0" w:type="dxa"/>
          </w:tcPr>
          <w:p w14:paraId="7B9431BA" w14:textId="55AEE7C2" w:rsidR="005D3D53" w:rsidRPr="00A21682" w:rsidRDefault="005D3D53" w:rsidP="007F32FC">
            <w:pPr>
              <w:pStyle w:val="NormalNEW"/>
              <w:spacing w:before="60" w:after="60"/>
              <w:rPr>
                <w:u w:color="000000"/>
                <w:lang w:val="en-US"/>
              </w:rPr>
            </w:pPr>
            <w:r>
              <w:rPr>
                <w:u w:color="000000"/>
                <w:lang w:val="en-US"/>
              </w:rPr>
              <w:t>Release &amp; Maintenance Support</w:t>
            </w:r>
          </w:p>
        </w:tc>
        <w:tc>
          <w:tcPr>
            <w:tcW w:w="0" w:type="dxa"/>
          </w:tcPr>
          <w:p w14:paraId="5BC2295C" w14:textId="0D4B92A7" w:rsidR="005D3D53" w:rsidRPr="00A21682" w:rsidRDefault="005D3D53" w:rsidP="007F32FC">
            <w:pPr>
              <w:pStyle w:val="NormalNEW"/>
              <w:spacing w:before="60" w:after="60"/>
              <w:rPr>
                <w:u w:color="000000"/>
                <w:lang w:val="en-US"/>
              </w:rPr>
            </w:pPr>
            <w:r>
              <w:rPr>
                <w:u w:color="000000"/>
                <w:lang w:val="en-US"/>
              </w:rPr>
              <w:t>Combination of what is being implemented for Wave 1 and M&amp;O services</w:t>
            </w:r>
          </w:p>
        </w:tc>
      </w:tr>
      <w:tr w:rsidR="005D3D53" w:rsidRPr="00A21682" w14:paraId="21FB8BF8" w14:textId="77777777" w:rsidTr="00862296">
        <w:tc>
          <w:tcPr>
            <w:tcW w:w="0" w:type="dxa"/>
          </w:tcPr>
          <w:p w14:paraId="3EC13123" w14:textId="7C9EE590" w:rsidR="005D3D53" w:rsidRPr="00A21682" w:rsidRDefault="005D3D53" w:rsidP="007F32FC">
            <w:pPr>
              <w:pStyle w:val="NormalNEW"/>
              <w:spacing w:before="60" w:after="60"/>
              <w:rPr>
                <w:u w:color="000000"/>
                <w:lang w:val="en-US"/>
              </w:rPr>
            </w:pPr>
            <w:r>
              <w:rPr>
                <w:u w:color="000000"/>
                <w:lang w:val="en-US"/>
              </w:rPr>
              <w:t>9</w:t>
            </w:r>
          </w:p>
        </w:tc>
        <w:tc>
          <w:tcPr>
            <w:tcW w:w="0" w:type="dxa"/>
          </w:tcPr>
          <w:p w14:paraId="3D1E4477" w14:textId="31FDEBB2" w:rsidR="005D3D53" w:rsidRPr="00A21682" w:rsidRDefault="005D3D53" w:rsidP="007F32FC">
            <w:pPr>
              <w:pStyle w:val="NormalNEW"/>
              <w:spacing w:before="60" w:after="60"/>
              <w:rPr>
                <w:u w:color="000000"/>
                <w:lang w:val="en-US"/>
              </w:rPr>
            </w:pPr>
            <w:r>
              <w:rPr>
                <w:u w:color="000000"/>
                <w:lang w:val="en-US"/>
              </w:rPr>
              <w:t>System Disposal</w:t>
            </w:r>
          </w:p>
        </w:tc>
        <w:tc>
          <w:tcPr>
            <w:tcW w:w="0" w:type="dxa"/>
          </w:tcPr>
          <w:p w14:paraId="1486D4D9" w14:textId="00E47F37" w:rsidR="005D3D53" w:rsidRPr="00A21682" w:rsidRDefault="005D3D53" w:rsidP="007F32FC">
            <w:pPr>
              <w:pStyle w:val="NormalNEW"/>
              <w:spacing w:before="60" w:after="60"/>
              <w:rPr>
                <w:u w:color="000000"/>
                <w:lang w:val="en-US"/>
              </w:rPr>
            </w:pPr>
            <w:r>
              <w:rPr>
                <w:u w:color="000000"/>
                <w:lang w:val="en-US"/>
              </w:rPr>
              <w:t xml:space="preserve">Not applicable for Wave 1; consider for M&amp;O </w:t>
            </w:r>
          </w:p>
        </w:tc>
      </w:tr>
    </w:tbl>
    <w:p w14:paraId="1A789B30" w14:textId="2F8B1569" w:rsidR="00424DE9" w:rsidRPr="00A21682" w:rsidRDefault="00424DE9" w:rsidP="00424DE9">
      <w:pPr>
        <w:pStyle w:val="Caption"/>
        <w:rPr>
          <w:noProof w:val="0"/>
        </w:rPr>
      </w:pPr>
      <w:bookmarkStart w:id="145" w:name="_Toc19287508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xml:space="preserve">: NYS ITS SDLC Guideline to </w:t>
      </w:r>
      <w:r>
        <w:t xml:space="preserve">Continuing Medicaid Eligibility Modernization </w:t>
      </w:r>
      <w:r>
        <w:rPr>
          <w:noProof w:val="0"/>
        </w:rPr>
        <w:t>Document/Deliverable Mapping</w:t>
      </w:r>
      <w:bookmarkEnd w:id="145"/>
    </w:p>
    <w:p w14:paraId="69BCA163" w14:textId="77777777" w:rsidR="004F7066" w:rsidRPr="00A21682" w:rsidRDefault="004F7066" w:rsidP="00C5516F">
      <w:pPr>
        <w:pStyle w:val="NormalNEW"/>
        <w:rPr>
          <w:u w:color="000000"/>
          <w:lang w:val="en-US"/>
        </w:rPr>
      </w:pPr>
    </w:p>
    <w:p w14:paraId="43A560C9" w14:textId="3933639B" w:rsidR="00C5516F" w:rsidRPr="00A21682" w:rsidRDefault="00C5516F" w:rsidP="00D06432">
      <w:pPr>
        <w:pStyle w:val="NormalNEW"/>
        <w:keepNext/>
        <w:rPr>
          <w:u w:color="000000"/>
          <w:lang w:val="en-US"/>
        </w:rPr>
      </w:pPr>
      <w:r>
        <w:rPr>
          <w:u w:color="000000"/>
          <w:lang w:val="en-US"/>
        </w:rPr>
        <w:lastRenderedPageBreak/>
        <w:t>Figure 2-1 depicts the major phases of a Wave and how the hybrid SDLC methodology will operate.</w:t>
      </w:r>
    </w:p>
    <w:p w14:paraId="10234090" w14:textId="338DA765" w:rsidR="00DF5382" w:rsidRPr="00A21682" w:rsidRDefault="00CD44BF" w:rsidP="00D06432">
      <w:pPr>
        <w:pStyle w:val="NormalNEW"/>
        <w:keepNext/>
        <w:rPr>
          <w:u w:color="000000"/>
          <w:lang w:val="en-US"/>
        </w:rPr>
      </w:pPr>
      <w:r>
        <w:rPr>
          <w:noProof/>
          <w:u w:color="000000"/>
          <w:lang w:val="en-US"/>
        </w:rPr>
        <w:drawing>
          <wp:inline distT="0" distB="0" distL="0" distR="0" wp14:anchorId="68A28354" wp14:editId="1C7B58B4">
            <wp:extent cx="5954931" cy="2688181"/>
            <wp:effectExtent l="0" t="0" r="8255" b="0"/>
            <wp:docPr id="294" name="Graphic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pic:cNvPicPr>
                      <a:picLocks noChangeAspect="1" noChangeArrowheads="1"/>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954931" cy="2688181"/>
                    </a:xfrm>
                    <a:prstGeom prst="rect">
                      <a:avLst/>
                    </a:prstGeom>
                  </pic:spPr>
                </pic:pic>
              </a:graphicData>
            </a:graphic>
          </wp:inline>
        </w:drawing>
      </w:r>
    </w:p>
    <w:p w14:paraId="07BD4120" w14:textId="71B1D332" w:rsidR="00C5516F" w:rsidRPr="00A21682" w:rsidRDefault="00C5516F" w:rsidP="00F6616A">
      <w:pPr>
        <w:pStyle w:val="Caption"/>
        <w:rPr>
          <w:noProof w:val="0"/>
        </w:rPr>
      </w:pPr>
      <w:bookmarkStart w:id="146" w:name="_Toc150948926"/>
      <w:bookmarkStart w:id="147" w:name="_Toc178152023"/>
      <w:bookmarkStart w:id="148" w:name="_Toc192875038"/>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Approach to Application SDLC</w:t>
      </w:r>
      <w:bookmarkEnd w:id="146"/>
      <w:bookmarkEnd w:id="147"/>
      <w:bookmarkEnd w:id="148"/>
    </w:p>
    <w:p w14:paraId="02781643" w14:textId="7B16F1B0" w:rsidR="00C5516F" w:rsidRPr="00A21682" w:rsidRDefault="00C5516F" w:rsidP="00C5516F">
      <w:pPr>
        <w:pStyle w:val="NormalNEW"/>
        <w:rPr>
          <w:lang w:val="en-US"/>
        </w:rPr>
      </w:pPr>
      <w:r>
        <w:rPr>
          <w:lang w:val="en-US"/>
        </w:rPr>
        <w:t xml:space="preserve">For each Wave and major release, a full SDLC sequence is executed as depicted in the above figure. During the SDLC sequence, the Design, Development, and SIT phases are organized into iterations or bundles. Iterations and bundles are a means to deliver working software incrementally during the SDLC allowing project stakeholders to see tangible results from SDLC activities earlier than in a traditional waterfall SDLC methodology. Iterations were initially implemented to organize JAD topics by a system track/module driven approach. Iterations were transitioned to bundles which organize JAD topics in a more holistic, end-to-end business process across design, interfaces, change management, and technology tracks. JADs are more logically organized, creating Functional Design Documents (FDDs) that are easier for stakeholders to consume when they review and approve. Each iteration and bundle will include a Design, Development, and SIT phase within it. Iterations and bundles allow for overlapping SDLC activities within the Design, Development, and SIT phases and will have their own entry and exit criteria. As depicted in the figure above, the Solution Exploration phase takes place iteratively at the conclusion of SIT for each iteration or bundle. The ‘Iterate’ activities above follow requirements prioritization and approval. Any potential changes to approved deliverables and work products will be managed through ICCP. This allows approved incremental designs to move more quickly into Development and subsequent SIT processes. As depicted in Figure 2-1 above, the dark blue arrow represents the full SDLC sequence within a Wave. Within this, the circular arrow with Design/Development/SIT represents the iterative steps for these activities. The light blue arrow represents the return to the beginning of the SDLC process for the next Wave. </w:t>
      </w:r>
    </w:p>
    <w:p w14:paraId="52D38BD1" w14:textId="30461AAE" w:rsidR="00C5516F" w:rsidRPr="00A21682" w:rsidRDefault="00C5516F" w:rsidP="00C5516F">
      <w:pPr>
        <w:pStyle w:val="NormalNEW"/>
        <w:rPr>
          <w:u w:color="000000"/>
          <w:lang w:val="en-US"/>
        </w:rPr>
      </w:pPr>
      <w:r>
        <w:rPr>
          <w:u w:color="000000"/>
          <w:lang w:val="en-US"/>
        </w:rPr>
        <w:t>In support of a comprehensive project governance structure, phase gates are integrated into the SDLC to provide oversight and alignment with project objectives. In accordance with the Responsible, Accountable, Consulted, Informed (RACI) chart, phase owners assess the predefined entry and exit criteria at the conclusion of each phase to demonstrate readiness to move on to the next stage. Given their importance to successful product delivery and production implementation, an additional layer of governance is introduced between the exit and entrance of the following two phases and a dedicated meeting will be held to gain concurrence prior to proceeding:</w:t>
      </w:r>
    </w:p>
    <w:p w14:paraId="76628F70" w14:textId="7D2432C7" w:rsidR="00C5516F" w:rsidRPr="00A21682" w:rsidRDefault="00A91D1B" w:rsidP="00C8045D">
      <w:pPr>
        <w:pStyle w:val="NumberedListMainBody"/>
        <w:numPr>
          <w:ilvl w:val="0"/>
          <w:numId w:val="40"/>
        </w:numPr>
        <w:rPr>
          <w:u w:color="000000"/>
          <w:lang w:val="en-US"/>
        </w:rPr>
      </w:pPr>
      <w:r>
        <w:rPr>
          <w:u w:color="000000"/>
          <w:lang w:val="en-US"/>
        </w:rPr>
        <w:t xml:space="preserve">Operational Readiness Test (ORT) </w:t>
      </w:r>
      <w:r>
        <w:rPr>
          <w:rFonts w:ascii="Arial" w:hAnsi="Arial" w:cs="Arial"/>
          <w:u w:color="000000"/>
          <w:lang w:val="en-US"/>
        </w:rPr>
        <w:t>→</w:t>
      </w:r>
      <w:r>
        <w:rPr>
          <w:u w:color="000000"/>
          <w:lang w:val="en-US"/>
        </w:rPr>
        <w:t xml:space="preserve"> UAT</w:t>
      </w:r>
    </w:p>
    <w:p w14:paraId="46168910" w14:textId="6F1F917D" w:rsidR="00C5516F" w:rsidRPr="00A21682" w:rsidRDefault="003D59F0" w:rsidP="00C8045D">
      <w:pPr>
        <w:pStyle w:val="NumberedListMainBody"/>
        <w:numPr>
          <w:ilvl w:val="0"/>
          <w:numId w:val="40"/>
        </w:numPr>
        <w:rPr>
          <w:u w:color="000000"/>
          <w:lang w:val="en-US"/>
        </w:rPr>
      </w:pPr>
      <w:r>
        <w:rPr>
          <w:u w:color="000000"/>
          <w:lang w:val="en-US"/>
        </w:rPr>
        <w:t>UAT</w:t>
      </w:r>
      <w:r>
        <w:rPr>
          <w:rFonts w:ascii="Arial" w:hAnsi="Arial" w:cs="Arial"/>
          <w:u w:color="000000"/>
          <w:lang w:val="en-US"/>
        </w:rPr>
        <w:t>→</w:t>
      </w:r>
      <w:r>
        <w:rPr>
          <w:u w:color="000000"/>
          <w:lang w:val="en-US"/>
        </w:rPr>
        <w:t xml:space="preserve"> Rollout</w:t>
      </w:r>
      <w:r>
        <w:rPr>
          <w:rFonts w:ascii="Arial" w:hAnsi="Arial" w:cs="Arial"/>
          <w:u w:color="000000"/>
          <w:lang w:val="en-US"/>
        </w:rPr>
        <w:t xml:space="preserve"> </w:t>
      </w:r>
    </w:p>
    <w:p w14:paraId="1DE0C14F" w14:textId="70F314DF" w:rsidR="00DA3DC7" w:rsidRPr="00A21682" w:rsidRDefault="00843978" w:rsidP="00843978">
      <w:pPr>
        <w:pStyle w:val="NormalNEW"/>
        <w:rPr>
          <w:u w:color="000000"/>
          <w:lang w:val="en-US"/>
        </w:rPr>
      </w:pPr>
      <w:r>
        <w:rPr>
          <w:u w:color="000000"/>
          <w:lang w:val="en-US"/>
        </w:rPr>
        <w:lastRenderedPageBreak/>
        <w:t xml:space="preserve">Phase gates are integrated into the SDLC to provide oversight and confirm alignment with project objectives. </w:t>
      </w:r>
    </w:p>
    <w:p w14:paraId="12EF02B7" w14:textId="7842B8E8" w:rsidR="00C5516F" w:rsidRPr="00A21682" w:rsidRDefault="00DA3DC7" w:rsidP="005945C3">
      <w:pPr>
        <w:pStyle w:val="NormalNEW"/>
        <w:rPr>
          <w:highlight w:val="yellow"/>
          <w:u w:color="000000"/>
          <w:lang w:val="en-US"/>
        </w:rPr>
      </w:pPr>
      <w:r>
        <w:rPr>
          <w:u w:color="000000"/>
          <w:lang w:val="en-US"/>
        </w:rPr>
        <w:t xml:space="preserve">Once the associated documentation and deliverables have been approved and the corresponding entry/exit criteria have been satisfied for each project phase, two key decisions will be logged: one for the completion of the current phase’s exit criteria and another for the commencement of the next phase’s entry criteria. These decisions will include the collection of deliverable approvals and associated documents, in accordance with the guidelines outlined in Section 7.4.1 Transmittal Management. </w:t>
      </w:r>
    </w:p>
    <w:p w14:paraId="508AAD44" w14:textId="6A6685FC" w:rsidR="00C5516F" w:rsidRPr="00A21682" w:rsidRDefault="00C5516F" w:rsidP="00D06432">
      <w:pPr>
        <w:pStyle w:val="NormalNEW"/>
        <w:rPr>
          <w:u w:color="000000"/>
          <w:lang w:val="en-US"/>
        </w:rPr>
      </w:pPr>
      <w:r>
        <w:rPr>
          <w:u w:color="000000"/>
          <w:lang w:val="en-US"/>
        </w:rPr>
        <w:t>The following table describes the purpose of each phase along with the key inputs and outputs of the phase. In Appendix C-1 Roles and Responsibilities, each phase is defined in more detail.</w:t>
      </w:r>
    </w:p>
    <w:tbl>
      <w:tblPr>
        <w:tblW w:w="936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1620"/>
        <w:gridCol w:w="2734"/>
        <w:gridCol w:w="2412"/>
        <w:gridCol w:w="2594"/>
      </w:tblGrid>
      <w:tr w:rsidR="005133E7" w:rsidRPr="00A21682" w14:paraId="0EE66579" w14:textId="77777777" w:rsidTr="0DAC99C1">
        <w:trPr>
          <w:tblHeader/>
        </w:trPr>
        <w:tc>
          <w:tcPr>
            <w:tcW w:w="1620" w:type="dxa"/>
            <w:tcBorders>
              <w:right w:val="single" w:sz="2" w:space="0" w:color="FFFFFF" w:themeColor="background1"/>
            </w:tcBorders>
            <w:shd w:val="clear" w:color="auto" w:fill="000000" w:themeFill="text1"/>
            <w:vAlign w:val="center"/>
          </w:tcPr>
          <w:p w14:paraId="0DD0F19B" w14:textId="77777777" w:rsidR="00C5516F" w:rsidRPr="00A21682" w:rsidRDefault="00C5516F" w:rsidP="00F6616A">
            <w:pPr>
              <w:pStyle w:val="TABLEHEADINGNEW"/>
              <w:rPr>
                <w:u w:color="000000"/>
              </w:rPr>
            </w:pPr>
            <w:r>
              <w:rPr>
                <w:u w:color="000000"/>
              </w:rPr>
              <w:t>Phase</w:t>
            </w:r>
          </w:p>
        </w:tc>
        <w:tc>
          <w:tcPr>
            <w:tcW w:w="2734" w:type="dxa"/>
            <w:tcBorders>
              <w:left w:val="single" w:sz="2" w:space="0" w:color="FFFFFF" w:themeColor="background1"/>
              <w:right w:val="single" w:sz="2" w:space="0" w:color="FFFFFF" w:themeColor="background1"/>
            </w:tcBorders>
            <w:shd w:val="clear" w:color="auto" w:fill="000000" w:themeFill="text1"/>
            <w:vAlign w:val="center"/>
          </w:tcPr>
          <w:p w14:paraId="23D1794A" w14:textId="77777777" w:rsidR="00C5516F" w:rsidRPr="00A21682" w:rsidRDefault="00C5516F" w:rsidP="00F6616A">
            <w:pPr>
              <w:pStyle w:val="TABLEHEADINGNEW"/>
              <w:rPr>
                <w:u w:color="000000"/>
              </w:rPr>
            </w:pPr>
            <w:r>
              <w:rPr>
                <w:u w:color="000000"/>
              </w:rPr>
              <w:t>Purpose</w:t>
            </w:r>
          </w:p>
        </w:tc>
        <w:tc>
          <w:tcPr>
            <w:tcW w:w="2412" w:type="dxa"/>
            <w:tcBorders>
              <w:left w:val="single" w:sz="2" w:space="0" w:color="FFFFFF" w:themeColor="background1"/>
              <w:right w:val="single" w:sz="2" w:space="0" w:color="FFFFFF" w:themeColor="background1"/>
            </w:tcBorders>
            <w:shd w:val="clear" w:color="auto" w:fill="000000" w:themeFill="text1"/>
            <w:vAlign w:val="center"/>
          </w:tcPr>
          <w:p w14:paraId="3626C547" w14:textId="77777777" w:rsidR="00C5516F" w:rsidRPr="00A21682" w:rsidRDefault="00C5516F" w:rsidP="00F6616A">
            <w:pPr>
              <w:pStyle w:val="TABLEHEADINGNEW"/>
              <w:rPr>
                <w:u w:color="000000"/>
              </w:rPr>
            </w:pPr>
            <w:r>
              <w:rPr>
                <w:u w:color="000000"/>
              </w:rPr>
              <w:t>Key Inputs</w:t>
            </w:r>
          </w:p>
        </w:tc>
        <w:tc>
          <w:tcPr>
            <w:tcW w:w="2594" w:type="dxa"/>
            <w:tcBorders>
              <w:left w:val="single" w:sz="2" w:space="0" w:color="FFFFFF" w:themeColor="background1"/>
            </w:tcBorders>
            <w:shd w:val="clear" w:color="auto" w:fill="000000" w:themeFill="text1"/>
            <w:vAlign w:val="center"/>
          </w:tcPr>
          <w:p w14:paraId="086B13E1" w14:textId="77777777" w:rsidR="00C5516F" w:rsidRPr="00A21682" w:rsidRDefault="00C5516F" w:rsidP="00F6616A">
            <w:pPr>
              <w:pStyle w:val="TABLEHEADINGNEW"/>
              <w:rPr>
                <w:u w:color="000000"/>
              </w:rPr>
            </w:pPr>
            <w:r>
              <w:rPr>
                <w:u w:color="000000"/>
              </w:rPr>
              <w:t>Key Outputs</w:t>
            </w:r>
          </w:p>
        </w:tc>
      </w:tr>
      <w:tr w:rsidR="00FA5553" w:rsidRPr="00A21682" w14:paraId="55A4930E" w14:textId="77777777" w:rsidTr="0DAC99C1">
        <w:tc>
          <w:tcPr>
            <w:tcW w:w="1620" w:type="dxa"/>
            <w:shd w:val="clear" w:color="auto" w:fill="FFFFFF" w:themeFill="background1"/>
          </w:tcPr>
          <w:p w14:paraId="37CF986B" w14:textId="4D432669" w:rsidR="00C5516F" w:rsidRPr="00A21682" w:rsidRDefault="00A26095" w:rsidP="00F6616A">
            <w:pPr>
              <w:pStyle w:val="TABLETEXT1"/>
              <w:rPr>
                <w:u w:color="000000"/>
                <w:lang w:val="en-US"/>
              </w:rPr>
            </w:pPr>
            <w:r>
              <w:rPr>
                <w:u w:color="000000"/>
                <w:lang w:val="en-US"/>
              </w:rPr>
              <w:t>Continuing Medicaid Eligibility Modernization Wave Planning</w:t>
            </w:r>
          </w:p>
        </w:tc>
        <w:tc>
          <w:tcPr>
            <w:tcW w:w="2734" w:type="dxa"/>
          </w:tcPr>
          <w:p w14:paraId="321702F6" w14:textId="03B8D123" w:rsidR="00C5516F" w:rsidRPr="00A21682" w:rsidRDefault="00C5516F" w:rsidP="00F6616A">
            <w:pPr>
              <w:pStyle w:val="TABLETEXT1"/>
              <w:rPr>
                <w:u w:color="000000"/>
                <w:lang w:val="en-US"/>
              </w:rPr>
            </w:pPr>
            <w:r>
              <w:rPr>
                <w:u w:color="000000"/>
                <w:lang w:val="en-US"/>
              </w:rPr>
              <w:t xml:space="preserve">The Continuing Medicaid Eligibility Modernization Wave Planning phase defines the high-level objectives and scope for a Wave, including functional, business, and technical impacts. High-level conceptual design and high-level architecture design will take place during Wave Planning while the Amazon Web Services (AWS) team reviews the initial BOM and the Cloud Cost Management plan and plans for any resizing based on changes to business usage/assumptions on a quarterly basis. These are utilized as inputs for the development of the Initial Solution Definition (ISD). </w:t>
            </w:r>
          </w:p>
        </w:tc>
        <w:tc>
          <w:tcPr>
            <w:tcW w:w="2412" w:type="dxa"/>
          </w:tcPr>
          <w:p w14:paraId="5276384B" w14:textId="77777777" w:rsidR="00E67FB6" w:rsidRPr="00A21682" w:rsidRDefault="00E67FB6" w:rsidP="0031550A">
            <w:pPr>
              <w:pStyle w:val="TABLEBULLETNEW"/>
            </w:pPr>
            <w:r>
              <w:t>Business Strategy Document</w:t>
            </w:r>
          </w:p>
          <w:p w14:paraId="703AF25D" w14:textId="77777777" w:rsidR="00B8036D" w:rsidRDefault="00E67FB6" w:rsidP="0031550A">
            <w:pPr>
              <w:pStyle w:val="TABLEBULLETNEW"/>
            </w:pPr>
            <w:r>
              <w:t>Master Statement of Work (MSOW)</w:t>
            </w:r>
          </w:p>
          <w:p w14:paraId="5401A0E1" w14:textId="5678B815" w:rsidR="00C5516F" w:rsidRPr="00B8036D" w:rsidRDefault="00E67FB6" w:rsidP="0031550A">
            <w:pPr>
              <w:pStyle w:val="TABLEBULLETNEW"/>
            </w:pPr>
            <w:r>
              <w:t>Individual Statements of Work (ISOWs)</w:t>
            </w:r>
          </w:p>
        </w:tc>
        <w:tc>
          <w:tcPr>
            <w:tcW w:w="2594" w:type="dxa"/>
          </w:tcPr>
          <w:p w14:paraId="5D85A750" w14:textId="77777777" w:rsidR="00C5516F" w:rsidRPr="00635C9B" w:rsidRDefault="00C5516F" w:rsidP="0031550A">
            <w:pPr>
              <w:pStyle w:val="TABLEBULLETNEW"/>
            </w:pPr>
            <w:r>
              <w:t>Approved high-level scope, goals, and objectives for the Wave</w:t>
            </w:r>
          </w:p>
          <w:p w14:paraId="6B707E27" w14:textId="03E6139D" w:rsidR="00C5516F" w:rsidRPr="00635C9B" w:rsidRDefault="00C5516F" w:rsidP="0031550A">
            <w:pPr>
              <w:pStyle w:val="TABLEBULLETNEW"/>
            </w:pPr>
            <w:r>
              <w:t>Initial Solution Definition (ISD) (DEL-01)</w:t>
            </w:r>
          </w:p>
        </w:tc>
      </w:tr>
      <w:tr w:rsidR="00FA5553" w:rsidRPr="00A21682" w14:paraId="119AECE1" w14:textId="77777777" w:rsidTr="0DAC99C1">
        <w:tc>
          <w:tcPr>
            <w:tcW w:w="1620" w:type="dxa"/>
            <w:shd w:val="clear" w:color="auto" w:fill="FFFFFF" w:themeFill="background1"/>
          </w:tcPr>
          <w:p w14:paraId="25AA67B7" w14:textId="77777777" w:rsidR="00C5516F" w:rsidRPr="00A21682" w:rsidRDefault="00C5516F" w:rsidP="00B56CEA">
            <w:pPr>
              <w:pStyle w:val="TABLETEXT1"/>
              <w:rPr>
                <w:lang w:val="en-US"/>
              </w:rPr>
            </w:pPr>
            <w:r>
              <w:rPr>
                <w:lang w:val="en-US"/>
              </w:rPr>
              <w:t>Business Process Analysis</w:t>
            </w:r>
          </w:p>
        </w:tc>
        <w:tc>
          <w:tcPr>
            <w:tcW w:w="2734" w:type="dxa"/>
          </w:tcPr>
          <w:p w14:paraId="155992FA" w14:textId="7BBA3E86" w:rsidR="00C5516F" w:rsidRPr="00A21682" w:rsidRDefault="00C5516F" w:rsidP="00B56CEA">
            <w:pPr>
              <w:pStyle w:val="TABLETEXT1"/>
              <w:rPr>
                <w:lang w:val="en-US"/>
              </w:rPr>
            </w:pPr>
            <w:r>
              <w:rPr>
                <w:lang w:val="en-US"/>
              </w:rPr>
              <w:t xml:space="preserve">The Business Process Analysis allows to-be business processes (including system workflows) across the different end user types to be defined and optimized to achieve business objectives for the Wave. Personas are used to create and validate business process flows. From Wave-2 onwards, ███████ will submit an NYS- specific Use Case </w:t>
            </w:r>
            <w:r>
              <w:rPr>
                <w:lang w:val="en-US"/>
              </w:rPr>
              <w:lastRenderedPageBreak/>
              <w:t>Document for client approval.</w:t>
            </w:r>
          </w:p>
        </w:tc>
        <w:tc>
          <w:tcPr>
            <w:tcW w:w="2412" w:type="dxa"/>
          </w:tcPr>
          <w:p w14:paraId="28683CD7" w14:textId="77777777" w:rsidR="00C5516F" w:rsidRPr="00635C9B" w:rsidRDefault="00C5516F" w:rsidP="008031C9">
            <w:pPr>
              <w:pStyle w:val="TABLEBULLETNEW"/>
            </w:pPr>
            <w:r>
              <w:lastRenderedPageBreak/>
              <w:t>Existing workforce procedure documentation</w:t>
            </w:r>
          </w:p>
          <w:p w14:paraId="41F2CA8A" w14:textId="40FCC25B" w:rsidR="00C5516F" w:rsidRPr="00635C9B" w:rsidRDefault="00C5516F" w:rsidP="008031C9">
            <w:pPr>
              <w:pStyle w:val="TABLEBULLETNEW"/>
            </w:pPr>
            <w:r>
              <w:t>Interviews with business stakeholders</w:t>
            </w:r>
          </w:p>
          <w:p w14:paraId="1A50E015" w14:textId="77777777" w:rsidR="00C5516F" w:rsidRPr="00635C9B" w:rsidRDefault="00C5516F" w:rsidP="008031C9">
            <w:pPr>
              <w:pStyle w:val="TABLEBULLETNEW"/>
            </w:pPr>
            <w:r>
              <w:t>Site visits to workforce offices</w:t>
            </w:r>
          </w:p>
        </w:tc>
        <w:tc>
          <w:tcPr>
            <w:tcW w:w="2594" w:type="dxa"/>
          </w:tcPr>
          <w:p w14:paraId="4D917CCF" w14:textId="03DC1A89" w:rsidR="00C5516F" w:rsidRPr="00635C9B" w:rsidRDefault="00C5516F" w:rsidP="008031C9">
            <w:pPr>
              <w:pStyle w:val="TABLEBULLETNEW"/>
            </w:pPr>
            <w:r>
              <w:t>As-Is/To-Be Business Process Maps (DEL-17)</w:t>
            </w:r>
          </w:p>
          <w:p w14:paraId="616DFAB2" w14:textId="77777777" w:rsidR="00C5516F" w:rsidRPr="00635C9B" w:rsidRDefault="00C5516F" w:rsidP="008031C9">
            <w:pPr>
              <w:pStyle w:val="TABLEBULLETNEW"/>
            </w:pPr>
            <w:r>
              <w:t>Defined personas based on target population for the Wave</w:t>
            </w:r>
          </w:p>
          <w:p w14:paraId="53377546" w14:textId="4C60D5A2" w:rsidR="00C5516F" w:rsidRPr="00635C9B" w:rsidRDefault="00C5516F" w:rsidP="008031C9">
            <w:pPr>
              <w:pStyle w:val="TABLEBULLETNEW"/>
            </w:pPr>
            <w:r>
              <w:t>Detailed business objectives and high-level scope for the Wave</w:t>
            </w:r>
          </w:p>
        </w:tc>
      </w:tr>
      <w:tr w:rsidR="00FA5553" w:rsidRPr="00A21682" w14:paraId="17F68D1C" w14:textId="77777777" w:rsidTr="0DAC99C1">
        <w:tc>
          <w:tcPr>
            <w:tcW w:w="1620" w:type="dxa"/>
            <w:shd w:val="clear" w:color="auto" w:fill="FFFFFF" w:themeFill="background1"/>
          </w:tcPr>
          <w:p w14:paraId="7F7E1D2C" w14:textId="77777777" w:rsidR="00C5516F" w:rsidRPr="00A21682" w:rsidRDefault="00C5516F" w:rsidP="00B56CEA">
            <w:pPr>
              <w:pStyle w:val="TABLETEXT1"/>
              <w:rPr>
                <w:lang w:val="en-US"/>
              </w:rPr>
            </w:pPr>
            <w:r>
              <w:rPr>
                <w:lang w:val="en-US"/>
              </w:rPr>
              <w:t>Requirements Gathering</w:t>
            </w:r>
          </w:p>
        </w:tc>
        <w:tc>
          <w:tcPr>
            <w:tcW w:w="2734" w:type="dxa"/>
          </w:tcPr>
          <w:p w14:paraId="24320BFC" w14:textId="6D108907" w:rsidR="00C5516F" w:rsidRPr="00A21682" w:rsidRDefault="00C5516F" w:rsidP="00B56CEA">
            <w:pPr>
              <w:pStyle w:val="TABLETEXT1"/>
              <w:rPr>
                <w:lang w:val="en-US"/>
              </w:rPr>
            </w:pPr>
            <w:r>
              <w:rPr>
                <w:lang w:val="en-US"/>
              </w:rPr>
              <w:t>Requirements define ‘what’ the system will do. During the Requirements Gathering phase, the project objectives, to-be process flows, and other business requirements/needs are used to conduct requirements discussions that result in specific system requirements or changes needed to the base solution. System requirements are documented in both narrative form and in a detailed inventory that forms the basis of the Requirements Traceability Matrix (RTM).</w:t>
            </w:r>
          </w:p>
        </w:tc>
        <w:tc>
          <w:tcPr>
            <w:tcW w:w="2412" w:type="dxa"/>
          </w:tcPr>
          <w:p w14:paraId="2F0284B6" w14:textId="77777777" w:rsidR="00C5516F" w:rsidRPr="00635C9B" w:rsidRDefault="00C5516F" w:rsidP="008031C9">
            <w:pPr>
              <w:pStyle w:val="TABLEBULLETNEW"/>
            </w:pPr>
            <w:r>
              <w:t>To-Be Business Process Maps</w:t>
            </w:r>
          </w:p>
          <w:p w14:paraId="0EA9FC82" w14:textId="77777777" w:rsidR="00C5516F" w:rsidRPr="00635C9B" w:rsidRDefault="00C5516F" w:rsidP="008031C9">
            <w:pPr>
              <w:pStyle w:val="TABLEBULLETNEW"/>
            </w:pPr>
            <w:r>
              <w:t>Base solution documentation</w:t>
            </w:r>
          </w:p>
          <w:p w14:paraId="2A48B828" w14:textId="77777777" w:rsidR="00C5516F" w:rsidRPr="00635C9B" w:rsidRDefault="00C5516F" w:rsidP="008031C9">
            <w:pPr>
              <w:pStyle w:val="TABLEBULLETNEW"/>
            </w:pPr>
            <w:r>
              <w:t>Program policy documentation</w:t>
            </w:r>
          </w:p>
          <w:p w14:paraId="42CDA176" w14:textId="77777777" w:rsidR="00C5516F" w:rsidRPr="00635C9B" w:rsidRDefault="00C5516F" w:rsidP="008031C9">
            <w:pPr>
              <w:pStyle w:val="TABLEBULLETNEW"/>
            </w:pPr>
            <w:r>
              <w:t xml:space="preserve">Business requirements input documents </w:t>
            </w:r>
          </w:p>
        </w:tc>
        <w:tc>
          <w:tcPr>
            <w:tcW w:w="2594" w:type="dxa"/>
          </w:tcPr>
          <w:p w14:paraId="65B7F7EB" w14:textId="6DADCAD3" w:rsidR="00C5516F" w:rsidRPr="00635C9B" w:rsidRDefault="00C5516F" w:rsidP="008031C9">
            <w:pPr>
              <w:pStyle w:val="TABLEBULLETNEW"/>
            </w:pPr>
            <w:r>
              <w:t>Requirements Specification Document (DEL-18)</w:t>
            </w:r>
          </w:p>
          <w:p w14:paraId="5DAEDA38" w14:textId="49454A89" w:rsidR="00C5516F" w:rsidRPr="00635C9B" w:rsidRDefault="00C5516F" w:rsidP="008031C9">
            <w:pPr>
              <w:pStyle w:val="TABLEBULLETNEW"/>
            </w:pPr>
            <w:r>
              <w:t>Requirements Traceability Matrix (DEL-19) (including recommended prioritization for Waves)</w:t>
            </w:r>
          </w:p>
        </w:tc>
      </w:tr>
      <w:tr w:rsidR="00FA5553" w:rsidRPr="00A21682" w14:paraId="1EC7A8E1" w14:textId="77777777" w:rsidTr="0DAC99C1">
        <w:tc>
          <w:tcPr>
            <w:tcW w:w="1620" w:type="dxa"/>
            <w:shd w:val="clear" w:color="auto" w:fill="FFFFFF" w:themeFill="background1"/>
          </w:tcPr>
          <w:p w14:paraId="68901AD3" w14:textId="2CFB752B" w:rsidR="00C5516F" w:rsidRPr="00A21682" w:rsidRDefault="00C5516F" w:rsidP="00B56CEA">
            <w:pPr>
              <w:pStyle w:val="TABLETEXT1"/>
              <w:rPr>
                <w:lang w:val="en-US"/>
              </w:rPr>
            </w:pPr>
            <w:r>
              <w:rPr>
                <w:lang w:val="en-US"/>
              </w:rPr>
              <w:t>Prioritization and Iteration/Bundle Planning</w:t>
            </w:r>
          </w:p>
        </w:tc>
        <w:tc>
          <w:tcPr>
            <w:tcW w:w="2734" w:type="dxa"/>
          </w:tcPr>
          <w:p w14:paraId="7B61FE92" w14:textId="3521C12B" w:rsidR="00C5516F" w:rsidRPr="00A21682" w:rsidRDefault="00C5516F" w:rsidP="00B56CEA">
            <w:pPr>
              <w:pStyle w:val="TABLETEXT1"/>
              <w:rPr>
                <w:lang w:val="en-US"/>
              </w:rPr>
            </w:pPr>
            <w:r>
              <w:rPr>
                <w:lang w:val="en-US"/>
              </w:rPr>
              <w:t>Once system requirements are known, the effort must be estimated to determine feasibility to implement within the timeline and capacity of the Wave timeline and budget. Prioritizing requirements may be needed to align their scope to the available timeline and budget. Once prioritization has occurred, system requirements can be allocated across iterations/bundles for the build phases.</w:t>
            </w:r>
          </w:p>
        </w:tc>
        <w:tc>
          <w:tcPr>
            <w:tcW w:w="2412" w:type="dxa"/>
          </w:tcPr>
          <w:p w14:paraId="797012C8" w14:textId="1B6E7CD0" w:rsidR="00C5516F" w:rsidRPr="00635C9B" w:rsidRDefault="00C5516F" w:rsidP="008031C9">
            <w:pPr>
              <w:pStyle w:val="TABLEBULLETNEW"/>
            </w:pPr>
            <w:r>
              <w:t>Requirements Traceability Matrix (DEL-19)</w:t>
            </w:r>
          </w:p>
          <w:p w14:paraId="5B8D8AA6" w14:textId="77777777" w:rsidR="00C5516F" w:rsidRPr="00635C9B" w:rsidRDefault="00C5516F" w:rsidP="008031C9">
            <w:pPr>
              <w:pStyle w:val="TABLEBULLETNEW"/>
            </w:pPr>
            <w:r>
              <w:t>System requirement estimation (refined estimates and impact on resources, budget, and timeline)</w:t>
            </w:r>
          </w:p>
        </w:tc>
        <w:tc>
          <w:tcPr>
            <w:tcW w:w="2594" w:type="dxa"/>
          </w:tcPr>
          <w:p w14:paraId="6C4E9C1B" w14:textId="66480210" w:rsidR="00C5516F" w:rsidRPr="00635C9B" w:rsidRDefault="00C5516F" w:rsidP="008031C9">
            <w:pPr>
              <w:pStyle w:val="TABLEBULLETNEW"/>
            </w:pPr>
            <w:r>
              <w:t>Updated RTM (DEL-19) with Wave and iteration/bundle assignment to each system requirement</w:t>
            </w:r>
          </w:p>
        </w:tc>
      </w:tr>
      <w:tr w:rsidR="00FA5553" w:rsidRPr="00A21682" w14:paraId="2DD2FAC1" w14:textId="77777777" w:rsidTr="0DAC99C1">
        <w:tc>
          <w:tcPr>
            <w:tcW w:w="1620" w:type="dxa"/>
            <w:shd w:val="clear" w:color="auto" w:fill="FFFFFF" w:themeFill="background1"/>
          </w:tcPr>
          <w:p w14:paraId="6CA676F5" w14:textId="77777777" w:rsidR="00C5516F" w:rsidRPr="00A21682" w:rsidRDefault="00C5516F" w:rsidP="00B56CEA">
            <w:pPr>
              <w:pStyle w:val="TABLETEXT1"/>
              <w:rPr>
                <w:lang w:val="en-US"/>
              </w:rPr>
            </w:pPr>
            <w:r>
              <w:rPr>
                <w:lang w:val="en-US"/>
              </w:rPr>
              <w:t>Design (Iterative)</w:t>
            </w:r>
          </w:p>
        </w:tc>
        <w:tc>
          <w:tcPr>
            <w:tcW w:w="2734" w:type="dxa"/>
          </w:tcPr>
          <w:p w14:paraId="492E9030" w14:textId="79FB3B46" w:rsidR="00C5516F" w:rsidRPr="00A21682" w:rsidRDefault="00C5516F" w:rsidP="00B56CEA">
            <w:pPr>
              <w:pStyle w:val="TABLETEXT1"/>
              <w:rPr>
                <w:lang w:val="en-US"/>
              </w:rPr>
            </w:pPr>
            <w:r>
              <w:rPr>
                <w:lang w:val="en-US"/>
              </w:rPr>
              <w:t>The Design phase defines the specifications for the MECM solution for a set of system requirements within a Wave and iteration/bundle and answers the question ‘how’ will the solution work. This is addressed both for functional and non-functional system requirements.</w:t>
            </w:r>
          </w:p>
        </w:tc>
        <w:tc>
          <w:tcPr>
            <w:tcW w:w="2412" w:type="dxa"/>
          </w:tcPr>
          <w:p w14:paraId="1A5E4C98" w14:textId="51ADE33A" w:rsidR="00C5516F" w:rsidRPr="00635C9B" w:rsidRDefault="008514D3" w:rsidP="008031C9">
            <w:pPr>
              <w:pStyle w:val="TABLEBULLETNEW"/>
            </w:pPr>
            <w:r>
              <w:t>Initial Requirements Specification Document (DEL-18) and Requirements Traceability Matrix (DEL-19) with Wave and iteration/bundle assignment to each system requirement</w:t>
            </w:r>
          </w:p>
          <w:p w14:paraId="2EAD1DD0" w14:textId="675FDC70" w:rsidR="00C5516F" w:rsidRPr="00635C9B" w:rsidRDefault="00C5516F" w:rsidP="008031C9">
            <w:pPr>
              <w:pStyle w:val="TABLEBULLETNEW"/>
            </w:pPr>
            <w:r>
              <w:t>Base solution design specification documents</w:t>
            </w:r>
          </w:p>
          <w:p w14:paraId="425D900D" w14:textId="77777777" w:rsidR="00C5516F" w:rsidRPr="00635C9B" w:rsidRDefault="00C5516F" w:rsidP="008031C9">
            <w:pPr>
              <w:pStyle w:val="TABLEBULLETNEW"/>
            </w:pPr>
            <w:r>
              <w:lastRenderedPageBreak/>
              <w:t>Legacy system documentation</w:t>
            </w:r>
          </w:p>
          <w:p w14:paraId="1A6C143F" w14:textId="4B921C1A" w:rsidR="00C5516F" w:rsidRPr="00635C9B" w:rsidRDefault="00C5516F" w:rsidP="008031C9">
            <w:pPr>
              <w:pStyle w:val="TABLEBULLETNEW"/>
            </w:pPr>
            <w:r>
              <w:t>Initial Solution Definition (ISD) (DEL-01)</w:t>
            </w:r>
          </w:p>
        </w:tc>
        <w:tc>
          <w:tcPr>
            <w:tcW w:w="2594" w:type="dxa"/>
          </w:tcPr>
          <w:p w14:paraId="3F518057" w14:textId="36DF99F3" w:rsidR="00C5516F" w:rsidRPr="00635C9B" w:rsidRDefault="00C5516F" w:rsidP="008031C9">
            <w:pPr>
              <w:pStyle w:val="TABLEBULLETNEW"/>
            </w:pPr>
            <w:r>
              <w:lastRenderedPageBreak/>
              <w:t>Functional Design Documents (DEL-20)</w:t>
            </w:r>
          </w:p>
          <w:p w14:paraId="34B56013" w14:textId="47742F7C" w:rsidR="00C5516F" w:rsidRPr="00635C9B" w:rsidRDefault="00C5516F" w:rsidP="008031C9">
            <w:pPr>
              <w:pStyle w:val="TABLEBULLETNEW"/>
            </w:pPr>
            <w:r>
              <w:t>Interface/Batch/ Notice/Automation Control Documents (DEL-22)</w:t>
            </w:r>
          </w:p>
          <w:p w14:paraId="2D3383E8" w14:textId="5DB6899D" w:rsidR="00C5516F" w:rsidRPr="00635C9B" w:rsidRDefault="00C5516F" w:rsidP="008031C9">
            <w:pPr>
              <w:pStyle w:val="TABLEBULLETNEW"/>
            </w:pPr>
            <w:r>
              <w:t>System Architecture Design Document (SADD) (DEL-16)</w:t>
            </w:r>
          </w:p>
          <w:p w14:paraId="2C582E4E" w14:textId="3ECA31A4" w:rsidR="00C5516F" w:rsidRPr="00635C9B" w:rsidRDefault="00C5516F" w:rsidP="008031C9">
            <w:pPr>
              <w:pStyle w:val="TABLEBULLETNEW"/>
            </w:pPr>
            <w:r>
              <w:t>Training Plan (DEL-10)</w:t>
            </w:r>
          </w:p>
          <w:p w14:paraId="4DF523B4" w14:textId="706764F4" w:rsidR="00C5516F" w:rsidRPr="00635C9B" w:rsidRDefault="00C5516F" w:rsidP="008031C9">
            <w:pPr>
              <w:pStyle w:val="TABLEBULLETNEW"/>
            </w:pPr>
            <w:r>
              <w:lastRenderedPageBreak/>
              <w:t>Business Continuity and Disaster Recovery Plan (DEL-14)</w:t>
            </w:r>
          </w:p>
          <w:p w14:paraId="5067812A" w14:textId="4CCFF8CE" w:rsidR="00C5516F" w:rsidRPr="00635C9B" w:rsidRDefault="00C5516F" w:rsidP="008031C9">
            <w:pPr>
              <w:pStyle w:val="TABLEBULLETNEW"/>
            </w:pPr>
            <w:r>
              <w:t>Draft System Security Plan (SSP) (DEL-15)</w:t>
            </w:r>
          </w:p>
        </w:tc>
      </w:tr>
      <w:tr w:rsidR="00FA5553" w:rsidRPr="00A21682" w14:paraId="760F2FC3" w14:textId="77777777" w:rsidTr="0DAC99C1">
        <w:tc>
          <w:tcPr>
            <w:tcW w:w="1620" w:type="dxa"/>
            <w:shd w:val="clear" w:color="auto" w:fill="FFFFFF" w:themeFill="background1"/>
          </w:tcPr>
          <w:p w14:paraId="11EA976E" w14:textId="77777777" w:rsidR="00C5516F" w:rsidRPr="00A21682" w:rsidRDefault="00C5516F" w:rsidP="00B56CEA">
            <w:pPr>
              <w:pStyle w:val="TABLETEXT1"/>
              <w:rPr>
                <w:lang w:val="en-US"/>
              </w:rPr>
            </w:pPr>
            <w:r>
              <w:rPr>
                <w:lang w:val="en-US"/>
              </w:rPr>
              <w:lastRenderedPageBreak/>
              <w:t>Development (Iterative)</w:t>
            </w:r>
          </w:p>
        </w:tc>
        <w:tc>
          <w:tcPr>
            <w:tcW w:w="2734" w:type="dxa"/>
          </w:tcPr>
          <w:p w14:paraId="6FC01E37" w14:textId="2A7F98EF" w:rsidR="00C5516F" w:rsidRPr="00A21682" w:rsidRDefault="00C5516F" w:rsidP="00B56CEA">
            <w:pPr>
              <w:pStyle w:val="TABLETEXT1"/>
              <w:rPr>
                <w:lang w:val="en-US"/>
              </w:rPr>
            </w:pPr>
            <w:r>
              <w:rPr>
                <w:lang w:val="en-US"/>
              </w:rPr>
              <w:t>During the Development phase, the MECM solution software and/or configuration is updated to provide functionality defined in the approved design specifications for the iteration/bundle.</w:t>
            </w:r>
          </w:p>
        </w:tc>
        <w:tc>
          <w:tcPr>
            <w:tcW w:w="2412" w:type="dxa"/>
          </w:tcPr>
          <w:p w14:paraId="38541A38" w14:textId="34C198E9" w:rsidR="00C5516F" w:rsidRPr="00635C9B" w:rsidRDefault="00C5516F" w:rsidP="008031C9">
            <w:pPr>
              <w:pStyle w:val="TABLEBULLETNEW"/>
            </w:pPr>
            <w:r>
              <w:t>Functional Design Documents (DEL-20)</w:t>
            </w:r>
          </w:p>
          <w:p w14:paraId="0D7EA21A" w14:textId="1F26E11E" w:rsidR="00C5516F" w:rsidRPr="00635C9B" w:rsidRDefault="00C5516F" w:rsidP="008031C9">
            <w:pPr>
              <w:pStyle w:val="TABLEBULLETNEW"/>
            </w:pPr>
            <w:r>
              <w:t>Interface Control Documents (DEL-22)</w:t>
            </w:r>
          </w:p>
          <w:p w14:paraId="4E1D650F" w14:textId="77777777" w:rsidR="00C5516F" w:rsidRPr="00635C9B" w:rsidRDefault="00C5516F" w:rsidP="008031C9">
            <w:pPr>
              <w:pStyle w:val="TABLEBULLETNEW"/>
            </w:pPr>
            <w:r>
              <w:t>Notice Control Documents</w:t>
            </w:r>
          </w:p>
          <w:p w14:paraId="58BAD155" w14:textId="750C3B9E" w:rsidR="00C5516F" w:rsidRPr="00635C9B" w:rsidRDefault="00C5516F" w:rsidP="008031C9">
            <w:pPr>
              <w:pStyle w:val="TABLEBULLETNEW"/>
            </w:pPr>
            <w:r>
              <w:t>Batch Control Documents (DEL-22)</w:t>
            </w:r>
          </w:p>
          <w:p w14:paraId="11FD7E67" w14:textId="3AC165C8" w:rsidR="00C5516F" w:rsidRPr="00635C9B" w:rsidRDefault="00C5516F" w:rsidP="008031C9">
            <w:pPr>
              <w:pStyle w:val="TABLEBULLETNEW"/>
            </w:pPr>
            <w:r>
              <w:t>System Architecture Design Document (DEL-16)</w:t>
            </w:r>
          </w:p>
          <w:p w14:paraId="44E6E4B3" w14:textId="5F259C0F" w:rsidR="00C5516F" w:rsidRPr="00635C9B" w:rsidRDefault="00C5516F" w:rsidP="008031C9">
            <w:pPr>
              <w:pStyle w:val="TABLEBULLETNEW"/>
            </w:pPr>
            <w:r>
              <w:t>Training Plan (DEL-10)</w:t>
            </w:r>
          </w:p>
        </w:tc>
        <w:tc>
          <w:tcPr>
            <w:tcW w:w="2594" w:type="dxa"/>
          </w:tcPr>
          <w:p w14:paraId="68E0721A" w14:textId="165C221B" w:rsidR="00C5516F" w:rsidRPr="00635C9B" w:rsidRDefault="00C5516F" w:rsidP="008031C9">
            <w:pPr>
              <w:pStyle w:val="TABLEBULLETNEW"/>
            </w:pPr>
            <w:r>
              <w:t>System Source Code (DEL-26)</w:t>
            </w:r>
          </w:p>
          <w:p w14:paraId="05864FCD" w14:textId="10335F87" w:rsidR="00C5516F" w:rsidRPr="00635C9B" w:rsidRDefault="00C5516F" w:rsidP="008031C9">
            <w:pPr>
              <w:pStyle w:val="TABLEBULLETNEW"/>
            </w:pPr>
            <w:r>
              <w:t xml:space="preserve">Unit Test Results </w:t>
            </w:r>
          </w:p>
          <w:p w14:paraId="0CB024B9" w14:textId="58EEB4DD" w:rsidR="00C5516F" w:rsidRPr="00635C9B" w:rsidRDefault="00C5516F" w:rsidP="008031C9">
            <w:pPr>
              <w:pStyle w:val="TABLEBULLETNEW"/>
            </w:pPr>
            <w:r>
              <w:t>Data Dictionary and Data Model (DEL-21)</w:t>
            </w:r>
          </w:p>
          <w:p w14:paraId="5C7D77FD" w14:textId="65EE0D9C" w:rsidR="00C5516F" w:rsidRPr="00635C9B" w:rsidRDefault="00C5516F" w:rsidP="008031C9">
            <w:pPr>
              <w:pStyle w:val="TABLEBULLETNEW"/>
            </w:pPr>
            <w:r>
              <w:t>Training Materials or Manuals</w:t>
            </w:r>
          </w:p>
          <w:p w14:paraId="54711A3F" w14:textId="367E2274" w:rsidR="00C5516F" w:rsidRPr="00635C9B" w:rsidRDefault="00C5516F" w:rsidP="008031C9">
            <w:pPr>
              <w:pStyle w:val="TABLEBULLETNEW"/>
            </w:pPr>
            <w:r>
              <w:t>System Security Plan (SSP) (DEL-15)</w:t>
            </w:r>
          </w:p>
          <w:p w14:paraId="76D21F7F" w14:textId="62E0507E" w:rsidR="00C5516F" w:rsidRPr="00635C9B" w:rsidRDefault="00C5516F" w:rsidP="008031C9">
            <w:pPr>
              <w:pStyle w:val="TABLEBULLETNEW"/>
            </w:pPr>
            <w:r>
              <w:t>Test Management Plan (DEL-09)</w:t>
            </w:r>
          </w:p>
        </w:tc>
      </w:tr>
      <w:tr w:rsidR="00FA5553" w:rsidRPr="00A21682" w14:paraId="1DCE7CBA" w14:textId="77777777" w:rsidTr="0DAC99C1">
        <w:tc>
          <w:tcPr>
            <w:tcW w:w="1620" w:type="dxa"/>
            <w:shd w:val="clear" w:color="auto" w:fill="FFFFFF" w:themeFill="background1"/>
          </w:tcPr>
          <w:p w14:paraId="3FA849F2" w14:textId="71C7CB3A" w:rsidR="00C5516F" w:rsidRPr="00A21682" w:rsidRDefault="00C5516F" w:rsidP="00B56CEA">
            <w:pPr>
              <w:pStyle w:val="TABLETEXT1"/>
              <w:rPr>
                <w:lang w:val="en-US"/>
              </w:rPr>
            </w:pPr>
            <w:r>
              <w:rPr>
                <w:lang w:val="en-US"/>
              </w:rPr>
              <w:t>SIT (Iterative)</w:t>
            </w:r>
          </w:p>
        </w:tc>
        <w:tc>
          <w:tcPr>
            <w:tcW w:w="2734" w:type="dxa"/>
          </w:tcPr>
          <w:p w14:paraId="74A0AB71" w14:textId="5E19EDBB" w:rsidR="00C5516F" w:rsidRPr="00A21682" w:rsidRDefault="00C5516F" w:rsidP="00637D54">
            <w:pPr>
              <w:pStyle w:val="TABLETEXT1"/>
              <w:rPr>
                <w:lang w:val="en-US"/>
              </w:rPr>
            </w:pPr>
            <w:r>
              <w:rPr>
                <w:lang w:val="en-US"/>
              </w:rPr>
              <w:t>The SIT phase serves to validate that the MECM solution software conforms to the approved design specifications for the iteration or bundle. This phase includes both, vendor performed testing and business stakeholder exploratory testing, and is the final phase within an iteration or bundle. Test scripts developed and used in this phase are based on approved design documentation and in accordance with the Test Management Plan. During this phase, the Rollout Plan will be developed in preparation for operational readiness, UAT, and go-Live activities. Solution Exploration will also take place after SIT.</w:t>
            </w:r>
          </w:p>
        </w:tc>
        <w:tc>
          <w:tcPr>
            <w:tcW w:w="2412" w:type="dxa"/>
          </w:tcPr>
          <w:p w14:paraId="52DDF407" w14:textId="3172DCEF" w:rsidR="00C5516F" w:rsidRPr="00635C9B" w:rsidRDefault="00C5516F" w:rsidP="008031C9">
            <w:pPr>
              <w:pStyle w:val="TABLEBULLETNEW"/>
            </w:pPr>
            <w:r>
              <w:t>Functional Design Documents (DEL-20)</w:t>
            </w:r>
          </w:p>
          <w:p w14:paraId="27E792A0" w14:textId="68100204" w:rsidR="00C5516F" w:rsidRPr="00635C9B" w:rsidRDefault="00C5516F" w:rsidP="008031C9">
            <w:pPr>
              <w:pStyle w:val="TABLEBULLETNEW"/>
            </w:pPr>
            <w:r>
              <w:t>Interface/Batch/ Notice/Automation Control Documents (DEL-22)</w:t>
            </w:r>
          </w:p>
          <w:p w14:paraId="79F0D50B" w14:textId="492A36CF" w:rsidR="00C5516F" w:rsidRPr="00635C9B" w:rsidRDefault="00C5516F" w:rsidP="008031C9">
            <w:pPr>
              <w:pStyle w:val="TABLEBULLETNEW"/>
            </w:pPr>
            <w:r>
              <w:t>System Architecture Design Document (DEL-16)</w:t>
            </w:r>
          </w:p>
          <w:p w14:paraId="272A0DCB" w14:textId="77777777" w:rsidR="00C5516F" w:rsidRPr="00635C9B" w:rsidRDefault="00C5516F" w:rsidP="008031C9">
            <w:pPr>
              <w:pStyle w:val="TABLEBULLETNEW"/>
            </w:pPr>
            <w:r>
              <w:t>Defined personas based on target population for the Wave</w:t>
            </w:r>
          </w:p>
          <w:p w14:paraId="6369212A" w14:textId="7385777E" w:rsidR="00C5516F" w:rsidRPr="00635C9B" w:rsidRDefault="00C5516F" w:rsidP="008031C9">
            <w:pPr>
              <w:pStyle w:val="TABLEBULLETNEW"/>
            </w:pPr>
            <w:r>
              <w:t>Training Plan (DEL-10)</w:t>
            </w:r>
          </w:p>
        </w:tc>
        <w:tc>
          <w:tcPr>
            <w:tcW w:w="2594" w:type="dxa"/>
          </w:tcPr>
          <w:p w14:paraId="532A3354" w14:textId="039435CE" w:rsidR="00C5516F" w:rsidRPr="00635C9B" w:rsidRDefault="00C5516F" w:rsidP="008031C9">
            <w:pPr>
              <w:pStyle w:val="TABLEBULLETNEW"/>
            </w:pPr>
            <w:r>
              <w:t>SIT test scripts</w:t>
            </w:r>
          </w:p>
          <w:p w14:paraId="15000D03" w14:textId="37201559" w:rsidR="00C5516F" w:rsidRPr="00635C9B" w:rsidRDefault="00C5516F" w:rsidP="008031C9">
            <w:pPr>
              <w:pStyle w:val="TABLEBULLETNEW"/>
            </w:pPr>
            <w:r>
              <w:t>SIT test results</w:t>
            </w:r>
          </w:p>
          <w:p w14:paraId="0022A5DF" w14:textId="3505E463" w:rsidR="00C5516F" w:rsidRDefault="00C5516F" w:rsidP="008031C9">
            <w:pPr>
              <w:pStyle w:val="TABLEBULLETNEW"/>
            </w:pPr>
            <w:r>
              <w:t xml:space="preserve">Training Materials or Manuals </w:t>
            </w:r>
          </w:p>
          <w:p w14:paraId="3DFFEA5B" w14:textId="6C8EA9C4" w:rsidR="00C5516F" w:rsidRPr="00635C9B" w:rsidRDefault="00D10547" w:rsidP="008031C9">
            <w:pPr>
              <w:pStyle w:val="TABLEBULLETNEW"/>
            </w:pPr>
            <w:r>
              <w:t>MECM System Rollout Plan (DEL-13), developed during the SIT phase, includes the roll back and verification approach</w:t>
            </w:r>
          </w:p>
        </w:tc>
      </w:tr>
      <w:tr w:rsidR="00FA5553" w:rsidRPr="00A21682" w14:paraId="173FE810" w14:textId="77777777" w:rsidTr="0DAC99C1">
        <w:tc>
          <w:tcPr>
            <w:tcW w:w="1620" w:type="dxa"/>
            <w:shd w:val="clear" w:color="auto" w:fill="FFFFFF" w:themeFill="background1"/>
          </w:tcPr>
          <w:p w14:paraId="17FAFA74" w14:textId="0E5D2D8C" w:rsidR="00730774" w:rsidRPr="00A21682" w:rsidRDefault="00730774" w:rsidP="00B56CEA">
            <w:pPr>
              <w:pStyle w:val="TABLETEXT1"/>
              <w:rPr>
                <w:lang w:val="en-US"/>
              </w:rPr>
            </w:pPr>
            <w:r>
              <w:rPr>
                <w:lang w:val="en-US"/>
              </w:rPr>
              <w:t>Solution Exploration (Iterative)</w:t>
            </w:r>
          </w:p>
        </w:tc>
        <w:tc>
          <w:tcPr>
            <w:tcW w:w="2734" w:type="dxa"/>
          </w:tcPr>
          <w:p w14:paraId="1266FF5F" w14:textId="29FE7A9B" w:rsidR="00730774" w:rsidRPr="00A21682" w:rsidRDefault="00422C3F" w:rsidP="00637D54">
            <w:pPr>
              <w:pStyle w:val="TABLETEXT1"/>
              <w:rPr>
                <w:lang w:val="en-US"/>
              </w:rPr>
            </w:pPr>
            <w:r>
              <w:rPr>
                <w:lang w:val="en-US"/>
              </w:rPr>
              <w:t xml:space="preserve">The Solution Exploration phase occurs iteratively after SIT and serves to validate that the solution aligns with the design inputs </w:t>
            </w:r>
            <w:r>
              <w:rPr>
                <w:lang w:val="en-US"/>
              </w:rPr>
              <w:lastRenderedPageBreak/>
              <w:t>and decisions resulting from Integrated JAD sessions. This is the final phase within an iteration/bundle.</w:t>
            </w:r>
          </w:p>
        </w:tc>
        <w:tc>
          <w:tcPr>
            <w:tcW w:w="2412" w:type="dxa"/>
          </w:tcPr>
          <w:p w14:paraId="384A829C" w14:textId="4A7AFC21" w:rsidR="005D2960" w:rsidRPr="005D2960" w:rsidRDefault="005D2960" w:rsidP="008031C9">
            <w:pPr>
              <w:pStyle w:val="TABLEBULLETNEW"/>
            </w:pPr>
            <w:r>
              <w:lastRenderedPageBreak/>
              <w:t>Test Management Plan (DEL-09)</w:t>
            </w:r>
          </w:p>
          <w:p w14:paraId="145FA114" w14:textId="1D817A82" w:rsidR="00730774" w:rsidRPr="00635C9B" w:rsidRDefault="005D2960" w:rsidP="008031C9">
            <w:pPr>
              <w:pStyle w:val="TABLEBULLETNEW"/>
            </w:pPr>
            <w:r>
              <w:t>SIT Test Report</w:t>
            </w:r>
          </w:p>
        </w:tc>
        <w:tc>
          <w:tcPr>
            <w:tcW w:w="2594" w:type="dxa"/>
          </w:tcPr>
          <w:p w14:paraId="149E595F" w14:textId="1E7DE23E" w:rsidR="00AF6A4F" w:rsidRPr="00AF6A4F" w:rsidRDefault="00AF6A4F" w:rsidP="008031C9">
            <w:pPr>
              <w:pStyle w:val="TABLEBULLETNEW"/>
            </w:pPr>
            <w:r>
              <w:t xml:space="preserve">All the valid observations are categorized as: Valid defects to be addressed, Potential </w:t>
            </w:r>
            <w:r>
              <w:lastRenderedPageBreak/>
              <w:t>design updates, or Potential Enhancements</w:t>
            </w:r>
          </w:p>
          <w:p w14:paraId="33B32D45" w14:textId="5F4B52D7" w:rsidR="00730774" w:rsidRPr="00635C9B" w:rsidRDefault="00527114" w:rsidP="008031C9">
            <w:pPr>
              <w:pStyle w:val="TABLEBULLETNEW"/>
            </w:pPr>
            <w:r>
              <w:t>Requirements Traceability Matrix (DEL-19)</w:t>
            </w:r>
          </w:p>
        </w:tc>
      </w:tr>
      <w:tr w:rsidR="00FA5553" w:rsidRPr="00A21682" w14:paraId="6C4772C0" w14:textId="77777777" w:rsidTr="0DAC99C1">
        <w:tc>
          <w:tcPr>
            <w:tcW w:w="1620" w:type="dxa"/>
            <w:shd w:val="clear" w:color="auto" w:fill="FFFFFF" w:themeFill="background1"/>
          </w:tcPr>
          <w:p w14:paraId="1593B2FB" w14:textId="77777777" w:rsidR="00C5516F" w:rsidRPr="00A21682" w:rsidRDefault="00C5516F" w:rsidP="00B56CEA">
            <w:pPr>
              <w:pStyle w:val="TABLETEXT1"/>
              <w:rPr>
                <w:lang w:val="en-US"/>
              </w:rPr>
            </w:pPr>
            <w:r>
              <w:rPr>
                <w:lang w:val="en-US"/>
              </w:rPr>
              <w:lastRenderedPageBreak/>
              <w:t>Operational Readiness Test</w:t>
            </w:r>
          </w:p>
        </w:tc>
        <w:tc>
          <w:tcPr>
            <w:tcW w:w="2734" w:type="dxa"/>
          </w:tcPr>
          <w:p w14:paraId="5E45FEA1" w14:textId="374D96AA" w:rsidR="00C5516F" w:rsidRPr="00A21682" w:rsidRDefault="00C5516F" w:rsidP="00B56CEA">
            <w:pPr>
              <w:pStyle w:val="TABLETEXT1"/>
              <w:rPr>
                <w:lang w:val="en-US"/>
              </w:rPr>
            </w:pPr>
            <w:r>
              <w:rPr>
                <w:lang w:val="en-US"/>
              </w:rPr>
              <w:t>The Operational Readiness Test phase occurs when all iterations/bundles of Design/Development/SIT/Solution Exploration are complete and the entire functionality for a Wave can be tested together. This phase also includes the following testing types that benefit from being executed when the Wave’s functionality and software is complete: Regression testing, Security testing, Performance testing, and Failover testing.</w:t>
            </w:r>
          </w:p>
        </w:tc>
        <w:tc>
          <w:tcPr>
            <w:tcW w:w="2412" w:type="dxa"/>
          </w:tcPr>
          <w:p w14:paraId="3E465036" w14:textId="1AD93D03" w:rsidR="00C5516F" w:rsidRPr="00635C9B" w:rsidRDefault="00C5516F" w:rsidP="008031C9">
            <w:pPr>
              <w:pStyle w:val="TABLEBULLETNEW"/>
            </w:pPr>
            <w:r>
              <w:t>Business Continuity and Disaster Recovery Plan (DEL-14)</w:t>
            </w:r>
          </w:p>
          <w:p w14:paraId="2A800CC6" w14:textId="137FE32F" w:rsidR="00C5516F" w:rsidRPr="00635C9B" w:rsidRDefault="00C5516F" w:rsidP="008031C9">
            <w:pPr>
              <w:pStyle w:val="TABLEBULLETNEW"/>
            </w:pPr>
            <w:r>
              <w:t>System Security Plan (DEL-15)</w:t>
            </w:r>
          </w:p>
          <w:p w14:paraId="0D76C3A7" w14:textId="3CDB6EBF" w:rsidR="00C5516F" w:rsidRPr="00635C9B" w:rsidRDefault="00C5516F" w:rsidP="008031C9">
            <w:pPr>
              <w:pStyle w:val="TABLEBULLETNEW"/>
            </w:pPr>
            <w:r>
              <w:t>System Architecture Design Document (SADD) (DEL-16)</w:t>
            </w:r>
          </w:p>
          <w:p w14:paraId="203C883B" w14:textId="77777777" w:rsidR="00C5516F" w:rsidRPr="00635C9B" w:rsidRDefault="00C5516F" w:rsidP="008031C9">
            <w:pPr>
              <w:pStyle w:val="TABLEBULLETNEW"/>
            </w:pPr>
            <w:r>
              <w:t>Capacity Plan</w:t>
            </w:r>
          </w:p>
          <w:p w14:paraId="4D42F981" w14:textId="7AF0565A" w:rsidR="00C5516F" w:rsidRPr="00635C9B" w:rsidRDefault="00C5516F" w:rsidP="008031C9">
            <w:pPr>
              <w:pStyle w:val="TABLEBULLETNEW"/>
            </w:pPr>
            <w:r>
              <w:t>SIT test scripts</w:t>
            </w:r>
          </w:p>
          <w:p w14:paraId="1D6A9AF0" w14:textId="6754DE40" w:rsidR="00C5516F" w:rsidRPr="00635C9B" w:rsidRDefault="00C5516F" w:rsidP="008031C9">
            <w:pPr>
              <w:pStyle w:val="TABLEBULLETNEW"/>
            </w:pPr>
            <w:r>
              <w:t>Test Management Plan (DEL-09)</w:t>
            </w:r>
          </w:p>
        </w:tc>
        <w:tc>
          <w:tcPr>
            <w:tcW w:w="2594" w:type="dxa"/>
          </w:tcPr>
          <w:p w14:paraId="1DC6B132" w14:textId="63970479" w:rsidR="00C5516F" w:rsidRPr="00635C9B" w:rsidRDefault="00C5516F" w:rsidP="008031C9">
            <w:pPr>
              <w:pStyle w:val="TABLEBULLETNEW"/>
            </w:pPr>
            <w:r>
              <w:t>System Test Results (DEL-24)</w:t>
            </w:r>
          </w:p>
          <w:p w14:paraId="6A8893FE" w14:textId="777668B2" w:rsidR="00C5516F" w:rsidRPr="00635C9B" w:rsidRDefault="00C5516F" w:rsidP="008031C9">
            <w:pPr>
              <w:pStyle w:val="TABLEBULLETNEW"/>
            </w:pPr>
            <w:r>
              <w:t>Regression test results</w:t>
            </w:r>
          </w:p>
          <w:p w14:paraId="14A26665" w14:textId="213E0B23" w:rsidR="00C5516F" w:rsidRPr="00635C9B" w:rsidRDefault="00C5516F" w:rsidP="008031C9">
            <w:pPr>
              <w:pStyle w:val="TABLEBULLETNEW"/>
            </w:pPr>
            <w:r>
              <w:t>Security test results</w:t>
            </w:r>
          </w:p>
          <w:p w14:paraId="353EF27B" w14:textId="2E8726FF" w:rsidR="00C5516F" w:rsidRPr="00635C9B" w:rsidRDefault="00C5516F" w:rsidP="008031C9">
            <w:pPr>
              <w:pStyle w:val="TABLEBULLETNEW"/>
            </w:pPr>
            <w:r>
              <w:t>Performance test results</w:t>
            </w:r>
          </w:p>
          <w:p w14:paraId="4AE91E97" w14:textId="7980C11F" w:rsidR="00C5516F" w:rsidRPr="00635C9B" w:rsidRDefault="00C5516F" w:rsidP="008031C9">
            <w:pPr>
              <w:pStyle w:val="TABLEBULLETNEW"/>
            </w:pPr>
            <w:r>
              <w:t>Failover test results</w:t>
            </w:r>
          </w:p>
        </w:tc>
      </w:tr>
      <w:tr w:rsidR="00FA5553" w:rsidRPr="00A21682" w14:paraId="5675435C" w14:textId="77777777" w:rsidTr="0DAC99C1">
        <w:tc>
          <w:tcPr>
            <w:tcW w:w="1620" w:type="dxa"/>
            <w:shd w:val="clear" w:color="auto" w:fill="FFFFFF" w:themeFill="background1"/>
          </w:tcPr>
          <w:p w14:paraId="0C0A1F2C" w14:textId="754779C6" w:rsidR="00C5516F" w:rsidRPr="00A21682" w:rsidRDefault="00C5516F" w:rsidP="00B56CEA">
            <w:pPr>
              <w:pStyle w:val="TABLETEXT1"/>
              <w:rPr>
                <w:lang w:val="en-US"/>
              </w:rPr>
            </w:pPr>
            <w:r>
              <w:rPr>
                <w:lang w:val="en-US"/>
              </w:rPr>
              <w:t>UAT</w:t>
            </w:r>
          </w:p>
        </w:tc>
        <w:tc>
          <w:tcPr>
            <w:tcW w:w="2734" w:type="dxa"/>
          </w:tcPr>
          <w:p w14:paraId="7B5A925A" w14:textId="24BE0AE9" w:rsidR="00C5516F" w:rsidRPr="00A21682" w:rsidRDefault="00C5516F" w:rsidP="00B56CEA">
            <w:pPr>
              <w:pStyle w:val="TABLETEXT1"/>
              <w:rPr>
                <w:lang w:val="en-US"/>
              </w:rPr>
            </w:pPr>
            <w:r>
              <w:rPr>
                <w:lang w:val="en-US"/>
              </w:rPr>
              <w:t xml:space="preserve">UAT is performed by business stakeholders to validate the MECM solution functionality aligns with their business requirements and objectives for the Wave. It serves to immerse those stakeholders in the functionality for a Wave to allow them to prepare end users for the Wave’s rollout. </w:t>
            </w:r>
          </w:p>
        </w:tc>
        <w:tc>
          <w:tcPr>
            <w:tcW w:w="2412" w:type="dxa"/>
          </w:tcPr>
          <w:p w14:paraId="2875A60D" w14:textId="5E5CF9EC" w:rsidR="008514D3" w:rsidRPr="00635C9B" w:rsidRDefault="008514D3" w:rsidP="008031C9">
            <w:pPr>
              <w:pStyle w:val="TABLEBULLETNEW"/>
            </w:pPr>
            <w:r>
              <w:t>Updated Requirements Traceability Matrix (DEL-19) with traceability across requirements, design, development, and test cases</w:t>
            </w:r>
          </w:p>
          <w:p w14:paraId="5CAD8FD0" w14:textId="1FFE0C46" w:rsidR="00C5516F" w:rsidRPr="00635C9B" w:rsidRDefault="00C5516F" w:rsidP="008031C9">
            <w:pPr>
              <w:pStyle w:val="TABLEBULLETNEW"/>
            </w:pPr>
            <w:r>
              <w:t>Test Management Plan (DEL-09)</w:t>
            </w:r>
          </w:p>
          <w:p w14:paraId="097307FE" w14:textId="4A4910DF" w:rsidR="00C5516F" w:rsidRPr="00635C9B" w:rsidRDefault="00C5516F" w:rsidP="008031C9">
            <w:pPr>
              <w:pStyle w:val="TABLEBULLETNEW"/>
            </w:pPr>
            <w:r>
              <w:t>Functional Design Documents (DEL-20)</w:t>
            </w:r>
          </w:p>
          <w:p w14:paraId="1D063E31" w14:textId="4B4BB26D" w:rsidR="00C5516F" w:rsidRPr="00635C9B" w:rsidRDefault="00C5516F" w:rsidP="008031C9">
            <w:pPr>
              <w:pStyle w:val="TABLEBULLETNEW"/>
            </w:pPr>
            <w:r>
              <w:t>Interface/Batch/ Notice/Automation Control Documents (DEL-22)</w:t>
            </w:r>
          </w:p>
          <w:p w14:paraId="138CAA02" w14:textId="572900C2" w:rsidR="00C5516F" w:rsidRPr="00635C9B" w:rsidRDefault="00C5516F" w:rsidP="008031C9">
            <w:pPr>
              <w:pStyle w:val="TABLEBULLETNEW"/>
            </w:pPr>
            <w:r>
              <w:t>System Architecture Design Document (DEL-16)</w:t>
            </w:r>
          </w:p>
          <w:p w14:paraId="1662B7CA" w14:textId="77777777" w:rsidR="00C5516F" w:rsidRPr="00635C9B" w:rsidRDefault="00C5516F" w:rsidP="008031C9">
            <w:pPr>
              <w:pStyle w:val="TABLEBULLETNEW"/>
            </w:pPr>
            <w:r>
              <w:t>Defined personas based on target population for the Wave</w:t>
            </w:r>
          </w:p>
          <w:p w14:paraId="64318889" w14:textId="1D164ED8" w:rsidR="00C5516F" w:rsidRPr="00635C9B" w:rsidRDefault="00C5516F" w:rsidP="008031C9">
            <w:pPr>
              <w:pStyle w:val="TABLEBULLETNEW"/>
            </w:pPr>
            <w:r>
              <w:t>SIT test scripts</w:t>
            </w:r>
          </w:p>
          <w:p w14:paraId="5B4FECE6" w14:textId="77C19F29" w:rsidR="00C5516F" w:rsidRPr="00635C9B" w:rsidRDefault="00C5516F" w:rsidP="008031C9">
            <w:pPr>
              <w:pStyle w:val="TABLEBULLETNEW"/>
            </w:pPr>
            <w:r>
              <w:lastRenderedPageBreak/>
              <w:t>Training Plan (DEL-10)</w:t>
            </w:r>
          </w:p>
        </w:tc>
        <w:tc>
          <w:tcPr>
            <w:tcW w:w="2594" w:type="dxa"/>
          </w:tcPr>
          <w:p w14:paraId="24401A6F" w14:textId="3C948B8B" w:rsidR="00C5516F" w:rsidRPr="00635C9B" w:rsidRDefault="00C5516F" w:rsidP="008031C9">
            <w:pPr>
              <w:pStyle w:val="TABLEBULLETNEW"/>
            </w:pPr>
            <w:r>
              <w:lastRenderedPageBreak/>
              <w:t>UAT test scripts</w:t>
            </w:r>
          </w:p>
          <w:p w14:paraId="4A42D6DC" w14:textId="6516DD2C" w:rsidR="00C5516F" w:rsidRPr="00635C9B" w:rsidRDefault="00C5516F" w:rsidP="008031C9">
            <w:pPr>
              <w:pStyle w:val="TABLEBULLETNEW"/>
            </w:pPr>
            <w:r>
              <w:t>UAT test summary</w:t>
            </w:r>
          </w:p>
          <w:p w14:paraId="01399B27" w14:textId="0A659666" w:rsidR="00C5516F" w:rsidRPr="00635C9B" w:rsidRDefault="00C5516F" w:rsidP="008031C9">
            <w:pPr>
              <w:pStyle w:val="TABLEBULLETNEW"/>
            </w:pPr>
            <w:r>
              <w:t>Production Ready System Source Code (DEL-26)</w:t>
            </w:r>
          </w:p>
          <w:p w14:paraId="1A01E9DB" w14:textId="18CC6A48" w:rsidR="00C5516F" w:rsidRPr="00635C9B" w:rsidRDefault="00C5516F" w:rsidP="008031C9">
            <w:pPr>
              <w:pStyle w:val="TABLEBULLETNEW"/>
            </w:pPr>
            <w:r>
              <w:t>Training Materials or Manuals</w:t>
            </w:r>
          </w:p>
        </w:tc>
      </w:tr>
      <w:tr w:rsidR="00FA5553" w:rsidRPr="00A21682" w14:paraId="1400CBE4" w14:textId="77777777" w:rsidTr="0DAC99C1">
        <w:tc>
          <w:tcPr>
            <w:tcW w:w="1620" w:type="dxa"/>
            <w:shd w:val="clear" w:color="auto" w:fill="FFFFFF" w:themeFill="background1"/>
          </w:tcPr>
          <w:p w14:paraId="14732144" w14:textId="77777777" w:rsidR="00C5516F" w:rsidRPr="00A21682" w:rsidRDefault="00C5516F" w:rsidP="00B56CEA">
            <w:pPr>
              <w:pStyle w:val="TABLETEXT1"/>
              <w:rPr>
                <w:lang w:val="en-US"/>
              </w:rPr>
            </w:pPr>
            <w:r>
              <w:rPr>
                <w:lang w:val="en-US"/>
              </w:rPr>
              <w:t>Rollout</w:t>
            </w:r>
          </w:p>
        </w:tc>
        <w:tc>
          <w:tcPr>
            <w:tcW w:w="2734" w:type="dxa"/>
          </w:tcPr>
          <w:p w14:paraId="1FCFF3B0" w14:textId="5FF4BC44" w:rsidR="00C5516F" w:rsidRPr="00A21682" w:rsidRDefault="00C5516F" w:rsidP="00B56CEA">
            <w:pPr>
              <w:pStyle w:val="TABLETEXT1"/>
              <w:rPr>
                <w:lang w:val="en-US"/>
              </w:rPr>
            </w:pPr>
            <w:r>
              <w:rPr>
                <w:lang w:val="en-US"/>
              </w:rPr>
              <w:t>The rollout phase serves to reduce risk through a more methodical introduction of the Wave to the target end users with time built into the schedule for corrections/changes to functional and/or technical artifacts as a result of changes or recommendations derived from UAT feedback. The MECM System Rollout Plan, developed during the SIT phase, includes the roll back and verification approach.</w:t>
            </w:r>
          </w:p>
        </w:tc>
        <w:tc>
          <w:tcPr>
            <w:tcW w:w="2412" w:type="dxa"/>
          </w:tcPr>
          <w:p w14:paraId="4DEBDD44" w14:textId="77777777" w:rsidR="00B83D26" w:rsidRPr="00635C9B" w:rsidRDefault="00B83D26" w:rsidP="008031C9">
            <w:pPr>
              <w:pStyle w:val="TABLEBULLETNEW"/>
            </w:pPr>
            <w:r>
              <w:t>UAT test scripts</w:t>
            </w:r>
          </w:p>
          <w:p w14:paraId="6C946B5E" w14:textId="77777777" w:rsidR="00B83D26" w:rsidRPr="00635C9B" w:rsidRDefault="00B83D26" w:rsidP="008031C9">
            <w:pPr>
              <w:pStyle w:val="TABLEBULLETNEW"/>
            </w:pPr>
            <w:r>
              <w:t>UAT test summary</w:t>
            </w:r>
          </w:p>
          <w:p w14:paraId="656BA681" w14:textId="601C072F" w:rsidR="00C5516F" w:rsidRPr="00AA65E2" w:rsidRDefault="00C5516F" w:rsidP="008031C9">
            <w:pPr>
              <w:pStyle w:val="TABLEBULLETNEW"/>
              <w:rPr>
                <w:dstrike/>
              </w:rPr>
            </w:pPr>
            <w:r>
              <w:t>MECM System Rollout Plan (DEL-13)</w:t>
            </w:r>
          </w:p>
          <w:p w14:paraId="769F5C7A" w14:textId="346AC2B5" w:rsidR="00C729DB" w:rsidRPr="00635C9B" w:rsidRDefault="00C729DB" w:rsidP="008031C9">
            <w:pPr>
              <w:pStyle w:val="TABLEBULLETNEW"/>
            </w:pPr>
            <w:r>
              <w:t>Production Ready System Source Code (DEL-26)</w:t>
            </w:r>
          </w:p>
          <w:p w14:paraId="2E947365" w14:textId="1306FF02" w:rsidR="00C5516F" w:rsidRPr="00635C9B" w:rsidRDefault="00BB07ED" w:rsidP="008031C9">
            <w:pPr>
              <w:pStyle w:val="TABLEBULLETNEW"/>
              <w:rPr>
                <w:dstrike/>
              </w:rPr>
            </w:pPr>
            <w:r>
              <w:t>Maintenance and Operations (M&amp;O) Run Book (DEL-33)</w:t>
            </w:r>
          </w:p>
        </w:tc>
        <w:tc>
          <w:tcPr>
            <w:tcW w:w="2594" w:type="dxa"/>
          </w:tcPr>
          <w:p w14:paraId="07493C8E" w14:textId="57BF58CE" w:rsidR="00C5516F" w:rsidRDefault="00C5516F" w:rsidP="008031C9">
            <w:pPr>
              <w:pStyle w:val="TABLEBULLETNEW"/>
            </w:pPr>
            <w:r>
              <w:t xml:space="preserve">Delivery of Training and Training Completion Report </w:t>
            </w:r>
          </w:p>
          <w:p w14:paraId="101BC27C" w14:textId="77777777" w:rsidR="00C5516F" w:rsidRPr="00A21682" w:rsidRDefault="00C5516F" w:rsidP="008031C9">
            <w:pPr>
              <w:pStyle w:val="TABLEBULLETNEW"/>
            </w:pPr>
          </w:p>
        </w:tc>
      </w:tr>
    </w:tbl>
    <w:p w14:paraId="7D9AB02F" w14:textId="6E5B917D" w:rsidR="00C5516F" w:rsidRPr="00A21682" w:rsidRDefault="00C5516F" w:rsidP="00B56CEA">
      <w:pPr>
        <w:pStyle w:val="Caption"/>
        <w:rPr>
          <w:noProof w:val="0"/>
        </w:rPr>
      </w:pPr>
      <w:bookmarkStart w:id="149" w:name="_Toc150951860"/>
      <w:bookmarkStart w:id="150" w:name="_Toc19287508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SDLC High-Level Process Key Inputs and Outputs</w:t>
      </w:r>
      <w:bookmarkEnd w:id="149"/>
      <w:bookmarkEnd w:id="150"/>
    </w:p>
    <w:p w14:paraId="0ADEE1B7" w14:textId="766685CD" w:rsidR="00C5516F" w:rsidRPr="00A21682" w:rsidRDefault="00C5516F" w:rsidP="00C5516F">
      <w:pPr>
        <w:pStyle w:val="NormalNEW"/>
        <w:rPr>
          <w:u w:color="000000"/>
          <w:lang w:val="en-US"/>
        </w:rPr>
      </w:pPr>
      <w:r>
        <w:rPr>
          <w:u w:color="000000"/>
          <w:lang w:val="en-US"/>
        </w:rPr>
        <w:t xml:space="preserve">Key stakeholders and their roles and responsibilities throughout the MECM SDLC can be found in Appendix C-1 with a clear delineation of roles to help understand specific duties and tasks. The structure enhances accountability, improves communication, and ultimately contributes to the successful planning and execution of the MECM system. </w:t>
      </w:r>
    </w:p>
    <w:p w14:paraId="6479F225" w14:textId="23A5ADBB" w:rsidR="00C5516F" w:rsidRPr="00A21682" w:rsidRDefault="00C5516F" w:rsidP="004B7FBC">
      <w:pPr>
        <w:pStyle w:val="NormalNEW"/>
        <w:rPr>
          <w:u w:color="000000"/>
          <w:lang w:val="en-US"/>
        </w:rPr>
      </w:pPr>
      <w:r>
        <w:rPr>
          <w:u w:color="000000"/>
          <w:lang w:val="en-US"/>
        </w:rPr>
        <w:t>The following table is a list of all key executive, business, technology, functional, and project management stakeholders as further elaborated in the roles and personas table in Appendix C-1.</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3"/>
        <w:gridCol w:w="1965"/>
        <w:gridCol w:w="2089"/>
        <w:gridCol w:w="2091"/>
        <w:gridCol w:w="1446"/>
      </w:tblGrid>
      <w:tr w:rsidR="00C57919" w:rsidRPr="00A21682" w14:paraId="13F722EC" w14:textId="064F4DD7" w:rsidTr="00A24698">
        <w:trPr>
          <w:tblHeader/>
        </w:trPr>
        <w:tc>
          <w:tcPr>
            <w:tcW w:w="1753" w:type="dxa"/>
            <w:tcBorders>
              <w:right w:val="single" w:sz="2" w:space="0" w:color="FFFFFF" w:themeColor="background1"/>
            </w:tcBorders>
            <w:shd w:val="clear" w:color="auto" w:fill="000000"/>
          </w:tcPr>
          <w:p w14:paraId="26F09A87" w14:textId="77777777" w:rsidR="00C57919" w:rsidRPr="00A21682" w:rsidRDefault="00C57919" w:rsidP="004B7FBC">
            <w:pPr>
              <w:pStyle w:val="TABLEHEADINGNEW"/>
              <w:rPr>
                <w:u w:color="000000"/>
              </w:rPr>
            </w:pPr>
            <w:r>
              <w:rPr>
                <w:u w:color="000000"/>
              </w:rPr>
              <w:t>Executive Stakeholders</w:t>
            </w:r>
          </w:p>
        </w:tc>
        <w:tc>
          <w:tcPr>
            <w:tcW w:w="1968" w:type="dxa"/>
            <w:tcBorders>
              <w:left w:val="single" w:sz="2" w:space="0" w:color="FFFFFF" w:themeColor="background1"/>
              <w:right w:val="single" w:sz="2" w:space="0" w:color="FFFFFF" w:themeColor="background1"/>
            </w:tcBorders>
            <w:shd w:val="clear" w:color="auto" w:fill="000000"/>
          </w:tcPr>
          <w:p w14:paraId="7764E53C" w14:textId="77777777" w:rsidR="00C57919" w:rsidRPr="00A21682" w:rsidRDefault="00C57919" w:rsidP="004B7FBC">
            <w:pPr>
              <w:pStyle w:val="TABLEHEADINGNEW"/>
              <w:rPr>
                <w:u w:color="000000"/>
              </w:rPr>
            </w:pPr>
            <w:r>
              <w:rPr>
                <w:u w:color="000000"/>
              </w:rPr>
              <w:t>Functional Stakeholders</w:t>
            </w:r>
          </w:p>
        </w:tc>
        <w:tc>
          <w:tcPr>
            <w:tcW w:w="2092" w:type="dxa"/>
            <w:tcBorders>
              <w:left w:val="single" w:sz="2" w:space="0" w:color="FFFFFF" w:themeColor="background1"/>
              <w:right w:val="single" w:sz="2" w:space="0" w:color="FFFFFF" w:themeColor="background1"/>
            </w:tcBorders>
            <w:shd w:val="clear" w:color="auto" w:fill="000000"/>
          </w:tcPr>
          <w:p w14:paraId="74BB37D6" w14:textId="77777777" w:rsidR="00C57919" w:rsidRPr="00A21682" w:rsidRDefault="00C57919" w:rsidP="004B7FBC">
            <w:pPr>
              <w:pStyle w:val="TABLEHEADINGNEW"/>
              <w:rPr>
                <w:u w:color="000000"/>
              </w:rPr>
            </w:pPr>
            <w:r>
              <w:rPr>
                <w:u w:color="000000"/>
              </w:rPr>
              <w:t>Technical Stakeholders</w:t>
            </w:r>
          </w:p>
        </w:tc>
        <w:tc>
          <w:tcPr>
            <w:tcW w:w="2095" w:type="dxa"/>
            <w:tcBorders>
              <w:left w:val="single" w:sz="2" w:space="0" w:color="FFFFFF" w:themeColor="background1"/>
              <w:right w:val="single" w:sz="4" w:space="0" w:color="E7E6E6" w:themeColor="background2"/>
            </w:tcBorders>
            <w:shd w:val="clear" w:color="auto" w:fill="000000"/>
          </w:tcPr>
          <w:p w14:paraId="4D5A157C" w14:textId="77777777" w:rsidR="00C57919" w:rsidRPr="00A21682" w:rsidRDefault="00C57919" w:rsidP="004B7FBC">
            <w:pPr>
              <w:pStyle w:val="TABLEHEADINGNEW"/>
              <w:rPr>
                <w:u w:color="000000"/>
              </w:rPr>
            </w:pPr>
            <w:r>
              <w:rPr>
                <w:u w:color="000000"/>
              </w:rPr>
              <w:t>Business Stakeholders</w:t>
            </w:r>
          </w:p>
        </w:tc>
        <w:tc>
          <w:tcPr>
            <w:tcW w:w="1446" w:type="dxa"/>
            <w:tcBorders>
              <w:left w:val="single" w:sz="4" w:space="0" w:color="E7E6E6" w:themeColor="background2"/>
            </w:tcBorders>
            <w:shd w:val="clear" w:color="auto" w:fill="000000"/>
          </w:tcPr>
          <w:p w14:paraId="2B69DD9D" w14:textId="7208DF51" w:rsidR="00C57919" w:rsidRPr="00A21682" w:rsidRDefault="00C57919" w:rsidP="004B7FBC">
            <w:pPr>
              <w:pStyle w:val="TABLEHEADINGNEW"/>
              <w:rPr>
                <w:u w:color="000000"/>
              </w:rPr>
            </w:pPr>
            <w:r>
              <w:rPr>
                <w:u w:color="000000"/>
              </w:rPr>
              <w:t>PMO</w:t>
            </w:r>
          </w:p>
        </w:tc>
      </w:tr>
      <w:tr w:rsidR="004A19F0" w:rsidRPr="00A21682" w14:paraId="0D80C065" w14:textId="386CF921" w:rsidTr="00AA65E2">
        <w:tc>
          <w:tcPr>
            <w:tcW w:w="1753" w:type="dxa"/>
          </w:tcPr>
          <w:p w14:paraId="0B03684B" w14:textId="560BAC3D" w:rsidR="004A19F0" w:rsidRPr="00A21682" w:rsidRDefault="004A19F0" w:rsidP="004A19F0">
            <w:pPr>
              <w:pStyle w:val="TABLETEXT1"/>
              <w:keepNext/>
              <w:rPr>
                <w:lang w:val="en-US"/>
              </w:rPr>
            </w:pPr>
            <w:r>
              <w:rPr>
                <w:lang w:val="en-US"/>
              </w:rPr>
              <w:t>Medicaid Director</w:t>
            </w:r>
          </w:p>
        </w:tc>
        <w:tc>
          <w:tcPr>
            <w:tcW w:w="1968" w:type="dxa"/>
          </w:tcPr>
          <w:p w14:paraId="1CC4AD56" w14:textId="77777777" w:rsidR="004A19F0" w:rsidRPr="00A21682" w:rsidRDefault="004A19F0" w:rsidP="004A19F0">
            <w:pPr>
              <w:pStyle w:val="TABLETEXT1"/>
              <w:keepNext/>
              <w:rPr>
                <w:lang w:val="en-US"/>
              </w:rPr>
            </w:pPr>
            <w:r>
              <w:rPr>
                <w:lang w:val="en-US"/>
              </w:rPr>
              <w:t>DOS Functional Manager</w:t>
            </w:r>
          </w:p>
        </w:tc>
        <w:tc>
          <w:tcPr>
            <w:tcW w:w="2092" w:type="dxa"/>
          </w:tcPr>
          <w:p w14:paraId="403A7689" w14:textId="77777777" w:rsidR="004A19F0" w:rsidRPr="00A21682" w:rsidRDefault="004A19F0" w:rsidP="004A19F0">
            <w:pPr>
              <w:pStyle w:val="TABLETEXT1"/>
              <w:keepNext/>
              <w:rPr>
                <w:lang w:val="en-US"/>
              </w:rPr>
            </w:pPr>
            <w:r>
              <w:rPr>
                <w:lang w:val="en-US"/>
              </w:rPr>
              <w:t>DOS Technical Director</w:t>
            </w:r>
          </w:p>
        </w:tc>
        <w:tc>
          <w:tcPr>
            <w:tcW w:w="2095" w:type="dxa"/>
          </w:tcPr>
          <w:p w14:paraId="1DE24BC0" w14:textId="46AC2C1A" w:rsidR="004A19F0" w:rsidRPr="00A21682" w:rsidRDefault="004A19F0" w:rsidP="004A19F0">
            <w:pPr>
              <w:pStyle w:val="TABLETEXT1"/>
              <w:keepNext/>
              <w:rPr>
                <w:lang w:val="en-US"/>
              </w:rPr>
            </w:pPr>
            <w:r>
              <w:rPr>
                <w:lang w:val="en-US"/>
              </w:rPr>
              <w:t>DOH OHIP Implementation and OCM Manager</w:t>
            </w:r>
          </w:p>
        </w:tc>
        <w:tc>
          <w:tcPr>
            <w:tcW w:w="1446" w:type="dxa"/>
          </w:tcPr>
          <w:p w14:paraId="479E37E9" w14:textId="26CEA4DA" w:rsidR="004A19F0" w:rsidRPr="00A21682" w:rsidRDefault="004A19F0" w:rsidP="004A19F0">
            <w:pPr>
              <w:pStyle w:val="TABLETEXT1"/>
              <w:keepNext/>
              <w:rPr>
                <w:lang w:val="en-US"/>
              </w:rPr>
            </w:pPr>
            <w:r>
              <w:rPr>
                <w:lang w:val="en-US"/>
              </w:rPr>
              <w:t>DOS Tool Administrator</w:t>
            </w:r>
          </w:p>
        </w:tc>
      </w:tr>
      <w:tr w:rsidR="004A19F0" w:rsidRPr="00A21682" w14:paraId="29C7A301" w14:textId="352CD79D" w:rsidTr="00AA65E2">
        <w:tc>
          <w:tcPr>
            <w:tcW w:w="1753" w:type="dxa"/>
          </w:tcPr>
          <w:p w14:paraId="1F61ACA6" w14:textId="718C63FF" w:rsidR="004A19F0" w:rsidRPr="00A21682" w:rsidRDefault="004001A8" w:rsidP="004A19F0">
            <w:pPr>
              <w:pStyle w:val="TABLETEXT1"/>
              <w:rPr>
                <w:lang w:val="en-US"/>
              </w:rPr>
            </w:pPr>
            <w:r>
              <w:rPr>
                <w:lang w:val="en-US"/>
              </w:rPr>
              <w:t>Division of Eligibility and Marketplace Integration (DEMI) Director</w:t>
            </w:r>
          </w:p>
        </w:tc>
        <w:tc>
          <w:tcPr>
            <w:tcW w:w="1968" w:type="dxa"/>
          </w:tcPr>
          <w:p w14:paraId="01291A80" w14:textId="77777777" w:rsidR="004A19F0" w:rsidRPr="00A21682" w:rsidRDefault="004A19F0" w:rsidP="004A19F0">
            <w:pPr>
              <w:pStyle w:val="TABLETEXT1"/>
              <w:rPr>
                <w:lang w:val="en-US"/>
              </w:rPr>
            </w:pPr>
            <w:r>
              <w:rPr>
                <w:lang w:val="en-US"/>
              </w:rPr>
              <w:t>DOS Functional Architect</w:t>
            </w:r>
          </w:p>
        </w:tc>
        <w:tc>
          <w:tcPr>
            <w:tcW w:w="2092" w:type="dxa"/>
          </w:tcPr>
          <w:p w14:paraId="20EA4AD6" w14:textId="77777777" w:rsidR="004A19F0" w:rsidRPr="00A21682" w:rsidRDefault="004A19F0" w:rsidP="004A19F0">
            <w:pPr>
              <w:pStyle w:val="TABLETEXT1"/>
              <w:rPr>
                <w:lang w:val="en-US"/>
              </w:rPr>
            </w:pPr>
            <w:r>
              <w:rPr>
                <w:lang w:val="en-US"/>
              </w:rPr>
              <w:t>DOS Technical Manager</w:t>
            </w:r>
          </w:p>
        </w:tc>
        <w:tc>
          <w:tcPr>
            <w:tcW w:w="2095" w:type="dxa"/>
          </w:tcPr>
          <w:p w14:paraId="5745BF45" w14:textId="5624CD57" w:rsidR="004A19F0" w:rsidRPr="00A21682" w:rsidRDefault="004A19F0" w:rsidP="004A19F0">
            <w:pPr>
              <w:pStyle w:val="TABLETEXT1"/>
              <w:rPr>
                <w:lang w:val="en-US"/>
              </w:rPr>
            </w:pPr>
            <w:r>
              <w:rPr>
                <w:lang w:val="en-US"/>
              </w:rPr>
              <w:t>DOH OHIP Business Process Analysis, Requirements, Design Session, and UAT Participants</w:t>
            </w:r>
          </w:p>
        </w:tc>
        <w:tc>
          <w:tcPr>
            <w:tcW w:w="1446" w:type="dxa"/>
          </w:tcPr>
          <w:p w14:paraId="14586ADE" w14:textId="60971416" w:rsidR="004A19F0" w:rsidRPr="00A21682" w:rsidRDefault="004A19F0" w:rsidP="004A19F0">
            <w:pPr>
              <w:pStyle w:val="TABLETEXT1"/>
              <w:rPr>
                <w:lang w:val="en-US"/>
              </w:rPr>
            </w:pPr>
            <w:r>
              <w:rPr>
                <w:lang w:val="en-US"/>
              </w:rPr>
              <w:t>Functional PM</w:t>
            </w:r>
          </w:p>
        </w:tc>
      </w:tr>
      <w:tr w:rsidR="004A19F0" w:rsidRPr="00A21682" w14:paraId="7982C201" w14:textId="09A388F3" w:rsidTr="00AA65E2">
        <w:tc>
          <w:tcPr>
            <w:tcW w:w="1753" w:type="dxa"/>
          </w:tcPr>
          <w:p w14:paraId="6AC532EE" w14:textId="5CE67206" w:rsidR="004A19F0" w:rsidRPr="00A21682" w:rsidRDefault="004A19F0" w:rsidP="004A19F0">
            <w:pPr>
              <w:pStyle w:val="TABLETEXT1"/>
              <w:rPr>
                <w:lang w:val="en-US"/>
              </w:rPr>
            </w:pPr>
            <w:r>
              <w:rPr>
                <w:lang w:val="en-US"/>
              </w:rPr>
              <w:t>DEMI Deputy Director</w:t>
            </w:r>
          </w:p>
        </w:tc>
        <w:tc>
          <w:tcPr>
            <w:tcW w:w="1968" w:type="dxa"/>
          </w:tcPr>
          <w:p w14:paraId="2A3FBEF0" w14:textId="77777777" w:rsidR="004A19F0" w:rsidRPr="00A21682" w:rsidRDefault="004A19F0" w:rsidP="004A19F0">
            <w:pPr>
              <w:pStyle w:val="TABLETEXT1"/>
              <w:rPr>
                <w:lang w:val="en-US"/>
              </w:rPr>
            </w:pPr>
            <w:r>
              <w:rPr>
                <w:lang w:val="en-US"/>
              </w:rPr>
              <w:t>DOS Interface/Batch Track Lead</w:t>
            </w:r>
          </w:p>
        </w:tc>
        <w:tc>
          <w:tcPr>
            <w:tcW w:w="2092" w:type="dxa"/>
          </w:tcPr>
          <w:p w14:paraId="6A8CB502" w14:textId="77777777" w:rsidR="004A19F0" w:rsidRPr="00A21682" w:rsidRDefault="004A19F0" w:rsidP="004A19F0">
            <w:pPr>
              <w:pStyle w:val="TABLETEXT1"/>
              <w:rPr>
                <w:lang w:val="en-US"/>
              </w:rPr>
            </w:pPr>
            <w:r>
              <w:rPr>
                <w:lang w:val="en-US"/>
              </w:rPr>
              <w:t>DOS Technical Architect</w:t>
            </w:r>
          </w:p>
        </w:tc>
        <w:tc>
          <w:tcPr>
            <w:tcW w:w="2095" w:type="dxa"/>
          </w:tcPr>
          <w:p w14:paraId="3308F3EE" w14:textId="0FB12DD8" w:rsidR="004A19F0" w:rsidRPr="00A21682" w:rsidRDefault="004A19F0" w:rsidP="004A19F0">
            <w:pPr>
              <w:pStyle w:val="TABLETEXT1"/>
              <w:rPr>
                <w:lang w:val="en-US"/>
              </w:rPr>
            </w:pPr>
            <w:r>
              <w:rPr>
                <w:lang w:val="en-US"/>
              </w:rPr>
              <w:t xml:space="preserve">███████ </w:t>
            </w:r>
            <w:r>
              <w:rPr>
                <w:lang w:val="en-US"/>
              </w:rPr>
              <w:br/>
              <w:t>OCM Director</w:t>
            </w:r>
          </w:p>
        </w:tc>
        <w:tc>
          <w:tcPr>
            <w:tcW w:w="1446" w:type="dxa"/>
          </w:tcPr>
          <w:p w14:paraId="61C997CF" w14:textId="1EEA887B" w:rsidR="004A19F0" w:rsidRPr="00A21682" w:rsidRDefault="004A19F0" w:rsidP="004A19F0">
            <w:pPr>
              <w:pStyle w:val="TABLETEXT1"/>
              <w:rPr>
                <w:lang w:val="en-US"/>
              </w:rPr>
            </w:pPr>
            <w:r>
              <w:rPr>
                <w:lang w:val="en-US"/>
              </w:rPr>
              <w:t>Technical PM</w:t>
            </w:r>
          </w:p>
        </w:tc>
      </w:tr>
      <w:tr w:rsidR="004A19F0" w:rsidRPr="00A21682" w14:paraId="1924EF60" w14:textId="1486213D" w:rsidTr="00AA65E2">
        <w:tc>
          <w:tcPr>
            <w:tcW w:w="1753" w:type="dxa"/>
          </w:tcPr>
          <w:p w14:paraId="2859AAAF" w14:textId="60D40553" w:rsidR="004A19F0" w:rsidRPr="00A21682" w:rsidRDefault="008F4B27" w:rsidP="004A19F0">
            <w:pPr>
              <w:pStyle w:val="TABLETEXT1"/>
              <w:rPr>
                <w:lang w:val="en-US"/>
              </w:rPr>
            </w:pPr>
            <w:r>
              <w:rPr>
                <w:lang w:val="en-US"/>
              </w:rPr>
              <w:t>Division of Operations and Systems (DOS) Chief Information Officer (CIO)</w:t>
            </w:r>
          </w:p>
        </w:tc>
        <w:tc>
          <w:tcPr>
            <w:tcW w:w="1968" w:type="dxa"/>
          </w:tcPr>
          <w:p w14:paraId="12F5BB0B" w14:textId="13C9F00B" w:rsidR="004A19F0" w:rsidRPr="00A21682" w:rsidRDefault="004A19F0" w:rsidP="004A19F0">
            <w:pPr>
              <w:pStyle w:val="TABLETEXT1"/>
              <w:rPr>
                <w:lang w:val="en-US"/>
              </w:rPr>
            </w:pPr>
            <w:r>
              <w:rPr>
                <w:lang w:val="en-US"/>
              </w:rPr>
              <w:t>MECM QA Manager</w:t>
            </w:r>
          </w:p>
        </w:tc>
        <w:tc>
          <w:tcPr>
            <w:tcW w:w="2092" w:type="dxa"/>
          </w:tcPr>
          <w:p w14:paraId="781542B3" w14:textId="77777777" w:rsidR="004A19F0" w:rsidRPr="00A21682" w:rsidRDefault="004A19F0" w:rsidP="004A19F0">
            <w:pPr>
              <w:pStyle w:val="TABLETEXT1"/>
              <w:rPr>
                <w:lang w:val="en-US"/>
              </w:rPr>
            </w:pPr>
            <w:r>
              <w:rPr>
                <w:lang w:val="en-US"/>
              </w:rPr>
              <w:t>DOS Information Architect</w:t>
            </w:r>
          </w:p>
        </w:tc>
        <w:tc>
          <w:tcPr>
            <w:tcW w:w="2095" w:type="dxa"/>
          </w:tcPr>
          <w:p w14:paraId="62ACC596" w14:textId="7FC82B64" w:rsidR="004A19F0" w:rsidRPr="00A21682" w:rsidRDefault="004A19F0" w:rsidP="004A19F0">
            <w:pPr>
              <w:pStyle w:val="TABLETEXT1"/>
              <w:rPr>
                <w:lang w:val="en-US"/>
              </w:rPr>
            </w:pPr>
            <w:r>
              <w:rPr>
                <w:lang w:val="en-US"/>
              </w:rPr>
              <w:t>███████ Implementation and OCM Manager</w:t>
            </w:r>
          </w:p>
        </w:tc>
        <w:tc>
          <w:tcPr>
            <w:tcW w:w="1446" w:type="dxa"/>
          </w:tcPr>
          <w:p w14:paraId="78B5E830" w14:textId="298E180C" w:rsidR="004A19F0" w:rsidRPr="00A21682" w:rsidRDefault="004A19F0" w:rsidP="004A19F0">
            <w:pPr>
              <w:pStyle w:val="TABLETEXT1"/>
              <w:rPr>
                <w:lang w:val="en-US"/>
              </w:rPr>
            </w:pPr>
            <w:r>
              <w:rPr>
                <w:lang w:val="en-US"/>
              </w:rPr>
              <w:t>Change Management PM</w:t>
            </w:r>
          </w:p>
        </w:tc>
      </w:tr>
      <w:tr w:rsidR="004A19F0" w:rsidRPr="00A21682" w14:paraId="173BB629" w14:textId="03035FA8" w:rsidTr="00AA65E2">
        <w:tc>
          <w:tcPr>
            <w:tcW w:w="1753" w:type="dxa"/>
          </w:tcPr>
          <w:p w14:paraId="38FFEE39" w14:textId="4000DBDD" w:rsidR="004A19F0" w:rsidRPr="00A21682" w:rsidRDefault="004A19F0" w:rsidP="004A19F0">
            <w:pPr>
              <w:pStyle w:val="TABLETEXT1"/>
              <w:rPr>
                <w:lang w:val="en-US"/>
              </w:rPr>
            </w:pPr>
            <w:r>
              <w:rPr>
                <w:lang w:val="en-US"/>
              </w:rPr>
              <w:lastRenderedPageBreak/>
              <w:t>DOS Deputy CIO</w:t>
            </w:r>
          </w:p>
        </w:tc>
        <w:tc>
          <w:tcPr>
            <w:tcW w:w="1968" w:type="dxa"/>
          </w:tcPr>
          <w:p w14:paraId="4D62CAF6" w14:textId="7BFF7A9C" w:rsidR="004A19F0" w:rsidRPr="00A21682" w:rsidRDefault="004A19F0" w:rsidP="004A19F0">
            <w:pPr>
              <w:pStyle w:val="TABLETEXT1"/>
              <w:rPr>
                <w:lang w:val="en-US"/>
              </w:rPr>
            </w:pPr>
            <w:r>
              <w:rPr>
                <w:lang w:val="en-US"/>
              </w:rPr>
              <w:t>DOS Integrated JAD Approach Track Lead</w:t>
            </w:r>
          </w:p>
        </w:tc>
        <w:tc>
          <w:tcPr>
            <w:tcW w:w="2092" w:type="dxa"/>
          </w:tcPr>
          <w:p w14:paraId="6211196E" w14:textId="77777777" w:rsidR="004A19F0" w:rsidRPr="00A21682" w:rsidRDefault="004A19F0" w:rsidP="004A19F0">
            <w:pPr>
              <w:pStyle w:val="TABLETEXT1"/>
              <w:rPr>
                <w:lang w:val="en-US"/>
              </w:rPr>
            </w:pPr>
            <w:r>
              <w:rPr>
                <w:lang w:val="en-US"/>
              </w:rPr>
              <w:t>Third Party Integration Point of Contact</w:t>
            </w:r>
          </w:p>
        </w:tc>
        <w:tc>
          <w:tcPr>
            <w:tcW w:w="2095" w:type="dxa"/>
          </w:tcPr>
          <w:p w14:paraId="4509778A" w14:textId="130F9DE6" w:rsidR="004A19F0" w:rsidRPr="00A21682" w:rsidRDefault="004A19F0" w:rsidP="004A19F0">
            <w:pPr>
              <w:pStyle w:val="TABLETEXT1"/>
              <w:rPr>
                <w:lang w:val="en-US"/>
              </w:rPr>
            </w:pPr>
            <w:r>
              <w:rPr>
                <w:lang w:val="en-US"/>
              </w:rPr>
              <w:t xml:space="preserve">███████ </w:t>
            </w:r>
            <w:r>
              <w:rPr>
                <w:lang w:val="en-US"/>
              </w:rPr>
              <w:br/>
              <w:t>Human Centered Design and Business Process Lead</w:t>
            </w:r>
          </w:p>
        </w:tc>
        <w:tc>
          <w:tcPr>
            <w:tcW w:w="1446" w:type="dxa"/>
          </w:tcPr>
          <w:p w14:paraId="337959D8" w14:textId="4B3D3B35" w:rsidR="004A19F0" w:rsidRPr="00A21682" w:rsidRDefault="004A19F0" w:rsidP="004A19F0">
            <w:pPr>
              <w:pStyle w:val="TABLETEXT1"/>
              <w:rPr>
                <w:lang w:val="en-US"/>
              </w:rPr>
            </w:pPr>
            <w:r>
              <w:rPr>
                <w:lang w:val="en-US"/>
              </w:rPr>
              <w:t>███████ Tool Administrator</w:t>
            </w:r>
          </w:p>
        </w:tc>
      </w:tr>
      <w:tr w:rsidR="004A19F0" w:rsidRPr="00A21682" w14:paraId="24CDA086" w14:textId="236DCB48" w:rsidTr="00AA65E2">
        <w:tc>
          <w:tcPr>
            <w:tcW w:w="1753" w:type="dxa"/>
          </w:tcPr>
          <w:p w14:paraId="68C8123E" w14:textId="531EACC6" w:rsidR="004A19F0" w:rsidRPr="00A21682" w:rsidRDefault="004A19F0" w:rsidP="004A19F0">
            <w:pPr>
              <w:pStyle w:val="TABLETEXT1"/>
              <w:rPr>
                <w:lang w:val="en-US"/>
              </w:rPr>
            </w:pPr>
            <w:r>
              <w:rPr>
                <w:lang w:val="en-US"/>
              </w:rPr>
              <w:t>DOS Chief Technology Officer (CTO)</w:t>
            </w:r>
          </w:p>
        </w:tc>
        <w:tc>
          <w:tcPr>
            <w:tcW w:w="1968" w:type="dxa"/>
          </w:tcPr>
          <w:p w14:paraId="5E70BC13" w14:textId="1C566D3C" w:rsidR="004A19F0" w:rsidRPr="00A21682" w:rsidRDefault="004A19F0" w:rsidP="004A19F0">
            <w:pPr>
              <w:pStyle w:val="TABLETEXT1"/>
              <w:rPr>
                <w:lang w:val="en-US"/>
              </w:rPr>
            </w:pPr>
            <w:r>
              <w:rPr>
                <w:lang w:val="en-US"/>
              </w:rPr>
              <w:t>DOS Test Lead</w:t>
            </w:r>
          </w:p>
        </w:tc>
        <w:tc>
          <w:tcPr>
            <w:tcW w:w="2092" w:type="dxa"/>
          </w:tcPr>
          <w:p w14:paraId="25EBFFCB" w14:textId="3D8CB4F7" w:rsidR="004A19F0" w:rsidRPr="00A21682" w:rsidRDefault="004A19F0" w:rsidP="004A19F0">
            <w:pPr>
              <w:pStyle w:val="TABLETEXT1"/>
              <w:rPr>
                <w:lang w:val="en-US"/>
              </w:rPr>
            </w:pPr>
            <w:r>
              <w:rPr>
                <w:lang w:val="en-US"/>
              </w:rPr>
              <w:t>DOS Security and Privacy Bureau Director</w:t>
            </w:r>
          </w:p>
        </w:tc>
        <w:tc>
          <w:tcPr>
            <w:tcW w:w="2095" w:type="dxa"/>
            <w:tcBorders>
              <w:bottom w:val="single" w:sz="2" w:space="0" w:color="auto"/>
            </w:tcBorders>
            <w:shd w:val="clear" w:color="auto" w:fill="FFFFFF"/>
          </w:tcPr>
          <w:p w14:paraId="69C0CEE2" w14:textId="3CC4DAF6" w:rsidR="004A19F0" w:rsidRPr="00A21682" w:rsidRDefault="004A19F0" w:rsidP="004A19F0">
            <w:pPr>
              <w:pStyle w:val="TABLETEXT1"/>
              <w:rPr>
                <w:lang w:val="en-US"/>
              </w:rPr>
            </w:pPr>
          </w:p>
        </w:tc>
        <w:tc>
          <w:tcPr>
            <w:tcW w:w="1446" w:type="dxa"/>
            <w:tcBorders>
              <w:bottom w:val="single" w:sz="2" w:space="0" w:color="auto"/>
            </w:tcBorders>
            <w:shd w:val="clear" w:color="auto" w:fill="FFFFFF"/>
          </w:tcPr>
          <w:p w14:paraId="461C4FAA" w14:textId="07153899" w:rsidR="004A19F0" w:rsidRPr="00A21682" w:rsidRDefault="004A19F0" w:rsidP="004A19F0">
            <w:pPr>
              <w:pStyle w:val="TABLETEXT1"/>
              <w:rPr>
                <w:lang w:val="en-US"/>
              </w:rPr>
            </w:pPr>
            <w:r>
              <w:rPr>
                <w:lang w:val="en-US"/>
              </w:rPr>
              <w:t>███████ Functional PM</w:t>
            </w:r>
          </w:p>
        </w:tc>
      </w:tr>
      <w:tr w:rsidR="004A19F0" w:rsidRPr="00A21682" w14:paraId="200D73AE" w14:textId="1B568E45" w:rsidTr="00AA65E2">
        <w:tc>
          <w:tcPr>
            <w:tcW w:w="1753" w:type="dxa"/>
          </w:tcPr>
          <w:p w14:paraId="7F940825" w14:textId="5548B7F2" w:rsidR="004A19F0" w:rsidRPr="00A21682" w:rsidRDefault="004A19F0" w:rsidP="004A19F0">
            <w:pPr>
              <w:pStyle w:val="TABLETEXT1"/>
              <w:rPr>
                <w:lang w:val="en-US"/>
              </w:rPr>
            </w:pPr>
            <w:r>
              <w:rPr>
                <w:lang w:val="en-US"/>
              </w:rPr>
              <w:t>eMedNY Bureau Director</w:t>
            </w:r>
          </w:p>
        </w:tc>
        <w:tc>
          <w:tcPr>
            <w:tcW w:w="1968" w:type="dxa"/>
          </w:tcPr>
          <w:p w14:paraId="6D0980FB" w14:textId="61C597C7" w:rsidR="004A19F0" w:rsidRPr="00A21682" w:rsidRDefault="004A19F0" w:rsidP="004A19F0">
            <w:pPr>
              <w:pStyle w:val="TABLETEXT1"/>
              <w:rPr>
                <w:lang w:val="en-US"/>
              </w:rPr>
            </w:pPr>
            <w:r>
              <w:rPr>
                <w:lang w:val="en-US"/>
              </w:rPr>
              <w:t xml:space="preserve">███████ </w:t>
            </w:r>
            <w:r>
              <w:rPr>
                <w:lang w:val="en-US"/>
              </w:rPr>
              <w:br/>
              <w:t>Functional Manager</w:t>
            </w:r>
          </w:p>
        </w:tc>
        <w:tc>
          <w:tcPr>
            <w:tcW w:w="2092" w:type="dxa"/>
          </w:tcPr>
          <w:p w14:paraId="20A5FBAC" w14:textId="1686FAF9" w:rsidR="004A19F0" w:rsidRPr="00A21682" w:rsidRDefault="00AB78AE" w:rsidP="004A19F0">
            <w:pPr>
              <w:pStyle w:val="TABLETEXT1"/>
              <w:rPr>
                <w:lang w:val="en-US"/>
              </w:rPr>
            </w:pPr>
            <w:r>
              <w:rPr>
                <w:lang w:val="en-US"/>
              </w:rPr>
              <w:t>DOS Deputy Director/Security and Privacy Bureau Director</w:t>
            </w:r>
          </w:p>
        </w:tc>
        <w:tc>
          <w:tcPr>
            <w:tcW w:w="2095" w:type="dxa"/>
            <w:shd w:val="clear" w:color="auto" w:fill="FFFFFF" w:themeFill="background1"/>
          </w:tcPr>
          <w:p w14:paraId="1AB4AAE9" w14:textId="6010FCC4" w:rsidR="004A19F0" w:rsidRPr="00A21682" w:rsidRDefault="004A19F0" w:rsidP="004A19F0">
            <w:pPr>
              <w:pStyle w:val="TABLETEXT1"/>
              <w:rPr>
                <w:b/>
                <w:lang w:val="en-US"/>
              </w:rPr>
            </w:pPr>
          </w:p>
        </w:tc>
        <w:tc>
          <w:tcPr>
            <w:tcW w:w="1446" w:type="dxa"/>
            <w:shd w:val="clear" w:color="auto" w:fill="FFFFFF" w:themeFill="background1"/>
          </w:tcPr>
          <w:p w14:paraId="629CACAE" w14:textId="5428FEFA" w:rsidR="004A19F0" w:rsidRPr="00A21682" w:rsidRDefault="004A19F0" w:rsidP="004A19F0">
            <w:pPr>
              <w:pStyle w:val="TABLETEXT1"/>
              <w:rPr>
                <w:lang w:val="en-US"/>
              </w:rPr>
            </w:pPr>
            <w:r>
              <w:rPr>
                <w:lang w:val="en-US"/>
              </w:rPr>
              <w:t>███████ Technical PM</w:t>
            </w:r>
          </w:p>
        </w:tc>
      </w:tr>
      <w:tr w:rsidR="004A19F0" w:rsidRPr="00A21682" w14:paraId="60A8EC49" w14:textId="0D84B72B" w:rsidTr="00AA65E2">
        <w:trPr>
          <w:trHeight w:val="764"/>
        </w:trPr>
        <w:tc>
          <w:tcPr>
            <w:tcW w:w="1753" w:type="dxa"/>
          </w:tcPr>
          <w:p w14:paraId="3F1B952E" w14:textId="0B641F0D" w:rsidR="004A19F0" w:rsidRPr="00A21682" w:rsidRDefault="00E57A6E" w:rsidP="004A19F0">
            <w:pPr>
              <w:pStyle w:val="TABLETEXT1"/>
              <w:rPr>
                <w:lang w:val="en-US"/>
              </w:rPr>
            </w:pPr>
            <w:r>
              <w:rPr>
                <w:lang w:val="en-US"/>
              </w:rPr>
              <w:t>New York State of Health (NYSOH) Bureau Director</w:t>
            </w:r>
          </w:p>
        </w:tc>
        <w:tc>
          <w:tcPr>
            <w:tcW w:w="1968" w:type="dxa"/>
          </w:tcPr>
          <w:p w14:paraId="2036DDAE" w14:textId="1F2B98D5" w:rsidR="004A19F0" w:rsidRPr="00A21682" w:rsidRDefault="004A19F0" w:rsidP="004A19F0">
            <w:pPr>
              <w:pStyle w:val="TABLETEXT1"/>
              <w:rPr>
                <w:lang w:val="en-US"/>
              </w:rPr>
            </w:pPr>
            <w:r>
              <w:rPr>
                <w:lang w:val="en-US"/>
              </w:rPr>
              <w:t xml:space="preserve">███████ </w:t>
            </w:r>
            <w:r>
              <w:rPr>
                <w:lang w:val="en-US"/>
              </w:rPr>
              <w:br/>
              <w:t>Functional Architect</w:t>
            </w:r>
          </w:p>
        </w:tc>
        <w:tc>
          <w:tcPr>
            <w:tcW w:w="2092" w:type="dxa"/>
          </w:tcPr>
          <w:p w14:paraId="73E31920" w14:textId="77777777" w:rsidR="004A19F0" w:rsidRPr="00A21682" w:rsidRDefault="004A19F0" w:rsidP="004A19F0">
            <w:pPr>
              <w:pStyle w:val="TABLETEXT1"/>
              <w:rPr>
                <w:lang w:val="en-US"/>
              </w:rPr>
            </w:pPr>
            <w:r>
              <w:rPr>
                <w:lang w:val="en-US"/>
              </w:rPr>
              <w:t>DOS Data Conversion Lead</w:t>
            </w:r>
          </w:p>
        </w:tc>
        <w:tc>
          <w:tcPr>
            <w:tcW w:w="2095" w:type="dxa"/>
            <w:shd w:val="clear" w:color="auto" w:fill="FFFFFF" w:themeFill="background1"/>
          </w:tcPr>
          <w:p w14:paraId="6A47D450" w14:textId="5379064F" w:rsidR="004A19F0" w:rsidRPr="00A21682" w:rsidRDefault="004A19F0" w:rsidP="004A19F0">
            <w:pPr>
              <w:pStyle w:val="TABLETEXT1"/>
              <w:rPr>
                <w:lang w:val="en-US"/>
              </w:rPr>
            </w:pPr>
          </w:p>
        </w:tc>
        <w:tc>
          <w:tcPr>
            <w:tcW w:w="1446" w:type="dxa"/>
            <w:shd w:val="clear" w:color="auto" w:fill="FFFFFF" w:themeFill="background1"/>
          </w:tcPr>
          <w:p w14:paraId="377396F5" w14:textId="56F5ACA3" w:rsidR="004A19F0" w:rsidRPr="00A21682" w:rsidRDefault="004A19F0" w:rsidP="004A19F0">
            <w:pPr>
              <w:pStyle w:val="TABLETEXT1"/>
              <w:rPr>
                <w:lang w:val="en-US"/>
              </w:rPr>
            </w:pPr>
            <w:r>
              <w:rPr>
                <w:lang w:val="en-US"/>
              </w:rPr>
              <w:t>███████ PMO Lead</w:t>
            </w:r>
          </w:p>
        </w:tc>
      </w:tr>
      <w:tr w:rsidR="004A19F0" w:rsidRPr="00A21682" w14:paraId="671EE327" w14:textId="4EBFAB5A" w:rsidTr="00AA65E2">
        <w:tc>
          <w:tcPr>
            <w:tcW w:w="1753" w:type="dxa"/>
          </w:tcPr>
          <w:p w14:paraId="4B7D8396" w14:textId="2D90BB78" w:rsidR="004A19F0" w:rsidRPr="00A21682" w:rsidRDefault="004A19F0" w:rsidP="004A19F0">
            <w:pPr>
              <w:pStyle w:val="TABLETEXT1"/>
              <w:rPr>
                <w:lang w:val="en-US"/>
              </w:rPr>
            </w:pPr>
            <w:r>
              <w:rPr>
                <w:lang w:val="en-US"/>
              </w:rPr>
              <w:t>DOS Program Manager</w:t>
            </w:r>
          </w:p>
        </w:tc>
        <w:tc>
          <w:tcPr>
            <w:tcW w:w="1968" w:type="dxa"/>
          </w:tcPr>
          <w:p w14:paraId="292DEDE1" w14:textId="2474B5E6" w:rsidR="004A19F0" w:rsidRPr="00A21682" w:rsidRDefault="004A19F0" w:rsidP="004A19F0">
            <w:pPr>
              <w:pStyle w:val="TABLETEXT1"/>
              <w:rPr>
                <w:lang w:val="en-US"/>
              </w:rPr>
            </w:pPr>
            <w:r>
              <w:rPr>
                <w:lang w:val="en-US"/>
              </w:rPr>
              <w:t xml:space="preserve">███████ </w:t>
            </w:r>
            <w:r>
              <w:rPr>
                <w:lang w:val="en-US"/>
              </w:rPr>
              <w:br/>
              <w:t>Interface/Batch Track Lead</w:t>
            </w:r>
          </w:p>
        </w:tc>
        <w:tc>
          <w:tcPr>
            <w:tcW w:w="2092" w:type="dxa"/>
          </w:tcPr>
          <w:p w14:paraId="620BA927" w14:textId="77777777" w:rsidR="004A19F0" w:rsidRPr="00A21682" w:rsidRDefault="004A19F0" w:rsidP="004A19F0">
            <w:pPr>
              <w:pStyle w:val="TABLETEXT1"/>
              <w:rPr>
                <w:lang w:val="en-US"/>
              </w:rPr>
            </w:pPr>
            <w:r>
              <w:rPr>
                <w:lang w:val="en-US"/>
              </w:rPr>
              <w:t xml:space="preserve">███████ </w:t>
            </w:r>
            <w:r>
              <w:rPr>
                <w:lang w:val="en-US"/>
              </w:rPr>
              <w:br/>
              <w:t>Technical Director</w:t>
            </w:r>
          </w:p>
        </w:tc>
        <w:tc>
          <w:tcPr>
            <w:tcW w:w="2095" w:type="dxa"/>
          </w:tcPr>
          <w:p w14:paraId="746523E4" w14:textId="355C5E6D" w:rsidR="004A19F0" w:rsidRPr="00A21682" w:rsidRDefault="004A19F0" w:rsidP="004A19F0">
            <w:pPr>
              <w:pStyle w:val="TABLETEXT1"/>
              <w:rPr>
                <w:lang w:val="en-US"/>
              </w:rPr>
            </w:pPr>
          </w:p>
        </w:tc>
        <w:tc>
          <w:tcPr>
            <w:tcW w:w="1446" w:type="dxa"/>
          </w:tcPr>
          <w:p w14:paraId="2A1D6F18" w14:textId="29ECC202" w:rsidR="004A19F0" w:rsidRPr="00A21682" w:rsidRDefault="004A19F0" w:rsidP="004A19F0">
            <w:pPr>
              <w:pStyle w:val="TABLETEXT1"/>
              <w:rPr>
                <w:lang w:val="en-US"/>
              </w:rPr>
            </w:pPr>
            <w:r>
              <w:rPr>
                <w:lang w:val="en-US"/>
              </w:rPr>
              <w:t>███████ QA Lead</w:t>
            </w:r>
          </w:p>
        </w:tc>
      </w:tr>
      <w:tr w:rsidR="004A19F0" w:rsidRPr="00A21682" w14:paraId="77A0B0BE" w14:textId="5CDB9DD6" w:rsidTr="00AA65E2">
        <w:tc>
          <w:tcPr>
            <w:tcW w:w="1753" w:type="dxa"/>
          </w:tcPr>
          <w:p w14:paraId="26FD3CCA" w14:textId="012B8923" w:rsidR="004A19F0" w:rsidRPr="00A21682" w:rsidRDefault="004A19F0" w:rsidP="004A19F0">
            <w:pPr>
              <w:pStyle w:val="TABLETEXT1"/>
              <w:rPr>
                <w:lang w:val="en-US"/>
              </w:rPr>
            </w:pPr>
            <w:r>
              <w:rPr>
                <w:lang w:val="en-US"/>
              </w:rPr>
              <w:t>DOS Project Director</w:t>
            </w:r>
          </w:p>
        </w:tc>
        <w:tc>
          <w:tcPr>
            <w:tcW w:w="1968" w:type="dxa"/>
          </w:tcPr>
          <w:p w14:paraId="5C11E141" w14:textId="062E20BD" w:rsidR="004A19F0" w:rsidRPr="00A21682" w:rsidRDefault="004A19F0" w:rsidP="004A19F0">
            <w:pPr>
              <w:pStyle w:val="TABLETEXT1"/>
              <w:rPr>
                <w:lang w:val="en-US"/>
              </w:rPr>
            </w:pPr>
            <w:r>
              <w:rPr>
                <w:lang w:val="en-US"/>
              </w:rPr>
              <w:t xml:space="preserve">███████ </w:t>
            </w:r>
            <w:r>
              <w:rPr>
                <w:lang w:val="en-US"/>
              </w:rPr>
              <w:br/>
              <w:t>Eligibility Track Lead</w:t>
            </w:r>
          </w:p>
        </w:tc>
        <w:tc>
          <w:tcPr>
            <w:tcW w:w="2092" w:type="dxa"/>
          </w:tcPr>
          <w:p w14:paraId="34FB6C95" w14:textId="77777777" w:rsidR="004A19F0" w:rsidRPr="00A21682" w:rsidRDefault="004A19F0" w:rsidP="004A19F0">
            <w:pPr>
              <w:pStyle w:val="TABLETEXT1"/>
              <w:rPr>
                <w:lang w:val="en-US"/>
              </w:rPr>
            </w:pPr>
            <w:r>
              <w:rPr>
                <w:lang w:val="en-US"/>
              </w:rPr>
              <w:t xml:space="preserve">███████ </w:t>
            </w:r>
            <w:r>
              <w:rPr>
                <w:lang w:val="en-US"/>
              </w:rPr>
              <w:br/>
              <w:t>Technical Manager</w:t>
            </w:r>
          </w:p>
        </w:tc>
        <w:tc>
          <w:tcPr>
            <w:tcW w:w="2095" w:type="dxa"/>
          </w:tcPr>
          <w:p w14:paraId="2C814E2C" w14:textId="1B7D7431" w:rsidR="004A19F0" w:rsidRPr="00A21682" w:rsidRDefault="004A19F0" w:rsidP="004A19F0">
            <w:pPr>
              <w:pStyle w:val="TABLETEXT1"/>
              <w:rPr>
                <w:lang w:val="en-US"/>
              </w:rPr>
            </w:pPr>
          </w:p>
        </w:tc>
        <w:tc>
          <w:tcPr>
            <w:tcW w:w="1446" w:type="dxa"/>
          </w:tcPr>
          <w:p w14:paraId="704308F6" w14:textId="77777777" w:rsidR="004A19F0" w:rsidRPr="00A21682" w:rsidRDefault="004A19F0" w:rsidP="004A19F0">
            <w:pPr>
              <w:pStyle w:val="TABLETEXT1"/>
              <w:rPr>
                <w:lang w:val="en-US"/>
              </w:rPr>
            </w:pPr>
          </w:p>
        </w:tc>
      </w:tr>
      <w:tr w:rsidR="004A19F0" w:rsidRPr="00A21682" w14:paraId="7FF3C84E" w14:textId="6A7A6167" w:rsidTr="00AA65E2">
        <w:tc>
          <w:tcPr>
            <w:tcW w:w="1753" w:type="dxa"/>
          </w:tcPr>
          <w:p w14:paraId="6AA96327" w14:textId="56C5C91F" w:rsidR="004A19F0" w:rsidRPr="00A21682" w:rsidRDefault="004A19F0" w:rsidP="004A19F0">
            <w:pPr>
              <w:pStyle w:val="TABLETEXT1"/>
              <w:rPr>
                <w:lang w:val="en-US"/>
              </w:rPr>
            </w:pPr>
            <w:r>
              <w:rPr>
                <w:lang w:val="en-US"/>
              </w:rPr>
              <w:t xml:space="preserve">███████ </w:t>
            </w:r>
            <w:r>
              <w:rPr>
                <w:lang w:val="en-US"/>
              </w:rPr>
              <w:br/>
              <w:t>Project Executive</w:t>
            </w:r>
          </w:p>
        </w:tc>
        <w:tc>
          <w:tcPr>
            <w:tcW w:w="1968" w:type="dxa"/>
          </w:tcPr>
          <w:p w14:paraId="7F4DD25D" w14:textId="7CC1806D" w:rsidR="004A19F0" w:rsidRPr="00A21682" w:rsidRDefault="004A19F0" w:rsidP="004A19F0">
            <w:pPr>
              <w:pStyle w:val="TABLETEXT1"/>
              <w:rPr>
                <w:lang w:val="en-US"/>
              </w:rPr>
            </w:pPr>
            <w:r>
              <w:rPr>
                <w:lang w:val="en-US"/>
              </w:rPr>
              <w:t xml:space="preserve">███████ </w:t>
            </w:r>
            <w:r>
              <w:rPr>
                <w:lang w:val="en-US"/>
              </w:rPr>
              <w:br/>
              <w:t>Notices Track Lead</w:t>
            </w:r>
          </w:p>
        </w:tc>
        <w:tc>
          <w:tcPr>
            <w:tcW w:w="2092" w:type="dxa"/>
          </w:tcPr>
          <w:p w14:paraId="678C3C02" w14:textId="77777777" w:rsidR="004A19F0" w:rsidRPr="00A21682" w:rsidRDefault="004A19F0" w:rsidP="004A19F0">
            <w:pPr>
              <w:pStyle w:val="TABLETEXT1"/>
              <w:rPr>
                <w:lang w:val="en-US"/>
              </w:rPr>
            </w:pPr>
            <w:r>
              <w:rPr>
                <w:lang w:val="en-US"/>
              </w:rPr>
              <w:t xml:space="preserve">███████ </w:t>
            </w:r>
            <w:r>
              <w:rPr>
                <w:lang w:val="en-US"/>
              </w:rPr>
              <w:br/>
              <w:t>Technical Architect</w:t>
            </w:r>
          </w:p>
        </w:tc>
        <w:tc>
          <w:tcPr>
            <w:tcW w:w="2095" w:type="dxa"/>
          </w:tcPr>
          <w:p w14:paraId="09E70D3E" w14:textId="4DF33A05" w:rsidR="004A19F0" w:rsidRPr="00A21682" w:rsidRDefault="004A19F0" w:rsidP="004A19F0">
            <w:pPr>
              <w:pStyle w:val="TABLETEXT1"/>
              <w:rPr>
                <w:lang w:val="en-US"/>
              </w:rPr>
            </w:pPr>
          </w:p>
        </w:tc>
        <w:tc>
          <w:tcPr>
            <w:tcW w:w="1446" w:type="dxa"/>
          </w:tcPr>
          <w:p w14:paraId="73F797A3" w14:textId="77777777" w:rsidR="004A19F0" w:rsidRPr="00A21682" w:rsidRDefault="004A19F0" w:rsidP="004A19F0">
            <w:pPr>
              <w:pStyle w:val="TABLETEXT1"/>
              <w:rPr>
                <w:lang w:val="en-US"/>
              </w:rPr>
            </w:pPr>
          </w:p>
        </w:tc>
      </w:tr>
      <w:tr w:rsidR="004A19F0" w:rsidRPr="00A21682" w14:paraId="05F30F99" w14:textId="387AD9C0" w:rsidTr="00AA65E2">
        <w:tc>
          <w:tcPr>
            <w:tcW w:w="1753" w:type="dxa"/>
          </w:tcPr>
          <w:p w14:paraId="46584ECC" w14:textId="1E3832B9" w:rsidR="004A19F0" w:rsidRPr="00A21682" w:rsidRDefault="004A19F0" w:rsidP="004A19F0">
            <w:pPr>
              <w:pStyle w:val="TABLETEXT1"/>
              <w:rPr>
                <w:lang w:val="en-US"/>
              </w:rPr>
            </w:pPr>
            <w:r>
              <w:rPr>
                <w:lang w:val="en-US"/>
              </w:rPr>
              <w:t xml:space="preserve">███████ </w:t>
            </w:r>
            <w:r>
              <w:rPr>
                <w:lang w:val="en-US"/>
              </w:rPr>
              <w:br/>
              <w:t>Human Services Transformation Practice Leader</w:t>
            </w:r>
          </w:p>
        </w:tc>
        <w:tc>
          <w:tcPr>
            <w:tcW w:w="1968" w:type="dxa"/>
          </w:tcPr>
          <w:p w14:paraId="44D3C8B1" w14:textId="0034CEBD" w:rsidR="004A19F0" w:rsidRPr="00A21682" w:rsidRDefault="004A19F0" w:rsidP="004A19F0">
            <w:pPr>
              <w:pStyle w:val="TABLETEXT1"/>
              <w:rPr>
                <w:lang w:val="en-US"/>
              </w:rPr>
            </w:pPr>
            <w:r>
              <w:rPr>
                <w:lang w:val="en-US"/>
              </w:rPr>
              <w:t xml:space="preserve">███████ </w:t>
            </w:r>
            <w:r>
              <w:rPr>
                <w:lang w:val="en-US"/>
              </w:rPr>
              <w:br/>
              <w:t>Portals Track Lead</w:t>
            </w:r>
          </w:p>
        </w:tc>
        <w:tc>
          <w:tcPr>
            <w:tcW w:w="2092" w:type="dxa"/>
          </w:tcPr>
          <w:p w14:paraId="0BC70D50" w14:textId="77777777" w:rsidR="004A19F0" w:rsidRPr="00A21682" w:rsidRDefault="004A19F0" w:rsidP="004A19F0">
            <w:pPr>
              <w:pStyle w:val="TABLETEXT1"/>
              <w:rPr>
                <w:lang w:val="en-US"/>
              </w:rPr>
            </w:pPr>
            <w:r>
              <w:rPr>
                <w:lang w:val="en-US"/>
              </w:rPr>
              <w:t xml:space="preserve">███████ </w:t>
            </w:r>
            <w:r>
              <w:rPr>
                <w:lang w:val="en-US"/>
              </w:rPr>
              <w:br/>
              <w:t>Security Manager</w:t>
            </w:r>
          </w:p>
        </w:tc>
        <w:tc>
          <w:tcPr>
            <w:tcW w:w="2095" w:type="dxa"/>
          </w:tcPr>
          <w:p w14:paraId="6E5675D3" w14:textId="66472207" w:rsidR="004A19F0" w:rsidRPr="00A21682" w:rsidRDefault="004A19F0" w:rsidP="004A19F0">
            <w:pPr>
              <w:pStyle w:val="TABLETEXT1"/>
              <w:rPr>
                <w:lang w:val="en-US"/>
              </w:rPr>
            </w:pPr>
          </w:p>
        </w:tc>
        <w:tc>
          <w:tcPr>
            <w:tcW w:w="1446" w:type="dxa"/>
          </w:tcPr>
          <w:p w14:paraId="5C0059D7" w14:textId="77777777" w:rsidR="004A19F0" w:rsidRPr="00A21682" w:rsidRDefault="004A19F0" w:rsidP="004A19F0">
            <w:pPr>
              <w:pStyle w:val="TABLETEXT1"/>
              <w:rPr>
                <w:lang w:val="en-US"/>
              </w:rPr>
            </w:pPr>
          </w:p>
        </w:tc>
      </w:tr>
      <w:tr w:rsidR="004A19F0" w:rsidRPr="00A21682" w14:paraId="5B423ECA" w14:textId="104EA22A" w:rsidTr="00AA65E2">
        <w:tc>
          <w:tcPr>
            <w:tcW w:w="1753" w:type="dxa"/>
          </w:tcPr>
          <w:p w14:paraId="58AA2271" w14:textId="673AFE75" w:rsidR="004A19F0" w:rsidRPr="00A21682" w:rsidRDefault="004A19F0" w:rsidP="004A19F0">
            <w:pPr>
              <w:pStyle w:val="TABLETEXT1"/>
              <w:rPr>
                <w:lang w:val="en-US"/>
              </w:rPr>
            </w:pPr>
            <w:r>
              <w:rPr>
                <w:lang w:val="en-US"/>
              </w:rPr>
              <w:t xml:space="preserve">███████ </w:t>
            </w:r>
            <w:r>
              <w:rPr>
                <w:lang w:val="en-US"/>
              </w:rPr>
              <w:br/>
              <w:t>NYS Account Consulting Leader</w:t>
            </w:r>
          </w:p>
        </w:tc>
        <w:tc>
          <w:tcPr>
            <w:tcW w:w="1968" w:type="dxa"/>
          </w:tcPr>
          <w:p w14:paraId="11F83C4B" w14:textId="5D40AB79" w:rsidR="004A19F0" w:rsidRPr="00A21682" w:rsidRDefault="004A19F0" w:rsidP="004A19F0">
            <w:pPr>
              <w:pStyle w:val="TABLETEXT1"/>
              <w:rPr>
                <w:lang w:val="en-US"/>
              </w:rPr>
            </w:pPr>
            <w:r>
              <w:rPr>
                <w:lang w:val="en-US"/>
              </w:rPr>
              <w:t xml:space="preserve">███████ </w:t>
            </w:r>
            <w:r>
              <w:rPr>
                <w:lang w:val="en-US"/>
              </w:rPr>
              <w:br/>
              <w:t>Reports Track Lead</w:t>
            </w:r>
          </w:p>
        </w:tc>
        <w:tc>
          <w:tcPr>
            <w:tcW w:w="2092" w:type="dxa"/>
          </w:tcPr>
          <w:p w14:paraId="7B2DCAA8" w14:textId="77777777" w:rsidR="004A19F0" w:rsidRPr="00A21682" w:rsidRDefault="004A19F0" w:rsidP="004A19F0">
            <w:pPr>
              <w:pStyle w:val="TABLETEXT1"/>
              <w:rPr>
                <w:lang w:val="en-US"/>
              </w:rPr>
            </w:pPr>
            <w:r>
              <w:rPr>
                <w:lang w:val="en-US"/>
              </w:rPr>
              <w:t xml:space="preserve">███████ </w:t>
            </w:r>
            <w:r>
              <w:rPr>
                <w:lang w:val="en-US"/>
              </w:rPr>
              <w:br/>
              <w:t>Application Development Manager</w:t>
            </w:r>
          </w:p>
        </w:tc>
        <w:tc>
          <w:tcPr>
            <w:tcW w:w="2095" w:type="dxa"/>
          </w:tcPr>
          <w:p w14:paraId="26C47ED3" w14:textId="42DD120F" w:rsidR="004A19F0" w:rsidRPr="00A21682" w:rsidRDefault="004A19F0" w:rsidP="004A19F0">
            <w:pPr>
              <w:pStyle w:val="TABLETEXT1"/>
              <w:rPr>
                <w:lang w:val="en-US"/>
              </w:rPr>
            </w:pPr>
          </w:p>
        </w:tc>
        <w:tc>
          <w:tcPr>
            <w:tcW w:w="1446" w:type="dxa"/>
          </w:tcPr>
          <w:p w14:paraId="33AFE83F" w14:textId="77777777" w:rsidR="004A19F0" w:rsidRPr="00A21682" w:rsidRDefault="004A19F0" w:rsidP="004A19F0">
            <w:pPr>
              <w:pStyle w:val="TABLETEXT1"/>
              <w:rPr>
                <w:lang w:val="en-US"/>
              </w:rPr>
            </w:pPr>
          </w:p>
        </w:tc>
      </w:tr>
      <w:tr w:rsidR="004A19F0" w:rsidRPr="00A21682" w14:paraId="18D16348" w14:textId="5798313E" w:rsidTr="00AA65E2">
        <w:tc>
          <w:tcPr>
            <w:tcW w:w="1753" w:type="dxa"/>
          </w:tcPr>
          <w:p w14:paraId="176FB8EE" w14:textId="1E6B1F77" w:rsidR="004A19F0" w:rsidRPr="00A21682" w:rsidRDefault="004A19F0" w:rsidP="004A19F0">
            <w:pPr>
              <w:pStyle w:val="TABLETEXT1"/>
              <w:rPr>
                <w:lang w:val="en-US"/>
              </w:rPr>
            </w:pPr>
            <w:r>
              <w:rPr>
                <w:lang w:val="en-US"/>
              </w:rPr>
              <w:t>███████ PMO Manager</w:t>
            </w:r>
          </w:p>
        </w:tc>
        <w:tc>
          <w:tcPr>
            <w:tcW w:w="1968" w:type="dxa"/>
          </w:tcPr>
          <w:p w14:paraId="34164B5E" w14:textId="0EA2ED21" w:rsidR="004A19F0" w:rsidRPr="00A21682" w:rsidRDefault="004A19F0" w:rsidP="004A19F0">
            <w:pPr>
              <w:pStyle w:val="TABLETEXT1"/>
              <w:rPr>
                <w:lang w:val="en-US"/>
              </w:rPr>
            </w:pPr>
            <w:r>
              <w:rPr>
                <w:lang w:val="en-US"/>
              </w:rPr>
              <w:t xml:space="preserve">███████ </w:t>
            </w:r>
            <w:r>
              <w:rPr>
                <w:lang w:val="en-US"/>
              </w:rPr>
              <w:br/>
              <w:t>Enrollment Track Lead</w:t>
            </w:r>
          </w:p>
        </w:tc>
        <w:tc>
          <w:tcPr>
            <w:tcW w:w="2092" w:type="dxa"/>
          </w:tcPr>
          <w:p w14:paraId="565624DF" w14:textId="1F225319" w:rsidR="004A19F0" w:rsidRPr="00A21682" w:rsidRDefault="00AB78AE" w:rsidP="004A19F0">
            <w:pPr>
              <w:pStyle w:val="TABLETEXT1"/>
              <w:rPr>
                <w:lang w:val="en-US"/>
              </w:rPr>
            </w:pPr>
            <w:r>
              <w:rPr>
                <w:lang w:val="en-US"/>
              </w:rPr>
              <w:t>DOS Deputy Director/Security and Privacy Bureau Director</w:t>
            </w:r>
          </w:p>
        </w:tc>
        <w:tc>
          <w:tcPr>
            <w:tcW w:w="2095" w:type="dxa"/>
          </w:tcPr>
          <w:p w14:paraId="41D1630B" w14:textId="7BF50FC7" w:rsidR="004A19F0" w:rsidRPr="00A21682" w:rsidRDefault="004A19F0" w:rsidP="004A19F0">
            <w:pPr>
              <w:pStyle w:val="TABLETEXT1"/>
              <w:rPr>
                <w:lang w:val="en-US"/>
              </w:rPr>
            </w:pPr>
          </w:p>
        </w:tc>
        <w:tc>
          <w:tcPr>
            <w:tcW w:w="1446" w:type="dxa"/>
          </w:tcPr>
          <w:p w14:paraId="04A60991" w14:textId="77777777" w:rsidR="004A19F0" w:rsidRPr="00A21682" w:rsidRDefault="004A19F0" w:rsidP="004A19F0">
            <w:pPr>
              <w:pStyle w:val="TABLETEXT1"/>
              <w:rPr>
                <w:lang w:val="en-US"/>
              </w:rPr>
            </w:pPr>
          </w:p>
        </w:tc>
      </w:tr>
      <w:tr w:rsidR="004A19F0" w:rsidRPr="00A21682" w14:paraId="70106C01" w14:textId="06EBCBEA" w:rsidTr="00AA65E2">
        <w:tc>
          <w:tcPr>
            <w:tcW w:w="1753" w:type="dxa"/>
          </w:tcPr>
          <w:p w14:paraId="11DB9AD5" w14:textId="2EA4F454" w:rsidR="004A19F0" w:rsidRPr="00A21682" w:rsidRDefault="004A19F0" w:rsidP="004A19F0">
            <w:pPr>
              <w:pStyle w:val="TABLETEXT1"/>
              <w:rPr>
                <w:lang w:val="en-US"/>
              </w:rPr>
            </w:pPr>
            <w:r>
              <w:rPr>
                <w:lang w:val="en-US"/>
              </w:rPr>
              <w:t>███████ Project Director</w:t>
            </w:r>
          </w:p>
        </w:tc>
        <w:tc>
          <w:tcPr>
            <w:tcW w:w="1968" w:type="dxa"/>
          </w:tcPr>
          <w:p w14:paraId="30CFAA08" w14:textId="27C29A3A" w:rsidR="004A19F0" w:rsidRPr="00A21682" w:rsidRDefault="004A19F0" w:rsidP="004A19F0">
            <w:pPr>
              <w:pStyle w:val="TABLETEXT1"/>
              <w:rPr>
                <w:lang w:val="en-US"/>
              </w:rPr>
            </w:pPr>
            <w:r>
              <w:rPr>
                <w:lang w:val="en-US"/>
              </w:rPr>
              <w:t xml:space="preserve">███████ </w:t>
            </w:r>
            <w:r>
              <w:rPr>
                <w:lang w:val="en-US"/>
              </w:rPr>
              <w:br/>
              <w:t>Workload Management Track Lead</w:t>
            </w:r>
          </w:p>
        </w:tc>
        <w:tc>
          <w:tcPr>
            <w:tcW w:w="2092" w:type="dxa"/>
          </w:tcPr>
          <w:p w14:paraId="29BAC7C7" w14:textId="77777777" w:rsidR="004A19F0" w:rsidRPr="00A21682" w:rsidRDefault="004A19F0" w:rsidP="004A19F0">
            <w:pPr>
              <w:pStyle w:val="TABLETEXT1"/>
              <w:rPr>
                <w:lang w:val="en-US"/>
              </w:rPr>
            </w:pPr>
            <w:r>
              <w:rPr>
                <w:lang w:val="en-US"/>
              </w:rPr>
              <w:t>AWS Architect</w:t>
            </w:r>
          </w:p>
        </w:tc>
        <w:tc>
          <w:tcPr>
            <w:tcW w:w="2095" w:type="dxa"/>
          </w:tcPr>
          <w:p w14:paraId="7D8EF315" w14:textId="41458295" w:rsidR="004A19F0" w:rsidRPr="00A21682" w:rsidRDefault="004A19F0" w:rsidP="004A19F0">
            <w:pPr>
              <w:pStyle w:val="TABLETEXT1"/>
              <w:rPr>
                <w:lang w:val="en-US"/>
              </w:rPr>
            </w:pPr>
          </w:p>
        </w:tc>
        <w:tc>
          <w:tcPr>
            <w:tcW w:w="1446" w:type="dxa"/>
          </w:tcPr>
          <w:p w14:paraId="1EFA82D0" w14:textId="77777777" w:rsidR="004A19F0" w:rsidRPr="00A21682" w:rsidRDefault="004A19F0" w:rsidP="004A19F0">
            <w:pPr>
              <w:pStyle w:val="TABLETEXT1"/>
              <w:rPr>
                <w:lang w:val="en-US"/>
              </w:rPr>
            </w:pPr>
          </w:p>
        </w:tc>
      </w:tr>
      <w:tr w:rsidR="004A19F0" w:rsidRPr="00A21682" w14:paraId="212A926E" w14:textId="394FDB33" w:rsidTr="00AA65E2">
        <w:tc>
          <w:tcPr>
            <w:tcW w:w="1753" w:type="dxa"/>
          </w:tcPr>
          <w:p w14:paraId="410C5A79" w14:textId="5D62F566" w:rsidR="004A19F0" w:rsidRPr="00A21682" w:rsidRDefault="00FC5906" w:rsidP="004A19F0">
            <w:pPr>
              <w:pStyle w:val="TABLETEXT1"/>
              <w:rPr>
                <w:lang w:val="en-US"/>
              </w:rPr>
            </w:pPr>
            <w:r>
              <w:rPr>
                <w:lang w:val="en-US"/>
              </w:rPr>
              <w:t>Medicaid Chief Operating Officer (COO)</w:t>
            </w:r>
          </w:p>
        </w:tc>
        <w:tc>
          <w:tcPr>
            <w:tcW w:w="1968" w:type="dxa"/>
          </w:tcPr>
          <w:p w14:paraId="11F7B465" w14:textId="184683DB" w:rsidR="004A19F0" w:rsidRPr="00A21682" w:rsidRDefault="004A19F0" w:rsidP="004A19F0">
            <w:pPr>
              <w:pStyle w:val="TABLETEXT1"/>
              <w:rPr>
                <w:lang w:val="en-US"/>
              </w:rPr>
            </w:pPr>
            <w:r>
              <w:rPr>
                <w:lang w:val="en-US"/>
              </w:rPr>
              <w:t xml:space="preserve">███████ </w:t>
            </w:r>
            <w:r>
              <w:rPr>
                <w:lang w:val="en-US"/>
              </w:rPr>
              <w:br/>
              <w:t>Quality Assurance (QA) Manager</w:t>
            </w:r>
          </w:p>
        </w:tc>
        <w:tc>
          <w:tcPr>
            <w:tcW w:w="2092" w:type="dxa"/>
          </w:tcPr>
          <w:p w14:paraId="66D03166" w14:textId="77777777" w:rsidR="004A19F0" w:rsidRPr="00A21682" w:rsidRDefault="004A19F0" w:rsidP="004A19F0">
            <w:pPr>
              <w:pStyle w:val="TABLETEXT1"/>
              <w:rPr>
                <w:lang w:val="en-US"/>
              </w:rPr>
            </w:pPr>
            <w:r>
              <w:rPr>
                <w:lang w:val="en-US"/>
              </w:rPr>
              <w:t>AWS Accounts Reviewer</w:t>
            </w:r>
          </w:p>
        </w:tc>
        <w:tc>
          <w:tcPr>
            <w:tcW w:w="2095" w:type="dxa"/>
          </w:tcPr>
          <w:p w14:paraId="5C04046C" w14:textId="03DA07EC" w:rsidR="004A19F0" w:rsidRPr="00A21682" w:rsidRDefault="004A19F0" w:rsidP="004A19F0">
            <w:pPr>
              <w:pStyle w:val="TABLETEXT1"/>
              <w:rPr>
                <w:lang w:val="en-US"/>
              </w:rPr>
            </w:pPr>
          </w:p>
        </w:tc>
        <w:tc>
          <w:tcPr>
            <w:tcW w:w="1446" w:type="dxa"/>
          </w:tcPr>
          <w:p w14:paraId="4798F89C" w14:textId="77777777" w:rsidR="004A19F0" w:rsidRPr="00A21682" w:rsidRDefault="004A19F0" w:rsidP="004A19F0">
            <w:pPr>
              <w:pStyle w:val="TABLETEXT1"/>
              <w:rPr>
                <w:lang w:val="en-US"/>
              </w:rPr>
            </w:pPr>
          </w:p>
        </w:tc>
      </w:tr>
      <w:tr w:rsidR="004A19F0" w:rsidRPr="00A21682" w14:paraId="7E1BBC8F" w14:textId="29832645" w:rsidTr="00AA65E2">
        <w:tc>
          <w:tcPr>
            <w:tcW w:w="1753" w:type="dxa"/>
          </w:tcPr>
          <w:p w14:paraId="7768DE3B" w14:textId="6DCDCE5E" w:rsidR="004A19F0" w:rsidRPr="00A21682" w:rsidRDefault="00FC5906" w:rsidP="004A19F0">
            <w:pPr>
              <w:pStyle w:val="TABLETEXT1"/>
              <w:rPr>
                <w:lang w:val="en-US"/>
              </w:rPr>
            </w:pPr>
            <w:r>
              <w:rPr>
                <w:lang w:val="en-US"/>
              </w:rPr>
              <w:lastRenderedPageBreak/>
              <w:t xml:space="preserve">DOS Deputy Director/Security and Privacy Bureau Director </w:t>
            </w:r>
          </w:p>
        </w:tc>
        <w:tc>
          <w:tcPr>
            <w:tcW w:w="1968" w:type="dxa"/>
          </w:tcPr>
          <w:p w14:paraId="0D227386" w14:textId="5B130F54" w:rsidR="004A19F0" w:rsidRPr="00A21682" w:rsidRDefault="004A19F0" w:rsidP="004A19F0">
            <w:pPr>
              <w:pStyle w:val="TABLETEXT1"/>
              <w:rPr>
                <w:lang w:val="en-US"/>
              </w:rPr>
            </w:pPr>
            <w:r>
              <w:rPr>
                <w:lang w:val="en-US"/>
              </w:rPr>
              <w:t xml:space="preserve">███████ </w:t>
            </w:r>
            <w:r>
              <w:rPr>
                <w:lang w:val="en-US"/>
              </w:rPr>
              <w:br/>
              <w:t>Test Lead</w:t>
            </w:r>
          </w:p>
        </w:tc>
        <w:tc>
          <w:tcPr>
            <w:tcW w:w="2092" w:type="dxa"/>
          </w:tcPr>
          <w:p w14:paraId="7DB69958" w14:textId="77777777" w:rsidR="004A19F0" w:rsidRPr="00A21682" w:rsidRDefault="004A19F0" w:rsidP="004A19F0">
            <w:pPr>
              <w:pStyle w:val="TABLETEXT1"/>
              <w:rPr>
                <w:lang w:val="en-US"/>
              </w:rPr>
            </w:pPr>
          </w:p>
        </w:tc>
        <w:tc>
          <w:tcPr>
            <w:tcW w:w="2095" w:type="dxa"/>
          </w:tcPr>
          <w:p w14:paraId="6125B19D" w14:textId="77777777" w:rsidR="004A19F0" w:rsidRPr="00A21682" w:rsidRDefault="004A19F0" w:rsidP="004A19F0">
            <w:pPr>
              <w:pStyle w:val="TABLETEXT1"/>
              <w:rPr>
                <w:lang w:val="en-US"/>
              </w:rPr>
            </w:pPr>
          </w:p>
        </w:tc>
        <w:tc>
          <w:tcPr>
            <w:tcW w:w="1446" w:type="dxa"/>
          </w:tcPr>
          <w:p w14:paraId="2760013B" w14:textId="77777777" w:rsidR="004A19F0" w:rsidRPr="00A21682" w:rsidRDefault="004A19F0" w:rsidP="004A19F0">
            <w:pPr>
              <w:pStyle w:val="TABLETEXT1"/>
              <w:rPr>
                <w:lang w:val="en-US"/>
              </w:rPr>
            </w:pPr>
          </w:p>
        </w:tc>
      </w:tr>
    </w:tbl>
    <w:p w14:paraId="209757C3" w14:textId="77777777" w:rsidR="00C5142A" w:rsidRPr="00A21682" w:rsidRDefault="00737888" w:rsidP="00C5142A">
      <w:pPr>
        <w:pStyle w:val="Caption"/>
        <w:rPr>
          <w:noProof w:val="0"/>
        </w:rPr>
      </w:pPr>
      <w:bookmarkStart w:id="151" w:name="_Toc192875088"/>
      <w:bookmarkStart w:id="152" w:name="_Toc15095186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3</w:t>
      </w:r>
      <w:r>
        <w:rPr>
          <w:noProof w:val="0"/>
        </w:rPr>
        <w:fldChar w:fldCharType="end"/>
      </w:r>
      <w:r>
        <w:rPr>
          <w:noProof w:val="0"/>
        </w:rPr>
        <w:t>: MECM Key Stakeholders</w:t>
      </w:r>
      <w:bookmarkEnd w:id="151"/>
    </w:p>
    <w:p w14:paraId="438FD1DF" w14:textId="77777777" w:rsidR="00C5516F" w:rsidRPr="00A21682" w:rsidRDefault="00C5516F">
      <w:pPr>
        <w:pStyle w:val="Heading2"/>
        <w:rPr>
          <w:u w:color="000000"/>
        </w:rPr>
      </w:pPr>
      <w:bookmarkStart w:id="153" w:name="_Toc148102298"/>
      <w:bookmarkStart w:id="154" w:name="_Toc148098400"/>
      <w:bookmarkStart w:id="155" w:name="_Toc149051772"/>
      <w:bookmarkStart w:id="156" w:name="_Toc152605593"/>
      <w:bookmarkStart w:id="157" w:name="_Toc152605782"/>
      <w:bookmarkStart w:id="158" w:name="_Toc148102299"/>
      <w:bookmarkStart w:id="159" w:name="_Toc148098401"/>
      <w:bookmarkStart w:id="160" w:name="_Toc149051773"/>
      <w:bookmarkStart w:id="161" w:name="_Toc152605594"/>
      <w:bookmarkStart w:id="162" w:name="_Toc152605783"/>
      <w:bookmarkStart w:id="163" w:name="_Toc148102300"/>
      <w:bookmarkStart w:id="164" w:name="_Toc148098402"/>
      <w:bookmarkStart w:id="165" w:name="_Toc149051774"/>
      <w:bookmarkStart w:id="166" w:name="_Toc152605595"/>
      <w:bookmarkStart w:id="167" w:name="_Toc152605784"/>
      <w:bookmarkStart w:id="168" w:name="_Toc148102301"/>
      <w:bookmarkStart w:id="169" w:name="_Toc152605785"/>
      <w:bookmarkStart w:id="170" w:name="_Toc177118930"/>
      <w:bookmarkStart w:id="171" w:name="_Toc185952485"/>
      <w:bookmarkStart w:id="172" w:name="_Toc192874659"/>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u w:color="000000"/>
        </w:rPr>
        <w:t>MECM SDLC Methodology Detail</w:t>
      </w:r>
      <w:bookmarkEnd w:id="168"/>
      <w:bookmarkEnd w:id="169"/>
      <w:bookmarkEnd w:id="170"/>
      <w:bookmarkEnd w:id="171"/>
      <w:bookmarkEnd w:id="172"/>
    </w:p>
    <w:p w14:paraId="7ED6C630" w14:textId="3FF5DC84" w:rsidR="00C5516F" w:rsidRPr="00A21682" w:rsidRDefault="00C5516F" w:rsidP="00C5516F">
      <w:pPr>
        <w:pStyle w:val="NormalNEW"/>
        <w:rPr>
          <w:u w:color="000000"/>
          <w:lang w:val="en-US"/>
        </w:rPr>
      </w:pPr>
      <w:r>
        <w:rPr>
          <w:u w:color="000000"/>
          <w:lang w:val="en-US"/>
        </w:rPr>
        <w:t>The SDLC High-Level Process Flow can be found in Section 2.16. It represents the high-level process flow for the MECM SDLC methodology based on the phases defined previously. It includes the phase gates and iterations/bundles that will be used to accomplish several of the methodology objectives. Where activities in process flows are shared across two or more stakeholder groups – the relevant step box is positioned across the respective swim lanes to reflect this.</w:t>
      </w:r>
    </w:p>
    <w:p w14:paraId="4EC7C866" w14:textId="77777777" w:rsidR="00C5516F" w:rsidRPr="00A21682" w:rsidRDefault="00C5516F" w:rsidP="00C5516F">
      <w:pPr>
        <w:pStyle w:val="NormalNEW"/>
        <w:rPr>
          <w:u w:color="000000"/>
          <w:lang w:val="en-US"/>
        </w:rPr>
      </w:pPr>
      <w:r>
        <w:rPr>
          <w:u w:color="000000"/>
          <w:lang w:val="en-US"/>
        </w:rPr>
        <w:t>In the following subsections, the MECM SDLC Methodology is decomposed into each of its phases including the following:</w:t>
      </w:r>
    </w:p>
    <w:p w14:paraId="615FC3A0" w14:textId="77777777" w:rsidR="00C5516F" w:rsidRPr="00A21682" w:rsidRDefault="00C5516F" w:rsidP="0031550A">
      <w:pPr>
        <w:pStyle w:val="BulletNEW"/>
        <w:rPr>
          <w:u w:color="000000"/>
        </w:rPr>
      </w:pPr>
      <w:r>
        <w:rPr>
          <w:u w:color="000000"/>
        </w:rPr>
        <w:t>Phase Entry Criteria</w:t>
      </w:r>
    </w:p>
    <w:p w14:paraId="31E0B169" w14:textId="77777777" w:rsidR="00C5516F" w:rsidRPr="00A21682" w:rsidRDefault="00C5516F" w:rsidP="0031550A">
      <w:pPr>
        <w:pStyle w:val="BulletNEW"/>
        <w:rPr>
          <w:u w:color="000000"/>
        </w:rPr>
      </w:pPr>
      <w:r>
        <w:rPr>
          <w:u w:color="000000"/>
        </w:rPr>
        <w:t xml:space="preserve">Process Flow Diagram </w:t>
      </w:r>
    </w:p>
    <w:p w14:paraId="1402CC49" w14:textId="77777777" w:rsidR="00C5516F" w:rsidRPr="00A21682" w:rsidRDefault="00C5516F" w:rsidP="0031550A">
      <w:pPr>
        <w:pStyle w:val="BulletNEW"/>
        <w:rPr>
          <w:u w:color="000000"/>
        </w:rPr>
      </w:pPr>
      <w:r>
        <w:rPr>
          <w:u w:color="000000"/>
        </w:rPr>
        <w:t>Process Flow Narrative (including inputs and outputs where relevant)</w:t>
      </w:r>
    </w:p>
    <w:p w14:paraId="4A63B667" w14:textId="77777777" w:rsidR="00C5516F" w:rsidRPr="00A21682" w:rsidRDefault="00C5516F" w:rsidP="0031550A">
      <w:pPr>
        <w:pStyle w:val="BulletNEW"/>
        <w:rPr>
          <w:u w:color="000000"/>
        </w:rPr>
      </w:pPr>
      <w:r>
        <w:rPr>
          <w:u w:color="000000"/>
        </w:rPr>
        <w:t>Roles and Responsibilities (including resources or tools used to perform those responsibilities)</w:t>
      </w:r>
    </w:p>
    <w:p w14:paraId="6E597BDC" w14:textId="1145A605" w:rsidR="00C5516F" w:rsidRPr="00A21682" w:rsidRDefault="00C5516F" w:rsidP="0031550A">
      <w:pPr>
        <w:pStyle w:val="BulletNEW"/>
        <w:rPr>
          <w:u w:color="000000"/>
        </w:rPr>
      </w:pPr>
      <w:r>
        <w:rPr>
          <w:u w:color="000000"/>
        </w:rPr>
        <w:t>Phase Exit Criteria</w:t>
      </w:r>
    </w:p>
    <w:p w14:paraId="56C2DBB5" w14:textId="502BA722" w:rsidR="00D00449" w:rsidRPr="00A21682" w:rsidRDefault="00D00449" w:rsidP="0031550A">
      <w:pPr>
        <w:pStyle w:val="BulletNEW"/>
        <w:rPr>
          <w:u w:color="000000"/>
        </w:rPr>
      </w:pPr>
      <w:r>
        <w:rPr>
          <w:u w:color="000000"/>
        </w:rPr>
        <w:t>Supporting Application Lifecycle Management (ALM) Tools</w:t>
      </w:r>
    </w:p>
    <w:p w14:paraId="452419B4" w14:textId="2DD2266A" w:rsidR="00C5516F" w:rsidRPr="00A21682" w:rsidRDefault="00C5516F" w:rsidP="00757855">
      <w:pPr>
        <w:pStyle w:val="Heading2"/>
        <w:rPr>
          <w:u w:color="000000"/>
        </w:rPr>
      </w:pPr>
      <w:bookmarkStart w:id="173" w:name="_Toc148102302"/>
      <w:bookmarkStart w:id="174" w:name="_Toc152605786"/>
      <w:bookmarkStart w:id="175" w:name="_Toc177118931"/>
      <w:bookmarkStart w:id="176" w:name="_Toc185952486"/>
      <w:bookmarkStart w:id="177" w:name="_Toc192874660"/>
      <w:r>
        <w:rPr>
          <w:u w:color="000000"/>
        </w:rPr>
        <w:t>Project Wave Planning Phase</w:t>
      </w:r>
      <w:bookmarkEnd w:id="173"/>
      <w:bookmarkEnd w:id="174"/>
      <w:bookmarkEnd w:id="175"/>
      <w:bookmarkEnd w:id="176"/>
      <w:bookmarkEnd w:id="177"/>
    </w:p>
    <w:p w14:paraId="14FAD799" w14:textId="2E966880" w:rsidR="00C5516F" w:rsidRPr="00A21682" w:rsidRDefault="00C5516F" w:rsidP="00757855">
      <w:pPr>
        <w:pStyle w:val="NormalNEW"/>
        <w:rPr>
          <w:u w:color="000000"/>
          <w:lang w:val="en-US"/>
        </w:rPr>
      </w:pPr>
      <w:r>
        <w:rPr>
          <w:u w:color="000000"/>
          <w:lang w:val="en-US"/>
        </w:rPr>
        <w:t xml:space="preserve">The Project Wave Planning phase defines the high-level scope for a Wave, including the documentation of goals and objectives of the Wave. The functional and technical scope are defined, and the functional and technical impacts of Wave objectives and scope are assessed. These are subsequently utilized as inputs for the development of the ISD for the Wave. A change impact assessment is developed to evaluate the impacts of any changes or additions to the ISD that occurred in the Wave Plan, and the Executive team evaluates whether these changes require a revised scope, timeline, or budget. Finally, the ISD and Wave Plan are finalized and approved. The activities within the Project Wave Planning Phase serve as the entry criteria for the Business Process Analysis Phase. </w:t>
      </w:r>
    </w:p>
    <w:p w14:paraId="563D9E78" w14:textId="77777777" w:rsidR="00C5516F" w:rsidRPr="00A21682" w:rsidRDefault="00C5516F" w:rsidP="00757855">
      <w:pPr>
        <w:pStyle w:val="Heading3"/>
      </w:pPr>
      <w:bookmarkStart w:id="178" w:name="_Toc148102303"/>
      <w:bookmarkStart w:id="179" w:name="_Toc152605787"/>
      <w:bookmarkStart w:id="180" w:name="_Toc177118932"/>
      <w:bookmarkStart w:id="181" w:name="_Toc185952487"/>
      <w:bookmarkStart w:id="182" w:name="_Toc192874661"/>
      <w:r>
        <w:t>Phase Entry Criteria</w:t>
      </w:r>
      <w:bookmarkEnd w:id="178"/>
      <w:bookmarkEnd w:id="179"/>
      <w:bookmarkEnd w:id="180"/>
      <w:bookmarkEnd w:id="181"/>
      <w:bookmarkEnd w:id="182"/>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7FB851AF" w14:textId="77777777" w:rsidTr="00504839">
        <w:trPr>
          <w:trHeight w:val="300"/>
        </w:trPr>
        <w:tc>
          <w:tcPr>
            <w:tcW w:w="481" w:type="dxa"/>
            <w:tcBorders>
              <w:right w:val="single" w:sz="2" w:space="0" w:color="FFFFFF" w:themeColor="background1"/>
            </w:tcBorders>
            <w:shd w:val="clear" w:color="auto" w:fill="000000"/>
            <w:hideMark/>
          </w:tcPr>
          <w:p w14:paraId="2203BFD2" w14:textId="77777777" w:rsidR="00C5516F" w:rsidRPr="00A21682" w:rsidRDefault="00C5516F" w:rsidP="00757855">
            <w:pPr>
              <w:pStyle w:val="TABLEHEADINGNEW"/>
              <w:rPr>
                <w:rFonts w:ascii="Segoe UI" w:hAnsi="Segoe UI" w:cs="Segoe UI"/>
                <w:color w:val="000000"/>
                <w:szCs w:val="18"/>
                <w:u w:color="000000"/>
              </w:rPr>
            </w:pPr>
            <w:r>
              <w:rPr>
                <w:u w:color="000000"/>
              </w:rPr>
              <w:t>#</w:t>
            </w:r>
          </w:p>
        </w:tc>
        <w:tc>
          <w:tcPr>
            <w:tcW w:w="4563" w:type="dxa"/>
            <w:tcBorders>
              <w:left w:val="single" w:sz="2" w:space="0" w:color="FFFFFF" w:themeColor="background1"/>
              <w:right w:val="single" w:sz="2" w:space="0" w:color="FFFFFF" w:themeColor="background1"/>
            </w:tcBorders>
            <w:shd w:val="clear" w:color="auto" w:fill="000000"/>
            <w:hideMark/>
          </w:tcPr>
          <w:p w14:paraId="04E2AC4A" w14:textId="77777777" w:rsidR="00C5516F" w:rsidRPr="00A21682" w:rsidRDefault="00C5516F" w:rsidP="00757855">
            <w:pPr>
              <w:pStyle w:val="TABLEHEADINGNEW"/>
              <w:rPr>
                <w:rFonts w:ascii="Segoe UI" w:hAnsi="Segoe UI" w:cs="Segoe UI"/>
                <w:color w:val="000000"/>
                <w:szCs w:val="18"/>
                <w:u w:color="000000"/>
              </w:rPr>
            </w:pPr>
            <w:r>
              <w:rPr>
                <w:u w:color="000000"/>
              </w:rPr>
              <w:t>Entry Criteria</w:t>
            </w:r>
          </w:p>
        </w:tc>
        <w:tc>
          <w:tcPr>
            <w:tcW w:w="4300" w:type="dxa"/>
            <w:tcBorders>
              <w:left w:val="single" w:sz="2" w:space="0" w:color="FFFFFF" w:themeColor="background1"/>
            </w:tcBorders>
            <w:shd w:val="clear" w:color="auto" w:fill="000000"/>
            <w:hideMark/>
          </w:tcPr>
          <w:p w14:paraId="06F853ED" w14:textId="77777777" w:rsidR="00C5516F" w:rsidRPr="00A21682" w:rsidRDefault="00C5516F" w:rsidP="00757855">
            <w:pPr>
              <w:pStyle w:val="TABLEHEADINGNEW"/>
              <w:rPr>
                <w:rFonts w:cs="Arial"/>
                <w:u w:color="000000"/>
              </w:rPr>
            </w:pPr>
            <w:r>
              <w:rPr>
                <w:u w:color="000000"/>
              </w:rPr>
              <w:t>Related Document(s)/Artifact(s)</w:t>
            </w:r>
          </w:p>
        </w:tc>
      </w:tr>
      <w:tr w:rsidR="00C5516F" w:rsidRPr="00A21682" w14:paraId="7D4D23AA" w14:textId="77777777" w:rsidTr="004B7FBC">
        <w:trPr>
          <w:trHeight w:val="300"/>
        </w:trPr>
        <w:tc>
          <w:tcPr>
            <w:tcW w:w="481" w:type="dxa"/>
            <w:hideMark/>
          </w:tcPr>
          <w:p w14:paraId="5D229551" w14:textId="53CEAA1A" w:rsidR="00C5516F" w:rsidRPr="00A21682" w:rsidRDefault="00C5516F" w:rsidP="005470E4">
            <w:pPr>
              <w:pStyle w:val="TABLETEXT1"/>
              <w:rPr>
                <w:rFonts w:ascii="Segoe UI" w:hAnsi="Segoe UI" w:cs="Segoe UI"/>
                <w:u w:color="000000"/>
                <w:lang w:val="en-US"/>
              </w:rPr>
            </w:pPr>
            <w:r>
              <w:rPr>
                <w:u w:color="000000"/>
                <w:lang w:val="en-US"/>
              </w:rPr>
              <w:t>1</w:t>
            </w:r>
          </w:p>
        </w:tc>
        <w:tc>
          <w:tcPr>
            <w:tcW w:w="4563" w:type="dxa"/>
            <w:hideMark/>
          </w:tcPr>
          <w:p w14:paraId="12C73040" w14:textId="77777777" w:rsidR="00C5516F" w:rsidRPr="00A21682" w:rsidRDefault="00C5516F" w:rsidP="00757855">
            <w:pPr>
              <w:pStyle w:val="TABLETEXT1"/>
              <w:rPr>
                <w:rFonts w:ascii="Calibri Light" w:hAnsi="Calibri Light" w:cs="Calibri Light"/>
                <w:u w:color="000000"/>
                <w:lang w:val="en-US"/>
              </w:rPr>
            </w:pPr>
            <w:r>
              <w:rPr>
                <w:u w:color="000000"/>
                <w:lang w:val="en-US"/>
              </w:rPr>
              <w:t>Executive leadership decision to initiate Wave planning</w:t>
            </w:r>
          </w:p>
        </w:tc>
        <w:tc>
          <w:tcPr>
            <w:tcW w:w="4300" w:type="dxa"/>
            <w:hideMark/>
          </w:tcPr>
          <w:p w14:paraId="6042CA06" w14:textId="02A56029" w:rsidR="00C5516F" w:rsidRPr="00635C9B" w:rsidRDefault="00C5516F" w:rsidP="00F7591C">
            <w:pPr>
              <w:pStyle w:val="TABLEBULLETNEW"/>
              <w:rPr>
                <w:rFonts w:ascii="Arial" w:eastAsia="Times New Roman" w:hAnsi="Arial" w:cs="Arial"/>
                <w:color w:val="000000"/>
                <w:sz w:val="20"/>
                <w:szCs w:val="20"/>
              </w:rPr>
            </w:pPr>
            <w:r>
              <w:t>Scope, goals, and objectives for the Wave</w:t>
            </w:r>
          </w:p>
        </w:tc>
      </w:tr>
    </w:tbl>
    <w:p w14:paraId="135E28A5" w14:textId="49156B87" w:rsidR="00C5516F" w:rsidRPr="00A21682" w:rsidRDefault="00C5516F" w:rsidP="00757855">
      <w:pPr>
        <w:pStyle w:val="Caption"/>
        <w:rPr>
          <w:noProof w:val="0"/>
        </w:rPr>
      </w:pPr>
      <w:bookmarkStart w:id="183" w:name="_Toc150951862"/>
      <w:bookmarkStart w:id="184" w:name="_Toc19287508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Project Wave Planning Phase Entry Criteria</w:t>
      </w:r>
      <w:bookmarkEnd w:id="183"/>
      <w:bookmarkEnd w:id="184"/>
    </w:p>
    <w:p w14:paraId="41EF99E6" w14:textId="065ADDE0" w:rsidR="00C5516F" w:rsidRPr="00A21682" w:rsidRDefault="00C5516F" w:rsidP="00757855">
      <w:pPr>
        <w:pStyle w:val="Heading3"/>
      </w:pPr>
      <w:bookmarkStart w:id="185" w:name="_Toc148102304"/>
      <w:bookmarkStart w:id="186" w:name="_Toc152605788"/>
      <w:bookmarkStart w:id="187" w:name="_Toc177118933"/>
      <w:bookmarkStart w:id="188" w:name="_Toc185952488"/>
      <w:bookmarkStart w:id="189" w:name="_Toc192874662"/>
      <w:r>
        <w:lastRenderedPageBreak/>
        <w:t>Process Flow Diagram</w:t>
      </w:r>
      <w:bookmarkEnd w:id="185"/>
      <w:bookmarkEnd w:id="186"/>
      <w:bookmarkEnd w:id="187"/>
      <w:bookmarkEnd w:id="188"/>
      <w:bookmarkEnd w:id="189"/>
    </w:p>
    <w:p w14:paraId="2E7E3342" w14:textId="56E4B5DD" w:rsidR="003B333A" w:rsidRPr="00A21682" w:rsidRDefault="00A40AA5" w:rsidP="000A1276">
      <w:pPr>
        <w:pStyle w:val="NormalNEW"/>
        <w:rPr>
          <w:lang w:val="en-US"/>
        </w:rPr>
      </w:pPr>
      <w:bookmarkStart w:id="190" w:name="_Toc150948927"/>
      <w:bookmarkStart w:id="191" w:name="_Toc178152024"/>
      <w:r>
        <w:rPr>
          <w:lang w:val="en-US"/>
        </w:rPr>
        <w:pict w14:anchorId="54CF6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21.4pt">
            <v:imagedata r:id="rId25" o:title=""/>
          </v:shape>
        </w:pict>
      </w:r>
    </w:p>
    <w:p w14:paraId="5060EE22" w14:textId="700FF321" w:rsidR="00C5516F" w:rsidRPr="00A21682" w:rsidRDefault="00C5516F" w:rsidP="00757855">
      <w:pPr>
        <w:pStyle w:val="Caption"/>
        <w:rPr>
          <w:noProof w:val="0"/>
        </w:rPr>
      </w:pPr>
      <w:bookmarkStart w:id="192" w:name="_Toc192875039"/>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2</w:t>
      </w:r>
      <w:r>
        <w:rPr>
          <w:noProof w:val="0"/>
        </w:rPr>
        <w:fldChar w:fldCharType="end"/>
      </w:r>
      <w:r>
        <w:rPr>
          <w:noProof w:val="0"/>
        </w:rPr>
        <w:t>: Project Wave Planning Phase Process Flow</w:t>
      </w:r>
      <w:bookmarkEnd w:id="190"/>
      <w:bookmarkEnd w:id="191"/>
      <w:bookmarkEnd w:id="192"/>
    </w:p>
    <w:p w14:paraId="56FA211F" w14:textId="77777777" w:rsidR="00C5516F" w:rsidRPr="00A21682" w:rsidRDefault="00C5516F" w:rsidP="00757855">
      <w:pPr>
        <w:pStyle w:val="Heading3"/>
      </w:pPr>
      <w:bookmarkStart w:id="193" w:name="_Toc148102305"/>
      <w:bookmarkStart w:id="194" w:name="_Toc152605789"/>
      <w:bookmarkStart w:id="195" w:name="_Toc177118934"/>
      <w:bookmarkStart w:id="196" w:name="_Toc185952489"/>
      <w:bookmarkStart w:id="197" w:name="_Toc192874663"/>
      <w:r>
        <w:t>Process Flow Narrative</w:t>
      </w:r>
      <w:bookmarkEnd w:id="193"/>
      <w:bookmarkEnd w:id="194"/>
      <w:bookmarkEnd w:id="195"/>
      <w:bookmarkEnd w:id="196"/>
      <w:bookmarkEnd w:id="197"/>
    </w:p>
    <w:tbl>
      <w:tblPr>
        <w:tblW w:w="9352" w:type="dxa"/>
        <w:tblBorders>
          <w:top w:val="outset" w:sz="6" w:space="0" w:color="auto"/>
          <w:left w:val="outset" w:sz="6" w:space="0" w:color="auto"/>
          <w:bottom w:val="outset" w:sz="6" w:space="0" w:color="auto"/>
          <w:right w:val="outset" w:sz="6" w:space="0" w:color="auto"/>
        </w:tblBorders>
        <w:tblLayout w:type="fixed"/>
        <w:tblCellMar>
          <w:left w:w="58" w:type="dxa"/>
          <w:right w:w="58" w:type="dxa"/>
        </w:tblCellMar>
        <w:tblLook w:val="04A0" w:firstRow="1" w:lastRow="0" w:firstColumn="1" w:lastColumn="0" w:noHBand="0" w:noVBand="1"/>
      </w:tblPr>
      <w:tblGrid>
        <w:gridCol w:w="598"/>
        <w:gridCol w:w="1469"/>
        <w:gridCol w:w="1980"/>
        <w:gridCol w:w="1705"/>
        <w:gridCol w:w="1800"/>
        <w:gridCol w:w="1800"/>
      </w:tblGrid>
      <w:tr w:rsidR="00C5516F" w:rsidRPr="00A21682" w14:paraId="238B4A0E" w14:textId="77777777" w:rsidTr="00C968EF">
        <w:trPr>
          <w:trHeight w:val="300"/>
          <w:tblHeader/>
        </w:trPr>
        <w:tc>
          <w:tcPr>
            <w:tcW w:w="9352" w:type="dxa"/>
            <w:gridSpan w:val="6"/>
            <w:tcBorders>
              <w:top w:val="single" w:sz="2" w:space="0" w:color="auto"/>
              <w:left w:val="single" w:sz="2" w:space="0" w:color="auto"/>
              <w:bottom w:val="single" w:sz="2" w:space="0" w:color="FFFFFF" w:themeColor="background1"/>
              <w:right w:val="single" w:sz="2" w:space="0" w:color="auto"/>
            </w:tcBorders>
            <w:shd w:val="clear" w:color="auto" w:fill="000000"/>
            <w:vAlign w:val="center"/>
          </w:tcPr>
          <w:p w14:paraId="1CF2A406" w14:textId="61460A6B" w:rsidR="00C5516F" w:rsidRPr="00A21682" w:rsidRDefault="00C5516F" w:rsidP="0049511B">
            <w:pPr>
              <w:pStyle w:val="TABLEHEADINGNEW"/>
              <w:jc w:val="center"/>
              <w:rPr>
                <w:u w:color="000000"/>
              </w:rPr>
            </w:pPr>
            <w:r>
              <w:rPr>
                <w:u w:color="000000"/>
              </w:rPr>
              <w:t>Project Wave Planning</w:t>
            </w:r>
          </w:p>
        </w:tc>
      </w:tr>
      <w:tr w:rsidR="00C5516F" w:rsidRPr="00A21682" w14:paraId="13A6C60C" w14:textId="77777777" w:rsidTr="001C5C85">
        <w:trPr>
          <w:trHeight w:val="300"/>
          <w:tblHeader/>
        </w:trPr>
        <w:tc>
          <w:tcPr>
            <w:tcW w:w="598" w:type="dxa"/>
            <w:tcBorders>
              <w:top w:val="single" w:sz="2" w:space="0" w:color="FFFFFF" w:themeColor="background1"/>
              <w:left w:val="single" w:sz="2" w:space="0" w:color="auto"/>
              <w:bottom w:val="single" w:sz="2" w:space="0" w:color="auto"/>
              <w:right w:val="single" w:sz="2" w:space="0" w:color="FFFFFF" w:themeColor="background1"/>
            </w:tcBorders>
            <w:shd w:val="clear" w:color="auto" w:fill="000000"/>
            <w:hideMark/>
          </w:tcPr>
          <w:p w14:paraId="31A4C6B1" w14:textId="77777777" w:rsidR="00C5516F" w:rsidRPr="00A21682" w:rsidRDefault="00C5516F" w:rsidP="0049511B">
            <w:pPr>
              <w:pStyle w:val="TABLEHEADINGNEW"/>
              <w:rPr>
                <w:rFonts w:ascii="Segoe UI" w:hAnsi="Segoe UI" w:cs="Segoe UI"/>
                <w:color w:val="000000"/>
                <w:u w:color="000000"/>
              </w:rPr>
            </w:pPr>
            <w:r>
              <w:rPr>
                <w:u w:color="000000"/>
              </w:rPr>
              <w:t>Step #</w:t>
            </w:r>
          </w:p>
        </w:tc>
        <w:tc>
          <w:tcPr>
            <w:tcW w:w="1469"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hideMark/>
          </w:tcPr>
          <w:p w14:paraId="19673258" w14:textId="77777777" w:rsidR="00C5516F" w:rsidRPr="00A21682" w:rsidRDefault="00C5516F" w:rsidP="0049511B">
            <w:pPr>
              <w:pStyle w:val="TABLEHEADINGNEW"/>
              <w:rPr>
                <w:rFonts w:ascii="Segoe UI" w:hAnsi="Segoe UI" w:cs="Segoe UI"/>
                <w:color w:val="000000"/>
                <w:u w:color="000000"/>
              </w:rPr>
            </w:pPr>
            <w:r>
              <w:rPr>
                <w:u w:color="000000"/>
              </w:rPr>
              <w:t>Process Step</w:t>
            </w:r>
          </w:p>
        </w:tc>
        <w:tc>
          <w:tcPr>
            <w:tcW w:w="1980"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hideMark/>
          </w:tcPr>
          <w:p w14:paraId="27031CBB" w14:textId="77777777" w:rsidR="00C5516F" w:rsidRPr="00A21682" w:rsidRDefault="00C5516F" w:rsidP="0049511B">
            <w:pPr>
              <w:pStyle w:val="TABLEHEADINGNEW"/>
              <w:rPr>
                <w:rFonts w:ascii="Segoe UI" w:hAnsi="Segoe UI" w:cs="Segoe UI"/>
                <w:color w:val="000000"/>
                <w:u w:color="000000"/>
              </w:rPr>
            </w:pPr>
            <w:r>
              <w:rPr>
                <w:u w:color="000000"/>
              </w:rPr>
              <w:t>Description</w:t>
            </w:r>
          </w:p>
        </w:tc>
        <w:tc>
          <w:tcPr>
            <w:tcW w:w="1705"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tcPr>
          <w:p w14:paraId="3D7205B4" w14:textId="77777777" w:rsidR="00C5516F" w:rsidRPr="00A21682" w:rsidRDefault="00C5516F" w:rsidP="0049511B">
            <w:pPr>
              <w:pStyle w:val="TABLEHEADINGNEW"/>
              <w:rPr>
                <w:u w:color="000000"/>
              </w:rPr>
            </w:pPr>
            <w:r>
              <w:rPr>
                <w:u w:color="000000"/>
              </w:rPr>
              <w:t>Stakeholder Group(s)</w:t>
            </w:r>
          </w:p>
        </w:tc>
        <w:tc>
          <w:tcPr>
            <w:tcW w:w="1800"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hideMark/>
          </w:tcPr>
          <w:p w14:paraId="5A51A713" w14:textId="77777777" w:rsidR="00C5516F" w:rsidRPr="00A21682" w:rsidRDefault="00C5516F" w:rsidP="0049511B">
            <w:pPr>
              <w:pStyle w:val="TABLEHEADINGNEW"/>
              <w:rPr>
                <w:u w:color="000000"/>
              </w:rPr>
            </w:pPr>
            <w:r>
              <w:rPr>
                <w:u w:color="000000"/>
              </w:rPr>
              <w:t>Inputs (Documents/ Work Products)</w:t>
            </w:r>
          </w:p>
        </w:tc>
        <w:tc>
          <w:tcPr>
            <w:tcW w:w="1800" w:type="dxa"/>
            <w:tcBorders>
              <w:top w:val="single" w:sz="2" w:space="0" w:color="FFFFFF" w:themeColor="background1"/>
              <w:left w:val="single" w:sz="2" w:space="0" w:color="FFFFFF" w:themeColor="background1"/>
              <w:bottom w:val="single" w:sz="2" w:space="0" w:color="auto"/>
              <w:right w:val="single" w:sz="2" w:space="0" w:color="auto"/>
            </w:tcBorders>
            <w:shd w:val="clear" w:color="auto" w:fill="000000"/>
            <w:hideMark/>
          </w:tcPr>
          <w:p w14:paraId="09837832" w14:textId="77777777" w:rsidR="00C5516F" w:rsidRPr="00A21682" w:rsidRDefault="00C5516F" w:rsidP="0049511B">
            <w:pPr>
              <w:pStyle w:val="TABLEHEADINGNEW"/>
              <w:rPr>
                <w:u w:color="000000"/>
              </w:rPr>
            </w:pPr>
            <w:r>
              <w:rPr>
                <w:u w:color="000000"/>
              </w:rPr>
              <w:t>Outputs (Documents/ Work Products)</w:t>
            </w:r>
          </w:p>
        </w:tc>
      </w:tr>
      <w:tr w:rsidR="00C5516F" w:rsidRPr="00A21682" w14:paraId="4A9494E8"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hideMark/>
          </w:tcPr>
          <w:p w14:paraId="00087076" w14:textId="77777777" w:rsidR="00C5516F" w:rsidRPr="00A21682" w:rsidRDefault="00C5516F" w:rsidP="0049511B">
            <w:pPr>
              <w:pStyle w:val="TABLETEXT1"/>
              <w:rPr>
                <w:u w:color="000000"/>
                <w:lang w:val="en-US"/>
              </w:rPr>
            </w:pPr>
            <w:r>
              <w:rPr>
                <w:u w:color="000000"/>
                <w:lang w:val="en-US"/>
              </w:rPr>
              <w:t>0.1</w:t>
            </w:r>
          </w:p>
        </w:tc>
        <w:tc>
          <w:tcPr>
            <w:tcW w:w="1469" w:type="dxa"/>
            <w:tcBorders>
              <w:top w:val="single" w:sz="2" w:space="0" w:color="auto"/>
              <w:left w:val="single" w:sz="2" w:space="0" w:color="auto"/>
              <w:bottom w:val="single" w:sz="2" w:space="0" w:color="auto"/>
              <w:right w:val="single" w:sz="2" w:space="0" w:color="auto"/>
            </w:tcBorders>
          </w:tcPr>
          <w:p w14:paraId="5ECF17E3" w14:textId="13D56D84" w:rsidR="00C5516F" w:rsidRPr="00A21682" w:rsidRDefault="00C5516F" w:rsidP="0049511B">
            <w:pPr>
              <w:pStyle w:val="TABLETEXT1"/>
              <w:rPr>
                <w:u w:color="000000"/>
                <w:lang w:val="en-US"/>
              </w:rPr>
            </w:pPr>
            <w:r>
              <w:rPr>
                <w:u w:color="000000"/>
                <w:lang w:val="en-US"/>
              </w:rPr>
              <w:t>Review business objectives and North Stars</w:t>
            </w:r>
          </w:p>
        </w:tc>
        <w:tc>
          <w:tcPr>
            <w:tcW w:w="1980" w:type="dxa"/>
            <w:tcBorders>
              <w:top w:val="single" w:sz="2" w:space="0" w:color="auto"/>
              <w:left w:val="single" w:sz="2" w:space="0" w:color="auto"/>
              <w:bottom w:val="single" w:sz="2" w:space="0" w:color="auto"/>
              <w:right w:val="single" w:sz="2" w:space="0" w:color="auto"/>
            </w:tcBorders>
          </w:tcPr>
          <w:p w14:paraId="49D44212" w14:textId="77777777" w:rsidR="00C5516F" w:rsidRPr="004A2456" w:rsidRDefault="00C5516F" w:rsidP="0049511B">
            <w:pPr>
              <w:pStyle w:val="TABLETEXT1"/>
              <w:rPr>
                <w:u w:color="000000"/>
                <w:lang w:val="en-US"/>
              </w:rPr>
            </w:pPr>
            <w:r>
              <w:rPr>
                <w:u w:color="000000"/>
                <w:lang w:val="en-US"/>
              </w:rPr>
              <w:t>The strategic high-level goals of the Wave are delineated, and overarching objectives are defined and validated.</w:t>
            </w:r>
          </w:p>
        </w:tc>
        <w:tc>
          <w:tcPr>
            <w:tcW w:w="1705" w:type="dxa"/>
            <w:tcBorders>
              <w:top w:val="single" w:sz="2" w:space="0" w:color="auto"/>
              <w:left w:val="single" w:sz="2" w:space="0" w:color="auto"/>
              <w:bottom w:val="single" w:sz="2" w:space="0" w:color="auto"/>
              <w:right w:val="single" w:sz="2" w:space="0" w:color="auto"/>
            </w:tcBorders>
          </w:tcPr>
          <w:p w14:paraId="2B2FAECA" w14:textId="2978F815" w:rsidR="00C5516F" w:rsidRPr="00CD1759" w:rsidRDefault="00C5516F" w:rsidP="0049511B">
            <w:pPr>
              <w:pStyle w:val="TABLEBULLETNEW"/>
            </w:pPr>
            <w:r>
              <w:t>Executive Stakeholders</w:t>
            </w:r>
          </w:p>
        </w:tc>
        <w:tc>
          <w:tcPr>
            <w:tcW w:w="1800" w:type="dxa"/>
            <w:tcBorders>
              <w:top w:val="single" w:sz="2" w:space="0" w:color="auto"/>
              <w:left w:val="single" w:sz="2" w:space="0" w:color="auto"/>
              <w:bottom w:val="single" w:sz="2" w:space="0" w:color="auto"/>
              <w:right w:val="single" w:sz="2" w:space="0" w:color="auto"/>
            </w:tcBorders>
          </w:tcPr>
          <w:p w14:paraId="5F5139F2" w14:textId="77777777" w:rsidR="00C5516F" w:rsidRPr="00CD1759" w:rsidRDefault="00C5516F" w:rsidP="0049511B">
            <w:pPr>
              <w:pStyle w:val="TABLEBULLETNEW"/>
            </w:pPr>
            <w:r>
              <w:t>Business Strategy Document</w:t>
            </w:r>
          </w:p>
          <w:p w14:paraId="4A28EC74" w14:textId="77777777" w:rsidR="00C5516F" w:rsidRPr="00CD1759" w:rsidRDefault="00C5516F" w:rsidP="0049511B">
            <w:pPr>
              <w:pStyle w:val="TABLEBULLETNEW"/>
            </w:pPr>
            <w:r>
              <w:t>MSOW</w:t>
            </w:r>
          </w:p>
          <w:p w14:paraId="1F03FB6E" w14:textId="77777777" w:rsidR="00C5516F" w:rsidRPr="00CD1759" w:rsidRDefault="00C5516F" w:rsidP="0049511B">
            <w:pPr>
              <w:pStyle w:val="TABLEBULLETNEW"/>
            </w:pPr>
            <w:r>
              <w:t>ISOW</w:t>
            </w:r>
          </w:p>
        </w:tc>
        <w:tc>
          <w:tcPr>
            <w:tcW w:w="1800" w:type="dxa"/>
            <w:tcBorders>
              <w:top w:val="single" w:sz="2" w:space="0" w:color="auto"/>
              <w:left w:val="single" w:sz="2" w:space="0" w:color="auto"/>
              <w:bottom w:val="single" w:sz="2" w:space="0" w:color="auto"/>
              <w:right w:val="single" w:sz="2" w:space="0" w:color="auto"/>
            </w:tcBorders>
          </w:tcPr>
          <w:p w14:paraId="59F296EB" w14:textId="7200D5EB" w:rsidR="00C5516F" w:rsidRPr="00CD1759" w:rsidRDefault="00C5516F" w:rsidP="0049511B">
            <w:pPr>
              <w:pStyle w:val="TABLEBULLETNEW"/>
            </w:pPr>
            <w:r>
              <w:t>Approved High-level scope, goals, and objectives for the Wave</w:t>
            </w:r>
          </w:p>
        </w:tc>
      </w:tr>
      <w:tr w:rsidR="00C5516F" w:rsidRPr="00A21682" w14:paraId="101EBB86"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41215276" w14:textId="77777777" w:rsidR="00C5516F" w:rsidRPr="00A21682" w:rsidRDefault="00C5516F" w:rsidP="0049511B">
            <w:pPr>
              <w:pStyle w:val="TABLETEXT1"/>
              <w:rPr>
                <w:u w:color="000000"/>
                <w:lang w:val="en-US"/>
              </w:rPr>
            </w:pPr>
            <w:r>
              <w:rPr>
                <w:u w:color="000000"/>
                <w:lang w:val="en-US"/>
              </w:rPr>
              <w:t>0.2</w:t>
            </w:r>
          </w:p>
        </w:tc>
        <w:tc>
          <w:tcPr>
            <w:tcW w:w="1469" w:type="dxa"/>
            <w:tcBorders>
              <w:top w:val="single" w:sz="2" w:space="0" w:color="auto"/>
              <w:left w:val="single" w:sz="2" w:space="0" w:color="auto"/>
              <w:bottom w:val="single" w:sz="2" w:space="0" w:color="auto"/>
              <w:right w:val="single" w:sz="2" w:space="0" w:color="auto"/>
            </w:tcBorders>
          </w:tcPr>
          <w:p w14:paraId="36654BF7" w14:textId="386FE937" w:rsidR="00C5516F" w:rsidRPr="00A21682" w:rsidRDefault="00C5516F" w:rsidP="0049511B">
            <w:pPr>
              <w:pStyle w:val="TABLETEXT1"/>
              <w:rPr>
                <w:u w:color="000000"/>
                <w:lang w:val="en-US"/>
              </w:rPr>
            </w:pPr>
            <w:r>
              <w:rPr>
                <w:u w:color="000000"/>
                <w:lang w:val="en-US"/>
              </w:rPr>
              <w:t>Review project and functionality scope for the Wave</w:t>
            </w:r>
          </w:p>
        </w:tc>
        <w:tc>
          <w:tcPr>
            <w:tcW w:w="1980" w:type="dxa"/>
            <w:tcBorders>
              <w:top w:val="single" w:sz="2" w:space="0" w:color="auto"/>
              <w:left w:val="single" w:sz="2" w:space="0" w:color="auto"/>
              <w:bottom w:val="single" w:sz="2" w:space="0" w:color="auto"/>
              <w:right w:val="single" w:sz="2" w:space="0" w:color="auto"/>
            </w:tcBorders>
          </w:tcPr>
          <w:p w14:paraId="67200710" w14:textId="3852B939" w:rsidR="00C5516F" w:rsidRPr="004A2456" w:rsidRDefault="00C5516F" w:rsidP="0049511B">
            <w:pPr>
              <w:pStyle w:val="TABLETEXT1"/>
              <w:rPr>
                <w:u w:color="000000"/>
                <w:lang w:val="en-US"/>
              </w:rPr>
            </w:pPr>
            <w:r>
              <w:rPr>
                <w:u w:color="000000"/>
                <w:lang w:val="en-US"/>
              </w:rPr>
              <w:t>The scope of the project and functional capabilities are defined and outlined for the Wave.</w:t>
            </w:r>
          </w:p>
        </w:tc>
        <w:tc>
          <w:tcPr>
            <w:tcW w:w="1705" w:type="dxa"/>
            <w:tcBorders>
              <w:top w:val="single" w:sz="2" w:space="0" w:color="auto"/>
              <w:left w:val="single" w:sz="2" w:space="0" w:color="auto"/>
              <w:bottom w:val="single" w:sz="2" w:space="0" w:color="auto"/>
              <w:right w:val="single" w:sz="2" w:space="0" w:color="auto"/>
            </w:tcBorders>
          </w:tcPr>
          <w:p w14:paraId="52BBE3D4" w14:textId="77777777" w:rsidR="00C5516F" w:rsidRPr="00CD1759" w:rsidRDefault="00C5516F" w:rsidP="0049511B">
            <w:pPr>
              <w:pStyle w:val="TABLEBULLETNEW"/>
            </w:pPr>
            <w:r>
              <w:t>Executive Stakeholders</w:t>
            </w:r>
          </w:p>
          <w:p w14:paraId="0D200EE4" w14:textId="77777777" w:rsidR="00C5516F" w:rsidRPr="00CD1759" w:rsidRDefault="00C5516F" w:rsidP="0049511B">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21E7F043" w14:textId="4DCF0EA7" w:rsidR="00C5516F" w:rsidRPr="00CD1759" w:rsidRDefault="00C5516F" w:rsidP="0049511B">
            <w:pPr>
              <w:pStyle w:val="TABLEBULLETNEW"/>
            </w:pPr>
            <w:r>
              <w:t>Approved high-level scope, goals, and objectives for the Wave</w:t>
            </w:r>
          </w:p>
          <w:p w14:paraId="3DA89E05" w14:textId="251B89F7" w:rsidR="00C5516F" w:rsidRPr="00CD1759" w:rsidRDefault="00C5516F" w:rsidP="0049511B">
            <w:pPr>
              <w:pStyle w:val="TABLEBULLETNEW"/>
            </w:pPr>
            <w:r>
              <w:t>Requirements</w:t>
            </w:r>
          </w:p>
        </w:tc>
        <w:tc>
          <w:tcPr>
            <w:tcW w:w="1800" w:type="dxa"/>
            <w:tcBorders>
              <w:top w:val="single" w:sz="2" w:space="0" w:color="auto"/>
              <w:left w:val="single" w:sz="2" w:space="0" w:color="auto"/>
              <w:bottom w:val="single" w:sz="2" w:space="0" w:color="auto"/>
              <w:right w:val="single" w:sz="2" w:space="0" w:color="auto"/>
            </w:tcBorders>
          </w:tcPr>
          <w:p w14:paraId="08C3062E" w14:textId="710460E7" w:rsidR="00C5516F" w:rsidRPr="00CD1759" w:rsidRDefault="00C5516F" w:rsidP="0049511B">
            <w:pPr>
              <w:pStyle w:val="TABLEBULLETNEW"/>
            </w:pPr>
            <w:r>
              <w:t>Approved project and functionality scope for the Wave</w:t>
            </w:r>
          </w:p>
          <w:p w14:paraId="3CD0B674" w14:textId="77777777" w:rsidR="00C5516F" w:rsidRPr="00CD1759" w:rsidRDefault="00C5516F" w:rsidP="0049511B">
            <w:pPr>
              <w:pStyle w:val="TABLEBULLETNEW"/>
            </w:pPr>
            <w:r>
              <w:t>Initial functional impacts</w:t>
            </w:r>
          </w:p>
          <w:p w14:paraId="2DF44C45" w14:textId="77777777" w:rsidR="00C5516F" w:rsidRPr="00CD1759" w:rsidRDefault="00C5516F" w:rsidP="0049511B">
            <w:pPr>
              <w:pStyle w:val="TABLEBULLETNEW"/>
            </w:pPr>
            <w:r>
              <w:t>Initial technical impacts</w:t>
            </w:r>
          </w:p>
        </w:tc>
      </w:tr>
      <w:tr w:rsidR="00C5516F" w:rsidRPr="00A21682" w14:paraId="603D08D3"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060CCFF6" w14:textId="77777777" w:rsidR="00C5516F" w:rsidRPr="00A21682" w:rsidRDefault="00C5516F" w:rsidP="0049511B">
            <w:pPr>
              <w:pStyle w:val="TABLETEXT1"/>
              <w:rPr>
                <w:u w:color="000000"/>
                <w:lang w:val="en-US"/>
              </w:rPr>
            </w:pPr>
            <w:r>
              <w:rPr>
                <w:u w:color="000000"/>
                <w:lang w:val="en-US"/>
              </w:rPr>
              <w:t>0.3</w:t>
            </w:r>
          </w:p>
        </w:tc>
        <w:tc>
          <w:tcPr>
            <w:tcW w:w="1469" w:type="dxa"/>
            <w:tcBorders>
              <w:top w:val="single" w:sz="2" w:space="0" w:color="auto"/>
              <w:left w:val="single" w:sz="2" w:space="0" w:color="auto"/>
              <w:bottom w:val="single" w:sz="2" w:space="0" w:color="auto"/>
              <w:right w:val="single" w:sz="2" w:space="0" w:color="auto"/>
            </w:tcBorders>
          </w:tcPr>
          <w:p w14:paraId="3492C066" w14:textId="77777777" w:rsidR="00C5516F" w:rsidRPr="00A21682" w:rsidRDefault="00C5516F" w:rsidP="0049511B">
            <w:pPr>
              <w:pStyle w:val="TABLETEXT1"/>
              <w:rPr>
                <w:u w:color="000000"/>
                <w:lang w:val="en-US"/>
              </w:rPr>
            </w:pPr>
            <w:r>
              <w:rPr>
                <w:u w:color="000000"/>
                <w:lang w:val="en-US"/>
              </w:rPr>
              <w:t xml:space="preserve">Evaluate business, functional, and </w:t>
            </w:r>
            <w:r>
              <w:rPr>
                <w:u w:color="000000"/>
                <w:lang w:val="en-US"/>
              </w:rPr>
              <w:lastRenderedPageBreak/>
              <w:t>technical impacts</w:t>
            </w:r>
          </w:p>
        </w:tc>
        <w:tc>
          <w:tcPr>
            <w:tcW w:w="1980" w:type="dxa"/>
            <w:tcBorders>
              <w:top w:val="single" w:sz="2" w:space="0" w:color="auto"/>
              <w:left w:val="single" w:sz="2" w:space="0" w:color="auto"/>
              <w:bottom w:val="single" w:sz="2" w:space="0" w:color="auto"/>
              <w:right w:val="single" w:sz="2" w:space="0" w:color="auto"/>
            </w:tcBorders>
          </w:tcPr>
          <w:p w14:paraId="7CEBCD16" w14:textId="77777777" w:rsidR="00C5516F" w:rsidRPr="004A2456" w:rsidRDefault="00C5516F" w:rsidP="0049511B">
            <w:pPr>
              <w:pStyle w:val="TABLETEXT1"/>
              <w:rPr>
                <w:u w:color="000000"/>
                <w:lang w:val="en-US"/>
              </w:rPr>
            </w:pPr>
            <w:r>
              <w:rPr>
                <w:u w:color="000000"/>
                <w:lang w:val="en-US"/>
              </w:rPr>
              <w:lastRenderedPageBreak/>
              <w:t xml:space="preserve">The overall business, functional, and technical </w:t>
            </w:r>
            <w:r>
              <w:rPr>
                <w:u w:color="000000"/>
                <w:lang w:val="en-US"/>
              </w:rPr>
              <w:lastRenderedPageBreak/>
              <w:t>impacts to achieve the objectives and scope are evaluated. This includes impacts due to change in the technical stack, BOM, cost, capacity, user base, and cybersecurity requirements.</w:t>
            </w:r>
          </w:p>
        </w:tc>
        <w:tc>
          <w:tcPr>
            <w:tcW w:w="1705" w:type="dxa"/>
            <w:tcBorders>
              <w:top w:val="single" w:sz="2" w:space="0" w:color="auto"/>
              <w:left w:val="single" w:sz="2" w:space="0" w:color="auto"/>
              <w:bottom w:val="single" w:sz="2" w:space="0" w:color="auto"/>
              <w:right w:val="single" w:sz="2" w:space="0" w:color="auto"/>
            </w:tcBorders>
          </w:tcPr>
          <w:p w14:paraId="7D27C27E" w14:textId="77777777" w:rsidR="00C5516F" w:rsidRPr="00CD1759" w:rsidRDefault="00C5516F" w:rsidP="0049511B">
            <w:pPr>
              <w:pStyle w:val="TABLEBULLETNEW"/>
            </w:pPr>
            <w:r>
              <w:lastRenderedPageBreak/>
              <w:t>Business Stakeholders</w:t>
            </w:r>
          </w:p>
          <w:p w14:paraId="795D6590" w14:textId="77777777" w:rsidR="00C5516F" w:rsidRPr="00CD1759" w:rsidRDefault="00C5516F" w:rsidP="0049511B">
            <w:pPr>
              <w:pStyle w:val="TABLEBULLETNEW"/>
            </w:pPr>
            <w:r>
              <w:lastRenderedPageBreak/>
              <w:t>Functional Stakeholders</w:t>
            </w:r>
          </w:p>
          <w:p w14:paraId="0F0E4704" w14:textId="032CE9ED" w:rsidR="00C5516F" w:rsidRPr="00CD1759" w:rsidRDefault="00C5516F" w:rsidP="0049511B">
            <w:pPr>
              <w:pStyle w:val="TABLEBULLETNEW"/>
            </w:pPr>
            <w:r>
              <w:t>Technical Stakeholders</w:t>
            </w:r>
          </w:p>
        </w:tc>
        <w:tc>
          <w:tcPr>
            <w:tcW w:w="1800" w:type="dxa"/>
            <w:tcBorders>
              <w:top w:val="single" w:sz="2" w:space="0" w:color="auto"/>
              <w:left w:val="single" w:sz="2" w:space="0" w:color="auto"/>
              <w:bottom w:val="single" w:sz="2" w:space="0" w:color="auto"/>
              <w:right w:val="single" w:sz="2" w:space="0" w:color="auto"/>
            </w:tcBorders>
          </w:tcPr>
          <w:p w14:paraId="31C7281D" w14:textId="2B6C9CED" w:rsidR="00C5516F" w:rsidRPr="00CD1759" w:rsidRDefault="00C5516F" w:rsidP="0049511B">
            <w:pPr>
              <w:pStyle w:val="TABLEBULLETNEW"/>
            </w:pPr>
            <w:r>
              <w:lastRenderedPageBreak/>
              <w:t xml:space="preserve">Approved project and functionality </w:t>
            </w:r>
            <w:r>
              <w:lastRenderedPageBreak/>
              <w:t>scope for the Wave</w:t>
            </w:r>
          </w:p>
          <w:p w14:paraId="405ABB33" w14:textId="77777777" w:rsidR="00C5516F" w:rsidRPr="00CD1759" w:rsidRDefault="00C5516F" w:rsidP="0049511B">
            <w:pPr>
              <w:pStyle w:val="TABLEBULLETNEW"/>
            </w:pPr>
            <w:r>
              <w:t>Initial business impacts</w:t>
            </w:r>
          </w:p>
          <w:p w14:paraId="73CC651F" w14:textId="77777777" w:rsidR="00C5516F" w:rsidRPr="00CD1759" w:rsidRDefault="00C5516F" w:rsidP="0049511B">
            <w:pPr>
              <w:pStyle w:val="TABLEBULLETNEW"/>
            </w:pPr>
            <w:r>
              <w:t>Initial functional impacts</w:t>
            </w:r>
          </w:p>
          <w:p w14:paraId="03504F0D" w14:textId="77777777" w:rsidR="00C5516F" w:rsidRPr="00CD1759" w:rsidRDefault="00C5516F" w:rsidP="0049511B">
            <w:pPr>
              <w:pStyle w:val="TABLEBULLETNEW"/>
            </w:pPr>
            <w:r>
              <w:t>Initial technical impacts</w:t>
            </w:r>
          </w:p>
          <w:p w14:paraId="3AF551B5" w14:textId="77777777" w:rsidR="00C5516F" w:rsidRPr="00CD1759" w:rsidRDefault="00C5516F" w:rsidP="0049511B">
            <w:pPr>
              <w:pStyle w:val="TABLEBULLETNEW"/>
            </w:pPr>
            <w:r>
              <w:t>Estimated impact to cost, capacity, user base, and cybersecurity requirements</w:t>
            </w:r>
          </w:p>
        </w:tc>
        <w:tc>
          <w:tcPr>
            <w:tcW w:w="1800" w:type="dxa"/>
            <w:tcBorders>
              <w:top w:val="single" w:sz="2" w:space="0" w:color="auto"/>
              <w:left w:val="single" w:sz="2" w:space="0" w:color="auto"/>
              <w:bottom w:val="single" w:sz="2" w:space="0" w:color="auto"/>
              <w:right w:val="single" w:sz="2" w:space="0" w:color="auto"/>
            </w:tcBorders>
          </w:tcPr>
          <w:p w14:paraId="704C5822" w14:textId="77777777" w:rsidR="00C5516F" w:rsidRPr="00CD1759" w:rsidRDefault="00C5516F" w:rsidP="0049511B">
            <w:pPr>
              <w:pStyle w:val="TABLEBULLETNEW"/>
            </w:pPr>
            <w:r>
              <w:lastRenderedPageBreak/>
              <w:t xml:space="preserve">Technical architecture </w:t>
            </w:r>
            <w:r>
              <w:lastRenderedPageBreak/>
              <w:t>diagram for Wave</w:t>
            </w:r>
          </w:p>
          <w:p w14:paraId="3BDDF6DB" w14:textId="77777777" w:rsidR="00C5516F" w:rsidRPr="00CD1759" w:rsidRDefault="00C5516F" w:rsidP="0049511B">
            <w:pPr>
              <w:pStyle w:val="TABLEBULLETNEW"/>
            </w:pPr>
            <w:r>
              <w:t>Logical architecture diagram for Wave</w:t>
            </w:r>
          </w:p>
          <w:p w14:paraId="290281DF" w14:textId="2C888A4B" w:rsidR="00C5516F" w:rsidRPr="00CD1759" w:rsidRDefault="00C5516F" w:rsidP="0049511B">
            <w:pPr>
              <w:pStyle w:val="TABLEBULLETNEW"/>
            </w:pPr>
            <w:r>
              <w:t>Physical architecture diagram for Wave</w:t>
            </w:r>
          </w:p>
        </w:tc>
      </w:tr>
      <w:tr w:rsidR="00C5516F" w:rsidRPr="00A21682" w14:paraId="3469C02A"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20886510" w14:textId="77777777" w:rsidR="00C5516F" w:rsidRPr="00A21682" w:rsidRDefault="00C5516F" w:rsidP="0049511B">
            <w:pPr>
              <w:pStyle w:val="TABLETEXT1"/>
              <w:rPr>
                <w:u w:color="000000"/>
                <w:lang w:val="en-US"/>
              </w:rPr>
            </w:pPr>
            <w:r>
              <w:rPr>
                <w:u w:color="000000"/>
                <w:lang w:val="en-US"/>
              </w:rPr>
              <w:lastRenderedPageBreak/>
              <w:t>0.4</w:t>
            </w:r>
          </w:p>
        </w:tc>
        <w:tc>
          <w:tcPr>
            <w:tcW w:w="1469" w:type="dxa"/>
            <w:tcBorders>
              <w:top w:val="single" w:sz="2" w:space="0" w:color="auto"/>
              <w:left w:val="single" w:sz="2" w:space="0" w:color="auto"/>
              <w:bottom w:val="single" w:sz="2" w:space="0" w:color="auto"/>
              <w:right w:val="single" w:sz="2" w:space="0" w:color="auto"/>
            </w:tcBorders>
          </w:tcPr>
          <w:p w14:paraId="2B99EB8F" w14:textId="12F90033" w:rsidR="00C5516F" w:rsidRPr="00A21682" w:rsidRDefault="00C5516F" w:rsidP="0049511B">
            <w:pPr>
              <w:pStyle w:val="TABLETEXT1"/>
              <w:rPr>
                <w:u w:color="000000"/>
                <w:lang w:val="en-US"/>
              </w:rPr>
            </w:pPr>
            <w:r>
              <w:rPr>
                <w:u w:color="000000"/>
                <w:lang w:val="en-US"/>
              </w:rPr>
              <w:t xml:space="preserve">Develop Initial Solution Definition (ISD) </w:t>
            </w:r>
            <w:r>
              <w:rPr>
                <w:rFonts w:cs="Times New Roman"/>
                <w:u w:color="000000"/>
                <w:lang w:val="en-US"/>
              </w:rPr>
              <w:t>(DEL-01)</w:t>
            </w:r>
          </w:p>
        </w:tc>
        <w:tc>
          <w:tcPr>
            <w:tcW w:w="1980" w:type="dxa"/>
            <w:tcBorders>
              <w:top w:val="single" w:sz="2" w:space="0" w:color="auto"/>
              <w:left w:val="single" w:sz="2" w:space="0" w:color="auto"/>
              <w:bottom w:val="single" w:sz="2" w:space="0" w:color="auto"/>
              <w:right w:val="single" w:sz="2" w:space="0" w:color="auto"/>
            </w:tcBorders>
          </w:tcPr>
          <w:p w14:paraId="4AEE9122" w14:textId="4F835260" w:rsidR="00C5516F" w:rsidRPr="004A2456" w:rsidRDefault="00C5516F" w:rsidP="0049511B">
            <w:pPr>
              <w:pStyle w:val="TABLETEXT1"/>
              <w:rPr>
                <w:u w:color="000000"/>
                <w:lang w:val="en-US"/>
              </w:rPr>
            </w:pPr>
            <w:r>
              <w:rPr>
                <w:u w:color="000000"/>
                <w:lang w:val="en-US"/>
              </w:rPr>
              <w:t>A draft ISD (DEL-01) is developed, with a key focus on functional and technical design modifications to accommodate initial requirements of DOH OHIP.</w:t>
            </w:r>
          </w:p>
        </w:tc>
        <w:tc>
          <w:tcPr>
            <w:tcW w:w="1705" w:type="dxa"/>
            <w:tcBorders>
              <w:top w:val="single" w:sz="2" w:space="0" w:color="auto"/>
              <w:left w:val="single" w:sz="2" w:space="0" w:color="auto"/>
              <w:bottom w:val="single" w:sz="2" w:space="0" w:color="auto"/>
              <w:right w:val="single" w:sz="2" w:space="0" w:color="auto"/>
            </w:tcBorders>
          </w:tcPr>
          <w:p w14:paraId="3D42AA6E" w14:textId="77777777" w:rsidR="00C5516F" w:rsidRPr="00CD1759" w:rsidRDefault="00C5516F" w:rsidP="0049511B">
            <w:pPr>
              <w:pStyle w:val="TABLEBULLETNEW"/>
            </w:pPr>
            <w:r>
              <w:t>Business Stakeholders</w:t>
            </w:r>
          </w:p>
          <w:p w14:paraId="41911913" w14:textId="77777777" w:rsidR="00C5516F" w:rsidRPr="00CD1759" w:rsidRDefault="00C5516F" w:rsidP="0049511B">
            <w:pPr>
              <w:pStyle w:val="TABLEBULLETNEW"/>
            </w:pPr>
            <w:r>
              <w:t>Functional Stakeholders</w:t>
            </w:r>
          </w:p>
          <w:p w14:paraId="767BC2F1" w14:textId="77777777" w:rsidR="00C5516F" w:rsidRPr="00CD1759" w:rsidRDefault="00C5516F" w:rsidP="0049511B">
            <w:pPr>
              <w:pStyle w:val="TABLEBULLETNEW"/>
            </w:pPr>
            <w:r>
              <w:t>Technical Stakeholders</w:t>
            </w:r>
          </w:p>
        </w:tc>
        <w:tc>
          <w:tcPr>
            <w:tcW w:w="1800" w:type="dxa"/>
            <w:tcBorders>
              <w:top w:val="single" w:sz="2" w:space="0" w:color="auto"/>
              <w:left w:val="single" w:sz="2" w:space="0" w:color="auto"/>
              <w:bottom w:val="single" w:sz="2" w:space="0" w:color="auto"/>
              <w:right w:val="single" w:sz="2" w:space="0" w:color="auto"/>
            </w:tcBorders>
          </w:tcPr>
          <w:p w14:paraId="04F29DFA" w14:textId="77777777" w:rsidR="00C5516F" w:rsidRPr="00CD1759" w:rsidRDefault="00C5516F" w:rsidP="0049511B">
            <w:pPr>
              <w:pStyle w:val="TABLEBULLETNEW"/>
            </w:pPr>
            <w:r>
              <w:t>Technical architecture diagrams for Wave</w:t>
            </w:r>
          </w:p>
          <w:p w14:paraId="6AA32E33" w14:textId="77777777" w:rsidR="00C5516F" w:rsidRPr="00CD1759" w:rsidRDefault="00C5516F" w:rsidP="0049511B">
            <w:pPr>
              <w:pStyle w:val="TABLEBULLETNEW"/>
            </w:pPr>
            <w:r>
              <w:t>Logical architecture diagram for Wave</w:t>
            </w:r>
          </w:p>
          <w:p w14:paraId="11304514" w14:textId="77777777" w:rsidR="00C5516F" w:rsidRPr="00CD1759" w:rsidRDefault="00C5516F" w:rsidP="0049511B">
            <w:pPr>
              <w:pStyle w:val="TABLEBULLETNEW"/>
            </w:pPr>
            <w:r>
              <w:t>Physical architecture diagram for Wave</w:t>
            </w:r>
          </w:p>
          <w:p w14:paraId="03D6CEFC" w14:textId="77777777" w:rsidR="00C5516F" w:rsidRPr="00CD1759" w:rsidRDefault="00C5516F" w:rsidP="0049511B">
            <w:pPr>
              <w:pStyle w:val="TABLEBULLETNEW"/>
            </w:pPr>
            <w:r>
              <w:t>Security Requirements</w:t>
            </w:r>
          </w:p>
          <w:p w14:paraId="45FB8EA7" w14:textId="0D2E369E" w:rsidR="00C5516F" w:rsidRPr="00CD1759" w:rsidRDefault="00C5516F" w:rsidP="0049511B">
            <w:pPr>
              <w:pStyle w:val="TABLEBULLETNEW"/>
            </w:pPr>
            <w:r>
              <w:t>Cost/pricing information</w:t>
            </w:r>
          </w:p>
        </w:tc>
        <w:tc>
          <w:tcPr>
            <w:tcW w:w="1800" w:type="dxa"/>
            <w:tcBorders>
              <w:top w:val="single" w:sz="2" w:space="0" w:color="auto"/>
              <w:left w:val="single" w:sz="2" w:space="0" w:color="auto"/>
              <w:bottom w:val="single" w:sz="2" w:space="0" w:color="auto"/>
              <w:right w:val="single" w:sz="2" w:space="0" w:color="auto"/>
            </w:tcBorders>
          </w:tcPr>
          <w:p w14:paraId="5E9C7CB9" w14:textId="6A046D5B" w:rsidR="00C5516F" w:rsidRPr="00CD1759" w:rsidRDefault="00C5516F" w:rsidP="0049511B">
            <w:pPr>
              <w:pStyle w:val="TABLEBULLETNEW"/>
            </w:pPr>
            <w:r>
              <w:t>Draft Initial Solution Definition (DEL-01)</w:t>
            </w:r>
          </w:p>
        </w:tc>
      </w:tr>
      <w:tr w:rsidR="00C5516F" w:rsidRPr="00A21682" w14:paraId="302327AB"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57FDE7DE" w14:textId="77777777" w:rsidR="00C5516F" w:rsidRPr="00A21682" w:rsidRDefault="00C5516F" w:rsidP="0049511B">
            <w:pPr>
              <w:pStyle w:val="TABLETEXT1"/>
              <w:rPr>
                <w:u w:color="000000"/>
                <w:lang w:val="en-US"/>
              </w:rPr>
            </w:pPr>
            <w:r>
              <w:rPr>
                <w:u w:color="000000"/>
                <w:lang w:val="en-US"/>
              </w:rPr>
              <w:t>0.5</w:t>
            </w:r>
          </w:p>
        </w:tc>
        <w:tc>
          <w:tcPr>
            <w:tcW w:w="1469" w:type="dxa"/>
            <w:tcBorders>
              <w:top w:val="single" w:sz="2" w:space="0" w:color="auto"/>
              <w:left w:val="single" w:sz="2" w:space="0" w:color="auto"/>
              <w:bottom w:val="single" w:sz="2" w:space="0" w:color="auto"/>
              <w:right w:val="single" w:sz="2" w:space="0" w:color="auto"/>
            </w:tcBorders>
          </w:tcPr>
          <w:p w14:paraId="42B51CF8" w14:textId="77777777" w:rsidR="00C5516F" w:rsidRPr="00A21682" w:rsidRDefault="00C5516F" w:rsidP="0049511B">
            <w:pPr>
              <w:pStyle w:val="TABLETEXT1"/>
              <w:rPr>
                <w:u w:color="000000"/>
                <w:lang w:val="en-US"/>
              </w:rPr>
            </w:pPr>
            <w:r>
              <w:rPr>
                <w:u w:color="000000"/>
                <w:lang w:val="en-US"/>
              </w:rPr>
              <w:t>Conduct Change Impact Assessment</w:t>
            </w:r>
          </w:p>
        </w:tc>
        <w:tc>
          <w:tcPr>
            <w:tcW w:w="1980" w:type="dxa"/>
            <w:tcBorders>
              <w:top w:val="single" w:sz="2" w:space="0" w:color="auto"/>
              <w:left w:val="single" w:sz="2" w:space="0" w:color="auto"/>
              <w:bottom w:val="single" w:sz="2" w:space="0" w:color="auto"/>
              <w:right w:val="single" w:sz="2" w:space="0" w:color="auto"/>
            </w:tcBorders>
          </w:tcPr>
          <w:p w14:paraId="39253075" w14:textId="3ABC3E76" w:rsidR="00C5516F" w:rsidRPr="004A2456" w:rsidRDefault="00C5516F" w:rsidP="0049511B">
            <w:pPr>
              <w:pStyle w:val="TABLETEXT1"/>
              <w:rPr>
                <w:u w:color="000000"/>
                <w:lang w:val="en-US"/>
              </w:rPr>
            </w:pPr>
            <w:r>
              <w:rPr>
                <w:u w:color="000000"/>
                <w:lang w:val="en-US"/>
              </w:rPr>
              <w:t>███████ develops an impact assessment to evaluate the operational impacts of the proposed scope for the Wave.</w:t>
            </w:r>
          </w:p>
        </w:tc>
        <w:tc>
          <w:tcPr>
            <w:tcW w:w="1705" w:type="dxa"/>
            <w:tcBorders>
              <w:top w:val="single" w:sz="2" w:space="0" w:color="auto"/>
              <w:left w:val="single" w:sz="2" w:space="0" w:color="auto"/>
              <w:bottom w:val="single" w:sz="2" w:space="0" w:color="auto"/>
              <w:right w:val="single" w:sz="2" w:space="0" w:color="auto"/>
            </w:tcBorders>
          </w:tcPr>
          <w:p w14:paraId="1AA887C3" w14:textId="2FC1FF58" w:rsidR="00C5516F" w:rsidRPr="00CD1759" w:rsidRDefault="00C5516F" w:rsidP="0049511B">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4E6D14B0" w14:textId="1BB8C6D6" w:rsidR="00C5516F" w:rsidRPr="00CD1759" w:rsidRDefault="00C5516F" w:rsidP="0049511B">
            <w:pPr>
              <w:pStyle w:val="TABLEBULLETNEW"/>
            </w:pPr>
            <w:r>
              <w:t>Draft Initial Solution Definition (DEL-01)</w:t>
            </w:r>
          </w:p>
          <w:p w14:paraId="49BF7D67" w14:textId="77777777" w:rsidR="00C5516F" w:rsidRPr="00CD1759" w:rsidRDefault="00C5516F" w:rsidP="0049511B">
            <w:pPr>
              <w:pStyle w:val="TABLEBULLETNEW"/>
            </w:pPr>
            <w:r>
              <w:t>Analysis of proposed modifications</w:t>
            </w:r>
          </w:p>
        </w:tc>
        <w:tc>
          <w:tcPr>
            <w:tcW w:w="1800" w:type="dxa"/>
            <w:tcBorders>
              <w:top w:val="single" w:sz="2" w:space="0" w:color="auto"/>
              <w:left w:val="single" w:sz="2" w:space="0" w:color="auto"/>
              <w:bottom w:val="single" w:sz="2" w:space="0" w:color="auto"/>
              <w:right w:val="single" w:sz="2" w:space="0" w:color="auto"/>
            </w:tcBorders>
          </w:tcPr>
          <w:p w14:paraId="523AAD9C" w14:textId="77777777" w:rsidR="00C5516F" w:rsidRPr="00CD1759" w:rsidRDefault="00C5516F" w:rsidP="0049511B">
            <w:pPr>
              <w:pStyle w:val="TABLEBULLETNEW"/>
            </w:pPr>
            <w:r>
              <w:t>Finalized Change Impact Assessment</w:t>
            </w:r>
          </w:p>
        </w:tc>
      </w:tr>
      <w:tr w:rsidR="00C5516F" w:rsidRPr="00A21682" w14:paraId="79FF7350"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4FB59779" w14:textId="77777777" w:rsidR="00C5516F" w:rsidRPr="00A21682" w:rsidRDefault="00C5516F" w:rsidP="0049511B">
            <w:pPr>
              <w:pStyle w:val="TABLETEXT1"/>
              <w:rPr>
                <w:u w:color="000000"/>
                <w:lang w:val="en-US"/>
              </w:rPr>
            </w:pPr>
            <w:r>
              <w:rPr>
                <w:u w:color="000000"/>
                <w:lang w:val="en-US"/>
              </w:rPr>
              <w:t>0.6</w:t>
            </w:r>
          </w:p>
        </w:tc>
        <w:tc>
          <w:tcPr>
            <w:tcW w:w="1469" w:type="dxa"/>
            <w:tcBorders>
              <w:top w:val="single" w:sz="2" w:space="0" w:color="auto"/>
              <w:left w:val="single" w:sz="2" w:space="0" w:color="auto"/>
              <w:bottom w:val="single" w:sz="2" w:space="0" w:color="auto"/>
              <w:right w:val="single" w:sz="2" w:space="0" w:color="auto"/>
            </w:tcBorders>
          </w:tcPr>
          <w:p w14:paraId="0480DA52" w14:textId="1DCAA7E5" w:rsidR="00C5516F" w:rsidRPr="00A21682" w:rsidDel="00E07CB4" w:rsidRDefault="00C5516F" w:rsidP="0049511B">
            <w:pPr>
              <w:pStyle w:val="TABLETEXT1"/>
              <w:rPr>
                <w:u w:color="000000"/>
                <w:lang w:val="en-US"/>
              </w:rPr>
            </w:pPr>
            <w:r>
              <w:rPr>
                <w:u w:color="000000"/>
                <w:lang w:val="en-US"/>
              </w:rPr>
              <w:t xml:space="preserve">Review ISD </w:t>
            </w:r>
            <w:r>
              <w:rPr>
                <w:rFonts w:cs="Times New Roman"/>
                <w:u w:color="000000"/>
                <w:lang w:val="en-US"/>
              </w:rPr>
              <w:t>(DEL-01)</w:t>
            </w:r>
            <w:r>
              <w:rPr>
                <w:u w:color="000000"/>
                <w:lang w:val="en-US"/>
              </w:rPr>
              <w:t xml:space="preserve"> and Change </w:t>
            </w:r>
            <w:r>
              <w:rPr>
                <w:u w:color="000000"/>
                <w:lang w:val="en-US"/>
              </w:rPr>
              <w:lastRenderedPageBreak/>
              <w:t>Impact Assessment</w:t>
            </w:r>
          </w:p>
        </w:tc>
        <w:tc>
          <w:tcPr>
            <w:tcW w:w="1980" w:type="dxa"/>
            <w:tcBorders>
              <w:top w:val="single" w:sz="2" w:space="0" w:color="auto"/>
              <w:left w:val="single" w:sz="2" w:space="0" w:color="auto"/>
              <w:bottom w:val="single" w:sz="2" w:space="0" w:color="auto"/>
              <w:right w:val="single" w:sz="2" w:space="0" w:color="auto"/>
            </w:tcBorders>
          </w:tcPr>
          <w:p w14:paraId="5E443BB4" w14:textId="5BEE6A5E" w:rsidR="00C5516F" w:rsidRPr="004A2456" w:rsidRDefault="00C5516F" w:rsidP="0049511B">
            <w:pPr>
              <w:pStyle w:val="TABLETEXT1"/>
              <w:rPr>
                <w:u w:color="000000"/>
                <w:lang w:val="en-US"/>
              </w:rPr>
            </w:pPr>
            <w:r>
              <w:rPr>
                <w:u w:color="000000"/>
                <w:lang w:val="en-US"/>
              </w:rPr>
              <w:lastRenderedPageBreak/>
              <w:t xml:space="preserve">███████ executive stakeholders review and validate the ISD (DEL-01) and </w:t>
            </w:r>
            <w:r>
              <w:rPr>
                <w:u w:color="000000"/>
                <w:lang w:val="en-US"/>
              </w:rPr>
              <w:lastRenderedPageBreak/>
              <w:t>impact assessment before submitting to DOH OHIP for review.</w:t>
            </w:r>
          </w:p>
        </w:tc>
        <w:tc>
          <w:tcPr>
            <w:tcW w:w="1705" w:type="dxa"/>
            <w:tcBorders>
              <w:top w:val="single" w:sz="2" w:space="0" w:color="auto"/>
              <w:left w:val="single" w:sz="2" w:space="0" w:color="auto"/>
              <w:bottom w:val="single" w:sz="2" w:space="0" w:color="auto"/>
              <w:right w:val="single" w:sz="2" w:space="0" w:color="auto"/>
            </w:tcBorders>
          </w:tcPr>
          <w:p w14:paraId="7AB33FE7" w14:textId="77777777" w:rsidR="00C5516F" w:rsidRPr="00CD1759" w:rsidRDefault="00C5516F" w:rsidP="0049511B">
            <w:pPr>
              <w:pStyle w:val="TABLEBULLETNEW"/>
            </w:pPr>
            <w:r>
              <w:lastRenderedPageBreak/>
              <w:t>Executive Stakeholders</w:t>
            </w:r>
          </w:p>
        </w:tc>
        <w:tc>
          <w:tcPr>
            <w:tcW w:w="1800" w:type="dxa"/>
            <w:tcBorders>
              <w:top w:val="single" w:sz="2" w:space="0" w:color="auto"/>
              <w:left w:val="single" w:sz="2" w:space="0" w:color="auto"/>
              <w:bottom w:val="single" w:sz="2" w:space="0" w:color="auto"/>
              <w:right w:val="single" w:sz="2" w:space="0" w:color="auto"/>
            </w:tcBorders>
          </w:tcPr>
          <w:p w14:paraId="49A7871D" w14:textId="4318B779" w:rsidR="00C5516F" w:rsidRPr="00CD1759" w:rsidRDefault="00C5516F" w:rsidP="0049511B">
            <w:pPr>
              <w:pStyle w:val="TABLEBULLETNEW"/>
            </w:pPr>
            <w:r>
              <w:t>Draft Initial Solution Definition (DEL-01)</w:t>
            </w:r>
          </w:p>
          <w:p w14:paraId="3AF749AA" w14:textId="77777777" w:rsidR="00C5516F" w:rsidRPr="00CD1759" w:rsidRDefault="00C5516F" w:rsidP="0049511B">
            <w:pPr>
              <w:pStyle w:val="TABLEBULLETNEW"/>
            </w:pPr>
            <w:r>
              <w:lastRenderedPageBreak/>
              <w:t>Finalized Change Impact Assessment</w:t>
            </w:r>
          </w:p>
        </w:tc>
        <w:tc>
          <w:tcPr>
            <w:tcW w:w="1800" w:type="dxa"/>
            <w:tcBorders>
              <w:top w:val="single" w:sz="2" w:space="0" w:color="auto"/>
              <w:left w:val="single" w:sz="2" w:space="0" w:color="auto"/>
              <w:bottom w:val="single" w:sz="2" w:space="0" w:color="auto"/>
              <w:right w:val="single" w:sz="2" w:space="0" w:color="auto"/>
            </w:tcBorders>
          </w:tcPr>
          <w:p w14:paraId="3BD1C857" w14:textId="65BEB938" w:rsidR="00C5516F" w:rsidRPr="00CD1759" w:rsidRDefault="00C5516F" w:rsidP="0049511B">
            <w:pPr>
              <w:pStyle w:val="TABLEBULLETNEW"/>
            </w:pPr>
            <w:r>
              <w:lastRenderedPageBreak/>
              <w:t xml:space="preserve">Reviewed and validated Initial Solution Definition </w:t>
            </w:r>
            <w:r>
              <w:lastRenderedPageBreak/>
              <w:t>(DEL-01) and Change Impact Assessment</w:t>
            </w:r>
          </w:p>
        </w:tc>
      </w:tr>
      <w:tr w:rsidR="00C5516F" w:rsidRPr="00A21682" w14:paraId="5C40C1A0"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57F7CFBA" w14:textId="77777777" w:rsidR="00C5516F" w:rsidRPr="00A21682" w:rsidRDefault="00C5516F" w:rsidP="0049511B">
            <w:pPr>
              <w:pStyle w:val="TABLETEXT1"/>
              <w:rPr>
                <w:u w:color="000000"/>
                <w:lang w:val="en-US"/>
              </w:rPr>
            </w:pPr>
            <w:r>
              <w:rPr>
                <w:u w:color="000000"/>
                <w:lang w:val="en-US"/>
              </w:rPr>
              <w:lastRenderedPageBreak/>
              <w:t>0.6a</w:t>
            </w:r>
          </w:p>
        </w:tc>
        <w:tc>
          <w:tcPr>
            <w:tcW w:w="1469" w:type="dxa"/>
            <w:tcBorders>
              <w:top w:val="single" w:sz="2" w:space="0" w:color="auto"/>
              <w:left w:val="single" w:sz="2" w:space="0" w:color="auto"/>
              <w:bottom w:val="single" w:sz="2" w:space="0" w:color="auto"/>
              <w:right w:val="single" w:sz="2" w:space="0" w:color="auto"/>
            </w:tcBorders>
          </w:tcPr>
          <w:p w14:paraId="58E90296" w14:textId="77777777" w:rsidR="00C5516F" w:rsidRPr="00A21682" w:rsidRDefault="00C5516F" w:rsidP="0049511B">
            <w:pPr>
              <w:pStyle w:val="TABLETEXT1"/>
              <w:rPr>
                <w:u w:color="000000"/>
                <w:lang w:val="en-US"/>
              </w:rPr>
            </w:pPr>
            <w:r>
              <w:rPr>
                <w:u w:color="000000"/>
                <w:lang w:val="en-US"/>
              </w:rPr>
              <w:t>Impacts require revised Wave scope, timeline, and/or budget</w:t>
            </w:r>
          </w:p>
        </w:tc>
        <w:tc>
          <w:tcPr>
            <w:tcW w:w="1980" w:type="dxa"/>
            <w:tcBorders>
              <w:top w:val="single" w:sz="2" w:space="0" w:color="auto"/>
              <w:left w:val="single" w:sz="2" w:space="0" w:color="auto"/>
              <w:bottom w:val="single" w:sz="2" w:space="0" w:color="auto"/>
              <w:right w:val="single" w:sz="2" w:space="0" w:color="auto"/>
            </w:tcBorders>
          </w:tcPr>
          <w:p w14:paraId="7E152388" w14:textId="77777777" w:rsidR="00C5516F" w:rsidRPr="004A2456" w:rsidRDefault="00C5516F" w:rsidP="0049511B">
            <w:pPr>
              <w:pStyle w:val="TABLETEXT1"/>
              <w:rPr>
                <w:u w:color="000000"/>
                <w:lang w:val="en-US"/>
              </w:rPr>
            </w:pPr>
            <w:r>
              <w:rPr>
                <w:u w:color="000000"/>
                <w:lang w:val="en-US"/>
              </w:rPr>
              <w:t>DOH OHIP and ███████ decide if impacts require a revised Wave scope, timeline, and/or budget</w:t>
            </w:r>
          </w:p>
          <w:p w14:paraId="0C011FF4" w14:textId="519D975E" w:rsidR="00C5516F" w:rsidRPr="004A2456" w:rsidRDefault="00C5516F" w:rsidP="0049511B">
            <w:pPr>
              <w:pStyle w:val="TABLEBULLETNEW"/>
            </w:pPr>
            <w:r>
              <w:t>If yes, proceed to enter the ICCP</w:t>
            </w:r>
          </w:p>
          <w:p w14:paraId="22339DBF" w14:textId="4E57B96D" w:rsidR="00C5516F" w:rsidRPr="004A2456" w:rsidRDefault="00C5516F" w:rsidP="0049511B">
            <w:pPr>
              <w:pStyle w:val="TABLEBULLETNEW"/>
            </w:pPr>
            <w:r>
              <w:t xml:space="preserve">If no, proceed to </w:t>
            </w:r>
            <w:r>
              <w:rPr>
                <w:i/>
              </w:rPr>
              <w:t>Step #0.7 Finalize and approve ISD (DEL-01)</w:t>
            </w:r>
          </w:p>
        </w:tc>
        <w:tc>
          <w:tcPr>
            <w:tcW w:w="1705" w:type="dxa"/>
            <w:tcBorders>
              <w:top w:val="single" w:sz="2" w:space="0" w:color="auto"/>
              <w:left w:val="single" w:sz="2" w:space="0" w:color="auto"/>
              <w:bottom w:val="single" w:sz="2" w:space="0" w:color="auto"/>
              <w:right w:val="single" w:sz="2" w:space="0" w:color="auto"/>
            </w:tcBorders>
          </w:tcPr>
          <w:p w14:paraId="31377484" w14:textId="77777777" w:rsidR="00C5516F" w:rsidRPr="00CD1759" w:rsidRDefault="00C5516F" w:rsidP="0049511B">
            <w:pPr>
              <w:pStyle w:val="TABLEBULLETNEW"/>
            </w:pPr>
            <w:r>
              <w:t>Executive Stakeholders</w:t>
            </w:r>
          </w:p>
        </w:tc>
        <w:tc>
          <w:tcPr>
            <w:tcW w:w="1800" w:type="dxa"/>
            <w:tcBorders>
              <w:top w:val="single" w:sz="2" w:space="0" w:color="auto"/>
              <w:left w:val="single" w:sz="2" w:space="0" w:color="auto"/>
              <w:bottom w:val="single" w:sz="2" w:space="0" w:color="auto"/>
              <w:right w:val="single" w:sz="2" w:space="0" w:color="auto"/>
            </w:tcBorders>
          </w:tcPr>
          <w:p w14:paraId="377DB469" w14:textId="77777777" w:rsidR="00C5516F" w:rsidRPr="00CD1759" w:rsidRDefault="00C5516F" w:rsidP="0049511B">
            <w:pPr>
              <w:pStyle w:val="TABLEBULLETNEW"/>
            </w:pPr>
            <w:r>
              <w:t>N/A</w:t>
            </w:r>
          </w:p>
        </w:tc>
        <w:tc>
          <w:tcPr>
            <w:tcW w:w="1800" w:type="dxa"/>
            <w:tcBorders>
              <w:top w:val="single" w:sz="2" w:space="0" w:color="auto"/>
              <w:left w:val="single" w:sz="2" w:space="0" w:color="auto"/>
              <w:bottom w:val="single" w:sz="2" w:space="0" w:color="auto"/>
              <w:right w:val="single" w:sz="2" w:space="0" w:color="auto"/>
            </w:tcBorders>
          </w:tcPr>
          <w:p w14:paraId="6C7EEC6B" w14:textId="77777777" w:rsidR="00C5516F" w:rsidRPr="00CD1759" w:rsidRDefault="00C5516F" w:rsidP="0049511B">
            <w:pPr>
              <w:pStyle w:val="TABLEBULLETNEW"/>
            </w:pPr>
            <w:r>
              <w:t>N/A</w:t>
            </w:r>
          </w:p>
        </w:tc>
      </w:tr>
      <w:tr w:rsidR="00C5516F" w:rsidRPr="00A21682" w14:paraId="54081FAC" w14:textId="77777777" w:rsidTr="001C5C85">
        <w:trPr>
          <w:trHeight w:val="300"/>
        </w:trPr>
        <w:tc>
          <w:tcPr>
            <w:tcW w:w="598" w:type="dxa"/>
            <w:tcBorders>
              <w:top w:val="single" w:sz="2" w:space="0" w:color="auto"/>
              <w:left w:val="single" w:sz="2" w:space="0" w:color="auto"/>
              <w:bottom w:val="single" w:sz="2" w:space="0" w:color="auto"/>
              <w:right w:val="single" w:sz="2" w:space="0" w:color="auto"/>
            </w:tcBorders>
          </w:tcPr>
          <w:p w14:paraId="3B510199" w14:textId="77777777" w:rsidR="00C5516F" w:rsidRPr="00A21682" w:rsidRDefault="00C5516F" w:rsidP="0049511B">
            <w:pPr>
              <w:pStyle w:val="TABLETEXT1"/>
              <w:rPr>
                <w:u w:color="000000"/>
                <w:lang w:val="en-US"/>
              </w:rPr>
            </w:pPr>
            <w:r>
              <w:rPr>
                <w:u w:color="000000"/>
                <w:lang w:val="en-US"/>
              </w:rPr>
              <w:t>0.7</w:t>
            </w:r>
          </w:p>
        </w:tc>
        <w:tc>
          <w:tcPr>
            <w:tcW w:w="1469" w:type="dxa"/>
            <w:tcBorders>
              <w:top w:val="single" w:sz="2" w:space="0" w:color="auto"/>
              <w:left w:val="single" w:sz="2" w:space="0" w:color="auto"/>
              <w:bottom w:val="single" w:sz="2" w:space="0" w:color="auto"/>
              <w:right w:val="single" w:sz="2" w:space="0" w:color="auto"/>
            </w:tcBorders>
          </w:tcPr>
          <w:p w14:paraId="2DB728B2" w14:textId="7D48C363" w:rsidR="00C5516F" w:rsidRPr="00A21682" w:rsidRDefault="00C5516F" w:rsidP="0049511B">
            <w:pPr>
              <w:pStyle w:val="TABLETEXT1"/>
              <w:rPr>
                <w:u w:color="000000"/>
                <w:lang w:val="en-US"/>
              </w:rPr>
            </w:pPr>
            <w:r>
              <w:rPr>
                <w:u w:color="000000"/>
                <w:lang w:val="en-US"/>
              </w:rPr>
              <w:t xml:space="preserve">Finalize and approve ISD </w:t>
            </w:r>
            <w:r>
              <w:rPr>
                <w:rFonts w:cs="Times New Roman"/>
                <w:u w:color="000000"/>
                <w:lang w:val="en-US"/>
              </w:rPr>
              <w:t>(DEL-01)</w:t>
            </w:r>
          </w:p>
        </w:tc>
        <w:tc>
          <w:tcPr>
            <w:tcW w:w="1980" w:type="dxa"/>
            <w:tcBorders>
              <w:top w:val="single" w:sz="2" w:space="0" w:color="auto"/>
              <w:left w:val="single" w:sz="2" w:space="0" w:color="auto"/>
              <w:bottom w:val="single" w:sz="2" w:space="0" w:color="auto"/>
              <w:right w:val="single" w:sz="2" w:space="0" w:color="auto"/>
            </w:tcBorders>
          </w:tcPr>
          <w:p w14:paraId="66A0ED88" w14:textId="7A33823F" w:rsidR="00C5516F" w:rsidRPr="004A2456" w:rsidRDefault="00C5516F" w:rsidP="0049511B">
            <w:pPr>
              <w:pStyle w:val="TABLETEXT1"/>
              <w:rPr>
                <w:u w:color="000000"/>
                <w:lang w:val="en-US"/>
              </w:rPr>
            </w:pPr>
            <w:r>
              <w:rPr>
                <w:u w:color="000000"/>
                <w:lang w:val="en-US"/>
              </w:rPr>
              <w:t>███████ will finalize the ISD (DEL-01) and submit to DOH OHIP in accordance with the Deliverable Management Plan.</w:t>
            </w:r>
          </w:p>
          <w:p w14:paraId="46C57570" w14:textId="5DA6137B" w:rsidR="00C5516F" w:rsidRPr="004A2456" w:rsidRDefault="00C5516F" w:rsidP="0049511B">
            <w:pPr>
              <w:pStyle w:val="TABLETEXT1"/>
              <w:rPr>
                <w:u w:color="000000"/>
                <w:lang w:val="en-US"/>
              </w:rPr>
            </w:pPr>
            <w:r>
              <w:rPr>
                <w:highlight w:val="black"/>
                <w:u w:color="000000"/>
                <w:lang w:val="en-US"/>
              </w:rPr>
              <w:t>Deloitte</w:t>
            </w:r>
            <w:r>
              <w:rPr>
                <w:u w:color="000000"/>
                <w:lang w:val="en-US"/>
              </w:rPr>
              <w:t xml:space="preserve"> will finalize quotes from product vendors and submit to DOH OHIP for license procurement approval to purchase license(s).</w:t>
            </w:r>
          </w:p>
        </w:tc>
        <w:tc>
          <w:tcPr>
            <w:tcW w:w="1705" w:type="dxa"/>
            <w:tcBorders>
              <w:top w:val="single" w:sz="2" w:space="0" w:color="auto"/>
              <w:left w:val="single" w:sz="2" w:space="0" w:color="auto"/>
              <w:bottom w:val="single" w:sz="2" w:space="0" w:color="auto"/>
              <w:right w:val="single" w:sz="2" w:space="0" w:color="auto"/>
            </w:tcBorders>
          </w:tcPr>
          <w:p w14:paraId="20372D45" w14:textId="77777777" w:rsidR="00C5516F" w:rsidRPr="00CD1759" w:rsidRDefault="00C5516F" w:rsidP="0049511B">
            <w:pPr>
              <w:pStyle w:val="TABLEBULLETNEW"/>
            </w:pPr>
            <w:r>
              <w:t>Executive Stakeholders</w:t>
            </w:r>
          </w:p>
        </w:tc>
        <w:tc>
          <w:tcPr>
            <w:tcW w:w="1800" w:type="dxa"/>
            <w:tcBorders>
              <w:top w:val="single" w:sz="2" w:space="0" w:color="auto"/>
              <w:left w:val="single" w:sz="2" w:space="0" w:color="auto"/>
              <w:bottom w:val="single" w:sz="2" w:space="0" w:color="auto"/>
              <w:right w:val="single" w:sz="2" w:space="0" w:color="auto"/>
            </w:tcBorders>
          </w:tcPr>
          <w:p w14:paraId="7FD072E6" w14:textId="54C43B4B" w:rsidR="00C5516F" w:rsidRPr="00CD1759" w:rsidRDefault="00092C67" w:rsidP="0049511B">
            <w:pPr>
              <w:pStyle w:val="TABLEBULLETNEW"/>
            </w:pPr>
            <w:r>
              <w:t>Initial Solution Definition (DEL-01) with suggested modifications based on Change Impact Assessment and Executive Stakeholder review</w:t>
            </w:r>
          </w:p>
        </w:tc>
        <w:tc>
          <w:tcPr>
            <w:tcW w:w="1800" w:type="dxa"/>
            <w:tcBorders>
              <w:top w:val="single" w:sz="2" w:space="0" w:color="auto"/>
              <w:left w:val="single" w:sz="2" w:space="0" w:color="auto"/>
              <w:bottom w:val="single" w:sz="2" w:space="0" w:color="auto"/>
              <w:right w:val="single" w:sz="2" w:space="0" w:color="auto"/>
            </w:tcBorders>
          </w:tcPr>
          <w:p w14:paraId="7AD4E2A7" w14:textId="7F508E9B" w:rsidR="00C5516F" w:rsidRPr="00CD1759" w:rsidRDefault="00C5516F" w:rsidP="0049511B">
            <w:pPr>
              <w:pStyle w:val="TABLEBULLETNEW"/>
            </w:pPr>
            <w:r>
              <w:t>Finalized Initial Solution Definition (DEL-01)</w:t>
            </w:r>
          </w:p>
        </w:tc>
      </w:tr>
    </w:tbl>
    <w:p w14:paraId="56B3DED4" w14:textId="637D8F2D" w:rsidR="00C5516F" w:rsidRPr="00A21682" w:rsidRDefault="00C5516F" w:rsidP="00757855">
      <w:pPr>
        <w:pStyle w:val="Caption"/>
        <w:rPr>
          <w:noProof w:val="0"/>
        </w:rPr>
      </w:pPr>
      <w:bookmarkStart w:id="198" w:name="_Toc150951863"/>
      <w:bookmarkStart w:id="199" w:name="_Toc19287509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r>
        <w:rPr>
          <w:noProof w:val="0"/>
        </w:rPr>
        <w:t>: Project Wave Planning Phase Process Flow Narrative</w:t>
      </w:r>
      <w:bookmarkEnd w:id="198"/>
      <w:bookmarkEnd w:id="199"/>
    </w:p>
    <w:p w14:paraId="4D784095" w14:textId="77777777" w:rsidR="00C5516F" w:rsidRPr="00A21682" w:rsidRDefault="00C5516F" w:rsidP="00757855">
      <w:pPr>
        <w:pStyle w:val="Heading3"/>
        <w:rPr>
          <w:bCs/>
        </w:rPr>
      </w:pPr>
      <w:bookmarkStart w:id="200" w:name="_Toc147825252"/>
      <w:bookmarkStart w:id="201" w:name="_Toc147825417"/>
      <w:bookmarkStart w:id="202" w:name="_Toc148102306"/>
      <w:bookmarkStart w:id="203" w:name="_Toc148098408"/>
      <w:bookmarkStart w:id="204" w:name="_Toc149051780"/>
      <w:bookmarkStart w:id="205" w:name="_Toc152605601"/>
      <w:bookmarkStart w:id="206" w:name="_Toc152605790"/>
      <w:bookmarkStart w:id="207" w:name="_Toc148102307"/>
      <w:bookmarkStart w:id="208" w:name="_Toc152605791"/>
      <w:bookmarkStart w:id="209" w:name="_Toc177118935"/>
      <w:bookmarkStart w:id="210" w:name="_Toc185952490"/>
      <w:bookmarkStart w:id="211" w:name="_Toc192874664"/>
      <w:bookmarkEnd w:id="200"/>
      <w:bookmarkEnd w:id="201"/>
      <w:bookmarkEnd w:id="202"/>
      <w:bookmarkEnd w:id="203"/>
      <w:bookmarkEnd w:id="204"/>
      <w:bookmarkEnd w:id="205"/>
      <w:bookmarkEnd w:id="206"/>
      <w:r>
        <w:t>Roles and Responsibilities</w:t>
      </w:r>
      <w:bookmarkEnd w:id="207"/>
      <w:bookmarkEnd w:id="208"/>
      <w:bookmarkEnd w:id="209"/>
      <w:bookmarkEnd w:id="210"/>
      <w:bookmarkEnd w:id="211"/>
    </w:p>
    <w:p w14:paraId="0CCFB80F" w14:textId="779555BE" w:rsidR="00C5516F" w:rsidRPr="00A21682" w:rsidRDefault="00C5516F" w:rsidP="00757855">
      <w:pPr>
        <w:pStyle w:val="NormalNEW"/>
        <w:rPr>
          <w:u w:color="000000"/>
          <w:lang w:val="en-US"/>
        </w:rPr>
      </w:pPr>
      <w:r>
        <w:rPr>
          <w:u w:color="000000"/>
          <w:lang w:val="en-US"/>
        </w:rPr>
        <w:t xml:space="preserve">The SDLC RACI Matrix and roles and responsibilities can be found in Appendix C-1. </w:t>
      </w:r>
    </w:p>
    <w:p w14:paraId="5A48AE75" w14:textId="4CDBAEAC" w:rsidR="00C5516F" w:rsidRPr="00A21682" w:rsidRDefault="00C5516F" w:rsidP="00757855">
      <w:pPr>
        <w:pStyle w:val="Heading3"/>
        <w:rPr>
          <w:rFonts w:eastAsia="Times New Roman"/>
        </w:rPr>
      </w:pPr>
      <w:bookmarkStart w:id="212" w:name="_Toc148102308"/>
      <w:bookmarkStart w:id="213" w:name="_Toc152605792"/>
      <w:bookmarkStart w:id="214" w:name="_Toc177118936"/>
      <w:bookmarkStart w:id="215" w:name="_Toc185952491"/>
      <w:bookmarkStart w:id="216" w:name="_Toc192874665"/>
      <w:r>
        <w:t>Phase Exit Criteria</w:t>
      </w:r>
      <w:bookmarkEnd w:id="212"/>
      <w:bookmarkEnd w:id="213"/>
      <w:bookmarkEnd w:id="214"/>
      <w:bookmarkEnd w:id="215"/>
      <w:bookmarkEnd w:id="216"/>
    </w:p>
    <w:p w14:paraId="56ABE8D4" w14:textId="69C16EB3" w:rsidR="00C5516F" w:rsidRPr="00A21682" w:rsidRDefault="00C5516F" w:rsidP="00757855">
      <w:pPr>
        <w:pStyle w:val="NormalNEW"/>
        <w:rPr>
          <w:lang w:val="en-US"/>
        </w:rPr>
      </w:pPr>
      <w:r>
        <w:rPr>
          <w:lang w:val="en-US"/>
        </w:rPr>
        <w:t>Key stakeholders from ███████ and DOH OHIP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106"/>
        <w:gridCol w:w="4757"/>
      </w:tblGrid>
      <w:tr w:rsidR="00C5516F" w:rsidRPr="00A21682" w14:paraId="0F9BFCEC" w14:textId="77777777" w:rsidTr="00142AE0">
        <w:trPr>
          <w:trHeight w:val="300"/>
          <w:tblHeader/>
        </w:trPr>
        <w:tc>
          <w:tcPr>
            <w:tcW w:w="481" w:type="dxa"/>
            <w:tcBorders>
              <w:right w:val="single" w:sz="2" w:space="0" w:color="FFFFFF" w:themeColor="background1"/>
            </w:tcBorders>
            <w:shd w:val="clear" w:color="auto" w:fill="000000"/>
            <w:hideMark/>
          </w:tcPr>
          <w:p w14:paraId="293AAFAE" w14:textId="77777777" w:rsidR="00C5516F" w:rsidRPr="00A21682" w:rsidRDefault="00C5516F" w:rsidP="00757855">
            <w:pPr>
              <w:pStyle w:val="TABLEHEADINGNEW"/>
              <w:rPr>
                <w:rFonts w:ascii="Segoe UI" w:hAnsi="Segoe UI" w:cs="Segoe UI"/>
                <w:color w:val="000000"/>
                <w:szCs w:val="18"/>
                <w:u w:color="000000"/>
              </w:rPr>
            </w:pPr>
            <w:r>
              <w:rPr>
                <w:u w:color="000000"/>
              </w:rPr>
              <w:lastRenderedPageBreak/>
              <w:t>#</w:t>
            </w:r>
          </w:p>
        </w:tc>
        <w:tc>
          <w:tcPr>
            <w:tcW w:w="4106" w:type="dxa"/>
            <w:tcBorders>
              <w:left w:val="single" w:sz="2" w:space="0" w:color="FFFFFF" w:themeColor="background1"/>
              <w:right w:val="single" w:sz="2" w:space="0" w:color="FFFFFF" w:themeColor="background1"/>
            </w:tcBorders>
            <w:shd w:val="clear" w:color="auto" w:fill="000000"/>
            <w:hideMark/>
          </w:tcPr>
          <w:p w14:paraId="4B727483" w14:textId="77777777" w:rsidR="00C5516F" w:rsidRPr="00A21682" w:rsidRDefault="00C5516F" w:rsidP="00757855">
            <w:pPr>
              <w:pStyle w:val="TABLEHEADINGNEW"/>
              <w:rPr>
                <w:rFonts w:ascii="Segoe UI" w:hAnsi="Segoe UI" w:cs="Segoe UI"/>
                <w:color w:val="000000"/>
                <w:szCs w:val="18"/>
                <w:u w:color="000000"/>
              </w:rPr>
            </w:pPr>
            <w:r>
              <w:rPr>
                <w:u w:color="000000"/>
              </w:rPr>
              <w:t>Exit Criteria</w:t>
            </w:r>
          </w:p>
        </w:tc>
        <w:tc>
          <w:tcPr>
            <w:tcW w:w="4757" w:type="dxa"/>
            <w:tcBorders>
              <w:left w:val="single" w:sz="2" w:space="0" w:color="FFFFFF" w:themeColor="background1"/>
            </w:tcBorders>
            <w:shd w:val="clear" w:color="auto" w:fill="000000"/>
            <w:hideMark/>
          </w:tcPr>
          <w:p w14:paraId="00EC9851" w14:textId="77777777" w:rsidR="00C5516F" w:rsidRPr="00A21682" w:rsidRDefault="00C5516F" w:rsidP="00757855">
            <w:pPr>
              <w:pStyle w:val="TABLEHEADINGNEW"/>
              <w:rPr>
                <w:rFonts w:cs="Arial"/>
                <w:u w:color="000000"/>
              </w:rPr>
            </w:pPr>
            <w:r>
              <w:rPr>
                <w:u w:color="000000"/>
              </w:rPr>
              <w:t>Related Document(s)/Artifact(s)</w:t>
            </w:r>
          </w:p>
        </w:tc>
      </w:tr>
      <w:tr w:rsidR="00C5516F" w:rsidRPr="00A21682" w14:paraId="7585384A" w14:textId="77777777" w:rsidTr="00142AE0">
        <w:trPr>
          <w:trHeight w:val="300"/>
        </w:trPr>
        <w:tc>
          <w:tcPr>
            <w:tcW w:w="481" w:type="dxa"/>
            <w:hideMark/>
          </w:tcPr>
          <w:p w14:paraId="6E42A4A0" w14:textId="77777777" w:rsidR="00C5516F" w:rsidRPr="00A21682" w:rsidRDefault="00C5516F" w:rsidP="00757855">
            <w:pPr>
              <w:pStyle w:val="TABLETEXT1"/>
              <w:rPr>
                <w:rFonts w:ascii="Calibri" w:hAnsi="Calibri" w:cs="Calibri"/>
                <w:u w:color="000000"/>
                <w:lang w:val="en-US"/>
              </w:rPr>
            </w:pPr>
            <w:r>
              <w:rPr>
                <w:u w:color="000000"/>
                <w:lang w:val="en-US"/>
              </w:rPr>
              <w:t>1</w:t>
            </w:r>
          </w:p>
        </w:tc>
        <w:tc>
          <w:tcPr>
            <w:tcW w:w="4106" w:type="dxa"/>
            <w:hideMark/>
          </w:tcPr>
          <w:p w14:paraId="0DB290FE" w14:textId="77777777" w:rsidR="00C5516F" w:rsidRPr="00A21682" w:rsidRDefault="00C5516F" w:rsidP="00757855">
            <w:pPr>
              <w:pStyle w:val="TABLETEXT1"/>
              <w:rPr>
                <w:u w:color="000000"/>
                <w:lang w:val="en-US"/>
              </w:rPr>
            </w:pPr>
            <w:r>
              <w:rPr>
                <w:u w:color="000000"/>
                <w:lang w:val="en-US"/>
              </w:rPr>
              <w:t>Business, technical, and functional impacts of Wave planning are evaluated</w:t>
            </w:r>
          </w:p>
        </w:tc>
        <w:tc>
          <w:tcPr>
            <w:tcW w:w="4757" w:type="dxa"/>
            <w:hideMark/>
          </w:tcPr>
          <w:p w14:paraId="167109B6" w14:textId="77777777" w:rsidR="00C5516F" w:rsidRPr="00635C9B" w:rsidRDefault="00C5516F" w:rsidP="005968D7">
            <w:pPr>
              <w:pStyle w:val="TABLEBULLETNEW"/>
            </w:pPr>
            <w:r>
              <w:t>Technical architecture diagrams for Wave</w:t>
            </w:r>
          </w:p>
          <w:p w14:paraId="098E4FC1" w14:textId="77777777" w:rsidR="00C5516F" w:rsidRPr="00635C9B" w:rsidRDefault="00C5516F" w:rsidP="005968D7">
            <w:pPr>
              <w:pStyle w:val="TABLEBULLETNEW"/>
            </w:pPr>
            <w:r>
              <w:t>Logical architecture diagram for Wave</w:t>
            </w:r>
          </w:p>
          <w:p w14:paraId="33966147" w14:textId="77777777" w:rsidR="00C5516F" w:rsidRPr="00635C9B" w:rsidRDefault="00C5516F" w:rsidP="005968D7">
            <w:pPr>
              <w:pStyle w:val="TABLEBULLETNEW"/>
            </w:pPr>
            <w:r>
              <w:t>Physical architecture diagram for Wave</w:t>
            </w:r>
          </w:p>
          <w:p w14:paraId="2B1EA32E" w14:textId="77777777" w:rsidR="00C5516F" w:rsidRPr="00635C9B" w:rsidRDefault="00C5516F" w:rsidP="005968D7">
            <w:pPr>
              <w:pStyle w:val="TABLEBULLETNEW"/>
            </w:pPr>
            <w:r>
              <w:t>Security Requirements</w:t>
            </w:r>
          </w:p>
          <w:p w14:paraId="5166F300" w14:textId="77777777" w:rsidR="00C5516F" w:rsidRPr="00635C9B" w:rsidRDefault="00C5516F" w:rsidP="005968D7">
            <w:pPr>
              <w:pStyle w:val="TABLEBULLETNEW"/>
            </w:pPr>
            <w:r>
              <w:t>Change Impact Assessment</w:t>
            </w:r>
          </w:p>
        </w:tc>
      </w:tr>
      <w:tr w:rsidR="00C5516F" w:rsidRPr="00A21682" w14:paraId="59885BC3" w14:textId="77777777" w:rsidTr="00142AE0">
        <w:trPr>
          <w:trHeight w:val="300"/>
        </w:trPr>
        <w:tc>
          <w:tcPr>
            <w:tcW w:w="481" w:type="dxa"/>
            <w:hideMark/>
          </w:tcPr>
          <w:p w14:paraId="12CD614D" w14:textId="77777777" w:rsidR="00C5516F" w:rsidRPr="00A21682" w:rsidRDefault="00C5516F" w:rsidP="00757855">
            <w:pPr>
              <w:pStyle w:val="TABLETEXT1"/>
              <w:rPr>
                <w:u w:color="000000"/>
                <w:lang w:val="en-US"/>
              </w:rPr>
            </w:pPr>
            <w:r>
              <w:rPr>
                <w:u w:color="000000"/>
                <w:lang w:val="en-US"/>
              </w:rPr>
              <w:t>2</w:t>
            </w:r>
          </w:p>
        </w:tc>
        <w:tc>
          <w:tcPr>
            <w:tcW w:w="4106" w:type="dxa"/>
            <w:hideMark/>
          </w:tcPr>
          <w:p w14:paraId="6C1A8888" w14:textId="1700BB25" w:rsidR="00C5516F" w:rsidRPr="00A21682" w:rsidRDefault="00C5516F" w:rsidP="00757855">
            <w:pPr>
              <w:pStyle w:val="TABLETEXT1"/>
              <w:rPr>
                <w:u w:color="000000"/>
                <w:lang w:val="en-US"/>
              </w:rPr>
            </w:pPr>
            <w:r>
              <w:rPr>
                <w:u w:color="000000"/>
                <w:lang w:val="en-US"/>
              </w:rPr>
              <w:t>Initial Solution Definition (DEL-01) will include high-level scope, goals and objectives for the Wave. It is reviewed, finalized, and approved.</w:t>
            </w:r>
          </w:p>
        </w:tc>
        <w:tc>
          <w:tcPr>
            <w:tcW w:w="4757" w:type="dxa"/>
            <w:hideMark/>
          </w:tcPr>
          <w:p w14:paraId="50F4C723" w14:textId="3A21BE52" w:rsidR="00C5516F" w:rsidRPr="00635C9B" w:rsidRDefault="00C5516F" w:rsidP="005968D7">
            <w:pPr>
              <w:pStyle w:val="TABLEBULLETNEW"/>
            </w:pPr>
            <w:r>
              <w:t>Initial Solution Definition (DEL-01)</w:t>
            </w:r>
          </w:p>
        </w:tc>
      </w:tr>
    </w:tbl>
    <w:p w14:paraId="5F351DB5" w14:textId="29931C40" w:rsidR="00C5516F" w:rsidRPr="00A21682" w:rsidRDefault="00C5516F" w:rsidP="00757855">
      <w:pPr>
        <w:pStyle w:val="Caption"/>
        <w:rPr>
          <w:rFonts w:eastAsia="MS Gothic"/>
          <w:noProof w:val="0"/>
        </w:rPr>
      </w:pPr>
      <w:bookmarkStart w:id="217" w:name="_Toc150951864"/>
      <w:bookmarkStart w:id="218" w:name="_Toc19287509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6</w:t>
      </w:r>
      <w:r>
        <w:rPr>
          <w:noProof w:val="0"/>
        </w:rPr>
        <w:fldChar w:fldCharType="end"/>
      </w:r>
      <w:r>
        <w:rPr>
          <w:noProof w:val="0"/>
        </w:rPr>
        <w:t>:</w:t>
      </w:r>
      <w:r>
        <w:rPr>
          <w:rFonts w:eastAsia="MS Gothic"/>
          <w:noProof w:val="0"/>
        </w:rPr>
        <w:t xml:space="preserve"> Project Wave Planning Phase Exit Criteria</w:t>
      </w:r>
      <w:bookmarkEnd w:id="217"/>
      <w:bookmarkEnd w:id="218"/>
    </w:p>
    <w:p w14:paraId="13C188BD" w14:textId="287FFFFE" w:rsidR="00C5516F" w:rsidRPr="00A21682" w:rsidRDefault="00C5516F" w:rsidP="00757855">
      <w:pPr>
        <w:pStyle w:val="Heading3"/>
      </w:pPr>
      <w:bookmarkStart w:id="219" w:name="_Toc148102309"/>
      <w:bookmarkStart w:id="220" w:name="_Toc152605793"/>
      <w:bookmarkStart w:id="221" w:name="_Toc177118937"/>
      <w:bookmarkStart w:id="222" w:name="_Toc185952492"/>
      <w:bookmarkStart w:id="223" w:name="_Toc192874666"/>
      <w:r>
        <w:t>Supporting Application Lifecycle Management (ALM) Tools</w:t>
      </w:r>
      <w:bookmarkEnd w:id="219"/>
      <w:bookmarkEnd w:id="220"/>
      <w:bookmarkEnd w:id="221"/>
      <w:bookmarkEnd w:id="222"/>
      <w:bookmarkEnd w:id="223"/>
    </w:p>
    <w:p w14:paraId="02A7884A" w14:textId="6AAE99F4" w:rsidR="00C5516F" w:rsidRPr="00A21682" w:rsidRDefault="00C5516F" w:rsidP="00C5516F">
      <w:pPr>
        <w:pStyle w:val="NormalNEW"/>
        <w:rPr>
          <w:u w:color="000000"/>
          <w:lang w:val="en-US"/>
        </w:rPr>
      </w:pPr>
      <w:r>
        <w:rPr>
          <w:u w:color="000000"/>
          <w:lang w:val="en-US"/>
        </w:rPr>
        <w:t>During the Project Wave Planning phase, ALM tools will help manage the planning of each Wave by providing version control for the ISD, high-level conceptual architecture, and initial BOM estimates. In addition, tools offer collaboration features to coordinate efforts between tracks, maintain traceability between wave activities and project requirements, and establish reporting and monitoring metrics to assess the progress and success of each Wave.</w:t>
      </w:r>
    </w:p>
    <w:p w14:paraId="38B53933" w14:textId="77777777" w:rsidR="00C5516F" w:rsidRPr="00A21682" w:rsidRDefault="00C5516F" w:rsidP="00C5516F">
      <w:pPr>
        <w:pStyle w:val="NormalNEW"/>
        <w:rPr>
          <w:u w:color="000000"/>
          <w:lang w:val="en-US"/>
        </w:rPr>
      </w:pPr>
      <w:r>
        <w:rPr>
          <w:u w:color="000000"/>
          <w:lang w:val="en-US"/>
        </w:rPr>
        <w:t>Tools and workflows pertaining to the Wave Planning phase:</w:t>
      </w:r>
    </w:p>
    <w:p w14:paraId="52F04238" w14:textId="3C19DCAC" w:rsidR="00C5516F" w:rsidRPr="00A21682" w:rsidRDefault="00C5516F"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56F2AE05" w14:textId="77777777" w:rsidR="00C5516F" w:rsidRPr="00A21682" w:rsidRDefault="00C5516F" w:rsidP="00757855">
      <w:pPr>
        <w:pStyle w:val="Heading2"/>
        <w:rPr>
          <w:u w:color="000000"/>
        </w:rPr>
      </w:pPr>
      <w:bookmarkStart w:id="224" w:name="_Toc148102310"/>
      <w:bookmarkStart w:id="225" w:name="_Toc152605794"/>
      <w:bookmarkStart w:id="226" w:name="_Toc177118938"/>
      <w:bookmarkStart w:id="227" w:name="_Toc185952493"/>
      <w:bookmarkStart w:id="228" w:name="_Toc192874667"/>
      <w:r>
        <w:rPr>
          <w:u w:color="000000"/>
        </w:rPr>
        <w:t>Business Process Analysis Phase</w:t>
      </w:r>
      <w:bookmarkEnd w:id="224"/>
      <w:bookmarkEnd w:id="225"/>
      <w:bookmarkEnd w:id="226"/>
      <w:bookmarkEnd w:id="227"/>
      <w:bookmarkEnd w:id="228"/>
      <w:r>
        <w:rPr>
          <w:u w:color="000000"/>
        </w:rPr>
        <w:t xml:space="preserve"> </w:t>
      </w:r>
    </w:p>
    <w:p w14:paraId="370ADF17" w14:textId="77777777" w:rsidR="00C5516F" w:rsidRPr="00A21682" w:rsidRDefault="00C5516F" w:rsidP="00757855">
      <w:pPr>
        <w:pStyle w:val="NormalNEW"/>
        <w:rPr>
          <w:u w:color="000000"/>
          <w:lang w:val="en-US"/>
        </w:rPr>
      </w:pPr>
      <w:r>
        <w:rPr>
          <w:u w:color="000000"/>
          <w:lang w:val="en-US"/>
        </w:rPr>
        <w:t xml:space="preserve">The Business Process Analysis phase builds on the north star objectives identified during Wave Planning. It also allows to-be business processes (including system workflows) across the different end user types to be defined and optimized to achieve business objectives for the Wave. </w:t>
      </w:r>
    </w:p>
    <w:p w14:paraId="7BA1D541" w14:textId="77777777" w:rsidR="00C5516F" w:rsidRPr="00A21682" w:rsidRDefault="00C5516F" w:rsidP="00757855">
      <w:pPr>
        <w:pStyle w:val="Heading3"/>
        <w:rPr>
          <w:bCs/>
        </w:rPr>
      </w:pPr>
      <w:bookmarkStart w:id="229" w:name="_Toc148102311"/>
      <w:bookmarkStart w:id="230" w:name="_Toc152605795"/>
      <w:bookmarkStart w:id="231" w:name="_Toc177118939"/>
      <w:bookmarkStart w:id="232" w:name="_Toc185952494"/>
      <w:bookmarkStart w:id="233" w:name="_Toc192874668"/>
      <w:r>
        <w:t>Phase Entry Criteria</w:t>
      </w:r>
      <w:bookmarkEnd w:id="229"/>
      <w:bookmarkEnd w:id="230"/>
      <w:bookmarkEnd w:id="231"/>
      <w:bookmarkEnd w:id="232"/>
      <w:bookmarkEnd w:id="233"/>
    </w:p>
    <w:p w14:paraId="0A7F13A8" w14:textId="7284C2DD" w:rsidR="00C5516F" w:rsidRPr="00A21682" w:rsidRDefault="00C5516F" w:rsidP="00C5516F">
      <w:pPr>
        <w:pStyle w:val="NormalNEW"/>
        <w:rPr>
          <w:bCs/>
          <w:u w:color="000000"/>
          <w:lang w:val="en-US"/>
        </w:rPr>
      </w:pPr>
      <w:r>
        <w:rPr>
          <w:u w:color="000000"/>
          <w:lang w:val="en-US"/>
        </w:rPr>
        <w:t xml:space="preserve">Personas are used to create and validate business process flows. </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106"/>
        <w:gridCol w:w="4757"/>
      </w:tblGrid>
      <w:tr w:rsidR="00C5516F" w:rsidRPr="00A21682" w14:paraId="5C77B62B" w14:textId="77777777" w:rsidTr="00142AE0">
        <w:trPr>
          <w:trHeight w:val="300"/>
        </w:trPr>
        <w:tc>
          <w:tcPr>
            <w:tcW w:w="481" w:type="dxa"/>
            <w:tcBorders>
              <w:right w:val="single" w:sz="2" w:space="0" w:color="FFFFFF" w:themeColor="background1"/>
            </w:tcBorders>
            <w:shd w:val="clear" w:color="auto" w:fill="000000" w:themeFill="text1"/>
            <w:vAlign w:val="center"/>
            <w:hideMark/>
          </w:tcPr>
          <w:p w14:paraId="515D2A01" w14:textId="77777777" w:rsidR="00C5516F" w:rsidRPr="00A21682" w:rsidRDefault="00C5516F" w:rsidP="00974B85">
            <w:pPr>
              <w:pStyle w:val="TABLEHEADINGNEW"/>
            </w:pPr>
            <w:r>
              <w:t>#</w:t>
            </w:r>
          </w:p>
        </w:tc>
        <w:tc>
          <w:tcPr>
            <w:tcW w:w="4106" w:type="dxa"/>
            <w:tcBorders>
              <w:left w:val="single" w:sz="2" w:space="0" w:color="FFFFFF" w:themeColor="background1"/>
              <w:right w:val="single" w:sz="2" w:space="0" w:color="FFFFFF" w:themeColor="background1"/>
            </w:tcBorders>
            <w:shd w:val="clear" w:color="auto" w:fill="000000" w:themeFill="text1"/>
            <w:vAlign w:val="center"/>
            <w:hideMark/>
          </w:tcPr>
          <w:p w14:paraId="7E21433F" w14:textId="77777777" w:rsidR="00C5516F" w:rsidRPr="00A21682" w:rsidRDefault="00C5516F" w:rsidP="00974B85">
            <w:pPr>
              <w:pStyle w:val="TABLEHEADINGNEW"/>
            </w:pPr>
            <w:r>
              <w:t>Entry Criteria</w:t>
            </w:r>
          </w:p>
        </w:tc>
        <w:tc>
          <w:tcPr>
            <w:tcW w:w="4757" w:type="dxa"/>
            <w:tcBorders>
              <w:left w:val="single" w:sz="2" w:space="0" w:color="FFFFFF" w:themeColor="background1"/>
            </w:tcBorders>
            <w:shd w:val="clear" w:color="auto" w:fill="000000" w:themeFill="text1"/>
            <w:vAlign w:val="center"/>
          </w:tcPr>
          <w:p w14:paraId="5D1DD4C0" w14:textId="01D477F9" w:rsidR="00C5516F" w:rsidRPr="00A21682" w:rsidRDefault="00C5516F">
            <w:pPr>
              <w:pStyle w:val="CommentText"/>
              <w:spacing w:before="60" w:after="60"/>
              <w:rPr>
                <w:b/>
                <w:lang w:val="en-US"/>
              </w:rPr>
            </w:pPr>
            <w:r>
              <w:rPr>
                <w:b/>
                <w:lang w:val="en-US"/>
              </w:rPr>
              <w:t>Related Document(s)/Artifact(s)</w:t>
            </w:r>
          </w:p>
        </w:tc>
      </w:tr>
      <w:tr w:rsidR="00C5516F" w:rsidRPr="00A21682" w14:paraId="7946287F" w14:textId="77777777" w:rsidTr="00142AE0">
        <w:trPr>
          <w:trHeight w:val="300"/>
        </w:trPr>
        <w:tc>
          <w:tcPr>
            <w:tcW w:w="481" w:type="dxa"/>
            <w:hideMark/>
          </w:tcPr>
          <w:p w14:paraId="77948974" w14:textId="3B1687A7" w:rsidR="00C5516F" w:rsidRPr="00A21682" w:rsidRDefault="00C5516F" w:rsidP="00944B85">
            <w:pPr>
              <w:pStyle w:val="TABLETEXT1"/>
              <w:rPr>
                <w:lang w:val="en-US"/>
              </w:rPr>
            </w:pPr>
            <w:r>
              <w:rPr>
                <w:lang w:val="en-US"/>
              </w:rPr>
              <w:t>1</w:t>
            </w:r>
          </w:p>
        </w:tc>
        <w:tc>
          <w:tcPr>
            <w:tcW w:w="4106" w:type="dxa"/>
          </w:tcPr>
          <w:p w14:paraId="186A0E52" w14:textId="137D65FF" w:rsidR="00C5516F" w:rsidRPr="00A21682" w:rsidRDefault="00C5516F" w:rsidP="00974B85">
            <w:pPr>
              <w:pStyle w:val="TABLETEXT1"/>
              <w:rPr>
                <w:lang w:val="en-US"/>
              </w:rPr>
            </w:pPr>
            <w:r>
              <w:rPr>
                <w:lang w:val="en-US"/>
              </w:rPr>
              <w:t xml:space="preserve">A Project Wave has been defined including high-level scope, ISD (DEL-01) goals, objectives, and a draft timeline </w:t>
            </w:r>
          </w:p>
        </w:tc>
        <w:tc>
          <w:tcPr>
            <w:tcW w:w="4757" w:type="dxa"/>
          </w:tcPr>
          <w:p w14:paraId="37B417E9" w14:textId="7B227550" w:rsidR="00C5516F" w:rsidRPr="00635C9B" w:rsidRDefault="00C5516F" w:rsidP="005968D7">
            <w:pPr>
              <w:pStyle w:val="TABLEBULLETNEW"/>
            </w:pPr>
            <w:r>
              <w:t>Initial Solution Definition (ISD) (DEL-01)</w:t>
            </w:r>
          </w:p>
          <w:p w14:paraId="1306215C" w14:textId="77777777" w:rsidR="00C5516F" w:rsidRPr="00635C9B" w:rsidRDefault="00C5516F" w:rsidP="005968D7">
            <w:pPr>
              <w:pStyle w:val="TABLEBULLETNEW"/>
            </w:pPr>
            <w:r>
              <w:t>MECM Master Statement of Work (MSOW)</w:t>
            </w:r>
          </w:p>
          <w:p w14:paraId="6D3A867C" w14:textId="73FB7F89" w:rsidR="00C5516F" w:rsidRPr="00635C9B" w:rsidRDefault="00C5516F" w:rsidP="005968D7">
            <w:pPr>
              <w:pStyle w:val="TABLEBULLETNEW"/>
            </w:pPr>
            <w:r>
              <w:t>Implementation Schedule Overview (DEL-02)</w:t>
            </w:r>
          </w:p>
        </w:tc>
      </w:tr>
      <w:tr w:rsidR="00C5516F" w:rsidRPr="00A21682" w14:paraId="4C3DE898" w14:textId="77777777" w:rsidTr="00142AE0">
        <w:trPr>
          <w:trHeight w:val="300"/>
        </w:trPr>
        <w:tc>
          <w:tcPr>
            <w:tcW w:w="481" w:type="dxa"/>
          </w:tcPr>
          <w:p w14:paraId="138C8E3E" w14:textId="77777777" w:rsidR="00C5516F" w:rsidRPr="00A21682" w:rsidRDefault="00C5516F" w:rsidP="00944B85">
            <w:pPr>
              <w:pStyle w:val="TABLETEXT1"/>
              <w:rPr>
                <w:lang w:val="en-US"/>
              </w:rPr>
            </w:pPr>
            <w:r>
              <w:rPr>
                <w:lang w:val="en-US"/>
              </w:rPr>
              <w:t>2</w:t>
            </w:r>
          </w:p>
        </w:tc>
        <w:tc>
          <w:tcPr>
            <w:tcW w:w="4106" w:type="dxa"/>
          </w:tcPr>
          <w:p w14:paraId="1239AEFA" w14:textId="77777777" w:rsidR="00C5516F" w:rsidRPr="00A21682" w:rsidRDefault="00C5516F" w:rsidP="00974B85">
            <w:pPr>
              <w:pStyle w:val="TABLETEXT1"/>
              <w:rPr>
                <w:lang w:val="en-US"/>
              </w:rPr>
            </w:pPr>
            <w:r>
              <w:rPr>
                <w:lang w:val="en-US"/>
              </w:rPr>
              <w:t>An initial budget has been defined for the Wave along with budget assumptions</w:t>
            </w:r>
          </w:p>
        </w:tc>
        <w:tc>
          <w:tcPr>
            <w:tcW w:w="4757" w:type="dxa"/>
          </w:tcPr>
          <w:p w14:paraId="49FA671D" w14:textId="77777777" w:rsidR="00C5516F" w:rsidRPr="00635C9B" w:rsidRDefault="00C5516F" w:rsidP="005968D7">
            <w:pPr>
              <w:pStyle w:val="TABLEBULLETNEW"/>
            </w:pPr>
            <w:r>
              <w:t>MECM Master Statement of Work (MSOW)</w:t>
            </w:r>
          </w:p>
          <w:p w14:paraId="2652A984" w14:textId="77777777" w:rsidR="00C5516F" w:rsidRPr="00635C9B" w:rsidRDefault="00C5516F" w:rsidP="005968D7">
            <w:pPr>
              <w:pStyle w:val="TABLEBULLETNEW"/>
            </w:pPr>
            <w:r>
              <w:t>MECM System and Project – Budget Planning</w:t>
            </w:r>
          </w:p>
        </w:tc>
      </w:tr>
      <w:tr w:rsidR="00C5516F" w:rsidRPr="00A21682" w14:paraId="0C53B34C" w14:textId="77777777" w:rsidTr="00142AE0">
        <w:trPr>
          <w:trHeight w:val="300"/>
        </w:trPr>
        <w:tc>
          <w:tcPr>
            <w:tcW w:w="481" w:type="dxa"/>
          </w:tcPr>
          <w:p w14:paraId="7E10FF88" w14:textId="77777777" w:rsidR="00C5516F" w:rsidRPr="00A21682" w:rsidRDefault="00C5516F" w:rsidP="00944B85">
            <w:pPr>
              <w:pStyle w:val="TABLETEXT1"/>
              <w:rPr>
                <w:lang w:val="en-US"/>
              </w:rPr>
            </w:pPr>
            <w:r>
              <w:rPr>
                <w:lang w:val="en-US"/>
              </w:rPr>
              <w:t>3</w:t>
            </w:r>
          </w:p>
        </w:tc>
        <w:tc>
          <w:tcPr>
            <w:tcW w:w="4106" w:type="dxa"/>
          </w:tcPr>
          <w:p w14:paraId="6D280F52" w14:textId="77777777" w:rsidR="00C5516F" w:rsidRPr="00A21682" w:rsidRDefault="00C5516F" w:rsidP="00974B85">
            <w:pPr>
              <w:pStyle w:val="TABLETEXT1"/>
              <w:rPr>
                <w:lang w:val="en-US"/>
              </w:rPr>
            </w:pPr>
            <w:r>
              <w:rPr>
                <w:lang w:val="en-US"/>
              </w:rPr>
              <w:t>Business stakeholders are identified and have availability during the planned Business Process Analysis phase</w:t>
            </w:r>
          </w:p>
        </w:tc>
        <w:tc>
          <w:tcPr>
            <w:tcW w:w="4757" w:type="dxa"/>
          </w:tcPr>
          <w:p w14:paraId="34E0B400" w14:textId="1A4F7D1E" w:rsidR="00C5516F" w:rsidRPr="00635C9B" w:rsidRDefault="00C5516F" w:rsidP="005968D7">
            <w:pPr>
              <w:pStyle w:val="TABLEBULLETNEW"/>
            </w:pPr>
            <w:r>
              <w:t>Stakeholder Engagement Plan (PMP DEL-05, Section 3)</w:t>
            </w:r>
          </w:p>
          <w:p w14:paraId="2B663D8A" w14:textId="77777777" w:rsidR="00C5516F" w:rsidRPr="00635C9B" w:rsidRDefault="00C5516F" w:rsidP="005968D7">
            <w:pPr>
              <w:pStyle w:val="TABLEBULLETNEW"/>
            </w:pPr>
            <w:r>
              <w:t>SDLC Methodology – Roles and Responsibilities Matrix</w:t>
            </w:r>
          </w:p>
        </w:tc>
      </w:tr>
      <w:tr w:rsidR="00C5516F" w:rsidRPr="00A21682" w14:paraId="1DF6246D" w14:textId="77777777" w:rsidTr="00142AE0">
        <w:trPr>
          <w:trHeight w:val="65"/>
        </w:trPr>
        <w:tc>
          <w:tcPr>
            <w:tcW w:w="481" w:type="dxa"/>
          </w:tcPr>
          <w:p w14:paraId="02122E20" w14:textId="77777777" w:rsidR="00C5516F" w:rsidRPr="00A21682" w:rsidRDefault="00C5516F" w:rsidP="00944B85">
            <w:pPr>
              <w:pStyle w:val="TABLETEXT1"/>
              <w:rPr>
                <w:lang w:val="en-US"/>
              </w:rPr>
            </w:pPr>
            <w:r>
              <w:rPr>
                <w:lang w:val="en-US"/>
              </w:rPr>
              <w:t>4</w:t>
            </w:r>
          </w:p>
        </w:tc>
        <w:tc>
          <w:tcPr>
            <w:tcW w:w="4106" w:type="dxa"/>
          </w:tcPr>
          <w:p w14:paraId="0E8027FE" w14:textId="77777777" w:rsidR="00C5516F" w:rsidRPr="00A21682" w:rsidRDefault="00C5516F" w:rsidP="00974B85">
            <w:pPr>
              <w:pStyle w:val="TABLETEXT1"/>
              <w:rPr>
                <w:lang w:val="en-US"/>
              </w:rPr>
            </w:pPr>
            <w:r>
              <w:rPr>
                <w:lang w:val="en-US"/>
              </w:rPr>
              <w:t>An ISOW is executed for the Wave</w:t>
            </w:r>
          </w:p>
        </w:tc>
        <w:tc>
          <w:tcPr>
            <w:tcW w:w="4757" w:type="dxa"/>
          </w:tcPr>
          <w:p w14:paraId="658AEEC0" w14:textId="77777777" w:rsidR="00C5516F" w:rsidRPr="00635C9B" w:rsidRDefault="00C5516F" w:rsidP="005968D7">
            <w:pPr>
              <w:pStyle w:val="TABLEBULLETNEW"/>
            </w:pPr>
            <w:r>
              <w:t>Master ISOW Integrated Project Schedule</w:t>
            </w:r>
          </w:p>
        </w:tc>
      </w:tr>
    </w:tbl>
    <w:p w14:paraId="06E039ED" w14:textId="6EAC2210" w:rsidR="00C5516F" w:rsidRPr="00A21682" w:rsidRDefault="00C5516F" w:rsidP="005911DA">
      <w:pPr>
        <w:pStyle w:val="Caption"/>
        <w:rPr>
          <w:noProof w:val="0"/>
        </w:rPr>
      </w:pPr>
      <w:bookmarkStart w:id="234" w:name="_Toc150951865"/>
      <w:bookmarkStart w:id="235" w:name="_Toc19287509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7</w:t>
      </w:r>
      <w:r>
        <w:rPr>
          <w:noProof w:val="0"/>
        </w:rPr>
        <w:fldChar w:fldCharType="end"/>
      </w:r>
      <w:r>
        <w:rPr>
          <w:noProof w:val="0"/>
        </w:rPr>
        <w:t xml:space="preserve">: </w:t>
      </w:r>
      <w:r>
        <w:rPr>
          <w:rFonts w:eastAsia="MS Gothic"/>
          <w:noProof w:val="0"/>
        </w:rPr>
        <w:t>Business Process Analysis Phase Entry Criteria</w:t>
      </w:r>
      <w:bookmarkEnd w:id="234"/>
      <w:bookmarkEnd w:id="235"/>
    </w:p>
    <w:p w14:paraId="631AE1C8" w14:textId="64AC3560" w:rsidR="00C5516F" w:rsidRPr="00A21682" w:rsidRDefault="00C5516F">
      <w:pPr>
        <w:pStyle w:val="Heading3"/>
        <w:rPr>
          <w:bCs/>
          <w:u w:color="000000"/>
        </w:rPr>
      </w:pPr>
      <w:r>
        <w:rPr>
          <w:u w:color="000000"/>
        </w:rPr>
        <w:lastRenderedPageBreak/>
        <w:t xml:space="preserve"> </w:t>
      </w:r>
      <w:bookmarkStart w:id="236" w:name="_Toc148102312"/>
      <w:bookmarkStart w:id="237" w:name="_Toc152605796"/>
      <w:bookmarkStart w:id="238" w:name="_Toc177118940"/>
      <w:bookmarkStart w:id="239" w:name="_Toc185952495"/>
      <w:bookmarkStart w:id="240" w:name="_Toc192874669"/>
      <w:r>
        <w:rPr>
          <w:u w:color="000000"/>
        </w:rPr>
        <w:t>Process Flow Diagram</w:t>
      </w:r>
      <w:bookmarkEnd w:id="236"/>
      <w:bookmarkEnd w:id="237"/>
      <w:bookmarkEnd w:id="238"/>
      <w:bookmarkEnd w:id="239"/>
      <w:bookmarkEnd w:id="240"/>
      <w:r>
        <w:rPr>
          <w:u w:color="000000"/>
        </w:rPr>
        <w:t xml:space="preserve"> </w:t>
      </w:r>
    </w:p>
    <w:p w14:paraId="1954A7B3" w14:textId="49E07E4E" w:rsidR="00C5516F" w:rsidRPr="00A21682" w:rsidRDefault="00C5516F" w:rsidP="00BB2495">
      <w:pPr>
        <w:pStyle w:val="NormalNEW"/>
        <w:keepNext/>
        <w:rPr>
          <w:u w:color="000000"/>
          <w:lang w:val="en-US"/>
        </w:rPr>
      </w:pPr>
      <w:r>
        <w:rPr>
          <w:u w:color="000000"/>
          <w:lang w:val="en-US"/>
        </w:rPr>
        <w:t>The following process flow depicts the Business Process Analysis phase of the MECM SDLC.</w:t>
      </w:r>
    </w:p>
    <w:p w14:paraId="54C29546" w14:textId="04322352" w:rsidR="00C5516F" w:rsidRPr="00A21682" w:rsidRDefault="00A40AA5" w:rsidP="00705F4C">
      <w:pPr>
        <w:pStyle w:val="NormalNEW"/>
        <w:keepNext/>
        <w:rPr>
          <w:u w:color="000000"/>
          <w:lang w:val="en-US"/>
        </w:rPr>
      </w:pPr>
      <w:r>
        <w:rPr>
          <w:lang w:val="en-US"/>
        </w:rPr>
        <w:pict w14:anchorId="3A78739B">
          <v:shape id="_x0000_i1026" type="#_x0000_t75" style="width:467.4pt;height:159.6pt">
            <v:imagedata r:id="rId26" o:title=""/>
          </v:shape>
        </w:pict>
      </w:r>
    </w:p>
    <w:p w14:paraId="47E57293" w14:textId="66615241" w:rsidR="00C5516F" w:rsidRPr="00A21682" w:rsidRDefault="00C5516F" w:rsidP="005911DA">
      <w:pPr>
        <w:pStyle w:val="Caption"/>
        <w:rPr>
          <w:rFonts w:cs="Arial"/>
          <w:noProof w:val="0"/>
        </w:rPr>
      </w:pPr>
      <w:bookmarkStart w:id="241" w:name="_Toc150948928"/>
      <w:bookmarkStart w:id="242" w:name="_Toc178152025"/>
      <w:bookmarkStart w:id="243" w:name="_Toc192875040"/>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3</w:t>
      </w:r>
      <w:r>
        <w:rPr>
          <w:noProof w:val="0"/>
        </w:rPr>
        <w:fldChar w:fldCharType="end"/>
      </w:r>
      <w:r>
        <w:rPr>
          <w:noProof w:val="0"/>
        </w:rPr>
        <w:t xml:space="preserve">: </w:t>
      </w:r>
      <w:r>
        <w:rPr>
          <w:rFonts w:cs="Arial"/>
          <w:noProof w:val="0"/>
        </w:rPr>
        <w:t>Business Process Analysis Phase Process Flow</w:t>
      </w:r>
      <w:bookmarkEnd w:id="241"/>
      <w:bookmarkEnd w:id="242"/>
      <w:bookmarkEnd w:id="243"/>
    </w:p>
    <w:p w14:paraId="0A5E7C5D" w14:textId="58E98489" w:rsidR="00C5516F" w:rsidRPr="00A21682" w:rsidRDefault="00C5516F">
      <w:pPr>
        <w:pStyle w:val="Heading3"/>
        <w:rPr>
          <w:bCs/>
          <w:u w:color="000000"/>
        </w:rPr>
      </w:pPr>
      <w:bookmarkStart w:id="244" w:name="_Toc148102313"/>
      <w:bookmarkStart w:id="245" w:name="_Toc152605797"/>
      <w:bookmarkStart w:id="246" w:name="_Toc177118941"/>
      <w:bookmarkStart w:id="247" w:name="_Toc185952496"/>
      <w:bookmarkStart w:id="248" w:name="_Toc192874670"/>
      <w:r>
        <w:rPr>
          <w:u w:color="000000"/>
        </w:rPr>
        <w:t>Process Flow Narrative</w:t>
      </w:r>
      <w:bookmarkEnd w:id="244"/>
      <w:bookmarkEnd w:id="245"/>
      <w:bookmarkEnd w:id="246"/>
      <w:bookmarkEnd w:id="247"/>
      <w:bookmarkEnd w:id="248"/>
    </w:p>
    <w:p w14:paraId="65D5AD89" w14:textId="77777777" w:rsidR="00C5516F" w:rsidRPr="00A21682" w:rsidRDefault="00C5516F" w:rsidP="00C5516F">
      <w:pPr>
        <w:pStyle w:val="NormalNEW"/>
        <w:rPr>
          <w:u w:color="000000"/>
          <w:lang w:val="en-US"/>
        </w:rPr>
      </w:pPr>
      <w:r>
        <w:rPr>
          <w:u w:color="000000"/>
          <w:lang w:val="en-US"/>
        </w:rPr>
        <w:t>The following table describes each process step illustrated above.</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712"/>
        <w:gridCol w:w="1265"/>
        <w:gridCol w:w="1890"/>
        <w:gridCol w:w="1800"/>
        <w:gridCol w:w="1890"/>
        <w:gridCol w:w="1795"/>
      </w:tblGrid>
      <w:tr w:rsidR="00C5516F" w:rsidRPr="00A21682" w14:paraId="10A3CB40" w14:textId="77777777" w:rsidTr="00C968EF">
        <w:trPr>
          <w:trHeight w:val="300"/>
          <w:tblHeader/>
        </w:trPr>
        <w:tc>
          <w:tcPr>
            <w:tcW w:w="9352" w:type="dxa"/>
            <w:gridSpan w:val="6"/>
            <w:tcBorders>
              <w:bottom w:val="single" w:sz="2" w:space="0" w:color="FFFFFF" w:themeColor="background1"/>
            </w:tcBorders>
            <w:shd w:val="clear" w:color="auto" w:fill="000000"/>
          </w:tcPr>
          <w:p w14:paraId="36A91BFF" w14:textId="77777777" w:rsidR="00C5516F" w:rsidRPr="00A21682" w:rsidRDefault="00C5516F" w:rsidP="00047C4E">
            <w:pPr>
              <w:pStyle w:val="TABLEHEADINGNEW"/>
              <w:jc w:val="center"/>
            </w:pPr>
            <w:r>
              <w:t>Business Process Analysis</w:t>
            </w:r>
          </w:p>
        </w:tc>
      </w:tr>
      <w:tr w:rsidR="00C5516F" w:rsidRPr="00A21682" w14:paraId="6C709E8B" w14:textId="77777777" w:rsidTr="004C7A6C">
        <w:trPr>
          <w:trHeight w:val="300"/>
          <w:tblHeader/>
        </w:trPr>
        <w:tc>
          <w:tcPr>
            <w:tcW w:w="712" w:type="dxa"/>
            <w:tcBorders>
              <w:top w:val="single" w:sz="2" w:space="0" w:color="FFFFFF" w:themeColor="background1"/>
              <w:right w:val="single" w:sz="2" w:space="0" w:color="FFFFFF" w:themeColor="background1"/>
            </w:tcBorders>
            <w:shd w:val="clear" w:color="auto" w:fill="000000"/>
            <w:hideMark/>
          </w:tcPr>
          <w:p w14:paraId="76B8FFE8" w14:textId="77777777" w:rsidR="00C5516F" w:rsidRPr="00A21682" w:rsidRDefault="00C5516F" w:rsidP="00047C4E">
            <w:pPr>
              <w:pStyle w:val="TABLEHEADINGNEW"/>
            </w:pPr>
            <w:r>
              <w:t>Step #</w:t>
            </w:r>
          </w:p>
        </w:tc>
        <w:tc>
          <w:tcPr>
            <w:tcW w:w="1265"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323E672F" w14:textId="77777777" w:rsidR="00C5516F" w:rsidRPr="00A21682" w:rsidRDefault="00C5516F" w:rsidP="00944B85">
            <w:pPr>
              <w:pStyle w:val="TABLEHEADINGNEW"/>
            </w:pPr>
            <w:r>
              <w:t>Process Step</w:t>
            </w:r>
          </w:p>
        </w:tc>
        <w:tc>
          <w:tcPr>
            <w:tcW w:w="189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1F095250" w14:textId="77777777" w:rsidR="00C5516F" w:rsidRPr="00A21682" w:rsidRDefault="00C5516F" w:rsidP="00944B85">
            <w:pPr>
              <w:pStyle w:val="TABLEHEADINGNEW"/>
            </w:pPr>
            <w:r>
              <w:t>Description</w:t>
            </w:r>
          </w:p>
        </w:tc>
        <w:tc>
          <w:tcPr>
            <w:tcW w:w="1800"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43A7918B" w14:textId="77777777" w:rsidR="00C5516F" w:rsidRPr="00A21682" w:rsidRDefault="00C5516F" w:rsidP="00944B85">
            <w:pPr>
              <w:pStyle w:val="TABLEHEADINGNEW"/>
            </w:pPr>
            <w:r>
              <w:t>Stakeholder Group(s)</w:t>
            </w:r>
          </w:p>
        </w:tc>
        <w:tc>
          <w:tcPr>
            <w:tcW w:w="189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0E874A1B" w14:textId="77777777" w:rsidR="00C5516F" w:rsidRPr="00A21682" w:rsidRDefault="00C5516F" w:rsidP="00944B85">
            <w:pPr>
              <w:pStyle w:val="TABLEHEADINGNEW"/>
            </w:pPr>
            <w:r>
              <w:t>Inputs (Documents/ Work Products)</w:t>
            </w:r>
          </w:p>
        </w:tc>
        <w:tc>
          <w:tcPr>
            <w:tcW w:w="1795" w:type="dxa"/>
            <w:tcBorders>
              <w:top w:val="single" w:sz="2" w:space="0" w:color="FFFFFF" w:themeColor="background1"/>
              <w:left w:val="single" w:sz="2" w:space="0" w:color="FFFFFF" w:themeColor="background1"/>
            </w:tcBorders>
            <w:shd w:val="clear" w:color="auto" w:fill="000000"/>
            <w:hideMark/>
          </w:tcPr>
          <w:p w14:paraId="7732A1A8" w14:textId="77777777" w:rsidR="00C5516F" w:rsidRPr="00A21682" w:rsidRDefault="00C5516F" w:rsidP="00944B85">
            <w:pPr>
              <w:pStyle w:val="TABLEHEADINGNEW"/>
            </w:pPr>
            <w:r>
              <w:t>Outputs (Documents/ Work Products)</w:t>
            </w:r>
          </w:p>
        </w:tc>
      </w:tr>
      <w:tr w:rsidR="00C5516F" w:rsidRPr="00A21682" w14:paraId="69450C87" w14:textId="77777777" w:rsidTr="004C7A6C">
        <w:trPr>
          <w:trHeight w:val="300"/>
        </w:trPr>
        <w:tc>
          <w:tcPr>
            <w:tcW w:w="712" w:type="dxa"/>
            <w:hideMark/>
          </w:tcPr>
          <w:p w14:paraId="377F25B8" w14:textId="77777777" w:rsidR="00C5516F" w:rsidRPr="00A21682" w:rsidRDefault="00C5516F" w:rsidP="00047C4E">
            <w:pPr>
              <w:pStyle w:val="TABLETEXT1"/>
              <w:rPr>
                <w:lang w:val="en-US"/>
              </w:rPr>
            </w:pPr>
            <w:r>
              <w:rPr>
                <w:lang w:val="en-US"/>
              </w:rPr>
              <w:t>1.1</w:t>
            </w:r>
          </w:p>
        </w:tc>
        <w:tc>
          <w:tcPr>
            <w:tcW w:w="1265" w:type="dxa"/>
          </w:tcPr>
          <w:p w14:paraId="23D6DAFD" w14:textId="77777777" w:rsidR="00C5516F" w:rsidRPr="00A21682" w:rsidRDefault="00C5516F" w:rsidP="00BB2495">
            <w:pPr>
              <w:pStyle w:val="TABLETEXT1"/>
              <w:rPr>
                <w:lang w:val="en-US"/>
              </w:rPr>
            </w:pPr>
            <w:r>
              <w:rPr>
                <w:lang w:val="en-US"/>
              </w:rPr>
              <w:t>Conduct research</w:t>
            </w:r>
          </w:p>
        </w:tc>
        <w:tc>
          <w:tcPr>
            <w:tcW w:w="1890" w:type="dxa"/>
          </w:tcPr>
          <w:p w14:paraId="049BD8E8" w14:textId="77777777" w:rsidR="00C5516F" w:rsidRPr="005968D7" w:rsidRDefault="00C5516F" w:rsidP="005968D7">
            <w:pPr>
              <w:pStyle w:val="TABLETEXT1"/>
              <w:rPr>
                <w:lang w:val="en-US"/>
              </w:rPr>
            </w:pPr>
            <w:r>
              <w:rPr>
                <w:lang w:val="en-US"/>
              </w:rPr>
              <w:t>Gather, review, and assess DOH OHIP-provided inputs to current business processes and challenges relevant to the high-level scope and goals for the Wave.</w:t>
            </w:r>
          </w:p>
        </w:tc>
        <w:tc>
          <w:tcPr>
            <w:tcW w:w="1800" w:type="dxa"/>
          </w:tcPr>
          <w:p w14:paraId="69DCEA36" w14:textId="77777777" w:rsidR="00C5516F" w:rsidRPr="00635C9B" w:rsidRDefault="00C5516F" w:rsidP="005968D7">
            <w:pPr>
              <w:pStyle w:val="TABLEBULLETNEW"/>
            </w:pPr>
            <w:r>
              <w:t>Business Stakeholders</w:t>
            </w:r>
          </w:p>
        </w:tc>
        <w:tc>
          <w:tcPr>
            <w:tcW w:w="1890" w:type="dxa"/>
          </w:tcPr>
          <w:p w14:paraId="5B1200B8" w14:textId="77777777" w:rsidR="00C5516F" w:rsidRPr="00635C9B" w:rsidRDefault="00C5516F" w:rsidP="005968D7">
            <w:pPr>
              <w:pStyle w:val="TABLEBULLETNEW"/>
            </w:pPr>
            <w:r>
              <w:t>Stakeholder operating procedures or process documentation</w:t>
            </w:r>
          </w:p>
          <w:p w14:paraId="5CB26A49" w14:textId="77777777" w:rsidR="00C5516F" w:rsidRPr="00635C9B" w:rsidRDefault="00C5516F" w:rsidP="005968D7">
            <w:pPr>
              <w:pStyle w:val="TABLEBULLETNEW"/>
            </w:pPr>
            <w:r>
              <w:t>Interviews</w:t>
            </w:r>
          </w:p>
          <w:p w14:paraId="43A44B62" w14:textId="77777777" w:rsidR="00C5516F" w:rsidRPr="00635C9B" w:rsidRDefault="00C5516F" w:rsidP="005968D7">
            <w:pPr>
              <w:pStyle w:val="TABLEBULLETNEW"/>
            </w:pPr>
            <w:r>
              <w:t>Site visit notes</w:t>
            </w:r>
          </w:p>
        </w:tc>
        <w:tc>
          <w:tcPr>
            <w:tcW w:w="1795" w:type="dxa"/>
          </w:tcPr>
          <w:p w14:paraId="10ECD8C7" w14:textId="77777777" w:rsidR="00C5516F" w:rsidRPr="00635C9B" w:rsidRDefault="00C5516F" w:rsidP="005968D7">
            <w:pPr>
              <w:pStyle w:val="TABLEBULLETNEW"/>
            </w:pPr>
            <w:r>
              <w:t>As-Is Assessment or Analysis</w:t>
            </w:r>
          </w:p>
        </w:tc>
      </w:tr>
      <w:tr w:rsidR="00C5516F" w:rsidRPr="00A21682" w14:paraId="7CC5371E" w14:textId="77777777" w:rsidTr="004C7A6C">
        <w:trPr>
          <w:trHeight w:val="300"/>
        </w:trPr>
        <w:tc>
          <w:tcPr>
            <w:tcW w:w="712" w:type="dxa"/>
          </w:tcPr>
          <w:p w14:paraId="18FE86C4" w14:textId="77777777" w:rsidR="00C5516F" w:rsidRPr="00A21682" w:rsidRDefault="00C5516F" w:rsidP="00047C4E">
            <w:pPr>
              <w:pStyle w:val="TABLETEXT1"/>
              <w:rPr>
                <w:lang w:val="en-US"/>
              </w:rPr>
            </w:pPr>
            <w:r>
              <w:rPr>
                <w:lang w:val="en-US"/>
              </w:rPr>
              <w:t>1.2</w:t>
            </w:r>
          </w:p>
        </w:tc>
        <w:tc>
          <w:tcPr>
            <w:tcW w:w="1265" w:type="dxa"/>
          </w:tcPr>
          <w:p w14:paraId="7784BA02" w14:textId="3B931CAD" w:rsidR="00C5516F" w:rsidRPr="00A21682" w:rsidRDefault="00C5516F" w:rsidP="00BB2495">
            <w:pPr>
              <w:pStyle w:val="TABLETEXT1"/>
              <w:rPr>
                <w:lang w:val="en-US"/>
              </w:rPr>
            </w:pPr>
            <w:r>
              <w:rPr>
                <w:lang w:val="en-US"/>
              </w:rPr>
              <w:t>Document As-Is state</w:t>
            </w:r>
          </w:p>
        </w:tc>
        <w:tc>
          <w:tcPr>
            <w:tcW w:w="1890" w:type="dxa"/>
          </w:tcPr>
          <w:p w14:paraId="39E0D065" w14:textId="77777777" w:rsidR="00C5516F" w:rsidRPr="005968D7" w:rsidRDefault="00C5516F" w:rsidP="005968D7">
            <w:pPr>
              <w:pStyle w:val="TABLETEXT1"/>
              <w:rPr>
                <w:lang w:val="en-US"/>
              </w:rPr>
            </w:pPr>
            <w:r>
              <w:rPr>
                <w:lang w:val="en-US"/>
              </w:rPr>
              <w:t>Where documentation does not exist, ███████ will produce As-Is Business Processes and Journey Maps that create a baseline of the current state processes relevant to the Wave.</w:t>
            </w:r>
          </w:p>
        </w:tc>
        <w:tc>
          <w:tcPr>
            <w:tcW w:w="1800" w:type="dxa"/>
          </w:tcPr>
          <w:p w14:paraId="00A77B4D" w14:textId="77777777" w:rsidR="00C5516F" w:rsidRPr="00635C9B" w:rsidRDefault="00C5516F" w:rsidP="005968D7">
            <w:pPr>
              <w:pStyle w:val="TABLEBULLETNEW"/>
            </w:pPr>
            <w:r>
              <w:t>Business Stakeholders</w:t>
            </w:r>
          </w:p>
        </w:tc>
        <w:tc>
          <w:tcPr>
            <w:tcW w:w="1890" w:type="dxa"/>
          </w:tcPr>
          <w:p w14:paraId="3431ECD3" w14:textId="77777777" w:rsidR="00C5516F" w:rsidRPr="00635C9B" w:rsidRDefault="00C5516F" w:rsidP="005968D7">
            <w:pPr>
              <w:pStyle w:val="TABLEBULLETNEW"/>
            </w:pPr>
            <w:r>
              <w:t>As-Is Assessment or Analysis</w:t>
            </w:r>
          </w:p>
        </w:tc>
        <w:tc>
          <w:tcPr>
            <w:tcW w:w="1795" w:type="dxa"/>
          </w:tcPr>
          <w:p w14:paraId="7A5728CD" w14:textId="77777777" w:rsidR="00C5516F" w:rsidRPr="00635C9B" w:rsidRDefault="00C5516F" w:rsidP="005968D7">
            <w:pPr>
              <w:pStyle w:val="TABLEBULLETNEW"/>
            </w:pPr>
            <w:r>
              <w:t>Draft As-Is Business Process Maps</w:t>
            </w:r>
          </w:p>
        </w:tc>
      </w:tr>
      <w:tr w:rsidR="00C5516F" w:rsidRPr="00A21682" w14:paraId="1F3DC724" w14:textId="77777777" w:rsidTr="004C7A6C">
        <w:trPr>
          <w:trHeight w:val="300"/>
        </w:trPr>
        <w:tc>
          <w:tcPr>
            <w:tcW w:w="712" w:type="dxa"/>
          </w:tcPr>
          <w:p w14:paraId="34E07F0C" w14:textId="77777777" w:rsidR="00C5516F" w:rsidRPr="00A21682" w:rsidRDefault="00C5516F" w:rsidP="00047C4E">
            <w:pPr>
              <w:pStyle w:val="TABLETEXT1"/>
              <w:rPr>
                <w:lang w:val="en-US"/>
              </w:rPr>
            </w:pPr>
            <w:r>
              <w:rPr>
                <w:lang w:val="en-US"/>
              </w:rPr>
              <w:t>1.3</w:t>
            </w:r>
          </w:p>
        </w:tc>
        <w:tc>
          <w:tcPr>
            <w:tcW w:w="1265" w:type="dxa"/>
          </w:tcPr>
          <w:p w14:paraId="2376C0A9" w14:textId="71A6A3EA" w:rsidR="00C5516F" w:rsidRPr="00A21682" w:rsidRDefault="00C5516F" w:rsidP="00BB2495">
            <w:pPr>
              <w:pStyle w:val="TABLETEXT1"/>
              <w:rPr>
                <w:lang w:val="en-US"/>
              </w:rPr>
            </w:pPr>
            <w:r>
              <w:rPr>
                <w:lang w:val="en-US"/>
              </w:rPr>
              <w:t xml:space="preserve">Define business objectives </w:t>
            </w:r>
            <w:r>
              <w:rPr>
                <w:lang w:val="en-US"/>
              </w:rPr>
              <w:lastRenderedPageBreak/>
              <w:t>and confirm high-level scope for Wave</w:t>
            </w:r>
          </w:p>
        </w:tc>
        <w:tc>
          <w:tcPr>
            <w:tcW w:w="1890" w:type="dxa"/>
          </w:tcPr>
          <w:p w14:paraId="1DC9C9F2" w14:textId="77777777" w:rsidR="00C5516F" w:rsidRPr="005968D7" w:rsidRDefault="00C5516F" w:rsidP="005968D7">
            <w:pPr>
              <w:pStyle w:val="TABLETEXT1"/>
              <w:rPr>
                <w:lang w:val="en-US"/>
              </w:rPr>
            </w:pPr>
            <w:r>
              <w:rPr>
                <w:lang w:val="en-US"/>
              </w:rPr>
              <w:lastRenderedPageBreak/>
              <w:t xml:space="preserve">Facilitate a strategic workshop with business, </w:t>
            </w:r>
            <w:r>
              <w:rPr>
                <w:lang w:val="en-US"/>
              </w:rPr>
              <w:lastRenderedPageBreak/>
              <w:t>executive, functional and technical stakeholders to define business objectives for the Wave and confirm high-level scope and goals based on the as-is state and current challenges.</w:t>
            </w:r>
          </w:p>
        </w:tc>
        <w:tc>
          <w:tcPr>
            <w:tcW w:w="1800" w:type="dxa"/>
          </w:tcPr>
          <w:p w14:paraId="61550561" w14:textId="77777777" w:rsidR="00C5516F" w:rsidRPr="00635C9B" w:rsidRDefault="00C5516F" w:rsidP="005968D7">
            <w:pPr>
              <w:pStyle w:val="TABLEBULLETNEW"/>
            </w:pPr>
            <w:r>
              <w:lastRenderedPageBreak/>
              <w:t>Executive Stakeholders</w:t>
            </w:r>
          </w:p>
          <w:p w14:paraId="6435E1E2" w14:textId="3A78217A" w:rsidR="00C5516F" w:rsidRPr="003F3040" w:rsidRDefault="00C5516F" w:rsidP="005968D7">
            <w:pPr>
              <w:pStyle w:val="TABLEBULLETNEW"/>
            </w:pPr>
            <w:r>
              <w:lastRenderedPageBreak/>
              <w:t>Business Stakeholders</w:t>
            </w:r>
          </w:p>
        </w:tc>
        <w:tc>
          <w:tcPr>
            <w:tcW w:w="1890" w:type="dxa"/>
          </w:tcPr>
          <w:p w14:paraId="02278C9F" w14:textId="77777777" w:rsidR="00C5516F" w:rsidRPr="00635C9B" w:rsidRDefault="00C5516F" w:rsidP="005968D7">
            <w:pPr>
              <w:pStyle w:val="TABLEBULLETNEW"/>
            </w:pPr>
            <w:r>
              <w:lastRenderedPageBreak/>
              <w:t>Current process and procedures documentation</w:t>
            </w:r>
          </w:p>
          <w:p w14:paraId="424A6A5B" w14:textId="77777777" w:rsidR="00C5516F" w:rsidRPr="00635C9B" w:rsidRDefault="00C5516F" w:rsidP="005968D7">
            <w:pPr>
              <w:pStyle w:val="TABLEBULLETNEW"/>
            </w:pPr>
            <w:r>
              <w:lastRenderedPageBreak/>
              <w:t>As-Is Assessment or Analysis</w:t>
            </w:r>
          </w:p>
          <w:p w14:paraId="7524E362" w14:textId="7BFE14C3" w:rsidR="00C5516F" w:rsidRPr="00635C9B" w:rsidRDefault="00C5516F" w:rsidP="005968D7">
            <w:pPr>
              <w:pStyle w:val="TABLEBULLETNEW"/>
            </w:pPr>
            <w:r>
              <w:t>Draft As-Is</w:t>
            </w:r>
            <w:r>
              <w:rPr>
                <w:highlight w:val="yellow"/>
              </w:rPr>
              <w:t xml:space="preserve"> </w:t>
            </w:r>
            <w:r>
              <w:t xml:space="preserve">Business Process Maps </w:t>
            </w:r>
          </w:p>
        </w:tc>
        <w:tc>
          <w:tcPr>
            <w:tcW w:w="1795" w:type="dxa"/>
          </w:tcPr>
          <w:p w14:paraId="23340F5A" w14:textId="346F2D83" w:rsidR="00C5516F" w:rsidRPr="00635C9B" w:rsidRDefault="00C5516F" w:rsidP="005968D7">
            <w:pPr>
              <w:pStyle w:val="TABLEBULLETNEW"/>
            </w:pPr>
            <w:r>
              <w:lastRenderedPageBreak/>
              <w:t xml:space="preserve">Business objectives or </w:t>
            </w:r>
            <w:r>
              <w:lastRenderedPageBreak/>
              <w:t>North Stars for the Wave</w:t>
            </w:r>
          </w:p>
        </w:tc>
      </w:tr>
      <w:tr w:rsidR="00C5516F" w:rsidRPr="00A21682" w14:paraId="6921EAE2" w14:textId="77777777" w:rsidTr="004C7A6C">
        <w:trPr>
          <w:trHeight w:val="300"/>
        </w:trPr>
        <w:tc>
          <w:tcPr>
            <w:tcW w:w="712" w:type="dxa"/>
          </w:tcPr>
          <w:p w14:paraId="200D6295" w14:textId="77777777" w:rsidR="00C5516F" w:rsidRPr="00A21682" w:rsidRDefault="00C5516F" w:rsidP="00047C4E">
            <w:pPr>
              <w:pStyle w:val="TABLETEXT1"/>
              <w:rPr>
                <w:lang w:val="en-US"/>
              </w:rPr>
            </w:pPr>
            <w:r>
              <w:rPr>
                <w:lang w:val="en-US"/>
              </w:rPr>
              <w:lastRenderedPageBreak/>
              <w:t>1.3a</w:t>
            </w:r>
          </w:p>
        </w:tc>
        <w:tc>
          <w:tcPr>
            <w:tcW w:w="1265" w:type="dxa"/>
          </w:tcPr>
          <w:p w14:paraId="3C8BB1F1" w14:textId="77777777" w:rsidR="00C5516F" w:rsidRPr="00A21682" w:rsidRDefault="00C5516F" w:rsidP="00BB2495">
            <w:pPr>
              <w:pStyle w:val="TABLETEXT1"/>
              <w:rPr>
                <w:lang w:val="en-US"/>
              </w:rPr>
            </w:pPr>
            <w:r>
              <w:rPr>
                <w:lang w:val="en-US"/>
              </w:rPr>
              <w:t>Objectives and scope defined</w:t>
            </w:r>
          </w:p>
        </w:tc>
        <w:tc>
          <w:tcPr>
            <w:tcW w:w="1890" w:type="dxa"/>
          </w:tcPr>
          <w:p w14:paraId="56362CC9" w14:textId="63624480" w:rsidR="00C5516F" w:rsidRPr="005968D7" w:rsidRDefault="00C5516F" w:rsidP="005968D7">
            <w:pPr>
              <w:pStyle w:val="TABLETEXT1"/>
              <w:rPr>
                <w:lang w:val="en-US"/>
              </w:rPr>
            </w:pPr>
            <w:r>
              <w:rPr>
                <w:lang w:val="en-US"/>
              </w:rPr>
              <w:t>DOH OHIP will review and decide if the business objectives and scope are defined enough to begin the Requirements Gathering phase.</w:t>
            </w:r>
          </w:p>
          <w:p w14:paraId="60E5C7D4" w14:textId="58BF9751" w:rsidR="00C5516F" w:rsidRPr="005968D7" w:rsidRDefault="00C5516F" w:rsidP="005968D7">
            <w:pPr>
              <w:pStyle w:val="TABLEBULLETNEW"/>
            </w:pPr>
            <w:r>
              <w:t xml:space="preserve">If yes, proceed to </w:t>
            </w:r>
            <w:r>
              <w:rPr>
                <w:i/>
              </w:rPr>
              <w:t>Step#2.0 Requirements Gathering phase</w:t>
            </w:r>
          </w:p>
          <w:p w14:paraId="4EC31ED8" w14:textId="65D3E143" w:rsidR="00C5516F" w:rsidRPr="005968D7" w:rsidRDefault="00C5516F" w:rsidP="005968D7">
            <w:pPr>
              <w:pStyle w:val="TABLEBULLETNEW"/>
            </w:pPr>
            <w:r>
              <w:t xml:space="preserve">If no, proceed to </w:t>
            </w:r>
            <w:r>
              <w:rPr>
                <w:i/>
              </w:rPr>
              <w:t>Step #1.4 Create To-Be Business Processes and Personas</w:t>
            </w:r>
          </w:p>
        </w:tc>
        <w:tc>
          <w:tcPr>
            <w:tcW w:w="1800" w:type="dxa"/>
          </w:tcPr>
          <w:p w14:paraId="2E8335D6" w14:textId="77777777" w:rsidR="00C5516F" w:rsidRPr="00635C9B" w:rsidRDefault="00C5516F" w:rsidP="005968D7">
            <w:pPr>
              <w:pStyle w:val="TABLEBULLETNEW"/>
            </w:pPr>
            <w:r>
              <w:t>Business Stakeholders</w:t>
            </w:r>
          </w:p>
        </w:tc>
        <w:tc>
          <w:tcPr>
            <w:tcW w:w="1890" w:type="dxa"/>
          </w:tcPr>
          <w:p w14:paraId="7AB525C2" w14:textId="77777777" w:rsidR="00C5516F" w:rsidRPr="00635C9B" w:rsidRDefault="00C5516F" w:rsidP="005968D7">
            <w:pPr>
              <w:pStyle w:val="TABLEBULLETNEW"/>
            </w:pPr>
            <w:r>
              <w:t>N/A</w:t>
            </w:r>
          </w:p>
        </w:tc>
        <w:tc>
          <w:tcPr>
            <w:tcW w:w="1795" w:type="dxa"/>
          </w:tcPr>
          <w:p w14:paraId="12768D93" w14:textId="77777777" w:rsidR="00C5516F" w:rsidRPr="00635C9B" w:rsidRDefault="00C5516F" w:rsidP="005968D7">
            <w:pPr>
              <w:pStyle w:val="TABLEBULLETNEW"/>
            </w:pPr>
            <w:r>
              <w:t>N/A</w:t>
            </w:r>
          </w:p>
        </w:tc>
      </w:tr>
      <w:tr w:rsidR="00C5516F" w:rsidRPr="00A21682" w14:paraId="6083FFDB" w14:textId="77777777" w:rsidTr="004C7A6C">
        <w:trPr>
          <w:trHeight w:val="300"/>
        </w:trPr>
        <w:tc>
          <w:tcPr>
            <w:tcW w:w="712" w:type="dxa"/>
          </w:tcPr>
          <w:p w14:paraId="553CDFEE" w14:textId="77777777" w:rsidR="00C5516F" w:rsidRPr="00A21682" w:rsidRDefault="00C5516F" w:rsidP="00047C4E">
            <w:pPr>
              <w:pStyle w:val="TABLETEXT1"/>
              <w:rPr>
                <w:lang w:val="en-US"/>
              </w:rPr>
            </w:pPr>
            <w:r>
              <w:rPr>
                <w:lang w:val="en-US"/>
              </w:rPr>
              <w:t>1.4</w:t>
            </w:r>
          </w:p>
        </w:tc>
        <w:tc>
          <w:tcPr>
            <w:tcW w:w="1265" w:type="dxa"/>
          </w:tcPr>
          <w:p w14:paraId="1B6782A8" w14:textId="2460C407" w:rsidR="00C5516F" w:rsidRPr="00A21682" w:rsidRDefault="00C5516F" w:rsidP="00BB2495">
            <w:pPr>
              <w:pStyle w:val="TABLETEXT1"/>
              <w:rPr>
                <w:lang w:val="en-US"/>
              </w:rPr>
            </w:pPr>
            <w:r>
              <w:rPr>
                <w:lang w:val="en-US"/>
              </w:rPr>
              <w:t>Create to-be business processes and personas</w:t>
            </w:r>
          </w:p>
        </w:tc>
        <w:tc>
          <w:tcPr>
            <w:tcW w:w="1890" w:type="dxa"/>
          </w:tcPr>
          <w:p w14:paraId="6D0C2EA9" w14:textId="184524B4" w:rsidR="00C5516F" w:rsidRPr="005968D7" w:rsidRDefault="00C5516F" w:rsidP="005968D7">
            <w:pPr>
              <w:pStyle w:val="TABLETEXT1"/>
              <w:rPr>
                <w:lang w:val="en-US"/>
              </w:rPr>
            </w:pPr>
            <w:r>
              <w:rPr>
                <w:lang w:val="en-US"/>
              </w:rPr>
              <w:t>███████ will draft to-be business processes and journey maps relevant to the Wave along with personas of typical end users that will interact with MECM when the Wave is rolled out.</w:t>
            </w:r>
          </w:p>
        </w:tc>
        <w:tc>
          <w:tcPr>
            <w:tcW w:w="1800" w:type="dxa"/>
          </w:tcPr>
          <w:p w14:paraId="0766FC1D" w14:textId="77777777" w:rsidR="00C5516F" w:rsidRPr="00635C9B" w:rsidRDefault="00C5516F" w:rsidP="005968D7">
            <w:pPr>
              <w:pStyle w:val="TABLEBULLETNEW"/>
            </w:pPr>
            <w:r>
              <w:t>Business Stakeholders</w:t>
            </w:r>
          </w:p>
        </w:tc>
        <w:tc>
          <w:tcPr>
            <w:tcW w:w="1890" w:type="dxa"/>
          </w:tcPr>
          <w:p w14:paraId="14E29B9C" w14:textId="77777777" w:rsidR="00C5516F" w:rsidRPr="00635C9B" w:rsidRDefault="00C5516F" w:rsidP="005968D7">
            <w:pPr>
              <w:pStyle w:val="TABLEBULLETNEW"/>
            </w:pPr>
            <w:r>
              <w:t xml:space="preserve">As-Is Business Process Maps </w:t>
            </w:r>
          </w:p>
          <w:p w14:paraId="5478768E" w14:textId="77777777" w:rsidR="00C5516F" w:rsidRPr="00635C9B" w:rsidRDefault="00C5516F" w:rsidP="005968D7">
            <w:pPr>
              <w:pStyle w:val="TABLEBULLETNEW"/>
            </w:pPr>
            <w:r>
              <w:t>Business objectives</w:t>
            </w:r>
          </w:p>
          <w:p w14:paraId="2C68F8FC" w14:textId="77777777" w:rsidR="00C5516F" w:rsidRPr="00635C9B" w:rsidRDefault="00C5516F" w:rsidP="005968D7">
            <w:pPr>
              <w:pStyle w:val="TABLEBULLETNEW"/>
            </w:pPr>
            <w:r>
              <w:t>High-level scope for the Wave</w:t>
            </w:r>
          </w:p>
        </w:tc>
        <w:tc>
          <w:tcPr>
            <w:tcW w:w="1795" w:type="dxa"/>
          </w:tcPr>
          <w:p w14:paraId="52249564" w14:textId="77777777" w:rsidR="00C5516F" w:rsidRPr="00635C9B" w:rsidRDefault="00C5516F" w:rsidP="005968D7">
            <w:pPr>
              <w:pStyle w:val="TABLEBULLETNEW"/>
            </w:pPr>
            <w:r>
              <w:t xml:space="preserve">Draft To-Be Business Process Maps </w:t>
            </w:r>
          </w:p>
        </w:tc>
      </w:tr>
      <w:tr w:rsidR="00C5516F" w:rsidRPr="00A21682" w14:paraId="7B0133E4" w14:textId="77777777" w:rsidTr="004C7A6C">
        <w:trPr>
          <w:trHeight w:val="300"/>
        </w:trPr>
        <w:tc>
          <w:tcPr>
            <w:tcW w:w="712" w:type="dxa"/>
          </w:tcPr>
          <w:p w14:paraId="42FB6F4B" w14:textId="77777777" w:rsidR="00C5516F" w:rsidRPr="00A21682" w:rsidRDefault="00C5516F" w:rsidP="00047C4E">
            <w:pPr>
              <w:pStyle w:val="TABLETEXT1"/>
              <w:rPr>
                <w:lang w:val="en-US"/>
              </w:rPr>
            </w:pPr>
            <w:r>
              <w:rPr>
                <w:lang w:val="en-US"/>
              </w:rPr>
              <w:t>1.5</w:t>
            </w:r>
          </w:p>
        </w:tc>
        <w:tc>
          <w:tcPr>
            <w:tcW w:w="1265" w:type="dxa"/>
          </w:tcPr>
          <w:p w14:paraId="42E957F4" w14:textId="6E09B65A" w:rsidR="00C5516F" w:rsidRPr="00A21682" w:rsidRDefault="00C5516F" w:rsidP="00BB2495">
            <w:pPr>
              <w:pStyle w:val="TABLETEXT1"/>
              <w:rPr>
                <w:lang w:val="en-US"/>
              </w:rPr>
            </w:pPr>
            <w:r>
              <w:rPr>
                <w:lang w:val="en-US"/>
              </w:rPr>
              <w:t xml:space="preserve">Conduct persona-based business process </w:t>
            </w:r>
            <w:r>
              <w:rPr>
                <w:lang w:val="en-US"/>
              </w:rPr>
              <w:lastRenderedPageBreak/>
              <w:t>working session</w:t>
            </w:r>
          </w:p>
        </w:tc>
        <w:tc>
          <w:tcPr>
            <w:tcW w:w="1890" w:type="dxa"/>
          </w:tcPr>
          <w:p w14:paraId="0CDFFEF7" w14:textId="77777777" w:rsidR="00C5516F" w:rsidRPr="005968D7" w:rsidRDefault="00C5516F" w:rsidP="005968D7">
            <w:pPr>
              <w:pStyle w:val="TABLETEXT1"/>
              <w:rPr>
                <w:lang w:val="en-US"/>
              </w:rPr>
            </w:pPr>
            <w:r>
              <w:rPr>
                <w:lang w:val="en-US"/>
              </w:rPr>
              <w:lastRenderedPageBreak/>
              <w:t xml:space="preserve">███████ will facilitate to-be business process map walkthroughs utilizing personas </w:t>
            </w:r>
            <w:r>
              <w:rPr>
                <w:lang w:val="en-US"/>
              </w:rPr>
              <w:lastRenderedPageBreak/>
              <w:t>with business, functional, and technical stakeholders and gather feedback.</w:t>
            </w:r>
          </w:p>
        </w:tc>
        <w:tc>
          <w:tcPr>
            <w:tcW w:w="1800" w:type="dxa"/>
          </w:tcPr>
          <w:p w14:paraId="0844FC9C" w14:textId="77777777" w:rsidR="00C5516F" w:rsidRPr="00635C9B" w:rsidRDefault="00C5516F" w:rsidP="005968D7">
            <w:pPr>
              <w:pStyle w:val="TABLEBULLETNEW"/>
            </w:pPr>
            <w:r>
              <w:lastRenderedPageBreak/>
              <w:t>Business Stakeholders</w:t>
            </w:r>
          </w:p>
        </w:tc>
        <w:tc>
          <w:tcPr>
            <w:tcW w:w="1890" w:type="dxa"/>
          </w:tcPr>
          <w:p w14:paraId="599BACF6" w14:textId="77777777" w:rsidR="00C5516F" w:rsidRPr="00635C9B" w:rsidRDefault="00C5516F" w:rsidP="005968D7">
            <w:pPr>
              <w:pStyle w:val="TABLEBULLETNEW"/>
            </w:pPr>
            <w:r>
              <w:t>Personas</w:t>
            </w:r>
          </w:p>
          <w:p w14:paraId="44472D5D" w14:textId="05A75A20" w:rsidR="00C5516F" w:rsidRPr="00635C9B" w:rsidRDefault="00C5516F" w:rsidP="005968D7">
            <w:pPr>
              <w:pStyle w:val="TABLEBULLETNEW"/>
            </w:pPr>
            <w:r>
              <w:t xml:space="preserve">Draft As-Is/To-Be Business </w:t>
            </w:r>
            <w:r>
              <w:lastRenderedPageBreak/>
              <w:t>Process Maps (DEL-17)</w:t>
            </w:r>
          </w:p>
        </w:tc>
        <w:tc>
          <w:tcPr>
            <w:tcW w:w="1795" w:type="dxa"/>
          </w:tcPr>
          <w:p w14:paraId="79A41403" w14:textId="57EAF891" w:rsidR="00C5516F" w:rsidRPr="00635C9B" w:rsidRDefault="00C5516F" w:rsidP="005968D7">
            <w:pPr>
              <w:pStyle w:val="TABLEBULLETNEW"/>
            </w:pPr>
            <w:r>
              <w:lastRenderedPageBreak/>
              <w:t>Meeting minutes</w:t>
            </w:r>
          </w:p>
          <w:p w14:paraId="26A09F04" w14:textId="77777777" w:rsidR="00C5516F" w:rsidRPr="00635C9B" w:rsidRDefault="00C5516F" w:rsidP="005968D7">
            <w:pPr>
              <w:pStyle w:val="TABLEBULLETNEW"/>
            </w:pPr>
            <w:r>
              <w:lastRenderedPageBreak/>
              <w:t xml:space="preserve">Updated Business Process Maps </w:t>
            </w:r>
          </w:p>
        </w:tc>
      </w:tr>
      <w:tr w:rsidR="00C5516F" w:rsidRPr="00A21682" w14:paraId="74366D77" w14:textId="77777777" w:rsidTr="004C7A6C">
        <w:trPr>
          <w:trHeight w:val="300"/>
        </w:trPr>
        <w:tc>
          <w:tcPr>
            <w:tcW w:w="712" w:type="dxa"/>
            <w:shd w:val="clear" w:color="auto" w:fill="FFFFFF"/>
          </w:tcPr>
          <w:p w14:paraId="7830B10E" w14:textId="77777777" w:rsidR="00C5516F" w:rsidRPr="00A21682" w:rsidRDefault="00C5516F" w:rsidP="00047C4E">
            <w:pPr>
              <w:pStyle w:val="TABLETEXT1"/>
              <w:rPr>
                <w:lang w:val="en-US"/>
              </w:rPr>
            </w:pPr>
            <w:r>
              <w:rPr>
                <w:lang w:val="en-US"/>
              </w:rPr>
              <w:lastRenderedPageBreak/>
              <w:t>1.5a</w:t>
            </w:r>
          </w:p>
        </w:tc>
        <w:tc>
          <w:tcPr>
            <w:tcW w:w="1265" w:type="dxa"/>
            <w:shd w:val="clear" w:color="auto" w:fill="FFFFFF"/>
          </w:tcPr>
          <w:p w14:paraId="7F055068" w14:textId="367F0663" w:rsidR="00C5516F" w:rsidRPr="00A21682" w:rsidRDefault="00C5516F" w:rsidP="00BB2495">
            <w:pPr>
              <w:pStyle w:val="TABLETEXT1"/>
              <w:rPr>
                <w:lang w:val="en-US"/>
              </w:rPr>
            </w:pPr>
            <w:r>
              <w:rPr>
                <w:lang w:val="en-US"/>
              </w:rPr>
              <w:t>Wave objectives or high-level scope need revision</w:t>
            </w:r>
          </w:p>
        </w:tc>
        <w:tc>
          <w:tcPr>
            <w:tcW w:w="1890" w:type="dxa"/>
            <w:shd w:val="clear" w:color="auto" w:fill="FFFFFF"/>
          </w:tcPr>
          <w:p w14:paraId="09EA9C65" w14:textId="38E663F2" w:rsidR="00C5516F" w:rsidRPr="005968D7" w:rsidRDefault="00C5516F" w:rsidP="005968D7">
            <w:pPr>
              <w:pStyle w:val="TABLETEXT1"/>
              <w:rPr>
                <w:lang w:val="en-US"/>
              </w:rPr>
            </w:pPr>
            <w:r>
              <w:rPr>
                <w:lang w:val="en-US"/>
              </w:rPr>
              <w:t xml:space="preserve">DOH OHIP will review and decide if the business processes and journey maps require revision. </w:t>
            </w:r>
          </w:p>
          <w:p w14:paraId="7B6DD998" w14:textId="4071AFB0" w:rsidR="00C5516F" w:rsidRPr="005968D7" w:rsidRDefault="00C5516F" w:rsidP="005968D7">
            <w:pPr>
              <w:pStyle w:val="TABLEBULLETNEW"/>
            </w:pPr>
            <w:r>
              <w:t xml:space="preserve">If yes, </w:t>
            </w:r>
            <w:r>
              <w:rPr>
                <w:highlight w:val="black"/>
              </w:rPr>
              <w:t>Deloitte</w:t>
            </w:r>
            <w:r>
              <w:t xml:space="preserve"> will proceed to </w:t>
            </w:r>
            <w:r>
              <w:rPr>
                <w:i/>
              </w:rPr>
              <w:t>Step #1.3 Define business objectives and confirm high-level scope for Wave</w:t>
            </w:r>
          </w:p>
          <w:p w14:paraId="320ED67B" w14:textId="432554A7" w:rsidR="00C5516F" w:rsidRPr="005968D7" w:rsidRDefault="00C5516F" w:rsidP="005968D7">
            <w:pPr>
              <w:pStyle w:val="TABLEBULLETNEW"/>
            </w:pPr>
            <w:r>
              <w:t xml:space="preserve">If no, proceed to </w:t>
            </w:r>
            <w:r>
              <w:rPr>
                <w:i/>
              </w:rPr>
              <w:t xml:space="preserve">Step #1.6 Finalize and approve business processes maps, personas, objectives, </w:t>
            </w:r>
            <w:r>
              <w:rPr>
                <w:rFonts w:eastAsia="Verdana" w:cs="Verdana"/>
                <w:i/>
                <w:color w:val="auto"/>
                <w:szCs w:val="20"/>
              </w:rPr>
              <w:t>and high-level scope</w:t>
            </w:r>
          </w:p>
        </w:tc>
        <w:tc>
          <w:tcPr>
            <w:tcW w:w="1800" w:type="dxa"/>
            <w:shd w:val="clear" w:color="auto" w:fill="FFFFFF"/>
          </w:tcPr>
          <w:p w14:paraId="7E46F283" w14:textId="77777777" w:rsidR="00C5516F" w:rsidRPr="00635C9B" w:rsidRDefault="00C5516F" w:rsidP="005968D7">
            <w:pPr>
              <w:pStyle w:val="TABLEBULLETNEW"/>
            </w:pPr>
            <w:r>
              <w:t>Business Stakeholders</w:t>
            </w:r>
          </w:p>
        </w:tc>
        <w:tc>
          <w:tcPr>
            <w:tcW w:w="1890" w:type="dxa"/>
            <w:shd w:val="clear" w:color="auto" w:fill="FFFFFF"/>
          </w:tcPr>
          <w:p w14:paraId="02D296E3" w14:textId="77777777" w:rsidR="00C5516F" w:rsidRPr="00635C9B" w:rsidRDefault="00C5516F" w:rsidP="005968D7">
            <w:pPr>
              <w:pStyle w:val="TABLEBULLETNEW"/>
            </w:pPr>
            <w:r>
              <w:t>Meeting Minutes</w:t>
            </w:r>
          </w:p>
          <w:p w14:paraId="63F3295A" w14:textId="77777777" w:rsidR="00C5516F" w:rsidRPr="00635C9B" w:rsidRDefault="00C5516F" w:rsidP="005968D7">
            <w:pPr>
              <w:pStyle w:val="TABLEBULLETNEW"/>
            </w:pPr>
            <w:r>
              <w:t>Updated Business Process Maps</w:t>
            </w:r>
          </w:p>
        </w:tc>
        <w:tc>
          <w:tcPr>
            <w:tcW w:w="1795" w:type="dxa"/>
            <w:shd w:val="clear" w:color="auto" w:fill="FFFFFF"/>
          </w:tcPr>
          <w:p w14:paraId="028645F5" w14:textId="77777777" w:rsidR="00C5516F" w:rsidRPr="00635C9B" w:rsidRDefault="00C5516F" w:rsidP="005968D7">
            <w:pPr>
              <w:pStyle w:val="TABLEBULLETNEW"/>
            </w:pPr>
            <w:r>
              <w:t>Yes/No Decision</w:t>
            </w:r>
          </w:p>
        </w:tc>
      </w:tr>
      <w:tr w:rsidR="00C5516F" w:rsidRPr="00A21682" w14:paraId="111F4113" w14:textId="77777777" w:rsidTr="004C7A6C">
        <w:trPr>
          <w:trHeight w:val="300"/>
        </w:trPr>
        <w:tc>
          <w:tcPr>
            <w:tcW w:w="712" w:type="dxa"/>
            <w:shd w:val="clear" w:color="auto" w:fill="FFFFFF"/>
          </w:tcPr>
          <w:p w14:paraId="6712678A" w14:textId="77777777" w:rsidR="00C5516F" w:rsidRPr="00A21682" w:rsidRDefault="00C5516F" w:rsidP="00047C4E">
            <w:pPr>
              <w:pStyle w:val="TABLETEXT1"/>
              <w:rPr>
                <w:lang w:val="en-US"/>
              </w:rPr>
            </w:pPr>
            <w:r>
              <w:rPr>
                <w:lang w:val="en-US"/>
              </w:rPr>
              <w:t>1.6</w:t>
            </w:r>
          </w:p>
        </w:tc>
        <w:tc>
          <w:tcPr>
            <w:tcW w:w="1265" w:type="dxa"/>
            <w:shd w:val="clear" w:color="auto" w:fill="FFFFFF"/>
          </w:tcPr>
          <w:p w14:paraId="481B0CE6" w14:textId="0340C9B7" w:rsidR="00C5516F" w:rsidRPr="00A21682" w:rsidRDefault="00C5516F" w:rsidP="00BB2495">
            <w:pPr>
              <w:pStyle w:val="TABLETEXT1"/>
              <w:rPr>
                <w:lang w:val="en-US"/>
              </w:rPr>
            </w:pPr>
            <w:r>
              <w:rPr>
                <w:lang w:val="en-US"/>
              </w:rPr>
              <w:t>Finalize and approve business process maps, personas, objectives, and high-level scope</w:t>
            </w:r>
          </w:p>
        </w:tc>
        <w:tc>
          <w:tcPr>
            <w:tcW w:w="1890" w:type="dxa"/>
            <w:shd w:val="clear" w:color="auto" w:fill="FFFFFF"/>
          </w:tcPr>
          <w:p w14:paraId="50CA9F62" w14:textId="77777777" w:rsidR="00C5516F" w:rsidRPr="005968D7" w:rsidRDefault="00C5516F" w:rsidP="005968D7">
            <w:pPr>
              <w:pStyle w:val="TABLETEXT1"/>
              <w:rPr>
                <w:lang w:val="en-US"/>
              </w:rPr>
            </w:pPr>
            <w:r>
              <w:rPr>
                <w:lang w:val="en-US"/>
              </w:rPr>
              <w:t xml:space="preserve">███████ will finalize the business process analysis deliverables and submit deliverables to DOH OHIP in accordance with the Deliverable Management Plan. </w:t>
            </w:r>
          </w:p>
        </w:tc>
        <w:tc>
          <w:tcPr>
            <w:tcW w:w="1800" w:type="dxa"/>
            <w:shd w:val="clear" w:color="auto" w:fill="FFFFFF"/>
          </w:tcPr>
          <w:p w14:paraId="0851458D" w14:textId="77777777" w:rsidR="00C5516F" w:rsidRPr="00635C9B" w:rsidRDefault="00C5516F" w:rsidP="005968D7">
            <w:pPr>
              <w:pStyle w:val="TABLEBULLETNEW"/>
            </w:pPr>
            <w:r>
              <w:t>Business Stakeholders</w:t>
            </w:r>
          </w:p>
        </w:tc>
        <w:tc>
          <w:tcPr>
            <w:tcW w:w="1890" w:type="dxa"/>
            <w:shd w:val="clear" w:color="auto" w:fill="FFFFFF"/>
          </w:tcPr>
          <w:p w14:paraId="30E5E89F" w14:textId="77777777" w:rsidR="00C5516F" w:rsidRPr="00635C9B" w:rsidRDefault="00C5516F" w:rsidP="005968D7">
            <w:pPr>
              <w:pStyle w:val="TABLEBULLETNEW"/>
            </w:pPr>
            <w:r>
              <w:t>Draft To-Be Business Process Maps</w:t>
            </w:r>
          </w:p>
          <w:p w14:paraId="7F19F0A7" w14:textId="77777777" w:rsidR="00C5516F" w:rsidRPr="00635C9B" w:rsidRDefault="00C5516F" w:rsidP="005968D7">
            <w:pPr>
              <w:pStyle w:val="TABLEBULLETNEW"/>
            </w:pPr>
            <w:r>
              <w:t>Draft As-Is Business Process Maps</w:t>
            </w:r>
          </w:p>
          <w:p w14:paraId="21322F28" w14:textId="77777777" w:rsidR="00C5516F" w:rsidRPr="00635C9B" w:rsidRDefault="00C5516F" w:rsidP="005968D7">
            <w:pPr>
              <w:pStyle w:val="TABLEBULLETNEW"/>
            </w:pPr>
            <w:r>
              <w:t>Deliverable Management Plan</w:t>
            </w:r>
          </w:p>
        </w:tc>
        <w:tc>
          <w:tcPr>
            <w:tcW w:w="1795" w:type="dxa"/>
            <w:shd w:val="clear" w:color="auto" w:fill="FFFFFF"/>
          </w:tcPr>
          <w:p w14:paraId="65D0AA39" w14:textId="1B68B321" w:rsidR="00C5516F" w:rsidRPr="00635C9B" w:rsidRDefault="00C5516F" w:rsidP="005968D7">
            <w:pPr>
              <w:pStyle w:val="TABLEBULLETNEW"/>
            </w:pPr>
            <w:r>
              <w:t>As-Is/To-Be Business Process Maps (DEL-17)</w:t>
            </w:r>
          </w:p>
        </w:tc>
      </w:tr>
    </w:tbl>
    <w:p w14:paraId="77102CBF" w14:textId="4A20DD63" w:rsidR="00C5516F" w:rsidRPr="00A21682" w:rsidRDefault="00C5516F" w:rsidP="005911DA">
      <w:pPr>
        <w:pStyle w:val="Caption"/>
        <w:rPr>
          <w:rFonts w:cs="Arial"/>
          <w:noProof w:val="0"/>
        </w:rPr>
      </w:pPr>
      <w:bookmarkStart w:id="249" w:name="_Toc150951866"/>
      <w:bookmarkStart w:id="250" w:name="_Toc19287509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8</w:t>
      </w:r>
      <w:r>
        <w:rPr>
          <w:noProof w:val="0"/>
        </w:rPr>
        <w:fldChar w:fldCharType="end"/>
      </w:r>
      <w:r>
        <w:rPr>
          <w:noProof w:val="0"/>
        </w:rPr>
        <w:t>:</w:t>
      </w:r>
      <w:r>
        <w:rPr>
          <w:rFonts w:cs="Arial"/>
          <w:noProof w:val="0"/>
        </w:rPr>
        <w:t xml:space="preserve"> Business Process Analysis Process Flow Narrative</w:t>
      </w:r>
      <w:bookmarkEnd w:id="249"/>
      <w:bookmarkEnd w:id="250"/>
    </w:p>
    <w:p w14:paraId="42919A17" w14:textId="6A57365F" w:rsidR="00C5516F" w:rsidRPr="00A21682" w:rsidRDefault="00C5516F">
      <w:pPr>
        <w:pStyle w:val="Heading3"/>
        <w:rPr>
          <w:u w:color="000000"/>
        </w:rPr>
      </w:pPr>
      <w:bookmarkStart w:id="251" w:name="_Toc147825260"/>
      <w:bookmarkStart w:id="252" w:name="_Toc147825425"/>
      <w:bookmarkStart w:id="253" w:name="_Toc148102314"/>
      <w:bookmarkStart w:id="254" w:name="_Toc148098416"/>
      <w:bookmarkStart w:id="255" w:name="_Toc149051788"/>
      <w:bookmarkStart w:id="256" w:name="_Toc152605609"/>
      <w:bookmarkStart w:id="257" w:name="_Toc152605798"/>
      <w:bookmarkStart w:id="258" w:name="_Toc147825261"/>
      <w:bookmarkStart w:id="259" w:name="_Toc147825426"/>
      <w:bookmarkStart w:id="260" w:name="_Toc148102315"/>
      <w:bookmarkStart w:id="261" w:name="_Toc148098417"/>
      <w:bookmarkStart w:id="262" w:name="_Toc149051789"/>
      <w:bookmarkStart w:id="263" w:name="_Toc152605610"/>
      <w:bookmarkStart w:id="264" w:name="_Toc152605799"/>
      <w:bookmarkStart w:id="265" w:name="_Toc148102316"/>
      <w:bookmarkStart w:id="266" w:name="_Toc152605800"/>
      <w:bookmarkStart w:id="267" w:name="_Toc177118942"/>
      <w:bookmarkStart w:id="268" w:name="_Toc185952497"/>
      <w:bookmarkStart w:id="269" w:name="_Toc192874671"/>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u w:color="000000"/>
        </w:rPr>
        <w:t>Roles and Responsibilities</w:t>
      </w:r>
      <w:bookmarkEnd w:id="265"/>
      <w:bookmarkEnd w:id="266"/>
      <w:bookmarkEnd w:id="267"/>
      <w:bookmarkEnd w:id="268"/>
      <w:bookmarkEnd w:id="269"/>
    </w:p>
    <w:p w14:paraId="0531CB7E" w14:textId="21ABEFC0" w:rsidR="00C5516F" w:rsidRPr="00A21682" w:rsidRDefault="009C4682" w:rsidP="00C5516F">
      <w:pPr>
        <w:pStyle w:val="NormalNEW"/>
        <w:rPr>
          <w:u w:color="000000"/>
          <w:lang w:val="en-US"/>
        </w:rPr>
      </w:pPr>
      <w:r>
        <w:rPr>
          <w:u w:color="000000"/>
          <w:lang w:val="en-US"/>
        </w:rPr>
        <w:t xml:space="preserve">The SDLC RACI Matrix and roles and responsibilities can be found in Appendix C-1. </w:t>
      </w:r>
    </w:p>
    <w:p w14:paraId="2AFD556C" w14:textId="77777777" w:rsidR="005666B0" w:rsidRPr="00A21682" w:rsidRDefault="005666B0" w:rsidP="005666B0">
      <w:pPr>
        <w:pStyle w:val="Heading3"/>
        <w:rPr>
          <w:u w:color="000000"/>
        </w:rPr>
      </w:pPr>
      <w:bookmarkStart w:id="270" w:name="_Toc148102317"/>
      <w:bookmarkStart w:id="271" w:name="_Toc152605801"/>
      <w:bookmarkStart w:id="272" w:name="_Toc177118943"/>
      <w:bookmarkStart w:id="273" w:name="_Toc185952498"/>
      <w:bookmarkStart w:id="274" w:name="_Toc192874672"/>
      <w:bookmarkStart w:id="275" w:name="_Toc148102318"/>
      <w:bookmarkStart w:id="276" w:name="_Toc152605802"/>
      <w:r>
        <w:rPr>
          <w:u w:color="000000"/>
        </w:rPr>
        <w:lastRenderedPageBreak/>
        <w:t>Phase Exit Criteria</w:t>
      </w:r>
      <w:bookmarkEnd w:id="270"/>
      <w:bookmarkEnd w:id="271"/>
      <w:bookmarkEnd w:id="272"/>
      <w:bookmarkEnd w:id="273"/>
      <w:bookmarkEnd w:id="274"/>
    </w:p>
    <w:p w14:paraId="735B4EAD" w14:textId="4849E459" w:rsidR="00601951" w:rsidRPr="00A21682" w:rsidRDefault="00601951" w:rsidP="00601951">
      <w:pPr>
        <w:pStyle w:val="NormalNEW"/>
        <w:rPr>
          <w:lang w:val="en-US"/>
        </w:rPr>
      </w:pPr>
      <w:r>
        <w:rPr>
          <w:lang w:val="en-US"/>
        </w:rPr>
        <w:t>Key stakeholders from ███████ and DOH OHIP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5666B0" w:rsidRPr="00A21682" w14:paraId="3C1D7B6A" w14:textId="77777777" w:rsidTr="004F028C">
        <w:trPr>
          <w:trHeight w:val="300"/>
        </w:trPr>
        <w:tc>
          <w:tcPr>
            <w:tcW w:w="481" w:type="dxa"/>
            <w:tcBorders>
              <w:right w:val="single" w:sz="2" w:space="0" w:color="FFFFFF" w:themeColor="background1"/>
            </w:tcBorders>
            <w:shd w:val="clear" w:color="auto" w:fill="000000"/>
            <w:hideMark/>
          </w:tcPr>
          <w:p w14:paraId="77EB28F3" w14:textId="77777777" w:rsidR="005666B0" w:rsidRPr="00A21682" w:rsidRDefault="005666B0" w:rsidP="004F028C">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138EF1BC" w14:textId="77777777" w:rsidR="005666B0" w:rsidRPr="00A21682" w:rsidRDefault="005666B0" w:rsidP="004F028C">
            <w:pPr>
              <w:pStyle w:val="TABLEHEADINGNEW"/>
            </w:pPr>
            <w:r>
              <w:t>Exit Criteria</w:t>
            </w:r>
          </w:p>
        </w:tc>
        <w:tc>
          <w:tcPr>
            <w:tcW w:w="4300" w:type="dxa"/>
            <w:tcBorders>
              <w:left w:val="single" w:sz="2" w:space="0" w:color="FFFFFF" w:themeColor="background1"/>
            </w:tcBorders>
            <w:shd w:val="clear" w:color="auto" w:fill="000000"/>
          </w:tcPr>
          <w:p w14:paraId="6DDC6BB9" w14:textId="77777777" w:rsidR="005666B0" w:rsidRPr="00A21682" w:rsidRDefault="005666B0" w:rsidP="004F028C">
            <w:pPr>
              <w:pStyle w:val="TABLEHEADINGNEW"/>
            </w:pPr>
            <w:r>
              <w:t>Related Document(s)/Artifact(s)</w:t>
            </w:r>
          </w:p>
        </w:tc>
      </w:tr>
      <w:tr w:rsidR="005666B0" w:rsidRPr="00A21682" w14:paraId="314A67B2" w14:textId="77777777" w:rsidTr="004F028C">
        <w:trPr>
          <w:trHeight w:val="300"/>
        </w:trPr>
        <w:tc>
          <w:tcPr>
            <w:tcW w:w="481" w:type="dxa"/>
            <w:hideMark/>
          </w:tcPr>
          <w:p w14:paraId="521457DD" w14:textId="77777777" w:rsidR="005666B0" w:rsidRPr="00A21682" w:rsidRDefault="005666B0" w:rsidP="004F028C">
            <w:pPr>
              <w:pStyle w:val="TABLETEXT1"/>
              <w:rPr>
                <w:lang w:val="en-US"/>
              </w:rPr>
            </w:pPr>
            <w:r>
              <w:rPr>
                <w:lang w:val="en-US"/>
              </w:rPr>
              <w:t>1 </w:t>
            </w:r>
          </w:p>
        </w:tc>
        <w:tc>
          <w:tcPr>
            <w:tcW w:w="4563" w:type="dxa"/>
          </w:tcPr>
          <w:p w14:paraId="717BA8A0" w14:textId="69822487" w:rsidR="005666B0" w:rsidRPr="00A21682" w:rsidRDefault="005666B0" w:rsidP="004F028C">
            <w:pPr>
              <w:pStyle w:val="TABLETEXT1"/>
              <w:rPr>
                <w:lang w:val="en-US"/>
              </w:rPr>
            </w:pPr>
            <w:r>
              <w:rPr>
                <w:lang w:val="en-US"/>
              </w:rPr>
              <w:t>As-Is/To-Be Business Process Maps (DEL-17) and personas are reviewed and approved by DOH OHIP</w:t>
            </w:r>
          </w:p>
        </w:tc>
        <w:tc>
          <w:tcPr>
            <w:tcW w:w="4300" w:type="dxa"/>
          </w:tcPr>
          <w:p w14:paraId="3000FF2E" w14:textId="7C9AF522" w:rsidR="005666B0" w:rsidRPr="00635C9B" w:rsidRDefault="005666B0" w:rsidP="009729D2">
            <w:pPr>
              <w:pStyle w:val="TABLEBULLETNEW"/>
            </w:pPr>
            <w:r>
              <w:t>As-Is/To-Be Business Process Maps (DEL-17)</w:t>
            </w:r>
          </w:p>
        </w:tc>
      </w:tr>
      <w:tr w:rsidR="005666B0" w:rsidRPr="00A21682" w14:paraId="1AF2AA12" w14:textId="77777777" w:rsidTr="004F028C">
        <w:trPr>
          <w:trHeight w:val="300"/>
        </w:trPr>
        <w:tc>
          <w:tcPr>
            <w:tcW w:w="481" w:type="dxa"/>
          </w:tcPr>
          <w:p w14:paraId="0E78E54B" w14:textId="77777777" w:rsidR="005666B0" w:rsidRPr="00A21682" w:rsidRDefault="005666B0" w:rsidP="004F028C">
            <w:pPr>
              <w:pStyle w:val="TABLETEXT1"/>
              <w:rPr>
                <w:lang w:val="en-US"/>
              </w:rPr>
            </w:pPr>
            <w:r>
              <w:rPr>
                <w:lang w:val="en-US"/>
              </w:rPr>
              <w:t>2</w:t>
            </w:r>
          </w:p>
        </w:tc>
        <w:tc>
          <w:tcPr>
            <w:tcW w:w="4563" w:type="dxa"/>
          </w:tcPr>
          <w:p w14:paraId="4F01289D" w14:textId="77777777" w:rsidR="005666B0" w:rsidRPr="00A21682" w:rsidRDefault="005666B0" w:rsidP="004F028C">
            <w:pPr>
              <w:pStyle w:val="TABLETEXT1"/>
              <w:rPr>
                <w:lang w:val="en-US"/>
              </w:rPr>
            </w:pPr>
            <w:r>
              <w:rPr>
                <w:lang w:val="en-US"/>
              </w:rPr>
              <w:t>Business requirements or high-level scope are defined and documented</w:t>
            </w:r>
          </w:p>
        </w:tc>
        <w:tc>
          <w:tcPr>
            <w:tcW w:w="4300" w:type="dxa"/>
          </w:tcPr>
          <w:p w14:paraId="7A7FFBFA" w14:textId="77777777" w:rsidR="005666B0" w:rsidRPr="00635C9B" w:rsidRDefault="005666B0" w:rsidP="009729D2">
            <w:pPr>
              <w:pStyle w:val="TABLEBULLETNEW"/>
            </w:pPr>
            <w:r>
              <w:t>Requirement Logic Flows/System Requirements Input Documents</w:t>
            </w:r>
          </w:p>
        </w:tc>
      </w:tr>
      <w:tr w:rsidR="005666B0" w:rsidRPr="00A21682" w14:paraId="7E3401B9" w14:textId="77777777" w:rsidTr="004F028C">
        <w:trPr>
          <w:trHeight w:val="300"/>
        </w:trPr>
        <w:tc>
          <w:tcPr>
            <w:tcW w:w="481" w:type="dxa"/>
          </w:tcPr>
          <w:p w14:paraId="6A733EF1" w14:textId="77777777" w:rsidR="005666B0" w:rsidRPr="00A21682" w:rsidRDefault="005666B0" w:rsidP="004F028C">
            <w:pPr>
              <w:pStyle w:val="TABLETEXT1"/>
              <w:rPr>
                <w:lang w:val="en-US"/>
              </w:rPr>
            </w:pPr>
            <w:r>
              <w:rPr>
                <w:lang w:val="en-US"/>
              </w:rPr>
              <w:t>3</w:t>
            </w:r>
          </w:p>
        </w:tc>
        <w:tc>
          <w:tcPr>
            <w:tcW w:w="4563" w:type="dxa"/>
          </w:tcPr>
          <w:p w14:paraId="62428B8D" w14:textId="77777777" w:rsidR="005666B0" w:rsidRPr="00A21682" w:rsidRDefault="005666B0" w:rsidP="004F028C">
            <w:pPr>
              <w:pStyle w:val="TABLETEXT1"/>
              <w:rPr>
                <w:lang w:val="en-US"/>
              </w:rPr>
            </w:pPr>
            <w:r>
              <w:rPr>
                <w:lang w:val="en-US"/>
              </w:rPr>
              <w:t>Business objectives for the Wave are defined and documented</w:t>
            </w:r>
          </w:p>
        </w:tc>
        <w:tc>
          <w:tcPr>
            <w:tcW w:w="4300" w:type="dxa"/>
          </w:tcPr>
          <w:p w14:paraId="2DF07E8F" w14:textId="77777777" w:rsidR="005666B0" w:rsidRPr="00635C9B" w:rsidRDefault="005666B0" w:rsidP="009729D2">
            <w:pPr>
              <w:pStyle w:val="TABLEBULLETNEW"/>
            </w:pPr>
            <w:r>
              <w:t>Business Objectives Documentation</w:t>
            </w:r>
          </w:p>
        </w:tc>
      </w:tr>
    </w:tbl>
    <w:p w14:paraId="2C3304E1" w14:textId="0FDCC655" w:rsidR="005666B0" w:rsidRPr="00A21682" w:rsidRDefault="005666B0" w:rsidP="005911DA">
      <w:pPr>
        <w:pStyle w:val="Caption"/>
        <w:rPr>
          <w:rFonts w:cs="Arial"/>
          <w:noProof w:val="0"/>
        </w:rPr>
      </w:pPr>
      <w:bookmarkStart w:id="277" w:name="_Toc150951867"/>
      <w:bookmarkStart w:id="278" w:name="_Toc19287509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9</w:t>
      </w:r>
      <w:r>
        <w:rPr>
          <w:noProof w:val="0"/>
        </w:rPr>
        <w:fldChar w:fldCharType="end"/>
      </w:r>
      <w:r>
        <w:rPr>
          <w:noProof w:val="0"/>
        </w:rPr>
        <w:t>:</w:t>
      </w:r>
      <w:r>
        <w:rPr>
          <w:rFonts w:cs="Arial"/>
          <w:noProof w:val="0"/>
        </w:rPr>
        <w:t xml:space="preserve"> Business Process Analysis Phase Exit Criteria</w:t>
      </w:r>
      <w:bookmarkEnd w:id="277"/>
      <w:bookmarkEnd w:id="278"/>
    </w:p>
    <w:p w14:paraId="2A60B4E4" w14:textId="2CF13FA3" w:rsidR="00C5516F" w:rsidRPr="00A21682" w:rsidRDefault="00C5516F">
      <w:pPr>
        <w:pStyle w:val="Heading3"/>
        <w:rPr>
          <w:u w:color="000000"/>
        </w:rPr>
      </w:pPr>
      <w:bookmarkStart w:id="279" w:name="_Toc177118944"/>
      <w:bookmarkStart w:id="280" w:name="_Toc185952499"/>
      <w:bookmarkStart w:id="281" w:name="_Toc192874673"/>
      <w:r>
        <w:rPr>
          <w:u w:color="000000"/>
        </w:rPr>
        <w:t xml:space="preserve">Supporting </w:t>
      </w:r>
      <w:r>
        <w:t xml:space="preserve">Application Lifecycle Management </w:t>
      </w:r>
      <w:r>
        <w:rPr>
          <w:u w:color="000000"/>
        </w:rPr>
        <w:t>(ALM) Tools</w:t>
      </w:r>
      <w:bookmarkEnd w:id="275"/>
      <w:bookmarkEnd w:id="276"/>
      <w:bookmarkEnd w:id="279"/>
      <w:bookmarkEnd w:id="280"/>
      <w:bookmarkEnd w:id="281"/>
    </w:p>
    <w:p w14:paraId="5B08619F" w14:textId="77777777" w:rsidR="00C5516F" w:rsidRPr="00A21682" w:rsidRDefault="00C5516F" w:rsidP="00FB236C">
      <w:pPr>
        <w:pStyle w:val="NormalNEW"/>
        <w:rPr>
          <w:u w:color="000000"/>
          <w:lang w:val="en-US"/>
        </w:rPr>
      </w:pPr>
      <w:r>
        <w:rPr>
          <w:u w:color="000000"/>
          <w:lang w:val="en-US"/>
        </w:rPr>
        <w:t>In the Business Process Analysis phase, ALM tools will facilitate the documentation and assessment of existing business processes. They enable the documentation of current workflows, identification of pain points, and the mapping of potential enhancements.</w:t>
      </w:r>
    </w:p>
    <w:p w14:paraId="756F1869" w14:textId="77777777" w:rsidR="00C5516F" w:rsidRPr="00A21682" w:rsidRDefault="00C5516F" w:rsidP="00FB236C">
      <w:pPr>
        <w:pStyle w:val="NormalNEW"/>
        <w:rPr>
          <w:u w:color="000000"/>
          <w:lang w:val="en-US"/>
        </w:rPr>
      </w:pPr>
      <w:r>
        <w:rPr>
          <w:u w:color="000000"/>
          <w:lang w:val="en-US"/>
        </w:rPr>
        <w:t>Tools and workflows pertaining to the Wave Planning phase:</w:t>
      </w:r>
    </w:p>
    <w:p w14:paraId="42086BF4" w14:textId="78502EFD" w:rsidR="00C5516F" w:rsidRPr="00A21682" w:rsidRDefault="00C5516F"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38F927DF" w14:textId="77777777" w:rsidR="00C5516F" w:rsidRPr="00A21682" w:rsidRDefault="00C5516F">
      <w:pPr>
        <w:pStyle w:val="Heading2"/>
        <w:rPr>
          <w:u w:color="000000"/>
        </w:rPr>
      </w:pPr>
      <w:bookmarkStart w:id="282" w:name="_Toc148102319"/>
      <w:bookmarkStart w:id="283" w:name="_Toc152605803"/>
      <w:bookmarkStart w:id="284" w:name="_Toc177118945"/>
      <w:bookmarkStart w:id="285" w:name="_Toc185952500"/>
      <w:bookmarkStart w:id="286" w:name="_Toc192874674"/>
      <w:r>
        <w:rPr>
          <w:u w:color="000000"/>
        </w:rPr>
        <w:t>Requirements Gathering Phase</w:t>
      </w:r>
      <w:bookmarkEnd w:id="282"/>
      <w:bookmarkEnd w:id="283"/>
      <w:bookmarkEnd w:id="284"/>
      <w:bookmarkEnd w:id="285"/>
      <w:bookmarkEnd w:id="286"/>
    </w:p>
    <w:p w14:paraId="497B5C85" w14:textId="17173827" w:rsidR="00C5516F" w:rsidRPr="00A21682" w:rsidRDefault="00C5516F" w:rsidP="00FB236C">
      <w:pPr>
        <w:pStyle w:val="NormalNEW"/>
        <w:rPr>
          <w:u w:color="000000"/>
          <w:lang w:val="en-US"/>
        </w:rPr>
      </w:pPr>
      <w:r>
        <w:rPr>
          <w:u w:color="000000"/>
          <w:lang w:val="en-US"/>
        </w:rPr>
        <w:t>Requirements define what the system will do. During requirements gathering, the project objectives, to-be process flows, and other business requirements/needs are used to conduct requirements discussions that result in specific system requirements or changes needed to the base solution. System requirements are documented in both narrative form and in a detailed inventory that forms the basis of the traceability matrix.</w:t>
      </w:r>
    </w:p>
    <w:p w14:paraId="1C99313C" w14:textId="77777777" w:rsidR="00C5516F" w:rsidRPr="00A21682" w:rsidRDefault="00C5516F">
      <w:pPr>
        <w:pStyle w:val="Heading3"/>
        <w:rPr>
          <w:bCs/>
          <w:u w:color="000000"/>
        </w:rPr>
      </w:pPr>
      <w:bookmarkStart w:id="287" w:name="_Toc148102320"/>
      <w:bookmarkStart w:id="288" w:name="_Toc152605804"/>
      <w:r>
        <w:rPr>
          <w:u w:color="000000"/>
        </w:rPr>
        <w:t xml:space="preserve"> </w:t>
      </w:r>
      <w:bookmarkStart w:id="289" w:name="_Toc177118946"/>
      <w:bookmarkStart w:id="290" w:name="_Toc185952501"/>
      <w:bookmarkStart w:id="291" w:name="_Toc192874675"/>
      <w:r>
        <w:rPr>
          <w:u w:color="000000"/>
        </w:rPr>
        <w:t>Phase Entry Criteria</w:t>
      </w:r>
      <w:bookmarkEnd w:id="287"/>
      <w:bookmarkEnd w:id="288"/>
      <w:bookmarkEnd w:id="289"/>
      <w:bookmarkEnd w:id="290"/>
      <w:bookmarkEnd w:id="291"/>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6D1A6CAF" w14:textId="77777777" w:rsidTr="004C7A6C">
        <w:trPr>
          <w:trHeight w:val="300"/>
          <w:tblHeader/>
        </w:trPr>
        <w:tc>
          <w:tcPr>
            <w:tcW w:w="481" w:type="dxa"/>
            <w:tcBorders>
              <w:right w:val="single" w:sz="2" w:space="0" w:color="FFFFFF" w:themeColor="background1"/>
            </w:tcBorders>
            <w:shd w:val="clear" w:color="auto" w:fill="000000"/>
            <w:hideMark/>
          </w:tcPr>
          <w:p w14:paraId="4ABDE68B" w14:textId="77777777" w:rsidR="00C5516F" w:rsidRPr="00A21682" w:rsidRDefault="00C5516F" w:rsidP="003E6BD4">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72424879" w14:textId="77777777" w:rsidR="00C5516F" w:rsidRPr="00A21682" w:rsidRDefault="00C5516F" w:rsidP="003E6BD4">
            <w:pPr>
              <w:pStyle w:val="TABLEHEADINGNEW"/>
            </w:pPr>
            <w:r>
              <w:t>Entry Criteria</w:t>
            </w:r>
          </w:p>
        </w:tc>
        <w:tc>
          <w:tcPr>
            <w:tcW w:w="4300" w:type="dxa"/>
            <w:tcBorders>
              <w:left w:val="single" w:sz="2" w:space="0" w:color="FFFFFF" w:themeColor="background1"/>
            </w:tcBorders>
            <w:shd w:val="clear" w:color="auto" w:fill="000000"/>
          </w:tcPr>
          <w:p w14:paraId="73E32BF6" w14:textId="77777777" w:rsidR="00C5516F" w:rsidRPr="00A21682" w:rsidRDefault="00C5516F" w:rsidP="003E6BD4">
            <w:pPr>
              <w:pStyle w:val="TABLEHEADINGNEW"/>
            </w:pPr>
            <w:r>
              <w:t>Related Document(s)/Artifact(s)</w:t>
            </w:r>
          </w:p>
        </w:tc>
      </w:tr>
      <w:tr w:rsidR="00C5516F" w:rsidRPr="00A21682" w14:paraId="5AB31FC2" w14:textId="77777777" w:rsidTr="003E6BD4">
        <w:trPr>
          <w:trHeight w:val="300"/>
        </w:trPr>
        <w:tc>
          <w:tcPr>
            <w:tcW w:w="481" w:type="dxa"/>
            <w:hideMark/>
          </w:tcPr>
          <w:p w14:paraId="29C85A34" w14:textId="77777777" w:rsidR="00C5516F" w:rsidRPr="00A21682" w:rsidRDefault="00C5516F" w:rsidP="003E6BD4">
            <w:pPr>
              <w:pStyle w:val="TABLETEXT1"/>
              <w:rPr>
                <w:lang w:val="en-US"/>
              </w:rPr>
            </w:pPr>
            <w:r>
              <w:rPr>
                <w:lang w:val="en-US"/>
              </w:rPr>
              <w:t>1</w:t>
            </w:r>
          </w:p>
        </w:tc>
        <w:tc>
          <w:tcPr>
            <w:tcW w:w="4563" w:type="dxa"/>
          </w:tcPr>
          <w:p w14:paraId="063954A3" w14:textId="77777777" w:rsidR="00C5516F" w:rsidRPr="00A21682" w:rsidRDefault="00C5516F" w:rsidP="003E6BD4">
            <w:pPr>
              <w:pStyle w:val="TABLETEXT1"/>
              <w:rPr>
                <w:lang w:val="en-US"/>
              </w:rPr>
            </w:pPr>
            <w:r>
              <w:rPr>
                <w:lang w:val="en-US"/>
              </w:rPr>
              <w:t>Business objectives and high-level scope for the Wave are defined and agreed upon</w:t>
            </w:r>
          </w:p>
        </w:tc>
        <w:tc>
          <w:tcPr>
            <w:tcW w:w="4300" w:type="dxa"/>
          </w:tcPr>
          <w:p w14:paraId="6070993A" w14:textId="77777777" w:rsidR="00C5516F" w:rsidRPr="00635C9B" w:rsidRDefault="00C5516F" w:rsidP="009729D2">
            <w:pPr>
              <w:pStyle w:val="TABLEBULLETNEW"/>
            </w:pPr>
            <w:r>
              <w:t>Requirement Logic Flows/System Requirements Input Documents</w:t>
            </w:r>
          </w:p>
        </w:tc>
      </w:tr>
      <w:tr w:rsidR="00C5516F" w:rsidRPr="00A21682" w14:paraId="7AC66C2E" w14:textId="77777777" w:rsidTr="003E6BD4">
        <w:trPr>
          <w:trHeight w:val="300"/>
        </w:trPr>
        <w:tc>
          <w:tcPr>
            <w:tcW w:w="481" w:type="dxa"/>
          </w:tcPr>
          <w:p w14:paraId="24D63F94" w14:textId="77777777" w:rsidR="00C5516F" w:rsidRPr="00A21682" w:rsidRDefault="00C5516F" w:rsidP="003E6BD4">
            <w:pPr>
              <w:pStyle w:val="TABLETEXT1"/>
              <w:rPr>
                <w:lang w:val="en-US"/>
              </w:rPr>
            </w:pPr>
            <w:r>
              <w:rPr>
                <w:lang w:val="en-US"/>
              </w:rPr>
              <w:t>2</w:t>
            </w:r>
          </w:p>
        </w:tc>
        <w:tc>
          <w:tcPr>
            <w:tcW w:w="4563" w:type="dxa"/>
          </w:tcPr>
          <w:p w14:paraId="4A51CC09" w14:textId="1EBA7DBE" w:rsidR="00C5516F" w:rsidRPr="00A21682" w:rsidRDefault="00C5516F" w:rsidP="003E6BD4">
            <w:pPr>
              <w:pStyle w:val="TABLETEXT1"/>
              <w:rPr>
                <w:lang w:val="en-US"/>
              </w:rPr>
            </w:pPr>
            <w:r>
              <w:rPr>
                <w:lang w:val="en-US"/>
              </w:rPr>
              <w:t>An initial, Baselined Work Plan for the Wave exists and is agreed upon</w:t>
            </w:r>
          </w:p>
        </w:tc>
        <w:tc>
          <w:tcPr>
            <w:tcW w:w="4300" w:type="dxa"/>
          </w:tcPr>
          <w:p w14:paraId="3F0D42BF" w14:textId="2B3CF535" w:rsidR="00C5516F" w:rsidRPr="00635C9B" w:rsidRDefault="00C5516F" w:rsidP="009729D2">
            <w:pPr>
              <w:pStyle w:val="TABLEBULLETNEW"/>
            </w:pPr>
            <w:r>
              <w:t>Baselined Work Plan and Project Schedule (DEL-06)</w:t>
            </w:r>
          </w:p>
        </w:tc>
      </w:tr>
      <w:tr w:rsidR="00C5516F" w:rsidRPr="00A21682" w14:paraId="3992A87F" w14:textId="77777777" w:rsidTr="003E6BD4">
        <w:trPr>
          <w:trHeight w:val="300"/>
        </w:trPr>
        <w:tc>
          <w:tcPr>
            <w:tcW w:w="481" w:type="dxa"/>
          </w:tcPr>
          <w:p w14:paraId="293115E7" w14:textId="77777777" w:rsidR="00C5516F" w:rsidRPr="00A21682" w:rsidRDefault="00C5516F" w:rsidP="003E6BD4">
            <w:pPr>
              <w:pStyle w:val="TABLETEXT1"/>
              <w:rPr>
                <w:lang w:val="en-US"/>
              </w:rPr>
            </w:pPr>
            <w:r>
              <w:rPr>
                <w:lang w:val="en-US"/>
              </w:rPr>
              <w:t>3</w:t>
            </w:r>
          </w:p>
        </w:tc>
        <w:tc>
          <w:tcPr>
            <w:tcW w:w="4563" w:type="dxa"/>
          </w:tcPr>
          <w:p w14:paraId="5B21F5B0" w14:textId="4217244A" w:rsidR="00C5516F" w:rsidRPr="00A21682" w:rsidRDefault="00C5516F" w:rsidP="003E6BD4">
            <w:pPr>
              <w:pStyle w:val="TABLETEXT1"/>
              <w:rPr>
                <w:lang w:val="en-US"/>
              </w:rPr>
            </w:pPr>
            <w:r>
              <w:rPr>
                <w:lang w:val="en-US"/>
              </w:rPr>
              <w:t>Business stakeholders are identified and have availability during the Requirements Gathering phase</w:t>
            </w:r>
          </w:p>
        </w:tc>
        <w:tc>
          <w:tcPr>
            <w:tcW w:w="4300" w:type="dxa"/>
          </w:tcPr>
          <w:p w14:paraId="40DB58AC" w14:textId="3E53CA0D" w:rsidR="00C5516F" w:rsidRPr="00635C9B" w:rsidRDefault="00C5516F" w:rsidP="009729D2">
            <w:pPr>
              <w:pStyle w:val="TABLEBULLETNEW"/>
            </w:pPr>
            <w:r>
              <w:t>Change Management Plan (DEL-30) Stakeholder Engagement Plan (refer to Section 3)</w:t>
            </w:r>
          </w:p>
          <w:p w14:paraId="39E5A25D" w14:textId="195431E4" w:rsidR="00C5516F" w:rsidRPr="00635C9B" w:rsidRDefault="00C5516F" w:rsidP="009729D2">
            <w:pPr>
              <w:pStyle w:val="TABLEBULLETNEW"/>
            </w:pPr>
            <w:r>
              <w:t>Project Management Plan (DEL-05) SDLC Methodology (refer to Section 2) – Roles and Responsibilities Matrix (refer to Appendix C-1)</w:t>
            </w:r>
          </w:p>
        </w:tc>
      </w:tr>
    </w:tbl>
    <w:p w14:paraId="4A56DA64" w14:textId="47DBD823" w:rsidR="00C5516F" w:rsidRPr="00A21682" w:rsidRDefault="00C5516F" w:rsidP="005911DA">
      <w:pPr>
        <w:pStyle w:val="Caption"/>
        <w:rPr>
          <w:rFonts w:cs="Arial"/>
          <w:noProof w:val="0"/>
        </w:rPr>
      </w:pPr>
      <w:bookmarkStart w:id="292" w:name="_Toc150951868"/>
      <w:bookmarkStart w:id="293" w:name="_Toc19287509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10</w:t>
      </w:r>
      <w:r>
        <w:rPr>
          <w:noProof w:val="0"/>
        </w:rPr>
        <w:fldChar w:fldCharType="end"/>
      </w:r>
      <w:r>
        <w:rPr>
          <w:noProof w:val="0"/>
        </w:rPr>
        <w:t xml:space="preserve">: </w:t>
      </w:r>
      <w:r>
        <w:rPr>
          <w:rFonts w:cs="Arial"/>
          <w:noProof w:val="0"/>
        </w:rPr>
        <w:t>Requirements Gathering Phase Entry Criteria</w:t>
      </w:r>
      <w:bookmarkEnd w:id="292"/>
      <w:bookmarkEnd w:id="293"/>
    </w:p>
    <w:p w14:paraId="391FCAE8" w14:textId="1281B7DD" w:rsidR="00C5516F" w:rsidRPr="00A21682" w:rsidRDefault="00C5516F">
      <w:pPr>
        <w:pStyle w:val="Heading3"/>
        <w:rPr>
          <w:bCs/>
          <w:u w:color="000000"/>
        </w:rPr>
      </w:pPr>
      <w:bookmarkStart w:id="294" w:name="_Toc148102321"/>
      <w:bookmarkStart w:id="295" w:name="_Toc152605805"/>
      <w:bookmarkStart w:id="296" w:name="_Toc177118947"/>
      <w:bookmarkStart w:id="297" w:name="_Toc185952502"/>
      <w:bookmarkStart w:id="298" w:name="_Toc192874676"/>
      <w:r>
        <w:rPr>
          <w:u w:color="000000"/>
        </w:rPr>
        <w:lastRenderedPageBreak/>
        <w:t>Process Flow Diagram</w:t>
      </w:r>
      <w:bookmarkEnd w:id="294"/>
      <w:bookmarkEnd w:id="295"/>
      <w:bookmarkEnd w:id="296"/>
      <w:bookmarkEnd w:id="297"/>
      <w:bookmarkEnd w:id="298"/>
    </w:p>
    <w:p w14:paraId="13B7F350" w14:textId="6D24F33B" w:rsidR="00C5516F" w:rsidRPr="00A21682" w:rsidRDefault="00C5516F" w:rsidP="00FB236C">
      <w:pPr>
        <w:pStyle w:val="NormalNEW"/>
        <w:rPr>
          <w:u w:color="000000"/>
          <w:lang w:val="en-US"/>
        </w:rPr>
      </w:pPr>
      <w:r>
        <w:rPr>
          <w:u w:color="000000"/>
          <w:lang w:val="en-US"/>
        </w:rPr>
        <w:t>The following process flow depicts the Requirements Gathering phase of the MECM SDLC.</w:t>
      </w:r>
    </w:p>
    <w:p w14:paraId="3605DDA3" w14:textId="36D6680F" w:rsidR="00EE1052" w:rsidRPr="00A21682" w:rsidRDefault="00A40AA5" w:rsidP="00FB236C">
      <w:pPr>
        <w:pStyle w:val="NormalNEW"/>
        <w:rPr>
          <w:u w:color="000000"/>
          <w:lang w:val="en-US"/>
        </w:rPr>
      </w:pPr>
      <w:r>
        <w:rPr>
          <w:lang w:val="en-US"/>
        </w:rPr>
        <w:pict w14:anchorId="222762D6">
          <v:shape id="_x0000_i1027" type="#_x0000_t75" style="width:467.4pt;height:227.4pt">
            <v:imagedata r:id="rId27" o:title=""/>
          </v:shape>
        </w:pict>
      </w:r>
    </w:p>
    <w:p w14:paraId="34339920" w14:textId="686D4AF8" w:rsidR="00C5516F" w:rsidRPr="00A21682" w:rsidRDefault="00C5516F" w:rsidP="005911DA">
      <w:pPr>
        <w:pStyle w:val="Caption"/>
        <w:rPr>
          <w:noProof w:val="0"/>
        </w:rPr>
      </w:pPr>
      <w:bookmarkStart w:id="299" w:name="_Toc150948929"/>
      <w:bookmarkStart w:id="300" w:name="_Toc178152026"/>
      <w:bookmarkStart w:id="301" w:name="_Toc192875041"/>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4</w:t>
      </w:r>
      <w:r>
        <w:rPr>
          <w:noProof w:val="0"/>
        </w:rPr>
        <w:fldChar w:fldCharType="end"/>
      </w:r>
      <w:r>
        <w:rPr>
          <w:noProof w:val="0"/>
        </w:rPr>
        <w:t>: Requirements Gathering Phase Process Flow</w:t>
      </w:r>
      <w:bookmarkEnd w:id="299"/>
      <w:bookmarkEnd w:id="300"/>
      <w:bookmarkEnd w:id="301"/>
    </w:p>
    <w:p w14:paraId="4824F3EE" w14:textId="01DAF17A" w:rsidR="00C5516F" w:rsidRPr="00A21682" w:rsidRDefault="00C5516F">
      <w:pPr>
        <w:pStyle w:val="Heading3"/>
        <w:rPr>
          <w:bCs/>
          <w:u w:color="000000"/>
        </w:rPr>
      </w:pPr>
      <w:bookmarkStart w:id="302" w:name="_Toc148102322"/>
      <w:bookmarkStart w:id="303" w:name="_Toc152605806"/>
      <w:bookmarkStart w:id="304" w:name="_Toc177118948"/>
      <w:bookmarkStart w:id="305" w:name="_Toc185952503"/>
      <w:bookmarkStart w:id="306" w:name="_Toc192874677"/>
      <w:r>
        <w:rPr>
          <w:u w:color="000000"/>
        </w:rPr>
        <w:t>Process Flow Narrative</w:t>
      </w:r>
      <w:bookmarkEnd w:id="302"/>
      <w:bookmarkEnd w:id="303"/>
      <w:bookmarkEnd w:id="304"/>
      <w:bookmarkEnd w:id="305"/>
      <w:bookmarkEnd w:id="306"/>
    </w:p>
    <w:p w14:paraId="4CAEDC29" w14:textId="77777777" w:rsidR="00C5516F" w:rsidRPr="00A21682" w:rsidRDefault="00C5516F" w:rsidP="003E6BD4">
      <w:pPr>
        <w:pStyle w:val="NormalNEW"/>
        <w:keepNext/>
        <w:rPr>
          <w:u w:color="000000"/>
          <w:lang w:val="en-US"/>
        </w:rPr>
      </w:pPr>
      <w:r>
        <w:rPr>
          <w:u w:color="000000"/>
          <w:lang w:val="en-US"/>
        </w:rPr>
        <w:t>The following table describes each process step illustrated above.</w:t>
      </w:r>
    </w:p>
    <w:tbl>
      <w:tblPr>
        <w:tblW w:w="9442" w:type="dxa"/>
        <w:tblBorders>
          <w:top w:val="outset" w:sz="6" w:space="0" w:color="auto"/>
          <w:left w:val="outset" w:sz="6" w:space="0" w:color="auto"/>
          <w:bottom w:val="outset" w:sz="6" w:space="0" w:color="auto"/>
          <w:right w:val="outset" w:sz="6" w:space="0" w:color="auto"/>
        </w:tblBorders>
        <w:tblLayout w:type="fixed"/>
        <w:tblCellMar>
          <w:left w:w="58" w:type="dxa"/>
          <w:right w:w="58" w:type="dxa"/>
        </w:tblCellMar>
        <w:tblLook w:val="04A0" w:firstRow="1" w:lastRow="0" w:firstColumn="1" w:lastColumn="0" w:noHBand="0" w:noVBand="1"/>
      </w:tblPr>
      <w:tblGrid>
        <w:gridCol w:w="627"/>
        <w:gridCol w:w="1530"/>
        <w:gridCol w:w="1980"/>
        <w:gridCol w:w="1705"/>
        <w:gridCol w:w="1800"/>
        <w:gridCol w:w="1800"/>
      </w:tblGrid>
      <w:tr w:rsidR="00C5516F" w:rsidRPr="00A21682" w14:paraId="76F4D9E0" w14:textId="77777777" w:rsidTr="00C968EF">
        <w:trPr>
          <w:trHeight w:val="266"/>
          <w:tblHeader/>
        </w:trPr>
        <w:tc>
          <w:tcPr>
            <w:tcW w:w="9442" w:type="dxa"/>
            <w:gridSpan w:val="6"/>
            <w:tcBorders>
              <w:top w:val="single" w:sz="2" w:space="0" w:color="auto"/>
              <w:left w:val="single" w:sz="2" w:space="0" w:color="auto"/>
              <w:bottom w:val="single" w:sz="2" w:space="0" w:color="FFFFFF" w:themeColor="background1"/>
              <w:right w:val="single" w:sz="2" w:space="0" w:color="auto"/>
            </w:tcBorders>
            <w:shd w:val="clear" w:color="auto" w:fill="000000"/>
          </w:tcPr>
          <w:p w14:paraId="328016BB" w14:textId="77777777" w:rsidR="00C5516F" w:rsidRPr="00A21682" w:rsidRDefault="00C5516F" w:rsidP="00047C4E">
            <w:pPr>
              <w:pStyle w:val="TABLEHEADINGNEW"/>
              <w:jc w:val="center"/>
              <w:rPr>
                <w:u w:color="000000"/>
              </w:rPr>
            </w:pPr>
            <w:r>
              <w:rPr>
                <w:u w:color="000000"/>
              </w:rPr>
              <w:t>Requirements Gathering</w:t>
            </w:r>
          </w:p>
        </w:tc>
      </w:tr>
      <w:tr w:rsidR="00C5516F" w:rsidRPr="00A21682" w14:paraId="1DB23E9C" w14:textId="77777777" w:rsidTr="00F4005A">
        <w:trPr>
          <w:trHeight w:val="266"/>
          <w:tblHeader/>
        </w:trPr>
        <w:tc>
          <w:tcPr>
            <w:tcW w:w="627" w:type="dxa"/>
            <w:tcBorders>
              <w:top w:val="single" w:sz="2" w:space="0" w:color="FFFFFF" w:themeColor="background1"/>
              <w:left w:val="single" w:sz="2" w:space="0" w:color="auto"/>
              <w:bottom w:val="single" w:sz="2" w:space="0" w:color="auto"/>
              <w:right w:val="single" w:sz="2" w:space="0" w:color="FFFFFF" w:themeColor="background1"/>
            </w:tcBorders>
            <w:shd w:val="clear" w:color="auto" w:fill="000000"/>
            <w:hideMark/>
          </w:tcPr>
          <w:p w14:paraId="2A574D54" w14:textId="77777777" w:rsidR="00C5516F" w:rsidRPr="00A21682" w:rsidRDefault="00C5516F" w:rsidP="00047C4E">
            <w:pPr>
              <w:pStyle w:val="TABLEHEADINGNEW"/>
              <w:rPr>
                <w:rFonts w:ascii="Segoe UI" w:hAnsi="Segoe UI" w:cs="Segoe UI"/>
                <w:color w:val="000000"/>
                <w:u w:color="000000"/>
              </w:rPr>
            </w:pPr>
            <w:r>
              <w:rPr>
                <w:u w:color="000000"/>
              </w:rPr>
              <w:t>Step #</w:t>
            </w:r>
          </w:p>
        </w:tc>
        <w:tc>
          <w:tcPr>
            <w:tcW w:w="1530"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hideMark/>
          </w:tcPr>
          <w:p w14:paraId="723E592B" w14:textId="77777777" w:rsidR="00C5516F" w:rsidRPr="00A21682" w:rsidRDefault="00C5516F" w:rsidP="00047C4E">
            <w:pPr>
              <w:pStyle w:val="TABLEHEADINGNEW"/>
              <w:rPr>
                <w:rFonts w:ascii="Segoe UI" w:hAnsi="Segoe UI" w:cs="Segoe UI"/>
                <w:color w:val="000000"/>
                <w:u w:color="000000"/>
              </w:rPr>
            </w:pPr>
            <w:r>
              <w:rPr>
                <w:u w:color="000000"/>
              </w:rPr>
              <w:t>Process Step</w:t>
            </w:r>
          </w:p>
        </w:tc>
        <w:tc>
          <w:tcPr>
            <w:tcW w:w="1980"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hideMark/>
          </w:tcPr>
          <w:p w14:paraId="5CEFB5AA" w14:textId="77777777" w:rsidR="00C5516F" w:rsidRPr="00A21682" w:rsidRDefault="00C5516F" w:rsidP="00047C4E">
            <w:pPr>
              <w:pStyle w:val="TABLEHEADINGNEW"/>
              <w:rPr>
                <w:rFonts w:ascii="Segoe UI" w:hAnsi="Segoe UI" w:cs="Segoe UI"/>
                <w:color w:val="000000"/>
                <w:u w:color="000000"/>
              </w:rPr>
            </w:pPr>
            <w:r>
              <w:rPr>
                <w:u w:color="000000"/>
              </w:rPr>
              <w:t>Description</w:t>
            </w:r>
          </w:p>
        </w:tc>
        <w:tc>
          <w:tcPr>
            <w:tcW w:w="1705"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tcPr>
          <w:p w14:paraId="73191C16" w14:textId="77777777" w:rsidR="00C5516F" w:rsidRPr="00A21682" w:rsidRDefault="00C5516F" w:rsidP="00047C4E">
            <w:pPr>
              <w:pStyle w:val="TABLEHEADINGNEW"/>
              <w:rPr>
                <w:u w:color="000000"/>
              </w:rPr>
            </w:pPr>
            <w:r>
              <w:rPr>
                <w:u w:color="000000"/>
              </w:rPr>
              <w:t>Stakeholder Group(s)</w:t>
            </w:r>
          </w:p>
        </w:tc>
        <w:tc>
          <w:tcPr>
            <w:tcW w:w="1800" w:type="dxa"/>
            <w:tcBorders>
              <w:top w:val="single" w:sz="2" w:space="0" w:color="FFFFFF" w:themeColor="background1"/>
              <w:left w:val="single" w:sz="2" w:space="0" w:color="FFFFFF" w:themeColor="background1"/>
              <w:bottom w:val="single" w:sz="2" w:space="0" w:color="auto"/>
              <w:right w:val="single" w:sz="2" w:space="0" w:color="FFFFFF" w:themeColor="background1"/>
            </w:tcBorders>
            <w:shd w:val="clear" w:color="auto" w:fill="000000"/>
            <w:hideMark/>
          </w:tcPr>
          <w:p w14:paraId="25577653" w14:textId="0BAB419E" w:rsidR="00C5516F" w:rsidRPr="00A21682" w:rsidRDefault="00C5516F" w:rsidP="00047C4E">
            <w:pPr>
              <w:pStyle w:val="TABLEHEADINGNEW"/>
              <w:rPr>
                <w:u w:color="000000"/>
              </w:rPr>
            </w:pPr>
            <w:r>
              <w:rPr>
                <w:u w:color="000000"/>
              </w:rPr>
              <w:t>Inputs (Documents/ Work Products)</w:t>
            </w:r>
          </w:p>
        </w:tc>
        <w:tc>
          <w:tcPr>
            <w:tcW w:w="1800" w:type="dxa"/>
            <w:tcBorders>
              <w:top w:val="single" w:sz="2" w:space="0" w:color="FFFFFF" w:themeColor="background1"/>
              <w:left w:val="single" w:sz="2" w:space="0" w:color="FFFFFF" w:themeColor="background1"/>
              <w:bottom w:val="single" w:sz="2" w:space="0" w:color="auto"/>
              <w:right w:val="single" w:sz="2" w:space="0" w:color="auto"/>
            </w:tcBorders>
            <w:shd w:val="clear" w:color="auto" w:fill="000000"/>
            <w:hideMark/>
          </w:tcPr>
          <w:p w14:paraId="27630B39" w14:textId="4400F316" w:rsidR="00C5516F" w:rsidRPr="00A21682" w:rsidRDefault="00C5516F" w:rsidP="00047C4E">
            <w:pPr>
              <w:pStyle w:val="TABLEHEADINGNEW"/>
              <w:rPr>
                <w:u w:color="000000"/>
              </w:rPr>
            </w:pPr>
            <w:r>
              <w:rPr>
                <w:u w:color="000000"/>
              </w:rPr>
              <w:t>Outputs (Documents/ Work Products)</w:t>
            </w:r>
          </w:p>
        </w:tc>
      </w:tr>
      <w:tr w:rsidR="00C5516F" w:rsidRPr="00A21682" w14:paraId="63923634"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hideMark/>
          </w:tcPr>
          <w:p w14:paraId="5A18A34A" w14:textId="77777777" w:rsidR="00C5516F" w:rsidRPr="00A21682" w:rsidRDefault="00C5516F" w:rsidP="00047C4E">
            <w:pPr>
              <w:pStyle w:val="TABLETEXT1"/>
              <w:rPr>
                <w:u w:color="000000"/>
                <w:lang w:val="en-US"/>
              </w:rPr>
            </w:pPr>
            <w:r>
              <w:rPr>
                <w:u w:color="000000"/>
                <w:lang w:val="en-US"/>
              </w:rPr>
              <w:t>2.1</w:t>
            </w:r>
          </w:p>
          <w:p w14:paraId="7E3D25B2" w14:textId="77777777" w:rsidR="00C5516F" w:rsidRPr="00A21682" w:rsidRDefault="00C5516F" w:rsidP="00047C4E">
            <w:pPr>
              <w:pStyle w:val="TABLETEXT1"/>
              <w:rPr>
                <w:u w:color="000000"/>
                <w:lang w:val="en-US"/>
              </w:rPr>
            </w:pPr>
          </w:p>
        </w:tc>
        <w:tc>
          <w:tcPr>
            <w:tcW w:w="1530" w:type="dxa"/>
            <w:tcBorders>
              <w:top w:val="single" w:sz="2" w:space="0" w:color="auto"/>
              <w:left w:val="single" w:sz="2" w:space="0" w:color="auto"/>
              <w:bottom w:val="single" w:sz="2" w:space="0" w:color="auto"/>
              <w:right w:val="single" w:sz="2" w:space="0" w:color="auto"/>
            </w:tcBorders>
          </w:tcPr>
          <w:p w14:paraId="0ADC1960" w14:textId="77777777" w:rsidR="00C5516F" w:rsidRPr="00A21682" w:rsidRDefault="00C5516F" w:rsidP="00047C4E">
            <w:pPr>
              <w:pStyle w:val="TABLETEXT1"/>
              <w:rPr>
                <w:u w:color="000000"/>
                <w:lang w:val="en-US"/>
              </w:rPr>
            </w:pPr>
            <w:r>
              <w:rPr>
                <w:u w:color="000000"/>
                <w:lang w:val="en-US"/>
              </w:rPr>
              <w:t>Collect available requirements input documentation</w:t>
            </w:r>
          </w:p>
        </w:tc>
        <w:tc>
          <w:tcPr>
            <w:tcW w:w="1980" w:type="dxa"/>
            <w:tcBorders>
              <w:top w:val="single" w:sz="2" w:space="0" w:color="auto"/>
              <w:left w:val="single" w:sz="2" w:space="0" w:color="auto"/>
              <w:bottom w:val="single" w:sz="2" w:space="0" w:color="auto"/>
              <w:right w:val="single" w:sz="2" w:space="0" w:color="auto"/>
            </w:tcBorders>
          </w:tcPr>
          <w:p w14:paraId="38C62728" w14:textId="77777777" w:rsidR="00C5516F" w:rsidRPr="00635C9B" w:rsidRDefault="00C5516F" w:rsidP="00372E4E">
            <w:pPr>
              <w:pStyle w:val="TABLEBULLETNEW"/>
            </w:pPr>
            <w:r>
              <w:t>Develop request list for applicable requirements input documents (e.g., flows, processes, legacy documentation)</w:t>
            </w:r>
          </w:p>
          <w:p w14:paraId="24D8F49D" w14:textId="347F1CCD" w:rsidR="00C5516F" w:rsidRPr="00635C9B" w:rsidRDefault="00C5516F" w:rsidP="00372E4E">
            <w:pPr>
              <w:pStyle w:val="TABLEBULLETNEW"/>
            </w:pPr>
            <w:r>
              <w:t>Gather and review applicable requirements input documents to support requirements relevant to the high-level scope and goals for the Wave</w:t>
            </w:r>
          </w:p>
          <w:p w14:paraId="322CDEA9" w14:textId="34446805" w:rsidR="00C5516F" w:rsidRPr="00635C9B" w:rsidRDefault="00C5516F" w:rsidP="00372E4E">
            <w:pPr>
              <w:pStyle w:val="TABLEBULLETNEW"/>
            </w:pPr>
            <w:r>
              <w:lastRenderedPageBreak/>
              <w:t>Develop process flow showing high-level project requirements</w:t>
            </w:r>
          </w:p>
          <w:p w14:paraId="7E66D900" w14:textId="77777777" w:rsidR="00C5516F" w:rsidRPr="00635C9B" w:rsidRDefault="00C5516F" w:rsidP="00372E4E">
            <w:pPr>
              <w:pStyle w:val="TABLEBULLETNEW"/>
            </w:pPr>
            <w:r>
              <w:t>Develop initial draft of applicable specifications from legacy system</w:t>
            </w:r>
          </w:p>
        </w:tc>
        <w:tc>
          <w:tcPr>
            <w:tcW w:w="1705" w:type="dxa"/>
            <w:tcBorders>
              <w:top w:val="single" w:sz="2" w:space="0" w:color="auto"/>
              <w:left w:val="single" w:sz="2" w:space="0" w:color="auto"/>
              <w:bottom w:val="single" w:sz="2" w:space="0" w:color="auto"/>
              <w:right w:val="single" w:sz="2" w:space="0" w:color="auto"/>
            </w:tcBorders>
          </w:tcPr>
          <w:p w14:paraId="4A9FCC83" w14:textId="77777777" w:rsidR="00C5516F" w:rsidRPr="00635C9B" w:rsidRDefault="00C5516F" w:rsidP="00372E4E">
            <w:pPr>
              <w:pStyle w:val="TABLEBULLETNEW"/>
            </w:pPr>
            <w:r>
              <w:lastRenderedPageBreak/>
              <w:t>Functional Stakeholders</w:t>
            </w:r>
          </w:p>
        </w:tc>
        <w:tc>
          <w:tcPr>
            <w:tcW w:w="1800" w:type="dxa"/>
            <w:tcBorders>
              <w:top w:val="single" w:sz="2" w:space="0" w:color="auto"/>
              <w:left w:val="single" w:sz="2" w:space="0" w:color="auto"/>
              <w:bottom w:val="single" w:sz="2" w:space="0" w:color="auto"/>
              <w:right w:val="single" w:sz="2" w:space="0" w:color="auto"/>
            </w:tcBorders>
          </w:tcPr>
          <w:p w14:paraId="6F758CA3" w14:textId="77777777" w:rsidR="00C5516F" w:rsidRPr="00635C9B" w:rsidRDefault="00C5516F" w:rsidP="00372E4E">
            <w:pPr>
              <w:pStyle w:val="TABLEBULLETNEW"/>
            </w:pPr>
            <w:r>
              <w:t xml:space="preserve">High-level objectives </w:t>
            </w:r>
          </w:p>
          <w:p w14:paraId="0BA13B42" w14:textId="77777777" w:rsidR="00C5516F" w:rsidRPr="00635C9B" w:rsidRDefault="00C5516F" w:rsidP="00372E4E">
            <w:pPr>
              <w:pStyle w:val="TABLEBULLETNEW"/>
            </w:pPr>
            <w:r>
              <w:t>Existing legacy system documentation</w:t>
            </w:r>
          </w:p>
          <w:p w14:paraId="436B1823" w14:textId="77777777" w:rsidR="00C5516F" w:rsidRPr="00635C9B" w:rsidRDefault="00C5516F" w:rsidP="00372E4E">
            <w:pPr>
              <w:pStyle w:val="TABLEBULLETNEW"/>
            </w:pPr>
            <w:r>
              <w:t>Policy manuals</w:t>
            </w:r>
          </w:p>
        </w:tc>
        <w:tc>
          <w:tcPr>
            <w:tcW w:w="1800" w:type="dxa"/>
            <w:tcBorders>
              <w:top w:val="single" w:sz="2" w:space="0" w:color="auto"/>
              <w:left w:val="single" w:sz="2" w:space="0" w:color="auto"/>
              <w:bottom w:val="single" w:sz="2" w:space="0" w:color="auto"/>
              <w:right w:val="single" w:sz="2" w:space="0" w:color="auto"/>
            </w:tcBorders>
          </w:tcPr>
          <w:p w14:paraId="7E89C34A" w14:textId="558EBB6E" w:rsidR="00C5516F" w:rsidRPr="00635C9B" w:rsidRDefault="00C5516F" w:rsidP="00372E4E">
            <w:pPr>
              <w:pStyle w:val="TABLEBULLETNEW"/>
            </w:pPr>
            <w:r>
              <w:t xml:space="preserve">Process flow showing high-level project requirements </w:t>
            </w:r>
          </w:p>
          <w:p w14:paraId="0615E027" w14:textId="77777777" w:rsidR="00C5516F" w:rsidRPr="00635C9B" w:rsidRDefault="00C5516F" w:rsidP="00372E4E">
            <w:pPr>
              <w:pStyle w:val="TABLEBULLETNEW"/>
            </w:pPr>
            <w:r>
              <w:t xml:space="preserve">Initial draft of applicable specifications from legacy system </w:t>
            </w:r>
          </w:p>
          <w:p w14:paraId="3F16AA5B" w14:textId="2A21B029" w:rsidR="00C5516F" w:rsidRPr="00635C9B" w:rsidRDefault="00C5516F" w:rsidP="00372E4E">
            <w:pPr>
              <w:pStyle w:val="TABLEBULLETNEW"/>
            </w:pPr>
            <w:r>
              <w:t>Question Log (tracking any questions on flows, processes, legacy documentation, etc.)</w:t>
            </w:r>
          </w:p>
        </w:tc>
      </w:tr>
      <w:tr w:rsidR="00C5516F" w:rsidRPr="00A21682" w14:paraId="288F692F"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7B365E3A" w14:textId="77777777" w:rsidR="00C5516F" w:rsidRPr="00A21682" w:rsidRDefault="00C5516F" w:rsidP="00047C4E">
            <w:pPr>
              <w:pStyle w:val="TABLETEXT1"/>
              <w:rPr>
                <w:u w:color="000000"/>
                <w:lang w:val="en-US"/>
              </w:rPr>
            </w:pPr>
            <w:r>
              <w:rPr>
                <w:u w:color="000000"/>
                <w:lang w:val="en-US"/>
              </w:rPr>
              <w:lastRenderedPageBreak/>
              <w:t>2.2</w:t>
            </w:r>
          </w:p>
        </w:tc>
        <w:tc>
          <w:tcPr>
            <w:tcW w:w="1530" w:type="dxa"/>
            <w:tcBorders>
              <w:top w:val="single" w:sz="2" w:space="0" w:color="auto"/>
              <w:left w:val="single" w:sz="2" w:space="0" w:color="auto"/>
              <w:bottom w:val="single" w:sz="2" w:space="0" w:color="auto"/>
              <w:right w:val="single" w:sz="2" w:space="0" w:color="auto"/>
            </w:tcBorders>
          </w:tcPr>
          <w:p w14:paraId="6FC9C224" w14:textId="77777777" w:rsidR="00C5516F" w:rsidRPr="00A21682" w:rsidRDefault="00C5516F" w:rsidP="00047C4E">
            <w:pPr>
              <w:pStyle w:val="TABLETEXT1"/>
              <w:rPr>
                <w:u w:color="000000"/>
                <w:lang w:val="en-US"/>
              </w:rPr>
            </w:pPr>
            <w:r>
              <w:rPr>
                <w:u w:color="000000"/>
                <w:lang w:val="en-US"/>
              </w:rPr>
              <w:t>Conduct requirement input documentation review/Q&amp;A sessions</w:t>
            </w:r>
          </w:p>
        </w:tc>
        <w:tc>
          <w:tcPr>
            <w:tcW w:w="1980" w:type="dxa"/>
            <w:tcBorders>
              <w:top w:val="single" w:sz="2" w:space="0" w:color="auto"/>
              <w:left w:val="single" w:sz="2" w:space="0" w:color="auto"/>
              <w:bottom w:val="single" w:sz="2" w:space="0" w:color="auto"/>
              <w:right w:val="single" w:sz="2" w:space="0" w:color="auto"/>
            </w:tcBorders>
          </w:tcPr>
          <w:p w14:paraId="2A29CEA6" w14:textId="7875EE3E" w:rsidR="00C5516F" w:rsidRPr="00635C9B" w:rsidRDefault="00C5516F" w:rsidP="00372E4E">
            <w:pPr>
              <w:pStyle w:val="TABLEBULLETNEW"/>
            </w:pPr>
            <w:r>
              <w:t>Conduct joint State/███████ meeting to discuss, review, and confirm understanding of NY specific input documentation</w:t>
            </w:r>
          </w:p>
          <w:p w14:paraId="20E97B9E" w14:textId="77777777" w:rsidR="00C5516F" w:rsidRPr="00635C9B" w:rsidRDefault="00C5516F" w:rsidP="00372E4E">
            <w:pPr>
              <w:pStyle w:val="TABLEBULLETNEW"/>
            </w:pPr>
            <w:r>
              <w:t>Identify items that require further clarification from functional and business stakeholders (technical stakeholders if the item requires technical feasibility discussion)</w:t>
            </w:r>
          </w:p>
        </w:tc>
        <w:tc>
          <w:tcPr>
            <w:tcW w:w="1705" w:type="dxa"/>
            <w:tcBorders>
              <w:top w:val="single" w:sz="2" w:space="0" w:color="auto"/>
              <w:left w:val="single" w:sz="2" w:space="0" w:color="auto"/>
              <w:bottom w:val="single" w:sz="2" w:space="0" w:color="auto"/>
              <w:right w:val="single" w:sz="2" w:space="0" w:color="auto"/>
            </w:tcBorders>
          </w:tcPr>
          <w:p w14:paraId="3838108D" w14:textId="77777777" w:rsidR="00C5516F" w:rsidRPr="00635C9B" w:rsidRDefault="00C5516F" w:rsidP="00372E4E">
            <w:pPr>
              <w:pStyle w:val="TABLEBULLETNEW"/>
            </w:pPr>
            <w:r>
              <w:t>Functional Stakeholders</w:t>
            </w:r>
          </w:p>
          <w:p w14:paraId="59DFB4E2" w14:textId="77777777" w:rsidR="00C5516F" w:rsidRPr="00635C9B" w:rsidRDefault="00C5516F" w:rsidP="00372E4E">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762B1CC3" w14:textId="77777777" w:rsidR="00C5516F" w:rsidRPr="00635C9B" w:rsidRDefault="00C5516F" w:rsidP="00372E4E">
            <w:pPr>
              <w:pStyle w:val="TABLEBULLETNEW"/>
            </w:pPr>
            <w:r>
              <w:t>Question Log (seeking clarifications on input documents)</w:t>
            </w:r>
          </w:p>
          <w:p w14:paraId="3C23F6F8" w14:textId="61B182BD" w:rsidR="00C5516F" w:rsidRPr="00635C9B" w:rsidRDefault="00C5516F" w:rsidP="00372E4E">
            <w:pPr>
              <w:pStyle w:val="TABLEBULLETNEW"/>
            </w:pPr>
            <w:r>
              <w:t xml:space="preserve">Process flow showing high-level project requirements </w:t>
            </w:r>
          </w:p>
        </w:tc>
        <w:tc>
          <w:tcPr>
            <w:tcW w:w="1800" w:type="dxa"/>
            <w:tcBorders>
              <w:top w:val="single" w:sz="2" w:space="0" w:color="auto"/>
              <w:left w:val="single" w:sz="2" w:space="0" w:color="auto"/>
              <w:bottom w:val="single" w:sz="2" w:space="0" w:color="auto"/>
              <w:right w:val="single" w:sz="2" w:space="0" w:color="auto"/>
            </w:tcBorders>
          </w:tcPr>
          <w:p w14:paraId="3796A046" w14:textId="696FD8C7" w:rsidR="00C5516F" w:rsidRPr="00635C9B" w:rsidRDefault="00C5516F" w:rsidP="00372E4E">
            <w:pPr>
              <w:pStyle w:val="TABLEBULLETNEW"/>
            </w:pPr>
            <w:r>
              <w:t xml:space="preserve">Updated Question Log with clarifications </w:t>
            </w:r>
          </w:p>
        </w:tc>
      </w:tr>
      <w:tr w:rsidR="00C5516F" w:rsidRPr="00A21682" w14:paraId="00D6913D"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20C2FC0E" w14:textId="77777777" w:rsidR="00C5516F" w:rsidRPr="00A21682" w:rsidRDefault="00C5516F" w:rsidP="00047C4E">
            <w:pPr>
              <w:pStyle w:val="TABLETEXT1"/>
              <w:rPr>
                <w:u w:color="000000"/>
                <w:lang w:val="en-US"/>
              </w:rPr>
            </w:pPr>
            <w:r>
              <w:rPr>
                <w:u w:color="000000"/>
                <w:lang w:val="en-US"/>
              </w:rPr>
              <w:t>2.3</w:t>
            </w:r>
          </w:p>
        </w:tc>
        <w:tc>
          <w:tcPr>
            <w:tcW w:w="1530" w:type="dxa"/>
            <w:tcBorders>
              <w:top w:val="single" w:sz="2" w:space="0" w:color="auto"/>
              <w:left w:val="single" w:sz="2" w:space="0" w:color="auto"/>
              <w:bottom w:val="single" w:sz="2" w:space="0" w:color="auto"/>
              <w:right w:val="single" w:sz="2" w:space="0" w:color="auto"/>
            </w:tcBorders>
          </w:tcPr>
          <w:p w14:paraId="734C5F9A" w14:textId="77777777" w:rsidR="00C5516F" w:rsidRPr="00A21682" w:rsidRDefault="00C5516F" w:rsidP="00047C4E">
            <w:pPr>
              <w:pStyle w:val="TABLETEXT1"/>
              <w:rPr>
                <w:u w:color="000000"/>
                <w:lang w:val="en-US"/>
              </w:rPr>
            </w:pPr>
            <w:r>
              <w:rPr>
                <w:u w:color="000000"/>
                <w:lang w:val="en-US"/>
              </w:rPr>
              <w:t>Conduct a gap assessment between the Base Solution and Wave requirements</w:t>
            </w:r>
          </w:p>
        </w:tc>
        <w:tc>
          <w:tcPr>
            <w:tcW w:w="1980" w:type="dxa"/>
            <w:tcBorders>
              <w:top w:val="single" w:sz="2" w:space="0" w:color="auto"/>
              <w:left w:val="single" w:sz="2" w:space="0" w:color="auto"/>
              <w:bottom w:val="single" w:sz="2" w:space="0" w:color="auto"/>
              <w:right w:val="single" w:sz="2" w:space="0" w:color="auto"/>
            </w:tcBorders>
          </w:tcPr>
          <w:p w14:paraId="53FC91D4" w14:textId="77777777" w:rsidR="00C5516F" w:rsidRPr="00635C9B" w:rsidRDefault="00C5516F" w:rsidP="00372E4E">
            <w:pPr>
              <w:pStyle w:val="TABLEBULLETNEW"/>
            </w:pPr>
            <w:r>
              <w:t xml:space="preserve">Identify, confirm, and document gaps with Base Solution, including technical solution, to identify changes required </w:t>
            </w:r>
          </w:p>
          <w:p w14:paraId="3090E979" w14:textId="55A49885" w:rsidR="00C5516F" w:rsidRPr="00635C9B" w:rsidRDefault="00C5516F" w:rsidP="00372E4E">
            <w:pPr>
              <w:pStyle w:val="TABLEBULLETNEW"/>
            </w:pPr>
            <w:r>
              <w:t xml:space="preserve">Assign Base Solution </w:t>
            </w:r>
            <w:r>
              <w:lastRenderedPageBreak/>
              <w:t>comparison mapping (meets out of box, customization, configurable)</w:t>
            </w:r>
          </w:p>
        </w:tc>
        <w:tc>
          <w:tcPr>
            <w:tcW w:w="1705" w:type="dxa"/>
            <w:tcBorders>
              <w:top w:val="single" w:sz="2" w:space="0" w:color="auto"/>
              <w:left w:val="single" w:sz="2" w:space="0" w:color="auto"/>
              <w:bottom w:val="single" w:sz="2" w:space="0" w:color="auto"/>
              <w:right w:val="single" w:sz="2" w:space="0" w:color="auto"/>
            </w:tcBorders>
          </w:tcPr>
          <w:p w14:paraId="4259A0F2" w14:textId="77777777" w:rsidR="00C5516F" w:rsidRPr="00635C9B" w:rsidRDefault="00C5516F" w:rsidP="00372E4E">
            <w:pPr>
              <w:pStyle w:val="TABLEBULLETNEW"/>
            </w:pPr>
            <w:r>
              <w:lastRenderedPageBreak/>
              <w:t>Functional Stakeholders</w:t>
            </w:r>
          </w:p>
          <w:p w14:paraId="03804387" w14:textId="77777777" w:rsidR="00C5516F" w:rsidRPr="00A21682" w:rsidRDefault="00C5516F" w:rsidP="00372E4E">
            <w:pPr>
              <w:pStyle w:val="TABLEBULLETNEW"/>
            </w:pPr>
          </w:p>
        </w:tc>
        <w:tc>
          <w:tcPr>
            <w:tcW w:w="1800" w:type="dxa"/>
            <w:tcBorders>
              <w:top w:val="single" w:sz="2" w:space="0" w:color="auto"/>
              <w:left w:val="single" w:sz="2" w:space="0" w:color="auto"/>
              <w:bottom w:val="single" w:sz="2" w:space="0" w:color="auto"/>
              <w:right w:val="single" w:sz="2" w:space="0" w:color="auto"/>
            </w:tcBorders>
          </w:tcPr>
          <w:p w14:paraId="6AAB3CD3" w14:textId="6C511F2E" w:rsidR="00C5516F" w:rsidRPr="00635C9B" w:rsidRDefault="00C5516F" w:rsidP="00372E4E">
            <w:pPr>
              <w:pStyle w:val="TABLEBULLETNEW"/>
            </w:pPr>
            <w:r>
              <w:t xml:space="preserve">Process flow showing high-level project requirements </w:t>
            </w:r>
          </w:p>
          <w:p w14:paraId="46495FFD" w14:textId="77777777" w:rsidR="00C5516F" w:rsidRPr="00635C9B" w:rsidRDefault="00C5516F" w:rsidP="00372E4E">
            <w:pPr>
              <w:pStyle w:val="TABLEBULLETNEW"/>
            </w:pPr>
            <w:r>
              <w:t>Initial draft of applicable specifications from legacy system</w:t>
            </w:r>
          </w:p>
          <w:p w14:paraId="07F457FD" w14:textId="77777777" w:rsidR="00C5516F" w:rsidRPr="00635C9B" w:rsidRDefault="00C5516F" w:rsidP="00372E4E">
            <w:pPr>
              <w:pStyle w:val="TABLEBULLETNEW"/>
            </w:pPr>
            <w:r>
              <w:t xml:space="preserve">Updated Question Log </w:t>
            </w:r>
            <w:r>
              <w:lastRenderedPageBreak/>
              <w:t xml:space="preserve">with clarifications </w:t>
            </w:r>
          </w:p>
          <w:p w14:paraId="43E027AD" w14:textId="2FF3E813" w:rsidR="00C5516F" w:rsidRPr="00635C9B" w:rsidRDefault="00C5516F" w:rsidP="00372E4E">
            <w:pPr>
              <w:pStyle w:val="TABLEBULLETNEW"/>
            </w:pPr>
            <w:r>
              <w:t>As-Is/To-Be Business Process Maps (DEL-17)</w:t>
            </w:r>
          </w:p>
          <w:p w14:paraId="095EFC7B" w14:textId="77777777" w:rsidR="00C5516F" w:rsidRPr="00635C9B" w:rsidRDefault="00C5516F" w:rsidP="00372E4E">
            <w:pPr>
              <w:pStyle w:val="TABLEBULLETNEW"/>
            </w:pPr>
            <w:r>
              <w:t>Base Solution Architectural Information</w:t>
            </w:r>
          </w:p>
        </w:tc>
        <w:tc>
          <w:tcPr>
            <w:tcW w:w="1800" w:type="dxa"/>
            <w:tcBorders>
              <w:top w:val="single" w:sz="2" w:space="0" w:color="auto"/>
              <w:left w:val="single" w:sz="2" w:space="0" w:color="auto"/>
              <w:bottom w:val="single" w:sz="2" w:space="0" w:color="auto"/>
              <w:right w:val="single" w:sz="2" w:space="0" w:color="auto"/>
            </w:tcBorders>
          </w:tcPr>
          <w:p w14:paraId="1C08ABFD" w14:textId="77777777" w:rsidR="00C5516F" w:rsidRPr="00635C9B" w:rsidRDefault="00C5516F" w:rsidP="00372E4E">
            <w:pPr>
              <w:pStyle w:val="TABLEBULLETNEW"/>
            </w:pPr>
            <w:r>
              <w:lastRenderedPageBreak/>
              <w:t>Documented Base Solution gaps and required changes</w:t>
            </w:r>
          </w:p>
          <w:p w14:paraId="13BAD052" w14:textId="77777777" w:rsidR="00C5516F" w:rsidRPr="00635C9B" w:rsidRDefault="00C5516F" w:rsidP="00372E4E">
            <w:pPr>
              <w:pStyle w:val="TABLEBULLETNEW"/>
            </w:pPr>
            <w:r>
              <w:t>Base Solution comparison mapping</w:t>
            </w:r>
          </w:p>
        </w:tc>
      </w:tr>
      <w:tr w:rsidR="00C5516F" w:rsidRPr="00A21682" w14:paraId="52F0D0E8" w14:textId="77777777" w:rsidTr="00F4005A">
        <w:trPr>
          <w:trHeight w:val="3378"/>
        </w:trPr>
        <w:tc>
          <w:tcPr>
            <w:tcW w:w="627" w:type="dxa"/>
            <w:tcBorders>
              <w:top w:val="single" w:sz="2" w:space="0" w:color="auto"/>
              <w:left w:val="single" w:sz="2" w:space="0" w:color="auto"/>
              <w:bottom w:val="single" w:sz="2" w:space="0" w:color="auto"/>
              <w:right w:val="single" w:sz="2" w:space="0" w:color="auto"/>
            </w:tcBorders>
          </w:tcPr>
          <w:p w14:paraId="428E9485" w14:textId="6445218F" w:rsidR="00C5516F" w:rsidRPr="00A21682" w:rsidRDefault="00C5516F" w:rsidP="00047C4E">
            <w:pPr>
              <w:pStyle w:val="TABLETEXT1"/>
              <w:rPr>
                <w:u w:color="000000"/>
                <w:lang w:val="en-US"/>
              </w:rPr>
            </w:pPr>
            <w:r>
              <w:rPr>
                <w:u w:color="000000"/>
                <w:lang w:val="en-US"/>
              </w:rPr>
              <w:lastRenderedPageBreak/>
              <w:t>2.4</w:t>
            </w:r>
          </w:p>
        </w:tc>
        <w:tc>
          <w:tcPr>
            <w:tcW w:w="1530" w:type="dxa"/>
            <w:tcBorders>
              <w:top w:val="single" w:sz="2" w:space="0" w:color="auto"/>
              <w:left w:val="single" w:sz="2" w:space="0" w:color="auto"/>
              <w:bottom w:val="single" w:sz="2" w:space="0" w:color="auto"/>
              <w:right w:val="single" w:sz="2" w:space="0" w:color="auto"/>
            </w:tcBorders>
          </w:tcPr>
          <w:p w14:paraId="72E49778" w14:textId="77777777" w:rsidR="00C5516F" w:rsidRPr="00A21682" w:rsidRDefault="00C5516F" w:rsidP="00047C4E">
            <w:pPr>
              <w:pStyle w:val="TABLETEXT1"/>
              <w:rPr>
                <w:u w:color="000000"/>
                <w:lang w:val="en-US"/>
              </w:rPr>
            </w:pPr>
            <w:r>
              <w:rPr>
                <w:u w:color="000000"/>
                <w:lang w:val="en-US"/>
              </w:rPr>
              <w:t>Conduct requirements validation working session</w:t>
            </w:r>
          </w:p>
        </w:tc>
        <w:tc>
          <w:tcPr>
            <w:tcW w:w="1980" w:type="dxa"/>
            <w:tcBorders>
              <w:top w:val="single" w:sz="2" w:space="0" w:color="auto"/>
              <w:left w:val="single" w:sz="2" w:space="0" w:color="auto"/>
              <w:bottom w:val="single" w:sz="2" w:space="0" w:color="auto"/>
              <w:right w:val="single" w:sz="2" w:space="0" w:color="auto"/>
            </w:tcBorders>
          </w:tcPr>
          <w:p w14:paraId="4693C424" w14:textId="75A2C9AB" w:rsidR="00C5516F" w:rsidRPr="00372E4E" w:rsidRDefault="00C5516F" w:rsidP="00372E4E">
            <w:pPr>
              <w:pStyle w:val="TABLETEXT1"/>
              <w:rPr>
                <w:u w:color="000000"/>
                <w:lang w:val="en-US"/>
              </w:rPr>
            </w:pPr>
            <w:r>
              <w:rPr>
                <w:u w:color="000000"/>
                <w:lang w:val="en-US"/>
              </w:rPr>
              <w:t>Validate and confirm requirements/ business objectives via working sessions by leveraging input documents, demos from Base Solution, and high-level flows</w:t>
            </w:r>
          </w:p>
        </w:tc>
        <w:tc>
          <w:tcPr>
            <w:tcW w:w="1705" w:type="dxa"/>
            <w:tcBorders>
              <w:top w:val="single" w:sz="2" w:space="0" w:color="auto"/>
              <w:left w:val="single" w:sz="2" w:space="0" w:color="auto"/>
              <w:bottom w:val="single" w:sz="2" w:space="0" w:color="auto"/>
              <w:right w:val="single" w:sz="2" w:space="0" w:color="auto"/>
            </w:tcBorders>
          </w:tcPr>
          <w:p w14:paraId="2DD86222" w14:textId="77777777" w:rsidR="00C5516F" w:rsidRPr="00635C9B" w:rsidRDefault="00C5516F" w:rsidP="00372E4E">
            <w:pPr>
              <w:pStyle w:val="TABLEBULLETNEW"/>
            </w:pPr>
            <w:r>
              <w:t>Functional Stakeholders</w:t>
            </w:r>
          </w:p>
          <w:p w14:paraId="61399003" w14:textId="77777777" w:rsidR="00C5516F" w:rsidRPr="00635C9B" w:rsidRDefault="00C5516F" w:rsidP="00372E4E">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78569EE0" w14:textId="77777777" w:rsidR="00C5516F" w:rsidRPr="00635C9B" w:rsidRDefault="00C5516F" w:rsidP="00372E4E">
            <w:pPr>
              <w:pStyle w:val="TABLEBULLETNEW"/>
            </w:pPr>
            <w:r>
              <w:t>Documented Base Solution gaps and required changes</w:t>
            </w:r>
          </w:p>
          <w:p w14:paraId="2E19E4C6" w14:textId="77777777" w:rsidR="00C5516F" w:rsidRPr="00635C9B" w:rsidRDefault="00C5516F" w:rsidP="00372E4E">
            <w:pPr>
              <w:pStyle w:val="TABLEBULLETNEW"/>
            </w:pPr>
            <w:r>
              <w:t>Base Solution comparison mapping</w:t>
            </w:r>
          </w:p>
          <w:p w14:paraId="326A3AE6" w14:textId="77777777" w:rsidR="00C5516F" w:rsidRPr="00635C9B" w:rsidRDefault="00C5516F" w:rsidP="00372E4E">
            <w:pPr>
              <w:pStyle w:val="TABLEBULLETNEW"/>
            </w:pPr>
            <w:r>
              <w:t xml:space="preserve">Base Solution Live Demos </w:t>
            </w:r>
          </w:p>
          <w:p w14:paraId="30626186" w14:textId="526546F8" w:rsidR="00C5516F" w:rsidRPr="00635C9B" w:rsidRDefault="00C5516F" w:rsidP="00372E4E">
            <w:pPr>
              <w:pStyle w:val="TABLEBULLETNEW"/>
            </w:pPr>
            <w:r>
              <w:t>As-Is/To-Be Business Process Maps (DEL-17)</w:t>
            </w:r>
          </w:p>
        </w:tc>
        <w:tc>
          <w:tcPr>
            <w:tcW w:w="1800" w:type="dxa"/>
            <w:tcBorders>
              <w:top w:val="single" w:sz="2" w:space="0" w:color="auto"/>
              <w:left w:val="single" w:sz="2" w:space="0" w:color="auto"/>
              <w:bottom w:val="single" w:sz="2" w:space="0" w:color="auto"/>
              <w:right w:val="single" w:sz="2" w:space="0" w:color="auto"/>
            </w:tcBorders>
          </w:tcPr>
          <w:p w14:paraId="49440E99" w14:textId="44864B39" w:rsidR="00C5516F" w:rsidRPr="00635C9B" w:rsidRDefault="00C5516F" w:rsidP="00372E4E">
            <w:pPr>
              <w:pStyle w:val="TABLEBULLETNEW"/>
            </w:pPr>
            <w:r>
              <w:t>Documented requirements/ business objectives</w:t>
            </w:r>
          </w:p>
        </w:tc>
      </w:tr>
      <w:tr w:rsidR="00C5516F" w:rsidRPr="00A21682" w14:paraId="66E9FF87"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7B8B3F80" w14:textId="77777777" w:rsidR="00C5516F" w:rsidRPr="00A21682" w:rsidRDefault="00C5516F" w:rsidP="00047C4E">
            <w:pPr>
              <w:pStyle w:val="TABLETEXT1"/>
              <w:rPr>
                <w:u w:color="000000"/>
                <w:lang w:val="en-US"/>
              </w:rPr>
            </w:pPr>
            <w:r>
              <w:rPr>
                <w:u w:color="000000"/>
                <w:lang w:val="en-US"/>
              </w:rPr>
              <w:t>2.5</w:t>
            </w:r>
          </w:p>
        </w:tc>
        <w:tc>
          <w:tcPr>
            <w:tcW w:w="1530" w:type="dxa"/>
            <w:tcBorders>
              <w:top w:val="single" w:sz="2" w:space="0" w:color="auto"/>
              <w:left w:val="single" w:sz="2" w:space="0" w:color="auto"/>
              <w:bottom w:val="single" w:sz="2" w:space="0" w:color="auto"/>
              <w:right w:val="single" w:sz="2" w:space="0" w:color="auto"/>
            </w:tcBorders>
          </w:tcPr>
          <w:p w14:paraId="28100EEF" w14:textId="70B348F5" w:rsidR="00C5516F" w:rsidRPr="00A21682" w:rsidRDefault="00C5516F" w:rsidP="00047C4E">
            <w:pPr>
              <w:pStyle w:val="TABLETEXT1"/>
              <w:rPr>
                <w:u w:color="000000"/>
                <w:lang w:val="en-US"/>
              </w:rPr>
            </w:pPr>
            <w:r>
              <w:rPr>
                <w:u w:color="000000"/>
                <w:lang w:val="en-US"/>
              </w:rPr>
              <w:t xml:space="preserve">Create/update the RTM </w:t>
            </w:r>
            <w:r>
              <w:rPr>
                <w:rFonts w:cs="Times New Roman"/>
                <w:u w:color="000000"/>
                <w:lang w:val="en-US"/>
              </w:rPr>
              <w:t xml:space="preserve">(DEL-19) </w:t>
            </w:r>
            <w:r>
              <w:rPr>
                <w:u w:color="000000"/>
                <w:lang w:val="en-US"/>
              </w:rPr>
              <w:t>and Requirements Specification Document (RSD) (DEL-18)</w:t>
            </w:r>
          </w:p>
        </w:tc>
        <w:tc>
          <w:tcPr>
            <w:tcW w:w="1980" w:type="dxa"/>
            <w:tcBorders>
              <w:top w:val="single" w:sz="2" w:space="0" w:color="auto"/>
              <w:left w:val="single" w:sz="2" w:space="0" w:color="auto"/>
              <w:bottom w:val="single" w:sz="2" w:space="0" w:color="auto"/>
              <w:right w:val="single" w:sz="2" w:space="0" w:color="auto"/>
            </w:tcBorders>
          </w:tcPr>
          <w:p w14:paraId="0B199D00" w14:textId="77069D0C" w:rsidR="00C5516F" w:rsidRPr="00372E4E" w:rsidRDefault="00C5516F" w:rsidP="00372E4E">
            <w:pPr>
              <w:pStyle w:val="TABLETEXT1"/>
              <w:rPr>
                <w:u w:color="000000"/>
                <w:lang w:val="en-US"/>
              </w:rPr>
            </w:pPr>
            <w:r>
              <w:rPr>
                <w:u w:color="000000"/>
                <w:lang w:val="en-US"/>
              </w:rPr>
              <w:t>Create/Update RSD (DEL-18) and RTM (DEL-19) based on requirements received from input documents and comparison with Base Solution</w:t>
            </w:r>
          </w:p>
        </w:tc>
        <w:tc>
          <w:tcPr>
            <w:tcW w:w="1705" w:type="dxa"/>
            <w:tcBorders>
              <w:top w:val="single" w:sz="2" w:space="0" w:color="auto"/>
              <w:left w:val="single" w:sz="2" w:space="0" w:color="auto"/>
              <w:bottom w:val="single" w:sz="2" w:space="0" w:color="auto"/>
              <w:right w:val="single" w:sz="2" w:space="0" w:color="auto"/>
            </w:tcBorders>
          </w:tcPr>
          <w:p w14:paraId="70A8C8FC" w14:textId="77777777" w:rsidR="00C5516F" w:rsidRPr="00635C9B" w:rsidRDefault="00C5516F" w:rsidP="00372E4E">
            <w:pPr>
              <w:pStyle w:val="TABLEBULLETNEW"/>
            </w:pPr>
            <w:r>
              <w:t>Functional Stakeholders</w:t>
            </w:r>
          </w:p>
        </w:tc>
        <w:tc>
          <w:tcPr>
            <w:tcW w:w="1800" w:type="dxa"/>
            <w:tcBorders>
              <w:top w:val="single" w:sz="2" w:space="0" w:color="auto"/>
              <w:left w:val="single" w:sz="2" w:space="0" w:color="auto"/>
              <w:bottom w:val="single" w:sz="2" w:space="0" w:color="auto"/>
              <w:right w:val="single" w:sz="2" w:space="0" w:color="auto"/>
            </w:tcBorders>
          </w:tcPr>
          <w:p w14:paraId="16337066" w14:textId="17A77D30" w:rsidR="00C5516F" w:rsidRPr="00635C9B" w:rsidRDefault="00C5516F" w:rsidP="00372E4E">
            <w:pPr>
              <w:pStyle w:val="TABLEBULLETNEW"/>
            </w:pPr>
            <w:r>
              <w:t>Documented requirements/ business objectives</w:t>
            </w:r>
          </w:p>
          <w:p w14:paraId="4E6BAE7A" w14:textId="24ABA917" w:rsidR="00C5516F" w:rsidRPr="00635C9B" w:rsidRDefault="00C5516F" w:rsidP="00372E4E">
            <w:pPr>
              <w:pStyle w:val="TABLEBULLETNEW"/>
            </w:pPr>
            <w:r>
              <w:t>As-Is/To-Be Business Process Maps (DEL-17)</w:t>
            </w:r>
          </w:p>
        </w:tc>
        <w:tc>
          <w:tcPr>
            <w:tcW w:w="1800" w:type="dxa"/>
            <w:tcBorders>
              <w:top w:val="single" w:sz="2" w:space="0" w:color="auto"/>
              <w:left w:val="single" w:sz="2" w:space="0" w:color="auto"/>
              <w:bottom w:val="single" w:sz="2" w:space="0" w:color="auto"/>
              <w:right w:val="single" w:sz="2" w:space="0" w:color="auto"/>
            </w:tcBorders>
          </w:tcPr>
          <w:p w14:paraId="14116BB8" w14:textId="29ADFF8D" w:rsidR="00C5516F" w:rsidRPr="00635C9B" w:rsidRDefault="00C5516F" w:rsidP="00372E4E">
            <w:pPr>
              <w:pStyle w:val="TABLEBULLETNEW"/>
            </w:pPr>
            <w:r>
              <w:t>Draft Requirements Specification Document (DEL-18)</w:t>
            </w:r>
          </w:p>
          <w:p w14:paraId="7B5E2CCF" w14:textId="6BB94190" w:rsidR="00C5516F" w:rsidRPr="00635C9B" w:rsidRDefault="00C5516F" w:rsidP="00372E4E">
            <w:pPr>
              <w:pStyle w:val="TABLEBULLETNEW"/>
            </w:pPr>
            <w:r>
              <w:t>Draft Requirements Traceability Matrix (DEL-19)</w:t>
            </w:r>
          </w:p>
        </w:tc>
      </w:tr>
      <w:tr w:rsidR="00C5516F" w:rsidRPr="00A21682" w14:paraId="1B25FFAF"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39FCC179" w14:textId="77777777" w:rsidR="00C5516F" w:rsidRPr="00A21682" w:rsidRDefault="00C5516F" w:rsidP="00047C4E">
            <w:pPr>
              <w:pStyle w:val="TABLETEXT1"/>
              <w:rPr>
                <w:u w:color="000000"/>
                <w:lang w:val="en-US"/>
              </w:rPr>
            </w:pPr>
            <w:r>
              <w:rPr>
                <w:u w:color="000000"/>
                <w:lang w:val="en-US"/>
              </w:rPr>
              <w:t>2.6</w:t>
            </w:r>
          </w:p>
        </w:tc>
        <w:tc>
          <w:tcPr>
            <w:tcW w:w="1530" w:type="dxa"/>
            <w:tcBorders>
              <w:top w:val="single" w:sz="2" w:space="0" w:color="auto"/>
              <w:left w:val="single" w:sz="2" w:space="0" w:color="auto"/>
              <w:bottom w:val="single" w:sz="2" w:space="0" w:color="auto"/>
              <w:right w:val="single" w:sz="2" w:space="0" w:color="auto"/>
            </w:tcBorders>
          </w:tcPr>
          <w:p w14:paraId="30971A39" w14:textId="3BDDF76F" w:rsidR="00C5516F" w:rsidRPr="00A21682" w:rsidRDefault="00C5516F" w:rsidP="00047C4E">
            <w:pPr>
              <w:pStyle w:val="TABLETEXT1"/>
              <w:rPr>
                <w:u w:color="000000"/>
                <w:lang w:val="en-US"/>
              </w:rPr>
            </w:pPr>
            <w:r>
              <w:rPr>
                <w:u w:color="000000"/>
                <w:lang w:val="en-US"/>
              </w:rPr>
              <w:t xml:space="preserve">Walk through the Requirements Traceability Matrix </w:t>
            </w:r>
            <w:r>
              <w:rPr>
                <w:rFonts w:cs="Times New Roman"/>
                <w:u w:color="000000"/>
                <w:lang w:val="en-US"/>
              </w:rPr>
              <w:t>(DEL-19)</w:t>
            </w:r>
            <w:r>
              <w:rPr>
                <w:u w:color="000000"/>
                <w:lang w:val="en-US"/>
              </w:rPr>
              <w:t xml:space="preserve"> and Requirements Specification Document </w:t>
            </w:r>
            <w:r>
              <w:rPr>
                <w:rFonts w:cs="Times New Roman"/>
                <w:u w:color="000000"/>
                <w:lang w:val="en-US"/>
              </w:rPr>
              <w:t>(DEL-18)</w:t>
            </w:r>
          </w:p>
        </w:tc>
        <w:tc>
          <w:tcPr>
            <w:tcW w:w="1980" w:type="dxa"/>
            <w:tcBorders>
              <w:top w:val="single" w:sz="2" w:space="0" w:color="auto"/>
              <w:left w:val="single" w:sz="2" w:space="0" w:color="auto"/>
              <w:bottom w:val="single" w:sz="2" w:space="0" w:color="auto"/>
              <w:right w:val="single" w:sz="2" w:space="0" w:color="auto"/>
            </w:tcBorders>
          </w:tcPr>
          <w:p w14:paraId="2FD5B953" w14:textId="79784051" w:rsidR="00C5516F" w:rsidRPr="00372E4E" w:rsidRDefault="00742238" w:rsidP="00372E4E">
            <w:pPr>
              <w:pStyle w:val="TABLETEXT1"/>
              <w:rPr>
                <w:u w:color="000000"/>
                <w:lang w:val="en-US"/>
              </w:rPr>
            </w:pPr>
            <w:r>
              <w:rPr>
                <w:u w:color="000000"/>
                <w:lang w:val="en-US"/>
              </w:rPr>
              <w:t xml:space="preserve">Collaborate with functional and business stakeholders to review the RTM (DEL-19) and RSD (DEL-18) </w:t>
            </w:r>
          </w:p>
        </w:tc>
        <w:tc>
          <w:tcPr>
            <w:tcW w:w="1705" w:type="dxa"/>
            <w:tcBorders>
              <w:top w:val="single" w:sz="2" w:space="0" w:color="auto"/>
              <w:left w:val="single" w:sz="2" w:space="0" w:color="auto"/>
              <w:bottom w:val="single" w:sz="2" w:space="0" w:color="auto"/>
              <w:right w:val="single" w:sz="2" w:space="0" w:color="auto"/>
            </w:tcBorders>
          </w:tcPr>
          <w:p w14:paraId="7A2184B4" w14:textId="75A9DC2B" w:rsidR="00723922" w:rsidRDefault="00C5516F" w:rsidP="00372E4E">
            <w:pPr>
              <w:pStyle w:val="TABLEBULLETNEW"/>
            </w:pPr>
            <w:r>
              <w:t>Functional Stakeholders</w:t>
            </w:r>
          </w:p>
          <w:p w14:paraId="35337CF8" w14:textId="4E83D4D3" w:rsidR="00C5516F" w:rsidRPr="00635C9B" w:rsidRDefault="00C5516F" w:rsidP="00372E4E">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134E0B71" w14:textId="7002AF12" w:rsidR="00C5516F" w:rsidRPr="00635C9B" w:rsidRDefault="00C5516F" w:rsidP="00372E4E">
            <w:pPr>
              <w:pStyle w:val="TABLEBULLETNEW"/>
            </w:pPr>
            <w:r>
              <w:t>Draft Requirements Specification Document (DEL-18)</w:t>
            </w:r>
          </w:p>
          <w:p w14:paraId="34199D42" w14:textId="2BBCCE8F" w:rsidR="00C5516F" w:rsidRPr="00635C9B" w:rsidRDefault="00C5516F" w:rsidP="00372E4E">
            <w:pPr>
              <w:pStyle w:val="TABLEBULLETNEW"/>
            </w:pPr>
            <w:r>
              <w:t>Draft Requirements Traceability Matrix (DEL-19)</w:t>
            </w:r>
          </w:p>
        </w:tc>
        <w:tc>
          <w:tcPr>
            <w:tcW w:w="1800" w:type="dxa"/>
            <w:tcBorders>
              <w:top w:val="single" w:sz="2" w:space="0" w:color="auto"/>
              <w:left w:val="single" w:sz="2" w:space="0" w:color="auto"/>
              <w:bottom w:val="single" w:sz="2" w:space="0" w:color="auto"/>
              <w:right w:val="single" w:sz="2" w:space="0" w:color="auto"/>
            </w:tcBorders>
          </w:tcPr>
          <w:p w14:paraId="55B2B116" w14:textId="40473669" w:rsidR="00C5516F" w:rsidRPr="00635C9B" w:rsidRDefault="00C5516F" w:rsidP="00372E4E">
            <w:pPr>
              <w:pStyle w:val="TABLEBULLETNEW"/>
            </w:pPr>
            <w:r>
              <w:t>Updated Draft Requirements Specification Document (DEL-18)</w:t>
            </w:r>
          </w:p>
          <w:p w14:paraId="4340771A" w14:textId="59DC4F15" w:rsidR="00C5516F" w:rsidRPr="00635C9B" w:rsidRDefault="00C5516F" w:rsidP="00372E4E">
            <w:pPr>
              <w:pStyle w:val="TABLEBULLETNEW"/>
            </w:pPr>
            <w:r>
              <w:t xml:space="preserve">Updated Draft Requirements Traceability Matrix (DEL-19) </w:t>
            </w:r>
          </w:p>
        </w:tc>
      </w:tr>
      <w:tr w:rsidR="00C5516F" w:rsidRPr="00A21682" w14:paraId="18F9B9BF"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1BCE8AE2" w14:textId="77777777" w:rsidR="00C5516F" w:rsidRPr="00A21682" w:rsidRDefault="00C5516F" w:rsidP="00047C4E">
            <w:pPr>
              <w:pStyle w:val="TABLETEXT1"/>
              <w:rPr>
                <w:u w:color="000000"/>
                <w:lang w:val="en-US"/>
              </w:rPr>
            </w:pPr>
            <w:r>
              <w:rPr>
                <w:u w:color="000000"/>
                <w:lang w:val="en-US"/>
              </w:rPr>
              <w:lastRenderedPageBreak/>
              <w:t>2.6a</w:t>
            </w:r>
          </w:p>
        </w:tc>
        <w:tc>
          <w:tcPr>
            <w:tcW w:w="1530" w:type="dxa"/>
            <w:tcBorders>
              <w:top w:val="single" w:sz="2" w:space="0" w:color="auto"/>
              <w:left w:val="single" w:sz="2" w:space="0" w:color="auto"/>
              <w:bottom w:val="single" w:sz="2" w:space="0" w:color="auto"/>
              <w:right w:val="single" w:sz="2" w:space="0" w:color="auto"/>
            </w:tcBorders>
          </w:tcPr>
          <w:p w14:paraId="5DB2BD51" w14:textId="77777777" w:rsidR="00C5516F" w:rsidRPr="00A21682" w:rsidRDefault="00C5516F" w:rsidP="00047C4E">
            <w:pPr>
              <w:pStyle w:val="TABLETEXT1"/>
              <w:rPr>
                <w:u w:color="000000"/>
                <w:lang w:val="en-US"/>
              </w:rPr>
            </w:pPr>
            <w:r>
              <w:rPr>
                <w:u w:color="000000"/>
                <w:lang w:val="en-US"/>
              </w:rPr>
              <w:t>Wave objectives or high-level scope need revision</w:t>
            </w:r>
          </w:p>
        </w:tc>
        <w:tc>
          <w:tcPr>
            <w:tcW w:w="1980" w:type="dxa"/>
            <w:tcBorders>
              <w:top w:val="single" w:sz="2" w:space="0" w:color="auto"/>
              <w:left w:val="single" w:sz="2" w:space="0" w:color="auto"/>
              <w:bottom w:val="single" w:sz="2" w:space="0" w:color="auto"/>
              <w:right w:val="single" w:sz="2" w:space="0" w:color="auto"/>
            </w:tcBorders>
          </w:tcPr>
          <w:p w14:paraId="2D15B5A0" w14:textId="14C12482" w:rsidR="00C5516F" w:rsidRPr="00372E4E" w:rsidRDefault="00C5516F" w:rsidP="00372E4E">
            <w:pPr>
              <w:pStyle w:val="TABLETEXT1"/>
              <w:rPr>
                <w:u w:color="000000"/>
                <w:lang w:val="en-US"/>
              </w:rPr>
            </w:pPr>
            <w:r>
              <w:rPr>
                <w:u w:color="000000"/>
                <w:lang w:val="en-US"/>
              </w:rPr>
              <w:t>Review the objectives and high-level scope and decide if they need to be revised</w:t>
            </w:r>
          </w:p>
          <w:p w14:paraId="66B317D9" w14:textId="51FA06D5" w:rsidR="00C5516F" w:rsidRPr="00635C9B" w:rsidRDefault="00C5516F" w:rsidP="00372E4E">
            <w:pPr>
              <w:pStyle w:val="TABLEBULLETNEW"/>
            </w:pPr>
            <w:r>
              <w:t xml:space="preserve">If yes, proceed to </w:t>
            </w:r>
            <w:r>
              <w:rPr>
                <w:i/>
              </w:rPr>
              <w:t>Step #2.7 Update business objectives and high-level scope for Wave</w:t>
            </w:r>
            <w:r>
              <w:t xml:space="preserve"> </w:t>
            </w:r>
          </w:p>
          <w:p w14:paraId="3E32DEDC" w14:textId="6D8978A2" w:rsidR="00C5516F" w:rsidRPr="00635C9B" w:rsidRDefault="00C5516F" w:rsidP="00372E4E">
            <w:pPr>
              <w:pStyle w:val="TABLEBULLETNEW"/>
            </w:pPr>
            <w:r>
              <w:t xml:space="preserve">If no, proceed to process </w:t>
            </w:r>
            <w:r>
              <w:rPr>
                <w:i/>
              </w:rPr>
              <w:t>Step #2.8 Update and submit the Requirements Traceability Matrix (DEL-19) and Requirements Specification Document (DEL-18) for review and prioritization</w:t>
            </w:r>
          </w:p>
        </w:tc>
        <w:tc>
          <w:tcPr>
            <w:tcW w:w="1705" w:type="dxa"/>
            <w:tcBorders>
              <w:top w:val="single" w:sz="2" w:space="0" w:color="auto"/>
              <w:left w:val="single" w:sz="2" w:space="0" w:color="auto"/>
              <w:bottom w:val="single" w:sz="2" w:space="0" w:color="auto"/>
              <w:right w:val="single" w:sz="2" w:space="0" w:color="auto"/>
            </w:tcBorders>
          </w:tcPr>
          <w:p w14:paraId="409C65C7" w14:textId="77777777" w:rsidR="00C5516F" w:rsidRPr="00635C9B" w:rsidRDefault="00C5516F" w:rsidP="00372E4E">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4AF9648D" w14:textId="77777777" w:rsidR="00C5516F" w:rsidRPr="00635C9B" w:rsidRDefault="00C5516F" w:rsidP="00372E4E">
            <w:pPr>
              <w:pStyle w:val="TABLEBULLETNEW"/>
            </w:pPr>
            <w:r>
              <w:t>N/A</w:t>
            </w:r>
          </w:p>
        </w:tc>
        <w:tc>
          <w:tcPr>
            <w:tcW w:w="1800" w:type="dxa"/>
            <w:tcBorders>
              <w:top w:val="single" w:sz="2" w:space="0" w:color="auto"/>
              <w:left w:val="single" w:sz="2" w:space="0" w:color="auto"/>
              <w:bottom w:val="single" w:sz="2" w:space="0" w:color="auto"/>
              <w:right w:val="single" w:sz="2" w:space="0" w:color="auto"/>
            </w:tcBorders>
          </w:tcPr>
          <w:p w14:paraId="5C934638" w14:textId="77777777" w:rsidR="00C5516F" w:rsidRPr="00635C9B" w:rsidRDefault="00C5516F" w:rsidP="00372E4E">
            <w:pPr>
              <w:pStyle w:val="TABLEBULLETNEW"/>
            </w:pPr>
            <w:r>
              <w:t>N/A</w:t>
            </w:r>
          </w:p>
        </w:tc>
      </w:tr>
      <w:tr w:rsidR="00C5516F" w:rsidRPr="00A21682" w14:paraId="2C4A15A2"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3F57A157" w14:textId="77777777" w:rsidR="00C5516F" w:rsidRPr="00A21682" w:rsidRDefault="00C5516F" w:rsidP="00047C4E">
            <w:pPr>
              <w:pStyle w:val="TABLETEXT1"/>
              <w:rPr>
                <w:u w:color="000000"/>
                <w:lang w:val="en-US"/>
              </w:rPr>
            </w:pPr>
            <w:r>
              <w:rPr>
                <w:u w:color="000000"/>
                <w:lang w:val="en-US"/>
              </w:rPr>
              <w:t>2.7</w:t>
            </w:r>
          </w:p>
        </w:tc>
        <w:tc>
          <w:tcPr>
            <w:tcW w:w="1530" w:type="dxa"/>
            <w:tcBorders>
              <w:top w:val="single" w:sz="2" w:space="0" w:color="auto"/>
              <w:left w:val="single" w:sz="2" w:space="0" w:color="auto"/>
              <w:bottom w:val="single" w:sz="2" w:space="0" w:color="auto"/>
              <w:right w:val="single" w:sz="2" w:space="0" w:color="auto"/>
            </w:tcBorders>
          </w:tcPr>
          <w:p w14:paraId="1FD54EFD" w14:textId="77777777" w:rsidR="00C5516F" w:rsidRPr="00A21682" w:rsidRDefault="00C5516F" w:rsidP="00047C4E">
            <w:pPr>
              <w:pStyle w:val="TABLETEXT1"/>
              <w:rPr>
                <w:u w:color="000000"/>
                <w:lang w:val="en-US"/>
              </w:rPr>
            </w:pPr>
            <w:r>
              <w:rPr>
                <w:u w:color="000000"/>
                <w:lang w:val="en-US"/>
              </w:rPr>
              <w:t>Update business objectives and high-level scope for Wave</w:t>
            </w:r>
          </w:p>
        </w:tc>
        <w:tc>
          <w:tcPr>
            <w:tcW w:w="1980" w:type="dxa"/>
            <w:tcBorders>
              <w:top w:val="single" w:sz="2" w:space="0" w:color="auto"/>
              <w:left w:val="single" w:sz="2" w:space="0" w:color="auto"/>
              <w:bottom w:val="single" w:sz="2" w:space="0" w:color="auto"/>
              <w:right w:val="single" w:sz="2" w:space="0" w:color="auto"/>
            </w:tcBorders>
          </w:tcPr>
          <w:p w14:paraId="55440538" w14:textId="77777777" w:rsidR="00C5516F" w:rsidRPr="00372E4E" w:rsidRDefault="00C5516F" w:rsidP="00372E4E">
            <w:pPr>
              <w:pStyle w:val="TABLEBULLETNEW"/>
            </w:pPr>
            <w:r>
              <w:t>Review business objectives before requirements approval</w:t>
            </w:r>
          </w:p>
          <w:p w14:paraId="2D890FDC" w14:textId="77777777" w:rsidR="00C5516F" w:rsidRPr="00635C9B" w:rsidRDefault="00C5516F" w:rsidP="00372E4E">
            <w:pPr>
              <w:pStyle w:val="TABLEBULLETNEW"/>
            </w:pPr>
            <w:r>
              <w:t xml:space="preserve">If adjustments need to be made, collaborate with the Executive stakeholders to understand the impact on scope, timeline, and budget </w:t>
            </w:r>
          </w:p>
          <w:p w14:paraId="7E322E94" w14:textId="77777777" w:rsidR="00C5516F" w:rsidRPr="00635C9B" w:rsidRDefault="00C5516F" w:rsidP="00372E4E">
            <w:pPr>
              <w:pStyle w:val="TABLEBULLETNEW"/>
            </w:pPr>
            <w:r>
              <w:t>Update the business objectives, if needed</w:t>
            </w:r>
          </w:p>
          <w:p w14:paraId="6631E4CA" w14:textId="77777777" w:rsidR="00C5516F" w:rsidRPr="00635C9B" w:rsidRDefault="00C5516F" w:rsidP="00372E4E">
            <w:pPr>
              <w:pStyle w:val="TABLEBULLETNEW"/>
            </w:pPr>
            <w:r>
              <w:t xml:space="preserve">Develop initial solution </w:t>
            </w:r>
            <w:r>
              <w:lastRenderedPageBreak/>
              <w:t>roadmap and estimated cost of ownership based on high-level scope for Wave</w:t>
            </w:r>
          </w:p>
        </w:tc>
        <w:tc>
          <w:tcPr>
            <w:tcW w:w="1705" w:type="dxa"/>
            <w:tcBorders>
              <w:top w:val="single" w:sz="2" w:space="0" w:color="auto"/>
              <w:left w:val="single" w:sz="2" w:space="0" w:color="auto"/>
              <w:bottom w:val="single" w:sz="2" w:space="0" w:color="auto"/>
              <w:right w:val="single" w:sz="2" w:space="0" w:color="auto"/>
            </w:tcBorders>
          </w:tcPr>
          <w:p w14:paraId="56695DD2" w14:textId="02B1E134" w:rsidR="00723922" w:rsidRDefault="00C5516F" w:rsidP="00372E4E">
            <w:pPr>
              <w:pStyle w:val="TABLEBULLETNEW"/>
            </w:pPr>
            <w:r>
              <w:lastRenderedPageBreak/>
              <w:t>Executive Stakeholders</w:t>
            </w:r>
          </w:p>
          <w:p w14:paraId="2323117F" w14:textId="02B0DF0B" w:rsidR="00C5516F" w:rsidRPr="00635C9B" w:rsidRDefault="00C5516F" w:rsidP="00372E4E">
            <w:pPr>
              <w:pStyle w:val="TABLEBULLETNEW"/>
            </w:pPr>
            <w:r>
              <w:t>Business Stakeholders</w:t>
            </w:r>
          </w:p>
        </w:tc>
        <w:tc>
          <w:tcPr>
            <w:tcW w:w="1800" w:type="dxa"/>
            <w:tcBorders>
              <w:top w:val="single" w:sz="2" w:space="0" w:color="auto"/>
              <w:left w:val="single" w:sz="2" w:space="0" w:color="auto"/>
              <w:bottom w:val="single" w:sz="2" w:space="0" w:color="auto"/>
              <w:right w:val="single" w:sz="2" w:space="0" w:color="auto"/>
            </w:tcBorders>
          </w:tcPr>
          <w:p w14:paraId="1362EF22" w14:textId="77777777" w:rsidR="00C5516F" w:rsidRPr="00635C9B" w:rsidRDefault="00C5516F" w:rsidP="00372E4E">
            <w:pPr>
              <w:pStyle w:val="TABLEBULLETNEW"/>
            </w:pPr>
            <w:r>
              <w:t>High-Level Business Objectives and North Stars</w:t>
            </w:r>
          </w:p>
        </w:tc>
        <w:tc>
          <w:tcPr>
            <w:tcW w:w="1800" w:type="dxa"/>
            <w:tcBorders>
              <w:top w:val="single" w:sz="2" w:space="0" w:color="auto"/>
              <w:left w:val="single" w:sz="2" w:space="0" w:color="auto"/>
              <w:bottom w:val="single" w:sz="2" w:space="0" w:color="auto"/>
              <w:right w:val="single" w:sz="2" w:space="0" w:color="auto"/>
            </w:tcBorders>
          </w:tcPr>
          <w:p w14:paraId="557CB574" w14:textId="77777777" w:rsidR="00C5516F" w:rsidRPr="00635C9B" w:rsidRDefault="00C5516F" w:rsidP="00372E4E">
            <w:pPr>
              <w:pStyle w:val="TABLEBULLETNEW"/>
            </w:pPr>
            <w:r>
              <w:t xml:space="preserve">Revised Objectives, North Stars, and Wave Plan </w:t>
            </w:r>
          </w:p>
        </w:tc>
      </w:tr>
      <w:tr w:rsidR="00C5516F" w:rsidRPr="00A21682" w14:paraId="6F379887"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312CB04F" w14:textId="77777777" w:rsidR="00C5516F" w:rsidRPr="00A21682" w:rsidRDefault="00C5516F" w:rsidP="00047C4E">
            <w:pPr>
              <w:pStyle w:val="TABLETEXT1"/>
              <w:rPr>
                <w:u w:color="000000"/>
                <w:lang w:val="en-US"/>
              </w:rPr>
            </w:pPr>
            <w:r>
              <w:rPr>
                <w:u w:color="000000"/>
                <w:lang w:val="en-US"/>
              </w:rPr>
              <w:t>2.8</w:t>
            </w:r>
          </w:p>
        </w:tc>
        <w:tc>
          <w:tcPr>
            <w:tcW w:w="1530" w:type="dxa"/>
            <w:tcBorders>
              <w:top w:val="single" w:sz="2" w:space="0" w:color="auto"/>
              <w:left w:val="single" w:sz="2" w:space="0" w:color="auto"/>
              <w:bottom w:val="single" w:sz="2" w:space="0" w:color="auto"/>
              <w:right w:val="single" w:sz="2" w:space="0" w:color="auto"/>
            </w:tcBorders>
          </w:tcPr>
          <w:p w14:paraId="1A7492FB" w14:textId="23EE886D" w:rsidR="00C5516F" w:rsidRPr="00A21682" w:rsidRDefault="00C5516F" w:rsidP="00047C4E">
            <w:pPr>
              <w:pStyle w:val="TABLETEXT1"/>
              <w:rPr>
                <w:u w:color="000000"/>
                <w:lang w:val="en-US"/>
              </w:rPr>
            </w:pPr>
            <w:r>
              <w:rPr>
                <w:u w:color="000000"/>
                <w:lang w:val="en-US"/>
              </w:rPr>
              <w:t xml:space="preserve">Update and submit the Requirements Traceability Matrix </w:t>
            </w:r>
            <w:r>
              <w:rPr>
                <w:rFonts w:cs="Times New Roman"/>
                <w:u w:color="000000"/>
                <w:lang w:val="en-US"/>
              </w:rPr>
              <w:t>(DEL-19)</w:t>
            </w:r>
            <w:r>
              <w:rPr>
                <w:u w:color="000000"/>
                <w:lang w:val="en-US"/>
              </w:rPr>
              <w:t xml:space="preserve"> and Requirements Specification Document </w:t>
            </w:r>
            <w:r>
              <w:rPr>
                <w:rFonts w:cs="Times New Roman"/>
                <w:u w:color="000000"/>
                <w:lang w:val="en-US"/>
              </w:rPr>
              <w:t xml:space="preserve">(DEL-18) </w:t>
            </w:r>
            <w:r>
              <w:rPr>
                <w:u w:color="000000"/>
                <w:lang w:val="en-US"/>
              </w:rPr>
              <w:t xml:space="preserve">for review and prioritization </w:t>
            </w:r>
          </w:p>
        </w:tc>
        <w:tc>
          <w:tcPr>
            <w:tcW w:w="1980" w:type="dxa"/>
            <w:tcBorders>
              <w:top w:val="single" w:sz="2" w:space="0" w:color="auto"/>
              <w:left w:val="single" w:sz="2" w:space="0" w:color="auto"/>
              <w:bottom w:val="single" w:sz="2" w:space="0" w:color="auto"/>
              <w:right w:val="single" w:sz="2" w:space="0" w:color="auto"/>
            </w:tcBorders>
          </w:tcPr>
          <w:p w14:paraId="05375737" w14:textId="666BBC2C" w:rsidR="00C5516F" w:rsidRPr="00635C9B" w:rsidRDefault="00C5516F" w:rsidP="00372E4E">
            <w:pPr>
              <w:pStyle w:val="TABLEBULLETNEW"/>
            </w:pPr>
            <w:r>
              <w:t>Document final requirements in RSD and RTM and submit to DOH OHIP for review, prioritization, and approval</w:t>
            </w:r>
          </w:p>
          <w:p w14:paraId="37199D04" w14:textId="6595C9E1" w:rsidR="00C5516F" w:rsidRPr="00635C9B" w:rsidRDefault="00C5516F" w:rsidP="00372E4E">
            <w:pPr>
              <w:pStyle w:val="TABLEBULLETNEW"/>
            </w:pPr>
            <w:r>
              <w:t>Publish DOH OHIP approved requirements in the ALM tool</w:t>
            </w:r>
          </w:p>
          <w:p w14:paraId="6CA97998" w14:textId="604D01D6" w:rsidR="00C5516F" w:rsidRPr="00635C9B" w:rsidRDefault="00C5516F" w:rsidP="00372E4E">
            <w:pPr>
              <w:pStyle w:val="TABLEBULLETNEW"/>
            </w:pPr>
            <w:r>
              <w:t>Link approved requirements to design artifact(s) in the ALM tool</w:t>
            </w:r>
          </w:p>
        </w:tc>
        <w:tc>
          <w:tcPr>
            <w:tcW w:w="1705" w:type="dxa"/>
            <w:tcBorders>
              <w:top w:val="single" w:sz="2" w:space="0" w:color="auto"/>
              <w:left w:val="single" w:sz="2" w:space="0" w:color="auto"/>
              <w:bottom w:val="single" w:sz="2" w:space="0" w:color="auto"/>
              <w:right w:val="single" w:sz="2" w:space="0" w:color="auto"/>
            </w:tcBorders>
          </w:tcPr>
          <w:p w14:paraId="3CAA9F93" w14:textId="77777777" w:rsidR="00C5516F" w:rsidRPr="00635C9B" w:rsidRDefault="00C5516F" w:rsidP="00372E4E">
            <w:pPr>
              <w:pStyle w:val="TABLEBULLETNEW"/>
            </w:pPr>
            <w:r>
              <w:t>Functional Stakeholders</w:t>
            </w:r>
          </w:p>
        </w:tc>
        <w:tc>
          <w:tcPr>
            <w:tcW w:w="1800" w:type="dxa"/>
            <w:tcBorders>
              <w:top w:val="single" w:sz="2" w:space="0" w:color="auto"/>
              <w:left w:val="single" w:sz="2" w:space="0" w:color="auto"/>
              <w:bottom w:val="single" w:sz="2" w:space="0" w:color="auto"/>
              <w:right w:val="single" w:sz="2" w:space="0" w:color="auto"/>
            </w:tcBorders>
          </w:tcPr>
          <w:p w14:paraId="78B89ED8" w14:textId="5832350C" w:rsidR="00C5516F" w:rsidRPr="00635C9B" w:rsidRDefault="00C5516F" w:rsidP="00372E4E">
            <w:pPr>
              <w:pStyle w:val="TABLEBULLETNEW"/>
            </w:pPr>
            <w:r>
              <w:t>Draft Requirements Traceability Matrix (DEL-19)</w:t>
            </w:r>
          </w:p>
          <w:p w14:paraId="5DB2B981" w14:textId="2E8A67CB" w:rsidR="00C5516F" w:rsidRPr="00635C9B" w:rsidRDefault="00C5516F" w:rsidP="00372E4E">
            <w:pPr>
              <w:pStyle w:val="TABLEBULLETNEW"/>
            </w:pPr>
            <w:r>
              <w:t>Draft Requirements Specification Document (DEL-18)</w:t>
            </w:r>
          </w:p>
        </w:tc>
        <w:tc>
          <w:tcPr>
            <w:tcW w:w="1800" w:type="dxa"/>
            <w:tcBorders>
              <w:top w:val="single" w:sz="2" w:space="0" w:color="auto"/>
              <w:left w:val="single" w:sz="2" w:space="0" w:color="auto"/>
              <w:bottom w:val="single" w:sz="2" w:space="0" w:color="auto"/>
              <w:right w:val="single" w:sz="2" w:space="0" w:color="auto"/>
            </w:tcBorders>
          </w:tcPr>
          <w:p w14:paraId="2C837F94" w14:textId="12E81479" w:rsidR="00C5516F" w:rsidRPr="00635C9B" w:rsidRDefault="00C5516F" w:rsidP="00372E4E">
            <w:pPr>
              <w:pStyle w:val="TABLEBULLETNEW"/>
            </w:pPr>
            <w:r>
              <w:t>Baseline Requirements Traceability Matrix (DEL-19)</w:t>
            </w:r>
          </w:p>
          <w:p w14:paraId="4BC211F4" w14:textId="748DA1AA" w:rsidR="00C5516F" w:rsidRPr="00635C9B" w:rsidRDefault="00C5516F" w:rsidP="00372E4E">
            <w:pPr>
              <w:pStyle w:val="TABLEBULLETNEW"/>
            </w:pPr>
            <w:r>
              <w:t>Baseline Requirements Specification Document (DEL-18)</w:t>
            </w:r>
          </w:p>
        </w:tc>
      </w:tr>
      <w:tr w:rsidR="00C5516F" w:rsidRPr="00A21682" w14:paraId="2BA861F3" w14:textId="77777777" w:rsidTr="00F4005A">
        <w:trPr>
          <w:trHeight w:val="266"/>
        </w:trPr>
        <w:tc>
          <w:tcPr>
            <w:tcW w:w="627" w:type="dxa"/>
            <w:tcBorders>
              <w:top w:val="single" w:sz="2" w:space="0" w:color="auto"/>
              <w:left w:val="single" w:sz="2" w:space="0" w:color="auto"/>
              <w:bottom w:val="single" w:sz="2" w:space="0" w:color="auto"/>
              <w:right w:val="single" w:sz="2" w:space="0" w:color="auto"/>
            </w:tcBorders>
          </w:tcPr>
          <w:p w14:paraId="42E3598C" w14:textId="77777777" w:rsidR="00C5516F" w:rsidRPr="00A21682" w:rsidRDefault="00C5516F" w:rsidP="00047C4E">
            <w:pPr>
              <w:pStyle w:val="TABLETEXT1"/>
              <w:rPr>
                <w:u w:color="000000"/>
                <w:lang w:val="en-US"/>
              </w:rPr>
            </w:pPr>
            <w:r>
              <w:rPr>
                <w:u w:color="000000"/>
                <w:lang w:val="en-US"/>
              </w:rPr>
              <w:t>2.9</w:t>
            </w:r>
          </w:p>
        </w:tc>
        <w:tc>
          <w:tcPr>
            <w:tcW w:w="1530" w:type="dxa"/>
            <w:tcBorders>
              <w:top w:val="single" w:sz="2" w:space="0" w:color="auto"/>
              <w:left w:val="single" w:sz="2" w:space="0" w:color="auto"/>
              <w:bottom w:val="single" w:sz="2" w:space="0" w:color="auto"/>
              <w:right w:val="single" w:sz="2" w:space="0" w:color="auto"/>
            </w:tcBorders>
          </w:tcPr>
          <w:p w14:paraId="26EF15EB" w14:textId="017185EF" w:rsidR="00C5516F" w:rsidRPr="00A21682" w:rsidRDefault="00C5516F" w:rsidP="00047C4E">
            <w:pPr>
              <w:pStyle w:val="TABLETEXT1"/>
              <w:rPr>
                <w:u w:color="000000"/>
                <w:lang w:val="en-US"/>
              </w:rPr>
            </w:pPr>
            <w:r>
              <w:rPr>
                <w:u w:color="000000"/>
                <w:lang w:val="en-US"/>
              </w:rPr>
              <w:t>Prepare for iteration/ bundle planning</w:t>
            </w:r>
          </w:p>
        </w:tc>
        <w:tc>
          <w:tcPr>
            <w:tcW w:w="1980" w:type="dxa"/>
            <w:tcBorders>
              <w:top w:val="single" w:sz="2" w:space="0" w:color="auto"/>
              <w:left w:val="single" w:sz="2" w:space="0" w:color="auto"/>
              <w:bottom w:val="single" w:sz="2" w:space="0" w:color="auto"/>
              <w:right w:val="single" w:sz="2" w:space="0" w:color="auto"/>
            </w:tcBorders>
          </w:tcPr>
          <w:p w14:paraId="3D28ABD7" w14:textId="6A073898" w:rsidR="00C5516F" w:rsidRPr="00372E4E" w:rsidRDefault="00C5516F" w:rsidP="00372E4E">
            <w:pPr>
              <w:pStyle w:val="TABLETEXT1"/>
              <w:rPr>
                <w:u w:color="000000"/>
                <w:lang w:val="en-US"/>
              </w:rPr>
            </w:pPr>
            <w:r>
              <w:rPr>
                <w:u w:color="000000"/>
                <w:lang w:val="en-US"/>
              </w:rPr>
              <w:t>Publish DOH OHIP approved requirements in the ALM tool</w:t>
            </w:r>
          </w:p>
        </w:tc>
        <w:tc>
          <w:tcPr>
            <w:tcW w:w="1705" w:type="dxa"/>
            <w:tcBorders>
              <w:top w:val="single" w:sz="2" w:space="0" w:color="auto"/>
              <w:left w:val="single" w:sz="2" w:space="0" w:color="auto"/>
              <w:bottom w:val="single" w:sz="2" w:space="0" w:color="auto"/>
              <w:right w:val="single" w:sz="2" w:space="0" w:color="auto"/>
            </w:tcBorders>
          </w:tcPr>
          <w:p w14:paraId="5C553E48" w14:textId="77777777" w:rsidR="00C5516F" w:rsidRPr="00635C9B" w:rsidRDefault="00C5516F" w:rsidP="00372E4E">
            <w:pPr>
              <w:pStyle w:val="TABLEBULLETNEW"/>
            </w:pPr>
            <w:r>
              <w:t>Functional Stakeholders</w:t>
            </w:r>
          </w:p>
        </w:tc>
        <w:tc>
          <w:tcPr>
            <w:tcW w:w="1800" w:type="dxa"/>
            <w:tcBorders>
              <w:top w:val="single" w:sz="2" w:space="0" w:color="auto"/>
              <w:left w:val="single" w:sz="2" w:space="0" w:color="auto"/>
              <w:bottom w:val="single" w:sz="2" w:space="0" w:color="auto"/>
              <w:right w:val="single" w:sz="2" w:space="0" w:color="auto"/>
            </w:tcBorders>
          </w:tcPr>
          <w:p w14:paraId="4D432E91" w14:textId="32062002" w:rsidR="00C5516F" w:rsidRPr="00635C9B" w:rsidRDefault="00C5516F" w:rsidP="00372E4E">
            <w:pPr>
              <w:pStyle w:val="TABLEBULLETNEW"/>
            </w:pPr>
            <w:r>
              <w:t>Approved Requirements Traceability Matrix (DEL-19)</w:t>
            </w:r>
          </w:p>
        </w:tc>
        <w:tc>
          <w:tcPr>
            <w:tcW w:w="1800" w:type="dxa"/>
            <w:tcBorders>
              <w:top w:val="single" w:sz="2" w:space="0" w:color="auto"/>
              <w:left w:val="single" w:sz="2" w:space="0" w:color="auto"/>
              <w:bottom w:val="single" w:sz="2" w:space="0" w:color="auto"/>
              <w:right w:val="single" w:sz="2" w:space="0" w:color="auto"/>
            </w:tcBorders>
          </w:tcPr>
          <w:p w14:paraId="255E456C" w14:textId="4314E1CD" w:rsidR="00C5516F" w:rsidRPr="00635C9B" w:rsidRDefault="00C5516F" w:rsidP="00372E4E">
            <w:pPr>
              <w:pStyle w:val="TABLEBULLETNEW"/>
            </w:pPr>
            <w:r>
              <w:t>Requirements loaded in the ALM tool</w:t>
            </w:r>
          </w:p>
          <w:p w14:paraId="2C9A046C" w14:textId="651B25CB" w:rsidR="00C5516F" w:rsidRPr="00635C9B" w:rsidRDefault="003100F7" w:rsidP="00372E4E">
            <w:pPr>
              <w:pStyle w:val="TABLEBULLETNEW"/>
            </w:pPr>
            <w:r>
              <w:t>Requirements Traceability Matrix (DEL-19) generated in the requirements management tool</w:t>
            </w:r>
          </w:p>
        </w:tc>
      </w:tr>
    </w:tbl>
    <w:p w14:paraId="75C28263" w14:textId="45CF6B5E" w:rsidR="00C5516F" w:rsidRPr="00A21682" w:rsidRDefault="00C5516F" w:rsidP="005911DA">
      <w:pPr>
        <w:pStyle w:val="Caption"/>
        <w:rPr>
          <w:rFonts w:cs="Arial"/>
          <w:noProof w:val="0"/>
        </w:rPr>
      </w:pPr>
      <w:bookmarkStart w:id="307" w:name="_Toc150951869"/>
      <w:bookmarkStart w:id="308" w:name="_Toc19287509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11</w:t>
      </w:r>
      <w:r>
        <w:rPr>
          <w:noProof w:val="0"/>
        </w:rPr>
        <w:fldChar w:fldCharType="end"/>
      </w:r>
      <w:r>
        <w:rPr>
          <w:noProof w:val="0"/>
        </w:rPr>
        <w:t>:</w:t>
      </w:r>
      <w:r>
        <w:rPr>
          <w:rFonts w:cs="Arial"/>
          <w:noProof w:val="0"/>
        </w:rPr>
        <w:t xml:space="preserve"> Requirements Gathering Phase Process Flow Narrative</w:t>
      </w:r>
      <w:bookmarkEnd w:id="307"/>
      <w:bookmarkEnd w:id="308"/>
    </w:p>
    <w:p w14:paraId="42110B5F" w14:textId="77777777" w:rsidR="00C5516F" w:rsidRPr="00A21682" w:rsidRDefault="00C5516F">
      <w:pPr>
        <w:pStyle w:val="Heading3"/>
        <w:rPr>
          <w:bCs/>
          <w:u w:color="000000"/>
        </w:rPr>
      </w:pPr>
      <w:bookmarkStart w:id="309" w:name="_Toc148102323"/>
      <w:bookmarkStart w:id="310" w:name="_Toc152605807"/>
      <w:bookmarkStart w:id="311" w:name="_Toc177118949"/>
      <w:bookmarkStart w:id="312" w:name="_Toc185952504"/>
      <w:bookmarkStart w:id="313" w:name="_Toc192874678"/>
      <w:r>
        <w:rPr>
          <w:u w:color="000000"/>
        </w:rPr>
        <w:t>Roles and Responsibilities</w:t>
      </w:r>
      <w:bookmarkEnd w:id="309"/>
      <w:bookmarkEnd w:id="310"/>
      <w:bookmarkEnd w:id="311"/>
      <w:bookmarkEnd w:id="312"/>
      <w:bookmarkEnd w:id="313"/>
    </w:p>
    <w:p w14:paraId="5C197031" w14:textId="77777777" w:rsidR="009C4682" w:rsidRPr="00A21682" w:rsidRDefault="009C4682" w:rsidP="00C968EF">
      <w:pPr>
        <w:pStyle w:val="NormalNEW"/>
        <w:keepNext/>
        <w:rPr>
          <w:u w:color="000000"/>
          <w:lang w:val="en-US"/>
        </w:rPr>
      </w:pPr>
      <w:bookmarkStart w:id="314" w:name="_Toc148102324"/>
      <w:bookmarkStart w:id="315" w:name="_Toc152605808"/>
      <w:r>
        <w:rPr>
          <w:u w:color="000000"/>
          <w:lang w:val="en-US"/>
        </w:rPr>
        <w:t xml:space="preserve">The SDLC RACI Matrix and roles and responsibilities can be found in Appendix C-1. </w:t>
      </w:r>
    </w:p>
    <w:p w14:paraId="67C7815A" w14:textId="77777777" w:rsidR="00C5516F" w:rsidRPr="00A21682" w:rsidRDefault="00C5516F">
      <w:pPr>
        <w:pStyle w:val="Heading3"/>
        <w:rPr>
          <w:u w:color="000000"/>
        </w:rPr>
      </w:pPr>
      <w:bookmarkStart w:id="316" w:name="_Toc177118950"/>
      <w:bookmarkStart w:id="317" w:name="_Toc185952505"/>
      <w:bookmarkStart w:id="318" w:name="_Toc192874679"/>
      <w:r>
        <w:rPr>
          <w:u w:color="000000"/>
        </w:rPr>
        <w:t>Phase Exit Criteria</w:t>
      </w:r>
      <w:bookmarkEnd w:id="314"/>
      <w:bookmarkEnd w:id="315"/>
      <w:bookmarkEnd w:id="316"/>
      <w:bookmarkEnd w:id="317"/>
      <w:bookmarkEnd w:id="318"/>
    </w:p>
    <w:p w14:paraId="50ABFDFA" w14:textId="77777777" w:rsidR="00601951" w:rsidRPr="00A21682" w:rsidRDefault="00601951" w:rsidP="00601951">
      <w:pPr>
        <w:pStyle w:val="NormalNEW"/>
        <w:rPr>
          <w:lang w:val="en-US"/>
        </w:rPr>
      </w:pPr>
      <w:r>
        <w:rPr>
          <w:lang w:val="en-US"/>
        </w:rPr>
        <w:t xml:space="preserve">Key stakeholders from ███████ and DOH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w:t>
      </w:r>
      <w:r>
        <w:rPr>
          <w:lang w:val="en-US"/>
        </w:rPr>
        <w:lastRenderedPageBreak/>
        <w:t>questions. Upon satisfying phase exit criteria, a decision to exit the current phase will be logged to document the closure of the phase.</w:t>
      </w:r>
    </w:p>
    <w:tbl>
      <w:tblPr>
        <w:tblW w:w="9352"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8"/>
        <w:gridCol w:w="437"/>
        <w:gridCol w:w="8"/>
        <w:gridCol w:w="4156"/>
        <w:gridCol w:w="8"/>
        <w:gridCol w:w="4727"/>
        <w:gridCol w:w="8"/>
      </w:tblGrid>
      <w:tr w:rsidR="005133E7" w:rsidRPr="00A21682" w14:paraId="573DF22C" w14:textId="77777777" w:rsidTr="00C968EF">
        <w:trPr>
          <w:gridBefore w:val="1"/>
          <w:wBefore w:w="8" w:type="dxa"/>
          <w:trHeight w:val="300"/>
        </w:trPr>
        <w:tc>
          <w:tcPr>
            <w:tcW w:w="445" w:type="dxa"/>
            <w:gridSpan w:val="2"/>
            <w:tcBorders>
              <w:right w:val="single" w:sz="2" w:space="0" w:color="FFFFFF" w:themeColor="background1"/>
            </w:tcBorders>
            <w:shd w:val="clear" w:color="auto" w:fill="000000"/>
            <w:hideMark/>
          </w:tcPr>
          <w:p w14:paraId="5679DB38" w14:textId="77777777" w:rsidR="00C5516F" w:rsidRPr="00A21682" w:rsidRDefault="00C5516F" w:rsidP="003E6BD4">
            <w:pPr>
              <w:pStyle w:val="TABLEHEADINGNEW"/>
            </w:pPr>
            <w:r>
              <w:t>#</w:t>
            </w:r>
          </w:p>
        </w:tc>
        <w:tc>
          <w:tcPr>
            <w:tcW w:w="4164" w:type="dxa"/>
            <w:gridSpan w:val="2"/>
            <w:tcBorders>
              <w:left w:val="single" w:sz="2" w:space="0" w:color="FFFFFF" w:themeColor="background1"/>
              <w:right w:val="single" w:sz="2" w:space="0" w:color="FFFFFF" w:themeColor="background1"/>
            </w:tcBorders>
            <w:shd w:val="clear" w:color="auto" w:fill="000000"/>
            <w:hideMark/>
          </w:tcPr>
          <w:p w14:paraId="1BDBD940" w14:textId="77777777" w:rsidR="00C5516F" w:rsidRPr="00A21682" w:rsidRDefault="00C5516F" w:rsidP="003E6BD4">
            <w:pPr>
              <w:pStyle w:val="TABLEHEADINGNEW"/>
            </w:pPr>
            <w:r>
              <w:t>Exit Criteria</w:t>
            </w:r>
          </w:p>
        </w:tc>
        <w:tc>
          <w:tcPr>
            <w:tcW w:w="4735" w:type="dxa"/>
            <w:gridSpan w:val="2"/>
            <w:tcBorders>
              <w:left w:val="single" w:sz="2" w:space="0" w:color="FFFFFF" w:themeColor="background1"/>
            </w:tcBorders>
            <w:shd w:val="clear" w:color="auto" w:fill="000000"/>
          </w:tcPr>
          <w:p w14:paraId="5C2A20EC" w14:textId="77777777" w:rsidR="00C5516F" w:rsidRPr="00A21682" w:rsidRDefault="00C5516F" w:rsidP="003E6BD4">
            <w:pPr>
              <w:pStyle w:val="TABLEHEADINGNEW"/>
            </w:pPr>
            <w:r>
              <w:t>Related Document(s)/Artifact(s)</w:t>
            </w:r>
          </w:p>
        </w:tc>
      </w:tr>
      <w:tr w:rsidR="00D77B69" w:rsidRPr="00A21682" w14:paraId="5F55B8D1" w14:textId="77777777" w:rsidTr="00047C4E">
        <w:trPr>
          <w:gridAfter w:val="1"/>
          <w:wAfter w:w="8" w:type="dxa"/>
          <w:trHeight w:val="300"/>
        </w:trPr>
        <w:tc>
          <w:tcPr>
            <w:tcW w:w="445" w:type="dxa"/>
            <w:gridSpan w:val="2"/>
            <w:hideMark/>
          </w:tcPr>
          <w:p w14:paraId="7E806629" w14:textId="4B254C5B" w:rsidR="00C5516F" w:rsidRPr="00A21682" w:rsidRDefault="00C5516F" w:rsidP="00047C4E">
            <w:pPr>
              <w:pStyle w:val="TABLETEXT1"/>
              <w:rPr>
                <w:lang w:val="en-US"/>
              </w:rPr>
            </w:pPr>
            <w:r>
              <w:rPr>
                <w:lang w:val="en-US"/>
              </w:rPr>
              <w:t>1</w:t>
            </w:r>
          </w:p>
        </w:tc>
        <w:tc>
          <w:tcPr>
            <w:tcW w:w="4164" w:type="dxa"/>
            <w:gridSpan w:val="2"/>
          </w:tcPr>
          <w:p w14:paraId="1EDC2D7B" w14:textId="0440D194" w:rsidR="00C5516F" w:rsidRPr="00A21682" w:rsidRDefault="00C5516F" w:rsidP="003E6BD4">
            <w:pPr>
              <w:pStyle w:val="TABLETEXT1"/>
              <w:rPr>
                <w:lang w:val="en-US"/>
              </w:rPr>
            </w:pPr>
            <w:r>
              <w:rPr>
                <w:lang w:val="en-US"/>
              </w:rPr>
              <w:t>Requirements Specification Document (DEL-18) and Requirements Traceability Matrix (RTM) (DEL-19) including recommended prioritization is submitted for DOH OHIP review</w:t>
            </w:r>
          </w:p>
        </w:tc>
        <w:tc>
          <w:tcPr>
            <w:tcW w:w="4735" w:type="dxa"/>
            <w:gridSpan w:val="2"/>
          </w:tcPr>
          <w:p w14:paraId="7FC98173" w14:textId="4176336F" w:rsidR="00C5516F" w:rsidRPr="00635C9B" w:rsidRDefault="00C5516F" w:rsidP="00372E4E">
            <w:pPr>
              <w:pStyle w:val="TABLEBULLETNEW"/>
            </w:pPr>
            <w:r>
              <w:t>Requirements Specification Document (DEL-18)</w:t>
            </w:r>
          </w:p>
          <w:p w14:paraId="70781AB3" w14:textId="629D7D9E" w:rsidR="00C5516F" w:rsidRPr="00635C9B" w:rsidRDefault="00C5516F" w:rsidP="00372E4E">
            <w:pPr>
              <w:pStyle w:val="TABLEBULLETNEW"/>
            </w:pPr>
            <w:r>
              <w:t>Requirements Traceability Matrix (DEL-19)</w:t>
            </w:r>
          </w:p>
          <w:p w14:paraId="412FBC40" w14:textId="70BF0BDF" w:rsidR="00C5516F" w:rsidRPr="00635C9B" w:rsidRDefault="00C5516F" w:rsidP="00372E4E">
            <w:pPr>
              <w:pStyle w:val="TABLEBULLETNEW"/>
            </w:pPr>
            <w:r>
              <w:t>Documented Base Solution gaps and required changes</w:t>
            </w:r>
          </w:p>
        </w:tc>
      </w:tr>
    </w:tbl>
    <w:p w14:paraId="76A01465" w14:textId="23F170B7" w:rsidR="00C5516F" w:rsidRPr="00A21682" w:rsidRDefault="00C5516F" w:rsidP="005911DA">
      <w:pPr>
        <w:pStyle w:val="Caption"/>
        <w:rPr>
          <w:noProof w:val="0"/>
        </w:rPr>
      </w:pPr>
      <w:bookmarkStart w:id="319" w:name="_Toc150951870"/>
      <w:bookmarkStart w:id="320" w:name="_Toc19287509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12</w:t>
      </w:r>
      <w:r>
        <w:rPr>
          <w:noProof w:val="0"/>
        </w:rPr>
        <w:fldChar w:fldCharType="end"/>
      </w:r>
      <w:r>
        <w:rPr>
          <w:noProof w:val="0"/>
        </w:rPr>
        <w:t>: Requirements Gathering Phase Exit Criteria</w:t>
      </w:r>
      <w:bookmarkEnd w:id="319"/>
      <w:bookmarkEnd w:id="320"/>
    </w:p>
    <w:p w14:paraId="763B6B29" w14:textId="11D122D4" w:rsidR="00C5516F" w:rsidRPr="00A21682" w:rsidRDefault="00C5516F">
      <w:pPr>
        <w:pStyle w:val="Heading3"/>
        <w:rPr>
          <w:u w:color="000000"/>
        </w:rPr>
      </w:pPr>
      <w:bookmarkStart w:id="321" w:name="_Toc148102325"/>
      <w:bookmarkStart w:id="322" w:name="_Toc152605809"/>
      <w:bookmarkStart w:id="323" w:name="_Toc177118951"/>
      <w:bookmarkStart w:id="324" w:name="_Toc185952506"/>
      <w:bookmarkStart w:id="325" w:name="_Toc192874680"/>
      <w:r>
        <w:rPr>
          <w:u w:color="000000"/>
        </w:rPr>
        <w:t xml:space="preserve">Supporting </w:t>
      </w:r>
      <w:r>
        <w:t>Application Lifecycle Management</w:t>
      </w:r>
      <w:r>
        <w:rPr>
          <w:u w:color="000000"/>
        </w:rPr>
        <w:t xml:space="preserve"> (ALM) Tools</w:t>
      </w:r>
      <w:bookmarkEnd w:id="321"/>
      <w:bookmarkEnd w:id="322"/>
      <w:bookmarkEnd w:id="323"/>
      <w:bookmarkEnd w:id="324"/>
      <w:bookmarkEnd w:id="325"/>
    </w:p>
    <w:p w14:paraId="608B097D" w14:textId="49AFD516" w:rsidR="00C5516F" w:rsidRPr="00A21682" w:rsidRDefault="00C5516F" w:rsidP="00811A30">
      <w:pPr>
        <w:pStyle w:val="NormalNEW"/>
        <w:rPr>
          <w:u w:color="000000"/>
          <w:lang w:val="en-US"/>
        </w:rPr>
      </w:pPr>
      <w:r>
        <w:rPr>
          <w:u w:color="000000"/>
          <w:lang w:val="en-US"/>
        </w:rPr>
        <w:t>During the Requirements Gathering phase, the primary purpose of ALM tools is to document and maintain the requirements through gathering and preparation for prioritization so stakeholders have a single source of truth throughout the process.</w:t>
      </w:r>
    </w:p>
    <w:p w14:paraId="5478E180" w14:textId="77777777" w:rsidR="00C5516F" w:rsidRPr="00A21682" w:rsidRDefault="00C5516F" w:rsidP="00A9704C">
      <w:pPr>
        <w:pStyle w:val="NormalNEW"/>
        <w:keepNext/>
        <w:rPr>
          <w:u w:color="000000"/>
          <w:lang w:val="en-US"/>
        </w:rPr>
      </w:pPr>
      <w:r>
        <w:rPr>
          <w:u w:color="000000"/>
          <w:lang w:val="en-US"/>
        </w:rPr>
        <w:t>Workflows pertaining to requirements gathering phase:</w:t>
      </w:r>
    </w:p>
    <w:p w14:paraId="3C6FD094" w14:textId="0CE5C734" w:rsidR="00C5516F" w:rsidRPr="00A21682" w:rsidRDefault="003D03FC" w:rsidP="0031550A">
      <w:pPr>
        <w:pStyle w:val="BulletNEW"/>
        <w:rPr>
          <w:u w:color="000000"/>
        </w:rPr>
      </w:pPr>
      <w:r>
        <w:rPr>
          <w:u w:color="000000"/>
        </w:rPr>
        <w:t xml:space="preserve">The requirements management tool requirements workflow (refer to Section 2.34 the requirements management tool) </w:t>
      </w:r>
    </w:p>
    <w:p w14:paraId="28A198E1" w14:textId="4B37659B" w:rsidR="00C5516F" w:rsidRPr="00A21682" w:rsidRDefault="00C5516F" w:rsidP="0031550A">
      <w:pPr>
        <w:pStyle w:val="BulletNEW"/>
        <w:rPr>
          <w:u w:color="000000"/>
        </w:rPr>
      </w:pPr>
      <w:r>
        <w:rPr>
          <w:u w:color="000000"/>
        </w:rPr>
        <w:t>The ALM tool requirements workflow (refer to Section 2.20 the ALM tool)</w:t>
      </w:r>
    </w:p>
    <w:p w14:paraId="7FF40CB6" w14:textId="02B82454" w:rsidR="00C5516F" w:rsidRPr="00A21682" w:rsidRDefault="00C5516F">
      <w:pPr>
        <w:pStyle w:val="Heading2"/>
        <w:rPr>
          <w:u w:color="000000"/>
        </w:rPr>
      </w:pPr>
      <w:bookmarkStart w:id="326" w:name="_Toc148102326"/>
      <w:bookmarkStart w:id="327" w:name="_Toc152605810"/>
      <w:bookmarkStart w:id="328" w:name="_Toc177118952"/>
      <w:bookmarkStart w:id="329" w:name="_Toc185952507"/>
      <w:bookmarkStart w:id="330" w:name="_Toc192874681"/>
      <w:r>
        <w:rPr>
          <w:u w:color="000000"/>
        </w:rPr>
        <w:t>Prioritization and Iteration/Bundle Planning</w:t>
      </w:r>
      <w:bookmarkEnd w:id="326"/>
      <w:bookmarkEnd w:id="327"/>
      <w:bookmarkEnd w:id="328"/>
      <w:bookmarkEnd w:id="329"/>
      <w:bookmarkEnd w:id="330"/>
    </w:p>
    <w:p w14:paraId="50989D13" w14:textId="60530567" w:rsidR="00C5516F" w:rsidRPr="00A21682" w:rsidRDefault="00C5516F" w:rsidP="00811A30">
      <w:pPr>
        <w:pStyle w:val="NormalNEW"/>
        <w:rPr>
          <w:u w:color="000000"/>
          <w:lang w:val="en-US"/>
        </w:rPr>
      </w:pPr>
      <w:r>
        <w:rPr>
          <w:u w:color="000000"/>
          <w:lang w:val="en-US"/>
        </w:rPr>
        <w:t>Once system requirements are known, the effort must be estimated to determine feasibility to implement within the timeline and budget for the Wave. Prioritizing requirements, the decision to defer certain requirements to a future Wave, may be needed to align their scope to the available timeline and budget. Once prioritization has occurred, system requirements can be allocated across iterations/bundles for the build phases of the SDLC.</w:t>
      </w:r>
    </w:p>
    <w:p w14:paraId="09CEBE98" w14:textId="77777777" w:rsidR="00C5516F" w:rsidRPr="00A21682" w:rsidRDefault="00C5516F">
      <w:pPr>
        <w:pStyle w:val="Heading3"/>
        <w:rPr>
          <w:bCs/>
          <w:u w:color="000000"/>
        </w:rPr>
      </w:pPr>
      <w:bookmarkStart w:id="331" w:name="_Toc148102327"/>
      <w:bookmarkStart w:id="332" w:name="_Toc152605811"/>
      <w:bookmarkStart w:id="333" w:name="_Toc177118953"/>
      <w:bookmarkStart w:id="334" w:name="_Toc185952508"/>
      <w:bookmarkStart w:id="335" w:name="_Toc192874682"/>
      <w:r>
        <w:rPr>
          <w:u w:color="000000"/>
        </w:rPr>
        <w:t>Phase Entry Criteria</w:t>
      </w:r>
      <w:bookmarkEnd w:id="331"/>
      <w:bookmarkEnd w:id="332"/>
      <w:bookmarkEnd w:id="333"/>
      <w:bookmarkEnd w:id="334"/>
      <w:bookmarkEnd w:id="335"/>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5BF13A59" w14:textId="77777777" w:rsidTr="00C968EF">
        <w:trPr>
          <w:trHeight w:val="300"/>
        </w:trPr>
        <w:tc>
          <w:tcPr>
            <w:tcW w:w="481" w:type="dxa"/>
            <w:tcBorders>
              <w:right w:val="single" w:sz="2" w:space="0" w:color="FFFFFF" w:themeColor="background1"/>
            </w:tcBorders>
            <w:shd w:val="clear" w:color="auto" w:fill="000000"/>
            <w:hideMark/>
          </w:tcPr>
          <w:p w14:paraId="50F6F2E6" w14:textId="77777777" w:rsidR="00C5516F" w:rsidRPr="00A21682" w:rsidRDefault="00C5516F" w:rsidP="003E6BD4">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2CD13E05" w14:textId="77777777" w:rsidR="00C5516F" w:rsidRPr="00A21682" w:rsidRDefault="00C5516F" w:rsidP="003E6BD4">
            <w:pPr>
              <w:pStyle w:val="TABLEHEADINGNEW"/>
            </w:pPr>
            <w:r>
              <w:t>Entry Criteria</w:t>
            </w:r>
          </w:p>
        </w:tc>
        <w:tc>
          <w:tcPr>
            <w:tcW w:w="4300" w:type="dxa"/>
            <w:tcBorders>
              <w:left w:val="single" w:sz="2" w:space="0" w:color="FFFFFF" w:themeColor="background1"/>
            </w:tcBorders>
            <w:shd w:val="clear" w:color="auto" w:fill="000000"/>
          </w:tcPr>
          <w:p w14:paraId="7244FED6" w14:textId="77777777" w:rsidR="00C5516F" w:rsidRPr="00A21682" w:rsidRDefault="00C5516F" w:rsidP="003E6BD4">
            <w:pPr>
              <w:pStyle w:val="TABLEHEADINGNEW"/>
            </w:pPr>
            <w:r>
              <w:t>Related Document(s)/Artifact(s)</w:t>
            </w:r>
          </w:p>
        </w:tc>
      </w:tr>
      <w:tr w:rsidR="00C5516F" w:rsidRPr="00A21682" w14:paraId="37D32A84" w14:textId="77777777" w:rsidTr="003E6BD4">
        <w:trPr>
          <w:trHeight w:val="300"/>
        </w:trPr>
        <w:tc>
          <w:tcPr>
            <w:tcW w:w="481" w:type="dxa"/>
            <w:hideMark/>
          </w:tcPr>
          <w:p w14:paraId="505843AB" w14:textId="77777777" w:rsidR="00C5516F" w:rsidRPr="00A21682" w:rsidRDefault="00C5516F" w:rsidP="003E6BD4">
            <w:pPr>
              <w:pStyle w:val="TABLETEXT1"/>
              <w:rPr>
                <w:lang w:val="en-US"/>
              </w:rPr>
            </w:pPr>
            <w:r>
              <w:rPr>
                <w:lang w:val="en-US"/>
              </w:rPr>
              <w:t>1 </w:t>
            </w:r>
          </w:p>
        </w:tc>
        <w:tc>
          <w:tcPr>
            <w:tcW w:w="4563" w:type="dxa"/>
          </w:tcPr>
          <w:p w14:paraId="6528E111" w14:textId="59F61E97" w:rsidR="00C5516F" w:rsidRPr="00A21682" w:rsidRDefault="00C5516F" w:rsidP="003E6BD4">
            <w:pPr>
              <w:pStyle w:val="TABLETEXT1"/>
              <w:rPr>
                <w:lang w:val="en-US"/>
              </w:rPr>
            </w:pPr>
            <w:r>
              <w:rPr>
                <w:lang w:val="en-US"/>
              </w:rPr>
              <w:t>A recommended Wave priority for each requirement is documented in the Requirements Traceability Matrix (DEL-19)</w:t>
            </w:r>
          </w:p>
        </w:tc>
        <w:tc>
          <w:tcPr>
            <w:tcW w:w="4300" w:type="dxa"/>
          </w:tcPr>
          <w:p w14:paraId="6C4F433B" w14:textId="73622025" w:rsidR="00C5516F" w:rsidRPr="00635C9B" w:rsidRDefault="00C5516F" w:rsidP="00372E4E">
            <w:pPr>
              <w:pStyle w:val="TABLEBULLETNEW"/>
            </w:pPr>
            <w:r>
              <w:t xml:space="preserve">Requirements Traceability Matrix (DEL-19) </w:t>
            </w:r>
          </w:p>
        </w:tc>
      </w:tr>
    </w:tbl>
    <w:p w14:paraId="3B12DC00" w14:textId="4B3AEDF1" w:rsidR="00C5516F" w:rsidRPr="00A21682" w:rsidRDefault="00C5516F" w:rsidP="005911DA">
      <w:pPr>
        <w:pStyle w:val="Caption"/>
        <w:rPr>
          <w:rFonts w:cs="Times New Roman"/>
          <w:noProof w:val="0"/>
        </w:rPr>
      </w:pPr>
      <w:bookmarkStart w:id="336" w:name="_Toc150951871"/>
      <w:bookmarkStart w:id="337" w:name="_Toc19287509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13</w:t>
      </w:r>
      <w:r>
        <w:rPr>
          <w:noProof w:val="0"/>
        </w:rPr>
        <w:fldChar w:fldCharType="end"/>
      </w:r>
      <w:r>
        <w:rPr>
          <w:noProof w:val="0"/>
        </w:rPr>
        <w:t>: Prioritization and Iteration/Bundle Planning Phase Entry Criteria</w:t>
      </w:r>
      <w:bookmarkEnd w:id="336"/>
      <w:bookmarkEnd w:id="337"/>
    </w:p>
    <w:p w14:paraId="5D8EC1DE" w14:textId="5A6E0C01" w:rsidR="00C5516F" w:rsidRPr="00A21682" w:rsidRDefault="00C5516F">
      <w:pPr>
        <w:pStyle w:val="Heading3"/>
        <w:rPr>
          <w:bCs/>
          <w:u w:color="000000"/>
        </w:rPr>
      </w:pPr>
      <w:bookmarkStart w:id="338" w:name="_Toc148102328"/>
      <w:bookmarkStart w:id="339" w:name="_Toc152605812"/>
      <w:bookmarkStart w:id="340" w:name="_Toc177118954"/>
      <w:bookmarkStart w:id="341" w:name="_Toc185952509"/>
      <w:bookmarkStart w:id="342" w:name="_Toc192874683"/>
      <w:r>
        <w:rPr>
          <w:u w:color="000000"/>
        </w:rPr>
        <w:t>Process Flow Diagram</w:t>
      </w:r>
      <w:bookmarkEnd w:id="338"/>
      <w:bookmarkEnd w:id="339"/>
      <w:bookmarkEnd w:id="340"/>
      <w:bookmarkEnd w:id="341"/>
      <w:bookmarkEnd w:id="342"/>
    </w:p>
    <w:p w14:paraId="7F88FD6D" w14:textId="4C8D115B" w:rsidR="00F6774D" w:rsidRPr="00A21682" w:rsidRDefault="00C5516F" w:rsidP="00F6774D">
      <w:pPr>
        <w:pStyle w:val="NormalNEW"/>
        <w:rPr>
          <w:lang w:val="en-US"/>
        </w:rPr>
      </w:pPr>
      <w:r>
        <w:rPr>
          <w:lang w:val="en-US"/>
        </w:rPr>
        <w:t>The following process flow depicts the Prioritization and Iteration/Bundle Planning phase of the MECM SDLC.</w:t>
      </w:r>
      <w:r>
        <w:rPr>
          <w:u w:color="000000"/>
          <w:lang w:val="en-US"/>
        </w:rPr>
        <w:t xml:space="preserve"> </w:t>
      </w:r>
    </w:p>
    <w:p w14:paraId="0D65A03D" w14:textId="32B25C3A" w:rsidR="00C5516F" w:rsidRPr="00A21682" w:rsidRDefault="00A40AA5" w:rsidP="00811A30">
      <w:pPr>
        <w:pStyle w:val="NormalNEW"/>
        <w:rPr>
          <w:u w:color="000000"/>
          <w:lang w:val="en-US"/>
        </w:rPr>
      </w:pPr>
      <w:r>
        <w:rPr>
          <w:lang w:val="en-US"/>
        </w:rPr>
        <w:lastRenderedPageBreak/>
        <w:pict w14:anchorId="5D28B863">
          <v:shape id="_x0000_i1028" type="#_x0000_t75" style="width:468pt;height:221.4pt">
            <v:imagedata r:id="rId28" o:title=""/>
          </v:shape>
        </w:pict>
      </w:r>
      <w:r w:rsidR="00E13B6B">
        <w:rPr>
          <w:lang w:val="en-US"/>
        </w:rPr>
        <w:fldChar w:fldCharType="begin"/>
      </w:r>
      <w:r w:rsidR="00E13B6B">
        <w:rPr>
          <w:lang w:val="en-US"/>
        </w:rPr>
        <w:fldChar w:fldCharType="separate"/>
      </w:r>
      <w:r>
        <w:rPr>
          <w:lang w:val="en-US"/>
        </w:rPr>
        <w:pict w14:anchorId="78F467CC">
          <v:shape id="_x0000_i1029" type="#_x0000_t75" style="width:468pt;height:221.4pt">
            <v:imagedata r:id="rId29" o:title=""/>
          </v:shape>
        </w:pict>
      </w:r>
      <w:r w:rsidR="00E13B6B">
        <w:rPr>
          <w:lang w:val="en-US"/>
        </w:rPr>
        <w:fldChar w:fldCharType="end"/>
      </w:r>
    </w:p>
    <w:p w14:paraId="29EF760E" w14:textId="2F4C9A13" w:rsidR="00C5516F" w:rsidRPr="00A21682" w:rsidRDefault="00C5516F" w:rsidP="005911DA">
      <w:pPr>
        <w:pStyle w:val="Caption"/>
        <w:rPr>
          <w:noProof w:val="0"/>
        </w:rPr>
      </w:pPr>
      <w:bookmarkStart w:id="343" w:name="_Toc150948930"/>
      <w:bookmarkStart w:id="344" w:name="_Toc178152027"/>
      <w:bookmarkStart w:id="345" w:name="_Toc192875042"/>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5</w:t>
      </w:r>
      <w:r>
        <w:rPr>
          <w:noProof w:val="0"/>
        </w:rPr>
        <w:fldChar w:fldCharType="end"/>
      </w:r>
      <w:r>
        <w:rPr>
          <w:noProof w:val="0"/>
        </w:rPr>
        <w:t>: Prioritization and Iteration/Bundle Planning Phase Process Flow</w:t>
      </w:r>
      <w:bookmarkEnd w:id="343"/>
      <w:bookmarkEnd w:id="344"/>
      <w:bookmarkEnd w:id="345"/>
    </w:p>
    <w:p w14:paraId="6290BDAB" w14:textId="77777777" w:rsidR="00C5516F" w:rsidRPr="00A21682" w:rsidRDefault="00C5516F">
      <w:pPr>
        <w:pStyle w:val="Heading3"/>
        <w:rPr>
          <w:bCs/>
          <w:u w:color="000000"/>
        </w:rPr>
      </w:pPr>
      <w:bookmarkStart w:id="346" w:name="_Toc148102329"/>
      <w:bookmarkStart w:id="347" w:name="_Toc152605813"/>
      <w:bookmarkStart w:id="348" w:name="_Toc177118955"/>
      <w:bookmarkStart w:id="349" w:name="_Toc185952510"/>
      <w:bookmarkStart w:id="350" w:name="_Toc192874684"/>
      <w:r>
        <w:rPr>
          <w:u w:color="000000"/>
        </w:rPr>
        <w:t>Process Flow Narrative</w:t>
      </w:r>
      <w:bookmarkEnd w:id="346"/>
      <w:bookmarkEnd w:id="347"/>
      <w:bookmarkEnd w:id="348"/>
      <w:bookmarkEnd w:id="349"/>
      <w:bookmarkEnd w:id="350"/>
    </w:p>
    <w:p w14:paraId="65C92701" w14:textId="77777777" w:rsidR="00C5516F" w:rsidRPr="00A21682" w:rsidRDefault="00C5516F" w:rsidP="00813FF4">
      <w:pPr>
        <w:pStyle w:val="NormalNEW"/>
        <w:keepNext/>
        <w:rPr>
          <w:u w:color="000000"/>
          <w:lang w:val="en-US"/>
        </w:rPr>
      </w:pPr>
      <w:r>
        <w:rPr>
          <w:u w:color="000000"/>
          <w:lang w:val="en-US"/>
        </w:rPr>
        <w:t>The following table describes each process step illustrated above.</w:t>
      </w:r>
    </w:p>
    <w:tbl>
      <w:tblPr>
        <w:tblW w:w="94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2"/>
        <w:gridCol w:w="1506"/>
        <w:gridCol w:w="1980"/>
        <w:gridCol w:w="1644"/>
        <w:gridCol w:w="1800"/>
        <w:gridCol w:w="1866"/>
      </w:tblGrid>
      <w:tr w:rsidR="00C5516F" w:rsidRPr="00A21682" w14:paraId="0146056F" w14:textId="77777777" w:rsidTr="00C968EF">
        <w:trPr>
          <w:trHeight w:val="300"/>
          <w:tblHeader/>
        </w:trPr>
        <w:tc>
          <w:tcPr>
            <w:tcW w:w="9418" w:type="dxa"/>
            <w:gridSpan w:val="6"/>
            <w:tcBorders>
              <w:bottom w:val="single" w:sz="2" w:space="0" w:color="FFFFFF" w:themeColor="background1"/>
            </w:tcBorders>
            <w:shd w:val="clear" w:color="auto" w:fill="000000"/>
          </w:tcPr>
          <w:p w14:paraId="65F4F41E" w14:textId="57E55A28" w:rsidR="00C5516F" w:rsidRPr="00A21682" w:rsidRDefault="00C5516F" w:rsidP="00C85434">
            <w:pPr>
              <w:pStyle w:val="TABLEHEADINGNEW"/>
              <w:jc w:val="center"/>
              <w:rPr>
                <w:u w:color="000000"/>
              </w:rPr>
            </w:pPr>
            <w:r>
              <w:rPr>
                <w:u w:color="000000"/>
              </w:rPr>
              <w:t>Prioritization and Iteration/Bundle</w:t>
            </w:r>
          </w:p>
        </w:tc>
      </w:tr>
      <w:tr w:rsidR="00C5516F" w:rsidRPr="00A21682" w14:paraId="37A8FD2F" w14:textId="77777777" w:rsidTr="00C968EF">
        <w:trPr>
          <w:trHeight w:val="300"/>
          <w:tblHeader/>
        </w:trPr>
        <w:tc>
          <w:tcPr>
            <w:tcW w:w="622" w:type="dxa"/>
            <w:tcBorders>
              <w:top w:val="single" w:sz="2" w:space="0" w:color="FFFFFF" w:themeColor="background1"/>
              <w:right w:val="single" w:sz="2" w:space="0" w:color="FFFFFF" w:themeColor="background1"/>
            </w:tcBorders>
            <w:shd w:val="clear" w:color="auto" w:fill="000000"/>
            <w:hideMark/>
          </w:tcPr>
          <w:p w14:paraId="764B2154" w14:textId="77777777" w:rsidR="00C5516F" w:rsidRPr="00A21682" w:rsidRDefault="00C5516F" w:rsidP="00C85434">
            <w:pPr>
              <w:pStyle w:val="TABLEHEADINGNEW"/>
              <w:rPr>
                <w:rFonts w:ascii="Segoe UI" w:hAnsi="Segoe UI" w:cs="Segoe UI"/>
                <w:color w:val="000000"/>
                <w:u w:color="000000"/>
              </w:rPr>
            </w:pPr>
            <w:r>
              <w:rPr>
                <w:u w:color="000000"/>
              </w:rPr>
              <w:t>Step #</w:t>
            </w:r>
          </w:p>
        </w:tc>
        <w:tc>
          <w:tcPr>
            <w:tcW w:w="1506"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3B4A8196" w14:textId="77777777" w:rsidR="00C5516F" w:rsidRPr="00A21682" w:rsidRDefault="00C5516F" w:rsidP="00C85434">
            <w:pPr>
              <w:pStyle w:val="TABLEHEADINGNEW"/>
              <w:rPr>
                <w:rFonts w:ascii="Segoe UI" w:hAnsi="Segoe UI" w:cs="Segoe UI"/>
                <w:color w:val="000000"/>
                <w:u w:color="000000"/>
              </w:rPr>
            </w:pPr>
            <w:r>
              <w:rPr>
                <w:u w:color="000000"/>
              </w:rPr>
              <w:t>Process Step</w:t>
            </w:r>
          </w:p>
        </w:tc>
        <w:tc>
          <w:tcPr>
            <w:tcW w:w="198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345A366D" w14:textId="77777777" w:rsidR="00C5516F" w:rsidRPr="00A21682" w:rsidRDefault="00C5516F" w:rsidP="00C85434">
            <w:pPr>
              <w:pStyle w:val="TABLEHEADINGNEW"/>
              <w:rPr>
                <w:rFonts w:ascii="Segoe UI" w:hAnsi="Segoe UI" w:cs="Segoe UI"/>
                <w:color w:val="000000"/>
                <w:u w:color="000000"/>
              </w:rPr>
            </w:pPr>
            <w:r>
              <w:rPr>
                <w:u w:color="000000"/>
              </w:rPr>
              <w:t>Description</w:t>
            </w:r>
          </w:p>
        </w:tc>
        <w:tc>
          <w:tcPr>
            <w:tcW w:w="1644"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03E6D2C3" w14:textId="77777777" w:rsidR="00C5516F" w:rsidRPr="00A21682" w:rsidRDefault="00C5516F" w:rsidP="00C85434">
            <w:pPr>
              <w:pStyle w:val="TABLEHEADINGNEW"/>
              <w:rPr>
                <w:u w:color="000000"/>
              </w:rPr>
            </w:pPr>
            <w:r>
              <w:rPr>
                <w:u w:color="000000"/>
              </w:rPr>
              <w:t>Stakeholder Group(s)</w:t>
            </w:r>
          </w:p>
        </w:tc>
        <w:tc>
          <w:tcPr>
            <w:tcW w:w="180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49302A2D" w14:textId="5E5CC3B4" w:rsidR="00C5516F" w:rsidRPr="00A21682" w:rsidRDefault="00C5516F" w:rsidP="00C85434">
            <w:pPr>
              <w:pStyle w:val="TABLEHEADINGNEW"/>
              <w:rPr>
                <w:u w:color="000000"/>
              </w:rPr>
            </w:pPr>
            <w:r>
              <w:rPr>
                <w:u w:color="000000"/>
              </w:rPr>
              <w:t>Inputs (Documents/ Work Products)</w:t>
            </w:r>
          </w:p>
        </w:tc>
        <w:tc>
          <w:tcPr>
            <w:tcW w:w="1866" w:type="dxa"/>
            <w:tcBorders>
              <w:top w:val="single" w:sz="2" w:space="0" w:color="FFFFFF" w:themeColor="background1"/>
              <w:left w:val="single" w:sz="2" w:space="0" w:color="FFFFFF" w:themeColor="background1"/>
            </w:tcBorders>
            <w:shd w:val="clear" w:color="auto" w:fill="000000"/>
            <w:hideMark/>
          </w:tcPr>
          <w:p w14:paraId="57CEE80C" w14:textId="27CCC0EF" w:rsidR="00C5516F" w:rsidRPr="00A21682" w:rsidRDefault="00C5516F" w:rsidP="00C85434">
            <w:pPr>
              <w:pStyle w:val="TABLEHEADINGNEW"/>
              <w:rPr>
                <w:u w:color="000000"/>
              </w:rPr>
            </w:pPr>
            <w:r>
              <w:rPr>
                <w:u w:color="000000"/>
              </w:rPr>
              <w:t>Outputs (Documents/ Work Products)</w:t>
            </w:r>
          </w:p>
        </w:tc>
      </w:tr>
      <w:tr w:rsidR="00C5516F" w:rsidRPr="00A21682" w14:paraId="0E6FCFEF" w14:textId="77777777" w:rsidTr="00047C4E">
        <w:trPr>
          <w:trHeight w:val="300"/>
        </w:trPr>
        <w:tc>
          <w:tcPr>
            <w:tcW w:w="622" w:type="dxa"/>
            <w:hideMark/>
          </w:tcPr>
          <w:p w14:paraId="6905D255" w14:textId="77777777" w:rsidR="00C5516F" w:rsidRPr="00A21682" w:rsidRDefault="00C5516F" w:rsidP="00C85434">
            <w:pPr>
              <w:pStyle w:val="TABLETEXT1"/>
              <w:rPr>
                <w:lang w:val="en-US"/>
              </w:rPr>
            </w:pPr>
            <w:r>
              <w:rPr>
                <w:lang w:val="en-US"/>
              </w:rPr>
              <w:t>3.1</w:t>
            </w:r>
          </w:p>
          <w:p w14:paraId="1F62F40D" w14:textId="77777777" w:rsidR="00C5516F" w:rsidRPr="00A21682" w:rsidRDefault="00C5516F" w:rsidP="00C85434">
            <w:pPr>
              <w:pStyle w:val="TABLETEXT1"/>
              <w:rPr>
                <w:lang w:val="en-US"/>
              </w:rPr>
            </w:pPr>
          </w:p>
        </w:tc>
        <w:tc>
          <w:tcPr>
            <w:tcW w:w="1506" w:type="dxa"/>
          </w:tcPr>
          <w:p w14:paraId="32396327" w14:textId="77777777" w:rsidR="00C5516F" w:rsidRPr="00A21682" w:rsidRDefault="00C5516F" w:rsidP="00C85434">
            <w:pPr>
              <w:pStyle w:val="TABLETEXT1"/>
              <w:rPr>
                <w:lang w:val="en-US"/>
              </w:rPr>
            </w:pPr>
            <w:r>
              <w:rPr>
                <w:lang w:val="en-US"/>
              </w:rPr>
              <w:t xml:space="preserve">Review requirements and provide feedback </w:t>
            </w:r>
          </w:p>
        </w:tc>
        <w:tc>
          <w:tcPr>
            <w:tcW w:w="1980" w:type="dxa"/>
          </w:tcPr>
          <w:p w14:paraId="5E9D8D22" w14:textId="3F25F5ED" w:rsidR="00C5516F" w:rsidRPr="00112F61" w:rsidRDefault="00C5516F" w:rsidP="00C85434">
            <w:pPr>
              <w:pStyle w:val="TABLETEXT1"/>
              <w:rPr>
                <w:lang w:val="en-US"/>
              </w:rPr>
            </w:pPr>
            <w:r>
              <w:rPr>
                <w:lang w:val="en-US"/>
              </w:rPr>
              <w:t xml:space="preserve">Conduct review of the submitted RTM (DEL-19) and RSD (DEL-18) and provide comments per the Deliverable Management Plan and the agreed upon review cycle </w:t>
            </w:r>
          </w:p>
        </w:tc>
        <w:tc>
          <w:tcPr>
            <w:tcW w:w="1644" w:type="dxa"/>
          </w:tcPr>
          <w:p w14:paraId="5D3C3382" w14:textId="77777777" w:rsidR="00C5516F" w:rsidRPr="00635C9B" w:rsidRDefault="00C5516F" w:rsidP="00C85434">
            <w:pPr>
              <w:pStyle w:val="TABLEBULLETNEW"/>
            </w:pPr>
            <w:r>
              <w:t>Business Stakeholders</w:t>
            </w:r>
          </w:p>
        </w:tc>
        <w:tc>
          <w:tcPr>
            <w:tcW w:w="1800" w:type="dxa"/>
          </w:tcPr>
          <w:p w14:paraId="6990DA1E" w14:textId="00905065" w:rsidR="00C5516F" w:rsidRPr="00635C9B" w:rsidRDefault="00C5516F" w:rsidP="00C85434">
            <w:pPr>
              <w:pStyle w:val="TABLEBULLETNEW"/>
            </w:pPr>
            <w:r>
              <w:t>Submitted Requirements Specification Document (DEL-18)</w:t>
            </w:r>
          </w:p>
          <w:p w14:paraId="750C8D35" w14:textId="1842F734" w:rsidR="00C5516F" w:rsidRPr="00635C9B" w:rsidRDefault="00C5516F" w:rsidP="00C85434">
            <w:pPr>
              <w:pStyle w:val="TABLEBULLETNEW"/>
            </w:pPr>
            <w:r>
              <w:t xml:space="preserve">Submitted Requirements Traceability Matrix (DEL-19) </w:t>
            </w:r>
          </w:p>
        </w:tc>
        <w:tc>
          <w:tcPr>
            <w:tcW w:w="1866" w:type="dxa"/>
          </w:tcPr>
          <w:p w14:paraId="7D922210" w14:textId="7D6A8EF3" w:rsidR="00C5516F" w:rsidRPr="00635C9B" w:rsidRDefault="00C5516F" w:rsidP="00C85434">
            <w:pPr>
              <w:pStyle w:val="TABLEBULLETNEW"/>
            </w:pPr>
            <w:r>
              <w:t xml:space="preserve">Requirements Specification Document (DEL-18) Updated with Feedback </w:t>
            </w:r>
          </w:p>
          <w:p w14:paraId="6A31AABC" w14:textId="1B6B0A66" w:rsidR="00C5516F" w:rsidRPr="00635C9B" w:rsidRDefault="006D6161" w:rsidP="00C85434">
            <w:pPr>
              <w:pStyle w:val="TABLEBULLETNEW"/>
            </w:pPr>
            <w:r>
              <w:t xml:space="preserve">Requirements Traceability Matrix (DEL-19) Updated with Feedback </w:t>
            </w:r>
          </w:p>
        </w:tc>
      </w:tr>
      <w:tr w:rsidR="00C5516F" w:rsidRPr="00A21682" w14:paraId="1AD7F739" w14:textId="77777777" w:rsidTr="00047C4E">
        <w:trPr>
          <w:trHeight w:val="300"/>
        </w:trPr>
        <w:tc>
          <w:tcPr>
            <w:tcW w:w="622" w:type="dxa"/>
          </w:tcPr>
          <w:p w14:paraId="7288AAEF" w14:textId="77777777" w:rsidR="00C5516F" w:rsidRPr="00A21682" w:rsidRDefault="00C5516F" w:rsidP="00C85434">
            <w:pPr>
              <w:pStyle w:val="TABLETEXT1"/>
              <w:rPr>
                <w:lang w:val="en-US"/>
              </w:rPr>
            </w:pPr>
            <w:r>
              <w:rPr>
                <w:lang w:val="en-US"/>
              </w:rPr>
              <w:t>3.2</w:t>
            </w:r>
          </w:p>
        </w:tc>
        <w:tc>
          <w:tcPr>
            <w:tcW w:w="1506" w:type="dxa"/>
          </w:tcPr>
          <w:p w14:paraId="00128BFD" w14:textId="77777777" w:rsidR="00C5516F" w:rsidRPr="00A21682" w:rsidRDefault="00C5516F" w:rsidP="00C85434">
            <w:pPr>
              <w:pStyle w:val="TABLETEXT1"/>
              <w:rPr>
                <w:lang w:val="en-US"/>
              </w:rPr>
            </w:pPr>
            <w:r>
              <w:rPr>
                <w:lang w:val="en-US"/>
              </w:rPr>
              <w:t>Conduct joint prioritization sessions</w:t>
            </w:r>
          </w:p>
        </w:tc>
        <w:tc>
          <w:tcPr>
            <w:tcW w:w="1980" w:type="dxa"/>
          </w:tcPr>
          <w:p w14:paraId="62911172" w14:textId="77777777" w:rsidR="00C5516F" w:rsidRPr="00635C9B" w:rsidRDefault="00C5516F" w:rsidP="00C85434">
            <w:pPr>
              <w:pStyle w:val="TABLEBULLETNEW"/>
            </w:pPr>
            <w:r>
              <w:t>Conduct joint prioritization working session(s) for items recommended for a future Wave</w:t>
            </w:r>
          </w:p>
          <w:p w14:paraId="72572684" w14:textId="77777777" w:rsidR="00C5516F" w:rsidRPr="00635C9B" w:rsidRDefault="00C5516F" w:rsidP="00C85434">
            <w:pPr>
              <w:pStyle w:val="TABLEBULLETNEW"/>
            </w:pPr>
            <w:r>
              <w:t>Discuss rationale behind future Wave recommendation</w:t>
            </w:r>
            <w:r>
              <w:lastRenderedPageBreak/>
              <w:t xml:space="preserve">, review pros/cons, any applicable workarounds and establish final prioritization for Wave mapping </w:t>
            </w:r>
          </w:p>
        </w:tc>
        <w:tc>
          <w:tcPr>
            <w:tcW w:w="1644" w:type="dxa"/>
          </w:tcPr>
          <w:p w14:paraId="30BA2CDB" w14:textId="77777777" w:rsidR="0017179D" w:rsidRDefault="00C5516F" w:rsidP="00C85434">
            <w:pPr>
              <w:pStyle w:val="TABLEBULLETNEW"/>
            </w:pPr>
            <w:r>
              <w:lastRenderedPageBreak/>
              <w:t>Business Stakeholders</w:t>
            </w:r>
          </w:p>
          <w:p w14:paraId="09EE6820" w14:textId="4D024196" w:rsidR="0017179D" w:rsidRDefault="00C5516F" w:rsidP="00C85434">
            <w:pPr>
              <w:pStyle w:val="TABLEBULLETNEW"/>
            </w:pPr>
            <w:r>
              <w:t>Functional Stakeholders</w:t>
            </w:r>
          </w:p>
          <w:p w14:paraId="146D9735" w14:textId="7B801733" w:rsidR="00C5516F" w:rsidRPr="00635C9B" w:rsidRDefault="00C5516F" w:rsidP="00C85434">
            <w:pPr>
              <w:pStyle w:val="TABLEBULLETNEW"/>
            </w:pPr>
            <w:r>
              <w:t>Technical Stakeholders</w:t>
            </w:r>
          </w:p>
        </w:tc>
        <w:tc>
          <w:tcPr>
            <w:tcW w:w="1800" w:type="dxa"/>
          </w:tcPr>
          <w:p w14:paraId="4B4E8C78" w14:textId="02F9646D" w:rsidR="00C5516F" w:rsidRPr="00635C9B" w:rsidRDefault="00CD303A" w:rsidP="00C85434">
            <w:pPr>
              <w:pStyle w:val="TABLEBULLETNEW"/>
            </w:pPr>
            <w:r>
              <w:t xml:space="preserve">Requirements Specification Document (DEL-18) Updated with Feedback </w:t>
            </w:r>
          </w:p>
          <w:p w14:paraId="1F6FA49F" w14:textId="48773820" w:rsidR="00C5516F" w:rsidRPr="00635C9B" w:rsidRDefault="006D6161" w:rsidP="00C85434">
            <w:pPr>
              <w:pStyle w:val="TABLEBULLETNEW"/>
            </w:pPr>
            <w:r>
              <w:t>Requirements Traceability Matrix (DEL-19) Updated with Feedback</w:t>
            </w:r>
          </w:p>
        </w:tc>
        <w:tc>
          <w:tcPr>
            <w:tcW w:w="1866" w:type="dxa"/>
          </w:tcPr>
          <w:p w14:paraId="190B371D" w14:textId="15BB6C36" w:rsidR="00C5516F" w:rsidRPr="00635C9B" w:rsidRDefault="00C5516F" w:rsidP="00C85434">
            <w:pPr>
              <w:pStyle w:val="TABLEBULLETNEW"/>
            </w:pPr>
            <w:r>
              <w:t xml:space="preserve">Key decisions summarizing outcomes from prioritization session logged in the ALM tool </w:t>
            </w:r>
          </w:p>
          <w:p w14:paraId="747DD818" w14:textId="7D544199" w:rsidR="00C5516F" w:rsidRPr="00635C9B" w:rsidRDefault="00C5516F" w:rsidP="00C85434">
            <w:pPr>
              <w:pStyle w:val="TABLEBULLETNEW"/>
            </w:pPr>
            <w:r>
              <w:t>Updated Requirements Traceability Matrix (DEL-19)</w:t>
            </w:r>
          </w:p>
        </w:tc>
      </w:tr>
      <w:tr w:rsidR="00C5516F" w:rsidRPr="00A21682" w14:paraId="392ECB65" w14:textId="77777777" w:rsidTr="00047C4E">
        <w:trPr>
          <w:trHeight w:val="300"/>
        </w:trPr>
        <w:tc>
          <w:tcPr>
            <w:tcW w:w="622" w:type="dxa"/>
          </w:tcPr>
          <w:p w14:paraId="6A340BC3" w14:textId="77777777" w:rsidR="00C5516F" w:rsidRPr="00A21682" w:rsidRDefault="00C5516F" w:rsidP="00C85434">
            <w:pPr>
              <w:pStyle w:val="TABLETEXT1"/>
              <w:rPr>
                <w:highlight w:val="yellow"/>
                <w:lang w:val="en-US"/>
              </w:rPr>
            </w:pPr>
            <w:r>
              <w:rPr>
                <w:lang w:val="en-US"/>
              </w:rPr>
              <w:t>3.2a</w:t>
            </w:r>
          </w:p>
        </w:tc>
        <w:tc>
          <w:tcPr>
            <w:tcW w:w="1506" w:type="dxa"/>
          </w:tcPr>
          <w:p w14:paraId="69B431AC" w14:textId="77777777" w:rsidR="00C5516F" w:rsidRPr="00A21682" w:rsidRDefault="00C5516F" w:rsidP="00C85434">
            <w:pPr>
              <w:pStyle w:val="TABLETEXT1"/>
              <w:rPr>
                <w:lang w:val="en-US"/>
              </w:rPr>
            </w:pPr>
            <w:r>
              <w:rPr>
                <w:lang w:val="en-US"/>
              </w:rPr>
              <w:t>Prioritized requirements exceed budget and timeline</w:t>
            </w:r>
          </w:p>
        </w:tc>
        <w:tc>
          <w:tcPr>
            <w:tcW w:w="1980" w:type="dxa"/>
          </w:tcPr>
          <w:p w14:paraId="40E27AA9" w14:textId="77777777" w:rsidR="00C5516F" w:rsidRPr="00112F61" w:rsidRDefault="00C5516F" w:rsidP="00C85434">
            <w:pPr>
              <w:pStyle w:val="TABLETEXT1"/>
              <w:rPr>
                <w:lang w:val="en-US"/>
              </w:rPr>
            </w:pPr>
            <w:r>
              <w:rPr>
                <w:lang w:val="en-US"/>
              </w:rPr>
              <w:t>Review the prioritized requirements to determine if they exceed the budget or timeline constraints</w:t>
            </w:r>
          </w:p>
          <w:p w14:paraId="4F354A94" w14:textId="77777777" w:rsidR="00C5516F" w:rsidRPr="00635C9B" w:rsidRDefault="00C5516F" w:rsidP="00C85434">
            <w:pPr>
              <w:pStyle w:val="TABLEBULLETNEW"/>
            </w:pPr>
            <w:r>
              <w:t xml:space="preserve">If yes, proceed to </w:t>
            </w:r>
            <w:r>
              <w:rPr>
                <w:i/>
              </w:rPr>
              <w:t>Step #3.3 Assess and present scope, timeline and/or budget impacts of prioritized requirements</w:t>
            </w:r>
          </w:p>
          <w:p w14:paraId="6FC8A430" w14:textId="4002B202" w:rsidR="00C5516F" w:rsidRPr="00372E4E" w:rsidRDefault="00C5516F" w:rsidP="00C85434">
            <w:pPr>
              <w:pStyle w:val="TABLEBULLETNEW"/>
            </w:pPr>
            <w:r>
              <w:t xml:space="preserve">If no, proceed to process </w:t>
            </w:r>
            <w:r>
              <w:rPr>
                <w:i/>
              </w:rPr>
              <w:t>Step #3.5 Approve requirements and their prioritization via the Requirements Specification Document (DEL-18) and RTM (DEL-19)</w:t>
            </w:r>
          </w:p>
        </w:tc>
        <w:tc>
          <w:tcPr>
            <w:tcW w:w="1644" w:type="dxa"/>
          </w:tcPr>
          <w:p w14:paraId="7F4FC0D7" w14:textId="77777777" w:rsidR="00C5516F" w:rsidRPr="00635C9B" w:rsidRDefault="00C5516F" w:rsidP="00C85434">
            <w:pPr>
              <w:pStyle w:val="TABLEBULLETNEW"/>
            </w:pPr>
            <w:r>
              <w:t>Business Stakeholders</w:t>
            </w:r>
          </w:p>
        </w:tc>
        <w:tc>
          <w:tcPr>
            <w:tcW w:w="1800" w:type="dxa"/>
          </w:tcPr>
          <w:p w14:paraId="31A5FE9A" w14:textId="0B7BA2B3" w:rsidR="00C5516F" w:rsidRPr="00635C9B" w:rsidRDefault="00C5516F" w:rsidP="00C85434">
            <w:pPr>
              <w:pStyle w:val="TABLEBULLETNEW"/>
            </w:pPr>
            <w:r>
              <w:t xml:space="preserve">Key decisions summarizing outcomes from prioritization session logged in the ALM tool </w:t>
            </w:r>
          </w:p>
          <w:p w14:paraId="56857496" w14:textId="0F4AA900" w:rsidR="00C5516F" w:rsidRPr="00635C9B" w:rsidRDefault="00C5516F" w:rsidP="00C85434">
            <w:pPr>
              <w:pStyle w:val="TABLEBULLETNEW"/>
            </w:pPr>
            <w:r>
              <w:t>Updated Requirements Traceability Matrix (DEL-19)</w:t>
            </w:r>
          </w:p>
        </w:tc>
        <w:tc>
          <w:tcPr>
            <w:tcW w:w="1866" w:type="dxa"/>
          </w:tcPr>
          <w:p w14:paraId="58D68811" w14:textId="77777777" w:rsidR="00C5516F" w:rsidRPr="00635C9B" w:rsidRDefault="00C5516F" w:rsidP="00C85434">
            <w:pPr>
              <w:pStyle w:val="TABLEBULLETNEW"/>
            </w:pPr>
            <w:r>
              <w:t>Yes/No Decision</w:t>
            </w:r>
          </w:p>
        </w:tc>
      </w:tr>
      <w:tr w:rsidR="00C5516F" w:rsidRPr="00A21682" w14:paraId="06D09AE6" w14:textId="77777777" w:rsidTr="00047C4E">
        <w:trPr>
          <w:trHeight w:val="300"/>
        </w:trPr>
        <w:tc>
          <w:tcPr>
            <w:tcW w:w="622" w:type="dxa"/>
          </w:tcPr>
          <w:p w14:paraId="533DA5A7" w14:textId="77777777" w:rsidR="00C5516F" w:rsidRPr="00A21682" w:rsidRDefault="00C5516F" w:rsidP="00C85434">
            <w:pPr>
              <w:pStyle w:val="TABLETEXT1"/>
              <w:rPr>
                <w:lang w:val="en-US"/>
              </w:rPr>
            </w:pPr>
            <w:r>
              <w:rPr>
                <w:lang w:val="en-US"/>
              </w:rPr>
              <w:t>3.3</w:t>
            </w:r>
          </w:p>
        </w:tc>
        <w:tc>
          <w:tcPr>
            <w:tcW w:w="1506" w:type="dxa"/>
          </w:tcPr>
          <w:p w14:paraId="7F08C7D6" w14:textId="77777777" w:rsidR="00C5516F" w:rsidRPr="00A21682" w:rsidRDefault="00C5516F" w:rsidP="00C85434">
            <w:pPr>
              <w:pStyle w:val="TABLETEXT1"/>
              <w:rPr>
                <w:lang w:val="en-US"/>
              </w:rPr>
            </w:pPr>
            <w:r>
              <w:rPr>
                <w:lang w:val="en-US"/>
              </w:rPr>
              <w:t>Assess and present scope, timeline and/or budget impacts of prioritized requirements</w:t>
            </w:r>
          </w:p>
        </w:tc>
        <w:tc>
          <w:tcPr>
            <w:tcW w:w="1980" w:type="dxa"/>
          </w:tcPr>
          <w:p w14:paraId="0EE76A96" w14:textId="77777777" w:rsidR="00C5516F" w:rsidRPr="00112F61" w:rsidRDefault="00C5516F" w:rsidP="00C85434">
            <w:pPr>
              <w:pStyle w:val="TABLETEXT1"/>
              <w:rPr>
                <w:lang w:val="en-US"/>
              </w:rPr>
            </w:pPr>
            <w:r>
              <w:rPr>
                <w:lang w:val="en-US"/>
              </w:rPr>
              <w:t>For requirements exceeding budget and timeline constraints, document and present the impact to the Executive Stakeholders for effective decision making</w:t>
            </w:r>
          </w:p>
        </w:tc>
        <w:tc>
          <w:tcPr>
            <w:tcW w:w="1644" w:type="dxa"/>
          </w:tcPr>
          <w:p w14:paraId="5EF0AA1F" w14:textId="77777777" w:rsidR="00C5516F" w:rsidRPr="00635C9B" w:rsidRDefault="00C5516F" w:rsidP="00C85434">
            <w:pPr>
              <w:pStyle w:val="TABLEBULLETNEW"/>
            </w:pPr>
            <w:r>
              <w:t>Executive Stakeholders</w:t>
            </w:r>
          </w:p>
        </w:tc>
        <w:tc>
          <w:tcPr>
            <w:tcW w:w="1800" w:type="dxa"/>
          </w:tcPr>
          <w:p w14:paraId="51BB58DA" w14:textId="4A5E1ED1" w:rsidR="00C5516F" w:rsidRPr="00635C9B" w:rsidRDefault="00C5516F" w:rsidP="00C85434">
            <w:pPr>
              <w:pStyle w:val="TABLEBULLETNEW"/>
            </w:pPr>
            <w:r>
              <w:t>Draft Requirements Traceability Matrix (DEL-19)</w:t>
            </w:r>
          </w:p>
          <w:p w14:paraId="1B4C8B20" w14:textId="4821E3F5" w:rsidR="00C5516F" w:rsidRPr="00635C9B" w:rsidRDefault="00C5516F" w:rsidP="00C85434">
            <w:pPr>
              <w:pStyle w:val="TABLEBULLETNEW"/>
            </w:pPr>
            <w:r>
              <w:t xml:space="preserve">Latest Baselined Work Plan and Schedule </w:t>
            </w:r>
          </w:p>
        </w:tc>
        <w:tc>
          <w:tcPr>
            <w:tcW w:w="1866" w:type="dxa"/>
          </w:tcPr>
          <w:p w14:paraId="6281FBA0" w14:textId="2DBBFE3D" w:rsidR="00C5516F" w:rsidRPr="00635C9B" w:rsidRDefault="00C5516F" w:rsidP="00C85434">
            <w:pPr>
              <w:pStyle w:val="TABLEBULLETNEW"/>
            </w:pPr>
            <w:r>
              <w:t>Decisions logged in the ALM tool</w:t>
            </w:r>
          </w:p>
          <w:p w14:paraId="2F9F2163" w14:textId="68444781" w:rsidR="00C5516F" w:rsidRPr="00635C9B" w:rsidRDefault="00C5516F" w:rsidP="00C85434">
            <w:pPr>
              <w:pStyle w:val="TABLEBULLETNEW"/>
            </w:pPr>
            <w:r>
              <w:t>Updates to Requirements Traceability Matrix (DEL-19), if applicable</w:t>
            </w:r>
          </w:p>
        </w:tc>
      </w:tr>
      <w:tr w:rsidR="00C5516F" w:rsidRPr="00A21682" w14:paraId="11F099BF" w14:textId="77777777" w:rsidTr="00047C4E">
        <w:trPr>
          <w:trHeight w:val="300"/>
        </w:trPr>
        <w:tc>
          <w:tcPr>
            <w:tcW w:w="622" w:type="dxa"/>
          </w:tcPr>
          <w:p w14:paraId="0BD32B6C" w14:textId="77777777" w:rsidR="00C5516F" w:rsidRPr="00A21682" w:rsidRDefault="00C5516F" w:rsidP="00C85434">
            <w:pPr>
              <w:pStyle w:val="TABLETEXT1"/>
              <w:rPr>
                <w:lang w:val="en-US"/>
              </w:rPr>
            </w:pPr>
            <w:r>
              <w:rPr>
                <w:lang w:val="en-US"/>
              </w:rPr>
              <w:lastRenderedPageBreak/>
              <w:t>3.3a</w:t>
            </w:r>
          </w:p>
        </w:tc>
        <w:tc>
          <w:tcPr>
            <w:tcW w:w="1506" w:type="dxa"/>
          </w:tcPr>
          <w:p w14:paraId="3F3574BF" w14:textId="77777777" w:rsidR="00C5516F" w:rsidRPr="00A21682" w:rsidRDefault="00C5516F" w:rsidP="00C85434">
            <w:pPr>
              <w:pStyle w:val="TABLETEXT1"/>
              <w:rPr>
                <w:lang w:val="en-US"/>
              </w:rPr>
            </w:pPr>
            <w:r>
              <w:rPr>
                <w:lang w:val="en-US"/>
              </w:rPr>
              <w:t>Agree to accommodate excessive requirements</w:t>
            </w:r>
          </w:p>
        </w:tc>
        <w:tc>
          <w:tcPr>
            <w:tcW w:w="1980" w:type="dxa"/>
          </w:tcPr>
          <w:p w14:paraId="00CCAB2B" w14:textId="77777777" w:rsidR="00C5516F" w:rsidRPr="00112F61" w:rsidRDefault="00C5516F" w:rsidP="00C85434">
            <w:pPr>
              <w:pStyle w:val="TABLETEXT1"/>
              <w:rPr>
                <w:lang w:val="en-US"/>
              </w:rPr>
            </w:pPr>
            <w:r>
              <w:rPr>
                <w:lang w:val="en-US"/>
              </w:rPr>
              <w:t>Executive Stakeholders decide if the Prioritized Requirements can be accommodated in the project Wave</w:t>
            </w:r>
          </w:p>
          <w:p w14:paraId="15FEC115" w14:textId="77777777" w:rsidR="00C5516F" w:rsidRPr="00BF171D" w:rsidRDefault="00C5516F" w:rsidP="00C85434">
            <w:pPr>
              <w:pStyle w:val="TABLEBULLETNEW"/>
            </w:pPr>
            <w:r>
              <w:t xml:space="preserve">If yes, proceed to </w:t>
            </w:r>
            <w:r>
              <w:rPr>
                <w:i/>
              </w:rPr>
              <w:t>Step #3.4 Revise Wave scope, timeline and/or budget to accommodate prioritized requirements</w:t>
            </w:r>
          </w:p>
          <w:p w14:paraId="780E0191" w14:textId="77777777" w:rsidR="00C5516F" w:rsidRPr="00635C9B" w:rsidRDefault="00C5516F" w:rsidP="00C85434">
            <w:pPr>
              <w:pStyle w:val="TABLEBULLETNEW"/>
            </w:pPr>
            <w:r>
              <w:t xml:space="preserve">If no, proceed to </w:t>
            </w:r>
            <w:r>
              <w:rPr>
                <w:i/>
              </w:rPr>
              <w:t>Step #3.2 conduct joint prioritization sessions</w:t>
            </w:r>
          </w:p>
        </w:tc>
        <w:tc>
          <w:tcPr>
            <w:tcW w:w="1644" w:type="dxa"/>
          </w:tcPr>
          <w:p w14:paraId="4C5F0EA9" w14:textId="77777777" w:rsidR="00C5516F" w:rsidRPr="00635C9B" w:rsidRDefault="00C5516F" w:rsidP="00C85434">
            <w:pPr>
              <w:pStyle w:val="TABLEBULLETNEW"/>
            </w:pPr>
            <w:r>
              <w:t>Executive Stakeholders</w:t>
            </w:r>
          </w:p>
        </w:tc>
        <w:tc>
          <w:tcPr>
            <w:tcW w:w="1800" w:type="dxa"/>
          </w:tcPr>
          <w:p w14:paraId="75C25450" w14:textId="36AFBA63" w:rsidR="00C5516F" w:rsidRPr="00635C9B" w:rsidRDefault="00C5516F" w:rsidP="00C85434">
            <w:pPr>
              <w:pStyle w:val="TABLEBULLETNEW"/>
            </w:pPr>
            <w:r>
              <w:t>Decisions logged in the ALM tool</w:t>
            </w:r>
          </w:p>
          <w:p w14:paraId="3B2988FC" w14:textId="04E2FCD6" w:rsidR="00C5516F" w:rsidRPr="00635C9B" w:rsidRDefault="00C5516F" w:rsidP="00C85434">
            <w:pPr>
              <w:pStyle w:val="TABLEBULLETNEW"/>
            </w:pPr>
            <w:r>
              <w:t xml:space="preserve">Updates to Requirements Traceability Matrix (DEL-19), if applicable </w:t>
            </w:r>
          </w:p>
        </w:tc>
        <w:tc>
          <w:tcPr>
            <w:tcW w:w="1866" w:type="dxa"/>
          </w:tcPr>
          <w:p w14:paraId="4378F234" w14:textId="77777777" w:rsidR="00C5516F" w:rsidRPr="00635C9B" w:rsidRDefault="00C5516F" w:rsidP="00C85434">
            <w:pPr>
              <w:pStyle w:val="TABLEBULLETNEW"/>
            </w:pPr>
            <w:r>
              <w:t>Yes/No Decision</w:t>
            </w:r>
          </w:p>
        </w:tc>
      </w:tr>
      <w:tr w:rsidR="00C5516F" w:rsidRPr="00A21682" w14:paraId="6ACA9D88" w14:textId="77777777" w:rsidTr="00047C4E">
        <w:trPr>
          <w:trHeight w:val="300"/>
        </w:trPr>
        <w:tc>
          <w:tcPr>
            <w:tcW w:w="622" w:type="dxa"/>
          </w:tcPr>
          <w:p w14:paraId="5646FA98" w14:textId="77777777" w:rsidR="00C5516F" w:rsidRPr="00A21682" w:rsidRDefault="00C5516F" w:rsidP="00C85434">
            <w:pPr>
              <w:pStyle w:val="TABLETEXT1"/>
              <w:rPr>
                <w:lang w:val="en-US"/>
              </w:rPr>
            </w:pPr>
            <w:r>
              <w:rPr>
                <w:lang w:val="en-US"/>
              </w:rPr>
              <w:t>3.4</w:t>
            </w:r>
          </w:p>
        </w:tc>
        <w:tc>
          <w:tcPr>
            <w:tcW w:w="1506" w:type="dxa"/>
          </w:tcPr>
          <w:p w14:paraId="7C087A9F" w14:textId="77777777" w:rsidR="00C5516F" w:rsidRPr="00A21682" w:rsidRDefault="00C5516F" w:rsidP="00C85434">
            <w:pPr>
              <w:pStyle w:val="TABLETEXT1"/>
              <w:rPr>
                <w:lang w:val="en-US"/>
              </w:rPr>
            </w:pPr>
            <w:r>
              <w:rPr>
                <w:lang w:val="en-US"/>
              </w:rPr>
              <w:t>Revise Wave scope, timeline and/or budget to accommodate prioritized requirements</w:t>
            </w:r>
          </w:p>
        </w:tc>
        <w:tc>
          <w:tcPr>
            <w:tcW w:w="1980" w:type="dxa"/>
          </w:tcPr>
          <w:p w14:paraId="6C552B0F" w14:textId="77777777" w:rsidR="00C5516F" w:rsidRPr="00112F61" w:rsidRDefault="00C5516F" w:rsidP="00C85434">
            <w:pPr>
              <w:pStyle w:val="TABLETEXT1"/>
              <w:rPr>
                <w:lang w:val="en-US"/>
              </w:rPr>
            </w:pPr>
            <w:r>
              <w:rPr>
                <w:lang w:val="en-US"/>
              </w:rPr>
              <w:t>For requirements where a decision is made to accommodate excessive requirement, adjust the Wave scope, timeline and/or budget by leveraging agreed upon contract vehicle</w:t>
            </w:r>
          </w:p>
        </w:tc>
        <w:tc>
          <w:tcPr>
            <w:tcW w:w="1644" w:type="dxa"/>
          </w:tcPr>
          <w:p w14:paraId="1A61BDB0" w14:textId="77777777" w:rsidR="00C5516F" w:rsidRPr="00635C9B" w:rsidRDefault="00C5516F" w:rsidP="00C85434">
            <w:pPr>
              <w:pStyle w:val="TABLEBULLETNEW"/>
            </w:pPr>
            <w:r>
              <w:t>Executive Stakeholders</w:t>
            </w:r>
          </w:p>
        </w:tc>
        <w:tc>
          <w:tcPr>
            <w:tcW w:w="1800" w:type="dxa"/>
          </w:tcPr>
          <w:p w14:paraId="32B6B752" w14:textId="77777777" w:rsidR="00C5516F" w:rsidRPr="00635C9B" w:rsidRDefault="00C5516F" w:rsidP="00C85434">
            <w:pPr>
              <w:pStyle w:val="TABLEBULLETNEW"/>
            </w:pPr>
            <w:r>
              <w:t>ISOW</w:t>
            </w:r>
          </w:p>
        </w:tc>
        <w:tc>
          <w:tcPr>
            <w:tcW w:w="1866" w:type="dxa"/>
          </w:tcPr>
          <w:p w14:paraId="26A388FA" w14:textId="77777777" w:rsidR="00C5516F" w:rsidRPr="00635C9B" w:rsidRDefault="00C5516F" w:rsidP="00C85434">
            <w:pPr>
              <w:pStyle w:val="TABLEBULLETNEW"/>
            </w:pPr>
            <w:r>
              <w:t>Required scope, timeline and/or budget changes</w:t>
            </w:r>
          </w:p>
        </w:tc>
      </w:tr>
      <w:tr w:rsidR="00C5516F" w:rsidRPr="00A21682" w14:paraId="28C2A62C" w14:textId="77777777" w:rsidTr="00047C4E">
        <w:trPr>
          <w:trHeight w:val="300"/>
        </w:trPr>
        <w:tc>
          <w:tcPr>
            <w:tcW w:w="622" w:type="dxa"/>
          </w:tcPr>
          <w:p w14:paraId="7A0A6BE1" w14:textId="70EF1DFD" w:rsidR="00C5516F" w:rsidRPr="00A21682" w:rsidRDefault="00C5516F" w:rsidP="00C85434">
            <w:pPr>
              <w:pStyle w:val="TABLETEXT1"/>
              <w:rPr>
                <w:lang w:val="en-US"/>
              </w:rPr>
            </w:pPr>
            <w:r>
              <w:rPr>
                <w:lang w:val="en-US"/>
              </w:rPr>
              <w:t>3.5</w:t>
            </w:r>
          </w:p>
        </w:tc>
        <w:tc>
          <w:tcPr>
            <w:tcW w:w="1506" w:type="dxa"/>
          </w:tcPr>
          <w:p w14:paraId="7CD99224" w14:textId="0F587AD5" w:rsidR="00C5516F" w:rsidRPr="00A21682" w:rsidRDefault="00C5516F" w:rsidP="00C85434">
            <w:pPr>
              <w:pStyle w:val="TABLETEXT1"/>
              <w:rPr>
                <w:lang w:val="en-US"/>
              </w:rPr>
            </w:pPr>
            <w:r>
              <w:rPr>
                <w:lang w:val="en-US"/>
              </w:rPr>
              <w:t>Approve requirements and their prioritization via the Requirements Specification Document (DEL-18) and RTM (DEL-19)</w:t>
            </w:r>
          </w:p>
        </w:tc>
        <w:tc>
          <w:tcPr>
            <w:tcW w:w="1980" w:type="dxa"/>
          </w:tcPr>
          <w:p w14:paraId="41C87593" w14:textId="373CA566" w:rsidR="00C5516F" w:rsidRPr="00112F61" w:rsidRDefault="00C5516F" w:rsidP="00C85434">
            <w:pPr>
              <w:pStyle w:val="TABLETEXT1"/>
              <w:rPr>
                <w:lang w:val="en-US"/>
              </w:rPr>
            </w:pPr>
            <w:r>
              <w:rPr>
                <w:lang w:val="en-US"/>
              </w:rPr>
              <w:t>Provide formal approval on RSD (DEL-18) and RTM (DEL-19) per the Deliverable Management Plan</w:t>
            </w:r>
          </w:p>
        </w:tc>
        <w:tc>
          <w:tcPr>
            <w:tcW w:w="1644" w:type="dxa"/>
          </w:tcPr>
          <w:p w14:paraId="4253640A" w14:textId="77777777" w:rsidR="00C5516F" w:rsidRPr="00635C9B" w:rsidRDefault="00C5516F" w:rsidP="00C85434">
            <w:pPr>
              <w:pStyle w:val="TABLEBULLETNEW"/>
            </w:pPr>
            <w:r>
              <w:t>Business Stakeholders</w:t>
            </w:r>
          </w:p>
        </w:tc>
        <w:tc>
          <w:tcPr>
            <w:tcW w:w="1800" w:type="dxa"/>
          </w:tcPr>
          <w:p w14:paraId="1935023B" w14:textId="22E2408B" w:rsidR="006939C7" w:rsidRDefault="00C5516F" w:rsidP="00C85434">
            <w:pPr>
              <w:pStyle w:val="TABLEBULLETNEW"/>
            </w:pPr>
            <w:r>
              <w:t>Updated Requirements Specification Document (DEL-18)</w:t>
            </w:r>
          </w:p>
          <w:p w14:paraId="1431B318" w14:textId="736374D0" w:rsidR="00C5516F" w:rsidRPr="00635C9B" w:rsidRDefault="00C5516F" w:rsidP="00C85434">
            <w:pPr>
              <w:pStyle w:val="TABLEBULLETNEW"/>
            </w:pPr>
            <w:r>
              <w:t xml:space="preserve">Updated Requirements Traceability Matrix (DEL-19) </w:t>
            </w:r>
          </w:p>
        </w:tc>
        <w:tc>
          <w:tcPr>
            <w:tcW w:w="1866" w:type="dxa"/>
          </w:tcPr>
          <w:p w14:paraId="51B062EE" w14:textId="1D17CF97" w:rsidR="00C5516F" w:rsidRPr="00635C9B" w:rsidRDefault="00E06740" w:rsidP="00C85434">
            <w:pPr>
              <w:pStyle w:val="TABLEBULLETNEW"/>
            </w:pPr>
            <w:r>
              <w:t>Requirements Specification Document (DEL-18)</w:t>
            </w:r>
          </w:p>
          <w:p w14:paraId="76D01BAD" w14:textId="3F481E91" w:rsidR="00C5516F" w:rsidRPr="00635C9B" w:rsidRDefault="0072426B" w:rsidP="00C85434">
            <w:pPr>
              <w:pStyle w:val="TABLEBULLETNEW"/>
            </w:pPr>
            <w:r>
              <w:t xml:space="preserve">Requirements Traceability Matrix (DEL-19) </w:t>
            </w:r>
          </w:p>
        </w:tc>
      </w:tr>
      <w:tr w:rsidR="00C5516F" w:rsidRPr="00A21682" w14:paraId="4212FA73" w14:textId="77777777" w:rsidTr="00047C4E">
        <w:trPr>
          <w:trHeight w:val="300"/>
        </w:trPr>
        <w:tc>
          <w:tcPr>
            <w:tcW w:w="622" w:type="dxa"/>
          </w:tcPr>
          <w:p w14:paraId="4E6DB63B" w14:textId="77777777" w:rsidR="00C5516F" w:rsidRPr="00A21682" w:rsidRDefault="00C5516F" w:rsidP="00C85434">
            <w:pPr>
              <w:pStyle w:val="TABLETEXT1"/>
              <w:rPr>
                <w:lang w:val="en-US"/>
              </w:rPr>
            </w:pPr>
            <w:r>
              <w:rPr>
                <w:lang w:val="en-US"/>
              </w:rPr>
              <w:t>3.6</w:t>
            </w:r>
          </w:p>
        </w:tc>
        <w:tc>
          <w:tcPr>
            <w:tcW w:w="1506" w:type="dxa"/>
          </w:tcPr>
          <w:p w14:paraId="61F4E3E0" w14:textId="5FF3F7E4" w:rsidR="00C5516F" w:rsidRPr="00A21682" w:rsidRDefault="00C5516F" w:rsidP="00C85434">
            <w:pPr>
              <w:pStyle w:val="TABLETEXT1"/>
              <w:rPr>
                <w:lang w:val="en-US"/>
              </w:rPr>
            </w:pPr>
            <w:r>
              <w:rPr>
                <w:lang w:val="en-US"/>
              </w:rPr>
              <w:t xml:space="preserve">Determine the number of iterations/ </w:t>
            </w:r>
            <w:r>
              <w:rPr>
                <w:lang w:val="en-US"/>
              </w:rPr>
              <w:lastRenderedPageBreak/>
              <w:t>bundles for the Wave</w:t>
            </w:r>
          </w:p>
        </w:tc>
        <w:tc>
          <w:tcPr>
            <w:tcW w:w="1980" w:type="dxa"/>
          </w:tcPr>
          <w:p w14:paraId="0AD6FE8A" w14:textId="39674B81" w:rsidR="00C5516F" w:rsidRPr="00112F61" w:rsidRDefault="00C5516F" w:rsidP="00C85434">
            <w:pPr>
              <w:pStyle w:val="TABLETEXT1"/>
              <w:rPr>
                <w:lang w:val="en-US"/>
              </w:rPr>
            </w:pPr>
            <w:r>
              <w:rPr>
                <w:lang w:val="en-US"/>
              </w:rPr>
              <w:lastRenderedPageBreak/>
              <w:t xml:space="preserve">For approved requirements, perform an analysis of number of SDLC </w:t>
            </w:r>
            <w:r>
              <w:rPr>
                <w:lang w:val="en-US"/>
              </w:rPr>
              <w:lastRenderedPageBreak/>
              <w:t>iterations/bundles needed for the Wave</w:t>
            </w:r>
          </w:p>
        </w:tc>
        <w:tc>
          <w:tcPr>
            <w:tcW w:w="1644" w:type="dxa"/>
          </w:tcPr>
          <w:p w14:paraId="17E9F6F8" w14:textId="76B794FA" w:rsidR="0056184F" w:rsidRDefault="00C5516F" w:rsidP="00C85434">
            <w:pPr>
              <w:pStyle w:val="TABLEBULLETNEW"/>
            </w:pPr>
            <w:r>
              <w:lastRenderedPageBreak/>
              <w:t xml:space="preserve">Functional Stakeholders </w:t>
            </w:r>
          </w:p>
          <w:p w14:paraId="74EFB8C4" w14:textId="375A227D" w:rsidR="00C5516F" w:rsidRPr="00635C9B" w:rsidRDefault="00C5516F" w:rsidP="00C85434">
            <w:pPr>
              <w:pStyle w:val="TABLEBULLETNEW"/>
            </w:pPr>
            <w:r>
              <w:t>Technical Stakeholders</w:t>
            </w:r>
          </w:p>
        </w:tc>
        <w:tc>
          <w:tcPr>
            <w:tcW w:w="1800" w:type="dxa"/>
          </w:tcPr>
          <w:p w14:paraId="2B901FBB" w14:textId="1216B79D" w:rsidR="00C5516F" w:rsidRPr="00635C9B" w:rsidRDefault="00E06740" w:rsidP="00C85434">
            <w:pPr>
              <w:pStyle w:val="TABLEBULLETNEW"/>
            </w:pPr>
            <w:r>
              <w:t>Requirements Specification Document (DEL-18)</w:t>
            </w:r>
          </w:p>
          <w:p w14:paraId="531E0B65" w14:textId="76542811" w:rsidR="00C5516F" w:rsidRPr="00635C9B" w:rsidRDefault="0072426B" w:rsidP="00C85434">
            <w:pPr>
              <w:pStyle w:val="TABLEBULLETNEW"/>
            </w:pPr>
            <w:r>
              <w:lastRenderedPageBreak/>
              <w:t xml:space="preserve">Requirements Traceability Matrix (DEL-19) </w:t>
            </w:r>
          </w:p>
        </w:tc>
        <w:tc>
          <w:tcPr>
            <w:tcW w:w="1866" w:type="dxa"/>
          </w:tcPr>
          <w:p w14:paraId="42A7FFF4" w14:textId="596BA6B7" w:rsidR="00C5516F" w:rsidRPr="00635C9B" w:rsidRDefault="00C5516F" w:rsidP="00C85434">
            <w:pPr>
              <w:pStyle w:val="TABLEBULLETNEW"/>
            </w:pPr>
            <w:r>
              <w:lastRenderedPageBreak/>
              <w:t>High-level Iteration/Bundle Plan for the Wave</w:t>
            </w:r>
          </w:p>
        </w:tc>
      </w:tr>
      <w:tr w:rsidR="00C5516F" w:rsidRPr="00A21682" w14:paraId="243C8266" w14:textId="77777777" w:rsidTr="00047C4E">
        <w:trPr>
          <w:trHeight w:val="300"/>
        </w:trPr>
        <w:tc>
          <w:tcPr>
            <w:tcW w:w="622" w:type="dxa"/>
          </w:tcPr>
          <w:p w14:paraId="6D1EDA34" w14:textId="205E786F" w:rsidR="00C5516F" w:rsidRPr="00A21682" w:rsidRDefault="00C5516F" w:rsidP="00C85434">
            <w:pPr>
              <w:pStyle w:val="TABLETEXT1"/>
              <w:rPr>
                <w:lang w:val="en-US"/>
              </w:rPr>
            </w:pPr>
            <w:r>
              <w:rPr>
                <w:lang w:val="en-US"/>
              </w:rPr>
              <w:t>3.7</w:t>
            </w:r>
          </w:p>
        </w:tc>
        <w:tc>
          <w:tcPr>
            <w:tcW w:w="1506" w:type="dxa"/>
          </w:tcPr>
          <w:p w14:paraId="53A5E138" w14:textId="194072C4" w:rsidR="00C5516F" w:rsidRPr="00A21682" w:rsidRDefault="00C5516F" w:rsidP="00C85434">
            <w:pPr>
              <w:pStyle w:val="TABLETEXT1"/>
              <w:rPr>
                <w:lang w:val="en-US"/>
              </w:rPr>
            </w:pPr>
            <w:r>
              <w:rPr>
                <w:lang w:val="en-US"/>
              </w:rPr>
              <w:t>Allocate all prioritized requirements to an iteration/ bundle</w:t>
            </w:r>
          </w:p>
        </w:tc>
        <w:tc>
          <w:tcPr>
            <w:tcW w:w="1980" w:type="dxa"/>
          </w:tcPr>
          <w:p w14:paraId="1DBE0394" w14:textId="27D99B7B" w:rsidR="00C5516F" w:rsidRPr="00112F61" w:rsidRDefault="00C5516F" w:rsidP="00C85434">
            <w:pPr>
              <w:pStyle w:val="TABLETEXT1"/>
              <w:rPr>
                <w:lang w:val="en-US"/>
              </w:rPr>
            </w:pPr>
            <w:r>
              <w:rPr>
                <w:lang w:val="en-US"/>
              </w:rPr>
              <w:t>Assign SDLC iteration and bundle against each RTM (DEL-19) requirement</w:t>
            </w:r>
          </w:p>
        </w:tc>
        <w:tc>
          <w:tcPr>
            <w:tcW w:w="1644" w:type="dxa"/>
          </w:tcPr>
          <w:p w14:paraId="062A74F8" w14:textId="77777777" w:rsidR="00304F14" w:rsidRDefault="00C5516F" w:rsidP="00C85434">
            <w:pPr>
              <w:pStyle w:val="TABLEBULLETNEW"/>
            </w:pPr>
            <w:r>
              <w:t>Functional Stakeholders</w:t>
            </w:r>
          </w:p>
          <w:p w14:paraId="1D9BFD44" w14:textId="25D6052B" w:rsidR="00C5516F" w:rsidRPr="00635C9B" w:rsidRDefault="00C5516F" w:rsidP="00C85434">
            <w:pPr>
              <w:pStyle w:val="TABLEBULLETNEW"/>
            </w:pPr>
            <w:r>
              <w:t>Technical Stakeholders</w:t>
            </w:r>
          </w:p>
        </w:tc>
        <w:tc>
          <w:tcPr>
            <w:tcW w:w="1800" w:type="dxa"/>
          </w:tcPr>
          <w:p w14:paraId="044FCB89" w14:textId="017BF50D" w:rsidR="00C5516F" w:rsidRPr="00635C9B" w:rsidRDefault="0072426B" w:rsidP="00C85434">
            <w:pPr>
              <w:pStyle w:val="TABLEBULLETNEW"/>
            </w:pPr>
            <w:r>
              <w:t>Requirements Traceability Matrix (DEL-19)</w:t>
            </w:r>
          </w:p>
        </w:tc>
        <w:tc>
          <w:tcPr>
            <w:tcW w:w="1866" w:type="dxa"/>
          </w:tcPr>
          <w:p w14:paraId="043FF23B" w14:textId="5F1D612B" w:rsidR="00C5516F" w:rsidRPr="00635C9B" w:rsidRDefault="0072426B" w:rsidP="00C85434">
            <w:pPr>
              <w:pStyle w:val="TABLEBULLETNEW"/>
            </w:pPr>
            <w:r>
              <w:t>Requirements Traceability Matrix (DEL-19) with iteration and bundle mapping</w:t>
            </w:r>
          </w:p>
        </w:tc>
      </w:tr>
      <w:tr w:rsidR="00C5516F" w:rsidRPr="00A21682" w14:paraId="077F41AE" w14:textId="77777777" w:rsidTr="00047C4E">
        <w:trPr>
          <w:trHeight w:val="300"/>
        </w:trPr>
        <w:tc>
          <w:tcPr>
            <w:tcW w:w="622" w:type="dxa"/>
          </w:tcPr>
          <w:p w14:paraId="4063490A" w14:textId="77777777" w:rsidR="00C5516F" w:rsidRPr="00A21682" w:rsidRDefault="00C5516F" w:rsidP="00C85434">
            <w:pPr>
              <w:pStyle w:val="TABLETEXT1"/>
              <w:rPr>
                <w:lang w:val="en-US"/>
              </w:rPr>
            </w:pPr>
            <w:r>
              <w:rPr>
                <w:lang w:val="en-US"/>
              </w:rPr>
              <w:t>3.8</w:t>
            </w:r>
          </w:p>
        </w:tc>
        <w:tc>
          <w:tcPr>
            <w:tcW w:w="1506" w:type="dxa"/>
          </w:tcPr>
          <w:p w14:paraId="3BF5D123" w14:textId="6459141C" w:rsidR="00C5516F" w:rsidRPr="00A21682" w:rsidRDefault="00C5516F" w:rsidP="00C85434">
            <w:pPr>
              <w:pStyle w:val="TABLETEXT1"/>
              <w:rPr>
                <w:lang w:val="en-US"/>
              </w:rPr>
            </w:pPr>
            <w:r>
              <w:rPr>
                <w:lang w:val="en-US"/>
              </w:rPr>
              <w:t>Load prioritized requirements into the ALM tool</w:t>
            </w:r>
          </w:p>
        </w:tc>
        <w:tc>
          <w:tcPr>
            <w:tcW w:w="1980" w:type="dxa"/>
          </w:tcPr>
          <w:p w14:paraId="6064F0A6" w14:textId="53E712CF" w:rsidR="00C5516F" w:rsidRPr="00112F61" w:rsidRDefault="00C5516F" w:rsidP="00C85434">
            <w:pPr>
              <w:pStyle w:val="TABLETEXT1"/>
              <w:rPr>
                <w:lang w:val="en-US"/>
              </w:rPr>
            </w:pPr>
            <w:r>
              <w:rPr>
                <w:lang w:val="en-US"/>
              </w:rPr>
              <w:t>Load and sync approved and prioritized requirements for a Wave to maintain future traceability to design, development and SIT test cases</w:t>
            </w:r>
          </w:p>
        </w:tc>
        <w:tc>
          <w:tcPr>
            <w:tcW w:w="1644" w:type="dxa"/>
          </w:tcPr>
          <w:p w14:paraId="1B70EE58" w14:textId="77777777" w:rsidR="00C5516F" w:rsidRPr="00635C9B" w:rsidRDefault="00C5516F" w:rsidP="00C85434">
            <w:pPr>
              <w:pStyle w:val="TABLEBULLETNEW"/>
            </w:pPr>
            <w:r>
              <w:t>Functional Stakeholders</w:t>
            </w:r>
          </w:p>
        </w:tc>
        <w:tc>
          <w:tcPr>
            <w:tcW w:w="1800" w:type="dxa"/>
          </w:tcPr>
          <w:p w14:paraId="567457DF" w14:textId="083B65EC" w:rsidR="00C5516F" w:rsidRPr="00635C9B" w:rsidRDefault="0072426B" w:rsidP="00C85434">
            <w:pPr>
              <w:pStyle w:val="TABLEBULLETNEW"/>
            </w:pPr>
            <w:r>
              <w:t xml:space="preserve">Requirements Traceability Matrix (DEL-19) (in Excel) </w:t>
            </w:r>
          </w:p>
        </w:tc>
        <w:tc>
          <w:tcPr>
            <w:tcW w:w="1866" w:type="dxa"/>
          </w:tcPr>
          <w:p w14:paraId="485BDECD" w14:textId="35AF9DAB" w:rsidR="00C5516F" w:rsidRPr="00635C9B" w:rsidRDefault="00C5516F" w:rsidP="00C85434">
            <w:pPr>
              <w:pStyle w:val="TABLEBULLETNEW"/>
            </w:pPr>
            <w:r>
              <w:t xml:space="preserve">Requirements in the ALM tool </w:t>
            </w:r>
          </w:p>
        </w:tc>
      </w:tr>
      <w:tr w:rsidR="00C5516F" w:rsidRPr="00A21682" w14:paraId="25BCE378" w14:textId="77777777" w:rsidTr="00047C4E">
        <w:trPr>
          <w:trHeight w:val="300"/>
        </w:trPr>
        <w:tc>
          <w:tcPr>
            <w:tcW w:w="622" w:type="dxa"/>
          </w:tcPr>
          <w:p w14:paraId="38077692" w14:textId="77777777" w:rsidR="00C5516F" w:rsidRPr="00A21682" w:rsidRDefault="00C5516F" w:rsidP="00C85434">
            <w:pPr>
              <w:pStyle w:val="TABLETEXT1"/>
              <w:rPr>
                <w:lang w:val="en-US"/>
              </w:rPr>
            </w:pPr>
            <w:r>
              <w:rPr>
                <w:lang w:val="en-US"/>
              </w:rPr>
              <w:t>3.9</w:t>
            </w:r>
          </w:p>
        </w:tc>
        <w:tc>
          <w:tcPr>
            <w:tcW w:w="1506" w:type="dxa"/>
          </w:tcPr>
          <w:p w14:paraId="115C8806" w14:textId="6D3EB174" w:rsidR="00C5516F" w:rsidRPr="00A21682" w:rsidRDefault="00C5516F" w:rsidP="00C85434">
            <w:pPr>
              <w:pStyle w:val="TABLETEXT1"/>
              <w:rPr>
                <w:lang w:val="en-US"/>
              </w:rPr>
            </w:pPr>
            <w:r>
              <w:rPr>
                <w:lang w:val="en-US"/>
              </w:rPr>
              <w:t>Update the project Work Plan iteration/ bundle schedule</w:t>
            </w:r>
          </w:p>
        </w:tc>
        <w:tc>
          <w:tcPr>
            <w:tcW w:w="1980" w:type="dxa"/>
          </w:tcPr>
          <w:p w14:paraId="25DAFE83" w14:textId="61C81C31" w:rsidR="00C5516F" w:rsidRPr="00635C9B" w:rsidRDefault="00C5516F" w:rsidP="00C85434">
            <w:pPr>
              <w:pStyle w:val="TABLEBULLETNEW"/>
            </w:pPr>
            <w:r>
              <w:t>Update the project Work Plan to reflect iteration/bundle schedule, dependencies, and task owners</w:t>
            </w:r>
          </w:p>
          <w:p w14:paraId="5D62A122" w14:textId="77777777" w:rsidR="00C5516F" w:rsidRPr="00635C9B" w:rsidRDefault="00C5516F" w:rsidP="00C85434">
            <w:pPr>
              <w:pStyle w:val="TABLEBULLETNEW"/>
            </w:pPr>
            <w:r>
              <w:t>Finalize a solution roadmap and estimated cost of ownership based on approved and prioritized requirements</w:t>
            </w:r>
          </w:p>
        </w:tc>
        <w:tc>
          <w:tcPr>
            <w:tcW w:w="1644" w:type="dxa"/>
          </w:tcPr>
          <w:p w14:paraId="2BCC8260" w14:textId="77777777" w:rsidR="00C5516F" w:rsidRPr="00635C9B" w:rsidRDefault="00C5516F" w:rsidP="00C85434">
            <w:pPr>
              <w:pStyle w:val="TABLEBULLETNEW"/>
            </w:pPr>
            <w:r>
              <w:t>Functional Stakeholders</w:t>
            </w:r>
          </w:p>
        </w:tc>
        <w:tc>
          <w:tcPr>
            <w:tcW w:w="1800" w:type="dxa"/>
          </w:tcPr>
          <w:p w14:paraId="5FB25B5D" w14:textId="61163B8B" w:rsidR="00C5516F" w:rsidRPr="00635C9B" w:rsidRDefault="00C5516F" w:rsidP="00C85434">
            <w:pPr>
              <w:pStyle w:val="TABLEBULLETNEW"/>
            </w:pPr>
            <w:r>
              <w:t>High-level Iteration/ Bundle Plan for the Wave</w:t>
            </w:r>
          </w:p>
        </w:tc>
        <w:tc>
          <w:tcPr>
            <w:tcW w:w="1866" w:type="dxa"/>
          </w:tcPr>
          <w:p w14:paraId="5867EB5B" w14:textId="67721423" w:rsidR="00C5516F" w:rsidRPr="00635C9B" w:rsidRDefault="00C5516F" w:rsidP="00C85434">
            <w:pPr>
              <w:pStyle w:val="TABLEBULLETNEW"/>
            </w:pPr>
            <w:r>
              <w:t>Updated Project Work Plan</w:t>
            </w:r>
          </w:p>
        </w:tc>
      </w:tr>
    </w:tbl>
    <w:p w14:paraId="5A6F2B2A" w14:textId="2E30D7AC" w:rsidR="00C5516F" w:rsidRPr="00A21682" w:rsidRDefault="00C5516F" w:rsidP="005911DA">
      <w:pPr>
        <w:pStyle w:val="Caption"/>
        <w:rPr>
          <w:noProof w:val="0"/>
        </w:rPr>
      </w:pPr>
      <w:bookmarkStart w:id="351" w:name="_Toc150951872"/>
      <w:bookmarkStart w:id="352" w:name="_Toc19287509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14</w:t>
      </w:r>
      <w:r>
        <w:rPr>
          <w:noProof w:val="0"/>
        </w:rPr>
        <w:fldChar w:fldCharType="end"/>
      </w:r>
      <w:r>
        <w:rPr>
          <w:noProof w:val="0"/>
        </w:rPr>
        <w:t>: Prioritization and Iteration/Bundle Planning Phase Process Flow Narrative</w:t>
      </w:r>
      <w:bookmarkEnd w:id="351"/>
      <w:bookmarkEnd w:id="352"/>
    </w:p>
    <w:p w14:paraId="75D7C96A" w14:textId="77777777" w:rsidR="00C5516F" w:rsidRPr="00A21682" w:rsidRDefault="00C5516F">
      <w:pPr>
        <w:pStyle w:val="Heading3"/>
        <w:rPr>
          <w:bCs/>
          <w:u w:color="000000"/>
        </w:rPr>
      </w:pPr>
      <w:bookmarkStart w:id="353" w:name="_Toc148102330"/>
      <w:bookmarkStart w:id="354" w:name="_Toc152605814"/>
      <w:bookmarkStart w:id="355" w:name="_Toc177118956"/>
      <w:bookmarkStart w:id="356" w:name="_Toc185952511"/>
      <w:bookmarkStart w:id="357" w:name="_Toc192874685"/>
      <w:r>
        <w:rPr>
          <w:u w:color="000000"/>
        </w:rPr>
        <w:t>Roles and Responsibilities</w:t>
      </w:r>
      <w:bookmarkEnd w:id="353"/>
      <w:bookmarkEnd w:id="354"/>
      <w:bookmarkEnd w:id="355"/>
      <w:bookmarkEnd w:id="356"/>
      <w:bookmarkEnd w:id="357"/>
    </w:p>
    <w:p w14:paraId="56F1E0AA" w14:textId="77777777" w:rsidR="009C4682" w:rsidRPr="00A21682" w:rsidRDefault="009C4682" w:rsidP="009C4682">
      <w:pPr>
        <w:pStyle w:val="NormalNEW"/>
        <w:rPr>
          <w:u w:color="000000"/>
          <w:lang w:val="en-US"/>
        </w:rPr>
      </w:pPr>
      <w:bookmarkStart w:id="358" w:name="_Toc148102331"/>
      <w:bookmarkStart w:id="359" w:name="_Toc152605815"/>
      <w:r>
        <w:rPr>
          <w:u w:color="000000"/>
          <w:lang w:val="en-US"/>
        </w:rPr>
        <w:t xml:space="preserve">The SDLC RACI Matrix and roles and responsibilities can be found in Appendix C-1. </w:t>
      </w:r>
    </w:p>
    <w:p w14:paraId="51E67B11" w14:textId="77777777" w:rsidR="00C5516F" w:rsidRPr="00A21682" w:rsidRDefault="00C5516F">
      <w:pPr>
        <w:pStyle w:val="Heading3"/>
        <w:rPr>
          <w:u w:color="000000"/>
        </w:rPr>
      </w:pPr>
      <w:bookmarkStart w:id="360" w:name="_Toc177118957"/>
      <w:bookmarkStart w:id="361" w:name="_Toc185952512"/>
      <w:bookmarkStart w:id="362" w:name="_Toc192874686"/>
      <w:r>
        <w:rPr>
          <w:u w:color="000000"/>
        </w:rPr>
        <w:t>Phase Exit Criteria</w:t>
      </w:r>
      <w:bookmarkEnd w:id="358"/>
      <w:bookmarkEnd w:id="359"/>
      <w:bookmarkEnd w:id="360"/>
      <w:bookmarkEnd w:id="361"/>
      <w:bookmarkEnd w:id="362"/>
    </w:p>
    <w:p w14:paraId="0A3E5EE5" w14:textId="77777777" w:rsidR="00601951" w:rsidRPr="00A21682" w:rsidRDefault="00601951" w:rsidP="00601951">
      <w:pPr>
        <w:pStyle w:val="NormalNEW"/>
        <w:rPr>
          <w:lang w:val="en-US"/>
        </w:rPr>
      </w:pPr>
      <w:r>
        <w:rPr>
          <w:lang w:val="en-US"/>
        </w:rPr>
        <w:t xml:space="preserve">Key stakeholders from ███████ and DOH identified in the RACI matrix as Accountable or Responsible will collectively agree on the conclusion of the current phase and the commencement of the next phase. The ███████ owner, as designated in the RACI matrix, provides a comprehensive status </w:t>
      </w:r>
      <w:r>
        <w:rPr>
          <w:lang w:val="en-US"/>
        </w:rPr>
        <w:lastRenderedPageBreak/>
        <w:t>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813FF4" w:rsidRPr="00A21682" w14:paraId="2BCF455B" w14:textId="77777777" w:rsidTr="00C968EF">
        <w:trPr>
          <w:trHeight w:val="300"/>
        </w:trPr>
        <w:tc>
          <w:tcPr>
            <w:tcW w:w="481" w:type="dxa"/>
            <w:tcBorders>
              <w:right w:val="single" w:sz="2" w:space="0" w:color="FFFFFF" w:themeColor="background1"/>
            </w:tcBorders>
            <w:shd w:val="clear" w:color="auto" w:fill="000000" w:themeFill="text1"/>
          </w:tcPr>
          <w:p w14:paraId="6F373CAD" w14:textId="062B7572" w:rsidR="00813FF4" w:rsidRPr="00A21682" w:rsidRDefault="00813FF4" w:rsidP="00813FF4">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themeFill="text1"/>
          </w:tcPr>
          <w:p w14:paraId="351FADD0" w14:textId="42845F5D" w:rsidR="00813FF4" w:rsidRPr="00A21682" w:rsidRDefault="00813FF4" w:rsidP="00813FF4">
            <w:pPr>
              <w:pStyle w:val="TABLEHEADINGNEW"/>
            </w:pPr>
            <w:r>
              <w:t>Exit Criteria</w:t>
            </w:r>
          </w:p>
        </w:tc>
        <w:tc>
          <w:tcPr>
            <w:tcW w:w="4300" w:type="dxa"/>
            <w:tcBorders>
              <w:left w:val="single" w:sz="2" w:space="0" w:color="FFFFFF" w:themeColor="background1"/>
            </w:tcBorders>
            <w:shd w:val="clear" w:color="auto" w:fill="000000" w:themeFill="text1"/>
          </w:tcPr>
          <w:p w14:paraId="1B5BCCDF" w14:textId="67E35105" w:rsidR="00813FF4" w:rsidRPr="00A21682" w:rsidRDefault="00813FF4" w:rsidP="00813FF4">
            <w:pPr>
              <w:pStyle w:val="TABLEHEADINGNEW"/>
            </w:pPr>
            <w:r>
              <w:t>Related Document(s)/Artifact(s)</w:t>
            </w:r>
          </w:p>
        </w:tc>
      </w:tr>
      <w:tr w:rsidR="00C5516F" w:rsidRPr="00A21682" w14:paraId="58E4E59F" w14:textId="77777777" w:rsidTr="004373B7">
        <w:trPr>
          <w:trHeight w:val="300"/>
        </w:trPr>
        <w:tc>
          <w:tcPr>
            <w:tcW w:w="481" w:type="dxa"/>
            <w:hideMark/>
          </w:tcPr>
          <w:p w14:paraId="38C77A1C" w14:textId="77777777" w:rsidR="00C5516F" w:rsidRPr="00A21682" w:rsidRDefault="00C5516F" w:rsidP="004373B7">
            <w:pPr>
              <w:pStyle w:val="TABLETEXT1"/>
              <w:rPr>
                <w:lang w:val="en-US"/>
              </w:rPr>
            </w:pPr>
            <w:r>
              <w:rPr>
                <w:lang w:val="en-US"/>
              </w:rPr>
              <w:t>1 </w:t>
            </w:r>
          </w:p>
        </w:tc>
        <w:tc>
          <w:tcPr>
            <w:tcW w:w="4563" w:type="dxa"/>
          </w:tcPr>
          <w:p w14:paraId="57A4626E" w14:textId="77777777" w:rsidR="00C5516F" w:rsidRPr="00A21682" w:rsidRDefault="00C5516F" w:rsidP="004373B7">
            <w:pPr>
              <w:pStyle w:val="TABLETEXT1"/>
              <w:rPr>
                <w:lang w:val="en-US"/>
              </w:rPr>
            </w:pPr>
            <w:r>
              <w:rPr>
                <w:lang w:val="en-US"/>
              </w:rPr>
              <w:t>Requirements are approved and assigned to a Wave (or deferred)</w:t>
            </w:r>
          </w:p>
        </w:tc>
        <w:tc>
          <w:tcPr>
            <w:tcW w:w="4300" w:type="dxa"/>
          </w:tcPr>
          <w:p w14:paraId="58610321" w14:textId="09532EB4" w:rsidR="00C5516F" w:rsidRPr="00635C9B" w:rsidRDefault="00C5516F" w:rsidP="00112F61">
            <w:pPr>
              <w:pStyle w:val="TABLEBULLETNEW"/>
            </w:pPr>
            <w:r>
              <w:t>Requirements Specification Document (DEL-18)</w:t>
            </w:r>
          </w:p>
          <w:p w14:paraId="1CC1FBC8" w14:textId="1843CC51" w:rsidR="00C5516F" w:rsidRPr="00635C9B" w:rsidRDefault="00C5516F" w:rsidP="00112F61">
            <w:pPr>
              <w:pStyle w:val="TABLEBULLETNEW"/>
            </w:pPr>
            <w:r>
              <w:t>Requirements Traceability Matrix (DEL-19) including Wave assignment</w:t>
            </w:r>
          </w:p>
        </w:tc>
      </w:tr>
      <w:tr w:rsidR="00C5516F" w:rsidRPr="00A21682" w14:paraId="0C8BAB1E" w14:textId="77777777" w:rsidTr="004373B7">
        <w:trPr>
          <w:trHeight w:val="300"/>
        </w:trPr>
        <w:tc>
          <w:tcPr>
            <w:tcW w:w="481" w:type="dxa"/>
          </w:tcPr>
          <w:p w14:paraId="6049E6EB" w14:textId="77777777" w:rsidR="00C5516F" w:rsidRPr="00A21682" w:rsidRDefault="00C5516F" w:rsidP="004373B7">
            <w:pPr>
              <w:pStyle w:val="TABLETEXT1"/>
              <w:rPr>
                <w:lang w:val="en-US"/>
              </w:rPr>
            </w:pPr>
            <w:r>
              <w:rPr>
                <w:lang w:val="en-US"/>
              </w:rPr>
              <w:t>2</w:t>
            </w:r>
          </w:p>
        </w:tc>
        <w:tc>
          <w:tcPr>
            <w:tcW w:w="4563" w:type="dxa"/>
          </w:tcPr>
          <w:p w14:paraId="0E2C9D44" w14:textId="13972730" w:rsidR="00C5516F" w:rsidRPr="00A21682" w:rsidRDefault="00C5516F" w:rsidP="004373B7">
            <w:pPr>
              <w:pStyle w:val="TABLETEXT1"/>
              <w:rPr>
                <w:lang w:val="en-US"/>
              </w:rPr>
            </w:pPr>
            <w:r>
              <w:rPr>
                <w:lang w:val="en-US"/>
              </w:rPr>
              <w:t>The project Work Plan is updated to reflect the iteration and bundle schedule</w:t>
            </w:r>
          </w:p>
        </w:tc>
        <w:tc>
          <w:tcPr>
            <w:tcW w:w="4300" w:type="dxa"/>
          </w:tcPr>
          <w:p w14:paraId="6099EFA6" w14:textId="7CA523DE" w:rsidR="00C5516F" w:rsidRPr="00635C9B" w:rsidRDefault="00C5516F" w:rsidP="00112F61">
            <w:pPr>
              <w:pStyle w:val="TABLEBULLETNEW"/>
            </w:pPr>
            <w:r>
              <w:t>Baselined Work Plan and Project Schedule (DEL-06)</w:t>
            </w:r>
          </w:p>
        </w:tc>
      </w:tr>
      <w:tr w:rsidR="00C5516F" w:rsidRPr="00A21682" w14:paraId="0E7CF082" w14:textId="77777777" w:rsidTr="004373B7">
        <w:trPr>
          <w:trHeight w:val="300"/>
        </w:trPr>
        <w:tc>
          <w:tcPr>
            <w:tcW w:w="481" w:type="dxa"/>
          </w:tcPr>
          <w:p w14:paraId="65306262" w14:textId="77777777" w:rsidR="00C5516F" w:rsidRPr="00A21682" w:rsidRDefault="00C5516F" w:rsidP="004373B7">
            <w:pPr>
              <w:pStyle w:val="TABLETEXT1"/>
              <w:rPr>
                <w:lang w:val="en-US"/>
              </w:rPr>
            </w:pPr>
            <w:r>
              <w:rPr>
                <w:lang w:val="en-US"/>
              </w:rPr>
              <w:t>3</w:t>
            </w:r>
          </w:p>
        </w:tc>
        <w:tc>
          <w:tcPr>
            <w:tcW w:w="4563" w:type="dxa"/>
          </w:tcPr>
          <w:p w14:paraId="0C3B2431" w14:textId="0B223A1D" w:rsidR="00C5516F" w:rsidRPr="00A21682" w:rsidRDefault="00C5516F" w:rsidP="004373B7">
            <w:pPr>
              <w:pStyle w:val="TABLETEXT1"/>
              <w:rPr>
                <w:lang w:val="en-US"/>
              </w:rPr>
            </w:pPr>
            <w:r>
              <w:rPr>
                <w:lang w:val="en-US"/>
              </w:rPr>
              <w:t>An ISOW is drafted for the Wave iterations and bundles</w:t>
            </w:r>
          </w:p>
        </w:tc>
        <w:tc>
          <w:tcPr>
            <w:tcW w:w="4300" w:type="dxa"/>
          </w:tcPr>
          <w:p w14:paraId="53E8366E" w14:textId="77777777" w:rsidR="00C5516F" w:rsidRPr="00635C9B" w:rsidRDefault="00C5516F" w:rsidP="00112F61">
            <w:pPr>
              <w:pStyle w:val="TABLEBULLETNEW"/>
            </w:pPr>
            <w:r>
              <w:t>Master ISOW Integrated Project Schedule</w:t>
            </w:r>
          </w:p>
        </w:tc>
      </w:tr>
    </w:tbl>
    <w:p w14:paraId="6A2356D5" w14:textId="4D5E443E" w:rsidR="00C5516F" w:rsidRPr="00A21682" w:rsidRDefault="00C5516F" w:rsidP="005911DA">
      <w:pPr>
        <w:pStyle w:val="Caption"/>
        <w:rPr>
          <w:noProof w:val="0"/>
        </w:rPr>
      </w:pPr>
      <w:bookmarkStart w:id="363" w:name="_Toc150951873"/>
      <w:bookmarkStart w:id="364" w:name="_Toc19287510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15</w:t>
      </w:r>
      <w:r>
        <w:rPr>
          <w:noProof w:val="0"/>
        </w:rPr>
        <w:fldChar w:fldCharType="end"/>
      </w:r>
      <w:r>
        <w:rPr>
          <w:noProof w:val="0"/>
        </w:rPr>
        <w:t>: Prioritization and Iteration/Bundle Planning Phase Exit Criteria</w:t>
      </w:r>
      <w:bookmarkEnd w:id="363"/>
      <w:bookmarkEnd w:id="364"/>
    </w:p>
    <w:p w14:paraId="39EF5DAF" w14:textId="5FA5B2EF" w:rsidR="00C5516F" w:rsidRPr="00A21682" w:rsidRDefault="00C5516F">
      <w:pPr>
        <w:pStyle w:val="Heading3"/>
        <w:rPr>
          <w:u w:color="000000"/>
        </w:rPr>
      </w:pPr>
      <w:bookmarkStart w:id="365" w:name="_Toc148102332"/>
      <w:bookmarkStart w:id="366" w:name="_Toc152605816"/>
      <w:bookmarkStart w:id="367" w:name="_Toc177118958"/>
      <w:bookmarkStart w:id="368" w:name="_Toc185952513"/>
      <w:bookmarkStart w:id="369" w:name="_Toc192874687"/>
      <w:r>
        <w:rPr>
          <w:u w:color="000000"/>
        </w:rPr>
        <w:t xml:space="preserve">Supporting </w:t>
      </w:r>
      <w:r>
        <w:t>Application Lifecycle Management (</w:t>
      </w:r>
      <w:r>
        <w:rPr>
          <w:u w:color="000000"/>
        </w:rPr>
        <w:t>ALM) Tools</w:t>
      </w:r>
      <w:bookmarkEnd w:id="365"/>
      <w:bookmarkEnd w:id="366"/>
      <w:bookmarkEnd w:id="367"/>
      <w:bookmarkEnd w:id="368"/>
      <w:bookmarkEnd w:id="369"/>
    </w:p>
    <w:p w14:paraId="2EE9CFD4" w14:textId="2E9AA5F3" w:rsidR="00C5516F" w:rsidRPr="00A21682" w:rsidRDefault="00C5516F" w:rsidP="00811A30">
      <w:pPr>
        <w:pStyle w:val="NormalNEW"/>
        <w:rPr>
          <w:u w:color="000000"/>
          <w:lang w:val="en-US"/>
        </w:rPr>
      </w:pPr>
      <w:r>
        <w:rPr>
          <w:u w:color="000000"/>
          <w:lang w:val="en-US"/>
        </w:rPr>
        <w:t>During the Prioritization and Iteration/Bundle Planning phase, the primary purpose of ALM tools is to coordinate feedback on the RSD and RTM, conduct and document results of joint prioritization sessions, and assess and adjust present scope, timeline and / or budget changes relative to prioritized requirements.</w:t>
      </w:r>
    </w:p>
    <w:p w14:paraId="7A0D6077" w14:textId="27EC0B30" w:rsidR="00C5516F" w:rsidRPr="00A21682" w:rsidRDefault="00C5516F" w:rsidP="00811A30">
      <w:pPr>
        <w:pStyle w:val="NormalNEW"/>
        <w:rPr>
          <w:u w:color="000000"/>
          <w:lang w:val="en-US"/>
        </w:rPr>
      </w:pPr>
      <w:r>
        <w:rPr>
          <w:u w:color="000000"/>
          <w:lang w:val="en-US"/>
        </w:rPr>
        <w:t>Workflows pertaining to the Prioritization and Iteration/Bundle Planning phase:</w:t>
      </w:r>
    </w:p>
    <w:p w14:paraId="6E3AB79A" w14:textId="12591C65" w:rsidR="00C5516F" w:rsidRPr="00A21682" w:rsidRDefault="003D03FC" w:rsidP="0031550A">
      <w:pPr>
        <w:pStyle w:val="BulletNEW"/>
        <w:rPr>
          <w:u w:color="000000"/>
        </w:rPr>
      </w:pPr>
      <w:r>
        <w:rPr>
          <w:u w:color="000000"/>
        </w:rPr>
        <w:t>The requirements management tool Requirements Traceability workflow (refer to Section 2.34 the requirements management tool)</w:t>
      </w:r>
    </w:p>
    <w:p w14:paraId="5DA2913E" w14:textId="6F91128F" w:rsidR="00C5516F" w:rsidRPr="00A21682" w:rsidRDefault="00C5516F" w:rsidP="0031550A">
      <w:pPr>
        <w:pStyle w:val="BulletNEW"/>
        <w:rPr>
          <w:u w:color="000000"/>
        </w:rPr>
      </w:pPr>
      <w:r>
        <w:rPr>
          <w:u w:color="000000"/>
        </w:rPr>
        <w:t>The ALM tool Design workflow (refer to Section 2.20 the ALM tool)</w:t>
      </w:r>
    </w:p>
    <w:p w14:paraId="79367484" w14:textId="77777777" w:rsidR="00C5516F" w:rsidRPr="00A21682" w:rsidRDefault="00C5516F">
      <w:pPr>
        <w:pStyle w:val="Heading2"/>
        <w:rPr>
          <w:u w:color="000000"/>
        </w:rPr>
      </w:pPr>
      <w:bookmarkStart w:id="370" w:name="_Toc148102333"/>
      <w:bookmarkStart w:id="371" w:name="_Toc152605817"/>
      <w:bookmarkStart w:id="372" w:name="_Toc177118959"/>
      <w:bookmarkStart w:id="373" w:name="_Toc185952514"/>
      <w:bookmarkStart w:id="374" w:name="_Toc192874688"/>
      <w:r>
        <w:rPr>
          <w:u w:color="000000"/>
        </w:rPr>
        <w:t>Design Phase</w:t>
      </w:r>
      <w:bookmarkEnd w:id="370"/>
      <w:bookmarkEnd w:id="371"/>
      <w:bookmarkEnd w:id="372"/>
      <w:bookmarkEnd w:id="373"/>
      <w:bookmarkEnd w:id="374"/>
    </w:p>
    <w:p w14:paraId="3920E6E9" w14:textId="5C9D8473" w:rsidR="00C5516F" w:rsidRPr="00A21682" w:rsidRDefault="00C5516F" w:rsidP="00811A30">
      <w:pPr>
        <w:pStyle w:val="NormalNEW"/>
        <w:rPr>
          <w:u w:color="000000"/>
          <w:lang w:val="en-US"/>
        </w:rPr>
      </w:pPr>
      <w:r>
        <w:rPr>
          <w:u w:color="000000"/>
          <w:lang w:val="en-US"/>
        </w:rPr>
        <w:t xml:space="preserve">The design phase defines the specifications for the MECM solution for a set of system requirements within a Wave and iteration/bundle and answers the question of how the solution will work. This is addressed both for functional and non-functional system requirements. </w:t>
      </w:r>
    </w:p>
    <w:p w14:paraId="3E475555" w14:textId="77777777" w:rsidR="00C5516F" w:rsidRPr="00A21682" w:rsidRDefault="00C5516F">
      <w:pPr>
        <w:pStyle w:val="Heading3"/>
        <w:rPr>
          <w:bCs/>
          <w:u w:color="000000"/>
        </w:rPr>
      </w:pPr>
      <w:bookmarkStart w:id="375" w:name="_Toc143516889"/>
      <w:bookmarkStart w:id="376" w:name="_Toc143516890"/>
      <w:bookmarkStart w:id="377" w:name="_Toc148102334"/>
      <w:bookmarkStart w:id="378" w:name="_Toc152605818"/>
      <w:bookmarkStart w:id="379" w:name="_Toc177118960"/>
      <w:bookmarkStart w:id="380" w:name="_Toc185952515"/>
      <w:bookmarkStart w:id="381" w:name="_Toc192874689"/>
      <w:bookmarkEnd w:id="375"/>
      <w:bookmarkEnd w:id="376"/>
      <w:r>
        <w:rPr>
          <w:u w:color="000000"/>
        </w:rPr>
        <w:t>Phase Entry Criteria</w:t>
      </w:r>
      <w:bookmarkEnd w:id="377"/>
      <w:bookmarkEnd w:id="378"/>
      <w:bookmarkEnd w:id="379"/>
      <w:bookmarkEnd w:id="380"/>
      <w:bookmarkEnd w:id="381"/>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316C503F" w14:textId="77777777" w:rsidTr="008B51B8">
        <w:trPr>
          <w:trHeight w:val="300"/>
          <w:tblHeader/>
        </w:trPr>
        <w:tc>
          <w:tcPr>
            <w:tcW w:w="481" w:type="dxa"/>
            <w:tcBorders>
              <w:right w:val="single" w:sz="2" w:space="0" w:color="FFFFFF" w:themeColor="background1"/>
            </w:tcBorders>
            <w:shd w:val="clear" w:color="auto" w:fill="000000"/>
            <w:hideMark/>
          </w:tcPr>
          <w:p w14:paraId="38B19414" w14:textId="77777777" w:rsidR="00C5516F" w:rsidRPr="00A21682" w:rsidRDefault="00C5516F" w:rsidP="004373B7">
            <w:pPr>
              <w:pStyle w:val="TABLEHEADINGNEW"/>
              <w:rPr>
                <w:rFonts w:ascii="Segoe UI" w:hAnsi="Segoe UI" w:cs="Segoe UI"/>
                <w:color w:val="000000"/>
                <w:u w:color="000000"/>
              </w:rPr>
            </w:pPr>
            <w:r>
              <w:rPr>
                <w:u w:color="000000"/>
              </w:rPr>
              <w:t>#</w:t>
            </w:r>
          </w:p>
        </w:tc>
        <w:tc>
          <w:tcPr>
            <w:tcW w:w="4563" w:type="dxa"/>
            <w:tcBorders>
              <w:left w:val="single" w:sz="2" w:space="0" w:color="FFFFFF" w:themeColor="background1"/>
              <w:right w:val="single" w:sz="2" w:space="0" w:color="FFFFFF" w:themeColor="background1"/>
            </w:tcBorders>
            <w:shd w:val="clear" w:color="auto" w:fill="000000"/>
            <w:hideMark/>
          </w:tcPr>
          <w:p w14:paraId="0F8A9FBB" w14:textId="77777777" w:rsidR="00C5516F" w:rsidRPr="00A21682" w:rsidRDefault="00C5516F" w:rsidP="004373B7">
            <w:pPr>
              <w:pStyle w:val="TABLEHEADINGNEW"/>
              <w:rPr>
                <w:rFonts w:ascii="Segoe UI" w:hAnsi="Segoe UI" w:cs="Segoe UI"/>
                <w:color w:val="000000"/>
                <w:u w:color="000000"/>
              </w:rPr>
            </w:pPr>
            <w:r>
              <w:rPr>
                <w:u w:color="000000"/>
              </w:rPr>
              <w:t>Entry Criteria</w:t>
            </w:r>
          </w:p>
        </w:tc>
        <w:tc>
          <w:tcPr>
            <w:tcW w:w="4300" w:type="dxa"/>
            <w:tcBorders>
              <w:left w:val="single" w:sz="2" w:space="0" w:color="FFFFFF" w:themeColor="background1"/>
            </w:tcBorders>
            <w:shd w:val="clear" w:color="auto" w:fill="000000"/>
          </w:tcPr>
          <w:p w14:paraId="541E81F4" w14:textId="77777777" w:rsidR="00C5516F" w:rsidRPr="00A21682" w:rsidRDefault="00C5516F" w:rsidP="004373B7">
            <w:pPr>
              <w:pStyle w:val="TABLEHEADINGNEW"/>
              <w:rPr>
                <w:u w:color="000000"/>
              </w:rPr>
            </w:pPr>
            <w:r>
              <w:rPr>
                <w:u w:color="000000"/>
              </w:rPr>
              <w:t>Related Document(s)/Artifact(s)</w:t>
            </w:r>
          </w:p>
        </w:tc>
      </w:tr>
      <w:tr w:rsidR="00C5516F" w:rsidRPr="00A21682" w14:paraId="0A6F09EF" w14:textId="77777777" w:rsidTr="004373B7">
        <w:trPr>
          <w:trHeight w:val="300"/>
        </w:trPr>
        <w:tc>
          <w:tcPr>
            <w:tcW w:w="481" w:type="dxa"/>
            <w:hideMark/>
          </w:tcPr>
          <w:p w14:paraId="234F5C3A" w14:textId="77777777" w:rsidR="00C5516F" w:rsidRPr="00A21682" w:rsidRDefault="00C5516F" w:rsidP="004373B7">
            <w:pPr>
              <w:pStyle w:val="TABLETEXT1"/>
              <w:rPr>
                <w:u w:color="000000"/>
                <w:lang w:val="en-US"/>
              </w:rPr>
            </w:pPr>
            <w:r>
              <w:rPr>
                <w:u w:color="000000"/>
                <w:lang w:val="en-US"/>
              </w:rPr>
              <w:t>1 </w:t>
            </w:r>
          </w:p>
        </w:tc>
        <w:tc>
          <w:tcPr>
            <w:tcW w:w="4563" w:type="dxa"/>
          </w:tcPr>
          <w:p w14:paraId="3691E0A8" w14:textId="5057C17D" w:rsidR="00C5516F" w:rsidRPr="00A21682" w:rsidRDefault="00C5516F" w:rsidP="004373B7">
            <w:pPr>
              <w:pStyle w:val="TABLETEXT1"/>
              <w:rPr>
                <w:u w:color="000000"/>
                <w:lang w:val="en-US"/>
              </w:rPr>
            </w:pPr>
            <w:r>
              <w:rPr>
                <w:u w:color="000000"/>
                <w:lang w:val="en-US"/>
              </w:rPr>
              <w:t>The requirements are approved for design to begin</w:t>
            </w:r>
          </w:p>
        </w:tc>
        <w:tc>
          <w:tcPr>
            <w:tcW w:w="4300" w:type="dxa"/>
          </w:tcPr>
          <w:p w14:paraId="156460BB" w14:textId="6AB22151" w:rsidR="00C5516F" w:rsidRPr="00960FF2" w:rsidRDefault="00C5516F" w:rsidP="00112F61">
            <w:pPr>
              <w:pStyle w:val="TABLEBULLETNEW"/>
            </w:pPr>
            <w:r>
              <w:t>Requirements Specification Document (DEL-18)</w:t>
            </w:r>
          </w:p>
          <w:p w14:paraId="46DF954A" w14:textId="7262F2FE" w:rsidR="00C5516F" w:rsidRPr="00960FF2" w:rsidRDefault="00C5516F" w:rsidP="00112F61">
            <w:pPr>
              <w:pStyle w:val="TABLEBULLETNEW"/>
            </w:pPr>
            <w:r>
              <w:t>Requirements Traceability Matrix (DEL-19) including Wave assignment serves as inventory</w:t>
            </w:r>
          </w:p>
        </w:tc>
      </w:tr>
      <w:tr w:rsidR="00C5516F" w:rsidRPr="00A21682" w14:paraId="32660B01" w14:textId="77777777" w:rsidTr="004373B7">
        <w:trPr>
          <w:trHeight w:val="300"/>
        </w:trPr>
        <w:tc>
          <w:tcPr>
            <w:tcW w:w="481" w:type="dxa"/>
          </w:tcPr>
          <w:p w14:paraId="60DCC554" w14:textId="77777777" w:rsidR="00C5516F" w:rsidRPr="00A21682" w:rsidRDefault="00C5516F" w:rsidP="004373B7">
            <w:pPr>
              <w:pStyle w:val="TABLETEXT1"/>
              <w:rPr>
                <w:u w:color="000000"/>
                <w:lang w:val="en-US"/>
              </w:rPr>
            </w:pPr>
            <w:r>
              <w:rPr>
                <w:u w:color="000000"/>
                <w:lang w:val="en-US"/>
              </w:rPr>
              <w:t>2</w:t>
            </w:r>
          </w:p>
        </w:tc>
        <w:tc>
          <w:tcPr>
            <w:tcW w:w="4563" w:type="dxa"/>
          </w:tcPr>
          <w:p w14:paraId="108B0781" w14:textId="182821EE" w:rsidR="00C5516F" w:rsidRPr="00A21682" w:rsidRDefault="00C5516F" w:rsidP="004373B7">
            <w:pPr>
              <w:pStyle w:val="TABLETEXT1"/>
              <w:rPr>
                <w:u w:color="000000"/>
                <w:lang w:val="en-US"/>
              </w:rPr>
            </w:pPr>
            <w:r>
              <w:rPr>
                <w:u w:color="000000"/>
                <w:lang w:val="en-US"/>
              </w:rPr>
              <w:t>Design plan and design schedule is drafted and shared with DOH OHIP</w:t>
            </w:r>
          </w:p>
        </w:tc>
        <w:tc>
          <w:tcPr>
            <w:tcW w:w="4300" w:type="dxa"/>
          </w:tcPr>
          <w:p w14:paraId="40AB8720" w14:textId="09E157A2" w:rsidR="00C5516F" w:rsidRPr="00960FF2" w:rsidRDefault="00C5516F" w:rsidP="00112F61">
            <w:pPr>
              <w:pStyle w:val="TABLEBULLETNEW"/>
            </w:pPr>
            <w:r>
              <w:t>Baselined Work Plan and Schedule (DEL-06)</w:t>
            </w:r>
          </w:p>
          <w:p w14:paraId="0F6BB75C" w14:textId="77777777" w:rsidR="00C5516F" w:rsidRPr="00960FF2" w:rsidRDefault="00C5516F" w:rsidP="00112F61">
            <w:pPr>
              <w:pStyle w:val="TABLEBULLETNEW"/>
            </w:pPr>
            <w:r>
              <w:t>Design Calendar and Schedule</w:t>
            </w:r>
          </w:p>
        </w:tc>
      </w:tr>
      <w:tr w:rsidR="00C5516F" w:rsidRPr="00A21682" w14:paraId="6647C2A3" w14:textId="77777777" w:rsidTr="004373B7">
        <w:trPr>
          <w:trHeight w:val="300"/>
        </w:trPr>
        <w:tc>
          <w:tcPr>
            <w:tcW w:w="481" w:type="dxa"/>
          </w:tcPr>
          <w:p w14:paraId="0FC10340" w14:textId="77777777" w:rsidR="00C5516F" w:rsidRPr="00A21682" w:rsidRDefault="00C5516F" w:rsidP="004373B7">
            <w:pPr>
              <w:pStyle w:val="TABLETEXT1"/>
              <w:rPr>
                <w:u w:color="000000"/>
                <w:lang w:val="en-US"/>
              </w:rPr>
            </w:pPr>
            <w:r>
              <w:rPr>
                <w:u w:color="000000"/>
                <w:lang w:val="en-US"/>
              </w:rPr>
              <w:t>3</w:t>
            </w:r>
          </w:p>
        </w:tc>
        <w:tc>
          <w:tcPr>
            <w:tcW w:w="4563" w:type="dxa"/>
          </w:tcPr>
          <w:p w14:paraId="7AA67893" w14:textId="7253A3E6" w:rsidR="00C5516F" w:rsidRPr="00A21682" w:rsidRDefault="00C5516F" w:rsidP="004373B7">
            <w:pPr>
              <w:pStyle w:val="TABLETEXT1"/>
              <w:rPr>
                <w:rFonts w:cs="Times New Roman"/>
                <w:u w:color="000000"/>
                <w:lang w:val="en-US"/>
              </w:rPr>
            </w:pPr>
            <w:r>
              <w:rPr>
                <w:rFonts w:cs="Times New Roman"/>
                <w:u w:color="000000"/>
                <w:lang w:val="en-US"/>
              </w:rPr>
              <w:t xml:space="preserve">An ISOW is executed for the Wave iterations / bundles </w:t>
            </w:r>
          </w:p>
        </w:tc>
        <w:tc>
          <w:tcPr>
            <w:tcW w:w="4300" w:type="dxa"/>
          </w:tcPr>
          <w:p w14:paraId="5F6CA6CC" w14:textId="77777777" w:rsidR="00C5516F" w:rsidRPr="00960FF2" w:rsidRDefault="00C5516F" w:rsidP="00112F61">
            <w:pPr>
              <w:pStyle w:val="TABLEBULLETNEW"/>
            </w:pPr>
            <w:r>
              <w:t>Master ISOW Integrated Project Schedule</w:t>
            </w:r>
          </w:p>
        </w:tc>
      </w:tr>
      <w:tr w:rsidR="00C5516F" w:rsidRPr="00A21682" w14:paraId="7D7579E2" w14:textId="77777777" w:rsidTr="004373B7">
        <w:trPr>
          <w:trHeight w:val="300"/>
        </w:trPr>
        <w:tc>
          <w:tcPr>
            <w:tcW w:w="481" w:type="dxa"/>
          </w:tcPr>
          <w:p w14:paraId="6A02E1F2" w14:textId="77777777" w:rsidR="00C5516F" w:rsidRPr="00A21682" w:rsidRDefault="00C5516F" w:rsidP="004373B7">
            <w:pPr>
              <w:pStyle w:val="TABLETEXT1"/>
              <w:rPr>
                <w:u w:color="000000"/>
                <w:lang w:val="en-US"/>
              </w:rPr>
            </w:pPr>
            <w:r>
              <w:rPr>
                <w:u w:color="000000"/>
                <w:lang w:val="en-US"/>
              </w:rPr>
              <w:t>4</w:t>
            </w:r>
          </w:p>
        </w:tc>
        <w:tc>
          <w:tcPr>
            <w:tcW w:w="4563" w:type="dxa"/>
          </w:tcPr>
          <w:p w14:paraId="0BA2EEFD" w14:textId="77777777" w:rsidR="00C5516F" w:rsidRPr="00A21682" w:rsidDel="00F26258" w:rsidRDefault="00C5516F" w:rsidP="004373B7">
            <w:pPr>
              <w:pStyle w:val="TABLETEXT1"/>
              <w:rPr>
                <w:u w:color="000000"/>
                <w:lang w:val="en-US"/>
              </w:rPr>
            </w:pPr>
            <w:r>
              <w:rPr>
                <w:rFonts w:cs="Times New Roman"/>
                <w:u w:color="000000"/>
                <w:lang w:val="en-US"/>
              </w:rPr>
              <w:t>Functional resources are defined in the project organization and aligned across ███████/DOH using a 2-in-a-box approach</w:t>
            </w:r>
          </w:p>
        </w:tc>
        <w:tc>
          <w:tcPr>
            <w:tcW w:w="4300" w:type="dxa"/>
          </w:tcPr>
          <w:p w14:paraId="04B70CDF" w14:textId="163DE7AA" w:rsidR="00C5516F" w:rsidRPr="00960FF2" w:rsidRDefault="00C5516F" w:rsidP="00112F61">
            <w:pPr>
              <w:pStyle w:val="TABLEBULLETNEW"/>
            </w:pPr>
            <w:r>
              <w:t>Medicaid Transformation Modernization – ███████ and NYS Team Alignment Excel</w:t>
            </w:r>
          </w:p>
        </w:tc>
      </w:tr>
    </w:tbl>
    <w:p w14:paraId="67E0DD80" w14:textId="77777777" w:rsidR="008B51B8" w:rsidRDefault="00C5516F" w:rsidP="00360375">
      <w:pPr>
        <w:pStyle w:val="Caption"/>
        <w:rPr>
          <w:noProof w:val="0"/>
        </w:rPr>
      </w:pPr>
      <w:bookmarkStart w:id="382" w:name="_Toc150951874"/>
      <w:bookmarkStart w:id="383" w:name="_Toc192875101"/>
      <w:r>
        <w:rPr>
          <w:noProof w:val="0"/>
        </w:rPr>
        <w:lastRenderedPageBreak/>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16</w:t>
      </w:r>
      <w:r>
        <w:rPr>
          <w:noProof w:val="0"/>
        </w:rPr>
        <w:fldChar w:fldCharType="end"/>
      </w:r>
      <w:r>
        <w:rPr>
          <w:noProof w:val="0"/>
        </w:rPr>
        <w:t>: Design Phase Entry Criteria</w:t>
      </w:r>
      <w:bookmarkEnd w:id="382"/>
      <w:bookmarkEnd w:id="383"/>
    </w:p>
    <w:p w14:paraId="3F2BB2BA" w14:textId="77777777" w:rsidR="00C5516F" w:rsidRPr="00A21682" w:rsidRDefault="00C5516F">
      <w:pPr>
        <w:pStyle w:val="Heading3"/>
        <w:rPr>
          <w:bCs/>
          <w:u w:color="000000"/>
        </w:rPr>
      </w:pPr>
      <w:bookmarkStart w:id="384" w:name="_Toc148102335"/>
      <w:bookmarkStart w:id="385" w:name="_Toc152605819"/>
      <w:bookmarkStart w:id="386" w:name="_Toc177118961"/>
      <w:bookmarkStart w:id="387" w:name="_Toc185952516"/>
      <w:bookmarkStart w:id="388" w:name="_Toc192874690"/>
      <w:r>
        <w:rPr>
          <w:u w:color="000000"/>
        </w:rPr>
        <w:t>Process Flow Diagram</w:t>
      </w:r>
      <w:bookmarkEnd w:id="384"/>
      <w:bookmarkEnd w:id="385"/>
      <w:bookmarkEnd w:id="386"/>
      <w:bookmarkEnd w:id="387"/>
      <w:bookmarkEnd w:id="388"/>
    </w:p>
    <w:p w14:paraId="77475902" w14:textId="77777777" w:rsidR="00BF2A2E" w:rsidRPr="00A21682" w:rsidRDefault="00C5516F" w:rsidP="00F95DFA">
      <w:pPr>
        <w:pStyle w:val="NormalNEW"/>
        <w:tabs>
          <w:tab w:val="right" w:pos="9360"/>
        </w:tabs>
        <w:rPr>
          <w:u w:color="000000"/>
          <w:lang w:val="en-US"/>
        </w:rPr>
      </w:pPr>
      <w:r>
        <w:rPr>
          <w:u w:color="000000"/>
          <w:lang w:val="en-US"/>
        </w:rPr>
        <w:t xml:space="preserve">The following process flow depicts the Design phase of the MECM SDLC. </w:t>
      </w:r>
    </w:p>
    <w:p w14:paraId="0A746FA0" w14:textId="54633EA6" w:rsidR="00C5516F" w:rsidRPr="00A21682" w:rsidRDefault="005856B4" w:rsidP="00F95DFA">
      <w:pPr>
        <w:pStyle w:val="NormalNEW"/>
        <w:tabs>
          <w:tab w:val="right" w:pos="9360"/>
        </w:tabs>
        <w:rPr>
          <w:u w:color="000000"/>
          <w:lang w:val="en-US"/>
        </w:rPr>
      </w:pPr>
      <w:r>
        <w:object w:dxaOrig="23850" w:dyaOrig="10685" w14:anchorId="028BAD1A">
          <v:shape id="_x0000_i1030" type="#_x0000_t75" style="width:467.4pt;height:211.8pt" o:ole="">
            <v:imagedata r:id="rId30" o:title=""/>
          </v:shape>
          <o:OLEObject Type="Embed" ProgID="Visio.Drawing.15" ShapeID="_x0000_i1030" DrawAspect="Content" ObjectID="_1849677346" r:id="rId31"/>
        </w:object>
      </w:r>
      <w:r>
        <w:rPr>
          <w:u w:color="000000"/>
          <w:lang w:val="en-US"/>
        </w:rPr>
        <w:tab/>
      </w:r>
    </w:p>
    <w:p w14:paraId="67C78B7E" w14:textId="06DCD762" w:rsidR="00C5516F" w:rsidRPr="00A21682" w:rsidRDefault="00C5516F" w:rsidP="005911DA">
      <w:pPr>
        <w:pStyle w:val="Caption"/>
        <w:rPr>
          <w:noProof w:val="0"/>
        </w:rPr>
      </w:pPr>
      <w:bookmarkStart w:id="389" w:name="_Toc150948931"/>
      <w:bookmarkStart w:id="390" w:name="_Toc178152028"/>
      <w:bookmarkStart w:id="391" w:name="_Toc192875043"/>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6</w:t>
      </w:r>
      <w:r>
        <w:rPr>
          <w:noProof w:val="0"/>
        </w:rPr>
        <w:fldChar w:fldCharType="end"/>
      </w:r>
      <w:r>
        <w:rPr>
          <w:noProof w:val="0"/>
        </w:rPr>
        <w:t>: Design Phase Process Flow</w:t>
      </w:r>
      <w:bookmarkEnd w:id="389"/>
      <w:bookmarkEnd w:id="390"/>
      <w:bookmarkEnd w:id="391"/>
    </w:p>
    <w:p w14:paraId="2F61D791" w14:textId="77777777" w:rsidR="00C5516F" w:rsidRPr="00A21682" w:rsidRDefault="00C5516F">
      <w:pPr>
        <w:pStyle w:val="Heading3"/>
        <w:rPr>
          <w:bCs/>
          <w:u w:color="000000"/>
        </w:rPr>
      </w:pPr>
      <w:bookmarkStart w:id="392" w:name="_Toc148102336"/>
      <w:bookmarkStart w:id="393" w:name="_Toc152605820"/>
      <w:bookmarkStart w:id="394" w:name="_Toc177118962"/>
      <w:bookmarkStart w:id="395" w:name="_Toc185952517"/>
      <w:bookmarkStart w:id="396" w:name="_Toc192874691"/>
      <w:r>
        <w:rPr>
          <w:u w:color="000000"/>
        </w:rPr>
        <w:t>Process Flow Narrative</w:t>
      </w:r>
      <w:bookmarkEnd w:id="392"/>
      <w:bookmarkEnd w:id="393"/>
      <w:bookmarkEnd w:id="394"/>
      <w:bookmarkEnd w:id="395"/>
      <w:bookmarkEnd w:id="396"/>
    </w:p>
    <w:p w14:paraId="5797B31C" w14:textId="77777777" w:rsidR="00C5516F" w:rsidRPr="00A21682" w:rsidRDefault="00C5516F" w:rsidP="00C439A5">
      <w:pPr>
        <w:pStyle w:val="NormalNEW"/>
        <w:rPr>
          <w:u w:color="000000"/>
          <w:lang w:val="en-US"/>
        </w:rPr>
      </w:pPr>
      <w:r>
        <w:rPr>
          <w:u w:color="000000"/>
          <w:lang w:val="en-US"/>
        </w:rPr>
        <w:t>The following table describes each process step illustrated above.</w:t>
      </w:r>
    </w:p>
    <w:tbl>
      <w:tblPr>
        <w:tblW w:w="9360"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2"/>
        <w:gridCol w:w="1507"/>
        <w:gridCol w:w="1982"/>
        <w:gridCol w:w="1654"/>
        <w:gridCol w:w="1710"/>
        <w:gridCol w:w="1885"/>
      </w:tblGrid>
      <w:tr w:rsidR="001B0715" w:rsidRPr="00A21682" w14:paraId="055DD2FD" w14:textId="77777777" w:rsidTr="00E36FED">
        <w:trPr>
          <w:trHeight w:val="300"/>
          <w:tblHeader/>
        </w:trPr>
        <w:tc>
          <w:tcPr>
            <w:tcW w:w="9360" w:type="dxa"/>
            <w:gridSpan w:val="6"/>
            <w:tcBorders>
              <w:bottom w:val="single" w:sz="2" w:space="0" w:color="FFFFFF" w:themeColor="background1"/>
            </w:tcBorders>
            <w:shd w:val="clear" w:color="auto" w:fill="000000"/>
          </w:tcPr>
          <w:p w14:paraId="4D31AA44" w14:textId="77777777" w:rsidR="00C5516F" w:rsidRPr="00A21682" w:rsidRDefault="00C5516F" w:rsidP="00047C4E">
            <w:pPr>
              <w:pStyle w:val="TABLEHEADINGNEW"/>
              <w:jc w:val="center"/>
            </w:pPr>
            <w:r>
              <w:t>Design</w:t>
            </w:r>
          </w:p>
        </w:tc>
      </w:tr>
      <w:tr w:rsidR="00B60884" w:rsidRPr="00A21682" w14:paraId="5FB29C58" w14:textId="77777777" w:rsidTr="00E36FED">
        <w:trPr>
          <w:trHeight w:val="300"/>
          <w:tblHeader/>
        </w:trPr>
        <w:tc>
          <w:tcPr>
            <w:tcW w:w="622" w:type="dxa"/>
            <w:tcBorders>
              <w:top w:val="single" w:sz="2" w:space="0" w:color="FFFFFF" w:themeColor="background1"/>
              <w:right w:val="single" w:sz="2" w:space="0" w:color="FFFFFF" w:themeColor="background1"/>
            </w:tcBorders>
            <w:shd w:val="clear" w:color="auto" w:fill="000000"/>
            <w:hideMark/>
          </w:tcPr>
          <w:p w14:paraId="7B73F70B" w14:textId="77777777" w:rsidR="00C5516F" w:rsidRPr="00A21682" w:rsidRDefault="00C5516F" w:rsidP="00C439A5">
            <w:pPr>
              <w:pStyle w:val="TABLEHEADINGNEW"/>
            </w:pPr>
            <w:r>
              <w:t>Step #</w:t>
            </w:r>
          </w:p>
        </w:tc>
        <w:tc>
          <w:tcPr>
            <w:tcW w:w="1507"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2AD9579C" w14:textId="77777777" w:rsidR="00C5516F" w:rsidRPr="00A21682" w:rsidRDefault="00C5516F" w:rsidP="00C439A5">
            <w:pPr>
              <w:pStyle w:val="TABLEHEADINGNEW"/>
            </w:pPr>
            <w:r>
              <w:t>Process Step</w:t>
            </w:r>
          </w:p>
        </w:tc>
        <w:tc>
          <w:tcPr>
            <w:tcW w:w="1982"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6F02C3D3" w14:textId="77777777" w:rsidR="00C5516F" w:rsidRPr="00A21682" w:rsidRDefault="00C5516F" w:rsidP="00C439A5">
            <w:pPr>
              <w:pStyle w:val="TABLEHEADINGNEW"/>
            </w:pPr>
            <w:r>
              <w:t>Description</w:t>
            </w:r>
          </w:p>
        </w:tc>
        <w:tc>
          <w:tcPr>
            <w:tcW w:w="1654"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581F72C8" w14:textId="77777777" w:rsidR="00C5516F" w:rsidRPr="00A21682" w:rsidRDefault="00C5516F" w:rsidP="00C439A5">
            <w:pPr>
              <w:pStyle w:val="TABLEHEADINGNEW"/>
            </w:pPr>
            <w:r>
              <w:t>Stakeholder Group(s)</w:t>
            </w:r>
          </w:p>
        </w:tc>
        <w:tc>
          <w:tcPr>
            <w:tcW w:w="171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498349AF" w14:textId="637B3292" w:rsidR="00C5516F" w:rsidRPr="00A21682" w:rsidRDefault="00C5516F" w:rsidP="00C439A5">
            <w:pPr>
              <w:pStyle w:val="TABLEHEADINGNEW"/>
            </w:pPr>
            <w:r>
              <w:t>Inputs (Documents/ Work Products)</w:t>
            </w:r>
          </w:p>
        </w:tc>
        <w:tc>
          <w:tcPr>
            <w:tcW w:w="1885" w:type="dxa"/>
            <w:tcBorders>
              <w:top w:val="single" w:sz="2" w:space="0" w:color="FFFFFF" w:themeColor="background1"/>
              <w:left w:val="single" w:sz="2" w:space="0" w:color="FFFFFF" w:themeColor="background1"/>
            </w:tcBorders>
            <w:shd w:val="clear" w:color="auto" w:fill="000000"/>
            <w:hideMark/>
          </w:tcPr>
          <w:p w14:paraId="4CAE8F0C" w14:textId="084FEACD" w:rsidR="00C5516F" w:rsidRPr="00A21682" w:rsidRDefault="00C5516F" w:rsidP="00C439A5">
            <w:pPr>
              <w:pStyle w:val="TABLEHEADINGNEW"/>
            </w:pPr>
            <w:r>
              <w:t>Outputs (Documents/ Work Products)</w:t>
            </w:r>
          </w:p>
        </w:tc>
      </w:tr>
      <w:tr w:rsidR="00D77B69" w:rsidRPr="00A21682" w14:paraId="326ACDEA" w14:textId="77777777" w:rsidTr="00E36FED">
        <w:trPr>
          <w:trHeight w:val="300"/>
        </w:trPr>
        <w:tc>
          <w:tcPr>
            <w:tcW w:w="622" w:type="dxa"/>
            <w:hideMark/>
          </w:tcPr>
          <w:p w14:paraId="6224C5C4" w14:textId="77777777" w:rsidR="00C5516F" w:rsidRPr="00A21682" w:rsidRDefault="00C5516F" w:rsidP="00C439A5">
            <w:pPr>
              <w:pStyle w:val="TABLETEXT1"/>
              <w:rPr>
                <w:lang w:val="en-US"/>
              </w:rPr>
            </w:pPr>
            <w:r>
              <w:rPr>
                <w:lang w:val="en-US"/>
              </w:rPr>
              <w:t>4.1a</w:t>
            </w:r>
          </w:p>
          <w:p w14:paraId="37C3DC53" w14:textId="77777777" w:rsidR="00C5516F" w:rsidRPr="00A21682" w:rsidRDefault="00C5516F" w:rsidP="00C439A5">
            <w:pPr>
              <w:pStyle w:val="TABLETEXT1"/>
              <w:rPr>
                <w:lang w:val="en-US"/>
              </w:rPr>
            </w:pPr>
          </w:p>
        </w:tc>
        <w:tc>
          <w:tcPr>
            <w:tcW w:w="1507" w:type="dxa"/>
          </w:tcPr>
          <w:p w14:paraId="6FE83A1C" w14:textId="7C2F33AF" w:rsidR="00C5516F" w:rsidRPr="00A21682" w:rsidRDefault="008D0568" w:rsidP="00C439A5">
            <w:pPr>
              <w:pStyle w:val="TABLETEXT1"/>
              <w:rPr>
                <w:lang w:val="en-US"/>
              </w:rPr>
            </w:pPr>
            <w:r>
              <w:rPr>
                <w:lang w:val="en-US"/>
              </w:rPr>
              <w:t>Create Integrated JAD topic design specification documents</w:t>
            </w:r>
          </w:p>
        </w:tc>
        <w:tc>
          <w:tcPr>
            <w:tcW w:w="1982" w:type="dxa"/>
          </w:tcPr>
          <w:p w14:paraId="3B0A3BD5" w14:textId="2C626022" w:rsidR="00C5516F" w:rsidRPr="00635C9B" w:rsidRDefault="00C5516F" w:rsidP="00C83E89">
            <w:pPr>
              <w:pStyle w:val="TABLEBULLETNEW"/>
            </w:pPr>
            <w:r>
              <w:t>Update FDD (DEL-20) to reflect integrated JAD topics</w:t>
            </w:r>
          </w:p>
          <w:p w14:paraId="12A6375E" w14:textId="45042915" w:rsidR="00C5516F" w:rsidRPr="00635C9B" w:rsidRDefault="00C5516F" w:rsidP="00C83E89">
            <w:pPr>
              <w:pStyle w:val="TABLEBULLETNEW"/>
            </w:pPr>
            <w:r>
              <w:t>The FDD (DEL-20) can be in Word, Excel storyboard format, or PDF flows</w:t>
            </w:r>
          </w:p>
        </w:tc>
        <w:tc>
          <w:tcPr>
            <w:tcW w:w="1654" w:type="dxa"/>
          </w:tcPr>
          <w:p w14:paraId="0DA6D496" w14:textId="77777777" w:rsidR="00C5516F" w:rsidRPr="00635C9B" w:rsidRDefault="00C5516F" w:rsidP="00CB55CE">
            <w:pPr>
              <w:pStyle w:val="TABLEBULLETNEW"/>
            </w:pPr>
            <w:r>
              <w:t>Functional Stakeholders</w:t>
            </w:r>
          </w:p>
        </w:tc>
        <w:tc>
          <w:tcPr>
            <w:tcW w:w="1710" w:type="dxa"/>
          </w:tcPr>
          <w:p w14:paraId="54364440" w14:textId="3DB6CCF8" w:rsidR="00C5516F" w:rsidRPr="00635C9B" w:rsidRDefault="005B655F" w:rsidP="00CB55CE">
            <w:pPr>
              <w:pStyle w:val="TABLEBULLETNEW"/>
            </w:pPr>
            <w:r>
              <w:t>Functional Design Document (DEL-20) from Base Solution</w:t>
            </w:r>
          </w:p>
        </w:tc>
        <w:tc>
          <w:tcPr>
            <w:tcW w:w="1885" w:type="dxa"/>
          </w:tcPr>
          <w:p w14:paraId="40E52936" w14:textId="048B7589" w:rsidR="00C5516F" w:rsidRPr="00635C9B" w:rsidRDefault="00C5516F" w:rsidP="00CB55CE">
            <w:pPr>
              <w:pStyle w:val="TABLEBULLETNEW"/>
            </w:pPr>
            <w:r>
              <w:t xml:space="preserve">Draft NY MECM Functional Design Document (DEL-20) </w:t>
            </w:r>
          </w:p>
        </w:tc>
      </w:tr>
      <w:tr w:rsidR="00D77B69" w:rsidRPr="00A21682" w14:paraId="35BEB5CB" w14:textId="77777777" w:rsidTr="00E36FED">
        <w:trPr>
          <w:trHeight w:val="300"/>
        </w:trPr>
        <w:tc>
          <w:tcPr>
            <w:tcW w:w="622" w:type="dxa"/>
          </w:tcPr>
          <w:p w14:paraId="466A66EB" w14:textId="77777777" w:rsidR="00C5516F" w:rsidRPr="00A21682" w:rsidRDefault="00C5516F" w:rsidP="00C439A5">
            <w:pPr>
              <w:pStyle w:val="TABLETEXT1"/>
              <w:rPr>
                <w:lang w:val="en-US"/>
              </w:rPr>
            </w:pPr>
            <w:r>
              <w:rPr>
                <w:lang w:val="en-US"/>
              </w:rPr>
              <w:t>4.1b</w:t>
            </w:r>
          </w:p>
        </w:tc>
        <w:tc>
          <w:tcPr>
            <w:tcW w:w="1507" w:type="dxa"/>
          </w:tcPr>
          <w:p w14:paraId="7AFB2833" w14:textId="0CDA4750" w:rsidR="00C5516F" w:rsidRPr="00A21682" w:rsidRDefault="00C5516F" w:rsidP="00C439A5">
            <w:pPr>
              <w:pStyle w:val="TABLETEXT1"/>
              <w:rPr>
                <w:lang w:val="en-US"/>
              </w:rPr>
            </w:pPr>
            <w:r>
              <w:rPr>
                <w:lang w:val="en-US"/>
              </w:rPr>
              <w:t>Update Base Solution Interface and Batch Control Documents</w:t>
            </w:r>
          </w:p>
        </w:tc>
        <w:tc>
          <w:tcPr>
            <w:tcW w:w="1982" w:type="dxa"/>
          </w:tcPr>
          <w:p w14:paraId="10421CC6" w14:textId="6185B52A" w:rsidR="00C5516F" w:rsidRPr="00A21682" w:rsidRDefault="00C5516F" w:rsidP="00877354">
            <w:pPr>
              <w:pStyle w:val="TABLETEXT1"/>
              <w:rPr>
                <w:u w:color="000000"/>
                <w:lang w:val="en-US"/>
              </w:rPr>
            </w:pPr>
            <w:r>
              <w:rPr>
                <w:lang w:val="en-US"/>
              </w:rPr>
              <w:t>Update the Interface Control Documents (ICDs) and Batch Control Documents (BCDs) from Base Solution to reflect NY-specific requirements</w:t>
            </w:r>
          </w:p>
        </w:tc>
        <w:tc>
          <w:tcPr>
            <w:tcW w:w="1654" w:type="dxa"/>
          </w:tcPr>
          <w:p w14:paraId="53568F4D" w14:textId="77777777" w:rsidR="00C5516F" w:rsidRPr="00635C9B" w:rsidRDefault="00C5516F" w:rsidP="00CB55CE">
            <w:pPr>
              <w:pStyle w:val="TABLEBULLETNEW"/>
            </w:pPr>
            <w:r>
              <w:t>Technical Stakeholders</w:t>
            </w:r>
          </w:p>
          <w:p w14:paraId="3AC45FBB" w14:textId="77777777" w:rsidR="00C5516F" w:rsidRPr="00635C9B" w:rsidRDefault="00C5516F" w:rsidP="00CB55CE">
            <w:pPr>
              <w:pStyle w:val="TABLEBULLETNEW"/>
            </w:pPr>
            <w:r>
              <w:t>Functional Stakeholders</w:t>
            </w:r>
          </w:p>
        </w:tc>
        <w:tc>
          <w:tcPr>
            <w:tcW w:w="1710" w:type="dxa"/>
          </w:tcPr>
          <w:p w14:paraId="1A994BD9" w14:textId="08BD922A" w:rsidR="00C5516F" w:rsidRPr="00635C9B" w:rsidRDefault="00C5516F" w:rsidP="00CB55CE">
            <w:pPr>
              <w:pStyle w:val="TABLEBULLETNEW"/>
            </w:pPr>
            <w:r>
              <w:t>Base Solution ICDs and BCDs</w:t>
            </w:r>
          </w:p>
        </w:tc>
        <w:tc>
          <w:tcPr>
            <w:tcW w:w="1885" w:type="dxa"/>
          </w:tcPr>
          <w:p w14:paraId="05FF7F2E" w14:textId="28B2D2B5" w:rsidR="00C5516F" w:rsidRPr="00635C9B" w:rsidRDefault="00C5516F" w:rsidP="00CB55CE">
            <w:pPr>
              <w:pStyle w:val="TABLEBULLETNEW"/>
            </w:pPr>
            <w:r>
              <w:t xml:space="preserve">Draft NY MECM ICDs and NY MECM BCDs </w:t>
            </w:r>
          </w:p>
        </w:tc>
      </w:tr>
      <w:tr w:rsidR="00D77B69" w:rsidRPr="00A21682" w14:paraId="63FD0DA9" w14:textId="77777777" w:rsidTr="00E36FED">
        <w:trPr>
          <w:trHeight w:val="300"/>
        </w:trPr>
        <w:tc>
          <w:tcPr>
            <w:tcW w:w="622" w:type="dxa"/>
          </w:tcPr>
          <w:p w14:paraId="7050FB6B" w14:textId="77777777" w:rsidR="00C5516F" w:rsidRPr="00A21682" w:rsidRDefault="00C5516F" w:rsidP="00C439A5">
            <w:pPr>
              <w:pStyle w:val="TABLETEXT1"/>
              <w:rPr>
                <w:lang w:val="en-US"/>
              </w:rPr>
            </w:pPr>
            <w:r>
              <w:rPr>
                <w:lang w:val="en-US"/>
              </w:rPr>
              <w:lastRenderedPageBreak/>
              <w:t>4.1c</w:t>
            </w:r>
          </w:p>
        </w:tc>
        <w:tc>
          <w:tcPr>
            <w:tcW w:w="1507" w:type="dxa"/>
          </w:tcPr>
          <w:p w14:paraId="6DCA2D6E" w14:textId="77777777" w:rsidR="00C5516F" w:rsidRPr="00A21682" w:rsidRDefault="00C5516F" w:rsidP="00C439A5">
            <w:pPr>
              <w:pStyle w:val="TABLETEXT1"/>
              <w:rPr>
                <w:lang w:val="en-US"/>
              </w:rPr>
            </w:pPr>
            <w:r>
              <w:rPr>
                <w:lang w:val="en-US"/>
              </w:rPr>
              <w:t xml:space="preserve">Update Base Solution system architecture and cloud infrastructure </w:t>
            </w:r>
          </w:p>
        </w:tc>
        <w:tc>
          <w:tcPr>
            <w:tcW w:w="1982" w:type="dxa"/>
          </w:tcPr>
          <w:p w14:paraId="003DD505" w14:textId="77777777" w:rsidR="00C5516F" w:rsidRPr="00960FF2" w:rsidRDefault="00C5516F" w:rsidP="007C44A6">
            <w:pPr>
              <w:pStyle w:val="TABLEBULLETNEW"/>
            </w:pPr>
            <w:r>
              <w:t>Update Base Solution logical and physical system architecture</w:t>
            </w:r>
          </w:p>
          <w:p w14:paraId="5F21BE43" w14:textId="1F9435F9" w:rsidR="00C5516F" w:rsidRPr="00960FF2" w:rsidRDefault="00C5516F" w:rsidP="007C44A6">
            <w:pPr>
              <w:pStyle w:val="TABLEBULLETNEW"/>
            </w:pPr>
            <w:r>
              <w:t>Update Base Solution cloud infrastructure platform architecture diagrams to account for MECM changes</w:t>
            </w:r>
          </w:p>
          <w:p w14:paraId="2C8CF8F1" w14:textId="04BC200D" w:rsidR="00C5516F" w:rsidRPr="00960FF2" w:rsidRDefault="00C5516F" w:rsidP="007C44A6">
            <w:pPr>
              <w:pStyle w:val="TABLEBULLETNEW"/>
            </w:pPr>
            <w:r>
              <w:t>If the design phase results in additions or changes to the technology stack, update the BOM accordingly</w:t>
            </w:r>
          </w:p>
          <w:p w14:paraId="37370D4B" w14:textId="0353BD38" w:rsidR="00C5516F" w:rsidRPr="00635C9B" w:rsidRDefault="00C5516F" w:rsidP="007C44A6">
            <w:pPr>
              <w:pStyle w:val="TABLEBULLETNEW"/>
            </w:pPr>
            <w:r>
              <w:t>Develop Business Continuity and Disaster Recovery Plan (DEL-14), and System Security Plan (DEL-15) in accordance with NY ITS Secure SDLC</w:t>
            </w:r>
          </w:p>
        </w:tc>
        <w:tc>
          <w:tcPr>
            <w:tcW w:w="1654" w:type="dxa"/>
          </w:tcPr>
          <w:p w14:paraId="5605C49F" w14:textId="77777777" w:rsidR="00C5516F" w:rsidRPr="00635C9B" w:rsidRDefault="00C5516F" w:rsidP="00CB55CE">
            <w:pPr>
              <w:pStyle w:val="TABLEBULLETNEW"/>
            </w:pPr>
            <w:r>
              <w:t>Technical Stakeholders</w:t>
            </w:r>
          </w:p>
        </w:tc>
        <w:tc>
          <w:tcPr>
            <w:tcW w:w="1710" w:type="dxa"/>
          </w:tcPr>
          <w:p w14:paraId="3654E174" w14:textId="337398B4" w:rsidR="00C5516F" w:rsidRPr="00635C9B" w:rsidRDefault="00C5516F" w:rsidP="00CB55CE">
            <w:pPr>
              <w:pStyle w:val="TABLEBULLETNEW"/>
            </w:pPr>
            <w:r>
              <w:t>Base Solution Logical System Architecture Diagram</w:t>
            </w:r>
          </w:p>
          <w:p w14:paraId="7159E2E0" w14:textId="4D14C016" w:rsidR="00C5516F" w:rsidRPr="00635C9B" w:rsidRDefault="00C5516F" w:rsidP="00CB55CE">
            <w:pPr>
              <w:pStyle w:val="TABLEBULLETNEW"/>
            </w:pPr>
            <w:r>
              <w:t xml:space="preserve">Base Solution Physical System Architecture </w:t>
            </w:r>
          </w:p>
          <w:p w14:paraId="596B5347" w14:textId="7FD62EA4" w:rsidR="00C5516F" w:rsidRPr="00635C9B" w:rsidRDefault="00C5516F" w:rsidP="00CB55CE">
            <w:pPr>
              <w:pStyle w:val="TABLEBULLETNEW"/>
            </w:pPr>
            <w:r>
              <w:t>Base Solution Infrastructure Platform Diagram</w:t>
            </w:r>
          </w:p>
        </w:tc>
        <w:tc>
          <w:tcPr>
            <w:tcW w:w="1885" w:type="dxa"/>
          </w:tcPr>
          <w:p w14:paraId="0566A490" w14:textId="77777777" w:rsidR="00C5516F" w:rsidRPr="00635C9B" w:rsidRDefault="00C5516F" w:rsidP="00CB55CE">
            <w:pPr>
              <w:pStyle w:val="TABLEBULLETNEW"/>
            </w:pPr>
            <w:r>
              <w:t xml:space="preserve">Draft MECM System Architecture Design Document </w:t>
            </w:r>
          </w:p>
          <w:p w14:paraId="4DC3CCA7" w14:textId="77777777" w:rsidR="00C5516F" w:rsidRPr="00635C9B" w:rsidRDefault="00C5516F" w:rsidP="00CB55CE">
            <w:pPr>
              <w:pStyle w:val="TABLEBULLETNEW"/>
            </w:pPr>
            <w:r>
              <w:t>BOM (if applicable)</w:t>
            </w:r>
          </w:p>
          <w:p w14:paraId="6B8F002D" w14:textId="105A23EE" w:rsidR="00C5516F" w:rsidRPr="00635C9B" w:rsidRDefault="00C5516F" w:rsidP="00CB55CE">
            <w:pPr>
              <w:pStyle w:val="TABLEBULLETNEW"/>
            </w:pPr>
            <w:r>
              <w:t>Draft Business Continuity and Disaster Recovery Plan (DEL-14)</w:t>
            </w:r>
          </w:p>
          <w:p w14:paraId="6806B28F" w14:textId="132E5755" w:rsidR="00C5516F" w:rsidRPr="00635C9B" w:rsidRDefault="00C5516F" w:rsidP="00CB55CE">
            <w:pPr>
              <w:pStyle w:val="TABLEBULLETNEW"/>
            </w:pPr>
            <w:r>
              <w:t>Draft System Security Plan (SSP) (DEL-15)</w:t>
            </w:r>
          </w:p>
        </w:tc>
      </w:tr>
      <w:tr w:rsidR="00D77B69" w:rsidRPr="00A21682" w14:paraId="3720981E" w14:textId="77777777" w:rsidTr="00E36FED">
        <w:trPr>
          <w:cantSplit/>
          <w:trHeight w:val="300"/>
        </w:trPr>
        <w:tc>
          <w:tcPr>
            <w:tcW w:w="622" w:type="dxa"/>
          </w:tcPr>
          <w:p w14:paraId="7E01F3F1" w14:textId="77777777" w:rsidR="00C5516F" w:rsidRPr="00A21682" w:rsidRDefault="00C5516F" w:rsidP="00C439A5">
            <w:pPr>
              <w:pStyle w:val="TABLETEXT1"/>
              <w:rPr>
                <w:lang w:val="en-US"/>
              </w:rPr>
            </w:pPr>
            <w:r>
              <w:rPr>
                <w:lang w:val="en-US"/>
              </w:rPr>
              <w:t>4.2</w:t>
            </w:r>
          </w:p>
        </w:tc>
        <w:tc>
          <w:tcPr>
            <w:tcW w:w="1507" w:type="dxa"/>
          </w:tcPr>
          <w:p w14:paraId="2BF865CE" w14:textId="77777777" w:rsidR="00C5516F" w:rsidRPr="00A21682" w:rsidRDefault="00C5516F" w:rsidP="00C439A5">
            <w:pPr>
              <w:pStyle w:val="TABLETEXT1"/>
              <w:rPr>
                <w:lang w:val="en-US"/>
              </w:rPr>
            </w:pPr>
            <w:r>
              <w:rPr>
                <w:lang w:val="en-US"/>
              </w:rPr>
              <w:t>Prepare Base Solution demo environment leveraging personas for design validation sessions</w:t>
            </w:r>
          </w:p>
        </w:tc>
        <w:tc>
          <w:tcPr>
            <w:tcW w:w="1982" w:type="dxa"/>
          </w:tcPr>
          <w:p w14:paraId="7366500C" w14:textId="77777777" w:rsidR="00C5516F" w:rsidRPr="00E62DF8" w:rsidRDefault="00C5516F" w:rsidP="00E62DF8">
            <w:pPr>
              <w:pStyle w:val="TABLETEXT1"/>
              <w:rPr>
                <w:lang w:val="en-US"/>
              </w:rPr>
            </w:pPr>
            <w:r>
              <w:rPr>
                <w:lang w:val="en-US"/>
              </w:rPr>
              <w:t>Prepare Wave 0 Base Solution environment to facilitate demos (when necessary) to support the design validation sessions</w:t>
            </w:r>
          </w:p>
        </w:tc>
        <w:tc>
          <w:tcPr>
            <w:tcW w:w="1654" w:type="dxa"/>
          </w:tcPr>
          <w:p w14:paraId="3719CFC0" w14:textId="77777777" w:rsidR="00C5516F" w:rsidRPr="00635C9B" w:rsidRDefault="00C5516F" w:rsidP="00CB55CE">
            <w:pPr>
              <w:pStyle w:val="TABLEBULLETNEW"/>
            </w:pPr>
            <w:r>
              <w:t>Functional Stakeholders</w:t>
            </w:r>
          </w:p>
        </w:tc>
        <w:tc>
          <w:tcPr>
            <w:tcW w:w="1710" w:type="dxa"/>
          </w:tcPr>
          <w:p w14:paraId="7443C819" w14:textId="77777777" w:rsidR="00C5516F" w:rsidRPr="00635C9B" w:rsidRDefault="00C5516F" w:rsidP="00CB55CE">
            <w:pPr>
              <w:pStyle w:val="TABLEBULLETNEW"/>
            </w:pPr>
            <w:r>
              <w:t>Wave 0 environment</w:t>
            </w:r>
          </w:p>
          <w:p w14:paraId="67604EA2" w14:textId="77777777" w:rsidR="00C5516F" w:rsidRPr="00635C9B" w:rsidRDefault="00C5516F" w:rsidP="00CB55CE">
            <w:pPr>
              <w:pStyle w:val="TABLEBULLETNEW"/>
            </w:pPr>
            <w:r>
              <w:t>Logical and Physical System Architecture Diagram</w:t>
            </w:r>
          </w:p>
          <w:p w14:paraId="74B577E3" w14:textId="650BA814" w:rsidR="00C5516F" w:rsidRPr="00635C9B" w:rsidRDefault="00C5516F" w:rsidP="00CB55CE">
            <w:pPr>
              <w:pStyle w:val="TABLEBULLETNEW"/>
            </w:pPr>
            <w:r>
              <w:t xml:space="preserve">Infrastructure Platform Architecture Diagram </w:t>
            </w:r>
          </w:p>
          <w:p w14:paraId="70C533E7" w14:textId="77777777" w:rsidR="00C5516F" w:rsidRPr="00635C9B" w:rsidRDefault="00C5516F" w:rsidP="00CB55CE">
            <w:pPr>
              <w:pStyle w:val="TABLEBULLETNEW"/>
            </w:pPr>
            <w:r>
              <w:t>BOM (if applicable)</w:t>
            </w:r>
          </w:p>
        </w:tc>
        <w:tc>
          <w:tcPr>
            <w:tcW w:w="1885" w:type="dxa"/>
          </w:tcPr>
          <w:p w14:paraId="5865093F" w14:textId="77777777" w:rsidR="00C5516F" w:rsidRPr="00635C9B" w:rsidRDefault="00C5516F" w:rsidP="00CB55CE">
            <w:pPr>
              <w:pStyle w:val="TABLEBULLETNEW"/>
            </w:pPr>
            <w:r>
              <w:t>Solution demo environment ready for design validation sessions</w:t>
            </w:r>
          </w:p>
        </w:tc>
      </w:tr>
      <w:tr w:rsidR="00D77B69" w:rsidRPr="00A21682" w14:paraId="058D3E24" w14:textId="77777777" w:rsidTr="00E36FED">
        <w:trPr>
          <w:trHeight w:val="300"/>
        </w:trPr>
        <w:tc>
          <w:tcPr>
            <w:tcW w:w="622" w:type="dxa"/>
          </w:tcPr>
          <w:p w14:paraId="10B8F237" w14:textId="1F0B48C3" w:rsidR="000F3414" w:rsidRPr="00A21682" w:rsidRDefault="00C83F7B" w:rsidP="00C439A5">
            <w:pPr>
              <w:pStyle w:val="TABLETEXT1"/>
              <w:rPr>
                <w:lang w:val="en-US"/>
              </w:rPr>
            </w:pPr>
            <w:r>
              <w:rPr>
                <w:lang w:val="en-US"/>
              </w:rPr>
              <w:lastRenderedPageBreak/>
              <w:t>4.3a</w:t>
            </w:r>
          </w:p>
        </w:tc>
        <w:tc>
          <w:tcPr>
            <w:tcW w:w="1507" w:type="dxa"/>
          </w:tcPr>
          <w:p w14:paraId="2230D131" w14:textId="748EA03C" w:rsidR="000F3414" w:rsidRPr="00A21682" w:rsidRDefault="00C83F7B" w:rsidP="00C439A5">
            <w:pPr>
              <w:pStyle w:val="TABLETEXT1"/>
              <w:rPr>
                <w:lang w:val="en-US"/>
              </w:rPr>
            </w:pPr>
            <w:r>
              <w:rPr>
                <w:lang w:val="en-US"/>
              </w:rPr>
              <w:t>Integrated JAD Design Validation Sessions</w:t>
            </w:r>
          </w:p>
        </w:tc>
        <w:tc>
          <w:tcPr>
            <w:tcW w:w="1982" w:type="dxa"/>
          </w:tcPr>
          <w:p w14:paraId="45D61AE5" w14:textId="4BE44CA4" w:rsidR="000F3414" w:rsidRPr="00E62DF8" w:rsidRDefault="00422A85" w:rsidP="00E62DF8">
            <w:pPr>
              <w:pStyle w:val="TABLETEXT1"/>
              <w:rPr>
                <w:lang w:val="en-US"/>
              </w:rPr>
            </w:pPr>
            <w:r>
              <w:rPr>
                <w:lang w:val="en-US"/>
              </w:rPr>
              <w:t>Conduct design validations for the Integrated JAD topics assigned for the Wave. Design validations are conducted across Portals, Eligibility, Interfaces, Notices, Enrollment, and Workload Management</w:t>
            </w:r>
          </w:p>
        </w:tc>
        <w:tc>
          <w:tcPr>
            <w:tcW w:w="1654" w:type="dxa"/>
          </w:tcPr>
          <w:p w14:paraId="04F11EC8" w14:textId="77777777" w:rsidR="00B672FD" w:rsidRPr="00635C9B" w:rsidRDefault="00B672FD" w:rsidP="00CB55CE">
            <w:pPr>
              <w:pStyle w:val="TABLEBULLETNEW"/>
            </w:pPr>
            <w:r>
              <w:t>Business Stakeholders</w:t>
            </w:r>
          </w:p>
          <w:p w14:paraId="3136876B" w14:textId="77777777" w:rsidR="00B672FD" w:rsidRPr="00635C9B" w:rsidRDefault="00B672FD" w:rsidP="00CB55CE">
            <w:pPr>
              <w:pStyle w:val="TABLEBULLETNEW"/>
            </w:pPr>
            <w:r>
              <w:t>Functional Stakeholders</w:t>
            </w:r>
          </w:p>
          <w:p w14:paraId="41D291B7" w14:textId="13F5E685" w:rsidR="000F3414" w:rsidRPr="00635C9B" w:rsidRDefault="00B672FD" w:rsidP="00CB55CE">
            <w:pPr>
              <w:pStyle w:val="TABLEBULLETNEW"/>
            </w:pPr>
            <w:r>
              <w:t>Technical Stakeholders</w:t>
            </w:r>
          </w:p>
        </w:tc>
        <w:tc>
          <w:tcPr>
            <w:tcW w:w="1710" w:type="dxa"/>
          </w:tcPr>
          <w:p w14:paraId="7C5C8713" w14:textId="77777777" w:rsidR="00AF3E09" w:rsidRPr="00635C9B" w:rsidRDefault="00AF3E09" w:rsidP="00CB55CE">
            <w:pPr>
              <w:pStyle w:val="TABLEBULLETNEW"/>
            </w:pPr>
            <w:r>
              <w:t>Solution demo environment ready for design validation sessions</w:t>
            </w:r>
          </w:p>
          <w:p w14:paraId="159449D5" w14:textId="3890BA20" w:rsidR="000F3414" w:rsidRDefault="00AF3E09" w:rsidP="00CB55CE">
            <w:pPr>
              <w:pStyle w:val="TABLEBULLETNEW"/>
            </w:pPr>
            <w:r>
              <w:t>Draft NY MECM Functional Design Document (DEL-20)</w:t>
            </w:r>
          </w:p>
          <w:p w14:paraId="462D011B" w14:textId="28609FA1" w:rsidR="000F3414" w:rsidRPr="00635C9B" w:rsidRDefault="00AF3E09" w:rsidP="00CB55CE">
            <w:pPr>
              <w:pStyle w:val="TABLEBULLETNEW"/>
            </w:pPr>
            <w:r>
              <w:t>Draft NY MECM ICDs and BCDs</w:t>
            </w:r>
          </w:p>
        </w:tc>
        <w:tc>
          <w:tcPr>
            <w:tcW w:w="1885" w:type="dxa"/>
          </w:tcPr>
          <w:p w14:paraId="775B0FCB" w14:textId="1810A0DF" w:rsidR="000F3414" w:rsidRDefault="00AF3E09" w:rsidP="00CB55CE">
            <w:pPr>
              <w:pStyle w:val="TABLEBULLETNEW"/>
            </w:pPr>
            <w:r>
              <w:t>Draft Functional Design Document (DEL-20)</w:t>
            </w:r>
          </w:p>
          <w:p w14:paraId="47904AAA" w14:textId="442403F7" w:rsidR="000F3414" w:rsidRPr="00635C9B" w:rsidRDefault="00AF3E09" w:rsidP="00CB55CE">
            <w:pPr>
              <w:pStyle w:val="TABLEBULLETNEW"/>
            </w:pPr>
            <w:r>
              <w:t>Draft Interface/Batch/Automation Control Documents (DEL-22) with updates from the design validation sessions</w:t>
            </w:r>
          </w:p>
        </w:tc>
      </w:tr>
      <w:tr w:rsidR="00D77B69" w:rsidRPr="00A21682" w14:paraId="273A956F" w14:textId="77777777" w:rsidTr="00E36FED">
        <w:trPr>
          <w:trHeight w:val="300"/>
        </w:trPr>
        <w:tc>
          <w:tcPr>
            <w:tcW w:w="622" w:type="dxa"/>
          </w:tcPr>
          <w:p w14:paraId="2F84F139" w14:textId="2F0389D1" w:rsidR="00865247" w:rsidRPr="00A21682" w:rsidRDefault="00865247" w:rsidP="00865247">
            <w:pPr>
              <w:pStyle w:val="TABLETEXT1"/>
              <w:rPr>
                <w:lang w:val="en-US"/>
              </w:rPr>
            </w:pPr>
            <w:r>
              <w:rPr>
                <w:lang w:val="en-US"/>
              </w:rPr>
              <w:t>4.3b</w:t>
            </w:r>
          </w:p>
        </w:tc>
        <w:tc>
          <w:tcPr>
            <w:tcW w:w="1507" w:type="dxa"/>
          </w:tcPr>
          <w:p w14:paraId="1A26E749" w14:textId="2CA44F6A" w:rsidR="00865247" w:rsidRPr="00A21682" w:rsidRDefault="00865247" w:rsidP="00865247">
            <w:pPr>
              <w:pStyle w:val="TABLETEXT1"/>
              <w:rPr>
                <w:lang w:val="en-US"/>
              </w:rPr>
            </w:pPr>
            <w:r>
              <w:rPr>
                <w:lang w:val="en-US"/>
              </w:rPr>
              <w:t>Conduct review sessions for system architecture and infrastructure platform diagram changes</w:t>
            </w:r>
          </w:p>
        </w:tc>
        <w:tc>
          <w:tcPr>
            <w:tcW w:w="1982" w:type="dxa"/>
          </w:tcPr>
          <w:p w14:paraId="6405BB74" w14:textId="5BA75291" w:rsidR="00865247" w:rsidRPr="00635C9B" w:rsidRDefault="00865247" w:rsidP="00E62DF8">
            <w:pPr>
              <w:pStyle w:val="TABLEBULLETNEW"/>
            </w:pPr>
            <w:r>
              <w:t>Conduct architecture review sessions to provide a walkthrough of logical and physical system architecture changes, cloud infrastructure</w:t>
            </w:r>
          </w:p>
          <w:p w14:paraId="4AF54A73" w14:textId="597824C0" w:rsidR="00865247" w:rsidRPr="00635C9B" w:rsidRDefault="00865247" w:rsidP="00E62DF8">
            <w:pPr>
              <w:pStyle w:val="TABLEBULLETNEW"/>
            </w:pPr>
            <w:r>
              <w:t>Update platform diagrams, as needed</w:t>
            </w:r>
          </w:p>
          <w:p w14:paraId="3F35FA8A" w14:textId="0F55A582" w:rsidR="00865247" w:rsidRPr="00635C9B" w:rsidRDefault="00865247" w:rsidP="00E62DF8">
            <w:pPr>
              <w:pStyle w:val="TABLEBULLETNEW"/>
            </w:pPr>
            <w:r>
              <w:t>Update BOM, if applicable</w:t>
            </w:r>
          </w:p>
          <w:p w14:paraId="61838B3F" w14:textId="173F18E2" w:rsidR="00865247" w:rsidRPr="00960FF2" w:rsidRDefault="00865247" w:rsidP="00E62DF8">
            <w:pPr>
              <w:pStyle w:val="TABLEBULLETNEW"/>
            </w:pPr>
            <w:r>
              <w:t>Review Business Continuity and Disaster Recovery Plan (DEL-14), and System Security Plan (DEL-15) in accordance with NY ITS Secure SDLC</w:t>
            </w:r>
          </w:p>
        </w:tc>
        <w:tc>
          <w:tcPr>
            <w:tcW w:w="1654" w:type="dxa"/>
          </w:tcPr>
          <w:p w14:paraId="0E81E4C7" w14:textId="709FBFA9" w:rsidR="00865247" w:rsidRPr="00635C9B" w:rsidRDefault="00865247" w:rsidP="00CB55CE">
            <w:pPr>
              <w:pStyle w:val="TABLEBULLETNEW"/>
            </w:pPr>
            <w:r>
              <w:t>Technical Stakeholders</w:t>
            </w:r>
          </w:p>
        </w:tc>
        <w:tc>
          <w:tcPr>
            <w:tcW w:w="1710" w:type="dxa"/>
          </w:tcPr>
          <w:p w14:paraId="3B88B998" w14:textId="77777777" w:rsidR="00865247" w:rsidRPr="00635C9B" w:rsidRDefault="00865247" w:rsidP="00CB55CE">
            <w:pPr>
              <w:pStyle w:val="TABLEBULLETNEW"/>
            </w:pPr>
            <w:r>
              <w:t xml:space="preserve">Draft MECM System Architecture Design Document </w:t>
            </w:r>
          </w:p>
          <w:p w14:paraId="0744D829" w14:textId="77777777" w:rsidR="00865247" w:rsidRPr="00635C9B" w:rsidRDefault="00865247" w:rsidP="00CB55CE">
            <w:pPr>
              <w:pStyle w:val="TABLEBULLETNEW"/>
            </w:pPr>
            <w:r>
              <w:t>BOM (if applicable)</w:t>
            </w:r>
          </w:p>
          <w:p w14:paraId="77254B7F" w14:textId="38DC2830" w:rsidR="00865247" w:rsidRPr="00635C9B" w:rsidRDefault="00865247" w:rsidP="00CB55CE">
            <w:pPr>
              <w:pStyle w:val="TABLEBULLETNEW"/>
            </w:pPr>
            <w:r>
              <w:t>Draft Business Continuity and Disaster Recovery Plan (DEL-14)</w:t>
            </w:r>
          </w:p>
          <w:p w14:paraId="2832678F" w14:textId="68360569" w:rsidR="00865247" w:rsidRPr="00635C9B" w:rsidRDefault="00865247" w:rsidP="00CB55CE">
            <w:pPr>
              <w:pStyle w:val="TABLEBULLETNEW"/>
            </w:pPr>
            <w:r>
              <w:t xml:space="preserve">Draft System Security Plan (DEL-15) </w:t>
            </w:r>
          </w:p>
        </w:tc>
        <w:tc>
          <w:tcPr>
            <w:tcW w:w="1885" w:type="dxa"/>
          </w:tcPr>
          <w:p w14:paraId="4076E7A5" w14:textId="72D0EEE0" w:rsidR="00865247" w:rsidRPr="00635C9B" w:rsidRDefault="00865247" w:rsidP="00CB55CE">
            <w:pPr>
              <w:pStyle w:val="TABLEBULLETNEW"/>
            </w:pPr>
            <w:r>
              <w:t>Draft MECM System Architecture Design Document (DEL-16) with modifications to architecture diagrams requested in the review session</w:t>
            </w:r>
          </w:p>
          <w:p w14:paraId="2CA18839" w14:textId="7FF4C5A8" w:rsidR="00865247" w:rsidRPr="00635C9B" w:rsidRDefault="00865247" w:rsidP="00CB55CE">
            <w:pPr>
              <w:pStyle w:val="TABLEBULLETNEW"/>
            </w:pPr>
            <w:r>
              <w:t>Updated Business Continuity and Disaster Recovery Plan (DEL-14)</w:t>
            </w:r>
          </w:p>
          <w:p w14:paraId="4BF3C008" w14:textId="04C70F7F" w:rsidR="00865247" w:rsidRPr="00635C9B" w:rsidRDefault="00865247" w:rsidP="00CB55CE">
            <w:pPr>
              <w:pStyle w:val="TABLEBULLETNEW"/>
            </w:pPr>
            <w:r>
              <w:t>Updated System Security Plan (DEL-15)</w:t>
            </w:r>
          </w:p>
          <w:p w14:paraId="30BB9472" w14:textId="611ADE20" w:rsidR="00865247" w:rsidRPr="00635C9B" w:rsidRDefault="00865247" w:rsidP="00CB55CE">
            <w:pPr>
              <w:pStyle w:val="TABLEBULLETNEW"/>
            </w:pPr>
            <w:r>
              <w:t>Updated BOM (if applicable)</w:t>
            </w:r>
          </w:p>
        </w:tc>
      </w:tr>
      <w:tr w:rsidR="00D77B69" w:rsidRPr="00A21682" w14:paraId="449B160B" w14:textId="77777777" w:rsidTr="00E36FED">
        <w:trPr>
          <w:trHeight w:val="300"/>
        </w:trPr>
        <w:tc>
          <w:tcPr>
            <w:tcW w:w="622" w:type="dxa"/>
          </w:tcPr>
          <w:p w14:paraId="00AE3F05" w14:textId="13FAAE77" w:rsidR="00865247" w:rsidRPr="00A21682" w:rsidRDefault="00D05D1A" w:rsidP="00865247">
            <w:pPr>
              <w:pStyle w:val="TABLETEXT1"/>
              <w:rPr>
                <w:lang w:val="en-US"/>
              </w:rPr>
            </w:pPr>
            <w:r>
              <w:rPr>
                <w:lang w:val="en-US"/>
              </w:rPr>
              <w:t>4.4a</w:t>
            </w:r>
          </w:p>
        </w:tc>
        <w:tc>
          <w:tcPr>
            <w:tcW w:w="1507" w:type="dxa"/>
          </w:tcPr>
          <w:p w14:paraId="37B44369" w14:textId="3601CCDD" w:rsidR="00865247" w:rsidRPr="00A21682" w:rsidRDefault="00D05BB7" w:rsidP="00865247">
            <w:pPr>
              <w:pStyle w:val="TABLETEXT1"/>
              <w:rPr>
                <w:lang w:val="en-US"/>
              </w:rPr>
            </w:pPr>
            <w:r>
              <w:rPr>
                <w:lang w:val="en-US"/>
              </w:rPr>
              <w:t xml:space="preserve">Integrated JAD Functional Design Review </w:t>
            </w:r>
            <w:r>
              <w:rPr>
                <w:lang w:val="en-US"/>
              </w:rPr>
              <w:lastRenderedPageBreak/>
              <w:t>and Submission</w:t>
            </w:r>
          </w:p>
        </w:tc>
        <w:tc>
          <w:tcPr>
            <w:tcW w:w="1982" w:type="dxa"/>
          </w:tcPr>
          <w:p w14:paraId="198AED83" w14:textId="365F86CC" w:rsidR="00865247" w:rsidRPr="00E62DF8" w:rsidRDefault="00FF129D" w:rsidP="00E62DF8">
            <w:pPr>
              <w:pStyle w:val="TABLETEXT1"/>
              <w:rPr>
                <w:lang w:val="en-US"/>
              </w:rPr>
            </w:pPr>
            <w:r>
              <w:rPr>
                <w:lang w:val="en-US"/>
              </w:rPr>
              <w:lastRenderedPageBreak/>
              <w:t xml:space="preserve">Review and submit Integrated JAD functional design for the Integrated JAD </w:t>
            </w:r>
            <w:r>
              <w:rPr>
                <w:lang w:val="en-US"/>
              </w:rPr>
              <w:lastRenderedPageBreak/>
              <w:t>topics assigned for the Wave. Design reviews are conducted across Portals, Eligibility, Interfaces, Notices, Enrollment, and Workload Management</w:t>
            </w:r>
          </w:p>
        </w:tc>
        <w:tc>
          <w:tcPr>
            <w:tcW w:w="1654" w:type="dxa"/>
          </w:tcPr>
          <w:p w14:paraId="0F649C1E" w14:textId="77777777" w:rsidR="00865247" w:rsidRDefault="009D48B3" w:rsidP="00CB55CE">
            <w:pPr>
              <w:pStyle w:val="TABLEBULLETNEW"/>
            </w:pPr>
            <w:r>
              <w:lastRenderedPageBreak/>
              <w:t>Technical Stakeholders</w:t>
            </w:r>
          </w:p>
          <w:p w14:paraId="4689A35A" w14:textId="77777777" w:rsidR="005E06FE" w:rsidRDefault="005E06FE" w:rsidP="00CB55CE">
            <w:pPr>
              <w:pStyle w:val="TABLEBULLETNEW"/>
            </w:pPr>
            <w:r>
              <w:t>Business Stakeholders</w:t>
            </w:r>
          </w:p>
          <w:p w14:paraId="01C67BC8" w14:textId="2D5BC0D7" w:rsidR="00865247" w:rsidRPr="00635C9B" w:rsidRDefault="005E06FE" w:rsidP="00CB55CE">
            <w:pPr>
              <w:pStyle w:val="TABLEBULLETNEW"/>
            </w:pPr>
            <w:r>
              <w:lastRenderedPageBreak/>
              <w:t>Functional Stakeholders</w:t>
            </w:r>
          </w:p>
        </w:tc>
        <w:tc>
          <w:tcPr>
            <w:tcW w:w="1710" w:type="dxa"/>
          </w:tcPr>
          <w:p w14:paraId="67AB8CD2" w14:textId="5F3FCA8B" w:rsidR="005E06FE" w:rsidRDefault="00C150C9" w:rsidP="00CB55CE">
            <w:pPr>
              <w:pStyle w:val="TABLEBULLETNEW"/>
            </w:pPr>
            <w:r>
              <w:lastRenderedPageBreak/>
              <w:t xml:space="preserve">Draft NY MECM Functional Design </w:t>
            </w:r>
            <w:r>
              <w:lastRenderedPageBreak/>
              <w:t>Document (DEL-20)</w:t>
            </w:r>
          </w:p>
          <w:p w14:paraId="62DE4FCF" w14:textId="77777777" w:rsidR="00E36FED" w:rsidRDefault="005E06FE" w:rsidP="00CB55CE">
            <w:pPr>
              <w:pStyle w:val="TABLEBULLETNEW"/>
            </w:pPr>
            <w:r>
              <w:t>Draft Interface/</w:t>
            </w:r>
          </w:p>
          <w:p w14:paraId="6E1B627C" w14:textId="77777777" w:rsidR="00E36FED" w:rsidRDefault="005E06FE" w:rsidP="00E36FED">
            <w:pPr>
              <w:pStyle w:val="TABLEBULLETNEW"/>
              <w:numPr>
                <w:ilvl w:val="0"/>
                <w:numId w:val="0"/>
              </w:numPr>
              <w:ind w:left="331"/>
            </w:pPr>
            <w:r>
              <w:t>Batch/</w:t>
            </w:r>
          </w:p>
          <w:p w14:paraId="36875C2F" w14:textId="0C8BE6A1" w:rsidR="00865247" w:rsidRPr="00635C9B" w:rsidRDefault="005E06FE" w:rsidP="00E36FED">
            <w:pPr>
              <w:pStyle w:val="TABLEBULLETNEW"/>
              <w:numPr>
                <w:ilvl w:val="0"/>
                <w:numId w:val="0"/>
              </w:numPr>
              <w:ind w:left="331"/>
            </w:pPr>
            <w:r>
              <w:t xml:space="preserve">Automation Control Documents (DEL-22) with updates from the design validation sessions </w:t>
            </w:r>
          </w:p>
        </w:tc>
        <w:tc>
          <w:tcPr>
            <w:tcW w:w="1885" w:type="dxa"/>
          </w:tcPr>
          <w:p w14:paraId="6FB4B706" w14:textId="128BC96D" w:rsidR="00C150C9" w:rsidRPr="00C150C9" w:rsidRDefault="00C150C9" w:rsidP="00CB55CE">
            <w:pPr>
              <w:pStyle w:val="TABLEBULLETNEW"/>
            </w:pPr>
            <w:r>
              <w:lastRenderedPageBreak/>
              <w:t xml:space="preserve">Draft NY MECM Functional Design </w:t>
            </w:r>
            <w:r>
              <w:lastRenderedPageBreak/>
              <w:t>Document (DEL-20)</w:t>
            </w:r>
          </w:p>
          <w:p w14:paraId="01E83738" w14:textId="3F362BF7" w:rsidR="00865247" w:rsidRPr="00635C9B" w:rsidRDefault="00C150C9" w:rsidP="00CB55CE">
            <w:pPr>
              <w:pStyle w:val="TABLEBULLETNEW"/>
            </w:pPr>
            <w:r>
              <w:t xml:space="preserve">Interface/Batch/Automation Control Documents (DEL-22) </w:t>
            </w:r>
          </w:p>
        </w:tc>
      </w:tr>
      <w:tr w:rsidR="00D77B69" w:rsidRPr="00A21682" w14:paraId="237D84F6" w14:textId="77777777" w:rsidTr="00E36FED">
        <w:trPr>
          <w:trHeight w:val="300"/>
        </w:trPr>
        <w:tc>
          <w:tcPr>
            <w:tcW w:w="622" w:type="dxa"/>
          </w:tcPr>
          <w:p w14:paraId="7C6333BA" w14:textId="64C4AADA" w:rsidR="00270FAB" w:rsidRPr="00A21682" w:rsidRDefault="00270FAB" w:rsidP="00270FAB">
            <w:pPr>
              <w:pStyle w:val="TABLETEXT1"/>
              <w:rPr>
                <w:lang w:val="en-US"/>
              </w:rPr>
            </w:pPr>
            <w:r>
              <w:rPr>
                <w:lang w:val="en-US"/>
              </w:rPr>
              <w:lastRenderedPageBreak/>
              <w:t>4.4b</w:t>
            </w:r>
          </w:p>
        </w:tc>
        <w:tc>
          <w:tcPr>
            <w:tcW w:w="1507" w:type="dxa"/>
          </w:tcPr>
          <w:p w14:paraId="04C459F7" w14:textId="1E17AF14" w:rsidR="00270FAB" w:rsidRPr="00A21682" w:rsidRDefault="00270FAB" w:rsidP="00270FAB">
            <w:pPr>
              <w:pStyle w:val="TABLETEXT1"/>
              <w:rPr>
                <w:lang w:val="en-US"/>
              </w:rPr>
            </w:pPr>
            <w:r>
              <w:rPr>
                <w:lang w:val="en-US"/>
              </w:rPr>
              <w:t>Update and submit system architecture and cloud infrastructure documents</w:t>
            </w:r>
          </w:p>
        </w:tc>
        <w:tc>
          <w:tcPr>
            <w:tcW w:w="1982" w:type="dxa"/>
          </w:tcPr>
          <w:p w14:paraId="0DA451BC" w14:textId="77777777" w:rsidR="00270FAB" w:rsidRPr="00635C9B" w:rsidRDefault="00270FAB" w:rsidP="00E62DF8">
            <w:pPr>
              <w:pStyle w:val="TABLEBULLETNEW"/>
            </w:pPr>
            <w:r>
              <w:t>Update system architecture and cloud platform architecture based on feedback from the review sessions and submit for approval</w:t>
            </w:r>
          </w:p>
          <w:p w14:paraId="7BBC01B7" w14:textId="16E03032" w:rsidR="00270FAB" w:rsidRPr="00960FF2" w:rsidRDefault="00270FAB" w:rsidP="00E62DF8">
            <w:pPr>
              <w:pStyle w:val="TABLEBULLETNEW"/>
            </w:pPr>
            <w:r>
              <w:t>Update Business Continuity and Disaster Recovery Plan (DEL-14), and System Security Plan (DEL-15) in accordance with NY ITS Secure SDLC</w:t>
            </w:r>
          </w:p>
        </w:tc>
        <w:tc>
          <w:tcPr>
            <w:tcW w:w="1654" w:type="dxa"/>
          </w:tcPr>
          <w:p w14:paraId="769AB107" w14:textId="7E10C38E" w:rsidR="00270FAB" w:rsidRPr="00635C9B" w:rsidRDefault="00270FAB" w:rsidP="00CB55CE">
            <w:pPr>
              <w:pStyle w:val="TABLEBULLETNEW"/>
            </w:pPr>
            <w:r>
              <w:t>Technical Stakeholders</w:t>
            </w:r>
          </w:p>
        </w:tc>
        <w:tc>
          <w:tcPr>
            <w:tcW w:w="1710" w:type="dxa"/>
          </w:tcPr>
          <w:p w14:paraId="642B28D4" w14:textId="2A1F5207" w:rsidR="00270FAB" w:rsidRPr="00635C9B" w:rsidRDefault="00270FAB" w:rsidP="00CB55CE">
            <w:pPr>
              <w:pStyle w:val="TABLEBULLETNEW"/>
            </w:pPr>
            <w:r>
              <w:t>Draft MECM System Architecture Design Document (DEL-16) with modifications to architecture diagrams requested in the review session</w:t>
            </w:r>
          </w:p>
          <w:p w14:paraId="27865AF2" w14:textId="58D66F56" w:rsidR="00270FAB" w:rsidRPr="00635C9B" w:rsidRDefault="00270FAB" w:rsidP="00CB55CE">
            <w:pPr>
              <w:pStyle w:val="TABLEBULLETNEW"/>
            </w:pPr>
            <w:r>
              <w:t>Draft Business Continuity and Disaster Recovery Plan (DEL-14)</w:t>
            </w:r>
          </w:p>
        </w:tc>
        <w:tc>
          <w:tcPr>
            <w:tcW w:w="1885" w:type="dxa"/>
          </w:tcPr>
          <w:p w14:paraId="74FF28B1" w14:textId="2B4875B8" w:rsidR="00270FAB" w:rsidRPr="00635C9B" w:rsidRDefault="00270FAB" w:rsidP="00CB55CE">
            <w:pPr>
              <w:pStyle w:val="TABLEBULLETNEW"/>
            </w:pPr>
            <w:r>
              <w:t xml:space="preserve">MECM System Architecture Design Document (DEL-16) </w:t>
            </w:r>
          </w:p>
          <w:p w14:paraId="685BC410" w14:textId="02E942BD" w:rsidR="00270FAB" w:rsidRPr="00635C9B" w:rsidRDefault="00270FAB" w:rsidP="00CB55CE">
            <w:pPr>
              <w:pStyle w:val="TABLEBULLETNEW"/>
            </w:pPr>
            <w:r>
              <w:t xml:space="preserve">Business Continuity and Disaster Recovery Plan (DEL-14) </w:t>
            </w:r>
          </w:p>
        </w:tc>
      </w:tr>
      <w:tr w:rsidR="00D77B69" w:rsidRPr="00A21682" w14:paraId="5E99B3C4" w14:textId="77777777" w:rsidTr="00E36FED">
        <w:trPr>
          <w:trHeight w:val="300"/>
        </w:trPr>
        <w:tc>
          <w:tcPr>
            <w:tcW w:w="622" w:type="dxa"/>
          </w:tcPr>
          <w:p w14:paraId="0E925F77" w14:textId="6EE6AF62" w:rsidR="00270FAB" w:rsidRPr="00A21682" w:rsidRDefault="008B44D1" w:rsidP="00270FAB">
            <w:pPr>
              <w:pStyle w:val="TABLETEXT1"/>
              <w:rPr>
                <w:lang w:val="en-US"/>
              </w:rPr>
            </w:pPr>
            <w:r>
              <w:rPr>
                <w:lang w:val="en-US"/>
              </w:rPr>
              <w:t>4.5a</w:t>
            </w:r>
          </w:p>
        </w:tc>
        <w:tc>
          <w:tcPr>
            <w:tcW w:w="1507" w:type="dxa"/>
          </w:tcPr>
          <w:p w14:paraId="20651D2B" w14:textId="24A6CEEB" w:rsidR="00270FAB" w:rsidRPr="00A21682" w:rsidRDefault="00971694" w:rsidP="00270FAB">
            <w:pPr>
              <w:pStyle w:val="TABLETEXT1"/>
              <w:rPr>
                <w:lang w:val="en-US"/>
              </w:rPr>
            </w:pPr>
            <w:r>
              <w:rPr>
                <w:lang w:val="en-US"/>
              </w:rPr>
              <w:t>Integrated JAD Functional Design Approval</w:t>
            </w:r>
          </w:p>
        </w:tc>
        <w:tc>
          <w:tcPr>
            <w:tcW w:w="1982" w:type="dxa"/>
          </w:tcPr>
          <w:p w14:paraId="621CB24B" w14:textId="367669AC" w:rsidR="00270FAB" w:rsidRPr="00E62DF8" w:rsidRDefault="00FF129D" w:rsidP="00E62DF8">
            <w:pPr>
              <w:pStyle w:val="TABLETEXT1"/>
              <w:rPr>
                <w:lang w:val="en-US"/>
              </w:rPr>
            </w:pPr>
            <w:r>
              <w:rPr>
                <w:lang w:val="en-US"/>
              </w:rPr>
              <w:t>Approve Integrated JAD functional design for the Integrated JAD topics assigned for the Wave</w:t>
            </w:r>
          </w:p>
        </w:tc>
        <w:tc>
          <w:tcPr>
            <w:tcW w:w="1654" w:type="dxa"/>
          </w:tcPr>
          <w:p w14:paraId="33C11F0F" w14:textId="77777777" w:rsidR="000E36DD" w:rsidRPr="00635C9B" w:rsidRDefault="000E36DD" w:rsidP="00CB55CE">
            <w:pPr>
              <w:pStyle w:val="TABLEBULLETNEW"/>
            </w:pPr>
            <w:r>
              <w:t>Business Stakeholders</w:t>
            </w:r>
          </w:p>
          <w:p w14:paraId="12D155A0" w14:textId="77777777" w:rsidR="000E36DD" w:rsidRPr="00635C9B" w:rsidRDefault="000E36DD" w:rsidP="00CB55CE">
            <w:pPr>
              <w:pStyle w:val="TABLEBULLETNEW"/>
            </w:pPr>
            <w:r>
              <w:t>Functional Stakeholders</w:t>
            </w:r>
          </w:p>
          <w:p w14:paraId="01F0BF84" w14:textId="03CE9712" w:rsidR="00270FAB" w:rsidRPr="00635C9B" w:rsidRDefault="000E36DD" w:rsidP="00CB55CE">
            <w:pPr>
              <w:pStyle w:val="TABLEBULLETNEW"/>
            </w:pPr>
            <w:r>
              <w:t>Technical Stakeholders</w:t>
            </w:r>
          </w:p>
        </w:tc>
        <w:tc>
          <w:tcPr>
            <w:tcW w:w="1710" w:type="dxa"/>
          </w:tcPr>
          <w:p w14:paraId="54EA5687" w14:textId="20B40D00" w:rsidR="00270FAB" w:rsidRDefault="000E36DD" w:rsidP="00CB55CE">
            <w:pPr>
              <w:pStyle w:val="TABLEBULLETNEW"/>
            </w:pPr>
            <w:r>
              <w:t>Functional Design Document (DEL-20)</w:t>
            </w:r>
          </w:p>
          <w:p w14:paraId="0163A1FA" w14:textId="77777777" w:rsidR="00E36FED" w:rsidRDefault="000E36DD" w:rsidP="00CB55CE">
            <w:pPr>
              <w:pStyle w:val="TABLEBULLETNEW"/>
            </w:pPr>
            <w:r>
              <w:t>Interface/</w:t>
            </w:r>
          </w:p>
          <w:p w14:paraId="30F4B3AF" w14:textId="77777777" w:rsidR="00E36FED" w:rsidRDefault="000E36DD" w:rsidP="00E36FED">
            <w:pPr>
              <w:pStyle w:val="TABLEBULLETNEW"/>
              <w:numPr>
                <w:ilvl w:val="0"/>
                <w:numId w:val="0"/>
              </w:numPr>
              <w:ind w:left="331"/>
            </w:pPr>
            <w:r>
              <w:t>Batch/</w:t>
            </w:r>
          </w:p>
          <w:p w14:paraId="0BEFDD62" w14:textId="66499C0E" w:rsidR="00270FAB" w:rsidRPr="00635C9B" w:rsidRDefault="000E36DD" w:rsidP="00E36FED">
            <w:pPr>
              <w:pStyle w:val="TABLEBULLETNEW"/>
              <w:numPr>
                <w:ilvl w:val="0"/>
                <w:numId w:val="0"/>
              </w:numPr>
              <w:ind w:left="331"/>
            </w:pPr>
            <w:r>
              <w:t xml:space="preserve">Automation Control Documents (DEL-22) </w:t>
            </w:r>
          </w:p>
        </w:tc>
        <w:tc>
          <w:tcPr>
            <w:tcW w:w="1885" w:type="dxa"/>
          </w:tcPr>
          <w:p w14:paraId="43CC2092" w14:textId="2A926C67" w:rsidR="00270FAB" w:rsidRDefault="000E36DD" w:rsidP="00CB55CE">
            <w:pPr>
              <w:pStyle w:val="TABLEBULLETNEW"/>
            </w:pPr>
            <w:r>
              <w:t>Approved Functional Design Document (DEL-20)</w:t>
            </w:r>
          </w:p>
          <w:p w14:paraId="0C0CB573" w14:textId="2363460A" w:rsidR="00270FAB" w:rsidRPr="00635C9B" w:rsidRDefault="00A033B2" w:rsidP="00CB55CE">
            <w:pPr>
              <w:pStyle w:val="TABLEBULLETNEW"/>
            </w:pPr>
            <w:r>
              <w:t xml:space="preserve">Approved Interface/Batch/Automation Control </w:t>
            </w:r>
            <w:r>
              <w:lastRenderedPageBreak/>
              <w:t xml:space="preserve">Documents (DEL-22) </w:t>
            </w:r>
          </w:p>
        </w:tc>
      </w:tr>
      <w:tr w:rsidR="00D77B69" w:rsidRPr="00A21682" w14:paraId="2B3C1CC9" w14:textId="77777777" w:rsidTr="00E36FED">
        <w:trPr>
          <w:trHeight w:val="300"/>
        </w:trPr>
        <w:tc>
          <w:tcPr>
            <w:tcW w:w="622" w:type="dxa"/>
          </w:tcPr>
          <w:p w14:paraId="54DA9C61" w14:textId="64888515" w:rsidR="007E2D4C" w:rsidRPr="00A21682" w:rsidRDefault="007E2D4C" w:rsidP="007E2D4C">
            <w:pPr>
              <w:pStyle w:val="TABLETEXT1"/>
              <w:rPr>
                <w:lang w:val="en-US"/>
              </w:rPr>
            </w:pPr>
            <w:r>
              <w:rPr>
                <w:lang w:val="en-US"/>
              </w:rPr>
              <w:lastRenderedPageBreak/>
              <w:t>4.5b</w:t>
            </w:r>
          </w:p>
        </w:tc>
        <w:tc>
          <w:tcPr>
            <w:tcW w:w="1507" w:type="dxa"/>
          </w:tcPr>
          <w:p w14:paraId="61AE2148" w14:textId="691F0E83" w:rsidR="007E2D4C" w:rsidRPr="00A21682" w:rsidRDefault="007E2D4C" w:rsidP="007E2D4C">
            <w:pPr>
              <w:pStyle w:val="TABLETEXT1"/>
              <w:rPr>
                <w:lang w:val="en-US"/>
              </w:rPr>
            </w:pPr>
            <w:r>
              <w:rPr>
                <w:lang w:val="en-US"/>
              </w:rPr>
              <w:t>Review and approve system architecture and cloud infrastructure documents</w:t>
            </w:r>
          </w:p>
        </w:tc>
        <w:tc>
          <w:tcPr>
            <w:tcW w:w="1982" w:type="dxa"/>
          </w:tcPr>
          <w:p w14:paraId="677CA7D5" w14:textId="77777777" w:rsidR="007E2D4C" w:rsidRPr="00635C9B" w:rsidRDefault="007E2D4C" w:rsidP="00E62DF8">
            <w:pPr>
              <w:pStyle w:val="TABLEBULLETNEW"/>
            </w:pPr>
            <w:r>
              <w:t>Review and approve logical and physical system architecture and cloud platform architecture</w:t>
            </w:r>
          </w:p>
          <w:p w14:paraId="703FC482" w14:textId="5C22F609" w:rsidR="007E2D4C" w:rsidRPr="00635C9B" w:rsidRDefault="007E2D4C" w:rsidP="00E62DF8">
            <w:pPr>
              <w:pStyle w:val="TABLEBULLETNEW"/>
              <w:rPr>
                <w:spacing w:val="-2"/>
              </w:rPr>
            </w:pPr>
            <w:r>
              <w:t>Review and approve Business Continuity and Disaster Recovery Plan (DEL-14), and System Security Plan (DEL-15) in accordance with NY ITS Secure SDLC</w:t>
            </w:r>
          </w:p>
        </w:tc>
        <w:tc>
          <w:tcPr>
            <w:tcW w:w="1654" w:type="dxa"/>
          </w:tcPr>
          <w:p w14:paraId="5962AB02" w14:textId="01509F8E" w:rsidR="007E2D4C" w:rsidRPr="00635C9B" w:rsidRDefault="007E2D4C" w:rsidP="00CB55CE">
            <w:pPr>
              <w:pStyle w:val="TABLEBULLETNEW"/>
            </w:pPr>
            <w:r>
              <w:t>Technical Stakeholders</w:t>
            </w:r>
          </w:p>
        </w:tc>
        <w:tc>
          <w:tcPr>
            <w:tcW w:w="1710" w:type="dxa"/>
          </w:tcPr>
          <w:p w14:paraId="0D05AF61" w14:textId="3E57F443" w:rsidR="007E2D4C" w:rsidRPr="00635C9B" w:rsidRDefault="007E2D4C" w:rsidP="00CB55CE">
            <w:pPr>
              <w:pStyle w:val="TABLEBULLETNEW"/>
            </w:pPr>
            <w:r>
              <w:t xml:space="preserve">MECM System Architecture Design Document (DEL-16) </w:t>
            </w:r>
          </w:p>
          <w:p w14:paraId="2E25D6D6" w14:textId="5B34A806" w:rsidR="007E2D4C" w:rsidRPr="00635C9B" w:rsidRDefault="007E2D4C" w:rsidP="00CB55CE">
            <w:pPr>
              <w:pStyle w:val="TABLEBULLETNEW"/>
            </w:pPr>
            <w:r>
              <w:t>Business Continuity and Disaster Recovery Plan (DEL-14)</w:t>
            </w:r>
          </w:p>
          <w:p w14:paraId="39474844" w14:textId="0E1EE325" w:rsidR="007E2D4C" w:rsidRPr="00635C9B" w:rsidRDefault="007E2D4C" w:rsidP="00CB55CE">
            <w:pPr>
              <w:pStyle w:val="TABLEBULLETNEW"/>
            </w:pPr>
            <w:r>
              <w:t>System Security Plan (DEL-15)</w:t>
            </w:r>
          </w:p>
        </w:tc>
        <w:tc>
          <w:tcPr>
            <w:tcW w:w="1885" w:type="dxa"/>
          </w:tcPr>
          <w:p w14:paraId="76424651" w14:textId="3DF8801F" w:rsidR="007E2D4C" w:rsidRPr="00635C9B" w:rsidRDefault="007E2D4C" w:rsidP="00CB55CE">
            <w:pPr>
              <w:pStyle w:val="TABLEBULLETNEW"/>
            </w:pPr>
            <w:r>
              <w:t>Approved MECM System Architecture Design Document (DEL-16)</w:t>
            </w:r>
          </w:p>
          <w:p w14:paraId="679083B0" w14:textId="107D0641" w:rsidR="007E2D4C" w:rsidRPr="00635C9B" w:rsidRDefault="007E2D4C" w:rsidP="00CB55CE">
            <w:pPr>
              <w:pStyle w:val="TABLEBULLETNEW"/>
            </w:pPr>
            <w:r>
              <w:t>Approved Business Continuity and Disaster Recovery Report (DEL-14)</w:t>
            </w:r>
          </w:p>
          <w:p w14:paraId="7EAC18B0" w14:textId="27659726" w:rsidR="007E2D4C" w:rsidRPr="00635C9B" w:rsidRDefault="007E2D4C" w:rsidP="00CB55CE">
            <w:pPr>
              <w:pStyle w:val="TABLEBULLETNEW"/>
            </w:pPr>
            <w:r>
              <w:t>Approved System Security Plan (DEL-15)</w:t>
            </w:r>
          </w:p>
        </w:tc>
      </w:tr>
      <w:tr w:rsidR="00D77B69" w:rsidRPr="00A21682" w14:paraId="05CC8A91" w14:textId="77777777" w:rsidTr="00E36FED">
        <w:trPr>
          <w:trHeight w:val="300"/>
        </w:trPr>
        <w:tc>
          <w:tcPr>
            <w:tcW w:w="622" w:type="dxa"/>
          </w:tcPr>
          <w:p w14:paraId="2EFF7062" w14:textId="1DD5CBC2" w:rsidR="007629B6" w:rsidRPr="00A21682" w:rsidRDefault="007629B6" w:rsidP="007E2D4C">
            <w:pPr>
              <w:pStyle w:val="TABLETEXT1"/>
              <w:rPr>
                <w:lang w:val="en-US"/>
              </w:rPr>
            </w:pPr>
            <w:r>
              <w:rPr>
                <w:lang w:val="en-US"/>
              </w:rPr>
              <w:t>4.5c</w:t>
            </w:r>
          </w:p>
        </w:tc>
        <w:tc>
          <w:tcPr>
            <w:tcW w:w="1507" w:type="dxa"/>
          </w:tcPr>
          <w:p w14:paraId="188730AD" w14:textId="517C9E71" w:rsidR="007629B6" w:rsidRPr="00A21682" w:rsidRDefault="009A5B4E" w:rsidP="007E2D4C">
            <w:pPr>
              <w:pStyle w:val="TABLETEXT1"/>
              <w:rPr>
                <w:lang w:val="en-US"/>
              </w:rPr>
            </w:pPr>
            <w:r>
              <w:rPr>
                <w:lang w:val="en-US"/>
              </w:rPr>
              <w:t>All iteration/bundle design documents approved</w:t>
            </w:r>
          </w:p>
        </w:tc>
        <w:tc>
          <w:tcPr>
            <w:tcW w:w="1982" w:type="dxa"/>
          </w:tcPr>
          <w:p w14:paraId="4CB75261" w14:textId="4C89DF0A" w:rsidR="00E560A8" w:rsidRPr="008514D3" w:rsidRDefault="00E560A8" w:rsidP="00670B63">
            <w:pPr>
              <w:pStyle w:val="TABLEBULLETNEW"/>
            </w:pPr>
            <w:r>
              <w:t xml:space="preserve">If yes, proceed to </w:t>
            </w:r>
            <w:r>
              <w:rPr>
                <w:i/>
              </w:rPr>
              <w:t>Step #4.6 Update the Requirements Traceability Matrix (DEL-19) with design components</w:t>
            </w:r>
          </w:p>
          <w:p w14:paraId="156324DB" w14:textId="64F37B1F" w:rsidR="007629B6" w:rsidRPr="00635C9B" w:rsidRDefault="00E560A8" w:rsidP="00670B63">
            <w:pPr>
              <w:pStyle w:val="TABLEBULLETNEW"/>
            </w:pPr>
            <w:r>
              <w:t xml:space="preserve">If no, proceed to </w:t>
            </w:r>
            <w:r>
              <w:rPr>
                <w:i/>
              </w:rPr>
              <w:t>Step #4.4a Integrated JAD Functional Design Review and Submission</w:t>
            </w:r>
          </w:p>
        </w:tc>
        <w:tc>
          <w:tcPr>
            <w:tcW w:w="1654" w:type="dxa"/>
          </w:tcPr>
          <w:p w14:paraId="1789AE64" w14:textId="62E55B0C" w:rsidR="007629B6" w:rsidRPr="008404B3" w:rsidRDefault="002A4C79" w:rsidP="00CB55CE">
            <w:pPr>
              <w:pStyle w:val="TABLEBULLETNEW"/>
            </w:pPr>
            <w:r>
              <w:t>Functional Stakeholders</w:t>
            </w:r>
          </w:p>
        </w:tc>
        <w:tc>
          <w:tcPr>
            <w:tcW w:w="1710" w:type="dxa"/>
          </w:tcPr>
          <w:p w14:paraId="18EFA237" w14:textId="77777777" w:rsidR="00C91234" w:rsidRPr="00C91234" w:rsidRDefault="00C91234" w:rsidP="00CB55CE">
            <w:pPr>
              <w:pStyle w:val="TABLEBULLETNEW"/>
            </w:pPr>
            <w:r>
              <w:t>Functional Design Document (DEL-20)</w:t>
            </w:r>
          </w:p>
          <w:p w14:paraId="66F5ADE1" w14:textId="77777777" w:rsidR="00E36FED" w:rsidRDefault="00C91234" w:rsidP="00CB55CE">
            <w:pPr>
              <w:pStyle w:val="TABLEBULLETNEW"/>
            </w:pPr>
            <w:r>
              <w:t>Interface/</w:t>
            </w:r>
          </w:p>
          <w:p w14:paraId="34C0616C" w14:textId="77777777" w:rsidR="00E36FED" w:rsidRDefault="00C91234" w:rsidP="00E36FED">
            <w:pPr>
              <w:pStyle w:val="TABLEBULLETNEW"/>
              <w:numPr>
                <w:ilvl w:val="0"/>
                <w:numId w:val="0"/>
              </w:numPr>
              <w:ind w:left="331"/>
            </w:pPr>
            <w:r>
              <w:t>Batch/</w:t>
            </w:r>
          </w:p>
          <w:p w14:paraId="17F3FB16" w14:textId="7A1C8FAA" w:rsidR="00A71837" w:rsidRPr="00635C9B" w:rsidRDefault="00C91234" w:rsidP="00E36FED">
            <w:pPr>
              <w:pStyle w:val="TABLEBULLETNEW"/>
              <w:numPr>
                <w:ilvl w:val="0"/>
                <w:numId w:val="0"/>
              </w:numPr>
              <w:ind w:left="331"/>
            </w:pPr>
            <w:r>
              <w:t>Automation Control Documents (DEL-22)</w:t>
            </w:r>
          </w:p>
        </w:tc>
        <w:tc>
          <w:tcPr>
            <w:tcW w:w="1885" w:type="dxa"/>
          </w:tcPr>
          <w:p w14:paraId="2232A8BC" w14:textId="77777777" w:rsidR="001B4C0C" w:rsidRDefault="001B4C0C" w:rsidP="00CB55CE">
            <w:pPr>
              <w:pStyle w:val="TABLEBULLETNEW"/>
            </w:pPr>
            <w:r>
              <w:t>Approved Functional Design Document (DEL-20)</w:t>
            </w:r>
          </w:p>
          <w:p w14:paraId="05F43CC8" w14:textId="0C7FEA40" w:rsidR="007629B6" w:rsidRPr="00635C9B" w:rsidRDefault="001B4C0C" w:rsidP="00CB55CE">
            <w:pPr>
              <w:pStyle w:val="TABLEBULLETNEW"/>
            </w:pPr>
            <w:r>
              <w:t>Approved Interface/Batch/Automation Control Documents (DEL-22)</w:t>
            </w:r>
          </w:p>
        </w:tc>
      </w:tr>
      <w:tr w:rsidR="00D77B69" w:rsidRPr="00A21682" w14:paraId="05A906F3" w14:textId="77777777" w:rsidTr="00E36FED">
        <w:trPr>
          <w:cantSplit/>
          <w:trHeight w:val="300"/>
        </w:trPr>
        <w:tc>
          <w:tcPr>
            <w:tcW w:w="622" w:type="dxa"/>
          </w:tcPr>
          <w:p w14:paraId="714E3CC3" w14:textId="77777777" w:rsidR="00C5516F" w:rsidRPr="00A21682" w:rsidRDefault="00C5516F" w:rsidP="00C439A5">
            <w:pPr>
              <w:pStyle w:val="TABLETEXT1"/>
              <w:rPr>
                <w:lang w:val="en-US"/>
              </w:rPr>
            </w:pPr>
            <w:r>
              <w:rPr>
                <w:lang w:val="en-US"/>
              </w:rPr>
              <w:lastRenderedPageBreak/>
              <w:t>4.6</w:t>
            </w:r>
          </w:p>
        </w:tc>
        <w:tc>
          <w:tcPr>
            <w:tcW w:w="1507" w:type="dxa"/>
          </w:tcPr>
          <w:p w14:paraId="617E0BC9" w14:textId="11C0B40A" w:rsidR="00C5516F" w:rsidRPr="00A21682" w:rsidRDefault="00C5516F" w:rsidP="00C439A5">
            <w:pPr>
              <w:pStyle w:val="TABLETEXT1"/>
              <w:rPr>
                <w:lang w:val="en-US"/>
              </w:rPr>
            </w:pPr>
            <w:r>
              <w:rPr>
                <w:lang w:val="en-US"/>
              </w:rPr>
              <w:t>Update the Requirements Traceability Matrix (DEL-19) with design components</w:t>
            </w:r>
          </w:p>
        </w:tc>
        <w:tc>
          <w:tcPr>
            <w:tcW w:w="1982" w:type="dxa"/>
          </w:tcPr>
          <w:p w14:paraId="3B96FD1B" w14:textId="79F76AFD" w:rsidR="00C5516F" w:rsidRPr="00670B63" w:rsidRDefault="00C5516F" w:rsidP="00670B63">
            <w:pPr>
              <w:pStyle w:val="TABLETEXT1"/>
              <w:rPr>
                <w:lang w:val="en-US"/>
              </w:rPr>
            </w:pPr>
            <w:r>
              <w:rPr>
                <w:lang w:val="en-US"/>
              </w:rPr>
              <w:t>Update linkages in the ALM tool where design widgets are mapped against previously loaded approved requirements</w:t>
            </w:r>
          </w:p>
        </w:tc>
        <w:tc>
          <w:tcPr>
            <w:tcW w:w="1654" w:type="dxa"/>
          </w:tcPr>
          <w:p w14:paraId="2A78BB8B" w14:textId="77777777" w:rsidR="00C5516F" w:rsidRPr="00635C9B" w:rsidRDefault="00C5516F" w:rsidP="00CB55CE">
            <w:pPr>
              <w:pStyle w:val="TABLEBULLETNEW"/>
            </w:pPr>
            <w:r>
              <w:t>Functional Stakeholders</w:t>
            </w:r>
          </w:p>
        </w:tc>
        <w:tc>
          <w:tcPr>
            <w:tcW w:w="1710" w:type="dxa"/>
          </w:tcPr>
          <w:p w14:paraId="74BF88F4" w14:textId="4C9AED5D" w:rsidR="00C5516F" w:rsidRPr="00635C9B" w:rsidRDefault="00C5516F" w:rsidP="00CB55CE">
            <w:pPr>
              <w:pStyle w:val="TABLEBULLETNEW"/>
            </w:pPr>
            <w:r>
              <w:t>Approved Functional Design Documents (DEL-20)</w:t>
            </w:r>
          </w:p>
          <w:p w14:paraId="148CE4BC" w14:textId="77777777" w:rsidR="00E36FED" w:rsidRDefault="00C5516F" w:rsidP="00CB55CE">
            <w:pPr>
              <w:pStyle w:val="TABLEBULLETNEW"/>
            </w:pPr>
            <w:r>
              <w:t>Approved Interface/</w:t>
            </w:r>
          </w:p>
          <w:p w14:paraId="4F0BE980" w14:textId="77777777" w:rsidR="00E36FED" w:rsidRDefault="00296C25" w:rsidP="00E36FED">
            <w:pPr>
              <w:pStyle w:val="TABLEBULLETNEW"/>
              <w:numPr>
                <w:ilvl w:val="0"/>
                <w:numId w:val="0"/>
              </w:numPr>
              <w:ind w:left="331"/>
            </w:pPr>
            <w:r>
              <w:t>Batch/</w:t>
            </w:r>
          </w:p>
          <w:p w14:paraId="72F5E117" w14:textId="7DB976B5" w:rsidR="00C5516F" w:rsidRPr="00635C9B" w:rsidRDefault="00296C25" w:rsidP="00E36FED">
            <w:pPr>
              <w:pStyle w:val="TABLEBULLETNEW"/>
              <w:numPr>
                <w:ilvl w:val="0"/>
                <w:numId w:val="0"/>
              </w:numPr>
              <w:ind w:left="331"/>
            </w:pPr>
            <w:r>
              <w:t>Automation Control Documents (DEL-22)</w:t>
            </w:r>
          </w:p>
        </w:tc>
        <w:tc>
          <w:tcPr>
            <w:tcW w:w="1885" w:type="dxa"/>
          </w:tcPr>
          <w:p w14:paraId="5DC91149" w14:textId="78974C65" w:rsidR="00C5516F" w:rsidRPr="00635C9B" w:rsidRDefault="00C5516F" w:rsidP="00CB55CE">
            <w:pPr>
              <w:pStyle w:val="TABLEBULLETNEW"/>
            </w:pPr>
            <w:r>
              <w:t>Updated Requirements Traceability Matrix (DEL-19)</w:t>
            </w:r>
          </w:p>
        </w:tc>
      </w:tr>
    </w:tbl>
    <w:p w14:paraId="407C3B32" w14:textId="35A4316E" w:rsidR="00C5516F" w:rsidRPr="00A21682" w:rsidRDefault="00C5516F" w:rsidP="005911DA">
      <w:pPr>
        <w:pStyle w:val="Caption"/>
        <w:rPr>
          <w:noProof w:val="0"/>
        </w:rPr>
      </w:pPr>
      <w:bookmarkStart w:id="397" w:name="_Toc150951875"/>
      <w:bookmarkStart w:id="398" w:name="_Toc19287510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17</w:t>
      </w:r>
      <w:r>
        <w:rPr>
          <w:noProof w:val="0"/>
        </w:rPr>
        <w:fldChar w:fldCharType="end"/>
      </w:r>
      <w:r>
        <w:rPr>
          <w:noProof w:val="0"/>
        </w:rPr>
        <w:t>: Design Phase Process Flow Narrative</w:t>
      </w:r>
      <w:bookmarkEnd w:id="397"/>
      <w:bookmarkEnd w:id="398"/>
    </w:p>
    <w:p w14:paraId="78F7B95D" w14:textId="77777777" w:rsidR="00C5516F" w:rsidRPr="00A21682" w:rsidRDefault="00C5516F">
      <w:pPr>
        <w:pStyle w:val="Heading3"/>
        <w:rPr>
          <w:bCs/>
          <w:u w:color="000000"/>
        </w:rPr>
      </w:pPr>
      <w:bookmarkStart w:id="399" w:name="_Toc148102337"/>
      <w:bookmarkStart w:id="400" w:name="_Toc152605821"/>
      <w:bookmarkStart w:id="401" w:name="_Toc177118963"/>
      <w:bookmarkStart w:id="402" w:name="_Toc185952518"/>
      <w:bookmarkStart w:id="403" w:name="_Toc192874692"/>
      <w:r>
        <w:rPr>
          <w:u w:color="000000"/>
        </w:rPr>
        <w:t>Roles and Responsibilities</w:t>
      </w:r>
      <w:bookmarkEnd w:id="399"/>
      <w:bookmarkEnd w:id="400"/>
      <w:bookmarkEnd w:id="401"/>
      <w:bookmarkEnd w:id="402"/>
      <w:bookmarkEnd w:id="403"/>
    </w:p>
    <w:p w14:paraId="1844C3EF" w14:textId="77777777" w:rsidR="009C4682" w:rsidRPr="00A21682" w:rsidRDefault="009C4682" w:rsidP="009C4682">
      <w:pPr>
        <w:pStyle w:val="NormalNEW"/>
        <w:rPr>
          <w:u w:color="000000"/>
          <w:lang w:val="en-US"/>
        </w:rPr>
      </w:pPr>
      <w:bookmarkStart w:id="404" w:name="_Toc148102338"/>
      <w:bookmarkStart w:id="405" w:name="_Toc152605822"/>
      <w:r>
        <w:rPr>
          <w:u w:color="000000"/>
          <w:lang w:val="en-US"/>
        </w:rPr>
        <w:t xml:space="preserve">The SDLC RACI Matrix and roles and responsibilities can be found in Appendix C-1. </w:t>
      </w:r>
    </w:p>
    <w:p w14:paraId="55F6105B" w14:textId="77777777" w:rsidR="00C5516F" w:rsidRPr="00A21682" w:rsidRDefault="00C5516F">
      <w:pPr>
        <w:pStyle w:val="Heading3"/>
        <w:rPr>
          <w:bCs/>
          <w:u w:color="000000"/>
        </w:rPr>
      </w:pPr>
      <w:bookmarkStart w:id="406" w:name="_Toc177118964"/>
      <w:bookmarkStart w:id="407" w:name="_Toc185952519"/>
      <w:bookmarkStart w:id="408" w:name="_Toc192874693"/>
      <w:r>
        <w:rPr>
          <w:u w:color="000000"/>
        </w:rPr>
        <w:t>Phase Exit Criteria</w:t>
      </w:r>
      <w:bookmarkEnd w:id="404"/>
      <w:bookmarkEnd w:id="405"/>
      <w:bookmarkEnd w:id="406"/>
      <w:bookmarkEnd w:id="407"/>
      <w:bookmarkEnd w:id="408"/>
    </w:p>
    <w:p w14:paraId="6DF8BBBE" w14:textId="77777777" w:rsidR="00601951" w:rsidRPr="00A21682" w:rsidRDefault="00601951" w:rsidP="00601951">
      <w:pPr>
        <w:pStyle w:val="NormalNEW"/>
        <w:rPr>
          <w:lang w:val="en-US"/>
        </w:rPr>
      </w:pPr>
      <w:r>
        <w:rPr>
          <w:lang w:val="en-US"/>
        </w:rPr>
        <w:t>Key stakeholders from ███████ and DOH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1A859A78" w14:textId="77777777" w:rsidTr="00C968EF">
        <w:trPr>
          <w:trHeight w:val="300"/>
        </w:trPr>
        <w:tc>
          <w:tcPr>
            <w:tcW w:w="481" w:type="dxa"/>
            <w:tcBorders>
              <w:right w:val="single" w:sz="2" w:space="0" w:color="FFFFFF" w:themeColor="background1"/>
            </w:tcBorders>
            <w:shd w:val="clear" w:color="auto" w:fill="000000"/>
            <w:hideMark/>
          </w:tcPr>
          <w:p w14:paraId="7424ACF2" w14:textId="77777777" w:rsidR="00C5516F" w:rsidRPr="00A21682" w:rsidRDefault="00C5516F" w:rsidP="00FB3120">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3E0BBE8B" w14:textId="77777777" w:rsidR="00C5516F" w:rsidRPr="00A21682" w:rsidRDefault="00C5516F" w:rsidP="00FB3120">
            <w:pPr>
              <w:pStyle w:val="TABLEHEADINGNEW"/>
            </w:pPr>
            <w:r>
              <w:t>Exit Criteria</w:t>
            </w:r>
          </w:p>
        </w:tc>
        <w:tc>
          <w:tcPr>
            <w:tcW w:w="4300" w:type="dxa"/>
            <w:tcBorders>
              <w:left w:val="single" w:sz="2" w:space="0" w:color="FFFFFF" w:themeColor="background1"/>
            </w:tcBorders>
            <w:shd w:val="clear" w:color="auto" w:fill="000000"/>
          </w:tcPr>
          <w:p w14:paraId="6399B36F" w14:textId="77777777" w:rsidR="00C5516F" w:rsidRPr="00A21682" w:rsidRDefault="00C5516F" w:rsidP="00FB3120">
            <w:pPr>
              <w:pStyle w:val="TABLEHEADINGNEW"/>
            </w:pPr>
            <w:r>
              <w:t>Related Document(s)/Artifact(s)</w:t>
            </w:r>
          </w:p>
        </w:tc>
      </w:tr>
      <w:tr w:rsidR="00C5516F" w:rsidRPr="00A21682" w14:paraId="3C1082CB" w14:textId="77777777" w:rsidTr="00813FF4">
        <w:trPr>
          <w:trHeight w:val="300"/>
        </w:trPr>
        <w:tc>
          <w:tcPr>
            <w:tcW w:w="481" w:type="dxa"/>
            <w:hideMark/>
          </w:tcPr>
          <w:p w14:paraId="1283ABB6" w14:textId="77777777" w:rsidR="00C5516F" w:rsidRPr="00A21682" w:rsidRDefault="00C5516F" w:rsidP="002630D2">
            <w:pPr>
              <w:pStyle w:val="TABLETEXT1"/>
              <w:rPr>
                <w:lang w:val="en-US"/>
              </w:rPr>
            </w:pPr>
            <w:r>
              <w:rPr>
                <w:lang w:val="en-US"/>
              </w:rPr>
              <w:t>1</w:t>
            </w:r>
          </w:p>
        </w:tc>
        <w:tc>
          <w:tcPr>
            <w:tcW w:w="4563" w:type="dxa"/>
          </w:tcPr>
          <w:p w14:paraId="605F2ED8" w14:textId="000C523A" w:rsidR="00C5516F" w:rsidRPr="00A21682" w:rsidRDefault="00C5516F" w:rsidP="00FB3120">
            <w:pPr>
              <w:pStyle w:val="TABLETEXT1"/>
              <w:rPr>
                <w:lang w:val="en-US"/>
              </w:rPr>
            </w:pPr>
            <w:r>
              <w:rPr>
                <w:lang w:val="en-US"/>
              </w:rPr>
              <w:t>Functional Design Documents (DEL-20) and Interface/Batch/Automation Control Documents (DEL-22) are approved</w:t>
            </w:r>
          </w:p>
        </w:tc>
        <w:tc>
          <w:tcPr>
            <w:tcW w:w="4300" w:type="dxa"/>
          </w:tcPr>
          <w:p w14:paraId="3E950A7B" w14:textId="3EF20346" w:rsidR="00C5516F" w:rsidRPr="00635C9B" w:rsidRDefault="00C5516F" w:rsidP="00277206">
            <w:pPr>
              <w:pStyle w:val="TABLEBULLETNEW"/>
            </w:pPr>
            <w:r>
              <w:t xml:space="preserve">Functional Design Document (DEL-20) </w:t>
            </w:r>
          </w:p>
          <w:p w14:paraId="76BFEDBE" w14:textId="4CE1246D" w:rsidR="00C5516F" w:rsidRPr="00635C9B" w:rsidRDefault="00C5516F" w:rsidP="00277206">
            <w:pPr>
              <w:pStyle w:val="TABLEBULLETNEW"/>
            </w:pPr>
            <w:r>
              <w:t>Interface/Batch/Automation Control Documents (DEL-22)</w:t>
            </w:r>
          </w:p>
        </w:tc>
      </w:tr>
      <w:tr w:rsidR="00C5516F" w:rsidRPr="00A21682" w14:paraId="56D0083D" w14:textId="77777777" w:rsidTr="00813FF4">
        <w:trPr>
          <w:trHeight w:val="300"/>
        </w:trPr>
        <w:tc>
          <w:tcPr>
            <w:tcW w:w="481" w:type="dxa"/>
          </w:tcPr>
          <w:p w14:paraId="60766775" w14:textId="77777777" w:rsidR="00C5516F" w:rsidRPr="00A21682" w:rsidRDefault="00C5516F" w:rsidP="002630D2">
            <w:pPr>
              <w:pStyle w:val="TABLETEXT1"/>
              <w:rPr>
                <w:lang w:val="en-US"/>
              </w:rPr>
            </w:pPr>
            <w:r>
              <w:rPr>
                <w:lang w:val="en-US"/>
              </w:rPr>
              <w:t>2</w:t>
            </w:r>
          </w:p>
        </w:tc>
        <w:tc>
          <w:tcPr>
            <w:tcW w:w="4563" w:type="dxa"/>
          </w:tcPr>
          <w:p w14:paraId="396BD8CF" w14:textId="630D2CA5" w:rsidR="00C5516F" w:rsidRPr="00A21682" w:rsidRDefault="00C5516F" w:rsidP="00FB3120">
            <w:pPr>
              <w:pStyle w:val="TABLETEXT1"/>
              <w:rPr>
                <w:spacing w:val="-4"/>
                <w:lang w:val="en-US"/>
              </w:rPr>
            </w:pPr>
            <w:r>
              <w:rPr>
                <w:spacing w:val="-4"/>
                <w:lang w:val="en-US"/>
              </w:rPr>
              <w:t>RTM updated in the requirements management tool with approved Functional Design Documents (DEL-20) and Interface/ Batch/Automation Control Documents (DEL-22)</w:t>
            </w:r>
          </w:p>
        </w:tc>
        <w:tc>
          <w:tcPr>
            <w:tcW w:w="4300" w:type="dxa"/>
          </w:tcPr>
          <w:p w14:paraId="796946DA" w14:textId="7BDB5147" w:rsidR="00C5516F" w:rsidRPr="00635C9B" w:rsidRDefault="00C5516F" w:rsidP="00277206">
            <w:pPr>
              <w:pStyle w:val="TABLEBULLETNEW"/>
            </w:pPr>
            <w:r>
              <w:t xml:space="preserve">Updated Requirements Traceability Matrix (DEL-19) with design components </w:t>
            </w:r>
          </w:p>
        </w:tc>
      </w:tr>
    </w:tbl>
    <w:p w14:paraId="05D8ED7F" w14:textId="4C27697D" w:rsidR="00C5516F" w:rsidRPr="00A21682" w:rsidRDefault="00C5516F" w:rsidP="005911DA">
      <w:pPr>
        <w:pStyle w:val="Caption"/>
        <w:rPr>
          <w:rFonts w:cs="Arial"/>
          <w:noProof w:val="0"/>
        </w:rPr>
      </w:pPr>
      <w:bookmarkStart w:id="409" w:name="_Toc150951876"/>
      <w:bookmarkStart w:id="410" w:name="_Toc19287510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18</w:t>
      </w:r>
      <w:r>
        <w:rPr>
          <w:noProof w:val="0"/>
        </w:rPr>
        <w:fldChar w:fldCharType="end"/>
      </w:r>
      <w:r>
        <w:rPr>
          <w:noProof w:val="0"/>
        </w:rPr>
        <w:t>:</w:t>
      </w:r>
      <w:r>
        <w:rPr>
          <w:rFonts w:cs="Arial"/>
          <w:noProof w:val="0"/>
        </w:rPr>
        <w:t xml:space="preserve"> Design Phase Exit Criteria</w:t>
      </w:r>
      <w:bookmarkEnd w:id="409"/>
      <w:bookmarkEnd w:id="410"/>
    </w:p>
    <w:p w14:paraId="3C707FF1" w14:textId="371041AB" w:rsidR="00C5516F" w:rsidRPr="00A21682" w:rsidRDefault="00C5516F">
      <w:pPr>
        <w:pStyle w:val="Heading3"/>
        <w:rPr>
          <w:u w:color="000000"/>
        </w:rPr>
      </w:pPr>
      <w:bookmarkStart w:id="411" w:name="_Toc148102339"/>
      <w:bookmarkStart w:id="412" w:name="_Toc152605823"/>
      <w:bookmarkStart w:id="413" w:name="_Toc177118965"/>
      <w:bookmarkStart w:id="414" w:name="_Toc185952520"/>
      <w:bookmarkStart w:id="415" w:name="_Toc192874694"/>
      <w:r>
        <w:rPr>
          <w:u w:color="000000"/>
        </w:rPr>
        <w:t xml:space="preserve">Supporting </w:t>
      </w:r>
      <w:r>
        <w:t>Application Lifecycle Management (</w:t>
      </w:r>
      <w:r>
        <w:rPr>
          <w:u w:color="000000"/>
        </w:rPr>
        <w:t>ALM) Tools</w:t>
      </w:r>
      <w:bookmarkEnd w:id="411"/>
      <w:bookmarkEnd w:id="412"/>
      <w:bookmarkEnd w:id="413"/>
      <w:bookmarkEnd w:id="414"/>
      <w:bookmarkEnd w:id="415"/>
    </w:p>
    <w:p w14:paraId="42E90DF4" w14:textId="73246FBA" w:rsidR="00C5516F" w:rsidRPr="00A21682" w:rsidRDefault="00C5516F" w:rsidP="00F70B45">
      <w:pPr>
        <w:pStyle w:val="NormalNEW"/>
        <w:rPr>
          <w:u w:color="000000"/>
          <w:lang w:val="en-US"/>
        </w:rPr>
      </w:pPr>
      <w:r>
        <w:rPr>
          <w:u w:color="000000"/>
          <w:lang w:val="en-US"/>
        </w:rPr>
        <w:t>During the Design phase, ALM tools help manage, and track requirements gathered during the initial phases of the project, facilitate the creation and management of design documents, facilitate collaboration among stakeholders, establish traceability between requirements, design elements, and other artifacts, and create development work items.</w:t>
      </w:r>
    </w:p>
    <w:p w14:paraId="1A496F8B" w14:textId="77777777" w:rsidR="00C5516F" w:rsidRPr="00A21682" w:rsidRDefault="00C5516F" w:rsidP="00F70B45">
      <w:pPr>
        <w:pStyle w:val="NormalNEW"/>
        <w:rPr>
          <w:u w:color="000000"/>
          <w:lang w:val="en-US"/>
        </w:rPr>
      </w:pPr>
      <w:r>
        <w:rPr>
          <w:u w:color="000000"/>
          <w:lang w:val="en-US"/>
        </w:rPr>
        <w:t>Below is the list of tools and workflows applicable to the Design phase:</w:t>
      </w:r>
    </w:p>
    <w:p w14:paraId="0E48DDE6" w14:textId="2069EBA2" w:rsidR="00C5516F" w:rsidRPr="00A21682" w:rsidRDefault="00C5516F" w:rsidP="0031550A">
      <w:pPr>
        <w:pStyle w:val="BulletNEW"/>
        <w:rPr>
          <w:u w:color="000000"/>
        </w:rPr>
      </w:pPr>
      <w:r>
        <w:rPr>
          <w:u w:color="000000"/>
        </w:rPr>
        <w:t>Figma Organization (refer to Section 2.19 Figma Organization)</w:t>
      </w:r>
    </w:p>
    <w:p w14:paraId="1C758617" w14:textId="2B8AC96F" w:rsidR="00C5516F" w:rsidRPr="00A21682" w:rsidRDefault="00C5516F"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63A5E969" w14:textId="441F7B7B" w:rsidR="00C5516F" w:rsidRPr="00A21682" w:rsidRDefault="00DC78B0" w:rsidP="0031550A">
      <w:pPr>
        <w:pStyle w:val="BulletNEW"/>
        <w:rPr>
          <w:u w:color="000000"/>
        </w:rPr>
      </w:pPr>
      <w:r>
        <w:rPr>
          <w:u w:color="000000"/>
        </w:rPr>
        <w:lastRenderedPageBreak/>
        <w:t>The requirements management tool Requirements traceability workflow (refer to Section 2.34 Requirements Management for the ALM tool (the requirements management tool))</w:t>
      </w:r>
    </w:p>
    <w:p w14:paraId="6EF83ECD" w14:textId="545299CF" w:rsidR="00C5516F" w:rsidRPr="00A21682" w:rsidRDefault="00C5516F" w:rsidP="0031550A">
      <w:pPr>
        <w:pStyle w:val="BulletNEW"/>
        <w:rPr>
          <w:u w:color="000000"/>
        </w:rPr>
      </w:pPr>
      <w:r>
        <w:rPr>
          <w:u w:color="000000"/>
        </w:rPr>
        <w:t>Design workflow in the ALM tool (refer to Section 2.20 the ALM tool)</w:t>
      </w:r>
    </w:p>
    <w:p w14:paraId="448E40A0" w14:textId="77777777" w:rsidR="00C5516F" w:rsidRPr="00A21682" w:rsidRDefault="00C5516F">
      <w:pPr>
        <w:pStyle w:val="Heading2"/>
        <w:rPr>
          <w:u w:color="000000"/>
        </w:rPr>
      </w:pPr>
      <w:bookmarkStart w:id="416" w:name="_Toc148102340"/>
      <w:bookmarkStart w:id="417" w:name="_Toc152605824"/>
      <w:bookmarkStart w:id="418" w:name="_Toc177118966"/>
      <w:bookmarkStart w:id="419" w:name="_Toc185952521"/>
      <w:bookmarkStart w:id="420" w:name="_Toc192874695"/>
      <w:r>
        <w:rPr>
          <w:u w:color="000000"/>
        </w:rPr>
        <w:t>Development Phase</w:t>
      </w:r>
      <w:bookmarkEnd w:id="416"/>
      <w:bookmarkEnd w:id="417"/>
      <w:bookmarkEnd w:id="418"/>
      <w:bookmarkEnd w:id="419"/>
      <w:bookmarkEnd w:id="420"/>
    </w:p>
    <w:p w14:paraId="2052013C" w14:textId="4FAE8FFF" w:rsidR="00C5516F" w:rsidRPr="00A21682" w:rsidRDefault="00C5516F" w:rsidP="00F70B45">
      <w:pPr>
        <w:pStyle w:val="NormalNEW"/>
        <w:rPr>
          <w:u w:color="000000"/>
          <w:lang w:val="en-US"/>
        </w:rPr>
      </w:pPr>
      <w:r>
        <w:rPr>
          <w:u w:color="000000"/>
          <w:lang w:val="en-US"/>
        </w:rPr>
        <w:t xml:space="preserve">During the Development phase, the MECM solution software and/or configuration is updated to provide functionality defined in the approved design specifications for the iteration/bundle. </w:t>
      </w:r>
    </w:p>
    <w:p w14:paraId="05061CBD" w14:textId="77777777" w:rsidR="00C5516F" w:rsidRPr="00A21682" w:rsidRDefault="00C5516F">
      <w:pPr>
        <w:pStyle w:val="Heading3"/>
        <w:rPr>
          <w:bCs/>
          <w:u w:color="000000"/>
        </w:rPr>
      </w:pPr>
      <w:bookmarkStart w:id="421" w:name="_Toc143516897"/>
      <w:bookmarkStart w:id="422" w:name="_Toc148102341"/>
      <w:bookmarkStart w:id="423" w:name="_Toc152605825"/>
      <w:bookmarkStart w:id="424" w:name="_Toc177118967"/>
      <w:bookmarkStart w:id="425" w:name="_Toc185952522"/>
      <w:bookmarkStart w:id="426" w:name="_Toc192874696"/>
      <w:bookmarkEnd w:id="421"/>
      <w:r>
        <w:rPr>
          <w:u w:color="000000"/>
        </w:rPr>
        <w:t>Phase Entry Criteria</w:t>
      </w:r>
      <w:bookmarkEnd w:id="422"/>
      <w:bookmarkEnd w:id="423"/>
      <w:bookmarkEnd w:id="424"/>
      <w:bookmarkEnd w:id="425"/>
      <w:bookmarkEnd w:id="426"/>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051F04C2" w14:textId="77777777" w:rsidTr="0040065F">
        <w:trPr>
          <w:trHeight w:val="300"/>
          <w:tblHeader/>
        </w:trPr>
        <w:tc>
          <w:tcPr>
            <w:tcW w:w="481" w:type="dxa"/>
            <w:tcBorders>
              <w:right w:val="single" w:sz="2" w:space="0" w:color="FFFFFF" w:themeColor="background1"/>
            </w:tcBorders>
            <w:shd w:val="clear" w:color="auto" w:fill="000000"/>
            <w:hideMark/>
          </w:tcPr>
          <w:p w14:paraId="676F44BB" w14:textId="77777777" w:rsidR="00C5516F" w:rsidRPr="00A21682" w:rsidRDefault="00C5516F" w:rsidP="00FB3120">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32ACAA1A" w14:textId="77777777" w:rsidR="00C5516F" w:rsidRPr="00A21682" w:rsidRDefault="00C5516F" w:rsidP="00FB3120">
            <w:pPr>
              <w:pStyle w:val="TABLEHEADINGNEW"/>
            </w:pPr>
            <w:r>
              <w:t>Entry Criteria</w:t>
            </w:r>
          </w:p>
        </w:tc>
        <w:tc>
          <w:tcPr>
            <w:tcW w:w="4300" w:type="dxa"/>
            <w:tcBorders>
              <w:left w:val="single" w:sz="2" w:space="0" w:color="FFFFFF" w:themeColor="background1"/>
            </w:tcBorders>
            <w:shd w:val="clear" w:color="auto" w:fill="000000"/>
          </w:tcPr>
          <w:p w14:paraId="25067E10" w14:textId="77777777" w:rsidR="00C5516F" w:rsidRPr="00A21682" w:rsidRDefault="00C5516F" w:rsidP="00FB3120">
            <w:pPr>
              <w:pStyle w:val="TABLEHEADINGNEW"/>
            </w:pPr>
            <w:r>
              <w:t>Related Document(s)/Artifact(s)</w:t>
            </w:r>
          </w:p>
        </w:tc>
      </w:tr>
      <w:tr w:rsidR="00C5516F" w:rsidRPr="00A21682" w14:paraId="1F3C4F34" w14:textId="77777777" w:rsidTr="00FB3120">
        <w:trPr>
          <w:trHeight w:val="300"/>
        </w:trPr>
        <w:tc>
          <w:tcPr>
            <w:tcW w:w="481" w:type="dxa"/>
            <w:hideMark/>
          </w:tcPr>
          <w:p w14:paraId="12062AE5" w14:textId="77777777" w:rsidR="00C5516F" w:rsidRPr="00A21682" w:rsidRDefault="00C5516F" w:rsidP="00FB3120">
            <w:pPr>
              <w:pStyle w:val="TABLETEXT1"/>
              <w:rPr>
                <w:lang w:val="en-US"/>
              </w:rPr>
            </w:pPr>
            <w:r>
              <w:rPr>
                <w:lang w:val="en-US"/>
              </w:rPr>
              <w:t>1</w:t>
            </w:r>
          </w:p>
        </w:tc>
        <w:tc>
          <w:tcPr>
            <w:tcW w:w="4563" w:type="dxa"/>
          </w:tcPr>
          <w:p w14:paraId="11A8514F" w14:textId="377F872F" w:rsidR="00C5516F" w:rsidRPr="00A21682" w:rsidRDefault="00C5516F" w:rsidP="00FB3120">
            <w:pPr>
              <w:pStyle w:val="TABLETEXT1"/>
              <w:rPr>
                <w:lang w:val="en-US"/>
              </w:rPr>
            </w:pPr>
            <w:r>
              <w:rPr>
                <w:lang w:val="en-US"/>
              </w:rPr>
              <w:t>Approved Functional Design Document (DEL-20), Interface/Batch/Automation Control Documents (DEL-22), and Requirements Traceability Matrix (DEL-19) with design components</w:t>
            </w:r>
          </w:p>
        </w:tc>
        <w:tc>
          <w:tcPr>
            <w:tcW w:w="4300" w:type="dxa"/>
          </w:tcPr>
          <w:p w14:paraId="01440D6F" w14:textId="53EED98C" w:rsidR="00C5516F" w:rsidRPr="00635C9B" w:rsidRDefault="00C5516F" w:rsidP="00DC308D">
            <w:pPr>
              <w:pStyle w:val="TABLEBULLETNEW"/>
            </w:pPr>
            <w:r>
              <w:t xml:space="preserve">Functional Design Document (DEL-20) </w:t>
            </w:r>
          </w:p>
          <w:p w14:paraId="2AC4049D" w14:textId="6D9565F0" w:rsidR="00C5516F" w:rsidRPr="00635C9B" w:rsidRDefault="00C5516F" w:rsidP="00DC308D">
            <w:pPr>
              <w:pStyle w:val="TABLEBULLETNEW"/>
            </w:pPr>
            <w:r>
              <w:t>Interface/Batch/Automation Control Documents (DEL-22)</w:t>
            </w:r>
          </w:p>
          <w:p w14:paraId="3CF1B1BC" w14:textId="55B4F0B5" w:rsidR="00C5516F" w:rsidRPr="00635C9B" w:rsidRDefault="00C5516F" w:rsidP="00DC308D">
            <w:pPr>
              <w:pStyle w:val="TABLEBULLETNEW"/>
            </w:pPr>
            <w:r>
              <w:t xml:space="preserve">Requirements Traceability Matrix (DEL-19) </w:t>
            </w:r>
          </w:p>
        </w:tc>
      </w:tr>
    </w:tbl>
    <w:p w14:paraId="67B74E36" w14:textId="7F83D8A2" w:rsidR="00C5516F" w:rsidRPr="00A21682" w:rsidRDefault="00C5516F" w:rsidP="005911DA">
      <w:pPr>
        <w:pStyle w:val="Caption"/>
        <w:rPr>
          <w:rFonts w:cs="Arial"/>
          <w:noProof w:val="0"/>
        </w:rPr>
      </w:pPr>
      <w:bookmarkStart w:id="427" w:name="_Toc150951877"/>
      <w:bookmarkStart w:id="428" w:name="_Toc19287510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19</w:t>
      </w:r>
      <w:r>
        <w:rPr>
          <w:noProof w:val="0"/>
        </w:rPr>
        <w:fldChar w:fldCharType="end"/>
      </w:r>
      <w:r>
        <w:rPr>
          <w:noProof w:val="0"/>
        </w:rPr>
        <w:t>:</w:t>
      </w:r>
      <w:r>
        <w:rPr>
          <w:rFonts w:cs="Arial"/>
          <w:noProof w:val="0"/>
        </w:rPr>
        <w:t xml:space="preserve"> Development Phase Entry Criteria</w:t>
      </w:r>
      <w:bookmarkEnd w:id="427"/>
      <w:bookmarkEnd w:id="428"/>
    </w:p>
    <w:p w14:paraId="7E406307" w14:textId="4639D8E8" w:rsidR="00C5516F" w:rsidRPr="00A21682" w:rsidRDefault="00C5516F">
      <w:pPr>
        <w:pStyle w:val="Heading3"/>
        <w:rPr>
          <w:bCs/>
          <w:u w:color="000000"/>
        </w:rPr>
      </w:pPr>
      <w:bookmarkStart w:id="429" w:name="_Toc148102342"/>
      <w:bookmarkStart w:id="430" w:name="_Toc152605826"/>
      <w:bookmarkStart w:id="431" w:name="_Toc177118968"/>
      <w:bookmarkStart w:id="432" w:name="_Toc185952523"/>
      <w:bookmarkStart w:id="433" w:name="_Toc192874697"/>
      <w:r>
        <w:rPr>
          <w:u w:color="000000"/>
        </w:rPr>
        <w:t>Process Flow Diagram</w:t>
      </w:r>
      <w:bookmarkEnd w:id="429"/>
      <w:bookmarkEnd w:id="430"/>
      <w:bookmarkEnd w:id="431"/>
      <w:bookmarkEnd w:id="432"/>
      <w:bookmarkEnd w:id="433"/>
    </w:p>
    <w:p w14:paraId="3B5D99B3" w14:textId="7B7B4FEF" w:rsidR="00A0686E" w:rsidRPr="00A21682" w:rsidRDefault="00C5516F" w:rsidP="00F70B45">
      <w:pPr>
        <w:pStyle w:val="NormalNEW"/>
        <w:rPr>
          <w:u w:color="000000"/>
          <w:lang w:val="en-US"/>
        </w:rPr>
      </w:pPr>
      <w:r>
        <w:rPr>
          <w:u w:color="000000"/>
          <w:lang w:val="en-US"/>
        </w:rPr>
        <w:t>The following process flow depicts the Development phase of the MECM SDLC.</w:t>
      </w:r>
    </w:p>
    <w:p w14:paraId="6E85A874" w14:textId="3FD85CB6" w:rsidR="00C5516F" w:rsidRPr="00A21682" w:rsidRDefault="00A40AA5" w:rsidP="00FB3120">
      <w:pPr>
        <w:pStyle w:val="NormalNEW"/>
        <w:rPr>
          <w:u w:color="000000"/>
          <w:lang w:val="en-US"/>
        </w:rPr>
      </w:pPr>
      <w:r>
        <w:rPr>
          <w:lang w:val="en-US"/>
        </w:rPr>
        <w:pict w14:anchorId="0C0E1A91">
          <v:shape id="_x0000_i1031" type="#_x0000_t75" style="width:468pt;height:185.4pt">
            <v:imagedata r:id="rId32" o:title=""/>
          </v:shape>
        </w:pict>
      </w:r>
    </w:p>
    <w:p w14:paraId="246A133F" w14:textId="61ECFA67" w:rsidR="00C5516F" w:rsidRPr="00A21682" w:rsidRDefault="00C5516F" w:rsidP="005911DA">
      <w:pPr>
        <w:pStyle w:val="Caption"/>
        <w:rPr>
          <w:noProof w:val="0"/>
        </w:rPr>
      </w:pPr>
      <w:bookmarkStart w:id="434" w:name="_Toc150948932"/>
      <w:bookmarkStart w:id="435" w:name="_Toc178152029"/>
      <w:bookmarkStart w:id="436" w:name="_Toc192875044"/>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7</w:t>
      </w:r>
      <w:r>
        <w:rPr>
          <w:noProof w:val="0"/>
        </w:rPr>
        <w:fldChar w:fldCharType="end"/>
      </w:r>
      <w:r>
        <w:rPr>
          <w:noProof w:val="0"/>
        </w:rPr>
        <w:t>: Development Phase Process Flow</w:t>
      </w:r>
      <w:bookmarkEnd w:id="434"/>
      <w:bookmarkEnd w:id="435"/>
      <w:bookmarkEnd w:id="436"/>
    </w:p>
    <w:p w14:paraId="5376D64C" w14:textId="77777777" w:rsidR="00C5516F" w:rsidRPr="00A21682" w:rsidRDefault="00C5516F">
      <w:pPr>
        <w:pStyle w:val="Heading3"/>
        <w:rPr>
          <w:bCs/>
          <w:u w:color="000000"/>
        </w:rPr>
      </w:pPr>
      <w:bookmarkStart w:id="437" w:name="_Toc148102343"/>
      <w:bookmarkStart w:id="438" w:name="_Toc152605827"/>
      <w:bookmarkStart w:id="439" w:name="_Toc177118969"/>
      <w:bookmarkStart w:id="440" w:name="_Toc185952524"/>
      <w:bookmarkStart w:id="441" w:name="_Toc192874698"/>
      <w:r>
        <w:rPr>
          <w:u w:color="000000"/>
        </w:rPr>
        <w:t>Process Flow Narrative</w:t>
      </w:r>
      <w:bookmarkEnd w:id="437"/>
      <w:bookmarkEnd w:id="438"/>
      <w:bookmarkEnd w:id="439"/>
      <w:bookmarkEnd w:id="440"/>
      <w:bookmarkEnd w:id="441"/>
    </w:p>
    <w:p w14:paraId="1107FA41" w14:textId="77777777" w:rsidR="00C5516F" w:rsidRPr="00A21682" w:rsidRDefault="00C5516F" w:rsidP="00F70B45">
      <w:pPr>
        <w:pStyle w:val="NormalNEW"/>
        <w:rPr>
          <w:u w:color="000000"/>
          <w:lang w:val="en-US"/>
        </w:rPr>
      </w:pPr>
      <w:r>
        <w:rPr>
          <w:u w:color="000000"/>
          <w:lang w:val="en-US"/>
        </w:rPr>
        <w:t>The following table describes each step illustrated above.</w:t>
      </w:r>
    </w:p>
    <w:tbl>
      <w:tblPr>
        <w:tblW w:w="96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2"/>
        <w:gridCol w:w="1596"/>
        <w:gridCol w:w="1980"/>
        <w:gridCol w:w="1649"/>
        <w:gridCol w:w="1800"/>
        <w:gridCol w:w="1980"/>
      </w:tblGrid>
      <w:tr w:rsidR="00C5516F" w:rsidRPr="00A21682" w14:paraId="56CAF9AD" w14:textId="77777777" w:rsidTr="00911E6E">
        <w:trPr>
          <w:trHeight w:val="300"/>
          <w:tblHeader/>
        </w:trPr>
        <w:tc>
          <w:tcPr>
            <w:tcW w:w="9627" w:type="dxa"/>
            <w:gridSpan w:val="6"/>
            <w:tcBorders>
              <w:bottom w:val="single" w:sz="2" w:space="0" w:color="FFFFFF" w:themeColor="background1"/>
            </w:tcBorders>
            <w:shd w:val="clear" w:color="auto" w:fill="000000"/>
          </w:tcPr>
          <w:p w14:paraId="0F2342EB" w14:textId="77777777" w:rsidR="00C5516F" w:rsidRPr="00A21682" w:rsidRDefault="00C5516F" w:rsidP="0083395F">
            <w:pPr>
              <w:pStyle w:val="TABLEHEADINGNEW"/>
              <w:jc w:val="center"/>
              <w:rPr>
                <w:u w:color="000000"/>
              </w:rPr>
            </w:pPr>
            <w:r>
              <w:rPr>
                <w:u w:color="000000"/>
              </w:rPr>
              <w:t>Development</w:t>
            </w:r>
          </w:p>
        </w:tc>
      </w:tr>
      <w:tr w:rsidR="00C5516F" w:rsidRPr="00A21682" w14:paraId="2DCEFC1A" w14:textId="77777777" w:rsidTr="00911E6E">
        <w:trPr>
          <w:trHeight w:val="300"/>
          <w:tblHeader/>
        </w:trPr>
        <w:tc>
          <w:tcPr>
            <w:tcW w:w="622" w:type="dxa"/>
            <w:tcBorders>
              <w:top w:val="single" w:sz="2" w:space="0" w:color="FFFFFF" w:themeColor="background1"/>
              <w:right w:val="single" w:sz="2" w:space="0" w:color="FFFFFF" w:themeColor="background1"/>
            </w:tcBorders>
            <w:shd w:val="clear" w:color="auto" w:fill="000000"/>
            <w:hideMark/>
          </w:tcPr>
          <w:p w14:paraId="43D9468D" w14:textId="77777777" w:rsidR="00C5516F" w:rsidRPr="00A21682" w:rsidRDefault="00C5516F" w:rsidP="0083395F">
            <w:pPr>
              <w:pStyle w:val="TABLEHEADINGNEW"/>
              <w:rPr>
                <w:rFonts w:ascii="Segoe UI" w:hAnsi="Segoe UI" w:cs="Segoe UI"/>
                <w:color w:val="000000"/>
                <w:u w:color="000000"/>
              </w:rPr>
            </w:pPr>
            <w:r>
              <w:rPr>
                <w:u w:color="000000"/>
              </w:rPr>
              <w:t>Step #</w:t>
            </w:r>
          </w:p>
        </w:tc>
        <w:tc>
          <w:tcPr>
            <w:tcW w:w="1596"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01746DDC" w14:textId="77777777" w:rsidR="00C5516F" w:rsidRPr="00A21682" w:rsidRDefault="00C5516F" w:rsidP="0083395F">
            <w:pPr>
              <w:pStyle w:val="TABLEHEADINGNEW"/>
              <w:rPr>
                <w:rFonts w:ascii="Segoe UI" w:hAnsi="Segoe UI" w:cs="Segoe UI"/>
                <w:color w:val="000000"/>
                <w:u w:color="000000"/>
              </w:rPr>
            </w:pPr>
            <w:r>
              <w:rPr>
                <w:u w:color="000000"/>
              </w:rPr>
              <w:t>Process Step</w:t>
            </w:r>
          </w:p>
        </w:tc>
        <w:tc>
          <w:tcPr>
            <w:tcW w:w="198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6AA75435" w14:textId="77777777" w:rsidR="00C5516F" w:rsidRPr="00A21682" w:rsidRDefault="00C5516F" w:rsidP="0083395F">
            <w:pPr>
              <w:pStyle w:val="TABLEHEADINGNEW"/>
              <w:rPr>
                <w:rFonts w:ascii="Segoe UI" w:hAnsi="Segoe UI" w:cs="Segoe UI"/>
                <w:color w:val="000000"/>
                <w:u w:color="000000"/>
              </w:rPr>
            </w:pPr>
            <w:r>
              <w:rPr>
                <w:u w:color="000000"/>
              </w:rPr>
              <w:t>Description</w:t>
            </w:r>
          </w:p>
        </w:tc>
        <w:tc>
          <w:tcPr>
            <w:tcW w:w="1649"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30565371" w14:textId="77777777" w:rsidR="00C5516F" w:rsidRPr="00A21682" w:rsidRDefault="00C5516F" w:rsidP="0083395F">
            <w:pPr>
              <w:pStyle w:val="TABLEHEADINGNEW"/>
              <w:rPr>
                <w:u w:color="000000"/>
              </w:rPr>
            </w:pPr>
            <w:r>
              <w:rPr>
                <w:u w:color="000000"/>
              </w:rPr>
              <w:t>Stakeholder Group(s)</w:t>
            </w:r>
          </w:p>
        </w:tc>
        <w:tc>
          <w:tcPr>
            <w:tcW w:w="180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7ACBE15A" w14:textId="3542D313" w:rsidR="00C5516F" w:rsidRPr="00A21682" w:rsidRDefault="00C5516F" w:rsidP="0083395F">
            <w:pPr>
              <w:pStyle w:val="TABLEHEADINGNEW"/>
              <w:rPr>
                <w:u w:color="000000"/>
              </w:rPr>
            </w:pPr>
            <w:r>
              <w:rPr>
                <w:u w:color="000000"/>
              </w:rPr>
              <w:t>Inputs (Documents/ Work Products)</w:t>
            </w:r>
          </w:p>
        </w:tc>
        <w:tc>
          <w:tcPr>
            <w:tcW w:w="1980" w:type="dxa"/>
            <w:tcBorders>
              <w:top w:val="single" w:sz="2" w:space="0" w:color="FFFFFF" w:themeColor="background1"/>
              <w:left w:val="single" w:sz="2" w:space="0" w:color="FFFFFF" w:themeColor="background1"/>
            </w:tcBorders>
            <w:shd w:val="clear" w:color="auto" w:fill="000000"/>
            <w:hideMark/>
          </w:tcPr>
          <w:p w14:paraId="7A912896" w14:textId="5FA84F66" w:rsidR="00C5516F" w:rsidRPr="00A21682" w:rsidRDefault="00C5516F" w:rsidP="0083395F">
            <w:pPr>
              <w:pStyle w:val="TABLEHEADINGNEW"/>
              <w:rPr>
                <w:u w:color="000000"/>
              </w:rPr>
            </w:pPr>
            <w:r>
              <w:rPr>
                <w:u w:color="000000"/>
              </w:rPr>
              <w:t>Outputs (Documents/ Work Products)</w:t>
            </w:r>
          </w:p>
        </w:tc>
      </w:tr>
      <w:tr w:rsidR="00C5516F" w:rsidRPr="00A21682" w14:paraId="011871A1" w14:textId="77777777" w:rsidTr="00911E6E">
        <w:trPr>
          <w:trHeight w:val="300"/>
        </w:trPr>
        <w:tc>
          <w:tcPr>
            <w:tcW w:w="622" w:type="dxa"/>
            <w:hideMark/>
          </w:tcPr>
          <w:p w14:paraId="78AA43CA" w14:textId="77777777" w:rsidR="00C5516F" w:rsidRPr="00A21682" w:rsidRDefault="00C5516F" w:rsidP="0083395F">
            <w:pPr>
              <w:pStyle w:val="TABLETEXT1"/>
              <w:rPr>
                <w:lang w:val="en-US"/>
              </w:rPr>
            </w:pPr>
            <w:r>
              <w:rPr>
                <w:lang w:val="en-US"/>
              </w:rPr>
              <w:t>5.1</w:t>
            </w:r>
          </w:p>
        </w:tc>
        <w:tc>
          <w:tcPr>
            <w:tcW w:w="1596" w:type="dxa"/>
          </w:tcPr>
          <w:p w14:paraId="36F78E20" w14:textId="1BDCB4A3" w:rsidR="00C5516F" w:rsidRPr="00A21682" w:rsidRDefault="00C5516F" w:rsidP="0083395F">
            <w:pPr>
              <w:pStyle w:val="TABLETEXT1"/>
              <w:rPr>
                <w:lang w:val="en-US"/>
              </w:rPr>
            </w:pPr>
            <w:r>
              <w:rPr>
                <w:lang w:val="en-US"/>
              </w:rPr>
              <w:t xml:space="preserve">Update Base Solution software and/or configuration </w:t>
            </w:r>
            <w:r>
              <w:rPr>
                <w:lang w:val="en-US"/>
              </w:rPr>
              <w:lastRenderedPageBreak/>
              <w:t>based on approved design documentation for iteration/bundle</w:t>
            </w:r>
          </w:p>
        </w:tc>
        <w:tc>
          <w:tcPr>
            <w:tcW w:w="1980" w:type="dxa"/>
          </w:tcPr>
          <w:p w14:paraId="52143146" w14:textId="56D3B5B3" w:rsidR="00C5516F" w:rsidRPr="004C2A40" w:rsidRDefault="00C5516F" w:rsidP="004C2A40">
            <w:pPr>
              <w:pStyle w:val="TABLETEXT1"/>
              <w:rPr>
                <w:lang w:val="en-US"/>
              </w:rPr>
            </w:pPr>
            <w:r>
              <w:rPr>
                <w:lang w:val="en-US"/>
              </w:rPr>
              <w:lastRenderedPageBreak/>
              <w:t xml:space="preserve">Customize / configure the Base Solution during each iteration/ </w:t>
            </w:r>
            <w:r>
              <w:rPr>
                <w:lang w:val="en-US"/>
              </w:rPr>
              <w:lastRenderedPageBreak/>
              <w:t>bundle per the approved design documents to meet the signed off requirements as per the RSD (DEL-18) and RTM (DEL-19) documents</w:t>
            </w:r>
          </w:p>
        </w:tc>
        <w:tc>
          <w:tcPr>
            <w:tcW w:w="1649" w:type="dxa"/>
          </w:tcPr>
          <w:p w14:paraId="6BB3277D" w14:textId="77777777" w:rsidR="00C5516F" w:rsidRPr="00635C9B" w:rsidRDefault="00C5516F" w:rsidP="004C2A40">
            <w:pPr>
              <w:pStyle w:val="TABLEBULLETNEW"/>
            </w:pPr>
            <w:r>
              <w:lastRenderedPageBreak/>
              <w:t>Technical Stakeholders</w:t>
            </w:r>
          </w:p>
        </w:tc>
        <w:tc>
          <w:tcPr>
            <w:tcW w:w="1800" w:type="dxa"/>
          </w:tcPr>
          <w:p w14:paraId="52FED72D" w14:textId="1726AF7D" w:rsidR="00C5516F" w:rsidRPr="00635C9B" w:rsidRDefault="00C5516F" w:rsidP="004C2A40">
            <w:pPr>
              <w:pStyle w:val="TABLEBULLETNEW"/>
            </w:pPr>
            <w:r>
              <w:t xml:space="preserve">Approved Functional Design Documents for </w:t>
            </w:r>
            <w:r>
              <w:lastRenderedPageBreak/>
              <w:t>MECM (DEL-20)</w:t>
            </w:r>
          </w:p>
          <w:p w14:paraId="6A76A6D3" w14:textId="77777777" w:rsidR="00E36FED" w:rsidRDefault="00C5516F" w:rsidP="004C2A40">
            <w:pPr>
              <w:pStyle w:val="TABLEBULLETNEW"/>
            </w:pPr>
            <w:r>
              <w:t>Interface/</w:t>
            </w:r>
            <w:r>
              <w:br/>
              <w:t>Batch/</w:t>
            </w:r>
          </w:p>
          <w:p w14:paraId="1591C16D" w14:textId="1709B522" w:rsidR="00C5516F" w:rsidRPr="00635C9B" w:rsidRDefault="00C5516F" w:rsidP="00E36FED">
            <w:pPr>
              <w:pStyle w:val="TABLEBULLETNEW"/>
              <w:numPr>
                <w:ilvl w:val="0"/>
                <w:numId w:val="0"/>
              </w:numPr>
              <w:ind w:left="331"/>
            </w:pPr>
            <w:r>
              <w:t>Automation Control Documents for MECM (DEL-22)</w:t>
            </w:r>
          </w:p>
          <w:p w14:paraId="13B6318A" w14:textId="45B24AF9" w:rsidR="00C5516F" w:rsidRPr="00635C9B" w:rsidRDefault="00C5516F" w:rsidP="004C2A40">
            <w:pPr>
              <w:pStyle w:val="TABLEBULLETNEW"/>
            </w:pPr>
            <w:r>
              <w:t xml:space="preserve">MECM System Architecture Design Document (DEL-16) </w:t>
            </w:r>
          </w:p>
          <w:p w14:paraId="4F9744C9" w14:textId="1C964932" w:rsidR="00C5516F" w:rsidRPr="00635C9B" w:rsidRDefault="00C5516F" w:rsidP="004C2A40">
            <w:pPr>
              <w:pStyle w:val="TABLEBULLETNEW"/>
            </w:pPr>
            <w:r>
              <w:t>Requirements Traceability Matrix (DEL-19)</w:t>
            </w:r>
          </w:p>
          <w:p w14:paraId="7936C20F" w14:textId="1C537687" w:rsidR="00C5516F" w:rsidRPr="00635C9B" w:rsidRDefault="00C5516F" w:rsidP="004C2A40">
            <w:pPr>
              <w:pStyle w:val="TABLEBULLETNEW"/>
            </w:pPr>
            <w:r>
              <w:t>Requirements Specification Document (DEL-18)</w:t>
            </w:r>
          </w:p>
          <w:p w14:paraId="0B5BC0BF" w14:textId="7DEF2D4B" w:rsidR="00C5516F" w:rsidRPr="00635C9B" w:rsidRDefault="00C5516F" w:rsidP="004C2A40">
            <w:pPr>
              <w:pStyle w:val="TABLEBULLETNEW"/>
              <w:rPr>
                <w:rFonts w:cs="Times New Roman"/>
              </w:rPr>
            </w:pPr>
            <w:r>
              <w:t>System Security Plan (DEL-15)</w:t>
            </w:r>
          </w:p>
        </w:tc>
        <w:tc>
          <w:tcPr>
            <w:tcW w:w="1980" w:type="dxa"/>
          </w:tcPr>
          <w:p w14:paraId="59FE0526" w14:textId="77777777" w:rsidR="00C5516F" w:rsidRPr="00635C9B" w:rsidRDefault="00C5516F" w:rsidP="004C2A40">
            <w:pPr>
              <w:pStyle w:val="TABLEBULLETNEW"/>
            </w:pPr>
            <w:r>
              <w:lastRenderedPageBreak/>
              <w:t>Updated Application Code and Database</w:t>
            </w:r>
          </w:p>
        </w:tc>
      </w:tr>
      <w:tr w:rsidR="00C5516F" w:rsidRPr="00A21682" w14:paraId="38E73B96" w14:textId="77777777" w:rsidTr="00911E6E">
        <w:trPr>
          <w:trHeight w:val="300"/>
        </w:trPr>
        <w:tc>
          <w:tcPr>
            <w:tcW w:w="622" w:type="dxa"/>
          </w:tcPr>
          <w:p w14:paraId="21CBD367" w14:textId="77777777" w:rsidR="00C5516F" w:rsidRPr="00A21682" w:rsidRDefault="00C5516F" w:rsidP="0083395F">
            <w:pPr>
              <w:pStyle w:val="TABLETEXT1"/>
              <w:rPr>
                <w:lang w:val="en-US"/>
              </w:rPr>
            </w:pPr>
            <w:r>
              <w:rPr>
                <w:lang w:val="en-US"/>
              </w:rPr>
              <w:t>5.1a</w:t>
            </w:r>
          </w:p>
        </w:tc>
        <w:tc>
          <w:tcPr>
            <w:tcW w:w="1596" w:type="dxa"/>
          </w:tcPr>
          <w:p w14:paraId="2379ECD0" w14:textId="77777777" w:rsidR="00C5516F" w:rsidRPr="00A21682" w:rsidRDefault="00C5516F" w:rsidP="0083395F">
            <w:pPr>
              <w:pStyle w:val="TABLETEXT1"/>
              <w:rPr>
                <w:lang w:val="en-US"/>
              </w:rPr>
            </w:pPr>
            <w:r>
              <w:rPr>
                <w:lang w:val="en-US"/>
              </w:rPr>
              <w:t>Questions for Functional Stakeholders still open</w:t>
            </w:r>
          </w:p>
        </w:tc>
        <w:tc>
          <w:tcPr>
            <w:tcW w:w="1980" w:type="dxa"/>
          </w:tcPr>
          <w:p w14:paraId="177EB71A" w14:textId="77777777" w:rsidR="00C5516F" w:rsidRPr="004C2A40" w:rsidRDefault="00C5516F" w:rsidP="004C2A40">
            <w:pPr>
              <w:pStyle w:val="TABLETEXT1"/>
              <w:rPr>
                <w:lang w:val="en-US"/>
              </w:rPr>
            </w:pPr>
            <w:r>
              <w:rPr>
                <w:lang w:val="en-US"/>
              </w:rPr>
              <w:t>Technical Stakeholders verify if there are questions on Functional Specification Documents not answered</w:t>
            </w:r>
          </w:p>
          <w:p w14:paraId="712A91C7" w14:textId="77777777" w:rsidR="00C5516F" w:rsidRPr="00B550D7" w:rsidRDefault="00C5516F" w:rsidP="00661A8B">
            <w:pPr>
              <w:pStyle w:val="TABLEBULLETNEW"/>
              <w:rPr>
                <w:i/>
              </w:rPr>
            </w:pPr>
            <w:r>
              <w:t xml:space="preserve">If yes, proceed to </w:t>
            </w:r>
            <w:r>
              <w:rPr>
                <w:i/>
              </w:rPr>
              <w:t>Step #5.2 Address developer questions on functional specification documents</w:t>
            </w:r>
          </w:p>
          <w:p w14:paraId="22F7CA8B" w14:textId="77777777" w:rsidR="00C5516F" w:rsidRPr="00635C9B" w:rsidRDefault="00C5516F" w:rsidP="00661A8B">
            <w:pPr>
              <w:pStyle w:val="TABLEBULLETNEW"/>
            </w:pPr>
            <w:r>
              <w:t xml:space="preserve">If no, proceed to </w:t>
            </w:r>
            <w:r>
              <w:rPr>
                <w:i/>
              </w:rPr>
              <w:t xml:space="preserve">Step #5.3 Prepare unit test suite and </w:t>
            </w:r>
            <w:r>
              <w:rPr>
                <w:i/>
              </w:rPr>
              <w:lastRenderedPageBreak/>
              <w:t>perform unit testing on updated software</w:t>
            </w:r>
          </w:p>
        </w:tc>
        <w:tc>
          <w:tcPr>
            <w:tcW w:w="1649" w:type="dxa"/>
          </w:tcPr>
          <w:p w14:paraId="1721F810" w14:textId="77777777" w:rsidR="00C5516F" w:rsidRPr="00635C9B" w:rsidRDefault="00C5516F" w:rsidP="004C2A40">
            <w:pPr>
              <w:pStyle w:val="TABLEBULLETNEW"/>
            </w:pPr>
            <w:r>
              <w:lastRenderedPageBreak/>
              <w:t>Technical Stakeholders</w:t>
            </w:r>
          </w:p>
        </w:tc>
        <w:tc>
          <w:tcPr>
            <w:tcW w:w="1800" w:type="dxa"/>
          </w:tcPr>
          <w:p w14:paraId="0D362ED2" w14:textId="77777777" w:rsidR="00C5516F" w:rsidRPr="00635C9B" w:rsidRDefault="00C5516F" w:rsidP="004C2A40">
            <w:pPr>
              <w:pStyle w:val="TABLEBULLETNEW"/>
            </w:pPr>
            <w:r>
              <w:t>N/A</w:t>
            </w:r>
          </w:p>
        </w:tc>
        <w:tc>
          <w:tcPr>
            <w:tcW w:w="1980" w:type="dxa"/>
          </w:tcPr>
          <w:p w14:paraId="72AED9D2" w14:textId="77777777" w:rsidR="00C5516F" w:rsidRPr="00635C9B" w:rsidRDefault="00C5516F" w:rsidP="004C2A40">
            <w:pPr>
              <w:pStyle w:val="TABLEBULLETNEW"/>
            </w:pPr>
            <w:r>
              <w:t>N/A</w:t>
            </w:r>
          </w:p>
        </w:tc>
      </w:tr>
      <w:tr w:rsidR="00C5516F" w:rsidRPr="00A21682" w14:paraId="3057C93B" w14:textId="77777777" w:rsidTr="00911E6E">
        <w:trPr>
          <w:trHeight w:val="300"/>
        </w:trPr>
        <w:tc>
          <w:tcPr>
            <w:tcW w:w="622" w:type="dxa"/>
          </w:tcPr>
          <w:p w14:paraId="19E5AB5B" w14:textId="77777777" w:rsidR="00C5516F" w:rsidRPr="00A21682" w:rsidRDefault="00C5516F" w:rsidP="0083395F">
            <w:pPr>
              <w:pStyle w:val="TABLETEXT1"/>
              <w:rPr>
                <w:lang w:val="en-US"/>
              </w:rPr>
            </w:pPr>
            <w:r>
              <w:rPr>
                <w:lang w:val="en-US"/>
              </w:rPr>
              <w:t>5.2</w:t>
            </w:r>
          </w:p>
        </w:tc>
        <w:tc>
          <w:tcPr>
            <w:tcW w:w="1596" w:type="dxa"/>
          </w:tcPr>
          <w:p w14:paraId="1AEB8EF0" w14:textId="77777777" w:rsidR="00C5516F" w:rsidRPr="00A21682" w:rsidRDefault="00C5516F" w:rsidP="0083395F">
            <w:pPr>
              <w:pStyle w:val="TABLETEXT1"/>
              <w:rPr>
                <w:lang w:val="en-US"/>
              </w:rPr>
            </w:pPr>
            <w:r>
              <w:rPr>
                <w:lang w:val="en-US"/>
              </w:rPr>
              <w:t>Address developer questions on functional specification documents</w:t>
            </w:r>
          </w:p>
        </w:tc>
        <w:tc>
          <w:tcPr>
            <w:tcW w:w="1980" w:type="dxa"/>
          </w:tcPr>
          <w:p w14:paraId="59D74E99" w14:textId="2C8CE483" w:rsidR="00C5516F" w:rsidRPr="008514D3" w:rsidRDefault="00C5516F" w:rsidP="00661A8B">
            <w:pPr>
              <w:pStyle w:val="TABLEBULLETNEW"/>
            </w:pPr>
            <w:r>
              <w:t>Log queries in the query tracker in case of ambiguity, gaps, or clarifications required for the requirements to be implemented in the current iteration/bundle</w:t>
            </w:r>
          </w:p>
          <w:p w14:paraId="33EF3360" w14:textId="4854F72C" w:rsidR="00C5516F" w:rsidRPr="008514D3" w:rsidRDefault="00C5516F" w:rsidP="00661A8B">
            <w:pPr>
              <w:pStyle w:val="TABLEBULLETNEW"/>
            </w:pPr>
            <w:r>
              <w:t>The Functional team will work with the relevant DOH OHIP stakeholders to resolve those queries</w:t>
            </w:r>
          </w:p>
        </w:tc>
        <w:tc>
          <w:tcPr>
            <w:tcW w:w="1649" w:type="dxa"/>
          </w:tcPr>
          <w:p w14:paraId="7A92C403" w14:textId="77777777" w:rsidR="00C5516F" w:rsidRPr="008514D3" w:rsidRDefault="00C5516F" w:rsidP="004C2A40">
            <w:pPr>
              <w:pStyle w:val="TABLEBULLETNEW"/>
            </w:pPr>
            <w:r>
              <w:t>Functional Stakeholders</w:t>
            </w:r>
          </w:p>
        </w:tc>
        <w:tc>
          <w:tcPr>
            <w:tcW w:w="1800" w:type="dxa"/>
          </w:tcPr>
          <w:p w14:paraId="3F30FA45" w14:textId="1BAE9CC9" w:rsidR="00C5516F" w:rsidRPr="008514D3" w:rsidRDefault="00C5516F" w:rsidP="004C2A40">
            <w:pPr>
              <w:pStyle w:val="TABLEBULLETNEW"/>
            </w:pPr>
            <w:r>
              <w:t xml:space="preserve">Approved Functional Design Document (DEL-20) for MECM </w:t>
            </w:r>
          </w:p>
        </w:tc>
        <w:tc>
          <w:tcPr>
            <w:tcW w:w="1980" w:type="dxa"/>
          </w:tcPr>
          <w:p w14:paraId="54FE06CD" w14:textId="2F019545" w:rsidR="00C5516F" w:rsidRPr="008514D3" w:rsidRDefault="00C5516F" w:rsidP="004C2A40">
            <w:pPr>
              <w:pStyle w:val="TABLEBULLETNEW"/>
            </w:pPr>
            <w:r>
              <w:t>Query tracker with open and resolved queries specific to the ongoing iteration/ bundle</w:t>
            </w:r>
          </w:p>
        </w:tc>
      </w:tr>
      <w:tr w:rsidR="00C5516F" w:rsidRPr="00A21682" w14:paraId="66774A62" w14:textId="77777777" w:rsidTr="00911E6E">
        <w:trPr>
          <w:trHeight w:val="300"/>
        </w:trPr>
        <w:tc>
          <w:tcPr>
            <w:tcW w:w="622" w:type="dxa"/>
          </w:tcPr>
          <w:p w14:paraId="32CF9F58" w14:textId="77777777" w:rsidR="00C5516F" w:rsidRPr="00A21682" w:rsidRDefault="00C5516F" w:rsidP="0083395F">
            <w:pPr>
              <w:pStyle w:val="TABLETEXT1"/>
              <w:rPr>
                <w:lang w:val="en-US"/>
              </w:rPr>
            </w:pPr>
            <w:r>
              <w:rPr>
                <w:lang w:val="en-US"/>
              </w:rPr>
              <w:t>5.3</w:t>
            </w:r>
          </w:p>
        </w:tc>
        <w:tc>
          <w:tcPr>
            <w:tcW w:w="1596" w:type="dxa"/>
          </w:tcPr>
          <w:p w14:paraId="6220D4AC" w14:textId="0761A73E" w:rsidR="00C5516F" w:rsidRPr="00A21682" w:rsidRDefault="00C5516F" w:rsidP="0083395F">
            <w:pPr>
              <w:pStyle w:val="TABLETEXT1"/>
              <w:rPr>
                <w:lang w:val="en-US"/>
              </w:rPr>
            </w:pPr>
            <w:r>
              <w:rPr>
                <w:lang w:val="en-US"/>
              </w:rPr>
              <w:t>Prepare unit test suite and perform unit testing on updated software</w:t>
            </w:r>
          </w:p>
        </w:tc>
        <w:tc>
          <w:tcPr>
            <w:tcW w:w="1980" w:type="dxa"/>
          </w:tcPr>
          <w:p w14:paraId="208BC54B" w14:textId="523F08CD" w:rsidR="00C5516F" w:rsidRPr="008514D3" w:rsidRDefault="00C5516F" w:rsidP="00661A8B">
            <w:pPr>
              <w:pStyle w:val="TABLEBULLETNEW"/>
            </w:pPr>
            <w:r>
              <w:t xml:space="preserve">Create unit test cases for the features built in the current iteration/bundle to confirm the software complies with the signed-off requirements for the current iteration/bundle scope </w:t>
            </w:r>
          </w:p>
          <w:p w14:paraId="2D1C9CEC" w14:textId="4A4F2BFC" w:rsidR="00C5516F" w:rsidRPr="008514D3" w:rsidRDefault="00C5516F" w:rsidP="00661A8B">
            <w:pPr>
              <w:pStyle w:val="TABLEBULLETNEW"/>
            </w:pPr>
            <w:r>
              <w:t xml:space="preserve">Once a feature is developed, the developer will unit test the feature per the test cases identified in accordance with the Test </w:t>
            </w:r>
            <w:r>
              <w:lastRenderedPageBreak/>
              <w:t>Management Plan (DEL-09)</w:t>
            </w:r>
          </w:p>
        </w:tc>
        <w:tc>
          <w:tcPr>
            <w:tcW w:w="1649" w:type="dxa"/>
          </w:tcPr>
          <w:p w14:paraId="3DBCD8EF" w14:textId="77777777" w:rsidR="00C5516F" w:rsidRPr="008514D3" w:rsidRDefault="00C5516F" w:rsidP="004C2A40">
            <w:pPr>
              <w:pStyle w:val="TABLEBULLETNEW"/>
            </w:pPr>
            <w:r>
              <w:lastRenderedPageBreak/>
              <w:t>Technical Stakeholders</w:t>
            </w:r>
          </w:p>
        </w:tc>
        <w:tc>
          <w:tcPr>
            <w:tcW w:w="1800" w:type="dxa"/>
          </w:tcPr>
          <w:p w14:paraId="10DB2271" w14:textId="77777777" w:rsidR="00C5516F" w:rsidRPr="008514D3" w:rsidRDefault="00C5516F" w:rsidP="004C2A40">
            <w:pPr>
              <w:pStyle w:val="TABLEBULLETNEW"/>
            </w:pPr>
            <w:r>
              <w:t>Updated Application Code and Database</w:t>
            </w:r>
          </w:p>
          <w:p w14:paraId="41C505D1" w14:textId="4D85E4AC" w:rsidR="00C5516F" w:rsidRPr="008514D3" w:rsidRDefault="00C5516F" w:rsidP="004C2A40">
            <w:pPr>
              <w:pStyle w:val="TABLEBULLETNEW"/>
            </w:pPr>
            <w:r>
              <w:t>Requirements Traceability Matrix (DEL-19)</w:t>
            </w:r>
          </w:p>
          <w:p w14:paraId="3E7D08AE" w14:textId="2C2CD87F" w:rsidR="00C5516F" w:rsidRPr="008514D3" w:rsidRDefault="00C5516F" w:rsidP="004C2A40">
            <w:pPr>
              <w:pStyle w:val="TABLEBULLETNEW"/>
            </w:pPr>
            <w:r>
              <w:t xml:space="preserve">Requirements Specification Document (DEL-18) </w:t>
            </w:r>
          </w:p>
          <w:p w14:paraId="5DC2C850" w14:textId="4F7A3DA7" w:rsidR="00C5516F" w:rsidRPr="008514D3" w:rsidRDefault="00C5516F" w:rsidP="004C2A40">
            <w:pPr>
              <w:pStyle w:val="TABLEBULLETNEW"/>
            </w:pPr>
            <w:r>
              <w:t>Test Management Plan (DEL-09)</w:t>
            </w:r>
          </w:p>
        </w:tc>
        <w:tc>
          <w:tcPr>
            <w:tcW w:w="1980" w:type="dxa"/>
          </w:tcPr>
          <w:p w14:paraId="148B7B62" w14:textId="77777777" w:rsidR="00C5516F" w:rsidRPr="008514D3" w:rsidRDefault="00C5516F" w:rsidP="004C2A40">
            <w:pPr>
              <w:pStyle w:val="TABLEBULLETNEW"/>
            </w:pPr>
            <w:r>
              <w:t>Unit Test Cases</w:t>
            </w:r>
          </w:p>
          <w:p w14:paraId="46091BAB" w14:textId="21D6E369" w:rsidR="00C5516F" w:rsidRPr="008514D3" w:rsidRDefault="00C5516F" w:rsidP="004C2A40">
            <w:pPr>
              <w:pStyle w:val="TABLEBULLETNEW"/>
            </w:pPr>
            <w:r>
              <w:t>Unit Test Results updated with the iteration/bundle test results</w:t>
            </w:r>
          </w:p>
        </w:tc>
      </w:tr>
      <w:tr w:rsidR="00C5516F" w:rsidRPr="00A21682" w14:paraId="16A0CD27" w14:textId="77777777" w:rsidTr="00911E6E">
        <w:trPr>
          <w:trHeight w:val="300"/>
        </w:trPr>
        <w:tc>
          <w:tcPr>
            <w:tcW w:w="622" w:type="dxa"/>
          </w:tcPr>
          <w:p w14:paraId="096D7496" w14:textId="77777777" w:rsidR="00C5516F" w:rsidRPr="00A21682" w:rsidRDefault="00C5516F" w:rsidP="0083395F">
            <w:pPr>
              <w:pStyle w:val="TABLETEXT1"/>
              <w:rPr>
                <w:lang w:val="en-US"/>
              </w:rPr>
            </w:pPr>
            <w:r>
              <w:rPr>
                <w:lang w:val="en-US"/>
              </w:rPr>
              <w:t xml:space="preserve">5.4 </w:t>
            </w:r>
          </w:p>
        </w:tc>
        <w:tc>
          <w:tcPr>
            <w:tcW w:w="1596" w:type="dxa"/>
          </w:tcPr>
          <w:p w14:paraId="471E4FF2" w14:textId="77777777" w:rsidR="00C5516F" w:rsidRPr="00A21682" w:rsidRDefault="00C5516F" w:rsidP="0083395F">
            <w:pPr>
              <w:pStyle w:val="TABLETEXT1"/>
              <w:rPr>
                <w:lang w:val="en-US"/>
              </w:rPr>
            </w:pPr>
            <w:r>
              <w:rPr>
                <w:lang w:val="en-US"/>
              </w:rPr>
              <w:t>Conduct automated and/or manual code reviews</w:t>
            </w:r>
          </w:p>
        </w:tc>
        <w:tc>
          <w:tcPr>
            <w:tcW w:w="1980" w:type="dxa"/>
          </w:tcPr>
          <w:p w14:paraId="70EDCC41" w14:textId="494035C9" w:rsidR="00C5516F" w:rsidRPr="008514D3" w:rsidRDefault="00C5516F" w:rsidP="00661A8B">
            <w:pPr>
              <w:pStyle w:val="TABLEBULLETNEW"/>
            </w:pPr>
            <w:r>
              <w:t>Conduct peer/lead code review of the implemented code to confirm that development is per the industry best practices</w:t>
            </w:r>
          </w:p>
          <w:p w14:paraId="6DC1D58B" w14:textId="69EFF3D8" w:rsidR="00C5516F" w:rsidRPr="008514D3" w:rsidRDefault="00C5516F" w:rsidP="00661A8B">
            <w:pPr>
              <w:pStyle w:val="TABLEBULLETNEW"/>
            </w:pPr>
            <w:r>
              <w:t>Additionally, an automated code review tool will be configured with industry recommended ruleset which will be run every time before the code is checked-in to the source repository</w:t>
            </w:r>
          </w:p>
          <w:p w14:paraId="402A201F" w14:textId="77777777" w:rsidR="00C5516F" w:rsidRPr="008514D3" w:rsidRDefault="00C5516F" w:rsidP="00661A8B">
            <w:pPr>
              <w:pStyle w:val="TABLEBULLETNEW"/>
            </w:pPr>
            <w:r>
              <w:t>Code will be checked-in and promoted to higher environments only when it passes the code review quality checks</w:t>
            </w:r>
          </w:p>
        </w:tc>
        <w:tc>
          <w:tcPr>
            <w:tcW w:w="1649" w:type="dxa"/>
          </w:tcPr>
          <w:p w14:paraId="2B1F0B06" w14:textId="77777777" w:rsidR="00C5516F" w:rsidRPr="008514D3" w:rsidRDefault="00C5516F" w:rsidP="004C2A40">
            <w:pPr>
              <w:pStyle w:val="TABLEBULLETNEW"/>
            </w:pPr>
            <w:r>
              <w:t>Technical Stakeholders</w:t>
            </w:r>
          </w:p>
        </w:tc>
        <w:tc>
          <w:tcPr>
            <w:tcW w:w="1800" w:type="dxa"/>
          </w:tcPr>
          <w:p w14:paraId="60F69CC6" w14:textId="77777777" w:rsidR="00C5516F" w:rsidRPr="008514D3" w:rsidRDefault="00C5516F" w:rsidP="004C2A40">
            <w:pPr>
              <w:pStyle w:val="TABLEBULLETNEW"/>
            </w:pPr>
            <w:r>
              <w:t>Unit Test Cases</w:t>
            </w:r>
          </w:p>
          <w:p w14:paraId="227F2B64" w14:textId="77777777" w:rsidR="00E36FED" w:rsidRDefault="00C5516F" w:rsidP="004C2A40">
            <w:pPr>
              <w:pStyle w:val="TABLEBULLETNEW"/>
            </w:pPr>
            <w:r>
              <w:t>Unit Test Results updated with the iteration/</w:t>
            </w:r>
          </w:p>
          <w:p w14:paraId="6FE94F96" w14:textId="64EAE5CF" w:rsidR="00C5516F" w:rsidRPr="008514D3" w:rsidRDefault="00D825C8" w:rsidP="00E36FED">
            <w:pPr>
              <w:pStyle w:val="TABLEBULLETNEW"/>
              <w:numPr>
                <w:ilvl w:val="0"/>
                <w:numId w:val="0"/>
              </w:numPr>
              <w:ind w:left="331"/>
            </w:pPr>
            <w:r>
              <w:t>bundle test results</w:t>
            </w:r>
          </w:p>
          <w:p w14:paraId="649F30C4" w14:textId="77777777" w:rsidR="00C5516F" w:rsidRPr="008514D3" w:rsidRDefault="00C5516F" w:rsidP="004C2A40">
            <w:pPr>
              <w:pStyle w:val="TABLEBULLETNEW"/>
            </w:pPr>
            <w:r>
              <w:t>Application Code, Automated Code Review Ruleset, Code Review Checklist</w:t>
            </w:r>
          </w:p>
        </w:tc>
        <w:tc>
          <w:tcPr>
            <w:tcW w:w="1980" w:type="dxa"/>
          </w:tcPr>
          <w:p w14:paraId="4A1EB209" w14:textId="77777777" w:rsidR="00C5516F" w:rsidRPr="008514D3" w:rsidRDefault="00C5516F" w:rsidP="004C2A40">
            <w:pPr>
              <w:pStyle w:val="TABLEBULLETNEW"/>
            </w:pPr>
            <w:r>
              <w:t>Automated Code Review Report</w:t>
            </w:r>
          </w:p>
        </w:tc>
      </w:tr>
      <w:tr w:rsidR="00C5516F" w:rsidRPr="00A21682" w14:paraId="1A1F3036" w14:textId="77777777" w:rsidTr="00911E6E">
        <w:trPr>
          <w:trHeight w:val="300"/>
        </w:trPr>
        <w:tc>
          <w:tcPr>
            <w:tcW w:w="622" w:type="dxa"/>
          </w:tcPr>
          <w:p w14:paraId="31EB0864" w14:textId="77777777" w:rsidR="00C5516F" w:rsidRPr="00A21682" w:rsidRDefault="00C5516F" w:rsidP="0083395F">
            <w:pPr>
              <w:pStyle w:val="TABLETEXT1"/>
              <w:rPr>
                <w:lang w:val="en-US"/>
              </w:rPr>
            </w:pPr>
            <w:r>
              <w:rPr>
                <w:lang w:val="en-US"/>
              </w:rPr>
              <w:t>5.4a</w:t>
            </w:r>
          </w:p>
        </w:tc>
        <w:tc>
          <w:tcPr>
            <w:tcW w:w="1596" w:type="dxa"/>
          </w:tcPr>
          <w:p w14:paraId="20ADB926" w14:textId="77777777" w:rsidR="00C5516F" w:rsidRPr="00A21682" w:rsidRDefault="00C5516F" w:rsidP="0083395F">
            <w:pPr>
              <w:pStyle w:val="TABLETEXT1"/>
              <w:rPr>
                <w:lang w:val="en-US"/>
              </w:rPr>
            </w:pPr>
            <w:r>
              <w:rPr>
                <w:lang w:val="en-US"/>
              </w:rPr>
              <w:t>Code passes quality threshold</w:t>
            </w:r>
          </w:p>
        </w:tc>
        <w:tc>
          <w:tcPr>
            <w:tcW w:w="1980" w:type="dxa"/>
          </w:tcPr>
          <w:p w14:paraId="43A4B1F5" w14:textId="09478B1B" w:rsidR="00C5516F" w:rsidRPr="008C303B" w:rsidRDefault="00C5516F" w:rsidP="008C303B">
            <w:pPr>
              <w:pStyle w:val="TABLETEXT1"/>
              <w:rPr>
                <w:lang w:val="en-US"/>
              </w:rPr>
            </w:pPr>
            <w:r>
              <w:rPr>
                <w:lang w:val="en-US"/>
              </w:rPr>
              <w:t>Technical Stakeholders determine if the code passes the quality tests in accordance with the Test Management Plan (DEL-09)</w:t>
            </w:r>
          </w:p>
          <w:p w14:paraId="55C44001" w14:textId="7CF20403" w:rsidR="00975E6F" w:rsidRPr="00B4268C" w:rsidRDefault="00C5516F" w:rsidP="00661A8B">
            <w:pPr>
              <w:pStyle w:val="TABLEBULLETNEW"/>
            </w:pPr>
            <w:r>
              <w:t xml:space="preserve">If yes, proceed to </w:t>
            </w:r>
            <w:r>
              <w:rPr>
                <w:i/>
              </w:rPr>
              <w:t>Step #5.4b Unit Test Results Passed Status</w:t>
            </w:r>
            <w:r>
              <w:t xml:space="preserve"> </w:t>
            </w:r>
          </w:p>
          <w:p w14:paraId="61364018" w14:textId="77777777" w:rsidR="00C5516F" w:rsidRPr="00B4268C" w:rsidRDefault="00C5516F" w:rsidP="00661A8B">
            <w:pPr>
              <w:pStyle w:val="TABLEBULLETNEW"/>
            </w:pPr>
            <w:r>
              <w:t xml:space="preserve">If no, proceed to </w:t>
            </w:r>
            <w:r>
              <w:rPr>
                <w:i/>
              </w:rPr>
              <w:t xml:space="preserve">Step #5.7 </w:t>
            </w:r>
            <w:r>
              <w:rPr>
                <w:i/>
              </w:rPr>
              <w:lastRenderedPageBreak/>
              <w:t>Remediate code review and/or unit test findings</w:t>
            </w:r>
          </w:p>
        </w:tc>
        <w:tc>
          <w:tcPr>
            <w:tcW w:w="1649" w:type="dxa"/>
          </w:tcPr>
          <w:p w14:paraId="7945CA3B" w14:textId="77777777" w:rsidR="00C5516F" w:rsidRPr="008514D3" w:rsidRDefault="00C5516F" w:rsidP="004C2A40">
            <w:pPr>
              <w:pStyle w:val="TABLEBULLETNEW"/>
            </w:pPr>
            <w:r>
              <w:lastRenderedPageBreak/>
              <w:t>Technical Stakeholders</w:t>
            </w:r>
          </w:p>
        </w:tc>
        <w:tc>
          <w:tcPr>
            <w:tcW w:w="1800" w:type="dxa"/>
          </w:tcPr>
          <w:p w14:paraId="056C40C2" w14:textId="77777777" w:rsidR="00C5516F" w:rsidRPr="008514D3" w:rsidRDefault="00C5516F" w:rsidP="004C2A40">
            <w:pPr>
              <w:pStyle w:val="TABLEBULLETNEW"/>
            </w:pPr>
            <w:r>
              <w:t>N/A</w:t>
            </w:r>
          </w:p>
        </w:tc>
        <w:tc>
          <w:tcPr>
            <w:tcW w:w="1980" w:type="dxa"/>
          </w:tcPr>
          <w:p w14:paraId="24FD07C1" w14:textId="77777777" w:rsidR="00C5516F" w:rsidRPr="008514D3" w:rsidRDefault="00C5516F" w:rsidP="004C2A40">
            <w:pPr>
              <w:pStyle w:val="TABLEBULLETNEW"/>
            </w:pPr>
            <w:r>
              <w:t>N/A</w:t>
            </w:r>
          </w:p>
        </w:tc>
      </w:tr>
      <w:tr w:rsidR="00C5516F" w:rsidRPr="00A21682" w14:paraId="4072DA72" w14:textId="77777777" w:rsidTr="00911E6E">
        <w:trPr>
          <w:trHeight w:val="300"/>
        </w:trPr>
        <w:tc>
          <w:tcPr>
            <w:tcW w:w="622" w:type="dxa"/>
          </w:tcPr>
          <w:p w14:paraId="39894AD4" w14:textId="77777777" w:rsidR="00C5516F" w:rsidRPr="00A21682" w:rsidRDefault="00C5516F" w:rsidP="0083395F">
            <w:pPr>
              <w:pStyle w:val="TABLETEXT1"/>
              <w:rPr>
                <w:lang w:val="en-US"/>
              </w:rPr>
            </w:pPr>
            <w:r>
              <w:rPr>
                <w:lang w:val="en-US"/>
              </w:rPr>
              <w:t>5.4b</w:t>
            </w:r>
          </w:p>
        </w:tc>
        <w:tc>
          <w:tcPr>
            <w:tcW w:w="1596" w:type="dxa"/>
          </w:tcPr>
          <w:p w14:paraId="63087E3B" w14:textId="77777777" w:rsidR="00C5516F" w:rsidRPr="00A21682" w:rsidRDefault="00C5516F" w:rsidP="0083395F">
            <w:pPr>
              <w:pStyle w:val="TABLETEXT1"/>
              <w:rPr>
                <w:lang w:val="en-US"/>
              </w:rPr>
            </w:pPr>
            <w:r>
              <w:rPr>
                <w:lang w:val="en-US"/>
              </w:rPr>
              <w:t>Unit Test Results Passed Status</w:t>
            </w:r>
          </w:p>
        </w:tc>
        <w:tc>
          <w:tcPr>
            <w:tcW w:w="1980" w:type="dxa"/>
          </w:tcPr>
          <w:p w14:paraId="57DF87C1" w14:textId="68FB0570" w:rsidR="00C5516F" w:rsidRPr="008C303B" w:rsidRDefault="00C5516F" w:rsidP="008C303B">
            <w:pPr>
              <w:pStyle w:val="TABLETEXT1"/>
              <w:rPr>
                <w:lang w:val="en-US"/>
              </w:rPr>
            </w:pPr>
            <w:r>
              <w:rPr>
                <w:lang w:val="en-US"/>
              </w:rPr>
              <w:t>Technical Stakeholders verify if the Unit Test results are a ‘Pass’ in accordance with the Test Management Plan (DEL-09)</w:t>
            </w:r>
          </w:p>
          <w:p w14:paraId="6F14E0C7" w14:textId="6D10B404" w:rsidR="00C5516F" w:rsidRPr="008C303B" w:rsidRDefault="00C5516F" w:rsidP="00661A8B">
            <w:pPr>
              <w:pStyle w:val="TABLEBULLETNEW"/>
            </w:pPr>
            <w:r>
              <w:t xml:space="preserve">If yes, proceed to </w:t>
            </w:r>
            <w:r>
              <w:rPr>
                <w:i/>
              </w:rPr>
              <w:t>Step #5.5 Publish Unit Test Results</w:t>
            </w:r>
          </w:p>
          <w:p w14:paraId="624A4839" w14:textId="77777777" w:rsidR="00C5516F" w:rsidRPr="008C303B" w:rsidRDefault="00C5516F" w:rsidP="00661A8B">
            <w:pPr>
              <w:pStyle w:val="TABLEBULLETNEW"/>
            </w:pPr>
            <w:r>
              <w:t xml:space="preserve">If no, proceed to </w:t>
            </w:r>
            <w:r>
              <w:rPr>
                <w:i/>
              </w:rPr>
              <w:t>Step #5.7 Remediate code review and/or unit test findings</w:t>
            </w:r>
          </w:p>
        </w:tc>
        <w:tc>
          <w:tcPr>
            <w:tcW w:w="1649" w:type="dxa"/>
          </w:tcPr>
          <w:p w14:paraId="56C1B010" w14:textId="77777777" w:rsidR="00C5516F" w:rsidRPr="008514D3" w:rsidRDefault="00C5516F" w:rsidP="004C2A40">
            <w:pPr>
              <w:pStyle w:val="TABLEBULLETNEW"/>
            </w:pPr>
            <w:r>
              <w:t>Technical Stakeholders</w:t>
            </w:r>
          </w:p>
        </w:tc>
        <w:tc>
          <w:tcPr>
            <w:tcW w:w="1800" w:type="dxa"/>
          </w:tcPr>
          <w:p w14:paraId="5F8C2B3B" w14:textId="77777777" w:rsidR="00C5516F" w:rsidRPr="008514D3" w:rsidRDefault="00C5516F" w:rsidP="004C2A40">
            <w:pPr>
              <w:pStyle w:val="TABLEBULLETNEW"/>
            </w:pPr>
            <w:r>
              <w:t>N/A</w:t>
            </w:r>
          </w:p>
        </w:tc>
        <w:tc>
          <w:tcPr>
            <w:tcW w:w="1980" w:type="dxa"/>
          </w:tcPr>
          <w:p w14:paraId="1F6352F9" w14:textId="77777777" w:rsidR="00C5516F" w:rsidRPr="008514D3" w:rsidRDefault="00C5516F" w:rsidP="004C2A40">
            <w:pPr>
              <w:pStyle w:val="TABLEBULLETNEW"/>
            </w:pPr>
            <w:r>
              <w:t>N/A</w:t>
            </w:r>
          </w:p>
        </w:tc>
      </w:tr>
      <w:tr w:rsidR="00C5516F" w:rsidRPr="00A21682" w14:paraId="4851AF57" w14:textId="77777777" w:rsidTr="00911E6E">
        <w:trPr>
          <w:trHeight w:val="300"/>
        </w:trPr>
        <w:tc>
          <w:tcPr>
            <w:tcW w:w="622" w:type="dxa"/>
          </w:tcPr>
          <w:p w14:paraId="113325E7" w14:textId="77777777" w:rsidR="00C5516F" w:rsidRPr="00A21682" w:rsidRDefault="00C5516F" w:rsidP="0083395F">
            <w:pPr>
              <w:pStyle w:val="TABLETEXT1"/>
              <w:rPr>
                <w:lang w:val="en-US"/>
              </w:rPr>
            </w:pPr>
            <w:r>
              <w:rPr>
                <w:lang w:val="en-US"/>
              </w:rPr>
              <w:t>5.5</w:t>
            </w:r>
          </w:p>
        </w:tc>
        <w:tc>
          <w:tcPr>
            <w:tcW w:w="1596" w:type="dxa"/>
          </w:tcPr>
          <w:p w14:paraId="7241C444" w14:textId="77777777" w:rsidR="00C5516F" w:rsidRPr="00A21682" w:rsidRDefault="00C5516F" w:rsidP="0083395F">
            <w:pPr>
              <w:pStyle w:val="TABLETEXT1"/>
              <w:rPr>
                <w:lang w:val="en-US"/>
              </w:rPr>
            </w:pPr>
            <w:r>
              <w:rPr>
                <w:lang w:val="en-US"/>
              </w:rPr>
              <w:t xml:space="preserve">Publish Unit Test Results </w:t>
            </w:r>
          </w:p>
        </w:tc>
        <w:tc>
          <w:tcPr>
            <w:tcW w:w="1980" w:type="dxa"/>
          </w:tcPr>
          <w:p w14:paraId="60134B21" w14:textId="6BF51816" w:rsidR="00C5516F" w:rsidRPr="008C303B" w:rsidRDefault="00C5516F" w:rsidP="008C303B">
            <w:pPr>
              <w:pStyle w:val="TABLETEXT1"/>
              <w:rPr>
                <w:lang w:val="en-US"/>
              </w:rPr>
            </w:pPr>
            <w:r>
              <w:rPr>
                <w:lang w:val="en-US"/>
              </w:rPr>
              <w:t xml:space="preserve">Publish the Unit Test Results to document application code passing the unit testing exit criteria (refer to Test Management Plan (DEL-09)) as a sign-off for the code to be deployed to SIT environment </w:t>
            </w:r>
          </w:p>
        </w:tc>
        <w:tc>
          <w:tcPr>
            <w:tcW w:w="1649" w:type="dxa"/>
          </w:tcPr>
          <w:p w14:paraId="5F361684" w14:textId="77777777" w:rsidR="00C5516F" w:rsidRPr="00635C9B" w:rsidRDefault="00C5516F" w:rsidP="004C2A40">
            <w:pPr>
              <w:pStyle w:val="TABLEBULLETNEW"/>
            </w:pPr>
            <w:r>
              <w:t>Technical Stakeholders</w:t>
            </w:r>
          </w:p>
        </w:tc>
        <w:tc>
          <w:tcPr>
            <w:tcW w:w="1800" w:type="dxa"/>
          </w:tcPr>
          <w:p w14:paraId="390AA483" w14:textId="52EDD518" w:rsidR="00C5516F" w:rsidRPr="00635C9B" w:rsidRDefault="00C5516F" w:rsidP="004C2A40">
            <w:pPr>
              <w:pStyle w:val="TABLEBULLETNEW"/>
            </w:pPr>
            <w:r>
              <w:t>Unit Test Results with iteration/ bundle test results</w:t>
            </w:r>
          </w:p>
          <w:p w14:paraId="68561845" w14:textId="77777777" w:rsidR="00C5516F" w:rsidRPr="00635C9B" w:rsidRDefault="00C5516F" w:rsidP="004C2A40">
            <w:pPr>
              <w:pStyle w:val="TABLEBULLETNEW"/>
            </w:pPr>
            <w:r>
              <w:t>Automated Code Review Report</w:t>
            </w:r>
          </w:p>
        </w:tc>
        <w:tc>
          <w:tcPr>
            <w:tcW w:w="1980" w:type="dxa"/>
          </w:tcPr>
          <w:p w14:paraId="49EDF15F" w14:textId="23F9CBA5" w:rsidR="00C5516F" w:rsidRPr="00635C9B" w:rsidRDefault="00C5516F" w:rsidP="004C2A40">
            <w:pPr>
              <w:pStyle w:val="TABLEBULLETNEW"/>
            </w:pPr>
            <w:r>
              <w:t xml:space="preserve">Unit Test Results </w:t>
            </w:r>
          </w:p>
        </w:tc>
      </w:tr>
      <w:tr w:rsidR="00C5516F" w:rsidRPr="00A21682" w14:paraId="359DEEB5" w14:textId="77777777" w:rsidTr="00911E6E">
        <w:trPr>
          <w:trHeight w:val="300"/>
        </w:trPr>
        <w:tc>
          <w:tcPr>
            <w:tcW w:w="622" w:type="dxa"/>
          </w:tcPr>
          <w:p w14:paraId="00C070AE" w14:textId="77777777" w:rsidR="00C5516F" w:rsidRPr="00A21682" w:rsidRDefault="00C5516F" w:rsidP="0083395F">
            <w:pPr>
              <w:pStyle w:val="TABLETEXT1"/>
              <w:rPr>
                <w:lang w:val="en-US"/>
              </w:rPr>
            </w:pPr>
            <w:r>
              <w:rPr>
                <w:lang w:val="en-US"/>
              </w:rPr>
              <w:t xml:space="preserve">5.6a </w:t>
            </w:r>
          </w:p>
        </w:tc>
        <w:tc>
          <w:tcPr>
            <w:tcW w:w="1596" w:type="dxa"/>
          </w:tcPr>
          <w:p w14:paraId="71AF6F0B" w14:textId="77777777" w:rsidR="00C5516F" w:rsidRPr="00A21682" w:rsidRDefault="00C5516F" w:rsidP="0083395F">
            <w:pPr>
              <w:pStyle w:val="TABLETEXT1"/>
              <w:rPr>
                <w:lang w:val="en-US"/>
              </w:rPr>
            </w:pPr>
            <w:r>
              <w:rPr>
                <w:lang w:val="en-US"/>
              </w:rPr>
              <w:t>Update Base Solution Data Model and Data Dictionary</w:t>
            </w:r>
          </w:p>
        </w:tc>
        <w:tc>
          <w:tcPr>
            <w:tcW w:w="1980" w:type="dxa"/>
          </w:tcPr>
          <w:p w14:paraId="7243DCCD" w14:textId="77777777" w:rsidR="00C5516F" w:rsidRPr="008C303B" w:rsidRDefault="00C5516F" w:rsidP="008C303B">
            <w:pPr>
              <w:pStyle w:val="TABLETEXT1"/>
              <w:rPr>
                <w:lang w:val="en-US"/>
              </w:rPr>
            </w:pPr>
            <w:r>
              <w:rPr>
                <w:lang w:val="en-US"/>
              </w:rPr>
              <w:t>Revise the Base Solution data model and data dictionary documents at the end of the development phase</w:t>
            </w:r>
          </w:p>
        </w:tc>
        <w:tc>
          <w:tcPr>
            <w:tcW w:w="1649" w:type="dxa"/>
          </w:tcPr>
          <w:p w14:paraId="307A87C1" w14:textId="77777777" w:rsidR="00C5516F" w:rsidRPr="00635C9B" w:rsidRDefault="00C5516F" w:rsidP="004C2A40">
            <w:pPr>
              <w:pStyle w:val="TABLEBULLETNEW"/>
            </w:pPr>
            <w:r>
              <w:t>Technical Stakeholders</w:t>
            </w:r>
          </w:p>
        </w:tc>
        <w:tc>
          <w:tcPr>
            <w:tcW w:w="1800" w:type="dxa"/>
          </w:tcPr>
          <w:p w14:paraId="67B6C483" w14:textId="77777777" w:rsidR="00C5516F" w:rsidRPr="00635C9B" w:rsidRDefault="00C5516F" w:rsidP="004C2A40">
            <w:pPr>
              <w:pStyle w:val="TABLEBULLETNEW"/>
            </w:pPr>
            <w:r>
              <w:t>Solution data models</w:t>
            </w:r>
          </w:p>
          <w:p w14:paraId="699DC7C7" w14:textId="77777777" w:rsidR="00C5516F" w:rsidRPr="00635C9B" w:rsidRDefault="00C5516F" w:rsidP="004C2A40">
            <w:pPr>
              <w:pStyle w:val="TABLEBULLETNEW"/>
            </w:pPr>
            <w:r>
              <w:t>Data dictionary documents</w:t>
            </w:r>
          </w:p>
        </w:tc>
        <w:tc>
          <w:tcPr>
            <w:tcW w:w="1980" w:type="dxa"/>
          </w:tcPr>
          <w:p w14:paraId="6506169A" w14:textId="65A687EC" w:rsidR="00C5516F" w:rsidRPr="00635C9B" w:rsidRDefault="00C5516F" w:rsidP="004C2A40">
            <w:pPr>
              <w:pStyle w:val="TABLEBULLETNEW"/>
            </w:pPr>
            <w:r>
              <w:t>Updated Data Models and Data Dictionary (DEL-21)</w:t>
            </w:r>
          </w:p>
        </w:tc>
      </w:tr>
      <w:tr w:rsidR="00C5516F" w:rsidRPr="00A21682" w14:paraId="6B55A7F3" w14:textId="77777777" w:rsidTr="00911E6E">
        <w:trPr>
          <w:trHeight w:val="300"/>
        </w:trPr>
        <w:tc>
          <w:tcPr>
            <w:tcW w:w="622" w:type="dxa"/>
          </w:tcPr>
          <w:p w14:paraId="06DB6AA7" w14:textId="77777777" w:rsidR="00C5516F" w:rsidRPr="00A21682" w:rsidRDefault="00C5516F" w:rsidP="0083395F">
            <w:pPr>
              <w:pStyle w:val="TABLETEXT1"/>
              <w:rPr>
                <w:lang w:val="en-US"/>
              </w:rPr>
            </w:pPr>
            <w:r>
              <w:rPr>
                <w:lang w:val="en-US"/>
              </w:rPr>
              <w:t>5.6b</w:t>
            </w:r>
          </w:p>
        </w:tc>
        <w:tc>
          <w:tcPr>
            <w:tcW w:w="1596" w:type="dxa"/>
          </w:tcPr>
          <w:p w14:paraId="2A97346D" w14:textId="40B95694" w:rsidR="00C5516F" w:rsidRPr="00A21682" w:rsidRDefault="00C5516F" w:rsidP="0083395F">
            <w:pPr>
              <w:pStyle w:val="TABLETEXT1"/>
              <w:rPr>
                <w:lang w:val="en-US"/>
              </w:rPr>
            </w:pPr>
            <w:r>
              <w:rPr>
                <w:lang w:val="en-US"/>
              </w:rPr>
              <w:t>Release iteration/bundle software for SIT; Perform Solution Exploration Pre-Work</w:t>
            </w:r>
          </w:p>
        </w:tc>
        <w:tc>
          <w:tcPr>
            <w:tcW w:w="1980" w:type="dxa"/>
          </w:tcPr>
          <w:p w14:paraId="05C31670" w14:textId="7B8DCA18" w:rsidR="00C5516F" w:rsidRPr="008C303B" w:rsidRDefault="00C5516F" w:rsidP="008C303B">
            <w:pPr>
              <w:pStyle w:val="TABLETEXT1"/>
              <w:rPr>
                <w:lang w:val="en-US"/>
              </w:rPr>
            </w:pPr>
            <w:r>
              <w:rPr>
                <w:lang w:val="en-US"/>
              </w:rPr>
              <w:t xml:space="preserve">Deploy application code to the SIT environment for SIT once it passes the code review and unit tests and meets the exit criteria; </w:t>
            </w:r>
            <w:r>
              <w:rPr>
                <w:lang w:val="en-US"/>
              </w:rPr>
              <w:lastRenderedPageBreak/>
              <w:t>conduct appropriate Solution Exploration pre-work, as needed</w:t>
            </w:r>
          </w:p>
        </w:tc>
        <w:tc>
          <w:tcPr>
            <w:tcW w:w="1649" w:type="dxa"/>
          </w:tcPr>
          <w:p w14:paraId="28407C30" w14:textId="77777777" w:rsidR="00C5516F" w:rsidRPr="00635C9B" w:rsidRDefault="00C5516F" w:rsidP="004C2A40">
            <w:pPr>
              <w:pStyle w:val="TABLEBULLETNEW"/>
            </w:pPr>
            <w:r>
              <w:lastRenderedPageBreak/>
              <w:t>Technical Stakeholders</w:t>
            </w:r>
          </w:p>
        </w:tc>
        <w:tc>
          <w:tcPr>
            <w:tcW w:w="1800" w:type="dxa"/>
          </w:tcPr>
          <w:p w14:paraId="4CE90B70" w14:textId="77777777" w:rsidR="00C5516F" w:rsidRPr="00635C9B" w:rsidRDefault="00C5516F" w:rsidP="004C2A40">
            <w:pPr>
              <w:pStyle w:val="TABLEBULLETNEW"/>
            </w:pPr>
            <w:r>
              <w:t>SIT environment ready</w:t>
            </w:r>
          </w:p>
          <w:p w14:paraId="2368A4E6" w14:textId="77777777" w:rsidR="00C5516F" w:rsidRPr="00635C9B" w:rsidRDefault="00C5516F" w:rsidP="004C2A40">
            <w:pPr>
              <w:pStyle w:val="TABLEBULLETNEW"/>
            </w:pPr>
            <w:r>
              <w:t>Application Code and Database</w:t>
            </w:r>
          </w:p>
        </w:tc>
        <w:tc>
          <w:tcPr>
            <w:tcW w:w="1980" w:type="dxa"/>
          </w:tcPr>
          <w:p w14:paraId="008AE3E6" w14:textId="098F069D" w:rsidR="00C5516F" w:rsidRPr="00635C9B" w:rsidRDefault="00C5516F" w:rsidP="004C2A40">
            <w:pPr>
              <w:pStyle w:val="TABLEBULLETNEW"/>
            </w:pPr>
            <w:r>
              <w:t>Application code and database deployed in SIT and Solution Exploration environments</w:t>
            </w:r>
          </w:p>
        </w:tc>
      </w:tr>
      <w:tr w:rsidR="00C102F4" w:rsidRPr="00A21682" w14:paraId="1A1356CC" w14:textId="77777777" w:rsidTr="00911E6E">
        <w:trPr>
          <w:trHeight w:val="300"/>
        </w:trPr>
        <w:tc>
          <w:tcPr>
            <w:tcW w:w="622" w:type="dxa"/>
          </w:tcPr>
          <w:p w14:paraId="372B08E9" w14:textId="70D2DD2A" w:rsidR="00C102F4" w:rsidRPr="00A21682" w:rsidRDefault="00C102F4" w:rsidP="0083395F">
            <w:pPr>
              <w:pStyle w:val="TABLETEXT1"/>
              <w:rPr>
                <w:lang w:val="en-US"/>
              </w:rPr>
            </w:pPr>
            <w:r>
              <w:rPr>
                <w:lang w:val="en-US"/>
              </w:rPr>
              <w:t>5.7</w:t>
            </w:r>
          </w:p>
        </w:tc>
        <w:tc>
          <w:tcPr>
            <w:tcW w:w="1596" w:type="dxa"/>
          </w:tcPr>
          <w:p w14:paraId="0901AA17" w14:textId="4D468A5E" w:rsidR="00C102F4" w:rsidRPr="00A21682" w:rsidRDefault="00C102F4" w:rsidP="0083395F">
            <w:pPr>
              <w:pStyle w:val="TABLETEXT1"/>
              <w:rPr>
                <w:lang w:val="en-US"/>
              </w:rPr>
            </w:pPr>
            <w:r>
              <w:rPr>
                <w:lang w:val="en-US"/>
              </w:rPr>
              <w:t>Remediate code review and/or Unit Test findings</w:t>
            </w:r>
          </w:p>
        </w:tc>
        <w:tc>
          <w:tcPr>
            <w:tcW w:w="1980" w:type="dxa"/>
          </w:tcPr>
          <w:p w14:paraId="1FE6E6DC" w14:textId="1602028E" w:rsidR="00C102F4" w:rsidRPr="008C303B" w:rsidRDefault="007F5C3F" w:rsidP="008C303B">
            <w:pPr>
              <w:pStyle w:val="TABLETEXT1"/>
              <w:rPr>
                <w:lang w:val="en-US"/>
              </w:rPr>
            </w:pPr>
            <w:r>
              <w:rPr>
                <w:lang w:val="en-US"/>
              </w:rPr>
              <w:t>Address and resolve issues identified during code review and unit testing by making necessary code changes, re-running tests, and updating documentation to confirm that the code meets quality standards and functions as intended.</w:t>
            </w:r>
          </w:p>
        </w:tc>
        <w:tc>
          <w:tcPr>
            <w:tcW w:w="1649" w:type="dxa"/>
          </w:tcPr>
          <w:p w14:paraId="783349BB" w14:textId="0C7A5AF1" w:rsidR="00C102F4" w:rsidRPr="00635C9B" w:rsidRDefault="00C102F4" w:rsidP="004C2A40">
            <w:pPr>
              <w:pStyle w:val="TABLEBULLETNEW"/>
            </w:pPr>
            <w:r>
              <w:t>Technical Stakeholders</w:t>
            </w:r>
          </w:p>
        </w:tc>
        <w:tc>
          <w:tcPr>
            <w:tcW w:w="1800" w:type="dxa"/>
          </w:tcPr>
          <w:p w14:paraId="0AE74015" w14:textId="77777777" w:rsidR="00C102F4" w:rsidRPr="008514D3" w:rsidRDefault="00C102F4" w:rsidP="004C2A40">
            <w:pPr>
              <w:pStyle w:val="TABLEBULLETNEW"/>
            </w:pPr>
            <w:r>
              <w:t>Updated Application Code and Database</w:t>
            </w:r>
          </w:p>
          <w:p w14:paraId="64921DD3" w14:textId="084F7A94" w:rsidR="00C102F4" w:rsidRPr="008514D3" w:rsidRDefault="00C102F4" w:rsidP="004C2A40">
            <w:pPr>
              <w:pStyle w:val="TABLEBULLETNEW"/>
            </w:pPr>
            <w:r>
              <w:t>Requirements Traceability Matrix (DEL-19)</w:t>
            </w:r>
          </w:p>
          <w:p w14:paraId="548F0A55" w14:textId="77777777" w:rsidR="00C102F4" w:rsidRPr="008514D3" w:rsidRDefault="00C102F4" w:rsidP="004C2A40">
            <w:pPr>
              <w:pStyle w:val="TABLEBULLETNEW"/>
            </w:pPr>
            <w:r>
              <w:t xml:space="preserve">Requirements Specification Document (DEL-18) </w:t>
            </w:r>
          </w:p>
          <w:p w14:paraId="62A07388" w14:textId="0E8C4130" w:rsidR="00C102F4" w:rsidRPr="00635C9B" w:rsidRDefault="00C102F4" w:rsidP="004C2A40">
            <w:pPr>
              <w:pStyle w:val="TABLEBULLETNEW"/>
            </w:pPr>
            <w:r>
              <w:t>Test Management Plan (DEL-09)</w:t>
            </w:r>
          </w:p>
        </w:tc>
        <w:tc>
          <w:tcPr>
            <w:tcW w:w="1980" w:type="dxa"/>
          </w:tcPr>
          <w:p w14:paraId="35AD8DE7" w14:textId="77777777" w:rsidR="00C102F4" w:rsidRPr="008514D3" w:rsidRDefault="00C102F4" w:rsidP="004C2A40">
            <w:pPr>
              <w:pStyle w:val="TABLEBULLETNEW"/>
            </w:pPr>
            <w:r>
              <w:t>Unit Test Cases</w:t>
            </w:r>
          </w:p>
          <w:p w14:paraId="407D1820" w14:textId="5E29AAFC" w:rsidR="00C102F4" w:rsidRPr="00635C9B" w:rsidRDefault="00C102F4" w:rsidP="004C2A40">
            <w:pPr>
              <w:pStyle w:val="TABLEBULLETNEW"/>
            </w:pPr>
            <w:r>
              <w:t>Unit Test Results updated with the iteration/bundle test results</w:t>
            </w:r>
          </w:p>
        </w:tc>
      </w:tr>
    </w:tbl>
    <w:p w14:paraId="5018F45D" w14:textId="6A970E2F" w:rsidR="00C5516F" w:rsidRPr="00A21682" w:rsidRDefault="00C5516F" w:rsidP="005911DA">
      <w:pPr>
        <w:pStyle w:val="Caption"/>
        <w:rPr>
          <w:noProof w:val="0"/>
        </w:rPr>
      </w:pPr>
      <w:bookmarkStart w:id="442" w:name="_Toc150951878"/>
      <w:bookmarkStart w:id="443" w:name="_Toc19287510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20</w:t>
      </w:r>
      <w:r>
        <w:rPr>
          <w:noProof w:val="0"/>
        </w:rPr>
        <w:fldChar w:fldCharType="end"/>
      </w:r>
      <w:r>
        <w:rPr>
          <w:noProof w:val="0"/>
        </w:rPr>
        <w:t>: Development Phase Process Flow Narrative</w:t>
      </w:r>
      <w:bookmarkEnd w:id="442"/>
      <w:bookmarkEnd w:id="443"/>
    </w:p>
    <w:p w14:paraId="4851F1BB" w14:textId="77777777" w:rsidR="00C5516F" w:rsidRPr="00A21682" w:rsidRDefault="00C5516F">
      <w:pPr>
        <w:pStyle w:val="Heading3"/>
        <w:rPr>
          <w:bCs/>
          <w:u w:color="000000"/>
        </w:rPr>
      </w:pPr>
      <w:bookmarkStart w:id="444" w:name="_Toc148102344"/>
      <w:bookmarkStart w:id="445" w:name="_Toc152605828"/>
      <w:bookmarkStart w:id="446" w:name="_Toc177118970"/>
      <w:bookmarkStart w:id="447" w:name="_Toc185952525"/>
      <w:bookmarkStart w:id="448" w:name="_Toc192874699"/>
      <w:r>
        <w:rPr>
          <w:u w:color="000000"/>
        </w:rPr>
        <w:t>Roles and Responsibilities</w:t>
      </w:r>
      <w:bookmarkEnd w:id="444"/>
      <w:bookmarkEnd w:id="445"/>
      <w:bookmarkEnd w:id="446"/>
      <w:bookmarkEnd w:id="447"/>
      <w:bookmarkEnd w:id="448"/>
    </w:p>
    <w:p w14:paraId="211D6A10" w14:textId="77777777" w:rsidR="009C4682" w:rsidRPr="00A21682" w:rsidRDefault="009C4682" w:rsidP="009C4682">
      <w:pPr>
        <w:pStyle w:val="NormalNEW"/>
        <w:rPr>
          <w:u w:color="000000"/>
          <w:lang w:val="en-US"/>
        </w:rPr>
      </w:pPr>
      <w:bookmarkStart w:id="449" w:name="_Toc148102345"/>
      <w:bookmarkStart w:id="450" w:name="_Toc152605829"/>
      <w:r>
        <w:rPr>
          <w:u w:color="000000"/>
          <w:lang w:val="en-US"/>
        </w:rPr>
        <w:t xml:space="preserve">The SDLC RACI Matrix and roles and responsibilities can be found in Appendix C-1. </w:t>
      </w:r>
    </w:p>
    <w:p w14:paraId="47C80D6C" w14:textId="77777777" w:rsidR="00C5516F" w:rsidRPr="00A21682" w:rsidRDefault="00C5516F">
      <w:pPr>
        <w:pStyle w:val="Heading3"/>
        <w:rPr>
          <w:bCs/>
          <w:u w:color="000000"/>
        </w:rPr>
      </w:pPr>
      <w:bookmarkStart w:id="451" w:name="_Toc177118971"/>
      <w:bookmarkStart w:id="452" w:name="_Toc185952526"/>
      <w:bookmarkStart w:id="453" w:name="_Toc192874700"/>
      <w:r>
        <w:rPr>
          <w:u w:color="000000"/>
        </w:rPr>
        <w:t>Phase Exit Criteria</w:t>
      </w:r>
      <w:bookmarkEnd w:id="449"/>
      <w:bookmarkEnd w:id="450"/>
      <w:bookmarkEnd w:id="451"/>
      <w:bookmarkEnd w:id="452"/>
      <w:bookmarkEnd w:id="453"/>
    </w:p>
    <w:p w14:paraId="6C454902" w14:textId="24F9BFA8" w:rsidR="00601951" w:rsidRPr="00A21682" w:rsidRDefault="00601951" w:rsidP="00601951">
      <w:pPr>
        <w:pStyle w:val="NormalNEW"/>
        <w:rPr>
          <w:lang w:val="en-US"/>
        </w:rPr>
      </w:pPr>
      <w:r>
        <w:rPr>
          <w:lang w:val="en-US"/>
        </w:rPr>
        <w:t>Key stakeholders from ███████ and DOH OHIP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72DB877D" w14:textId="77777777" w:rsidTr="005174A8">
        <w:trPr>
          <w:trHeight w:val="300"/>
          <w:tblHeader/>
        </w:trPr>
        <w:tc>
          <w:tcPr>
            <w:tcW w:w="481" w:type="dxa"/>
            <w:tcBorders>
              <w:right w:val="single" w:sz="2" w:space="0" w:color="FFFFFF" w:themeColor="background1"/>
            </w:tcBorders>
            <w:shd w:val="clear" w:color="auto" w:fill="000000"/>
            <w:hideMark/>
          </w:tcPr>
          <w:p w14:paraId="7167F244" w14:textId="77777777" w:rsidR="00C5516F" w:rsidRPr="00A21682" w:rsidRDefault="00C5516F" w:rsidP="00047C4E">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3BC5FC43" w14:textId="77777777" w:rsidR="00C5516F" w:rsidRPr="00A21682" w:rsidRDefault="00C5516F" w:rsidP="001844EB">
            <w:pPr>
              <w:pStyle w:val="TABLEHEADINGNEW"/>
            </w:pPr>
            <w:r>
              <w:t>Exit Criteria</w:t>
            </w:r>
          </w:p>
        </w:tc>
        <w:tc>
          <w:tcPr>
            <w:tcW w:w="4300" w:type="dxa"/>
            <w:tcBorders>
              <w:left w:val="single" w:sz="2" w:space="0" w:color="FFFFFF" w:themeColor="background1"/>
            </w:tcBorders>
            <w:shd w:val="clear" w:color="auto" w:fill="000000"/>
          </w:tcPr>
          <w:p w14:paraId="356B5D00" w14:textId="77777777" w:rsidR="00C5516F" w:rsidRPr="00A21682" w:rsidRDefault="00C5516F" w:rsidP="001844EB">
            <w:pPr>
              <w:pStyle w:val="TABLEHEADINGNEW"/>
            </w:pPr>
            <w:r>
              <w:t>Related Document(s)/Artifact(s)</w:t>
            </w:r>
          </w:p>
        </w:tc>
      </w:tr>
      <w:tr w:rsidR="00C5516F" w:rsidRPr="00A21682" w14:paraId="2D7EF94E" w14:textId="77777777" w:rsidTr="00047C4E">
        <w:trPr>
          <w:trHeight w:val="300"/>
        </w:trPr>
        <w:tc>
          <w:tcPr>
            <w:tcW w:w="481" w:type="dxa"/>
            <w:hideMark/>
          </w:tcPr>
          <w:p w14:paraId="6AE9B2FB" w14:textId="77777777" w:rsidR="00C5516F" w:rsidRPr="00A21682" w:rsidRDefault="00C5516F" w:rsidP="00047C4E">
            <w:pPr>
              <w:pStyle w:val="TABLETEXT1"/>
              <w:rPr>
                <w:lang w:val="en-US"/>
              </w:rPr>
            </w:pPr>
            <w:r>
              <w:rPr>
                <w:lang w:val="en-US"/>
              </w:rPr>
              <w:t>1</w:t>
            </w:r>
          </w:p>
        </w:tc>
        <w:tc>
          <w:tcPr>
            <w:tcW w:w="4563" w:type="dxa"/>
          </w:tcPr>
          <w:p w14:paraId="228428AB" w14:textId="56FD415F" w:rsidR="00C5516F" w:rsidRPr="00A21682" w:rsidRDefault="00C5516F" w:rsidP="001844EB">
            <w:pPr>
              <w:pStyle w:val="TABLETEXT1"/>
              <w:rPr>
                <w:lang w:val="en-US"/>
              </w:rPr>
            </w:pPr>
            <w:r>
              <w:rPr>
                <w:lang w:val="en-US"/>
              </w:rPr>
              <w:t xml:space="preserve">Approved and published Unit Test Results </w:t>
            </w:r>
          </w:p>
        </w:tc>
        <w:tc>
          <w:tcPr>
            <w:tcW w:w="4300" w:type="dxa"/>
          </w:tcPr>
          <w:p w14:paraId="4318E7BC" w14:textId="547A09D0" w:rsidR="00C5516F" w:rsidRPr="00635C9B" w:rsidRDefault="00C5516F" w:rsidP="00661A8B">
            <w:pPr>
              <w:pStyle w:val="TABLEBULLETNEW"/>
            </w:pPr>
            <w:r>
              <w:t xml:space="preserve">Unit Test Results </w:t>
            </w:r>
          </w:p>
        </w:tc>
      </w:tr>
      <w:tr w:rsidR="00C5516F" w:rsidRPr="00A21682" w14:paraId="285DB43C" w14:textId="77777777" w:rsidTr="00047C4E">
        <w:trPr>
          <w:trHeight w:val="300"/>
        </w:trPr>
        <w:tc>
          <w:tcPr>
            <w:tcW w:w="481" w:type="dxa"/>
          </w:tcPr>
          <w:p w14:paraId="7B2EEF49" w14:textId="77777777" w:rsidR="00C5516F" w:rsidRPr="00A21682" w:rsidRDefault="00C5516F" w:rsidP="00047C4E">
            <w:pPr>
              <w:pStyle w:val="TABLETEXT1"/>
              <w:rPr>
                <w:lang w:val="en-US"/>
              </w:rPr>
            </w:pPr>
            <w:r>
              <w:rPr>
                <w:lang w:val="en-US"/>
              </w:rPr>
              <w:t>2</w:t>
            </w:r>
          </w:p>
        </w:tc>
        <w:tc>
          <w:tcPr>
            <w:tcW w:w="4563" w:type="dxa"/>
          </w:tcPr>
          <w:p w14:paraId="529ECE70" w14:textId="17303079" w:rsidR="00C5516F" w:rsidRPr="00A21682" w:rsidRDefault="00C5516F" w:rsidP="001844EB">
            <w:pPr>
              <w:pStyle w:val="TABLETEXT1"/>
              <w:rPr>
                <w:lang w:val="en-US"/>
              </w:rPr>
            </w:pPr>
            <w:r>
              <w:rPr>
                <w:lang w:val="en-US"/>
              </w:rPr>
              <w:t>Updated Data Model and Data Dictionary (DEL-21)</w:t>
            </w:r>
          </w:p>
        </w:tc>
        <w:tc>
          <w:tcPr>
            <w:tcW w:w="4300" w:type="dxa"/>
          </w:tcPr>
          <w:p w14:paraId="31626F89" w14:textId="5BE5DBE5" w:rsidR="00C5516F" w:rsidRPr="00635C9B" w:rsidRDefault="00C5516F" w:rsidP="00661A8B">
            <w:pPr>
              <w:pStyle w:val="TABLEBULLETNEW"/>
            </w:pPr>
            <w:r>
              <w:t>Data Model and Data Dictionary (DEL-21)</w:t>
            </w:r>
          </w:p>
        </w:tc>
      </w:tr>
      <w:tr w:rsidR="00C5516F" w:rsidRPr="00A21682" w14:paraId="28DB5137" w14:textId="77777777" w:rsidTr="00047C4E">
        <w:trPr>
          <w:trHeight w:val="300"/>
        </w:trPr>
        <w:tc>
          <w:tcPr>
            <w:tcW w:w="481" w:type="dxa"/>
          </w:tcPr>
          <w:p w14:paraId="2DD836FE" w14:textId="77777777" w:rsidR="00C5516F" w:rsidRPr="00A21682" w:rsidRDefault="00C5516F" w:rsidP="00047C4E">
            <w:pPr>
              <w:pStyle w:val="TABLETEXT1"/>
              <w:rPr>
                <w:lang w:val="en-US"/>
              </w:rPr>
            </w:pPr>
            <w:r>
              <w:rPr>
                <w:lang w:val="en-US"/>
              </w:rPr>
              <w:t>3</w:t>
            </w:r>
          </w:p>
        </w:tc>
        <w:tc>
          <w:tcPr>
            <w:tcW w:w="4563" w:type="dxa"/>
          </w:tcPr>
          <w:p w14:paraId="5AC275E7" w14:textId="1C31CE43" w:rsidR="00C5516F" w:rsidRPr="00A21682" w:rsidRDefault="00C5516F" w:rsidP="001844EB">
            <w:pPr>
              <w:pStyle w:val="TABLETEXT1"/>
              <w:rPr>
                <w:lang w:val="en-US"/>
              </w:rPr>
            </w:pPr>
            <w:r>
              <w:rPr>
                <w:lang w:val="en-US"/>
              </w:rPr>
              <w:t>Application code and database deployed in SIT and Solution Exploration environments</w:t>
            </w:r>
          </w:p>
        </w:tc>
        <w:tc>
          <w:tcPr>
            <w:tcW w:w="4300" w:type="dxa"/>
          </w:tcPr>
          <w:p w14:paraId="713211A1" w14:textId="4EB1380A" w:rsidR="00C5516F" w:rsidRPr="00635C9B" w:rsidRDefault="00C5516F" w:rsidP="00661A8B">
            <w:pPr>
              <w:pStyle w:val="TABLEBULLETNEW"/>
            </w:pPr>
            <w:r>
              <w:t>Communication of SIT and Solution Exploration environment availability</w:t>
            </w:r>
          </w:p>
        </w:tc>
      </w:tr>
    </w:tbl>
    <w:p w14:paraId="00C76B0C" w14:textId="4B3CCF2D" w:rsidR="00C5516F" w:rsidRPr="00A21682" w:rsidRDefault="00C5516F" w:rsidP="005911DA">
      <w:pPr>
        <w:pStyle w:val="Caption"/>
        <w:rPr>
          <w:rFonts w:cs="Arial"/>
          <w:noProof w:val="0"/>
        </w:rPr>
      </w:pPr>
      <w:bookmarkStart w:id="454" w:name="_Toc150951879"/>
      <w:bookmarkStart w:id="455" w:name="_Toc19287510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21</w:t>
      </w:r>
      <w:r>
        <w:rPr>
          <w:noProof w:val="0"/>
        </w:rPr>
        <w:fldChar w:fldCharType="end"/>
      </w:r>
      <w:r>
        <w:rPr>
          <w:noProof w:val="0"/>
        </w:rPr>
        <w:t>:</w:t>
      </w:r>
      <w:r>
        <w:rPr>
          <w:rFonts w:cs="Arial"/>
          <w:noProof w:val="0"/>
        </w:rPr>
        <w:t xml:space="preserve"> Development Phase Exit Criteria</w:t>
      </w:r>
      <w:bookmarkEnd w:id="454"/>
      <w:bookmarkEnd w:id="455"/>
    </w:p>
    <w:p w14:paraId="7D626A72" w14:textId="04F5C0D2" w:rsidR="00C5516F" w:rsidRPr="00A21682" w:rsidRDefault="00C5516F">
      <w:pPr>
        <w:pStyle w:val="Heading3"/>
        <w:rPr>
          <w:u w:color="000000"/>
        </w:rPr>
      </w:pPr>
      <w:bookmarkStart w:id="456" w:name="_Toc148102346"/>
      <w:bookmarkStart w:id="457" w:name="_Toc152605830"/>
      <w:bookmarkStart w:id="458" w:name="_Toc177118972"/>
      <w:bookmarkStart w:id="459" w:name="_Toc185952527"/>
      <w:bookmarkStart w:id="460" w:name="_Toc192874701"/>
      <w:r>
        <w:rPr>
          <w:u w:color="000000"/>
        </w:rPr>
        <w:t xml:space="preserve">Supporting </w:t>
      </w:r>
      <w:r>
        <w:t>Application Lifecycle Management (</w:t>
      </w:r>
      <w:r>
        <w:rPr>
          <w:u w:color="000000"/>
        </w:rPr>
        <w:t>ALM) Tools</w:t>
      </w:r>
      <w:bookmarkEnd w:id="456"/>
      <w:bookmarkEnd w:id="457"/>
      <w:bookmarkEnd w:id="458"/>
      <w:bookmarkEnd w:id="459"/>
      <w:bookmarkEnd w:id="460"/>
    </w:p>
    <w:p w14:paraId="439A955F" w14:textId="68A6308D" w:rsidR="00C5516F" w:rsidRPr="00A21682" w:rsidRDefault="00C5516F" w:rsidP="00F70B45">
      <w:pPr>
        <w:pStyle w:val="NormalNEW"/>
        <w:rPr>
          <w:u w:color="000000"/>
          <w:lang w:val="en-US"/>
        </w:rPr>
      </w:pPr>
      <w:r>
        <w:rPr>
          <w:u w:color="000000"/>
          <w:lang w:val="en-US"/>
        </w:rPr>
        <w:t xml:space="preserve">In the Development phase, ALM tools will enable version control, code collaboration, code review, unit test, and deployment across the development process. ALM tools also assist in tracking and managing </w:t>
      </w:r>
      <w:r>
        <w:rPr>
          <w:u w:color="000000"/>
          <w:lang w:val="en-US"/>
        </w:rPr>
        <w:lastRenderedPageBreak/>
        <w:t>issues and bugs, integrating with development environments and testing tools, and automating build and deployment processes.</w:t>
      </w:r>
    </w:p>
    <w:p w14:paraId="56846129" w14:textId="7C5CA24F" w:rsidR="00C5516F" w:rsidRPr="00A21682" w:rsidRDefault="00C5516F" w:rsidP="00F70B45">
      <w:pPr>
        <w:pStyle w:val="NormalNEW"/>
        <w:rPr>
          <w:u w:color="000000"/>
          <w:lang w:val="en-US"/>
        </w:rPr>
      </w:pPr>
      <w:r>
        <w:rPr>
          <w:u w:color="000000"/>
          <w:lang w:val="en-US"/>
        </w:rPr>
        <w:t>Below are the ALM tools and workflows that pertain to the Development phase:</w:t>
      </w:r>
    </w:p>
    <w:p w14:paraId="2F9058A8" w14:textId="3F73A2F0" w:rsidR="00C5516F" w:rsidRPr="00A21682" w:rsidRDefault="00C5516F" w:rsidP="0031550A">
      <w:pPr>
        <w:pStyle w:val="BulletNEW"/>
        <w:rPr>
          <w:u w:color="000000"/>
        </w:rPr>
      </w:pPr>
      <w:r>
        <w:rPr>
          <w:u w:color="000000"/>
        </w:rPr>
        <w:t>The artifact repository workflow (refer to Section 2.24 artifact repository)</w:t>
      </w:r>
    </w:p>
    <w:p w14:paraId="4FA5FB0C" w14:textId="5800C902" w:rsidR="00C5516F" w:rsidRPr="00A21682" w:rsidRDefault="00C5516F" w:rsidP="0031550A">
      <w:pPr>
        <w:pStyle w:val="BulletNEW"/>
        <w:rPr>
          <w:u w:color="000000"/>
        </w:rPr>
      </w:pPr>
      <w:r>
        <w:rPr>
          <w:u w:color="000000"/>
        </w:rPr>
        <w:t>The build server workflow (refer to Section 2.23 the build server)</w:t>
      </w:r>
    </w:p>
    <w:p w14:paraId="2D9CE948" w14:textId="0EA347FB" w:rsidR="00C5516F" w:rsidRPr="00A21682" w:rsidRDefault="00C5516F" w:rsidP="0031550A">
      <w:pPr>
        <w:pStyle w:val="BulletNEW"/>
        <w:rPr>
          <w:u w:color="000000"/>
        </w:rPr>
      </w:pPr>
      <w:r>
        <w:rPr>
          <w:u w:color="000000"/>
        </w:rPr>
        <w:t>The source-code repository workflow (refer to Section 2.21 the source-code repository)</w:t>
      </w:r>
    </w:p>
    <w:p w14:paraId="77AE3489" w14:textId="09A1844E" w:rsidR="00C5516F" w:rsidRPr="00A21682" w:rsidRDefault="00C5516F" w:rsidP="0031550A">
      <w:pPr>
        <w:pStyle w:val="BulletNEW"/>
        <w:rPr>
          <w:u w:color="000000"/>
        </w:rPr>
      </w:pPr>
      <w:r>
        <w:rPr>
          <w:u w:color="000000"/>
        </w:rPr>
        <w:t>Development, Incident, Change Request, and Service Request workflows in the ALM tool (refer to Section 2.20 the ALM tool)</w:t>
      </w:r>
    </w:p>
    <w:p w14:paraId="7122739D" w14:textId="6EB40649" w:rsidR="00C5516F" w:rsidRPr="00A21682" w:rsidRDefault="00C5516F"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51BA3403" w14:textId="24909DD8" w:rsidR="00C5516F" w:rsidRPr="00A21682" w:rsidRDefault="00C5516F" w:rsidP="0031550A">
      <w:pPr>
        <w:pStyle w:val="BulletNEW"/>
        <w:rPr>
          <w:u w:color="000000"/>
        </w:rPr>
      </w:pPr>
      <w:r>
        <w:rPr>
          <w:u w:color="000000"/>
        </w:rPr>
        <w:t>the static code analysis tool workflow (refer to Section 2.22 the static code analysis tool)</w:t>
      </w:r>
    </w:p>
    <w:p w14:paraId="40282DB7" w14:textId="151C7D9B" w:rsidR="00C5516F" w:rsidRPr="00A21682" w:rsidRDefault="00C5516F">
      <w:pPr>
        <w:pStyle w:val="Heading2"/>
        <w:rPr>
          <w:u w:color="000000"/>
        </w:rPr>
      </w:pPr>
      <w:bookmarkStart w:id="461" w:name="_Toc148102347"/>
      <w:bookmarkStart w:id="462" w:name="_Toc148098449"/>
      <w:bookmarkStart w:id="463" w:name="_Toc152605831"/>
      <w:bookmarkStart w:id="464" w:name="_Toc177118973"/>
      <w:bookmarkStart w:id="465" w:name="_Toc185952528"/>
      <w:bookmarkStart w:id="466" w:name="_Toc192874702"/>
      <w:r>
        <w:rPr>
          <w:u w:color="000000"/>
        </w:rPr>
        <w:t>System Integration Test (SIT) Phase</w:t>
      </w:r>
      <w:bookmarkEnd w:id="461"/>
      <w:bookmarkEnd w:id="462"/>
      <w:bookmarkEnd w:id="463"/>
      <w:bookmarkEnd w:id="464"/>
      <w:bookmarkEnd w:id="465"/>
      <w:bookmarkEnd w:id="466"/>
    </w:p>
    <w:p w14:paraId="606E968D" w14:textId="4FE829E7" w:rsidR="00C5516F" w:rsidRPr="00A21682" w:rsidRDefault="00C5516F" w:rsidP="00F70B45">
      <w:pPr>
        <w:pStyle w:val="NormalNEW"/>
        <w:rPr>
          <w:u w:color="000000"/>
          <w:lang w:val="en-US"/>
        </w:rPr>
      </w:pPr>
      <w:r>
        <w:rPr>
          <w:u w:color="000000"/>
          <w:lang w:val="en-US"/>
        </w:rPr>
        <w:t xml:space="preserve">The SIT phase serves to validate that the MECM software conforms to the approved design specifications for the iteration/bundle. This phase includes an application walkthrough with appropriate DOH stakeholders. </w:t>
      </w:r>
    </w:p>
    <w:p w14:paraId="0D928D98" w14:textId="77777777" w:rsidR="00C5516F" w:rsidRPr="00A21682" w:rsidRDefault="00C5516F">
      <w:pPr>
        <w:pStyle w:val="Heading3"/>
        <w:rPr>
          <w:bCs/>
          <w:u w:color="000000"/>
        </w:rPr>
      </w:pPr>
      <w:bookmarkStart w:id="467" w:name="_Toc143516904"/>
      <w:bookmarkStart w:id="468" w:name="_Toc143516905"/>
      <w:bookmarkStart w:id="469" w:name="_Toc148102348"/>
      <w:bookmarkStart w:id="470" w:name="_Toc152605832"/>
      <w:bookmarkStart w:id="471" w:name="_Toc177118974"/>
      <w:bookmarkStart w:id="472" w:name="_Toc185952529"/>
      <w:bookmarkStart w:id="473" w:name="_Toc192874703"/>
      <w:bookmarkEnd w:id="467"/>
      <w:bookmarkEnd w:id="468"/>
      <w:r>
        <w:rPr>
          <w:u w:color="000000"/>
        </w:rPr>
        <w:t>Phase Entry Criteria</w:t>
      </w:r>
      <w:bookmarkEnd w:id="469"/>
      <w:bookmarkEnd w:id="470"/>
      <w:bookmarkEnd w:id="471"/>
      <w:bookmarkEnd w:id="472"/>
      <w:bookmarkEnd w:id="473"/>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5531652E" w14:textId="77777777" w:rsidTr="00C7225A">
        <w:trPr>
          <w:trHeight w:val="300"/>
          <w:tblHeader/>
        </w:trPr>
        <w:tc>
          <w:tcPr>
            <w:tcW w:w="481" w:type="dxa"/>
            <w:tcBorders>
              <w:right w:val="single" w:sz="2" w:space="0" w:color="FFFFFF" w:themeColor="background1"/>
            </w:tcBorders>
            <w:shd w:val="clear" w:color="auto" w:fill="000000"/>
            <w:hideMark/>
          </w:tcPr>
          <w:p w14:paraId="4B83C07A" w14:textId="77777777" w:rsidR="00C5516F" w:rsidRPr="00A21682" w:rsidRDefault="00C5516F" w:rsidP="00047C4E">
            <w:pPr>
              <w:pStyle w:val="TABLEHEADINGNEW"/>
              <w:rPr>
                <w:rFonts w:ascii="Segoe UI" w:hAnsi="Segoe UI" w:cs="Segoe UI"/>
                <w:color w:val="000000"/>
                <w:szCs w:val="18"/>
                <w:u w:color="000000"/>
              </w:rPr>
            </w:pPr>
            <w:r>
              <w:rPr>
                <w:u w:color="000000"/>
              </w:rPr>
              <w:t>#</w:t>
            </w:r>
          </w:p>
        </w:tc>
        <w:tc>
          <w:tcPr>
            <w:tcW w:w="4563" w:type="dxa"/>
            <w:tcBorders>
              <w:left w:val="single" w:sz="2" w:space="0" w:color="FFFFFF" w:themeColor="background1"/>
              <w:right w:val="single" w:sz="2" w:space="0" w:color="FFFFFF" w:themeColor="background1"/>
            </w:tcBorders>
            <w:shd w:val="clear" w:color="auto" w:fill="000000"/>
            <w:hideMark/>
          </w:tcPr>
          <w:p w14:paraId="187BF079" w14:textId="77777777" w:rsidR="00C5516F" w:rsidRPr="00A21682" w:rsidRDefault="00C5516F" w:rsidP="001844EB">
            <w:pPr>
              <w:pStyle w:val="TABLEHEADINGNEW"/>
              <w:rPr>
                <w:rFonts w:ascii="Segoe UI" w:hAnsi="Segoe UI" w:cs="Segoe UI"/>
                <w:color w:val="000000"/>
                <w:szCs w:val="18"/>
                <w:u w:color="000000"/>
              </w:rPr>
            </w:pPr>
            <w:r>
              <w:rPr>
                <w:u w:color="000000"/>
              </w:rPr>
              <w:t>Entry Criteria</w:t>
            </w:r>
          </w:p>
        </w:tc>
        <w:tc>
          <w:tcPr>
            <w:tcW w:w="4300" w:type="dxa"/>
            <w:tcBorders>
              <w:left w:val="single" w:sz="2" w:space="0" w:color="FFFFFF" w:themeColor="background1"/>
            </w:tcBorders>
            <w:shd w:val="clear" w:color="auto" w:fill="000000"/>
          </w:tcPr>
          <w:p w14:paraId="65C517DD" w14:textId="77777777" w:rsidR="00C5516F" w:rsidRPr="00A21682" w:rsidRDefault="00C5516F" w:rsidP="001844EB">
            <w:pPr>
              <w:pStyle w:val="TABLEHEADINGNEW"/>
              <w:rPr>
                <w:u w:color="000000"/>
              </w:rPr>
            </w:pPr>
            <w:r>
              <w:rPr>
                <w:u w:color="000000"/>
              </w:rPr>
              <w:t>Related Document(s)/Artifact(s)</w:t>
            </w:r>
          </w:p>
        </w:tc>
      </w:tr>
      <w:tr w:rsidR="00C5516F" w:rsidRPr="00A21682" w14:paraId="3775CBC0" w14:textId="77777777" w:rsidTr="00047C4E">
        <w:trPr>
          <w:trHeight w:val="300"/>
        </w:trPr>
        <w:tc>
          <w:tcPr>
            <w:tcW w:w="481" w:type="dxa"/>
            <w:hideMark/>
          </w:tcPr>
          <w:p w14:paraId="63038521" w14:textId="77777777" w:rsidR="00C5516F" w:rsidRPr="00A21682" w:rsidRDefault="00C5516F" w:rsidP="00047C4E">
            <w:pPr>
              <w:pStyle w:val="TABLETEXT1"/>
              <w:rPr>
                <w:rFonts w:ascii="Segoe UI" w:hAnsi="Segoe UI" w:cs="Segoe UI"/>
                <w:szCs w:val="18"/>
                <w:u w:color="000000"/>
                <w:lang w:val="en-US"/>
              </w:rPr>
            </w:pPr>
            <w:r>
              <w:rPr>
                <w:u w:color="000000"/>
                <w:lang w:val="en-US"/>
              </w:rPr>
              <w:t>1</w:t>
            </w:r>
          </w:p>
        </w:tc>
        <w:tc>
          <w:tcPr>
            <w:tcW w:w="4563" w:type="dxa"/>
          </w:tcPr>
          <w:p w14:paraId="191720A7" w14:textId="6B0B1F7C" w:rsidR="00C5516F" w:rsidRPr="00A21682" w:rsidRDefault="00C5516F" w:rsidP="001844EB">
            <w:pPr>
              <w:pStyle w:val="TABLETEXT1"/>
              <w:rPr>
                <w:u w:color="000000"/>
                <w:lang w:val="en-US"/>
              </w:rPr>
            </w:pPr>
            <w:r>
              <w:rPr>
                <w:u w:color="000000"/>
                <w:lang w:val="en-US"/>
              </w:rPr>
              <w:t>Unit Test Results published</w:t>
            </w:r>
          </w:p>
        </w:tc>
        <w:tc>
          <w:tcPr>
            <w:tcW w:w="4300" w:type="dxa"/>
          </w:tcPr>
          <w:p w14:paraId="274C5C18" w14:textId="3DFD8149" w:rsidR="00C5516F" w:rsidRPr="00D7056A" w:rsidRDefault="00C5516F" w:rsidP="00661A8B">
            <w:pPr>
              <w:pStyle w:val="TABLEBULLETNEW"/>
            </w:pPr>
            <w:r>
              <w:t xml:space="preserve">Unit Test Results </w:t>
            </w:r>
          </w:p>
        </w:tc>
      </w:tr>
      <w:tr w:rsidR="00C5516F" w:rsidRPr="00A21682" w14:paraId="55C760D3" w14:textId="77777777" w:rsidTr="00047C4E">
        <w:trPr>
          <w:trHeight w:val="300"/>
        </w:trPr>
        <w:tc>
          <w:tcPr>
            <w:tcW w:w="481" w:type="dxa"/>
          </w:tcPr>
          <w:p w14:paraId="3D166615" w14:textId="77777777" w:rsidR="00C5516F" w:rsidRPr="00A21682" w:rsidRDefault="00C5516F" w:rsidP="00047C4E">
            <w:pPr>
              <w:pStyle w:val="TABLETEXT1"/>
              <w:rPr>
                <w:u w:color="000000"/>
                <w:lang w:val="en-US"/>
              </w:rPr>
            </w:pPr>
            <w:r>
              <w:rPr>
                <w:u w:color="000000"/>
                <w:lang w:val="en-US"/>
              </w:rPr>
              <w:t>2</w:t>
            </w:r>
          </w:p>
        </w:tc>
        <w:tc>
          <w:tcPr>
            <w:tcW w:w="4563" w:type="dxa"/>
          </w:tcPr>
          <w:p w14:paraId="1F570B99" w14:textId="0AF5A984" w:rsidR="00C5516F" w:rsidRPr="00A21682" w:rsidRDefault="00C5516F" w:rsidP="001844EB">
            <w:pPr>
              <w:pStyle w:val="TABLETEXT1"/>
              <w:rPr>
                <w:u w:color="000000"/>
                <w:lang w:val="en-US"/>
              </w:rPr>
            </w:pPr>
            <w:r>
              <w:rPr>
                <w:u w:color="000000"/>
                <w:lang w:val="en-US"/>
              </w:rPr>
              <w:t>SIT environment available</w:t>
            </w:r>
          </w:p>
        </w:tc>
        <w:tc>
          <w:tcPr>
            <w:tcW w:w="4300" w:type="dxa"/>
          </w:tcPr>
          <w:p w14:paraId="6964A97F" w14:textId="07599B98" w:rsidR="00C5516F" w:rsidRPr="00D7056A" w:rsidRDefault="00C5516F" w:rsidP="00661A8B">
            <w:pPr>
              <w:pStyle w:val="TABLEBULLETNEW"/>
            </w:pPr>
            <w:r>
              <w:t>Communication of SIT environment availability</w:t>
            </w:r>
          </w:p>
        </w:tc>
      </w:tr>
    </w:tbl>
    <w:p w14:paraId="5CDA69E0" w14:textId="5048552E" w:rsidR="00C5516F" w:rsidRPr="00A21682" w:rsidRDefault="00C5516F" w:rsidP="005911DA">
      <w:pPr>
        <w:pStyle w:val="Caption"/>
        <w:rPr>
          <w:rFonts w:cs="Arial"/>
          <w:noProof w:val="0"/>
        </w:rPr>
      </w:pPr>
      <w:bookmarkStart w:id="474" w:name="_Toc150951880"/>
      <w:bookmarkStart w:id="475" w:name="_Toc19287510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22</w:t>
      </w:r>
      <w:r>
        <w:rPr>
          <w:noProof w:val="0"/>
        </w:rPr>
        <w:fldChar w:fldCharType="end"/>
      </w:r>
      <w:r>
        <w:rPr>
          <w:noProof w:val="0"/>
        </w:rPr>
        <w:t>:</w:t>
      </w:r>
      <w:r>
        <w:rPr>
          <w:rFonts w:cs="Arial"/>
          <w:noProof w:val="0"/>
        </w:rPr>
        <w:t xml:space="preserve"> SIT Phase Entry Criteria</w:t>
      </w:r>
      <w:bookmarkEnd w:id="474"/>
      <w:bookmarkEnd w:id="475"/>
    </w:p>
    <w:p w14:paraId="421C8D71" w14:textId="77777777" w:rsidR="00C5516F" w:rsidRPr="00A21682" w:rsidRDefault="00C5516F">
      <w:pPr>
        <w:pStyle w:val="Heading3"/>
        <w:rPr>
          <w:bCs/>
          <w:u w:color="000000"/>
        </w:rPr>
      </w:pPr>
      <w:bookmarkStart w:id="476" w:name="_Toc142923870"/>
      <w:bookmarkStart w:id="477" w:name="_Toc143516907"/>
      <w:bookmarkStart w:id="478" w:name="_Toc148102349"/>
      <w:bookmarkStart w:id="479" w:name="_Toc152605833"/>
      <w:bookmarkStart w:id="480" w:name="_Toc177118975"/>
      <w:bookmarkStart w:id="481" w:name="_Toc185952530"/>
      <w:bookmarkStart w:id="482" w:name="_Toc192874704"/>
      <w:bookmarkEnd w:id="476"/>
      <w:bookmarkEnd w:id="477"/>
      <w:r>
        <w:rPr>
          <w:u w:color="000000"/>
        </w:rPr>
        <w:t>Process Flow Diagram</w:t>
      </w:r>
      <w:bookmarkEnd w:id="478"/>
      <w:bookmarkEnd w:id="479"/>
      <w:bookmarkEnd w:id="480"/>
      <w:bookmarkEnd w:id="481"/>
      <w:bookmarkEnd w:id="482"/>
    </w:p>
    <w:p w14:paraId="5C6B0470" w14:textId="6AA511F5" w:rsidR="00C5516F" w:rsidRPr="00A21682" w:rsidRDefault="00C5516F" w:rsidP="00A6545D">
      <w:pPr>
        <w:pStyle w:val="NormalNEW"/>
        <w:keepNext/>
        <w:rPr>
          <w:u w:color="000000"/>
          <w:lang w:val="en-US"/>
        </w:rPr>
      </w:pPr>
      <w:r>
        <w:rPr>
          <w:u w:color="000000"/>
          <w:lang w:val="en-US"/>
        </w:rPr>
        <w:t>The following process flow depicts the SIT phase of the MECM SDLC.</w:t>
      </w:r>
    </w:p>
    <w:p w14:paraId="336C9A6C" w14:textId="030E1897" w:rsidR="004C45CE" w:rsidRPr="00A21682" w:rsidRDefault="00A40AA5" w:rsidP="00A6545D">
      <w:pPr>
        <w:pStyle w:val="NormalNEW"/>
        <w:keepNext/>
        <w:rPr>
          <w:u w:color="000000"/>
          <w:lang w:val="en-US"/>
        </w:rPr>
      </w:pPr>
      <w:r>
        <w:rPr>
          <w:lang w:val="en-US"/>
        </w:rPr>
        <w:pict w14:anchorId="7A590F4C">
          <v:shape id="_x0000_i1032" type="#_x0000_t75" style="width:468.6pt;height:206.4pt">
            <v:imagedata r:id="rId33" o:title=""/>
          </v:shape>
        </w:pict>
      </w:r>
    </w:p>
    <w:p w14:paraId="6CCD0BF2" w14:textId="28753528" w:rsidR="00C5516F" w:rsidRPr="00A21682" w:rsidRDefault="00C5516F" w:rsidP="005911DA">
      <w:pPr>
        <w:pStyle w:val="Caption"/>
        <w:rPr>
          <w:noProof w:val="0"/>
        </w:rPr>
      </w:pPr>
      <w:bookmarkStart w:id="483" w:name="_Toc150948933"/>
      <w:bookmarkStart w:id="484" w:name="_Toc178152030"/>
      <w:bookmarkStart w:id="485" w:name="_Toc192875045"/>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8</w:t>
      </w:r>
      <w:r>
        <w:rPr>
          <w:noProof w:val="0"/>
        </w:rPr>
        <w:fldChar w:fldCharType="end"/>
      </w:r>
      <w:r>
        <w:rPr>
          <w:noProof w:val="0"/>
        </w:rPr>
        <w:t>: SIT Process Flow</w:t>
      </w:r>
      <w:bookmarkEnd w:id="483"/>
      <w:bookmarkEnd w:id="484"/>
      <w:bookmarkEnd w:id="485"/>
    </w:p>
    <w:p w14:paraId="4C5D07FA" w14:textId="77777777" w:rsidR="00C5516F" w:rsidRPr="00A21682" w:rsidRDefault="00C5516F">
      <w:pPr>
        <w:pStyle w:val="Heading3"/>
        <w:rPr>
          <w:bCs/>
          <w:u w:color="000000"/>
        </w:rPr>
      </w:pPr>
      <w:bookmarkStart w:id="486" w:name="_Toc148102350"/>
      <w:bookmarkStart w:id="487" w:name="_Toc152605834"/>
      <w:bookmarkStart w:id="488" w:name="_Toc177118976"/>
      <w:bookmarkStart w:id="489" w:name="_Toc185952531"/>
      <w:bookmarkStart w:id="490" w:name="_Toc192874705"/>
      <w:r>
        <w:rPr>
          <w:u w:color="000000"/>
        </w:rPr>
        <w:lastRenderedPageBreak/>
        <w:t>Process Flow Narrative</w:t>
      </w:r>
      <w:bookmarkEnd w:id="486"/>
      <w:bookmarkEnd w:id="487"/>
      <w:bookmarkEnd w:id="488"/>
      <w:bookmarkEnd w:id="489"/>
      <w:bookmarkEnd w:id="490"/>
    </w:p>
    <w:p w14:paraId="2807DCA3" w14:textId="77777777" w:rsidR="00C5516F" w:rsidRPr="00A21682" w:rsidRDefault="00C5516F" w:rsidP="00F70B45">
      <w:pPr>
        <w:pStyle w:val="NormalNEW"/>
        <w:rPr>
          <w:u w:color="000000"/>
          <w:lang w:val="en-US"/>
        </w:rPr>
      </w:pPr>
      <w:r>
        <w:rPr>
          <w:u w:color="000000"/>
          <w:lang w:val="en-US"/>
        </w:rPr>
        <w:t>The following table describes each process step illustrated above.</w:t>
      </w:r>
    </w:p>
    <w:tbl>
      <w:tblPr>
        <w:tblW w:w="91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615"/>
        <w:gridCol w:w="1423"/>
        <w:gridCol w:w="1919"/>
        <w:gridCol w:w="1686"/>
        <w:gridCol w:w="1766"/>
        <w:gridCol w:w="1766"/>
      </w:tblGrid>
      <w:tr w:rsidR="00C5516F" w:rsidRPr="00A21682" w14:paraId="651BA089" w14:textId="77777777" w:rsidTr="06C430D2">
        <w:trPr>
          <w:trHeight w:val="300"/>
          <w:tblHeader/>
        </w:trPr>
        <w:tc>
          <w:tcPr>
            <w:tcW w:w="9175" w:type="dxa"/>
            <w:gridSpan w:val="6"/>
            <w:tcBorders>
              <w:bottom w:val="single" w:sz="2" w:space="0" w:color="FFFFFF" w:themeColor="background1"/>
            </w:tcBorders>
            <w:shd w:val="clear" w:color="auto" w:fill="000000" w:themeFill="text1"/>
          </w:tcPr>
          <w:p w14:paraId="5AD62A24" w14:textId="400E2227" w:rsidR="00C5516F" w:rsidRPr="00A21682" w:rsidRDefault="00E32C87" w:rsidP="00047C4E">
            <w:pPr>
              <w:pStyle w:val="TABLEHEADINGNEW"/>
              <w:jc w:val="center"/>
              <w:rPr>
                <w:u w:color="000000"/>
              </w:rPr>
            </w:pPr>
            <w:r>
              <w:rPr>
                <w:u w:color="000000"/>
              </w:rPr>
              <w:t>SIT</w:t>
            </w:r>
          </w:p>
        </w:tc>
      </w:tr>
      <w:tr w:rsidR="00C5516F" w:rsidRPr="00A21682" w14:paraId="0064A2E7" w14:textId="77777777" w:rsidTr="008058BD">
        <w:trPr>
          <w:trHeight w:val="300"/>
          <w:tblHeader/>
        </w:trPr>
        <w:tc>
          <w:tcPr>
            <w:tcW w:w="615" w:type="dxa"/>
            <w:tcBorders>
              <w:top w:val="single" w:sz="2" w:space="0" w:color="FFFFFF" w:themeColor="background1"/>
              <w:right w:val="single" w:sz="2" w:space="0" w:color="FFFFFF" w:themeColor="background1"/>
            </w:tcBorders>
            <w:shd w:val="clear" w:color="auto" w:fill="000000" w:themeFill="text1"/>
            <w:hideMark/>
          </w:tcPr>
          <w:p w14:paraId="6FEA9277" w14:textId="77777777" w:rsidR="00C5516F" w:rsidRPr="00A21682" w:rsidRDefault="00C5516F" w:rsidP="00047C4E">
            <w:pPr>
              <w:pStyle w:val="TABLEHEADINGNEW"/>
              <w:rPr>
                <w:rFonts w:ascii="Segoe UI" w:hAnsi="Segoe UI" w:cs="Segoe UI"/>
                <w:color w:val="000000"/>
                <w:u w:color="000000"/>
              </w:rPr>
            </w:pPr>
            <w:r>
              <w:rPr>
                <w:u w:color="000000"/>
              </w:rPr>
              <w:t>Step #</w:t>
            </w:r>
          </w:p>
        </w:tc>
        <w:tc>
          <w:tcPr>
            <w:tcW w:w="1423"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hideMark/>
          </w:tcPr>
          <w:p w14:paraId="1501D240" w14:textId="77777777" w:rsidR="00C5516F" w:rsidRPr="00A21682" w:rsidRDefault="00C5516F" w:rsidP="00047C4E">
            <w:pPr>
              <w:pStyle w:val="TABLEHEADINGNEW"/>
              <w:rPr>
                <w:rFonts w:ascii="Segoe UI" w:hAnsi="Segoe UI" w:cs="Segoe UI"/>
                <w:color w:val="000000"/>
                <w:u w:color="000000"/>
              </w:rPr>
            </w:pPr>
            <w:r>
              <w:rPr>
                <w:u w:color="000000"/>
              </w:rPr>
              <w:t>Process Step</w:t>
            </w:r>
          </w:p>
        </w:tc>
        <w:tc>
          <w:tcPr>
            <w:tcW w:w="1919"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hideMark/>
          </w:tcPr>
          <w:p w14:paraId="01EB8DD6" w14:textId="77777777" w:rsidR="00C5516F" w:rsidRPr="00A21682" w:rsidRDefault="00C5516F" w:rsidP="00047C4E">
            <w:pPr>
              <w:pStyle w:val="TABLEHEADINGNEW"/>
              <w:rPr>
                <w:rFonts w:ascii="Segoe UI" w:hAnsi="Segoe UI" w:cs="Segoe UI"/>
                <w:color w:val="000000"/>
                <w:u w:color="000000"/>
              </w:rPr>
            </w:pPr>
            <w:r>
              <w:rPr>
                <w:u w:color="000000"/>
              </w:rPr>
              <w:t>Description</w:t>
            </w:r>
          </w:p>
        </w:tc>
        <w:tc>
          <w:tcPr>
            <w:tcW w:w="1686"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tcPr>
          <w:p w14:paraId="44AD0124" w14:textId="77777777" w:rsidR="00C5516F" w:rsidRPr="00A21682" w:rsidRDefault="00C5516F" w:rsidP="00047C4E">
            <w:pPr>
              <w:pStyle w:val="TABLEHEADINGNEW"/>
              <w:rPr>
                <w:u w:color="000000"/>
              </w:rPr>
            </w:pPr>
            <w:r>
              <w:rPr>
                <w:u w:color="000000"/>
              </w:rPr>
              <w:t>Stakeholder Group(s)</w:t>
            </w:r>
          </w:p>
        </w:tc>
        <w:tc>
          <w:tcPr>
            <w:tcW w:w="1766"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hideMark/>
          </w:tcPr>
          <w:p w14:paraId="3C1196FA" w14:textId="266AA08D" w:rsidR="00C5516F" w:rsidRPr="00A21682" w:rsidRDefault="00C5516F" w:rsidP="00047C4E">
            <w:pPr>
              <w:pStyle w:val="TABLEHEADINGNEW"/>
              <w:rPr>
                <w:u w:color="000000"/>
              </w:rPr>
            </w:pPr>
            <w:r>
              <w:rPr>
                <w:u w:color="000000"/>
              </w:rPr>
              <w:t>Inputs (Documents/ Work Products)</w:t>
            </w:r>
          </w:p>
        </w:tc>
        <w:tc>
          <w:tcPr>
            <w:tcW w:w="1766" w:type="dxa"/>
            <w:tcBorders>
              <w:top w:val="single" w:sz="2" w:space="0" w:color="FFFFFF" w:themeColor="background1"/>
              <w:left w:val="single" w:sz="2" w:space="0" w:color="FFFFFF" w:themeColor="background1"/>
            </w:tcBorders>
            <w:shd w:val="clear" w:color="auto" w:fill="000000" w:themeFill="text1"/>
            <w:hideMark/>
          </w:tcPr>
          <w:p w14:paraId="09D9B796" w14:textId="639DFAB1" w:rsidR="00C5516F" w:rsidRPr="00A21682" w:rsidRDefault="00C5516F" w:rsidP="00047C4E">
            <w:pPr>
              <w:pStyle w:val="TABLEHEADINGNEW"/>
              <w:rPr>
                <w:u w:color="000000"/>
              </w:rPr>
            </w:pPr>
            <w:r>
              <w:rPr>
                <w:u w:color="000000"/>
              </w:rPr>
              <w:t>Outputs (Documents/ Work Products)</w:t>
            </w:r>
          </w:p>
        </w:tc>
      </w:tr>
      <w:tr w:rsidR="00C5516F" w:rsidRPr="00A21682" w14:paraId="5C98AAEB" w14:textId="77777777" w:rsidTr="008058BD">
        <w:trPr>
          <w:trHeight w:val="300"/>
        </w:trPr>
        <w:tc>
          <w:tcPr>
            <w:tcW w:w="615" w:type="dxa"/>
            <w:hideMark/>
          </w:tcPr>
          <w:p w14:paraId="2FCA2E3E" w14:textId="77777777" w:rsidR="00C5516F" w:rsidRPr="00A21682" w:rsidRDefault="00C5516F" w:rsidP="00047C4E">
            <w:pPr>
              <w:pStyle w:val="TABLETEXT1"/>
              <w:rPr>
                <w:lang w:val="en-US"/>
              </w:rPr>
            </w:pPr>
            <w:r>
              <w:rPr>
                <w:lang w:val="en-US"/>
              </w:rPr>
              <w:t>6.1</w:t>
            </w:r>
          </w:p>
          <w:p w14:paraId="7A5CCE72" w14:textId="77777777" w:rsidR="00C5516F" w:rsidRPr="00A21682" w:rsidRDefault="00C5516F" w:rsidP="00047C4E">
            <w:pPr>
              <w:pStyle w:val="TABLETEXT1"/>
              <w:rPr>
                <w:lang w:val="en-US"/>
              </w:rPr>
            </w:pPr>
          </w:p>
        </w:tc>
        <w:tc>
          <w:tcPr>
            <w:tcW w:w="1423" w:type="dxa"/>
          </w:tcPr>
          <w:p w14:paraId="5568F668" w14:textId="77777777" w:rsidR="00C5516F" w:rsidRPr="00A21682" w:rsidRDefault="00C5516F" w:rsidP="00047C4E">
            <w:pPr>
              <w:pStyle w:val="TABLETEXT1"/>
              <w:rPr>
                <w:lang w:val="en-US"/>
              </w:rPr>
            </w:pPr>
            <w:r>
              <w:rPr>
                <w:lang w:val="en-US"/>
              </w:rPr>
              <w:t xml:space="preserve">Create or update test scripts </w:t>
            </w:r>
          </w:p>
        </w:tc>
        <w:tc>
          <w:tcPr>
            <w:tcW w:w="1919" w:type="dxa"/>
          </w:tcPr>
          <w:p w14:paraId="36C1CB86" w14:textId="2789A483" w:rsidR="00C5516F" w:rsidRPr="00856431" w:rsidRDefault="00C5516F" w:rsidP="00856431">
            <w:pPr>
              <w:pStyle w:val="TABLETEXT1"/>
              <w:rPr>
                <w:lang w:val="en-US"/>
              </w:rPr>
            </w:pPr>
            <w:r>
              <w:rPr>
                <w:lang w:val="en-US"/>
              </w:rPr>
              <w:t>Document test scenarios from JAD sessions to create test scripts or make updates to existing ones. Test scripts are based on approved design documentation for the iteration/bundle in accordance with the Test Management Plan (DEL-09)</w:t>
            </w:r>
          </w:p>
        </w:tc>
        <w:tc>
          <w:tcPr>
            <w:tcW w:w="1686" w:type="dxa"/>
          </w:tcPr>
          <w:p w14:paraId="43A9A20E" w14:textId="77777777" w:rsidR="00C5516F" w:rsidRPr="00635C9B" w:rsidRDefault="00C5516F" w:rsidP="00E55805">
            <w:pPr>
              <w:pStyle w:val="TABLEBULLETNEW"/>
            </w:pPr>
            <w:r>
              <w:t>Functional Stakeholders</w:t>
            </w:r>
          </w:p>
        </w:tc>
        <w:tc>
          <w:tcPr>
            <w:tcW w:w="1766" w:type="dxa"/>
          </w:tcPr>
          <w:p w14:paraId="5DBACCC6" w14:textId="7D3D918C" w:rsidR="00C5516F" w:rsidRPr="00635C9B" w:rsidRDefault="00C5516F" w:rsidP="00E55805">
            <w:pPr>
              <w:pStyle w:val="TABLEBULLETNEW"/>
            </w:pPr>
            <w:r>
              <w:t>Application code and database deployed in the SIT environment</w:t>
            </w:r>
          </w:p>
          <w:p w14:paraId="624EB207" w14:textId="3622976A" w:rsidR="00C5516F" w:rsidRPr="00635C9B" w:rsidRDefault="00C5516F" w:rsidP="00E55805">
            <w:pPr>
              <w:pStyle w:val="TABLEBULLETNEW"/>
            </w:pPr>
            <w:r>
              <w:t>Data Models and Data Dictionary (DEL-21)</w:t>
            </w:r>
          </w:p>
          <w:p w14:paraId="0010982E" w14:textId="6AC75CA2" w:rsidR="00C5516F" w:rsidRPr="00635C9B" w:rsidRDefault="00C5516F" w:rsidP="00E55805">
            <w:pPr>
              <w:pStyle w:val="TABLEBULLETNEW"/>
            </w:pPr>
            <w:r>
              <w:t>Unit Test Results</w:t>
            </w:r>
          </w:p>
          <w:p w14:paraId="17AAC3D4" w14:textId="7D3995AE" w:rsidR="00C5516F" w:rsidRPr="00635C9B" w:rsidRDefault="00C5516F" w:rsidP="00E55805">
            <w:pPr>
              <w:pStyle w:val="TABLEBULLETNEW"/>
            </w:pPr>
            <w:r>
              <w:t xml:space="preserve">Approved Functional Design Document (DEL-20) </w:t>
            </w:r>
          </w:p>
          <w:p w14:paraId="1E4A80D2" w14:textId="77777777" w:rsidR="00E36FED" w:rsidRDefault="00C5516F" w:rsidP="00E55805">
            <w:pPr>
              <w:pStyle w:val="TABLEBULLETNEW"/>
            </w:pPr>
            <w:r>
              <w:t>Interface/</w:t>
            </w:r>
          </w:p>
          <w:p w14:paraId="0EA7477B" w14:textId="77777777" w:rsidR="003B7C8A" w:rsidRDefault="00C5516F" w:rsidP="00E36FED">
            <w:pPr>
              <w:pStyle w:val="TABLEBULLETNEW"/>
              <w:numPr>
                <w:ilvl w:val="0"/>
                <w:numId w:val="0"/>
              </w:numPr>
              <w:ind w:left="331"/>
            </w:pPr>
            <w:r>
              <w:t>Batch/</w:t>
            </w:r>
          </w:p>
          <w:p w14:paraId="0D274874" w14:textId="121A1BC0" w:rsidR="00C5516F" w:rsidRPr="00635C9B" w:rsidRDefault="00C5516F" w:rsidP="00E36FED">
            <w:pPr>
              <w:pStyle w:val="TABLEBULLETNEW"/>
              <w:numPr>
                <w:ilvl w:val="0"/>
                <w:numId w:val="0"/>
              </w:numPr>
              <w:ind w:left="331"/>
            </w:pPr>
            <w:r>
              <w:t xml:space="preserve">Automation Control Documents (DEL-22) </w:t>
            </w:r>
          </w:p>
          <w:p w14:paraId="37134042" w14:textId="7B9C2EC4" w:rsidR="00C5516F" w:rsidRPr="00635C9B" w:rsidRDefault="00C5516F" w:rsidP="00E55805">
            <w:pPr>
              <w:pStyle w:val="TABLEBULLETNEW"/>
            </w:pPr>
            <w:r>
              <w:t xml:space="preserve">System Architecture Design Document (DEL-16) </w:t>
            </w:r>
          </w:p>
          <w:p w14:paraId="7894FB82" w14:textId="5B929ADC" w:rsidR="00C5516F" w:rsidRPr="00635C9B" w:rsidRDefault="00C5516F" w:rsidP="00E55805">
            <w:pPr>
              <w:pStyle w:val="TABLEBULLETNEW"/>
            </w:pPr>
            <w:r>
              <w:t>Requirements Traceability Matrix (DEL-19)</w:t>
            </w:r>
          </w:p>
          <w:p w14:paraId="0681A88F" w14:textId="5829A888" w:rsidR="00C5516F" w:rsidRPr="00635C9B" w:rsidRDefault="00C5516F" w:rsidP="00E55805">
            <w:pPr>
              <w:pStyle w:val="TABLEBULLETNEW"/>
            </w:pPr>
            <w:r>
              <w:t>Requirements Specification Document (DEL-18)</w:t>
            </w:r>
          </w:p>
          <w:p w14:paraId="372C3304" w14:textId="51334EC9" w:rsidR="00C5516F" w:rsidRPr="00635C9B" w:rsidRDefault="00C5516F" w:rsidP="00E55805">
            <w:pPr>
              <w:pStyle w:val="TABLEBULLETNEW"/>
            </w:pPr>
            <w:r>
              <w:t>Test Management Plan (DEL-09)</w:t>
            </w:r>
          </w:p>
          <w:p w14:paraId="35ADFBB7" w14:textId="7C8A5082" w:rsidR="00C5516F" w:rsidRPr="00635C9B" w:rsidRDefault="00C5516F" w:rsidP="00E55805">
            <w:pPr>
              <w:pStyle w:val="TABLEBULLETNEW"/>
            </w:pPr>
            <w:r>
              <w:lastRenderedPageBreak/>
              <w:t>System Security Plan (DEL-15)</w:t>
            </w:r>
          </w:p>
        </w:tc>
        <w:tc>
          <w:tcPr>
            <w:tcW w:w="1766" w:type="dxa"/>
          </w:tcPr>
          <w:p w14:paraId="6E9E7E75" w14:textId="1F30E43D" w:rsidR="00C5516F" w:rsidRPr="00635C9B" w:rsidRDefault="00C5516F" w:rsidP="00E55805">
            <w:pPr>
              <w:pStyle w:val="TABLEBULLETNEW"/>
            </w:pPr>
            <w:r>
              <w:lastRenderedPageBreak/>
              <w:t>SIT test scripts</w:t>
            </w:r>
          </w:p>
          <w:p w14:paraId="51664CAF" w14:textId="5BB4D901" w:rsidR="00C5516F" w:rsidRPr="00635C9B" w:rsidRDefault="00C5516F" w:rsidP="00E55805">
            <w:pPr>
              <w:pStyle w:val="TABLEBULLETNEW"/>
            </w:pPr>
            <w:r>
              <w:t>Accessibility test scripts</w:t>
            </w:r>
          </w:p>
        </w:tc>
      </w:tr>
      <w:tr w:rsidR="00C5516F" w:rsidRPr="00A21682" w14:paraId="1A26AA39" w14:textId="77777777" w:rsidTr="008058BD">
        <w:trPr>
          <w:trHeight w:val="300"/>
        </w:trPr>
        <w:tc>
          <w:tcPr>
            <w:tcW w:w="615" w:type="dxa"/>
          </w:tcPr>
          <w:p w14:paraId="67E1CEF0" w14:textId="77777777" w:rsidR="00C5516F" w:rsidRPr="00A21682" w:rsidRDefault="00C5516F" w:rsidP="00047C4E">
            <w:pPr>
              <w:pStyle w:val="TABLETEXT1"/>
              <w:rPr>
                <w:lang w:val="en-US"/>
              </w:rPr>
            </w:pPr>
            <w:r>
              <w:rPr>
                <w:lang w:val="en-US"/>
              </w:rPr>
              <w:t>6.2</w:t>
            </w:r>
          </w:p>
        </w:tc>
        <w:tc>
          <w:tcPr>
            <w:tcW w:w="1423" w:type="dxa"/>
          </w:tcPr>
          <w:p w14:paraId="5CCCB7A9" w14:textId="3DCACA51" w:rsidR="00C5516F" w:rsidRPr="00A21682" w:rsidRDefault="00C5516F" w:rsidP="00047C4E">
            <w:pPr>
              <w:pStyle w:val="TABLETEXT1"/>
              <w:rPr>
                <w:lang w:val="en-US"/>
              </w:rPr>
            </w:pPr>
            <w:r>
              <w:rPr>
                <w:lang w:val="en-US"/>
              </w:rPr>
              <w:t>Update the Requirements Traceability Matrix (DEL-19) with test scripts</w:t>
            </w:r>
          </w:p>
        </w:tc>
        <w:tc>
          <w:tcPr>
            <w:tcW w:w="1919" w:type="dxa"/>
          </w:tcPr>
          <w:p w14:paraId="34AEAC81" w14:textId="20B47AD3" w:rsidR="00C5516F" w:rsidRPr="00856431" w:rsidRDefault="00C5516F" w:rsidP="00856431">
            <w:pPr>
              <w:pStyle w:val="TABLETEXT1"/>
              <w:rPr>
                <w:lang w:val="en-US"/>
              </w:rPr>
            </w:pPr>
            <w:r>
              <w:rPr>
                <w:lang w:val="en-US"/>
              </w:rPr>
              <w:t>Update the RTM (DEL-19) with the test case IDs to link them to the design documents and requirements</w:t>
            </w:r>
          </w:p>
        </w:tc>
        <w:tc>
          <w:tcPr>
            <w:tcW w:w="1686" w:type="dxa"/>
          </w:tcPr>
          <w:p w14:paraId="2C1CB019" w14:textId="77777777" w:rsidR="00C5516F" w:rsidRPr="00635C9B" w:rsidRDefault="00C5516F" w:rsidP="00E55805">
            <w:pPr>
              <w:pStyle w:val="TABLEBULLETNEW"/>
            </w:pPr>
            <w:r>
              <w:t>Functional Stakeholders</w:t>
            </w:r>
          </w:p>
        </w:tc>
        <w:tc>
          <w:tcPr>
            <w:tcW w:w="1766" w:type="dxa"/>
          </w:tcPr>
          <w:p w14:paraId="639C83C0" w14:textId="0D34917B" w:rsidR="00C5516F" w:rsidRPr="00635C9B" w:rsidRDefault="00C5516F" w:rsidP="00E55805">
            <w:pPr>
              <w:pStyle w:val="TABLEBULLETNEW"/>
            </w:pPr>
            <w:r>
              <w:t>Requirements Traceability Matrix (DEL-19)</w:t>
            </w:r>
          </w:p>
          <w:p w14:paraId="06774055" w14:textId="0AEEB224" w:rsidR="00C5516F" w:rsidRPr="00635C9B" w:rsidRDefault="00C5516F" w:rsidP="00E55805">
            <w:pPr>
              <w:pStyle w:val="TABLEBULLETNEW"/>
            </w:pPr>
            <w:r>
              <w:t>SIT test scripts</w:t>
            </w:r>
          </w:p>
        </w:tc>
        <w:tc>
          <w:tcPr>
            <w:tcW w:w="1766" w:type="dxa"/>
          </w:tcPr>
          <w:p w14:paraId="27EBBFB7" w14:textId="1C54CF5A" w:rsidR="00C5516F" w:rsidRPr="00635C9B" w:rsidRDefault="00C5516F" w:rsidP="00E55805">
            <w:pPr>
              <w:pStyle w:val="TABLEBULLETNEW"/>
            </w:pPr>
            <w:r>
              <w:t>Requirements Traceability Matrix (DEL-19) updated with test scripts information</w:t>
            </w:r>
          </w:p>
        </w:tc>
      </w:tr>
      <w:tr w:rsidR="00C5516F" w:rsidRPr="00A21682" w14:paraId="7B8976A4" w14:textId="77777777" w:rsidTr="008058BD">
        <w:trPr>
          <w:trHeight w:val="300"/>
        </w:trPr>
        <w:tc>
          <w:tcPr>
            <w:tcW w:w="615" w:type="dxa"/>
          </w:tcPr>
          <w:p w14:paraId="585CFEE8" w14:textId="77777777" w:rsidR="00C5516F" w:rsidRPr="00A21682" w:rsidRDefault="00C5516F" w:rsidP="00047C4E">
            <w:pPr>
              <w:pStyle w:val="TABLETEXT1"/>
              <w:rPr>
                <w:lang w:val="en-US"/>
              </w:rPr>
            </w:pPr>
            <w:r>
              <w:rPr>
                <w:lang w:val="en-US"/>
              </w:rPr>
              <w:t>6.3</w:t>
            </w:r>
          </w:p>
        </w:tc>
        <w:tc>
          <w:tcPr>
            <w:tcW w:w="1423" w:type="dxa"/>
          </w:tcPr>
          <w:p w14:paraId="02ABFEF3" w14:textId="77777777" w:rsidR="00C5516F" w:rsidRPr="00A21682" w:rsidRDefault="00C5516F" w:rsidP="00047C4E">
            <w:pPr>
              <w:pStyle w:val="TABLETEXT1"/>
              <w:rPr>
                <w:lang w:val="en-US"/>
              </w:rPr>
            </w:pPr>
            <w:r>
              <w:rPr>
                <w:lang w:val="en-US"/>
              </w:rPr>
              <w:t>Perform test script and test coverage review</w:t>
            </w:r>
          </w:p>
        </w:tc>
        <w:tc>
          <w:tcPr>
            <w:tcW w:w="1919" w:type="dxa"/>
          </w:tcPr>
          <w:p w14:paraId="1B605CA3" w14:textId="4E7A9F2C" w:rsidR="00C5516F" w:rsidRPr="00856431" w:rsidRDefault="00C5516F" w:rsidP="00856431">
            <w:pPr>
              <w:pStyle w:val="TABLETEXT1"/>
              <w:rPr>
                <w:lang w:val="en-US"/>
              </w:rPr>
            </w:pPr>
            <w:r>
              <w:rPr>
                <w:lang w:val="en-US"/>
              </w:rPr>
              <w:t>Review test cases and scripts internally with Functional team to identify any test gaps and coverage gaps of functionality</w:t>
            </w:r>
          </w:p>
        </w:tc>
        <w:tc>
          <w:tcPr>
            <w:tcW w:w="1686" w:type="dxa"/>
          </w:tcPr>
          <w:p w14:paraId="5ACEA112" w14:textId="77777777" w:rsidR="00C5516F" w:rsidRPr="00635C9B" w:rsidRDefault="00C5516F" w:rsidP="00E55805">
            <w:pPr>
              <w:pStyle w:val="TABLEBULLETNEW"/>
            </w:pPr>
            <w:r>
              <w:t>Functional Stakeholders</w:t>
            </w:r>
          </w:p>
        </w:tc>
        <w:tc>
          <w:tcPr>
            <w:tcW w:w="1766" w:type="dxa"/>
          </w:tcPr>
          <w:p w14:paraId="440627CD" w14:textId="0BE6D5AD" w:rsidR="00C5516F" w:rsidRPr="00635C9B" w:rsidRDefault="00C5516F" w:rsidP="00E55805">
            <w:pPr>
              <w:pStyle w:val="TABLEBULLETNEW"/>
            </w:pPr>
            <w:r>
              <w:t>SIT test scripts</w:t>
            </w:r>
          </w:p>
        </w:tc>
        <w:tc>
          <w:tcPr>
            <w:tcW w:w="1766" w:type="dxa"/>
          </w:tcPr>
          <w:p w14:paraId="3B31AB68" w14:textId="2F009DAB" w:rsidR="00C5516F" w:rsidRPr="00635C9B" w:rsidRDefault="00C5516F" w:rsidP="00E55805">
            <w:pPr>
              <w:pStyle w:val="TABLEBULLETNEW"/>
            </w:pPr>
            <w:r>
              <w:t>Revised SIT test scripts</w:t>
            </w:r>
          </w:p>
        </w:tc>
      </w:tr>
      <w:tr w:rsidR="00C5516F" w:rsidRPr="00A21682" w14:paraId="6F6C2FBD" w14:textId="77777777" w:rsidTr="008058BD">
        <w:trPr>
          <w:trHeight w:val="300"/>
        </w:trPr>
        <w:tc>
          <w:tcPr>
            <w:tcW w:w="615" w:type="dxa"/>
          </w:tcPr>
          <w:p w14:paraId="639964D1" w14:textId="77777777" w:rsidR="00C5516F" w:rsidRPr="00A21682" w:rsidRDefault="00C5516F" w:rsidP="00047C4E">
            <w:pPr>
              <w:pStyle w:val="TABLETEXT1"/>
              <w:rPr>
                <w:lang w:val="en-US"/>
              </w:rPr>
            </w:pPr>
            <w:r>
              <w:rPr>
                <w:lang w:val="en-US"/>
              </w:rPr>
              <w:t>6.3a</w:t>
            </w:r>
          </w:p>
        </w:tc>
        <w:tc>
          <w:tcPr>
            <w:tcW w:w="1423" w:type="dxa"/>
          </w:tcPr>
          <w:p w14:paraId="0EBD8DDB" w14:textId="74D7AC3E" w:rsidR="00C5516F" w:rsidRPr="00A21682" w:rsidRDefault="00C5516F" w:rsidP="00047C4E">
            <w:pPr>
              <w:pStyle w:val="TABLETEXT1"/>
              <w:rPr>
                <w:lang w:val="en-US"/>
              </w:rPr>
            </w:pPr>
            <w:r>
              <w:rPr>
                <w:lang w:val="en-US"/>
              </w:rPr>
              <w:t>Test script traceable to all iteration/ bundle requirements</w:t>
            </w:r>
          </w:p>
        </w:tc>
        <w:tc>
          <w:tcPr>
            <w:tcW w:w="1919" w:type="dxa"/>
          </w:tcPr>
          <w:p w14:paraId="18F7BB90" w14:textId="77777777" w:rsidR="00C5516F" w:rsidRPr="00856431" w:rsidRDefault="00C5516F" w:rsidP="00856431">
            <w:pPr>
              <w:pStyle w:val="TABLETEXT1"/>
              <w:rPr>
                <w:lang w:val="en-US"/>
              </w:rPr>
            </w:pPr>
            <w:r>
              <w:rPr>
                <w:lang w:val="en-US"/>
              </w:rPr>
              <w:t>Functional Stakeholders determine if all requirements are traceable to test cases</w:t>
            </w:r>
          </w:p>
          <w:p w14:paraId="557B65A7" w14:textId="0B13322B" w:rsidR="003F000B" w:rsidRPr="003F000B" w:rsidRDefault="00C5516F" w:rsidP="00E55805">
            <w:pPr>
              <w:pStyle w:val="TABLEBULLETNEW"/>
            </w:pPr>
            <w:r>
              <w:t xml:space="preserve">If yes, proceed to </w:t>
            </w:r>
            <w:r>
              <w:rPr>
                <w:i/>
              </w:rPr>
              <w:t>Step #6.4 Prepare SIT environment with test case data as needed</w:t>
            </w:r>
          </w:p>
          <w:p w14:paraId="1648C08D" w14:textId="1B692211" w:rsidR="00C5516F" w:rsidRPr="00635C9B" w:rsidRDefault="003F000B" w:rsidP="00E55805">
            <w:pPr>
              <w:pStyle w:val="TABLEBULLETNEW"/>
            </w:pPr>
            <w:r>
              <w:t xml:space="preserve">If no, proceed to </w:t>
            </w:r>
            <w:r>
              <w:rPr>
                <w:i/>
              </w:rPr>
              <w:t>Step #6.1 Create or update test scripts</w:t>
            </w:r>
          </w:p>
        </w:tc>
        <w:tc>
          <w:tcPr>
            <w:tcW w:w="1686" w:type="dxa"/>
          </w:tcPr>
          <w:p w14:paraId="000FA317" w14:textId="77777777" w:rsidR="00C5516F" w:rsidRPr="00635C9B" w:rsidRDefault="00C5516F" w:rsidP="00E55805">
            <w:pPr>
              <w:pStyle w:val="TABLEBULLETNEW"/>
            </w:pPr>
            <w:r>
              <w:t>Functional Stakeholders</w:t>
            </w:r>
          </w:p>
        </w:tc>
        <w:tc>
          <w:tcPr>
            <w:tcW w:w="1766" w:type="dxa"/>
          </w:tcPr>
          <w:p w14:paraId="72F04FDE" w14:textId="77777777" w:rsidR="00C5516F" w:rsidRPr="00635C9B" w:rsidRDefault="00C5516F" w:rsidP="00E55805">
            <w:pPr>
              <w:pStyle w:val="TABLEBULLETNEW"/>
            </w:pPr>
            <w:r>
              <w:t>N/A</w:t>
            </w:r>
          </w:p>
        </w:tc>
        <w:tc>
          <w:tcPr>
            <w:tcW w:w="1766" w:type="dxa"/>
          </w:tcPr>
          <w:p w14:paraId="0834DF6E" w14:textId="77777777" w:rsidR="00C5516F" w:rsidRPr="00635C9B" w:rsidRDefault="00C5516F" w:rsidP="00E55805">
            <w:pPr>
              <w:pStyle w:val="TABLEBULLETNEW"/>
            </w:pPr>
            <w:r>
              <w:t>N/A</w:t>
            </w:r>
          </w:p>
        </w:tc>
      </w:tr>
      <w:tr w:rsidR="00C5516F" w:rsidRPr="00A21682" w14:paraId="175317C8" w14:textId="77777777" w:rsidTr="008058BD">
        <w:trPr>
          <w:trHeight w:val="300"/>
        </w:trPr>
        <w:tc>
          <w:tcPr>
            <w:tcW w:w="615" w:type="dxa"/>
          </w:tcPr>
          <w:p w14:paraId="4A91E662" w14:textId="427F2D88" w:rsidR="00C5516F" w:rsidRPr="00A21682" w:rsidRDefault="00C5516F" w:rsidP="00047C4E">
            <w:pPr>
              <w:pStyle w:val="TABLETEXT1"/>
              <w:rPr>
                <w:lang w:val="en-US"/>
              </w:rPr>
            </w:pPr>
            <w:r>
              <w:rPr>
                <w:lang w:val="en-US"/>
              </w:rPr>
              <w:t>6.4</w:t>
            </w:r>
          </w:p>
        </w:tc>
        <w:tc>
          <w:tcPr>
            <w:tcW w:w="1423" w:type="dxa"/>
          </w:tcPr>
          <w:p w14:paraId="5A401258" w14:textId="4127DEBF" w:rsidR="00C5516F" w:rsidRPr="00A21682" w:rsidRDefault="00C5516F" w:rsidP="00047C4E">
            <w:pPr>
              <w:pStyle w:val="TABLETEXT1"/>
              <w:rPr>
                <w:lang w:val="en-US"/>
              </w:rPr>
            </w:pPr>
            <w:r>
              <w:rPr>
                <w:lang w:val="en-US"/>
              </w:rPr>
              <w:t>Prepare SIT environment with test case data as needed</w:t>
            </w:r>
          </w:p>
        </w:tc>
        <w:tc>
          <w:tcPr>
            <w:tcW w:w="1919" w:type="dxa"/>
          </w:tcPr>
          <w:p w14:paraId="670CA484" w14:textId="4E7E5500" w:rsidR="00C5516F" w:rsidRPr="00856431" w:rsidRDefault="00C5516F" w:rsidP="00856431">
            <w:pPr>
              <w:pStyle w:val="TABLETEXT1"/>
              <w:rPr>
                <w:lang w:val="en-US"/>
              </w:rPr>
            </w:pPr>
            <w:r>
              <w:rPr>
                <w:lang w:val="en-US"/>
              </w:rPr>
              <w:t xml:space="preserve">SIT test data is created in the environment that will be used for testing </w:t>
            </w:r>
          </w:p>
        </w:tc>
        <w:tc>
          <w:tcPr>
            <w:tcW w:w="1686" w:type="dxa"/>
          </w:tcPr>
          <w:p w14:paraId="6B104107" w14:textId="77777777" w:rsidR="00C5516F" w:rsidRPr="00635C9B" w:rsidRDefault="00C5516F" w:rsidP="00E55805">
            <w:pPr>
              <w:pStyle w:val="TABLEBULLETNEW"/>
            </w:pPr>
            <w:r>
              <w:t>Functional Stakeholders</w:t>
            </w:r>
          </w:p>
        </w:tc>
        <w:tc>
          <w:tcPr>
            <w:tcW w:w="1766" w:type="dxa"/>
          </w:tcPr>
          <w:p w14:paraId="699BAB04" w14:textId="4D76CCB5" w:rsidR="00C5516F" w:rsidRPr="00635C9B" w:rsidRDefault="00C5516F" w:rsidP="00E55805">
            <w:pPr>
              <w:pStyle w:val="TABLEBULLETNEW"/>
            </w:pPr>
            <w:r>
              <w:t>Data Models and Data Dictionary (DEL-21)</w:t>
            </w:r>
          </w:p>
          <w:p w14:paraId="13FCB3DD" w14:textId="3DD83A3E" w:rsidR="00C5516F" w:rsidRPr="00635C9B" w:rsidRDefault="00C5516F" w:rsidP="00E55805">
            <w:pPr>
              <w:pStyle w:val="TABLEBULLETNEW"/>
            </w:pPr>
            <w:r>
              <w:t>SIT test scripts</w:t>
            </w:r>
          </w:p>
        </w:tc>
        <w:tc>
          <w:tcPr>
            <w:tcW w:w="1766" w:type="dxa"/>
          </w:tcPr>
          <w:p w14:paraId="608CDEFA" w14:textId="00EA7133" w:rsidR="00C5516F" w:rsidRPr="00635C9B" w:rsidRDefault="00C5516F" w:rsidP="00E55805">
            <w:pPr>
              <w:pStyle w:val="TABLEBULLETNEW"/>
            </w:pPr>
            <w:r>
              <w:t>SIT test data loaded on SIT environment</w:t>
            </w:r>
          </w:p>
        </w:tc>
      </w:tr>
      <w:tr w:rsidR="00C5516F" w:rsidRPr="00A21682" w14:paraId="2318DE13" w14:textId="77777777" w:rsidTr="008058BD">
        <w:trPr>
          <w:trHeight w:val="300"/>
        </w:trPr>
        <w:tc>
          <w:tcPr>
            <w:tcW w:w="615" w:type="dxa"/>
          </w:tcPr>
          <w:p w14:paraId="69C409E7" w14:textId="52DAA797" w:rsidR="00C5516F" w:rsidRPr="00A21682" w:rsidRDefault="00C5516F" w:rsidP="00047C4E">
            <w:pPr>
              <w:pStyle w:val="TABLETEXT1"/>
              <w:rPr>
                <w:lang w:val="en-US"/>
              </w:rPr>
            </w:pPr>
            <w:r>
              <w:rPr>
                <w:lang w:val="en-US"/>
              </w:rPr>
              <w:t>6.5a</w:t>
            </w:r>
          </w:p>
        </w:tc>
        <w:tc>
          <w:tcPr>
            <w:tcW w:w="1423" w:type="dxa"/>
          </w:tcPr>
          <w:p w14:paraId="20BCD03E" w14:textId="3E351235" w:rsidR="00C5516F" w:rsidRPr="00A21682" w:rsidRDefault="00C5516F" w:rsidP="00047C4E">
            <w:pPr>
              <w:pStyle w:val="TABLETEXT1"/>
              <w:rPr>
                <w:lang w:val="en-US"/>
              </w:rPr>
            </w:pPr>
            <w:r>
              <w:rPr>
                <w:lang w:val="en-US"/>
              </w:rPr>
              <w:t xml:space="preserve">Perform SIT Testing </w:t>
            </w:r>
          </w:p>
        </w:tc>
        <w:tc>
          <w:tcPr>
            <w:tcW w:w="1919" w:type="dxa"/>
          </w:tcPr>
          <w:p w14:paraId="068D8E87" w14:textId="6E346AED" w:rsidR="00C5516F" w:rsidRPr="00856431" w:rsidRDefault="00C5516F" w:rsidP="00856431">
            <w:pPr>
              <w:pStyle w:val="TABLETEXT1"/>
              <w:rPr>
                <w:lang w:val="en-US"/>
              </w:rPr>
            </w:pPr>
            <w:r>
              <w:rPr>
                <w:lang w:val="en-US"/>
              </w:rPr>
              <w:t xml:space="preserve">SIT is executed during this phase. Test cases are </w:t>
            </w:r>
            <w:r>
              <w:rPr>
                <w:lang w:val="en-US"/>
              </w:rPr>
              <w:lastRenderedPageBreak/>
              <w:t>executed according to the Test Management Plan (DEL-09). Test execution results are documented. Test case execution statuses are updated based on the outcome of the execution</w:t>
            </w:r>
          </w:p>
        </w:tc>
        <w:tc>
          <w:tcPr>
            <w:tcW w:w="1686" w:type="dxa"/>
          </w:tcPr>
          <w:p w14:paraId="7FA186C3" w14:textId="77777777" w:rsidR="00C5516F" w:rsidRPr="00635C9B" w:rsidRDefault="00C5516F" w:rsidP="00E55805">
            <w:pPr>
              <w:pStyle w:val="TABLEBULLETNEW"/>
            </w:pPr>
            <w:r>
              <w:lastRenderedPageBreak/>
              <w:t>Functional Stakeholders</w:t>
            </w:r>
          </w:p>
        </w:tc>
        <w:tc>
          <w:tcPr>
            <w:tcW w:w="1766" w:type="dxa"/>
          </w:tcPr>
          <w:p w14:paraId="72BBF01B" w14:textId="67FBCA4E" w:rsidR="00C5516F" w:rsidRPr="00635C9B" w:rsidRDefault="00C5516F" w:rsidP="00E55805">
            <w:pPr>
              <w:pStyle w:val="TABLEBULLETNEW"/>
            </w:pPr>
            <w:r>
              <w:t>Test Management Plan (DEL-09)</w:t>
            </w:r>
          </w:p>
          <w:p w14:paraId="2EF73305" w14:textId="553A38B6" w:rsidR="00C5516F" w:rsidRPr="00635C9B" w:rsidRDefault="00C5516F" w:rsidP="00E55805">
            <w:pPr>
              <w:pStyle w:val="TABLEBULLETNEW"/>
            </w:pPr>
            <w:r>
              <w:lastRenderedPageBreak/>
              <w:t>SIT test cases</w:t>
            </w:r>
          </w:p>
          <w:p w14:paraId="5C6D205B" w14:textId="77777777" w:rsidR="00C5516F" w:rsidRPr="00635C9B" w:rsidRDefault="00C5516F" w:rsidP="00E55805">
            <w:pPr>
              <w:pStyle w:val="TABLEBULLETNEW"/>
            </w:pPr>
            <w:r>
              <w:t>SIT data</w:t>
            </w:r>
          </w:p>
          <w:p w14:paraId="617F1F38" w14:textId="05CDD762" w:rsidR="00C5516F" w:rsidRPr="00635C9B" w:rsidRDefault="00C5516F" w:rsidP="00E55805">
            <w:pPr>
              <w:pStyle w:val="TABLEBULLETNEW"/>
            </w:pPr>
            <w:r>
              <w:t xml:space="preserve">SIT test scripts </w:t>
            </w:r>
          </w:p>
        </w:tc>
        <w:tc>
          <w:tcPr>
            <w:tcW w:w="1766" w:type="dxa"/>
          </w:tcPr>
          <w:p w14:paraId="64DD9137" w14:textId="624382E7" w:rsidR="00C5516F" w:rsidRPr="00635C9B" w:rsidRDefault="00C5516F" w:rsidP="00E55805">
            <w:pPr>
              <w:pStyle w:val="TABLEBULLETNEW"/>
            </w:pPr>
            <w:r>
              <w:lastRenderedPageBreak/>
              <w:t>SIT test results</w:t>
            </w:r>
          </w:p>
        </w:tc>
      </w:tr>
      <w:tr w:rsidR="00C5516F" w:rsidRPr="00A21682" w14:paraId="60802671" w14:textId="77777777" w:rsidTr="008058BD">
        <w:trPr>
          <w:trHeight w:val="300"/>
        </w:trPr>
        <w:tc>
          <w:tcPr>
            <w:tcW w:w="615" w:type="dxa"/>
          </w:tcPr>
          <w:p w14:paraId="0C0C3262" w14:textId="1D64E3FF" w:rsidR="00C5516F" w:rsidRPr="00A21682" w:rsidRDefault="00C5516F" w:rsidP="00047C4E">
            <w:pPr>
              <w:pStyle w:val="TABLETEXT1"/>
              <w:rPr>
                <w:lang w:val="en-US"/>
              </w:rPr>
            </w:pPr>
            <w:r>
              <w:rPr>
                <w:lang w:val="en-US"/>
              </w:rPr>
              <w:t>6.5b</w:t>
            </w:r>
          </w:p>
        </w:tc>
        <w:tc>
          <w:tcPr>
            <w:tcW w:w="1423" w:type="dxa"/>
          </w:tcPr>
          <w:p w14:paraId="4AF584E9" w14:textId="3B2C88A7" w:rsidR="00C5516F" w:rsidRPr="00A21682" w:rsidRDefault="00C5516F" w:rsidP="00047C4E">
            <w:pPr>
              <w:pStyle w:val="TABLETEXT1"/>
              <w:rPr>
                <w:lang w:val="en-US"/>
              </w:rPr>
            </w:pPr>
            <w:r>
              <w:rPr>
                <w:lang w:val="en-US"/>
              </w:rPr>
              <w:t>Perform Accessibility Testing (for Portals only)</w:t>
            </w:r>
          </w:p>
        </w:tc>
        <w:tc>
          <w:tcPr>
            <w:tcW w:w="1919" w:type="dxa"/>
          </w:tcPr>
          <w:p w14:paraId="2BB8FF7F" w14:textId="64233B78" w:rsidR="00C5516F" w:rsidRPr="00856431" w:rsidRDefault="00C5516F" w:rsidP="00856431">
            <w:pPr>
              <w:pStyle w:val="TABLETEXT1"/>
              <w:rPr>
                <w:lang w:val="en-US"/>
              </w:rPr>
            </w:pPr>
            <w:r>
              <w:rPr>
                <w:lang w:val="en-US"/>
              </w:rPr>
              <w:t>Accessibility testing/ Americans with Disabilities Act (ADA) compliance testing is conducted in this phase. The portals are tested for accessibility compliance. The test cases statuses are updated based on the outcome of the execution. Test results are documented</w:t>
            </w:r>
          </w:p>
        </w:tc>
        <w:tc>
          <w:tcPr>
            <w:tcW w:w="1686" w:type="dxa"/>
          </w:tcPr>
          <w:p w14:paraId="732E76E3" w14:textId="77777777" w:rsidR="00C5516F" w:rsidRPr="00635C9B" w:rsidRDefault="00C5516F" w:rsidP="00E55805">
            <w:pPr>
              <w:pStyle w:val="TABLEBULLETNEW"/>
            </w:pPr>
            <w:r>
              <w:t>Functional Stakeholders</w:t>
            </w:r>
          </w:p>
        </w:tc>
        <w:tc>
          <w:tcPr>
            <w:tcW w:w="1766" w:type="dxa"/>
          </w:tcPr>
          <w:p w14:paraId="5893D4CE" w14:textId="3B9698B3" w:rsidR="00C5516F" w:rsidRPr="00635C9B" w:rsidRDefault="00C5516F" w:rsidP="00E55805">
            <w:pPr>
              <w:pStyle w:val="TABLEBULLETNEW"/>
            </w:pPr>
            <w:r>
              <w:t>Test Management Plan (DEL-09)</w:t>
            </w:r>
          </w:p>
          <w:p w14:paraId="3A57C3DE" w14:textId="2A4ECD64" w:rsidR="00C5516F" w:rsidRPr="00635C9B" w:rsidRDefault="00C5516F" w:rsidP="00E55805">
            <w:pPr>
              <w:pStyle w:val="TABLEBULLETNEW"/>
            </w:pPr>
            <w:r>
              <w:t>Accessibility test cases</w:t>
            </w:r>
          </w:p>
          <w:p w14:paraId="5401FE1A" w14:textId="10DEE613" w:rsidR="00C5516F" w:rsidRPr="00635C9B" w:rsidRDefault="00C5516F" w:rsidP="00E55805">
            <w:pPr>
              <w:pStyle w:val="TABLEBULLETNEW"/>
            </w:pPr>
            <w:r>
              <w:t>Accessibility test scripts</w:t>
            </w:r>
          </w:p>
        </w:tc>
        <w:tc>
          <w:tcPr>
            <w:tcW w:w="1766" w:type="dxa"/>
          </w:tcPr>
          <w:p w14:paraId="6B7E1F35" w14:textId="03C6DD94" w:rsidR="00C5516F" w:rsidRPr="00635C9B" w:rsidRDefault="00C5516F" w:rsidP="00E55805">
            <w:pPr>
              <w:pStyle w:val="TABLEBULLETNEW"/>
            </w:pPr>
            <w:r>
              <w:t>Accessibility test results</w:t>
            </w:r>
          </w:p>
        </w:tc>
      </w:tr>
      <w:tr w:rsidR="00C5516F" w:rsidRPr="00A21682" w14:paraId="60160CE7" w14:textId="77777777" w:rsidTr="008058BD">
        <w:trPr>
          <w:trHeight w:val="300"/>
        </w:trPr>
        <w:tc>
          <w:tcPr>
            <w:tcW w:w="615" w:type="dxa"/>
          </w:tcPr>
          <w:p w14:paraId="2F4FB65C" w14:textId="2BD4C7B2" w:rsidR="00C5516F" w:rsidRPr="00A21682" w:rsidRDefault="00C5516F" w:rsidP="00047C4E">
            <w:pPr>
              <w:pStyle w:val="TABLETEXT1"/>
              <w:rPr>
                <w:lang w:val="en-US"/>
              </w:rPr>
            </w:pPr>
            <w:r>
              <w:rPr>
                <w:lang w:val="en-US"/>
              </w:rPr>
              <w:t>6.5c</w:t>
            </w:r>
          </w:p>
        </w:tc>
        <w:tc>
          <w:tcPr>
            <w:tcW w:w="1423" w:type="dxa"/>
          </w:tcPr>
          <w:p w14:paraId="2013C42F" w14:textId="67620028" w:rsidR="00C5516F" w:rsidRPr="00A21682" w:rsidRDefault="00C5516F" w:rsidP="00047C4E">
            <w:pPr>
              <w:pStyle w:val="TABLETEXT1"/>
              <w:rPr>
                <w:lang w:val="en-US"/>
              </w:rPr>
            </w:pPr>
            <w:r>
              <w:rPr>
                <w:lang w:val="en-US"/>
              </w:rPr>
              <w:t>Perform initial end-to-end (E2E) testing for interface</w:t>
            </w:r>
          </w:p>
        </w:tc>
        <w:tc>
          <w:tcPr>
            <w:tcW w:w="1919" w:type="dxa"/>
          </w:tcPr>
          <w:p w14:paraId="315A13F8" w14:textId="57E8D174" w:rsidR="00C5516F" w:rsidRPr="00E55805" w:rsidRDefault="00C5516F" w:rsidP="00E55805">
            <w:pPr>
              <w:pStyle w:val="TABLETEXT1"/>
              <w:rPr>
                <w:lang w:val="en-US"/>
              </w:rPr>
            </w:pPr>
            <w:r>
              <w:rPr>
                <w:lang w:val="en-US"/>
              </w:rPr>
              <w:t>Initial test with trading partners before beginning E2E SIT. For each iteration/bundle, the interfaces are tested individually before the fully E2E integrated testing with the trading partners</w:t>
            </w:r>
          </w:p>
        </w:tc>
        <w:tc>
          <w:tcPr>
            <w:tcW w:w="1686" w:type="dxa"/>
          </w:tcPr>
          <w:p w14:paraId="67BCE337" w14:textId="77777777" w:rsidR="00C5516F" w:rsidRPr="00635C9B" w:rsidRDefault="00C5516F" w:rsidP="00E55805">
            <w:pPr>
              <w:pStyle w:val="TABLEBULLETNEW"/>
            </w:pPr>
            <w:r>
              <w:t>Functional Stakeholders</w:t>
            </w:r>
          </w:p>
        </w:tc>
        <w:tc>
          <w:tcPr>
            <w:tcW w:w="1766" w:type="dxa"/>
          </w:tcPr>
          <w:p w14:paraId="546591D1" w14:textId="1CFDBAE1" w:rsidR="00C5516F" w:rsidRPr="00635C9B" w:rsidRDefault="00E32C87" w:rsidP="00E55805">
            <w:pPr>
              <w:pStyle w:val="TABLEBULLETNEW"/>
            </w:pPr>
            <w:r>
              <w:t>SIT test cases</w:t>
            </w:r>
          </w:p>
          <w:p w14:paraId="77B14561" w14:textId="4CF6FA97" w:rsidR="00C5516F" w:rsidRPr="00635C9B" w:rsidRDefault="00E32C87" w:rsidP="00E55805">
            <w:pPr>
              <w:pStyle w:val="TABLEBULLETNEW"/>
            </w:pPr>
            <w:r>
              <w:t>SIT data</w:t>
            </w:r>
          </w:p>
        </w:tc>
        <w:tc>
          <w:tcPr>
            <w:tcW w:w="1766" w:type="dxa"/>
          </w:tcPr>
          <w:p w14:paraId="66BF9DCF" w14:textId="77777777" w:rsidR="00C5516F" w:rsidRPr="00635C9B" w:rsidRDefault="00C5516F" w:rsidP="00E55805">
            <w:pPr>
              <w:pStyle w:val="TABLEBULLETNEW"/>
            </w:pPr>
            <w:r>
              <w:t>Initial E2E testing results</w:t>
            </w:r>
          </w:p>
        </w:tc>
      </w:tr>
      <w:tr w:rsidR="00C5516F" w:rsidRPr="00A21682" w14:paraId="538003F5" w14:textId="77777777" w:rsidTr="008058BD">
        <w:trPr>
          <w:trHeight w:val="300"/>
        </w:trPr>
        <w:tc>
          <w:tcPr>
            <w:tcW w:w="615" w:type="dxa"/>
          </w:tcPr>
          <w:p w14:paraId="48F9D9AD" w14:textId="39F85D2E" w:rsidR="00C5516F" w:rsidRPr="00A21682" w:rsidRDefault="00C5516F" w:rsidP="00047C4E">
            <w:pPr>
              <w:pStyle w:val="TABLETEXT1"/>
              <w:rPr>
                <w:lang w:val="en-US"/>
              </w:rPr>
            </w:pPr>
            <w:r>
              <w:rPr>
                <w:lang w:val="en-US"/>
              </w:rPr>
              <w:t>6.6</w:t>
            </w:r>
          </w:p>
        </w:tc>
        <w:tc>
          <w:tcPr>
            <w:tcW w:w="1423" w:type="dxa"/>
          </w:tcPr>
          <w:p w14:paraId="3420A0EF" w14:textId="77777777" w:rsidR="00C5516F" w:rsidRPr="00A21682" w:rsidRDefault="00C5516F" w:rsidP="00047C4E">
            <w:pPr>
              <w:pStyle w:val="TABLETEXT1"/>
              <w:rPr>
                <w:lang w:val="en-US"/>
              </w:rPr>
            </w:pPr>
            <w:r>
              <w:rPr>
                <w:lang w:val="en-US"/>
              </w:rPr>
              <w:t xml:space="preserve">Log test results and input defects in System Defect Log </w:t>
            </w:r>
          </w:p>
        </w:tc>
        <w:tc>
          <w:tcPr>
            <w:tcW w:w="1919" w:type="dxa"/>
          </w:tcPr>
          <w:p w14:paraId="62CAB78E" w14:textId="77777777" w:rsidR="00C5516F" w:rsidRPr="00E55805" w:rsidRDefault="00C5516F" w:rsidP="00E55805">
            <w:pPr>
              <w:pStyle w:val="TABLETEXT1"/>
              <w:rPr>
                <w:lang w:val="en-US"/>
              </w:rPr>
            </w:pPr>
            <w:r>
              <w:rPr>
                <w:lang w:val="en-US"/>
              </w:rPr>
              <w:t xml:space="preserve">Based on the triage, defects with test results are logged into the defect log management tool </w:t>
            </w:r>
          </w:p>
        </w:tc>
        <w:tc>
          <w:tcPr>
            <w:tcW w:w="1686" w:type="dxa"/>
          </w:tcPr>
          <w:p w14:paraId="15F0AE69" w14:textId="77777777" w:rsidR="00C5516F" w:rsidRPr="00635C9B" w:rsidRDefault="00C5516F" w:rsidP="00E55805">
            <w:pPr>
              <w:pStyle w:val="TABLEBULLETNEW"/>
            </w:pPr>
            <w:r>
              <w:t>Functional Stakeholders</w:t>
            </w:r>
          </w:p>
        </w:tc>
        <w:tc>
          <w:tcPr>
            <w:tcW w:w="1766" w:type="dxa"/>
          </w:tcPr>
          <w:p w14:paraId="4D5FB43B" w14:textId="609FAA1A" w:rsidR="00C5516F" w:rsidRPr="00635C9B" w:rsidRDefault="00C5516F" w:rsidP="00E55805">
            <w:pPr>
              <w:pStyle w:val="TABLEBULLETNEW"/>
            </w:pPr>
            <w:r>
              <w:t>SIT test results</w:t>
            </w:r>
          </w:p>
          <w:p w14:paraId="6B921D36" w14:textId="13E57CD1" w:rsidR="00C5516F" w:rsidRPr="00635C9B" w:rsidRDefault="00C5516F" w:rsidP="00E55805">
            <w:pPr>
              <w:pStyle w:val="TABLEBULLETNEW"/>
            </w:pPr>
            <w:r>
              <w:t>Accessibility test results</w:t>
            </w:r>
          </w:p>
          <w:p w14:paraId="5F77A264" w14:textId="77777777" w:rsidR="00C5516F" w:rsidRPr="00635C9B" w:rsidRDefault="00C5516F" w:rsidP="00E55805">
            <w:pPr>
              <w:pStyle w:val="TABLEBULLETNEW"/>
            </w:pPr>
            <w:r>
              <w:t>Initial E2E testing results</w:t>
            </w:r>
          </w:p>
        </w:tc>
        <w:tc>
          <w:tcPr>
            <w:tcW w:w="1766" w:type="dxa"/>
          </w:tcPr>
          <w:p w14:paraId="0B9DC740" w14:textId="7D40FA95" w:rsidR="00C5516F" w:rsidRPr="00635C9B" w:rsidRDefault="00C5516F" w:rsidP="00E55805">
            <w:pPr>
              <w:pStyle w:val="TABLEBULLETNEW"/>
            </w:pPr>
            <w:r>
              <w:t xml:space="preserve">Updated System Defect Log with SIT detected defects </w:t>
            </w:r>
          </w:p>
          <w:p w14:paraId="3EF18B76" w14:textId="77777777" w:rsidR="00C5516F" w:rsidRPr="00635C9B" w:rsidRDefault="00C5516F" w:rsidP="00E55805">
            <w:pPr>
              <w:pStyle w:val="TABLEBULLETNEW"/>
            </w:pPr>
            <w:r>
              <w:t>SIT Test Results Log</w:t>
            </w:r>
          </w:p>
        </w:tc>
      </w:tr>
      <w:tr w:rsidR="00C5516F" w:rsidRPr="00A21682" w14:paraId="5C90673A" w14:textId="77777777" w:rsidTr="008058BD">
        <w:trPr>
          <w:trHeight w:val="300"/>
        </w:trPr>
        <w:tc>
          <w:tcPr>
            <w:tcW w:w="615" w:type="dxa"/>
          </w:tcPr>
          <w:p w14:paraId="7124C2E4" w14:textId="2C5F9F33" w:rsidR="00C5516F" w:rsidRPr="00A21682" w:rsidRDefault="00C5516F" w:rsidP="00047C4E">
            <w:pPr>
              <w:pStyle w:val="TABLETEXT1"/>
              <w:rPr>
                <w:lang w:val="en-US"/>
              </w:rPr>
            </w:pPr>
            <w:r>
              <w:rPr>
                <w:lang w:val="en-US"/>
              </w:rPr>
              <w:lastRenderedPageBreak/>
              <w:t>6.6a</w:t>
            </w:r>
          </w:p>
        </w:tc>
        <w:tc>
          <w:tcPr>
            <w:tcW w:w="1423" w:type="dxa"/>
          </w:tcPr>
          <w:p w14:paraId="2A558C75" w14:textId="77777777" w:rsidR="00C5516F" w:rsidRPr="00A21682" w:rsidRDefault="00C5516F" w:rsidP="00047C4E">
            <w:pPr>
              <w:pStyle w:val="TABLETEXT1"/>
              <w:rPr>
                <w:lang w:val="en-US"/>
              </w:rPr>
            </w:pPr>
            <w:r>
              <w:rPr>
                <w:lang w:val="en-US"/>
              </w:rPr>
              <w:t xml:space="preserve">SIT Test Results passed status </w:t>
            </w:r>
          </w:p>
        </w:tc>
        <w:tc>
          <w:tcPr>
            <w:tcW w:w="1919" w:type="dxa"/>
          </w:tcPr>
          <w:p w14:paraId="2EFA2013" w14:textId="6B6B2D35" w:rsidR="00C5516F" w:rsidRPr="00E55805" w:rsidRDefault="00C5516F" w:rsidP="00E55805">
            <w:pPr>
              <w:pStyle w:val="TABLETEXT1"/>
              <w:rPr>
                <w:lang w:val="en-US"/>
              </w:rPr>
            </w:pPr>
            <w:r>
              <w:rPr>
                <w:lang w:val="en-US"/>
              </w:rPr>
              <w:t>SIT Test Results met the criteria defined in the Test Management Plan (DEL-09)</w:t>
            </w:r>
          </w:p>
          <w:p w14:paraId="2CDF5C24" w14:textId="0B6BE488" w:rsidR="00C5516F" w:rsidRPr="00635C9B" w:rsidRDefault="00C5516F" w:rsidP="00E55805">
            <w:pPr>
              <w:pStyle w:val="TABLEBULLETNEW"/>
            </w:pPr>
            <w:r>
              <w:t xml:space="preserve">If yes, proceed to </w:t>
            </w:r>
            <w:r>
              <w:rPr>
                <w:i/>
              </w:rPr>
              <w:t>Step #6.11 Publish SIT and Accessibility Test Results</w:t>
            </w:r>
          </w:p>
          <w:p w14:paraId="6AE2BB77" w14:textId="3E9A587F" w:rsidR="00C5516F" w:rsidRPr="00635C9B" w:rsidRDefault="00C5516F" w:rsidP="00E55805">
            <w:pPr>
              <w:pStyle w:val="TABLEBULLETNEW"/>
            </w:pPr>
            <w:r>
              <w:t xml:space="preserve">If no, proceed to </w:t>
            </w:r>
            <w:r>
              <w:rPr>
                <w:i/>
              </w:rPr>
              <w:t>Step #6.7 Triage and assign defects for resolution</w:t>
            </w:r>
            <w:r>
              <w:t xml:space="preserve"> </w:t>
            </w:r>
          </w:p>
        </w:tc>
        <w:tc>
          <w:tcPr>
            <w:tcW w:w="1686" w:type="dxa"/>
          </w:tcPr>
          <w:p w14:paraId="173EB646" w14:textId="77777777" w:rsidR="00C5516F" w:rsidRPr="00635C9B" w:rsidRDefault="00C5516F" w:rsidP="00E55805">
            <w:pPr>
              <w:pStyle w:val="TABLEBULLETNEW"/>
            </w:pPr>
            <w:r>
              <w:t>Functional Stakeholders</w:t>
            </w:r>
          </w:p>
        </w:tc>
        <w:tc>
          <w:tcPr>
            <w:tcW w:w="1766" w:type="dxa"/>
          </w:tcPr>
          <w:p w14:paraId="5BE36096" w14:textId="77777777" w:rsidR="00C5516F" w:rsidRPr="00635C9B" w:rsidRDefault="00C5516F" w:rsidP="00E55805">
            <w:pPr>
              <w:pStyle w:val="TABLEBULLETNEW"/>
            </w:pPr>
            <w:r>
              <w:t>N/A</w:t>
            </w:r>
          </w:p>
        </w:tc>
        <w:tc>
          <w:tcPr>
            <w:tcW w:w="1766" w:type="dxa"/>
          </w:tcPr>
          <w:p w14:paraId="3CFD4D6F" w14:textId="77777777" w:rsidR="00C5516F" w:rsidRPr="00635C9B" w:rsidDel="00C7157A" w:rsidRDefault="00C5516F" w:rsidP="00E55805">
            <w:pPr>
              <w:pStyle w:val="TABLEBULLETNEW"/>
            </w:pPr>
            <w:r>
              <w:t>N/A</w:t>
            </w:r>
          </w:p>
        </w:tc>
      </w:tr>
      <w:tr w:rsidR="00C5516F" w:rsidRPr="00A21682" w14:paraId="4B8E1C27" w14:textId="77777777" w:rsidTr="008058BD">
        <w:trPr>
          <w:trHeight w:val="300"/>
        </w:trPr>
        <w:tc>
          <w:tcPr>
            <w:tcW w:w="615" w:type="dxa"/>
          </w:tcPr>
          <w:p w14:paraId="2AD4F5FC" w14:textId="3E2B39CF" w:rsidR="00C5516F" w:rsidRPr="00A21682" w:rsidRDefault="00C5516F" w:rsidP="00047C4E">
            <w:pPr>
              <w:pStyle w:val="TABLETEXT1"/>
              <w:rPr>
                <w:lang w:val="en-US"/>
              </w:rPr>
            </w:pPr>
            <w:r>
              <w:rPr>
                <w:lang w:val="en-US"/>
              </w:rPr>
              <w:t>6.7</w:t>
            </w:r>
          </w:p>
        </w:tc>
        <w:tc>
          <w:tcPr>
            <w:tcW w:w="1423" w:type="dxa"/>
          </w:tcPr>
          <w:p w14:paraId="46ED9D30" w14:textId="77777777" w:rsidR="00C5516F" w:rsidRPr="00A21682" w:rsidRDefault="00C5516F" w:rsidP="00047C4E">
            <w:pPr>
              <w:pStyle w:val="TABLETEXT1"/>
              <w:rPr>
                <w:lang w:val="en-US"/>
              </w:rPr>
            </w:pPr>
            <w:r>
              <w:rPr>
                <w:lang w:val="en-US"/>
              </w:rPr>
              <w:t>Triage and assign defects for resolution</w:t>
            </w:r>
          </w:p>
        </w:tc>
        <w:tc>
          <w:tcPr>
            <w:tcW w:w="1919" w:type="dxa"/>
          </w:tcPr>
          <w:p w14:paraId="24B40FB5" w14:textId="77777777" w:rsidR="00C5516F" w:rsidRPr="00E55805" w:rsidRDefault="00C5516F" w:rsidP="00E55805">
            <w:pPr>
              <w:pStyle w:val="TABLETEXT1"/>
              <w:rPr>
                <w:lang w:val="en-US"/>
              </w:rPr>
            </w:pPr>
            <w:r>
              <w:rPr>
                <w:lang w:val="en-US"/>
              </w:rPr>
              <w:t>Defects are assigned for resolution. The severity and priority of the defects are logged in the defect management tool</w:t>
            </w:r>
          </w:p>
        </w:tc>
        <w:tc>
          <w:tcPr>
            <w:tcW w:w="1686" w:type="dxa"/>
          </w:tcPr>
          <w:p w14:paraId="2ACB615B" w14:textId="77777777" w:rsidR="00C5516F" w:rsidRPr="00635C9B" w:rsidRDefault="00C5516F" w:rsidP="00E55805">
            <w:pPr>
              <w:pStyle w:val="TABLEBULLETNEW"/>
            </w:pPr>
            <w:r>
              <w:t>Functional Stakeholders</w:t>
            </w:r>
          </w:p>
        </w:tc>
        <w:tc>
          <w:tcPr>
            <w:tcW w:w="1766" w:type="dxa"/>
          </w:tcPr>
          <w:p w14:paraId="5762A84A" w14:textId="4BCAE246" w:rsidR="00C5516F" w:rsidRPr="00635C9B" w:rsidRDefault="00C5516F" w:rsidP="00E55805">
            <w:pPr>
              <w:pStyle w:val="TABLEBULLETNEW"/>
            </w:pPr>
            <w:r>
              <w:t>System Defect Log with SIT detected defects</w:t>
            </w:r>
          </w:p>
        </w:tc>
        <w:tc>
          <w:tcPr>
            <w:tcW w:w="1766" w:type="dxa"/>
          </w:tcPr>
          <w:p w14:paraId="7EDEFC9D" w14:textId="2C75883E" w:rsidR="00C5516F" w:rsidRPr="00635C9B" w:rsidRDefault="00C5516F" w:rsidP="00E55805">
            <w:pPr>
              <w:pStyle w:val="TABLEBULLETNEW"/>
            </w:pPr>
            <w:r>
              <w:t>Updated System Defect Log with severity and priority</w:t>
            </w:r>
          </w:p>
        </w:tc>
      </w:tr>
      <w:tr w:rsidR="00C5516F" w:rsidRPr="00A21682" w14:paraId="4F294151" w14:textId="77777777" w:rsidTr="008058BD">
        <w:trPr>
          <w:trHeight w:val="300"/>
        </w:trPr>
        <w:tc>
          <w:tcPr>
            <w:tcW w:w="615" w:type="dxa"/>
          </w:tcPr>
          <w:p w14:paraId="25DAED98" w14:textId="33F87DAD" w:rsidR="00C5516F" w:rsidRPr="00A21682" w:rsidRDefault="00C5516F" w:rsidP="00047C4E">
            <w:pPr>
              <w:pStyle w:val="TABLETEXT1"/>
              <w:rPr>
                <w:lang w:val="en-US"/>
              </w:rPr>
            </w:pPr>
            <w:r>
              <w:rPr>
                <w:lang w:val="en-US"/>
              </w:rPr>
              <w:t>6.8</w:t>
            </w:r>
          </w:p>
        </w:tc>
        <w:tc>
          <w:tcPr>
            <w:tcW w:w="1423" w:type="dxa"/>
          </w:tcPr>
          <w:p w14:paraId="5AD9A97F" w14:textId="77777777" w:rsidR="00C5516F" w:rsidRPr="00A21682" w:rsidRDefault="00C5516F" w:rsidP="00047C4E">
            <w:pPr>
              <w:pStyle w:val="TABLETEXT1"/>
              <w:rPr>
                <w:lang w:val="en-US"/>
              </w:rPr>
            </w:pPr>
            <w:r>
              <w:rPr>
                <w:lang w:val="en-US"/>
              </w:rPr>
              <w:t xml:space="preserve">Remediate software defects and Regression Test </w:t>
            </w:r>
          </w:p>
        </w:tc>
        <w:tc>
          <w:tcPr>
            <w:tcW w:w="1919" w:type="dxa"/>
          </w:tcPr>
          <w:p w14:paraId="6B485FB3" w14:textId="77777777" w:rsidR="00C5516F" w:rsidRPr="00E55805" w:rsidRDefault="00C5516F" w:rsidP="00E55805">
            <w:pPr>
              <w:pStyle w:val="TABLETEXT1"/>
              <w:rPr>
                <w:lang w:val="en-US"/>
              </w:rPr>
            </w:pPr>
            <w:r>
              <w:rPr>
                <w:lang w:val="en-US"/>
              </w:rPr>
              <w:t>Corrective actions are taken to fix the issues in the defect</w:t>
            </w:r>
          </w:p>
        </w:tc>
        <w:tc>
          <w:tcPr>
            <w:tcW w:w="1686" w:type="dxa"/>
          </w:tcPr>
          <w:p w14:paraId="528C4BD0" w14:textId="77777777" w:rsidR="00C5516F" w:rsidRPr="00635C9B" w:rsidRDefault="00C5516F" w:rsidP="00E55805">
            <w:pPr>
              <w:pStyle w:val="TABLEBULLETNEW"/>
            </w:pPr>
            <w:r>
              <w:t>Functional Stakeholders</w:t>
            </w:r>
          </w:p>
          <w:p w14:paraId="6B455914" w14:textId="77777777" w:rsidR="00C5516F" w:rsidRPr="00635C9B" w:rsidRDefault="00C5516F" w:rsidP="00E55805">
            <w:pPr>
              <w:pStyle w:val="TABLEBULLETNEW"/>
            </w:pPr>
            <w:r>
              <w:t>Technical Stakeholders</w:t>
            </w:r>
          </w:p>
        </w:tc>
        <w:tc>
          <w:tcPr>
            <w:tcW w:w="1766" w:type="dxa"/>
          </w:tcPr>
          <w:p w14:paraId="5E775165" w14:textId="0DEA39AD" w:rsidR="00C5516F" w:rsidRPr="00635C9B" w:rsidRDefault="00C5516F" w:rsidP="00E55805">
            <w:pPr>
              <w:pStyle w:val="TABLEBULLETNEW"/>
            </w:pPr>
            <w:r>
              <w:t>Update System Defect Log with severity and priority</w:t>
            </w:r>
          </w:p>
        </w:tc>
        <w:tc>
          <w:tcPr>
            <w:tcW w:w="1766" w:type="dxa"/>
          </w:tcPr>
          <w:p w14:paraId="227A76B8" w14:textId="77777777" w:rsidR="00C5516F" w:rsidRPr="00635C9B" w:rsidRDefault="00C5516F" w:rsidP="00E55805">
            <w:pPr>
              <w:pStyle w:val="TABLEBULLETNEW"/>
            </w:pPr>
            <w:r>
              <w:t>Remediated Software Code</w:t>
            </w:r>
          </w:p>
        </w:tc>
      </w:tr>
      <w:tr w:rsidR="00C5516F" w:rsidRPr="00A21682" w14:paraId="4E37DF5F" w14:textId="77777777" w:rsidTr="008058BD">
        <w:trPr>
          <w:trHeight w:val="300"/>
        </w:trPr>
        <w:tc>
          <w:tcPr>
            <w:tcW w:w="615" w:type="dxa"/>
          </w:tcPr>
          <w:p w14:paraId="7CBB9D69" w14:textId="7D922F33" w:rsidR="00C5516F" w:rsidRPr="00A21682" w:rsidRDefault="00C5516F" w:rsidP="00047C4E">
            <w:pPr>
              <w:pStyle w:val="TABLETEXT1"/>
              <w:rPr>
                <w:lang w:val="en-US"/>
              </w:rPr>
            </w:pPr>
            <w:r>
              <w:rPr>
                <w:lang w:val="en-US"/>
              </w:rPr>
              <w:t>6.9</w:t>
            </w:r>
          </w:p>
        </w:tc>
        <w:tc>
          <w:tcPr>
            <w:tcW w:w="1423" w:type="dxa"/>
          </w:tcPr>
          <w:p w14:paraId="4492AEF1" w14:textId="77777777" w:rsidR="00C5516F" w:rsidRPr="00A21682" w:rsidRDefault="00C5516F" w:rsidP="00047C4E">
            <w:pPr>
              <w:pStyle w:val="TABLETEXT1"/>
              <w:rPr>
                <w:lang w:val="en-US"/>
              </w:rPr>
            </w:pPr>
            <w:r>
              <w:rPr>
                <w:lang w:val="en-US"/>
              </w:rPr>
              <w:t xml:space="preserve">Deploy remediated code to SIT environment </w:t>
            </w:r>
          </w:p>
        </w:tc>
        <w:tc>
          <w:tcPr>
            <w:tcW w:w="1919" w:type="dxa"/>
          </w:tcPr>
          <w:p w14:paraId="4A4E3FAC" w14:textId="77777777" w:rsidR="00C5516F" w:rsidRPr="00E55805" w:rsidRDefault="00C5516F" w:rsidP="00E55805">
            <w:pPr>
              <w:pStyle w:val="TABLETEXT1"/>
              <w:rPr>
                <w:lang w:val="en-US"/>
              </w:rPr>
            </w:pPr>
            <w:r>
              <w:rPr>
                <w:lang w:val="en-US"/>
              </w:rPr>
              <w:t>Deploy remediated code in the SIT environment for testing</w:t>
            </w:r>
          </w:p>
        </w:tc>
        <w:tc>
          <w:tcPr>
            <w:tcW w:w="1686" w:type="dxa"/>
          </w:tcPr>
          <w:p w14:paraId="36ED8772" w14:textId="77777777" w:rsidR="00C5516F" w:rsidRPr="00635C9B" w:rsidRDefault="00C5516F" w:rsidP="00E55805">
            <w:pPr>
              <w:pStyle w:val="TABLEBULLETNEW"/>
            </w:pPr>
            <w:r>
              <w:t>Technical Stakeholders</w:t>
            </w:r>
          </w:p>
        </w:tc>
        <w:tc>
          <w:tcPr>
            <w:tcW w:w="1766" w:type="dxa"/>
          </w:tcPr>
          <w:p w14:paraId="5171F1B6" w14:textId="77777777" w:rsidR="00C5516F" w:rsidRPr="00635C9B" w:rsidRDefault="00C5516F" w:rsidP="00E55805">
            <w:pPr>
              <w:pStyle w:val="TABLEBULLETNEW"/>
            </w:pPr>
            <w:r>
              <w:t>Remediated software code</w:t>
            </w:r>
          </w:p>
        </w:tc>
        <w:tc>
          <w:tcPr>
            <w:tcW w:w="1766" w:type="dxa"/>
          </w:tcPr>
          <w:p w14:paraId="1B52B008" w14:textId="77777777" w:rsidR="00C5516F" w:rsidRPr="00635C9B" w:rsidRDefault="00C5516F" w:rsidP="00E55805">
            <w:pPr>
              <w:pStyle w:val="TABLEBULLETNEW"/>
            </w:pPr>
            <w:r>
              <w:t>Updated test scripts</w:t>
            </w:r>
          </w:p>
        </w:tc>
      </w:tr>
      <w:tr w:rsidR="00C5516F" w:rsidRPr="00A21682" w14:paraId="12061038" w14:textId="77777777" w:rsidTr="008058BD">
        <w:trPr>
          <w:trHeight w:val="300"/>
        </w:trPr>
        <w:tc>
          <w:tcPr>
            <w:tcW w:w="615" w:type="dxa"/>
          </w:tcPr>
          <w:p w14:paraId="50812FC1" w14:textId="480059B2" w:rsidR="00C5516F" w:rsidRPr="00A21682" w:rsidRDefault="00C5516F" w:rsidP="00047C4E">
            <w:pPr>
              <w:pStyle w:val="TABLETEXT1"/>
              <w:rPr>
                <w:lang w:val="en-US"/>
              </w:rPr>
            </w:pPr>
            <w:r>
              <w:rPr>
                <w:lang w:val="en-US"/>
              </w:rPr>
              <w:t>6.10</w:t>
            </w:r>
          </w:p>
        </w:tc>
        <w:tc>
          <w:tcPr>
            <w:tcW w:w="1423" w:type="dxa"/>
          </w:tcPr>
          <w:p w14:paraId="0711DCB4" w14:textId="77777777" w:rsidR="00C5516F" w:rsidRPr="00A21682" w:rsidRDefault="00C5516F" w:rsidP="00047C4E">
            <w:pPr>
              <w:pStyle w:val="TABLETEXT1"/>
              <w:rPr>
                <w:lang w:val="en-US"/>
              </w:rPr>
            </w:pPr>
            <w:r>
              <w:rPr>
                <w:lang w:val="en-US"/>
              </w:rPr>
              <w:t>Re-execute failed test scripts</w:t>
            </w:r>
          </w:p>
        </w:tc>
        <w:tc>
          <w:tcPr>
            <w:tcW w:w="1919" w:type="dxa"/>
          </w:tcPr>
          <w:p w14:paraId="534C93D8" w14:textId="07AF6735" w:rsidR="00C5516F" w:rsidRPr="00E55805" w:rsidRDefault="00C5516F" w:rsidP="00E55805">
            <w:pPr>
              <w:pStyle w:val="TABLETEXT1"/>
              <w:rPr>
                <w:lang w:val="en-US"/>
              </w:rPr>
            </w:pPr>
            <w:r>
              <w:rPr>
                <w:lang w:val="en-US"/>
              </w:rPr>
              <w:t>The failed test cases are re-executed, and the results are documented. The statuses of the defect and the test cases are updated based on the outcome of the execution</w:t>
            </w:r>
          </w:p>
        </w:tc>
        <w:tc>
          <w:tcPr>
            <w:tcW w:w="1686" w:type="dxa"/>
          </w:tcPr>
          <w:p w14:paraId="3BD0B6FC" w14:textId="77777777" w:rsidR="00C5516F" w:rsidRPr="00635C9B" w:rsidRDefault="00C5516F" w:rsidP="00E55805">
            <w:pPr>
              <w:pStyle w:val="TABLEBULLETNEW"/>
            </w:pPr>
            <w:r>
              <w:t>Functional Stakeholders</w:t>
            </w:r>
          </w:p>
        </w:tc>
        <w:tc>
          <w:tcPr>
            <w:tcW w:w="1766" w:type="dxa"/>
          </w:tcPr>
          <w:p w14:paraId="5108C281" w14:textId="1DD4595F" w:rsidR="00C5516F" w:rsidRPr="00635C9B" w:rsidRDefault="00C5516F" w:rsidP="00E55805">
            <w:pPr>
              <w:pStyle w:val="TABLEBULLETNEW"/>
            </w:pPr>
            <w:r>
              <w:t>SIT test scripts</w:t>
            </w:r>
          </w:p>
        </w:tc>
        <w:tc>
          <w:tcPr>
            <w:tcW w:w="1766" w:type="dxa"/>
          </w:tcPr>
          <w:p w14:paraId="581AAA59" w14:textId="4C91B10C" w:rsidR="00C5516F" w:rsidRPr="00635C9B" w:rsidRDefault="00C5516F" w:rsidP="00E55805">
            <w:pPr>
              <w:pStyle w:val="TABLEBULLETNEW"/>
            </w:pPr>
            <w:r>
              <w:t>Updated SIT test results</w:t>
            </w:r>
          </w:p>
        </w:tc>
      </w:tr>
      <w:tr w:rsidR="00C5516F" w:rsidRPr="00A21682" w14:paraId="76ED2719" w14:textId="77777777" w:rsidTr="008058BD">
        <w:trPr>
          <w:trHeight w:val="300"/>
        </w:trPr>
        <w:tc>
          <w:tcPr>
            <w:tcW w:w="615" w:type="dxa"/>
          </w:tcPr>
          <w:p w14:paraId="0DA8FFCD" w14:textId="0C690350" w:rsidR="00C5516F" w:rsidRPr="00A21682" w:rsidRDefault="00C5516F" w:rsidP="00047C4E">
            <w:pPr>
              <w:pStyle w:val="TABLETEXT1"/>
              <w:rPr>
                <w:lang w:val="en-US"/>
              </w:rPr>
            </w:pPr>
            <w:r>
              <w:rPr>
                <w:lang w:val="en-US"/>
              </w:rPr>
              <w:t>6.11</w:t>
            </w:r>
          </w:p>
        </w:tc>
        <w:tc>
          <w:tcPr>
            <w:tcW w:w="1423" w:type="dxa"/>
          </w:tcPr>
          <w:p w14:paraId="276A0B94" w14:textId="77777777" w:rsidR="00C5516F" w:rsidRPr="00A21682" w:rsidRDefault="00C5516F" w:rsidP="00047C4E">
            <w:pPr>
              <w:pStyle w:val="TABLETEXT1"/>
              <w:rPr>
                <w:lang w:val="en-US"/>
              </w:rPr>
            </w:pPr>
            <w:r>
              <w:rPr>
                <w:lang w:val="en-US"/>
              </w:rPr>
              <w:t xml:space="preserve">Publish SIT and </w:t>
            </w:r>
            <w:r>
              <w:rPr>
                <w:lang w:val="en-US"/>
              </w:rPr>
              <w:lastRenderedPageBreak/>
              <w:t>Accessibility Test Results</w:t>
            </w:r>
          </w:p>
        </w:tc>
        <w:tc>
          <w:tcPr>
            <w:tcW w:w="1919" w:type="dxa"/>
          </w:tcPr>
          <w:p w14:paraId="2A4AF7C5" w14:textId="43F0DD7A" w:rsidR="00C5516F" w:rsidRPr="00E55805" w:rsidRDefault="00C5516F" w:rsidP="00E55805">
            <w:pPr>
              <w:pStyle w:val="TABLETEXT1"/>
              <w:rPr>
                <w:lang w:val="en-US"/>
              </w:rPr>
            </w:pPr>
            <w:r>
              <w:rPr>
                <w:lang w:val="en-US"/>
              </w:rPr>
              <w:lastRenderedPageBreak/>
              <w:t xml:space="preserve">SIT and Accessibility test </w:t>
            </w:r>
            <w:r>
              <w:rPr>
                <w:lang w:val="en-US"/>
              </w:rPr>
              <w:lastRenderedPageBreak/>
              <w:t xml:space="preserve">results are published and shared with the stakeholders </w:t>
            </w:r>
          </w:p>
        </w:tc>
        <w:tc>
          <w:tcPr>
            <w:tcW w:w="1686" w:type="dxa"/>
          </w:tcPr>
          <w:p w14:paraId="19101397" w14:textId="77777777" w:rsidR="00C5516F" w:rsidRPr="00635C9B" w:rsidRDefault="00C5516F" w:rsidP="00E55805">
            <w:pPr>
              <w:pStyle w:val="TABLEBULLETNEW"/>
            </w:pPr>
            <w:r>
              <w:lastRenderedPageBreak/>
              <w:t>Functional Stakeholders</w:t>
            </w:r>
          </w:p>
        </w:tc>
        <w:tc>
          <w:tcPr>
            <w:tcW w:w="1766" w:type="dxa"/>
          </w:tcPr>
          <w:p w14:paraId="18CC4539" w14:textId="43F98530" w:rsidR="00C5516F" w:rsidRPr="00635C9B" w:rsidRDefault="00C5516F" w:rsidP="00E55805">
            <w:pPr>
              <w:pStyle w:val="TABLEBULLETNEW"/>
            </w:pPr>
            <w:r>
              <w:t>SIT test results</w:t>
            </w:r>
          </w:p>
          <w:p w14:paraId="6F886C7A" w14:textId="62BC9723" w:rsidR="00C5516F" w:rsidRPr="00635C9B" w:rsidRDefault="00C5516F" w:rsidP="00E55805">
            <w:pPr>
              <w:pStyle w:val="TABLEBULLETNEW"/>
            </w:pPr>
            <w:r>
              <w:lastRenderedPageBreak/>
              <w:t>Accessibility test results</w:t>
            </w:r>
          </w:p>
        </w:tc>
        <w:tc>
          <w:tcPr>
            <w:tcW w:w="1766" w:type="dxa"/>
          </w:tcPr>
          <w:p w14:paraId="5FB67D2E" w14:textId="0CAE38F8" w:rsidR="00C5516F" w:rsidRPr="00635C9B" w:rsidRDefault="00C5516F" w:rsidP="00E55805">
            <w:pPr>
              <w:pStyle w:val="TABLEBULLETNEW"/>
            </w:pPr>
            <w:r>
              <w:lastRenderedPageBreak/>
              <w:t xml:space="preserve">Published SIT and </w:t>
            </w:r>
            <w:r>
              <w:lastRenderedPageBreak/>
              <w:t xml:space="preserve">Accessibility test results </w:t>
            </w:r>
          </w:p>
        </w:tc>
      </w:tr>
      <w:tr w:rsidR="00C5516F" w:rsidRPr="00A21682" w14:paraId="5BB14120" w14:textId="77777777" w:rsidTr="008058BD">
        <w:trPr>
          <w:trHeight w:val="300"/>
        </w:trPr>
        <w:tc>
          <w:tcPr>
            <w:tcW w:w="615" w:type="dxa"/>
          </w:tcPr>
          <w:p w14:paraId="0301DEAD" w14:textId="5809AAD3" w:rsidR="00C5516F" w:rsidRPr="00A21682" w:rsidRDefault="00C5516F" w:rsidP="00047C4E">
            <w:pPr>
              <w:pStyle w:val="TABLETEXT1"/>
              <w:rPr>
                <w:lang w:val="en-US"/>
              </w:rPr>
            </w:pPr>
            <w:r>
              <w:rPr>
                <w:lang w:val="en-US"/>
              </w:rPr>
              <w:lastRenderedPageBreak/>
              <w:t>6.12</w:t>
            </w:r>
          </w:p>
        </w:tc>
        <w:tc>
          <w:tcPr>
            <w:tcW w:w="1423" w:type="dxa"/>
          </w:tcPr>
          <w:p w14:paraId="79C8383C" w14:textId="77777777" w:rsidR="00C5516F" w:rsidRPr="00A21682" w:rsidRDefault="00C5516F" w:rsidP="00047C4E">
            <w:pPr>
              <w:pStyle w:val="TABLETEXT1"/>
              <w:rPr>
                <w:lang w:val="en-US"/>
              </w:rPr>
            </w:pPr>
            <w:r>
              <w:rPr>
                <w:lang w:val="en-US"/>
              </w:rPr>
              <w:t>Perform application walkthrough with DOS</w:t>
            </w:r>
          </w:p>
        </w:tc>
        <w:tc>
          <w:tcPr>
            <w:tcW w:w="1919" w:type="dxa"/>
          </w:tcPr>
          <w:p w14:paraId="11224825" w14:textId="4B49E17B" w:rsidR="00C5516F" w:rsidRPr="00E55805" w:rsidRDefault="00C5516F" w:rsidP="00E55805">
            <w:pPr>
              <w:pStyle w:val="TABLETEXT1"/>
              <w:rPr>
                <w:lang w:val="en-US"/>
              </w:rPr>
            </w:pPr>
            <w:r>
              <w:rPr>
                <w:lang w:val="en-US"/>
              </w:rPr>
              <w:t xml:space="preserve">Walkthrough the application developed in the iteration/bundle with DOS </w:t>
            </w:r>
          </w:p>
        </w:tc>
        <w:tc>
          <w:tcPr>
            <w:tcW w:w="1686" w:type="dxa"/>
          </w:tcPr>
          <w:p w14:paraId="6B365EAC" w14:textId="77777777" w:rsidR="00C5516F" w:rsidRPr="00635C9B" w:rsidRDefault="00C5516F" w:rsidP="00E55805">
            <w:pPr>
              <w:pStyle w:val="TABLEBULLETNEW"/>
            </w:pPr>
            <w:r>
              <w:t>Functional Stakeholders</w:t>
            </w:r>
          </w:p>
        </w:tc>
        <w:tc>
          <w:tcPr>
            <w:tcW w:w="1766" w:type="dxa"/>
          </w:tcPr>
          <w:p w14:paraId="1FDAE545" w14:textId="21176264" w:rsidR="00C5516F" w:rsidRPr="00635C9B" w:rsidRDefault="00C5516F" w:rsidP="00E55805">
            <w:pPr>
              <w:pStyle w:val="TABLEBULLETNEW"/>
            </w:pPr>
            <w:r>
              <w:t>Data Models and Data Dictionary (DEL-21)</w:t>
            </w:r>
          </w:p>
          <w:p w14:paraId="2B9A5A6A" w14:textId="19265725" w:rsidR="00C5516F" w:rsidRPr="00635C9B" w:rsidRDefault="00C5516F" w:rsidP="00E55805">
            <w:pPr>
              <w:pStyle w:val="TABLEBULLETNEW"/>
            </w:pPr>
            <w:r>
              <w:t xml:space="preserve">Approved Functional Design Document (DEL-20) </w:t>
            </w:r>
          </w:p>
          <w:p w14:paraId="53177E8B" w14:textId="77777777" w:rsidR="00E36FED" w:rsidRDefault="00C5516F" w:rsidP="00E55805">
            <w:pPr>
              <w:pStyle w:val="TABLEBULLETNEW"/>
            </w:pPr>
            <w:r>
              <w:t>Interface/</w:t>
            </w:r>
          </w:p>
          <w:p w14:paraId="110BB19A" w14:textId="77777777" w:rsidR="00E36FED" w:rsidRDefault="00C5516F" w:rsidP="00E36FED">
            <w:pPr>
              <w:pStyle w:val="TABLEBULLETNEW"/>
              <w:numPr>
                <w:ilvl w:val="0"/>
                <w:numId w:val="0"/>
              </w:numPr>
              <w:ind w:left="331"/>
            </w:pPr>
            <w:r>
              <w:t>Batch/</w:t>
            </w:r>
          </w:p>
          <w:p w14:paraId="5B8B5FE2" w14:textId="475E8B1D" w:rsidR="00C5516F" w:rsidRPr="00635C9B" w:rsidRDefault="00C5516F" w:rsidP="00E36FED">
            <w:pPr>
              <w:pStyle w:val="TABLEBULLETNEW"/>
              <w:numPr>
                <w:ilvl w:val="0"/>
                <w:numId w:val="0"/>
              </w:numPr>
              <w:ind w:left="331"/>
            </w:pPr>
            <w:r>
              <w:t xml:space="preserve">Automation Control Documents (DEL-22) </w:t>
            </w:r>
          </w:p>
          <w:p w14:paraId="0CEA56F8" w14:textId="0C59587E" w:rsidR="00C5516F" w:rsidRPr="00635C9B" w:rsidRDefault="00C5516F" w:rsidP="00E55805">
            <w:pPr>
              <w:pStyle w:val="TABLEBULLETNEW"/>
            </w:pPr>
            <w:r>
              <w:t xml:space="preserve">System Architecture Design Document (DEL-16) </w:t>
            </w:r>
          </w:p>
          <w:p w14:paraId="151710DC" w14:textId="535C3693" w:rsidR="00C5516F" w:rsidRPr="00635C9B" w:rsidRDefault="00C5516F" w:rsidP="00E55805">
            <w:pPr>
              <w:pStyle w:val="TABLEBULLETNEW"/>
            </w:pPr>
            <w:r>
              <w:t>Requirements Traceability Matrix (DEL-19)</w:t>
            </w:r>
          </w:p>
          <w:p w14:paraId="30EE7435" w14:textId="056F60CB" w:rsidR="00C5516F" w:rsidRPr="00635C9B" w:rsidRDefault="00C5516F" w:rsidP="00E55805">
            <w:pPr>
              <w:pStyle w:val="TABLEBULLETNEW"/>
            </w:pPr>
            <w:r>
              <w:t>Requirements Specification Document (DEL-18)</w:t>
            </w:r>
          </w:p>
        </w:tc>
        <w:tc>
          <w:tcPr>
            <w:tcW w:w="1766" w:type="dxa"/>
          </w:tcPr>
          <w:p w14:paraId="46ECD624" w14:textId="135CE4F4" w:rsidR="00C5516F" w:rsidRPr="00635C9B" w:rsidRDefault="00C5516F" w:rsidP="00E55805">
            <w:pPr>
              <w:pStyle w:val="TABLEBULLETNEW"/>
            </w:pPr>
            <w:r>
              <w:t>Approved SIT and Accessibility test results</w:t>
            </w:r>
          </w:p>
          <w:p w14:paraId="06E00876" w14:textId="78416D94" w:rsidR="00C5516F" w:rsidRPr="00635C9B" w:rsidRDefault="00C5516F" w:rsidP="00E55805">
            <w:pPr>
              <w:pStyle w:val="TABLEBULLETNEW"/>
            </w:pPr>
            <w:r>
              <w:t>Walkthrough feedback if any</w:t>
            </w:r>
          </w:p>
        </w:tc>
      </w:tr>
      <w:tr w:rsidR="00C5516F" w:rsidRPr="00A21682" w14:paraId="3CD93520" w14:textId="77777777" w:rsidTr="008058BD">
        <w:trPr>
          <w:trHeight w:val="300"/>
        </w:trPr>
        <w:tc>
          <w:tcPr>
            <w:tcW w:w="615" w:type="dxa"/>
          </w:tcPr>
          <w:p w14:paraId="3A1C538C" w14:textId="1CE1116F" w:rsidR="00C5516F" w:rsidRPr="00A21682" w:rsidRDefault="00C5516F" w:rsidP="00047C4E">
            <w:pPr>
              <w:pStyle w:val="TABLETEXT1"/>
              <w:rPr>
                <w:lang w:val="en-US"/>
              </w:rPr>
            </w:pPr>
            <w:r>
              <w:rPr>
                <w:lang w:val="en-US"/>
              </w:rPr>
              <w:t>6.12a</w:t>
            </w:r>
          </w:p>
        </w:tc>
        <w:tc>
          <w:tcPr>
            <w:tcW w:w="1423" w:type="dxa"/>
          </w:tcPr>
          <w:p w14:paraId="6BBE036A" w14:textId="77777777" w:rsidR="00C5516F" w:rsidRPr="00A21682" w:rsidRDefault="00C5516F" w:rsidP="00047C4E">
            <w:pPr>
              <w:pStyle w:val="TABLETEXT1"/>
              <w:rPr>
                <w:lang w:val="en-US"/>
              </w:rPr>
            </w:pPr>
            <w:r>
              <w:rPr>
                <w:lang w:val="en-US"/>
              </w:rPr>
              <w:t>Feedback from walkthrough</w:t>
            </w:r>
          </w:p>
        </w:tc>
        <w:tc>
          <w:tcPr>
            <w:tcW w:w="1919" w:type="dxa"/>
          </w:tcPr>
          <w:p w14:paraId="7395E660" w14:textId="77777777" w:rsidR="00C5516F" w:rsidRPr="00E55805" w:rsidRDefault="00C5516F" w:rsidP="00E55805">
            <w:pPr>
              <w:pStyle w:val="TABLETEXT1"/>
              <w:rPr>
                <w:lang w:val="en-US"/>
              </w:rPr>
            </w:pPr>
            <w:r>
              <w:rPr>
                <w:lang w:val="en-US"/>
              </w:rPr>
              <w:t xml:space="preserve">After the walkthrough, determine if there is any feedback </w:t>
            </w:r>
          </w:p>
          <w:p w14:paraId="09C722EE" w14:textId="5B2EAF89" w:rsidR="00C5516F" w:rsidRPr="00635C9B" w:rsidRDefault="00C5516F" w:rsidP="00E55805">
            <w:pPr>
              <w:pStyle w:val="TABLEBULLETNEW"/>
            </w:pPr>
            <w:r>
              <w:t xml:space="preserve">If yes, proceed to </w:t>
            </w:r>
            <w:r>
              <w:rPr>
                <w:i/>
              </w:rPr>
              <w:t>Step #6.12b Defect found</w:t>
            </w:r>
          </w:p>
          <w:p w14:paraId="3A77132D" w14:textId="0DC390F9" w:rsidR="00C5516F" w:rsidRPr="00635C9B" w:rsidRDefault="00C5516F" w:rsidP="00E55805">
            <w:pPr>
              <w:pStyle w:val="TABLEBULLETNEW"/>
            </w:pPr>
            <w:r>
              <w:t xml:space="preserve">If no, process ends and proceeds to the Solution </w:t>
            </w:r>
            <w:r>
              <w:lastRenderedPageBreak/>
              <w:t>Exploration Phase</w:t>
            </w:r>
          </w:p>
        </w:tc>
        <w:tc>
          <w:tcPr>
            <w:tcW w:w="1686" w:type="dxa"/>
          </w:tcPr>
          <w:p w14:paraId="05278436" w14:textId="77777777" w:rsidR="00C5516F" w:rsidRPr="00635C9B" w:rsidRDefault="00C5516F" w:rsidP="00E55805">
            <w:pPr>
              <w:pStyle w:val="TABLEBULLETNEW"/>
            </w:pPr>
            <w:r>
              <w:lastRenderedPageBreak/>
              <w:t>Functional Stakeholders</w:t>
            </w:r>
          </w:p>
        </w:tc>
        <w:tc>
          <w:tcPr>
            <w:tcW w:w="1766" w:type="dxa"/>
          </w:tcPr>
          <w:p w14:paraId="5807BD72" w14:textId="77777777" w:rsidR="00C5516F" w:rsidRPr="00635C9B" w:rsidRDefault="00C5516F" w:rsidP="00E55805">
            <w:pPr>
              <w:pStyle w:val="TABLEBULLETNEW"/>
            </w:pPr>
            <w:r>
              <w:t>N/A</w:t>
            </w:r>
          </w:p>
        </w:tc>
        <w:tc>
          <w:tcPr>
            <w:tcW w:w="1766" w:type="dxa"/>
          </w:tcPr>
          <w:p w14:paraId="3BFB903D" w14:textId="77777777" w:rsidR="00C5516F" w:rsidRPr="00635C9B" w:rsidRDefault="00C5516F" w:rsidP="00E55805">
            <w:pPr>
              <w:pStyle w:val="TABLEBULLETNEW"/>
            </w:pPr>
            <w:r>
              <w:t>N/A</w:t>
            </w:r>
          </w:p>
        </w:tc>
      </w:tr>
      <w:tr w:rsidR="00C5516F" w:rsidRPr="00A21682" w14:paraId="3BD189D1" w14:textId="77777777" w:rsidTr="008058BD">
        <w:trPr>
          <w:trHeight w:val="300"/>
        </w:trPr>
        <w:tc>
          <w:tcPr>
            <w:tcW w:w="615" w:type="dxa"/>
          </w:tcPr>
          <w:p w14:paraId="73D7D29B" w14:textId="229D51C3" w:rsidR="00C5516F" w:rsidRPr="00A21682" w:rsidRDefault="00C5516F" w:rsidP="00047C4E">
            <w:pPr>
              <w:pStyle w:val="TABLETEXT1"/>
              <w:rPr>
                <w:lang w:val="en-US"/>
              </w:rPr>
            </w:pPr>
            <w:r>
              <w:rPr>
                <w:lang w:val="en-US"/>
              </w:rPr>
              <w:t>6.12b</w:t>
            </w:r>
          </w:p>
        </w:tc>
        <w:tc>
          <w:tcPr>
            <w:tcW w:w="1423" w:type="dxa"/>
          </w:tcPr>
          <w:p w14:paraId="39B7772D" w14:textId="77777777" w:rsidR="00C5516F" w:rsidRPr="00A21682" w:rsidRDefault="00C5516F" w:rsidP="00047C4E">
            <w:pPr>
              <w:pStyle w:val="TABLETEXT1"/>
              <w:rPr>
                <w:lang w:val="en-US"/>
              </w:rPr>
            </w:pPr>
            <w:r>
              <w:rPr>
                <w:lang w:val="en-US"/>
              </w:rPr>
              <w:t>Defect found</w:t>
            </w:r>
          </w:p>
        </w:tc>
        <w:tc>
          <w:tcPr>
            <w:tcW w:w="1919" w:type="dxa"/>
          </w:tcPr>
          <w:p w14:paraId="4E63BE5B" w14:textId="77777777" w:rsidR="00C5516F" w:rsidRPr="00E55805" w:rsidRDefault="00C5516F" w:rsidP="00E55805">
            <w:pPr>
              <w:pStyle w:val="TABLETEXT1"/>
              <w:rPr>
                <w:lang w:val="en-US"/>
              </w:rPr>
            </w:pPr>
            <w:r>
              <w:rPr>
                <w:lang w:val="en-US"/>
              </w:rPr>
              <w:t>Determine whether the feedback from walkthrough detected a defect</w:t>
            </w:r>
          </w:p>
          <w:p w14:paraId="5578CFF5" w14:textId="7441D3A3" w:rsidR="00C5516F" w:rsidRPr="00D7056A" w:rsidRDefault="00C5516F" w:rsidP="00E55805">
            <w:pPr>
              <w:pStyle w:val="TABLEBULLETNEW"/>
            </w:pPr>
            <w:r>
              <w:t xml:space="preserve">If yes, proceed to </w:t>
            </w:r>
            <w:r>
              <w:rPr>
                <w:i/>
              </w:rPr>
              <w:t>Step #6.9 Triage and assign defects for resolution</w:t>
            </w:r>
            <w:r>
              <w:t xml:space="preserve"> </w:t>
            </w:r>
          </w:p>
          <w:p w14:paraId="1522284F" w14:textId="323CE926" w:rsidR="00C5516F" w:rsidRPr="00635C9B" w:rsidRDefault="00C5516F" w:rsidP="00E55805">
            <w:pPr>
              <w:pStyle w:val="TABLEBULLETNEW"/>
            </w:pPr>
            <w:r>
              <w:t xml:space="preserve">If no, proceed to </w:t>
            </w:r>
            <w:r>
              <w:rPr>
                <w:i/>
              </w:rPr>
              <w:t>Step #6.13 Follow Integrated Change Control Process (ICCP) to open Change Request</w:t>
            </w:r>
          </w:p>
        </w:tc>
        <w:tc>
          <w:tcPr>
            <w:tcW w:w="1686" w:type="dxa"/>
          </w:tcPr>
          <w:p w14:paraId="5A711073" w14:textId="77777777" w:rsidR="00C5516F" w:rsidRPr="00635C9B" w:rsidRDefault="00C5516F" w:rsidP="00E55805">
            <w:pPr>
              <w:pStyle w:val="TABLEBULLETNEW"/>
            </w:pPr>
            <w:r>
              <w:t>Functional Stakeholders</w:t>
            </w:r>
          </w:p>
        </w:tc>
        <w:tc>
          <w:tcPr>
            <w:tcW w:w="1766" w:type="dxa"/>
          </w:tcPr>
          <w:p w14:paraId="3E90FCFF" w14:textId="77777777" w:rsidR="00C5516F" w:rsidRPr="00635C9B" w:rsidRDefault="00C5516F" w:rsidP="00E55805">
            <w:pPr>
              <w:pStyle w:val="TABLEBULLETNEW"/>
            </w:pPr>
            <w:r>
              <w:t>N/A</w:t>
            </w:r>
          </w:p>
        </w:tc>
        <w:tc>
          <w:tcPr>
            <w:tcW w:w="1766" w:type="dxa"/>
          </w:tcPr>
          <w:p w14:paraId="5B4687B8" w14:textId="77777777" w:rsidR="00C5516F" w:rsidRPr="00635C9B" w:rsidRDefault="00C5516F" w:rsidP="00E55805">
            <w:pPr>
              <w:pStyle w:val="TABLEBULLETNEW"/>
            </w:pPr>
            <w:r>
              <w:t>N/A</w:t>
            </w:r>
          </w:p>
        </w:tc>
      </w:tr>
      <w:tr w:rsidR="00C5516F" w:rsidRPr="00A21682" w14:paraId="4BBD52CE" w14:textId="77777777" w:rsidTr="008058BD">
        <w:trPr>
          <w:trHeight w:val="408"/>
        </w:trPr>
        <w:tc>
          <w:tcPr>
            <w:tcW w:w="615" w:type="dxa"/>
          </w:tcPr>
          <w:p w14:paraId="129F9D24" w14:textId="287FC0B8" w:rsidR="00C5516F" w:rsidRPr="00A21682" w:rsidRDefault="00C5516F" w:rsidP="00047C4E">
            <w:pPr>
              <w:pStyle w:val="TABLETEXT1"/>
              <w:rPr>
                <w:lang w:val="en-US"/>
              </w:rPr>
            </w:pPr>
            <w:r>
              <w:rPr>
                <w:lang w:val="en-US"/>
              </w:rPr>
              <w:t>6.13</w:t>
            </w:r>
          </w:p>
        </w:tc>
        <w:tc>
          <w:tcPr>
            <w:tcW w:w="1423" w:type="dxa"/>
          </w:tcPr>
          <w:p w14:paraId="105C2B4C" w14:textId="39EF46F7" w:rsidR="00C5516F" w:rsidRPr="00A21682" w:rsidRDefault="00C5516F" w:rsidP="00047C4E">
            <w:pPr>
              <w:pStyle w:val="TABLETEXT1"/>
              <w:rPr>
                <w:lang w:val="en-US"/>
              </w:rPr>
            </w:pPr>
            <w:r>
              <w:rPr>
                <w:lang w:val="en-US"/>
              </w:rPr>
              <w:t>Follow ICCP to open Change Request</w:t>
            </w:r>
          </w:p>
        </w:tc>
        <w:tc>
          <w:tcPr>
            <w:tcW w:w="1919" w:type="dxa"/>
          </w:tcPr>
          <w:p w14:paraId="3AF5C572" w14:textId="1794F4A1" w:rsidR="00C5516F" w:rsidRPr="00E55805" w:rsidRDefault="00C5516F" w:rsidP="00E55805">
            <w:pPr>
              <w:pStyle w:val="TABLETEXT1"/>
              <w:rPr>
                <w:lang w:val="en-US"/>
              </w:rPr>
            </w:pPr>
            <w:r>
              <w:rPr>
                <w:lang w:val="en-US"/>
              </w:rPr>
              <w:t>If the walkthrough feedback results in an application change unrelated to defects, a change request is opened and evaluated by the CRB</w:t>
            </w:r>
          </w:p>
        </w:tc>
        <w:tc>
          <w:tcPr>
            <w:tcW w:w="1686" w:type="dxa"/>
          </w:tcPr>
          <w:p w14:paraId="01A48128" w14:textId="77777777" w:rsidR="00C5516F" w:rsidRPr="00635C9B" w:rsidRDefault="00C5516F" w:rsidP="00E55805">
            <w:pPr>
              <w:pStyle w:val="TABLEBULLETNEW"/>
            </w:pPr>
            <w:r>
              <w:t>Functional Stakeholders</w:t>
            </w:r>
          </w:p>
        </w:tc>
        <w:tc>
          <w:tcPr>
            <w:tcW w:w="1766" w:type="dxa"/>
          </w:tcPr>
          <w:p w14:paraId="1EFB8DBC" w14:textId="77777777" w:rsidR="00C5516F" w:rsidRPr="00635C9B" w:rsidRDefault="00C5516F" w:rsidP="00E55805">
            <w:pPr>
              <w:pStyle w:val="TABLEBULLETNEW"/>
            </w:pPr>
            <w:r>
              <w:t>Walkthrough feedback</w:t>
            </w:r>
          </w:p>
        </w:tc>
        <w:tc>
          <w:tcPr>
            <w:tcW w:w="1766" w:type="dxa"/>
          </w:tcPr>
          <w:p w14:paraId="33793399" w14:textId="77777777" w:rsidR="00C5516F" w:rsidRPr="00635C9B" w:rsidRDefault="00C5516F" w:rsidP="00E55805">
            <w:pPr>
              <w:pStyle w:val="TABLEBULLETNEW"/>
            </w:pPr>
            <w:r>
              <w:t>Change Request</w:t>
            </w:r>
          </w:p>
        </w:tc>
      </w:tr>
    </w:tbl>
    <w:p w14:paraId="391E7F57" w14:textId="0C0FB857" w:rsidR="00C5516F" w:rsidRPr="00A21682" w:rsidRDefault="00C5516F" w:rsidP="005911DA">
      <w:pPr>
        <w:pStyle w:val="Caption"/>
        <w:rPr>
          <w:noProof w:val="0"/>
        </w:rPr>
      </w:pPr>
      <w:bookmarkStart w:id="491" w:name="_Toc150951881"/>
      <w:bookmarkStart w:id="492" w:name="_Toc19287510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23</w:t>
      </w:r>
      <w:r>
        <w:rPr>
          <w:noProof w:val="0"/>
        </w:rPr>
        <w:fldChar w:fldCharType="end"/>
      </w:r>
      <w:r>
        <w:rPr>
          <w:noProof w:val="0"/>
        </w:rPr>
        <w:t>: SIT Phase Process Flow Narrative</w:t>
      </w:r>
      <w:bookmarkEnd w:id="491"/>
      <w:bookmarkEnd w:id="492"/>
    </w:p>
    <w:p w14:paraId="6A19E781" w14:textId="77777777" w:rsidR="00C5516F" w:rsidRPr="00A21682" w:rsidRDefault="00C5516F">
      <w:pPr>
        <w:pStyle w:val="Heading3"/>
        <w:rPr>
          <w:u w:color="000000"/>
        </w:rPr>
      </w:pPr>
      <w:bookmarkStart w:id="493" w:name="_Toc148102351"/>
      <w:bookmarkStart w:id="494" w:name="_Toc152605835"/>
      <w:bookmarkStart w:id="495" w:name="_Toc177118977"/>
      <w:bookmarkStart w:id="496" w:name="_Toc185952532"/>
      <w:bookmarkStart w:id="497" w:name="_Toc192874706"/>
      <w:r>
        <w:rPr>
          <w:u w:color="000000"/>
        </w:rPr>
        <w:t>Roles and Responsibilities</w:t>
      </w:r>
      <w:bookmarkEnd w:id="493"/>
      <w:bookmarkEnd w:id="494"/>
      <w:bookmarkEnd w:id="495"/>
      <w:bookmarkEnd w:id="496"/>
      <w:bookmarkEnd w:id="497"/>
    </w:p>
    <w:p w14:paraId="007AB12C" w14:textId="77777777" w:rsidR="009C4682" w:rsidRPr="00A21682" w:rsidRDefault="009C4682" w:rsidP="009C4682">
      <w:pPr>
        <w:pStyle w:val="NormalNEW"/>
        <w:rPr>
          <w:u w:color="000000"/>
          <w:lang w:val="en-US"/>
        </w:rPr>
      </w:pPr>
      <w:bookmarkStart w:id="498" w:name="_Toc147825298"/>
      <w:bookmarkStart w:id="499" w:name="_Toc147825463"/>
      <w:bookmarkStart w:id="500" w:name="_Toc148102352"/>
      <w:bookmarkStart w:id="501" w:name="_Toc148098454"/>
      <w:bookmarkStart w:id="502" w:name="_Toc149051826"/>
      <w:bookmarkStart w:id="503" w:name="_Toc152605647"/>
      <w:bookmarkStart w:id="504" w:name="_Toc152605836"/>
      <w:bookmarkStart w:id="505" w:name="_Toc148102353"/>
      <w:bookmarkStart w:id="506" w:name="_Toc152605837"/>
      <w:bookmarkEnd w:id="498"/>
      <w:bookmarkEnd w:id="499"/>
      <w:bookmarkEnd w:id="500"/>
      <w:bookmarkEnd w:id="501"/>
      <w:bookmarkEnd w:id="502"/>
      <w:bookmarkEnd w:id="503"/>
      <w:bookmarkEnd w:id="504"/>
      <w:r>
        <w:rPr>
          <w:u w:color="000000"/>
          <w:lang w:val="en-US"/>
        </w:rPr>
        <w:t xml:space="preserve">The SDLC RACI Matrix and roles and responsibilities can be found in Appendix C-1. </w:t>
      </w:r>
    </w:p>
    <w:p w14:paraId="08F5F598" w14:textId="77777777" w:rsidR="00C5516F" w:rsidRPr="00A21682" w:rsidRDefault="00C5516F">
      <w:pPr>
        <w:pStyle w:val="Heading3"/>
        <w:rPr>
          <w:u w:color="000000"/>
        </w:rPr>
      </w:pPr>
      <w:bookmarkStart w:id="507" w:name="_Toc177118978"/>
      <w:bookmarkStart w:id="508" w:name="_Toc185952533"/>
      <w:bookmarkStart w:id="509" w:name="_Toc192874707"/>
      <w:r>
        <w:rPr>
          <w:u w:color="000000"/>
        </w:rPr>
        <w:t>Phase Exit Criteria</w:t>
      </w:r>
      <w:bookmarkEnd w:id="505"/>
      <w:bookmarkEnd w:id="506"/>
      <w:bookmarkEnd w:id="507"/>
      <w:bookmarkEnd w:id="508"/>
      <w:bookmarkEnd w:id="509"/>
      <w:r>
        <w:rPr>
          <w:u w:color="000000"/>
        </w:rPr>
        <w:t xml:space="preserve"> </w:t>
      </w:r>
    </w:p>
    <w:p w14:paraId="53AC2D72" w14:textId="77777777" w:rsidR="00601951" w:rsidRPr="00A21682" w:rsidRDefault="00601951" w:rsidP="00601951">
      <w:pPr>
        <w:pStyle w:val="NormalNEW"/>
        <w:rPr>
          <w:lang w:val="en-US"/>
        </w:rPr>
      </w:pPr>
      <w:r>
        <w:rPr>
          <w:lang w:val="en-US"/>
        </w:rPr>
        <w:t>Key stakeholders from ███████ and DOH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63474F40" w14:textId="77777777" w:rsidTr="00C968EF">
        <w:trPr>
          <w:trHeight w:val="300"/>
          <w:tblHeader/>
        </w:trPr>
        <w:tc>
          <w:tcPr>
            <w:tcW w:w="481" w:type="dxa"/>
            <w:tcBorders>
              <w:right w:val="single" w:sz="2" w:space="0" w:color="FFFFFF" w:themeColor="background1"/>
            </w:tcBorders>
            <w:shd w:val="clear" w:color="auto" w:fill="000000"/>
            <w:hideMark/>
          </w:tcPr>
          <w:p w14:paraId="1A2C7C09" w14:textId="77777777" w:rsidR="00C5516F" w:rsidRPr="00A21682" w:rsidRDefault="00C5516F" w:rsidP="00047C4E">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379F257C" w14:textId="77777777" w:rsidR="00C5516F" w:rsidRPr="00A21682" w:rsidRDefault="00C5516F" w:rsidP="00D00152">
            <w:pPr>
              <w:pStyle w:val="TABLEHEADINGNEW"/>
            </w:pPr>
            <w:r>
              <w:t>Exit Criteria</w:t>
            </w:r>
          </w:p>
        </w:tc>
        <w:tc>
          <w:tcPr>
            <w:tcW w:w="4300" w:type="dxa"/>
            <w:tcBorders>
              <w:left w:val="single" w:sz="2" w:space="0" w:color="FFFFFF" w:themeColor="background1"/>
            </w:tcBorders>
            <w:shd w:val="clear" w:color="auto" w:fill="000000"/>
          </w:tcPr>
          <w:p w14:paraId="6F6DD312" w14:textId="77777777" w:rsidR="00C5516F" w:rsidRPr="00A21682" w:rsidRDefault="00C5516F" w:rsidP="00D00152">
            <w:pPr>
              <w:pStyle w:val="TABLEHEADINGNEW"/>
            </w:pPr>
            <w:r>
              <w:t>Related Document(s)/Artifact(s)</w:t>
            </w:r>
          </w:p>
        </w:tc>
      </w:tr>
      <w:tr w:rsidR="00C5516F" w:rsidRPr="00A21682" w14:paraId="5829D25F" w14:textId="77777777" w:rsidTr="00047C4E">
        <w:trPr>
          <w:trHeight w:val="300"/>
        </w:trPr>
        <w:tc>
          <w:tcPr>
            <w:tcW w:w="481" w:type="dxa"/>
            <w:hideMark/>
          </w:tcPr>
          <w:p w14:paraId="41B831E0" w14:textId="27AFF29F" w:rsidR="00C5516F" w:rsidRPr="00A21682" w:rsidRDefault="00C5516F" w:rsidP="00047C4E">
            <w:pPr>
              <w:pStyle w:val="TABLETEXT1"/>
              <w:rPr>
                <w:lang w:val="en-US"/>
              </w:rPr>
            </w:pPr>
            <w:r>
              <w:rPr>
                <w:lang w:val="en-US"/>
              </w:rPr>
              <w:t>1</w:t>
            </w:r>
          </w:p>
        </w:tc>
        <w:tc>
          <w:tcPr>
            <w:tcW w:w="4563" w:type="dxa"/>
          </w:tcPr>
          <w:p w14:paraId="525E403B" w14:textId="18B11D3C" w:rsidR="00C5516F" w:rsidRPr="00A21682" w:rsidRDefault="00C5516F" w:rsidP="00D00152">
            <w:pPr>
              <w:pStyle w:val="TABLETEXT1"/>
              <w:rPr>
                <w:lang w:val="en-US"/>
              </w:rPr>
            </w:pPr>
            <w:r>
              <w:rPr>
                <w:lang w:val="en-US"/>
              </w:rPr>
              <w:t>SIT test results for all iterations/bundles of a Wave meet the thresholds for a ‘pass’ result as defined in the Test Management Plan (DEL-09)</w:t>
            </w:r>
          </w:p>
        </w:tc>
        <w:tc>
          <w:tcPr>
            <w:tcW w:w="4300" w:type="dxa"/>
          </w:tcPr>
          <w:p w14:paraId="04D2F9D2" w14:textId="583E29EF" w:rsidR="00C5516F" w:rsidRPr="00635C9B" w:rsidRDefault="00C5516F" w:rsidP="00D77B69">
            <w:pPr>
              <w:pStyle w:val="TABLEBULLETNEW"/>
            </w:pPr>
            <w:r>
              <w:t>Test Management Plan (DEL-09)</w:t>
            </w:r>
          </w:p>
          <w:p w14:paraId="2CC68D5C" w14:textId="010B6CD1" w:rsidR="00C5516F" w:rsidRPr="00635C9B" w:rsidRDefault="00C5516F" w:rsidP="00D77B69">
            <w:pPr>
              <w:pStyle w:val="TABLEBULLETNEW"/>
            </w:pPr>
            <w:r>
              <w:t>SIT Test Report</w:t>
            </w:r>
          </w:p>
        </w:tc>
      </w:tr>
    </w:tbl>
    <w:p w14:paraId="32BADB0B" w14:textId="5A50A548" w:rsidR="00C5516F" w:rsidRPr="00A21682" w:rsidRDefault="00C5516F" w:rsidP="005911DA">
      <w:pPr>
        <w:pStyle w:val="Caption"/>
        <w:rPr>
          <w:noProof w:val="0"/>
        </w:rPr>
      </w:pPr>
      <w:bookmarkStart w:id="510" w:name="_Toc150951882"/>
      <w:bookmarkStart w:id="511" w:name="_Toc19287510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24</w:t>
      </w:r>
      <w:r>
        <w:rPr>
          <w:noProof w:val="0"/>
        </w:rPr>
        <w:fldChar w:fldCharType="end"/>
      </w:r>
      <w:r>
        <w:rPr>
          <w:noProof w:val="0"/>
        </w:rPr>
        <w:t>: SIT Phase Exit Criteria</w:t>
      </w:r>
      <w:bookmarkEnd w:id="510"/>
      <w:bookmarkEnd w:id="511"/>
    </w:p>
    <w:p w14:paraId="30269686" w14:textId="4AF6020B" w:rsidR="00C5516F" w:rsidRPr="00A21682" w:rsidRDefault="00C5516F">
      <w:pPr>
        <w:pStyle w:val="Heading3"/>
        <w:rPr>
          <w:u w:color="000000"/>
        </w:rPr>
      </w:pPr>
      <w:bookmarkStart w:id="512" w:name="_Toc148102354"/>
      <w:bookmarkStart w:id="513" w:name="_Toc152605838"/>
      <w:bookmarkStart w:id="514" w:name="_Toc177118979"/>
      <w:bookmarkStart w:id="515" w:name="_Toc185952534"/>
      <w:bookmarkStart w:id="516" w:name="_Toc192874708"/>
      <w:r>
        <w:rPr>
          <w:u w:color="000000"/>
        </w:rPr>
        <w:lastRenderedPageBreak/>
        <w:t xml:space="preserve">Supporting </w:t>
      </w:r>
      <w:r>
        <w:t>Application Lifecycle Management (</w:t>
      </w:r>
      <w:r>
        <w:rPr>
          <w:u w:color="000000"/>
        </w:rPr>
        <w:t>ALM) Tools</w:t>
      </w:r>
      <w:bookmarkEnd w:id="512"/>
      <w:bookmarkEnd w:id="513"/>
      <w:bookmarkEnd w:id="514"/>
      <w:bookmarkEnd w:id="515"/>
      <w:bookmarkEnd w:id="516"/>
    </w:p>
    <w:p w14:paraId="53694D0C" w14:textId="7A651277" w:rsidR="00C5516F" w:rsidRPr="00A21682" w:rsidRDefault="00C5516F" w:rsidP="00F70B45">
      <w:pPr>
        <w:pStyle w:val="NormalNEW"/>
        <w:rPr>
          <w:u w:color="000000"/>
          <w:lang w:val="en-US"/>
        </w:rPr>
      </w:pPr>
      <w:r>
        <w:rPr>
          <w:u w:color="000000"/>
          <w:lang w:val="en-US"/>
        </w:rPr>
        <w:t>In the SIT phase, the ALM tools will help facilitate the integration, and testing of different software components and systems by providing version control for integration code, automating integration testing, and tracking and managing integration-related issues. These tools also support collaboration among integration teams, promote traceability between integration activities and requirements, and provide reporting and monitoring capabilities to track the progress and quality of system integration efforts.</w:t>
      </w:r>
    </w:p>
    <w:p w14:paraId="09BDB24F" w14:textId="77777777" w:rsidR="00C5516F" w:rsidRPr="00A21682" w:rsidRDefault="00C5516F" w:rsidP="00F70B45">
      <w:pPr>
        <w:pStyle w:val="NormalNEW"/>
        <w:rPr>
          <w:u w:color="000000"/>
          <w:lang w:val="en-US"/>
        </w:rPr>
      </w:pPr>
      <w:r>
        <w:rPr>
          <w:u w:color="000000"/>
          <w:lang w:val="en-US"/>
        </w:rPr>
        <w:t>Below are the ALM tools and workflows that pertain to the SIT phase:</w:t>
      </w:r>
    </w:p>
    <w:p w14:paraId="4D6E3838" w14:textId="38C2651C" w:rsidR="00C5516F" w:rsidRPr="00A21682" w:rsidRDefault="00C5516F" w:rsidP="0031550A">
      <w:pPr>
        <w:pStyle w:val="BulletNEW"/>
        <w:rPr>
          <w:u w:color="000000"/>
        </w:rPr>
      </w:pPr>
      <w:r>
        <w:rPr>
          <w:u w:color="000000"/>
        </w:rPr>
        <w:t>The artifact repository workflow (refer to Section 2.24 artifact repository)</w:t>
      </w:r>
    </w:p>
    <w:p w14:paraId="186FAD0A" w14:textId="788D5D5C" w:rsidR="000F2389" w:rsidRPr="00A21682" w:rsidRDefault="000F2389" w:rsidP="0031550A">
      <w:pPr>
        <w:pStyle w:val="BulletNEW"/>
        <w:rPr>
          <w:u w:color="000000"/>
        </w:rPr>
      </w:pPr>
      <w:r>
        <w:rPr>
          <w:u w:color="000000"/>
        </w:rPr>
        <w:t>The build server workflow (refer to Section 2.23 the build server)</w:t>
      </w:r>
    </w:p>
    <w:p w14:paraId="0F4E134E" w14:textId="5E901E83" w:rsidR="000F2389" w:rsidRPr="00A21682" w:rsidRDefault="000F2389" w:rsidP="0031550A">
      <w:pPr>
        <w:pStyle w:val="BulletNEW"/>
        <w:rPr>
          <w:u w:color="000000"/>
        </w:rPr>
      </w:pPr>
      <w:r>
        <w:rPr>
          <w:u w:color="000000"/>
        </w:rPr>
        <w:t>The source-code repository workflow (refer to Section 2.21 the source-code repository)</w:t>
      </w:r>
    </w:p>
    <w:p w14:paraId="4147536E" w14:textId="28036244" w:rsidR="000F2389" w:rsidRPr="00A21682" w:rsidRDefault="00CB5BDA" w:rsidP="0031550A">
      <w:pPr>
        <w:pStyle w:val="BulletNEW"/>
        <w:rPr>
          <w:u w:color="000000"/>
        </w:rPr>
      </w:pPr>
      <w:r>
        <w:rPr>
          <w:u w:color="000000"/>
        </w:rPr>
        <w:t>The requirements management tool Requirements traceability workflow (refer to Section 2.34 the requirements management tool)</w:t>
      </w:r>
    </w:p>
    <w:p w14:paraId="6858705C" w14:textId="148620AA" w:rsidR="000F2389" w:rsidRPr="00A21682" w:rsidRDefault="00264277" w:rsidP="0031550A">
      <w:pPr>
        <w:pStyle w:val="BulletNEW"/>
        <w:rPr>
          <w:u w:color="000000"/>
        </w:rPr>
      </w:pPr>
      <w:r>
        <w:rPr>
          <w:u w:color="000000"/>
        </w:rPr>
        <w:t>Incident, Change Request, and Service Request workflows in the ALM tool (refer to Section 2.20 the ALM tool)</w:t>
      </w:r>
    </w:p>
    <w:p w14:paraId="23DB6B9D" w14:textId="79789082" w:rsidR="000F2389" w:rsidRPr="00A21682" w:rsidRDefault="000F2389" w:rsidP="0031550A">
      <w:pPr>
        <w:pStyle w:val="BulletNEW"/>
        <w:rPr>
          <w:u w:color="000000"/>
        </w:rPr>
      </w:pPr>
      <w:r>
        <w:rPr>
          <w:u w:color="000000"/>
        </w:rPr>
        <w:t>JAWS (refer to Section 2.27 JAWS)</w:t>
      </w:r>
    </w:p>
    <w:p w14:paraId="33BC38FB" w14:textId="679E57A0" w:rsidR="000F2389" w:rsidRPr="00A21682" w:rsidRDefault="000F2389"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7A3CC5FA" w14:textId="6A18DBC5" w:rsidR="00AD5CFF" w:rsidRPr="00A21682" w:rsidRDefault="000F2389" w:rsidP="0031550A">
      <w:pPr>
        <w:pStyle w:val="BulletNEW"/>
        <w:rPr>
          <w:u w:color="000000"/>
        </w:rPr>
      </w:pPr>
      <w:r>
        <w:rPr>
          <w:u w:color="000000"/>
        </w:rPr>
        <w:t>WAVE (refer to Section 2.26 WAVE)</w:t>
      </w:r>
    </w:p>
    <w:p w14:paraId="7731E9D0" w14:textId="4B25E386" w:rsidR="000F2389" w:rsidRPr="00A21682" w:rsidRDefault="000F2389" w:rsidP="0031550A">
      <w:pPr>
        <w:pStyle w:val="BulletNEW"/>
        <w:rPr>
          <w:u w:color="000000"/>
        </w:rPr>
      </w:pPr>
      <w:r>
        <w:rPr>
          <w:u w:color="000000"/>
        </w:rPr>
        <w:t>Test Case and Test Run workflows in the test management tool (refer to Section 2.28 the test management tool)</w:t>
      </w:r>
    </w:p>
    <w:p w14:paraId="65D760A2" w14:textId="16DF0AE0" w:rsidR="003F2924" w:rsidRPr="00A21682" w:rsidRDefault="003F2924" w:rsidP="003F2924">
      <w:pPr>
        <w:pStyle w:val="Heading2"/>
        <w:rPr>
          <w:u w:color="000000"/>
        </w:rPr>
      </w:pPr>
      <w:bookmarkStart w:id="517" w:name="_Toc177118980"/>
      <w:bookmarkStart w:id="518" w:name="_Toc185952535"/>
      <w:bookmarkStart w:id="519" w:name="_Toc192874709"/>
      <w:r>
        <w:rPr>
          <w:u w:color="000000"/>
        </w:rPr>
        <w:t>Solution Exploration Phase</w:t>
      </w:r>
      <w:bookmarkEnd w:id="517"/>
      <w:bookmarkEnd w:id="518"/>
      <w:bookmarkEnd w:id="519"/>
    </w:p>
    <w:p w14:paraId="12A324CF" w14:textId="662E92FB" w:rsidR="003F2924" w:rsidRPr="00A21682" w:rsidRDefault="003F2924" w:rsidP="003F2924">
      <w:pPr>
        <w:pStyle w:val="NormalNEW"/>
        <w:rPr>
          <w:u w:color="000000"/>
          <w:lang w:val="en-US"/>
        </w:rPr>
      </w:pPr>
      <w:r>
        <w:rPr>
          <w:u w:color="000000"/>
          <w:lang w:val="en-US"/>
        </w:rPr>
        <w:t xml:space="preserve">The Solution Exploration phase serves to validate that the solution aligns to design inputs and decisions resulting from Integrated JAD sessions. This phase is the final phase within an iteration/bundle. </w:t>
      </w:r>
    </w:p>
    <w:p w14:paraId="17C7D9A4" w14:textId="77777777" w:rsidR="003F2924" w:rsidRPr="00A21682" w:rsidRDefault="003F2924" w:rsidP="003F2924">
      <w:pPr>
        <w:pStyle w:val="Heading3"/>
        <w:rPr>
          <w:bCs/>
          <w:u w:color="000000"/>
        </w:rPr>
      </w:pPr>
      <w:bookmarkStart w:id="520" w:name="_Toc177118981"/>
      <w:bookmarkStart w:id="521" w:name="_Toc185952536"/>
      <w:bookmarkStart w:id="522" w:name="_Toc192874710"/>
      <w:r>
        <w:rPr>
          <w:u w:color="000000"/>
        </w:rPr>
        <w:t>Phase Entry Criteria</w:t>
      </w:r>
      <w:bookmarkEnd w:id="520"/>
      <w:bookmarkEnd w:id="521"/>
      <w:bookmarkEnd w:id="522"/>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3F2924" w:rsidRPr="00A21682" w14:paraId="0C9D8DC7" w14:textId="77777777">
        <w:trPr>
          <w:trHeight w:val="300"/>
          <w:tblHeader/>
        </w:trPr>
        <w:tc>
          <w:tcPr>
            <w:tcW w:w="481" w:type="dxa"/>
            <w:tcBorders>
              <w:right w:val="single" w:sz="2" w:space="0" w:color="FFFFFF" w:themeColor="background1"/>
            </w:tcBorders>
            <w:shd w:val="clear" w:color="auto" w:fill="000000"/>
            <w:hideMark/>
          </w:tcPr>
          <w:p w14:paraId="68F52425" w14:textId="77777777" w:rsidR="003F2924" w:rsidRPr="00A21682" w:rsidRDefault="003F2924">
            <w:pPr>
              <w:pStyle w:val="TABLEHEADINGNEW"/>
              <w:rPr>
                <w:rFonts w:ascii="Segoe UI" w:hAnsi="Segoe UI" w:cs="Segoe UI"/>
                <w:color w:val="000000"/>
                <w:szCs w:val="18"/>
                <w:u w:color="000000"/>
              </w:rPr>
            </w:pPr>
            <w:r>
              <w:rPr>
                <w:u w:color="000000"/>
              </w:rPr>
              <w:t>#</w:t>
            </w:r>
          </w:p>
        </w:tc>
        <w:tc>
          <w:tcPr>
            <w:tcW w:w="4563" w:type="dxa"/>
            <w:tcBorders>
              <w:left w:val="single" w:sz="2" w:space="0" w:color="FFFFFF" w:themeColor="background1"/>
              <w:right w:val="single" w:sz="2" w:space="0" w:color="FFFFFF" w:themeColor="background1"/>
            </w:tcBorders>
            <w:shd w:val="clear" w:color="auto" w:fill="000000"/>
            <w:hideMark/>
          </w:tcPr>
          <w:p w14:paraId="1F7888CB" w14:textId="77777777" w:rsidR="003F2924" w:rsidRPr="00A21682" w:rsidRDefault="003F2924">
            <w:pPr>
              <w:pStyle w:val="TABLEHEADINGNEW"/>
              <w:rPr>
                <w:rFonts w:ascii="Segoe UI" w:hAnsi="Segoe UI" w:cs="Segoe UI"/>
                <w:color w:val="000000"/>
                <w:szCs w:val="18"/>
                <w:u w:color="000000"/>
              </w:rPr>
            </w:pPr>
            <w:r>
              <w:rPr>
                <w:u w:color="000000"/>
              </w:rPr>
              <w:t>Entry Criteria</w:t>
            </w:r>
          </w:p>
        </w:tc>
        <w:tc>
          <w:tcPr>
            <w:tcW w:w="4300" w:type="dxa"/>
            <w:tcBorders>
              <w:left w:val="single" w:sz="2" w:space="0" w:color="FFFFFF" w:themeColor="background1"/>
            </w:tcBorders>
            <w:shd w:val="clear" w:color="auto" w:fill="000000"/>
          </w:tcPr>
          <w:p w14:paraId="6E24960E" w14:textId="77777777" w:rsidR="003F2924" w:rsidRPr="00A21682" w:rsidRDefault="003F2924">
            <w:pPr>
              <w:pStyle w:val="TABLEHEADINGNEW"/>
              <w:rPr>
                <w:u w:color="000000"/>
              </w:rPr>
            </w:pPr>
            <w:r>
              <w:rPr>
                <w:u w:color="000000"/>
              </w:rPr>
              <w:t>Related Document(s)/Artifact(s)</w:t>
            </w:r>
          </w:p>
        </w:tc>
      </w:tr>
      <w:tr w:rsidR="003F2924" w:rsidRPr="00A21682" w14:paraId="0950C041" w14:textId="77777777">
        <w:trPr>
          <w:trHeight w:val="300"/>
        </w:trPr>
        <w:tc>
          <w:tcPr>
            <w:tcW w:w="481" w:type="dxa"/>
            <w:hideMark/>
          </w:tcPr>
          <w:p w14:paraId="1354B3FB" w14:textId="77777777" w:rsidR="003F2924" w:rsidRPr="00A21682" w:rsidRDefault="003F2924">
            <w:pPr>
              <w:pStyle w:val="TABLETEXT1"/>
              <w:rPr>
                <w:rFonts w:ascii="Segoe UI" w:hAnsi="Segoe UI" w:cs="Segoe UI"/>
                <w:szCs w:val="18"/>
                <w:u w:color="000000"/>
                <w:lang w:val="en-US"/>
              </w:rPr>
            </w:pPr>
            <w:r>
              <w:rPr>
                <w:u w:color="000000"/>
                <w:lang w:val="en-US"/>
              </w:rPr>
              <w:t>1</w:t>
            </w:r>
          </w:p>
        </w:tc>
        <w:tc>
          <w:tcPr>
            <w:tcW w:w="4563" w:type="dxa"/>
          </w:tcPr>
          <w:p w14:paraId="33896FDD" w14:textId="07742315" w:rsidR="003F2924" w:rsidRPr="00A21682" w:rsidRDefault="00565B4F">
            <w:pPr>
              <w:pStyle w:val="TABLETEXT1"/>
              <w:rPr>
                <w:u w:color="000000"/>
                <w:lang w:val="en-US"/>
              </w:rPr>
            </w:pPr>
            <w:r>
              <w:rPr>
                <w:lang w:val="en-US"/>
              </w:rPr>
              <w:t>SIT test results for all iterations/bundles of a Wave meeting the thresholds for a ‘pass’ result as defined in the Test Management Plan (DEL-09)</w:t>
            </w:r>
          </w:p>
        </w:tc>
        <w:tc>
          <w:tcPr>
            <w:tcW w:w="4300" w:type="dxa"/>
          </w:tcPr>
          <w:p w14:paraId="576A6294" w14:textId="7CC2FC5C" w:rsidR="00565B4F" w:rsidRPr="00635C9B" w:rsidRDefault="00565B4F" w:rsidP="00D77B69">
            <w:pPr>
              <w:pStyle w:val="TABLEBULLETNEW"/>
            </w:pPr>
            <w:r>
              <w:t>Test Management Plan (DEL-09)</w:t>
            </w:r>
          </w:p>
          <w:p w14:paraId="3A95364B" w14:textId="2754B2FD" w:rsidR="003F2924" w:rsidRPr="004B2289" w:rsidRDefault="00565B4F" w:rsidP="00D77B69">
            <w:pPr>
              <w:pStyle w:val="TABLEBULLETNEW"/>
            </w:pPr>
            <w:r>
              <w:t>SIT Test Report</w:t>
            </w:r>
          </w:p>
        </w:tc>
      </w:tr>
      <w:tr w:rsidR="003F2924" w:rsidRPr="00A21682" w14:paraId="4D771974" w14:textId="77777777">
        <w:trPr>
          <w:trHeight w:val="300"/>
        </w:trPr>
        <w:tc>
          <w:tcPr>
            <w:tcW w:w="481" w:type="dxa"/>
          </w:tcPr>
          <w:p w14:paraId="79EC2B64" w14:textId="77777777" w:rsidR="003F2924" w:rsidRPr="00A21682" w:rsidRDefault="003F2924">
            <w:pPr>
              <w:pStyle w:val="TABLETEXT1"/>
              <w:rPr>
                <w:u w:color="000000"/>
                <w:lang w:val="en-US"/>
              </w:rPr>
            </w:pPr>
            <w:r>
              <w:rPr>
                <w:u w:color="000000"/>
                <w:lang w:val="en-US"/>
              </w:rPr>
              <w:t>2</w:t>
            </w:r>
          </w:p>
        </w:tc>
        <w:tc>
          <w:tcPr>
            <w:tcW w:w="4563" w:type="dxa"/>
          </w:tcPr>
          <w:p w14:paraId="74499ADA" w14:textId="59CE5DF4" w:rsidR="003F2924" w:rsidRPr="00A21682" w:rsidRDefault="00887C3F">
            <w:pPr>
              <w:pStyle w:val="TABLETEXT1"/>
              <w:rPr>
                <w:u w:color="000000"/>
                <w:lang w:val="en-US"/>
              </w:rPr>
            </w:pPr>
            <w:r>
              <w:rPr>
                <w:rFonts w:eastAsia="Times"/>
                <w:color w:val="000000" w:themeColor="text1"/>
                <w:lang w:val="en-US"/>
              </w:rPr>
              <w:t>UAT environments are ready for use and each environment has passed an initial set of predefined test cases</w:t>
            </w:r>
          </w:p>
        </w:tc>
        <w:tc>
          <w:tcPr>
            <w:tcW w:w="4300" w:type="dxa"/>
          </w:tcPr>
          <w:p w14:paraId="46C6A364" w14:textId="0374BA7B" w:rsidR="003F2924" w:rsidRPr="004B2289" w:rsidRDefault="008D0218" w:rsidP="00D77B69">
            <w:pPr>
              <w:pStyle w:val="TABLEBULLETNEW"/>
            </w:pPr>
            <w:r>
              <w:t>N/A</w:t>
            </w:r>
          </w:p>
        </w:tc>
      </w:tr>
    </w:tbl>
    <w:p w14:paraId="6D186715" w14:textId="78CD1577" w:rsidR="003F2924" w:rsidRPr="00A21682" w:rsidRDefault="003F2924" w:rsidP="005911DA">
      <w:pPr>
        <w:pStyle w:val="Caption"/>
        <w:rPr>
          <w:rFonts w:cs="Arial"/>
          <w:noProof w:val="0"/>
        </w:rPr>
      </w:pPr>
      <w:bookmarkStart w:id="523" w:name="_Toc19287511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25</w:t>
      </w:r>
      <w:r>
        <w:rPr>
          <w:noProof w:val="0"/>
        </w:rPr>
        <w:fldChar w:fldCharType="end"/>
      </w:r>
      <w:r>
        <w:rPr>
          <w:noProof w:val="0"/>
        </w:rPr>
        <w:t>:</w:t>
      </w:r>
      <w:r>
        <w:rPr>
          <w:rFonts w:cs="Arial"/>
          <w:noProof w:val="0"/>
        </w:rPr>
        <w:t xml:space="preserve"> Solution Exploration Phase Entry Criteria</w:t>
      </w:r>
      <w:bookmarkEnd w:id="523"/>
    </w:p>
    <w:p w14:paraId="5C3778B4" w14:textId="77777777" w:rsidR="003F2924" w:rsidRPr="00A21682" w:rsidRDefault="003F2924" w:rsidP="003F2924">
      <w:pPr>
        <w:pStyle w:val="Heading3"/>
        <w:rPr>
          <w:bCs/>
          <w:u w:color="000000"/>
        </w:rPr>
      </w:pPr>
      <w:bookmarkStart w:id="524" w:name="_Toc177118982"/>
      <w:bookmarkStart w:id="525" w:name="_Toc185952537"/>
      <w:bookmarkStart w:id="526" w:name="_Toc192874711"/>
      <w:r>
        <w:rPr>
          <w:u w:color="000000"/>
        </w:rPr>
        <w:lastRenderedPageBreak/>
        <w:t>Process Flow Diagram</w:t>
      </w:r>
      <w:bookmarkEnd w:id="524"/>
      <w:bookmarkEnd w:id="525"/>
      <w:bookmarkEnd w:id="526"/>
    </w:p>
    <w:p w14:paraId="571E76C4" w14:textId="5FB31DD0" w:rsidR="003F2924" w:rsidRPr="00A21682" w:rsidRDefault="003F2924" w:rsidP="003F2924">
      <w:pPr>
        <w:pStyle w:val="NormalNEW"/>
        <w:keepNext/>
        <w:rPr>
          <w:u w:color="000000"/>
          <w:lang w:val="en-US"/>
        </w:rPr>
      </w:pPr>
      <w:r>
        <w:rPr>
          <w:u w:color="000000"/>
          <w:lang w:val="en-US"/>
        </w:rPr>
        <w:t>The following process flow depicts the Solution Exploration phase of the MECM SDLC.</w:t>
      </w:r>
    </w:p>
    <w:p w14:paraId="21D20EEF" w14:textId="03437E2A" w:rsidR="0039763E" w:rsidRPr="00A21682" w:rsidRDefault="00A40AA5" w:rsidP="003F2924">
      <w:pPr>
        <w:pStyle w:val="NormalNEW"/>
        <w:keepNext/>
        <w:rPr>
          <w:u w:color="000000"/>
          <w:lang w:val="en-US"/>
        </w:rPr>
      </w:pPr>
      <w:r>
        <w:rPr>
          <w:lang w:val="en-US"/>
        </w:rPr>
        <w:pict w14:anchorId="18826DC8">
          <v:shape id="_x0000_i1033" type="#_x0000_t75" style="width:466.8pt;height:200.4pt">
            <v:imagedata r:id="rId34" o:title=""/>
          </v:shape>
        </w:pict>
      </w:r>
    </w:p>
    <w:p w14:paraId="3042005D" w14:textId="188D4D32" w:rsidR="003F2924" w:rsidRPr="00A21682" w:rsidRDefault="003F2924" w:rsidP="005911DA">
      <w:pPr>
        <w:pStyle w:val="Caption"/>
        <w:rPr>
          <w:noProof w:val="0"/>
        </w:rPr>
      </w:pPr>
      <w:bookmarkStart w:id="527" w:name="_Toc178152031"/>
      <w:bookmarkStart w:id="528" w:name="_Toc192875046"/>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9</w:t>
      </w:r>
      <w:r>
        <w:rPr>
          <w:noProof w:val="0"/>
        </w:rPr>
        <w:fldChar w:fldCharType="end"/>
      </w:r>
      <w:r>
        <w:rPr>
          <w:noProof w:val="0"/>
        </w:rPr>
        <w:t>: Solution Exploration Process Flow</w:t>
      </w:r>
      <w:bookmarkEnd w:id="527"/>
      <w:bookmarkEnd w:id="528"/>
    </w:p>
    <w:p w14:paraId="6F14AAFA" w14:textId="77777777" w:rsidR="003F2924" w:rsidRPr="00A21682" w:rsidRDefault="003F2924" w:rsidP="003F2924">
      <w:pPr>
        <w:pStyle w:val="Heading3"/>
        <w:rPr>
          <w:bCs/>
          <w:u w:color="000000"/>
        </w:rPr>
      </w:pPr>
      <w:bookmarkStart w:id="529" w:name="_Toc177118983"/>
      <w:bookmarkStart w:id="530" w:name="_Toc185952538"/>
      <w:bookmarkStart w:id="531" w:name="_Toc192874712"/>
      <w:r>
        <w:rPr>
          <w:u w:color="000000"/>
        </w:rPr>
        <w:t>Process Flow Narrative</w:t>
      </w:r>
      <w:bookmarkEnd w:id="529"/>
      <w:bookmarkEnd w:id="530"/>
      <w:bookmarkEnd w:id="531"/>
    </w:p>
    <w:p w14:paraId="06F025B2" w14:textId="77777777" w:rsidR="003F2924" w:rsidRPr="00A21682" w:rsidRDefault="003F2924" w:rsidP="003F2924">
      <w:pPr>
        <w:pStyle w:val="NormalNEW"/>
        <w:rPr>
          <w:u w:color="000000"/>
          <w:lang w:val="en-US"/>
        </w:rPr>
      </w:pPr>
      <w:r>
        <w:rPr>
          <w:u w:color="000000"/>
          <w:lang w:val="en-US"/>
        </w:rPr>
        <w:t>The following table describes each process step illustrated above.</w:t>
      </w:r>
    </w:p>
    <w:tbl>
      <w:tblPr>
        <w:tblW w:w="91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615"/>
        <w:gridCol w:w="1423"/>
        <w:gridCol w:w="2009"/>
        <w:gridCol w:w="1596"/>
        <w:gridCol w:w="1766"/>
        <w:gridCol w:w="1766"/>
      </w:tblGrid>
      <w:tr w:rsidR="003F2924" w:rsidRPr="00A21682" w14:paraId="2910E8AB" w14:textId="77777777">
        <w:trPr>
          <w:trHeight w:val="300"/>
          <w:tblHeader/>
        </w:trPr>
        <w:tc>
          <w:tcPr>
            <w:tcW w:w="9175" w:type="dxa"/>
            <w:gridSpan w:val="6"/>
            <w:tcBorders>
              <w:bottom w:val="single" w:sz="2" w:space="0" w:color="FFFFFF" w:themeColor="background1"/>
            </w:tcBorders>
            <w:shd w:val="clear" w:color="auto" w:fill="000000" w:themeFill="text1"/>
          </w:tcPr>
          <w:p w14:paraId="45E2CE4B" w14:textId="57754E75" w:rsidR="003F2924" w:rsidRPr="00A21682" w:rsidRDefault="00DE630F">
            <w:pPr>
              <w:pStyle w:val="TABLEHEADINGNEW"/>
              <w:jc w:val="center"/>
              <w:rPr>
                <w:u w:color="000000"/>
              </w:rPr>
            </w:pPr>
            <w:r>
              <w:rPr>
                <w:u w:color="000000"/>
              </w:rPr>
              <w:t>Solution Exploration</w:t>
            </w:r>
          </w:p>
        </w:tc>
      </w:tr>
      <w:tr w:rsidR="003F2924" w:rsidRPr="00A21682" w14:paraId="392CDFF3" w14:textId="77777777" w:rsidTr="008058BD">
        <w:trPr>
          <w:trHeight w:val="300"/>
          <w:tblHeader/>
        </w:trPr>
        <w:tc>
          <w:tcPr>
            <w:tcW w:w="615" w:type="dxa"/>
            <w:tcBorders>
              <w:top w:val="single" w:sz="2" w:space="0" w:color="FFFFFF" w:themeColor="background1"/>
              <w:right w:val="single" w:sz="2" w:space="0" w:color="FFFFFF" w:themeColor="background1"/>
            </w:tcBorders>
            <w:shd w:val="clear" w:color="auto" w:fill="000000" w:themeFill="text1"/>
            <w:hideMark/>
          </w:tcPr>
          <w:p w14:paraId="08BA9E4C" w14:textId="77777777" w:rsidR="003F2924" w:rsidRPr="00A21682" w:rsidRDefault="003F2924">
            <w:pPr>
              <w:pStyle w:val="TABLEHEADINGNEW"/>
              <w:rPr>
                <w:rFonts w:ascii="Segoe UI" w:hAnsi="Segoe UI" w:cs="Segoe UI"/>
                <w:color w:val="000000"/>
                <w:u w:color="000000"/>
              </w:rPr>
            </w:pPr>
            <w:r>
              <w:rPr>
                <w:u w:color="000000"/>
              </w:rPr>
              <w:t>Step #</w:t>
            </w:r>
          </w:p>
        </w:tc>
        <w:tc>
          <w:tcPr>
            <w:tcW w:w="1423"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hideMark/>
          </w:tcPr>
          <w:p w14:paraId="7A578998" w14:textId="77777777" w:rsidR="003F2924" w:rsidRPr="00A21682" w:rsidRDefault="003F2924">
            <w:pPr>
              <w:pStyle w:val="TABLEHEADINGNEW"/>
              <w:rPr>
                <w:rFonts w:ascii="Segoe UI" w:hAnsi="Segoe UI" w:cs="Segoe UI"/>
                <w:color w:val="000000"/>
                <w:u w:color="000000"/>
              </w:rPr>
            </w:pPr>
            <w:r>
              <w:rPr>
                <w:u w:color="000000"/>
              </w:rPr>
              <w:t>Process Step</w:t>
            </w:r>
          </w:p>
        </w:tc>
        <w:tc>
          <w:tcPr>
            <w:tcW w:w="2009"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hideMark/>
          </w:tcPr>
          <w:p w14:paraId="0B469112" w14:textId="77777777" w:rsidR="003F2924" w:rsidRPr="00A21682" w:rsidRDefault="003F2924">
            <w:pPr>
              <w:pStyle w:val="TABLEHEADINGNEW"/>
              <w:rPr>
                <w:rFonts w:ascii="Segoe UI" w:hAnsi="Segoe UI" w:cs="Segoe UI"/>
                <w:color w:val="000000"/>
                <w:u w:color="000000"/>
              </w:rPr>
            </w:pPr>
            <w:r>
              <w:rPr>
                <w:u w:color="000000"/>
              </w:rPr>
              <w:t>Description</w:t>
            </w:r>
          </w:p>
        </w:tc>
        <w:tc>
          <w:tcPr>
            <w:tcW w:w="1596"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tcPr>
          <w:p w14:paraId="2D3814F7" w14:textId="77777777" w:rsidR="003F2924" w:rsidRPr="00A21682" w:rsidRDefault="003F2924">
            <w:pPr>
              <w:pStyle w:val="TABLEHEADINGNEW"/>
              <w:rPr>
                <w:u w:color="000000"/>
              </w:rPr>
            </w:pPr>
            <w:r>
              <w:rPr>
                <w:u w:color="000000"/>
              </w:rPr>
              <w:t>Stakeholder Group(s)</w:t>
            </w:r>
          </w:p>
        </w:tc>
        <w:tc>
          <w:tcPr>
            <w:tcW w:w="1766" w:type="dxa"/>
            <w:tcBorders>
              <w:top w:val="single" w:sz="2" w:space="0" w:color="FFFFFF" w:themeColor="background1"/>
              <w:left w:val="single" w:sz="2" w:space="0" w:color="FFFFFF" w:themeColor="background1"/>
              <w:right w:val="single" w:sz="2" w:space="0" w:color="FFFFFF" w:themeColor="background1"/>
            </w:tcBorders>
            <w:shd w:val="clear" w:color="auto" w:fill="000000" w:themeFill="text1"/>
            <w:hideMark/>
          </w:tcPr>
          <w:p w14:paraId="5B890EC3" w14:textId="77777777" w:rsidR="003F2924" w:rsidRPr="00A21682" w:rsidRDefault="003F2924">
            <w:pPr>
              <w:pStyle w:val="TABLEHEADINGNEW"/>
              <w:rPr>
                <w:u w:color="000000"/>
              </w:rPr>
            </w:pPr>
            <w:r>
              <w:rPr>
                <w:u w:color="000000"/>
              </w:rPr>
              <w:t>Inputs (Documents/ Work Products)</w:t>
            </w:r>
          </w:p>
        </w:tc>
        <w:tc>
          <w:tcPr>
            <w:tcW w:w="1766" w:type="dxa"/>
            <w:tcBorders>
              <w:top w:val="single" w:sz="2" w:space="0" w:color="FFFFFF" w:themeColor="background1"/>
              <w:left w:val="single" w:sz="2" w:space="0" w:color="FFFFFF" w:themeColor="background1"/>
            </w:tcBorders>
            <w:shd w:val="clear" w:color="auto" w:fill="000000" w:themeFill="text1"/>
            <w:hideMark/>
          </w:tcPr>
          <w:p w14:paraId="3408302C" w14:textId="77777777" w:rsidR="003F2924" w:rsidRPr="00A21682" w:rsidRDefault="003F2924">
            <w:pPr>
              <w:pStyle w:val="TABLEHEADINGNEW"/>
              <w:rPr>
                <w:u w:color="000000"/>
              </w:rPr>
            </w:pPr>
            <w:r>
              <w:rPr>
                <w:u w:color="000000"/>
              </w:rPr>
              <w:t>Outputs (Documents/ Work Products)</w:t>
            </w:r>
          </w:p>
        </w:tc>
      </w:tr>
      <w:tr w:rsidR="003F2924" w:rsidRPr="00A21682" w14:paraId="3A341428" w14:textId="77777777" w:rsidTr="008058BD">
        <w:trPr>
          <w:trHeight w:val="300"/>
        </w:trPr>
        <w:tc>
          <w:tcPr>
            <w:tcW w:w="615" w:type="dxa"/>
          </w:tcPr>
          <w:p w14:paraId="33574B47" w14:textId="1AF0D8BB" w:rsidR="003F2924" w:rsidRPr="00A21682" w:rsidRDefault="00E65468">
            <w:pPr>
              <w:pStyle w:val="TABLETEXT1"/>
              <w:rPr>
                <w:lang w:val="en-US"/>
              </w:rPr>
            </w:pPr>
            <w:r>
              <w:rPr>
                <w:lang w:val="en-US"/>
              </w:rPr>
              <w:t>7.0</w:t>
            </w:r>
          </w:p>
        </w:tc>
        <w:tc>
          <w:tcPr>
            <w:tcW w:w="1423" w:type="dxa"/>
          </w:tcPr>
          <w:p w14:paraId="36EFA7A7" w14:textId="1FB244D7" w:rsidR="003F2924" w:rsidRPr="00A21682" w:rsidRDefault="00573756">
            <w:pPr>
              <w:pStyle w:val="TABLETEXT1"/>
              <w:rPr>
                <w:lang w:val="en-US"/>
              </w:rPr>
            </w:pPr>
            <w:r>
              <w:rPr>
                <w:lang w:val="en-US"/>
              </w:rPr>
              <w:t>Create solution exploration plan (ex. scripts and required case data)</w:t>
            </w:r>
          </w:p>
        </w:tc>
        <w:tc>
          <w:tcPr>
            <w:tcW w:w="2009" w:type="dxa"/>
          </w:tcPr>
          <w:p w14:paraId="22FF88BD" w14:textId="16980A79" w:rsidR="003F2924" w:rsidRPr="00D77B69" w:rsidRDefault="00573756" w:rsidP="00D77B69">
            <w:pPr>
              <w:pStyle w:val="TABLETEXT1"/>
              <w:rPr>
                <w:lang w:val="en-US"/>
              </w:rPr>
            </w:pPr>
            <w:r>
              <w:rPr>
                <w:lang w:val="en-US"/>
              </w:rPr>
              <w:t>The solution exploration scripts are identified, elaborated, and written</w:t>
            </w:r>
          </w:p>
        </w:tc>
        <w:tc>
          <w:tcPr>
            <w:tcW w:w="1596" w:type="dxa"/>
          </w:tcPr>
          <w:p w14:paraId="402D70AF" w14:textId="69F005DB" w:rsidR="003F2924" w:rsidRPr="00635C9B" w:rsidRDefault="00573756" w:rsidP="00D77B69">
            <w:pPr>
              <w:pStyle w:val="TABLEBULLETNEW"/>
            </w:pPr>
            <w:r>
              <w:t>Business Stakeholders</w:t>
            </w:r>
          </w:p>
        </w:tc>
        <w:tc>
          <w:tcPr>
            <w:tcW w:w="1766" w:type="dxa"/>
          </w:tcPr>
          <w:p w14:paraId="381DA084" w14:textId="1A521CB8" w:rsidR="00573756" w:rsidRPr="00635C9B" w:rsidRDefault="00573756" w:rsidP="00D77B69">
            <w:pPr>
              <w:pStyle w:val="TABLEBULLETNEW"/>
            </w:pPr>
            <w:r>
              <w:t>Data Models and Data Dictionary (DEL-21)</w:t>
            </w:r>
          </w:p>
          <w:p w14:paraId="63A3A864" w14:textId="5B247D68" w:rsidR="00573756" w:rsidRPr="00635C9B" w:rsidRDefault="00573756" w:rsidP="00D77B69">
            <w:pPr>
              <w:pStyle w:val="TABLEBULLETNEW"/>
            </w:pPr>
            <w:r>
              <w:t>Approved Functional Design Document (DEL-20) for MECM</w:t>
            </w:r>
          </w:p>
          <w:p w14:paraId="5B69EEEB" w14:textId="77777777" w:rsidR="00E36FED" w:rsidRDefault="00573756" w:rsidP="00D77B69">
            <w:pPr>
              <w:pStyle w:val="TABLEBULLETNEW"/>
            </w:pPr>
            <w:r>
              <w:t>Interface/</w:t>
            </w:r>
          </w:p>
          <w:p w14:paraId="2F20442E" w14:textId="77777777" w:rsidR="00E36FED" w:rsidRDefault="00573756" w:rsidP="00E36FED">
            <w:pPr>
              <w:pStyle w:val="TABLEBULLETNEW"/>
              <w:numPr>
                <w:ilvl w:val="0"/>
                <w:numId w:val="0"/>
              </w:numPr>
              <w:ind w:left="331"/>
            </w:pPr>
            <w:r>
              <w:t>Batch/</w:t>
            </w:r>
          </w:p>
          <w:p w14:paraId="187FE643" w14:textId="09FFA316" w:rsidR="00573756" w:rsidRPr="00635C9B" w:rsidRDefault="00573756" w:rsidP="00E36FED">
            <w:pPr>
              <w:pStyle w:val="TABLEBULLETNEW"/>
              <w:numPr>
                <w:ilvl w:val="0"/>
                <w:numId w:val="0"/>
              </w:numPr>
              <w:ind w:left="331"/>
            </w:pPr>
            <w:r>
              <w:t>Automation Control Documents (DEL-22) for MECM</w:t>
            </w:r>
          </w:p>
          <w:p w14:paraId="7DB15B53" w14:textId="51A71212" w:rsidR="00573756" w:rsidRPr="00635C9B" w:rsidRDefault="00573756" w:rsidP="00D77B69">
            <w:pPr>
              <w:pStyle w:val="TABLEBULLETNEW"/>
            </w:pPr>
            <w:r>
              <w:t xml:space="preserve">System Architecture Design </w:t>
            </w:r>
            <w:r>
              <w:lastRenderedPageBreak/>
              <w:t xml:space="preserve">Document (DEL-16) </w:t>
            </w:r>
          </w:p>
          <w:p w14:paraId="180967D4" w14:textId="774969B9" w:rsidR="00573756" w:rsidRPr="00635C9B" w:rsidRDefault="00573756" w:rsidP="00D77B69">
            <w:pPr>
              <w:pStyle w:val="TABLEBULLETNEW"/>
            </w:pPr>
            <w:r>
              <w:t>Requirements Traceability Matrix (DEL-19)</w:t>
            </w:r>
          </w:p>
          <w:p w14:paraId="1DE60E95" w14:textId="3B1A9EF1" w:rsidR="003F2924" w:rsidRPr="00635C9B" w:rsidRDefault="00573756" w:rsidP="00D77B69">
            <w:pPr>
              <w:pStyle w:val="TABLEBULLETNEW"/>
            </w:pPr>
            <w:r>
              <w:t>Requirements Specification Document (DEL-18)</w:t>
            </w:r>
          </w:p>
        </w:tc>
        <w:tc>
          <w:tcPr>
            <w:tcW w:w="1766" w:type="dxa"/>
          </w:tcPr>
          <w:p w14:paraId="41D9B887" w14:textId="4DCF4D9C" w:rsidR="00573756" w:rsidRPr="00635C9B" w:rsidRDefault="001C5DD9" w:rsidP="00D77B69">
            <w:pPr>
              <w:pStyle w:val="TABLEBULLETNEW"/>
            </w:pPr>
            <w:r>
              <w:lastRenderedPageBreak/>
              <w:t>Solution exploration test plan</w:t>
            </w:r>
          </w:p>
          <w:p w14:paraId="5888DA99" w14:textId="7DD32AB7" w:rsidR="00573756" w:rsidRPr="00635C9B" w:rsidRDefault="001C5DD9" w:rsidP="00D77B69">
            <w:pPr>
              <w:pStyle w:val="TABLEBULLETNEW"/>
            </w:pPr>
            <w:r>
              <w:t>Solution exploration test scripts</w:t>
            </w:r>
          </w:p>
          <w:p w14:paraId="6EBBEB05" w14:textId="41AED00E" w:rsidR="003F2924" w:rsidRPr="00635C9B" w:rsidRDefault="001C5DD9" w:rsidP="00D77B69">
            <w:pPr>
              <w:pStyle w:val="TABLEBULLETNEW"/>
            </w:pPr>
            <w:r>
              <w:t>Solution exploration test data</w:t>
            </w:r>
          </w:p>
        </w:tc>
      </w:tr>
      <w:tr w:rsidR="003F2924" w:rsidRPr="00A21682" w14:paraId="47A1D5F3" w14:textId="77777777" w:rsidTr="008058BD">
        <w:trPr>
          <w:trHeight w:val="300"/>
        </w:trPr>
        <w:tc>
          <w:tcPr>
            <w:tcW w:w="615" w:type="dxa"/>
          </w:tcPr>
          <w:p w14:paraId="7AF60763" w14:textId="6965ED3C" w:rsidR="003F2924" w:rsidRPr="00A21682" w:rsidRDefault="00D05529">
            <w:pPr>
              <w:pStyle w:val="TABLETEXT1"/>
              <w:rPr>
                <w:lang w:val="en-US"/>
              </w:rPr>
            </w:pPr>
            <w:r>
              <w:rPr>
                <w:lang w:val="en-US"/>
              </w:rPr>
              <w:t>7.1</w:t>
            </w:r>
          </w:p>
        </w:tc>
        <w:tc>
          <w:tcPr>
            <w:tcW w:w="1423" w:type="dxa"/>
          </w:tcPr>
          <w:p w14:paraId="4B865E65" w14:textId="0D742E72" w:rsidR="003F2924" w:rsidRPr="00A21682" w:rsidRDefault="00573756">
            <w:pPr>
              <w:pStyle w:val="TABLETEXT1"/>
              <w:rPr>
                <w:lang w:val="en-US"/>
              </w:rPr>
            </w:pPr>
            <w:r>
              <w:rPr>
                <w:lang w:val="en-US"/>
              </w:rPr>
              <w:t>Perform solution exploration</w:t>
            </w:r>
          </w:p>
        </w:tc>
        <w:tc>
          <w:tcPr>
            <w:tcW w:w="2009" w:type="dxa"/>
          </w:tcPr>
          <w:p w14:paraId="7CE02539" w14:textId="2F2DFC14" w:rsidR="003F2924" w:rsidRPr="00D77B69" w:rsidRDefault="001C5DD9" w:rsidP="00D77B69">
            <w:pPr>
              <w:pStyle w:val="TABLETEXT1"/>
              <w:rPr>
                <w:lang w:val="en-US"/>
              </w:rPr>
            </w:pPr>
            <w:r>
              <w:rPr>
                <w:lang w:val="en-US"/>
              </w:rPr>
              <w:t>Solution exploration testing is executed in this phase. The test case execution results are documented. Test case statuses are updated based on the outcome of the execution</w:t>
            </w:r>
          </w:p>
        </w:tc>
        <w:tc>
          <w:tcPr>
            <w:tcW w:w="1596" w:type="dxa"/>
          </w:tcPr>
          <w:p w14:paraId="3E01086C" w14:textId="164A893A" w:rsidR="003F2924" w:rsidRPr="00635C9B" w:rsidRDefault="00573756" w:rsidP="00D77B69">
            <w:pPr>
              <w:pStyle w:val="TABLEBULLETNEW"/>
            </w:pPr>
            <w:r>
              <w:t>Business Stakeholders</w:t>
            </w:r>
          </w:p>
        </w:tc>
        <w:tc>
          <w:tcPr>
            <w:tcW w:w="1766" w:type="dxa"/>
          </w:tcPr>
          <w:p w14:paraId="7165F91D" w14:textId="77777777" w:rsidR="001C5DD9" w:rsidRPr="00635C9B" w:rsidRDefault="001C5DD9" w:rsidP="00D77B69">
            <w:pPr>
              <w:pStyle w:val="TABLEBULLETNEW"/>
            </w:pPr>
            <w:r>
              <w:t>Solution exploration test plan</w:t>
            </w:r>
          </w:p>
          <w:p w14:paraId="7012B469" w14:textId="77777777" w:rsidR="001C5DD9" w:rsidRPr="00635C9B" w:rsidRDefault="001C5DD9" w:rsidP="00D77B69">
            <w:pPr>
              <w:pStyle w:val="TABLEBULLETNEW"/>
            </w:pPr>
            <w:r>
              <w:t>Solution exploration test scripts</w:t>
            </w:r>
          </w:p>
          <w:p w14:paraId="2E612F4C" w14:textId="531A1435" w:rsidR="003F2924" w:rsidRPr="00635C9B" w:rsidRDefault="001C5DD9" w:rsidP="00D77B69">
            <w:pPr>
              <w:pStyle w:val="TABLEBULLETNEW"/>
            </w:pPr>
            <w:r>
              <w:t>Solution exploration test data</w:t>
            </w:r>
          </w:p>
        </w:tc>
        <w:tc>
          <w:tcPr>
            <w:tcW w:w="1766" w:type="dxa"/>
          </w:tcPr>
          <w:p w14:paraId="616054CB" w14:textId="2233EB13" w:rsidR="003F2924" w:rsidRPr="00635C9B" w:rsidRDefault="00573756" w:rsidP="00D77B69">
            <w:pPr>
              <w:pStyle w:val="TABLEBULLETNEW"/>
            </w:pPr>
            <w:r>
              <w:t xml:space="preserve">Results of solution exploration </w:t>
            </w:r>
          </w:p>
        </w:tc>
      </w:tr>
      <w:tr w:rsidR="003F2924" w:rsidRPr="00A21682" w14:paraId="4B182F1E" w14:textId="77777777" w:rsidTr="008058BD">
        <w:trPr>
          <w:trHeight w:val="300"/>
        </w:trPr>
        <w:tc>
          <w:tcPr>
            <w:tcW w:w="615" w:type="dxa"/>
          </w:tcPr>
          <w:p w14:paraId="26999BD4" w14:textId="6470A97F" w:rsidR="003F2924" w:rsidRPr="00A21682" w:rsidRDefault="00D05529">
            <w:pPr>
              <w:pStyle w:val="TABLETEXT1"/>
              <w:rPr>
                <w:lang w:val="en-US"/>
              </w:rPr>
            </w:pPr>
            <w:r>
              <w:rPr>
                <w:lang w:val="en-US"/>
              </w:rPr>
              <w:t>7.2</w:t>
            </w:r>
          </w:p>
        </w:tc>
        <w:tc>
          <w:tcPr>
            <w:tcW w:w="1423" w:type="dxa"/>
          </w:tcPr>
          <w:p w14:paraId="6DFBD19B" w14:textId="0A8FF33B" w:rsidR="003F2924" w:rsidRPr="00A21682" w:rsidRDefault="00573756">
            <w:pPr>
              <w:pStyle w:val="TABLETEXT1"/>
              <w:rPr>
                <w:lang w:val="en-US"/>
              </w:rPr>
            </w:pPr>
            <w:r>
              <w:rPr>
                <w:lang w:val="en-US"/>
              </w:rPr>
              <w:t xml:space="preserve">Log exploration results and observations if necessary </w:t>
            </w:r>
          </w:p>
        </w:tc>
        <w:tc>
          <w:tcPr>
            <w:tcW w:w="2009" w:type="dxa"/>
          </w:tcPr>
          <w:p w14:paraId="70A50CFC" w14:textId="174286A6" w:rsidR="003F2924" w:rsidRPr="00D77B69" w:rsidRDefault="001C5DD9" w:rsidP="00D77B69">
            <w:pPr>
              <w:pStyle w:val="TABLETEXT1"/>
              <w:rPr>
                <w:lang w:val="en-US"/>
              </w:rPr>
            </w:pPr>
            <w:r>
              <w:rPr>
                <w:lang w:val="en-US"/>
              </w:rPr>
              <w:t>Solution exploration test results are documented and logged into the test case management tool</w:t>
            </w:r>
          </w:p>
        </w:tc>
        <w:tc>
          <w:tcPr>
            <w:tcW w:w="1596" w:type="dxa"/>
          </w:tcPr>
          <w:p w14:paraId="06F00C1F" w14:textId="40616395" w:rsidR="003F2924" w:rsidRPr="00635C9B" w:rsidRDefault="00573756" w:rsidP="00D77B69">
            <w:pPr>
              <w:pStyle w:val="TABLEBULLETNEW"/>
            </w:pPr>
            <w:r>
              <w:t>Business Stakeholders</w:t>
            </w:r>
          </w:p>
        </w:tc>
        <w:tc>
          <w:tcPr>
            <w:tcW w:w="1766" w:type="dxa"/>
          </w:tcPr>
          <w:p w14:paraId="73362D95" w14:textId="333ABAD2" w:rsidR="00573756" w:rsidRPr="00635C9B" w:rsidRDefault="001C5DD9" w:rsidP="00D77B69">
            <w:pPr>
              <w:pStyle w:val="TABLEBULLETNEW"/>
            </w:pPr>
            <w:r>
              <w:t>Solution exploration testing results</w:t>
            </w:r>
          </w:p>
          <w:p w14:paraId="420DBC61" w14:textId="18F547E6" w:rsidR="003F2924" w:rsidRPr="00635C9B" w:rsidRDefault="001C5DD9" w:rsidP="00D77B69">
            <w:pPr>
              <w:pStyle w:val="TABLEBULLETNEW"/>
            </w:pPr>
            <w:r>
              <w:t>Solution exploration testing observations</w:t>
            </w:r>
          </w:p>
        </w:tc>
        <w:tc>
          <w:tcPr>
            <w:tcW w:w="1766" w:type="dxa"/>
          </w:tcPr>
          <w:p w14:paraId="2400BB25" w14:textId="45A2F931" w:rsidR="003F2924" w:rsidRPr="00635C9B" w:rsidRDefault="00573756" w:rsidP="00D77B69">
            <w:pPr>
              <w:pStyle w:val="TABLEBULLETNEW"/>
            </w:pPr>
            <w:r>
              <w:t xml:space="preserve">Logged solution exploration test results and observations </w:t>
            </w:r>
          </w:p>
        </w:tc>
      </w:tr>
      <w:tr w:rsidR="00573756" w:rsidRPr="00A21682" w14:paraId="0292FA35" w14:textId="77777777" w:rsidTr="008058BD">
        <w:trPr>
          <w:trHeight w:val="300"/>
        </w:trPr>
        <w:tc>
          <w:tcPr>
            <w:tcW w:w="615" w:type="dxa"/>
          </w:tcPr>
          <w:p w14:paraId="4A74E987" w14:textId="172E43D5" w:rsidR="00573756" w:rsidRPr="00A21682" w:rsidRDefault="00D05529" w:rsidP="00573756">
            <w:pPr>
              <w:pStyle w:val="TABLETEXT1"/>
              <w:rPr>
                <w:lang w:val="en-US"/>
              </w:rPr>
            </w:pPr>
            <w:r>
              <w:rPr>
                <w:lang w:val="en-US"/>
              </w:rPr>
              <w:t>7.3</w:t>
            </w:r>
          </w:p>
        </w:tc>
        <w:tc>
          <w:tcPr>
            <w:tcW w:w="1423" w:type="dxa"/>
          </w:tcPr>
          <w:p w14:paraId="022FAFD8" w14:textId="365EA078" w:rsidR="00573756" w:rsidRPr="00A21682" w:rsidRDefault="00D736F3" w:rsidP="00573756">
            <w:pPr>
              <w:pStyle w:val="TABLETEXT1"/>
              <w:rPr>
                <w:lang w:val="en-US"/>
              </w:rPr>
            </w:pPr>
            <w:r>
              <w:rPr>
                <w:lang w:val="en-US"/>
              </w:rPr>
              <w:t>Triage observations</w:t>
            </w:r>
          </w:p>
        </w:tc>
        <w:tc>
          <w:tcPr>
            <w:tcW w:w="2009" w:type="dxa"/>
          </w:tcPr>
          <w:p w14:paraId="7A79B61A" w14:textId="673EDAE8" w:rsidR="00573756" w:rsidRPr="00D77B69" w:rsidRDefault="00D736F3" w:rsidP="00D77B69">
            <w:pPr>
              <w:pStyle w:val="TABLETEXT1"/>
              <w:rPr>
                <w:lang w:val="en-US"/>
              </w:rPr>
            </w:pPr>
            <w:r>
              <w:rPr>
                <w:lang w:val="en-US"/>
              </w:rPr>
              <w:t>Observations deviating from the design are triaged with Functional and Development teams</w:t>
            </w:r>
          </w:p>
        </w:tc>
        <w:tc>
          <w:tcPr>
            <w:tcW w:w="1596" w:type="dxa"/>
          </w:tcPr>
          <w:p w14:paraId="2A4BEBF9" w14:textId="7160E2C6" w:rsidR="00573756" w:rsidRPr="006E5239" w:rsidRDefault="00D736F3" w:rsidP="006E5239">
            <w:pPr>
              <w:pStyle w:val="TABLEBULLETNEW"/>
            </w:pPr>
            <w:r>
              <w:t>Functional Stakeholders</w:t>
            </w:r>
          </w:p>
        </w:tc>
        <w:tc>
          <w:tcPr>
            <w:tcW w:w="1766" w:type="dxa"/>
          </w:tcPr>
          <w:p w14:paraId="3DA888D9" w14:textId="3574DFCC" w:rsidR="00573756" w:rsidRPr="006E5239" w:rsidRDefault="00D736F3" w:rsidP="006E5239">
            <w:pPr>
              <w:pStyle w:val="TABLEBULLETNEW"/>
            </w:pPr>
            <w:r>
              <w:t xml:space="preserve">Logged solution exploration test results and observations </w:t>
            </w:r>
          </w:p>
        </w:tc>
        <w:tc>
          <w:tcPr>
            <w:tcW w:w="1766" w:type="dxa"/>
          </w:tcPr>
          <w:p w14:paraId="0596BB10" w14:textId="06314DD9" w:rsidR="00573756" w:rsidRPr="006E5239" w:rsidRDefault="00D736F3" w:rsidP="006E5239">
            <w:pPr>
              <w:pStyle w:val="TABLEBULLETNEW"/>
            </w:pPr>
            <w:r>
              <w:t>Updated solution exploration observations</w:t>
            </w:r>
          </w:p>
        </w:tc>
      </w:tr>
      <w:tr w:rsidR="00573756" w:rsidRPr="00A21682" w14:paraId="5D1CB320" w14:textId="77777777" w:rsidTr="008058BD">
        <w:trPr>
          <w:trHeight w:val="300"/>
        </w:trPr>
        <w:tc>
          <w:tcPr>
            <w:tcW w:w="615" w:type="dxa"/>
          </w:tcPr>
          <w:p w14:paraId="41EDFA37" w14:textId="5931EECE" w:rsidR="00573756" w:rsidRPr="00A21682" w:rsidRDefault="00D05529" w:rsidP="00573756">
            <w:pPr>
              <w:pStyle w:val="TABLETEXT1"/>
              <w:rPr>
                <w:lang w:val="en-US"/>
              </w:rPr>
            </w:pPr>
            <w:r>
              <w:rPr>
                <w:lang w:val="en-US"/>
              </w:rPr>
              <w:t>7.4</w:t>
            </w:r>
          </w:p>
        </w:tc>
        <w:tc>
          <w:tcPr>
            <w:tcW w:w="1423" w:type="dxa"/>
          </w:tcPr>
          <w:p w14:paraId="61A4E53F" w14:textId="62736690" w:rsidR="00573756" w:rsidRPr="00A21682" w:rsidRDefault="00D736F3" w:rsidP="00573756">
            <w:pPr>
              <w:pStyle w:val="TABLETEXT1"/>
              <w:rPr>
                <w:lang w:val="en-US"/>
              </w:rPr>
            </w:pPr>
            <w:r>
              <w:rPr>
                <w:lang w:val="en-US"/>
              </w:rPr>
              <w:t>Address observations</w:t>
            </w:r>
          </w:p>
        </w:tc>
        <w:tc>
          <w:tcPr>
            <w:tcW w:w="2009" w:type="dxa"/>
          </w:tcPr>
          <w:p w14:paraId="0DFB96DA" w14:textId="003295EE" w:rsidR="00573756" w:rsidRPr="00D77B69" w:rsidRDefault="00D736F3" w:rsidP="00D77B69">
            <w:pPr>
              <w:pStyle w:val="TABLETEXT1"/>
              <w:rPr>
                <w:lang w:val="en-US"/>
              </w:rPr>
            </w:pPr>
            <w:r>
              <w:rPr>
                <w:lang w:val="en-US"/>
              </w:rPr>
              <w:t>Take corrective actions for approved observations</w:t>
            </w:r>
          </w:p>
        </w:tc>
        <w:tc>
          <w:tcPr>
            <w:tcW w:w="1596" w:type="dxa"/>
          </w:tcPr>
          <w:p w14:paraId="07D6F16E" w14:textId="2FAE895A" w:rsidR="00573756" w:rsidRPr="006E5239" w:rsidRDefault="00D736F3" w:rsidP="006E5239">
            <w:pPr>
              <w:pStyle w:val="TABLEBULLETNEW"/>
            </w:pPr>
            <w:r>
              <w:t>Functional Stakeholders</w:t>
            </w:r>
          </w:p>
        </w:tc>
        <w:tc>
          <w:tcPr>
            <w:tcW w:w="1766" w:type="dxa"/>
          </w:tcPr>
          <w:p w14:paraId="5BF8C055" w14:textId="54C6635D" w:rsidR="00573756" w:rsidRPr="006E5239" w:rsidRDefault="00D736F3" w:rsidP="006E5239">
            <w:pPr>
              <w:pStyle w:val="TABLEBULLETNEW"/>
            </w:pPr>
            <w:r>
              <w:t xml:space="preserve">Updated solution exploration observations </w:t>
            </w:r>
          </w:p>
        </w:tc>
        <w:tc>
          <w:tcPr>
            <w:tcW w:w="1766" w:type="dxa"/>
          </w:tcPr>
          <w:p w14:paraId="70F75FA2" w14:textId="5ED8F480" w:rsidR="00573756" w:rsidRPr="006E5239" w:rsidRDefault="00D736F3" w:rsidP="006E5239">
            <w:pPr>
              <w:pStyle w:val="TABLEBULLETNEW"/>
            </w:pPr>
            <w:r>
              <w:t>Updated System Defect Log with observations deemed as defects</w:t>
            </w:r>
          </w:p>
        </w:tc>
      </w:tr>
      <w:tr w:rsidR="00573756" w:rsidRPr="00A21682" w14:paraId="3F4E74E7" w14:textId="77777777" w:rsidTr="008058BD">
        <w:trPr>
          <w:trHeight w:val="300"/>
        </w:trPr>
        <w:tc>
          <w:tcPr>
            <w:tcW w:w="615" w:type="dxa"/>
          </w:tcPr>
          <w:p w14:paraId="66FF203D" w14:textId="0B815138" w:rsidR="00573756" w:rsidRPr="00A21682" w:rsidRDefault="00D05529" w:rsidP="00573756">
            <w:pPr>
              <w:pStyle w:val="TABLETEXT1"/>
              <w:rPr>
                <w:lang w:val="en-US"/>
              </w:rPr>
            </w:pPr>
            <w:r>
              <w:rPr>
                <w:lang w:val="en-US"/>
              </w:rPr>
              <w:t>7.4a</w:t>
            </w:r>
          </w:p>
        </w:tc>
        <w:tc>
          <w:tcPr>
            <w:tcW w:w="1423" w:type="dxa"/>
          </w:tcPr>
          <w:p w14:paraId="6484A617" w14:textId="3D0DCE7A" w:rsidR="00573756" w:rsidRPr="00A21682" w:rsidRDefault="00B07333" w:rsidP="00573756">
            <w:pPr>
              <w:pStyle w:val="TABLETEXT1"/>
              <w:rPr>
                <w:lang w:val="en-US"/>
              </w:rPr>
            </w:pPr>
            <w:r>
              <w:rPr>
                <w:lang w:val="en-US"/>
              </w:rPr>
              <w:t>Defects identified</w:t>
            </w:r>
          </w:p>
        </w:tc>
        <w:tc>
          <w:tcPr>
            <w:tcW w:w="2009" w:type="dxa"/>
          </w:tcPr>
          <w:p w14:paraId="55B6ED72" w14:textId="2ECE8B60" w:rsidR="00B07333" w:rsidRPr="00D77B69" w:rsidRDefault="00B07333" w:rsidP="00D77B69">
            <w:pPr>
              <w:pStyle w:val="TABLETEXT1"/>
              <w:rPr>
                <w:lang w:val="en-US"/>
              </w:rPr>
            </w:pPr>
            <w:r>
              <w:rPr>
                <w:lang w:val="en-US"/>
              </w:rPr>
              <w:t>Determine if there are defects identified within the solution exploration observations</w:t>
            </w:r>
          </w:p>
          <w:p w14:paraId="65C0010F" w14:textId="49F8D8F9" w:rsidR="00B07333" w:rsidRPr="007E7A0E" w:rsidRDefault="00B07333" w:rsidP="00D77B69">
            <w:pPr>
              <w:pStyle w:val="TABLEBULLETNEW"/>
              <w:rPr>
                <w:i/>
              </w:rPr>
            </w:pPr>
            <w:r>
              <w:lastRenderedPageBreak/>
              <w:t xml:space="preserve">If yes, proceed to </w:t>
            </w:r>
            <w:r>
              <w:rPr>
                <w:i/>
              </w:rPr>
              <w:t>Step #7.5 Remediate software defects and regression test</w:t>
            </w:r>
          </w:p>
          <w:p w14:paraId="4FE4A9B4" w14:textId="11F583B4" w:rsidR="00573756" w:rsidRPr="00635C9B" w:rsidRDefault="00B07333" w:rsidP="00D77B69">
            <w:pPr>
              <w:pStyle w:val="TABLEBULLETNEW"/>
            </w:pPr>
            <w:r>
              <w:t>If no, proceed to End</w:t>
            </w:r>
          </w:p>
        </w:tc>
        <w:tc>
          <w:tcPr>
            <w:tcW w:w="1596" w:type="dxa"/>
          </w:tcPr>
          <w:p w14:paraId="124F4712" w14:textId="12CA4F69" w:rsidR="00573756" w:rsidRPr="006E5239" w:rsidRDefault="00B07333" w:rsidP="006E5239">
            <w:pPr>
              <w:pStyle w:val="TABLEBULLETNEW"/>
            </w:pPr>
            <w:r>
              <w:lastRenderedPageBreak/>
              <w:t>Functional Stakeholders</w:t>
            </w:r>
          </w:p>
        </w:tc>
        <w:tc>
          <w:tcPr>
            <w:tcW w:w="1766" w:type="dxa"/>
          </w:tcPr>
          <w:p w14:paraId="06662781" w14:textId="76551967" w:rsidR="00573756" w:rsidRPr="006E5239" w:rsidRDefault="00B07333" w:rsidP="006E5239">
            <w:pPr>
              <w:pStyle w:val="TABLEBULLETNEW"/>
            </w:pPr>
            <w:r>
              <w:t>N/A</w:t>
            </w:r>
          </w:p>
        </w:tc>
        <w:tc>
          <w:tcPr>
            <w:tcW w:w="1766" w:type="dxa"/>
          </w:tcPr>
          <w:p w14:paraId="1806288D" w14:textId="39BC6F57" w:rsidR="00573756" w:rsidRPr="006E5239" w:rsidRDefault="00B07333" w:rsidP="006E5239">
            <w:pPr>
              <w:pStyle w:val="TABLEBULLETNEW"/>
            </w:pPr>
            <w:r>
              <w:t>N/A</w:t>
            </w:r>
          </w:p>
        </w:tc>
      </w:tr>
      <w:tr w:rsidR="00573756" w:rsidRPr="00A21682" w14:paraId="5562C5CE" w14:textId="77777777" w:rsidTr="008058BD">
        <w:trPr>
          <w:trHeight w:val="300"/>
        </w:trPr>
        <w:tc>
          <w:tcPr>
            <w:tcW w:w="615" w:type="dxa"/>
          </w:tcPr>
          <w:p w14:paraId="7343131F" w14:textId="7C0083DA" w:rsidR="00573756" w:rsidRPr="00A21682" w:rsidRDefault="00D05529" w:rsidP="00573756">
            <w:pPr>
              <w:pStyle w:val="TABLETEXT1"/>
              <w:rPr>
                <w:lang w:val="en-US"/>
              </w:rPr>
            </w:pPr>
            <w:r>
              <w:rPr>
                <w:lang w:val="en-US"/>
              </w:rPr>
              <w:t>7.5</w:t>
            </w:r>
          </w:p>
        </w:tc>
        <w:tc>
          <w:tcPr>
            <w:tcW w:w="1423" w:type="dxa"/>
          </w:tcPr>
          <w:p w14:paraId="6F417396" w14:textId="5F51BF3D" w:rsidR="00573756" w:rsidRPr="00A21682" w:rsidRDefault="00B07333" w:rsidP="00573756">
            <w:pPr>
              <w:pStyle w:val="TABLETEXT1"/>
              <w:rPr>
                <w:lang w:val="en-US"/>
              </w:rPr>
            </w:pPr>
            <w:r>
              <w:rPr>
                <w:lang w:val="en-US"/>
              </w:rPr>
              <w:t>Remediate software defects and regression test</w:t>
            </w:r>
          </w:p>
        </w:tc>
        <w:tc>
          <w:tcPr>
            <w:tcW w:w="2009" w:type="dxa"/>
          </w:tcPr>
          <w:p w14:paraId="3CFC2DEA" w14:textId="104877A4" w:rsidR="00573756" w:rsidRPr="00D77B69" w:rsidRDefault="00B07333" w:rsidP="00D77B69">
            <w:pPr>
              <w:pStyle w:val="TABLETEXT1"/>
              <w:rPr>
                <w:lang w:val="en-US"/>
              </w:rPr>
            </w:pPr>
            <w:r>
              <w:rPr>
                <w:lang w:val="en-US"/>
              </w:rPr>
              <w:t xml:space="preserve">Complete fixes for the identified defects and perform Regression Testing for the changes </w:t>
            </w:r>
          </w:p>
        </w:tc>
        <w:tc>
          <w:tcPr>
            <w:tcW w:w="1596" w:type="dxa"/>
          </w:tcPr>
          <w:p w14:paraId="47227B03" w14:textId="77777777" w:rsidR="00B07333" w:rsidRPr="006E5239" w:rsidRDefault="00B07333" w:rsidP="006E5239">
            <w:pPr>
              <w:pStyle w:val="TABLEBULLETNEW"/>
            </w:pPr>
            <w:r>
              <w:t>Functional Stakeholders</w:t>
            </w:r>
          </w:p>
          <w:p w14:paraId="317A3D8E" w14:textId="10D5F0EB" w:rsidR="00573756" w:rsidRPr="006E5239" w:rsidRDefault="00B07333" w:rsidP="006E5239">
            <w:pPr>
              <w:pStyle w:val="TABLEBULLETNEW"/>
            </w:pPr>
            <w:r>
              <w:t>Technical Stakeholders</w:t>
            </w:r>
          </w:p>
        </w:tc>
        <w:tc>
          <w:tcPr>
            <w:tcW w:w="1766" w:type="dxa"/>
          </w:tcPr>
          <w:p w14:paraId="3998385E" w14:textId="7A881E24" w:rsidR="00573756" w:rsidRPr="006E5239" w:rsidRDefault="00B07333" w:rsidP="006E5239">
            <w:pPr>
              <w:pStyle w:val="TABLEBULLETNEW"/>
            </w:pPr>
            <w:r>
              <w:t>Updated System Defect Log with observations deemed as defects</w:t>
            </w:r>
          </w:p>
        </w:tc>
        <w:tc>
          <w:tcPr>
            <w:tcW w:w="1766" w:type="dxa"/>
          </w:tcPr>
          <w:p w14:paraId="1FB74870" w14:textId="1D6DB76B" w:rsidR="00573756" w:rsidRPr="006E5239" w:rsidRDefault="00B07333" w:rsidP="006E5239">
            <w:pPr>
              <w:pStyle w:val="TABLEBULLETNEW"/>
            </w:pPr>
            <w:r>
              <w:t>Approved solution exploration signoff</w:t>
            </w:r>
          </w:p>
        </w:tc>
      </w:tr>
    </w:tbl>
    <w:p w14:paraId="00975A5E" w14:textId="57A98D02" w:rsidR="003F2924" w:rsidRPr="00A21682" w:rsidRDefault="003F2924" w:rsidP="005911DA">
      <w:pPr>
        <w:pStyle w:val="Caption"/>
        <w:rPr>
          <w:noProof w:val="0"/>
        </w:rPr>
      </w:pPr>
      <w:bookmarkStart w:id="532" w:name="_Toc19287511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26</w:t>
      </w:r>
      <w:r>
        <w:rPr>
          <w:noProof w:val="0"/>
        </w:rPr>
        <w:fldChar w:fldCharType="end"/>
      </w:r>
      <w:r>
        <w:rPr>
          <w:noProof w:val="0"/>
        </w:rPr>
        <w:t>: Solution Exploration Phase Process Flow Narrative</w:t>
      </w:r>
      <w:bookmarkEnd w:id="532"/>
    </w:p>
    <w:p w14:paraId="49728990" w14:textId="77777777" w:rsidR="003F2924" w:rsidRPr="00A21682" w:rsidRDefault="003F2924" w:rsidP="003F2924">
      <w:pPr>
        <w:pStyle w:val="Heading3"/>
        <w:rPr>
          <w:u w:color="000000"/>
        </w:rPr>
      </w:pPr>
      <w:bookmarkStart w:id="533" w:name="_Toc177118984"/>
      <w:bookmarkStart w:id="534" w:name="_Toc185952539"/>
      <w:bookmarkStart w:id="535" w:name="_Toc192874713"/>
      <w:r>
        <w:rPr>
          <w:u w:color="000000"/>
        </w:rPr>
        <w:t>Roles and Responsibilities</w:t>
      </w:r>
      <w:bookmarkEnd w:id="533"/>
      <w:bookmarkEnd w:id="534"/>
      <w:bookmarkEnd w:id="535"/>
    </w:p>
    <w:p w14:paraId="4A1422BE" w14:textId="77777777" w:rsidR="003F2924" w:rsidRPr="00A21682" w:rsidRDefault="003F2924" w:rsidP="003F2924">
      <w:pPr>
        <w:pStyle w:val="NormalNEW"/>
        <w:rPr>
          <w:u w:color="000000"/>
          <w:lang w:val="en-US"/>
        </w:rPr>
      </w:pPr>
      <w:r>
        <w:rPr>
          <w:u w:color="000000"/>
          <w:lang w:val="en-US"/>
        </w:rPr>
        <w:t xml:space="preserve">The SDLC RACI Matrix and roles and responsibilities can be found in Appendix C-1. </w:t>
      </w:r>
    </w:p>
    <w:p w14:paraId="0185B8A1" w14:textId="77777777" w:rsidR="003F2924" w:rsidRPr="00A21682" w:rsidRDefault="003F2924" w:rsidP="003F2924">
      <w:pPr>
        <w:pStyle w:val="Heading3"/>
        <w:rPr>
          <w:u w:color="000000"/>
        </w:rPr>
      </w:pPr>
      <w:bookmarkStart w:id="536" w:name="_Toc177118985"/>
      <w:bookmarkStart w:id="537" w:name="_Toc185952540"/>
      <w:bookmarkStart w:id="538" w:name="_Toc192874714"/>
      <w:r>
        <w:rPr>
          <w:u w:color="000000"/>
        </w:rPr>
        <w:t>Phase Exit Criteria</w:t>
      </w:r>
      <w:bookmarkEnd w:id="536"/>
      <w:bookmarkEnd w:id="537"/>
      <w:bookmarkEnd w:id="538"/>
      <w:r>
        <w:rPr>
          <w:u w:color="000000"/>
        </w:rPr>
        <w:t xml:space="preserve"> </w:t>
      </w:r>
    </w:p>
    <w:p w14:paraId="2A706819" w14:textId="38F7BA47" w:rsidR="00D044E6" w:rsidRPr="00A21682" w:rsidRDefault="00601951" w:rsidP="003F2924">
      <w:pPr>
        <w:pStyle w:val="NormalNEW"/>
        <w:rPr>
          <w:lang w:val="en-US"/>
        </w:rPr>
      </w:pPr>
      <w:r>
        <w:rPr>
          <w:lang w:val="en-US"/>
        </w:rPr>
        <w:t>Key stakeholders from ███████ and DOH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3F2924" w:rsidRPr="00A21682" w14:paraId="4D077EC2" w14:textId="77777777">
        <w:trPr>
          <w:trHeight w:val="300"/>
          <w:tblHeader/>
        </w:trPr>
        <w:tc>
          <w:tcPr>
            <w:tcW w:w="481" w:type="dxa"/>
            <w:tcBorders>
              <w:right w:val="single" w:sz="2" w:space="0" w:color="FFFFFF" w:themeColor="background1"/>
            </w:tcBorders>
            <w:shd w:val="clear" w:color="auto" w:fill="000000"/>
            <w:hideMark/>
          </w:tcPr>
          <w:p w14:paraId="50B06CCE" w14:textId="77777777" w:rsidR="003F2924" w:rsidRPr="00A21682" w:rsidRDefault="003F2924">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1B4B004B" w14:textId="77777777" w:rsidR="003F2924" w:rsidRPr="00A21682" w:rsidRDefault="003F2924">
            <w:pPr>
              <w:pStyle w:val="TABLEHEADINGNEW"/>
            </w:pPr>
            <w:r>
              <w:t>Exit Criteria</w:t>
            </w:r>
          </w:p>
        </w:tc>
        <w:tc>
          <w:tcPr>
            <w:tcW w:w="4300" w:type="dxa"/>
            <w:tcBorders>
              <w:left w:val="single" w:sz="2" w:space="0" w:color="FFFFFF" w:themeColor="background1"/>
            </w:tcBorders>
            <w:shd w:val="clear" w:color="auto" w:fill="000000"/>
          </w:tcPr>
          <w:p w14:paraId="2756EE7A" w14:textId="77777777" w:rsidR="003F2924" w:rsidRPr="00A21682" w:rsidRDefault="003F2924">
            <w:pPr>
              <w:pStyle w:val="TABLEHEADINGNEW"/>
            </w:pPr>
            <w:r>
              <w:t>Related Document(s)/Artifact(s)</w:t>
            </w:r>
          </w:p>
        </w:tc>
      </w:tr>
      <w:tr w:rsidR="003F2924" w:rsidRPr="00A21682" w14:paraId="369555AE" w14:textId="77777777">
        <w:trPr>
          <w:trHeight w:val="300"/>
        </w:trPr>
        <w:tc>
          <w:tcPr>
            <w:tcW w:w="481" w:type="dxa"/>
            <w:hideMark/>
          </w:tcPr>
          <w:p w14:paraId="3396BA69" w14:textId="77777777" w:rsidR="003F2924" w:rsidRPr="00A21682" w:rsidRDefault="003F2924">
            <w:pPr>
              <w:pStyle w:val="TABLETEXT1"/>
              <w:rPr>
                <w:lang w:val="en-US"/>
              </w:rPr>
            </w:pPr>
            <w:r>
              <w:rPr>
                <w:lang w:val="en-US"/>
              </w:rPr>
              <w:t>1</w:t>
            </w:r>
          </w:p>
        </w:tc>
        <w:tc>
          <w:tcPr>
            <w:tcW w:w="4563" w:type="dxa"/>
          </w:tcPr>
          <w:p w14:paraId="387A1122" w14:textId="2A0717F9" w:rsidR="003F2924" w:rsidRPr="00A21682" w:rsidRDefault="009A555A">
            <w:pPr>
              <w:pStyle w:val="TABLETEXT1"/>
              <w:rPr>
                <w:lang w:val="en-US"/>
              </w:rPr>
            </w:pPr>
            <w:r>
              <w:rPr>
                <w:lang w:val="en-US"/>
              </w:rPr>
              <w:t>The Solution Exploration observations are properly dispositioned and prioritized</w:t>
            </w:r>
          </w:p>
        </w:tc>
        <w:tc>
          <w:tcPr>
            <w:tcW w:w="4300" w:type="dxa"/>
          </w:tcPr>
          <w:p w14:paraId="3C62D515" w14:textId="27BE226C" w:rsidR="003F2924" w:rsidRPr="00635C9B" w:rsidRDefault="00CF758D" w:rsidP="006E5239">
            <w:pPr>
              <w:pStyle w:val="TABLEBULLETNEW"/>
            </w:pPr>
            <w:r>
              <w:t>All the valid observations are categorized as: valid defects to be addressed, potential design updates, or potential enhancements</w:t>
            </w:r>
          </w:p>
        </w:tc>
      </w:tr>
      <w:tr w:rsidR="003F2924" w:rsidRPr="00A21682" w14:paraId="1A9F3389" w14:textId="77777777">
        <w:trPr>
          <w:trHeight w:val="300"/>
        </w:trPr>
        <w:tc>
          <w:tcPr>
            <w:tcW w:w="481" w:type="dxa"/>
          </w:tcPr>
          <w:p w14:paraId="1A04BFE4" w14:textId="77777777" w:rsidR="003F2924" w:rsidRPr="00A21682" w:rsidRDefault="003F2924">
            <w:pPr>
              <w:pStyle w:val="TABLETEXT1"/>
              <w:rPr>
                <w:lang w:val="en-US"/>
              </w:rPr>
            </w:pPr>
            <w:r>
              <w:rPr>
                <w:lang w:val="en-US"/>
              </w:rPr>
              <w:t>2</w:t>
            </w:r>
          </w:p>
        </w:tc>
        <w:tc>
          <w:tcPr>
            <w:tcW w:w="4563" w:type="dxa"/>
          </w:tcPr>
          <w:p w14:paraId="434252D6" w14:textId="376C298C" w:rsidR="003F2924" w:rsidRPr="00A21682" w:rsidRDefault="00565B4F">
            <w:pPr>
              <w:pStyle w:val="TABLETEXT1"/>
              <w:rPr>
                <w:lang w:val="en-US"/>
              </w:rPr>
            </w:pPr>
            <w:r>
              <w:rPr>
                <w:lang w:val="en-US"/>
              </w:rPr>
              <w:t>The Requirements Traceability Matrix (DEL-19) is updated with traceability of all Wave requirements through test script coverage</w:t>
            </w:r>
          </w:p>
        </w:tc>
        <w:tc>
          <w:tcPr>
            <w:tcW w:w="4300" w:type="dxa"/>
          </w:tcPr>
          <w:p w14:paraId="6270C0BE" w14:textId="6EAB15C3" w:rsidR="003F2924" w:rsidRPr="00635C9B" w:rsidRDefault="00565B4F" w:rsidP="006E5239">
            <w:pPr>
              <w:pStyle w:val="TABLEBULLETNEW"/>
            </w:pPr>
            <w:r>
              <w:t>Requirements Traceability Matrix (DEL-19)</w:t>
            </w:r>
          </w:p>
        </w:tc>
      </w:tr>
    </w:tbl>
    <w:p w14:paraId="11DAAAD0" w14:textId="4770515A" w:rsidR="003F2924" w:rsidRPr="00A21682" w:rsidRDefault="003F2924" w:rsidP="005911DA">
      <w:pPr>
        <w:pStyle w:val="Caption"/>
        <w:rPr>
          <w:noProof w:val="0"/>
        </w:rPr>
      </w:pPr>
      <w:bookmarkStart w:id="539" w:name="_Toc19287511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27</w:t>
      </w:r>
      <w:r>
        <w:rPr>
          <w:noProof w:val="0"/>
        </w:rPr>
        <w:fldChar w:fldCharType="end"/>
      </w:r>
      <w:r>
        <w:rPr>
          <w:noProof w:val="0"/>
        </w:rPr>
        <w:t>: Solution Exploration Phase Exit Criteria</w:t>
      </w:r>
      <w:bookmarkEnd w:id="539"/>
    </w:p>
    <w:p w14:paraId="0CD7B32D" w14:textId="1438FF15" w:rsidR="003F2924" w:rsidRPr="00A21682" w:rsidRDefault="003F2924" w:rsidP="003F2924">
      <w:pPr>
        <w:pStyle w:val="Heading3"/>
        <w:rPr>
          <w:u w:color="000000"/>
        </w:rPr>
      </w:pPr>
      <w:bookmarkStart w:id="540" w:name="_Toc177118986"/>
      <w:bookmarkStart w:id="541" w:name="_Toc185952541"/>
      <w:bookmarkStart w:id="542" w:name="_Toc192874715"/>
      <w:r>
        <w:rPr>
          <w:u w:color="000000"/>
        </w:rPr>
        <w:t xml:space="preserve">Supporting </w:t>
      </w:r>
      <w:r>
        <w:t>Application Lifecycle Management (</w:t>
      </w:r>
      <w:r>
        <w:rPr>
          <w:u w:color="000000"/>
        </w:rPr>
        <w:t>ALM) Tools</w:t>
      </w:r>
      <w:bookmarkEnd w:id="540"/>
      <w:bookmarkEnd w:id="541"/>
      <w:bookmarkEnd w:id="542"/>
    </w:p>
    <w:p w14:paraId="4A016F02" w14:textId="6D875248" w:rsidR="003F2924" w:rsidRPr="00A21682" w:rsidRDefault="003F2924" w:rsidP="003F2924">
      <w:pPr>
        <w:pStyle w:val="NormalNEW"/>
        <w:rPr>
          <w:u w:color="000000"/>
          <w:lang w:val="en-US"/>
        </w:rPr>
      </w:pPr>
      <w:r>
        <w:rPr>
          <w:u w:color="000000"/>
          <w:lang w:val="en-US"/>
        </w:rPr>
        <w:t>In the Solution Exploration phase, the ALM tools will help the solution explorers to conduct testing needed to verify the system aligns with design and decisions agreed-upon during Integrated JAD sessions. These tools provide reporting and monitoring capabilities to track the progress and disposition of Solution Exploration observations.</w:t>
      </w:r>
    </w:p>
    <w:p w14:paraId="340C7944" w14:textId="36ECDD04" w:rsidR="003F2924" w:rsidRPr="00A21682" w:rsidRDefault="003F2924" w:rsidP="003F2924">
      <w:pPr>
        <w:pStyle w:val="NormalNEW"/>
        <w:rPr>
          <w:u w:color="000000"/>
          <w:lang w:val="en-US"/>
        </w:rPr>
      </w:pPr>
      <w:r>
        <w:rPr>
          <w:u w:color="000000"/>
          <w:lang w:val="en-US"/>
        </w:rPr>
        <w:t>Below are the ALM tools and workflows that pertain to the Solution Exploration phase:</w:t>
      </w:r>
    </w:p>
    <w:p w14:paraId="067183E7" w14:textId="57E79D0F" w:rsidR="00F40705" w:rsidRPr="00A21682" w:rsidRDefault="00F40705" w:rsidP="0031550A">
      <w:pPr>
        <w:pStyle w:val="BulletNEW"/>
        <w:rPr>
          <w:u w:color="000000"/>
        </w:rPr>
      </w:pPr>
      <w:bookmarkStart w:id="543" w:name="_Toc148102355"/>
      <w:bookmarkStart w:id="544" w:name="_Toc152605839"/>
      <w:bookmarkStart w:id="545" w:name="_Toc177118987"/>
      <w:bookmarkStart w:id="546" w:name="_Toc185952542"/>
      <w:r>
        <w:rPr>
          <w:u w:color="000000"/>
        </w:rPr>
        <w:lastRenderedPageBreak/>
        <w:t>Solution Exploration Observation, Incident, Change Request, and Service Request workflows in the ALM tool (refer to Section 2.20 the ALM tool)</w:t>
      </w:r>
    </w:p>
    <w:p w14:paraId="53EB1A61" w14:textId="45C2167B" w:rsidR="00C5516F" w:rsidRPr="00A21682" w:rsidRDefault="00C5516F">
      <w:pPr>
        <w:pStyle w:val="Heading2"/>
        <w:rPr>
          <w:u w:color="000000"/>
        </w:rPr>
      </w:pPr>
      <w:bookmarkStart w:id="547" w:name="_Toc192874716"/>
      <w:r>
        <w:rPr>
          <w:u w:color="000000"/>
        </w:rPr>
        <w:t>Operational Readiness Test (ORT) Phase</w:t>
      </w:r>
      <w:bookmarkEnd w:id="543"/>
      <w:bookmarkEnd w:id="544"/>
      <w:bookmarkEnd w:id="545"/>
      <w:bookmarkEnd w:id="546"/>
      <w:bookmarkEnd w:id="547"/>
    </w:p>
    <w:p w14:paraId="7D5FDCB7" w14:textId="3A262B97" w:rsidR="00C5516F" w:rsidRPr="00A21682" w:rsidRDefault="00C5516F" w:rsidP="00F70B45">
      <w:pPr>
        <w:pStyle w:val="NormalNEW"/>
        <w:rPr>
          <w:u w:color="000000"/>
          <w:lang w:val="en-US"/>
        </w:rPr>
      </w:pPr>
      <w:r>
        <w:rPr>
          <w:u w:color="000000"/>
          <w:lang w:val="en-US"/>
        </w:rPr>
        <w:t xml:space="preserve">Operational Readiness Test occurs when all iterations/bundles of Design/Development/SIT are complete and the entire functionality for a Wave can be tested together. This phase includes the following testing types that benefit from being executed when the Wave’s functionality and software is complete: Pre-UAT, End-to-End (E2E) Testing, Regression Testing, Performance Testing, Security Testing and Failover Testing. </w:t>
      </w:r>
    </w:p>
    <w:p w14:paraId="6C439709" w14:textId="37E41FE5" w:rsidR="006E0881" w:rsidRPr="00A21682" w:rsidRDefault="006E0881" w:rsidP="00F70B45">
      <w:pPr>
        <w:pStyle w:val="NormalNEW"/>
        <w:rPr>
          <w:u w:color="000000"/>
          <w:lang w:val="en-US"/>
        </w:rPr>
      </w:pPr>
      <w:r>
        <w:rPr>
          <w:u w:color="000000"/>
          <w:lang w:val="en-US"/>
        </w:rPr>
        <w:t>Entry and exit criteria are crucial for a structured and effective testing process. Entry criteria determine if the system is ready for a testing phase by confirming preconditions like environment setup and test case preparation. Exit criteria define the conditions for concluding a testing phase, such as successful test case completion and resolution of critical defects. These criteria provide a clear framework for assessing system readiness, facilitating a controlled progression through the testing lifecycle, and contributing to the delivery of a reliable and high-quality system.</w:t>
      </w:r>
    </w:p>
    <w:p w14:paraId="1558477E" w14:textId="2BFCD90C" w:rsidR="00F742F5" w:rsidRPr="00A21682" w:rsidRDefault="00F742F5" w:rsidP="00F70B45">
      <w:pPr>
        <w:pStyle w:val="NormalNEW"/>
        <w:rPr>
          <w:u w:color="000000"/>
          <w:lang w:val="en-US"/>
        </w:rPr>
      </w:pPr>
      <w:r>
        <w:rPr>
          <w:u w:color="000000"/>
          <w:lang w:val="en-US"/>
        </w:rPr>
        <w:t>The following section describes the functional testing types included in ORT.</w:t>
      </w:r>
    </w:p>
    <w:p w14:paraId="64E06730" w14:textId="7DE81079" w:rsidR="00546CCA" w:rsidRPr="00A21682" w:rsidRDefault="006333EF" w:rsidP="004A0801">
      <w:pPr>
        <w:pStyle w:val="Heading3"/>
        <w:rPr>
          <w:u w:color="000000"/>
        </w:rPr>
      </w:pPr>
      <w:bookmarkStart w:id="548" w:name="_Toc143516913"/>
      <w:bookmarkStart w:id="549" w:name="_Toc186883735"/>
      <w:bookmarkStart w:id="550" w:name="_Toc187427477"/>
      <w:bookmarkStart w:id="551" w:name="_Toc188449853"/>
      <w:bookmarkStart w:id="552" w:name="_Toc188618745"/>
      <w:bookmarkStart w:id="553" w:name="_Toc186883757"/>
      <w:bookmarkStart w:id="554" w:name="_Toc187427499"/>
      <w:bookmarkStart w:id="555" w:name="_Toc188449875"/>
      <w:bookmarkStart w:id="556" w:name="_Toc188618767"/>
      <w:bookmarkStart w:id="557" w:name="_Toc186883758"/>
      <w:bookmarkStart w:id="558" w:name="_Toc187427500"/>
      <w:bookmarkStart w:id="559" w:name="_Toc188449876"/>
      <w:bookmarkStart w:id="560" w:name="_Toc188618768"/>
      <w:bookmarkStart w:id="561" w:name="_Toc186883759"/>
      <w:bookmarkStart w:id="562" w:name="_Toc187427501"/>
      <w:bookmarkStart w:id="563" w:name="_Toc188449877"/>
      <w:bookmarkStart w:id="564" w:name="_Toc188618769"/>
      <w:bookmarkStart w:id="565" w:name="_Toc186883760"/>
      <w:bookmarkStart w:id="566" w:name="_Toc187427502"/>
      <w:bookmarkStart w:id="567" w:name="_Toc188449878"/>
      <w:bookmarkStart w:id="568" w:name="_Toc188618770"/>
      <w:bookmarkStart w:id="569" w:name="_Toc186883761"/>
      <w:bookmarkStart w:id="570" w:name="_Toc187427503"/>
      <w:bookmarkStart w:id="571" w:name="_Toc188449879"/>
      <w:bookmarkStart w:id="572" w:name="_Toc188618771"/>
      <w:bookmarkStart w:id="573" w:name="_Toc186883762"/>
      <w:bookmarkStart w:id="574" w:name="_Toc187427504"/>
      <w:bookmarkStart w:id="575" w:name="_Toc188449880"/>
      <w:bookmarkStart w:id="576" w:name="_Toc188618772"/>
      <w:bookmarkStart w:id="577" w:name="_Toc186883763"/>
      <w:bookmarkStart w:id="578" w:name="_Toc187427505"/>
      <w:bookmarkStart w:id="579" w:name="_Toc188449881"/>
      <w:bookmarkStart w:id="580" w:name="_Toc188618773"/>
      <w:bookmarkStart w:id="581" w:name="_Toc186883764"/>
      <w:bookmarkStart w:id="582" w:name="_Toc187427506"/>
      <w:bookmarkStart w:id="583" w:name="_Toc188449882"/>
      <w:bookmarkStart w:id="584" w:name="_Toc188618774"/>
      <w:bookmarkStart w:id="585" w:name="_Toc186884016"/>
      <w:bookmarkStart w:id="586" w:name="_Toc187427758"/>
      <w:bookmarkStart w:id="587" w:name="_Toc188450134"/>
      <w:bookmarkStart w:id="588" w:name="_Toc188619026"/>
      <w:bookmarkStart w:id="589" w:name="_Toc186884017"/>
      <w:bookmarkStart w:id="590" w:name="_Toc187427759"/>
      <w:bookmarkStart w:id="591" w:name="_Toc188450135"/>
      <w:bookmarkStart w:id="592" w:name="_Toc188619027"/>
      <w:bookmarkStart w:id="593" w:name="_Toc186884018"/>
      <w:bookmarkStart w:id="594" w:name="_Toc187427760"/>
      <w:bookmarkStart w:id="595" w:name="_Toc188450136"/>
      <w:bookmarkStart w:id="596" w:name="_Toc188619028"/>
      <w:bookmarkStart w:id="597" w:name="_Toc186884019"/>
      <w:bookmarkStart w:id="598" w:name="_Toc187427761"/>
      <w:bookmarkStart w:id="599" w:name="_Toc188450137"/>
      <w:bookmarkStart w:id="600" w:name="_Toc188619029"/>
      <w:bookmarkStart w:id="601" w:name="_Toc186884020"/>
      <w:bookmarkStart w:id="602" w:name="_Toc187427762"/>
      <w:bookmarkStart w:id="603" w:name="_Toc188450138"/>
      <w:bookmarkStart w:id="604" w:name="_Toc188619030"/>
      <w:bookmarkStart w:id="605" w:name="_Toc186884066"/>
      <w:bookmarkStart w:id="606" w:name="_Toc187427808"/>
      <w:bookmarkStart w:id="607" w:name="_Toc188450184"/>
      <w:bookmarkStart w:id="608" w:name="_Toc188619076"/>
      <w:bookmarkStart w:id="609" w:name="_Toc186884067"/>
      <w:bookmarkStart w:id="610" w:name="_Toc187427809"/>
      <w:bookmarkStart w:id="611" w:name="_Toc188450185"/>
      <w:bookmarkStart w:id="612" w:name="_Toc188619077"/>
      <w:bookmarkStart w:id="613" w:name="_Toc185948540"/>
      <w:bookmarkStart w:id="614" w:name="_Toc186884068"/>
      <w:bookmarkStart w:id="615" w:name="_Toc187427810"/>
      <w:bookmarkStart w:id="616" w:name="_Toc188450186"/>
      <w:bookmarkStart w:id="617" w:name="_Toc188619078"/>
      <w:bookmarkStart w:id="618" w:name="_Toc185952548"/>
      <w:bookmarkStart w:id="619" w:name="_Toc192874717"/>
      <w:bookmarkStart w:id="620" w:name="_Toc148102361"/>
      <w:bookmarkStart w:id="621" w:name="_Toc152605845"/>
      <w:bookmarkStart w:id="622" w:name="_Toc177118993"/>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u w:color="000000"/>
        </w:rPr>
        <w:t>Functional-Related End to End Testing</w:t>
      </w:r>
      <w:bookmarkEnd w:id="618"/>
      <w:bookmarkEnd w:id="619"/>
    </w:p>
    <w:p w14:paraId="164E6280" w14:textId="367F7E9B" w:rsidR="00240BD8" w:rsidRPr="00A21682" w:rsidRDefault="005876EE" w:rsidP="009471F4">
      <w:pPr>
        <w:pStyle w:val="NYBodyText"/>
        <w:rPr>
          <w:lang w:val="en-US"/>
        </w:rPr>
      </w:pPr>
      <w:r>
        <w:rPr>
          <w:lang w:val="en-US"/>
        </w:rPr>
        <w:t xml:space="preserve">Pre-UAT, E2E Testing, Regression Testing, and Performance Testing are essential functional testing because each collectively validate the system's functional integrity, integration, stability, and performance under expected load conditions. These tests confirm that the system is robust and meets the necessary requirements before proceeding to the final stages of testing. </w:t>
      </w:r>
    </w:p>
    <w:p w14:paraId="4D59F119" w14:textId="25C0FA67" w:rsidR="007327F0" w:rsidRPr="00A21682" w:rsidRDefault="007327F0" w:rsidP="009471F4">
      <w:pPr>
        <w:pStyle w:val="NYBodyText"/>
        <w:rPr>
          <w:rStyle w:val="eop"/>
          <w:lang w:val="en-US"/>
        </w:rPr>
      </w:pPr>
      <w:r>
        <w:rPr>
          <w:rStyle w:val="normaltextrun"/>
          <w:rFonts w:cs="Segoe UI"/>
          <w:lang w:val="en-US"/>
        </w:rPr>
        <w:t>E2E validates the interactions between integrated components within the entire application workflow. Establishing clear entry criteria for E2E is crucial to confirm system stability, environment readiness, and resource availability, thereby reducing risks and enhancing software quality.</w:t>
      </w:r>
      <w:r>
        <w:rPr>
          <w:rStyle w:val="eop"/>
          <w:lang w:val="en-US"/>
        </w:rPr>
        <w:t> </w:t>
      </w:r>
    </w:p>
    <w:p w14:paraId="0BA382CC" w14:textId="2F1F18AC" w:rsidR="00030089" w:rsidRPr="00A21682" w:rsidRDefault="00030089" w:rsidP="00F40705">
      <w:pPr>
        <w:pStyle w:val="Heading3"/>
        <w:rPr>
          <w:rStyle w:val="eop"/>
        </w:rPr>
      </w:pPr>
      <w:bookmarkStart w:id="623" w:name="_Toc192874718"/>
      <w:r>
        <w:rPr>
          <w:u w:color="000000"/>
        </w:rPr>
        <w:t>Phase</w:t>
      </w:r>
      <w:r>
        <w:rPr>
          <w:rStyle w:val="eop"/>
        </w:rPr>
        <w:t xml:space="preserve"> Entry Criteria (Functional ORT)</w:t>
      </w:r>
      <w:bookmarkEnd w:id="623"/>
    </w:p>
    <w:p w14:paraId="5AED4B6F" w14:textId="435DED83" w:rsidR="00A61A17" w:rsidRPr="00A21682" w:rsidRDefault="00A61A17" w:rsidP="009471F4">
      <w:pPr>
        <w:pStyle w:val="NYBodyText"/>
        <w:rPr>
          <w:rStyle w:val="eop"/>
          <w:lang w:val="en-US"/>
        </w:rPr>
      </w:pPr>
      <w:r>
        <w:rPr>
          <w:rStyle w:val="eop"/>
          <w:lang w:val="en-US"/>
        </w:rPr>
        <w:t xml:space="preserve">The following table describes the entry criteria with the associated document/artifacts for functional testing: </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5276"/>
        <w:gridCol w:w="3587"/>
      </w:tblGrid>
      <w:tr w:rsidR="00C42F5E" w:rsidRPr="00A21682" w14:paraId="35DA531A" w14:textId="77777777">
        <w:trPr>
          <w:trHeight w:val="300"/>
          <w:tblHeader/>
        </w:trPr>
        <w:tc>
          <w:tcPr>
            <w:tcW w:w="481" w:type="dxa"/>
            <w:tcBorders>
              <w:right w:val="single" w:sz="2" w:space="0" w:color="FFFFFF" w:themeColor="background1"/>
            </w:tcBorders>
            <w:shd w:val="clear" w:color="auto" w:fill="000000" w:themeFill="text1"/>
            <w:hideMark/>
          </w:tcPr>
          <w:p w14:paraId="4E6E4691" w14:textId="77777777" w:rsidR="00C42F5E" w:rsidRPr="00A21682" w:rsidRDefault="00C42F5E">
            <w:pPr>
              <w:pStyle w:val="TABLEHEADINGNEW"/>
              <w:rPr>
                <w:rFonts w:cstheme="minorHAnsi"/>
                <w:color w:val="auto"/>
                <w:szCs w:val="18"/>
              </w:rPr>
            </w:pPr>
            <w:r>
              <w:rPr>
                <w:rFonts w:cstheme="minorHAnsi"/>
                <w:color w:val="auto"/>
                <w:szCs w:val="18"/>
              </w:rPr>
              <w:t>#</w:t>
            </w:r>
          </w:p>
        </w:tc>
        <w:tc>
          <w:tcPr>
            <w:tcW w:w="5276" w:type="dxa"/>
            <w:tcBorders>
              <w:left w:val="single" w:sz="2" w:space="0" w:color="FFFFFF" w:themeColor="background1"/>
              <w:right w:val="single" w:sz="2" w:space="0" w:color="FFFFFF" w:themeColor="background1"/>
            </w:tcBorders>
            <w:shd w:val="clear" w:color="auto" w:fill="000000" w:themeFill="text1"/>
            <w:hideMark/>
          </w:tcPr>
          <w:p w14:paraId="77960236" w14:textId="77777777" w:rsidR="00C42F5E" w:rsidRPr="00A21682" w:rsidRDefault="00C42F5E">
            <w:pPr>
              <w:pStyle w:val="TABLEHEADINGNEW"/>
              <w:rPr>
                <w:rFonts w:cstheme="minorHAnsi"/>
                <w:color w:val="auto"/>
                <w:szCs w:val="18"/>
              </w:rPr>
            </w:pPr>
            <w:r>
              <w:rPr>
                <w:rFonts w:cstheme="minorHAnsi"/>
                <w:color w:val="auto"/>
                <w:szCs w:val="18"/>
              </w:rPr>
              <w:t>Entry Criteria</w:t>
            </w:r>
          </w:p>
        </w:tc>
        <w:tc>
          <w:tcPr>
            <w:tcW w:w="3587" w:type="dxa"/>
            <w:tcBorders>
              <w:left w:val="single" w:sz="2" w:space="0" w:color="FFFFFF" w:themeColor="background1"/>
            </w:tcBorders>
            <w:shd w:val="clear" w:color="auto" w:fill="000000" w:themeFill="text1"/>
          </w:tcPr>
          <w:p w14:paraId="50DFD424" w14:textId="77777777" w:rsidR="00C42F5E" w:rsidRPr="00A21682" w:rsidRDefault="00C42F5E">
            <w:pPr>
              <w:pStyle w:val="TABLEHEADINGNEW"/>
              <w:rPr>
                <w:rFonts w:cstheme="minorHAnsi"/>
                <w:color w:val="auto"/>
                <w:szCs w:val="18"/>
              </w:rPr>
            </w:pPr>
            <w:r>
              <w:rPr>
                <w:rFonts w:cstheme="minorHAnsi"/>
                <w:color w:val="auto"/>
                <w:szCs w:val="18"/>
              </w:rPr>
              <w:t>Related Document(s)/Artifact(s)</w:t>
            </w:r>
          </w:p>
        </w:tc>
      </w:tr>
      <w:tr w:rsidR="00C42F5E" w:rsidRPr="00A21682" w14:paraId="5B073541" w14:textId="77777777">
        <w:trPr>
          <w:trHeight w:val="300"/>
        </w:trPr>
        <w:tc>
          <w:tcPr>
            <w:tcW w:w="481" w:type="dxa"/>
            <w:hideMark/>
          </w:tcPr>
          <w:p w14:paraId="13B2E71D" w14:textId="77777777" w:rsidR="00C42F5E" w:rsidRPr="00A21682" w:rsidRDefault="00C42F5E" w:rsidP="00763BE3">
            <w:pPr>
              <w:pStyle w:val="TABLETEXT1"/>
              <w:rPr>
                <w:rFonts w:cstheme="minorHAnsi"/>
                <w:szCs w:val="18"/>
                <w:lang w:val="en-US"/>
              </w:rPr>
            </w:pPr>
            <w:r>
              <w:rPr>
                <w:rFonts w:cstheme="minorHAnsi"/>
                <w:szCs w:val="18"/>
                <w:lang w:val="en-US"/>
              </w:rPr>
              <w:t>1</w:t>
            </w:r>
          </w:p>
        </w:tc>
        <w:tc>
          <w:tcPr>
            <w:tcW w:w="5276" w:type="dxa"/>
          </w:tcPr>
          <w:p w14:paraId="5158EEC5" w14:textId="77777777" w:rsidR="00C42F5E" w:rsidRPr="00A21682" w:rsidRDefault="00C42F5E">
            <w:pPr>
              <w:pStyle w:val="TABLETEXT1"/>
              <w:rPr>
                <w:rFonts w:cstheme="minorHAnsi"/>
                <w:spacing w:val="-2"/>
                <w:szCs w:val="18"/>
                <w:lang w:val="en-US"/>
              </w:rPr>
            </w:pPr>
            <w:r>
              <w:rPr>
                <w:rFonts w:cstheme="minorHAnsi"/>
                <w:spacing w:val="-2"/>
                <w:szCs w:val="18"/>
                <w:lang w:val="en-US"/>
              </w:rPr>
              <w:t xml:space="preserve">100% SIT test cases up to Bundle 6 are executed with an 80% pass rate. </w:t>
            </w:r>
          </w:p>
        </w:tc>
        <w:tc>
          <w:tcPr>
            <w:tcW w:w="3587" w:type="dxa"/>
          </w:tcPr>
          <w:p w14:paraId="5BCCCDFC" w14:textId="77777777" w:rsidR="00C42F5E" w:rsidRPr="00F40705" w:rsidRDefault="00C42F5E" w:rsidP="006E5239">
            <w:pPr>
              <w:pStyle w:val="TABLEBULLETNEW"/>
            </w:pPr>
            <w:r>
              <w:t>SIT Test Results</w:t>
            </w:r>
          </w:p>
        </w:tc>
      </w:tr>
      <w:tr w:rsidR="00C42F5E" w:rsidRPr="00A21682" w14:paraId="3BDA068D" w14:textId="77777777">
        <w:trPr>
          <w:trHeight w:val="300"/>
        </w:trPr>
        <w:tc>
          <w:tcPr>
            <w:tcW w:w="481" w:type="dxa"/>
          </w:tcPr>
          <w:p w14:paraId="3E92F05B" w14:textId="77777777" w:rsidR="00C42F5E" w:rsidRPr="00A21682" w:rsidRDefault="00C42F5E" w:rsidP="00763BE3">
            <w:pPr>
              <w:pStyle w:val="TABLETEXT1"/>
              <w:rPr>
                <w:rFonts w:cstheme="minorHAnsi"/>
                <w:szCs w:val="18"/>
                <w:lang w:val="en-US"/>
              </w:rPr>
            </w:pPr>
            <w:r>
              <w:rPr>
                <w:rFonts w:cstheme="minorHAnsi"/>
                <w:szCs w:val="18"/>
                <w:lang w:val="en-US"/>
              </w:rPr>
              <w:t>2</w:t>
            </w:r>
          </w:p>
        </w:tc>
        <w:tc>
          <w:tcPr>
            <w:tcW w:w="5276" w:type="dxa"/>
          </w:tcPr>
          <w:p w14:paraId="261BA28F" w14:textId="77777777" w:rsidR="00C42F5E" w:rsidRPr="00A21682" w:rsidRDefault="00C42F5E">
            <w:pPr>
              <w:pStyle w:val="TABLETEXT1"/>
              <w:rPr>
                <w:rFonts w:cstheme="minorHAnsi"/>
                <w:szCs w:val="18"/>
                <w:lang w:val="en-US"/>
              </w:rPr>
            </w:pPr>
            <w:r>
              <w:rPr>
                <w:rFonts w:cstheme="minorHAnsi"/>
                <w:szCs w:val="18"/>
                <w:lang w:val="en-US"/>
              </w:rPr>
              <w:t>No open critical or high SIT defects up to Bundle 6, and resolution plan for all medium and low defects.</w:t>
            </w:r>
          </w:p>
        </w:tc>
        <w:tc>
          <w:tcPr>
            <w:tcW w:w="3587" w:type="dxa"/>
          </w:tcPr>
          <w:p w14:paraId="0D381714" w14:textId="77777777" w:rsidR="00C42F5E" w:rsidRPr="00F40705" w:rsidRDefault="00C42F5E" w:rsidP="006E5239">
            <w:pPr>
              <w:pStyle w:val="TABLEBULLETNEW"/>
            </w:pPr>
            <w:r>
              <w:t>SIT Test Results</w:t>
            </w:r>
          </w:p>
        </w:tc>
      </w:tr>
      <w:tr w:rsidR="00C42F5E" w:rsidRPr="00A21682" w14:paraId="23503565" w14:textId="77777777">
        <w:trPr>
          <w:trHeight w:val="300"/>
        </w:trPr>
        <w:tc>
          <w:tcPr>
            <w:tcW w:w="481" w:type="dxa"/>
          </w:tcPr>
          <w:p w14:paraId="363A101D" w14:textId="77777777" w:rsidR="00C42F5E" w:rsidRPr="00A21682" w:rsidRDefault="00C42F5E" w:rsidP="00763BE3">
            <w:pPr>
              <w:pStyle w:val="TABLETEXT1"/>
              <w:rPr>
                <w:rFonts w:cstheme="minorHAnsi"/>
                <w:szCs w:val="18"/>
                <w:lang w:val="en-US"/>
              </w:rPr>
            </w:pPr>
            <w:r>
              <w:rPr>
                <w:rFonts w:cstheme="minorHAnsi"/>
                <w:szCs w:val="18"/>
                <w:lang w:val="en-US"/>
              </w:rPr>
              <w:t>3</w:t>
            </w:r>
          </w:p>
        </w:tc>
        <w:tc>
          <w:tcPr>
            <w:tcW w:w="5276" w:type="dxa"/>
          </w:tcPr>
          <w:p w14:paraId="5BEFA8DB" w14:textId="5099AECF" w:rsidR="00C42F5E" w:rsidRPr="00A21682" w:rsidRDefault="00C42F5E">
            <w:pPr>
              <w:pStyle w:val="TABLETEXT1"/>
              <w:rPr>
                <w:rFonts w:cstheme="minorHAnsi"/>
                <w:szCs w:val="18"/>
                <w:lang w:val="en-US"/>
              </w:rPr>
            </w:pPr>
            <w:r>
              <w:rPr>
                <w:rFonts w:cstheme="minorHAnsi"/>
                <w:szCs w:val="18"/>
                <w:lang w:val="en-US"/>
              </w:rPr>
              <w:t>All interface testing up to Bundle 4 is complete. All high and critical defects have been resolved.</w:t>
            </w:r>
          </w:p>
          <w:p w14:paraId="6C88E78C" w14:textId="0CE4960F" w:rsidR="00643BA7" w:rsidRPr="00A21682" w:rsidRDefault="00D13610">
            <w:pPr>
              <w:pStyle w:val="TABLETEXT1"/>
              <w:rPr>
                <w:rFonts w:cstheme="minorHAnsi"/>
                <w:szCs w:val="18"/>
                <w:lang w:val="en-US"/>
              </w:rPr>
            </w:pPr>
            <w:r>
              <w:rPr>
                <w:rFonts w:cstheme="minorHAnsi"/>
                <w:szCs w:val="18"/>
                <w:lang w:val="en-US"/>
              </w:rPr>
              <w:t>All Critical (Priority 1) interfaces need to go through/complete trading partner testing and be available for SIT end to end testing.</w:t>
            </w:r>
          </w:p>
        </w:tc>
        <w:tc>
          <w:tcPr>
            <w:tcW w:w="3587" w:type="dxa"/>
          </w:tcPr>
          <w:p w14:paraId="5B27DCD8" w14:textId="77777777" w:rsidR="00C42F5E" w:rsidRPr="00F40705" w:rsidRDefault="00C42F5E" w:rsidP="006E5239">
            <w:pPr>
              <w:pStyle w:val="TABLEBULLETNEW"/>
            </w:pPr>
            <w:r>
              <w:t>SIT Test Results</w:t>
            </w:r>
          </w:p>
        </w:tc>
      </w:tr>
      <w:tr w:rsidR="001937DA" w:rsidRPr="00A21682" w14:paraId="4FBCA824" w14:textId="77777777">
        <w:trPr>
          <w:trHeight w:val="300"/>
        </w:trPr>
        <w:tc>
          <w:tcPr>
            <w:tcW w:w="481" w:type="dxa"/>
          </w:tcPr>
          <w:p w14:paraId="53DF26AF" w14:textId="630E09D3" w:rsidR="001937DA" w:rsidRPr="00A21682" w:rsidRDefault="004C127F" w:rsidP="00763BE3">
            <w:pPr>
              <w:pStyle w:val="TABLETEXT1"/>
              <w:rPr>
                <w:rFonts w:cstheme="minorHAnsi"/>
                <w:szCs w:val="18"/>
                <w:lang w:val="en-US"/>
              </w:rPr>
            </w:pPr>
            <w:r>
              <w:rPr>
                <w:rFonts w:cstheme="minorHAnsi"/>
                <w:szCs w:val="18"/>
                <w:lang w:val="en-US"/>
              </w:rPr>
              <w:t>4</w:t>
            </w:r>
          </w:p>
        </w:tc>
        <w:tc>
          <w:tcPr>
            <w:tcW w:w="5276" w:type="dxa"/>
          </w:tcPr>
          <w:p w14:paraId="723BFD0E" w14:textId="77777777" w:rsidR="008F1051" w:rsidRPr="00A21682" w:rsidRDefault="008F1051" w:rsidP="008F1051">
            <w:pPr>
              <w:pStyle w:val="TABLETEXT1"/>
              <w:rPr>
                <w:rFonts w:cstheme="minorHAnsi"/>
                <w:szCs w:val="18"/>
                <w:lang w:val="en-US"/>
              </w:rPr>
            </w:pPr>
            <w:r>
              <w:rPr>
                <w:rFonts w:cstheme="minorHAnsi"/>
                <w:szCs w:val="18"/>
                <w:lang w:val="en-US"/>
              </w:rPr>
              <w:t xml:space="preserve">There should be no new CRs that impact the foundational solution after SIT E2E begins. </w:t>
            </w:r>
          </w:p>
          <w:p w14:paraId="32DBF126" w14:textId="0268007E" w:rsidR="001937DA" w:rsidRPr="00A21682" w:rsidRDefault="008F1051" w:rsidP="008F1051">
            <w:pPr>
              <w:pStyle w:val="TABLETEXT1"/>
              <w:rPr>
                <w:rFonts w:cstheme="minorHAnsi"/>
                <w:szCs w:val="18"/>
                <w:lang w:val="en-US"/>
              </w:rPr>
            </w:pPr>
            <w:r>
              <w:rPr>
                <w:rFonts w:cstheme="minorHAnsi"/>
                <w:szCs w:val="18"/>
                <w:lang w:val="en-US"/>
              </w:rPr>
              <w:t>Ancillary CRs tied to non-foundational items, such as reports or language changes, can be approved following discussion.</w:t>
            </w:r>
          </w:p>
        </w:tc>
        <w:tc>
          <w:tcPr>
            <w:tcW w:w="3587" w:type="dxa"/>
          </w:tcPr>
          <w:p w14:paraId="3ABF1606" w14:textId="6630392B" w:rsidR="001937DA" w:rsidRPr="00F40705" w:rsidRDefault="004C127F" w:rsidP="006E5239">
            <w:pPr>
              <w:pStyle w:val="TABLEBULLETNEW"/>
            </w:pPr>
            <w:r>
              <w:t>N/A</w:t>
            </w:r>
          </w:p>
        </w:tc>
      </w:tr>
      <w:tr w:rsidR="00C42F5E" w:rsidRPr="00A21682" w14:paraId="33FD8C53" w14:textId="77777777">
        <w:trPr>
          <w:trHeight w:val="300"/>
        </w:trPr>
        <w:tc>
          <w:tcPr>
            <w:tcW w:w="481" w:type="dxa"/>
          </w:tcPr>
          <w:p w14:paraId="571D1EE2" w14:textId="7095BBDA" w:rsidR="00C42F5E" w:rsidRPr="00A21682" w:rsidRDefault="004C127F" w:rsidP="00763BE3">
            <w:pPr>
              <w:pStyle w:val="TABLETEXT1"/>
              <w:rPr>
                <w:rFonts w:cstheme="minorHAnsi"/>
                <w:szCs w:val="18"/>
                <w:lang w:val="en-US"/>
              </w:rPr>
            </w:pPr>
            <w:r>
              <w:rPr>
                <w:rFonts w:cstheme="minorHAnsi"/>
                <w:szCs w:val="18"/>
                <w:lang w:val="en-US"/>
              </w:rPr>
              <w:t>5</w:t>
            </w:r>
          </w:p>
        </w:tc>
        <w:tc>
          <w:tcPr>
            <w:tcW w:w="5276" w:type="dxa"/>
          </w:tcPr>
          <w:p w14:paraId="1336B0FA" w14:textId="2D4ACD40" w:rsidR="00C42F5E" w:rsidRPr="00A21682" w:rsidRDefault="00C42F5E">
            <w:pPr>
              <w:pStyle w:val="TABLETEXT1"/>
              <w:rPr>
                <w:rFonts w:cstheme="minorHAnsi"/>
                <w:szCs w:val="18"/>
                <w:lang w:val="en-US"/>
              </w:rPr>
            </w:pPr>
            <w:r>
              <w:rPr>
                <w:rFonts w:cstheme="minorHAnsi"/>
                <w:szCs w:val="18"/>
                <w:lang w:val="en-US"/>
              </w:rPr>
              <w:t>Connectivity is established for all interfaces in scope until Bundle 5.</w:t>
            </w:r>
          </w:p>
        </w:tc>
        <w:tc>
          <w:tcPr>
            <w:tcW w:w="3587" w:type="dxa"/>
          </w:tcPr>
          <w:p w14:paraId="34301760" w14:textId="572DBC97" w:rsidR="00C42F5E" w:rsidRPr="00F40705" w:rsidRDefault="00AB78C3" w:rsidP="006E5239">
            <w:pPr>
              <w:pStyle w:val="TABLEBULLETNEW"/>
            </w:pPr>
            <w:r>
              <w:t>N/A</w:t>
            </w:r>
          </w:p>
        </w:tc>
      </w:tr>
      <w:tr w:rsidR="00C42F5E" w:rsidRPr="00A21682" w14:paraId="05D740D6" w14:textId="77777777">
        <w:trPr>
          <w:trHeight w:val="300"/>
        </w:trPr>
        <w:tc>
          <w:tcPr>
            <w:tcW w:w="481" w:type="dxa"/>
          </w:tcPr>
          <w:p w14:paraId="20FD2CD0" w14:textId="373B523C" w:rsidR="00C42F5E" w:rsidRPr="00A21682" w:rsidRDefault="004C127F" w:rsidP="00763BE3">
            <w:pPr>
              <w:pStyle w:val="TABLETEXT1"/>
              <w:rPr>
                <w:rFonts w:cstheme="minorHAnsi"/>
                <w:szCs w:val="18"/>
                <w:lang w:val="en-US"/>
              </w:rPr>
            </w:pPr>
            <w:r>
              <w:rPr>
                <w:rFonts w:cstheme="minorHAnsi"/>
                <w:szCs w:val="18"/>
                <w:lang w:val="en-US"/>
              </w:rPr>
              <w:lastRenderedPageBreak/>
              <w:t>6</w:t>
            </w:r>
          </w:p>
        </w:tc>
        <w:tc>
          <w:tcPr>
            <w:tcW w:w="5276" w:type="dxa"/>
          </w:tcPr>
          <w:p w14:paraId="2BACE72E" w14:textId="77777777" w:rsidR="00C42F5E" w:rsidRPr="00A21682" w:rsidRDefault="00C42F5E">
            <w:pPr>
              <w:pStyle w:val="TABLETEXT1"/>
              <w:rPr>
                <w:rFonts w:cstheme="minorHAnsi"/>
                <w:b/>
                <w:bCs/>
                <w:szCs w:val="18"/>
                <w:lang w:val="en-US"/>
              </w:rPr>
            </w:pPr>
            <w:r>
              <w:rPr>
                <w:rFonts w:cstheme="minorHAnsi"/>
                <w:szCs w:val="18"/>
                <w:lang w:val="en-US"/>
              </w:rPr>
              <w:t>The following conversion activities must be complete:</w:t>
            </w:r>
          </w:p>
          <w:p w14:paraId="232D8B5B" w14:textId="77777777" w:rsidR="00C42F5E" w:rsidRPr="00617A25" w:rsidRDefault="00C42F5E" w:rsidP="006E5239">
            <w:pPr>
              <w:pStyle w:val="TABLEBULLETNEW"/>
            </w:pPr>
            <w:r>
              <w:t>Receive synthetic data from GDIT NYSOH</w:t>
            </w:r>
          </w:p>
          <w:p w14:paraId="2547EC04" w14:textId="77777777" w:rsidR="00C42F5E" w:rsidRPr="00617A25" w:rsidRDefault="00C42F5E" w:rsidP="006E5239">
            <w:pPr>
              <w:pStyle w:val="TABLEBULLETNEW"/>
            </w:pPr>
            <w:r>
              <w:t>Obtain production data to be used in SIT C environment</w:t>
            </w:r>
          </w:p>
          <w:p w14:paraId="533613A5" w14:textId="77777777" w:rsidR="00C42F5E" w:rsidRPr="00617A25" w:rsidRDefault="00C42F5E" w:rsidP="006E5239">
            <w:pPr>
              <w:pStyle w:val="TABLEBULLETNEW"/>
            </w:pPr>
            <w:r>
              <w:t>Collect the complete backlog data GDIT NYSOH</w:t>
            </w:r>
          </w:p>
          <w:p w14:paraId="5C9C71A3" w14:textId="77777777" w:rsidR="00C42F5E" w:rsidRPr="00617A25" w:rsidRDefault="00C42F5E" w:rsidP="006E5239">
            <w:pPr>
              <w:pStyle w:val="TABLEBULLETNEW"/>
            </w:pPr>
            <w:r>
              <w:t>Conduct a thorough data quality (DQ) assessment on the complete backlog data and share the DQ report with GDIT NYSOH</w:t>
            </w:r>
          </w:p>
          <w:p w14:paraId="78C06C1A" w14:textId="77777777" w:rsidR="00C42F5E" w:rsidRPr="00F40705" w:rsidRDefault="00C42F5E" w:rsidP="006E5239">
            <w:pPr>
              <w:pStyle w:val="TABLEBULLETNEW"/>
            </w:pPr>
            <w:r>
              <w:t>Receive the full backlog file to initiate the first mock run from GDIT NYSOH</w:t>
            </w:r>
          </w:p>
          <w:p w14:paraId="0A55035D" w14:textId="77777777" w:rsidR="00C42F5E" w:rsidRPr="00DE03E6" w:rsidRDefault="00C42F5E" w:rsidP="006E5239">
            <w:pPr>
              <w:pStyle w:val="TABLEBULLETNEW"/>
            </w:pPr>
            <w:r>
              <w:t>Execute the first mock run and prepare a detailed mock run report to be shared with GDIT NYSOH</w:t>
            </w:r>
          </w:p>
          <w:p w14:paraId="0900253F" w14:textId="3D201445" w:rsidR="004C127F" w:rsidRPr="00A21682" w:rsidRDefault="0062772D" w:rsidP="006E5239">
            <w:pPr>
              <w:pStyle w:val="TABLEBULLETNEW"/>
              <w:rPr>
                <w:rFonts w:eastAsiaTheme="majorEastAsia" w:cstheme="minorHAnsi"/>
              </w:rPr>
            </w:pPr>
            <w:r>
              <w:t>Execute first round of conversion case lifecycle test cases</w:t>
            </w:r>
          </w:p>
        </w:tc>
        <w:tc>
          <w:tcPr>
            <w:tcW w:w="3587" w:type="dxa"/>
          </w:tcPr>
          <w:p w14:paraId="65A1A8D8" w14:textId="444C31F0" w:rsidR="00C42F5E" w:rsidRPr="00DE03E6" w:rsidRDefault="00243DB7" w:rsidP="006E5239">
            <w:pPr>
              <w:pStyle w:val="TABLEBULLETNEW"/>
            </w:pPr>
            <w:r>
              <w:t>N/A</w:t>
            </w:r>
          </w:p>
        </w:tc>
      </w:tr>
      <w:tr w:rsidR="00C42F5E" w:rsidRPr="00A21682" w14:paraId="5CB4C10A" w14:textId="77777777">
        <w:trPr>
          <w:trHeight w:val="300"/>
        </w:trPr>
        <w:tc>
          <w:tcPr>
            <w:tcW w:w="481" w:type="dxa"/>
          </w:tcPr>
          <w:p w14:paraId="2DDF0778" w14:textId="054730F9" w:rsidR="00C42F5E" w:rsidRPr="00A21682" w:rsidRDefault="004C127F" w:rsidP="00763BE3">
            <w:pPr>
              <w:pStyle w:val="TABLETEXT1"/>
              <w:rPr>
                <w:rFonts w:cstheme="minorHAnsi"/>
                <w:szCs w:val="18"/>
                <w:lang w:val="en-US"/>
              </w:rPr>
            </w:pPr>
            <w:r>
              <w:rPr>
                <w:rFonts w:cstheme="minorHAnsi"/>
                <w:szCs w:val="18"/>
                <w:lang w:val="en-US"/>
              </w:rPr>
              <w:t>7</w:t>
            </w:r>
          </w:p>
        </w:tc>
        <w:tc>
          <w:tcPr>
            <w:tcW w:w="5276" w:type="dxa"/>
          </w:tcPr>
          <w:p w14:paraId="602E4322" w14:textId="77777777" w:rsidR="00C42F5E" w:rsidRPr="00A21682" w:rsidRDefault="00C42F5E" w:rsidP="00CE12F6">
            <w:pPr>
              <w:pStyle w:val="TABLETEXT1"/>
              <w:rPr>
                <w:rFonts w:cstheme="minorHAnsi"/>
                <w:szCs w:val="18"/>
                <w:lang w:val="en-US"/>
              </w:rPr>
            </w:pPr>
            <w:r>
              <w:rPr>
                <w:rFonts w:cstheme="minorHAnsi"/>
                <w:szCs w:val="18"/>
                <w:lang w:val="en-US"/>
              </w:rPr>
              <w:t>Approvals of all design documentation</w:t>
            </w:r>
          </w:p>
          <w:p w14:paraId="69D2668F" w14:textId="77777777" w:rsidR="00C42F5E" w:rsidRPr="00A21682" w:rsidRDefault="00C42F5E" w:rsidP="006E5239">
            <w:pPr>
              <w:pStyle w:val="TABLEBULLETNEW"/>
              <w:rPr>
                <w:rStyle w:val="cf01"/>
                <w:rFonts w:ascii="Verdana" w:eastAsiaTheme="majorEastAsia" w:hAnsi="Verdana" w:cstheme="minorHAnsi"/>
                <w:sz w:val="18"/>
                <w:szCs w:val="18"/>
              </w:rPr>
            </w:pPr>
            <w:r>
              <w:rPr>
                <w:rStyle w:val="cf01"/>
                <w:rFonts w:ascii="Verdana" w:eastAsiaTheme="majorEastAsia" w:hAnsi="Verdana" w:cstheme="minorHAnsi"/>
                <w:sz w:val="18"/>
                <w:szCs w:val="18"/>
              </w:rPr>
              <w:t xml:space="preserve">Clearly define concurrence has been reached for </w:t>
            </w:r>
            <w:r>
              <w:t>FDDs and ICDs</w:t>
            </w:r>
          </w:p>
          <w:p w14:paraId="47B57BC7" w14:textId="77777777" w:rsidR="00C42F5E" w:rsidRPr="00A21682" w:rsidRDefault="00C42F5E" w:rsidP="006E5239">
            <w:pPr>
              <w:pStyle w:val="TABLEBULLETNEW"/>
            </w:pPr>
            <w:r>
              <w:t>Post-concurrence</w:t>
            </w:r>
            <w:r>
              <w:rPr>
                <w:rStyle w:val="cf01"/>
                <w:rFonts w:ascii="Verdana" w:eastAsiaTheme="majorEastAsia" w:hAnsi="Verdana" w:cstheme="minorHAnsi"/>
                <w:sz w:val="18"/>
                <w:szCs w:val="18"/>
              </w:rPr>
              <w:t>/approval design updates and where designs may be at this time</w:t>
            </w:r>
          </w:p>
        </w:tc>
        <w:tc>
          <w:tcPr>
            <w:tcW w:w="3587" w:type="dxa"/>
          </w:tcPr>
          <w:p w14:paraId="185A567D" w14:textId="46097267" w:rsidR="00C42F5E" w:rsidRPr="00617A25" w:rsidRDefault="00243DB7" w:rsidP="006E5239">
            <w:pPr>
              <w:pStyle w:val="TABLEBULLETNEW"/>
            </w:pPr>
            <w:r>
              <w:t>Iteration 1-2, Bundle 1-6 FDDs and ICDs</w:t>
            </w:r>
          </w:p>
        </w:tc>
      </w:tr>
      <w:tr w:rsidR="00C42F5E" w:rsidRPr="00A21682" w14:paraId="4E471748" w14:textId="77777777">
        <w:trPr>
          <w:trHeight w:val="300"/>
        </w:trPr>
        <w:tc>
          <w:tcPr>
            <w:tcW w:w="481" w:type="dxa"/>
          </w:tcPr>
          <w:p w14:paraId="1D5E8F5A" w14:textId="69428A9A" w:rsidR="00C42F5E" w:rsidRPr="00A21682" w:rsidRDefault="004C127F" w:rsidP="00763BE3">
            <w:pPr>
              <w:pStyle w:val="TABLETEXT1"/>
              <w:rPr>
                <w:rFonts w:cstheme="minorHAnsi"/>
                <w:szCs w:val="18"/>
                <w:lang w:val="en-US"/>
              </w:rPr>
            </w:pPr>
            <w:r>
              <w:rPr>
                <w:rFonts w:cstheme="minorHAnsi"/>
                <w:szCs w:val="18"/>
                <w:lang w:val="en-US"/>
              </w:rPr>
              <w:t>8</w:t>
            </w:r>
          </w:p>
        </w:tc>
        <w:tc>
          <w:tcPr>
            <w:tcW w:w="5276" w:type="dxa"/>
          </w:tcPr>
          <w:p w14:paraId="4FAE26B1" w14:textId="77777777" w:rsidR="00C42F5E" w:rsidRPr="00A21682" w:rsidRDefault="00C42F5E">
            <w:pPr>
              <w:pStyle w:val="TABLETEXT1"/>
              <w:rPr>
                <w:rFonts w:cstheme="minorBidi"/>
                <w:szCs w:val="18"/>
                <w:lang w:val="en-US"/>
              </w:rPr>
            </w:pPr>
            <w:r>
              <w:rPr>
                <w:rFonts w:cstheme="minorBidi"/>
                <w:szCs w:val="18"/>
                <w:lang w:val="en-US"/>
              </w:rPr>
              <w:t>Batch Scheduling and Running: Automating tasks to run at specific times for optimal system performance</w:t>
            </w:r>
          </w:p>
        </w:tc>
        <w:tc>
          <w:tcPr>
            <w:tcW w:w="3587" w:type="dxa"/>
          </w:tcPr>
          <w:p w14:paraId="670F3A93" w14:textId="16CC6D47" w:rsidR="00C42F5E" w:rsidRPr="00DE03E6" w:rsidRDefault="00313916" w:rsidP="006E5239">
            <w:pPr>
              <w:pStyle w:val="TABLEBULLETNEW"/>
            </w:pPr>
            <w:r>
              <w:t>Batch Schedule</w:t>
            </w:r>
          </w:p>
        </w:tc>
      </w:tr>
      <w:tr w:rsidR="0062772D" w:rsidRPr="00A21682" w14:paraId="526C5CE5" w14:textId="77777777">
        <w:trPr>
          <w:trHeight w:val="300"/>
        </w:trPr>
        <w:tc>
          <w:tcPr>
            <w:tcW w:w="481" w:type="dxa"/>
          </w:tcPr>
          <w:p w14:paraId="710A2AB1" w14:textId="2234AF9C" w:rsidR="0062772D" w:rsidRPr="00A21682" w:rsidRDefault="0062772D" w:rsidP="00763BE3">
            <w:pPr>
              <w:pStyle w:val="TABLETEXT1"/>
              <w:rPr>
                <w:rFonts w:cstheme="minorHAnsi"/>
                <w:szCs w:val="18"/>
                <w:lang w:val="en-US"/>
              </w:rPr>
            </w:pPr>
            <w:r>
              <w:rPr>
                <w:rFonts w:cstheme="minorHAnsi"/>
                <w:szCs w:val="18"/>
                <w:lang w:val="en-US"/>
              </w:rPr>
              <w:t>9</w:t>
            </w:r>
          </w:p>
        </w:tc>
        <w:tc>
          <w:tcPr>
            <w:tcW w:w="5276" w:type="dxa"/>
          </w:tcPr>
          <w:p w14:paraId="2E14B985" w14:textId="613BE47F" w:rsidR="0062772D" w:rsidRPr="00A21682" w:rsidRDefault="00657F5C">
            <w:pPr>
              <w:pStyle w:val="TABLETEXT1"/>
              <w:rPr>
                <w:rFonts w:cstheme="minorBidi"/>
                <w:szCs w:val="18"/>
                <w:lang w:val="en-US"/>
              </w:rPr>
            </w:pPr>
            <w:r>
              <w:rPr>
                <w:rFonts w:cstheme="minorBidi"/>
                <w:szCs w:val="18"/>
                <w:lang w:val="en-US"/>
              </w:rPr>
              <w:t>Infrastructure and security items such as file transfer, encryption, security testing, data masking, and logging and monitoring must be completed.</w:t>
            </w:r>
          </w:p>
        </w:tc>
        <w:tc>
          <w:tcPr>
            <w:tcW w:w="3587" w:type="dxa"/>
          </w:tcPr>
          <w:p w14:paraId="6C1DE879" w14:textId="61AC1591" w:rsidR="0062772D" w:rsidRPr="00DE03E6" w:rsidRDefault="00E02C2A" w:rsidP="006E5239">
            <w:pPr>
              <w:pStyle w:val="TABLEBULLETNEW"/>
            </w:pPr>
            <w:r>
              <w:t>Infrastructure and Security</w:t>
            </w:r>
          </w:p>
        </w:tc>
      </w:tr>
    </w:tbl>
    <w:p w14:paraId="66A9F4AF" w14:textId="13DC1FE4" w:rsidR="00C42F5E" w:rsidRPr="00A21682" w:rsidRDefault="00C42F5E" w:rsidP="00C42F5E">
      <w:pPr>
        <w:pStyle w:val="Caption"/>
        <w:rPr>
          <w:noProof w:val="0"/>
        </w:rPr>
      </w:pPr>
      <w:bookmarkStart w:id="624" w:name="_Toc192875113"/>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28</w:t>
      </w:r>
      <w:r>
        <w:rPr>
          <w:noProof w:val="0"/>
        </w:rPr>
        <w:fldChar w:fldCharType="end"/>
      </w:r>
      <w:r>
        <w:rPr>
          <w:noProof w:val="0"/>
        </w:rPr>
        <w:t>: Functional Testing Entry Criteria</w:t>
      </w:r>
      <w:bookmarkEnd w:id="624"/>
    </w:p>
    <w:p w14:paraId="57957DF0" w14:textId="0E3F14CD" w:rsidR="00F00134" w:rsidRPr="00AB4AF6" w:rsidRDefault="006333EF" w:rsidP="005F37FD">
      <w:pPr>
        <w:pStyle w:val="Heading3"/>
        <w:rPr>
          <w:highlight w:val="yellow"/>
          <w:u w:color="000000"/>
        </w:rPr>
      </w:pPr>
      <w:bookmarkStart w:id="625" w:name="_Toc186884071"/>
      <w:bookmarkStart w:id="626" w:name="_Toc187427813"/>
      <w:bookmarkStart w:id="627" w:name="_Toc188450189"/>
      <w:bookmarkStart w:id="628" w:name="_Toc188619081"/>
      <w:bookmarkStart w:id="629" w:name="_Toc186884072"/>
      <w:bookmarkStart w:id="630" w:name="_Toc187427814"/>
      <w:bookmarkStart w:id="631" w:name="_Toc188450190"/>
      <w:bookmarkStart w:id="632" w:name="_Toc188619082"/>
      <w:bookmarkStart w:id="633" w:name="_Toc186884117"/>
      <w:bookmarkStart w:id="634" w:name="_Toc187427859"/>
      <w:bookmarkStart w:id="635" w:name="_Toc188450235"/>
      <w:bookmarkStart w:id="636" w:name="_Toc188619127"/>
      <w:bookmarkStart w:id="637" w:name="_Toc185952549"/>
      <w:bookmarkStart w:id="638" w:name="_Toc192874719"/>
      <w:bookmarkEnd w:id="625"/>
      <w:bookmarkEnd w:id="626"/>
      <w:bookmarkEnd w:id="627"/>
      <w:bookmarkEnd w:id="628"/>
      <w:bookmarkEnd w:id="629"/>
      <w:bookmarkEnd w:id="630"/>
      <w:bookmarkEnd w:id="631"/>
      <w:bookmarkEnd w:id="632"/>
      <w:bookmarkEnd w:id="633"/>
      <w:bookmarkEnd w:id="634"/>
      <w:bookmarkEnd w:id="635"/>
      <w:bookmarkEnd w:id="636"/>
      <w:r>
        <w:rPr>
          <w:highlight w:val="yellow"/>
          <w:u w:color="000000"/>
        </w:rPr>
        <w:t>Security and Failover Testing</w:t>
      </w:r>
      <w:bookmarkEnd w:id="637"/>
      <w:bookmarkEnd w:id="638"/>
    </w:p>
    <w:p w14:paraId="4CDF3202" w14:textId="793EF5C4" w:rsidR="00B67DB5" w:rsidRPr="00AB4AF6" w:rsidRDefault="00B67DB5" w:rsidP="009471F4">
      <w:pPr>
        <w:pStyle w:val="NYBodyText"/>
        <w:rPr>
          <w:highlight w:val="yellow"/>
          <w:lang w:val="en-US"/>
        </w:rPr>
      </w:pPr>
      <w:r>
        <w:rPr>
          <w:highlight w:val="yellow"/>
          <w:lang w:val="en-US"/>
        </w:rPr>
        <w:t>Security Testing identifies vulnerabilities and protects the organization against unauthorized access, while Failover Testing verifies the system's ability to maintain continuity and recover from failures. Conducting these tests confirms that the system is not only functional but also resilient and ready for production.</w:t>
      </w:r>
    </w:p>
    <w:p w14:paraId="54E92E82" w14:textId="77777777" w:rsidR="00B67DB5" w:rsidRPr="00AB4AF6" w:rsidRDefault="00B67DB5" w:rsidP="009471F4">
      <w:pPr>
        <w:pStyle w:val="NYBodyText"/>
        <w:rPr>
          <w:highlight w:val="yellow"/>
          <w:lang w:val="en-US"/>
        </w:rPr>
      </w:pPr>
      <w:r>
        <w:rPr>
          <w:highlight w:val="yellow"/>
          <w:lang w:val="en-US"/>
        </w:rPr>
        <w:t>Security Testing is a critical process aimed at identifying vulnerabilities, threats, and risks within a software application. This type of testing focuses on uncovering potential security flaws, thereby protecting the system from unauthorized access, data breaches, and other security threats. Techniques such as vulnerability scanning, security auditing, and code review are employed to thoroughly examine the system's defenses. By addressing the identified issues, Security Testing fortifies the application's security, safeguards sensitive data, and maintains the integrity and confidentiality of the system.</w:t>
      </w:r>
    </w:p>
    <w:p w14:paraId="703B53C2" w14:textId="77777777" w:rsidR="000663BE" w:rsidRPr="00A21682" w:rsidRDefault="002C7E52" w:rsidP="009471F4">
      <w:pPr>
        <w:pStyle w:val="NYBodyText"/>
        <w:rPr>
          <w:lang w:val="en-US"/>
        </w:rPr>
      </w:pPr>
      <w:r>
        <w:rPr>
          <w:highlight w:val="yellow"/>
          <w:lang w:val="en-US"/>
        </w:rPr>
        <w:t xml:space="preserve">Failover Testing is a vital component of a robust disaster recovery strategy, designed to verify the continuity and reliability of IT systems in the event of a failure. This process involves simulating a failure and confirming that the backup system can seamlessly take over operations without data loss or significant downtime. By rigorously testing the failover mechanisms, ███████ and DOH can identify potential weaknesses, validate recovery procedures, and demonstrate that the system can maintain operational integrity under adverse conditions. Effective Failover Testing enhances system </w:t>
      </w:r>
      <w:r>
        <w:rPr>
          <w:highlight w:val="yellow"/>
          <w:lang w:val="en-US"/>
        </w:rPr>
        <w:lastRenderedPageBreak/>
        <w:t>resilience and builds confidence</w:t>
      </w:r>
      <w:r>
        <w:rPr>
          <w:lang w:val="en-US"/>
        </w:rPr>
        <w:t xml:space="preserve"> </w:t>
      </w:r>
      <w:r>
        <w:rPr>
          <w:highlight w:val="yellow"/>
          <w:lang w:val="en-US"/>
        </w:rPr>
        <w:t>among stakeholders that the organization is well-prepared to handle unexpected disruptions.</w:t>
      </w:r>
      <w:r>
        <w:rPr>
          <w:lang w:val="en-US"/>
        </w:rPr>
        <w:t xml:space="preserve"> </w:t>
      </w:r>
    </w:p>
    <w:p w14:paraId="404101B9" w14:textId="25123B7F" w:rsidR="00056F68" w:rsidRPr="00A21682" w:rsidRDefault="00030089" w:rsidP="00DE03E6">
      <w:pPr>
        <w:pStyle w:val="Heading3"/>
      </w:pPr>
      <w:bookmarkStart w:id="639" w:name="_Toc192874720"/>
      <w:r>
        <w:t xml:space="preserve">Phase Entry </w:t>
      </w:r>
      <w:r>
        <w:rPr>
          <w:u w:color="000000"/>
        </w:rPr>
        <w:t>Criteria</w:t>
      </w:r>
      <w:r>
        <w:t xml:space="preserve"> (Security and Failover ORT)</w:t>
      </w:r>
      <w:bookmarkEnd w:id="639"/>
    </w:p>
    <w:p w14:paraId="2E1375E3" w14:textId="758100D6" w:rsidR="00DD4682" w:rsidRPr="00A21682" w:rsidRDefault="00531A19" w:rsidP="009471F4">
      <w:pPr>
        <w:pStyle w:val="NYBodyText"/>
        <w:rPr>
          <w:lang w:val="en-US"/>
        </w:rPr>
      </w:pPr>
      <w:r>
        <w:rPr>
          <w:lang w:val="en-US"/>
        </w:rPr>
        <w:t>The following table describes the entry criteria with the associated document/artifacts for Security and Failover Testing:</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E6461C" w:rsidRPr="00A21682" w14:paraId="49E12CF6" w14:textId="77777777">
        <w:trPr>
          <w:trHeight w:val="300"/>
          <w:tblHeader/>
        </w:trPr>
        <w:tc>
          <w:tcPr>
            <w:tcW w:w="481" w:type="dxa"/>
            <w:tcBorders>
              <w:right w:val="single" w:sz="2" w:space="0" w:color="FFFFFF" w:themeColor="background1"/>
            </w:tcBorders>
            <w:shd w:val="clear" w:color="auto" w:fill="000000"/>
            <w:hideMark/>
          </w:tcPr>
          <w:p w14:paraId="2898042D" w14:textId="77777777" w:rsidR="00E6461C" w:rsidRPr="00A21682" w:rsidRDefault="00E6461C">
            <w:pPr>
              <w:pStyle w:val="TABLEHEADINGNEW"/>
              <w:rPr>
                <w:rFonts w:cstheme="minorHAnsi"/>
                <w:color w:val="auto"/>
                <w:szCs w:val="18"/>
              </w:rPr>
            </w:pPr>
            <w:r>
              <w:rPr>
                <w:rFonts w:cstheme="minorHAnsi"/>
                <w:color w:val="auto"/>
                <w:szCs w:val="18"/>
              </w:rPr>
              <w:t>#</w:t>
            </w:r>
          </w:p>
        </w:tc>
        <w:tc>
          <w:tcPr>
            <w:tcW w:w="4563" w:type="dxa"/>
            <w:tcBorders>
              <w:left w:val="single" w:sz="2" w:space="0" w:color="FFFFFF" w:themeColor="background1"/>
              <w:right w:val="single" w:sz="2" w:space="0" w:color="FFFFFF" w:themeColor="background1"/>
            </w:tcBorders>
            <w:shd w:val="clear" w:color="auto" w:fill="000000"/>
            <w:hideMark/>
          </w:tcPr>
          <w:p w14:paraId="6AE50D62" w14:textId="45ACE908" w:rsidR="00E6461C" w:rsidRPr="00A21682" w:rsidRDefault="00E6461C">
            <w:pPr>
              <w:pStyle w:val="TABLEHEADINGNEW"/>
              <w:rPr>
                <w:rFonts w:cstheme="minorHAnsi"/>
                <w:color w:val="auto"/>
                <w:szCs w:val="18"/>
              </w:rPr>
            </w:pPr>
            <w:r>
              <w:rPr>
                <w:rFonts w:cstheme="minorHAnsi"/>
                <w:color w:val="auto"/>
                <w:szCs w:val="18"/>
              </w:rPr>
              <w:t>Entry Criteria</w:t>
            </w:r>
          </w:p>
        </w:tc>
        <w:tc>
          <w:tcPr>
            <w:tcW w:w="4300" w:type="dxa"/>
            <w:tcBorders>
              <w:left w:val="single" w:sz="2" w:space="0" w:color="FFFFFF" w:themeColor="background1"/>
            </w:tcBorders>
            <w:shd w:val="clear" w:color="auto" w:fill="000000"/>
          </w:tcPr>
          <w:p w14:paraId="703F5D0A" w14:textId="77777777" w:rsidR="00E6461C" w:rsidRPr="00A21682" w:rsidRDefault="00E6461C">
            <w:pPr>
              <w:pStyle w:val="TABLEHEADINGNEW"/>
              <w:rPr>
                <w:rFonts w:cstheme="minorHAnsi"/>
                <w:color w:val="auto"/>
                <w:szCs w:val="18"/>
              </w:rPr>
            </w:pPr>
            <w:r>
              <w:rPr>
                <w:rFonts w:cstheme="minorHAnsi"/>
                <w:color w:val="auto"/>
                <w:szCs w:val="18"/>
              </w:rPr>
              <w:t>Related Document(s)/Artifact(s)</w:t>
            </w:r>
          </w:p>
        </w:tc>
      </w:tr>
      <w:tr w:rsidR="00E6461C" w:rsidRPr="00A21682" w14:paraId="0CE23A6C" w14:textId="77777777">
        <w:trPr>
          <w:trHeight w:val="300"/>
        </w:trPr>
        <w:tc>
          <w:tcPr>
            <w:tcW w:w="481" w:type="dxa"/>
            <w:hideMark/>
          </w:tcPr>
          <w:p w14:paraId="5E86BB99" w14:textId="354437F7" w:rsidR="00E6461C" w:rsidRPr="00A21682" w:rsidRDefault="00642C66" w:rsidP="00361B86">
            <w:pPr>
              <w:pStyle w:val="TABLETEXT1"/>
              <w:rPr>
                <w:rFonts w:cstheme="minorHAnsi"/>
                <w:szCs w:val="18"/>
                <w:lang w:val="en-US"/>
              </w:rPr>
            </w:pPr>
            <w:r>
              <w:rPr>
                <w:rFonts w:cstheme="minorHAnsi"/>
                <w:szCs w:val="18"/>
                <w:lang w:val="en-US"/>
              </w:rPr>
              <w:t>1</w:t>
            </w:r>
          </w:p>
        </w:tc>
        <w:tc>
          <w:tcPr>
            <w:tcW w:w="4563" w:type="dxa"/>
          </w:tcPr>
          <w:p w14:paraId="71D7BB70" w14:textId="4AE48397" w:rsidR="00E6461C" w:rsidRPr="00A21682" w:rsidRDefault="00E6461C">
            <w:pPr>
              <w:pStyle w:val="TABLETEXT1"/>
              <w:rPr>
                <w:rFonts w:cstheme="minorHAnsi"/>
                <w:spacing w:val="-2"/>
                <w:szCs w:val="18"/>
                <w:lang w:val="en-US"/>
              </w:rPr>
            </w:pPr>
            <w:r>
              <w:rPr>
                <w:rFonts w:cstheme="minorHAnsi"/>
                <w:spacing w:val="-2"/>
                <w:szCs w:val="18"/>
                <w:highlight w:val="yellow"/>
                <w:lang w:val="en-US"/>
              </w:rPr>
              <w:t>Static Application Security Testing (SAST), Dynamic Application Security Testing (DAST), Manual Penetration Testing, and Security Functional Testing for Bundle 6 comprising of a comprehensive test of the entire Member Portal and Worker Portal applications.</w:t>
            </w:r>
            <w:r>
              <w:rPr>
                <w:rFonts w:cstheme="minorHAnsi"/>
                <w:spacing w:val="-2"/>
                <w:szCs w:val="18"/>
                <w:lang w:val="en-US"/>
              </w:rPr>
              <w:t xml:space="preserve"> </w:t>
            </w:r>
          </w:p>
        </w:tc>
        <w:tc>
          <w:tcPr>
            <w:tcW w:w="4300" w:type="dxa"/>
          </w:tcPr>
          <w:p w14:paraId="7C3EB63D" w14:textId="77777777" w:rsidR="00E6461C" w:rsidRPr="00DE03E6" w:rsidRDefault="00E6461C" w:rsidP="00096C35">
            <w:pPr>
              <w:pStyle w:val="TABLEBULLETNEW"/>
            </w:pPr>
            <w:r>
              <w:t xml:space="preserve">SAST and DAST Report </w:t>
            </w:r>
          </w:p>
        </w:tc>
      </w:tr>
      <w:tr w:rsidR="00E6461C" w:rsidRPr="00A21682" w14:paraId="380ED48A" w14:textId="77777777">
        <w:trPr>
          <w:trHeight w:val="300"/>
        </w:trPr>
        <w:tc>
          <w:tcPr>
            <w:tcW w:w="481" w:type="dxa"/>
          </w:tcPr>
          <w:p w14:paraId="5DE8093D" w14:textId="488FED44" w:rsidR="00E6461C" w:rsidRPr="00A21682" w:rsidRDefault="00642C66" w:rsidP="00361B86">
            <w:pPr>
              <w:pStyle w:val="TABLETEXT1"/>
              <w:rPr>
                <w:rFonts w:cstheme="minorHAnsi"/>
                <w:szCs w:val="18"/>
                <w:lang w:val="en-US"/>
              </w:rPr>
            </w:pPr>
            <w:r>
              <w:rPr>
                <w:rFonts w:cstheme="minorHAnsi"/>
                <w:szCs w:val="18"/>
                <w:lang w:val="en-US"/>
              </w:rPr>
              <w:t>2</w:t>
            </w:r>
          </w:p>
        </w:tc>
        <w:tc>
          <w:tcPr>
            <w:tcW w:w="4563" w:type="dxa"/>
          </w:tcPr>
          <w:p w14:paraId="29B7585B" w14:textId="50752054" w:rsidR="00E6461C" w:rsidRPr="00A21682" w:rsidRDefault="00E6461C">
            <w:pPr>
              <w:pStyle w:val="TABLETEXT1"/>
              <w:rPr>
                <w:rFonts w:cstheme="minorHAnsi"/>
                <w:szCs w:val="18"/>
                <w:lang w:val="en-US"/>
              </w:rPr>
            </w:pPr>
            <w:r>
              <w:rPr>
                <w:rFonts w:cstheme="minorHAnsi"/>
                <w:szCs w:val="18"/>
                <w:highlight w:val="yellow"/>
                <w:lang w:val="en-US"/>
              </w:rPr>
              <w:t>Infrastructure Security Testing and Amazon Machine Image (AMI) Compliance Hardening conducted in accordance and cadence with the applied security standards.</w:t>
            </w:r>
            <w:r>
              <w:rPr>
                <w:rFonts w:cstheme="minorHAnsi"/>
                <w:szCs w:val="18"/>
                <w:lang w:val="en-US"/>
              </w:rPr>
              <w:t xml:space="preserve"> </w:t>
            </w:r>
          </w:p>
        </w:tc>
        <w:tc>
          <w:tcPr>
            <w:tcW w:w="4300" w:type="dxa"/>
          </w:tcPr>
          <w:p w14:paraId="79C563D0" w14:textId="77777777" w:rsidR="00E6461C" w:rsidRPr="00DE03E6" w:rsidRDefault="00E6461C" w:rsidP="00096C35">
            <w:pPr>
              <w:pStyle w:val="TABLEBULLETNEW"/>
            </w:pPr>
            <w:r>
              <w:t>the infrastructure vulnerability scanning tool Vulnerability Report</w:t>
            </w:r>
          </w:p>
          <w:p w14:paraId="24930AB7" w14:textId="77777777" w:rsidR="00E6461C" w:rsidRPr="00DE03E6" w:rsidRDefault="00E6461C" w:rsidP="00096C35">
            <w:pPr>
              <w:pStyle w:val="TABLEBULLETNEW"/>
            </w:pPr>
            <w:r>
              <w:t>AMI Compliance Hardening Report</w:t>
            </w:r>
          </w:p>
        </w:tc>
      </w:tr>
      <w:tr w:rsidR="00E6461C" w:rsidRPr="00A21682" w14:paraId="5F3E3B04" w14:textId="77777777">
        <w:trPr>
          <w:trHeight w:val="300"/>
        </w:trPr>
        <w:tc>
          <w:tcPr>
            <w:tcW w:w="481" w:type="dxa"/>
          </w:tcPr>
          <w:p w14:paraId="2BFC859B" w14:textId="2692B66E" w:rsidR="00E6461C" w:rsidRPr="00A21682" w:rsidRDefault="00642C66" w:rsidP="00361B86">
            <w:pPr>
              <w:pStyle w:val="TABLETEXT1"/>
              <w:rPr>
                <w:rFonts w:cstheme="minorHAnsi"/>
                <w:szCs w:val="18"/>
                <w:lang w:val="en-US"/>
              </w:rPr>
            </w:pPr>
            <w:r>
              <w:rPr>
                <w:rFonts w:cstheme="minorHAnsi"/>
                <w:szCs w:val="18"/>
                <w:lang w:val="en-US"/>
              </w:rPr>
              <w:t>3</w:t>
            </w:r>
          </w:p>
        </w:tc>
        <w:tc>
          <w:tcPr>
            <w:tcW w:w="4563" w:type="dxa"/>
          </w:tcPr>
          <w:p w14:paraId="119E4C20" w14:textId="2EE0D00A" w:rsidR="00E6461C" w:rsidRPr="00A21682" w:rsidRDefault="00E6461C">
            <w:pPr>
              <w:pStyle w:val="TABLETEXT1"/>
              <w:rPr>
                <w:rFonts w:cstheme="minorHAnsi"/>
                <w:szCs w:val="18"/>
                <w:lang w:val="en-US"/>
              </w:rPr>
            </w:pPr>
            <w:r>
              <w:rPr>
                <w:rFonts w:cstheme="minorHAnsi"/>
                <w:szCs w:val="18"/>
                <w:highlight w:val="yellow"/>
                <w:lang w:val="en-US"/>
              </w:rPr>
              <w:t>All critical, high, and medium, vulnerabilities are resolved from all vulnerability reports or justification for delay in the timeframe of resolution in accordance with the applied security standards is provided. Timeframes for resolution for low vulnerabilities will be provided</w:t>
            </w:r>
            <w:r>
              <w:rPr>
                <w:rFonts w:cstheme="minorHAnsi"/>
                <w:szCs w:val="18"/>
                <w:lang w:val="en-US"/>
              </w:rPr>
              <w:t xml:space="preserve"> </w:t>
            </w:r>
            <w:r>
              <w:rPr>
                <w:rFonts w:cstheme="minorHAnsi"/>
                <w:szCs w:val="18"/>
                <w:highlight w:val="yellow"/>
                <w:lang w:val="en-US"/>
              </w:rPr>
              <w:t>as well as justifications for any False Positives identified.</w:t>
            </w:r>
          </w:p>
        </w:tc>
        <w:tc>
          <w:tcPr>
            <w:tcW w:w="4300" w:type="dxa"/>
          </w:tcPr>
          <w:p w14:paraId="00DB1FAD" w14:textId="43B7306A" w:rsidR="00E6461C" w:rsidRPr="00DE03E6" w:rsidRDefault="00E6461C" w:rsidP="00096C35">
            <w:pPr>
              <w:pStyle w:val="TABLEBULLETNEW"/>
            </w:pPr>
            <w:r>
              <w:t>SAST / DAST Report</w:t>
            </w:r>
          </w:p>
          <w:p w14:paraId="715ADE3A" w14:textId="3F5B4269" w:rsidR="00E6461C" w:rsidRPr="00DE03E6" w:rsidRDefault="00E6461C" w:rsidP="00096C35">
            <w:pPr>
              <w:pStyle w:val="TABLEBULLETNEW"/>
            </w:pPr>
            <w:r>
              <w:t>the infrastructure vulnerability scanning tool Vulnerability Report</w:t>
            </w:r>
          </w:p>
          <w:p w14:paraId="460C419F" w14:textId="20363EC9" w:rsidR="00E6461C" w:rsidRPr="00FD7387" w:rsidRDefault="00E6461C" w:rsidP="00096C35">
            <w:pPr>
              <w:pStyle w:val="TABLEBULLETNEW"/>
              <w:rPr>
                <w:rFonts w:cstheme="minorHAnsi"/>
                <w:color w:val="auto"/>
              </w:rPr>
            </w:pPr>
            <w:r>
              <w:t>AMI Compliance Hardening</w:t>
            </w:r>
            <w:r>
              <w:rPr>
                <w:rFonts w:cstheme="minorHAnsi"/>
                <w:color w:val="auto"/>
              </w:rPr>
              <w:t xml:space="preserve"> Report</w:t>
            </w:r>
          </w:p>
        </w:tc>
      </w:tr>
    </w:tbl>
    <w:p w14:paraId="210436CE" w14:textId="445976C8" w:rsidR="002454C2" w:rsidRPr="00A21682" w:rsidRDefault="002454C2" w:rsidP="002454C2">
      <w:pPr>
        <w:pStyle w:val="Caption"/>
        <w:rPr>
          <w:noProof w:val="0"/>
        </w:rPr>
      </w:pPr>
      <w:bookmarkStart w:id="640" w:name="_Toc192875114"/>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29</w:t>
      </w:r>
      <w:r>
        <w:rPr>
          <w:noProof w:val="0"/>
        </w:rPr>
        <w:fldChar w:fldCharType="end"/>
      </w:r>
      <w:r>
        <w:rPr>
          <w:noProof w:val="0"/>
        </w:rPr>
        <w:t>: Security and Failover Testing Entry Criteria</w:t>
      </w:r>
      <w:bookmarkEnd w:id="640"/>
    </w:p>
    <w:p w14:paraId="0E94C739" w14:textId="77777777" w:rsidR="00B8674B" w:rsidRPr="00A21682" w:rsidRDefault="00B8674B">
      <w:pPr>
        <w:spacing w:after="160" w:line="259" w:lineRule="auto"/>
        <w:rPr>
          <w:rFonts w:ascii="Verdana" w:eastAsiaTheme="majorEastAsia" w:hAnsi="Verdana" w:cstheme="majorBidi"/>
          <w:b/>
          <w:sz w:val="18"/>
          <w:szCs w:val="32"/>
          <w:u w:color="000000"/>
        </w:rPr>
      </w:pPr>
      <w:r>
        <w:rPr>
          <w:u w:color="000000"/>
        </w:rPr>
        <w:br w:type="page"/>
      </w:r>
    </w:p>
    <w:p w14:paraId="67B39E7F" w14:textId="7299BA80" w:rsidR="000E12F6" w:rsidRPr="00FF094A" w:rsidRDefault="000E12F6" w:rsidP="000E12F6">
      <w:pPr>
        <w:pStyle w:val="Heading3"/>
        <w:rPr>
          <w:highlight w:val="yellow"/>
          <w:u w:color="000000"/>
        </w:rPr>
      </w:pPr>
      <w:bookmarkStart w:id="641" w:name="_Toc192874721"/>
      <w:r>
        <w:rPr>
          <w:highlight w:val="yellow"/>
          <w:u w:color="000000"/>
        </w:rPr>
        <w:lastRenderedPageBreak/>
        <w:t>Process Flow Diagram</w:t>
      </w:r>
      <w:bookmarkEnd w:id="641"/>
    </w:p>
    <w:p w14:paraId="5D4B6B5F" w14:textId="1579B4B1" w:rsidR="00A30399" w:rsidRPr="00A21682" w:rsidRDefault="000E12F6" w:rsidP="000E12F6">
      <w:pPr>
        <w:pStyle w:val="NormalNEW"/>
        <w:rPr>
          <w:u w:color="000000"/>
          <w:lang w:val="en-US"/>
        </w:rPr>
      </w:pPr>
      <w:r>
        <w:rPr>
          <w:highlight w:val="yellow"/>
          <w:u w:color="000000"/>
          <w:lang w:val="en-US"/>
        </w:rPr>
        <w:t>The following process flow depicts the ORT phase of the MECM SDLC.</w:t>
      </w:r>
    </w:p>
    <w:p w14:paraId="1E358CD3" w14:textId="3301641F" w:rsidR="000E12F6" w:rsidRPr="00A21682" w:rsidRDefault="00A40AA5" w:rsidP="000E12F6">
      <w:pPr>
        <w:pStyle w:val="NormalNEW"/>
        <w:rPr>
          <w:strike/>
          <w:u w:color="000000"/>
          <w:lang w:val="en-US"/>
        </w:rPr>
      </w:pPr>
      <w:r>
        <w:rPr>
          <w:lang w:val="en-US"/>
        </w:rPr>
        <w:pict w14:anchorId="03368002">
          <v:shape id="_x0000_i1034" type="#_x0000_t75" style="width:467.4pt;height:247.8pt">
            <v:imagedata r:id="rId35" o:title=""/>
          </v:shape>
        </w:pict>
      </w:r>
    </w:p>
    <w:p w14:paraId="47C07FFB" w14:textId="70E032A7" w:rsidR="000E12F6" w:rsidRPr="00A21682" w:rsidRDefault="004743F7" w:rsidP="004743F7">
      <w:pPr>
        <w:pStyle w:val="Caption"/>
        <w:rPr>
          <w:noProof w:val="0"/>
        </w:rPr>
      </w:pPr>
      <w:bookmarkStart w:id="642" w:name="_Toc192875047"/>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10</w:t>
      </w:r>
      <w:r>
        <w:rPr>
          <w:noProof w:val="0"/>
        </w:rPr>
        <w:fldChar w:fldCharType="end"/>
      </w:r>
      <w:r>
        <w:rPr>
          <w:noProof w:val="0"/>
        </w:rPr>
        <w:t>: Operational Readiness Test Phase Process Flow</w:t>
      </w:r>
      <w:bookmarkEnd w:id="642"/>
    </w:p>
    <w:p w14:paraId="24D01BB2" w14:textId="77777777" w:rsidR="000E12F6" w:rsidRPr="00A21682" w:rsidRDefault="000E12F6" w:rsidP="000E12F6">
      <w:pPr>
        <w:pStyle w:val="Heading3"/>
        <w:rPr>
          <w:u w:color="000000"/>
        </w:rPr>
      </w:pPr>
      <w:bookmarkStart w:id="643" w:name="_Toc192874722"/>
      <w:r>
        <w:rPr>
          <w:u w:color="000000"/>
        </w:rPr>
        <w:t>Process Flow Narrative</w:t>
      </w:r>
      <w:bookmarkEnd w:id="643"/>
    </w:p>
    <w:p w14:paraId="5EC34218" w14:textId="77777777" w:rsidR="000E12F6" w:rsidRPr="00A21682" w:rsidRDefault="000E12F6" w:rsidP="000E12F6">
      <w:pPr>
        <w:pStyle w:val="NormalNEW"/>
        <w:keepNext/>
        <w:rPr>
          <w:u w:color="000000"/>
          <w:lang w:val="en-US"/>
        </w:rPr>
      </w:pPr>
      <w:r>
        <w:rPr>
          <w:u w:color="000000"/>
          <w:lang w:val="en-US"/>
        </w:rPr>
        <w:t xml:space="preserve">The following table describes each process step illustrated above. </w:t>
      </w:r>
    </w:p>
    <w:tbl>
      <w:tblPr>
        <w:tblW w:w="96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07"/>
        <w:gridCol w:w="1440"/>
        <w:gridCol w:w="2340"/>
        <w:gridCol w:w="1661"/>
        <w:gridCol w:w="1669"/>
        <w:gridCol w:w="1710"/>
      </w:tblGrid>
      <w:tr w:rsidR="000E12F6" w:rsidRPr="00A21682" w14:paraId="3254CA7A" w14:textId="77777777" w:rsidTr="009618E4">
        <w:trPr>
          <w:trHeight w:val="300"/>
          <w:tblHeader/>
        </w:trPr>
        <w:tc>
          <w:tcPr>
            <w:tcW w:w="9627" w:type="dxa"/>
            <w:gridSpan w:val="6"/>
            <w:tcBorders>
              <w:bottom w:val="single" w:sz="2" w:space="0" w:color="FFFFFF" w:themeColor="background1"/>
            </w:tcBorders>
            <w:shd w:val="clear" w:color="auto" w:fill="000000"/>
          </w:tcPr>
          <w:p w14:paraId="03CB8909" w14:textId="77777777" w:rsidR="000E12F6" w:rsidRPr="00A21682" w:rsidRDefault="000E12F6" w:rsidP="00480A97">
            <w:pPr>
              <w:pStyle w:val="TABLEHEADINGNEW"/>
              <w:jc w:val="center"/>
              <w:rPr>
                <w:u w:color="000000"/>
              </w:rPr>
            </w:pPr>
            <w:r>
              <w:rPr>
                <w:u w:color="000000"/>
              </w:rPr>
              <w:t>Operational Readiness Test</w:t>
            </w:r>
          </w:p>
        </w:tc>
      </w:tr>
      <w:tr w:rsidR="00190D53" w:rsidRPr="00A21682" w14:paraId="2D2ECD89" w14:textId="77777777" w:rsidTr="005C4E1D">
        <w:trPr>
          <w:trHeight w:val="300"/>
          <w:tblHeader/>
        </w:trPr>
        <w:tc>
          <w:tcPr>
            <w:tcW w:w="807" w:type="dxa"/>
            <w:tcBorders>
              <w:top w:val="single" w:sz="2" w:space="0" w:color="FFFFFF" w:themeColor="background1"/>
              <w:right w:val="single" w:sz="2" w:space="0" w:color="FFFFFF" w:themeColor="background1"/>
            </w:tcBorders>
            <w:shd w:val="clear" w:color="auto" w:fill="000000"/>
            <w:hideMark/>
          </w:tcPr>
          <w:p w14:paraId="79E88A9A" w14:textId="77777777" w:rsidR="000E12F6" w:rsidRPr="00A21682" w:rsidRDefault="000E12F6" w:rsidP="00480A97">
            <w:pPr>
              <w:pStyle w:val="TABLEHEADINGNEW"/>
              <w:rPr>
                <w:rFonts w:ascii="Segoe UI" w:hAnsi="Segoe UI" w:cs="Segoe UI"/>
                <w:color w:val="000000"/>
                <w:u w:color="000000"/>
              </w:rPr>
            </w:pPr>
            <w:r>
              <w:rPr>
                <w:u w:color="000000"/>
              </w:rPr>
              <w:t>Step #</w:t>
            </w:r>
          </w:p>
        </w:tc>
        <w:tc>
          <w:tcPr>
            <w:tcW w:w="144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691A1F71" w14:textId="77777777" w:rsidR="000E12F6" w:rsidRPr="00A21682" w:rsidRDefault="000E12F6" w:rsidP="00480A97">
            <w:pPr>
              <w:pStyle w:val="TABLEHEADINGNEW"/>
              <w:rPr>
                <w:rFonts w:ascii="Segoe UI" w:hAnsi="Segoe UI" w:cs="Segoe UI"/>
                <w:color w:val="000000"/>
                <w:u w:color="000000"/>
              </w:rPr>
            </w:pPr>
            <w:r>
              <w:rPr>
                <w:u w:color="000000"/>
              </w:rPr>
              <w:t>Process Step</w:t>
            </w:r>
          </w:p>
        </w:tc>
        <w:tc>
          <w:tcPr>
            <w:tcW w:w="234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2A3528AA" w14:textId="77777777" w:rsidR="000E12F6" w:rsidRPr="00A21682" w:rsidRDefault="000E12F6" w:rsidP="00480A97">
            <w:pPr>
              <w:pStyle w:val="TABLEHEADINGNEW"/>
              <w:rPr>
                <w:rFonts w:ascii="Segoe UI" w:hAnsi="Segoe UI" w:cs="Segoe UI"/>
                <w:color w:val="000000"/>
                <w:u w:color="000000"/>
              </w:rPr>
            </w:pPr>
            <w:r>
              <w:rPr>
                <w:u w:color="000000"/>
              </w:rPr>
              <w:t>Description</w:t>
            </w:r>
          </w:p>
        </w:tc>
        <w:tc>
          <w:tcPr>
            <w:tcW w:w="1661"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5465C9D7" w14:textId="77777777" w:rsidR="000E12F6" w:rsidRPr="00A21682" w:rsidRDefault="000E12F6" w:rsidP="00480A97">
            <w:pPr>
              <w:pStyle w:val="TABLEHEADINGNEW"/>
              <w:rPr>
                <w:u w:color="000000"/>
              </w:rPr>
            </w:pPr>
            <w:r>
              <w:rPr>
                <w:u w:color="000000"/>
              </w:rPr>
              <w:t>Stakeholder Group(s)</w:t>
            </w:r>
          </w:p>
        </w:tc>
        <w:tc>
          <w:tcPr>
            <w:tcW w:w="1669"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5FFD0CE7" w14:textId="77777777" w:rsidR="000E12F6" w:rsidRPr="00A21682" w:rsidRDefault="000E12F6" w:rsidP="00480A97">
            <w:pPr>
              <w:pStyle w:val="TABLEHEADINGNEW"/>
              <w:rPr>
                <w:u w:color="000000"/>
              </w:rPr>
            </w:pPr>
            <w:r>
              <w:rPr>
                <w:u w:color="000000"/>
              </w:rPr>
              <w:t>Inputs (Documents/ Work Products)</w:t>
            </w:r>
          </w:p>
        </w:tc>
        <w:tc>
          <w:tcPr>
            <w:tcW w:w="1710" w:type="dxa"/>
            <w:tcBorders>
              <w:top w:val="single" w:sz="2" w:space="0" w:color="FFFFFF" w:themeColor="background1"/>
              <w:left w:val="single" w:sz="2" w:space="0" w:color="FFFFFF" w:themeColor="background1"/>
            </w:tcBorders>
            <w:shd w:val="clear" w:color="auto" w:fill="000000"/>
            <w:hideMark/>
          </w:tcPr>
          <w:p w14:paraId="09E4E4EB" w14:textId="77777777" w:rsidR="000E12F6" w:rsidRPr="00A21682" w:rsidRDefault="000E12F6" w:rsidP="00480A97">
            <w:pPr>
              <w:pStyle w:val="TABLEHEADINGNEW"/>
              <w:rPr>
                <w:u w:color="000000"/>
              </w:rPr>
            </w:pPr>
            <w:r>
              <w:rPr>
                <w:u w:color="000000"/>
              </w:rPr>
              <w:t>Outputs (Documents/Work Products)</w:t>
            </w:r>
          </w:p>
        </w:tc>
      </w:tr>
      <w:tr w:rsidR="000E12F6" w:rsidRPr="00A21682" w14:paraId="596F162D" w14:textId="77777777" w:rsidTr="005C4E1D">
        <w:trPr>
          <w:trHeight w:val="300"/>
        </w:trPr>
        <w:tc>
          <w:tcPr>
            <w:tcW w:w="807" w:type="dxa"/>
            <w:hideMark/>
          </w:tcPr>
          <w:p w14:paraId="778FC327" w14:textId="1A18DC9B" w:rsidR="000E12F6" w:rsidRPr="00A21682" w:rsidRDefault="000E12F6" w:rsidP="00480A97">
            <w:pPr>
              <w:pStyle w:val="TABLETEXT1"/>
              <w:rPr>
                <w:lang w:val="en-US"/>
              </w:rPr>
            </w:pPr>
            <w:r>
              <w:rPr>
                <w:lang w:val="en-US"/>
              </w:rPr>
              <w:t>7.1</w:t>
            </w:r>
          </w:p>
        </w:tc>
        <w:tc>
          <w:tcPr>
            <w:tcW w:w="1440" w:type="dxa"/>
          </w:tcPr>
          <w:p w14:paraId="613EACD2" w14:textId="01753A93" w:rsidR="000E12F6" w:rsidRPr="00A21682" w:rsidRDefault="000E12F6" w:rsidP="00480A97">
            <w:pPr>
              <w:pStyle w:val="TABLETEXT1"/>
              <w:rPr>
                <w:lang w:val="en-US"/>
              </w:rPr>
            </w:pPr>
            <w:r>
              <w:rPr>
                <w:lang w:val="en-US"/>
              </w:rPr>
              <w:t xml:space="preserve">Create or update Regression Test scripts </w:t>
            </w:r>
          </w:p>
        </w:tc>
        <w:tc>
          <w:tcPr>
            <w:tcW w:w="2340" w:type="dxa"/>
          </w:tcPr>
          <w:p w14:paraId="3C78E5A8" w14:textId="337C7D42" w:rsidR="000E12F6" w:rsidRPr="006C5A1C" w:rsidRDefault="000E12F6" w:rsidP="00480A97">
            <w:pPr>
              <w:pStyle w:val="TABLETEXT1"/>
              <w:rPr>
                <w:lang w:val="en-US"/>
              </w:rPr>
            </w:pPr>
            <w:r>
              <w:rPr>
                <w:lang w:val="en-US"/>
              </w:rPr>
              <w:t>Develop test scripts for the in-scope components based on the design documents and the Regression Test approach in the Test Management Plan (DEL-09). This process supports the retest of previously validated components that may have been impacted by other changes</w:t>
            </w:r>
          </w:p>
        </w:tc>
        <w:tc>
          <w:tcPr>
            <w:tcW w:w="1661" w:type="dxa"/>
          </w:tcPr>
          <w:p w14:paraId="050F310E" w14:textId="77777777" w:rsidR="000E12F6" w:rsidRPr="00594A0D" w:rsidRDefault="000E12F6" w:rsidP="00480A97">
            <w:pPr>
              <w:pStyle w:val="TABLEBULLETNEW"/>
            </w:pPr>
            <w:r>
              <w:t>Functional Stakeholders</w:t>
            </w:r>
          </w:p>
        </w:tc>
        <w:tc>
          <w:tcPr>
            <w:tcW w:w="1669" w:type="dxa"/>
          </w:tcPr>
          <w:p w14:paraId="32D9A374" w14:textId="77777777" w:rsidR="000E12F6" w:rsidRPr="00594A0D" w:rsidRDefault="000E12F6" w:rsidP="00480A97">
            <w:pPr>
              <w:pStyle w:val="TABLEBULLETNEW"/>
            </w:pPr>
            <w:r>
              <w:t>SIT test scripts</w:t>
            </w:r>
          </w:p>
          <w:p w14:paraId="626069E9" w14:textId="7DAB1631" w:rsidR="000E12F6" w:rsidRPr="00594A0D" w:rsidRDefault="000E12F6" w:rsidP="00480A97">
            <w:pPr>
              <w:pStyle w:val="TABLEBULLETNEW"/>
            </w:pPr>
            <w:r>
              <w:t>Test Management Plan (DEL-09) (Regression Test Approach)</w:t>
            </w:r>
          </w:p>
        </w:tc>
        <w:tc>
          <w:tcPr>
            <w:tcW w:w="1710" w:type="dxa"/>
          </w:tcPr>
          <w:p w14:paraId="27CC0881" w14:textId="77777777" w:rsidR="000E12F6" w:rsidRPr="00594A0D" w:rsidRDefault="000E12F6" w:rsidP="00480A97">
            <w:pPr>
              <w:pStyle w:val="TABLEBULLETNEW"/>
            </w:pPr>
            <w:r>
              <w:t>Regression test scripts</w:t>
            </w:r>
          </w:p>
        </w:tc>
      </w:tr>
      <w:tr w:rsidR="000E12F6" w:rsidRPr="00A21682" w14:paraId="45584209" w14:textId="77777777" w:rsidTr="005C4E1D">
        <w:trPr>
          <w:trHeight w:val="300"/>
        </w:trPr>
        <w:tc>
          <w:tcPr>
            <w:tcW w:w="807" w:type="dxa"/>
          </w:tcPr>
          <w:p w14:paraId="15B2A9F8" w14:textId="6639CA8A" w:rsidR="000E12F6" w:rsidRPr="00A21682" w:rsidRDefault="000E12F6" w:rsidP="00480A97">
            <w:pPr>
              <w:pStyle w:val="TABLETEXT1"/>
              <w:rPr>
                <w:lang w:val="en-US"/>
              </w:rPr>
            </w:pPr>
            <w:r>
              <w:rPr>
                <w:lang w:val="en-US"/>
              </w:rPr>
              <w:t>7.2</w:t>
            </w:r>
          </w:p>
        </w:tc>
        <w:tc>
          <w:tcPr>
            <w:tcW w:w="1440" w:type="dxa"/>
          </w:tcPr>
          <w:p w14:paraId="022F5EF9" w14:textId="2546A062" w:rsidR="000E12F6" w:rsidRPr="00A21682" w:rsidRDefault="000E12F6" w:rsidP="00480A97">
            <w:pPr>
              <w:pStyle w:val="TABLETEXT1"/>
              <w:rPr>
                <w:lang w:val="en-US"/>
              </w:rPr>
            </w:pPr>
            <w:r>
              <w:rPr>
                <w:lang w:val="en-US"/>
              </w:rPr>
              <w:t xml:space="preserve">Perform Regression Test script and test </w:t>
            </w:r>
            <w:r>
              <w:rPr>
                <w:lang w:val="en-US"/>
              </w:rPr>
              <w:lastRenderedPageBreak/>
              <w:t>coverage review</w:t>
            </w:r>
          </w:p>
        </w:tc>
        <w:tc>
          <w:tcPr>
            <w:tcW w:w="2340" w:type="dxa"/>
          </w:tcPr>
          <w:p w14:paraId="6E5B1BB2" w14:textId="77777777" w:rsidR="000E12F6" w:rsidRPr="006C5A1C" w:rsidRDefault="000E12F6" w:rsidP="00480A97">
            <w:pPr>
              <w:pStyle w:val="TABLETEXT1"/>
              <w:rPr>
                <w:lang w:val="en-US"/>
              </w:rPr>
            </w:pPr>
            <w:r>
              <w:rPr>
                <w:lang w:val="en-US"/>
              </w:rPr>
              <w:lastRenderedPageBreak/>
              <w:t xml:space="preserve">Review test cases and test coverage with Functional team and </w:t>
            </w:r>
            <w:r>
              <w:rPr>
                <w:lang w:val="en-US"/>
              </w:rPr>
              <w:lastRenderedPageBreak/>
              <w:t>identify any test coverage gaps</w:t>
            </w:r>
          </w:p>
        </w:tc>
        <w:tc>
          <w:tcPr>
            <w:tcW w:w="1661" w:type="dxa"/>
          </w:tcPr>
          <w:p w14:paraId="38426012" w14:textId="77777777" w:rsidR="000E12F6" w:rsidRPr="00594A0D" w:rsidRDefault="000E12F6" w:rsidP="00480A97">
            <w:pPr>
              <w:pStyle w:val="TABLEBULLETNEW"/>
            </w:pPr>
            <w:r>
              <w:lastRenderedPageBreak/>
              <w:t>Functional Stakeholders</w:t>
            </w:r>
          </w:p>
        </w:tc>
        <w:tc>
          <w:tcPr>
            <w:tcW w:w="1669" w:type="dxa"/>
          </w:tcPr>
          <w:p w14:paraId="656C6C60" w14:textId="77777777" w:rsidR="000E12F6" w:rsidRPr="00594A0D" w:rsidRDefault="000E12F6" w:rsidP="00480A97">
            <w:pPr>
              <w:pStyle w:val="TABLEBULLETNEW"/>
            </w:pPr>
            <w:r>
              <w:t>Regression Test scripts</w:t>
            </w:r>
          </w:p>
        </w:tc>
        <w:tc>
          <w:tcPr>
            <w:tcW w:w="1710" w:type="dxa"/>
          </w:tcPr>
          <w:p w14:paraId="0B8696EA" w14:textId="77777777" w:rsidR="000E12F6" w:rsidRPr="00594A0D" w:rsidRDefault="000E12F6" w:rsidP="00480A97">
            <w:pPr>
              <w:pStyle w:val="TABLEBULLETNEW"/>
            </w:pPr>
            <w:r>
              <w:t>Revised and approved Regression test scripts</w:t>
            </w:r>
          </w:p>
        </w:tc>
      </w:tr>
      <w:tr w:rsidR="000E12F6" w:rsidRPr="00A21682" w14:paraId="6EDDA05E" w14:textId="77777777" w:rsidTr="005C4E1D">
        <w:trPr>
          <w:trHeight w:val="300"/>
        </w:trPr>
        <w:tc>
          <w:tcPr>
            <w:tcW w:w="807" w:type="dxa"/>
          </w:tcPr>
          <w:p w14:paraId="65EA217E" w14:textId="488401DD" w:rsidR="000E12F6" w:rsidRPr="00A21682" w:rsidRDefault="000E12F6" w:rsidP="00480A97">
            <w:pPr>
              <w:pStyle w:val="TABLETEXT1"/>
              <w:rPr>
                <w:lang w:val="en-US"/>
              </w:rPr>
            </w:pPr>
            <w:r>
              <w:rPr>
                <w:lang w:val="en-US"/>
              </w:rPr>
              <w:t>7.2a</w:t>
            </w:r>
          </w:p>
        </w:tc>
        <w:tc>
          <w:tcPr>
            <w:tcW w:w="1440" w:type="dxa"/>
          </w:tcPr>
          <w:p w14:paraId="6213D0E3" w14:textId="77777777" w:rsidR="000E12F6" w:rsidRPr="00A21682" w:rsidRDefault="000E12F6" w:rsidP="00480A97">
            <w:pPr>
              <w:pStyle w:val="TABLETEXT1"/>
              <w:rPr>
                <w:lang w:val="en-US"/>
              </w:rPr>
            </w:pPr>
            <w:r>
              <w:rPr>
                <w:lang w:val="en-US"/>
              </w:rPr>
              <w:t>Test scripts meet expectations in Test Management Plan</w:t>
            </w:r>
          </w:p>
        </w:tc>
        <w:tc>
          <w:tcPr>
            <w:tcW w:w="2340" w:type="dxa"/>
          </w:tcPr>
          <w:p w14:paraId="2D4186CF" w14:textId="0DE618B6" w:rsidR="000E12F6" w:rsidRPr="006C5A1C" w:rsidRDefault="000E12F6" w:rsidP="00480A97">
            <w:pPr>
              <w:pStyle w:val="TABLETEXT1"/>
              <w:rPr>
                <w:lang w:val="en-US"/>
              </w:rPr>
            </w:pPr>
            <w:r>
              <w:rPr>
                <w:lang w:val="en-US"/>
              </w:rPr>
              <w:t>Determine if the Regression test and Performance test scripts met the defined criteria in the Test Management Plan (DEL-09)</w:t>
            </w:r>
          </w:p>
          <w:p w14:paraId="45DD6DB8" w14:textId="77777777" w:rsidR="000E12F6" w:rsidRPr="00594A0D" w:rsidRDefault="000E12F6" w:rsidP="00480A97">
            <w:pPr>
              <w:pStyle w:val="TABLEBULLETNEW"/>
            </w:pPr>
            <w:r>
              <w:t xml:space="preserve">If yes, proceed to </w:t>
            </w:r>
            <w:r>
              <w:rPr>
                <w:i/>
              </w:rPr>
              <w:t>Step #7.3 Prepare Regression test environment with test case data as needed</w:t>
            </w:r>
          </w:p>
          <w:p w14:paraId="5AC7005D" w14:textId="77777777" w:rsidR="000E12F6" w:rsidRPr="00AF120C" w:rsidRDefault="000E12F6" w:rsidP="00480A97">
            <w:pPr>
              <w:pStyle w:val="TABLEBULLETNEW"/>
            </w:pPr>
            <w:r>
              <w:t xml:space="preserve">If no, proceed to </w:t>
            </w:r>
            <w:r>
              <w:rPr>
                <w:i/>
              </w:rPr>
              <w:t>Step #7.1 Create or update regression test scripts</w:t>
            </w:r>
          </w:p>
        </w:tc>
        <w:tc>
          <w:tcPr>
            <w:tcW w:w="1661" w:type="dxa"/>
          </w:tcPr>
          <w:p w14:paraId="1F65C56E" w14:textId="77777777" w:rsidR="000E12F6" w:rsidRPr="00594A0D" w:rsidRDefault="000E12F6" w:rsidP="00480A97">
            <w:pPr>
              <w:pStyle w:val="TABLEBULLETNEW"/>
            </w:pPr>
            <w:r>
              <w:t>Functional Stakeholders</w:t>
            </w:r>
          </w:p>
        </w:tc>
        <w:tc>
          <w:tcPr>
            <w:tcW w:w="1669" w:type="dxa"/>
          </w:tcPr>
          <w:p w14:paraId="1E53D80B" w14:textId="77777777" w:rsidR="000E12F6" w:rsidRPr="00594A0D" w:rsidRDefault="000E12F6" w:rsidP="00480A97">
            <w:pPr>
              <w:pStyle w:val="TABLEBULLETNEW"/>
            </w:pPr>
            <w:r>
              <w:t>N/A</w:t>
            </w:r>
          </w:p>
        </w:tc>
        <w:tc>
          <w:tcPr>
            <w:tcW w:w="1710" w:type="dxa"/>
          </w:tcPr>
          <w:p w14:paraId="1193D1A0" w14:textId="77777777" w:rsidR="000E12F6" w:rsidRPr="00594A0D" w:rsidRDefault="000E12F6" w:rsidP="00480A97">
            <w:pPr>
              <w:pStyle w:val="TABLEBULLETNEW"/>
            </w:pPr>
            <w:r>
              <w:t>N/A</w:t>
            </w:r>
          </w:p>
        </w:tc>
      </w:tr>
      <w:tr w:rsidR="000E12F6" w:rsidRPr="00A21682" w14:paraId="4628C98C" w14:textId="77777777" w:rsidTr="005C4E1D">
        <w:trPr>
          <w:trHeight w:val="300"/>
        </w:trPr>
        <w:tc>
          <w:tcPr>
            <w:tcW w:w="807" w:type="dxa"/>
          </w:tcPr>
          <w:p w14:paraId="475E2DA9" w14:textId="79143E4F" w:rsidR="000E12F6" w:rsidRPr="00A21682" w:rsidRDefault="000E12F6" w:rsidP="00480A97">
            <w:pPr>
              <w:pStyle w:val="TABLETEXT1"/>
              <w:rPr>
                <w:lang w:val="en-US"/>
              </w:rPr>
            </w:pPr>
            <w:r>
              <w:rPr>
                <w:lang w:val="en-US"/>
              </w:rPr>
              <w:t>7.3</w:t>
            </w:r>
          </w:p>
        </w:tc>
        <w:tc>
          <w:tcPr>
            <w:tcW w:w="1440" w:type="dxa"/>
          </w:tcPr>
          <w:p w14:paraId="030A7B73" w14:textId="39ECE03E" w:rsidR="000E12F6" w:rsidRPr="00A21682" w:rsidRDefault="000E12F6" w:rsidP="00480A97">
            <w:pPr>
              <w:pStyle w:val="TABLETEXT1"/>
              <w:rPr>
                <w:lang w:val="en-US"/>
              </w:rPr>
            </w:pPr>
            <w:r>
              <w:rPr>
                <w:lang w:val="en-US"/>
              </w:rPr>
              <w:t>Prepare Regression Test environment with test case data as needed</w:t>
            </w:r>
          </w:p>
        </w:tc>
        <w:tc>
          <w:tcPr>
            <w:tcW w:w="2340" w:type="dxa"/>
          </w:tcPr>
          <w:p w14:paraId="442E9017" w14:textId="77777777" w:rsidR="000E12F6" w:rsidRPr="006C5A1C" w:rsidRDefault="000E12F6" w:rsidP="00480A97">
            <w:pPr>
              <w:pStyle w:val="TABLETEXT1"/>
              <w:rPr>
                <w:lang w:val="en-US"/>
              </w:rPr>
            </w:pPr>
            <w:r>
              <w:rPr>
                <w:lang w:val="en-US"/>
              </w:rPr>
              <w:t>Create and load Regression test data in the environment that will be used for testing. The Regression test environment enables functional users to confirm the end-to-end process testing across the system after changes are made </w:t>
            </w:r>
          </w:p>
        </w:tc>
        <w:tc>
          <w:tcPr>
            <w:tcW w:w="1661" w:type="dxa"/>
          </w:tcPr>
          <w:p w14:paraId="495AADBB" w14:textId="77777777" w:rsidR="000E12F6" w:rsidRPr="00594A0D" w:rsidRDefault="000E12F6" w:rsidP="00480A97">
            <w:pPr>
              <w:pStyle w:val="TABLEBULLETNEW"/>
            </w:pPr>
            <w:r>
              <w:t>Functional Stakeholders</w:t>
            </w:r>
          </w:p>
        </w:tc>
        <w:tc>
          <w:tcPr>
            <w:tcW w:w="1669" w:type="dxa"/>
          </w:tcPr>
          <w:p w14:paraId="36C7B494" w14:textId="77777777" w:rsidR="000E12F6" w:rsidRPr="00594A0D" w:rsidRDefault="000E12F6" w:rsidP="00480A97">
            <w:pPr>
              <w:pStyle w:val="TABLEBULLETNEW"/>
            </w:pPr>
            <w:r>
              <w:t xml:space="preserve">Regression test environment </w:t>
            </w:r>
          </w:p>
          <w:p w14:paraId="26675CD8" w14:textId="3789E671" w:rsidR="000E12F6" w:rsidRPr="00594A0D" w:rsidRDefault="000E12F6" w:rsidP="00480A97">
            <w:pPr>
              <w:pStyle w:val="TABLEBULLETNEW"/>
            </w:pPr>
            <w:r>
              <w:t>Test Management Plan (DEL-09) (Regression Test approach)</w:t>
            </w:r>
          </w:p>
          <w:p w14:paraId="6661A475" w14:textId="77777777" w:rsidR="000E12F6" w:rsidRPr="00594A0D" w:rsidRDefault="000E12F6" w:rsidP="00480A97">
            <w:pPr>
              <w:pStyle w:val="TABLEBULLETNEW"/>
            </w:pPr>
            <w:r>
              <w:t>Regression test data</w:t>
            </w:r>
          </w:p>
        </w:tc>
        <w:tc>
          <w:tcPr>
            <w:tcW w:w="1710" w:type="dxa"/>
          </w:tcPr>
          <w:p w14:paraId="4AEEFC1D" w14:textId="77777777" w:rsidR="000E12F6" w:rsidRPr="00594A0D" w:rsidRDefault="000E12F6" w:rsidP="00480A97">
            <w:pPr>
              <w:pStyle w:val="TABLEBULLETNEW"/>
            </w:pPr>
            <w:r>
              <w:t>Regression test environment with test data loaded</w:t>
            </w:r>
          </w:p>
          <w:p w14:paraId="4D4AB5AF" w14:textId="77777777" w:rsidR="000E12F6" w:rsidRPr="00594A0D" w:rsidRDefault="000E12F6" w:rsidP="00480A97">
            <w:pPr>
              <w:pStyle w:val="TABLEBULLETNEW"/>
            </w:pPr>
            <w:r>
              <w:t>Test automation scripts</w:t>
            </w:r>
          </w:p>
        </w:tc>
      </w:tr>
      <w:tr w:rsidR="000E12F6" w:rsidRPr="00A21682" w14:paraId="632DA267" w14:textId="77777777" w:rsidTr="005C4E1D">
        <w:trPr>
          <w:trHeight w:val="300"/>
        </w:trPr>
        <w:tc>
          <w:tcPr>
            <w:tcW w:w="807" w:type="dxa"/>
          </w:tcPr>
          <w:p w14:paraId="25C8EAEF" w14:textId="21EF2D00" w:rsidR="000E12F6" w:rsidRPr="00A21682" w:rsidRDefault="000E12F6" w:rsidP="00480A97">
            <w:pPr>
              <w:pStyle w:val="TABLETEXT1"/>
              <w:rPr>
                <w:lang w:val="en-US"/>
              </w:rPr>
            </w:pPr>
            <w:r>
              <w:rPr>
                <w:lang w:val="en-US"/>
              </w:rPr>
              <w:t>7.4a</w:t>
            </w:r>
          </w:p>
        </w:tc>
        <w:tc>
          <w:tcPr>
            <w:tcW w:w="1440" w:type="dxa"/>
          </w:tcPr>
          <w:p w14:paraId="27E99BF5" w14:textId="77777777" w:rsidR="000E12F6" w:rsidRPr="00A21682" w:rsidRDefault="000E12F6" w:rsidP="00480A97">
            <w:pPr>
              <w:pStyle w:val="TABLETEXT1"/>
              <w:rPr>
                <w:lang w:val="en-US"/>
              </w:rPr>
            </w:pPr>
            <w:r>
              <w:rPr>
                <w:lang w:val="en-US"/>
              </w:rPr>
              <w:t>Perform Regression Testing</w:t>
            </w:r>
          </w:p>
        </w:tc>
        <w:tc>
          <w:tcPr>
            <w:tcW w:w="2340" w:type="dxa"/>
          </w:tcPr>
          <w:p w14:paraId="4810C445" w14:textId="3A95FF20" w:rsidR="000E12F6" w:rsidRPr="006C5A1C" w:rsidRDefault="000E12F6" w:rsidP="00480A97">
            <w:pPr>
              <w:pStyle w:val="TABLETEXT1"/>
              <w:rPr>
                <w:lang w:val="en-US"/>
              </w:rPr>
            </w:pPr>
            <w:r>
              <w:rPr>
                <w:lang w:val="en-US"/>
              </w:rPr>
              <w:t>Perform Regression Testing according to the Test Management Plan (DEL-09) to confirm that the modifications have not caused unintended effects. Confirm that the production system or component still complies with its specified requirements</w:t>
            </w:r>
          </w:p>
        </w:tc>
        <w:tc>
          <w:tcPr>
            <w:tcW w:w="1661" w:type="dxa"/>
          </w:tcPr>
          <w:p w14:paraId="464662BC" w14:textId="77777777" w:rsidR="000E12F6" w:rsidRPr="00594A0D" w:rsidRDefault="000E12F6" w:rsidP="00480A97">
            <w:pPr>
              <w:pStyle w:val="TABLEBULLETNEW"/>
            </w:pPr>
            <w:r>
              <w:t>Functional Stakeholders</w:t>
            </w:r>
          </w:p>
        </w:tc>
        <w:tc>
          <w:tcPr>
            <w:tcW w:w="1669" w:type="dxa"/>
          </w:tcPr>
          <w:p w14:paraId="15468DB5" w14:textId="77777777" w:rsidR="000E12F6" w:rsidRPr="00594A0D" w:rsidRDefault="000E12F6" w:rsidP="00480A97">
            <w:pPr>
              <w:pStyle w:val="TABLEBULLETNEW"/>
            </w:pPr>
            <w:r>
              <w:t>Regression test environment ready</w:t>
            </w:r>
          </w:p>
          <w:p w14:paraId="4EB71033" w14:textId="42D062F6" w:rsidR="000E12F6" w:rsidRPr="00594A0D" w:rsidRDefault="000E12F6" w:rsidP="00480A97">
            <w:pPr>
              <w:pStyle w:val="TABLEBULLETNEW"/>
            </w:pPr>
            <w:r>
              <w:t>Test Management Plan (DEL-09)</w:t>
            </w:r>
          </w:p>
        </w:tc>
        <w:tc>
          <w:tcPr>
            <w:tcW w:w="1710" w:type="dxa"/>
          </w:tcPr>
          <w:p w14:paraId="5FF55E40" w14:textId="77777777" w:rsidR="000E12F6" w:rsidRPr="00594A0D" w:rsidRDefault="000E12F6" w:rsidP="00480A97">
            <w:pPr>
              <w:pStyle w:val="TABLEBULLETNEW"/>
            </w:pPr>
            <w:r>
              <w:t xml:space="preserve">Regression test results </w:t>
            </w:r>
          </w:p>
        </w:tc>
      </w:tr>
      <w:tr w:rsidR="000E12F6" w:rsidRPr="00A21682" w14:paraId="6B9C5E55" w14:textId="77777777" w:rsidTr="005C4E1D">
        <w:trPr>
          <w:trHeight w:val="300"/>
        </w:trPr>
        <w:tc>
          <w:tcPr>
            <w:tcW w:w="807" w:type="dxa"/>
          </w:tcPr>
          <w:p w14:paraId="68BC2B7F" w14:textId="0226F9BB" w:rsidR="000E12F6" w:rsidRPr="00A21682" w:rsidRDefault="000E12F6" w:rsidP="00480A97">
            <w:pPr>
              <w:pStyle w:val="TABLETEXT1"/>
              <w:rPr>
                <w:lang w:val="en-US"/>
              </w:rPr>
            </w:pPr>
            <w:r>
              <w:rPr>
                <w:lang w:val="en-US"/>
              </w:rPr>
              <w:lastRenderedPageBreak/>
              <w:t>7.4b</w:t>
            </w:r>
          </w:p>
        </w:tc>
        <w:tc>
          <w:tcPr>
            <w:tcW w:w="1440" w:type="dxa"/>
          </w:tcPr>
          <w:p w14:paraId="15DD9E6D" w14:textId="77777777" w:rsidR="000E12F6" w:rsidRPr="00A21682" w:rsidDel="00555FC9" w:rsidRDefault="000E12F6" w:rsidP="00480A97">
            <w:pPr>
              <w:pStyle w:val="TABLETEXT1"/>
              <w:rPr>
                <w:lang w:val="en-US"/>
              </w:rPr>
            </w:pPr>
            <w:r>
              <w:rPr>
                <w:lang w:val="en-US"/>
              </w:rPr>
              <w:t>Perform final E2E testing</w:t>
            </w:r>
          </w:p>
        </w:tc>
        <w:tc>
          <w:tcPr>
            <w:tcW w:w="2340" w:type="dxa"/>
          </w:tcPr>
          <w:p w14:paraId="721375AA" w14:textId="77777777" w:rsidR="000E12F6" w:rsidRPr="006C5A1C" w:rsidRDefault="000E12F6" w:rsidP="00480A97">
            <w:pPr>
              <w:pStyle w:val="TABLETEXT1"/>
              <w:rPr>
                <w:lang w:val="en-US"/>
              </w:rPr>
            </w:pPr>
            <w:r>
              <w:rPr>
                <w:lang w:val="en-US"/>
              </w:rPr>
              <w:t>Perform interface testing with trading partners</w:t>
            </w:r>
          </w:p>
        </w:tc>
        <w:tc>
          <w:tcPr>
            <w:tcW w:w="1661" w:type="dxa"/>
          </w:tcPr>
          <w:p w14:paraId="6F95F231" w14:textId="77777777" w:rsidR="000E12F6" w:rsidRPr="00594A0D" w:rsidRDefault="000E12F6" w:rsidP="00480A97">
            <w:pPr>
              <w:pStyle w:val="TABLEBULLETNEW"/>
            </w:pPr>
            <w:r>
              <w:t>Functional Stakeholders</w:t>
            </w:r>
          </w:p>
        </w:tc>
        <w:tc>
          <w:tcPr>
            <w:tcW w:w="1669" w:type="dxa"/>
          </w:tcPr>
          <w:p w14:paraId="66793051" w14:textId="77777777" w:rsidR="000E12F6" w:rsidRPr="00594A0D" w:rsidRDefault="000E12F6" w:rsidP="00480A97">
            <w:pPr>
              <w:pStyle w:val="TABLEBULLETNEW"/>
            </w:pPr>
            <w:r>
              <w:t xml:space="preserve">Regression test results </w:t>
            </w:r>
          </w:p>
        </w:tc>
        <w:tc>
          <w:tcPr>
            <w:tcW w:w="1710" w:type="dxa"/>
          </w:tcPr>
          <w:p w14:paraId="523F90A1" w14:textId="77777777" w:rsidR="000E12F6" w:rsidRPr="00594A0D" w:rsidRDefault="000E12F6" w:rsidP="00480A97">
            <w:pPr>
              <w:pStyle w:val="TABLEBULLETNEW"/>
            </w:pPr>
            <w:r>
              <w:t>Final E2E testing results</w:t>
            </w:r>
          </w:p>
        </w:tc>
      </w:tr>
      <w:tr w:rsidR="000E12F6" w:rsidRPr="00A21682" w14:paraId="074AE9AE" w14:textId="77777777" w:rsidTr="005C4E1D">
        <w:trPr>
          <w:trHeight w:val="300"/>
        </w:trPr>
        <w:tc>
          <w:tcPr>
            <w:tcW w:w="807" w:type="dxa"/>
          </w:tcPr>
          <w:p w14:paraId="68DBC7A8" w14:textId="33D97FC6" w:rsidR="000E12F6" w:rsidRPr="00A21682" w:rsidRDefault="000E12F6" w:rsidP="00480A97">
            <w:pPr>
              <w:pStyle w:val="TABLETEXT1"/>
              <w:rPr>
                <w:lang w:val="en-US"/>
              </w:rPr>
            </w:pPr>
            <w:r>
              <w:rPr>
                <w:lang w:val="en-US"/>
              </w:rPr>
              <w:t>7.5</w:t>
            </w:r>
          </w:p>
        </w:tc>
        <w:tc>
          <w:tcPr>
            <w:tcW w:w="1440" w:type="dxa"/>
          </w:tcPr>
          <w:p w14:paraId="52875DB5" w14:textId="5BF4096A" w:rsidR="000E12F6" w:rsidRPr="00A21682" w:rsidRDefault="000E12F6" w:rsidP="00480A97">
            <w:pPr>
              <w:pStyle w:val="TABLETEXT1"/>
              <w:rPr>
                <w:lang w:val="en-US"/>
              </w:rPr>
            </w:pPr>
            <w:r>
              <w:rPr>
                <w:lang w:val="en-US"/>
              </w:rPr>
              <w:t xml:space="preserve">Log test results and include defects in System Defect Log </w:t>
            </w:r>
          </w:p>
        </w:tc>
        <w:tc>
          <w:tcPr>
            <w:tcW w:w="2340" w:type="dxa"/>
          </w:tcPr>
          <w:p w14:paraId="2E22D540" w14:textId="4D845B90" w:rsidR="000E12F6" w:rsidRPr="006C5A1C" w:rsidRDefault="000E12F6" w:rsidP="00480A97">
            <w:pPr>
              <w:pStyle w:val="TABLETEXT1"/>
              <w:rPr>
                <w:lang w:val="en-US"/>
              </w:rPr>
            </w:pPr>
            <w:r>
              <w:rPr>
                <w:lang w:val="en-US"/>
              </w:rPr>
              <w:t>Log all defects and the status of each defect in the System Defect Log</w:t>
            </w:r>
          </w:p>
        </w:tc>
        <w:tc>
          <w:tcPr>
            <w:tcW w:w="1661" w:type="dxa"/>
          </w:tcPr>
          <w:p w14:paraId="095BD2B1" w14:textId="77777777" w:rsidR="000E12F6" w:rsidRPr="00594A0D" w:rsidRDefault="000E12F6" w:rsidP="00480A97">
            <w:pPr>
              <w:pStyle w:val="TABLEBULLETNEW"/>
            </w:pPr>
            <w:r>
              <w:t>Functional Stakeholders</w:t>
            </w:r>
          </w:p>
        </w:tc>
        <w:tc>
          <w:tcPr>
            <w:tcW w:w="1669" w:type="dxa"/>
          </w:tcPr>
          <w:p w14:paraId="22AE8CFF" w14:textId="77777777" w:rsidR="000E12F6" w:rsidRPr="004A6B45" w:rsidRDefault="000E12F6" w:rsidP="00480A97">
            <w:pPr>
              <w:pStyle w:val="TABLEBULLETNEW"/>
            </w:pPr>
            <w:r>
              <w:t>Final E2E testing results</w:t>
            </w:r>
          </w:p>
          <w:p w14:paraId="1D63CB0F" w14:textId="0AD83923" w:rsidR="000E12F6" w:rsidRPr="004A6B45" w:rsidRDefault="000E12F6" w:rsidP="00480A97">
            <w:pPr>
              <w:pStyle w:val="TABLEBULLETNEW"/>
            </w:pPr>
            <w:r>
              <w:t xml:space="preserve">Regression test results </w:t>
            </w:r>
          </w:p>
          <w:p w14:paraId="1871CFAD" w14:textId="77777777" w:rsidR="000E12F6" w:rsidRPr="004A6B45" w:rsidRDefault="000E12F6" w:rsidP="00480A97">
            <w:pPr>
              <w:pStyle w:val="TABLEBULLETNEW"/>
            </w:pPr>
            <w:r>
              <w:t>Operational Readiness test results</w:t>
            </w:r>
          </w:p>
          <w:p w14:paraId="6138CF6D" w14:textId="7903DD85" w:rsidR="000E12F6" w:rsidRPr="004A6B45" w:rsidRDefault="000E12F6" w:rsidP="00480A97">
            <w:pPr>
              <w:pStyle w:val="TABLEBULLETNEW"/>
            </w:pPr>
            <w:r>
              <w:t>System Defect Log</w:t>
            </w:r>
          </w:p>
        </w:tc>
        <w:tc>
          <w:tcPr>
            <w:tcW w:w="1710" w:type="dxa"/>
          </w:tcPr>
          <w:p w14:paraId="5B7A6F8C" w14:textId="73A422D5" w:rsidR="000E12F6" w:rsidRPr="004A6B45" w:rsidRDefault="000E12F6" w:rsidP="00480A97">
            <w:pPr>
              <w:pStyle w:val="TABLEBULLETNEW"/>
            </w:pPr>
            <w:r>
              <w:t>System Defect Log updated with E2E, and Regression Testing detected defects</w:t>
            </w:r>
          </w:p>
          <w:p w14:paraId="03163DBB" w14:textId="77777777" w:rsidR="000E12F6" w:rsidRPr="004A6B45" w:rsidRDefault="000E12F6" w:rsidP="00480A97">
            <w:pPr>
              <w:pStyle w:val="TABLEBULLETNEW"/>
            </w:pPr>
            <w:r>
              <w:t>Operational Readiness test results updated with E2E and Regression test results</w:t>
            </w:r>
          </w:p>
        </w:tc>
      </w:tr>
      <w:tr w:rsidR="000E12F6" w:rsidRPr="00A21682" w14:paraId="50EB55C7" w14:textId="77777777" w:rsidTr="005C4E1D">
        <w:trPr>
          <w:trHeight w:val="300"/>
        </w:trPr>
        <w:tc>
          <w:tcPr>
            <w:tcW w:w="807" w:type="dxa"/>
          </w:tcPr>
          <w:p w14:paraId="5FF37B46" w14:textId="52DFBE7B" w:rsidR="000E12F6" w:rsidRPr="00A21682" w:rsidRDefault="000E12F6" w:rsidP="00480A97">
            <w:pPr>
              <w:pStyle w:val="TABLETEXT1"/>
              <w:rPr>
                <w:lang w:val="en-US"/>
              </w:rPr>
            </w:pPr>
            <w:r>
              <w:rPr>
                <w:lang w:val="en-US"/>
              </w:rPr>
              <w:t>7.5a</w:t>
            </w:r>
          </w:p>
        </w:tc>
        <w:tc>
          <w:tcPr>
            <w:tcW w:w="1440" w:type="dxa"/>
          </w:tcPr>
          <w:p w14:paraId="1ACD0CB5" w14:textId="3F310CB8" w:rsidR="000E12F6" w:rsidRPr="00A21682" w:rsidRDefault="000E12F6" w:rsidP="00480A97">
            <w:pPr>
              <w:pStyle w:val="TABLETEXT1"/>
              <w:rPr>
                <w:lang w:val="en-US"/>
              </w:rPr>
            </w:pPr>
            <w:r>
              <w:rPr>
                <w:lang w:val="en-US"/>
              </w:rPr>
              <w:t>Regression Test passed status</w:t>
            </w:r>
          </w:p>
        </w:tc>
        <w:tc>
          <w:tcPr>
            <w:tcW w:w="2340" w:type="dxa"/>
          </w:tcPr>
          <w:p w14:paraId="476D2F9B" w14:textId="724411CC" w:rsidR="000E12F6" w:rsidRPr="006C5A1C" w:rsidRDefault="000E12F6" w:rsidP="00480A97">
            <w:pPr>
              <w:pStyle w:val="TABLETEXT1"/>
              <w:rPr>
                <w:lang w:val="en-US"/>
              </w:rPr>
            </w:pPr>
            <w:r>
              <w:rPr>
                <w:lang w:val="en-US"/>
              </w:rPr>
              <w:t>Determine if Regression Testing results pass the criteria defined in Test Management Plan (DEL-09)</w:t>
            </w:r>
          </w:p>
          <w:p w14:paraId="42C81B75" w14:textId="023CBA32" w:rsidR="000E12F6" w:rsidRPr="004A6B45" w:rsidRDefault="000E12F6" w:rsidP="00480A97">
            <w:pPr>
              <w:pStyle w:val="TABLEBULLETNEW"/>
            </w:pPr>
            <w:r>
              <w:t xml:space="preserve">If yes, proceed to </w:t>
            </w:r>
            <w:r>
              <w:rPr>
                <w:i/>
              </w:rPr>
              <w:t>Step #7.20 Submit full System Test Results Report</w:t>
            </w:r>
          </w:p>
          <w:p w14:paraId="11D242A8" w14:textId="77777777" w:rsidR="000E12F6" w:rsidRPr="00AF120C" w:rsidRDefault="000E12F6" w:rsidP="00480A97">
            <w:pPr>
              <w:pStyle w:val="TABLEBULLETNEW"/>
            </w:pPr>
            <w:r>
              <w:t xml:space="preserve">If no, proceed to </w:t>
            </w:r>
            <w:r>
              <w:rPr>
                <w:i/>
              </w:rPr>
              <w:t>Step #7.6 Triage and assign defects for resolution</w:t>
            </w:r>
          </w:p>
        </w:tc>
        <w:tc>
          <w:tcPr>
            <w:tcW w:w="1661" w:type="dxa"/>
          </w:tcPr>
          <w:p w14:paraId="4A53D0C4" w14:textId="77777777" w:rsidR="000E12F6" w:rsidRPr="004A6B45" w:rsidRDefault="000E12F6" w:rsidP="00480A97">
            <w:pPr>
              <w:pStyle w:val="TABLEBULLETNEW"/>
            </w:pPr>
            <w:r>
              <w:t>Functional Stakeholders</w:t>
            </w:r>
          </w:p>
        </w:tc>
        <w:tc>
          <w:tcPr>
            <w:tcW w:w="1669" w:type="dxa"/>
          </w:tcPr>
          <w:p w14:paraId="0C7CCFB7" w14:textId="77777777" w:rsidR="000E12F6" w:rsidRPr="004A6B45" w:rsidRDefault="000E12F6" w:rsidP="00480A97">
            <w:pPr>
              <w:pStyle w:val="TABLEBULLETNEW"/>
            </w:pPr>
            <w:r>
              <w:t>N/A</w:t>
            </w:r>
          </w:p>
        </w:tc>
        <w:tc>
          <w:tcPr>
            <w:tcW w:w="1710" w:type="dxa"/>
          </w:tcPr>
          <w:p w14:paraId="2B395129" w14:textId="77777777" w:rsidR="000E12F6" w:rsidRPr="004A6B45" w:rsidRDefault="000E12F6" w:rsidP="00480A97">
            <w:pPr>
              <w:pStyle w:val="TABLEBULLETNEW"/>
            </w:pPr>
            <w:r>
              <w:t>N/A</w:t>
            </w:r>
          </w:p>
        </w:tc>
      </w:tr>
      <w:tr w:rsidR="000E12F6" w:rsidRPr="00A21682" w14:paraId="348E1D5C" w14:textId="77777777" w:rsidTr="005C4E1D">
        <w:trPr>
          <w:trHeight w:val="300"/>
        </w:trPr>
        <w:tc>
          <w:tcPr>
            <w:tcW w:w="807" w:type="dxa"/>
          </w:tcPr>
          <w:p w14:paraId="6F46A2DC" w14:textId="02830094" w:rsidR="000E12F6" w:rsidRPr="00A21682" w:rsidRDefault="000E12F6" w:rsidP="00480A97">
            <w:pPr>
              <w:pStyle w:val="TABLETEXT1"/>
              <w:rPr>
                <w:lang w:val="en-US"/>
              </w:rPr>
            </w:pPr>
            <w:r>
              <w:rPr>
                <w:lang w:val="en-US"/>
              </w:rPr>
              <w:t>7.6</w:t>
            </w:r>
          </w:p>
        </w:tc>
        <w:tc>
          <w:tcPr>
            <w:tcW w:w="1440" w:type="dxa"/>
          </w:tcPr>
          <w:p w14:paraId="03E2BD86" w14:textId="77777777" w:rsidR="000E12F6" w:rsidRPr="00A21682" w:rsidRDefault="000E12F6" w:rsidP="00480A97">
            <w:pPr>
              <w:pStyle w:val="TABLETEXT1"/>
              <w:rPr>
                <w:lang w:val="en-US"/>
              </w:rPr>
            </w:pPr>
            <w:r>
              <w:rPr>
                <w:lang w:val="en-US"/>
              </w:rPr>
              <w:t>Triage and assign defects for resolution</w:t>
            </w:r>
          </w:p>
        </w:tc>
        <w:tc>
          <w:tcPr>
            <w:tcW w:w="2340" w:type="dxa"/>
          </w:tcPr>
          <w:p w14:paraId="2C8D6ADD" w14:textId="77777777" w:rsidR="000E12F6" w:rsidRPr="006C5A1C" w:rsidRDefault="000E12F6" w:rsidP="00480A97">
            <w:pPr>
              <w:pStyle w:val="TABLETEXT1"/>
              <w:rPr>
                <w:lang w:val="en-US"/>
              </w:rPr>
            </w:pPr>
            <w:r>
              <w:rPr>
                <w:lang w:val="en-US"/>
              </w:rPr>
              <w:t>Assign defects that impact end-to-end use of the production system to Functional and Development teams for resolution. Document the severity, the priority of the defects, and the estimated date of fix</w:t>
            </w:r>
          </w:p>
        </w:tc>
        <w:tc>
          <w:tcPr>
            <w:tcW w:w="1661" w:type="dxa"/>
          </w:tcPr>
          <w:p w14:paraId="48496811" w14:textId="77777777" w:rsidR="000E12F6" w:rsidRPr="004A6B45" w:rsidRDefault="000E12F6" w:rsidP="00480A97">
            <w:pPr>
              <w:pStyle w:val="TABLEBULLETNEW"/>
            </w:pPr>
            <w:r>
              <w:t>Functional Stakeholders</w:t>
            </w:r>
          </w:p>
        </w:tc>
        <w:tc>
          <w:tcPr>
            <w:tcW w:w="1669" w:type="dxa"/>
          </w:tcPr>
          <w:p w14:paraId="432A2E77" w14:textId="49B6F11B" w:rsidR="000E12F6" w:rsidRPr="004A6B45" w:rsidRDefault="000E12F6" w:rsidP="00480A97">
            <w:pPr>
              <w:pStyle w:val="TABLEBULLETNEW"/>
            </w:pPr>
            <w:r>
              <w:t>System Defect Log updated with Regression Testing detected defects</w:t>
            </w:r>
          </w:p>
        </w:tc>
        <w:tc>
          <w:tcPr>
            <w:tcW w:w="1710" w:type="dxa"/>
          </w:tcPr>
          <w:p w14:paraId="44456059" w14:textId="77777777" w:rsidR="000E12F6" w:rsidRPr="004A6B45" w:rsidRDefault="000E12F6" w:rsidP="00480A97">
            <w:pPr>
              <w:pStyle w:val="TABLEBULLETNEW"/>
            </w:pPr>
            <w:r>
              <w:t>Defect resolution assignment</w:t>
            </w:r>
          </w:p>
        </w:tc>
      </w:tr>
      <w:tr w:rsidR="000E12F6" w:rsidRPr="00A21682" w14:paraId="6EE76C48" w14:textId="77777777" w:rsidTr="005C4E1D">
        <w:trPr>
          <w:trHeight w:val="300"/>
        </w:trPr>
        <w:tc>
          <w:tcPr>
            <w:tcW w:w="807" w:type="dxa"/>
          </w:tcPr>
          <w:p w14:paraId="4B0922E5" w14:textId="4708A10D" w:rsidR="000E12F6" w:rsidRPr="00A21682" w:rsidRDefault="000E12F6" w:rsidP="00480A97">
            <w:pPr>
              <w:pStyle w:val="TABLETEXT1"/>
              <w:rPr>
                <w:lang w:val="en-US"/>
              </w:rPr>
            </w:pPr>
            <w:r>
              <w:rPr>
                <w:lang w:val="en-US"/>
              </w:rPr>
              <w:lastRenderedPageBreak/>
              <w:t>7.7</w:t>
            </w:r>
          </w:p>
        </w:tc>
        <w:tc>
          <w:tcPr>
            <w:tcW w:w="1440" w:type="dxa"/>
          </w:tcPr>
          <w:p w14:paraId="388C882E" w14:textId="77777777" w:rsidR="000E12F6" w:rsidRPr="00A21682" w:rsidRDefault="000E12F6" w:rsidP="00480A97">
            <w:pPr>
              <w:pStyle w:val="TABLETEXT1"/>
              <w:rPr>
                <w:lang w:val="en-US"/>
              </w:rPr>
            </w:pPr>
            <w:r>
              <w:rPr>
                <w:lang w:val="en-US"/>
              </w:rPr>
              <w:t>Remediate software defects</w:t>
            </w:r>
          </w:p>
        </w:tc>
        <w:tc>
          <w:tcPr>
            <w:tcW w:w="2340" w:type="dxa"/>
          </w:tcPr>
          <w:p w14:paraId="02511027" w14:textId="77777777" w:rsidR="000E12F6" w:rsidRPr="006C5A1C" w:rsidRDefault="000E12F6" w:rsidP="00480A97">
            <w:pPr>
              <w:pStyle w:val="TABLETEXT1"/>
              <w:rPr>
                <w:lang w:val="en-US"/>
              </w:rPr>
            </w:pPr>
            <w:r>
              <w:rPr>
                <w:lang w:val="en-US"/>
              </w:rPr>
              <w:t>Take corrective actions to resolve the issues identified in the defect</w:t>
            </w:r>
          </w:p>
        </w:tc>
        <w:tc>
          <w:tcPr>
            <w:tcW w:w="1661" w:type="dxa"/>
          </w:tcPr>
          <w:p w14:paraId="7AE5478F" w14:textId="77777777" w:rsidR="000E12F6" w:rsidRPr="004A6B45" w:rsidRDefault="000E12F6" w:rsidP="00480A97">
            <w:pPr>
              <w:pStyle w:val="TABLEBULLETNEW"/>
            </w:pPr>
            <w:r>
              <w:t>Functional Stakeholders</w:t>
            </w:r>
          </w:p>
          <w:p w14:paraId="48F73D46" w14:textId="77777777" w:rsidR="000E12F6" w:rsidRPr="004A6B45" w:rsidRDefault="000E12F6" w:rsidP="00480A97">
            <w:pPr>
              <w:pStyle w:val="TABLEBULLETNEW"/>
            </w:pPr>
            <w:r>
              <w:t>Technical Stakeholders</w:t>
            </w:r>
          </w:p>
        </w:tc>
        <w:tc>
          <w:tcPr>
            <w:tcW w:w="1669" w:type="dxa"/>
          </w:tcPr>
          <w:p w14:paraId="4FF68ECE" w14:textId="33B72661" w:rsidR="000E12F6" w:rsidRPr="004A6B45" w:rsidRDefault="000E12F6" w:rsidP="00480A97">
            <w:pPr>
              <w:pStyle w:val="TABLEBULLETNEW"/>
            </w:pPr>
            <w:r>
              <w:t>System Defect Log</w:t>
            </w:r>
          </w:p>
          <w:p w14:paraId="40D14FA6" w14:textId="77777777" w:rsidR="000E12F6" w:rsidRPr="004A6B45" w:rsidRDefault="000E12F6" w:rsidP="00480A97">
            <w:pPr>
              <w:pStyle w:val="TABLEBULLETNEW"/>
            </w:pPr>
            <w:r>
              <w:t>Defect resolution assignment</w:t>
            </w:r>
          </w:p>
        </w:tc>
        <w:tc>
          <w:tcPr>
            <w:tcW w:w="1710" w:type="dxa"/>
          </w:tcPr>
          <w:p w14:paraId="38E972D7" w14:textId="77777777" w:rsidR="000E12F6" w:rsidRPr="004A6B45" w:rsidRDefault="000E12F6" w:rsidP="00480A97">
            <w:pPr>
              <w:pStyle w:val="TABLEBULLETNEW"/>
            </w:pPr>
            <w:r>
              <w:t>Remediated software code</w:t>
            </w:r>
          </w:p>
        </w:tc>
      </w:tr>
      <w:tr w:rsidR="000E12F6" w:rsidRPr="00A21682" w14:paraId="1DCCDBFB" w14:textId="77777777" w:rsidTr="005C4E1D">
        <w:trPr>
          <w:trHeight w:val="300"/>
        </w:trPr>
        <w:tc>
          <w:tcPr>
            <w:tcW w:w="807" w:type="dxa"/>
          </w:tcPr>
          <w:p w14:paraId="3F31FF9E" w14:textId="7C83A7C2" w:rsidR="000E12F6" w:rsidRPr="00A21682" w:rsidRDefault="000E12F6" w:rsidP="00480A97">
            <w:pPr>
              <w:pStyle w:val="TABLETEXT1"/>
              <w:rPr>
                <w:lang w:val="en-US"/>
              </w:rPr>
            </w:pPr>
            <w:r>
              <w:rPr>
                <w:lang w:val="en-US"/>
              </w:rPr>
              <w:t>7.8</w:t>
            </w:r>
          </w:p>
        </w:tc>
        <w:tc>
          <w:tcPr>
            <w:tcW w:w="1440" w:type="dxa"/>
          </w:tcPr>
          <w:p w14:paraId="7C2814CE" w14:textId="77777777" w:rsidR="000E12F6" w:rsidRPr="00A21682" w:rsidRDefault="000E12F6" w:rsidP="00480A97">
            <w:pPr>
              <w:pStyle w:val="TABLETEXT1"/>
              <w:rPr>
                <w:lang w:val="en-US"/>
              </w:rPr>
            </w:pPr>
            <w:r>
              <w:rPr>
                <w:lang w:val="en-US"/>
              </w:rPr>
              <w:t>Deploy remediated code to Regression Test environment</w:t>
            </w:r>
          </w:p>
        </w:tc>
        <w:tc>
          <w:tcPr>
            <w:tcW w:w="2340" w:type="dxa"/>
          </w:tcPr>
          <w:p w14:paraId="28B31CD2" w14:textId="77777777" w:rsidR="000E12F6" w:rsidRPr="006C5A1C" w:rsidRDefault="000E12F6" w:rsidP="00480A97">
            <w:pPr>
              <w:pStyle w:val="TABLETEXT1"/>
              <w:rPr>
                <w:lang w:val="en-US"/>
              </w:rPr>
            </w:pPr>
            <w:r>
              <w:rPr>
                <w:lang w:val="en-US"/>
              </w:rPr>
              <w:t>Deploy code changes to the Regression test environment</w:t>
            </w:r>
          </w:p>
        </w:tc>
        <w:tc>
          <w:tcPr>
            <w:tcW w:w="1661" w:type="dxa"/>
          </w:tcPr>
          <w:p w14:paraId="7A657309" w14:textId="77777777" w:rsidR="000E12F6" w:rsidRPr="004A6B45" w:rsidRDefault="000E12F6" w:rsidP="00480A97">
            <w:pPr>
              <w:pStyle w:val="TABLEBULLETNEW"/>
            </w:pPr>
            <w:r>
              <w:t>Technical Stakeholders</w:t>
            </w:r>
          </w:p>
        </w:tc>
        <w:tc>
          <w:tcPr>
            <w:tcW w:w="1669" w:type="dxa"/>
          </w:tcPr>
          <w:p w14:paraId="20FB1CCD" w14:textId="77777777" w:rsidR="000E12F6" w:rsidRPr="004A6B45" w:rsidRDefault="000E12F6" w:rsidP="00480A97">
            <w:pPr>
              <w:pStyle w:val="TABLEBULLETNEW"/>
            </w:pPr>
            <w:r>
              <w:t>Remediated software code</w:t>
            </w:r>
          </w:p>
        </w:tc>
        <w:tc>
          <w:tcPr>
            <w:tcW w:w="1710" w:type="dxa"/>
          </w:tcPr>
          <w:p w14:paraId="5C8CBA1D" w14:textId="77777777" w:rsidR="000E12F6" w:rsidRPr="004A6B45" w:rsidRDefault="000E12F6" w:rsidP="00480A97">
            <w:pPr>
              <w:pStyle w:val="TABLEBULLETNEW"/>
            </w:pPr>
            <w:r>
              <w:t>Remediated software code deployed at Regression Test environment</w:t>
            </w:r>
          </w:p>
        </w:tc>
      </w:tr>
      <w:tr w:rsidR="000E12F6" w:rsidRPr="00A21682" w14:paraId="644D1B2B" w14:textId="77777777" w:rsidTr="005C4E1D">
        <w:trPr>
          <w:trHeight w:val="300"/>
        </w:trPr>
        <w:tc>
          <w:tcPr>
            <w:tcW w:w="807" w:type="dxa"/>
          </w:tcPr>
          <w:p w14:paraId="571FDFCF" w14:textId="71562E9B" w:rsidR="000E12F6" w:rsidRPr="00A21682" w:rsidRDefault="000E12F6" w:rsidP="00480A97">
            <w:pPr>
              <w:pStyle w:val="TABLETEXT1"/>
              <w:rPr>
                <w:lang w:val="en-US"/>
              </w:rPr>
            </w:pPr>
            <w:r>
              <w:rPr>
                <w:lang w:val="en-US"/>
              </w:rPr>
              <w:t>7.9</w:t>
            </w:r>
          </w:p>
        </w:tc>
        <w:tc>
          <w:tcPr>
            <w:tcW w:w="1440" w:type="dxa"/>
          </w:tcPr>
          <w:p w14:paraId="7CD9E7CE" w14:textId="77777777" w:rsidR="000E12F6" w:rsidRPr="00A21682" w:rsidRDefault="000E12F6" w:rsidP="00480A97">
            <w:pPr>
              <w:pStyle w:val="TABLETEXT1"/>
              <w:rPr>
                <w:lang w:val="en-US"/>
              </w:rPr>
            </w:pPr>
            <w:r>
              <w:rPr>
                <w:lang w:val="en-US"/>
              </w:rPr>
              <w:t>Re-execute failed test scripts</w:t>
            </w:r>
          </w:p>
        </w:tc>
        <w:tc>
          <w:tcPr>
            <w:tcW w:w="2340" w:type="dxa"/>
          </w:tcPr>
          <w:p w14:paraId="433B7547" w14:textId="035CF357" w:rsidR="000E12F6" w:rsidRPr="006C5A1C" w:rsidRDefault="000E12F6" w:rsidP="00480A97">
            <w:pPr>
              <w:pStyle w:val="TABLETEXT1"/>
              <w:rPr>
                <w:lang w:val="en-US"/>
              </w:rPr>
            </w:pPr>
            <w:r>
              <w:rPr>
                <w:lang w:val="en-US"/>
              </w:rPr>
              <w:t>Re-execute the failed test cases once the defect fixes are deployed to Regression test environments. Document the test execution results and update the statuses of the defects and the test cases based on the outcome of the re-execution</w:t>
            </w:r>
          </w:p>
        </w:tc>
        <w:tc>
          <w:tcPr>
            <w:tcW w:w="1661" w:type="dxa"/>
          </w:tcPr>
          <w:p w14:paraId="5B0F102A" w14:textId="77777777" w:rsidR="000E12F6" w:rsidRPr="004A6B45" w:rsidRDefault="000E12F6" w:rsidP="00480A97">
            <w:pPr>
              <w:pStyle w:val="TABLEBULLETNEW"/>
            </w:pPr>
            <w:r>
              <w:t>Functional Stakeholders</w:t>
            </w:r>
          </w:p>
        </w:tc>
        <w:tc>
          <w:tcPr>
            <w:tcW w:w="1669" w:type="dxa"/>
          </w:tcPr>
          <w:p w14:paraId="6BEC0042" w14:textId="77777777" w:rsidR="000E12F6" w:rsidRPr="004A6B45" w:rsidRDefault="000E12F6" w:rsidP="00480A97">
            <w:pPr>
              <w:pStyle w:val="TABLEBULLETNEW"/>
            </w:pPr>
            <w:r>
              <w:t xml:space="preserve">Updated Regression test plan </w:t>
            </w:r>
          </w:p>
          <w:p w14:paraId="57D2DE7C" w14:textId="77777777" w:rsidR="000E12F6" w:rsidRPr="004A6B45" w:rsidRDefault="000E12F6" w:rsidP="00480A97">
            <w:pPr>
              <w:pStyle w:val="TABLEBULLETNEW"/>
            </w:pPr>
            <w:r>
              <w:t>Remediated software code deployed</w:t>
            </w:r>
          </w:p>
        </w:tc>
        <w:tc>
          <w:tcPr>
            <w:tcW w:w="1710" w:type="dxa"/>
          </w:tcPr>
          <w:p w14:paraId="4FAE1449" w14:textId="77777777" w:rsidR="000E12F6" w:rsidRPr="004A6B45" w:rsidRDefault="000E12F6" w:rsidP="00480A97">
            <w:pPr>
              <w:pStyle w:val="TABLEBULLETNEW"/>
            </w:pPr>
            <w:r>
              <w:t xml:space="preserve">Updated Regression test results </w:t>
            </w:r>
          </w:p>
        </w:tc>
      </w:tr>
      <w:tr w:rsidR="000E12F6" w:rsidRPr="00A21682" w14:paraId="692940CD" w14:textId="77777777" w:rsidTr="005C4E1D">
        <w:trPr>
          <w:trHeight w:val="300"/>
        </w:trPr>
        <w:tc>
          <w:tcPr>
            <w:tcW w:w="807" w:type="dxa"/>
          </w:tcPr>
          <w:p w14:paraId="7D183AFA" w14:textId="56176B4C" w:rsidR="000E12F6" w:rsidRPr="00A21682" w:rsidRDefault="000E12F6" w:rsidP="00480A97">
            <w:pPr>
              <w:pStyle w:val="TABLETEXT1"/>
              <w:rPr>
                <w:lang w:val="en-US"/>
              </w:rPr>
            </w:pPr>
            <w:r>
              <w:rPr>
                <w:lang w:val="en-US"/>
              </w:rPr>
              <w:t>7.10</w:t>
            </w:r>
          </w:p>
        </w:tc>
        <w:tc>
          <w:tcPr>
            <w:tcW w:w="1440" w:type="dxa"/>
          </w:tcPr>
          <w:p w14:paraId="259B7A6A" w14:textId="77777777" w:rsidR="000E12F6" w:rsidRPr="00A21682" w:rsidRDefault="000E12F6" w:rsidP="00480A97">
            <w:pPr>
              <w:pStyle w:val="TABLETEXT1"/>
              <w:rPr>
                <w:lang w:val="en-US"/>
              </w:rPr>
            </w:pPr>
            <w:r>
              <w:rPr>
                <w:lang w:val="en-US"/>
              </w:rPr>
              <w:t>Establish Performance test user profile</w:t>
            </w:r>
          </w:p>
        </w:tc>
        <w:tc>
          <w:tcPr>
            <w:tcW w:w="2340" w:type="dxa"/>
          </w:tcPr>
          <w:p w14:paraId="58B3F612" w14:textId="77777777" w:rsidR="000E12F6" w:rsidRPr="006C5A1C" w:rsidRDefault="000E12F6" w:rsidP="00480A97">
            <w:pPr>
              <w:pStyle w:val="TABLETEXT1"/>
              <w:rPr>
                <w:lang w:val="en-US"/>
              </w:rPr>
            </w:pPr>
            <w:r>
              <w:rPr>
                <w:lang w:val="en-US"/>
              </w:rPr>
              <w:t xml:space="preserve">Set up security roles and user access to Performance Testing </w:t>
            </w:r>
          </w:p>
        </w:tc>
        <w:tc>
          <w:tcPr>
            <w:tcW w:w="1661" w:type="dxa"/>
          </w:tcPr>
          <w:p w14:paraId="0AF3E7E9" w14:textId="77777777" w:rsidR="000E12F6" w:rsidRPr="004A6B45" w:rsidRDefault="000E12F6" w:rsidP="00480A97">
            <w:pPr>
              <w:pStyle w:val="TABLEBULLETNEW"/>
            </w:pPr>
            <w:r>
              <w:t>Functional Stakeholders</w:t>
            </w:r>
          </w:p>
        </w:tc>
        <w:tc>
          <w:tcPr>
            <w:tcW w:w="1669" w:type="dxa"/>
          </w:tcPr>
          <w:p w14:paraId="4A14812D" w14:textId="04CF6BFE" w:rsidR="000E12F6" w:rsidRPr="004A6B45" w:rsidRDefault="000E12F6" w:rsidP="00480A97">
            <w:pPr>
              <w:pStyle w:val="TABLEBULLETNEW"/>
            </w:pPr>
            <w:r>
              <w:t>Test Management Plan (DEL-09)</w:t>
            </w:r>
          </w:p>
        </w:tc>
        <w:tc>
          <w:tcPr>
            <w:tcW w:w="1710" w:type="dxa"/>
          </w:tcPr>
          <w:p w14:paraId="0FAC89A5" w14:textId="77777777" w:rsidR="000E12F6" w:rsidRPr="004A6B45" w:rsidRDefault="000E12F6" w:rsidP="00480A97">
            <w:pPr>
              <w:pStyle w:val="TABLEBULLETNEW"/>
            </w:pPr>
            <w:r>
              <w:t>Performance test user profiles</w:t>
            </w:r>
          </w:p>
        </w:tc>
      </w:tr>
      <w:tr w:rsidR="000E12F6" w:rsidRPr="00A21682" w14:paraId="5DC35DCE" w14:textId="77777777" w:rsidTr="005C4E1D">
        <w:trPr>
          <w:trHeight w:val="300"/>
        </w:trPr>
        <w:tc>
          <w:tcPr>
            <w:tcW w:w="807" w:type="dxa"/>
          </w:tcPr>
          <w:p w14:paraId="6EA7EBB6" w14:textId="59DAE608" w:rsidR="000E12F6" w:rsidRPr="00A21682" w:rsidRDefault="000E12F6" w:rsidP="00480A97">
            <w:pPr>
              <w:pStyle w:val="TABLETEXT1"/>
              <w:rPr>
                <w:lang w:val="en-US"/>
              </w:rPr>
            </w:pPr>
            <w:r>
              <w:rPr>
                <w:lang w:val="en-US"/>
              </w:rPr>
              <w:t>7.11</w:t>
            </w:r>
          </w:p>
        </w:tc>
        <w:tc>
          <w:tcPr>
            <w:tcW w:w="1440" w:type="dxa"/>
          </w:tcPr>
          <w:p w14:paraId="3B0A8CE5" w14:textId="77777777" w:rsidR="000E12F6" w:rsidRPr="00A21682" w:rsidRDefault="000E12F6" w:rsidP="00480A97">
            <w:pPr>
              <w:pStyle w:val="TABLETEXT1"/>
              <w:rPr>
                <w:lang w:val="en-US"/>
              </w:rPr>
            </w:pPr>
            <w:r>
              <w:rPr>
                <w:lang w:val="en-US"/>
              </w:rPr>
              <w:t>Create Performance test scripts</w:t>
            </w:r>
          </w:p>
        </w:tc>
        <w:tc>
          <w:tcPr>
            <w:tcW w:w="2340" w:type="dxa"/>
          </w:tcPr>
          <w:p w14:paraId="1ECBF6B3" w14:textId="3561C45A" w:rsidR="000E12F6" w:rsidRPr="006C5A1C" w:rsidRDefault="000E12F6" w:rsidP="00480A97">
            <w:pPr>
              <w:pStyle w:val="TABLETEXT1"/>
              <w:rPr>
                <w:lang w:val="en-US"/>
              </w:rPr>
            </w:pPr>
            <w:r>
              <w:rPr>
                <w:lang w:val="en-US"/>
              </w:rPr>
              <w:t>Develop the Performance test scripts based on the Test Management Plan (DEL-09)</w:t>
            </w:r>
          </w:p>
        </w:tc>
        <w:tc>
          <w:tcPr>
            <w:tcW w:w="1661" w:type="dxa"/>
          </w:tcPr>
          <w:p w14:paraId="11C3EBC6" w14:textId="77777777" w:rsidR="000E12F6" w:rsidRPr="004A6B45" w:rsidRDefault="000E12F6" w:rsidP="00480A97">
            <w:pPr>
              <w:pStyle w:val="TABLEBULLETNEW"/>
            </w:pPr>
            <w:r>
              <w:t>Functional Stakeholders</w:t>
            </w:r>
          </w:p>
        </w:tc>
        <w:tc>
          <w:tcPr>
            <w:tcW w:w="1669" w:type="dxa"/>
          </w:tcPr>
          <w:p w14:paraId="2438CDFE" w14:textId="51AF8145" w:rsidR="000E12F6" w:rsidRPr="004A6B45" w:rsidRDefault="000E12F6" w:rsidP="00480A97">
            <w:pPr>
              <w:pStyle w:val="TABLEBULLETNEW"/>
            </w:pPr>
            <w:r>
              <w:t>Test Management Plan (DEL-09) (Performance and Stress Testing approach)</w:t>
            </w:r>
          </w:p>
          <w:p w14:paraId="3243528E" w14:textId="77777777" w:rsidR="000E12F6" w:rsidRPr="004A6B45" w:rsidRDefault="000E12F6" w:rsidP="00480A97">
            <w:pPr>
              <w:pStyle w:val="TABLEBULLETNEW"/>
            </w:pPr>
            <w:r>
              <w:t>Performance test user profiles</w:t>
            </w:r>
          </w:p>
        </w:tc>
        <w:tc>
          <w:tcPr>
            <w:tcW w:w="1710" w:type="dxa"/>
          </w:tcPr>
          <w:p w14:paraId="5BC2DDC9" w14:textId="77777777" w:rsidR="000E12F6" w:rsidRPr="004A6B45" w:rsidRDefault="000E12F6" w:rsidP="00480A97">
            <w:pPr>
              <w:pStyle w:val="TABLEBULLETNEW"/>
            </w:pPr>
            <w:r>
              <w:t>Performance test scripts</w:t>
            </w:r>
          </w:p>
        </w:tc>
      </w:tr>
      <w:tr w:rsidR="000E12F6" w:rsidRPr="00A21682" w14:paraId="2E3FA260" w14:textId="77777777" w:rsidTr="005C4E1D">
        <w:trPr>
          <w:trHeight w:val="300"/>
        </w:trPr>
        <w:tc>
          <w:tcPr>
            <w:tcW w:w="807" w:type="dxa"/>
          </w:tcPr>
          <w:p w14:paraId="2AF2965B" w14:textId="2081D9B7" w:rsidR="000E12F6" w:rsidRPr="00A21682" w:rsidRDefault="000E12F6" w:rsidP="00480A97">
            <w:pPr>
              <w:pStyle w:val="TABLETEXT1"/>
              <w:rPr>
                <w:lang w:val="en-US"/>
              </w:rPr>
            </w:pPr>
            <w:r>
              <w:rPr>
                <w:lang w:val="en-US"/>
              </w:rPr>
              <w:t>7.12</w:t>
            </w:r>
          </w:p>
        </w:tc>
        <w:tc>
          <w:tcPr>
            <w:tcW w:w="1440" w:type="dxa"/>
          </w:tcPr>
          <w:p w14:paraId="377EF7D4" w14:textId="77777777" w:rsidR="000E12F6" w:rsidRPr="00A21682" w:rsidRDefault="000E12F6" w:rsidP="00480A97">
            <w:pPr>
              <w:pStyle w:val="TABLETEXT1"/>
              <w:rPr>
                <w:lang w:val="en-US"/>
              </w:rPr>
            </w:pPr>
            <w:r>
              <w:rPr>
                <w:lang w:val="en-US"/>
              </w:rPr>
              <w:t>Conduct Performance and Stress Testing</w:t>
            </w:r>
          </w:p>
        </w:tc>
        <w:tc>
          <w:tcPr>
            <w:tcW w:w="2340" w:type="dxa"/>
          </w:tcPr>
          <w:p w14:paraId="1CF64088" w14:textId="77777777" w:rsidR="000E12F6" w:rsidRPr="006C5A1C" w:rsidRDefault="000E12F6" w:rsidP="00480A97">
            <w:pPr>
              <w:pStyle w:val="TABLETEXT1"/>
              <w:rPr>
                <w:lang w:val="en-US"/>
              </w:rPr>
            </w:pPr>
            <w:r>
              <w:rPr>
                <w:lang w:val="en-US"/>
              </w:rPr>
              <w:t xml:space="preserve">Monitor the target environment to extract, extrapolate results from each cycle of the test execution, and analyze </w:t>
            </w:r>
            <w:r>
              <w:rPr>
                <w:lang w:val="en-US"/>
              </w:rPr>
              <w:lastRenderedPageBreak/>
              <w:t>the test results to conform to service level standards and deliver tuning recommendations</w:t>
            </w:r>
          </w:p>
        </w:tc>
        <w:tc>
          <w:tcPr>
            <w:tcW w:w="1661" w:type="dxa"/>
          </w:tcPr>
          <w:p w14:paraId="2E1663F2" w14:textId="77777777" w:rsidR="000E12F6" w:rsidRPr="004A6B45" w:rsidRDefault="000E12F6" w:rsidP="00480A97">
            <w:pPr>
              <w:pStyle w:val="TABLEBULLETNEW"/>
            </w:pPr>
            <w:r>
              <w:lastRenderedPageBreak/>
              <w:t>Functional Stakeholders</w:t>
            </w:r>
          </w:p>
        </w:tc>
        <w:tc>
          <w:tcPr>
            <w:tcW w:w="1669" w:type="dxa"/>
          </w:tcPr>
          <w:p w14:paraId="2C04F9C8" w14:textId="4F42AA46" w:rsidR="000E12F6" w:rsidRPr="004A6B45" w:rsidRDefault="000E12F6" w:rsidP="00480A97">
            <w:pPr>
              <w:pStyle w:val="TABLEBULLETNEW"/>
            </w:pPr>
            <w:r>
              <w:t xml:space="preserve">Test Management Plan (DEL-09) (Performance </w:t>
            </w:r>
            <w:r>
              <w:lastRenderedPageBreak/>
              <w:t>and Stress Testing approach)</w:t>
            </w:r>
          </w:p>
          <w:p w14:paraId="55EF3057" w14:textId="77777777" w:rsidR="000E12F6" w:rsidRPr="004A6B45" w:rsidRDefault="000E12F6" w:rsidP="00480A97">
            <w:pPr>
              <w:pStyle w:val="TABLEBULLETNEW"/>
            </w:pPr>
            <w:r>
              <w:t>Performance and Stress test environment</w:t>
            </w:r>
          </w:p>
        </w:tc>
        <w:tc>
          <w:tcPr>
            <w:tcW w:w="1710" w:type="dxa"/>
          </w:tcPr>
          <w:p w14:paraId="541E6CC5" w14:textId="77777777" w:rsidR="000E12F6" w:rsidRPr="004A6B45" w:rsidRDefault="000E12F6" w:rsidP="00480A97">
            <w:pPr>
              <w:pStyle w:val="TABLEBULLETNEW"/>
            </w:pPr>
            <w:r>
              <w:lastRenderedPageBreak/>
              <w:t>Performance and Stress test results</w:t>
            </w:r>
          </w:p>
        </w:tc>
      </w:tr>
      <w:tr w:rsidR="000E12F6" w:rsidRPr="00A21682" w14:paraId="71C43EAB" w14:textId="77777777" w:rsidTr="005C4E1D">
        <w:trPr>
          <w:trHeight w:val="300"/>
        </w:trPr>
        <w:tc>
          <w:tcPr>
            <w:tcW w:w="807" w:type="dxa"/>
          </w:tcPr>
          <w:p w14:paraId="5A450A6D" w14:textId="1B80BF63" w:rsidR="000E12F6" w:rsidRPr="00A21682" w:rsidRDefault="000E12F6" w:rsidP="00480A97">
            <w:pPr>
              <w:pStyle w:val="TABLETEXT1"/>
              <w:rPr>
                <w:lang w:val="en-US"/>
              </w:rPr>
            </w:pPr>
            <w:r>
              <w:rPr>
                <w:lang w:val="en-US"/>
              </w:rPr>
              <w:t>7.12a</w:t>
            </w:r>
          </w:p>
        </w:tc>
        <w:tc>
          <w:tcPr>
            <w:tcW w:w="1440" w:type="dxa"/>
          </w:tcPr>
          <w:p w14:paraId="25ADD15D" w14:textId="77777777" w:rsidR="000E12F6" w:rsidRPr="00A21682" w:rsidRDefault="000E12F6" w:rsidP="00480A97">
            <w:pPr>
              <w:pStyle w:val="TABLETEXT1"/>
              <w:rPr>
                <w:lang w:val="en-US"/>
              </w:rPr>
            </w:pPr>
            <w:r>
              <w:rPr>
                <w:lang w:val="en-US"/>
              </w:rPr>
              <w:t>Performance test results meet defined standards</w:t>
            </w:r>
          </w:p>
        </w:tc>
        <w:tc>
          <w:tcPr>
            <w:tcW w:w="2340" w:type="dxa"/>
          </w:tcPr>
          <w:p w14:paraId="1845A77E" w14:textId="497CC5CF" w:rsidR="000E12F6" w:rsidRPr="006C5A1C" w:rsidRDefault="000E12F6" w:rsidP="00480A97">
            <w:pPr>
              <w:pStyle w:val="TABLETEXT1"/>
              <w:rPr>
                <w:lang w:val="en-US"/>
              </w:rPr>
            </w:pPr>
            <w:r>
              <w:rPr>
                <w:lang w:val="en-US"/>
              </w:rPr>
              <w:t>Determine if Performance test results meet standards defined in Test Management Plan (DEL-09)</w:t>
            </w:r>
          </w:p>
          <w:p w14:paraId="433743EC" w14:textId="4BDC144B" w:rsidR="000E12F6" w:rsidRPr="00AF120C" w:rsidRDefault="000E12F6" w:rsidP="00480A97">
            <w:pPr>
              <w:pStyle w:val="TABLEBULLETNEW"/>
            </w:pPr>
            <w:r>
              <w:t xml:space="preserve">If yes, proceed to </w:t>
            </w:r>
            <w:r>
              <w:rPr>
                <w:i/>
              </w:rPr>
              <w:t>Step #7.20 Submit full System Test Results (DEL-24) report</w:t>
            </w:r>
          </w:p>
          <w:p w14:paraId="3A358296" w14:textId="72471CED" w:rsidR="000E12F6" w:rsidRPr="00AF120C" w:rsidRDefault="000E12F6" w:rsidP="00480A97">
            <w:pPr>
              <w:pStyle w:val="TABLEBULLETNEW"/>
            </w:pPr>
            <w:r>
              <w:t xml:space="preserve">If no, proceed to </w:t>
            </w:r>
            <w:r>
              <w:rPr>
                <w:i/>
              </w:rPr>
              <w:t>Step #7.13 Remediate performance defects and Regression test</w:t>
            </w:r>
          </w:p>
        </w:tc>
        <w:tc>
          <w:tcPr>
            <w:tcW w:w="1661" w:type="dxa"/>
          </w:tcPr>
          <w:p w14:paraId="31DF83C4" w14:textId="77777777" w:rsidR="000E12F6" w:rsidRPr="004A6B45" w:rsidRDefault="000E12F6" w:rsidP="00480A97">
            <w:pPr>
              <w:pStyle w:val="TABLEBULLETNEW"/>
            </w:pPr>
            <w:r>
              <w:t>Technical Stakeholders</w:t>
            </w:r>
          </w:p>
        </w:tc>
        <w:tc>
          <w:tcPr>
            <w:tcW w:w="1669" w:type="dxa"/>
          </w:tcPr>
          <w:p w14:paraId="66CED6C9" w14:textId="77777777" w:rsidR="000E12F6" w:rsidRPr="004A6B45" w:rsidRDefault="000E12F6" w:rsidP="00480A97">
            <w:pPr>
              <w:pStyle w:val="TABLEBULLETNEW"/>
            </w:pPr>
            <w:r>
              <w:t>N/A</w:t>
            </w:r>
          </w:p>
        </w:tc>
        <w:tc>
          <w:tcPr>
            <w:tcW w:w="1710" w:type="dxa"/>
          </w:tcPr>
          <w:p w14:paraId="2812BC08" w14:textId="77777777" w:rsidR="000E12F6" w:rsidRPr="004A6B45" w:rsidRDefault="000E12F6" w:rsidP="00480A97">
            <w:pPr>
              <w:pStyle w:val="TABLEBULLETNEW"/>
            </w:pPr>
            <w:r>
              <w:t>N/A</w:t>
            </w:r>
          </w:p>
        </w:tc>
      </w:tr>
      <w:tr w:rsidR="000E12F6" w:rsidRPr="00A21682" w14:paraId="446BDAA6" w14:textId="77777777" w:rsidTr="005C4E1D">
        <w:trPr>
          <w:trHeight w:val="300"/>
        </w:trPr>
        <w:tc>
          <w:tcPr>
            <w:tcW w:w="807" w:type="dxa"/>
          </w:tcPr>
          <w:p w14:paraId="10A51611" w14:textId="0896CA20" w:rsidR="000E12F6" w:rsidRPr="00A21682" w:rsidRDefault="000E12F6" w:rsidP="00480A97">
            <w:pPr>
              <w:pStyle w:val="TABLETEXT1"/>
              <w:rPr>
                <w:lang w:val="en-US"/>
              </w:rPr>
            </w:pPr>
            <w:r>
              <w:rPr>
                <w:lang w:val="en-US"/>
              </w:rPr>
              <w:t>7.13</w:t>
            </w:r>
          </w:p>
        </w:tc>
        <w:tc>
          <w:tcPr>
            <w:tcW w:w="1440" w:type="dxa"/>
          </w:tcPr>
          <w:p w14:paraId="284C4C0A" w14:textId="053F2FDF" w:rsidR="000E12F6" w:rsidRPr="00A21682" w:rsidRDefault="000E12F6" w:rsidP="00480A97">
            <w:pPr>
              <w:pStyle w:val="TABLETEXT1"/>
              <w:rPr>
                <w:lang w:val="en-US"/>
              </w:rPr>
            </w:pPr>
            <w:r>
              <w:rPr>
                <w:lang w:val="en-US"/>
              </w:rPr>
              <w:t>Remediate performance defects and Regression Test</w:t>
            </w:r>
          </w:p>
        </w:tc>
        <w:tc>
          <w:tcPr>
            <w:tcW w:w="2340" w:type="dxa"/>
          </w:tcPr>
          <w:p w14:paraId="120DE883" w14:textId="77777777" w:rsidR="000E12F6" w:rsidRPr="006C5A1C" w:rsidRDefault="000E12F6" w:rsidP="00480A97">
            <w:pPr>
              <w:pStyle w:val="TABLETEXT1"/>
              <w:rPr>
                <w:lang w:val="en-US"/>
              </w:rPr>
            </w:pPr>
            <w:r>
              <w:rPr>
                <w:lang w:val="en-US"/>
              </w:rPr>
              <w:t>Take corrective actions to resolve the performance test issues in the defect</w:t>
            </w:r>
          </w:p>
        </w:tc>
        <w:tc>
          <w:tcPr>
            <w:tcW w:w="1661" w:type="dxa"/>
          </w:tcPr>
          <w:p w14:paraId="3A9DAB01" w14:textId="77777777" w:rsidR="000E12F6" w:rsidRPr="004A6B45" w:rsidRDefault="000E12F6" w:rsidP="00480A97">
            <w:pPr>
              <w:pStyle w:val="TABLEBULLETNEW"/>
            </w:pPr>
            <w:r>
              <w:t>Technical Stakeholders</w:t>
            </w:r>
          </w:p>
        </w:tc>
        <w:tc>
          <w:tcPr>
            <w:tcW w:w="1669" w:type="dxa"/>
          </w:tcPr>
          <w:p w14:paraId="4DB60ECB" w14:textId="77777777" w:rsidR="000E12F6" w:rsidRPr="004A6B45" w:rsidRDefault="000E12F6" w:rsidP="00480A97">
            <w:pPr>
              <w:pStyle w:val="TABLEBULLETNEW"/>
            </w:pPr>
            <w:r>
              <w:t>Performance and Stress test results</w:t>
            </w:r>
          </w:p>
        </w:tc>
        <w:tc>
          <w:tcPr>
            <w:tcW w:w="1710" w:type="dxa"/>
          </w:tcPr>
          <w:p w14:paraId="5C625BE2" w14:textId="77777777" w:rsidR="000E12F6" w:rsidRPr="004A6B45" w:rsidRDefault="000E12F6" w:rsidP="00480A97">
            <w:pPr>
              <w:pStyle w:val="TABLEBULLETNEW"/>
            </w:pPr>
            <w:r>
              <w:t>Remediated software code or configuration</w:t>
            </w:r>
          </w:p>
        </w:tc>
      </w:tr>
      <w:tr w:rsidR="000E12F6" w:rsidRPr="00A21682" w14:paraId="45E74ED2" w14:textId="77777777" w:rsidTr="005C4E1D">
        <w:trPr>
          <w:trHeight w:val="300"/>
        </w:trPr>
        <w:tc>
          <w:tcPr>
            <w:tcW w:w="807" w:type="dxa"/>
          </w:tcPr>
          <w:p w14:paraId="78AFDB35" w14:textId="03E220B2" w:rsidR="000E12F6" w:rsidRPr="00A21682" w:rsidRDefault="000E12F6" w:rsidP="00480A97">
            <w:pPr>
              <w:pStyle w:val="TABLETEXT1"/>
              <w:rPr>
                <w:lang w:val="en-US"/>
              </w:rPr>
            </w:pPr>
            <w:r>
              <w:rPr>
                <w:lang w:val="en-US"/>
              </w:rPr>
              <w:t>7.14</w:t>
            </w:r>
          </w:p>
        </w:tc>
        <w:tc>
          <w:tcPr>
            <w:tcW w:w="1440" w:type="dxa"/>
          </w:tcPr>
          <w:p w14:paraId="0D797658" w14:textId="77777777" w:rsidR="000E12F6" w:rsidRPr="00A21682" w:rsidRDefault="000E12F6" w:rsidP="00480A97">
            <w:pPr>
              <w:pStyle w:val="TABLETEXT1"/>
              <w:rPr>
                <w:lang w:val="en-US"/>
              </w:rPr>
            </w:pPr>
            <w:r>
              <w:rPr>
                <w:lang w:val="en-US"/>
              </w:rPr>
              <w:t>Create Security Testing script</w:t>
            </w:r>
          </w:p>
        </w:tc>
        <w:tc>
          <w:tcPr>
            <w:tcW w:w="2340" w:type="dxa"/>
          </w:tcPr>
          <w:p w14:paraId="07BDCBA3" w14:textId="60186218" w:rsidR="000E12F6" w:rsidRPr="006C5A1C" w:rsidRDefault="000E12F6" w:rsidP="00480A97">
            <w:pPr>
              <w:pStyle w:val="TABLETEXT1"/>
              <w:rPr>
                <w:lang w:val="en-US"/>
              </w:rPr>
            </w:pPr>
            <w:r>
              <w:rPr>
                <w:lang w:val="en-US"/>
              </w:rPr>
              <w:t>Develop the Security test scripts for the in-scope components based on the Test Management Plan (DEL-09)</w:t>
            </w:r>
          </w:p>
        </w:tc>
        <w:tc>
          <w:tcPr>
            <w:tcW w:w="1661" w:type="dxa"/>
          </w:tcPr>
          <w:p w14:paraId="1739F280" w14:textId="77777777" w:rsidR="000E12F6" w:rsidRPr="004A6B45" w:rsidRDefault="000E12F6" w:rsidP="00480A97">
            <w:pPr>
              <w:pStyle w:val="TABLEBULLETNEW"/>
            </w:pPr>
            <w:r>
              <w:t>Technical Stakeholders</w:t>
            </w:r>
          </w:p>
        </w:tc>
        <w:tc>
          <w:tcPr>
            <w:tcW w:w="1669" w:type="dxa"/>
          </w:tcPr>
          <w:p w14:paraId="2518DA84" w14:textId="4F953F7B" w:rsidR="000E12F6" w:rsidRPr="004A6B45" w:rsidRDefault="000E12F6" w:rsidP="00480A97">
            <w:pPr>
              <w:pStyle w:val="TABLEBULLETNEW"/>
            </w:pPr>
            <w:r>
              <w:t>Test Management Plan (DEL-09) (System Security Test Plan)</w:t>
            </w:r>
          </w:p>
        </w:tc>
        <w:tc>
          <w:tcPr>
            <w:tcW w:w="1710" w:type="dxa"/>
          </w:tcPr>
          <w:p w14:paraId="4583AE67" w14:textId="77777777" w:rsidR="000E12F6" w:rsidRPr="004A6B45" w:rsidRDefault="000E12F6" w:rsidP="00480A97">
            <w:pPr>
              <w:pStyle w:val="TABLEBULLETNEW"/>
            </w:pPr>
            <w:r>
              <w:t>Security test script</w:t>
            </w:r>
          </w:p>
          <w:p w14:paraId="67C684F3" w14:textId="77777777" w:rsidR="000E12F6" w:rsidRPr="004A6B45" w:rsidRDefault="000E12F6" w:rsidP="00480A97">
            <w:pPr>
              <w:pStyle w:val="TABLEBULLETNEW"/>
            </w:pPr>
            <w:r>
              <w:t>Role-based Security test cases</w:t>
            </w:r>
          </w:p>
        </w:tc>
      </w:tr>
      <w:tr w:rsidR="000E12F6" w:rsidRPr="00A21682" w14:paraId="6476C5EC" w14:textId="77777777" w:rsidTr="005C4E1D">
        <w:trPr>
          <w:trHeight w:val="300"/>
        </w:trPr>
        <w:tc>
          <w:tcPr>
            <w:tcW w:w="807" w:type="dxa"/>
          </w:tcPr>
          <w:p w14:paraId="55C7A162" w14:textId="08131D4D" w:rsidR="000E12F6" w:rsidRPr="00A21682" w:rsidRDefault="000E12F6" w:rsidP="00480A97">
            <w:pPr>
              <w:pStyle w:val="TABLETEXT1"/>
              <w:rPr>
                <w:lang w:val="en-US"/>
              </w:rPr>
            </w:pPr>
            <w:r>
              <w:rPr>
                <w:lang w:val="en-US"/>
              </w:rPr>
              <w:t>7.15</w:t>
            </w:r>
          </w:p>
        </w:tc>
        <w:tc>
          <w:tcPr>
            <w:tcW w:w="1440" w:type="dxa"/>
          </w:tcPr>
          <w:p w14:paraId="6687174C" w14:textId="77777777" w:rsidR="000E12F6" w:rsidRPr="00A21682" w:rsidRDefault="000E12F6" w:rsidP="00480A97">
            <w:pPr>
              <w:pStyle w:val="TABLETEXT1"/>
              <w:rPr>
                <w:lang w:val="en-US"/>
              </w:rPr>
            </w:pPr>
            <w:r>
              <w:rPr>
                <w:lang w:val="en-US"/>
              </w:rPr>
              <w:t>Perform Security Testing</w:t>
            </w:r>
          </w:p>
        </w:tc>
        <w:tc>
          <w:tcPr>
            <w:tcW w:w="2340" w:type="dxa"/>
          </w:tcPr>
          <w:p w14:paraId="6795B19F" w14:textId="77777777" w:rsidR="000E12F6" w:rsidRPr="009932BC" w:rsidRDefault="000E12F6" w:rsidP="00480A97">
            <w:pPr>
              <w:pStyle w:val="TABLETEXT1"/>
              <w:rPr>
                <w:lang w:val="en-US"/>
              </w:rPr>
            </w:pPr>
            <w:r>
              <w:rPr>
                <w:lang w:val="en-US"/>
              </w:rPr>
              <w:t>Perform Security Testing and capture results. Categorize security risks and assess their potential impact and severity if realized in the production environment</w:t>
            </w:r>
          </w:p>
        </w:tc>
        <w:tc>
          <w:tcPr>
            <w:tcW w:w="1661" w:type="dxa"/>
          </w:tcPr>
          <w:p w14:paraId="74CC19FE" w14:textId="77777777" w:rsidR="000E12F6" w:rsidRPr="004A6B45" w:rsidRDefault="000E12F6" w:rsidP="00480A97">
            <w:pPr>
              <w:pStyle w:val="TABLEBULLETNEW"/>
            </w:pPr>
            <w:r>
              <w:t>Technical Stakeholders</w:t>
            </w:r>
          </w:p>
        </w:tc>
        <w:tc>
          <w:tcPr>
            <w:tcW w:w="1669" w:type="dxa"/>
          </w:tcPr>
          <w:p w14:paraId="550E216E" w14:textId="77777777" w:rsidR="000E12F6" w:rsidRPr="004A6B45" w:rsidRDefault="000E12F6" w:rsidP="00480A97">
            <w:pPr>
              <w:pStyle w:val="TABLEBULLETNEW"/>
            </w:pPr>
            <w:r>
              <w:t>Security test scripts</w:t>
            </w:r>
          </w:p>
          <w:p w14:paraId="1A25520E" w14:textId="77777777" w:rsidR="000E12F6" w:rsidRPr="004A6B45" w:rsidRDefault="000E12F6" w:rsidP="00480A97">
            <w:pPr>
              <w:pStyle w:val="TABLEBULLETNEW"/>
            </w:pPr>
            <w:r>
              <w:t>Role-based Security test cases</w:t>
            </w:r>
          </w:p>
        </w:tc>
        <w:tc>
          <w:tcPr>
            <w:tcW w:w="1710" w:type="dxa"/>
          </w:tcPr>
          <w:p w14:paraId="24C99571" w14:textId="77777777" w:rsidR="000E12F6" w:rsidRPr="004A6B45" w:rsidRDefault="000E12F6" w:rsidP="00480A97">
            <w:pPr>
              <w:pStyle w:val="TABLEBULLETNEW"/>
            </w:pPr>
            <w:r>
              <w:t>Security test results</w:t>
            </w:r>
          </w:p>
        </w:tc>
      </w:tr>
      <w:tr w:rsidR="000E12F6" w:rsidRPr="00A21682" w14:paraId="70C0E7E8" w14:textId="77777777" w:rsidTr="005C4E1D">
        <w:trPr>
          <w:trHeight w:val="300"/>
        </w:trPr>
        <w:tc>
          <w:tcPr>
            <w:tcW w:w="807" w:type="dxa"/>
          </w:tcPr>
          <w:p w14:paraId="3B93DF94" w14:textId="62B901C8" w:rsidR="000E12F6" w:rsidRPr="00A21682" w:rsidRDefault="000E12F6" w:rsidP="00480A97">
            <w:pPr>
              <w:pStyle w:val="TABLETEXT1"/>
              <w:rPr>
                <w:lang w:val="en-US"/>
              </w:rPr>
            </w:pPr>
            <w:r>
              <w:rPr>
                <w:lang w:val="en-US"/>
              </w:rPr>
              <w:t>7.16</w:t>
            </w:r>
          </w:p>
        </w:tc>
        <w:tc>
          <w:tcPr>
            <w:tcW w:w="1440" w:type="dxa"/>
          </w:tcPr>
          <w:p w14:paraId="32F4F95F" w14:textId="77777777" w:rsidR="000E12F6" w:rsidRPr="00A21682" w:rsidRDefault="000E12F6" w:rsidP="00480A97">
            <w:pPr>
              <w:pStyle w:val="TABLETEXT1"/>
              <w:rPr>
                <w:lang w:val="en-US"/>
              </w:rPr>
            </w:pPr>
            <w:r>
              <w:rPr>
                <w:lang w:val="en-US"/>
              </w:rPr>
              <w:t xml:space="preserve">Log test results and </w:t>
            </w:r>
            <w:r>
              <w:rPr>
                <w:lang w:val="en-US"/>
              </w:rPr>
              <w:lastRenderedPageBreak/>
              <w:t>defects where necessary</w:t>
            </w:r>
          </w:p>
        </w:tc>
        <w:tc>
          <w:tcPr>
            <w:tcW w:w="2340" w:type="dxa"/>
          </w:tcPr>
          <w:p w14:paraId="7B0F8BB9" w14:textId="747A8444" w:rsidR="000E12F6" w:rsidRPr="009932BC" w:rsidRDefault="000E12F6" w:rsidP="00480A97">
            <w:pPr>
              <w:pStyle w:val="TABLETEXT1"/>
              <w:rPr>
                <w:lang w:val="en-US"/>
              </w:rPr>
            </w:pPr>
            <w:r>
              <w:rPr>
                <w:lang w:val="en-US"/>
              </w:rPr>
              <w:lastRenderedPageBreak/>
              <w:t xml:space="preserve">Security team logs all defects and the status </w:t>
            </w:r>
            <w:r>
              <w:rPr>
                <w:lang w:val="en-US"/>
              </w:rPr>
              <w:lastRenderedPageBreak/>
              <w:t>of each defect in the System Defect Log</w:t>
            </w:r>
          </w:p>
        </w:tc>
        <w:tc>
          <w:tcPr>
            <w:tcW w:w="1661" w:type="dxa"/>
          </w:tcPr>
          <w:p w14:paraId="1E702CB9" w14:textId="77777777" w:rsidR="000E12F6" w:rsidRPr="004A6B45" w:rsidRDefault="000E12F6" w:rsidP="00480A97">
            <w:pPr>
              <w:pStyle w:val="TABLEBULLETNEW"/>
            </w:pPr>
            <w:r>
              <w:lastRenderedPageBreak/>
              <w:t>Technical Stakeholders</w:t>
            </w:r>
          </w:p>
        </w:tc>
        <w:tc>
          <w:tcPr>
            <w:tcW w:w="1669" w:type="dxa"/>
          </w:tcPr>
          <w:p w14:paraId="50707A11" w14:textId="77777777" w:rsidR="000E12F6" w:rsidRPr="004A6B45" w:rsidRDefault="000E12F6" w:rsidP="00480A97">
            <w:pPr>
              <w:pStyle w:val="TABLEBULLETNEW"/>
            </w:pPr>
            <w:r>
              <w:t xml:space="preserve">Security test results </w:t>
            </w:r>
          </w:p>
        </w:tc>
        <w:tc>
          <w:tcPr>
            <w:tcW w:w="1710" w:type="dxa"/>
          </w:tcPr>
          <w:p w14:paraId="0607B53F" w14:textId="46143908" w:rsidR="000E12F6" w:rsidRPr="009618E4" w:rsidRDefault="000E12F6" w:rsidP="00480A97">
            <w:pPr>
              <w:pStyle w:val="TABLEBULLETNEW"/>
            </w:pPr>
            <w:r>
              <w:t xml:space="preserve">Updated System </w:t>
            </w:r>
            <w:r>
              <w:lastRenderedPageBreak/>
              <w:t>Defect Log with Security test results</w:t>
            </w:r>
          </w:p>
        </w:tc>
      </w:tr>
      <w:tr w:rsidR="000E12F6" w:rsidRPr="00A21682" w14:paraId="1D6DB341" w14:textId="77777777" w:rsidTr="005C4E1D">
        <w:trPr>
          <w:trHeight w:val="300"/>
        </w:trPr>
        <w:tc>
          <w:tcPr>
            <w:tcW w:w="807" w:type="dxa"/>
          </w:tcPr>
          <w:p w14:paraId="338DAE10" w14:textId="3D94187B" w:rsidR="000E12F6" w:rsidRPr="00A21682" w:rsidRDefault="000E12F6" w:rsidP="00480A97">
            <w:pPr>
              <w:pStyle w:val="TABLETEXT1"/>
              <w:rPr>
                <w:lang w:val="en-US"/>
              </w:rPr>
            </w:pPr>
            <w:r>
              <w:rPr>
                <w:lang w:val="en-US"/>
              </w:rPr>
              <w:t>7.16a</w:t>
            </w:r>
          </w:p>
        </w:tc>
        <w:tc>
          <w:tcPr>
            <w:tcW w:w="1440" w:type="dxa"/>
          </w:tcPr>
          <w:p w14:paraId="5D5B5C2D" w14:textId="77777777" w:rsidR="000E12F6" w:rsidRPr="00A21682" w:rsidRDefault="000E12F6" w:rsidP="00480A97">
            <w:pPr>
              <w:pStyle w:val="TABLETEXT1"/>
              <w:rPr>
                <w:lang w:val="en-US"/>
              </w:rPr>
            </w:pPr>
            <w:r>
              <w:rPr>
                <w:lang w:val="en-US"/>
              </w:rPr>
              <w:t>Security test results meet defined standards</w:t>
            </w:r>
          </w:p>
        </w:tc>
        <w:tc>
          <w:tcPr>
            <w:tcW w:w="2340" w:type="dxa"/>
          </w:tcPr>
          <w:p w14:paraId="14EC0550" w14:textId="1DC7F806" w:rsidR="000E12F6" w:rsidRPr="009932BC" w:rsidRDefault="000E12F6" w:rsidP="00480A97">
            <w:pPr>
              <w:pStyle w:val="TABLETEXT1"/>
              <w:rPr>
                <w:lang w:val="en-US"/>
              </w:rPr>
            </w:pPr>
            <w:r>
              <w:rPr>
                <w:lang w:val="en-US"/>
              </w:rPr>
              <w:t>Determine if Security test results meet standards defined in System Security Plan (DEL-15)</w:t>
            </w:r>
          </w:p>
          <w:p w14:paraId="3D94952C" w14:textId="0D280E39" w:rsidR="000E12F6" w:rsidRPr="009618E4" w:rsidRDefault="000E12F6" w:rsidP="00480A97">
            <w:pPr>
              <w:pStyle w:val="TABLEBULLETNEW"/>
            </w:pPr>
            <w:r>
              <w:t xml:space="preserve">If yes, proceed to </w:t>
            </w:r>
            <w:r>
              <w:rPr>
                <w:i/>
              </w:rPr>
              <w:t>Step #7.20 Submit full System Test Results (DEL-24) Report</w:t>
            </w:r>
          </w:p>
          <w:p w14:paraId="082B7AED" w14:textId="54B6463F" w:rsidR="000E12F6" w:rsidRPr="00AF120C" w:rsidRDefault="000E12F6" w:rsidP="00480A97">
            <w:pPr>
              <w:pStyle w:val="TABLEBULLETNEW"/>
            </w:pPr>
            <w:r>
              <w:t xml:space="preserve">If no, proceed to </w:t>
            </w:r>
            <w:r>
              <w:rPr>
                <w:i/>
              </w:rPr>
              <w:t>Step #7.17 Remediate security defects and Regression Test</w:t>
            </w:r>
          </w:p>
        </w:tc>
        <w:tc>
          <w:tcPr>
            <w:tcW w:w="1661" w:type="dxa"/>
          </w:tcPr>
          <w:p w14:paraId="07178395" w14:textId="77777777" w:rsidR="000E12F6" w:rsidRPr="009618E4" w:rsidRDefault="000E12F6" w:rsidP="00480A97">
            <w:pPr>
              <w:pStyle w:val="TABLEBULLETNEW"/>
            </w:pPr>
            <w:r>
              <w:t>Technical Stakeholders</w:t>
            </w:r>
          </w:p>
        </w:tc>
        <w:tc>
          <w:tcPr>
            <w:tcW w:w="1669" w:type="dxa"/>
          </w:tcPr>
          <w:p w14:paraId="2C1FA86C" w14:textId="77777777" w:rsidR="000E12F6" w:rsidRPr="009618E4" w:rsidRDefault="000E12F6" w:rsidP="00480A97">
            <w:pPr>
              <w:pStyle w:val="TABLEBULLETNEW"/>
            </w:pPr>
            <w:r>
              <w:t>N/A</w:t>
            </w:r>
          </w:p>
        </w:tc>
        <w:tc>
          <w:tcPr>
            <w:tcW w:w="1710" w:type="dxa"/>
          </w:tcPr>
          <w:p w14:paraId="558D010A" w14:textId="77777777" w:rsidR="000E12F6" w:rsidRPr="009618E4" w:rsidRDefault="000E12F6" w:rsidP="00480A97">
            <w:pPr>
              <w:pStyle w:val="TABLEBULLETNEW"/>
            </w:pPr>
            <w:r>
              <w:t>N/A</w:t>
            </w:r>
          </w:p>
        </w:tc>
      </w:tr>
      <w:tr w:rsidR="000E12F6" w:rsidRPr="00A21682" w14:paraId="0817DC97" w14:textId="77777777" w:rsidTr="005C4E1D">
        <w:trPr>
          <w:trHeight w:val="300"/>
        </w:trPr>
        <w:tc>
          <w:tcPr>
            <w:tcW w:w="807" w:type="dxa"/>
          </w:tcPr>
          <w:p w14:paraId="14827731" w14:textId="71BD75C3" w:rsidR="000E12F6" w:rsidRPr="00A21682" w:rsidRDefault="000E12F6" w:rsidP="00480A97">
            <w:pPr>
              <w:pStyle w:val="TABLETEXT1"/>
              <w:rPr>
                <w:lang w:val="en-US"/>
              </w:rPr>
            </w:pPr>
            <w:r>
              <w:rPr>
                <w:lang w:val="en-US"/>
              </w:rPr>
              <w:t>7.17</w:t>
            </w:r>
          </w:p>
        </w:tc>
        <w:tc>
          <w:tcPr>
            <w:tcW w:w="1440" w:type="dxa"/>
          </w:tcPr>
          <w:p w14:paraId="6C235D94" w14:textId="0E4DE3A5" w:rsidR="000E12F6" w:rsidRPr="00A21682" w:rsidRDefault="000E12F6" w:rsidP="00480A97">
            <w:pPr>
              <w:pStyle w:val="TABLETEXT1"/>
              <w:rPr>
                <w:lang w:val="en-US"/>
              </w:rPr>
            </w:pPr>
            <w:r>
              <w:rPr>
                <w:lang w:val="en-US"/>
              </w:rPr>
              <w:t>Remediate security defects and Regression Test</w:t>
            </w:r>
          </w:p>
        </w:tc>
        <w:tc>
          <w:tcPr>
            <w:tcW w:w="2340" w:type="dxa"/>
          </w:tcPr>
          <w:p w14:paraId="23C9DB3F" w14:textId="73C80151" w:rsidR="000E12F6" w:rsidRPr="009932BC" w:rsidRDefault="000E12F6" w:rsidP="00480A97">
            <w:pPr>
              <w:pStyle w:val="TABLETEXT1"/>
              <w:rPr>
                <w:lang w:val="en-US"/>
              </w:rPr>
            </w:pPr>
            <w:r>
              <w:rPr>
                <w:lang w:val="en-US"/>
              </w:rPr>
              <w:t>Take corrective actions to resolve the security issues in the System Defect Log</w:t>
            </w:r>
          </w:p>
        </w:tc>
        <w:tc>
          <w:tcPr>
            <w:tcW w:w="1661" w:type="dxa"/>
          </w:tcPr>
          <w:p w14:paraId="11ECC9B2" w14:textId="77777777" w:rsidR="000E12F6" w:rsidRPr="009618E4" w:rsidRDefault="000E12F6" w:rsidP="00480A97">
            <w:pPr>
              <w:pStyle w:val="TABLEBULLETNEW"/>
            </w:pPr>
            <w:r>
              <w:t>Technical Stakeholders</w:t>
            </w:r>
          </w:p>
        </w:tc>
        <w:tc>
          <w:tcPr>
            <w:tcW w:w="1669" w:type="dxa"/>
          </w:tcPr>
          <w:p w14:paraId="440261EB" w14:textId="70031F4D" w:rsidR="000E12F6" w:rsidRPr="009618E4" w:rsidRDefault="000E12F6" w:rsidP="00480A97">
            <w:pPr>
              <w:pStyle w:val="TABLEBULLETNEW"/>
            </w:pPr>
            <w:r>
              <w:t>Updated System Defect Log</w:t>
            </w:r>
          </w:p>
        </w:tc>
        <w:tc>
          <w:tcPr>
            <w:tcW w:w="1710" w:type="dxa"/>
          </w:tcPr>
          <w:p w14:paraId="2A734D50" w14:textId="77777777" w:rsidR="000E12F6" w:rsidRPr="009618E4" w:rsidRDefault="000E12F6" w:rsidP="00480A97">
            <w:pPr>
              <w:pStyle w:val="TABLEBULLETNEW"/>
            </w:pPr>
            <w:r>
              <w:t>Remediated code</w:t>
            </w:r>
          </w:p>
          <w:p w14:paraId="2469C0D8" w14:textId="77777777" w:rsidR="000E12F6" w:rsidRPr="009618E4" w:rsidRDefault="000E12F6" w:rsidP="00480A97">
            <w:pPr>
              <w:pStyle w:val="TABLEBULLETNEW"/>
            </w:pPr>
            <w:r>
              <w:t>Updated Security test results</w:t>
            </w:r>
          </w:p>
        </w:tc>
      </w:tr>
      <w:tr w:rsidR="000E12F6" w:rsidRPr="00A21682" w14:paraId="25B8F94B" w14:textId="77777777" w:rsidTr="005C4E1D">
        <w:trPr>
          <w:trHeight w:val="300"/>
        </w:trPr>
        <w:tc>
          <w:tcPr>
            <w:tcW w:w="807" w:type="dxa"/>
          </w:tcPr>
          <w:p w14:paraId="16763039" w14:textId="01A1FA9B" w:rsidR="000E12F6" w:rsidRPr="00A21682" w:rsidRDefault="000E12F6" w:rsidP="00480A97">
            <w:pPr>
              <w:pStyle w:val="TABLETEXT1"/>
              <w:rPr>
                <w:lang w:val="en-US"/>
              </w:rPr>
            </w:pPr>
            <w:r>
              <w:rPr>
                <w:lang w:val="en-US"/>
              </w:rPr>
              <w:t>7.18</w:t>
            </w:r>
          </w:p>
        </w:tc>
        <w:tc>
          <w:tcPr>
            <w:tcW w:w="1440" w:type="dxa"/>
          </w:tcPr>
          <w:p w14:paraId="4F24CA5B" w14:textId="6FB1B8CC" w:rsidR="000E12F6" w:rsidRPr="00A21682" w:rsidRDefault="000E12F6" w:rsidP="00480A97">
            <w:pPr>
              <w:pStyle w:val="TABLETEXT1"/>
              <w:rPr>
                <w:lang w:val="en-US"/>
              </w:rPr>
            </w:pPr>
            <w:r>
              <w:rPr>
                <w:lang w:val="en-US"/>
              </w:rPr>
              <w:t xml:space="preserve">Conduct a Disaster Recovery Failover Test </w:t>
            </w:r>
          </w:p>
        </w:tc>
        <w:tc>
          <w:tcPr>
            <w:tcW w:w="2340" w:type="dxa"/>
          </w:tcPr>
          <w:p w14:paraId="5173E21E" w14:textId="37D39C88" w:rsidR="000E12F6" w:rsidRPr="009618E4" w:rsidRDefault="000E12F6" w:rsidP="00480A97">
            <w:pPr>
              <w:pStyle w:val="TABLEBULLETNEW"/>
            </w:pPr>
            <w:r>
              <w:t>Conduct a Disaster Recovery Failover test in accordance with the Business Continuity and Disaster Recovery Plan (DEL-14)</w:t>
            </w:r>
          </w:p>
          <w:p w14:paraId="65B689AA" w14:textId="77777777" w:rsidR="000E12F6" w:rsidRPr="009618E4" w:rsidRDefault="000E12F6" w:rsidP="00480A97">
            <w:pPr>
              <w:pStyle w:val="TABLEBULLETNEW"/>
            </w:pPr>
            <w:r>
              <w:t>It should in support the business continuity in the event of a system interruption to maintain service, for critical business areas</w:t>
            </w:r>
          </w:p>
          <w:p w14:paraId="26CC26C3" w14:textId="77777777" w:rsidR="000E12F6" w:rsidRPr="009618E4" w:rsidRDefault="000E12F6" w:rsidP="00480A97">
            <w:pPr>
              <w:pStyle w:val="TABLEBULLETNEW"/>
            </w:pPr>
            <w:r>
              <w:t>Validate planned application backup and recovery procedures by exercising them in full</w:t>
            </w:r>
          </w:p>
        </w:tc>
        <w:tc>
          <w:tcPr>
            <w:tcW w:w="1661" w:type="dxa"/>
          </w:tcPr>
          <w:p w14:paraId="00F7BED1" w14:textId="77777777" w:rsidR="000E12F6" w:rsidRPr="009618E4" w:rsidRDefault="000E12F6" w:rsidP="00480A97">
            <w:pPr>
              <w:pStyle w:val="TABLEBULLETNEW"/>
            </w:pPr>
            <w:r>
              <w:t>Technical Stakeholders</w:t>
            </w:r>
          </w:p>
        </w:tc>
        <w:tc>
          <w:tcPr>
            <w:tcW w:w="1669" w:type="dxa"/>
          </w:tcPr>
          <w:p w14:paraId="3B5FFF57" w14:textId="3E1C1390" w:rsidR="000E12F6" w:rsidRPr="009618E4" w:rsidRDefault="000E12F6" w:rsidP="00480A97">
            <w:pPr>
              <w:pStyle w:val="TABLEBULLETNEW"/>
            </w:pPr>
            <w:r>
              <w:t>Business Continuity and Disaster Recovery Plan (DEL-14)</w:t>
            </w:r>
          </w:p>
          <w:p w14:paraId="6CD374E9" w14:textId="4BCD93FD" w:rsidR="000E12F6" w:rsidRPr="009618E4" w:rsidRDefault="000E12F6" w:rsidP="00480A97">
            <w:pPr>
              <w:pStyle w:val="TABLEBULLETNEW"/>
            </w:pPr>
            <w:r>
              <w:t>Disaster Recovery (DR) Cutover Work Plan</w:t>
            </w:r>
          </w:p>
          <w:p w14:paraId="0738FED1" w14:textId="77777777" w:rsidR="000E12F6" w:rsidRPr="009618E4" w:rsidRDefault="000E12F6" w:rsidP="00480A97">
            <w:pPr>
              <w:pStyle w:val="TABLEBULLETNEW"/>
            </w:pPr>
            <w:r>
              <w:t xml:space="preserve">Recovery Point Objective (RPO)/ Recovery Time Objective (RTO) </w:t>
            </w:r>
          </w:p>
          <w:p w14:paraId="30944841" w14:textId="77777777" w:rsidR="000E12F6" w:rsidRPr="009618E4" w:rsidRDefault="000E12F6" w:rsidP="00480A97">
            <w:pPr>
              <w:pStyle w:val="TABLEBULLETNEW"/>
            </w:pPr>
            <w:r>
              <w:lastRenderedPageBreak/>
              <w:t>Disaster Recovery Test Cases</w:t>
            </w:r>
          </w:p>
        </w:tc>
        <w:tc>
          <w:tcPr>
            <w:tcW w:w="1710" w:type="dxa"/>
          </w:tcPr>
          <w:p w14:paraId="43A4C586" w14:textId="06DBAEDA" w:rsidR="000E12F6" w:rsidRPr="009618E4" w:rsidRDefault="000E12F6" w:rsidP="00480A97">
            <w:pPr>
              <w:pStyle w:val="TABLEBULLETNEW"/>
            </w:pPr>
            <w:r>
              <w:lastRenderedPageBreak/>
              <w:t>Updated Disaster Recovery Cutover Work Plan</w:t>
            </w:r>
          </w:p>
          <w:p w14:paraId="233A6C57" w14:textId="77777777" w:rsidR="000E12F6" w:rsidRPr="009618E4" w:rsidRDefault="000E12F6" w:rsidP="00480A97">
            <w:pPr>
              <w:pStyle w:val="TABLEBULLETNEW"/>
            </w:pPr>
            <w:r>
              <w:t>Measured RPO and RTO</w:t>
            </w:r>
          </w:p>
          <w:p w14:paraId="135B0419" w14:textId="77777777" w:rsidR="000E12F6" w:rsidRPr="009618E4" w:rsidRDefault="000E12F6" w:rsidP="00480A97">
            <w:pPr>
              <w:pStyle w:val="TABLEBULLETNEW"/>
            </w:pPr>
            <w:r>
              <w:t>Disaster Recovery test results</w:t>
            </w:r>
          </w:p>
        </w:tc>
      </w:tr>
      <w:tr w:rsidR="000E12F6" w:rsidRPr="00A21682" w14:paraId="28C3DC89" w14:textId="77777777" w:rsidTr="005C4E1D">
        <w:trPr>
          <w:trHeight w:val="300"/>
        </w:trPr>
        <w:tc>
          <w:tcPr>
            <w:tcW w:w="807" w:type="dxa"/>
          </w:tcPr>
          <w:p w14:paraId="44406D4A" w14:textId="15F2987C" w:rsidR="000E12F6" w:rsidRPr="00A21682" w:rsidRDefault="000E12F6" w:rsidP="00480A97">
            <w:pPr>
              <w:pStyle w:val="TABLETEXT1"/>
              <w:rPr>
                <w:lang w:val="en-US"/>
              </w:rPr>
            </w:pPr>
            <w:r>
              <w:rPr>
                <w:lang w:val="en-US"/>
              </w:rPr>
              <w:t>7.18a</w:t>
            </w:r>
          </w:p>
        </w:tc>
        <w:tc>
          <w:tcPr>
            <w:tcW w:w="1440" w:type="dxa"/>
          </w:tcPr>
          <w:p w14:paraId="76AD8ED0" w14:textId="3ED608B0" w:rsidR="000E12F6" w:rsidRPr="00A21682" w:rsidRDefault="000E12F6" w:rsidP="00480A97">
            <w:pPr>
              <w:pStyle w:val="TABLETEXT1"/>
              <w:rPr>
                <w:lang w:val="en-US"/>
              </w:rPr>
            </w:pPr>
            <w:r>
              <w:rPr>
                <w:lang w:val="en-US"/>
              </w:rPr>
              <w:t>Disaster Recovery Test meets the defined requirements</w:t>
            </w:r>
          </w:p>
        </w:tc>
        <w:tc>
          <w:tcPr>
            <w:tcW w:w="2340" w:type="dxa"/>
          </w:tcPr>
          <w:p w14:paraId="7B4CC715" w14:textId="77777777" w:rsidR="000E12F6" w:rsidRPr="009932BC" w:rsidRDefault="000E12F6" w:rsidP="00480A97">
            <w:pPr>
              <w:pStyle w:val="TABLETEXT1"/>
              <w:rPr>
                <w:lang w:val="en-US"/>
              </w:rPr>
            </w:pPr>
            <w:r>
              <w:rPr>
                <w:lang w:val="en-US"/>
              </w:rPr>
              <w:t>Determine if the Disaster Recovery test results meet the requirements defined in the BCDR (i.e., RTO and RPO targets)</w:t>
            </w:r>
          </w:p>
          <w:p w14:paraId="4B7E64D8" w14:textId="189BAF2C" w:rsidR="000E12F6" w:rsidRPr="009618E4" w:rsidRDefault="000E12F6" w:rsidP="00480A97">
            <w:pPr>
              <w:pStyle w:val="TABLEBULLETNEW"/>
            </w:pPr>
            <w:r>
              <w:t xml:space="preserve">If yes, proceed to </w:t>
            </w:r>
            <w:r>
              <w:rPr>
                <w:i/>
              </w:rPr>
              <w:t>Step #7.20 Submit full System Test Results (DEL-24) report</w:t>
            </w:r>
          </w:p>
          <w:p w14:paraId="4AEF81D1" w14:textId="77777777" w:rsidR="000E12F6" w:rsidRPr="00AF120C" w:rsidRDefault="000E12F6" w:rsidP="00480A97">
            <w:pPr>
              <w:pStyle w:val="TABLEBULLETNEW"/>
            </w:pPr>
            <w:r>
              <w:t xml:space="preserve">If no, proceed to </w:t>
            </w:r>
            <w:r>
              <w:rPr>
                <w:i/>
              </w:rPr>
              <w:t>Step #7.19 Identify and correct infrastructure issues and repeat test</w:t>
            </w:r>
          </w:p>
        </w:tc>
        <w:tc>
          <w:tcPr>
            <w:tcW w:w="1661" w:type="dxa"/>
          </w:tcPr>
          <w:p w14:paraId="6154167A" w14:textId="77777777" w:rsidR="000E12F6" w:rsidRPr="009618E4" w:rsidRDefault="000E12F6" w:rsidP="00480A97">
            <w:pPr>
              <w:pStyle w:val="TABLEBULLETNEW"/>
            </w:pPr>
            <w:r>
              <w:t>Technical Stakeholders</w:t>
            </w:r>
          </w:p>
        </w:tc>
        <w:tc>
          <w:tcPr>
            <w:tcW w:w="1669" w:type="dxa"/>
          </w:tcPr>
          <w:p w14:paraId="71EF2135" w14:textId="77777777" w:rsidR="000E12F6" w:rsidRPr="009618E4" w:rsidRDefault="000E12F6" w:rsidP="00480A97">
            <w:pPr>
              <w:pStyle w:val="TABLEBULLETNEW"/>
            </w:pPr>
            <w:r>
              <w:t>N/A</w:t>
            </w:r>
          </w:p>
        </w:tc>
        <w:tc>
          <w:tcPr>
            <w:tcW w:w="1710" w:type="dxa"/>
          </w:tcPr>
          <w:p w14:paraId="7DD9D4C1" w14:textId="77777777" w:rsidR="000E12F6" w:rsidRPr="009618E4" w:rsidRDefault="000E12F6" w:rsidP="00480A97">
            <w:pPr>
              <w:pStyle w:val="TABLEBULLETNEW"/>
            </w:pPr>
            <w:r>
              <w:t>N/A</w:t>
            </w:r>
          </w:p>
        </w:tc>
      </w:tr>
      <w:tr w:rsidR="000E12F6" w:rsidRPr="00A21682" w14:paraId="7DEE7E8D" w14:textId="77777777" w:rsidTr="005C4E1D">
        <w:trPr>
          <w:trHeight w:val="300"/>
        </w:trPr>
        <w:tc>
          <w:tcPr>
            <w:tcW w:w="807" w:type="dxa"/>
          </w:tcPr>
          <w:p w14:paraId="7CF04750" w14:textId="14FF4BE2" w:rsidR="000E12F6" w:rsidRPr="00A21682" w:rsidRDefault="000E12F6" w:rsidP="00480A97">
            <w:pPr>
              <w:pStyle w:val="TABLETEXT1"/>
              <w:rPr>
                <w:lang w:val="en-US"/>
              </w:rPr>
            </w:pPr>
            <w:r>
              <w:rPr>
                <w:lang w:val="en-US"/>
              </w:rPr>
              <w:t>7.19</w:t>
            </w:r>
          </w:p>
        </w:tc>
        <w:tc>
          <w:tcPr>
            <w:tcW w:w="1440" w:type="dxa"/>
          </w:tcPr>
          <w:p w14:paraId="28ECB635" w14:textId="77777777" w:rsidR="000E12F6" w:rsidRPr="00A21682" w:rsidRDefault="000E12F6" w:rsidP="00480A97">
            <w:pPr>
              <w:pStyle w:val="TABLETEXT1"/>
              <w:rPr>
                <w:lang w:val="en-US"/>
              </w:rPr>
            </w:pPr>
            <w:r>
              <w:rPr>
                <w:lang w:val="en-US"/>
              </w:rPr>
              <w:t>Identify and correct infrastructure issues and repeat test</w:t>
            </w:r>
          </w:p>
        </w:tc>
        <w:tc>
          <w:tcPr>
            <w:tcW w:w="2340" w:type="dxa"/>
          </w:tcPr>
          <w:p w14:paraId="1C16E9B2" w14:textId="77777777" w:rsidR="000E12F6" w:rsidRPr="009932BC" w:rsidRDefault="000E12F6" w:rsidP="00480A97">
            <w:pPr>
              <w:pStyle w:val="TABLETEXT1"/>
              <w:rPr>
                <w:lang w:val="en-US"/>
              </w:rPr>
            </w:pPr>
            <w:r>
              <w:rPr>
                <w:lang w:val="en-US"/>
              </w:rPr>
              <w:t xml:space="preserve">Deploy infrastructure fixes and re-execute the failed test cases to confirm issues have been corrected </w:t>
            </w:r>
          </w:p>
        </w:tc>
        <w:tc>
          <w:tcPr>
            <w:tcW w:w="1661" w:type="dxa"/>
          </w:tcPr>
          <w:p w14:paraId="36100E5B" w14:textId="77777777" w:rsidR="000E12F6" w:rsidRPr="009618E4" w:rsidRDefault="000E12F6" w:rsidP="00480A97">
            <w:pPr>
              <w:pStyle w:val="TABLEBULLETNEW"/>
            </w:pPr>
            <w:r>
              <w:t>Technical Stakeholders</w:t>
            </w:r>
          </w:p>
        </w:tc>
        <w:tc>
          <w:tcPr>
            <w:tcW w:w="1669" w:type="dxa"/>
          </w:tcPr>
          <w:p w14:paraId="210397D8" w14:textId="77777777" w:rsidR="000E12F6" w:rsidRPr="009618E4" w:rsidRDefault="000E12F6" w:rsidP="00480A97">
            <w:pPr>
              <w:pStyle w:val="TABLEBULLETNEW"/>
            </w:pPr>
            <w:r>
              <w:t>Measured RPO and RTO</w:t>
            </w:r>
          </w:p>
          <w:p w14:paraId="21E50AB1" w14:textId="77777777" w:rsidR="000E12F6" w:rsidRPr="009618E4" w:rsidRDefault="000E12F6" w:rsidP="00480A97">
            <w:pPr>
              <w:pStyle w:val="TABLEBULLETNEW"/>
            </w:pPr>
            <w:r>
              <w:t>Disaster Recovery test report</w:t>
            </w:r>
          </w:p>
          <w:p w14:paraId="6AD7FE3E" w14:textId="77777777" w:rsidR="000E12F6" w:rsidRPr="00A21682" w:rsidRDefault="000E12F6" w:rsidP="00480A97">
            <w:pPr>
              <w:pStyle w:val="TABLEBULLETNEW"/>
              <w:numPr>
                <w:ilvl w:val="0"/>
                <w:numId w:val="0"/>
              </w:numPr>
              <w:ind w:left="331" w:hanging="259"/>
            </w:pPr>
          </w:p>
        </w:tc>
        <w:tc>
          <w:tcPr>
            <w:tcW w:w="1710" w:type="dxa"/>
          </w:tcPr>
          <w:p w14:paraId="7B417779" w14:textId="77777777" w:rsidR="000E12F6" w:rsidRPr="009618E4" w:rsidRDefault="000E12F6" w:rsidP="00480A97">
            <w:pPr>
              <w:pStyle w:val="TABLEBULLETNEW"/>
            </w:pPr>
            <w:r>
              <w:t>Root cause analysis</w:t>
            </w:r>
          </w:p>
          <w:p w14:paraId="19914CFA" w14:textId="77777777" w:rsidR="000E12F6" w:rsidRPr="009618E4" w:rsidRDefault="000E12F6" w:rsidP="00480A97">
            <w:pPr>
              <w:pStyle w:val="TABLEBULLETNEW"/>
            </w:pPr>
            <w:r>
              <w:t>Updated infrastructure configuration</w:t>
            </w:r>
          </w:p>
          <w:p w14:paraId="7642DB93" w14:textId="77777777" w:rsidR="000E12F6" w:rsidRPr="009618E4" w:rsidRDefault="000E12F6" w:rsidP="00480A97">
            <w:pPr>
              <w:pStyle w:val="TABLEBULLETNEW"/>
            </w:pPr>
            <w:r>
              <w:t>Updated DR test results</w:t>
            </w:r>
          </w:p>
        </w:tc>
      </w:tr>
      <w:tr w:rsidR="000E12F6" w:rsidRPr="00A21682" w14:paraId="6457957F" w14:textId="77777777" w:rsidTr="005C4E1D">
        <w:trPr>
          <w:trHeight w:val="300"/>
        </w:trPr>
        <w:tc>
          <w:tcPr>
            <w:tcW w:w="807" w:type="dxa"/>
          </w:tcPr>
          <w:p w14:paraId="4179D3A5" w14:textId="4EAA8FEC" w:rsidR="000E12F6" w:rsidRPr="00A21682" w:rsidRDefault="000E12F6" w:rsidP="00480A97">
            <w:pPr>
              <w:pStyle w:val="TABLETEXT1"/>
              <w:rPr>
                <w:lang w:val="en-US"/>
              </w:rPr>
            </w:pPr>
            <w:r>
              <w:rPr>
                <w:lang w:val="en-US"/>
              </w:rPr>
              <w:t>7.20</w:t>
            </w:r>
          </w:p>
        </w:tc>
        <w:tc>
          <w:tcPr>
            <w:tcW w:w="1440" w:type="dxa"/>
          </w:tcPr>
          <w:p w14:paraId="79B9347C" w14:textId="77777777" w:rsidR="000E12F6" w:rsidRPr="00A21682" w:rsidRDefault="000E12F6" w:rsidP="00480A97">
            <w:pPr>
              <w:pStyle w:val="TABLETEXT1"/>
              <w:rPr>
                <w:lang w:val="en-US"/>
              </w:rPr>
            </w:pPr>
            <w:r>
              <w:rPr>
                <w:lang w:val="en-US"/>
              </w:rPr>
              <w:t>Submit full System Test Results Report</w:t>
            </w:r>
          </w:p>
        </w:tc>
        <w:tc>
          <w:tcPr>
            <w:tcW w:w="2340" w:type="dxa"/>
          </w:tcPr>
          <w:p w14:paraId="511F6731" w14:textId="1560CEF3" w:rsidR="000E12F6" w:rsidRPr="009618E4" w:rsidRDefault="000E12F6" w:rsidP="00480A97">
            <w:pPr>
              <w:pStyle w:val="TABLEBULLETNEW"/>
            </w:pPr>
            <w:r>
              <w:t>Submit full package of System Test Results (DEL-24) with stakeholders’ feedback</w:t>
            </w:r>
          </w:p>
          <w:p w14:paraId="3CC69D3D" w14:textId="77777777" w:rsidR="000E12F6" w:rsidRPr="009618E4" w:rsidRDefault="000E12F6" w:rsidP="00480A97">
            <w:pPr>
              <w:pStyle w:val="TABLEBULLETNEW"/>
            </w:pPr>
            <w:r>
              <w:t>Produce information needed to support iterative renewal of Disaster Recovery procedures and infrastructure</w:t>
            </w:r>
          </w:p>
        </w:tc>
        <w:tc>
          <w:tcPr>
            <w:tcW w:w="1661" w:type="dxa"/>
          </w:tcPr>
          <w:p w14:paraId="2A8B1038" w14:textId="77777777" w:rsidR="000E12F6" w:rsidRPr="009618E4" w:rsidRDefault="000E12F6" w:rsidP="00480A97">
            <w:pPr>
              <w:pStyle w:val="TABLEBULLETNEW"/>
            </w:pPr>
            <w:r>
              <w:t>Functional Stakeholders</w:t>
            </w:r>
          </w:p>
        </w:tc>
        <w:tc>
          <w:tcPr>
            <w:tcW w:w="1669" w:type="dxa"/>
          </w:tcPr>
          <w:p w14:paraId="33F9ECC4" w14:textId="77777777" w:rsidR="000E12F6" w:rsidRPr="009618E4" w:rsidRDefault="000E12F6" w:rsidP="00480A97">
            <w:pPr>
              <w:pStyle w:val="TABLEBULLETNEW"/>
            </w:pPr>
            <w:r>
              <w:t>Security test results</w:t>
            </w:r>
          </w:p>
          <w:p w14:paraId="15FCEC6E" w14:textId="77777777" w:rsidR="000E12F6" w:rsidRPr="009618E4" w:rsidRDefault="000E12F6" w:rsidP="00480A97">
            <w:pPr>
              <w:pStyle w:val="TABLEBULLETNEW"/>
            </w:pPr>
            <w:r>
              <w:t>DR test results</w:t>
            </w:r>
          </w:p>
          <w:p w14:paraId="2306E78B" w14:textId="77777777" w:rsidR="000E12F6" w:rsidRPr="009618E4" w:rsidRDefault="000E12F6" w:rsidP="00480A97">
            <w:pPr>
              <w:pStyle w:val="TABLEBULLETNEW"/>
            </w:pPr>
            <w:r>
              <w:t xml:space="preserve">Regression test results </w:t>
            </w:r>
          </w:p>
        </w:tc>
        <w:tc>
          <w:tcPr>
            <w:tcW w:w="1710" w:type="dxa"/>
          </w:tcPr>
          <w:p w14:paraId="5AED8015" w14:textId="5F2AB7F3" w:rsidR="000E12F6" w:rsidRPr="009618E4" w:rsidRDefault="000E12F6" w:rsidP="00480A97">
            <w:pPr>
              <w:pStyle w:val="TABLEBULLETNEW"/>
            </w:pPr>
            <w:r>
              <w:t>Submitted System Test Results (DEL-24)</w:t>
            </w:r>
          </w:p>
        </w:tc>
      </w:tr>
      <w:tr w:rsidR="000E12F6" w:rsidRPr="00A21682" w14:paraId="1B1BA60B" w14:textId="77777777" w:rsidTr="005C4E1D">
        <w:trPr>
          <w:trHeight w:val="300"/>
        </w:trPr>
        <w:tc>
          <w:tcPr>
            <w:tcW w:w="807" w:type="dxa"/>
          </w:tcPr>
          <w:p w14:paraId="0F0F0A3F" w14:textId="20229FAF" w:rsidR="000E12F6" w:rsidRPr="00A21682" w:rsidRDefault="000E12F6" w:rsidP="00480A97">
            <w:pPr>
              <w:pStyle w:val="TABLETEXT1"/>
              <w:rPr>
                <w:lang w:val="en-US"/>
              </w:rPr>
            </w:pPr>
            <w:r>
              <w:rPr>
                <w:lang w:val="en-US"/>
              </w:rPr>
              <w:t>7.20a</w:t>
            </w:r>
          </w:p>
        </w:tc>
        <w:tc>
          <w:tcPr>
            <w:tcW w:w="1440" w:type="dxa"/>
          </w:tcPr>
          <w:p w14:paraId="4F08D5F2" w14:textId="447EE653" w:rsidR="000E12F6" w:rsidRPr="00A21682" w:rsidRDefault="000E12F6" w:rsidP="00480A97">
            <w:pPr>
              <w:pStyle w:val="TABLETEXT1"/>
              <w:rPr>
                <w:lang w:val="en-US"/>
              </w:rPr>
            </w:pPr>
            <w:r>
              <w:rPr>
                <w:lang w:val="en-US"/>
              </w:rPr>
              <w:t>System Test Results (DEL-24) approved</w:t>
            </w:r>
          </w:p>
        </w:tc>
        <w:tc>
          <w:tcPr>
            <w:tcW w:w="2340" w:type="dxa"/>
          </w:tcPr>
          <w:p w14:paraId="2104948F" w14:textId="2874FFFA" w:rsidR="000E12F6" w:rsidRPr="009932BC" w:rsidRDefault="000E12F6" w:rsidP="00480A97">
            <w:pPr>
              <w:pStyle w:val="TABLETEXT1"/>
              <w:rPr>
                <w:lang w:val="en-US"/>
              </w:rPr>
            </w:pPr>
            <w:r>
              <w:rPr>
                <w:lang w:val="en-US"/>
              </w:rPr>
              <w:t>Determine if the test results in the System Test Results (DEL-24) are approved</w:t>
            </w:r>
          </w:p>
          <w:p w14:paraId="47C3FE27" w14:textId="77777777" w:rsidR="000E12F6" w:rsidRPr="009618E4" w:rsidRDefault="000E12F6" w:rsidP="00480A97">
            <w:pPr>
              <w:pStyle w:val="TABLEBULLETNEW"/>
            </w:pPr>
            <w:r>
              <w:t>If yes, the phase is concluded</w:t>
            </w:r>
          </w:p>
          <w:p w14:paraId="44F9ED98" w14:textId="3F32BD2F" w:rsidR="000E12F6" w:rsidRPr="00AF120C" w:rsidRDefault="000E12F6" w:rsidP="00480A97">
            <w:pPr>
              <w:pStyle w:val="TABLEBULLETNEW"/>
            </w:pPr>
            <w:r>
              <w:lastRenderedPageBreak/>
              <w:t xml:space="preserve">If no, proceed to </w:t>
            </w:r>
            <w:r>
              <w:rPr>
                <w:i/>
              </w:rPr>
              <w:t>Step #7.21 Update System Test Results (DEL-24) report</w:t>
            </w:r>
            <w:r>
              <w:t xml:space="preserve"> </w:t>
            </w:r>
          </w:p>
        </w:tc>
        <w:tc>
          <w:tcPr>
            <w:tcW w:w="1661" w:type="dxa"/>
          </w:tcPr>
          <w:p w14:paraId="431CA860" w14:textId="77777777" w:rsidR="000E12F6" w:rsidRPr="009618E4" w:rsidRDefault="000E12F6" w:rsidP="00480A97">
            <w:pPr>
              <w:pStyle w:val="TABLEBULLETNEW"/>
            </w:pPr>
            <w:r>
              <w:lastRenderedPageBreak/>
              <w:t>Functional Stakeholders</w:t>
            </w:r>
          </w:p>
        </w:tc>
        <w:tc>
          <w:tcPr>
            <w:tcW w:w="1669" w:type="dxa"/>
          </w:tcPr>
          <w:p w14:paraId="3D7441A4" w14:textId="77777777" w:rsidR="000E12F6" w:rsidRPr="009618E4" w:rsidRDefault="000E12F6" w:rsidP="00480A97">
            <w:pPr>
              <w:pStyle w:val="TABLEBULLETNEW"/>
            </w:pPr>
            <w:r>
              <w:t>N/A</w:t>
            </w:r>
          </w:p>
        </w:tc>
        <w:tc>
          <w:tcPr>
            <w:tcW w:w="1710" w:type="dxa"/>
          </w:tcPr>
          <w:p w14:paraId="30071775" w14:textId="77777777" w:rsidR="000E12F6" w:rsidRPr="009618E4" w:rsidRDefault="000E12F6" w:rsidP="00480A97">
            <w:pPr>
              <w:pStyle w:val="TABLEBULLETNEW"/>
            </w:pPr>
            <w:r>
              <w:t>N/A</w:t>
            </w:r>
          </w:p>
        </w:tc>
      </w:tr>
      <w:tr w:rsidR="000E12F6" w:rsidRPr="00A21682" w14:paraId="33425789" w14:textId="77777777" w:rsidTr="005C4E1D">
        <w:trPr>
          <w:trHeight w:val="300"/>
        </w:trPr>
        <w:tc>
          <w:tcPr>
            <w:tcW w:w="807" w:type="dxa"/>
          </w:tcPr>
          <w:p w14:paraId="0EBDB2DD" w14:textId="006F6470" w:rsidR="000E12F6" w:rsidRPr="00A21682" w:rsidRDefault="000E12F6" w:rsidP="00480A97">
            <w:pPr>
              <w:pStyle w:val="TABLETEXT1"/>
              <w:rPr>
                <w:lang w:val="en-US"/>
              </w:rPr>
            </w:pPr>
            <w:r>
              <w:rPr>
                <w:lang w:val="en-US"/>
              </w:rPr>
              <w:t>7.21</w:t>
            </w:r>
          </w:p>
        </w:tc>
        <w:tc>
          <w:tcPr>
            <w:tcW w:w="1440" w:type="dxa"/>
          </w:tcPr>
          <w:p w14:paraId="1E838AF9" w14:textId="23EF6D90" w:rsidR="000E12F6" w:rsidRPr="00A21682" w:rsidRDefault="000E12F6" w:rsidP="00480A97">
            <w:pPr>
              <w:pStyle w:val="TABLETEXT1"/>
              <w:rPr>
                <w:lang w:val="en-US"/>
              </w:rPr>
            </w:pPr>
            <w:r>
              <w:rPr>
                <w:lang w:val="en-US"/>
              </w:rPr>
              <w:t>Update System Test Results (DEL-24) Report</w:t>
            </w:r>
          </w:p>
        </w:tc>
        <w:tc>
          <w:tcPr>
            <w:tcW w:w="2340" w:type="dxa"/>
          </w:tcPr>
          <w:p w14:paraId="37773F42" w14:textId="2ED0425B" w:rsidR="000E12F6" w:rsidRPr="009932BC" w:rsidRDefault="000E12F6" w:rsidP="00480A97">
            <w:pPr>
              <w:pStyle w:val="TABLETEXT1"/>
              <w:rPr>
                <w:lang w:val="en-US"/>
              </w:rPr>
            </w:pPr>
            <w:r>
              <w:rPr>
                <w:lang w:val="en-US"/>
              </w:rPr>
              <w:t>Utilize feedback from stakeholders on the System test results (DEL-24) to update the system test results report per the Deliverable Management Plan</w:t>
            </w:r>
          </w:p>
        </w:tc>
        <w:tc>
          <w:tcPr>
            <w:tcW w:w="1661" w:type="dxa"/>
          </w:tcPr>
          <w:p w14:paraId="74C2A7C8" w14:textId="77777777" w:rsidR="000E12F6" w:rsidRPr="009618E4" w:rsidRDefault="000E12F6" w:rsidP="00480A97">
            <w:pPr>
              <w:pStyle w:val="TABLEBULLETNEW"/>
            </w:pPr>
            <w:r>
              <w:t>Functional Stakeholders</w:t>
            </w:r>
          </w:p>
        </w:tc>
        <w:tc>
          <w:tcPr>
            <w:tcW w:w="1669" w:type="dxa"/>
          </w:tcPr>
          <w:p w14:paraId="6AAB9791" w14:textId="18B478E6" w:rsidR="000E12F6" w:rsidRPr="009618E4" w:rsidRDefault="000E12F6" w:rsidP="00480A97">
            <w:pPr>
              <w:pStyle w:val="TABLEBULLETNEW"/>
            </w:pPr>
            <w:r>
              <w:t>System Test Results (DEL-24) with stakeholders’ feedback</w:t>
            </w:r>
          </w:p>
          <w:p w14:paraId="53E295E1" w14:textId="0C1B5115" w:rsidR="000E12F6" w:rsidRPr="009618E4" w:rsidRDefault="000E12F6" w:rsidP="00480A97">
            <w:pPr>
              <w:pStyle w:val="TABLEBULLETNEW"/>
            </w:pPr>
            <w:r>
              <w:t>Updated System Test Results (DEL-24)</w:t>
            </w:r>
          </w:p>
        </w:tc>
        <w:tc>
          <w:tcPr>
            <w:tcW w:w="1710" w:type="dxa"/>
          </w:tcPr>
          <w:p w14:paraId="369CAA69" w14:textId="5E2D1456" w:rsidR="000E12F6" w:rsidRPr="009618E4" w:rsidRDefault="000E12F6" w:rsidP="00480A97">
            <w:pPr>
              <w:pStyle w:val="TABLEBULLETNEW"/>
            </w:pPr>
            <w:r>
              <w:t>Finalized System Test Results (DEL-24)</w:t>
            </w:r>
          </w:p>
        </w:tc>
      </w:tr>
    </w:tbl>
    <w:p w14:paraId="1324F0FF" w14:textId="16D783C6" w:rsidR="000E12F6" w:rsidRPr="00A21682" w:rsidRDefault="000E12F6" w:rsidP="000E12F6">
      <w:pPr>
        <w:pStyle w:val="Caption"/>
        <w:rPr>
          <w:noProof w:val="0"/>
        </w:rPr>
      </w:pPr>
      <w:bookmarkStart w:id="644" w:name="_Toc192875115"/>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30</w:t>
      </w:r>
      <w:r>
        <w:rPr>
          <w:noProof w:val="0"/>
        </w:rPr>
        <w:fldChar w:fldCharType="end"/>
      </w:r>
      <w:r>
        <w:rPr>
          <w:noProof w:val="0"/>
        </w:rPr>
        <w:t>: Operational Readiness Test Phase Process Flow Narrative</w:t>
      </w:r>
      <w:bookmarkEnd w:id="644"/>
    </w:p>
    <w:p w14:paraId="4EEFB89A" w14:textId="77777777" w:rsidR="000E12F6" w:rsidRPr="00A21682" w:rsidRDefault="000E12F6" w:rsidP="000E12F6">
      <w:pPr>
        <w:pStyle w:val="Heading3"/>
        <w:rPr>
          <w:u w:color="000000"/>
        </w:rPr>
      </w:pPr>
      <w:bookmarkStart w:id="645" w:name="_Toc192874723"/>
      <w:r>
        <w:rPr>
          <w:u w:color="000000"/>
        </w:rPr>
        <w:t>Roles and Responsibilities</w:t>
      </w:r>
      <w:bookmarkEnd w:id="645"/>
    </w:p>
    <w:p w14:paraId="5D89CA34" w14:textId="77777777" w:rsidR="000E12F6" w:rsidRPr="00A21682" w:rsidRDefault="000E12F6" w:rsidP="000E12F6">
      <w:pPr>
        <w:pStyle w:val="NormalNEW"/>
        <w:rPr>
          <w:u w:color="000000"/>
          <w:lang w:val="en-US"/>
        </w:rPr>
      </w:pPr>
      <w:r>
        <w:rPr>
          <w:u w:color="000000"/>
          <w:lang w:val="en-US"/>
        </w:rPr>
        <w:t xml:space="preserve">The SDLC RACI Matrix and roles and responsibilities can be found in Appendix C-1. </w:t>
      </w:r>
    </w:p>
    <w:tbl>
      <w:tblPr>
        <w:tblStyle w:val="TableStyleCustom1"/>
        <w:tblW w:w="9535" w:type="dxa"/>
        <w:tblLook w:val="0420" w:firstRow="1" w:lastRow="0" w:firstColumn="0" w:lastColumn="0" w:noHBand="0" w:noVBand="1"/>
      </w:tblPr>
      <w:tblGrid>
        <w:gridCol w:w="2875"/>
        <w:gridCol w:w="6660"/>
      </w:tblGrid>
      <w:tr w:rsidR="000E12F6" w:rsidRPr="00A21682" w14:paraId="7FA49C7C" w14:textId="77777777" w:rsidTr="00480A97">
        <w:trPr>
          <w:cnfStyle w:val="100000000000" w:firstRow="1" w:lastRow="0" w:firstColumn="0" w:lastColumn="0" w:oddVBand="0" w:evenVBand="0" w:oddHBand="0" w:evenHBand="0" w:firstRowFirstColumn="0" w:firstRowLastColumn="0" w:lastRowFirstColumn="0" w:lastRowLastColumn="0"/>
        </w:trPr>
        <w:tc>
          <w:tcPr>
            <w:tcW w:w="2875" w:type="dxa"/>
            <w:tcBorders>
              <w:top w:val="single" w:sz="4" w:space="0" w:color="auto"/>
              <w:left w:val="single" w:sz="4" w:space="0" w:color="auto"/>
              <w:bottom w:val="single" w:sz="4" w:space="0" w:color="auto"/>
            </w:tcBorders>
            <w:vAlign w:val="top"/>
          </w:tcPr>
          <w:p w14:paraId="0A1F1A11" w14:textId="77777777" w:rsidR="000E12F6" w:rsidRPr="00A21682" w:rsidRDefault="000E12F6" w:rsidP="002902E0">
            <w:pPr>
              <w:spacing w:before="60" w:after="60"/>
              <w:rPr>
                <w:rFonts w:ascii="Verdana" w:hAnsi="Verdana"/>
                <w:sz w:val="18"/>
                <w:szCs w:val="22"/>
                <w:u w:color="000000"/>
              </w:rPr>
            </w:pPr>
            <w:r>
              <w:rPr>
                <w:rFonts w:ascii="Verdana" w:hAnsi="Verdana"/>
                <w:sz w:val="18"/>
                <w:u w:color="000000"/>
              </w:rPr>
              <w:t>Testing Type</w:t>
            </w:r>
          </w:p>
        </w:tc>
        <w:tc>
          <w:tcPr>
            <w:tcW w:w="6660" w:type="dxa"/>
            <w:tcBorders>
              <w:top w:val="single" w:sz="4" w:space="0" w:color="auto"/>
              <w:bottom w:val="single" w:sz="4" w:space="0" w:color="auto"/>
              <w:right w:val="single" w:sz="4" w:space="0" w:color="auto"/>
            </w:tcBorders>
            <w:vAlign w:val="top"/>
          </w:tcPr>
          <w:p w14:paraId="6637A43D" w14:textId="49AF5A83" w:rsidR="000D0692" w:rsidRPr="00A21682" w:rsidRDefault="000E12F6" w:rsidP="002902E0">
            <w:pPr>
              <w:spacing w:before="60" w:after="60"/>
              <w:rPr>
                <w:rFonts w:ascii="Verdana" w:hAnsi="Verdana"/>
                <w:b w:val="0"/>
                <w:bCs/>
                <w:szCs w:val="22"/>
                <w:u w:color="000000"/>
              </w:rPr>
            </w:pPr>
            <w:r>
              <w:rPr>
                <w:rFonts w:ascii="Verdana" w:hAnsi="Verdana"/>
                <w:bCs/>
                <w:sz w:val="18"/>
                <w:u w:color="000000"/>
              </w:rPr>
              <w:t>Description</w:t>
            </w:r>
          </w:p>
        </w:tc>
      </w:tr>
      <w:tr w:rsidR="000E12F6" w:rsidRPr="00A21682" w14:paraId="0A35B1BB" w14:textId="77777777" w:rsidTr="00480A97">
        <w:tc>
          <w:tcPr>
            <w:tcW w:w="2875" w:type="dxa"/>
            <w:tcBorders>
              <w:top w:val="single" w:sz="4" w:space="0" w:color="auto"/>
            </w:tcBorders>
            <w:vAlign w:val="top"/>
          </w:tcPr>
          <w:p w14:paraId="69144990" w14:textId="77777777" w:rsidR="000E12F6" w:rsidRPr="00A21682" w:rsidRDefault="000E12F6" w:rsidP="002902E0">
            <w:pPr>
              <w:spacing w:after="60"/>
              <w:rPr>
                <w:rFonts w:ascii="Verdana" w:hAnsi="Verdana"/>
                <w:b/>
                <w:u w:color="000000"/>
              </w:rPr>
            </w:pPr>
            <w:r>
              <w:rPr>
                <w:rFonts w:ascii="Verdana" w:hAnsi="Verdana"/>
                <w:bCs/>
                <w:u w:color="000000"/>
              </w:rPr>
              <w:t>Pre-UAT (Pre-User Acceptance Testing)</w:t>
            </w:r>
          </w:p>
        </w:tc>
        <w:tc>
          <w:tcPr>
            <w:tcW w:w="6660" w:type="dxa"/>
          </w:tcPr>
          <w:p w14:paraId="4A5717B7" w14:textId="77777777" w:rsidR="000E12F6" w:rsidRPr="00A21682" w:rsidRDefault="000E12F6" w:rsidP="002902E0">
            <w:pPr>
              <w:spacing w:after="60"/>
              <w:rPr>
                <w:rFonts w:ascii="Verdana" w:hAnsi="Verdana"/>
                <w:u w:color="000000"/>
              </w:rPr>
            </w:pPr>
            <w:r>
              <w:rPr>
                <w:rFonts w:ascii="Verdana" w:hAnsi="Verdana"/>
                <w:u w:color="000000"/>
              </w:rPr>
              <w:t>Pre-UAT is conducted to validate the system's readiness for formal User Acceptance Testing (UAT). It involves checking the functionality, usability, and stability of the system to confirm it meets the business requirements and is prepared for end-user testing.</w:t>
            </w:r>
          </w:p>
        </w:tc>
      </w:tr>
      <w:tr w:rsidR="000E12F6" w:rsidRPr="00A21682" w14:paraId="10200E9C" w14:textId="77777777" w:rsidTr="00480A97">
        <w:tc>
          <w:tcPr>
            <w:tcW w:w="2875" w:type="dxa"/>
            <w:vAlign w:val="top"/>
          </w:tcPr>
          <w:p w14:paraId="48F01C23" w14:textId="77777777" w:rsidR="000E12F6" w:rsidRPr="00A21682" w:rsidRDefault="000E12F6" w:rsidP="002902E0">
            <w:pPr>
              <w:spacing w:after="60"/>
              <w:rPr>
                <w:rFonts w:ascii="Verdana" w:hAnsi="Verdana"/>
                <w:b/>
                <w:u w:color="000000"/>
              </w:rPr>
            </w:pPr>
            <w:r>
              <w:rPr>
                <w:rFonts w:ascii="Verdana" w:hAnsi="Verdana"/>
                <w:bCs/>
                <w:u w:color="000000"/>
              </w:rPr>
              <w:t>End-to-End (E2E) Testing</w:t>
            </w:r>
          </w:p>
        </w:tc>
        <w:tc>
          <w:tcPr>
            <w:tcW w:w="6660" w:type="dxa"/>
          </w:tcPr>
          <w:p w14:paraId="3E745650" w14:textId="77777777" w:rsidR="000E12F6" w:rsidRPr="00A21682" w:rsidRDefault="000E12F6" w:rsidP="002902E0">
            <w:pPr>
              <w:spacing w:after="60"/>
              <w:rPr>
                <w:rFonts w:ascii="Verdana" w:hAnsi="Verdana"/>
                <w:u w:color="000000"/>
              </w:rPr>
            </w:pPr>
            <w:r>
              <w:rPr>
                <w:rFonts w:ascii="Verdana" w:hAnsi="Verdana"/>
                <w:u w:color="000000"/>
              </w:rPr>
              <w:t>E2E Testing verifies the complete flow of the application from start to finish, confirming that all integrated components and systems work together as expected. This testing type validates that the entire process, including data flow and interactions between different systems, functions correctly.</w:t>
            </w:r>
          </w:p>
        </w:tc>
      </w:tr>
      <w:tr w:rsidR="000E12F6" w:rsidRPr="00A21682" w14:paraId="307CCB15" w14:textId="77777777" w:rsidTr="00480A97">
        <w:tc>
          <w:tcPr>
            <w:tcW w:w="2875" w:type="dxa"/>
            <w:vAlign w:val="top"/>
          </w:tcPr>
          <w:p w14:paraId="38DD3E74" w14:textId="77777777" w:rsidR="000E12F6" w:rsidRPr="00A21682" w:rsidRDefault="000E12F6" w:rsidP="002902E0">
            <w:pPr>
              <w:spacing w:after="60"/>
              <w:rPr>
                <w:rFonts w:ascii="Verdana" w:hAnsi="Verdana"/>
                <w:b/>
                <w:u w:color="000000"/>
              </w:rPr>
            </w:pPr>
            <w:r>
              <w:rPr>
                <w:rFonts w:ascii="Verdana" w:hAnsi="Verdana"/>
                <w:bCs/>
                <w:u w:color="000000"/>
              </w:rPr>
              <w:t>Regression Testing</w:t>
            </w:r>
          </w:p>
        </w:tc>
        <w:tc>
          <w:tcPr>
            <w:tcW w:w="6660" w:type="dxa"/>
          </w:tcPr>
          <w:p w14:paraId="1AB1C26F" w14:textId="77777777" w:rsidR="000E12F6" w:rsidRPr="00A21682" w:rsidRDefault="000E12F6" w:rsidP="002902E0">
            <w:pPr>
              <w:spacing w:after="60"/>
              <w:rPr>
                <w:rFonts w:ascii="Verdana" w:hAnsi="Verdana"/>
                <w:u w:color="000000"/>
              </w:rPr>
            </w:pPr>
            <w:r>
              <w:rPr>
                <w:rFonts w:ascii="Verdana" w:hAnsi="Verdana"/>
                <w:u w:color="000000"/>
              </w:rPr>
              <w:t>Regression Testing involves re-running previously conducted tests to confirm that new changes or enhancements have not negatively impacted the existing functionality. This testing type helps in identifying any unintended side effects of recent code changes.</w:t>
            </w:r>
          </w:p>
        </w:tc>
      </w:tr>
      <w:tr w:rsidR="000E12F6" w:rsidRPr="00A21682" w14:paraId="5D24B5D4" w14:textId="77777777" w:rsidTr="00480A97">
        <w:tc>
          <w:tcPr>
            <w:tcW w:w="2875" w:type="dxa"/>
            <w:vAlign w:val="top"/>
          </w:tcPr>
          <w:p w14:paraId="3E87A54B" w14:textId="77777777" w:rsidR="000E12F6" w:rsidRPr="00A21682" w:rsidRDefault="000E12F6" w:rsidP="002902E0">
            <w:pPr>
              <w:spacing w:after="60"/>
              <w:rPr>
                <w:rFonts w:ascii="Verdana" w:hAnsi="Verdana"/>
                <w:b/>
                <w:u w:color="000000"/>
              </w:rPr>
            </w:pPr>
            <w:r>
              <w:rPr>
                <w:rFonts w:ascii="Verdana" w:hAnsi="Verdana"/>
                <w:bCs/>
                <w:u w:color="000000"/>
              </w:rPr>
              <w:t>Performance Testing</w:t>
            </w:r>
          </w:p>
        </w:tc>
        <w:tc>
          <w:tcPr>
            <w:tcW w:w="6660" w:type="dxa"/>
          </w:tcPr>
          <w:p w14:paraId="74DCFEB7" w14:textId="77777777" w:rsidR="000E12F6" w:rsidRPr="00A21682" w:rsidRDefault="000E12F6" w:rsidP="002902E0">
            <w:pPr>
              <w:spacing w:after="60"/>
              <w:rPr>
                <w:rFonts w:ascii="Verdana" w:hAnsi="Verdana"/>
                <w:u w:color="000000"/>
              </w:rPr>
            </w:pPr>
            <w:r>
              <w:rPr>
                <w:rFonts w:ascii="Verdana" w:hAnsi="Verdana"/>
                <w:u w:color="000000"/>
              </w:rPr>
              <w:t>Performance Testing evaluates the system's responsiveness, stability, and scalability under various load conditions. It helps in identifying performance bottlenecks and confirms that the system can handle the expected user load.</w:t>
            </w:r>
          </w:p>
        </w:tc>
      </w:tr>
      <w:tr w:rsidR="000E12F6" w:rsidRPr="00A21682" w14:paraId="4686036D" w14:textId="77777777" w:rsidTr="00480A97">
        <w:tc>
          <w:tcPr>
            <w:tcW w:w="2875" w:type="dxa"/>
            <w:vAlign w:val="top"/>
          </w:tcPr>
          <w:p w14:paraId="64606FE3" w14:textId="77777777" w:rsidR="000E12F6" w:rsidRPr="00A21682" w:rsidRDefault="000E12F6" w:rsidP="002902E0">
            <w:pPr>
              <w:spacing w:after="60"/>
              <w:rPr>
                <w:rFonts w:ascii="Verdana" w:hAnsi="Verdana"/>
                <w:b/>
                <w:u w:color="000000"/>
              </w:rPr>
            </w:pPr>
            <w:r>
              <w:rPr>
                <w:rFonts w:ascii="Verdana" w:hAnsi="Verdana"/>
                <w:bCs/>
                <w:u w:color="000000"/>
              </w:rPr>
              <w:t>Security Testing</w:t>
            </w:r>
          </w:p>
        </w:tc>
        <w:tc>
          <w:tcPr>
            <w:tcW w:w="6660" w:type="dxa"/>
          </w:tcPr>
          <w:p w14:paraId="62B14A8E" w14:textId="77777777" w:rsidR="000E12F6" w:rsidRPr="00A21682" w:rsidRDefault="000E12F6" w:rsidP="002902E0">
            <w:pPr>
              <w:spacing w:after="60"/>
              <w:rPr>
                <w:rFonts w:ascii="Verdana" w:hAnsi="Verdana"/>
                <w:u w:color="000000"/>
              </w:rPr>
            </w:pPr>
            <w:r>
              <w:rPr>
                <w:rFonts w:ascii="Verdana" w:hAnsi="Verdana"/>
                <w:u w:color="000000"/>
              </w:rPr>
              <w:t>Security Testing assesses the system's security measures to identify vulnerabilities and confirm that data is protected against unauthorized access, breaches, and other security threats. This testing type is crucial for safeguarding sensitive information and maintaining compliance with security standards.</w:t>
            </w:r>
          </w:p>
        </w:tc>
      </w:tr>
      <w:tr w:rsidR="000E12F6" w:rsidRPr="00A21682" w14:paraId="584F74BA" w14:textId="77777777" w:rsidTr="00480A97">
        <w:tc>
          <w:tcPr>
            <w:tcW w:w="2875" w:type="dxa"/>
            <w:vAlign w:val="top"/>
          </w:tcPr>
          <w:p w14:paraId="1E3E3E46" w14:textId="77777777" w:rsidR="000E12F6" w:rsidRPr="00A21682" w:rsidRDefault="000E12F6" w:rsidP="002902E0">
            <w:pPr>
              <w:spacing w:after="60"/>
              <w:rPr>
                <w:rFonts w:ascii="Verdana" w:hAnsi="Verdana"/>
                <w:b/>
                <w:u w:color="000000"/>
              </w:rPr>
            </w:pPr>
            <w:r>
              <w:rPr>
                <w:rFonts w:ascii="Verdana" w:hAnsi="Verdana"/>
                <w:bCs/>
                <w:u w:color="000000"/>
              </w:rPr>
              <w:t>Failover Testing</w:t>
            </w:r>
          </w:p>
        </w:tc>
        <w:tc>
          <w:tcPr>
            <w:tcW w:w="6660" w:type="dxa"/>
          </w:tcPr>
          <w:p w14:paraId="54E7B674" w14:textId="77777777" w:rsidR="000E12F6" w:rsidRPr="00A21682" w:rsidRDefault="000E12F6" w:rsidP="002902E0">
            <w:pPr>
              <w:spacing w:after="60"/>
              <w:rPr>
                <w:rFonts w:ascii="Verdana" w:hAnsi="Verdana"/>
                <w:u w:color="000000"/>
              </w:rPr>
            </w:pPr>
            <w:r>
              <w:rPr>
                <w:rFonts w:ascii="Verdana" w:hAnsi="Verdana"/>
                <w:u w:color="000000"/>
              </w:rPr>
              <w:t xml:space="preserve">Failover Testing verifies the system's ability to switch to a backup system or redundant components in case of a failure. This testing type </w:t>
            </w:r>
            <w:r>
              <w:rPr>
                <w:rFonts w:ascii="Verdana" w:hAnsi="Verdana"/>
                <w:u w:color="000000"/>
              </w:rPr>
              <w:lastRenderedPageBreak/>
              <w:t>confirms that the system can maintain continuity and minimize downtime during unexpected disruptions.</w:t>
            </w:r>
          </w:p>
        </w:tc>
      </w:tr>
    </w:tbl>
    <w:p w14:paraId="7B3DF5AF" w14:textId="3AD84E69" w:rsidR="000E12F6" w:rsidRPr="00A21682" w:rsidRDefault="000E12F6" w:rsidP="000E12F6">
      <w:pPr>
        <w:pStyle w:val="Caption"/>
        <w:rPr>
          <w:noProof w:val="0"/>
        </w:rPr>
      </w:pPr>
      <w:bookmarkStart w:id="646" w:name="_Toc192875116"/>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31</w:t>
      </w:r>
      <w:r>
        <w:rPr>
          <w:noProof w:val="0"/>
        </w:rPr>
        <w:fldChar w:fldCharType="end"/>
      </w:r>
      <w:r>
        <w:rPr>
          <w:noProof w:val="0"/>
        </w:rPr>
        <w:t>: Operational Readiness Test Testing Types</w:t>
      </w:r>
      <w:bookmarkEnd w:id="646"/>
    </w:p>
    <w:p w14:paraId="329FC3E0" w14:textId="77777777" w:rsidR="000E12F6" w:rsidRPr="00A21682" w:rsidRDefault="000E12F6" w:rsidP="000E12F6">
      <w:pPr>
        <w:pStyle w:val="Heading3"/>
        <w:rPr>
          <w:rStyle w:val="eop"/>
        </w:rPr>
      </w:pPr>
      <w:bookmarkStart w:id="647" w:name="_Toc192874724"/>
      <w:r>
        <w:rPr>
          <w:rStyle w:val="eop"/>
        </w:rPr>
        <w:t>Phase Exit Criteria (Functional ORT)</w:t>
      </w:r>
      <w:bookmarkEnd w:id="647"/>
    </w:p>
    <w:p w14:paraId="362A2DE9" w14:textId="0889C713" w:rsidR="000E12F6" w:rsidRPr="00A21682" w:rsidRDefault="00146C2C" w:rsidP="009471F4">
      <w:pPr>
        <w:pStyle w:val="NYBodyText"/>
        <w:rPr>
          <w:rStyle w:val="eop"/>
          <w:rFonts w:ascii="Calibri" w:hAnsi="Calibri" w:cs="Calibri"/>
          <w:sz w:val="22"/>
          <w:shd w:val="clear" w:color="auto" w:fill="auto"/>
          <w:lang w:val="en-US"/>
        </w:rPr>
      </w:pPr>
      <w:r>
        <w:rPr>
          <w:rStyle w:val="eop"/>
          <w:lang w:val="en-US"/>
        </w:rPr>
        <w:t>To confirm the successful completion of Functional Testing, the following exit criteria must be met. These criteria validate that the integrated components within the entire application workflow have been thoroughly tested, and the system is stable, functional, and ready for the next phase of deployment.</w:t>
      </w:r>
    </w:p>
    <w:tbl>
      <w:tblPr>
        <w:tblStyle w:val="TableGrid-None11"/>
        <w:tblW w:w="0" w:type="auto"/>
        <w:tblLook w:val="04A0" w:firstRow="1" w:lastRow="0" w:firstColumn="1" w:lastColumn="0" w:noHBand="0" w:noVBand="1"/>
      </w:tblPr>
      <w:tblGrid>
        <w:gridCol w:w="445"/>
        <w:gridCol w:w="4500"/>
        <w:gridCol w:w="4405"/>
      </w:tblGrid>
      <w:tr w:rsidR="000E12F6" w:rsidRPr="00A21682" w14:paraId="5F94819A" w14:textId="77777777" w:rsidTr="0085377E">
        <w:trPr>
          <w:cnfStyle w:val="100000000000" w:firstRow="1" w:lastRow="0" w:firstColumn="0" w:lastColumn="0" w:oddVBand="0" w:evenVBand="0" w:oddHBand="0" w:evenHBand="0" w:firstRowFirstColumn="0" w:firstRowLastColumn="0" w:lastRowFirstColumn="0" w:lastRowLastColumn="0"/>
          <w:trHeight w:val="302"/>
        </w:trPr>
        <w:tc>
          <w:tcPr>
            <w:tcW w:w="0" w:type="auto"/>
            <w:tcBorders>
              <w:right w:val="single" w:sz="4" w:space="0" w:color="FFFFFF" w:themeColor="background1"/>
            </w:tcBorders>
            <w:vAlign w:val="center"/>
            <w:hideMark/>
          </w:tcPr>
          <w:p w14:paraId="0B300CB4" w14:textId="77777777" w:rsidR="000E12F6" w:rsidRPr="00A21682" w:rsidRDefault="000E12F6" w:rsidP="007A69BC">
            <w:pPr>
              <w:spacing w:before="60" w:after="60"/>
              <w:rPr>
                <w:rFonts w:ascii="Verdana" w:eastAsiaTheme="minorHAnsi" w:hAnsi="Verdana" w:cs="Open Sans"/>
                <w:b w:val="0"/>
                <w:color w:val="auto"/>
                <w:sz w:val="18"/>
                <w:szCs w:val="18"/>
              </w:rPr>
            </w:pPr>
            <w:r>
              <w:rPr>
                <w:rFonts w:ascii="Verdana" w:eastAsiaTheme="minorHAnsi" w:hAnsi="Verdana" w:cs="Open Sans"/>
                <w:color w:val="auto"/>
                <w:sz w:val="18"/>
                <w:szCs w:val="18"/>
              </w:rPr>
              <w:t>#</w:t>
            </w:r>
          </w:p>
        </w:tc>
        <w:tc>
          <w:tcPr>
            <w:tcW w:w="4500" w:type="dxa"/>
            <w:tcBorders>
              <w:left w:val="single" w:sz="4" w:space="0" w:color="FFFFFF" w:themeColor="background1"/>
              <w:right w:val="single" w:sz="4" w:space="0" w:color="FFFFFF" w:themeColor="background1"/>
            </w:tcBorders>
            <w:vAlign w:val="center"/>
            <w:hideMark/>
          </w:tcPr>
          <w:p w14:paraId="4D640CB0" w14:textId="77777777" w:rsidR="000E12F6" w:rsidRPr="00A21682" w:rsidRDefault="000E12F6" w:rsidP="007A69BC">
            <w:pPr>
              <w:spacing w:before="60" w:after="60"/>
              <w:rPr>
                <w:rFonts w:ascii="Verdana" w:eastAsiaTheme="minorHAnsi" w:hAnsi="Verdana" w:cs="Open Sans"/>
                <w:b w:val="0"/>
                <w:color w:val="auto"/>
                <w:sz w:val="18"/>
                <w:szCs w:val="18"/>
              </w:rPr>
            </w:pPr>
            <w:r>
              <w:rPr>
                <w:rFonts w:ascii="Verdana" w:eastAsiaTheme="minorHAnsi" w:hAnsi="Verdana" w:cs="Open Sans"/>
                <w:color w:val="auto"/>
                <w:sz w:val="18"/>
                <w:szCs w:val="18"/>
              </w:rPr>
              <w:t>Exit Criteria</w:t>
            </w:r>
          </w:p>
        </w:tc>
        <w:tc>
          <w:tcPr>
            <w:tcW w:w="4405" w:type="dxa"/>
            <w:tcBorders>
              <w:left w:val="single" w:sz="4" w:space="0" w:color="FFFFFF" w:themeColor="background1"/>
            </w:tcBorders>
            <w:vAlign w:val="center"/>
            <w:hideMark/>
          </w:tcPr>
          <w:p w14:paraId="124797BA" w14:textId="77777777" w:rsidR="000E12F6" w:rsidRPr="00A21682" w:rsidRDefault="000E12F6" w:rsidP="007A69BC">
            <w:pPr>
              <w:spacing w:before="60" w:after="60"/>
              <w:rPr>
                <w:rFonts w:ascii="Verdana" w:eastAsiaTheme="minorHAnsi" w:hAnsi="Verdana" w:cs="Open Sans"/>
                <w:b w:val="0"/>
                <w:color w:val="auto"/>
                <w:sz w:val="18"/>
                <w:szCs w:val="18"/>
              </w:rPr>
            </w:pPr>
            <w:r>
              <w:rPr>
                <w:rFonts w:ascii="Verdana" w:eastAsiaTheme="minorHAnsi" w:hAnsi="Verdana" w:cs="Open Sans"/>
                <w:color w:val="auto"/>
                <w:sz w:val="18"/>
                <w:szCs w:val="18"/>
              </w:rPr>
              <w:t>Related Document(s)/Artifact(s)</w:t>
            </w:r>
          </w:p>
        </w:tc>
      </w:tr>
      <w:tr w:rsidR="000E12F6" w:rsidRPr="00A21682" w14:paraId="0A448DCE" w14:textId="77777777" w:rsidTr="00361B86">
        <w:tc>
          <w:tcPr>
            <w:tcW w:w="0" w:type="auto"/>
            <w:hideMark/>
          </w:tcPr>
          <w:p w14:paraId="5F3CD247"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1</w:t>
            </w:r>
          </w:p>
        </w:tc>
        <w:tc>
          <w:tcPr>
            <w:tcW w:w="4500" w:type="dxa"/>
            <w:vAlign w:val="center"/>
            <w:hideMark/>
          </w:tcPr>
          <w:p w14:paraId="3B5BC5C2"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100% Execution of E2E Test Cases with a 90% Pass Rate</w:t>
            </w:r>
          </w:p>
        </w:tc>
        <w:tc>
          <w:tcPr>
            <w:tcW w:w="4405" w:type="dxa"/>
            <w:hideMark/>
          </w:tcPr>
          <w:p w14:paraId="4ABE86C2" w14:textId="77777777" w:rsidR="000E12F6" w:rsidRPr="00A21682" w:rsidRDefault="000E12F6" w:rsidP="008D051B">
            <w:pPr>
              <w:pStyle w:val="TABLEBULLETNEW"/>
              <w:rPr>
                <w:lang w:eastAsia="en-US"/>
              </w:rPr>
            </w:pPr>
            <w:r>
              <w:t>Test Results</w:t>
            </w:r>
          </w:p>
        </w:tc>
      </w:tr>
      <w:tr w:rsidR="000E12F6" w:rsidRPr="00A21682" w14:paraId="54207A35" w14:textId="77777777" w:rsidTr="00361B86">
        <w:tc>
          <w:tcPr>
            <w:tcW w:w="0" w:type="auto"/>
            <w:hideMark/>
          </w:tcPr>
          <w:p w14:paraId="0300DCB3"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2</w:t>
            </w:r>
          </w:p>
        </w:tc>
        <w:tc>
          <w:tcPr>
            <w:tcW w:w="4500" w:type="dxa"/>
            <w:vAlign w:val="center"/>
            <w:hideMark/>
          </w:tcPr>
          <w:p w14:paraId="531F6FBB"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No Open Critical or High E2E Defects</w:t>
            </w:r>
          </w:p>
        </w:tc>
        <w:tc>
          <w:tcPr>
            <w:tcW w:w="4405" w:type="dxa"/>
            <w:hideMark/>
          </w:tcPr>
          <w:p w14:paraId="780E3552" w14:textId="77777777" w:rsidR="000E12F6" w:rsidRPr="00A21682" w:rsidRDefault="000E12F6" w:rsidP="008D051B">
            <w:pPr>
              <w:pStyle w:val="TABLEBULLETNEW"/>
              <w:rPr>
                <w:lang w:eastAsia="en-US"/>
              </w:rPr>
            </w:pPr>
            <w:r>
              <w:t>Defect Log, Test Results</w:t>
            </w:r>
          </w:p>
        </w:tc>
      </w:tr>
      <w:tr w:rsidR="000E12F6" w:rsidRPr="00A21682" w14:paraId="4C27975B" w14:textId="77777777" w:rsidTr="00361B86">
        <w:tc>
          <w:tcPr>
            <w:tcW w:w="0" w:type="auto"/>
            <w:hideMark/>
          </w:tcPr>
          <w:p w14:paraId="7CFD20FC"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3</w:t>
            </w:r>
          </w:p>
        </w:tc>
        <w:tc>
          <w:tcPr>
            <w:tcW w:w="4500" w:type="dxa"/>
            <w:vAlign w:val="center"/>
            <w:hideMark/>
          </w:tcPr>
          <w:p w14:paraId="15E76CAB"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Resolution Plan for All Medium and Low E2E Defects</w:t>
            </w:r>
          </w:p>
        </w:tc>
        <w:tc>
          <w:tcPr>
            <w:tcW w:w="4405" w:type="dxa"/>
            <w:hideMark/>
          </w:tcPr>
          <w:p w14:paraId="6A409F2E" w14:textId="77777777" w:rsidR="000E12F6" w:rsidRPr="00A21682" w:rsidRDefault="000E12F6" w:rsidP="008D051B">
            <w:pPr>
              <w:pStyle w:val="TABLEBULLETNEW"/>
              <w:rPr>
                <w:lang w:eastAsia="en-US"/>
              </w:rPr>
            </w:pPr>
            <w:r>
              <w:t>Defect Log, Test Results</w:t>
            </w:r>
          </w:p>
        </w:tc>
      </w:tr>
      <w:tr w:rsidR="000E12F6" w:rsidRPr="00A21682" w14:paraId="6AA99E30" w14:textId="77777777" w:rsidTr="00361B86">
        <w:tc>
          <w:tcPr>
            <w:tcW w:w="0" w:type="auto"/>
            <w:hideMark/>
          </w:tcPr>
          <w:p w14:paraId="25E64A43"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4</w:t>
            </w:r>
          </w:p>
        </w:tc>
        <w:tc>
          <w:tcPr>
            <w:tcW w:w="4500" w:type="dxa"/>
            <w:vAlign w:val="center"/>
            <w:hideMark/>
          </w:tcPr>
          <w:p w14:paraId="0EBBBBC4"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All Interface Testing Completed and All High and Critical Defects Resolved</w:t>
            </w:r>
          </w:p>
        </w:tc>
        <w:tc>
          <w:tcPr>
            <w:tcW w:w="4405" w:type="dxa"/>
            <w:hideMark/>
          </w:tcPr>
          <w:p w14:paraId="531F165C" w14:textId="77777777" w:rsidR="000E12F6" w:rsidRPr="00A21682" w:rsidRDefault="000E12F6" w:rsidP="008D051B">
            <w:pPr>
              <w:pStyle w:val="TABLEBULLETNEW"/>
              <w:rPr>
                <w:lang w:eastAsia="en-US"/>
              </w:rPr>
            </w:pPr>
            <w:r>
              <w:t>Interface Test Results, Defect Resolution Reports</w:t>
            </w:r>
          </w:p>
        </w:tc>
      </w:tr>
      <w:tr w:rsidR="000E12F6" w:rsidRPr="00A21682" w14:paraId="76D06D44" w14:textId="77777777" w:rsidTr="00361B86">
        <w:tc>
          <w:tcPr>
            <w:tcW w:w="0" w:type="auto"/>
            <w:hideMark/>
          </w:tcPr>
          <w:p w14:paraId="08267E51"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5</w:t>
            </w:r>
          </w:p>
        </w:tc>
        <w:tc>
          <w:tcPr>
            <w:tcW w:w="4500" w:type="dxa"/>
            <w:vAlign w:val="center"/>
            <w:hideMark/>
          </w:tcPr>
          <w:p w14:paraId="47C8ABF6"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Successful Completion of Data Conversion Activities</w:t>
            </w:r>
          </w:p>
        </w:tc>
        <w:tc>
          <w:tcPr>
            <w:tcW w:w="4405" w:type="dxa"/>
            <w:hideMark/>
          </w:tcPr>
          <w:p w14:paraId="7879E198" w14:textId="77777777" w:rsidR="000E12F6" w:rsidRPr="00A21682" w:rsidRDefault="000E12F6" w:rsidP="008D051B">
            <w:pPr>
              <w:pStyle w:val="TABLEBULLETNEW"/>
              <w:rPr>
                <w:lang w:eastAsia="en-US"/>
              </w:rPr>
            </w:pPr>
            <w:r>
              <w:t>Data Conversion Reports, Mock Run Reports, Data Quality (DQ) Assessment Reports</w:t>
            </w:r>
          </w:p>
        </w:tc>
      </w:tr>
      <w:tr w:rsidR="000E12F6" w:rsidRPr="00A21682" w14:paraId="5E12F425" w14:textId="77777777" w:rsidTr="00361B86">
        <w:tc>
          <w:tcPr>
            <w:tcW w:w="0" w:type="auto"/>
            <w:hideMark/>
          </w:tcPr>
          <w:p w14:paraId="34FCBD05"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6</w:t>
            </w:r>
          </w:p>
        </w:tc>
        <w:tc>
          <w:tcPr>
            <w:tcW w:w="4500" w:type="dxa"/>
            <w:vAlign w:val="center"/>
            <w:hideMark/>
          </w:tcPr>
          <w:p w14:paraId="5EEC3145"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Approval of All Design Documentation</w:t>
            </w:r>
          </w:p>
        </w:tc>
        <w:tc>
          <w:tcPr>
            <w:tcW w:w="4405" w:type="dxa"/>
            <w:hideMark/>
          </w:tcPr>
          <w:p w14:paraId="262B16B5" w14:textId="52D6EFDF" w:rsidR="000E12F6" w:rsidRPr="00A21682" w:rsidRDefault="000E12F6" w:rsidP="008D051B">
            <w:pPr>
              <w:pStyle w:val="TABLEBULLETNEW"/>
              <w:rPr>
                <w:lang w:eastAsia="en-US"/>
              </w:rPr>
            </w:pPr>
            <w:r>
              <w:t>Finalized and Approved FDDs, ICDs, Design Update Logs</w:t>
            </w:r>
          </w:p>
        </w:tc>
      </w:tr>
      <w:tr w:rsidR="000E12F6" w:rsidRPr="00A21682" w14:paraId="5D87E6D1" w14:textId="77777777" w:rsidTr="00361B86">
        <w:tc>
          <w:tcPr>
            <w:tcW w:w="0" w:type="auto"/>
            <w:hideMark/>
          </w:tcPr>
          <w:p w14:paraId="182D19D8"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7</w:t>
            </w:r>
          </w:p>
        </w:tc>
        <w:tc>
          <w:tcPr>
            <w:tcW w:w="4500" w:type="dxa"/>
            <w:vAlign w:val="center"/>
            <w:hideMark/>
          </w:tcPr>
          <w:p w14:paraId="15452440"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Batch Scheduling and Running Successfully Implemented</w:t>
            </w:r>
          </w:p>
        </w:tc>
        <w:tc>
          <w:tcPr>
            <w:tcW w:w="4405" w:type="dxa"/>
            <w:hideMark/>
          </w:tcPr>
          <w:p w14:paraId="188C683F" w14:textId="77777777" w:rsidR="000E12F6" w:rsidRPr="00A21682" w:rsidRDefault="000E12F6" w:rsidP="008D051B">
            <w:pPr>
              <w:pStyle w:val="TABLEBULLETNEW"/>
              <w:rPr>
                <w:lang w:eastAsia="en-US"/>
              </w:rPr>
            </w:pPr>
            <w:r>
              <w:t>Batch Scheduling Logs, Performance Reports</w:t>
            </w:r>
          </w:p>
        </w:tc>
      </w:tr>
      <w:tr w:rsidR="000E12F6" w:rsidRPr="00A21682" w14:paraId="34077052" w14:textId="77777777" w:rsidTr="00361B86">
        <w:tc>
          <w:tcPr>
            <w:tcW w:w="0" w:type="auto"/>
            <w:hideMark/>
          </w:tcPr>
          <w:p w14:paraId="41AEC707"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8</w:t>
            </w:r>
          </w:p>
        </w:tc>
        <w:tc>
          <w:tcPr>
            <w:tcW w:w="4500" w:type="dxa"/>
            <w:vAlign w:val="center"/>
            <w:hideMark/>
          </w:tcPr>
          <w:p w14:paraId="69162EFB"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All Connectivity Issues Resolved for Interfaces in Scope</w:t>
            </w:r>
          </w:p>
        </w:tc>
        <w:tc>
          <w:tcPr>
            <w:tcW w:w="4405" w:type="dxa"/>
            <w:hideMark/>
          </w:tcPr>
          <w:p w14:paraId="1315526A" w14:textId="77777777" w:rsidR="000E12F6" w:rsidRPr="00A21682" w:rsidRDefault="000E12F6" w:rsidP="008D051B">
            <w:pPr>
              <w:pStyle w:val="TABLEBULLETNEW"/>
              <w:rPr>
                <w:lang w:eastAsia="en-US"/>
              </w:rPr>
            </w:pPr>
            <w:r>
              <w:t>Connectivity Test Results, Issue Resolution Logs</w:t>
            </w:r>
          </w:p>
        </w:tc>
      </w:tr>
      <w:tr w:rsidR="000E12F6" w:rsidRPr="00A21682" w14:paraId="546F75DF" w14:textId="77777777" w:rsidTr="00361B86">
        <w:tc>
          <w:tcPr>
            <w:tcW w:w="0" w:type="auto"/>
            <w:hideMark/>
          </w:tcPr>
          <w:p w14:paraId="1C6CBC07"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9</w:t>
            </w:r>
          </w:p>
        </w:tc>
        <w:tc>
          <w:tcPr>
            <w:tcW w:w="4500" w:type="dxa"/>
            <w:vAlign w:val="center"/>
            <w:hideMark/>
          </w:tcPr>
          <w:p w14:paraId="127621E7"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Stakeholder Sign-off on E2E Test Results and Defect Resolution</w:t>
            </w:r>
          </w:p>
        </w:tc>
        <w:tc>
          <w:tcPr>
            <w:tcW w:w="4405" w:type="dxa"/>
            <w:hideMark/>
          </w:tcPr>
          <w:p w14:paraId="58FF47B9" w14:textId="77777777" w:rsidR="000E12F6" w:rsidRPr="00A21682" w:rsidRDefault="000E12F6" w:rsidP="008D051B">
            <w:pPr>
              <w:pStyle w:val="TABLEBULLETNEW"/>
              <w:rPr>
                <w:lang w:eastAsia="en-US"/>
              </w:rPr>
            </w:pPr>
            <w:r>
              <w:t>Stakeholder Sign-off Documents, Meeting Minutes</w:t>
            </w:r>
          </w:p>
        </w:tc>
      </w:tr>
      <w:tr w:rsidR="000E12F6" w:rsidRPr="00A21682" w14:paraId="016271D7" w14:textId="77777777" w:rsidTr="00361B86">
        <w:tc>
          <w:tcPr>
            <w:tcW w:w="0" w:type="auto"/>
            <w:hideMark/>
          </w:tcPr>
          <w:p w14:paraId="5309DAE8"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10</w:t>
            </w:r>
          </w:p>
        </w:tc>
        <w:tc>
          <w:tcPr>
            <w:tcW w:w="4500" w:type="dxa"/>
            <w:vAlign w:val="center"/>
            <w:hideMark/>
          </w:tcPr>
          <w:p w14:paraId="3C1FC987" w14:textId="77777777" w:rsidR="000E12F6" w:rsidRPr="00A21682" w:rsidRDefault="000E12F6" w:rsidP="007A69BC">
            <w:pPr>
              <w:spacing w:before="60" w:after="60"/>
              <w:rPr>
                <w:rFonts w:ascii="Verdana" w:eastAsiaTheme="minorHAnsi" w:hAnsi="Verdana" w:cs="Open Sans"/>
                <w:color w:val="000000"/>
                <w:sz w:val="18"/>
                <w:szCs w:val="18"/>
              </w:rPr>
            </w:pPr>
            <w:r>
              <w:rPr>
                <w:rFonts w:ascii="Verdana" w:eastAsiaTheme="minorHAnsi" w:hAnsi="Verdana" w:cs="Open Sans"/>
                <w:color w:val="000000"/>
                <w:sz w:val="18"/>
                <w:szCs w:val="18"/>
              </w:rPr>
              <w:t>Performance and Load Testing Completed with Acceptable Results</w:t>
            </w:r>
          </w:p>
        </w:tc>
        <w:tc>
          <w:tcPr>
            <w:tcW w:w="4405" w:type="dxa"/>
            <w:hideMark/>
          </w:tcPr>
          <w:p w14:paraId="2A831251" w14:textId="77777777" w:rsidR="000E12F6" w:rsidRPr="00A21682" w:rsidRDefault="000E12F6" w:rsidP="008D051B">
            <w:pPr>
              <w:pStyle w:val="TABLEBULLETNEW"/>
              <w:rPr>
                <w:lang w:eastAsia="en-US"/>
              </w:rPr>
            </w:pPr>
            <w:r>
              <w:t>Performance Test Results, Load Test Results</w:t>
            </w:r>
          </w:p>
        </w:tc>
      </w:tr>
    </w:tbl>
    <w:p w14:paraId="38B5F25D" w14:textId="7F824271" w:rsidR="000E12F6" w:rsidRPr="00A21682" w:rsidRDefault="000E12F6" w:rsidP="000E12F6">
      <w:pPr>
        <w:pStyle w:val="Caption"/>
        <w:rPr>
          <w:rFonts w:cstheme="majorBidi"/>
          <w:noProof w:val="0"/>
        </w:rPr>
      </w:pPr>
      <w:bookmarkStart w:id="648" w:name="_Toc192875117"/>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32</w:t>
      </w:r>
      <w:r>
        <w:rPr>
          <w:noProof w:val="0"/>
        </w:rPr>
        <w:fldChar w:fldCharType="end"/>
      </w:r>
      <w:r>
        <w:rPr>
          <w:noProof w:val="0"/>
        </w:rPr>
        <w:t>: Functional Testing Exit Criteria</w:t>
      </w:r>
      <w:bookmarkEnd w:id="648"/>
    </w:p>
    <w:p w14:paraId="761D3E6E" w14:textId="6A7F6123" w:rsidR="00E83E8D" w:rsidRPr="00A21682" w:rsidRDefault="00E83E8D" w:rsidP="00190D53">
      <w:pPr>
        <w:pStyle w:val="Heading3"/>
      </w:pPr>
      <w:bookmarkStart w:id="649" w:name="_Toc192874725"/>
      <w:r>
        <w:t>Phase Exit Criteria (Security and Failover ORT)</w:t>
      </w:r>
      <w:bookmarkEnd w:id="649"/>
    </w:p>
    <w:p w14:paraId="084BBB1D" w14:textId="3CA70340" w:rsidR="003373F2" w:rsidRPr="00A21682" w:rsidRDefault="003373F2" w:rsidP="009471F4">
      <w:pPr>
        <w:pStyle w:val="NYBodyText"/>
        <w:rPr>
          <w:lang w:val="en-US"/>
        </w:rPr>
      </w:pPr>
      <w:r>
        <w:rPr>
          <w:lang w:val="en-US"/>
        </w:rPr>
        <w:t>The following table describes the exit criteria with the associated document/artifacts for Security and Failover Testing:</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3373F2" w:rsidRPr="00A21682" w14:paraId="77F49D70" w14:textId="77777777">
        <w:trPr>
          <w:trHeight w:val="300"/>
          <w:tblHeader/>
        </w:trPr>
        <w:tc>
          <w:tcPr>
            <w:tcW w:w="481" w:type="dxa"/>
            <w:tcBorders>
              <w:right w:val="single" w:sz="2" w:space="0" w:color="FFFFFF" w:themeColor="background1"/>
            </w:tcBorders>
            <w:shd w:val="clear" w:color="auto" w:fill="000000"/>
            <w:hideMark/>
          </w:tcPr>
          <w:p w14:paraId="5C55EA4D" w14:textId="77777777" w:rsidR="003373F2" w:rsidRPr="00A21682" w:rsidRDefault="003373F2">
            <w:pPr>
              <w:pStyle w:val="TABLEHEADINGNEW"/>
              <w:rPr>
                <w:rFonts w:cstheme="minorHAnsi"/>
                <w:color w:val="auto"/>
                <w:szCs w:val="18"/>
              </w:rPr>
            </w:pPr>
            <w:r>
              <w:rPr>
                <w:rFonts w:cstheme="minorHAnsi"/>
                <w:color w:val="auto"/>
                <w:szCs w:val="18"/>
              </w:rPr>
              <w:t>#</w:t>
            </w:r>
          </w:p>
        </w:tc>
        <w:tc>
          <w:tcPr>
            <w:tcW w:w="4563" w:type="dxa"/>
            <w:tcBorders>
              <w:left w:val="single" w:sz="2" w:space="0" w:color="FFFFFF" w:themeColor="background1"/>
              <w:right w:val="single" w:sz="2" w:space="0" w:color="FFFFFF" w:themeColor="background1"/>
            </w:tcBorders>
            <w:shd w:val="clear" w:color="auto" w:fill="000000"/>
            <w:hideMark/>
          </w:tcPr>
          <w:p w14:paraId="670A7099" w14:textId="26930E98" w:rsidR="003373F2" w:rsidRPr="00A21682" w:rsidRDefault="003373F2">
            <w:pPr>
              <w:pStyle w:val="TABLEHEADINGNEW"/>
              <w:rPr>
                <w:rFonts w:cstheme="minorHAnsi"/>
                <w:color w:val="auto"/>
                <w:szCs w:val="18"/>
              </w:rPr>
            </w:pPr>
            <w:r>
              <w:rPr>
                <w:rFonts w:cstheme="minorHAnsi"/>
                <w:color w:val="auto"/>
                <w:szCs w:val="18"/>
              </w:rPr>
              <w:t>Exit Criteria</w:t>
            </w:r>
          </w:p>
        </w:tc>
        <w:tc>
          <w:tcPr>
            <w:tcW w:w="4300" w:type="dxa"/>
            <w:tcBorders>
              <w:left w:val="single" w:sz="2" w:space="0" w:color="FFFFFF" w:themeColor="background1"/>
            </w:tcBorders>
            <w:shd w:val="clear" w:color="auto" w:fill="000000"/>
          </w:tcPr>
          <w:p w14:paraId="168E9B9D" w14:textId="77777777" w:rsidR="003373F2" w:rsidRPr="00A21682" w:rsidRDefault="003373F2">
            <w:pPr>
              <w:pStyle w:val="TABLEHEADINGNEW"/>
              <w:rPr>
                <w:rFonts w:cstheme="minorHAnsi"/>
                <w:color w:val="auto"/>
                <w:szCs w:val="18"/>
              </w:rPr>
            </w:pPr>
            <w:r>
              <w:rPr>
                <w:rFonts w:cstheme="minorHAnsi"/>
                <w:color w:val="auto"/>
                <w:szCs w:val="18"/>
              </w:rPr>
              <w:t>Related Document(s)/Artifact(s)</w:t>
            </w:r>
          </w:p>
        </w:tc>
      </w:tr>
      <w:tr w:rsidR="00FC3F24" w:rsidRPr="00A21682" w14:paraId="0F4EEFAD" w14:textId="77777777">
        <w:trPr>
          <w:trHeight w:val="300"/>
        </w:trPr>
        <w:tc>
          <w:tcPr>
            <w:tcW w:w="481" w:type="dxa"/>
            <w:hideMark/>
          </w:tcPr>
          <w:p w14:paraId="7E48D5DC" w14:textId="77777777" w:rsidR="00FC3F24" w:rsidRPr="00A21682" w:rsidRDefault="00FC3F24" w:rsidP="00361B86">
            <w:pPr>
              <w:pStyle w:val="TABLETEXT1"/>
              <w:rPr>
                <w:rFonts w:cstheme="minorHAnsi"/>
                <w:szCs w:val="18"/>
                <w:lang w:val="en-US"/>
              </w:rPr>
            </w:pPr>
            <w:r>
              <w:rPr>
                <w:rFonts w:cstheme="minorHAnsi"/>
                <w:szCs w:val="18"/>
                <w:lang w:val="en-US"/>
              </w:rPr>
              <w:t>1</w:t>
            </w:r>
          </w:p>
        </w:tc>
        <w:tc>
          <w:tcPr>
            <w:tcW w:w="4563" w:type="dxa"/>
          </w:tcPr>
          <w:p w14:paraId="4B4142A5" w14:textId="1D6A8597" w:rsidR="00FC3F24" w:rsidRPr="00A21682" w:rsidRDefault="00FC3F24" w:rsidP="00FC3F24">
            <w:pPr>
              <w:pStyle w:val="TABLETEXT1"/>
              <w:rPr>
                <w:rFonts w:cstheme="minorHAnsi"/>
                <w:spacing w:val="-2"/>
                <w:szCs w:val="18"/>
                <w:lang w:val="en-US"/>
              </w:rPr>
            </w:pPr>
            <w:r>
              <w:rPr>
                <w:rFonts w:cstheme="minorHAnsi"/>
                <w:spacing w:val="-2"/>
                <w:szCs w:val="18"/>
                <w:lang w:val="en-US"/>
              </w:rPr>
              <w:t xml:space="preserve">Static Application Security Testing (SAST), Dynamic Application Security Testing (DAST), Manual Penetration Testing, and Security Functional Testing for Bundle 6 comprising of a comprehensive test of the entire Member Portal and Worker Portal applications. </w:t>
            </w:r>
          </w:p>
        </w:tc>
        <w:tc>
          <w:tcPr>
            <w:tcW w:w="4300" w:type="dxa"/>
          </w:tcPr>
          <w:p w14:paraId="21A6992C" w14:textId="1F629BD3" w:rsidR="00FC3F24" w:rsidRPr="00190D53" w:rsidRDefault="00FC3F24" w:rsidP="008D051B">
            <w:pPr>
              <w:pStyle w:val="TABLEBULLETNEW"/>
            </w:pPr>
            <w:r>
              <w:t xml:space="preserve">SAST and DAST Report </w:t>
            </w:r>
          </w:p>
        </w:tc>
      </w:tr>
      <w:tr w:rsidR="00FC3F24" w:rsidRPr="00A21682" w14:paraId="65837841" w14:textId="77777777">
        <w:trPr>
          <w:trHeight w:val="300"/>
        </w:trPr>
        <w:tc>
          <w:tcPr>
            <w:tcW w:w="481" w:type="dxa"/>
          </w:tcPr>
          <w:p w14:paraId="624D6649" w14:textId="77777777" w:rsidR="00FC3F24" w:rsidRPr="00A21682" w:rsidRDefault="00FC3F24" w:rsidP="00361B86">
            <w:pPr>
              <w:pStyle w:val="TABLETEXT1"/>
              <w:rPr>
                <w:rFonts w:cstheme="minorHAnsi"/>
                <w:szCs w:val="18"/>
                <w:lang w:val="en-US"/>
              </w:rPr>
            </w:pPr>
            <w:r>
              <w:rPr>
                <w:rFonts w:cstheme="minorHAnsi"/>
                <w:szCs w:val="18"/>
                <w:lang w:val="en-US"/>
              </w:rPr>
              <w:lastRenderedPageBreak/>
              <w:t>2</w:t>
            </w:r>
          </w:p>
        </w:tc>
        <w:tc>
          <w:tcPr>
            <w:tcW w:w="4563" w:type="dxa"/>
          </w:tcPr>
          <w:p w14:paraId="4E59DF54" w14:textId="27291E85" w:rsidR="00FC3F24" w:rsidRPr="00A21682" w:rsidRDefault="00FC3F24" w:rsidP="00FC3F24">
            <w:pPr>
              <w:pStyle w:val="TABLETEXT1"/>
              <w:rPr>
                <w:rFonts w:cstheme="minorHAnsi"/>
                <w:szCs w:val="18"/>
                <w:lang w:val="en-US"/>
              </w:rPr>
            </w:pPr>
            <w:r>
              <w:rPr>
                <w:rFonts w:cstheme="minorHAnsi"/>
                <w:szCs w:val="18"/>
                <w:lang w:val="en-US"/>
              </w:rPr>
              <w:t xml:space="preserve">Infrastructure Security Testing and AMI Compliance Hardening conducted in accordance and cadence with the applied security standards. </w:t>
            </w:r>
          </w:p>
        </w:tc>
        <w:tc>
          <w:tcPr>
            <w:tcW w:w="4300" w:type="dxa"/>
          </w:tcPr>
          <w:p w14:paraId="02749984" w14:textId="77777777" w:rsidR="00FC3F24" w:rsidRPr="00190D53" w:rsidRDefault="00FC3F24" w:rsidP="008D051B">
            <w:pPr>
              <w:pStyle w:val="TABLEBULLETNEW"/>
            </w:pPr>
            <w:r>
              <w:t>the infrastructure vulnerability scanning tool Vulnerability Report</w:t>
            </w:r>
          </w:p>
          <w:p w14:paraId="7753D0F0" w14:textId="78CA44F2" w:rsidR="00FC3F24" w:rsidRPr="00190D53" w:rsidRDefault="00FC3F24" w:rsidP="008D051B">
            <w:pPr>
              <w:pStyle w:val="TABLEBULLETNEW"/>
            </w:pPr>
            <w:r>
              <w:t>AMI Compliance Hardening Report</w:t>
            </w:r>
          </w:p>
        </w:tc>
      </w:tr>
      <w:tr w:rsidR="00FC3F24" w:rsidRPr="00A21682" w14:paraId="24A724B8" w14:textId="77777777">
        <w:trPr>
          <w:trHeight w:val="300"/>
        </w:trPr>
        <w:tc>
          <w:tcPr>
            <w:tcW w:w="481" w:type="dxa"/>
          </w:tcPr>
          <w:p w14:paraId="7FA93332" w14:textId="77777777" w:rsidR="00FC3F24" w:rsidRPr="00A21682" w:rsidRDefault="00FC3F24" w:rsidP="0092258C">
            <w:pPr>
              <w:pStyle w:val="TABLETEXT1"/>
              <w:rPr>
                <w:rFonts w:cstheme="minorHAnsi"/>
                <w:szCs w:val="18"/>
                <w:lang w:val="en-US"/>
              </w:rPr>
            </w:pPr>
            <w:r>
              <w:rPr>
                <w:rFonts w:cstheme="minorHAnsi"/>
                <w:szCs w:val="18"/>
                <w:lang w:val="en-US"/>
              </w:rPr>
              <w:t>3</w:t>
            </w:r>
          </w:p>
        </w:tc>
        <w:tc>
          <w:tcPr>
            <w:tcW w:w="4563" w:type="dxa"/>
          </w:tcPr>
          <w:p w14:paraId="191E0059" w14:textId="44B87CC6" w:rsidR="00FC3F24" w:rsidRPr="00A21682" w:rsidRDefault="00FC3F24" w:rsidP="00FC3F24">
            <w:pPr>
              <w:pStyle w:val="TABLETEXT1"/>
              <w:rPr>
                <w:rFonts w:cstheme="minorHAnsi"/>
                <w:szCs w:val="18"/>
                <w:lang w:val="en-US"/>
              </w:rPr>
            </w:pPr>
            <w:r>
              <w:rPr>
                <w:rFonts w:cstheme="minorHAnsi"/>
                <w:szCs w:val="18"/>
                <w:lang w:val="en-US"/>
              </w:rPr>
              <w:t>All critical, high, and medium, vulnerabilities are resolved from all vulnerability reports or justification for delay in the timeframe of resolution in accordance with the applied security standards is provided. Timeframes for resolution for low vulnerabilities will be provided as well as justifications for any False Positives identified.</w:t>
            </w:r>
          </w:p>
        </w:tc>
        <w:tc>
          <w:tcPr>
            <w:tcW w:w="4300" w:type="dxa"/>
          </w:tcPr>
          <w:p w14:paraId="60E93569" w14:textId="77777777" w:rsidR="00FC3F24" w:rsidRPr="00190D53" w:rsidRDefault="00FC3F24" w:rsidP="008D051B">
            <w:pPr>
              <w:pStyle w:val="TABLEBULLETNEW"/>
            </w:pPr>
            <w:r>
              <w:t>SAST / DAST Report</w:t>
            </w:r>
          </w:p>
          <w:p w14:paraId="7144C99A" w14:textId="78C49E46" w:rsidR="00FC3F24" w:rsidRPr="00190D53" w:rsidRDefault="00FC3F24" w:rsidP="008D051B">
            <w:pPr>
              <w:pStyle w:val="TABLEBULLETNEW"/>
            </w:pPr>
            <w:r>
              <w:t>the infrastructure vulnerability scanning tool Vulnerability Report</w:t>
            </w:r>
          </w:p>
          <w:p w14:paraId="3F75C8DA" w14:textId="67EED02D" w:rsidR="00FC3F24" w:rsidRPr="00190D53" w:rsidRDefault="00FC3F24" w:rsidP="008D051B">
            <w:pPr>
              <w:pStyle w:val="TABLEBULLETNEW"/>
            </w:pPr>
            <w:r>
              <w:t xml:space="preserve">AMI Compliance Hardening Report </w:t>
            </w:r>
          </w:p>
        </w:tc>
      </w:tr>
    </w:tbl>
    <w:p w14:paraId="3B38724C" w14:textId="1B937646" w:rsidR="003373F2" w:rsidRPr="00A21682" w:rsidRDefault="00557C89" w:rsidP="000D3B37">
      <w:pPr>
        <w:pStyle w:val="CPTableTitle"/>
      </w:pPr>
      <w:bookmarkStart w:id="650" w:name="_Toc192875118"/>
      <w:r>
        <w:rPr>
          <w:u w:color="000000"/>
        </w:rPr>
        <w:t xml:space="preserve">Table </w:t>
      </w:r>
      <w:r>
        <w:rPr>
          <w:u w:color="000000"/>
        </w:rPr>
        <w:fldChar w:fldCharType="begin"/>
      </w:r>
      <w:r>
        <w:rPr>
          <w:u w:color="000000"/>
        </w:rPr>
        <w:instrText xml:space="preserve"> STYLEREF 1 \s </w:instrText>
      </w:r>
      <w:r>
        <w:rPr>
          <w:u w:color="000000"/>
        </w:rPr>
        <w:fldChar w:fldCharType="separate"/>
      </w:r>
      <w:r>
        <w:rPr>
          <w:noProof/>
          <w:u w:color="000000"/>
        </w:rPr>
        <w:t>2</w:t>
      </w:r>
      <w:r>
        <w:rPr>
          <w:u w:color="000000"/>
        </w:rPr>
        <w:fldChar w:fldCharType="end"/>
      </w:r>
      <w:r>
        <w:noBreakHyphen/>
      </w:r>
      <w:fldSimple w:instr=" SEQ Table \* ARABIC \s 1 ">
        <w:r>
          <w:rPr>
            <w:noProof/>
          </w:rPr>
          <w:t>33</w:t>
        </w:r>
      </w:fldSimple>
      <w:r>
        <w:t>: Security and Failover Testing Exit Criteria</w:t>
      </w:r>
      <w:bookmarkEnd w:id="650"/>
    </w:p>
    <w:p w14:paraId="0D156387" w14:textId="28D5E04A" w:rsidR="005C22FE" w:rsidRPr="00A21682" w:rsidRDefault="00A6191D" w:rsidP="0061628B">
      <w:pPr>
        <w:pStyle w:val="NormalNEW"/>
        <w:rPr>
          <w:lang w:val="en-US"/>
        </w:rPr>
      </w:pPr>
      <w:r>
        <w:rPr>
          <w:lang w:val="en-US"/>
        </w:rPr>
        <w:t>Key stakeholders from ███████ and DOH identified in the RACI matrix as Accountable or Responsible will collectively agree on the conclusion of the current phase and the commencement of the next phase. The ███████ owner, as designated in the RACI matrix, provides a comprehensive status update, specifically addressing the entry and exit criteria for the concluded phase, and allowing for questions. Upon satisfying phase exit criteria, a decision to exit the current phase will be logged to document the closure of the phase.</w:t>
      </w:r>
    </w:p>
    <w:p w14:paraId="77EFA152" w14:textId="0325A54B" w:rsidR="00C5516F" w:rsidRPr="00A21682" w:rsidRDefault="00C5516F">
      <w:pPr>
        <w:pStyle w:val="Heading3"/>
        <w:rPr>
          <w:u w:color="000000"/>
        </w:rPr>
      </w:pPr>
      <w:bookmarkStart w:id="651" w:name="_Toc186884125"/>
      <w:bookmarkStart w:id="652" w:name="_Toc187427867"/>
      <w:bookmarkStart w:id="653" w:name="_Toc188450243"/>
      <w:bookmarkStart w:id="654" w:name="_Toc188619135"/>
      <w:bookmarkStart w:id="655" w:name="_Toc186884126"/>
      <w:bookmarkStart w:id="656" w:name="_Toc187427868"/>
      <w:bookmarkStart w:id="657" w:name="_Toc188450244"/>
      <w:bookmarkStart w:id="658" w:name="_Toc188619136"/>
      <w:bookmarkStart w:id="659" w:name="_Toc185952550"/>
      <w:bookmarkStart w:id="660" w:name="_Toc192874726"/>
      <w:bookmarkEnd w:id="651"/>
      <w:bookmarkEnd w:id="652"/>
      <w:bookmarkEnd w:id="653"/>
      <w:bookmarkEnd w:id="654"/>
      <w:bookmarkEnd w:id="655"/>
      <w:bookmarkEnd w:id="656"/>
      <w:bookmarkEnd w:id="657"/>
      <w:bookmarkEnd w:id="658"/>
      <w:r>
        <w:rPr>
          <w:u w:color="000000"/>
        </w:rPr>
        <w:t xml:space="preserve">Supporting </w:t>
      </w:r>
      <w:r>
        <w:t>Application Lifecycle Management (</w:t>
      </w:r>
      <w:r>
        <w:rPr>
          <w:u w:color="000000"/>
        </w:rPr>
        <w:t>ALM) Tools</w:t>
      </w:r>
      <w:bookmarkEnd w:id="620"/>
      <w:bookmarkEnd w:id="621"/>
      <w:bookmarkEnd w:id="622"/>
      <w:bookmarkEnd w:id="659"/>
      <w:bookmarkEnd w:id="660"/>
    </w:p>
    <w:p w14:paraId="3F0CB648" w14:textId="5E76EC63" w:rsidR="00C5516F" w:rsidRPr="00A21682" w:rsidRDefault="00C5516F" w:rsidP="00F70B45">
      <w:pPr>
        <w:pStyle w:val="NormalNEW"/>
        <w:rPr>
          <w:u w:color="000000"/>
          <w:lang w:val="en-US"/>
        </w:rPr>
      </w:pPr>
      <w:r>
        <w:rPr>
          <w:u w:color="000000"/>
          <w:lang w:val="en-US"/>
        </w:rPr>
        <w:t>In the ORT phase, ALM tools help manage the testing and verification of the software’s operational readiness by providing version control for test scripts and configurations, automating ORT test execution, and tracking and managing any issues or discrepancies that arise during testing. ALM tools also enable effective collaboration among ORT teams, maintain traceability between ORT activities and project requirements, and offer reporting and monitoring capabilities to assess the software’s readiness for deployment.</w:t>
      </w:r>
    </w:p>
    <w:p w14:paraId="23F212B0" w14:textId="4B13BE3B" w:rsidR="00C5516F" w:rsidRPr="00A21682" w:rsidRDefault="00C5516F" w:rsidP="00F70B45">
      <w:pPr>
        <w:pStyle w:val="NormalNEW"/>
        <w:rPr>
          <w:u w:color="000000"/>
          <w:lang w:val="en-US"/>
        </w:rPr>
      </w:pPr>
      <w:r>
        <w:rPr>
          <w:u w:color="000000"/>
          <w:lang w:val="en-US"/>
        </w:rPr>
        <w:t>Below are the ALM tools and workflows that pertain to the ORT phase:</w:t>
      </w:r>
    </w:p>
    <w:p w14:paraId="18C3B159" w14:textId="1A4E3286" w:rsidR="00C5516F" w:rsidRPr="00A21682" w:rsidRDefault="00C5516F" w:rsidP="0031550A">
      <w:pPr>
        <w:pStyle w:val="BulletNEW"/>
        <w:rPr>
          <w:u w:color="000000"/>
        </w:rPr>
      </w:pPr>
      <w:r>
        <w:rPr>
          <w:u w:color="000000"/>
        </w:rPr>
        <w:t>The build server workflow (refer to Section 2.23 the build server)</w:t>
      </w:r>
    </w:p>
    <w:p w14:paraId="26775AC8" w14:textId="6C462099" w:rsidR="00C5516F" w:rsidRPr="00A21682" w:rsidRDefault="00C5516F" w:rsidP="0031550A">
      <w:pPr>
        <w:pStyle w:val="BulletNEW"/>
        <w:rPr>
          <w:u w:color="000000"/>
        </w:rPr>
      </w:pPr>
      <w:r>
        <w:rPr>
          <w:u w:color="000000"/>
        </w:rPr>
        <w:t>The source-code repository workflow (refer to Section 2.21 the source-code repository)</w:t>
      </w:r>
    </w:p>
    <w:p w14:paraId="4BE26E04" w14:textId="45DD27D7" w:rsidR="00C5516F" w:rsidRPr="00A21682" w:rsidRDefault="00C5516F" w:rsidP="0031550A">
      <w:pPr>
        <w:pStyle w:val="BulletNEW"/>
        <w:rPr>
          <w:u w:color="000000"/>
        </w:rPr>
      </w:pPr>
      <w:r>
        <w:rPr>
          <w:u w:color="000000"/>
        </w:rPr>
        <w:t>The SAST Assessment Workflow in Checkmarx (refer to Section 2.29 Checkmarx SAST)</w:t>
      </w:r>
    </w:p>
    <w:p w14:paraId="48A3749B" w14:textId="2D79BC86" w:rsidR="00C5516F" w:rsidRPr="00A21682" w:rsidRDefault="00C5516F" w:rsidP="0031550A">
      <w:pPr>
        <w:pStyle w:val="BulletNEW"/>
        <w:rPr>
          <w:u w:color="000000"/>
        </w:rPr>
      </w:pPr>
      <w:r>
        <w:rPr>
          <w:u w:color="000000"/>
        </w:rPr>
        <w:t>The DAST Assessment Workflow in Burp Suite Pro (refer to Section 2.30 Burp Suite Pro)</w:t>
      </w:r>
    </w:p>
    <w:p w14:paraId="41BD4064" w14:textId="314D57AE" w:rsidR="00C5516F" w:rsidRPr="00A21682" w:rsidRDefault="00C5516F" w:rsidP="0031550A">
      <w:pPr>
        <w:pStyle w:val="BulletNEW"/>
        <w:rPr>
          <w:u w:color="000000"/>
        </w:rPr>
      </w:pPr>
      <w:r>
        <w:rPr>
          <w:u w:color="000000"/>
        </w:rPr>
        <w:t>Defect, Change Request, and Service Request workflows in the ALM tool (refer to Section 2.20 the ALM tool)</w:t>
      </w:r>
    </w:p>
    <w:p w14:paraId="145C0D41" w14:textId="75B17F46" w:rsidR="00C5516F" w:rsidRPr="00A21682" w:rsidRDefault="00496F2A" w:rsidP="0031550A">
      <w:pPr>
        <w:pStyle w:val="BulletNEW"/>
        <w:rPr>
          <w:u w:color="000000"/>
        </w:rPr>
      </w:pPr>
      <w:r>
        <w:rPr>
          <w:u w:color="000000"/>
        </w:rPr>
        <w:t>LoadRunner (refer to Section 2.31 LoadRunner Enterprise)</w:t>
      </w:r>
    </w:p>
    <w:p w14:paraId="2A7530AF" w14:textId="21784E54" w:rsidR="00C5516F" w:rsidRPr="00A21682" w:rsidRDefault="00C5516F" w:rsidP="0031550A">
      <w:pPr>
        <w:pStyle w:val="BulletNEW"/>
        <w:rPr>
          <w:u w:color="000000"/>
        </w:rPr>
      </w:pPr>
      <w:r>
        <w:rPr>
          <w:u w:color="000000"/>
        </w:rPr>
        <w:t>Selenium (refer to Section 2.25 Selenium)</w:t>
      </w:r>
    </w:p>
    <w:p w14:paraId="6CD97AA5" w14:textId="1DE6F810" w:rsidR="00C5516F" w:rsidRPr="00A21682" w:rsidRDefault="00C5516F"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6E42FA4F" w14:textId="6C849211" w:rsidR="00C5516F" w:rsidRPr="00A21682" w:rsidRDefault="00C5516F" w:rsidP="0031550A">
      <w:pPr>
        <w:pStyle w:val="BulletNEW"/>
        <w:rPr>
          <w:u w:color="000000"/>
        </w:rPr>
      </w:pPr>
      <w:r>
        <w:rPr>
          <w:u w:color="000000"/>
        </w:rPr>
        <w:t>Test Case and Test Run workflows in the test management tool (refer to Section 2.28 the test management tool)</w:t>
      </w:r>
    </w:p>
    <w:p w14:paraId="1A8997F8" w14:textId="71C7DE55" w:rsidR="00C5516F" w:rsidRPr="00A21682" w:rsidRDefault="00C5516F">
      <w:pPr>
        <w:pStyle w:val="Heading2"/>
        <w:rPr>
          <w:u w:color="000000"/>
        </w:rPr>
      </w:pPr>
      <w:bookmarkStart w:id="661" w:name="_Toc147825308"/>
      <w:bookmarkStart w:id="662" w:name="_Toc147825473"/>
      <w:bookmarkStart w:id="663" w:name="_Toc148102362"/>
      <w:bookmarkStart w:id="664" w:name="_Toc148098464"/>
      <w:bookmarkStart w:id="665" w:name="_Toc149051836"/>
      <w:bookmarkStart w:id="666" w:name="_Toc152605657"/>
      <w:bookmarkStart w:id="667" w:name="_Toc152605846"/>
      <w:bookmarkStart w:id="668" w:name="_Toc148102363"/>
      <w:bookmarkStart w:id="669" w:name="_Toc152605847"/>
      <w:bookmarkStart w:id="670" w:name="_Toc177118994"/>
      <w:bookmarkStart w:id="671" w:name="_Toc192874727"/>
      <w:bookmarkStart w:id="672" w:name="_Toc185952551"/>
      <w:bookmarkEnd w:id="661"/>
      <w:bookmarkEnd w:id="662"/>
      <w:bookmarkEnd w:id="663"/>
      <w:bookmarkEnd w:id="664"/>
      <w:bookmarkEnd w:id="665"/>
      <w:bookmarkEnd w:id="666"/>
      <w:bookmarkEnd w:id="667"/>
      <w:r>
        <w:rPr>
          <w:u w:color="000000"/>
        </w:rPr>
        <w:t>User Acceptance Test (UAT) Phase</w:t>
      </w:r>
      <w:bookmarkEnd w:id="668"/>
      <w:bookmarkEnd w:id="669"/>
      <w:bookmarkEnd w:id="670"/>
      <w:bookmarkEnd w:id="671"/>
    </w:p>
    <w:bookmarkEnd w:id="672"/>
    <w:p w14:paraId="2B97D4E5" w14:textId="1BECC210" w:rsidR="00C5516F" w:rsidRPr="00A21682" w:rsidRDefault="00C5516F" w:rsidP="00F70B45">
      <w:pPr>
        <w:pStyle w:val="NormalNEW"/>
        <w:rPr>
          <w:u w:color="000000"/>
          <w:lang w:val="en-US"/>
        </w:rPr>
      </w:pPr>
      <w:r>
        <w:rPr>
          <w:u w:color="000000"/>
          <w:lang w:val="en-US"/>
        </w:rPr>
        <w:t xml:space="preserve">UAT is performed by business stakeholders to validate the MECM solution functionality aligns with their business requirements and objectives for the Wave. It serves to immerse those stakeholders in the functionality for a Wave to allow them to prepare end users for the Wave’s rollout. This is inclusive of </w:t>
      </w:r>
      <w:r>
        <w:rPr>
          <w:u w:color="000000"/>
          <w:lang w:val="en-US"/>
        </w:rPr>
        <w:lastRenderedPageBreak/>
        <w:t>technical, functional, and security requirements further detailed in the Business Continuity and Disaster Recovery Plan (DEL-14) and the System Security Plan (DEL-15) in adherence to the NYS ITS Secure SDLC Standard.</w:t>
      </w:r>
    </w:p>
    <w:p w14:paraId="0E1759F4" w14:textId="3E56D10B" w:rsidR="004E0A72" w:rsidRPr="00A21682" w:rsidRDefault="004E0A72" w:rsidP="004E0A72">
      <w:pPr>
        <w:pStyle w:val="NormalNEW"/>
        <w:rPr>
          <w:u w:color="000000"/>
          <w:lang w:val="en-US"/>
        </w:rPr>
      </w:pPr>
      <w:r>
        <w:rPr>
          <w:u w:color="000000"/>
          <w:lang w:val="en-US"/>
        </w:rPr>
        <w:t xml:space="preserve">To facilitate a structured and collaborative approach to this key phase, the ███████ team schedule one comprehensive meeting for effective communication, decision-making, and to gain concurrence from DOH OHIP Leadership prior to the start of UAT. </w:t>
      </w:r>
    </w:p>
    <w:p w14:paraId="4F50939E" w14:textId="2F77B79D" w:rsidR="006C06E7" w:rsidRPr="00A21682" w:rsidRDefault="006C06E7" w:rsidP="006C06E7">
      <w:pPr>
        <w:pStyle w:val="NormalNEW"/>
        <w:rPr>
          <w:u w:color="000000"/>
          <w:lang w:val="en-US"/>
        </w:rPr>
      </w:pPr>
      <w:r>
        <w:rPr>
          <w:u w:color="000000"/>
          <w:lang w:val="en-US"/>
        </w:rPr>
        <w:t>This meeting, scheduled at least two weeks before the planned initiation of the UAT phase associated with the final iteration/bundle, will serve multiple purposes:</w:t>
      </w:r>
    </w:p>
    <w:p w14:paraId="6F40BCA1" w14:textId="0BDDC7EF" w:rsidR="0022144B" w:rsidRPr="00A21682" w:rsidRDefault="009A7B02" w:rsidP="00F73D43">
      <w:pPr>
        <w:pStyle w:val="NormalNEW"/>
        <w:numPr>
          <w:ilvl w:val="0"/>
          <w:numId w:val="23"/>
        </w:numPr>
        <w:rPr>
          <w:u w:color="000000"/>
          <w:lang w:val="en-US"/>
        </w:rPr>
      </w:pPr>
      <w:r>
        <w:rPr>
          <w:u w:color="000000"/>
          <w:lang w:val="en-US"/>
        </w:rPr>
        <w:t>The focus will be on familiarizing DOH OHIP leadership with the relevant checklist(s) associated with the entry criteria and reviewing the current status of checklist completion</w:t>
      </w:r>
    </w:p>
    <w:p w14:paraId="06671095" w14:textId="05802BFF" w:rsidR="009601AB" w:rsidRPr="00A21682" w:rsidRDefault="009A7B02" w:rsidP="00F73D43">
      <w:pPr>
        <w:pStyle w:val="NormalNEW"/>
        <w:numPr>
          <w:ilvl w:val="0"/>
          <w:numId w:val="23"/>
        </w:numPr>
        <w:rPr>
          <w:u w:color="000000"/>
          <w:lang w:val="en-US"/>
        </w:rPr>
      </w:pPr>
      <w:r>
        <w:rPr>
          <w:u w:color="000000"/>
          <w:lang w:val="en-US"/>
        </w:rPr>
        <w:t>Stakeholders, including governance-level management, will engage in discussions to collectively agree on the go/no-go decision for transitioning into the subsequent phase</w:t>
      </w:r>
    </w:p>
    <w:p w14:paraId="3F1F8418" w14:textId="77777777" w:rsidR="009F3943" w:rsidRPr="00A21682" w:rsidRDefault="009F3943" w:rsidP="00310B0D">
      <w:pPr>
        <w:pStyle w:val="NumberedListMainBody"/>
        <w:ind w:left="0" w:firstLine="0"/>
        <w:rPr>
          <w:u w:color="000000"/>
          <w:lang w:val="en-US"/>
        </w:rPr>
      </w:pPr>
      <w:r>
        <w:rPr>
          <w:u w:color="000000"/>
          <w:lang w:val="en-US"/>
        </w:rPr>
        <w:t>During this meeting, two key decisions will be made and documented:</w:t>
      </w:r>
    </w:p>
    <w:p w14:paraId="53A9851E" w14:textId="5DBC3C78" w:rsidR="009F3943" w:rsidRPr="00A21682" w:rsidRDefault="009F3943" w:rsidP="00F73D43">
      <w:pPr>
        <w:pStyle w:val="NumberedListMainBody"/>
        <w:numPr>
          <w:ilvl w:val="0"/>
          <w:numId w:val="24"/>
        </w:numPr>
        <w:rPr>
          <w:u w:color="000000"/>
          <w:lang w:val="en-US"/>
        </w:rPr>
      </w:pPr>
      <w:r>
        <w:rPr>
          <w:u w:color="000000"/>
          <w:lang w:val="en-US"/>
        </w:rPr>
        <w:t>Completion of the exit criteria for the current phase gate</w:t>
      </w:r>
    </w:p>
    <w:p w14:paraId="2124A928" w14:textId="4BF74D1D" w:rsidR="009E43C4" w:rsidRPr="00A21682" w:rsidRDefault="009F3943" w:rsidP="00F73D43">
      <w:pPr>
        <w:pStyle w:val="NumberedListMainBody"/>
        <w:numPr>
          <w:ilvl w:val="0"/>
          <w:numId w:val="24"/>
        </w:numPr>
        <w:rPr>
          <w:u w:color="000000"/>
          <w:lang w:val="en-US"/>
        </w:rPr>
      </w:pPr>
      <w:r>
        <w:rPr>
          <w:u w:color="000000"/>
          <w:lang w:val="en-US"/>
        </w:rPr>
        <w:t>Creation of a decision signifying the commencement of the UAT phase entry</w:t>
      </w:r>
    </w:p>
    <w:p w14:paraId="645AE530" w14:textId="6B0E9E76" w:rsidR="004E0A72" w:rsidRPr="00A21682" w:rsidRDefault="004E0A72" w:rsidP="004E0A72">
      <w:pPr>
        <w:pStyle w:val="NormalNEW"/>
        <w:rPr>
          <w:u w:color="000000"/>
          <w:lang w:val="en-US"/>
        </w:rPr>
      </w:pPr>
      <w:r>
        <w:rPr>
          <w:u w:color="000000"/>
          <w:lang w:val="en-US"/>
        </w:rPr>
        <w:t>Additionally, specific checklists applicable to the UAT entry criteria will be established. The Test Management Plan will provide the Testing Readiness Checklist, complemented by a broader checklist encompassing Yes/No items across the entire phase.</w:t>
      </w:r>
    </w:p>
    <w:p w14:paraId="7ACF19D3" w14:textId="77777777" w:rsidR="00C5516F" w:rsidRPr="00A21682" w:rsidRDefault="00C5516F">
      <w:pPr>
        <w:pStyle w:val="Heading3"/>
        <w:rPr>
          <w:bCs/>
          <w:u w:color="000000"/>
        </w:rPr>
      </w:pPr>
      <w:bookmarkStart w:id="673" w:name="_Toc143516920"/>
      <w:bookmarkStart w:id="674" w:name="_Toc148102364"/>
      <w:bookmarkStart w:id="675" w:name="_Toc152605848"/>
      <w:bookmarkStart w:id="676" w:name="_Toc177118995"/>
      <w:bookmarkStart w:id="677" w:name="_Toc185952552"/>
      <w:bookmarkStart w:id="678" w:name="_Toc192874728"/>
      <w:bookmarkEnd w:id="673"/>
      <w:r>
        <w:rPr>
          <w:u w:color="000000"/>
        </w:rPr>
        <w:t>Phase Entry Criteria</w:t>
      </w:r>
      <w:bookmarkEnd w:id="674"/>
      <w:bookmarkEnd w:id="675"/>
      <w:bookmarkEnd w:id="676"/>
      <w:bookmarkEnd w:id="677"/>
      <w:bookmarkEnd w:id="678"/>
    </w:p>
    <w:tbl>
      <w:tblPr>
        <w:tblW w:w="9352"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8"/>
        <w:gridCol w:w="473"/>
        <w:gridCol w:w="8"/>
        <w:gridCol w:w="4555"/>
        <w:gridCol w:w="8"/>
        <w:gridCol w:w="4292"/>
        <w:gridCol w:w="8"/>
      </w:tblGrid>
      <w:tr w:rsidR="005133E7" w:rsidRPr="00A21682" w14:paraId="1DAB22FC" w14:textId="77777777" w:rsidTr="00C968EF">
        <w:trPr>
          <w:gridBefore w:val="1"/>
          <w:wBefore w:w="8" w:type="dxa"/>
          <w:trHeight w:val="300"/>
        </w:trPr>
        <w:tc>
          <w:tcPr>
            <w:tcW w:w="481" w:type="dxa"/>
            <w:gridSpan w:val="2"/>
            <w:tcBorders>
              <w:right w:val="single" w:sz="2" w:space="0" w:color="FFFFFF" w:themeColor="background1"/>
            </w:tcBorders>
            <w:shd w:val="clear" w:color="auto" w:fill="000000"/>
            <w:hideMark/>
          </w:tcPr>
          <w:p w14:paraId="0F5A532D" w14:textId="77777777" w:rsidR="00C5516F" w:rsidRPr="00A21682" w:rsidRDefault="00C5516F" w:rsidP="00047C4E">
            <w:pPr>
              <w:pStyle w:val="TABLEHEADINGNEW"/>
            </w:pPr>
            <w:r>
              <w:t>#</w:t>
            </w:r>
          </w:p>
        </w:tc>
        <w:tc>
          <w:tcPr>
            <w:tcW w:w="4563" w:type="dxa"/>
            <w:gridSpan w:val="2"/>
            <w:tcBorders>
              <w:left w:val="single" w:sz="2" w:space="0" w:color="FFFFFF" w:themeColor="background1"/>
              <w:right w:val="single" w:sz="2" w:space="0" w:color="FFFFFF" w:themeColor="background1"/>
            </w:tcBorders>
            <w:shd w:val="clear" w:color="auto" w:fill="000000"/>
            <w:hideMark/>
          </w:tcPr>
          <w:p w14:paraId="17359D52" w14:textId="77777777" w:rsidR="00C5516F" w:rsidRPr="00A21682" w:rsidRDefault="00C5516F" w:rsidP="008707F5">
            <w:pPr>
              <w:pStyle w:val="TABLEHEADINGNEW"/>
            </w:pPr>
            <w:r>
              <w:t>Entry Criteria</w:t>
            </w:r>
          </w:p>
        </w:tc>
        <w:tc>
          <w:tcPr>
            <w:tcW w:w="4300" w:type="dxa"/>
            <w:gridSpan w:val="2"/>
            <w:tcBorders>
              <w:left w:val="single" w:sz="2" w:space="0" w:color="FFFFFF" w:themeColor="background1"/>
            </w:tcBorders>
            <w:shd w:val="clear" w:color="auto" w:fill="000000"/>
          </w:tcPr>
          <w:p w14:paraId="7EE12090" w14:textId="77777777" w:rsidR="00C5516F" w:rsidRPr="00A21682" w:rsidRDefault="00C5516F" w:rsidP="008707F5">
            <w:pPr>
              <w:pStyle w:val="TABLEHEADINGNEW"/>
            </w:pPr>
            <w:r>
              <w:t>Related Document(s)/Artifact(s)</w:t>
            </w:r>
          </w:p>
        </w:tc>
      </w:tr>
      <w:tr w:rsidR="009932BC" w:rsidRPr="00A21682" w14:paraId="1E4F1258" w14:textId="77777777" w:rsidTr="00047C4E">
        <w:trPr>
          <w:gridAfter w:val="1"/>
          <w:wAfter w:w="8" w:type="dxa"/>
          <w:trHeight w:val="300"/>
        </w:trPr>
        <w:tc>
          <w:tcPr>
            <w:tcW w:w="481" w:type="dxa"/>
            <w:gridSpan w:val="2"/>
            <w:hideMark/>
          </w:tcPr>
          <w:p w14:paraId="4969DBF6" w14:textId="0C4C8A3E" w:rsidR="00C5516F" w:rsidRPr="00A21682" w:rsidRDefault="00C5516F" w:rsidP="00047C4E">
            <w:pPr>
              <w:pStyle w:val="TABLETEXT1"/>
              <w:rPr>
                <w:u w:color="000000"/>
                <w:lang w:val="en-US"/>
              </w:rPr>
            </w:pPr>
            <w:r>
              <w:rPr>
                <w:u w:color="000000"/>
                <w:lang w:val="en-US"/>
              </w:rPr>
              <w:t>1</w:t>
            </w:r>
          </w:p>
        </w:tc>
        <w:tc>
          <w:tcPr>
            <w:tcW w:w="4563" w:type="dxa"/>
            <w:gridSpan w:val="2"/>
          </w:tcPr>
          <w:p w14:paraId="7D2851F7" w14:textId="77777777" w:rsidR="00C5516F" w:rsidRPr="00A21682" w:rsidRDefault="00C5516F" w:rsidP="00047C4E">
            <w:pPr>
              <w:pStyle w:val="TABLETEXT1"/>
              <w:rPr>
                <w:u w:color="000000"/>
                <w:lang w:val="en-US"/>
              </w:rPr>
            </w:pPr>
            <w:r>
              <w:rPr>
                <w:u w:color="000000"/>
                <w:lang w:val="en-US"/>
              </w:rPr>
              <w:t>Business stakeholders have been identified and confirmed to have availability to perform UAT</w:t>
            </w:r>
          </w:p>
        </w:tc>
        <w:tc>
          <w:tcPr>
            <w:tcW w:w="4300" w:type="dxa"/>
            <w:gridSpan w:val="2"/>
          </w:tcPr>
          <w:p w14:paraId="0EDD7CA0" w14:textId="77777777" w:rsidR="00C5516F" w:rsidRPr="001B591C" w:rsidRDefault="00C5516F" w:rsidP="008D051B">
            <w:pPr>
              <w:pStyle w:val="TABLEBULLETNEW"/>
            </w:pPr>
            <w:r>
              <w:t>Stakeholder Engagement Plan</w:t>
            </w:r>
          </w:p>
          <w:p w14:paraId="6202BE65" w14:textId="77777777" w:rsidR="00C5516F" w:rsidRPr="001B591C" w:rsidRDefault="00C5516F" w:rsidP="008D051B">
            <w:pPr>
              <w:pStyle w:val="TABLEBULLETNEW"/>
            </w:pPr>
            <w:r>
              <w:t>SDLC Methodology – Roles and Responsibilities Matrix</w:t>
            </w:r>
          </w:p>
        </w:tc>
      </w:tr>
      <w:tr w:rsidR="009932BC" w:rsidRPr="00A21682" w14:paraId="746B9A96" w14:textId="77777777" w:rsidTr="00047C4E">
        <w:trPr>
          <w:gridAfter w:val="1"/>
          <w:wAfter w:w="8" w:type="dxa"/>
          <w:trHeight w:val="300"/>
        </w:trPr>
        <w:tc>
          <w:tcPr>
            <w:tcW w:w="481" w:type="dxa"/>
            <w:gridSpan w:val="2"/>
          </w:tcPr>
          <w:p w14:paraId="5A7F71CA" w14:textId="77777777" w:rsidR="00C5516F" w:rsidRPr="00A21682" w:rsidRDefault="00C5516F" w:rsidP="00047C4E">
            <w:pPr>
              <w:pStyle w:val="TABLETEXT1"/>
              <w:rPr>
                <w:u w:color="000000"/>
                <w:lang w:val="en-US"/>
              </w:rPr>
            </w:pPr>
            <w:r>
              <w:rPr>
                <w:u w:color="000000"/>
                <w:lang w:val="en-US"/>
              </w:rPr>
              <w:t>2</w:t>
            </w:r>
          </w:p>
        </w:tc>
        <w:tc>
          <w:tcPr>
            <w:tcW w:w="4563" w:type="dxa"/>
            <w:gridSpan w:val="2"/>
          </w:tcPr>
          <w:p w14:paraId="663D3895" w14:textId="0CEE5E54" w:rsidR="00C5516F" w:rsidRPr="00A21682" w:rsidRDefault="00C5516F" w:rsidP="00047C4E">
            <w:pPr>
              <w:pStyle w:val="TABLETEXT1"/>
              <w:rPr>
                <w:u w:color="000000"/>
                <w:lang w:val="en-US"/>
              </w:rPr>
            </w:pPr>
            <w:r>
              <w:rPr>
                <w:u w:color="000000"/>
                <w:lang w:val="en-US"/>
              </w:rPr>
              <w:t>System Test Results meet acceptance criteria defined in the Test Management Plan</w:t>
            </w:r>
          </w:p>
        </w:tc>
        <w:tc>
          <w:tcPr>
            <w:tcW w:w="4300" w:type="dxa"/>
            <w:gridSpan w:val="2"/>
          </w:tcPr>
          <w:p w14:paraId="55B0A30A" w14:textId="61E0FF8C" w:rsidR="00C5516F" w:rsidRPr="001B591C" w:rsidRDefault="00C5516F" w:rsidP="008D051B">
            <w:pPr>
              <w:pStyle w:val="TABLEBULLETNEW"/>
            </w:pPr>
            <w:r>
              <w:t>Test Management Plan (DEL-09)</w:t>
            </w:r>
          </w:p>
        </w:tc>
      </w:tr>
      <w:tr w:rsidR="009932BC" w:rsidRPr="00A21682" w14:paraId="03FDED31" w14:textId="77777777" w:rsidTr="00047C4E">
        <w:trPr>
          <w:gridAfter w:val="1"/>
          <w:wAfter w:w="8" w:type="dxa"/>
          <w:trHeight w:val="300"/>
        </w:trPr>
        <w:tc>
          <w:tcPr>
            <w:tcW w:w="481" w:type="dxa"/>
            <w:gridSpan w:val="2"/>
          </w:tcPr>
          <w:p w14:paraId="5F16522B" w14:textId="77777777" w:rsidR="00C5516F" w:rsidRPr="00A21682" w:rsidRDefault="00C5516F" w:rsidP="00047C4E">
            <w:pPr>
              <w:pStyle w:val="TABLETEXT1"/>
              <w:rPr>
                <w:u w:color="000000"/>
                <w:lang w:val="en-US"/>
              </w:rPr>
            </w:pPr>
            <w:r>
              <w:rPr>
                <w:u w:color="000000"/>
                <w:lang w:val="en-US"/>
              </w:rPr>
              <w:t>3</w:t>
            </w:r>
          </w:p>
        </w:tc>
        <w:tc>
          <w:tcPr>
            <w:tcW w:w="4563" w:type="dxa"/>
            <w:gridSpan w:val="2"/>
          </w:tcPr>
          <w:p w14:paraId="765B2830" w14:textId="77777777" w:rsidR="00C5516F" w:rsidRPr="00A21682" w:rsidRDefault="00C5516F" w:rsidP="00047C4E">
            <w:pPr>
              <w:pStyle w:val="TABLETEXT1"/>
              <w:rPr>
                <w:u w:color="000000"/>
                <w:lang w:val="en-US"/>
              </w:rPr>
            </w:pPr>
            <w:r>
              <w:rPr>
                <w:u w:color="000000"/>
                <w:lang w:val="en-US"/>
              </w:rPr>
              <w:t>An ISOW is executed for the UAT and Rollout phases of a Wave</w:t>
            </w:r>
          </w:p>
        </w:tc>
        <w:tc>
          <w:tcPr>
            <w:tcW w:w="4300" w:type="dxa"/>
            <w:gridSpan w:val="2"/>
          </w:tcPr>
          <w:p w14:paraId="2221C136" w14:textId="77777777" w:rsidR="00C5516F" w:rsidRPr="001B591C" w:rsidRDefault="00C5516F" w:rsidP="008D051B">
            <w:pPr>
              <w:pStyle w:val="TABLEBULLETNEW"/>
            </w:pPr>
            <w:r>
              <w:t>Master ISOW Integrated Project Schedule</w:t>
            </w:r>
          </w:p>
        </w:tc>
      </w:tr>
    </w:tbl>
    <w:p w14:paraId="2B9DE8D1" w14:textId="6E326CB5" w:rsidR="00C5516F" w:rsidRPr="00A21682" w:rsidRDefault="00C5516F" w:rsidP="005911DA">
      <w:pPr>
        <w:pStyle w:val="Caption"/>
        <w:rPr>
          <w:noProof w:val="0"/>
        </w:rPr>
      </w:pPr>
      <w:bookmarkStart w:id="679" w:name="_Toc150951886"/>
      <w:bookmarkStart w:id="680" w:name="_Toc192875119"/>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34</w:t>
      </w:r>
      <w:r>
        <w:rPr>
          <w:noProof w:val="0"/>
        </w:rPr>
        <w:fldChar w:fldCharType="end"/>
      </w:r>
      <w:r>
        <w:rPr>
          <w:noProof w:val="0"/>
        </w:rPr>
        <w:t>: User Acceptance Test (UAT) Phase Entry Criteria</w:t>
      </w:r>
      <w:bookmarkEnd w:id="679"/>
      <w:bookmarkEnd w:id="680"/>
    </w:p>
    <w:p w14:paraId="1CB9A763" w14:textId="79E0BFD9" w:rsidR="00C5516F" w:rsidRPr="00A21682" w:rsidRDefault="00C5516F" w:rsidP="009B3B9C">
      <w:pPr>
        <w:pStyle w:val="Heading3"/>
        <w:keepNext w:val="0"/>
        <w:keepLines w:val="0"/>
        <w:rPr>
          <w:bCs/>
          <w:u w:color="000000"/>
        </w:rPr>
      </w:pPr>
      <w:bookmarkStart w:id="681" w:name="_Toc148102365"/>
      <w:bookmarkStart w:id="682" w:name="_Toc152605849"/>
      <w:bookmarkStart w:id="683" w:name="_Toc177118996"/>
      <w:bookmarkStart w:id="684" w:name="_Toc185952553"/>
      <w:bookmarkStart w:id="685" w:name="_Toc192874729"/>
      <w:r>
        <w:rPr>
          <w:u w:color="000000"/>
        </w:rPr>
        <w:t>Process Flow Diagram</w:t>
      </w:r>
      <w:bookmarkEnd w:id="681"/>
      <w:bookmarkEnd w:id="682"/>
      <w:bookmarkEnd w:id="683"/>
      <w:bookmarkEnd w:id="684"/>
      <w:bookmarkEnd w:id="685"/>
      <w:r>
        <w:rPr>
          <w:u w:color="000000"/>
        </w:rPr>
        <w:t xml:space="preserve"> </w:t>
      </w:r>
    </w:p>
    <w:p w14:paraId="195738DD" w14:textId="14F04D47" w:rsidR="00C5516F" w:rsidRPr="00A21682" w:rsidRDefault="00C5516F" w:rsidP="009B3B9C">
      <w:pPr>
        <w:pStyle w:val="NormalNEW"/>
        <w:rPr>
          <w:u w:color="000000"/>
          <w:lang w:val="en-US"/>
        </w:rPr>
      </w:pPr>
      <w:r>
        <w:rPr>
          <w:u w:color="000000"/>
          <w:lang w:val="en-US"/>
        </w:rPr>
        <w:t>The following process flow depicts the UAT phase of the MECM SDLC.</w:t>
      </w:r>
    </w:p>
    <w:p w14:paraId="59547F2F" w14:textId="5171D373" w:rsidR="00030B14" w:rsidRPr="00A21682" w:rsidRDefault="00A40AA5" w:rsidP="008707F5">
      <w:pPr>
        <w:pStyle w:val="NormalNEW"/>
        <w:keepNext/>
        <w:rPr>
          <w:u w:color="000000"/>
          <w:lang w:val="en-US"/>
        </w:rPr>
      </w:pPr>
      <w:r>
        <w:rPr>
          <w:lang w:val="en-US"/>
        </w:rPr>
        <w:lastRenderedPageBreak/>
        <w:pict w14:anchorId="66981DA2">
          <v:shape id="_x0000_i1035" type="#_x0000_t75" style="width:468pt;height:226.2pt">
            <v:imagedata r:id="rId36" o:title=""/>
          </v:shape>
        </w:pict>
      </w:r>
    </w:p>
    <w:p w14:paraId="3D9305C5" w14:textId="7E812BCD" w:rsidR="00C5516F" w:rsidRPr="00A21682" w:rsidRDefault="00C5516F" w:rsidP="005911DA">
      <w:pPr>
        <w:pStyle w:val="Caption"/>
        <w:rPr>
          <w:noProof w:val="0"/>
        </w:rPr>
      </w:pPr>
      <w:bookmarkStart w:id="686" w:name="_Toc150948935"/>
      <w:bookmarkStart w:id="687" w:name="_Toc178152033"/>
      <w:bookmarkStart w:id="688" w:name="_Toc192875048"/>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11</w:t>
      </w:r>
      <w:r>
        <w:rPr>
          <w:noProof w:val="0"/>
        </w:rPr>
        <w:fldChar w:fldCharType="end"/>
      </w:r>
      <w:r>
        <w:rPr>
          <w:noProof w:val="0"/>
        </w:rPr>
        <w:t>: User Acceptance Test (UAT) Process Flow Diagram</w:t>
      </w:r>
      <w:bookmarkEnd w:id="686"/>
      <w:bookmarkEnd w:id="687"/>
      <w:bookmarkEnd w:id="688"/>
    </w:p>
    <w:p w14:paraId="62F9E919" w14:textId="77777777" w:rsidR="00C5516F" w:rsidRPr="00A21682" w:rsidRDefault="00C5516F">
      <w:pPr>
        <w:pStyle w:val="Heading3"/>
        <w:rPr>
          <w:bCs/>
          <w:u w:color="000000"/>
        </w:rPr>
      </w:pPr>
      <w:bookmarkStart w:id="689" w:name="_Toc148102366"/>
      <w:bookmarkStart w:id="690" w:name="_Toc152605850"/>
      <w:bookmarkStart w:id="691" w:name="_Toc177118997"/>
      <w:bookmarkStart w:id="692" w:name="_Toc185952554"/>
      <w:bookmarkStart w:id="693" w:name="_Toc192874730"/>
      <w:r>
        <w:rPr>
          <w:u w:color="000000"/>
        </w:rPr>
        <w:t>Process Flow Narrative</w:t>
      </w:r>
      <w:bookmarkEnd w:id="689"/>
      <w:bookmarkEnd w:id="690"/>
      <w:bookmarkEnd w:id="691"/>
      <w:bookmarkEnd w:id="692"/>
      <w:bookmarkEnd w:id="693"/>
    </w:p>
    <w:p w14:paraId="28704065" w14:textId="77777777" w:rsidR="00C5516F" w:rsidRPr="00A21682" w:rsidRDefault="00C5516F" w:rsidP="00F70B45">
      <w:pPr>
        <w:pStyle w:val="NormalNEW"/>
        <w:rPr>
          <w:u w:color="000000"/>
          <w:lang w:val="en-US"/>
        </w:rPr>
      </w:pPr>
      <w:r>
        <w:rPr>
          <w:u w:color="000000"/>
          <w:lang w:val="en-US"/>
        </w:rPr>
        <w:t>The following table describes each process step illustrated above.</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2"/>
        <w:gridCol w:w="1506"/>
        <w:gridCol w:w="2070"/>
        <w:gridCol w:w="1649"/>
        <w:gridCol w:w="1705"/>
        <w:gridCol w:w="1800"/>
      </w:tblGrid>
      <w:tr w:rsidR="00C5516F" w:rsidRPr="00A21682" w14:paraId="5719280D" w14:textId="77777777" w:rsidTr="00C968EF">
        <w:trPr>
          <w:trHeight w:val="300"/>
          <w:tblHeader/>
        </w:trPr>
        <w:tc>
          <w:tcPr>
            <w:tcW w:w="9352" w:type="dxa"/>
            <w:gridSpan w:val="6"/>
            <w:tcBorders>
              <w:bottom w:val="single" w:sz="2" w:space="0" w:color="FFFFFF" w:themeColor="background1"/>
            </w:tcBorders>
            <w:shd w:val="clear" w:color="auto" w:fill="000000"/>
          </w:tcPr>
          <w:p w14:paraId="79D40D8F" w14:textId="039907DC" w:rsidR="00C5516F" w:rsidRPr="00A21682" w:rsidRDefault="00482EC1" w:rsidP="00047C4E">
            <w:pPr>
              <w:pStyle w:val="TABLEHEADINGNEW"/>
              <w:jc w:val="center"/>
              <w:rPr>
                <w:u w:color="000000"/>
              </w:rPr>
            </w:pPr>
            <w:r>
              <w:rPr>
                <w:u w:color="000000"/>
              </w:rPr>
              <w:t>UAT</w:t>
            </w:r>
          </w:p>
        </w:tc>
      </w:tr>
      <w:tr w:rsidR="00C5516F" w:rsidRPr="00A21682" w14:paraId="24F446C8" w14:textId="77777777" w:rsidTr="001B591C">
        <w:trPr>
          <w:trHeight w:val="300"/>
          <w:tblHeader/>
        </w:trPr>
        <w:tc>
          <w:tcPr>
            <w:tcW w:w="622" w:type="dxa"/>
            <w:tcBorders>
              <w:top w:val="single" w:sz="2" w:space="0" w:color="FFFFFF" w:themeColor="background1"/>
              <w:right w:val="single" w:sz="2" w:space="0" w:color="FFFFFF" w:themeColor="background1"/>
            </w:tcBorders>
            <w:shd w:val="clear" w:color="auto" w:fill="000000"/>
            <w:hideMark/>
          </w:tcPr>
          <w:p w14:paraId="7B22535C" w14:textId="77777777" w:rsidR="00C5516F" w:rsidRPr="00A21682" w:rsidRDefault="00C5516F" w:rsidP="00FF26E4">
            <w:pPr>
              <w:pStyle w:val="TABLEHEADINGNEW"/>
              <w:rPr>
                <w:rFonts w:ascii="Segoe UI" w:hAnsi="Segoe UI" w:cs="Segoe UI"/>
                <w:color w:val="000000"/>
                <w:u w:color="000000"/>
              </w:rPr>
            </w:pPr>
            <w:r>
              <w:rPr>
                <w:u w:color="000000"/>
              </w:rPr>
              <w:t>Step #</w:t>
            </w:r>
          </w:p>
        </w:tc>
        <w:tc>
          <w:tcPr>
            <w:tcW w:w="1506"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6EE4EC0D" w14:textId="77777777" w:rsidR="00C5516F" w:rsidRPr="00A21682" w:rsidRDefault="00C5516F" w:rsidP="00FF26E4">
            <w:pPr>
              <w:pStyle w:val="TABLEHEADINGNEW"/>
              <w:rPr>
                <w:rFonts w:ascii="Segoe UI" w:hAnsi="Segoe UI" w:cs="Segoe UI"/>
                <w:color w:val="000000"/>
                <w:u w:color="000000"/>
              </w:rPr>
            </w:pPr>
            <w:r>
              <w:rPr>
                <w:u w:color="000000"/>
              </w:rPr>
              <w:t>Process Step</w:t>
            </w:r>
          </w:p>
        </w:tc>
        <w:tc>
          <w:tcPr>
            <w:tcW w:w="207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5F40A3D6" w14:textId="77777777" w:rsidR="00C5516F" w:rsidRPr="00A21682" w:rsidRDefault="00C5516F" w:rsidP="00FF26E4">
            <w:pPr>
              <w:pStyle w:val="TABLEHEADINGNEW"/>
              <w:rPr>
                <w:rFonts w:ascii="Segoe UI" w:hAnsi="Segoe UI" w:cs="Segoe UI"/>
                <w:color w:val="000000"/>
                <w:u w:color="000000"/>
              </w:rPr>
            </w:pPr>
            <w:r>
              <w:rPr>
                <w:u w:color="000000"/>
              </w:rPr>
              <w:t>Description</w:t>
            </w:r>
          </w:p>
        </w:tc>
        <w:tc>
          <w:tcPr>
            <w:tcW w:w="1649"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4DDA1EFC" w14:textId="77777777" w:rsidR="00C5516F" w:rsidRPr="00A21682" w:rsidRDefault="00C5516F" w:rsidP="00FF26E4">
            <w:pPr>
              <w:pStyle w:val="TABLEHEADINGNEW"/>
              <w:rPr>
                <w:u w:color="000000"/>
              </w:rPr>
            </w:pPr>
            <w:r>
              <w:rPr>
                <w:u w:color="000000"/>
              </w:rPr>
              <w:t>Stakeholder Group(s)</w:t>
            </w:r>
          </w:p>
        </w:tc>
        <w:tc>
          <w:tcPr>
            <w:tcW w:w="1705"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43E38602" w14:textId="1A83F60C" w:rsidR="00C5516F" w:rsidRPr="00A21682" w:rsidRDefault="00C5516F" w:rsidP="00FF26E4">
            <w:pPr>
              <w:pStyle w:val="TABLEHEADINGNEW"/>
              <w:rPr>
                <w:u w:color="000000"/>
              </w:rPr>
            </w:pPr>
            <w:r>
              <w:rPr>
                <w:u w:color="000000"/>
              </w:rPr>
              <w:t>Inputs (Documents/ Work Products)</w:t>
            </w:r>
          </w:p>
        </w:tc>
        <w:tc>
          <w:tcPr>
            <w:tcW w:w="1800" w:type="dxa"/>
            <w:tcBorders>
              <w:top w:val="single" w:sz="2" w:space="0" w:color="FFFFFF" w:themeColor="background1"/>
              <w:left w:val="single" w:sz="2" w:space="0" w:color="FFFFFF" w:themeColor="background1"/>
            </w:tcBorders>
            <w:shd w:val="clear" w:color="auto" w:fill="000000"/>
            <w:hideMark/>
          </w:tcPr>
          <w:p w14:paraId="0A98DA1D" w14:textId="5382EED8" w:rsidR="00C5516F" w:rsidRPr="00A21682" w:rsidRDefault="00C5516F" w:rsidP="00FF26E4">
            <w:pPr>
              <w:pStyle w:val="TABLEHEADINGNEW"/>
              <w:rPr>
                <w:u w:color="000000"/>
              </w:rPr>
            </w:pPr>
            <w:r>
              <w:rPr>
                <w:u w:color="000000"/>
              </w:rPr>
              <w:t>Outputs (Documents/ Work Products)</w:t>
            </w:r>
          </w:p>
        </w:tc>
      </w:tr>
      <w:tr w:rsidR="00C5516F" w:rsidRPr="00A21682" w14:paraId="586D93B2" w14:textId="77777777" w:rsidTr="001B591C">
        <w:trPr>
          <w:trHeight w:val="300"/>
        </w:trPr>
        <w:tc>
          <w:tcPr>
            <w:tcW w:w="622" w:type="dxa"/>
          </w:tcPr>
          <w:p w14:paraId="4A4C1BA1" w14:textId="7561D52A" w:rsidR="00C5516F" w:rsidRPr="00A21682" w:rsidRDefault="0015353C" w:rsidP="00FF26E4">
            <w:pPr>
              <w:pStyle w:val="TABLETEXT1"/>
              <w:rPr>
                <w:lang w:val="en-US"/>
              </w:rPr>
            </w:pPr>
            <w:r>
              <w:rPr>
                <w:lang w:val="en-US"/>
              </w:rPr>
              <w:t>9.1</w:t>
            </w:r>
          </w:p>
        </w:tc>
        <w:tc>
          <w:tcPr>
            <w:tcW w:w="1506" w:type="dxa"/>
          </w:tcPr>
          <w:p w14:paraId="64CCD96F" w14:textId="77777777" w:rsidR="00C5516F" w:rsidRPr="00A21682" w:rsidRDefault="00C5516F" w:rsidP="00FF26E4">
            <w:pPr>
              <w:pStyle w:val="TABLETEXT1"/>
              <w:rPr>
                <w:lang w:val="en-US"/>
              </w:rPr>
            </w:pPr>
            <w:r>
              <w:rPr>
                <w:lang w:val="en-US"/>
              </w:rPr>
              <w:t>UAT Planning</w:t>
            </w:r>
          </w:p>
        </w:tc>
        <w:tc>
          <w:tcPr>
            <w:tcW w:w="2070" w:type="dxa"/>
          </w:tcPr>
          <w:p w14:paraId="3CB33849" w14:textId="77777777" w:rsidR="00C5516F" w:rsidRPr="001B591C" w:rsidRDefault="00C5516F" w:rsidP="006741E7">
            <w:pPr>
              <w:pStyle w:val="TABLEBULLETNEW"/>
            </w:pPr>
            <w:r>
              <w:t>Plan and confirm schedule of test scenarios and scripts to be executed in the UAT cycle</w:t>
            </w:r>
          </w:p>
          <w:p w14:paraId="22109252" w14:textId="4A601DD4" w:rsidR="00C5516F" w:rsidRPr="001B591C" w:rsidRDefault="00C5516F" w:rsidP="006741E7">
            <w:pPr>
              <w:pStyle w:val="TABLEBULLETNEW"/>
            </w:pPr>
            <w:r>
              <w:t>Conduct kick-off meetings to communicate details of UAT plan, execution approach, and other key information to the entire UAT team</w:t>
            </w:r>
          </w:p>
          <w:p w14:paraId="70CA25D5" w14:textId="77777777" w:rsidR="00C5516F" w:rsidRPr="001B591C" w:rsidRDefault="00C5516F" w:rsidP="006741E7">
            <w:pPr>
              <w:pStyle w:val="TABLEBULLETNEW"/>
            </w:pPr>
            <w:r>
              <w:t xml:space="preserve">Identify audience for training and tools that will be covered in accordance with </w:t>
            </w:r>
            <w:r>
              <w:lastRenderedPageBreak/>
              <w:t>Test Management Plan (Del #9)</w:t>
            </w:r>
          </w:p>
        </w:tc>
        <w:tc>
          <w:tcPr>
            <w:tcW w:w="1649" w:type="dxa"/>
          </w:tcPr>
          <w:p w14:paraId="161A589D" w14:textId="77777777" w:rsidR="00C5516F" w:rsidRPr="001B591C" w:rsidRDefault="00C5516F" w:rsidP="006741E7">
            <w:pPr>
              <w:pStyle w:val="TABLEBULLETNEW"/>
            </w:pPr>
            <w:r>
              <w:lastRenderedPageBreak/>
              <w:t>Business Stakeholders</w:t>
            </w:r>
          </w:p>
        </w:tc>
        <w:tc>
          <w:tcPr>
            <w:tcW w:w="1705" w:type="dxa"/>
          </w:tcPr>
          <w:p w14:paraId="0BC638CF" w14:textId="77777777" w:rsidR="00C5516F" w:rsidRPr="001B591C" w:rsidRDefault="00C5516F" w:rsidP="006741E7">
            <w:pPr>
              <w:pStyle w:val="TABLEBULLETNEW"/>
            </w:pPr>
            <w:r>
              <w:t>Test Management Plan (Del #9)</w:t>
            </w:r>
          </w:p>
          <w:p w14:paraId="4E7E1266" w14:textId="453BA57E" w:rsidR="00C5516F" w:rsidRPr="001B591C" w:rsidRDefault="00C5516F" w:rsidP="006741E7">
            <w:pPr>
              <w:pStyle w:val="TABLEBULLETNEW"/>
            </w:pPr>
            <w:r>
              <w:t>As-Is/To-Be Business Process Maps (DEL-17)</w:t>
            </w:r>
          </w:p>
          <w:p w14:paraId="5594AB8B" w14:textId="12F9F176" w:rsidR="00C5516F" w:rsidRPr="001B591C" w:rsidRDefault="00C5516F" w:rsidP="006741E7">
            <w:pPr>
              <w:pStyle w:val="TABLEBULLETNEW"/>
            </w:pPr>
            <w:r>
              <w:t>Requirements Specification Document (DEL-18)</w:t>
            </w:r>
          </w:p>
          <w:p w14:paraId="4385E131" w14:textId="17A7B819" w:rsidR="00C5516F" w:rsidRPr="001B591C" w:rsidRDefault="00C5516F" w:rsidP="006741E7">
            <w:pPr>
              <w:pStyle w:val="TABLEBULLETNEW"/>
            </w:pPr>
            <w:r>
              <w:t>Requirements Traceability Matrix (DEL-19)</w:t>
            </w:r>
          </w:p>
          <w:p w14:paraId="021CEBA6" w14:textId="1FC98826" w:rsidR="00C5516F" w:rsidRPr="001B591C" w:rsidRDefault="00C5516F" w:rsidP="006741E7">
            <w:pPr>
              <w:pStyle w:val="TABLEBULLETNEW"/>
            </w:pPr>
            <w:r>
              <w:t>Functional Design Document (DEL-20)</w:t>
            </w:r>
          </w:p>
          <w:p w14:paraId="2A88E06D" w14:textId="36707AC8" w:rsidR="00C5516F" w:rsidRPr="001B591C" w:rsidRDefault="00C5516F" w:rsidP="006741E7">
            <w:pPr>
              <w:pStyle w:val="TABLEBULLETNEW"/>
            </w:pPr>
            <w:r>
              <w:lastRenderedPageBreak/>
              <w:t>System Test Results (DEL-24)</w:t>
            </w:r>
          </w:p>
        </w:tc>
        <w:tc>
          <w:tcPr>
            <w:tcW w:w="1800" w:type="dxa"/>
          </w:tcPr>
          <w:p w14:paraId="60167403" w14:textId="77777777" w:rsidR="00C5516F" w:rsidRPr="001B591C" w:rsidRDefault="00C5516F" w:rsidP="006741E7">
            <w:pPr>
              <w:pStyle w:val="TABLEBULLETNEW"/>
            </w:pPr>
            <w:r>
              <w:lastRenderedPageBreak/>
              <w:t>N/A</w:t>
            </w:r>
          </w:p>
        </w:tc>
      </w:tr>
      <w:tr w:rsidR="00C5516F" w:rsidRPr="00A21682" w14:paraId="1CBFA0C8" w14:textId="77777777" w:rsidTr="001B591C">
        <w:trPr>
          <w:trHeight w:val="300"/>
        </w:trPr>
        <w:tc>
          <w:tcPr>
            <w:tcW w:w="622" w:type="dxa"/>
            <w:hideMark/>
          </w:tcPr>
          <w:p w14:paraId="7EC7F01F" w14:textId="6DF2D582" w:rsidR="00C5516F" w:rsidRPr="00A21682" w:rsidRDefault="0015353C" w:rsidP="00FF26E4">
            <w:pPr>
              <w:pStyle w:val="TABLETEXT1"/>
              <w:rPr>
                <w:lang w:val="en-US"/>
              </w:rPr>
            </w:pPr>
            <w:r>
              <w:rPr>
                <w:lang w:val="en-US"/>
              </w:rPr>
              <w:t>9.2</w:t>
            </w:r>
          </w:p>
        </w:tc>
        <w:tc>
          <w:tcPr>
            <w:tcW w:w="1506" w:type="dxa"/>
          </w:tcPr>
          <w:p w14:paraId="5753DB02" w14:textId="02C776E8" w:rsidR="00C5516F" w:rsidRPr="00A21682" w:rsidRDefault="00C5516F" w:rsidP="00FF26E4">
            <w:pPr>
              <w:pStyle w:val="TABLETEXT1"/>
              <w:rPr>
                <w:lang w:val="en-US"/>
              </w:rPr>
            </w:pPr>
            <w:r>
              <w:rPr>
                <w:lang w:val="en-US"/>
              </w:rPr>
              <w:t xml:space="preserve">Create or update UAT test scripts </w:t>
            </w:r>
          </w:p>
        </w:tc>
        <w:tc>
          <w:tcPr>
            <w:tcW w:w="2070" w:type="dxa"/>
          </w:tcPr>
          <w:p w14:paraId="4705BE68" w14:textId="77777777" w:rsidR="00C5516F" w:rsidRPr="004B0463" w:rsidRDefault="00C5516F" w:rsidP="006741E7">
            <w:pPr>
              <w:pStyle w:val="TABLEBULLETNEW"/>
            </w:pPr>
            <w:r>
              <w:t>Create or update UAT test scripts to support user-driven testing</w:t>
            </w:r>
          </w:p>
          <w:p w14:paraId="42667E16" w14:textId="77777777" w:rsidR="00C5516F" w:rsidRPr="004B0463" w:rsidRDefault="00C5516F" w:rsidP="006741E7">
            <w:pPr>
              <w:pStyle w:val="TABLEBULLETNEW"/>
            </w:pPr>
            <w:r>
              <w:t xml:space="preserve">User-acceptance testing focuses on site user readiness and validation of cutover correctness </w:t>
            </w:r>
          </w:p>
          <w:p w14:paraId="70FFF7D1" w14:textId="17F5C594" w:rsidR="00C5516F" w:rsidRPr="004B0463" w:rsidRDefault="00C5516F" w:rsidP="006741E7">
            <w:pPr>
              <w:pStyle w:val="TABLEBULLETNEW"/>
            </w:pPr>
            <w:r>
              <w:t>Define UAT steps for each UAT test case, based on approved requirements and design documentation and in accordance with the Test Management Plan (DEL-09)</w:t>
            </w:r>
          </w:p>
        </w:tc>
        <w:tc>
          <w:tcPr>
            <w:tcW w:w="1649" w:type="dxa"/>
          </w:tcPr>
          <w:p w14:paraId="26D3075C" w14:textId="77777777" w:rsidR="00C5516F" w:rsidRPr="004B0463" w:rsidRDefault="00C5516F" w:rsidP="006741E7">
            <w:pPr>
              <w:pStyle w:val="TABLEBULLETNEW"/>
            </w:pPr>
            <w:r>
              <w:t>Business Stakeholders</w:t>
            </w:r>
          </w:p>
        </w:tc>
        <w:tc>
          <w:tcPr>
            <w:tcW w:w="1705" w:type="dxa"/>
          </w:tcPr>
          <w:p w14:paraId="08CE26C6" w14:textId="1404F34D" w:rsidR="00C5516F" w:rsidRPr="004B0463" w:rsidRDefault="00C5516F" w:rsidP="006741E7">
            <w:pPr>
              <w:pStyle w:val="TABLEBULLETNEW"/>
            </w:pPr>
            <w:r>
              <w:t>Configuration Unit test cases</w:t>
            </w:r>
          </w:p>
          <w:p w14:paraId="67B21EF1" w14:textId="40C6D7C7" w:rsidR="00C5516F" w:rsidRPr="004B0463" w:rsidRDefault="00C5516F" w:rsidP="006741E7">
            <w:pPr>
              <w:pStyle w:val="TABLEBULLETNEW"/>
            </w:pPr>
            <w:r>
              <w:t>Functional Object test approach</w:t>
            </w:r>
          </w:p>
          <w:p w14:paraId="3759F96A" w14:textId="77777777" w:rsidR="00C5516F" w:rsidRPr="004B0463" w:rsidRDefault="00C5516F" w:rsidP="006741E7">
            <w:pPr>
              <w:pStyle w:val="TABLEBULLETNEW"/>
            </w:pPr>
            <w:r>
              <w:t>High-Level Process Design</w:t>
            </w:r>
          </w:p>
          <w:p w14:paraId="11C226A3" w14:textId="0FB0C4F5" w:rsidR="00C5516F" w:rsidRPr="004B0463" w:rsidRDefault="00C5516F" w:rsidP="006741E7">
            <w:pPr>
              <w:pStyle w:val="TABLEBULLETNEW"/>
            </w:pPr>
            <w:r>
              <w:t>Integration test cases</w:t>
            </w:r>
          </w:p>
          <w:p w14:paraId="6050E77F" w14:textId="4AA9813A" w:rsidR="00C5516F" w:rsidRPr="004B0463" w:rsidRDefault="00C5516F" w:rsidP="006741E7">
            <w:pPr>
              <w:pStyle w:val="TABLEBULLETNEW"/>
            </w:pPr>
            <w:r>
              <w:t>Requirements Traceability Matrix (DEL-19)</w:t>
            </w:r>
          </w:p>
          <w:p w14:paraId="1ACDDA64" w14:textId="48F69B33" w:rsidR="00C5516F" w:rsidRPr="004B0463" w:rsidRDefault="00C5516F" w:rsidP="006741E7">
            <w:pPr>
              <w:pStyle w:val="TABLEBULLETNEW"/>
            </w:pPr>
            <w:r>
              <w:t>Role-based Security test cases</w:t>
            </w:r>
          </w:p>
          <w:p w14:paraId="663FED57" w14:textId="7F0CF9BA" w:rsidR="00C5516F" w:rsidRPr="004B0463" w:rsidRDefault="00C5516F" w:rsidP="006741E7">
            <w:pPr>
              <w:pStyle w:val="TABLEBULLETNEW"/>
            </w:pPr>
            <w:r>
              <w:t>User Acceptance test approach</w:t>
            </w:r>
          </w:p>
        </w:tc>
        <w:tc>
          <w:tcPr>
            <w:tcW w:w="1800" w:type="dxa"/>
          </w:tcPr>
          <w:p w14:paraId="3D811998" w14:textId="0981E9F1" w:rsidR="00C5516F" w:rsidRPr="004B0463" w:rsidRDefault="00C5516F" w:rsidP="006741E7">
            <w:pPr>
              <w:pStyle w:val="TABLEBULLETNEW"/>
            </w:pPr>
            <w:r>
              <w:t>UAT test scripts</w:t>
            </w:r>
          </w:p>
        </w:tc>
      </w:tr>
      <w:tr w:rsidR="00C5516F" w:rsidRPr="00A21682" w14:paraId="0E95BEFF" w14:textId="77777777" w:rsidTr="001B591C">
        <w:trPr>
          <w:trHeight w:val="300"/>
        </w:trPr>
        <w:tc>
          <w:tcPr>
            <w:tcW w:w="622" w:type="dxa"/>
          </w:tcPr>
          <w:p w14:paraId="7E87D3D9" w14:textId="64CB01A7" w:rsidR="00C5516F" w:rsidRPr="00A21682" w:rsidRDefault="0015353C" w:rsidP="00FF26E4">
            <w:pPr>
              <w:pStyle w:val="TABLETEXT1"/>
              <w:rPr>
                <w:lang w:val="en-US"/>
              </w:rPr>
            </w:pPr>
            <w:r>
              <w:rPr>
                <w:lang w:val="en-US"/>
              </w:rPr>
              <w:t>9.3</w:t>
            </w:r>
          </w:p>
        </w:tc>
        <w:tc>
          <w:tcPr>
            <w:tcW w:w="1506" w:type="dxa"/>
          </w:tcPr>
          <w:p w14:paraId="3BD718B4" w14:textId="77777777" w:rsidR="00C5516F" w:rsidRPr="00A21682" w:rsidRDefault="00C5516F" w:rsidP="00FF26E4">
            <w:pPr>
              <w:pStyle w:val="TABLETEXT1"/>
              <w:rPr>
                <w:lang w:val="en-US"/>
              </w:rPr>
            </w:pPr>
            <w:r>
              <w:rPr>
                <w:lang w:val="en-US"/>
              </w:rPr>
              <w:t>Perform test script and test coverage review</w:t>
            </w:r>
          </w:p>
        </w:tc>
        <w:tc>
          <w:tcPr>
            <w:tcW w:w="2070" w:type="dxa"/>
          </w:tcPr>
          <w:p w14:paraId="45DB8862" w14:textId="4356725B" w:rsidR="00C5516F" w:rsidRPr="006741E7" w:rsidRDefault="00C5516F" w:rsidP="006741E7">
            <w:pPr>
              <w:pStyle w:val="TABLETEXT1"/>
              <w:rPr>
                <w:lang w:val="en-US"/>
              </w:rPr>
            </w:pPr>
            <w:r>
              <w:rPr>
                <w:lang w:val="en-US"/>
              </w:rPr>
              <w:t>Review test cases and scripts with Business Stakeholders to identify any test gaps and coverage gaps of functionality</w:t>
            </w:r>
          </w:p>
        </w:tc>
        <w:tc>
          <w:tcPr>
            <w:tcW w:w="1649" w:type="dxa"/>
          </w:tcPr>
          <w:p w14:paraId="120BED06" w14:textId="77777777" w:rsidR="00C5516F" w:rsidRPr="004B0463" w:rsidRDefault="00C5516F" w:rsidP="006741E7">
            <w:pPr>
              <w:pStyle w:val="TABLEBULLETNEW"/>
            </w:pPr>
            <w:r>
              <w:t>Business Stakeholders</w:t>
            </w:r>
          </w:p>
        </w:tc>
        <w:tc>
          <w:tcPr>
            <w:tcW w:w="1705" w:type="dxa"/>
          </w:tcPr>
          <w:p w14:paraId="6E90B55A" w14:textId="34179071" w:rsidR="00C5516F" w:rsidRPr="004B0463" w:rsidRDefault="00C5516F" w:rsidP="006741E7">
            <w:pPr>
              <w:pStyle w:val="TABLEBULLETNEW"/>
            </w:pPr>
            <w:r>
              <w:t>UAT test scripts</w:t>
            </w:r>
          </w:p>
        </w:tc>
        <w:tc>
          <w:tcPr>
            <w:tcW w:w="1800" w:type="dxa"/>
          </w:tcPr>
          <w:p w14:paraId="408A240C" w14:textId="6AE152A3" w:rsidR="00C5516F" w:rsidRPr="004B0463" w:rsidRDefault="00C5516F" w:rsidP="006741E7">
            <w:pPr>
              <w:pStyle w:val="TABLEBULLETNEW"/>
            </w:pPr>
            <w:r>
              <w:t>Revised UAT test scripts</w:t>
            </w:r>
          </w:p>
        </w:tc>
      </w:tr>
      <w:tr w:rsidR="00C5516F" w:rsidRPr="00A21682" w14:paraId="63CB6144" w14:textId="77777777" w:rsidTr="001B591C">
        <w:trPr>
          <w:trHeight w:val="300"/>
        </w:trPr>
        <w:tc>
          <w:tcPr>
            <w:tcW w:w="622" w:type="dxa"/>
          </w:tcPr>
          <w:p w14:paraId="21CCFFED" w14:textId="4C28783A" w:rsidR="00C5516F" w:rsidRPr="00A21682" w:rsidRDefault="0015353C" w:rsidP="00FF26E4">
            <w:pPr>
              <w:pStyle w:val="TABLETEXT1"/>
              <w:rPr>
                <w:lang w:val="en-US"/>
              </w:rPr>
            </w:pPr>
            <w:r>
              <w:rPr>
                <w:lang w:val="en-US"/>
              </w:rPr>
              <w:t>9.3a</w:t>
            </w:r>
          </w:p>
        </w:tc>
        <w:tc>
          <w:tcPr>
            <w:tcW w:w="1506" w:type="dxa"/>
          </w:tcPr>
          <w:p w14:paraId="5082DEEB" w14:textId="2DD3DC7E" w:rsidR="00C5516F" w:rsidRPr="00A21682" w:rsidRDefault="00C5516F" w:rsidP="00FF26E4">
            <w:pPr>
              <w:pStyle w:val="TABLETEXT1"/>
              <w:rPr>
                <w:lang w:val="en-US"/>
              </w:rPr>
            </w:pPr>
            <w:r>
              <w:rPr>
                <w:lang w:val="en-US"/>
              </w:rPr>
              <w:t>Test script has traceability to all iteration/ bundle requirements</w:t>
            </w:r>
          </w:p>
        </w:tc>
        <w:tc>
          <w:tcPr>
            <w:tcW w:w="2070" w:type="dxa"/>
          </w:tcPr>
          <w:p w14:paraId="47AEC393" w14:textId="518FEF51" w:rsidR="00C5516F" w:rsidRPr="006741E7" w:rsidRDefault="00C5516F" w:rsidP="006741E7">
            <w:pPr>
              <w:pStyle w:val="TABLETEXT1"/>
              <w:rPr>
                <w:lang w:val="en-US"/>
              </w:rPr>
            </w:pPr>
            <w:r>
              <w:rPr>
                <w:lang w:val="en-US"/>
              </w:rPr>
              <w:t xml:space="preserve">Determine if all test scripts are traceable to their originated requirements </w:t>
            </w:r>
          </w:p>
          <w:p w14:paraId="6DF1843B" w14:textId="5E5E7C02" w:rsidR="00C5516F" w:rsidRPr="00635C9B" w:rsidRDefault="00C5516F" w:rsidP="006741E7">
            <w:pPr>
              <w:pStyle w:val="TABLEBULLETNEW"/>
            </w:pPr>
            <w:r>
              <w:t xml:space="preserve">If yes, proceed to </w:t>
            </w:r>
            <w:r>
              <w:rPr>
                <w:i/>
              </w:rPr>
              <w:t>Step #9.4 Prepare UAT environment with test case data as needed</w:t>
            </w:r>
          </w:p>
          <w:p w14:paraId="49196BBE" w14:textId="441FCA1E" w:rsidR="00C5516F" w:rsidRPr="00635C9B" w:rsidRDefault="00C5516F" w:rsidP="006741E7">
            <w:pPr>
              <w:pStyle w:val="TABLEBULLETNEW"/>
            </w:pPr>
            <w:r>
              <w:lastRenderedPageBreak/>
              <w:t xml:space="preserve">If no, proceed to </w:t>
            </w:r>
            <w:r>
              <w:rPr>
                <w:i/>
              </w:rPr>
              <w:t>Step #2.2 Create or update UAT test scripts</w:t>
            </w:r>
          </w:p>
        </w:tc>
        <w:tc>
          <w:tcPr>
            <w:tcW w:w="1649" w:type="dxa"/>
          </w:tcPr>
          <w:p w14:paraId="6F47396D" w14:textId="77777777" w:rsidR="00C5516F" w:rsidRPr="004B0463" w:rsidRDefault="00C5516F" w:rsidP="006741E7">
            <w:pPr>
              <w:pStyle w:val="TABLEBULLETNEW"/>
            </w:pPr>
            <w:r>
              <w:lastRenderedPageBreak/>
              <w:t>Business Stakeholders</w:t>
            </w:r>
          </w:p>
        </w:tc>
        <w:tc>
          <w:tcPr>
            <w:tcW w:w="1705" w:type="dxa"/>
          </w:tcPr>
          <w:p w14:paraId="1A730FE6" w14:textId="77777777" w:rsidR="00C5516F" w:rsidRPr="004B0463" w:rsidRDefault="00C5516F" w:rsidP="006741E7">
            <w:pPr>
              <w:pStyle w:val="TABLEBULLETNEW"/>
            </w:pPr>
            <w:r>
              <w:t>N/A</w:t>
            </w:r>
          </w:p>
        </w:tc>
        <w:tc>
          <w:tcPr>
            <w:tcW w:w="1800" w:type="dxa"/>
          </w:tcPr>
          <w:p w14:paraId="4B35A36D" w14:textId="77777777" w:rsidR="00C5516F" w:rsidRPr="004B0463" w:rsidRDefault="00C5516F" w:rsidP="006741E7">
            <w:pPr>
              <w:pStyle w:val="TABLEBULLETNEW"/>
            </w:pPr>
            <w:r>
              <w:t>N/A</w:t>
            </w:r>
          </w:p>
        </w:tc>
      </w:tr>
      <w:tr w:rsidR="00C5516F" w:rsidRPr="00A21682" w14:paraId="3B184B2B" w14:textId="77777777" w:rsidTr="001B591C">
        <w:trPr>
          <w:trHeight w:val="300"/>
        </w:trPr>
        <w:tc>
          <w:tcPr>
            <w:tcW w:w="622" w:type="dxa"/>
          </w:tcPr>
          <w:p w14:paraId="0C5F5149" w14:textId="6DEBD7E8" w:rsidR="00C5516F" w:rsidRPr="00A21682" w:rsidRDefault="0015353C" w:rsidP="00FF26E4">
            <w:pPr>
              <w:pStyle w:val="TABLETEXT1"/>
              <w:rPr>
                <w:lang w:val="en-US"/>
              </w:rPr>
            </w:pPr>
            <w:r>
              <w:rPr>
                <w:lang w:val="en-US"/>
              </w:rPr>
              <w:t>9.4</w:t>
            </w:r>
          </w:p>
        </w:tc>
        <w:tc>
          <w:tcPr>
            <w:tcW w:w="1506" w:type="dxa"/>
          </w:tcPr>
          <w:p w14:paraId="3FBE205B" w14:textId="77777777" w:rsidR="00C5516F" w:rsidRPr="00A21682" w:rsidRDefault="00C5516F" w:rsidP="00FF26E4">
            <w:pPr>
              <w:pStyle w:val="TABLETEXT1"/>
              <w:rPr>
                <w:lang w:val="en-US"/>
              </w:rPr>
            </w:pPr>
            <w:r>
              <w:rPr>
                <w:lang w:val="en-US"/>
              </w:rPr>
              <w:t>Prepare UAT environment with test case data as needed</w:t>
            </w:r>
          </w:p>
        </w:tc>
        <w:tc>
          <w:tcPr>
            <w:tcW w:w="2070" w:type="dxa"/>
          </w:tcPr>
          <w:p w14:paraId="7BEC1DCB" w14:textId="62055CC7" w:rsidR="00C5516F" w:rsidRPr="006741E7" w:rsidRDefault="00C5516F" w:rsidP="006741E7">
            <w:pPr>
              <w:pStyle w:val="TABLETEXT1"/>
              <w:rPr>
                <w:lang w:val="en-US"/>
              </w:rPr>
            </w:pPr>
            <w:r>
              <w:rPr>
                <w:lang w:val="en-US"/>
              </w:rPr>
              <w:t>Prepare the dedicated User Acceptance Test environment and populate with gold configurations, conversion data, interfaced systems data, and transactional data required to support user acceptance testing</w:t>
            </w:r>
          </w:p>
        </w:tc>
        <w:tc>
          <w:tcPr>
            <w:tcW w:w="1649" w:type="dxa"/>
          </w:tcPr>
          <w:p w14:paraId="2C3FF3AD" w14:textId="77777777" w:rsidR="00C5516F" w:rsidRPr="008514D3" w:rsidRDefault="00C5516F" w:rsidP="006741E7">
            <w:pPr>
              <w:pStyle w:val="TABLEBULLETNEW"/>
            </w:pPr>
            <w:r>
              <w:t>Business Stakeholders</w:t>
            </w:r>
          </w:p>
        </w:tc>
        <w:tc>
          <w:tcPr>
            <w:tcW w:w="1705" w:type="dxa"/>
          </w:tcPr>
          <w:p w14:paraId="2C74024D" w14:textId="0BC6D11A" w:rsidR="00C5516F" w:rsidRPr="008514D3" w:rsidRDefault="00C5516F" w:rsidP="006741E7">
            <w:pPr>
              <w:pStyle w:val="TABLEBULLETNEW"/>
            </w:pPr>
            <w:r>
              <w:t>Test Management Plan (DEL-09)</w:t>
            </w:r>
          </w:p>
          <w:p w14:paraId="7988FE44" w14:textId="6550829F" w:rsidR="00C5516F" w:rsidRPr="008514D3" w:rsidRDefault="00C5516F" w:rsidP="006741E7">
            <w:pPr>
              <w:pStyle w:val="TABLEBULLETNEW"/>
            </w:pPr>
            <w:r>
              <w:t>Data Migration Plan (DEL-25)</w:t>
            </w:r>
          </w:p>
          <w:p w14:paraId="178F5CAF" w14:textId="35452AAA" w:rsidR="00C5516F" w:rsidRPr="008514D3" w:rsidRDefault="00C5516F" w:rsidP="006741E7">
            <w:pPr>
              <w:pStyle w:val="TABLEBULLETNEW"/>
            </w:pPr>
            <w:r>
              <w:t xml:space="preserve">UAT environment ready </w:t>
            </w:r>
          </w:p>
        </w:tc>
        <w:tc>
          <w:tcPr>
            <w:tcW w:w="1800" w:type="dxa"/>
          </w:tcPr>
          <w:p w14:paraId="71E3614A" w14:textId="5A403355" w:rsidR="00C5516F" w:rsidRPr="008514D3" w:rsidRDefault="00C5516F" w:rsidP="006741E7">
            <w:pPr>
              <w:pStyle w:val="TABLEBULLETNEW"/>
            </w:pPr>
            <w:r>
              <w:t>UAT test data loaded in the UAT environment</w:t>
            </w:r>
          </w:p>
        </w:tc>
      </w:tr>
      <w:tr w:rsidR="00C5516F" w:rsidRPr="00A21682" w14:paraId="31C16452" w14:textId="77777777" w:rsidTr="001B591C">
        <w:trPr>
          <w:trHeight w:val="300"/>
        </w:trPr>
        <w:tc>
          <w:tcPr>
            <w:tcW w:w="622" w:type="dxa"/>
          </w:tcPr>
          <w:p w14:paraId="2E08910E" w14:textId="5CB00618" w:rsidR="00C5516F" w:rsidRPr="00A21682" w:rsidRDefault="0015353C" w:rsidP="00FF26E4">
            <w:pPr>
              <w:pStyle w:val="TABLETEXT1"/>
              <w:rPr>
                <w:lang w:val="en-US"/>
              </w:rPr>
            </w:pPr>
            <w:r>
              <w:rPr>
                <w:lang w:val="en-US"/>
              </w:rPr>
              <w:t>9.5</w:t>
            </w:r>
          </w:p>
        </w:tc>
        <w:tc>
          <w:tcPr>
            <w:tcW w:w="1506" w:type="dxa"/>
          </w:tcPr>
          <w:p w14:paraId="19B19729" w14:textId="77777777" w:rsidR="00C5516F" w:rsidRPr="00A21682" w:rsidRDefault="00C5516F" w:rsidP="00FF26E4">
            <w:pPr>
              <w:pStyle w:val="TABLETEXT1"/>
              <w:rPr>
                <w:lang w:val="en-US"/>
              </w:rPr>
            </w:pPr>
            <w:r>
              <w:rPr>
                <w:lang w:val="en-US"/>
              </w:rPr>
              <w:t>Perform UAT Testing</w:t>
            </w:r>
          </w:p>
        </w:tc>
        <w:tc>
          <w:tcPr>
            <w:tcW w:w="2070" w:type="dxa"/>
          </w:tcPr>
          <w:p w14:paraId="4D00C7E6" w14:textId="496A98A4" w:rsidR="00C5516F" w:rsidRPr="00A21682" w:rsidRDefault="00C5516F" w:rsidP="006741E7">
            <w:pPr>
              <w:pStyle w:val="TABLETEXT1"/>
              <w:rPr>
                <w:u w:color="000000"/>
              </w:rPr>
            </w:pPr>
            <w:r>
              <w:rPr>
                <w:u w:color="000000"/>
              </w:rPr>
              <w:t>Perform UAT Testing to verify that the business is ready to cutover to the new solution. Document the test execution results. Update the statuses of the test cases</w:t>
            </w:r>
          </w:p>
        </w:tc>
        <w:tc>
          <w:tcPr>
            <w:tcW w:w="1649" w:type="dxa"/>
          </w:tcPr>
          <w:p w14:paraId="3201B1C0" w14:textId="77777777" w:rsidR="00C5516F" w:rsidRPr="008514D3" w:rsidRDefault="00C5516F" w:rsidP="006741E7">
            <w:pPr>
              <w:pStyle w:val="TABLEBULLETNEW"/>
            </w:pPr>
            <w:r>
              <w:t>Business Stakeholders</w:t>
            </w:r>
          </w:p>
        </w:tc>
        <w:tc>
          <w:tcPr>
            <w:tcW w:w="1705" w:type="dxa"/>
          </w:tcPr>
          <w:p w14:paraId="060CDB82" w14:textId="77777777" w:rsidR="00C5516F" w:rsidRPr="008514D3" w:rsidRDefault="00C5516F" w:rsidP="006741E7">
            <w:pPr>
              <w:pStyle w:val="TABLEBULLETNEW"/>
            </w:pPr>
            <w:r>
              <w:t>UAT scripts</w:t>
            </w:r>
          </w:p>
          <w:p w14:paraId="364DCC04" w14:textId="7580E4BE" w:rsidR="00C5516F" w:rsidRPr="008514D3" w:rsidRDefault="00C5516F" w:rsidP="006741E7">
            <w:pPr>
              <w:pStyle w:val="TABLEBULLETNEW"/>
            </w:pPr>
            <w:r>
              <w:t>UAT test data loaded in the UAT environment</w:t>
            </w:r>
          </w:p>
        </w:tc>
        <w:tc>
          <w:tcPr>
            <w:tcW w:w="1800" w:type="dxa"/>
          </w:tcPr>
          <w:p w14:paraId="61987B5C" w14:textId="58443035" w:rsidR="00C5516F" w:rsidRPr="008514D3" w:rsidRDefault="00C5516F" w:rsidP="006741E7">
            <w:pPr>
              <w:pStyle w:val="TABLEBULLETNEW"/>
            </w:pPr>
            <w:r>
              <w:t>UAT test results</w:t>
            </w:r>
          </w:p>
        </w:tc>
      </w:tr>
      <w:tr w:rsidR="00C5516F" w:rsidRPr="00A21682" w14:paraId="1BFA800F" w14:textId="77777777" w:rsidTr="001B591C">
        <w:trPr>
          <w:trHeight w:val="300"/>
        </w:trPr>
        <w:tc>
          <w:tcPr>
            <w:tcW w:w="622" w:type="dxa"/>
          </w:tcPr>
          <w:p w14:paraId="633266D8" w14:textId="67E6BBFB" w:rsidR="00C5516F" w:rsidRPr="00A21682" w:rsidRDefault="0015353C" w:rsidP="00FF26E4">
            <w:pPr>
              <w:pStyle w:val="TABLETEXT1"/>
              <w:rPr>
                <w:lang w:val="en-US"/>
              </w:rPr>
            </w:pPr>
            <w:r>
              <w:rPr>
                <w:lang w:val="en-US"/>
              </w:rPr>
              <w:t>9.6</w:t>
            </w:r>
          </w:p>
        </w:tc>
        <w:tc>
          <w:tcPr>
            <w:tcW w:w="1506" w:type="dxa"/>
          </w:tcPr>
          <w:p w14:paraId="1FA04A22" w14:textId="4C15C09B" w:rsidR="00C5516F" w:rsidRPr="00A21682" w:rsidRDefault="00C5516F" w:rsidP="00FF26E4">
            <w:pPr>
              <w:pStyle w:val="TABLETEXT1"/>
              <w:rPr>
                <w:lang w:val="en-US"/>
              </w:rPr>
            </w:pPr>
            <w:r>
              <w:rPr>
                <w:lang w:val="en-US"/>
              </w:rPr>
              <w:t xml:space="preserve">Log test results in and defects in System Defect Log </w:t>
            </w:r>
          </w:p>
        </w:tc>
        <w:tc>
          <w:tcPr>
            <w:tcW w:w="2070" w:type="dxa"/>
          </w:tcPr>
          <w:p w14:paraId="6348AFC6" w14:textId="3308A209" w:rsidR="00C5516F" w:rsidRPr="006741E7" w:rsidRDefault="00C5516F" w:rsidP="006741E7">
            <w:pPr>
              <w:pStyle w:val="TABLETEXT1"/>
              <w:rPr>
                <w:lang w:val="en-US"/>
              </w:rPr>
            </w:pPr>
            <w:r>
              <w:rPr>
                <w:lang w:val="en-US"/>
              </w:rPr>
              <w:t xml:space="preserve">Log all defects identified through UAT and the status of each in the System Defect Log </w:t>
            </w:r>
          </w:p>
        </w:tc>
        <w:tc>
          <w:tcPr>
            <w:tcW w:w="1649" w:type="dxa"/>
          </w:tcPr>
          <w:p w14:paraId="768C2C52" w14:textId="77777777" w:rsidR="00C5516F" w:rsidRPr="008514D3" w:rsidRDefault="00C5516F" w:rsidP="006741E7">
            <w:pPr>
              <w:pStyle w:val="TABLEBULLETNEW"/>
            </w:pPr>
            <w:r>
              <w:t>Business Stakeholders</w:t>
            </w:r>
          </w:p>
        </w:tc>
        <w:tc>
          <w:tcPr>
            <w:tcW w:w="1705" w:type="dxa"/>
          </w:tcPr>
          <w:p w14:paraId="7A8D4D7B" w14:textId="070597D8" w:rsidR="00C5516F" w:rsidRPr="008514D3" w:rsidRDefault="00C5516F" w:rsidP="006741E7">
            <w:pPr>
              <w:pStyle w:val="TABLEBULLETNEW"/>
            </w:pPr>
            <w:r>
              <w:t>UAT test results</w:t>
            </w:r>
          </w:p>
          <w:p w14:paraId="19E26617" w14:textId="46D16CCF" w:rsidR="00C5516F" w:rsidRPr="008514D3" w:rsidRDefault="00C5516F" w:rsidP="006741E7">
            <w:pPr>
              <w:pStyle w:val="TABLEBULLETNEW"/>
            </w:pPr>
            <w:r>
              <w:t xml:space="preserve">System Defect Log </w:t>
            </w:r>
          </w:p>
        </w:tc>
        <w:tc>
          <w:tcPr>
            <w:tcW w:w="1800" w:type="dxa"/>
          </w:tcPr>
          <w:p w14:paraId="1D734451" w14:textId="15B7C032" w:rsidR="00C5516F" w:rsidRPr="008514D3" w:rsidRDefault="00C5516F" w:rsidP="006741E7">
            <w:pPr>
              <w:pStyle w:val="TABLEBULLETNEW"/>
            </w:pPr>
            <w:r>
              <w:t>UAT test results in the ALM tool</w:t>
            </w:r>
          </w:p>
          <w:p w14:paraId="6A10A799" w14:textId="084BE07A" w:rsidR="00C5516F" w:rsidRPr="008514D3" w:rsidRDefault="00C5516F" w:rsidP="006741E7">
            <w:pPr>
              <w:pStyle w:val="TABLEBULLETNEW"/>
            </w:pPr>
            <w:r>
              <w:t>Updated System Defect Log with UAT results</w:t>
            </w:r>
          </w:p>
        </w:tc>
      </w:tr>
      <w:tr w:rsidR="00C5516F" w:rsidRPr="00A21682" w14:paraId="2EFED681" w14:textId="77777777" w:rsidTr="001B591C">
        <w:trPr>
          <w:trHeight w:val="300"/>
        </w:trPr>
        <w:tc>
          <w:tcPr>
            <w:tcW w:w="622" w:type="dxa"/>
          </w:tcPr>
          <w:p w14:paraId="740F935E" w14:textId="61EF7040" w:rsidR="00C5516F" w:rsidRPr="00A21682" w:rsidRDefault="0015353C" w:rsidP="00FF26E4">
            <w:pPr>
              <w:pStyle w:val="TABLETEXT1"/>
              <w:rPr>
                <w:lang w:val="en-US"/>
              </w:rPr>
            </w:pPr>
            <w:r>
              <w:rPr>
                <w:lang w:val="en-US"/>
              </w:rPr>
              <w:t>9.6a</w:t>
            </w:r>
          </w:p>
        </w:tc>
        <w:tc>
          <w:tcPr>
            <w:tcW w:w="1506" w:type="dxa"/>
          </w:tcPr>
          <w:p w14:paraId="149567C6" w14:textId="4A971AD5" w:rsidR="00C5516F" w:rsidRPr="00A21682" w:rsidRDefault="00C5516F" w:rsidP="00FF26E4">
            <w:pPr>
              <w:pStyle w:val="TABLETEXT1"/>
              <w:rPr>
                <w:lang w:val="en-US"/>
              </w:rPr>
            </w:pPr>
            <w:r>
              <w:rPr>
                <w:lang w:val="en-US"/>
              </w:rPr>
              <w:t>UAT test results passed status</w:t>
            </w:r>
          </w:p>
        </w:tc>
        <w:tc>
          <w:tcPr>
            <w:tcW w:w="2070" w:type="dxa"/>
          </w:tcPr>
          <w:p w14:paraId="42BADCB0" w14:textId="49DE3980" w:rsidR="00C5516F" w:rsidRPr="006741E7" w:rsidRDefault="00C5516F" w:rsidP="006741E7">
            <w:pPr>
              <w:pStyle w:val="TABLETEXT1"/>
              <w:rPr>
                <w:lang w:val="en-US"/>
              </w:rPr>
            </w:pPr>
            <w:r>
              <w:rPr>
                <w:lang w:val="en-US"/>
              </w:rPr>
              <w:t>Determine if all UAT tests have passed</w:t>
            </w:r>
          </w:p>
          <w:p w14:paraId="6A68E11B" w14:textId="38F4B812" w:rsidR="00C5516F" w:rsidRPr="004150F9" w:rsidRDefault="00C5516F" w:rsidP="006741E7">
            <w:pPr>
              <w:pStyle w:val="TABLEBULLETNEW"/>
              <w:rPr>
                <w:i/>
              </w:rPr>
            </w:pPr>
            <w:r>
              <w:t xml:space="preserve">If yes, proceed to process </w:t>
            </w:r>
            <w:r>
              <w:rPr>
                <w:i/>
              </w:rPr>
              <w:t>Step #9.11 Publish UAT Test Results</w:t>
            </w:r>
          </w:p>
          <w:p w14:paraId="5490ABA3" w14:textId="56D438F4" w:rsidR="00C5516F" w:rsidRPr="00635C9B" w:rsidRDefault="00C5516F" w:rsidP="006741E7">
            <w:pPr>
              <w:pStyle w:val="TABLEBULLETNEW"/>
            </w:pPr>
            <w:r>
              <w:t xml:space="preserve">If no, proceed to process </w:t>
            </w:r>
            <w:r>
              <w:rPr>
                <w:i/>
              </w:rPr>
              <w:t>Step# 9.7 Triage and assign defects for resolution</w:t>
            </w:r>
          </w:p>
        </w:tc>
        <w:tc>
          <w:tcPr>
            <w:tcW w:w="1649" w:type="dxa"/>
          </w:tcPr>
          <w:p w14:paraId="4D157C75" w14:textId="77777777" w:rsidR="00C5516F" w:rsidRPr="008514D3" w:rsidRDefault="00C5516F" w:rsidP="006741E7">
            <w:pPr>
              <w:pStyle w:val="TABLEBULLETNEW"/>
            </w:pPr>
            <w:r>
              <w:t>Business Stakeholders</w:t>
            </w:r>
          </w:p>
        </w:tc>
        <w:tc>
          <w:tcPr>
            <w:tcW w:w="1705" w:type="dxa"/>
          </w:tcPr>
          <w:p w14:paraId="4C547217" w14:textId="77777777" w:rsidR="00C5516F" w:rsidRPr="008514D3" w:rsidRDefault="00C5516F" w:rsidP="006741E7">
            <w:pPr>
              <w:pStyle w:val="TABLEBULLETNEW"/>
            </w:pPr>
            <w:r>
              <w:t>N/A</w:t>
            </w:r>
          </w:p>
        </w:tc>
        <w:tc>
          <w:tcPr>
            <w:tcW w:w="1800" w:type="dxa"/>
          </w:tcPr>
          <w:p w14:paraId="5EA9B12C" w14:textId="77777777" w:rsidR="00C5516F" w:rsidRPr="008514D3" w:rsidRDefault="00C5516F" w:rsidP="006741E7">
            <w:pPr>
              <w:pStyle w:val="TABLEBULLETNEW"/>
            </w:pPr>
            <w:r>
              <w:t>N/A</w:t>
            </w:r>
          </w:p>
        </w:tc>
      </w:tr>
      <w:tr w:rsidR="00C5516F" w:rsidRPr="00A21682" w14:paraId="297AA4A5" w14:textId="77777777" w:rsidTr="001B591C">
        <w:trPr>
          <w:trHeight w:val="300"/>
        </w:trPr>
        <w:tc>
          <w:tcPr>
            <w:tcW w:w="622" w:type="dxa"/>
          </w:tcPr>
          <w:p w14:paraId="0177CD76" w14:textId="03D42833" w:rsidR="00C5516F" w:rsidRPr="00A21682" w:rsidRDefault="0015353C" w:rsidP="00FF26E4">
            <w:pPr>
              <w:pStyle w:val="TABLETEXT1"/>
              <w:rPr>
                <w:lang w:val="en-US"/>
              </w:rPr>
            </w:pPr>
            <w:r>
              <w:rPr>
                <w:lang w:val="en-US"/>
              </w:rPr>
              <w:lastRenderedPageBreak/>
              <w:t>9.7</w:t>
            </w:r>
          </w:p>
        </w:tc>
        <w:tc>
          <w:tcPr>
            <w:tcW w:w="1506" w:type="dxa"/>
          </w:tcPr>
          <w:p w14:paraId="6C11DCFD" w14:textId="77777777" w:rsidR="00C5516F" w:rsidRPr="00A21682" w:rsidRDefault="00C5516F" w:rsidP="00FF26E4">
            <w:pPr>
              <w:pStyle w:val="TABLETEXT1"/>
              <w:rPr>
                <w:lang w:val="en-US"/>
              </w:rPr>
            </w:pPr>
            <w:r>
              <w:rPr>
                <w:lang w:val="en-US"/>
              </w:rPr>
              <w:t>Triage and assign defects for resolution</w:t>
            </w:r>
          </w:p>
        </w:tc>
        <w:tc>
          <w:tcPr>
            <w:tcW w:w="2070" w:type="dxa"/>
          </w:tcPr>
          <w:p w14:paraId="0457CDCD" w14:textId="6D16F230" w:rsidR="00C5516F" w:rsidRPr="006741E7" w:rsidRDefault="00C5516F" w:rsidP="006741E7">
            <w:pPr>
              <w:pStyle w:val="TABLETEXT1"/>
              <w:rPr>
                <w:lang w:val="en-US"/>
              </w:rPr>
            </w:pPr>
            <w:r>
              <w:rPr>
                <w:lang w:val="en-US"/>
              </w:rPr>
              <w:t>Assign observations that impact end-to-end use of the production system to Functional and Development teams to be mitigated. Document the severity, priority and the estimated fix dates for defects</w:t>
            </w:r>
          </w:p>
        </w:tc>
        <w:tc>
          <w:tcPr>
            <w:tcW w:w="1649" w:type="dxa"/>
          </w:tcPr>
          <w:p w14:paraId="377EE21A" w14:textId="77777777" w:rsidR="00C5516F" w:rsidRPr="00635C9B" w:rsidRDefault="00C5516F" w:rsidP="006741E7">
            <w:pPr>
              <w:pStyle w:val="TABLEBULLETNEW"/>
            </w:pPr>
            <w:r>
              <w:t>Functional Stakeholders</w:t>
            </w:r>
          </w:p>
        </w:tc>
        <w:tc>
          <w:tcPr>
            <w:tcW w:w="1705" w:type="dxa"/>
          </w:tcPr>
          <w:p w14:paraId="19B4D4DE" w14:textId="35131A53" w:rsidR="00C5516F" w:rsidRPr="00635C9B" w:rsidRDefault="00C5516F" w:rsidP="006741E7">
            <w:pPr>
              <w:pStyle w:val="TABLEBULLETNEW"/>
            </w:pPr>
            <w:r>
              <w:t>Updated System Defect Log with UAT results</w:t>
            </w:r>
          </w:p>
        </w:tc>
        <w:tc>
          <w:tcPr>
            <w:tcW w:w="1800" w:type="dxa"/>
          </w:tcPr>
          <w:p w14:paraId="4956FED2" w14:textId="024B186C" w:rsidR="00C5516F" w:rsidRPr="00635C9B" w:rsidRDefault="00C5516F" w:rsidP="006741E7">
            <w:pPr>
              <w:pStyle w:val="TABLEBULLETNEW"/>
            </w:pPr>
            <w:r>
              <w:t>Updated System Defect Log with resolution assignments</w:t>
            </w:r>
          </w:p>
        </w:tc>
      </w:tr>
      <w:tr w:rsidR="00C5516F" w:rsidRPr="00A21682" w14:paraId="55C6097D" w14:textId="77777777" w:rsidTr="001B591C">
        <w:trPr>
          <w:trHeight w:val="300"/>
        </w:trPr>
        <w:tc>
          <w:tcPr>
            <w:tcW w:w="622" w:type="dxa"/>
          </w:tcPr>
          <w:p w14:paraId="610B0610" w14:textId="15F4A547" w:rsidR="00C5516F" w:rsidRPr="00A21682" w:rsidRDefault="0015353C" w:rsidP="00FF26E4">
            <w:pPr>
              <w:pStyle w:val="TABLETEXT1"/>
              <w:rPr>
                <w:lang w:val="en-US"/>
              </w:rPr>
            </w:pPr>
            <w:r>
              <w:rPr>
                <w:lang w:val="en-US"/>
              </w:rPr>
              <w:t>9.8</w:t>
            </w:r>
          </w:p>
        </w:tc>
        <w:tc>
          <w:tcPr>
            <w:tcW w:w="1506" w:type="dxa"/>
          </w:tcPr>
          <w:p w14:paraId="7EF46F85" w14:textId="5C300FEE" w:rsidR="00C5516F" w:rsidRPr="00A21682" w:rsidRDefault="00C5516F" w:rsidP="00FF26E4">
            <w:pPr>
              <w:pStyle w:val="TABLETEXT1"/>
              <w:rPr>
                <w:lang w:val="en-US"/>
              </w:rPr>
            </w:pPr>
            <w:r>
              <w:rPr>
                <w:lang w:val="en-US"/>
              </w:rPr>
              <w:t>Remediate code defects and Regression tests</w:t>
            </w:r>
          </w:p>
        </w:tc>
        <w:tc>
          <w:tcPr>
            <w:tcW w:w="2070" w:type="dxa"/>
          </w:tcPr>
          <w:p w14:paraId="02674E1C" w14:textId="348D40E8" w:rsidR="00C5516F" w:rsidRPr="00635C9B" w:rsidRDefault="00C5516F" w:rsidP="006741E7">
            <w:pPr>
              <w:pStyle w:val="TABLEBULLETNEW"/>
            </w:pPr>
            <w:r>
              <w:t>Take corrective actions to fix the end-user issues</w:t>
            </w:r>
          </w:p>
          <w:p w14:paraId="502C4756" w14:textId="072E07C4" w:rsidR="00C5516F" w:rsidRPr="00635C9B" w:rsidRDefault="00C5516F" w:rsidP="006741E7">
            <w:pPr>
              <w:pStyle w:val="TABLEBULLETNEW"/>
            </w:pPr>
            <w:r>
              <w:t>Perform Regression tests on the remediated code</w:t>
            </w:r>
          </w:p>
        </w:tc>
        <w:tc>
          <w:tcPr>
            <w:tcW w:w="1649" w:type="dxa"/>
          </w:tcPr>
          <w:p w14:paraId="4DB98CCE" w14:textId="77777777" w:rsidR="00C5516F" w:rsidRPr="00635C9B" w:rsidRDefault="00C5516F" w:rsidP="006741E7">
            <w:pPr>
              <w:pStyle w:val="TABLEBULLETNEW"/>
            </w:pPr>
            <w:r>
              <w:t>Functional Stakeholders</w:t>
            </w:r>
          </w:p>
          <w:p w14:paraId="625B8E28" w14:textId="77777777" w:rsidR="00C5516F" w:rsidRPr="00635C9B" w:rsidRDefault="00C5516F" w:rsidP="006741E7">
            <w:pPr>
              <w:pStyle w:val="TABLEBULLETNEW"/>
            </w:pPr>
            <w:r>
              <w:t>Technical Stakeholders</w:t>
            </w:r>
          </w:p>
        </w:tc>
        <w:tc>
          <w:tcPr>
            <w:tcW w:w="1705" w:type="dxa"/>
          </w:tcPr>
          <w:p w14:paraId="6D696DC5" w14:textId="3D4F160B" w:rsidR="00C5516F" w:rsidRPr="00635C9B" w:rsidRDefault="00C5516F" w:rsidP="006741E7">
            <w:pPr>
              <w:pStyle w:val="TABLEBULLETNEW"/>
            </w:pPr>
            <w:r>
              <w:t>Updated System Defect Log with resolution assignments</w:t>
            </w:r>
          </w:p>
        </w:tc>
        <w:tc>
          <w:tcPr>
            <w:tcW w:w="1800" w:type="dxa"/>
          </w:tcPr>
          <w:p w14:paraId="00A50539" w14:textId="77777777" w:rsidR="00C5516F" w:rsidRPr="00635C9B" w:rsidRDefault="00C5516F" w:rsidP="006741E7">
            <w:pPr>
              <w:pStyle w:val="TABLEBULLETNEW"/>
            </w:pPr>
            <w:r>
              <w:t>Remediated code</w:t>
            </w:r>
          </w:p>
        </w:tc>
      </w:tr>
      <w:tr w:rsidR="00C5516F" w:rsidRPr="00A21682" w14:paraId="489957B9" w14:textId="77777777" w:rsidTr="001B591C">
        <w:trPr>
          <w:trHeight w:val="300"/>
        </w:trPr>
        <w:tc>
          <w:tcPr>
            <w:tcW w:w="622" w:type="dxa"/>
          </w:tcPr>
          <w:p w14:paraId="2966D994" w14:textId="1E0D72C0" w:rsidR="00C5516F" w:rsidRPr="00A21682" w:rsidRDefault="0015353C" w:rsidP="00FF26E4">
            <w:pPr>
              <w:pStyle w:val="TABLETEXT1"/>
              <w:rPr>
                <w:lang w:val="en-US"/>
              </w:rPr>
            </w:pPr>
            <w:r>
              <w:rPr>
                <w:lang w:val="en-US"/>
              </w:rPr>
              <w:t>9.9</w:t>
            </w:r>
          </w:p>
        </w:tc>
        <w:tc>
          <w:tcPr>
            <w:tcW w:w="1506" w:type="dxa"/>
          </w:tcPr>
          <w:p w14:paraId="69B5C78C" w14:textId="77777777" w:rsidR="00C5516F" w:rsidRPr="00A21682" w:rsidRDefault="00C5516F" w:rsidP="00FF26E4">
            <w:pPr>
              <w:pStyle w:val="TABLETEXT1"/>
              <w:rPr>
                <w:highlight w:val="yellow"/>
                <w:lang w:val="en-US"/>
              </w:rPr>
            </w:pPr>
            <w:r>
              <w:rPr>
                <w:lang w:val="en-US"/>
              </w:rPr>
              <w:t xml:space="preserve">Deploy remediated code to UAT environment </w:t>
            </w:r>
          </w:p>
        </w:tc>
        <w:tc>
          <w:tcPr>
            <w:tcW w:w="2070" w:type="dxa"/>
          </w:tcPr>
          <w:p w14:paraId="7DB53C51" w14:textId="67EB4188" w:rsidR="00C5516F" w:rsidRPr="00635C9B" w:rsidRDefault="00C5516F" w:rsidP="006741E7">
            <w:pPr>
              <w:pStyle w:val="TABLEBULLETNEW"/>
            </w:pPr>
            <w:r>
              <w:t>Perform Regression test in the remediated code</w:t>
            </w:r>
          </w:p>
          <w:p w14:paraId="2CD7F64C" w14:textId="0F6C2728" w:rsidR="00C5516F" w:rsidRPr="00635C9B" w:rsidRDefault="00C5516F" w:rsidP="006741E7">
            <w:pPr>
              <w:pStyle w:val="TABLEBULLETNEW"/>
            </w:pPr>
            <w:r>
              <w:t>Redeploy the remediated code to the UAT environment</w:t>
            </w:r>
          </w:p>
        </w:tc>
        <w:tc>
          <w:tcPr>
            <w:tcW w:w="1649" w:type="dxa"/>
          </w:tcPr>
          <w:p w14:paraId="741099A6" w14:textId="77777777" w:rsidR="00C5516F" w:rsidRPr="00635C9B" w:rsidRDefault="00C5516F" w:rsidP="006741E7">
            <w:pPr>
              <w:pStyle w:val="TABLEBULLETNEW"/>
            </w:pPr>
            <w:r>
              <w:t>Technical Stakeholders</w:t>
            </w:r>
          </w:p>
        </w:tc>
        <w:tc>
          <w:tcPr>
            <w:tcW w:w="1705" w:type="dxa"/>
          </w:tcPr>
          <w:p w14:paraId="3BE35F8E" w14:textId="77777777" w:rsidR="00C5516F" w:rsidRPr="00635C9B" w:rsidRDefault="00C5516F" w:rsidP="006741E7">
            <w:pPr>
              <w:pStyle w:val="TABLEBULLETNEW"/>
            </w:pPr>
            <w:r>
              <w:t>Remediated code</w:t>
            </w:r>
          </w:p>
        </w:tc>
        <w:tc>
          <w:tcPr>
            <w:tcW w:w="1800" w:type="dxa"/>
          </w:tcPr>
          <w:p w14:paraId="1CD593F1" w14:textId="77777777" w:rsidR="00C5516F" w:rsidRPr="00635C9B" w:rsidRDefault="00C5516F" w:rsidP="006741E7">
            <w:pPr>
              <w:pStyle w:val="TABLEBULLETNEW"/>
            </w:pPr>
            <w:r>
              <w:t>Remediated code deployed to UAT environment</w:t>
            </w:r>
          </w:p>
        </w:tc>
      </w:tr>
      <w:tr w:rsidR="00C5516F" w:rsidRPr="00A21682" w14:paraId="1D84E96E" w14:textId="77777777" w:rsidTr="001B591C">
        <w:trPr>
          <w:trHeight w:val="300"/>
        </w:trPr>
        <w:tc>
          <w:tcPr>
            <w:tcW w:w="622" w:type="dxa"/>
          </w:tcPr>
          <w:p w14:paraId="3DC71F83" w14:textId="04F7DF8F" w:rsidR="00C5516F" w:rsidRPr="00A21682" w:rsidRDefault="0015353C" w:rsidP="00FF26E4">
            <w:pPr>
              <w:pStyle w:val="TABLETEXT1"/>
              <w:rPr>
                <w:lang w:val="en-US"/>
              </w:rPr>
            </w:pPr>
            <w:r>
              <w:rPr>
                <w:lang w:val="en-US"/>
              </w:rPr>
              <w:t>9.10</w:t>
            </w:r>
          </w:p>
        </w:tc>
        <w:tc>
          <w:tcPr>
            <w:tcW w:w="1506" w:type="dxa"/>
          </w:tcPr>
          <w:p w14:paraId="1B10AD1F" w14:textId="77777777" w:rsidR="00C5516F" w:rsidRPr="00A21682" w:rsidRDefault="00C5516F" w:rsidP="00FF26E4">
            <w:pPr>
              <w:pStyle w:val="TABLETEXT1"/>
              <w:rPr>
                <w:lang w:val="en-US"/>
              </w:rPr>
            </w:pPr>
            <w:r>
              <w:rPr>
                <w:lang w:val="en-US"/>
              </w:rPr>
              <w:t>Re-execute failed test scripts</w:t>
            </w:r>
          </w:p>
        </w:tc>
        <w:tc>
          <w:tcPr>
            <w:tcW w:w="2070" w:type="dxa"/>
          </w:tcPr>
          <w:p w14:paraId="69CE5181" w14:textId="2B529CF0" w:rsidR="00C5516F" w:rsidRPr="00635C9B" w:rsidRDefault="00C5516F" w:rsidP="006741E7">
            <w:pPr>
              <w:pStyle w:val="TABLEBULLETNEW"/>
            </w:pPr>
            <w:r>
              <w:t>UAT testers re-test the remediated code against original test scripts for to validate functionality</w:t>
            </w:r>
          </w:p>
          <w:p w14:paraId="2B19BA80" w14:textId="3B3E0257" w:rsidR="00C5516F" w:rsidRPr="00635C9B" w:rsidRDefault="00C5516F" w:rsidP="006741E7">
            <w:pPr>
              <w:pStyle w:val="TABLEBULLETNEW"/>
            </w:pPr>
            <w:r>
              <w:t>Document the test execution results. Update the statuses of the test cases and the defects based on the outcome of the re-execution</w:t>
            </w:r>
          </w:p>
        </w:tc>
        <w:tc>
          <w:tcPr>
            <w:tcW w:w="1649" w:type="dxa"/>
          </w:tcPr>
          <w:p w14:paraId="151484EA" w14:textId="77777777" w:rsidR="00C5516F" w:rsidRPr="00635C9B" w:rsidRDefault="00C5516F" w:rsidP="006741E7">
            <w:pPr>
              <w:pStyle w:val="TABLEBULLETNEW"/>
            </w:pPr>
            <w:r>
              <w:t>Business Stakeholders</w:t>
            </w:r>
          </w:p>
        </w:tc>
        <w:tc>
          <w:tcPr>
            <w:tcW w:w="1705" w:type="dxa"/>
          </w:tcPr>
          <w:p w14:paraId="4F3BB244" w14:textId="182C3F07" w:rsidR="00C5516F" w:rsidRPr="00635C9B" w:rsidRDefault="00C5516F" w:rsidP="006741E7">
            <w:pPr>
              <w:pStyle w:val="TABLEBULLETNEW"/>
            </w:pPr>
            <w:r>
              <w:t>UAT test scripts</w:t>
            </w:r>
          </w:p>
          <w:p w14:paraId="4032A974" w14:textId="34482015" w:rsidR="00C5516F" w:rsidRPr="00635C9B" w:rsidRDefault="00C5516F" w:rsidP="006741E7">
            <w:pPr>
              <w:pStyle w:val="TABLEBULLETNEW"/>
            </w:pPr>
            <w:r>
              <w:t>Test Management Plan (DEL-09)</w:t>
            </w:r>
          </w:p>
          <w:p w14:paraId="56EEB531" w14:textId="27503278" w:rsidR="00C5516F" w:rsidRPr="00635C9B" w:rsidRDefault="00C5516F" w:rsidP="006741E7">
            <w:pPr>
              <w:pStyle w:val="TABLEBULLETNEW"/>
            </w:pPr>
            <w:r>
              <w:t>UAT test results</w:t>
            </w:r>
          </w:p>
        </w:tc>
        <w:tc>
          <w:tcPr>
            <w:tcW w:w="1800" w:type="dxa"/>
          </w:tcPr>
          <w:p w14:paraId="1EA9FC62" w14:textId="77777777" w:rsidR="00C5516F" w:rsidRPr="00635C9B" w:rsidRDefault="00C5516F" w:rsidP="006741E7">
            <w:pPr>
              <w:pStyle w:val="TABLEBULLETNEW"/>
            </w:pPr>
            <w:r>
              <w:t>Updated UAT results</w:t>
            </w:r>
          </w:p>
          <w:p w14:paraId="7A43FE6F" w14:textId="1A97EDF9" w:rsidR="00C5516F" w:rsidRPr="00635C9B" w:rsidRDefault="00C5516F" w:rsidP="006741E7">
            <w:pPr>
              <w:pStyle w:val="TABLEBULLETNEW"/>
            </w:pPr>
            <w:r>
              <w:t>Updated System Defect Log with UAT results</w:t>
            </w:r>
          </w:p>
        </w:tc>
      </w:tr>
      <w:tr w:rsidR="00C5516F" w:rsidRPr="00A21682" w14:paraId="2F362BE9" w14:textId="77777777" w:rsidTr="001B591C">
        <w:trPr>
          <w:trHeight w:val="300"/>
        </w:trPr>
        <w:tc>
          <w:tcPr>
            <w:tcW w:w="622" w:type="dxa"/>
          </w:tcPr>
          <w:p w14:paraId="0EFBD33E" w14:textId="51911B6F" w:rsidR="00C5516F" w:rsidRPr="00A21682" w:rsidRDefault="0015353C" w:rsidP="00FF26E4">
            <w:pPr>
              <w:pStyle w:val="TABLETEXT1"/>
              <w:rPr>
                <w:lang w:val="en-US"/>
              </w:rPr>
            </w:pPr>
            <w:r>
              <w:rPr>
                <w:lang w:val="en-US"/>
              </w:rPr>
              <w:lastRenderedPageBreak/>
              <w:t>9.11</w:t>
            </w:r>
          </w:p>
        </w:tc>
        <w:tc>
          <w:tcPr>
            <w:tcW w:w="1506" w:type="dxa"/>
          </w:tcPr>
          <w:p w14:paraId="6DE3A06D" w14:textId="77777777" w:rsidR="00C5516F" w:rsidRPr="00A21682" w:rsidRDefault="00C5516F" w:rsidP="00FF26E4">
            <w:pPr>
              <w:pStyle w:val="TABLETEXT1"/>
              <w:rPr>
                <w:lang w:val="en-US"/>
              </w:rPr>
            </w:pPr>
            <w:r>
              <w:rPr>
                <w:lang w:val="en-US"/>
              </w:rPr>
              <w:t>Publish UAT Test Results</w:t>
            </w:r>
          </w:p>
        </w:tc>
        <w:tc>
          <w:tcPr>
            <w:tcW w:w="2070" w:type="dxa"/>
          </w:tcPr>
          <w:p w14:paraId="508E6A8F" w14:textId="4028D80D" w:rsidR="00C5516F" w:rsidRPr="006741E7" w:rsidRDefault="00C5516F" w:rsidP="006741E7">
            <w:pPr>
              <w:pStyle w:val="TABLETEXT1"/>
              <w:rPr>
                <w:lang w:val="en-US"/>
              </w:rPr>
            </w:pPr>
            <w:r>
              <w:rPr>
                <w:lang w:val="en-US"/>
              </w:rPr>
              <w:t>Socialize UAT results with appropriate stakeholders</w:t>
            </w:r>
          </w:p>
        </w:tc>
        <w:tc>
          <w:tcPr>
            <w:tcW w:w="1649" w:type="dxa"/>
          </w:tcPr>
          <w:p w14:paraId="029ADE9F" w14:textId="77777777" w:rsidR="00C5516F" w:rsidRPr="00635C9B" w:rsidRDefault="00C5516F" w:rsidP="006741E7">
            <w:pPr>
              <w:pStyle w:val="TABLEBULLETNEW"/>
            </w:pPr>
            <w:r>
              <w:t>Business Stakeholders</w:t>
            </w:r>
          </w:p>
        </w:tc>
        <w:tc>
          <w:tcPr>
            <w:tcW w:w="1705" w:type="dxa"/>
          </w:tcPr>
          <w:p w14:paraId="0A5B381B" w14:textId="77777777" w:rsidR="00C5516F" w:rsidRPr="00635C9B" w:rsidRDefault="00C5516F" w:rsidP="006741E7">
            <w:pPr>
              <w:pStyle w:val="TABLEBULLETNEW"/>
            </w:pPr>
            <w:r>
              <w:t>Updated UAT results</w:t>
            </w:r>
          </w:p>
        </w:tc>
        <w:tc>
          <w:tcPr>
            <w:tcW w:w="1800" w:type="dxa"/>
          </w:tcPr>
          <w:p w14:paraId="68841C14" w14:textId="7936FEDD" w:rsidR="00C5516F" w:rsidRPr="00635C9B" w:rsidRDefault="00C5516F" w:rsidP="006741E7">
            <w:pPr>
              <w:pStyle w:val="TABLEBULLETNEW"/>
            </w:pPr>
            <w:r>
              <w:t>UAT summary</w:t>
            </w:r>
          </w:p>
        </w:tc>
      </w:tr>
    </w:tbl>
    <w:p w14:paraId="4C3F4F7A" w14:textId="1D777D49" w:rsidR="00C5516F" w:rsidRPr="00A21682" w:rsidRDefault="00C5516F" w:rsidP="005911DA">
      <w:pPr>
        <w:pStyle w:val="Caption"/>
        <w:rPr>
          <w:noProof w:val="0"/>
        </w:rPr>
      </w:pPr>
      <w:bookmarkStart w:id="694" w:name="_Toc150951887"/>
      <w:bookmarkStart w:id="695" w:name="_Toc192875120"/>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35</w:t>
      </w:r>
      <w:r>
        <w:rPr>
          <w:noProof w:val="0"/>
        </w:rPr>
        <w:fldChar w:fldCharType="end"/>
      </w:r>
      <w:r>
        <w:rPr>
          <w:noProof w:val="0"/>
        </w:rPr>
        <w:t>: User Acceptance Test (UAT) Phase Process Flow Narrative</w:t>
      </w:r>
      <w:bookmarkEnd w:id="694"/>
      <w:bookmarkEnd w:id="695"/>
    </w:p>
    <w:p w14:paraId="33D8E040" w14:textId="77777777" w:rsidR="00C5516F" w:rsidRPr="00A21682" w:rsidRDefault="00C5516F">
      <w:pPr>
        <w:pStyle w:val="Heading3"/>
        <w:rPr>
          <w:bCs/>
          <w:u w:color="000000"/>
        </w:rPr>
      </w:pPr>
      <w:bookmarkStart w:id="696" w:name="_Toc148102367"/>
      <w:bookmarkStart w:id="697" w:name="_Toc152605851"/>
      <w:bookmarkStart w:id="698" w:name="_Toc177118998"/>
      <w:bookmarkStart w:id="699" w:name="_Toc185952555"/>
      <w:bookmarkStart w:id="700" w:name="_Toc192874731"/>
      <w:r>
        <w:rPr>
          <w:u w:color="000000"/>
        </w:rPr>
        <w:t>Roles and Responsibilities</w:t>
      </w:r>
      <w:bookmarkEnd w:id="696"/>
      <w:bookmarkEnd w:id="697"/>
      <w:bookmarkEnd w:id="698"/>
      <w:bookmarkEnd w:id="699"/>
      <w:bookmarkEnd w:id="700"/>
    </w:p>
    <w:p w14:paraId="5144E40D" w14:textId="77777777" w:rsidR="009C4682" w:rsidRPr="00A21682" w:rsidRDefault="009C4682" w:rsidP="009C4682">
      <w:pPr>
        <w:pStyle w:val="NormalNEW"/>
        <w:rPr>
          <w:u w:color="000000"/>
          <w:lang w:val="en-US"/>
        </w:rPr>
      </w:pPr>
      <w:bookmarkStart w:id="701" w:name="_Toc148102368"/>
      <w:bookmarkStart w:id="702" w:name="_Toc152605852"/>
      <w:r>
        <w:rPr>
          <w:u w:color="000000"/>
          <w:lang w:val="en-US"/>
        </w:rPr>
        <w:t xml:space="preserve">The SDLC RACI Matrix and roles and responsibilities can be found in Appendix C-1. </w:t>
      </w:r>
    </w:p>
    <w:p w14:paraId="18BA56C9" w14:textId="447AA824" w:rsidR="00C5516F" w:rsidRPr="00A21682" w:rsidRDefault="00C5516F">
      <w:pPr>
        <w:pStyle w:val="Heading3"/>
        <w:rPr>
          <w:u w:color="000000"/>
        </w:rPr>
      </w:pPr>
      <w:bookmarkStart w:id="703" w:name="_Toc177118999"/>
      <w:bookmarkStart w:id="704" w:name="_Toc185952556"/>
      <w:bookmarkStart w:id="705" w:name="_Toc192874732"/>
      <w:r>
        <w:rPr>
          <w:u w:color="000000"/>
        </w:rPr>
        <w:t>Phase Exit Criteria</w:t>
      </w:r>
      <w:bookmarkEnd w:id="701"/>
      <w:bookmarkEnd w:id="702"/>
      <w:bookmarkEnd w:id="703"/>
      <w:bookmarkEnd w:id="704"/>
      <w:bookmarkEnd w:id="705"/>
    </w:p>
    <w:p w14:paraId="7B7D401B" w14:textId="66820CB6" w:rsidR="00C5516F" w:rsidRPr="00A21682" w:rsidRDefault="00C5516F" w:rsidP="00F70B45">
      <w:pPr>
        <w:pStyle w:val="NormalNEW"/>
        <w:rPr>
          <w:u w:color="000000"/>
          <w:lang w:val="en-US"/>
        </w:rPr>
      </w:pPr>
      <w:r>
        <w:rPr>
          <w:u w:color="000000"/>
          <w:lang w:val="en-US"/>
        </w:rPr>
        <w:t xml:space="preserve">The UAT phase exit criteria will serve as the final steps before proceeding into the Rollout phase. To facilitate a structured and collaborative approach to this key phase gate, the ███████ team schedules several meetings for effective communication, decision-making, and to gain concurrence from DOH OHIP Leadership. </w:t>
      </w:r>
    </w:p>
    <w:p w14:paraId="2539454A" w14:textId="5714DA51" w:rsidR="00C5516F" w:rsidRPr="00A21682" w:rsidRDefault="00C5516F" w:rsidP="00953946">
      <w:pPr>
        <w:pStyle w:val="NumberedListMainBody"/>
        <w:numPr>
          <w:ilvl w:val="0"/>
          <w:numId w:val="39"/>
        </w:numPr>
        <w:ind w:left="360"/>
        <w:rPr>
          <w:u w:color="000000"/>
          <w:lang w:val="en-US"/>
        </w:rPr>
      </w:pPr>
      <w:r>
        <w:rPr>
          <w:u w:color="000000"/>
          <w:lang w:val="en-US"/>
        </w:rPr>
        <w:t>The first meeting, scheduled at least two weeks before the planned completion of the UAT phase, serves as an orientation. During this session, the focus will be on familiarizing DOH OHIP leadership with the relevant checklist(s) associated with the phase gate and reviewing the current status of checklist completion.</w:t>
      </w:r>
    </w:p>
    <w:p w14:paraId="586F4404" w14:textId="77777777" w:rsidR="000F1869" w:rsidRPr="00A21682" w:rsidRDefault="00C5516F" w:rsidP="00953946">
      <w:pPr>
        <w:pStyle w:val="NumberedListMainBody"/>
        <w:numPr>
          <w:ilvl w:val="0"/>
          <w:numId w:val="39"/>
        </w:numPr>
        <w:ind w:left="360"/>
        <w:rPr>
          <w:u w:color="000000"/>
          <w:lang w:val="en-US"/>
        </w:rPr>
      </w:pPr>
      <w:r>
        <w:rPr>
          <w:u w:color="000000"/>
          <w:lang w:val="en-US"/>
        </w:rPr>
        <w:t>The second meeting, scheduled at least one week before the planned completion of the UAT phase, is dedicated to concurrence. Here, stakeholders, including DOH OHIP leadership, will engage in discussions to collectively agree on the go/no-go decision for transitioning into the subsequent phase and advancing the Wave workflow in the ALM tool.</w:t>
      </w:r>
    </w:p>
    <w:p w14:paraId="320EEC55" w14:textId="1CF0AED1" w:rsidR="000F1869" w:rsidRPr="00A21682" w:rsidRDefault="000F1869" w:rsidP="00F73D43">
      <w:pPr>
        <w:pStyle w:val="NumberedListMainBody"/>
        <w:numPr>
          <w:ilvl w:val="1"/>
          <w:numId w:val="15"/>
        </w:numPr>
        <w:ind w:left="1080"/>
        <w:rPr>
          <w:u w:color="000000"/>
          <w:lang w:val="en-US"/>
        </w:rPr>
      </w:pPr>
      <w:r>
        <w:rPr>
          <w:u w:color="000000"/>
          <w:lang w:val="en-US"/>
        </w:rPr>
        <w:t>During this meeting, two key decisions will be made and documented:</w:t>
      </w:r>
    </w:p>
    <w:p w14:paraId="018D447C" w14:textId="77777777" w:rsidR="000F1869" w:rsidRPr="00A21682" w:rsidRDefault="000F1869" w:rsidP="00F73D43">
      <w:pPr>
        <w:pStyle w:val="NumberedListMainBody"/>
        <w:numPr>
          <w:ilvl w:val="2"/>
          <w:numId w:val="15"/>
        </w:numPr>
        <w:ind w:left="1620"/>
        <w:rPr>
          <w:u w:color="000000"/>
          <w:lang w:val="en-US"/>
        </w:rPr>
      </w:pPr>
      <w:r>
        <w:rPr>
          <w:u w:color="000000"/>
          <w:lang w:val="en-US"/>
        </w:rPr>
        <w:t>Completion of the UAT entry criteria</w:t>
      </w:r>
    </w:p>
    <w:p w14:paraId="15B0D655" w14:textId="239D22DB" w:rsidR="000F1869" w:rsidRPr="00A21682" w:rsidRDefault="000F1869" w:rsidP="00F73D43">
      <w:pPr>
        <w:pStyle w:val="NumberedListMainBody"/>
        <w:numPr>
          <w:ilvl w:val="2"/>
          <w:numId w:val="15"/>
        </w:numPr>
        <w:ind w:left="1620"/>
        <w:rPr>
          <w:u w:color="000000"/>
          <w:lang w:val="en-US"/>
        </w:rPr>
      </w:pPr>
      <w:r>
        <w:rPr>
          <w:u w:color="000000"/>
          <w:lang w:val="en-US"/>
        </w:rPr>
        <w:t>Creation of a decision signifying the commencement of the UAT phase exit</w:t>
      </w:r>
    </w:p>
    <w:p w14:paraId="7BF0188F" w14:textId="44007FBD" w:rsidR="00C5516F" w:rsidRPr="00A21682" w:rsidRDefault="000F1869" w:rsidP="00953946">
      <w:pPr>
        <w:pStyle w:val="NumberedListMainBody"/>
        <w:numPr>
          <w:ilvl w:val="0"/>
          <w:numId w:val="39"/>
        </w:numPr>
        <w:ind w:left="360"/>
        <w:rPr>
          <w:u w:color="000000"/>
          <w:lang w:val="en-US"/>
        </w:rPr>
      </w:pPr>
      <w:r>
        <w:rPr>
          <w:u w:color="000000"/>
          <w:lang w:val="en-US"/>
        </w:rPr>
        <w:t>As a contingency measure, a third meeting may be scheduled at least two business days before the planned completion of the UAT phase. This meeting, only convened if necessary, aims to address any outstanding items and obtain concurrence before entering the next phase.</w:t>
      </w:r>
    </w:p>
    <w:p w14:paraId="0B40620F" w14:textId="4650861A" w:rsidR="00C5516F" w:rsidRPr="00A21682" w:rsidRDefault="00C5516F" w:rsidP="00F70B45">
      <w:pPr>
        <w:pStyle w:val="NormalNEW"/>
        <w:rPr>
          <w:u w:color="000000"/>
          <w:lang w:val="en-US"/>
        </w:rPr>
      </w:pPr>
      <w:r>
        <w:rPr>
          <w:u w:color="000000"/>
          <w:lang w:val="en-US"/>
        </w:rPr>
        <w:t>Additionally, specific checklists applicable to this key phase gate will be established. The Change Management Plan will provide the Operational Readiness Checklist and the MECM System Rollout Plan will provide the Tech Readiness Checklist; both documents will be complemented by a broader checklist encompassing Yes/No items across the entire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3AACDA8D" w14:textId="77777777" w:rsidTr="00C968EF">
        <w:trPr>
          <w:trHeight w:val="300"/>
        </w:trPr>
        <w:tc>
          <w:tcPr>
            <w:tcW w:w="481" w:type="dxa"/>
            <w:tcBorders>
              <w:right w:val="single" w:sz="2" w:space="0" w:color="FFFFFF" w:themeColor="background1"/>
            </w:tcBorders>
            <w:shd w:val="clear" w:color="auto" w:fill="000000"/>
            <w:hideMark/>
          </w:tcPr>
          <w:p w14:paraId="7565AF62" w14:textId="77777777" w:rsidR="00C5516F" w:rsidRPr="00A21682" w:rsidRDefault="00C5516F" w:rsidP="00FF26E4">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59064580" w14:textId="77777777" w:rsidR="00C5516F" w:rsidRPr="00A21682" w:rsidRDefault="00C5516F" w:rsidP="00FF26E4">
            <w:pPr>
              <w:pStyle w:val="TABLEHEADINGNEW"/>
            </w:pPr>
            <w:r>
              <w:t>Exit Criteria</w:t>
            </w:r>
          </w:p>
        </w:tc>
        <w:tc>
          <w:tcPr>
            <w:tcW w:w="4300" w:type="dxa"/>
            <w:tcBorders>
              <w:left w:val="single" w:sz="2" w:space="0" w:color="FFFFFF" w:themeColor="background1"/>
            </w:tcBorders>
            <w:shd w:val="clear" w:color="auto" w:fill="000000"/>
          </w:tcPr>
          <w:p w14:paraId="60A525ED" w14:textId="77777777" w:rsidR="00C5516F" w:rsidRPr="00A21682" w:rsidRDefault="00C5516F" w:rsidP="00FF26E4">
            <w:pPr>
              <w:pStyle w:val="TABLEHEADINGNEW"/>
            </w:pPr>
            <w:r>
              <w:t>Related Document(s)/Artifact(s)</w:t>
            </w:r>
          </w:p>
        </w:tc>
      </w:tr>
      <w:tr w:rsidR="00C5516F" w:rsidRPr="00A21682" w14:paraId="045A4BB2" w14:textId="77777777" w:rsidTr="00FF26E4">
        <w:trPr>
          <w:trHeight w:val="300"/>
        </w:trPr>
        <w:tc>
          <w:tcPr>
            <w:tcW w:w="481" w:type="dxa"/>
            <w:hideMark/>
          </w:tcPr>
          <w:p w14:paraId="14492AD1" w14:textId="77777777" w:rsidR="00C5516F" w:rsidRPr="00A21682" w:rsidRDefault="00C5516F" w:rsidP="00FF26E4">
            <w:pPr>
              <w:pStyle w:val="TABLETEXT1"/>
              <w:rPr>
                <w:lang w:val="en-US"/>
              </w:rPr>
            </w:pPr>
            <w:r>
              <w:rPr>
                <w:lang w:val="en-US"/>
              </w:rPr>
              <w:t>1 </w:t>
            </w:r>
          </w:p>
        </w:tc>
        <w:tc>
          <w:tcPr>
            <w:tcW w:w="4563" w:type="dxa"/>
          </w:tcPr>
          <w:p w14:paraId="55FC545D" w14:textId="1C281497" w:rsidR="00C5516F" w:rsidRPr="00A21682" w:rsidRDefault="00C5516F" w:rsidP="00FF26E4">
            <w:pPr>
              <w:pStyle w:val="TABLETEXT1"/>
              <w:rPr>
                <w:lang w:val="en-US"/>
              </w:rPr>
            </w:pPr>
            <w:r>
              <w:rPr>
                <w:lang w:val="en-US"/>
              </w:rPr>
              <w:t>UAT test results have met the acceptance criteria defined in the Test Management Plan</w:t>
            </w:r>
          </w:p>
        </w:tc>
        <w:tc>
          <w:tcPr>
            <w:tcW w:w="4300" w:type="dxa"/>
          </w:tcPr>
          <w:p w14:paraId="4C3D55B7" w14:textId="7F3B664E" w:rsidR="00C5516F" w:rsidRPr="00291CD3" w:rsidRDefault="00C5516F" w:rsidP="006741E7">
            <w:pPr>
              <w:pStyle w:val="TABLEBULLETNEW"/>
            </w:pPr>
            <w:r>
              <w:t>Test Management Plan (DEL-09)</w:t>
            </w:r>
          </w:p>
          <w:p w14:paraId="680E36D4" w14:textId="72F0D9B8" w:rsidR="00C5516F" w:rsidRPr="00291CD3" w:rsidRDefault="00C5516F" w:rsidP="006741E7">
            <w:pPr>
              <w:pStyle w:val="TABLEBULLETNEW"/>
            </w:pPr>
            <w:r>
              <w:t>UAT summary</w:t>
            </w:r>
          </w:p>
        </w:tc>
      </w:tr>
      <w:tr w:rsidR="00C5516F" w:rsidRPr="00A21682" w14:paraId="2DC2AD8E" w14:textId="77777777" w:rsidTr="00FF26E4">
        <w:trPr>
          <w:trHeight w:val="300"/>
        </w:trPr>
        <w:tc>
          <w:tcPr>
            <w:tcW w:w="481" w:type="dxa"/>
          </w:tcPr>
          <w:p w14:paraId="171695A0" w14:textId="77777777" w:rsidR="00C5516F" w:rsidRPr="00A21682" w:rsidRDefault="00C5516F" w:rsidP="00FF26E4">
            <w:pPr>
              <w:pStyle w:val="TABLETEXT1"/>
              <w:rPr>
                <w:lang w:val="en-US"/>
              </w:rPr>
            </w:pPr>
            <w:r>
              <w:rPr>
                <w:lang w:val="en-US"/>
              </w:rPr>
              <w:t>2</w:t>
            </w:r>
          </w:p>
        </w:tc>
        <w:tc>
          <w:tcPr>
            <w:tcW w:w="4563" w:type="dxa"/>
          </w:tcPr>
          <w:p w14:paraId="5876EA2C" w14:textId="7C3C3D93" w:rsidR="00C5516F" w:rsidRPr="00A21682" w:rsidRDefault="00C5516F" w:rsidP="00FF26E4">
            <w:pPr>
              <w:pStyle w:val="TABLETEXT1"/>
              <w:rPr>
                <w:lang w:val="en-US"/>
              </w:rPr>
            </w:pPr>
            <w:r>
              <w:rPr>
                <w:lang w:val="en-US"/>
              </w:rPr>
              <w:t>Test results reviewed and approved by State</w:t>
            </w:r>
          </w:p>
        </w:tc>
        <w:tc>
          <w:tcPr>
            <w:tcW w:w="4300" w:type="dxa"/>
          </w:tcPr>
          <w:p w14:paraId="65028C06" w14:textId="77777777" w:rsidR="00C5516F" w:rsidRPr="00291CD3" w:rsidRDefault="00C5516F" w:rsidP="006741E7">
            <w:pPr>
              <w:pStyle w:val="TABLEBULLETNEW"/>
            </w:pPr>
            <w:r>
              <w:t>Formal Go/No-Go Decision</w:t>
            </w:r>
          </w:p>
        </w:tc>
      </w:tr>
    </w:tbl>
    <w:p w14:paraId="2088DF3A" w14:textId="1294D754" w:rsidR="00C5516F" w:rsidRPr="00A21682" w:rsidRDefault="00C5516F" w:rsidP="005911DA">
      <w:pPr>
        <w:pStyle w:val="Caption"/>
        <w:rPr>
          <w:noProof w:val="0"/>
        </w:rPr>
      </w:pPr>
      <w:bookmarkStart w:id="706" w:name="_Toc150951888"/>
      <w:bookmarkStart w:id="707" w:name="_Toc192875121"/>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36</w:t>
      </w:r>
      <w:r>
        <w:rPr>
          <w:noProof w:val="0"/>
        </w:rPr>
        <w:fldChar w:fldCharType="end"/>
      </w:r>
      <w:r>
        <w:rPr>
          <w:noProof w:val="0"/>
        </w:rPr>
        <w:t>: User Acceptance Test (UAT) Phase Exit Criteria</w:t>
      </w:r>
      <w:bookmarkEnd w:id="706"/>
      <w:bookmarkEnd w:id="707"/>
    </w:p>
    <w:p w14:paraId="1CBE7F26" w14:textId="5942B7EA" w:rsidR="00C5516F" w:rsidRPr="00A21682" w:rsidRDefault="00C5516F">
      <w:pPr>
        <w:pStyle w:val="Heading3"/>
        <w:rPr>
          <w:u w:color="000000"/>
        </w:rPr>
      </w:pPr>
      <w:bookmarkStart w:id="708" w:name="_Toc148102369"/>
      <w:bookmarkStart w:id="709" w:name="_Toc152605853"/>
      <w:bookmarkStart w:id="710" w:name="_Toc177119000"/>
      <w:bookmarkStart w:id="711" w:name="_Toc185952557"/>
      <w:bookmarkStart w:id="712" w:name="_Toc192874733"/>
      <w:r>
        <w:rPr>
          <w:u w:color="000000"/>
        </w:rPr>
        <w:t xml:space="preserve">Supporting </w:t>
      </w:r>
      <w:r>
        <w:t>Application Lifecycle Management (</w:t>
      </w:r>
      <w:r>
        <w:rPr>
          <w:u w:color="000000"/>
        </w:rPr>
        <w:t>ALM) Tools</w:t>
      </w:r>
      <w:bookmarkEnd w:id="708"/>
      <w:bookmarkEnd w:id="709"/>
      <w:bookmarkEnd w:id="710"/>
      <w:bookmarkEnd w:id="711"/>
      <w:bookmarkEnd w:id="712"/>
    </w:p>
    <w:p w14:paraId="53208E20" w14:textId="3590F68A" w:rsidR="00C5516F" w:rsidRPr="00A21682" w:rsidRDefault="00C5516F" w:rsidP="00F70B45">
      <w:pPr>
        <w:pStyle w:val="NormalNEW"/>
        <w:rPr>
          <w:u w:color="000000"/>
          <w:lang w:val="en-US"/>
        </w:rPr>
      </w:pPr>
      <w:r>
        <w:rPr>
          <w:u w:color="000000"/>
          <w:lang w:val="en-US"/>
        </w:rPr>
        <w:t xml:space="preserve">In the UAT phase, the ALM tools assist in managing the UAT process by providing version control for test cases and scripts, automating test execution, and tracking and managing UAT issues and defects. </w:t>
      </w:r>
      <w:r>
        <w:rPr>
          <w:u w:color="000000"/>
          <w:lang w:val="en-US"/>
        </w:rPr>
        <w:lastRenderedPageBreak/>
        <w:t>ALM tools facilitate collaboration among UAT teams, maintain traceability between UAT activities and project requirements, and offer reporting and monitoring features to assess the readiness for end-user acceptance.</w:t>
      </w:r>
    </w:p>
    <w:p w14:paraId="4E28F8E0" w14:textId="6D1C9C6D" w:rsidR="00C5516F" w:rsidRPr="00A21682" w:rsidRDefault="00C5516F" w:rsidP="00F70B45">
      <w:pPr>
        <w:pStyle w:val="NormalNEW"/>
        <w:rPr>
          <w:u w:color="000000"/>
          <w:lang w:val="en-US"/>
        </w:rPr>
      </w:pPr>
      <w:r>
        <w:rPr>
          <w:u w:color="000000"/>
          <w:lang w:val="en-US"/>
        </w:rPr>
        <w:t>Below are the ALM tools and workflows that pertain to the UAT phase:</w:t>
      </w:r>
    </w:p>
    <w:p w14:paraId="14E094D3" w14:textId="0F56F812" w:rsidR="00C5516F" w:rsidRPr="00A21682" w:rsidRDefault="00C5516F" w:rsidP="0031550A">
      <w:pPr>
        <w:pStyle w:val="BulletNEW"/>
        <w:rPr>
          <w:u w:color="000000"/>
        </w:rPr>
      </w:pPr>
      <w:r>
        <w:rPr>
          <w:u w:color="000000"/>
        </w:rPr>
        <w:t>The artifact repository workflow (refer to Section 2.24 artifact repository)</w:t>
      </w:r>
    </w:p>
    <w:p w14:paraId="06BA2844" w14:textId="65B68006" w:rsidR="00C5516F" w:rsidRPr="00A21682" w:rsidRDefault="00C5516F" w:rsidP="0031550A">
      <w:pPr>
        <w:pStyle w:val="BulletNEW"/>
        <w:rPr>
          <w:u w:color="000000"/>
        </w:rPr>
      </w:pPr>
      <w:r>
        <w:rPr>
          <w:u w:color="000000"/>
        </w:rPr>
        <w:t>The build server workflow (refer to Section 2.23 the build server)</w:t>
      </w:r>
    </w:p>
    <w:p w14:paraId="2EA7625D" w14:textId="3FC7ABA5" w:rsidR="00C5516F" w:rsidRPr="00A21682" w:rsidRDefault="003C3D5B" w:rsidP="0031550A">
      <w:pPr>
        <w:pStyle w:val="BulletNEW"/>
        <w:rPr>
          <w:u w:color="000000"/>
        </w:rPr>
      </w:pPr>
      <w:r>
        <w:rPr>
          <w:u w:color="000000"/>
        </w:rPr>
        <w:t>The requirements management tool Requirements traceability workflow (refer to Section 2.34 the requirements management tool)</w:t>
      </w:r>
    </w:p>
    <w:p w14:paraId="66756353" w14:textId="2A2907F2" w:rsidR="00C5516F" w:rsidRPr="00A21682" w:rsidRDefault="00C5516F" w:rsidP="0031550A">
      <w:pPr>
        <w:pStyle w:val="BulletNEW"/>
        <w:rPr>
          <w:u w:color="000000"/>
        </w:rPr>
      </w:pPr>
      <w:r>
        <w:rPr>
          <w:u w:color="000000"/>
        </w:rPr>
        <w:t>Defect, Change Request, and Service Request workflows in the ALM tool (refer to Section 2.20 the ALM tool)</w:t>
      </w:r>
    </w:p>
    <w:p w14:paraId="40704350" w14:textId="36B1BEEC" w:rsidR="00C5516F" w:rsidRPr="00A21682" w:rsidRDefault="00C5516F" w:rsidP="0031550A">
      <w:pPr>
        <w:pStyle w:val="BulletNEW"/>
        <w:rPr>
          <w:u w:color="000000"/>
        </w:rPr>
      </w:pPr>
      <w:r>
        <w:rPr>
          <w:u w:color="000000"/>
        </w:rPr>
        <w:t xml:space="preserve">SharePoint (refer to Section 2.18 </w:t>
      </w:r>
      <w:r>
        <w:rPr>
          <w:u w:color="000000"/>
          <w:lang w:val="en-US"/>
        </w:rPr>
        <w:t xml:space="preserve">Continuing Medicaid Eligibility Modernization </w:t>
      </w:r>
      <w:r>
        <w:rPr>
          <w:u w:color="000000"/>
        </w:rPr>
        <w:t>SharePoint)</w:t>
      </w:r>
    </w:p>
    <w:p w14:paraId="2DD33DF0" w14:textId="3740D4B2" w:rsidR="00C5516F" w:rsidRPr="00A21682" w:rsidRDefault="00C5516F" w:rsidP="0031550A">
      <w:pPr>
        <w:pStyle w:val="BulletNEW"/>
        <w:rPr>
          <w:u w:color="000000"/>
        </w:rPr>
      </w:pPr>
      <w:r>
        <w:rPr>
          <w:u w:color="000000"/>
        </w:rPr>
        <w:t>Test Case and Test Run workflows in the test management tool (refer to Section 2.28 the test management tool)</w:t>
      </w:r>
    </w:p>
    <w:p w14:paraId="709587C6" w14:textId="77777777" w:rsidR="00C5516F" w:rsidRPr="00A21682" w:rsidRDefault="00C5516F">
      <w:pPr>
        <w:pStyle w:val="Heading2"/>
        <w:rPr>
          <w:u w:color="000000"/>
        </w:rPr>
      </w:pPr>
      <w:bookmarkStart w:id="713" w:name="_Toc148102379"/>
      <w:bookmarkStart w:id="714" w:name="_Toc152605863"/>
      <w:bookmarkStart w:id="715" w:name="_Toc177119001"/>
      <w:bookmarkStart w:id="716" w:name="_Toc185952558"/>
      <w:bookmarkStart w:id="717" w:name="_Toc192874734"/>
      <w:r>
        <w:rPr>
          <w:u w:color="000000"/>
        </w:rPr>
        <w:t>Rollout Phase</w:t>
      </w:r>
      <w:bookmarkEnd w:id="713"/>
      <w:bookmarkEnd w:id="714"/>
      <w:bookmarkEnd w:id="715"/>
      <w:bookmarkEnd w:id="716"/>
      <w:bookmarkEnd w:id="717"/>
    </w:p>
    <w:p w14:paraId="52EA1C90" w14:textId="77777777" w:rsidR="00C5516F" w:rsidRPr="00A21682" w:rsidRDefault="00C5516F">
      <w:pPr>
        <w:pStyle w:val="Heading3"/>
        <w:rPr>
          <w:bCs/>
          <w:u w:color="000000"/>
        </w:rPr>
      </w:pPr>
      <w:bookmarkStart w:id="718" w:name="_Toc143516927"/>
      <w:bookmarkStart w:id="719" w:name="_Toc147825326"/>
      <w:bookmarkStart w:id="720" w:name="_Toc147825491"/>
      <w:bookmarkStart w:id="721" w:name="_Toc148102380"/>
      <w:bookmarkStart w:id="722" w:name="_Toc148098482"/>
      <w:bookmarkStart w:id="723" w:name="_Toc149051854"/>
      <w:bookmarkStart w:id="724" w:name="_Toc152605675"/>
      <w:bookmarkStart w:id="725" w:name="_Toc152605864"/>
      <w:bookmarkStart w:id="726" w:name="_Toc148102381"/>
      <w:bookmarkStart w:id="727" w:name="_Toc152605865"/>
      <w:bookmarkStart w:id="728" w:name="_Toc177119002"/>
      <w:bookmarkStart w:id="729" w:name="_Toc185952559"/>
      <w:bookmarkStart w:id="730" w:name="_Toc192874735"/>
      <w:bookmarkEnd w:id="718"/>
      <w:bookmarkEnd w:id="719"/>
      <w:bookmarkEnd w:id="720"/>
      <w:bookmarkEnd w:id="721"/>
      <w:bookmarkEnd w:id="722"/>
      <w:bookmarkEnd w:id="723"/>
      <w:bookmarkEnd w:id="724"/>
      <w:bookmarkEnd w:id="725"/>
      <w:r>
        <w:rPr>
          <w:u w:color="000000"/>
        </w:rPr>
        <w:t>Phase Entry Criteria</w:t>
      </w:r>
      <w:bookmarkEnd w:id="726"/>
      <w:bookmarkEnd w:id="727"/>
      <w:bookmarkEnd w:id="728"/>
      <w:bookmarkEnd w:id="729"/>
      <w:bookmarkEnd w:id="730"/>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5776C18E" w14:textId="77777777" w:rsidTr="00C968EF">
        <w:trPr>
          <w:trHeight w:val="300"/>
        </w:trPr>
        <w:tc>
          <w:tcPr>
            <w:tcW w:w="481" w:type="dxa"/>
            <w:tcBorders>
              <w:right w:val="single" w:sz="2" w:space="0" w:color="FFFFFF" w:themeColor="background1"/>
            </w:tcBorders>
            <w:shd w:val="clear" w:color="auto" w:fill="000000"/>
            <w:hideMark/>
          </w:tcPr>
          <w:p w14:paraId="67DA7689" w14:textId="77777777" w:rsidR="00C5516F" w:rsidRPr="00A21682" w:rsidRDefault="00C5516F" w:rsidP="00047C4E">
            <w:pPr>
              <w:pStyle w:val="TABLEHEADINGNEW"/>
              <w:rPr>
                <w:rFonts w:ascii="Segoe UI" w:hAnsi="Segoe UI" w:cs="Segoe UI"/>
                <w:color w:val="000000"/>
                <w:szCs w:val="18"/>
                <w:u w:color="000000"/>
              </w:rPr>
            </w:pPr>
            <w:r>
              <w:rPr>
                <w:u w:color="000000"/>
              </w:rPr>
              <w:t>#</w:t>
            </w:r>
          </w:p>
        </w:tc>
        <w:tc>
          <w:tcPr>
            <w:tcW w:w="4563" w:type="dxa"/>
            <w:tcBorders>
              <w:left w:val="single" w:sz="2" w:space="0" w:color="FFFFFF" w:themeColor="background1"/>
              <w:right w:val="single" w:sz="2" w:space="0" w:color="FFFFFF" w:themeColor="background1"/>
            </w:tcBorders>
            <w:shd w:val="clear" w:color="auto" w:fill="000000"/>
            <w:hideMark/>
          </w:tcPr>
          <w:p w14:paraId="43025616" w14:textId="77777777" w:rsidR="00C5516F" w:rsidRPr="00A21682" w:rsidRDefault="00C5516F" w:rsidP="00047C4E">
            <w:pPr>
              <w:pStyle w:val="TABLEHEADINGNEW"/>
              <w:rPr>
                <w:rFonts w:ascii="Segoe UI" w:hAnsi="Segoe UI" w:cs="Segoe UI"/>
                <w:color w:val="000000"/>
                <w:szCs w:val="18"/>
                <w:u w:color="000000"/>
              </w:rPr>
            </w:pPr>
            <w:r>
              <w:rPr>
                <w:u w:color="000000"/>
              </w:rPr>
              <w:t>Entry Criteria</w:t>
            </w:r>
          </w:p>
        </w:tc>
        <w:tc>
          <w:tcPr>
            <w:tcW w:w="4300" w:type="dxa"/>
            <w:tcBorders>
              <w:left w:val="single" w:sz="2" w:space="0" w:color="FFFFFF" w:themeColor="background1"/>
            </w:tcBorders>
            <w:shd w:val="clear" w:color="auto" w:fill="000000"/>
          </w:tcPr>
          <w:p w14:paraId="4BAD6E8C" w14:textId="77777777" w:rsidR="00C5516F" w:rsidRPr="00A21682" w:rsidRDefault="00C5516F" w:rsidP="00047C4E">
            <w:pPr>
              <w:pStyle w:val="TABLEHEADINGNEW"/>
              <w:rPr>
                <w:u w:color="000000"/>
              </w:rPr>
            </w:pPr>
            <w:r>
              <w:rPr>
                <w:u w:color="000000"/>
              </w:rPr>
              <w:t>Related Document(s)/Artifact(s)</w:t>
            </w:r>
          </w:p>
        </w:tc>
      </w:tr>
      <w:tr w:rsidR="00C5516F" w:rsidRPr="00A21682" w14:paraId="231743D2" w14:textId="77777777" w:rsidTr="00047C4E">
        <w:trPr>
          <w:trHeight w:val="300"/>
        </w:trPr>
        <w:tc>
          <w:tcPr>
            <w:tcW w:w="481" w:type="dxa"/>
          </w:tcPr>
          <w:p w14:paraId="01EC567B" w14:textId="77777777" w:rsidR="00C5516F" w:rsidRPr="00A21682" w:rsidRDefault="00C5516F" w:rsidP="00047C4E">
            <w:pPr>
              <w:pStyle w:val="TABLETEXT1"/>
              <w:rPr>
                <w:u w:color="000000"/>
                <w:lang w:val="en-US"/>
              </w:rPr>
            </w:pPr>
            <w:r>
              <w:rPr>
                <w:u w:color="000000"/>
                <w:lang w:val="en-US"/>
              </w:rPr>
              <w:t>1</w:t>
            </w:r>
          </w:p>
        </w:tc>
        <w:tc>
          <w:tcPr>
            <w:tcW w:w="4563" w:type="dxa"/>
          </w:tcPr>
          <w:p w14:paraId="62BE63C1" w14:textId="01AEB7DE" w:rsidR="00C5516F" w:rsidRPr="00A21682" w:rsidRDefault="00C5516F" w:rsidP="00047C4E">
            <w:pPr>
              <w:pStyle w:val="TABLETEXT1"/>
              <w:rPr>
                <w:u w:color="000000"/>
                <w:lang w:val="en-US"/>
              </w:rPr>
            </w:pPr>
            <w:r>
              <w:rPr>
                <w:u w:color="000000"/>
                <w:lang w:val="en-US"/>
              </w:rPr>
              <w:t>MECM System Rollout Plan (DEL-13) has been reviewed and approved, including plans for rollout supports (for example, site support and Tier 2 support)</w:t>
            </w:r>
          </w:p>
        </w:tc>
        <w:tc>
          <w:tcPr>
            <w:tcW w:w="4300" w:type="dxa"/>
          </w:tcPr>
          <w:p w14:paraId="3D05D05D" w14:textId="3F26AD1B" w:rsidR="00C5516F" w:rsidRPr="00635C9B" w:rsidRDefault="00C5516F" w:rsidP="001A67BC">
            <w:pPr>
              <w:pStyle w:val="TABLEBULLETNEW"/>
            </w:pPr>
            <w:r>
              <w:t>MECM System Rollout Plan (DEL-13)</w:t>
            </w:r>
          </w:p>
        </w:tc>
      </w:tr>
    </w:tbl>
    <w:p w14:paraId="4E91A66E" w14:textId="6A44AD2B" w:rsidR="00C5516F" w:rsidRPr="00A21682" w:rsidRDefault="00C5516F" w:rsidP="005911DA">
      <w:pPr>
        <w:pStyle w:val="Caption"/>
        <w:rPr>
          <w:noProof w:val="0"/>
        </w:rPr>
      </w:pPr>
      <w:bookmarkStart w:id="731" w:name="_Toc150951892"/>
      <w:bookmarkStart w:id="732" w:name="_Toc192875122"/>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37</w:t>
      </w:r>
      <w:r>
        <w:rPr>
          <w:noProof w:val="0"/>
        </w:rPr>
        <w:fldChar w:fldCharType="end"/>
      </w:r>
      <w:r>
        <w:rPr>
          <w:noProof w:val="0"/>
        </w:rPr>
        <w:t>: Rollout Phase Entry Criteria</w:t>
      </w:r>
      <w:bookmarkEnd w:id="731"/>
      <w:bookmarkEnd w:id="732"/>
    </w:p>
    <w:p w14:paraId="44AAAD51" w14:textId="77777777" w:rsidR="00C5516F" w:rsidRPr="00A21682" w:rsidRDefault="00C5516F" w:rsidP="00C5516F">
      <w:pPr>
        <w:jc w:val="both"/>
        <w:rPr>
          <w:rFonts w:ascii="Arial" w:eastAsia="Times New Roman" w:hAnsi="Arial" w:cs="Times New Roman"/>
          <w:b/>
          <w:bCs/>
          <w:color w:val="000000"/>
          <w:sz w:val="20"/>
          <w:szCs w:val="20"/>
          <w:u w:color="000000"/>
        </w:rPr>
      </w:pPr>
    </w:p>
    <w:p w14:paraId="62C7D0B8" w14:textId="77777777" w:rsidR="00C5516F" w:rsidRPr="00A21682" w:rsidRDefault="00C5516F" w:rsidP="00C5516F">
      <w:pPr>
        <w:rPr>
          <w:rFonts w:ascii="Arial" w:eastAsia="MS Gothic" w:hAnsi="Arial" w:cs="Times New Roman"/>
          <w:b/>
          <w:color w:val="000000"/>
          <w:sz w:val="20"/>
          <w:szCs w:val="20"/>
          <w:u w:color="000000"/>
        </w:rPr>
      </w:pPr>
      <w:r>
        <w:rPr>
          <w:rFonts w:ascii="Arial" w:eastAsia="Times New Roman" w:hAnsi="Arial" w:cs="Times New Roman"/>
          <w:color w:val="000000"/>
          <w:sz w:val="20"/>
          <w:szCs w:val="20"/>
          <w:u w:color="000000"/>
        </w:rPr>
        <w:br w:type="page"/>
      </w:r>
    </w:p>
    <w:p w14:paraId="269F09F2" w14:textId="77777777" w:rsidR="00C5516F" w:rsidRPr="00A21682" w:rsidRDefault="00C5516F">
      <w:pPr>
        <w:pStyle w:val="Heading3"/>
        <w:rPr>
          <w:bCs/>
          <w:u w:color="000000"/>
        </w:rPr>
      </w:pPr>
      <w:bookmarkStart w:id="733" w:name="_Toc148102382"/>
      <w:bookmarkStart w:id="734" w:name="_Toc152605866"/>
      <w:bookmarkStart w:id="735" w:name="_Toc177119003"/>
      <w:bookmarkStart w:id="736" w:name="_Toc185952560"/>
      <w:bookmarkStart w:id="737" w:name="_Toc192874736"/>
      <w:r>
        <w:rPr>
          <w:u w:color="000000"/>
        </w:rPr>
        <w:lastRenderedPageBreak/>
        <w:t>Process Flow Diagram</w:t>
      </w:r>
      <w:bookmarkEnd w:id="733"/>
      <w:bookmarkEnd w:id="734"/>
      <w:bookmarkEnd w:id="735"/>
      <w:bookmarkEnd w:id="736"/>
      <w:bookmarkEnd w:id="737"/>
    </w:p>
    <w:p w14:paraId="3E4D605B" w14:textId="77777777" w:rsidR="00C5516F" w:rsidRPr="00A21682" w:rsidRDefault="00C5516F" w:rsidP="00F70B45">
      <w:pPr>
        <w:pStyle w:val="NormalNEW"/>
        <w:rPr>
          <w:u w:color="000000"/>
          <w:lang w:val="en-US"/>
        </w:rPr>
      </w:pPr>
      <w:r>
        <w:rPr>
          <w:u w:color="000000"/>
          <w:lang w:val="en-US"/>
        </w:rPr>
        <w:t>The following process flow depicts the Rollout phase of the MECM SDLC.</w:t>
      </w:r>
    </w:p>
    <w:p w14:paraId="39765BED" w14:textId="253F0FC5" w:rsidR="00C5516F" w:rsidRPr="00A21682" w:rsidRDefault="00A40AA5" w:rsidP="00326202">
      <w:pPr>
        <w:pStyle w:val="NormalNEW"/>
        <w:rPr>
          <w:u w:color="000000"/>
          <w:lang w:val="en-US"/>
        </w:rPr>
      </w:pPr>
      <w:r>
        <w:rPr>
          <w:lang w:val="en-US"/>
        </w:rPr>
        <w:pict w14:anchorId="69E4490F">
          <v:shape id="_x0000_i1036" type="#_x0000_t75" style="width:467.4pt;height:185.4pt">
            <v:imagedata r:id="rId37" o:title=""/>
          </v:shape>
        </w:pict>
      </w:r>
    </w:p>
    <w:p w14:paraId="0CB156E9" w14:textId="39BCDBB2" w:rsidR="00C5516F" w:rsidRPr="00A21682" w:rsidRDefault="00C5516F" w:rsidP="005911DA">
      <w:pPr>
        <w:pStyle w:val="Caption"/>
        <w:rPr>
          <w:noProof w:val="0"/>
        </w:rPr>
      </w:pPr>
      <w:bookmarkStart w:id="738" w:name="_Toc150948937"/>
      <w:bookmarkStart w:id="739" w:name="_Toc178152034"/>
      <w:bookmarkStart w:id="740" w:name="_Toc192875049"/>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12</w:t>
      </w:r>
      <w:r>
        <w:rPr>
          <w:noProof w:val="0"/>
        </w:rPr>
        <w:fldChar w:fldCharType="end"/>
      </w:r>
      <w:r>
        <w:rPr>
          <w:noProof w:val="0"/>
        </w:rPr>
        <w:t>: Rollout Phase Process Flow</w:t>
      </w:r>
      <w:bookmarkEnd w:id="738"/>
      <w:bookmarkEnd w:id="739"/>
      <w:bookmarkEnd w:id="740"/>
    </w:p>
    <w:p w14:paraId="0A5FEAE2" w14:textId="77777777" w:rsidR="00C5516F" w:rsidRPr="00A21682" w:rsidRDefault="00C5516F">
      <w:pPr>
        <w:pStyle w:val="Heading3"/>
        <w:rPr>
          <w:bCs/>
          <w:u w:color="000000"/>
        </w:rPr>
      </w:pPr>
      <w:bookmarkStart w:id="741" w:name="_Toc148102383"/>
      <w:bookmarkStart w:id="742" w:name="_Toc152605867"/>
      <w:bookmarkStart w:id="743" w:name="_Toc177119004"/>
      <w:bookmarkStart w:id="744" w:name="_Toc185952561"/>
      <w:bookmarkStart w:id="745" w:name="_Toc192874737"/>
      <w:r>
        <w:rPr>
          <w:u w:color="000000"/>
        </w:rPr>
        <w:t>Process Flow Narrative</w:t>
      </w:r>
      <w:bookmarkEnd w:id="741"/>
      <w:bookmarkEnd w:id="742"/>
      <w:bookmarkEnd w:id="743"/>
      <w:bookmarkEnd w:id="744"/>
      <w:bookmarkEnd w:id="745"/>
    </w:p>
    <w:p w14:paraId="594B7826" w14:textId="6EB4FEE2" w:rsidR="00C5516F" w:rsidRPr="00A21682" w:rsidRDefault="00C5516F" w:rsidP="00F70B45">
      <w:pPr>
        <w:pStyle w:val="NormalNEW"/>
        <w:rPr>
          <w:u w:color="000000"/>
          <w:lang w:val="en-US"/>
        </w:rPr>
      </w:pPr>
      <w:r>
        <w:rPr>
          <w:u w:color="000000"/>
          <w:lang w:val="en-US"/>
        </w:rPr>
        <w:t>The following table describes each process step illustrated above.</w:t>
      </w:r>
    </w:p>
    <w:tbl>
      <w:tblPr>
        <w:tblpPr w:leftFromText="180" w:rightFromText="180" w:vertAnchor="text" w:tblpY="1"/>
        <w:tblOverlap w:val="neve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4"/>
        <w:gridCol w:w="1604"/>
        <w:gridCol w:w="1980"/>
        <w:gridCol w:w="1633"/>
        <w:gridCol w:w="1802"/>
        <w:gridCol w:w="1719"/>
      </w:tblGrid>
      <w:tr w:rsidR="00C5516F" w:rsidRPr="00A21682" w14:paraId="1087DE26" w14:textId="77777777" w:rsidTr="00C968EF">
        <w:trPr>
          <w:trHeight w:val="300"/>
          <w:tblHeader/>
        </w:trPr>
        <w:tc>
          <w:tcPr>
            <w:tcW w:w="9352" w:type="dxa"/>
            <w:gridSpan w:val="6"/>
            <w:tcBorders>
              <w:bottom w:val="single" w:sz="2" w:space="0" w:color="FFFFFF" w:themeColor="background1"/>
            </w:tcBorders>
            <w:shd w:val="clear" w:color="auto" w:fill="000000"/>
          </w:tcPr>
          <w:p w14:paraId="3F4D38C6" w14:textId="77777777" w:rsidR="00C5516F" w:rsidRPr="00A21682" w:rsidRDefault="00C5516F" w:rsidP="00047C4E">
            <w:pPr>
              <w:pStyle w:val="TABLEHEADINGNEW"/>
              <w:jc w:val="center"/>
              <w:rPr>
                <w:u w:color="000000"/>
              </w:rPr>
            </w:pPr>
            <w:r>
              <w:rPr>
                <w:u w:color="000000"/>
              </w:rPr>
              <w:t>Rollout</w:t>
            </w:r>
          </w:p>
        </w:tc>
      </w:tr>
      <w:tr w:rsidR="00C5516F" w:rsidRPr="00A21682" w14:paraId="09566A0E" w14:textId="77777777" w:rsidTr="00C968EF">
        <w:trPr>
          <w:trHeight w:val="300"/>
          <w:tblHeader/>
        </w:trPr>
        <w:tc>
          <w:tcPr>
            <w:tcW w:w="614" w:type="dxa"/>
            <w:tcBorders>
              <w:top w:val="single" w:sz="2" w:space="0" w:color="FFFFFF" w:themeColor="background1"/>
              <w:right w:val="single" w:sz="2" w:space="0" w:color="FFFFFF" w:themeColor="background1"/>
            </w:tcBorders>
            <w:shd w:val="clear" w:color="auto" w:fill="000000"/>
            <w:hideMark/>
          </w:tcPr>
          <w:p w14:paraId="4761FF97" w14:textId="77777777" w:rsidR="00C5516F" w:rsidRPr="00A21682" w:rsidRDefault="00C5516F" w:rsidP="00047C4E">
            <w:pPr>
              <w:pStyle w:val="TABLEHEADINGNEW"/>
              <w:rPr>
                <w:rFonts w:ascii="Segoe UI" w:hAnsi="Segoe UI" w:cs="Segoe UI"/>
                <w:color w:val="000000"/>
                <w:u w:color="000000"/>
              </w:rPr>
            </w:pPr>
            <w:r>
              <w:rPr>
                <w:u w:color="000000"/>
              </w:rPr>
              <w:t>Step #</w:t>
            </w:r>
          </w:p>
        </w:tc>
        <w:tc>
          <w:tcPr>
            <w:tcW w:w="1604"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15972F01" w14:textId="77777777" w:rsidR="00C5516F" w:rsidRPr="00A21682" w:rsidRDefault="00C5516F" w:rsidP="00047C4E">
            <w:pPr>
              <w:pStyle w:val="TABLEHEADINGNEW"/>
              <w:rPr>
                <w:rFonts w:ascii="Segoe UI" w:hAnsi="Segoe UI" w:cs="Segoe UI"/>
                <w:color w:val="000000"/>
                <w:u w:color="000000"/>
              </w:rPr>
            </w:pPr>
            <w:r>
              <w:rPr>
                <w:u w:color="000000"/>
              </w:rPr>
              <w:t>Process Step</w:t>
            </w:r>
          </w:p>
        </w:tc>
        <w:tc>
          <w:tcPr>
            <w:tcW w:w="198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63F30976" w14:textId="77777777" w:rsidR="00C5516F" w:rsidRPr="00A21682" w:rsidRDefault="00C5516F" w:rsidP="00047C4E">
            <w:pPr>
              <w:pStyle w:val="TABLEHEADINGNEW"/>
              <w:rPr>
                <w:rFonts w:ascii="Segoe UI" w:hAnsi="Segoe UI" w:cs="Segoe UI"/>
                <w:color w:val="000000"/>
                <w:u w:color="000000"/>
              </w:rPr>
            </w:pPr>
            <w:r>
              <w:rPr>
                <w:u w:color="000000"/>
              </w:rPr>
              <w:t>Description</w:t>
            </w:r>
          </w:p>
        </w:tc>
        <w:tc>
          <w:tcPr>
            <w:tcW w:w="1633"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7DBED45F" w14:textId="77777777" w:rsidR="00C5516F" w:rsidRPr="00A21682" w:rsidRDefault="00C5516F" w:rsidP="00047C4E">
            <w:pPr>
              <w:pStyle w:val="TABLEHEADINGNEW"/>
              <w:rPr>
                <w:u w:color="000000"/>
              </w:rPr>
            </w:pPr>
            <w:r>
              <w:rPr>
                <w:u w:color="000000"/>
              </w:rPr>
              <w:t>Stakeholder Group(s)</w:t>
            </w:r>
          </w:p>
        </w:tc>
        <w:tc>
          <w:tcPr>
            <w:tcW w:w="1802"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1CE63EEB" w14:textId="2C1644EB" w:rsidR="00C5516F" w:rsidRPr="00A21682" w:rsidRDefault="00C5516F" w:rsidP="00047C4E">
            <w:pPr>
              <w:pStyle w:val="TABLEHEADINGNEW"/>
              <w:rPr>
                <w:u w:color="000000"/>
              </w:rPr>
            </w:pPr>
            <w:r>
              <w:rPr>
                <w:u w:color="000000"/>
              </w:rPr>
              <w:t>Inputs (Documents/ Work Products)</w:t>
            </w:r>
          </w:p>
        </w:tc>
        <w:tc>
          <w:tcPr>
            <w:tcW w:w="1719" w:type="dxa"/>
            <w:tcBorders>
              <w:top w:val="single" w:sz="2" w:space="0" w:color="FFFFFF" w:themeColor="background1"/>
              <w:left w:val="single" w:sz="2" w:space="0" w:color="FFFFFF" w:themeColor="background1"/>
            </w:tcBorders>
            <w:shd w:val="clear" w:color="auto" w:fill="000000"/>
            <w:hideMark/>
          </w:tcPr>
          <w:p w14:paraId="48088155" w14:textId="6D5EB9D2" w:rsidR="00C5516F" w:rsidRPr="00A21682" w:rsidRDefault="00C5516F" w:rsidP="00047C4E">
            <w:pPr>
              <w:pStyle w:val="TABLEHEADINGNEW"/>
              <w:rPr>
                <w:u w:color="000000"/>
              </w:rPr>
            </w:pPr>
            <w:r>
              <w:rPr>
                <w:u w:color="000000"/>
              </w:rPr>
              <w:t>Outputs (Documents/ Work Products)</w:t>
            </w:r>
          </w:p>
        </w:tc>
      </w:tr>
      <w:tr w:rsidR="00C5516F" w:rsidRPr="00A21682" w14:paraId="4CD7506B" w14:textId="77777777" w:rsidTr="00047C4E">
        <w:trPr>
          <w:trHeight w:val="300"/>
        </w:trPr>
        <w:tc>
          <w:tcPr>
            <w:tcW w:w="614" w:type="dxa"/>
          </w:tcPr>
          <w:p w14:paraId="532F5C33" w14:textId="77777777" w:rsidR="00C5516F" w:rsidRPr="00A21682" w:rsidRDefault="00C5516F" w:rsidP="00047C4E">
            <w:pPr>
              <w:pStyle w:val="TABLETEXT1"/>
              <w:rPr>
                <w:lang w:val="en-US"/>
              </w:rPr>
            </w:pPr>
            <w:r>
              <w:rPr>
                <w:lang w:val="en-US"/>
              </w:rPr>
              <w:t xml:space="preserve">10.1 </w:t>
            </w:r>
          </w:p>
        </w:tc>
        <w:tc>
          <w:tcPr>
            <w:tcW w:w="1604" w:type="dxa"/>
          </w:tcPr>
          <w:p w14:paraId="5AF0E472" w14:textId="331F2CE6" w:rsidR="00C5516F" w:rsidRPr="00A21682" w:rsidRDefault="00C5516F" w:rsidP="00047C4E">
            <w:pPr>
              <w:pStyle w:val="TABLETEXT1"/>
              <w:rPr>
                <w:lang w:val="en-US"/>
              </w:rPr>
            </w:pPr>
            <w:r>
              <w:rPr>
                <w:lang w:val="en-US"/>
              </w:rPr>
              <w:t>Accept MECM Wave System Source Code (DEL-26)</w:t>
            </w:r>
          </w:p>
        </w:tc>
        <w:tc>
          <w:tcPr>
            <w:tcW w:w="1980" w:type="dxa"/>
          </w:tcPr>
          <w:p w14:paraId="6678D409" w14:textId="77777777" w:rsidR="00C5516F" w:rsidRPr="006741E7" w:rsidRDefault="00C5516F" w:rsidP="006B6ED1">
            <w:pPr>
              <w:pStyle w:val="TABLETEXT1"/>
              <w:rPr>
                <w:lang w:val="en-US"/>
              </w:rPr>
            </w:pPr>
            <w:r>
              <w:rPr>
                <w:lang w:val="en-US"/>
              </w:rPr>
              <w:t>Tag the DOH OHIP approved MECM source code as the gold copy for production deployment</w:t>
            </w:r>
          </w:p>
        </w:tc>
        <w:tc>
          <w:tcPr>
            <w:tcW w:w="1633" w:type="dxa"/>
          </w:tcPr>
          <w:p w14:paraId="446B4951" w14:textId="77777777" w:rsidR="00C5516F" w:rsidRPr="00635C9B" w:rsidRDefault="00C5516F" w:rsidP="006B6ED1">
            <w:pPr>
              <w:pStyle w:val="TABLEBULLETNEW"/>
            </w:pPr>
            <w:r>
              <w:t>Executive Stakeholders</w:t>
            </w:r>
          </w:p>
        </w:tc>
        <w:tc>
          <w:tcPr>
            <w:tcW w:w="1802" w:type="dxa"/>
          </w:tcPr>
          <w:p w14:paraId="62E87F6A" w14:textId="77777777" w:rsidR="00C5516F" w:rsidRPr="00635C9B" w:rsidRDefault="00C5516F" w:rsidP="006B6ED1">
            <w:pPr>
              <w:pStyle w:val="TABLEBULLETNEW"/>
            </w:pPr>
            <w:r>
              <w:t>Source code repository</w:t>
            </w:r>
          </w:p>
        </w:tc>
        <w:tc>
          <w:tcPr>
            <w:tcW w:w="1719" w:type="dxa"/>
          </w:tcPr>
          <w:p w14:paraId="0C6D014B" w14:textId="14A053E7" w:rsidR="00C5516F" w:rsidRPr="00635C9B" w:rsidRDefault="00C5516F" w:rsidP="006B6ED1">
            <w:pPr>
              <w:pStyle w:val="TABLEBULLETNEW"/>
            </w:pPr>
            <w:r>
              <w:t>Created tag with release version</w:t>
            </w:r>
          </w:p>
        </w:tc>
      </w:tr>
      <w:tr w:rsidR="00C5516F" w:rsidRPr="00A21682" w14:paraId="2AEACD2F" w14:textId="77777777" w:rsidTr="00047C4E">
        <w:trPr>
          <w:trHeight w:val="300"/>
        </w:trPr>
        <w:tc>
          <w:tcPr>
            <w:tcW w:w="614" w:type="dxa"/>
          </w:tcPr>
          <w:p w14:paraId="7B34FF38" w14:textId="77777777" w:rsidR="00C5516F" w:rsidRPr="00A21682" w:rsidRDefault="00C5516F" w:rsidP="00047C4E">
            <w:pPr>
              <w:pStyle w:val="TABLETEXT1"/>
              <w:rPr>
                <w:lang w:val="en-US"/>
              </w:rPr>
            </w:pPr>
            <w:r>
              <w:rPr>
                <w:lang w:val="en-US"/>
              </w:rPr>
              <w:t>10.2</w:t>
            </w:r>
          </w:p>
        </w:tc>
        <w:tc>
          <w:tcPr>
            <w:tcW w:w="1604" w:type="dxa"/>
          </w:tcPr>
          <w:p w14:paraId="3B300C31" w14:textId="77777777" w:rsidR="00C5516F" w:rsidRPr="00A21682" w:rsidRDefault="00C5516F" w:rsidP="00047C4E">
            <w:pPr>
              <w:pStyle w:val="TABLETEXT1"/>
              <w:rPr>
                <w:lang w:val="en-US"/>
              </w:rPr>
            </w:pPr>
            <w:r>
              <w:rPr>
                <w:lang w:val="en-US"/>
              </w:rPr>
              <w:t>Complete data migration for Wave rollout</w:t>
            </w:r>
          </w:p>
        </w:tc>
        <w:tc>
          <w:tcPr>
            <w:tcW w:w="1980" w:type="dxa"/>
          </w:tcPr>
          <w:p w14:paraId="3D508F97" w14:textId="236ABD6C" w:rsidR="00C5516F" w:rsidRPr="006741E7" w:rsidRDefault="00C5516F" w:rsidP="006B6ED1">
            <w:pPr>
              <w:pStyle w:val="TABLETEXT1"/>
              <w:rPr>
                <w:lang w:val="en-US"/>
              </w:rPr>
            </w:pPr>
            <w:r>
              <w:rPr>
                <w:lang w:val="en-US"/>
              </w:rPr>
              <w:t>Execute data conversion in the MECM Production environment for the targeted wave population</w:t>
            </w:r>
          </w:p>
        </w:tc>
        <w:tc>
          <w:tcPr>
            <w:tcW w:w="1633" w:type="dxa"/>
          </w:tcPr>
          <w:p w14:paraId="56A15AE3" w14:textId="77777777" w:rsidR="00C5516F" w:rsidRPr="00635C9B" w:rsidRDefault="00C5516F" w:rsidP="006B6ED1">
            <w:pPr>
              <w:pStyle w:val="TABLEBULLETNEW"/>
            </w:pPr>
            <w:r>
              <w:t>Technical Stakeholders</w:t>
            </w:r>
          </w:p>
        </w:tc>
        <w:tc>
          <w:tcPr>
            <w:tcW w:w="1802" w:type="dxa"/>
          </w:tcPr>
          <w:p w14:paraId="072897CD" w14:textId="77777777" w:rsidR="00C5516F" w:rsidRPr="00635C9B" w:rsidRDefault="00C5516F" w:rsidP="006B6ED1">
            <w:pPr>
              <w:pStyle w:val="TABLEBULLETNEW"/>
            </w:pPr>
            <w:r>
              <w:t>Source system data extract</w:t>
            </w:r>
          </w:p>
        </w:tc>
        <w:tc>
          <w:tcPr>
            <w:tcW w:w="1719" w:type="dxa"/>
          </w:tcPr>
          <w:p w14:paraId="3B544513" w14:textId="564081CF" w:rsidR="00C5516F" w:rsidRPr="00635C9B" w:rsidRDefault="00C5516F" w:rsidP="006B6ED1">
            <w:pPr>
              <w:pStyle w:val="TABLEBULLETNEW"/>
            </w:pPr>
            <w:r>
              <w:t>Converted data loaded into Production environment</w:t>
            </w:r>
          </w:p>
        </w:tc>
      </w:tr>
      <w:tr w:rsidR="00C5516F" w:rsidRPr="00A21682" w14:paraId="397233DF" w14:textId="77777777" w:rsidTr="00047C4E">
        <w:trPr>
          <w:trHeight w:val="300"/>
        </w:trPr>
        <w:tc>
          <w:tcPr>
            <w:tcW w:w="614" w:type="dxa"/>
          </w:tcPr>
          <w:p w14:paraId="0CCE5167" w14:textId="77777777" w:rsidR="00C5516F" w:rsidRPr="00A21682" w:rsidRDefault="00C5516F" w:rsidP="00047C4E">
            <w:pPr>
              <w:pStyle w:val="TABLETEXT1"/>
              <w:rPr>
                <w:lang w:val="en-US"/>
              </w:rPr>
            </w:pPr>
            <w:r>
              <w:rPr>
                <w:lang w:val="en-US"/>
              </w:rPr>
              <w:t>10.3</w:t>
            </w:r>
          </w:p>
        </w:tc>
        <w:tc>
          <w:tcPr>
            <w:tcW w:w="1604" w:type="dxa"/>
          </w:tcPr>
          <w:p w14:paraId="6215A146" w14:textId="77777777" w:rsidR="00C5516F" w:rsidRPr="00A21682" w:rsidRDefault="00C5516F" w:rsidP="00047C4E">
            <w:pPr>
              <w:pStyle w:val="TABLETEXT1"/>
              <w:rPr>
                <w:lang w:val="en-US"/>
              </w:rPr>
            </w:pPr>
            <w:r>
              <w:rPr>
                <w:lang w:val="en-US"/>
              </w:rPr>
              <w:t>Configure MECM for users/ functionality for Wave rollout</w:t>
            </w:r>
          </w:p>
        </w:tc>
        <w:tc>
          <w:tcPr>
            <w:tcW w:w="1980" w:type="dxa"/>
          </w:tcPr>
          <w:p w14:paraId="72D8F7DB" w14:textId="77777777" w:rsidR="00C5516F" w:rsidRPr="006741E7" w:rsidRDefault="00C5516F" w:rsidP="006B6ED1">
            <w:pPr>
              <w:pStyle w:val="TABLETEXT1"/>
              <w:rPr>
                <w:lang w:val="en-US"/>
              </w:rPr>
            </w:pPr>
            <w:r>
              <w:rPr>
                <w:lang w:val="en-US"/>
              </w:rPr>
              <w:t>Set up security roles and user access for Wave end users</w:t>
            </w:r>
          </w:p>
        </w:tc>
        <w:tc>
          <w:tcPr>
            <w:tcW w:w="1633" w:type="dxa"/>
          </w:tcPr>
          <w:p w14:paraId="08A98F50" w14:textId="77777777" w:rsidR="00C5516F" w:rsidRPr="00635C9B" w:rsidRDefault="00C5516F" w:rsidP="006B6ED1">
            <w:pPr>
              <w:pStyle w:val="TABLEBULLETNEW"/>
            </w:pPr>
            <w:r>
              <w:t>Functional Stakeholders</w:t>
            </w:r>
          </w:p>
          <w:p w14:paraId="6BEBA230" w14:textId="77777777" w:rsidR="00C5516F" w:rsidRPr="00635C9B" w:rsidRDefault="00C5516F" w:rsidP="006B6ED1">
            <w:pPr>
              <w:pStyle w:val="TABLEBULLETNEW"/>
            </w:pPr>
            <w:r>
              <w:t>Technical Stakeholders</w:t>
            </w:r>
          </w:p>
        </w:tc>
        <w:tc>
          <w:tcPr>
            <w:tcW w:w="1802" w:type="dxa"/>
          </w:tcPr>
          <w:p w14:paraId="49B9F922" w14:textId="77777777" w:rsidR="00C5516F" w:rsidRPr="00635C9B" w:rsidRDefault="00C5516F" w:rsidP="006B6ED1">
            <w:pPr>
              <w:pStyle w:val="TABLEBULLETNEW"/>
            </w:pPr>
            <w:r>
              <w:t>User profiles for the Wave</w:t>
            </w:r>
          </w:p>
        </w:tc>
        <w:tc>
          <w:tcPr>
            <w:tcW w:w="1719" w:type="dxa"/>
          </w:tcPr>
          <w:p w14:paraId="7E976431" w14:textId="77777777" w:rsidR="00C5516F" w:rsidRPr="00635C9B" w:rsidRDefault="00C5516F" w:rsidP="006B6ED1">
            <w:pPr>
              <w:pStyle w:val="TABLEBULLETNEW"/>
            </w:pPr>
            <w:r>
              <w:t>Assignment of security roles</w:t>
            </w:r>
          </w:p>
          <w:p w14:paraId="10EB99A6" w14:textId="77777777" w:rsidR="00C5516F" w:rsidRPr="00635C9B" w:rsidRDefault="00C5516F" w:rsidP="006B6ED1">
            <w:pPr>
              <w:pStyle w:val="TABLEBULLETNEW"/>
            </w:pPr>
            <w:r>
              <w:t>End users given user access for Wave rollout</w:t>
            </w:r>
          </w:p>
        </w:tc>
      </w:tr>
      <w:tr w:rsidR="00C5516F" w:rsidRPr="00A21682" w14:paraId="22940DCD" w14:textId="77777777" w:rsidTr="00047C4E">
        <w:trPr>
          <w:trHeight w:val="300"/>
        </w:trPr>
        <w:tc>
          <w:tcPr>
            <w:tcW w:w="614" w:type="dxa"/>
          </w:tcPr>
          <w:p w14:paraId="6D3CBF2F" w14:textId="77777777" w:rsidR="00C5516F" w:rsidRPr="00A21682" w:rsidRDefault="00C5516F" w:rsidP="00047C4E">
            <w:pPr>
              <w:pStyle w:val="TABLETEXT1"/>
              <w:rPr>
                <w:lang w:val="en-US"/>
              </w:rPr>
            </w:pPr>
            <w:r>
              <w:rPr>
                <w:lang w:val="en-US"/>
              </w:rPr>
              <w:t>10.4</w:t>
            </w:r>
          </w:p>
        </w:tc>
        <w:tc>
          <w:tcPr>
            <w:tcW w:w="1604" w:type="dxa"/>
          </w:tcPr>
          <w:p w14:paraId="4E7F71B9" w14:textId="77777777" w:rsidR="00C5516F" w:rsidRPr="00A21682" w:rsidRDefault="00C5516F" w:rsidP="00047C4E">
            <w:pPr>
              <w:pStyle w:val="TABLETEXT1"/>
              <w:rPr>
                <w:lang w:val="en-US"/>
              </w:rPr>
            </w:pPr>
            <w:r>
              <w:rPr>
                <w:lang w:val="en-US"/>
              </w:rPr>
              <w:t>Release MECM systems to Wave end users</w:t>
            </w:r>
          </w:p>
        </w:tc>
        <w:tc>
          <w:tcPr>
            <w:tcW w:w="1980" w:type="dxa"/>
          </w:tcPr>
          <w:p w14:paraId="0A3AA598" w14:textId="77777777" w:rsidR="00C5516F" w:rsidRPr="006741E7" w:rsidRDefault="00C5516F" w:rsidP="006B6ED1">
            <w:pPr>
              <w:pStyle w:val="TABLETEXT1"/>
              <w:rPr>
                <w:lang w:val="en-US"/>
              </w:rPr>
            </w:pPr>
            <w:r>
              <w:rPr>
                <w:lang w:val="en-US"/>
              </w:rPr>
              <w:t xml:space="preserve">Grant access for Wave users to the </w:t>
            </w:r>
            <w:r>
              <w:rPr>
                <w:lang w:val="en-US"/>
              </w:rPr>
              <w:lastRenderedPageBreak/>
              <w:t>MECM production environment</w:t>
            </w:r>
          </w:p>
        </w:tc>
        <w:tc>
          <w:tcPr>
            <w:tcW w:w="1633" w:type="dxa"/>
          </w:tcPr>
          <w:p w14:paraId="06EF7477" w14:textId="77777777" w:rsidR="00C5516F" w:rsidRPr="00635C9B" w:rsidRDefault="00C5516F" w:rsidP="006B6ED1">
            <w:pPr>
              <w:pStyle w:val="TABLEBULLETNEW"/>
            </w:pPr>
            <w:r>
              <w:lastRenderedPageBreak/>
              <w:t>Business Stakeholders</w:t>
            </w:r>
          </w:p>
        </w:tc>
        <w:tc>
          <w:tcPr>
            <w:tcW w:w="1802" w:type="dxa"/>
          </w:tcPr>
          <w:p w14:paraId="2B53AE35" w14:textId="77777777" w:rsidR="00C5516F" w:rsidRPr="00635C9B" w:rsidRDefault="00C5516F" w:rsidP="006B6ED1">
            <w:pPr>
              <w:pStyle w:val="TABLEBULLETNEW"/>
            </w:pPr>
            <w:r>
              <w:t>MECM system</w:t>
            </w:r>
          </w:p>
        </w:tc>
        <w:tc>
          <w:tcPr>
            <w:tcW w:w="1719" w:type="dxa"/>
          </w:tcPr>
          <w:p w14:paraId="444EEAD7" w14:textId="54623FBE" w:rsidR="00C5516F" w:rsidRPr="00635C9B" w:rsidRDefault="00C5516F" w:rsidP="006B6ED1">
            <w:pPr>
              <w:pStyle w:val="TABLEBULLETNEW"/>
            </w:pPr>
            <w:r>
              <w:t>End user Wave results</w:t>
            </w:r>
          </w:p>
        </w:tc>
      </w:tr>
    </w:tbl>
    <w:p w14:paraId="24E24731" w14:textId="6A4307F3" w:rsidR="00C5516F" w:rsidRPr="00A21682" w:rsidRDefault="00C5516F" w:rsidP="005911DA">
      <w:pPr>
        <w:pStyle w:val="Caption"/>
        <w:rPr>
          <w:noProof w:val="0"/>
        </w:rPr>
      </w:pPr>
      <w:bookmarkStart w:id="746" w:name="_Toc150951893"/>
      <w:bookmarkStart w:id="747" w:name="_Toc192875123"/>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38</w:t>
      </w:r>
      <w:r>
        <w:rPr>
          <w:noProof w:val="0"/>
        </w:rPr>
        <w:fldChar w:fldCharType="end"/>
      </w:r>
      <w:bookmarkEnd w:id="746"/>
      <w:r>
        <w:rPr>
          <w:noProof w:val="0"/>
        </w:rPr>
        <w:t>: Rollout Process Flow Narrative</w:t>
      </w:r>
      <w:bookmarkEnd w:id="747"/>
    </w:p>
    <w:p w14:paraId="76F9F902" w14:textId="77777777" w:rsidR="00C5516F" w:rsidRPr="00A21682" w:rsidRDefault="00C5516F">
      <w:pPr>
        <w:pStyle w:val="Heading3"/>
        <w:rPr>
          <w:bCs/>
          <w:u w:color="000000"/>
        </w:rPr>
      </w:pPr>
      <w:bookmarkStart w:id="748" w:name="_Toc148102384"/>
      <w:bookmarkStart w:id="749" w:name="_Toc152605868"/>
      <w:bookmarkStart w:id="750" w:name="_Toc177119005"/>
      <w:bookmarkStart w:id="751" w:name="_Toc185952562"/>
      <w:bookmarkStart w:id="752" w:name="_Toc192874738"/>
      <w:r>
        <w:rPr>
          <w:u w:color="000000"/>
        </w:rPr>
        <w:t>Roles and Responsibilities</w:t>
      </w:r>
      <w:bookmarkEnd w:id="748"/>
      <w:bookmarkEnd w:id="749"/>
      <w:bookmarkEnd w:id="750"/>
      <w:bookmarkEnd w:id="751"/>
      <w:bookmarkEnd w:id="752"/>
    </w:p>
    <w:p w14:paraId="2494EE29" w14:textId="22473350" w:rsidR="00C5516F" w:rsidRPr="00A21682" w:rsidRDefault="00C5516F" w:rsidP="00F70B45">
      <w:pPr>
        <w:pStyle w:val="NormalNEW"/>
        <w:rPr>
          <w:u w:color="000000"/>
          <w:lang w:val="en-US"/>
        </w:rPr>
      </w:pPr>
      <w:r>
        <w:rPr>
          <w:u w:color="000000"/>
          <w:lang w:val="en-US"/>
        </w:rPr>
        <w:t>The Master MECM SDLC Methodology RACI Matrix (refer to Appendix C-1) defines the requirements of each of the project roles or personas.</w:t>
      </w:r>
    </w:p>
    <w:p w14:paraId="7EF57E29" w14:textId="77777777" w:rsidR="00C5516F" w:rsidRPr="00A21682" w:rsidRDefault="00C5516F">
      <w:pPr>
        <w:pStyle w:val="Heading3"/>
        <w:rPr>
          <w:u w:color="000000"/>
        </w:rPr>
      </w:pPr>
      <w:bookmarkStart w:id="753" w:name="_Toc148102385"/>
      <w:bookmarkStart w:id="754" w:name="_Toc152605869"/>
      <w:bookmarkStart w:id="755" w:name="_Toc177119006"/>
      <w:bookmarkStart w:id="756" w:name="_Toc185952563"/>
      <w:bookmarkStart w:id="757" w:name="_Toc192874739"/>
      <w:r>
        <w:rPr>
          <w:u w:color="000000"/>
        </w:rPr>
        <w:t>Phase Exit Criteria</w:t>
      </w:r>
      <w:bookmarkEnd w:id="753"/>
      <w:bookmarkEnd w:id="754"/>
      <w:bookmarkEnd w:id="755"/>
      <w:bookmarkEnd w:id="756"/>
      <w:bookmarkEnd w:id="757"/>
    </w:p>
    <w:p w14:paraId="33DF22AF" w14:textId="0C0F3E0B" w:rsidR="00C5516F" w:rsidRPr="00A21682" w:rsidRDefault="00C5516F" w:rsidP="00F70B45">
      <w:pPr>
        <w:pStyle w:val="NormalNEW"/>
        <w:rPr>
          <w:u w:color="000000"/>
          <w:lang w:val="en-US"/>
        </w:rPr>
      </w:pPr>
      <w:r>
        <w:rPr>
          <w:u w:color="000000"/>
          <w:lang w:val="en-US"/>
        </w:rPr>
        <w:t xml:space="preserve">All stakeholders identified in the RACI matrix will convene in a meeting to collectively agree on the completion of Rollout. The ███████ owner, as designated in the RACI matrix, will take the lead in providing a comprehensive status update, specifically addressing the exit criteria for the Rollout phase, allowing for questions, and seeking concurrence from DOH OHIP. Upon concurrence of phase exit criteria, </w:t>
      </w:r>
      <w:r>
        <w:rPr>
          <w:lang w:val="en-US"/>
        </w:rPr>
        <w:t xml:space="preserve">a transmittal will be sent to DOH requesting formal approval to </w:t>
      </w:r>
      <w:r>
        <w:rPr>
          <w:u w:color="000000"/>
          <w:lang w:val="en-US"/>
        </w:rPr>
        <w:t>document the acceptance and approval of the phase.</w:t>
      </w:r>
    </w:p>
    <w:tbl>
      <w:tblPr>
        <w:tblW w:w="934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481"/>
        <w:gridCol w:w="4563"/>
        <w:gridCol w:w="4300"/>
      </w:tblGrid>
      <w:tr w:rsidR="00C5516F" w:rsidRPr="00A21682" w14:paraId="341C2CC6" w14:textId="77777777" w:rsidTr="00C968EF">
        <w:trPr>
          <w:trHeight w:val="300"/>
        </w:trPr>
        <w:tc>
          <w:tcPr>
            <w:tcW w:w="481" w:type="dxa"/>
            <w:tcBorders>
              <w:right w:val="single" w:sz="2" w:space="0" w:color="FFFFFF" w:themeColor="background1"/>
            </w:tcBorders>
            <w:shd w:val="clear" w:color="auto" w:fill="000000"/>
            <w:hideMark/>
          </w:tcPr>
          <w:p w14:paraId="0C851C5E" w14:textId="77777777" w:rsidR="00C5516F" w:rsidRPr="00A21682" w:rsidRDefault="00C5516F" w:rsidP="002B3BF9">
            <w:pPr>
              <w:pStyle w:val="TABLEHEADINGNEW"/>
            </w:pPr>
            <w:r>
              <w:t>#</w:t>
            </w:r>
          </w:p>
        </w:tc>
        <w:tc>
          <w:tcPr>
            <w:tcW w:w="4563" w:type="dxa"/>
            <w:tcBorders>
              <w:left w:val="single" w:sz="2" w:space="0" w:color="FFFFFF" w:themeColor="background1"/>
              <w:right w:val="single" w:sz="2" w:space="0" w:color="FFFFFF" w:themeColor="background1"/>
            </w:tcBorders>
            <w:shd w:val="clear" w:color="auto" w:fill="000000"/>
            <w:hideMark/>
          </w:tcPr>
          <w:p w14:paraId="699DE9C9" w14:textId="77777777" w:rsidR="00C5516F" w:rsidRPr="00A21682" w:rsidRDefault="00C5516F" w:rsidP="002B3BF9">
            <w:pPr>
              <w:pStyle w:val="TABLEHEADINGNEW"/>
            </w:pPr>
            <w:r>
              <w:t>Exit Criteria</w:t>
            </w:r>
          </w:p>
        </w:tc>
        <w:tc>
          <w:tcPr>
            <w:tcW w:w="4300" w:type="dxa"/>
            <w:tcBorders>
              <w:left w:val="single" w:sz="2" w:space="0" w:color="FFFFFF" w:themeColor="background1"/>
            </w:tcBorders>
            <w:shd w:val="clear" w:color="auto" w:fill="000000"/>
          </w:tcPr>
          <w:p w14:paraId="6A1EA13A" w14:textId="77777777" w:rsidR="00C5516F" w:rsidRPr="00A21682" w:rsidRDefault="00C5516F" w:rsidP="002B3BF9">
            <w:pPr>
              <w:pStyle w:val="TABLEHEADINGNEW"/>
            </w:pPr>
            <w:r>
              <w:t>Related Document(s)/Artifact(s)</w:t>
            </w:r>
          </w:p>
        </w:tc>
      </w:tr>
      <w:tr w:rsidR="00C5516F" w:rsidRPr="00A21682" w14:paraId="79236C77" w14:textId="77777777" w:rsidTr="002B3BF9">
        <w:trPr>
          <w:trHeight w:val="300"/>
        </w:trPr>
        <w:tc>
          <w:tcPr>
            <w:tcW w:w="481" w:type="dxa"/>
            <w:hideMark/>
          </w:tcPr>
          <w:p w14:paraId="37EE87B0" w14:textId="77777777" w:rsidR="00C5516F" w:rsidRPr="00A21682" w:rsidRDefault="00C5516F" w:rsidP="002B3BF9">
            <w:pPr>
              <w:pStyle w:val="TABLETEXT1"/>
              <w:rPr>
                <w:lang w:val="en-US"/>
              </w:rPr>
            </w:pPr>
            <w:r>
              <w:rPr>
                <w:lang w:val="en-US"/>
              </w:rPr>
              <w:t>1 </w:t>
            </w:r>
          </w:p>
        </w:tc>
        <w:tc>
          <w:tcPr>
            <w:tcW w:w="4563" w:type="dxa"/>
          </w:tcPr>
          <w:p w14:paraId="54D84A05" w14:textId="490AC4CB" w:rsidR="00C5516F" w:rsidRPr="00A21682" w:rsidRDefault="00C5516F" w:rsidP="002B3BF9">
            <w:pPr>
              <w:pStyle w:val="TABLETEXT1"/>
              <w:rPr>
                <w:lang w:val="en-US"/>
              </w:rPr>
            </w:pPr>
            <w:r>
              <w:rPr>
                <w:lang w:val="en-US"/>
              </w:rPr>
              <w:t xml:space="preserve">System Source Code (DEL-26) has been accepted by </w:t>
            </w:r>
            <w:r>
              <w:rPr>
                <w:u w:color="000000"/>
                <w:lang w:val="en-US"/>
              </w:rPr>
              <w:t xml:space="preserve">Continuing Medicaid Eligibility Modernization </w:t>
            </w:r>
            <w:r>
              <w:rPr>
                <w:lang w:val="en-US"/>
              </w:rPr>
              <w:t>Executive Stakeholders</w:t>
            </w:r>
          </w:p>
        </w:tc>
        <w:tc>
          <w:tcPr>
            <w:tcW w:w="4300" w:type="dxa"/>
          </w:tcPr>
          <w:p w14:paraId="089C8EEA" w14:textId="774557E7" w:rsidR="00C5516F" w:rsidRPr="005466FC" w:rsidRDefault="00C5516F" w:rsidP="005466FC">
            <w:pPr>
              <w:pStyle w:val="TABLEBULLETNEW"/>
            </w:pPr>
            <w:r>
              <w:t>System Source Code (DEL-26)</w:t>
            </w:r>
          </w:p>
        </w:tc>
      </w:tr>
      <w:tr w:rsidR="00C5516F" w:rsidRPr="00A21682" w14:paraId="006FCE47" w14:textId="77777777" w:rsidTr="002B3BF9">
        <w:trPr>
          <w:trHeight w:val="300"/>
        </w:trPr>
        <w:tc>
          <w:tcPr>
            <w:tcW w:w="481" w:type="dxa"/>
          </w:tcPr>
          <w:p w14:paraId="5F04F9AE" w14:textId="77777777" w:rsidR="00C5516F" w:rsidRPr="00A21682" w:rsidRDefault="00C5516F" w:rsidP="002B3BF9">
            <w:pPr>
              <w:pStyle w:val="TABLETEXT1"/>
              <w:rPr>
                <w:lang w:val="en-US"/>
              </w:rPr>
            </w:pPr>
            <w:r>
              <w:rPr>
                <w:lang w:val="en-US"/>
              </w:rPr>
              <w:t>2</w:t>
            </w:r>
          </w:p>
        </w:tc>
        <w:tc>
          <w:tcPr>
            <w:tcW w:w="4563" w:type="dxa"/>
          </w:tcPr>
          <w:p w14:paraId="5CEB6A24" w14:textId="2CAE18D3" w:rsidR="00C5516F" w:rsidRPr="00A21682" w:rsidRDefault="00C5516F" w:rsidP="002B3BF9">
            <w:pPr>
              <w:pStyle w:val="TABLETEXT1"/>
              <w:rPr>
                <w:lang w:val="en-US"/>
              </w:rPr>
            </w:pPr>
            <w:r>
              <w:rPr>
                <w:lang w:val="en-US"/>
              </w:rPr>
              <w:t>The Release Management Plan (DEL-34) has been created, reviewed, and approved and is ready to manage post-production releases</w:t>
            </w:r>
          </w:p>
        </w:tc>
        <w:tc>
          <w:tcPr>
            <w:tcW w:w="4300" w:type="dxa"/>
          </w:tcPr>
          <w:p w14:paraId="4E53D06D" w14:textId="76713F2A" w:rsidR="00C5516F" w:rsidRPr="005466FC" w:rsidRDefault="00C5516F" w:rsidP="005466FC">
            <w:pPr>
              <w:pStyle w:val="TABLEBULLETNEW"/>
            </w:pPr>
            <w:r>
              <w:t>Release Management Plan (DEL-34)</w:t>
            </w:r>
          </w:p>
        </w:tc>
      </w:tr>
    </w:tbl>
    <w:p w14:paraId="5C4923C0" w14:textId="51B773A5" w:rsidR="00C5516F" w:rsidRPr="00A21682" w:rsidRDefault="00C5516F" w:rsidP="005911DA">
      <w:pPr>
        <w:pStyle w:val="Caption"/>
        <w:rPr>
          <w:noProof w:val="0"/>
        </w:rPr>
      </w:pPr>
      <w:bookmarkStart w:id="758" w:name="_Toc150951894"/>
      <w:bookmarkStart w:id="759" w:name="_Toc192875124"/>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39</w:t>
      </w:r>
      <w:r>
        <w:rPr>
          <w:noProof w:val="0"/>
        </w:rPr>
        <w:fldChar w:fldCharType="end"/>
      </w:r>
      <w:r>
        <w:rPr>
          <w:noProof w:val="0"/>
        </w:rPr>
        <w:t>: Rollout Phase Exit Criteria</w:t>
      </w:r>
      <w:bookmarkEnd w:id="758"/>
      <w:bookmarkEnd w:id="759"/>
    </w:p>
    <w:p w14:paraId="7CED7229" w14:textId="26B0DD5C" w:rsidR="00C5516F" w:rsidRPr="00A21682" w:rsidRDefault="00C5516F">
      <w:pPr>
        <w:pStyle w:val="Heading3"/>
        <w:rPr>
          <w:u w:color="000000"/>
        </w:rPr>
      </w:pPr>
      <w:bookmarkStart w:id="760" w:name="_Toc148102386"/>
      <w:bookmarkStart w:id="761" w:name="_Toc152605870"/>
      <w:bookmarkStart w:id="762" w:name="_Toc177119007"/>
      <w:bookmarkStart w:id="763" w:name="_Toc185952564"/>
      <w:bookmarkStart w:id="764" w:name="_Toc192874740"/>
      <w:r>
        <w:rPr>
          <w:u w:color="000000"/>
        </w:rPr>
        <w:t xml:space="preserve">Supporting </w:t>
      </w:r>
      <w:r>
        <w:t>Application Lifecycle Management (</w:t>
      </w:r>
      <w:r>
        <w:rPr>
          <w:u w:color="000000"/>
        </w:rPr>
        <w:t>ALM) Tools</w:t>
      </w:r>
      <w:bookmarkEnd w:id="760"/>
      <w:bookmarkEnd w:id="761"/>
      <w:bookmarkEnd w:id="762"/>
      <w:bookmarkEnd w:id="763"/>
      <w:bookmarkEnd w:id="764"/>
    </w:p>
    <w:p w14:paraId="3C418C66" w14:textId="1F4428F9" w:rsidR="00C5516F" w:rsidRPr="00A21682" w:rsidRDefault="00C5516F" w:rsidP="00F70B45">
      <w:pPr>
        <w:pStyle w:val="NormalNEW"/>
        <w:rPr>
          <w:u w:color="000000"/>
          <w:lang w:val="en-US"/>
        </w:rPr>
      </w:pPr>
      <w:r>
        <w:rPr>
          <w:u w:color="000000"/>
          <w:lang w:val="en-US"/>
        </w:rPr>
        <w:t>In the Rollout phase, the ALM tools assist in managing the deployment and rollout of the software by providing version control for rollout plans, configuration settings, and deployment scripts. ALM tools help automate the deployment process, ensuring consistency and reliability across different environments. They also track and manage issues or discrepancies that may arise during the rollout phase, facilitating swift resolution.</w:t>
      </w:r>
    </w:p>
    <w:p w14:paraId="4AB6584F" w14:textId="683E5195" w:rsidR="00C5516F" w:rsidRPr="00A21682" w:rsidRDefault="00C5516F" w:rsidP="00F70B45">
      <w:pPr>
        <w:pStyle w:val="NormalNEW"/>
        <w:rPr>
          <w:u w:color="000000"/>
          <w:lang w:val="en-US"/>
        </w:rPr>
      </w:pPr>
      <w:r>
        <w:rPr>
          <w:u w:color="000000"/>
          <w:lang w:val="en-US"/>
        </w:rPr>
        <w:t>Below are the ALM tools and workflows that pertain to the UAT phase:</w:t>
      </w:r>
    </w:p>
    <w:p w14:paraId="5066B1AE" w14:textId="244F0E46" w:rsidR="00C5516F" w:rsidRPr="00A21682" w:rsidRDefault="00F0228F" w:rsidP="0031550A">
      <w:pPr>
        <w:pStyle w:val="BulletNEW"/>
        <w:rPr>
          <w:u w:color="000000"/>
        </w:rPr>
      </w:pPr>
      <w:r>
        <w:rPr>
          <w:u w:color="000000"/>
        </w:rPr>
        <w:t>artifact repository workflow (refer to Section 2.24 artifact repository below)</w:t>
      </w:r>
    </w:p>
    <w:p w14:paraId="0EBB3808" w14:textId="6B8BACD5" w:rsidR="00C5516F" w:rsidRPr="00A21682" w:rsidRDefault="00C5516F" w:rsidP="0031550A">
      <w:pPr>
        <w:pStyle w:val="BulletNEW"/>
        <w:rPr>
          <w:u w:color="000000"/>
        </w:rPr>
      </w:pPr>
      <w:r>
        <w:rPr>
          <w:u w:color="000000"/>
        </w:rPr>
        <w:t>The build server workflow (refer to Section 2.23 the build server below)</w:t>
      </w:r>
    </w:p>
    <w:p w14:paraId="3F6139E3" w14:textId="01521E80" w:rsidR="00C5516F" w:rsidRPr="00A21682" w:rsidRDefault="00C5516F" w:rsidP="0031550A">
      <w:pPr>
        <w:pStyle w:val="BulletNEW"/>
        <w:rPr>
          <w:u w:color="000000"/>
        </w:rPr>
      </w:pPr>
      <w:r>
        <w:rPr>
          <w:u w:color="000000"/>
        </w:rPr>
        <w:t>The source-code repository workflow (refer to Section 2.21 the source-code repository below)</w:t>
      </w:r>
    </w:p>
    <w:p w14:paraId="0FF68F09" w14:textId="77777777" w:rsidR="00C5516F" w:rsidRPr="00A21682" w:rsidRDefault="00C5516F" w:rsidP="00C5516F">
      <w:pPr>
        <w:rPr>
          <w:rFonts w:ascii="Arial" w:eastAsia="Times New Roman" w:hAnsi="Arial" w:cs="Times New Roman"/>
          <w:color w:val="000000"/>
          <w:sz w:val="20"/>
          <w:szCs w:val="20"/>
          <w:u w:color="000000"/>
        </w:rPr>
      </w:pPr>
      <w:r>
        <w:rPr>
          <w:rFonts w:ascii="Arial" w:eastAsia="Times New Roman" w:hAnsi="Arial" w:cs="Times New Roman"/>
          <w:color w:val="000000"/>
          <w:sz w:val="20"/>
          <w:szCs w:val="20"/>
          <w:u w:color="000000"/>
        </w:rPr>
        <w:br w:type="page"/>
      </w:r>
    </w:p>
    <w:p w14:paraId="74854790" w14:textId="709D4976" w:rsidR="0046011F" w:rsidRDefault="0046011F" w:rsidP="0046011F">
      <w:pPr>
        <w:pStyle w:val="Heading2"/>
        <w:rPr>
          <w:u w:color="000000"/>
        </w:rPr>
      </w:pPr>
      <w:bookmarkStart w:id="765" w:name="_Toc185952565"/>
      <w:bookmarkStart w:id="766" w:name="_Toc192874741"/>
      <w:r>
        <w:rPr>
          <w:u w:color="000000"/>
        </w:rPr>
        <w:lastRenderedPageBreak/>
        <w:t>SDLC High-Level Process</w:t>
      </w:r>
      <w:bookmarkEnd w:id="765"/>
      <w:bookmarkEnd w:id="766"/>
      <w:r>
        <w:rPr>
          <w:u w:color="000000"/>
        </w:rPr>
        <w:t xml:space="preserve"> </w:t>
      </w:r>
    </w:p>
    <w:p w14:paraId="0D975929" w14:textId="6487BC8D" w:rsidR="001A45FD" w:rsidRPr="00A21682" w:rsidRDefault="001A45FD" w:rsidP="001A45FD">
      <w:pPr>
        <w:pStyle w:val="NormalNEW"/>
        <w:rPr>
          <w:u w:color="000000"/>
          <w:lang w:val="en-US"/>
        </w:rPr>
      </w:pPr>
      <w:r>
        <w:rPr>
          <w:u w:color="000000"/>
          <w:lang w:val="en-US"/>
        </w:rPr>
        <w:t>The following process flow depicts the High-Level process for SDLC.</w:t>
      </w:r>
    </w:p>
    <w:p w14:paraId="48E07B1F" w14:textId="2E853749" w:rsidR="00EB248B" w:rsidRPr="00A21682" w:rsidRDefault="00BC2275" w:rsidP="00EB248B">
      <w:pPr>
        <w:rPr>
          <w:rFonts w:ascii="Times New Roman" w:eastAsia="Times New Roman" w:hAnsi="Times New Roman" w:cs="Times New Roman"/>
          <w:sz w:val="24"/>
          <w:szCs w:val="24"/>
        </w:rPr>
      </w:pPr>
      <w:r>
        <w:object w:dxaOrig="26670" w:dyaOrig="11480" w14:anchorId="52FFD487">
          <v:shape id="_x0000_i1037" type="#_x0000_t75" style="width:468pt;height:200.4pt" o:ole="">
            <v:imagedata r:id="rId38" o:title=""/>
          </v:shape>
          <o:OLEObject Type="Embed" ProgID="Visio.Drawing.15" ShapeID="_x0000_i1037" DrawAspect="Content" ObjectID="_1849677347" r:id="rId39"/>
        </w:object>
      </w:r>
    </w:p>
    <w:p w14:paraId="336C0AE2" w14:textId="1DDC0B04" w:rsidR="00630EF1" w:rsidRPr="00A21682" w:rsidRDefault="00463E31" w:rsidP="005714E1">
      <w:pPr>
        <w:pStyle w:val="Caption"/>
        <w:rPr>
          <w:noProof w:val="0"/>
        </w:rPr>
      </w:pPr>
      <w:bookmarkStart w:id="767" w:name="_Toc178350476"/>
      <w:bookmarkStart w:id="768" w:name="_Toc178352320"/>
      <w:bookmarkStart w:id="769" w:name="_Toc178354434"/>
      <w:bookmarkStart w:id="770" w:name="_Toc178357243"/>
      <w:bookmarkStart w:id="771" w:name="_Toc178359042"/>
      <w:bookmarkStart w:id="772" w:name="_Toc178371238"/>
      <w:bookmarkStart w:id="773" w:name="_Toc184746815"/>
      <w:bookmarkStart w:id="774" w:name="_Toc178152035"/>
      <w:bookmarkStart w:id="775" w:name="_Toc192875050"/>
      <w:bookmarkEnd w:id="767"/>
      <w:bookmarkEnd w:id="768"/>
      <w:bookmarkEnd w:id="769"/>
      <w:bookmarkEnd w:id="770"/>
      <w:bookmarkEnd w:id="771"/>
      <w:bookmarkEnd w:id="772"/>
      <w:bookmarkEnd w:id="773"/>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13</w:t>
      </w:r>
      <w:r>
        <w:rPr>
          <w:noProof w:val="0"/>
        </w:rPr>
        <w:fldChar w:fldCharType="end"/>
      </w:r>
      <w:r>
        <w:rPr>
          <w:noProof w:val="0"/>
        </w:rPr>
        <w:t>: SDLC High-Level Process Flow</w:t>
      </w:r>
      <w:bookmarkEnd w:id="774"/>
      <w:bookmarkEnd w:id="775"/>
    </w:p>
    <w:p w14:paraId="0D3BC9CD" w14:textId="77777777" w:rsidR="00822903" w:rsidRPr="00A21682" w:rsidRDefault="00822903" w:rsidP="00822903">
      <w:pPr>
        <w:pStyle w:val="Heading3"/>
        <w:rPr>
          <w:bCs/>
          <w:u w:color="000000"/>
        </w:rPr>
      </w:pPr>
      <w:bookmarkStart w:id="776" w:name="_Toc185952566"/>
      <w:bookmarkStart w:id="777" w:name="_Toc192874742"/>
      <w:r>
        <w:rPr>
          <w:u w:color="000000"/>
        </w:rPr>
        <w:t>Process Flow Narrative</w:t>
      </w:r>
      <w:bookmarkEnd w:id="776"/>
      <w:bookmarkEnd w:id="777"/>
    </w:p>
    <w:p w14:paraId="49B98867" w14:textId="77777777" w:rsidR="00822903" w:rsidRPr="00A21682" w:rsidRDefault="00822903" w:rsidP="00822903">
      <w:pPr>
        <w:pStyle w:val="NormalNEW"/>
        <w:rPr>
          <w:u w:color="000000"/>
          <w:lang w:val="en-US"/>
        </w:rPr>
      </w:pPr>
      <w:r>
        <w:rPr>
          <w:u w:color="000000"/>
          <w:lang w:val="en-US"/>
        </w:rPr>
        <w:t>The following table describes each process step illustrated above.</w:t>
      </w:r>
    </w:p>
    <w:tbl>
      <w:tblPr>
        <w:tblpPr w:leftFromText="180" w:rightFromText="180" w:vertAnchor="text" w:tblpX="-93" w:tblpY="1"/>
        <w:tblOverlap w:val="neve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7"/>
        <w:gridCol w:w="1530"/>
        <w:gridCol w:w="1800"/>
        <w:gridCol w:w="1710"/>
        <w:gridCol w:w="1890"/>
        <w:gridCol w:w="1980"/>
      </w:tblGrid>
      <w:tr w:rsidR="00F80041" w:rsidRPr="00A21682" w14:paraId="766942E5" w14:textId="77777777" w:rsidTr="00420254">
        <w:trPr>
          <w:trHeight w:val="300"/>
          <w:tblHeader/>
        </w:trPr>
        <w:tc>
          <w:tcPr>
            <w:tcW w:w="627" w:type="dxa"/>
            <w:tcBorders>
              <w:top w:val="single" w:sz="2" w:space="0" w:color="FFFFFF" w:themeColor="background1"/>
              <w:right w:val="single" w:sz="2" w:space="0" w:color="FFFFFF" w:themeColor="background1"/>
            </w:tcBorders>
            <w:shd w:val="clear" w:color="auto" w:fill="000000"/>
            <w:hideMark/>
          </w:tcPr>
          <w:p w14:paraId="3E43438A" w14:textId="77777777" w:rsidR="007F3894" w:rsidRPr="00A21682" w:rsidRDefault="007F3894" w:rsidP="00865817">
            <w:pPr>
              <w:pStyle w:val="TABLEHEADINGNEW"/>
              <w:rPr>
                <w:rFonts w:ascii="Segoe UI" w:hAnsi="Segoe UI" w:cs="Segoe UI"/>
                <w:bCs w:val="0"/>
                <w:color w:val="000000"/>
                <w:u w:color="000000"/>
              </w:rPr>
            </w:pPr>
            <w:r>
              <w:rPr>
                <w:bCs w:val="0"/>
                <w:u w:color="000000"/>
              </w:rPr>
              <w:t>Step #</w:t>
            </w:r>
          </w:p>
        </w:tc>
        <w:tc>
          <w:tcPr>
            <w:tcW w:w="1530" w:type="dxa"/>
            <w:tcBorders>
              <w:top w:val="single" w:sz="2" w:space="0" w:color="FFFFFF" w:themeColor="background1"/>
              <w:left w:val="single" w:sz="2" w:space="0" w:color="FFFFFF" w:themeColor="background1"/>
              <w:right w:val="single" w:sz="2" w:space="0" w:color="FFFFFF" w:themeColor="background1"/>
            </w:tcBorders>
            <w:shd w:val="clear" w:color="auto" w:fill="000000"/>
            <w:hideMark/>
          </w:tcPr>
          <w:p w14:paraId="3582C9B1" w14:textId="77777777" w:rsidR="007F3894" w:rsidRPr="00A21682" w:rsidRDefault="007F3894" w:rsidP="00865817">
            <w:pPr>
              <w:pStyle w:val="TABLEHEADINGNEW"/>
              <w:rPr>
                <w:rFonts w:ascii="Segoe UI" w:hAnsi="Segoe UI" w:cs="Segoe UI"/>
                <w:bCs w:val="0"/>
                <w:color w:val="000000"/>
                <w:u w:color="000000"/>
              </w:rPr>
            </w:pPr>
            <w:r>
              <w:rPr>
                <w:bCs w:val="0"/>
                <w:u w:color="000000"/>
              </w:rPr>
              <w:t>Process Step</w:t>
            </w:r>
          </w:p>
        </w:tc>
        <w:tc>
          <w:tcPr>
            <w:tcW w:w="1800"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75806CDB" w14:textId="77777777" w:rsidR="007F3894" w:rsidRPr="00A21682" w:rsidRDefault="007F3894" w:rsidP="00865817">
            <w:pPr>
              <w:pStyle w:val="TABLEHEADINGNEW"/>
              <w:rPr>
                <w:bCs w:val="0"/>
                <w:u w:color="000000"/>
              </w:rPr>
            </w:pPr>
            <w:r>
              <w:rPr>
                <w:bCs w:val="0"/>
                <w:u w:color="000000"/>
              </w:rPr>
              <w:t xml:space="preserve">Description </w:t>
            </w:r>
          </w:p>
        </w:tc>
        <w:tc>
          <w:tcPr>
            <w:tcW w:w="1710"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5ADCFA6E" w14:textId="77777777" w:rsidR="007F3894" w:rsidRPr="00A21682" w:rsidRDefault="007F3894" w:rsidP="00865817">
            <w:pPr>
              <w:pStyle w:val="TABLEHEADINGNEW"/>
              <w:rPr>
                <w:bCs w:val="0"/>
                <w:u w:color="000000"/>
              </w:rPr>
            </w:pPr>
            <w:r>
              <w:rPr>
                <w:bCs w:val="0"/>
                <w:u w:color="000000"/>
              </w:rPr>
              <w:t>Stakeholder</w:t>
            </w:r>
          </w:p>
          <w:p w14:paraId="6A8024F3" w14:textId="77777777" w:rsidR="007F3894" w:rsidRPr="00A21682" w:rsidRDefault="007F3894" w:rsidP="00865817">
            <w:pPr>
              <w:pStyle w:val="TABLEHEADINGNEW"/>
              <w:rPr>
                <w:bCs w:val="0"/>
                <w:u w:color="000000"/>
              </w:rPr>
            </w:pPr>
            <w:r>
              <w:rPr>
                <w:bCs w:val="0"/>
                <w:u w:color="000000"/>
              </w:rPr>
              <w:t>Group(s)</w:t>
            </w:r>
          </w:p>
        </w:tc>
        <w:tc>
          <w:tcPr>
            <w:tcW w:w="1890"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51167A0F" w14:textId="77777777" w:rsidR="007F3894" w:rsidRPr="00A21682" w:rsidRDefault="007F3894" w:rsidP="00865817">
            <w:pPr>
              <w:pStyle w:val="TABLEHEADINGNEW"/>
              <w:rPr>
                <w:bCs w:val="0"/>
                <w:u w:color="000000"/>
              </w:rPr>
            </w:pPr>
            <w:r>
              <w:rPr>
                <w:bCs w:val="0"/>
                <w:u w:color="000000"/>
              </w:rPr>
              <w:t>Inputs (Documents/ Work Products)</w:t>
            </w:r>
          </w:p>
        </w:tc>
        <w:tc>
          <w:tcPr>
            <w:tcW w:w="1980"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66556DFC" w14:textId="77777777" w:rsidR="007F3894" w:rsidRPr="00A21682" w:rsidRDefault="007F3894" w:rsidP="00865817">
            <w:pPr>
              <w:pStyle w:val="TABLEHEADINGNEW"/>
              <w:rPr>
                <w:bCs w:val="0"/>
                <w:u w:color="000000"/>
              </w:rPr>
            </w:pPr>
            <w:r>
              <w:rPr>
                <w:bCs w:val="0"/>
                <w:u w:color="000000"/>
              </w:rPr>
              <w:t>Outputs (Documents/ Work Products)</w:t>
            </w:r>
          </w:p>
        </w:tc>
      </w:tr>
      <w:tr w:rsidR="007F3894" w:rsidRPr="00A21682" w14:paraId="19D5C04F" w14:textId="77777777" w:rsidTr="00420254">
        <w:trPr>
          <w:trHeight w:val="300"/>
        </w:trPr>
        <w:tc>
          <w:tcPr>
            <w:tcW w:w="627" w:type="dxa"/>
          </w:tcPr>
          <w:p w14:paraId="3F38500A" w14:textId="77777777" w:rsidR="007F3894" w:rsidRPr="00A21682" w:rsidRDefault="007F3894" w:rsidP="00865817">
            <w:pPr>
              <w:pStyle w:val="TABLETEXT1"/>
              <w:rPr>
                <w:lang w:val="en-US"/>
              </w:rPr>
            </w:pPr>
            <w:r>
              <w:rPr>
                <w:lang w:val="en-US"/>
              </w:rPr>
              <w:t>0.1</w:t>
            </w:r>
          </w:p>
        </w:tc>
        <w:tc>
          <w:tcPr>
            <w:tcW w:w="1530" w:type="dxa"/>
          </w:tcPr>
          <w:p w14:paraId="6E636B6B" w14:textId="61A28B39" w:rsidR="007F3894" w:rsidRPr="00A21682" w:rsidRDefault="008E6781" w:rsidP="00865817">
            <w:pPr>
              <w:pStyle w:val="TABLETEXT1"/>
              <w:rPr>
                <w:u w:color="000000"/>
              </w:rPr>
            </w:pPr>
            <w:r>
              <w:t>Continuing Medicaid Eligibility Modernization Wave Planning*</w:t>
            </w:r>
          </w:p>
          <w:p w14:paraId="771CD543" w14:textId="77777777" w:rsidR="007F3894" w:rsidRPr="00A21682" w:rsidRDefault="007F3894" w:rsidP="00865817">
            <w:pPr>
              <w:pStyle w:val="TABLETEXT1"/>
              <w:rPr>
                <w:u w:color="000000"/>
              </w:rPr>
            </w:pPr>
            <w:r>
              <w:t xml:space="preserve">Initial Solution Definition. </w:t>
            </w:r>
          </w:p>
          <w:p w14:paraId="282E7309" w14:textId="31AD03EF" w:rsidR="007F3894" w:rsidRPr="00A21682" w:rsidRDefault="007F3894" w:rsidP="00865817">
            <w:pPr>
              <w:pStyle w:val="TABLETEXT1"/>
              <w:rPr>
                <w:u w:color="000000"/>
              </w:rPr>
            </w:pPr>
            <w:r>
              <w:t>*</w:t>
            </w:r>
            <w:r>
              <w:rPr>
                <w:u w:color="000000"/>
              </w:rPr>
              <w:t>The high-level scope and initial budget are defined, and key stakeholder readiness is confirmed</w:t>
            </w:r>
          </w:p>
        </w:tc>
        <w:tc>
          <w:tcPr>
            <w:tcW w:w="1800" w:type="dxa"/>
          </w:tcPr>
          <w:p w14:paraId="18FFF850" w14:textId="47D9AA88" w:rsidR="007F3894" w:rsidRPr="00A21682" w:rsidRDefault="007F3894" w:rsidP="00865817">
            <w:pPr>
              <w:pStyle w:val="TABLETEXT1"/>
              <w:rPr>
                <w:u w:color="000000"/>
              </w:rPr>
            </w:pPr>
            <w:r>
              <w:t>Executive stakeholders st</w:t>
            </w:r>
            <w:r>
              <w:rPr>
                <w:u w:color="000000"/>
              </w:rPr>
              <w:t>art Continuing Medicaid Eligibility Modernization wave planning</w:t>
            </w:r>
          </w:p>
        </w:tc>
        <w:tc>
          <w:tcPr>
            <w:tcW w:w="1710" w:type="dxa"/>
          </w:tcPr>
          <w:p w14:paraId="2EE5D8F3" w14:textId="77777777" w:rsidR="007F3894" w:rsidRPr="00635C9B" w:rsidRDefault="007F3894" w:rsidP="00865817">
            <w:pPr>
              <w:pStyle w:val="TABLEBULLETNEW"/>
            </w:pPr>
            <w:r>
              <w:t>Executive Stakeholders</w:t>
            </w:r>
          </w:p>
        </w:tc>
        <w:tc>
          <w:tcPr>
            <w:tcW w:w="1890" w:type="dxa"/>
          </w:tcPr>
          <w:p w14:paraId="42C0AB7C" w14:textId="77777777" w:rsidR="007F3894" w:rsidRPr="007C6503" w:rsidRDefault="007F3894" w:rsidP="00865817">
            <w:pPr>
              <w:pStyle w:val="TABLEBULLETNEW"/>
            </w:pPr>
            <w:r>
              <w:t>Scope, goals, and objectives for the Wave</w:t>
            </w:r>
          </w:p>
        </w:tc>
        <w:tc>
          <w:tcPr>
            <w:tcW w:w="1980" w:type="dxa"/>
          </w:tcPr>
          <w:p w14:paraId="747F7947" w14:textId="77777777" w:rsidR="007F3894" w:rsidRPr="00CE6472" w:rsidRDefault="007F3894" w:rsidP="00865817">
            <w:pPr>
              <w:pStyle w:val="TABLEBULLETNEW"/>
            </w:pPr>
            <w:r>
              <w:t>Technical architecture diagrams for Wave</w:t>
            </w:r>
          </w:p>
          <w:p w14:paraId="595C92B3" w14:textId="77777777" w:rsidR="007F3894" w:rsidRPr="00CE6472" w:rsidRDefault="007F3894" w:rsidP="00865817">
            <w:pPr>
              <w:pStyle w:val="TABLEBULLETNEW"/>
            </w:pPr>
            <w:r>
              <w:t>Logical architecture diagram for Wave</w:t>
            </w:r>
          </w:p>
          <w:p w14:paraId="4F74CB3F" w14:textId="77777777" w:rsidR="007F3894" w:rsidRPr="00CE6472" w:rsidRDefault="007F3894" w:rsidP="00865817">
            <w:pPr>
              <w:pStyle w:val="TABLEBULLETNEW"/>
            </w:pPr>
            <w:r>
              <w:t>Physical architecture diagram for Wave</w:t>
            </w:r>
          </w:p>
          <w:p w14:paraId="4EA61125" w14:textId="77777777" w:rsidR="007F3894" w:rsidRPr="00CE6472" w:rsidRDefault="007F3894" w:rsidP="00865817">
            <w:pPr>
              <w:pStyle w:val="TABLEBULLETNEW"/>
            </w:pPr>
            <w:r>
              <w:t>Security Requirements</w:t>
            </w:r>
          </w:p>
          <w:p w14:paraId="53EC8970" w14:textId="77777777" w:rsidR="007F3894" w:rsidRDefault="007F3894" w:rsidP="00865817">
            <w:pPr>
              <w:pStyle w:val="TABLEBULLETNEW"/>
            </w:pPr>
            <w:r>
              <w:t>Change Impact Assessment</w:t>
            </w:r>
          </w:p>
          <w:p w14:paraId="34617517" w14:textId="77777777" w:rsidR="007F3894" w:rsidRPr="00CE6472" w:rsidRDefault="007F3894" w:rsidP="00865817">
            <w:pPr>
              <w:pStyle w:val="TABLEBULLETNEW"/>
            </w:pPr>
            <w:r>
              <w:t>Initial Solution Definition (DEL-01)</w:t>
            </w:r>
          </w:p>
        </w:tc>
      </w:tr>
      <w:tr w:rsidR="007F3894" w:rsidRPr="00A21682" w14:paraId="19386490" w14:textId="77777777" w:rsidTr="00420254">
        <w:trPr>
          <w:trHeight w:val="300"/>
        </w:trPr>
        <w:tc>
          <w:tcPr>
            <w:tcW w:w="627" w:type="dxa"/>
          </w:tcPr>
          <w:p w14:paraId="383F5F15" w14:textId="77777777" w:rsidR="007F3894" w:rsidRPr="00A21682" w:rsidRDefault="007F3894" w:rsidP="00865817">
            <w:pPr>
              <w:pStyle w:val="TABLETEXT1"/>
              <w:rPr>
                <w:lang w:val="en-US"/>
              </w:rPr>
            </w:pPr>
            <w:r>
              <w:rPr>
                <w:lang w:val="en-US"/>
              </w:rPr>
              <w:t>1.0</w:t>
            </w:r>
          </w:p>
        </w:tc>
        <w:tc>
          <w:tcPr>
            <w:tcW w:w="1530" w:type="dxa"/>
          </w:tcPr>
          <w:p w14:paraId="722F6DEF" w14:textId="77777777" w:rsidR="007F3894" w:rsidRPr="00A21682" w:rsidRDefault="007F3894" w:rsidP="00865817">
            <w:pPr>
              <w:pStyle w:val="TABLETEXT1"/>
              <w:rPr>
                <w:u w:color="000000"/>
              </w:rPr>
            </w:pPr>
            <w:r>
              <w:t>Business Process Analysis</w:t>
            </w:r>
          </w:p>
        </w:tc>
        <w:tc>
          <w:tcPr>
            <w:tcW w:w="1800" w:type="dxa"/>
          </w:tcPr>
          <w:p w14:paraId="20996AB4" w14:textId="2DE4627B" w:rsidR="007F3894" w:rsidRPr="00A21682" w:rsidRDefault="007F3894" w:rsidP="00865817">
            <w:pPr>
              <w:pStyle w:val="TABLETEXT1"/>
              <w:rPr>
                <w:u w:color="000000"/>
              </w:rPr>
            </w:pPr>
            <w:r>
              <w:t xml:space="preserve">Business stakeholders lead </w:t>
            </w:r>
            <w:r>
              <w:lastRenderedPageBreak/>
              <w:t>the business process analysis</w:t>
            </w:r>
          </w:p>
        </w:tc>
        <w:tc>
          <w:tcPr>
            <w:tcW w:w="1710" w:type="dxa"/>
          </w:tcPr>
          <w:p w14:paraId="389F3F0D" w14:textId="77777777" w:rsidR="007F3894" w:rsidRPr="00635C9B" w:rsidRDefault="007F3894" w:rsidP="00865817">
            <w:pPr>
              <w:pStyle w:val="TABLEBULLETNEW"/>
            </w:pPr>
            <w:r>
              <w:lastRenderedPageBreak/>
              <w:t>Business Stakeholders</w:t>
            </w:r>
          </w:p>
        </w:tc>
        <w:tc>
          <w:tcPr>
            <w:tcW w:w="1890" w:type="dxa"/>
          </w:tcPr>
          <w:p w14:paraId="5042B063" w14:textId="77777777" w:rsidR="007F3894" w:rsidRPr="008F3B3C" w:rsidRDefault="007F3894" w:rsidP="00865817">
            <w:pPr>
              <w:pStyle w:val="TABLEBULLETNEW"/>
            </w:pPr>
            <w:r>
              <w:t>Initial Solution Definition (ISD) (DEL-01)</w:t>
            </w:r>
          </w:p>
          <w:p w14:paraId="29759790" w14:textId="77777777" w:rsidR="007F3894" w:rsidRPr="008F3B3C" w:rsidRDefault="007F3894" w:rsidP="00865817">
            <w:pPr>
              <w:pStyle w:val="TABLEBULLETNEW"/>
            </w:pPr>
            <w:r>
              <w:lastRenderedPageBreak/>
              <w:t>MECM Master Statement of Work (MSOW)</w:t>
            </w:r>
          </w:p>
          <w:p w14:paraId="1F4441BC" w14:textId="77777777" w:rsidR="007F3894" w:rsidRPr="008F3B3C" w:rsidRDefault="007F3894" w:rsidP="00865817">
            <w:pPr>
              <w:pStyle w:val="TABLEBULLETNEW"/>
            </w:pPr>
            <w:r>
              <w:t>Implementation Schedule Overview (DEL-02)</w:t>
            </w:r>
          </w:p>
          <w:p w14:paraId="7E51D451" w14:textId="77777777" w:rsidR="007F3894" w:rsidRDefault="007F3894" w:rsidP="00865817">
            <w:pPr>
              <w:pStyle w:val="TABLEBULLETNEW"/>
            </w:pPr>
            <w:r>
              <w:t>MECM System and Project – Budget Planning</w:t>
            </w:r>
          </w:p>
          <w:p w14:paraId="244B1D4A" w14:textId="09E16E23" w:rsidR="007F3894" w:rsidRPr="00AE529B" w:rsidRDefault="007F3894" w:rsidP="00865817">
            <w:pPr>
              <w:pStyle w:val="TABLEBULLETNEW"/>
            </w:pPr>
            <w:r>
              <w:t>Stakeholder Engagement Plan (PMP DEL-05, refer to Section 3)</w:t>
            </w:r>
          </w:p>
          <w:p w14:paraId="70AF6F14" w14:textId="77777777" w:rsidR="007F3894" w:rsidRDefault="007F3894" w:rsidP="00865817">
            <w:pPr>
              <w:pStyle w:val="TABLEBULLETNEW"/>
            </w:pPr>
            <w:r>
              <w:t>SDLC Methodology – Roles and Responsibilities Matrix</w:t>
            </w:r>
          </w:p>
          <w:p w14:paraId="1545523F" w14:textId="77777777" w:rsidR="007F3894" w:rsidRPr="008F3B3C" w:rsidRDefault="007F3894" w:rsidP="00865817">
            <w:pPr>
              <w:pStyle w:val="TABLEBULLETNEW"/>
            </w:pPr>
            <w:r>
              <w:t>Master ISOW Integrated Project Schedule</w:t>
            </w:r>
          </w:p>
        </w:tc>
        <w:tc>
          <w:tcPr>
            <w:tcW w:w="1980" w:type="dxa"/>
          </w:tcPr>
          <w:p w14:paraId="1F70F7A8" w14:textId="77777777" w:rsidR="007F3894" w:rsidRPr="00A21682" w:rsidRDefault="007F3894" w:rsidP="00865817">
            <w:pPr>
              <w:pStyle w:val="TABLEBULLETNEW"/>
            </w:pPr>
            <w:r>
              <w:lastRenderedPageBreak/>
              <w:t xml:space="preserve">As Is/To-Be Business </w:t>
            </w:r>
            <w:r>
              <w:lastRenderedPageBreak/>
              <w:t>Process Maps (DEL-17)</w:t>
            </w:r>
          </w:p>
          <w:p w14:paraId="4BD9A76C" w14:textId="77777777" w:rsidR="007F3894" w:rsidRPr="00A21682" w:rsidRDefault="007F3894" w:rsidP="00865817">
            <w:pPr>
              <w:pStyle w:val="TABLEBULLETNEW"/>
            </w:pPr>
            <w:r>
              <w:t>Requirement Logic Flows/System Requirements Input Document</w:t>
            </w:r>
          </w:p>
          <w:p w14:paraId="77F8A755" w14:textId="77777777" w:rsidR="007F3894" w:rsidRDefault="007F3894" w:rsidP="00865817">
            <w:pPr>
              <w:pStyle w:val="TABLEBULLETNEW"/>
            </w:pPr>
            <w:r>
              <w:t>Business Objectives Documentation</w:t>
            </w:r>
          </w:p>
        </w:tc>
      </w:tr>
      <w:tr w:rsidR="007F3894" w:rsidRPr="00A21682" w14:paraId="4EC152B2" w14:textId="77777777" w:rsidTr="00420254">
        <w:trPr>
          <w:trHeight w:val="300"/>
        </w:trPr>
        <w:tc>
          <w:tcPr>
            <w:tcW w:w="627" w:type="dxa"/>
          </w:tcPr>
          <w:p w14:paraId="2376A562" w14:textId="77777777" w:rsidR="007F3894" w:rsidRPr="00A21682" w:rsidRDefault="007F3894" w:rsidP="00865817">
            <w:pPr>
              <w:pStyle w:val="TABLETEXT1"/>
              <w:rPr>
                <w:lang w:val="en-US"/>
              </w:rPr>
            </w:pPr>
            <w:r>
              <w:rPr>
                <w:lang w:val="en-US"/>
              </w:rPr>
              <w:t>1.1</w:t>
            </w:r>
          </w:p>
        </w:tc>
        <w:tc>
          <w:tcPr>
            <w:tcW w:w="1530" w:type="dxa"/>
          </w:tcPr>
          <w:p w14:paraId="19B35581" w14:textId="77777777" w:rsidR="007F3894" w:rsidRPr="00A21682" w:rsidRDefault="007F3894" w:rsidP="00865817">
            <w:pPr>
              <w:pStyle w:val="TABLETEXT1"/>
              <w:rPr>
                <w:u w:color="000000"/>
              </w:rPr>
            </w:pPr>
            <w:r>
              <w:t xml:space="preserve">Are Requirements Gathering and Business Process Analysis in </w:t>
            </w:r>
            <w:r>
              <w:rPr>
                <w:u w:color="000000"/>
              </w:rPr>
              <w:t>Parallel?</w:t>
            </w:r>
          </w:p>
          <w:p w14:paraId="0FE3F27C" w14:textId="77777777" w:rsidR="007F3894" w:rsidRPr="00A21682" w:rsidRDefault="007F3894" w:rsidP="00865817">
            <w:pPr>
              <w:pStyle w:val="TABLETEXT1"/>
            </w:pPr>
          </w:p>
          <w:p w14:paraId="36DA3080" w14:textId="77777777" w:rsidR="007F3894" w:rsidRPr="00A21682" w:rsidRDefault="007F3894" w:rsidP="00865817">
            <w:pPr>
              <w:pStyle w:val="TABLETEXT1"/>
            </w:pPr>
          </w:p>
        </w:tc>
        <w:tc>
          <w:tcPr>
            <w:tcW w:w="1800" w:type="dxa"/>
          </w:tcPr>
          <w:p w14:paraId="6B8373D7" w14:textId="098F6D32" w:rsidR="007F3894" w:rsidRPr="00A21682" w:rsidRDefault="007F3894" w:rsidP="00865817">
            <w:pPr>
              <w:pStyle w:val="TABLETEXT1"/>
              <w:rPr>
                <w:u w:color="000000"/>
              </w:rPr>
            </w:pPr>
            <w:r>
              <w:t>Business and Executive stakeholders decide if requirements gathering</w:t>
            </w:r>
            <w:r>
              <w:rPr>
                <w:u w:color="000000"/>
              </w:rPr>
              <w:t>, and business process analysis are being done in parallel.</w:t>
            </w:r>
          </w:p>
          <w:p w14:paraId="734E72E4" w14:textId="0D1B3F80" w:rsidR="007F3894" w:rsidRDefault="007F3894" w:rsidP="00865817">
            <w:pPr>
              <w:pStyle w:val="TABLEBULLETNEW"/>
            </w:pPr>
            <w:r>
              <w:t xml:space="preserve">If it is parallel, proceed to </w:t>
            </w:r>
            <w:r>
              <w:rPr>
                <w:i/>
              </w:rPr>
              <w:t>Step #2.0 Requirements Gathering</w:t>
            </w:r>
          </w:p>
          <w:p w14:paraId="794EE883" w14:textId="00E2A76D" w:rsidR="007F3894" w:rsidRDefault="007F3894" w:rsidP="00865817">
            <w:pPr>
              <w:pStyle w:val="TABLEBULLETNEW"/>
            </w:pPr>
            <w:r>
              <w:t xml:space="preserve">If it is not parallel, proceed to </w:t>
            </w:r>
            <w:r>
              <w:rPr>
                <w:i/>
              </w:rPr>
              <w:t>Step #1.2 Is Business Process Analysis Exit Criteria Met?</w:t>
            </w:r>
          </w:p>
        </w:tc>
        <w:tc>
          <w:tcPr>
            <w:tcW w:w="1710" w:type="dxa"/>
          </w:tcPr>
          <w:p w14:paraId="633AF34E" w14:textId="77777777" w:rsidR="007F3894" w:rsidRDefault="007F3894" w:rsidP="00865817">
            <w:pPr>
              <w:pStyle w:val="TABLEBULLETNEW"/>
            </w:pPr>
            <w:r>
              <w:t>Executive Stakeholders</w:t>
            </w:r>
          </w:p>
          <w:p w14:paraId="6794F224" w14:textId="77777777" w:rsidR="007F3894" w:rsidRPr="00635C9B" w:rsidRDefault="007F3894" w:rsidP="00865817">
            <w:pPr>
              <w:pStyle w:val="TABLEBULLETNEW"/>
            </w:pPr>
            <w:r>
              <w:t>Business Stakeholders</w:t>
            </w:r>
          </w:p>
        </w:tc>
        <w:tc>
          <w:tcPr>
            <w:tcW w:w="1890" w:type="dxa"/>
          </w:tcPr>
          <w:p w14:paraId="581A441D" w14:textId="77777777" w:rsidR="007F3894" w:rsidRDefault="007F3894" w:rsidP="00865817">
            <w:pPr>
              <w:pStyle w:val="TABLEBULLETNEW"/>
            </w:pPr>
            <w:r>
              <w:t xml:space="preserve"> N/A</w:t>
            </w:r>
          </w:p>
        </w:tc>
        <w:tc>
          <w:tcPr>
            <w:tcW w:w="1980" w:type="dxa"/>
          </w:tcPr>
          <w:p w14:paraId="02B4021A" w14:textId="77777777" w:rsidR="007F3894" w:rsidRDefault="007F3894" w:rsidP="00865817">
            <w:pPr>
              <w:pStyle w:val="TABLEBULLETNEW"/>
            </w:pPr>
            <w:r>
              <w:t>N/A</w:t>
            </w:r>
          </w:p>
        </w:tc>
      </w:tr>
      <w:tr w:rsidR="007F3894" w:rsidRPr="00A21682" w14:paraId="1E5272E1" w14:textId="77777777" w:rsidTr="00420254">
        <w:trPr>
          <w:trHeight w:val="300"/>
        </w:trPr>
        <w:tc>
          <w:tcPr>
            <w:tcW w:w="627" w:type="dxa"/>
          </w:tcPr>
          <w:p w14:paraId="698E59CB" w14:textId="77777777" w:rsidR="007F3894" w:rsidRPr="00A21682" w:rsidRDefault="007F3894" w:rsidP="00865817">
            <w:pPr>
              <w:pStyle w:val="TABLETEXT1"/>
              <w:rPr>
                <w:lang w:val="en-US"/>
              </w:rPr>
            </w:pPr>
            <w:r>
              <w:rPr>
                <w:lang w:val="en-US"/>
              </w:rPr>
              <w:lastRenderedPageBreak/>
              <w:t>2.0</w:t>
            </w:r>
          </w:p>
        </w:tc>
        <w:tc>
          <w:tcPr>
            <w:tcW w:w="1530" w:type="dxa"/>
          </w:tcPr>
          <w:p w14:paraId="1517BD81" w14:textId="77777777" w:rsidR="007F3894" w:rsidRPr="00A21682" w:rsidRDefault="007F3894" w:rsidP="00865817">
            <w:pPr>
              <w:pStyle w:val="TABLETEXT1"/>
              <w:rPr>
                <w:u w:color="000000"/>
              </w:rPr>
            </w:pPr>
            <w:r>
              <w:t>Requirement Gathering</w:t>
            </w:r>
          </w:p>
        </w:tc>
        <w:tc>
          <w:tcPr>
            <w:tcW w:w="1800" w:type="dxa"/>
          </w:tcPr>
          <w:p w14:paraId="4ACDC1E6" w14:textId="0E326EFE" w:rsidR="007F3894" w:rsidRPr="00A21682" w:rsidRDefault="007F3894" w:rsidP="00865817">
            <w:pPr>
              <w:pStyle w:val="TABLETEXT1"/>
              <w:rPr>
                <w:u w:color="000000"/>
              </w:rPr>
            </w:pPr>
            <w:r>
              <w:t xml:space="preserve">Business and Functional stakeholders gather requirements </w:t>
            </w:r>
          </w:p>
        </w:tc>
        <w:tc>
          <w:tcPr>
            <w:tcW w:w="1710" w:type="dxa"/>
          </w:tcPr>
          <w:p w14:paraId="52946BB2" w14:textId="77777777" w:rsidR="007F3894" w:rsidRDefault="007F3894" w:rsidP="00865817">
            <w:pPr>
              <w:pStyle w:val="TABLEBULLETNEW"/>
            </w:pPr>
            <w:r>
              <w:t>Business Stakeholders</w:t>
            </w:r>
          </w:p>
          <w:p w14:paraId="22F46F05" w14:textId="77777777" w:rsidR="007F3894" w:rsidRPr="00635C9B" w:rsidRDefault="007F3894" w:rsidP="00865817">
            <w:pPr>
              <w:pStyle w:val="TABLEBULLETNEW"/>
            </w:pPr>
            <w:r>
              <w:t>Functional Stakeholders</w:t>
            </w:r>
          </w:p>
        </w:tc>
        <w:tc>
          <w:tcPr>
            <w:tcW w:w="1890" w:type="dxa"/>
          </w:tcPr>
          <w:p w14:paraId="1653E71D" w14:textId="77777777" w:rsidR="007F3894" w:rsidRPr="003D4FD7" w:rsidRDefault="007F3894" w:rsidP="00865817">
            <w:pPr>
              <w:pStyle w:val="TABLEBULLETNEW"/>
            </w:pPr>
            <w:r>
              <w:t>Requirement Logic Flows/System Requirements Input Documents</w:t>
            </w:r>
          </w:p>
          <w:p w14:paraId="2BD60446" w14:textId="77777777" w:rsidR="007F3894" w:rsidRPr="003D4FD7" w:rsidRDefault="007F3894" w:rsidP="00865817">
            <w:pPr>
              <w:pStyle w:val="TABLEBULLETNEW"/>
            </w:pPr>
            <w:r>
              <w:t>Baselined Work Plan and Project Schedule (DEL-06)</w:t>
            </w:r>
          </w:p>
          <w:p w14:paraId="4C6EC8DF" w14:textId="59FE98D6" w:rsidR="007F3894" w:rsidRPr="004061AF" w:rsidRDefault="007F3894" w:rsidP="00865817">
            <w:pPr>
              <w:pStyle w:val="TABLEBULLETNEW"/>
            </w:pPr>
            <w:r>
              <w:t>Change Management Plan (DEL-30) Stakeholders Engagement (refer to Section 3)</w:t>
            </w:r>
          </w:p>
          <w:p w14:paraId="511CEBE0" w14:textId="2D49974F" w:rsidR="007F3894" w:rsidRPr="00501951" w:rsidRDefault="007F3894" w:rsidP="00865817">
            <w:pPr>
              <w:pStyle w:val="TABLEBULLETNEW"/>
            </w:pPr>
            <w:r>
              <w:t>Project Management Plan (DEL-05) SDLC Methodology (Section 2)– Roles and Responsibilities Matrix (Appendix C-1)</w:t>
            </w:r>
          </w:p>
        </w:tc>
        <w:tc>
          <w:tcPr>
            <w:tcW w:w="1980" w:type="dxa"/>
          </w:tcPr>
          <w:p w14:paraId="5D91DA8C" w14:textId="33C3D5AD" w:rsidR="007F3894" w:rsidRPr="000A2B3A" w:rsidRDefault="007F3894" w:rsidP="00865817">
            <w:pPr>
              <w:pStyle w:val="TABLEBULLETNEW"/>
            </w:pPr>
            <w:r>
              <w:t>Requirements Specification Document (DEL-18)</w:t>
            </w:r>
          </w:p>
          <w:p w14:paraId="3F7A1576" w14:textId="11BC9D06" w:rsidR="007F3894" w:rsidRPr="000A2B3A" w:rsidRDefault="007F3894" w:rsidP="00865817">
            <w:pPr>
              <w:pStyle w:val="TABLEBULLETNEW"/>
            </w:pPr>
            <w:r>
              <w:t>Requirements Traceability Matrix (DEL-19)</w:t>
            </w:r>
          </w:p>
          <w:p w14:paraId="49961939" w14:textId="77777777" w:rsidR="007F3894" w:rsidRPr="000A2B3A" w:rsidRDefault="007F3894" w:rsidP="00865817">
            <w:pPr>
              <w:pStyle w:val="TABLEBULLETNEW"/>
            </w:pPr>
            <w:r>
              <w:t>Documented Base Solution gaps and required changes</w:t>
            </w:r>
          </w:p>
        </w:tc>
      </w:tr>
      <w:tr w:rsidR="007F3894" w:rsidRPr="00A21682" w14:paraId="4136CDEE" w14:textId="77777777" w:rsidTr="00420254">
        <w:trPr>
          <w:trHeight w:val="300"/>
        </w:trPr>
        <w:tc>
          <w:tcPr>
            <w:tcW w:w="627" w:type="dxa"/>
          </w:tcPr>
          <w:p w14:paraId="5C0DED0A" w14:textId="77777777" w:rsidR="007F3894" w:rsidRPr="00A21682" w:rsidRDefault="007F3894" w:rsidP="00865817">
            <w:pPr>
              <w:pStyle w:val="TABLETEXT1"/>
              <w:rPr>
                <w:lang w:val="en-US"/>
              </w:rPr>
            </w:pPr>
            <w:r>
              <w:rPr>
                <w:lang w:val="en-US"/>
              </w:rPr>
              <w:t>1.2</w:t>
            </w:r>
          </w:p>
        </w:tc>
        <w:tc>
          <w:tcPr>
            <w:tcW w:w="1530" w:type="dxa"/>
          </w:tcPr>
          <w:p w14:paraId="1D4B8787" w14:textId="77777777" w:rsidR="007F3894" w:rsidRPr="00A21682" w:rsidRDefault="007F3894" w:rsidP="00865817">
            <w:pPr>
              <w:pStyle w:val="TABLETEXT1"/>
              <w:rPr>
                <w:u w:color="000000"/>
              </w:rPr>
            </w:pPr>
            <w:r>
              <w:t xml:space="preserve">Is Business Process Analysis Exit Criteria </w:t>
            </w:r>
            <w:r>
              <w:rPr>
                <w:u w:color="000000"/>
              </w:rPr>
              <w:t>Met?</w:t>
            </w:r>
          </w:p>
          <w:p w14:paraId="759B1949" w14:textId="77777777" w:rsidR="007F3894" w:rsidRPr="00A21682" w:rsidRDefault="007F3894" w:rsidP="00865817">
            <w:pPr>
              <w:pStyle w:val="TABLETEXT1"/>
            </w:pPr>
          </w:p>
        </w:tc>
        <w:tc>
          <w:tcPr>
            <w:tcW w:w="1800" w:type="dxa"/>
          </w:tcPr>
          <w:p w14:paraId="5A25FE27" w14:textId="5277FB89" w:rsidR="007F3894" w:rsidRPr="00A21682" w:rsidRDefault="007F3894" w:rsidP="00865817">
            <w:pPr>
              <w:pStyle w:val="TABLETEXT1"/>
              <w:rPr>
                <w:u w:color="000000"/>
              </w:rPr>
            </w:pPr>
            <w:r>
              <w:t xml:space="preserve">Business stakeholders decide if business process analysis exit criteria </w:t>
            </w:r>
            <w:r>
              <w:rPr>
                <w:u w:color="000000"/>
              </w:rPr>
              <w:t>are met</w:t>
            </w:r>
          </w:p>
          <w:p w14:paraId="102D98EA" w14:textId="49290BA1" w:rsidR="007F3894" w:rsidRDefault="007F3894" w:rsidP="00865817">
            <w:pPr>
              <w:pStyle w:val="TABLEBULLETNEW"/>
            </w:pPr>
            <w:r>
              <w:t xml:space="preserve">If the criteria are met, proceed to </w:t>
            </w:r>
            <w:r>
              <w:rPr>
                <w:i/>
              </w:rPr>
              <w:t>Step #1.3 Is Requirements Gathering</w:t>
            </w:r>
            <w:r>
              <w:t xml:space="preserve"> E</w:t>
            </w:r>
            <w:r>
              <w:rPr>
                <w:i/>
              </w:rPr>
              <w:t>xit Criteria Met?</w:t>
            </w:r>
          </w:p>
          <w:p w14:paraId="5A75D19C" w14:textId="7041EF1B" w:rsidR="007F3894" w:rsidRDefault="007F3894" w:rsidP="00865817">
            <w:pPr>
              <w:pStyle w:val="TABLEBULLETNEW"/>
            </w:pPr>
            <w:r>
              <w:t xml:space="preserve">If the criteria are not met, proceed to </w:t>
            </w:r>
            <w:r>
              <w:rPr>
                <w:i/>
              </w:rPr>
              <w:t xml:space="preserve">Step # 1.0 Business </w:t>
            </w:r>
            <w:r>
              <w:rPr>
                <w:i/>
              </w:rPr>
              <w:lastRenderedPageBreak/>
              <w:t>Process Analysis</w:t>
            </w:r>
          </w:p>
        </w:tc>
        <w:tc>
          <w:tcPr>
            <w:tcW w:w="1710" w:type="dxa"/>
          </w:tcPr>
          <w:p w14:paraId="74F73A3D" w14:textId="77777777" w:rsidR="007F3894" w:rsidRPr="00635C9B" w:rsidRDefault="007F3894" w:rsidP="00865817">
            <w:pPr>
              <w:pStyle w:val="TABLEBULLETNEW"/>
            </w:pPr>
            <w:r>
              <w:lastRenderedPageBreak/>
              <w:t xml:space="preserve">Business Stakeholders </w:t>
            </w:r>
          </w:p>
        </w:tc>
        <w:tc>
          <w:tcPr>
            <w:tcW w:w="1890" w:type="dxa"/>
          </w:tcPr>
          <w:p w14:paraId="4B823DEE" w14:textId="77777777" w:rsidR="007F3894" w:rsidRDefault="007F3894" w:rsidP="00865817">
            <w:pPr>
              <w:pStyle w:val="TABLEBULLETNEW"/>
            </w:pPr>
            <w:r>
              <w:t>As-Is/To-Be Business Process Maps (DEL-17) and personas are reviewed and approved by DOH OHIP</w:t>
            </w:r>
          </w:p>
          <w:p w14:paraId="5E8EB265" w14:textId="77777777" w:rsidR="007F3894" w:rsidRDefault="007F3894" w:rsidP="00865817">
            <w:pPr>
              <w:pStyle w:val="TABLEBULLETNEW"/>
            </w:pPr>
            <w:r>
              <w:t>Business requirements or high-level scope are defined and documented</w:t>
            </w:r>
          </w:p>
          <w:p w14:paraId="235EABDA" w14:textId="77777777" w:rsidR="007F3894" w:rsidRPr="007101A2" w:rsidRDefault="007F3894" w:rsidP="00865817">
            <w:pPr>
              <w:pStyle w:val="TABLEBULLETNEW"/>
            </w:pPr>
            <w:r>
              <w:t>Business objectives for the Wave are defined and documented</w:t>
            </w:r>
          </w:p>
        </w:tc>
        <w:tc>
          <w:tcPr>
            <w:tcW w:w="1980" w:type="dxa"/>
          </w:tcPr>
          <w:p w14:paraId="01F397E6" w14:textId="77777777" w:rsidR="007F3894" w:rsidRPr="00A21682" w:rsidRDefault="007F3894" w:rsidP="00865817">
            <w:pPr>
              <w:pStyle w:val="TABLEBULLETNEW"/>
            </w:pPr>
            <w:r>
              <w:t>As Is/To-Be Business Process Maps (DEL-17)</w:t>
            </w:r>
          </w:p>
          <w:p w14:paraId="791713E4" w14:textId="77777777" w:rsidR="007F3894" w:rsidRPr="00A21682" w:rsidRDefault="007F3894" w:rsidP="00865817">
            <w:pPr>
              <w:pStyle w:val="TABLEBULLETNEW"/>
            </w:pPr>
            <w:r>
              <w:t>Requirement Logic Flows/System Requirements Input Document</w:t>
            </w:r>
          </w:p>
          <w:p w14:paraId="0562FAA9" w14:textId="77777777" w:rsidR="007F3894" w:rsidRDefault="007F3894" w:rsidP="00865817">
            <w:pPr>
              <w:pStyle w:val="TABLEBULLETNEW"/>
            </w:pPr>
            <w:r>
              <w:t>Business Objectives Documentation</w:t>
            </w:r>
          </w:p>
        </w:tc>
      </w:tr>
      <w:tr w:rsidR="007F3894" w:rsidRPr="00A21682" w14:paraId="4DE4B07E" w14:textId="77777777" w:rsidTr="00420254">
        <w:trPr>
          <w:trHeight w:val="300"/>
        </w:trPr>
        <w:tc>
          <w:tcPr>
            <w:tcW w:w="627" w:type="dxa"/>
          </w:tcPr>
          <w:p w14:paraId="6E870790" w14:textId="77777777" w:rsidR="007F3894" w:rsidRPr="00A21682" w:rsidRDefault="007F3894" w:rsidP="00865817">
            <w:pPr>
              <w:pStyle w:val="TABLETEXT1"/>
              <w:rPr>
                <w:lang w:val="en-US"/>
              </w:rPr>
            </w:pPr>
            <w:r>
              <w:rPr>
                <w:lang w:val="en-US"/>
              </w:rPr>
              <w:t>1.3</w:t>
            </w:r>
          </w:p>
        </w:tc>
        <w:tc>
          <w:tcPr>
            <w:tcW w:w="1530" w:type="dxa"/>
          </w:tcPr>
          <w:p w14:paraId="4D3A12ED" w14:textId="77777777" w:rsidR="007F3894" w:rsidRPr="00A21682" w:rsidRDefault="007F3894" w:rsidP="00865817">
            <w:pPr>
              <w:pStyle w:val="TABLETEXT1"/>
              <w:rPr>
                <w:u w:color="000000"/>
              </w:rPr>
            </w:pPr>
            <w:r>
              <w:t>Is Requirements Gathe</w:t>
            </w:r>
            <w:r>
              <w:rPr>
                <w:u w:color="000000"/>
              </w:rPr>
              <w:t>ring Exit Criteria Met?</w:t>
            </w:r>
          </w:p>
          <w:p w14:paraId="47F4F26D" w14:textId="77777777" w:rsidR="007F3894" w:rsidRPr="00A21682" w:rsidRDefault="007F3894" w:rsidP="00865817">
            <w:pPr>
              <w:pStyle w:val="TABLETEXT1"/>
            </w:pPr>
          </w:p>
          <w:p w14:paraId="1B0521C2" w14:textId="77777777" w:rsidR="007F3894" w:rsidRPr="00A21682" w:rsidRDefault="007F3894" w:rsidP="00865817">
            <w:pPr>
              <w:pStyle w:val="TABLETEXT1"/>
              <w:rPr>
                <w:u w:color="000000"/>
              </w:rPr>
            </w:pPr>
            <w:r>
              <w:t xml:space="preserve"> </w:t>
            </w:r>
          </w:p>
        </w:tc>
        <w:tc>
          <w:tcPr>
            <w:tcW w:w="1800" w:type="dxa"/>
          </w:tcPr>
          <w:p w14:paraId="2EECC101" w14:textId="56C1669B" w:rsidR="007F3894" w:rsidRPr="00A21682" w:rsidRDefault="007F3894" w:rsidP="00865817">
            <w:pPr>
              <w:pStyle w:val="TABLETEXT1"/>
              <w:rPr>
                <w:u w:color="000000"/>
              </w:rPr>
            </w:pPr>
            <w:r>
              <w:t xml:space="preserve">Business and Functional stakeholders decide if the requirements gathering exit criteria is met </w:t>
            </w:r>
          </w:p>
          <w:p w14:paraId="7E8D014B" w14:textId="5A930FE7" w:rsidR="007F3894" w:rsidRDefault="007F3894" w:rsidP="00865817">
            <w:pPr>
              <w:pStyle w:val="TABLEBULLETNEW"/>
            </w:pPr>
            <w:r>
              <w:t xml:space="preserve">If the criteria are met, proceed to </w:t>
            </w:r>
            <w:r>
              <w:rPr>
                <w:i/>
              </w:rPr>
              <w:t>Step # 3.0 Prioritization and Iteration/Bundle Planning</w:t>
            </w:r>
          </w:p>
          <w:p w14:paraId="3E39C475" w14:textId="191BF4FA" w:rsidR="007F3894" w:rsidRDefault="007F3894" w:rsidP="00865817">
            <w:pPr>
              <w:pStyle w:val="TABLEBULLETNEW"/>
            </w:pPr>
            <w:r>
              <w:t xml:space="preserve">If the criteria are not met, proceed to </w:t>
            </w:r>
            <w:r>
              <w:rPr>
                <w:i/>
              </w:rPr>
              <w:t>Step #2.0 Requirements Gathering</w:t>
            </w:r>
          </w:p>
        </w:tc>
        <w:tc>
          <w:tcPr>
            <w:tcW w:w="1710" w:type="dxa"/>
          </w:tcPr>
          <w:p w14:paraId="49329512" w14:textId="77777777" w:rsidR="007F3894" w:rsidRDefault="007F3894" w:rsidP="00865817">
            <w:pPr>
              <w:pStyle w:val="TABLEBULLETNEW"/>
            </w:pPr>
            <w:r>
              <w:t>Functional Stakeholders</w:t>
            </w:r>
          </w:p>
          <w:p w14:paraId="348DB8D8" w14:textId="77777777" w:rsidR="007F3894" w:rsidRPr="00635C9B" w:rsidRDefault="007F3894" w:rsidP="00865817">
            <w:pPr>
              <w:pStyle w:val="TABLEBULLETNEW"/>
            </w:pPr>
            <w:r>
              <w:t>Business Stakeholders</w:t>
            </w:r>
          </w:p>
        </w:tc>
        <w:tc>
          <w:tcPr>
            <w:tcW w:w="1890" w:type="dxa"/>
          </w:tcPr>
          <w:p w14:paraId="3BF90020" w14:textId="472E11C7" w:rsidR="007F3894" w:rsidRPr="001B7F15" w:rsidRDefault="007F3894" w:rsidP="00865817">
            <w:pPr>
              <w:pStyle w:val="TABLEBULLETNEW"/>
            </w:pPr>
            <w:r>
              <w:t>Requirements Specification Document (DEL-18) and Requirements Traceability Matrix (DEL-19) including recommended prioritization is submitted for DOH OHIP review</w:t>
            </w:r>
          </w:p>
        </w:tc>
        <w:tc>
          <w:tcPr>
            <w:tcW w:w="1980" w:type="dxa"/>
          </w:tcPr>
          <w:p w14:paraId="5A86944E" w14:textId="588C1238" w:rsidR="007F3894" w:rsidRPr="000A2B3A" w:rsidRDefault="007F3894" w:rsidP="00865817">
            <w:pPr>
              <w:pStyle w:val="TABLEBULLETNEW"/>
            </w:pPr>
            <w:r>
              <w:t>Requirements Specification Document (DEL-18)</w:t>
            </w:r>
          </w:p>
          <w:p w14:paraId="77F45584" w14:textId="61D5F5EA" w:rsidR="007F3894" w:rsidRPr="000A2B3A" w:rsidRDefault="007F3894" w:rsidP="00865817">
            <w:pPr>
              <w:pStyle w:val="TABLEBULLETNEW"/>
            </w:pPr>
            <w:r>
              <w:t>Requirements Traceability Matrix (DEL-19)</w:t>
            </w:r>
          </w:p>
          <w:p w14:paraId="73819958" w14:textId="77777777" w:rsidR="007F3894" w:rsidRPr="000A2B3A" w:rsidRDefault="007F3894" w:rsidP="00865817">
            <w:pPr>
              <w:pStyle w:val="TABLEBULLETNEW"/>
            </w:pPr>
            <w:r>
              <w:t>Documented Base Solution gaps and required changes</w:t>
            </w:r>
          </w:p>
        </w:tc>
      </w:tr>
      <w:tr w:rsidR="007F3894" w:rsidRPr="00A21682" w14:paraId="1963BE83" w14:textId="77777777" w:rsidTr="00420254">
        <w:trPr>
          <w:trHeight w:val="300"/>
        </w:trPr>
        <w:tc>
          <w:tcPr>
            <w:tcW w:w="627" w:type="dxa"/>
          </w:tcPr>
          <w:p w14:paraId="59539E6D" w14:textId="77777777" w:rsidR="007F3894" w:rsidRPr="00A21682" w:rsidRDefault="007F3894" w:rsidP="00865817">
            <w:pPr>
              <w:pStyle w:val="TABLETEXT1"/>
              <w:rPr>
                <w:lang w:val="en-US"/>
              </w:rPr>
            </w:pPr>
            <w:r>
              <w:rPr>
                <w:lang w:val="en-US"/>
              </w:rPr>
              <w:t>3.0</w:t>
            </w:r>
          </w:p>
        </w:tc>
        <w:tc>
          <w:tcPr>
            <w:tcW w:w="1530" w:type="dxa"/>
          </w:tcPr>
          <w:p w14:paraId="77F18E77" w14:textId="7C42C1B7" w:rsidR="007F3894" w:rsidRPr="00A21682" w:rsidRDefault="007F3894" w:rsidP="00865817">
            <w:pPr>
              <w:pStyle w:val="TABLETEXT1"/>
              <w:rPr>
                <w:u w:color="000000"/>
              </w:rPr>
            </w:pPr>
            <w:r>
              <w:t>Prioritization and Iteration/Bundle Planning</w:t>
            </w:r>
          </w:p>
        </w:tc>
        <w:tc>
          <w:tcPr>
            <w:tcW w:w="1800" w:type="dxa"/>
          </w:tcPr>
          <w:p w14:paraId="08F36764" w14:textId="21346CD6" w:rsidR="007F3894" w:rsidRPr="00A21682" w:rsidRDefault="007F3894" w:rsidP="00865817">
            <w:pPr>
              <w:pStyle w:val="TABLETEXT1"/>
              <w:rPr>
                <w:u w:color="000000"/>
              </w:rPr>
            </w:pPr>
            <w:r>
              <w:t>All stakeholders work on prioritization and iteration/bundle planning</w:t>
            </w:r>
          </w:p>
        </w:tc>
        <w:tc>
          <w:tcPr>
            <w:tcW w:w="1710" w:type="dxa"/>
          </w:tcPr>
          <w:p w14:paraId="7CD21A0D" w14:textId="77777777" w:rsidR="007F3894" w:rsidRDefault="007F3894" w:rsidP="00865817">
            <w:pPr>
              <w:pStyle w:val="TABLEBULLETNEW"/>
            </w:pPr>
            <w:r>
              <w:t>Executive Stakeholders</w:t>
            </w:r>
          </w:p>
          <w:p w14:paraId="233E63CE" w14:textId="77777777" w:rsidR="007F3894" w:rsidRDefault="007F3894" w:rsidP="00865817">
            <w:pPr>
              <w:pStyle w:val="TABLEBULLETNEW"/>
            </w:pPr>
            <w:r>
              <w:t>Business Stakeholders</w:t>
            </w:r>
          </w:p>
          <w:p w14:paraId="2B878BB6" w14:textId="77777777" w:rsidR="007F3894" w:rsidRDefault="007F3894" w:rsidP="00865817">
            <w:pPr>
              <w:pStyle w:val="TABLEBULLETNEW"/>
            </w:pPr>
            <w:r>
              <w:t>Functional Stakeholders</w:t>
            </w:r>
          </w:p>
          <w:p w14:paraId="0A078F99" w14:textId="77777777" w:rsidR="007F3894" w:rsidRPr="00635C9B" w:rsidRDefault="007F3894" w:rsidP="00865817">
            <w:pPr>
              <w:pStyle w:val="TABLEBULLETNEW"/>
            </w:pPr>
            <w:r>
              <w:t>Technical Stakeholders</w:t>
            </w:r>
          </w:p>
        </w:tc>
        <w:tc>
          <w:tcPr>
            <w:tcW w:w="1890" w:type="dxa"/>
          </w:tcPr>
          <w:p w14:paraId="5F1CA930" w14:textId="2A329560" w:rsidR="007F3894" w:rsidRPr="00A90D32" w:rsidRDefault="007F3894" w:rsidP="00865817">
            <w:pPr>
              <w:pStyle w:val="TABLEBULLETNEW"/>
            </w:pPr>
            <w:r>
              <w:t>Requirements Traceability Matrix (DEL-19)</w:t>
            </w:r>
          </w:p>
        </w:tc>
        <w:tc>
          <w:tcPr>
            <w:tcW w:w="1980" w:type="dxa"/>
          </w:tcPr>
          <w:p w14:paraId="699370A6" w14:textId="7AD84FFA" w:rsidR="007F3894" w:rsidRPr="002F6D09" w:rsidRDefault="007F3894" w:rsidP="00865817">
            <w:pPr>
              <w:pStyle w:val="TABLEBULLETNEW"/>
            </w:pPr>
            <w:r>
              <w:t>Requirements Specification Document (DEL-18)</w:t>
            </w:r>
          </w:p>
          <w:p w14:paraId="585584D1" w14:textId="22FDAF0B" w:rsidR="007F3894" w:rsidRDefault="007F3894" w:rsidP="00865817">
            <w:pPr>
              <w:pStyle w:val="TABLEBULLETNEW"/>
            </w:pPr>
            <w:r>
              <w:t>Requirements Traceability Matrix (DEL-19) including Wave assignment</w:t>
            </w:r>
          </w:p>
          <w:p w14:paraId="63D53112" w14:textId="77777777" w:rsidR="007F3894" w:rsidRPr="003D4FD7" w:rsidRDefault="007F3894" w:rsidP="00865817">
            <w:pPr>
              <w:pStyle w:val="TABLEBULLETNEW"/>
            </w:pPr>
            <w:r>
              <w:t>Baselined Work Plan and Project Schedule (DEL-06)</w:t>
            </w:r>
          </w:p>
          <w:p w14:paraId="04C87601" w14:textId="77777777" w:rsidR="007F3894" w:rsidRPr="002F6D09" w:rsidRDefault="007F3894" w:rsidP="00865817">
            <w:pPr>
              <w:pStyle w:val="TABLEBULLETNEW"/>
            </w:pPr>
            <w:r>
              <w:t>Master ISOW Integrated Project Schedule</w:t>
            </w:r>
          </w:p>
        </w:tc>
      </w:tr>
      <w:tr w:rsidR="007F3894" w:rsidRPr="00A21682" w14:paraId="682D9AE1" w14:textId="77777777" w:rsidTr="00420254">
        <w:trPr>
          <w:trHeight w:val="300"/>
        </w:trPr>
        <w:tc>
          <w:tcPr>
            <w:tcW w:w="627" w:type="dxa"/>
          </w:tcPr>
          <w:p w14:paraId="22905945" w14:textId="77777777" w:rsidR="007F3894" w:rsidRPr="00A21682" w:rsidRDefault="007F3894" w:rsidP="00865817">
            <w:pPr>
              <w:pStyle w:val="TABLETEXT1"/>
              <w:rPr>
                <w:lang w:val="en-US"/>
              </w:rPr>
            </w:pPr>
            <w:r>
              <w:rPr>
                <w:lang w:val="en-US"/>
              </w:rPr>
              <w:t>3.1</w:t>
            </w:r>
          </w:p>
        </w:tc>
        <w:tc>
          <w:tcPr>
            <w:tcW w:w="1530" w:type="dxa"/>
          </w:tcPr>
          <w:p w14:paraId="16BD6FF4" w14:textId="77777777" w:rsidR="007F3894" w:rsidRPr="00A21682" w:rsidRDefault="007F3894" w:rsidP="00865817">
            <w:pPr>
              <w:pStyle w:val="TABLETEXT1"/>
              <w:rPr>
                <w:u w:color="000000"/>
              </w:rPr>
            </w:pPr>
            <w:r>
              <w:t>Wave Requirements Scope</w:t>
            </w:r>
            <w:r>
              <w:rPr>
                <w:u w:color="000000"/>
              </w:rPr>
              <w:t xml:space="preserve"> Approved?</w:t>
            </w:r>
          </w:p>
          <w:p w14:paraId="7C7CACD8" w14:textId="77777777" w:rsidR="007F3894" w:rsidRPr="00A21682" w:rsidRDefault="007F3894" w:rsidP="00865817">
            <w:pPr>
              <w:pStyle w:val="TABLETEXT1"/>
            </w:pPr>
          </w:p>
          <w:p w14:paraId="55FFC611" w14:textId="77777777" w:rsidR="007F3894" w:rsidRPr="00A21682" w:rsidRDefault="007F3894" w:rsidP="00865817">
            <w:pPr>
              <w:pStyle w:val="TABLETEXT1"/>
            </w:pPr>
          </w:p>
        </w:tc>
        <w:tc>
          <w:tcPr>
            <w:tcW w:w="1800" w:type="dxa"/>
          </w:tcPr>
          <w:p w14:paraId="505E4DB8" w14:textId="4DE49F55" w:rsidR="007F3894" w:rsidRPr="00A21682" w:rsidRDefault="007F3894" w:rsidP="00865817">
            <w:pPr>
              <w:pStyle w:val="TABLETEXT1"/>
              <w:rPr>
                <w:u w:color="000000"/>
              </w:rPr>
            </w:pPr>
            <w:r>
              <w:t>Executive stakeholders decide if wave requirements scope is approved</w:t>
            </w:r>
          </w:p>
          <w:p w14:paraId="27CCB933" w14:textId="3FDAAACC" w:rsidR="007F3894" w:rsidRDefault="007F3894" w:rsidP="00865817">
            <w:pPr>
              <w:pStyle w:val="TABLEBULLETNEW"/>
            </w:pPr>
            <w:r>
              <w:t xml:space="preserve">If it is approved, </w:t>
            </w:r>
            <w:r>
              <w:lastRenderedPageBreak/>
              <w:t xml:space="preserve">proceed to </w:t>
            </w:r>
            <w:r>
              <w:rPr>
                <w:i/>
              </w:rPr>
              <w:t>Step #4.0 Design</w:t>
            </w:r>
          </w:p>
          <w:p w14:paraId="66DDD6F7" w14:textId="3F66EC22" w:rsidR="007F3894" w:rsidRDefault="007F3894" w:rsidP="00865817">
            <w:pPr>
              <w:pStyle w:val="TABLEBULLETNEW"/>
            </w:pPr>
            <w:r>
              <w:t xml:space="preserve">If it is not approved, proceed to </w:t>
            </w:r>
            <w:r>
              <w:rPr>
                <w:i/>
              </w:rPr>
              <w:t>Step #3.0 Prioritization and Iteration/Bundle Planning</w:t>
            </w:r>
          </w:p>
        </w:tc>
        <w:tc>
          <w:tcPr>
            <w:tcW w:w="1710" w:type="dxa"/>
          </w:tcPr>
          <w:p w14:paraId="678CB8A4" w14:textId="77777777" w:rsidR="007F3894" w:rsidRDefault="007F3894" w:rsidP="00865817">
            <w:pPr>
              <w:pStyle w:val="TABLEBULLETNEW"/>
            </w:pPr>
            <w:r>
              <w:lastRenderedPageBreak/>
              <w:t>Executive Stakeholders</w:t>
            </w:r>
          </w:p>
          <w:p w14:paraId="1C944F89" w14:textId="77777777" w:rsidR="007F3894" w:rsidRPr="00A21682" w:rsidRDefault="007F3894" w:rsidP="00F10747">
            <w:pPr>
              <w:pStyle w:val="TABLEBULLETNEW"/>
              <w:numPr>
                <w:ilvl w:val="0"/>
                <w:numId w:val="0"/>
              </w:numPr>
              <w:ind w:left="331"/>
            </w:pPr>
          </w:p>
        </w:tc>
        <w:tc>
          <w:tcPr>
            <w:tcW w:w="1890" w:type="dxa"/>
          </w:tcPr>
          <w:p w14:paraId="00BBFA17" w14:textId="77777777" w:rsidR="007F3894" w:rsidRDefault="007F3894" w:rsidP="00865817">
            <w:pPr>
              <w:pStyle w:val="TABLEBULLETNEW"/>
            </w:pPr>
            <w:r>
              <w:t>Requirements are approved and assigned to a Wave (or deferred)</w:t>
            </w:r>
          </w:p>
          <w:p w14:paraId="4675E420" w14:textId="77777777" w:rsidR="007F3894" w:rsidRPr="003D4FD7" w:rsidRDefault="007F3894" w:rsidP="00865817">
            <w:pPr>
              <w:pStyle w:val="TABLEBULLETNEW"/>
            </w:pPr>
            <w:r>
              <w:t xml:space="preserve">The project Work Plan is </w:t>
            </w:r>
            <w:r>
              <w:lastRenderedPageBreak/>
              <w:t>updated to reflect the iteration and bundle schedule</w:t>
            </w:r>
          </w:p>
          <w:p w14:paraId="33BD7A11" w14:textId="77777777" w:rsidR="007F3894" w:rsidRPr="00161504" w:rsidRDefault="007F3894" w:rsidP="00865817">
            <w:pPr>
              <w:pStyle w:val="TABLEBULLETNEW"/>
            </w:pPr>
            <w:r>
              <w:t>An ISOW is drafted for the Wave iterations and bundles</w:t>
            </w:r>
          </w:p>
        </w:tc>
        <w:tc>
          <w:tcPr>
            <w:tcW w:w="1980" w:type="dxa"/>
          </w:tcPr>
          <w:p w14:paraId="0700A656" w14:textId="1221AF53" w:rsidR="007F3894" w:rsidRPr="002F6D09" w:rsidRDefault="007F3894" w:rsidP="00865817">
            <w:pPr>
              <w:pStyle w:val="TABLEBULLETNEW"/>
            </w:pPr>
            <w:r>
              <w:lastRenderedPageBreak/>
              <w:t>Requirements Specification Document (DEL-18)</w:t>
            </w:r>
          </w:p>
          <w:p w14:paraId="3EF9E1A5" w14:textId="680BCBAD" w:rsidR="007F3894" w:rsidRDefault="007F3894" w:rsidP="00865817">
            <w:pPr>
              <w:pStyle w:val="TABLEBULLETNEW"/>
            </w:pPr>
            <w:r>
              <w:t xml:space="preserve">Requirements Traceability Matrix (DEL-19) </w:t>
            </w:r>
            <w:r>
              <w:lastRenderedPageBreak/>
              <w:t>including Wave assignment</w:t>
            </w:r>
          </w:p>
          <w:p w14:paraId="13525DD2" w14:textId="77777777" w:rsidR="007F3894" w:rsidRPr="00811BC0" w:rsidRDefault="007F3894" w:rsidP="00865817">
            <w:pPr>
              <w:pStyle w:val="TABLEBULLETNEW"/>
            </w:pPr>
            <w:r>
              <w:t>Baselined Work Plan and Project Schedule (DEL-06)</w:t>
            </w:r>
          </w:p>
          <w:p w14:paraId="59E603D3" w14:textId="77777777" w:rsidR="007F3894" w:rsidRPr="002F6D09" w:rsidRDefault="007F3894" w:rsidP="00865817">
            <w:pPr>
              <w:pStyle w:val="TABLEBULLETNEW"/>
            </w:pPr>
            <w:r>
              <w:t>Master ISOW Integrated Project Schedule</w:t>
            </w:r>
          </w:p>
        </w:tc>
      </w:tr>
      <w:tr w:rsidR="007F3894" w:rsidRPr="00A21682" w14:paraId="4A914612" w14:textId="77777777" w:rsidTr="00420254">
        <w:trPr>
          <w:trHeight w:val="300"/>
        </w:trPr>
        <w:tc>
          <w:tcPr>
            <w:tcW w:w="627" w:type="dxa"/>
          </w:tcPr>
          <w:p w14:paraId="389B92CA" w14:textId="77777777" w:rsidR="007F3894" w:rsidRPr="00A21682" w:rsidRDefault="007F3894" w:rsidP="00865817">
            <w:pPr>
              <w:pStyle w:val="TABLETEXT1"/>
              <w:rPr>
                <w:lang w:val="en-US"/>
              </w:rPr>
            </w:pPr>
            <w:r>
              <w:rPr>
                <w:lang w:val="en-US"/>
              </w:rPr>
              <w:t>4.0</w:t>
            </w:r>
          </w:p>
        </w:tc>
        <w:tc>
          <w:tcPr>
            <w:tcW w:w="1530" w:type="dxa"/>
          </w:tcPr>
          <w:p w14:paraId="435B1C2F" w14:textId="77777777" w:rsidR="007F3894" w:rsidRPr="00A21682" w:rsidRDefault="007F3894" w:rsidP="00865817">
            <w:pPr>
              <w:pStyle w:val="TABLETEXT1"/>
              <w:rPr>
                <w:u w:color="000000"/>
              </w:rPr>
            </w:pPr>
            <w:r>
              <w:t>Design</w:t>
            </w:r>
          </w:p>
        </w:tc>
        <w:tc>
          <w:tcPr>
            <w:tcW w:w="1800" w:type="dxa"/>
          </w:tcPr>
          <w:p w14:paraId="195517E2" w14:textId="638F471E" w:rsidR="007F3894" w:rsidRPr="00A21682" w:rsidRDefault="007F3894" w:rsidP="00865817">
            <w:pPr>
              <w:pStyle w:val="TABLETEXT1"/>
              <w:rPr>
                <w:u w:color="000000"/>
              </w:rPr>
            </w:pPr>
            <w:r>
              <w:t xml:space="preserve">Functional stakeholders work on design </w:t>
            </w:r>
          </w:p>
        </w:tc>
        <w:tc>
          <w:tcPr>
            <w:tcW w:w="1710" w:type="dxa"/>
          </w:tcPr>
          <w:p w14:paraId="708206A6" w14:textId="77777777" w:rsidR="007F3894" w:rsidRPr="003C43EC" w:rsidRDefault="007F3894" w:rsidP="00865817">
            <w:pPr>
              <w:pStyle w:val="TABLEBULLETNEW"/>
            </w:pPr>
            <w:r>
              <w:t>Functional Stakeholders</w:t>
            </w:r>
          </w:p>
        </w:tc>
        <w:tc>
          <w:tcPr>
            <w:tcW w:w="1890" w:type="dxa"/>
          </w:tcPr>
          <w:p w14:paraId="47460E6F" w14:textId="5C31D83C" w:rsidR="007F3894" w:rsidRPr="005D3F0C" w:rsidRDefault="007F3894" w:rsidP="00865817">
            <w:pPr>
              <w:pStyle w:val="TABLEBULLETNEW"/>
            </w:pPr>
            <w:r>
              <w:t>Requirements Specification Document (DEL-18)</w:t>
            </w:r>
          </w:p>
          <w:p w14:paraId="65A4832D" w14:textId="157A7A56" w:rsidR="007F3894" w:rsidRDefault="007F3894" w:rsidP="00865817">
            <w:pPr>
              <w:pStyle w:val="TABLEBULLETNEW"/>
            </w:pPr>
            <w:r>
              <w:t>Requirements Traceability Matrix (DEL-19) including Wave assignment serves as inventory</w:t>
            </w:r>
          </w:p>
          <w:p w14:paraId="734940CB" w14:textId="77777777" w:rsidR="007F3894" w:rsidRPr="00043CD0" w:rsidRDefault="007F3894" w:rsidP="00865817">
            <w:pPr>
              <w:pStyle w:val="TABLEBULLETNEW"/>
            </w:pPr>
            <w:r>
              <w:t>Baselined Work Plan and Schedule (DEL-06)</w:t>
            </w:r>
          </w:p>
          <w:p w14:paraId="5C4797B7" w14:textId="77777777" w:rsidR="007F3894" w:rsidRDefault="007F3894" w:rsidP="00865817">
            <w:pPr>
              <w:pStyle w:val="TABLEBULLETNEW"/>
            </w:pPr>
            <w:r>
              <w:t>Design Calendar and Schedule</w:t>
            </w:r>
          </w:p>
          <w:p w14:paraId="41943DF1" w14:textId="77777777" w:rsidR="007F3894" w:rsidRPr="003D4FD7" w:rsidRDefault="007F3894" w:rsidP="00865817">
            <w:pPr>
              <w:pStyle w:val="TABLEBULLETNEW"/>
            </w:pPr>
            <w:r>
              <w:t>Master ISOW Integrated Project Schedule</w:t>
            </w:r>
          </w:p>
          <w:p w14:paraId="6F19270E" w14:textId="77777777" w:rsidR="007F3894" w:rsidRPr="005D3F0C" w:rsidRDefault="007F3894" w:rsidP="00865817">
            <w:pPr>
              <w:pStyle w:val="TABLEBULLETNEW"/>
            </w:pPr>
            <w:r>
              <w:t xml:space="preserve">Medicaid Transformation Modernization – </w:t>
            </w:r>
            <w:r>
              <w:rPr>
                <w:highlight w:val="black"/>
              </w:rPr>
              <w:t>Deloitte</w:t>
            </w:r>
            <w:r>
              <w:t xml:space="preserve"> and NYS Team Alignment Excel</w:t>
            </w:r>
          </w:p>
        </w:tc>
        <w:tc>
          <w:tcPr>
            <w:tcW w:w="1980" w:type="dxa"/>
          </w:tcPr>
          <w:p w14:paraId="32FC427E" w14:textId="666D2687" w:rsidR="007F3894" w:rsidRPr="00C715C6" w:rsidRDefault="007F3894" w:rsidP="00865817">
            <w:pPr>
              <w:pStyle w:val="TABLEBULLETNEW"/>
            </w:pPr>
            <w:r>
              <w:t xml:space="preserve">Functional Design Document (DEL-20) </w:t>
            </w:r>
          </w:p>
          <w:p w14:paraId="128F9FBD" w14:textId="77777777" w:rsidR="007F3894" w:rsidRDefault="007F3894" w:rsidP="00865817">
            <w:pPr>
              <w:pStyle w:val="TABLEBULLETNEW"/>
            </w:pPr>
            <w:r>
              <w:t>Interface/Batch/Automation Control Documents (DEL-22)</w:t>
            </w:r>
          </w:p>
          <w:p w14:paraId="2AEFBF79" w14:textId="77777777" w:rsidR="007F3894" w:rsidRPr="00C715C6" w:rsidRDefault="007F3894" w:rsidP="00865817">
            <w:pPr>
              <w:pStyle w:val="TABLEBULLETNEW"/>
            </w:pPr>
            <w:r>
              <w:t>Updated Requirements Traceability Matrix (DEL-19) with design components</w:t>
            </w:r>
          </w:p>
        </w:tc>
      </w:tr>
      <w:tr w:rsidR="007F3894" w:rsidRPr="00A21682" w14:paraId="599F47C2" w14:textId="77777777" w:rsidTr="00420254">
        <w:trPr>
          <w:trHeight w:val="300"/>
        </w:trPr>
        <w:tc>
          <w:tcPr>
            <w:tcW w:w="627" w:type="dxa"/>
          </w:tcPr>
          <w:p w14:paraId="4239F475" w14:textId="77777777" w:rsidR="007F3894" w:rsidRPr="00A21682" w:rsidRDefault="007F3894" w:rsidP="00865817">
            <w:pPr>
              <w:pStyle w:val="TABLETEXT1"/>
              <w:rPr>
                <w:lang w:val="en-US"/>
              </w:rPr>
            </w:pPr>
            <w:r>
              <w:rPr>
                <w:lang w:val="en-US"/>
              </w:rPr>
              <w:t>4.1</w:t>
            </w:r>
          </w:p>
        </w:tc>
        <w:tc>
          <w:tcPr>
            <w:tcW w:w="1530" w:type="dxa"/>
          </w:tcPr>
          <w:p w14:paraId="44641720" w14:textId="77777777" w:rsidR="007F3894" w:rsidRPr="00A21682" w:rsidRDefault="007F3894" w:rsidP="00865817">
            <w:pPr>
              <w:pStyle w:val="TABLETEXT1"/>
              <w:rPr>
                <w:u w:color="000000"/>
              </w:rPr>
            </w:pPr>
            <w:r>
              <w:t>Design Approved?</w:t>
            </w:r>
          </w:p>
          <w:p w14:paraId="4ED812AC" w14:textId="77777777" w:rsidR="007F3894" w:rsidRPr="00A21682" w:rsidRDefault="007F3894" w:rsidP="00865817">
            <w:pPr>
              <w:pStyle w:val="TABLETEXT1"/>
            </w:pPr>
          </w:p>
          <w:p w14:paraId="5251277A" w14:textId="77777777" w:rsidR="007F3894" w:rsidRPr="00A21682" w:rsidRDefault="007F3894" w:rsidP="00865817">
            <w:pPr>
              <w:pStyle w:val="TABLETEXT1"/>
              <w:rPr>
                <w:u w:color="000000"/>
              </w:rPr>
            </w:pPr>
            <w:r>
              <w:t xml:space="preserve"> </w:t>
            </w:r>
          </w:p>
        </w:tc>
        <w:tc>
          <w:tcPr>
            <w:tcW w:w="1800" w:type="dxa"/>
          </w:tcPr>
          <w:p w14:paraId="0E6448BE" w14:textId="0AA84755" w:rsidR="007F3894" w:rsidRPr="00A21682" w:rsidRDefault="007F3894" w:rsidP="00865817">
            <w:pPr>
              <w:pStyle w:val="TABLETEXT1"/>
              <w:rPr>
                <w:u w:color="000000"/>
              </w:rPr>
            </w:pPr>
            <w:r>
              <w:t xml:space="preserve">Technical stakeholders decide if design is approved </w:t>
            </w:r>
          </w:p>
          <w:p w14:paraId="23E8FF85" w14:textId="0B7F491B" w:rsidR="007F3894" w:rsidRDefault="007F3894" w:rsidP="00865817">
            <w:pPr>
              <w:pStyle w:val="TABLEBULLETNEW"/>
            </w:pPr>
            <w:r>
              <w:lastRenderedPageBreak/>
              <w:t xml:space="preserve">If it is approved, proceed to </w:t>
            </w:r>
            <w:r>
              <w:rPr>
                <w:i/>
              </w:rPr>
              <w:t>Step # 5.0 Development</w:t>
            </w:r>
            <w:r>
              <w:t xml:space="preserve"> </w:t>
            </w:r>
          </w:p>
          <w:p w14:paraId="45D12966" w14:textId="5D34782B" w:rsidR="007F3894" w:rsidRDefault="007F3894" w:rsidP="00865817">
            <w:pPr>
              <w:pStyle w:val="TABLEBULLETNEW"/>
            </w:pPr>
            <w:r>
              <w:t xml:space="preserve">If it is not approved, proceed to </w:t>
            </w:r>
            <w:r>
              <w:rPr>
                <w:i/>
              </w:rPr>
              <w:t>Step # 6.2 Are All Iterations/Bundles for the Wave Complete?</w:t>
            </w:r>
          </w:p>
        </w:tc>
        <w:tc>
          <w:tcPr>
            <w:tcW w:w="1710" w:type="dxa"/>
          </w:tcPr>
          <w:p w14:paraId="042E147C" w14:textId="77777777" w:rsidR="007F3894" w:rsidRPr="00203A85" w:rsidRDefault="007F3894" w:rsidP="00865817">
            <w:pPr>
              <w:pStyle w:val="TABLEBULLETNEW"/>
            </w:pPr>
            <w:r>
              <w:lastRenderedPageBreak/>
              <w:t>Technical Stakeholders</w:t>
            </w:r>
          </w:p>
        </w:tc>
        <w:tc>
          <w:tcPr>
            <w:tcW w:w="1890" w:type="dxa"/>
          </w:tcPr>
          <w:p w14:paraId="76D49822" w14:textId="77777777" w:rsidR="007F3894" w:rsidRDefault="007F3894" w:rsidP="00865817">
            <w:pPr>
              <w:pStyle w:val="TABLEBULLETNEW"/>
            </w:pPr>
            <w:r>
              <w:t xml:space="preserve">Functional Design Documents (DEL-20) and Interface/Batch/Automation </w:t>
            </w:r>
            <w:r>
              <w:lastRenderedPageBreak/>
              <w:t>Control Documents (DEL-22) are approved</w:t>
            </w:r>
          </w:p>
          <w:p w14:paraId="1AD9D42A" w14:textId="77777777" w:rsidR="00865817" w:rsidRDefault="007F3894" w:rsidP="00865817">
            <w:pPr>
              <w:pStyle w:val="TABLEBULLETNEW"/>
            </w:pPr>
            <w:r>
              <w:t>RTM updated in the requirements management tool with approved Functional Design Documents (DEL-20) and Interface/ Batch/</w:t>
            </w:r>
          </w:p>
          <w:p w14:paraId="54DD4E4E" w14:textId="06D0FF2B" w:rsidR="007F3894" w:rsidRPr="00D952F2" w:rsidRDefault="007F3894" w:rsidP="00865817">
            <w:pPr>
              <w:pStyle w:val="TABLEBULLETNEW"/>
              <w:numPr>
                <w:ilvl w:val="0"/>
                <w:numId w:val="0"/>
              </w:numPr>
              <w:ind w:left="331"/>
            </w:pPr>
            <w:r>
              <w:t>Automation Control Documents (DEL-22)</w:t>
            </w:r>
          </w:p>
        </w:tc>
        <w:tc>
          <w:tcPr>
            <w:tcW w:w="1980" w:type="dxa"/>
          </w:tcPr>
          <w:p w14:paraId="4911ED36" w14:textId="3CF9A699" w:rsidR="007F3894" w:rsidRPr="00A84156" w:rsidRDefault="007F3894" w:rsidP="00865817">
            <w:pPr>
              <w:pStyle w:val="TABLEBULLETNEW"/>
            </w:pPr>
            <w:r>
              <w:lastRenderedPageBreak/>
              <w:t xml:space="preserve">Functional Design Document (DEL-20) </w:t>
            </w:r>
          </w:p>
          <w:p w14:paraId="4FC61984" w14:textId="77777777" w:rsidR="007F3894" w:rsidRDefault="007F3894" w:rsidP="00865817">
            <w:pPr>
              <w:pStyle w:val="TABLEBULLETNEW"/>
            </w:pPr>
            <w:r>
              <w:lastRenderedPageBreak/>
              <w:t>Interface/Batch/Automation Control Documents (DEL-22)</w:t>
            </w:r>
          </w:p>
          <w:p w14:paraId="7DCDC22E" w14:textId="77777777" w:rsidR="007F3894" w:rsidRPr="00A84156" w:rsidRDefault="007F3894" w:rsidP="00865817">
            <w:pPr>
              <w:pStyle w:val="TABLEBULLETNEW"/>
            </w:pPr>
            <w:r>
              <w:t>Updated Requirements Traceability Matrix (DEL-19) with design components</w:t>
            </w:r>
          </w:p>
        </w:tc>
      </w:tr>
      <w:tr w:rsidR="007F3894" w:rsidRPr="00A21682" w14:paraId="508C42E2" w14:textId="77777777" w:rsidTr="00420254">
        <w:trPr>
          <w:trHeight w:val="300"/>
        </w:trPr>
        <w:tc>
          <w:tcPr>
            <w:tcW w:w="627" w:type="dxa"/>
          </w:tcPr>
          <w:p w14:paraId="4E90D0CA" w14:textId="77777777" w:rsidR="007F3894" w:rsidRPr="00A21682" w:rsidRDefault="007F3894" w:rsidP="00865817">
            <w:pPr>
              <w:pStyle w:val="TABLETEXT1"/>
              <w:rPr>
                <w:lang w:val="en-US"/>
              </w:rPr>
            </w:pPr>
            <w:r>
              <w:rPr>
                <w:lang w:val="en-US"/>
              </w:rPr>
              <w:t>5.0</w:t>
            </w:r>
          </w:p>
        </w:tc>
        <w:tc>
          <w:tcPr>
            <w:tcW w:w="1530" w:type="dxa"/>
          </w:tcPr>
          <w:p w14:paraId="24A6C421" w14:textId="77777777" w:rsidR="007F3894" w:rsidRPr="00A21682" w:rsidRDefault="007F3894" w:rsidP="00865817">
            <w:pPr>
              <w:pStyle w:val="TABLETEXT1"/>
              <w:rPr>
                <w:u w:color="000000"/>
              </w:rPr>
            </w:pPr>
            <w:r>
              <w:t>Development</w:t>
            </w:r>
          </w:p>
        </w:tc>
        <w:tc>
          <w:tcPr>
            <w:tcW w:w="1800" w:type="dxa"/>
          </w:tcPr>
          <w:p w14:paraId="2CBEEB4C" w14:textId="18179AE4" w:rsidR="007F3894" w:rsidRPr="00A21682" w:rsidRDefault="007F3894" w:rsidP="00865817">
            <w:pPr>
              <w:pStyle w:val="TABLETEXT1"/>
              <w:rPr>
                <w:u w:color="000000"/>
              </w:rPr>
            </w:pPr>
            <w:r>
              <w:rPr>
                <w:u w:color="000000"/>
              </w:rPr>
              <w:t xml:space="preserve">Technical stakeholders work on development </w:t>
            </w:r>
          </w:p>
        </w:tc>
        <w:tc>
          <w:tcPr>
            <w:tcW w:w="1710" w:type="dxa"/>
          </w:tcPr>
          <w:p w14:paraId="33559D20" w14:textId="77777777" w:rsidR="007F3894" w:rsidRPr="00635C9B" w:rsidRDefault="007F3894" w:rsidP="00865817">
            <w:pPr>
              <w:pStyle w:val="TABLEBULLETNEW"/>
            </w:pPr>
            <w:r>
              <w:t>Technical Stakeholders</w:t>
            </w:r>
          </w:p>
        </w:tc>
        <w:tc>
          <w:tcPr>
            <w:tcW w:w="1890" w:type="dxa"/>
          </w:tcPr>
          <w:p w14:paraId="76799848" w14:textId="4EE4712B" w:rsidR="007F3894" w:rsidRPr="006B65B4" w:rsidRDefault="007F3894" w:rsidP="00865817">
            <w:pPr>
              <w:pStyle w:val="TABLEBULLETNEW"/>
            </w:pPr>
            <w:r>
              <w:t xml:space="preserve">Functional Design Document (DEL-20) </w:t>
            </w:r>
          </w:p>
          <w:p w14:paraId="31D4032F" w14:textId="77777777" w:rsidR="007F3894" w:rsidRPr="006B65B4" w:rsidRDefault="007F3894" w:rsidP="00865817">
            <w:pPr>
              <w:pStyle w:val="TABLEBULLETNEW"/>
            </w:pPr>
            <w:r>
              <w:t>Interface/Batch/Automation Control Documents (DEL-22)</w:t>
            </w:r>
          </w:p>
          <w:p w14:paraId="2D8AF3D3" w14:textId="0F9A6505" w:rsidR="007F3894" w:rsidRPr="006B65B4" w:rsidRDefault="007F3894" w:rsidP="00865817">
            <w:pPr>
              <w:pStyle w:val="TABLEBULLETNEW"/>
            </w:pPr>
            <w:r>
              <w:t>Requirements Traceability Matrix (DEL-19)</w:t>
            </w:r>
          </w:p>
        </w:tc>
        <w:tc>
          <w:tcPr>
            <w:tcW w:w="1980" w:type="dxa"/>
          </w:tcPr>
          <w:p w14:paraId="46B89FA6" w14:textId="77777777" w:rsidR="007F3894" w:rsidRDefault="007F3894" w:rsidP="00865817">
            <w:pPr>
              <w:pStyle w:val="TABLEBULLETNEW"/>
            </w:pPr>
            <w:r>
              <w:t xml:space="preserve">Unit Test Results </w:t>
            </w:r>
          </w:p>
          <w:p w14:paraId="33D16D69" w14:textId="77777777" w:rsidR="007F3894" w:rsidRPr="003D4FD7" w:rsidRDefault="007F3894" w:rsidP="00865817">
            <w:pPr>
              <w:pStyle w:val="TABLEBULLETNEW"/>
            </w:pPr>
            <w:r>
              <w:t>Data Model and Data Dictionary (DEL-21)</w:t>
            </w:r>
          </w:p>
          <w:p w14:paraId="045F2147" w14:textId="77777777" w:rsidR="007F3894" w:rsidRDefault="007F3894" w:rsidP="00865817">
            <w:pPr>
              <w:pStyle w:val="TABLEBULLETNEW"/>
            </w:pPr>
            <w:r>
              <w:t>Communication of SIT and Solution Exploration environment availability</w:t>
            </w:r>
          </w:p>
        </w:tc>
      </w:tr>
      <w:tr w:rsidR="007F3894" w:rsidRPr="00A21682" w14:paraId="0BCAC48E" w14:textId="77777777" w:rsidTr="00420254">
        <w:trPr>
          <w:trHeight w:val="300"/>
        </w:trPr>
        <w:tc>
          <w:tcPr>
            <w:tcW w:w="627" w:type="dxa"/>
          </w:tcPr>
          <w:p w14:paraId="2FEECABE" w14:textId="77777777" w:rsidR="007F3894" w:rsidRPr="00A21682" w:rsidRDefault="007F3894" w:rsidP="00865817">
            <w:pPr>
              <w:pStyle w:val="TABLETEXT1"/>
              <w:rPr>
                <w:lang w:val="en-US"/>
              </w:rPr>
            </w:pPr>
            <w:r>
              <w:rPr>
                <w:lang w:val="en-US"/>
              </w:rPr>
              <w:t>6.0</w:t>
            </w:r>
          </w:p>
        </w:tc>
        <w:tc>
          <w:tcPr>
            <w:tcW w:w="1530" w:type="dxa"/>
          </w:tcPr>
          <w:p w14:paraId="76E4B16A" w14:textId="77777777" w:rsidR="007F3894" w:rsidRPr="00A21682" w:rsidRDefault="007F3894" w:rsidP="00865817">
            <w:pPr>
              <w:pStyle w:val="TABLETEXT1"/>
              <w:rPr>
                <w:u w:color="000000"/>
              </w:rPr>
            </w:pPr>
            <w:r>
              <w:t>System Integration Test (SIT)</w:t>
            </w:r>
          </w:p>
        </w:tc>
        <w:tc>
          <w:tcPr>
            <w:tcW w:w="1800" w:type="dxa"/>
          </w:tcPr>
          <w:p w14:paraId="3E7719E8" w14:textId="26795752" w:rsidR="007F3894" w:rsidRPr="00A21682" w:rsidRDefault="007F3894" w:rsidP="00865817">
            <w:pPr>
              <w:pStyle w:val="TABLETEXT1"/>
              <w:rPr>
                <w:u w:color="000000"/>
              </w:rPr>
            </w:pPr>
            <w:r>
              <w:t>Fu</w:t>
            </w:r>
            <w:r>
              <w:rPr>
                <w:u w:color="000000"/>
              </w:rPr>
              <w:t>nctional stakeholders work on SIT</w:t>
            </w:r>
          </w:p>
        </w:tc>
        <w:tc>
          <w:tcPr>
            <w:tcW w:w="1710" w:type="dxa"/>
          </w:tcPr>
          <w:p w14:paraId="7A29B06B" w14:textId="77777777" w:rsidR="007F3894" w:rsidRPr="00635C9B" w:rsidRDefault="007F3894" w:rsidP="00865817">
            <w:pPr>
              <w:pStyle w:val="TABLEBULLETNEW"/>
            </w:pPr>
            <w:r>
              <w:t>Functional Stakeholders</w:t>
            </w:r>
          </w:p>
        </w:tc>
        <w:tc>
          <w:tcPr>
            <w:tcW w:w="1890" w:type="dxa"/>
          </w:tcPr>
          <w:p w14:paraId="2C620297" w14:textId="77777777" w:rsidR="007F3894" w:rsidRPr="003D4FD7" w:rsidRDefault="007F3894" w:rsidP="00865817">
            <w:pPr>
              <w:pStyle w:val="TABLEBULLETNEW"/>
            </w:pPr>
            <w:r>
              <w:t xml:space="preserve">Unit Test Results </w:t>
            </w:r>
          </w:p>
          <w:p w14:paraId="470A2F4D" w14:textId="77777777" w:rsidR="007F3894" w:rsidRDefault="007F3894" w:rsidP="00865817">
            <w:pPr>
              <w:pStyle w:val="TABLEBULLETNEW"/>
            </w:pPr>
            <w:r>
              <w:t>Communication of SIT environment availability</w:t>
            </w:r>
          </w:p>
        </w:tc>
        <w:tc>
          <w:tcPr>
            <w:tcW w:w="1980" w:type="dxa"/>
          </w:tcPr>
          <w:p w14:paraId="6CC56BA5" w14:textId="77777777" w:rsidR="007F3894" w:rsidRPr="00615BBE" w:rsidRDefault="007F3894" w:rsidP="00865817">
            <w:pPr>
              <w:pStyle w:val="TABLEBULLETNEW"/>
            </w:pPr>
            <w:r>
              <w:t>Test Management Plan (DEL-09)</w:t>
            </w:r>
          </w:p>
          <w:p w14:paraId="6CBF8E80" w14:textId="77777777" w:rsidR="007F3894" w:rsidRPr="00615BBE" w:rsidRDefault="007F3894" w:rsidP="00865817">
            <w:pPr>
              <w:pStyle w:val="TABLEBULLETNEW"/>
            </w:pPr>
            <w:r>
              <w:t>SIT Test Report</w:t>
            </w:r>
          </w:p>
        </w:tc>
      </w:tr>
      <w:tr w:rsidR="007F3894" w:rsidRPr="00A21682" w14:paraId="7C2E30C1" w14:textId="77777777" w:rsidTr="00420254">
        <w:trPr>
          <w:trHeight w:val="300"/>
        </w:trPr>
        <w:tc>
          <w:tcPr>
            <w:tcW w:w="627" w:type="dxa"/>
          </w:tcPr>
          <w:p w14:paraId="7CE33F65" w14:textId="77777777" w:rsidR="007F3894" w:rsidRPr="00A21682" w:rsidRDefault="007F3894" w:rsidP="00865817">
            <w:pPr>
              <w:pStyle w:val="TABLETEXT1"/>
              <w:rPr>
                <w:lang w:val="en-US"/>
              </w:rPr>
            </w:pPr>
            <w:r>
              <w:rPr>
                <w:lang w:val="en-US"/>
              </w:rPr>
              <w:t>6.1</w:t>
            </w:r>
          </w:p>
        </w:tc>
        <w:tc>
          <w:tcPr>
            <w:tcW w:w="1530" w:type="dxa"/>
          </w:tcPr>
          <w:p w14:paraId="3503EE4B" w14:textId="4593BB47" w:rsidR="007F3894" w:rsidRPr="00A21682" w:rsidRDefault="007F3894" w:rsidP="00865817">
            <w:pPr>
              <w:pStyle w:val="TABLETEXT1"/>
              <w:rPr>
                <w:u w:color="000000"/>
              </w:rPr>
            </w:pPr>
            <w:r>
              <w:t>Is Iteration/ Bundle Exit Criteria Met?</w:t>
            </w:r>
          </w:p>
          <w:p w14:paraId="72D97C99" w14:textId="77777777" w:rsidR="007F3894" w:rsidRPr="00A21682" w:rsidRDefault="007F3894" w:rsidP="00865817">
            <w:pPr>
              <w:pStyle w:val="TABLETEXT1"/>
            </w:pPr>
          </w:p>
          <w:p w14:paraId="1C8DF31E" w14:textId="77777777" w:rsidR="007F3894" w:rsidRPr="00A21682" w:rsidRDefault="007F3894" w:rsidP="00865817">
            <w:pPr>
              <w:pStyle w:val="TABLETEXT1"/>
              <w:rPr>
                <w:u w:color="000000"/>
              </w:rPr>
            </w:pPr>
            <w:r>
              <w:t xml:space="preserve"> </w:t>
            </w:r>
          </w:p>
        </w:tc>
        <w:tc>
          <w:tcPr>
            <w:tcW w:w="1800" w:type="dxa"/>
          </w:tcPr>
          <w:p w14:paraId="0CB4915B" w14:textId="0460B154" w:rsidR="007F3894" w:rsidRPr="00A21682" w:rsidRDefault="007F3894" w:rsidP="00865817">
            <w:pPr>
              <w:pStyle w:val="TABLETEXT1"/>
              <w:rPr>
                <w:u w:color="000000"/>
              </w:rPr>
            </w:pPr>
            <w:r>
              <w:t>Functional stakeholders decide if the iterati</w:t>
            </w:r>
            <w:r>
              <w:rPr>
                <w:u w:color="000000"/>
              </w:rPr>
              <w:t xml:space="preserve">on/bundle exit criteria is met. </w:t>
            </w:r>
          </w:p>
          <w:p w14:paraId="53C81643" w14:textId="23727E1D" w:rsidR="007F3894" w:rsidRDefault="007F3894" w:rsidP="00865817">
            <w:pPr>
              <w:pStyle w:val="TABLEBULLETNEW"/>
            </w:pPr>
            <w:r>
              <w:lastRenderedPageBreak/>
              <w:t xml:space="preserve">If it is met, proceed to </w:t>
            </w:r>
            <w:r>
              <w:rPr>
                <w:i/>
              </w:rPr>
              <w:t>Step # 6.2 Are all Iterations/ Bundles for the Wave Complete?</w:t>
            </w:r>
          </w:p>
          <w:p w14:paraId="418E3C27" w14:textId="0E89E7F9" w:rsidR="007F3894" w:rsidRDefault="007F3894" w:rsidP="00865817">
            <w:pPr>
              <w:pStyle w:val="TABLEBULLETNEW"/>
            </w:pPr>
            <w:r>
              <w:t xml:space="preserve">If it is not met, proceed to </w:t>
            </w:r>
            <w:r>
              <w:rPr>
                <w:i/>
              </w:rPr>
              <w:t>Step #4 Design</w:t>
            </w:r>
          </w:p>
        </w:tc>
        <w:tc>
          <w:tcPr>
            <w:tcW w:w="1710" w:type="dxa"/>
          </w:tcPr>
          <w:p w14:paraId="08A674F2" w14:textId="77777777" w:rsidR="007F3894" w:rsidRPr="00635C9B" w:rsidRDefault="007F3894" w:rsidP="00865817">
            <w:pPr>
              <w:pStyle w:val="TABLEBULLETNEW"/>
            </w:pPr>
            <w:r>
              <w:lastRenderedPageBreak/>
              <w:t>Functional Stakeholders</w:t>
            </w:r>
          </w:p>
        </w:tc>
        <w:tc>
          <w:tcPr>
            <w:tcW w:w="1890" w:type="dxa"/>
          </w:tcPr>
          <w:p w14:paraId="2E21C870" w14:textId="77777777" w:rsidR="00865817" w:rsidRDefault="007F3894" w:rsidP="00865817">
            <w:pPr>
              <w:pStyle w:val="TABLEBULLETNEW"/>
            </w:pPr>
            <w:r>
              <w:t>SIT test results for all iterations/</w:t>
            </w:r>
          </w:p>
          <w:p w14:paraId="74E1140B" w14:textId="5C9DD5D9" w:rsidR="007F3894" w:rsidRPr="00475239" w:rsidRDefault="007F3894" w:rsidP="00865817">
            <w:pPr>
              <w:pStyle w:val="TABLEBULLETNEW"/>
              <w:numPr>
                <w:ilvl w:val="0"/>
                <w:numId w:val="0"/>
              </w:numPr>
              <w:ind w:left="331"/>
            </w:pPr>
            <w:r>
              <w:t xml:space="preserve">bundles of a Wave meet the thresholds for a ‘pass’ result as </w:t>
            </w:r>
            <w:r>
              <w:lastRenderedPageBreak/>
              <w:t>defined in the Test Management Plan (DEL-09)</w:t>
            </w:r>
          </w:p>
        </w:tc>
        <w:tc>
          <w:tcPr>
            <w:tcW w:w="1980" w:type="dxa"/>
          </w:tcPr>
          <w:p w14:paraId="79CAE9AC" w14:textId="77777777" w:rsidR="007F3894" w:rsidRPr="00615BBE" w:rsidRDefault="007F3894" w:rsidP="00865817">
            <w:pPr>
              <w:pStyle w:val="TABLEBULLETNEW"/>
            </w:pPr>
            <w:r>
              <w:lastRenderedPageBreak/>
              <w:t>Test Management Plan (DEL-09)</w:t>
            </w:r>
          </w:p>
          <w:p w14:paraId="7873591A" w14:textId="77777777" w:rsidR="007F3894" w:rsidRPr="00615BBE" w:rsidRDefault="007F3894" w:rsidP="00865817">
            <w:pPr>
              <w:pStyle w:val="TABLEBULLETNEW"/>
            </w:pPr>
            <w:r>
              <w:t>SIT Test Report</w:t>
            </w:r>
          </w:p>
        </w:tc>
      </w:tr>
      <w:tr w:rsidR="007F3894" w:rsidRPr="00A21682" w14:paraId="15493548" w14:textId="77777777" w:rsidTr="00420254">
        <w:trPr>
          <w:trHeight w:val="300"/>
        </w:trPr>
        <w:tc>
          <w:tcPr>
            <w:tcW w:w="627" w:type="dxa"/>
          </w:tcPr>
          <w:p w14:paraId="13115520" w14:textId="77777777" w:rsidR="007F3894" w:rsidRPr="00A21682" w:rsidRDefault="007F3894" w:rsidP="00865817">
            <w:pPr>
              <w:pStyle w:val="TABLETEXT1"/>
              <w:rPr>
                <w:lang w:val="en-US"/>
              </w:rPr>
            </w:pPr>
            <w:r>
              <w:rPr>
                <w:lang w:val="en-US"/>
              </w:rPr>
              <w:t>6.2</w:t>
            </w:r>
          </w:p>
        </w:tc>
        <w:tc>
          <w:tcPr>
            <w:tcW w:w="1530" w:type="dxa"/>
          </w:tcPr>
          <w:p w14:paraId="1AFB6D97" w14:textId="378FB510" w:rsidR="007F3894" w:rsidRPr="00A21682" w:rsidRDefault="007F3894" w:rsidP="00865817">
            <w:pPr>
              <w:pStyle w:val="TABLETEXT1"/>
              <w:rPr>
                <w:u w:color="000000"/>
              </w:rPr>
            </w:pPr>
            <w:r>
              <w:t xml:space="preserve">Are all Iterations/ Bundles for the Wave </w:t>
            </w:r>
            <w:r>
              <w:rPr>
                <w:u w:color="000000"/>
              </w:rPr>
              <w:t>Complete?</w:t>
            </w:r>
          </w:p>
          <w:p w14:paraId="3AA7FFD7" w14:textId="77777777" w:rsidR="007F3894" w:rsidRPr="00A21682" w:rsidRDefault="007F3894" w:rsidP="00865817">
            <w:pPr>
              <w:pStyle w:val="TABLETEXT1"/>
            </w:pPr>
          </w:p>
          <w:p w14:paraId="5A0EA79B" w14:textId="77777777" w:rsidR="007F3894" w:rsidRPr="00A21682" w:rsidRDefault="007F3894" w:rsidP="00865817">
            <w:pPr>
              <w:pStyle w:val="TABLETEXT1"/>
            </w:pPr>
          </w:p>
        </w:tc>
        <w:tc>
          <w:tcPr>
            <w:tcW w:w="1800" w:type="dxa"/>
          </w:tcPr>
          <w:p w14:paraId="7F40D09A" w14:textId="3565D800" w:rsidR="007F3894" w:rsidRPr="00A21682" w:rsidRDefault="007F3894" w:rsidP="00865817">
            <w:pPr>
              <w:pStyle w:val="TABLETEXT1"/>
              <w:rPr>
                <w:u w:color="000000"/>
              </w:rPr>
            </w:pPr>
            <w:r>
              <w:t xml:space="preserve">Functional stakeholders decide if all iterations/bundles for the wave are complete. </w:t>
            </w:r>
          </w:p>
          <w:p w14:paraId="463A104F" w14:textId="4A770588" w:rsidR="007F3894" w:rsidRDefault="007F3894" w:rsidP="00865817">
            <w:pPr>
              <w:pStyle w:val="TABLEBULLETNEW"/>
            </w:pPr>
            <w:r>
              <w:t xml:space="preserve">If it is complete, proceed to </w:t>
            </w:r>
            <w:r>
              <w:rPr>
                <w:i/>
              </w:rPr>
              <w:t>Step # 7.0 Operational Readiness Test</w:t>
            </w:r>
          </w:p>
          <w:p w14:paraId="0F85F576" w14:textId="7F86A1E0" w:rsidR="007F3894" w:rsidRDefault="007F3894" w:rsidP="00865817">
            <w:pPr>
              <w:pStyle w:val="TABLEBULLETNEW"/>
            </w:pPr>
            <w:r>
              <w:t xml:space="preserve">If it is not complete, proceed to </w:t>
            </w:r>
            <w:r>
              <w:rPr>
                <w:i/>
              </w:rPr>
              <w:t>Step # 4.1 Design Approved</w:t>
            </w:r>
          </w:p>
        </w:tc>
        <w:tc>
          <w:tcPr>
            <w:tcW w:w="1710" w:type="dxa"/>
          </w:tcPr>
          <w:p w14:paraId="2126727B" w14:textId="77777777" w:rsidR="007F3894" w:rsidRPr="00635C9B" w:rsidRDefault="007F3894" w:rsidP="00865817">
            <w:pPr>
              <w:pStyle w:val="TABLEBULLETNEW"/>
            </w:pPr>
            <w:r>
              <w:t>Functional Stakeholders</w:t>
            </w:r>
          </w:p>
        </w:tc>
        <w:tc>
          <w:tcPr>
            <w:tcW w:w="1890" w:type="dxa"/>
          </w:tcPr>
          <w:p w14:paraId="5B029E84" w14:textId="77777777" w:rsidR="007F3894" w:rsidRDefault="007F3894" w:rsidP="00865817">
            <w:pPr>
              <w:pStyle w:val="TABLEBULLETNEW"/>
            </w:pPr>
            <w:r>
              <w:t>N/A</w:t>
            </w:r>
          </w:p>
        </w:tc>
        <w:tc>
          <w:tcPr>
            <w:tcW w:w="1980" w:type="dxa"/>
          </w:tcPr>
          <w:p w14:paraId="0E8812E3" w14:textId="77777777" w:rsidR="007F3894" w:rsidRDefault="007F3894" w:rsidP="00865817">
            <w:pPr>
              <w:pStyle w:val="TABLEBULLETNEW"/>
            </w:pPr>
            <w:r>
              <w:t>N/A</w:t>
            </w:r>
          </w:p>
        </w:tc>
      </w:tr>
      <w:tr w:rsidR="007F3894" w:rsidRPr="00A21682" w14:paraId="64D41CA5" w14:textId="77777777" w:rsidTr="00420254">
        <w:trPr>
          <w:trHeight w:val="300"/>
        </w:trPr>
        <w:tc>
          <w:tcPr>
            <w:tcW w:w="627" w:type="dxa"/>
          </w:tcPr>
          <w:p w14:paraId="348DC214" w14:textId="77777777" w:rsidR="007F3894" w:rsidRPr="00A21682" w:rsidRDefault="007F3894" w:rsidP="00865817">
            <w:pPr>
              <w:pStyle w:val="TABLETEXT1"/>
              <w:rPr>
                <w:lang w:val="en-US"/>
              </w:rPr>
            </w:pPr>
            <w:r>
              <w:rPr>
                <w:lang w:val="en-US"/>
              </w:rPr>
              <w:t>7.0</w:t>
            </w:r>
          </w:p>
        </w:tc>
        <w:tc>
          <w:tcPr>
            <w:tcW w:w="1530" w:type="dxa"/>
          </w:tcPr>
          <w:p w14:paraId="3D5B5893" w14:textId="77777777" w:rsidR="007F3894" w:rsidRPr="00A21682" w:rsidRDefault="007F3894" w:rsidP="00865817">
            <w:pPr>
              <w:pStyle w:val="TABLETEXT1"/>
              <w:rPr>
                <w:u w:color="000000"/>
              </w:rPr>
            </w:pPr>
            <w:r>
              <w:t>Operational Readiness Test</w:t>
            </w:r>
          </w:p>
        </w:tc>
        <w:tc>
          <w:tcPr>
            <w:tcW w:w="1800" w:type="dxa"/>
          </w:tcPr>
          <w:p w14:paraId="7461DB09" w14:textId="6AFD1C85" w:rsidR="007F3894" w:rsidRPr="00A21682" w:rsidRDefault="007F3894" w:rsidP="00865817">
            <w:pPr>
              <w:pStyle w:val="TABLETEXT1"/>
              <w:rPr>
                <w:u w:color="000000"/>
              </w:rPr>
            </w:pPr>
            <w:r>
              <w:t>Functional stakeholders work on Operational Readiness Test</w:t>
            </w:r>
          </w:p>
        </w:tc>
        <w:tc>
          <w:tcPr>
            <w:tcW w:w="1710" w:type="dxa"/>
          </w:tcPr>
          <w:p w14:paraId="691CEE17" w14:textId="77777777" w:rsidR="007F3894" w:rsidRPr="00635C9B" w:rsidRDefault="007F3894" w:rsidP="00865817">
            <w:pPr>
              <w:pStyle w:val="TABLEBULLETNEW"/>
            </w:pPr>
            <w:r>
              <w:t>Functional Stakeholders</w:t>
            </w:r>
          </w:p>
        </w:tc>
        <w:tc>
          <w:tcPr>
            <w:tcW w:w="1890" w:type="dxa"/>
          </w:tcPr>
          <w:p w14:paraId="15E6D215" w14:textId="77777777" w:rsidR="007F3894" w:rsidRDefault="007F3894" w:rsidP="00865817">
            <w:pPr>
              <w:pStyle w:val="TABLEBULLETNEW"/>
            </w:pPr>
            <w:r>
              <w:t>Business Continuity and Disaster Recovery Plan (DEL-14)</w:t>
            </w:r>
          </w:p>
          <w:p w14:paraId="53162E6B" w14:textId="77777777" w:rsidR="007F3894" w:rsidRPr="003D4FD7" w:rsidRDefault="007F3894" w:rsidP="00865817">
            <w:pPr>
              <w:pStyle w:val="TABLEBULLETNEW"/>
            </w:pPr>
            <w:r>
              <w:t>System Security Plan (SSP) (DEL-15)</w:t>
            </w:r>
          </w:p>
          <w:p w14:paraId="14FFA0F5" w14:textId="77777777" w:rsidR="007F3894" w:rsidRPr="003D4FD7" w:rsidRDefault="007F3894" w:rsidP="00865817">
            <w:pPr>
              <w:pStyle w:val="TABLEBULLETNEW"/>
            </w:pPr>
            <w:r>
              <w:t>System Architecture Design Document (SADD) (DEL-16)</w:t>
            </w:r>
          </w:p>
          <w:p w14:paraId="2DCE8191" w14:textId="77777777" w:rsidR="007F3894" w:rsidRPr="00AA7927" w:rsidRDefault="007F3894" w:rsidP="00865817">
            <w:pPr>
              <w:pStyle w:val="TABLEBULLETNEW"/>
            </w:pPr>
            <w:r>
              <w:lastRenderedPageBreak/>
              <w:t>Test Management Plan (DEL-09)</w:t>
            </w:r>
          </w:p>
          <w:p w14:paraId="664D51BE" w14:textId="77777777" w:rsidR="007F3894" w:rsidRPr="007775FA" w:rsidRDefault="007F3894" w:rsidP="00865817">
            <w:pPr>
              <w:pStyle w:val="TABLEBULLETNEW"/>
            </w:pPr>
            <w:r>
              <w:t>SIT Test Report</w:t>
            </w:r>
          </w:p>
        </w:tc>
        <w:tc>
          <w:tcPr>
            <w:tcW w:w="1980" w:type="dxa"/>
          </w:tcPr>
          <w:p w14:paraId="3F45DD76" w14:textId="77777777" w:rsidR="007F3894" w:rsidRDefault="007F3894" w:rsidP="00865817">
            <w:pPr>
              <w:pStyle w:val="TABLEBULLETNEW"/>
            </w:pPr>
            <w:r>
              <w:lastRenderedPageBreak/>
              <w:t>System Test Results</w:t>
            </w:r>
          </w:p>
          <w:p w14:paraId="764DBFDF" w14:textId="77777777" w:rsidR="007F3894" w:rsidRPr="003D4FD7" w:rsidRDefault="007F3894" w:rsidP="00865817">
            <w:pPr>
              <w:pStyle w:val="TABLEBULLETNEW"/>
            </w:pPr>
            <w:r>
              <w:t>Master ISOW Integrated Project Schedule</w:t>
            </w:r>
          </w:p>
          <w:p w14:paraId="1FC6BD35" w14:textId="0472B2F5" w:rsidR="007F3894" w:rsidRPr="003D4FD7" w:rsidRDefault="007F3894" w:rsidP="00865817">
            <w:pPr>
              <w:pStyle w:val="TABLEBULLETNEW"/>
            </w:pPr>
            <w:r>
              <w:t>Requirements Traceability Matrix (DEL-19)</w:t>
            </w:r>
          </w:p>
          <w:p w14:paraId="26556303" w14:textId="77777777" w:rsidR="007F3894" w:rsidRPr="003D4FD7" w:rsidRDefault="007F3894" w:rsidP="00865817">
            <w:pPr>
              <w:pStyle w:val="TABLEBULLETNEW"/>
            </w:pPr>
            <w:r>
              <w:t>UAT test cases</w:t>
            </w:r>
          </w:p>
          <w:p w14:paraId="34C42BE1" w14:textId="08E0D92B" w:rsidR="007F3894" w:rsidRPr="00CE11EE" w:rsidRDefault="007F3894" w:rsidP="00865817">
            <w:pPr>
              <w:pStyle w:val="TABLEBULLETNEW"/>
            </w:pPr>
            <w:r>
              <w:t xml:space="preserve">All the valid observations are categorized as: valid defects to be addressed, potential design updates, or </w:t>
            </w:r>
            <w:r>
              <w:lastRenderedPageBreak/>
              <w:t>potential enhancements</w:t>
            </w:r>
          </w:p>
        </w:tc>
      </w:tr>
      <w:tr w:rsidR="007F3894" w:rsidRPr="00A21682" w14:paraId="3A0CA853" w14:textId="77777777" w:rsidTr="00420254">
        <w:trPr>
          <w:trHeight w:val="300"/>
        </w:trPr>
        <w:tc>
          <w:tcPr>
            <w:tcW w:w="627" w:type="dxa"/>
          </w:tcPr>
          <w:p w14:paraId="385BD1D7" w14:textId="77777777" w:rsidR="007F3894" w:rsidRPr="00A21682" w:rsidRDefault="007F3894" w:rsidP="00865817">
            <w:pPr>
              <w:pStyle w:val="TABLETEXT1"/>
              <w:rPr>
                <w:lang w:val="en-US"/>
              </w:rPr>
            </w:pPr>
            <w:r>
              <w:rPr>
                <w:lang w:val="en-US"/>
              </w:rPr>
              <w:t>7.1</w:t>
            </w:r>
          </w:p>
        </w:tc>
        <w:tc>
          <w:tcPr>
            <w:tcW w:w="1530" w:type="dxa"/>
          </w:tcPr>
          <w:p w14:paraId="358DEE29" w14:textId="77777777" w:rsidR="007F3894" w:rsidRPr="00A21682" w:rsidRDefault="007F3894" w:rsidP="00865817">
            <w:pPr>
              <w:pStyle w:val="TABLETEXT1"/>
              <w:rPr>
                <w:u w:color="000000"/>
              </w:rPr>
            </w:pPr>
            <w:r>
              <w:t xml:space="preserve">Is Test Phase </w:t>
            </w:r>
            <w:r>
              <w:rPr>
                <w:u w:color="000000"/>
              </w:rPr>
              <w:t>Exit Criteria Met?</w:t>
            </w:r>
          </w:p>
          <w:p w14:paraId="20F6788F" w14:textId="77777777" w:rsidR="007F3894" w:rsidRPr="00A21682" w:rsidRDefault="007F3894" w:rsidP="00865817">
            <w:pPr>
              <w:pStyle w:val="TABLETEXT1"/>
            </w:pPr>
          </w:p>
          <w:p w14:paraId="2A7BBB60" w14:textId="77777777" w:rsidR="007F3894" w:rsidRPr="00A21682" w:rsidRDefault="007F3894" w:rsidP="00865817">
            <w:pPr>
              <w:pStyle w:val="TABLETEXT1"/>
            </w:pPr>
          </w:p>
        </w:tc>
        <w:tc>
          <w:tcPr>
            <w:tcW w:w="1800" w:type="dxa"/>
          </w:tcPr>
          <w:p w14:paraId="67D018E8" w14:textId="77777777" w:rsidR="007F3894" w:rsidRPr="00A21682" w:rsidRDefault="007F3894" w:rsidP="00865817">
            <w:pPr>
              <w:pStyle w:val="TABLETEXT1"/>
              <w:rPr>
                <w:u w:color="000000"/>
              </w:rPr>
            </w:pPr>
            <w:r>
              <w:t>Functional stakeholders decide if t</w:t>
            </w:r>
            <w:r>
              <w:rPr>
                <w:u w:color="000000"/>
              </w:rPr>
              <w:t xml:space="preserve">he Test Phase exit criteria is met. </w:t>
            </w:r>
          </w:p>
          <w:p w14:paraId="1A0C2801" w14:textId="35072725" w:rsidR="007F3894" w:rsidRDefault="007F3894" w:rsidP="00865817">
            <w:pPr>
              <w:pStyle w:val="TABLEBULLETNEW"/>
            </w:pPr>
            <w:r>
              <w:t xml:space="preserve">If it is met, proceed to </w:t>
            </w:r>
            <w:r>
              <w:rPr>
                <w:i/>
              </w:rPr>
              <w:t>Step # 8.0 User Acceptance Test (UAT)</w:t>
            </w:r>
          </w:p>
          <w:p w14:paraId="1D8B767C" w14:textId="1BF0AC9A" w:rsidR="007F3894" w:rsidRDefault="007F3894" w:rsidP="00865817">
            <w:pPr>
              <w:pStyle w:val="TABLEBULLETNEW"/>
            </w:pPr>
            <w:r>
              <w:t xml:space="preserve">If it is not met, proceed to </w:t>
            </w:r>
            <w:r>
              <w:rPr>
                <w:i/>
              </w:rPr>
              <w:t>Step # 7.0 Operational Readiness Test</w:t>
            </w:r>
          </w:p>
        </w:tc>
        <w:tc>
          <w:tcPr>
            <w:tcW w:w="1710" w:type="dxa"/>
          </w:tcPr>
          <w:p w14:paraId="0A4D37E9" w14:textId="77777777" w:rsidR="007F3894" w:rsidRPr="00635C9B" w:rsidRDefault="007F3894" w:rsidP="00865817">
            <w:pPr>
              <w:pStyle w:val="TABLEBULLETNEW"/>
            </w:pPr>
            <w:r>
              <w:t>Functional Stakeholders</w:t>
            </w:r>
          </w:p>
        </w:tc>
        <w:tc>
          <w:tcPr>
            <w:tcW w:w="1890" w:type="dxa"/>
          </w:tcPr>
          <w:p w14:paraId="4F669659" w14:textId="77777777" w:rsidR="007F3894" w:rsidRDefault="007F3894" w:rsidP="00865817">
            <w:pPr>
              <w:pStyle w:val="TABLEBULLETNEW"/>
            </w:pPr>
            <w:r>
              <w:t>The System Test Results (including E2E SIT, Accessibility, Regression, Security, Performance, and Failover test types) meet the acceptance criteria defined in their relevant plans (Test Management Plan (DEL-09), BCDR plan, System Security Plan (DEL-15)) and have been approved</w:t>
            </w:r>
          </w:p>
          <w:p w14:paraId="2DA2B0B8" w14:textId="77777777" w:rsidR="007F3894" w:rsidRPr="003D4FD7" w:rsidRDefault="007F3894" w:rsidP="00865817">
            <w:pPr>
              <w:pStyle w:val="TABLEBULLETNEW"/>
            </w:pPr>
            <w:r>
              <w:t>An ISOW is drafted for the UAT and Rollout phases of a Wave</w:t>
            </w:r>
          </w:p>
          <w:p w14:paraId="55625B42" w14:textId="4D0CAFEC" w:rsidR="007F3894" w:rsidRPr="003D4FD7" w:rsidRDefault="007F3894" w:rsidP="00865817">
            <w:pPr>
              <w:pStyle w:val="TABLEBULLETNEW"/>
            </w:pPr>
            <w:r>
              <w:t>The Requirements Traceability Matrix (DEL-19) is finalized with traceability of all functional and non-functional Wave requirements through test script coverage</w:t>
            </w:r>
          </w:p>
          <w:p w14:paraId="3953D9B4" w14:textId="77777777" w:rsidR="007F3894" w:rsidRPr="003D4FD7" w:rsidRDefault="007F3894" w:rsidP="00865817">
            <w:pPr>
              <w:pStyle w:val="TABLEBULLETNEW"/>
            </w:pPr>
            <w:r>
              <w:lastRenderedPageBreak/>
              <w:t>UAT test cases are drafted and agreed-upon with DOH stakeholders</w:t>
            </w:r>
          </w:p>
          <w:p w14:paraId="60D3A95A" w14:textId="77777777" w:rsidR="007F3894" w:rsidRPr="00FB4AB6" w:rsidRDefault="007F3894" w:rsidP="00865817">
            <w:pPr>
              <w:pStyle w:val="TABLEBULLETNEW"/>
            </w:pPr>
            <w:r>
              <w:t>The E2E Solution Exploration observations are properly dispositioned and prioritized</w:t>
            </w:r>
          </w:p>
        </w:tc>
        <w:tc>
          <w:tcPr>
            <w:tcW w:w="1980" w:type="dxa"/>
          </w:tcPr>
          <w:p w14:paraId="3314CF2B" w14:textId="77777777" w:rsidR="007F3894" w:rsidRDefault="007F3894" w:rsidP="00865817">
            <w:pPr>
              <w:pStyle w:val="TABLEBULLETNEW"/>
            </w:pPr>
            <w:r>
              <w:lastRenderedPageBreak/>
              <w:t>System Test Results</w:t>
            </w:r>
          </w:p>
          <w:p w14:paraId="405C668F" w14:textId="77777777" w:rsidR="007F3894" w:rsidRPr="005D173C" w:rsidRDefault="007F3894" w:rsidP="00865817">
            <w:pPr>
              <w:pStyle w:val="TABLEBULLETNEW"/>
            </w:pPr>
            <w:r>
              <w:t>Master ISOW Integrated Project Schedule</w:t>
            </w:r>
          </w:p>
          <w:p w14:paraId="33D74FCC" w14:textId="11103A0B" w:rsidR="007F3894" w:rsidRPr="005D173C" w:rsidRDefault="007F3894" w:rsidP="00865817">
            <w:pPr>
              <w:pStyle w:val="TABLEBULLETNEW"/>
            </w:pPr>
            <w:r>
              <w:t>Requirements Traceability Matrix (DEL-19)</w:t>
            </w:r>
          </w:p>
          <w:p w14:paraId="661D0266" w14:textId="77777777" w:rsidR="007F3894" w:rsidRPr="005D173C" w:rsidRDefault="007F3894" w:rsidP="00865817">
            <w:pPr>
              <w:pStyle w:val="TABLEBULLETNEW"/>
            </w:pPr>
            <w:r>
              <w:t>UAT test cases</w:t>
            </w:r>
          </w:p>
          <w:p w14:paraId="01F1F33A" w14:textId="77777777" w:rsidR="007F3894" w:rsidRPr="00CE11EE" w:rsidRDefault="007F3894" w:rsidP="00865817">
            <w:pPr>
              <w:pStyle w:val="TABLEBULLETNEW"/>
            </w:pPr>
            <w:r>
              <w:t>All the valid observations are categorized as: Valid defects to be addressed, Potential design updates, or Potential Enhancements</w:t>
            </w:r>
          </w:p>
        </w:tc>
      </w:tr>
      <w:tr w:rsidR="007F3894" w:rsidRPr="00A21682" w14:paraId="79FFE457" w14:textId="77777777" w:rsidTr="00420254">
        <w:trPr>
          <w:trHeight w:val="300"/>
        </w:trPr>
        <w:tc>
          <w:tcPr>
            <w:tcW w:w="627" w:type="dxa"/>
          </w:tcPr>
          <w:p w14:paraId="12A25119" w14:textId="77777777" w:rsidR="007F3894" w:rsidRPr="00A21682" w:rsidRDefault="007F3894" w:rsidP="00865817">
            <w:pPr>
              <w:pStyle w:val="TABLETEXT1"/>
              <w:rPr>
                <w:lang w:val="en-US"/>
              </w:rPr>
            </w:pPr>
            <w:r>
              <w:rPr>
                <w:lang w:val="en-US"/>
              </w:rPr>
              <w:t>8.0</w:t>
            </w:r>
          </w:p>
        </w:tc>
        <w:tc>
          <w:tcPr>
            <w:tcW w:w="1530" w:type="dxa"/>
          </w:tcPr>
          <w:p w14:paraId="780DE77F" w14:textId="77777777" w:rsidR="007F3894" w:rsidRPr="00A21682" w:rsidRDefault="007F3894" w:rsidP="00865817">
            <w:pPr>
              <w:pStyle w:val="TABLETEXT1"/>
              <w:rPr>
                <w:u w:color="000000"/>
              </w:rPr>
            </w:pPr>
            <w:r>
              <w:t>User Acceptance Test (UAT)</w:t>
            </w:r>
          </w:p>
        </w:tc>
        <w:tc>
          <w:tcPr>
            <w:tcW w:w="1800" w:type="dxa"/>
          </w:tcPr>
          <w:p w14:paraId="4876F4EA" w14:textId="77777777" w:rsidR="007F3894" w:rsidRPr="00A21682" w:rsidRDefault="007F3894" w:rsidP="00865817">
            <w:pPr>
              <w:pStyle w:val="TABLETEXT1"/>
              <w:rPr>
                <w:u w:color="000000"/>
              </w:rPr>
            </w:pPr>
            <w:r>
              <w:t xml:space="preserve">Business stakeholders conduct UAT. </w:t>
            </w:r>
          </w:p>
        </w:tc>
        <w:tc>
          <w:tcPr>
            <w:tcW w:w="1710" w:type="dxa"/>
          </w:tcPr>
          <w:p w14:paraId="169E7F90" w14:textId="77777777" w:rsidR="007F3894" w:rsidRPr="00635C9B" w:rsidRDefault="007F3894" w:rsidP="00865817">
            <w:pPr>
              <w:pStyle w:val="TABLEBULLETNEW"/>
            </w:pPr>
            <w:r>
              <w:t>Business Stakeholders</w:t>
            </w:r>
          </w:p>
        </w:tc>
        <w:tc>
          <w:tcPr>
            <w:tcW w:w="1890" w:type="dxa"/>
          </w:tcPr>
          <w:p w14:paraId="599086E3" w14:textId="77777777" w:rsidR="007F3894" w:rsidRPr="009F080D" w:rsidRDefault="007F3894" w:rsidP="00865817">
            <w:pPr>
              <w:pStyle w:val="TABLEBULLETNEW"/>
            </w:pPr>
            <w:r>
              <w:t>Stakeholder Engagement Plan</w:t>
            </w:r>
          </w:p>
          <w:p w14:paraId="1893888F" w14:textId="77777777" w:rsidR="007F3894" w:rsidRDefault="007F3894" w:rsidP="00865817">
            <w:pPr>
              <w:pStyle w:val="TABLEBULLETNEW"/>
            </w:pPr>
            <w:r>
              <w:t>SDLC Methodology – Roles and Responsibilities Matrix</w:t>
            </w:r>
          </w:p>
          <w:p w14:paraId="6EEAA479" w14:textId="77777777" w:rsidR="007F3894" w:rsidRPr="003D4FD7" w:rsidRDefault="007F3894" w:rsidP="00865817">
            <w:pPr>
              <w:pStyle w:val="TABLEBULLETNEW"/>
            </w:pPr>
            <w:r>
              <w:t>Test Management Plan (DEL-09)</w:t>
            </w:r>
          </w:p>
          <w:p w14:paraId="3AB49D95" w14:textId="77777777" w:rsidR="007F3894" w:rsidRPr="009F080D" w:rsidRDefault="007F3894" w:rsidP="00865817">
            <w:pPr>
              <w:pStyle w:val="TABLEBULLETNEW"/>
            </w:pPr>
            <w:r>
              <w:t>Master ISOW Integrated Project Schedule</w:t>
            </w:r>
          </w:p>
        </w:tc>
        <w:tc>
          <w:tcPr>
            <w:tcW w:w="1980" w:type="dxa"/>
          </w:tcPr>
          <w:p w14:paraId="3E0E3F10" w14:textId="77777777" w:rsidR="007F3894" w:rsidRPr="00085331" w:rsidRDefault="007F3894" w:rsidP="00865817">
            <w:pPr>
              <w:pStyle w:val="TABLEBULLETNEW"/>
            </w:pPr>
            <w:r>
              <w:t>Test Management Plan (DEL-09)</w:t>
            </w:r>
          </w:p>
          <w:p w14:paraId="43960BCC" w14:textId="77777777" w:rsidR="007F3894" w:rsidRDefault="007F3894" w:rsidP="00865817">
            <w:pPr>
              <w:pStyle w:val="TABLEBULLETNEW"/>
            </w:pPr>
            <w:r>
              <w:t>UAT summary</w:t>
            </w:r>
          </w:p>
          <w:p w14:paraId="6E4F79C8" w14:textId="77777777" w:rsidR="007F3894" w:rsidRPr="00085331" w:rsidRDefault="007F3894" w:rsidP="00865817">
            <w:pPr>
              <w:pStyle w:val="TABLEBULLETNEW"/>
            </w:pPr>
            <w:r>
              <w:t xml:space="preserve">Formal Go/No Go Decision </w:t>
            </w:r>
          </w:p>
        </w:tc>
      </w:tr>
      <w:tr w:rsidR="007F3894" w:rsidRPr="00A21682" w14:paraId="529F6061" w14:textId="77777777" w:rsidTr="00420254">
        <w:trPr>
          <w:trHeight w:val="300"/>
        </w:trPr>
        <w:tc>
          <w:tcPr>
            <w:tcW w:w="627" w:type="dxa"/>
          </w:tcPr>
          <w:p w14:paraId="68E7D304" w14:textId="77777777" w:rsidR="007F3894" w:rsidRPr="00A21682" w:rsidRDefault="007F3894" w:rsidP="00865817">
            <w:pPr>
              <w:pStyle w:val="TABLETEXT1"/>
              <w:rPr>
                <w:lang w:val="en-US"/>
              </w:rPr>
            </w:pPr>
            <w:r>
              <w:rPr>
                <w:lang w:val="en-US"/>
              </w:rPr>
              <w:t>8.1</w:t>
            </w:r>
          </w:p>
        </w:tc>
        <w:tc>
          <w:tcPr>
            <w:tcW w:w="1530" w:type="dxa"/>
          </w:tcPr>
          <w:p w14:paraId="20973292" w14:textId="77777777" w:rsidR="007F3894" w:rsidRPr="00A21682" w:rsidRDefault="007F3894" w:rsidP="00865817">
            <w:pPr>
              <w:pStyle w:val="TABLETEXT1"/>
              <w:rPr>
                <w:u w:color="000000"/>
              </w:rPr>
            </w:pPr>
            <w:r>
              <w:t>Is</w:t>
            </w:r>
            <w:r>
              <w:rPr>
                <w:u w:color="000000"/>
              </w:rPr>
              <w:t xml:space="preserve"> UAT Phase Exit Criteria Met?</w:t>
            </w:r>
          </w:p>
          <w:p w14:paraId="637BD704" w14:textId="77777777" w:rsidR="007F3894" w:rsidRPr="00A21682" w:rsidRDefault="007F3894" w:rsidP="00865817">
            <w:pPr>
              <w:pStyle w:val="TABLETEXT1"/>
            </w:pPr>
          </w:p>
          <w:p w14:paraId="20F49556" w14:textId="77777777" w:rsidR="007F3894" w:rsidRPr="00A21682" w:rsidRDefault="007F3894" w:rsidP="00865817">
            <w:pPr>
              <w:pStyle w:val="TABLETEXT1"/>
            </w:pPr>
          </w:p>
        </w:tc>
        <w:tc>
          <w:tcPr>
            <w:tcW w:w="1800" w:type="dxa"/>
          </w:tcPr>
          <w:p w14:paraId="6211D8C2" w14:textId="77777777" w:rsidR="007F3894" w:rsidRPr="00A21682" w:rsidRDefault="007F3894" w:rsidP="00865817">
            <w:pPr>
              <w:pStyle w:val="TABLETEXT1"/>
              <w:rPr>
                <w:u w:color="000000"/>
              </w:rPr>
            </w:pPr>
            <w:r>
              <w:t xml:space="preserve">Business stakeholders decide if the UAT exit criteria is met. </w:t>
            </w:r>
          </w:p>
          <w:p w14:paraId="0BF50E21" w14:textId="05BDEAE4" w:rsidR="007F3894" w:rsidRDefault="007F3894" w:rsidP="00865817">
            <w:pPr>
              <w:pStyle w:val="TABLEBULLETNEW"/>
            </w:pPr>
            <w:r>
              <w:t xml:space="preserve">If it is met, proceed to </w:t>
            </w:r>
            <w:r>
              <w:rPr>
                <w:i/>
              </w:rPr>
              <w:t>Step # 9.0 Rollout</w:t>
            </w:r>
          </w:p>
          <w:p w14:paraId="4FC955A5" w14:textId="5C536FEC" w:rsidR="007F3894" w:rsidRDefault="007F3894" w:rsidP="00865817">
            <w:pPr>
              <w:pStyle w:val="TABLEBULLETNEW"/>
            </w:pPr>
            <w:r>
              <w:t xml:space="preserve">If it is not met, proceed to </w:t>
            </w:r>
            <w:r>
              <w:rPr>
                <w:i/>
              </w:rPr>
              <w:t>Step # 8.0 User Acceptance Test (UAT)</w:t>
            </w:r>
          </w:p>
        </w:tc>
        <w:tc>
          <w:tcPr>
            <w:tcW w:w="1710" w:type="dxa"/>
          </w:tcPr>
          <w:p w14:paraId="79E76C16" w14:textId="77777777" w:rsidR="007F3894" w:rsidRPr="00635C9B" w:rsidRDefault="007F3894" w:rsidP="00865817">
            <w:pPr>
              <w:pStyle w:val="TABLEBULLETNEW"/>
            </w:pPr>
            <w:r>
              <w:t>Business Stakeholders</w:t>
            </w:r>
          </w:p>
        </w:tc>
        <w:tc>
          <w:tcPr>
            <w:tcW w:w="1890" w:type="dxa"/>
          </w:tcPr>
          <w:p w14:paraId="3E2A7D55" w14:textId="77777777" w:rsidR="007F3894" w:rsidRPr="00A97379" w:rsidRDefault="007F3894" w:rsidP="00865817">
            <w:pPr>
              <w:pStyle w:val="TABLEBULLETNEW"/>
            </w:pPr>
            <w:r>
              <w:t>UAT test results have met the acceptance criteria defined in the Test Management Plan</w:t>
            </w:r>
          </w:p>
          <w:p w14:paraId="7F16EABC" w14:textId="77777777" w:rsidR="007F3894" w:rsidRPr="00A97379" w:rsidRDefault="007F3894" w:rsidP="00865817">
            <w:pPr>
              <w:pStyle w:val="TABLEBULLETNEW"/>
            </w:pPr>
            <w:r>
              <w:t>Test results reviewed and approved by State</w:t>
            </w:r>
          </w:p>
        </w:tc>
        <w:tc>
          <w:tcPr>
            <w:tcW w:w="1980" w:type="dxa"/>
          </w:tcPr>
          <w:p w14:paraId="2D382BBA" w14:textId="77777777" w:rsidR="007F3894" w:rsidRPr="00085331" w:rsidRDefault="007F3894" w:rsidP="00865817">
            <w:pPr>
              <w:pStyle w:val="TABLEBULLETNEW"/>
            </w:pPr>
            <w:r>
              <w:t>Test Management Plan (DEL-09)</w:t>
            </w:r>
          </w:p>
          <w:p w14:paraId="5EF25B1B" w14:textId="77777777" w:rsidR="007F3894" w:rsidRDefault="007F3894" w:rsidP="00865817">
            <w:pPr>
              <w:pStyle w:val="TABLEBULLETNEW"/>
            </w:pPr>
            <w:r>
              <w:t>UAT summary</w:t>
            </w:r>
          </w:p>
          <w:p w14:paraId="129E012A" w14:textId="77777777" w:rsidR="007F3894" w:rsidRPr="00085331" w:rsidRDefault="007F3894" w:rsidP="00865817">
            <w:pPr>
              <w:pStyle w:val="TABLEBULLETNEW"/>
            </w:pPr>
            <w:r>
              <w:t>Formal Go/No Go Decision</w:t>
            </w:r>
          </w:p>
        </w:tc>
      </w:tr>
      <w:tr w:rsidR="007F3894" w:rsidRPr="00A21682" w14:paraId="6885C8A9" w14:textId="77777777" w:rsidTr="00420254">
        <w:trPr>
          <w:trHeight w:val="2268"/>
        </w:trPr>
        <w:tc>
          <w:tcPr>
            <w:tcW w:w="627" w:type="dxa"/>
          </w:tcPr>
          <w:p w14:paraId="474144F3" w14:textId="77777777" w:rsidR="007F3894" w:rsidRPr="00A21682" w:rsidRDefault="007F3894" w:rsidP="00865817">
            <w:pPr>
              <w:pStyle w:val="TABLETEXT1"/>
              <w:rPr>
                <w:lang w:val="en-US"/>
              </w:rPr>
            </w:pPr>
            <w:r>
              <w:rPr>
                <w:u w:color="000000"/>
                <w:lang w:val="en-US"/>
              </w:rPr>
              <w:lastRenderedPageBreak/>
              <w:t>9</w:t>
            </w:r>
            <w:r>
              <w:rPr>
                <w:lang w:val="en-US"/>
              </w:rPr>
              <w:t>.0</w:t>
            </w:r>
          </w:p>
        </w:tc>
        <w:tc>
          <w:tcPr>
            <w:tcW w:w="1530" w:type="dxa"/>
          </w:tcPr>
          <w:p w14:paraId="2DFF04B5" w14:textId="77777777" w:rsidR="007F3894" w:rsidRPr="00A21682" w:rsidRDefault="007F3894" w:rsidP="00865817">
            <w:pPr>
              <w:pStyle w:val="TABLETEXT1"/>
              <w:rPr>
                <w:u w:color="000000"/>
              </w:rPr>
            </w:pPr>
            <w:r>
              <w:t>Rollout</w:t>
            </w:r>
          </w:p>
        </w:tc>
        <w:tc>
          <w:tcPr>
            <w:tcW w:w="1800" w:type="dxa"/>
          </w:tcPr>
          <w:p w14:paraId="2B6452D8" w14:textId="77777777" w:rsidR="007F3894" w:rsidRPr="00A21682" w:rsidRDefault="007F3894" w:rsidP="00865817">
            <w:pPr>
              <w:pStyle w:val="TABLETEXT1"/>
              <w:rPr>
                <w:u w:color="000000"/>
              </w:rPr>
            </w:pPr>
            <w:r>
              <w:t xml:space="preserve">Business stakeholders work on Rollout. </w:t>
            </w:r>
          </w:p>
        </w:tc>
        <w:tc>
          <w:tcPr>
            <w:tcW w:w="1710" w:type="dxa"/>
          </w:tcPr>
          <w:p w14:paraId="42CB000F" w14:textId="77777777" w:rsidR="007F3894" w:rsidRPr="00635C9B" w:rsidRDefault="007F3894" w:rsidP="00865817">
            <w:pPr>
              <w:pStyle w:val="TABLEBULLETNEW"/>
            </w:pPr>
            <w:r>
              <w:t>Business Stakeholders</w:t>
            </w:r>
          </w:p>
        </w:tc>
        <w:tc>
          <w:tcPr>
            <w:tcW w:w="1890" w:type="dxa"/>
          </w:tcPr>
          <w:p w14:paraId="00CE2641" w14:textId="77777777" w:rsidR="007F3894" w:rsidRPr="00BD55EB" w:rsidRDefault="007F3894" w:rsidP="00865817">
            <w:pPr>
              <w:pStyle w:val="TABLEBULLETNEW"/>
            </w:pPr>
            <w:r>
              <w:t>MECM System Rollout Plan (DEL-13)</w:t>
            </w:r>
          </w:p>
        </w:tc>
        <w:tc>
          <w:tcPr>
            <w:tcW w:w="1980" w:type="dxa"/>
          </w:tcPr>
          <w:p w14:paraId="7F9E472D" w14:textId="77777777" w:rsidR="007F3894" w:rsidRPr="003D4FD7" w:rsidRDefault="007F3894" w:rsidP="00865817">
            <w:pPr>
              <w:pStyle w:val="TABLEBULLETNEW"/>
            </w:pPr>
            <w:r>
              <w:t>System Source Code (DEL-26)</w:t>
            </w:r>
          </w:p>
          <w:p w14:paraId="761D990F" w14:textId="77777777" w:rsidR="007F3894" w:rsidRPr="00BD55EB" w:rsidRDefault="007F3894" w:rsidP="00865817">
            <w:pPr>
              <w:pStyle w:val="TABLEBULLETNEW"/>
            </w:pPr>
            <w:r>
              <w:t>Release Management Plan (DEL-34)</w:t>
            </w:r>
          </w:p>
        </w:tc>
      </w:tr>
      <w:tr w:rsidR="007F3894" w:rsidRPr="00A21682" w14:paraId="711479B2" w14:textId="77777777" w:rsidTr="00420254">
        <w:trPr>
          <w:trHeight w:val="300"/>
        </w:trPr>
        <w:tc>
          <w:tcPr>
            <w:tcW w:w="627" w:type="dxa"/>
          </w:tcPr>
          <w:p w14:paraId="6F6FF11B" w14:textId="77777777" w:rsidR="007F3894" w:rsidRPr="00A21682" w:rsidRDefault="007F3894" w:rsidP="00865817">
            <w:pPr>
              <w:pStyle w:val="TABLETEXT1"/>
              <w:rPr>
                <w:lang w:val="en-US"/>
              </w:rPr>
            </w:pPr>
            <w:r>
              <w:rPr>
                <w:lang w:val="en-US"/>
              </w:rPr>
              <w:t>9.1</w:t>
            </w:r>
          </w:p>
        </w:tc>
        <w:tc>
          <w:tcPr>
            <w:tcW w:w="1530" w:type="dxa"/>
          </w:tcPr>
          <w:p w14:paraId="3481805C" w14:textId="77777777" w:rsidR="007F3894" w:rsidRPr="00A21682" w:rsidRDefault="007F3894" w:rsidP="00865817">
            <w:pPr>
              <w:pStyle w:val="TABLETEXT1"/>
              <w:rPr>
                <w:u w:color="000000"/>
              </w:rPr>
            </w:pPr>
            <w:r>
              <w:t xml:space="preserve">Is </w:t>
            </w:r>
            <w:r>
              <w:rPr>
                <w:u w:color="000000"/>
              </w:rPr>
              <w:t>Rollout Phase Exit Criteria Met?</w:t>
            </w:r>
          </w:p>
          <w:p w14:paraId="67262475" w14:textId="77777777" w:rsidR="007F3894" w:rsidRPr="00A21682" w:rsidRDefault="007F3894" w:rsidP="00865817">
            <w:pPr>
              <w:pStyle w:val="TABLETEXT1"/>
            </w:pPr>
          </w:p>
          <w:p w14:paraId="3D5190F1" w14:textId="77777777" w:rsidR="007F3894" w:rsidRPr="00A21682" w:rsidRDefault="007F3894" w:rsidP="00865817">
            <w:pPr>
              <w:pStyle w:val="TABLETEXT1"/>
            </w:pPr>
          </w:p>
        </w:tc>
        <w:tc>
          <w:tcPr>
            <w:tcW w:w="1800" w:type="dxa"/>
          </w:tcPr>
          <w:p w14:paraId="7D3251BA" w14:textId="77777777" w:rsidR="007F3894" w:rsidRPr="00A21682" w:rsidRDefault="007F3894" w:rsidP="00865817">
            <w:pPr>
              <w:pStyle w:val="TABLETEXT1"/>
              <w:rPr>
                <w:u w:color="000000"/>
              </w:rPr>
            </w:pPr>
            <w:r>
              <w:t>Executiv</w:t>
            </w:r>
            <w:r>
              <w:rPr>
                <w:u w:color="000000"/>
              </w:rPr>
              <w:t xml:space="preserve">e stakeholders decide if the Rollout phase exit criteria is met. </w:t>
            </w:r>
          </w:p>
          <w:p w14:paraId="6A94834C" w14:textId="77777777" w:rsidR="007F3894" w:rsidRDefault="007F3894" w:rsidP="00865817">
            <w:pPr>
              <w:pStyle w:val="TABLEBULLETNEW"/>
            </w:pPr>
            <w:r>
              <w:t xml:space="preserve">If it is met, proceed to End process. </w:t>
            </w:r>
          </w:p>
          <w:p w14:paraId="224DEC43" w14:textId="379E6298" w:rsidR="007F3894" w:rsidRDefault="007F3894" w:rsidP="00865817">
            <w:pPr>
              <w:pStyle w:val="TABLEBULLETNEW"/>
            </w:pPr>
            <w:r>
              <w:t xml:space="preserve">If it is not met, proceed to </w:t>
            </w:r>
            <w:r>
              <w:rPr>
                <w:i/>
              </w:rPr>
              <w:t>Step # 8.1 Is the UAT Phase Exit Criteria Met?</w:t>
            </w:r>
          </w:p>
        </w:tc>
        <w:tc>
          <w:tcPr>
            <w:tcW w:w="1710" w:type="dxa"/>
          </w:tcPr>
          <w:p w14:paraId="226D8DAC" w14:textId="77777777" w:rsidR="007F3894" w:rsidRPr="00635C9B" w:rsidRDefault="007F3894" w:rsidP="00865817">
            <w:pPr>
              <w:pStyle w:val="TABLEBULLETNEW"/>
            </w:pPr>
            <w:r>
              <w:t>Executive Stakeholders</w:t>
            </w:r>
          </w:p>
        </w:tc>
        <w:tc>
          <w:tcPr>
            <w:tcW w:w="1890" w:type="dxa"/>
          </w:tcPr>
          <w:p w14:paraId="5FE0D653" w14:textId="3A902484" w:rsidR="007F3894" w:rsidRPr="003D4FD7" w:rsidRDefault="007F3894" w:rsidP="00865817">
            <w:pPr>
              <w:pStyle w:val="TABLEBULLETNEW"/>
            </w:pPr>
            <w:r>
              <w:t>System Source Code (DEL-26) has been accepted by  Continuing Medicaid Eligibility Modernization Executive Stakeholders</w:t>
            </w:r>
          </w:p>
          <w:p w14:paraId="4F8B1BFF" w14:textId="77777777" w:rsidR="007F3894" w:rsidRPr="00BD55EB" w:rsidRDefault="007F3894" w:rsidP="00865817">
            <w:pPr>
              <w:pStyle w:val="TABLEBULLETNEW"/>
            </w:pPr>
            <w:r>
              <w:t>The Release Management Plan has been created, reviewed, and approved and is ready to manage post-production releases</w:t>
            </w:r>
          </w:p>
        </w:tc>
        <w:tc>
          <w:tcPr>
            <w:tcW w:w="1980" w:type="dxa"/>
          </w:tcPr>
          <w:p w14:paraId="26BDEA6B" w14:textId="77777777" w:rsidR="007F3894" w:rsidRPr="005D173C" w:rsidRDefault="007F3894" w:rsidP="00865817">
            <w:pPr>
              <w:pStyle w:val="TABLEBULLETNEW"/>
            </w:pPr>
            <w:r>
              <w:t>System Source Code (DEL-26)</w:t>
            </w:r>
          </w:p>
          <w:p w14:paraId="5ED6CA1C" w14:textId="77777777" w:rsidR="007F3894" w:rsidRPr="00BD55EB" w:rsidRDefault="007F3894" w:rsidP="00865817">
            <w:pPr>
              <w:pStyle w:val="TABLEBULLETNEW"/>
            </w:pPr>
            <w:r>
              <w:t>Release Management Plan (DEL-34)</w:t>
            </w:r>
          </w:p>
        </w:tc>
      </w:tr>
    </w:tbl>
    <w:p w14:paraId="55C84F80" w14:textId="11158F5A" w:rsidR="00F4192B" w:rsidRPr="00A21682" w:rsidRDefault="00F4192B" w:rsidP="005911DA">
      <w:pPr>
        <w:pStyle w:val="Caption"/>
        <w:rPr>
          <w:noProof w:val="0"/>
        </w:rPr>
      </w:pPr>
      <w:bookmarkStart w:id="778" w:name="_Toc192875125"/>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40</w:t>
      </w:r>
      <w:r>
        <w:rPr>
          <w:noProof w:val="0"/>
        </w:rPr>
        <w:fldChar w:fldCharType="end"/>
      </w:r>
      <w:r>
        <w:rPr>
          <w:noProof w:val="0"/>
        </w:rPr>
        <w:t>: SDLC High-Level Process Narrative</w:t>
      </w:r>
      <w:bookmarkEnd w:id="778"/>
    </w:p>
    <w:p w14:paraId="00DA1062" w14:textId="6B854664" w:rsidR="00C5516F" w:rsidRPr="00A21682" w:rsidRDefault="00C5516F">
      <w:pPr>
        <w:pStyle w:val="Heading2"/>
        <w:rPr>
          <w:u w:color="000000"/>
        </w:rPr>
      </w:pPr>
      <w:bookmarkStart w:id="779" w:name="_Toc148102387"/>
      <w:bookmarkStart w:id="780" w:name="_Toc148098489"/>
      <w:bookmarkStart w:id="781" w:name="_Toc149051861"/>
      <w:bookmarkStart w:id="782" w:name="_Toc152605682"/>
      <w:bookmarkStart w:id="783" w:name="_Toc152605871"/>
      <w:bookmarkStart w:id="784" w:name="_Toc148102388"/>
      <w:bookmarkStart w:id="785" w:name="_Toc152605872"/>
      <w:bookmarkStart w:id="786" w:name="_Toc177119008"/>
      <w:bookmarkStart w:id="787" w:name="_Toc185952567"/>
      <w:bookmarkStart w:id="788" w:name="_Toc192874743"/>
      <w:bookmarkEnd w:id="779"/>
      <w:bookmarkEnd w:id="780"/>
      <w:bookmarkEnd w:id="781"/>
      <w:bookmarkEnd w:id="782"/>
      <w:bookmarkEnd w:id="783"/>
      <w:r>
        <w:rPr>
          <w:u w:color="000000"/>
        </w:rPr>
        <w:t>ALM Tools</w:t>
      </w:r>
      <w:bookmarkEnd w:id="784"/>
      <w:bookmarkEnd w:id="785"/>
      <w:bookmarkEnd w:id="786"/>
      <w:bookmarkEnd w:id="787"/>
      <w:bookmarkEnd w:id="788"/>
    </w:p>
    <w:p w14:paraId="48B33759" w14:textId="4290C547" w:rsidR="00C5516F" w:rsidRPr="00A21682" w:rsidRDefault="00C5516F" w:rsidP="00F70B45">
      <w:pPr>
        <w:pStyle w:val="NormalNEW"/>
        <w:rPr>
          <w:u w:color="000000"/>
          <w:lang w:val="en-US"/>
        </w:rPr>
      </w:pPr>
      <w:r>
        <w:rPr>
          <w:u w:color="000000"/>
          <w:lang w:val="en-US"/>
        </w:rPr>
        <w:t>ALM tools facilitate the management, monitoring, and reporting of each phase of the SDLC process. A number of tools are utilized to achieve the objectives of the project, and this section serves as an overview of the ALM tools utilized, their purposes, and the affiliated roles and workflows required to effectively operationalize each tool.</w:t>
      </w:r>
    </w:p>
    <w:p w14:paraId="42934B55" w14:textId="1426E78C" w:rsidR="00C5516F" w:rsidRPr="00A21682" w:rsidRDefault="00C5516F" w:rsidP="002B3BF9">
      <w:pPr>
        <w:pStyle w:val="NormalNEW"/>
        <w:rPr>
          <w:u w:color="000000"/>
          <w:lang w:val="en-US"/>
        </w:rPr>
      </w:pPr>
      <w:r>
        <w:rPr>
          <w:u w:color="000000"/>
          <w:lang w:val="en-US"/>
        </w:rPr>
        <w:t>The following diagram illustrates the ALM tools utilized for various activities across each phase of the SDLC:</w:t>
      </w:r>
    </w:p>
    <w:p w14:paraId="3A5CF59D" w14:textId="2EDE98AD" w:rsidR="002D42C3" w:rsidRPr="00A21682" w:rsidRDefault="002D42C3" w:rsidP="002D42C3">
      <w:pPr>
        <w:rPr>
          <w:rFonts w:ascii="Times New Roman" w:eastAsia="Times New Roman" w:hAnsi="Times New Roman" w:cs="Times New Roman"/>
          <w:sz w:val="24"/>
          <w:szCs w:val="24"/>
        </w:rPr>
      </w:pPr>
      <w:bookmarkStart w:id="789" w:name="_Toc150948938"/>
      <w:r>
        <w:rPr>
          <w:rFonts w:ascii="Times New Roman" w:eastAsia="Times New Roman" w:hAnsi="Times New Roman" w:cs="Times New Roman"/>
          <w:noProof/>
          <w:sz w:val="24"/>
          <w:szCs w:val="24"/>
        </w:rPr>
        <w:lastRenderedPageBreak/>
        <w:drawing>
          <wp:inline distT="0" distB="0" distL="0" distR="0" wp14:anchorId="7312FC10" wp14:editId="07E454AD">
            <wp:extent cx="5943600" cy="3416300"/>
            <wp:effectExtent l="19050" t="19050" r="19050" b="12700"/>
            <wp:docPr id="1168222727" name="Picture 116822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416300"/>
                    </a:xfrm>
                    <a:prstGeom prst="rect">
                      <a:avLst/>
                    </a:prstGeom>
                    <a:noFill/>
                    <a:ln w="9525">
                      <a:solidFill>
                        <a:schemeClr val="tx1"/>
                      </a:solidFill>
                    </a:ln>
                  </pic:spPr>
                </pic:pic>
              </a:graphicData>
            </a:graphic>
          </wp:inline>
        </w:drawing>
      </w:r>
    </w:p>
    <w:p w14:paraId="27BDC336" w14:textId="00F107B8" w:rsidR="00C5516F" w:rsidRPr="00A21682" w:rsidRDefault="00C5516F" w:rsidP="005911DA">
      <w:pPr>
        <w:pStyle w:val="Caption"/>
        <w:rPr>
          <w:rFonts w:cs="Arial"/>
          <w:noProof w:val="0"/>
        </w:rPr>
      </w:pPr>
      <w:bookmarkStart w:id="790" w:name="_Toc178150524"/>
      <w:bookmarkStart w:id="791" w:name="_Toc178152036"/>
      <w:bookmarkStart w:id="792" w:name="_Toc192875051"/>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14</w:t>
      </w:r>
      <w:r>
        <w:rPr>
          <w:noProof w:val="0"/>
        </w:rPr>
        <w:fldChar w:fldCharType="end"/>
      </w:r>
      <w:r>
        <w:rPr>
          <w:noProof w:val="0"/>
        </w:rPr>
        <w:t xml:space="preserve">: </w:t>
      </w:r>
      <w:r>
        <w:rPr>
          <w:rFonts w:cs="Arial"/>
          <w:noProof w:val="0"/>
        </w:rPr>
        <w:t>Overview of ALM Tools Utilized for MECM</w:t>
      </w:r>
      <w:bookmarkEnd w:id="789"/>
      <w:bookmarkEnd w:id="790"/>
      <w:bookmarkEnd w:id="791"/>
      <w:bookmarkEnd w:id="792"/>
    </w:p>
    <w:p w14:paraId="35F6C576" w14:textId="77777777" w:rsidR="00C5516F" w:rsidRPr="00A21682" w:rsidRDefault="00C5516F" w:rsidP="002B3BF9">
      <w:pPr>
        <w:pStyle w:val="NormalNEW"/>
        <w:rPr>
          <w:u w:color="000000"/>
          <w:lang w:val="en-US"/>
        </w:rPr>
      </w:pPr>
      <w:r>
        <w:rPr>
          <w:u w:color="000000"/>
          <w:lang w:val="en-US"/>
        </w:rPr>
        <w:t xml:space="preserve">The following table describes the purpose and how each of the tools within the ALM diagram supports the MECM SDLC Methodology. </w:t>
      </w:r>
    </w:p>
    <w:tbl>
      <w:tblPr>
        <w:tblW w:w="943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897"/>
        <w:gridCol w:w="1737"/>
        <w:gridCol w:w="1620"/>
        <w:gridCol w:w="4176"/>
      </w:tblGrid>
      <w:tr w:rsidR="00C5516F" w:rsidRPr="00A21682" w14:paraId="1956A57F" w14:textId="77777777" w:rsidTr="00C968EF">
        <w:trPr>
          <w:cantSplit/>
          <w:trHeight w:val="300"/>
          <w:tblHeader/>
        </w:trPr>
        <w:tc>
          <w:tcPr>
            <w:tcW w:w="1897" w:type="dxa"/>
            <w:tcBorders>
              <w:right w:val="single" w:sz="2" w:space="0" w:color="FFFFFF" w:themeColor="background1"/>
            </w:tcBorders>
            <w:shd w:val="clear" w:color="auto" w:fill="000000"/>
          </w:tcPr>
          <w:p w14:paraId="03E0C61D" w14:textId="77777777" w:rsidR="00C5516F" w:rsidRPr="00A21682" w:rsidRDefault="00C5516F" w:rsidP="002B3BF9">
            <w:pPr>
              <w:pStyle w:val="TABLEHEADINGNEW"/>
              <w:rPr>
                <w:u w:color="000000"/>
              </w:rPr>
            </w:pPr>
            <w:r>
              <w:rPr>
                <w:u w:color="000000"/>
              </w:rPr>
              <w:t>ALM Tool</w:t>
            </w:r>
          </w:p>
        </w:tc>
        <w:tc>
          <w:tcPr>
            <w:tcW w:w="1737" w:type="dxa"/>
            <w:tcBorders>
              <w:left w:val="single" w:sz="2" w:space="0" w:color="FFFFFF" w:themeColor="background1"/>
              <w:right w:val="single" w:sz="2" w:space="0" w:color="FFFFFF" w:themeColor="background1"/>
            </w:tcBorders>
            <w:shd w:val="clear" w:color="auto" w:fill="000000"/>
          </w:tcPr>
          <w:p w14:paraId="611D05C6" w14:textId="77777777" w:rsidR="00C5516F" w:rsidRPr="00A21682" w:rsidRDefault="00C5516F" w:rsidP="002B3BF9">
            <w:pPr>
              <w:pStyle w:val="TABLEHEADINGNEW"/>
              <w:rPr>
                <w:u w:color="000000"/>
              </w:rPr>
            </w:pPr>
            <w:r>
              <w:rPr>
                <w:u w:color="000000"/>
              </w:rPr>
              <w:t>Vendor</w:t>
            </w:r>
          </w:p>
        </w:tc>
        <w:tc>
          <w:tcPr>
            <w:tcW w:w="1620" w:type="dxa"/>
            <w:tcBorders>
              <w:left w:val="single" w:sz="2" w:space="0" w:color="FFFFFF" w:themeColor="background1"/>
              <w:right w:val="single" w:sz="2" w:space="0" w:color="FFFFFF" w:themeColor="background1"/>
            </w:tcBorders>
            <w:shd w:val="clear" w:color="auto" w:fill="000000"/>
          </w:tcPr>
          <w:p w14:paraId="31736275" w14:textId="77777777" w:rsidR="00C5516F" w:rsidRPr="00A21682" w:rsidRDefault="00C5516F" w:rsidP="002B3BF9">
            <w:pPr>
              <w:pStyle w:val="TABLEHEADINGNEW"/>
              <w:rPr>
                <w:u w:color="000000"/>
              </w:rPr>
            </w:pPr>
            <w:r>
              <w:rPr>
                <w:u w:color="000000"/>
              </w:rPr>
              <w:t>Phase</w:t>
            </w:r>
          </w:p>
        </w:tc>
        <w:tc>
          <w:tcPr>
            <w:tcW w:w="4176" w:type="dxa"/>
            <w:tcBorders>
              <w:left w:val="single" w:sz="2" w:space="0" w:color="FFFFFF" w:themeColor="background1"/>
            </w:tcBorders>
            <w:shd w:val="clear" w:color="auto" w:fill="000000"/>
          </w:tcPr>
          <w:p w14:paraId="32950111" w14:textId="77777777" w:rsidR="00C5516F" w:rsidRPr="00A21682" w:rsidRDefault="00C5516F" w:rsidP="002B3BF9">
            <w:pPr>
              <w:pStyle w:val="TABLEHEADINGNEW"/>
              <w:rPr>
                <w:u w:color="000000"/>
              </w:rPr>
            </w:pPr>
            <w:r>
              <w:rPr>
                <w:u w:color="000000"/>
              </w:rPr>
              <w:t>Purpose</w:t>
            </w:r>
          </w:p>
        </w:tc>
      </w:tr>
      <w:tr w:rsidR="00C5516F" w:rsidRPr="00A21682" w14:paraId="2D3A76A6" w14:textId="77777777" w:rsidTr="002B3BF9">
        <w:trPr>
          <w:cantSplit/>
          <w:trHeight w:val="300"/>
        </w:trPr>
        <w:tc>
          <w:tcPr>
            <w:tcW w:w="1897" w:type="dxa"/>
          </w:tcPr>
          <w:p w14:paraId="2C17B515" w14:textId="77777777" w:rsidR="00C5516F" w:rsidRPr="00A21682" w:rsidRDefault="00C5516F" w:rsidP="002B3BF9">
            <w:pPr>
              <w:pStyle w:val="TABLETEXT1"/>
              <w:rPr>
                <w:u w:color="000000"/>
                <w:lang w:val="en-US"/>
              </w:rPr>
            </w:pPr>
            <w:r>
              <w:rPr>
                <w:u w:color="000000"/>
                <w:lang w:val="en-US"/>
              </w:rPr>
              <w:t xml:space="preserve">SharePoint </w:t>
            </w:r>
          </w:p>
        </w:tc>
        <w:tc>
          <w:tcPr>
            <w:tcW w:w="1737" w:type="dxa"/>
          </w:tcPr>
          <w:p w14:paraId="248AA618" w14:textId="77777777" w:rsidR="00C5516F" w:rsidRPr="00A21682" w:rsidRDefault="00C5516F" w:rsidP="002B3BF9">
            <w:pPr>
              <w:pStyle w:val="TABLETEXT1"/>
              <w:rPr>
                <w:u w:color="000000"/>
                <w:lang w:val="en-US"/>
              </w:rPr>
            </w:pPr>
            <w:r>
              <w:rPr>
                <w:u w:color="000000"/>
                <w:lang w:val="en-US"/>
              </w:rPr>
              <w:t>Microsoft</w:t>
            </w:r>
          </w:p>
        </w:tc>
        <w:tc>
          <w:tcPr>
            <w:tcW w:w="1620" w:type="dxa"/>
          </w:tcPr>
          <w:p w14:paraId="7612BAC9" w14:textId="77777777" w:rsidR="00C5516F" w:rsidRPr="00A21682" w:rsidRDefault="00C5516F" w:rsidP="002B3BF9">
            <w:pPr>
              <w:pStyle w:val="TABLETEXT1"/>
              <w:rPr>
                <w:u w:color="000000"/>
                <w:lang w:val="en-US"/>
              </w:rPr>
            </w:pPr>
            <w:r>
              <w:rPr>
                <w:u w:color="000000"/>
                <w:lang w:val="en-US"/>
              </w:rPr>
              <w:t>All</w:t>
            </w:r>
          </w:p>
        </w:tc>
        <w:tc>
          <w:tcPr>
            <w:tcW w:w="4176" w:type="dxa"/>
          </w:tcPr>
          <w:p w14:paraId="4794A994" w14:textId="09511AFD" w:rsidR="00C5516F" w:rsidRPr="00A21682" w:rsidRDefault="00C5516F" w:rsidP="002B3BF9">
            <w:pPr>
              <w:pStyle w:val="TABLETEXT1"/>
              <w:rPr>
                <w:u w:color="000000"/>
                <w:lang w:val="en-US"/>
              </w:rPr>
            </w:pPr>
            <w:r>
              <w:rPr>
                <w:u w:color="000000"/>
                <w:lang w:val="en-US"/>
              </w:rPr>
              <w:t>SharePoint serves as the central document repository for all Continuing Medicaid Eligibility Modernization Deliverables and artifacts. It will be used to facilitate the workflows associated with the Deliverable Management Plan.</w:t>
            </w:r>
          </w:p>
        </w:tc>
      </w:tr>
      <w:tr w:rsidR="00C5516F" w:rsidRPr="00A21682" w14:paraId="361559F7" w14:textId="77777777" w:rsidTr="002B3BF9">
        <w:trPr>
          <w:cantSplit/>
          <w:trHeight w:val="300"/>
        </w:trPr>
        <w:tc>
          <w:tcPr>
            <w:tcW w:w="1897" w:type="dxa"/>
          </w:tcPr>
          <w:p w14:paraId="36E676A7" w14:textId="77777777" w:rsidR="00C5516F" w:rsidRPr="00A21682" w:rsidRDefault="00C5516F" w:rsidP="002B3BF9">
            <w:pPr>
              <w:pStyle w:val="TABLETEXT1"/>
              <w:rPr>
                <w:u w:color="000000"/>
                <w:lang w:val="en-US"/>
              </w:rPr>
            </w:pPr>
            <w:r>
              <w:rPr>
                <w:u w:color="000000"/>
                <w:lang w:val="en-US"/>
              </w:rPr>
              <w:t>Figma Organization</w:t>
            </w:r>
          </w:p>
        </w:tc>
        <w:tc>
          <w:tcPr>
            <w:tcW w:w="1737" w:type="dxa"/>
          </w:tcPr>
          <w:p w14:paraId="4262AEEC" w14:textId="77777777" w:rsidR="00C5516F" w:rsidRPr="00A21682" w:rsidRDefault="00C5516F" w:rsidP="002B3BF9">
            <w:pPr>
              <w:pStyle w:val="TABLETEXT1"/>
              <w:rPr>
                <w:u w:color="000000"/>
                <w:lang w:val="en-US"/>
              </w:rPr>
            </w:pPr>
            <w:r>
              <w:rPr>
                <w:u w:color="000000"/>
                <w:lang w:val="en-US"/>
              </w:rPr>
              <w:t>Figma</w:t>
            </w:r>
          </w:p>
        </w:tc>
        <w:tc>
          <w:tcPr>
            <w:tcW w:w="1620" w:type="dxa"/>
          </w:tcPr>
          <w:p w14:paraId="5EDD6DCC" w14:textId="77777777" w:rsidR="00C5516F" w:rsidRPr="00A21682" w:rsidRDefault="00C5516F" w:rsidP="002B3BF9">
            <w:pPr>
              <w:pStyle w:val="TABLETEXT1"/>
              <w:rPr>
                <w:u w:color="000000"/>
                <w:lang w:val="en-US"/>
              </w:rPr>
            </w:pPr>
            <w:r>
              <w:rPr>
                <w:u w:color="000000"/>
                <w:lang w:val="en-US"/>
              </w:rPr>
              <w:t>Design</w:t>
            </w:r>
          </w:p>
        </w:tc>
        <w:tc>
          <w:tcPr>
            <w:tcW w:w="4176" w:type="dxa"/>
          </w:tcPr>
          <w:p w14:paraId="6FCA11AF" w14:textId="77777777" w:rsidR="00C5516F" w:rsidRPr="00A21682" w:rsidRDefault="00C5516F" w:rsidP="002B3BF9">
            <w:pPr>
              <w:pStyle w:val="TABLETEXT1"/>
              <w:rPr>
                <w:u w:color="000000"/>
                <w:lang w:val="en-US"/>
              </w:rPr>
            </w:pPr>
            <w:r>
              <w:rPr>
                <w:u w:color="000000"/>
                <w:lang w:val="en-US"/>
              </w:rPr>
              <w:t>Figma Organization is a modern collaboration tool that allows functional stakeholders to create high-fidelity wireframes for new screens during the design phase of the SDLC.</w:t>
            </w:r>
          </w:p>
        </w:tc>
      </w:tr>
      <w:tr w:rsidR="00E62B87" w:rsidRPr="00A21682" w14:paraId="6566E826" w14:textId="77777777" w:rsidTr="002B3BF9">
        <w:trPr>
          <w:cantSplit/>
          <w:trHeight w:val="300"/>
        </w:trPr>
        <w:tc>
          <w:tcPr>
            <w:tcW w:w="1897" w:type="dxa"/>
          </w:tcPr>
          <w:p w14:paraId="15426014" w14:textId="5F520911" w:rsidR="00E62B87" w:rsidRPr="00A21682" w:rsidRDefault="00E62B87" w:rsidP="00E62B87">
            <w:pPr>
              <w:pStyle w:val="TABLETEXT1"/>
              <w:rPr>
                <w:u w:color="000000"/>
                <w:lang w:val="en-US"/>
              </w:rPr>
            </w:pPr>
            <w:r>
              <w:rPr>
                <w:u w:color="000000"/>
                <w:lang w:val="en-US"/>
              </w:rPr>
              <w:lastRenderedPageBreak/>
              <w:t>The ALM tool</w:t>
            </w:r>
          </w:p>
        </w:tc>
        <w:tc>
          <w:tcPr>
            <w:tcW w:w="1737" w:type="dxa"/>
          </w:tcPr>
          <w:p w14:paraId="2E6CA40D" w14:textId="6932C636" w:rsidR="00E62B87" w:rsidRPr="00A21682" w:rsidRDefault="00E62B87" w:rsidP="00E62B87">
            <w:pPr>
              <w:pStyle w:val="TABLETEXT1"/>
              <w:rPr>
                <w:u w:color="000000"/>
                <w:lang w:val="en-US"/>
              </w:rPr>
            </w:pPr>
            <w:r>
              <w:rPr>
                <w:u w:color="000000"/>
                <w:lang w:val="en-US"/>
              </w:rPr>
              <w:t>Atlassian</w:t>
            </w:r>
          </w:p>
        </w:tc>
        <w:tc>
          <w:tcPr>
            <w:tcW w:w="1620" w:type="dxa"/>
          </w:tcPr>
          <w:p w14:paraId="18DE56D3" w14:textId="5BEAFB2E" w:rsidR="00E62B87" w:rsidRPr="00A21682" w:rsidRDefault="00E62B87" w:rsidP="00E62B87">
            <w:pPr>
              <w:pStyle w:val="TABLETEXT1"/>
              <w:rPr>
                <w:u w:color="000000"/>
                <w:lang w:val="en-US"/>
              </w:rPr>
            </w:pPr>
            <w:r>
              <w:rPr>
                <w:u w:color="000000"/>
                <w:lang w:val="en-US"/>
              </w:rPr>
              <w:t>All</w:t>
            </w:r>
          </w:p>
        </w:tc>
        <w:tc>
          <w:tcPr>
            <w:tcW w:w="4176" w:type="dxa"/>
          </w:tcPr>
          <w:p w14:paraId="24B596CC" w14:textId="60B2ED53" w:rsidR="00E62B87" w:rsidRPr="00A21682" w:rsidRDefault="00E62B87" w:rsidP="00E62B87">
            <w:pPr>
              <w:pStyle w:val="TABLETEXT1"/>
              <w:rPr>
                <w:u w:color="000000"/>
                <w:lang w:val="en-US"/>
              </w:rPr>
            </w:pPr>
            <w:r>
              <w:rPr>
                <w:u w:color="000000"/>
                <w:lang w:val="en-US"/>
              </w:rPr>
              <w:t xml:space="preserve">The ALM tool is utilized in three primary ways on the </w:t>
            </w:r>
            <w:r>
              <w:rPr>
                <w:lang w:val="en-US"/>
              </w:rPr>
              <w:t>Continuing Medicaid Eligibility Modernization</w:t>
            </w:r>
            <w:r>
              <w:rPr>
                <w:u w:color="000000"/>
                <w:lang w:val="en-US"/>
              </w:rPr>
              <w:t xml:space="preserve"> project. First, it provides a workflow and ticket tracking system for PMO artifacts such as risks, issues, action items and decisions. Second, it tracks all development artifacts through the development process steps in the SDLC methodology. Third, once the MECM solution is in Production, the ALM tool is also used for incident and problem management tickets as defined further in the Maintenance &amp; Operations (M&amp;O) Run Book (DEL-33).</w:t>
            </w:r>
          </w:p>
        </w:tc>
      </w:tr>
      <w:tr w:rsidR="00E62B87" w:rsidRPr="00A21682" w14:paraId="530BE036" w14:textId="77777777" w:rsidTr="002B3BF9">
        <w:trPr>
          <w:cantSplit/>
          <w:trHeight w:val="300"/>
        </w:trPr>
        <w:tc>
          <w:tcPr>
            <w:tcW w:w="1897" w:type="dxa"/>
          </w:tcPr>
          <w:p w14:paraId="691F3A0E" w14:textId="77777777" w:rsidR="00E62B87" w:rsidRPr="00A21682" w:rsidRDefault="00E62B87" w:rsidP="00E62B87">
            <w:pPr>
              <w:pStyle w:val="TABLETEXT1"/>
              <w:rPr>
                <w:u w:color="000000"/>
                <w:lang w:val="en-US"/>
              </w:rPr>
            </w:pPr>
            <w:r>
              <w:rPr>
                <w:u w:color="000000"/>
                <w:lang w:val="en-US"/>
              </w:rPr>
              <w:t>the source-code repository</w:t>
            </w:r>
          </w:p>
        </w:tc>
        <w:tc>
          <w:tcPr>
            <w:tcW w:w="1737" w:type="dxa"/>
          </w:tcPr>
          <w:p w14:paraId="6E03182E" w14:textId="77777777" w:rsidR="00E62B87" w:rsidRPr="00A21682" w:rsidRDefault="00E62B87" w:rsidP="00E62B87">
            <w:pPr>
              <w:pStyle w:val="TABLETEXT1"/>
              <w:rPr>
                <w:u w:color="000000"/>
                <w:lang w:val="en-US"/>
              </w:rPr>
            </w:pPr>
            <w:r>
              <w:rPr>
                <w:u w:color="000000"/>
                <w:lang w:val="en-US"/>
              </w:rPr>
              <w:t>Atlassian</w:t>
            </w:r>
          </w:p>
        </w:tc>
        <w:tc>
          <w:tcPr>
            <w:tcW w:w="1620" w:type="dxa"/>
          </w:tcPr>
          <w:p w14:paraId="07C38889" w14:textId="77777777" w:rsidR="00E62B87" w:rsidRPr="00A21682" w:rsidRDefault="00E62B87" w:rsidP="00E62B87">
            <w:pPr>
              <w:pStyle w:val="TABLETEXT1"/>
              <w:rPr>
                <w:u w:color="000000"/>
                <w:lang w:val="en-US"/>
              </w:rPr>
            </w:pPr>
            <w:r>
              <w:rPr>
                <w:u w:color="000000"/>
                <w:lang w:val="en-US"/>
              </w:rPr>
              <w:t>Development</w:t>
            </w:r>
          </w:p>
        </w:tc>
        <w:tc>
          <w:tcPr>
            <w:tcW w:w="4176" w:type="dxa"/>
          </w:tcPr>
          <w:p w14:paraId="7359B1EE" w14:textId="77777777" w:rsidR="00E62B87" w:rsidRPr="00A21682" w:rsidRDefault="00E62B87" w:rsidP="00E62B87">
            <w:pPr>
              <w:pStyle w:val="TABLETEXT1"/>
              <w:rPr>
                <w:u w:color="000000"/>
                <w:lang w:val="en-US"/>
              </w:rPr>
            </w:pPr>
            <w:r>
              <w:rPr>
                <w:u w:color="000000"/>
                <w:lang w:val="en-US"/>
              </w:rPr>
              <w:t>The source-code repository serves as the MECM software code repository providing version control, check in/out features, traceability to the ALM tool and integration with the overall continuous integration/continuous deployment pipeline.</w:t>
            </w:r>
          </w:p>
        </w:tc>
      </w:tr>
      <w:tr w:rsidR="00E62B87" w:rsidRPr="00A21682" w14:paraId="1116F66A" w14:textId="77777777" w:rsidTr="002B3BF9">
        <w:trPr>
          <w:cantSplit/>
          <w:trHeight w:val="300"/>
        </w:trPr>
        <w:tc>
          <w:tcPr>
            <w:tcW w:w="1897" w:type="dxa"/>
          </w:tcPr>
          <w:p w14:paraId="09A54F10" w14:textId="77777777" w:rsidR="00E62B87" w:rsidRPr="00A21682" w:rsidRDefault="00E62B87" w:rsidP="00E62B87">
            <w:pPr>
              <w:pStyle w:val="TABLETEXT1"/>
              <w:rPr>
                <w:u w:color="000000"/>
                <w:lang w:val="en-US"/>
              </w:rPr>
            </w:pPr>
            <w:r>
              <w:rPr>
                <w:u w:color="000000"/>
                <w:lang w:val="en-US"/>
              </w:rPr>
              <w:t>the static code analysis tool</w:t>
            </w:r>
          </w:p>
        </w:tc>
        <w:tc>
          <w:tcPr>
            <w:tcW w:w="1737" w:type="dxa"/>
          </w:tcPr>
          <w:p w14:paraId="25D6CB51" w14:textId="77777777" w:rsidR="00E62B87" w:rsidRPr="00A21682" w:rsidRDefault="00E62B87" w:rsidP="00E62B87">
            <w:pPr>
              <w:pStyle w:val="TABLETEXT1"/>
              <w:rPr>
                <w:u w:color="000000"/>
                <w:lang w:val="en-US"/>
              </w:rPr>
            </w:pPr>
            <w:r>
              <w:rPr>
                <w:u w:color="000000"/>
                <w:lang w:val="en-US"/>
              </w:rPr>
              <w:t>SonarSource</w:t>
            </w:r>
          </w:p>
        </w:tc>
        <w:tc>
          <w:tcPr>
            <w:tcW w:w="1620" w:type="dxa"/>
          </w:tcPr>
          <w:p w14:paraId="3C42A63D" w14:textId="77777777" w:rsidR="00E62B87" w:rsidRPr="00A21682" w:rsidRDefault="00E62B87" w:rsidP="00E62B87">
            <w:pPr>
              <w:pStyle w:val="TABLETEXT1"/>
              <w:rPr>
                <w:u w:color="000000"/>
                <w:lang w:val="en-US"/>
              </w:rPr>
            </w:pPr>
            <w:r>
              <w:rPr>
                <w:u w:color="000000"/>
                <w:lang w:val="en-US"/>
              </w:rPr>
              <w:t>Development</w:t>
            </w:r>
          </w:p>
        </w:tc>
        <w:tc>
          <w:tcPr>
            <w:tcW w:w="4176" w:type="dxa"/>
          </w:tcPr>
          <w:p w14:paraId="63F03465" w14:textId="77777777" w:rsidR="00E62B87" w:rsidRPr="00A21682" w:rsidRDefault="00E62B87" w:rsidP="00E62B87">
            <w:pPr>
              <w:pStyle w:val="TABLETEXT1"/>
              <w:rPr>
                <w:u w:color="000000"/>
                <w:lang w:val="en-US"/>
              </w:rPr>
            </w:pPr>
            <w:r>
              <w:rPr>
                <w:u w:color="000000"/>
                <w:lang w:val="en-US"/>
              </w:rPr>
              <w:t>The static code analysis tool is used to perform static code quality scans on changes made to the MECM base solution as part of the SDLC methodology and M&amp;O processes.</w:t>
            </w:r>
          </w:p>
        </w:tc>
      </w:tr>
      <w:tr w:rsidR="00E62B87" w:rsidRPr="00A21682" w14:paraId="35820398" w14:textId="77777777" w:rsidTr="002B3BF9">
        <w:trPr>
          <w:cantSplit/>
          <w:trHeight w:val="300"/>
        </w:trPr>
        <w:tc>
          <w:tcPr>
            <w:tcW w:w="1897" w:type="dxa"/>
          </w:tcPr>
          <w:p w14:paraId="38F7ED51" w14:textId="77777777" w:rsidR="00E62B87" w:rsidRPr="00A21682" w:rsidRDefault="00E62B87" w:rsidP="00E62B87">
            <w:pPr>
              <w:pStyle w:val="TABLETEXT1"/>
              <w:rPr>
                <w:u w:color="000000"/>
                <w:lang w:val="en-US"/>
              </w:rPr>
            </w:pPr>
            <w:r>
              <w:rPr>
                <w:u w:color="000000"/>
                <w:lang w:val="en-US"/>
              </w:rPr>
              <w:t>the build server</w:t>
            </w:r>
          </w:p>
        </w:tc>
        <w:tc>
          <w:tcPr>
            <w:tcW w:w="1737" w:type="dxa"/>
          </w:tcPr>
          <w:p w14:paraId="1A5807BB" w14:textId="77777777" w:rsidR="00E62B87" w:rsidRPr="00A21682" w:rsidRDefault="00E62B87" w:rsidP="00E62B87">
            <w:pPr>
              <w:pStyle w:val="TABLETEXT1"/>
              <w:rPr>
                <w:u w:color="000000"/>
                <w:lang w:val="en-US"/>
              </w:rPr>
            </w:pPr>
            <w:r>
              <w:rPr>
                <w:u w:color="000000"/>
                <w:lang w:val="en-US"/>
              </w:rPr>
              <w:t>Atlassian</w:t>
            </w:r>
          </w:p>
        </w:tc>
        <w:tc>
          <w:tcPr>
            <w:tcW w:w="1620" w:type="dxa"/>
          </w:tcPr>
          <w:p w14:paraId="3E2D5977" w14:textId="77777777" w:rsidR="00E62B87" w:rsidRPr="00A21682" w:rsidRDefault="00E62B87" w:rsidP="00E62B87">
            <w:pPr>
              <w:pStyle w:val="TABLETEXT1"/>
              <w:rPr>
                <w:u w:color="000000"/>
                <w:lang w:val="en-US"/>
              </w:rPr>
            </w:pPr>
            <w:r>
              <w:rPr>
                <w:u w:color="000000"/>
                <w:lang w:val="en-US"/>
              </w:rPr>
              <w:t>Development, SIT, Regression Test, UAT, Rollout</w:t>
            </w:r>
          </w:p>
        </w:tc>
        <w:tc>
          <w:tcPr>
            <w:tcW w:w="4176" w:type="dxa"/>
          </w:tcPr>
          <w:p w14:paraId="6CCDFD79" w14:textId="77777777" w:rsidR="00E62B87" w:rsidRPr="00A21682" w:rsidRDefault="00E62B87" w:rsidP="00E62B87">
            <w:pPr>
              <w:pStyle w:val="TABLETEXT1"/>
              <w:rPr>
                <w:u w:color="000000"/>
                <w:lang w:val="en-US"/>
              </w:rPr>
            </w:pPr>
            <w:r>
              <w:rPr>
                <w:u w:color="000000"/>
                <w:lang w:val="en-US"/>
              </w:rPr>
              <w:t>The build server is part of the continuous integration/continuous deployment pipeline and orchestrates code build and deployment steps.</w:t>
            </w:r>
          </w:p>
        </w:tc>
      </w:tr>
      <w:tr w:rsidR="00E62B87" w:rsidRPr="00A21682" w14:paraId="62BC8F05" w14:textId="77777777" w:rsidTr="002B3BF9">
        <w:trPr>
          <w:cantSplit/>
          <w:trHeight w:val="300"/>
        </w:trPr>
        <w:tc>
          <w:tcPr>
            <w:tcW w:w="1897" w:type="dxa"/>
          </w:tcPr>
          <w:p w14:paraId="57D0A2C7" w14:textId="60A6B7AF" w:rsidR="00E62B87" w:rsidRPr="00A21682" w:rsidRDefault="00F0228F" w:rsidP="00E62B87">
            <w:pPr>
              <w:pStyle w:val="TABLETEXT1"/>
              <w:rPr>
                <w:u w:color="000000"/>
                <w:lang w:val="en-US"/>
              </w:rPr>
            </w:pPr>
            <w:r>
              <w:rPr>
                <w:u w:color="000000"/>
                <w:lang w:val="en-US"/>
              </w:rPr>
              <w:t>artifact repository</w:t>
            </w:r>
          </w:p>
        </w:tc>
        <w:tc>
          <w:tcPr>
            <w:tcW w:w="1737" w:type="dxa"/>
          </w:tcPr>
          <w:p w14:paraId="7A018DD9" w14:textId="77777777" w:rsidR="00E62B87" w:rsidRPr="00A21682" w:rsidRDefault="00E62B87" w:rsidP="00E62B87">
            <w:pPr>
              <w:pStyle w:val="TABLETEXT1"/>
              <w:rPr>
                <w:u w:color="000000"/>
                <w:lang w:val="en-US"/>
              </w:rPr>
            </w:pPr>
            <w:r>
              <w:rPr>
                <w:u w:color="000000"/>
                <w:lang w:val="en-US"/>
              </w:rPr>
              <w:t xml:space="preserve">Amazon Web Services (AWS) </w:t>
            </w:r>
          </w:p>
        </w:tc>
        <w:tc>
          <w:tcPr>
            <w:tcW w:w="1620" w:type="dxa"/>
          </w:tcPr>
          <w:p w14:paraId="28ABAAB4" w14:textId="77777777" w:rsidR="00E62B87" w:rsidRPr="00A21682" w:rsidRDefault="00E62B87" w:rsidP="00E62B87">
            <w:pPr>
              <w:pStyle w:val="TABLETEXT1"/>
              <w:rPr>
                <w:u w:color="000000"/>
                <w:lang w:val="en-US"/>
              </w:rPr>
            </w:pPr>
            <w:r>
              <w:rPr>
                <w:u w:color="000000"/>
                <w:lang w:val="en-US"/>
              </w:rPr>
              <w:t>Development, SIT, Regression Test, UAT, Rollout</w:t>
            </w:r>
          </w:p>
        </w:tc>
        <w:tc>
          <w:tcPr>
            <w:tcW w:w="4176" w:type="dxa"/>
          </w:tcPr>
          <w:p w14:paraId="5CC09262" w14:textId="7B4B5DE1" w:rsidR="00E62B87" w:rsidRPr="00A21682" w:rsidRDefault="00F0228F" w:rsidP="00E62B87">
            <w:pPr>
              <w:pStyle w:val="TABLETEXT1"/>
              <w:rPr>
                <w:u w:color="000000"/>
                <w:lang w:val="en-US"/>
              </w:rPr>
            </w:pPr>
            <w:r>
              <w:rPr>
                <w:u w:color="000000"/>
                <w:lang w:val="en-US"/>
              </w:rPr>
              <w:t>artifact repository is a repository manager that centralizes and automates the management of software artifacts and dependencies. This boosts the build performance, encourages the use of secure components, and enhances overall application security.</w:t>
            </w:r>
          </w:p>
        </w:tc>
      </w:tr>
      <w:tr w:rsidR="00E62B87" w:rsidRPr="00A21682" w14:paraId="14A82802" w14:textId="77777777" w:rsidTr="002B3BF9">
        <w:trPr>
          <w:cantSplit/>
          <w:trHeight w:val="300"/>
        </w:trPr>
        <w:tc>
          <w:tcPr>
            <w:tcW w:w="1897" w:type="dxa"/>
          </w:tcPr>
          <w:p w14:paraId="07B7663C" w14:textId="77777777" w:rsidR="00E62B87" w:rsidRPr="00A21682" w:rsidRDefault="00E62B87" w:rsidP="00E62B87">
            <w:pPr>
              <w:pStyle w:val="TABLETEXT1"/>
              <w:rPr>
                <w:u w:color="000000"/>
                <w:lang w:val="en-US"/>
              </w:rPr>
            </w:pPr>
            <w:r>
              <w:rPr>
                <w:u w:color="000000"/>
                <w:lang w:val="en-US"/>
              </w:rPr>
              <w:t>Selenium</w:t>
            </w:r>
          </w:p>
        </w:tc>
        <w:tc>
          <w:tcPr>
            <w:tcW w:w="1737" w:type="dxa"/>
          </w:tcPr>
          <w:p w14:paraId="21D9CB1D" w14:textId="77777777" w:rsidR="00E62B87" w:rsidRPr="00A21682" w:rsidRDefault="00E62B87" w:rsidP="00E62B87">
            <w:pPr>
              <w:pStyle w:val="TABLETEXT1"/>
              <w:rPr>
                <w:u w:color="000000"/>
                <w:lang w:val="en-US"/>
              </w:rPr>
            </w:pPr>
            <w:r>
              <w:rPr>
                <w:u w:color="000000"/>
                <w:lang w:val="en-US"/>
              </w:rPr>
              <w:t>Selenium</w:t>
            </w:r>
          </w:p>
        </w:tc>
        <w:tc>
          <w:tcPr>
            <w:tcW w:w="1620" w:type="dxa"/>
          </w:tcPr>
          <w:p w14:paraId="3B51DDAB" w14:textId="77777777" w:rsidR="00E62B87" w:rsidRPr="00A21682" w:rsidRDefault="00E62B87" w:rsidP="00E62B87">
            <w:pPr>
              <w:pStyle w:val="TABLETEXT1"/>
              <w:rPr>
                <w:u w:color="000000"/>
                <w:lang w:val="en-US"/>
              </w:rPr>
            </w:pPr>
            <w:r>
              <w:rPr>
                <w:u w:color="000000"/>
                <w:lang w:val="en-US"/>
              </w:rPr>
              <w:t>SIT, Regression Test</w:t>
            </w:r>
          </w:p>
        </w:tc>
        <w:tc>
          <w:tcPr>
            <w:tcW w:w="4176" w:type="dxa"/>
          </w:tcPr>
          <w:p w14:paraId="4EB1C38F" w14:textId="77777777" w:rsidR="00E62B87" w:rsidRPr="00A21682" w:rsidRDefault="00E62B87" w:rsidP="00E62B87">
            <w:pPr>
              <w:pStyle w:val="TABLETEXT1"/>
              <w:rPr>
                <w:u w:color="000000"/>
                <w:lang w:val="en-US"/>
              </w:rPr>
            </w:pPr>
            <w:r>
              <w:rPr>
                <w:u w:color="000000"/>
                <w:lang w:val="en-US"/>
              </w:rPr>
              <w:t>The Selenium tool provides automation capabilities to be used during testing steps in the SDLC methodology, such as performance testing and regression testing.</w:t>
            </w:r>
          </w:p>
        </w:tc>
      </w:tr>
      <w:tr w:rsidR="00E62B87" w:rsidRPr="00A21682" w14:paraId="740AF380" w14:textId="77777777" w:rsidTr="002B3BF9">
        <w:trPr>
          <w:cantSplit/>
          <w:trHeight w:val="300"/>
        </w:trPr>
        <w:tc>
          <w:tcPr>
            <w:tcW w:w="1897" w:type="dxa"/>
          </w:tcPr>
          <w:p w14:paraId="12138D27" w14:textId="4AE90793" w:rsidR="00E62B87" w:rsidRPr="00A21682" w:rsidRDefault="00D56C23" w:rsidP="00E62B87">
            <w:pPr>
              <w:pStyle w:val="TABLETEXT1"/>
              <w:rPr>
                <w:u w:color="000000"/>
                <w:lang w:val="en-US"/>
              </w:rPr>
            </w:pPr>
            <w:r>
              <w:rPr>
                <w:u w:color="000000"/>
                <w:lang w:val="en-US"/>
              </w:rPr>
              <w:t>WAVE</w:t>
            </w:r>
          </w:p>
        </w:tc>
        <w:tc>
          <w:tcPr>
            <w:tcW w:w="1737" w:type="dxa"/>
          </w:tcPr>
          <w:p w14:paraId="131ABC08" w14:textId="77777777" w:rsidR="00E62B87" w:rsidRPr="00A21682" w:rsidRDefault="00E62B87" w:rsidP="00E62B87">
            <w:pPr>
              <w:pStyle w:val="TABLETEXT1"/>
              <w:rPr>
                <w:u w:color="000000"/>
                <w:lang w:val="en-US"/>
              </w:rPr>
            </w:pPr>
            <w:r>
              <w:rPr>
                <w:u w:color="000000"/>
                <w:lang w:val="en-US"/>
              </w:rPr>
              <w:t>WebAIM</w:t>
            </w:r>
          </w:p>
        </w:tc>
        <w:tc>
          <w:tcPr>
            <w:tcW w:w="1620" w:type="dxa"/>
          </w:tcPr>
          <w:p w14:paraId="03AC2E7D" w14:textId="77777777" w:rsidR="00E62B87" w:rsidRPr="00A21682" w:rsidRDefault="00E62B87" w:rsidP="00E62B87">
            <w:pPr>
              <w:pStyle w:val="TABLETEXT1"/>
              <w:rPr>
                <w:u w:color="000000"/>
                <w:lang w:val="en-US"/>
              </w:rPr>
            </w:pPr>
            <w:r>
              <w:rPr>
                <w:u w:color="000000"/>
                <w:lang w:val="en-US"/>
              </w:rPr>
              <w:t>SIT, Regression Test</w:t>
            </w:r>
          </w:p>
        </w:tc>
        <w:tc>
          <w:tcPr>
            <w:tcW w:w="4176" w:type="dxa"/>
          </w:tcPr>
          <w:p w14:paraId="7F8031FF" w14:textId="77777777" w:rsidR="00E62B87" w:rsidRPr="00A21682" w:rsidRDefault="00E62B87" w:rsidP="00E62B87">
            <w:pPr>
              <w:pStyle w:val="TABLETEXT1"/>
              <w:rPr>
                <w:u w:color="000000"/>
                <w:lang w:val="en-US"/>
              </w:rPr>
            </w:pPr>
            <w:r>
              <w:rPr>
                <w:u w:color="000000"/>
                <w:lang w:val="en-US"/>
              </w:rPr>
              <w:t>Wave is used to scan static HTML during accessibility testing to identify non-compliance with section 508 HTML standards.</w:t>
            </w:r>
          </w:p>
        </w:tc>
      </w:tr>
      <w:tr w:rsidR="00E62B87" w:rsidRPr="00A21682" w14:paraId="785A9503" w14:textId="77777777" w:rsidTr="002B3BF9">
        <w:trPr>
          <w:cantSplit/>
          <w:trHeight w:val="300"/>
        </w:trPr>
        <w:tc>
          <w:tcPr>
            <w:tcW w:w="1897" w:type="dxa"/>
          </w:tcPr>
          <w:p w14:paraId="632C7D0B" w14:textId="77777777" w:rsidR="00E62B87" w:rsidRPr="00A21682" w:rsidRDefault="00E62B87" w:rsidP="00E62B87">
            <w:pPr>
              <w:pStyle w:val="TABLETEXT1"/>
              <w:rPr>
                <w:u w:color="000000"/>
                <w:lang w:val="en-US"/>
              </w:rPr>
            </w:pPr>
            <w:r>
              <w:rPr>
                <w:u w:color="000000"/>
                <w:lang w:val="en-US"/>
              </w:rPr>
              <w:t>JAWS</w:t>
            </w:r>
          </w:p>
        </w:tc>
        <w:tc>
          <w:tcPr>
            <w:tcW w:w="1737" w:type="dxa"/>
          </w:tcPr>
          <w:p w14:paraId="3CC5FF77" w14:textId="77777777" w:rsidR="00E62B87" w:rsidRPr="00A21682" w:rsidRDefault="00E62B87" w:rsidP="00E62B87">
            <w:pPr>
              <w:pStyle w:val="TABLETEXT1"/>
              <w:rPr>
                <w:u w:color="000000"/>
                <w:lang w:val="en-US"/>
              </w:rPr>
            </w:pPr>
            <w:r>
              <w:rPr>
                <w:u w:color="000000"/>
                <w:lang w:val="en-US"/>
              </w:rPr>
              <w:t>Freedom Scientific</w:t>
            </w:r>
          </w:p>
        </w:tc>
        <w:tc>
          <w:tcPr>
            <w:tcW w:w="1620" w:type="dxa"/>
          </w:tcPr>
          <w:p w14:paraId="12E6445C" w14:textId="77777777" w:rsidR="00E62B87" w:rsidRPr="00A21682" w:rsidRDefault="00E62B87" w:rsidP="00E62B87">
            <w:pPr>
              <w:pStyle w:val="TABLETEXT1"/>
              <w:rPr>
                <w:u w:color="000000"/>
                <w:lang w:val="en-US"/>
              </w:rPr>
            </w:pPr>
            <w:r>
              <w:rPr>
                <w:u w:color="000000"/>
                <w:lang w:val="en-US"/>
              </w:rPr>
              <w:t>SIT, Regression Test</w:t>
            </w:r>
          </w:p>
        </w:tc>
        <w:tc>
          <w:tcPr>
            <w:tcW w:w="4176" w:type="dxa"/>
          </w:tcPr>
          <w:p w14:paraId="26D945E1" w14:textId="77777777" w:rsidR="00E62B87" w:rsidRPr="00A21682" w:rsidRDefault="00E62B87" w:rsidP="00E62B87">
            <w:pPr>
              <w:pStyle w:val="TABLETEXT1"/>
              <w:rPr>
                <w:u w:color="000000"/>
                <w:lang w:val="en-US"/>
              </w:rPr>
            </w:pPr>
            <w:r>
              <w:rPr>
                <w:u w:color="000000"/>
                <w:lang w:val="en-US"/>
              </w:rPr>
              <w:t>JAWS is an accessibility screen reader tool that is used during accessibility testing to identify non-compliance with section 508 standards for the visually impaired.</w:t>
            </w:r>
          </w:p>
        </w:tc>
      </w:tr>
      <w:tr w:rsidR="00E62B87" w:rsidRPr="00A21682" w14:paraId="40402A28" w14:textId="77777777" w:rsidTr="002B3BF9">
        <w:trPr>
          <w:cantSplit/>
          <w:trHeight w:val="300"/>
        </w:trPr>
        <w:tc>
          <w:tcPr>
            <w:tcW w:w="1897" w:type="dxa"/>
          </w:tcPr>
          <w:p w14:paraId="461390D8" w14:textId="55BD13BE" w:rsidR="00E62B87" w:rsidRPr="00A21682" w:rsidRDefault="00E62B87" w:rsidP="00E62B87">
            <w:pPr>
              <w:pStyle w:val="TABLETEXT1"/>
              <w:rPr>
                <w:u w:color="000000"/>
                <w:lang w:val="en-US"/>
              </w:rPr>
            </w:pPr>
            <w:r>
              <w:rPr>
                <w:u w:color="000000"/>
                <w:lang w:val="en-US"/>
              </w:rPr>
              <w:lastRenderedPageBreak/>
              <w:t xml:space="preserve">The test management tool </w:t>
            </w:r>
          </w:p>
        </w:tc>
        <w:tc>
          <w:tcPr>
            <w:tcW w:w="1737" w:type="dxa"/>
          </w:tcPr>
          <w:p w14:paraId="77A898F0" w14:textId="7DAAB161" w:rsidR="00E62B87" w:rsidRPr="00A21682" w:rsidRDefault="00E62B87" w:rsidP="00E62B87">
            <w:pPr>
              <w:pStyle w:val="TABLETEXT1"/>
              <w:rPr>
                <w:u w:color="000000"/>
                <w:lang w:val="en-US"/>
              </w:rPr>
            </w:pPr>
            <w:r>
              <w:rPr>
                <w:u w:color="000000"/>
                <w:lang w:val="en-US"/>
              </w:rPr>
              <w:t>The test management tool</w:t>
            </w:r>
          </w:p>
        </w:tc>
        <w:tc>
          <w:tcPr>
            <w:tcW w:w="1620" w:type="dxa"/>
          </w:tcPr>
          <w:p w14:paraId="1A0033AA" w14:textId="77777777" w:rsidR="00E62B87" w:rsidRPr="00A21682" w:rsidRDefault="00E62B87" w:rsidP="00E62B87">
            <w:pPr>
              <w:pStyle w:val="TABLETEXT1"/>
              <w:rPr>
                <w:u w:color="000000"/>
                <w:lang w:val="en-US"/>
              </w:rPr>
            </w:pPr>
            <w:r>
              <w:rPr>
                <w:u w:color="000000"/>
                <w:lang w:val="en-US"/>
              </w:rPr>
              <w:t>SIT, ORT, UAT</w:t>
            </w:r>
          </w:p>
        </w:tc>
        <w:tc>
          <w:tcPr>
            <w:tcW w:w="4176" w:type="dxa"/>
          </w:tcPr>
          <w:p w14:paraId="14CAB9A2" w14:textId="77777777" w:rsidR="00E62B87" w:rsidRPr="00A21682" w:rsidRDefault="00E62B87" w:rsidP="00E62B87">
            <w:pPr>
              <w:pStyle w:val="TABLETEXT1"/>
              <w:rPr>
                <w:u w:color="000000"/>
                <w:lang w:val="en-US"/>
              </w:rPr>
            </w:pPr>
            <w:r>
              <w:rPr>
                <w:u w:color="000000"/>
                <w:lang w:val="en-US"/>
              </w:rPr>
              <w:t>The test management tool is a complete Test Management tool for the ALM tool. It is a full-featured app that does not require any other software to run. The test management tool supports the entire testing life cycle: test planning, test design, test execution, and test reporting for MECM.</w:t>
            </w:r>
          </w:p>
        </w:tc>
      </w:tr>
      <w:tr w:rsidR="00E62B87" w:rsidRPr="00A21682" w14:paraId="77116D39" w14:textId="77777777" w:rsidTr="002B3BF9">
        <w:trPr>
          <w:cantSplit/>
          <w:trHeight w:val="300"/>
        </w:trPr>
        <w:tc>
          <w:tcPr>
            <w:tcW w:w="1897" w:type="dxa"/>
          </w:tcPr>
          <w:p w14:paraId="789E241C" w14:textId="62517AEF" w:rsidR="00E62B87" w:rsidRPr="00A21682" w:rsidRDefault="00E62B87" w:rsidP="00E62B87">
            <w:pPr>
              <w:pStyle w:val="TABLETEXT1"/>
              <w:rPr>
                <w:u w:color="000000"/>
                <w:lang w:val="en-US"/>
              </w:rPr>
            </w:pPr>
            <w:r>
              <w:rPr>
                <w:u w:color="000000"/>
                <w:lang w:val="en-US"/>
              </w:rPr>
              <w:t>Checkmarx SAST</w:t>
            </w:r>
          </w:p>
        </w:tc>
        <w:tc>
          <w:tcPr>
            <w:tcW w:w="1737" w:type="dxa"/>
          </w:tcPr>
          <w:p w14:paraId="65DC2F5F" w14:textId="145A1496" w:rsidR="00E62B87" w:rsidRPr="00A21682" w:rsidRDefault="00E62B87" w:rsidP="00E62B87">
            <w:pPr>
              <w:pStyle w:val="TABLETEXT1"/>
              <w:rPr>
                <w:u w:color="000000"/>
                <w:lang w:val="en-US"/>
              </w:rPr>
            </w:pPr>
            <w:r>
              <w:rPr>
                <w:u w:color="000000"/>
                <w:lang w:val="en-US"/>
              </w:rPr>
              <w:t>Checkmarx</w:t>
            </w:r>
          </w:p>
        </w:tc>
        <w:tc>
          <w:tcPr>
            <w:tcW w:w="1620" w:type="dxa"/>
          </w:tcPr>
          <w:p w14:paraId="4B122A40" w14:textId="77777777" w:rsidR="00E62B87" w:rsidRPr="00A21682" w:rsidRDefault="00E62B87" w:rsidP="00E62B87">
            <w:pPr>
              <w:pStyle w:val="TABLETEXT1"/>
              <w:rPr>
                <w:u w:color="000000"/>
                <w:lang w:val="en-US"/>
              </w:rPr>
            </w:pPr>
            <w:r>
              <w:rPr>
                <w:u w:color="000000"/>
                <w:lang w:val="en-US"/>
              </w:rPr>
              <w:t>Development</w:t>
            </w:r>
          </w:p>
        </w:tc>
        <w:tc>
          <w:tcPr>
            <w:tcW w:w="4176" w:type="dxa"/>
          </w:tcPr>
          <w:p w14:paraId="12EBB1D1" w14:textId="1ABCDF62" w:rsidR="00E62B87" w:rsidRPr="00A21682" w:rsidRDefault="00E62B87" w:rsidP="00E62B87">
            <w:pPr>
              <w:pStyle w:val="TABLETEXT1"/>
              <w:rPr>
                <w:u w:color="000000"/>
                <w:lang w:val="en-US"/>
              </w:rPr>
            </w:pPr>
            <w:r>
              <w:rPr>
                <w:u w:color="000000"/>
                <w:lang w:val="en-US"/>
              </w:rPr>
              <w:t>Checkmarx SAST is used to perform static code scans on changes made to the MECM base solution as part of the SDLC methodology and M&amp;O processes to identify security vulnerabilities for remediation.</w:t>
            </w:r>
          </w:p>
        </w:tc>
      </w:tr>
      <w:tr w:rsidR="00E62B87" w:rsidRPr="00A21682" w14:paraId="654BCBCD" w14:textId="77777777" w:rsidTr="002B3BF9">
        <w:trPr>
          <w:cantSplit/>
          <w:trHeight w:val="300"/>
        </w:trPr>
        <w:tc>
          <w:tcPr>
            <w:tcW w:w="1897" w:type="dxa"/>
          </w:tcPr>
          <w:p w14:paraId="72981CCA" w14:textId="77777777" w:rsidR="00E62B87" w:rsidRPr="00A21682" w:rsidRDefault="00E62B87" w:rsidP="00E62B87">
            <w:pPr>
              <w:pStyle w:val="TABLETEXT1"/>
              <w:rPr>
                <w:u w:color="000000"/>
                <w:lang w:val="en-US"/>
              </w:rPr>
            </w:pPr>
            <w:r>
              <w:rPr>
                <w:u w:color="000000"/>
                <w:lang w:val="en-US"/>
              </w:rPr>
              <w:t>Burp Suite Pro</w:t>
            </w:r>
          </w:p>
          <w:p w14:paraId="50955F9A" w14:textId="77777777" w:rsidR="00E62B87" w:rsidRPr="00A21682" w:rsidRDefault="00E62B87" w:rsidP="00E62B87">
            <w:pPr>
              <w:pStyle w:val="TABLETEXT1"/>
              <w:rPr>
                <w:u w:color="000000"/>
                <w:lang w:val="en-US"/>
              </w:rPr>
            </w:pPr>
          </w:p>
        </w:tc>
        <w:tc>
          <w:tcPr>
            <w:tcW w:w="1737" w:type="dxa"/>
          </w:tcPr>
          <w:p w14:paraId="0D817848" w14:textId="77777777" w:rsidR="00E62B87" w:rsidRPr="00A21682" w:rsidRDefault="00E62B87" w:rsidP="00E62B87">
            <w:pPr>
              <w:pStyle w:val="TABLETEXT1"/>
              <w:rPr>
                <w:u w:color="000000"/>
                <w:lang w:val="en-US"/>
              </w:rPr>
            </w:pPr>
            <w:r>
              <w:rPr>
                <w:u w:color="000000"/>
                <w:lang w:val="en-US"/>
              </w:rPr>
              <w:t>PortSwigger</w:t>
            </w:r>
          </w:p>
        </w:tc>
        <w:tc>
          <w:tcPr>
            <w:tcW w:w="1620" w:type="dxa"/>
          </w:tcPr>
          <w:p w14:paraId="3AF013C2" w14:textId="77777777" w:rsidR="00E62B87" w:rsidRPr="00A21682" w:rsidRDefault="00E62B87" w:rsidP="00E62B87">
            <w:pPr>
              <w:pStyle w:val="TABLETEXT1"/>
              <w:rPr>
                <w:u w:color="000000"/>
                <w:lang w:val="en-US"/>
              </w:rPr>
            </w:pPr>
            <w:r>
              <w:rPr>
                <w:u w:color="000000"/>
                <w:lang w:val="en-US"/>
              </w:rPr>
              <w:t>SIT, Regression Test</w:t>
            </w:r>
          </w:p>
        </w:tc>
        <w:tc>
          <w:tcPr>
            <w:tcW w:w="4176" w:type="dxa"/>
          </w:tcPr>
          <w:p w14:paraId="2732DCC2" w14:textId="77777777" w:rsidR="00E62B87" w:rsidRPr="00A21682" w:rsidRDefault="00E62B87" w:rsidP="00E62B87">
            <w:pPr>
              <w:pStyle w:val="TABLETEXT1"/>
              <w:rPr>
                <w:u w:color="000000"/>
                <w:lang w:val="en-US"/>
              </w:rPr>
            </w:pPr>
            <w:r>
              <w:rPr>
                <w:u w:color="000000"/>
                <w:lang w:val="en-US"/>
              </w:rPr>
              <w:t>Burp Suite Pro is used to perform dynamic (runtime) code scans on changes made to the MECM base solution as part of the SDLC methodology and M&amp;O processes to identify security vulnerabilities for remediation.</w:t>
            </w:r>
          </w:p>
        </w:tc>
      </w:tr>
      <w:tr w:rsidR="00E62B87" w:rsidRPr="00A21682" w14:paraId="34C70E9F" w14:textId="77777777" w:rsidTr="002B3BF9">
        <w:trPr>
          <w:cantSplit/>
          <w:trHeight w:val="300"/>
        </w:trPr>
        <w:tc>
          <w:tcPr>
            <w:tcW w:w="1897" w:type="dxa"/>
          </w:tcPr>
          <w:p w14:paraId="27D662B2" w14:textId="0CEDA39E" w:rsidR="00E62B87" w:rsidRPr="00A21682" w:rsidRDefault="00E62B87" w:rsidP="00E62B87">
            <w:pPr>
              <w:pStyle w:val="TABLETEXT1"/>
              <w:rPr>
                <w:u w:color="000000"/>
                <w:lang w:val="en-US"/>
              </w:rPr>
            </w:pPr>
            <w:r>
              <w:rPr>
                <w:u w:color="000000"/>
                <w:lang w:val="en-US"/>
              </w:rPr>
              <w:t>LoadRunner Enterprise</w:t>
            </w:r>
          </w:p>
        </w:tc>
        <w:tc>
          <w:tcPr>
            <w:tcW w:w="1737" w:type="dxa"/>
          </w:tcPr>
          <w:p w14:paraId="66951DBB" w14:textId="77777777" w:rsidR="00E62B87" w:rsidRPr="00A21682" w:rsidDel="00B933C6" w:rsidRDefault="00E62B87" w:rsidP="00E62B87">
            <w:pPr>
              <w:pStyle w:val="TABLETEXT1"/>
              <w:rPr>
                <w:u w:color="000000"/>
                <w:lang w:val="en-US"/>
              </w:rPr>
            </w:pPr>
            <w:r>
              <w:rPr>
                <w:u w:color="000000"/>
                <w:lang w:val="en-US"/>
              </w:rPr>
              <w:t>Micro Focus</w:t>
            </w:r>
          </w:p>
        </w:tc>
        <w:tc>
          <w:tcPr>
            <w:tcW w:w="1620" w:type="dxa"/>
          </w:tcPr>
          <w:p w14:paraId="01A26B53" w14:textId="77777777" w:rsidR="00E62B87" w:rsidRPr="00A21682" w:rsidRDefault="00E62B87" w:rsidP="00E62B87">
            <w:pPr>
              <w:pStyle w:val="TABLETEXT1"/>
              <w:rPr>
                <w:u w:color="000000"/>
                <w:lang w:val="en-US"/>
              </w:rPr>
            </w:pPr>
            <w:r>
              <w:rPr>
                <w:u w:color="000000"/>
                <w:lang w:val="en-US"/>
              </w:rPr>
              <w:t>SIT, Regression Test</w:t>
            </w:r>
          </w:p>
        </w:tc>
        <w:tc>
          <w:tcPr>
            <w:tcW w:w="4176" w:type="dxa"/>
          </w:tcPr>
          <w:p w14:paraId="4EFC0134" w14:textId="496C8511" w:rsidR="00E62B87" w:rsidRPr="00A21682" w:rsidRDefault="00E62B87" w:rsidP="00E62B87">
            <w:pPr>
              <w:pStyle w:val="TABLETEXT1"/>
              <w:rPr>
                <w:u w:color="000000"/>
                <w:lang w:val="en-US"/>
              </w:rPr>
            </w:pPr>
            <w:r>
              <w:rPr>
                <w:u w:color="000000"/>
                <w:lang w:val="en-US"/>
              </w:rPr>
              <w:t>LoadRunner Enterprise is used for the performance testing to evaluate performance, stability, and scalability to confirm it can withstand the expected volume.</w:t>
            </w:r>
          </w:p>
        </w:tc>
      </w:tr>
      <w:tr w:rsidR="00E62B87" w:rsidRPr="00A21682" w14:paraId="21CD8E7E" w14:textId="77777777" w:rsidTr="002B3BF9">
        <w:trPr>
          <w:cantSplit/>
          <w:trHeight w:val="300"/>
        </w:trPr>
        <w:tc>
          <w:tcPr>
            <w:tcW w:w="1897" w:type="dxa"/>
          </w:tcPr>
          <w:p w14:paraId="5388A9D3" w14:textId="77777777" w:rsidR="00E62B87" w:rsidRPr="00A21682" w:rsidRDefault="00E62B87" w:rsidP="00E62B87">
            <w:pPr>
              <w:pStyle w:val="TABLETEXT1"/>
              <w:rPr>
                <w:u w:color="000000"/>
                <w:lang w:val="en-US"/>
              </w:rPr>
            </w:pPr>
            <w:r>
              <w:rPr>
                <w:u w:color="000000"/>
                <w:lang w:val="en-US"/>
              </w:rPr>
              <w:t>Splunk</w:t>
            </w:r>
          </w:p>
        </w:tc>
        <w:tc>
          <w:tcPr>
            <w:tcW w:w="1737" w:type="dxa"/>
          </w:tcPr>
          <w:p w14:paraId="3CE7E91B" w14:textId="77777777" w:rsidR="00E62B87" w:rsidRPr="00A21682" w:rsidRDefault="00E62B87" w:rsidP="00E62B87">
            <w:pPr>
              <w:pStyle w:val="TABLETEXT1"/>
              <w:rPr>
                <w:u w:color="000000"/>
                <w:lang w:val="en-US"/>
              </w:rPr>
            </w:pPr>
            <w:r>
              <w:rPr>
                <w:u w:color="000000"/>
                <w:lang w:val="en-US"/>
              </w:rPr>
              <w:t>Splunk</w:t>
            </w:r>
          </w:p>
        </w:tc>
        <w:tc>
          <w:tcPr>
            <w:tcW w:w="1620" w:type="dxa"/>
          </w:tcPr>
          <w:p w14:paraId="27E68867" w14:textId="77777777" w:rsidR="00E62B87" w:rsidRPr="00A21682" w:rsidRDefault="00E62B87" w:rsidP="00E62B87">
            <w:pPr>
              <w:pStyle w:val="TABLETEXT1"/>
              <w:rPr>
                <w:u w:color="000000"/>
                <w:lang w:val="en-US"/>
              </w:rPr>
            </w:pPr>
            <w:r>
              <w:rPr>
                <w:u w:color="000000"/>
                <w:lang w:val="en-US"/>
              </w:rPr>
              <w:t>Rollout</w:t>
            </w:r>
          </w:p>
        </w:tc>
        <w:tc>
          <w:tcPr>
            <w:tcW w:w="4176" w:type="dxa"/>
          </w:tcPr>
          <w:p w14:paraId="520B97DB" w14:textId="77777777" w:rsidR="00E62B87" w:rsidRPr="00A21682" w:rsidRDefault="00E62B87" w:rsidP="00E62B87">
            <w:pPr>
              <w:pStyle w:val="TABLETEXT1"/>
              <w:rPr>
                <w:u w:color="000000"/>
                <w:lang w:val="en-US"/>
              </w:rPr>
            </w:pPr>
            <w:r>
              <w:rPr>
                <w:u w:color="000000"/>
                <w:lang w:val="en-US"/>
              </w:rPr>
              <w:t xml:space="preserve">Splunk is used for active monitoring of the MECM solution environment including server health monitor, configurable alerts, trending/historical reports, and dashboard/visualization capabilities. </w:t>
            </w:r>
          </w:p>
        </w:tc>
      </w:tr>
      <w:tr w:rsidR="00E62B87" w:rsidRPr="00A21682" w14:paraId="61CC8355" w14:textId="77777777" w:rsidTr="002B3BF9">
        <w:trPr>
          <w:cantSplit/>
          <w:trHeight w:val="300"/>
        </w:trPr>
        <w:tc>
          <w:tcPr>
            <w:tcW w:w="1897" w:type="dxa"/>
          </w:tcPr>
          <w:p w14:paraId="65E03AC2" w14:textId="2BDE2250" w:rsidR="00E62B87" w:rsidRPr="00A21682" w:rsidRDefault="00E62B87" w:rsidP="00E62B87">
            <w:pPr>
              <w:pStyle w:val="TABLETEXT1"/>
              <w:rPr>
                <w:u w:color="000000"/>
                <w:lang w:val="en-US"/>
              </w:rPr>
            </w:pPr>
            <w:r>
              <w:rPr>
                <w:u w:color="000000"/>
                <w:lang w:val="en-US"/>
              </w:rPr>
              <w:t>iServer</w:t>
            </w:r>
          </w:p>
        </w:tc>
        <w:tc>
          <w:tcPr>
            <w:tcW w:w="1737" w:type="dxa"/>
          </w:tcPr>
          <w:p w14:paraId="663B0D26" w14:textId="77777777" w:rsidR="00E62B87" w:rsidRPr="00A21682" w:rsidRDefault="00E62B87" w:rsidP="00E62B87">
            <w:pPr>
              <w:pStyle w:val="TABLETEXT1"/>
              <w:rPr>
                <w:u w:color="000000"/>
                <w:lang w:val="en-US"/>
              </w:rPr>
            </w:pPr>
            <w:r>
              <w:rPr>
                <w:u w:color="000000"/>
                <w:lang w:val="en-US"/>
              </w:rPr>
              <w:t>Orbus Software</w:t>
            </w:r>
          </w:p>
        </w:tc>
        <w:tc>
          <w:tcPr>
            <w:tcW w:w="1620" w:type="dxa"/>
          </w:tcPr>
          <w:p w14:paraId="0274617F" w14:textId="77777777" w:rsidR="00E62B87" w:rsidRPr="00A21682" w:rsidRDefault="00E62B87" w:rsidP="00E62B87">
            <w:pPr>
              <w:pStyle w:val="TABLETEXT1"/>
              <w:rPr>
                <w:u w:color="000000"/>
                <w:lang w:val="en-US"/>
              </w:rPr>
            </w:pPr>
            <w:r>
              <w:rPr>
                <w:u w:color="000000"/>
                <w:lang w:val="en-US"/>
              </w:rPr>
              <w:t>All</w:t>
            </w:r>
          </w:p>
        </w:tc>
        <w:tc>
          <w:tcPr>
            <w:tcW w:w="4176" w:type="dxa"/>
          </w:tcPr>
          <w:p w14:paraId="45CCEDD3" w14:textId="35F9F9BE" w:rsidR="00E62B87" w:rsidRPr="00A21682" w:rsidRDefault="00E62B87" w:rsidP="00E62B87">
            <w:pPr>
              <w:pStyle w:val="TABLETEXT1"/>
              <w:rPr>
                <w:u w:color="000000"/>
                <w:lang w:val="en-US"/>
              </w:rPr>
            </w:pPr>
            <w:r>
              <w:rPr>
                <w:u w:color="000000"/>
                <w:lang w:val="en-US"/>
              </w:rPr>
              <w:t>iServer serves as an integrated platform designed to support various aspects of enterprise architecture, business process analysis, and IT governance. Future use by business will be determined at a future date.</w:t>
            </w:r>
          </w:p>
        </w:tc>
      </w:tr>
      <w:tr w:rsidR="00E62B87" w:rsidRPr="00A21682" w14:paraId="75F7EE1D" w14:textId="77777777" w:rsidTr="002B3BF9">
        <w:trPr>
          <w:cantSplit/>
          <w:trHeight w:val="300"/>
        </w:trPr>
        <w:tc>
          <w:tcPr>
            <w:tcW w:w="1897" w:type="dxa"/>
          </w:tcPr>
          <w:p w14:paraId="48CC6351" w14:textId="375D8917" w:rsidR="00E62B87" w:rsidRPr="00A21682" w:rsidRDefault="00E62B87" w:rsidP="00E62B87">
            <w:pPr>
              <w:pStyle w:val="TABLETEXT1"/>
              <w:rPr>
                <w:u w:color="000000"/>
                <w:lang w:val="en-US"/>
              </w:rPr>
            </w:pPr>
            <w:r>
              <w:rPr>
                <w:u w:color="000000"/>
                <w:lang w:val="en-US"/>
              </w:rPr>
              <w:t>Oracle Policy Automation (OPA)</w:t>
            </w:r>
          </w:p>
          <w:p w14:paraId="3EFC6AE1" w14:textId="5B5AE33C" w:rsidR="00E62B87" w:rsidRPr="00A21682" w:rsidRDefault="00E62B87" w:rsidP="00E62B87">
            <w:pPr>
              <w:spacing w:before="60" w:after="60"/>
              <w:ind w:firstLine="720"/>
            </w:pPr>
          </w:p>
        </w:tc>
        <w:tc>
          <w:tcPr>
            <w:tcW w:w="1737" w:type="dxa"/>
          </w:tcPr>
          <w:p w14:paraId="749D19B8" w14:textId="3C2930E7" w:rsidR="00E62B87" w:rsidRPr="00A21682" w:rsidRDefault="00E62B87" w:rsidP="00E62B87">
            <w:pPr>
              <w:pStyle w:val="TABLETEXT1"/>
              <w:rPr>
                <w:u w:color="000000"/>
                <w:lang w:val="en-US"/>
              </w:rPr>
            </w:pPr>
            <w:r>
              <w:rPr>
                <w:u w:color="000000"/>
                <w:lang w:val="en-US"/>
              </w:rPr>
              <w:t>Oracle</w:t>
            </w:r>
          </w:p>
        </w:tc>
        <w:tc>
          <w:tcPr>
            <w:tcW w:w="1620" w:type="dxa"/>
          </w:tcPr>
          <w:p w14:paraId="49F09BD5" w14:textId="2BBBD6EC" w:rsidR="00E62B87" w:rsidRPr="00A21682" w:rsidRDefault="00E62B87" w:rsidP="00E62B87">
            <w:pPr>
              <w:pStyle w:val="TABLETEXT1"/>
              <w:rPr>
                <w:u w:color="000000"/>
                <w:lang w:val="en-US"/>
              </w:rPr>
            </w:pPr>
            <w:r>
              <w:rPr>
                <w:u w:color="000000"/>
                <w:lang w:val="en-US"/>
              </w:rPr>
              <w:t>UAT, Post-Go-Live</w:t>
            </w:r>
          </w:p>
        </w:tc>
        <w:tc>
          <w:tcPr>
            <w:tcW w:w="4176" w:type="dxa"/>
          </w:tcPr>
          <w:p w14:paraId="2E971B1D" w14:textId="00621C34" w:rsidR="00E62B87" w:rsidRPr="00A21682" w:rsidRDefault="00E62B87" w:rsidP="00E62B87">
            <w:pPr>
              <w:pStyle w:val="TABLETEXT1"/>
              <w:rPr>
                <w:u w:color="000000"/>
                <w:lang w:val="en-US"/>
              </w:rPr>
            </w:pPr>
            <w:r>
              <w:rPr>
                <w:u w:color="000000"/>
                <w:lang w:val="en-US"/>
              </w:rPr>
              <w:t>OPA is used to automate edits to business processes, rules, regulations, and policies to deliver up-to-date accurate advice. The utilization of the tool to support business team processes will be determined at a later date.</w:t>
            </w:r>
          </w:p>
        </w:tc>
      </w:tr>
      <w:tr w:rsidR="00E62B87" w:rsidRPr="00A21682" w14:paraId="1B324149" w14:textId="77777777" w:rsidTr="002B3BF9">
        <w:trPr>
          <w:cantSplit/>
          <w:trHeight w:val="300"/>
        </w:trPr>
        <w:tc>
          <w:tcPr>
            <w:tcW w:w="1897" w:type="dxa"/>
          </w:tcPr>
          <w:p w14:paraId="18E6717B" w14:textId="551486F7" w:rsidR="00E62B87" w:rsidRPr="00A21682" w:rsidRDefault="00E62B87" w:rsidP="00E62B87">
            <w:pPr>
              <w:pStyle w:val="TABLETEXT1"/>
              <w:rPr>
                <w:u w:color="000000"/>
                <w:lang w:val="en-US"/>
              </w:rPr>
            </w:pPr>
            <w:r>
              <w:rPr>
                <w:u w:color="000000"/>
                <w:lang w:val="en-US"/>
              </w:rPr>
              <w:t xml:space="preserve">OpenText </w:t>
            </w:r>
          </w:p>
        </w:tc>
        <w:tc>
          <w:tcPr>
            <w:tcW w:w="1737" w:type="dxa"/>
          </w:tcPr>
          <w:p w14:paraId="5B9C4197" w14:textId="5C5B0541" w:rsidR="00E62B87" w:rsidRPr="00A21682" w:rsidRDefault="00E62B87" w:rsidP="00E62B87">
            <w:pPr>
              <w:pStyle w:val="TABLETEXT1"/>
              <w:rPr>
                <w:u w:color="000000"/>
                <w:lang w:val="en-US"/>
              </w:rPr>
            </w:pPr>
            <w:r>
              <w:rPr>
                <w:u w:color="000000"/>
                <w:lang w:val="en-US"/>
              </w:rPr>
              <w:t>OpenText</w:t>
            </w:r>
          </w:p>
        </w:tc>
        <w:tc>
          <w:tcPr>
            <w:tcW w:w="1620" w:type="dxa"/>
          </w:tcPr>
          <w:p w14:paraId="148D29C1" w14:textId="504445D8" w:rsidR="00E62B87" w:rsidRPr="00A21682" w:rsidRDefault="00E62B87" w:rsidP="00E62B87">
            <w:pPr>
              <w:pStyle w:val="TABLETEXT1"/>
              <w:rPr>
                <w:u w:color="000000"/>
                <w:lang w:val="en-US"/>
              </w:rPr>
            </w:pPr>
            <w:r>
              <w:rPr>
                <w:u w:color="000000"/>
                <w:lang w:val="en-US"/>
              </w:rPr>
              <w:t>UAT, Post-Go-Live</w:t>
            </w:r>
          </w:p>
        </w:tc>
        <w:tc>
          <w:tcPr>
            <w:tcW w:w="4176" w:type="dxa"/>
          </w:tcPr>
          <w:p w14:paraId="06879A2C" w14:textId="43B1B6F5" w:rsidR="00E62B87" w:rsidRPr="00A21682" w:rsidRDefault="00E62B87" w:rsidP="00E62B87">
            <w:pPr>
              <w:pStyle w:val="TABLETEXT1"/>
              <w:rPr>
                <w:u w:color="000000"/>
                <w:lang w:val="en-US"/>
              </w:rPr>
            </w:pPr>
            <w:r>
              <w:rPr>
                <w:u w:color="000000"/>
                <w:lang w:val="en-US"/>
              </w:rPr>
              <w:t>OpenText is used to effectively capture, store, manage, and leverage enterprise information, specifically Notices, and other content types. The utilization of the tool to support business team processes will be determined at a later date.</w:t>
            </w:r>
          </w:p>
        </w:tc>
      </w:tr>
      <w:tr w:rsidR="00E62B87" w:rsidRPr="00A21682" w14:paraId="3EDF83F8" w14:textId="77777777" w:rsidTr="002B3BF9">
        <w:trPr>
          <w:cantSplit/>
          <w:trHeight w:val="300"/>
        </w:trPr>
        <w:tc>
          <w:tcPr>
            <w:tcW w:w="1897" w:type="dxa"/>
          </w:tcPr>
          <w:p w14:paraId="1C8347B3" w14:textId="486A8A54" w:rsidR="00E62B87" w:rsidRPr="00A21682" w:rsidRDefault="00E62B87" w:rsidP="00E62B87">
            <w:pPr>
              <w:pStyle w:val="TABLETEXT1"/>
              <w:rPr>
                <w:u w:color="000000"/>
                <w:lang w:val="en-US"/>
              </w:rPr>
            </w:pPr>
            <w:r>
              <w:rPr>
                <w:u w:color="000000"/>
                <w:lang w:val="en-US"/>
              </w:rPr>
              <w:lastRenderedPageBreak/>
              <w:t>BrowserStack</w:t>
            </w:r>
          </w:p>
        </w:tc>
        <w:tc>
          <w:tcPr>
            <w:tcW w:w="1737" w:type="dxa"/>
          </w:tcPr>
          <w:p w14:paraId="7362668E" w14:textId="32287C5B" w:rsidR="00E62B87" w:rsidRPr="00A21682" w:rsidRDefault="00E62B87" w:rsidP="00E62B87">
            <w:pPr>
              <w:pStyle w:val="TABLETEXT1"/>
              <w:rPr>
                <w:u w:color="000000"/>
                <w:lang w:val="en-US"/>
              </w:rPr>
            </w:pPr>
            <w:r>
              <w:rPr>
                <w:u w:color="000000"/>
                <w:lang w:val="en-US"/>
              </w:rPr>
              <w:t>BrowserStack</w:t>
            </w:r>
          </w:p>
        </w:tc>
        <w:tc>
          <w:tcPr>
            <w:tcW w:w="1620" w:type="dxa"/>
          </w:tcPr>
          <w:p w14:paraId="21054F32" w14:textId="04D24914" w:rsidR="00E62B87" w:rsidRPr="00A21682" w:rsidRDefault="00E62B87" w:rsidP="00E62B87">
            <w:pPr>
              <w:pStyle w:val="TABLETEXT1"/>
              <w:rPr>
                <w:u w:color="000000"/>
                <w:lang w:val="en-US"/>
              </w:rPr>
            </w:pPr>
            <w:r>
              <w:rPr>
                <w:u w:color="000000"/>
                <w:lang w:val="en-US"/>
              </w:rPr>
              <w:t>SIT, Regression Test</w:t>
            </w:r>
          </w:p>
        </w:tc>
        <w:tc>
          <w:tcPr>
            <w:tcW w:w="4176" w:type="dxa"/>
          </w:tcPr>
          <w:p w14:paraId="63BC0382" w14:textId="11B86729" w:rsidR="00E62B87" w:rsidRPr="00A21682" w:rsidRDefault="00E62B87" w:rsidP="00E62B87">
            <w:pPr>
              <w:pStyle w:val="TABLETEXT1"/>
              <w:rPr>
                <w:u w:color="000000"/>
                <w:lang w:val="en-US"/>
              </w:rPr>
            </w:pPr>
            <w:r>
              <w:rPr>
                <w:color w:val="000000"/>
                <w:szCs w:val="18"/>
                <w:lang w:val="en-US"/>
                <w14:ligatures w14:val="standardContextual"/>
              </w:rPr>
              <w:t>BrowserStack is a cloud-based testing service that provides access to a vast array of real devices and browsers for testing web and mobile applications. It enables developers and QA teams to verify that their applications work seamlessly across different environments without the need for maintaining an in-house device lab.</w:t>
            </w:r>
          </w:p>
        </w:tc>
      </w:tr>
      <w:tr w:rsidR="00E62B87" w:rsidRPr="00A21682" w14:paraId="159FA109" w14:textId="77777777" w:rsidTr="002B3BF9">
        <w:trPr>
          <w:cantSplit/>
          <w:trHeight w:val="300"/>
        </w:trPr>
        <w:tc>
          <w:tcPr>
            <w:tcW w:w="1897" w:type="dxa"/>
          </w:tcPr>
          <w:p w14:paraId="56624F92" w14:textId="4221F55C" w:rsidR="00E62B87" w:rsidRPr="00A21682" w:rsidRDefault="00E62B87" w:rsidP="00E62B87">
            <w:pPr>
              <w:pStyle w:val="TABLETEXT1"/>
              <w:rPr>
                <w:u w:color="000000"/>
                <w:lang w:val="en-US"/>
              </w:rPr>
            </w:pPr>
            <w:r>
              <w:rPr>
                <w:u w:color="000000"/>
                <w:lang w:val="en-US"/>
              </w:rPr>
              <w:t>The requirements management tool</w:t>
            </w:r>
          </w:p>
        </w:tc>
        <w:tc>
          <w:tcPr>
            <w:tcW w:w="1737" w:type="dxa"/>
          </w:tcPr>
          <w:p w14:paraId="14938290" w14:textId="7E5D9AD6" w:rsidR="00E62B87" w:rsidRPr="00A21682" w:rsidRDefault="00E62B87" w:rsidP="00E62B87">
            <w:pPr>
              <w:pStyle w:val="TABLETEXT1"/>
              <w:rPr>
                <w:u w:color="000000"/>
                <w:lang w:val="en-US"/>
              </w:rPr>
            </w:pPr>
            <w:r>
              <w:rPr>
                <w:u w:color="000000"/>
                <w:lang w:val="en-US"/>
              </w:rPr>
              <w:t>ease Solutions</w:t>
            </w:r>
          </w:p>
        </w:tc>
        <w:tc>
          <w:tcPr>
            <w:tcW w:w="1620" w:type="dxa"/>
          </w:tcPr>
          <w:p w14:paraId="6809F1E2" w14:textId="77777777" w:rsidR="00E62B87" w:rsidRPr="00A21682" w:rsidRDefault="00E62B87" w:rsidP="00E62B87">
            <w:pPr>
              <w:pStyle w:val="TABLETEXT1"/>
              <w:rPr>
                <w:u w:color="000000"/>
                <w:lang w:val="en-US"/>
              </w:rPr>
            </w:pPr>
            <w:r>
              <w:rPr>
                <w:u w:color="000000"/>
                <w:lang w:val="en-US"/>
              </w:rPr>
              <w:t>Design, Development</w:t>
            </w:r>
          </w:p>
          <w:p w14:paraId="60916BE7" w14:textId="77777777" w:rsidR="00E62B87" w:rsidRPr="00A21682" w:rsidRDefault="00E62B87" w:rsidP="00E62B87">
            <w:pPr>
              <w:pStyle w:val="TABLETEXT1"/>
              <w:rPr>
                <w:u w:color="000000"/>
                <w:lang w:val="en-US"/>
              </w:rPr>
            </w:pPr>
            <w:r>
              <w:rPr>
                <w:u w:color="000000"/>
                <w:lang w:val="en-US"/>
              </w:rPr>
              <w:t>SIT, Regression Test,</w:t>
            </w:r>
          </w:p>
          <w:p w14:paraId="7A047EB7" w14:textId="45E55FF9" w:rsidR="00E62B87" w:rsidRPr="00A21682" w:rsidRDefault="00E62B87" w:rsidP="00E62B87">
            <w:pPr>
              <w:pStyle w:val="TABLETEXT1"/>
              <w:rPr>
                <w:u w:color="000000"/>
                <w:lang w:val="en-US"/>
              </w:rPr>
            </w:pPr>
            <w:r>
              <w:rPr>
                <w:u w:color="000000"/>
                <w:lang w:val="en-US"/>
              </w:rPr>
              <w:t>UAT</w:t>
            </w:r>
          </w:p>
        </w:tc>
        <w:tc>
          <w:tcPr>
            <w:tcW w:w="4176" w:type="dxa"/>
          </w:tcPr>
          <w:p w14:paraId="197E195C" w14:textId="0B9FB23F" w:rsidR="00E62B87" w:rsidRPr="00A21682" w:rsidRDefault="00E62B87" w:rsidP="00E62B87">
            <w:pPr>
              <w:pStyle w:val="TABLETEXT1"/>
              <w:rPr>
                <w:color w:val="000000"/>
                <w:szCs w:val="18"/>
                <w:lang w:val="en-US"/>
                <w14:ligatures w14:val="standardContextual"/>
              </w:rPr>
            </w:pPr>
            <w:r>
              <w:rPr>
                <w:u w:color="000000"/>
                <w:lang w:val="en-US"/>
              </w:rPr>
              <w:t>The requirements management tool is utilized to produce a requirements traceability matrix based on linkages to various SDLC components captured in the ALM tool. Functional specifications will reside in SharePoint but are referenced in the ALM tool as part of that traceability. The requirements management tool is an ALM tool plug-in.</w:t>
            </w:r>
          </w:p>
        </w:tc>
      </w:tr>
    </w:tbl>
    <w:p w14:paraId="7DD72FE3" w14:textId="76C0968B" w:rsidR="00C5516F" w:rsidRPr="00A21682" w:rsidRDefault="00C5516F" w:rsidP="005911DA">
      <w:pPr>
        <w:pStyle w:val="Caption"/>
        <w:rPr>
          <w:noProof w:val="0"/>
        </w:rPr>
      </w:pPr>
      <w:bookmarkStart w:id="793" w:name="_Toc150951895"/>
      <w:bookmarkStart w:id="794" w:name="_Toc192875126"/>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41</w:t>
      </w:r>
      <w:r>
        <w:rPr>
          <w:noProof w:val="0"/>
        </w:rPr>
        <w:fldChar w:fldCharType="end"/>
      </w:r>
      <w:r>
        <w:rPr>
          <w:noProof w:val="0"/>
        </w:rPr>
        <w:t>: ALM Tools and Artifacts</w:t>
      </w:r>
      <w:bookmarkEnd w:id="793"/>
      <w:bookmarkEnd w:id="794"/>
    </w:p>
    <w:p w14:paraId="6A22A8DA" w14:textId="4455B7C8" w:rsidR="009A723C" w:rsidRPr="00A21682" w:rsidRDefault="009A723C" w:rsidP="00F70B45">
      <w:pPr>
        <w:pStyle w:val="NormalNEW"/>
        <w:rPr>
          <w:u w:color="000000"/>
          <w:lang w:val="en-US"/>
        </w:rPr>
      </w:pPr>
      <w:r>
        <w:rPr>
          <w:u w:color="000000"/>
          <w:lang w:val="en-US"/>
        </w:rPr>
        <w:t xml:space="preserve">The following Commercial-off-the-Shelf (COTS) products are part of the MECM solution’s technical stack, and not considered ALM tools: </w:t>
      </w:r>
    </w:p>
    <w:p w14:paraId="13C53486" w14:textId="6893F8AC" w:rsidR="009A723C" w:rsidRPr="00A21682" w:rsidRDefault="0075647D" w:rsidP="0031550A">
      <w:pPr>
        <w:pStyle w:val="BulletNEW"/>
      </w:pPr>
      <w:r>
        <w:rPr>
          <w:rStyle w:val="ui-provider"/>
          <w:lang w:val="en-US"/>
        </w:rPr>
        <w:t>Oracle Policy Automation (OPA) is an Oracle product that is used to capture, manage, and deploy complex legislation and other document-based policies. The utilization of the tool to support future SDLC processes will be determined at a later date</w:t>
      </w:r>
    </w:p>
    <w:p w14:paraId="405CA29B" w14:textId="0EC10777" w:rsidR="009A723C" w:rsidRPr="00A21682" w:rsidRDefault="00643C2D" w:rsidP="0031550A">
      <w:pPr>
        <w:pStyle w:val="BulletNEW"/>
        <w:rPr>
          <w:u w:color="000000"/>
        </w:rPr>
      </w:pPr>
      <w:r>
        <w:t>O</w:t>
      </w:r>
      <w:r>
        <w:rPr>
          <w:rStyle w:val="ui-provider"/>
          <w:lang w:val="en-US"/>
        </w:rPr>
        <w:t>penText is a Client Communication Management (CCM) platform used to design Templates and to generate the notices based on standard templates. The utilization of the tool to support future SDLC processes will be determined at a later date</w:t>
      </w:r>
    </w:p>
    <w:p w14:paraId="32CA493F" w14:textId="1170B658" w:rsidR="00C5516F" w:rsidRPr="00A21682" w:rsidRDefault="00C5516F" w:rsidP="00F70B45">
      <w:pPr>
        <w:pStyle w:val="NormalNEW"/>
        <w:rPr>
          <w:u w:color="000000"/>
          <w:lang w:val="en-US"/>
        </w:rPr>
      </w:pPr>
      <w:r>
        <w:rPr>
          <w:u w:color="000000"/>
          <w:lang w:val="en-US"/>
        </w:rPr>
        <w:t>The following conceptual flow depicts how requirements proceed through the ALM toolset within the SDLC phases following the phase-based processes defined within this SDLC narrative. It is not meant to be a comprehensive view of the workflows for the ALM tools but an executive view to demonstrate how the ALM toolset works together within the SDLC methodology to trace requirements for a release end-to-end. Subsequent to this conceptual flow, each ALM tool is defined below including the workflows for those applicable tools that will require direct interaction from project stakeholders (e.g., business stakeholders reviewing requirements traceability).</w:t>
      </w:r>
    </w:p>
    <w:p w14:paraId="1BF78437" w14:textId="410B6C8F" w:rsidR="00363FD2" w:rsidRPr="00A21682" w:rsidRDefault="00B624EE" w:rsidP="00F70B45">
      <w:pPr>
        <w:pStyle w:val="NormalNEW"/>
        <w:rPr>
          <w:u w:color="000000"/>
          <w:lang w:val="en-US"/>
        </w:rPr>
      </w:pPr>
      <w:r>
        <w:rPr>
          <w:noProof/>
          <w:lang w:val="en-US"/>
        </w:rPr>
        <w:lastRenderedPageBreak/>
        <w:drawing>
          <wp:inline distT="0" distB="0" distL="0" distR="0" wp14:anchorId="6E507061" wp14:editId="2F752087">
            <wp:extent cx="5943600" cy="2933065"/>
            <wp:effectExtent l="19050" t="19050" r="19050" b="19685"/>
            <wp:docPr id="2078768501" name="Picture 2078768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68501" name=""/>
                    <pic:cNvPicPr/>
                  </pic:nvPicPr>
                  <pic:blipFill>
                    <a:blip r:embed="rId41"/>
                    <a:stretch>
                      <a:fillRect/>
                    </a:stretch>
                  </pic:blipFill>
                  <pic:spPr>
                    <a:xfrm>
                      <a:off x="0" y="0"/>
                      <a:ext cx="5943600" cy="2933065"/>
                    </a:xfrm>
                    <a:prstGeom prst="rect">
                      <a:avLst/>
                    </a:prstGeom>
                    <a:solidFill>
                      <a:srgbClr val="FFFFFF">
                        <a:shade val="85000"/>
                      </a:srgbClr>
                    </a:solidFill>
                    <a:ln w="9525" cap="sq">
                      <a:solidFill>
                        <a:schemeClr val="tx1"/>
                      </a:solidFill>
                      <a:miter lim="800000"/>
                    </a:ln>
                    <a:effectLst/>
                  </pic:spPr>
                </pic:pic>
              </a:graphicData>
            </a:graphic>
          </wp:inline>
        </w:drawing>
      </w:r>
    </w:p>
    <w:p w14:paraId="65164CD6" w14:textId="4B12F93C" w:rsidR="00C5516F" w:rsidRPr="00A21682" w:rsidRDefault="00C5516F" w:rsidP="005911DA">
      <w:pPr>
        <w:pStyle w:val="Caption"/>
        <w:rPr>
          <w:noProof w:val="0"/>
        </w:rPr>
      </w:pPr>
      <w:bookmarkStart w:id="795" w:name="_Toc150948939"/>
      <w:bookmarkStart w:id="796" w:name="_Toc178152037"/>
      <w:bookmarkStart w:id="797" w:name="_Toc192875052"/>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15</w:t>
      </w:r>
      <w:r>
        <w:rPr>
          <w:noProof w:val="0"/>
        </w:rPr>
        <w:fldChar w:fldCharType="end"/>
      </w:r>
      <w:r>
        <w:rPr>
          <w:noProof w:val="0"/>
        </w:rPr>
        <w:t>: ALM Tools Supporting SDLC Methodology</w:t>
      </w:r>
      <w:bookmarkEnd w:id="795"/>
      <w:bookmarkEnd w:id="796"/>
      <w:bookmarkEnd w:id="797"/>
    </w:p>
    <w:p w14:paraId="238E9B11" w14:textId="77777777" w:rsidR="00C5516F" w:rsidRPr="00A21682" w:rsidRDefault="00C5516F" w:rsidP="00F70B45">
      <w:pPr>
        <w:pStyle w:val="NormalNEW"/>
        <w:rPr>
          <w:u w:color="000000"/>
          <w:lang w:val="en-US"/>
        </w:rPr>
      </w:pPr>
      <w:r>
        <w:rPr>
          <w:u w:color="000000"/>
          <w:lang w:val="en-US"/>
        </w:rPr>
        <w:t>The following subsections provide additional detail regarding configuration of each of the ALM tools that support the SDLC methodology based on the table and figure above.</w:t>
      </w:r>
    </w:p>
    <w:p w14:paraId="0B848D70" w14:textId="21C0AEC8" w:rsidR="00C5516F" w:rsidRPr="00A21682" w:rsidRDefault="00BD4E98">
      <w:pPr>
        <w:pStyle w:val="Heading2"/>
        <w:rPr>
          <w:u w:color="000000"/>
        </w:rPr>
      </w:pPr>
      <w:bookmarkStart w:id="798" w:name="_Toc148102389"/>
      <w:bookmarkStart w:id="799" w:name="_Toc152605873"/>
      <w:bookmarkStart w:id="800" w:name="_Toc177119009"/>
      <w:bookmarkStart w:id="801" w:name="_Toc185952568"/>
      <w:bookmarkStart w:id="802" w:name="_Toc192874744"/>
      <w:r>
        <w:rPr>
          <w:u w:color="000000"/>
        </w:rPr>
        <w:t>Continuing Medicaid Eligibility Modernization SharePoint</w:t>
      </w:r>
      <w:bookmarkEnd w:id="798"/>
      <w:bookmarkEnd w:id="799"/>
      <w:bookmarkEnd w:id="800"/>
      <w:bookmarkEnd w:id="801"/>
      <w:bookmarkEnd w:id="802"/>
      <w:r>
        <w:rPr>
          <w:u w:color="000000"/>
        </w:rPr>
        <w:t xml:space="preserve"> </w:t>
      </w:r>
    </w:p>
    <w:p w14:paraId="24F53F86" w14:textId="7D103C16" w:rsidR="00865817" w:rsidRDefault="00C5516F" w:rsidP="00D14A42">
      <w:pPr>
        <w:pStyle w:val="NormalNEW"/>
        <w:rPr>
          <w:u w:color="000000"/>
          <w:lang w:val="en-US"/>
        </w:rPr>
      </w:pPr>
      <w:r>
        <w:rPr>
          <w:u w:color="000000"/>
          <w:lang w:val="en-US"/>
        </w:rPr>
        <w:t xml:space="preserve">SharePoint is a web-based collaboration platform designed to facilitate document management, content sharing, and team collaboration for the Continuing Medicaid Eligibility Modernization project. It allows users to create, store, and organize deliverables, design documents, and other artifacts in a centralized online environment, making it easy for teams to collaborate and access information from anywhere with an internet connection. </w:t>
      </w:r>
      <w:bookmarkStart w:id="803" w:name="_Toc148102390"/>
      <w:bookmarkStart w:id="804" w:name="_Toc152605874"/>
    </w:p>
    <w:p w14:paraId="6CE75F39" w14:textId="77777777" w:rsidR="00865817" w:rsidRPr="00A21682" w:rsidRDefault="00865817" w:rsidP="00865817">
      <w:pPr>
        <w:pStyle w:val="Heading3"/>
        <w:rPr>
          <w:u w:color="000000"/>
        </w:rPr>
      </w:pPr>
      <w:bookmarkStart w:id="805" w:name="_Toc192874745"/>
      <w:bookmarkEnd w:id="803"/>
      <w:bookmarkEnd w:id="804"/>
      <w:r>
        <w:rPr>
          <w:u w:color="000000"/>
        </w:rPr>
        <w:t>ALM Tool Roles and Permissions</w:t>
      </w:r>
      <w:bookmarkEnd w:id="805"/>
    </w:p>
    <w:tbl>
      <w:tblPr>
        <w:tblW w:w="93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631"/>
        <w:gridCol w:w="3214"/>
        <w:gridCol w:w="3505"/>
      </w:tblGrid>
      <w:tr w:rsidR="00C5516F" w:rsidRPr="00A21682" w14:paraId="6ACFBE87" w14:textId="77777777" w:rsidTr="00C968EF">
        <w:trPr>
          <w:cantSplit/>
          <w:tblHeader/>
        </w:trPr>
        <w:tc>
          <w:tcPr>
            <w:tcW w:w="2631" w:type="dxa"/>
            <w:tcBorders>
              <w:right w:val="single" w:sz="2" w:space="0" w:color="FFFFFF" w:themeColor="background1"/>
            </w:tcBorders>
            <w:shd w:val="clear" w:color="auto" w:fill="000000"/>
          </w:tcPr>
          <w:p w14:paraId="7802D9B1" w14:textId="77777777" w:rsidR="00C5516F" w:rsidRPr="00A21682" w:rsidRDefault="00C5516F" w:rsidP="002B3BF9">
            <w:pPr>
              <w:pStyle w:val="TABLEHEADINGNEW"/>
              <w:rPr>
                <w:u w:color="000000"/>
              </w:rPr>
            </w:pPr>
            <w:r>
              <w:rPr>
                <w:u w:color="000000"/>
              </w:rPr>
              <w:t>Tool Role</w:t>
            </w:r>
          </w:p>
        </w:tc>
        <w:tc>
          <w:tcPr>
            <w:tcW w:w="3214" w:type="dxa"/>
            <w:tcBorders>
              <w:left w:val="single" w:sz="2" w:space="0" w:color="FFFFFF" w:themeColor="background1"/>
              <w:right w:val="single" w:sz="2" w:space="0" w:color="FFFFFF" w:themeColor="background1"/>
            </w:tcBorders>
            <w:shd w:val="clear" w:color="auto" w:fill="000000"/>
          </w:tcPr>
          <w:p w14:paraId="20665DE7" w14:textId="77777777" w:rsidR="00C5516F" w:rsidRPr="00A21682" w:rsidRDefault="00C5516F" w:rsidP="002B3BF9">
            <w:pPr>
              <w:pStyle w:val="TABLEHEADINGNEW"/>
              <w:rPr>
                <w:u w:color="000000"/>
              </w:rPr>
            </w:pPr>
            <w:r>
              <w:rPr>
                <w:u w:color="000000"/>
              </w:rPr>
              <w:t>Project RACI Role</w:t>
            </w:r>
          </w:p>
        </w:tc>
        <w:tc>
          <w:tcPr>
            <w:tcW w:w="3505" w:type="dxa"/>
            <w:tcBorders>
              <w:left w:val="single" w:sz="2" w:space="0" w:color="FFFFFF" w:themeColor="background1"/>
            </w:tcBorders>
            <w:shd w:val="clear" w:color="auto" w:fill="000000"/>
          </w:tcPr>
          <w:p w14:paraId="122D317A" w14:textId="77777777" w:rsidR="00C5516F" w:rsidRPr="00A21682" w:rsidRDefault="00C5516F" w:rsidP="002B3BF9">
            <w:pPr>
              <w:pStyle w:val="TABLEHEADINGNEW"/>
              <w:rPr>
                <w:u w:color="000000"/>
              </w:rPr>
            </w:pPr>
            <w:r>
              <w:rPr>
                <w:u w:color="000000"/>
              </w:rPr>
              <w:t>Key Permissions</w:t>
            </w:r>
          </w:p>
        </w:tc>
      </w:tr>
      <w:tr w:rsidR="00C5516F" w:rsidRPr="00A21682" w14:paraId="62692BE2" w14:textId="77777777" w:rsidTr="00EF19CA">
        <w:trPr>
          <w:cantSplit/>
        </w:trPr>
        <w:tc>
          <w:tcPr>
            <w:tcW w:w="2631" w:type="dxa"/>
            <w:shd w:val="clear" w:color="auto" w:fill="FFFFFF" w:themeFill="background1"/>
          </w:tcPr>
          <w:p w14:paraId="3ECD3D80" w14:textId="7EFE3ECE" w:rsidR="00C5516F" w:rsidRPr="00A21682" w:rsidRDefault="007A6D7F" w:rsidP="002B3BF9">
            <w:pPr>
              <w:pStyle w:val="TABLETEXT1"/>
              <w:rPr>
                <w:u w:color="000000"/>
                <w:lang w:val="en-US"/>
              </w:rPr>
            </w:pPr>
            <w:r>
              <w:rPr>
                <w:u w:color="000000"/>
                <w:lang w:val="en-US"/>
              </w:rPr>
              <w:t>Continuing Medicaid Eligibility Modernization SharePoint Project Administrator</w:t>
            </w:r>
          </w:p>
        </w:tc>
        <w:tc>
          <w:tcPr>
            <w:tcW w:w="3214" w:type="dxa"/>
          </w:tcPr>
          <w:p w14:paraId="62BD2619" w14:textId="77777777" w:rsidR="00C5516F" w:rsidRPr="00635C9B" w:rsidRDefault="00C5516F" w:rsidP="002339AD">
            <w:pPr>
              <w:pStyle w:val="TABLEBULLETNEW"/>
            </w:pPr>
            <w:r>
              <w:t>DOS Tool Administrator</w:t>
            </w:r>
          </w:p>
        </w:tc>
        <w:tc>
          <w:tcPr>
            <w:tcW w:w="3505" w:type="dxa"/>
          </w:tcPr>
          <w:p w14:paraId="0D6B7BAE" w14:textId="77777777" w:rsidR="00C5516F" w:rsidRPr="00635C9B" w:rsidRDefault="00C5516F" w:rsidP="002339AD">
            <w:pPr>
              <w:pStyle w:val="TABLEBULLETNEW"/>
            </w:pPr>
            <w:r>
              <w:t>Create/edit folder structure</w:t>
            </w:r>
          </w:p>
          <w:p w14:paraId="6F747995" w14:textId="77777777" w:rsidR="00C5516F" w:rsidRPr="00635C9B" w:rsidRDefault="00C5516F" w:rsidP="002339AD">
            <w:pPr>
              <w:pStyle w:val="TABLEBULLETNEW"/>
            </w:pPr>
            <w:r>
              <w:t>Manage configuration; user access; maintenance</w:t>
            </w:r>
          </w:p>
        </w:tc>
      </w:tr>
      <w:tr w:rsidR="00C5516F" w:rsidRPr="00A21682" w14:paraId="2A344D9A" w14:textId="77777777" w:rsidTr="00EF19CA">
        <w:trPr>
          <w:cantSplit/>
        </w:trPr>
        <w:tc>
          <w:tcPr>
            <w:tcW w:w="2631" w:type="dxa"/>
            <w:shd w:val="clear" w:color="auto" w:fill="FFFFFF" w:themeFill="background1"/>
          </w:tcPr>
          <w:p w14:paraId="77C56686" w14:textId="19B98C51" w:rsidR="00C5516F" w:rsidRPr="00A21682" w:rsidRDefault="007A6D7F" w:rsidP="002B3BF9">
            <w:pPr>
              <w:pStyle w:val="TABLETEXT1"/>
              <w:rPr>
                <w:u w:color="000000"/>
                <w:lang w:val="en-US"/>
              </w:rPr>
            </w:pPr>
            <w:r>
              <w:rPr>
                <w:u w:color="000000"/>
                <w:lang w:val="en-US"/>
              </w:rPr>
              <w:t>Continuing Medicaid Eligibility Modernization SharePoint Admin User</w:t>
            </w:r>
          </w:p>
        </w:tc>
        <w:tc>
          <w:tcPr>
            <w:tcW w:w="3214" w:type="dxa"/>
          </w:tcPr>
          <w:p w14:paraId="6AFB1252" w14:textId="77777777" w:rsidR="00C5516F" w:rsidRPr="00635C9B" w:rsidRDefault="00C5516F" w:rsidP="002339AD">
            <w:pPr>
              <w:pStyle w:val="TABLEBULLETNEW"/>
            </w:pPr>
            <w:r>
              <w:t xml:space="preserve">███████ Tool Administrator </w:t>
            </w:r>
          </w:p>
          <w:p w14:paraId="3CFAC681" w14:textId="77777777" w:rsidR="00C5516F" w:rsidRPr="00635C9B" w:rsidRDefault="00C5516F" w:rsidP="002339AD">
            <w:pPr>
              <w:pStyle w:val="TABLEBULLETNEW"/>
            </w:pPr>
            <w:r>
              <w:rPr>
                <w:highlight w:val="black"/>
              </w:rPr>
              <w:t>Deloitte</w:t>
            </w:r>
            <w:r>
              <w:t xml:space="preserve"> Business leads and managers</w:t>
            </w:r>
          </w:p>
          <w:p w14:paraId="7B9E204C" w14:textId="77777777" w:rsidR="00C5516F" w:rsidRPr="00635C9B" w:rsidRDefault="00C5516F" w:rsidP="002339AD">
            <w:pPr>
              <w:pStyle w:val="TABLEBULLETNEW"/>
            </w:pPr>
            <w:r>
              <w:rPr>
                <w:highlight w:val="black"/>
              </w:rPr>
              <w:t>Deloitte</w:t>
            </w:r>
            <w:r>
              <w:t xml:space="preserve"> Functional leads and managers</w:t>
            </w:r>
          </w:p>
          <w:p w14:paraId="7C49F0DA" w14:textId="77777777" w:rsidR="00C5516F" w:rsidRPr="00635C9B" w:rsidRDefault="00C5516F" w:rsidP="002339AD">
            <w:pPr>
              <w:pStyle w:val="TABLEBULLETNEW"/>
            </w:pPr>
            <w:r>
              <w:rPr>
                <w:highlight w:val="black"/>
              </w:rPr>
              <w:t>Deloitte</w:t>
            </w:r>
            <w:r>
              <w:t xml:space="preserve"> Technical leads and managers</w:t>
            </w:r>
          </w:p>
          <w:p w14:paraId="3BA9D51B" w14:textId="77777777" w:rsidR="00C5516F" w:rsidRPr="00635C9B" w:rsidRDefault="00C5516F" w:rsidP="002339AD">
            <w:pPr>
              <w:pStyle w:val="TABLEBULLETNEW"/>
            </w:pPr>
            <w:r>
              <w:rPr>
                <w:highlight w:val="black"/>
              </w:rPr>
              <w:t>Deloitte</w:t>
            </w:r>
            <w:r>
              <w:t xml:space="preserve"> PMO leads and managers</w:t>
            </w:r>
          </w:p>
        </w:tc>
        <w:tc>
          <w:tcPr>
            <w:tcW w:w="3505" w:type="dxa"/>
          </w:tcPr>
          <w:p w14:paraId="7D6134A9" w14:textId="77777777" w:rsidR="00C5516F" w:rsidRPr="00635C9B" w:rsidRDefault="00C5516F" w:rsidP="002339AD">
            <w:pPr>
              <w:pStyle w:val="TABLEBULLETNEW"/>
            </w:pPr>
            <w:r>
              <w:t>Upload, edit, move, delete files within defined folder structure</w:t>
            </w:r>
          </w:p>
          <w:p w14:paraId="152E3F05" w14:textId="77777777" w:rsidR="00C5516F" w:rsidRPr="00635C9B" w:rsidRDefault="00C5516F" w:rsidP="002339AD">
            <w:pPr>
              <w:pStyle w:val="TABLEBULLETNEW"/>
            </w:pPr>
            <w:r>
              <w:t>Download read-only files to local machine</w:t>
            </w:r>
          </w:p>
        </w:tc>
      </w:tr>
      <w:tr w:rsidR="00C5516F" w:rsidRPr="00A21682" w14:paraId="249C53A8" w14:textId="77777777" w:rsidTr="00EF19CA">
        <w:trPr>
          <w:cantSplit/>
        </w:trPr>
        <w:tc>
          <w:tcPr>
            <w:tcW w:w="2631" w:type="dxa"/>
            <w:shd w:val="clear" w:color="auto" w:fill="FFFFFF" w:themeFill="background1"/>
          </w:tcPr>
          <w:p w14:paraId="3391DBEC" w14:textId="4A932515" w:rsidR="00C5516F" w:rsidRPr="00A21682" w:rsidRDefault="007A6D7F" w:rsidP="002B3BF9">
            <w:pPr>
              <w:pStyle w:val="TABLETEXT1"/>
              <w:rPr>
                <w:u w:color="000000"/>
                <w:lang w:val="en-US"/>
              </w:rPr>
            </w:pPr>
            <w:r>
              <w:rPr>
                <w:u w:color="000000"/>
                <w:lang w:val="en-US"/>
              </w:rPr>
              <w:lastRenderedPageBreak/>
              <w:t>Continuing Medicaid Eligibility Modernization SharePoint Standard User</w:t>
            </w:r>
          </w:p>
        </w:tc>
        <w:tc>
          <w:tcPr>
            <w:tcW w:w="3214" w:type="dxa"/>
          </w:tcPr>
          <w:p w14:paraId="7DAEB171" w14:textId="77777777" w:rsidR="00C5516F" w:rsidRPr="00635C9B" w:rsidRDefault="00C5516F" w:rsidP="002339AD">
            <w:pPr>
              <w:pStyle w:val="TABLEBULLETNEW"/>
            </w:pPr>
            <w:r>
              <w:t>All Functional Stakeholders</w:t>
            </w:r>
          </w:p>
          <w:p w14:paraId="31DA2B8C" w14:textId="77777777" w:rsidR="00C5516F" w:rsidRPr="00635C9B" w:rsidRDefault="00C5516F" w:rsidP="002339AD">
            <w:pPr>
              <w:pStyle w:val="TABLEBULLETNEW"/>
            </w:pPr>
            <w:r>
              <w:t>All Business Stakeholders</w:t>
            </w:r>
          </w:p>
        </w:tc>
        <w:tc>
          <w:tcPr>
            <w:tcW w:w="3505" w:type="dxa"/>
          </w:tcPr>
          <w:p w14:paraId="19C55821" w14:textId="77777777" w:rsidR="00C5516F" w:rsidRPr="00635C9B" w:rsidRDefault="00C5516F" w:rsidP="002339AD">
            <w:pPr>
              <w:pStyle w:val="TABLEBULLETNEW"/>
            </w:pPr>
            <w:r>
              <w:t>Upload, edit files within defined folder structure</w:t>
            </w:r>
          </w:p>
          <w:p w14:paraId="42D29B4B" w14:textId="77777777" w:rsidR="00C5516F" w:rsidRPr="00635C9B" w:rsidRDefault="00C5516F" w:rsidP="002339AD">
            <w:pPr>
              <w:pStyle w:val="TABLEBULLETNEW"/>
            </w:pPr>
            <w:r>
              <w:t>Download read-only files to local machine</w:t>
            </w:r>
          </w:p>
        </w:tc>
      </w:tr>
    </w:tbl>
    <w:p w14:paraId="1C420B7B" w14:textId="5DED91BE" w:rsidR="00C5516F" w:rsidRPr="00A21682" w:rsidRDefault="00C5516F" w:rsidP="00CC44DD">
      <w:pPr>
        <w:pStyle w:val="Caption"/>
        <w:rPr>
          <w:noProof w:val="0"/>
        </w:rPr>
      </w:pPr>
      <w:bookmarkStart w:id="806" w:name="_Toc150951896"/>
      <w:bookmarkStart w:id="807" w:name="_Toc192875127"/>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42</w:t>
      </w:r>
      <w:r>
        <w:rPr>
          <w:noProof w:val="0"/>
        </w:rPr>
        <w:fldChar w:fldCharType="end"/>
      </w:r>
      <w:r>
        <w:rPr>
          <w:noProof w:val="0"/>
        </w:rPr>
        <w:t>: ALM Tool Roles and Permissions</w:t>
      </w:r>
      <w:bookmarkEnd w:id="806"/>
      <w:bookmarkEnd w:id="807"/>
    </w:p>
    <w:p w14:paraId="3DC95826" w14:textId="3BD19EB7" w:rsidR="00C5516F" w:rsidRPr="00A21682" w:rsidRDefault="00C5516F">
      <w:pPr>
        <w:pStyle w:val="Heading3"/>
        <w:rPr>
          <w:u w:color="000000"/>
        </w:rPr>
      </w:pPr>
      <w:bookmarkStart w:id="808" w:name="_Toc148102391"/>
      <w:bookmarkStart w:id="809" w:name="_Toc152605875"/>
      <w:bookmarkStart w:id="810" w:name="_Toc177119010"/>
      <w:bookmarkStart w:id="811" w:name="_Toc185952569"/>
      <w:bookmarkStart w:id="812" w:name="_Toc192874746"/>
      <w:r>
        <w:rPr>
          <w:u w:color="000000"/>
        </w:rPr>
        <w:t>ALM Tool Workflows</w:t>
      </w:r>
      <w:bookmarkEnd w:id="808"/>
      <w:bookmarkEnd w:id="809"/>
      <w:bookmarkEnd w:id="810"/>
      <w:bookmarkEnd w:id="811"/>
      <w:bookmarkEnd w:id="812"/>
    </w:p>
    <w:p w14:paraId="70478BE2" w14:textId="0B25FC3D" w:rsidR="00C5516F" w:rsidRPr="00A21682" w:rsidRDefault="00C5516F" w:rsidP="00F70B45">
      <w:pPr>
        <w:pStyle w:val="NormalNEW"/>
        <w:rPr>
          <w:u w:color="000000"/>
          <w:lang w:val="en-US"/>
        </w:rPr>
      </w:pPr>
      <w:r>
        <w:rPr>
          <w:u w:color="000000"/>
          <w:lang w:val="en-US"/>
        </w:rPr>
        <w:t>Workflow(s) does not apply.</w:t>
      </w:r>
    </w:p>
    <w:p w14:paraId="03CE5464" w14:textId="77777777" w:rsidR="00C5516F" w:rsidRPr="00A21682" w:rsidRDefault="00C5516F">
      <w:pPr>
        <w:pStyle w:val="Heading3"/>
        <w:rPr>
          <w:u w:color="000000"/>
        </w:rPr>
      </w:pPr>
      <w:bookmarkStart w:id="813" w:name="_Toc148102392"/>
      <w:bookmarkStart w:id="814" w:name="_Toc152605876"/>
      <w:bookmarkStart w:id="815" w:name="_Toc177119011"/>
      <w:bookmarkStart w:id="816" w:name="_Toc185952570"/>
      <w:bookmarkStart w:id="817" w:name="_Toc192874747"/>
      <w:r>
        <w:rPr>
          <w:u w:color="000000"/>
        </w:rPr>
        <w:t>Accessing ALM Tool</w:t>
      </w:r>
      <w:bookmarkEnd w:id="813"/>
      <w:bookmarkEnd w:id="814"/>
      <w:bookmarkEnd w:id="815"/>
      <w:bookmarkEnd w:id="816"/>
      <w:bookmarkEnd w:id="817"/>
    </w:p>
    <w:p w14:paraId="1D883A66" w14:textId="7C85401F" w:rsidR="00C5516F" w:rsidRPr="00A21682" w:rsidRDefault="00C5516F" w:rsidP="00905474">
      <w:pPr>
        <w:pStyle w:val="NormalNEW"/>
        <w:rPr>
          <w:u w:color="000000"/>
          <w:lang w:val="en-US"/>
        </w:rPr>
      </w:pPr>
      <w:r>
        <w:rPr>
          <w:u w:color="000000"/>
          <w:lang w:val="en-US"/>
        </w:rPr>
        <w:t>Below is a table of Continuing Medicaid Eligibility Modernization SharePoint libraries used for the MECM system. ███████ will update this table as additional sites are activated. User training content and tool walkthroughs will not apply for this ALM tool.</w:t>
      </w:r>
    </w:p>
    <w:tbl>
      <w:tblPr>
        <w:tblStyle w:val="TableGrid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065"/>
        <w:gridCol w:w="7285"/>
      </w:tblGrid>
      <w:tr w:rsidR="00C5516F" w:rsidRPr="00A21682" w14:paraId="4F54C077" w14:textId="77777777" w:rsidTr="00D14A42">
        <w:trPr>
          <w:trHeight w:val="296"/>
          <w:tblHeader/>
        </w:trPr>
        <w:tc>
          <w:tcPr>
            <w:tcW w:w="2065" w:type="dxa"/>
            <w:tcBorders>
              <w:right w:val="single" w:sz="2" w:space="0" w:color="FFFFFF" w:themeColor="background1"/>
            </w:tcBorders>
            <w:shd w:val="clear" w:color="auto" w:fill="000000"/>
          </w:tcPr>
          <w:p w14:paraId="0E352C21" w14:textId="77777777" w:rsidR="00C5516F" w:rsidRPr="00A21682" w:rsidRDefault="00C5516F" w:rsidP="00905474">
            <w:pPr>
              <w:pStyle w:val="TABLEHEADINGNEW"/>
            </w:pPr>
            <w:r>
              <w:t>SharePoint Link</w:t>
            </w:r>
          </w:p>
        </w:tc>
        <w:tc>
          <w:tcPr>
            <w:tcW w:w="7285" w:type="dxa"/>
            <w:tcBorders>
              <w:left w:val="single" w:sz="2" w:space="0" w:color="FFFFFF" w:themeColor="background1"/>
            </w:tcBorders>
            <w:shd w:val="clear" w:color="auto" w:fill="000000"/>
          </w:tcPr>
          <w:p w14:paraId="28EAB5FF" w14:textId="77777777" w:rsidR="00C5516F" w:rsidRPr="00A21682" w:rsidRDefault="00C5516F" w:rsidP="00905474">
            <w:pPr>
              <w:pStyle w:val="TABLEHEADINGNEW"/>
            </w:pPr>
            <w:r>
              <w:t>Purpose</w:t>
            </w:r>
          </w:p>
        </w:tc>
      </w:tr>
      <w:tr w:rsidR="00C5516F" w:rsidRPr="00A21682" w14:paraId="195F84F5" w14:textId="77777777" w:rsidTr="00905474">
        <w:tc>
          <w:tcPr>
            <w:tcW w:w="2065" w:type="dxa"/>
          </w:tcPr>
          <w:p w14:paraId="0168845A" w14:textId="17C8581F" w:rsidR="00C5516F" w:rsidRPr="00A21682" w:rsidRDefault="00834B48" w:rsidP="00905474">
            <w:pPr>
              <w:pStyle w:val="TABLETEXT1"/>
              <w:rPr>
                <w:color w:val="4472C4" w:themeColor="accent1"/>
                <w:lang w:val="en-US"/>
              </w:rPr>
            </w:pPr>
            <w:r>
              <w:rPr>
                <w:color w:val="4472C4" w:themeColor="accent1"/>
                <w:u w:val="single" w:color="003366"/>
                <w:lang w:val="en-US"/>
              </w:rPr>
              <w:t>PMO</w:t>
            </w:r>
          </w:p>
        </w:tc>
        <w:tc>
          <w:tcPr>
            <w:tcW w:w="7285" w:type="dxa"/>
          </w:tcPr>
          <w:p w14:paraId="21AA327C" w14:textId="7589F9E0" w:rsidR="00C5516F" w:rsidRPr="00A21682" w:rsidRDefault="00C5516F" w:rsidP="00905474">
            <w:pPr>
              <w:pStyle w:val="TABLETEXT1"/>
              <w:rPr>
                <w:lang w:val="en-US"/>
              </w:rPr>
            </w:pPr>
            <w:r>
              <w:rPr>
                <w:lang w:val="en-US"/>
              </w:rPr>
              <w:t>Repository of all project management documents related to PMO</w:t>
            </w:r>
          </w:p>
        </w:tc>
      </w:tr>
      <w:tr w:rsidR="00C5516F" w:rsidRPr="00A21682" w14:paraId="5D82B850" w14:textId="77777777" w:rsidTr="00905474">
        <w:tc>
          <w:tcPr>
            <w:tcW w:w="2065" w:type="dxa"/>
          </w:tcPr>
          <w:p w14:paraId="007C7C0B" w14:textId="41176D99" w:rsidR="00C5516F" w:rsidRPr="00A21682" w:rsidRDefault="00A422AD" w:rsidP="00905474">
            <w:pPr>
              <w:pStyle w:val="TABLETEXT1"/>
              <w:rPr>
                <w:color w:val="4472C4" w:themeColor="accent1"/>
                <w:lang w:val="en-US"/>
              </w:rPr>
            </w:pPr>
            <w:r>
              <w:rPr>
                <w:color w:val="4472C4" w:themeColor="accent1"/>
                <w:u w:val="single" w:color="003366"/>
                <w:lang w:val="en-US"/>
              </w:rPr>
              <w:t>Functional</w:t>
            </w:r>
          </w:p>
        </w:tc>
        <w:tc>
          <w:tcPr>
            <w:tcW w:w="7285" w:type="dxa"/>
          </w:tcPr>
          <w:p w14:paraId="42AF6356" w14:textId="78011926" w:rsidR="00C5516F" w:rsidRPr="00A21682" w:rsidRDefault="00C5516F" w:rsidP="00905474">
            <w:pPr>
              <w:pStyle w:val="TABLETEXT1"/>
              <w:rPr>
                <w:lang w:val="en-US"/>
              </w:rPr>
            </w:pPr>
            <w:r>
              <w:rPr>
                <w:lang w:val="en-US"/>
              </w:rPr>
              <w:t>Repository of all design documents related to the Functional track</w:t>
            </w:r>
          </w:p>
        </w:tc>
      </w:tr>
      <w:tr w:rsidR="00C5516F" w:rsidRPr="00A21682" w14:paraId="494A59C2" w14:textId="77777777" w:rsidTr="00905474">
        <w:tc>
          <w:tcPr>
            <w:tcW w:w="2065" w:type="dxa"/>
          </w:tcPr>
          <w:p w14:paraId="7AE5CF7E" w14:textId="7FDD2867" w:rsidR="00C5516F" w:rsidRPr="00A21682" w:rsidRDefault="00D86313" w:rsidP="00905474">
            <w:pPr>
              <w:pStyle w:val="TABLETEXT1"/>
              <w:rPr>
                <w:color w:val="4472C4" w:themeColor="accent1"/>
                <w:lang w:val="en-US"/>
              </w:rPr>
            </w:pPr>
            <w:r>
              <w:rPr>
                <w:color w:val="4472C4" w:themeColor="accent1"/>
                <w:u w:val="single" w:color="003366"/>
                <w:lang w:val="en-US"/>
              </w:rPr>
              <w:t>Technology</w:t>
            </w:r>
          </w:p>
        </w:tc>
        <w:tc>
          <w:tcPr>
            <w:tcW w:w="7285" w:type="dxa"/>
          </w:tcPr>
          <w:p w14:paraId="5D560D55" w14:textId="75785056" w:rsidR="00C5516F" w:rsidRPr="00A21682" w:rsidRDefault="00C5516F" w:rsidP="00905474">
            <w:pPr>
              <w:pStyle w:val="TABLETEXT1"/>
              <w:rPr>
                <w:lang w:val="en-US"/>
              </w:rPr>
            </w:pPr>
            <w:r>
              <w:rPr>
                <w:lang w:val="en-US"/>
              </w:rPr>
              <w:t xml:space="preserve">Repository of all documents related to the Technology track </w:t>
            </w:r>
          </w:p>
        </w:tc>
      </w:tr>
      <w:tr w:rsidR="00576E7A" w:rsidRPr="00A21682" w14:paraId="16A211A3" w14:textId="77777777" w:rsidTr="00905474">
        <w:tc>
          <w:tcPr>
            <w:tcW w:w="2065" w:type="dxa"/>
          </w:tcPr>
          <w:p w14:paraId="31C8525D" w14:textId="31615206" w:rsidR="00576E7A" w:rsidRPr="00A21682" w:rsidRDefault="00576E7A" w:rsidP="00905474">
            <w:pPr>
              <w:pStyle w:val="TABLETEXT1"/>
              <w:rPr>
                <w:color w:val="4472C4" w:themeColor="accent1"/>
                <w:lang w:val="en-US"/>
              </w:rPr>
            </w:pPr>
            <w:r>
              <w:rPr>
                <w:color w:val="4472C4" w:themeColor="accent1"/>
                <w:lang w:val="en-US"/>
              </w:rPr>
              <w:t>Quality Assurance</w:t>
            </w:r>
          </w:p>
        </w:tc>
        <w:tc>
          <w:tcPr>
            <w:tcW w:w="7285" w:type="dxa"/>
          </w:tcPr>
          <w:p w14:paraId="6D0C944C" w14:textId="748E6D75" w:rsidR="00576E7A" w:rsidRPr="00A21682" w:rsidRDefault="00576E7A" w:rsidP="00905474">
            <w:pPr>
              <w:pStyle w:val="TABLETEXT1"/>
              <w:rPr>
                <w:lang w:val="en-US"/>
              </w:rPr>
            </w:pPr>
            <w:r>
              <w:rPr>
                <w:lang w:val="en-US"/>
              </w:rPr>
              <w:t>Repository of all test documents related to the Testing track</w:t>
            </w:r>
          </w:p>
        </w:tc>
      </w:tr>
      <w:tr w:rsidR="00576E7A" w:rsidRPr="00A21682" w14:paraId="167B0BA2" w14:textId="77777777" w:rsidTr="00905474">
        <w:tc>
          <w:tcPr>
            <w:tcW w:w="2065" w:type="dxa"/>
          </w:tcPr>
          <w:p w14:paraId="24EC3089" w14:textId="474BCA4E" w:rsidR="00576E7A" w:rsidRPr="00A21682" w:rsidRDefault="002810C4" w:rsidP="00905474">
            <w:pPr>
              <w:pStyle w:val="TABLETEXT1"/>
              <w:rPr>
                <w:color w:val="4472C4" w:themeColor="accent1"/>
                <w:lang w:val="en-US"/>
              </w:rPr>
            </w:pPr>
            <w:r>
              <w:rPr>
                <w:color w:val="4472C4" w:themeColor="accent1"/>
                <w:lang w:val="en-US"/>
              </w:rPr>
              <w:t>Change Management</w:t>
            </w:r>
          </w:p>
        </w:tc>
        <w:tc>
          <w:tcPr>
            <w:tcW w:w="7285" w:type="dxa"/>
          </w:tcPr>
          <w:p w14:paraId="140ECA7E" w14:textId="690E8B0E" w:rsidR="00576E7A" w:rsidRPr="00A21682" w:rsidRDefault="002810C4" w:rsidP="00905474">
            <w:pPr>
              <w:pStyle w:val="TABLETEXT1"/>
              <w:rPr>
                <w:lang w:val="en-US"/>
              </w:rPr>
            </w:pPr>
            <w:r>
              <w:rPr>
                <w:lang w:val="en-US"/>
              </w:rPr>
              <w:t>Repository of all documents related to the Change Management track</w:t>
            </w:r>
          </w:p>
        </w:tc>
      </w:tr>
      <w:tr w:rsidR="003945DC" w:rsidRPr="00A21682" w14:paraId="77206430" w14:textId="77777777" w:rsidTr="00905474">
        <w:tc>
          <w:tcPr>
            <w:tcW w:w="2065" w:type="dxa"/>
          </w:tcPr>
          <w:p w14:paraId="072E7A61" w14:textId="3E33F3F7" w:rsidR="003945DC" w:rsidRPr="00A21682" w:rsidRDefault="003945DC" w:rsidP="00905474">
            <w:pPr>
              <w:pStyle w:val="TABLETEXT1"/>
              <w:rPr>
                <w:color w:val="4472C4" w:themeColor="accent1"/>
                <w:lang w:val="en-US"/>
              </w:rPr>
            </w:pPr>
            <w:r>
              <w:rPr>
                <w:color w:val="4472C4" w:themeColor="accent1"/>
                <w:lang w:val="en-US"/>
              </w:rPr>
              <w:t>3</w:t>
            </w:r>
            <w:r>
              <w:rPr>
                <w:color w:val="4472C4" w:themeColor="accent1"/>
                <w:vertAlign w:val="superscript"/>
                <w:lang w:val="en-US"/>
              </w:rPr>
              <w:t>rd</w:t>
            </w:r>
            <w:r>
              <w:rPr>
                <w:color w:val="4472C4" w:themeColor="accent1"/>
                <w:lang w:val="en-US"/>
              </w:rPr>
              <w:t xml:space="preserve"> Party Vendor</w:t>
            </w:r>
          </w:p>
        </w:tc>
        <w:tc>
          <w:tcPr>
            <w:tcW w:w="7285" w:type="dxa"/>
          </w:tcPr>
          <w:p w14:paraId="1D19856D" w14:textId="56289AEA" w:rsidR="003945DC" w:rsidRPr="00A21682" w:rsidRDefault="003945DC" w:rsidP="00905474">
            <w:pPr>
              <w:pStyle w:val="TABLETEXT1"/>
              <w:rPr>
                <w:lang w:val="en-US"/>
              </w:rPr>
            </w:pPr>
            <w:r>
              <w:rPr>
                <w:lang w:val="en-US"/>
              </w:rPr>
              <w:t>Repository of all documents related to 3</w:t>
            </w:r>
            <w:r>
              <w:rPr>
                <w:vertAlign w:val="superscript"/>
                <w:lang w:val="en-US"/>
              </w:rPr>
              <w:t>rd</w:t>
            </w:r>
            <w:r>
              <w:rPr>
                <w:lang w:val="en-US"/>
              </w:rPr>
              <w:t xml:space="preserve"> party vendors</w:t>
            </w:r>
          </w:p>
        </w:tc>
      </w:tr>
      <w:tr w:rsidR="000F7B72" w:rsidRPr="00A21682" w14:paraId="42DB5589" w14:textId="77777777" w:rsidTr="00905474">
        <w:tc>
          <w:tcPr>
            <w:tcW w:w="2065" w:type="dxa"/>
          </w:tcPr>
          <w:p w14:paraId="34E8879C" w14:textId="614A4631" w:rsidR="000F7B72" w:rsidRPr="00A21682" w:rsidRDefault="000F7B72" w:rsidP="00905474">
            <w:pPr>
              <w:pStyle w:val="TABLETEXT1"/>
              <w:rPr>
                <w:color w:val="4472C4" w:themeColor="accent1"/>
                <w:lang w:val="en-US"/>
              </w:rPr>
            </w:pPr>
            <w:r>
              <w:rPr>
                <w:color w:val="4472C4" w:themeColor="accent1"/>
                <w:lang w:val="en-US"/>
              </w:rPr>
              <w:t>Appeals Solution</w:t>
            </w:r>
          </w:p>
        </w:tc>
        <w:tc>
          <w:tcPr>
            <w:tcW w:w="7285" w:type="dxa"/>
          </w:tcPr>
          <w:p w14:paraId="57A728F6" w14:textId="301AA711" w:rsidR="000F7B72" w:rsidRPr="00A21682" w:rsidRDefault="000F7B72" w:rsidP="00905474">
            <w:pPr>
              <w:pStyle w:val="TABLETEXT1"/>
              <w:rPr>
                <w:lang w:val="en-US"/>
              </w:rPr>
            </w:pPr>
            <w:r>
              <w:rPr>
                <w:lang w:val="en-US"/>
              </w:rPr>
              <w:t>Repository of all documents related to the Appeals solution</w:t>
            </w:r>
          </w:p>
        </w:tc>
      </w:tr>
    </w:tbl>
    <w:p w14:paraId="44624630" w14:textId="66541753" w:rsidR="00C5516F" w:rsidRPr="00A21682" w:rsidRDefault="00C5516F" w:rsidP="00CC44DD">
      <w:pPr>
        <w:pStyle w:val="Caption"/>
        <w:rPr>
          <w:noProof w:val="0"/>
        </w:rPr>
      </w:pPr>
      <w:bookmarkStart w:id="818" w:name="_Toc150951897"/>
      <w:bookmarkStart w:id="819" w:name="_Toc192875128"/>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43</w:t>
      </w:r>
      <w:r>
        <w:rPr>
          <w:noProof w:val="0"/>
        </w:rPr>
        <w:fldChar w:fldCharType="end"/>
      </w:r>
      <w:r>
        <w:rPr>
          <w:noProof w:val="0"/>
        </w:rPr>
        <w:t xml:space="preserve">: </w:t>
      </w:r>
      <w:r>
        <w:t xml:space="preserve">Continuing Medicaid Eligibility Modernization </w:t>
      </w:r>
      <w:r>
        <w:rPr>
          <w:noProof w:val="0"/>
        </w:rPr>
        <w:t>SharePoint Links</w:t>
      </w:r>
      <w:bookmarkEnd w:id="818"/>
      <w:r>
        <w:rPr>
          <w:noProof w:val="0"/>
        </w:rPr>
        <w:t xml:space="preserve"> for MECM System</w:t>
      </w:r>
      <w:bookmarkEnd w:id="819"/>
    </w:p>
    <w:p w14:paraId="092B69B2" w14:textId="77777777" w:rsidR="00C5516F" w:rsidRPr="00A21682" w:rsidRDefault="00C5516F" w:rsidP="00741BE0">
      <w:pPr>
        <w:pStyle w:val="NormalNEW"/>
        <w:rPr>
          <w:rFonts w:cs="Arial"/>
          <w:u w:color="000000"/>
          <w:lang w:val="en-US"/>
        </w:rPr>
      </w:pPr>
      <w:r>
        <w:rPr>
          <w:u w:color="000000"/>
          <w:lang w:val="en-US"/>
        </w:rPr>
        <w:t xml:space="preserve">The table below outlines the steps for accessing the SharePoint site(s). </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900"/>
        <w:gridCol w:w="6930"/>
        <w:gridCol w:w="1530"/>
      </w:tblGrid>
      <w:tr w:rsidR="005133E7" w:rsidRPr="00A21682" w14:paraId="2C4EE5EA" w14:textId="77777777" w:rsidTr="00C968EF">
        <w:trPr>
          <w:trHeight w:val="20"/>
        </w:trPr>
        <w:tc>
          <w:tcPr>
            <w:tcW w:w="900" w:type="dxa"/>
            <w:tcBorders>
              <w:right w:val="single" w:sz="2" w:space="0" w:color="FFFFFF" w:themeColor="background1"/>
            </w:tcBorders>
            <w:shd w:val="clear" w:color="auto" w:fill="000000"/>
          </w:tcPr>
          <w:p w14:paraId="6182855D" w14:textId="77777777" w:rsidR="00C5516F" w:rsidRPr="00A21682" w:rsidRDefault="00C5516F" w:rsidP="00905474">
            <w:pPr>
              <w:pStyle w:val="TABLEHEADINGNEW"/>
            </w:pPr>
            <w:r>
              <w:t>#</w:t>
            </w:r>
          </w:p>
        </w:tc>
        <w:tc>
          <w:tcPr>
            <w:tcW w:w="6930" w:type="dxa"/>
            <w:tcBorders>
              <w:left w:val="single" w:sz="2" w:space="0" w:color="FFFFFF" w:themeColor="background1"/>
              <w:right w:val="single" w:sz="2" w:space="0" w:color="FFFFFF" w:themeColor="background1"/>
            </w:tcBorders>
            <w:shd w:val="clear" w:color="auto" w:fill="000000"/>
          </w:tcPr>
          <w:p w14:paraId="6743275C" w14:textId="77777777" w:rsidR="00C5516F" w:rsidRPr="00A21682" w:rsidRDefault="00C5516F" w:rsidP="00905474">
            <w:pPr>
              <w:pStyle w:val="TABLEHEADINGNEW"/>
            </w:pPr>
            <w:r>
              <w:t>Access Step</w:t>
            </w:r>
          </w:p>
        </w:tc>
        <w:tc>
          <w:tcPr>
            <w:tcW w:w="1530" w:type="dxa"/>
            <w:tcBorders>
              <w:left w:val="single" w:sz="2" w:space="0" w:color="FFFFFF" w:themeColor="background1"/>
            </w:tcBorders>
            <w:shd w:val="clear" w:color="auto" w:fill="000000"/>
          </w:tcPr>
          <w:p w14:paraId="1649E7D0" w14:textId="77777777" w:rsidR="00C5516F" w:rsidRPr="00A21682" w:rsidRDefault="00C5516F" w:rsidP="00905474">
            <w:pPr>
              <w:pStyle w:val="TABLEHEADINGNEW"/>
            </w:pPr>
            <w:r>
              <w:t>Owner</w:t>
            </w:r>
          </w:p>
        </w:tc>
      </w:tr>
      <w:tr w:rsidR="00B65956" w:rsidRPr="00A21682" w14:paraId="57EA3C21" w14:textId="77777777" w:rsidTr="00047C4E">
        <w:trPr>
          <w:trHeight w:val="20"/>
        </w:trPr>
        <w:tc>
          <w:tcPr>
            <w:tcW w:w="900" w:type="dxa"/>
          </w:tcPr>
          <w:p w14:paraId="69D70331" w14:textId="48EED9C3" w:rsidR="00C5516F" w:rsidRPr="00A21682" w:rsidRDefault="00905474" w:rsidP="00047C4E">
            <w:pPr>
              <w:pStyle w:val="TABLETEXT1"/>
              <w:rPr>
                <w:lang w:val="en-US"/>
              </w:rPr>
            </w:pPr>
            <w:r>
              <w:rPr>
                <w:lang w:val="en-US"/>
              </w:rPr>
              <w:t>1</w:t>
            </w:r>
          </w:p>
        </w:tc>
        <w:tc>
          <w:tcPr>
            <w:tcW w:w="6930" w:type="dxa"/>
          </w:tcPr>
          <w:p w14:paraId="78A2700D" w14:textId="4FA8B75A" w:rsidR="00C5516F" w:rsidRPr="00A21682" w:rsidRDefault="00C5516F" w:rsidP="00905474">
            <w:pPr>
              <w:pStyle w:val="TABLETEXT1"/>
              <w:rPr>
                <w:lang w:val="en-US"/>
              </w:rPr>
            </w:pPr>
            <w:r>
              <w:rPr>
                <w:lang w:val="en-US"/>
              </w:rPr>
              <w:t xml:space="preserve">Request access to </w:t>
            </w:r>
            <w:r>
              <w:rPr>
                <w:u w:color="000000"/>
                <w:lang w:val="en-US"/>
              </w:rPr>
              <w:t xml:space="preserve">Continuing Medicaid Eligibility Modernization </w:t>
            </w:r>
            <w:r>
              <w:rPr>
                <w:lang w:val="en-US"/>
              </w:rPr>
              <w:t>SharePoint</w:t>
            </w:r>
          </w:p>
        </w:tc>
        <w:tc>
          <w:tcPr>
            <w:tcW w:w="1530" w:type="dxa"/>
          </w:tcPr>
          <w:p w14:paraId="0AB1893A" w14:textId="77777777" w:rsidR="00C5516F" w:rsidRPr="00A21682" w:rsidRDefault="00C5516F" w:rsidP="00905474">
            <w:pPr>
              <w:pStyle w:val="TABLETEXT1"/>
              <w:rPr>
                <w:lang w:val="en-US"/>
              </w:rPr>
            </w:pPr>
            <w:r>
              <w:rPr>
                <w:lang w:val="en-US"/>
              </w:rPr>
              <w:t>Requestor</w:t>
            </w:r>
          </w:p>
        </w:tc>
      </w:tr>
      <w:tr w:rsidR="00B65956" w:rsidRPr="00A21682" w14:paraId="20883182" w14:textId="77777777" w:rsidTr="00047C4E">
        <w:trPr>
          <w:trHeight w:val="20"/>
        </w:trPr>
        <w:tc>
          <w:tcPr>
            <w:tcW w:w="900" w:type="dxa"/>
          </w:tcPr>
          <w:p w14:paraId="50119175" w14:textId="0E24E236" w:rsidR="00C5516F" w:rsidRPr="00A21682" w:rsidRDefault="00905474" w:rsidP="00047C4E">
            <w:pPr>
              <w:pStyle w:val="TABLETEXT1"/>
              <w:rPr>
                <w:lang w:val="en-US"/>
              </w:rPr>
            </w:pPr>
            <w:r>
              <w:rPr>
                <w:lang w:val="en-US"/>
              </w:rPr>
              <w:t>2</w:t>
            </w:r>
          </w:p>
        </w:tc>
        <w:tc>
          <w:tcPr>
            <w:tcW w:w="6930" w:type="dxa"/>
          </w:tcPr>
          <w:p w14:paraId="4D061CAE" w14:textId="77777777" w:rsidR="00C5516F" w:rsidRPr="00A21682" w:rsidRDefault="00C5516F" w:rsidP="00905474">
            <w:pPr>
              <w:pStyle w:val="TABLETEXT1"/>
              <w:rPr>
                <w:lang w:val="en-US"/>
              </w:rPr>
            </w:pPr>
            <w:r>
              <w:rPr>
                <w:lang w:val="en-US"/>
              </w:rPr>
              <w:t>Admin Approves Request</w:t>
            </w:r>
          </w:p>
        </w:tc>
        <w:tc>
          <w:tcPr>
            <w:tcW w:w="1530" w:type="dxa"/>
          </w:tcPr>
          <w:p w14:paraId="7E871D9E" w14:textId="77777777" w:rsidR="00C5516F" w:rsidRPr="00A21682" w:rsidRDefault="00C5516F" w:rsidP="00905474">
            <w:pPr>
              <w:pStyle w:val="TABLETEXT1"/>
              <w:rPr>
                <w:lang w:val="en-US"/>
              </w:rPr>
            </w:pPr>
            <w:r>
              <w:rPr>
                <w:lang w:val="en-US"/>
              </w:rPr>
              <w:t>System Admin</w:t>
            </w:r>
          </w:p>
        </w:tc>
      </w:tr>
      <w:tr w:rsidR="00B65956" w:rsidRPr="00A21682" w14:paraId="4E53F389" w14:textId="77777777" w:rsidTr="00047C4E">
        <w:trPr>
          <w:trHeight w:val="20"/>
        </w:trPr>
        <w:tc>
          <w:tcPr>
            <w:tcW w:w="900" w:type="dxa"/>
          </w:tcPr>
          <w:p w14:paraId="23E00C7D" w14:textId="3806F953" w:rsidR="00C5516F" w:rsidRPr="00A21682" w:rsidRDefault="00905474" w:rsidP="00047C4E">
            <w:pPr>
              <w:pStyle w:val="TABLETEXT1"/>
              <w:rPr>
                <w:lang w:val="en-US"/>
              </w:rPr>
            </w:pPr>
            <w:r>
              <w:rPr>
                <w:lang w:val="en-US"/>
              </w:rPr>
              <w:t>3</w:t>
            </w:r>
          </w:p>
        </w:tc>
        <w:tc>
          <w:tcPr>
            <w:tcW w:w="6930" w:type="dxa"/>
          </w:tcPr>
          <w:p w14:paraId="654BDD17" w14:textId="77777777" w:rsidR="00C5516F" w:rsidRPr="00A21682" w:rsidRDefault="00C5516F" w:rsidP="00905474">
            <w:pPr>
              <w:pStyle w:val="TABLETEXT1"/>
              <w:rPr>
                <w:lang w:val="en-US"/>
              </w:rPr>
            </w:pPr>
            <w:r>
              <w:rPr>
                <w:lang w:val="en-US"/>
              </w:rPr>
              <w:t>Once approved, gain access to SharePoint (user’s specific account)</w:t>
            </w:r>
          </w:p>
        </w:tc>
        <w:tc>
          <w:tcPr>
            <w:tcW w:w="1530" w:type="dxa"/>
          </w:tcPr>
          <w:p w14:paraId="2A6DB8B6" w14:textId="77777777" w:rsidR="00C5516F" w:rsidRPr="00A21682" w:rsidRDefault="00C5516F" w:rsidP="00905474">
            <w:pPr>
              <w:pStyle w:val="TABLETEXT1"/>
              <w:rPr>
                <w:lang w:val="en-US"/>
              </w:rPr>
            </w:pPr>
            <w:r>
              <w:rPr>
                <w:lang w:val="en-US"/>
              </w:rPr>
              <w:t>User</w:t>
            </w:r>
          </w:p>
        </w:tc>
      </w:tr>
    </w:tbl>
    <w:p w14:paraId="05B2AB4F" w14:textId="1AADED58" w:rsidR="00C5516F" w:rsidRPr="00A21682" w:rsidRDefault="00C5516F" w:rsidP="00CC44DD">
      <w:pPr>
        <w:pStyle w:val="Caption"/>
        <w:rPr>
          <w:noProof w:val="0"/>
        </w:rPr>
      </w:pPr>
      <w:bookmarkStart w:id="820" w:name="_Toc150951898"/>
      <w:bookmarkStart w:id="821" w:name="_Toc192875129"/>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44</w:t>
      </w:r>
      <w:r>
        <w:rPr>
          <w:noProof w:val="0"/>
        </w:rPr>
        <w:fldChar w:fldCharType="end"/>
      </w:r>
      <w:r>
        <w:rPr>
          <w:noProof w:val="0"/>
        </w:rPr>
        <w:t>: SharePoint Access</w:t>
      </w:r>
      <w:bookmarkEnd w:id="820"/>
      <w:bookmarkEnd w:id="821"/>
    </w:p>
    <w:p w14:paraId="3262B5B0" w14:textId="7BDBC89F" w:rsidR="00C5516F" w:rsidRPr="00A21682" w:rsidRDefault="00C5516F" w:rsidP="00741BE0">
      <w:pPr>
        <w:pStyle w:val="NormalNEW"/>
        <w:rPr>
          <w:u w:color="000000"/>
          <w:lang w:val="en-US"/>
        </w:rPr>
      </w:pPr>
      <w:r>
        <w:rPr>
          <w:u w:color="000000"/>
          <w:lang w:val="en-US"/>
        </w:rPr>
        <w:t xml:space="preserve">For troubleshooting login or access issues, reach out to </w:t>
      </w:r>
      <w:r>
        <w:rPr>
          <w:rFonts w:cs="Arial"/>
          <w:color w:val="0000FF"/>
          <w:u w:val="single" w:color="003366"/>
          <w:lang w:val="en-US"/>
        </w:rPr>
        <w:t>the DOH OHIP SharePoint administrator</w:t>
      </w:r>
      <w:r>
        <w:rPr>
          <w:rFonts w:cs="Arial"/>
          <w:u w:color="000000"/>
          <w:lang w:val="en-US"/>
        </w:rPr>
        <w:t>.</w:t>
      </w:r>
      <w:r>
        <w:rPr>
          <w:u w:color="000000"/>
          <w:lang w:val="en-US"/>
        </w:rPr>
        <w:t xml:space="preserve"> </w:t>
      </w:r>
    </w:p>
    <w:p w14:paraId="0FE0FF6D" w14:textId="77777777" w:rsidR="00C5516F" w:rsidRPr="00A21682" w:rsidRDefault="00C5516F">
      <w:pPr>
        <w:pStyle w:val="Heading2"/>
        <w:rPr>
          <w:u w:color="000000"/>
        </w:rPr>
      </w:pPr>
      <w:bookmarkStart w:id="822" w:name="_Toc148102393"/>
      <w:bookmarkStart w:id="823" w:name="_Toc152605877"/>
      <w:bookmarkStart w:id="824" w:name="_Toc177119012"/>
      <w:bookmarkStart w:id="825" w:name="_Toc185952571"/>
      <w:bookmarkStart w:id="826" w:name="_Toc192874748"/>
      <w:r>
        <w:rPr>
          <w:u w:color="000000"/>
        </w:rPr>
        <w:t>Figma Organization</w:t>
      </w:r>
      <w:bookmarkEnd w:id="822"/>
      <w:bookmarkEnd w:id="823"/>
      <w:bookmarkEnd w:id="824"/>
      <w:bookmarkEnd w:id="825"/>
      <w:bookmarkEnd w:id="826"/>
    </w:p>
    <w:p w14:paraId="45B3ADF2" w14:textId="77777777" w:rsidR="00C5516F" w:rsidRPr="00A21682" w:rsidRDefault="00C5516F" w:rsidP="00741BE0">
      <w:pPr>
        <w:pStyle w:val="NormalNEW"/>
        <w:rPr>
          <w:u w:color="000000"/>
          <w:lang w:val="en-US"/>
        </w:rPr>
      </w:pPr>
      <w:r>
        <w:rPr>
          <w:u w:color="000000"/>
          <w:lang w:val="en-US"/>
        </w:rPr>
        <w:t>Figma Organization is a collaborative design platform that enables design teams to work together seamlessly, providing a unified environment for creating, sharing, and iterating on digital designs. It offers features like version control, design libraries, and user permissions to streamline the design process within an organization.</w:t>
      </w:r>
    </w:p>
    <w:p w14:paraId="19250358" w14:textId="77777777" w:rsidR="00C5516F" w:rsidRPr="00A21682" w:rsidRDefault="00C5516F">
      <w:pPr>
        <w:pStyle w:val="Heading3"/>
        <w:rPr>
          <w:u w:color="000000"/>
        </w:rPr>
      </w:pPr>
      <w:bookmarkStart w:id="827" w:name="_Toc148102394"/>
      <w:bookmarkStart w:id="828" w:name="_Toc152605878"/>
      <w:bookmarkStart w:id="829" w:name="_Toc177119013"/>
      <w:bookmarkStart w:id="830" w:name="_Toc185952572"/>
      <w:bookmarkStart w:id="831" w:name="_Toc192874749"/>
      <w:r>
        <w:rPr>
          <w:u w:color="000000"/>
        </w:rPr>
        <w:t>ALM Tool Roles and Permissions</w:t>
      </w:r>
      <w:bookmarkEnd w:id="827"/>
      <w:bookmarkEnd w:id="828"/>
      <w:bookmarkEnd w:id="829"/>
      <w:bookmarkEnd w:id="830"/>
      <w:bookmarkEnd w:id="831"/>
    </w:p>
    <w:tbl>
      <w:tblPr>
        <w:tblW w:w="93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631"/>
        <w:gridCol w:w="3214"/>
        <w:gridCol w:w="3505"/>
      </w:tblGrid>
      <w:tr w:rsidR="00C5516F" w:rsidRPr="00A21682" w14:paraId="30F6BF42" w14:textId="77777777" w:rsidTr="00C968EF">
        <w:trPr>
          <w:cantSplit/>
          <w:tblHeader/>
        </w:trPr>
        <w:tc>
          <w:tcPr>
            <w:tcW w:w="2631" w:type="dxa"/>
            <w:tcBorders>
              <w:right w:val="single" w:sz="2" w:space="0" w:color="FFFFFF" w:themeColor="background1"/>
            </w:tcBorders>
            <w:shd w:val="clear" w:color="auto" w:fill="000000"/>
          </w:tcPr>
          <w:p w14:paraId="3BFE060F" w14:textId="77777777" w:rsidR="00C5516F" w:rsidRPr="00A21682" w:rsidRDefault="00C5516F" w:rsidP="00FF5CB1">
            <w:pPr>
              <w:pStyle w:val="TABLEHEADINGNEW"/>
            </w:pPr>
            <w:r>
              <w:t>Tool Role</w:t>
            </w:r>
          </w:p>
        </w:tc>
        <w:tc>
          <w:tcPr>
            <w:tcW w:w="3214" w:type="dxa"/>
            <w:tcBorders>
              <w:left w:val="single" w:sz="2" w:space="0" w:color="FFFFFF" w:themeColor="background1"/>
              <w:right w:val="single" w:sz="2" w:space="0" w:color="FFFFFF" w:themeColor="background1"/>
            </w:tcBorders>
            <w:shd w:val="clear" w:color="auto" w:fill="000000"/>
          </w:tcPr>
          <w:p w14:paraId="1B3B450B" w14:textId="77777777" w:rsidR="00C5516F" w:rsidRPr="00A21682" w:rsidRDefault="00C5516F" w:rsidP="00FF5CB1">
            <w:pPr>
              <w:pStyle w:val="TABLEHEADINGNEW"/>
            </w:pPr>
            <w:r>
              <w:t>Project RACI Role</w:t>
            </w:r>
          </w:p>
        </w:tc>
        <w:tc>
          <w:tcPr>
            <w:tcW w:w="3505" w:type="dxa"/>
            <w:tcBorders>
              <w:left w:val="single" w:sz="2" w:space="0" w:color="FFFFFF" w:themeColor="background1"/>
            </w:tcBorders>
            <w:shd w:val="clear" w:color="auto" w:fill="000000"/>
          </w:tcPr>
          <w:p w14:paraId="4BD4776F" w14:textId="77777777" w:rsidR="00C5516F" w:rsidRPr="00A21682" w:rsidRDefault="00C5516F" w:rsidP="00FF5CB1">
            <w:pPr>
              <w:pStyle w:val="TABLEHEADINGNEW"/>
            </w:pPr>
            <w:r>
              <w:t>Key Permissions in Figma</w:t>
            </w:r>
          </w:p>
        </w:tc>
      </w:tr>
      <w:tr w:rsidR="00C5516F" w:rsidRPr="00A21682" w14:paraId="138C99D7" w14:textId="77777777" w:rsidTr="00FF2075">
        <w:trPr>
          <w:cantSplit/>
        </w:trPr>
        <w:tc>
          <w:tcPr>
            <w:tcW w:w="2631" w:type="dxa"/>
            <w:shd w:val="clear" w:color="auto" w:fill="FFFFFF" w:themeFill="background1"/>
            <w:vAlign w:val="center"/>
          </w:tcPr>
          <w:p w14:paraId="051409F7" w14:textId="77777777" w:rsidR="00C5516F" w:rsidRPr="00A21682" w:rsidRDefault="00C5516F" w:rsidP="00FF5CB1">
            <w:pPr>
              <w:pStyle w:val="TABLETEXT1"/>
              <w:rPr>
                <w:lang w:val="en-US"/>
              </w:rPr>
            </w:pPr>
            <w:r>
              <w:rPr>
                <w:lang w:val="en-US"/>
              </w:rPr>
              <w:t>Administrator</w:t>
            </w:r>
          </w:p>
        </w:tc>
        <w:tc>
          <w:tcPr>
            <w:tcW w:w="3214" w:type="dxa"/>
            <w:vAlign w:val="center"/>
          </w:tcPr>
          <w:p w14:paraId="6CCF0B0A" w14:textId="77777777" w:rsidR="00C5516F" w:rsidRPr="002D3E0E" w:rsidRDefault="00C5516F" w:rsidP="002D3E0E">
            <w:pPr>
              <w:pStyle w:val="TABLEBULLETNEW"/>
            </w:pPr>
            <w:r>
              <w:t>███████ Tool Administrator</w:t>
            </w:r>
          </w:p>
        </w:tc>
        <w:tc>
          <w:tcPr>
            <w:tcW w:w="3505" w:type="dxa"/>
            <w:vAlign w:val="center"/>
          </w:tcPr>
          <w:p w14:paraId="5DE77551" w14:textId="77777777" w:rsidR="00C5516F" w:rsidRPr="002D3E0E" w:rsidRDefault="00C5516F" w:rsidP="002D3E0E">
            <w:pPr>
              <w:pStyle w:val="TABLEBULLETNEW"/>
            </w:pPr>
            <w:r>
              <w:t>Grant access</w:t>
            </w:r>
          </w:p>
        </w:tc>
      </w:tr>
      <w:tr w:rsidR="00C5516F" w:rsidRPr="00A21682" w14:paraId="6E8A5800" w14:textId="77777777" w:rsidTr="00FF2075">
        <w:trPr>
          <w:cantSplit/>
        </w:trPr>
        <w:tc>
          <w:tcPr>
            <w:tcW w:w="2631" w:type="dxa"/>
            <w:shd w:val="clear" w:color="auto" w:fill="FFFFFF" w:themeFill="background1"/>
            <w:vAlign w:val="center"/>
          </w:tcPr>
          <w:p w14:paraId="13F698C9" w14:textId="77777777" w:rsidR="00C5516F" w:rsidRPr="00A21682" w:rsidRDefault="00C5516F" w:rsidP="00FF5CB1">
            <w:pPr>
              <w:pStyle w:val="TABLETEXT1"/>
              <w:rPr>
                <w:lang w:val="en-US"/>
              </w:rPr>
            </w:pPr>
            <w:r>
              <w:rPr>
                <w:lang w:val="en-US"/>
              </w:rPr>
              <w:lastRenderedPageBreak/>
              <w:t>Owner</w:t>
            </w:r>
          </w:p>
        </w:tc>
        <w:tc>
          <w:tcPr>
            <w:tcW w:w="3214" w:type="dxa"/>
            <w:vAlign w:val="center"/>
          </w:tcPr>
          <w:p w14:paraId="76501C07" w14:textId="2BF24485" w:rsidR="00C5516F" w:rsidRPr="002D3E0E" w:rsidRDefault="00C5516F" w:rsidP="002D3E0E">
            <w:pPr>
              <w:pStyle w:val="TABLEBULLETNEW"/>
            </w:pPr>
            <w:r>
              <w:t>███████ Functional Lead</w:t>
            </w:r>
          </w:p>
        </w:tc>
        <w:tc>
          <w:tcPr>
            <w:tcW w:w="3505" w:type="dxa"/>
            <w:vAlign w:val="center"/>
          </w:tcPr>
          <w:p w14:paraId="7A501D8B" w14:textId="77777777" w:rsidR="00C5516F" w:rsidRPr="002D3E0E" w:rsidRDefault="00C5516F" w:rsidP="002D3E0E">
            <w:pPr>
              <w:pStyle w:val="TABLEBULLETNEW"/>
            </w:pPr>
            <w:r>
              <w:t>Create/edit design documents</w:t>
            </w:r>
          </w:p>
        </w:tc>
      </w:tr>
      <w:tr w:rsidR="00C5516F" w:rsidRPr="00A21682" w14:paraId="5CB09D08" w14:textId="77777777" w:rsidTr="00FF2075">
        <w:trPr>
          <w:cantSplit/>
        </w:trPr>
        <w:tc>
          <w:tcPr>
            <w:tcW w:w="2631" w:type="dxa"/>
            <w:shd w:val="clear" w:color="auto" w:fill="FFFFFF" w:themeFill="background1"/>
            <w:vAlign w:val="center"/>
          </w:tcPr>
          <w:p w14:paraId="4C5EF79A" w14:textId="77777777" w:rsidR="00C5516F" w:rsidRPr="00A21682" w:rsidRDefault="00C5516F" w:rsidP="00FF5CB1">
            <w:pPr>
              <w:pStyle w:val="TABLETEXT1"/>
              <w:rPr>
                <w:lang w:val="en-US"/>
              </w:rPr>
            </w:pPr>
            <w:r>
              <w:rPr>
                <w:lang w:val="en-US"/>
              </w:rPr>
              <w:t>Editor</w:t>
            </w:r>
          </w:p>
        </w:tc>
        <w:tc>
          <w:tcPr>
            <w:tcW w:w="3214" w:type="dxa"/>
            <w:vAlign w:val="center"/>
          </w:tcPr>
          <w:p w14:paraId="724DB5AB" w14:textId="7DF1393D" w:rsidR="00C5516F" w:rsidRPr="002D3E0E" w:rsidRDefault="00C5516F" w:rsidP="002D3E0E">
            <w:pPr>
              <w:pStyle w:val="TABLEBULLETNEW"/>
            </w:pPr>
            <w:r>
              <w:t>███████ Functional Team</w:t>
            </w:r>
          </w:p>
        </w:tc>
        <w:tc>
          <w:tcPr>
            <w:tcW w:w="3505" w:type="dxa"/>
            <w:vAlign w:val="center"/>
          </w:tcPr>
          <w:p w14:paraId="2A3F6273" w14:textId="77777777" w:rsidR="00C5516F" w:rsidRPr="002D3E0E" w:rsidRDefault="00C5516F" w:rsidP="002D3E0E">
            <w:pPr>
              <w:pStyle w:val="TABLEBULLETNEW"/>
            </w:pPr>
            <w:r>
              <w:t>Create/edit design documents</w:t>
            </w:r>
          </w:p>
        </w:tc>
      </w:tr>
    </w:tbl>
    <w:p w14:paraId="7E853224" w14:textId="1875CE16" w:rsidR="00C5516F" w:rsidRPr="00A21682" w:rsidRDefault="00C5516F" w:rsidP="00CC44DD">
      <w:pPr>
        <w:pStyle w:val="Caption"/>
        <w:rPr>
          <w:noProof w:val="0"/>
        </w:rPr>
      </w:pPr>
      <w:bookmarkStart w:id="832" w:name="_Toc150951899"/>
      <w:bookmarkStart w:id="833" w:name="_Toc192875130"/>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45</w:t>
      </w:r>
      <w:r>
        <w:rPr>
          <w:noProof w:val="0"/>
        </w:rPr>
        <w:fldChar w:fldCharType="end"/>
      </w:r>
      <w:r>
        <w:rPr>
          <w:noProof w:val="0"/>
        </w:rPr>
        <w:t>: Figma Roles and Responsibilities</w:t>
      </w:r>
      <w:bookmarkEnd w:id="832"/>
      <w:bookmarkEnd w:id="833"/>
    </w:p>
    <w:p w14:paraId="56E1810B" w14:textId="654C0AD7" w:rsidR="00C5516F" w:rsidRPr="00A21682" w:rsidRDefault="00C5516F">
      <w:pPr>
        <w:pStyle w:val="Heading3"/>
        <w:rPr>
          <w:u w:color="000000"/>
        </w:rPr>
      </w:pPr>
      <w:bookmarkStart w:id="834" w:name="_Toc148102395"/>
      <w:bookmarkStart w:id="835" w:name="_Toc148098497"/>
      <w:bookmarkStart w:id="836" w:name="_Toc149051869"/>
      <w:bookmarkStart w:id="837" w:name="_Toc152605690"/>
      <w:bookmarkStart w:id="838" w:name="_Toc152605879"/>
      <w:bookmarkStart w:id="839" w:name="_Toc148102396"/>
      <w:bookmarkStart w:id="840" w:name="_Toc152605880"/>
      <w:bookmarkStart w:id="841" w:name="_Toc177119014"/>
      <w:bookmarkStart w:id="842" w:name="_Toc185952573"/>
      <w:bookmarkStart w:id="843" w:name="_Toc192874750"/>
      <w:bookmarkEnd w:id="834"/>
      <w:bookmarkEnd w:id="835"/>
      <w:bookmarkEnd w:id="836"/>
      <w:bookmarkEnd w:id="837"/>
      <w:bookmarkEnd w:id="838"/>
      <w:r>
        <w:rPr>
          <w:u w:color="000000"/>
        </w:rPr>
        <w:t>ALM Tool Workflows</w:t>
      </w:r>
      <w:bookmarkEnd w:id="839"/>
      <w:bookmarkEnd w:id="840"/>
      <w:bookmarkEnd w:id="841"/>
      <w:bookmarkEnd w:id="842"/>
      <w:bookmarkEnd w:id="843"/>
    </w:p>
    <w:p w14:paraId="2420677A" w14:textId="1CF5C974" w:rsidR="00C5516F" w:rsidRPr="00A21682" w:rsidRDefault="00C5516F" w:rsidP="00741BE0">
      <w:pPr>
        <w:pStyle w:val="NormalNEW"/>
        <w:rPr>
          <w:u w:color="000000"/>
          <w:lang w:val="en-US"/>
        </w:rPr>
      </w:pPr>
      <w:r>
        <w:rPr>
          <w:u w:color="000000"/>
          <w:lang w:val="en-US"/>
        </w:rPr>
        <w:t>Workflow(s) does not apply</w:t>
      </w:r>
    </w:p>
    <w:p w14:paraId="34802B5F" w14:textId="77777777" w:rsidR="00C5516F" w:rsidRPr="00A21682" w:rsidRDefault="00C5516F">
      <w:pPr>
        <w:pStyle w:val="Heading3"/>
        <w:rPr>
          <w:u w:color="000000"/>
        </w:rPr>
      </w:pPr>
      <w:bookmarkStart w:id="844" w:name="_Toc148102397"/>
      <w:bookmarkStart w:id="845" w:name="_Toc152605881"/>
      <w:bookmarkStart w:id="846" w:name="_Toc177119015"/>
      <w:bookmarkStart w:id="847" w:name="_Toc185952574"/>
      <w:bookmarkStart w:id="848" w:name="_Toc192874751"/>
      <w:r>
        <w:rPr>
          <w:u w:color="000000"/>
        </w:rPr>
        <w:t>Accessing ALM Tool</w:t>
      </w:r>
      <w:bookmarkEnd w:id="844"/>
      <w:bookmarkEnd w:id="845"/>
      <w:bookmarkEnd w:id="846"/>
      <w:bookmarkEnd w:id="847"/>
      <w:bookmarkEnd w:id="848"/>
    </w:p>
    <w:p w14:paraId="340CB893" w14:textId="77777777" w:rsidR="00C5516F" w:rsidRPr="00A21682" w:rsidRDefault="00C5516F" w:rsidP="00741BE0">
      <w:pPr>
        <w:pStyle w:val="NormalNEW"/>
        <w:rPr>
          <w:u w:color="000000"/>
          <w:lang w:val="en-US"/>
        </w:rPr>
      </w:pPr>
      <w:bookmarkStart w:id="849" w:name="_Hlk147866992"/>
      <w:r>
        <w:rPr>
          <w:u w:color="000000"/>
          <w:lang w:val="en-US"/>
        </w:rPr>
        <w:t>Access to Figma Organization is limited to ███████ resources. User training for DOH users is not required for this ALM tool</w:t>
      </w:r>
      <w:bookmarkEnd w:id="849"/>
      <w:r>
        <w:rPr>
          <w:u w:color="000000"/>
          <w:lang w:val="en-US"/>
        </w:rPr>
        <w:t xml:space="preserve">. </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053"/>
        <w:gridCol w:w="6777"/>
        <w:gridCol w:w="1530"/>
      </w:tblGrid>
      <w:tr w:rsidR="005133E7" w:rsidRPr="00A21682" w14:paraId="20EFC00B" w14:textId="77777777" w:rsidTr="00C968EF">
        <w:tc>
          <w:tcPr>
            <w:tcW w:w="1053" w:type="dxa"/>
            <w:tcBorders>
              <w:right w:val="single" w:sz="2" w:space="0" w:color="FFFFFF" w:themeColor="background1"/>
            </w:tcBorders>
            <w:shd w:val="clear" w:color="auto" w:fill="000000"/>
          </w:tcPr>
          <w:p w14:paraId="6711A9CE" w14:textId="77777777" w:rsidR="00C5516F" w:rsidRPr="00A21682" w:rsidRDefault="00C5516F" w:rsidP="00FF5CB1">
            <w:pPr>
              <w:pStyle w:val="TABLEHEADINGNEW"/>
            </w:pPr>
            <w:r>
              <w:t>#</w:t>
            </w:r>
          </w:p>
        </w:tc>
        <w:tc>
          <w:tcPr>
            <w:tcW w:w="6777" w:type="dxa"/>
            <w:tcBorders>
              <w:left w:val="single" w:sz="2" w:space="0" w:color="FFFFFF" w:themeColor="background1"/>
              <w:right w:val="single" w:sz="2" w:space="0" w:color="FFFFFF" w:themeColor="background1"/>
            </w:tcBorders>
            <w:shd w:val="clear" w:color="auto" w:fill="000000"/>
          </w:tcPr>
          <w:p w14:paraId="2BAC2BD7" w14:textId="77777777" w:rsidR="00C5516F" w:rsidRPr="00A21682" w:rsidRDefault="00C5516F" w:rsidP="00FF5CB1">
            <w:pPr>
              <w:pStyle w:val="TABLEHEADINGNEW"/>
            </w:pPr>
            <w:r>
              <w:t>Access Step</w:t>
            </w:r>
          </w:p>
        </w:tc>
        <w:tc>
          <w:tcPr>
            <w:tcW w:w="1530" w:type="dxa"/>
            <w:tcBorders>
              <w:left w:val="single" w:sz="2" w:space="0" w:color="FFFFFF" w:themeColor="background1"/>
            </w:tcBorders>
            <w:shd w:val="clear" w:color="auto" w:fill="000000"/>
          </w:tcPr>
          <w:p w14:paraId="071A8F15" w14:textId="77777777" w:rsidR="00C5516F" w:rsidRPr="00A21682" w:rsidRDefault="00C5516F" w:rsidP="00FF5CB1">
            <w:pPr>
              <w:pStyle w:val="TABLEHEADINGNEW"/>
            </w:pPr>
            <w:r>
              <w:t>Owner</w:t>
            </w:r>
          </w:p>
        </w:tc>
      </w:tr>
      <w:tr w:rsidR="00B65956" w:rsidRPr="00A21682" w14:paraId="6CF15B54" w14:textId="77777777" w:rsidTr="00047C4E">
        <w:tc>
          <w:tcPr>
            <w:tcW w:w="1053" w:type="dxa"/>
          </w:tcPr>
          <w:p w14:paraId="28A72E4E" w14:textId="155F01E8" w:rsidR="00C5516F" w:rsidRPr="00A21682" w:rsidRDefault="00FF5CB1" w:rsidP="00047C4E">
            <w:pPr>
              <w:pStyle w:val="TABLETEXT1"/>
              <w:rPr>
                <w:lang w:val="en-US"/>
              </w:rPr>
            </w:pPr>
            <w:r>
              <w:rPr>
                <w:lang w:val="en-US"/>
              </w:rPr>
              <w:t>1</w:t>
            </w:r>
          </w:p>
        </w:tc>
        <w:tc>
          <w:tcPr>
            <w:tcW w:w="6777" w:type="dxa"/>
          </w:tcPr>
          <w:p w14:paraId="30A824AD" w14:textId="77777777" w:rsidR="00C5516F" w:rsidRPr="00A21682" w:rsidRDefault="00C5516F" w:rsidP="00FF5CB1">
            <w:pPr>
              <w:pStyle w:val="TABLETEXT1"/>
              <w:rPr>
                <w:lang w:val="en-US"/>
              </w:rPr>
            </w:pPr>
            <w:r>
              <w:rPr>
                <w:lang w:val="en-US"/>
              </w:rPr>
              <w:t>Submit PMO Service Request in the ALM tool for access to Figma Organization</w:t>
            </w:r>
          </w:p>
        </w:tc>
        <w:tc>
          <w:tcPr>
            <w:tcW w:w="1530" w:type="dxa"/>
          </w:tcPr>
          <w:p w14:paraId="3D93DF7C" w14:textId="77777777" w:rsidR="00C5516F" w:rsidRPr="00A21682" w:rsidRDefault="00C5516F" w:rsidP="00FF5CB1">
            <w:pPr>
              <w:pStyle w:val="TABLETEXT1"/>
              <w:rPr>
                <w:lang w:val="en-US"/>
              </w:rPr>
            </w:pPr>
            <w:r>
              <w:rPr>
                <w:lang w:val="en-US"/>
              </w:rPr>
              <w:t>Requestor</w:t>
            </w:r>
          </w:p>
        </w:tc>
      </w:tr>
      <w:tr w:rsidR="00B65956" w:rsidRPr="00A21682" w14:paraId="4F4DE4D9" w14:textId="77777777" w:rsidTr="00047C4E">
        <w:tc>
          <w:tcPr>
            <w:tcW w:w="1053" w:type="dxa"/>
          </w:tcPr>
          <w:p w14:paraId="0249AA11" w14:textId="78D8DA13" w:rsidR="00C5516F" w:rsidRPr="00A21682" w:rsidRDefault="00FF5CB1" w:rsidP="00047C4E">
            <w:pPr>
              <w:pStyle w:val="TABLETEXT1"/>
              <w:rPr>
                <w:lang w:val="en-US"/>
              </w:rPr>
            </w:pPr>
            <w:r>
              <w:rPr>
                <w:lang w:val="en-US"/>
              </w:rPr>
              <w:t>2</w:t>
            </w:r>
          </w:p>
        </w:tc>
        <w:tc>
          <w:tcPr>
            <w:tcW w:w="6777" w:type="dxa"/>
          </w:tcPr>
          <w:p w14:paraId="5F0E0E17" w14:textId="77777777" w:rsidR="00C5516F" w:rsidRPr="00A21682" w:rsidRDefault="00C5516F" w:rsidP="00FF5CB1">
            <w:pPr>
              <w:pStyle w:val="TABLETEXT1"/>
              <w:rPr>
                <w:lang w:val="en-US"/>
              </w:rPr>
            </w:pPr>
            <w:r>
              <w:rPr>
                <w:lang w:val="en-US"/>
              </w:rPr>
              <w:t>Admin Approves Request</w:t>
            </w:r>
          </w:p>
        </w:tc>
        <w:tc>
          <w:tcPr>
            <w:tcW w:w="1530" w:type="dxa"/>
          </w:tcPr>
          <w:p w14:paraId="393F5FE0" w14:textId="77777777" w:rsidR="00C5516F" w:rsidRPr="00A21682" w:rsidRDefault="00C5516F" w:rsidP="00FF5CB1">
            <w:pPr>
              <w:pStyle w:val="TABLETEXT1"/>
              <w:rPr>
                <w:lang w:val="en-US"/>
              </w:rPr>
            </w:pPr>
            <w:r>
              <w:rPr>
                <w:lang w:val="en-US"/>
              </w:rPr>
              <w:t>System Admin</w:t>
            </w:r>
          </w:p>
        </w:tc>
      </w:tr>
      <w:tr w:rsidR="00B65956" w:rsidRPr="00A21682" w14:paraId="07A2C17B" w14:textId="77777777" w:rsidTr="00047C4E">
        <w:tc>
          <w:tcPr>
            <w:tcW w:w="1053" w:type="dxa"/>
          </w:tcPr>
          <w:p w14:paraId="7A5135D1" w14:textId="76B411A7" w:rsidR="00C5516F" w:rsidRPr="00A21682" w:rsidRDefault="00FF5CB1" w:rsidP="00047C4E">
            <w:pPr>
              <w:pStyle w:val="TABLETEXT1"/>
              <w:rPr>
                <w:lang w:val="en-US"/>
              </w:rPr>
            </w:pPr>
            <w:r>
              <w:rPr>
                <w:lang w:val="en-US"/>
              </w:rPr>
              <w:t>3</w:t>
            </w:r>
          </w:p>
        </w:tc>
        <w:tc>
          <w:tcPr>
            <w:tcW w:w="6777" w:type="dxa"/>
          </w:tcPr>
          <w:p w14:paraId="188A7CBA" w14:textId="77777777" w:rsidR="00C5516F" w:rsidRPr="00A21682" w:rsidRDefault="00C5516F" w:rsidP="00FF5CB1">
            <w:pPr>
              <w:pStyle w:val="TABLETEXT1"/>
              <w:rPr>
                <w:lang w:val="en-US"/>
              </w:rPr>
            </w:pPr>
            <w:r>
              <w:rPr>
                <w:lang w:val="en-US"/>
              </w:rPr>
              <w:t>Once approved, gain access to Figma (user’s specific account)</w:t>
            </w:r>
          </w:p>
        </w:tc>
        <w:tc>
          <w:tcPr>
            <w:tcW w:w="1530" w:type="dxa"/>
          </w:tcPr>
          <w:p w14:paraId="13DFB155" w14:textId="77777777" w:rsidR="00C5516F" w:rsidRPr="00A21682" w:rsidRDefault="00C5516F" w:rsidP="00FF5CB1">
            <w:pPr>
              <w:pStyle w:val="TABLETEXT1"/>
              <w:rPr>
                <w:lang w:val="en-US"/>
              </w:rPr>
            </w:pPr>
            <w:r>
              <w:rPr>
                <w:lang w:val="en-US"/>
              </w:rPr>
              <w:t>User</w:t>
            </w:r>
          </w:p>
        </w:tc>
      </w:tr>
    </w:tbl>
    <w:p w14:paraId="09E5369F" w14:textId="07B37456" w:rsidR="00C5516F" w:rsidRPr="00A21682" w:rsidRDefault="00C5516F" w:rsidP="00CC44DD">
      <w:pPr>
        <w:pStyle w:val="Caption"/>
        <w:rPr>
          <w:noProof w:val="0"/>
        </w:rPr>
      </w:pPr>
      <w:bookmarkStart w:id="850" w:name="_Toc150951900"/>
      <w:bookmarkStart w:id="851" w:name="_Toc192875131"/>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46</w:t>
      </w:r>
      <w:r>
        <w:rPr>
          <w:noProof w:val="0"/>
        </w:rPr>
        <w:fldChar w:fldCharType="end"/>
      </w:r>
      <w:r>
        <w:rPr>
          <w:noProof w:val="0"/>
        </w:rPr>
        <w:t>: Figma Access</w:t>
      </w:r>
      <w:bookmarkEnd w:id="850"/>
      <w:bookmarkEnd w:id="851"/>
    </w:p>
    <w:p w14:paraId="4CD8086C" w14:textId="77777777" w:rsidR="00C5516F" w:rsidRPr="00A21682" w:rsidRDefault="00C5516F">
      <w:pPr>
        <w:pStyle w:val="Heading2"/>
        <w:rPr>
          <w:u w:color="000000"/>
        </w:rPr>
      </w:pPr>
      <w:bookmarkStart w:id="852" w:name="_Toc148102401"/>
      <w:bookmarkStart w:id="853" w:name="_Toc148098503"/>
      <w:bookmarkStart w:id="854" w:name="_Toc149051875"/>
      <w:bookmarkStart w:id="855" w:name="_Toc152605696"/>
      <w:bookmarkStart w:id="856" w:name="_Toc152605885"/>
      <w:bookmarkStart w:id="857" w:name="_Toc148102402"/>
      <w:bookmarkStart w:id="858" w:name="_Toc148098504"/>
      <w:bookmarkStart w:id="859" w:name="_Toc149051876"/>
      <w:bookmarkStart w:id="860" w:name="_Toc152605697"/>
      <w:bookmarkStart w:id="861" w:name="_Toc152605886"/>
      <w:bookmarkStart w:id="862" w:name="_Toc148102404"/>
      <w:bookmarkStart w:id="863" w:name="_Toc152605888"/>
      <w:bookmarkStart w:id="864" w:name="_Toc177119022"/>
      <w:bookmarkStart w:id="865" w:name="_Toc185952581"/>
      <w:bookmarkStart w:id="866" w:name="_Toc192874752"/>
      <w:bookmarkEnd w:id="852"/>
      <w:bookmarkEnd w:id="853"/>
      <w:bookmarkEnd w:id="854"/>
      <w:bookmarkEnd w:id="855"/>
      <w:bookmarkEnd w:id="856"/>
      <w:bookmarkEnd w:id="857"/>
      <w:bookmarkEnd w:id="858"/>
      <w:bookmarkEnd w:id="859"/>
      <w:bookmarkEnd w:id="860"/>
      <w:bookmarkEnd w:id="861"/>
      <w:r>
        <w:rPr>
          <w:u w:color="000000"/>
        </w:rPr>
        <w:t>ALM Tool</w:t>
      </w:r>
      <w:bookmarkEnd w:id="862"/>
      <w:bookmarkEnd w:id="863"/>
      <w:bookmarkEnd w:id="864"/>
      <w:bookmarkEnd w:id="865"/>
      <w:bookmarkEnd w:id="866"/>
    </w:p>
    <w:p w14:paraId="16C802D6" w14:textId="77777777" w:rsidR="00C5516F" w:rsidRPr="00A21682" w:rsidRDefault="00C5516F" w:rsidP="00741BE0">
      <w:pPr>
        <w:pStyle w:val="NormalNEW"/>
        <w:rPr>
          <w:rFonts w:eastAsia="MS Gothic"/>
          <w:u w:color="000000"/>
          <w:lang w:val="en-US" w:eastAsia="ko-KR"/>
        </w:rPr>
      </w:pPr>
      <w:r>
        <w:rPr>
          <w:u w:color="000000"/>
          <w:lang w:val="en-US" w:eastAsia="ko-KR"/>
        </w:rPr>
        <w:t>The ALM tool serves several purposes and integrates with various ALM tools throughout the SDLC process. The ALM tool manages and streamlines the design artifacts, development work items, and traceability to requirements and test artifacts. Further, the ALM tool also produces dashboards and reports for project monitoring through the SDLC.</w:t>
      </w:r>
    </w:p>
    <w:p w14:paraId="2928E3E1" w14:textId="5F6ABE8E" w:rsidR="00C5516F" w:rsidRPr="00A21682" w:rsidRDefault="00C5516F">
      <w:pPr>
        <w:pStyle w:val="Heading3"/>
        <w:rPr>
          <w:rFonts w:eastAsia="Times New Roman"/>
          <w:u w:color="000000"/>
        </w:rPr>
      </w:pPr>
      <w:bookmarkStart w:id="867" w:name="_Toc148102405"/>
      <w:bookmarkStart w:id="868" w:name="_Toc152605889"/>
      <w:bookmarkStart w:id="869" w:name="_Toc177119023"/>
      <w:bookmarkStart w:id="870" w:name="_Toc185952582"/>
      <w:bookmarkStart w:id="871" w:name="_Toc192874753"/>
      <w:r>
        <w:rPr>
          <w:u w:color="000000"/>
        </w:rPr>
        <w:t>ALM Tool Roles and Permissions</w:t>
      </w:r>
      <w:bookmarkEnd w:id="867"/>
      <w:bookmarkEnd w:id="868"/>
      <w:bookmarkEnd w:id="869"/>
      <w:bookmarkEnd w:id="870"/>
      <w:bookmarkEnd w:id="871"/>
    </w:p>
    <w:tbl>
      <w:tblPr>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631"/>
        <w:gridCol w:w="3214"/>
        <w:gridCol w:w="3600"/>
      </w:tblGrid>
      <w:tr w:rsidR="00C5516F" w:rsidRPr="00A21682" w14:paraId="2E4DE7B5" w14:textId="77777777" w:rsidTr="00C968EF">
        <w:trPr>
          <w:cantSplit/>
          <w:tblHeader/>
        </w:trPr>
        <w:tc>
          <w:tcPr>
            <w:tcW w:w="2631" w:type="dxa"/>
            <w:tcBorders>
              <w:right w:val="single" w:sz="2" w:space="0" w:color="FFFFFF" w:themeColor="background1"/>
            </w:tcBorders>
            <w:shd w:val="clear" w:color="auto" w:fill="000000"/>
          </w:tcPr>
          <w:p w14:paraId="20BB0907" w14:textId="77777777" w:rsidR="00C5516F" w:rsidRPr="00A21682" w:rsidRDefault="00C5516F" w:rsidP="00FF5CB1">
            <w:pPr>
              <w:pStyle w:val="TABLEHEADINGNEW"/>
              <w:rPr>
                <w:u w:color="000000"/>
              </w:rPr>
            </w:pPr>
            <w:r>
              <w:rPr>
                <w:u w:color="000000"/>
              </w:rPr>
              <w:t>Tool Role</w:t>
            </w:r>
          </w:p>
        </w:tc>
        <w:tc>
          <w:tcPr>
            <w:tcW w:w="3214" w:type="dxa"/>
            <w:tcBorders>
              <w:left w:val="single" w:sz="2" w:space="0" w:color="FFFFFF" w:themeColor="background1"/>
              <w:right w:val="single" w:sz="2" w:space="0" w:color="FFFFFF" w:themeColor="background1"/>
            </w:tcBorders>
            <w:shd w:val="clear" w:color="auto" w:fill="000000"/>
          </w:tcPr>
          <w:p w14:paraId="425626A9" w14:textId="77777777" w:rsidR="00C5516F" w:rsidRPr="00A21682" w:rsidRDefault="00C5516F" w:rsidP="00FF5CB1">
            <w:pPr>
              <w:pStyle w:val="TABLEHEADINGNEW"/>
              <w:rPr>
                <w:u w:color="000000"/>
              </w:rPr>
            </w:pPr>
            <w:r>
              <w:rPr>
                <w:u w:color="000000"/>
              </w:rPr>
              <w:t>Project RACI Role</w:t>
            </w:r>
          </w:p>
        </w:tc>
        <w:tc>
          <w:tcPr>
            <w:tcW w:w="3600" w:type="dxa"/>
            <w:tcBorders>
              <w:left w:val="single" w:sz="2" w:space="0" w:color="FFFFFF" w:themeColor="background1"/>
            </w:tcBorders>
            <w:shd w:val="clear" w:color="auto" w:fill="000000"/>
          </w:tcPr>
          <w:p w14:paraId="7E16086B" w14:textId="77777777" w:rsidR="00C5516F" w:rsidRPr="00A21682" w:rsidRDefault="00C5516F" w:rsidP="00FF5CB1">
            <w:pPr>
              <w:pStyle w:val="TABLEHEADINGNEW"/>
              <w:rPr>
                <w:u w:color="000000"/>
              </w:rPr>
            </w:pPr>
            <w:r>
              <w:rPr>
                <w:u w:color="000000"/>
              </w:rPr>
              <w:t>Key Permissions in the ALM Tool</w:t>
            </w:r>
          </w:p>
        </w:tc>
      </w:tr>
      <w:tr w:rsidR="00C5516F" w:rsidRPr="00A21682" w14:paraId="018A6469" w14:textId="77777777" w:rsidTr="00EF19CA">
        <w:trPr>
          <w:cantSplit/>
          <w:trHeight w:val="647"/>
        </w:trPr>
        <w:tc>
          <w:tcPr>
            <w:tcW w:w="2631" w:type="dxa"/>
            <w:shd w:val="clear" w:color="auto" w:fill="FFFFFF" w:themeFill="background1"/>
          </w:tcPr>
          <w:p w14:paraId="7DBEE7E3" w14:textId="77777777" w:rsidR="00C5516F" w:rsidRPr="00A21682" w:rsidRDefault="00C5516F" w:rsidP="00FF5CB1">
            <w:pPr>
              <w:pStyle w:val="TABLETEXT1"/>
              <w:rPr>
                <w:u w:color="000000"/>
                <w:lang w:val="en-US"/>
              </w:rPr>
            </w:pPr>
            <w:r>
              <w:rPr>
                <w:u w:color="000000"/>
                <w:lang w:val="en-US"/>
              </w:rPr>
              <w:t>ALM Tool Site Administrator</w:t>
            </w:r>
          </w:p>
        </w:tc>
        <w:tc>
          <w:tcPr>
            <w:tcW w:w="3214" w:type="dxa"/>
          </w:tcPr>
          <w:p w14:paraId="1FD2E734" w14:textId="77777777" w:rsidR="00C5516F" w:rsidRPr="00635C9B" w:rsidRDefault="00C5516F" w:rsidP="008A4AD1">
            <w:pPr>
              <w:pStyle w:val="TABLEBULLETNEW"/>
            </w:pPr>
            <w:r>
              <w:t xml:space="preserve">███████ Tool Administrator </w:t>
            </w:r>
          </w:p>
          <w:p w14:paraId="78FC738E" w14:textId="77777777" w:rsidR="00C5516F" w:rsidRPr="00635C9B" w:rsidRDefault="00C5516F" w:rsidP="008A4AD1">
            <w:pPr>
              <w:pStyle w:val="TABLEBULLETNEW"/>
            </w:pPr>
            <w:r>
              <w:t>DOS Tool Administrator</w:t>
            </w:r>
          </w:p>
        </w:tc>
        <w:tc>
          <w:tcPr>
            <w:tcW w:w="3600" w:type="dxa"/>
          </w:tcPr>
          <w:p w14:paraId="07E9FB3C" w14:textId="77777777" w:rsidR="00C5516F" w:rsidRPr="00635C9B" w:rsidRDefault="00C5516F" w:rsidP="008A4AD1">
            <w:pPr>
              <w:pStyle w:val="TABLEBULLETNEW"/>
            </w:pPr>
            <w:r>
              <w:t>Create/edit workflows</w:t>
            </w:r>
          </w:p>
          <w:p w14:paraId="3657EEF6" w14:textId="77777777" w:rsidR="00C5516F" w:rsidRPr="00635C9B" w:rsidRDefault="00C5516F" w:rsidP="008A4AD1">
            <w:pPr>
              <w:pStyle w:val="TABLEBULLETNEW"/>
            </w:pPr>
            <w:r>
              <w:t>Manage workflow configuration; user access; maintenance</w:t>
            </w:r>
          </w:p>
          <w:p w14:paraId="667715C0" w14:textId="77777777" w:rsidR="00C5516F" w:rsidRPr="00635C9B" w:rsidRDefault="00C5516F" w:rsidP="008A4AD1">
            <w:pPr>
              <w:pStyle w:val="TABLEBULLETNEW"/>
            </w:pPr>
            <w:r>
              <w:t>Updating workflows</w:t>
            </w:r>
          </w:p>
        </w:tc>
      </w:tr>
      <w:tr w:rsidR="00C5516F" w:rsidRPr="00A21682" w14:paraId="26FBABBA" w14:textId="77777777" w:rsidTr="00EF19CA">
        <w:trPr>
          <w:cantSplit/>
        </w:trPr>
        <w:tc>
          <w:tcPr>
            <w:tcW w:w="2631" w:type="dxa"/>
            <w:shd w:val="clear" w:color="auto" w:fill="FFFFFF" w:themeFill="background1"/>
          </w:tcPr>
          <w:p w14:paraId="353AB4B6" w14:textId="77777777" w:rsidR="00C5516F" w:rsidRPr="00A21682" w:rsidRDefault="00C5516F" w:rsidP="00FF5CB1">
            <w:pPr>
              <w:pStyle w:val="TABLETEXT1"/>
              <w:rPr>
                <w:u w:color="000000"/>
                <w:lang w:val="en-US"/>
              </w:rPr>
            </w:pPr>
            <w:r>
              <w:rPr>
                <w:u w:color="000000"/>
                <w:lang w:val="en-US"/>
              </w:rPr>
              <w:t>ALM Tool Project Administrator</w:t>
            </w:r>
          </w:p>
        </w:tc>
        <w:tc>
          <w:tcPr>
            <w:tcW w:w="3214" w:type="dxa"/>
          </w:tcPr>
          <w:p w14:paraId="2833762C" w14:textId="77777777" w:rsidR="00C5516F" w:rsidRPr="00635C9B" w:rsidRDefault="00C5516F" w:rsidP="008A4AD1">
            <w:pPr>
              <w:pStyle w:val="TABLEBULLETNEW"/>
            </w:pPr>
            <w:r>
              <w:t>███████ Functional Architect</w:t>
            </w:r>
          </w:p>
          <w:p w14:paraId="594942F9" w14:textId="77777777" w:rsidR="00C5516F" w:rsidRPr="00635C9B" w:rsidRDefault="00C5516F" w:rsidP="008A4AD1">
            <w:pPr>
              <w:pStyle w:val="TABLEBULLETNEW"/>
            </w:pPr>
            <w:r>
              <w:rPr>
                <w:highlight w:val="black"/>
              </w:rPr>
              <w:t>Deloitte</w:t>
            </w:r>
            <w:r>
              <w:t xml:space="preserve"> Functional PM</w:t>
            </w:r>
          </w:p>
          <w:p w14:paraId="6A9B2980" w14:textId="77777777" w:rsidR="00C5516F" w:rsidRPr="00635C9B" w:rsidRDefault="00C5516F" w:rsidP="008A4AD1">
            <w:pPr>
              <w:pStyle w:val="TABLEBULLETNEW"/>
            </w:pPr>
            <w:r>
              <w:rPr>
                <w:highlight w:val="black"/>
              </w:rPr>
              <w:t>Deloitte</w:t>
            </w:r>
            <w:r>
              <w:t xml:space="preserve"> Functional Manager</w:t>
            </w:r>
          </w:p>
          <w:p w14:paraId="5D941054" w14:textId="77777777" w:rsidR="00C5516F" w:rsidRPr="00635C9B" w:rsidRDefault="00C5516F" w:rsidP="008A4AD1">
            <w:pPr>
              <w:pStyle w:val="TABLEBULLETNEW"/>
            </w:pPr>
            <w:r>
              <w:rPr>
                <w:highlight w:val="black"/>
              </w:rPr>
              <w:t>Deloitte</w:t>
            </w:r>
            <w:r>
              <w:t xml:space="preserve"> Technical Manager</w:t>
            </w:r>
          </w:p>
          <w:p w14:paraId="144357E3" w14:textId="77777777" w:rsidR="00C5516F" w:rsidRPr="00635C9B" w:rsidRDefault="00C5516F" w:rsidP="008A4AD1">
            <w:pPr>
              <w:pStyle w:val="TABLEBULLETNEW"/>
            </w:pPr>
            <w:r>
              <w:rPr>
                <w:highlight w:val="black"/>
              </w:rPr>
              <w:t>Deloitte</w:t>
            </w:r>
            <w:r>
              <w:t xml:space="preserve"> Test Lead</w:t>
            </w:r>
          </w:p>
          <w:p w14:paraId="768F4C1E" w14:textId="77777777" w:rsidR="00C5516F" w:rsidRPr="00635C9B" w:rsidRDefault="00C5516F" w:rsidP="008A4AD1">
            <w:pPr>
              <w:pStyle w:val="TABLEBULLETNEW"/>
            </w:pPr>
            <w:r>
              <w:rPr>
                <w:highlight w:val="black"/>
              </w:rPr>
              <w:t>Deloitte</w:t>
            </w:r>
            <w:r>
              <w:t xml:space="preserve"> PMO Lead</w:t>
            </w:r>
          </w:p>
        </w:tc>
        <w:tc>
          <w:tcPr>
            <w:tcW w:w="3600" w:type="dxa"/>
          </w:tcPr>
          <w:p w14:paraId="726824FD" w14:textId="77777777" w:rsidR="00C5516F" w:rsidRPr="00635C9B" w:rsidRDefault="00C5516F" w:rsidP="008A4AD1">
            <w:pPr>
              <w:pStyle w:val="TABLEBULLETNEW"/>
            </w:pPr>
            <w:r>
              <w:t>Configure Custom Fields</w:t>
            </w:r>
          </w:p>
          <w:p w14:paraId="205FF520" w14:textId="77777777" w:rsidR="00C5516F" w:rsidRPr="00635C9B" w:rsidRDefault="00C5516F" w:rsidP="008A4AD1">
            <w:pPr>
              <w:pStyle w:val="TABLEBULLETNEW"/>
            </w:pPr>
            <w:r>
              <w:t>Configure workflows</w:t>
            </w:r>
          </w:p>
          <w:p w14:paraId="1C4B7FCE" w14:textId="77777777" w:rsidR="00C5516F" w:rsidRPr="00635C9B" w:rsidRDefault="00C5516F" w:rsidP="008A4AD1">
            <w:pPr>
              <w:pStyle w:val="TABLEBULLETNEW"/>
            </w:pPr>
            <w:r>
              <w:t>Create, edit, delete issue types</w:t>
            </w:r>
          </w:p>
          <w:p w14:paraId="1772B7A3" w14:textId="77777777" w:rsidR="00C5516F" w:rsidRPr="00635C9B" w:rsidRDefault="00C5516F" w:rsidP="008A4AD1">
            <w:pPr>
              <w:pStyle w:val="TABLEBULLETNEW"/>
            </w:pPr>
            <w:r>
              <w:t xml:space="preserve">Override status </w:t>
            </w:r>
          </w:p>
        </w:tc>
      </w:tr>
      <w:tr w:rsidR="00C5516F" w:rsidRPr="00A21682" w14:paraId="5BBAC5BA" w14:textId="77777777" w:rsidTr="00EF19CA">
        <w:trPr>
          <w:cantSplit/>
        </w:trPr>
        <w:tc>
          <w:tcPr>
            <w:tcW w:w="2631" w:type="dxa"/>
            <w:shd w:val="clear" w:color="auto" w:fill="FFFFFF" w:themeFill="background1"/>
          </w:tcPr>
          <w:p w14:paraId="1FF7CB4D" w14:textId="77777777" w:rsidR="00C5516F" w:rsidRPr="00A21682" w:rsidRDefault="00C5516F" w:rsidP="00FF5CB1">
            <w:pPr>
              <w:pStyle w:val="TABLETEXT1"/>
              <w:rPr>
                <w:u w:color="000000"/>
                <w:lang w:val="en-US"/>
              </w:rPr>
            </w:pPr>
            <w:r>
              <w:rPr>
                <w:u w:color="000000"/>
                <w:lang w:val="en-US"/>
              </w:rPr>
              <w:t>ALM Tool Standard User</w:t>
            </w:r>
          </w:p>
        </w:tc>
        <w:tc>
          <w:tcPr>
            <w:tcW w:w="3214" w:type="dxa"/>
          </w:tcPr>
          <w:p w14:paraId="003EFC74" w14:textId="77777777" w:rsidR="00C5516F" w:rsidRPr="00635C9B" w:rsidRDefault="00C5516F" w:rsidP="008A4AD1">
            <w:pPr>
              <w:pStyle w:val="TABLEBULLETNEW"/>
            </w:pPr>
            <w:r>
              <w:t>All Functional Stakeholders</w:t>
            </w:r>
          </w:p>
          <w:p w14:paraId="0B679974" w14:textId="77777777" w:rsidR="00C5516F" w:rsidRPr="00635C9B" w:rsidRDefault="00C5516F" w:rsidP="008A4AD1">
            <w:pPr>
              <w:pStyle w:val="TABLEBULLETNEW"/>
            </w:pPr>
            <w:r>
              <w:t>All Business Stakeholders</w:t>
            </w:r>
          </w:p>
          <w:p w14:paraId="2076AA2C" w14:textId="77777777" w:rsidR="00C5516F" w:rsidRPr="00635C9B" w:rsidRDefault="00C5516F" w:rsidP="008A4AD1">
            <w:pPr>
              <w:pStyle w:val="TABLEBULLETNEW"/>
            </w:pPr>
            <w:r>
              <w:rPr>
                <w:highlight w:val="black"/>
              </w:rPr>
              <w:t>Deloitte</w:t>
            </w:r>
            <w:r>
              <w:t xml:space="preserve"> Development Team</w:t>
            </w:r>
          </w:p>
          <w:p w14:paraId="036B103A" w14:textId="77777777" w:rsidR="00C5516F" w:rsidRPr="00635C9B" w:rsidRDefault="00C5516F" w:rsidP="008A4AD1">
            <w:pPr>
              <w:pStyle w:val="TABLEBULLETNEW"/>
            </w:pPr>
            <w:r>
              <w:rPr>
                <w:highlight w:val="black"/>
              </w:rPr>
              <w:t>Deloitte</w:t>
            </w:r>
            <w:r>
              <w:t xml:space="preserve"> Test Team</w:t>
            </w:r>
          </w:p>
          <w:p w14:paraId="3D5A38C8" w14:textId="77777777" w:rsidR="00C5516F" w:rsidRPr="00635C9B" w:rsidRDefault="00C5516F" w:rsidP="008A4AD1">
            <w:pPr>
              <w:pStyle w:val="TABLEBULLETNEW"/>
            </w:pPr>
            <w:r>
              <w:rPr>
                <w:highlight w:val="black"/>
              </w:rPr>
              <w:t>Deloitte</w:t>
            </w:r>
            <w:r>
              <w:t xml:space="preserve"> Technology Team</w:t>
            </w:r>
          </w:p>
        </w:tc>
        <w:tc>
          <w:tcPr>
            <w:tcW w:w="3600" w:type="dxa"/>
          </w:tcPr>
          <w:p w14:paraId="49411939" w14:textId="77777777" w:rsidR="00C5516F" w:rsidRPr="00635C9B" w:rsidRDefault="00C5516F" w:rsidP="008A4AD1">
            <w:pPr>
              <w:pStyle w:val="TABLEBULLETNEW"/>
            </w:pPr>
            <w:r>
              <w:t>Create, edit issue types</w:t>
            </w:r>
          </w:p>
          <w:p w14:paraId="617189A7" w14:textId="13AB1103" w:rsidR="00C5516F" w:rsidRPr="00635C9B" w:rsidRDefault="00C5516F" w:rsidP="008A4AD1">
            <w:pPr>
              <w:pStyle w:val="TABLEBULLETNEW"/>
            </w:pPr>
            <w:r>
              <w:t>Change status on work items</w:t>
            </w:r>
          </w:p>
        </w:tc>
      </w:tr>
    </w:tbl>
    <w:p w14:paraId="2740464A" w14:textId="728BFF14" w:rsidR="00C5516F" w:rsidRPr="00A21682" w:rsidRDefault="00C5516F" w:rsidP="00CC44DD">
      <w:pPr>
        <w:pStyle w:val="Caption"/>
        <w:rPr>
          <w:noProof w:val="0"/>
        </w:rPr>
      </w:pPr>
      <w:bookmarkStart w:id="872" w:name="_Toc150951905"/>
      <w:bookmarkStart w:id="873" w:name="_Toc192875132"/>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47</w:t>
      </w:r>
      <w:r>
        <w:rPr>
          <w:noProof w:val="0"/>
        </w:rPr>
        <w:fldChar w:fldCharType="end"/>
      </w:r>
      <w:r>
        <w:rPr>
          <w:noProof w:val="0"/>
        </w:rPr>
        <w:t>: ALM Tool Roles and Responsibilities</w:t>
      </w:r>
      <w:bookmarkEnd w:id="872"/>
      <w:bookmarkEnd w:id="873"/>
    </w:p>
    <w:p w14:paraId="7E74BE53" w14:textId="6A51D717" w:rsidR="00C5516F" w:rsidRPr="00A21682" w:rsidRDefault="00C5516F">
      <w:pPr>
        <w:pStyle w:val="Heading3"/>
        <w:rPr>
          <w:u w:color="000000"/>
        </w:rPr>
      </w:pPr>
      <w:bookmarkStart w:id="874" w:name="_Toc148102406"/>
      <w:bookmarkStart w:id="875" w:name="_Toc152605890"/>
      <w:bookmarkStart w:id="876" w:name="_Toc177119024"/>
      <w:bookmarkStart w:id="877" w:name="_Toc185952583"/>
      <w:bookmarkStart w:id="878" w:name="_Toc192874754"/>
      <w:r>
        <w:rPr>
          <w:u w:color="000000"/>
        </w:rPr>
        <w:lastRenderedPageBreak/>
        <w:t>ALM Tool Workflows</w:t>
      </w:r>
      <w:bookmarkEnd w:id="874"/>
      <w:bookmarkEnd w:id="875"/>
      <w:bookmarkEnd w:id="876"/>
      <w:bookmarkEnd w:id="877"/>
      <w:bookmarkEnd w:id="878"/>
    </w:p>
    <w:p w14:paraId="5FB67C7F" w14:textId="30A0D69E" w:rsidR="00C5516F" w:rsidRPr="00A21682" w:rsidRDefault="00C5516F" w:rsidP="00FF5CB1">
      <w:pPr>
        <w:pStyle w:val="NormalNEW"/>
        <w:rPr>
          <w:u w:color="000000"/>
          <w:lang w:val="en-US" w:eastAsia="ko-KR"/>
        </w:rPr>
      </w:pPr>
      <w:r>
        <w:rPr>
          <w:u w:color="000000"/>
          <w:lang w:val="en-US" w:eastAsia="ko-KR"/>
        </w:rPr>
        <w:t>The field attributes and corresponding workflows for various ticket types within the ALM tool are defined and continuously maintained in the ALM Tool User Guide and ALM Tool Reference Guide. Reference materials can be found in Appendix D: ALM Tool Field Attributes and Workflows:</w:t>
      </w:r>
    </w:p>
    <w:p w14:paraId="76D30833" w14:textId="32D03664" w:rsidR="00C5516F" w:rsidRPr="00A21682" w:rsidRDefault="00C5516F" w:rsidP="0031550A">
      <w:pPr>
        <w:pStyle w:val="BulletNEW"/>
      </w:pPr>
      <w:r>
        <w:t>Design Workflow (Design Document, Design Component, Design Update)</w:t>
      </w:r>
    </w:p>
    <w:p w14:paraId="18EE743B" w14:textId="75700516" w:rsidR="00C5516F" w:rsidRPr="00A21682" w:rsidRDefault="00C5516F" w:rsidP="0031550A">
      <w:pPr>
        <w:pStyle w:val="BulletNEW"/>
      </w:pPr>
      <w:r>
        <w:t>Development Widget Workflow (Confirmed in the ALM tool)</w:t>
      </w:r>
    </w:p>
    <w:p w14:paraId="0EEDBDE6" w14:textId="77777777" w:rsidR="00C5516F" w:rsidRPr="00A21682" w:rsidRDefault="00C5516F" w:rsidP="0031550A">
      <w:pPr>
        <w:pStyle w:val="BulletNEW"/>
      </w:pPr>
      <w:r>
        <w:t>Database Change Request (DBCR) Workflow (test environments only)</w:t>
      </w:r>
    </w:p>
    <w:p w14:paraId="519AD873" w14:textId="4A585473" w:rsidR="00C5516F" w:rsidRPr="00A21682" w:rsidRDefault="007731A8" w:rsidP="0031550A">
      <w:pPr>
        <w:pStyle w:val="BulletNEW"/>
      </w:pPr>
      <w:r>
        <w:t>Incident Workflow</w:t>
      </w:r>
    </w:p>
    <w:p w14:paraId="3C6EA0F3" w14:textId="77777777" w:rsidR="00C5516F" w:rsidRPr="00A21682" w:rsidRDefault="00C5516F" w:rsidP="0031550A">
      <w:pPr>
        <w:pStyle w:val="BulletNEW"/>
      </w:pPr>
      <w:r>
        <w:t>Technology Operations (Tech Ops) Service Request Workflow (test environments only)</w:t>
      </w:r>
    </w:p>
    <w:p w14:paraId="49081BB8" w14:textId="68711A51" w:rsidR="00C5516F" w:rsidRPr="00A21682" w:rsidRDefault="00C5516F" w:rsidP="0031550A">
      <w:pPr>
        <w:pStyle w:val="BulletNEW"/>
      </w:pPr>
      <w:r>
        <w:t>Change Request Workflow (refer to Section 10 Integrated Change Control Process)</w:t>
      </w:r>
    </w:p>
    <w:p w14:paraId="571C4413" w14:textId="0F5B1812" w:rsidR="00C5516F" w:rsidRPr="00A21682" w:rsidRDefault="00C5516F" w:rsidP="0031550A">
      <w:pPr>
        <w:pStyle w:val="BulletNEW"/>
      </w:pPr>
      <w:r>
        <w:t>Deliverable Management Workflow (Confirmed in the ALM tool)</w:t>
      </w:r>
    </w:p>
    <w:p w14:paraId="6EBAE18D" w14:textId="20DB5DCB" w:rsidR="0023553D" w:rsidRPr="00A21682" w:rsidRDefault="0023553D" w:rsidP="0031550A">
      <w:pPr>
        <w:pStyle w:val="BulletNEW"/>
      </w:pPr>
      <w:r>
        <w:t>Requirements Workflow</w:t>
      </w:r>
    </w:p>
    <w:p w14:paraId="708C309D" w14:textId="77777777" w:rsidR="00C5516F" w:rsidRPr="00A21682" w:rsidRDefault="00C5516F">
      <w:pPr>
        <w:pStyle w:val="Heading3"/>
        <w:rPr>
          <w:u w:color="000000"/>
        </w:rPr>
      </w:pPr>
      <w:bookmarkStart w:id="879" w:name="_Toc178350510"/>
      <w:bookmarkStart w:id="880" w:name="_Toc178352354"/>
      <w:bookmarkStart w:id="881" w:name="_Toc178354468"/>
      <w:bookmarkStart w:id="882" w:name="_Toc178357277"/>
      <w:bookmarkStart w:id="883" w:name="_Toc178359076"/>
      <w:bookmarkStart w:id="884" w:name="_Toc178371272"/>
      <w:bookmarkStart w:id="885" w:name="_Toc184746849"/>
      <w:bookmarkStart w:id="886" w:name="_Toc185948591"/>
      <w:bookmarkStart w:id="887" w:name="_Toc186884175"/>
      <w:bookmarkStart w:id="888" w:name="_Toc187427917"/>
      <w:bookmarkStart w:id="889" w:name="_Toc188450293"/>
      <w:bookmarkStart w:id="890" w:name="_Toc188619185"/>
      <w:bookmarkStart w:id="891" w:name="_Toc178350511"/>
      <w:bookmarkStart w:id="892" w:name="_Toc178352355"/>
      <w:bookmarkStart w:id="893" w:name="_Toc178354469"/>
      <w:bookmarkStart w:id="894" w:name="_Toc178357278"/>
      <w:bookmarkStart w:id="895" w:name="_Toc178359077"/>
      <w:bookmarkStart w:id="896" w:name="_Toc178371273"/>
      <w:bookmarkStart w:id="897" w:name="_Toc184746850"/>
      <w:bookmarkStart w:id="898" w:name="_Toc185948592"/>
      <w:bookmarkStart w:id="899" w:name="_Toc186884176"/>
      <w:bookmarkStart w:id="900" w:name="_Toc187427918"/>
      <w:bookmarkStart w:id="901" w:name="_Toc188450294"/>
      <w:bookmarkStart w:id="902" w:name="_Toc188619186"/>
      <w:bookmarkStart w:id="903" w:name="_Toc178350512"/>
      <w:bookmarkStart w:id="904" w:name="_Toc178352356"/>
      <w:bookmarkStart w:id="905" w:name="_Toc178354470"/>
      <w:bookmarkStart w:id="906" w:name="_Toc178357279"/>
      <w:bookmarkStart w:id="907" w:name="_Toc178359078"/>
      <w:bookmarkStart w:id="908" w:name="_Toc178371274"/>
      <w:bookmarkStart w:id="909" w:name="_Toc184746851"/>
      <w:bookmarkStart w:id="910" w:name="_Toc185948593"/>
      <w:bookmarkStart w:id="911" w:name="_Toc186884177"/>
      <w:bookmarkStart w:id="912" w:name="_Toc187427919"/>
      <w:bookmarkStart w:id="913" w:name="_Toc188450295"/>
      <w:bookmarkStart w:id="914" w:name="_Toc188619187"/>
      <w:bookmarkStart w:id="915" w:name="_Toc178350513"/>
      <w:bookmarkStart w:id="916" w:name="_Toc178352357"/>
      <w:bookmarkStart w:id="917" w:name="_Toc178354471"/>
      <w:bookmarkStart w:id="918" w:name="_Toc178357280"/>
      <w:bookmarkStart w:id="919" w:name="_Toc178359079"/>
      <w:bookmarkStart w:id="920" w:name="_Toc178371275"/>
      <w:bookmarkStart w:id="921" w:name="_Toc184746852"/>
      <w:bookmarkStart w:id="922" w:name="_Toc185948594"/>
      <w:bookmarkStart w:id="923" w:name="_Toc186884178"/>
      <w:bookmarkStart w:id="924" w:name="_Toc187427920"/>
      <w:bookmarkStart w:id="925" w:name="_Toc188450296"/>
      <w:bookmarkStart w:id="926" w:name="_Toc188619188"/>
      <w:bookmarkStart w:id="927" w:name="_Toc178350514"/>
      <w:bookmarkStart w:id="928" w:name="_Toc178352358"/>
      <w:bookmarkStart w:id="929" w:name="_Toc178354472"/>
      <w:bookmarkStart w:id="930" w:name="_Toc178357281"/>
      <w:bookmarkStart w:id="931" w:name="_Toc178359080"/>
      <w:bookmarkStart w:id="932" w:name="_Toc178371276"/>
      <w:bookmarkStart w:id="933" w:name="_Toc184746853"/>
      <w:bookmarkStart w:id="934" w:name="_Toc185948595"/>
      <w:bookmarkStart w:id="935" w:name="_Toc186884179"/>
      <w:bookmarkStart w:id="936" w:name="_Toc187427921"/>
      <w:bookmarkStart w:id="937" w:name="_Toc188450297"/>
      <w:bookmarkStart w:id="938" w:name="_Toc188619189"/>
      <w:bookmarkStart w:id="939" w:name="_Toc178350515"/>
      <w:bookmarkStart w:id="940" w:name="_Toc178352359"/>
      <w:bookmarkStart w:id="941" w:name="_Toc178354473"/>
      <w:bookmarkStart w:id="942" w:name="_Toc178357282"/>
      <w:bookmarkStart w:id="943" w:name="_Toc178359081"/>
      <w:bookmarkStart w:id="944" w:name="_Toc178371277"/>
      <w:bookmarkStart w:id="945" w:name="_Toc184746854"/>
      <w:bookmarkStart w:id="946" w:name="_Toc185948596"/>
      <w:bookmarkStart w:id="947" w:name="_Toc186884180"/>
      <w:bookmarkStart w:id="948" w:name="_Toc187427922"/>
      <w:bookmarkStart w:id="949" w:name="_Toc188450298"/>
      <w:bookmarkStart w:id="950" w:name="_Toc188619190"/>
      <w:bookmarkStart w:id="951" w:name="_Toc178350516"/>
      <w:bookmarkStart w:id="952" w:name="_Toc178352360"/>
      <w:bookmarkStart w:id="953" w:name="_Toc178354474"/>
      <w:bookmarkStart w:id="954" w:name="_Toc178357283"/>
      <w:bookmarkStart w:id="955" w:name="_Toc178359082"/>
      <w:bookmarkStart w:id="956" w:name="_Toc178371278"/>
      <w:bookmarkStart w:id="957" w:name="_Toc184746855"/>
      <w:bookmarkStart w:id="958" w:name="_Toc185948597"/>
      <w:bookmarkStart w:id="959" w:name="_Toc186884181"/>
      <w:bookmarkStart w:id="960" w:name="_Toc187427923"/>
      <w:bookmarkStart w:id="961" w:name="_Toc188450299"/>
      <w:bookmarkStart w:id="962" w:name="_Toc188619191"/>
      <w:bookmarkStart w:id="963" w:name="_Toc178350591"/>
      <w:bookmarkStart w:id="964" w:name="_Toc178352435"/>
      <w:bookmarkStart w:id="965" w:name="_Toc178354549"/>
      <w:bookmarkStart w:id="966" w:name="_Toc178357358"/>
      <w:bookmarkStart w:id="967" w:name="_Toc178359157"/>
      <w:bookmarkStart w:id="968" w:name="_Toc178371353"/>
      <w:bookmarkStart w:id="969" w:name="_Toc184746930"/>
      <w:bookmarkStart w:id="970" w:name="_Toc185948672"/>
      <w:bookmarkStart w:id="971" w:name="_Toc186884256"/>
      <w:bookmarkStart w:id="972" w:name="_Toc187427998"/>
      <w:bookmarkStart w:id="973" w:name="_Toc188450374"/>
      <w:bookmarkStart w:id="974" w:name="_Toc188619266"/>
      <w:bookmarkStart w:id="975" w:name="_Toc178350592"/>
      <w:bookmarkStart w:id="976" w:name="_Toc178352436"/>
      <w:bookmarkStart w:id="977" w:name="_Toc178354550"/>
      <w:bookmarkStart w:id="978" w:name="_Toc178357359"/>
      <w:bookmarkStart w:id="979" w:name="_Toc178359158"/>
      <w:bookmarkStart w:id="980" w:name="_Toc178371354"/>
      <w:bookmarkStart w:id="981" w:name="_Toc184746931"/>
      <w:bookmarkStart w:id="982" w:name="_Toc185948673"/>
      <w:bookmarkStart w:id="983" w:name="_Toc186884257"/>
      <w:bookmarkStart w:id="984" w:name="_Toc187427999"/>
      <w:bookmarkStart w:id="985" w:name="_Toc188450375"/>
      <w:bookmarkStart w:id="986" w:name="_Toc188619267"/>
      <w:bookmarkStart w:id="987" w:name="_Toc178350593"/>
      <w:bookmarkStart w:id="988" w:name="_Toc178352437"/>
      <w:bookmarkStart w:id="989" w:name="_Toc178354551"/>
      <w:bookmarkStart w:id="990" w:name="_Toc178357360"/>
      <w:bookmarkStart w:id="991" w:name="_Toc178359159"/>
      <w:bookmarkStart w:id="992" w:name="_Toc178371355"/>
      <w:bookmarkStart w:id="993" w:name="_Toc184746932"/>
      <w:bookmarkStart w:id="994" w:name="_Toc185948674"/>
      <w:bookmarkStart w:id="995" w:name="_Toc186884258"/>
      <w:bookmarkStart w:id="996" w:name="_Toc187428000"/>
      <w:bookmarkStart w:id="997" w:name="_Toc188450376"/>
      <w:bookmarkStart w:id="998" w:name="_Toc188619268"/>
      <w:bookmarkStart w:id="999" w:name="_Toc178350594"/>
      <w:bookmarkStart w:id="1000" w:name="_Toc178352438"/>
      <w:bookmarkStart w:id="1001" w:name="_Toc178354552"/>
      <w:bookmarkStart w:id="1002" w:name="_Toc178357361"/>
      <w:bookmarkStart w:id="1003" w:name="_Toc178359160"/>
      <w:bookmarkStart w:id="1004" w:name="_Toc178371356"/>
      <w:bookmarkStart w:id="1005" w:name="_Toc184746933"/>
      <w:bookmarkStart w:id="1006" w:name="_Toc185948675"/>
      <w:bookmarkStart w:id="1007" w:name="_Toc186884259"/>
      <w:bookmarkStart w:id="1008" w:name="_Toc187428001"/>
      <w:bookmarkStart w:id="1009" w:name="_Toc188450377"/>
      <w:bookmarkStart w:id="1010" w:name="_Toc188619269"/>
      <w:bookmarkStart w:id="1011" w:name="_Toc178350595"/>
      <w:bookmarkStart w:id="1012" w:name="_Toc178352439"/>
      <w:bookmarkStart w:id="1013" w:name="_Toc178354553"/>
      <w:bookmarkStart w:id="1014" w:name="_Toc178357362"/>
      <w:bookmarkStart w:id="1015" w:name="_Toc178359161"/>
      <w:bookmarkStart w:id="1016" w:name="_Toc178371357"/>
      <w:bookmarkStart w:id="1017" w:name="_Toc184746934"/>
      <w:bookmarkStart w:id="1018" w:name="_Toc185948676"/>
      <w:bookmarkStart w:id="1019" w:name="_Toc186884260"/>
      <w:bookmarkStart w:id="1020" w:name="_Toc187428002"/>
      <w:bookmarkStart w:id="1021" w:name="_Toc188450378"/>
      <w:bookmarkStart w:id="1022" w:name="_Toc188619270"/>
      <w:bookmarkStart w:id="1023" w:name="_Toc178350596"/>
      <w:bookmarkStart w:id="1024" w:name="_Toc178352440"/>
      <w:bookmarkStart w:id="1025" w:name="_Toc178354554"/>
      <w:bookmarkStart w:id="1026" w:name="_Toc178357363"/>
      <w:bookmarkStart w:id="1027" w:name="_Toc178359162"/>
      <w:bookmarkStart w:id="1028" w:name="_Toc178371358"/>
      <w:bookmarkStart w:id="1029" w:name="_Toc184746935"/>
      <w:bookmarkStart w:id="1030" w:name="_Toc185948677"/>
      <w:bookmarkStart w:id="1031" w:name="_Toc186884261"/>
      <w:bookmarkStart w:id="1032" w:name="_Toc187428003"/>
      <w:bookmarkStart w:id="1033" w:name="_Toc188450379"/>
      <w:bookmarkStart w:id="1034" w:name="_Toc188619271"/>
      <w:bookmarkStart w:id="1035" w:name="_Toc178350637"/>
      <w:bookmarkStart w:id="1036" w:name="_Toc178352481"/>
      <w:bookmarkStart w:id="1037" w:name="_Toc178354595"/>
      <w:bookmarkStart w:id="1038" w:name="_Toc178357404"/>
      <w:bookmarkStart w:id="1039" w:name="_Toc178359203"/>
      <w:bookmarkStart w:id="1040" w:name="_Toc178371399"/>
      <w:bookmarkStart w:id="1041" w:name="_Toc184746976"/>
      <w:bookmarkStart w:id="1042" w:name="_Toc185948718"/>
      <w:bookmarkStart w:id="1043" w:name="_Toc186884302"/>
      <w:bookmarkStart w:id="1044" w:name="_Toc187428044"/>
      <w:bookmarkStart w:id="1045" w:name="_Toc188450420"/>
      <w:bookmarkStart w:id="1046" w:name="_Toc188619312"/>
      <w:bookmarkStart w:id="1047" w:name="_Toc148102407"/>
      <w:bookmarkStart w:id="1048" w:name="_Toc152605891"/>
      <w:bookmarkStart w:id="1049" w:name="_Toc177119025"/>
      <w:bookmarkStart w:id="1050" w:name="_Toc185952585"/>
      <w:bookmarkStart w:id="1051" w:name="_Toc192874755"/>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t>Accessing</w:t>
      </w:r>
      <w:r>
        <w:rPr>
          <w:u w:color="000000"/>
        </w:rPr>
        <w:t xml:space="preserve"> ALM Tool</w:t>
      </w:r>
      <w:bookmarkEnd w:id="1047"/>
      <w:bookmarkEnd w:id="1048"/>
      <w:bookmarkEnd w:id="1049"/>
      <w:bookmarkEnd w:id="1050"/>
      <w:bookmarkEnd w:id="1051"/>
    </w:p>
    <w:p w14:paraId="4D31F1D8" w14:textId="77777777" w:rsidR="00C5516F" w:rsidRPr="00A21682" w:rsidRDefault="00C5516F" w:rsidP="001428D8">
      <w:pPr>
        <w:pStyle w:val="NormalNEW"/>
        <w:rPr>
          <w:u w:color="000000"/>
          <w:lang w:val="en-US" w:eastAsia="ko-KR"/>
        </w:rPr>
      </w:pPr>
      <w:r>
        <w:rPr>
          <w:u w:color="000000"/>
          <w:lang w:val="en-US" w:eastAsia="ko-KR"/>
        </w:rPr>
        <w:t>Access to the ALM tool is open to all ███████ teams and DOH stakeholders. User training content and tool walkthroughs for specific workflows will be available at respective relevant SDLC phases (e.g., Design workflow prior to the start of Design Phase; Development workflow prior to the start of Development Phase, etc.) for impacted DOH stakeholders.</w:t>
      </w:r>
    </w:p>
    <w:p w14:paraId="1017BA39" w14:textId="13C71045" w:rsidR="00C5516F" w:rsidRPr="00BF569B" w:rsidRDefault="00C5516F" w:rsidP="001428D8">
      <w:pPr>
        <w:pStyle w:val="NormalNEW"/>
        <w:rPr>
          <w:u w:color="000000"/>
          <w:lang w:val="en-US"/>
        </w:rPr>
      </w:pPr>
      <w:r>
        <w:rPr>
          <w:color w:val="000000"/>
          <w:u w:color="000000"/>
          <w:lang w:val="en-US"/>
        </w:rPr>
        <w:t>Access to</w:t>
      </w:r>
      <w:r>
        <w:rPr>
          <w:rFonts w:cs="Arial"/>
          <w:color w:val="000000"/>
          <w:u w:color="000000"/>
          <w:lang w:val="en-US"/>
        </w:rPr>
        <w:t xml:space="preserve"> </w:t>
      </w:r>
      <w:r>
        <w:rPr>
          <w:rFonts w:cs="Arial"/>
          <w:highlight w:val="black"/>
          <w:u w:val="single" w:color="003366"/>
          <w:lang w:val="en-US"/>
        </w:rPr>
        <w:t>The ALM tool</w:t>
      </w:r>
    </w:p>
    <w:tbl>
      <w:tblPr>
        <w:tblW w:w="9360" w:type="dxa"/>
        <w:tblInd w:w="-5" w:type="dxa"/>
        <w:tblLook w:val="04A0" w:firstRow="1" w:lastRow="0" w:firstColumn="1" w:lastColumn="0" w:noHBand="0" w:noVBand="1"/>
      </w:tblPr>
      <w:tblGrid>
        <w:gridCol w:w="1358"/>
        <w:gridCol w:w="6472"/>
        <w:gridCol w:w="1530"/>
      </w:tblGrid>
      <w:tr w:rsidR="009A7CFD" w:rsidRPr="00A21682" w14:paraId="38858A74" w14:textId="77777777" w:rsidTr="00C968EF">
        <w:tc>
          <w:tcPr>
            <w:tcW w:w="1358" w:type="dxa"/>
            <w:tcBorders>
              <w:left w:val="single" w:sz="4" w:space="0" w:color="auto"/>
              <w:right w:val="single" w:sz="2" w:space="0" w:color="FFFFFF" w:themeColor="background1"/>
            </w:tcBorders>
            <w:shd w:val="clear" w:color="auto" w:fill="000000"/>
          </w:tcPr>
          <w:p w14:paraId="794FCC82" w14:textId="77777777" w:rsidR="00C5516F" w:rsidRPr="00A21682" w:rsidRDefault="00C5516F" w:rsidP="00047C4E">
            <w:pPr>
              <w:pStyle w:val="TABLEHEADINGNEW"/>
              <w:rPr>
                <w:u w:color="000000"/>
              </w:rPr>
            </w:pPr>
            <w:r>
              <w:rPr>
                <w:u w:color="000000"/>
              </w:rPr>
              <w:t>#</w:t>
            </w:r>
          </w:p>
        </w:tc>
        <w:tc>
          <w:tcPr>
            <w:tcW w:w="6472" w:type="dxa"/>
            <w:tcBorders>
              <w:left w:val="single" w:sz="2" w:space="0" w:color="FFFFFF" w:themeColor="background1"/>
              <w:right w:val="single" w:sz="2" w:space="0" w:color="FFFFFF" w:themeColor="background1"/>
            </w:tcBorders>
            <w:shd w:val="clear" w:color="auto" w:fill="000000"/>
          </w:tcPr>
          <w:p w14:paraId="05659316" w14:textId="77777777" w:rsidR="00C5516F" w:rsidRPr="00A21682" w:rsidRDefault="00C5516F" w:rsidP="00047C4E">
            <w:pPr>
              <w:pStyle w:val="TABLEHEADINGNEW"/>
              <w:rPr>
                <w:u w:color="000000"/>
              </w:rPr>
            </w:pPr>
            <w:r>
              <w:rPr>
                <w:u w:color="000000"/>
              </w:rPr>
              <w:t>Access Step</w:t>
            </w:r>
          </w:p>
        </w:tc>
        <w:tc>
          <w:tcPr>
            <w:tcW w:w="1530" w:type="dxa"/>
            <w:tcBorders>
              <w:left w:val="single" w:sz="2" w:space="0" w:color="FFFFFF" w:themeColor="background1"/>
            </w:tcBorders>
            <w:shd w:val="clear" w:color="auto" w:fill="000000"/>
          </w:tcPr>
          <w:p w14:paraId="24C87036" w14:textId="77777777" w:rsidR="00C5516F" w:rsidRPr="00A21682" w:rsidRDefault="00C5516F" w:rsidP="00047C4E">
            <w:pPr>
              <w:pStyle w:val="TABLEHEADINGNEW"/>
              <w:rPr>
                <w:u w:color="000000"/>
              </w:rPr>
            </w:pPr>
            <w:r>
              <w:rPr>
                <w:u w:color="000000"/>
              </w:rPr>
              <w:t>Owner</w:t>
            </w:r>
          </w:p>
        </w:tc>
      </w:tr>
      <w:tr w:rsidR="00C5516F" w:rsidRPr="00A21682" w14:paraId="77A6ABAD" w14:textId="77777777" w:rsidTr="00047C4E">
        <w:tc>
          <w:tcPr>
            <w:tcW w:w="1358" w:type="dxa"/>
            <w:tcBorders>
              <w:left w:val="single" w:sz="4" w:space="0" w:color="auto"/>
              <w:bottom w:val="single" w:sz="4" w:space="0" w:color="auto"/>
              <w:right w:val="single" w:sz="4" w:space="0" w:color="auto"/>
            </w:tcBorders>
          </w:tcPr>
          <w:p w14:paraId="761D5EE0" w14:textId="4B5F5DC2" w:rsidR="00C5516F" w:rsidRPr="00A21682" w:rsidRDefault="00F22B1D" w:rsidP="00047C4E">
            <w:pPr>
              <w:pStyle w:val="TABLETEXT1"/>
              <w:rPr>
                <w:u w:color="000000"/>
                <w:lang w:val="en-US"/>
              </w:rPr>
            </w:pPr>
            <w:r>
              <w:rPr>
                <w:u w:color="000000"/>
                <w:lang w:val="en-US"/>
              </w:rPr>
              <w:t>1</w:t>
            </w:r>
          </w:p>
        </w:tc>
        <w:tc>
          <w:tcPr>
            <w:tcW w:w="6472" w:type="dxa"/>
            <w:tcBorders>
              <w:left w:val="single" w:sz="4" w:space="0" w:color="auto"/>
              <w:bottom w:val="single" w:sz="4" w:space="0" w:color="auto"/>
              <w:right w:val="single" w:sz="4" w:space="0" w:color="auto"/>
            </w:tcBorders>
          </w:tcPr>
          <w:p w14:paraId="5FCDB64D" w14:textId="4F0BD628" w:rsidR="00C5516F" w:rsidRPr="00A21682" w:rsidRDefault="00C5516F" w:rsidP="00047C4E">
            <w:pPr>
              <w:pStyle w:val="TABLETEXT1"/>
              <w:rPr>
                <w:rFonts w:cs="Times New Roman"/>
                <w:u w:color="000000"/>
                <w:lang w:val="en-US"/>
              </w:rPr>
            </w:pPr>
            <w:r>
              <w:rPr>
                <w:rFonts w:cs="Times New Roman"/>
                <w:u w:color="000000"/>
                <w:lang w:val="en-US"/>
              </w:rPr>
              <w:t xml:space="preserve">Submit a request to </w:t>
            </w:r>
            <w:r>
              <w:rPr>
                <w:highlight w:val="black"/>
                <w:u w:val="single" w:color="003366"/>
                <w:lang w:val="en-US"/>
              </w:rPr>
              <w:t>the PMO support mailbox</w:t>
            </w:r>
            <w:r>
              <w:rPr>
                <w:rFonts w:cs="Times New Roman"/>
                <w:u w:color="000000"/>
                <w:lang w:val="en-US"/>
              </w:rPr>
              <w:t xml:space="preserve"> </w:t>
            </w:r>
          </w:p>
        </w:tc>
        <w:tc>
          <w:tcPr>
            <w:tcW w:w="1530" w:type="dxa"/>
            <w:tcBorders>
              <w:left w:val="single" w:sz="4" w:space="0" w:color="auto"/>
              <w:bottom w:val="single" w:sz="4" w:space="0" w:color="auto"/>
              <w:right w:val="single" w:sz="4" w:space="0" w:color="auto"/>
            </w:tcBorders>
          </w:tcPr>
          <w:p w14:paraId="71D79CC8" w14:textId="77777777" w:rsidR="00C5516F" w:rsidRPr="00A21682" w:rsidRDefault="00C5516F" w:rsidP="00047C4E">
            <w:pPr>
              <w:pStyle w:val="TABLETEXT1"/>
              <w:rPr>
                <w:rFonts w:cs="Times New Roman"/>
                <w:u w:color="000000"/>
                <w:lang w:val="en-US"/>
              </w:rPr>
            </w:pPr>
            <w:r>
              <w:rPr>
                <w:rFonts w:cs="Times New Roman"/>
                <w:u w:color="000000"/>
                <w:lang w:val="en-US"/>
              </w:rPr>
              <w:t>Requestor</w:t>
            </w:r>
          </w:p>
        </w:tc>
      </w:tr>
      <w:tr w:rsidR="00C5516F" w:rsidRPr="00A21682" w14:paraId="5541032E" w14:textId="77777777" w:rsidTr="00047C4E">
        <w:tc>
          <w:tcPr>
            <w:tcW w:w="1358" w:type="dxa"/>
            <w:tcBorders>
              <w:top w:val="single" w:sz="4" w:space="0" w:color="auto"/>
              <w:left w:val="single" w:sz="4" w:space="0" w:color="auto"/>
              <w:bottom w:val="single" w:sz="4" w:space="0" w:color="auto"/>
              <w:right w:val="single" w:sz="4" w:space="0" w:color="auto"/>
            </w:tcBorders>
          </w:tcPr>
          <w:p w14:paraId="5014F1F9" w14:textId="249CC7D3" w:rsidR="00C5516F" w:rsidRPr="00A21682" w:rsidRDefault="00F22B1D" w:rsidP="00047C4E">
            <w:pPr>
              <w:pStyle w:val="TABLETEXT1"/>
              <w:rPr>
                <w:u w:color="000000"/>
                <w:lang w:val="en-US"/>
              </w:rPr>
            </w:pPr>
            <w:r>
              <w:rPr>
                <w:u w:color="000000"/>
                <w:lang w:val="en-US"/>
              </w:rPr>
              <w:t>2</w:t>
            </w:r>
          </w:p>
        </w:tc>
        <w:tc>
          <w:tcPr>
            <w:tcW w:w="6472" w:type="dxa"/>
            <w:tcBorders>
              <w:top w:val="single" w:sz="4" w:space="0" w:color="auto"/>
              <w:left w:val="single" w:sz="4" w:space="0" w:color="auto"/>
              <w:bottom w:val="single" w:sz="4" w:space="0" w:color="auto"/>
              <w:right w:val="single" w:sz="4" w:space="0" w:color="auto"/>
            </w:tcBorders>
          </w:tcPr>
          <w:p w14:paraId="4E93CD79" w14:textId="77777777" w:rsidR="00C5516F" w:rsidRPr="00A21682" w:rsidRDefault="00C5516F" w:rsidP="00047C4E">
            <w:pPr>
              <w:pStyle w:val="TABLETEXT1"/>
              <w:rPr>
                <w:rFonts w:cs="Times New Roman"/>
                <w:u w:color="000000"/>
                <w:lang w:val="en-US"/>
              </w:rPr>
            </w:pPr>
            <w:r>
              <w:rPr>
                <w:rFonts w:cs="Times New Roman"/>
                <w:u w:color="000000"/>
                <w:lang w:val="en-US"/>
              </w:rPr>
              <w:t>Admin Approves Request</w:t>
            </w:r>
          </w:p>
        </w:tc>
        <w:tc>
          <w:tcPr>
            <w:tcW w:w="1530" w:type="dxa"/>
            <w:tcBorders>
              <w:top w:val="single" w:sz="4" w:space="0" w:color="auto"/>
              <w:left w:val="single" w:sz="4" w:space="0" w:color="auto"/>
              <w:bottom w:val="single" w:sz="4" w:space="0" w:color="auto"/>
              <w:right w:val="single" w:sz="4" w:space="0" w:color="auto"/>
            </w:tcBorders>
          </w:tcPr>
          <w:p w14:paraId="173E8A01" w14:textId="77777777" w:rsidR="00C5516F" w:rsidRPr="00A21682" w:rsidRDefault="00C5516F" w:rsidP="00047C4E">
            <w:pPr>
              <w:pStyle w:val="TABLETEXT1"/>
              <w:rPr>
                <w:rFonts w:cs="Times New Roman"/>
                <w:u w:color="000000"/>
                <w:lang w:val="en-US"/>
              </w:rPr>
            </w:pPr>
            <w:r>
              <w:rPr>
                <w:rFonts w:cs="Times New Roman"/>
                <w:u w:color="000000"/>
                <w:lang w:val="en-US"/>
              </w:rPr>
              <w:t>System Admin</w:t>
            </w:r>
          </w:p>
        </w:tc>
      </w:tr>
      <w:tr w:rsidR="00C5516F" w:rsidRPr="00A21682" w14:paraId="77A7DC62" w14:textId="77777777" w:rsidTr="00047C4E">
        <w:tc>
          <w:tcPr>
            <w:tcW w:w="1358" w:type="dxa"/>
            <w:tcBorders>
              <w:top w:val="single" w:sz="4" w:space="0" w:color="auto"/>
              <w:left w:val="single" w:sz="4" w:space="0" w:color="auto"/>
              <w:bottom w:val="single" w:sz="4" w:space="0" w:color="auto"/>
              <w:right w:val="single" w:sz="4" w:space="0" w:color="auto"/>
            </w:tcBorders>
          </w:tcPr>
          <w:p w14:paraId="3A23EC1B" w14:textId="2DAAB628" w:rsidR="00C5516F" w:rsidRPr="00A21682" w:rsidRDefault="00F22B1D" w:rsidP="00047C4E">
            <w:pPr>
              <w:pStyle w:val="TABLETEXT1"/>
              <w:rPr>
                <w:u w:color="000000"/>
                <w:lang w:val="en-US"/>
              </w:rPr>
            </w:pPr>
            <w:r>
              <w:rPr>
                <w:u w:color="000000"/>
                <w:lang w:val="en-US"/>
              </w:rPr>
              <w:t>3</w:t>
            </w:r>
          </w:p>
        </w:tc>
        <w:tc>
          <w:tcPr>
            <w:tcW w:w="6472" w:type="dxa"/>
            <w:tcBorders>
              <w:top w:val="single" w:sz="4" w:space="0" w:color="auto"/>
              <w:left w:val="single" w:sz="4" w:space="0" w:color="auto"/>
              <w:bottom w:val="single" w:sz="4" w:space="0" w:color="auto"/>
              <w:right w:val="single" w:sz="4" w:space="0" w:color="auto"/>
            </w:tcBorders>
          </w:tcPr>
          <w:p w14:paraId="0F258CF9" w14:textId="77777777" w:rsidR="00C5516F" w:rsidRPr="00A21682" w:rsidRDefault="00C5516F" w:rsidP="00047C4E">
            <w:pPr>
              <w:pStyle w:val="TABLETEXT1"/>
              <w:rPr>
                <w:rFonts w:cs="Times New Roman"/>
                <w:u w:color="000000"/>
                <w:lang w:val="en-US"/>
              </w:rPr>
            </w:pPr>
            <w:r>
              <w:rPr>
                <w:rFonts w:cs="Times New Roman"/>
                <w:u w:color="000000"/>
                <w:lang w:val="en-US"/>
              </w:rPr>
              <w:t>Once approved, gain access to the ALM tool (user’s specific account)</w:t>
            </w:r>
          </w:p>
        </w:tc>
        <w:tc>
          <w:tcPr>
            <w:tcW w:w="1530" w:type="dxa"/>
            <w:tcBorders>
              <w:top w:val="single" w:sz="4" w:space="0" w:color="auto"/>
              <w:left w:val="single" w:sz="4" w:space="0" w:color="auto"/>
              <w:bottom w:val="single" w:sz="4" w:space="0" w:color="auto"/>
              <w:right w:val="single" w:sz="4" w:space="0" w:color="auto"/>
            </w:tcBorders>
          </w:tcPr>
          <w:p w14:paraId="2E9DD2AC" w14:textId="77777777" w:rsidR="00C5516F" w:rsidRPr="00A21682" w:rsidRDefault="00C5516F" w:rsidP="00047C4E">
            <w:pPr>
              <w:pStyle w:val="TABLETEXT1"/>
              <w:rPr>
                <w:rFonts w:cs="Times New Roman"/>
                <w:u w:color="000000"/>
                <w:lang w:val="en-US"/>
              </w:rPr>
            </w:pPr>
            <w:r>
              <w:rPr>
                <w:rFonts w:cs="Times New Roman"/>
                <w:u w:color="000000"/>
                <w:lang w:val="en-US"/>
              </w:rPr>
              <w:t>User</w:t>
            </w:r>
          </w:p>
        </w:tc>
      </w:tr>
    </w:tbl>
    <w:p w14:paraId="7DBE9BE0" w14:textId="4770B871" w:rsidR="00C5516F" w:rsidRPr="00A21682" w:rsidRDefault="00C5516F" w:rsidP="00CC44DD">
      <w:pPr>
        <w:pStyle w:val="Caption"/>
        <w:rPr>
          <w:noProof w:val="0"/>
        </w:rPr>
      </w:pPr>
      <w:bookmarkStart w:id="1052" w:name="_Toc150951916"/>
      <w:bookmarkStart w:id="1053" w:name="_Toc192875133"/>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48</w:t>
      </w:r>
      <w:r>
        <w:rPr>
          <w:noProof w:val="0"/>
        </w:rPr>
        <w:fldChar w:fldCharType="end"/>
      </w:r>
      <w:r>
        <w:rPr>
          <w:noProof w:val="0"/>
        </w:rPr>
        <w:t>: ALM Tool Access</w:t>
      </w:r>
      <w:bookmarkEnd w:id="1052"/>
      <w:bookmarkEnd w:id="1053"/>
    </w:p>
    <w:p w14:paraId="146EDF62" w14:textId="203634C1" w:rsidR="00C5516F" w:rsidRPr="00A21682" w:rsidRDefault="00C5516F" w:rsidP="001428D8">
      <w:pPr>
        <w:pStyle w:val="NormalNEW"/>
        <w:rPr>
          <w:rFonts w:cs="Times New Roman"/>
          <w:u w:color="000000"/>
          <w:lang w:val="en-US"/>
        </w:rPr>
      </w:pPr>
      <w:r>
        <w:rPr>
          <w:rFonts w:cs="Times New Roman"/>
          <w:u w:color="000000"/>
          <w:lang w:val="en-US"/>
        </w:rPr>
        <w:t xml:space="preserve">For troubleshooting login or access issues, contact </w:t>
      </w:r>
      <w:r>
        <w:rPr>
          <w:highlight w:val="black"/>
          <w:u w:val="single" w:color="003366"/>
          <w:lang w:val="en-US"/>
        </w:rPr>
        <w:t>the PMO support mailbox</w:t>
      </w:r>
      <w:r>
        <w:rPr>
          <w:rFonts w:cs="Times New Roman"/>
          <w:u w:color="000000"/>
          <w:lang w:val="en-US"/>
        </w:rPr>
        <w:t xml:space="preserve"> </w:t>
      </w:r>
    </w:p>
    <w:p w14:paraId="4AB866B2" w14:textId="77777777" w:rsidR="00C5516F" w:rsidRPr="00A21682" w:rsidRDefault="00C5516F">
      <w:pPr>
        <w:pStyle w:val="Heading2"/>
        <w:rPr>
          <w:u w:color="000000"/>
        </w:rPr>
      </w:pPr>
      <w:bookmarkStart w:id="1054" w:name="_Toc148102408"/>
      <w:bookmarkStart w:id="1055" w:name="_Toc152605892"/>
      <w:bookmarkStart w:id="1056" w:name="_Toc177119026"/>
      <w:bookmarkStart w:id="1057" w:name="_Toc185952586"/>
      <w:bookmarkStart w:id="1058" w:name="_Toc192874756"/>
      <w:r>
        <w:rPr>
          <w:u w:color="000000"/>
        </w:rPr>
        <w:t>Source-Code Repository</w:t>
      </w:r>
      <w:bookmarkEnd w:id="1054"/>
      <w:bookmarkEnd w:id="1055"/>
      <w:bookmarkEnd w:id="1056"/>
      <w:bookmarkEnd w:id="1057"/>
      <w:bookmarkEnd w:id="1058"/>
      <w:r>
        <w:rPr>
          <w:u w:color="000000"/>
        </w:rPr>
        <w:t xml:space="preserve"> </w:t>
      </w:r>
    </w:p>
    <w:p w14:paraId="40F9CD91" w14:textId="0A4C09F2" w:rsidR="00C5516F" w:rsidRPr="00A21682" w:rsidRDefault="00C5516F" w:rsidP="001428D8">
      <w:pPr>
        <w:pStyle w:val="NormalNEW"/>
        <w:rPr>
          <w:u w:color="000000"/>
          <w:shd w:val="clear" w:color="auto" w:fill="FFFFFF"/>
          <w:lang w:val="en-US"/>
        </w:rPr>
      </w:pPr>
      <w:r>
        <w:rPr>
          <w:u w:color="000000"/>
          <w:lang w:val="en-US"/>
        </w:rPr>
        <w:t>The source-code repository serves as the MECM software code repository providing version control, check in/out features, traceability to the ALM tool and integration with the overall continuous integration/continuous deployment pipeline. For further details regarding the code branch and merge strategy, refer to Release Management Plan (DEL-34).</w:t>
      </w:r>
    </w:p>
    <w:p w14:paraId="4A500AAB" w14:textId="77777777" w:rsidR="00C5516F" w:rsidRPr="00A21682" w:rsidRDefault="00C5516F">
      <w:pPr>
        <w:pStyle w:val="Heading3"/>
        <w:rPr>
          <w:u w:color="000000"/>
        </w:rPr>
      </w:pPr>
      <w:bookmarkStart w:id="1059" w:name="_Toc148102409"/>
      <w:bookmarkStart w:id="1060" w:name="_Toc152605893"/>
      <w:bookmarkStart w:id="1061" w:name="_Toc177119027"/>
      <w:bookmarkStart w:id="1062" w:name="_Toc185952587"/>
      <w:bookmarkStart w:id="1063" w:name="_Toc192874757"/>
      <w:r>
        <w:rPr>
          <w:u w:color="000000"/>
        </w:rPr>
        <w:t>ALM Tool Roles and Permissions</w:t>
      </w:r>
      <w:bookmarkEnd w:id="1059"/>
      <w:bookmarkEnd w:id="1060"/>
      <w:bookmarkEnd w:id="1061"/>
      <w:bookmarkEnd w:id="1062"/>
      <w:bookmarkEnd w:id="1063"/>
    </w:p>
    <w:tbl>
      <w:tblPr>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631"/>
        <w:gridCol w:w="3214"/>
        <w:gridCol w:w="3600"/>
      </w:tblGrid>
      <w:tr w:rsidR="00C5516F" w:rsidRPr="00A21682" w14:paraId="13B1E5AC" w14:textId="77777777" w:rsidTr="00C968EF">
        <w:trPr>
          <w:cantSplit/>
          <w:tblHeader/>
        </w:trPr>
        <w:tc>
          <w:tcPr>
            <w:tcW w:w="9445" w:type="dxa"/>
            <w:gridSpan w:val="3"/>
            <w:tcBorders>
              <w:bottom w:val="single" w:sz="2" w:space="0" w:color="FFFFFF" w:themeColor="background1"/>
            </w:tcBorders>
            <w:shd w:val="clear" w:color="auto" w:fill="000000"/>
          </w:tcPr>
          <w:p w14:paraId="7BB61789" w14:textId="77777777" w:rsidR="00C5516F" w:rsidRPr="00A21682" w:rsidRDefault="00C5516F" w:rsidP="00047C4E">
            <w:pPr>
              <w:pStyle w:val="TABLEHEADINGNEW"/>
              <w:jc w:val="center"/>
            </w:pPr>
            <w:r>
              <w:t>NY-MECM</w:t>
            </w:r>
          </w:p>
        </w:tc>
      </w:tr>
      <w:tr w:rsidR="00C5516F" w:rsidRPr="00A21682" w14:paraId="6C6B6478" w14:textId="77777777" w:rsidTr="00C968EF">
        <w:trPr>
          <w:cantSplit/>
          <w:tblHeader/>
        </w:trPr>
        <w:tc>
          <w:tcPr>
            <w:tcW w:w="2631" w:type="dxa"/>
            <w:tcBorders>
              <w:top w:val="single" w:sz="2" w:space="0" w:color="FFFFFF" w:themeColor="background1"/>
              <w:right w:val="single" w:sz="2" w:space="0" w:color="FFFFFF" w:themeColor="background1"/>
            </w:tcBorders>
            <w:shd w:val="clear" w:color="auto" w:fill="000000"/>
          </w:tcPr>
          <w:p w14:paraId="2AC4B78D" w14:textId="77777777" w:rsidR="00C5516F" w:rsidRPr="00A21682" w:rsidRDefault="00C5516F" w:rsidP="00047C4E">
            <w:pPr>
              <w:pStyle w:val="TABLEHEADINGNEW"/>
            </w:pPr>
            <w:r>
              <w:t>Tool Role</w:t>
            </w:r>
          </w:p>
        </w:tc>
        <w:tc>
          <w:tcPr>
            <w:tcW w:w="3214"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57C25B50" w14:textId="77777777" w:rsidR="00C5516F" w:rsidRPr="00A21682" w:rsidRDefault="00C5516F" w:rsidP="00047C4E">
            <w:pPr>
              <w:pStyle w:val="TABLEHEADINGNEW"/>
            </w:pPr>
            <w:r>
              <w:t>RACI Role</w:t>
            </w:r>
          </w:p>
        </w:tc>
        <w:tc>
          <w:tcPr>
            <w:tcW w:w="3600" w:type="dxa"/>
            <w:tcBorders>
              <w:top w:val="single" w:sz="2" w:space="0" w:color="FFFFFF" w:themeColor="background1"/>
              <w:left w:val="single" w:sz="2" w:space="0" w:color="FFFFFF" w:themeColor="background1"/>
            </w:tcBorders>
            <w:shd w:val="clear" w:color="auto" w:fill="000000"/>
          </w:tcPr>
          <w:p w14:paraId="5635E3A7" w14:textId="77777777" w:rsidR="00C5516F" w:rsidRPr="00A21682" w:rsidRDefault="00C5516F" w:rsidP="00047C4E">
            <w:pPr>
              <w:pStyle w:val="TABLEHEADINGNEW"/>
            </w:pPr>
            <w:r>
              <w:t>Key Permissions in the source-code repository</w:t>
            </w:r>
          </w:p>
        </w:tc>
      </w:tr>
      <w:tr w:rsidR="00C5516F" w:rsidRPr="00A21682" w14:paraId="1E66E26E" w14:textId="77777777" w:rsidTr="00047C4E">
        <w:trPr>
          <w:cantSplit/>
        </w:trPr>
        <w:tc>
          <w:tcPr>
            <w:tcW w:w="2631" w:type="dxa"/>
            <w:shd w:val="clear" w:color="auto" w:fill="FFFFFF" w:themeFill="background1"/>
          </w:tcPr>
          <w:p w14:paraId="6EFA3186" w14:textId="77777777" w:rsidR="00C5516F" w:rsidRPr="00A21682" w:rsidRDefault="00C5516F" w:rsidP="00047C4E">
            <w:pPr>
              <w:pStyle w:val="TABLETEXT1"/>
              <w:rPr>
                <w:lang w:val="en-US"/>
              </w:rPr>
            </w:pPr>
            <w:r>
              <w:rPr>
                <w:lang w:val="en-US"/>
              </w:rPr>
              <w:t>Administrator</w:t>
            </w:r>
          </w:p>
        </w:tc>
        <w:tc>
          <w:tcPr>
            <w:tcW w:w="3214" w:type="dxa"/>
          </w:tcPr>
          <w:p w14:paraId="0F4ACB1B" w14:textId="77777777" w:rsidR="00C5516F" w:rsidRPr="00635C9B" w:rsidRDefault="00C5516F" w:rsidP="006437DE">
            <w:pPr>
              <w:pStyle w:val="TABLEBULLETNEW"/>
            </w:pPr>
            <w:r>
              <w:t>███████ Tool Administrator</w:t>
            </w:r>
          </w:p>
        </w:tc>
        <w:tc>
          <w:tcPr>
            <w:tcW w:w="3600" w:type="dxa"/>
          </w:tcPr>
          <w:p w14:paraId="435E942A" w14:textId="77777777" w:rsidR="00C5516F" w:rsidRPr="00635C9B" w:rsidRDefault="00C5516F" w:rsidP="006437DE">
            <w:pPr>
              <w:pStyle w:val="TABLEBULLETNEW"/>
            </w:pPr>
            <w:r>
              <w:t>Edit/Read, Admin settings, User Access, Repo Access</w:t>
            </w:r>
          </w:p>
        </w:tc>
      </w:tr>
      <w:tr w:rsidR="00C5516F" w:rsidRPr="00A21682" w14:paraId="6BE9B914" w14:textId="77777777" w:rsidTr="00047C4E">
        <w:trPr>
          <w:cantSplit/>
        </w:trPr>
        <w:tc>
          <w:tcPr>
            <w:tcW w:w="2631" w:type="dxa"/>
            <w:shd w:val="clear" w:color="auto" w:fill="FFFFFF" w:themeFill="background1"/>
          </w:tcPr>
          <w:p w14:paraId="6C096143" w14:textId="77777777" w:rsidR="00C5516F" w:rsidRPr="00A21682" w:rsidRDefault="00C5516F" w:rsidP="00047C4E">
            <w:pPr>
              <w:pStyle w:val="TABLETEXT1"/>
              <w:rPr>
                <w:lang w:val="en-US"/>
              </w:rPr>
            </w:pPr>
            <w:r>
              <w:rPr>
                <w:lang w:val="en-US"/>
              </w:rPr>
              <w:lastRenderedPageBreak/>
              <w:t xml:space="preserve">Developer </w:t>
            </w:r>
          </w:p>
        </w:tc>
        <w:tc>
          <w:tcPr>
            <w:tcW w:w="3214" w:type="dxa"/>
          </w:tcPr>
          <w:p w14:paraId="3EE5363C" w14:textId="77777777" w:rsidR="00C5516F" w:rsidRPr="00635C9B" w:rsidRDefault="00C5516F" w:rsidP="006437DE">
            <w:pPr>
              <w:pStyle w:val="TABLEBULLETNEW"/>
            </w:pPr>
            <w:r>
              <w:t>███████ Technical Manager</w:t>
            </w:r>
          </w:p>
          <w:p w14:paraId="7A5E6F0A" w14:textId="77777777" w:rsidR="00C5516F" w:rsidRPr="00635C9B" w:rsidRDefault="00C5516F" w:rsidP="006437DE">
            <w:pPr>
              <w:pStyle w:val="TABLEBULLETNEW"/>
            </w:pPr>
            <w:r>
              <w:t>Developers</w:t>
            </w:r>
          </w:p>
          <w:p w14:paraId="13D6CB45" w14:textId="77777777" w:rsidR="00C5516F" w:rsidRPr="00635C9B" w:rsidRDefault="00C5516F" w:rsidP="006437DE">
            <w:pPr>
              <w:pStyle w:val="TABLEBULLETNEW"/>
            </w:pPr>
            <w:r>
              <w:t>Automation Testers</w:t>
            </w:r>
          </w:p>
          <w:p w14:paraId="3240DAA1" w14:textId="06584963" w:rsidR="00C5516F" w:rsidRPr="00635C9B" w:rsidRDefault="00C5516F" w:rsidP="006437DE">
            <w:pPr>
              <w:pStyle w:val="TABLEBULLETNEW"/>
            </w:pPr>
            <w:r>
              <w:t>Technology Team</w:t>
            </w:r>
          </w:p>
        </w:tc>
        <w:tc>
          <w:tcPr>
            <w:tcW w:w="3600" w:type="dxa"/>
          </w:tcPr>
          <w:p w14:paraId="7D100DAE" w14:textId="77777777" w:rsidR="00C5516F" w:rsidRPr="00635C9B" w:rsidRDefault="00C5516F" w:rsidP="006437DE">
            <w:pPr>
              <w:pStyle w:val="TABLEBULLETNEW"/>
            </w:pPr>
            <w:r>
              <w:t>Edit/Read to Repo</w:t>
            </w:r>
          </w:p>
        </w:tc>
      </w:tr>
      <w:tr w:rsidR="00C5516F" w:rsidRPr="00A21682" w14:paraId="412C8FA2" w14:textId="77777777" w:rsidTr="00047C4E">
        <w:trPr>
          <w:cantSplit/>
        </w:trPr>
        <w:tc>
          <w:tcPr>
            <w:tcW w:w="2631" w:type="dxa"/>
            <w:shd w:val="clear" w:color="auto" w:fill="FFFFFF" w:themeFill="background1"/>
          </w:tcPr>
          <w:p w14:paraId="006E31A0" w14:textId="77777777" w:rsidR="00C5516F" w:rsidRPr="00A21682" w:rsidRDefault="00C5516F" w:rsidP="00047C4E">
            <w:pPr>
              <w:pStyle w:val="TABLETEXT1"/>
              <w:rPr>
                <w:lang w:val="en-US"/>
              </w:rPr>
            </w:pPr>
            <w:r>
              <w:rPr>
                <w:lang w:val="en-US"/>
              </w:rPr>
              <w:t>the source-code repository Read-Only</w:t>
            </w:r>
          </w:p>
        </w:tc>
        <w:tc>
          <w:tcPr>
            <w:tcW w:w="3214" w:type="dxa"/>
          </w:tcPr>
          <w:p w14:paraId="1E727642" w14:textId="77777777" w:rsidR="00C5516F" w:rsidRPr="00635C9B" w:rsidRDefault="00C5516F" w:rsidP="006437DE">
            <w:pPr>
              <w:pStyle w:val="TABLEBULLETNEW"/>
            </w:pPr>
            <w:r>
              <w:t>DOH Stakeholders</w:t>
            </w:r>
          </w:p>
        </w:tc>
        <w:tc>
          <w:tcPr>
            <w:tcW w:w="3600" w:type="dxa"/>
          </w:tcPr>
          <w:p w14:paraId="282F7F1F" w14:textId="77777777" w:rsidR="00C5516F" w:rsidRPr="00635C9B" w:rsidRDefault="00C5516F" w:rsidP="006437DE">
            <w:pPr>
              <w:pStyle w:val="TABLEBULLETNEW"/>
            </w:pPr>
            <w:r>
              <w:t>Read Only Access</w:t>
            </w:r>
          </w:p>
        </w:tc>
      </w:tr>
    </w:tbl>
    <w:p w14:paraId="658F00FE" w14:textId="57F5B84A" w:rsidR="00C5516F" w:rsidRPr="00A21682" w:rsidRDefault="00C5516F" w:rsidP="00CC44DD">
      <w:pPr>
        <w:pStyle w:val="Caption"/>
        <w:rPr>
          <w:noProof w:val="0"/>
        </w:rPr>
      </w:pPr>
      <w:bookmarkStart w:id="1064" w:name="_Toc150951917"/>
      <w:bookmarkStart w:id="1065" w:name="_Toc192875134"/>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49</w:t>
      </w:r>
      <w:r>
        <w:rPr>
          <w:noProof w:val="0"/>
        </w:rPr>
        <w:fldChar w:fldCharType="end"/>
      </w:r>
      <w:r>
        <w:rPr>
          <w:noProof w:val="0"/>
        </w:rPr>
        <w:t>: Source-Code Repository Roles and Permissions</w:t>
      </w:r>
      <w:bookmarkEnd w:id="1064"/>
      <w:bookmarkEnd w:id="1065"/>
    </w:p>
    <w:p w14:paraId="61220C30" w14:textId="55691339" w:rsidR="00C5516F" w:rsidRPr="00A21682" w:rsidRDefault="00C5516F">
      <w:pPr>
        <w:pStyle w:val="Heading3"/>
        <w:rPr>
          <w:u w:color="000000"/>
        </w:rPr>
      </w:pPr>
      <w:bookmarkStart w:id="1066" w:name="_Toc148102410"/>
      <w:bookmarkStart w:id="1067" w:name="_Toc152605894"/>
      <w:bookmarkStart w:id="1068" w:name="_Toc177119028"/>
      <w:bookmarkStart w:id="1069" w:name="_Toc185952588"/>
      <w:bookmarkStart w:id="1070" w:name="_Toc192874758"/>
      <w:r>
        <w:rPr>
          <w:u w:color="000000"/>
        </w:rPr>
        <w:t>ALM Tool Workflows</w:t>
      </w:r>
      <w:bookmarkEnd w:id="1066"/>
      <w:bookmarkEnd w:id="1067"/>
      <w:bookmarkEnd w:id="1068"/>
      <w:bookmarkEnd w:id="1069"/>
      <w:bookmarkEnd w:id="1070"/>
    </w:p>
    <w:p w14:paraId="4A478A89" w14:textId="79141427" w:rsidR="00C5516F" w:rsidRPr="00A21682" w:rsidRDefault="00C5516F" w:rsidP="001428D8">
      <w:pPr>
        <w:pStyle w:val="NormalNEW"/>
        <w:rPr>
          <w:rFonts w:ascii="Arial" w:eastAsia="Times New Roman" w:hAnsi="Arial" w:cs="Times New Roman"/>
          <w:color w:val="000000"/>
          <w:sz w:val="20"/>
          <w:u w:color="000000"/>
          <w:lang w:val="en-US"/>
        </w:rPr>
      </w:pPr>
      <w:r>
        <w:rPr>
          <w:u w:color="000000"/>
          <w:lang w:val="en-US" w:eastAsia="ko-KR"/>
        </w:rPr>
        <w:t>The following workflow within the source-code repository tool supports each phase of the MECM SDLC.</w:t>
      </w:r>
    </w:p>
    <w:p w14:paraId="359A8B1A" w14:textId="2986E22B" w:rsidR="00C5516F" w:rsidRPr="00A21682" w:rsidRDefault="00455CE4" w:rsidP="001428D8">
      <w:pPr>
        <w:pStyle w:val="NormalNEW"/>
        <w:jc w:val="center"/>
        <w:rPr>
          <w:lang w:val="en-US"/>
        </w:rPr>
      </w:pPr>
      <w:r>
        <w:rPr>
          <w:noProof/>
          <w:u w:color="000000"/>
          <w:lang w:val="en-US"/>
        </w:rPr>
        <w:drawing>
          <wp:inline distT="0" distB="0" distL="0" distR="0" wp14:anchorId="348FBD1A" wp14:editId="3496AD45">
            <wp:extent cx="4156075" cy="2078355"/>
            <wp:effectExtent l="19050" t="19050" r="15875" b="171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56075" cy="2078355"/>
                    </a:xfrm>
                    <a:prstGeom prst="rect">
                      <a:avLst/>
                    </a:prstGeom>
                    <a:noFill/>
                    <a:ln w="9525">
                      <a:solidFill>
                        <a:schemeClr val="tx1"/>
                      </a:solidFill>
                    </a:ln>
                  </pic:spPr>
                </pic:pic>
              </a:graphicData>
            </a:graphic>
          </wp:inline>
        </w:drawing>
      </w:r>
    </w:p>
    <w:p w14:paraId="04D73C6A" w14:textId="3592FD6E" w:rsidR="00C5516F" w:rsidRPr="00A21682" w:rsidRDefault="00C5516F" w:rsidP="00CC44DD">
      <w:pPr>
        <w:pStyle w:val="Caption"/>
        <w:rPr>
          <w:noProof w:val="0"/>
        </w:rPr>
      </w:pPr>
      <w:bookmarkStart w:id="1071" w:name="_Toc150948952"/>
      <w:bookmarkStart w:id="1072" w:name="_Toc178152040"/>
      <w:bookmarkStart w:id="1073" w:name="_Toc192875053"/>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16</w:t>
      </w:r>
      <w:r>
        <w:rPr>
          <w:noProof w:val="0"/>
        </w:rPr>
        <w:fldChar w:fldCharType="end"/>
      </w:r>
      <w:r>
        <w:rPr>
          <w:noProof w:val="0"/>
        </w:rPr>
        <w:t>: Source-Code Repository Workflow</w:t>
      </w:r>
      <w:bookmarkEnd w:id="1071"/>
      <w:bookmarkEnd w:id="1072"/>
      <w:bookmarkEnd w:id="1073"/>
    </w:p>
    <w:p w14:paraId="6431FE52" w14:textId="77777777" w:rsidR="0005412C" w:rsidRDefault="0005412C" w:rsidP="001428D8">
      <w:pPr>
        <w:pStyle w:val="NormalNEW"/>
        <w:rPr>
          <w:u w:color="000000"/>
          <w:lang w:val="en-US"/>
        </w:rPr>
      </w:pPr>
    </w:p>
    <w:p w14:paraId="2C6701ED" w14:textId="74F132AD" w:rsidR="00C5516F" w:rsidRPr="00A21682" w:rsidRDefault="00C5516F" w:rsidP="001428D8">
      <w:pPr>
        <w:pStyle w:val="NormalNEW"/>
        <w:rPr>
          <w:u w:color="000000"/>
          <w:lang w:val="en-US"/>
        </w:rPr>
      </w:pPr>
      <w:r>
        <w:rPr>
          <w:u w:color="000000"/>
          <w:lang w:val="en-US"/>
        </w:rPr>
        <w:t>The following table describes each workflow step illustrated above.</w:t>
      </w:r>
    </w:p>
    <w:tbl>
      <w:tblPr>
        <w:tblW w:w="9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3"/>
        <w:gridCol w:w="1987"/>
        <w:gridCol w:w="3687"/>
        <w:gridCol w:w="3058"/>
      </w:tblGrid>
      <w:tr w:rsidR="00C5516F" w:rsidRPr="00A21682" w14:paraId="33451764" w14:textId="77777777" w:rsidTr="00C968EF">
        <w:trPr>
          <w:trHeight w:val="300"/>
          <w:tblHeader/>
        </w:trPr>
        <w:tc>
          <w:tcPr>
            <w:tcW w:w="613" w:type="dxa"/>
            <w:tcBorders>
              <w:right w:val="single" w:sz="2" w:space="0" w:color="FFFFFF" w:themeColor="background1"/>
            </w:tcBorders>
            <w:shd w:val="clear" w:color="auto" w:fill="000000"/>
            <w:hideMark/>
          </w:tcPr>
          <w:p w14:paraId="4E087F12" w14:textId="58BBFCAB" w:rsidR="00C5516F" w:rsidRPr="00A21682" w:rsidRDefault="00C5516F" w:rsidP="00047C4E">
            <w:pPr>
              <w:pStyle w:val="TABLEHEADINGNEW"/>
              <w:rPr>
                <w:rFonts w:ascii="Segoe UI" w:hAnsi="Segoe UI" w:cs="Segoe UI"/>
                <w:color w:val="000000"/>
                <w:u w:color="000000"/>
              </w:rPr>
            </w:pPr>
            <w:r>
              <w:rPr>
                <w:rFonts w:ascii="Arial" w:hAnsi="Arial" w:cs="Arial"/>
                <w:color w:val="FFFFFF"/>
                <w:u w:color="000000"/>
              </w:rPr>
              <w:t>#</w:t>
            </w:r>
          </w:p>
        </w:tc>
        <w:tc>
          <w:tcPr>
            <w:tcW w:w="1987" w:type="dxa"/>
            <w:tcBorders>
              <w:left w:val="single" w:sz="2" w:space="0" w:color="FFFFFF" w:themeColor="background1"/>
              <w:right w:val="single" w:sz="2" w:space="0" w:color="FFFFFF" w:themeColor="background1"/>
            </w:tcBorders>
            <w:shd w:val="clear" w:color="auto" w:fill="000000"/>
            <w:hideMark/>
          </w:tcPr>
          <w:p w14:paraId="36FFB1ED" w14:textId="77777777" w:rsidR="00C5516F" w:rsidRPr="00A21682" w:rsidRDefault="00C5516F" w:rsidP="00047C4E">
            <w:pPr>
              <w:pStyle w:val="TABLEHEADINGNEW"/>
              <w:rPr>
                <w:rFonts w:ascii="Segoe UI" w:hAnsi="Segoe UI" w:cs="Segoe UI"/>
                <w:color w:val="000000"/>
                <w:u w:color="000000"/>
              </w:rPr>
            </w:pPr>
            <w:r>
              <w:rPr>
                <w:rFonts w:ascii="Arial" w:hAnsi="Arial" w:cs="Arial"/>
                <w:color w:val="FFFFFF"/>
                <w:u w:color="000000"/>
              </w:rPr>
              <w:t>Workflow Step</w:t>
            </w:r>
          </w:p>
        </w:tc>
        <w:tc>
          <w:tcPr>
            <w:tcW w:w="3687" w:type="dxa"/>
            <w:tcBorders>
              <w:left w:val="single" w:sz="2" w:space="0" w:color="FFFFFF" w:themeColor="background1"/>
              <w:right w:val="single" w:sz="2" w:space="0" w:color="FFFFFF" w:themeColor="background1"/>
            </w:tcBorders>
            <w:shd w:val="clear" w:color="auto" w:fill="000000"/>
            <w:hideMark/>
          </w:tcPr>
          <w:p w14:paraId="0A59A984" w14:textId="77777777" w:rsidR="00C5516F" w:rsidRPr="00A21682" w:rsidRDefault="00C5516F" w:rsidP="00047C4E">
            <w:pPr>
              <w:pStyle w:val="TABLEHEADINGNEW"/>
              <w:rPr>
                <w:rFonts w:ascii="Segoe UI" w:hAnsi="Segoe UI" w:cs="Segoe UI"/>
                <w:color w:val="000000"/>
                <w:u w:color="000000"/>
              </w:rPr>
            </w:pPr>
            <w:r>
              <w:rPr>
                <w:rFonts w:ascii="Arial" w:hAnsi="Arial" w:cs="Arial"/>
                <w:color w:val="FFFFFF"/>
                <w:u w:color="000000"/>
              </w:rPr>
              <w:t>Description</w:t>
            </w:r>
          </w:p>
        </w:tc>
        <w:tc>
          <w:tcPr>
            <w:tcW w:w="3058" w:type="dxa"/>
            <w:tcBorders>
              <w:left w:val="single" w:sz="2" w:space="0" w:color="FFFFFF" w:themeColor="background1"/>
            </w:tcBorders>
            <w:shd w:val="clear" w:color="auto" w:fill="000000"/>
            <w:hideMark/>
          </w:tcPr>
          <w:p w14:paraId="2CC8ED51" w14:textId="77777777" w:rsidR="00C5516F" w:rsidRPr="00A21682" w:rsidRDefault="00C5516F" w:rsidP="00047C4E">
            <w:pPr>
              <w:pStyle w:val="TABLEHEADINGNEW"/>
              <w:rPr>
                <w:rFonts w:ascii="Arial" w:hAnsi="Arial" w:cs="Arial"/>
                <w:color w:val="FFFFFF"/>
                <w:u w:color="000000"/>
              </w:rPr>
            </w:pPr>
            <w:r>
              <w:rPr>
                <w:rFonts w:ascii="Arial" w:hAnsi="Arial" w:cs="Arial"/>
                <w:color w:val="FFFFFF"/>
                <w:u w:color="000000"/>
              </w:rPr>
              <w:t>Step Owner</w:t>
            </w:r>
          </w:p>
        </w:tc>
      </w:tr>
      <w:tr w:rsidR="00C5516F" w:rsidRPr="00A21682" w14:paraId="34E44D6D" w14:textId="77777777" w:rsidTr="00047C4E">
        <w:trPr>
          <w:trHeight w:val="300"/>
        </w:trPr>
        <w:tc>
          <w:tcPr>
            <w:tcW w:w="613" w:type="dxa"/>
            <w:hideMark/>
          </w:tcPr>
          <w:p w14:paraId="7C9F1E6F" w14:textId="77777777" w:rsidR="00C5516F" w:rsidRPr="00A21682" w:rsidRDefault="00C5516F" w:rsidP="00047C4E">
            <w:pPr>
              <w:pStyle w:val="TABLETEXT1"/>
              <w:rPr>
                <w:u w:color="000000"/>
                <w:lang w:val="en-US"/>
              </w:rPr>
            </w:pPr>
            <w:r>
              <w:rPr>
                <w:u w:color="000000"/>
                <w:lang w:val="en-US"/>
              </w:rPr>
              <w:t>1</w:t>
            </w:r>
          </w:p>
        </w:tc>
        <w:tc>
          <w:tcPr>
            <w:tcW w:w="1987" w:type="dxa"/>
            <w:hideMark/>
          </w:tcPr>
          <w:p w14:paraId="7F5F709F" w14:textId="77777777" w:rsidR="00C5516F" w:rsidRPr="00A21682" w:rsidRDefault="00C5516F" w:rsidP="00047C4E">
            <w:pPr>
              <w:pStyle w:val="TABLETEXT1"/>
              <w:rPr>
                <w:u w:color="000000"/>
                <w:lang w:val="en-US"/>
              </w:rPr>
            </w:pPr>
            <w:r>
              <w:rPr>
                <w:u w:color="000000"/>
                <w:lang w:val="en-US"/>
              </w:rPr>
              <w:t>Commit New Feature</w:t>
            </w:r>
          </w:p>
        </w:tc>
        <w:tc>
          <w:tcPr>
            <w:tcW w:w="3687" w:type="dxa"/>
            <w:hideMark/>
          </w:tcPr>
          <w:p w14:paraId="0B707DF9" w14:textId="77777777" w:rsidR="00C5516F" w:rsidRPr="00A21682" w:rsidRDefault="00C5516F" w:rsidP="004B5FEC">
            <w:pPr>
              <w:pStyle w:val="TABLETEXT1"/>
              <w:rPr>
                <w:u w:color="000000"/>
                <w:lang w:val="en-US"/>
              </w:rPr>
            </w:pPr>
            <w:r>
              <w:rPr>
                <w:u w:color="000000"/>
                <w:lang w:val="en-US"/>
              </w:rPr>
              <w:t>User edits/creates new Feature</w:t>
            </w:r>
          </w:p>
        </w:tc>
        <w:tc>
          <w:tcPr>
            <w:tcW w:w="3058" w:type="dxa"/>
            <w:hideMark/>
          </w:tcPr>
          <w:p w14:paraId="759D76D2" w14:textId="77777777" w:rsidR="00C5516F" w:rsidRPr="00635C9B" w:rsidRDefault="00C5516F" w:rsidP="006437DE">
            <w:pPr>
              <w:pStyle w:val="TABLEBULLETNEW"/>
            </w:pPr>
            <w:r>
              <w:t>Developer</w:t>
            </w:r>
          </w:p>
        </w:tc>
      </w:tr>
      <w:tr w:rsidR="00C5516F" w:rsidRPr="00A21682" w14:paraId="20D49EB7" w14:textId="77777777" w:rsidTr="00047C4E">
        <w:trPr>
          <w:trHeight w:val="300"/>
        </w:trPr>
        <w:tc>
          <w:tcPr>
            <w:tcW w:w="613" w:type="dxa"/>
            <w:hideMark/>
          </w:tcPr>
          <w:p w14:paraId="357B213F" w14:textId="77777777" w:rsidR="00C5516F" w:rsidRPr="00A21682" w:rsidRDefault="00C5516F" w:rsidP="00047C4E">
            <w:pPr>
              <w:pStyle w:val="TABLETEXT1"/>
              <w:rPr>
                <w:u w:color="000000"/>
                <w:lang w:val="en-US"/>
              </w:rPr>
            </w:pPr>
            <w:r>
              <w:rPr>
                <w:u w:color="000000"/>
                <w:lang w:val="en-US"/>
              </w:rPr>
              <w:t>2</w:t>
            </w:r>
          </w:p>
        </w:tc>
        <w:tc>
          <w:tcPr>
            <w:tcW w:w="1987" w:type="dxa"/>
            <w:hideMark/>
          </w:tcPr>
          <w:p w14:paraId="4FB72EC6" w14:textId="77777777" w:rsidR="00C5516F" w:rsidRPr="00A21682" w:rsidRDefault="00C5516F" w:rsidP="00047C4E">
            <w:pPr>
              <w:pStyle w:val="TABLETEXT1"/>
              <w:rPr>
                <w:u w:color="000000"/>
                <w:lang w:val="en-US"/>
              </w:rPr>
            </w:pPr>
            <w:r>
              <w:rPr>
                <w:u w:color="000000"/>
                <w:lang w:val="en-US"/>
              </w:rPr>
              <w:t>Raise a Pull Request</w:t>
            </w:r>
          </w:p>
        </w:tc>
        <w:tc>
          <w:tcPr>
            <w:tcW w:w="3687" w:type="dxa"/>
            <w:hideMark/>
          </w:tcPr>
          <w:p w14:paraId="418A474F" w14:textId="77777777" w:rsidR="00C5516F" w:rsidRPr="00A21682" w:rsidRDefault="00C5516F" w:rsidP="004B5FEC">
            <w:pPr>
              <w:pStyle w:val="TABLETEXT1"/>
              <w:rPr>
                <w:u w:color="000000"/>
                <w:lang w:val="en-US"/>
              </w:rPr>
            </w:pPr>
            <w:r>
              <w:rPr>
                <w:u w:color="000000"/>
                <w:lang w:val="en-US"/>
              </w:rPr>
              <w:t>Create a Pull request from Feature branch to Dev branch in the source-code repository</w:t>
            </w:r>
          </w:p>
        </w:tc>
        <w:tc>
          <w:tcPr>
            <w:tcW w:w="3058" w:type="dxa"/>
            <w:hideMark/>
          </w:tcPr>
          <w:p w14:paraId="70DE7252" w14:textId="77777777" w:rsidR="00C5516F" w:rsidRPr="00635C9B" w:rsidRDefault="00C5516F" w:rsidP="006437DE">
            <w:pPr>
              <w:pStyle w:val="TABLEBULLETNEW"/>
            </w:pPr>
            <w:r>
              <w:t>Developer</w:t>
            </w:r>
          </w:p>
        </w:tc>
      </w:tr>
      <w:tr w:rsidR="00C5516F" w:rsidRPr="00A21682" w14:paraId="5B2E132A" w14:textId="77777777" w:rsidTr="00047C4E">
        <w:trPr>
          <w:trHeight w:val="300"/>
        </w:trPr>
        <w:tc>
          <w:tcPr>
            <w:tcW w:w="613" w:type="dxa"/>
            <w:hideMark/>
          </w:tcPr>
          <w:p w14:paraId="17D98DC0" w14:textId="77777777" w:rsidR="00C5516F" w:rsidRPr="00A21682" w:rsidRDefault="00C5516F" w:rsidP="00047C4E">
            <w:pPr>
              <w:pStyle w:val="TABLETEXT1"/>
              <w:rPr>
                <w:u w:color="000000"/>
                <w:lang w:val="en-US"/>
              </w:rPr>
            </w:pPr>
            <w:r>
              <w:rPr>
                <w:u w:color="000000"/>
                <w:lang w:val="en-US"/>
              </w:rPr>
              <w:t>3</w:t>
            </w:r>
          </w:p>
        </w:tc>
        <w:tc>
          <w:tcPr>
            <w:tcW w:w="1987" w:type="dxa"/>
            <w:hideMark/>
          </w:tcPr>
          <w:p w14:paraId="101FCC3B" w14:textId="77777777" w:rsidR="00C5516F" w:rsidRPr="00A21682" w:rsidRDefault="00C5516F" w:rsidP="00047C4E">
            <w:pPr>
              <w:pStyle w:val="TABLETEXT1"/>
              <w:rPr>
                <w:u w:color="000000"/>
                <w:lang w:val="en-US"/>
              </w:rPr>
            </w:pPr>
            <w:r>
              <w:rPr>
                <w:u w:color="000000"/>
                <w:lang w:val="en-US"/>
              </w:rPr>
              <w:t>Manual Review</w:t>
            </w:r>
          </w:p>
        </w:tc>
        <w:tc>
          <w:tcPr>
            <w:tcW w:w="3687" w:type="dxa"/>
            <w:hideMark/>
          </w:tcPr>
          <w:p w14:paraId="2EEA9FDE" w14:textId="2F3799C8" w:rsidR="00C5516F" w:rsidRPr="00635C9B" w:rsidRDefault="00C5516F" w:rsidP="006437DE">
            <w:pPr>
              <w:pStyle w:val="TABLEBULLETNEW"/>
            </w:pPr>
            <w:r>
              <w:t>If approved, pushed to Repository</w:t>
            </w:r>
          </w:p>
          <w:p w14:paraId="7A03D678" w14:textId="1332EE8B" w:rsidR="00C5516F" w:rsidRPr="00635C9B" w:rsidRDefault="00C5516F" w:rsidP="006437DE">
            <w:pPr>
              <w:pStyle w:val="TABLEBULLETNEW"/>
            </w:pPr>
            <w:r>
              <w:t>If rejected, correct code to specification</w:t>
            </w:r>
          </w:p>
        </w:tc>
        <w:tc>
          <w:tcPr>
            <w:tcW w:w="3058" w:type="dxa"/>
            <w:hideMark/>
          </w:tcPr>
          <w:p w14:paraId="0047BD19" w14:textId="77777777" w:rsidR="00C5516F" w:rsidRPr="00635C9B" w:rsidRDefault="00C5516F" w:rsidP="006437DE">
            <w:pPr>
              <w:pStyle w:val="TABLEBULLETNEW"/>
            </w:pPr>
            <w:r>
              <w:t>███████ Tool Administrator</w:t>
            </w:r>
          </w:p>
        </w:tc>
      </w:tr>
      <w:tr w:rsidR="00C5516F" w:rsidRPr="00A21682" w14:paraId="79F95DCC" w14:textId="77777777" w:rsidTr="00047C4E">
        <w:trPr>
          <w:trHeight w:val="300"/>
        </w:trPr>
        <w:tc>
          <w:tcPr>
            <w:tcW w:w="613" w:type="dxa"/>
            <w:hideMark/>
          </w:tcPr>
          <w:p w14:paraId="11A21D1C" w14:textId="77777777" w:rsidR="00C5516F" w:rsidRPr="00A21682" w:rsidRDefault="00C5516F" w:rsidP="00047C4E">
            <w:pPr>
              <w:pStyle w:val="TABLETEXT1"/>
              <w:rPr>
                <w:u w:color="000000"/>
                <w:lang w:val="en-US"/>
              </w:rPr>
            </w:pPr>
            <w:r>
              <w:rPr>
                <w:u w:color="000000"/>
                <w:lang w:val="en-US"/>
              </w:rPr>
              <w:t>4</w:t>
            </w:r>
          </w:p>
        </w:tc>
        <w:tc>
          <w:tcPr>
            <w:tcW w:w="1987" w:type="dxa"/>
            <w:hideMark/>
          </w:tcPr>
          <w:p w14:paraId="13437DC9" w14:textId="77777777" w:rsidR="00C5516F" w:rsidRPr="00A21682" w:rsidRDefault="00C5516F" w:rsidP="00047C4E">
            <w:pPr>
              <w:pStyle w:val="TABLETEXT1"/>
              <w:rPr>
                <w:u w:color="000000"/>
                <w:lang w:val="en-US"/>
              </w:rPr>
            </w:pPr>
            <w:r>
              <w:rPr>
                <w:u w:color="000000"/>
                <w:lang w:val="en-US"/>
              </w:rPr>
              <w:t>Push to Main</w:t>
            </w:r>
          </w:p>
        </w:tc>
        <w:tc>
          <w:tcPr>
            <w:tcW w:w="3687" w:type="dxa"/>
            <w:hideMark/>
          </w:tcPr>
          <w:p w14:paraId="1F3D4DDB" w14:textId="77777777" w:rsidR="00C5516F" w:rsidRPr="00A21682" w:rsidRDefault="00C5516F" w:rsidP="004B5FEC">
            <w:pPr>
              <w:pStyle w:val="TABLETEXT1"/>
              <w:rPr>
                <w:u w:color="000000"/>
                <w:lang w:val="en-US"/>
              </w:rPr>
            </w:pPr>
            <w:r>
              <w:rPr>
                <w:u w:color="000000"/>
                <w:lang w:val="en-US"/>
              </w:rPr>
              <w:t>Edit/Change is approved</w:t>
            </w:r>
          </w:p>
        </w:tc>
        <w:tc>
          <w:tcPr>
            <w:tcW w:w="3058" w:type="dxa"/>
            <w:hideMark/>
          </w:tcPr>
          <w:p w14:paraId="0DE08921" w14:textId="77777777" w:rsidR="00C5516F" w:rsidRPr="00635C9B" w:rsidRDefault="00C5516F" w:rsidP="006437DE">
            <w:pPr>
              <w:pStyle w:val="TABLEBULLETNEW"/>
            </w:pPr>
            <w:r>
              <w:t>███████ Tool Administrator</w:t>
            </w:r>
          </w:p>
        </w:tc>
      </w:tr>
    </w:tbl>
    <w:p w14:paraId="339017DD" w14:textId="79D4D754" w:rsidR="00C5516F" w:rsidRPr="00A21682" w:rsidRDefault="00C5516F" w:rsidP="00CC44DD">
      <w:pPr>
        <w:pStyle w:val="Caption"/>
        <w:rPr>
          <w:noProof w:val="0"/>
        </w:rPr>
      </w:pPr>
      <w:bookmarkStart w:id="1074" w:name="_Toc150951918"/>
      <w:bookmarkStart w:id="1075" w:name="_Toc192875135"/>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50</w:t>
      </w:r>
      <w:r>
        <w:rPr>
          <w:noProof w:val="0"/>
        </w:rPr>
        <w:fldChar w:fldCharType="end"/>
      </w:r>
      <w:r>
        <w:rPr>
          <w:noProof w:val="0"/>
        </w:rPr>
        <w:t>: Source-Code Repository Workflow Narrative</w:t>
      </w:r>
      <w:bookmarkEnd w:id="1074"/>
      <w:bookmarkEnd w:id="1075"/>
    </w:p>
    <w:p w14:paraId="39F0359A" w14:textId="77777777" w:rsidR="00C5516F" w:rsidRPr="00A21682" w:rsidRDefault="00C5516F">
      <w:pPr>
        <w:pStyle w:val="Heading3"/>
        <w:rPr>
          <w:u w:color="000000"/>
        </w:rPr>
      </w:pPr>
      <w:bookmarkStart w:id="1076" w:name="_Toc148102411"/>
      <w:bookmarkStart w:id="1077" w:name="_Toc152605895"/>
      <w:bookmarkStart w:id="1078" w:name="_Toc177119029"/>
      <w:bookmarkStart w:id="1079" w:name="_Toc185952589"/>
      <w:bookmarkStart w:id="1080" w:name="_Toc192874759"/>
      <w:r>
        <w:rPr>
          <w:u w:color="000000"/>
        </w:rPr>
        <w:lastRenderedPageBreak/>
        <w:t>Accessing ALM Tool</w:t>
      </w:r>
      <w:bookmarkEnd w:id="1076"/>
      <w:bookmarkEnd w:id="1077"/>
      <w:bookmarkEnd w:id="1078"/>
      <w:bookmarkEnd w:id="1079"/>
      <w:bookmarkEnd w:id="1080"/>
    </w:p>
    <w:p w14:paraId="4F453740" w14:textId="28113A4C" w:rsidR="00C5516F" w:rsidRPr="00A21682" w:rsidRDefault="00C5516F" w:rsidP="001428D8">
      <w:pPr>
        <w:pStyle w:val="NormalNEW"/>
        <w:rPr>
          <w:u w:color="000000"/>
          <w:lang w:val="en-US" w:eastAsia="ko-KR"/>
        </w:rPr>
      </w:pPr>
      <w:r>
        <w:rPr>
          <w:u w:color="000000"/>
          <w:lang w:val="en-US" w:eastAsia="ko-KR"/>
        </w:rPr>
        <w:t>Access to the source-code repository is open to ███████ technology team and DOH stakeholders. User training content and tool walkthroughs will be available prior to the start of Development Phase for impacted DOH stakeholders.</w:t>
      </w:r>
    </w:p>
    <w:p w14:paraId="2D657814" w14:textId="5A500E22" w:rsidR="00C5516F" w:rsidRPr="00A21682" w:rsidRDefault="00C5516F" w:rsidP="001428D8">
      <w:pPr>
        <w:pStyle w:val="NormalNEW"/>
        <w:rPr>
          <w:rFonts w:cs="Arial"/>
          <w:color w:val="000000"/>
          <w:u w:color="000000"/>
          <w:lang w:val="en-US"/>
        </w:rPr>
      </w:pPr>
      <w:r>
        <w:rPr>
          <w:color w:val="000000"/>
          <w:u w:color="000000"/>
          <w:lang w:val="en-US"/>
        </w:rPr>
        <w:t xml:space="preserve">Access to </w:t>
      </w:r>
      <w:r>
        <w:rPr>
          <w:rFonts w:cs="Arial"/>
          <w:color w:val="0000FF"/>
          <w:u w:val="single" w:color="003366"/>
          <w:lang w:val="en-US"/>
        </w:rPr>
        <w:t>the source-code repository</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963"/>
        <w:gridCol w:w="6867"/>
        <w:gridCol w:w="1530"/>
      </w:tblGrid>
      <w:tr w:rsidR="005133E7" w:rsidRPr="00A21682" w14:paraId="59856983" w14:textId="77777777" w:rsidTr="00CE6403">
        <w:trPr>
          <w:trHeight w:val="20"/>
          <w:tblHeader/>
        </w:trPr>
        <w:tc>
          <w:tcPr>
            <w:tcW w:w="963" w:type="dxa"/>
            <w:tcBorders>
              <w:right w:val="single" w:sz="2" w:space="0" w:color="FFFFFF" w:themeColor="background1"/>
            </w:tcBorders>
            <w:shd w:val="clear" w:color="auto" w:fill="000000"/>
          </w:tcPr>
          <w:p w14:paraId="28BC6B56" w14:textId="77777777" w:rsidR="00C5516F" w:rsidRPr="00A21682" w:rsidRDefault="00C5516F" w:rsidP="00047C4E">
            <w:pPr>
              <w:pStyle w:val="TABLEHEADINGNEW"/>
            </w:pPr>
            <w:r>
              <w:t>#</w:t>
            </w:r>
          </w:p>
        </w:tc>
        <w:tc>
          <w:tcPr>
            <w:tcW w:w="6867" w:type="dxa"/>
            <w:tcBorders>
              <w:left w:val="single" w:sz="2" w:space="0" w:color="FFFFFF" w:themeColor="background1"/>
              <w:right w:val="single" w:sz="2" w:space="0" w:color="FFFFFF" w:themeColor="background1"/>
            </w:tcBorders>
            <w:shd w:val="clear" w:color="auto" w:fill="000000"/>
          </w:tcPr>
          <w:p w14:paraId="5F6E9470" w14:textId="77777777" w:rsidR="00C5516F" w:rsidRPr="00A21682" w:rsidRDefault="00C5516F" w:rsidP="00047C4E">
            <w:pPr>
              <w:pStyle w:val="TABLEHEADINGNEW"/>
            </w:pPr>
            <w:r>
              <w:t>Access Step</w:t>
            </w:r>
          </w:p>
        </w:tc>
        <w:tc>
          <w:tcPr>
            <w:tcW w:w="1530" w:type="dxa"/>
            <w:tcBorders>
              <w:left w:val="single" w:sz="2" w:space="0" w:color="FFFFFF" w:themeColor="background1"/>
            </w:tcBorders>
            <w:shd w:val="clear" w:color="auto" w:fill="000000"/>
          </w:tcPr>
          <w:p w14:paraId="3041707E" w14:textId="77777777" w:rsidR="00C5516F" w:rsidRPr="00A21682" w:rsidRDefault="00C5516F" w:rsidP="00047C4E">
            <w:pPr>
              <w:pStyle w:val="TABLEHEADINGNEW"/>
            </w:pPr>
            <w:r>
              <w:t>Owner</w:t>
            </w:r>
          </w:p>
        </w:tc>
      </w:tr>
      <w:tr w:rsidR="00B65956" w:rsidRPr="00A21682" w14:paraId="2518A67D" w14:textId="77777777" w:rsidTr="00047C4E">
        <w:trPr>
          <w:trHeight w:val="20"/>
        </w:trPr>
        <w:tc>
          <w:tcPr>
            <w:tcW w:w="963" w:type="dxa"/>
          </w:tcPr>
          <w:p w14:paraId="6E2DBB53" w14:textId="0A9E6081" w:rsidR="00C5516F" w:rsidRPr="00A21682" w:rsidRDefault="001B1011" w:rsidP="00047C4E">
            <w:pPr>
              <w:pStyle w:val="TABLETEXT1"/>
              <w:rPr>
                <w:lang w:val="en-US"/>
              </w:rPr>
            </w:pPr>
            <w:r>
              <w:rPr>
                <w:lang w:val="en-US"/>
              </w:rPr>
              <w:t>1</w:t>
            </w:r>
          </w:p>
        </w:tc>
        <w:tc>
          <w:tcPr>
            <w:tcW w:w="6867" w:type="dxa"/>
          </w:tcPr>
          <w:p w14:paraId="6B785F34" w14:textId="77777777" w:rsidR="00C5516F" w:rsidRPr="00A21682" w:rsidRDefault="00C5516F" w:rsidP="00047C4E">
            <w:pPr>
              <w:pStyle w:val="TABLETEXT1"/>
              <w:rPr>
                <w:lang w:val="en-US"/>
              </w:rPr>
            </w:pPr>
            <w:r>
              <w:rPr>
                <w:lang w:val="en-US"/>
              </w:rPr>
              <w:t>Submit an access request through the approved project access-request process</w:t>
            </w:r>
          </w:p>
        </w:tc>
        <w:tc>
          <w:tcPr>
            <w:tcW w:w="1530" w:type="dxa"/>
          </w:tcPr>
          <w:p w14:paraId="03E93811" w14:textId="77777777" w:rsidR="00C5516F" w:rsidRPr="00A21682" w:rsidRDefault="00C5516F" w:rsidP="00047C4E">
            <w:pPr>
              <w:pStyle w:val="TABLETEXT1"/>
              <w:rPr>
                <w:lang w:val="en-US"/>
              </w:rPr>
            </w:pPr>
            <w:r>
              <w:rPr>
                <w:lang w:val="en-US"/>
              </w:rPr>
              <w:t>Requestor</w:t>
            </w:r>
          </w:p>
        </w:tc>
      </w:tr>
      <w:tr w:rsidR="00B65956" w:rsidRPr="00A21682" w14:paraId="5F32E219" w14:textId="77777777" w:rsidTr="00047C4E">
        <w:trPr>
          <w:trHeight w:val="20"/>
        </w:trPr>
        <w:tc>
          <w:tcPr>
            <w:tcW w:w="963" w:type="dxa"/>
          </w:tcPr>
          <w:p w14:paraId="3DB7D9BC" w14:textId="78E8D980" w:rsidR="00C5516F" w:rsidRPr="00A21682" w:rsidRDefault="001B1011" w:rsidP="00047C4E">
            <w:pPr>
              <w:pStyle w:val="TABLETEXT1"/>
              <w:rPr>
                <w:lang w:val="en-US"/>
              </w:rPr>
            </w:pPr>
            <w:r>
              <w:rPr>
                <w:lang w:val="en-US"/>
              </w:rPr>
              <w:t>2</w:t>
            </w:r>
          </w:p>
        </w:tc>
        <w:tc>
          <w:tcPr>
            <w:tcW w:w="6867" w:type="dxa"/>
          </w:tcPr>
          <w:p w14:paraId="5128D058" w14:textId="77777777" w:rsidR="00C5516F" w:rsidRPr="00A21682" w:rsidRDefault="00C5516F" w:rsidP="00047C4E">
            <w:pPr>
              <w:pStyle w:val="TABLETEXT1"/>
              <w:rPr>
                <w:lang w:val="en-US"/>
              </w:rPr>
            </w:pPr>
            <w:r>
              <w:rPr>
                <w:lang w:val="en-US"/>
              </w:rPr>
              <w:t>Admin Approves Request</w:t>
            </w:r>
          </w:p>
        </w:tc>
        <w:tc>
          <w:tcPr>
            <w:tcW w:w="1530" w:type="dxa"/>
          </w:tcPr>
          <w:p w14:paraId="25CDB203" w14:textId="77777777" w:rsidR="00C5516F" w:rsidRPr="00A21682" w:rsidRDefault="00C5516F" w:rsidP="00047C4E">
            <w:pPr>
              <w:pStyle w:val="TABLETEXT1"/>
              <w:rPr>
                <w:lang w:val="en-US"/>
              </w:rPr>
            </w:pPr>
            <w:r>
              <w:rPr>
                <w:lang w:val="en-US"/>
              </w:rPr>
              <w:t>System Admin</w:t>
            </w:r>
          </w:p>
        </w:tc>
      </w:tr>
      <w:tr w:rsidR="00B65956" w:rsidRPr="00A21682" w14:paraId="4C5FC86C" w14:textId="77777777" w:rsidTr="00047C4E">
        <w:trPr>
          <w:trHeight w:val="20"/>
        </w:trPr>
        <w:tc>
          <w:tcPr>
            <w:tcW w:w="963" w:type="dxa"/>
          </w:tcPr>
          <w:p w14:paraId="3E18BE16" w14:textId="17ECFCE3" w:rsidR="00C5516F" w:rsidRPr="00A21682" w:rsidRDefault="001B1011" w:rsidP="00047C4E">
            <w:pPr>
              <w:pStyle w:val="TABLETEXT1"/>
              <w:rPr>
                <w:lang w:val="en-US"/>
              </w:rPr>
            </w:pPr>
            <w:r>
              <w:rPr>
                <w:lang w:val="en-US"/>
              </w:rPr>
              <w:t>3</w:t>
            </w:r>
          </w:p>
        </w:tc>
        <w:tc>
          <w:tcPr>
            <w:tcW w:w="6867" w:type="dxa"/>
          </w:tcPr>
          <w:p w14:paraId="56412623" w14:textId="77777777" w:rsidR="00C5516F" w:rsidRPr="00A21682" w:rsidRDefault="00C5516F" w:rsidP="00047C4E">
            <w:pPr>
              <w:pStyle w:val="TABLETEXT1"/>
              <w:rPr>
                <w:lang w:val="en-US"/>
              </w:rPr>
            </w:pPr>
            <w:r>
              <w:rPr>
                <w:lang w:val="en-US"/>
              </w:rPr>
              <w:t>Once approved, gain access to the source-code repository (user’s specific account)</w:t>
            </w:r>
          </w:p>
        </w:tc>
        <w:tc>
          <w:tcPr>
            <w:tcW w:w="1530" w:type="dxa"/>
          </w:tcPr>
          <w:p w14:paraId="1C60E5E2" w14:textId="77777777" w:rsidR="00C5516F" w:rsidRPr="00A21682" w:rsidRDefault="00C5516F" w:rsidP="00047C4E">
            <w:pPr>
              <w:pStyle w:val="TABLETEXT1"/>
              <w:rPr>
                <w:lang w:val="en-US"/>
              </w:rPr>
            </w:pPr>
            <w:r>
              <w:rPr>
                <w:lang w:val="en-US"/>
              </w:rPr>
              <w:t>User</w:t>
            </w:r>
          </w:p>
        </w:tc>
      </w:tr>
    </w:tbl>
    <w:p w14:paraId="1198AF5A" w14:textId="7A792021" w:rsidR="00C5516F" w:rsidRPr="00A21682" w:rsidRDefault="00C5516F" w:rsidP="00CC44DD">
      <w:pPr>
        <w:pStyle w:val="Caption"/>
        <w:rPr>
          <w:noProof w:val="0"/>
        </w:rPr>
      </w:pPr>
      <w:bookmarkStart w:id="1081" w:name="_Toc150951919"/>
      <w:bookmarkStart w:id="1082" w:name="_Toc192875136"/>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51</w:t>
      </w:r>
      <w:r>
        <w:rPr>
          <w:noProof w:val="0"/>
        </w:rPr>
        <w:fldChar w:fldCharType="end"/>
      </w:r>
      <w:r>
        <w:rPr>
          <w:noProof w:val="0"/>
        </w:rPr>
        <w:t>: Source-Code Repository Access</w:t>
      </w:r>
      <w:bookmarkEnd w:id="1081"/>
      <w:bookmarkEnd w:id="1082"/>
    </w:p>
    <w:p w14:paraId="298BDA8D" w14:textId="3ED1AF69" w:rsidR="00C5516F" w:rsidRPr="00E366EB" w:rsidRDefault="00C5516F" w:rsidP="001428D8">
      <w:pPr>
        <w:pStyle w:val="NormalNEW"/>
        <w:rPr>
          <w:rFonts w:cs="Times New Roman"/>
          <w:u w:color="000000"/>
          <w:lang w:val="en-US"/>
        </w:rPr>
      </w:pPr>
      <w:r>
        <w:rPr>
          <w:rFonts w:cs="Times New Roman"/>
          <w:u w:color="000000"/>
          <w:lang w:val="en-US"/>
        </w:rPr>
        <w:t xml:space="preserve">For troubleshooting login or access issues, contact </w:t>
      </w:r>
      <w:r>
        <w:rPr>
          <w:highlight w:val="black"/>
          <w:u w:val="single" w:color="003366"/>
          <w:lang w:val="en-US"/>
        </w:rPr>
        <w:t>the PMO support mailbox</w:t>
      </w:r>
      <w:r>
        <w:rPr>
          <w:rFonts w:cs="Times New Roman"/>
          <w:u w:color="000000"/>
          <w:lang w:val="en-US"/>
        </w:rPr>
        <w:t xml:space="preserve"> </w:t>
      </w:r>
    </w:p>
    <w:p w14:paraId="754C184E" w14:textId="77777777" w:rsidR="00C5516F" w:rsidRPr="00A21682" w:rsidRDefault="00C5516F">
      <w:pPr>
        <w:pStyle w:val="Heading2"/>
        <w:rPr>
          <w:u w:color="000000"/>
        </w:rPr>
      </w:pPr>
      <w:bookmarkStart w:id="1083" w:name="_Toc148102412"/>
      <w:bookmarkStart w:id="1084" w:name="_Toc152605896"/>
      <w:bookmarkStart w:id="1085" w:name="_Toc177119030"/>
      <w:bookmarkStart w:id="1086" w:name="_Toc185952590"/>
      <w:bookmarkStart w:id="1087" w:name="_Toc192874760"/>
      <w:r>
        <w:rPr>
          <w:u w:color="000000"/>
        </w:rPr>
        <w:t>Static Code Analysis Tool</w:t>
      </w:r>
      <w:bookmarkEnd w:id="1083"/>
      <w:bookmarkEnd w:id="1084"/>
      <w:bookmarkEnd w:id="1085"/>
      <w:bookmarkEnd w:id="1086"/>
      <w:bookmarkEnd w:id="1087"/>
    </w:p>
    <w:p w14:paraId="48A82ACC" w14:textId="77777777" w:rsidR="00C5516F" w:rsidRPr="00A21682" w:rsidRDefault="00C5516F" w:rsidP="001428D8">
      <w:pPr>
        <w:pStyle w:val="NormalNEW"/>
        <w:rPr>
          <w:rFonts w:cs="Times New Roman"/>
          <w:u w:color="000000"/>
          <w:lang w:val="en-US"/>
        </w:rPr>
      </w:pPr>
      <w:r>
        <w:rPr>
          <w:u w:color="000000"/>
          <w:lang w:val="en-US"/>
        </w:rPr>
        <w:t>The static code analysis tool is used to perform static code quality scans on changes made to the MECM base solution as part of the SDLC methodology and M&amp;O processes. The static code analysis tool integrates with the source-code repository to enable automatic scanning of code repositories.</w:t>
      </w:r>
    </w:p>
    <w:p w14:paraId="767EB49E" w14:textId="77777777" w:rsidR="00C5516F" w:rsidRPr="00A21682" w:rsidRDefault="00C5516F">
      <w:pPr>
        <w:pStyle w:val="Heading3"/>
        <w:rPr>
          <w:u w:color="000000"/>
        </w:rPr>
      </w:pPr>
      <w:bookmarkStart w:id="1088" w:name="_Toc148102413"/>
      <w:bookmarkStart w:id="1089" w:name="_Toc152605897"/>
      <w:bookmarkStart w:id="1090" w:name="_Toc177119031"/>
      <w:bookmarkStart w:id="1091" w:name="_Toc185952591"/>
      <w:bookmarkStart w:id="1092" w:name="_Toc192874761"/>
      <w:r>
        <w:rPr>
          <w:u w:color="000000"/>
        </w:rPr>
        <w:t>ALM Tool Roles and Permissions</w:t>
      </w:r>
      <w:bookmarkEnd w:id="1088"/>
      <w:bookmarkEnd w:id="1089"/>
      <w:bookmarkEnd w:id="1090"/>
      <w:bookmarkEnd w:id="1091"/>
      <w:bookmarkEnd w:id="1092"/>
    </w:p>
    <w:tbl>
      <w:tblPr>
        <w:tblW w:w="94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556"/>
        <w:gridCol w:w="3225"/>
        <w:gridCol w:w="3678"/>
      </w:tblGrid>
      <w:tr w:rsidR="00C5516F" w:rsidRPr="00A21682" w14:paraId="749BD8D3" w14:textId="77777777" w:rsidTr="00C968EF">
        <w:trPr>
          <w:cantSplit/>
          <w:trHeight w:val="144"/>
          <w:tblHeader/>
        </w:trPr>
        <w:tc>
          <w:tcPr>
            <w:tcW w:w="2556" w:type="dxa"/>
            <w:tcBorders>
              <w:right w:val="single" w:sz="2" w:space="0" w:color="FFFFFF" w:themeColor="background1"/>
            </w:tcBorders>
            <w:shd w:val="clear" w:color="auto" w:fill="000000"/>
          </w:tcPr>
          <w:p w14:paraId="75E40070" w14:textId="77777777" w:rsidR="00C5516F" w:rsidRPr="00A21682" w:rsidRDefault="00C5516F" w:rsidP="00047C4E">
            <w:pPr>
              <w:pStyle w:val="TABLEHEADINGNEW"/>
            </w:pPr>
            <w:r>
              <w:t>Tool Role</w:t>
            </w:r>
          </w:p>
        </w:tc>
        <w:tc>
          <w:tcPr>
            <w:tcW w:w="3225" w:type="dxa"/>
            <w:tcBorders>
              <w:left w:val="single" w:sz="2" w:space="0" w:color="FFFFFF" w:themeColor="background1"/>
              <w:right w:val="single" w:sz="2" w:space="0" w:color="FFFFFF" w:themeColor="background1"/>
            </w:tcBorders>
            <w:shd w:val="clear" w:color="auto" w:fill="000000"/>
          </w:tcPr>
          <w:p w14:paraId="46F1D062" w14:textId="77777777" w:rsidR="00C5516F" w:rsidRPr="00A21682" w:rsidRDefault="00C5516F" w:rsidP="00047C4E">
            <w:pPr>
              <w:pStyle w:val="TABLEHEADINGNEW"/>
            </w:pPr>
            <w:r>
              <w:t>RACI Role</w:t>
            </w:r>
          </w:p>
        </w:tc>
        <w:tc>
          <w:tcPr>
            <w:tcW w:w="3678" w:type="dxa"/>
            <w:tcBorders>
              <w:left w:val="single" w:sz="2" w:space="0" w:color="FFFFFF" w:themeColor="background1"/>
            </w:tcBorders>
            <w:shd w:val="clear" w:color="auto" w:fill="000000"/>
          </w:tcPr>
          <w:p w14:paraId="45D417A4" w14:textId="77777777" w:rsidR="00C5516F" w:rsidRPr="00A21682" w:rsidRDefault="00C5516F" w:rsidP="00047C4E">
            <w:pPr>
              <w:pStyle w:val="TABLEHEADINGNEW"/>
            </w:pPr>
            <w:r>
              <w:t>Key Permissions in the static code analysis tool</w:t>
            </w:r>
          </w:p>
        </w:tc>
      </w:tr>
      <w:tr w:rsidR="00C5516F" w:rsidRPr="00A21682" w14:paraId="65E4A2C1" w14:textId="77777777" w:rsidTr="00047C4E">
        <w:trPr>
          <w:cantSplit/>
          <w:trHeight w:val="493"/>
        </w:trPr>
        <w:tc>
          <w:tcPr>
            <w:tcW w:w="2556" w:type="dxa"/>
            <w:shd w:val="clear" w:color="auto" w:fill="FFFFFF" w:themeFill="background1"/>
          </w:tcPr>
          <w:p w14:paraId="19DA0639" w14:textId="77777777" w:rsidR="00C5516F" w:rsidRPr="00A21682" w:rsidRDefault="00C5516F" w:rsidP="00047C4E">
            <w:pPr>
              <w:pStyle w:val="TABLETEXT1"/>
              <w:rPr>
                <w:lang w:val="en-US"/>
              </w:rPr>
            </w:pPr>
            <w:r>
              <w:rPr>
                <w:lang w:val="en-US"/>
              </w:rPr>
              <w:t xml:space="preserve">Admin </w:t>
            </w:r>
          </w:p>
        </w:tc>
        <w:tc>
          <w:tcPr>
            <w:tcW w:w="3225" w:type="dxa"/>
          </w:tcPr>
          <w:p w14:paraId="5C2D7E04" w14:textId="77777777" w:rsidR="00C5516F" w:rsidRPr="00635C9B" w:rsidRDefault="00C5516F" w:rsidP="006437DE">
            <w:pPr>
              <w:pStyle w:val="TABLEBULLETNEW"/>
            </w:pPr>
            <w:r>
              <w:t>███████ Tool Administrator</w:t>
            </w:r>
          </w:p>
        </w:tc>
        <w:tc>
          <w:tcPr>
            <w:tcW w:w="3678" w:type="dxa"/>
          </w:tcPr>
          <w:p w14:paraId="584839F7" w14:textId="77777777" w:rsidR="00C5516F" w:rsidRPr="00635C9B" w:rsidRDefault="00C5516F" w:rsidP="006437DE">
            <w:pPr>
              <w:pStyle w:val="TABLEBULLETNEW"/>
            </w:pPr>
            <w:r>
              <w:t>Edit rules and profiles</w:t>
            </w:r>
          </w:p>
        </w:tc>
      </w:tr>
      <w:tr w:rsidR="00C5516F" w:rsidRPr="00A21682" w14:paraId="551F51F5" w14:textId="77777777" w:rsidTr="00047C4E">
        <w:trPr>
          <w:cantSplit/>
          <w:trHeight w:val="493"/>
        </w:trPr>
        <w:tc>
          <w:tcPr>
            <w:tcW w:w="2556" w:type="dxa"/>
            <w:shd w:val="clear" w:color="auto" w:fill="FFFFFF" w:themeFill="background1"/>
          </w:tcPr>
          <w:p w14:paraId="0F44A0C8" w14:textId="77777777" w:rsidR="00C5516F" w:rsidRPr="00A21682" w:rsidRDefault="00C5516F" w:rsidP="00047C4E">
            <w:pPr>
              <w:pStyle w:val="TABLETEXT1"/>
              <w:rPr>
                <w:lang w:val="en-US"/>
              </w:rPr>
            </w:pPr>
            <w:r>
              <w:rPr>
                <w:lang w:val="en-US"/>
              </w:rPr>
              <w:t>Developer</w:t>
            </w:r>
          </w:p>
        </w:tc>
        <w:tc>
          <w:tcPr>
            <w:tcW w:w="3225" w:type="dxa"/>
          </w:tcPr>
          <w:p w14:paraId="56D8C3E4" w14:textId="77777777" w:rsidR="00C5516F" w:rsidRPr="00635C9B" w:rsidRDefault="00C5516F" w:rsidP="006437DE">
            <w:pPr>
              <w:pStyle w:val="TABLEBULLETNEW"/>
            </w:pPr>
            <w:r>
              <w:t>███████ Technical Manager</w:t>
            </w:r>
          </w:p>
          <w:p w14:paraId="54DFD440" w14:textId="77777777" w:rsidR="00C5516F" w:rsidRPr="00635C9B" w:rsidRDefault="00C5516F" w:rsidP="006437DE">
            <w:pPr>
              <w:pStyle w:val="TABLEBULLETNEW"/>
            </w:pPr>
            <w:r>
              <w:t>Developer</w:t>
            </w:r>
          </w:p>
        </w:tc>
        <w:tc>
          <w:tcPr>
            <w:tcW w:w="3678" w:type="dxa"/>
          </w:tcPr>
          <w:p w14:paraId="29DE6D99" w14:textId="77777777" w:rsidR="00C5516F" w:rsidRPr="00635C9B" w:rsidRDefault="00C5516F" w:rsidP="006437DE">
            <w:pPr>
              <w:pStyle w:val="TABLEBULLETNEW"/>
            </w:pPr>
            <w:r>
              <w:t>Run, review, push to main</w:t>
            </w:r>
          </w:p>
        </w:tc>
      </w:tr>
      <w:tr w:rsidR="00C5516F" w:rsidRPr="00A21682" w14:paraId="22FB1CA8" w14:textId="77777777" w:rsidTr="00047C4E">
        <w:trPr>
          <w:cantSplit/>
          <w:trHeight w:val="493"/>
        </w:trPr>
        <w:tc>
          <w:tcPr>
            <w:tcW w:w="2556" w:type="dxa"/>
            <w:shd w:val="clear" w:color="auto" w:fill="FFFFFF" w:themeFill="background1"/>
          </w:tcPr>
          <w:p w14:paraId="2D9819DE" w14:textId="77777777" w:rsidR="00C5516F" w:rsidRPr="00A21682" w:rsidRDefault="00C5516F" w:rsidP="00047C4E">
            <w:pPr>
              <w:pStyle w:val="TABLETEXT1"/>
              <w:rPr>
                <w:lang w:val="en-US"/>
              </w:rPr>
            </w:pPr>
            <w:r>
              <w:rPr>
                <w:lang w:val="en-US"/>
              </w:rPr>
              <w:t>the static code analysis tool Read-Only</w:t>
            </w:r>
          </w:p>
        </w:tc>
        <w:tc>
          <w:tcPr>
            <w:tcW w:w="3225" w:type="dxa"/>
          </w:tcPr>
          <w:p w14:paraId="3F2528C6" w14:textId="77777777" w:rsidR="00C5516F" w:rsidRPr="00635C9B" w:rsidRDefault="00C5516F" w:rsidP="006437DE">
            <w:pPr>
              <w:pStyle w:val="TABLEBULLETNEW"/>
            </w:pPr>
            <w:r>
              <w:t>DOH Stakeholders</w:t>
            </w:r>
          </w:p>
        </w:tc>
        <w:tc>
          <w:tcPr>
            <w:tcW w:w="3678" w:type="dxa"/>
          </w:tcPr>
          <w:p w14:paraId="0F9A0694" w14:textId="77777777" w:rsidR="00C5516F" w:rsidRPr="00635C9B" w:rsidRDefault="00C5516F" w:rsidP="006437DE">
            <w:pPr>
              <w:pStyle w:val="TABLEBULLETNEW"/>
            </w:pPr>
            <w:r>
              <w:t>Read-only access</w:t>
            </w:r>
          </w:p>
        </w:tc>
      </w:tr>
    </w:tbl>
    <w:p w14:paraId="1687180C" w14:textId="2AC610A6" w:rsidR="00C5516F" w:rsidRPr="00A21682" w:rsidRDefault="00C5516F" w:rsidP="00CC44DD">
      <w:pPr>
        <w:pStyle w:val="Caption"/>
        <w:rPr>
          <w:noProof w:val="0"/>
        </w:rPr>
      </w:pPr>
      <w:bookmarkStart w:id="1093" w:name="_Toc150951920"/>
      <w:bookmarkStart w:id="1094" w:name="_Toc192875137"/>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52</w:t>
      </w:r>
      <w:r>
        <w:rPr>
          <w:noProof w:val="0"/>
        </w:rPr>
        <w:fldChar w:fldCharType="end"/>
      </w:r>
      <w:r>
        <w:rPr>
          <w:noProof w:val="0"/>
        </w:rPr>
        <w:t>: Static Code Analysis Roles and Permissions</w:t>
      </w:r>
      <w:bookmarkEnd w:id="1093"/>
      <w:bookmarkEnd w:id="1094"/>
    </w:p>
    <w:p w14:paraId="6F730C1B" w14:textId="79FF8CEC" w:rsidR="00C5516F" w:rsidRPr="00A21682" w:rsidRDefault="00C5516F">
      <w:pPr>
        <w:pStyle w:val="Heading3"/>
        <w:rPr>
          <w:u w:color="000000"/>
        </w:rPr>
      </w:pPr>
      <w:bookmarkStart w:id="1095" w:name="_Toc148102414"/>
      <w:bookmarkStart w:id="1096" w:name="_Toc152605898"/>
      <w:bookmarkStart w:id="1097" w:name="_Toc177119032"/>
      <w:bookmarkStart w:id="1098" w:name="_Toc185952592"/>
      <w:bookmarkStart w:id="1099" w:name="_Toc192874762"/>
      <w:r>
        <w:rPr>
          <w:u w:color="000000"/>
        </w:rPr>
        <w:lastRenderedPageBreak/>
        <w:t>ALM Tool Workflows</w:t>
      </w:r>
      <w:bookmarkEnd w:id="1095"/>
      <w:bookmarkEnd w:id="1096"/>
      <w:bookmarkEnd w:id="1097"/>
      <w:bookmarkEnd w:id="1098"/>
      <w:bookmarkEnd w:id="1099"/>
    </w:p>
    <w:p w14:paraId="2BA4495E" w14:textId="77777777" w:rsidR="00C5516F" w:rsidRPr="00A21682" w:rsidRDefault="00C5516F" w:rsidP="001301E2">
      <w:pPr>
        <w:pStyle w:val="NormalNEW"/>
        <w:keepNext/>
        <w:rPr>
          <w:u w:color="000000"/>
          <w:lang w:val="en-US" w:eastAsia="ko-KR"/>
        </w:rPr>
      </w:pPr>
      <w:r>
        <w:rPr>
          <w:u w:color="000000"/>
          <w:lang w:val="en-US" w:eastAsia="ko-KR"/>
        </w:rPr>
        <w:t>The following workflow within the static code analysis tool tool supports each phase of the MECM SDLC.</w:t>
      </w:r>
    </w:p>
    <w:p w14:paraId="17BF4C83" w14:textId="5C117523" w:rsidR="00C5516F" w:rsidRPr="00A21682" w:rsidRDefault="00C5516F" w:rsidP="001428D8">
      <w:pPr>
        <w:pStyle w:val="NormalNEW"/>
        <w:jc w:val="center"/>
        <w:rPr>
          <w:lang w:val="en-US"/>
        </w:rPr>
      </w:pPr>
      <w:r>
        <w:rPr>
          <w:noProof/>
          <w:u w:color="000000"/>
          <w:lang w:val="en-US"/>
        </w:rPr>
        <w:drawing>
          <wp:inline distT="0" distB="0" distL="0" distR="0" wp14:anchorId="774A5E84" wp14:editId="771D4A58">
            <wp:extent cx="4605556" cy="2184956"/>
            <wp:effectExtent l="19050" t="19050" r="24130" b="2540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06023" cy="2185178"/>
                    </a:xfrm>
                    <a:prstGeom prst="rect">
                      <a:avLst/>
                    </a:prstGeom>
                    <a:noFill/>
                    <a:ln w="9525">
                      <a:solidFill>
                        <a:schemeClr val="tx1"/>
                      </a:solidFill>
                    </a:ln>
                  </pic:spPr>
                </pic:pic>
              </a:graphicData>
            </a:graphic>
          </wp:inline>
        </w:drawing>
      </w:r>
    </w:p>
    <w:p w14:paraId="20E6F8B6" w14:textId="18158EAA" w:rsidR="00C5516F" w:rsidRPr="00A21682" w:rsidRDefault="00C5516F" w:rsidP="00CC44DD">
      <w:pPr>
        <w:pStyle w:val="Caption"/>
        <w:rPr>
          <w:noProof w:val="0"/>
        </w:rPr>
      </w:pPr>
      <w:bookmarkStart w:id="1100" w:name="_Toc150948953"/>
      <w:bookmarkStart w:id="1101" w:name="_Toc178152041"/>
      <w:bookmarkStart w:id="1102" w:name="_Toc192875054"/>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17</w:t>
      </w:r>
      <w:r>
        <w:rPr>
          <w:noProof w:val="0"/>
        </w:rPr>
        <w:fldChar w:fldCharType="end"/>
      </w:r>
      <w:r>
        <w:rPr>
          <w:noProof w:val="0"/>
        </w:rPr>
        <w:t>: Static Code Analysis Workflow</w:t>
      </w:r>
      <w:bookmarkEnd w:id="1100"/>
      <w:bookmarkEnd w:id="1101"/>
      <w:bookmarkEnd w:id="1102"/>
    </w:p>
    <w:p w14:paraId="4BDE9112" w14:textId="77777777" w:rsidR="00C5516F" w:rsidRPr="00A21682" w:rsidRDefault="00C5516F" w:rsidP="001428D8">
      <w:pPr>
        <w:pStyle w:val="NormalNEW"/>
        <w:rPr>
          <w:u w:color="000000"/>
          <w:lang w:val="en-US"/>
        </w:rPr>
      </w:pPr>
      <w:r>
        <w:rPr>
          <w:u w:color="000000"/>
          <w:lang w:val="en-US"/>
        </w:rPr>
        <w:t>The following table describes each workflow step illustrated above.</w:t>
      </w:r>
    </w:p>
    <w:tbl>
      <w:tblPr>
        <w:tblW w:w="93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3"/>
        <w:gridCol w:w="1793"/>
        <w:gridCol w:w="3881"/>
        <w:gridCol w:w="3058"/>
      </w:tblGrid>
      <w:tr w:rsidR="00C5516F" w:rsidRPr="00A21682" w14:paraId="0D9E275E" w14:textId="77777777" w:rsidTr="00C968EF">
        <w:trPr>
          <w:trHeight w:val="300"/>
          <w:tblHeader/>
        </w:trPr>
        <w:tc>
          <w:tcPr>
            <w:tcW w:w="613" w:type="dxa"/>
            <w:tcBorders>
              <w:right w:val="single" w:sz="2" w:space="0" w:color="FFFFFF" w:themeColor="background1"/>
            </w:tcBorders>
            <w:shd w:val="clear" w:color="auto" w:fill="000000"/>
            <w:hideMark/>
          </w:tcPr>
          <w:p w14:paraId="4E92C437" w14:textId="77777777" w:rsidR="00C5516F" w:rsidRPr="00A21682" w:rsidRDefault="00C5516F" w:rsidP="00047C4E">
            <w:pPr>
              <w:pStyle w:val="TABLEHEADINGNEW"/>
              <w:rPr>
                <w:rFonts w:ascii="Segoe UI" w:hAnsi="Segoe UI" w:cs="Segoe UI"/>
                <w:color w:val="000000"/>
                <w:u w:color="000000"/>
              </w:rPr>
            </w:pPr>
            <w:r>
              <w:rPr>
                <w:u w:color="000000"/>
              </w:rPr>
              <w:t>#</w:t>
            </w:r>
          </w:p>
        </w:tc>
        <w:tc>
          <w:tcPr>
            <w:tcW w:w="1793" w:type="dxa"/>
            <w:tcBorders>
              <w:left w:val="single" w:sz="2" w:space="0" w:color="FFFFFF" w:themeColor="background1"/>
              <w:right w:val="single" w:sz="2" w:space="0" w:color="FFFFFF" w:themeColor="background1"/>
            </w:tcBorders>
            <w:shd w:val="clear" w:color="auto" w:fill="000000"/>
            <w:hideMark/>
          </w:tcPr>
          <w:p w14:paraId="6F7E4633" w14:textId="77777777" w:rsidR="00C5516F" w:rsidRPr="00A21682" w:rsidRDefault="00C5516F" w:rsidP="00047C4E">
            <w:pPr>
              <w:pStyle w:val="TABLEHEADINGNEW"/>
              <w:rPr>
                <w:rFonts w:ascii="Segoe UI" w:hAnsi="Segoe UI" w:cs="Segoe UI"/>
                <w:color w:val="000000"/>
                <w:u w:color="000000"/>
              </w:rPr>
            </w:pPr>
            <w:r>
              <w:rPr>
                <w:u w:color="000000"/>
              </w:rPr>
              <w:t>Workflow Step</w:t>
            </w:r>
          </w:p>
        </w:tc>
        <w:tc>
          <w:tcPr>
            <w:tcW w:w="3881" w:type="dxa"/>
            <w:tcBorders>
              <w:left w:val="single" w:sz="2" w:space="0" w:color="FFFFFF" w:themeColor="background1"/>
              <w:right w:val="single" w:sz="2" w:space="0" w:color="FFFFFF" w:themeColor="background1"/>
            </w:tcBorders>
            <w:shd w:val="clear" w:color="auto" w:fill="000000"/>
            <w:hideMark/>
          </w:tcPr>
          <w:p w14:paraId="5A57F2A9" w14:textId="77777777" w:rsidR="00C5516F" w:rsidRPr="00A21682" w:rsidRDefault="00C5516F" w:rsidP="00047C4E">
            <w:pPr>
              <w:pStyle w:val="TABLEHEADINGNEW"/>
              <w:rPr>
                <w:rFonts w:ascii="Segoe UI" w:hAnsi="Segoe UI" w:cs="Segoe UI"/>
                <w:color w:val="000000"/>
                <w:u w:color="000000"/>
              </w:rPr>
            </w:pPr>
            <w:r>
              <w:rPr>
                <w:u w:color="000000"/>
              </w:rPr>
              <w:t>Description</w:t>
            </w:r>
          </w:p>
        </w:tc>
        <w:tc>
          <w:tcPr>
            <w:tcW w:w="3058" w:type="dxa"/>
            <w:tcBorders>
              <w:left w:val="single" w:sz="2" w:space="0" w:color="FFFFFF" w:themeColor="background1"/>
            </w:tcBorders>
            <w:shd w:val="clear" w:color="auto" w:fill="000000"/>
            <w:hideMark/>
          </w:tcPr>
          <w:p w14:paraId="7B051907" w14:textId="77777777" w:rsidR="00C5516F" w:rsidRPr="00A21682" w:rsidRDefault="00C5516F" w:rsidP="00047C4E">
            <w:pPr>
              <w:pStyle w:val="TABLEHEADINGNEW"/>
              <w:rPr>
                <w:u w:color="000000"/>
              </w:rPr>
            </w:pPr>
            <w:r>
              <w:rPr>
                <w:u w:color="000000"/>
              </w:rPr>
              <w:t>Step Owner</w:t>
            </w:r>
          </w:p>
        </w:tc>
      </w:tr>
      <w:tr w:rsidR="00C5516F" w:rsidRPr="00A21682" w14:paraId="4B959F6C" w14:textId="77777777" w:rsidTr="00047C4E">
        <w:trPr>
          <w:trHeight w:val="300"/>
        </w:trPr>
        <w:tc>
          <w:tcPr>
            <w:tcW w:w="613" w:type="dxa"/>
            <w:hideMark/>
          </w:tcPr>
          <w:p w14:paraId="07590483" w14:textId="77777777" w:rsidR="00C5516F" w:rsidRPr="00A21682" w:rsidRDefault="00C5516F" w:rsidP="00047C4E">
            <w:pPr>
              <w:pStyle w:val="TABLETEXT1"/>
              <w:rPr>
                <w:u w:color="000000"/>
                <w:lang w:val="en-US"/>
              </w:rPr>
            </w:pPr>
            <w:r>
              <w:rPr>
                <w:u w:color="000000"/>
                <w:lang w:val="en-US"/>
              </w:rPr>
              <w:t>1</w:t>
            </w:r>
          </w:p>
        </w:tc>
        <w:tc>
          <w:tcPr>
            <w:tcW w:w="1793" w:type="dxa"/>
            <w:hideMark/>
          </w:tcPr>
          <w:p w14:paraId="7D0ED460" w14:textId="77777777" w:rsidR="00C5516F" w:rsidRPr="00A21682" w:rsidRDefault="00C5516F" w:rsidP="00047C4E">
            <w:pPr>
              <w:pStyle w:val="TABLETEXT1"/>
              <w:rPr>
                <w:u w:color="000000"/>
                <w:lang w:val="en-US"/>
              </w:rPr>
            </w:pPr>
            <w:r>
              <w:rPr>
                <w:u w:color="000000"/>
                <w:lang w:val="en-US"/>
              </w:rPr>
              <w:t>Commit New Feature</w:t>
            </w:r>
          </w:p>
        </w:tc>
        <w:tc>
          <w:tcPr>
            <w:tcW w:w="3881" w:type="dxa"/>
            <w:hideMark/>
          </w:tcPr>
          <w:p w14:paraId="3CF66F52" w14:textId="77777777" w:rsidR="00C5516F" w:rsidRPr="00A21682" w:rsidRDefault="00C5516F" w:rsidP="008F3AAB">
            <w:pPr>
              <w:pStyle w:val="TABLETEXT1"/>
              <w:rPr>
                <w:u w:color="000000"/>
                <w:lang w:val="en-US"/>
              </w:rPr>
            </w:pPr>
            <w:r>
              <w:rPr>
                <w:u w:color="000000"/>
                <w:lang w:val="en-US"/>
              </w:rPr>
              <w:t>User edits code or adds new code to commit with the feature branch in the source-code repository</w:t>
            </w:r>
          </w:p>
        </w:tc>
        <w:tc>
          <w:tcPr>
            <w:tcW w:w="3058" w:type="dxa"/>
            <w:hideMark/>
          </w:tcPr>
          <w:p w14:paraId="55196DC9" w14:textId="77777777" w:rsidR="00C5516F" w:rsidRPr="00635C9B" w:rsidRDefault="00C5516F" w:rsidP="007B6C65">
            <w:pPr>
              <w:pStyle w:val="TABLEBULLETNEW"/>
            </w:pPr>
            <w:r>
              <w:t>Developer</w:t>
            </w:r>
          </w:p>
        </w:tc>
      </w:tr>
      <w:tr w:rsidR="00C5516F" w:rsidRPr="00A21682" w14:paraId="5DC6DBBE" w14:textId="77777777" w:rsidTr="00047C4E">
        <w:trPr>
          <w:trHeight w:val="300"/>
        </w:trPr>
        <w:tc>
          <w:tcPr>
            <w:tcW w:w="613" w:type="dxa"/>
            <w:hideMark/>
          </w:tcPr>
          <w:p w14:paraId="4611BF30" w14:textId="77777777" w:rsidR="00C5516F" w:rsidRPr="00A21682" w:rsidRDefault="00C5516F" w:rsidP="00047C4E">
            <w:pPr>
              <w:pStyle w:val="TABLETEXT1"/>
              <w:rPr>
                <w:u w:color="000000"/>
                <w:lang w:val="en-US"/>
              </w:rPr>
            </w:pPr>
            <w:r>
              <w:rPr>
                <w:u w:color="000000"/>
                <w:lang w:val="en-US"/>
              </w:rPr>
              <w:t>2</w:t>
            </w:r>
          </w:p>
        </w:tc>
        <w:tc>
          <w:tcPr>
            <w:tcW w:w="1793" w:type="dxa"/>
            <w:hideMark/>
          </w:tcPr>
          <w:p w14:paraId="31E05CD2" w14:textId="77777777" w:rsidR="00C5516F" w:rsidRPr="00A21682" w:rsidRDefault="00C5516F" w:rsidP="00047C4E">
            <w:pPr>
              <w:pStyle w:val="TABLETEXT1"/>
              <w:rPr>
                <w:u w:color="000000"/>
                <w:lang w:val="en-US"/>
              </w:rPr>
            </w:pPr>
            <w:r>
              <w:rPr>
                <w:u w:color="000000"/>
                <w:lang w:val="en-US"/>
              </w:rPr>
              <w:t>Raise a Pull request</w:t>
            </w:r>
          </w:p>
        </w:tc>
        <w:tc>
          <w:tcPr>
            <w:tcW w:w="3881" w:type="dxa"/>
            <w:hideMark/>
          </w:tcPr>
          <w:p w14:paraId="0755A99A" w14:textId="77777777" w:rsidR="00C5516F" w:rsidRPr="00A21682" w:rsidRDefault="00C5516F" w:rsidP="008F3AAB">
            <w:pPr>
              <w:pStyle w:val="TABLETEXT1"/>
              <w:rPr>
                <w:u w:color="000000"/>
                <w:lang w:val="en-US"/>
              </w:rPr>
            </w:pPr>
            <w:r>
              <w:rPr>
                <w:u w:color="000000"/>
                <w:lang w:val="en-US"/>
              </w:rPr>
              <w:t>Create a pull request from Feature branch to Dev branch in the source-code repository, integrate with the static code analysis tool</w:t>
            </w:r>
          </w:p>
        </w:tc>
        <w:tc>
          <w:tcPr>
            <w:tcW w:w="3058" w:type="dxa"/>
            <w:hideMark/>
          </w:tcPr>
          <w:p w14:paraId="7C582D18" w14:textId="77777777" w:rsidR="00C5516F" w:rsidRPr="00635C9B" w:rsidRDefault="00C5516F" w:rsidP="007B6C65">
            <w:pPr>
              <w:pStyle w:val="TABLEBULLETNEW"/>
            </w:pPr>
            <w:r>
              <w:t>Developer</w:t>
            </w:r>
          </w:p>
        </w:tc>
      </w:tr>
      <w:tr w:rsidR="00C5516F" w:rsidRPr="00A21682" w14:paraId="7301976B" w14:textId="77777777" w:rsidTr="00047C4E">
        <w:trPr>
          <w:trHeight w:val="300"/>
        </w:trPr>
        <w:tc>
          <w:tcPr>
            <w:tcW w:w="613" w:type="dxa"/>
            <w:hideMark/>
          </w:tcPr>
          <w:p w14:paraId="30E8E2C3" w14:textId="77777777" w:rsidR="00C5516F" w:rsidRPr="00A21682" w:rsidRDefault="00C5516F" w:rsidP="00047C4E">
            <w:pPr>
              <w:pStyle w:val="TABLETEXT1"/>
              <w:rPr>
                <w:u w:color="000000"/>
                <w:lang w:val="en-US"/>
              </w:rPr>
            </w:pPr>
            <w:r>
              <w:rPr>
                <w:u w:color="000000"/>
                <w:lang w:val="en-US"/>
              </w:rPr>
              <w:t>3</w:t>
            </w:r>
          </w:p>
        </w:tc>
        <w:tc>
          <w:tcPr>
            <w:tcW w:w="1793" w:type="dxa"/>
            <w:hideMark/>
          </w:tcPr>
          <w:p w14:paraId="71502B67" w14:textId="77777777" w:rsidR="00C5516F" w:rsidRPr="00A21682" w:rsidRDefault="00C5516F" w:rsidP="00047C4E">
            <w:pPr>
              <w:pStyle w:val="TABLETEXT1"/>
              <w:rPr>
                <w:u w:color="000000"/>
                <w:lang w:val="en-US"/>
              </w:rPr>
            </w:pPr>
            <w:r>
              <w:rPr>
                <w:u w:color="000000"/>
                <w:lang w:val="en-US"/>
              </w:rPr>
              <w:t>the static code analysis tool Scan</w:t>
            </w:r>
          </w:p>
        </w:tc>
        <w:tc>
          <w:tcPr>
            <w:tcW w:w="3881" w:type="dxa"/>
            <w:hideMark/>
          </w:tcPr>
          <w:p w14:paraId="2B9E0315" w14:textId="77777777" w:rsidR="00C5516F" w:rsidRPr="00A21682" w:rsidRDefault="00C5516F" w:rsidP="008F3AAB">
            <w:pPr>
              <w:pStyle w:val="TABLETEXT1"/>
              <w:rPr>
                <w:u w:color="000000"/>
                <w:lang w:val="en-US"/>
              </w:rPr>
            </w:pPr>
            <w:r>
              <w:rPr>
                <w:u w:color="000000"/>
                <w:lang w:val="en-US"/>
              </w:rPr>
              <w:t>the static code analysis tool code scans triggered for incremental code change</w:t>
            </w:r>
          </w:p>
        </w:tc>
        <w:tc>
          <w:tcPr>
            <w:tcW w:w="3058" w:type="dxa"/>
            <w:hideMark/>
          </w:tcPr>
          <w:p w14:paraId="67E90F6C" w14:textId="77777777" w:rsidR="00C5516F" w:rsidRPr="00635C9B" w:rsidRDefault="00C5516F" w:rsidP="007B6C65">
            <w:pPr>
              <w:pStyle w:val="TABLEBULLETNEW"/>
            </w:pPr>
            <w:r>
              <w:t>Automated Scan</w:t>
            </w:r>
          </w:p>
        </w:tc>
      </w:tr>
      <w:tr w:rsidR="00C5516F" w:rsidRPr="00A21682" w14:paraId="38DD65D9" w14:textId="77777777" w:rsidTr="00047C4E">
        <w:trPr>
          <w:trHeight w:val="300"/>
        </w:trPr>
        <w:tc>
          <w:tcPr>
            <w:tcW w:w="613" w:type="dxa"/>
            <w:hideMark/>
          </w:tcPr>
          <w:p w14:paraId="1F1AE75F" w14:textId="77777777" w:rsidR="00C5516F" w:rsidRPr="00A21682" w:rsidRDefault="00C5516F" w:rsidP="00047C4E">
            <w:pPr>
              <w:pStyle w:val="TABLETEXT1"/>
              <w:rPr>
                <w:u w:color="000000"/>
                <w:lang w:val="en-US"/>
              </w:rPr>
            </w:pPr>
            <w:r>
              <w:rPr>
                <w:u w:color="000000"/>
                <w:lang w:val="en-US"/>
              </w:rPr>
              <w:t>4</w:t>
            </w:r>
          </w:p>
        </w:tc>
        <w:tc>
          <w:tcPr>
            <w:tcW w:w="1793" w:type="dxa"/>
            <w:hideMark/>
          </w:tcPr>
          <w:p w14:paraId="662AF8F5" w14:textId="77777777" w:rsidR="00C5516F" w:rsidRPr="00A21682" w:rsidRDefault="00C5516F" w:rsidP="00047C4E">
            <w:pPr>
              <w:pStyle w:val="TABLETEXT1"/>
              <w:rPr>
                <w:u w:color="000000"/>
                <w:lang w:val="en-US"/>
              </w:rPr>
            </w:pPr>
            <w:r>
              <w:rPr>
                <w:u w:color="000000"/>
                <w:lang w:val="en-US"/>
              </w:rPr>
              <w:t>Manual Review</w:t>
            </w:r>
          </w:p>
        </w:tc>
        <w:tc>
          <w:tcPr>
            <w:tcW w:w="3881" w:type="dxa"/>
            <w:hideMark/>
          </w:tcPr>
          <w:p w14:paraId="199DB9DB" w14:textId="4B464B11" w:rsidR="00C5516F" w:rsidRPr="00635C9B" w:rsidRDefault="00C5516F" w:rsidP="007B6C65">
            <w:pPr>
              <w:pStyle w:val="TABLEBULLETNEW"/>
            </w:pPr>
            <w:r>
              <w:t>If approved, pushed to Repository</w:t>
            </w:r>
          </w:p>
          <w:p w14:paraId="52EFBAC8" w14:textId="04041843" w:rsidR="00C5516F" w:rsidRPr="00635C9B" w:rsidRDefault="00C5516F" w:rsidP="007B6C65">
            <w:pPr>
              <w:pStyle w:val="TABLEBULLETNEW"/>
              <w:rPr>
                <w:rFonts w:ascii="Arial" w:eastAsia="Segoe UI" w:hAnsi="Arial" w:cs="Arial"/>
                <w:color w:val="000000"/>
                <w:sz w:val="20"/>
              </w:rPr>
            </w:pPr>
            <w:r>
              <w:t>If rejected, correct code to specification</w:t>
            </w:r>
          </w:p>
        </w:tc>
        <w:tc>
          <w:tcPr>
            <w:tcW w:w="3058" w:type="dxa"/>
            <w:hideMark/>
          </w:tcPr>
          <w:p w14:paraId="51DD7BA6" w14:textId="77777777" w:rsidR="00C5516F" w:rsidRPr="00635C9B" w:rsidRDefault="00C5516F" w:rsidP="007B6C65">
            <w:pPr>
              <w:pStyle w:val="TABLEBULLETNEW"/>
            </w:pPr>
            <w:r>
              <w:t>███████ Tool Administrator</w:t>
            </w:r>
          </w:p>
        </w:tc>
      </w:tr>
      <w:tr w:rsidR="00C5516F" w:rsidRPr="00A21682" w14:paraId="061FF861" w14:textId="77777777" w:rsidTr="00047C4E">
        <w:trPr>
          <w:trHeight w:val="300"/>
        </w:trPr>
        <w:tc>
          <w:tcPr>
            <w:tcW w:w="613" w:type="dxa"/>
            <w:hideMark/>
          </w:tcPr>
          <w:p w14:paraId="209907CE" w14:textId="1C294CC4" w:rsidR="00C5516F" w:rsidRPr="00A21682" w:rsidRDefault="00854B9C" w:rsidP="00047C4E">
            <w:pPr>
              <w:pStyle w:val="TABLETEXT1"/>
              <w:rPr>
                <w:u w:color="000000"/>
                <w:lang w:val="en-US"/>
              </w:rPr>
            </w:pPr>
            <w:r>
              <w:rPr>
                <w:u w:color="000000"/>
                <w:lang w:val="en-US"/>
              </w:rPr>
              <w:t>5</w:t>
            </w:r>
          </w:p>
        </w:tc>
        <w:tc>
          <w:tcPr>
            <w:tcW w:w="1793" w:type="dxa"/>
            <w:hideMark/>
          </w:tcPr>
          <w:p w14:paraId="29CD38BD" w14:textId="77777777" w:rsidR="00C5516F" w:rsidRPr="00A21682" w:rsidRDefault="00C5516F" w:rsidP="00047C4E">
            <w:pPr>
              <w:pStyle w:val="TABLETEXT1"/>
              <w:rPr>
                <w:u w:color="000000"/>
                <w:lang w:val="en-US"/>
              </w:rPr>
            </w:pPr>
            <w:r>
              <w:rPr>
                <w:u w:color="000000"/>
                <w:lang w:val="en-US"/>
              </w:rPr>
              <w:t>Push to Main</w:t>
            </w:r>
          </w:p>
        </w:tc>
        <w:tc>
          <w:tcPr>
            <w:tcW w:w="3881" w:type="dxa"/>
            <w:hideMark/>
          </w:tcPr>
          <w:p w14:paraId="41066867" w14:textId="225C5930" w:rsidR="00C5516F" w:rsidRPr="00A21682" w:rsidRDefault="00C5516F" w:rsidP="008F3AAB">
            <w:pPr>
              <w:pStyle w:val="TABLETEXT1"/>
              <w:rPr>
                <w:u w:color="000000"/>
                <w:lang w:val="en-US"/>
              </w:rPr>
            </w:pPr>
            <w:r>
              <w:rPr>
                <w:u w:color="000000"/>
                <w:lang w:val="en-US"/>
              </w:rPr>
              <w:t>Edit/Change is approved, and code is published to shared the source-code repository repository</w:t>
            </w:r>
          </w:p>
        </w:tc>
        <w:tc>
          <w:tcPr>
            <w:tcW w:w="3058" w:type="dxa"/>
            <w:hideMark/>
          </w:tcPr>
          <w:p w14:paraId="2DE004AC" w14:textId="77777777" w:rsidR="00C5516F" w:rsidRPr="00635C9B" w:rsidRDefault="00C5516F" w:rsidP="007B6C65">
            <w:pPr>
              <w:pStyle w:val="TABLEBULLETNEW"/>
            </w:pPr>
            <w:r>
              <w:t>███████ Tool Administrator</w:t>
            </w:r>
          </w:p>
        </w:tc>
      </w:tr>
    </w:tbl>
    <w:p w14:paraId="13885611" w14:textId="693DAF74" w:rsidR="00C5516F" w:rsidRPr="00A21682" w:rsidRDefault="00C5516F" w:rsidP="00CC44DD">
      <w:pPr>
        <w:pStyle w:val="Caption"/>
        <w:rPr>
          <w:noProof w:val="0"/>
        </w:rPr>
      </w:pPr>
      <w:bookmarkStart w:id="1103" w:name="_Toc150951921"/>
      <w:bookmarkStart w:id="1104" w:name="_Toc192875138"/>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53</w:t>
      </w:r>
      <w:r>
        <w:rPr>
          <w:noProof w:val="0"/>
        </w:rPr>
        <w:fldChar w:fldCharType="end"/>
      </w:r>
      <w:r>
        <w:rPr>
          <w:noProof w:val="0"/>
        </w:rPr>
        <w:t>: Static Code Analysis Workflow Narrative</w:t>
      </w:r>
      <w:bookmarkEnd w:id="1103"/>
      <w:bookmarkEnd w:id="1104"/>
    </w:p>
    <w:p w14:paraId="5AE69D97" w14:textId="77777777" w:rsidR="00C5516F" w:rsidRPr="00A21682" w:rsidRDefault="00C5516F">
      <w:pPr>
        <w:pStyle w:val="Heading3"/>
        <w:rPr>
          <w:u w:color="000000"/>
        </w:rPr>
      </w:pPr>
      <w:bookmarkStart w:id="1105" w:name="_Toc148102415"/>
      <w:bookmarkStart w:id="1106" w:name="_Toc152605899"/>
      <w:bookmarkStart w:id="1107" w:name="_Toc177119033"/>
      <w:bookmarkStart w:id="1108" w:name="_Toc185952593"/>
      <w:bookmarkStart w:id="1109" w:name="_Toc192874763"/>
      <w:r>
        <w:rPr>
          <w:u w:color="000000"/>
        </w:rPr>
        <w:t>Accessing ALM Tool</w:t>
      </w:r>
      <w:bookmarkEnd w:id="1105"/>
      <w:bookmarkEnd w:id="1106"/>
      <w:bookmarkEnd w:id="1107"/>
      <w:bookmarkEnd w:id="1108"/>
      <w:bookmarkEnd w:id="1109"/>
    </w:p>
    <w:p w14:paraId="5C387EE6" w14:textId="2268BCEC" w:rsidR="00C5516F" w:rsidRPr="00A21682" w:rsidRDefault="00C5516F" w:rsidP="001428D8">
      <w:pPr>
        <w:pStyle w:val="NormalNEW"/>
        <w:rPr>
          <w:u w:color="000000"/>
          <w:lang w:val="en-US" w:eastAsia="ko-KR"/>
        </w:rPr>
      </w:pPr>
      <w:r>
        <w:rPr>
          <w:u w:color="000000"/>
          <w:lang w:val="en-US" w:eastAsia="ko-KR"/>
        </w:rPr>
        <w:t>Access to the static code analysis tool is open to ███████ Technology team and approved DOH stakeholders. User training content and tool walkthroughs will be available prior to the start of Development Phase for impacted DOH stakeholders.</w:t>
      </w:r>
    </w:p>
    <w:p w14:paraId="7E691D9C" w14:textId="6E42C90C" w:rsidR="00C5516F" w:rsidRPr="00A21682" w:rsidRDefault="009813C8" w:rsidP="001428D8">
      <w:pPr>
        <w:pStyle w:val="NormalNEW"/>
        <w:rPr>
          <w:rFonts w:cs="Arial"/>
          <w:color w:val="000000"/>
          <w:u w:color="000000"/>
          <w:lang w:val="en-US"/>
        </w:rPr>
      </w:pPr>
      <w:r>
        <w:rPr>
          <w:color w:val="000000"/>
          <w:u w:color="000000"/>
          <w:lang w:val="en-US"/>
        </w:rPr>
        <w:t>Access to the static code analysis tool tool is restricted. A unique link will be provided to each user by the ███████ Technology team once access is granted.</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103"/>
        <w:gridCol w:w="6727"/>
        <w:gridCol w:w="1530"/>
      </w:tblGrid>
      <w:tr w:rsidR="005133E7" w:rsidRPr="00A21682" w14:paraId="481648AC" w14:textId="77777777" w:rsidTr="0005412C">
        <w:trPr>
          <w:tblHeader/>
        </w:trPr>
        <w:tc>
          <w:tcPr>
            <w:tcW w:w="1103" w:type="dxa"/>
            <w:tcBorders>
              <w:right w:val="single" w:sz="2" w:space="0" w:color="FFFFFF" w:themeColor="background1"/>
            </w:tcBorders>
            <w:shd w:val="clear" w:color="auto" w:fill="000000"/>
            <w:hideMark/>
          </w:tcPr>
          <w:p w14:paraId="21A1E4A2" w14:textId="77777777" w:rsidR="00C5516F" w:rsidRPr="00A21682" w:rsidRDefault="00C5516F" w:rsidP="00047C4E">
            <w:pPr>
              <w:pStyle w:val="TABLEHEADINGNEW"/>
              <w:rPr>
                <w:u w:color="000000"/>
              </w:rPr>
            </w:pPr>
            <w:r>
              <w:rPr>
                <w:u w:color="000000"/>
              </w:rPr>
              <w:lastRenderedPageBreak/>
              <w:t>#</w:t>
            </w:r>
          </w:p>
        </w:tc>
        <w:tc>
          <w:tcPr>
            <w:tcW w:w="6727" w:type="dxa"/>
            <w:tcBorders>
              <w:left w:val="single" w:sz="2" w:space="0" w:color="FFFFFF" w:themeColor="background1"/>
              <w:right w:val="single" w:sz="2" w:space="0" w:color="FFFFFF" w:themeColor="background1"/>
            </w:tcBorders>
            <w:shd w:val="clear" w:color="auto" w:fill="000000"/>
            <w:hideMark/>
          </w:tcPr>
          <w:p w14:paraId="5ACCD12C" w14:textId="77777777" w:rsidR="00C5516F" w:rsidRPr="00A21682" w:rsidRDefault="00C5516F" w:rsidP="00047C4E">
            <w:pPr>
              <w:pStyle w:val="TABLEHEADINGNEW"/>
              <w:rPr>
                <w:u w:color="000000"/>
              </w:rPr>
            </w:pPr>
            <w:r>
              <w:rPr>
                <w:u w:color="000000"/>
              </w:rPr>
              <w:t>Access Step</w:t>
            </w:r>
          </w:p>
        </w:tc>
        <w:tc>
          <w:tcPr>
            <w:tcW w:w="1530" w:type="dxa"/>
            <w:tcBorders>
              <w:left w:val="single" w:sz="2" w:space="0" w:color="FFFFFF" w:themeColor="background1"/>
            </w:tcBorders>
            <w:shd w:val="clear" w:color="auto" w:fill="000000"/>
            <w:hideMark/>
          </w:tcPr>
          <w:p w14:paraId="7E817945" w14:textId="77777777" w:rsidR="00C5516F" w:rsidRPr="00A21682" w:rsidRDefault="00C5516F" w:rsidP="00047C4E">
            <w:pPr>
              <w:pStyle w:val="TABLEHEADINGNEW"/>
              <w:rPr>
                <w:u w:color="000000"/>
              </w:rPr>
            </w:pPr>
            <w:r>
              <w:rPr>
                <w:u w:color="000000"/>
              </w:rPr>
              <w:t>Owner</w:t>
            </w:r>
          </w:p>
        </w:tc>
      </w:tr>
      <w:tr w:rsidR="00B65956" w:rsidRPr="00A21682" w14:paraId="5B7C4498" w14:textId="77777777" w:rsidTr="00047C4E">
        <w:tc>
          <w:tcPr>
            <w:tcW w:w="1103" w:type="dxa"/>
          </w:tcPr>
          <w:p w14:paraId="19EECB06" w14:textId="4665F4BF" w:rsidR="00C5516F" w:rsidRPr="00A21682" w:rsidRDefault="001B1011" w:rsidP="00047C4E">
            <w:pPr>
              <w:pStyle w:val="TABLETEXT1"/>
              <w:rPr>
                <w:u w:color="000000"/>
                <w:lang w:val="en-US"/>
              </w:rPr>
            </w:pPr>
            <w:r>
              <w:rPr>
                <w:u w:color="000000"/>
                <w:lang w:val="en-US"/>
              </w:rPr>
              <w:t>1</w:t>
            </w:r>
          </w:p>
        </w:tc>
        <w:tc>
          <w:tcPr>
            <w:tcW w:w="6727" w:type="dxa"/>
            <w:hideMark/>
          </w:tcPr>
          <w:p w14:paraId="78EF652A" w14:textId="77777777" w:rsidR="00C5516F" w:rsidRPr="00A21682" w:rsidRDefault="00C5516F" w:rsidP="00047C4E">
            <w:pPr>
              <w:pStyle w:val="TABLETEXT1"/>
              <w:rPr>
                <w:rFonts w:cs="Times New Roman"/>
                <w:u w:color="000000"/>
                <w:lang w:val="en-US"/>
              </w:rPr>
            </w:pPr>
            <w:r>
              <w:rPr>
                <w:rFonts w:cs="Times New Roman"/>
                <w:u w:color="000000"/>
                <w:lang w:val="en-US"/>
              </w:rPr>
              <w:t>Submit PMO Service Request in the ALM tool for access to the static code analysis tool</w:t>
            </w:r>
          </w:p>
        </w:tc>
        <w:tc>
          <w:tcPr>
            <w:tcW w:w="1530" w:type="dxa"/>
            <w:hideMark/>
          </w:tcPr>
          <w:p w14:paraId="1309011C" w14:textId="77777777" w:rsidR="00C5516F" w:rsidRPr="00A21682" w:rsidRDefault="00C5516F" w:rsidP="00047C4E">
            <w:pPr>
              <w:pStyle w:val="TABLETEXT1"/>
              <w:rPr>
                <w:rFonts w:cs="Times New Roman"/>
                <w:u w:color="000000"/>
                <w:lang w:val="en-US"/>
              </w:rPr>
            </w:pPr>
            <w:r>
              <w:rPr>
                <w:rFonts w:cs="Times New Roman"/>
                <w:u w:color="000000"/>
                <w:lang w:val="en-US"/>
              </w:rPr>
              <w:t>Requestor</w:t>
            </w:r>
          </w:p>
        </w:tc>
      </w:tr>
      <w:tr w:rsidR="00B65956" w:rsidRPr="00A21682" w14:paraId="33AD61D1" w14:textId="77777777" w:rsidTr="00047C4E">
        <w:tc>
          <w:tcPr>
            <w:tcW w:w="1103" w:type="dxa"/>
          </w:tcPr>
          <w:p w14:paraId="4960689D" w14:textId="506B2491" w:rsidR="00C5516F" w:rsidRPr="00A21682" w:rsidRDefault="001B1011" w:rsidP="00047C4E">
            <w:pPr>
              <w:pStyle w:val="TABLETEXT1"/>
              <w:rPr>
                <w:u w:color="000000"/>
                <w:lang w:val="en-US"/>
              </w:rPr>
            </w:pPr>
            <w:r>
              <w:rPr>
                <w:u w:color="000000"/>
                <w:lang w:val="en-US"/>
              </w:rPr>
              <w:t>2</w:t>
            </w:r>
          </w:p>
        </w:tc>
        <w:tc>
          <w:tcPr>
            <w:tcW w:w="6727" w:type="dxa"/>
            <w:hideMark/>
          </w:tcPr>
          <w:p w14:paraId="129A305F" w14:textId="77777777" w:rsidR="00C5516F" w:rsidRPr="00A21682" w:rsidRDefault="00C5516F" w:rsidP="00047C4E">
            <w:pPr>
              <w:pStyle w:val="TABLETEXT1"/>
              <w:rPr>
                <w:rFonts w:cs="Times New Roman"/>
                <w:u w:color="000000"/>
                <w:lang w:val="en-US"/>
              </w:rPr>
            </w:pPr>
            <w:r>
              <w:rPr>
                <w:rFonts w:cs="Times New Roman"/>
                <w:u w:color="000000"/>
                <w:lang w:val="en-US"/>
              </w:rPr>
              <w:t>Admin approves request</w:t>
            </w:r>
          </w:p>
        </w:tc>
        <w:tc>
          <w:tcPr>
            <w:tcW w:w="1530" w:type="dxa"/>
            <w:hideMark/>
          </w:tcPr>
          <w:p w14:paraId="403E5E1D" w14:textId="77777777" w:rsidR="00C5516F" w:rsidRPr="00A21682" w:rsidRDefault="00C5516F" w:rsidP="00047C4E">
            <w:pPr>
              <w:pStyle w:val="TABLETEXT1"/>
              <w:rPr>
                <w:rFonts w:cs="Times New Roman"/>
                <w:u w:color="000000"/>
                <w:lang w:val="en-US"/>
              </w:rPr>
            </w:pPr>
            <w:r>
              <w:rPr>
                <w:rFonts w:cs="Times New Roman"/>
                <w:u w:color="000000"/>
                <w:lang w:val="en-US"/>
              </w:rPr>
              <w:t>System Admin</w:t>
            </w:r>
          </w:p>
        </w:tc>
      </w:tr>
      <w:tr w:rsidR="00B65956" w:rsidRPr="00A21682" w14:paraId="0E9215B8" w14:textId="77777777" w:rsidTr="00047C4E">
        <w:tc>
          <w:tcPr>
            <w:tcW w:w="1103" w:type="dxa"/>
          </w:tcPr>
          <w:p w14:paraId="1D8E5C41" w14:textId="3966BF12" w:rsidR="00C5516F" w:rsidRPr="00A21682" w:rsidRDefault="001B1011" w:rsidP="00047C4E">
            <w:pPr>
              <w:pStyle w:val="TABLETEXT1"/>
              <w:rPr>
                <w:u w:color="000000"/>
                <w:lang w:val="en-US"/>
              </w:rPr>
            </w:pPr>
            <w:r>
              <w:rPr>
                <w:u w:color="000000"/>
                <w:lang w:val="en-US"/>
              </w:rPr>
              <w:t>3</w:t>
            </w:r>
          </w:p>
        </w:tc>
        <w:tc>
          <w:tcPr>
            <w:tcW w:w="6727" w:type="dxa"/>
            <w:hideMark/>
          </w:tcPr>
          <w:p w14:paraId="7975EE78" w14:textId="77777777" w:rsidR="00C5516F" w:rsidRPr="00A21682" w:rsidRDefault="00C5516F" w:rsidP="00047C4E">
            <w:pPr>
              <w:pStyle w:val="TABLETEXT1"/>
              <w:rPr>
                <w:rFonts w:cs="Times New Roman"/>
                <w:u w:color="000000"/>
                <w:lang w:val="en-US"/>
              </w:rPr>
            </w:pPr>
            <w:r>
              <w:rPr>
                <w:rFonts w:cs="Times New Roman"/>
                <w:u w:color="000000"/>
                <w:lang w:val="en-US"/>
              </w:rPr>
              <w:t>Once approved, gain access to the static code analysis tool (user’s specific account)</w:t>
            </w:r>
          </w:p>
        </w:tc>
        <w:tc>
          <w:tcPr>
            <w:tcW w:w="1530" w:type="dxa"/>
            <w:hideMark/>
          </w:tcPr>
          <w:p w14:paraId="3C4A6F06" w14:textId="77777777" w:rsidR="00C5516F" w:rsidRPr="00A21682" w:rsidRDefault="00C5516F" w:rsidP="00047C4E">
            <w:pPr>
              <w:pStyle w:val="TABLETEXT1"/>
              <w:rPr>
                <w:rFonts w:cs="Times New Roman"/>
                <w:u w:color="000000"/>
                <w:lang w:val="en-US"/>
              </w:rPr>
            </w:pPr>
            <w:r>
              <w:rPr>
                <w:rFonts w:cs="Times New Roman"/>
                <w:u w:color="000000"/>
                <w:lang w:val="en-US"/>
              </w:rPr>
              <w:t>User</w:t>
            </w:r>
          </w:p>
        </w:tc>
      </w:tr>
    </w:tbl>
    <w:p w14:paraId="1557F3D6" w14:textId="3F410B71" w:rsidR="00C5516F" w:rsidRPr="00A21682" w:rsidRDefault="00C5516F" w:rsidP="00CC44DD">
      <w:pPr>
        <w:pStyle w:val="Caption"/>
        <w:rPr>
          <w:noProof w:val="0"/>
        </w:rPr>
      </w:pPr>
      <w:bookmarkStart w:id="1110" w:name="_Toc150951922"/>
      <w:bookmarkStart w:id="1111" w:name="_Toc192875139"/>
      <w:r>
        <w:rPr>
          <w:noProof w:val="0"/>
        </w:rPr>
        <w:t xml:space="preserve">Table </w:t>
      </w:r>
      <w:bookmarkEnd w:id="1110"/>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54</w:t>
      </w:r>
      <w:r>
        <w:rPr>
          <w:noProof w:val="0"/>
        </w:rPr>
        <w:fldChar w:fldCharType="end"/>
      </w:r>
      <w:r>
        <w:rPr>
          <w:noProof w:val="0"/>
        </w:rPr>
        <w:t>: Static Code Analysis Access</w:t>
      </w:r>
      <w:bookmarkEnd w:id="1111"/>
    </w:p>
    <w:p w14:paraId="6A3210DC" w14:textId="1346CA00" w:rsidR="00C5516F" w:rsidRPr="00A21682" w:rsidRDefault="00C5516F" w:rsidP="001428D8">
      <w:pPr>
        <w:pStyle w:val="NormalNEW"/>
        <w:rPr>
          <w:u w:color="000000"/>
          <w:lang w:val="en-US"/>
        </w:rPr>
      </w:pPr>
      <w:r>
        <w:rPr>
          <w:rFonts w:cs="Times New Roman"/>
          <w:u w:color="000000"/>
          <w:lang w:val="en-US"/>
        </w:rPr>
        <w:t xml:space="preserve">For troubleshooting login or access issues, contact </w:t>
      </w:r>
      <w:r>
        <w:rPr>
          <w:highlight w:val="black"/>
          <w:u w:val="single" w:color="003366"/>
          <w:lang w:val="en-US"/>
        </w:rPr>
        <w:t>the PMO support mailbox</w:t>
      </w:r>
      <w:r>
        <w:rPr>
          <w:u w:color="000000"/>
          <w:lang w:val="en-US"/>
        </w:rPr>
        <w:t xml:space="preserve"> </w:t>
      </w:r>
    </w:p>
    <w:p w14:paraId="14FB2211" w14:textId="77777777" w:rsidR="00C5516F" w:rsidRPr="00A21682" w:rsidRDefault="00C5516F">
      <w:pPr>
        <w:pStyle w:val="Heading2"/>
        <w:rPr>
          <w:u w:color="000000"/>
        </w:rPr>
      </w:pPr>
      <w:bookmarkStart w:id="1112" w:name="_Toc148102416"/>
      <w:bookmarkStart w:id="1113" w:name="_Toc152605900"/>
      <w:bookmarkStart w:id="1114" w:name="_Toc177119034"/>
      <w:bookmarkStart w:id="1115" w:name="_Toc185952594"/>
      <w:bookmarkStart w:id="1116" w:name="_Toc192874764"/>
      <w:r>
        <w:rPr>
          <w:u w:color="000000"/>
        </w:rPr>
        <w:t>Build Server</w:t>
      </w:r>
      <w:bookmarkEnd w:id="1112"/>
      <w:bookmarkEnd w:id="1113"/>
      <w:bookmarkEnd w:id="1114"/>
      <w:bookmarkEnd w:id="1115"/>
      <w:bookmarkEnd w:id="1116"/>
      <w:r>
        <w:rPr>
          <w:u w:color="000000"/>
        </w:rPr>
        <w:t xml:space="preserve"> </w:t>
      </w:r>
    </w:p>
    <w:p w14:paraId="740EF94B" w14:textId="77777777" w:rsidR="00C5516F" w:rsidRPr="00A21682" w:rsidRDefault="00C5516F" w:rsidP="001428D8">
      <w:pPr>
        <w:pStyle w:val="NormalNEW"/>
        <w:rPr>
          <w:rFonts w:eastAsia="Times New Roman" w:cs="Times New Roman"/>
          <w:u w:color="000000"/>
          <w:lang w:val="en-US"/>
        </w:rPr>
      </w:pPr>
      <w:r>
        <w:rPr>
          <w:u w:color="000000"/>
          <w:lang w:val="en-US"/>
        </w:rPr>
        <w:t xml:space="preserve">The build server is part of the continuous integration/continuous deployment pipeline and orchestrates code build and deployment steps. </w:t>
      </w:r>
    </w:p>
    <w:p w14:paraId="7CC24ED4" w14:textId="77777777" w:rsidR="00C5516F" w:rsidRPr="00A21682" w:rsidRDefault="00C5516F">
      <w:pPr>
        <w:pStyle w:val="Heading3"/>
        <w:rPr>
          <w:u w:color="000000"/>
        </w:rPr>
      </w:pPr>
      <w:bookmarkStart w:id="1117" w:name="_Toc148102417"/>
      <w:bookmarkStart w:id="1118" w:name="_Toc152605901"/>
      <w:bookmarkStart w:id="1119" w:name="_Toc177119035"/>
      <w:bookmarkStart w:id="1120" w:name="_Toc185952595"/>
      <w:bookmarkStart w:id="1121" w:name="_Toc192874765"/>
      <w:r>
        <w:rPr>
          <w:u w:color="000000"/>
        </w:rPr>
        <w:t>ALM Tool Roles and Permissions</w:t>
      </w:r>
      <w:bookmarkEnd w:id="1117"/>
      <w:bookmarkEnd w:id="1118"/>
      <w:bookmarkEnd w:id="1119"/>
      <w:bookmarkEnd w:id="1120"/>
      <w:bookmarkEnd w:id="1121"/>
    </w:p>
    <w:tbl>
      <w:tblPr>
        <w:tblW w:w="9393" w:type="dxa"/>
        <w:tblInd w:w="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A0" w:firstRow="1" w:lastRow="0" w:firstColumn="1" w:lastColumn="0" w:noHBand="1" w:noVBand="1"/>
      </w:tblPr>
      <w:tblGrid>
        <w:gridCol w:w="2673"/>
        <w:gridCol w:w="3210"/>
        <w:gridCol w:w="3510"/>
      </w:tblGrid>
      <w:tr w:rsidR="00C5516F" w:rsidRPr="00A21682" w14:paraId="52E5D847" w14:textId="77777777" w:rsidTr="00B2120D">
        <w:trPr>
          <w:trHeight w:val="255"/>
        </w:trPr>
        <w:tc>
          <w:tcPr>
            <w:tcW w:w="2673" w:type="dxa"/>
            <w:tcBorders>
              <w:right w:val="single" w:sz="2" w:space="0" w:color="FFFFFF" w:themeColor="background1"/>
            </w:tcBorders>
            <w:shd w:val="clear" w:color="auto" w:fill="000000"/>
            <w:vAlign w:val="center"/>
            <w:hideMark/>
          </w:tcPr>
          <w:p w14:paraId="3629EE38" w14:textId="77777777" w:rsidR="00C5516F" w:rsidRPr="00A21682" w:rsidRDefault="00C5516F" w:rsidP="001B1011">
            <w:pPr>
              <w:pStyle w:val="TABLEHEADINGNEW"/>
            </w:pPr>
            <w:r>
              <w:rPr>
                <w:rFonts w:eastAsia="Arial"/>
              </w:rPr>
              <w:t>Tool Role</w:t>
            </w:r>
          </w:p>
        </w:tc>
        <w:tc>
          <w:tcPr>
            <w:tcW w:w="3210" w:type="dxa"/>
            <w:tcBorders>
              <w:left w:val="single" w:sz="2" w:space="0" w:color="FFFFFF" w:themeColor="background1"/>
              <w:right w:val="single" w:sz="2" w:space="0" w:color="FFFFFF" w:themeColor="background1"/>
            </w:tcBorders>
            <w:shd w:val="clear" w:color="auto" w:fill="000000"/>
            <w:vAlign w:val="center"/>
            <w:hideMark/>
          </w:tcPr>
          <w:p w14:paraId="01A49A7D" w14:textId="77777777" w:rsidR="00C5516F" w:rsidRPr="00A21682" w:rsidRDefault="00C5516F" w:rsidP="001B1011">
            <w:pPr>
              <w:pStyle w:val="TABLEHEADINGNEW"/>
            </w:pPr>
            <w:r>
              <w:rPr>
                <w:rFonts w:eastAsia="Arial"/>
              </w:rPr>
              <w:t>RACI Role</w:t>
            </w:r>
          </w:p>
        </w:tc>
        <w:tc>
          <w:tcPr>
            <w:tcW w:w="3510" w:type="dxa"/>
            <w:tcBorders>
              <w:left w:val="single" w:sz="2" w:space="0" w:color="FFFFFF" w:themeColor="background1"/>
            </w:tcBorders>
            <w:shd w:val="clear" w:color="auto" w:fill="000000"/>
            <w:vAlign w:val="center"/>
            <w:hideMark/>
          </w:tcPr>
          <w:p w14:paraId="22C74D1B" w14:textId="77777777" w:rsidR="00C5516F" w:rsidRPr="00A21682" w:rsidRDefault="00C5516F" w:rsidP="001B1011">
            <w:pPr>
              <w:pStyle w:val="TABLEHEADINGNEW"/>
            </w:pPr>
            <w:r>
              <w:rPr>
                <w:rFonts w:eastAsia="Arial"/>
              </w:rPr>
              <w:t>Key Permissions in the build server</w:t>
            </w:r>
          </w:p>
        </w:tc>
      </w:tr>
      <w:tr w:rsidR="00C5516F" w:rsidRPr="00A21682" w14:paraId="4051A7ED" w14:textId="77777777" w:rsidTr="00B2120D">
        <w:trPr>
          <w:trHeight w:val="300"/>
        </w:trPr>
        <w:tc>
          <w:tcPr>
            <w:tcW w:w="2673" w:type="dxa"/>
            <w:shd w:val="clear" w:color="auto" w:fill="FFFFFF" w:themeFill="background1"/>
            <w:vAlign w:val="center"/>
            <w:hideMark/>
          </w:tcPr>
          <w:p w14:paraId="56A70E78" w14:textId="77777777" w:rsidR="00C5516F" w:rsidRPr="00A21682" w:rsidRDefault="00C5516F" w:rsidP="001B1011">
            <w:pPr>
              <w:pStyle w:val="TABLETEXT1"/>
              <w:rPr>
                <w:lang w:val="en-US"/>
              </w:rPr>
            </w:pPr>
            <w:r>
              <w:rPr>
                <w:lang w:val="en-US"/>
              </w:rPr>
              <w:t xml:space="preserve">the build server Admin </w:t>
            </w:r>
          </w:p>
        </w:tc>
        <w:tc>
          <w:tcPr>
            <w:tcW w:w="3210" w:type="dxa"/>
            <w:vAlign w:val="center"/>
            <w:hideMark/>
          </w:tcPr>
          <w:p w14:paraId="61E2FEB0" w14:textId="77777777" w:rsidR="00C5516F" w:rsidRPr="00635C9B" w:rsidRDefault="00C5516F" w:rsidP="007B6C65">
            <w:pPr>
              <w:pStyle w:val="TABLEBULLETNEW"/>
            </w:pPr>
            <w:r>
              <w:t>System Admin</w:t>
            </w:r>
          </w:p>
        </w:tc>
        <w:tc>
          <w:tcPr>
            <w:tcW w:w="3510" w:type="dxa"/>
            <w:vAlign w:val="center"/>
            <w:hideMark/>
          </w:tcPr>
          <w:p w14:paraId="5C5191C2" w14:textId="77777777" w:rsidR="00C5516F" w:rsidRPr="00635C9B" w:rsidRDefault="00C5516F" w:rsidP="007B6C65">
            <w:pPr>
              <w:pStyle w:val="TABLEBULLETNEW"/>
            </w:pPr>
            <w:r>
              <w:t>Read/Write/Configure</w:t>
            </w:r>
          </w:p>
        </w:tc>
      </w:tr>
      <w:tr w:rsidR="00C5516F" w:rsidRPr="00A21682" w14:paraId="6EC61DC7" w14:textId="77777777" w:rsidTr="00B2120D">
        <w:trPr>
          <w:trHeight w:val="300"/>
        </w:trPr>
        <w:tc>
          <w:tcPr>
            <w:tcW w:w="2673" w:type="dxa"/>
            <w:shd w:val="clear" w:color="auto" w:fill="FFFFFF" w:themeFill="background1"/>
            <w:vAlign w:val="center"/>
            <w:hideMark/>
          </w:tcPr>
          <w:p w14:paraId="17A410E2" w14:textId="77777777" w:rsidR="00C5516F" w:rsidRPr="00A21682" w:rsidRDefault="00C5516F" w:rsidP="001B1011">
            <w:pPr>
              <w:pStyle w:val="TABLETEXT1"/>
              <w:rPr>
                <w:lang w:val="en-US"/>
              </w:rPr>
            </w:pPr>
            <w:r>
              <w:rPr>
                <w:lang w:val="en-US"/>
              </w:rPr>
              <w:t>Dev-Ops</w:t>
            </w:r>
          </w:p>
        </w:tc>
        <w:tc>
          <w:tcPr>
            <w:tcW w:w="3210" w:type="dxa"/>
            <w:vAlign w:val="center"/>
            <w:hideMark/>
          </w:tcPr>
          <w:p w14:paraId="0C286327" w14:textId="77777777" w:rsidR="00C5516F" w:rsidRPr="00635C9B" w:rsidRDefault="00C5516F" w:rsidP="007B6C65">
            <w:pPr>
              <w:pStyle w:val="TABLEBULLETNEW"/>
            </w:pPr>
            <w:r>
              <w:t>Developers</w:t>
            </w:r>
          </w:p>
        </w:tc>
        <w:tc>
          <w:tcPr>
            <w:tcW w:w="3510" w:type="dxa"/>
            <w:vAlign w:val="center"/>
            <w:hideMark/>
          </w:tcPr>
          <w:p w14:paraId="047099BA" w14:textId="77777777" w:rsidR="00C5516F" w:rsidRPr="00635C9B" w:rsidRDefault="00C5516F" w:rsidP="007B6C65">
            <w:pPr>
              <w:pStyle w:val="TABLEBULLETNEW"/>
            </w:pPr>
            <w:r>
              <w:t>Read/Write</w:t>
            </w:r>
          </w:p>
        </w:tc>
      </w:tr>
    </w:tbl>
    <w:p w14:paraId="417157C0" w14:textId="443A5D16" w:rsidR="00C5516F" w:rsidRPr="00A21682" w:rsidRDefault="00C5516F" w:rsidP="00CC44DD">
      <w:pPr>
        <w:pStyle w:val="Caption"/>
        <w:rPr>
          <w:noProof w:val="0"/>
        </w:rPr>
      </w:pPr>
      <w:bookmarkStart w:id="1122" w:name="_Toc150951923"/>
      <w:bookmarkStart w:id="1123" w:name="_Toc192875140"/>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55</w:t>
      </w:r>
      <w:r>
        <w:rPr>
          <w:noProof w:val="0"/>
        </w:rPr>
        <w:fldChar w:fldCharType="end"/>
      </w:r>
      <w:r>
        <w:rPr>
          <w:noProof w:val="0"/>
        </w:rPr>
        <w:t>: Build Server Roles and Permissions</w:t>
      </w:r>
      <w:bookmarkEnd w:id="1122"/>
      <w:bookmarkEnd w:id="1123"/>
    </w:p>
    <w:p w14:paraId="34402F5A" w14:textId="3FA5425C" w:rsidR="00C5516F" w:rsidRPr="00A21682" w:rsidRDefault="00C5516F">
      <w:pPr>
        <w:pStyle w:val="Heading3"/>
        <w:rPr>
          <w:u w:color="000000"/>
        </w:rPr>
      </w:pPr>
      <w:bookmarkStart w:id="1124" w:name="_Toc148102418"/>
      <w:bookmarkStart w:id="1125" w:name="_Toc152605902"/>
      <w:bookmarkStart w:id="1126" w:name="_Toc177119036"/>
      <w:bookmarkStart w:id="1127" w:name="_Toc185952596"/>
      <w:bookmarkStart w:id="1128" w:name="_Toc192874766"/>
      <w:r>
        <w:rPr>
          <w:u w:color="000000"/>
        </w:rPr>
        <w:t>ALM Tool Workflows</w:t>
      </w:r>
      <w:bookmarkEnd w:id="1124"/>
      <w:bookmarkEnd w:id="1125"/>
      <w:bookmarkEnd w:id="1126"/>
      <w:bookmarkEnd w:id="1127"/>
      <w:bookmarkEnd w:id="1128"/>
    </w:p>
    <w:p w14:paraId="53EAFCD5" w14:textId="77777777" w:rsidR="00C5516F" w:rsidRPr="00A21682" w:rsidRDefault="00C5516F" w:rsidP="001428D8">
      <w:pPr>
        <w:pStyle w:val="NormalNEW"/>
        <w:rPr>
          <w:u w:color="000000"/>
          <w:lang w:val="en-US"/>
        </w:rPr>
      </w:pPr>
      <w:r>
        <w:rPr>
          <w:u w:color="000000"/>
          <w:lang w:val="en-US"/>
        </w:rPr>
        <w:t>Workflow does not apply for this tool; however, the illustration below depicts the build server conceptual design that supports integration and deployment.</w:t>
      </w:r>
    </w:p>
    <w:p w14:paraId="78F25A22" w14:textId="7784CB64" w:rsidR="00C5516F" w:rsidRPr="00A21682" w:rsidRDefault="00455CE4" w:rsidP="001428D8">
      <w:pPr>
        <w:pStyle w:val="NormalNEW"/>
        <w:jc w:val="center"/>
        <w:rPr>
          <w:lang w:val="en-US"/>
        </w:rPr>
      </w:pPr>
      <w:r>
        <w:rPr>
          <w:noProof/>
          <w:u w:color="000000"/>
          <w:lang w:val="en-US"/>
        </w:rPr>
        <w:drawing>
          <wp:inline distT="0" distB="0" distL="0" distR="0" wp14:anchorId="472C6BE6" wp14:editId="6F06D7B9">
            <wp:extent cx="5361940" cy="1288415"/>
            <wp:effectExtent l="19050" t="19050" r="10160" b="260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61940" cy="1288415"/>
                    </a:xfrm>
                    <a:prstGeom prst="rect">
                      <a:avLst/>
                    </a:prstGeom>
                    <a:noFill/>
                    <a:ln w="9525">
                      <a:solidFill>
                        <a:schemeClr val="tx1"/>
                      </a:solidFill>
                    </a:ln>
                  </pic:spPr>
                </pic:pic>
              </a:graphicData>
            </a:graphic>
          </wp:inline>
        </w:drawing>
      </w:r>
    </w:p>
    <w:p w14:paraId="0478B3A1" w14:textId="2C636259" w:rsidR="00C5516F" w:rsidRPr="00A21682" w:rsidRDefault="00C5516F" w:rsidP="00CC44DD">
      <w:pPr>
        <w:pStyle w:val="Caption"/>
        <w:rPr>
          <w:noProof w:val="0"/>
        </w:rPr>
      </w:pPr>
      <w:bookmarkStart w:id="1129" w:name="_Toc150948954"/>
      <w:bookmarkStart w:id="1130" w:name="_Toc178152042"/>
      <w:bookmarkStart w:id="1131" w:name="_Toc192875055"/>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18</w:t>
      </w:r>
      <w:r>
        <w:rPr>
          <w:noProof w:val="0"/>
        </w:rPr>
        <w:fldChar w:fldCharType="end"/>
      </w:r>
      <w:r>
        <w:rPr>
          <w:noProof w:val="0"/>
        </w:rPr>
        <w:t>: Build Server Workflow</w:t>
      </w:r>
      <w:bookmarkEnd w:id="1129"/>
      <w:bookmarkEnd w:id="1130"/>
      <w:bookmarkEnd w:id="1131"/>
    </w:p>
    <w:p w14:paraId="1C00B9B2" w14:textId="77777777" w:rsidR="00C5516F" w:rsidRPr="00A21682" w:rsidRDefault="00C5516F" w:rsidP="001428D8">
      <w:pPr>
        <w:pStyle w:val="NormalNEW"/>
        <w:rPr>
          <w:u w:color="000000"/>
          <w:lang w:val="en-US"/>
        </w:rPr>
      </w:pPr>
      <w:r>
        <w:rPr>
          <w:u w:color="000000"/>
          <w:lang w:val="en-US"/>
        </w:rPr>
        <w:t>The following table describes each workflow step illustrated above.</w:t>
      </w:r>
    </w:p>
    <w:tbl>
      <w:tblPr>
        <w:tblW w:w="9360"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2"/>
        <w:gridCol w:w="1794"/>
        <w:gridCol w:w="4604"/>
        <w:gridCol w:w="2340"/>
      </w:tblGrid>
      <w:tr w:rsidR="005133E7" w:rsidRPr="00A21682" w14:paraId="724CF684" w14:textId="77777777" w:rsidTr="00C968EF">
        <w:trPr>
          <w:trHeight w:val="300"/>
          <w:tblHeader/>
        </w:trPr>
        <w:tc>
          <w:tcPr>
            <w:tcW w:w="622" w:type="dxa"/>
            <w:tcBorders>
              <w:right w:val="single" w:sz="2" w:space="0" w:color="FFFFFF" w:themeColor="background1"/>
            </w:tcBorders>
            <w:shd w:val="clear" w:color="auto" w:fill="000000"/>
            <w:hideMark/>
          </w:tcPr>
          <w:p w14:paraId="603BAFEA" w14:textId="77777777" w:rsidR="00C5516F" w:rsidRPr="00A21682" w:rsidRDefault="00C5516F" w:rsidP="00047C4E">
            <w:pPr>
              <w:pStyle w:val="TABLEHEADINGNEW"/>
            </w:pPr>
            <w:r>
              <w:t>#</w:t>
            </w:r>
          </w:p>
        </w:tc>
        <w:tc>
          <w:tcPr>
            <w:tcW w:w="1794" w:type="dxa"/>
            <w:tcBorders>
              <w:left w:val="single" w:sz="2" w:space="0" w:color="FFFFFF" w:themeColor="background1"/>
              <w:right w:val="single" w:sz="2" w:space="0" w:color="FFFFFF" w:themeColor="background1"/>
            </w:tcBorders>
            <w:shd w:val="clear" w:color="auto" w:fill="000000"/>
            <w:hideMark/>
          </w:tcPr>
          <w:p w14:paraId="6CD8A076" w14:textId="77777777" w:rsidR="00C5516F" w:rsidRPr="00A21682" w:rsidRDefault="00C5516F" w:rsidP="00047C4E">
            <w:pPr>
              <w:pStyle w:val="TABLEHEADINGNEW"/>
            </w:pPr>
            <w:r>
              <w:t>Workflow Step</w:t>
            </w:r>
          </w:p>
        </w:tc>
        <w:tc>
          <w:tcPr>
            <w:tcW w:w="4604" w:type="dxa"/>
            <w:tcBorders>
              <w:left w:val="single" w:sz="2" w:space="0" w:color="FFFFFF" w:themeColor="background1"/>
              <w:right w:val="single" w:sz="2" w:space="0" w:color="FFFFFF" w:themeColor="background1"/>
            </w:tcBorders>
            <w:shd w:val="clear" w:color="auto" w:fill="000000"/>
            <w:hideMark/>
          </w:tcPr>
          <w:p w14:paraId="4D90C3C1" w14:textId="77777777" w:rsidR="00C5516F" w:rsidRPr="00A21682" w:rsidRDefault="00C5516F" w:rsidP="00047C4E">
            <w:pPr>
              <w:pStyle w:val="TABLEHEADINGNEW"/>
            </w:pPr>
            <w:r>
              <w:t>Description</w:t>
            </w:r>
          </w:p>
        </w:tc>
        <w:tc>
          <w:tcPr>
            <w:tcW w:w="2340" w:type="dxa"/>
            <w:tcBorders>
              <w:left w:val="single" w:sz="2" w:space="0" w:color="FFFFFF" w:themeColor="background1"/>
            </w:tcBorders>
            <w:shd w:val="clear" w:color="auto" w:fill="000000"/>
          </w:tcPr>
          <w:p w14:paraId="45B2AABD" w14:textId="77777777" w:rsidR="00C5516F" w:rsidRPr="00A21682" w:rsidRDefault="00C5516F" w:rsidP="00047C4E">
            <w:pPr>
              <w:pStyle w:val="TABLEHEADINGNEW"/>
            </w:pPr>
            <w:r>
              <w:t>Step Owner</w:t>
            </w:r>
          </w:p>
        </w:tc>
      </w:tr>
      <w:tr w:rsidR="00B65956" w:rsidRPr="00A21682" w14:paraId="0EC508B3" w14:textId="77777777" w:rsidTr="00047C4E">
        <w:trPr>
          <w:trHeight w:val="300"/>
        </w:trPr>
        <w:tc>
          <w:tcPr>
            <w:tcW w:w="622" w:type="dxa"/>
          </w:tcPr>
          <w:p w14:paraId="0D9A0856" w14:textId="77777777" w:rsidR="00C5516F" w:rsidRPr="00A21682" w:rsidRDefault="00C5516F" w:rsidP="00047C4E">
            <w:pPr>
              <w:pStyle w:val="TABLETEXT1"/>
              <w:rPr>
                <w:lang w:val="en-US"/>
              </w:rPr>
            </w:pPr>
            <w:r>
              <w:rPr>
                <w:lang w:val="en-US"/>
              </w:rPr>
              <w:t>1</w:t>
            </w:r>
          </w:p>
        </w:tc>
        <w:tc>
          <w:tcPr>
            <w:tcW w:w="1794" w:type="dxa"/>
          </w:tcPr>
          <w:p w14:paraId="693E91BF" w14:textId="77777777" w:rsidR="00C5516F" w:rsidRPr="00A21682" w:rsidRDefault="00C5516F" w:rsidP="00047C4E">
            <w:pPr>
              <w:pStyle w:val="TABLETEXT1"/>
              <w:rPr>
                <w:lang w:val="en-US"/>
              </w:rPr>
            </w:pPr>
            <w:r>
              <w:rPr>
                <w:lang w:val="en-US"/>
              </w:rPr>
              <w:t>the source-code repository Commit</w:t>
            </w:r>
          </w:p>
        </w:tc>
        <w:tc>
          <w:tcPr>
            <w:tcW w:w="4604" w:type="dxa"/>
          </w:tcPr>
          <w:p w14:paraId="206A49AB" w14:textId="77777777" w:rsidR="00C5516F" w:rsidRPr="00A21682" w:rsidRDefault="00C5516F" w:rsidP="00B2120D">
            <w:pPr>
              <w:pStyle w:val="TABLETEXT1"/>
              <w:rPr>
                <w:lang w:val="en-US"/>
              </w:rPr>
            </w:pPr>
            <w:r>
              <w:rPr>
                <w:lang w:val="en-US"/>
              </w:rPr>
              <w:t>New Feature Commit approved, and Pull Request accepted</w:t>
            </w:r>
          </w:p>
        </w:tc>
        <w:tc>
          <w:tcPr>
            <w:tcW w:w="2340" w:type="dxa"/>
          </w:tcPr>
          <w:p w14:paraId="2898F393" w14:textId="77777777" w:rsidR="00C5516F" w:rsidRPr="00635C9B" w:rsidRDefault="00C5516F" w:rsidP="007B6C65">
            <w:pPr>
              <w:pStyle w:val="TABLEBULLETNEW"/>
            </w:pPr>
            <w:r>
              <w:t>Developer/System Admin</w:t>
            </w:r>
          </w:p>
        </w:tc>
      </w:tr>
      <w:tr w:rsidR="00B65956" w:rsidRPr="00A21682" w14:paraId="5B67B6CA" w14:textId="77777777" w:rsidTr="00047C4E">
        <w:trPr>
          <w:trHeight w:val="300"/>
        </w:trPr>
        <w:tc>
          <w:tcPr>
            <w:tcW w:w="622" w:type="dxa"/>
          </w:tcPr>
          <w:p w14:paraId="37EB7AA4" w14:textId="77777777" w:rsidR="00C5516F" w:rsidRPr="00A21682" w:rsidRDefault="00C5516F" w:rsidP="00047C4E">
            <w:pPr>
              <w:pStyle w:val="TABLETEXT1"/>
              <w:rPr>
                <w:lang w:val="en-US"/>
              </w:rPr>
            </w:pPr>
            <w:r>
              <w:rPr>
                <w:lang w:val="en-US"/>
              </w:rPr>
              <w:t>2</w:t>
            </w:r>
          </w:p>
        </w:tc>
        <w:tc>
          <w:tcPr>
            <w:tcW w:w="1794" w:type="dxa"/>
          </w:tcPr>
          <w:p w14:paraId="5FCCC795" w14:textId="77777777" w:rsidR="00C5516F" w:rsidRPr="00A21682" w:rsidRDefault="00C5516F" w:rsidP="00047C4E">
            <w:pPr>
              <w:pStyle w:val="TABLETEXT1"/>
              <w:rPr>
                <w:lang w:val="en-US"/>
              </w:rPr>
            </w:pPr>
            <w:r>
              <w:rPr>
                <w:lang w:val="en-US"/>
              </w:rPr>
              <w:t>Build and Unit Test</w:t>
            </w:r>
          </w:p>
        </w:tc>
        <w:tc>
          <w:tcPr>
            <w:tcW w:w="4604" w:type="dxa"/>
          </w:tcPr>
          <w:p w14:paraId="4E118F72" w14:textId="77777777" w:rsidR="00C5516F" w:rsidRPr="00A21682" w:rsidRDefault="00C5516F" w:rsidP="00B2120D">
            <w:pPr>
              <w:pStyle w:val="TABLETEXT1"/>
              <w:rPr>
                <w:lang w:val="en-US"/>
              </w:rPr>
            </w:pPr>
            <w:r>
              <w:rPr>
                <w:lang w:val="en-US"/>
              </w:rPr>
              <w:t>the build server orchestrates code build and deployment steps</w:t>
            </w:r>
          </w:p>
        </w:tc>
        <w:tc>
          <w:tcPr>
            <w:tcW w:w="2340" w:type="dxa"/>
          </w:tcPr>
          <w:p w14:paraId="12B8ECF9" w14:textId="77777777" w:rsidR="00C5516F" w:rsidRPr="00635C9B" w:rsidRDefault="00C5516F" w:rsidP="007B6C65">
            <w:pPr>
              <w:pStyle w:val="TABLEBULLETNEW"/>
            </w:pPr>
            <w:r>
              <w:t>the build server</w:t>
            </w:r>
          </w:p>
        </w:tc>
      </w:tr>
      <w:tr w:rsidR="00B65956" w:rsidRPr="00A21682" w14:paraId="501246AE" w14:textId="77777777" w:rsidTr="00047C4E">
        <w:trPr>
          <w:trHeight w:val="300"/>
        </w:trPr>
        <w:tc>
          <w:tcPr>
            <w:tcW w:w="622" w:type="dxa"/>
          </w:tcPr>
          <w:p w14:paraId="34DC5546" w14:textId="77777777" w:rsidR="00C5516F" w:rsidRPr="00A21682" w:rsidRDefault="00C5516F" w:rsidP="00047C4E">
            <w:pPr>
              <w:pStyle w:val="TABLETEXT1"/>
              <w:rPr>
                <w:lang w:val="en-US"/>
              </w:rPr>
            </w:pPr>
            <w:r>
              <w:rPr>
                <w:lang w:val="en-US"/>
              </w:rPr>
              <w:t>3</w:t>
            </w:r>
          </w:p>
        </w:tc>
        <w:tc>
          <w:tcPr>
            <w:tcW w:w="1794" w:type="dxa"/>
          </w:tcPr>
          <w:p w14:paraId="03C03BDF" w14:textId="77777777" w:rsidR="00C5516F" w:rsidRPr="00A21682" w:rsidRDefault="00C5516F" w:rsidP="00047C4E">
            <w:pPr>
              <w:pStyle w:val="TABLETEXT1"/>
              <w:rPr>
                <w:lang w:val="en-US"/>
              </w:rPr>
            </w:pPr>
            <w:r>
              <w:rPr>
                <w:lang w:val="en-US"/>
              </w:rPr>
              <w:t>Integrates into Dev Environment</w:t>
            </w:r>
          </w:p>
        </w:tc>
        <w:tc>
          <w:tcPr>
            <w:tcW w:w="4604" w:type="dxa"/>
          </w:tcPr>
          <w:p w14:paraId="00C57A89" w14:textId="77777777" w:rsidR="00C5516F" w:rsidRPr="00A21682" w:rsidRDefault="00C5516F" w:rsidP="00B2120D">
            <w:pPr>
              <w:pStyle w:val="TABLETEXT1"/>
              <w:rPr>
                <w:lang w:val="en-US"/>
              </w:rPr>
            </w:pPr>
            <w:r>
              <w:rPr>
                <w:lang w:val="en-US"/>
              </w:rPr>
              <w:t>the build server acts as integration pipeline and deploys feature into Dev Environment</w:t>
            </w:r>
          </w:p>
        </w:tc>
        <w:tc>
          <w:tcPr>
            <w:tcW w:w="2340" w:type="dxa"/>
          </w:tcPr>
          <w:p w14:paraId="32FA86CD" w14:textId="77777777" w:rsidR="00C5516F" w:rsidRPr="00635C9B" w:rsidRDefault="00C5516F" w:rsidP="007B6C65">
            <w:pPr>
              <w:pStyle w:val="TABLEBULLETNEW"/>
            </w:pPr>
            <w:r>
              <w:t>the build server</w:t>
            </w:r>
          </w:p>
        </w:tc>
      </w:tr>
    </w:tbl>
    <w:p w14:paraId="682E6F3E" w14:textId="41F012F9" w:rsidR="00C5516F" w:rsidRPr="00A21682" w:rsidRDefault="00C5516F" w:rsidP="00CC44DD">
      <w:pPr>
        <w:pStyle w:val="Caption"/>
        <w:rPr>
          <w:rFonts w:eastAsia="Arial"/>
          <w:noProof w:val="0"/>
        </w:rPr>
      </w:pPr>
      <w:bookmarkStart w:id="1132" w:name="_Toc150951924"/>
      <w:bookmarkStart w:id="1133" w:name="_Toc192875141"/>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56</w:t>
      </w:r>
      <w:r>
        <w:rPr>
          <w:noProof w:val="0"/>
        </w:rPr>
        <w:fldChar w:fldCharType="end"/>
      </w:r>
      <w:r>
        <w:rPr>
          <w:noProof w:val="0"/>
        </w:rPr>
        <w:t>: Build Server Workflow Narrative</w:t>
      </w:r>
      <w:bookmarkEnd w:id="1132"/>
      <w:bookmarkEnd w:id="1133"/>
    </w:p>
    <w:p w14:paraId="22478C8D" w14:textId="65DDFE9E" w:rsidR="00C5516F" w:rsidRPr="00A21682" w:rsidRDefault="00C5516F" w:rsidP="002224C7">
      <w:pPr>
        <w:pStyle w:val="Heading3"/>
        <w:keepNext w:val="0"/>
        <w:keepLines w:val="0"/>
        <w:rPr>
          <w:u w:color="000000"/>
        </w:rPr>
      </w:pPr>
      <w:bookmarkStart w:id="1134" w:name="_Toc148102419"/>
      <w:bookmarkStart w:id="1135" w:name="_Toc152605903"/>
      <w:bookmarkStart w:id="1136" w:name="_Toc177119037"/>
      <w:bookmarkStart w:id="1137" w:name="_Toc185952597"/>
      <w:bookmarkStart w:id="1138" w:name="_Toc192874767"/>
      <w:r>
        <w:rPr>
          <w:u w:color="000000"/>
        </w:rPr>
        <w:lastRenderedPageBreak/>
        <w:t>Accessing ALM Tool</w:t>
      </w:r>
      <w:bookmarkEnd w:id="1134"/>
      <w:bookmarkEnd w:id="1135"/>
      <w:bookmarkEnd w:id="1136"/>
      <w:bookmarkEnd w:id="1137"/>
      <w:bookmarkEnd w:id="1138"/>
    </w:p>
    <w:p w14:paraId="2DE7CE72" w14:textId="77777777" w:rsidR="00C5516F" w:rsidRPr="00A21682" w:rsidRDefault="00C5516F" w:rsidP="001428D8">
      <w:pPr>
        <w:pStyle w:val="NormalNEW"/>
        <w:rPr>
          <w:rFonts w:cs="Times New Roman"/>
          <w:u w:color="000000"/>
          <w:lang w:val="en-US"/>
        </w:rPr>
      </w:pPr>
      <w:r>
        <w:rPr>
          <w:u w:color="000000"/>
          <w:lang w:val="en-US"/>
        </w:rPr>
        <w:t>Access to the build server will be limited to ███████ resources. User training for DOH users is not applicable for this ALM tool.</w:t>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765"/>
        <w:gridCol w:w="6428"/>
        <w:gridCol w:w="2167"/>
      </w:tblGrid>
      <w:tr w:rsidR="00C5516F" w:rsidRPr="00A21682" w14:paraId="51E19353" w14:textId="77777777" w:rsidTr="00C968EF">
        <w:trPr>
          <w:trHeight w:val="300"/>
        </w:trPr>
        <w:tc>
          <w:tcPr>
            <w:tcW w:w="765" w:type="dxa"/>
            <w:tcBorders>
              <w:right w:val="single" w:sz="2" w:space="0" w:color="FFFFFF" w:themeColor="background1"/>
            </w:tcBorders>
            <w:shd w:val="clear" w:color="auto" w:fill="000000"/>
            <w:tcMar>
              <w:left w:w="108" w:type="dxa"/>
              <w:right w:w="108" w:type="dxa"/>
            </w:tcMar>
          </w:tcPr>
          <w:p w14:paraId="30E7C15C" w14:textId="77777777" w:rsidR="00C5516F" w:rsidRPr="00A21682" w:rsidRDefault="00C5516F" w:rsidP="00047C4E">
            <w:pPr>
              <w:pStyle w:val="TABLEHEADINGNEW"/>
            </w:pPr>
            <w:r>
              <w:rPr>
                <w:rFonts w:eastAsia="Arial"/>
              </w:rPr>
              <w:t>#</w:t>
            </w:r>
          </w:p>
        </w:tc>
        <w:tc>
          <w:tcPr>
            <w:tcW w:w="6428" w:type="dxa"/>
            <w:tcBorders>
              <w:left w:val="single" w:sz="2" w:space="0" w:color="FFFFFF" w:themeColor="background1"/>
              <w:right w:val="single" w:sz="2" w:space="0" w:color="FFFFFF" w:themeColor="background1"/>
            </w:tcBorders>
            <w:shd w:val="clear" w:color="auto" w:fill="000000"/>
            <w:tcMar>
              <w:left w:w="108" w:type="dxa"/>
              <w:right w:w="108" w:type="dxa"/>
            </w:tcMar>
          </w:tcPr>
          <w:p w14:paraId="45F1A703" w14:textId="77777777" w:rsidR="00C5516F" w:rsidRPr="00A21682" w:rsidRDefault="00C5516F" w:rsidP="00047C4E">
            <w:pPr>
              <w:pStyle w:val="TABLEHEADINGNEW"/>
            </w:pPr>
            <w:r>
              <w:rPr>
                <w:rFonts w:eastAsia="Arial"/>
              </w:rPr>
              <w:t>Access Step</w:t>
            </w:r>
          </w:p>
        </w:tc>
        <w:tc>
          <w:tcPr>
            <w:tcW w:w="2167" w:type="dxa"/>
            <w:tcBorders>
              <w:left w:val="single" w:sz="2" w:space="0" w:color="FFFFFF" w:themeColor="background1"/>
            </w:tcBorders>
            <w:shd w:val="clear" w:color="auto" w:fill="000000"/>
            <w:tcMar>
              <w:left w:w="108" w:type="dxa"/>
              <w:right w:w="108" w:type="dxa"/>
            </w:tcMar>
          </w:tcPr>
          <w:p w14:paraId="62A0E798" w14:textId="77777777" w:rsidR="00C5516F" w:rsidRPr="00A21682" w:rsidRDefault="00C5516F" w:rsidP="00047C4E">
            <w:pPr>
              <w:pStyle w:val="TABLEHEADINGNEW"/>
            </w:pPr>
            <w:r>
              <w:rPr>
                <w:rFonts w:eastAsia="Arial"/>
              </w:rPr>
              <w:t>Owner</w:t>
            </w:r>
          </w:p>
        </w:tc>
      </w:tr>
      <w:tr w:rsidR="00C5516F" w:rsidRPr="00A21682" w14:paraId="2D234ABD" w14:textId="77777777" w:rsidTr="00047C4E">
        <w:trPr>
          <w:trHeight w:val="300"/>
        </w:trPr>
        <w:tc>
          <w:tcPr>
            <w:tcW w:w="765" w:type="dxa"/>
            <w:tcMar>
              <w:left w:w="108" w:type="dxa"/>
              <w:right w:w="108" w:type="dxa"/>
            </w:tcMar>
          </w:tcPr>
          <w:p w14:paraId="55DDC093" w14:textId="7D9E12CE" w:rsidR="00C5516F" w:rsidRPr="00A21682" w:rsidRDefault="00C5516F" w:rsidP="00047C4E">
            <w:pPr>
              <w:pStyle w:val="TABLETEXT1"/>
              <w:rPr>
                <w:lang w:val="en-US"/>
              </w:rPr>
            </w:pPr>
            <w:r>
              <w:rPr>
                <w:lang w:val="en-US"/>
              </w:rPr>
              <w:t>1</w:t>
            </w:r>
          </w:p>
        </w:tc>
        <w:tc>
          <w:tcPr>
            <w:tcW w:w="6428" w:type="dxa"/>
            <w:tcMar>
              <w:left w:w="108" w:type="dxa"/>
              <w:right w:w="108" w:type="dxa"/>
            </w:tcMar>
          </w:tcPr>
          <w:p w14:paraId="3731B70C" w14:textId="77777777" w:rsidR="00C5516F" w:rsidRPr="00A21682" w:rsidRDefault="00C5516F" w:rsidP="00047C4E">
            <w:pPr>
              <w:pStyle w:val="TABLETEXT1"/>
              <w:rPr>
                <w:lang w:val="en-US"/>
              </w:rPr>
            </w:pPr>
            <w:r>
              <w:rPr>
                <w:lang w:val="en-US"/>
              </w:rPr>
              <w:t>Submit PMO Service Request in the ALM tool for access to the build server</w:t>
            </w:r>
          </w:p>
        </w:tc>
        <w:tc>
          <w:tcPr>
            <w:tcW w:w="2167" w:type="dxa"/>
            <w:tcMar>
              <w:left w:w="108" w:type="dxa"/>
              <w:right w:w="108" w:type="dxa"/>
            </w:tcMar>
          </w:tcPr>
          <w:p w14:paraId="09481391" w14:textId="77777777" w:rsidR="00C5516F" w:rsidRPr="00A21682" w:rsidRDefault="00C5516F" w:rsidP="00047C4E">
            <w:pPr>
              <w:pStyle w:val="TABLETEXT1"/>
              <w:rPr>
                <w:lang w:val="en-US"/>
              </w:rPr>
            </w:pPr>
            <w:r>
              <w:rPr>
                <w:lang w:val="en-US"/>
              </w:rPr>
              <w:t>Requestor</w:t>
            </w:r>
          </w:p>
        </w:tc>
      </w:tr>
      <w:tr w:rsidR="00C5516F" w:rsidRPr="00A21682" w14:paraId="787A943F" w14:textId="77777777" w:rsidTr="00047C4E">
        <w:trPr>
          <w:trHeight w:val="300"/>
        </w:trPr>
        <w:tc>
          <w:tcPr>
            <w:tcW w:w="765" w:type="dxa"/>
            <w:tcMar>
              <w:left w:w="108" w:type="dxa"/>
              <w:right w:w="108" w:type="dxa"/>
            </w:tcMar>
          </w:tcPr>
          <w:p w14:paraId="3DF6FCD1" w14:textId="3444770D" w:rsidR="00C5516F" w:rsidRPr="00A21682" w:rsidRDefault="00C5516F" w:rsidP="00047C4E">
            <w:pPr>
              <w:pStyle w:val="TABLETEXT1"/>
              <w:rPr>
                <w:lang w:val="en-US"/>
              </w:rPr>
            </w:pPr>
            <w:r>
              <w:rPr>
                <w:lang w:val="en-US"/>
              </w:rPr>
              <w:t>2</w:t>
            </w:r>
          </w:p>
        </w:tc>
        <w:tc>
          <w:tcPr>
            <w:tcW w:w="6428" w:type="dxa"/>
            <w:tcMar>
              <w:left w:w="108" w:type="dxa"/>
              <w:right w:w="108" w:type="dxa"/>
            </w:tcMar>
          </w:tcPr>
          <w:p w14:paraId="474DB4B1" w14:textId="77777777" w:rsidR="00C5516F" w:rsidRPr="00A21682" w:rsidRDefault="00C5516F" w:rsidP="00047C4E">
            <w:pPr>
              <w:pStyle w:val="TABLETEXT1"/>
              <w:rPr>
                <w:lang w:val="en-US"/>
              </w:rPr>
            </w:pPr>
            <w:r>
              <w:rPr>
                <w:lang w:val="en-US"/>
              </w:rPr>
              <w:t>System Admin send request to Operations Lead</w:t>
            </w:r>
          </w:p>
        </w:tc>
        <w:tc>
          <w:tcPr>
            <w:tcW w:w="2167" w:type="dxa"/>
            <w:tcMar>
              <w:left w:w="108" w:type="dxa"/>
              <w:right w:w="108" w:type="dxa"/>
            </w:tcMar>
          </w:tcPr>
          <w:p w14:paraId="0B19D12E" w14:textId="77777777" w:rsidR="00C5516F" w:rsidRPr="00A21682" w:rsidRDefault="00C5516F" w:rsidP="00047C4E">
            <w:pPr>
              <w:pStyle w:val="TABLETEXT1"/>
              <w:rPr>
                <w:lang w:val="en-US"/>
              </w:rPr>
            </w:pPr>
            <w:r>
              <w:rPr>
                <w:lang w:val="en-US"/>
              </w:rPr>
              <w:t>System Admin</w:t>
            </w:r>
          </w:p>
        </w:tc>
      </w:tr>
      <w:tr w:rsidR="00C5516F" w:rsidRPr="00A21682" w14:paraId="2880DDF2" w14:textId="77777777" w:rsidTr="00047C4E">
        <w:trPr>
          <w:trHeight w:val="300"/>
        </w:trPr>
        <w:tc>
          <w:tcPr>
            <w:tcW w:w="765" w:type="dxa"/>
            <w:tcMar>
              <w:left w:w="108" w:type="dxa"/>
              <w:right w:w="108" w:type="dxa"/>
            </w:tcMar>
          </w:tcPr>
          <w:p w14:paraId="11961A1E" w14:textId="4197FE45" w:rsidR="00C5516F" w:rsidRPr="00A21682" w:rsidRDefault="00C5516F" w:rsidP="00047C4E">
            <w:pPr>
              <w:pStyle w:val="TABLETEXT1"/>
              <w:rPr>
                <w:lang w:val="en-US"/>
              </w:rPr>
            </w:pPr>
            <w:r>
              <w:rPr>
                <w:lang w:val="en-US"/>
              </w:rPr>
              <w:t>3</w:t>
            </w:r>
          </w:p>
        </w:tc>
        <w:tc>
          <w:tcPr>
            <w:tcW w:w="6428" w:type="dxa"/>
            <w:tcMar>
              <w:left w:w="108" w:type="dxa"/>
              <w:right w:w="108" w:type="dxa"/>
            </w:tcMar>
          </w:tcPr>
          <w:p w14:paraId="4674B3A9" w14:textId="77777777" w:rsidR="00C5516F" w:rsidRPr="00A21682" w:rsidRDefault="00C5516F" w:rsidP="00047C4E">
            <w:pPr>
              <w:pStyle w:val="TABLETEXT1"/>
              <w:rPr>
                <w:lang w:val="en-US"/>
              </w:rPr>
            </w:pPr>
            <w:r>
              <w:rPr>
                <w:lang w:val="en-US"/>
              </w:rPr>
              <w:t>Operations Lead approves/denies</w:t>
            </w:r>
          </w:p>
        </w:tc>
        <w:tc>
          <w:tcPr>
            <w:tcW w:w="2167" w:type="dxa"/>
            <w:tcMar>
              <w:left w:w="108" w:type="dxa"/>
              <w:right w:w="108" w:type="dxa"/>
            </w:tcMar>
          </w:tcPr>
          <w:p w14:paraId="061D2E2B" w14:textId="77777777" w:rsidR="00C5516F" w:rsidRPr="00A21682" w:rsidRDefault="00C5516F" w:rsidP="00047C4E">
            <w:pPr>
              <w:pStyle w:val="TABLETEXT1"/>
              <w:rPr>
                <w:lang w:val="en-US"/>
              </w:rPr>
            </w:pPr>
            <w:r>
              <w:rPr>
                <w:lang w:val="en-US"/>
              </w:rPr>
              <w:t>███████ Technical Manager</w:t>
            </w:r>
          </w:p>
        </w:tc>
      </w:tr>
      <w:tr w:rsidR="00C5516F" w:rsidRPr="00A21682" w14:paraId="4D311500" w14:textId="77777777" w:rsidTr="00047C4E">
        <w:trPr>
          <w:trHeight w:val="300"/>
        </w:trPr>
        <w:tc>
          <w:tcPr>
            <w:tcW w:w="765" w:type="dxa"/>
            <w:tcMar>
              <w:left w:w="108" w:type="dxa"/>
              <w:right w:w="108" w:type="dxa"/>
            </w:tcMar>
          </w:tcPr>
          <w:p w14:paraId="72CF5AD6" w14:textId="7F028104" w:rsidR="00C5516F" w:rsidRPr="00A21682" w:rsidRDefault="00C5516F" w:rsidP="00047C4E">
            <w:pPr>
              <w:pStyle w:val="TABLETEXT1"/>
              <w:rPr>
                <w:lang w:val="en-US"/>
              </w:rPr>
            </w:pPr>
            <w:r>
              <w:rPr>
                <w:lang w:val="en-US"/>
              </w:rPr>
              <w:t>4</w:t>
            </w:r>
          </w:p>
        </w:tc>
        <w:tc>
          <w:tcPr>
            <w:tcW w:w="6428" w:type="dxa"/>
            <w:tcMar>
              <w:left w:w="108" w:type="dxa"/>
              <w:right w:w="108" w:type="dxa"/>
            </w:tcMar>
          </w:tcPr>
          <w:p w14:paraId="17DCC05A" w14:textId="77777777" w:rsidR="00C5516F" w:rsidRPr="00A21682" w:rsidRDefault="00C5516F" w:rsidP="00047C4E">
            <w:pPr>
              <w:pStyle w:val="TABLETEXT1"/>
              <w:rPr>
                <w:lang w:val="en-US"/>
              </w:rPr>
            </w:pPr>
            <w:r>
              <w:rPr>
                <w:lang w:val="en-US"/>
              </w:rPr>
              <w:t>If approved, System Admin creates account and adds to the build server</w:t>
            </w:r>
          </w:p>
        </w:tc>
        <w:tc>
          <w:tcPr>
            <w:tcW w:w="2167" w:type="dxa"/>
            <w:tcMar>
              <w:left w:w="108" w:type="dxa"/>
              <w:right w:w="108" w:type="dxa"/>
            </w:tcMar>
          </w:tcPr>
          <w:p w14:paraId="0ACBF2DF" w14:textId="77777777" w:rsidR="00C5516F" w:rsidRPr="00A21682" w:rsidRDefault="00C5516F" w:rsidP="00047C4E">
            <w:pPr>
              <w:pStyle w:val="TABLETEXT1"/>
              <w:rPr>
                <w:lang w:val="en-US"/>
              </w:rPr>
            </w:pPr>
            <w:r>
              <w:rPr>
                <w:lang w:val="en-US"/>
              </w:rPr>
              <w:t>System Admin</w:t>
            </w:r>
          </w:p>
        </w:tc>
      </w:tr>
    </w:tbl>
    <w:p w14:paraId="6EFF7F7B" w14:textId="08948090" w:rsidR="00C5516F" w:rsidRPr="00A21682" w:rsidRDefault="00C5516F" w:rsidP="00CC44DD">
      <w:pPr>
        <w:pStyle w:val="Caption"/>
        <w:rPr>
          <w:noProof w:val="0"/>
        </w:rPr>
      </w:pPr>
      <w:bookmarkStart w:id="1139" w:name="_Toc150951925"/>
      <w:bookmarkStart w:id="1140" w:name="_Toc192875142"/>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57</w:t>
      </w:r>
      <w:r>
        <w:rPr>
          <w:noProof w:val="0"/>
        </w:rPr>
        <w:fldChar w:fldCharType="end"/>
      </w:r>
      <w:r>
        <w:rPr>
          <w:noProof w:val="0"/>
        </w:rPr>
        <w:t>: Build Server Access</w:t>
      </w:r>
      <w:bookmarkEnd w:id="1139"/>
      <w:bookmarkEnd w:id="1140"/>
    </w:p>
    <w:p w14:paraId="5ACA93C2" w14:textId="5A596BA0" w:rsidR="00C5516F" w:rsidRPr="00A21682" w:rsidRDefault="00F0228F">
      <w:pPr>
        <w:pStyle w:val="Heading2"/>
        <w:rPr>
          <w:u w:color="000000"/>
        </w:rPr>
      </w:pPr>
      <w:bookmarkStart w:id="1141" w:name="_Toc148102420"/>
      <w:bookmarkStart w:id="1142" w:name="_Toc152605904"/>
      <w:bookmarkStart w:id="1143" w:name="_Toc177119038"/>
      <w:bookmarkStart w:id="1144" w:name="_Toc185952598"/>
      <w:bookmarkStart w:id="1145" w:name="_Toc192874768"/>
      <w:r>
        <w:rPr>
          <w:u w:color="000000"/>
        </w:rPr>
        <w:t>Artifact Repository</w:t>
      </w:r>
      <w:bookmarkEnd w:id="1141"/>
      <w:bookmarkEnd w:id="1142"/>
      <w:bookmarkEnd w:id="1143"/>
      <w:bookmarkEnd w:id="1144"/>
      <w:bookmarkEnd w:id="1145"/>
      <w:r>
        <w:rPr>
          <w:u w:color="000000"/>
        </w:rPr>
        <w:t xml:space="preserve"> </w:t>
      </w:r>
    </w:p>
    <w:p w14:paraId="38D3065F" w14:textId="0B2B7C74" w:rsidR="00C5516F" w:rsidRPr="00A21682" w:rsidRDefault="00F0228F" w:rsidP="001428D8">
      <w:pPr>
        <w:pStyle w:val="NormalNEW"/>
        <w:rPr>
          <w:rFonts w:cs="Arial"/>
          <w:sz w:val="12"/>
          <w:szCs w:val="16"/>
          <w:u w:color="000000"/>
          <w:lang w:val="en-US" w:eastAsia="ko-KR"/>
        </w:rPr>
      </w:pPr>
      <w:r>
        <w:rPr>
          <w:rFonts w:cs="Arial"/>
          <w:u w:color="000000"/>
          <w:shd w:val="clear" w:color="auto" w:fill="FFFFFF"/>
          <w:lang w:val="en-US" w:eastAsia="ko-KR"/>
        </w:rPr>
        <w:t>artifact repository is </w:t>
      </w:r>
      <w:r>
        <w:rPr>
          <w:rFonts w:cs="Arial"/>
          <w:u w:color="000000"/>
          <w:lang w:val="en-US" w:eastAsia="ko-KR"/>
        </w:rPr>
        <w:t>a secure, highly scalable, managed artifact repository service that allows us to store and share software packages for application development</w:t>
      </w:r>
      <w:r>
        <w:rPr>
          <w:rFonts w:cs="Arial"/>
          <w:u w:color="000000"/>
          <w:shd w:val="clear" w:color="auto" w:fill="FFFFFF"/>
          <w:lang w:val="en-US" w:eastAsia="ko-KR"/>
        </w:rPr>
        <w:t>. </w:t>
      </w:r>
    </w:p>
    <w:p w14:paraId="5BFCC63F" w14:textId="344F64C3" w:rsidR="00C5516F" w:rsidRPr="00A21682" w:rsidRDefault="00C5516F">
      <w:pPr>
        <w:pStyle w:val="Heading3"/>
        <w:rPr>
          <w:rFonts w:eastAsia="Times New Roman"/>
          <w:u w:color="000000"/>
        </w:rPr>
      </w:pPr>
      <w:bookmarkStart w:id="1146" w:name="_Toc148102421"/>
      <w:bookmarkStart w:id="1147" w:name="_Toc152605905"/>
      <w:bookmarkStart w:id="1148" w:name="_Toc177119039"/>
      <w:bookmarkStart w:id="1149" w:name="_Toc185952599"/>
      <w:bookmarkStart w:id="1150" w:name="_Toc192874769"/>
      <w:r>
        <w:rPr>
          <w:u w:color="000000"/>
        </w:rPr>
        <w:t>ALM Tool Roles and Permissions</w:t>
      </w:r>
      <w:bookmarkEnd w:id="1146"/>
      <w:bookmarkEnd w:id="1147"/>
      <w:bookmarkEnd w:id="1148"/>
      <w:bookmarkEnd w:id="1149"/>
      <w:bookmarkEnd w:id="1150"/>
    </w:p>
    <w:tbl>
      <w:tblPr>
        <w:tblStyle w:val="GridTable5Dark-Accent1311"/>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A0" w:firstRow="1" w:lastRow="0" w:firstColumn="1" w:lastColumn="0" w:noHBand="1" w:noVBand="1"/>
      </w:tblPr>
      <w:tblGrid>
        <w:gridCol w:w="2486"/>
        <w:gridCol w:w="3755"/>
        <w:gridCol w:w="3204"/>
      </w:tblGrid>
      <w:tr w:rsidR="00B60884" w:rsidRPr="00A21682" w14:paraId="08857D23" w14:textId="77777777" w:rsidTr="0026727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right w:val="single" w:sz="2" w:space="0" w:color="FFFFFF" w:themeColor="background1"/>
            </w:tcBorders>
            <w:shd w:val="clear" w:color="auto" w:fill="000000"/>
          </w:tcPr>
          <w:p w14:paraId="0B4E40D2" w14:textId="77777777" w:rsidR="00C5516F" w:rsidRPr="00A21682" w:rsidRDefault="00C5516F" w:rsidP="00047C4E">
            <w:pPr>
              <w:pStyle w:val="TABLEHEADINGNEW"/>
              <w:rPr>
                <w:b/>
                <w:bCs/>
              </w:rPr>
            </w:pPr>
            <w:r>
              <w:rPr>
                <w:b/>
                <w:bCs/>
              </w:rPr>
              <w:t>Tool Role</w:t>
            </w:r>
          </w:p>
        </w:tc>
        <w:tc>
          <w:tcPr>
            <w:tcW w:w="0" w:type="dxa"/>
            <w:tcBorders>
              <w:left w:val="single" w:sz="2" w:space="0" w:color="FFFFFF" w:themeColor="background1"/>
              <w:right w:val="single" w:sz="2" w:space="0" w:color="FFFFFF" w:themeColor="background1"/>
            </w:tcBorders>
            <w:shd w:val="clear" w:color="auto" w:fill="000000"/>
          </w:tcPr>
          <w:p w14:paraId="54197B46" w14:textId="77777777" w:rsidR="00C5516F" w:rsidRPr="00A21682" w:rsidRDefault="00C5516F"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RACI Role</w:t>
            </w:r>
          </w:p>
        </w:tc>
        <w:tc>
          <w:tcPr>
            <w:tcW w:w="0" w:type="dxa"/>
            <w:tcBorders>
              <w:left w:val="single" w:sz="2" w:space="0" w:color="FFFFFF" w:themeColor="background1"/>
            </w:tcBorders>
            <w:shd w:val="clear" w:color="auto" w:fill="000000"/>
          </w:tcPr>
          <w:p w14:paraId="709B151A" w14:textId="77777777" w:rsidR="00C5516F" w:rsidRPr="00A21682" w:rsidRDefault="00C5516F"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Key Permissions in CodeArtifact</w:t>
            </w:r>
          </w:p>
        </w:tc>
      </w:tr>
      <w:tr w:rsidR="00FA5553" w:rsidRPr="00A21682" w14:paraId="0FF45392" w14:textId="77777777" w:rsidTr="0026727A">
        <w:trPr>
          <w:cantSplit/>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shd w:val="clear" w:color="auto" w:fill="FFFFFF" w:themeFill="background1"/>
          </w:tcPr>
          <w:p w14:paraId="041E5068" w14:textId="77777777" w:rsidR="00C5516F" w:rsidRPr="00A21682" w:rsidRDefault="00C5516F" w:rsidP="00047C4E">
            <w:pPr>
              <w:pStyle w:val="TABLETEXT1"/>
              <w:rPr>
                <w:b w:val="0"/>
                <w:bCs w:val="0"/>
                <w:color w:val="000000" w:themeColor="text1"/>
                <w:lang w:val="en-US"/>
              </w:rPr>
            </w:pPr>
            <w:r>
              <w:rPr>
                <w:b w:val="0"/>
                <w:bCs w:val="0"/>
                <w:color w:val="000000" w:themeColor="text1"/>
                <w:lang w:val="en-US"/>
              </w:rPr>
              <w:t>Admin Tool Access</w:t>
            </w:r>
          </w:p>
        </w:tc>
        <w:tc>
          <w:tcPr>
            <w:tcW w:w="0" w:type="dxa"/>
            <w:tcBorders>
              <w:left w:val="single" w:sz="4" w:space="0" w:color="auto"/>
            </w:tcBorders>
            <w:shd w:val="clear" w:color="auto" w:fill="auto"/>
          </w:tcPr>
          <w:p w14:paraId="19FF4B19"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System Admin</w:t>
            </w:r>
          </w:p>
        </w:tc>
        <w:tc>
          <w:tcPr>
            <w:tcW w:w="0" w:type="dxa"/>
            <w:shd w:val="clear" w:color="auto" w:fill="auto"/>
          </w:tcPr>
          <w:p w14:paraId="71F0C317"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Create, edit, delete</w:t>
            </w:r>
          </w:p>
          <w:p w14:paraId="3C792E5C"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User Interface Access</w:t>
            </w:r>
          </w:p>
        </w:tc>
      </w:tr>
      <w:tr w:rsidR="00FA5553" w:rsidRPr="00A21682" w14:paraId="10DB335B" w14:textId="77777777" w:rsidTr="0026727A">
        <w:trPr>
          <w:cantSplit/>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shd w:val="clear" w:color="auto" w:fill="FFFFFF" w:themeFill="background1"/>
          </w:tcPr>
          <w:p w14:paraId="2B36BAD8" w14:textId="77777777" w:rsidR="00C5516F" w:rsidRPr="00A21682" w:rsidRDefault="00C5516F" w:rsidP="00047C4E">
            <w:pPr>
              <w:pStyle w:val="TABLETEXT1"/>
              <w:rPr>
                <w:b w:val="0"/>
                <w:bCs w:val="0"/>
                <w:color w:val="000000" w:themeColor="text1"/>
                <w:lang w:val="en-US"/>
              </w:rPr>
            </w:pPr>
            <w:r>
              <w:rPr>
                <w:b w:val="0"/>
                <w:bCs w:val="0"/>
                <w:color w:val="000000" w:themeColor="text1"/>
                <w:lang w:val="en-US"/>
              </w:rPr>
              <w:t>Functional Tool Access</w:t>
            </w:r>
          </w:p>
        </w:tc>
        <w:tc>
          <w:tcPr>
            <w:tcW w:w="0" w:type="dxa"/>
            <w:tcBorders>
              <w:left w:val="single" w:sz="4" w:space="0" w:color="auto"/>
            </w:tcBorders>
            <w:shd w:val="clear" w:color="auto" w:fill="auto"/>
          </w:tcPr>
          <w:p w14:paraId="6DAAA9C9"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Developer</w:t>
            </w:r>
          </w:p>
        </w:tc>
        <w:tc>
          <w:tcPr>
            <w:tcW w:w="0" w:type="dxa"/>
            <w:shd w:val="clear" w:color="auto" w:fill="auto"/>
          </w:tcPr>
          <w:p w14:paraId="47408280"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Create, edit, delete</w:t>
            </w:r>
          </w:p>
        </w:tc>
      </w:tr>
      <w:tr w:rsidR="00FA5553" w:rsidRPr="00A21682" w14:paraId="1B4DFE43" w14:textId="77777777" w:rsidTr="0026727A">
        <w:trPr>
          <w:cantSplit/>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shd w:val="clear" w:color="auto" w:fill="FFFFFF" w:themeFill="background1"/>
          </w:tcPr>
          <w:p w14:paraId="444DEF24" w14:textId="1BB87826" w:rsidR="00C5516F" w:rsidRPr="00A21682" w:rsidRDefault="00F0228F" w:rsidP="00047C4E">
            <w:pPr>
              <w:pStyle w:val="TABLETEXT1"/>
              <w:rPr>
                <w:b w:val="0"/>
                <w:bCs w:val="0"/>
                <w:color w:val="000000" w:themeColor="text1"/>
                <w:lang w:val="en-US"/>
              </w:rPr>
            </w:pPr>
            <w:r>
              <w:rPr>
                <w:b w:val="0"/>
                <w:bCs w:val="0"/>
                <w:color w:val="000000" w:themeColor="text1"/>
                <w:lang w:val="en-US"/>
              </w:rPr>
              <w:t>artifact repository</w:t>
            </w:r>
          </w:p>
          <w:p w14:paraId="7CDC240C" w14:textId="77777777" w:rsidR="00C5516F" w:rsidRPr="00A21682" w:rsidRDefault="00C5516F" w:rsidP="00047C4E">
            <w:pPr>
              <w:pStyle w:val="TABLETEXT1"/>
              <w:rPr>
                <w:b w:val="0"/>
                <w:bCs w:val="0"/>
                <w:color w:val="000000" w:themeColor="text1"/>
                <w:lang w:val="en-US"/>
              </w:rPr>
            </w:pPr>
            <w:r>
              <w:rPr>
                <w:b w:val="0"/>
                <w:bCs w:val="0"/>
                <w:color w:val="000000" w:themeColor="text1"/>
                <w:lang w:val="en-US"/>
              </w:rPr>
              <w:t>Read-Only</w:t>
            </w:r>
          </w:p>
        </w:tc>
        <w:tc>
          <w:tcPr>
            <w:tcW w:w="0" w:type="dxa"/>
            <w:tcBorders>
              <w:left w:val="single" w:sz="4" w:space="0" w:color="auto"/>
            </w:tcBorders>
            <w:shd w:val="clear" w:color="auto" w:fill="auto"/>
          </w:tcPr>
          <w:p w14:paraId="245FD6C0"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DOH Stakeholders</w:t>
            </w:r>
          </w:p>
        </w:tc>
        <w:tc>
          <w:tcPr>
            <w:tcW w:w="0" w:type="dxa"/>
            <w:shd w:val="clear" w:color="auto" w:fill="auto"/>
          </w:tcPr>
          <w:p w14:paraId="0BBE36EE" w14:textId="77777777" w:rsidR="00C5516F" w:rsidRPr="00635C9B" w:rsidRDefault="00C5516F" w:rsidP="00AF524C">
            <w:pPr>
              <w:pStyle w:val="TABLEBULLETNEW"/>
              <w:cnfStyle w:val="000000000000" w:firstRow="0" w:lastRow="0" w:firstColumn="0" w:lastColumn="0" w:oddVBand="0" w:evenVBand="0" w:oddHBand="0" w:evenHBand="0" w:firstRowFirstColumn="0" w:firstRowLastColumn="0" w:lastRowFirstColumn="0" w:lastRowLastColumn="0"/>
            </w:pPr>
            <w:r>
              <w:t>Read-only access</w:t>
            </w:r>
          </w:p>
        </w:tc>
      </w:tr>
    </w:tbl>
    <w:p w14:paraId="1A2013DA" w14:textId="6C294C05" w:rsidR="00C5516F" w:rsidRPr="00A21682" w:rsidRDefault="00C5516F" w:rsidP="00CC44DD">
      <w:pPr>
        <w:pStyle w:val="Caption"/>
        <w:rPr>
          <w:noProof w:val="0"/>
        </w:rPr>
      </w:pPr>
      <w:bookmarkStart w:id="1151" w:name="_Toc150951926"/>
      <w:bookmarkStart w:id="1152" w:name="_Toc192875143"/>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58</w:t>
      </w:r>
      <w:r>
        <w:rPr>
          <w:noProof w:val="0"/>
        </w:rPr>
        <w:fldChar w:fldCharType="end"/>
      </w:r>
      <w:r>
        <w:rPr>
          <w:noProof w:val="0"/>
        </w:rPr>
        <w:t>: artifact repository Roles and Permissions</w:t>
      </w:r>
      <w:bookmarkEnd w:id="1151"/>
      <w:bookmarkEnd w:id="1152"/>
    </w:p>
    <w:p w14:paraId="18945D93" w14:textId="7CBD4F29" w:rsidR="00C5516F" w:rsidRPr="00A21682" w:rsidRDefault="00C5516F">
      <w:pPr>
        <w:pStyle w:val="Heading3"/>
        <w:rPr>
          <w:u w:color="000000"/>
        </w:rPr>
      </w:pPr>
      <w:bookmarkStart w:id="1153" w:name="_Toc148102422"/>
      <w:bookmarkStart w:id="1154" w:name="_Toc152605906"/>
      <w:bookmarkStart w:id="1155" w:name="_Toc177119040"/>
      <w:bookmarkStart w:id="1156" w:name="_Toc185952600"/>
      <w:bookmarkStart w:id="1157" w:name="_Toc192874770"/>
      <w:r>
        <w:rPr>
          <w:u w:color="000000"/>
        </w:rPr>
        <w:lastRenderedPageBreak/>
        <w:t>ALM Tool Workflows</w:t>
      </w:r>
      <w:bookmarkEnd w:id="1153"/>
      <w:bookmarkEnd w:id="1154"/>
      <w:bookmarkEnd w:id="1155"/>
      <w:bookmarkEnd w:id="1156"/>
      <w:bookmarkEnd w:id="1157"/>
    </w:p>
    <w:p w14:paraId="0ED6A214" w14:textId="324E59DA" w:rsidR="00C5516F" w:rsidRPr="00A21682" w:rsidRDefault="00C5516F" w:rsidP="00D2559F">
      <w:pPr>
        <w:pStyle w:val="NormalNEW"/>
        <w:keepNext/>
        <w:rPr>
          <w:u w:color="000000"/>
          <w:lang w:val="en-US" w:eastAsia="ko-KR"/>
        </w:rPr>
      </w:pPr>
      <w:r>
        <w:rPr>
          <w:u w:color="000000"/>
          <w:lang w:val="en-US" w:eastAsia="ko-KR"/>
        </w:rPr>
        <w:t>The following workflow within the artifact repository tool supports each phase of the NY MECM SDLC.</w:t>
      </w:r>
    </w:p>
    <w:p w14:paraId="5B148C4A" w14:textId="1A23CDB2" w:rsidR="00C5516F" w:rsidRPr="00A21682" w:rsidRDefault="00243D95" w:rsidP="001428D8">
      <w:pPr>
        <w:pStyle w:val="NormalNEW"/>
        <w:jc w:val="center"/>
        <w:rPr>
          <w:lang w:val="en-US"/>
        </w:rPr>
      </w:pPr>
      <w:r>
        <w:rPr>
          <w:noProof/>
          <w:lang w:val="en-US"/>
        </w:rPr>
        <w:drawing>
          <wp:inline distT="0" distB="0" distL="0" distR="0" wp14:anchorId="3FD5C170" wp14:editId="3E70694C">
            <wp:extent cx="6055995" cy="2959200"/>
            <wp:effectExtent l="0" t="0" r="1905" b="0"/>
            <wp:docPr id="118087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58340" cy="2960346"/>
                    </a:xfrm>
                    <a:prstGeom prst="rect">
                      <a:avLst/>
                    </a:prstGeom>
                    <a:noFill/>
                  </pic:spPr>
                </pic:pic>
              </a:graphicData>
            </a:graphic>
          </wp:inline>
        </w:drawing>
      </w:r>
    </w:p>
    <w:p w14:paraId="3E56E779" w14:textId="2A85B391" w:rsidR="00C5516F" w:rsidRPr="00A21682" w:rsidRDefault="00C5516F" w:rsidP="00CC44DD">
      <w:pPr>
        <w:pStyle w:val="Caption"/>
        <w:rPr>
          <w:noProof w:val="0"/>
        </w:rPr>
      </w:pPr>
      <w:bookmarkStart w:id="1158" w:name="_Toc150948955"/>
      <w:bookmarkStart w:id="1159" w:name="_Toc178152043"/>
      <w:bookmarkStart w:id="1160" w:name="_Toc192875056"/>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19</w:t>
      </w:r>
      <w:r>
        <w:rPr>
          <w:noProof w:val="0"/>
        </w:rPr>
        <w:fldChar w:fldCharType="end"/>
      </w:r>
      <w:r>
        <w:rPr>
          <w:noProof w:val="0"/>
        </w:rPr>
        <w:t>: artifact repository Workflow</w:t>
      </w:r>
      <w:bookmarkEnd w:id="1158"/>
      <w:bookmarkEnd w:id="1159"/>
      <w:bookmarkEnd w:id="1160"/>
    </w:p>
    <w:p w14:paraId="4075F75C" w14:textId="77777777" w:rsidR="0005412C" w:rsidRDefault="0005412C" w:rsidP="001428D8">
      <w:pPr>
        <w:pStyle w:val="NormalNEW"/>
        <w:rPr>
          <w:u w:color="000000"/>
          <w:lang w:val="en-US"/>
        </w:rPr>
      </w:pPr>
    </w:p>
    <w:p w14:paraId="5FB69B99" w14:textId="089F5E44" w:rsidR="00C5516F" w:rsidRPr="00A21682" w:rsidRDefault="00C5516F" w:rsidP="001428D8">
      <w:pPr>
        <w:pStyle w:val="NormalNEW"/>
        <w:rPr>
          <w:lang w:val="en-US"/>
        </w:rPr>
      </w:pPr>
      <w:r>
        <w:rPr>
          <w:u w:color="000000"/>
          <w:lang w:val="en-US"/>
        </w:rPr>
        <w:t>The following table describes each workflow step illustrated above.</w:t>
      </w:r>
    </w:p>
    <w:tbl>
      <w:tblPr>
        <w:tblW w:w="9360"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22"/>
        <w:gridCol w:w="1794"/>
        <w:gridCol w:w="4604"/>
        <w:gridCol w:w="2340"/>
      </w:tblGrid>
      <w:tr w:rsidR="005133E7" w:rsidRPr="00A21682" w14:paraId="53BDA36B" w14:textId="77777777" w:rsidTr="00C968EF">
        <w:trPr>
          <w:trHeight w:val="300"/>
          <w:tblHeader/>
        </w:trPr>
        <w:tc>
          <w:tcPr>
            <w:tcW w:w="622" w:type="dxa"/>
            <w:tcBorders>
              <w:right w:val="single" w:sz="2" w:space="0" w:color="FFFFFF" w:themeColor="background1"/>
            </w:tcBorders>
            <w:shd w:val="clear" w:color="auto" w:fill="000000"/>
            <w:hideMark/>
          </w:tcPr>
          <w:p w14:paraId="7B7C3776" w14:textId="77777777" w:rsidR="00C5516F" w:rsidRPr="00A21682" w:rsidRDefault="00C5516F" w:rsidP="00047C4E">
            <w:pPr>
              <w:pStyle w:val="TABLEHEADINGNEW"/>
            </w:pPr>
            <w:r>
              <w:t>#</w:t>
            </w:r>
          </w:p>
        </w:tc>
        <w:tc>
          <w:tcPr>
            <w:tcW w:w="1794" w:type="dxa"/>
            <w:tcBorders>
              <w:left w:val="single" w:sz="2" w:space="0" w:color="FFFFFF" w:themeColor="background1"/>
              <w:right w:val="single" w:sz="2" w:space="0" w:color="FFFFFF" w:themeColor="background1"/>
            </w:tcBorders>
            <w:shd w:val="clear" w:color="auto" w:fill="000000"/>
            <w:hideMark/>
          </w:tcPr>
          <w:p w14:paraId="6768B442" w14:textId="77777777" w:rsidR="00C5516F" w:rsidRPr="00A21682" w:rsidRDefault="00C5516F" w:rsidP="00047C4E">
            <w:pPr>
              <w:pStyle w:val="TABLEHEADINGNEW"/>
            </w:pPr>
            <w:r>
              <w:t>Workflow Step</w:t>
            </w:r>
          </w:p>
        </w:tc>
        <w:tc>
          <w:tcPr>
            <w:tcW w:w="4604" w:type="dxa"/>
            <w:tcBorders>
              <w:left w:val="single" w:sz="2" w:space="0" w:color="FFFFFF" w:themeColor="background1"/>
              <w:right w:val="single" w:sz="2" w:space="0" w:color="FFFFFF" w:themeColor="background1"/>
            </w:tcBorders>
            <w:shd w:val="clear" w:color="auto" w:fill="000000"/>
            <w:hideMark/>
          </w:tcPr>
          <w:p w14:paraId="36D834B3" w14:textId="77777777" w:rsidR="00C5516F" w:rsidRPr="00A21682" w:rsidRDefault="00C5516F" w:rsidP="00047C4E">
            <w:pPr>
              <w:pStyle w:val="TABLEHEADINGNEW"/>
            </w:pPr>
            <w:r>
              <w:t>Description</w:t>
            </w:r>
          </w:p>
        </w:tc>
        <w:tc>
          <w:tcPr>
            <w:tcW w:w="2340" w:type="dxa"/>
            <w:tcBorders>
              <w:left w:val="single" w:sz="2" w:space="0" w:color="FFFFFF" w:themeColor="background1"/>
            </w:tcBorders>
            <w:shd w:val="clear" w:color="auto" w:fill="000000"/>
            <w:hideMark/>
          </w:tcPr>
          <w:p w14:paraId="1F6A8003" w14:textId="77777777" w:rsidR="00C5516F" w:rsidRPr="00A21682" w:rsidRDefault="00C5516F" w:rsidP="00047C4E">
            <w:pPr>
              <w:pStyle w:val="TABLEHEADINGNEW"/>
            </w:pPr>
            <w:r>
              <w:t>Step Owner</w:t>
            </w:r>
          </w:p>
        </w:tc>
      </w:tr>
      <w:tr w:rsidR="00B65956" w:rsidRPr="00A21682" w14:paraId="549B95EB" w14:textId="77777777" w:rsidTr="00047C4E">
        <w:trPr>
          <w:trHeight w:val="300"/>
        </w:trPr>
        <w:tc>
          <w:tcPr>
            <w:tcW w:w="622" w:type="dxa"/>
            <w:hideMark/>
          </w:tcPr>
          <w:p w14:paraId="2D331FC8" w14:textId="77777777" w:rsidR="00C5516F" w:rsidRPr="00A21682" w:rsidRDefault="00C5516F" w:rsidP="00047C4E">
            <w:pPr>
              <w:pStyle w:val="TABLETEXT1"/>
              <w:rPr>
                <w:lang w:val="en-US"/>
              </w:rPr>
            </w:pPr>
            <w:r>
              <w:rPr>
                <w:lang w:val="en-US"/>
              </w:rPr>
              <w:t>1</w:t>
            </w:r>
          </w:p>
        </w:tc>
        <w:tc>
          <w:tcPr>
            <w:tcW w:w="1794" w:type="dxa"/>
            <w:hideMark/>
          </w:tcPr>
          <w:p w14:paraId="1D570251" w14:textId="24A382A6" w:rsidR="00C5516F" w:rsidRPr="00A21682" w:rsidRDefault="00C5516F" w:rsidP="00047C4E">
            <w:pPr>
              <w:pStyle w:val="TABLETEXT1"/>
              <w:rPr>
                <w:lang w:val="en-US"/>
              </w:rPr>
            </w:pPr>
            <w:r>
              <w:rPr>
                <w:lang w:val="en-US"/>
              </w:rPr>
              <w:t>NY-MECM Artifact Repositories</w:t>
            </w:r>
          </w:p>
        </w:tc>
        <w:tc>
          <w:tcPr>
            <w:tcW w:w="4604" w:type="dxa"/>
            <w:hideMark/>
          </w:tcPr>
          <w:p w14:paraId="2E009BEB" w14:textId="77777777" w:rsidR="00C5516F" w:rsidRPr="00A21682" w:rsidRDefault="00C5516F" w:rsidP="002224C7">
            <w:pPr>
              <w:pStyle w:val="TABLETEXT1"/>
              <w:rPr>
                <w:lang w:val="en-US"/>
              </w:rPr>
            </w:pPr>
            <w:r>
              <w:rPr>
                <w:lang w:val="en-US"/>
              </w:rPr>
              <w:t>Pull application dependencies from NY MECM artifact repositories</w:t>
            </w:r>
          </w:p>
        </w:tc>
        <w:tc>
          <w:tcPr>
            <w:tcW w:w="2340" w:type="dxa"/>
            <w:hideMark/>
          </w:tcPr>
          <w:p w14:paraId="686A4C94" w14:textId="77777777" w:rsidR="00C5516F" w:rsidRPr="00635C9B" w:rsidRDefault="00C5516F" w:rsidP="00007FCB">
            <w:pPr>
              <w:pStyle w:val="TABLEBULLETNEW"/>
            </w:pPr>
            <w:r>
              <w:t>Developer</w:t>
            </w:r>
          </w:p>
          <w:p w14:paraId="5108AB2C" w14:textId="77777777" w:rsidR="00C5516F" w:rsidRPr="00635C9B" w:rsidRDefault="00C5516F" w:rsidP="00007FCB">
            <w:pPr>
              <w:pStyle w:val="TABLEBULLETNEW"/>
            </w:pPr>
            <w:r>
              <w:t>System Admin</w:t>
            </w:r>
          </w:p>
        </w:tc>
      </w:tr>
      <w:tr w:rsidR="00B65956" w:rsidRPr="00A21682" w14:paraId="1B962BE0" w14:textId="77777777" w:rsidTr="00047C4E">
        <w:trPr>
          <w:trHeight w:val="300"/>
        </w:trPr>
        <w:tc>
          <w:tcPr>
            <w:tcW w:w="622" w:type="dxa"/>
            <w:hideMark/>
          </w:tcPr>
          <w:p w14:paraId="6FD33787" w14:textId="77777777" w:rsidR="00C5516F" w:rsidRPr="00A21682" w:rsidRDefault="00C5516F" w:rsidP="00047C4E">
            <w:pPr>
              <w:pStyle w:val="TABLETEXT1"/>
              <w:rPr>
                <w:lang w:val="en-US"/>
              </w:rPr>
            </w:pPr>
            <w:r>
              <w:rPr>
                <w:lang w:val="en-US"/>
              </w:rPr>
              <w:t>2</w:t>
            </w:r>
          </w:p>
        </w:tc>
        <w:tc>
          <w:tcPr>
            <w:tcW w:w="1794" w:type="dxa"/>
            <w:hideMark/>
          </w:tcPr>
          <w:p w14:paraId="15062A1C" w14:textId="3935EB1B" w:rsidR="00C5516F" w:rsidRPr="00A21682" w:rsidRDefault="00F0228F" w:rsidP="00047C4E">
            <w:pPr>
              <w:pStyle w:val="TABLETEXT1"/>
              <w:rPr>
                <w:lang w:val="en-US"/>
              </w:rPr>
            </w:pPr>
            <w:r>
              <w:rPr>
                <w:lang w:val="en-US"/>
              </w:rPr>
              <w:t>artifact repository</w:t>
            </w:r>
          </w:p>
        </w:tc>
        <w:tc>
          <w:tcPr>
            <w:tcW w:w="4604" w:type="dxa"/>
            <w:hideMark/>
          </w:tcPr>
          <w:p w14:paraId="288A3596" w14:textId="77777777" w:rsidR="00C5516F" w:rsidRPr="00A21682" w:rsidRDefault="00C5516F" w:rsidP="002224C7">
            <w:pPr>
              <w:pStyle w:val="TABLETEXT1"/>
              <w:rPr>
                <w:lang w:val="en-US"/>
              </w:rPr>
            </w:pPr>
            <w:r>
              <w:rPr>
                <w:lang w:val="en-US"/>
              </w:rPr>
              <w:t>Provide secure, scalable, and cost-effective artifact management for software development</w:t>
            </w:r>
          </w:p>
        </w:tc>
        <w:tc>
          <w:tcPr>
            <w:tcW w:w="2340" w:type="dxa"/>
            <w:hideMark/>
          </w:tcPr>
          <w:p w14:paraId="593684EC" w14:textId="77777777" w:rsidR="00C5516F" w:rsidRPr="00635C9B" w:rsidRDefault="00C5516F" w:rsidP="00007FCB">
            <w:pPr>
              <w:pStyle w:val="TABLEBULLETNEW"/>
            </w:pPr>
            <w:r>
              <w:t>AWS</w:t>
            </w:r>
          </w:p>
        </w:tc>
      </w:tr>
      <w:tr w:rsidR="00B65956" w:rsidRPr="00A21682" w14:paraId="302E957C" w14:textId="77777777" w:rsidTr="00047C4E">
        <w:trPr>
          <w:trHeight w:val="300"/>
        </w:trPr>
        <w:tc>
          <w:tcPr>
            <w:tcW w:w="622" w:type="dxa"/>
            <w:hideMark/>
          </w:tcPr>
          <w:p w14:paraId="6B1DF78E" w14:textId="77777777" w:rsidR="00C5516F" w:rsidRPr="00A21682" w:rsidRDefault="00C5516F" w:rsidP="00047C4E">
            <w:pPr>
              <w:pStyle w:val="TABLETEXT1"/>
              <w:rPr>
                <w:lang w:val="en-US"/>
              </w:rPr>
            </w:pPr>
            <w:r>
              <w:rPr>
                <w:lang w:val="en-US"/>
              </w:rPr>
              <w:t>3</w:t>
            </w:r>
          </w:p>
        </w:tc>
        <w:tc>
          <w:tcPr>
            <w:tcW w:w="1794" w:type="dxa"/>
            <w:hideMark/>
          </w:tcPr>
          <w:p w14:paraId="77AEF1DA" w14:textId="77777777" w:rsidR="00C5516F" w:rsidRPr="00A21682" w:rsidRDefault="00C5516F" w:rsidP="00047C4E">
            <w:pPr>
              <w:pStyle w:val="TABLETEXT1"/>
              <w:rPr>
                <w:lang w:val="en-US"/>
              </w:rPr>
            </w:pPr>
            <w:r>
              <w:rPr>
                <w:lang w:val="en-US"/>
              </w:rPr>
              <w:t>Access Domain</w:t>
            </w:r>
          </w:p>
        </w:tc>
        <w:tc>
          <w:tcPr>
            <w:tcW w:w="4604" w:type="dxa"/>
            <w:hideMark/>
          </w:tcPr>
          <w:p w14:paraId="0D812E5C" w14:textId="77777777" w:rsidR="00C5516F" w:rsidRPr="00A21682" w:rsidRDefault="00C5516F" w:rsidP="002224C7">
            <w:pPr>
              <w:pStyle w:val="TABLETEXT1"/>
              <w:rPr>
                <w:lang w:val="en-US"/>
              </w:rPr>
            </w:pPr>
            <w:r>
              <w:rPr>
                <w:lang w:val="en-US"/>
              </w:rPr>
              <w:t>Manage access and apply policies across multiple accounts within NY MECM</w:t>
            </w:r>
          </w:p>
        </w:tc>
        <w:tc>
          <w:tcPr>
            <w:tcW w:w="2340" w:type="dxa"/>
            <w:hideMark/>
          </w:tcPr>
          <w:p w14:paraId="2FDC4422" w14:textId="77777777" w:rsidR="00C5516F" w:rsidRPr="00635C9B" w:rsidRDefault="00C5516F" w:rsidP="00007FCB">
            <w:pPr>
              <w:pStyle w:val="TABLEBULLETNEW"/>
            </w:pPr>
            <w:r>
              <w:t>System Admin</w:t>
            </w:r>
          </w:p>
        </w:tc>
      </w:tr>
      <w:tr w:rsidR="00B65956" w:rsidRPr="00A21682" w14:paraId="62111A7A" w14:textId="77777777" w:rsidTr="00047C4E">
        <w:trPr>
          <w:trHeight w:val="300"/>
        </w:trPr>
        <w:tc>
          <w:tcPr>
            <w:tcW w:w="622" w:type="dxa"/>
            <w:hideMark/>
          </w:tcPr>
          <w:p w14:paraId="06297451" w14:textId="77777777" w:rsidR="00C5516F" w:rsidRPr="00A21682" w:rsidRDefault="00C5516F" w:rsidP="00047C4E">
            <w:pPr>
              <w:pStyle w:val="TABLETEXT1"/>
              <w:rPr>
                <w:lang w:val="en-US"/>
              </w:rPr>
            </w:pPr>
            <w:r>
              <w:rPr>
                <w:lang w:val="en-US"/>
              </w:rPr>
              <w:t>4</w:t>
            </w:r>
          </w:p>
        </w:tc>
        <w:tc>
          <w:tcPr>
            <w:tcW w:w="1794" w:type="dxa"/>
            <w:hideMark/>
          </w:tcPr>
          <w:p w14:paraId="7F5FF8BA" w14:textId="46D6D733" w:rsidR="00C5516F" w:rsidRPr="00A21682" w:rsidRDefault="00C5516F" w:rsidP="00047C4E">
            <w:pPr>
              <w:pStyle w:val="TABLETEXT1"/>
              <w:rPr>
                <w:lang w:val="en-US"/>
              </w:rPr>
            </w:pPr>
            <w:r>
              <w:rPr>
                <w:lang w:val="en-US"/>
              </w:rPr>
              <w:t>Securely Publish and Store Packages</w:t>
            </w:r>
          </w:p>
        </w:tc>
        <w:tc>
          <w:tcPr>
            <w:tcW w:w="4604" w:type="dxa"/>
            <w:hideMark/>
          </w:tcPr>
          <w:p w14:paraId="1FD5E558" w14:textId="77777777" w:rsidR="00C5516F" w:rsidRPr="00A21682" w:rsidRDefault="00C5516F" w:rsidP="002224C7">
            <w:pPr>
              <w:pStyle w:val="TABLETEXT1"/>
              <w:rPr>
                <w:lang w:val="en-US"/>
              </w:rPr>
            </w:pPr>
            <w:r>
              <w:rPr>
                <w:lang w:val="en-US"/>
              </w:rPr>
              <w:t>Store packages inside of the repositories in the NY MECM domain</w:t>
            </w:r>
          </w:p>
        </w:tc>
        <w:tc>
          <w:tcPr>
            <w:tcW w:w="2340" w:type="dxa"/>
            <w:hideMark/>
          </w:tcPr>
          <w:p w14:paraId="6BCC187D" w14:textId="77777777" w:rsidR="00C5516F" w:rsidRPr="00635C9B" w:rsidRDefault="00C5516F" w:rsidP="00007FCB">
            <w:pPr>
              <w:pStyle w:val="TABLEBULLETNEW"/>
            </w:pPr>
            <w:r>
              <w:t>Developer</w:t>
            </w:r>
          </w:p>
          <w:p w14:paraId="0FD4641B" w14:textId="77777777" w:rsidR="00C5516F" w:rsidRPr="00635C9B" w:rsidRDefault="00C5516F" w:rsidP="00007FCB">
            <w:pPr>
              <w:pStyle w:val="TABLEBULLETNEW"/>
            </w:pPr>
            <w:r>
              <w:t>System Admin</w:t>
            </w:r>
          </w:p>
        </w:tc>
      </w:tr>
      <w:tr w:rsidR="00B65956" w:rsidRPr="00A21682" w14:paraId="7C4B829A" w14:textId="77777777" w:rsidTr="00047C4E">
        <w:trPr>
          <w:trHeight w:val="300"/>
        </w:trPr>
        <w:tc>
          <w:tcPr>
            <w:tcW w:w="622" w:type="dxa"/>
            <w:hideMark/>
          </w:tcPr>
          <w:p w14:paraId="45319CC7" w14:textId="77777777" w:rsidR="00C5516F" w:rsidRPr="00A21682" w:rsidRDefault="00C5516F" w:rsidP="00047C4E">
            <w:pPr>
              <w:pStyle w:val="TABLETEXT1"/>
              <w:rPr>
                <w:lang w:val="en-US"/>
              </w:rPr>
            </w:pPr>
            <w:r>
              <w:rPr>
                <w:lang w:val="en-US"/>
              </w:rPr>
              <w:t>5</w:t>
            </w:r>
          </w:p>
        </w:tc>
        <w:tc>
          <w:tcPr>
            <w:tcW w:w="1794" w:type="dxa"/>
            <w:hideMark/>
          </w:tcPr>
          <w:p w14:paraId="1B584BB2" w14:textId="1E62F713" w:rsidR="00C5516F" w:rsidRPr="00A21682" w:rsidRDefault="00C5516F" w:rsidP="00047C4E">
            <w:pPr>
              <w:pStyle w:val="TABLETEXT1"/>
              <w:rPr>
                <w:lang w:val="en-US"/>
              </w:rPr>
            </w:pPr>
            <w:r>
              <w:rPr>
                <w:lang w:val="en-US"/>
              </w:rPr>
              <w:t>Pull Dependencies</w:t>
            </w:r>
          </w:p>
        </w:tc>
        <w:tc>
          <w:tcPr>
            <w:tcW w:w="4604" w:type="dxa"/>
            <w:hideMark/>
          </w:tcPr>
          <w:p w14:paraId="255CB77E" w14:textId="77777777" w:rsidR="00C5516F" w:rsidRPr="00A21682" w:rsidRDefault="00C5516F" w:rsidP="002224C7">
            <w:pPr>
              <w:pStyle w:val="TABLETEXT1"/>
              <w:rPr>
                <w:lang w:val="en-US"/>
              </w:rPr>
            </w:pPr>
            <w:r>
              <w:rPr>
                <w:lang w:val="en-US"/>
              </w:rPr>
              <w:t>Pull application dependencies for development</w:t>
            </w:r>
          </w:p>
        </w:tc>
        <w:tc>
          <w:tcPr>
            <w:tcW w:w="2340" w:type="dxa"/>
            <w:hideMark/>
          </w:tcPr>
          <w:p w14:paraId="70F82FB7" w14:textId="77777777" w:rsidR="00C5516F" w:rsidRPr="00635C9B" w:rsidRDefault="00C5516F" w:rsidP="00007FCB">
            <w:pPr>
              <w:pStyle w:val="TABLEBULLETNEW"/>
            </w:pPr>
            <w:r>
              <w:t>Developers</w:t>
            </w:r>
          </w:p>
        </w:tc>
      </w:tr>
    </w:tbl>
    <w:p w14:paraId="77DE4959" w14:textId="58979A3A" w:rsidR="00C5516F" w:rsidRPr="00A21682" w:rsidRDefault="00C5516F" w:rsidP="00CC44DD">
      <w:pPr>
        <w:pStyle w:val="Caption"/>
        <w:rPr>
          <w:noProof w:val="0"/>
        </w:rPr>
      </w:pPr>
      <w:bookmarkStart w:id="1161" w:name="_Toc150951927"/>
      <w:bookmarkStart w:id="1162" w:name="_Toc192875144"/>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59</w:t>
      </w:r>
      <w:r>
        <w:rPr>
          <w:noProof w:val="0"/>
        </w:rPr>
        <w:fldChar w:fldCharType="end"/>
      </w:r>
      <w:r>
        <w:rPr>
          <w:noProof w:val="0"/>
        </w:rPr>
        <w:t>: artifact repository Workflow Narrative</w:t>
      </w:r>
      <w:bookmarkEnd w:id="1161"/>
      <w:bookmarkEnd w:id="1162"/>
    </w:p>
    <w:p w14:paraId="25B0E1D5" w14:textId="77777777" w:rsidR="00C5516F" w:rsidRPr="00A21682" w:rsidRDefault="00C5516F">
      <w:pPr>
        <w:pStyle w:val="Heading3"/>
        <w:rPr>
          <w:u w:color="000000"/>
        </w:rPr>
      </w:pPr>
      <w:bookmarkStart w:id="1163" w:name="_Toc148102423"/>
      <w:bookmarkStart w:id="1164" w:name="_Toc152605907"/>
      <w:bookmarkStart w:id="1165" w:name="_Toc177119041"/>
      <w:bookmarkStart w:id="1166" w:name="_Toc185952601"/>
      <w:bookmarkStart w:id="1167" w:name="_Toc192874771"/>
      <w:r>
        <w:rPr>
          <w:u w:color="000000"/>
        </w:rPr>
        <w:t>Accessing ALM Tool</w:t>
      </w:r>
      <w:bookmarkEnd w:id="1163"/>
      <w:bookmarkEnd w:id="1164"/>
      <w:bookmarkEnd w:id="1165"/>
      <w:bookmarkEnd w:id="1166"/>
      <w:bookmarkEnd w:id="1167"/>
    </w:p>
    <w:p w14:paraId="0DD45DA8" w14:textId="0C271663" w:rsidR="00C5516F" w:rsidRPr="00A21682" w:rsidRDefault="00C5516F" w:rsidP="001428D8">
      <w:pPr>
        <w:pStyle w:val="NormalNEW"/>
        <w:rPr>
          <w:u w:color="000000"/>
          <w:lang w:val="en-US" w:eastAsia="ko-KR"/>
        </w:rPr>
      </w:pPr>
      <w:r>
        <w:rPr>
          <w:u w:color="000000"/>
          <w:lang w:val="en-US" w:eastAsia="ko-KR"/>
        </w:rPr>
        <w:t>Access to artifact repository is open to ███████ technology team and DOH stakeholders. User training content and tool walkthroughs will be available prior to the start of Development Phase for impacted DOH stakeholders.</w:t>
      </w:r>
    </w:p>
    <w:p w14:paraId="2719AF21" w14:textId="33057BC1" w:rsidR="00C5516F" w:rsidRPr="00A21682" w:rsidRDefault="00C5516F" w:rsidP="001428D8">
      <w:pPr>
        <w:pStyle w:val="NormalNEW"/>
        <w:rPr>
          <w:rFonts w:cs="Arial"/>
          <w:color w:val="000000"/>
          <w:u w:color="000000"/>
          <w:lang w:val="en-US"/>
        </w:rPr>
      </w:pPr>
      <w:r>
        <w:rPr>
          <w:color w:val="000000"/>
          <w:u w:color="000000"/>
          <w:lang w:val="en-US"/>
        </w:rPr>
        <w:t>Access the artifact repository tool via this link</w:t>
      </w:r>
      <w:r>
        <w:rPr>
          <w:rFonts w:cs="Arial"/>
          <w:color w:val="000000"/>
          <w:u w:color="000000"/>
          <w:lang w:val="en-US"/>
        </w:rPr>
        <w:t xml:space="preserve">: </w:t>
      </w:r>
      <w:r>
        <w:rPr>
          <w:rFonts w:cs="Arial"/>
          <w:color w:val="0000FF"/>
          <w:u w:val="single" w:color="003366"/>
          <w:lang w:val="en-US"/>
        </w:rPr>
        <w:t>[link to be provided once available]</w:t>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765"/>
        <w:gridCol w:w="6428"/>
        <w:gridCol w:w="2167"/>
      </w:tblGrid>
      <w:tr w:rsidR="00C5516F" w:rsidRPr="00A21682" w14:paraId="71DA1881" w14:textId="77777777" w:rsidTr="00CE6403">
        <w:trPr>
          <w:trHeight w:val="300"/>
          <w:tblHeader/>
        </w:trPr>
        <w:tc>
          <w:tcPr>
            <w:tcW w:w="765" w:type="dxa"/>
            <w:tcBorders>
              <w:right w:val="single" w:sz="2" w:space="0" w:color="FFFFFF" w:themeColor="background1"/>
            </w:tcBorders>
            <w:shd w:val="clear" w:color="auto" w:fill="000000"/>
            <w:tcMar>
              <w:left w:w="108" w:type="dxa"/>
              <w:right w:w="108" w:type="dxa"/>
            </w:tcMar>
          </w:tcPr>
          <w:p w14:paraId="1F604834" w14:textId="77777777" w:rsidR="00C5516F" w:rsidRPr="00A21682" w:rsidRDefault="00C5516F" w:rsidP="00047C4E">
            <w:pPr>
              <w:pStyle w:val="TABLEHEADINGNEW"/>
              <w:rPr>
                <w:color w:val="000000"/>
                <w:u w:color="000000"/>
              </w:rPr>
            </w:pPr>
            <w:r>
              <w:rPr>
                <w:rFonts w:eastAsia="Arial"/>
                <w:u w:color="000000"/>
              </w:rPr>
              <w:lastRenderedPageBreak/>
              <w:t>#</w:t>
            </w:r>
          </w:p>
        </w:tc>
        <w:tc>
          <w:tcPr>
            <w:tcW w:w="6428" w:type="dxa"/>
            <w:tcBorders>
              <w:left w:val="single" w:sz="2" w:space="0" w:color="FFFFFF" w:themeColor="background1"/>
              <w:right w:val="single" w:sz="2" w:space="0" w:color="FFFFFF" w:themeColor="background1"/>
            </w:tcBorders>
            <w:shd w:val="clear" w:color="auto" w:fill="000000"/>
            <w:tcMar>
              <w:left w:w="108" w:type="dxa"/>
              <w:right w:w="108" w:type="dxa"/>
            </w:tcMar>
          </w:tcPr>
          <w:p w14:paraId="4BBEA3BE" w14:textId="77777777" w:rsidR="00C5516F" w:rsidRPr="00A21682" w:rsidRDefault="00C5516F" w:rsidP="00047C4E">
            <w:pPr>
              <w:pStyle w:val="TABLEHEADINGNEW"/>
              <w:rPr>
                <w:color w:val="000000"/>
                <w:u w:color="000000"/>
              </w:rPr>
            </w:pPr>
            <w:r>
              <w:rPr>
                <w:rFonts w:eastAsia="Arial"/>
                <w:u w:color="000000"/>
              </w:rPr>
              <w:t>Access Step</w:t>
            </w:r>
          </w:p>
        </w:tc>
        <w:tc>
          <w:tcPr>
            <w:tcW w:w="2167" w:type="dxa"/>
            <w:tcBorders>
              <w:left w:val="single" w:sz="2" w:space="0" w:color="FFFFFF" w:themeColor="background1"/>
            </w:tcBorders>
            <w:shd w:val="clear" w:color="auto" w:fill="000000"/>
            <w:tcMar>
              <w:left w:w="108" w:type="dxa"/>
              <w:right w:w="108" w:type="dxa"/>
            </w:tcMar>
          </w:tcPr>
          <w:p w14:paraId="6B9C9A58" w14:textId="77777777" w:rsidR="00C5516F" w:rsidRPr="00A21682" w:rsidRDefault="00C5516F" w:rsidP="00047C4E">
            <w:pPr>
              <w:pStyle w:val="TABLEHEADINGNEW"/>
              <w:rPr>
                <w:color w:val="000000"/>
                <w:u w:color="000000"/>
              </w:rPr>
            </w:pPr>
            <w:r>
              <w:rPr>
                <w:rFonts w:eastAsia="Arial"/>
                <w:u w:color="000000"/>
              </w:rPr>
              <w:t>Owner</w:t>
            </w:r>
          </w:p>
        </w:tc>
      </w:tr>
      <w:tr w:rsidR="00C5516F" w:rsidRPr="00A21682" w14:paraId="707C6C50" w14:textId="77777777" w:rsidTr="00047C4E">
        <w:trPr>
          <w:trHeight w:val="300"/>
        </w:trPr>
        <w:tc>
          <w:tcPr>
            <w:tcW w:w="765" w:type="dxa"/>
            <w:tcMar>
              <w:left w:w="108" w:type="dxa"/>
              <w:right w:w="108" w:type="dxa"/>
            </w:tcMar>
          </w:tcPr>
          <w:p w14:paraId="56EAF47D" w14:textId="3C64ED02" w:rsidR="00C5516F" w:rsidRPr="00A21682" w:rsidRDefault="00C5516F" w:rsidP="00047C4E">
            <w:pPr>
              <w:pStyle w:val="TABLETEXT1"/>
              <w:rPr>
                <w:u w:color="000000"/>
                <w:lang w:val="en-US"/>
              </w:rPr>
            </w:pPr>
            <w:r>
              <w:rPr>
                <w:u w:color="000000"/>
                <w:lang w:val="en-US"/>
              </w:rPr>
              <w:t>1</w:t>
            </w:r>
          </w:p>
        </w:tc>
        <w:tc>
          <w:tcPr>
            <w:tcW w:w="6428" w:type="dxa"/>
            <w:tcMar>
              <w:left w:w="108" w:type="dxa"/>
              <w:right w:w="108" w:type="dxa"/>
            </w:tcMar>
          </w:tcPr>
          <w:p w14:paraId="0EB24158" w14:textId="4DCC1BEF" w:rsidR="00C5516F" w:rsidRPr="00A21682" w:rsidRDefault="00C5516F" w:rsidP="00047C4E">
            <w:pPr>
              <w:pStyle w:val="TABLETEXT1"/>
              <w:rPr>
                <w:rFonts w:cs="Times New Roman"/>
                <w:u w:color="000000"/>
                <w:lang w:val="en-US"/>
              </w:rPr>
            </w:pPr>
            <w:r>
              <w:rPr>
                <w:rFonts w:cs="Times New Roman"/>
                <w:u w:color="000000"/>
                <w:lang w:val="en-US"/>
              </w:rPr>
              <w:t>Submit an access request through the approved project access-request process</w:t>
            </w:r>
          </w:p>
        </w:tc>
        <w:tc>
          <w:tcPr>
            <w:tcW w:w="2167" w:type="dxa"/>
            <w:tcMar>
              <w:left w:w="108" w:type="dxa"/>
              <w:right w:w="108" w:type="dxa"/>
            </w:tcMar>
          </w:tcPr>
          <w:p w14:paraId="67818FF4" w14:textId="77777777" w:rsidR="00C5516F" w:rsidRPr="00A21682" w:rsidRDefault="00C5516F" w:rsidP="00047C4E">
            <w:pPr>
              <w:pStyle w:val="TABLETEXT1"/>
              <w:rPr>
                <w:rFonts w:cs="Times New Roman"/>
                <w:u w:color="000000"/>
                <w:lang w:val="en-US"/>
              </w:rPr>
            </w:pPr>
            <w:r>
              <w:rPr>
                <w:rFonts w:cs="Times New Roman"/>
                <w:u w:color="000000"/>
                <w:lang w:val="en-US"/>
              </w:rPr>
              <w:t>Requestor</w:t>
            </w:r>
          </w:p>
        </w:tc>
      </w:tr>
      <w:tr w:rsidR="00C5516F" w:rsidRPr="00A21682" w14:paraId="14C2900D" w14:textId="77777777" w:rsidTr="00047C4E">
        <w:trPr>
          <w:trHeight w:val="300"/>
        </w:trPr>
        <w:tc>
          <w:tcPr>
            <w:tcW w:w="765" w:type="dxa"/>
            <w:tcMar>
              <w:left w:w="108" w:type="dxa"/>
              <w:right w:w="108" w:type="dxa"/>
            </w:tcMar>
          </w:tcPr>
          <w:p w14:paraId="70542FBF" w14:textId="06E54916" w:rsidR="00C5516F" w:rsidRPr="00A21682" w:rsidRDefault="00C5516F" w:rsidP="00047C4E">
            <w:pPr>
              <w:pStyle w:val="TABLETEXT1"/>
              <w:rPr>
                <w:u w:color="000000"/>
                <w:lang w:val="en-US"/>
              </w:rPr>
            </w:pPr>
            <w:r>
              <w:rPr>
                <w:u w:color="000000"/>
                <w:lang w:val="en-US"/>
              </w:rPr>
              <w:t>2</w:t>
            </w:r>
          </w:p>
        </w:tc>
        <w:tc>
          <w:tcPr>
            <w:tcW w:w="6428" w:type="dxa"/>
            <w:tcMar>
              <w:left w:w="108" w:type="dxa"/>
              <w:right w:w="108" w:type="dxa"/>
            </w:tcMar>
          </w:tcPr>
          <w:p w14:paraId="68B8A7CC" w14:textId="77777777" w:rsidR="00C5516F" w:rsidRPr="00A21682" w:rsidRDefault="00C5516F" w:rsidP="00047C4E">
            <w:pPr>
              <w:pStyle w:val="TABLETEXT1"/>
              <w:rPr>
                <w:rFonts w:cs="Times New Roman"/>
                <w:u w:color="000000"/>
                <w:lang w:val="en-US"/>
              </w:rPr>
            </w:pPr>
            <w:r>
              <w:rPr>
                <w:rFonts w:cs="Times New Roman"/>
                <w:u w:color="000000"/>
                <w:lang w:val="en-US"/>
              </w:rPr>
              <w:t>Approve Request</w:t>
            </w:r>
          </w:p>
        </w:tc>
        <w:tc>
          <w:tcPr>
            <w:tcW w:w="2167" w:type="dxa"/>
            <w:tcMar>
              <w:left w:w="108" w:type="dxa"/>
              <w:right w:w="108" w:type="dxa"/>
            </w:tcMar>
          </w:tcPr>
          <w:p w14:paraId="0F0A2F3A" w14:textId="77777777" w:rsidR="00C5516F" w:rsidRPr="00A21682" w:rsidRDefault="00C5516F" w:rsidP="00047C4E">
            <w:pPr>
              <w:pStyle w:val="TABLETEXT1"/>
              <w:rPr>
                <w:rFonts w:cs="Times New Roman"/>
                <w:u w:color="000000"/>
                <w:lang w:val="en-US"/>
              </w:rPr>
            </w:pPr>
            <w:r>
              <w:rPr>
                <w:rFonts w:cs="Times New Roman"/>
                <w:u w:color="000000"/>
                <w:lang w:val="en-US"/>
              </w:rPr>
              <w:t>System Admin</w:t>
            </w:r>
          </w:p>
        </w:tc>
      </w:tr>
      <w:tr w:rsidR="00C5516F" w:rsidRPr="00A21682" w14:paraId="202455BC" w14:textId="77777777" w:rsidTr="00047C4E">
        <w:trPr>
          <w:trHeight w:val="300"/>
        </w:trPr>
        <w:tc>
          <w:tcPr>
            <w:tcW w:w="765" w:type="dxa"/>
            <w:tcMar>
              <w:left w:w="108" w:type="dxa"/>
              <w:right w:w="108" w:type="dxa"/>
            </w:tcMar>
          </w:tcPr>
          <w:p w14:paraId="071CFD3F" w14:textId="25317EED" w:rsidR="00C5516F" w:rsidRPr="00A21682" w:rsidRDefault="00C5516F" w:rsidP="00047C4E">
            <w:pPr>
              <w:pStyle w:val="TABLETEXT1"/>
              <w:rPr>
                <w:u w:color="000000"/>
                <w:lang w:val="en-US"/>
              </w:rPr>
            </w:pPr>
            <w:r>
              <w:rPr>
                <w:u w:color="000000"/>
                <w:lang w:val="en-US"/>
              </w:rPr>
              <w:t>3</w:t>
            </w:r>
          </w:p>
        </w:tc>
        <w:tc>
          <w:tcPr>
            <w:tcW w:w="6428" w:type="dxa"/>
            <w:tcMar>
              <w:left w:w="108" w:type="dxa"/>
              <w:right w:w="108" w:type="dxa"/>
            </w:tcMar>
          </w:tcPr>
          <w:p w14:paraId="7E2C080A" w14:textId="77777777" w:rsidR="00C5516F" w:rsidRPr="00A21682" w:rsidRDefault="00C5516F" w:rsidP="00047C4E">
            <w:pPr>
              <w:pStyle w:val="TABLETEXT1"/>
              <w:rPr>
                <w:rFonts w:cs="Times New Roman"/>
                <w:u w:color="000000"/>
                <w:lang w:val="en-US"/>
              </w:rPr>
            </w:pPr>
            <w:r>
              <w:rPr>
                <w:rFonts w:cs="Times New Roman"/>
                <w:u w:color="000000"/>
                <w:lang w:val="en-US"/>
              </w:rPr>
              <w:t>Log into the build server</w:t>
            </w:r>
          </w:p>
        </w:tc>
        <w:tc>
          <w:tcPr>
            <w:tcW w:w="2167" w:type="dxa"/>
            <w:tcMar>
              <w:left w:w="108" w:type="dxa"/>
              <w:right w:w="108" w:type="dxa"/>
            </w:tcMar>
          </w:tcPr>
          <w:p w14:paraId="7A3D63A3" w14:textId="77777777" w:rsidR="00C5516F" w:rsidRPr="00A21682" w:rsidRDefault="00C5516F" w:rsidP="00047C4E">
            <w:pPr>
              <w:pStyle w:val="TABLETEXT1"/>
              <w:rPr>
                <w:rFonts w:cs="Times New Roman"/>
                <w:u w:color="000000"/>
                <w:lang w:val="en-US"/>
              </w:rPr>
            </w:pPr>
            <w:r>
              <w:rPr>
                <w:rFonts w:cs="Times New Roman"/>
                <w:u w:color="000000"/>
                <w:lang w:val="en-US"/>
              </w:rPr>
              <w:t>User</w:t>
            </w:r>
          </w:p>
        </w:tc>
      </w:tr>
      <w:tr w:rsidR="00C5516F" w:rsidRPr="00A21682" w14:paraId="3D78C2EF" w14:textId="77777777" w:rsidTr="00047C4E">
        <w:trPr>
          <w:trHeight w:val="300"/>
        </w:trPr>
        <w:tc>
          <w:tcPr>
            <w:tcW w:w="765" w:type="dxa"/>
            <w:tcMar>
              <w:left w:w="108" w:type="dxa"/>
              <w:right w:w="108" w:type="dxa"/>
            </w:tcMar>
          </w:tcPr>
          <w:p w14:paraId="2CF9C7F8" w14:textId="76DF0AD5" w:rsidR="00C5516F" w:rsidRPr="00A21682" w:rsidRDefault="00C5516F" w:rsidP="00047C4E">
            <w:pPr>
              <w:pStyle w:val="TABLETEXT1"/>
              <w:rPr>
                <w:u w:color="000000"/>
                <w:lang w:val="en-US"/>
              </w:rPr>
            </w:pPr>
            <w:r>
              <w:rPr>
                <w:u w:color="000000"/>
                <w:lang w:val="en-US"/>
              </w:rPr>
              <w:t>4</w:t>
            </w:r>
          </w:p>
        </w:tc>
        <w:tc>
          <w:tcPr>
            <w:tcW w:w="6428" w:type="dxa"/>
            <w:tcMar>
              <w:left w:w="108" w:type="dxa"/>
              <w:right w:w="108" w:type="dxa"/>
            </w:tcMar>
          </w:tcPr>
          <w:p w14:paraId="05793131" w14:textId="77777777" w:rsidR="00C5516F" w:rsidRPr="00A21682" w:rsidRDefault="00C5516F" w:rsidP="00047C4E">
            <w:pPr>
              <w:pStyle w:val="TABLETEXT1"/>
              <w:rPr>
                <w:rFonts w:cs="Times New Roman"/>
                <w:u w:color="000000"/>
                <w:lang w:val="en-US"/>
              </w:rPr>
            </w:pPr>
            <w:r>
              <w:rPr>
                <w:rFonts w:cs="Times New Roman"/>
                <w:u w:color="000000"/>
                <w:lang w:val="en-US"/>
              </w:rPr>
              <w:t>Communicate with tool for access</w:t>
            </w:r>
          </w:p>
        </w:tc>
        <w:tc>
          <w:tcPr>
            <w:tcW w:w="2167" w:type="dxa"/>
            <w:tcMar>
              <w:left w:w="108" w:type="dxa"/>
              <w:right w:w="108" w:type="dxa"/>
            </w:tcMar>
          </w:tcPr>
          <w:p w14:paraId="1560CBD7" w14:textId="77777777" w:rsidR="00C5516F" w:rsidRPr="00A21682" w:rsidRDefault="00C5516F" w:rsidP="00047C4E">
            <w:pPr>
              <w:pStyle w:val="TABLETEXT1"/>
              <w:rPr>
                <w:rFonts w:cs="Times New Roman"/>
                <w:u w:color="000000"/>
                <w:lang w:val="en-US"/>
              </w:rPr>
            </w:pPr>
            <w:r>
              <w:rPr>
                <w:rFonts w:cs="Times New Roman"/>
                <w:u w:color="000000"/>
                <w:lang w:val="en-US"/>
              </w:rPr>
              <w:t>User</w:t>
            </w:r>
          </w:p>
        </w:tc>
      </w:tr>
    </w:tbl>
    <w:p w14:paraId="5CDB1DC5" w14:textId="78161649" w:rsidR="00C5516F" w:rsidRPr="00A21682" w:rsidRDefault="00C5516F" w:rsidP="00CC44DD">
      <w:pPr>
        <w:pStyle w:val="Caption"/>
        <w:rPr>
          <w:noProof w:val="0"/>
        </w:rPr>
      </w:pPr>
      <w:bookmarkStart w:id="1168" w:name="_Toc150951928"/>
      <w:bookmarkStart w:id="1169" w:name="_Toc192875145"/>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60</w:t>
      </w:r>
      <w:r>
        <w:rPr>
          <w:noProof w:val="0"/>
        </w:rPr>
        <w:fldChar w:fldCharType="end"/>
      </w:r>
      <w:r>
        <w:rPr>
          <w:noProof w:val="0"/>
        </w:rPr>
        <w:t>: artifact repository Access</w:t>
      </w:r>
      <w:bookmarkEnd w:id="1168"/>
      <w:bookmarkEnd w:id="1169"/>
    </w:p>
    <w:p w14:paraId="5D11EB54" w14:textId="143E8B8B" w:rsidR="00C5516F" w:rsidRPr="00A21682" w:rsidRDefault="00C5516F" w:rsidP="001428D8">
      <w:pPr>
        <w:pStyle w:val="NormalNEW"/>
        <w:rPr>
          <w:rFonts w:cs="Times New Roman"/>
          <w:u w:color="000000"/>
          <w:lang w:val="en-US"/>
        </w:rPr>
      </w:pPr>
      <w:r>
        <w:rPr>
          <w:rFonts w:cs="Times New Roman"/>
          <w:u w:color="000000"/>
          <w:lang w:val="en-US"/>
        </w:rPr>
        <w:t xml:space="preserve">For troubleshooting login or access issues, contact </w:t>
      </w:r>
      <w:r>
        <w:rPr>
          <w:color w:val="0000FF"/>
          <w:highlight w:val="black"/>
          <w:u w:val="single" w:color="003366"/>
          <w:lang w:val="en-US"/>
        </w:rPr>
        <w:t>the PMO support mailbox</w:t>
      </w:r>
      <w:r>
        <w:rPr>
          <w:rFonts w:cs="Times New Roman"/>
          <w:u w:color="000000"/>
          <w:lang w:val="en-US"/>
        </w:rPr>
        <w:t xml:space="preserve"> </w:t>
      </w:r>
    </w:p>
    <w:p w14:paraId="273E0E25" w14:textId="77777777" w:rsidR="00C5516F" w:rsidRPr="00A21682" w:rsidRDefault="00C5516F">
      <w:pPr>
        <w:pStyle w:val="Heading2"/>
        <w:rPr>
          <w:u w:color="000000"/>
        </w:rPr>
      </w:pPr>
      <w:bookmarkStart w:id="1170" w:name="_Toc177051169"/>
      <w:bookmarkStart w:id="1171" w:name="_Toc177116735"/>
      <w:bookmarkStart w:id="1172" w:name="_Toc177117505"/>
      <w:bookmarkStart w:id="1173" w:name="_Toc177118275"/>
      <w:bookmarkStart w:id="1174" w:name="_Toc177119042"/>
      <w:bookmarkStart w:id="1175" w:name="_Toc178350655"/>
      <w:bookmarkStart w:id="1176" w:name="_Toc178352499"/>
      <w:bookmarkStart w:id="1177" w:name="_Toc178354613"/>
      <w:bookmarkStart w:id="1178" w:name="_Toc178357422"/>
      <w:bookmarkStart w:id="1179" w:name="_Toc178359221"/>
      <w:bookmarkStart w:id="1180" w:name="_Toc178371417"/>
      <w:bookmarkStart w:id="1181" w:name="_Toc184746994"/>
      <w:bookmarkStart w:id="1182" w:name="_Toc185948736"/>
      <w:bookmarkStart w:id="1183" w:name="_Toc186884320"/>
      <w:bookmarkStart w:id="1184" w:name="_Toc187428062"/>
      <w:bookmarkStart w:id="1185" w:name="_Toc188450438"/>
      <w:bookmarkStart w:id="1186" w:name="_Toc188619330"/>
      <w:bookmarkStart w:id="1187" w:name="_Toc177051170"/>
      <w:bookmarkStart w:id="1188" w:name="_Toc177116736"/>
      <w:bookmarkStart w:id="1189" w:name="_Toc177117506"/>
      <w:bookmarkStart w:id="1190" w:name="_Toc177118276"/>
      <w:bookmarkStart w:id="1191" w:name="_Toc177119043"/>
      <w:bookmarkStart w:id="1192" w:name="_Toc178350656"/>
      <w:bookmarkStart w:id="1193" w:name="_Toc178352500"/>
      <w:bookmarkStart w:id="1194" w:name="_Toc178354614"/>
      <w:bookmarkStart w:id="1195" w:name="_Toc178357423"/>
      <w:bookmarkStart w:id="1196" w:name="_Toc178359222"/>
      <w:bookmarkStart w:id="1197" w:name="_Toc178371418"/>
      <w:bookmarkStart w:id="1198" w:name="_Toc184746995"/>
      <w:bookmarkStart w:id="1199" w:name="_Toc185948737"/>
      <w:bookmarkStart w:id="1200" w:name="_Toc186884321"/>
      <w:bookmarkStart w:id="1201" w:name="_Toc187428063"/>
      <w:bookmarkStart w:id="1202" w:name="_Toc188450439"/>
      <w:bookmarkStart w:id="1203" w:name="_Toc188619331"/>
      <w:bookmarkStart w:id="1204" w:name="_Toc177051171"/>
      <w:bookmarkStart w:id="1205" w:name="_Toc177116737"/>
      <w:bookmarkStart w:id="1206" w:name="_Toc177117507"/>
      <w:bookmarkStart w:id="1207" w:name="_Toc177118277"/>
      <w:bookmarkStart w:id="1208" w:name="_Toc177119044"/>
      <w:bookmarkStart w:id="1209" w:name="_Toc178350657"/>
      <w:bookmarkStart w:id="1210" w:name="_Toc178352501"/>
      <w:bookmarkStart w:id="1211" w:name="_Toc178354615"/>
      <w:bookmarkStart w:id="1212" w:name="_Toc178357424"/>
      <w:bookmarkStart w:id="1213" w:name="_Toc178359223"/>
      <w:bookmarkStart w:id="1214" w:name="_Toc178371419"/>
      <w:bookmarkStart w:id="1215" w:name="_Toc184746996"/>
      <w:bookmarkStart w:id="1216" w:name="_Toc185948738"/>
      <w:bookmarkStart w:id="1217" w:name="_Toc186884322"/>
      <w:bookmarkStart w:id="1218" w:name="_Toc187428064"/>
      <w:bookmarkStart w:id="1219" w:name="_Toc188450440"/>
      <w:bookmarkStart w:id="1220" w:name="_Toc188619332"/>
      <w:bookmarkStart w:id="1221" w:name="_Toc177051180"/>
      <w:bookmarkStart w:id="1222" w:name="_Toc177116746"/>
      <w:bookmarkStart w:id="1223" w:name="_Toc177117516"/>
      <w:bookmarkStart w:id="1224" w:name="_Toc177118286"/>
      <w:bookmarkStart w:id="1225" w:name="_Toc177119053"/>
      <w:bookmarkStart w:id="1226" w:name="_Toc178350666"/>
      <w:bookmarkStart w:id="1227" w:name="_Toc178352510"/>
      <w:bookmarkStart w:id="1228" w:name="_Toc178354624"/>
      <w:bookmarkStart w:id="1229" w:name="_Toc178357433"/>
      <w:bookmarkStart w:id="1230" w:name="_Toc178359232"/>
      <w:bookmarkStart w:id="1231" w:name="_Toc178371428"/>
      <w:bookmarkStart w:id="1232" w:name="_Toc184747005"/>
      <w:bookmarkStart w:id="1233" w:name="_Toc185948747"/>
      <w:bookmarkStart w:id="1234" w:name="_Toc186884331"/>
      <w:bookmarkStart w:id="1235" w:name="_Toc187428073"/>
      <w:bookmarkStart w:id="1236" w:name="_Toc188450449"/>
      <w:bookmarkStart w:id="1237" w:name="_Toc188619341"/>
      <w:bookmarkStart w:id="1238" w:name="_Toc148102426"/>
      <w:bookmarkStart w:id="1239" w:name="_Toc148098528"/>
      <w:bookmarkStart w:id="1240" w:name="_Toc149051900"/>
      <w:bookmarkStart w:id="1241" w:name="_Toc152605721"/>
      <w:bookmarkStart w:id="1242" w:name="_Toc152605910"/>
      <w:bookmarkStart w:id="1243" w:name="_Toc148097145"/>
      <w:bookmarkStart w:id="1244" w:name="_Toc148097306"/>
      <w:bookmarkStart w:id="1245" w:name="_Toc148102427"/>
      <w:bookmarkStart w:id="1246" w:name="_Toc148098529"/>
      <w:bookmarkStart w:id="1247" w:name="_Toc149051901"/>
      <w:bookmarkStart w:id="1248" w:name="_Toc152605722"/>
      <w:bookmarkStart w:id="1249" w:name="_Toc152605911"/>
      <w:bookmarkStart w:id="1250" w:name="_Toc177051181"/>
      <w:bookmarkStart w:id="1251" w:name="_Toc177116747"/>
      <w:bookmarkStart w:id="1252" w:name="_Toc177117517"/>
      <w:bookmarkStart w:id="1253" w:name="_Toc177118287"/>
      <w:bookmarkStart w:id="1254" w:name="_Toc177119054"/>
      <w:bookmarkStart w:id="1255" w:name="_Toc178350667"/>
      <w:bookmarkStart w:id="1256" w:name="_Toc178352511"/>
      <w:bookmarkStart w:id="1257" w:name="_Toc178354625"/>
      <w:bookmarkStart w:id="1258" w:name="_Toc178357434"/>
      <w:bookmarkStart w:id="1259" w:name="_Toc178359233"/>
      <w:bookmarkStart w:id="1260" w:name="_Toc178371429"/>
      <w:bookmarkStart w:id="1261" w:name="_Toc184747006"/>
      <w:bookmarkStart w:id="1262" w:name="_Toc185948748"/>
      <w:bookmarkStart w:id="1263" w:name="_Toc186884332"/>
      <w:bookmarkStart w:id="1264" w:name="_Toc187428074"/>
      <w:bookmarkStart w:id="1265" w:name="_Toc188450450"/>
      <w:bookmarkStart w:id="1266" w:name="_Toc188619342"/>
      <w:bookmarkStart w:id="1267" w:name="_Toc177051182"/>
      <w:bookmarkStart w:id="1268" w:name="_Toc177116748"/>
      <w:bookmarkStart w:id="1269" w:name="_Toc177117518"/>
      <w:bookmarkStart w:id="1270" w:name="_Toc177118288"/>
      <w:bookmarkStart w:id="1271" w:name="_Toc177119055"/>
      <w:bookmarkStart w:id="1272" w:name="_Toc178350668"/>
      <w:bookmarkStart w:id="1273" w:name="_Toc178352512"/>
      <w:bookmarkStart w:id="1274" w:name="_Toc178354626"/>
      <w:bookmarkStart w:id="1275" w:name="_Toc178357435"/>
      <w:bookmarkStart w:id="1276" w:name="_Toc178359234"/>
      <w:bookmarkStart w:id="1277" w:name="_Toc178371430"/>
      <w:bookmarkStart w:id="1278" w:name="_Toc184747007"/>
      <w:bookmarkStart w:id="1279" w:name="_Toc185948749"/>
      <w:bookmarkStart w:id="1280" w:name="_Toc186884333"/>
      <w:bookmarkStart w:id="1281" w:name="_Toc187428075"/>
      <w:bookmarkStart w:id="1282" w:name="_Toc188450451"/>
      <w:bookmarkStart w:id="1283" w:name="_Toc188619343"/>
      <w:bookmarkStart w:id="1284" w:name="_Toc177051183"/>
      <w:bookmarkStart w:id="1285" w:name="_Toc177116749"/>
      <w:bookmarkStart w:id="1286" w:name="_Toc177117519"/>
      <w:bookmarkStart w:id="1287" w:name="_Toc177118289"/>
      <w:bookmarkStart w:id="1288" w:name="_Toc177119056"/>
      <w:bookmarkStart w:id="1289" w:name="_Toc178350669"/>
      <w:bookmarkStart w:id="1290" w:name="_Toc178352513"/>
      <w:bookmarkStart w:id="1291" w:name="_Toc178354627"/>
      <w:bookmarkStart w:id="1292" w:name="_Toc178357436"/>
      <w:bookmarkStart w:id="1293" w:name="_Toc178359235"/>
      <w:bookmarkStart w:id="1294" w:name="_Toc178371431"/>
      <w:bookmarkStart w:id="1295" w:name="_Toc184747008"/>
      <w:bookmarkStart w:id="1296" w:name="_Toc185948750"/>
      <w:bookmarkStart w:id="1297" w:name="_Toc186884334"/>
      <w:bookmarkStart w:id="1298" w:name="_Toc187428076"/>
      <w:bookmarkStart w:id="1299" w:name="_Toc188450452"/>
      <w:bookmarkStart w:id="1300" w:name="_Toc188619344"/>
      <w:bookmarkStart w:id="1301" w:name="_Toc177051184"/>
      <w:bookmarkStart w:id="1302" w:name="_Toc177116750"/>
      <w:bookmarkStart w:id="1303" w:name="_Toc177117520"/>
      <w:bookmarkStart w:id="1304" w:name="_Toc177118290"/>
      <w:bookmarkStart w:id="1305" w:name="_Toc177119057"/>
      <w:bookmarkStart w:id="1306" w:name="_Toc178350670"/>
      <w:bookmarkStart w:id="1307" w:name="_Toc178352514"/>
      <w:bookmarkStart w:id="1308" w:name="_Toc178354628"/>
      <w:bookmarkStart w:id="1309" w:name="_Toc178357437"/>
      <w:bookmarkStart w:id="1310" w:name="_Toc178359236"/>
      <w:bookmarkStart w:id="1311" w:name="_Toc178371432"/>
      <w:bookmarkStart w:id="1312" w:name="_Toc184747009"/>
      <w:bookmarkStart w:id="1313" w:name="_Toc185948751"/>
      <w:bookmarkStart w:id="1314" w:name="_Toc186884335"/>
      <w:bookmarkStart w:id="1315" w:name="_Toc187428077"/>
      <w:bookmarkStart w:id="1316" w:name="_Toc188450453"/>
      <w:bookmarkStart w:id="1317" w:name="_Toc188619345"/>
      <w:bookmarkStart w:id="1318" w:name="_Toc177051185"/>
      <w:bookmarkStart w:id="1319" w:name="_Toc177116751"/>
      <w:bookmarkStart w:id="1320" w:name="_Toc177117521"/>
      <w:bookmarkStart w:id="1321" w:name="_Toc177118291"/>
      <w:bookmarkStart w:id="1322" w:name="_Toc177119058"/>
      <w:bookmarkStart w:id="1323" w:name="_Toc178350671"/>
      <w:bookmarkStart w:id="1324" w:name="_Toc178352515"/>
      <w:bookmarkStart w:id="1325" w:name="_Toc178354629"/>
      <w:bookmarkStart w:id="1326" w:name="_Toc178357438"/>
      <w:bookmarkStart w:id="1327" w:name="_Toc178359237"/>
      <w:bookmarkStart w:id="1328" w:name="_Toc178371433"/>
      <w:bookmarkStart w:id="1329" w:name="_Toc184747010"/>
      <w:bookmarkStart w:id="1330" w:name="_Toc185948752"/>
      <w:bookmarkStart w:id="1331" w:name="_Toc186884336"/>
      <w:bookmarkStart w:id="1332" w:name="_Toc187428078"/>
      <w:bookmarkStart w:id="1333" w:name="_Toc188450454"/>
      <w:bookmarkStart w:id="1334" w:name="_Toc188619346"/>
      <w:bookmarkStart w:id="1335" w:name="_Toc177051186"/>
      <w:bookmarkStart w:id="1336" w:name="_Toc177116752"/>
      <w:bookmarkStart w:id="1337" w:name="_Toc177117522"/>
      <w:bookmarkStart w:id="1338" w:name="_Toc177118292"/>
      <w:bookmarkStart w:id="1339" w:name="_Toc177119059"/>
      <w:bookmarkStart w:id="1340" w:name="_Toc178350672"/>
      <w:bookmarkStart w:id="1341" w:name="_Toc178352516"/>
      <w:bookmarkStart w:id="1342" w:name="_Toc178354630"/>
      <w:bookmarkStart w:id="1343" w:name="_Toc178357439"/>
      <w:bookmarkStart w:id="1344" w:name="_Toc178359238"/>
      <w:bookmarkStart w:id="1345" w:name="_Toc178371434"/>
      <w:bookmarkStart w:id="1346" w:name="_Toc184747011"/>
      <w:bookmarkStart w:id="1347" w:name="_Toc185948753"/>
      <w:bookmarkStart w:id="1348" w:name="_Toc186884337"/>
      <w:bookmarkStart w:id="1349" w:name="_Toc187428079"/>
      <w:bookmarkStart w:id="1350" w:name="_Toc188450455"/>
      <w:bookmarkStart w:id="1351" w:name="_Toc188619347"/>
      <w:bookmarkStart w:id="1352" w:name="_Toc177051187"/>
      <w:bookmarkStart w:id="1353" w:name="_Toc177116753"/>
      <w:bookmarkStart w:id="1354" w:name="_Toc177117523"/>
      <w:bookmarkStart w:id="1355" w:name="_Toc177118293"/>
      <w:bookmarkStart w:id="1356" w:name="_Toc177119060"/>
      <w:bookmarkStart w:id="1357" w:name="_Toc178350673"/>
      <w:bookmarkStart w:id="1358" w:name="_Toc178352517"/>
      <w:bookmarkStart w:id="1359" w:name="_Toc178354631"/>
      <w:bookmarkStart w:id="1360" w:name="_Toc178357440"/>
      <w:bookmarkStart w:id="1361" w:name="_Toc178359239"/>
      <w:bookmarkStart w:id="1362" w:name="_Toc178371435"/>
      <w:bookmarkStart w:id="1363" w:name="_Toc184747012"/>
      <w:bookmarkStart w:id="1364" w:name="_Toc185948754"/>
      <w:bookmarkStart w:id="1365" w:name="_Toc186884338"/>
      <w:bookmarkStart w:id="1366" w:name="_Toc187428080"/>
      <w:bookmarkStart w:id="1367" w:name="_Toc188450456"/>
      <w:bookmarkStart w:id="1368" w:name="_Toc188619348"/>
      <w:bookmarkStart w:id="1369" w:name="_Toc177051188"/>
      <w:bookmarkStart w:id="1370" w:name="_Toc177116754"/>
      <w:bookmarkStart w:id="1371" w:name="_Toc177117524"/>
      <w:bookmarkStart w:id="1372" w:name="_Toc177118294"/>
      <w:bookmarkStart w:id="1373" w:name="_Toc177119061"/>
      <w:bookmarkStart w:id="1374" w:name="_Toc178350674"/>
      <w:bookmarkStart w:id="1375" w:name="_Toc178352518"/>
      <w:bookmarkStart w:id="1376" w:name="_Toc178354632"/>
      <w:bookmarkStart w:id="1377" w:name="_Toc178357441"/>
      <w:bookmarkStart w:id="1378" w:name="_Toc178359240"/>
      <w:bookmarkStart w:id="1379" w:name="_Toc178371436"/>
      <w:bookmarkStart w:id="1380" w:name="_Toc184747013"/>
      <w:bookmarkStart w:id="1381" w:name="_Toc185948755"/>
      <w:bookmarkStart w:id="1382" w:name="_Toc186884339"/>
      <w:bookmarkStart w:id="1383" w:name="_Toc187428081"/>
      <w:bookmarkStart w:id="1384" w:name="_Toc188450457"/>
      <w:bookmarkStart w:id="1385" w:name="_Toc188619349"/>
      <w:bookmarkStart w:id="1386" w:name="_Toc177051209"/>
      <w:bookmarkStart w:id="1387" w:name="_Toc177116775"/>
      <w:bookmarkStart w:id="1388" w:name="_Toc177117545"/>
      <w:bookmarkStart w:id="1389" w:name="_Toc177118315"/>
      <w:bookmarkStart w:id="1390" w:name="_Toc177119082"/>
      <w:bookmarkStart w:id="1391" w:name="_Toc178350695"/>
      <w:bookmarkStart w:id="1392" w:name="_Toc178352539"/>
      <w:bookmarkStart w:id="1393" w:name="_Toc178354653"/>
      <w:bookmarkStart w:id="1394" w:name="_Toc178357462"/>
      <w:bookmarkStart w:id="1395" w:name="_Toc178359261"/>
      <w:bookmarkStart w:id="1396" w:name="_Toc178371457"/>
      <w:bookmarkStart w:id="1397" w:name="_Toc184747034"/>
      <w:bookmarkStart w:id="1398" w:name="_Toc185948776"/>
      <w:bookmarkStart w:id="1399" w:name="_Toc186884360"/>
      <w:bookmarkStart w:id="1400" w:name="_Toc187428102"/>
      <w:bookmarkStart w:id="1401" w:name="_Toc188450478"/>
      <w:bookmarkStart w:id="1402" w:name="_Toc188619370"/>
      <w:bookmarkStart w:id="1403" w:name="_Toc177051210"/>
      <w:bookmarkStart w:id="1404" w:name="_Toc177116776"/>
      <w:bookmarkStart w:id="1405" w:name="_Toc177117546"/>
      <w:bookmarkStart w:id="1406" w:name="_Toc177118316"/>
      <w:bookmarkStart w:id="1407" w:name="_Toc177119083"/>
      <w:bookmarkStart w:id="1408" w:name="_Toc178350696"/>
      <w:bookmarkStart w:id="1409" w:name="_Toc178352540"/>
      <w:bookmarkStart w:id="1410" w:name="_Toc178354654"/>
      <w:bookmarkStart w:id="1411" w:name="_Toc178357463"/>
      <w:bookmarkStart w:id="1412" w:name="_Toc178359262"/>
      <w:bookmarkStart w:id="1413" w:name="_Toc178371458"/>
      <w:bookmarkStart w:id="1414" w:name="_Toc184747035"/>
      <w:bookmarkStart w:id="1415" w:name="_Toc185948777"/>
      <w:bookmarkStart w:id="1416" w:name="_Toc186884361"/>
      <w:bookmarkStart w:id="1417" w:name="_Toc187428103"/>
      <w:bookmarkStart w:id="1418" w:name="_Toc188450479"/>
      <w:bookmarkStart w:id="1419" w:name="_Toc188619371"/>
      <w:bookmarkStart w:id="1420" w:name="_Toc148102430"/>
      <w:bookmarkStart w:id="1421" w:name="_Toc152605914"/>
      <w:bookmarkStart w:id="1422" w:name="_Toc177119084"/>
      <w:bookmarkStart w:id="1423" w:name="_Toc185952606"/>
      <w:bookmarkStart w:id="1424" w:name="_Toc192874772"/>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r>
        <w:rPr>
          <w:u w:color="000000"/>
        </w:rPr>
        <w:t>Selenium</w:t>
      </w:r>
      <w:bookmarkEnd w:id="1420"/>
      <w:bookmarkEnd w:id="1421"/>
      <w:bookmarkEnd w:id="1422"/>
      <w:bookmarkEnd w:id="1423"/>
      <w:bookmarkEnd w:id="1424"/>
    </w:p>
    <w:p w14:paraId="12B174FD" w14:textId="7CB036E2" w:rsidR="00C5516F" w:rsidRPr="00A21682" w:rsidRDefault="00C5516F" w:rsidP="001428D8">
      <w:pPr>
        <w:pStyle w:val="NormalNEW"/>
        <w:rPr>
          <w:u w:color="000000"/>
          <w:lang w:val="en-US"/>
        </w:rPr>
      </w:pPr>
      <w:r>
        <w:rPr>
          <w:u w:color="000000"/>
          <w:lang w:val="en-US"/>
        </w:rPr>
        <w:t>Selenium is an open-source suite of tools and libraries that is used for browser automation for MECM. It provides a single interface that lets you write test scripts in programming languages like Ruby, Java, NodeJS, PHP, Perl, Python, JavaScript, and C#, among others. Selenium is very extensible and can integrate with other tools and frameworks like TestNG, Junit, Cucumber, etc.</w:t>
      </w:r>
    </w:p>
    <w:p w14:paraId="3CE1D5B1" w14:textId="77777777" w:rsidR="00C5516F" w:rsidRPr="00A21682" w:rsidRDefault="00C5516F" w:rsidP="001428D8">
      <w:pPr>
        <w:pStyle w:val="NormalNEW"/>
        <w:rPr>
          <w:u w:color="000000"/>
          <w:lang w:val="en-US"/>
        </w:rPr>
      </w:pPr>
      <w:r>
        <w:rPr>
          <w:u w:color="000000"/>
          <w:lang w:val="en-US"/>
        </w:rPr>
        <w:t xml:space="preserve">Selenium IDE is a Chrome and Firefox plugin. The primary use of a Selenium IDE is to record user interactions such as clicks, selections etc. in the browser and plays them back as automated tests. </w:t>
      </w:r>
    </w:p>
    <w:p w14:paraId="434292F9" w14:textId="77777777" w:rsidR="00C5516F" w:rsidRPr="00A21682" w:rsidRDefault="00C5516F" w:rsidP="001428D8">
      <w:pPr>
        <w:pStyle w:val="NormalNEW"/>
        <w:rPr>
          <w:u w:color="000000"/>
          <w:lang w:val="en-US"/>
        </w:rPr>
      </w:pPr>
      <w:r>
        <w:rPr>
          <w:u w:color="000000"/>
          <w:lang w:val="en-US"/>
        </w:rPr>
        <w:t>It then generates the test script (of the automated tests) in programming languages like C#, Java, Python, and Ruby and Selenese (Selenium’s own scripting language).</w:t>
      </w:r>
    </w:p>
    <w:p w14:paraId="53960285" w14:textId="77777777" w:rsidR="00C5516F" w:rsidRPr="00A21682" w:rsidRDefault="00C5516F" w:rsidP="00C968EF">
      <w:pPr>
        <w:pStyle w:val="NormalNEW"/>
        <w:keepNext/>
        <w:rPr>
          <w:u w:color="000000"/>
          <w:lang w:val="en-US"/>
        </w:rPr>
      </w:pPr>
      <w:r>
        <w:rPr>
          <w:u w:color="000000"/>
          <w:lang w:val="en-US"/>
        </w:rPr>
        <w:t>Selenium IDE helps in:</w:t>
      </w:r>
    </w:p>
    <w:p w14:paraId="3CEB8574" w14:textId="77777777" w:rsidR="00C5516F" w:rsidRPr="00A21682" w:rsidRDefault="00C5516F" w:rsidP="0031550A">
      <w:pPr>
        <w:pStyle w:val="BulletNEW"/>
        <w:rPr>
          <w:u w:color="000000"/>
        </w:rPr>
      </w:pPr>
      <w:r>
        <w:rPr>
          <w:u w:color="000000"/>
        </w:rPr>
        <w:t>Creating automated test scripts for MECM and validating them at speed</w:t>
      </w:r>
    </w:p>
    <w:p w14:paraId="326B8484" w14:textId="77777777" w:rsidR="00C5516F" w:rsidRPr="00A21682" w:rsidRDefault="00C5516F" w:rsidP="0031550A">
      <w:pPr>
        <w:pStyle w:val="BulletNEW"/>
        <w:rPr>
          <w:u w:color="000000"/>
        </w:rPr>
      </w:pPr>
      <w:r>
        <w:rPr>
          <w:u w:color="000000"/>
        </w:rPr>
        <w:t>Identifying and highlighting errors during the replay of interactions</w:t>
      </w:r>
    </w:p>
    <w:p w14:paraId="61C77978" w14:textId="77777777" w:rsidR="00C5516F" w:rsidRPr="00A21682" w:rsidRDefault="00C5516F" w:rsidP="0031550A">
      <w:pPr>
        <w:pStyle w:val="BulletNEW"/>
        <w:rPr>
          <w:u w:color="000000"/>
        </w:rPr>
      </w:pPr>
      <w:r>
        <w:rPr>
          <w:u w:color="000000"/>
        </w:rPr>
        <w:t>Cross Browser Testing</w:t>
      </w:r>
    </w:p>
    <w:p w14:paraId="3C8BCF4E" w14:textId="77777777" w:rsidR="00C5516F" w:rsidRPr="00A21682" w:rsidRDefault="00C5516F" w:rsidP="001428D8">
      <w:pPr>
        <w:pStyle w:val="NormalNEW"/>
        <w:rPr>
          <w:u w:color="000000"/>
          <w:lang w:val="en-US" w:eastAsia="ko-KR"/>
        </w:rPr>
      </w:pPr>
      <w:r>
        <w:rPr>
          <w:u w:color="000000"/>
          <w:lang w:val="en-US" w:eastAsia="ko-KR"/>
        </w:rPr>
        <w:t xml:space="preserve">MECM uses WebDriver APIs for running the automation scripts. WebDriver uses browser automation APIs provided by browser vendors to control the browser and run tests. This is as if a real user is operating the browser. Since WebDriver does not require its API to be compiled with application code; It is not intrusive. Hence, you are testing the same application which deploys to an environment. </w:t>
      </w:r>
    </w:p>
    <w:p w14:paraId="5A9CAD97" w14:textId="77777777" w:rsidR="00C5516F" w:rsidRPr="00A21682" w:rsidRDefault="00C5516F">
      <w:pPr>
        <w:pStyle w:val="Heading3"/>
        <w:rPr>
          <w:u w:color="000000"/>
        </w:rPr>
      </w:pPr>
      <w:bookmarkStart w:id="1425" w:name="_Toc149051905"/>
      <w:bookmarkStart w:id="1426" w:name="_Toc152605726"/>
      <w:bookmarkStart w:id="1427" w:name="_Toc152605915"/>
      <w:bookmarkStart w:id="1428" w:name="_Toc148102432"/>
      <w:bookmarkStart w:id="1429" w:name="_Toc149051906"/>
      <w:bookmarkStart w:id="1430" w:name="_Toc152605727"/>
      <w:bookmarkStart w:id="1431" w:name="_Toc152605916"/>
      <w:bookmarkStart w:id="1432" w:name="_Toc149051907"/>
      <w:bookmarkStart w:id="1433" w:name="_Toc152605728"/>
      <w:bookmarkStart w:id="1434" w:name="_Toc152605917"/>
      <w:bookmarkStart w:id="1435" w:name="_Toc149051908"/>
      <w:bookmarkStart w:id="1436" w:name="_Toc152605729"/>
      <w:bookmarkStart w:id="1437" w:name="_Toc152605918"/>
      <w:bookmarkStart w:id="1438" w:name="_Toc149051909"/>
      <w:bookmarkStart w:id="1439" w:name="_Toc152605730"/>
      <w:bookmarkStart w:id="1440" w:name="_Toc152605919"/>
      <w:bookmarkStart w:id="1441" w:name="_Toc149051911"/>
      <w:bookmarkStart w:id="1442" w:name="_Toc152605732"/>
      <w:bookmarkStart w:id="1443" w:name="_Toc152605921"/>
      <w:bookmarkStart w:id="1444" w:name="_Toc149051912"/>
      <w:bookmarkStart w:id="1445" w:name="_Toc152605733"/>
      <w:bookmarkStart w:id="1446" w:name="_Toc152605922"/>
      <w:bookmarkStart w:id="1447" w:name="_Toc149051913"/>
      <w:bookmarkStart w:id="1448" w:name="_Toc152605734"/>
      <w:bookmarkStart w:id="1449" w:name="_Toc152605923"/>
      <w:bookmarkStart w:id="1450" w:name="_Toc149051914"/>
      <w:bookmarkStart w:id="1451" w:name="_Toc152605735"/>
      <w:bookmarkStart w:id="1452" w:name="_Toc152605924"/>
      <w:bookmarkStart w:id="1453" w:name="_Toc149051915"/>
      <w:bookmarkStart w:id="1454" w:name="_Toc152605736"/>
      <w:bookmarkStart w:id="1455" w:name="_Toc152605925"/>
      <w:bookmarkStart w:id="1456" w:name="_Toc152605927"/>
      <w:bookmarkStart w:id="1457" w:name="_Toc177119085"/>
      <w:bookmarkStart w:id="1458" w:name="_Toc185952607"/>
      <w:bookmarkStart w:id="1459" w:name="_Toc192874773"/>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r>
        <w:rPr>
          <w:u w:color="000000"/>
        </w:rPr>
        <w:t>ALM Tool Roles and Permissions</w:t>
      </w:r>
      <w:bookmarkEnd w:id="1456"/>
      <w:bookmarkEnd w:id="1457"/>
      <w:bookmarkEnd w:id="1458"/>
      <w:bookmarkEnd w:id="1459"/>
    </w:p>
    <w:tbl>
      <w:tblPr>
        <w:tblStyle w:val="GridTable5Dark-Accent1311"/>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58" w:type="dxa"/>
          <w:right w:w="58" w:type="dxa"/>
        </w:tblCellMar>
        <w:tblLook w:val="06A0" w:firstRow="1" w:lastRow="0" w:firstColumn="1" w:lastColumn="0" w:noHBand="1" w:noVBand="1"/>
      </w:tblPr>
      <w:tblGrid>
        <w:gridCol w:w="1834"/>
        <w:gridCol w:w="4004"/>
        <w:gridCol w:w="3607"/>
      </w:tblGrid>
      <w:tr w:rsidR="00EF25EC" w:rsidRPr="00A21682" w14:paraId="3BD8DEB0" w14:textId="77777777" w:rsidTr="00B66A4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000000" w:themeFill="text1"/>
          </w:tcPr>
          <w:p w14:paraId="47BC53EB" w14:textId="77777777" w:rsidR="00C5516F" w:rsidRPr="00A21682" w:rsidRDefault="00C5516F" w:rsidP="000E403E">
            <w:pPr>
              <w:pStyle w:val="TABLEHEADINGNEW"/>
              <w:rPr>
                <w:b/>
                <w:szCs w:val="22"/>
              </w:rPr>
            </w:pPr>
            <w:r>
              <w:rPr>
                <w:b/>
                <w:szCs w:val="22"/>
              </w:rPr>
              <w:t>Tool Role</w:t>
            </w:r>
          </w:p>
        </w:tc>
        <w:tc>
          <w:tcPr>
            <w:tcW w:w="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000000" w:themeFill="text1"/>
          </w:tcPr>
          <w:p w14:paraId="1EEC44F3" w14:textId="77777777" w:rsidR="00C5516F" w:rsidRPr="00A21682" w:rsidRDefault="00C5516F" w:rsidP="000E403E">
            <w:pPr>
              <w:pStyle w:val="TABLEHEADINGNEW"/>
              <w:cnfStyle w:val="100000000000" w:firstRow="1" w:lastRow="0" w:firstColumn="0" w:lastColumn="0" w:oddVBand="0" w:evenVBand="0" w:oddHBand="0" w:evenHBand="0" w:firstRowFirstColumn="0" w:firstRowLastColumn="0" w:lastRowFirstColumn="0" w:lastRowLastColumn="0"/>
              <w:rPr>
                <w:b/>
                <w:szCs w:val="22"/>
              </w:rPr>
            </w:pPr>
            <w:r>
              <w:rPr>
                <w:b/>
                <w:szCs w:val="22"/>
              </w:rPr>
              <w:t>RACI Role</w:t>
            </w:r>
          </w:p>
        </w:tc>
        <w:tc>
          <w:tcPr>
            <w:tcW w:w="0"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000000" w:themeFill="text1"/>
          </w:tcPr>
          <w:p w14:paraId="691DEB4D" w14:textId="77777777" w:rsidR="00C5516F" w:rsidRPr="00A21682" w:rsidRDefault="00C5516F" w:rsidP="000E403E">
            <w:pPr>
              <w:pStyle w:val="TABLEHEADINGNEW"/>
              <w:cnfStyle w:val="100000000000" w:firstRow="1" w:lastRow="0" w:firstColumn="0" w:lastColumn="0" w:oddVBand="0" w:evenVBand="0" w:oddHBand="0" w:evenHBand="0" w:firstRowFirstColumn="0" w:firstRowLastColumn="0" w:lastRowFirstColumn="0" w:lastRowLastColumn="0"/>
              <w:rPr>
                <w:b/>
                <w:szCs w:val="22"/>
              </w:rPr>
            </w:pPr>
            <w:r>
              <w:rPr>
                <w:b/>
                <w:szCs w:val="22"/>
              </w:rPr>
              <w:t>Key Permissions in Selenium</w:t>
            </w:r>
          </w:p>
        </w:tc>
      </w:tr>
      <w:tr w:rsidR="003332CA" w:rsidRPr="00A21682" w14:paraId="75F0C04F" w14:textId="77777777" w:rsidTr="00B66A42">
        <w:trPr>
          <w:cantSplit/>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E7E6E6" w:themeColor="background2"/>
              <w:left w:val="single" w:sz="4" w:space="0" w:color="auto"/>
              <w:bottom w:val="single" w:sz="4" w:space="0" w:color="auto"/>
              <w:right w:val="single" w:sz="4" w:space="0" w:color="auto"/>
            </w:tcBorders>
            <w:shd w:val="clear" w:color="auto" w:fill="FFFFFF" w:themeFill="background1"/>
            <w:vAlign w:val="center"/>
          </w:tcPr>
          <w:p w14:paraId="09E3C721" w14:textId="77777777" w:rsidR="00C5516F" w:rsidRPr="00A21682" w:rsidRDefault="00C5516F" w:rsidP="000E403E">
            <w:pPr>
              <w:pStyle w:val="TABLETEXT1"/>
              <w:rPr>
                <w:b w:val="0"/>
                <w:bCs w:val="0"/>
                <w:color w:val="000000" w:themeColor="text1"/>
                <w:lang w:val="en-US"/>
              </w:rPr>
            </w:pPr>
            <w:r>
              <w:rPr>
                <w:b w:val="0"/>
                <w:bCs w:val="0"/>
                <w:color w:val="000000" w:themeColor="text1"/>
                <w:lang w:val="en-US"/>
              </w:rPr>
              <w:t>Tester</w:t>
            </w:r>
          </w:p>
        </w:tc>
        <w:tc>
          <w:tcPr>
            <w:tcW w:w="0" w:type="dxa"/>
            <w:tcBorders>
              <w:top w:val="single" w:sz="4" w:space="0" w:color="E7E6E6" w:themeColor="background2"/>
              <w:left w:val="single" w:sz="4" w:space="0" w:color="auto"/>
              <w:bottom w:val="single" w:sz="4" w:space="0" w:color="auto"/>
              <w:right w:val="single" w:sz="4" w:space="0" w:color="auto"/>
            </w:tcBorders>
            <w:shd w:val="clear" w:color="auto" w:fill="FFFFFF" w:themeFill="background1"/>
          </w:tcPr>
          <w:p w14:paraId="025AF184" w14:textId="77777777" w:rsidR="00C5516F" w:rsidRPr="00635C9B" w:rsidRDefault="00C5516F" w:rsidP="00007FCB">
            <w:pPr>
              <w:pStyle w:val="TABLEBULLETNEW"/>
              <w:cnfStyle w:val="000000000000" w:firstRow="0" w:lastRow="0" w:firstColumn="0" w:lastColumn="0" w:oddVBand="0" w:evenVBand="0" w:oddHBand="0" w:evenHBand="0" w:firstRowFirstColumn="0" w:firstRowLastColumn="0" w:lastRowFirstColumn="0" w:lastRowLastColumn="0"/>
            </w:pPr>
            <w:r>
              <w:t>Automation Test Lead</w:t>
            </w:r>
          </w:p>
          <w:p w14:paraId="75F01517" w14:textId="77777777" w:rsidR="00C5516F" w:rsidRPr="00635C9B" w:rsidRDefault="00C5516F" w:rsidP="00007FCB">
            <w:pPr>
              <w:pStyle w:val="TABLEBULLETNEW"/>
              <w:cnfStyle w:val="000000000000" w:firstRow="0" w:lastRow="0" w:firstColumn="0" w:lastColumn="0" w:oddVBand="0" w:evenVBand="0" w:oddHBand="0" w:evenHBand="0" w:firstRowFirstColumn="0" w:firstRowLastColumn="0" w:lastRowFirstColumn="0" w:lastRowLastColumn="0"/>
            </w:pPr>
            <w:r>
              <w:t>Automation Tester</w:t>
            </w:r>
          </w:p>
        </w:tc>
        <w:tc>
          <w:tcPr>
            <w:tcW w:w="0" w:type="dxa"/>
            <w:tcBorders>
              <w:top w:val="single" w:sz="4" w:space="0" w:color="E7E6E6" w:themeColor="background2"/>
              <w:left w:val="single" w:sz="4" w:space="0" w:color="auto"/>
            </w:tcBorders>
            <w:shd w:val="clear" w:color="auto" w:fill="FFFFFF" w:themeFill="background1"/>
            <w:vAlign w:val="center"/>
          </w:tcPr>
          <w:p w14:paraId="1665FFC8" w14:textId="77777777" w:rsidR="00C5516F" w:rsidRPr="00635C9B" w:rsidRDefault="00C5516F" w:rsidP="00007FCB">
            <w:pPr>
              <w:pStyle w:val="TABLEBULLETNEW"/>
              <w:cnfStyle w:val="000000000000" w:firstRow="0" w:lastRow="0" w:firstColumn="0" w:lastColumn="0" w:oddVBand="0" w:evenVBand="0" w:oddHBand="0" w:evenHBand="0" w:firstRowFirstColumn="0" w:firstRowLastColumn="0" w:lastRowFirstColumn="0" w:lastRowLastColumn="0"/>
            </w:pPr>
            <w:r>
              <w:t>Create, edit, delete scripts</w:t>
            </w:r>
          </w:p>
          <w:p w14:paraId="62125FC4" w14:textId="77777777" w:rsidR="00C5516F" w:rsidRPr="00635C9B" w:rsidRDefault="00C5516F" w:rsidP="00007FCB">
            <w:pPr>
              <w:pStyle w:val="TABLEBULLETNEW"/>
              <w:cnfStyle w:val="000000000000" w:firstRow="0" w:lastRow="0" w:firstColumn="0" w:lastColumn="0" w:oddVBand="0" w:evenVBand="0" w:oddHBand="0" w:evenHBand="0" w:firstRowFirstColumn="0" w:firstRowLastColumn="0" w:lastRowFirstColumn="0" w:lastRowLastColumn="0"/>
            </w:pPr>
            <w:r>
              <w:t>Execute scripts</w:t>
            </w:r>
          </w:p>
        </w:tc>
      </w:tr>
    </w:tbl>
    <w:p w14:paraId="300E9C4C" w14:textId="4C744AE8" w:rsidR="00C5516F" w:rsidRPr="00A21682" w:rsidRDefault="00C5516F" w:rsidP="00CC44DD">
      <w:pPr>
        <w:pStyle w:val="Caption"/>
        <w:rPr>
          <w:noProof w:val="0"/>
        </w:rPr>
      </w:pPr>
      <w:bookmarkStart w:id="1460" w:name="_Toc150951931"/>
      <w:bookmarkStart w:id="1461" w:name="_Toc192875146"/>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61</w:t>
      </w:r>
      <w:r>
        <w:rPr>
          <w:noProof w:val="0"/>
        </w:rPr>
        <w:fldChar w:fldCharType="end"/>
      </w:r>
      <w:r>
        <w:rPr>
          <w:noProof w:val="0"/>
        </w:rPr>
        <w:t>: Selenium Roles and Responsibilities</w:t>
      </w:r>
      <w:bookmarkEnd w:id="1460"/>
      <w:bookmarkEnd w:id="1461"/>
    </w:p>
    <w:p w14:paraId="2D17D55D" w14:textId="42F0FB05" w:rsidR="00C5516F" w:rsidRPr="00A21682" w:rsidRDefault="00C5516F">
      <w:pPr>
        <w:pStyle w:val="Heading3"/>
        <w:rPr>
          <w:u w:color="000000"/>
        </w:rPr>
      </w:pPr>
      <w:bookmarkStart w:id="1462" w:name="_Toc148102433"/>
      <w:bookmarkStart w:id="1463" w:name="_Toc152605928"/>
      <w:bookmarkStart w:id="1464" w:name="_Toc177119086"/>
      <w:bookmarkStart w:id="1465" w:name="_Toc185952608"/>
      <w:bookmarkStart w:id="1466" w:name="_Toc192874774"/>
      <w:r>
        <w:rPr>
          <w:u w:color="000000"/>
        </w:rPr>
        <w:t>ALM Tool Workflows</w:t>
      </w:r>
      <w:bookmarkEnd w:id="1462"/>
      <w:bookmarkEnd w:id="1463"/>
      <w:bookmarkEnd w:id="1464"/>
      <w:bookmarkEnd w:id="1465"/>
      <w:bookmarkEnd w:id="1466"/>
    </w:p>
    <w:p w14:paraId="58FD8A2D" w14:textId="12D6B70D" w:rsidR="00C5516F" w:rsidRPr="00A21682" w:rsidRDefault="00C5516F" w:rsidP="001428D8">
      <w:pPr>
        <w:pStyle w:val="NormalNEW"/>
        <w:rPr>
          <w:u w:color="000000"/>
          <w:lang w:val="en-US"/>
        </w:rPr>
      </w:pPr>
      <w:r>
        <w:rPr>
          <w:u w:color="000000"/>
          <w:lang w:val="en-US"/>
        </w:rPr>
        <w:t>Workflow(s) does not apply. High-level process steps are as follows. Additional detail can be found in the Test Management Plan (DEL-09)</w:t>
      </w:r>
    </w:p>
    <w:p w14:paraId="5D98D667" w14:textId="0F8084F9" w:rsidR="00C5516F" w:rsidRPr="00A21682" w:rsidRDefault="0097786F" w:rsidP="000E403E">
      <w:pPr>
        <w:pStyle w:val="NormalNEW"/>
        <w:rPr>
          <w:lang w:val="en-US"/>
        </w:rPr>
      </w:pPr>
      <w:r>
        <w:rPr>
          <w:lang w:val="en-US"/>
        </w:rPr>
        <w:object w:dxaOrig="24150" w:dyaOrig="6910" w14:anchorId="0D2271FE">
          <v:shape id="_x0000_i1038" type="#_x0000_t75" style="width:468.6pt;height:134.4pt" o:ole="">
            <v:imagedata r:id="rId46" o:title=""/>
          </v:shape>
          <o:OLEObject Type="Embed" ProgID="Visio.Drawing.15" ShapeID="_x0000_i1038" DrawAspect="Content" ObjectID="_1849677348" r:id="rId47"/>
        </w:object>
      </w:r>
    </w:p>
    <w:p w14:paraId="4B6609A8" w14:textId="5F09EC1A" w:rsidR="00C5516F" w:rsidRPr="00A21682" w:rsidRDefault="00C5516F" w:rsidP="00CC44DD">
      <w:pPr>
        <w:pStyle w:val="Caption"/>
        <w:rPr>
          <w:rFonts w:cs="Arial"/>
          <w:noProof w:val="0"/>
        </w:rPr>
      </w:pPr>
      <w:bookmarkStart w:id="1467" w:name="_Toc150948957"/>
      <w:bookmarkStart w:id="1468" w:name="_Toc178152044"/>
      <w:bookmarkStart w:id="1469" w:name="_Toc192875057"/>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20</w:t>
      </w:r>
      <w:r>
        <w:rPr>
          <w:noProof w:val="0"/>
        </w:rPr>
        <w:fldChar w:fldCharType="end"/>
      </w:r>
      <w:r>
        <w:rPr>
          <w:noProof w:val="0"/>
        </w:rPr>
        <w:t>: Selenium High-Level Process</w:t>
      </w:r>
      <w:bookmarkEnd w:id="1467"/>
      <w:bookmarkEnd w:id="1468"/>
      <w:bookmarkEnd w:id="1469"/>
    </w:p>
    <w:p w14:paraId="59573632" w14:textId="77777777" w:rsidR="00C5516F" w:rsidRPr="00A21682" w:rsidRDefault="00C5516F" w:rsidP="001428D8">
      <w:pPr>
        <w:pStyle w:val="NormalNEW"/>
        <w:rPr>
          <w:u w:color="000000"/>
          <w:lang w:val="en-US"/>
        </w:rPr>
      </w:pPr>
      <w:r>
        <w:rPr>
          <w:u w:color="000000"/>
          <w:lang w:val="en-US"/>
        </w:rPr>
        <w:t>The following table describes the high-level step process steps in detail.</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4"/>
        <w:gridCol w:w="1988"/>
        <w:gridCol w:w="4206"/>
        <w:gridCol w:w="2544"/>
      </w:tblGrid>
      <w:tr w:rsidR="00C5516F" w:rsidRPr="00A21682" w14:paraId="3D54BAE6" w14:textId="77777777" w:rsidTr="00C968EF">
        <w:trPr>
          <w:trHeight w:val="300"/>
          <w:tblHeader/>
        </w:trPr>
        <w:tc>
          <w:tcPr>
            <w:tcW w:w="614" w:type="dxa"/>
            <w:tcBorders>
              <w:right w:val="single" w:sz="2" w:space="0" w:color="FFFFFF" w:themeColor="background1"/>
            </w:tcBorders>
            <w:shd w:val="clear" w:color="auto" w:fill="000000"/>
            <w:hideMark/>
          </w:tcPr>
          <w:p w14:paraId="48E6B563" w14:textId="77777777" w:rsidR="00C5516F" w:rsidRPr="00A21682" w:rsidRDefault="00C5516F" w:rsidP="00047C4E">
            <w:pPr>
              <w:pStyle w:val="TABLEHEADINGNEW"/>
            </w:pPr>
            <w:r>
              <w:t>#</w:t>
            </w:r>
          </w:p>
        </w:tc>
        <w:tc>
          <w:tcPr>
            <w:tcW w:w="1988" w:type="dxa"/>
            <w:tcBorders>
              <w:left w:val="single" w:sz="2" w:space="0" w:color="FFFFFF" w:themeColor="background1"/>
              <w:right w:val="single" w:sz="2" w:space="0" w:color="FFFFFF" w:themeColor="background1"/>
            </w:tcBorders>
            <w:shd w:val="clear" w:color="auto" w:fill="000000"/>
            <w:hideMark/>
          </w:tcPr>
          <w:p w14:paraId="55C9821D" w14:textId="77777777" w:rsidR="00C5516F" w:rsidRPr="00A21682" w:rsidRDefault="00C5516F" w:rsidP="00047C4E">
            <w:pPr>
              <w:pStyle w:val="TABLEHEADINGNEW"/>
            </w:pPr>
            <w:r>
              <w:t>High-Level Process</w:t>
            </w:r>
          </w:p>
        </w:tc>
        <w:tc>
          <w:tcPr>
            <w:tcW w:w="4206" w:type="dxa"/>
            <w:tcBorders>
              <w:left w:val="single" w:sz="2" w:space="0" w:color="FFFFFF" w:themeColor="background1"/>
              <w:right w:val="single" w:sz="2" w:space="0" w:color="FFFFFF" w:themeColor="background1"/>
            </w:tcBorders>
            <w:shd w:val="clear" w:color="auto" w:fill="000000"/>
            <w:hideMark/>
          </w:tcPr>
          <w:p w14:paraId="2E9179A3" w14:textId="77777777" w:rsidR="00C5516F" w:rsidRPr="00A21682" w:rsidRDefault="00C5516F" w:rsidP="00047C4E">
            <w:pPr>
              <w:pStyle w:val="TABLEHEADINGNEW"/>
            </w:pPr>
            <w:r>
              <w:t>Description</w:t>
            </w:r>
          </w:p>
        </w:tc>
        <w:tc>
          <w:tcPr>
            <w:tcW w:w="2544" w:type="dxa"/>
            <w:tcBorders>
              <w:left w:val="single" w:sz="2" w:space="0" w:color="FFFFFF" w:themeColor="background1"/>
            </w:tcBorders>
            <w:shd w:val="clear" w:color="auto" w:fill="000000"/>
          </w:tcPr>
          <w:p w14:paraId="1DF439A9" w14:textId="77777777" w:rsidR="00C5516F" w:rsidRPr="00A21682" w:rsidRDefault="00C5516F" w:rsidP="00047C4E">
            <w:pPr>
              <w:pStyle w:val="TABLEHEADINGNEW"/>
            </w:pPr>
            <w:r>
              <w:t>Step Owner</w:t>
            </w:r>
          </w:p>
        </w:tc>
      </w:tr>
      <w:tr w:rsidR="00C5516F" w:rsidRPr="00A21682" w14:paraId="0229208B" w14:textId="77777777" w:rsidTr="00047C4E">
        <w:trPr>
          <w:trHeight w:val="300"/>
        </w:trPr>
        <w:tc>
          <w:tcPr>
            <w:tcW w:w="614" w:type="dxa"/>
          </w:tcPr>
          <w:p w14:paraId="7692CD5D" w14:textId="77777777" w:rsidR="00C5516F" w:rsidRPr="00A21682" w:rsidRDefault="00C5516F" w:rsidP="00047C4E">
            <w:pPr>
              <w:pStyle w:val="TABLETEXT1"/>
              <w:rPr>
                <w:lang w:val="en-US"/>
              </w:rPr>
            </w:pPr>
            <w:r>
              <w:rPr>
                <w:lang w:val="en-US"/>
              </w:rPr>
              <w:t>1</w:t>
            </w:r>
          </w:p>
        </w:tc>
        <w:tc>
          <w:tcPr>
            <w:tcW w:w="1988" w:type="dxa"/>
          </w:tcPr>
          <w:p w14:paraId="78DD5162" w14:textId="77777777" w:rsidR="00C5516F" w:rsidRPr="00A21682" w:rsidRDefault="00C5516F" w:rsidP="00047C4E">
            <w:pPr>
              <w:pStyle w:val="TABLETEXT1"/>
              <w:rPr>
                <w:lang w:val="en-US"/>
              </w:rPr>
            </w:pPr>
            <w:r>
              <w:rPr>
                <w:lang w:val="en-US"/>
              </w:rPr>
              <w:t>Manual Execution</w:t>
            </w:r>
          </w:p>
        </w:tc>
        <w:tc>
          <w:tcPr>
            <w:tcW w:w="4206" w:type="dxa"/>
          </w:tcPr>
          <w:p w14:paraId="5D880C51" w14:textId="77777777" w:rsidR="00C5516F" w:rsidRPr="00A21682" w:rsidRDefault="00C5516F" w:rsidP="00462CC1">
            <w:pPr>
              <w:spacing w:before="60" w:after="60"/>
              <w:rPr>
                <w:rFonts w:ascii="Verdana" w:hAnsi="Verdana"/>
                <w:color w:val="000000"/>
                <w:sz w:val="18"/>
                <w:szCs w:val="18"/>
              </w:rPr>
            </w:pPr>
            <w:r>
              <w:rPr>
                <w:rFonts w:ascii="Verdana" w:hAnsi="Verdana"/>
                <w:color w:val="000000"/>
                <w:sz w:val="18"/>
                <w:szCs w:val="18"/>
              </w:rPr>
              <w:t>Tester performs manual testing to understand the functionality of the system</w:t>
            </w:r>
          </w:p>
        </w:tc>
        <w:tc>
          <w:tcPr>
            <w:tcW w:w="2544" w:type="dxa"/>
          </w:tcPr>
          <w:p w14:paraId="474D7909" w14:textId="77777777" w:rsidR="00C5516F" w:rsidRPr="00635C9B" w:rsidRDefault="00C5516F" w:rsidP="00007FCB">
            <w:pPr>
              <w:pStyle w:val="TABLEBULLETNEW"/>
            </w:pPr>
            <w:r>
              <w:t>Automation Tester</w:t>
            </w:r>
          </w:p>
        </w:tc>
      </w:tr>
      <w:tr w:rsidR="00C5516F" w:rsidRPr="00A21682" w14:paraId="1251A7B4" w14:textId="77777777" w:rsidTr="00047C4E">
        <w:trPr>
          <w:trHeight w:val="300"/>
        </w:trPr>
        <w:tc>
          <w:tcPr>
            <w:tcW w:w="614" w:type="dxa"/>
          </w:tcPr>
          <w:p w14:paraId="7ED238E7" w14:textId="77777777" w:rsidR="00C5516F" w:rsidRPr="00A21682" w:rsidRDefault="00C5516F" w:rsidP="00047C4E">
            <w:pPr>
              <w:pStyle w:val="TABLETEXT1"/>
              <w:rPr>
                <w:lang w:val="en-US"/>
              </w:rPr>
            </w:pPr>
            <w:r>
              <w:rPr>
                <w:lang w:val="en-US"/>
              </w:rPr>
              <w:t>2</w:t>
            </w:r>
          </w:p>
        </w:tc>
        <w:tc>
          <w:tcPr>
            <w:tcW w:w="1988" w:type="dxa"/>
          </w:tcPr>
          <w:p w14:paraId="61DDEFE7" w14:textId="77777777" w:rsidR="00C5516F" w:rsidRPr="00A21682" w:rsidRDefault="00C5516F" w:rsidP="00047C4E">
            <w:pPr>
              <w:pStyle w:val="TABLETEXT1"/>
              <w:rPr>
                <w:lang w:val="en-US"/>
              </w:rPr>
            </w:pPr>
            <w:r>
              <w:rPr>
                <w:lang w:val="en-US"/>
              </w:rPr>
              <w:t>Script Creation</w:t>
            </w:r>
          </w:p>
        </w:tc>
        <w:tc>
          <w:tcPr>
            <w:tcW w:w="4206" w:type="dxa"/>
          </w:tcPr>
          <w:p w14:paraId="1A4956C0" w14:textId="31BCF72D" w:rsidR="00C5516F" w:rsidRPr="00A21682" w:rsidRDefault="00C5516F" w:rsidP="00462CC1">
            <w:pPr>
              <w:spacing w:before="60" w:after="60"/>
              <w:rPr>
                <w:rFonts w:ascii="Verdana" w:hAnsi="Verdana"/>
                <w:color w:val="000000"/>
                <w:sz w:val="18"/>
                <w:szCs w:val="18"/>
              </w:rPr>
            </w:pPr>
            <w:r>
              <w:rPr>
                <w:rFonts w:ascii="Verdana" w:hAnsi="Verdana"/>
                <w:color w:val="000000"/>
                <w:sz w:val="18"/>
                <w:szCs w:val="18"/>
              </w:rPr>
              <w:t>Automation script is created by the Tester</w:t>
            </w:r>
          </w:p>
        </w:tc>
        <w:tc>
          <w:tcPr>
            <w:tcW w:w="2544" w:type="dxa"/>
          </w:tcPr>
          <w:p w14:paraId="0A91B176" w14:textId="77777777" w:rsidR="00C5516F" w:rsidRPr="00635C9B" w:rsidRDefault="00C5516F" w:rsidP="00007FCB">
            <w:pPr>
              <w:pStyle w:val="TABLEBULLETNEW"/>
            </w:pPr>
            <w:r>
              <w:t>Automation Tester</w:t>
            </w:r>
          </w:p>
        </w:tc>
      </w:tr>
      <w:tr w:rsidR="00C5516F" w:rsidRPr="00A21682" w14:paraId="7CD14103" w14:textId="77777777" w:rsidTr="00047C4E">
        <w:trPr>
          <w:trHeight w:val="300"/>
        </w:trPr>
        <w:tc>
          <w:tcPr>
            <w:tcW w:w="614" w:type="dxa"/>
          </w:tcPr>
          <w:p w14:paraId="619B61D5" w14:textId="77777777" w:rsidR="00C5516F" w:rsidRPr="00A21682" w:rsidRDefault="00C5516F" w:rsidP="00047C4E">
            <w:pPr>
              <w:pStyle w:val="TABLETEXT1"/>
              <w:rPr>
                <w:lang w:val="en-US"/>
              </w:rPr>
            </w:pPr>
            <w:r>
              <w:rPr>
                <w:lang w:val="en-US"/>
              </w:rPr>
              <w:t>3</w:t>
            </w:r>
          </w:p>
        </w:tc>
        <w:tc>
          <w:tcPr>
            <w:tcW w:w="1988" w:type="dxa"/>
          </w:tcPr>
          <w:p w14:paraId="2105001F" w14:textId="77777777" w:rsidR="00C5516F" w:rsidRPr="00A21682" w:rsidRDefault="00C5516F" w:rsidP="00047C4E">
            <w:pPr>
              <w:pStyle w:val="TABLETEXT1"/>
              <w:rPr>
                <w:lang w:val="en-US"/>
              </w:rPr>
            </w:pPr>
            <w:r>
              <w:rPr>
                <w:lang w:val="en-US"/>
              </w:rPr>
              <w:t>Dry Run</w:t>
            </w:r>
          </w:p>
        </w:tc>
        <w:tc>
          <w:tcPr>
            <w:tcW w:w="4206" w:type="dxa"/>
          </w:tcPr>
          <w:p w14:paraId="57E273A3" w14:textId="77777777" w:rsidR="00C5516F" w:rsidRPr="00A21682" w:rsidRDefault="00C5516F" w:rsidP="00462CC1">
            <w:pPr>
              <w:spacing w:before="60" w:after="60"/>
              <w:rPr>
                <w:rFonts w:ascii="Verdana" w:hAnsi="Verdana"/>
                <w:color w:val="000000"/>
                <w:sz w:val="18"/>
                <w:szCs w:val="18"/>
              </w:rPr>
            </w:pPr>
            <w:r>
              <w:rPr>
                <w:rFonts w:ascii="Verdana" w:hAnsi="Verdana"/>
                <w:color w:val="000000"/>
                <w:sz w:val="18"/>
                <w:szCs w:val="18"/>
              </w:rPr>
              <w:t>Tester performs Dry Run on the automated script</w:t>
            </w:r>
          </w:p>
        </w:tc>
        <w:tc>
          <w:tcPr>
            <w:tcW w:w="2544" w:type="dxa"/>
          </w:tcPr>
          <w:p w14:paraId="257B0DE8" w14:textId="77777777" w:rsidR="00C5516F" w:rsidRPr="00635C9B" w:rsidRDefault="00C5516F" w:rsidP="00007FCB">
            <w:pPr>
              <w:pStyle w:val="TABLEBULLETNEW"/>
            </w:pPr>
            <w:r>
              <w:t>Automation Tester</w:t>
            </w:r>
          </w:p>
        </w:tc>
      </w:tr>
      <w:tr w:rsidR="0044754F" w:rsidRPr="00A21682" w14:paraId="502EB32B" w14:textId="77777777" w:rsidTr="00047C4E">
        <w:trPr>
          <w:trHeight w:val="300"/>
        </w:trPr>
        <w:tc>
          <w:tcPr>
            <w:tcW w:w="614" w:type="dxa"/>
          </w:tcPr>
          <w:p w14:paraId="749ED625" w14:textId="027B93EB" w:rsidR="0044754F" w:rsidRPr="00A21682" w:rsidRDefault="0044754F" w:rsidP="0044754F">
            <w:pPr>
              <w:pStyle w:val="TABLETEXT1"/>
              <w:rPr>
                <w:lang w:val="en-US"/>
              </w:rPr>
            </w:pPr>
            <w:r>
              <w:rPr>
                <w:color w:val="000000"/>
                <w:szCs w:val="18"/>
                <w:lang w:val="en-US"/>
              </w:rPr>
              <w:t>3.1</w:t>
            </w:r>
          </w:p>
        </w:tc>
        <w:tc>
          <w:tcPr>
            <w:tcW w:w="1988" w:type="dxa"/>
          </w:tcPr>
          <w:p w14:paraId="0C8A45C0" w14:textId="59E65A8A" w:rsidR="0044754F" w:rsidRPr="00A21682" w:rsidRDefault="0044754F" w:rsidP="0044754F">
            <w:pPr>
              <w:pStyle w:val="TABLETEXT1"/>
              <w:rPr>
                <w:lang w:val="en-US"/>
              </w:rPr>
            </w:pPr>
            <w:r>
              <w:rPr>
                <w:color w:val="000000"/>
                <w:szCs w:val="18"/>
                <w:lang w:val="en-US"/>
              </w:rPr>
              <w:t>Dry Run Successful?</w:t>
            </w:r>
          </w:p>
        </w:tc>
        <w:tc>
          <w:tcPr>
            <w:tcW w:w="4206" w:type="dxa"/>
          </w:tcPr>
          <w:p w14:paraId="752C3480" w14:textId="2F285064" w:rsidR="0044754F" w:rsidRPr="00A21682" w:rsidRDefault="0044754F" w:rsidP="00462CC1">
            <w:pPr>
              <w:spacing w:before="60" w:after="60"/>
              <w:rPr>
                <w:rFonts w:ascii="Verdana" w:hAnsi="Verdana"/>
                <w:color w:val="000000"/>
                <w:sz w:val="18"/>
                <w:szCs w:val="18"/>
              </w:rPr>
            </w:pPr>
            <w:r>
              <w:rPr>
                <w:rFonts w:ascii="Verdana" w:hAnsi="Verdana"/>
                <w:color w:val="000000"/>
                <w:sz w:val="18"/>
                <w:szCs w:val="18"/>
              </w:rPr>
              <w:t xml:space="preserve">Automation tester decides if the dry run is successful. </w:t>
            </w:r>
          </w:p>
          <w:p w14:paraId="3BE71793" w14:textId="77777777" w:rsidR="0044754F" w:rsidRPr="00A21682" w:rsidRDefault="0044754F" w:rsidP="00007FCB">
            <w:pPr>
              <w:pStyle w:val="TABLEBULLETNEW"/>
            </w:pPr>
            <w:r>
              <w:t xml:space="preserve">If it is successful, proceed to </w:t>
            </w:r>
            <w:r>
              <w:rPr>
                <w:i/>
              </w:rPr>
              <w:t xml:space="preserve">Step #4 Script Deployment </w:t>
            </w:r>
          </w:p>
          <w:p w14:paraId="2FA2976A" w14:textId="7AA7E208" w:rsidR="0044754F" w:rsidRPr="00635C9B" w:rsidRDefault="0044754F" w:rsidP="00007FCB">
            <w:pPr>
              <w:pStyle w:val="TABLEBULLETNEW"/>
            </w:pPr>
            <w:r>
              <w:t xml:space="preserve">If it is not successful, proceed to </w:t>
            </w:r>
            <w:r>
              <w:rPr>
                <w:i/>
              </w:rPr>
              <w:t xml:space="preserve">Step #2 Script Creation </w:t>
            </w:r>
          </w:p>
        </w:tc>
        <w:tc>
          <w:tcPr>
            <w:tcW w:w="2544" w:type="dxa"/>
          </w:tcPr>
          <w:p w14:paraId="0B978DFC" w14:textId="6F3E0318" w:rsidR="0044754F" w:rsidRPr="00635C9B" w:rsidRDefault="0044754F" w:rsidP="00007FCB">
            <w:pPr>
              <w:pStyle w:val="TABLEBULLETNEW"/>
            </w:pPr>
            <w:r>
              <w:t>Automation Tester</w:t>
            </w:r>
          </w:p>
        </w:tc>
      </w:tr>
      <w:tr w:rsidR="00C5516F" w:rsidRPr="00A21682" w14:paraId="5620EFAC" w14:textId="77777777" w:rsidTr="00047C4E">
        <w:trPr>
          <w:trHeight w:val="300"/>
        </w:trPr>
        <w:tc>
          <w:tcPr>
            <w:tcW w:w="614" w:type="dxa"/>
          </w:tcPr>
          <w:p w14:paraId="02B81817" w14:textId="77777777" w:rsidR="00C5516F" w:rsidRPr="00A21682" w:rsidRDefault="00C5516F" w:rsidP="00047C4E">
            <w:pPr>
              <w:pStyle w:val="TABLETEXT1"/>
              <w:rPr>
                <w:lang w:val="en-US"/>
              </w:rPr>
            </w:pPr>
            <w:r>
              <w:rPr>
                <w:lang w:val="en-US"/>
              </w:rPr>
              <w:t>4</w:t>
            </w:r>
          </w:p>
        </w:tc>
        <w:tc>
          <w:tcPr>
            <w:tcW w:w="1988" w:type="dxa"/>
          </w:tcPr>
          <w:p w14:paraId="6B80D18A" w14:textId="77777777" w:rsidR="00C5516F" w:rsidRPr="00A21682" w:rsidRDefault="00C5516F" w:rsidP="00047C4E">
            <w:pPr>
              <w:pStyle w:val="TABLETEXT1"/>
              <w:rPr>
                <w:lang w:val="en-US"/>
              </w:rPr>
            </w:pPr>
            <w:r>
              <w:rPr>
                <w:lang w:val="en-US"/>
              </w:rPr>
              <w:t>Script Deployment</w:t>
            </w:r>
          </w:p>
        </w:tc>
        <w:tc>
          <w:tcPr>
            <w:tcW w:w="4206" w:type="dxa"/>
          </w:tcPr>
          <w:p w14:paraId="47F39B43" w14:textId="77777777" w:rsidR="00C5516F" w:rsidRPr="00A21682" w:rsidRDefault="00C5516F" w:rsidP="00462CC1">
            <w:pPr>
              <w:spacing w:before="60" w:after="60"/>
              <w:rPr>
                <w:rFonts w:ascii="Verdana" w:hAnsi="Verdana"/>
                <w:color w:val="000000"/>
                <w:sz w:val="18"/>
                <w:szCs w:val="18"/>
              </w:rPr>
            </w:pPr>
            <w:r>
              <w:rPr>
                <w:rFonts w:ascii="Verdana" w:hAnsi="Verdana"/>
                <w:color w:val="000000"/>
                <w:sz w:val="18"/>
                <w:szCs w:val="18"/>
              </w:rPr>
              <w:t>Automation script is reviewed by the Automation lead and pushed to Tester repository</w:t>
            </w:r>
          </w:p>
        </w:tc>
        <w:tc>
          <w:tcPr>
            <w:tcW w:w="2544" w:type="dxa"/>
          </w:tcPr>
          <w:p w14:paraId="67983B1F" w14:textId="77777777" w:rsidR="00C5516F" w:rsidRPr="00635C9B" w:rsidRDefault="00C5516F" w:rsidP="00007FCB">
            <w:pPr>
              <w:pStyle w:val="TABLEBULLETNEW"/>
            </w:pPr>
            <w:r>
              <w:t>Automation Test Lead</w:t>
            </w:r>
          </w:p>
        </w:tc>
      </w:tr>
      <w:tr w:rsidR="00C5516F" w:rsidRPr="00A21682" w14:paraId="28C5D80F" w14:textId="77777777" w:rsidTr="00047C4E">
        <w:trPr>
          <w:trHeight w:val="300"/>
        </w:trPr>
        <w:tc>
          <w:tcPr>
            <w:tcW w:w="614" w:type="dxa"/>
          </w:tcPr>
          <w:p w14:paraId="48978A67" w14:textId="77777777" w:rsidR="00C5516F" w:rsidRPr="00A21682" w:rsidRDefault="00C5516F" w:rsidP="00047C4E">
            <w:pPr>
              <w:pStyle w:val="TABLETEXT1"/>
              <w:rPr>
                <w:lang w:val="en-US"/>
              </w:rPr>
            </w:pPr>
            <w:r>
              <w:rPr>
                <w:lang w:val="en-US"/>
              </w:rPr>
              <w:t>5</w:t>
            </w:r>
          </w:p>
        </w:tc>
        <w:tc>
          <w:tcPr>
            <w:tcW w:w="1988" w:type="dxa"/>
          </w:tcPr>
          <w:p w14:paraId="78A560FD" w14:textId="77777777" w:rsidR="00C5516F" w:rsidRPr="00A21682" w:rsidRDefault="00C5516F" w:rsidP="00047C4E">
            <w:pPr>
              <w:pStyle w:val="TABLETEXT1"/>
              <w:rPr>
                <w:lang w:val="en-US"/>
              </w:rPr>
            </w:pPr>
            <w:r>
              <w:rPr>
                <w:lang w:val="en-US"/>
              </w:rPr>
              <w:t>Execution</w:t>
            </w:r>
          </w:p>
        </w:tc>
        <w:tc>
          <w:tcPr>
            <w:tcW w:w="4206" w:type="dxa"/>
          </w:tcPr>
          <w:p w14:paraId="7B86C65D" w14:textId="77777777" w:rsidR="00C5516F" w:rsidRPr="00A21682" w:rsidRDefault="00C5516F" w:rsidP="00462CC1">
            <w:pPr>
              <w:spacing w:before="60" w:after="60"/>
              <w:rPr>
                <w:rFonts w:ascii="Verdana" w:hAnsi="Verdana"/>
                <w:color w:val="000000"/>
                <w:sz w:val="18"/>
                <w:szCs w:val="18"/>
              </w:rPr>
            </w:pPr>
            <w:r>
              <w:rPr>
                <w:rFonts w:ascii="Verdana" w:hAnsi="Verdana"/>
                <w:color w:val="000000"/>
                <w:sz w:val="18"/>
                <w:szCs w:val="18"/>
              </w:rPr>
              <w:t>Script is executed</w:t>
            </w:r>
          </w:p>
        </w:tc>
        <w:tc>
          <w:tcPr>
            <w:tcW w:w="2544" w:type="dxa"/>
          </w:tcPr>
          <w:p w14:paraId="7C74D2BF" w14:textId="77777777" w:rsidR="00C5516F" w:rsidRPr="00635C9B" w:rsidRDefault="00C5516F" w:rsidP="00007FCB">
            <w:pPr>
              <w:pStyle w:val="TABLEBULLETNEW"/>
            </w:pPr>
            <w:r>
              <w:t>Automation Tester</w:t>
            </w:r>
          </w:p>
        </w:tc>
      </w:tr>
      <w:tr w:rsidR="00C5516F" w:rsidRPr="00A21682" w14:paraId="68E9C90F" w14:textId="77777777" w:rsidTr="00047C4E">
        <w:trPr>
          <w:trHeight w:val="300"/>
        </w:trPr>
        <w:tc>
          <w:tcPr>
            <w:tcW w:w="614" w:type="dxa"/>
          </w:tcPr>
          <w:p w14:paraId="48FE75DD" w14:textId="77777777" w:rsidR="00C5516F" w:rsidRPr="00A21682" w:rsidRDefault="00C5516F" w:rsidP="00047C4E">
            <w:pPr>
              <w:pStyle w:val="TABLETEXT1"/>
              <w:rPr>
                <w:lang w:val="en-US"/>
              </w:rPr>
            </w:pPr>
            <w:r>
              <w:rPr>
                <w:lang w:val="en-US"/>
              </w:rPr>
              <w:t>6</w:t>
            </w:r>
          </w:p>
        </w:tc>
        <w:tc>
          <w:tcPr>
            <w:tcW w:w="1988" w:type="dxa"/>
          </w:tcPr>
          <w:p w14:paraId="64FC84E3" w14:textId="77777777" w:rsidR="00C5516F" w:rsidRPr="00A21682" w:rsidRDefault="00C5516F" w:rsidP="00047C4E">
            <w:pPr>
              <w:pStyle w:val="TABLETEXT1"/>
              <w:rPr>
                <w:lang w:val="en-US"/>
              </w:rPr>
            </w:pPr>
            <w:r>
              <w:rPr>
                <w:lang w:val="en-US"/>
              </w:rPr>
              <w:t>Reporting</w:t>
            </w:r>
          </w:p>
        </w:tc>
        <w:tc>
          <w:tcPr>
            <w:tcW w:w="4206" w:type="dxa"/>
          </w:tcPr>
          <w:p w14:paraId="4682DDFE" w14:textId="77777777" w:rsidR="00C5516F" w:rsidRPr="00A21682" w:rsidRDefault="00C5516F" w:rsidP="00462CC1">
            <w:pPr>
              <w:spacing w:before="60" w:after="60"/>
              <w:rPr>
                <w:rFonts w:ascii="Verdana" w:hAnsi="Verdana"/>
                <w:color w:val="000000"/>
                <w:sz w:val="18"/>
                <w:szCs w:val="18"/>
              </w:rPr>
            </w:pPr>
            <w:r>
              <w:rPr>
                <w:rFonts w:ascii="Verdana" w:hAnsi="Verdana"/>
                <w:color w:val="000000"/>
                <w:sz w:val="18"/>
                <w:szCs w:val="18"/>
              </w:rPr>
              <w:t>Execution results are analyzed and published</w:t>
            </w:r>
          </w:p>
        </w:tc>
        <w:tc>
          <w:tcPr>
            <w:tcW w:w="2544" w:type="dxa"/>
          </w:tcPr>
          <w:p w14:paraId="258B37D6" w14:textId="77777777" w:rsidR="00C5516F" w:rsidRPr="00635C9B" w:rsidRDefault="00C5516F" w:rsidP="00007FCB">
            <w:pPr>
              <w:pStyle w:val="TABLEBULLETNEW"/>
            </w:pPr>
            <w:r>
              <w:t>Automation Test Lead</w:t>
            </w:r>
          </w:p>
        </w:tc>
      </w:tr>
    </w:tbl>
    <w:p w14:paraId="6BD326C1" w14:textId="002D8FC1" w:rsidR="00C5516F" w:rsidRPr="00A21682" w:rsidRDefault="00C5516F" w:rsidP="005827B3">
      <w:pPr>
        <w:pStyle w:val="Caption"/>
        <w:rPr>
          <w:noProof w:val="0"/>
        </w:rPr>
      </w:pPr>
      <w:bookmarkStart w:id="1470" w:name="_Toc150951932"/>
      <w:bookmarkStart w:id="1471" w:name="_Toc192875147"/>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62</w:t>
      </w:r>
      <w:r>
        <w:rPr>
          <w:noProof w:val="0"/>
        </w:rPr>
        <w:fldChar w:fldCharType="end"/>
      </w:r>
      <w:r>
        <w:rPr>
          <w:noProof w:val="0"/>
        </w:rPr>
        <w:t>: Selenium Workflow Narrative</w:t>
      </w:r>
      <w:bookmarkEnd w:id="1470"/>
      <w:bookmarkEnd w:id="1471"/>
    </w:p>
    <w:p w14:paraId="1E829FF1" w14:textId="77777777" w:rsidR="00C5516F" w:rsidRPr="00A21682" w:rsidRDefault="00C5516F">
      <w:pPr>
        <w:pStyle w:val="Heading3"/>
        <w:rPr>
          <w:u w:color="000000"/>
        </w:rPr>
      </w:pPr>
      <w:bookmarkStart w:id="1472" w:name="_Toc148102434"/>
      <w:bookmarkStart w:id="1473" w:name="_Toc152605929"/>
      <w:bookmarkStart w:id="1474" w:name="_Toc177119087"/>
      <w:bookmarkStart w:id="1475" w:name="_Toc185952609"/>
      <w:bookmarkStart w:id="1476" w:name="_Toc192874775"/>
      <w:r>
        <w:rPr>
          <w:u w:color="000000"/>
        </w:rPr>
        <w:t>Accessing ALM Tool</w:t>
      </w:r>
      <w:bookmarkEnd w:id="1472"/>
      <w:bookmarkEnd w:id="1473"/>
      <w:bookmarkEnd w:id="1474"/>
      <w:bookmarkEnd w:id="1475"/>
      <w:bookmarkEnd w:id="1476"/>
    </w:p>
    <w:p w14:paraId="143EB4B3" w14:textId="6F8614F2" w:rsidR="00C5516F" w:rsidRPr="00A21682" w:rsidRDefault="00C5516F" w:rsidP="001428D8">
      <w:pPr>
        <w:pStyle w:val="NormalNEW"/>
        <w:rPr>
          <w:u w:color="000000"/>
          <w:lang w:val="en-US"/>
        </w:rPr>
      </w:pPr>
      <w:r>
        <w:rPr>
          <w:u w:color="000000"/>
          <w:lang w:val="en-US"/>
        </w:rPr>
        <w:t>Access to Selenium will be limited to ███████ resources. User training for DOH users is not required for this ALM tool. Additional details for access to Selenium can be found in the Test Management Plan (DEL-09).</w:t>
      </w:r>
    </w:p>
    <w:p w14:paraId="12C93025" w14:textId="77777777" w:rsidR="00C5516F" w:rsidRPr="00A21682" w:rsidRDefault="00C5516F">
      <w:pPr>
        <w:pStyle w:val="Heading2"/>
        <w:rPr>
          <w:u w:color="000000"/>
        </w:rPr>
      </w:pPr>
      <w:bookmarkStart w:id="1477" w:name="_Toc148102435"/>
      <w:bookmarkStart w:id="1478" w:name="_Toc152605930"/>
      <w:bookmarkStart w:id="1479" w:name="_Toc177119088"/>
      <w:bookmarkStart w:id="1480" w:name="_Toc185952610"/>
      <w:bookmarkStart w:id="1481" w:name="_Toc192874776"/>
      <w:r>
        <w:rPr>
          <w:u w:color="000000"/>
        </w:rPr>
        <w:t>WAVE</w:t>
      </w:r>
      <w:bookmarkEnd w:id="1477"/>
      <w:bookmarkEnd w:id="1478"/>
      <w:bookmarkEnd w:id="1479"/>
      <w:bookmarkEnd w:id="1480"/>
      <w:bookmarkEnd w:id="1481"/>
      <w:r>
        <w:rPr>
          <w:u w:color="000000"/>
        </w:rPr>
        <w:t xml:space="preserve"> </w:t>
      </w:r>
    </w:p>
    <w:p w14:paraId="41EC16B2" w14:textId="393D4563" w:rsidR="00C5516F" w:rsidRPr="00A21682" w:rsidRDefault="00C5516F" w:rsidP="001428D8">
      <w:pPr>
        <w:pStyle w:val="NormalNEW"/>
        <w:rPr>
          <w:u w:color="000000"/>
          <w:lang w:val="en-US"/>
        </w:rPr>
      </w:pPr>
      <w:r>
        <w:rPr>
          <w:u w:color="000000"/>
          <w:lang w:val="en-US"/>
        </w:rPr>
        <w:t xml:space="preserve">WAVE is a suite of evaluation tools that helps MECM make its web content more accessible to individuals with disabilities. WAVE can identify many accessibilities and Web Content Accessibility Guideline (WCAG) errors in adherence to WCAG 2.1 AA standards, but also facilitates human evaluation of web content. </w:t>
      </w:r>
    </w:p>
    <w:p w14:paraId="4BF2FD74" w14:textId="042BD64C" w:rsidR="00C5516F" w:rsidRPr="00A21682" w:rsidRDefault="00C5516F" w:rsidP="001428D8">
      <w:pPr>
        <w:pStyle w:val="NormalNEW"/>
        <w:rPr>
          <w:u w:color="000000"/>
          <w:shd w:val="clear" w:color="auto" w:fill="FFFFFF"/>
          <w:lang w:val="en-US"/>
        </w:rPr>
      </w:pPr>
      <w:r>
        <w:rPr>
          <w:u w:color="000000"/>
          <w:shd w:val="clear" w:color="auto" w:fill="FFFFFF"/>
          <w:lang w:val="en-US"/>
        </w:rPr>
        <w:lastRenderedPageBreak/>
        <w:t>WAVE Chrome, Firefox, and Edge browser extensions are available for testing accessibility directly within the web browser – handy for checking password protected, locally stored, or highly dynamic pages.</w:t>
      </w:r>
    </w:p>
    <w:p w14:paraId="3B760360" w14:textId="77777777" w:rsidR="00C5516F" w:rsidRPr="00A21682" w:rsidRDefault="00C5516F">
      <w:pPr>
        <w:pStyle w:val="Heading3"/>
        <w:rPr>
          <w:u w:color="000000"/>
        </w:rPr>
      </w:pPr>
      <w:bookmarkStart w:id="1482" w:name="_Toc148102437"/>
      <w:bookmarkStart w:id="1483" w:name="_Toc152605931"/>
      <w:bookmarkStart w:id="1484" w:name="_Toc177119089"/>
      <w:bookmarkStart w:id="1485" w:name="_Toc185952611"/>
      <w:bookmarkStart w:id="1486" w:name="_Toc192874777"/>
      <w:bookmarkEnd w:id="1482"/>
      <w:r>
        <w:rPr>
          <w:u w:color="000000"/>
        </w:rPr>
        <w:t>ALM Tool Roles and Permissions</w:t>
      </w:r>
      <w:bookmarkEnd w:id="1483"/>
      <w:bookmarkEnd w:id="1484"/>
      <w:bookmarkEnd w:id="1485"/>
      <w:bookmarkEnd w:id="1486"/>
    </w:p>
    <w:tbl>
      <w:tblPr>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3118"/>
        <w:gridCol w:w="2970"/>
        <w:gridCol w:w="3357"/>
      </w:tblGrid>
      <w:tr w:rsidR="00C5516F" w:rsidRPr="00A21682" w14:paraId="087BCBB2" w14:textId="77777777" w:rsidTr="00C968EF">
        <w:trPr>
          <w:cantSplit/>
          <w:tblHeader/>
        </w:trPr>
        <w:tc>
          <w:tcPr>
            <w:tcW w:w="9445" w:type="dxa"/>
            <w:gridSpan w:val="3"/>
            <w:tcBorders>
              <w:bottom w:val="single" w:sz="2" w:space="0" w:color="FFFFFF" w:themeColor="background1"/>
            </w:tcBorders>
            <w:shd w:val="clear" w:color="auto" w:fill="000000"/>
          </w:tcPr>
          <w:p w14:paraId="396C3D63" w14:textId="77777777" w:rsidR="00C5516F" w:rsidRPr="00A21682" w:rsidRDefault="00C5516F" w:rsidP="00047C4E">
            <w:pPr>
              <w:pStyle w:val="TABLEHEADINGNEW"/>
              <w:jc w:val="center"/>
              <w:rPr>
                <w:u w:color="000000"/>
              </w:rPr>
            </w:pPr>
            <w:r>
              <w:rPr>
                <w:u w:color="000000"/>
              </w:rPr>
              <w:t>NY-MECM</w:t>
            </w:r>
          </w:p>
        </w:tc>
      </w:tr>
      <w:tr w:rsidR="00C5516F" w:rsidRPr="00A21682" w14:paraId="2A77F74E" w14:textId="77777777" w:rsidTr="00C968EF">
        <w:trPr>
          <w:cantSplit/>
          <w:tblHeader/>
        </w:trPr>
        <w:tc>
          <w:tcPr>
            <w:tcW w:w="3118" w:type="dxa"/>
            <w:tcBorders>
              <w:top w:val="single" w:sz="2" w:space="0" w:color="FFFFFF" w:themeColor="background1"/>
              <w:right w:val="single" w:sz="2" w:space="0" w:color="FFFFFF" w:themeColor="background1"/>
            </w:tcBorders>
            <w:shd w:val="clear" w:color="auto" w:fill="000000"/>
          </w:tcPr>
          <w:p w14:paraId="10421F25" w14:textId="77777777" w:rsidR="00C5516F" w:rsidRPr="00A21682" w:rsidRDefault="00C5516F" w:rsidP="00047C4E">
            <w:pPr>
              <w:pStyle w:val="TABLEHEADINGNEW"/>
              <w:rPr>
                <w:color w:val="000000"/>
                <w:u w:color="000000"/>
              </w:rPr>
            </w:pPr>
            <w:r>
              <w:rPr>
                <w:u w:color="000000"/>
              </w:rPr>
              <w:t>Tool Role</w:t>
            </w:r>
          </w:p>
        </w:tc>
        <w:tc>
          <w:tcPr>
            <w:tcW w:w="2970" w:type="dxa"/>
            <w:tcBorders>
              <w:top w:val="single" w:sz="2" w:space="0" w:color="FFFFFF" w:themeColor="background1"/>
              <w:left w:val="single" w:sz="2" w:space="0" w:color="FFFFFF" w:themeColor="background1"/>
              <w:right w:val="single" w:sz="2" w:space="0" w:color="FFFFFF" w:themeColor="background1"/>
            </w:tcBorders>
            <w:shd w:val="clear" w:color="auto" w:fill="000000"/>
          </w:tcPr>
          <w:p w14:paraId="53B179C0" w14:textId="77777777" w:rsidR="00C5516F" w:rsidRPr="00A21682" w:rsidRDefault="00C5516F" w:rsidP="00047C4E">
            <w:pPr>
              <w:pStyle w:val="TABLEHEADINGNEW"/>
              <w:rPr>
                <w:color w:val="000000"/>
                <w:u w:color="000000"/>
              </w:rPr>
            </w:pPr>
            <w:r>
              <w:rPr>
                <w:u w:color="000000"/>
              </w:rPr>
              <w:t>RACI Role</w:t>
            </w:r>
          </w:p>
        </w:tc>
        <w:tc>
          <w:tcPr>
            <w:tcW w:w="3357" w:type="dxa"/>
            <w:tcBorders>
              <w:top w:val="single" w:sz="2" w:space="0" w:color="FFFFFF" w:themeColor="background1"/>
              <w:left w:val="single" w:sz="2" w:space="0" w:color="FFFFFF" w:themeColor="background1"/>
            </w:tcBorders>
            <w:shd w:val="clear" w:color="auto" w:fill="000000"/>
          </w:tcPr>
          <w:p w14:paraId="5A989423" w14:textId="77777777" w:rsidR="00C5516F" w:rsidRPr="00A21682" w:rsidRDefault="00C5516F" w:rsidP="00047C4E">
            <w:pPr>
              <w:pStyle w:val="TABLEHEADINGNEW"/>
              <w:rPr>
                <w:color w:val="000000"/>
                <w:u w:color="000000"/>
              </w:rPr>
            </w:pPr>
            <w:r>
              <w:rPr>
                <w:u w:color="000000"/>
              </w:rPr>
              <w:t>Key Permissions in WAVE</w:t>
            </w:r>
          </w:p>
        </w:tc>
      </w:tr>
      <w:tr w:rsidR="00C5516F" w:rsidRPr="00A21682" w14:paraId="6CF8D75B" w14:textId="77777777" w:rsidTr="00047C4E">
        <w:trPr>
          <w:cantSplit/>
        </w:trPr>
        <w:tc>
          <w:tcPr>
            <w:tcW w:w="3118" w:type="dxa"/>
            <w:shd w:val="clear" w:color="auto" w:fill="FFFFFF" w:themeFill="background1"/>
          </w:tcPr>
          <w:p w14:paraId="57573716" w14:textId="77777777" w:rsidR="00C5516F" w:rsidRPr="00A21682" w:rsidRDefault="00C5516F" w:rsidP="00047C4E">
            <w:pPr>
              <w:pStyle w:val="TABLETEXT1"/>
              <w:rPr>
                <w:u w:color="000000"/>
                <w:lang w:val="en-US"/>
              </w:rPr>
            </w:pPr>
            <w:r>
              <w:rPr>
                <w:u w:color="000000"/>
                <w:lang w:val="en-US"/>
              </w:rPr>
              <w:t>Accessibility SIT Test Lead</w:t>
            </w:r>
          </w:p>
        </w:tc>
        <w:tc>
          <w:tcPr>
            <w:tcW w:w="2970" w:type="dxa"/>
          </w:tcPr>
          <w:p w14:paraId="47E93955" w14:textId="77777777" w:rsidR="00C5516F" w:rsidRPr="00635C9B" w:rsidRDefault="00C5516F" w:rsidP="00007FCB">
            <w:pPr>
              <w:pStyle w:val="TABLEBULLETNEW"/>
            </w:pPr>
            <w:r>
              <w:t>███████ Test Lead</w:t>
            </w:r>
          </w:p>
        </w:tc>
        <w:tc>
          <w:tcPr>
            <w:tcW w:w="3357" w:type="dxa"/>
          </w:tcPr>
          <w:p w14:paraId="594952C3" w14:textId="77777777" w:rsidR="00C5516F" w:rsidRPr="00635C9B" w:rsidRDefault="00C5516F" w:rsidP="00007FCB">
            <w:pPr>
              <w:pStyle w:val="TABLEBULLETNEW"/>
            </w:pPr>
            <w:r>
              <w:t>N/A</w:t>
            </w:r>
          </w:p>
        </w:tc>
      </w:tr>
      <w:tr w:rsidR="00C5516F" w:rsidRPr="00A21682" w14:paraId="0CB52973" w14:textId="77777777" w:rsidTr="00047C4E">
        <w:tc>
          <w:tcPr>
            <w:tcW w:w="3118" w:type="dxa"/>
            <w:shd w:val="clear" w:color="auto" w:fill="FFFFFF" w:themeFill="background1"/>
          </w:tcPr>
          <w:p w14:paraId="216ABA11" w14:textId="77777777" w:rsidR="00C5516F" w:rsidRPr="00A21682" w:rsidRDefault="00C5516F" w:rsidP="00047C4E">
            <w:pPr>
              <w:pStyle w:val="TABLETEXT1"/>
              <w:rPr>
                <w:u w:color="000000"/>
                <w:lang w:val="en-US"/>
              </w:rPr>
            </w:pPr>
            <w:r>
              <w:rPr>
                <w:u w:color="000000"/>
                <w:lang w:val="en-US"/>
              </w:rPr>
              <w:t>Accessibility SIT Tester</w:t>
            </w:r>
          </w:p>
        </w:tc>
        <w:tc>
          <w:tcPr>
            <w:tcW w:w="2970" w:type="dxa"/>
          </w:tcPr>
          <w:p w14:paraId="1670E955" w14:textId="77777777" w:rsidR="00C5516F" w:rsidRPr="00635C9B" w:rsidRDefault="00C5516F" w:rsidP="00007FCB">
            <w:pPr>
              <w:pStyle w:val="TABLEBULLETNEW"/>
            </w:pPr>
            <w:r>
              <w:t>███████ Tester</w:t>
            </w:r>
          </w:p>
        </w:tc>
        <w:tc>
          <w:tcPr>
            <w:tcW w:w="3357" w:type="dxa"/>
          </w:tcPr>
          <w:p w14:paraId="04B41C7A" w14:textId="77777777" w:rsidR="00C5516F" w:rsidRPr="00635C9B" w:rsidRDefault="00C5516F" w:rsidP="00007FCB">
            <w:pPr>
              <w:pStyle w:val="TABLEBULLETNEW"/>
            </w:pPr>
            <w:r>
              <w:t>N/A</w:t>
            </w:r>
          </w:p>
        </w:tc>
      </w:tr>
      <w:tr w:rsidR="00C5516F" w:rsidRPr="00A21682" w14:paraId="748F625C" w14:textId="77777777" w:rsidTr="00047C4E">
        <w:tc>
          <w:tcPr>
            <w:tcW w:w="3118" w:type="dxa"/>
            <w:shd w:val="clear" w:color="auto" w:fill="FFFFFF" w:themeFill="background1"/>
          </w:tcPr>
          <w:p w14:paraId="1D03CBF0" w14:textId="77777777" w:rsidR="00C5516F" w:rsidRPr="00A21682" w:rsidRDefault="00C5516F" w:rsidP="00047C4E">
            <w:pPr>
              <w:pStyle w:val="TABLETEXT1"/>
              <w:rPr>
                <w:u w:color="000000"/>
                <w:lang w:val="en-US"/>
              </w:rPr>
            </w:pPr>
            <w:r>
              <w:rPr>
                <w:u w:color="000000"/>
                <w:lang w:val="en-US"/>
              </w:rPr>
              <w:t>Accessibility UAT Test Lead</w:t>
            </w:r>
          </w:p>
        </w:tc>
        <w:tc>
          <w:tcPr>
            <w:tcW w:w="2970" w:type="dxa"/>
          </w:tcPr>
          <w:p w14:paraId="35B381A4" w14:textId="77777777" w:rsidR="00C5516F" w:rsidRPr="00635C9B" w:rsidRDefault="00C5516F" w:rsidP="00007FCB">
            <w:pPr>
              <w:pStyle w:val="TABLEBULLETNEW"/>
            </w:pPr>
            <w:r>
              <w:t>DOS Test Lead</w:t>
            </w:r>
          </w:p>
        </w:tc>
        <w:tc>
          <w:tcPr>
            <w:tcW w:w="3357" w:type="dxa"/>
          </w:tcPr>
          <w:p w14:paraId="4281470C" w14:textId="77777777" w:rsidR="00C5516F" w:rsidRPr="00635C9B" w:rsidRDefault="00C5516F" w:rsidP="00007FCB">
            <w:pPr>
              <w:pStyle w:val="TABLEBULLETNEW"/>
            </w:pPr>
            <w:r>
              <w:t>N/A</w:t>
            </w:r>
          </w:p>
        </w:tc>
      </w:tr>
      <w:tr w:rsidR="00C5516F" w:rsidRPr="00A21682" w14:paraId="6774AB45" w14:textId="77777777" w:rsidTr="00047C4E">
        <w:tc>
          <w:tcPr>
            <w:tcW w:w="3118" w:type="dxa"/>
            <w:shd w:val="clear" w:color="auto" w:fill="FFFFFF" w:themeFill="background1"/>
          </w:tcPr>
          <w:p w14:paraId="3BBD5CCE" w14:textId="77777777" w:rsidR="00C5516F" w:rsidRPr="00A21682" w:rsidRDefault="00C5516F" w:rsidP="00047C4E">
            <w:pPr>
              <w:pStyle w:val="TABLETEXT1"/>
              <w:rPr>
                <w:u w:color="000000"/>
                <w:lang w:val="en-US"/>
              </w:rPr>
            </w:pPr>
            <w:r>
              <w:rPr>
                <w:u w:color="000000"/>
                <w:lang w:val="en-US"/>
              </w:rPr>
              <w:t>Accessibility UAT Tester</w:t>
            </w:r>
          </w:p>
        </w:tc>
        <w:tc>
          <w:tcPr>
            <w:tcW w:w="2970" w:type="dxa"/>
          </w:tcPr>
          <w:p w14:paraId="6A9E2E90" w14:textId="77777777" w:rsidR="00C5516F" w:rsidRPr="00635C9B" w:rsidRDefault="00C5516F" w:rsidP="00007FCB">
            <w:pPr>
              <w:pStyle w:val="TABLEBULLETNEW"/>
            </w:pPr>
            <w:r>
              <w:t>DOS Tester</w:t>
            </w:r>
          </w:p>
        </w:tc>
        <w:tc>
          <w:tcPr>
            <w:tcW w:w="3357" w:type="dxa"/>
          </w:tcPr>
          <w:p w14:paraId="516D4173" w14:textId="77777777" w:rsidR="00C5516F" w:rsidRPr="00635C9B" w:rsidRDefault="00C5516F" w:rsidP="00007FCB">
            <w:pPr>
              <w:pStyle w:val="TABLEBULLETNEW"/>
            </w:pPr>
            <w:r>
              <w:t>N/A</w:t>
            </w:r>
          </w:p>
        </w:tc>
      </w:tr>
    </w:tbl>
    <w:p w14:paraId="01DB75C0" w14:textId="2C3024AE" w:rsidR="00C5516F" w:rsidRPr="00A21682" w:rsidRDefault="00C5516F" w:rsidP="005827B3">
      <w:pPr>
        <w:pStyle w:val="Caption"/>
        <w:rPr>
          <w:noProof w:val="0"/>
        </w:rPr>
      </w:pPr>
      <w:bookmarkStart w:id="1487" w:name="_Toc150951933"/>
      <w:bookmarkStart w:id="1488" w:name="_Toc192875148"/>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63</w:t>
      </w:r>
      <w:r>
        <w:rPr>
          <w:noProof w:val="0"/>
        </w:rPr>
        <w:fldChar w:fldCharType="end"/>
      </w:r>
      <w:r>
        <w:rPr>
          <w:noProof w:val="0"/>
        </w:rPr>
        <w:t>: WAVE Roles and Responsibilities</w:t>
      </w:r>
      <w:bookmarkEnd w:id="1487"/>
      <w:bookmarkEnd w:id="1488"/>
    </w:p>
    <w:p w14:paraId="640374D1" w14:textId="5BDB3824" w:rsidR="00C5516F" w:rsidRPr="00A21682" w:rsidRDefault="00C5516F">
      <w:pPr>
        <w:pStyle w:val="Heading3"/>
        <w:rPr>
          <w:u w:color="000000"/>
        </w:rPr>
      </w:pPr>
      <w:bookmarkStart w:id="1489" w:name="_Toc148102438"/>
      <w:bookmarkStart w:id="1490" w:name="_Toc152605932"/>
      <w:bookmarkStart w:id="1491" w:name="_Toc177119090"/>
      <w:bookmarkStart w:id="1492" w:name="_Toc185952612"/>
      <w:bookmarkStart w:id="1493" w:name="_Toc192874778"/>
      <w:r>
        <w:rPr>
          <w:u w:color="000000"/>
        </w:rPr>
        <w:t>ALM Tool Workflows</w:t>
      </w:r>
      <w:bookmarkEnd w:id="1489"/>
      <w:bookmarkEnd w:id="1490"/>
      <w:bookmarkEnd w:id="1491"/>
      <w:bookmarkEnd w:id="1492"/>
      <w:bookmarkEnd w:id="1493"/>
    </w:p>
    <w:p w14:paraId="73A55887" w14:textId="7C17B977" w:rsidR="00C5516F" w:rsidRPr="00A21682" w:rsidRDefault="00C5516F" w:rsidP="001428D8">
      <w:pPr>
        <w:pStyle w:val="NormalNEW"/>
        <w:rPr>
          <w:u w:color="000000"/>
          <w:lang w:val="en-US"/>
        </w:rPr>
      </w:pPr>
      <w:r>
        <w:rPr>
          <w:u w:color="000000"/>
          <w:lang w:val="en-US"/>
        </w:rPr>
        <w:t>Workflow(s) does not apply.</w:t>
      </w:r>
    </w:p>
    <w:p w14:paraId="6BEE470B" w14:textId="77777777" w:rsidR="00C5516F" w:rsidRPr="00A21682" w:rsidRDefault="00C5516F">
      <w:pPr>
        <w:pStyle w:val="Heading3"/>
        <w:rPr>
          <w:u w:color="000000"/>
        </w:rPr>
      </w:pPr>
      <w:bookmarkStart w:id="1494" w:name="_Toc148102439"/>
      <w:bookmarkStart w:id="1495" w:name="_Toc152605933"/>
      <w:bookmarkStart w:id="1496" w:name="_Toc177119091"/>
      <w:bookmarkStart w:id="1497" w:name="_Toc185952613"/>
      <w:bookmarkStart w:id="1498" w:name="_Toc192874779"/>
      <w:r>
        <w:rPr>
          <w:u w:color="000000"/>
        </w:rPr>
        <w:t>Accessing ALM Tool</w:t>
      </w:r>
      <w:bookmarkEnd w:id="1494"/>
      <w:bookmarkEnd w:id="1495"/>
      <w:bookmarkEnd w:id="1496"/>
      <w:bookmarkEnd w:id="1497"/>
      <w:bookmarkEnd w:id="1498"/>
    </w:p>
    <w:p w14:paraId="3DAB21ED" w14:textId="746CA705" w:rsidR="00C5516F" w:rsidRPr="00A21682" w:rsidRDefault="00C5516F" w:rsidP="001428D8">
      <w:pPr>
        <w:pStyle w:val="NormalNEW"/>
        <w:rPr>
          <w:rFonts w:cs="Arial"/>
          <w:szCs w:val="24"/>
          <w:u w:color="000000"/>
          <w:lang w:val="en-US" w:eastAsia="ko-KR"/>
        </w:rPr>
      </w:pPr>
      <w:r>
        <w:rPr>
          <w:szCs w:val="24"/>
          <w:u w:color="000000"/>
          <w:lang w:val="en-US" w:eastAsia="ko-KR"/>
        </w:rPr>
        <w:t xml:space="preserve">Access to WAVE is open to ███████ test team and DOH stakeholders. </w:t>
      </w:r>
      <w:r>
        <w:rPr>
          <w:rFonts w:cs="Arial"/>
          <w:szCs w:val="24"/>
          <w:u w:color="000000"/>
          <w:lang w:val="en-US" w:eastAsia="ko-KR"/>
        </w:rPr>
        <w:t>User training plans can be found in the Test Management Plan (DEL-09).</w:t>
      </w:r>
    </w:p>
    <w:p w14:paraId="69416174" w14:textId="77777777" w:rsidR="00C5516F" w:rsidRPr="00A21682" w:rsidRDefault="00C5516F" w:rsidP="001428D8">
      <w:pPr>
        <w:pStyle w:val="NormalNEW"/>
        <w:rPr>
          <w:rFonts w:cs="Arial"/>
          <w:szCs w:val="24"/>
          <w:u w:color="000000"/>
          <w:lang w:val="en-US" w:eastAsia="ko-KR"/>
        </w:rPr>
      </w:pPr>
      <w:r>
        <w:rPr>
          <w:rFonts w:cs="Arial"/>
          <w:szCs w:val="24"/>
          <w:u w:color="000000"/>
          <w:lang w:val="en-US" w:eastAsia="ko-KR"/>
        </w:rPr>
        <w:t>WAVE is an extension to the web browser and does not request special access for the tool.</w:t>
      </w:r>
    </w:p>
    <w:p w14:paraId="3D461FCD" w14:textId="77777777" w:rsidR="00C5516F" w:rsidRPr="00A21682" w:rsidRDefault="00C5516F">
      <w:pPr>
        <w:pStyle w:val="Heading2"/>
        <w:rPr>
          <w:u w:color="000000"/>
        </w:rPr>
      </w:pPr>
      <w:bookmarkStart w:id="1499" w:name="_Toc148102440"/>
      <w:bookmarkStart w:id="1500" w:name="_Toc152605934"/>
      <w:bookmarkStart w:id="1501" w:name="_Toc177119092"/>
      <w:bookmarkStart w:id="1502" w:name="_Toc185952614"/>
      <w:bookmarkStart w:id="1503" w:name="_Toc192874780"/>
      <w:r>
        <w:rPr>
          <w:u w:color="000000"/>
        </w:rPr>
        <w:t>JAWS</w:t>
      </w:r>
      <w:bookmarkEnd w:id="1499"/>
      <w:bookmarkEnd w:id="1500"/>
      <w:bookmarkEnd w:id="1501"/>
      <w:bookmarkEnd w:id="1502"/>
      <w:bookmarkEnd w:id="1503"/>
    </w:p>
    <w:p w14:paraId="463EC3EE" w14:textId="7E9BA97F" w:rsidR="00C5516F" w:rsidRPr="00A21682" w:rsidRDefault="00C5516F" w:rsidP="001428D8">
      <w:pPr>
        <w:pStyle w:val="NormalNEW"/>
        <w:rPr>
          <w:u w:color="000000"/>
          <w:lang w:val="en-US"/>
        </w:rPr>
      </w:pPr>
      <w:r>
        <w:rPr>
          <w:u w:color="000000"/>
          <w:lang w:val="en-US"/>
        </w:rPr>
        <w:t>JAWS, Job Access With Speech, is the world’s most popular screen reader, developed for computer users whose vision loss prevents them from seeing screen content or navigating with a mouse. JAWS provides speech and Braille output for MECM application on the user PC. MECM users will be able to navigate the application using JAWS.</w:t>
      </w:r>
    </w:p>
    <w:p w14:paraId="70EF4DBC" w14:textId="77777777" w:rsidR="00C5516F" w:rsidRPr="00A21682" w:rsidRDefault="00C5516F">
      <w:pPr>
        <w:pStyle w:val="Heading3"/>
        <w:rPr>
          <w:u w:color="000000"/>
        </w:rPr>
      </w:pPr>
      <w:bookmarkStart w:id="1504" w:name="_Toc148102441"/>
      <w:bookmarkStart w:id="1505" w:name="_Toc152605935"/>
      <w:bookmarkStart w:id="1506" w:name="_Toc177119093"/>
      <w:bookmarkStart w:id="1507" w:name="_Toc185952615"/>
      <w:bookmarkStart w:id="1508" w:name="_Toc192874781"/>
      <w:r>
        <w:rPr>
          <w:u w:color="000000"/>
        </w:rPr>
        <w:t>ALM Tool Roles and Permissions</w:t>
      </w:r>
      <w:bookmarkEnd w:id="1504"/>
      <w:bookmarkEnd w:id="1505"/>
      <w:bookmarkEnd w:id="1506"/>
      <w:bookmarkEnd w:id="1507"/>
      <w:bookmarkEnd w:id="1508"/>
    </w:p>
    <w:tbl>
      <w:tblPr>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631"/>
        <w:gridCol w:w="3214"/>
        <w:gridCol w:w="3600"/>
      </w:tblGrid>
      <w:tr w:rsidR="00C5516F" w:rsidRPr="00A21682" w14:paraId="11B35747" w14:textId="77777777" w:rsidTr="00C968EF">
        <w:trPr>
          <w:cantSplit/>
          <w:tblHeader/>
        </w:trPr>
        <w:tc>
          <w:tcPr>
            <w:tcW w:w="9445" w:type="dxa"/>
            <w:gridSpan w:val="3"/>
            <w:tcBorders>
              <w:bottom w:val="single" w:sz="2" w:space="0" w:color="FFFFFF" w:themeColor="background1"/>
            </w:tcBorders>
            <w:shd w:val="clear" w:color="auto" w:fill="000000"/>
          </w:tcPr>
          <w:p w14:paraId="5FD53732" w14:textId="77777777" w:rsidR="00C5516F" w:rsidRPr="00A21682" w:rsidRDefault="00C5516F" w:rsidP="00047C4E">
            <w:pPr>
              <w:pStyle w:val="TABLEHEADINGNEW"/>
              <w:jc w:val="center"/>
            </w:pPr>
            <w:r>
              <w:t>NY-MECM</w:t>
            </w:r>
          </w:p>
        </w:tc>
      </w:tr>
      <w:tr w:rsidR="00C5516F" w:rsidRPr="00A21682" w14:paraId="2C906D8C" w14:textId="77777777" w:rsidTr="00C968EF">
        <w:trPr>
          <w:cantSplit/>
          <w:tblHeader/>
        </w:trPr>
        <w:tc>
          <w:tcPr>
            <w:tcW w:w="2631" w:type="dxa"/>
            <w:tcBorders>
              <w:top w:val="single" w:sz="2" w:space="0" w:color="FFFFFF" w:themeColor="background1"/>
            </w:tcBorders>
            <w:shd w:val="clear" w:color="auto" w:fill="000000"/>
          </w:tcPr>
          <w:p w14:paraId="2827F7AA" w14:textId="77777777" w:rsidR="00C5516F" w:rsidRPr="00A21682" w:rsidRDefault="00C5516F" w:rsidP="00047C4E">
            <w:pPr>
              <w:pStyle w:val="TABLEHEADINGNEW"/>
            </w:pPr>
            <w:r>
              <w:t>Tool Role</w:t>
            </w:r>
          </w:p>
        </w:tc>
        <w:tc>
          <w:tcPr>
            <w:tcW w:w="3214" w:type="dxa"/>
            <w:tcBorders>
              <w:top w:val="single" w:sz="2" w:space="0" w:color="FFFFFF" w:themeColor="background1"/>
            </w:tcBorders>
            <w:shd w:val="clear" w:color="auto" w:fill="000000"/>
          </w:tcPr>
          <w:p w14:paraId="2055096E" w14:textId="77777777" w:rsidR="00C5516F" w:rsidRPr="00A21682" w:rsidRDefault="00C5516F" w:rsidP="00047C4E">
            <w:pPr>
              <w:pStyle w:val="TABLEHEADINGNEW"/>
            </w:pPr>
            <w:r>
              <w:t>RACI Role</w:t>
            </w:r>
          </w:p>
        </w:tc>
        <w:tc>
          <w:tcPr>
            <w:tcW w:w="3600" w:type="dxa"/>
            <w:tcBorders>
              <w:top w:val="single" w:sz="2" w:space="0" w:color="FFFFFF" w:themeColor="background1"/>
            </w:tcBorders>
            <w:shd w:val="clear" w:color="auto" w:fill="000000"/>
          </w:tcPr>
          <w:p w14:paraId="79577E2D" w14:textId="77777777" w:rsidR="00C5516F" w:rsidRPr="00A21682" w:rsidRDefault="00C5516F" w:rsidP="00047C4E">
            <w:pPr>
              <w:pStyle w:val="TABLEHEADINGNEW"/>
            </w:pPr>
            <w:r>
              <w:t>Key Permissions in JAWS</w:t>
            </w:r>
          </w:p>
        </w:tc>
      </w:tr>
      <w:tr w:rsidR="00C5516F" w:rsidRPr="00A21682" w14:paraId="75B280C8" w14:textId="77777777" w:rsidTr="00047C4E">
        <w:trPr>
          <w:cantSplit/>
        </w:trPr>
        <w:tc>
          <w:tcPr>
            <w:tcW w:w="2631" w:type="dxa"/>
            <w:shd w:val="clear" w:color="auto" w:fill="FFFFFF" w:themeFill="background1"/>
          </w:tcPr>
          <w:p w14:paraId="3BC76E99" w14:textId="77777777" w:rsidR="00C5516F" w:rsidRPr="00A21682" w:rsidRDefault="00C5516F" w:rsidP="00047C4E">
            <w:pPr>
              <w:pStyle w:val="TABLETEXT1"/>
              <w:rPr>
                <w:lang w:val="en-US"/>
              </w:rPr>
            </w:pPr>
            <w:r>
              <w:rPr>
                <w:lang w:val="en-US"/>
              </w:rPr>
              <w:t>Accessibility tester</w:t>
            </w:r>
          </w:p>
        </w:tc>
        <w:tc>
          <w:tcPr>
            <w:tcW w:w="3214" w:type="dxa"/>
          </w:tcPr>
          <w:p w14:paraId="6CEABC25" w14:textId="77777777" w:rsidR="00C5516F" w:rsidRPr="00635C9B" w:rsidRDefault="00C5516F" w:rsidP="00007FCB">
            <w:pPr>
              <w:pStyle w:val="TABLEBULLETNEW"/>
            </w:pPr>
            <w:r>
              <w:t>███████ Test Lead</w:t>
            </w:r>
          </w:p>
          <w:p w14:paraId="0440CC1C" w14:textId="77777777" w:rsidR="00C5516F" w:rsidRPr="00635C9B" w:rsidRDefault="00C5516F" w:rsidP="00007FCB">
            <w:pPr>
              <w:pStyle w:val="TABLEBULLETNEW"/>
            </w:pPr>
            <w:r>
              <w:rPr>
                <w:color w:val="auto"/>
                <w:highlight w:val="black"/>
              </w:rPr>
              <w:t>Deloitte</w:t>
            </w:r>
            <w:r>
              <w:t xml:space="preserve"> Tester</w:t>
            </w:r>
          </w:p>
          <w:p w14:paraId="44E2FA9B" w14:textId="77777777" w:rsidR="00C5516F" w:rsidRPr="00635C9B" w:rsidRDefault="00C5516F" w:rsidP="00007FCB">
            <w:pPr>
              <w:pStyle w:val="TABLEBULLETNEW"/>
            </w:pPr>
            <w:r>
              <w:t>DOS Test Lead</w:t>
            </w:r>
          </w:p>
          <w:p w14:paraId="52B4DB22" w14:textId="77777777" w:rsidR="00C5516F" w:rsidRPr="00635C9B" w:rsidRDefault="00C5516F" w:rsidP="00007FCB">
            <w:pPr>
              <w:pStyle w:val="TABLEBULLETNEW"/>
            </w:pPr>
            <w:r>
              <w:t>DOS Tester</w:t>
            </w:r>
          </w:p>
        </w:tc>
        <w:tc>
          <w:tcPr>
            <w:tcW w:w="3600" w:type="dxa"/>
          </w:tcPr>
          <w:p w14:paraId="7F47847C" w14:textId="77777777" w:rsidR="00C5516F" w:rsidRPr="00635C9B" w:rsidRDefault="00C5516F" w:rsidP="00007FCB">
            <w:pPr>
              <w:pStyle w:val="TABLEBULLETNEW"/>
            </w:pPr>
            <w:r>
              <w:t>Perform screen reading accessibility testing</w:t>
            </w:r>
          </w:p>
        </w:tc>
      </w:tr>
    </w:tbl>
    <w:p w14:paraId="5C035CAF" w14:textId="1C54EB65" w:rsidR="00C5516F" w:rsidRPr="00A21682" w:rsidRDefault="00C5516F" w:rsidP="005827B3">
      <w:pPr>
        <w:pStyle w:val="Caption"/>
        <w:rPr>
          <w:noProof w:val="0"/>
        </w:rPr>
      </w:pPr>
      <w:bookmarkStart w:id="1509" w:name="_Toc150951934"/>
      <w:bookmarkStart w:id="1510" w:name="_Toc192875149"/>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64</w:t>
      </w:r>
      <w:r>
        <w:rPr>
          <w:noProof w:val="0"/>
        </w:rPr>
        <w:fldChar w:fldCharType="end"/>
      </w:r>
      <w:r>
        <w:rPr>
          <w:noProof w:val="0"/>
        </w:rPr>
        <w:t>: JAWS Roles and Responsibilities</w:t>
      </w:r>
      <w:bookmarkEnd w:id="1509"/>
      <w:bookmarkEnd w:id="1510"/>
    </w:p>
    <w:p w14:paraId="0807924D" w14:textId="7D19E0ED" w:rsidR="00C5516F" w:rsidRPr="00A21682" w:rsidRDefault="00C5516F">
      <w:pPr>
        <w:pStyle w:val="Heading3"/>
        <w:rPr>
          <w:u w:color="000000"/>
        </w:rPr>
      </w:pPr>
      <w:bookmarkStart w:id="1511" w:name="_Toc148102442"/>
      <w:bookmarkStart w:id="1512" w:name="_Toc152605936"/>
      <w:bookmarkStart w:id="1513" w:name="_Toc177119094"/>
      <w:bookmarkStart w:id="1514" w:name="_Toc185952616"/>
      <w:bookmarkStart w:id="1515" w:name="_Toc192874782"/>
      <w:r>
        <w:rPr>
          <w:u w:color="000000"/>
        </w:rPr>
        <w:t>ALM Tool Workflows</w:t>
      </w:r>
      <w:bookmarkEnd w:id="1511"/>
      <w:bookmarkEnd w:id="1512"/>
      <w:bookmarkEnd w:id="1513"/>
      <w:bookmarkEnd w:id="1514"/>
      <w:bookmarkEnd w:id="1515"/>
    </w:p>
    <w:p w14:paraId="25843697" w14:textId="71A7E74F" w:rsidR="00C5516F" w:rsidRPr="00A21682" w:rsidRDefault="00C5516F" w:rsidP="001428D8">
      <w:pPr>
        <w:pStyle w:val="NormalNEW"/>
        <w:rPr>
          <w:u w:color="000000"/>
          <w:lang w:val="en-US"/>
        </w:rPr>
      </w:pPr>
      <w:r>
        <w:rPr>
          <w:u w:color="000000"/>
          <w:lang w:val="en-US"/>
        </w:rPr>
        <w:t>Workflow(s) does not apply.</w:t>
      </w:r>
    </w:p>
    <w:p w14:paraId="5C2F158C" w14:textId="77777777" w:rsidR="00C5516F" w:rsidRPr="00A21682" w:rsidRDefault="00C5516F">
      <w:pPr>
        <w:pStyle w:val="Heading3"/>
        <w:rPr>
          <w:u w:color="000000"/>
        </w:rPr>
      </w:pPr>
      <w:bookmarkStart w:id="1516" w:name="_Toc148102443"/>
      <w:bookmarkStart w:id="1517" w:name="_Toc152605937"/>
      <w:bookmarkStart w:id="1518" w:name="_Toc177119095"/>
      <w:bookmarkStart w:id="1519" w:name="_Toc185952617"/>
      <w:bookmarkStart w:id="1520" w:name="_Toc192874783"/>
      <w:r>
        <w:rPr>
          <w:u w:color="000000"/>
        </w:rPr>
        <w:t>Accessing ALM Tool</w:t>
      </w:r>
      <w:bookmarkEnd w:id="1516"/>
      <w:bookmarkEnd w:id="1517"/>
      <w:bookmarkEnd w:id="1518"/>
      <w:bookmarkEnd w:id="1519"/>
      <w:bookmarkEnd w:id="1520"/>
    </w:p>
    <w:p w14:paraId="155A7BC5" w14:textId="5E0F024B" w:rsidR="00C5516F" w:rsidRPr="00A21682" w:rsidRDefault="00C5516F" w:rsidP="001428D8">
      <w:pPr>
        <w:pStyle w:val="NormalNEW"/>
        <w:rPr>
          <w:u w:color="000000"/>
          <w:lang w:val="en-US" w:eastAsia="ko-KR"/>
        </w:rPr>
      </w:pPr>
      <w:r>
        <w:rPr>
          <w:rFonts w:cs="Times New Roman"/>
          <w:u w:color="000000"/>
          <w:lang w:val="en-US" w:eastAsia="ko-KR"/>
        </w:rPr>
        <w:t xml:space="preserve">Access to JAWS is open to ███████ test team and DOH stakeholders. </w:t>
      </w:r>
      <w:r>
        <w:rPr>
          <w:u w:color="000000"/>
          <w:lang w:val="en-US" w:eastAsia="ko-KR"/>
        </w:rPr>
        <w:t>User training plans can be found in the Test Management Plan (DEL-09).</w:t>
      </w:r>
    </w:p>
    <w:p w14:paraId="4B4AFB39" w14:textId="77777777" w:rsidR="00C5516F" w:rsidRPr="00A21682" w:rsidRDefault="00C5516F" w:rsidP="001428D8">
      <w:pPr>
        <w:pStyle w:val="NormalNEW"/>
        <w:rPr>
          <w:color w:val="000000"/>
          <w:u w:color="000000"/>
          <w:lang w:val="en-US"/>
        </w:rPr>
      </w:pPr>
      <w:r>
        <w:rPr>
          <w:color w:val="000000"/>
          <w:u w:color="000000"/>
          <w:lang w:val="en-US"/>
        </w:rPr>
        <w:t xml:space="preserve">JAWS needs to be downloaded and configured to the SIT and UAT testers’ Laptop. </w:t>
      </w:r>
    </w:p>
    <w:p w14:paraId="5E93C085" w14:textId="77777777" w:rsidR="00C5516F" w:rsidRPr="00A21682" w:rsidRDefault="00C5516F">
      <w:pPr>
        <w:pStyle w:val="Heading2"/>
        <w:rPr>
          <w:u w:color="000000"/>
        </w:rPr>
      </w:pPr>
      <w:bookmarkStart w:id="1521" w:name="_Toc148102444"/>
      <w:bookmarkStart w:id="1522" w:name="_Toc152605938"/>
      <w:bookmarkStart w:id="1523" w:name="_Toc177119096"/>
      <w:bookmarkStart w:id="1524" w:name="_Toc185952618"/>
      <w:bookmarkStart w:id="1525" w:name="_Toc192874784"/>
      <w:r>
        <w:rPr>
          <w:u w:color="000000"/>
        </w:rPr>
        <w:lastRenderedPageBreak/>
        <w:t>Test Management Tool</w:t>
      </w:r>
      <w:bookmarkEnd w:id="1521"/>
      <w:bookmarkEnd w:id="1522"/>
      <w:bookmarkEnd w:id="1523"/>
      <w:bookmarkEnd w:id="1524"/>
      <w:bookmarkEnd w:id="1525"/>
    </w:p>
    <w:p w14:paraId="654D8FB9" w14:textId="28352A3F" w:rsidR="00C5516F" w:rsidRPr="00A21682" w:rsidRDefault="00C5516F" w:rsidP="001428D8">
      <w:pPr>
        <w:pStyle w:val="NormalNEW"/>
        <w:rPr>
          <w:u w:color="000000"/>
          <w:lang w:val="en-US"/>
        </w:rPr>
      </w:pPr>
      <w:r>
        <w:rPr>
          <w:u w:color="000000"/>
          <w:lang w:val="en-US"/>
        </w:rPr>
        <w:t xml:space="preserve">The test management tool is a complete Test Management tool for the ALM tool. It is a full-featured app that does not require any other software to run. The test management tool supports the entire testing life cycle: test planning, test design, test execution and test reporting for MECM. Link to access the test management tool: </w:t>
      </w:r>
      <w:r>
        <w:rPr>
          <w:lang w:val="en-US" w:eastAsia="ko-KR"/>
        </w:rPr>
        <w:t>The ALM tool</w:t>
      </w:r>
      <w:r>
        <w:rPr>
          <w:u w:color="000000"/>
          <w:lang w:val="en-US" w:eastAsia="ko-KR"/>
        </w:rPr>
        <w:t>.</w:t>
      </w:r>
    </w:p>
    <w:p w14:paraId="6B8F8B24" w14:textId="77777777" w:rsidR="00C5516F" w:rsidRPr="00A21682" w:rsidRDefault="00C5516F">
      <w:pPr>
        <w:pStyle w:val="Heading3"/>
        <w:rPr>
          <w:u w:color="000000"/>
        </w:rPr>
      </w:pPr>
      <w:bookmarkStart w:id="1526" w:name="_Toc148102445"/>
      <w:bookmarkStart w:id="1527" w:name="_Toc152605939"/>
      <w:bookmarkStart w:id="1528" w:name="_Toc177119097"/>
      <w:bookmarkStart w:id="1529" w:name="_Toc185952619"/>
      <w:bookmarkStart w:id="1530" w:name="_Toc192874785"/>
      <w:r>
        <w:rPr>
          <w:u w:color="000000"/>
        </w:rPr>
        <w:t>ALM Tool Roles and Permissions</w:t>
      </w:r>
      <w:bookmarkEnd w:id="1526"/>
      <w:bookmarkEnd w:id="1527"/>
      <w:bookmarkEnd w:id="1528"/>
      <w:bookmarkEnd w:id="1529"/>
      <w:bookmarkEnd w:id="1530"/>
    </w:p>
    <w:tbl>
      <w:tblPr>
        <w:tblW w:w="93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2631"/>
        <w:gridCol w:w="3214"/>
        <w:gridCol w:w="3505"/>
      </w:tblGrid>
      <w:tr w:rsidR="00C5516F" w:rsidRPr="00A21682" w14:paraId="36387B3D" w14:textId="77777777" w:rsidTr="00C968EF">
        <w:trPr>
          <w:cantSplit/>
          <w:tblHeader/>
        </w:trPr>
        <w:tc>
          <w:tcPr>
            <w:tcW w:w="2631" w:type="dxa"/>
            <w:tcBorders>
              <w:right w:val="single" w:sz="2" w:space="0" w:color="FFFFFF" w:themeColor="background1"/>
            </w:tcBorders>
            <w:shd w:val="clear" w:color="auto" w:fill="000000"/>
          </w:tcPr>
          <w:p w14:paraId="7CD9C33C" w14:textId="77777777" w:rsidR="00C5516F" w:rsidRPr="00A21682" w:rsidRDefault="00C5516F" w:rsidP="00047C4E">
            <w:pPr>
              <w:pStyle w:val="TABLEHEADINGNEW"/>
            </w:pPr>
            <w:r>
              <w:t>Tool Role</w:t>
            </w:r>
          </w:p>
        </w:tc>
        <w:tc>
          <w:tcPr>
            <w:tcW w:w="3214" w:type="dxa"/>
            <w:tcBorders>
              <w:left w:val="single" w:sz="2" w:space="0" w:color="FFFFFF" w:themeColor="background1"/>
              <w:right w:val="single" w:sz="2" w:space="0" w:color="FFFFFF" w:themeColor="background1"/>
            </w:tcBorders>
            <w:shd w:val="clear" w:color="auto" w:fill="000000"/>
          </w:tcPr>
          <w:p w14:paraId="4923C903" w14:textId="77777777" w:rsidR="00C5516F" w:rsidRPr="00A21682" w:rsidRDefault="00C5516F" w:rsidP="00047C4E">
            <w:pPr>
              <w:pStyle w:val="TABLEHEADINGNEW"/>
            </w:pPr>
            <w:r>
              <w:t>RACI Role</w:t>
            </w:r>
          </w:p>
        </w:tc>
        <w:tc>
          <w:tcPr>
            <w:tcW w:w="3505" w:type="dxa"/>
            <w:tcBorders>
              <w:left w:val="single" w:sz="2" w:space="0" w:color="FFFFFF" w:themeColor="background1"/>
            </w:tcBorders>
            <w:shd w:val="clear" w:color="auto" w:fill="000000"/>
          </w:tcPr>
          <w:p w14:paraId="7CE3476F" w14:textId="77777777" w:rsidR="00C5516F" w:rsidRPr="00A21682" w:rsidRDefault="00C5516F" w:rsidP="00047C4E">
            <w:pPr>
              <w:pStyle w:val="TABLEHEADINGNEW"/>
            </w:pPr>
            <w:r>
              <w:t>Key Permissions in the Test Management Tool</w:t>
            </w:r>
          </w:p>
        </w:tc>
      </w:tr>
      <w:tr w:rsidR="00C5516F" w:rsidRPr="00A21682" w14:paraId="0726019B" w14:textId="77777777" w:rsidTr="00047C4E">
        <w:trPr>
          <w:cantSplit/>
        </w:trPr>
        <w:tc>
          <w:tcPr>
            <w:tcW w:w="2631" w:type="dxa"/>
            <w:shd w:val="clear" w:color="auto" w:fill="FFFFFF" w:themeFill="background1"/>
          </w:tcPr>
          <w:p w14:paraId="2FDCAE33" w14:textId="77777777" w:rsidR="00C5516F" w:rsidRPr="00A21682" w:rsidRDefault="00C5516F" w:rsidP="00047C4E">
            <w:pPr>
              <w:pStyle w:val="TABLETEXT1"/>
              <w:rPr>
                <w:lang w:val="en-US"/>
              </w:rPr>
            </w:pPr>
            <w:r>
              <w:rPr>
                <w:lang w:val="en-US"/>
              </w:rPr>
              <w:t>Admin</w:t>
            </w:r>
          </w:p>
        </w:tc>
        <w:tc>
          <w:tcPr>
            <w:tcW w:w="3214" w:type="dxa"/>
          </w:tcPr>
          <w:p w14:paraId="4013A89A" w14:textId="77777777" w:rsidR="00C5516F" w:rsidRPr="00635C9B" w:rsidRDefault="00C5516F" w:rsidP="00007FCB">
            <w:pPr>
              <w:pStyle w:val="TABLEBULLETNEW"/>
            </w:pPr>
            <w:r>
              <w:t>███████ Tool Administrator</w:t>
            </w:r>
          </w:p>
          <w:p w14:paraId="4D380020" w14:textId="77777777" w:rsidR="00C5516F" w:rsidRPr="00635C9B" w:rsidRDefault="00C5516F" w:rsidP="00007FCB">
            <w:pPr>
              <w:pStyle w:val="TABLEBULLETNEW"/>
            </w:pPr>
            <w:r>
              <w:t>DOS Tool Administrator</w:t>
            </w:r>
          </w:p>
        </w:tc>
        <w:tc>
          <w:tcPr>
            <w:tcW w:w="3505" w:type="dxa"/>
          </w:tcPr>
          <w:p w14:paraId="78699FD7" w14:textId="77777777" w:rsidR="00C5516F" w:rsidRPr="00635C9B" w:rsidRDefault="00C5516F" w:rsidP="00007FCB">
            <w:pPr>
              <w:pStyle w:val="TABLEBULLETNEW"/>
            </w:pPr>
            <w:r>
              <w:t>Edit/Update, update all capabilities</w:t>
            </w:r>
          </w:p>
        </w:tc>
      </w:tr>
      <w:tr w:rsidR="00C5516F" w:rsidRPr="00A21682" w14:paraId="1354A996" w14:textId="77777777" w:rsidTr="00047C4E">
        <w:trPr>
          <w:cantSplit/>
        </w:trPr>
        <w:tc>
          <w:tcPr>
            <w:tcW w:w="2631" w:type="dxa"/>
            <w:shd w:val="clear" w:color="auto" w:fill="FFFFFF" w:themeFill="background1"/>
          </w:tcPr>
          <w:p w14:paraId="58184C95" w14:textId="77777777" w:rsidR="00C5516F" w:rsidRPr="00A21682" w:rsidRDefault="00C5516F" w:rsidP="00047C4E">
            <w:pPr>
              <w:pStyle w:val="TABLETEXT1"/>
              <w:rPr>
                <w:lang w:val="en-US"/>
              </w:rPr>
            </w:pPr>
            <w:r>
              <w:rPr>
                <w:lang w:val="en-US"/>
              </w:rPr>
              <w:t>Power User</w:t>
            </w:r>
          </w:p>
        </w:tc>
        <w:tc>
          <w:tcPr>
            <w:tcW w:w="3214" w:type="dxa"/>
          </w:tcPr>
          <w:p w14:paraId="373ECF97" w14:textId="77777777" w:rsidR="00C5516F" w:rsidRPr="00635C9B" w:rsidRDefault="00C5516F" w:rsidP="00007FCB">
            <w:pPr>
              <w:pStyle w:val="TABLEBULLETNEW"/>
            </w:pPr>
            <w:r>
              <w:t>███████ QA Manager</w:t>
            </w:r>
          </w:p>
          <w:p w14:paraId="7FAE9710" w14:textId="77777777" w:rsidR="00C5516F" w:rsidRPr="00635C9B" w:rsidRDefault="00C5516F" w:rsidP="00007FCB">
            <w:pPr>
              <w:pStyle w:val="TABLEBULLETNEW"/>
            </w:pPr>
            <w:r>
              <w:t>Deloitte Test Lead</w:t>
            </w:r>
          </w:p>
          <w:p w14:paraId="67E63E64" w14:textId="1C4B398A" w:rsidR="00C5516F" w:rsidRPr="00635C9B" w:rsidRDefault="004B40B6" w:rsidP="00007FCB">
            <w:pPr>
              <w:pStyle w:val="TABLEBULLETNEW"/>
            </w:pPr>
            <w:r>
              <w:t>MECM QA Manager</w:t>
            </w:r>
          </w:p>
          <w:p w14:paraId="06F46CA8" w14:textId="77777777" w:rsidR="00C5516F" w:rsidRPr="00635C9B" w:rsidRDefault="00C5516F" w:rsidP="00007FCB">
            <w:pPr>
              <w:pStyle w:val="TABLEBULLETNEW"/>
            </w:pPr>
            <w:r>
              <w:t>DOS Test Lead</w:t>
            </w:r>
          </w:p>
        </w:tc>
        <w:tc>
          <w:tcPr>
            <w:tcW w:w="3505" w:type="dxa"/>
          </w:tcPr>
          <w:p w14:paraId="69F912D7" w14:textId="77777777" w:rsidR="00C5516F" w:rsidRPr="00635C9B" w:rsidRDefault="00C5516F" w:rsidP="00007FCB">
            <w:pPr>
              <w:pStyle w:val="TABLEBULLETNEW"/>
            </w:pPr>
            <w:r>
              <w:t>Edit/Update</w:t>
            </w:r>
          </w:p>
        </w:tc>
      </w:tr>
      <w:tr w:rsidR="00C5516F" w:rsidRPr="00A21682" w14:paraId="07D252C6" w14:textId="77777777" w:rsidTr="00047C4E">
        <w:trPr>
          <w:cantSplit/>
        </w:trPr>
        <w:tc>
          <w:tcPr>
            <w:tcW w:w="2631" w:type="dxa"/>
            <w:shd w:val="clear" w:color="auto" w:fill="FFFFFF" w:themeFill="background1"/>
          </w:tcPr>
          <w:p w14:paraId="31FA8D0D" w14:textId="77777777" w:rsidR="00C5516F" w:rsidRPr="00A21682" w:rsidRDefault="00C5516F" w:rsidP="00047C4E">
            <w:pPr>
              <w:pStyle w:val="TABLETEXT1"/>
              <w:rPr>
                <w:lang w:val="en-US"/>
              </w:rPr>
            </w:pPr>
            <w:r>
              <w:rPr>
                <w:lang w:val="en-US"/>
              </w:rPr>
              <w:t>Standard User</w:t>
            </w:r>
          </w:p>
        </w:tc>
        <w:tc>
          <w:tcPr>
            <w:tcW w:w="3214" w:type="dxa"/>
          </w:tcPr>
          <w:p w14:paraId="7401EFFB" w14:textId="77777777" w:rsidR="00C5516F" w:rsidRPr="00635C9B" w:rsidRDefault="00C5516F" w:rsidP="00007FCB">
            <w:pPr>
              <w:pStyle w:val="TABLEBULLETNEW"/>
            </w:pPr>
            <w:r>
              <w:t>███████ SIT Testers</w:t>
            </w:r>
          </w:p>
          <w:p w14:paraId="09605C3C" w14:textId="77777777" w:rsidR="00C5516F" w:rsidRPr="00635C9B" w:rsidRDefault="00C5516F" w:rsidP="00007FCB">
            <w:pPr>
              <w:pStyle w:val="TABLEBULLETNEW"/>
            </w:pPr>
            <w:r>
              <w:t>DOS UAT Testers</w:t>
            </w:r>
          </w:p>
        </w:tc>
        <w:tc>
          <w:tcPr>
            <w:tcW w:w="3505" w:type="dxa"/>
          </w:tcPr>
          <w:p w14:paraId="50BF1A93" w14:textId="77777777" w:rsidR="00C5516F" w:rsidRPr="00635C9B" w:rsidRDefault="00C5516F" w:rsidP="00007FCB">
            <w:pPr>
              <w:pStyle w:val="TABLEBULLETNEW"/>
            </w:pPr>
            <w:r>
              <w:t>Edit/Update test cases</w:t>
            </w:r>
          </w:p>
          <w:p w14:paraId="4E6B5CC2" w14:textId="77777777" w:rsidR="00C5516F" w:rsidRPr="00635C9B" w:rsidRDefault="00C5516F" w:rsidP="00007FCB">
            <w:pPr>
              <w:pStyle w:val="TABLEBULLETNEW"/>
            </w:pPr>
            <w:r>
              <w:t>Execute test scripts</w:t>
            </w:r>
          </w:p>
        </w:tc>
      </w:tr>
    </w:tbl>
    <w:p w14:paraId="2ABE36AB" w14:textId="5C49FF17" w:rsidR="00C5516F" w:rsidRPr="00A21682" w:rsidRDefault="00C5516F" w:rsidP="005827B3">
      <w:pPr>
        <w:pStyle w:val="Caption"/>
        <w:rPr>
          <w:noProof w:val="0"/>
        </w:rPr>
      </w:pPr>
      <w:bookmarkStart w:id="1531" w:name="_Toc150951935"/>
      <w:bookmarkStart w:id="1532" w:name="_Toc192875150"/>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65</w:t>
      </w:r>
      <w:r>
        <w:rPr>
          <w:noProof w:val="0"/>
        </w:rPr>
        <w:fldChar w:fldCharType="end"/>
      </w:r>
      <w:r>
        <w:rPr>
          <w:noProof w:val="0"/>
        </w:rPr>
        <w:t>: Test Management Tool Roles and Permissions</w:t>
      </w:r>
      <w:bookmarkEnd w:id="1531"/>
      <w:bookmarkEnd w:id="1532"/>
    </w:p>
    <w:p w14:paraId="5E441590" w14:textId="5751BD6D" w:rsidR="00C5516F" w:rsidRPr="00A21682" w:rsidRDefault="00C5516F">
      <w:pPr>
        <w:pStyle w:val="Heading3"/>
        <w:rPr>
          <w:u w:color="000000"/>
        </w:rPr>
      </w:pPr>
      <w:bookmarkStart w:id="1533" w:name="_Toc148102446"/>
      <w:bookmarkStart w:id="1534" w:name="_Toc152605940"/>
      <w:bookmarkStart w:id="1535" w:name="_Toc177119098"/>
      <w:bookmarkStart w:id="1536" w:name="_Toc185952620"/>
      <w:bookmarkStart w:id="1537" w:name="_Toc192874786"/>
      <w:r>
        <w:rPr>
          <w:u w:color="000000"/>
        </w:rPr>
        <w:t>ALM Tool Workflows</w:t>
      </w:r>
      <w:bookmarkEnd w:id="1533"/>
      <w:bookmarkEnd w:id="1534"/>
      <w:bookmarkEnd w:id="1535"/>
      <w:bookmarkEnd w:id="1536"/>
      <w:bookmarkEnd w:id="1537"/>
    </w:p>
    <w:p w14:paraId="74FC0E2D" w14:textId="77777777" w:rsidR="00C5516F" w:rsidRPr="00A21682" w:rsidRDefault="00C5516F" w:rsidP="001428D8">
      <w:pPr>
        <w:pStyle w:val="NormalNEW"/>
        <w:rPr>
          <w:u w:color="000000"/>
          <w:lang w:val="en-US" w:eastAsia="ko-KR"/>
        </w:rPr>
      </w:pPr>
      <w:r>
        <w:rPr>
          <w:u w:color="000000"/>
          <w:lang w:val="en-US" w:eastAsia="ko-KR"/>
        </w:rPr>
        <w:t>The following workflows within the test management tool tool support SIT, UAT, and Operational Readiness phases of the MECM SDLC.</w:t>
      </w:r>
    </w:p>
    <w:p w14:paraId="04B8BE86" w14:textId="77777777" w:rsidR="00C5516F" w:rsidRPr="00A21682" w:rsidRDefault="00C5516F" w:rsidP="0031550A">
      <w:pPr>
        <w:pStyle w:val="BulletNEW"/>
        <w:rPr>
          <w:u w:color="000000"/>
        </w:rPr>
      </w:pPr>
      <w:r>
        <w:rPr>
          <w:u w:color="000000"/>
        </w:rPr>
        <w:t>Test Case Workflow</w:t>
      </w:r>
    </w:p>
    <w:p w14:paraId="3E71DCFE" w14:textId="77777777" w:rsidR="00C5516F" w:rsidRDefault="00C5516F" w:rsidP="00EC6405">
      <w:pPr>
        <w:pStyle w:val="BulletNEW"/>
        <w:rPr>
          <w:u w:color="000000"/>
        </w:rPr>
      </w:pPr>
      <w:r>
        <w:rPr>
          <w:u w:color="000000"/>
        </w:rPr>
        <w:t>Test Run Workflow</w:t>
      </w:r>
    </w:p>
    <w:p w14:paraId="576B4AA2" w14:textId="77777777" w:rsidR="00BE32D1" w:rsidRDefault="00BE32D1" w:rsidP="00BE32D1">
      <w:pPr>
        <w:pStyle w:val="NormalNEW"/>
        <w:rPr>
          <w:b/>
          <w:bCs/>
          <w:u w:color="000000"/>
          <w:lang w:val="en-US" w:eastAsia="ko-KR"/>
        </w:rPr>
      </w:pPr>
    </w:p>
    <w:p w14:paraId="0B795880" w14:textId="77777777" w:rsidR="00BE32D1" w:rsidRDefault="00BE32D1" w:rsidP="00BE32D1">
      <w:pPr>
        <w:pStyle w:val="NormalNEW"/>
        <w:rPr>
          <w:b/>
          <w:bCs/>
          <w:u w:color="000000"/>
          <w:lang w:val="en-US" w:eastAsia="ko-KR"/>
        </w:rPr>
      </w:pPr>
    </w:p>
    <w:p w14:paraId="706B4900" w14:textId="77777777" w:rsidR="00BE32D1" w:rsidRDefault="00BE32D1" w:rsidP="00BE32D1">
      <w:pPr>
        <w:pStyle w:val="NormalNEW"/>
        <w:rPr>
          <w:b/>
          <w:bCs/>
          <w:u w:color="000000"/>
          <w:lang w:val="en-US" w:eastAsia="ko-KR"/>
        </w:rPr>
      </w:pPr>
    </w:p>
    <w:p w14:paraId="44B0D8A2" w14:textId="4944D34F" w:rsidR="00C5516F" w:rsidRDefault="00C5516F" w:rsidP="00BE32D1">
      <w:pPr>
        <w:pStyle w:val="NormalNEW"/>
        <w:rPr>
          <w:b/>
          <w:bCs/>
          <w:u w:color="000000"/>
          <w:lang w:val="en-US" w:eastAsia="ko-KR"/>
        </w:rPr>
      </w:pPr>
      <w:r>
        <w:rPr>
          <w:b/>
          <w:bCs/>
          <w:u w:color="000000"/>
          <w:lang w:val="en-US" w:eastAsia="ko-KR"/>
        </w:rPr>
        <w:t>Test Case Workflow</w:t>
      </w:r>
    </w:p>
    <w:p w14:paraId="4F738A87" w14:textId="4EAFD153" w:rsidR="00C5516F" w:rsidRPr="00A21682" w:rsidRDefault="00C5516F" w:rsidP="00BE32D1">
      <w:pPr>
        <w:pStyle w:val="NormalNEW"/>
        <w:rPr>
          <w:u w:color="000000"/>
          <w:lang w:val="en-US" w:eastAsia="ko-KR"/>
        </w:rPr>
      </w:pPr>
      <w:r>
        <w:rPr>
          <w:u w:color="000000"/>
          <w:lang w:val="en-US" w:eastAsia="ko-KR"/>
        </w:rPr>
        <w:t>The test case workflow serves as a framework for planning, designing, executing, and tracking software tests. This streamlined process empowers teams to efficiently manage their testing efforts and encourage comprehensive software quality assurance.</w:t>
      </w:r>
    </w:p>
    <w:p w14:paraId="1E96486B" w14:textId="56E09F77" w:rsidR="00C5516F" w:rsidRPr="00A21682" w:rsidRDefault="00C5516F" w:rsidP="00BE32D1">
      <w:pPr>
        <w:pStyle w:val="NormalNEW"/>
        <w:jc w:val="center"/>
        <w:rPr>
          <w:u w:color="000000"/>
          <w:lang w:val="en-US" w:eastAsia="ko-KR"/>
        </w:rPr>
      </w:pPr>
    </w:p>
    <w:p w14:paraId="0664EF84" w14:textId="1B0D8B38" w:rsidR="00C5516F" w:rsidRPr="00A21682" w:rsidRDefault="00C5516F" w:rsidP="005827B3">
      <w:pPr>
        <w:pStyle w:val="Caption"/>
        <w:rPr>
          <w:noProof w:val="0"/>
        </w:rPr>
      </w:pPr>
      <w:bookmarkStart w:id="1538" w:name="_Toc150948958"/>
      <w:bookmarkStart w:id="1539" w:name="_Toc178152045"/>
      <w:bookmarkStart w:id="1540" w:name="_Toc192875058"/>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21</w:t>
      </w:r>
      <w:r>
        <w:rPr>
          <w:noProof w:val="0"/>
        </w:rPr>
        <w:fldChar w:fldCharType="end"/>
      </w:r>
      <w:r>
        <w:rPr>
          <w:noProof w:val="0"/>
        </w:rPr>
        <w:t>: Test Case Workflow</w:t>
      </w:r>
      <w:bookmarkEnd w:id="1538"/>
      <w:bookmarkEnd w:id="1539"/>
      <w:bookmarkEnd w:id="1540"/>
    </w:p>
    <w:p w14:paraId="22042D77" w14:textId="77777777" w:rsidR="00C5516F" w:rsidRPr="00A21682" w:rsidRDefault="00C5516F" w:rsidP="001428D8">
      <w:pPr>
        <w:pStyle w:val="NormalNEW"/>
        <w:rPr>
          <w:u w:color="000000"/>
          <w:lang w:val="en-US"/>
        </w:rPr>
      </w:pPr>
      <w:r>
        <w:rPr>
          <w:u w:color="000000"/>
          <w:lang w:val="en-US"/>
        </w:rPr>
        <w:t>The table below describes each step of the test case workflow.</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508"/>
        <w:gridCol w:w="1980"/>
        <w:gridCol w:w="3960"/>
        <w:gridCol w:w="2904"/>
      </w:tblGrid>
      <w:tr w:rsidR="00C5516F" w:rsidRPr="00A21682" w14:paraId="204E0540" w14:textId="77777777" w:rsidTr="00C968EF">
        <w:trPr>
          <w:trHeight w:val="300"/>
          <w:tblHeader/>
        </w:trPr>
        <w:tc>
          <w:tcPr>
            <w:tcW w:w="508" w:type="dxa"/>
            <w:tcBorders>
              <w:right w:val="single" w:sz="2" w:space="0" w:color="FFFFFF" w:themeColor="background1"/>
            </w:tcBorders>
            <w:shd w:val="clear" w:color="auto" w:fill="000000"/>
            <w:hideMark/>
          </w:tcPr>
          <w:p w14:paraId="1550E78E" w14:textId="77777777" w:rsidR="00C5516F" w:rsidRPr="00A21682" w:rsidRDefault="00C5516F" w:rsidP="00047C4E">
            <w:pPr>
              <w:pStyle w:val="TABLEHEADINGNEW"/>
              <w:rPr>
                <w:color w:val="000000"/>
                <w:u w:color="000000"/>
              </w:rPr>
            </w:pPr>
            <w:r>
              <w:rPr>
                <w:u w:color="000000"/>
              </w:rPr>
              <w:t>#</w:t>
            </w:r>
          </w:p>
        </w:tc>
        <w:tc>
          <w:tcPr>
            <w:tcW w:w="1980" w:type="dxa"/>
            <w:tcBorders>
              <w:left w:val="single" w:sz="2" w:space="0" w:color="FFFFFF" w:themeColor="background1"/>
              <w:right w:val="single" w:sz="2" w:space="0" w:color="FFFFFF" w:themeColor="background1"/>
            </w:tcBorders>
            <w:shd w:val="clear" w:color="auto" w:fill="000000"/>
            <w:hideMark/>
          </w:tcPr>
          <w:p w14:paraId="5BCFE456" w14:textId="77777777" w:rsidR="00C5516F" w:rsidRPr="00A21682" w:rsidRDefault="00C5516F" w:rsidP="00047C4E">
            <w:pPr>
              <w:pStyle w:val="TABLEHEADINGNEW"/>
              <w:rPr>
                <w:color w:val="000000"/>
                <w:u w:color="000000"/>
              </w:rPr>
            </w:pPr>
            <w:r>
              <w:rPr>
                <w:u w:color="000000"/>
              </w:rPr>
              <w:t>Workflow Step</w:t>
            </w:r>
          </w:p>
        </w:tc>
        <w:tc>
          <w:tcPr>
            <w:tcW w:w="3960" w:type="dxa"/>
            <w:tcBorders>
              <w:left w:val="single" w:sz="2" w:space="0" w:color="FFFFFF" w:themeColor="background1"/>
              <w:right w:val="single" w:sz="2" w:space="0" w:color="FFFFFF" w:themeColor="background1"/>
            </w:tcBorders>
            <w:shd w:val="clear" w:color="auto" w:fill="000000"/>
            <w:hideMark/>
          </w:tcPr>
          <w:p w14:paraId="5177A875" w14:textId="77777777" w:rsidR="00C5516F" w:rsidRPr="00A21682" w:rsidRDefault="00C5516F" w:rsidP="00047C4E">
            <w:pPr>
              <w:pStyle w:val="TABLEHEADINGNEW"/>
              <w:rPr>
                <w:color w:val="000000"/>
                <w:u w:color="000000"/>
              </w:rPr>
            </w:pPr>
            <w:r>
              <w:rPr>
                <w:u w:color="000000"/>
              </w:rPr>
              <w:t>Description</w:t>
            </w:r>
          </w:p>
        </w:tc>
        <w:tc>
          <w:tcPr>
            <w:tcW w:w="2904" w:type="dxa"/>
            <w:tcBorders>
              <w:left w:val="single" w:sz="2" w:space="0" w:color="FFFFFF" w:themeColor="background1"/>
            </w:tcBorders>
            <w:shd w:val="clear" w:color="auto" w:fill="000000"/>
          </w:tcPr>
          <w:p w14:paraId="76867BF3" w14:textId="77777777" w:rsidR="00C5516F" w:rsidRPr="00A21682" w:rsidRDefault="00C5516F" w:rsidP="00047C4E">
            <w:pPr>
              <w:pStyle w:val="TABLEHEADINGNEW"/>
              <w:rPr>
                <w:u w:color="000000"/>
              </w:rPr>
            </w:pPr>
            <w:r>
              <w:rPr>
                <w:u w:color="000000"/>
              </w:rPr>
              <w:t>Step Owner</w:t>
            </w:r>
          </w:p>
        </w:tc>
      </w:tr>
      <w:tr w:rsidR="00C5516F" w:rsidRPr="00A21682" w14:paraId="57C30660" w14:textId="77777777" w:rsidTr="00047C4E">
        <w:trPr>
          <w:trHeight w:val="300"/>
        </w:trPr>
        <w:tc>
          <w:tcPr>
            <w:tcW w:w="508" w:type="dxa"/>
          </w:tcPr>
          <w:p w14:paraId="6C2C3859" w14:textId="77777777" w:rsidR="00C5516F" w:rsidRPr="00A21682" w:rsidRDefault="00C5516F" w:rsidP="00047C4E">
            <w:pPr>
              <w:pStyle w:val="TABLETEXT1"/>
              <w:rPr>
                <w:u w:color="000000"/>
                <w:lang w:val="en-US"/>
              </w:rPr>
            </w:pPr>
            <w:r>
              <w:rPr>
                <w:u w:color="000000"/>
                <w:lang w:val="en-US"/>
              </w:rPr>
              <w:t>1</w:t>
            </w:r>
          </w:p>
        </w:tc>
        <w:tc>
          <w:tcPr>
            <w:tcW w:w="1980" w:type="dxa"/>
          </w:tcPr>
          <w:p w14:paraId="777A8ED6" w14:textId="77777777" w:rsidR="00C5516F" w:rsidRPr="00A21682" w:rsidRDefault="00C5516F" w:rsidP="00047C4E">
            <w:pPr>
              <w:pStyle w:val="TABLETEXT1"/>
              <w:rPr>
                <w:u w:color="000000"/>
                <w:lang w:val="en-US"/>
              </w:rPr>
            </w:pPr>
            <w:r>
              <w:rPr>
                <w:u w:color="000000"/>
                <w:lang w:val="en-US"/>
              </w:rPr>
              <w:t>New</w:t>
            </w:r>
          </w:p>
        </w:tc>
        <w:tc>
          <w:tcPr>
            <w:tcW w:w="3960" w:type="dxa"/>
          </w:tcPr>
          <w:p w14:paraId="33C6A626" w14:textId="3A0F3559" w:rsidR="00C5516F" w:rsidRPr="00A21682" w:rsidRDefault="00C5516F" w:rsidP="003610DC">
            <w:pPr>
              <w:pStyle w:val="TABLETEXT1"/>
              <w:rPr>
                <w:rFonts w:eastAsia="Segoe UI"/>
                <w:u w:color="000000"/>
                <w:lang w:val="en-US"/>
              </w:rPr>
            </w:pPr>
            <w:r>
              <w:rPr>
                <w:rFonts w:eastAsia="Segoe UI"/>
                <w:u w:color="000000"/>
                <w:lang w:val="en-US"/>
              </w:rPr>
              <w:t xml:space="preserve">Tester identifies test scenarios and starts writing test cases </w:t>
            </w:r>
          </w:p>
        </w:tc>
        <w:tc>
          <w:tcPr>
            <w:tcW w:w="2904" w:type="dxa"/>
          </w:tcPr>
          <w:p w14:paraId="66E0C3C3" w14:textId="77777777" w:rsidR="00C5516F" w:rsidRPr="00635C9B" w:rsidRDefault="00C5516F" w:rsidP="00CC45BC">
            <w:pPr>
              <w:pStyle w:val="TABLEBULLETNEW"/>
            </w:pPr>
            <w:r>
              <w:t>Tester</w:t>
            </w:r>
          </w:p>
        </w:tc>
      </w:tr>
      <w:tr w:rsidR="00C5516F" w:rsidRPr="00A21682" w14:paraId="13AC2C43" w14:textId="77777777" w:rsidTr="00047C4E">
        <w:trPr>
          <w:trHeight w:val="300"/>
        </w:trPr>
        <w:tc>
          <w:tcPr>
            <w:tcW w:w="508" w:type="dxa"/>
          </w:tcPr>
          <w:p w14:paraId="6FD87859" w14:textId="77777777" w:rsidR="00C5516F" w:rsidRPr="00A21682" w:rsidRDefault="00C5516F" w:rsidP="00047C4E">
            <w:pPr>
              <w:pStyle w:val="TABLETEXT1"/>
              <w:rPr>
                <w:u w:color="000000"/>
                <w:lang w:val="en-US"/>
              </w:rPr>
            </w:pPr>
            <w:r>
              <w:rPr>
                <w:u w:color="000000"/>
                <w:lang w:val="en-US"/>
              </w:rPr>
              <w:t>2</w:t>
            </w:r>
          </w:p>
        </w:tc>
        <w:tc>
          <w:tcPr>
            <w:tcW w:w="1980" w:type="dxa"/>
          </w:tcPr>
          <w:p w14:paraId="5E8DE89D" w14:textId="77777777" w:rsidR="00C5516F" w:rsidRPr="00A21682" w:rsidRDefault="00C5516F" w:rsidP="00047C4E">
            <w:pPr>
              <w:pStyle w:val="TABLETEXT1"/>
              <w:rPr>
                <w:u w:color="000000"/>
                <w:lang w:val="en-US"/>
              </w:rPr>
            </w:pPr>
            <w:r>
              <w:rPr>
                <w:u w:color="000000"/>
                <w:lang w:val="en-US"/>
              </w:rPr>
              <w:t>Authoring</w:t>
            </w:r>
          </w:p>
        </w:tc>
        <w:tc>
          <w:tcPr>
            <w:tcW w:w="3960" w:type="dxa"/>
          </w:tcPr>
          <w:p w14:paraId="0521B9A9" w14:textId="77777777" w:rsidR="00C5516F" w:rsidRPr="00A21682" w:rsidRDefault="00C5516F" w:rsidP="003610DC">
            <w:pPr>
              <w:pStyle w:val="TABLETEXT1"/>
              <w:rPr>
                <w:rFonts w:eastAsia="Segoe UI"/>
                <w:u w:color="000000"/>
                <w:lang w:val="en-US"/>
              </w:rPr>
            </w:pPr>
            <w:r>
              <w:rPr>
                <w:rFonts w:eastAsia="Segoe UI"/>
                <w:u w:color="000000"/>
                <w:lang w:val="en-US"/>
              </w:rPr>
              <w:t>Tester authors the test cases and test cases are reviewed by the test lead</w:t>
            </w:r>
          </w:p>
        </w:tc>
        <w:tc>
          <w:tcPr>
            <w:tcW w:w="2904" w:type="dxa"/>
          </w:tcPr>
          <w:p w14:paraId="79DC4E13" w14:textId="77777777" w:rsidR="00C5516F" w:rsidRPr="00635C9B" w:rsidRDefault="00C5516F" w:rsidP="00CC45BC">
            <w:pPr>
              <w:pStyle w:val="TABLEBULLETNEW"/>
            </w:pPr>
            <w:r>
              <w:t>███████ Test Lead</w:t>
            </w:r>
          </w:p>
        </w:tc>
      </w:tr>
      <w:tr w:rsidR="00C5516F" w:rsidRPr="00A21682" w14:paraId="2D284DED" w14:textId="77777777" w:rsidTr="00047C4E">
        <w:trPr>
          <w:trHeight w:val="300"/>
        </w:trPr>
        <w:tc>
          <w:tcPr>
            <w:tcW w:w="508" w:type="dxa"/>
          </w:tcPr>
          <w:p w14:paraId="4F2AB578" w14:textId="77777777" w:rsidR="00C5516F" w:rsidRPr="00A21682" w:rsidRDefault="00C5516F" w:rsidP="00047C4E">
            <w:pPr>
              <w:pStyle w:val="TABLETEXT1"/>
              <w:rPr>
                <w:u w:color="000000"/>
                <w:lang w:val="en-US"/>
              </w:rPr>
            </w:pPr>
            <w:r>
              <w:rPr>
                <w:u w:color="000000"/>
                <w:lang w:val="en-US"/>
              </w:rPr>
              <w:lastRenderedPageBreak/>
              <w:t>3</w:t>
            </w:r>
          </w:p>
        </w:tc>
        <w:tc>
          <w:tcPr>
            <w:tcW w:w="1980" w:type="dxa"/>
          </w:tcPr>
          <w:p w14:paraId="3480A019" w14:textId="77777777" w:rsidR="00C5516F" w:rsidRPr="00A21682" w:rsidRDefault="00C5516F" w:rsidP="00047C4E">
            <w:pPr>
              <w:pStyle w:val="TABLETEXT1"/>
              <w:rPr>
                <w:u w:color="000000"/>
                <w:lang w:val="en-US"/>
              </w:rPr>
            </w:pPr>
            <w:r>
              <w:rPr>
                <w:u w:color="000000"/>
                <w:lang w:val="en-US"/>
              </w:rPr>
              <w:t>Review in Progress</w:t>
            </w:r>
          </w:p>
        </w:tc>
        <w:tc>
          <w:tcPr>
            <w:tcW w:w="3960" w:type="dxa"/>
          </w:tcPr>
          <w:p w14:paraId="458AC150" w14:textId="77777777" w:rsidR="00C5516F" w:rsidRPr="00A21682" w:rsidRDefault="00C5516F" w:rsidP="003610DC">
            <w:pPr>
              <w:pStyle w:val="TABLETEXT1"/>
              <w:rPr>
                <w:rFonts w:eastAsia="Segoe UI"/>
                <w:u w:color="000000"/>
                <w:lang w:val="en-US"/>
              </w:rPr>
            </w:pPr>
            <w:r>
              <w:rPr>
                <w:rFonts w:eastAsia="Segoe UI"/>
                <w:u w:color="000000"/>
                <w:lang w:val="en-US"/>
              </w:rPr>
              <w:t>Functional track lead reviews and approves the test cases</w:t>
            </w:r>
          </w:p>
        </w:tc>
        <w:tc>
          <w:tcPr>
            <w:tcW w:w="2904" w:type="dxa"/>
          </w:tcPr>
          <w:p w14:paraId="7726F8EB" w14:textId="77777777" w:rsidR="00C5516F" w:rsidRPr="00635C9B" w:rsidRDefault="00C5516F" w:rsidP="00CC45BC">
            <w:pPr>
              <w:pStyle w:val="TABLEBULLETNEW"/>
            </w:pPr>
            <w:r>
              <w:t>███████ Functional Manager</w:t>
            </w:r>
          </w:p>
        </w:tc>
      </w:tr>
      <w:tr w:rsidR="00C5516F" w:rsidRPr="00A21682" w14:paraId="7CDEAB85" w14:textId="77777777" w:rsidTr="00047C4E">
        <w:trPr>
          <w:trHeight w:val="300"/>
        </w:trPr>
        <w:tc>
          <w:tcPr>
            <w:tcW w:w="508" w:type="dxa"/>
          </w:tcPr>
          <w:p w14:paraId="7E424EFE" w14:textId="77777777" w:rsidR="00C5516F" w:rsidRPr="00A21682" w:rsidRDefault="00C5516F" w:rsidP="00047C4E">
            <w:pPr>
              <w:pStyle w:val="TABLETEXT1"/>
              <w:rPr>
                <w:u w:color="000000"/>
                <w:lang w:val="en-US"/>
              </w:rPr>
            </w:pPr>
            <w:r>
              <w:rPr>
                <w:u w:color="000000"/>
                <w:lang w:val="en-US"/>
              </w:rPr>
              <w:t>4</w:t>
            </w:r>
          </w:p>
        </w:tc>
        <w:tc>
          <w:tcPr>
            <w:tcW w:w="1980" w:type="dxa"/>
          </w:tcPr>
          <w:p w14:paraId="50DD5491" w14:textId="77777777" w:rsidR="00C5516F" w:rsidRPr="00A21682" w:rsidRDefault="00C5516F" w:rsidP="00047C4E">
            <w:pPr>
              <w:pStyle w:val="TABLETEXT1"/>
              <w:rPr>
                <w:u w:color="000000"/>
                <w:lang w:val="en-US"/>
              </w:rPr>
            </w:pPr>
            <w:r>
              <w:rPr>
                <w:u w:color="000000"/>
                <w:lang w:val="en-US"/>
              </w:rPr>
              <w:t>Finalized</w:t>
            </w:r>
          </w:p>
        </w:tc>
        <w:tc>
          <w:tcPr>
            <w:tcW w:w="3960" w:type="dxa"/>
          </w:tcPr>
          <w:p w14:paraId="560226E6" w14:textId="77777777" w:rsidR="00C5516F" w:rsidRPr="00A21682" w:rsidRDefault="00C5516F" w:rsidP="003610DC">
            <w:pPr>
              <w:pStyle w:val="TABLETEXT1"/>
              <w:rPr>
                <w:rFonts w:eastAsia="Segoe UI"/>
                <w:u w:color="000000"/>
                <w:lang w:val="en-US"/>
              </w:rPr>
            </w:pPr>
            <w:r>
              <w:rPr>
                <w:rFonts w:eastAsia="Segoe UI"/>
                <w:u w:color="000000"/>
                <w:lang w:val="en-US"/>
              </w:rPr>
              <w:t xml:space="preserve">Tester updates the test cases as per comments received by functional team </w:t>
            </w:r>
          </w:p>
        </w:tc>
        <w:tc>
          <w:tcPr>
            <w:tcW w:w="2904" w:type="dxa"/>
          </w:tcPr>
          <w:p w14:paraId="2B9B38CC" w14:textId="77777777" w:rsidR="00C5516F" w:rsidRPr="00635C9B" w:rsidRDefault="00C5516F" w:rsidP="00CC45BC">
            <w:pPr>
              <w:pStyle w:val="TABLEBULLETNEW"/>
            </w:pPr>
            <w:r>
              <w:t>Tester</w:t>
            </w:r>
          </w:p>
        </w:tc>
      </w:tr>
    </w:tbl>
    <w:p w14:paraId="0566FD1D" w14:textId="36766A77" w:rsidR="00C5516F" w:rsidRPr="00A21682" w:rsidRDefault="00C5516F" w:rsidP="005827B3">
      <w:pPr>
        <w:pStyle w:val="Caption"/>
        <w:rPr>
          <w:noProof w:val="0"/>
        </w:rPr>
      </w:pPr>
      <w:bookmarkStart w:id="1541" w:name="_Toc150951936"/>
      <w:bookmarkStart w:id="1542" w:name="_Toc192875151"/>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66</w:t>
      </w:r>
      <w:r>
        <w:rPr>
          <w:noProof w:val="0"/>
        </w:rPr>
        <w:fldChar w:fldCharType="end"/>
      </w:r>
      <w:r>
        <w:rPr>
          <w:noProof w:val="0"/>
        </w:rPr>
        <w:t>: Test Case Workflow Narrative</w:t>
      </w:r>
      <w:bookmarkEnd w:id="1541"/>
      <w:bookmarkEnd w:id="1542"/>
    </w:p>
    <w:p w14:paraId="5B08F54F" w14:textId="77777777" w:rsidR="00C5516F" w:rsidRPr="00A21682" w:rsidRDefault="00C5516F" w:rsidP="00810292">
      <w:pPr>
        <w:pStyle w:val="NormalNEW"/>
        <w:keepNext/>
        <w:rPr>
          <w:b/>
          <w:bCs/>
          <w:u w:color="000000"/>
          <w:lang w:val="en-US" w:eastAsia="ko-KR"/>
        </w:rPr>
      </w:pPr>
      <w:r>
        <w:rPr>
          <w:b/>
          <w:bCs/>
          <w:u w:color="000000"/>
          <w:lang w:val="en-US" w:eastAsia="ko-KR"/>
        </w:rPr>
        <w:t>Test Run Workflow</w:t>
      </w:r>
    </w:p>
    <w:p w14:paraId="01B7C540" w14:textId="77777777" w:rsidR="00C5516F" w:rsidRPr="00A21682" w:rsidRDefault="00C5516F" w:rsidP="001428D8">
      <w:pPr>
        <w:pStyle w:val="NormalNEW"/>
        <w:rPr>
          <w:u w:color="000000"/>
          <w:lang w:val="en-US"/>
        </w:rPr>
      </w:pPr>
      <w:r>
        <w:rPr>
          <w:u w:color="000000"/>
          <w:lang w:val="en-US"/>
        </w:rPr>
        <w:t>The test run workflow is a fundamental framework that enables teams to initiate, execute, and monitor test cycles with precision.</w:t>
      </w:r>
    </w:p>
    <w:p w14:paraId="0216CACC" w14:textId="77777777" w:rsidR="00C5516F" w:rsidRPr="00A21682" w:rsidRDefault="00C5516F" w:rsidP="001428D8">
      <w:pPr>
        <w:pStyle w:val="NormalNEW"/>
        <w:jc w:val="center"/>
        <w:rPr>
          <w:u w:color="000000"/>
          <w:lang w:val="en-US"/>
        </w:rPr>
      </w:pPr>
      <w:r>
        <w:rPr>
          <w:noProof/>
          <w:u w:color="000000"/>
          <w:lang w:val="en-US"/>
        </w:rPr>
        <w:drawing>
          <wp:inline distT="0" distB="0" distL="0" distR="0" wp14:anchorId="2CCFF809" wp14:editId="6F0140F6">
            <wp:extent cx="5943600" cy="3597275"/>
            <wp:effectExtent l="19050" t="19050" r="19050" b="222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3597275"/>
                    </a:xfrm>
                    <a:prstGeom prst="rect">
                      <a:avLst/>
                    </a:prstGeom>
                    <a:ln w="9525">
                      <a:solidFill>
                        <a:schemeClr val="tx1"/>
                      </a:solidFill>
                    </a:ln>
                  </pic:spPr>
                </pic:pic>
              </a:graphicData>
            </a:graphic>
          </wp:inline>
        </w:drawing>
      </w:r>
    </w:p>
    <w:p w14:paraId="3F6E9D79" w14:textId="40054F6A" w:rsidR="00C5516F" w:rsidRPr="00A21682" w:rsidRDefault="00C5516F" w:rsidP="005827B3">
      <w:pPr>
        <w:pStyle w:val="Caption"/>
        <w:rPr>
          <w:noProof w:val="0"/>
        </w:rPr>
      </w:pPr>
      <w:bookmarkStart w:id="1543" w:name="_Toc150948959"/>
      <w:bookmarkStart w:id="1544" w:name="_Toc178152046"/>
      <w:bookmarkStart w:id="1545" w:name="_Toc192875059"/>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22</w:t>
      </w:r>
      <w:r>
        <w:rPr>
          <w:noProof w:val="0"/>
        </w:rPr>
        <w:fldChar w:fldCharType="end"/>
      </w:r>
      <w:bookmarkEnd w:id="1543"/>
      <w:r>
        <w:rPr>
          <w:noProof w:val="0"/>
        </w:rPr>
        <w:t>: Test Run Workflow</w:t>
      </w:r>
      <w:bookmarkEnd w:id="1544"/>
      <w:bookmarkEnd w:id="1545"/>
    </w:p>
    <w:p w14:paraId="119BFFA0" w14:textId="77777777" w:rsidR="00C5516F" w:rsidRPr="00A21682" w:rsidRDefault="00C5516F" w:rsidP="001428D8">
      <w:pPr>
        <w:pStyle w:val="NormalNEW"/>
        <w:rPr>
          <w:u w:color="000000"/>
          <w:lang w:val="en-US"/>
        </w:rPr>
      </w:pPr>
      <w:r>
        <w:rPr>
          <w:u w:color="000000"/>
          <w:lang w:val="en-US"/>
        </w:rPr>
        <w:t>The table below describes each step of the test case workflow.</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4"/>
        <w:gridCol w:w="1988"/>
        <w:gridCol w:w="4566"/>
        <w:gridCol w:w="2184"/>
      </w:tblGrid>
      <w:tr w:rsidR="00C5516F" w:rsidRPr="00A21682" w14:paraId="63A5A0C1" w14:textId="77777777" w:rsidTr="00C968EF">
        <w:trPr>
          <w:trHeight w:val="300"/>
          <w:tblHeader/>
        </w:trPr>
        <w:tc>
          <w:tcPr>
            <w:tcW w:w="614" w:type="dxa"/>
            <w:tcBorders>
              <w:right w:val="single" w:sz="2" w:space="0" w:color="FFFFFF" w:themeColor="background1"/>
            </w:tcBorders>
            <w:shd w:val="clear" w:color="auto" w:fill="000000"/>
            <w:hideMark/>
          </w:tcPr>
          <w:p w14:paraId="28AA52B3" w14:textId="77777777" w:rsidR="00C5516F" w:rsidRPr="00A21682" w:rsidRDefault="00C5516F" w:rsidP="00047C4E">
            <w:pPr>
              <w:pStyle w:val="TABLEHEADINGNEW"/>
            </w:pPr>
            <w:r>
              <w:t>#</w:t>
            </w:r>
          </w:p>
        </w:tc>
        <w:tc>
          <w:tcPr>
            <w:tcW w:w="1988" w:type="dxa"/>
            <w:tcBorders>
              <w:left w:val="single" w:sz="2" w:space="0" w:color="FFFFFF" w:themeColor="background1"/>
              <w:right w:val="single" w:sz="2" w:space="0" w:color="FFFFFF" w:themeColor="background1"/>
            </w:tcBorders>
            <w:shd w:val="clear" w:color="auto" w:fill="000000"/>
            <w:hideMark/>
          </w:tcPr>
          <w:p w14:paraId="293371FF" w14:textId="77777777" w:rsidR="00C5516F" w:rsidRPr="00A21682" w:rsidRDefault="00C5516F" w:rsidP="00047C4E">
            <w:pPr>
              <w:pStyle w:val="TABLEHEADINGNEW"/>
            </w:pPr>
            <w:r>
              <w:t>Workflow Step</w:t>
            </w:r>
          </w:p>
        </w:tc>
        <w:tc>
          <w:tcPr>
            <w:tcW w:w="4566" w:type="dxa"/>
            <w:tcBorders>
              <w:left w:val="single" w:sz="2" w:space="0" w:color="FFFFFF" w:themeColor="background1"/>
              <w:right w:val="single" w:sz="2" w:space="0" w:color="FFFFFF" w:themeColor="background1"/>
            </w:tcBorders>
            <w:shd w:val="clear" w:color="auto" w:fill="000000"/>
            <w:hideMark/>
          </w:tcPr>
          <w:p w14:paraId="35A91CBA" w14:textId="77777777" w:rsidR="00C5516F" w:rsidRPr="00A21682" w:rsidRDefault="00C5516F" w:rsidP="00047C4E">
            <w:pPr>
              <w:pStyle w:val="TABLEHEADINGNEW"/>
            </w:pPr>
            <w:r>
              <w:t>Description</w:t>
            </w:r>
          </w:p>
        </w:tc>
        <w:tc>
          <w:tcPr>
            <w:tcW w:w="2184" w:type="dxa"/>
            <w:tcBorders>
              <w:left w:val="single" w:sz="2" w:space="0" w:color="FFFFFF" w:themeColor="background1"/>
            </w:tcBorders>
            <w:shd w:val="clear" w:color="auto" w:fill="000000"/>
          </w:tcPr>
          <w:p w14:paraId="33BFE449" w14:textId="77777777" w:rsidR="00C5516F" w:rsidRPr="00A21682" w:rsidRDefault="00C5516F" w:rsidP="00047C4E">
            <w:pPr>
              <w:pStyle w:val="TABLEHEADINGNEW"/>
            </w:pPr>
            <w:r>
              <w:t>Step Owner</w:t>
            </w:r>
          </w:p>
        </w:tc>
      </w:tr>
      <w:tr w:rsidR="00C5516F" w:rsidRPr="00A21682" w14:paraId="7011240A" w14:textId="77777777" w:rsidTr="00047C4E">
        <w:trPr>
          <w:trHeight w:val="300"/>
        </w:trPr>
        <w:tc>
          <w:tcPr>
            <w:tcW w:w="614" w:type="dxa"/>
          </w:tcPr>
          <w:p w14:paraId="6414FCF4" w14:textId="77777777" w:rsidR="00C5516F" w:rsidRPr="00A21682" w:rsidRDefault="00C5516F" w:rsidP="00047C4E">
            <w:pPr>
              <w:pStyle w:val="TABLETEXT1"/>
              <w:rPr>
                <w:lang w:val="en-US"/>
              </w:rPr>
            </w:pPr>
            <w:r>
              <w:rPr>
                <w:lang w:val="en-US"/>
              </w:rPr>
              <w:t>1</w:t>
            </w:r>
          </w:p>
        </w:tc>
        <w:tc>
          <w:tcPr>
            <w:tcW w:w="1988" w:type="dxa"/>
          </w:tcPr>
          <w:p w14:paraId="14390B9D" w14:textId="77777777" w:rsidR="00C5516F" w:rsidRPr="00A21682" w:rsidRDefault="00C5516F" w:rsidP="00047C4E">
            <w:pPr>
              <w:pStyle w:val="TABLETEXT1"/>
              <w:rPr>
                <w:lang w:val="en-US"/>
              </w:rPr>
            </w:pPr>
            <w:r>
              <w:rPr>
                <w:lang w:val="en-US"/>
              </w:rPr>
              <w:t>To Do</w:t>
            </w:r>
          </w:p>
        </w:tc>
        <w:tc>
          <w:tcPr>
            <w:tcW w:w="4566" w:type="dxa"/>
          </w:tcPr>
          <w:p w14:paraId="6B7F39E2" w14:textId="77777777" w:rsidR="00C5516F" w:rsidRPr="00A21682" w:rsidRDefault="00C5516F" w:rsidP="003610DC">
            <w:pPr>
              <w:pStyle w:val="TABLETEXT1"/>
              <w:rPr>
                <w:lang w:val="en-US"/>
              </w:rPr>
            </w:pPr>
            <w:r>
              <w:rPr>
                <w:lang w:val="en-US"/>
              </w:rPr>
              <w:t>Test Run is ‘TO DO’ when it is pulled into an execution cycle in X-Ray</w:t>
            </w:r>
          </w:p>
        </w:tc>
        <w:tc>
          <w:tcPr>
            <w:tcW w:w="2184" w:type="dxa"/>
          </w:tcPr>
          <w:p w14:paraId="0ADC879E" w14:textId="77777777" w:rsidR="00C5516F" w:rsidRPr="00635C9B" w:rsidRDefault="00C5516F" w:rsidP="00CC45BC">
            <w:pPr>
              <w:pStyle w:val="TABLEBULLETNEW"/>
            </w:pPr>
            <w:r>
              <w:t>SIT Tester</w:t>
            </w:r>
          </w:p>
          <w:p w14:paraId="494B7D42" w14:textId="77777777" w:rsidR="00C5516F" w:rsidRPr="00635C9B" w:rsidRDefault="00C5516F" w:rsidP="00CC45BC">
            <w:pPr>
              <w:pStyle w:val="TABLEBULLETNEW"/>
            </w:pPr>
            <w:r>
              <w:t>UAT Tester</w:t>
            </w:r>
          </w:p>
        </w:tc>
      </w:tr>
      <w:tr w:rsidR="00C5516F" w:rsidRPr="00A21682" w14:paraId="003FB450" w14:textId="77777777" w:rsidTr="00047C4E">
        <w:trPr>
          <w:trHeight w:val="300"/>
        </w:trPr>
        <w:tc>
          <w:tcPr>
            <w:tcW w:w="614" w:type="dxa"/>
          </w:tcPr>
          <w:p w14:paraId="5CA09662" w14:textId="77777777" w:rsidR="00C5516F" w:rsidRPr="00A21682" w:rsidRDefault="00C5516F" w:rsidP="00047C4E">
            <w:pPr>
              <w:pStyle w:val="TABLETEXT1"/>
              <w:rPr>
                <w:lang w:val="en-US"/>
              </w:rPr>
            </w:pPr>
            <w:r>
              <w:rPr>
                <w:lang w:val="en-US"/>
              </w:rPr>
              <w:t>2</w:t>
            </w:r>
          </w:p>
        </w:tc>
        <w:tc>
          <w:tcPr>
            <w:tcW w:w="1988" w:type="dxa"/>
          </w:tcPr>
          <w:p w14:paraId="17B60618" w14:textId="77777777" w:rsidR="00C5516F" w:rsidRPr="00A21682" w:rsidRDefault="00C5516F" w:rsidP="00047C4E">
            <w:pPr>
              <w:pStyle w:val="TABLETEXT1"/>
              <w:rPr>
                <w:lang w:val="en-US"/>
              </w:rPr>
            </w:pPr>
            <w:r>
              <w:rPr>
                <w:lang w:val="en-US"/>
              </w:rPr>
              <w:t>Executing</w:t>
            </w:r>
          </w:p>
        </w:tc>
        <w:tc>
          <w:tcPr>
            <w:tcW w:w="4566" w:type="dxa"/>
          </w:tcPr>
          <w:p w14:paraId="3D148E0D" w14:textId="77777777" w:rsidR="00C5516F" w:rsidRPr="00A21682" w:rsidRDefault="00C5516F" w:rsidP="003610DC">
            <w:pPr>
              <w:pStyle w:val="TABLETEXT1"/>
              <w:rPr>
                <w:lang w:val="en-US"/>
              </w:rPr>
            </w:pPr>
            <w:r>
              <w:rPr>
                <w:lang w:val="en-US"/>
              </w:rPr>
              <w:t>Test Run is in ‘Executing’ status when Tester moves test cases to Executing status upon starting the Execution</w:t>
            </w:r>
          </w:p>
        </w:tc>
        <w:tc>
          <w:tcPr>
            <w:tcW w:w="2184" w:type="dxa"/>
          </w:tcPr>
          <w:p w14:paraId="589A5F90" w14:textId="77777777" w:rsidR="00C5516F" w:rsidRPr="00635C9B" w:rsidRDefault="00C5516F" w:rsidP="00CC45BC">
            <w:pPr>
              <w:pStyle w:val="TABLEBULLETNEW"/>
            </w:pPr>
            <w:r>
              <w:t>SIT Tester</w:t>
            </w:r>
          </w:p>
          <w:p w14:paraId="35510529" w14:textId="77777777" w:rsidR="00C5516F" w:rsidRPr="00635C9B" w:rsidRDefault="00C5516F" w:rsidP="00CC45BC">
            <w:pPr>
              <w:pStyle w:val="TABLEBULLETNEW"/>
            </w:pPr>
            <w:r>
              <w:t>UAT Tester</w:t>
            </w:r>
          </w:p>
        </w:tc>
      </w:tr>
      <w:tr w:rsidR="00C5516F" w:rsidRPr="00A21682" w14:paraId="35F4E0FD" w14:textId="77777777" w:rsidTr="00047C4E">
        <w:trPr>
          <w:trHeight w:val="300"/>
        </w:trPr>
        <w:tc>
          <w:tcPr>
            <w:tcW w:w="614" w:type="dxa"/>
          </w:tcPr>
          <w:p w14:paraId="26F5204E" w14:textId="77777777" w:rsidR="00C5516F" w:rsidRPr="00A21682" w:rsidRDefault="00C5516F" w:rsidP="00047C4E">
            <w:pPr>
              <w:pStyle w:val="TABLETEXT1"/>
              <w:rPr>
                <w:lang w:val="en-US"/>
              </w:rPr>
            </w:pPr>
            <w:r>
              <w:rPr>
                <w:lang w:val="en-US"/>
              </w:rPr>
              <w:t>3</w:t>
            </w:r>
          </w:p>
        </w:tc>
        <w:tc>
          <w:tcPr>
            <w:tcW w:w="1988" w:type="dxa"/>
          </w:tcPr>
          <w:p w14:paraId="24E50F81" w14:textId="77777777" w:rsidR="00C5516F" w:rsidRPr="00A21682" w:rsidRDefault="00C5516F" w:rsidP="00047C4E">
            <w:pPr>
              <w:pStyle w:val="TABLETEXT1"/>
              <w:rPr>
                <w:lang w:val="en-US"/>
              </w:rPr>
            </w:pPr>
            <w:r>
              <w:rPr>
                <w:lang w:val="en-US"/>
              </w:rPr>
              <w:t>Failed</w:t>
            </w:r>
          </w:p>
        </w:tc>
        <w:tc>
          <w:tcPr>
            <w:tcW w:w="4566" w:type="dxa"/>
          </w:tcPr>
          <w:p w14:paraId="7EB5894C" w14:textId="7F5274FC" w:rsidR="00C5516F" w:rsidRPr="00A21682" w:rsidRDefault="00C5516F" w:rsidP="003610DC">
            <w:pPr>
              <w:pStyle w:val="TABLETEXT1"/>
              <w:rPr>
                <w:lang w:val="en-US"/>
              </w:rPr>
            </w:pPr>
            <w:r>
              <w:rPr>
                <w:lang w:val="en-US"/>
              </w:rPr>
              <w:t>Test Run is ‘Failed’ if the test case validation fails. A defect is raised and linked to the TC</w:t>
            </w:r>
          </w:p>
        </w:tc>
        <w:tc>
          <w:tcPr>
            <w:tcW w:w="2184" w:type="dxa"/>
          </w:tcPr>
          <w:p w14:paraId="1561194F" w14:textId="77777777" w:rsidR="00C5516F" w:rsidRPr="00635C9B" w:rsidRDefault="00C5516F" w:rsidP="00CC45BC">
            <w:pPr>
              <w:pStyle w:val="TABLEBULLETNEW"/>
            </w:pPr>
            <w:r>
              <w:t>SIT Tester</w:t>
            </w:r>
          </w:p>
          <w:p w14:paraId="49149715" w14:textId="77777777" w:rsidR="00C5516F" w:rsidRPr="00635C9B" w:rsidRDefault="00C5516F" w:rsidP="00CC45BC">
            <w:pPr>
              <w:pStyle w:val="TABLEBULLETNEW"/>
            </w:pPr>
            <w:r>
              <w:t>UAT Tester</w:t>
            </w:r>
          </w:p>
        </w:tc>
      </w:tr>
      <w:tr w:rsidR="00C5516F" w:rsidRPr="00A21682" w14:paraId="2951B958" w14:textId="77777777" w:rsidTr="00047C4E">
        <w:trPr>
          <w:trHeight w:val="300"/>
        </w:trPr>
        <w:tc>
          <w:tcPr>
            <w:tcW w:w="614" w:type="dxa"/>
          </w:tcPr>
          <w:p w14:paraId="0E681405" w14:textId="77777777" w:rsidR="00C5516F" w:rsidRPr="00A21682" w:rsidRDefault="00C5516F" w:rsidP="00047C4E">
            <w:pPr>
              <w:pStyle w:val="TABLETEXT1"/>
              <w:rPr>
                <w:lang w:val="en-US"/>
              </w:rPr>
            </w:pPr>
            <w:r>
              <w:rPr>
                <w:lang w:val="en-US"/>
              </w:rPr>
              <w:lastRenderedPageBreak/>
              <w:t>4</w:t>
            </w:r>
          </w:p>
        </w:tc>
        <w:tc>
          <w:tcPr>
            <w:tcW w:w="1988" w:type="dxa"/>
          </w:tcPr>
          <w:p w14:paraId="49D4A994" w14:textId="77777777" w:rsidR="00C5516F" w:rsidRPr="00A21682" w:rsidRDefault="00C5516F" w:rsidP="00047C4E">
            <w:pPr>
              <w:pStyle w:val="TABLETEXT1"/>
              <w:rPr>
                <w:lang w:val="en-US"/>
              </w:rPr>
            </w:pPr>
            <w:r>
              <w:rPr>
                <w:lang w:val="en-US"/>
              </w:rPr>
              <w:t>Passed</w:t>
            </w:r>
          </w:p>
        </w:tc>
        <w:tc>
          <w:tcPr>
            <w:tcW w:w="4566" w:type="dxa"/>
          </w:tcPr>
          <w:p w14:paraId="3CCA23C5" w14:textId="195ED9D1" w:rsidR="00C5516F" w:rsidRPr="00A21682" w:rsidRDefault="00C5516F" w:rsidP="003610DC">
            <w:pPr>
              <w:pStyle w:val="TABLETEXT1"/>
              <w:rPr>
                <w:lang w:val="en-US"/>
              </w:rPr>
            </w:pPr>
            <w:r>
              <w:rPr>
                <w:lang w:val="en-US"/>
              </w:rPr>
              <w:t>Test Run is ‘Passed’ if tester is successfully able to verify all test steps</w:t>
            </w:r>
          </w:p>
        </w:tc>
        <w:tc>
          <w:tcPr>
            <w:tcW w:w="2184" w:type="dxa"/>
          </w:tcPr>
          <w:p w14:paraId="31CB131C" w14:textId="77777777" w:rsidR="00C5516F" w:rsidRPr="00635C9B" w:rsidRDefault="00C5516F" w:rsidP="00CC45BC">
            <w:pPr>
              <w:pStyle w:val="TABLEBULLETNEW"/>
            </w:pPr>
            <w:r>
              <w:t>SIT Tester</w:t>
            </w:r>
          </w:p>
          <w:p w14:paraId="56A8EB24" w14:textId="77777777" w:rsidR="00C5516F" w:rsidRPr="00635C9B" w:rsidRDefault="00C5516F" w:rsidP="00CC45BC">
            <w:pPr>
              <w:pStyle w:val="TABLEBULLETNEW"/>
            </w:pPr>
            <w:r>
              <w:t>UAT Tester</w:t>
            </w:r>
          </w:p>
        </w:tc>
      </w:tr>
      <w:tr w:rsidR="00C5516F" w:rsidRPr="00A21682" w14:paraId="4BDC1CBA" w14:textId="77777777" w:rsidTr="00047C4E">
        <w:trPr>
          <w:trHeight w:val="300"/>
        </w:trPr>
        <w:tc>
          <w:tcPr>
            <w:tcW w:w="614" w:type="dxa"/>
          </w:tcPr>
          <w:p w14:paraId="3F4022B6" w14:textId="77777777" w:rsidR="00C5516F" w:rsidRPr="00A21682" w:rsidRDefault="00C5516F" w:rsidP="00047C4E">
            <w:pPr>
              <w:pStyle w:val="TABLETEXT1"/>
              <w:rPr>
                <w:lang w:val="en-US"/>
              </w:rPr>
            </w:pPr>
            <w:r>
              <w:rPr>
                <w:lang w:val="en-US"/>
              </w:rPr>
              <w:t>5</w:t>
            </w:r>
          </w:p>
        </w:tc>
        <w:tc>
          <w:tcPr>
            <w:tcW w:w="1988" w:type="dxa"/>
          </w:tcPr>
          <w:p w14:paraId="1A806D5F" w14:textId="77777777" w:rsidR="00C5516F" w:rsidRPr="00A21682" w:rsidRDefault="00C5516F" w:rsidP="00047C4E">
            <w:pPr>
              <w:pStyle w:val="TABLETEXT1"/>
              <w:rPr>
                <w:lang w:val="en-US"/>
              </w:rPr>
            </w:pPr>
            <w:r>
              <w:rPr>
                <w:lang w:val="en-US"/>
              </w:rPr>
              <w:t>On-hold</w:t>
            </w:r>
          </w:p>
        </w:tc>
        <w:tc>
          <w:tcPr>
            <w:tcW w:w="4566" w:type="dxa"/>
          </w:tcPr>
          <w:p w14:paraId="4BF09367" w14:textId="77777777" w:rsidR="00C5516F" w:rsidRPr="00A21682" w:rsidRDefault="00C5516F" w:rsidP="003610DC">
            <w:pPr>
              <w:pStyle w:val="TABLETEXT1"/>
              <w:rPr>
                <w:lang w:val="en-US"/>
              </w:rPr>
            </w:pPr>
            <w:r>
              <w:rPr>
                <w:lang w:val="en-US"/>
              </w:rPr>
              <w:t>Test Run is ‘On-hold’ if the test case requires partner validation or has some partner dependency</w:t>
            </w:r>
          </w:p>
        </w:tc>
        <w:tc>
          <w:tcPr>
            <w:tcW w:w="2184" w:type="dxa"/>
          </w:tcPr>
          <w:p w14:paraId="6753B19B" w14:textId="77777777" w:rsidR="00C5516F" w:rsidRPr="00635C9B" w:rsidRDefault="00C5516F" w:rsidP="00CC45BC">
            <w:pPr>
              <w:pStyle w:val="TABLEBULLETNEW"/>
            </w:pPr>
            <w:r>
              <w:t>SIT Tester</w:t>
            </w:r>
          </w:p>
          <w:p w14:paraId="10D16353" w14:textId="77777777" w:rsidR="00C5516F" w:rsidRPr="00635C9B" w:rsidRDefault="00C5516F" w:rsidP="00CC45BC">
            <w:pPr>
              <w:pStyle w:val="TABLEBULLETNEW"/>
            </w:pPr>
            <w:r>
              <w:t>UAT Tester</w:t>
            </w:r>
          </w:p>
        </w:tc>
      </w:tr>
      <w:tr w:rsidR="00C5516F" w:rsidRPr="00A21682" w14:paraId="01DE764C" w14:textId="77777777" w:rsidTr="00047C4E">
        <w:trPr>
          <w:trHeight w:val="300"/>
        </w:trPr>
        <w:tc>
          <w:tcPr>
            <w:tcW w:w="614" w:type="dxa"/>
          </w:tcPr>
          <w:p w14:paraId="5646E08A" w14:textId="77777777" w:rsidR="00C5516F" w:rsidRPr="00A21682" w:rsidRDefault="00C5516F" w:rsidP="00047C4E">
            <w:pPr>
              <w:pStyle w:val="TABLETEXT1"/>
              <w:rPr>
                <w:lang w:val="en-US"/>
              </w:rPr>
            </w:pPr>
            <w:r>
              <w:rPr>
                <w:lang w:val="en-US"/>
              </w:rPr>
              <w:t>6</w:t>
            </w:r>
          </w:p>
        </w:tc>
        <w:tc>
          <w:tcPr>
            <w:tcW w:w="1988" w:type="dxa"/>
          </w:tcPr>
          <w:p w14:paraId="7820E738" w14:textId="77777777" w:rsidR="00C5516F" w:rsidRPr="00A21682" w:rsidRDefault="00C5516F" w:rsidP="00047C4E">
            <w:pPr>
              <w:pStyle w:val="TABLETEXT1"/>
              <w:rPr>
                <w:lang w:val="en-US"/>
              </w:rPr>
            </w:pPr>
            <w:r>
              <w:rPr>
                <w:lang w:val="en-US"/>
              </w:rPr>
              <w:t>Blocked</w:t>
            </w:r>
          </w:p>
        </w:tc>
        <w:tc>
          <w:tcPr>
            <w:tcW w:w="4566" w:type="dxa"/>
          </w:tcPr>
          <w:p w14:paraId="21534E6D" w14:textId="0E6E9F86" w:rsidR="00C5516F" w:rsidRPr="00A21682" w:rsidRDefault="00C5516F" w:rsidP="003610DC">
            <w:pPr>
              <w:pStyle w:val="TABLETEXT1"/>
              <w:rPr>
                <w:lang w:val="en-US"/>
              </w:rPr>
            </w:pPr>
            <w:r>
              <w:rPr>
                <w:lang w:val="en-US"/>
              </w:rPr>
              <w:t>Test Run is ‘Blocked’ If the test case cannot be executed due to a linked defect</w:t>
            </w:r>
          </w:p>
        </w:tc>
        <w:tc>
          <w:tcPr>
            <w:tcW w:w="2184" w:type="dxa"/>
          </w:tcPr>
          <w:p w14:paraId="13F46179" w14:textId="77777777" w:rsidR="00C5516F" w:rsidRPr="00635C9B" w:rsidRDefault="00C5516F" w:rsidP="00CC45BC">
            <w:pPr>
              <w:pStyle w:val="TABLEBULLETNEW"/>
            </w:pPr>
            <w:r>
              <w:t>SIT Tester</w:t>
            </w:r>
          </w:p>
          <w:p w14:paraId="214C2970" w14:textId="77777777" w:rsidR="00C5516F" w:rsidRPr="00635C9B" w:rsidRDefault="00C5516F" w:rsidP="00CC45BC">
            <w:pPr>
              <w:pStyle w:val="TABLEBULLETNEW"/>
            </w:pPr>
            <w:r>
              <w:t>UAT Tester</w:t>
            </w:r>
          </w:p>
        </w:tc>
      </w:tr>
    </w:tbl>
    <w:p w14:paraId="4E6CF576" w14:textId="4DF1E1D5" w:rsidR="00C5516F" w:rsidRPr="00A21682" w:rsidRDefault="00C5516F" w:rsidP="005827B3">
      <w:pPr>
        <w:pStyle w:val="Caption"/>
        <w:rPr>
          <w:noProof w:val="0"/>
        </w:rPr>
      </w:pPr>
      <w:bookmarkStart w:id="1546" w:name="_Toc150951937"/>
      <w:bookmarkStart w:id="1547" w:name="_Toc192875152"/>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67</w:t>
      </w:r>
      <w:r>
        <w:rPr>
          <w:noProof w:val="0"/>
        </w:rPr>
        <w:fldChar w:fldCharType="end"/>
      </w:r>
      <w:r>
        <w:rPr>
          <w:noProof w:val="0"/>
        </w:rPr>
        <w:t>: Test Run Workflow Narrative</w:t>
      </w:r>
      <w:bookmarkEnd w:id="1546"/>
      <w:bookmarkEnd w:id="1547"/>
    </w:p>
    <w:p w14:paraId="45117E05" w14:textId="77777777" w:rsidR="00C5516F" w:rsidRPr="00A21682" w:rsidRDefault="00C5516F">
      <w:pPr>
        <w:pStyle w:val="Heading3"/>
        <w:rPr>
          <w:u w:color="000000"/>
        </w:rPr>
      </w:pPr>
      <w:bookmarkStart w:id="1548" w:name="_Toc148102447"/>
      <w:bookmarkStart w:id="1549" w:name="_Toc152605941"/>
      <w:bookmarkStart w:id="1550" w:name="_Toc177119099"/>
      <w:bookmarkStart w:id="1551" w:name="_Toc185952621"/>
      <w:bookmarkStart w:id="1552" w:name="_Toc192874787"/>
      <w:r>
        <w:rPr>
          <w:u w:color="000000"/>
        </w:rPr>
        <w:t>Accessing the Test Management Tool</w:t>
      </w:r>
      <w:bookmarkEnd w:id="1548"/>
      <w:bookmarkEnd w:id="1549"/>
      <w:bookmarkEnd w:id="1550"/>
      <w:bookmarkEnd w:id="1551"/>
      <w:bookmarkEnd w:id="1552"/>
    </w:p>
    <w:p w14:paraId="4B1C619A" w14:textId="10A75DAB" w:rsidR="00C5516F" w:rsidRPr="00A21682" w:rsidRDefault="00C5516F" w:rsidP="004A3693">
      <w:pPr>
        <w:pStyle w:val="NormalNEW"/>
        <w:rPr>
          <w:rFonts w:cs="Times New Roman"/>
          <w:u w:color="000000"/>
          <w:lang w:val="en-US" w:eastAsia="ko-KR"/>
        </w:rPr>
      </w:pPr>
      <w:r>
        <w:rPr>
          <w:rFonts w:cs="Times New Roman"/>
          <w:u w:color="000000"/>
          <w:lang w:val="en-US" w:eastAsia="ko-KR"/>
        </w:rPr>
        <w:t xml:space="preserve">Access to the test management tool is open to ███████ test team and DOH stakeholders. </w:t>
      </w:r>
      <w:r>
        <w:rPr>
          <w:u w:color="000000"/>
          <w:lang w:val="en-US" w:eastAsia="ko-KR"/>
        </w:rPr>
        <w:t>User training plans can be found in the Test Management Plan (DEL-09)</w:t>
      </w:r>
    </w:p>
    <w:p w14:paraId="1AD93E58" w14:textId="34FAC572" w:rsidR="00C5516F" w:rsidRPr="00A21682" w:rsidRDefault="00C5516F" w:rsidP="004A3693">
      <w:pPr>
        <w:pStyle w:val="NormalNEW"/>
        <w:rPr>
          <w:color w:val="000000"/>
          <w:u w:color="000000"/>
          <w:lang w:val="en-US"/>
        </w:rPr>
      </w:pPr>
      <w:r>
        <w:rPr>
          <w:rFonts w:cs="Times New Roman"/>
          <w:color w:val="000000"/>
          <w:u w:color="000000"/>
          <w:lang w:val="en-US"/>
        </w:rPr>
        <w:t xml:space="preserve">Access the test management tool tool via this link: </w:t>
      </w:r>
      <w:r>
        <w:rPr>
          <w:rFonts w:cs="Times New Roman"/>
          <w:lang w:val="en-US"/>
        </w:rPr>
        <w:t>The ALM tool</w:t>
      </w:r>
      <w:r>
        <w:rPr>
          <w:color w:val="0000FF"/>
          <w:u w:val="single" w:color="003366"/>
          <w:lang w:val="en-US"/>
        </w:rPr>
        <w:t>.</w:t>
      </w:r>
      <w:r>
        <w:rPr>
          <w:color w:val="0000FF"/>
          <w:lang w:val="en-US"/>
        </w:rPr>
        <w:t xml:space="preserve"> </w:t>
      </w:r>
      <w:r>
        <w:rPr>
          <w:color w:val="000000"/>
          <w:u w:color="000000"/>
          <w:lang w:val="en-US"/>
        </w:rPr>
        <w:t>User training plans can be found in the Test Management Plan (DEL-09)</w:t>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765"/>
        <w:gridCol w:w="6428"/>
        <w:gridCol w:w="2167"/>
      </w:tblGrid>
      <w:tr w:rsidR="00C5516F" w:rsidRPr="00A21682" w14:paraId="21B463AB" w14:textId="77777777" w:rsidTr="00C968EF">
        <w:trPr>
          <w:trHeight w:val="300"/>
        </w:trPr>
        <w:tc>
          <w:tcPr>
            <w:tcW w:w="765" w:type="dxa"/>
            <w:tcBorders>
              <w:right w:val="single" w:sz="2" w:space="0" w:color="FFFFFF" w:themeColor="background1"/>
            </w:tcBorders>
            <w:shd w:val="clear" w:color="auto" w:fill="000000"/>
            <w:tcMar>
              <w:left w:w="108" w:type="dxa"/>
              <w:right w:w="108" w:type="dxa"/>
            </w:tcMar>
          </w:tcPr>
          <w:p w14:paraId="05AE7F28" w14:textId="77777777" w:rsidR="00C5516F" w:rsidRPr="00A21682" w:rsidRDefault="00C5516F" w:rsidP="00047C4E">
            <w:pPr>
              <w:pStyle w:val="TABLEHEADINGNEW"/>
            </w:pPr>
            <w:r>
              <w:rPr>
                <w:rFonts w:eastAsia="Arial"/>
              </w:rPr>
              <w:t>#</w:t>
            </w:r>
          </w:p>
        </w:tc>
        <w:tc>
          <w:tcPr>
            <w:tcW w:w="6428" w:type="dxa"/>
            <w:tcBorders>
              <w:left w:val="single" w:sz="2" w:space="0" w:color="FFFFFF" w:themeColor="background1"/>
              <w:right w:val="single" w:sz="2" w:space="0" w:color="FFFFFF" w:themeColor="background1"/>
            </w:tcBorders>
            <w:shd w:val="clear" w:color="auto" w:fill="000000"/>
            <w:tcMar>
              <w:left w:w="108" w:type="dxa"/>
              <w:right w:w="108" w:type="dxa"/>
            </w:tcMar>
          </w:tcPr>
          <w:p w14:paraId="1250DE73" w14:textId="77777777" w:rsidR="00C5516F" w:rsidRPr="00A21682" w:rsidRDefault="00C5516F" w:rsidP="00047C4E">
            <w:pPr>
              <w:pStyle w:val="TABLEHEADINGNEW"/>
            </w:pPr>
            <w:r>
              <w:rPr>
                <w:rFonts w:eastAsia="Arial"/>
              </w:rPr>
              <w:t>Access Step</w:t>
            </w:r>
          </w:p>
        </w:tc>
        <w:tc>
          <w:tcPr>
            <w:tcW w:w="2167" w:type="dxa"/>
            <w:tcBorders>
              <w:left w:val="single" w:sz="2" w:space="0" w:color="FFFFFF" w:themeColor="background1"/>
            </w:tcBorders>
            <w:shd w:val="clear" w:color="auto" w:fill="000000"/>
            <w:tcMar>
              <w:left w:w="108" w:type="dxa"/>
              <w:right w:w="108" w:type="dxa"/>
            </w:tcMar>
          </w:tcPr>
          <w:p w14:paraId="4372AF1A" w14:textId="77777777" w:rsidR="00C5516F" w:rsidRPr="00A21682" w:rsidRDefault="00C5516F" w:rsidP="00047C4E">
            <w:pPr>
              <w:pStyle w:val="TABLEHEADINGNEW"/>
            </w:pPr>
            <w:r>
              <w:rPr>
                <w:rFonts w:eastAsia="Arial"/>
              </w:rPr>
              <w:t>Owner</w:t>
            </w:r>
          </w:p>
        </w:tc>
      </w:tr>
      <w:tr w:rsidR="00C5516F" w:rsidRPr="00A21682" w14:paraId="790A08E6" w14:textId="77777777" w:rsidTr="00047C4E">
        <w:trPr>
          <w:trHeight w:val="300"/>
        </w:trPr>
        <w:tc>
          <w:tcPr>
            <w:tcW w:w="765" w:type="dxa"/>
            <w:tcMar>
              <w:left w:w="108" w:type="dxa"/>
              <w:right w:w="108" w:type="dxa"/>
            </w:tcMar>
          </w:tcPr>
          <w:p w14:paraId="20606E31" w14:textId="28614DB2" w:rsidR="00C5516F" w:rsidRPr="00A21682" w:rsidRDefault="00C5516F" w:rsidP="00047C4E">
            <w:pPr>
              <w:pStyle w:val="TABLETEXT1"/>
              <w:rPr>
                <w:lang w:val="en-US"/>
              </w:rPr>
            </w:pPr>
            <w:r>
              <w:rPr>
                <w:lang w:val="en-US"/>
              </w:rPr>
              <w:t>1</w:t>
            </w:r>
          </w:p>
        </w:tc>
        <w:tc>
          <w:tcPr>
            <w:tcW w:w="6428" w:type="dxa"/>
            <w:tcMar>
              <w:left w:w="108" w:type="dxa"/>
              <w:right w:w="108" w:type="dxa"/>
            </w:tcMar>
          </w:tcPr>
          <w:p w14:paraId="2E7003D3" w14:textId="77777777" w:rsidR="00C5516F" w:rsidRPr="00A21682" w:rsidRDefault="00C5516F" w:rsidP="00047C4E">
            <w:pPr>
              <w:pStyle w:val="TABLETEXT1"/>
              <w:rPr>
                <w:lang w:val="en-US"/>
              </w:rPr>
            </w:pPr>
            <w:r>
              <w:rPr>
                <w:lang w:val="en-US"/>
              </w:rPr>
              <w:t>Create Ticket request in the ALM tool for Tracking Purposes</w:t>
            </w:r>
          </w:p>
        </w:tc>
        <w:tc>
          <w:tcPr>
            <w:tcW w:w="2167" w:type="dxa"/>
            <w:tcMar>
              <w:left w:w="108" w:type="dxa"/>
              <w:right w:w="108" w:type="dxa"/>
            </w:tcMar>
          </w:tcPr>
          <w:p w14:paraId="1A4F8E12" w14:textId="77777777" w:rsidR="00C5516F" w:rsidRPr="00A21682" w:rsidRDefault="00C5516F" w:rsidP="00047C4E">
            <w:pPr>
              <w:pStyle w:val="TABLETEXT1"/>
              <w:rPr>
                <w:lang w:val="en-US"/>
              </w:rPr>
            </w:pPr>
            <w:r>
              <w:rPr>
                <w:lang w:val="en-US"/>
              </w:rPr>
              <w:t>Requestor</w:t>
            </w:r>
          </w:p>
        </w:tc>
      </w:tr>
      <w:tr w:rsidR="00C5516F" w:rsidRPr="00A21682" w14:paraId="28FE315D" w14:textId="77777777" w:rsidTr="00047C4E">
        <w:trPr>
          <w:trHeight w:val="300"/>
        </w:trPr>
        <w:tc>
          <w:tcPr>
            <w:tcW w:w="765" w:type="dxa"/>
            <w:tcMar>
              <w:left w:w="108" w:type="dxa"/>
              <w:right w:w="108" w:type="dxa"/>
            </w:tcMar>
          </w:tcPr>
          <w:p w14:paraId="110460E2" w14:textId="1CD6D492" w:rsidR="00C5516F" w:rsidRPr="00A21682" w:rsidRDefault="00C5516F" w:rsidP="00047C4E">
            <w:pPr>
              <w:pStyle w:val="TABLETEXT1"/>
              <w:rPr>
                <w:lang w:val="en-US"/>
              </w:rPr>
            </w:pPr>
            <w:r>
              <w:rPr>
                <w:lang w:val="en-US"/>
              </w:rPr>
              <w:t>2</w:t>
            </w:r>
          </w:p>
        </w:tc>
        <w:tc>
          <w:tcPr>
            <w:tcW w:w="6428" w:type="dxa"/>
            <w:tcMar>
              <w:left w:w="108" w:type="dxa"/>
              <w:right w:w="108" w:type="dxa"/>
            </w:tcMar>
          </w:tcPr>
          <w:p w14:paraId="7005855B" w14:textId="77777777" w:rsidR="00C5516F" w:rsidRPr="00A21682" w:rsidRDefault="00C5516F" w:rsidP="00047C4E">
            <w:pPr>
              <w:pStyle w:val="TABLETEXT1"/>
              <w:rPr>
                <w:lang w:val="en-US"/>
              </w:rPr>
            </w:pPr>
            <w:r>
              <w:rPr>
                <w:lang w:val="en-US"/>
              </w:rPr>
              <w:t>Admin provides access</w:t>
            </w:r>
          </w:p>
        </w:tc>
        <w:tc>
          <w:tcPr>
            <w:tcW w:w="2167" w:type="dxa"/>
            <w:tcMar>
              <w:left w:w="108" w:type="dxa"/>
              <w:right w:w="108" w:type="dxa"/>
            </w:tcMar>
          </w:tcPr>
          <w:p w14:paraId="1ED9EA4C" w14:textId="77777777" w:rsidR="00C5516F" w:rsidRPr="00A21682" w:rsidRDefault="00C5516F" w:rsidP="00047C4E">
            <w:pPr>
              <w:pStyle w:val="TABLETEXT1"/>
              <w:rPr>
                <w:lang w:val="en-US"/>
              </w:rPr>
            </w:pPr>
            <w:r>
              <w:rPr>
                <w:lang w:val="en-US"/>
              </w:rPr>
              <w:t>System Admin</w:t>
            </w:r>
          </w:p>
        </w:tc>
      </w:tr>
      <w:tr w:rsidR="00C5516F" w:rsidRPr="00A21682" w14:paraId="752F3736" w14:textId="77777777" w:rsidTr="00047C4E">
        <w:trPr>
          <w:trHeight w:val="300"/>
        </w:trPr>
        <w:tc>
          <w:tcPr>
            <w:tcW w:w="765" w:type="dxa"/>
            <w:tcMar>
              <w:left w:w="108" w:type="dxa"/>
              <w:right w:w="108" w:type="dxa"/>
            </w:tcMar>
          </w:tcPr>
          <w:p w14:paraId="3AB888C3" w14:textId="78A59B49" w:rsidR="00C5516F" w:rsidRPr="00A21682" w:rsidRDefault="00C5516F" w:rsidP="00047C4E">
            <w:pPr>
              <w:pStyle w:val="TABLETEXT1"/>
              <w:rPr>
                <w:lang w:val="en-US"/>
              </w:rPr>
            </w:pPr>
            <w:r>
              <w:rPr>
                <w:lang w:val="en-US"/>
              </w:rPr>
              <w:t>3</w:t>
            </w:r>
          </w:p>
        </w:tc>
        <w:tc>
          <w:tcPr>
            <w:tcW w:w="6428" w:type="dxa"/>
            <w:tcMar>
              <w:left w:w="108" w:type="dxa"/>
              <w:right w:w="108" w:type="dxa"/>
            </w:tcMar>
          </w:tcPr>
          <w:p w14:paraId="546381B9" w14:textId="77777777" w:rsidR="00C5516F" w:rsidRPr="00A21682" w:rsidRDefault="00C5516F" w:rsidP="00047C4E">
            <w:pPr>
              <w:pStyle w:val="TABLETEXT1"/>
              <w:rPr>
                <w:lang w:val="en-US"/>
              </w:rPr>
            </w:pPr>
            <w:r>
              <w:rPr>
                <w:lang w:val="en-US"/>
              </w:rPr>
              <w:t>Close Ticket in the ALM tool</w:t>
            </w:r>
          </w:p>
        </w:tc>
        <w:tc>
          <w:tcPr>
            <w:tcW w:w="2167" w:type="dxa"/>
            <w:tcMar>
              <w:left w:w="108" w:type="dxa"/>
              <w:right w:w="108" w:type="dxa"/>
            </w:tcMar>
          </w:tcPr>
          <w:p w14:paraId="08746ABB" w14:textId="77777777" w:rsidR="00C5516F" w:rsidRPr="00A21682" w:rsidRDefault="00C5516F" w:rsidP="00047C4E">
            <w:pPr>
              <w:pStyle w:val="TABLETEXT1"/>
              <w:rPr>
                <w:lang w:val="en-US"/>
              </w:rPr>
            </w:pPr>
            <w:r>
              <w:rPr>
                <w:lang w:val="en-US"/>
              </w:rPr>
              <w:t>Requestor</w:t>
            </w:r>
          </w:p>
        </w:tc>
      </w:tr>
    </w:tbl>
    <w:p w14:paraId="2F66040F" w14:textId="4C53C90D" w:rsidR="00C5516F" w:rsidRPr="00A21682" w:rsidRDefault="00C5516F" w:rsidP="005827B3">
      <w:pPr>
        <w:pStyle w:val="Caption"/>
        <w:rPr>
          <w:noProof w:val="0"/>
        </w:rPr>
      </w:pPr>
      <w:bookmarkStart w:id="1553" w:name="_Toc150951938"/>
      <w:bookmarkStart w:id="1554" w:name="_Toc192875153"/>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68</w:t>
      </w:r>
      <w:r>
        <w:rPr>
          <w:noProof w:val="0"/>
        </w:rPr>
        <w:fldChar w:fldCharType="end"/>
      </w:r>
      <w:r>
        <w:rPr>
          <w:noProof w:val="0"/>
        </w:rPr>
        <w:t>: Test Management Tool Access</w:t>
      </w:r>
      <w:bookmarkEnd w:id="1553"/>
      <w:bookmarkEnd w:id="1554"/>
    </w:p>
    <w:p w14:paraId="77B68D96" w14:textId="65F93598" w:rsidR="00C5516F" w:rsidRPr="00A21682" w:rsidRDefault="00C5516F" w:rsidP="004A3693">
      <w:pPr>
        <w:pStyle w:val="NormalNEW"/>
        <w:rPr>
          <w:rFonts w:cs="Times New Roman"/>
          <w:u w:color="000000"/>
          <w:lang w:val="en-US"/>
        </w:rPr>
      </w:pPr>
      <w:r>
        <w:rPr>
          <w:rFonts w:cs="Times New Roman"/>
          <w:u w:color="000000"/>
          <w:lang w:val="en-US"/>
        </w:rPr>
        <w:t xml:space="preserve">For troubleshooting login or access issues, contact </w:t>
      </w:r>
      <w:r>
        <w:rPr>
          <w:color w:val="0000FF"/>
          <w:highlight w:val="black"/>
          <w:u w:val="single" w:color="003366"/>
          <w:lang w:val="en-US"/>
        </w:rPr>
        <w:t>the PMO support mailbox</w:t>
      </w:r>
      <w:r>
        <w:rPr>
          <w:rFonts w:cs="Times New Roman"/>
          <w:u w:color="000000"/>
          <w:lang w:val="en-US"/>
        </w:rPr>
        <w:t xml:space="preserve"> </w:t>
      </w:r>
    </w:p>
    <w:p w14:paraId="2FC8C5B0" w14:textId="58297654" w:rsidR="00C5516F" w:rsidRPr="00A21682" w:rsidRDefault="002D6968">
      <w:pPr>
        <w:pStyle w:val="Heading2"/>
        <w:rPr>
          <w:u w:color="000000"/>
        </w:rPr>
      </w:pPr>
      <w:bookmarkStart w:id="1555" w:name="_Toc148102448"/>
      <w:bookmarkStart w:id="1556" w:name="_Toc152605942"/>
      <w:bookmarkStart w:id="1557" w:name="_Toc177119100"/>
      <w:bookmarkStart w:id="1558" w:name="_Toc185952622"/>
      <w:bookmarkStart w:id="1559" w:name="_Toc192874788"/>
      <w:r>
        <w:rPr>
          <w:u w:color="000000"/>
        </w:rPr>
        <w:t>Checkmarx SAST</w:t>
      </w:r>
      <w:bookmarkEnd w:id="1555"/>
      <w:bookmarkEnd w:id="1556"/>
      <w:bookmarkEnd w:id="1557"/>
      <w:bookmarkEnd w:id="1558"/>
      <w:bookmarkEnd w:id="1559"/>
    </w:p>
    <w:p w14:paraId="4454CE99" w14:textId="77777777" w:rsidR="00C5516F" w:rsidRPr="00A21682" w:rsidRDefault="00C5516F" w:rsidP="004A3693">
      <w:pPr>
        <w:pStyle w:val="NormalNEW"/>
        <w:rPr>
          <w:u w:color="000000"/>
          <w:lang w:val="en-US"/>
        </w:rPr>
      </w:pPr>
      <w:r>
        <w:rPr>
          <w:u w:color="000000"/>
          <w:lang w:val="en-US"/>
        </w:rPr>
        <w:t>Checkmarx is security tool designed and developed to take in and code, analyze the code, and determine if any security flaws exist. The tool takes in static code, runs this code through its engine packs with the computing assistance of a SQL server instance, and publishes results to the server housing the application.</w:t>
      </w:r>
    </w:p>
    <w:p w14:paraId="04869F60" w14:textId="04432CD8" w:rsidR="00C5516F" w:rsidRPr="00A21682" w:rsidRDefault="00C5516F">
      <w:pPr>
        <w:pStyle w:val="Heading3"/>
        <w:rPr>
          <w:u w:color="000000"/>
        </w:rPr>
      </w:pPr>
      <w:bookmarkStart w:id="1560" w:name="_Toc148102449"/>
      <w:bookmarkStart w:id="1561" w:name="_Toc152605943"/>
      <w:bookmarkStart w:id="1562" w:name="_Toc177119101"/>
      <w:bookmarkStart w:id="1563" w:name="_Toc185952623"/>
      <w:bookmarkStart w:id="1564" w:name="_Toc192874789"/>
      <w:r>
        <w:rPr>
          <w:u w:color="000000"/>
        </w:rPr>
        <w:t>ALM Tool Roles and Permissions</w:t>
      </w:r>
      <w:bookmarkEnd w:id="1560"/>
      <w:bookmarkEnd w:id="1561"/>
      <w:bookmarkEnd w:id="1562"/>
      <w:bookmarkEnd w:id="1563"/>
      <w:bookmarkEnd w:id="1564"/>
    </w:p>
    <w:tbl>
      <w:tblPr>
        <w:tblpPr w:leftFromText="180" w:rightFromText="180" w:vertAnchor="text" w:tblpX="-10" w:tblpY="34"/>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46"/>
        <w:gridCol w:w="3214"/>
        <w:gridCol w:w="3505"/>
      </w:tblGrid>
      <w:tr w:rsidR="00C5516F" w:rsidRPr="00A21682" w14:paraId="2B672777" w14:textId="77777777" w:rsidTr="003610DC">
        <w:trPr>
          <w:cantSplit/>
          <w:tblHeader/>
        </w:trPr>
        <w:tc>
          <w:tcPr>
            <w:tcW w:w="2546" w:type="dxa"/>
            <w:tcBorders>
              <w:top w:val="single" w:sz="4" w:space="0" w:color="auto"/>
              <w:left w:val="single" w:sz="4" w:space="0" w:color="auto"/>
              <w:right w:val="single" w:sz="2" w:space="0" w:color="FFFFFF" w:themeColor="background1"/>
            </w:tcBorders>
            <w:shd w:val="clear" w:color="auto" w:fill="000000"/>
          </w:tcPr>
          <w:p w14:paraId="3B9CC68B" w14:textId="77777777" w:rsidR="00C5516F" w:rsidRPr="00A21682" w:rsidRDefault="00C5516F" w:rsidP="00047C4E">
            <w:pPr>
              <w:pStyle w:val="TABLEHEADINGNEW"/>
            </w:pPr>
            <w:r>
              <w:t>Tool Role</w:t>
            </w:r>
          </w:p>
        </w:tc>
        <w:tc>
          <w:tcPr>
            <w:tcW w:w="3214" w:type="dxa"/>
            <w:tcBorders>
              <w:top w:val="single" w:sz="4" w:space="0" w:color="auto"/>
              <w:left w:val="single" w:sz="2" w:space="0" w:color="FFFFFF" w:themeColor="background1"/>
              <w:right w:val="single" w:sz="2" w:space="0" w:color="FFFFFF" w:themeColor="background1"/>
            </w:tcBorders>
            <w:shd w:val="clear" w:color="auto" w:fill="000000"/>
          </w:tcPr>
          <w:p w14:paraId="0879A3D5" w14:textId="77777777" w:rsidR="00C5516F" w:rsidRPr="00A21682" w:rsidRDefault="00C5516F" w:rsidP="00047C4E">
            <w:pPr>
              <w:pStyle w:val="TABLEHEADINGNEW"/>
            </w:pPr>
            <w:r>
              <w:t>RACI Role</w:t>
            </w:r>
          </w:p>
        </w:tc>
        <w:tc>
          <w:tcPr>
            <w:tcW w:w="3505" w:type="dxa"/>
            <w:tcBorders>
              <w:top w:val="single" w:sz="4" w:space="0" w:color="auto"/>
              <w:left w:val="single" w:sz="2" w:space="0" w:color="FFFFFF" w:themeColor="background1"/>
            </w:tcBorders>
            <w:shd w:val="clear" w:color="auto" w:fill="000000"/>
          </w:tcPr>
          <w:p w14:paraId="3D8ED3FB" w14:textId="6D26F0B2" w:rsidR="00C5516F" w:rsidRPr="00A21682" w:rsidRDefault="00C5516F" w:rsidP="00047C4E">
            <w:pPr>
              <w:pStyle w:val="TABLEHEADINGNEW"/>
            </w:pPr>
            <w:r>
              <w:t>Key Permissions in Checkmarx</w:t>
            </w:r>
          </w:p>
        </w:tc>
      </w:tr>
      <w:tr w:rsidR="00C5516F" w:rsidRPr="00A21682" w14:paraId="23823C17" w14:textId="77777777" w:rsidTr="003610DC">
        <w:trPr>
          <w:cantSplit/>
        </w:trPr>
        <w:tc>
          <w:tcPr>
            <w:tcW w:w="2546" w:type="dxa"/>
            <w:tcBorders>
              <w:left w:val="single" w:sz="4" w:space="0" w:color="auto"/>
            </w:tcBorders>
            <w:shd w:val="clear" w:color="auto" w:fill="FFFFFF" w:themeFill="background1"/>
          </w:tcPr>
          <w:p w14:paraId="2F61CD8F" w14:textId="77777777" w:rsidR="00C5516F" w:rsidRPr="00A21682" w:rsidRDefault="00C5516F" w:rsidP="00047C4E">
            <w:pPr>
              <w:pStyle w:val="TABLETEXT1"/>
              <w:rPr>
                <w:lang w:val="en-US"/>
              </w:rPr>
            </w:pPr>
            <w:r>
              <w:rPr>
                <w:lang w:val="en-US"/>
              </w:rPr>
              <w:t>Admin</w:t>
            </w:r>
          </w:p>
        </w:tc>
        <w:tc>
          <w:tcPr>
            <w:tcW w:w="3214" w:type="dxa"/>
          </w:tcPr>
          <w:p w14:paraId="5617ABCF" w14:textId="77777777" w:rsidR="00C5516F" w:rsidRPr="00635C9B" w:rsidRDefault="00C5516F" w:rsidP="00CC45BC">
            <w:pPr>
              <w:pStyle w:val="TABLEBULLETNEW"/>
            </w:pPr>
            <w:r>
              <w:t xml:space="preserve">███████ Tool Administrator </w:t>
            </w:r>
          </w:p>
        </w:tc>
        <w:tc>
          <w:tcPr>
            <w:tcW w:w="3505" w:type="dxa"/>
          </w:tcPr>
          <w:p w14:paraId="6526FB44" w14:textId="77777777" w:rsidR="00C5516F" w:rsidRPr="00635C9B" w:rsidRDefault="00C5516F" w:rsidP="00CC45BC">
            <w:pPr>
              <w:pStyle w:val="TABLEBULLETNEW"/>
            </w:pPr>
            <w:r>
              <w:t>Oversee licensing and all testing/config</w:t>
            </w:r>
          </w:p>
        </w:tc>
      </w:tr>
      <w:tr w:rsidR="00C5516F" w:rsidRPr="00A21682" w14:paraId="6308D0B9" w14:textId="77777777" w:rsidTr="003610DC">
        <w:trPr>
          <w:cantSplit/>
        </w:trPr>
        <w:tc>
          <w:tcPr>
            <w:tcW w:w="2546" w:type="dxa"/>
            <w:tcBorders>
              <w:left w:val="single" w:sz="4" w:space="0" w:color="auto"/>
              <w:bottom w:val="single" w:sz="4" w:space="0" w:color="auto"/>
            </w:tcBorders>
            <w:shd w:val="clear" w:color="auto" w:fill="FFFFFF" w:themeFill="background1"/>
          </w:tcPr>
          <w:p w14:paraId="564816C5" w14:textId="77777777" w:rsidR="00C5516F" w:rsidRPr="00A21682" w:rsidRDefault="00C5516F" w:rsidP="00047C4E">
            <w:pPr>
              <w:pStyle w:val="TABLETEXT1"/>
              <w:rPr>
                <w:lang w:val="en-US"/>
              </w:rPr>
            </w:pPr>
            <w:r>
              <w:rPr>
                <w:lang w:val="en-US"/>
              </w:rPr>
              <w:t>Application Admin</w:t>
            </w:r>
          </w:p>
        </w:tc>
        <w:tc>
          <w:tcPr>
            <w:tcW w:w="3214" w:type="dxa"/>
          </w:tcPr>
          <w:p w14:paraId="269E6A4C" w14:textId="77777777" w:rsidR="00C5516F" w:rsidRPr="00635C9B" w:rsidRDefault="00C5516F" w:rsidP="00CC45BC">
            <w:pPr>
              <w:pStyle w:val="TABLEBULLETNEW"/>
            </w:pPr>
            <w:r>
              <w:t>Security Tester</w:t>
            </w:r>
          </w:p>
        </w:tc>
        <w:tc>
          <w:tcPr>
            <w:tcW w:w="3505" w:type="dxa"/>
          </w:tcPr>
          <w:p w14:paraId="26609A36" w14:textId="77777777" w:rsidR="00C5516F" w:rsidRPr="00635C9B" w:rsidRDefault="00C5516F" w:rsidP="00CC45BC">
            <w:pPr>
              <w:pStyle w:val="TABLEBULLETNEW"/>
            </w:pPr>
            <w:r>
              <w:t>Edit/Update</w:t>
            </w:r>
          </w:p>
        </w:tc>
      </w:tr>
      <w:tr w:rsidR="00C5516F" w:rsidRPr="00A21682" w14:paraId="2E4EDD87" w14:textId="77777777" w:rsidTr="003610DC">
        <w:trPr>
          <w:cantSplit/>
        </w:trPr>
        <w:tc>
          <w:tcPr>
            <w:tcW w:w="2546" w:type="dxa"/>
            <w:tcBorders>
              <w:left w:val="single" w:sz="4" w:space="0" w:color="auto"/>
              <w:bottom w:val="single" w:sz="4" w:space="0" w:color="auto"/>
            </w:tcBorders>
            <w:shd w:val="clear" w:color="auto" w:fill="FFFFFF" w:themeFill="background1"/>
          </w:tcPr>
          <w:p w14:paraId="643C3181" w14:textId="77777777" w:rsidR="00C5516F" w:rsidRPr="00A21682" w:rsidRDefault="00C5516F" w:rsidP="00047C4E">
            <w:pPr>
              <w:pStyle w:val="TABLETEXT1"/>
              <w:rPr>
                <w:lang w:val="en-US"/>
              </w:rPr>
            </w:pPr>
            <w:r>
              <w:rPr>
                <w:lang w:val="en-US"/>
              </w:rPr>
              <w:t>Checkmarx Security Service Account</w:t>
            </w:r>
          </w:p>
        </w:tc>
        <w:tc>
          <w:tcPr>
            <w:tcW w:w="3214" w:type="dxa"/>
          </w:tcPr>
          <w:p w14:paraId="74441C12" w14:textId="77777777" w:rsidR="00C5516F" w:rsidRPr="00635C9B" w:rsidRDefault="00C5516F" w:rsidP="00CC45BC">
            <w:pPr>
              <w:pStyle w:val="TABLEBULLETNEW"/>
            </w:pPr>
            <w:r>
              <w:t>███████ Security Manager</w:t>
            </w:r>
          </w:p>
        </w:tc>
        <w:tc>
          <w:tcPr>
            <w:tcW w:w="3505" w:type="dxa"/>
          </w:tcPr>
          <w:p w14:paraId="73F5C231" w14:textId="77777777" w:rsidR="00C5516F" w:rsidRPr="00635C9B" w:rsidRDefault="00C5516F" w:rsidP="00CC45BC">
            <w:pPr>
              <w:pStyle w:val="TABLEBULLETNEW"/>
            </w:pPr>
            <w:r>
              <w:t>Access to code repository</w:t>
            </w:r>
          </w:p>
          <w:p w14:paraId="3627C21F" w14:textId="77777777" w:rsidR="00C5516F" w:rsidRPr="00635C9B" w:rsidRDefault="00C5516F" w:rsidP="00CC45BC">
            <w:pPr>
              <w:pStyle w:val="TABLEBULLETNEW"/>
            </w:pPr>
            <w:r>
              <w:t>Edit/Update</w:t>
            </w:r>
          </w:p>
        </w:tc>
      </w:tr>
      <w:tr w:rsidR="00C5516F" w:rsidRPr="00A21682" w14:paraId="4E118B22" w14:textId="77777777" w:rsidTr="003610DC">
        <w:trPr>
          <w:cantSplit/>
        </w:trPr>
        <w:tc>
          <w:tcPr>
            <w:tcW w:w="2546" w:type="dxa"/>
            <w:tcBorders>
              <w:left w:val="single" w:sz="4" w:space="0" w:color="auto"/>
              <w:bottom w:val="single" w:sz="4" w:space="0" w:color="auto"/>
            </w:tcBorders>
            <w:shd w:val="clear" w:color="auto" w:fill="FFFFFF" w:themeFill="background1"/>
          </w:tcPr>
          <w:p w14:paraId="22955BB6" w14:textId="77777777" w:rsidR="00C5516F" w:rsidRPr="00A21682" w:rsidRDefault="00C5516F" w:rsidP="00047C4E">
            <w:pPr>
              <w:pStyle w:val="TABLETEXT1"/>
              <w:rPr>
                <w:lang w:val="en-US"/>
              </w:rPr>
            </w:pPr>
            <w:r>
              <w:rPr>
                <w:lang w:val="en-US"/>
              </w:rPr>
              <w:t>Security Tester</w:t>
            </w:r>
          </w:p>
        </w:tc>
        <w:tc>
          <w:tcPr>
            <w:tcW w:w="3214" w:type="dxa"/>
          </w:tcPr>
          <w:p w14:paraId="56EC1C86" w14:textId="77777777" w:rsidR="00C5516F" w:rsidRPr="00635C9B" w:rsidRDefault="00C5516F" w:rsidP="00CC45BC">
            <w:pPr>
              <w:pStyle w:val="TABLEBULLETNEW"/>
            </w:pPr>
            <w:r>
              <w:t>Security Tester</w:t>
            </w:r>
          </w:p>
        </w:tc>
        <w:tc>
          <w:tcPr>
            <w:tcW w:w="3505" w:type="dxa"/>
          </w:tcPr>
          <w:p w14:paraId="3B0F1E7E" w14:textId="77777777" w:rsidR="00C5516F" w:rsidRPr="00635C9B" w:rsidRDefault="00C5516F" w:rsidP="00CC45BC">
            <w:pPr>
              <w:pStyle w:val="TABLEBULLETNEW"/>
            </w:pPr>
            <w:r>
              <w:t>Edit/Update</w:t>
            </w:r>
          </w:p>
        </w:tc>
      </w:tr>
    </w:tbl>
    <w:p w14:paraId="12137C82" w14:textId="3FBEE234" w:rsidR="00C5516F" w:rsidRPr="00A21682" w:rsidRDefault="00C5516F" w:rsidP="005827B3">
      <w:pPr>
        <w:pStyle w:val="Caption"/>
        <w:rPr>
          <w:noProof w:val="0"/>
        </w:rPr>
      </w:pPr>
      <w:bookmarkStart w:id="1565" w:name="_Toc150951939"/>
      <w:bookmarkStart w:id="1566" w:name="_Toc192875154"/>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69</w:t>
      </w:r>
      <w:r>
        <w:rPr>
          <w:noProof w:val="0"/>
        </w:rPr>
        <w:fldChar w:fldCharType="end"/>
      </w:r>
      <w:r>
        <w:rPr>
          <w:noProof w:val="0"/>
        </w:rPr>
        <w:t>: Checkmarx Roles and Permissions</w:t>
      </w:r>
      <w:bookmarkEnd w:id="1565"/>
      <w:bookmarkEnd w:id="1566"/>
    </w:p>
    <w:p w14:paraId="55C10ED6" w14:textId="116DE5A4" w:rsidR="00C5516F" w:rsidRPr="00A21682" w:rsidRDefault="00C5516F">
      <w:pPr>
        <w:pStyle w:val="Heading3"/>
        <w:rPr>
          <w:u w:color="000000"/>
        </w:rPr>
      </w:pPr>
      <w:bookmarkStart w:id="1567" w:name="_Toc148102450"/>
      <w:bookmarkStart w:id="1568" w:name="_Toc152605944"/>
      <w:bookmarkStart w:id="1569" w:name="_Toc177119102"/>
      <w:bookmarkStart w:id="1570" w:name="_Toc185952624"/>
      <w:bookmarkStart w:id="1571" w:name="_Toc192874790"/>
      <w:r>
        <w:rPr>
          <w:u w:color="000000"/>
        </w:rPr>
        <w:lastRenderedPageBreak/>
        <w:t>ALM Tool Workflows</w:t>
      </w:r>
      <w:bookmarkEnd w:id="1567"/>
      <w:bookmarkEnd w:id="1568"/>
      <w:bookmarkEnd w:id="1569"/>
      <w:bookmarkEnd w:id="1570"/>
      <w:bookmarkEnd w:id="1571"/>
    </w:p>
    <w:p w14:paraId="6A63082C" w14:textId="77777777" w:rsidR="00C5516F" w:rsidRPr="00A21682" w:rsidRDefault="00C5516F" w:rsidP="004A3693">
      <w:pPr>
        <w:pStyle w:val="NormalNEW"/>
        <w:rPr>
          <w:u w:color="000000"/>
          <w:lang w:val="en-US"/>
        </w:rPr>
      </w:pPr>
      <w:r>
        <w:rPr>
          <w:u w:color="000000"/>
          <w:lang w:val="en-US"/>
        </w:rPr>
        <w:t>The SAST Assessment is a process for analyzing the source code of an application to identify and mitigate security vulnerabilities. It helps identify and address vulnerability in the early stages of development, reducing the risk of breaches and ensuring overall security.</w:t>
      </w:r>
    </w:p>
    <w:p w14:paraId="743D776B" w14:textId="77777777" w:rsidR="00C5516F" w:rsidRPr="00A21682" w:rsidRDefault="00C5516F" w:rsidP="004A3693">
      <w:pPr>
        <w:pStyle w:val="NormalNEW"/>
        <w:jc w:val="center"/>
        <w:rPr>
          <w:u w:color="000000"/>
          <w:lang w:val="en-US"/>
        </w:rPr>
      </w:pPr>
      <w:r>
        <w:rPr>
          <w:noProof/>
          <w:u w:color="000000"/>
          <w:lang w:val="en-US"/>
        </w:rPr>
        <w:drawing>
          <wp:inline distT="0" distB="0" distL="0" distR="0" wp14:anchorId="4A2AB9FE" wp14:editId="095EDBB6">
            <wp:extent cx="5308873" cy="3524431"/>
            <wp:effectExtent l="19050" t="19050" r="25400" b="19050"/>
            <wp:docPr id="100" name="Picture 100" descr="A diagram of a network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network  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308873" cy="3524431"/>
                    </a:xfrm>
                    <a:prstGeom prst="rect">
                      <a:avLst/>
                    </a:prstGeom>
                    <a:ln w="9525">
                      <a:solidFill>
                        <a:schemeClr val="tx1"/>
                      </a:solidFill>
                    </a:ln>
                  </pic:spPr>
                </pic:pic>
              </a:graphicData>
            </a:graphic>
          </wp:inline>
        </w:drawing>
      </w:r>
    </w:p>
    <w:p w14:paraId="751B323D" w14:textId="48099489" w:rsidR="00C5516F" w:rsidRPr="00A21682" w:rsidRDefault="00C5516F" w:rsidP="005827B3">
      <w:pPr>
        <w:pStyle w:val="Caption"/>
        <w:rPr>
          <w:noProof w:val="0"/>
        </w:rPr>
      </w:pPr>
      <w:bookmarkStart w:id="1572" w:name="_Toc150948960"/>
      <w:bookmarkStart w:id="1573" w:name="_Toc178152047"/>
      <w:bookmarkStart w:id="1574" w:name="_Toc192875060"/>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23</w:t>
      </w:r>
      <w:r>
        <w:rPr>
          <w:noProof w:val="0"/>
        </w:rPr>
        <w:fldChar w:fldCharType="end"/>
      </w:r>
      <w:r>
        <w:rPr>
          <w:noProof w:val="0"/>
        </w:rPr>
        <w:t>: Checkmarx SAST Workflow</w:t>
      </w:r>
      <w:bookmarkEnd w:id="1572"/>
      <w:bookmarkEnd w:id="1573"/>
      <w:bookmarkEnd w:id="1574"/>
    </w:p>
    <w:p w14:paraId="0D3874C3" w14:textId="77777777" w:rsidR="00C5516F" w:rsidRPr="00A21682" w:rsidRDefault="00C5516F" w:rsidP="004A3693">
      <w:pPr>
        <w:pStyle w:val="NormalNEW"/>
        <w:rPr>
          <w:u w:color="000000"/>
          <w:lang w:val="en-US"/>
        </w:rPr>
      </w:pPr>
      <w:r>
        <w:rPr>
          <w:u w:color="000000"/>
          <w:lang w:val="en-US"/>
        </w:rPr>
        <w:t>The table below describes each step of the test case workflow.</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4"/>
        <w:gridCol w:w="1988"/>
        <w:gridCol w:w="4476"/>
        <w:gridCol w:w="2274"/>
      </w:tblGrid>
      <w:tr w:rsidR="00C5516F" w:rsidRPr="00A21682" w14:paraId="2D026592" w14:textId="77777777" w:rsidTr="00C968EF">
        <w:trPr>
          <w:trHeight w:val="300"/>
          <w:tblHeader/>
        </w:trPr>
        <w:tc>
          <w:tcPr>
            <w:tcW w:w="614" w:type="dxa"/>
            <w:tcBorders>
              <w:right w:val="single" w:sz="2" w:space="0" w:color="FFFFFF" w:themeColor="background1"/>
            </w:tcBorders>
            <w:shd w:val="clear" w:color="auto" w:fill="000000"/>
            <w:hideMark/>
          </w:tcPr>
          <w:p w14:paraId="4FE5077B" w14:textId="77777777" w:rsidR="00C5516F" w:rsidRPr="00A21682" w:rsidRDefault="00C5516F" w:rsidP="00047C4E">
            <w:pPr>
              <w:pStyle w:val="TABLEHEADINGNEW"/>
              <w:rPr>
                <w:color w:val="000000"/>
                <w:u w:color="000000"/>
              </w:rPr>
            </w:pPr>
            <w:r>
              <w:rPr>
                <w:u w:color="000000"/>
              </w:rPr>
              <w:t>#</w:t>
            </w:r>
          </w:p>
        </w:tc>
        <w:tc>
          <w:tcPr>
            <w:tcW w:w="1988" w:type="dxa"/>
            <w:tcBorders>
              <w:left w:val="single" w:sz="2" w:space="0" w:color="FFFFFF" w:themeColor="background1"/>
              <w:right w:val="single" w:sz="2" w:space="0" w:color="FFFFFF" w:themeColor="background1"/>
            </w:tcBorders>
            <w:shd w:val="clear" w:color="auto" w:fill="000000"/>
            <w:hideMark/>
          </w:tcPr>
          <w:p w14:paraId="205CE270" w14:textId="77777777" w:rsidR="00C5516F" w:rsidRPr="00A21682" w:rsidRDefault="00C5516F" w:rsidP="00047C4E">
            <w:pPr>
              <w:pStyle w:val="TABLEHEADINGNEW"/>
              <w:rPr>
                <w:color w:val="000000"/>
                <w:u w:color="000000"/>
              </w:rPr>
            </w:pPr>
            <w:r>
              <w:rPr>
                <w:u w:color="000000"/>
              </w:rPr>
              <w:t>Workflow Step</w:t>
            </w:r>
          </w:p>
        </w:tc>
        <w:tc>
          <w:tcPr>
            <w:tcW w:w="4476" w:type="dxa"/>
            <w:tcBorders>
              <w:left w:val="single" w:sz="2" w:space="0" w:color="FFFFFF" w:themeColor="background1"/>
              <w:right w:val="single" w:sz="2" w:space="0" w:color="FFFFFF" w:themeColor="background1"/>
            </w:tcBorders>
            <w:shd w:val="clear" w:color="auto" w:fill="000000"/>
            <w:hideMark/>
          </w:tcPr>
          <w:p w14:paraId="2667939E" w14:textId="77777777" w:rsidR="00C5516F" w:rsidRPr="00A21682" w:rsidRDefault="00C5516F" w:rsidP="00047C4E">
            <w:pPr>
              <w:pStyle w:val="TABLEHEADINGNEW"/>
              <w:rPr>
                <w:color w:val="000000"/>
                <w:u w:color="000000"/>
              </w:rPr>
            </w:pPr>
            <w:r>
              <w:rPr>
                <w:u w:color="000000"/>
              </w:rPr>
              <w:t>Description</w:t>
            </w:r>
          </w:p>
        </w:tc>
        <w:tc>
          <w:tcPr>
            <w:tcW w:w="2274" w:type="dxa"/>
            <w:tcBorders>
              <w:left w:val="single" w:sz="2" w:space="0" w:color="FFFFFF" w:themeColor="background1"/>
            </w:tcBorders>
            <w:shd w:val="clear" w:color="auto" w:fill="000000"/>
          </w:tcPr>
          <w:p w14:paraId="6E96DF53" w14:textId="77777777" w:rsidR="00C5516F" w:rsidRPr="00A21682" w:rsidRDefault="00C5516F" w:rsidP="00047C4E">
            <w:pPr>
              <w:pStyle w:val="TABLEHEADINGNEW"/>
              <w:rPr>
                <w:u w:color="000000"/>
              </w:rPr>
            </w:pPr>
            <w:r>
              <w:rPr>
                <w:u w:color="000000"/>
              </w:rPr>
              <w:t>Step Owner</w:t>
            </w:r>
          </w:p>
        </w:tc>
      </w:tr>
      <w:tr w:rsidR="00C5516F" w:rsidRPr="00A21682" w14:paraId="555254D5" w14:textId="77777777" w:rsidTr="00047C4E">
        <w:trPr>
          <w:trHeight w:val="300"/>
        </w:trPr>
        <w:tc>
          <w:tcPr>
            <w:tcW w:w="614" w:type="dxa"/>
          </w:tcPr>
          <w:p w14:paraId="4FFF539A" w14:textId="77777777" w:rsidR="00C5516F" w:rsidRPr="00A21682" w:rsidRDefault="00C5516F" w:rsidP="00047C4E">
            <w:pPr>
              <w:pStyle w:val="TABLETEXT1"/>
              <w:rPr>
                <w:color w:val="000000"/>
                <w:u w:color="000000"/>
                <w:lang w:val="en-US"/>
              </w:rPr>
            </w:pPr>
            <w:r>
              <w:rPr>
                <w:color w:val="000000"/>
                <w:u w:color="000000"/>
                <w:lang w:val="en-US"/>
              </w:rPr>
              <w:t>1</w:t>
            </w:r>
          </w:p>
        </w:tc>
        <w:tc>
          <w:tcPr>
            <w:tcW w:w="1988" w:type="dxa"/>
          </w:tcPr>
          <w:p w14:paraId="11371251" w14:textId="77777777" w:rsidR="00C5516F" w:rsidRPr="00A21682" w:rsidRDefault="00C5516F" w:rsidP="00047C4E">
            <w:pPr>
              <w:pStyle w:val="TABLETEXT1"/>
              <w:rPr>
                <w:color w:val="000000"/>
                <w:u w:color="000000"/>
                <w:lang w:val="en-US"/>
              </w:rPr>
            </w:pPr>
            <w:r>
              <w:rPr>
                <w:color w:val="000000"/>
                <w:u w:color="000000"/>
                <w:lang w:val="en-US"/>
              </w:rPr>
              <w:t>Execute Code Pull</w:t>
            </w:r>
          </w:p>
        </w:tc>
        <w:tc>
          <w:tcPr>
            <w:tcW w:w="4476" w:type="dxa"/>
          </w:tcPr>
          <w:p w14:paraId="08C658F6" w14:textId="44EA83AA" w:rsidR="00C5516F" w:rsidRPr="00A21682" w:rsidRDefault="00C5516F" w:rsidP="003610DC">
            <w:pPr>
              <w:pStyle w:val="TABLETEXT1"/>
              <w:rPr>
                <w:rFonts w:eastAsia="Segoe UI"/>
                <w:color w:val="000000"/>
                <w:u w:color="000000"/>
                <w:lang w:val="en-US"/>
              </w:rPr>
            </w:pPr>
            <w:r>
              <w:rPr>
                <w:rFonts w:eastAsia="Segoe UI"/>
                <w:color w:val="000000"/>
                <w:u w:color="000000"/>
                <w:lang w:val="en-US"/>
              </w:rPr>
              <w:t>Checkmarx executes an automated and predetermined code pull for execution of a scan</w:t>
            </w:r>
          </w:p>
        </w:tc>
        <w:tc>
          <w:tcPr>
            <w:tcW w:w="2274" w:type="dxa"/>
          </w:tcPr>
          <w:p w14:paraId="3C4F9D4D" w14:textId="77777777" w:rsidR="00C5516F" w:rsidRPr="00635C9B" w:rsidRDefault="00C5516F" w:rsidP="00CC45BC">
            <w:pPr>
              <w:pStyle w:val="TABLEBULLETNEW"/>
            </w:pPr>
            <w:r>
              <w:t>Checkmarx Security Service Account</w:t>
            </w:r>
          </w:p>
        </w:tc>
      </w:tr>
      <w:tr w:rsidR="00C5516F" w:rsidRPr="00A21682" w14:paraId="281FCF82" w14:textId="77777777" w:rsidTr="00047C4E">
        <w:trPr>
          <w:trHeight w:val="300"/>
        </w:trPr>
        <w:tc>
          <w:tcPr>
            <w:tcW w:w="614" w:type="dxa"/>
          </w:tcPr>
          <w:p w14:paraId="528D629E" w14:textId="77777777" w:rsidR="00C5516F" w:rsidRPr="00A21682" w:rsidRDefault="00C5516F" w:rsidP="00047C4E">
            <w:pPr>
              <w:pStyle w:val="TABLETEXT1"/>
              <w:rPr>
                <w:color w:val="000000"/>
                <w:u w:color="000000"/>
                <w:lang w:val="en-US"/>
              </w:rPr>
            </w:pPr>
            <w:r>
              <w:rPr>
                <w:color w:val="000000"/>
                <w:u w:color="000000"/>
                <w:lang w:val="en-US"/>
              </w:rPr>
              <w:t>2</w:t>
            </w:r>
          </w:p>
        </w:tc>
        <w:tc>
          <w:tcPr>
            <w:tcW w:w="1988" w:type="dxa"/>
          </w:tcPr>
          <w:p w14:paraId="150D2F2D" w14:textId="77777777" w:rsidR="00C5516F" w:rsidRPr="00A21682" w:rsidRDefault="00C5516F" w:rsidP="00047C4E">
            <w:pPr>
              <w:pStyle w:val="TABLETEXT1"/>
              <w:rPr>
                <w:color w:val="000000"/>
                <w:u w:color="000000"/>
                <w:lang w:val="en-US"/>
              </w:rPr>
            </w:pPr>
            <w:r>
              <w:rPr>
                <w:color w:val="000000"/>
                <w:u w:color="000000"/>
                <w:lang w:val="en-US"/>
              </w:rPr>
              <w:t>Code Assessment</w:t>
            </w:r>
          </w:p>
        </w:tc>
        <w:tc>
          <w:tcPr>
            <w:tcW w:w="4476" w:type="dxa"/>
          </w:tcPr>
          <w:p w14:paraId="35D79AC7" w14:textId="77777777" w:rsidR="00C5516F" w:rsidRPr="00A21682" w:rsidRDefault="00C5516F" w:rsidP="003610DC">
            <w:pPr>
              <w:pStyle w:val="TABLETEXT1"/>
              <w:rPr>
                <w:rFonts w:eastAsia="Segoe UI"/>
                <w:color w:val="000000"/>
                <w:u w:color="000000"/>
                <w:lang w:val="en-US"/>
              </w:rPr>
            </w:pPr>
            <w:r>
              <w:rPr>
                <w:rFonts w:eastAsia="Segoe UI"/>
                <w:color w:val="000000"/>
                <w:u w:color="000000"/>
                <w:lang w:val="en-US"/>
              </w:rPr>
              <w:t xml:space="preserve">Checkmarx Assess Code through built in engine pack </w:t>
            </w:r>
          </w:p>
        </w:tc>
        <w:tc>
          <w:tcPr>
            <w:tcW w:w="2274" w:type="dxa"/>
          </w:tcPr>
          <w:p w14:paraId="2B599E6F" w14:textId="77777777" w:rsidR="00C5516F" w:rsidRPr="00635C9B" w:rsidRDefault="00C5516F" w:rsidP="00CC45BC">
            <w:pPr>
              <w:pStyle w:val="TABLEBULLETNEW"/>
            </w:pPr>
            <w:r>
              <w:t>Checkmarx Security Service Account</w:t>
            </w:r>
          </w:p>
        </w:tc>
      </w:tr>
      <w:tr w:rsidR="00C5516F" w:rsidRPr="00A21682" w14:paraId="640C1A2F" w14:textId="77777777" w:rsidTr="00047C4E">
        <w:trPr>
          <w:trHeight w:val="300"/>
        </w:trPr>
        <w:tc>
          <w:tcPr>
            <w:tcW w:w="614" w:type="dxa"/>
          </w:tcPr>
          <w:p w14:paraId="67687721" w14:textId="77777777" w:rsidR="00C5516F" w:rsidRPr="00A21682" w:rsidRDefault="00C5516F" w:rsidP="00047C4E">
            <w:pPr>
              <w:pStyle w:val="TABLETEXT1"/>
              <w:rPr>
                <w:color w:val="000000"/>
                <w:u w:color="000000"/>
                <w:lang w:val="en-US"/>
              </w:rPr>
            </w:pPr>
            <w:r>
              <w:rPr>
                <w:color w:val="000000"/>
                <w:u w:color="000000"/>
                <w:lang w:val="en-US"/>
              </w:rPr>
              <w:t>3</w:t>
            </w:r>
          </w:p>
        </w:tc>
        <w:tc>
          <w:tcPr>
            <w:tcW w:w="1988" w:type="dxa"/>
          </w:tcPr>
          <w:p w14:paraId="2DAF2314" w14:textId="77777777" w:rsidR="00C5516F" w:rsidRPr="00A21682" w:rsidRDefault="00C5516F" w:rsidP="00047C4E">
            <w:pPr>
              <w:pStyle w:val="TABLETEXT1"/>
              <w:rPr>
                <w:color w:val="000000"/>
                <w:u w:color="000000"/>
                <w:lang w:val="en-US"/>
              </w:rPr>
            </w:pPr>
            <w:r>
              <w:rPr>
                <w:color w:val="000000"/>
                <w:u w:color="000000"/>
                <w:lang w:val="en-US"/>
              </w:rPr>
              <w:t>Review of Assessment</w:t>
            </w:r>
          </w:p>
        </w:tc>
        <w:tc>
          <w:tcPr>
            <w:tcW w:w="4476" w:type="dxa"/>
          </w:tcPr>
          <w:p w14:paraId="32E173EF" w14:textId="73C9DC22" w:rsidR="00C5516F" w:rsidRPr="00A21682" w:rsidRDefault="00C5516F" w:rsidP="003610DC">
            <w:pPr>
              <w:pStyle w:val="TABLETEXT1"/>
              <w:rPr>
                <w:rFonts w:eastAsia="Segoe UI"/>
                <w:color w:val="000000"/>
                <w:u w:color="000000"/>
                <w:lang w:val="en-US"/>
              </w:rPr>
            </w:pPr>
            <w:r>
              <w:rPr>
                <w:rFonts w:eastAsia="Segoe UI"/>
                <w:color w:val="000000"/>
                <w:u w:color="000000"/>
                <w:lang w:val="en-US"/>
              </w:rPr>
              <w:t>Performs True Positive / False Positive Analysis on the Checkmarx scan to identify vulnerabilities for remediation</w:t>
            </w:r>
          </w:p>
        </w:tc>
        <w:tc>
          <w:tcPr>
            <w:tcW w:w="2274" w:type="dxa"/>
          </w:tcPr>
          <w:p w14:paraId="0E295E1C" w14:textId="77777777" w:rsidR="00C5516F" w:rsidRPr="00635C9B" w:rsidRDefault="00C5516F" w:rsidP="00CC45BC">
            <w:pPr>
              <w:pStyle w:val="TABLEBULLETNEW"/>
            </w:pPr>
            <w:r>
              <w:t>Security Tester</w:t>
            </w:r>
          </w:p>
        </w:tc>
      </w:tr>
      <w:tr w:rsidR="00C5516F" w:rsidRPr="00A21682" w14:paraId="556EA96C" w14:textId="77777777" w:rsidTr="00047C4E">
        <w:trPr>
          <w:trHeight w:val="300"/>
        </w:trPr>
        <w:tc>
          <w:tcPr>
            <w:tcW w:w="614" w:type="dxa"/>
          </w:tcPr>
          <w:p w14:paraId="3F5557E3" w14:textId="77777777" w:rsidR="00C5516F" w:rsidRPr="00A21682" w:rsidRDefault="00C5516F" w:rsidP="00047C4E">
            <w:pPr>
              <w:pStyle w:val="TABLETEXT1"/>
              <w:rPr>
                <w:color w:val="000000"/>
                <w:u w:color="000000"/>
                <w:lang w:val="en-US"/>
              </w:rPr>
            </w:pPr>
            <w:r>
              <w:rPr>
                <w:color w:val="000000"/>
                <w:u w:color="000000"/>
                <w:lang w:val="en-US"/>
              </w:rPr>
              <w:t>4</w:t>
            </w:r>
          </w:p>
        </w:tc>
        <w:tc>
          <w:tcPr>
            <w:tcW w:w="1988" w:type="dxa"/>
          </w:tcPr>
          <w:p w14:paraId="48197F00" w14:textId="77777777" w:rsidR="00C5516F" w:rsidRPr="00A21682" w:rsidRDefault="00C5516F" w:rsidP="00047C4E">
            <w:pPr>
              <w:pStyle w:val="TABLETEXT1"/>
              <w:rPr>
                <w:color w:val="000000"/>
                <w:u w:color="000000"/>
                <w:lang w:val="en-US"/>
              </w:rPr>
            </w:pPr>
            <w:r>
              <w:rPr>
                <w:color w:val="000000"/>
                <w:u w:color="000000"/>
                <w:lang w:val="en-US"/>
              </w:rPr>
              <w:t>Agreement on Changes</w:t>
            </w:r>
          </w:p>
        </w:tc>
        <w:tc>
          <w:tcPr>
            <w:tcW w:w="4476" w:type="dxa"/>
          </w:tcPr>
          <w:p w14:paraId="1529ED2F" w14:textId="220EFA37" w:rsidR="00C5516F" w:rsidRPr="00A21682" w:rsidRDefault="00C5516F" w:rsidP="003610DC">
            <w:pPr>
              <w:pStyle w:val="TABLETEXT1"/>
              <w:rPr>
                <w:rFonts w:eastAsia="Segoe UI"/>
                <w:color w:val="000000"/>
                <w:u w:color="000000"/>
                <w:lang w:val="en-US"/>
              </w:rPr>
            </w:pPr>
            <w:r>
              <w:rPr>
                <w:rFonts w:eastAsia="Segoe UI"/>
                <w:color w:val="000000"/>
                <w:u w:color="000000"/>
                <w:lang w:val="en-US"/>
              </w:rPr>
              <w:t>Discussion between Security and development to identify vulnerabilities and track targeted fixes</w:t>
            </w:r>
          </w:p>
        </w:tc>
        <w:tc>
          <w:tcPr>
            <w:tcW w:w="2274" w:type="dxa"/>
          </w:tcPr>
          <w:p w14:paraId="047CD0CF" w14:textId="77777777" w:rsidR="00C5516F" w:rsidRPr="00635C9B" w:rsidRDefault="00C5516F" w:rsidP="00CC45BC">
            <w:pPr>
              <w:pStyle w:val="TABLEBULLETNEW"/>
            </w:pPr>
            <w:r>
              <w:t>Security Tester</w:t>
            </w:r>
          </w:p>
          <w:p w14:paraId="43635989" w14:textId="77777777" w:rsidR="00C5516F" w:rsidRPr="00635C9B" w:rsidRDefault="00C5516F" w:rsidP="00CC45BC">
            <w:pPr>
              <w:pStyle w:val="TABLEBULLETNEW"/>
            </w:pPr>
            <w:r>
              <w:t>Developer</w:t>
            </w:r>
          </w:p>
        </w:tc>
      </w:tr>
      <w:tr w:rsidR="00C5516F" w:rsidRPr="00A21682" w14:paraId="36AF93E5" w14:textId="77777777" w:rsidTr="00047C4E">
        <w:trPr>
          <w:trHeight w:val="300"/>
        </w:trPr>
        <w:tc>
          <w:tcPr>
            <w:tcW w:w="614" w:type="dxa"/>
          </w:tcPr>
          <w:p w14:paraId="1166671C" w14:textId="77777777" w:rsidR="00C5516F" w:rsidRPr="00A21682" w:rsidRDefault="00C5516F" w:rsidP="00047C4E">
            <w:pPr>
              <w:pStyle w:val="TABLETEXT1"/>
              <w:rPr>
                <w:color w:val="000000"/>
                <w:u w:color="000000"/>
                <w:lang w:val="en-US"/>
              </w:rPr>
            </w:pPr>
            <w:r>
              <w:rPr>
                <w:color w:val="000000"/>
                <w:u w:color="000000"/>
                <w:lang w:val="en-US"/>
              </w:rPr>
              <w:t>5</w:t>
            </w:r>
          </w:p>
        </w:tc>
        <w:tc>
          <w:tcPr>
            <w:tcW w:w="1988" w:type="dxa"/>
          </w:tcPr>
          <w:p w14:paraId="208E4C9B" w14:textId="77777777" w:rsidR="00C5516F" w:rsidRPr="00A21682" w:rsidRDefault="00C5516F" w:rsidP="00047C4E">
            <w:pPr>
              <w:pStyle w:val="TABLETEXT1"/>
              <w:rPr>
                <w:color w:val="000000"/>
                <w:u w:color="000000"/>
                <w:lang w:val="en-US"/>
              </w:rPr>
            </w:pPr>
            <w:r>
              <w:rPr>
                <w:color w:val="000000"/>
                <w:u w:color="000000"/>
                <w:lang w:val="en-US"/>
              </w:rPr>
              <w:t>ALM Tool Ticketing</w:t>
            </w:r>
          </w:p>
        </w:tc>
        <w:tc>
          <w:tcPr>
            <w:tcW w:w="4476" w:type="dxa"/>
          </w:tcPr>
          <w:p w14:paraId="0E1D88F7" w14:textId="63FBC153" w:rsidR="00C5516F" w:rsidRPr="00A21682" w:rsidRDefault="00C5516F" w:rsidP="003610DC">
            <w:pPr>
              <w:pStyle w:val="TABLETEXT1"/>
              <w:rPr>
                <w:rFonts w:eastAsia="Segoe UI"/>
                <w:color w:val="000000"/>
                <w:u w:color="000000"/>
                <w:lang w:val="en-US"/>
              </w:rPr>
            </w:pPr>
            <w:r>
              <w:rPr>
                <w:rFonts w:eastAsia="Segoe UI"/>
                <w:color w:val="000000"/>
                <w:u w:color="000000"/>
                <w:lang w:val="en-US"/>
              </w:rPr>
              <w:t>A ALM tool ticket is logged for identified vulnerabilities</w:t>
            </w:r>
          </w:p>
        </w:tc>
        <w:tc>
          <w:tcPr>
            <w:tcW w:w="2274" w:type="dxa"/>
          </w:tcPr>
          <w:p w14:paraId="1E1C171E" w14:textId="77777777" w:rsidR="00C5516F" w:rsidRPr="00635C9B" w:rsidRDefault="00C5516F" w:rsidP="00CC45BC">
            <w:pPr>
              <w:pStyle w:val="TABLEBULLETNEW"/>
            </w:pPr>
            <w:r>
              <w:t>Developer</w:t>
            </w:r>
          </w:p>
        </w:tc>
      </w:tr>
      <w:tr w:rsidR="00C5516F" w:rsidRPr="00A21682" w14:paraId="7BB513BD" w14:textId="77777777" w:rsidTr="00047C4E">
        <w:trPr>
          <w:trHeight w:val="300"/>
        </w:trPr>
        <w:tc>
          <w:tcPr>
            <w:tcW w:w="614" w:type="dxa"/>
          </w:tcPr>
          <w:p w14:paraId="08C9824D" w14:textId="77777777" w:rsidR="00C5516F" w:rsidRPr="00A21682" w:rsidRDefault="00C5516F" w:rsidP="00047C4E">
            <w:pPr>
              <w:pStyle w:val="TABLETEXT1"/>
              <w:rPr>
                <w:color w:val="000000"/>
                <w:u w:color="000000"/>
                <w:lang w:val="en-US"/>
              </w:rPr>
            </w:pPr>
            <w:r>
              <w:rPr>
                <w:color w:val="000000"/>
                <w:u w:color="000000"/>
                <w:lang w:val="en-US"/>
              </w:rPr>
              <w:t>6</w:t>
            </w:r>
          </w:p>
        </w:tc>
        <w:tc>
          <w:tcPr>
            <w:tcW w:w="1988" w:type="dxa"/>
          </w:tcPr>
          <w:p w14:paraId="359869BD" w14:textId="77777777" w:rsidR="00C5516F" w:rsidRPr="00A21682" w:rsidRDefault="00C5516F" w:rsidP="00047C4E">
            <w:pPr>
              <w:pStyle w:val="TABLETEXT1"/>
              <w:rPr>
                <w:color w:val="000000"/>
                <w:u w:color="000000"/>
                <w:lang w:val="en-US"/>
              </w:rPr>
            </w:pPr>
            <w:r>
              <w:rPr>
                <w:color w:val="000000"/>
                <w:u w:color="000000"/>
                <w:lang w:val="en-US"/>
              </w:rPr>
              <w:t>Remediation</w:t>
            </w:r>
          </w:p>
        </w:tc>
        <w:tc>
          <w:tcPr>
            <w:tcW w:w="4476" w:type="dxa"/>
          </w:tcPr>
          <w:p w14:paraId="331D401E" w14:textId="4C347048" w:rsidR="00C5516F" w:rsidRPr="00A21682" w:rsidRDefault="00C5516F" w:rsidP="003610DC">
            <w:pPr>
              <w:pStyle w:val="TABLETEXT1"/>
              <w:rPr>
                <w:rFonts w:eastAsia="Segoe UI"/>
                <w:color w:val="000000"/>
                <w:u w:color="000000"/>
                <w:lang w:val="en-US"/>
              </w:rPr>
            </w:pPr>
            <w:r>
              <w:rPr>
                <w:rFonts w:eastAsia="Segoe UI"/>
                <w:color w:val="000000"/>
                <w:u w:color="000000"/>
                <w:lang w:val="en-US"/>
              </w:rPr>
              <w:t>Code vulnerabilities are remediated by development within the scoped timeline</w:t>
            </w:r>
          </w:p>
        </w:tc>
        <w:tc>
          <w:tcPr>
            <w:tcW w:w="2274" w:type="dxa"/>
          </w:tcPr>
          <w:p w14:paraId="04318B2E" w14:textId="77777777" w:rsidR="00C5516F" w:rsidRPr="00635C9B" w:rsidRDefault="00C5516F" w:rsidP="00CC45BC">
            <w:pPr>
              <w:pStyle w:val="TABLEBULLETNEW"/>
            </w:pPr>
            <w:r>
              <w:t>Developer</w:t>
            </w:r>
          </w:p>
        </w:tc>
      </w:tr>
      <w:tr w:rsidR="00C5516F" w:rsidRPr="00A21682" w14:paraId="3F9010C9" w14:textId="77777777" w:rsidTr="00047C4E">
        <w:trPr>
          <w:trHeight w:val="300"/>
        </w:trPr>
        <w:tc>
          <w:tcPr>
            <w:tcW w:w="614" w:type="dxa"/>
          </w:tcPr>
          <w:p w14:paraId="6CC3240E" w14:textId="77777777" w:rsidR="00C5516F" w:rsidRPr="00A21682" w:rsidRDefault="00C5516F" w:rsidP="00047C4E">
            <w:pPr>
              <w:pStyle w:val="TABLETEXT1"/>
              <w:rPr>
                <w:color w:val="000000"/>
                <w:u w:color="000000"/>
                <w:lang w:val="en-US"/>
              </w:rPr>
            </w:pPr>
            <w:r>
              <w:rPr>
                <w:color w:val="000000"/>
                <w:u w:color="000000"/>
                <w:lang w:val="en-US"/>
              </w:rPr>
              <w:lastRenderedPageBreak/>
              <w:t>7</w:t>
            </w:r>
          </w:p>
        </w:tc>
        <w:tc>
          <w:tcPr>
            <w:tcW w:w="1988" w:type="dxa"/>
          </w:tcPr>
          <w:p w14:paraId="154B2A98" w14:textId="77777777" w:rsidR="00C5516F" w:rsidRPr="00A21682" w:rsidRDefault="00C5516F" w:rsidP="00047C4E">
            <w:pPr>
              <w:pStyle w:val="TABLETEXT1"/>
              <w:rPr>
                <w:color w:val="000000"/>
                <w:u w:color="000000"/>
                <w:lang w:val="en-US"/>
              </w:rPr>
            </w:pPr>
            <w:r>
              <w:rPr>
                <w:color w:val="000000"/>
                <w:u w:color="000000"/>
                <w:lang w:val="en-US"/>
              </w:rPr>
              <w:t>Retesting of Remediation</w:t>
            </w:r>
          </w:p>
        </w:tc>
        <w:tc>
          <w:tcPr>
            <w:tcW w:w="4476" w:type="dxa"/>
          </w:tcPr>
          <w:p w14:paraId="7FADC648" w14:textId="12A03AC0" w:rsidR="00C5516F" w:rsidRPr="00A21682" w:rsidRDefault="00C5516F" w:rsidP="003610DC">
            <w:pPr>
              <w:pStyle w:val="TABLETEXT1"/>
              <w:rPr>
                <w:rFonts w:eastAsia="Segoe UI"/>
                <w:color w:val="000000"/>
                <w:u w:color="000000"/>
                <w:lang w:val="en-US"/>
              </w:rPr>
            </w:pPr>
            <w:r>
              <w:rPr>
                <w:rFonts w:eastAsia="Segoe UI"/>
                <w:color w:val="000000"/>
                <w:u w:color="000000"/>
                <w:lang w:val="en-US"/>
              </w:rPr>
              <w:t>Retesting is done on the remediated items to assess that fixes were made successfully</w:t>
            </w:r>
          </w:p>
        </w:tc>
        <w:tc>
          <w:tcPr>
            <w:tcW w:w="2274" w:type="dxa"/>
          </w:tcPr>
          <w:p w14:paraId="489CB9C8" w14:textId="77777777" w:rsidR="00C5516F" w:rsidRPr="00635C9B" w:rsidRDefault="00C5516F" w:rsidP="00CC45BC">
            <w:pPr>
              <w:pStyle w:val="TABLEBULLETNEW"/>
            </w:pPr>
            <w:r>
              <w:t>Security Tester</w:t>
            </w:r>
          </w:p>
        </w:tc>
      </w:tr>
    </w:tbl>
    <w:p w14:paraId="14E0D4C6" w14:textId="37F2D4ED" w:rsidR="00C5516F" w:rsidRPr="00A21682" w:rsidRDefault="00C5516F" w:rsidP="005827B3">
      <w:pPr>
        <w:pStyle w:val="Caption"/>
        <w:rPr>
          <w:noProof w:val="0"/>
        </w:rPr>
      </w:pPr>
      <w:bookmarkStart w:id="1575" w:name="_Toc150951940"/>
      <w:bookmarkStart w:id="1576" w:name="_Toc192875155"/>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70</w:t>
      </w:r>
      <w:r>
        <w:rPr>
          <w:noProof w:val="0"/>
        </w:rPr>
        <w:fldChar w:fldCharType="end"/>
      </w:r>
      <w:r>
        <w:rPr>
          <w:noProof w:val="0"/>
        </w:rPr>
        <w:t>: Checkmarx SAST Workflow Narrative</w:t>
      </w:r>
      <w:bookmarkEnd w:id="1575"/>
      <w:bookmarkEnd w:id="1576"/>
    </w:p>
    <w:p w14:paraId="104F7D09" w14:textId="77777777" w:rsidR="00C5516F" w:rsidRPr="00A21682" w:rsidRDefault="00C5516F">
      <w:pPr>
        <w:pStyle w:val="Heading3"/>
        <w:rPr>
          <w:u w:color="000000"/>
        </w:rPr>
      </w:pPr>
      <w:bookmarkStart w:id="1577" w:name="_Toc148102451"/>
      <w:bookmarkStart w:id="1578" w:name="_Toc148098553"/>
      <w:bookmarkStart w:id="1579" w:name="_Toc149051935"/>
      <w:bookmarkStart w:id="1580" w:name="_Toc152605756"/>
      <w:bookmarkStart w:id="1581" w:name="_Toc152605945"/>
      <w:bookmarkStart w:id="1582" w:name="_Toc148102452"/>
      <w:bookmarkStart w:id="1583" w:name="_Toc152605946"/>
      <w:bookmarkStart w:id="1584" w:name="_Toc177119103"/>
      <w:bookmarkStart w:id="1585" w:name="_Toc185952625"/>
      <w:bookmarkStart w:id="1586" w:name="_Toc192874791"/>
      <w:bookmarkEnd w:id="1577"/>
      <w:bookmarkEnd w:id="1578"/>
      <w:bookmarkEnd w:id="1579"/>
      <w:bookmarkEnd w:id="1580"/>
      <w:bookmarkEnd w:id="1581"/>
      <w:r>
        <w:rPr>
          <w:u w:color="000000"/>
        </w:rPr>
        <w:t>Accessing ALM Tool</w:t>
      </w:r>
      <w:bookmarkEnd w:id="1582"/>
      <w:bookmarkEnd w:id="1583"/>
      <w:bookmarkEnd w:id="1584"/>
      <w:bookmarkEnd w:id="1585"/>
      <w:bookmarkEnd w:id="1586"/>
    </w:p>
    <w:p w14:paraId="547C7239" w14:textId="4871C699" w:rsidR="00C5516F" w:rsidRPr="00A21682" w:rsidRDefault="00C5516F" w:rsidP="004A3693">
      <w:pPr>
        <w:pStyle w:val="NormalNEW"/>
        <w:rPr>
          <w:u w:color="000000"/>
          <w:lang w:val="en-US"/>
        </w:rPr>
      </w:pPr>
      <w:r>
        <w:rPr>
          <w:u w:color="000000"/>
          <w:lang w:val="en-US"/>
        </w:rPr>
        <w:t xml:space="preserve">Access to Checkmarx SAST is limited to ███████ resources. User training for DOH users is not required for this ALM tool. </w:t>
      </w:r>
    </w:p>
    <w:tbl>
      <w:tblPr>
        <w:tblW w:w="0" w:type="auto"/>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12"/>
        <w:gridCol w:w="6748"/>
        <w:gridCol w:w="1795"/>
      </w:tblGrid>
      <w:tr w:rsidR="005133E7" w:rsidRPr="00A21682" w14:paraId="3718F23A" w14:textId="77777777" w:rsidTr="00C968EF">
        <w:tc>
          <w:tcPr>
            <w:tcW w:w="812" w:type="dxa"/>
            <w:tcBorders>
              <w:right w:val="single" w:sz="2" w:space="0" w:color="FFFFFF" w:themeColor="background1"/>
            </w:tcBorders>
            <w:shd w:val="clear" w:color="auto" w:fill="000000"/>
          </w:tcPr>
          <w:p w14:paraId="640E91FA" w14:textId="77777777" w:rsidR="00C5516F" w:rsidRPr="00A21682" w:rsidRDefault="00C5516F" w:rsidP="00047C4E">
            <w:pPr>
              <w:pStyle w:val="TABLEHEADINGNEW"/>
              <w:rPr>
                <w:u w:color="000000"/>
              </w:rPr>
            </w:pPr>
            <w:r>
              <w:rPr>
                <w:u w:color="000000"/>
              </w:rPr>
              <w:t>#</w:t>
            </w:r>
          </w:p>
        </w:tc>
        <w:tc>
          <w:tcPr>
            <w:tcW w:w="6748" w:type="dxa"/>
            <w:tcBorders>
              <w:left w:val="single" w:sz="2" w:space="0" w:color="FFFFFF" w:themeColor="background1"/>
              <w:right w:val="single" w:sz="2" w:space="0" w:color="FFFFFF" w:themeColor="background1"/>
            </w:tcBorders>
            <w:shd w:val="clear" w:color="auto" w:fill="000000"/>
          </w:tcPr>
          <w:p w14:paraId="1E0306CE" w14:textId="77777777" w:rsidR="00C5516F" w:rsidRPr="00A21682" w:rsidRDefault="00C5516F" w:rsidP="00047C4E">
            <w:pPr>
              <w:pStyle w:val="TABLEHEADINGNEW"/>
              <w:rPr>
                <w:u w:color="000000"/>
              </w:rPr>
            </w:pPr>
            <w:r>
              <w:rPr>
                <w:u w:color="000000"/>
              </w:rPr>
              <w:t>Access Step</w:t>
            </w:r>
          </w:p>
        </w:tc>
        <w:tc>
          <w:tcPr>
            <w:tcW w:w="1795" w:type="dxa"/>
            <w:tcBorders>
              <w:left w:val="single" w:sz="2" w:space="0" w:color="FFFFFF" w:themeColor="background1"/>
            </w:tcBorders>
            <w:shd w:val="clear" w:color="auto" w:fill="000000"/>
          </w:tcPr>
          <w:p w14:paraId="7528BE49" w14:textId="77777777" w:rsidR="00C5516F" w:rsidRPr="00A21682" w:rsidRDefault="00C5516F" w:rsidP="00047C4E">
            <w:pPr>
              <w:pStyle w:val="TABLEHEADINGNEW"/>
              <w:rPr>
                <w:u w:color="000000"/>
              </w:rPr>
            </w:pPr>
            <w:r>
              <w:rPr>
                <w:u w:color="000000"/>
              </w:rPr>
              <w:t>Owner</w:t>
            </w:r>
          </w:p>
        </w:tc>
      </w:tr>
      <w:tr w:rsidR="003A472F" w:rsidRPr="00A21682" w14:paraId="283400CC" w14:textId="77777777" w:rsidTr="00047C4E">
        <w:tc>
          <w:tcPr>
            <w:tcW w:w="812" w:type="dxa"/>
          </w:tcPr>
          <w:p w14:paraId="531170B6" w14:textId="587CD084" w:rsidR="00C5516F" w:rsidRPr="00A21682" w:rsidRDefault="00D64F58" w:rsidP="00047C4E">
            <w:pPr>
              <w:pStyle w:val="TABLETEXT1"/>
              <w:rPr>
                <w:u w:color="000000"/>
                <w:lang w:val="en-US"/>
              </w:rPr>
            </w:pPr>
            <w:r>
              <w:rPr>
                <w:u w:color="000000"/>
                <w:lang w:val="en-US"/>
              </w:rPr>
              <w:t>1</w:t>
            </w:r>
          </w:p>
        </w:tc>
        <w:tc>
          <w:tcPr>
            <w:tcW w:w="6748" w:type="dxa"/>
          </w:tcPr>
          <w:p w14:paraId="5F1DE78F" w14:textId="5134E7D2" w:rsidR="00C5516F" w:rsidRPr="00A21682" w:rsidRDefault="00C5516F" w:rsidP="00047C4E">
            <w:pPr>
              <w:pStyle w:val="TABLETEXT1"/>
              <w:rPr>
                <w:u w:color="000000"/>
                <w:lang w:val="en-US"/>
              </w:rPr>
            </w:pPr>
            <w:r>
              <w:rPr>
                <w:u w:color="000000"/>
                <w:lang w:val="en-US"/>
              </w:rPr>
              <w:t>Authenticate through RDP into the hosted Checkmarx server</w:t>
            </w:r>
          </w:p>
        </w:tc>
        <w:tc>
          <w:tcPr>
            <w:tcW w:w="1795" w:type="dxa"/>
          </w:tcPr>
          <w:p w14:paraId="194932F1" w14:textId="77777777" w:rsidR="00C5516F" w:rsidRPr="00A21682" w:rsidRDefault="00C5516F" w:rsidP="00047C4E">
            <w:pPr>
              <w:pStyle w:val="TABLETEXT1"/>
              <w:rPr>
                <w:u w:color="000000"/>
                <w:lang w:val="en-US"/>
              </w:rPr>
            </w:pPr>
            <w:r>
              <w:rPr>
                <w:u w:color="000000"/>
                <w:lang w:val="en-US"/>
              </w:rPr>
              <w:t>Security Tester</w:t>
            </w:r>
          </w:p>
        </w:tc>
      </w:tr>
      <w:tr w:rsidR="003A472F" w:rsidRPr="00A21682" w14:paraId="678A9791" w14:textId="77777777" w:rsidTr="00047C4E">
        <w:tc>
          <w:tcPr>
            <w:tcW w:w="812" w:type="dxa"/>
          </w:tcPr>
          <w:p w14:paraId="6E0F6341" w14:textId="47584A12" w:rsidR="00C5516F" w:rsidRPr="00A21682" w:rsidRDefault="00D64F58" w:rsidP="00047C4E">
            <w:pPr>
              <w:pStyle w:val="TABLETEXT1"/>
              <w:rPr>
                <w:u w:color="000000"/>
                <w:lang w:val="en-US"/>
              </w:rPr>
            </w:pPr>
            <w:r>
              <w:rPr>
                <w:u w:color="000000"/>
                <w:lang w:val="en-US"/>
              </w:rPr>
              <w:t>2</w:t>
            </w:r>
          </w:p>
        </w:tc>
        <w:tc>
          <w:tcPr>
            <w:tcW w:w="6748" w:type="dxa"/>
          </w:tcPr>
          <w:p w14:paraId="5F5FA9F3" w14:textId="77777777" w:rsidR="00C5516F" w:rsidRPr="00A21682" w:rsidRDefault="00C5516F" w:rsidP="00047C4E">
            <w:pPr>
              <w:pStyle w:val="TABLETEXT1"/>
              <w:rPr>
                <w:u w:color="000000"/>
                <w:lang w:val="en-US"/>
              </w:rPr>
            </w:pPr>
            <w:r>
              <w:rPr>
                <w:u w:color="000000"/>
                <w:lang w:val="en-US"/>
              </w:rPr>
              <w:t>Access the Checkmarx user interface through a web browser such as Chrome, Firefox, Edge (not compatible with IE)</w:t>
            </w:r>
          </w:p>
        </w:tc>
        <w:tc>
          <w:tcPr>
            <w:tcW w:w="1795" w:type="dxa"/>
          </w:tcPr>
          <w:p w14:paraId="7407BA7F" w14:textId="77777777" w:rsidR="00C5516F" w:rsidRPr="00A21682" w:rsidRDefault="00C5516F" w:rsidP="00047C4E">
            <w:pPr>
              <w:pStyle w:val="TABLETEXT1"/>
              <w:rPr>
                <w:u w:color="000000"/>
                <w:lang w:val="en-US"/>
              </w:rPr>
            </w:pPr>
            <w:r>
              <w:rPr>
                <w:u w:color="000000"/>
                <w:lang w:val="en-US"/>
              </w:rPr>
              <w:t>Security Tester</w:t>
            </w:r>
          </w:p>
        </w:tc>
      </w:tr>
      <w:tr w:rsidR="003A472F" w:rsidRPr="00A21682" w14:paraId="1C4ED07B" w14:textId="77777777" w:rsidTr="00047C4E">
        <w:tc>
          <w:tcPr>
            <w:tcW w:w="812" w:type="dxa"/>
          </w:tcPr>
          <w:p w14:paraId="4AE57236" w14:textId="211E6085" w:rsidR="00C5516F" w:rsidRPr="00A21682" w:rsidRDefault="00D64F58" w:rsidP="00047C4E">
            <w:pPr>
              <w:pStyle w:val="TABLETEXT1"/>
              <w:rPr>
                <w:u w:color="000000"/>
                <w:lang w:val="en-US"/>
              </w:rPr>
            </w:pPr>
            <w:r>
              <w:rPr>
                <w:u w:color="000000"/>
                <w:lang w:val="en-US"/>
              </w:rPr>
              <w:t>3</w:t>
            </w:r>
          </w:p>
        </w:tc>
        <w:tc>
          <w:tcPr>
            <w:tcW w:w="6748" w:type="dxa"/>
          </w:tcPr>
          <w:p w14:paraId="5F5B67F8" w14:textId="75AE3E8C" w:rsidR="00C5516F" w:rsidRPr="00A21682" w:rsidRDefault="00C5516F" w:rsidP="00047C4E">
            <w:pPr>
              <w:pStyle w:val="TABLETEXT1"/>
              <w:rPr>
                <w:u w:color="000000"/>
                <w:lang w:val="en-US"/>
              </w:rPr>
            </w:pPr>
            <w:r>
              <w:rPr>
                <w:u w:color="000000"/>
                <w:lang w:val="en-US"/>
              </w:rPr>
              <w:t>Authenticate into the Checkmarx UI with Checkmarx local credentials</w:t>
            </w:r>
          </w:p>
        </w:tc>
        <w:tc>
          <w:tcPr>
            <w:tcW w:w="1795" w:type="dxa"/>
          </w:tcPr>
          <w:p w14:paraId="50B07394" w14:textId="77777777" w:rsidR="00C5516F" w:rsidRPr="00A21682" w:rsidRDefault="00C5516F" w:rsidP="00047C4E">
            <w:pPr>
              <w:pStyle w:val="TABLETEXT1"/>
              <w:rPr>
                <w:u w:color="000000"/>
                <w:lang w:val="en-US"/>
              </w:rPr>
            </w:pPr>
            <w:r>
              <w:rPr>
                <w:u w:color="000000"/>
                <w:lang w:val="en-US"/>
              </w:rPr>
              <w:t>Security Tester</w:t>
            </w:r>
          </w:p>
        </w:tc>
      </w:tr>
    </w:tbl>
    <w:p w14:paraId="16A0BEC0" w14:textId="5A582E47" w:rsidR="00C5516F" w:rsidRPr="00A21682" w:rsidRDefault="00C5516F" w:rsidP="005827B3">
      <w:pPr>
        <w:pStyle w:val="Caption"/>
        <w:rPr>
          <w:noProof w:val="0"/>
        </w:rPr>
      </w:pPr>
      <w:bookmarkStart w:id="1587" w:name="_Toc150951941"/>
      <w:bookmarkStart w:id="1588" w:name="_Toc192875156"/>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71</w:t>
      </w:r>
      <w:r>
        <w:rPr>
          <w:noProof w:val="0"/>
        </w:rPr>
        <w:fldChar w:fldCharType="end"/>
      </w:r>
      <w:r>
        <w:rPr>
          <w:noProof w:val="0"/>
        </w:rPr>
        <w:t>: Checkmarx Access</w:t>
      </w:r>
      <w:bookmarkEnd w:id="1587"/>
      <w:bookmarkEnd w:id="1588"/>
    </w:p>
    <w:p w14:paraId="555531B2" w14:textId="77777777" w:rsidR="00C5516F" w:rsidRPr="00A21682" w:rsidRDefault="00C5516F">
      <w:pPr>
        <w:pStyle w:val="Heading2"/>
        <w:rPr>
          <w:u w:color="000000"/>
        </w:rPr>
      </w:pPr>
      <w:bookmarkStart w:id="1589" w:name="_Toc148102453"/>
      <w:bookmarkStart w:id="1590" w:name="_Toc152605947"/>
      <w:bookmarkStart w:id="1591" w:name="_Toc177119104"/>
      <w:bookmarkStart w:id="1592" w:name="_Toc185952626"/>
      <w:bookmarkStart w:id="1593" w:name="_Toc192874792"/>
      <w:r>
        <w:rPr>
          <w:u w:color="000000"/>
        </w:rPr>
        <w:t>Burp Suite Pro</w:t>
      </w:r>
      <w:bookmarkEnd w:id="1589"/>
      <w:bookmarkEnd w:id="1590"/>
      <w:bookmarkEnd w:id="1591"/>
      <w:bookmarkEnd w:id="1592"/>
      <w:bookmarkEnd w:id="1593"/>
    </w:p>
    <w:p w14:paraId="40606077" w14:textId="77777777" w:rsidR="00C5516F" w:rsidRPr="00A21682" w:rsidRDefault="00C5516F" w:rsidP="004A3693">
      <w:pPr>
        <w:pStyle w:val="NormalNEW"/>
        <w:rPr>
          <w:u w:color="000000"/>
          <w:lang w:val="en-US"/>
        </w:rPr>
      </w:pPr>
      <w:r>
        <w:rPr>
          <w:u w:color="000000"/>
          <w:shd w:val="clear" w:color="auto" w:fill="FFFFFF"/>
          <w:lang w:val="en-US"/>
        </w:rPr>
        <w:t xml:space="preserve">Burp Suite Professional Scanning Agent and Burp Suite Professional Runners identifies inherent weaknesses in the design, implementation, and </w:t>
      </w:r>
      <w:r>
        <w:rPr>
          <w:rFonts w:eastAsia="MS Gothic"/>
          <w:u w:color="000000"/>
          <w:lang w:val="en-US"/>
        </w:rPr>
        <w:t>security</w:t>
      </w:r>
      <w:r>
        <w:rPr>
          <w:u w:color="000000"/>
          <w:shd w:val="clear" w:color="auto" w:fill="FFFFFF"/>
          <w:lang w:val="en-US"/>
        </w:rPr>
        <w:t xml:space="preserve"> controls of the MECM application. The </w:t>
      </w:r>
      <w:r>
        <w:rPr>
          <w:rFonts w:eastAsia="MS Gothic"/>
          <w:u w:color="000000"/>
          <w:lang w:val="en-US"/>
        </w:rPr>
        <w:t>security</w:t>
      </w:r>
      <w:r>
        <w:rPr>
          <w:u w:color="000000"/>
          <w:shd w:val="clear" w:color="auto" w:fill="FFFFFF"/>
          <w:lang w:val="en-US"/>
        </w:rPr>
        <w:t xml:space="preserve"> testing process also evaluates the applications for controls and potential exposures in the authentication process, user input processing, session management, error handling, and encryption</w:t>
      </w:r>
    </w:p>
    <w:p w14:paraId="7330D832" w14:textId="0A05A0DA" w:rsidR="00C5516F" w:rsidRPr="00A21682" w:rsidRDefault="00C5516F">
      <w:pPr>
        <w:pStyle w:val="Heading3"/>
        <w:rPr>
          <w:rFonts w:eastAsia="Times New Roman" w:cs="Times New Roman"/>
          <w:u w:color="000000"/>
        </w:rPr>
      </w:pPr>
      <w:bookmarkStart w:id="1594" w:name="_Toc148102454"/>
      <w:bookmarkStart w:id="1595" w:name="_Toc152605948"/>
      <w:bookmarkStart w:id="1596" w:name="_Toc177119105"/>
      <w:bookmarkStart w:id="1597" w:name="_Toc185952627"/>
      <w:bookmarkStart w:id="1598" w:name="_Toc192874793"/>
      <w:r>
        <w:rPr>
          <w:u w:color="000000"/>
        </w:rPr>
        <w:t>ALM Tool Roles and Permissions</w:t>
      </w:r>
      <w:bookmarkEnd w:id="1594"/>
      <w:bookmarkEnd w:id="1595"/>
      <w:bookmarkEnd w:id="1596"/>
      <w:bookmarkEnd w:id="1597"/>
      <w:bookmarkEnd w:id="1598"/>
    </w:p>
    <w:tbl>
      <w:tblPr>
        <w:tblpPr w:leftFromText="180" w:rightFromText="180" w:vertAnchor="text" w:tblpX="-10" w:tblpY="34"/>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46"/>
        <w:gridCol w:w="2877"/>
        <w:gridCol w:w="3842"/>
      </w:tblGrid>
      <w:tr w:rsidR="00C5516F" w:rsidRPr="00A21682" w14:paraId="7EB3B1AE" w14:textId="77777777" w:rsidTr="003610DC">
        <w:trPr>
          <w:cantSplit/>
          <w:tblHeader/>
        </w:trPr>
        <w:tc>
          <w:tcPr>
            <w:tcW w:w="2546" w:type="dxa"/>
            <w:tcBorders>
              <w:top w:val="single" w:sz="4" w:space="0" w:color="auto"/>
              <w:left w:val="single" w:sz="4" w:space="0" w:color="auto"/>
              <w:bottom w:val="single" w:sz="4" w:space="0" w:color="auto"/>
              <w:right w:val="single" w:sz="2" w:space="0" w:color="FFFFFF" w:themeColor="background1"/>
            </w:tcBorders>
            <w:shd w:val="clear" w:color="auto" w:fill="000000"/>
          </w:tcPr>
          <w:p w14:paraId="33E2ECDA" w14:textId="77777777" w:rsidR="00C5516F" w:rsidRPr="00A21682" w:rsidRDefault="00C5516F" w:rsidP="00047C4E">
            <w:pPr>
              <w:pStyle w:val="TABLEHEADINGNEW"/>
              <w:rPr>
                <w:color w:val="000000"/>
                <w:u w:color="000000"/>
              </w:rPr>
            </w:pPr>
            <w:r>
              <w:rPr>
                <w:u w:color="000000"/>
              </w:rPr>
              <w:t>Tool Role</w:t>
            </w:r>
          </w:p>
        </w:tc>
        <w:tc>
          <w:tcPr>
            <w:tcW w:w="2877" w:type="dxa"/>
            <w:tcBorders>
              <w:top w:val="single" w:sz="4" w:space="0" w:color="auto"/>
              <w:left w:val="single" w:sz="2" w:space="0" w:color="FFFFFF" w:themeColor="background1"/>
              <w:right w:val="single" w:sz="2" w:space="0" w:color="FFFFFF" w:themeColor="background1"/>
            </w:tcBorders>
            <w:shd w:val="clear" w:color="auto" w:fill="000000"/>
          </w:tcPr>
          <w:p w14:paraId="23A5363F" w14:textId="77777777" w:rsidR="00C5516F" w:rsidRPr="00A21682" w:rsidRDefault="00C5516F" w:rsidP="00047C4E">
            <w:pPr>
              <w:pStyle w:val="TABLEHEADINGNEW"/>
              <w:rPr>
                <w:color w:val="000000"/>
                <w:u w:color="000000"/>
              </w:rPr>
            </w:pPr>
            <w:r>
              <w:rPr>
                <w:u w:color="000000"/>
              </w:rPr>
              <w:t>RACI Role</w:t>
            </w:r>
          </w:p>
        </w:tc>
        <w:tc>
          <w:tcPr>
            <w:tcW w:w="3842" w:type="dxa"/>
            <w:tcBorders>
              <w:top w:val="single" w:sz="4" w:space="0" w:color="auto"/>
              <w:left w:val="single" w:sz="2" w:space="0" w:color="FFFFFF" w:themeColor="background1"/>
            </w:tcBorders>
            <w:shd w:val="clear" w:color="auto" w:fill="000000"/>
          </w:tcPr>
          <w:p w14:paraId="141EDA91" w14:textId="77777777" w:rsidR="00C5516F" w:rsidRPr="00A21682" w:rsidRDefault="00C5516F" w:rsidP="00047C4E">
            <w:pPr>
              <w:pStyle w:val="TABLEHEADINGNEW"/>
              <w:rPr>
                <w:color w:val="000000"/>
                <w:u w:color="000000"/>
              </w:rPr>
            </w:pPr>
            <w:r>
              <w:rPr>
                <w:u w:color="000000"/>
              </w:rPr>
              <w:t>Key Permissions in Burp Suite Pro</w:t>
            </w:r>
          </w:p>
        </w:tc>
      </w:tr>
      <w:tr w:rsidR="00C5516F" w:rsidRPr="00A21682" w14:paraId="25CE9C09" w14:textId="77777777" w:rsidTr="003610DC">
        <w:trPr>
          <w:cantSplit/>
        </w:trPr>
        <w:tc>
          <w:tcPr>
            <w:tcW w:w="2546" w:type="dxa"/>
            <w:tcBorders>
              <w:left w:val="single" w:sz="4" w:space="0" w:color="auto"/>
              <w:bottom w:val="single" w:sz="4" w:space="0" w:color="auto"/>
            </w:tcBorders>
            <w:shd w:val="clear" w:color="auto" w:fill="FFFFFF" w:themeFill="background1"/>
          </w:tcPr>
          <w:p w14:paraId="4EB46B94" w14:textId="77777777" w:rsidR="00C5516F" w:rsidRPr="00A21682" w:rsidRDefault="00C5516F" w:rsidP="00047C4E">
            <w:pPr>
              <w:pStyle w:val="TABLETEXT1"/>
              <w:rPr>
                <w:u w:color="000000"/>
                <w:lang w:val="en-US"/>
              </w:rPr>
            </w:pPr>
            <w:r>
              <w:rPr>
                <w:u w:color="000000"/>
                <w:lang w:val="en-US"/>
              </w:rPr>
              <w:t>Security Tester</w:t>
            </w:r>
          </w:p>
        </w:tc>
        <w:tc>
          <w:tcPr>
            <w:tcW w:w="2877" w:type="dxa"/>
          </w:tcPr>
          <w:p w14:paraId="7A8FE0E8" w14:textId="77777777" w:rsidR="00C5516F" w:rsidRPr="00635C9B" w:rsidRDefault="00C5516F" w:rsidP="00CC45BC">
            <w:pPr>
              <w:pStyle w:val="TABLEBULLETNEW"/>
            </w:pPr>
            <w:r>
              <w:t>License Holder/Tester</w:t>
            </w:r>
          </w:p>
        </w:tc>
        <w:tc>
          <w:tcPr>
            <w:tcW w:w="3842" w:type="dxa"/>
          </w:tcPr>
          <w:p w14:paraId="7CB423CE" w14:textId="77777777" w:rsidR="00C5516F" w:rsidRPr="00635C9B" w:rsidRDefault="00C5516F" w:rsidP="00CC45BC">
            <w:pPr>
              <w:pStyle w:val="TABLEBULLETNEW"/>
            </w:pPr>
            <w:r>
              <w:t>Authority to Operate</w:t>
            </w:r>
          </w:p>
        </w:tc>
      </w:tr>
    </w:tbl>
    <w:p w14:paraId="0244C50A" w14:textId="1AEC98EE" w:rsidR="00C5516F" w:rsidRPr="00A21682" w:rsidRDefault="00C5516F" w:rsidP="005827B3">
      <w:pPr>
        <w:pStyle w:val="Caption"/>
        <w:rPr>
          <w:noProof w:val="0"/>
        </w:rPr>
      </w:pPr>
      <w:bookmarkStart w:id="1599" w:name="_Toc150951942"/>
      <w:bookmarkStart w:id="1600" w:name="_Toc192875157"/>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72</w:t>
      </w:r>
      <w:r>
        <w:rPr>
          <w:noProof w:val="0"/>
        </w:rPr>
        <w:fldChar w:fldCharType="end"/>
      </w:r>
      <w:r>
        <w:rPr>
          <w:noProof w:val="0"/>
        </w:rPr>
        <w:t>: Burp Suite Roles and Permissions</w:t>
      </w:r>
      <w:bookmarkEnd w:id="1599"/>
      <w:bookmarkEnd w:id="1600"/>
    </w:p>
    <w:p w14:paraId="10CB73EA" w14:textId="0C78FCB3" w:rsidR="00C5516F" w:rsidRPr="00A21682" w:rsidRDefault="00C5516F">
      <w:pPr>
        <w:pStyle w:val="Heading3"/>
        <w:rPr>
          <w:u w:color="000000"/>
        </w:rPr>
      </w:pPr>
      <w:bookmarkStart w:id="1601" w:name="_Toc148102455"/>
      <w:bookmarkStart w:id="1602" w:name="_Toc152605949"/>
      <w:bookmarkStart w:id="1603" w:name="_Toc177119106"/>
      <w:bookmarkStart w:id="1604" w:name="_Toc185952628"/>
      <w:bookmarkStart w:id="1605" w:name="_Toc192874794"/>
      <w:r>
        <w:rPr>
          <w:u w:color="000000"/>
        </w:rPr>
        <w:t>ALM Tool Workflows</w:t>
      </w:r>
      <w:bookmarkEnd w:id="1601"/>
      <w:bookmarkEnd w:id="1602"/>
      <w:bookmarkEnd w:id="1603"/>
      <w:bookmarkEnd w:id="1604"/>
      <w:bookmarkEnd w:id="1605"/>
    </w:p>
    <w:p w14:paraId="42A06C72" w14:textId="44FA93A1" w:rsidR="00C5516F" w:rsidRPr="00A21682" w:rsidRDefault="00C5516F" w:rsidP="004A3693">
      <w:pPr>
        <w:pStyle w:val="NormalNEW"/>
        <w:rPr>
          <w:u w:color="000000"/>
          <w:shd w:val="clear" w:color="auto" w:fill="FFFFFF"/>
          <w:lang w:val="en-US"/>
        </w:rPr>
      </w:pPr>
      <w:r>
        <w:rPr>
          <w:u w:color="000000"/>
          <w:shd w:val="clear" w:color="auto" w:fill="FFFFFF"/>
          <w:lang w:val="en-US"/>
        </w:rPr>
        <w:t>DAST is a security testing methodology that focuses on identifying vulnerabilities in a web application while it is running. DAST assesses the application from the outside, simulating how a malicious user would interact with it.</w:t>
      </w:r>
    </w:p>
    <w:p w14:paraId="1F6D1AEC" w14:textId="77777777" w:rsidR="00C5516F" w:rsidRPr="00A21682" w:rsidRDefault="00C5516F" w:rsidP="004A3693">
      <w:pPr>
        <w:pStyle w:val="NormalNEW"/>
        <w:jc w:val="center"/>
        <w:rPr>
          <w:u w:color="000000"/>
          <w:lang w:val="en-US"/>
        </w:rPr>
      </w:pPr>
      <w:r>
        <w:rPr>
          <w:noProof/>
          <w:u w:color="000000"/>
          <w:lang w:val="en-US"/>
        </w:rPr>
        <w:lastRenderedPageBreak/>
        <w:drawing>
          <wp:inline distT="0" distB="0" distL="0" distR="0" wp14:anchorId="59AB7EDA" wp14:editId="6A82C4CA">
            <wp:extent cx="4865467" cy="2955290"/>
            <wp:effectExtent l="19050" t="19050" r="11430" b="16510"/>
            <wp:docPr id="101" name="Picture 101" descr="A diagram of a network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network  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4887800" cy="2968855"/>
                    </a:xfrm>
                    <a:prstGeom prst="rect">
                      <a:avLst/>
                    </a:prstGeom>
                    <a:ln w="9525">
                      <a:solidFill>
                        <a:schemeClr val="tx1"/>
                      </a:solidFill>
                    </a:ln>
                  </pic:spPr>
                </pic:pic>
              </a:graphicData>
            </a:graphic>
          </wp:inline>
        </w:drawing>
      </w:r>
    </w:p>
    <w:p w14:paraId="37AE8A7B" w14:textId="276A2DEA" w:rsidR="00C5516F" w:rsidRPr="00A21682" w:rsidRDefault="00C5516F" w:rsidP="005827B3">
      <w:pPr>
        <w:pStyle w:val="Caption"/>
        <w:rPr>
          <w:noProof w:val="0"/>
        </w:rPr>
      </w:pPr>
      <w:bookmarkStart w:id="1606" w:name="_Toc150948961"/>
      <w:bookmarkStart w:id="1607" w:name="_Toc178152048"/>
      <w:bookmarkStart w:id="1608" w:name="_Toc192875061"/>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24</w:t>
      </w:r>
      <w:r>
        <w:rPr>
          <w:noProof w:val="0"/>
        </w:rPr>
        <w:fldChar w:fldCharType="end"/>
      </w:r>
      <w:r>
        <w:rPr>
          <w:noProof w:val="0"/>
        </w:rPr>
        <w:t>: Burp Suite Workflow</w:t>
      </w:r>
      <w:bookmarkEnd w:id="1606"/>
      <w:bookmarkEnd w:id="1607"/>
      <w:bookmarkEnd w:id="1608"/>
    </w:p>
    <w:p w14:paraId="6581076D" w14:textId="77777777" w:rsidR="0006610D" w:rsidRPr="00A21682" w:rsidRDefault="0006610D" w:rsidP="0006610D">
      <w:pPr>
        <w:pStyle w:val="NormalNEW"/>
        <w:rPr>
          <w:lang w:val="en-US"/>
        </w:rPr>
      </w:pPr>
      <w:r>
        <w:rPr>
          <w:u w:color="000000"/>
          <w:lang w:val="en-US"/>
        </w:rPr>
        <w:t>The following table describes each workflow step illustrated above.</w:t>
      </w:r>
    </w:p>
    <w:tbl>
      <w:tblPr>
        <w:tblW w:w="93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4"/>
        <w:gridCol w:w="1813"/>
        <w:gridCol w:w="4860"/>
        <w:gridCol w:w="2065"/>
      </w:tblGrid>
      <w:tr w:rsidR="00C5516F" w:rsidRPr="00A21682" w14:paraId="77AF2060" w14:textId="77777777" w:rsidTr="000B5709">
        <w:trPr>
          <w:trHeight w:val="300"/>
          <w:tblHeader/>
        </w:trPr>
        <w:tc>
          <w:tcPr>
            <w:tcW w:w="614" w:type="dxa"/>
            <w:tcBorders>
              <w:right w:val="single" w:sz="2" w:space="0" w:color="FFFFFF" w:themeColor="background1"/>
            </w:tcBorders>
            <w:shd w:val="clear" w:color="auto" w:fill="000000"/>
            <w:hideMark/>
          </w:tcPr>
          <w:p w14:paraId="30845F53" w14:textId="77777777" w:rsidR="00C5516F" w:rsidRPr="00A21682" w:rsidRDefault="00C5516F" w:rsidP="00047C4E">
            <w:pPr>
              <w:pStyle w:val="TABLEHEADINGNEW"/>
              <w:rPr>
                <w:color w:val="000000"/>
                <w:u w:color="000000"/>
              </w:rPr>
            </w:pPr>
            <w:r>
              <w:rPr>
                <w:u w:color="000000"/>
              </w:rPr>
              <w:t>#</w:t>
            </w:r>
          </w:p>
        </w:tc>
        <w:tc>
          <w:tcPr>
            <w:tcW w:w="1813" w:type="dxa"/>
            <w:tcBorders>
              <w:left w:val="single" w:sz="2" w:space="0" w:color="FFFFFF" w:themeColor="background1"/>
              <w:right w:val="single" w:sz="2" w:space="0" w:color="FFFFFF" w:themeColor="background1"/>
            </w:tcBorders>
            <w:shd w:val="clear" w:color="auto" w:fill="000000"/>
            <w:hideMark/>
          </w:tcPr>
          <w:p w14:paraId="6149C293" w14:textId="77777777" w:rsidR="00C5516F" w:rsidRPr="00A21682" w:rsidRDefault="00C5516F" w:rsidP="00047C4E">
            <w:pPr>
              <w:pStyle w:val="TABLEHEADINGNEW"/>
              <w:rPr>
                <w:color w:val="000000"/>
                <w:u w:color="000000"/>
              </w:rPr>
            </w:pPr>
            <w:r>
              <w:rPr>
                <w:u w:color="000000"/>
              </w:rPr>
              <w:t>Workflow Step</w:t>
            </w:r>
          </w:p>
        </w:tc>
        <w:tc>
          <w:tcPr>
            <w:tcW w:w="4860" w:type="dxa"/>
            <w:tcBorders>
              <w:left w:val="single" w:sz="2" w:space="0" w:color="FFFFFF" w:themeColor="background1"/>
              <w:right w:val="single" w:sz="2" w:space="0" w:color="FFFFFF" w:themeColor="background1"/>
            </w:tcBorders>
            <w:shd w:val="clear" w:color="auto" w:fill="000000"/>
            <w:hideMark/>
          </w:tcPr>
          <w:p w14:paraId="65BA6FEB" w14:textId="77777777" w:rsidR="00C5516F" w:rsidRPr="00A21682" w:rsidRDefault="00C5516F" w:rsidP="00047C4E">
            <w:pPr>
              <w:pStyle w:val="TABLEHEADINGNEW"/>
              <w:rPr>
                <w:color w:val="000000"/>
                <w:u w:color="000000"/>
              </w:rPr>
            </w:pPr>
            <w:r>
              <w:rPr>
                <w:u w:color="000000"/>
              </w:rPr>
              <w:t>Description</w:t>
            </w:r>
          </w:p>
        </w:tc>
        <w:tc>
          <w:tcPr>
            <w:tcW w:w="2065" w:type="dxa"/>
            <w:tcBorders>
              <w:left w:val="single" w:sz="2" w:space="0" w:color="FFFFFF" w:themeColor="background1"/>
            </w:tcBorders>
            <w:shd w:val="clear" w:color="auto" w:fill="000000"/>
          </w:tcPr>
          <w:p w14:paraId="3C648780" w14:textId="77777777" w:rsidR="00C5516F" w:rsidRPr="00A21682" w:rsidRDefault="00C5516F" w:rsidP="00047C4E">
            <w:pPr>
              <w:pStyle w:val="TABLEHEADINGNEW"/>
              <w:rPr>
                <w:u w:color="000000"/>
              </w:rPr>
            </w:pPr>
            <w:r>
              <w:rPr>
                <w:u w:color="000000"/>
              </w:rPr>
              <w:t>Step Owner</w:t>
            </w:r>
          </w:p>
        </w:tc>
      </w:tr>
      <w:tr w:rsidR="00C5516F" w:rsidRPr="00A21682" w14:paraId="2E483A45" w14:textId="77777777" w:rsidTr="000B5709">
        <w:trPr>
          <w:trHeight w:val="300"/>
        </w:trPr>
        <w:tc>
          <w:tcPr>
            <w:tcW w:w="614" w:type="dxa"/>
          </w:tcPr>
          <w:p w14:paraId="1479EBC7" w14:textId="77777777" w:rsidR="00C5516F" w:rsidRPr="00A21682" w:rsidRDefault="00C5516F" w:rsidP="00047C4E">
            <w:pPr>
              <w:pStyle w:val="TABLETEXT1"/>
              <w:rPr>
                <w:u w:color="000000"/>
                <w:lang w:val="en-US"/>
              </w:rPr>
            </w:pPr>
            <w:r>
              <w:rPr>
                <w:u w:color="000000"/>
                <w:lang w:val="en-US"/>
              </w:rPr>
              <w:t>1</w:t>
            </w:r>
          </w:p>
        </w:tc>
        <w:tc>
          <w:tcPr>
            <w:tcW w:w="1813" w:type="dxa"/>
          </w:tcPr>
          <w:p w14:paraId="2456F029" w14:textId="77777777" w:rsidR="00C5516F" w:rsidRPr="00A21682" w:rsidRDefault="00C5516F" w:rsidP="00047C4E">
            <w:pPr>
              <w:pStyle w:val="TABLETEXT1"/>
              <w:rPr>
                <w:u w:color="000000"/>
                <w:lang w:val="en-US"/>
              </w:rPr>
            </w:pPr>
            <w:r>
              <w:rPr>
                <w:u w:color="000000"/>
                <w:lang w:val="en-US"/>
              </w:rPr>
              <w:t>Establish Network Proxy Connection</w:t>
            </w:r>
          </w:p>
        </w:tc>
        <w:tc>
          <w:tcPr>
            <w:tcW w:w="4860" w:type="dxa"/>
          </w:tcPr>
          <w:p w14:paraId="36481795" w14:textId="06781543" w:rsidR="00C5516F" w:rsidRPr="00A21682" w:rsidRDefault="007C5E3F" w:rsidP="0006610D">
            <w:pPr>
              <w:pStyle w:val="TABLETEXT1"/>
              <w:rPr>
                <w:u w:color="000000"/>
                <w:lang w:val="en-US"/>
              </w:rPr>
            </w:pPr>
            <w:r>
              <w:rPr>
                <w:u w:color="000000"/>
                <w:lang w:val="en-US"/>
              </w:rPr>
              <w:t>Confirm Burp Suite Pro has authenticated Network connection to the target web application and that proxy is working between the tester, browser, and server</w:t>
            </w:r>
          </w:p>
        </w:tc>
        <w:tc>
          <w:tcPr>
            <w:tcW w:w="2065" w:type="dxa"/>
          </w:tcPr>
          <w:p w14:paraId="06BD7BEF" w14:textId="77777777" w:rsidR="00C5516F" w:rsidRPr="00635C9B" w:rsidRDefault="00C5516F" w:rsidP="00CC45BC">
            <w:pPr>
              <w:pStyle w:val="TABLEBULLETNEW"/>
            </w:pPr>
            <w:r>
              <w:t>Security Tester</w:t>
            </w:r>
          </w:p>
        </w:tc>
      </w:tr>
      <w:tr w:rsidR="00C5516F" w:rsidRPr="00A21682" w14:paraId="745C4D96" w14:textId="77777777" w:rsidTr="000B5709">
        <w:trPr>
          <w:trHeight w:val="300"/>
        </w:trPr>
        <w:tc>
          <w:tcPr>
            <w:tcW w:w="614" w:type="dxa"/>
          </w:tcPr>
          <w:p w14:paraId="23F0369F" w14:textId="77777777" w:rsidR="00C5516F" w:rsidRPr="00A21682" w:rsidRDefault="00C5516F" w:rsidP="00047C4E">
            <w:pPr>
              <w:pStyle w:val="TABLETEXT1"/>
              <w:rPr>
                <w:u w:color="000000"/>
                <w:lang w:val="en-US"/>
              </w:rPr>
            </w:pPr>
            <w:r>
              <w:rPr>
                <w:u w:color="000000"/>
                <w:lang w:val="en-US"/>
              </w:rPr>
              <w:t>2</w:t>
            </w:r>
          </w:p>
        </w:tc>
        <w:tc>
          <w:tcPr>
            <w:tcW w:w="1813" w:type="dxa"/>
          </w:tcPr>
          <w:p w14:paraId="516C2529" w14:textId="77777777" w:rsidR="00C5516F" w:rsidRPr="00A21682" w:rsidRDefault="00C5516F" w:rsidP="00047C4E">
            <w:pPr>
              <w:pStyle w:val="TABLETEXT1"/>
              <w:rPr>
                <w:u w:color="000000"/>
                <w:lang w:val="en-US"/>
              </w:rPr>
            </w:pPr>
            <w:r>
              <w:rPr>
                <w:u w:color="000000"/>
                <w:lang w:val="en-US"/>
              </w:rPr>
              <w:t>Automated / Manual Testing</w:t>
            </w:r>
          </w:p>
        </w:tc>
        <w:tc>
          <w:tcPr>
            <w:tcW w:w="4860" w:type="dxa"/>
          </w:tcPr>
          <w:p w14:paraId="3CDA86F6" w14:textId="4E9CC4C8" w:rsidR="00C5516F" w:rsidRPr="00A21682" w:rsidRDefault="00C5516F" w:rsidP="0006610D">
            <w:pPr>
              <w:pStyle w:val="TABLETEXT1"/>
              <w:rPr>
                <w:u w:color="000000"/>
                <w:lang w:val="en-US"/>
              </w:rPr>
            </w:pPr>
            <w:r>
              <w:rPr>
                <w:u w:color="000000"/>
                <w:lang w:val="en-US"/>
              </w:rPr>
              <w:t>Automated and Manual Assessment of the web application</w:t>
            </w:r>
          </w:p>
        </w:tc>
        <w:tc>
          <w:tcPr>
            <w:tcW w:w="2065" w:type="dxa"/>
          </w:tcPr>
          <w:p w14:paraId="267868E1" w14:textId="77777777" w:rsidR="00C5516F" w:rsidRPr="00635C9B" w:rsidRDefault="00C5516F" w:rsidP="00CC45BC">
            <w:pPr>
              <w:pStyle w:val="TABLEBULLETNEW"/>
            </w:pPr>
            <w:r>
              <w:t>Security Tester</w:t>
            </w:r>
          </w:p>
        </w:tc>
      </w:tr>
      <w:tr w:rsidR="00C5516F" w:rsidRPr="00A21682" w14:paraId="25EA6279" w14:textId="77777777" w:rsidTr="000B5709">
        <w:trPr>
          <w:trHeight w:val="300"/>
        </w:trPr>
        <w:tc>
          <w:tcPr>
            <w:tcW w:w="614" w:type="dxa"/>
          </w:tcPr>
          <w:p w14:paraId="14196922" w14:textId="77777777" w:rsidR="00C5516F" w:rsidRPr="00A21682" w:rsidRDefault="00C5516F" w:rsidP="00047C4E">
            <w:pPr>
              <w:pStyle w:val="TABLETEXT1"/>
              <w:rPr>
                <w:u w:color="000000"/>
                <w:lang w:val="en-US"/>
              </w:rPr>
            </w:pPr>
            <w:r>
              <w:rPr>
                <w:u w:color="000000"/>
                <w:lang w:val="en-US"/>
              </w:rPr>
              <w:t>3</w:t>
            </w:r>
          </w:p>
        </w:tc>
        <w:tc>
          <w:tcPr>
            <w:tcW w:w="1813" w:type="dxa"/>
          </w:tcPr>
          <w:p w14:paraId="2DE2F7B9" w14:textId="77777777" w:rsidR="00C5516F" w:rsidRPr="00A21682" w:rsidRDefault="00C5516F" w:rsidP="00047C4E">
            <w:pPr>
              <w:pStyle w:val="TABLETEXT1"/>
              <w:rPr>
                <w:u w:color="000000"/>
                <w:lang w:val="en-US"/>
              </w:rPr>
            </w:pPr>
            <w:r>
              <w:rPr>
                <w:u w:color="000000"/>
                <w:lang w:val="en-US"/>
              </w:rPr>
              <w:t>Review of Assessment</w:t>
            </w:r>
          </w:p>
        </w:tc>
        <w:tc>
          <w:tcPr>
            <w:tcW w:w="4860" w:type="dxa"/>
          </w:tcPr>
          <w:p w14:paraId="77463AC9" w14:textId="6F3608F7" w:rsidR="00C5516F" w:rsidRPr="00A21682" w:rsidRDefault="00C5516F" w:rsidP="0006610D">
            <w:pPr>
              <w:pStyle w:val="TABLETEXT1"/>
              <w:rPr>
                <w:u w:color="000000"/>
                <w:lang w:val="en-US"/>
              </w:rPr>
            </w:pPr>
            <w:r>
              <w:rPr>
                <w:u w:color="000000"/>
                <w:lang w:val="en-US"/>
              </w:rPr>
              <w:t>Performs True Positive / False Positive Analysis on the Burp Suite automated scan to identify vulnerabilities for remediation</w:t>
            </w:r>
          </w:p>
        </w:tc>
        <w:tc>
          <w:tcPr>
            <w:tcW w:w="2065" w:type="dxa"/>
          </w:tcPr>
          <w:p w14:paraId="5C4A3544" w14:textId="77777777" w:rsidR="00C5516F" w:rsidRPr="00635C9B" w:rsidRDefault="00C5516F" w:rsidP="00CC45BC">
            <w:pPr>
              <w:pStyle w:val="TABLEBULLETNEW"/>
            </w:pPr>
            <w:r>
              <w:t>Security Tester</w:t>
            </w:r>
          </w:p>
        </w:tc>
      </w:tr>
      <w:tr w:rsidR="00C5516F" w:rsidRPr="00A21682" w14:paraId="3BA6DBDE" w14:textId="77777777" w:rsidTr="000B5709">
        <w:trPr>
          <w:trHeight w:val="300"/>
        </w:trPr>
        <w:tc>
          <w:tcPr>
            <w:tcW w:w="614" w:type="dxa"/>
          </w:tcPr>
          <w:p w14:paraId="2BD07D99" w14:textId="77777777" w:rsidR="00C5516F" w:rsidRPr="00A21682" w:rsidRDefault="00C5516F" w:rsidP="00047C4E">
            <w:pPr>
              <w:pStyle w:val="TABLETEXT1"/>
              <w:rPr>
                <w:u w:color="000000"/>
                <w:lang w:val="en-US"/>
              </w:rPr>
            </w:pPr>
            <w:r>
              <w:rPr>
                <w:u w:color="000000"/>
                <w:lang w:val="en-US"/>
              </w:rPr>
              <w:t>4</w:t>
            </w:r>
          </w:p>
        </w:tc>
        <w:tc>
          <w:tcPr>
            <w:tcW w:w="1813" w:type="dxa"/>
          </w:tcPr>
          <w:p w14:paraId="786F0E8D" w14:textId="77777777" w:rsidR="00C5516F" w:rsidRPr="00A21682" w:rsidRDefault="00C5516F" w:rsidP="00047C4E">
            <w:pPr>
              <w:pStyle w:val="TABLETEXT1"/>
              <w:rPr>
                <w:u w:color="000000"/>
                <w:lang w:val="en-US"/>
              </w:rPr>
            </w:pPr>
            <w:r>
              <w:rPr>
                <w:u w:color="000000"/>
                <w:lang w:val="en-US"/>
              </w:rPr>
              <w:t>Agreement on Changes</w:t>
            </w:r>
          </w:p>
        </w:tc>
        <w:tc>
          <w:tcPr>
            <w:tcW w:w="4860" w:type="dxa"/>
          </w:tcPr>
          <w:p w14:paraId="578E2B5C" w14:textId="0702E38B" w:rsidR="00C5516F" w:rsidRPr="00A21682" w:rsidRDefault="00C5516F" w:rsidP="0006610D">
            <w:pPr>
              <w:pStyle w:val="TABLETEXT1"/>
              <w:rPr>
                <w:u w:color="000000"/>
                <w:lang w:val="en-US"/>
              </w:rPr>
            </w:pPr>
            <w:r>
              <w:rPr>
                <w:u w:color="000000"/>
                <w:lang w:val="en-US"/>
              </w:rPr>
              <w:t>Discussion between Security and development to identify vulnerabilities and track targeted fixes</w:t>
            </w:r>
          </w:p>
        </w:tc>
        <w:tc>
          <w:tcPr>
            <w:tcW w:w="2065" w:type="dxa"/>
          </w:tcPr>
          <w:p w14:paraId="0422573F" w14:textId="77777777" w:rsidR="00C5516F" w:rsidRPr="00635C9B" w:rsidRDefault="00C5516F" w:rsidP="00CC45BC">
            <w:pPr>
              <w:pStyle w:val="TABLEBULLETNEW"/>
            </w:pPr>
            <w:r>
              <w:t xml:space="preserve">Security Tester </w:t>
            </w:r>
          </w:p>
          <w:p w14:paraId="3479B1CD" w14:textId="77777777" w:rsidR="00C5516F" w:rsidRPr="00635C9B" w:rsidRDefault="00C5516F" w:rsidP="00CC45BC">
            <w:pPr>
              <w:pStyle w:val="TABLEBULLETNEW"/>
            </w:pPr>
            <w:r>
              <w:t>Developer</w:t>
            </w:r>
          </w:p>
        </w:tc>
      </w:tr>
      <w:tr w:rsidR="00C5516F" w:rsidRPr="00A21682" w14:paraId="38D76C5F" w14:textId="77777777" w:rsidTr="000B5709">
        <w:trPr>
          <w:trHeight w:val="300"/>
        </w:trPr>
        <w:tc>
          <w:tcPr>
            <w:tcW w:w="614" w:type="dxa"/>
          </w:tcPr>
          <w:p w14:paraId="0B4D97B0" w14:textId="77777777" w:rsidR="00C5516F" w:rsidRPr="00A21682" w:rsidRDefault="00C5516F" w:rsidP="00047C4E">
            <w:pPr>
              <w:pStyle w:val="TABLETEXT1"/>
              <w:rPr>
                <w:u w:color="000000"/>
                <w:lang w:val="en-US"/>
              </w:rPr>
            </w:pPr>
            <w:r>
              <w:rPr>
                <w:u w:color="000000"/>
                <w:lang w:val="en-US"/>
              </w:rPr>
              <w:t>5</w:t>
            </w:r>
          </w:p>
        </w:tc>
        <w:tc>
          <w:tcPr>
            <w:tcW w:w="1813" w:type="dxa"/>
          </w:tcPr>
          <w:p w14:paraId="3AC0EBB7" w14:textId="77777777" w:rsidR="00C5516F" w:rsidRPr="00A21682" w:rsidRDefault="00C5516F" w:rsidP="00047C4E">
            <w:pPr>
              <w:pStyle w:val="TABLETEXT1"/>
              <w:rPr>
                <w:u w:color="000000"/>
                <w:lang w:val="en-US"/>
              </w:rPr>
            </w:pPr>
            <w:r>
              <w:rPr>
                <w:u w:color="000000"/>
                <w:lang w:val="en-US"/>
              </w:rPr>
              <w:t>ALM Tool Ticketing</w:t>
            </w:r>
          </w:p>
        </w:tc>
        <w:tc>
          <w:tcPr>
            <w:tcW w:w="4860" w:type="dxa"/>
          </w:tcPr>
          <w:p w14:paraId="161FAED7" w14:textId="72D4CAA4" w:rsidR="00C5516F" w:rsidRPr="00A21682" w:rsidRDefault="00C5516F" w:rsidP="0006610D">
            <w:pPr>
              <w:pStyle w:val="TABLETEXT1"/>
              <w:rPr>
                <w:u w:color="000000"/>
                <w:lang w:val="en-US"/>
              </w:rPr>
            </w:pPr>
            <w:r>
              <w:rPr>
                <w:u w:color="000000"/>
                <w:lang w:val="en-US"/>
              </w:rPr>
              <w:t>A ALM tool ticket is logged for identified vulnerabilities</w:t>
            </w:r>
          </w:p>
        </w:tc>
        <w:tc>
          <w:tcPr>
            <w:tcW w:w="2065" w:type="dxa"/>
          </w:tcPr>
          <w:p w14:paraId="58831C09" w14:textId="77777777" w:rsidR="00C5516F" w:rsidRPr="00635C9B" w:rsidRDefault="00C5516F" w:rsidP="00CC45BC">
            <w:pPr>
              <w:pStyle w:val="TABLEBULLETNEW"/>
            </w:pPr>
            <w:r>
              <w:t>Developer</w:t>
            </w:r>
          </w:p>
        </w:tc>
      </w:tr>
      <w:tr w:rsidR="00C5516F" w:rsidRPr="00A21682" w14:paraId="7653D45D" w14:textId="77777777" w:rsidTr="000B5709">
        <w:trPr>
          <w:trHeight w:val="300"/>
        </w:trPr>
        <w:tc>
          <w:tcPr>
            <w:tcW w:w="614" w:type="dxa"/>
          </w:tcPr>
          <w:p w14:paraId="3B654FF4" w14:textId="77777777" w:rsidR="00C5516F" w:rsidRPr="00A21682" w:rsidRDefault="00C5516F" w:rsidP="00047C4E">
            <w:pPr>
              <w:pStyle w:val="TABLETEXT1"/>
              <w:rPr>
                <w:u w:color="000000"/>
                <w:lang w:val="en-US"/>
              </w:rPr>
            </w:pPr>
            <w:r>
              <w:rPr>
                <w:u w:color="000000"/>
                <w:lang w:val="en-US"/>
              </w:rPr>
              <w:t>6</w:t>
            </w:r>
          </w:p>
        </w:tc>
        <w:tc>
          <w:tcPr>
            <w:tcW w:w="1813" w:type="dxa"/>
          </w:tcPr>
          <w:p w14:paraId="38B91C82" w14:textId="77777777" w:rsidR="00C5516F" w:rsidRPr="00A21682" w:rsidRDefault="00C5516F" w:rsidP="00047C4E">
            <w:pPr>
              <w:pStyle w:val="TABLETEXT1"/>
              <w:rPr>
                <w:u w:color="000000"/>
                <w:lang w:val="en-US"/>
              </w:rPr>
            </w:pPr>
            <w:r>
              <w:rPr>
                <w:u w:color="000000"/>
                <w:lang w:val="en-US"/>
              </w:rPr>
              <w:t>Remediation</w:t>
            </w:r>
          </w:p>
        </w:tc>
        <w:tc>
          <w:tcPr>
            <w:tcW w:w="4860" w:type="dxa"/>
          </w:tcPr>
          <w:p w14:paraId="30876B0A" w14:textId="686EE272" w:rsidR="00C5516F" w:rsidRPr="00A21682" w:rsidRDefault="00C5516F" w:rsidP="0006610D">
            <w:pPr>
              <w:pStyle w:val="TABLETEXT1"/>
              <w:rPr>
                <w:u w:color="000000"/>
                <w:lang w:val="en-US"/>
              </w:rPr>
            </w:pPr>
            <w:r>
              <w:rPr>
                <w:u w:color="000000"/>
                <w:lang w:val="en-US"/>
              </w:rPr>
              <w:t>Code vulnerabilities are remediated by development within the scoped timeline</w:t>
            </w:r>
          </w:p>
        </w:tc>
        <w:tc>
          <w:tcPr>
            <w:tcW w:w="2065" w:type="dxa"/>
          </w:tcPr>
          <w:p w14:paraId="562220DE" w14:textId="77777777" w:rsidR="00C5516F" w:rsidRPr="00635C9B" w:rsidRDefault="00C5516F" w:rsidP="00CC45BC">
            <w:pPr>
              <w:pStyle w:val="TABLEBULLETNEW"/>
            </w:pPr>
            <w:r>
              <w:t>Developer</w:t>
            </w:r>
          </w:p>
        </w:tc>
      </w:tr>
      <w:tr w:rsidR="00C5516F" w:rsidRPr="00A21682" w14:paraId="39FA0BD0" w14:textId="77777777" w:rsidTr="000B5709">
        <w:trPr>
          <w:trHeight w:val="300"/>
        </w:trPr>
        <w:tc>
          <w:tcPr>
            <w:tcW w:w="614" w:type="dxa"/>
          </w:tcPr>
          <w:p w14:paraId="0906ED53" w14:textId="77777777" w:rsidR="00C5516F" w:rsidRPr="00A21682" w:rsidRDefault="00C5516F" w:rsidP="00047C4E">
            <w:pPr>
              <w:pStyle w:val="TABLETEXT1"/>
              <w:rPr>
                <w:u w:color="000000"/>
                <w:lang w:val="en-US"/>
              </w:rPr>
            </w:pPr>
            <w:r>
              <w:rPr>
                <w:u w:color="000000"/>
                <w:lang w:val="en-US"/>
              </w:rPr>
              <w:t>7</w:t>
            </w:r>
          </w:p>
        </w:tc>
        <w:tc>
          <w:tcPr>
            <w:tcW w:w="1813" w:type="dxa"/>
          </w:tcPr>
          <w:p w14:paraId="69CB2E3D" w14:textId="77777777" w:rsidR="00C5516F" w:rsidRPr="00A21682" w:rsidRDefault="00C5516F" w:rsidP="00047C4E">
            <w:pPr>
              <w:pStyle w:val="TABLETEXT1"/>
              <w:rPr>
                <w:u w:color="000000"/>
                <w:lang w:val="en-US"/>
              </w:rPr>
            </w:pPr>
            <w:r>
              <w:rPr>
                <w:u w:color="000000"/>
                <w:lang w:val="en-US"/>
              </w:rPr>
              <w:t>Retesting of Remediation</w:t>
            </w:r>
          </w:p>
        </w:tc>
        <w:tc>
          <w:tcPr>
            <w:tcW w:w="4860" w:type="dxa"/>
          </w:tcPr>
          <w:p w14:paraId="32B9D6FE" w14:textId="65AC56FC" w:rsidR="00C5516F" w:rsidRPr="00A21682" w:rsidRDefault="00C5516F" w:rsidP="0006610D">
            <w:pPr>
              <w:pStyle w:val="TABLETEXT1"/>
              <w:rPr>
                <w:u w:color="000000"/>
                <w:lang w:val="en-US"/>
              </w:rPr>
            </w:pPr>
            <w:r>
              <w:rPr>
                <w:u w:color="000000"/>
                <w:lang w:val="en-US"/>
              </w:rPr>
              <w:t>Retesting is done on the remediated items in order to assess that fixes were made successfully</w:t>
            </w:r>
          </w:p>
        </w:tc>
        <w:tc>
          <w:tcPr>
            <w:tcW w:w="2065" w:type="dxa"/>
          </w:tcPr>
          <w:p w14:paraId="1E799947" w14:textId="77777777" w:rsidR="00C5516F" w:rsidRPr="00635C9B" w:rsidRDefault="00C5516F" w:rsidP="00CC45BC">
            <w:pPr>
              <w:pStyle w:val="TABLEBULLETNEW"/>
            </w:pPr>
            <w:r>
              <w:t>Security Tester</w:t>
            </w:r>
          </w:p>
        </w:tc>
      </w:tr>
    </w:tbl>
    <w:p w14:paraId="48A40E4B" w14:textId="19707982" w:rsidR="00C5516F" w:rsidRPr="00A21682" w:rsidRDefault="00C5516F" w:rsidP="005827B3">
      <w:pPr>
        <w:pStyle w:val="Caption"/>
        <w:rPr>
          <w:noProof w:val="0"/>
        </w:rPr>
      </w:pPr>
      <w:bookmarkStart w:id="1609" w:name="_Toc150951943"/>
      <w:bookmarkStart w:id="1610" w:name="_Toc192875158"/>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73</w:t>
      </w:r>
      <w:r>
        <w:rPr>
          <w:noProof w:val="0"/>
        </w:rPr>
        <w:fldChar w:fldCharType="end"/>
      </w:r>
      <w:r>
        <w:rPr>
          <w:noProof w:val="0"/>
        </w:rPr>
        <w:t>: Burp Suite Workflow Narrative</w:t>
      </w:r>
      <w:bookmarkEnd w:id="1609"/>
      <w:bookmarkEnd w:id="1610"/>
    </w:p>
    <w:p w14:paraId="58C52405" w14:textId="77777777" w:rsidR="00C5516F" w:rsidRPr="00A21682" w:rsidRDefault="00C5516F">
      <w:pPr>
        <w:pStyle w:val="Heading3"/>
        <w:rPr>
          <w:u w:color="000000"/>
        </w:rPr>
      </w:pPr>
      <w:bookmarkStart w:id="1611" w:name="_Toc148102456"/>
      <w:bookmarkStart w:id="1612" w:name="_Toc152605950"/>
      <w:bookmarkStart w:id="1613" w:name="_Toc177119107"/>
      <w:bookmarkStart w:id="1614" w:name="_Toc185952629"/>
      <w:bookmarkStart w:id="1615" w:name="_Toc192874795"/>
      <w:r>
        <w:rPr>
          <w:u w:color="000000"/>
        </w:rPr>
        <w:t>Accessing ALM Tool</w:t>
      </w:r>
      <w:bookmarkEnd w:id="1611"/>
      <w:bookmarkEnd w:id="1612"/>
      <w:bookmarkEnd w:id="1613"/>
      <w:bookmarkEnd w:id="1614"/>
      <w:bookmarkEnd w:id="1615"/>
    </w:p>
    <w:p w14:paraId="1E03A651" w14:textId="77777777" w:rsidR="00C5516F" w:rsidRPr="00A21682" w:rsidRDefault="00C5516F" w:rsidP="004A3693">
      <w:pPr>
        <w:pStyle w:val="NormalNEW"/>
        <w:rPr>
          <w:u w:color="000000"/>
          <w:lang w:val="en-US"/>
        </w:rPr>
      </w:pPr>
      <w:r>
        <w:rPr>
          <w:u w:color="000000"/>
          <w:lang w:val="en-US"/>
        </w:rPr>
        <w:t>Access to Burp Suite Pro is limited to ███████ resources. User training for DOH users is not required for this ALM tool.</w:t>
      </w:r>
    </w:p>
    <w:tbl>
      <w:tblPr>
        <w:tblW w:w="0" w:type="auto"/>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693"/>
        <w:gridCol w:w="6867"/>
        <w:gridCol w:w="1795"/>
      </w:tblGrid>
      <w:tr w:rsidR="005133E7" w:rsidRPr="00A21682" w14:paraId="5BA13AB1" w14:textId="77777777" w:rsidTr="000B5709">
        <w:tc>
          <w:tcPr>
            <w:tcW w:w="693" w:type="dxa"/>
            <w:tcBorders>
              <w:right w:val="single" w:sz="2" w:space="0" w:color="FFFFFF" w:themeColor="background1"/>
            </w:tcBorders>
            <w:shd w:val="clear" w:color="auto" w:fill="000000"/>
          </w:tcPr>
          <w:p w14:paraId="0D102461" w14:textId="77777777" w:rsidR="00C5516F" w:rsidRPr="00A21682" w:rsidRDefault="00C5516F" w:rsidP="00047C4E">
            <w:pPr>
              <w:pStyle w:val="TABLEHEADINGNEW"/>
              <w:rPr>
                <w:u w:color="000000"/>
              </w:rPr>
            </w:pPr>
            <w:r>
              <w:rPr>
                <w:u w:color="000000"/>
              </w:rPr>
              <w:lastRenderedPageBreak/>
              <w:t>#</w:t>
            </w:r>
          </w:p>
        </w:tc>
        <w:tc>
          <w:tcPr>
            <w:tcW w:w="6867" w:type="dxa"/>
            <w:tcBorders>
              <w:left w:val="single" w:sz="2" w:space="0" w:color="FFFFFF" w:themeColor="background1"/>
              <w:right w:val="single" w:sz="2" w:space="0" w:color="FFFFFF" w:themeColor="background1"/>
            </w:tcBorders>
            <w:shd w:val="clear" w:color="auto" w:fill="000000"/>
          </w:tcPr>
          <w:p w14:paraId="3F50647F" w14:textId="77777777" w:rsidR="00C5516F" w:rsidRPr="00A21682" w:rsidRDefault="00C5516F" w:rsidP="00047C4E">
            <w:pPr>
              <w:pStyle w:val="TABLEHEADINGNEW"/>
              <w:rPr>
                <w:u w:color="000000"/>
              </w:rPr>
            </w:pPr>
            <w:r>
              <w:rPr>
                <w:u w:color="000000"/>
              </w:rPr>
              <w:t>Access Step</w:t>
            </w:r>
          </w:p>
        </w:tc>
        <w:tc>
          <w:tcPr>
            <w:tcW w:w="1795" w:type="dxa"/>
            <w:tcBorders>
              <w:left w:val="single" w:sz="2" w:space="0" w:color="FFFFFF" w:themeColor="background1"/>
            </w:tcBorders>
            <w:shd w:val="clear" w:color="auto" w:fill="000000"/>
          </w:tcPr>
          <w:p w14:paraId="0A2C2C04" w14:textId="77777777" w:rsidR="00C5516F" w:rsidRPr="00A21682" w:rsidRDefault="00C5516F" w:rsidP="00047C4E">
            <w:pPr>
              <w:pStyle w:val="TABLEHEADINGNEW"/>
              <w:rPr>
                <w:u w:color="000000"/>
              </w:rPr>
            </w:pPr>
            <w:r>
              <w:rPr>
                <w:u w:color="000000"/>
              </w:rPr>
              <w:t>Owner</w:t>
            </w:r>
          </w:p>
        </w:tc>
      </w:tr>
      <w:tr w:rsidR="00B65956" w:rsidRPr="00A21682" w14:paraId="4CB8C2E5" w14:textId="77777777" w:rsidTr="00047C4E">
        <w:tc>
          <w:tcPr>
            <w:tcW w:w="693" w:type="dxa"/>
          </w:tcPr>
          <w:p w14:paraId="53557CB4" w14:textId="5653F771" w:rsidR="00C5516F" w:rsidRPr="00A21682" w:rsidRDefault="000B0364" w:rsidP="00047C4E">
            <w:pPr>
              <w:pStyle w:val="TABLETEXT1"/>
              <w:rPr>
                <w:color w:val="000000"/>
                <w:u w:color="000000"/>
                <w:lang w:val="en-US"/>
              </w:rPr>
            </w:pPr>
            <w:r>
              <w:rPr>
                <w:color w:val="000000"/>
                <w:u w:color="000000"/>
                <w:lang w:val="en-US"/>
              </w:rPr>
              <w:t>1</w:t>
            </w:r>
          </w:p>
        </w:tc>
        <w:tc>
          <w:tcPr>
            <w:tcW w:w="6867" w:type="dxa"/>
          </w:tcPr>
          <w:p w14:paraId="119DEE85" w14:textId="1F91DE16" w:rsidR="00C5516F" w:rsidRPr="00A21682" w:rsidRDefault="00C5516F" w:rsidP="00047C4E">
            <w:pPr>
              <w:pStyle w:val="TABLETEXT1"/>
              <w:rPr>
                <w:color w:val="000000"/>
                <w:u w:color="000000"/>
                <w:lang w:val="en-US"/>
              </w:rPr>
            </w:pPr>
            <w:r>
              <w:rPr>
                <w:color w:val="000000"/>
                <w:u w:color="000000"/>
                <w:lang w:val="en-US"/>
              </w:rPr>
              <w:t>Authentication into hosted server with Network Access to the SIT environment for NYS MECM</w:t>
            </w:r>
          </w:p>
        </w:tc>
        <w:tc>
          <w:tcPr>
            <w:tcW w:w="1795" w:type="dxa"/>
          </w:tcPr>
          <w:p w14:paraId="72D411B8" w14:textId="77777777" w:rsidR="00C5516F" w:rsidRPr="00A21682" w:rsidRDefault="00C5516F" w:rsidP="00047C4E">
            <w:pPr>
              <w:pStyle w:val="TABLETEXT1"/>
              <w:rPr>
                <w:color w:val="000000"/>
                <w:u w:color="000000"/>
                <w:lang w:val="en-US"/>
              </w:rPr>
            </w:pPr>
            <w:r>
              <w:rPr>
                <w:color w:val="000000"/>
                <w:u w:color="000000"/>
                <w:lang w:val="en-US"/>
              </w:rPr>
              <w:t>Security Tester</w:t>
            </w:r>
          </w:p>
        </w:tc>
      </w:tr>
      <w:tr w:rsidR="00B65956" w:rsidRPr="00A21682" w14:paraId="3F1A34B8" w14:textId="77777777" w:rsidTr="00047C4E">
        <w:tc>
          <w:tcPr>
            <w:tcW w:w="693" w:type="dxa"/>
          </w:tcPr>
          <w:p w14:paraId="67199931" w14:textId="6E489CD7" w:rsidR="00C5516F" w:rsidRPr="00A21682" w:rsidRDefault="000B0364" w:rsidP="00047C4E">
            <w:pPr>
              <w:pStyle w:val="TABLETEXT1"/>
              <w:rPr>
                <w:color w:val="000000"/>
                <w:u w:color="000000"/>
                <w:lang w:val="en-US"/>
              </w:rPr>
            </w:pPr>
            <w:r>
              <w:rPr>
                <w:color w:val="000000"/>
                <w:u w:color="000000"/>
                <w:lang w:val="en-US"/>
              </w:rPr>
              <w:t>2</w:t>
            </w:r>
          </w:p>
        </w:tc>
        <w:tc>
          <w:tcPr>
            <w:tcW w:w="6867" w:type="dxa"/>
          </w:tcPr>
          <w:p w14:paraId="5C16CA03" w14:textId="77777777" w:rsidR="00C5516F" w:rsidRPr="00A21682" w:rsidRDefault="00C5516F" w:rsidP="00047C4E">
            <w:pPr>
              <w:pStyle w:val="TABLETEXT1"/>
              <w:rPr>
                <w:color w:val="000000"/>
                <w:u w:color="000000"/>
                <w:lang w:val="en-US"/>
              </w:rPr>
            </w:pPr>
            <w:r>
              <w:rPr>
                <w:color w:val="000000"/>
                <w:u w:color="000000"/>
                <w:lang w:val="en-US"/>
              </w:rPr>
              <w:t>Tester opens the Burp Suite Pro application on the hosted server, with valid license tied to their user within the hosted Windows Active Directory</w:t>
            </w:r>
          </w:p>
        </w:tc>
        <w:tc>
          <w:tcPr>
            <w:tcW w:w="1795" w:type="dxa"/>
          </w:tcPr>
          <w:p w14:paraId="7150AD6D" w14:textId="77777777" w:rsidR="00C5516F" w:rsidRPr="00A21682" w:rsidRDefault="00C5516F" w:rsidP="00047C4E">
            <w:pPr>
              <w:pStyle w:val="TABLETEXT1"/>
              <w:rPr>
                <w:color w:val="000000"/>
                <w:u w:color="000000"/>
                <w:lang w:val="en-US"/>
              </w:rPr>
            </w:pPr>
            <w:r>
              <w:rPr>
                <w:color w:val="000000"/>
                <w:u w:color="000000"/>
                <w:lang w:val="en-US"/>
              </w:rPr>
              <w:t>Security Tester</w:t>
            </w:r>
          </w:p>
        </w:tc>
      </w:tr>
      <w:tr w:rsidR="00B65956" w:rsidRPr="00A21682" w14:paraId="37E9D55C" w14:textId="77777777" w:rsidTr="00047C4E">
        <w:tc>
          <w:tcPr>
            <w:tcW w:w="693" w:type="dxa"/>
          </w:tcPr>
          <w:p w14:paraId="6B655613" w14:textId="72B5C86F" w:rsidR="00C5516F" w:rsidRPr="00A21682" w:rsidRDefault="000B0364" w:rsidP="00047C4E">
            <w:pPr>
              <w:pStyle w:val="TABLETEXT1"/>
              <w:rPr>
                <w:color w:val="000000"/>
                <w:u w:color="000000"/>
                <w:lang w:val="en-US"/>
              </w:rPr>
            </w:pPr>
            <w:r>
              <w:rPr>
                <w:color w:val="000000"/>
                <w:u w:color="000000"/>
                <w:lang w:val="en-US"/>
              </w:rPr>
              <w:t>3</w:t>
            </w:r>
          </w:p>
        </w:tc>
        <w:tc>
          <w:tcPr>
            <w:tcW w:w="6867" w:type="dxa"/>
          </w:tcPr>
          <w:p w14:paraId="29A411F0" w14:textId="3A01BD72" w:rsidR="00C5516F" w:rsidRPr="00A21682" w:rsidRDefault="00C5516F" w:rsidP="00047C4E">
            <w:pPr>
              <w:pStyle w:val="TABLETEXT1"/>
              <w:rPr>
                <w:color w:val="000000"/>
                <w:u w:color="000000"/>
                <w:lang w:val="en-US"/>
              </w:rPr>
            </w:pPr>
            <w:r>
              <w:rPr>
                <w:color w:val="000000"/>
                <w:u w:color="000000"/>
                <w:lang w:val="en-US"/>
              </w:rPr>
              <w:t>Tester runs Burp Suite Pro in conjunction with web browser to establish a proxy session and execute automated test scripts and manual penetration assessment techniques</w:t>
            </w:r>
          </w:p>
        </w:tc>
        <w:tc>
          <w:tcPr>
            <w:tcW w:w="1795" w:type="dxa"/>
          </w:tcPr>
          <w:p w14:paraId="1650E18F" w14:textId="77777777" w:rsidR="00C5516F" w:rsidRPr="00A21682" w:rsidRDefault="00C5516F" w:rsidP="00047C4E">
            <w:pPr>
              <w:pStyle w:val="TABLETEXT1"/>
              <w:rPr>
                <w:color w:val="000000"/>
                <w:u w:color="000000"/>
                <w:lang w:val="en-US"/>
              </w:rPr>
            </w:pPr>
            <w:r>
              <w:rPr>
                <w:color w:val="000000"/>
                <w:u w:color="000000"/>
                <w:lang w:val="en-US"/>
              </w:rPr>
              <w:t>Security Tester</w:t>
            </w:r>
          </w:p>
        </w:tc>
      </w:tr>
    </w:tbl>
    <w:p w14:paraId="20AAFCEC" w14:textId="29F458D9" w:rsidR="00C5516F" w:rsidRPr="00A21682" w:rsidRDefault="00C5516F" w:rsidP="005827B3">
      <w:pPr>
        <w:pStyle w:val="Caption"/>
        <w:rPr>
          <w:noProof w:val="0"/>
        </w:rPr>
      </w:pPr>
      <w:bookmarkStart w:id="1616" w:name="_Toc150951944"/>
      <w:bookmarkStart w:id="1617" w:name="_Toc192875159"/>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74</w:t>
      </w:r>
      <w:r>
        <w:rPr>
          <w:noProof w:val="0"/>
        </w:rPr>
        <w:fldChar w:fldCharType="end"/>
      </w:r>
      <w:r>
        <w:rPr>
          <w:noProof w:val="0"/>
        </w:rPr>
        <w:t>: Burp Suite Access</w:t>
      </w:r>
      <w:bookmarkEnd w:id="1616"/>
      <w:bookmarkEnd w:id="1617"/>
    </w:p>
    <w:p w14:paraId="5AB59CAF" w14:textId="0A0AFE22" w:rsidR="00C5516F" w:rsidRPr="00A21682" w:rsidRDefault="00C5516F">
      <w:pPr>
        <w:pStyle w:val="Heading2"/>
        <w:rPr>
          <w:u w:color="000000"/>
        </w:rPr>
      </w:pPr>
      <w:bookmarkStart w:id="1618" w:name="_Toc148102457"/>
      <w:bookmarkStart w:id="1619" w:name="_Toc152605951"/>
      <w:bookmarkStart w:id="1620" w:name="_Toc177119108"/>
      <w:bookmarkStart w:id="1621" w:name="_Toc185952630"/>
      <w:bookmarkStart w:id="1622" w:name="_Toc192874796"/>
      <w:r>
        <w:rPr>
          <w:u w:color="000000"/>
        </w:rPr>
        <w:t>LoadRunner Enterprise</w:t>
      </w:r>
      <w:bookmarkEnd w:id="1618"/>
      <w:bookmarkEnd w:id="1619"/>
      <w:bookmarkEnd w:id="1620"/>
      <w:bookmarkEnd w:id="1621"/>
      <w:bookmarkEnd w:id="1622"/>
    </w:p>
    <w:p w14:paraId="0448D333" w14:textId="39154659" w:rsidR="00C5516F" w:rsidRPr="00A21682" w:rsidRDefault="00C5516F" w:rsidP="004A3693">
      <w:pPr>
        <w:pStyle w:val="NormalNEW"/>
        <w:rPr>
          <w:sz w:val="12"/>
          <w:szCs w:val="16"/>
          <w:u w:color="000000"/>
          <w:lang w:val="en-US" w:eastAsia="ko-KR"/>
        </w:rPr>
      </w:pPr>
      <w:r>
        <w:rPr>
          <w:u w:color="000000"/>
          <w:lang w:val="en-US" w:eastAsia="ko-KR"/>
        </w:rPr>
        <w:t>LoadRunner Enterprise provides performance trending information across multiple tests for MECM. You can define a baseline and set up reports that help you quickly see how the application performance is trending over subsequent iterations and bundles, and how the application is performing against the defined SLAs.</w:t>
      </w:r>
      <w:r>
        <w:rPr>
          <w:u w:color="000000"/>
          <w:shd w:val="clear" w:color="auto" w:fill="FFFFFF"/>
          <w:lang w:val="en-US" w:eastAsia="ko-KR"/>
        </w:rPr>
        <w:t> </w:t>
      </w:r>
    </w:p>
    <w:p w14:paraId="78DAF509" w14:textId="77777777" w:rsidR="00C5516F" w:rsidRPr="00A21682" w:rsidRDefault="00C5516F">
      <w:pPr>
        <w:pStyle w:val="Heading3"/>
        <w:rPr>
          <w:u w:color="000000"/>
        </w:rPr>
      </w:pPr>
      <w:bookmarkStart w:id="1623" w:name="_Toc148102458"/>
      <w:bookmarkStart w:id="1624" w:name="_Toc152605952"/>
      <w:bookmarkStart w:id="1625" w:name="_Toc177119109"/>
      <w:bookmarkStart w:id="1626" w:name="_Toc185952631"/>
      <w:bookmarkStart w:id="1627" w:name="_Toc192874797"/>
      <w:r>
        <w:rPr>
          <w:u w:color="000000"/>
        </w:rPr>
        <w:t>ALM Tool Roles and Permissions</w:t>
      </w:r>
      <w:bookmarkEnd w:id="1623"/>
      <w:bookmarkEnd w:id="1624"/>
      <w:bookmarkEnd w:id="1625"/>
      <w:bookmarkEnd w:id="1626"/>
      <w:bookmarkEnd w:id="1627"/>
    </w:p>
    <w:tbl>
      <w:tblPr>
        <w:tblStyle w:val="GridTable5Dark-Accent13211"/>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31"/>
        <w:gridCol w:w="3214"/>
        <w:gridCol w:w="3600"/>
      </w:tblGrid>
      <w:tr w:rsidR="00C5516F" w:rsidRPr="00A21682" w14:paraId="5D0E8254" w14:textId="77777777" w:rsidTr="000B570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631" w:type="dxa"/>
            <w:tcBorders>
              <w:top w:val="single" w:sz="4" w:space="0" w:color="auto"/>
              <w:left w:val="single" w:sz="4" w:space="0" w:color="auto"/>
              <w:right w:val="single" w:sz="2" w:space="0" w:color="FFFFFF" w:themeColor="background1"/>
            </w:tcBorders>
            <w:shd w:val="clear" w:color="auto" w:fill="000000"/>
          </w:tcPr>
          <w:p w14:paraId="02F74C3D" w14:textId="77777777" w:rsidR="00C5516F" w:rsidRPr="00A21682" w:rsidRDefault="00C5516F" w:rsidP="00047C4E">
            <w:pPr>
              <w:pStyle w:val="TABLEHEADINGNEW"/>
              <w:rPr>
                <w:rFonts w:ascii="Calibri" w:hAnsi="Calibri" w:cs="Calibri"/>
                <w:b/>
                <w:bCs/>
                <w:color w:val="000000"/>
              </w:rPr>
            </w:pPr>
            <w:r>
              <w:rPr>
                <w:b/>
                <w:bCs/>
              </w:rPr>
              <w:t>Tool Role</w:t>
            </w:r>
          </w:p>
        </w:tc>
        <w:tc>
          <w:tcPr>
            <w:tcW w:w="3214" w:type="dxa"/>
            <w:tcBorders>
              <w:top w:val="single" w:sz="4" w:space="0" w:color="auto"/>
              <w:left w:val="single" w:sz="2" w:space="0" w:color="FFFFFF" w:themeColor="background1"/>
              <w:right w:val="single" w:sz="2" w:space="0" w:color="FFFFFF" w:themeColor="background1"/>
            </w:tcBorders>
            <w:shd w:val="clear" w:color="auto" w:fill="000000"/>
          </w:tcPr>
          <w:p w14:paraId="64347E46" w14:textId="77777777" w:rsidR="00C5516F" w:rsidRPr="00A21682" w:rsidRDefault="00C5516F" w:rsidP="00047C4E">
            <w:pPr>
              <w:pStyle w:val="TABLEHEADINGNEW"/>
              <w:cnfStyle w:val="100000000000" w:firstRow="1" w:lastRow="0" w:firstColumn="0" w:lastColumn="0" w:oddVBand="0" w:evenVBand="0" w:oddHBand="0" w:evenHBand="0" w:firstRowFirstColumn="0" w:firstRowLastColumn="0" w:lastRowFirstColumn="0" w:lastRowLastColumn="0"/>
              <w:rPr>
                <w:rFonts w:ascii="Calibri" w:hAnsi="Calibri" w:cs="Calibri"/>
                <w:b/>
                <w:bCs/>
                <w:color w:val="000000"/>
              </w:rPr>
            </w:pPr>
            <w:r>
              <w:rPr>
                <w:b/>
                <w:bCs/>
              </w:rPr>
              <w:t>RACI Role</w:t>
            </w:r>
          </w:p>
        </w:tc>
        <w:tc>
          <w:tcPr>
            <w:tcW w:w="3600" w:type="dxa"/>
            <w:tcBorders>
              <w:top w:val="single" w:sz="4" w:space="0" w:color="auto"/>
              <w:left w:val="single" w:sz="2" w:space="0" w:color="FFFFFF" w:themeColor="background1"/>
            </w:tcBorders>
            <w:shd w:val="clear" w:color="auto" w:fill="000000"/>
          </w:tcPr>
          <w:p w14:paraId="4CDD3386" w14:textId="77777777" w:rsidR="00C5516F" w:rsidRPr="00A21682" w:rsidRDefault="00C5516F" w:rsidP="00047C4E">
            <w:pPr>
              <w:pStyle w:val="TABLEHEADINGNEW"/>
              <w:cnfStyle w:val="100000000000" w:firstRow="1" w:lastRow="0" w:firstColumn="0" w:lastColumn="0" w:oddVBand="0" w:evenVBand="0" w:oddHBand="0" w:evenHBand="0" w:firstRowFirstColumn="0" w:firstRowLastColumn="0" w:lastRowFirstColumn="0" w:lastRowLastColumn="0"/>
              <w:rPr>
                <w:rFonts w:ascii="Calibri" w:hAnsi="Calibri" w:cs="Calibri"/>
                <w:b/>
                <w:bCs/>
                <w:color w:val="000000"/>
              </w:rPr>
            </w:pPr>
            <w:r>
              <w:rPr>
                <w:b/>
                <w:bCs/>
              </w:rPr>
              <w:t>Key Permissions in LoadRunner</w:t>
            </w:r>
          </w:p>
        </w:tc>
      </w:tr>
      <w:tr w:rsidR="00C5516F" w:rsidRPr="00A21682" w14:paraId="23C13524" w14:textId="77777777" w:rsidTr="0006610D">
        <w:trPr>
          <w:cantSplit/>
        </w:trPr>
        <w:tc>
          <w:tcPr>
            <w:cnfStyle w:val="001000000000" w:firstRow="0" w:lastRow="0" w:firstColumn="1" w:lastColumn="0" w:oddVBand="0" w:evenVBand="0" w:oddHBand="0" w:evenHBand="0" w:firstRowFirstColumn="0" w:firstRowLastColumn="0" w:lastRowFirstColumn="0" w:lastRowLastColumn="0"/>
            <w:tcW w:w="2631" w:type="dxa"/>
            <w:tcBorders>
              <w:left w:val="single" w:sz="4" w:space="0" w:color="auto"/>
              <w:bottom w:val="single" w:sz="4" w:space="0" w:color="auto"/>
            </w:tcBorders>
            <w:shd w:val="clear" w:color="auto" w:fill="FFFFFF" w:themeFill="background1"/>
          </w:tcPr>
          <w:p w14:paraId="10AACAE0" w14:textId="77777777" w:rsidR="00C5516F" w:rsidRPr="00A21682" w:rsidRDefault="00C5516F" w:rsidP="00047C4E">
            <w:pPr>
              <w:pStyle w:val="TABLETEXT1"/>
              <w:rPr>
                <w:b w:val="0"/>
                <w:bCs w:val="0"/>
                <w:color w:val="000000" w:themeColor="text1"/>
                <w:lang w:val="en-US"/>
              </w:rPr>
            </w:pPr>
            <w:r>
              <w:rPr>
                <w:b w:val="0"/>
                <w:bCs w:val="0"/>
                <w:color w:val="000000" w:themeColor="text1"/>
                <w:lang w:val="en-US"/>
              </w:rPr>
              <w:t>Admin Tool Access</w:t>
            </w:r>
          </w:p>
        </w:tc>
        <w:tc>
          <w:tcPr>
            <w:tcW w:w="3214" w:type="dxa"/>
            <w:shd w:val="clear" w:color="auto" w:fill="auto"/>
          </w:tcPr>
          <w:p w14:paraId="0335BE9B" w14:textId="77777777" w:rsidR="00C5516F" w:rsidRPr="00635C9B" w:rsidRDefault="00C5516F" w:rsidP="00E16118">
            <w:pPr>
              <w:pStyle w:val="TABLEBULLETNEW"/>
              <w:cnfStyle w:val="000000000000" w:firstRow="0" w:lastRow="0" w:firstColumn="0" w:lastColumn="0" w:oddVBand="0" w:evenVBand="0" w:oddHBand="0" w:evenHBand="0" w:firstRowFirstColumn="0" w:firstRowLastColumn="0" w:lastRowFirstColumn="0" w:lastRowLastColumn="0"/>
            </w:pPr>
            <w:r>
              <w:t>System Admin</w:t>
            </w:r>
          </w:p>
        </w:tc>
        <w:tc>
          <w:tcPr>
            <w:tcW w:w="3600" w:type="dxa"/>
            <w:shd w:val="clear" w:color="auto" w:fill="auto"/>
          </w:tcPr>
          <w:p w14:paraId="3FDE01DF" w14:textId="77777777" w:rsidR="00C5516F" w:rsidRPr="00635C9B" w:rsidRDefault="00C5516F" w:rsidP="00E16118">
            <w:pPr>
              <w:pStyle w:val="TABLEBULLETNEW"/>
              <w:cnfStyle w:val="000000000000" w:firstRow="0" w:lastRow="0" w:firstColumn="0" w:lastColumn="0" w:oddVBand="0" w:evenVBand="0" w:oddHBand="0" w:evenHBand="0" w:firstRowFirstColumn="0" w:firstRowLastColumn="0" w:lastRowFirstColumn="0" w:lastRowLastColumn="0"/>
            </w:pPr>
            <w:r>
              <w:t>Create, edit, delete</w:t>
            </w:r>
          </w:p>
          <w:p w14:paraId="42FA9F61" w14:textId="77777777" w:rsidR="00C5516F" w:rsidRPr="00635C9B" w:rsidRDefault="00C5516F" w:rsidP="00E16118">
            <w:pPr>
              <w:pStyle w:val="TABLEBULLETNEW"/>
              <w:cnfStyle w:val="000000000000" w:firstRow="0" w:lastRow="0" w:firstColumn="0" w:lastColumn="0" w:oddVBand="0" w:evenVBand="0" w:oddHBand="0" w:evenHBand="0" w:firstRowFirstColumn="0" w:firstRowLastColumn="0" w:lastRowFirstColumn="0" w:lastRowLastColumn="0"/>
            </w:pPr>
            <w:r>
              <w:t>User Interface Access</w:t>
            </w:r>
          </w:p>
        </w:tc>
      </w:tr>
      <w:tr w:rsidR="00C5516F" w:rsidRPr="00A21682" w14:paraId="681F8A31" w14:textId="77777777" w:rsidTr="0006610D">
        <w:trPr>
          <w:cantSplit/>
        </w:trPr>
        <w:tc>
          <w:tcPr>
            <w:cnfStyle w:val="001000000000" w:firstRow="0" w:lastRow="0" w:firstColumn="1" w:lastColumn="0" w:oddVBand="0" w:evenVBand="0" w:oddHBand="0" w:evenHBand="0" w:firstRowFirstColumn="0" w:firstRowLastColumn="0" w:lastRowFirstColumn="0" w:lastRowLastColumn="0"/>
            <w:tcW w:w="2631" w:type="dxa"/>
            <w:tcBorders>
              <w:left w:val="single" w:sz="4" w:space="0" w:color="auto"/>
              <w:bottom w:val="single" w:sz="4" w:space="0" w:color="auto"/>
            </w:tcBorders>
            <w:shd w:val="clear" w:color="auto" w:fill="FFFFFF" w:themeFill="background1"/>
          </w:tcPr>
          <w:p w14:paraId="462064F1" w14:textId="77777777" w:rsidR="00C5516F" w:rsidRPr="00A21682" w:rsidRDefault="00C5516F" w:rsidP="00047C4E">
            <w:pPr>
              <w:pStyle w:val="TABLETEXT1"/>
              <w:rPr>
                <w:b w:val="0"/>
                <w:bCs w:val="0"/>
                <w:color w:val="000000" w:themeColor="text1"/>
                <w:lang w:val="en-US"/>
              </w:rPr>
            </w:pPr>
            <w:r>
              <w:rPr>
                <w:b w:val="0"/>
                <w:bCs w:val="0"/>
                <w:color w:val="000000" w:themeColor="text1"/>
                <w:lang w:val="en-US"/>
              </w:rPr>
              <w:t>Performance Tool Access</w:t>
            </w:r>
          </w:p>
        </w:tc>
        <w:tc>
          <w:tcPr>
            <w:tcW w:w="3214" w:type="dxa"/>
            <w:shd w:val="clear" w:color="auto" w:fill="auto"/>
          </w:tcPr>
          <w:p w14:paraId="63CD5A99" w14:textId="77777777" w:rsidR="00C5516F" w:rsidRPr="00635C9B" w:rsidRDefault="00C5516F" w:rsidP="00E16118">
            <w:pPr>
              <w:pStyle w:val="TABLEBULLETNEW"/>
              <w:cnfStyle w:val="000000000000" w:firstRow="0" w:lastRow="0" w:firstColumn="0" w:lastColumn="0" w:oddVBand="0" w:evenVBand="0" w:oddHBand="0" w:evenHBand="0" w:firstRowFirstColumn="0" w:firstRowLastColumn="0" w:lastRowFirstColumn="0" w:lastRowLastColumn="0"/>
            </w:pPr>
            <w:r>
              <w:t>Developer</w:t>
            </w:r>
          </w:p>
        </w:tc>
        <w:tc>
          <w:tcPr>
            <w:tcW w:w="3600" w:type="dxa"/>
            <w:shd w:val="clear" w:color="auto" w:fill="auto"/>
          </w:tcPr>
          <w:p w14:paraId="581992BF" w14:textId="77777777" w:rsidR="00C5516F" w:rsidRPr="00635C9B" w:rsidRDefault="00C5516F" w:rsidP="00E16118">
            <w:pPr>
              <w:pStyle w:val="TABLEBULLETNEW"/>
              <w:cnfStyle w:val="000000000000" w:firstRow="0" w:lastRow="0" w:firstColumn="0" w:lastColumn="0" w:oddVBand="0" w:evenVBand="0" w:oddHBand="0" w:evenHBand="0" w:firstRowFirstColumn="0" w:firstRowLastColumn="0" w:lastRowFirstColumn="0" w:lastRowLastColumn="0"/>
            </w:pPr>
            <w:r>
              <w:t>Create, edit, delete</w:t>
            </w:r>
          </w:p>
        </w:tc>
      </w:tr>
    </w:tbl>
    <w:p w14:paraId="1D056DB8" w14:textId="4FA1A25A" w:rsidR="00C5516F" w:rsidRPr="00A21682" w:rsidRDefault="00C5516F" w:rsidP="005827B3">
      <w:pPr>
        <w:pStyle w:val="Caption"/>
        <w:rPr>
          <w:noProof w:val="0"/>
        </w:rPr>
      </w:pPr>
      <w:bookmarkStart w:id="1628" w:name="_Toc150951945"/>
      <w:bookmarkStart w:id="1629" w:name="_Toc192875160"/>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75</w:t>
      </w:r>
      <w:r>
        <w:rPr>
          <w:noProof w:val="0"/>
        </w:rPr>
        <w:fldChar w:fldCharType="end"/>
      </w:r>
      <w:r>
        <w:rPr>
          <w:noProof w:val="0"/>
        </w:rPr>
        <w:t>: LoadRunner Roles and Permissions</w:t>
      </w:r>
      <w:bookmarkEnd w:id="1628"/>
      <w:bookmarkEnd w:id="1629"/>
    </w:p>
    <w:p w14:paraId="10D73E98" w14:textId="54155E3C" w:rsidR="00C5516F" w:rsidRPr="00A21682" w:rsidRDefault="00C5516F">
      <w:pPr>
        <w:pStyle w:val="Heading3"/>
        <w:rPr>
          <w:u w:color="000000"/>
        </w:rPr>
      </w:pPr>
      <w:bookmarkStart w:id="1630" w:name="_Toc148102459"/>
      <w:bookmarkStart w:id="1631" w:name="_Toc152605953"/>
      <w:bookmarkStart w:id="1632" w:name="_Toc177119110"/>
      <w:bookmarkStart w:id="1633" w:name="_Toc185952632"/>
      <w:bookmarkStart w:id="1634" w:name="_Toc192874798"/>
      <w:r>
        <w:rPr>
          <w:u w:color="000000"/>
        </w:rPr>
        <w:t>ALM Tool Workflows</w:t>
      </w:r>
      <w:bookmarkEnd w:id="1630"/>
      <w:bookmarkEnd w:id="1631"/>
      <w:bookmarkEnd w:id="1632"/>
      <w:bookmarkEnd w:id="1633"/>
      <w:bookmarkEnd w:id="1634"/>
    </w:p>
    <w:p w14:paraId="2C890471" w14:textId="2DB898DA" w:rsidR="00C5516F" w:rsidRPr="00A21682" w:rsidRDefault="00C5516F" w:rsidP="004A3693">
      <w:pPr>
        <w:pStyle w:val="NormalNEW"/>
        <w:rPr>
          <w:u w:color="000000"/>
          <w:lang w:val="en-US"/>
        </w:rPr>
      </w:pPr>
      <w:r>
        <w:rPr>
          <w:u w:color="000000"/>
          <w:lang w:val="en-US"/>
        </w:rPr>
        <w:t>Workflow(s) does not apply.</w:t>
      </w:r>
    </w:p>
    <w:p w14:paraId="7B783129" w14:textId="77777777" w:rsidR="00C5516F" w:rsidRPr="00A21682" w:rsidRDefault="00C5516F">
      <w:pPr>
        <w:pStyle w:val="Heading3"/>
        <w:rPr>
          <w:u w:color="000000"/>
        </w:rPr>
      </w:pPr>
      <w:bookmarkStart w:id="1635" w:name="_Toc148102460"/>
      <w:bookmarkStart w:id="1636" w:name="_Toc152605954"/>
      <w:bookmarkStart w:id="1637" w:name="_Toc177119111"/>
      <w:bookmarkStart w:id="1638" w:name="_Toc185952633"/>
      <w:bookmarkStart w:id="1639" w:name="_Toc192874799"/>
      <w:r>
        <w:rPr>
          <w:u w:color="000000"/>
        </w:rPr>
        <w:t>Accessing ALM Tool</w:t>
      </w:r>
      <w:bookmarkEnd w:id="1635"/>
      <w:bookmarkEnd w:id="1636"/>
      <w:bookmarkEnd w:id="1637"/>
      <w:bookmarkEnd w:id="1638"/>
      <w:bookmarkEnd w:id="1639"/>
    </w:p>
    <w:p w14:paraId="4D02F937" w14:textId="77777777" w:rsidR="00C5516F" w:rsidRPr="00A21682" w:rsidRDefault="00C5516F" w:rsidP="004A3693">
      <w:pPr>
        <w:pStyle w:val="NormalNEW"/>
        <w:rPr>
          <w:u w:color="000000"/>
          <w:lang w:val="en-US"/>
        </w:rPr>
      </w:pPr>
      <w:r>
        <w:rPr>
          <w:u w:color="000000"/>
          <w:lang w:val="en-US"/>
        </w:rPr>
        <w:t>Access to LoadRunner Enterprise is limited to ███████ resources. User training for DOH users is not required for this ALM tool.</w:t>
      </w:r>
    </w:p>
    <w:tbl>
      <w:tblPr>
        <w:tblStyle w:val="TableGrid111"/>
        <w:tblW w:w="0" w:type="auto"/>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833"/>
        <w:gridCol w:w="6457"/>
        <w:gridCol w:w="2065"/>
      </w:tblGrid>
      <w:tr w:rsidR="005133E7" w:rsidRPr="00A21682" w14:paraId="2412F500" w14:textId="77777777" w:rsidTr="000B5709">
        <w:trPr>
          <w:tblHeader/>
        </w:trPr>
        <w:tc>
          <w:tcPr>
            <w:tcW w:w="833" w:type="dxa"/>
            <w:tcBorders>
              <w:right w:val="single" w:sz="2" w:space="0" w:color="FFFFFF" w:themeColor="background1"/>
            </w:tcBorders>
            <w:shd w:val="clear" w:color="auto" w:fill="000000"/>
          </w:tcPr>
          <w:p w14:paraId="03AF22DC" w14:textId="77777777" w:rsidR="00C5516F" w:rsidRPr="00A21682" w:rsidRDefault="00C5516F" w:rsidP="00047C4E">
            <w:pPr>
              <w:pStyle w:val="TABLEHEADINGNEW"/>
            </w:pPr>
            <w:r>
              <w:t>#</w:t>
            </w:r>
          </w:p>
        </w:tc>
        <w:tc>
          <w:tcPr>
            <w:tcW w:w="6457" w:type="dxa"/>
            <w:tcBorders>
              <w:left w:val="single" w:sz="2" w:space="0" w:color="FFFFFF" w:themeColor="background1"/>
              <w:right w:val="single" w:sz="2" w:space="0" w:color="FFFFFF" w:themeColor="background1"/>
            </w:tcBorders>
            <w:shd w:val="clear" w:color="auto" w:fill="000000"/>
          </w:tcPr>
          <w:p w14:paraId="70D91521" w14:textId="77777777" w:rsidR="00C5516F" w:rsidRPr="00A21682" w:rsidRDefault="00C5516F" w:rsidP="00047C4E">
            <w:pPr>
              <w:pStyle w:val="TABLEHEADINGNEW"/>
            </w:pPr>
            <w:r>
              <w:t>Access Step</w:t>
            </w:r>
          </w:p>
        </w:tc>
        <w:tc>
          <w:tcPr>
            <w:tcW w:w="2065" w:type="dxa"/>
            <w:tcBorders>
              <w:left w:val="single" w:sz="2" w:space="0" w:color="FFFFFF" w:themeColor="background1"/>
            </w:tcBorders>
            <w:shd w:val="clear" w:color="auto" w:fill="000000"/>
          </w:tcPr>
          <w:p w14:paraId="530C9091" w14:textId="77777777" w:rsidR="00C5516F" w:rsidRPr="00A21682" w:rsidRDefault="00C5516F" w:rsidP="00047C4E">
            <w:pPr>
              <w:pStyle w:val="TABLEHEADINGNEW"/>
            </w:pPr>
            <w:r>
              <w:t>Owner</w:t>
            </w:r>
          </w:p>
        </w:tc>
      </w:tr>
      <w:tr w:rsidR="00B65956" w:rsidRPr="00A21682" w14:paraId="126B0FA5" w14:textId="77777777" w:rsidTr="00047C4E">
        <w:tc>
          <w:tcPr>
            <w:tcW w:w="833" w:type="dxa"/>
          </w:tcPr>
          <w:p w14:paraId="064DD12D" w14:textId="5AEB14FE" w:rsidR="00C5516F" w:rsidRPr="00A21682" w:rsidRDefault="000B0364" w:rsidP="00047C4E">
            <w:pPr>
              <w:pStyle w:val="TABLETEXT1"/>
              <w:rPr>
                <w:lang w:val="en-US"/>
              </w:rPr>
            </w:pPr>
            <w:r>
              <w:rPr>
                <w:lang w:val="en-US"/>
              </w:rPr>
              <w:t>1</w:t>
            </w:r>
          </w:p>
        </w:tc>
        <w:tc>
          <w:tcPr>
            <w:tcW w:w="6457" w:type="dxa"/>
          </w:tcPr>
          <w:p w14:paraId="725E6C75" w14:textId="523ED3B3" w:rsidR="00C5516F" w:rsidRPr="00A21682" w:rsidRDefault="00C5516F" w:rsidP="00047C4E">
            <w:pPr>
              <w:pStyle w:val="TABLETEXT1"/>
              <w:rPr>
                <w:lang w:val="en-US"/>
              </w:rPr>
            </w:pPr>
            <w:r>
              <w:rPr>
                <w:lang w:val="en-US"/>
              </w:rPr>
              <w:t>Fill out LoadRunner Enterprise Request (see Test Management Plan (DEL-09)) and send to ███████ Technical Manager</w:t>
            </w:r>
          </w:p>
        </w:tc>
        <w:tc>
          <w:tcPr>
            <w:tcW w:w="2065" w:type="dxa"/>
          </w:tcPr>
          <w:p w14:paraId="2B73BECA" w14:textId="77777777" w:rsidR="00C5516F" w:rsidRPr="00A21682" w:rsidRDefault="00C5516F" w:rsidP="00047C4E">
            <w:pPr>
              <w:pStyle w:val="TABLETEXT1"/>
              <w:rPr>
                <w:lang w:val="en-US"/>
              </w:rPr>
            </w:pPr>
            <w:r>
              <w:rPr>
                <w:lang w:val="en-US"/>
              </w:rPr>
              <w:t>Requestor</w:t>
            </w:r>
          </w:p>
        </w:tc>
      </w:tr>
      <w:tr w:rsidR="00B65956" w:rsidRPr="00A21682" w14:paraId="6C7556F6" w14:textId="77777777" w:rsidTr="00047C4E">
        <w:tc>
          <w:tcPr>
            <w:tcW w:w="833" w:type="dxa"/>
          </w:tcPr>
          <w:p w14:paraId="3043F2A0" w14:textId="07913443" w:rsidR="00C5516F" w:rsidRPr="00A21682" w:rsidRDefault="000B0364" w:rsidP="00047C4E">
            <w:pPr>
              <w:pStyle w:val="TABLETEXT1"/>
              <w:rPr>
                <w:lang w:val="en-US"/>
              </w:rPr>
            </w:pPr>
            <w:r>
              <w:rPr>
                <w:lang w:val="en-US"/>
              </w:rPr>
              <w:t>2</w:t>
            </w:r>
          </w:p>
        </w:tc>
        <w:tc>
          <w:tcPr>
            <w:tcW w:w="6457" w:type="dxa"/>
          </w:tcPr>
          <w:p w14:paraId="39BFBB1E" w14:textId="77777777" w:rsidR="00C5516F" w:rsidRPr="00A21682" w:rsidRDefault="00C5516F" w:rsidP="00047C4E">
            <w:pPr>
              <w:pStyle w:val="TABLETEXT1"/>
              <w:rPr>
                <w:lang w:val="en-US"/>
              </w:rPr>
            </w:pPr>
            <w:r>
              <w:rPr>
                <w:lang w:val="en-US"/>
              </w:rPr>
              <w:t>Approve Request</w:t>
            </w:r>
          </w:p>
        </w:tc>
        <w:tc>
          <w:tcPr>
            <w:tcW w:w="2065" w:type="dxa"/>
          </w:tcPr>
          <w:p w14:paraId="0B7A4352" w14:textId="77777777" w:rsidR="00C5516F" w:rsidRPr="00A21682" w:rsidRDefault="00C5516F" w:rsidP="00047C4E">
            <w:pPr>
              <w:pStyle w:val="TABLETEXT1"/>
              <w:rPr>
                <w:lang w:val="en-US"/>
              </w:rPr>
            </w:pPr>
            <w:r>
              <w:rPr>
                <w:lang w:val="en-US"/>
              </w:rPr>
              <w:t>System Admin</w:t>
            </w:r>
          </w:p>
        </w:tc>
      </w:tr>
      <w:tr w:rsidR="00B65956" w:rsidRPr="00A21682" w14:paraId="36B37326" w14:textId="77777777" w:rsidTr="00047C4E">
        <w:tc>
          <w:tcPr>
            <w:tcW w:w="833" w:type="dxa"/>
          </w:tcPr>
          <w:p w14:paraId="6C9601B8" w14:textId="688E959A" w:rsidR="00C5516F" w:rsidRPr="00A21682" w:rsidRDefault="000B0364" w:rsidP="00047C4E">
            <w:pPr>
              <w:pStyle w:val="TABLETEXT1"/>
              <w:rPr>
                <w:lang w:val="en-US"/>
              </w:rPr>
            </w:pPr>
            <w:r>
              <w:rPr>
                <w:lang w:val="en-US"/>
              </w:rPr>
              <w:t>3</w:t>
            </w:r>
          </w:p>
        </w:tc>
        <w:tc>
          <w:tcPr>
            <w:tcW w:w="6457" w:type="dxa"/>
          </w:tcPr>
          <w:p w14:paraId="51CCCE7A" w14:textId="77777777" w:rsidR="00C5516F" w:rsidRPr="00A21682" w:rsidRDefault="00C5516F" w:rsidP="00047C4E">
            <w:pPr>
              <w:pStyle w:val="TABLETEXT1"/>
              <w:rPr>
                <w:lang w:val="en-US"/>
              </w:rPr>
            </w:pPr>
            <w:r>
              <w:rPr>
                <w:lang w:val="en-US"/>
              </w:rPr>
              <w:t>Configure LoadRunner and provide access</w:t>
            </w:r>
          </w:p>
        </w:tc>
        <w:tc>
          <w:tcPr>
            <w:tcW w:w="2065" w:type="dxa"/>
          </w:tcPr>
          <w:p w14:paraId="391A080B" w14:textId="77777777" w:rsidR="00C5516F" w:rsidRPr="00A21682" w:rsidRDefault="00C5516F" w:rsidP="00047C4E">
            <w:pPr>
              <w:pStyle w:val="TABLETEXT1"/>
              <w:rPr>
                <w:lang w:val="en-US"/>
              </w:rPr>
            </w:pPr>
            <w:r>
              <w:rPr>
                <w:lang w:val="en-US"/>
              </w:rPr>
              <w:t>User</w:t>
            </w:r>
          </w:p>
        </w:tc>
      </w:tr>
      <w:tr w:rsidR="00B65956" w:rsidRPr="00A21682" w14:paraId="56323733" w14:textId="77777777" w:rsidTr="00047C4E">
        <w:tc>
          <w:tcPr>
            <w:tcW w:w="833" w:type="dxa"/>
          </w:tcPr>
          <w:p w14:paraId="1D555AE3" w14:textId="410E15AE" w:rsidR="00C5516F" w:rsidRPr="00A21682" w:rsidRDefault="000B0364" w:rsidP="00047C4E">
            <w:pPr>
              <w:pStyle w:val="TABLETEXT1"/>
              <w:rPr>
                <w:lang w:val="en-US"/>
              </w:rPr>
            </w:pPr>
            <w:r>
              <w:rPr>
                <w:lang w:val="en-US"/>
              </w:rPr>
              <w:t>4</w:t>
            </w:r>
          </w:p>
        </w:tc>
        <w:tc>
          <w:tcPr>
            <w:tcW w:w="6457" w:type="dxa"/>
          </w:tcPr>
          <w:p w14:paraId="6E8C8763" w14:textId="77777777" w:rsidR="00C5516F" w:rsidRPr="00A21682" w:rsidRDefault="00C5516F" w:rsidP="00047C4E">
            <w:pPr>
              <w:pStyle w:val="TABLETEXT1"/>
              <w:rPr>
                <w:lang w:val="en-US"/>
              </w:rPr>
            </w:pPr>
            <w:r>
              <w:rPr>
                <w:lang w:val="en-US"/>
              </w:rPr>
              <w:t>Communicate with tool for access</w:t>
            </w:r>
          </w:p>
        </w:tc>
        <w:tc>
          <w:tcPr>
            <w:tcW w:w="2065" w:type="dxa"/>
          </w:tcPr>
          <w:p w14:paraId="2032C166" w14:textId="77777777" w:rsidR="00C5516F" w:rsidRPr="00A21682" w:rsidRDefault="00C5516F" w:rsidP="00047C4E">
            <w:pPr>
              <w:pStyle w:val="TABLETEXT1"/>
              <w:rPr>
                <w:lang w:val="en-US"/>
              </w:rPr>
            </w:pPr>
            <w:r>
              <w:rPr>
                <w:lang w:val="en-US"/>
              </w:rPr>
              <w:t>User</w:t>
            </w:r>
          </w:p>
        </w:tc>
      </w:tr>
    </w:tbl>
    <w:p w14:paraId="5F7C94DD" w14:textId="7160BD2F" w:rsidR="00C5516F" w:rsidRPr="00A21682" w:rsidRDefault="00C5516F" w:rsidP="005827B3">
      <w:pPr>
        <w:pStyle w:val="Caption"/>
        <w:rPr>
          <w:noProof w:val="0"/>
        </w:rPr>
      </w:pPr>
      <w:bookmarkStart w:id="1640" w:name="_Toc150951946"/>
      <w:bookmarkStart w:id="1641" w:name="_Toc192875161"/>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76</w:t>
      </w:r>
      <w:r>
        <w:rPr>
          <w:noProof w:val="0"/>
        </w:rPr>
        <w:fldChar w:fldCharType="end"/>
      </w:r>
      <w:r>
        <w:rPr>
          <w:noProof w:val="0"/>
        </w:rPr>
        <w:t>: LoadRunner Access</w:t>
      </w:r>
      <w:bookmarkEnd w:id="1640"/>
      <w:bookmarkEnd w:id="1641"/>
    </w:p>
    <w:p w14:paraId="4967CD5C" w14:textId="77777777" w:rsidR="00C5516F" w:rsidRPr="00A21682" w:rsidRDefault="00C5516F">
      <w:pPr>
        <w:pStyle w:val="Heading2"/>
        <w:rPr>
          <w:u w:color="000000"/>
        </w:rPr>
      </w:pPr>
      <w:bookmarkStart w:id="1642" w:name="_Toc148102461"/>
      <w:bookmarkStart w:id="1643" w:name="_Toc152605955"/>
      <w:bookmarkStart w:id="1644" w:name="_Toc177119112"/>
      <w:bookmarkStart w:id="1645" w:name="_Toc185952634"/>
      <w:bookmarkStart w:id="1646" w:name="_Toc192874800"/>
      <w:r>
        <w:rPr>
          <w:u w:color="000000"/>
        </w:rPr>
        <w:t>Splunk</w:t>
      </w:r>
      <w:bookmarkEnd w:id="1642"/>
      <w:bookmarkEnd w:id="1643"/>
      <w:bookmarkEnd w:id="1644"/>
      <w:bookmarkEnd w:id="1645"/>
      <w:bookmarkEnd w:id="1646"/>
    </w:p>
    <w:p w14:paraId="2E3E0B8E" w14:textId="77777777" w:rsidR="00C5516F" w:rsidRPr="00A21682" w:rsidRDefault="00C5516F" w:rsidP="004A3693">
      <w:pPr>
        <w:pStyle w:val="NormalNEW"/>
        <w:rPr>
          <w:rFonts w:cs="Times New Roman"/>
          <w:u w:color="000000"/>
          <w:lang w:val="en-US"/>
        </w:rPr>
      </w:pPr>
      <w:r>
        <w:rPr>
          <w:u w:color="000000"/>
          <w:lang w:val="en-US"/>
        </w:rPr>
        <w:t>Splunk is used for active monitoring of the MECM solution environment including server health monitor, configurable alerts, trending/historical reports, and dashboard/visualization capabilities.</w:t>
      </w:r>
    </w:p>
    <w:p w14:paraId="551CF6DC" w14:textId="49B95139" w:rsidR="00C5516F" w:rsidRPr="00A21682" w:rsidRDefault="00C5516F">
      <w:pPr>
        <w:pStyle w:val="Heading3"/>
        <w:rPr>
          <w:rFonts w:eastAsia="Times New Roman"/>
          <w:u w:color="000000"/>
        </w:rPr>
      </w:pPr>
      <w:bookmarkStart w:id="1647" w:name="_Toc148102462"/>
      <w:bookmarkStart w:id="1648" w:name="_Toc152605956"/>
      <w:bookmarkStart w:id="1649" w:name="_Toc177119113"/>
      <w:bookmarkStart w:id="1650" w:name="_Toc185952635"/>
      <w:bookmarkStart w:id="1651" w:name="_Toc192874801"/>
      <w:r>
        <w:rPr>
          <w:u w:color="000000"/>
        </w:rPr>
        <w:lastRenderedPageBreak/>
        <w:t>ALM Tool Roles and Permissions</w:t>
      </w:r>
      <w:bookmarkEnd w:id="1647"/>
      <w:bookmarkEnd w:id="1648"/>
      <w:bookmarkEnd w:id="1649"/>
      <w:bookmarkEnd w:id="1650"/>
      <w:bookmarkEnd w:id="1651"/>
    </w:p>
    <w:tbl>
      <w:tblPr>
        <w:tblpPr w:leftFromText="180" w:rightFromText="180" w:vertAnchor="text" w:tblpX="80" w:tblpY="34"/>
        <w:tblOverlap w:val="neve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093"/>
        <w:gridCol w:w="3240"/>
        <w:gridCol w:w="3842"/>
      </w:tblGrid>
      <w:tr w:rsidR="00C5516F" w:rsidRPr="00A21682" w14:paraId="0295D859" w14:textId="77777777" w:rsidTr="00575750">
        <w:trPr>
          <w:cantSplit/>
          <w:tblHeader/>
        </w:trPr>
        <w:tc>
          <w:tcPr>
            <w:tcW w:w="2093" w:type="dxa"/>
            <w:tcBorders>
              <w:top w:val="single" w:sz="4" w:space="0" w:color="auto"/>
              <w:left w:val="single" w:sz="4" w:space="0" w:color="auto"/>
              <w:right w:val="single" w:sz="2" w:space="0" w:color="FFFFFF" w:themeColor="background1"/>
            </w:tcBorders>
            <w:shd w:val="clear" w:color="auto" w:fill="000000"/>
          </w:tcPr>
          <w:p w14:paraId="533743B1" w14:textId="77777777" w:rsidR="00C5516F" w:rsidRPr="00A21682" w:rsidRDefault="00C5516F" w:rsidP="00047C4E">
            <w:pPr>
              <w:pStyle w:val="TABLEHEADINGNEW"/>
            </w:pPr>
            <w:r>
              <w:t>Tool Role</w:t>
            </w:r>
          </w:p>
        </w:tc>
        <w:tc>
          <w:tcPr>
            <w:tcW w:w="3240" w:type="dxa"/>
            <w:tcBorders>
              <w:top w:val="single" w:sz="4" w:space="0" w:color="auto"/>
              <w:left w:val="single" w:sz="2" w:space="0" w:color="FFFFFF" w:themeColor="background1"/>
              <w:right w:val="single" w:sz="2" w:space="0" w:color="FFFFFF" w:themeColor="background1"/>
            </w:tcBorders>
            <w:shd w:val="clear" w:color="auto" w:fill="000000"/>
          </w:tcPr>
          <w:p w14:paraId="0A2CBB1D" w14:textId="77777777" w:rsidR="00C5516F" w:rsidRPr="00A21682" w:rsidRDefault="00C5516F" w:rsidP="00047C4E">
            <w:pPr>
              <w:pStyle w:val="TABLEHEADINGNEW"/>
            </w:pPr>
            <w:r>
              <w:t>RACI Role</w:t>
            </w:r>
          </w:p>
        </w:tc>
        <w:tc>
          <w:tcPr>
            <w:tcW w:w="3842" w:type="dxa"/>
            <w:tcBorders>
              <w:top w:val="single" w:sz="4" w:space="0" w:color="auto"/>
              <w:left w:val="single" w:sz="2" w:space="0" w:color="FFFFFF" w:themeColor="background1"/>
            </w:tcBorders>
            <w:shd w:val="clear" w:color="auto" w:fill="000000"/>
          </w:tcPr>
          <w:p w14:paraId="71130AE5" w14:textId="77777777" w:rsidR="00C5516F" w:rsidRPr="00A21682" w:rsidRDefault="00C5516F" w:rsidP="00047C4E">
            <w:pPr>
              <w:pStyle w:val="TABLEHEADINGNEW"/>
            </w:pPr>
            <w:r>
              <w:t>Key Permissions in Splunk</w:t>
            </w:r>
          </w:p>
        </w:tc>
      </w:tr>
      <w:tr w:rsidR="00C5516F" w:rsidRPr="00A21682" w14:paraId="5A090BA6" w14:textId="77777777" w:rsidTr="00575750">
        <w:trPr>
          <w:cantSplit/>
        </w:trPr>
        <w:tc>
          <w:tcPr>
            <w:tcW w:w="2093" w:type="dxa"/>
            <w:tcBorders>
              <w:left w:val="single" w:sz="4" w:space="0" w:color="auto"/>
            </w:tcBorders>
            <w:shd w:val="clear" w:color="auto" w:fill="FFFFFF" w:themeFill="background1"/>
          </w:tcPr>
          <w:p w14:paraId="49998A33" w14:textId="77777777" w:rsidR="00C5516F" w:rsidRPr="00A21682" w:rsidRDefault="00C5516F" w:rsidP="00047C4E">
            <w:pPr>
              <w:pStyle w:val="TABLETEXT1"/>
              <w:rPr>
                <w:lang w:val="en-US"/>
              </w:rPr>
            </w:pPr>
            <w:r>
              <w:rPr>
                <w:lang w:val="en-US"/>
              </w:rPr>
              <w:t>Admin</w:t>
            </w:r>
          </w:p>
        </w:tc>
        <w:tc>
          <w:tcPr>
            <w:tcW w:w="3240" w:type="dxa"/>
          </w:tcPr>
          <w:p w14:paraId="2257A564" w14:textId="77777777" w:rsidR="00C5516F" w:rsidRPr="00635C9B" w:rsidRDefault="00C5516F" w:rsidP="00E16118">
            <w:pPr>
              <w:pStyle w:val="TABLEBULLETNEW"/>
            </w:pPr>
            <w:r>
              <w:t>███████ Tool Administrator</w:t>
            </w:r>
          </w:p>
        </w:tc>
        <w:tc>
          <w:tcPr>
            <w:tcW w:w="3842" w:type="dxa"/>
          </w:tcPr>
          <w:p w14:paraId="1770B629" w14:textId="77777777" w:rsidR="00C5516F" w:rsidRPr="00635C9B" w:rsidRDefault="00C5516F" w:rsidP="00E16118">
            <w:pPr>
              <w:pStyle w:val="TABLEBULLETNEW"/>
            </w:pPr>
            <w:r>
              <w:t>Edit/Update, update all capabilities</w:t>
            </w:r>
          </w:p>
        </w:tc>
      </w:tr>
      <w:tr w:rsidR="00C5516F" w:rsidRPr="00A21682" w14:paraId="7A94980C" w14:textId="77777777" w:rsidTr="00575750">
        <w:trPr>
          <w:cantSplit/>
        </w:trPr>
        <w:tc>
          <w:tcPr>
            <w:tcW w:w="2093" w:type="dxa"/>
            <w:tcBorders>
              <w:left w:val="single" w:sz="4" w:space="0" w:color="auto"/>
            </w:tcBorders>
            <w:shd w:val="clear" w:color="auto" w:fill="FFFFFF" w:themeFill="background1"/>
          </w:tcPr>
          <w:p w14:paraId="2810C775" w14:textId="77777777" w:rsidR="00C5516F" w:rsidRPr="00A21682" w:rsidRDefault="00C5516F" w:rsidP="00047C4E">
            <w:pPr>
              <w:pStyle w:val="TABLETEXT1"/>
              <w:rPr>
                <w:lang w:val="en-US"/>
              </w:rPr>
            </w:pPr>
            <w:r>
              <w:rPr>
                <w:lang w:val="en-US"/>
              </w:rPr>
              <w:t>Power User</w:t>
            </w:r>
          </w:p>
        </w:tc>
        <w:tc>
          <w:tcPr>
            <w:tcW w:w="3240" w:type="dxa"/>
          </w:tcPr>
          <w:p w14:paraId="26C0996A" w14:textId="77777777" w:rsidR="00C5516F" w:rsidRPr="00635C9B" w:rsidRDefault="00C5516F" w:rsidP="00E16118">
            <w:pPr>
              <w:pStyle w:val="TABLEBULLETNEW"/>
            </w:pPr>
            <w:r>
              <w:t>███████ Technical Manager</w:t>
            </w:r>
          </w:p>
        </w:tc>
        <w:tc>
          <w:tcPr>
            <w:tcW w:w="3842" w:type="dxa"/>
          </w:tcPr>
          <w:p w14:paraId="45CA3D0B" w14:textId="77777777" w:rsidR="00C5516F" w:rsidRPr="00635C9B" w:rsidRDefault="00C5516F" w:rsidP="00E16118">
            <w:pPr>
              <w:pStyle w:val="TABLEBULLETNEW"/>
            </w:pPr>
            <w:r>
              <w:t>Edit/Update</w:t>
            </w:r>
          </w:p>
        </w:tc>
      </w:tr>
      <w:tr w:rsidR="00C5516F" w:rsidRPr="00A21682" w14:paraId="2930A0B0" w14:textId="77777777" w:rsidTr="00575750">
        <w:trPr>
          <w:cantSplit/>
        </w:trPr>
        <w:tc>
          <w:tcPr>
            <w:tcW w:w="2093" w:type="dxa"/>
            <w:tcBorders>
              <w:left w:val="single" w:sz="4" w:space="0" w:color="auto"/>
            </w:tcBorders>
            <w:shd w:val="clear" w:color="auto" w:fill="FFFFFF" w:themeFill="background1"/>
          </w:tcPr>
          <w:p w14:paraId="319A0862" w14:textId="77777777" w:rsidR="00C5516F" w:rsidRPr="00A21682" w:rsidRDefault="00C5516F" w:rsidP="00047C4E">
            <w:pPr>
              <w:pStyle w:val="TABLETEXT1"/>
              <w:rPr>
                <w:lang w:val="en-US"/>
              </w:rPr>
            </w:pPr>
            <w:r>
              <w:rPr>
                <w:lang w:val="en-US"/>
              </w:rPr>
              <w:t>Standard User</w:t>
            </w:r>
          </w:p>
        </w:tc>
        <w:tc>
          <w:tcPr>
            <w:tcW w:w="3240" w:type="dxa"/>
          </w:tcPr>
          <w:p w14:paraId="7D407389" w14:textId="77777777" w:rsidR="00C5516F" w:rsidRPr="00635C9B" w:rsidRDefault="00C5516F" w:rsidP="00E16118">
            <w:pPr>
              <w:pStyle w:val="TABLEBULLETNEW"/>
            </w:pPr>
            <w:r>
              <w:t>███████ Technology Team</w:t>
            </w:r>
          </w:p>
        </w:tc>
        <w:tc>
          <w:tcPr>
            <w:tcW w:w="3842" w:type="dxa"/>
          </w:tcPr>
          <w:p w14:paraId="2C9D4A1A" w14:textId="77777777" w:rsidR="00C5516F" w:rsidRPr="00635C9B" w:rsidRDefault="00C5516F" w:rsidP="00E16118">
            <w:pPr>
              <w:pStyle w:val="TABLEBULLETNEW"/>
            </w:pPr>
            <w:r>
              <w:t>Read-only access</w:t>
            </w:r>
          </w:p>
        </w:tc>
      </w:tr>
      <w:tr w:rsidR="00C5516F" w:rsidRPr="00A21682" w14:paraId="42859F58" w14:textId="77777777" w:rsidTr="00575750">
        <w:trPr>
          <w:cantSplit/>
        </w:trPr>
        <w:tc>
          <w:tcPr>
            <w:tcW w:w="2093" w:type="dxa"/>
            <w:tcBorders>
              <w:left w:val="single" w:sz="4" w:space="0" w:color="auto"/>
              <w:bottom w:val="single" w:sz="4" w:space="0" w:color="auto"/>
            </w:tcBorders>
            <w:shd w:val="clear" w:color="auto" w:fill="FFFFFF" w:themeFill="background1"/>
          </w:tcPr>
          <w:p w14:paraId="4991403A" w14:textId="77777777" w:rsidR="00C5516F" w:rsidRPr="00A21682" w:rsidRDefault="00C5516F" w:rsidP="00047C4E">
            <w:pPr>
              <w:pStyle w:val="TABLETEXT1"/>
              <w:rPr>
                <w:lang w:val="en-US"/>
              </w:rPr>
            </w:pPr>
            <w:r>
              <w:rPr>
                <w:lang w:val="en-US"/>
              </w:rPr>
              <w:t>Splunk Read-Only</w:t>
            </w:r>
          </w:p>
        </w:tc>
        <w:tc>
          <w:tcPr>
            <w:tcW w:w="3240" w:type="dxa"/>
          </w:tcPr>
          <w:p w14:paraId="6459C510" w14:textId="77777777" w:rsidR="00C5516F" w:rsidRPr="00635C9B" w:rsidRDefault="00C5516F" w:rsidP="00E16118">
            <w:pPr>
              <w:pStyle w:val="TABLEBULLETNEW"/>
            </w:pPr>
            <w:r>
              <w:t>DOH Stakeholders</w:t>
            </w:r>
          </w:p>
        </w:tc>
        <w:tc>
          <w:tcPr>
            <w:tcW w:w="3842" w:type="dxa"/>
          </w:tcPr>
          <w:p w14:paraId="62E9E867" w14:textId="77777777" w:rsidR="00C5516F" w:rsidRPr="00635C9B" w:rsidRDefault="00C5516F" w:rsidP="00E16118">
            <w:pPr>
              <w:pStyle w:val="TABLEBULLETNEW"/>
            </w:pPr>
            <w:r>
              <w:t>Read-only access</w:t>
            </w:r>
          </w:p>
        </w:tc>
      </w:tr>
    </w:tbl>
    <w:p w14:paraId="1B3ECA56" w14:textId="63A9F2D7" w:rsidR="00C5516F" w:rsidRPr="00A21682" w:rsidRDefault="00C5516F" w:rsidP="005827B3">
      <w:pPr>
        <w:pStyle w:val="Caption"/>
        <w:rPr>
          <w:noProof w:val="0"/>
        </w:rPr>
      </w:pPr>
      <w:bookmarkStart w:id="1652" w:name="_Toc150951947"/>
      <w:bookmarkStart w:id="1653" w:name="_Toc192875162"/>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77</w:t>
      </w:r>
      <w:r>
        <w:rPr>
          <w:noProof w:val="0"/>
        </w:rPr>
        <w:fldChar w:fldCharType="end"/>
      </w:r>
      <w:r>
        <w:rPr>
          <w:noProof w:val="0"/>
        </w:rPr>
        <w:t>: Splunk Roles and Permissions</w:t>
      </w:r>
      <w:bookmarkEnd w:id="1652"/>
      <w:bookmarkEnd w:id="1653"/>
    </w:p>
    <w:p w14:paraId="39B58803" w14:textId="00C77929" w:rsidR="00C5516F" w:rsidRPr="00A21682" w:rsidRDefault="00C5516F">
      <w:pPr>
        <w:pStyle w:val="Heading3"/>
        <w:rPr>
          <w:u w:color="000000"/>
        </w:rPr>
      </w:pPr>
      <w:bookmarkStart w:id="1654" w:name="_Toc148102463"/>
      <w:bookmarkStart w:id="1655" w:name="_Toc152605957"/>
      <w:bookmarkStart w:id="1656" w:name="_Toc177119114"/>
      <w:bookmarkStart w:id="1657" w:name="_Toc185952636"/>
      <w:bookmarkStart w:id="1658" w:name="_Toc192874802"/>
      <w:r>
        <w:rPr>
          <w:u w:color="000000"/>
        </w:rPr>
        <w:t>ALM Tool Workflows</w:t>
      </w:r>
      <w:bookmarkEnd w:id="1654"/>
      <w:bookmarkEnd w:id="1655"/>
      <w:bookmarkEnd w:id="1656"/>
      <w:bookmarkEnd w:id="1657"/>
      <w:bookmarkEnd w:id="1658"/>
      <w:r>
        <w:rPr>
          <w:u w:color="000000"/>
        </w:rPr>
        <w:t xml:space="preserve"> </w:t>
      </w:r>
    </w:p>
    <w:p w14:paraId="042F9CF5" w14:textId="77777777" w:rsidR="00C5516F" w:rsidRPr="00A21682" w:rsidRDefault="00C5516F" w:rsidP="004A3693">
      <w:pPr>
        <w:pStyle w:val="NormalNEW"/>
        <w:rPr>
          <w:u w:color="000000"/>
          <w:lang w:val="en-US" w:eastAsia="ko-KR"/>
        </w:rPr>
      </w:pPr>
      <w:r>
        <w:rPr>
          <w:u w:color="000000"/>
          <w:lang w:val="en-US" w:eastAsia="ko-KR"/>
        </w:rPr>
        <w:t>The following workflow within the Splunk tool supports each phase of the MECM SDLC.</w:t>
      </w:r>
    </w:p>
    <w:p w14:paraId="31A50985" w14:textId="3A06D5C7" w:rsidR="00C5516F" w:rsidRPr="00A21682" w:rsidRDefault="00455CE4" w:rsidP="004A3693">
      <w:pPr>
        <w:pStyle w:val="NormalNEW"/>
        <w:jc w:val="center"/>
        <w:rPr>
          <w:lang w:val="en-US"/>
        </w:rPr>
      </w:pPr>
      <w:r>
        <w:rPr>
          <w:noProof/>
          <w:u w:color="000000"/>
          <w:lang w:val="en-US"/>
        </w:rPr>
        <w:drawing>
          <wp:inline distT="0" distB="0" distL="0" distR="0" wp14:anchorId="0D5B782F" wp14:editId="31A6844E">
            <wp:extent cx="4933950" cy="2359669"/>
            <wp:effectExtent l="19050" t="19050" r="19050" b="215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33950" cy="2359669"/>
                    </a:xfrm>
                    <a:prstGeom prst="rect">
                      <a:avLst/>
                    </a:prstGeom>
                    <a:noFill/>
                    <a:ln w="9525">
                      <a:solidFill>
                        <a:schemeClr val="tx1"/>
                      </a:solidFill>
                    </a:ln>
                  </pic:spPr>
                </pic:pic>
              </a:graphicData>
            </a:graphic>
          </wp:inline>
        </w:drawing>
      </w:r>
    </w:p>
    <w:p w14:paraId="236AF4BB" w14:textId="00FE1C68" w:rsidR="00C5516F" w:rsidRPr="00A21682" w:rsidRDefault="00C5516F" w:rsidP="005827B3">
      <w:pPr>
        <w:pStyle w:val="Caption"/>
        <w:rPr>
          <w:noProof w:val="0"/>
        </w:rPr>
      </w:pPr>
      <w:bookmarkStart w:id="1659" w:name="_Toc150948962"/>
      <w:bookmarkStart w:id="1660" w:name="_Toc178152049"/>
      <w:bookmarkStart w:id="1661" w:name="_Toc192875062"/>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25</w:t>
      </w:r>
      <w:r>
        <w:rPr>
          <w:noProof w:val="0"/>
        </w:rPr>
        <w:fldChar w:fldCharType="end"/>
      </w:r>
      <w:r>
        <w:rPr>
          <w:noProof w:val="0"/>
        </w:rPr>
        <w:t>: Splunk Workflow</w:t>
      </w:r>
      <w:bookmarkEnd w:id="1659"/>
      <w:bookmarkEnd w:id="1660"/>
      <w:bookmarkEnd w:id="1661"/>
    </w:p>
    <w:p w14:paraId="58C590EC" w14:textId="77777777" w:rsidR="00C5516F" w:rsidRPr="00A21682" w:rsidRDefault="00C5516F" w:rsidP="00151AE8">
      <w:pPr>
        <w:pStyle w:val="NormalNEW"/>
        <w:keepNext/>
        <w:rPr>
          <w:u w:color="000000"/>
          <w:lang w:val="en-US"/>
        </w:rPr>
      </w:pPr>
      <w:r>
        <w:rPr>
          <w:u w:color="000000"/>
          <w:lang w:val="en-US"/>
        </w:rPr>
        <w:t>The following table describes each workflow step illustrated above.</w:t>
      </w:r>
    </w:p>
    <w:tbl>
      <w:tblPr>
        <w:tblW w:w="935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617"/>
        <w:gridCol w:w="1794"/>
        <w:gridCol w:w="4604"/>
        <w:gridCol w:w="2340"/>
      </w:tblGrid>
      <w:tr w:rsidR="005133E7" w:rsidRPr="00A21682" w14:paraId="30D164C2" w14:textId="77777777" w:rsidTr="00F03629">
        <w:trPr>
          <w:trHeight w:val="300"/>
          <w:tblHeader/>
        </w:trPr>
        <w:tc>
          <w:tcPr>
            <w:tcW w:w="617" w:type="dxa"/>
            <w:tcBorders>
              <w:right w:val="single" w:sz="2" w:space="0" w:color="FFFFFF" w:themeColor="background1"/>
            </w:tcBorders>
            <w:shd w:val="clear" w:color="auto" w:fill="000000"/>
            <w:hideMark/>
          </w:tcPr>
          <w:p w14:paraId="2E559B48" w14:textId="77777777" w:rsidR="00C5516F" w:rsidRPr="00A21682" w:rsidRDefault="00C5516F" w:rsidP="00047C4E">
            <w:pPr>
              <w:pStyle w:val="TABLEHEADINGNEW"/>
              <w:rPr>
                <w:rFonts w:ascii="Segoe UI" w:hAnsi="Segoe UI" w:cs="Segoe UI"/>
                <w:color w:val="000000"/>
                <w:u w:color="000000"/>
              </w:rPr>
            </w:pPr>
            <w:r>
              <w:rPr>
                <w:u w:color="000000"/>
              </w:rPr>
              <w:t>#</w:t>
            </w:r>
          </w:p>
        </w:tc>
        <w:tc>
          <w:tcPr>
            <w:tcW w:w="1794" w:type="dxa"/>
            <w:tcBorders>
              <w:left w:val="single" w:sz="2" w:space="0" w:color="FFFFFF" w:themeColor="background1"/>
              <w:right w:val="single" w:sz="2" w:space="0" w:color="FFFFFF" w:themeColor="background1"/>
            </w:tcBorders>
            <w:shd w:val="clear" w:color="auto" w:fill="000000"/>
            <w:hideMark/>
          </w:tcPr>
          <w:p w14:paraId="2532E210" w14:textId="77777777" w:rsidR="00C5516F" w:rsidRPr="00A21682" w:rsidRDefault="00C5516F" w:rsidP="00047C4E">
            <w:pPr>
              <w:pStyle w:val="TABLEHEADINGNEW"/>
              <w:rPr>
                <w:rFonts w:ascii="Segoe UI" w:hAnsi="Segoe UI" w:cs="Segoe UI"/>
                <w:color w:val="000000"/>
                <w:u w:color="000000"/>
              </w:rPr>
            </w:pPr>
            <w:r>
              <w:rPr>
                <w:u w:color="000000"/>
              </w:rPr>
              <w:t>Workflow Step</w:t>
            </w:r>
          </w:p>
        </w:tc>
        <w:tc>
          <w:tcPr>
            <w:tcW w:w="4604" w:type="dxa"/>
            <w:tcBorders>
              <w:left w:val="single" w:sz="2" w:space="0" w:color="FFFFFF" w:themeColor="background1"/>
              <w:right w:val="single" w:sz="2" w:space="0" w:color="FFFFFF" w:themeColor="background1"/>
            </w:tcBorders>
            <w:shd w:val="clear" w:color="auto" w:fill="000000"/>
            <w:hideMark/>
          </w:tcPr>
          <w:p w14:paraId="2C174F8A" w14:textId="77777777" w:rsidR="00C5516F" w:rsidRPr="00A21682" w:rsidRDefault="00C5516F" w:rsidP="00047C4E">
            <w:pPr>
              <w:pStyle w:val="TABLEHEADINGNEW"/>
              <w:rPr>
                <w:rFonts w:ascii="Segoe UI" w:hAnsi="Segoe UI" w:cs="Segoe UI"/>
                <w:color w:val="000000"/>
                <w:u w:color="000000"/>
              </w:rPr>
            </w:pPr>
            <w:r>
              <w:rPr>
                <w:u w:color="000000"/>
              </w:rPr>
              <w:t>Description</w:t>
            </w:r>
          </w:p>
        </w:tc>
        <w:tc>
          <w:tcPr>
            <w:tcW w:w="2340" w:type="dxa"/>
            <w:tcBorders>
              <w:left w:val="single" w:sz="2" w:space="0" w:color="FFFFFF" w:themeColor="background1"/>
            </w:tcBorders>
            <w:shd w:val="clear" w:color="auto" w:fill="000000"/>
          </w:tcPr>
          <w:p w14:paraId="15531ECD" w14:textId="77777777" w:rsidR="00C5516F" w:rsidRPr="00A21682" w:rsidRDefault="00C5516F" w:rsidP="00047C4E">
            <w:pPr>
              <w:pStyle w:val="TABLEHEADINGNEW"/>
              <w:rPr>
                <w:u w:color="000000"/>
              </w:rPr>
            </w:pPr>
            <w:r>
              <w:rPr>
                <w:u w:color="000000"/>
              </w:rPr>
              <w:t>Step Owner</w:t>
            </w:r>
          </w:p>
        </w:tc>
      </w:tr>
      <w:tr w:rsidR="00B65956" w:rsidRPr="00A21682" w14:paraId="29C0E0A3" w14:textId="77777777" w:rsidTr="00F03629">
        <w:trPr>
          <w:trHeight w:val="300"/>
        </w:trPr>
        <w:tc>
          <w:tcPr>
            <w:tcW w:w="617" w:type="dxa"/>
          </w:tcPr>
          <w:p w14:paraId="6C13287C" w14:textId="77777777" w:rsidR="00C5516F" w:rsidRPr="00A21682" w:rsidRDefault="00C5516F" w:rsidP="00047C4E">
            <w:pPr>
              <w:pStyle w:val="TABLETEXT1"/>
              <w:rPr>
                <w:u w:color="000000"/>
                <w:lang w:val="en-US"/>
              </w:rPr>
            </w:pPr>
            <w:r>
              <w:rPr>
                <w:u w:color="000000"/>
                <w:lang w:val="en-US"/>
              </w:rPr>
              <w:t>1</w:t>
            </w:r>
          </w:p>
        </w:tc>
        <w:tc>
          <w:tcPr>
            <w:tcW w:w="1794" w:type="dxa"/>
          </w:tcPr>
          <w:p w14:paraId="36051E39" w14:textId="77777777" w:rsidR="00C5516F" w:rsidRPr="00A21682" w:rsidRDefault="00C5516F" w:rsidP="00047C4E">
            <w:pPr>
              <w:pStyle w:val="TABLETEXT1"/>
              <w:rPr>
                <w:u w:color="000000"/>
                <w:lang w:val="en-US"/>
              </w:rPr>
            </w:pPr>
            <w:r>
              <w:rPr>
                <w:u w:color="000000"/>
                <w:lang w:val="en-US"/>
              </w:rPr>
              <w:t>Analyze System Performance</w:t>
            </w:r>
          </w:p>
        </w:tc>
        <w:tc>
          <w:tcPr>
            <w:tcW w:w="4604" w:type="dxa"/>
          </w:tcPr>
          <w:p w14:paraId="7D65503D" w14:textId="77777777" w:rsidR="00C5516F" w:rsidRPr="00A21682" w:rsidRDefault="00C5516F" w:rsidP="00F03629">
            <w:pPr>
              <w:pStyle w:val="TABLETEXT1"/>
              <w:rPr>
                <w:u w:color="000000"/>
                <w:lang w:val="en-US"/>
              </w:rPr>
            </w:pPr>
            <w:r>
              <w:rPr>
                <w:u w:color="000000"/>
                <w:lang w:val="en-US"/>
              </w:rPr>
              <w:t>Splunk will analyze the system performance</w:t>
            </w:r>
          </w:p>
        </w:tc>
        <w:tc>
          <w:tcPr>
            <w:tcW w:w="2340" w:type="dxa"/>
          </w:tcPr>
          <w:p w14:paraId="32C424B4" w14:textId="77777777" w:rsidR="00C5516F" w:rsidRPr="00635C9B" w:rsidRDefault="00C5516F" w:rsidP="00E16118">
            <w:pPr>
              <w:pStyle w:val="TABLEBULLETNEW"/>
            </w:pPr>
            <w:r>
              <w:t>Splunk</w:t>
            </w:r>
          </w:p>
        </w:tc>
      </w:tr>
      <w:tr w:rsidR="00B65956" w:rsidRPr="00A21682" w14:paraId="70B45ADB" w14:textId="77777777" w:rsidTr="00F03629">
        <w:trPr>
          <w:trHeight w:val="300"/>
        </w:trPr>
        <w:tc>
          <w:tcPr>
            <w:tcW w:w="617" w:type="dxa"/>
          </w:tcPr>
          <w:p w14:paraId="67769F7C" w14:textId="77777777" w:rsidR="00C5516F" w:rsidRPr="00A21682" w:rsidRDefault="00C5516F" w:rsidP="00047C4E">
            <w:pPr>
              <w:pStyle w:val="TABLETEXT1"/>
              <w:rPr>
                <w:u w:color="000000"/>
                <w:lang w:val="en-US"/>
              </w:rPr>
            </w:pPr>
            <w:r>
              <w:rPr>
                <w:u w:color="000000"/>
                <w:lang w:val="en-US"/>
              </w:rPr>
              <w:t>2</w:t>
            </w:r>
          </w:p>
        </w:tc>
        <w:tc>
          <w:tcPr>
            <w:tcW w:w="1794" w:type="dxa"/>
          </w:tcPr>
          <w:p w14:paraId="4CD142D2" w14:textId="77777777" w:rsidR="00C5516F" w:rsidRPr="00A21682" w:rsidRDefault="00C5516F" w:rsidP="00047C4E">
            <w:pPr>
              <w:pStyle w:val="TABLETEXT1"/>
              <w:rPr>
                <w:u w:color="000000"/>
                <w:lang w:val="en-US"/>
              </w:rPr>
            </w:pPr>
            <w:r>
              <w:rPr>
                <w:u w:color="000000"/>
                <w:lang w:val="en-US"/>
              </w:rPr>
              <w:t>Create Dashboards</w:t>
            </w:r>
          </w:p>
        </w:tc>
        <w:tc>
          <w:tcPr>
            <w:tcW w:w="4604" w:type="dxa"/>
          </w:tcPr>
          <w:p w14:paraId="12FD45EA" w14:textId="77777777" w:rsidR="00C5516F" w:rsidRPr="00A21682" w:rsidRDefault="00C5516F" w:rsidP="00F03629">
            <w:pPr>
              <w:pStyle w:val="TABLETEXT1"/>
              <w:rPr>
                <w:u w:color="000000"/>
                <w:lang w:val="en-US"/>
              </w:rPr>
            </w:pPr>
            <w:r>
              <w:rPr>
                <w:u w:color="000000"/>
                <w:lang w:val="en-US"/>
              </w:rPr>
              <w:t>Use Filters to create dashboards and visualize results</w:t>
            </w:r>
          </w:p>
        </w:tc>
        <w:tc>
          <w:tcPr>
            <w:tcW w:w="2340" w:type="dxa"/>
          </w:tcPr>
          <w:p w14:paraId="196FCA66" w14:textId="77777777" w:rsidR="00C5516F" w:rsidRPr="00635C9B" w:rsidRDefault="00C5516F" w:rsidP="00E16118">
            <w:pPr>
              <w:pStyle w:val="TABLEBULLETNEW"/>
            </w:pPr>
            <w:r>
              <w:t>Admin/Power User</w:t>
            </w:r>
          </w:p>
        </w:tc>
      </w:tr>
      <w:tr w:rsidR="00B65956" w:rsidRPr="00A21682" w14:paraId="19ECDAB3" w14:textId="77777777" w:rsidTr="00F03629">
        <w:trPr>
          <w:trHeight w:val="300"/>
        </w:trPr>
        <w:tc>
          <w:tcPr>
            <w:tcW w:w="617" w:type="dxa"/>
          </w:tcPr>
          <w:p w14:paraId="520E7F6A" w14:textId="77777777" w:rsidR="00C5516F" w:rsidRPr="00A21682" w:rsidRDefault="00C5516F" w:rsidP="00047C4E">
            <w:pPr>
              <w:pStyle w:val="TABLETEXT1"/>
              <w:rPr>
                <w:u w:color="000000"/>
                <w:lang w:val="en-US"/>
              </w:rPr>
            </w:pPr>
            <w:r>
              <w:rPr>
                <w:u w:color="000000"/>
                <w:lang w:val="en-US"/>
              </w:rPr>
              <w:t>3</w:t>
            </w:r>
          </w:p>
        </w:tc>
        <w:tc>
          <w:tcPr>
            <w:tcW w:w="1794" w:type="dxa"/>
          </w:tcPr>
          <w:p w14:paraId="113AE917" w14:textId="77777777" w:rsidR="00C5516F" w:rsidRPr="00A21682" w:rsidRDefault="00C5516F" w:rsidP="00047C4E">
            <w:pPr>
              <w:pStyle w:val="TABLETEXT1"/>
              <w:rPr>
                <w:u w:color="000000"/>
                <w:lang w:val="en-US"/>
              </w:rPr>
            </w:pPr>
            <w:r>
              <w:rPr>
                <w:u w:color="000000"/>
                <w:lang w:val="en-US"/>
              </w:rPr>
              <w:t>Monitor Business Metrics</w:t>
            </w:r>
          </w:p>
        </w:tc>
        <w:tc>
          <w:tcPr>
            <w:tcW w:w="4604" w:type="dxa"/>
          </w:tcPr>
          <w:p w14:paraId="1C0CDA32" w14:textId="77777777" w:rsidR="00C5516F" w:rsidRPr="00A21682" w:rsidRDefault="00C5516F" w:rsidP="00F03629">
            <w:pPr>
              <w:pStyle w:val="TABLETEXT1"/>
              <w:rPr>
                <w:u w:color="000000"/>
                <w:lang w:val="en-US"/>
              </w:rPr>
            </w:pPr>
            <w:r>
              <w:rPr>
                <w:u w:color="000000"/>
                <w:lang w:val="en-US"/>
              </w:rPr>
              <w:t>View and monitor business metrics via dashboards</w:t>
            </w:r>
          </w:p>
        </w:tc>
        <w:tc>
          <w:tcPr>
            <w:tcW w:w="2340" w:type="dxa"/>
          </w:tcPr>
          <w:p w14:paraId="341B648A" w14:textId="77777777" w:rsidR="00C5516F" w:rsidRPr="00635C9B" w:rsidRDefault="00C5516F" w:rsidP="00E16118">
            <w:pPr>
              <w:pStyle w:val="TABLEBULLETNEW"/>
            </w:pPr>
            <w:r>
              <w:t>Admin/Power User/User/Splunk Read Only</w:t>
            </w:r>
          </w:p>
        </w:tc>
      </w:tr>
      <w:tr w:rsidR="00B65956" w:rsidRPr="00A21682" w14:paraId="3CA2051D" w14:textId="77777777" w:rsidTr="00F03629">
        <w:trPr>
          <w:trHeight w:val="300"/>
        </w:trPr>
        <w:tc>
          <w:tcPr>
            <w:tcW w:w="617" w:type="dxa"/>
          </w:tcPr>
          <w:p w14:paraId="2E8ED354" w14:textId="77777777" w:rsidR="00C5516F" w:rsidRPr="00A21682" w:rsidRDefault="00C5516F" w:rsidP="00047C4E">
            <w:pPr>
              <w:pStyle w:val="TABLETEXT1"/>
              <w:rPr>
                <w:u w:color="000000"/>
                <w:lang w:val="en-US"/>
              </w:rPr>
            </w:pPr>
            <w:r>
              <w:rPr>
                <w:u w:color="000000"/>
                <w:lang w:val="en-US"/>
              </w:rPr>
              <w:t>4</w:t>
            </w:r>
          </w:p>
        </w:tc>
        <w:tc>
          <w:tcPr>
            <w:tcW w:w="1794" w:type="dxa"/>
          </w:tcPr>
          <w:p w14:paraId="384E103D" w14:textId="77777777" w:rsidR="00C5516F" w:rsidRPr="00A21682" w:rsidRDefault="00C5516F" w:rsidP="00047C4E">
            <w:pPr>
              <w:pStyle w:val="TABLETEXT1"/>
              <w:rPr>
                <w:u w:color="000000"/>
                <w:lang w:val="en-US"/>
              </w:rPr>
            </w:pPr>
            <w:r>
              <w:rPr>
                <w:u w:color="000000"/>
                <w:lang w:val="en-US"/>
              </w:rPr>
              <w:t>Store/Retrieve Data</w:t>
            </w:r>
          </w:p>
        </w:tc>
        <w:tc>
          <w:tcPr>
            <w:tcW w:w="4604" w:type="dxa"/>
          </w:tcPr>
          <w:p w14:paraId="25D1BC05" w14:textId="77777777" w:rsidR="00C5516F" w:rsidRPr="00A21682" w:rsidRDefault="00C5516F" w:rsidP="00F03629">
            <w:pPr>
              <w:pStyle w:val="TABLETEXT1"/>
              <w:rPr>
                <w:u w:color="000000"/>
                <w:lang w:val="en-US"/>
              </w:rPr>
            </w:pPr>
            <w:r>
              <w:rPr>
                <w:u w:color="000000"/>
                <w:lang w:val="en-US"/>
              </w:rPr>
              <w:t>Store and retrieve data for later usage</w:t>
            </w:r>
          </w:p>
        </w:tc>
        <w:tc>
          <w:tcPr>
            <w:tcW w:w="2340" w:type="dxa"/>
          </w:tcPr>
          <w:p w14:paraId="7A26C6B5" w14:textId="77777777" w:rsidR="00C5516F" w:rsidRPr="00635C9B" w:rsidRDefault="00C5516F" w:rsidP="00E16118">
            <w:pPr>
              <w:pStyle w:val="TABLEBULLETNEW"/>
            </w:pPr>
            <w:r>
              <w:t>Splunk</w:t>
            </w:r>
          </w:p>
        </w:tc>
      </w:tr>
      <w:tr w:rsidR="00B65956" w:rsidRPr="00A21682" w14:paraId="5AA9AD19" w14:textId="77777777" w:rsidTr="00F03629">
        <w:trPr>
          <w:trHeight w:val="300"/>
        </w:trPr>
        <w:tc>
          <w:tcPr>
            <w:tcW w:w="617" w:type="dxa"/>
          </w:tcPr>
          <w:p w14:paraId="2EAB1103" w14:textId="77777777" w:rsidR="00C5516F" w:rsidRPr="00A21682" w:rsidRDefault="00C5516F" w:rsidP="00047C4E">
            <w:pPr>
              <w:pStyle w:val="TABLETEXT1"/>
              <w:rPr>
                <w:u w:color="000000"/>
                <w:lang w:val="en-US"/>
              </w:rPr>
            </w:pPr>
            <w:r>
              <w:rPr>
                <w:u w:color="000000"/>
                <w:lang w:val="en-US"/>
              </w:rPr>
              <w:t>5</w:t>
            </w:r>
          </w:p>
        </w:tc>
        <w:tc>
          <w:tcPr>
            <w:tcW w:w="1794" w:type="dxa"/>
          </w:tcPr>
          <w:p w14:paraId="73B87402" w14:textId="77777777" w:rsidR="00C5516F" w:rsidRPr="00A21682" w:rsidRDefault="00C5516F" w:rsidP="00047C4E">
            <w:pPr>
              <w:pStyle w:val="TABLETEXT1"/>
              <w:rPr>
                <w:u w:color="000000"/>
                <w:lang w:val="en-US"/>
              </w:rPr>
            </w:pPr>
            <w:r>
              <w:rPr>
                <w:u w:color="000000"/>
                <w:lang w:val="en-US"/>
              </w:rPr>
              <w:t>Investigate Outcome</w:t>
            </w:r>
          </w:p>
        </w:tc>
        <w:tc>
          <w:tcPr>
            <w:tcW w:w="4604" w:type="dxa"/>
          </w:tcPr>
          <w:p w14:paraId="06475B5A" w14:textId="77777777" w:rsidR="00C5516F" w:rsidRPr="00A21682" w:rsidRDefault="00C5516F" w:rsidP="00F03629">
            <w:pPr>
              <w:pStyle w:val="TABLETEXT1"/>
              <w:rPr>
                <w:u w:color="000000"/>
                <w:lang w:val="en-US"/>
              </w:rPr>
            </w:pPr>
            <w:r>
              <w:rPr>
                <w:u w:color="000000"/>
                <w:lang w:val="en-US"/>
              </w:rPr>
              <w:t>Search and Investigate a Particular Outcome</w:t>
            </w:r>
          </w:p>
        </w:tc>
        <w:tc>
          <w:tcPr>
            <w:tcW w:w="2340" w:type="dxa"/>
          </w:tcPr>
          <w:p w14:paraId="7A885173" w14:textId="77777777" w:rsidR="00C5516F" w:rsidRPr="00635C9B" w:rsidRDefault="00C5516F" w:rsidP="00E16118">
            <w:pPr>
              <w:pStyle w:val="TABLEBULLETNEW"/>
            </w:pPr>
            <w:r>
              <w:t>Admin/Power User</w:t>
            </w:r>
          </w:p>
        </w:tc>
      </w:tr>
      <w:tr w:rsidR="00B65956" w:rsidRPr="00A21682" w14:paraId="155CA7D7" w14:textId="77777777" w:rsidTr="00F03629">
        <w:trPr>
          <w:trHeight w:val="300"/>
        </w:trPr>
        <w:tc>
          <w:tcPr>
            <w:tcW w:w="617" w:type="dxa"/>
          </w:tcPr>
          <w:p w14:paraId="3A628FE5" w14:textId="77777777" w:rsidR="00C5516F" w:rsidRPr="00A21682" w:rsidRDefault="00C5516F" w:rsidP="00047C4E">
            <w:pPr>
              <w:pStyle w:val="TABLETEXT1"/>
              <w:rPr>
                <w:u w:color="000000"/>
                <w:lang w:val="en-US"/>
              </w:rPr>
            </w:pPr>
            <w:r>
              <w:rPr>
                <w:u w:color="000000"/>
                <w:lang w:val="en-US"/>
              </w:rPr>
              <w:t>6</w:t>
            </w:r>
          </w:p>
        </w:tc>
        <w:tc>
          <w:tcPr>
            <w:tcW w:w="1794" w:type="dxa"/>
          </w:tcPr>
          <w:p w14:paraId="723708AC" w14:textId="77777777" w:rsidR="00C5516F" w:rsidRPr="00A21682" w:rsidRDefault="00C5516F" w:rsidP="00047C4E">
            <w:pPr>
              <w:pStyle w:val="TABLETEXT1"/>
              <w:rPr>
                <w:u w:color="000000"/>
                <w:lang w:val="en-US"/>
              </w:rPr>
            </w:pPr>
            <w:r>
              <w:rPr>
                <w:u w:color="000000"/>
                <w:lang w:val="en-US"/>
              </w:rPr>
              <w:t>Troubleshoot</w:t>
            </w:r>
          </w:p>
        </w:tc>
        <w:tc>
          <w:tcPr>
            <w:tcW w:w="4604" w:type="dxa"/>
          </w:tcPr>
          <w:p w14:paraId="4454AF70" w14:textId="77777777" w:rsidR="00C5516F" w:rsidRPr="00A21682" w:rsidRDefault="00C5516F" w:rsidP="00F03629">
            <w:pPr>
              <w:pStyle w:val="TABLETEXT1"/>
              <w:rPr>
                <w:u w:color="000000"/>
                <w:lang w:val="en-US"/>
              </w:rPr>
            </w:pPr>
            <w:r>
              <w:rPr>
                <w:u w:color="000000"/>
                <w:lang w:val="en-US"/>
              </w:rPr>
              <w:t xml:space="preserve">Troubleshoot any failure conditions </w:t>
            </w:r>
          </w:p>
        </w:tc>
        <w:tc>
          <w:tcPr>
            <w:tcW w:w="2340" w:type="dxa"/>
          </w:tcPr>
          <w:p w14:paraId="7FDB2663" w14:textId="77777777" w:rsidR="00C5516F" w:rsidRPr="00635C9B" w:rsidRDefault="00C5516F" w:rsidP="00E16118">
            <w:pPr>
              <w:pStyle w:val="TABLEBULLETNEW"/>
            </w:pPr>
            <w:r>
              <w:t>Admin/Power Users</w:t>
            </w:r>
          </w:p>
        </w:tc>
      </w:tr>
    </w:tbl>
    <w:p w14:paraId="1E9FB0F5" w14:textId="3F8F2616" w:rsidR="00C5516F" w:rsidRPr="00A21682" w:rsidRDefault="00C5516F" w:rsidP="005827B3">
      <w:pPr>
        <w:pStyle w:val="Caption"/>
        <w:rPr>
          <w:noProof w:val="0"/>
        </w:rPr>
      </w:pPr>
      <w:bookmarkStart w:id="1662" w:name="_Toc150951948"/>
      <w:bookmarkStart w:id="1663" w:name="_Toc192875163"/>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78</w:t>
      </w:r>
      <w:r>
        <w:rPr>
          <w:noProof w:val="0"/>
        </w:rPr>
        <w:fldChar w:fldCharType="end"/>
      </w:r>
      <w:r>
        <w:rPr>
          <w:noProof w:val="0"/>
        </w:rPr>
        <w:t>: Splunk Workflow Narrative</w:t>
      </w:r>
      <w:bookmarkEnd w:id="1662"/>
      <w:bookmarkEnd w:id="1663"/>
    </w:p>
    <w:p w14:paraId="6F547647" w14:textId="77777777" w:rsidR="00C5516F" w:rsidRPr="00A21682" w:rsidRDefault="00C5516F">
      <w:pPr>
        <w:pStyle w:val="Heading3"/>
        <w:rPr>
          <w:u w:color="000000"/>
        </w:rPr>
      </w:pPr>
      <w:bookmarkStart w:id="1664" w:name="_Toc148102464"/>
      <w:bookmarkStart w:id="1665" w:name="_Toc152605958"/>
      <w:bookmarkStart w:id="1666" w:name="_Toc177119115"/>
      <w:bookmarkStart w:id="1667" w:name="_Toc185952637"/>
      <w:bookmarkStart w:id="1668" w:name="_Toc192874803"/>
      <w:r>
        <w:rPr>
          <w:u w:color="000000"/>
        </w:rPr>
        <w:lastRenderedPageBreak/>
        <w:t>Accessing ALM Tool</w:t>
      </w:r>
      <w:bookmarkEnd w:id="1664"/>
      <w:bookmarkEnd w:id="1665"/>
      <w:bookmarkEnd w:id="1666"/>
      <w:bookmarkEnd w:id="1667"/>
      <w:bookmarkEnd w:id="1668"/>
    </w:p>
    <w:p w14:paraId="164A6261" w14:textId="0B6B226E" w:rsidR="00C5516F" w:rsidRPr="00A21682" w:rsidRDefault="00C5516F" w:rsidP="004A3693">
      <w:pPr>
        <w:pStyle w:val="NormalNEW"/>
        <w:rPr>
          <w:u w:color="000000"/>
          <w:lang w:val="en-US"/>
        </w:rPr>
      </w:pPr>
      <w:r>
        <w:rPr>
          <w:u w:color="000000"/>
          <w:lang w:val="en-US"/>
        </w:rPr>
        <w:t xml:space="preserve">Access to Splunk is open to ███████ resources and DOH stakeholders as defined in Section 2.32.1 above. User walkthrough or training for the tool will be available prior to the start of Development Phase for impacted DOH stakeholders. </w:t>
      </w:r>
    </w:p>
    <w:p w14:paraId="087F331A" w14:textId="77777777" w:rsidR="00C5516F" w:rsidRPr="00A21682" w:rsidRDefault="00C5516F" w:rsidP="004A3693">
      <w:pPr>
        <w:pStyle w:val="NormalNEW"/>
        <w:rPr>
          <w:u w:color="000000"/>
          <w:lang w:val="en-US"/>
        </w:rPr>
      </w:pPr>
      <w:r>
        <w:rPr>
          <w:u w:color="000000"/>
          <w:lang w:val="en-US"/>
        </w:rPr>
        <w:t>User training sessions and/or materials will be made available for users to access reports and dashboards.</w:t>
      </w:r>
    </w:p>
    <w:p w14:paraId="3EDC0C0E" w14:textId="531CD489" w:rsidR="00DA02CB" w:rsidRPr="00A21682" w:rsidRDefault="00DA02CB" w:rsidP="004A3693">
      <w:pPr>
        <w:pStyle w:val="NormalNEW"/>
        <w:rPr>
          <w:u w:color="000000"/>
          <w:lang w:val="en-US"/>
        </w:rPr>
      </w:pPr>
      <w:r>
        <w:rPr>
          <w:rFonts w:cs="Times New Roman"/>
          <w:u w:color="000000"/>
          <w:lang w:val="en-US"/>
        </w:rPr>
        <w:t xml:space="preserve">Access the Splunk tool via this link: </w:t>
      </w:r>
      <w:r>
        <w:rPr>
          <w:color w:val="0000FF"/>
          <w:u w:val="single" w:color="003366"/>
          <w:lang w:val="en-US"/>
        </w:rPr>
        <w:t>[link to be provided once available]</w:t>
      </w:r>
    </w:p>
    <w:tbl>
      <w:tblPr>
        <w:tblW w:w="0" w:type="auto"/>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693"/>
        <w:gridCol w:w="6867"/>
        <w:gridCol w:w="1795"/>
      </w:tblGrid>
      <w:tr w:rsidR="005133E7" w:rsidRPr="00A21682" w14:paraId="04656BE1" w14:textId="77777777" w:rsidTr="007E276B">
        <w:trPr>
          <w:tblHeader/>
        </w:trPr>
        <w:tc>
          <w:tcPr>
            <w:tcW w:w="693" w:type="dxa"/>
            <w:tcBorders>
              <w:right w:val="single" w:sz="2" w:space="0" w:color="FFFFFF" w:themeColor="background1"/>
            </w:tcBorders>
            <w:shd w:val="clear" w:color="auto" w:fill="000000"/>
          </w:tcPr>
          <w:p w14:paraId="12D831E8" w14:textId="77777777" w:rsidR="00C5516F" w:rsidRPr="00A21682" w:rsidRDefault="00C5516F" w:rsidP="00047C4E">
            <w:pPr>
              <w:pStyle w:val="TABLEHEADINGNEW"/>
              <w:rPr>
                <w:u w:color="000000"/>
              </w:rPr>
            </w:pPr>
            <w:r>
              <w:rPr>
                <w:u w:color="000000"/>
              </w:rPr>
              <w:t>#</w:t>
            </w:r>
          </w:p>
        </w:tc>
        <w:tc>
          <w:tcPr>
            <w:tcW w:w="6867" w:type="dxa"/>
            <w:tcBorders>
              <w:left w:val="single" w:sz="2" w:space="0" w:color="FFFFFF" w:themeColor="background1"/>
              <w:right w:val="single" w:sz="2" w:space="0" w:color="FFFFFF" w:themeColor="background1"/>
            </w:tcBorders>
            <w:shd w:val="clear" w:color="auto" w:fill="000000"/>
          </w:tcPr>
          <w:p w14:paraId="0AFF535F" w14:textId="77777777" w:rsidR="00C5516F" w:rsidRPr="00A21682" w:rsidRDefault="00C5516F" w:rsidP="00047C4E">
            <w:pPr>
              <w:pStyle w:val="TABLEHEADINGNEW"/>
              <w:rPr>
                <w:u w:color="000000"/>
              </w:rPr>
            </w:pPr>
            <w:r>
              <w:rPr>
                <w:u w:color="000000"/>
              </w:rPr>
              <w:t>Access Step</w:t>
            </w:r>
          </w:p>
        </w:tc>
        <w:tc>
          <w:tcPr>
            <w:tcW w:w="1795" w:type="dxa"/>
            <w:tcBorders>
              <w:left w:val="single" w:sz="2" w:space="0" w:color="FFFFFF" w:themeColor="background1"/>
            </w:tcBorders>
            <w:shd w:val="clear" w:color="auto" w:fill="000000"/>
          </w:tcPr>
          <w:p w14:paraId="002E1EEF" w14:textId="77777777" w:rsidR="00C5516F" w:rsidRPr="00A21682" w:rsidRDefault="00C5516F" w:rsidP="00047C4E">
            <w:pPr>
              <w:pStyle w:val="TABLEHEADINGNEW"/>
              <w:rPr>
                <w:u w:color="000000"/>
              </w:rPr>
            </w:pPr>
            <w:r>
              <w:rPr>
                <w:u w:color="000000"/>
              </w:rPr>
              <w:t>Owner</w:t>
            </w:r>
          </w:p>
        </w:tc>
      </w:tr>
      <w:tr w:rsidR="00B65956" w:rsidRPr="00A21682" w14:paraId="585A3668" w14:textId="77777777" w:rsidTr="00047C4E">
        <w:tc>
          <w:tcPr>
            <w:tcW w:w="693" w:type="dxa"/>
          </w:tcPr>
          <w:p w14:paraId="41E83AEE" w14:textId="683FE502" w:rsidR="00C5516F" w:rsidRPr="00A21682" w:rsidRDefault="00841CD1" w:rsidP="00047C4E">
            <w:pPr>
              <w:pStyle w:val="TABLETEXT1"/>
              <w:rPr>
                <w:u w:color="000000"/>
                <w:lang w:val="en-US"/>
              </w:rPr>
            </w:pPr>
            <w:r>
              <w:rPr>
                <w:u w:color="000000"/>
                <w:lang w:val="en-US"/>
              </w:rPr>
              <w:t>1</w:t>
            </w:r>
          </w:p>
        </w:tc>
        <w:tc>
          <w:tcPr>
            <w:tcW w:w="6867" w:type="dxa"/>
          </w:tcPr>
          <w:p w14:paraId="05299A69" w14:textId="77777777" w:rsidR="00C5516F" w:rsidRPr="00A21682" w:rsidRDefault="00C5516F" w:rsidP="00047C4E">
            <w:pPr>
              <w:pStyle w:val="TABLETEXT1"/>
              <w:rPr>
                <w:rFonts w:cs="Times New Roman"/>
                <w:u w:color="000000"/>
                <w:lang w:val="en-US"/>
              </w:rPr>
            </w:pPr>
            <w:r>
              <w:rPr>
                <w:rFonts w:cs="Times New Roman"/>
                <w:u w:color="000000"/>
                <w:lang w:val="en-US"/>
              </w:rPr>
              <w:t>Create Ticket request in the ALM tool for Tracking Purposes</w:t>
            </w:r>
          </w:p>
        </w:tc>
        <w:tc>
          <w:tcPr>
            <w:tcW w:w="1795" w:type="dxa"/>
          </w:tcPr>
          <w:p w14:paraId="28156897" w14:textId="77777777" w:rsidR="00C5516F" w:rsidRPr="00A21682" w:rsidRDefault="00C5516F" w:rsidP="00047C4E">
            <w:pPr>
              <w:pStyle w:val="TABLETEXT1"/>
              <w:rPr>
                <w:rFonts w:cs="Times New Roman"/>
                <w:u w:color="000000"/>
                <w:lang w:val="en-US"/>
              </w:rPr>
            </w:pPr>
            <w:r>
              <w:rPr>
                <w:rFonts w:cs="Times New Roman"/>
                <w:u w:color="000000"/>
                <w:lang w:val="en-US"/>
              </w:rPr>
              <w:t>Requestor</w:t>
            </w:r>
          </w:p>
        </w:tc>
      </w:tr>
      <w:tr w:rsidR="00B65956" w:rsidRPr="00A21682" w14:paraId="33106781" w14:textId="77777777" w:rsidTr="00047C4E">
        <w:tc>
          <w:tcPr>
            <w:tcW w:w="693" w:type="dxa"/>
          </w:tcPr>
          <w:p w14:paraId="17E60D8C" w14:textId="76415BE9" w:rsidR="00C5516F" w:rsidRPr="00A21682" w:rsidRDefault="00841CD1" w:rsidP="00047C4E">
            <w:pPr>
              <w:pStyle w:val="TABLETEXT1"/>
              <w:rPr>
                <w:u w:color="000000"/>
                <w:lang w:val="en-US"/>
              </w:rPr>
            </w:pPr>
            <w:r>
              <w:rPr>
                <w:u w:color="000000"/>
                <w:lang w:val="en-US"/>
              </w:rPr>
              <w:t>2</w:t>
            </w:r>
          </w:p>
        </w:tc>
        <w:tc>
          <w:tcPr>
            <w:tcW w:w="6867" w:type="dxa"/>
          </w:tcPr>
          <w:p w14:paraId="6FA27E8F" w14:textId="77777777" w:rsidR="00C5516F" w:rsidRPr="00A21682" w:rsidRDefault="00C5516F" w:rsidP="00047C4E">
            <w:pPr>
              <w:pStyle w:val="TABLETEXT1"/>
              <w:rPr>
                <w:rFonts w:cs="Times New Roman"/>
                <w:u w:color="000000"/>
                <w:lang w:val="en-US"/>
              </w:rPr>
            </w:pPr>
            <w:r>
              <w:rPr>
                <w:rFonts w:cs="Times New Roman"/>
                <w:u w:color="000000"/>
                <w:lang w:val="en-US"/>
              </w:rPr>
              <w:t>Admin provides access</w:t>
            </w:r>
          </w:p>
        </w:tc>
        <w:tc>
          <w:tcPr>
            <w:tcW w:w="1795" w:type="dxa"/>
          </w:tcPr>
          <w:p w14:paraId="47DE37D3" w14:textId="77777777" w:rsidR="00C5516F" w:rsidRPr="00A21682" w:rsidRDefault="00C5516F" w:rsidP="00047C4E">
            <w:pPr>
              <w:pStyle w:val="TABLETEXT1"/>
              <w:rPr>
                <w:rFonts w:cs="Times New Roman"/>
                <w:u w:color="000000"/>
                <w:lang w:val="en-US"/>
              </w:rPr>
            </w:pPr>
            <w:r>
              <w:rPr>
                <w:rFonts w:cs="Times New Roman"/>
                <w:u w:color="000000"/>
                <w:lang w:val="en-US"/>
              </w:rPr>
              <w:t>System Admin</w:t>
            </w:r>
          </w:p>
        </w:tc>
      </w:tr>
      <w:tr w:rsidR="00B65956" w:rsidRPr="00A21682" w14:paraId="4973AF87" w14:textId="77777777" w:rsidTr="00047C4E">
        <w:tc>
          <w:tcPr>
            <w:tcW w:w="693" w:type="dxa"/>
          </w:tcPr>
          <w:p w14:paraId="175F8F24" w14:textId="446FDFD9" w:rsidR="00C5516F" w:rsidRPr="00A21682" w:rsidRDefault="00841CD1" w:rsidP="00047C4E">
            <w:pPr>
              <w:pStyle w:val="TABLETEXT1"/>
              <w:rPr>
                <w:u w:color="000000"/>
                <w:lang w:val="en-US"/>
              </w:rPr>
            </w:pPr>
            <w:r>
              <w:rPr>
                <w:u w:color="000000"/>
                <w:lang w:val="en-US"/>
              </w:rPr>
              <w:t>3</w:t>
            </w:r>
          </w:p>
        </w:tc>
        <w:tc>
          <w:tcPr>
            <w:tcW w:w="6867" w:type="dxa"/>
          </w:tcPr>
          <w:p w14:paraId="4803124C" w14:textId="77777777" w:rsidR="00C5516F" w:rsidRPr="00A21682" w:rsidRDefault="00C5516F" w:rsidP="00047C4E">
            <w:pPr>
              <w:pStyle w:val="TABLETEXT1"/>
              <w:rPr>
                <w:rFonts w:cs="Times New Roman"/>
                <w:u w:color="000000"/>
                <w:lang w:val="en-US"/>
              </w:rPr>
            </w:pPr>
            <w:r>
              <w:rPr>
                <w:rFonts w:cs="Times New Roman"/>
                <w:u w:color="000000"/>
                <w:lang w:val="en-US"/>
              </w:rPr>
              <w:t>Close Ticket in the ALM tool</w:t>
            </w:r>
          </w:p>
        </w:tc>
        <w:tc>
          <w:tcPr>
            <w:tcW w:w="1795" w:type="dxa"/>
          </w:tcPr>
          <w:p w14:paraId="38E1CC9F" w14:textId="77777777" w:rsidR="00C5516F" w:rsidRPr="00A21682" w:rsidRDefault="00C5516F" w:rsidP="00047C4E">
            <w:pPr>
              <w:pStyle w:val="TABLETEXT1"/>
              <w:rPr>
                <w:rFonts w:cs="Times New Roman"/>
                <w:u w:color="000000"/>
                <w:lang w:val="en-US"/>
              </w:rPr>
            </w:pPr>
            <w:r>
              <w:rPr>
                <w:rFonts w:cs="Times New Roman"/>
                <w:u w:color="000000"/>
                <w:lang w:val="en-US"/>
              </w:rPr>
              <w:t>Requestor</w:t>
            </w:r>
          </w:p>
        </w:tc>
      </w:tr>
    </w:tbl>
    <w:p w14:paraId="177A6B09" w14:textId="6B079D9D" w:rsidR="00C5516F" w:rsidRPr="00A21682" w:rsidRDefault="00C5516F" w:rsidP="005827B3">
      <w:pPr>
        <w:pStyle w:val="Caption"/>
        <w:rPr>
          <w:noProof w:val="0"/>
        </w:rPr>
      </w:pPr>
      <w:bookmarkStart w:id="1669" w:name="_Toc150951949"/>
      <w:bookmarkStart w:id="1670" w:name="_Toc192875164"/>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79</w:t>
      </w:r>
      <w:r>
        <w:rPr>
          <w:noProof w:val="0"/>
        </w:rPr>
        <w:fldChar w:fldCharType="end"/>
      </w:r>
      <w:r>
        <w:rPr>
          <w:noProof w:val="0"/>
        </w:rPr>
        <w:t>: Splunk Access</w:t>
      </w:r>
      <w:bookmarkEnd w:id="1669"/>
      <w:bookmarkEnd w:id="1670"/>
    </w:p>
    <w:p w14:paraId="4E68FF9A" w14:textId="25F03740" w:rsidR="00C5516F" w:rsidRPr="00A21682" w:rsidRDefault="00C5516F" w:rsidP="004A3693">
      <w:pPr>
        <w:pStyle w:val="NormalNEW"/>
        <w:rPr>
          <w:rFonts w:cs="Times New Roman"/>
          <w:u w:color="000000"/>
          <w:lang w:val="en-US"/>
        </w:rPr>
      </w:pPr>
      <w:r>
        <w:rPr>
          <w:rFonts w:cs="Times New Roman"/>
          <w:u w:color="000000"/>
          <w:lang w:val="en-US"/>
        </w:rPr>
        <w:t xml:space="preserve">For troubleshooting login or access issues, contact </w:t>
      </w:r>
      <w:r>
        <w:rPr>
          <w:highlight w:val="black"/>
          <w:u w:val="single" w:color="003366"/>
          <w:lang w:val="en-US"/>
        </w:rPr>
        <w:t>the PMO support mailbox</w:t>
      </w:r>
      <w:r>
        <w:rPr>
          <w:rFonts w:cs="Times New Roman"/>
          <w:u w:color="000000"/>
          <w:lang w:val="en-US"/>
        </w:rPr>
        <w:t xml:space="preserve"> </w:t>
      </w:r>
    </w:p>
    <w:p w14:paraId="52D7DEAB" w14:textId="77777777" w:rsidR="005B6576" w:rsidRPr="00A21682" w:rsidRDefault="005B6576" w:rsidP="005B6576">
      <w:pPr>
        <w:pStyle w:val="Heading2"/>
        <w:rPr>
          <w:u w:color="000000"/>
        </w:rPr>
      </w:pPr>
      <w:bookmarkStart w:id="1671" w:name="_Toc177119117"/>
      <w:bookmarkStart w:id="1672" w:name="_Toc185952638"/>
      <w:bookmarkStart w:id="1673" w:name="_Toc192874804"/>
      <w:r>
        <w:rPr>
          <w:u w:color="000000"/>
        </w:rPr>
        <w:t>BrowserStack</w:t>
      </w:r>
      <w:bookmarkEnd w:id="1671"/>
      <w:bookmarkEnd w:id="1672"/>
      <w:bookmarkEnd w:id="1673"/>
    </w:p>
    <w:p w14:paraId="3E861DA3" w14:textId="5E92B96F" w:rsidR="005B6576" w:rsidRPr="00A21682" w:rsidRDefault="005B6576" w:rsidP="00F03629">
      <w:pPr>
        <w:pStyle w:val="NormalNEW"/>
        <w:rPr>
          <w:rFonts w:cs="Calibri"/>
          <w:szCs w:val="18"/>
          <w:lang w:val="en-US"/>
          <w14:ligatures w14:val="standardContextual"/>
        </w:rPr>
      </w:pPr>
      <w:r>
        <w:rPr>
          <w:u w:color="000000"/>
          <w:lang w:val="en-US"/>
        </w:rPr>
        <w:t xml:space="preserve">BrowserStack is a cloud-based testing service that provides access to a vast array of real devices and browsers for testing web and mobile applications. It enables developers and QA teams to verify that </w:t>
      </w:r>
      <w:r>
        <w:rPr>
          <w:color w:val="000000"/>
          <w:szCs w:val="18"/>
          <w:lang w:val="en-US"/>
          <w14:ligatures w14:val="standardContextual"/>
        </w:rPr>
        <w:t xml:space="preserve">their applications work seamlessly across different environments without the need for maintaining an in-house device lab. The following explains the features of BrowserStack: </w:t>
      </w:r>
    </w:p>
    <w:p w14:paraId="3A2BD60C" w14:textId="77777777" w:rsidR="005B6576" w:rsidRPr="00A21682" w:rsidRDefault="005B6576" w:rsidP="00F73D43">
      <w:pPr>
        <w:pStyle w:val="ListParagraph"/>
        <w:numPr>
          <w:ilvl w:val="0"/>
          <w:numId w:val="20"/>
        </w:numPr>
        <w:shd w:val="clear" w:color="auto" w:fill="FFFFFF"/>
        <w:spacing w:line="276" w:lineRule="auto"/>
        <w:textAlignment w:val="baseline"/>
        <w:rPr>
          <w:rFonts w:ascii="Verdana" w:hAnsi="Verdana"/>
          <w:sz w:val="18"/>
          <w:szCs w:val="18"/>
          <w14:ligatures w14:val="standardContextual"/>
        </w:rPr>
      </w:pPr>
      <w:r>
        <w:rPr>
          <w:rFonts w:ascii="Verdana" w:hAnsi="Verdana"/>
          <w:b/>
          <w:color w:val="000000"/>
          <w:sz w:val="18"/>
          <w:szCs w:val="18"/>
        </w:rPr>
        <w:t xml:space="preserve">Cross-Browser Testing: </w:t>
      </w:r>
    </w:p>
    <w:p w14:paraId="3EBF706A" w14:textId="77777777" w:rsidR="005B6576" w:rsidRPr="00A21682" w:rsidRDefault="005B6576" w:rsidP="00F73D43">
      <w:pPr>
        <w:pStyle w:val="ListParagraph"/>
        <w:numPr>
          <w:ilvl w:val="1"/>
          <w:numId w:val="20"/>
        </w:numPr>
        <w:shd w:val="clear" w:color="auto" w:fill="FFFFFF"/>
        <w:spacing w:line="276" w:lineRule="auto"/>
        <w:textAlignment w:val="baseline"/>
        <w:rPr>
          <w:rFonts w:ascii="Verdana" w:hAnsi="Verdana"/>
          <w:sz w:val="18"/>
          <w:szCs w:val="18"/>
          <w14:ligatures w14:val="standardContextual"/>
        </w:rPr>
      </w:pPr>
      <w:r>
        <w:rPr>
          <w:rFonts w:ascii="Verdana" w:hAnsi="Verdana"/>
          <w:color w:val="000000"/>
          <w:sz w:val="18"/>
          <w:szCs w:val="18"/>
        </w:rPr>
        <w:t>Test websites and web applications across multiple browsers and versions, including Chrome, Firefox, Safari, Edge, and Internet Explorer</w:t>
      </w:r>
    </w:p>
    <w:p w14:paraId="5148551E" w14:textId="77777777" w:rsidR="005B6576" w:rsidRPr="00A21682" w:rsidRDefault="005B6576" w:rsidP="00F73D43">
      <w:pPr>
        <w:pStyle w:val="ListParagraph"/>
        <w:numPr>
          <w:ilvl w:val="1"/>
          <w:numId w:val="20"/>
        </w:numPr>
        <w:shd w:val="clear" w:color="auto" w:fill="FFFFFF"/>
        <w:spacing w:line="276" w:lineRule="auto"/>
        <w:textAlignment w:val="baseline"/>
        <w:rPr>
          <w:rFonts w:ascii="Verdana" w:hAnsi="Verdana"/>
          <w:sz w:val="18"/>
          <w:szCs w:val="18"/>
          <w14:ligatures w14:val="standardContextual"/>
        </w:rPr>
      </w:pPr>
      <w:r>
        <w:rPr>
          <w:rFonts w:ascii="Verdana" w:hAnsi="Verdana"/>
          <w:color w:val="000000"/>
          <w:sz w:val="18"/>
          <w:szCs w:val="18"/>
        </w:rPr>
        <w:t>Supports testing on different operating systems like Windows, macOS, and Linux</w:t>
      </w:r>
    </w:p>
    <w:p w14:paraId="29D219A6" w14:textId="77777777" w:rsidR="005B6576" w:rsidRPr="00A21682" w:rsidRDefault="005B6576" w:rsidP="00F73D43">
      <w:pPr>
        <w:pStyle w:val="ListParagraph"/>
        <w:numPr>
          <w:ilvl w:val="0"/>
          <w:numId w:val="20"/>
        </w:numPr>
        <w:shd w:val="clear" w:color="auto" w:fill="FFFFFF"/>
        <w:spacing w:line="276" w:lineRule="auto"/>
        <w:textAlignment w:val="baseline"/>
        <w:rPr>
          <w:rFonts w:ascii="Verdana" w:hAnsi="Verdana"/>
          <w:sz w:val="18"/>
          <w:szCs w:val="18"/>
        </w:rPr>
      </w:pPr>
      <w:r>
        <w:rPr>
          <w:rFonts w:ascii="Verdana" w:hAnsi="Verdana"/>
          <w:b/>
          <w:color w:val="000000"/>
          <w:sz w:val="18"/>
          <w:szCs w:val="18"/>
        </w:rPr>
        <w:t>Real Device Cloud:</w:t>
      </w:r>
    </w:p>
    <w:p w14:paraId="7C2EC27A" w14:textId="584D84A3" w:rsidR="005B6576" w:rsidRPr="00A21682" w:rsidRDefault="005B6576" w:rsidP="00F73D43">
      <w:pPr>
        <w:pStyle w:val="ListParagraph"/>
        <w:numPr>
          <w:ilvl w:val="1"/>
          <w:numId w:val="20"/>
        </w:numPr>
        <w:shd w:val="clear" w:color="auto" w:fill="FFFFFF"/>
        <w:spacing w:line="276" w:lineRule="auto"/>
        <w:textAlignment w:val="baseline"/>
        <w:rPr>
          <w:rFonts w:ascii="Verdana" w:hAnsi="Verdana"/>
          <w:sz w:val="18"/>
          <w:szCs w:val="18"/>
        </w:rPr>
      </w:pPr>
      <w:r>
        <w:rPr>
          <w:rFonts w:ascii="Verdana" w:hAnsi="Verdana"/>
          <w:color w:val="000000"/>
          <w:sz w:val="18"/>
          <w:szCs w:val="18"/>
        </w:rPr>
        <w:t>Access to a wide range of real mobile devices for testing, including Ios and Android devices</w:t>
      </w:r>
    </w:p>
    <w:p w14:paraId="28E7C5F9" w14:textId="77777777" w:rsidR="005B6576" w:rsidRPr="00A21682" w:rsidRDefault="005B6576" w:rsidP="00F73D43">
      <w:pPr>
        <w:pStyle w:val="ListParagraph"/>
        <w:numPr>
          <w:ilvl w:val="1"/>
          <w:numId w:val="20"/>
        </w:numPr>
        <w:shd w:val="clear" w:color="auto" w:fill="FFFFFF"/>
        <w:spacing w:line="276" w:lineRule="auto"/>
        <w:textAlignment w:val="baseline"/>
        <w:rPr>
          <w:rFonts w:ascii="Verdana" w:hAnsi="Verdana"/>
          <w:sz w:val="18"/>
          <w:szCs w:val="18"/>
        </w:rPr>
      </w:pPr>
      <w:r>
        <w:rPr>
          <w:rFonts w:ascii="Verdana" w:hAnsi="Verdana"/>
          <w:color w:val="000000"/>
          <w:sz w:val="18"/>
          <w:szCs w:val="18"/>
        </w:rPr>
        <w:t>Ensures accurate testing by using real devices rather than emulators or simulators</w:t>
      </w:r>
    </w:p>
    <w:p w14:paraId="5EA29A7A" w14:textId="77777777" w:rsidR="005B6576" w:rsidRPr="00A21682" w:rsidRDefault="005B6576" w:rsidP="00F73D43">
      <w:pPr>
        <w:pStyle w:val="ListParagraph"/>
        <w:numPr>
          <w:ilvl w:val="0"/>
          <w:numId w:val="20"/>
        </w:numPr>
        <w:shd w:val="clear" w:color="auto" w:fill="FFFFFF"/>
        <w:spacing w:line="276" w:lineRule="auto"/>
        <w:textAlignment w:val="baseline"/>
        <w:rPr>
          <w:rFonts w:ascii="Verdana" w:hAnsi="Verdana"/>
          <w:sz w:val="18"/>
          <w:szCs w:val="18"/>
        </w:rPr>
      </w:pPr>
      <w:r>
        <w:rPr>
          <w:rFonts w:ascii="Verdana" w:hAnsi="Verdana"/>
          <w:b/>
          <w:color w:val="000000"/>
          <w:sz w:val="18"/>
          <w:szCs w:val="18"/>
        </w:rPr>
        <w:t>Automated Testing:</w:t>
      </w:r>
    </w:p>
    <w:p w14:paraId="1F0D1CEE" w14:textId="77777777" w:rsidR="005B6576" w:rsidRPr="00A21682" w:rsidRDefault="005B6576" w:rsidP="00F73D43">
      <w:pPr>
        <w:pStyle w:val="ListParagraph"/>
        <w:numPr>
          <w:ilvl w:val="1"/>
          <w:numId w:val="20"/>
        </w:numPr>
        <w:shd w:val="clear" w:color="auto" w:fill="FFFFFF"/>
        <w:spacing w:line="276" w:lineRule="auto"/>
        <w:textAlignment w:val="baseline"/>
        <w:rPr>
          <w:rFonts w:ascii="Verdana" w:hAnsi="Verdana"/>
          <w:sz w:val="18"/>
          <w:szCs w:val="18"/>
        </w:rPr>
      </w:pPr>
      <w:r>
        <w:rPr>
          <w:rFonts w:ascii="Verdana" w:hAnsi="Verdana"/>
          <w:color w:val="000000"/>
          <w:sz w:val="18"/>
          <w:szCs w:val="18"/>
        </w:rPr>
        <w:t>Integrates with popular automation frameworks like Selenium, Appium, and Cypress</w:t>
      </w:r>
    </w:p>
    <w:p w14:paraId="551B8B6F" w14:textId="77777777" w:rsidR="005B6576" w:rsidRPr="00A21682" w:rsidRDefault="005B6576" w:rsidP="00F73D43">
      <w:pPr>
        <w:pStyle w:val="ListParagraph"/>
        <w:numPr>
          <w:ilvl w:val="1"/>
          <w:numId w:val="20"/>
        </w:numPr>
        <w:shd w:val="clear" w:color="auto" w:fill="FFFFFF"/>
        <w:spacing w:line="276" w:lineRule="auto"/>
        <w:textAlignment w:val="baseline"/>
        <w:rPr>
          <w:rFonts w:ascii="Verdana" w:hAnsi="Verdana"/>
          <w:sz w:val="18"/>
          <w:szCs w:val="18"/>
        </w:rPr>
      </w:pPr>
      <w:r>
        <w:rPr>
          <w:rFonts w:ascii="Verdana" w:hAnsi="Verdana"/>
          <w:color w:val="000000"/>
          <w:sz w:val="18"/>
          <w:szCs w:val="18"/>
        </w:rPr>
        <w:t>Supports parallel testing to speed up the testing process</w:t>
      </w:r>
    </w:p>
    <w:p w14:paraId="34DA5020" w14:textId="77777777" w:rsidR="005B6576" w:rsidRPr="00A21682" w:rsidRDefault="005B6576" w:rsidP="00A00BD0">
      <w:pPr>
        <w:pStyle w:val="NormalNEW"/>
        <w:rPr>
          <w:u w:color="000000"/>
          <w:lang w:val="en-US"/>
        </w:rPr>
      </w:pPr>
      <w:r>
        <w:rPr>
          <w:u w:color="000000"/>
          <w:lang w:val="en-US"/>
        </w:rPr>
        <w:t xml:space="preserve">MECM uses BrowserStack for running the automation scripts. It uses mobile devices to run tests. </w:t>
      </w:r>
    </w:p>
    <w:p w14:paraId="3A442252" w14:textId="4FFF76EC" w:rsidR="005B6576" w:rsidRPr="00477B1B" w:rsidRDefault="005B6576" w:rsidP="005B6576">
      <w:pPr>
        <w:pStyle w:val="Heading3"/>
        <w:rPr>
          <w:rFonts w:eastAsia="Times New Roman"/>
          <w:u w:color="000000"/>
        </w:rPr>
      </w:pPr>
      <w:bookmarkStart w:id="1674" w:name="_Toc177119118"/>
      <w:bookmarkStart w:id="1675" w:name="_Toc185952639"/>
      <w:bookmarkStart w:id="1676" w:name="_Toc192874805"/>
      <w:r>
        <w:rPr>
          <w:u w:color="000000"/>
        </w:rPr>
        <w:t>ALM Tool Roles and Permissions</w:t>
      </w:r>
      <w:bookmarkEnd w:id="1674"/>
      <w:bookmarkEnd w:id="1675"/>
      <w:bookmarkEnd w:id="1676"/>
    </w:p>
    <w:tbl>
      <w:tblPr>
        <w:tblW w:w="9445" w:type="dxa"/>
        <w:shd w:val="clear" w:color="auto" w:fill="FFFFFF"/>
        <w:tblCellMar>
          <w:left w:w="0" w:type="dxa"/>
          <w:right w:w="0" w:type="dxa"/>
        </w:tblCellMar>
        <w:tblLook w:val="04A0" w:firstRow="1" w:lastRow="0" w:firstColumn="1" w:lastColumn="0" w:noHBand="0" w:noVBand="1"/>
      </w:tblPr>
      <w:tblGrid>
        <w:gridCol w:w="1749"/>
        <w:gridCol w:w="3816"/>
        <w:gridCol w:w="3880"/>
      </w:tblGrid>
      <w:tr w:rsidR="005B6576" w:rsidRPr="00A21682" w14:paraId="3B8BC8C7" w14:textId="77777777" w:rsidTr="004535D1">
        <w:trPr>
          <w:cantSplit/>
          <w:tblHeader/>
        </w:trPr>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cMar>
              <w:top w:w="0" w:type="dxa"/>
              <w:left w:w="58" w:type="dxa"/>
              <w:bottom w:w="0" w:type="dxa"/>
              <w:right w:w="58" w:type="dxa"/>
            </w:tcMar>
            <w:hideMark/>
          </w:tcPr>
          <w:p w14:paraId="62E583EC" w14:textId="77777777" w:rsidR="005B6576" w:rsidRPr="00A21682" w:rsidRDefault="005B6576" w:rsidP="00D44EDC">
            <w:pPr>
              <w:pStyle w:val="TABLEHEADINGNEW"/>
              <w:spacing w:before="50" w:after="50"/>
              <w:rPr>
                <w:rFonts w:cs="Calibri"/>
              </w:rPr>
            </w:pPr>
            <w:r>
              <w:t>Tool Role</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cMar>
              <w:top w:w="0" w:type="dxa"/>
              <w:left w:w="58" w:type="dxa"/>
              <w:bottom w:w="0" w:type="dxa"/>
              <w:right w:w="58" w:type="dxa"/>
            </w:tcMar>
            <w:hideMark/>
          </w:tcPr>
          <w:p w14:paraId="1A02D04D" w14:textId="77777777" w:rsidR="005B6576" w:rsidRPr="00A21682" w:rsidRDefault="005B6576" w:rsidP="00D44EDC">
            <w:pPr>
              <w:pStyle w:val="TABLEHEADINGNEW"/>
              <w:spacing w:before="50" w:after="50"/>
            </w:pPr>
            <w:r>
              <w:t>RACI Role</w:t>
            </w:r>
          </w:p>
        </w:tc>
        <w:tc>
          <w:tcPr>
            <w:tcW w:w="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cMar>
              <w:top w:w="0" w:type="dxa"/>
              <w:left w:w="58" w:type="dxa"/>
              <w:bottom w:w="0" w:type="dxa"/>
              <w:right w:w="58" w:type="dxa"/>
            </w:tcMar>
            <w:hideMark/>
          </w:tcPr>
          <w:p w14:paraId="78FDCC19" w14:textId="3014B4BA" w:rsidR="005B6576" w:rsidRPr="00A21682" w:rsidRDefault="005B6576" w:rsidP="00D44EDC">
            <w:pPr>
              <w:pStyle w:val="TABLEHEADINGNEW"/>
              <w:spacing w:before="50" w:after="50"/>
            </w:pPr>
            <w:r>
              <w:t>Key Permissions in BrowserStack</w:t>
            </w:r>
          </w:p>
        </w:tc>
      </w:tr>
      <w:tr w:rsidR="00587FBF" w:rsidRPr="00A21682" w14:paraId="6B6D6685" w14:textId="77777777" w:rsidTr="004535D1">
        <w:trPr>
          <w:cantSplit/>
        </w:trPr>
        <w:tc>
          <w:tcPr>
            <w:tcW w:w="6" w:type="dxa"/>
            <w:tcBorders>
              <w:top w:val="single" w:sz="4" w:space="0" w:color="FFFFFF" w:themeColor="background1"/>
              <w:left w:val="single" w:sz="8" w:space="0" w:color="auto"/>
              <w:bottom w:val="single" w:sz="8" w:space="0" w:color="auto"/>
              <w:right w:val="single" w:sz="8" w:space="0" w:color="auto"/>
            </w:tcBorders>
            <w:shd w:val="clear" w:color="auto" w:fill="FFFFFF"/>
            <w:tcMar>
              <w:top w:w="0" w:type="dxa"/>
              <w:left w:w="58" w:type="dxa"/>
              <w:bottom w:w="0" w:type="dxa"/>
              <w:right w:w="58" w:type="dxa"/>
            </w:tcMar>
            <w:hideMark/>
          </w:tcPr>
          <w:p w14:paraId="7CA25122" w14:textId="77777777" w:rsidR="005B6576" w:rsidRPr="00A21682" w:rsidRDefault="005B6576" w:rsidP="00D44EDC">
            <w:pPr>
              <w:pStyle w:val="TABLETEXT1"/>
              <w:spacing w:before="50" w:after="50"/>
              <w:rPr>
                <w:color w:val="000000"/>
                <w:lang w:val="en-US"/>
              </w:rPr>
            </w:pPr>
            <w:r>
              <w:rPr>
                <w:color w:val="000000"/>
                <w:lang w:val="en-US"/>
              </w:rPr>
              <w:t>Tester</w:t>
            </w:r>
          </w:p>
        </w:tc>
        <w:tc>
          <w:tcPr>
            <w:tcW w:w="6" w:type="dxa"/>
            <w:tcBorders>
              <w:top w:val="single" w:sz="4" w:space="0" w:color="FFFFFF" w:themeColor="background1"/>
              <w:left w:val="nil"/>
              <w:bottom w:val="single" w:sz="8" w:space="0" w:color="auto"/>
              <w:right w:val="single" w:sz="8" w:space="0" w:color="auto"/>
            </w:tcBorders>
            <w:shd w:val="clear" w:color="auto" w:fill="FFFFFF"/>
            <w:tcMar>
              <w:top w:w="0" w:type="dxa"/>
              <w:left w:w="58" w:type="dxa"/>
              <w:bottom w:w="0" w:type="dxa"/>
              <w:right w:w="58" w:type="dxa"/>
            </w:tcMar>
            <w:hideMark/>
          </w:tcPr>
          <w:p w14:paraId="7A0F7331" w14:textId="77777777" w:rsidR="005B6576" w:rsidRPr="00A21682" w:rsidRDefault="005B6576" w:rsidP="00E16118">
            <w:pPr>
              <w:pStyle w:val="TABLEBULLETNEW"/>
              <w:rPr>
                <w:color w:val="000000"/>
              </w:rPr>
            </w:pPr>
            <w:r>
              <w:t xml:space="preserve">Automation Test Lead </w:t>
            </w:r>
          </w:p>
          <w:p w14:paraId="3DC32A18" w14:textId="77777777" w:rsidR="005B6576" w:rsidRPr="00A21682" w:rsidRDefault="005B6576" w:rsidP="00E16118">
            <w:pPr>
              <w:pStyle w:val="TABLEBULLETNEW"/>
            </w:pPr>
            <w:r>
              <w:t>Automation Tester</w:t>
            </w:r>
          </w:p>
        </w:tc>
        <w:tc>
          <w:tcPr>
            <w:tcW w:w="6" w:type="dxa"/>
            <w:tcBorders>
              <w:top w:val="single" w:sz="4" w:space="0" w:color="FFFFFF" w:themeColor="background1"/>
              <w:left w:val="nil"/>
              <w:bottom w:val="single" w:sz="8" w:space="0" w:color="auto"/>
              <w:right w:val="single" w:sz="8" w:space="0" w:color="auto"/>
            </w:tcBorders>
            <w:shd w:val="clear" w:color="auto" w:fill="FFFFFF"/>
            <w:tcMar>
              <w:top w:w="0" w:type="dxa"/>
              <w:left w:w="58" w:type="dxa"/>
              <w:bottom w:w="0" w:type="dxa"/>
              <w:right w:w="58" w:type="dxa"/>
            </w:tcMar>
            <w:hideMark/>
          </w:tcPr>
          <w:p w14:paraId="0332A7F9" w14:textId="77777777" w:rsidR="005B6576" w:rsidRPr="00A21682" w:rsidRDefault="005B6576" w:rsidP="00E16118">
            <w:pPr>
              <w:pStyle w:val="TABLEBULLETNEW"/>
            </w:pPr>
            <w:r>
              <w:t>Review Script Execution</w:t>
            </w:r>
          </w:p>
          <w:p w14:paraId="4962B959" w14:textId="77777777" w:rsidR="005B6576" w:rsidRPr="00A21682" w:rsidRDefault="005B6576" w:rsidP="00E16118">
            <w:pPr>
              <w:pStyle w:val="TABLEBULLETNEW"/>
            </w:pPr>
            <w:r>
              <w:t>Push &amp; Execute scripts</w:t>
            </w:r>
          </w:p>
        </w:tc>
      </w:tr>
    </w:tbl>
    <w:p w14:paraId="5F02EF54" w14:textId="743EADE1" w:rsidR="005B6576" w:rsidRPr="00A21682" w:rsidRDefault="005B6576" w:rsidP="005827B3">
      <w:pPr>
        <w:pStyle w:val="Caption"/>
        <w:rPr>
          <w:noProof w:val="0"/>
        </w:rPr>
      </w:pPr>
      <w:bookmarkStart w:id="1677" w:name="_Toc177123479"/>
      <w:bookmarkStart w:id="1678" w:name="_Toc192875165"/>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80</w:t>
      </w:r>
      <w:r>
        <w:rPr>
          <w:noProof w:val="0"/>
        </w:rPr>
        <w:fldChar w:fldCharType="end"/>
      </w:r>
      <w:r>
        <w:rPr>
          <w:noProof w:val="0"/>
        </w:rPr>
        <w:t>: BrowserStack Roles and Permissions</w:t>
      </w:r>
      <w:bookmarkEnd w:id="1677"/>
      <w:bookmarkEnd w:id="1678"/>
    </w:p>
    <w:p w14:paraId="0EA462D4" w14:textId="77777777" w:rsidR="005B6576" w:rsidRPr="00A21682" w:rsidRDefault="005B6576" w:rsidP="005B6576">
      <w:pPr>
        <w:pStyle w:val="Heading3"/>
        <w:rPr>
          <w:u w:color="000000"/>
        </w:rPr>
      </w:pPr>
      <w:bookmarkStart w:id="1679" w:name="_Toc177119119"/>
      <w:bookmarkStart w:id="1680" w:name="_Toc185952640"/>
      <w:bookmarkStart w:id="1681" w:name="_Toc192874806"/>
      <w:r>
        <w:rPr>
          <w:u w:color="000000"/>
        </w:rPr>
        <w:t>ALM Tool Workflows</w:t>
      </w:r>
      <w:bookmarkEnd w:id="1679"/>
      <w:bookmarkEnd w:id="1680"/>
      <w:bookmarkEnd w:id="1681"/>
      <w:r>
        <w:rPr>
          <w:u w:color="000000"/>
        </w:rPr>
        <w:t xml:space="preserve"> </w:t>
      </w:r>
    </w:p>
    <w:p w14:paraId="5370156A" w14:textId="77777777" w:rsidR="005B6576" w:rsidRPr="00A21682" w:rsidRDefault="005B6576" w:rsidP="00A00BD0">
      <w:pPr>
        <w:pStyle w:val="NormalNEW"/>
        <w:rPr>
          <w:u w:color="000000"/>
          <w:lang w:val="en-US" w:eastAsia="ko-KR"/>
        </w:rPr>
      </w:pPr>
      <w:r>
        <w:rPr>
          <w:u w:color="000000"/>
          <w:lang w:val="en-US" w:eastAsia="ko-KR"/>
        </w:rPr>
        <w:t>The following workflow within the BrowserStack tool supports each phase of the MECM SDLC.</w:t>
      </w:r>
    </w:p>
    <w:p w14:paraId="0DF25868" w14:textId="6C4A4D3D" w:rsidR="005B6576" w:rsidRPr="00A21682" w:rsidRDefault="00812835" w:rsidP="005B6576">
      <w:pPr>
        <w:shd w:val="clear" w:color="auto" w:fill="FFFFFF"/>
        <w:textAlignment w:val="baseline"/>
        <w:rPr>
          <w:u w:color="000000"/>
        </w:rPr>
      </w:pPr>
      <w:r>
        <w:object w:dxaOrig="24150" w:dyaOrig="6910" w14:anchorId="324D7F82">
          <v:shape id="_x0000_i1039" type="#_x0000_t75" style="width:468.6pt;height:134.4pt" o:ole="">
            <v:imagedata r:id="rId52" o:title=""/>
          </v:shape>
          <o:OLEObject Type="Embed" ProgID="Visio.Drawing.15" ShapeID="_x0000_i1039" DrawAspect="Content" ObjectID="_1849677349" r:id="rId53"/>
        </w:object>
      </w:r>
    </w:p>
    <w:p w14:paraId="4D94EE9E" w14:textId="05706A2E" w:rsidR="004018D3" w:rsidRPr="00A21682" w:rsidRDefault="005B6576" w:rsidP="005B6576">
      <w:pPr>
        <w:pStyle w:val="Caption"/>
        <w:rPr>
          <w:noProof w:val="0"/>
        </w:rPr>
      </w:pPr>
      <w:bookmarkStart w:id="1682" w:name="_Toc192875063"/>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26</w:t>
      </w:r>
      <w:r>
        <w:rPr>
          <w:noProof w:val="0"/>
        </w:rPr>
        <w:fldChar w:fldCharType="end"/>
      </w:r>
      <w:r>
        <w:rPr>
          <w:noProof w:val="0"/>
        </w:rPr>
        <w:t>: BrowserStack Workflow</w:t>
      </w:r>
      <w:bookmarkEnd w:id="1682"/>
    </w:p>
    <w:p w14:paraId="3784E8F5" w14:textId="77777777" w:rsidR="005B6576" w:rsidRPr="00A21682" w:rsidRDefault="005B6576" w:rsidP="005B6576">
      <w:pPr>
        <w:pStyle w:val="NormalNEW"/>
        <w:keepNext/>
        <w:rPr>
          <w:u w:color="000000"/>
          <w:lang w:val="en-US"/>
        </w:rPr>
      </w:pPr>
      <w:r>
        <w:rPr>
          <w:u w:color="000000"/>
          <w:lang w:val="en-US"/>
        </w:rPr>
        <w:t xml:space="preserve">The following table describes each workflow step illustrated above. </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9"/>
        <w:gridCol w:w="2128"/>
        <w:gridCol w:w="4303"/>
        <w:gridCol w:w="2109"/>
      </w:tblGrid>
      <w:tr w:rsidR="005B6576" w:rsidRPr="00A21682" w14:paraId="26F18EE4" w14:textId="77777777" w:rsidTr="00AD269B">
        <w:trPr>
          <w:trHeight w:val="276"/>
          <w:tblHeader/>
        </w:trPr>
        <w:tc>
          <w:tcPr>
            <w:tcW w:w="899" w:type="dxa"/>
            <w:tcBorders>
              <w:right w:val="single" w:sz="4" w:space="0" w:color="FFFFFF" w:themeColor="background1"/>
            </w:tcBorders>
            <w:shd w:val="clear" w:color="auto" w:fill="000000" w:themeFill="text1"/>
            <w:noWrap/>
            <w:tcMar>
              <w:top w:w="0" w:type="dxa"/>
              <w:left w:w="108" w:type="dxa"/>
              <w:bottom w:w="0" w:type="dxa"/>
              <w:right w:w="108" w:type="dxa"/>
            </w:tcMar>
            <w:vAlign w:val="center"/>
            <w:hideMark/>
          </w:tcPr>
          <w:p w14:paraId="00E9CD02" w14:textId="071481B1" w:rsidR="005B6576" w:rsidRPr="00A21682" w:rsidRDefault="00D44EDC" w:rsidP="00D44EDC">
            <w:pPr>
              <w:spacing w:before="50" w:after="50"/>
              <w:rPr>
                <w:rFonts w:ascii="Verdana" w:hAnsi="Verdana"/>
                <w:b/>
                <w:color w:val="FFFFFF"/>
                <w:sz w:val="18"/>
                <w:szCs w:val="18"/>
              </w:rPr>
            </w:pPr>
            <w:r>
              <w:rPr>
                <w:rFonts w:ascii="Verdana" w:hAnsi="Verdana"/>
                <w:b/>
                <w:color w:val="FFFFFF"/>
                <w:sz w:val="18"/>
                <w:szCs w:val="18"/>
              </w:rPr>
              <w:t>Step #</w:t>
            </w:r>
          </w:p>
        </w:tc>
        <w:tc>
          <w:tcPr>
            <w:tcW w:w="2128" w:type="dxa"/>
            <w:tcBorders>
              <w:left w:val="single" w:sz="4" w:space="0" w:color="FFFFFF" w:themeColor="background1"/>
              <w:right w:val="single" w:sz="4" w:space="0" w:color="FFFFFF" w:themeColor="background1"/>
            </w:tcBorders>
            <w:shd w:val="clear" w:color="auto" w:fill="000000"/>
            <w:tcMar>
              <w:top w:w="0" w:type="dxa"/>
              <w:left w:w="108" w:type="dxa"/>
              <w:bottom w:w="0" w:type="dxa"/>
              <w:right w:w="108" w:type="dxa"/>
            </w:tcMar>
            <w:vAlign w:val="center"/>
            <w:hideMark/>
          </w:tcPr>
          <w:p w14:paraId="246A7C93" w14:textId="77777777" w:rsidR="005B6576" w:rsidRPr="00A21682" w:rsidRDefault="005B6576" w:rsidP="00D44EDC">
            <w:pPr>
              <w:spacing w:before="50" w:after="50"/>
              <w:rPr>
                <w:rFonts w:ascii="Verdana" w:hAnsi="Verdana"/>
                <w:b/>
                <w:bCs/>
                <w:color w:val="FFFFFF"/>
                <w:sz w:val="18"/>
                <w:szCs w:val="18"/>
              </w:rPr>
            </w:pPr>
            <w:r>
              <w:rPr>
                <w:rFonts w:ascii="Verdana" w:hAnsi="Verdana"/>
                <w:b/>
                <w:bCs/>
                <w:color w:val="FFFFFF"/>
                <w:sz w:val="18"/>
                <w:szCs w:val="18"/>
              </w:rPr>
              <w:t>High-Level Process</w:t>
            </w:r>
          </w:p>
        </w:tc>
        <w:tc>
          <w:tcPr>
            <w:tcW w:w="4303" w:type="dxa"/>
            <w:tcBorders>
              <w:left w:val="single" w:sz="4" w:space="0" w:color="FFFFFF" w:themeColor="background1"/>
              <w:right w:val="single" w:sz="4" w:space="0" w:color="FFFFFF" w:themeColor="background1"/>
            </w:tcBorders>
            <w:shd w:val="clear" w:color="auto" w:fill="000000"/>
            <w:tcMar>
              <w:top w:w="0" w:type="dxa"/>
              <w:left w:w="108" w:type="dxa"/>
              <w:bottom w:w="0" w:type="dxa"/>
              <w:right w:w="108" w:type="dxa"/>
            </w:tcMar>
            <w:vAlign w:val="center"/>
            <w:hideMark/>
          </w:tcPr>
          <w:p w14:paraId="2439EBBF" w14:textId="77777777" w:rsidR="005B6576" w:rsidRPr="00A21682" w:rsidRDefault="005B6576" w:rsidP="00D44EDC">
            <w:pPr>
              <w:spacing w:before="50" w:after="50"/>
              <w:rPr>
                <w:rFonts w:ascii="Verdana" w:hAnsi="Verdana"/>
                <w:b/>
                <w:bCs/>
                <w:color w:val="FFFFFF"/>
                <w:sz w:val="18"/>
                <w:szCs w:val="18"/>
              </w:rPr>
            </w:pPr>
            <w:r>
              <w:rPr>
                <w:rFonts w:ascii="Verdana" w:hAnsi="Verdana"/>
                <w:b/>
                <w:bCs/>
                <w:color w:val="FFFFFF"/>
                <w:sz w:val="18"/>
                <w:szCs w:val="18"/>
              </w:rPr>
              <w:t>Description</w:t>
            </w:r>
          </w:p>
        </w:tc>
        <w:tc>
          <w:tcPr>
            <w:tcW w:w="2109" w:type="dxa"/>
            <w:tcBorders>
              <w:left w:val="single" w:sz="4" w:space="0" w:color="FFFFFF" w:themeColor="background1"/>
            </w:tcBorders>
            <w:shd w:val="clear" w:color="auto" w:fill="000000"/>
            <w:tcMar>
              <w:top w:w="0" w:type="dxa"/>
              <w:left w:w="108" w:type="dxa"/>
              <w:bottom w:w="0" w:type="dxa"/>
              <w:right w:w="108" w:type="dxa"/>
            </w:tcMar>
            <w:vAlign w:val="center"/>
            <w:hideMark/>
          </w:tcPr>
          <w:p w14:paraId="5D15C348" w14:textId="77777777" w:rsidR="005B6576" w:rsidRPr="00A21682" w:rsidRDefault="005B6576" w:rsidP="00D44EDC">
            <w:pPr>
              <w:spacing w:before="50" w:after="50"/>
              <w:rPr>
                <w:rFonts w:ascii="Verdana" w:hAnsi="Verdana"/>
                <w:b/>
                <w:bCs/>
                <w:color w:val="FFFFFF"/>
                <w:sz w:val="18"/>
                <w:szCs w:val="18"/>
              </w:rPr>
            </w:pPr>
            <w:r>
              <w:rPr>
                <w:rFonts w:ascii="Verdana" w:hAnsi="Verdana"/>
                <w:b/>
                <w:bCs/>
                <w:color w:val="FFFFFF"/>
                <w:sz w:val="18"/>
                <w:szCs w:val="18"/>
              </w:rPr>
              <w:t>Step Owner</w:t>
            </w:r>
          </w:p>
        </w:tc>
      </w:tr>
      <w:tr w:rsidR="005B6576" w:rsidRPr="00A21682" w14:paraId="32EEE680" w14:textId="77777777" w:rsidTr="00AD269B">
        <w:trPr>
          <w:trHeight w:val="380"/>
        </w:trPr>
        <w:tc>
          <w:tcPr>
            <w:tcW w:w="899" w:type="dxa"/>
            <w:shd w:val="clear" w:color="auto" w:fill="FFFFFF"/>
            <w:tcMar>
              <w:top w:w="0" w:type="dxa"/>
              <w:left w:w="108" w:type="dxa"/>
              <w:bottom w:w="0" w:type="dxa"/>
              <w:right w:w="108" w:type="dxa"/>
            </w:tcMar>
            <w:hideMark/>
          </w:tcPr>
          <w:p w14:paraId="1C038803"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1</w:t>
            </w:r>
          </w:p>
        </w:tc>
        <w:tc>
          <w:tcPr>
            <w:tcW w:w="2128" w:type="dxa"/>
            <w:shd w:val="clear" w:color="auto" w:fill="FFFFFF"/>
            <w:tcMar>
              <w:top w:w="0" w:type="dxa"/>
              <w:left w:w="108" w:type="dxa"/>
              <w:bottom w:w="0" w:type="dxa"/>
              <w:right w:w="108" w:type="dxa"/>
            </w:tcMar>
            <w:hideMark/>
          </w:tcPr>
          <w:p w14:paraId="4E85A3FF"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Manual Execution</w:t>
            </w:r>
          </w:p>
        </w:tc>
        <w:tc>
          <w:tcPr>
            <w:tcW w:w="4303" w:type="dxa"/>
            <w:shd w:val="clear" w:color="auto" w:fill="FFFFFF"/>
            <w:tcMar>
              <w:top w:w="0" w:type="dxa"/>
              <w:left w:w="108" w:type="dxa"/>
              <w:bottom w:w="0" w:type="dxa"/>
              <w:right w:w="108" w:type="dxa"/>
            </w:tcMar>
            <w:hideMark/>
          </w:tcPr>
          <w:p w14:paraId="77F13D5B"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Tester performs manual testing on BrowserStack to understand the functionality of the system</w:t>
            </w:r>
          </w:p>
        </w:tc>
        <w:tc>
          <w:tcPr>
            <w:tcW w:w="2109" w:type="dxa"/>
            <w:shd w:val="clear" w:color="auto" w:fill="FFFFFF"/>
            <w:tcMar>
              <w:top w:w="0" w:type="dxa"/>
              <w:left w:w="108" w:type="dxa"/>
              <w:bottom w:w="0" w:type="dxa"/>
              <w:right w:w="108" w:type="dxa"/>
            </w:tcMar>
            <w:hideMark/>
          </w:tcPr>
          <w:p w14:paraId="7CCBD673" w14:textId="77777777" w:rsidR="005B6576" w:rsidRPr="00A21682" w:rsidRDefault="005B6576" w:rsidP="00E16118">
            <w:pPr>
              <w:pStyle w:val="TABLEBULLETNEW"/>
            </w:pPr>
            <w:r>
              <w:t>Automation Tester</w:t>
            </w:r>
          </w:p>
        </w:tc>
      </w:tr>
      <w:tr w:rsidR="005B6576" w:rsidRPr="00A21682" w14:paraId="268C9A12" w14:textId="77777777" w:rsidTr="00AD269B">
        <w:trPr>
          <w:trHeight w:val="380"/>
        </w:trPr>
        <w:tc>
          <w:tcPr>
            <w:tcW w:w="899" w:type="dxa"/>
            <w:shd w:val="clear" w:color="auto" w:fill="FFFFFF"/>
            <w:tcMar>
              <w:top w:w="0" w:type="dxa"/>
              <w:left w:w="108" w:type="dxa"/>
              <w:bottom w:w="0" w:type="dxa"/>
              <w:right w:w="108" w:type="dxa"/>
            </w:tcMar>
            <w:hideMark/>
          </w:tcPr>
          <w:p w14:paraId="120D858F"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2</w:t>
            </w:r>
          </w:p>
        </w:tc>
        <w:tc>
          <w:tcPr>
            <w:tcW w:w="2128" w:type="dxa"/>
            <w:shd w:val="clear" w:color="auto" w:fill="FFFFFF"/>
            <w:tcMar>
              <w:top w:w="0" w:type="dxa"/>
              <w:left w:w="108" w:type="dxa"/>
              <w:bottom w:w="0" w:type="dxa"/>
              <w:right w:w="108" w:type="dxa"/>
            </w:tcMar>
            <w:hideMark/>
          </w:tcPr>
          <w:p w14:paraId="2BC9763F"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Script Creation</w:t>
            </w:r>
          </w:p>
        </w:tc>
        <w:tc>
          <w:tcPr>
            <w:tcW w:w="4303" w:type="dxa"/>
            <w:shd w:val="clear" w:color="auto" w:fill="FFFFFF"/>
            <w:tcMar>
              <w:top w:w="0" w:type="dxa"/>
              <w:left w:w="108" w:type="dxa"/>
              <w:bottom w:w="0" w:type="dxa"/>
              <w:right w:w="108" w:type="dxa"/>
            </w:tcMar>
            <w:hideMark/>
          </w:tcPr>
          <w:p w14:paraId="6ACA2AAC"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Automation script is created by the tester using supported frameworks like Selenium or Appium</w:t>
            </w:r>
          </w:p>
        </w:tc>
        <w:tc>
          <w:tcPr>
            <w:tcW w:w="2109" w:type="dxa"/>
            <w:shd w:val="clear" w:color="auto" w:fill="FFFFFF"/>
            <w:tcMar>
              <w:top w:w="0" w:type="dxa"/>
              <w:left w:w="108" w:type="dxa"/>
              <w:bottom w:w="0" w:type="dxa"/>
              <w:right w:w="108" w:type="dxa"/>
            </w:tcMar>
            <w:hideMark/>
          </w:tcPr>
          <w:p w14:paraId="68D3F5E1" w14:textId="77777777" w:rsidR="005B6576" w:rsidRPr="00A21682" w:rsidRDefault="005B6576" w:rsidP="00E16118">
            <w:pPr>
              <w:pStyle w:val="TABLEBULLETNEW"/>
            </w:pPr>
            <w:r>
              <w:t>Automation Tester</w:t>
            </w:r>
          </w:p>
        </w:tc>
      </w:tr>
      <w:tr w:rsidR="005B6576" w:rsidRPr="00A21682" w14:paraId="33F4E48E" w14:textId="77777777" w:rsidTr="00AD269B">
        <w:trPr>
          <w:trHeight w:val="380"/>
        </w:trPr>
        <w:tc>
          <w:tcPr>
            <w:tcW w:w="899" w:type="dxa"/>
            <w:shd w:val="clear" w:color="auto" w:fill="FFFFFF"/>
            <w:tcMar>
              <w:top w:w="0" w:type="dxa"/>
              <w:left w:w="108" w:type="dxa"/>
              <w:bottom w:w="0" w:type="dxa"/>
              <w:right w:w="108" w:type="dxa"/>
            </w:tcMar>
            <w:hideMark/>
          </w:tcPr>
          <w:p w14:paraId="7AFF7C80"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3</w:t>
            </w:r>
          </w:p>
        </w:tc>
        <w:tc>
          <w:tcPr>
            <w:tcW w:w="2128" w:type="dxa"/>
            <w:shd w:val="clear" w:color="auto" w:fill="FFFFFF"/>
            <w:tcMar>
              <w:top w:w="0" w:type="dxa"/>
              <w:left w:w="108" w:type="dxa"/>
              <w:bottom w:w="0" w:type="dxa"/>
              <w:right w:w="108" w:type="dxa"/>
            </w:tcMar>
            <w:hideMark/>
          </w:tcPr>
          <w:p w14:paraId="36584425"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Dry Run</w:t>
            </w:r>
          </w:p>
        </w:tc>
        <w:tc>
          <w:tcPr>
            <w:tcW w:w="4303" w:type="dxa"/>
            <w:shd w:val="clear" w:color="auto" w:fill="FFFFFF"/>
            <w:tcMar>
              <w:top w:w="0" w:type="dxa"/>
              <w:left w:w="108" w:type="dxa"/>
              <w:bottom w:w="0" w:type="dxa"/>
              <w:right w:w="108" w:type="dxa"/>
            </w:tcMar>
            <w:hideMark/>
          </w:tcPr>
          <w:p w14:paraId="733B0CD7" w14:textId="56639176"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Tester performs a dry run on the automated script using BrowserStack’s cloud infrastructure</w:t>
            </w:r>
          </w:p>
        </w:tc>
        <w:tc>
          <w:tcPr>
            <w:tcW w:w="2109" w:type="dxa"/>
            <w:shd w:val="clear" w:color="auto" w:fill="FFFFFF"/>
            <w:tcMar>
              <w:top w:w="0" w:type="dxa"/>
              <w:left w:w="108" w:type="dxa"/>
              <w:bottom w:w="0" w:type="dxa"/>
              <w:right w:w="108" w:type="dxa"/>
            </w:tcMar>
            <w:hideMark/>
          </w:tcPr>
          <w:p w14:paraId="3B68864C" w14:textId="77777777" w:rsidR="005B6576" w:rsidRPr="00A21682" w:rsidRDefault="005B6576" w:rsidP="00E16118">
            <w:pPr>
              <w:pStyle w:val="TABLEBULLETNEW"/>
            </w:pPr>
            <w:r>
              <w:t>Automation Tester</w:t>
            </w:r>
          </w:p>
        </w:tc>
      </w:tr>
      <w:tr w:rsidR="005B6576" w:rsidRPr="00A21682" w14:paraId="6B58CF54" w14:textId="77777777" w:rsidTr="00AD269B">
        <w:trPr>
          <w:trHeight w:val="380"/>
        </w:trPr>
        <w:tc>
          <w:tcPr>
            <w:tcW w:w="899" w:type="dxa"/>
            <w:shd w:val="clear" w:color="auto" w:fill="FFFFFF"/>
            <w:tcMar>
              <w:top w:w="0" w:type="dxa"/>
              <w:left w:w="108" w:type="dxa"/>
              <w:bottom w:w="0" w:type="dxa"/>
              <w:right w:w="108" w:type="dxa"/>
            </w:tcMar>
          </w:tcPr>
          <w:p w14:paraId="54F0F859"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3.1</w:t>
            </w:r>
          </w:p>
        </w:tc>
        <w:tc>
          <w:tcPr>
            <w:tcW w:w="2128" w:type="dxa"/>
            <w:shd w:val="clear" w:color="auto" w:fill="FFFFFF"/>
            <w:tcMar>
              <w:top w:w="0" w:type="dxa"/>
              <w:left w:w="108" w:type="dxa"/>
              <w:bottom w:w="0" w:type="dxa"/>
              <w:right w:w="108" w:type="dxa"/>
            </w:tcMar>
          </w:tcPr>
          <w:p w14:paraId="3B74433A"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Dry Run Successful?</w:t>
            </w:r>
          </w:p>
        </w:tc>
        <w:tc>
          <w:tcPr>
            <w:tcW w:w="4303" w:type="dxa"/>
            <w:shd w:val="clear" w:color="auto" w:fill="FFFFFF"/>
            <w:tcMar>
              <w:top w:w="0" w:type="dxa"/>
              <w:left w:w="108" w:type="dxa"/>
              <w:bottom w:w="0" w:type="dxa"/>
              <w:right w:w="108" w:type="dxa"/>
            </w:tcMar>
          </w:tcPr>
          <w:p w14:paraId="6048F6DA" w14:textId="12F304F9" w:rsidR="00FF1C90" w:rsidRPr="00A21682" w:rsidRDefault="005B6576" w:rsidP="00D44EDC">
            <w:pPr>
              <w:spacing w:before="50" w:after="50"/>
              <w:rPr>
                <w:rFonts w:ascii="Verdana" w:hAnsi="Verdana"/>
                <w:color w:val="000000"/>
                <w:sz w:val="18"/>
                <w:szCs w:val="18"/>
              </w:rPr>
            </w:pPr>
            <w:r>
              <w:rPr>
                <w:rFonts w:ascii="Verdana" w:hAnsi="Verdana"/>
                <w:color w:val="000000"/>
                <w:sz w:val="18"/>
                <w:szCs w:val="18"/>
              </w:rPr>
              <w:t xml:space="preserve">Automation Tester decides if the dry run is successful. </w:t>
            </w:r>
          </w:p>
          <w:p w14:paraId="3EE8F411" w14:textId="076514F1" w:rsidR="009E3811" w:rsidRPr="00A21682" w:rsidRDefault="00FF1C90" w:rsidP="00E16118">
            <w:pPr>
              <w:pStyle w:val="TABLEBULLETNEW"/>
            </w:pPr>
            <w:r>
              <w:t xml:space="preserve">If it is successful, proceed to </w:t>
            </w:r>
            <w:r>
              <w:rPr>
                <w:i/>
              </w:rPr>
              <w:t xml:space="preserve">Step #4 Script Deployment </w:t>
            </w:r>
          </w:p>
          <w:p w14:paraId="4AD43FCE" w14:textId="17E1F8A3" w:rsidR="005B6576" w:rsidRPr="00A21682" w:rsidRDefault="005B6576" w:rsidP="00E16118">
            <w:pPr>
              <w:pStyle w:val="TABLEBULLETNEW"/>
            </w:pPr>
            <w:r>
              <w:t xml:space="preserve">If it is not successful, proceed to </w:t>
            </w:r>
            <w:r>
              <w:rPr>
                <w:i/>
              </w:rPr>
              <w:t xml:space="preserve">Step #2 Script Creation </w:t>
            </w:r>
          </w:p>
        </w:tc>
        <w:tc>
          <w:tcPr>
            <w:tcW w:w="2109" w:type="dxa"/>
            <w:shd w:val="clear" w:color="auto" w:fill="FFFFFF"/>
            <w:tcMar>
              <w:top w:w="0" w:type="dxa"/>
              <w:left w:w="108" w:type="dxa"/>
              <w:bottom w:w="0" w:type="dxa"/>
              <w:right w:w="108" w:type="dxa"/>
            </w:tcMar>
          </w:tcPr>
          <w:p w14:paraId="4BA09AA0" w14:textId="77777777" w:rsidR="005B6576" w:rsidRPr="00A21682" w:rsidRDefault="005B6576" w:rsidP="00E16118">
            <w:pPr>
              <w:pStyle w:val="TABLEBULLETNEW"/>
            </w:pPr>
            <w:r>
              <w:t>Automation Tester</w:t>
            </w:r>
          </w:p>
        </w:tc>
      </w:tr>
      <w:tr w:rsidR="005B6576" w:rsidRPr="00A21682" w14:paraId="12099A2F" w14:textId="77777777" w:rsidTr="00AD269B">
        <w:trPr>
          <w:trHeight w:val="380"/>
        </w:trPr>
        <w:tc>
          <w:tcPr>
            <w:tcW w:w="899" w:type="dxa"/>
            <w:shd w:val="clear" w:color="auto" w:fill="FFFFFF"/>
            <w:tcMar>
              <w:top w:w="0" w:type="dxa"/>
              <w:left w:w="108" w:type="dxa"/>
              <w:bottom w:w="0" w:type="dxa"/>
              <w:right w:w="108" w:type="dxa"/>
            </w:tcMar>
            <w:hideMark/>
          </w:tcPr>
          <w:p w14:paraId="4916B63D"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4</w:t>
            </w:r>
          </w:p>
        </w:tc>
        <w:tc>
          <w:tcPr>
            <w:tcW w:w="2128" w:type="dxa"/>
            <w:shd w:val="clear" w:color="auto" w:fill="FFFFFF"/>
            <w:tcMar>
              <w:top w:w="0" w:type="dxa"/>
              <w:left w:w="108" w:type="dxa"/>
              <w:bottom w:w="0" w:type="dxa"/>
              <w:right w:w="108" w:type="dxa"/>
            </w:tcMar>
            <w:hideMark/>
          </w:tcPr>
          <w:p w14:paraId="075A0B38"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Script Deployment</w:t>
            </w:r>
          </w:p>
        </w:tc>
        <w:tc>
          <w:tcPr>
            <w:tcW w:w="4303" w:type="dxa"/>
            <w:shd w:val="clear" w:color="auto" w:fill="FFFFFF"/>
            <w:tcMar>
              <w:top w:w="0" w:type="dxa"/>
              <w:left w:w="108" w:type="dxa"/>
              <w:bottom w:w="0" w:type="dxa"/>
              <w:right w:w="108" w:type="dxa"/>
            </w:tcMar>
            <w:hideMark/>
          </w:tcPr>
          <w:p w14:paraId="246D1AA5"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Automation script is reviewed by the automation lead and pushed to the repository</w:t>
            </w:r>
          </w:p>
        </w:tc>
        <w:tc>
          <w:tcPr>
            <w:tcW w:w="2109" w:type="dxa"/>
            <w:shd w:val="clear" w:color="auto" w:fill="FFFFFF"/>
            <w:tcMar>
              <w:top w:w="0" w:type="dxa"/>
              <w:left w:w="108" w:type="dxa"/>
              <w:bottom w:w="0" w:type="dxa"/>
              <w:right w:w="108" w:type="dxa"/>
            </w:tcMar>
            <w:hideMark/>
          </w:tcPr>
          <w:p w14:paraId="08A3E15E" w14:textId="77777777" w:rsidR="005B6576" w:rsidRPr="00A21682" w:rsidRDefault="005B6576" w:rsidP="00E16118">
            <w:pPr>
              <w:pStyle w:val="TABLEBULLETNEW"/>
            </w:pPr>
            <w:r>
              <w:t>Automation Test Lead</w:t>
            </w:r>
          </w:p>
        </w:tc>
      </w:tr>
      <w:tr w:rsidR="005B6576" w:rsidRPr="00A21682" w14:paraId="000D4DB7" w14:textId="77777777" w:rsidTr="00AD269B">
        <w:trPr>
          <w:trHeight w:val="276"/>
        </w:trPr>
        <w:tc>
          <w:tcPr>
            <w:tcW w:w="899" w:type="dxa"/>
            <w:shd w:val="clear" w:color="auto" w:fill="FFFFFF"/>
            <w:tcMar>
              <w:top w:w="0" w:type="dxa"/>
              <w:left w:w="108" w:type="dxa"/>
              <w:bottom w:w="0" w:type="dxa"/>
              <w:right w:w="108" w:type="dxa"/>
            </w:tcMar>
            <w:hideMark/>
          </w:tcPr>
          <w:p w14:paraId="156CB80C"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5</w:t>
            </w:r>
          </w:p>
        </w:tc>
        <w:tc>
          <w:tcPr>
            <w:tcW w:w="2128" w:type="dxa"/>
            <w:shd w:val="clear" w:color="auto" w:fill="FFFFFF"/>
            <w:tcMar>
              <w:top w:w="0" w:type="dxa"/>
              <w:left w:w="108" w:type="dxa"/>
              <w:bottom w:w="0" w:type="dxa"/>
              <w:right w:w="108" w:type="dxa"/>
            </w:tcMar>
            <w:hideMark/>
          </w:tcPr>
          <w:p w14:paraId="06DD55F7"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Execution</w:t>
            </w:r>
          </w:p>
        </w:tc>
        <w:tc>
          <w:tcPr>
            <w:tcW w:w="4303" w:type="dxa"/>
            <w:shd w:val="clear" w:color="auto" w:fill="FFFFFF"/>
            <w:tcMar>
              <w:top w:w="0" w:type="dxa"/>
              <w:left w:w="108" w:type="dxa"/>
              <w:bottom w:w="0" w:type="dxa"/>
              <w:right w:w="108" w:type="dxa"/>
            </w:tcMar>
            <w:hideMark/>
          </w:tcPr>
          <w:p w14:paraId="7437A1A5" w14:textId="4688AF6B"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Script is executed on BrowserStack’s real devices and browsers</w:t>
            </w:r>
          </w:p>
        </w:tc>
        <w:tc>
          <w:tcPr>
            <w:tcW w:w="2109" w:type="dxa"/>
            <w:shd w:val="clear" w:color="auto" w:fill="FFFFFF"/>
            <w:tcMar>
              <w:top w:w="0" w:type="dxa"/>
              <w:left w:w="108" w:type="dxa"/>
              <w:bottom w:w="0" w:type="dxa"/>
              <w:right w:w="108" w:type="dxa"/>
            </w:tcMar>
            <w:hideMark/>
          </w:tcPr>
          <w:p w14:paraId="15412AA2" w14:textId="77777777" w:rsidR="005B6576" w:rsidRPr="00A21682" w:rsidRDefault="005B6576" w:rsidP="00E16118">
            <w:pPr>
              <w:pStyle w:val="TABLEBULLETNEW"/>
            </w:pPr>
            <w:r>
              <w:t>Automation Tester</w:t>
            </w:r>
          </w:p>
        </w:tc>
      </w:tr>
      <w:tr w:rsidR="005B6576" w:rsidRPr="00A21682" w14:paraId="154F4BAC" w14:textId="77777777" w:rsidTr="00AD269B">
        <w:trPr>
          <w:trHeight w:val="380"/>
        </w:trPr>
        <w:tc>
          <w:tcPr>
            <w:tcW w:w="899" w:type="dxa"/>
            <w:shd w:val="clear" w:color="auto" w:fill="FFFFFF"/>
            <w:tcMar>
              <w:top w:w="0" w:type="dxa"/>
              <w:left w:w="108" w:type="dxa"/>
              <w:bottom w:w="0" w:type="dxa"/>
              <w:right w:w="108" w:type="dxa"/>
            </w:tcMar>
            <w:hideMark/>
          </w:tcPr>
          <w:p w14:paraId="196B1630"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6</w:t>
            </w:r>
          </w:p>
        </w:tc>
        <w:tc>
          <w:tcPr>
            <w:tcW w:w="2128" w:type="dxa"/>
            <w:shd w:val="clear" w:color="auto" w:fill="FFFFFF"/>
            <w:tcMar>
              <w:top w:w="0" w:type="dxa"/>
              <w:left w:w="108" w:type="dxa"/>
              <w:bottom w:w="0" w:type="dxa"/>
              <w:right w:w="108" w:type="dxa"/>
            </w:tcMar>
            <w:hideMark/>
          </w:tcPr>
          <w:p w14:paraId="3C3EE576"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Reporting</w:t>
            </w:r>
          </w:p>
        </w:tc>
        <w:tc>
          <w:tcPr>
            <w:tcW w:w="4303" w:type="dxa"/>
            <w:shd w:val="clear" w:color="auto" w:fill="FFFFFF"/>
            <w:tcMar>
              <w:top w:w="0" w:type="dxa"/>
              <w:left w:w="108" w:type="dxa"/>
              <w:bottom w:w="0" w:type="dxa"/>
              <w:right w:w="108" w:type="dxa"/>
            </w:tcMar>
            <w:hideMark/>
          </w:tcPr>
          <w:p w14:paraId="53F5C5F0" w14:textId="77777777" w:rsidR="005B6576" w:rsidRPr="00A21682" w:rsidRDefault="005B6576" w:rsidP="00D44EDC">
            <w:pPr>
              <w:spacing w:before="50" w:after="50"/>
              <w:rPr>
                <w:rFonts w:ascii="Verdana" w:hAnsi="Verdana"/>
                <w:color w:val="000000"/>
                <w:sz w:val="18"/>
                <w:szCs w:val="18"/>
              </w:rPr>
            </w:pPr>
            <w:r>
              <w:rPr>
                <w:rFonts w:ascii="Verdana" w:hAnsi="Verdana"/>
                <w:color w:val="000000"/>
                <w:sz w:val="18"/>
                <w:szCs w:val="18"/>
              </w:rPr>
              <w:t>Execution results are analyzed and published, including screenshots and video recordings from BrowserStack</w:t>
            </w:r>
          </w:p>
        </w:tc>
        <w:tc>
          <w:tcPr>
            <w:tcW w:w="2109" w:type="dxa"/>
            <w:shd w:val="clear" w:color="auto" w:fill="FFFFFF"/>
            <w:tcMar>
              <w:top w:w="0" w:type="dxa"/>
              <w:left w:w="108" w:type="dxa"/>
              <w:bottom w:w="0" w:type="dxa"/>
              <w:right w:w="108" w:type="dxa"/>
            </w:tcMar>
            <w:hideMark/>
          </w:tcPr>
          <w:p w14:paraId="16B7694C" w14:textId="77777777" w:rsidR="005B6576" w:rsidRPr="00A21682" w:rsidRDefault="005B6576" w:rsidP="00E16118">
            <w:pPr>
              <w:pStyle w:val="TABLEBULLETNEW"/>
            </w:pPr>
            <w:r>
              <w:t>Automation Test Lead</w:t>
            </w:r>
          </w:p>
        </w:tc>
      </w:tr>
    </w:tbl>
    <w:p w14:paraId="1E16CEC4" w14:textId="558594CE" w:rsidR="005B6576" w:rsidRPr="00A21682" w:rsidRDefault="005B6576" w:rsidP="005827B3">
      <w:pPr>
        <w:pStyle w:val="Caption"/>
        <w:rPr>
          <w:noProof w:val="0"/>
        </w:rPr>
      </w:pPr>
      <w:bookmarkStart w:id="1683" w:name="_Toc177123480"/>
      <w:bookmarkStart w:id="1684" w:name="_Toc192875166"/>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81</w:t>
      </w:r>
      <w:r>
        <w:rPr>
          <w:noProof w:val="0"/>
        </w:rPr>
        <w:fldChar w:fldCharType="end"/>
      </w:r>
      <w:r>
        <w:rPr>
          <w:noProof w:val="0"/>
        </w:rPr>
        <w:t>: BrowserStack Workflows</w:t>
      </w:r>
      <w:bookmarkEnd w:id="1683"/>
      <w:bookmarkEnd w:id="1684"/>
    </w:p>
    <w:p w14:paraId="6C070167" w14:textId="77777777" w:rsidR="005B6576" w:rsidRPr="00A21682" w:rsidRDefault="005B6576" w:rsidP="005B6576">
      <w:pPr>
        <w:pStyle w:val="Heading3"/>
        <w:rPr>
          <w:u w:color="000000"/>
        </w:rPr>
      </w:pPr>
      <w:bookmarkStart w:id="1685" w:name="_Toc177119121"/>
      <w:bookmarkStart w:id="1686" w:name="_Toc185952641"/>
      <w:bookmarkStart w:id="1687" w:name="_Toc192874807"/>
      <w:r>
        <w:rPr>
          <w:u w:color="000000"/>
        </w:rPr>
        <w:t>Accessing ALM Tool</w:t>
      </w:r>
      <w:bookmarkEnd w:id="1685"/>
      <w:bookmarkEnd w:id="1686"/>
      <w:bookmarkEnd w:id="1687"/>
    </w:p>
    <w:p w14:paraId="63CDC234" w14:textId="77777777" w:rsidR="005B6576" w:rsidRPr="00A21682" w:rsidRDefault="005B6576" w:rsidP="005B6576">
      <w:pPr>
        <w:pStyle w:val="NormalNEW"/>
        <w:rPr>
          <w:u w:color="000000"/>
          <w:lang w:val="en-US"/>
        </w:rPr>
      </w:pPr>
      <w:r>
        <w:rPr>
          <w:color w:val="000000"/>
          <w:lang w:val="en-US"/>
        </w:rPr>
        <w:t>Access to BrowserStack will be limited to ███████ Testers. User training for DOH users is not required for this tool.</w:t>
      </w:r>
    </w:p>
    <w:p w14:paraId="65303A83" w14:textId="14A286AF" w:rsidR="006655C9" w:rsidRPr="00A21682" w:rsidRDefault="006655C9" w:rsidP="006655C9">
      <w:pPr>
        <w:pStyle w:val="Heading2"/>
        <w:rPr>
          <w:u w:color="000000"/>
        </w:rPr>
      </w:pPr>
      <w:bookmarkStart w:id="1688" w:name="_Toc192874808"/>
      <w:r>
        <w:rPr>
          <w:u w:color="000000"/>
        </w:rPr>
        <w:t>Requirements Management Tool</w:t>
      </w:r>
      <w:bookmarkEnd w:id="1688"/>
    </w:p>
    <w:p w14:paraId="05DE13D9" w14:textId="08772603" w:rsidR="00420F55" w:rsidRPr="00A21682" w:rsidRDefault="00420F55" w:rsidP="00420F55">
      <w:pPr>
        <w:pStyle w:val="NormalNEW"/>
        <w:rPr>
          <w:u w:color="000000"/>
          <w:lang w:val="en-US"/>
        </w:rPr>
      </w:pPr>
      <w:r>
        <w:rPr>
          <w:u w:color="000000"/>
          <w:lang w:val="en-US"/>
        </w:rPr>
        <w:t xml:space="preserve">The requirements management tool is an ALM tool plug-in utilized to manage requirements traceability across the ALM tool work items throughout the SDLC methodology. Requirements reside in </w:t>
      </w:r>
      <w:r>
        <w:rPr>
          <w:u w:color="000000"/>
          <w:lang w:val="en-US"/>
        </w:rPr>
        <w:lastRenderedPageBreak/>
        <w:t>the ALM tool and are linked to design artifacts, development work items, test cases, and test results. For full details of requirements traceability across SDLC phases and ALM toolset, refer to Section 12 Requirements Management Plan.</w:t>
      </w:r>
    </w:p>
    <w:p w14:paraId="74ACE204" w14:textId="1BD521D7" w:rsidR="006655C9" w:rsidRPr="00420F55" w:rsidRDefault="006655C9" w:rsidP="006655C9">
      <w:pPr>
        <w:pStyle w:val="Heading3"/>
        <w:rPr>
          <w:rFonts w:eastAsia="Times New Roman"/>
          <w:u w:color="000000"/>
        </w:rPr>
      </w:pPr>
      <w:bookmarkStart w:id="1689" w:name="_Toc192874809"/>
      <w:r>
        <w:rPr>
          <w:u w:color="000000"/>
        </w:rPr>
        <w:t>ALM Tool Roles and Permissions</w:t>
      </w:r>
      <w:bookmarkEnd w:id="1689"/>
    </w:p>
    <w:tbl>
      <w:tblPr>
        <w:tblW w:w="9445" w:type="dxa"/>
        <w:shd w:val="clear" w:color="auto" w:fill="FFFFFF"/>
        <w:tblCellMar>
          <w:left w:w="0" w:type="dxa"/>
          <w:right w:w="0" w:type="dxa"/>
        </w:tblCellMar>
        <w:tblLook w:val="04A0" w:firstRow="1" w:lastRow="0" w:firstColumn="1" w:lastColumn="0" w:noHBand="0" w:noVBand="1"/>
      </w:tblPr>
      <w:tblGrid>
        <w:gridCol w:w="2205"/>
        <w:gridCol w:w="3384"/>
        <w:gridCol w:w="3856"/>
      </w:tblGrid>
      <w:tr w:rsidR="006655C9" w:rsidRPr="00A21682" w14:paraId="439E87E0" w14:textId="77777777" w:rsidTr="00420F55">
        <w:trPr>
          <w:cantSplit/>
          <w:tblHeader/>
        </w:trPr>
        <w:tc>
          <w:tcPr>
            <w:tcW w:w="220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cMar>
              <w:top w:w="0" w:type="dxa"/>
              <w:left w:w="58" w:type="dxa"/>
              <w:bottom w:w="0" w:type="dxa"/>
              <w:right w:w="58" w:type="dxa"/>
            </w:tcMar>
            <w:hideMark/>
          </w:tcPr>
          <w:p w14:paraId="27679E4D" w14:textId="77777777" w:rsidR="006655C9" w:rsidRPr="00A21682" w:rsidRDefault="006655C9" w:rsidP="005B076C">
            <w:pPr>
              <w:pStyle w:val="TABLEHEADINGNEW"/>
              <w:rPr>
                <w:rFonts w:cs="Calibri"/>
              </w:rPr>
            </w:pPr>
            <w:r>
              <w:t>Tool Role</w:t>
            </w:r>
          </w:p>
        </w:tc>
        <w:tc>
          <w:tcPr>
            <w:tcW w:w="3384"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cMar>
              <w:top w:w="0" w:type="dxa"/>
              <w:left w:w="58" w:type="dxa"/>
              <w:bottom w:w="0" w:type="dxa"/>
              <w:right w:w="58" w:type="dxa"/>
            </w:tcMar>
            <w:hideMark/>
          </w:tcPr>
          <w:p w14:paraId="4D30CAB6" w14:textId="77777777" w:rsidR="006655C9" w:rsidRPr="00A21682" w:rsidRDefault="006655C9" w:rsidP="005B076C">
            <w:pPr>
              <w:pStyle w:val="TABLEHEADINGNEW"/>
            </w:pPr>
            <w:r>
              <w:t>RACI Role</w:t>
            </w:r>
          </w:p>
        </w:tc>
        <w:tc>
          <w:tcPr>
            <w:tcW w:w="385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00000"/>
            <w:tcMar>
              <w:top w:w="0" w:type="dxa"/>
              <w:left w:w="58" w:type="dxa"/>
              <w:bottom w:w="0" w:type="dxa"/>
              <w:right w:w="58" w:type="dxa"/>
            </w:tcMar>
            <w:hideMark/>
          </w:tcPr>
          <w:p w14:paraId="63DD80AE" w14:textId="733389D2" w:rsidR="006655C9" w:rsidRPr="00A21682" w:rsidRDefault="006655C9" w:rsidP="005B076C">
            <w:pPr>
              <w:pStyle w:val="TABLEHEADINGNEW"/>
            </w:pPr>
            <w:r>
              <w:t>Key Permissions in the ALM Tool</w:t>
            </w:r>
          </w:p>
        </w:tc>
      </w:tr>
      <w:tr w:rsidR="006655C9" w:rsidRPr="00A21682" w14:paraId="21ABF5D0" w14:textId="77777777" w:rsidTr="00420F55">
        <w:trPr>
          <w:cantSplit/>
        </w:trPr>
        <w:tc>
          <w:tcPr>
            <w:tcW w:w="2205" w:type="dxa"/>
            <w:tcBorders>
              <w:top w:val="single" w:sz="4" w:space="0" w:color="auto"/>
              <w:left w:val="single" w:sz="4" w:space="0" w:color="auto"/>
              <w:bottom w:val="single" w:sz="4" w:space="0" w:color="auto"/>
              <w:right w:val="single" w:sz="4" w:space="0" w:color="auto"/>
            </w:tcBorders>
            <w:shd w:val="clear" w:color="auto" w:fill="FFFFFF"/>
            <w:tcMar>
              <w:top w:w="0" w:type="dxa"/>
              <w:left w:w="58" w:type="dxa"/>
              <w:bottom w:w="0" w:type="dxa"/>
              <w:right w:w="58" w:type="dxa"/>
            </w:tcMar>
            <w:hideMark/>
          </w:tcPr>
          <w:p w14:paraId="33CF6F19" w14:textId="24799F4F" w:rsidR="006655C9" w:rsidRPr="00A21682" w:rsidRDefault="00420F55" w:rsidP="005B076C">
            <w:pPr>
              <w:pStyle w:val="TABLETEXT1"/>
              <w:rPr>
                <w:color w:val="000000"/>
                <w:lang w:val="en-US"/>
              </w:rPr>
            </w:pPr>
            <w:r>
              <w:rPr>
                <w:color w:val="000000"/>
                <w:lang w:val="en-US"/>
              </w:rPr>
              <w:t>Site Administrator</w:t>
            </w:r>
          </w:p>
        </w:tc>
        <w:tc>
          <w:tcPr>
            <w:tcW w:w="3384" w:type="dxa"/>
            <w:tcBorders>
              <w:top w:val="single" w:sz="4" w:space="0" w:color="auto"/>
              <w:left w:val="single" w:sz="4" w:space="0" w:color="auto"/>
              <w:bottom w:val="single" w:sz="4" w:space="0" w:color="auto"/>
              <w:right w:val="single" w:sz="4" w:space="0" w:color="auto"/>
            </w:tcBorders>
            <w:shd w:val="clear" w:color="auto" w:fill="FFFFFF"/>
            <w:tcMar>
              <w:top w:w="0" w:type="dxa"/>
              <w:left w:w="58" w:type="dxa"/>
              <w:bottom w:w="0" w:type="dxa"/>
              <w:right w:w="58" w:type="dxa"/>
            </w:tcMar>
            <w:hideMark/>
          </w:tcPr>
          <w:p w14:paraId="07E6AD73" w14:textId="00C04B17" w:rsidR="006655C9" w:rsidRPr="005B076C" w:rsidRDefault="00420F55" w:rsidP="005B076C">
            <w:pPr>
              <w:pStyle w:val="TABLEBULLETNEW"/>
              <w:ind w:left="540" w:hanging="360"/>
              <w:rPr>
                <w:color w:val="000000"/>
              </w:rPr>
            </w:pPr>
            <w:r>
              <w:t>███████ Tool Administrator</w:t>
            </w:r>
          </w:p>
        </w:tc>
        <w:tc>
          <w:tcPr>
            <w:tcW w:w="3856" w:type="dxa"/>
            <w:tcBorders>
              <w:top w:val="single" w:sz="4" w:space="0" w:color="auto"/>
              <w:left w:val="single" w:sz="4" w:space="0" w:color="auto"/>
              <w:bottom w:val="single" w:sz="4" w:space="0" w:color="auto"/>
              <w:right w:val="single" w:sz="4" w:space="0" w:color="auto"/>
            </w:tcBorders>
            <w:shd w:val="clear" w:color="auto" w:fill="FFFFFF"/>
            <w:tcMar>
              <w:top w:w="0" w:type="dxa"/>
              <w:left w:w="58" w:type="dxa"/>
              <w:bottom w:w="0" w:type="dxa"/>
              <w:right w:w="58" w:type="dxa"/>
            </w:tcMar>
            <w:hideMark/>
          </w:tcPr>
          <w:p w14:paraId="3798BF6A" w14:textId="79E5CC13" w:rsidR="006655C9" w:rsidRPr="00A21682" w:rsidRDefault="00420F55" w:rsidP="005B076C">
            <w:pPr>
              <w:pStyle w:val="TABLEBULLETNEW"/>
            </w:pPr>
            <w:r>
              <w:t>Create/configure issues in the ALM tool</w:t>
            </w:r>
          </w:p>
          <w:p w14:paraId="79F4068B" w14:textId="01DFAB15" w:rsidR="006655C9" w:rsidRPr="00A21682" w:rsidRDefault="00420F55" w:rsidP="005B076C">
            <w:pPr>
              <w:pStyle w:val="TABLEBULLETNEW"/>
            </w:pPr>
            <w:r>
              <w:t>Create/configure linkages in the ALM tool</w:t>
            </w:r>
          </w:p>
        </w:tc>
      </w:tr>
      <w:tr w:rsidR="00420F55" w:rsidRPr="00A21682" w14:paraId="14FDAD1E" w14:textId="77777777" w:rsidTr="00420F55">
        <w:trPr>
          <w:cantSplit/>
        </w:trPr>
        <w:tc>
          <w:tcPr>
            <w:tcW w:w="2205" w:type="dxa"/>
            <w:tcBorders>
              <w:top w:val="single" w:sz="4" w:space="0" w:color="auto"/>
              <w:left w:val="single" w:sz="4" w:space="0" w:color="auto"/>
              <w:bottom w:val="single" w:sz="4" w:space="0" w:color="auto"/>
              <w:right w:val="single" w:sz="4" w:space="0" w:color="auto"/>
            </w:tcBorders>
            <w:shd w:val="clear" w:color="auto" w:fill="FFFFFF"/>
            <w:tcMar>
              <w:top w:w="0" w:type="dxa"/>
              <w:left w:w="58" w:type="dxa"/>
              <w:bottom w:w="0" w:type="dxa"/>
              <w:right w:w="58" w:type="dxa"/>
            </w:tcMar>
          </w:tcPr>
          <w:p w14:paraId="6032B5D6" w14:textId="76139425" w:rsidR="00420F55" w:rsidRPr="00A21682" w:rsidRDefault="00420F55" w:rsidP="005B076C">
            <w:pPr>
              <w:pStyle w:val="TABLETEXT1"/>
              <w:rPr>
                <w:color w:val="000000"/>
                <w:lang w:val="en-US"/>
              </w:rPr>
            </w:pPr>
            <w:r>
              <w:rPr>
                <w:color w:val="000000"/>
                <w:lang w:val="en-US"/>
              </w:rPr>
              <w:t>Standard User</w:t>
            </w:r>
          </w:p>
        </w:tc>
        <w:tc>
          <w:tcPr>
            <w:tcW w:w="3384" w:type="dxa"/>
            <w:tcBorders>
              <w:top w:val="single" w:sz="4" w:space="0" w:color="auto"/>
              <w:left w:val="single" w:sz="4" w:space="0" w:color="auto"/>
              <w:bottom w:val="single" w:sz="4" w:space="0" w:color="auto"/>
              <w:right w:val="single" w:sz="4" w:space="0" w:color="auto"/>
            </w:tcBorders>
            <w:shd w:val="clear" w:color="auto" w:fill="FFFFFF"/>
            <w:tcMar>
              <w:top w:w="0" w:type="dxa"/>
              <w:left w:w="58" w:type="dxa"/>
              <w:bottom w:w="0" w:type="dxa"/>
              <w:right w:w="58" w:type="dxa"/>
            </w:tcMar>
          </w:tcPr>
          <w:p w14:paraId="7E83CFB6" w14:textId="77777777" w:rsidR="00420F55" w:rsidRPr="00635C9B" w:rsidRDefault="00420F55" w:rsidP="005B076C">
            <w:pPr>
              <w:pStyle w:val="TABLEBULLETNEW"/>
            </w:pPr>
            <w:r>
              <w:t>All Functional Stakeholders</w:t>
            </w:r>
          </w:p>
          <w:p w14:paraId="21C47D5E" w14:textId="77777777" w:rsidR="00420F55" w:rsidRPr="00635C9B" w:rsidRDefault="00420F55" w:rsidP="005B076C">
            <w:pPr>
              <w:pStyle w:val="TABLEBULLETNEW"/>
            </w:pPr>
            <w:r>
              <w:t>All Business Stakeholders</w:t>
            </w:r>
          </w:p>
          <w:p w14:paraId="350EF01F" w14:textId="77777777" w:rsidR="00420F55" w:rsidRPr="00635C9B" w:rsidRDefault="00420F55" w:rsidP="005B076C">
            <w:pPr>
              <w:pStyle w:val="TABLEBULLETNEW"/>
            </w:pPr>
            <w:r>
              <w:t>Deloitte Functional Architect</w:t>
            </w:r>
          </w:p>
          <w:p w14:paraId="191EB1F3" w14:textId="77777777" w:rsidR="00420F55" w:rsidRPr="00635C9B" w:rsidRDefault="00420F55" w:rsidP="005B076C">
            <w:pPr>
              <w:pStyle w:val="TABLEBULLETNEW"/>
            </w:pPr>
            <w:r>
              <w:t>Deloitte Functional PM</w:t>
            </w:r>
          </w:p>
          <w:p w14:paraId="499D8534" w14:textId="77777777" w:rsidR="00420F55" w:rsidRPr="00635C9B" w:rsidRDefault="00420F55" w:rsidP="005B076C">
            <w:pPr>
              <w:pStyle w:val="TABLEBULLETNEW"/>
            </w:pPr>
            <w:r>
              <w:t>Deloitte Functional Manager</w:t>
            </w:r>
          </w:p>
          <w:p w14:paraId="3B0BF222" w14:textId="77777777" w:rsidR="00420F55" w:rsidRPr="00635C9B" w:rsidRDefault="00420F55" w:rsidP="005B076C">
            <w:pPr>
              <w:pStyle w:val="TABLEBULLETNEW"/>
            </w:pPr>
            <w:r>
              <w:t>Deloitte Technical Manager</w:t>
            </w:r>
          </w:p>
          <w:p w14:paraId="5454DED0" w14:textId="77777777" w:rsidR="00420F55" w:rsidRPr="00635C9B" w:rsidRDefault="00420F55" w:rsidP="005B076C">
            <w:pPr>
              <w:pStyle w:val="TABLEBULLETNEW"/>
            </w:pPr>
            <w:r>
              <w:t>Deloitte Test Lead</w:t>
            </w:r>
          </w:p>
          <w:p w14:paraId="3CD13B9E" w14:textId="77777777" w:rsidR="00420F55" w:rsidRDefault="00420F55" w:rsidP="005B076C">
            <w:pPr>
              <w:pStyle w:val="TABLEBULLETNEW"/>
            </w:pPr>
            <w:r>
              <w:t xml:space="preserve">Deloitte PMO Lead </w:t>
            </w:r>
          </w:p>
          <w:p w14:paraId="31624B55" w14:textId="77777777" w:rsidR="00420F55" w:rsidRPr="00635C9B" w:rsidRDefault="00420F55" w:rsidP="005B076C">
            <w:pPr>
              <w:pStyle w:val="TABLEBULLETNEW"/>
            </w:pPr>
            <w:r>
              <w:t>Deloitte Development Team</w:t>
            </w:r>
          </w:p>
          <w:p w14:paraId="22F0C409" w14:textId="77777777" w:rsidR="00420F55" w:rsidRPr="00635C9B" w:rsidRDefault="00420F55" w:rsidP="005B076C">
            <w:pPr>
              <w:pStyle w:val="TABLEBULLETNEW"/>
            </w:pPr>
            <w:r>
              <w:t>Deloitte Test Team</w:t>
            </w:r>
          </w:p>
          <w:p w14:paraId="1476ADC8" w14:textId="099D640A" w:rsidR="00420F55" w:rsidRPr="00A21682" w:rsidRDefault="00420F55" w:rsidP="005B076C">
            <w:pPr>
              <w:pStyle w:val="TABLEBULLETNEW"/>
            </w:pPr>
            <w:r>
              <w:t>Deloitte Technology Team</w:t>
            </w:r>
          </w:p>
        </w:tc>
        <w:tc>
          <w:tcPr>
            <w:tcW w:w="3856" w:type="dxa"/>
            <w:tcBorders>
              <w:top w:val="single" w:sz="4" w:space="0" w:color="auto"/>
              <w:left w:val="single" w:sz="4" w:space="0" w:color="auto"/>
              <w:bottom w:val="single" w:sz="4" w:space="0" w:color="auto"/>
              <w:right w:val="single" w:sz="4" w:space="0" w:color="auto"/>
            </w:tcBorders>
            <w:shd w:val="clear" w:color="auto" w:fill="FFFFFF"/>
            <w:tcMar>
              <w:top w:w="0" w:type="dxa"/>
              <w:left w:w="58" w:type="dxa"/>
              <w:bottom w:w="0" w:type="dxa"/>
              <w:right w:w="58" w:type="dxa"/>
            </w:tcMar>
          </w:tcPr>
          <w:p w14:paraId="6A723CD1" w14:textId="77777777" w:rsidR="00420F55" w:rsidRDefault="00420F55" w:rsidP="005B076C">
            <w:pPr>
              <w:pStyle w:val="TABLEBULLETNEW"/>
            </w:pPr>
            <w:r>
              <w:t>Create/edit issues in the ALM tool</w:t>
            </w:r>
          </w:p>
          <w:p w14:paraId="27F59FBC" w14:textId="3B93FB96" w:rsidR="00420F55" w:rsidRPr="00A21682" w:rsidRDefault="00420F55" w:rsidP="005B076C">
            <w:pPr>
              <w:pStyle w:val="TABLEBULLETNEW"/>
            </w:pPr>
            <w:r>
              <w:t>Create/edit linkages in the ALM tool</w:t>
            </w:r>
          </w:p>
        </w:tc>
      </w:tr>
    </w:tbl>
    <w:p w14:paraId="5D01F504" w14:textId="7AC47F09" w:rsidR="006655C9" w:rsidRPr="00A21682" w:rsidRDefault="006655C9" w:rsidP="006655C9">
      <w:pPr>
        <w:pStyle w:val="Caption"/>
        <w:rPr>
          <w:noProof w:val="0"/>
        </w:rPr>
      </w:pPr>
      <w:bookmarkStart w:id="1690" w:name="_Toc192875167"/>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82</w:t>
      </w:r>
      <w:r>
        <w:rPr>
          <w:noProof w:val="0"/>
        </w:rPr>
        <w:fldChar w:fldCharType="end"/>
      </w:r>
      <w:r>
        <w:rPr>
          <w:noProof w:val="0"/>
        </w:rPr>
        <w:t>: Requirements Management Tool Roles and Permissions</w:t>
      </w:r>
      <w:bookmarkEnd w:id="1690"/>
    </w:p>
    <w:p w14:paraId="2F218D18" w14:textId="77777777" w:rsidR="006655C9" w:rsidRPr="00A21682" w:rsidRDefault="006655C9" w:rsidP="006655C9">
      <w:pPr>
        <w:pStyle w:val="Heading3"/>
        <w:rPr>
          <w:u w:color="000000"/>
        </w:rPr>
      </w:pPr>
      <w:bookmarkStart w:id="1691" w:name="_Toc192874810"/>
      <w:r>
        <w:rPr>
          <w:u w:color="000000"/>
        </w:rPr>
        <w:t>ALM Tool Workflows</w:t>
      </w:r>
      <w:bookmarkEnd w:id="1691"/>
      <w:r>
        <w:rPr>
          <w:u w:color="000000"/>
        </w:rPr>
        <w:t xml:space="preserve"> </w:t>
      </w:r>
    </w:p>
    <w:p w14:paraId="352EA81D" w14:textId="71A65E96" w:rsidR="006655C9" w:rsidRPr="00A21682" w:rsidRDefault="00420F55" w:rsidP="006655C9">
      <w:pPr>
        <w:pStyle w:val="NormalNEW"/>
        <w:rPr>
          <w:u w:color="000000"/>
          <w:lang w:val="en-US" w:eastAsia="ko-KR"/>
        </w:rPr>
      </w:pPr>
      <w:r>
        <w:rPr>
          <w:u w:color="000000"/>
          <w:lang w:val="en-US" w:eastAsia="ko-KR"/>
        </w:rPr>
        <w:t>Workflow does not apply for requirements traceability; however, the following diagram depicts the conceptual design for requirements traceability across the MECM SDLC.</w:t>
      </w:r>
    </w:p>
    <w:p w14:paraId="121B1022" w14:textId="334695AF" w:rsidR="00420F55" w:rsidRPr="00A21682" w:rsidRDefault="00420F55" w:rsidP="006655C9">
      <w:pPr>
        <w:pStyle w:val="NormalNEW"/>
        <w:rPr>
          <w:u w:color="000000"/>
          <w:lang w:val="en-US" w:eastAsia="ko-KR"/>
        </w:rPr>
      </w:pPr>
      <w:r>
        <w:rPr>
          <w:b/>
          <w:noProof/>
          <w:u w:color="000000"/>
          <w:lang w:val="en-US"/>
        </w:rPr>
        <w:drawing>
          <wp:inline distT="0" distB="0" distL="0" distR="0" wp14:anchorId="35E9304B" wp14:editId="4F610467">
            <wp:extent cx="5943600" cy="2830195"/>
            <wp:effectExtent l="19050" t="19050" r="19050" b="27305"/>
            <wp:docPr id="1519003419" name="Picture 151900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2830195"/>
                    </a:xfrm>
                    <a:prstGeom prst="rect">
                      <a:avLst/>
                    </a:prstGeom>
                    <a:noFill/>
                    <a:ln w="9525">
                      <a:solidFill>
                        <a:schemeClr val="tx1"/>
                      </a:solidFill>
                    </a:ln>
                  </pic:spPr>
                </pic:pic>
              </a:graphicData>
            </a:graphic>
          </wp:inline>
        </w:drawing>
      </w:r>
    </w:p>
    <w:p w14:paraId="062BCC2F" w14:textId="0C2412AB" w:rsidR="006655C9" w:rsidRPr="00A21682" w:rsidRDefault="006655C9" w:rsidP="006655C9">
      <w:pPr>
        <w:pStyle w:val="Caption"/>
        <w:rPr>
          <w:noProof w:val="0"/>
        </w:rPr>
      </w:pPr>
      <w:bookmarkStart w:id="1692" w:name="_Toc192875064"/>
      <w:r>
        <w:rPr>
          <w:noProof w:val="0"/>
        </w:rPr>
        <w:t xml:space="preserve">Figure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t>27</w:t>
      </w:r>
      <w:r>
        <w:rPr>
          <w:noProof w:val="0"/>
        </w:rPr>
        <w:fldChar w:fldCharType="end"/>
      </w:r>
      <w:r>
        <w:rPr>
          <w:noProof w:val="0"/>
        </w:rPr>
        <w:t>: Requirements Traceability Conceptual Design</w:t>
      </w:r>
      <w:bookmarkEnd w:id="1692"/>
    </w:p>
    <w:p w14:paraId="5944E411" w14:textId="77777777" w:rsidR="006655C9" w:rsidRPr="00A21682" w:rsidRDefault="006655C9" w:rsidP="006655C9">
      <w:pPr>
        <w:pStyle w:val="NormalNEW"/>
        <w:keepNext/>
        <w:rPr>
          <w:u w:color="000000"/>
          <w:lang w:val="en-US"/>
        </w:rPr>
      </w:pPr>
      <w:r>
        <w:rPr>
          <w:u w:color="000000"/>
          <w:lang w:val="en-US"/>
        </w:rPr>
        <w:lastRenderedPageBreak/>
        <w:t xml:space="preserve">The following table describes each workflow step illustrated above. </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9"/>
        <w:gridCol w:w="2128"/>
        <w:gridCol w:w="4303"/>
        <w:gridCol w:w="2109"/>
      </w:tblGrid>
      <w:tr w:rsidR="006655C9" w:rsidRPr="00A21682" w14:paraId="562B06A8" w14:textId="77777777" w:rsidTr="00012274">
        <w:trPr>
          <w:trHeight w:val="276"/>
          <w:tblHeader/>
        </w:trPr>
        <w:tc>
          <w:tcPr>
            <w:tcW w:w="899" w:type="dxa"/>
            <w:tcBorders>
              <w:right w:val="single" w:sz="4" w:space="0" w:color="FFFFFF" w:themeColor="background1"/>
            </w:tcBorders>
            <w:shd w:val="clear" w:color="auto" w:fill="000000" w:themeFill="text1"/>
            <w:noWrap/>
            <w:tcMar>
              <w:top w:w="0" w:type="dxa"/>
              <w:left w:w="108" w:type="dxa"/>
              <w:bottom w:w="0" w:type="dxa"/>
              <w:right w:w="108" w:type="dxa"/>
            </w:tcMar>
            <w:vAlign w:val="center"/>
            <w:hideMark/>
          </w:tcPr>
          <w:p w14:paraId="42EE3478" w14:textId="77777777" w:rsidR="006655C9" w:rsidRPr="00A21682" w:rsidRDefault="006655C9" w:rsidP="008008EF">
            <w:pPr>
              <w:spacing w:before="60" w:after="60"/>
              <w:rPr>
                <w:rFonts w:ascii="Verdana" w:hAnsi="Verdana"/>
                <w:b/>
                <w:color w:val="FFFFFF"/>
                <w:sz w:val="18"/>
                <w:szCs w:val="18"/>
              </w:rPr>
            </w:pPr>
            <w:r>
              <w:rPr>
                <w:rFonts w:ascii="Verdana" w:hAnsi="Verdana"/>
                <w:b/>
                <w:color w:val="FFFFFF"/>
                <w:sz w:val="18"/>
                <w:szCs w:val="18"/>
              </w:rPr>
              <w:t>Step #</w:t>
            </w:r>
          </w:p>
        </w:tc>
        <w:tc>
          <w:tcPr>
            <w:tcW w:w="2128" w:type="dxa"/>
            <w:tcBorders>
              <w:left w:val="single" w:sz="4" w:space="0" w:color="FFFFFF" w:themeColor="background1"/>
              <w:right w:val="single" w:sz="4" w:space="0" w:color="FFFFFF" w:themeColor="background1"/>
            </w:tcBorders>
            <w:shd w:val="clear" w:color="auto" w:fill="000000"/>
            <w:tcMar>
              <w:top w:w="0" w:type="dxa"/>
              <w:left w:w="108" w:type="dxa"/>
              <w:bottom w:w="0" w:type="dxa"/>
              <w:right w:w="108" w:type="dxa"/>
            </w:tcMar>
            <w:vAlign w:val="center"/>
            <w:hideMark/>
          </w:tcPr>
          <w:p w14:paraId="475FC6B2" w14:textId="77777777" w:rsidR="006655C9" w:rsidRPr="00A21682" w:rsidRDefault="006655C9" w:rsidP="008008EF">
            <w:pPr>
              <w:spacing w:before="60" w:after="60"/>
              <w:rPr>
                <w:rFonts w:ascii="Verdana" w:hAnsi="Verdana"/>
                <w:b/>
                <w:bCs/>
                <w:color w:val="FFFFFF"/>
                <w:sz w:val="18"/>
                <w:szCs w:val="18"/>
              </w:rPr>
            </w:pPr>
            <w:r>
              <w:rPr>
                <w:rFonts w:ascii="Verdana" w:hAnsi="Verdana"/>
                <w:b/>
                <w:bCs/>
                <w:color w:val="FFFFFF"/>
                <w:sz w:val="18"/>
                <w:szCs w:val="18"/>
              </w:rPr>
              <w:t>High-Level Process</w:t>
            </w:r>
          </w:p>
        </w:tc>
        <w:tc>
          <w:tcPr>
            <w:tcW w:w="4303" w:type="dxa"/>
            <w:tcBorders>
              <w:left w:val="single" w:sz="4" w:space="0" w:color="FFFFFF" w:themeColor="background1"/>
              <w:right w:val="single" w:sz="4" w:space="0" w:color="FFFFFF" w:themeColor="background1"/>
            </w:tcBorders>
            <w:shd w:val="clear" w:color="auto" w:fill="000000"/>
            <w:tcMar>
              <w:top w:w="0" w:type="dxa"/>
              <w:left w:w="108" w:type="dxa"/>
              <w:bottom w:w="0" w:type="dxa"/>
              <w:right w:w="108" w:type="dxa"/>
            </w:tcMar>
            <w:vAlign w:val="center"/>
            <w:hideMark/>
          </w:tcPr>
          <w:p w14:paraId="4056721B" w14:textId="77777777" w:rsidR="006655C9" w:rsidRPr="00A21682" w:rsidRDefault="006655C9" w:rsidP="008008EF">
            <w:pPr>
              <w:spacing w:before="60" w:after="60"/>
              <w:rPr>
                <w:rFonts w:ascii="Verdana" w:hAnsi="Verdana"/>
                <w:b/>
                <w:bCs/>
                <w:color w:val="FFFFFF"/>
                <w:sz w:val="18"/>
                <w:szCs w:val="18"/>
              </w:rPr>
            </w:pPr>
            <w:r>
              <w:rPr>
                <w:rFonts w:ascii="Verdana" w:hAnsi="Verdana"/>
                <w:b/>
                <w:bCs/>
                <w:color w:val="FFFFFF"/>
                <w:sz w:val="18"/>
                <w:szCs w:val="18"/>
              </w:rPr>
              <w:t>Description</w:t>
            </w:r>
          </w:p>
        </w:tc>
        <w:tc>
          <w:tcPr>
            <w:tcW w:w="2109" w:type="dxa"/>
            <w:tcBorders>
              <w:left w:val="single" w:sz="4" w:space="0" w:color="FFFFFF" w:themeColor="background1"/>
            </w:tcBorders>
            <w:shd w:val="clear" w:color="auto" w:fill="000000"/>
            <w:tcMar>
              <w:top w:w="0" w:type="dxa"/>
              <w:left w:w="108" w:type="dxa"/>
              <w:bottom w:w="0" w:type="dxa"/>
              <w:right w:w="108" w:type="dxa"/>
            </w:tcMar>
            <w:vAlign w:val="center"/>
            <w:hideMark/>
          </w:tcPr>
          <w:p w14:paraId="4F644EAC" w14:textId="37E504FB" w:rsidR="006655C9" w:rsidRPr="00A21682" w:rsidRDefault="006655C9" w:rsidP="008008EF">
            <w:pPr>
              <w:spacing w:before="60" w:after="60"/>
              <w:rPr>
                <w:rFonts w:ascii="Verdana" w:hAnsi="Verdana"/>
                <w:b/>
                <w:bCs/>
                <w:color w:val="FFFFFF"/>
                <w:sz w:val="18"/>
                <w:szCs w:val="18"/>
              </w:rPr>
            </w:pPr>
            <w:r>
              <w:rPr>
                <w:rFonts w:ascii="Verdana" w:hAnsi="Verdana"/>
                <w:b/>
                <w:bCs/>
                <w:color w:val="FFFFFF"/>
                <w:sz w:val="18"/>
                <w:szCs w:val="18"/>
              </w:rPr>
              <w:t>Step Owner</w:t>
            </w:r>
          </w:p>
        </w:tc>
      </w:tr>
      <w:tr w:rsidR="006655C9" w:rsidRPr="00A21682" w14:paraId="5685ED73" w14:textId="77777777" w:rsidTr="00012274">
        <w:trPr>
          <w:trHeight w:val="380"/>
        </w:trPr>
        <w:tc>
          <w:tcPr>
            <w:tcW w:w="899" w:type="dxa"/>
            <w:shd w:val="clear" w:color="auto" w:fill="FFFFFF"/>
            <w:tcMar>
              <w:top w:w="0" w:type="dxa"/>
              <w:left w:w="108" w:type="dxa"/>
              <w:bottom w:w="0" w:type="dxa"/>
              <w:right w:w="108" w:type="dxa"/>
            </w:tcMar>
            <w:hideMark/>
          </w:tcPr>
          <w:p w14:paraId="4BAB43A1" w14:textId="77777777" w:rsidR="006655C9" w:rsidRPr="00A21682" w:rsidRDefault="006655C9" w:rsidP="008008EF">
            <w:pPr>
              <w:spacing w:before="60" w:after="60"/>
              <w:rPr>
                <w:rFonts w:ascii="Verdana" w:hAnsi="Verdana"/>
                <w:color w:val="000000"/>
                <w:sz w:val="18"/>
                <w:szCs w:val="18"/>
              </w:rPr>
            </w:pPr>
            <w:r>
              <w:rPr>
                <w:u w:color="000000"/>
              </w:rPr>
              <w:t>1</w:t>
            </w:r>
          </w:p>
        </w:tc>
        <w:tc>
          <w:tcPr>
            <w:tcW w:w="2128" w:type="dxa"/>
            <w:shd w:val="clear" w:color="auto" w:fill="FFFFFF"/>
            <w:tcMar>
              <w:top w:w="0" w:type="dxa"/>
              <w:left w:w="108" w:type="dxa"/>
              <w:bottom w:w="0" w:type="dxa"/>
              <w:right w:w="108" w:type="dxa"/>
            </w:tcMar>
            <w:hideMark/>
          </w:tcPr>
          <w:p w14:paraId="044E6736" w14:textId="7A942468"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Load Requirements to the ALM tool</w:t>
            </w:r>
          </w:p>
        </w:tc>
        <w:tc>
          <w:tcPr>
            <w:tcW w:w="4303" w:type="dxa"/>
            <w:shd w:val="clear" w:color="auto" w:fill="FFFFFF"/>
            <w:tcMar>
              <w:top w:w="0" w:type="dxa"/>
              <w:left w:w="108" w:type="dxa"/>
              <w:bottom w:w="0" w:type="dxa"/>
              <w:right w:w="108" w:type="dxa"/>
            </w:tcMar>
            <w:hideMark/>
          </w:tcPr>
          <w:p w14:paraId="4EDA2F6C" w14:textId="2A384A13"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Baselined requirements are loaded to the ALM tool</w:t>
            </w:r>
          </w:p>
        </w:tc>
        <w:tc>
          <w:tcPr>
            <w:tcW w:w="2109" w:type="dxa"/>
            <w:shd w:val="clear" w:color="auto" w:fill="FFFFFF"/>
            <w:tcMar>
              <w:top w:w="0" w:type="dxa"/>
              <w:left w:w="108" w:type="dxa"/>
              <w:bottom w:w="0" w:type="dxa"/>
              <w:right w:w="108" w:type="dxa"/>
            </w:tcMar>
            <w:hideMark/>
          </w:tcPr>
          <w:p w14:paraId="235A33E7" w14:textId="2AF29EAD" w:rsidR="006655C9" w:rsidRPr="00A21682" w:rsidRDefault="00477B1B" w:rsidP="008008EF">
            <w:pPr>
              <w:pStyle w:val="TABLEBULLETNEW"/>
            </w:pPr>
            <w:r>
              <w:t>███████ Functional Lead</w:t>
            </w:r>
          </w:p>
        </w:tc>
      </w:tr>
      <w:tr w:rsidR="006655C9" w:rsidRPr="00A21682" w14:paraId="50A1BB00" w14:textId="77777777" w:rsidTr="00012274">
        <w:trPr>
          <w:trHeight w:val="380"/>
        </w:trPr>
        <w:tc>
          <w:tcPr>
            <w:tcW w:w="899" w:type="dxa"/>
            <w:shd w:val="clear" w:color="auto" w:fill="FFFFFF"/>
            <w:tcMar>
              <w:top w:w="0" w:type="dxa"/>
              <w:left w:w="108" w:type="dxa"/>
              <w:bottom w:w="0" w:type="dxa"/>
              <w:right w:w="108" w:type="dxa"/>
            </w:tcMar>
            <w:hideMark/>
          </w:tcPr>
          <w:p w14:paraId="6AF32805" w14:textId="77777777" w:rsidR="006655C9" w:rsidRPr="00A21682" w:rsidRDefault="006655C9" w:rsidP="008008EF">
            <w:pPr>
              <w:spacing w:before="60" w:after="60"/>
              <w:rPr>
                <w:rFonts w:ascii="Verdana" w:hAnsi="Verdana"/>
                <w:color w:val="000000"/>
                <w:sz w:val="18"/>
                <w:szCs w:val="18"/>
              </w:rPr>
            </w:pPr>
            <w:r>
              <w:rPr>
                <w:u w:color="000000"/>
              </w:rPr>
              <w:t>2</w:t>
            </w:r>
          </w:p>
        </w:tc>
        <w:tc>
          <w:tcPr>
            <w:tcW w:w="2128" w:type="dxa"/>
            <w:shd w:val="clear" w:color="auto" w:fill="FFFFFF"/>
            <w:tcMar>
              <w:top w:w="0" w:type="dxa"/>
              <w:left w:w="108" w:type="dxa"/>
              <w:bottom w:w="0" w:type="dxa"/>
              <w:right w:w="108" w:type="dxa"/>
            </w:tcMar>
            <w:hideMark/>
          </w:tcPr>
          <w:p w14:paraId="0D534074" w14:textId="0EB83A9E"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Create Design Documents</w:t>
            </w:r>
          </w:p>
        </w:tc>
        <w:tc>
          <w:tcPr>
            <w:tcW w:w="4303" w:type="dxa"/>
            <w:shd w:val="clear" w:color="auto" w:fill="FFFFFF"/>
            <w:tcMar>
              <w:top w:w="0" w:type="dxa"/>
              <w:left w:w="108" w:type="dxa"/>
              <w:bottom w:w="0" w:type="dxa"/>
              <w:right w:w="108" w:type="dxa"/>
            </w:tcMar>
            <w:hideMark/>
          </w:tcPr>
          <w:p w14:paraId="4DDC66B3" w14:textId="35816885"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Design work items are created and managed in the ALM tool to track review and approval processes</w:t>
            </w:r>
          </w:p>
        </w:tc>
        <w:tc>
          <w:tcPr>
            <w:tcW w:w="2109" w:type="dxa"/>
            <w:shd w:val="clear" w:color="auto" w:fill="FFFFFF"/>
            <w:tcMar>
              <w:top w:w="0" w:type="dxa"/>
              <w:left w:w="108" w:type="dxa"/>
              <w:bottom w:w="0" w:type="dxa"/>
              <w:right w:w="108" w:type="dxa"/>
            </w:tcMar>
            <w:hideMark/>
          </w:tcPr>
          <w:p w14:paraId="1B5CC296" w14:textId="795E7112" w:rsidR="006655C9" w:rsidRPr="00A21682" w:rsidRDefault="00477B1B" w:rsidP="008008EF">
            <w:pPr>
              <w:pStyle w:val="TABLEBULLETNEW"/>
            </w:pPr>
            <w:r>
              <w:t>███████ Functional Lead</w:t>
            </w:r>
          </w:p>
        </w:tc>
      </w:tr>
      <w:tr w:rsidR="006655C9" w:rsidRPr="00A21682" w14:paraId="3264F7D6" w14:textId="77777777" w:rsidTr="00012274">
        <w:trPr>
          <w:trHeight w:val="380"/>
        </w:trPr>
        <w:tc>
          <w:tcPr>
            <w:tcW w:w="899" w:type="dxa"/>
            <w:shd w:val="clear" w:color="auto" w:fill="FFFFFF"/>
            <w:tcMar>
              <w:top w:w="0" w:type="dxa"/>
              <w:left w:w="108" w:type="dxa"/>
              <w:bottom w:w="0" w:type="dxa"/>
              <w:right w:w="108" w:type="dxa"/>
            </w:tcMar>
            <w:hideMark/>
          </w:tcPr>
          <w:p w14:paraId="678FC5EA" w14:textId="77777777" w:rsidR="006655C9" w:rsidRPr="00A21682" w:rsidRDefault="006655C9" w:rsidP="008008EF">
            <w:pPr>
              <w:spacing w:before="60" w:after="60"/>
              <w:rPr>
                <w:rFonts w:ascii="Verdana" w:hAnsi="Verdana"/>
                <w:color w:val="000000"/>
                <w:sz w:val="18"/>
                <w:szCs w:val="18"/>
              </w:rPr>
            </w:pPr>
            <w:r>
              <w:rPr>
                <w:u w:color="000000"/>
              </w:rPr>
              <w:t>3</w:t>
            </w:r>
          </w:p>
        </w:tc>
        <w:tc>
          <w:tcPr>
            <w:tcW w:w="2128" w:type="dxa"/>
            <w:shd w:val="clear" w:color="auto" w:fill="FFFFFF"/>
            <w:tcMar>
              <w:top w:w="0" w:type="dxa"/>
              <w:left w:w="108" w:type="dxa"/>
              <w:bottom w:w="0" w:type="dxa"/>
              <w:right w:w="108" w:type="dxa"/>
            </w:tcMar>
            <w:hideMark/>
          </w:tcPr>
          <w:p w14:paraId="11A896D3" w14:textId="1A4F31E0"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Finalized Design Items are mapped to Requirements in the ALM tool</w:t>
            </w:r>
          </w:p>
        </w:tc>
        <w:tc>
          <w:tcPr>
            <w:tcW w:w="4303" w:type="dxa"/>
            <w:shd w:val="clear" w:color="auto" w:fill="FFFFFF"/>
            <w:tcMar>
              <w:top w:w="0" w:type="dxa"/>
              <w:left w:w="108" w:type="dxa"/>
              <w:bottom w:w="0" w:type="dxa"/>
              <w:right w:w="108" w:type="dxa"/>
            </w:tcMar>
            <w:hideMark/>
          </w:tcPr>
          <w:p w14:paraId="0BAED6F3" w14:textId="3CF6DBA6"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At the end of the Design phase, an RTM linking finalized Design Documents to baselined requirements is submitted in the ALM tool</w:t>
            </w:r>
          </w:p>
        </w:tc>
        <w:tc>
          <w:tcPr>
            <w:tcW w:w="2109" w:type="dxa"/>
            <w:shd w:val="clear" w:color="auto" w:fill="FFFFFF"/>
            <w:tcMar>
              <w:top w:w="0" w:type="dxa"/>
              <w:left w:w="108" w:type="dxa"/>
              <w:bottom w:w="0" w:type="dxa"/>
              <w:right w:w="108" w:type="dxa"/>
            </w:tcMar>
            <w:hideMark/>
          </w:tcPr>
          <w:p w14:paraId="4D78E7E4" w14:textId="651C4C02" w:rsidR="006655C9" w:rsidRPr="00A21682" w:rsidRDefault="00477B1B" w:rsidP="008008EF">
            <w:pPr>
              <w:pStyle w:val="TABLEBULLETNEW"/>
            </w:pPr>
            <w:r>
              <w:t>███████ Functional Lead</w:t>
            </w:r>
          </w:p>
        </w:tc>
      </w:tr>
      <w:tr w:rsidR="006655C9" w:rsidRPr="00A21682" w14:paraId="505A3C0D" w14:textId="77777777" w:rsidTr="00012274">
        <w:trPr>
          <w:trHeight w:val="380"/>
        </w:trPr>
        <w:tc>
          <w:tcPr>
            <w:tcW w:w="899" w:type="dxa"/>
            <w:shd w:val="clear" w:color="auto" w:fill="FFFFFF"/>
            <w:tcMar>
              <w:top w:w="0" w:type="dxa"/>
              <w:left w:w="108" w:type="dxa"/>
              <w:bottom w:w="0" w:type="dxa"/>
              <w:right w:w="108" w:type="dxa"/>
            </w:tcMar>
          </w:tcPr>
          <w:p w14:paraId="668496B2" w14:textId="6098A70D" w:rsidR="006655C9" w:rsidRPr="00A21682" w:rsidRDefault="00477B1B" w:rsidP="008008EF">
            <w:pPr>
              <w:spacing w:before="60" w:after="60"/>
              <w:rPr>
                <w:rFonts w:ascii="Verdana" w:hAnsi="Verdana"/>
                <w:color w:val="000000"/>
                <w:sz w:val="18"/>
                <w:szCs w:val="18"/>
              </w:rPr>
            </w:pPr>
            <w:r>
              <w:rPr>
                <w:u w:color="000000"/>
              </w:rPr>
              <w:t>4</w:t>
            </w:r>
          </w:p>
        </w:tc>
        <w:tc>
          <w:tcPr>
            <w:tcW w:w="2128" w:type="dxa"/>
            <w:shd w:val="clear" w:color="auto" w:fill="FFFFFF"/>
            <w:tcMar>
              <w:top w:w="0" w:type="dxa"/>
              <w:left w:w="108" w:type="dxa"/>
              <w:bottom w:w="0" w:type="dxa"/>
              <w:right w:w="108" w:type="dxa"/>
            </w:tcMar>
          </w:tcPr>
          <w:p w14:paraId="07960F39" w14:textId="45E52180"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Create design items and link to requirement in the ALM tool</w:t>
            </w:r>
          </w:p>
        </w:tc>
        <w:tc>
          <w:tcPr>
            <w:tcW w:w="4303" w:type="dxa"/>
            <w:shd w:val="clear" w:color="auto" w:fill="FFFFFF"/>
            <w:tcMar>
              <w:top w:w="0" w:type="dxa"/>
              <w:left w:w="108" w:type="dxa"/>
              <w:bottom w:w="0" w:type="dxa"/>
              <w:right w:w="108" w:type="dxa"/>
            </w:tcMar>
          </w:tcPr>
          <w:p w14:paraId="4993E71D" w14:textId="6297D09A" w:rsidR="006655C9" w:rsidRPr="00A21682" w:rsidRDefault="00477B1B" w:rsidP="008008EF">
            <w:pPr>
              <w:spacing w:before="60" w:after="60"/>
            </w:pPr>
            <w:r>
              <w:rPr>
                <w:rFonts w:ascii="Verdana" w:hAnsi="Verdana"/>
                <w:sz w:val="18"/>
                <w:szCs w:val="18"/>
                <w:u w:color="000000"/>
              </w:rPr>
              <w:t>Automated sync creates design item in the ALM tool and traces back to the requirement in the ALM tool</w:t>
            </w:r>
          </w:p>
        </w:tc>
        <w:tc>
          <w:tcPr>
            <w:tcW w:w="2109" w:type="dxa"/>
            <w:shd w:val="clear" w:color="auto" w:fill="FFFFFF"/>
            <w:tcMar>
              <w:top w:w="0" w:type="dxa"/>
              <w:left w:w="108" w:type="dxa"/>
              <w:bottom w:w="0" w:type="dxa"/>
              <w:right w:w="108" w:type="dxa"/>
            </w:tcMar>
          </w:tcPr>
          <w:p w14:paraId="4A1630C8" w14:textId="7A2870B1" w:rsidR="006655C9" w:rsidRPr="00A21682" w:rsidRDefault="00477B1B" w:rsidP="008008EF">
            <w:pPr>
              <w:pStyle w:val="TABLEBULLETNEW"/>
            </w:pPr>
            <w:r>
              <w:t>N/A</w:t>
            </w:r>
          </w:p>
        </w:tc>
      </w:tr>
      <w:tr w:rsidR="006655C9" w:rsidRPr="00A21682" w14:paraId="28B84EA0" w14:textId="77777777" w:rsidTr="00012274">
        <w:trPr>
          <w:trHeight w:val="380"/>
        </w:trPr>
        <w:tc>
          <w:tcPr>
            <w:tcW w:w="899" w:type="dxa"/>
            <w:shd w:val="clear" w:color="auto" w:fill="FFFFFF"/>
            <w:tcMar>
              <w:top w:w="0" w:type="dxa"/>
              <w:left w:w="108" w:type="dxa"/>
              <w:bottom w:w="0" w:type="dxa"/>
              <w:right w:w="108" w:type="dxa"/>
            </w:tcMar>
            <w:hideMark/>
          </w:tcPr>
          <w:p w14:paraId="30BE9EEF" w14:textId="296594E8" w:rsidR="006655C9" w:rsidRPr="00A21682" w:rsidRDefault="00477B1B" w:rsidP="008008EF">
            <w:pPr>
              <w:spacing w:before="60" w:after="60"/>
              <w:rPr>
                <w:rFonts w:ascii="Verdana" w:hAnsi="Verdana"/>
                <w:color w:val="000000"/>
                <w:sz w:val="18"/>
                <w:szCs w:val="18"/>
              </w:rPr>
            </w:pPr>
            <w:r>
              <w:rPr>
                <w:u w:color="000000"/>
              </w:rPr>
              <w:t>5</w:t>
            </w:r>
          </w:p>
        </w:tc>
        <w:tc>
          <w:tcPr>
            <w:tcW w:w="2128" w:type="dxa"/>
            <w:shd w:val="clear" w:color="auto" w:fill="FFFFFF"/>
            <w:tcMar>
              <w:top w:w="0" w:type="dxa"/>
              <w:left w:w="108" w:type="dxa"/>
              <w:bottom w:w="0" w:type="dxa"/>
              <w:right w:w="108" w:type="dxa"/>
            </w:tcMar>
            <w:hideMark/>
          </w:tcPr>
          <w:p w14:paraId="1BE3F2FF" w14:textId="7627E454"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Create Development Widgets</w:t>
            </w:r>
          </w:p>
        </w:tc>
        <w:tc>
          <w:tcPr>
            <w:tcW w:w="4303" w:type="dxa"/>
            <w:shd w:val="clear" w:color="auto" w:fill="FFFFFF"/>
            <w:tcMar>
              <w:top w:w="0" w:type="dxa"/>
              <w:left w:w="108" w:type="dxa"/>
              <w:bottom w:w="0" w:type="dxa"/>
              <w:right w:w="108" w:type="dxa"/>
            </w:tcMar>
            <w:hideMark/>
          </w:tcPr>
          <w:p w14:paraId="12EDCEA5" w14:textId="14F35FDE"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Development widgets are created and managed in the ALM tool through the development and unit testing processes</w:t>
            </w:r>
          </w:p>
        </w:tc>
        <w:tc>
          <w:tcPr>
            <w:tcW w:w="2109" w:type="dxa"/>
            <w:shd w:val="clear" w:color="auto" w:fill="FFFFFF"/>
            <w:tcMar>
              <w:top w:w="0" w:type="dxa"/>
              <w:left w:w="108" w:type="dxa"/>
              <w:bottom w:w="0" w:type="dxa"/>
              <w:right w:w="108" w:type="dxa"/>
            </w:tcMar>
            <w:hideMark/>
          </w:tcPr>
          <w:p w14:paraId="481D57A6" w14:textId="522BA580" w:rsidR="006655C9" w:rsidRPr="00A21682" w:rsidRDefault="00477B1B" w:rsidP="008008EF">
            <w:pPr>
              <w:pStyle w:val="TABLEBULLETNEW"/>
            </w:pPr>
            <w:r>
              <w:t>███████ Dev Lead</w:t>
            </w:r>
          </w:p>
        </w:tc>
      </w:tr>
      <w:tr w:rsidR="006655C9" w:rsidRPr="00A21682" w14:paraId="17EF3767" w14:textId="77777777" w:rsidTr="00012274">
        <w:trPr>
          <w:trHeight w:val="276"/>
        </w:trPr>
        <w:tc>
          <w:tcPr>
            <w:tcW w:w="899" w:type="dxa"/>
            <w:shd w:val="clear" w:color="auto" w:fill="FFFFFF"/>
            <w:tcMar>
              <w:top w:w="0" w:type="dxa"/>
              <w:left w:w="108" w:type="dxa"/>
              <w:bottom w:w="0" w:type="dxa"/>
              <w:right w:w="108" w:type="dxa"/>
            </w:tcMar>
            <w:hideMark/>
          </w:tcPr>
          <w:p w14:paraId="41AD295D" w14:textId="0DA3A00F" w:rsidR="006655C9" w:rsidRPr="00A21682" w:rsidRDefault="00477B1B" w:rsidP="008008EF">
            <w:pPr>
              <w:spacing w:before="60" w:after="60"/>
              <w:rPr>
                <w:rFonts w:ascii="Verdana" w:hAnsi="Verdana"/>
                <w:color w:val="000000"/>
                <w:sz w:val="18"/>
                <w:szCs w:val="18"/>
              </w:rPr>
            </w:pPr>
            <w:r>
              <w:rPr>
                <w:u w:color="000000"/>
              </w:rPr>
              <w:t>6</w:t>
            </w:r>
          </w:p>
        </w:tc>
        <w:tc>
          <w:tcPr>
            <w:tcW w:w="2128" w:type="dxa"/>
            <w:shd w:val="clear" w:color="auto" w:fill="FFFFFF"/>
            <w:tcMar>
              <w:top w:w="0" w:type="dxa"/>
              <w:left w:w="108" w:type="dxa"/>
              <w:bottom w:w="0" w:type="dxa"/>
              <w:right w:w="108" w:type="dxa"/>
            </w:tcMar>
            <w:hideMark/>
          </w:tcPr>
          <w:p w14:paraId="2B18BB70" w14:textId="0AACD991"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Map finalized Development widgets to Design items in the ALM tool</w:t>
            </w:r>
          </w:p>
        </w:tc>
        <w:tc>
          <w:tcPr>
            <w:tcW w:w="4303" w:type="dxa"/>
            <w:shd w:val="clear" w:color="auto" w:fill="FFFFFF"/>
            <w:tcMar>
              <w:top w:w="0" w:type="dxa"/>
              <w:left w:w="108" w:type="dxa"/>
              <w:bottom w:w="0" w:type="dxa"/>
              <w:right w:w="108" w:type="dxa"/>
            </w:tcMar>
            <w:hideMark/>
          </w:tcPr>
          <w:p w14:paraId="6EDB8BAE" w14:textId="57FE285A"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At the end of the Development phase, an RTM linking finalized Development widgets to design items is submitted in the ALM tool</w:t>
            </w:r>
          </w:p>
        </w:tc>
        <w:tc>
          <w:tcPr>
            <w:tcW w:w="2109" w:type="dxa"/>
            <w:shd w:val="clear" w:color="auto" w:fill="FFFFFF"/>
            <w:tcMar>
              <w:top w:w="0" w:type="dxa"/>
              <w:left w:w="108" w:type="dxa"/>
              <w:bottom w:w="0" w:type="dxa"/>
              <w:right w:w="108" w:type="dxa"/>
            </w:tcMar>
            <w:hideMark/>
          </w:tcPr>
          <w:p w14:paraId="778A83CD" w14:textId="28D61200" w:rsidR="006655C9" w:rsidRPr="00A21682" w:rsidRDefault="00477B1B" w:rsidP="008008EF">
            <w:pPr>
              <w:pStyle w:val="TABLEBULLETNEW"/>
            </w:pPr>
            <w:r>
              <w:t>███████ Dev Lead</w:t>
            </w:r>
          </w:p>
        </w:tc>
      </w:tr>
      <w:tr w:rsidR="006655C9" w:rsidRPr="00A21682" w14:paraId="3E35EDD9" w14:textId="77777777" w:rsidTr="00012274">
        <w:trPr>
          <w:trHeight w:val="380"/>
        </w:trPr>
        <w:tc>
          <w:tcPr>
            <w:tcW w:w="899" w:type="dxa"/>
            <w:shd w:val="clear" w:color="auto" w:fill="FFFFFF"/>
            <w:tcMar>
              <w:top w:w="0" w:type="dxa"/>
              <w:left w:w="108" w:type="dxa"/>
              <w:bottom w:w="0" w:type="dxa"/>
              <w:right w:w="108" w:type="dxa"/>
            </w:tcMar>
            <w:hideMark/>
          </w:tcPr>
          <w:p w14:paraId="4F2D1B7F" w14:textId="5EBFB40C" w:rsidR="006655C9" w:rsidRPr="00A21682" w:rsidRDefault="00477B1B" w:rsidP="008008EF">
            <w:pPr>
              <w:spacing w:before="60" w:after="60"/>
              <w:rPr>
                <w:rFonts w:ascii="Verdana" w:hAnsi="Verdana"/>
                <w:color w:val="000000"/>
                <w:sz w:val="18"/>
                <w:szCs w:val="18"/>
              </w:rPr>
            </w:pPr>
            <w:r>
              <w:rPr>
                <w:u w:color="000000"/>
              </w:rPr>
              <w:t>7</w:t>
            </w:r>
          </w:p>
        </w:tc>
        <w:tc>
          <w:tcPr>
            <w:tcW w:w="2128" w:type="dxa"/>
            <w:shd w:val="clear" w:color="auto" w:fill="FFFFFF"/>
            <w:tcMar>
              <w:top w:w="0" w:type="dxa"/>
              <w:left w:w="108" w:type="dxa"/>
              <w:bottom w:w="0" w:type="dxa"/>
              <w:right w:w="108" w:type="dxa"/>
            </w:tcMar>
            <w:hideMark/>
          </w:tcPr>
          <w:p w14:paraId="1084B001" w14:textId="546A7896"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Create Development Widgets and link to design item in the ALM tool</w:t>
            </w:r>
          </w:p>
        </w:tc>
        <w:tc>
          <w:tcPr>
            <w:tcW w:w="4303" w:type="dxa"/>
            <w:shd w:val="clear" w:color="auto" w:fill="FFFFFF"/>
            <w:tcMar>
              <w:top w:w="0" w:type="dxa"/>
              <w:left w:w="108" w:type="dxa"/>
              <w:bottom w:w="0" w:type="dxa"/>
              <w:right w:w="108" w:type="dxa"/>
            </w:tcMar>
            <w:hideMark/>
          </w:tcPr>
          <w:p w14:paraId="4D60DA2C" w14:textId="216335DC" w:rsidR="006655C9" w:rsidRPr="00A21682" w:rsidRDefault="00477B1B" w:rsidP="008008EF">
            <w:pPr>
              <w:spacing w:before="60" w:after="60"/>
              <w:rPr>
                <w:rFonts w:ascii="Verdana" w:hAnsi="Verdana"/>
                <w:color w:val="000000"/>
                <w:sz w:val="18"/>
                <w:szCs w:val="18"/>
              </w:rPr>
            </w:pPr>
            <w:r>
              <w:rPr>
                <w:rFonts w:ascii="Verdana" w:hAnsi="Verdana"/>
                <w:sz w:val="18"/>
                <w:szCs w:val="18"/>
                <w:u w:color="000000"/>
              </w:rPr>
              <w:t>Automated sync creates the development widget and traces back to the design item in the ALM tool</w:t>
            </w:r>
          </w:p>
        </w:tc>
        <w:tc>
          <w:tcPr>
            <w:tcW w:w="2109" w:type="dxa"/>
            <w:shd w:val="clear" w:color="auto" w:fill="FFFFFF"/>
            <w:tcMar>
              <w:top w:w="0" w:type="dxa"/>
              <w:left w:w="108" w:type="dxa"/>
              <w:bottom w:w="0" w:type="dxa"/>
              <w:right w:w="108" w:type="dxa"/>
            </w:tcMar>
            <w:hideMark/>
          </w:tcPr>
          <w:p w14:paraId="179EB296" w14:textId="46470A5B" w:rsidR="006655C9" w:rsidRPr="00A21682" w:rsidRDefault="00D56C23" w:rsidP="008008EF">
            <w:pPr>
              <w:pStyle w:val="TABLEBULLETNEW"/>
            </w:pPr>
            <w:r>
              <w:t>███████ Dev Lead</w:t>
            </w:r>
          </w:p>
        </w:tc>
      </w:tr>
      <w:tr w:rsidR="00477B1B" w:rsidRPr="00A21682" w14:paraId="62793F3E" w14:textId="77777777" w:rsidTr="002F5D4F">
        <w:trPr>
          <w:trHeight w:val="380"/>
        </w:trPr>
        <w:tc>
          <w:tcPr>
            <w:tcW w:w="899" w:type="dxa"/>
            <w:shd w:val="clear" w:color="auto" w:fill="FFFFFF"/>
            <w:tcMar>
              <w:top w:w="0" w:type="dxa"/>
              <w:left w:w="108" w:type="dxa"/>
              <w:bottom w:w="0" w:type="dxa"/>
              <w:right w:w="108" w:type="dxa"/>
            </w:tcMar>
          </w:tcPr>
          <w:p w14:paraId="5F21124B" w14:textId="46B561B4" w:rsidR="00477B1B" w:rsidRPr="00A21682" w:rsidRDefault="00477B1B" w:rsidP="008008EF">
            <w:pPr>
              <w:spacing w:before="60" w:after="60"/>
              <w:rPr>
                <w:rFonts w:ascii="Verdana" w:hAnsi="Verdana"/>
                <w:color w:val="000000"/>
                <w:sz w:val="18"/>
                <w:szCs w:val="18"/>
              </w:rPr>
            </w:pPr>
            <w:r>
              <w:rPr>
                <w:u w:color="000000"/>
              </w:rPr>
              <w:t>8</w:t>
            </w:r>
          </w:p>
        </w:tc>
        <w:tc>
          <w:tcPr>
            <w:tcW w:w="2128" w:type="dxa"/>
            <w:shd w:val="clear" w:color="auto" w:fill="FFFFFF"/>
            <w:tcMar>
              <w:top w:w="0" w:type="dxa"/>
              <w:left w:w="108" w:type="dxa"/>
              <w:bottom w:w="0" w:type="dxa"/>
              <w:right w:w="108" w:type="dxa"/>
            </w:tcMar>
          </w:tcPr>
          <w:p w14:paraId="12C7AC41" w14:textId="37720E22" w:rsidR="00477B1B" w:rsidRPr="00477B1B" w:rsidRDefault="00477B1B" w:rsidP="008008EF">
            <w:pPr>
              <w:spacing w:before="60" w:after="60"/>
              <w:rPr>
                <w:rFonts w:ascii="Verdana" w:hAnsi="Verdana"/>
                <w:color w:val="000000"/>
                <w:sz w:val="18"/>
                <w:szCs w:val="18"/>
              </w:rPr>
            </w:pPr>
            <w:r>
              <w:rPr>
                <w:rFonts w:ascii="Verdana" w:hAnsi="Verdana"/>
                <w:sz w:val="18"/>
                <w:szCs w:val="18"/>
                <w:u w:color="000000"/>
              </w:rPr>
              <w:t>Create Test Case</w:t>
            </w:r>
          </w:p>
        </w:tc>
        <w:tc>
          <w:tcPr>
            <w:tcW w:w="4303" w:type="dxa"/>
            <w:shd w:val="clear" w:color="auto" w:fill="FFFFFF"/>
            <w:tcMar>
              <w:top w:w="0" w:type="dxa"/>
              <w:left w:w="108" w:type="dxa"/>
              <w:bottom w:w="0" w:type="dxa"/>
              <w:right w:w="108" w:type="dxa"/>
            </w:tcMar>
          </w:tcPr>
          <w:p w14:paraId="1127E766" w14:textId="2D94FCBA" w:rsidR="00477B1B" w:rsidRPr="00477B1B" w:rsidRDefault="00477B1B" w:rsidP="008008EF">
            <w:pPr>
              <w:spacing w:before="60" w:after="60"/>
              <w:rPr>
                <w:rFonts w:ascii="Verdana" w:hAnsi="Verdana"/>
                <w:color w:val="000000"/>
                <w:sz w:val="18"/>
                <w:szCs w:val="18"/>
              </w:rPr>
            </w:pPr>
            <w:r>
              <w:rPr>
                <w:rFonts w:ascii="Verdana" w:hAnsi="Verdana"/>
                <w:sz w:val="18"/>
                <w:szCs w:val="18"/>
                <w:u w:color="000000"/>
              </w:rPr>
              <w:t>Test cases are created via the test management tool, a Test Management plug-in for the ALM tool</w:t>
            </w:r>
          </w:p>
        </w:tc>
        <w:tc>
          <w:tcPr>
            <w:tcW w:w="2109" w:type="dxa"/>
            <w:shd w:val="clear" w:color="auto" w:fill="FFFFFF"/>
            <w:tcMar>
              <w:top w:w="0" w:type="dxa"/>
              <w:left w:w="108" w:type="dxa"/>
              <w:bottom w:w="0" w:type="dxa"/>
              <w:right w:w="108" w:type="dxa"/>
            </w:tcMar>
          </w:tcPr>
          <w:p w14:paraId="42E4E6DB" w14:textId="47B04542" w:rsidR="00477B1B" w:rsidRPr="00477B1B" w:rsidRDefault="00477B1B" w:rsidP="008008EF">
            <w:pPr>
              <w:pStyle w:val="TABLEBULLETNEW"/>
            </w:pPr>
            <w:r>
              <w:t>███████ Tester</w:t>
            </w:r>
          </w:p>
        </w:tc>
      </w:tr>
      <w:tr w:rsidR="00477B1B" w:rsidRPr="00A21682" w14:paraId="643E3890" w14:textId="77777777" w:rsidTr="002F5D4F">
        <w:trPr>
          <w:trHeight w:val="380"/>
        </w:trPr>
        <w:tc>
          <w:tcPr>
            <w:tcW w:w="899" w:type="dxa"/>
            <w:shd w:val="clear" w:color="auto" w:fill="FFFFFF"/>
            <w:tcMar>
              <w:top w:w="0" w:type="dxa"/>
              <w:left w:w="108" w:type="dxa"/>
              <w:bottom w:w="0" w:type="dxa"/>
              <w:right w:w="108" w:type="dxa"/>
            </w:tcMar>
          </w:tcPr>
          <w:p w14:paraId="06396324" w14:textId="505DDF13" w:rsidR="00477B1B" w:rsidRPr="00A21682" w:rsidRDefault="00477B1B" w:rsidP="008008EF">
            <w:pPr>
              <w:spacing w:before="60" w:after="60"/>
              <w:rPr>
                <w:rFonts w:ascii="Verdana" w:hAnsi="Verdana"/>
                <w:color w:val="000000"/>
                <w:sz w:val="18"/>
                <w:szCs w:val="18"/>
              </w:rPr>
            </w:pPr>
            <w:r>
              <w:rPr>
                <w:u w:color="000000"/>
              </w:rPr>
              <w:t>9</w:t>
            </w:r>
          </w:p>
        </w:tc>
        <w:tc>
          <w:tcPr>
            <w:tcW w:w="2128" w:type="dxa"/>
            <w:shd w:val="clear" w:color="auto" w:fill="FFFFFF"/>
            <w:tcMar>
              <w:top w:w="0" w:type="dxa"/>
              <w:left w:w="108" w:type="dxa"/>
              <w:bottom w:w="0" w:type="dxa"/>
              <w:right w:w="108" w:type="dxa"/>
            </w:tcMar>
          </w:tcPr>
          <w:p w14:paraId="629D0F41" w14:textId="3C43BD89" w:rsidR="00477B1B" w:rsidRPr="00477B1B" w:rsidRDefault="00477B1B" w:rsidP="008008EF">
            <w:pPr>
              <w:spacing w:before="60" w:after="60"/>
              <w:rPr>
                <w:rFonts w:ascii="Verdana" w:hAnsi="Verdana"/>
                <w:color w:val="000000"/>
                <w:sz w:val="18"/>
                <w:szCs w:val="18"/>
              </w:rPr>
            </w:pPr>
            <w:r>
              <w:rPr>
                <w:rFonts w:ascii="Verdana" w:hAnsi="Verdana"/>
                <w:sz w:val="18"/>
                <w:szCs w:val="18"/>
                <w:u w:color="000000"/>
              </w:rPr>
              <w:t>Map Test Cases to Requirements in the ALM tool</w:t>
            </w:r>
          </w:p>
        </w:tc>
        <w:tc>
          <w:tcPr>
            <w:tcW w:w="4303" w:type="dxa"/>
            <w:shd w:val="clear" w:color="auto" w:fill="FFFFFF"/>
            <w:tcMar>
              <w:top w:w="0" w:type="dxa"/>
              <w:left w:w="108" w:type="dxa"/>
              <w:bottom w:w="0" w:type="dxa"/>
              <w:right w:w="108" w:type="dxa"/>
            </w:tcMar>
          </w:tcPr>
          <w:p w14:paraId="3E5F0CC7" w14:textId="5429AE9C" w:rsidR="00477B1B" w:rsidRPr="00477B1B" w:rsidRDefault="00477B1B" w:rsidP="008008EF">
            <w:pPr>
              <w:spacing w:before="60" w:after="60"/>
              <w:rPr>
                <w:rFonts w:ascii="Verdana" w:hAnsi="Verdana"/>
                <w:color w:val="000000"/>
                <w:sz w:val="18"/>
                <w:szCs w:val="18"/>
              </w:rPr>
            </w:pPr>
            <w:r>
              <w:rPr>
                <w:rFonts w:ascii="Verdana" w:hAnsi="Verdana"/>
                <w:sz w:val="18"/>
                <w:szCs w:val="18"/>
                <w:u w:color="000000"/>
              </w:rPr>
              <w:t>At the end of the Testing phase, an RTM linking test cases and test case results to requirements is submitted in the ALM tool</w:t>
            </w:r>
          </w:p>
        </w:tc>
        <w:tc>
          <w:tcPr>
            <w:tcW w:w="2109" w:type="dxa"/>
            <w:shd w:val="clear" w:color="auto" w:fill="FFFFFF"/>
            <w:tcMar>
              <w:top w:w="0" w:type="dxa"/>
              <w:left w:w="108" w:type="dxa"/>
              <w:bottom w:w="0" w:type="dxa"/>
              <w:right w:w="108" w:type="dxa"/>
            </w:tcMar>
          </w:tcPr>
          <w:p w14:paraId="5F79F1CD" w14:textId="3F8889AF" w:rsidR="00477B1B" w:rsidRPr="00477B1B" w:rsidRDefault="00477B1B" w:rsidP="008008EF">
            <w:pPr>
              <w:pStyle w:val="TABLEBULLETNEW"/>
            </w:pPr>
            <w:r>
              <w:t>███████ Testing Lead</w:t>
            </w:r>
          </w:p>
        </w:tc>
      </w:tr>
      <w:tr w:rsidR="00477B1B" w:rsidRPr="00A21682" w14:paraId="24398DDC" w14:textId="77777777" w:rsidTr="002F5D4F">
        <w:trPr>
          <w:trHeight w:val="380"/>
        </w:trPr>
        <w:tc>
          <w:tcPr>
            <w:tcW w:w="899" w:type="dxa"/>
            <w:shd w:val="clear" w:color="auto" w:fill="FFFFFF"/>
            <w:tcMar>
              <w:top w:w="0" w:type="dxa"/>
              <w:left w:w="108" w:type="dxa"/>
              <w:bottom w:w="0" w:type="dxa"/>
              <w:right w:w="108" w:type="dxa"/>
            </w:tcMar>
          </w:tcPr>
          <w:p w14:paraId="30DEA569" w14:textId="7416CD65" w:rsidR="00477B1B" w:rsidRPr="00A21682" w:rsidRDefault="00477B1B" w:rsidP="008008EF">
            <w:pPr>
              <w:spacing w:before="60" w:after="60"/>
              <w:rPr>
                <w:rFonts w:ascii="Verdana" w:hAnsi="Verdana"/>
                <w:color w:val="000000"/>
                <w:sz w:val="18"/>
                <w:szCs w:val="18"/>
              </w:rPr>
            </w:pPr>
            <w:r>
              <w:rPr>
                <w:u w:color="000000"/>
              </w:rPr>
              <w:t>10</w:t>
            </w:r>
          </w:p>
        </w:tc>
        <w:tc>
          <w:tcPr>
            <w:tcW w:w="2128" w:type="dxa"/>
            <w:shd w:val="clear" w:color="auto" w:fill="FFFFFF"/>
            <w:tcMar>
              <w:top w:w="0" w:type="dxa"/>
              <w:left w:w="108" w:type="dxa"/>
              <w:bottom w:w="0" w:type="dxa"/>
              <w:right w:w="108" w:type="dxa"/>
            </w:tcMar>
          </w:tcPr>
          <w:p w14:paraId="687C7500" w14:textId="29D29F31" w:rsidR="00477B1B" w:rsidRPr="00477B1B" w:rsidRDefault="00477B1B" w:rsidP="008008EF">
            <w:pPr>
              <w:spacing w:before="60" w:after="60"/>
              <w:rPr>
                <w:rFonts w:ascii="Verdana" w:hAnsi="Verdana"/>
                <w:color w:val="000000"/>
                <w:sz w:val="18"/>
                <w:szCs w:val="18"/>
              </w:rPr>
            </w:pPr>
            <w:r>
              <w:rPr>
                <w:rFonts w:ascii="Verdana" w:hAnsi="Verdana"/>
                <w:sz w:val="18"/>
                <w:szCs w:val="18"/>
                <w:u w:color="000000"/>
              </w:rPr>
              <w:t>Create Test Cases and link to design and requirements in the ALM tool</w:t>
            </w:r>
          </w:p>
        </w:tc>
        <w:tc>
          <w:tcPr>
            <w:tcW w:w="4303" w:type="dxa"/>
            <w:shd w:val="clear" w:color="auto" w:fill="FFFFFF"/>
            <w:tcMar>
              <w:top w:w="0" w:type="dxa"/>
              <w:left w:w="108" w:type="dxa"/>
              <w:bottom w:w="0" w:type="dxa"/>
              <w:right w:w="108" w:type="dxa"/>
            </w:tcMar>
          </w:tcPr>
          <w:p w14:paraId="09A16243" w14:textId="1031EC40" w:rsidR="00477B1B" w:rsidRPr="00477B1B" w:rsidRDefault="00477B1B" w:rsidP="008008EF">
            <w:pPr>
              <w:spacing w:before="60" w:after="60"/>
              <w:rPr>
                <w:rFonts w:ascii="Verdana" w:hAnsi="Verdana"/>
                <w:color w:val="000000"/>
                <w:sz w:val="18"/>
                <w:szCs w:val="18"/>
              </w:rPr>
            </w:pPr>
            <w:r>
              <w:rPr>
                <w:rFonts w:ascii="Verdana" w:hAnsi="Verdana"/>
                <w:sz w:val="18"/>
                <w:szCs w:val="18"/>
                <w:u w:color="000000"/>
              </w:rPr>
              <w:t>Automated sync creates the test case record in the ALM tool and traces back to both the design item and the requirement in the ALM tool</w:t>
            </w:r>
          </w:p>
        </w:tc>
        <w:tc>
          <w:tcPr>
            <w:tcW w:w="2109" w:type="dxa"/>
            <w:shd w:val="clear" w:color="auto" w:fill="FFFFFF"/>
            <w:tcMar>
              <w:top w:w="0" w:type="dxa"/>
              <w:left w:w="108" w:type="dxa"/>
              <w:bottom w:w="0" w:type="dxa"/>
              <w:right w:w="108" w:type="dxa"/>
            </w:tcMar>
          </w:tcPr>
          <w:p w14:paraId="0F434EFA" w14:textId="7346DCAC" w:rsidR="00477B1B" w:rsidRPr="00477B1B" w:rsidRDefault="00D56C23" w:rsidP="008008EF">
            <w:pPr>
              <w:pStyle w:val="TABLEBULLETNEW"/>
            </w:pPr>
            <w:r>
              <w:t>███████ Testing Lead</w:t>
            </w:r>
          </w:p>
        </w:tc>
      </w:tr>
    </w:tbl>
    <w:p w14:paraId="35F27101" w14:textId="480C9DD7" w:rsidR="006655C9" w:rsidRPr="00A21682" w:rsidRDefault="006655C9" w:rsidP="006655C9">
      <w:pPr>
        <w:pStyle w:val="Caption"/>
        <w:rPr>
          <w:noProof w:val="0"/>
        </w:rPr>
      </w:pPr>
      <w:bookmarkStart w:id="1693" w:name="_Toc192875168"/>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83</w:t>
      </w:r>
      <w:r>
        <w:rPr>
          <w:noProof w:val="0"/>
        </w:rPr>
        <w:fldChar w:fldCharType="end"/>
      </w:r>
      <w:r>
        <w:rPr>
          <w:noProof w:val="0"/>
        </w:rPr>
        <w:t>: Requirements Traceability Conceptual Design Narrative</w:t>
      </w:r>
      <w:bookmarkEnd w:id="1693"/>
    </w:p>
    <w:p w14:paraId="30E5FEAB" w14:textId="77777777" w:rsidR="006655C9" w:rsidRPr="00A21682" w:rsidRDefault="006655C9" w:rsidP="006655C9">
      <w:pPr>
        <w:pStyle w:val="Heading3"/>
        <w:rPr>
          <w:u w:color="000000"/>
        </w:rPr>
      </w:pPr>
      <w:bookmarkStart w:id="1694" w:name="_Toc192874811"/>
      <w:r>
        <w:rPr>
          <w:u w:color="000000"/>
        </w:rPr>
        <w:t>Accessing ALM Tool</w:t>
      </w:r>
      <w:bookmarkEnd w:id="1694"/>
    </w:p>
    <w:p w14:paraId="70756039" w14:textId="751C0AA8" w:rsidR="00477B1B" w:rsidRPr="00A21682" w:rsidRDefault="00477B1B" w:rsidP="00477B1B">
      <w:pPr>
        <w:pStyle w:val="NormalNEW"/>
        <w:rPr>
          <w:u w:color="000000"/>
          <w:lang w:val="en-US" w:eastAsia="ko-KR"/>
        </w:rPr>
      </w:pPr>
      <w:r>
        <w:rPr>
          <w:u w:color="000000"/>
          <w:lang w:val="en-US" w:eastAsia="ko-KR"/>
        </w:rPr>
        <w:t>Access to the requirements management tool is available to select ███████ teams and DOH stakeholders and requires existing access to the ALM tool. Tool walkthroughs will be available for impacted DOH stakeholders.</w:t>
      </w:r>
    </w:p>
    <w:p w14:paraId="61F94EE2" w14:textId="19663CF2" w:rsidR="00477B1B" w:rsidRPr="00A21682" w:rsidRDefault="00477B1B" w:rsidP="00477B1B">
      <w:pPr>
        <w:pStyle w:val="NormalNEW"/>
        <w:rPr>
          <w:color w:val="000000"/>
          <w:u w:color="000000"/>
          <w:lang w:val="en-US"/>
        </w:rPr>
      </w:pPr>
      <w:r>
        <w:rPr>
          <w:color w:val="000000"/>
          <w:u w:color="000000"/>
          <w:lang w:val="en-US"/>
        </w:rPr>
        <w:t>Access the requirements management tool tool vian ALM tool:</w:t>
      </w:r>
      <w:r>
        <w:rPr>
          <w:rFonts w:cs="Arial"/>
          <w:color w:val="000000"/>
          <w:u w:color="000000"/>
          <w:lang w:val="en-US"/>
        </w:rPr>
        <w:t xml:space="preserve"> </w:t>
      </w:r>
      <w:r>
        <w:rPr>
          <w:rFonts w:cs="Arial"/>
          <w:color w:val="0000FF"/>
          <w:u w:val="single" w:color="003366"/>
          <w:lang w:val="en-US"/>
        </w:rPr>
        <w:t>The ALM tool</w:t>
      </w:r>
    </w:p>
    <w:tbl>
      <w:tblPr>
        <w:tblW w:w="9360" w:type="dxa"/>
        <w:tblInd w:w="-5" w:type="dxa"/>
        <w:tblLook w:val="04A0" w:firstRow="1" w:lastRow="0" w:firstColumn="1" w:lastColumn="0" w:noHBand="0" w:noVBand="1"/>
      </w:tblPr>
      <w:tblGrid>
        <w:gridCol w:w="1358"/>
        <w:gridCol w:w="6472"/>
        <w:gridCol w:w="1530"/>
      </w:tblGrid>
      <w:tr w:rsidR="009932BC" w:rsidRPr="00A21682" w14:paraId="74EA021E" w14:textId="77777777" w:rsidTr="00E71D2C">
        <w:tc>
          <w:tcPr>
            <w:tcW w:w="1358" w:type="dxa"/>
            <w:tcBorders>
              <w:left w:val="single" w:sz="4" w:space="0" w:color="auto"/>
              <w:right w:val="single" w:sz="2" w:space="0" w:color="FFFFFF" w:themeColor="background1"/>
            </w:tcBorders>
            <w:shd w:val="clear" w:color="auto" w:fill="000000"/>
          </w:tcPr>
          <w:p w14:paraId="34542EC3" w14:textId="77777777" w:rsidR="00477B1B" w:rsidRPr="00A21682" w:rsidRDefault="00477B1B" w:rsidP="002F5D4F">
            <w:pPr>
              <w:pStyle w:val="TABLEHEADINGNEW"/>
              <w:rPr>
                <w:u w:color="000000"/>
              </w:rPr>
            </w:pPr>
            <w:r>
              <w:rPr>
                <w:u w:color="000000"/>
              </w:rPr>
              <w:t>#</w:t>
            </w:r>
          </w:p>
        </w:tc>
        <w:tc>
          <w:tcPr>
            <w:tcW w:w="6472" w:type="dxa"/>
            <w:tcBorders>
              <w:left w:val="single" w:sz="2" w:space="0" w:color="FFFFFF" w:themeColor="background1"/>
              <w:right w:val="single" w:sz="2" w:space="0" w:color="FFFFFF" w:themeColor="background1"/>
            </w:tcBorders>
            <w:shd w:val="clear" w:color="auto" w:fill="000000"/>
          </w:tcPr>
          <w:p w14:paraId="1C92AF95" w14:textId="77777777" w:rsidR="00477B1B" w:rsidRPr="00A21682" w:rsidRDefault="00477B1B" w:rsidP="002F5D4F">
            <w:pPr>
              <w:pStyle w:val="TABLEHEADINGNEW"/>
              <w:rPr>
                <w:u w:color="000000"/>
              </w:rPr>
            </w:pPr>
            <w:r>
              <w:rPr>
                <w:u w:color="000000"/>
              </w:rPr>
              <w:t>Access Step</w:t>
            </w:r>
          </w:p>
        </w:tc>
        <w:tc>
          <w:tcPr>
            <w:tcW w:w="1530" w:type="dxa"/>
            <w:tcBorders>
              <w:left w:val="single" w:sz="2" w:space="0" w:color="FFFFFF" w:themeColor="background1"/>
            </w:tcBorders>
            <w:shd w:val="clear" w:color="auto" w:fill="000000"/>
          </w:tcPr>
          <w:p w14:paraId="42669835" w14:textId="77777777" w:rsidR="00477B1B" w:rsidRPr="00A21682" w:rsidRDefault="00477B1B" w:rsidP="002F5D4F">
            <w:pPr>
              <w:pStyle w:val="TABLEHEADINGNEW"/>
              <w:rPr>
                <w:u w:color="000000"/>
              </w:rPr>
            </w:pPr>
            <w:r>
              <w:rPr>
                <w:u w:color="000000"/>
              </w:rPr>
              <w:t>Owner</w:t>
            </w:r>
          </w:p>
        </w:tc>
      </w:tr>
      <w:tr w:rsidR="00477B1B" w:rsidRPr="00A21682" w14:paraId="01BAF764" w14:textId="77777777" w:rsidTr="00E71D2C">
        <w:tc>
          <w:tcPr>
            <w:tcW w:w="1358" w:type="dxa"/>
            <w:tcBorders>
              <w:left w:val="single" w:sz="4" w:space="0" w:color="auto"/>
              <w:bottom w:val="single" w:sz="4" w:space="0" w:color="auto"/>
              <w:right w:val="single" w:sz="4" w:space="0" w:color="auto"/>
            </w:tcBorders>
          </w:tcPr>
          <w:p w14:paraId="50602312" w14:textId="77777777" w:rsidR="00477B1B" w:rsidRPr="00A21682" w:rsidRDefault="00477B1B" w:rsidP="002F5D4F">
            <w:pPr>
              <w:pStyle w:val="TABLETEXT1"/>
              <w:rPr>
                <w:u w:color="000000"/>
                <w:lang w:val="en-US"/>
              </w:rPr>
            </w:pPr>
            <w:r>
              <w:rPr>
                <w:u w:color="000000"/>
                <w:lang w:val="en-US"/>
              </w:rPr>
              <w:t>1</w:t>
            </w:r>
          </w:p>
        </w:tc>
        <w:tc>
          <w:tcPr>
            <w:tcW w:w="6472" w:type="dxa"/>
            <w:tcBorders>
              <w:left w:val="single" w:sz="4" w:space="0" w:color="auto"/>
              <w:bottom w:val="single" w:sz="4" w:space="0" w:color="auto"/>
              <w:right w:val="single" w:sz="4" w:space="0" w:color="auto"/>
            </w:tcBorders>
          </w:tcPr>
          <w:p w14:paraId="132E5238" w14:textId="349CC15A" w:rsidR="00477B1B" w:rsidRPr="00A21682" w:rsidRDefault="00477B1B" w:rsidP="002F5D4F">
            <w:pPr>
              <w:pStyle w:val="TABLETEXT1"/>
              <w:rPr>
                <w:rFonts w:cs="Times New Roman"/>
                <w:u w:color="000000"/>
                <w:lang w:val="en-US"/>
              </w:rPr>
            </w:pPr>
            <w:r>
              <w:rPr>
                <w:rFonts w:cs="Times New Roman"/>
                <w:u w:color="000000"/>
                <w:lang w:val="en-US"/>
              </w:rPr>
              <w:t xml:space="preserve">Submit a request to </w:t>
            </w:r>
            <w:r>
              <w:rPr>
                <w:color w:val="0000FF"/>
                <w:highlight w:val="black"/>
                <w:u w:val="single" w:color="003366"/>
                <w:lang w:val="en-US"/>
              </w:rPr>
              <w:t>the PMO support mailbox</w:t>
            </w:r>
            <w:r>
              <w:rPr>
                <w:rFonts w:cs="Times New Roman"/>
                <w:u w:color="000000"/>
                <w:lang w:val="en-US"/>
              </w:rPr>
              <w:t xml:space="preserve"> </w:t>
            </w:r>
          </w:p>
        </w:tc>
        <w:tc>
          <w:tcPr>
            <w:tcW w:w="1530" w:type="dxa"/>
            <w:tcBorders>
              <w:left w:val="single" w:sz="4" w:space="0" w:color="auto"/>
              <w:bottom w:val="single" w:sz="4" w:space="0" w:color="auto"/>
              <w:right w:val="single" w:sz="4" w:space="0" w:color="auto"/>
            </w:tcBorders>
          </w:tcPr>
          <w:p w14:paraId="7314D84D" w14:textId="77777777" w:rsidR="00477B1B" w:rsidRPr="00A21682" w:rsidRDefault="00477B1B" w:rsidP="002F5D4F">
            <w:pPr>
              <w:pStyle w:val="TABLETEXT1"/>
              <w:rPr>
                <w:rFonts w:cs="Times New Roman"/>
                <w:u w:color="000000"/>
                <w:lang w:val="en-US"/>
              </w:rPr>
            </w:pPr>
            <w:r>
              <w:rPr>
                <w:rFonts w:cs="Times New Roman"/>
                <w:u w:color="000000"/>
                <w:lang w:val="en-US"/>
              </w:rPr>
              <w:t>Requestor</w:t>
            </w:r>
          </w:p>
        </w:tc>
      </w:tr>
      <w:tr w:rsidR="00477B1B" w:rsidRPr="00A21682" w14:paraId="2849B3AC" w14:textId="77777777" w:rsidTr="00E71D2C">
        <w:tc>
          <w:tcPr>
            <w:tcW w:w="1358" w:type="dxa"/>
            <w:tcBorders>
              <w:top w:val="single" w:sz="4" w:space="0" w:color="auto"/>
              <w:left w:val="single" w:sz="4" w:space="0" w:color="auto"/>
              <w:bottom w:val="single" w:sz="4" w:space="0" w:color="auto"/>
              <w:right w:val="single" w:sz="4" w:space="0" w:color="auto"/>
            </w:tcBorders>
          </w:tcPr>
          <w:p w14:paraId="7CB15CB7" w14:textId="77777777" w:rsidR="00477B1B" w:rsidRPr="00A21682" w:rsidRDefault="00477B1B" w:rsidP="002F5D4F">
            <w:pPr>
              <w:pStyle w:val="TABLETEXT1"/>
              <w:rPr>
                <w:u w:color="000000"/>
                <w:lang w:val="en-US"/>
              </w:rPr>
            </w:pPr>
            <w:r>
              <w:rPr>
                <w:u w:color="000000"/>
                <w:lang w:val="en-US"/>
              </w:rPr>
              <w:lastRenderedPageBreak/>
              <w:t>2</w:t>
            </w:r>
          </w:p>
        </w:tc>
        <w:tc>
          <w:tcPr>
            <w:tcW w:w="6472" w:type="dxa"/>
            <w:tcBorders>
              <w:top w:val="single" w:sz="4" w:space="0" w:color="auto"/>
              <w:left w:val="single" w:sz="4" w:space="0" w:color="auto"/>
              <w:bottom w:val="single" w:sz="4" w:space="0" w:color="auto"/>
              <w:right w:val="single" w:sz="4" w:space="0" w:color="auto"/>
            </w:tcBorders>
          </w:tcPr>
          <w:p w14:paraId="3B3ECAD3" w14:textId="77777777" w:rsidR="00477B1B" w:rsidRPr="00A21682" w:rsidRDefault="00477B1B" w:rsidP="002F5D4F">
            <w:pPr>
              <w:pStyle w:val="TABLETEXT1"/>
              <w:rPr>
                <w:rFonts w:cs="Times New Roman"/>
                <w:u w:color="000000"/>
                <w:lang w:val="en-US"/>
              </w:rPr>
            </w:pPr>
            <w:r>
              <w:rPr>
                <w:rFonts w:cs="Times New Roman"/>
                <w:u w:color="000000"/>
                <w:lang w:val="en-US"/>
              </w:rPr>
              <w:t>Admin Approves Request</w:t>
            </w:r>
          </w:p>
        </w:tc>
        <w:tc>
          <w:tcPr>
            <w:tcW w:w="1530" w:type="dxa"/>
            <w:tcBorders>
              <w:top w:val="single" w:sz="4" w:space="0" w:color="auto"/>
              <w:left w:val="single" w:sz="4" w:space="0" w:color="auto"/>
              <w:bottom w:val="single" w:sz="4" w:space="0" w:color="auto"/>
              <w:right w:val="single" w:sz="4" w:space="0" w:color="auto"/>
            </w:tcBorders>
          </w:tcPr>
          <w:p w14:paraId="72F7D23F" w14:textId="77777777" w:rsidR="00477B1B" w:rsidRPr="00A21682" w:rsidRDefault="00477B1B" w:rsidP="002F5D4F">
            <w:pPr>
              <w:pStyle w:val="TABLETEXT1"/>
              <w:rPr>
                <w:rFonts w:cs="Times New Roman"/>
                <w:u w:color="000000"/>
                <w:lang w:val="en-US"/>
              </w:rPr>
            </w:pPr>
            <w:r>
              <w:rPr>
                <w:rFonts w:cs="Times New Roman"/>
                <w:u w:color="000000"/>
                <w:lang w:val="en-US"/>
              </w:rPr>
              <w:t>System Admin</w:t>
            </w:r>
          </w:p>
        </w:tc>
      </w:tr>
      <w:tr w:rsidR="00477B1B" w:rsidRPr="00A21682" w14:paraId="34F903F2" w14:textId="77777777" w:rsidTr="00E71D2C">
        <w:tc>
          <w:tcPr>
            <w:tcW w:w="1358" w:type="dxa"/>
            <w:tcBorders>
              <w:top w:val="single" w:sz="4" w:space="0" w:color="auto"/>
              <w:left w:val="single" w:sz="4" w:space="0" w:color="auto"/>
              <w:bottom w:val="single" w:sz="4" w:space="0" w:color="auto"/>
              <w:right w:val="single" w:sz="4" w:space="0" w:color="auto"/>
            </w:tcBorders>
          </w:tcPr>
          <w:p w14:paraId="2E7E9FD5" w14:textId="77777777" w:rsidR="00477B1B" w:rsidRPr="00A21682" w:rsidRDefault="00477B1B" w:rsidP="002F5D4F">
            <w:pPr>
              <w:pStyle w:val="TABLETEXT1"/>
              <w:rPr>
                <w:u w:color="000000"/>
                <w:lang w:val="en-US"/>
              </w:rPr>
            </w:pPr>
            <w:r>
              <w:rPr>
                <w:u w:color="000000"/>
                <w:lang w:val="en-US"/>
              </w:rPr>
              <w:t>3</w:t>
            </w:r>
          </w:p>
        </w:tc>
        <w:tc>
          <w:tcPr>
            <w:tcW w:w="6472" w:type="dxa"/>
            <w:tcBorders>
              <w:top w:val="single" w:sz="4" w:space="0" w:color="auto"/>
              <w:left w:val="single" w:sz="4" w:space="0" w:color="auto"/>
              <w:bottom w:val="single" w:sz="4" w:space="0" w:color="auto"/>
              <w:right w:val="single" w:sz="4" w:space="0" w:color="auto"/>
            </w:tcBorders>
          </w:tcPr>
          <w:p w14:paraId="4AC679C2" w14:textId="4D149EC5" w:rsidR="00477B1B" w:rsidRPr="00A21682" w:rsidRDefault="00477B1B" w:rsidP="002F5D4F">
            <w:pPr>
              <w:pStyle w:val="TABLETEXT1"/>
              <w:rPr>
                <w:rFonts w:cs="Times New Roman"/>
                <w:u w:color="000000"/>
                <w:lang w:val="en-US"/>
              </w:rPr>
            </w:pPr>
            <w:r>
              <w:rPr>
                <w:rFonts w:cs="Times New Roman"/>
                <w:u w:color="000000"/>
                <w:lang w:val="en-US"/>
              </w:rPr>
              <w:t>Once approved, gain access to the requirements management tool (user’s specific account)</w:t>
            </w:r>
          </w:p>
        </w:tc>
        <w:tc>
          <w:tcPr>
            <w:tcW w:w="1530" w:type="dxa"/>
            <w:tcBorders>
              <w:top w:val="single" w:sz="4" w:space="0" w:color="auto"/>
              <w:left w:val="single" w:sz="4" w:space="0" w:color="auto"/>
              <w:bottom w:val="single" w:sz="4" w:space="0" w:color="auto"/>
              <w:right w:val="single" w:sz="4" w:space="0" w:color="auto"/>
            </w:tcBorders>
          </w:tcPr>
          <w:p w14:paraId="3B39D6FA" w14:textId="77777777" w:rsidR="00477B1B" w:rsidRPr="00A21682" w:rsidRDefault="00477B1B" w:rsidP="002F5D4F">
            <w:pPr>
              <w:pStyle w:val="TABLETEXT1"/>
              <w:rPr>
                <w:rFonts w:cs="Times New Roman"/>
                <w:u w:color="000000"/>
                <w:lang w:val="en-US"/>
              </w:rPr>
            </w:pPr>
            <w:r>
              <w:rPr>
                <w:rFonts w:cs="Times New Roman"/>
                <w:u w:color="000000"/>
                <w:lang w:val="en-US"/>
              </w:rPr>
              <w:t>User</w:t>
            </w:r>
          </w:p>
        </w:tc>
      </w:tr>
    </w:tbl>
    <w:p w14:paraId="50192D8F" w14:textId="02907187" w:rsidR="00477B1B" w:rsidRPr="00A21682" w:rsidRDefault="00477B1B" w:rsidP="00477B1B">
      <w:pPr>
        <w:pStyle w:val="Caption"/>
        <w:rPr>
          <w:noProof w:val="0"/>
        </w:rPr>
      </w:pPr>
      <w:bookmarkStart w:id="1695" w:name="_Toc192875169"/>
      <w:r>
        <w:rPr>
          <w:noProof w:val="0"/>
        </w:rPr>
        <w:t xml:space="preserve">Table </w:t>
      </w:r>
      <w:r>
        <w:rPr>
          <w:noProof w:val="0"/>
        </w:rPr>
        <w:fldChar w:fldCharType="begin"/>
      </w:r>
      <w:r>
        <w:rPr>
          <w:noProof w:val="0"/>
        </w:rPr>
        <w:instrText xml:space="preserve"> STYLEREF 1 \s </w:instrText>
      </w:r>
      <w:r>
        <w:rPr>
          <w:noProof w:val="0"/>
        </w:rPr>
        <w:fldChar w:fldCharType="separate"/>
      </w:r>
      <w:r>
        <w:t>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84</w:t>
      </w:r>
      <w:r>
        <w:rPr>
          <w:noProof w:val="0"/>
        </w:rPr>
        <w:fldChar w:fldCharType="end"/>
      </w:r>
      <w:r>
        <w:rPr>
          <w:noProof w:val="0"/>
        </w:rPr>
        <w:t>: ALM Tool Access</w:t>
      </w:r>
      <w:bookmarkEnd w:id="1695"/>
    </w:p>
    <w:p w14:paraId="70F5AE33" w14:textId="4CCE4B2F" w:rsidR="00477B1B" w:rsidRPr="00A21682" w:rsidRDefault="00477B1B" w:rsidP="00477B1B">
      <w:pPr>
        <w:pStyle w:val="NormalNEW"/>
        <w:rPr>
          <w:rFonts w:cs="Times New Roman"/>
          <w:u w:color="000000"/>
          <w:lang w:val="en-US"/>
        </w:rPr>
      </w:pPr>
      <w:r>
        <w:rPr>
          <w:rFonts w:cs="Times New Roman"/>
          <w:u w:color="000000"/>
          <w:lang w:val="en-US"/>
        </w:rPr>
        <w:t xml:space="preserve">For troubleshooting login or access issues, contact </w:t>
      </w:r>
      <w:r>
        <w:rPr>
          <w:highlight w:val="black"/>
          <w:u w:val="single" w:color="003366"/>
          <w:lang w:val="en-US"/>
        </w:rPr>
        <w:t>the PMO support mailbox</w:t>
      </w:r>
      <w:r>
        <w:rPr>
          <w:rFonts w:cs="Times New Roman"/>
          <w:u w:color="000000"/>
          <w:lang w:val="en-US"/>
        </w:rPr>
        <w:t xml:space="preserve"> </w:t>
      </w:r>
    </w:p>
    <w:p w14:paraId="5EA40FE9" w14:textId="77777777" w:rsidR="006655C9" w:rsidRPr="00A21682" w:rsidRDefault="006655C9" w:rsidP="006655C9">
      <w:pPr>
        <w:pStyle w:val="NormalNEW"/>
        <w:rPr>
          <w:rFonts w:cs="Times New Roman"/>
          <w:u w:color="000000"/>
          <w:lang w:val="en-US"/>
        </w:rPr>
      </w:pPr>
    </w:p>
    <w:p w14:paraId="3F10CB61" w14:textId="77777777" w:rsidR="006655C9" w:rsidRPr="00A21682" w:rsidRDefault="006655C9" w:rsidP="004A3693">
      <w:pPr>
        <w:pStyle w:val="NormalNEW"/>
        <w:rPr>
          <w:rFonts w:cs="Times New Roman"/>
          <w:u w:color="000000"/>
          <w:lang w:val="en-US"/>
        </w:rPr>
      </w:pPr>
    </w:p>
    <w:bookmarkStart w:id="1696" w:name="_Toc148102465"/>
    <w:bookmarkStart w:id="1697" w:name="_Toc148098567"/>
    <w:bookmarkStart w:id="1698" w:name="_Toc149051949"/>
    <w:bookmarkStart w:id="1699" w:name="_Toc152605770"/>
    <w:bookmarkStart w:id="1700" w:name="_Toc152605959"/>
    <w:bookmarkStart w:id="1701" w:name="_Toc148102466"/>
    <w:bookmarkStart w:id="1702" w:name="_Toc148098568"/>
    <w:bookmarkStart w:id="1703" w:name="_Toc149051950"/>
    <w:bookmarkStart w:id="1704" w:name="_Toc152605771"/>
    <w:bookmarkStart w:id="1705" w:name="_Toc152605960"/>
    <w:bookmarkStart w:id="1706" w:name="_Toc148102467"/>
    <w:bookmarkStart w:id="1707" w:name="_Toc148098569"/>
    <w:bookmarkStart w:id="1708" w:name="_Toc149051951"/>
    <w:bookmarkStart w:id="1709" w:name="_Toc152605772"/>
    <w:bookmarkStart w:id="1710" w:name="_Toc152605961"/>
    <w:bookmarkStart w:id="1711" w:name="_Toc147825405"/>
    <w:bookmarkStart w:id="1712" w:name="_Toc147825570"/>
    <w:bookmarkStart w:id="1713" w:name="_Toc150948963"/>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14:paraId="6702642D" w14:textId="42956065" w:rsidR="00395D41" w:rsidRPr="00A21682" w:rsidRDefault="00C5516F" w:rsidP="002F7577">
      <w:pPr>
        <w:sectPr w:rsidR="00395D41" w:rsidRPr="00A21682" w:rsidSect="00FB4E23">
          <w:headerReference w:type="default" r:id="rId55"/>
          <w:footerReference w:type="default" r:id="rId56"/>
          <w:pgSz w:w="12240" w:h="15840"/>
          <w:pgMar w:top="1440" w:right="1440" w:bottom="1440" w:left="1440" w:header="720" w:footer="720" w:gutter="0"/>
          <w:cols w:space="720"/>
          <w:docGrid w:linePitch="360"/>
        </w:sectPr>
      </w:pPr>
      <w:r>
        <w:rPr>
          <w:rFonts w:ascii="Verdana" w:hAnsi="Verdana" w:cstheme="minorBidi"/>
          <w:sz w:val="18"/>
          <w:u w:color="000000"/>
          <w:shd w:val="clear" w:color="auto" w:fill="FFFFFF"/>
        </w:rPr>
        <w:fldChar w:fldCharType="begin"/>
      </w:r>
      <w:r>
        <w:rPr>
          <w:rFonts w:ascii="Verdana" w:hAnsi="Verdana" w:cstheme="minorBidi"/>
          <w:sz w:val="18"/>
          <w:u w:color="000000"/>
          <w:shd w:val="clear" w:color="auto" w:fill="FFFFFF"/>
        </w:rPr>
        <w:fldChar w:fldCharType="separate"/>
      </w:r>
      <w:r>
        <w:rPr>
          <w:rFonts w:ascii="Verdana" w:hAnsi="Verdana" w:cstheme="minorBidi"/>
          <w:sz w:val="18"/>
          <w:u w:color="000000"/>
          <w:shd w:val="clear" w:color="auto" w:fill="FFFFFF"/>
        </w:rPr>
        <w:fldChar w:fldCharType="end"/>
      </w:r>
      <w:r>
        <w:rPr>
          <w:rFonts w:ascii="Verdana" w:hAnsi="Verdana" w:cstheme="minorBidi"/>
          <w:sz w:val="18"/>
          <w:u w:color="000000"/>
          <w:shd w:val="clear" w:color="auto" w:fill="FFFFFF"/>
        </w:rPr>
        <w:fldChar w:fldCharType="begin"/>
      </w:r>
      <w:r>
        <w:rPr>
          <w:rFonts w:ascii="Verdana" w:hAnsi="Verdana" w:cstheme="minorBidi"/>
          <w:sz w:val="18"/>
          <w:u w:color="000000"/>
          <w:shd w:val="clear" w:color="auto" w:fill="FFFFFF"/>
        </w:rPr>
        <w:fldChar w:fldCharType="separate"/>
      </w:r>
      <w:r>
        <w:rPr>
          <w:rFonts w:ascii="Verdana" w:hAnsi="Verdana" w:cstheme="minorBidi"/>
          <w:sz w:val="18"/>
          <w:u w:color="000000"/>
          <w:shd w:val="clear" w:color="auto" w:fill="FFFFFF"/>
        </w:rPr>
        <w:fldChar w:fldCharType="end"/>
      </w:r>
      <w:bookmarkStart w:id="1714" w:name="_Toc177051219"/>
      <w:bookmarkStart w:id="1715" w:name="_Toc177116809"/>
      <w:bookmarkStart w:id="1716" w:name="_Toc177117579"/>
      <w:bookmarkStart w:id="1717" w:name="_Toc177118349"/>
      <w:bookmarkStart w:id="1718" w:name="_Toc177119116"/>
      <w:bookmarkStart w:id="1719" w:name="_Toc148102471"/>
      <w:bookmarkStart w:id="1720" w:name="_Toc148098573"/>
      <w:bookmarkStart w:id="1721" w:name="_Toc149051955"/>
      <w:bookmarkStart w:id="1722" w:name="_Toc152605776"/>
      <w:bookmarkStart w:id="1723" w:name="_Toc152605965"/>
      <w:bookmarkEnd w:id="1713"/>
      <w:bookmarkEnd w:id="1714"/>
      <w:bookmarkEnd w:id="1715"/>
      <w:bookmarkEnd w:id="1716"/>
      <w:bookmarkEnd w:id="1717"/>
      <w:bookmarkEnd w:id="1718"/>
      <w:bookmarkEnd w:id="1719"/>
      <w:bookmarkEnd w:id="1720"/>
      <w:bookmarkEnd w:id="1721"/>
      <w:bookmarkEnd w:id="1722"/>
      <w:bookmarkEnd w:id="1723"/>
    </w:p>
    <w:p w14:paraId="5C1CEF49" w14:textId="2730FB7F" w:rsidR="00B527A9" w:rsidRPr="00A21682" w:rsidRDefault="00E659F8" w:rsidP="00A9704C">
      <w:pPr>
        <w:pStyle w:val="Deliverable"/>
        <w:jc w:val="center"/>
        <w:rPr>
          <w:sz w:val="18"/>
        </w:rPr>
      </w:pPr>
      <w:r>
        <w:rPr>
          <w:color w:val="FFFFFF" w:themeColor="background1"/>
        </w:rPr>
        <w:lastRenderedPageBreak/>
        <w:t>Section 3 – Stakeholder Engagement Plan</w:t>
      </w:r>
    </w:p>
    <w:p w14:paraId="5FCAC866" w14:textId="77777777" w:rsidR="00CD3DA3" w:rsidRPr="00A21682" w:rsidRDefault="00CD3DA3">
      <w:pPr>
        <w:rPr>
          <w:rFonts w:ascii="Verdana" w:hAnsi="Verdana"/>
          <w:sz w:val="18"/>
        </w:rPr>
        <w:sectPr w:rsidR="00CD3DA3" w:rsidRPr="00A21682" w:rsidSect="00FB4E23">
          <w:headerReference w:type="default" r:id="rId57"/>
          <w:footerReference w:type="default" r:id="rId58"/>
          <w:pgSz w:w="12240" w:h="15840"/>
          <w:pgMar w:top="1440" w:right="1440" w:bottom="1440" w:left="1440" w:header="720" w:footer="720" w:gutter="0"/>
          <w:cols w:space="720"/>
          <w:vAlign w:val="center"/>
          <w:docGrid w:linePitch="360"/>
        </w:sectPr>
      </w:pPr>
    </w:p>
    <w:p w14:paraId="2C0374FC" w14:textId="77777777" w:rsidR="008C3BBC" w:rsidRPr="00A21682" w:rsidRDefault="008C3BBC" w:rsidP="008C3BBC">
      <w:pPr>
        <w:pStyle w:val="NormalNEW"/>
        <w:rPr>
          <w:lang w:val="en-US"/>
        </w:rPr>
      </w:pPr>
    </w:p>
    <w:p w14:paraId="391677A1" w14:textId="494E7447" w:rsidR="00E03036" w:rsidRPr="00A21682" w:rsidRDefault="00C93BB3">
      <w:pPr>
        <w:pStyle w:val="Heading1"/>
      </w:pPr>
      <w:bookmarkStart w:id="1724" w:name="_Toc177119123"/>
      <w:bookmarkStart w:id="1725" w:name="_Toc185952644"/>
      <w:bookmarkStart w:id="1726" w:name="_Toc192874812"/>
      <w:r>
        <w:t>Stakeholder Engagement Plan</w:t>
      </w:r>
      <w:bookmarkEnd w:id="1724"/>
      <w:bookmarkEnd w:id="1725"/>
      <w:bookmarkEnd w:id="1726"/>
    </w:p>
    <w:p w14:paraId="365E334C" w14:textId="77777777" w:rsidR="005C0E34" w:rsidRPr="00A21682" w:rsidRDefault="005C0E34">
      <w:pPr>
        <w:pStyle w:val="Heading2"/>
      </w:pPr>
      <w:bookmarkStart w:id="1727" w:name="_Toc149299212"/>
      <w:bookmarkStart w:id="1728" w:name="_Toc177119124"/>
      <w:bookmarkStart w:id="1729" w:name="_Toc185952645"/>
      <w:bookmarkStart w:id="1730" w:name="_Toc192874813"/>
      <w:r>
        <w:t>Introduction</w:t>
      </w:r>
      <w:bookmarkEnd w:id="1727"/>
      <w:bookmarkEnd w:id="1728"/>
      <w:bookmarkEnd w:id="1729"/>
      <w:bookmarkEnd w:id="1730"/>
    </w:p>
    <w:p w14:paraId="56E2B3E3" w14:textId="4FB9C42D" w:rsidR="005C0E34" w:rsidRPr="00A21682" w:rsidRDefault="005C0E34" w:rsidP="00C67ABF">
      <w:pPr>
        <w:pStyle w:val="NormalNEW"/>
        <w:rPr>
          <w:lang w:val="en-US"/>
        </w:rPr>
      </w:pPr>
      <w:r>
        <w:rPr>
          <w:lang w:val="en-US"/>
        </w:rPr>
        <w:t xml:space="preserve">The Stakeholder Engagement Plan includes the approach to plan, manage, and monitor stakeholder engagement within the New York State DOH OHIP and external entities, and reinforce the Governance Structure that will be involved in the MECM system implementation. The Stakeholder Engagement Plan is constructed to aid in a successful system transition that is aligned with the goals and organizational vision of DOH OHIP stakeholders. </w:t>
      </w:r>
    </w:p>
    <w:p w14:paraId="521BFE08" w14:textId="77777777" w:rsidR="005C0E34" w:rsidRPr="00A21682" w:rsidRDefault="005C0E34">
      <w:pPr>
        <w:pStyle w:val="Heading2"/>
      </w:pPr>
      <w:bookmarkStart w:id="1731" w:name="_Toc149299213"/>
      <w:bookmarkStart w:id="1732" w:name="_Toc177119125"/>
      <w:bookmarkStart w:id="1733" w:name="_Toc185952646"/>
      <w:bookmarkStart w:id="1734" w:name="_Toc192874814"/>
      <w:r>
        <w:t>Purpose</w:t>
      </w:r>
      <w:bookmarkEnd w:id="1731"/>
      <w:bookmarkEnd w:id="1732"/>
      <w:bookmarkEnd w:id="1733"/>
      <w:bookmarkEnd w:id="1734"/>
    </w:p>
    <w:p w14:paraId="16ED4855" w14:textId="77777777" w:rsidR="005C0E34" w:rsidRPr="00A21682" w:rsidRDefault="005C0E34" w:rsidP="00C67ABF">
      <w:pPr>
        <w:pStyle w:val="NormalNEW"/>
        <w:rPr>
          <w:lang w:val="en-US"/>
        </w:rPr>
      </w:pPr>
      <w:r>
        <w:rPr>
          <w:lang w:val="en-US"/>
        </w:rPr>
        <w:t>Formal planning and management of stakeholder involvement is vital to meeting project goals and objectives, particularly when external resources can influence the direction or outcome of project results. For this reason, the project defines the activities and levels of participation required by critical stakeholders and establishes operational processes to encourage their participation and engagement effectiveness.</w:t>
      </w:r>
    </w:p>
    <w:p w14:paraId="27FCAD09" w14:textId="5AB184A1" w:rsidR="005C0E34" w:rsidRPr="00A21682" w:rsidRDefault="005C0E34" w:rsidP="00C67ABF">
      <w:pPr>
        <w:pStyle w:val="NormalNEW"/>
        <w:rPr>
          <w:lang w:val="en-US"/>
        </w:rPr>
      </w:pPr>
      <w:r>
        <w:rPr>
          <w:lang w:val="en-US"/>
        </w:rPr>
        <w:t xml:space="preserve">The objective of this plan is to document how </w:t>
      </w:r>
      <w:r>
        <w:rPr>
          <w:u w:color="000000"/>
          <w:lang w:val="en-US"/>
        </w:rPr>
        <w:t xml:space="preserve">Continuing Medicaid Eligibility Modernization </w:t>
      </w:r>
      <w:r>
        <w:rPr>
          <w:lang w:val="en-US"/>
        </w:rPr>
        <w:t>stakeholders will provide input and remain engaged on MECM system implementation efforts. To meet this objective, the plan will do the following:</w:t>
      </w:r>
    </w:p>
    <w:p w14:paraId="2387090A" w14:textId="77777777" w:rsidR="005C0E34" w:rsidRPr="00A21682" w:rsidRDefault="005C0E34" w:rsidP="0031550A">
      <w:pPr>
        <w:pStyle w:val="BulletNEW"/>
      </w:pPr>
      <w:r>
        <w:t>Outline the stakeholder groups represented in MECM implementation</w:t>
      </w:r>
    </w:p>
    <w:p w14:paraId="0E728526" w14:textId="77777777" w:rsidR="005C0E34" w:rsidRPr="00A21682" w:rsidRDefault="005C0E34" w:rsidP="0031550A">
      <w:pPr>
        <w:pStyle w:val="BulletNEW"/>
      </w:pPr>
      <w:r>
        <w:t>Define responsibilities for stakeholder groups that participate in developing and upholding the stakeholder engagement plan</w:t>
      </w:r>
    </w:p>
    <w:p w14:paraId="5A6AC557" w14:textId="77777777" w:rsidR="005C0E34" w:rsidRPr="00A21682" w:rsidRDefault="005C0E34">
      <w:pPr>
        <w:pStyle w:val="Heading2"/>
      </w:pPr>
      <w:bookmarkStart w:id="1735" w:name="_Toc147318030"/>
      <w:bookmarkStart w:id="1736" w:name="_Toc147318100"/>
      <w:bookmarkStart w:id="1737" w:name="_Toc147826861"/>
      <w:bookmarkStart w:id="1738" w:name="_Toc148095740"/>
      <w:bookmarkStart w:id="1739" w:name="_Toc148433470"/>
      <w:bookmarkStart w:id="1740" w:name="_Toc148433540"/>
      <w:bookmarkStart w:id="1741" w:name="_Toc148436298"/>
      <w:bookmarkStart w:id="1742" w:name="_Toc148436368"/>
      <w:bookmarkStart w:id="1743" w:name="_Toc147318031"/>
      <w:bookmarkStart w:id="1744" w:name="_Toc147318101"/>
      <w:bookmarkStart w:id="1745" w:name="_Toc147826862"/>
      <w:bookmarkStart w:id="1746" w:name="_Toc148095741"/>
      <w:bookmarkStart w:id="1747" w:name="_Toc148433471"/>
      <w:bookmarkStart w:id="1748" w:name="_Toc148433541"/>
      <w:bookmarkStart w:id="1749" w:name="_Toc148436299"/>
      <w:bookmarkStart w:id="1750" w:name="_Toc148436369"/>
      <w:bookmarkStart w:id="1751" w:name="_Toc149050053"/>
      <w:bookmarkStart w:id="1752" w:name="_Toc149050129"/>
      <w:bookmarkStart w:id="1753" w:name="_Toc149056994"/>
      <w:bookmarkStart w:id="1754" w:name="_Toc149065281"/>
      <w:bookmarkStart w:id="1755" w:name="_Toc149220231"/>
      <w:bookmarkStart w:id="1756" w:name="_Toc149231735"/>
      <w:bookmarkStart w:id="1757" w:name="_Toc147318032"/>
      <w:bookmarkStart w:id="1758" w:name="_Toc147318102"/>
      <w:bookmarkStart w:id="1759" w:name="_Toc147826863"/>
      <w:bookmarkStart w:id="1760" w:name="_Toc148095742"/>
      <w:bookmarkStart w:id="1761" w:name="_Toc148433472"/>
      <w:bookmarkStart w:id="1762" w:name="_Toc148433542"/>
      <w:bookmarkStart w:id="1763" w:name="_Toc148436300"/>
      <w:bookmarkStart w:id="1764" w:name="_Toc148436370"/>
      <w:bookmarkStart w:id="1765" w:name="_Toc149050054"/>
      <w:bookmarkStart w:id="1766" w:name="_Toc149050130"/>
      <w:bookmarkStart w:id="1767" w:name="_Toc149056995"/>
      <w:bookmarkStart w:id="1768" w:name="_Toc149065282"/>
      <w:bookmarkStart w:id="1769" w:name="_Toc149220232"/>
      <w:bookmarkStart w:id="1770" w:name="_Toc149231736"/>
      <w:bookmarkStart w:id="1771" w:name="_Toc147318033"/>
      <w:bookmarkStart w:id="1772" w:name="_Toc147318103"/>
      <w:bookmarkStart w:id="1773" w:name="_Toc147826864"/>
      <w:bookmarkStart w:id="1774" w:name="_Toc148095743"/>
      <w:bookmarkStart w:id="1775" w:name="_Toc148433473"/>
      <w:bookmarkStart w:id="1776" w:name="_Toc148433543"/>
      <w:bookmarkStart w:id="1777" w:name="_Toc148436301"/>
      <w:bookmarkStart w:id="1778" w:name="_Toc148436371"/>
      <w:bookmarkStart w:id="1779" w:name="_Toc149050055"/>
      <w:bookmarkStart w:id="1780" w:name="_Toc149050131"/>
      <w:bookmarkStart w:id="1781" w:name="_Toc149056996"/>
      <w:bookmarkStart w:id="1782" w:name="_Toc149065283"/>
      <w:bookmarkStart w:id="1783" w:name="_Toc149220233"/>
      <w:bookmarkStart w:id="1784" w:name="_Toc149231737"/>
      <w:bookmarkStart w:id="1785" w:name="_Toc147318035"/>
      <w:bookmarkStart w:id="1786" w:name="_Toc147318105"/>
      <w:bookmarkStart w:id="1787" w:name="_Toc147826866"/>
      <w:bookmarkStart w:id="1788" w:name="_Toc148095745"/>
      <w:bookmarkStart w:id="1789" w:name="_Toc148433475"/>
      <w:bookmarkStart w:id="1790" w:name="_Toc148433545"/>
      <w:bookmarkStart w:id="1791" w:name="_Toc148436303"/>
      <w:bookmarkStart w:id="1792" w:name="_Toc148436373"/>
      <w:bookmarkStart w:id="1793" w:name="_Toc149050057"/>
      <w:bookmarkStart w:id="1794" w:name="_Toc149050133"/>
      <w:bookmarkStart w:id="1795" w:name="_Toc149056998"/>
      <w:bookmarkStart w:id="1796" w:name="_Toc149065285"/>
      <w:bookmarkStart w:id="1797" w:name="_Toc149220235"/>
      <w:bookmarkStart w:id="1798" w:name="_Toc149231739"/>
      <w:bookmarkStart w:id="1799" w:name="_Toc147318036"/>
      <w:bookmarkStart w:id="1800" w:name="_Toc147318106"/>
      <w:bookmarkStart w:id="1801" w:name="_Toc147826867"/>
      <w:bookmarkStart w:id="1802" w:name="_Toc148095746"/>
      <w:bookmarkStart w:id="1803" w:name="_Toc148433476"/>
      <w:bookmarkStart w:id="1804" w:name="_Toc148433546"/>
      <w:bookmarkStart w:id="1805" w:name="_Toc148436304"/>
      <w:bookmarkStart w:id="1806" w:name="_Toc148436374"/>
      <w:bookmarkStart w:id="1807" w:name="_Toc149050058"/>
      <w:bookmarkStart w:id="1808" w:name="_Toc149050134"/>
      <w:bookmarkStart w:id="1809" w:name="_Toc149056999"/>
      <w:bookmarkStart w:id="1810" w:name="_Toc149065286"/>
      <w:bookmarkStart w:id="1811" w:name="_Toc149220236"/>
      <w:bookmarkStart w:id="1812" w:name="_Toc149231740"/>
      <w:bookmarkStart w:id="1813" w:name="_Toc147318037"/>
      <w:bookmarkStart w:id="1814" w:name="_Toc147318107"/>
      <w:bookmarkStart w:id="1815" w:name="_Toc147826868"/>
      <w:bookmarkStart w:id="1816" w:name="_Toc148095747"/>
      <w:bookmarkStart w:id="1817" w:name="_Toc148433477"/>
      <w:bookmarkStart w:id="1818" w:name="_Toc148433547"/>
      <w:bookmarkStart w:id="1819" w:name="_Toc148436305"/>
      <w:bookmarkStart w:id="1820" w:name="_Toc148436375"/>
      <w:bookmarkStart w:id="1821" w:name="_Toc149050059"/>
      <w:bookmarkStart w:id="1822" w:name="_Toc149050135"/>
      <w:bookmarkStart w:id="1823" w:name="_Toc149057000"/>
      <w:bookmarkStart w:id="1824" w:name="_Toc149065287"/>
      <w:bookmarkStart w:id="1825" w:name="_Toc149220237"/>
      <w:bookmarkStart w:id="1826" w:name="_Toc149231741"/>
      <w:bookmarkStart w:id="1827" w:name="_Toc147318038"/>
      <w:bookmarkStart w:id="1828" w:name="_Toc147318108"/>
      <w:bookmarkStart w:id="1829" w:name="_Toc147826869"/>
      <w:bookmarkStart w:id="1830" w:name="_Toc148095748"/>
      <w:bookmarkStart w:id="1831" w:name="_Toc148433478"/>
      <w:bookmarkStart w:id="1832" w:name="_Toc148433548"/>
      <w:bookmarkStart w:id="1833" w:name="_Toc148436306"/>
      <w:bookmarkStart w:id="1834" w:name="_Toc148436376"/>
      <w:bookmarkStart w:id="1835" w:name="_Toc149050060"/>
      <w:bookmarkStart w:id="1836" w:name="_Toc149050136"/>
      <w:bookmarkStart w:id="1837" w:name="_Toc149057001"/>
      <w:bookmarkStart w:id="1838" w:name="_Toc149065288"/>
      <w:bookmarkStart w:id="1839" w:name="_Toc149220238"/>
      <w:bookmarkStart w:id="1840" w:name="_Toc149231742"/>
      <w:bookmarkStart w:id="1841" w:name="_Toc147318039"/>
      <w:bookmarkStart w:id="1842" w:name="_Toc147318109"/>
      <w:bookmarkStart w:id="1843" w:name="_Toc147826870"/>
      <w:bookmarkStart w:id="1844" w:name="_Toc148095749"/>
      <w:bookmarkStart w:id="1845" w:name="_Toc148433479"/>
      <w:bookmarkStart w:id="1846" w:name="_Toc148433549"/>
      <w:bookmarkStart w:id="1847" w:name="_Toc148436307"/>
      <w:bookmarkStart w:id="1848" w:name="_Toc148436377"/>
      <w:bookmarkStart w:id="1849" w:name="_Toc149050061"/>
      <w:bookmarkStart w:id="1850" w:name="_Toc149050137"/>
      <w:bookmarkStart w:id="1851" w:name="_Toc149057002"/>
      <w:bookmarkStart w:id="1852" w:name="_Toc149065289"/>
      <w:bookmarkStart w:id="1853" w:name="_Toc149220239"/>
      <w:bookmarkStart w:id="1854" w:name="_Toc149231743"/>
      <w:bookmarkStart w:id="1855" w:name="_Toc147318040"/>
      <w:bookmarkStart w:id="1856" w:name="_Toc147318110"/>
      <w:bookmarkStart w:id="1857" w:name="_Toc147826871"/>
      <w:bookmarkStart w:id="1858" w:name="_Toc148095750"/>
      <w:bookmarkStart w:id="1859" w:name="_Toc148433480"/>
      <w:bookmarkStart w:id="1860" w:name="_Toc148433550"/>
      <w:bookmarkStart w:id="1861" w:name="_Toc148436308"/>
      <w:bookmarkStart w:id="1862" w:name="_Toc148436378"/>
      <w:bookmarkStart w:id="1863" w:name="_Toc149050062"/>
      <w:bookmarkStart w:id="1864" w:name="_Toc149050138"/>
      <w:bookmarkStart w:id="1865" w:name="_Toc149057003"/>
      <w:bookmarkStart w:id="1866" w:name="_Toc149065290"/>
      <w:bookmarkStart w:id="1867" w:name="_Toc149220240"/>
      <w:bookmarkStart w:id="1868" w:name="_Toc149231744"/>
      <w:bookmarkStart w:id="1869" w:name="_Toc147318042"/>
      <w:bookmarkStart w:id="1870" w:name="_Toc147318112"/>
      <w:bookmarkStart w:id="1871" w:name="_Toc147826873"/>
      <w:bookmarkStart w:id="1872" w:name="_Toc148095752"/>
      <w:bookmarkStart w:id="1873" w:name="_Toc148433482"/>
      <w:bookmarkStart w:id="1874" w:name="_Toc148433552"/>
      <w:bookmarkStart w:id="1875" w:name="_Toc148436310"/>
      <w:bookmarkStart w:id="1876" w:name="_Toc148436380"/>
      <w:bookmarkStart w:id="1877" w:name="_Toc149050064"/>
      <w:bookmarkStart w:id="1878" w:name="_Toc149050140"/>
      <w:bookmarkStart w:id="1879" w:name="_Toc149057005"/>
      <w:bookmarkStart w:id="1880" w:name="_Toc149065292"/>
      <w:bookmarkStart w:id="1881" w:name="_Toc149220242"/>
      <w:bookmarkStart w:id="1882" w:name="_Toc149231746"/>
      <w:bookmarkStart w:id="1883" w:name="_Toc147318043"/>
      <w:bookmarkStart w:id="1884" w:name="_Toc147318113"/>
      <w:bookmarkStart w:id="1885" w:name="_Toc147826874"/>
      <w:bookmarkStart w:id="1886" w:name="_Toc148095753"/>
      <w:bookmarkStart w:id="1887" w:name="_Toc148433483"/>
      <w:bookmarkStart w:id="1888" w:name="_Toc148433553"/>
      <w:bookmarkStart w:id="1889" w:name="_Toc148436311"/>
      <w:bookmarkStart w:id="1890" w:name="_Toc148436381"/>
      <w:bookmarkStart w:id="1891" w:name="_Toc149050065"/>
      <w:bookmarkStart w:id="1892" w:name="_Toc149050141"/>
      <w:bookmarkStart w:id="1893" w:name="_Toc149057006"/>
      <w:bookmarkStart w:id="1894" w:name="_Toc149065293"/>
      <w:bookmarkStart w:id="1895" w:name="_Toc149220243"/>
      <w:bookmarkStart w:id="1896" w:name="_Toc149231747"/>
      <w:bookmarkStart w:id="1897" w:name="_Toc147318044"/>
      <w:bookmarkStart w:id="1898" w:name="_Toc147318114"/>
      <w:bookmarkStart w:id="1899" w:name="_Toc147826875"/>
      <w:bookmarkStart w:id="1900" w:name="_Toc148095754"/>
      <w:bookmarkStart w:id="1901" w:name="_Toc148433484"/>
      <w:bookmarkStart w:id="1902" w:name="_Toc148433554"/>
      <w:bookmarkStart w:id="1903" w:name="_Toc148436312"/>
      <w:bookmarkStart w:id="1904" w:name="_Toc148436382"/>
      <w:bookmarkStart w:id="1905" w:name="_Toc149050066"/>
      <w:bookmarkStart w:id="1906" w:name="_Toc149050142"/>
      <w:bookmarkStart w:id="1907" w:name="_Toc149057007"/>
      <w:bookmarkStart w:id="1908" w:name="_Toc149065294"/>
      <w:bookmarkStart w:id="1909" w:name="_Toc149220244"/>
      <w:bookmarkStart w:id="1910" w:name="_Toc149231748"/>
      <w:bookmarkStart w:id="1911" w:name="_Toc147318045"/>
      <w:bookmarkStart w:id="1912" w:name="_Toc147318115"/>
      <w:bookmarkStart w:id="1913" w:name="_Toc147826876"/>
      <w:bookmarkStart w:id="1914" w:name="_Toc148095755"/>
      <w:bookmarkStart w:id="1915" w:name="_Toc148433485"/>
      <w:bookmarkStart w:id="1916" w:name="_Toc148433555"/>
      <w:bookmarkStart w:id="1917" w:name="_Toc148436313"/>
      <w:bookmarkStart w:id="1918" w:name="_Toc148436383"/>
      <w:bookmarkStart w:id="1919" w:name="_Toc149050067"/>
      <w:bookmarkStart w:id="1920" w:name="_Toc149050143"/>
      <w:bookmarkStart w:id="1921" w:name="_Toc149057008"/>
      <w:bookmarkStart w:id="1922" w:name="_Toc149065295"/>
      <w:bookmarkStart w:id="1923" w:name="_Toc149220245"/>
      <w:bookmarkStart w:id="1924" w:name="_Toc149231749"/>
      <w:bookmarkStart w:id="1925" w:name="_Toc147318046"/>
      <w:bookmarkStart w:id="1926" w:name="_Toc147318116"/>
      <w:bookmarkStart w:id="1927" w:name="_Toc147826877"/>
      <w:bookmarkStart w:id="1928" w:name="_Toc148095756"/>
      <w:bookmarkStart w:id="1929" w:name="_Toc148433486"/>
      <w:bookmarkStart w:id="1930" w:name="_Toc148433556"/>
      <w:bookmarkStart w:id="1931" w:name="_Toc148436314"/>
      <w:bookmarkStart w:id="1932" w:name="_Toc148436384"/>
      <w:bookmarkStart w:id="1933" w:name="_Toc149050068"/>
      <w:bookmarkStart w:id="1934" w:name="_Toc149050144"/>
      <w:bookmarkStart w:id="1935" w:name="_Toc149057009"/>
      <w:bookmarkStart w:id="1936" w:name="_Toc149065296"/>
      <w:bookmarkStart w:id="1937" w:name="_Toc149220246"/>
      <w:bookmarkStart w:id="1938" w:name="_Toc149231750"/>
      <w:bookmarkStart w:id="1939" w:name="_Toc147318047"/>
      <w:bookmarkStart w:id="1940" w:name="_Toc147318117"/>
      <w:bookmarkStart w:id="1941" w:name="_Toc147826878"/>
      <w:bookmarkStart w:id="1942" w:name="_Toc148095757"/>
      <w:bookmarkStart w:id="1943" w:name="_Toc148433487"/>
      <w:bookmarkStart w:id="1944" w:name="_Toc148433557"/>
      <w:bookmarkStart w:id="1945" w:name="_Toc148436315"/>
      <w:bookmarkStart w:id="1946" w:name="_Toc148436385"/>
      <w:bookmarkStart w:id="1947" w:name="_Toc149050069"/>
      <w:bookmarkStart w:id="1948" w:name="_Toc149050145"/>
      <w:bookmarkStart w:id="1949" w:name="_Toc149057010"/>
      <w:bookmarkStart w:id="1950" w:name="_Toc149065297"/>
      <w:bookmarkStart w:id="1951" w:name="_Toc149220247"/>
      <w:bookmarkStart w:id="1952" w:name="_Toc149231751"/>
      <w:bookmarkStart w:id="1953" w:name="_Toc147318048"/>
      <w:bookmarkStart w:id="1954" w:name="_Toc147318118"/>
      <w:bookmarkStart w:id="1955" w:name="_Toc147826879"/>
      <w:bookmarkStart w:id="1956" w:name="_Toc148095758"/>
      <w:bookmarkStart w:id="1957" w:name="_Toc148433488"/>
      <w:bookmarkStart w:id="1958" w:name="_Toc148433558"/>
      <w:bookmarkStart w:id="1959" w:name="_Toc148436316"/>
      <w:bookmarkStart w:id="1960" w:name="_Toc148436386"/>
      <w:bookmarkStart w:id="1961" w:name="_Toc149050070"/>
      <w:bookmarkStart w:id="1962" w:name="_Toc149050146"/>
      <w:bookmarkStart w:id="1963" w:name="_Toc149057011"/>
      <w:bookmarkStart w:id="1964" w:name="_Toc149065298"/>
      <w:bookmarkStart w:id="1965" w:name="_Toc149220248"/>
      <w:bookmarkStart w:id="1966" w:name="_Toc149231752"/>
      <w:bookmarkStart w:id="1967" w:name="_Toc147318049"/>
      <w:bookmarkStart w:id="1968" w:name="_Toc147318119"/>
      <w:bookmarkStart w:id="1969" w:name="_Toc147826880"/>
      <w:bookmarkStart w:id="1970" w:name="_Toc148095759"/>
      <w:bookmarkStart w:id="1971" w:name="_Toc148433489"/>
      <w:bookmarkStart w:id="1972" w:name="_Toc148433559"/>
      <w:bookmarkStart w:id="1973" w:name="_Toc148436317"/>
      <w:bookmarkStart w:id="1974" w:name="_Toc148436387"/>
      <w:bookmarkStart w:id="1975" w:name="_Toc149050071"/>
      <w:bookmarkStart w:id="1976" w:name="_Toc149050147"/>
      <w:bookmarkStart w:id="1977" w:name="_Toc149057012"/>
      <w:bookmarkStart w:id="1978" w:name="_Toc149065299"/>
      <w:bookmarkStart w:id="1979" w:name="_Toc149220249"/>
      <w:bookmarkStart w:id="1980" w:name="_Toc149231753"/>
      <w:bookmarkStart w:id="1981" w:name="_Toc147318050"/>
      <w:bookmarkStart w:id="1982" w:name="_Toc147318120"/>
      <w:bookmarkStart w:id="1983" w:name="_Toc147826881"/>
      <w:bookmarkStart w:id="1984" w:name="_Toc148095760"/>
      <w:bookmarkStart w:id="1985" w:name="_Toc148433490"/>
      <w:bookmarkStart w:id="1986" w:name="_Toc148433560"/>
      <w:bookmarkStart w:id="1987" w:name="_Toc148436318"/>
      <w:bookmarkStart w:id="1988" w:name="_Toc148436388"/>
      <w:bookmarkStart w:id="1989" w:name="_Toc147318052"/>
      <w:bookmarkStart w:id="1990" w:name="_Toc147318122"/>
      <w:bookmarkStart w:id="1991" w:name="_Toc147826883"/>
      <w:bookmarkStart w:id="1992" w:name="_Toc148095762"/>
      <w:bookmarkStart w:id="1993" w:name="_Toc148433492"/>
      <w:bookmarkStart w:id="1994" w:name="_Toc148433562"/>
      <w:bookmarkStart w:id="1995" w:name="_Toc148436320"/>
      <w:bookmarkStart w:id="1996" w:name="_Toc148436390"/>
      <w:bookmarkStart w:id="1997" w:name="_Toc149050074"/>
      <w:bookmarkStart w:id="1998" w:name="_Toc149050150"/>
      <w:bookmarkStart w:id="1999" w:name="_Toc149057015"/>
      <w:bookmarkStart w:id="2000" w:name="_Toc149065302"/>
      <w:bookmarkStart w:id="2001" w:name="_Toc149220252"/>
      <w:bookmarkStart w:id="2002" w:name="_Toc149231756"/>
      <w:bookmarkStart w:id="2003" w:name="_Toc147318053"/>
      <w:bookmarkStart w:id="2004" w:name="_Toc147318123"/>
      <w:bookmarkStart w:id="2005" w:name="_Toc147826884"/>
      <w:bookmarkStart w:id="2006" w:name="_Toc148095763"/>
      <w:bookmarkStart w:id="2007" w:name="_Toc148433493"/>
      <w:bookmarkStart w:id="2008" w:name="_Toc148433563"/>
      <w:bookmarkStart w:id="2009" w:name="_Toc148436321"/>
      <w:bookmarkStart w:id="2010" w:name="_Toc148436391"/>
      <w:bookmarkStart w:id="2011" w:name="_Toc149050075"/>
      <w:bookmarkStart w:id="2012" w:name="_Toc149050151"/>
      <w:bookmarkStart w:id="2013" w:name="_Toc149057016"/>
      <w:bookmarkStart w:id="2014" w:name="_Toc149065303"/>
      <w:bookmarkStart w:id="2015" w:name="_Toc149220253"/>
      <w:bookmarkStart w:id="2016" w:name="_Toc149231757"/>
      <w:bookmarkStart w:id="2017" w:name="_Toc147318054"/>
      <w:bookmarkStart w:id="2018" w:name="_Toc147318124"/>
      <w:bookmarkStart w:id="2019" w:name="_Toc147826885"/>
      <w:bookmarkStart w:id="2020" w:name="_Toc148095764"/>
      <w:bookmarkStart w:id="2021" w:name="_Toc148433494"/>
      <w:bookmarkStart w:id="2022" w:name="_Toc148433564"/>
      <w:bookmarkStart w:id="2023" w:name="_Toc148436322"/>
      <w:bookmarkStart w:id="2024" w:name="_Toc148436392"/>
      <w:bookmarkStart w:id="2025" w:name="_Toc149050076"/>
      <w:bookmarkStart w:id="2026" w:name="_Toc149050152"/>
      <w:bookmarkStart w:id="2027" w:name="_Toc149057017"/>
      <w:bookmarkStart w:id="2028" w:name="_Toc149065304"/>
      <w:bookmarkStart w:id="2029" w:name="_Toc149220254"/>
      <w:bookmarkStart w:id="2030" w:name="_Toc149231758"/>
      <w:bookmarkStart w:id="2031" w:name="_Toc147318055"/>
      <w:bookmarkStart w:id="2032" w:name="_Toc147318125"/>
      <w:bookmarkStart w:id="2033" w:name="_Toc147826886"/>
      <w:bookmarkStart w:id="2034" w:name="_Toc148095765"/>
      <w:bookmarkStart w:id="2035" w:name="_Toc148433495"/>
      <w:bookmarkStart w:id="2036" w:name="_Toc148433565"/>
      <w:bookmarkStart w:id="2037" w:name="_Toc148436323"/>
      <w:bookmarkStart w:id="2038" w:name="_Toc148436393"/>
      <w:bookmarkStart w:id="2039" w:name="_Toc149050077"/>
      <w:bookmarkStart w:id="2040" w:name="_Toc149050153"/>
      <w:bookmarkStart w:id="2041" w:name="_Toc149057018"/>
      <w:bookmarkStart w:id="2042" w:name="_Toc149065305"/>
      <w:bookmarkStart w:id="2043" w:name="_Toc149220255"/>
      <w:bookmarkStart w:id="2044" w:name="_Toc149231759"/>
      <w:bookmarkStart w:id="2045" w:name="_Toc147318056"/>
      <w:bookmarkStart w:id="2046" w:name="_Toc147318126"/>
      <w:bookmarkStart w:id="2047" w:name="_Toc147826887"/>
      <w:bookmarkStart w:id="2048" w:name="_Toc148095766"/>
      <w:bookmarkStart w:id="2049" w:name="_Toc148433496"/>
      <w:bookmarkStart w:id="2050" w:name="_Toc148433566"/>
      <w:bookmarkStart w:id="2051" w:name="_Toc148436324"/>
      <w:bookmarkStart w:id="2052" w:name="_Toc148436394"/>
      <w:bookmarkStart w:id="2053" w:name="_Toc147318057"/>
      <w:bookmarkStart w:id="2054" w:name="_Toc147318127"/>
      <w:bookmarkStart w:id="2055" w:name="_Toc147826888"/>
      <w:bookmarkStart w:id="2056" w:name="_Toc148095767"/>
      <w:bookmarkStart w:id="2057" w:name="_Toc148433497"/>
      <w:bookmarkStart w:id="2058" w:name="_Toc148433567"/>
      <w:bookmarkStart w:id="2059" w:name="_Toc148436325"/>
      <w:bookmarkStart w:id="2060" w:name="_Toc148436395"/>
      <w:bookmarkStart w:id="2061" w:name="_Toc149050079"/>
      <w:bookmarkStart w:id="2062" w:name="_Toc149050155"/>
      <w:bookmarkStart w:id="2063" w:name="_Toc149057020"/>
      <w:bookmarkStart w:id="2064" w:name="_Toc149065307"/>
      <w:bookmarkStart w:id="2065" w:name="_Toc149220257"/>
      <w:bookmarkStart w:id="2066" w:name="_Toc149231761"/>
      <w:bookmarkStart w:id="2067" w:name="_Toc147318058"/>
      <w:bookmarkStart w:id="2068" w:name="_Toc147318128"/>
      <w:bookmarkStart w:id="2069" w:name="_Toc147826889"/>
      <w:bookmarkStart w:id="2070" w:name="_Toc148095768"/>
      <w:bookmarkStart w:id="2071" w:name="_Toc148433498"/>
      <w:bookmarkStart w:id="2072" w:name="_Toc148433568"/>
      <w:bookmarkStart w:id="2073" w:name="_Toc148436326"/>
      <w:bookmarkStart w:id="2074" w:name="_Toc148436396"/>
      <w:bookmarkStart w:id="2075" w:name="_Toc149050080"/>
      <w:bookmarkStart w:id="2076" w:name="_Toc149050156"/>
      <w:bookmarkStart w:id="2077" w:name="_Toc149057021"/>
      <w:bookmarkStart w:id="2078" w:name="_Toc149065308"/>
      <w:bookmarkStart w:id="2079" w:name="_Toc149220258"/>
      <w:bookmarkStart w:id="2080" w:name="_Toc149231762"/>
      <w:bookmarkStart w:id="2081" w:name="_Toc147318059"/>
      <w:bookmarkStart w:id="2082" w:name="_Toc147318129"/>
      <w:bookmarkStart w:id="2083" w:name="_Toc147826890"/>
      <w:bookmarkStart w:id="2084" w:name="_Toc148095769"/>
      <w:bookmarkStart w:id="2085" w:name="_Toc148433499"/>
      <w:bookmarkStart w:id="2086" w:name="_Toc148433569"/>
      <w:bookmarkStart w:id="2087" w:name="_Toc148436327"/>
      <w:bookmarkStart w:id="2088" w:name="_Toc148436397"/>
      <w:bookmarkStart w:id="2089" w:name="_Toc149050081"/>
      <w:bookmarkStart w:id="2090" w:name="_Toc149050157"/>
      <w:bookmarkStart w:id="2091" w:name="_Toc149057022"/>
      <w:bookmarkStart w:id="2092" w:name="_Toc149065309"/>
      <w:bookmarkStart w:id="2093" w:name="_Toc149220259"/>
      <w:bookmarkStart w:id="2094" w:name="_Toc149231763"/>
      <w:bookmarkStart w:id="2095" w:name="_Toc147318060"/>
      <w:bookmarkStart w:id="2096" w:name="_Toc147318130"/>
      <w:bookmarkStart w:id="2097" w:name="_Toc147826891"/>
      <w:bookmarkStart w:id="2098" w:name="_Toc148095770"/>
      <w:bookmarkStart w:id="2099" w:name="_Toc148433500"/>
      <w:bookmarkStart w:id="2100" w:name="_Toc148433570"/>
      <w:bookmarkStart w:id="2101" w:name="_Toc148436328"/>
      <w:bookmarkStart w:id="2102" w:name="_Toc148436398"/>
      <w:bookmarkStart w:id="2103" w:name="_Toc149050082"/>
      <w:bookmarkStart w:id="2104" w:name="_Toc149050158"/>
      <w:bookmarkStart w:id="2105" w:name="_Toc149057023"/>
      <w:bookmarkStart w:id="2106" w:name="_Toc149065310"/>
      <w:bookmarkStart w:id="2107" w:name="_Toc149220260"/>
      <w:bookmarkStart w:id="2108" w:name="_Toc149231764"/>
      <w:bookmarkStart w:id="2109" w:name="_Toc147318061"/>
      <w:bookmarkStart w:id="2110" w:name="_Toc147318131"/>
      <w:bookmarkStart w:id="2111" w:name="_Toc147826892"/>
      <w:bookmarkStart w:id="2112" w:name="_Toc148095771"/>
      <w:bookmarkStart w:id="2113" w:name="_Toc148433501"/>
      <w:bookmarkStart w:id="2114" w:name="_Toc148433571"/>
      <w:bookmarkStart w:id="2115" w:name="_Toc148436329"/>
      <w:bookmarkStart w:id="2116" w:name="_Toc148436399"/>
      <w:bookmarkStart w:id="2117" w:name="_Toc149050083"/>
      <w:bookmarkStart w:id="2118" w:name="_Toc149050159"/>
      <w:bookmarkStart w:id="2119" w:name="_Toc149057024"/>
      <w:bookmarkStart w:id="2120" w:name="_Toc149065311"/>
      <w:bookmarkStart w:id="2121" w:name="_Toc149220261"/>
      <w:bookmarkStart w:id="2122" w:name="_Toc149231765"/>
      <w:bookmarkStart w:id="2123" w:name="_Toc147318063"/>
      <w:bookmarkStart w:id="2124" w:name="_Toc147318133"/>
      <w:bookmarkStart w:id="2125" w:name="_Toc147826894"/>
      <w:bookmarkStart w:id="2126" w:name="_Toc148095773"/>
      <w:bookmarkStart w:id="2127" w:name="_Toc148433503"/>
      <w:bookmarkStart w:id="2128" w:name="_Toc148433573"/>
      <w:bookmarkStart w:id="2129" w:name="_Toc148436331"/>
      <w:bookmarkStart w:id="2130" w:name="_Toc148436401"/>
      <w:bookmarkStart w:id="2131" w:name="_Toc149050085"/>
      <w:bookmarkStart w:id="2132" w:name="_Toc149050161"/>
      <w:bookmarkStart w:id="2133" w:name="_Toc149057026"/>
      <w:bookmarkStart w:id="2134" w:name="_Toc149065313"/>
      <w:bookmarkStart w:id="2135" w:name="_Toc149220263"/>
      <w:bookmarkStart w:id="2136" w:name="_Toc149231767"/>
      <w:bookmarkStart w:id="2137" w:name="_Toc147318064"/>
      <w:bookmarkStart w:id="2138" w:name="_Toc147318134"/>
      <w:bookmarkStart w:id="2139" w:name="_Toc147826895"/>
      <w:bookmarkStart w:id="2140" w:name="_Toc148095774"/>
      <w:bookmarkStart w:id="2141" w:name="_Toc148433504"/>
      <w:bookmarkStart w:id="2142" w:name="_Toc148433574"/>
      <w:bookmarkStart w:id="2143" w:name="_Toc148436332"/>
      <w:bookmarkStart w:id="2144" w:name="_Toc148436402"/>
      <w:bookmarkStart w:id="2145" w:name="_Toc149050086"/>
      <w:bookmarkStart w:id="2146" w:name="_Toc149050162"/>
      <w:bookmarkStart w:id="2147" w:name="_Toc149057027"/>
      <w:bookmarkStart w:id="2148" w:name="_Toc149065314"/>
      <w:bookmarkStart w:id="2149" w:name="_Toc149220264"/>
      <w:bookmarkStart w:id="2150" w:name="_Toc149231768"/>
      <w:bookmarkStart w:id="2151" w:name="_Toc147318065"/>
      <w:bookmarkStart w:id="2152" w:name="_Toc147318135"/>
      <w:bookmarkStart w:id="2153" w:name="_Toc147826896"/>
      <w:bookmarkStart w:id="2154" w:name="_Toc148095775"/>
      <w:bookmarkStart w:id="2155" w:name="_Toc148433505"/>
      <w:bookmarkStart w:id="2156" w:name="_Toc148433575"/>
      <w:bookmarkStart w:id="2157" w:name="_Toc148436333"/>
      <w:bookmarkStart w:id="2158" w:name="_Toc148436403"/>
      <w:bookmarkStart w:id="2159" w:name="_Toc149050087"/>
      <w:bookmarkStart w:id="2160" w:name="_Toc149050163"/>
      <w:bookmarkStart w:id="2161" w:name="_Toc149057028"/>
      <w:bookmarkStart w:id="2162" w:name="_Toc149065315"/>
      <w:bookmarkStart w:id="2163" w:name="_Toc149220265"/>
      <w:bookmarkStart w:id="2164" w:name="_Toc149231769"/>
      <w:bookmarkStart w:id="2165" w:name="_Toc147318066"/>
      <w:bookmarkStart w:id="2166" w:name="_Toc147318136"/>
      <w:bookmarkStart w:id="2167" w:name="_Toc147826897"/>
      <w:bookmarkStart w:id="2168" w:name="_Toc148095776"/>
      <w:bookmarkStart w:id="2169" w:name="_Toc148433506"/>
      <w:bookmarkStart w:id="2170" w:name="_Toc148433576"/>
      <w:bookmarkStart w:id="2171" w:name="_Toc148436334"/>
      <w:bookmarkStart w:id="2172" w:name="_Toc148436404"/>
      <w:bookmarkStart w:id="2173" w:name="_Toc149050088"/>
      <w:bookmarkStart w:id="2174" w:name="_Toc149050164"/>
      <w:bookmarkStart w:id="2175" w:name="_Toc149057029"/>
      <w:bookmarkStart w:id="2176" w:name="_Toc149065316"/>
      <w:bookmarkStart w:id="2177" w:name="_Toc149220266"/>
      <w:bookmarkStart w:id="2178" w:name="_Toc149231770"/>
      <w:bookmarkStart w:id="2179" w:name="_Toc147318067"/>
      <w:bookmarkStart w:id="2180" w:name="_Toc147318137"/>
      <w:bookmarkStart w:id="2181" w:name="_Toc147826898"/>
      <w:bookmarkStart w:id="2182" w:name="_Toc148095777"/>
      <w:bookmarkStart w:id="2183" w:name="_Toc148433507"/>
      <w:bookmarkStart w:id="2184" w:name="_Toc148433577"/>
      <w:bookmarkStart w:id="2185" w:name="_Toc148436335"/>
      <w:bookmarkStart w:id="2186" w:name="_Toc148436405"/>
      <w:bookmarkStart w:id="2187" w:name="_Toc149050089"/>
      <w:bookmarkStart w:id="2188" w:name="_Toc149050165"/>
      <w:bookmarkStart w:id="2189" w:name="_Toc149057030"/>
      <w:bookmarkStart w:id="2190" w:name="_Toc149065317"/>
      <w:bookmarkStart w:id="2191" w:name="_Toc149220267"/>
      <w:bookmarkStart w:id="2192" w:name="_Toc149231771"/>
      <w:bookmarkStart w:id="2193" w:name="_Toc147318068"/>
      <w:bookmarkStart w:id="2194" w:name="_Toc147318138"/>
      <w:bookmarkStart w:id="2195" w:name="_Toc147826899"/>
      <w:bookmarkStart w:id="2196" w:name="_Toc148095778"/>
      <w:bookmarkStart w:id="2197" w:name="_Toc148433508"/>
      <w:bookmarkStart w:id="2198" w:name="_Toc148433578"/>
      <w:bookmarkStart w:id="2199" w:name="_Toc148436336"/>
      <w:bookmarkStart w:id="2200" w:name="_Toc148436406"/>
      <w:bookmarkStart w:id="2201" w:name="_Toc149050090"/>
      <w:bookmarkStart w:id="2202" w:name="_Toc149050166"/>
      <w:bookmarkStart w:id="2203" w:name="_Toc149057031"/>
      <w:bookmarkStart w:id="2204" w:name="_Toc149065318"/>
      <w:bookmarkStart w:id="2205" w:name="_Toc149220268"/>
      <w:bookmarkStart w:id="2206" w:name="_Toc149231772"/>
      <w:bookmarkStart w:id="2207" w:name="_Toc147318069"/>
      <w:bookmarkStart w:id="2208" w:name="_Toc147318139"/>
      <w:bookmarkStart w:id="2209" w:name="_Toc147826900"/>
      <w:bookmarkStart w:id="2210" w:name="_Toc148095779"/>
      <w:bookmarkStart w:id="2211" w:name="_Toc148433509"/>
      <w:bookmarkStart w:id="2212" w:name="_Toc148433579"/>
      <w:bookmarkStart w:id="2213" w:name="_Toc148436337"/>
      <w:bookmarkStart w:id="2214" w:name="_Toc148436407"/>
      <w:bookmarkStart w:id="2215" w:name="_Toc149050091"/>
      <w:bookmarkStart w:id="2216" w:name="_Toc149050167"/>
      <w:bookmarkStart w:id="2217" w:name="_Toc149057032"/>
      <w:bookmarkStart w:id="2218" w:name="_Toc149065319"/>
      <w:bookmarkStart w:id="2219" w:name="_Toc149220269"/>
      <w:bookmarkStart w:id="2220" w:name="_Toc149231773"/>
      <w:bookmarkStart w:id="2221" w:name="_Toc147318070"/>
      <w:bookmarkStart w:id="2222" w:name="_Toc147318140"/>
      <w:bookmarkStart w:id="2223" w:name="_Toc147826901"/>
      <w:bookmarkStart w:id="2224" w:name="_Toc148095780"/>
      <w:bookmarkStart w:id="2225" w:name="_Toc148433510"/>
      <w:bookmarkStart w:id="2226" w:name="_Toc148433580"/>
      <w:bookmarkStart w:id="2227" w:name="_Toc148436338"/>
      <w:bookmarkStart w:id="2228" w:name="_Toc148436408"/>
      <w:bookmarkStart w:id="2229" w:name="_Toc149050092"/>
      <w:bookmarkStart w:id="2230" w:name="_Toc149050168"/>
      <w:bookmarkStart w:id="2231" w:name="_Toc149057033"/>
      <w:bookmarkStart w:id="2232" w:name="_Toc149065320"/>
      <w:bookmarkStart w:id="2233" w:name="_Toc149220270"/>
      <w:bookmarkStart w:id="2234" w:name="_Toc149231774"/>
      <w:bookmarkStart w:id="2235" w:name="_Toc147318071"/>
      <w:bookmarkStart w:id="2236" w:name="_Toc147318141"/>
      <w:bookmarkStart w:id="2237" w:name="_Toc147826902"/>
      <w:bookmarkStart w:id="2238" w:name="_Toc148095781"/>
      <w:bookmarkStart w:id="2239" w:name="_Toc148433511"/>
      <w:bookmarkStart w:id="2240" w:name="_Toc148433581"/>
      <w:bookmarkStart w:id="2241" w:name="_Toc148436339"/>
      <w:bookmarkStart w:id="2242" w:name="_Toc148436409"/>
      <w:bookmarkStart w:id="2243" w:name="_Toc149050093"/>
      <w:bookmarkStart w:id="2244" w:name="_Toc149050169"/>
      <w:bookmarkStart w:id="2245" w:name="_Toc149057034"/>
      <w:bookmarkStart w:id="2246" w:name="_Toc149065321"/>
      <w:bookmarkStart w:id="2247" w:name="_Toc149220271"/>
      <w:bookmarkStart w:id="2248" w:name="_Toc149231775"/>
      <w:bookmarkStart w:id="2249" w:name="_Toc147318072"/>
      <w:bookmarkStart w:id="2250" w:name="_Toc147318142"/>
      <w:bookmarkStart w:id="2251" w:name="_Toc147826903"/>
      <w:bookmarkStart w:id="2252" w:name="_Toc148095782"/>
      <w:bookmarkStart w:id="2253" w:name="_Toc148433512"/>
      <w:bookmarkStart w:id="2254" w:name="_Toc148433582"/>
      <w:bookmarkStart w:id="2255" w:name="_Toc148436340"/>
      <w:bookmarkStart w:id="2256" w:name="_Toc148436410"/>
      <w:bookmarkStart w:id="2257" w:name="_Toc149050094"/>
      <w:bookmarkStart w:id="2258" w:name="_Toc149050170"/>
      <w:bookmarkStart w:id="2259" w:name="_Toc149057035"/>
      <w:bookmarkStart w:id="2260" w:name="_Toc149065322"/>
      <w:bookmarkStart w:id="2261" w:name="_Toc149220272"/>
      <w:bookmarkStart w:id="2262" w:name="_Toc149231776"/>
      <w:bookmarkStart w:id="2263" w:name="_Toc147318073"/>
      <w:bookmarkStart w:id="2264" w:name="_Toc147318143"/>
      <w:bookmarkStart w:id="2265" w:name="_Toc147826904"/>
      <w:bookmarkStart w:id="2266" w:name="_Toc148095783"/>
      <w:bookmarkStart w:id="2267" w:name="_Toc148433513"/>
      <w:bookmarkStart w:id="2268" w:name="_Toc148433583"/>
      <w:bookmarkStart w:id="2269" w:name="_Toc148436341"/>
      <w:bookmarkStart w:id="2270" w:name="_Toc148436411"/>
      <w:bookmarkStart w:id="2271" w:name="_Toc149050095"/>
      <w:bookmarkStart w:id="2272" w:name="_Toc149050171"/>
      <w:bookmarkStart w:id="2273" w:name="_Toc149057036"/>
      <w:bookmarkStart w:id="2274" w:name="_Toc149065323"/>
      <w:bookmarkStart w:id="2275" w:name="_Toc149220273"/>
      <w:bookmarkStart w:id="2276" w:name="_Toc149231777"/>
      <w:bookmarkStart w:id="2277" w:name="_Toc147318074"/>
      <w:bookmarkStart w:id="2278" w:name="_Toc147318144"/>
      <w:bookmarkStart w:id="2279" w:name="_Toc147826905"/>
      <w:bookmarkStart w:id="2280" w:name="_Toc148095784"/>
      <w:bookmarkStart w:id="2281" w:name="_Toc148433514"/>
      <w:bookmarkStart w:id="2282" w:name="_Toc148433584"/>
      <w:bookmarkStart w:id="2283" w:name="_Toc148436342"/>
      <w:bookmarkStart w:id="2284" w:name="_Toc148436412"/>
      <w:bookmarkStart w:id="2285" w:name="_Toc149050096"/>
      <w:bookmarkStart w:id="2286" w:name="_Toc149050172"/>
      <w:bookmarkStart w:id="2287" w:name="_Toc149057037"/>
      <w:bookmarkStart w:id="2288" w:name="_Toc149065324"/>
      <w:bookmarkStart w:id="2289" w:name="_Toc149220274"/>
      <w:bookmarkStart w:id="2290" w:name="_Toc149231778"/>
      <w:bookmarkStart w:id="2291" w:name="_Toc147318075"/>
      <w:bookmarkStart w:id="2292" w:name="_Toc147318145"/>
      <w:bookmarkStart w:id="2293" w:name="_Toc147826906"/>
      <w:bookmarkStart w:id="2294" w:name="_Toc148095785"/>
      <w:bookmarkStart w:id="2295" w:name="_Toc148433515"/>
      <w:bookmarkStart w:id="2296" w:name="_Toc148433585"/>
      <w:bookmarkStart w:id="2297" w:name="_Toc148436343"/>
      <w:bookmarkStart w:id="2298" w:name="_Toc148436413"/>
      <w:bookmarkStart w:id="2299" w:name="_Toc149050097"/>
      <w:bookmarkStart w:id="2300" w:name="_Toc149050173"/>
      <w:bookmarkStart w:id="2301" w:name="_Toc149057038"/>
      <w:bookmarkStart w:id="2302" w:name="_Toc149065325"/>
      <w:bookmarkStart w:id="2303" w:name="_Toc149220275"/>
      <w:bookmarkStart w:id="2304" w:name="_Toc149231779"/>
      <w:bookmarkStart w:id="2305" w:name="_Toc147318076"/>
      <w:bookmarkStart w:id="2306" w:name="_Toc147318146"/>
      <w:bookmarkStart w:id="2307" w:name="_Toc147826907"/>
      <w:bookmarkStart w:id="2308" w:name="_Toc148095786"/>
      <w:bookmarkStart w:id="2309" w:name="_Toc148433516"/>
      <w:bookmarkStart w:id="2310" w:name="_Toc148433586"/>
      <w:bookmarkStart w:id="2311" w:name="_Toc148436344"/>
      <w:bookmarkStart w:id="2312" w:name="_Toc148436414"/>
      <w:bookmarkStart w:id="2313" w:name="_Toc149050098"/>
      <w:bookmarkStart w:id="2314" w:name="_Toc149050174"/>
      <w:bookmarkStart w:id="2315" w:name="_Toc149057039"/>
      <w:bookmarkStart w:id="2316" w:name="_Toc149065326"/>
      <w:bookmarkStart w:id="2317" w:name="_Toc149220276"/>
      <w:bookmarkStart w:id="2318" w:name="_Toc149231780"/>
      <w:bookmarkStart w:id="2319" w:name="_Toc147318078"/>
      <w:bookmarkStart w:id="2320" w:name="_Toc147318148"/>
      <w:bookmarkStart w:id="2321" w:name="_Toc147826909"/>
      <w:bookmarkStart w:id="2322" w:name="_Toc148095788"/>
      <w:bookmarkStart w:id="2323" w:name="_Toc148433518"/>
      <w:bookmarkStart w:id="2324" w:name="_Toc148433588"/>
      <w:bookmarkStart w:id="2325" w:name="_Toc148436346"/>
      <w:bookmarkStart w:id="2326" w:name="_Toc148436416"/>
      <w:bookmarkStart w:id="2327" w:name="_Toc149050100"/>
      <w:bookmarkStart w:id="2328" w:name="_Toc149050176"/>
      <w:bookmarkStart w:id="2329" w:name="_Toc149057041"/>
      <w:bookmarkStart w:id="2330" w:name="_Toc149065328"/>
      <w:bookmarkStart w:id="2331" w:name="_Toc149220278"/>
      <w:bookmarkStart w:id="2332" w:name="_Toc149231782"/>
      <w:bookmarkStart w:id="2333" w:name="_Toc147318079"/>
      <w:bookmarkStart w:id="2334" w:name="_Toc147318149"/>
      <w:bookmarkStart w:id="2335" w:name="_Toc147826910"/>
      <w:bookmarkStart w:id="2336" w:name="_Toc148095789"/>
      <w:bookmarkStart w:id="2337" w:name="_Toc148433519"/>
      <w:bookmarkStart w:id="2338" w:name="_Toc148433589"/>
      <w:bookmarkStart w:id="2339" w:name="_Toc148436347"/>
      <w:bookmarkStart w:id="2340" w:name="_Toc148436417"/>
      <w:bookmarkStart w:id="2341" w:name="_Toc149050101"/>
      <w:bookmarkStart w:id="2342" w:name="_Toc149050177"/>
      <w:bookmarkStart w:id="2343" w:name="_Toc149057042"/>
      <w:bookmarkStart w:id="2344" w:name="_Toc149065329"/>
      <w:bookmarkStart w:id="2345" w:name="_Toc149220279"/>
      <w:bookmarkStart w:id="2346" w:name="_Toc149231783"/>
      <w:bookmarkStart w:id="2347" w:name="_Toc147318080"/>
      <w:bookmarkStart w:id="2348" w:name="_Toc147318150"/>
      <w:bookmarkStart w:id="2349" w:name="_Toc147826911"/>
      <w:bookmarkStart w:id="2350" w:name="_Toc148095790"/>
      <w:bookmarkStart w:id="2351" w:name="_Toc148433520"/>
      <w:bookmarkStart w:id="2352" w:name="_Toc148433590"/>
      <w:bookmarkStart w:id="2353" w:name="_Toc148436348"/>
      <w:bookmarkStart w:id="2354" w:name="_Toc148436418"/>
      <w:bookmarkStart w:id="2355" w:name="_Toc149050102"/>
      <w:bookmarkStart w:id="2356" w:name="_Toc149050178"/>
      <w:bookmarkStart w:id="2357" w:name="_Toc149057043"/>
      <w:bookmarkStart w:id="2358" w:name="_Toc149065330"/>
      <w:bookmarkStart w:id="2359" w:name="_Toc149220280"/>
      <w:bookmarkStart w:id="2360" w:name="_Toc149231784"/>
      <w:bookmarkStart w:id="2361" w:name="_Toc147318081"/>
      <w:bookmarkStart w:id="2362" w:name="_Toc147318151"/>
      <w:bookmarkStart w:id="2363" w:name="_Toc147826912"/>
      <w:bookmarkStart w:id="2364" w:name="_Toc148095791"/>
      <w:bookmarkStart w:id="2365" w:name="_Toc148433521"/>
      <w:bookmarkStart w:id="2366" w:name="_Toc148433591"/>
      <w:bookmarkStart w:id="2367" w:name="_Toc148436349"/>
      <w:bookmarkStart w:id="2368" w:name="_Toc148436419"/>
      <w:bookmarkStart w:id="2369" w:name="_Toc149050103"/>
      <w:bookmarkStart w:id="2370" w:name="_Toc149050179"/>
      <w:bookmarkStart w:id="2371" w:name="_Toc149057044"/>
      <w:bookmarkStart w:id="2372" w:name="_Toc149065331"/>
      <w:bookmarkStart w:id="2373" w:name="_Toc149220281"/>
      <w:bookmarkStart w:id="2374" w:name="_Toc149231785"/>
      <w:bookmarkStart w:id="2375" w:name="_Toc147318082"/>
      <w:bookmarkStart w:id="2376" w:name="_Toc147318152"/>
      <w:bookmarkStart w:id="2377" w:name="_Toc147826913"/>
      <w:bookmarkStart w:id="2378" w:name="_Toc148095792"/>
      <w:bookmarkStart w:id="2379" w:name="_Toc148433522"/>
      <w:bookmarkStart w:id="2380" w:name="_Toc148433592"/>
      <w:bookmarkStart w:id="2381" w:name="_Toc148436350"/>
      <w:bookmarkStart w:id="2382" w:name="_Toc148436420"/>
      <w:bookmarkStart w:id="2383" w:name="_Toc149050104"/>
      <w:bookmarkStart w:id="2384" w:name="_Toc149050180"/>
      <w:bookmarkStart w:id="2385" w:name="_Toc149057045"/>
      <w:bookmarkStart w:id="2386" w:name="_Toc149065332"/>
      <w:bookmarkStart w:id="2387" w:name="_Toc149220282"/>
      <w:bookmarkStart w:id="2388" w:name="_Toc149231786"/>
      <w:bookmarkStart w:id="2389" w:name="_Toc147318083"/>
      <w:bookmarkStart w:id="2390" w:name="_Toc147318153"/>
      <w:bookmarkStart w:id="2391" w:name="_Toc147826914"/>
      <w:bookmarkStart w:id="2392" w:name="_Toc148095793"/>
      <w:bookmarkStart w:id="2393" w:name="_Toc148433523"/>
      <w:bookmarkStart w:id="2394" w:name="_Toc148433593"/>
      <w:bookmarkStart w:id="2395" w:name="_Toc148436351"/>
      <w:bookmarkStart w:id="2396" w:name="_Toc148436421"/>
      <w:bookmarkStart w:id="2397" w:name="_Toc149050105"/>
      <w:bookmarkStart w:id="2398" w:name="_Toc149050181"/>
      <w:bookmarkStart w:id="2399" w:name="_Toc149057046"/>
      <w:bookmarkStart w:id="2400" w:name="_Toc149065333"/>
      <w:bookmarkStart w:id="2401" w:name="_Toc149220283"/>
      <w:bookmarkStart w:id="2402" w:name="_Toc149231787"/>
      <w:bookmarkStart w:id="2403" w:name="_Toc147318084"/>
      <w:bookmarkStart w:id="2404" w:name="_Toc147318154"/>
      <w:bookmarkStart w:id="2405" w:name="_Toc147826915"/>
      <w:bookmarkStart w:id="2406" w:name="_Toc148095794"/>
      <w:bookmarkStart w:id="2407" w:name="_Toc148433524"/>
      <w:bookmarkStart w:id="2408" w:name="_Toc148433594"/>
      <w:bookmarkStart w:id="2409" w:name="_Toc148436352"/>
      <w:bookmarkStart w:id="2410" w:name="_Toc148436422"/>
      <w:bookmarkStart w:id="2411" w:name="_Toc149050106"/>
      <w:bookmarkStart w:id="2412" w:name="_Toc149050182"/>
      <w:bookmarkStart w:id="2413" w:name="_Toc149057047"/>
      <w:bookmarkStart w:id="2414" w:name="_Toc149065334"/>
      <w:bookmarkStart w:id="2415" w:name="_Toc149220284"/>
      <w:bookmarkStart w:id="2416" w:name="_Toc149231788"/>
      <w:bookmarkStart w:id="2417" w:name="_Toc147318085"/>
      <w:bookmarkStart w:id="2418" w:name="_Toc147318155"/>
      <w:bookmarkStart w:id="2419" w:name="_Toc147826916"/>
      <w:bookmarkStart w:id="2420" w:name="_Toc148095795"/>
      <w:bookmarkStart w:id="2421" w:name="_Toc148433525"/>
      <w:bookmarkStart w:id="2422" w:name="_Toc148433595"/>
      <w:bookmarkStart w:id="2423" w:name="_Toc148436353"/>
      <w:bookmarkStart w:id="2424" w:name="_Toc148436423"/>
      <w:bookmarkStart w:id="2425" w:name="_Toc149050107"/>
      <w:bookmarkStart w:id="2426" w:name="_Toc149050183"/>
      <w:bookmarkStart w:id="2427" w:name="_Toc149057048"/>
      <w:bookmarkStart w:id="2428" w:name="_Toc149065335"/>
      <w:bookmarkStart w:id="2429" w:name="_Toc149220285"/>
      <w:bookmarkStart w:id="2430" w:name="_Toc149231789"/>
      <w:bookmarkStart w:id="2431" w:name="_Toc147318086"/>
      <w:bookmarkStart w:id="2432" w:name="_Toc147318156"/>
      <w:bookmarkStart w:id="2433" w:name="_Toc147826917"/>
      <w:bookmarkStart w:id="2434" w:name="_Toc148095796"/>
      <w:bookmarkStart w:id="2435" w:name="_Toc148433526"/>
      <w:bookmarkStart w:id="2436" w:name="_Toc148433596"/>
      <w:bookmarkStart w:id="2437" w:name="_Toc148436354"/>
      <w:bookmarkStart w:id="2438" w:name="_Toc148436424"/>
      <w:bookmarkStart w:id="2439" w:name="_Toc149050108"/>
      <w:bookmarkStart w:id="2440" w:name="_Toc149050184"/>
      <w:bookmarkStart w:id="2441" w:name="_Toc149057049"/>
      <w:bookmarkStart w:id="2442" w:name="_Toc149065336"/>
      <w:bookmarkStart w:id="2443" w:name="_Toc149220286"/>
      <w:bookmarkStart w:id="2444" w:name="_Toc149231790"/>
      <w:bookmarkStart w:id="2445" w:name="_Toc147318087"/>
      <w:bookmarkStart w:id="2446" w:name="_Toc147318157"/>
      <w:bookmarkStart w:id="2447" w:name="_Toc147826918"/>
      <w:bookmarkStart w:id="2448" w:name="_Toc148095797"/>
      <w:bookmarkStart w:id="2449" w:name="_Toc148433527"/>
      <w:bookmarkStart w:id="2450" w:name="_Toc148433597"/>
      <w:bookmarkStart w:id="2451" w:name="_Toc148436355"/>
      <w:bookmarkStart w:id="2452" w:name="_Toc148436425"/>
      <w:bookmarkStart w:id="2453" w:name="_Toc149050109"/>
      <w:bookmarkStart w:id="2454" w:name="_Toc149050185"/>
      <w:bookmarkStart w:id="2455" w:name="_Toc149057050"/>
      <w:bookmarkStart w:id="2456" w:name="_Toc149065337"/>
      <w:bookmarkStart w:id="2457" w:name="_Toc149220287"/>
      <w:bookmarkStart w:id="2458" w:name="_Toc149231791"/>
      <w:bookmarkStart w:id="2459" w:name="_Toc147318089"/>
      <w:bookmarkStart w:id="2460" w:name="_Toc147318159"/>
      <w:bookmarkStart w:id="2461" w:name="_Toc147826920"/>
      <w:bookmarkStart w:id="2462" w:name="_Toc148095799"/>
      <w:bookmarkStart w:id="2463" w:name="_Toc148433529"/>
      <w:bookmarkStart w:id="2464" w:name="_Toc148433599"/>
      <w:bookmarkStart w:id="2465" w:name="_Toc148436357"/>
      <w:bookmarkStart w:id="2466" w:name="_Toc148436427"/>
      <w:bookmarkStart w:id="2467" w:name="_Toc149050111"/>
      <w:bookmarkStart w:id="2468" w:name="_Toc149050187"/>
      <w:bookmarkStart w:id="2469" w:name="_Toc149057052"/>
      <w:bookmarkStart w:id="2470" w:name="_Toc149065339"/>
      <w:bookmarkStart w:id="2471" w:name="_Toc149220289"/>
      <w:bookmarkStart w:id="2472" w:name="_Toc149231793"/>
      <w:bookmarkStart w:id="2473" w:name="_Toc147318090"/>
      <w:bookmarkStart w:id="2474" w:name="_Toc147318160"/>
      <w:bookmarkStart w:id="2475" w:name="_Toc147826921"/>
      <w:bookmarkStart w:id="2476" w:name="_Toc148095800"/>
      <w:bookmarkStart w:id="2477" w:name="_Toc148433530"/>
      <w:bookmarkStart w:id="2478" w:name="_Toc148433600"/>
      <w:bookmarkStart w:id="2479" w:name="_Toc148436358"/>
      <w:bookmarkStart w:id="2480" w:name="_Toc148436428"/>
      <w:bookmarkStart w:id="2481" w:name="_Toc149040810"/>
      <w:bookmarkStart w:id="2482" w:name="_Toc149050112"/>
      <w:bookmarkStart w:id="2483" w:name="_Toc149050188"/>
      <w:bookmarkStart w:id="2484" w:name="_Toc149057053"/>
      <w:bookmarkStart w:id="2485" w:name="_Toc149065340"/>
      <w:bookmarkStart w:id="2486" w:name="_Toc149220290"/>
      <w:bookmarkStart w:id="2487" w:name="_Toc149231794"/>
      <w:bookmarkStart w:id="2488" w:name="_Toc149299268"/>
      <w:bookmarkStart w:id="2489" w:name="_Toc149299269"/>
      <w:bookmarkStart w:id="2490" w:name="_Toc177119126"/>
      <w:bookmarkStart w:id="2491" w:name="_Toc185952647"/>
      <w:bookmarkStart w:id="2492" w:name="_Toc192874815"/>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t>Stakeholder Engagement Approach</w:t>
      </w:r>
      <w:bookmarkEnd w:id="2489"/>
      <w:bookmarkEnd w:id="2490"/>
      <w:bookmarkEnd w:id="2491"/>
      <w:bookmarkEnd w:id="2492"/>
    </w:p>
    <w:p w14:paraId="4D217FD5" w14:textId="29033D1B" w:rsidR="005C0E34" w:rsidRPr="00A21682" w:rsidRDefault="005C0E34" w:rsidP="00C67ABF">
      <w:pPr>
        <w:pStyle w:val="NormalNEW"/>
        <w:rPr>
          <w:lang w:val="en-US"/>
        </w:rPr>
      </w:pPr>
      <w:r>
        <w:rPr>
          <w:lang w:val="en-US"/>
        </w:rPr>
        <w:t>The stakeholder engagement approach is a collection of processes and cadences for the project and its stakeholders to build trust, enhance collaboration, and achieve positive outcomes. The stakeholder engagement approach is comprised of three sections: Stakeholder Identification and Analysis (Section 3.3.1), Communications Management (Section 3.3.2), and Governance Structure (Section 3.3.3).</w:t>
      </w:r>
    </w:p>
    <w:p w14:paraId="1931F76E" w14:textId="1CED7ECD" w:rsidR="005C0E34" w:rsidRPr="00A21682" w:rsidRDefault="005C0E34" w:rsidP="00C67ABF">
      <w:pPr>
        <w:pStyle w:val="NormalNEW"/>
        <w:rPr>
          <w:lang w:val="en-US"/>
        </w:rPr>
      </w:pPr>
      <w:r>
        <w:rPr>
          <w:lang w:val="en-US"/>
        </w:rPr>
        <w:t>The stakeholder engagement approach is supported by processes and principles described in other sections of the PMP Deliverable (DEL-05) related to stakeholder engagement. These include:</w:t>
      </w:r>
    </w:p>
    <w:p w14:paraId="2CEE03C4" w14:textId="7C4A8A24" w:rsidR="005C0E34" w:rsidRPr="00A21682" w:rsidRDefault="005C0E34" w:rsidP="0031550A">
      <w:pPr>
        <w:pStyle w:val="BulletNEW"/>
      </w:pPr>
      <w:r>
        <w:t>Section 3.3.1 Stakeholder Identification and Analysis references the Software Development Life Cycle (SDLC) (refer to Section 2)</w:t>
      </w:r>
    </w:p>
    <w:p w14:paraId="421330A6" w14:textId="0F5BA1E2" w:rsidR="005C0E34" w:rsidRPr="00A21682" w:rsidRDefault="005C0E34" w:rsidP="0031550A">
      <w:pPr>
        <w:pStyle w:val="BulletNEW"/>
      </w:pPr>
      <w:r>
        <w:t>Section 3.3.2 Communications Management references the Communications Management Plan (refer to Section 4)</w:t>
      </w:r>
    </w:p>
    <w:p w14:paraId="753E1DDA" w14:textId="2D9464CF" w:rsidR="005C0E34" w:rsidRPr="00A21682" w:rsidRDefault="005C0E34" w:rsidP="0031550A">
      <w:pPr>
        <w:pStyle w:val="BulletNEW"/>
      </w:pPr>
      <w:r>
        <w:t>Section 3.3.3 Governance Structure references the Governance Structure (refer to Section 1)</w:t>
      </w:r>
    </w:p>
    <w:p w14:paraId="6B0C3452" w14:textId="77777777" w:rsidR="005C0E34" w:rsidRPr="00A21682" w:rsidRDefault="005C0E34">
      <w:pPr>
        <w:pStyle w:val="Heading3"/>
      </w:pPr>
      <w:bookmarkStart w:id="2493" w:name="_Toc149299270"/>
      <w:bookmarkStart w:id="2494" w:name="_Toc177119127"/>
      <w:bookmarkStart w:id="2495" w:name="_Toc185952648"/>
      <w:bookmarkStart w:id="2496" w:name="_Toc192874816"/>
      <w:r>
        <w:t>Stakeholder Identification and Analysis</w:t>
      </w:r>
      <w:bookmarkEnd w:id="2493"/>
      <w:bookmarkEnd w:id="2494"/>
      <w:bookmarkEnd w:id="2495"/>
      <w:bookmarkEnd w:id="2496"/>
    </w:p>
    <w:p w14:paraId="4E401F01" w14:textId="375F1403" w:rsidR="005C0E34" w:rsidRPr="00A21682" w:rsidRDefault="005C0E34" w:rsidP="00C67ABF">
      <w:pPr>
        <w:pStyle w:val="NormalNEW"/>
        <w:rPr>
          <w:lang w:val="en-US"/>
        </w:rPr>
      </w:pPr>
      <w:r>
        <w:rPr>
          <w:lang w:val="en-US"/>
        </w:rPr>
        <w:t>Project stakeholders may include internal project stakeholders (i.e., DOH OHIP, ███████) or external project stakeholders (i.e., third party trading partners, other impacted parties). Project stakeholders are identified and analyzed to determine their role on the project as well as the level of impact the project imposes on the stakeholder. Critical stakeholders identified as essential for project success, may have their roles, responsibilities, and applicable escalation processes defined.</w:t>
      </w:r>
    </w:p>
    <w:p w14:paraId="0CF254E4" w14:textId="7CFC1450" w:rsidR="005C0E34" w:rsidRPr="00A21682" w:rsidRDefault="005C0E34" w:rsidP="00C67ABF">
      <w:pPr>
        <w:pStyle w:val="NormalNEW"/>
        <w:rPr>
          <w:lang w:val="en-US"/>
        </w:rPr>
      </w:pPr>
      <w:r>
        <w:rPr>
          <w:lang w:val="en-US"/>
        </w:rPr>
        <w:t xml:space="preserve">███████ has developed a Master MECM SDLC Methodology RACI Matrix in Excel to provide clarity on the stakeholder roles and responsibilities for each process step in the SDLC (refer to Appendix C-1 for Master MECM SDLC Methodology RACI Matrix). For a given process step, the Master MECM SDLC Methodology RACI Matrix identifies stakeholder group(s) which will be responsible, accountable, </w:t>
      </w:r>
      <w:r>
        <w:rPr>
          <w:lang w:val="en-US"/>
        </w:rPr>
        <w:lastRenderedPageBreak/>
        <w:t>consulted, and informed. This matrix will be maintained to accurately reflect the universe of stakeholders and roles and responsibilities over the course of the engagement.</w:t>
      </w:r>
    </w:p>
    <w:p w14:paraId="47AF550B" w14:textId="77777777" w:rsidR="005C0E34" w:rsidRPr="00A21682" w:rsidRDefault="005C0E34" w:rsidP="00C67ABF">
      <w:pPr>
        <w:pStyle w:val="NormalNEW"/>
        <w:rPr>
          <w:lang w:val="en-US"/>
        </w:rPr>
      </w:pPr>
      <w:r>
        <w:rPr>
          <w:lang w:val="en-US"/>
        </w:rPr>
        <w:t>For more details, reference the following guidelines set forth in SDLC:</w:t>
      </w:r>
    </w:p>
    <w:p w14:paraId="2C5E52E6" w14:textId="19EF53BB" w:rsidR="005C0E34" w:rsidRPr="00A21682" w:rsidRDefault="005666B0" w:rsidP="0031550A">
      <w:pPr>
        <w:pStyle w:val="BulletNEW"/>
      </w:pPr>
      <w:r>
        <w:t>Refer to Appendix C-1 for the Master MECM SDLC Methodology RACI Matrix</w:t>
      </w:r>
    </w:p>
    <w:p w14:paraId="399F1B78" w14:textId="77777777" w:rsidR="005C0E34" w:rsidRPr="00A21682" w:rsidRDefault="005C0E34">
      <w:pPr>
        <w:pStyle w:val="Heading3"/>
      </w:pPr>
      <w:bookmarkStart w:id="2497" w:name="_Toc177119128"/>
      <w:bookmarkStart w:id="2498" w:name="_Toc185952649"/>
      <w:bookmarkStart w:id="2499" w:name="_Toc192874817"/>
      <w:bookmarkStart w:id="2500" w:name="_Toc149299272"/>
      <w:r>
        <w:t>Communications Management</w:t>
      </w:r>
      <w:bookmarkEnd w:id="2497"/>
      <w:bookmarkEnd w:id="2498"/>
      <w:bookmarkEnd w:id="2499"/>
      <w:r>
        <w:t xml:space="preserve"> </w:t>
      </w:r>
      <w:bookmarkEnd w:id="2500"/>
    </w:p>
    <w:p w14:paraId="27EDA33C" w14:textId="77777777" w:rsidR="005C0E34" w:rsidRPr="00A21682" w:rsidRDefault="005C0E34" w:rsidP="00C67ABF">
      <w:pPr>
        <w:pStyle w:val="NormalNEW"/>
        <w:rPr>
          <w:lang w:val="en-US"/>
        </w:rPr>
      </w:pPr>
      <w:r>
        <w:rPr>
          <w:lang w:val="en-US"/>
        </w:rPr>
        <w:t>Developing a clear communications management plan that outlines how and when information will be shared with each stakeholder group is critical for effectively disseminating project updates and escalations across stakeholders of varying interests. Tailoring communication methods and messages to meet the needs of various stakeholders encourages transparency and builds trust amongst all parties involved.</w:t>
      </w:r>
    </w:p>
    <w:p w14:paraId="629C0A10" w14:textId="0B9C96FC" w:rsidR="005C0E34" w:rsidRPr="00A21682" w:rsidRDefault="005C0E34" w:rsidP="00C67ABF">
      <w:pPr>
        <w:pStyle w:val="NormalNEW"/>
        <w:rPr>
          <w:lang w:val="en-US"/>
        </w:rPr>
      </w:pPr>
      <w:r>
        <w:rPr>
          <w:lang w:val="en-US"/>
        </w:rPr>
        <w:t>███████ has developed a detailed Communications Management Plan (refer to Section 4) to define the communication approach, processes, and guidelines for the MECM system.</w:t>
      </w:r>
    </w:p>
    <w:p w14:paraId="173AFCC7" w14:textId="77777777" w:rsidR="005C0E34" w:rsidRPr="00A21682" w:rsidRDefault="005C0E34" w:rsidP="00C67ABF">
      <w:pPr>
        <w:pStyle w:val="NormalNEW"/>
        <w:rPr>
          <w:lang w:val="en-US"/>
        </w:rPr>
      </w:pPr>
      <w:r>
        <w:rPr>
          <w:lang w:val="en-US"/>
        </w:rPr>
        <w:t>For more details, reference the following guidelines set forth in the Communications Management Plan:</w:t>
      </w:r>
    </w:p>
    <w:p w14:paraId="4D002686" w14:textId="12A0CD61" w:rsidR="005C0E34" w:rsidRPr="00A21682" w:rsidRDefault="005C0E34" w:rsidP="0031550A">
      <w:pPr>
        <w:pStyle w:val="BulletNEW"/>
      </w:pPr>
      <w:bookmarkStart w:id="2501" w:name="_Toc145056096"/>
      <w:r>
        <w:t>Section 4.3.3 Guiding Principles of Communications</w:t>
      </w:r>
    </w:p>
    <w:p w14:paraId="19D2C06B" w14:textId="22B37249" w:rsidR="005C0E34" w:rsidRPr="00A21682" w:rsidRDefault="005C0E34" w:rsidP="0031550A">
      <w:pPr>
        <w:pStyle w:val="BulletNEW"/>
      </w:pPr>
      <w:r>
        <w:t xml:space="preserve">Section </w:t>
      </w:r>
      <w:bookmarkStart w:id="2502" w:name="_Toc145056097"/>
      <w:bookmarkEnd w:id="2501"/>
      <w:r>
        <w:t>4.3.6 Schedule of Communications Throughout Delivery Phases</w:t>
      </w:r>
      <w:bookmarkEnd w:id="2502"/>
    </w:p>
    <w:p w14:paraId="452C8543" w14:textId="5C12632E" w:rsidR="005C0E34" w:rsidRPr="00A21682" w:rsidRDefault="005C0E34" w:rsidP="0031550A">
      <w:pPr>
        <w:pStyle w:val="BulletNEW"/>
        <w:rPr>
          <w:rFonts w:eastAsiaTheme="majorEastAsia" w:cstheme="majorBidi"/>
          <w:b/>
        </w:rPr>
      </w:pPr>
      <w:bookmarkStart w:id="2503" w:name="_Toc145056098"/>
      <w:r>
        <w:t>Section 4.4.1 Project Status Reports (PSRs) Process Flow Narrative</w:t>
      </w:r>
    </w:p>
    <w:p w14:paraId="5801449D" w14:textId="680AFBAB" w:rsidR="005C0E34" w:rsidRPr="00A21682" w:rsidRDefault="005C0E34" w:rsidP="0031550A">
      <w:pPr>
        <w:pStyle w:val="BulletNEW"/>
      </w:pPr>
      <w:r>
        <w:t>Section 4.5.1 Communication Review and Approval Process Flow Narrative</w:t>
      </w:r>
      <w:bookmarkEnd w:id="2503"/>
    </w:p>
    <w:p w14:paraId="43B21CBE" w14:textId="77777777" w:rsidR="005C0E34" w:rsidRPr="00A21682" w:rsidRDefault="005C0E34">
      <w:pPr>
        <w:pStyle w:val="Heading3"/>
      </w:pPr>
      <w:bookmarkStart w:id="2504" w:name="_Toc149299273"/>
      <w:bookmarkStart w:id="2505" w:name="_Toc177119129"/>
      <w:bookmarkStart w:id="2506" w:name="_Toc185952650"/>
      <w:bookmarkStart w:id="2507" w:name="_Toc192874818"/>
      <w:r>
        <w:t>Governance Structure</w:t>
      </w:r>
      <w:bookmarkEnd w:id="2504"/>
      <w:bookmarkEnd w:id="2505"/>
      <w:bookmarkEnd w:id="2506"/>
      <w:bookmarkEnd w:id="2507"/>
    </w:p>
    <w:p w14:paraId="23057978" w14:textId="62931C17" w:rsidR="005C0E34" w:rsidRPr="00A21682" w:rsidRDefault="005C0E34" w:rsidP="005C0E34">
      <w:pPr>
        <w:spacing w:before="120" w:after="120" w:line="240" w:lineRule="atLeast"/>
        <w:rPr>
          <w:rFonts w:ascii="Verdana" w:hAnsi="Verdana"/>
          <w:sz w:val="18"/>
          <w:szCs w:val="18"/>
        </w:rPr>
      </w:pPr>
      <w:r>
        <w:rPr>
          <w:rFonts w:ascii="Verdana" w:hAnsi="Verdana"/>
          <w:sz w:val="18"/>
          <w:szCs w:val="18"/>
        </w:rPr>
        <w:t>The Governance Structure (refer to Section 1) establishes the processes, channels, and methods to support stakeholder engagement in informing and/or escalating items to various stakeholders and governing bodies across the MECM system. Effective stakeholder engagement enables project governance to drive accountability and decision-making with relevant parties to achieve business objectives.</w:t>
      </w:r>
    </w:p>
    <w:p w14:paraId="2411BF45" w14:textId="301BAC11" w:rsidR="005C0E34" w:rsidRPr="00A21682" w:rsidRDefault="005C0E34" w:rsidP="005C0E34">
      <w:pPr>
        <w:spacing w:before="120" w:after="120" w:line="240" w:lineRule="atLeast"/>
        <w:rPr>
          <w:rFonts w:ascii="Verdana" w:hAnsi="Verdana"/>
          <w:sz w:val="18"/>
          <w:szCs w:val="18"/>
        </w:rPr>
      </w:pPr>
      <w:r>
        <w:rPr>
          <w:rFonts w:ascii="Verdana" w:hAnsi="Verdana"/>
          <w:sz w:val="18"/>
          <w:szCs w:val="18"/>
        </w:rPr>
        <w:t xml:space="preserve">███████ has developed the Governance Structure to outline the governance committees, roles, responsibilities, and individual committee members supporting the MECM implementation. </w:t>
      </w:r>
      <w:bookmarkStart w:id="2508" w:name="_Toc147826926"/>
      <w:bookmarkEnd w:id="2508"/>
    </w:p>
    <w:p w14:paraId="57E38944" w14:textId="77777777" w:rsidR="005C0E34" w:rsidRPr="00A21682" w:rsidRDefault="005C0E34" w:rsidP="005C0E34">
      <w:pPr>
        <w:spacing w:before="120" w:after="120" w:line="240" w:lineRule="atLeast"/>
        <w:rPr>
          <w:rFonts w:ascii="Verdana" w:hAnsi="Verdana"/>
          <w:sz w:val="18"/>
          <w:szCs w:val="18"/>
        </w:rPr>
      </w:pPr>
      <w:r>
        <w:rPr>
          <w:rFonts w:ascii="Verdana" w:hAnsi="Verdana"/>
          <w:sz w:val="18"/>
          <w:szCs w:val="18"/>
        </w:rPr>
        <w:t>For more details, reference the following guidelines set forth in the Governance Structure:</w:t>
      </w:r>
    </w:p>
    <w:p w14:paraId="4F15CF51" w14:textId="7E1CBE9F" w:rsidR="005C0E34" w:rsidRPr="00A21682" w:rsidRDefault="005C0E34" w:rsidP="0031550A">
      <w:pPr>
        <w:pStyle w:val="BulletNEW"/>
      </w:pPr>
      <w:r>
        <w:t>Section 1.3.1 Executive Governance</w:t>
      </w:r>
    </w:p>
    <w:p w14:paraId="12BF398F" w14:textId="03F75682" w:rsidR="005C0E34" w:rsidRPr="00A21682" w:rsidRDefault="005C0E34" w:rsidP="0031550A">
      <w:pPr>
        <w:pStyle w:val="BulletNEW"/>
      </w:pPr>
      <w:r>
        <w:t>Section 1.3.2 Managerial Governance</w:t>
      </w:r>
    </w:p>
    <w:p w14:paraId="4C929B86" w14:textId="1D0F9611" w:rsidR="00C67ABF" w:rsidRPr="00A21682" w:rsidRDefault="005C0E34" w:rsidP="0031550A">
      <w:pPr>
        <w:pStyle w:val="BulletNEW"/>
      </w:pPr>
      <w:r>
        <w:t>Section 1.3.3 Project Administration and Execution</w:t>
      </w:r>
    </w:p>
    <w:p w14:paraId="6EBB442F" w14:textId="308E1BA9" w:rsidR="00F26122" w:rsidRPr="00A21682" w:rsidRDefault="00F26122" w:rsidP="00205713">
      <w:pPr>
        <w:spacing w:before="120" w:after="120" w:line="240" w:lineRule="atLeast"/>
        <w:rPr>
          <w:rFonts w:ascii="Verdana" w:hAnsi="Verdana"/>
          <w:sz w:val="18"/>
          <w:szCs w:val="18"/>
        </w:rPr>
      </w:pPr>
      <w:bookmarkStart w:id="2509" w:name="_Toc148095805"/>
      <w:bookmarkEnd w:id="2509"/>
    </w:p>
    <w:p w14:paraId="30B3EA7D" w14:textId="77777777" w:rsidR="00B956DE" w:rsidRPr="00A21682" w:rsidRDefault="00B956DE" w:rsidP="00DD12D4">
      <w:pPr>
        <w:pStyle w:val="NormalNEW"/>
        <w:rPr>
          <w:lang w:val="en-US"/>
        </w:rPr>
      </w:pPr>
    </w:p>
    <w:p w14:paraId="2D6D9086" w14:textId="77777777" w:rsidR="00B956DE" w:rsidRPr="00A21682" w:rsidRDefault="00B956DE">
      <w:pPr>
        <w:rPr>
          <w:rFonts w:ascii="Verdana" w:hAnsi="Verdana"/>
          <w:sz w:val="18"/>
        </w:rPr>
        <w:sectPr w:rsidR="00B956DE" w:rsidRPr="00A21682" w:rsidSect="00FB4E23">
          <w:headerReference w:type="default" r:id="rId59"/>
          <w:footerReference w:type="default" r:id="rId60"/>
          <w:pgSz w:w="12240" w:h="15840"/>
          <w:pgMar w:top="1440" w:right="1440" w:bottom="1440" w:left="1440" w:header="720" w:footer="720" w:gutter="0"/>
          <w:cols w:space="720"/>
          <w:docGrid w:linePitch="360"/>
        </w:sectPr>
      </w:pPr>
    </w:p>
    <w:p w14:paraId="5DBB6519" w14:textId="39F3517F" w:rsidR="008E37A4" w:rsidRPr="00A21682" w:rsidRDefault="00030E07" w:rsidP="00A9704C">
      <w:pPr>
        <w:pStyle w:val="Deliverable"/>
        <w:jc w:val="center"/>
        <w:rPr>
          <w:sz w:val="18"/>
        </w:rPr>
        <w:sectPr w:rsidR="008E37A4" w:rsidRPr="00A21682" w:rsidSect="00FB4E23">
          <w:headerReference w:type="default" r:id="rId61"/>
          <w:footerReference w:type="default" r:id="rId62"/>
          <w:pgSz w:w="12240" w:h="15840"/>
          <w:pgMar w:top="1440" w:right="1440" w:bottom="1440" w:left="1440" w:header="720" w:footer="720" w:gutter="0"/>
          <w:cols w:space="720"/>
          <w:vAlign w:val="center"/>
          <w:docGrid w:linePitch="360"/>
        </w:sectPr>
      </w:pPr>
      <w:r>
        <w:rPr>
          <w:color w:val="FFFFFF" w:themeColor="background1"/>
        </w:rPr>
        <w:lastRenderedPageBreak/>
        <w:t>Section 4 – Communications Management Plan</w:t>
      </w:r>
    </w:p>
    <w:p w14:paraId="360CF6CB" w14:textId="602841E7" w:rsidR="008E37A4" w:rsidRPr="00A21682" w:rsidRDefault="009A29A4">
      <w:pPr>
        <w:pStyle w:val="Heading1"/>
      </w:pPr>
      <w:bookmarkStart w:id="2510" w:name="_Toc177119130"/>
      <w:bookmarkStart w:id="2511" w:name="_Toc185952651"/>
      <w:bookmarkStart w:id="2512" w:name="_Toc192874819"/>
      <w:r>
        <w:lastRenderedPageBreak/>
        <w:t>Communications Management Plan</w:t>
      </w:r>
      <w:bookmarkEnd w:id="2510"/>
      <w:bookmarkEnd w:id="2511"/>
      <w:bookmarkEnd w:id="2512"/>
    </w:p>
    <w:p w14:paraId="4592E003" w14:textId="18CC515B" w:rsidR="00E90A9F" w:rsidRPr="00A21682" w:rsidRDefault="00E90A9F">
      <w:pPr>
        <w:pStyle w:val="Heading2"/>
      </w:pPr>
      <w:bookmarkStart w:id="2513" w:name="_Toc144827619"/>
      <w:bookmarkStart w:id="2514" w:name="_Toc147240774"/>
      <w:bookmarkStart w:id="2515" w:name="_Toc149049783"/>
      <w:bookmarkStart w:id="2516" w:name="_Toc152089671"/>
      <w:bookmarkStart w:id="2517" w:name="_Toc152090560"/>
      <w:bookmarkStart w:id="2518" w:name="_Toc177119131"/>
      <w:bookmarkStart w:id="2519" w:name="_Toc185952652"/>
      <w:bookmarkStart w:id="2520" w:name="_Toc192874820"/>
      <w:r>
        <w:t>Introduction</w:t>
      </w:r>
      <w:bookmarkEnd w:id="2513"/>
      <w:bookmarkEnd w:id="2514"/>
      <w:bookmarkEnd w:id="2515"/>
      <w:bookmarkEnd w:id="2516"/>
      <w:bookmarkEnd w:id="2517"/>
      <w:bookmarkEnd w:id="2518"/>
      <w:bookmarkEnd w:id="2519"/>
      <w:bookmarkEnd w:id="2520"/>
    </w:p>
    <w:p w14:paraId="2EA8B579" w14:textId="1C3996CD" w:rsidR="00E90A9F" w:rsidRPr="00A21682" w:rsidRDefault="00E90A9F" w:rsidP="00154CEC">
      <w:pPr>
        <w:pStyle w:val="NormalNEW"/>
        <w:rPr>
          <w:lang w:val="en-US"/>
        </w:rPr>
      </w:pPr>
      <w:r>
        <w:rPr>
          <w:lang w:val="en-US"/>
        </w:rPr>
        <w:t>The Communication Management Plan defines the overall communication strategy used to effectively disseminate communications throughout the MECM system. Disciplined communications management is critical to the overall success of the project because project communications will be distributed throughout the project life cycle.</w:t>
      </w:r>
    </w:p>
    <w:p w14:paraId="1946A964" w14:textId="77777777" w:rsidR="00E90A9F" w:rsidRPr="00A21682" w:rsidRDefault="00E90A9F">
      <w:pPr>
        <w:pStyle w:val="Heading2"/>
      </w:pPr>
      <w:bookmarkStart w:id="2521" w:name="_Toc144827620"/>
      <w:bookmarkStart w:id="2522" w:name="_Toc147240775"/>
      <w:bookmarkStart w:id="2523" w:name="_Toc149049784"/>
      <w:bookmarkStart w:id="2524" w:name="_Toc152089672"/>
      <w:bookmarkStart w:id="2525" w:name="_Toc152090561"/>
      <w:bookmarkStart w:id="2526" w:name="_Toc177119132"/>
      <w:bookmarkStart w:id="2527" w:name="_Toc185952653"/>
      <w:bookmarkStart w:id="2528" w:name="_Toc192874821"/>
      <w:r>
        <w:t>Purpose</w:t>
      </w:r>
      <w:bookmarkEnd w:id="2521"/>
      <w:bookmarkEnd w:id="2522"/>
      <w:bookmarkEnd w:id="2523"/>
      <w:bookmarkEnd w:id="2524"/>
      <w:bookmarkEnd w:id="2525"/>
      <w:bookmarkEnd w:id="2526"/>
      <w:bookmarkEnd w:id="2527"/>
      <w:bookmarkEnd w:id="2528"/>
    </w:p>
    <w:p w14:paraId="46DD3147" w14:textId="77777777" w:rsidR="00E90A9F" w:rsidRPr="00A21682" w:rsidRDefault="00E90A9F" w:rsidP="00C67ABF">
      <w:pPr>
        <w:pStyle w:val="NormalNEW"/>
        <w:rPr>
          <w:lang w:val="en-US"/>
        </w:rPr>
      </w:pPr>
      <w:r>
        <w:rPr>
          <w:lang w:val="en-US"/>
        </w:rPr>
        <w:t xml:space="preserve">The purpose of the Communications Management Plan is to define how project communications are planned, structured, monitored, and controlled for all stakeholders. The Communications Management Plan defines the specific recurring meetings, protocols, means, frequencies, and communication methods for the duration of the project. Delivery of the communication messages will be through mechanisms such as virtual and in-person meetings, project SharePoint site, presentations and reports, conference calls, and emails. </w:t>
      </w:r>
    </w:p>
    <w:p w14:paraId="2EB8435E" w14:textId="77777777" w:rsidR="00E90A9F" w:rsidRPr="00A21682" w:rsidRDefault="00E90A9F" w:rsidP="00C67ABF">
      <w:pPr>
        <w:pStyle w:val="NormalNEW"/>
        <w:rPr>
          <w:lang w:val="en-US"/>
        </w:rPr>
      </w:pPr>
      <w:r>
        <w:rPr>
          <w:lang w:val="en-US"/>
        </w:rPr>
        <w:t>The objective of this plan is to explain how all stakeholders will use project communications to:</w:t>
      </w:r>
    </w:p>
    <w:p w14:paraId="6DFD2711" w14:textId="77777777" w:rsidR="00E90A9F" w:rsidRPr="00A21682" w:rsidRDefault="00E90A9F" w:rsidP="0031550A">
      <w:pPr>
        <w:pStyle w:val="BulletNEW"/>
      </w:pPr>
      <w:r>
        <w:t>Define the approach for individual project teams to manage communications</w:t>
      </w:r>
    </w:p>
    <w:p w14:paraId="23D0A0AD" w14:textId="77777777" w:rsidR="00E90A9F" w:rsidRPr="00A21682" w:rsidRDefault="00E90A9F" w:rsidP="0031550A">
      <w:pPr>
        <w:pStyle w:val="BulletNEW"/>
      </w:pPr>
      <w:r>
        <w:t>Standardize the regular communication processes and responsibilities</w:t>
      </w:r>
    </w:p>
    <w:p w14:paraId="15B0DD19" w14:textId="77777777" w:rsidR="00E90A9F" w:rsidRPr="00A21682" w:rsidRDefault="00E90A9F" w:rsidP="0031550A">
      <w:pPr>
        <w:pStyle w:val="BulletNEW"/>
      </w:pPr>
      <w:r>
        <w:t>Describe how project communications are structured, monitored, and controlled</w:t>
      </w:r>
    </w:p>
    <w:p w14:paraId="3D1ED02A" w14:textId="77777777" w:rsidR="00E90A9F" w:rsidRPr="00A21682" w:rsidRDefault="00E90A9F" w:rsidP="0031550A">
      <w:pPr>
        <w:pStyle w:val="BulletNEW"/>
      </w:pPr>
      <w:r>
        <w:t>Establish methods of communication, including meeting minutes, agendas, and standards</w:t>
      </w:r>
    </w:p>
    <w:p w14:paraId="6224AB0E" w14:textId="77777777" w:rsidR="00E90A9F" w:rsidRPr="00A21682" w:rsidRDefault="00E90A9F">
      <w:pPr>
        <w:pStyle w:val="Heading2"/>
      </w:pPr>
      <w:bookmarkStart w:id="2529" w:name="_Toc144827622"/>
      <w:bookmarkStart w:id="2530" w:name="_Toc147240776"/>
      <w:bookmarkStart w:id="2531" w:name="_Toc149049785"/>
      <w:bookmarkStart w:id="2532" w:name="_Toc152089673"/>
      <w:bookmarkStart w:id="2533" w:name="_Toc152090562"/>
      <w:bookmarkStart w:id="2534" w:name="_Toc177119133"/>
      <w:bookmarkStart w:id="2535" w:name="_Toc185952654"/>
      <w:bookmarkStart w:id="2536" w:name="_Toc192874822"/>
      <w:r>
        <w:t>Communications Approach</w:t>
      </w:r>
      <w:bookmarkEnd w:id="2529"/>
      <w:bookmarkEnd w:id="2530"/>
      <w:bookmarkEnd w:id="2531"/>
      <w:bookmarkEnd w:id="2532"/>
      <w:bookmarkEnd w:id="2533"/>
      <w:bookmarkEnd w:id="2534"/>
      <w:bookmarkEnd w:id="2535"/>
      <w:bookmarkEnd w:id="2536"/>
    </w:p>
    <w:p w14:paraId="33C32316" w14:textId="78464583" w:rsidR="00E90A9F" w:rsidRPr="00A21682" w:rsidRDefault="00E90A9F" w:rsidP="00C67ABF">
      <w:pPr>
        <w:pStyle w:val="NormalNEW"/>
        <w:rPr>
          <w:lang w:val="en-US"/>
        </w:rPr>
      </w:pPr>
      <w:r>
        <w:rPr>
          <w:lang w:val="en-US"/>
        </w:rPr>
        <w:t>The success of the MECM solution is not only dependent on its planning and execution but also on effective communication. This section outlines the communication approach for the project, describing the communication channels, communication types, guiding principles, virtual meeting communication guide, in-person meeting communication guide, and schedule of communications.</w:t>
      </w:r>
    </w:p>
    <w:p w14:paraId="6025C527" w14:textId="77777777" w:rsidR="00E90A9F" w:rsidRPr="00A21682" w:rsidRDefault="00E90A9F">
      <w:pPr>
        <w:pStyle w:val="Heading3"/>
      </w:pPr>
      <w:bookmarkStart w:id="2537" w:name="_Toc144827623"/>
      <w:bookmarkStart w:id="2538" w:name="_Toc147240777"/>
      <w:bookmarkStart w:id="2539" w:name="_Toc149049786"/>
      <w:bookmarkStart w:id="2540" w:name="_Toc152089674"/>
      <w:bookmarkStart w:id="2541" w:name="_Toc152090563"/>
      <w:bookmarkStart w:id="2542" w:name="_Toc177119134"/>
      <w:bookmarkStart w:id="2543" w:name="_Toc185952655"/>
      <w:bookmarkStart w:id="2544" w:name="_Toc192874823"/>
      <w:r>
        <w:t>Project Management Communication Channels</w:t>
      </w:r>
      <w:bookmarkEnd w:id="2537"/>
      <w:bookmarkEnd w:id="2538"/>
      <w:bookmarkEnd w:id="2539"/>
      <w:bookmarkEnd w:id="2540"/>
      <w:bookmarkEnd w:id="2541"/>
      <w:bookmarkEnd w:id="2542"/>
      <w:bookmarkEnd w:id="2543"/>
      <w:bookmarkEnd w:id="2544"/>
    </w:p>
    <w:p w14:paraId="240951EB" w14:textId="3EC24DC7" w:rsidR="00E90A9F" w:rsidRPr="00A21682" w:rsidRDefault="00E90A9F" w:rsidP="00C67ABF">
      <w:pPr>
        <w:pStyle w:val="NormalNEW"/>
        <w:rPr>
          <w:lang w:val="en-US"/>
        </w:rPr>
      </w:pPr>
      <w:r>
        <w:rPr>
          <w:lang w:val="en-US"/>
        </w:rPr>
        <w:t xml:space="preserve">Communication channels describe how information will be sent or received. For </w:t>
      </w:r>
      <w:r>
        <w:rPr>
          <w:u w:color="000000"/>
          <w:lang w:val="en-US"/>
        </w:rPr>
        <w:t>Continuing Medicaid Eligibility Modernization</w:t>
      </w:r>
      <w:r>
        <w:rPr>
          <w:lang w:val="en-US"/>
        </w:rPr>
        <w:t>, the communication channels include those detailed in the table below.</w:t>
      </w:r>
    </w:p>
    <w:tbl>
      <w:tblPr>
        <w:tblStyle w:val="DEDTable2"/>
        <w:tblW w:w="94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977"/>
        <w:gridCol w:w="7436"/>
      </w:tblGrid>
      <w:tr w:rsidR="00FA5553" w:rsidRPr="00A21682" w14:paraId="29AD72FE" w14:textId="77777777" w:rsidTr="6CA715AC">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1977" w:type="dxa"/>
            <w:tcBorders>
              <w:right w:val="single" w:sz="2" w:space="0" w:color="FFFFFF" w:themeColor="background1"/>
            </w:tcBorders>
            <w:hideMark/>
          </w:tcPr>
          <w:p w14:paraId="14987BAA" w14:textId="77777777" w:rsidR="00E90A9F" w:rsidRPr="00A21682" w:rsidRDefault="00E90A9F" w:rsidP="00047C4E">
            <w:pPr>
              <w:pStyle w:val="TABLEHEADINGNEW"/>
              <w:rPr>
                <w:rFonts w:eastAsia="Verdana"/>
                <w:b/>
                <w:bCs w:val="0"/>
              </w:rPr>
            </w:pPr>
            <w:r>
              <w:rPr>
                <w:rFonts w:eastAsia="Verdana"/>
                <w:b/>
                <w:bCs w:val="0"/>
              </w:rPr>
              <w:t>Channel </w:t>
            </w:r>
          </w:p>
        </w:tc>
        <w:tc>
          <w:tcPr>
            <w:tcW w:w="7436" w:type="dxa"/>
            <w:tcBorders>
              <w:left w:val="single" w:sz="2" w:space="0" w:color="FFFFFF" w:themeColor="background1"/>
            </w:tcBorders>
            <w:hideMark/>
          </w:tcPr>
          <w:p w14:paraId="38CCF3B0" w14:textId="77777777" w:rsidR="00E90A9F" w:rsidRPr="00A21682" w:rsidRDefault="00E90A9F" w:rsidP="00047C4E">
            <w:pPr>
              <w:pStyle w:val="TABLEHEADINGNEW"/>
              <w:cnfStyle w:val="100000000000" w:firstRow="1" w:lastRow="0" w:firstColumn="0" w:lastColumn="0" w:oddVBand="0" w:evenVBand="0" w:oddHBand="0" w:evenHBand="0" w:firstRowFirstColumn="0" w:firstRowLastColumn="0" w:lastRowFirstColumn="0" w:lastRowLastColumn="0"/>
              <w:rPr>
                <w:rFonts w:eastAsia="Verdana"/>
                <w:b/>
                <w:bCs w:val="0"/>
              </w:rPr>
            </w:pPr>
            <w:r>
              <w:rPr>
                <w:rFonts w:eastAsia="Verdana"/>
                <w:b/>
                <w:bCs w:val="0"/>
              </w:rPr>
              <w:t>Description</w:t>
            </w:r>
          </w:p>
        </w:tc>
      </w:tr>
      <w:tr w:rsidR="00B65956" w:rsidRPr="00A21682" w14:paraId="4C579241" w14:textId="77777777" w:rsidTr="6CA715AC">
        <w:trPr>
          <w:trHeight w:val="821"/>
        </w:trPr>
        <w:tc>
          <w:tcPr>
            <w:cnfStyle w:val="001000000000" w:firstRow="0" w:lastRow="0" w:firstColumn="1" w:lastColumn="0" w:oddVBand="0" w:evenVBand="0" w:oddHBand="0" w:evenHBand="0" w:firstRowFirstColumn="0" w:firstRowLastColumn="0" w:lastRowFirstColumn="0" w:lastRowLastColumn="0"/>
            <w:tcW w:w="1977" w:type="dxa"/>
          </w:tcPr>
          <w:p w14:paraId="7E213BC2" w14:textId="77777777" w:rsidR="00E90A9F" w:rsidRPr="00A21682" w:rsidRDefault="00E90A9F" w:rsidP="00047C4E">
            <w:pPr>
              <w:pStyle w:val="TABLETEXT1"/>
              <w:rPr>
                <w:lang w:val="en-US"/>
              </w:rPr>
            </w:pPr>
            <w:r>
              <w:rPr>
                <w:lang w:val="en-US"/>
              </w:rPr>
              <w:t>E-mail</w:t>
            </w:r>
          </w:p>
        </w:tc>
        <w:tc>
          <w:tcPr>
            <w:tcW w:w="7436" w:type="dxa"/>
          </w:tcPr>
          <w:p w14:paraId="5BFE783D" w14:textId="09479848"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E-mails will be used for several types of communications – minor announcements, invitations to MECM system project meetings, deliverable submissions, and updates on the New York DOH OHIP initiatives.</w:t>
            </w:r>
          </w:p>
        </w:tc>
      </w:tr>
      <w:tr w:rsidR="00B65956" w:rsidRPr="00A21682" w14:paraId="3E2B7F76" w14:textId="77777777" w:rsidTr="6CA715AC">
        <w:trPr>
          <w:trHeight w:val="576"/>
        </w:trPr>
        <w:tc>
          <w:tcPr>
            <w:cnfStyle w:val="001000000000" w:firstRow="0" w:lastRow="0" w:firstColumn="1" w:lastColumn="0" w:oddVBand="0" w:evenVBand="0" w:oddHBand="0" w:evenHBand="0" w:firstRowFirstColumn="0" w:firstRowLastColumn="0" w:lastRowFirstColumn="0" w:lastRowLastColumn="0"/>
            <w:tcW w:w="1977" w:type="dxa"/>
          </w:tcPr>
          <w:p w14:paraId="56929623" w14:textId="77777777" w:rsidR="00E90A9F" w:rsidRPr="00A21682" w:rsidRDefault="00E90A9F" w:rsidP="00047C4E">
            <w:pPr>
              <w:pStyle w:val="TABLETEXT1"/>
              <w:rPr>
                <w:lang w:val="en-US"/>
              </w:rPr>
            </w:pPr>
            <w:r>
              <w:rPr>
                <w:lang w:val="en-US"/>
              </w:rPr>
              <w:t>Project Intranet (SharePoint)</w:t>
            </w:r>
          </w:p>
        </w:tc>
        <w:tc>
          <w:tcPr>
            <w:tcW w:w="7436" w:type="dxa"/>
          </w:tcPr>
          <w:p w14:paraId="5096A457" w14:textId="77777777"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Project files including meeting minutes, deliverables, and meeting decks will be uploaded to the project SharePoint site.</w:t>
            </w:r>
          </w:p>
        </w:tc>
      </w:tr>
      <w:tr w:rsidR="00B65956" w:rsidRPr="00A21682" w14:paraId="2E332686" w14:textId="77777777" w:rsidTr="6CA715AC">
        <w:trPr>
          <w:trHeight w:val="386"/>
        </w:trPr>
        <w:tc>
          <w:tcPr>
            <w:cnfStyle w:val="001000000000" w:firstRow="0" w:lastRow="0" w:firstColumn="1" w:lastColumn="0" w:oddVBand="0" w:evenVBand="0" w:oddHBand="0" w:evenHBand="0" w:firstRowFirstColumn="0" w:firstRowLastColumn="0" w:lastRowFirstColumn="0" w:lastRowLastColumn="0"/>
            <w:tcW w:w="1977" w:type="dxa"/>
          </w:tcPr>
          <w:p w14:paraId="25C5B440" w14:textId="1FE6645B" w:rsidR="00E90A9F" w:rsidRPr="00A21682" w:rsidRDefault="00E90A9F" w:rsidP="00047C4E">
            <w:pPr>
              <w:pStyle w:val="TABLETEXT1"/>
              <w:rPr>
                <w:lang w:val="en-US"/>
              </w:rPr>
            </w:pPr>
            <w:r>
              <w:rPr>
                <w:lang w:val="en-US"/>
              </w:rPr>
              <w:t>Collaboration Tools (the ALM tool, the requirements management tool)</w:t>
            </w:r>
          </w:p>
        </w:tc>
        <w:tc>
          <w:tcPr>
            <w:tcW w:w="7436" w:type="dxa"/>
          </w:tcPr>
          <w:p w14:paraId="2CA0C1AF" w14:textId="4B66C5CF"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ALM tool is used to manage issues, risks, activities, dependencies, schedule, and effort. Dashboards will help manage work and track specific items with identified owners and approvers. The change management control log, detailed in the Integrated Change Control Process (refer to Section 10) will be maintained and managed in the ALM tool. The requirements management tool produces requirements traceability matrix based on linkages to Software Development Life Cycle (SDLC) components in the ALM tool to keep track of project requirements, as outlined in the Requirements Management Plan (refer to Section 12) and reflects any changes that are requested. </w:t>
            </w:r>
          </w:p>
        </w:tc>
      </w:tr>
      <w:tr w:rsidR="00B65956" w:rsidRPr="00A21682" w14:paraId="6704A2FA" w14:textId="77777777" w:rsidTr="6CA715AC">
        <w:trPr>
          <w:trHeight w:val="885"/>
        </w:trPr>
        <w:tc>
          <w:tcPr>
            <w:cnfStyle w:val="001000000000" w:firstRow="0" w:lastRow="0" w:firstColumn="1" w:lastColumn="0" w:oddVBand="0" w:evenVBand="0" w:oddHBand="0" w:evenHBand="0" w:firstRowFirstColumn="0" w:firstRowLastColumn="0" w:lastRowFirstColumn="0" w:lastRowLastColumn="0"/>
            <w:tcW w:w="1977" w:type="dxa"/>
          </w:tcPr>
          <w:p w14:paraId="7B59B53F" w14:textId="7298F5BF" w:rsidR="00E90A9F" w:rsidRPr="00A21682" w:rsidRDefault="00E90A9F" w:rsidP="00047C4E">
            <w:pPr>
              <w:pStyle w:val="TABLETEXT1"/>
              <w:rPr>
                <w:lang w:val="en-US"/>
              </w:rPr>
            </w:pPr>
            <w:r>
              <w:rPr>
                <w:lang w:val="en-US"/>
              </w:rPr>
              <w:lastRenderedPageBreak/>
              <w:t>In-Person/Virtual Meetings</w:t>
            </w:r>
          </w:p>
        </w:tc>
        <w:tc>
          <w:tcPr>
            <w:tcW w:w="7436" w:type="dxa"/>
          </w:tcPr>
          <w:p w14:paraId="3B8B3889" w14:textId="77777777"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In-person and virtual meetings will be used for tasks such as conducting status reporting with DOH OHIP, finalizing project requirements and planned activities, troubleshooting issues affecting delivery, and feedback sessions for deliverables. </w:t>
            </w:r>
          </w:p>
        </w:tc>
        <w:bookmarkStart w:id="2545" w:name="_Toc143612510"/>
      </w:tr>
      <w:tr w:rsidR="00B65956" w:rsidRPr="00A21682" w14:paraId="71D41E69" w14:textId="77777777" w:rsidTr="6CA715AC">
        <w:trPr>
          <w:trHeight w:val="885"/>
        </w:trPr>
        <w:tc>
          <w:tcPr>
            <w:cnfStyle w:val="001000000000" w:firstRow="0" w:lastRow="0" w:firstColumn="1" w:lastColumn="0" w:oddVBand="0" w:evenVBand="0" w:oddHBand="0" w:evenHBand="0" w:firstRowFirstColumn="0" w:firstRowLastColumn="0" w:lastRowFirstColumn="0" w:lastRowLastColumn="0"/>
            <w:tcW w:w="1977" w:type="dxa"/>
          </w:tcPr>
          <w:p w14:paraId="37ED4E67" w14:textId="5105C55A" w:rsidR="00E90A9F" w:rsidRPr="00A21682" w:rsidRDefault="000926BD" w:rsidP="00047C4E">
            <w:pPr>
              <w:pStyle w:val="TABLETEXT1"/>
              <w:rPr>
                <w:lang w:val="en-US"/>
              </w:rPr>
            </w:pPr>
            <w:r>
              <w:rPr>
                <w:lang w:val="en-US"/>
              </w:rPr>
              <w:t>Responsible, Accountable, Consulted, and Informed (RACI)</w:t>
            </w:r>
          </w:p>
        </w:tc>
        <w:tc>
          <w:tcPr>
            <w:tcW w:w="7436" w:type="dxa"/>
          </w:tcPr>
          <w:p w14:paraId="25E58961" w14:textId="77777777"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Document used to clarify and define roles and responsibilities for deliverables. Depending on the deliverable, a RACI may be required to provide additional guidance.</w:t>
            </w:r>
          </w:p>
        </w:tc>
      </w:tr>
    </w:tbl>
    <w:p w14:paraId="719F899E" w14:textId="707333CC" w:rsidR="00E90A9F" w:rsidRPr="00A21682" w:rsidRDefault="00E90A9F" w:rsidP="005827B3">
      <w:pPr>
        <w:pStyle w:val="Caption"/>
        <w:rPr>
          <w:noProof w:val="0"/>
        </w:rPr>
      </w:pPr>
      <w:bookmarkStart w:id="2546" w:name="_Toc144828278"/>
      <w:bookmarkStart w:id="2547" w:name="_Toc147240613"/>
      <w:bookmarkStart w:id="2548" w:name="_Toc152090632"/>
      <w:bookmarkStart w:id="2549" w:name="_Toc19287517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Project Management Communication Channels</w:t>
      </w:r>
      <w:bookmarkEnd w:id="2546"/>
      <w:bookmarkEnd w:id="2547"/>
      <w:bookmarkEnd w:id="2548"/>
      <w:bookmarkEnd w:id="2549"/>
    </w:p>
    <w:p w14:paraId="106F6CC2" w14:textId="77777777" w:rsidR="00E90A9F" w:rsidRPr="00A21682" w:rsidRDefault="00E90A9F">
      <w:pPr>
        <w:pStyle w:val="Heading3"/>
      </w:pPr>
      <w:bookmarkStart w:id="2550" w:name="_Toc144812304"/>
      <w:bookmarkStart w:id="2551" w:name="_Toc144812412"/>
      <w:bookmarkStart w:id="2552" w:name="_Ref144142653"/>
      <w:bookmarkStart w:id="2553" w:name="_Toc144827624"/>
      <w:bookmarkStart w:id="2554" w:name="_Toc147240778"/>
      <w:bookmarkStart w:id="2555" w:name="_Toc149049787"/>
      <w:bookmarkStart w:id="2556" w:name="_Toc152089675"/>
      <w:bookmarkStart w:id="2557" w:name="_Toc152090564"/>
      <w:bookmarkStart w:id="2558" w:name="_Toc177119135"/>
      <w:bookmarkStart w:id="2559" w:name="_Toc185952656"/>
      <w:bookmarkStart w:id="2560" w:name="_Toc192874824"/>
      <w:bookmarkEnd w:id="2550"/>
      <w:bookmarkEnd w:id="2551"/>
      <w:r>
        <w:t>Project Management Communication</w:t>
      </w:r>
      <w:bookmarkEnd w:id="2545"/>
      <w:r>
        <w:t xml:space="preserve"> Types</w:t>
      </w:r>
      <w:bookmarkEnd w:id="2552"/>
      <w:bookmarkEnd w:id="2553"/>
      <w:bookmarkEnd w:id="2554"/>
      <w:bookmarkEnd w:id="2555"/>
      <w:bookmarkEnd w:id="2556"/>
      <w:bookmarkEnd w:id="2557"/>
      <w:bookmarkEnd w:id="2558"/>
      <w:bookmarkEnd w:id="2559"/>
      <w:bookmarkEnd w:id="2560"/>
    </w:p>
    <w:p w14:paraId="1DAC19C8" w14:textId="7CB28D50" w:rsidR="00E90A9F" w:rsidRPr="00A21682" w:rsidRDefault="00E90A9F" w:rsidP="00837EB1">
      <w:pPr>
        <w:pStyle w:val="NormalNEW"/>
        <w:rPr>
          <w:lang w:val="en-US"/>
        </w:rPr>
      </w:pPr>
      <w:r>
        <w:rPr>
          <w:lang w:val="en-US"/>
        </w:rPr>
        <w:t xml:space="preserve">Communication types describe communications activities or documents. For </w:t>
      </w:r>
      <w:r>
        <w:rPr>
          <w:u w:color="000000"/>
          <w:lang w:val="en-US"/>
        </w:rPr>
        <w:t>Continuing Medicaid Eligibility Modernization</w:t>
      </w:r>
      <w:r>
        <w:rPr>
          <w:lang w:val="en-US"/>
        </w:rPr>
        <w:t>, the communication types include those detailed in the table below.</w:t>
      </w:r>
    </w:p>
    <w:tbl>
      <w:tblPr>
        <w:tblStyle w:val="DEDTable2"/>
        <w:tblW w:w="93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432"/>
        <w:gridCol w:w="5414"/>
        <w:gridCol w:w="1504"/>
      </w:tblGrid>
      <w:tr w:rsidR="005133E7" w:rsidRPr="00A21682" w14:paraId="62D97A1C" w14:textId="77777777" w:rsidTr="3A9676EC">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310" w:type="dxa"/>
            <w:tcBorders>
              <w:right w:val="single" w:sz="2" w:space="0" w:color="FFFFFF" w:themeColor="background1"/>
            </w:tcBorders>
            <w:hideMark/>
          </w:tcPr>
          <w:p w14:paraId="6E65D62F" w14:textId="68DDBE1C" w:rsidR="00E90A9F" w:rsidRPr="00A21682" w:rsidRDefault="00E90A9F" w:rsidP="00047C4E">
            <w:pPr>
              <w:pStyle w:val="TABLEHEADINGNEW"/>
              <w:rPr>
                <w:rFonts w:eastAsia="Verdana"/>
                <w:b/>
                <w:bCs w:val="0"/>
              </w:rPr>
            </w:pPr>
            <w:r>
              <w:rPr>
                <w:rFonts w:eastAsia="Verdana"/>
                <w:b/>
                <w:bCs w:val="0"/>
              </w:rPr>
              <w:t>Communication Type</w:t>
            </w:r>
          </w:p>
        </w:tc>
        <w:tc>
          <w:tcPr>
            <w:tcW w:w="5144" w:type="dxa"/>
            <w:tcBorders>
              <w:left w:val="single" w:sz="2" w:space="0" w:color="FFFFFF" w:themeColor="background1"/>
              <w:right w:val="single" w:sz="2" w:space="0" w:color="FFFFFF" w:themeColor="background1"/>
            </w:tcBorders>
            <w:hideMark/>
          </w:tcPr>
          <w:p w14:paraId="53D6C2AF" w14:textId="77777777" w:rsidR="00E90A9F" w:rsidRPr="00A21682" w:rsidRDefault="00E90A9F" w:rsidP="00047C4E">
            <w:pPr>
              <w:pStyle w:val="TABLEHEADINGNEW"/>
              <w:cnfStyle w:val="100000000000" w:firstRow="1" w:lastRow="0" w:firstColumn="0" w:lastColumn="0" w:oddVBand="0" w:evenVBand="0" w:oddHBand="0" w:evenHBand="0" w:firstRowFirstColumn="0" w:firstRowLastColumn="0" w:lastRowFirstColumn="0" w:lastRowLastColumn="0"/>
              <w:rPr>
                <w:rFonts w:eastAsia="Verdana"/>
                <w:b/>
                <w:bCs w:val="0"/>
              </w:rPr>
            </w:pPr>
            <w:r>
              <w:rPr>
                <w:rFonts w:eastAsia="Verdana"/>
                <w:b/>
                <w:bCs w:val="0"/>
              </w:rPr>
              <w:t>Description</w:t>
            </w:r>
          </w:p>
        </w:tc>
        <w:tc>
          <w:tcPr>
            <w:tcW w:w="0" w:type="dxa"/>
            <w:tcBorders>
              <w:left w:val="single" w:sz="2" w:space="0" w:color="FFFFFF" w:themeColor="background1"/>
            </w:tcBorders>
          </w:tcPr>
          <w:p w14:paraId="70F785EB" w14:textId="77777777" w:rsidR="00E90A9F" w:rsidRPr="00A21682" w:rsidRDefault="00E90A9F" w:rsidP="00047C4E">
            <w:pPr>
              <w:pStyle w:val="TABLEHEADINGNEW"/>
              <w:cnfStyle w:val="100000000000" w:firstRow="1" w:lastRow="0" w:firstColumn="0" w:lastColumn="0" w:oddVBand="0" w:evenVBand="0" w:oddHBand="0" w:evenHBand="0" w:firstRowFirstColumn="0" w:firstRowLastColumn="0" w:lastRowFirstColumn="0" w:lastRowLastColumn="0"/>
              <w:rPr>
                <w:rFonts w:eastAsia="Verdana"/>
                <w:b/>
                <w:bCs w:val="0"/>
              </w:rPr>
            </w:pPr>
            <w:r>
              <w:rPr>
                <w:rFonts w:eastAsia="Verdana"/>
                <w:b/>
                <w:bCs w:val="0"/>
              </w:rPr>
              <w:t>Channel </w:t>
            </w:r>
          </w:p>
        </w:tc>
      </w:tr>
      <w:tr w:rsidR="00B65956" w:rsidRPr="00A21682" w14:paraId="401E96E4" w14:textId="77777777" w:rsidTr="3A9676EC">
        <w:trPr>
          <w:trHeight w:val="2190"/>
        </w:trPr>
        <w:tc>
          <w:tcPr>
            <w:cnfStyle w:val="001000000000" w:firstRow="0" w:lastRow="0" w:firstColumn="1" w:lastColumn="0" w:oddVBand="0" w:evenVBand="0" w:oddHBand="0" w:evenHBand="0" w:firstRowFirstColumn="0" w:firstRowLastColumn="0" w:lastRowFirstColumn="0" w:lastRowLastColumn="0"/>
            <w:tcW w:w="2310" w:type="dxa"/>
            <w:hideMark/>
          </w:tcPr>
          <w:p w14:paraId="4C2E7A2F" w14:textId="77777777" w:rsidR="00E90A9F" w:rsidRPr="00A21682" w:rsidRDefault="00E90A9F" w:rsidP="00047C4E">
            <w:pPr>
              <w:pStyle w:val="TABLETEXT1"/>
              <w:rPr>
                <w:b w:val="0"/>
                <w:bCs/>
                <w:u w:color="000000" w:themeColor="text1"/>
                <w:lang w:val="en-US"/>
              </w:rPr>
            </w:pPr>
            <w:r>
              <w:rPr>
                <w:b w:val="0"/>
                <w:bCs/>
                <w:u w:color="000000" w:themeColor="text1"/>
                <w:lang w:val="en-US"/>
              </w:rPr>
              <w:t>Communication Management Plan </w:t>
            </w:r>
          </w:p>
        </w:tc>
        <w:tc>
          <w:tcPr>
            <w:tcW w:w="5144" w:type="dxa"/>
            <w:hideMark/>
          </w:tcPr>
          <w:p w14:paraId="2E123A23" w14:textId="7C991C76"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This Communication Management Plan describes how all project stakeholders communicate throughout the duration of the project, the frequency of communication, and with whom they communicate. Revisions to this plan can occur throughout the program to incorporate changes in personnel and/or refinements to program processes to improve the quality and efficiency of DOH OHIP and partner communication.</w:t>
            </w:r>
          </w:p>
        </w:tc>
        <w:tc>
          <w:tcPr>
            <w:tcW w:w="0" w:type="dxa"/>
          </w:tcPr>
          <w:p w14:paraId="0C4D1B1F"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p w14:paraId="051635E7"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RACI</w:t>
            </w:r>
          </w:p>
        </w:tc>
      </w:tr>
      <w:tr w:rsidR="00B65956" w:rsidRPr="00A21682" w14:paraId="2C63BD95" w14:textId="77777777" w:rsidTr="3A9676EC">
        <w:trPr>
          <w:trHeight w:val="2250"/>
        </w:trPr>
        <w:tc>
          <w:tcPr>
            <w:cnfStyle w:val="001000000000" w:firstRow="0" w:lastRow="0" w:firstColumn="1" w:lastColumn="0" w:oddVBand="0" w:evenVBand="0" w:oddHBand="0" w:evenHBand="0" w:firstRowFirstColumn="0" w:firstRowLastColumn="0" w:lastRowFirstColumn="0" w:lastRowLastColumn="0"/>
            <w:tcW w:w="2310" w:type="dxa"/>
            <w:hideMark/>
          </w:tcPr>
          <w:p w14:paraId="708F769A" w14:textId="77777777" w:rsidR="00E90A9F" w:rsidRPr="00A21682" w:rsidRDefault="00E90A9F" w:rsidP="00047C4E">
            <w:pPr>
              <w:pStyle w:val="TABLETEXT1"/>
              <w:rPr>
                <w:b w:val="0"/>
                <w:bCs/>
                <w:u w:color="000000" w:themeColor="text1"/>
                <w:lang w:val="en-US"/>
              </w:rPr>
            </w:pPr>
            <w:r>
              <w:rPr>
                <w:b w:val="0"/>
                <w:bCs/>
                <w:u w:color="000000" w:themeColor="text1"/>
                <w:lang w:val="en-US"/>
              </w:rPr>
              <w:t xml:space="preserve">Status Reports </w:t>
            </w:r>
          </w:p>
        </w:tc>
        <w:tc>
          <w:tcPr>
            <w:tcW w:w="5144" w:type="dxa"/>
            <w:hideMark/>
          </w:tcPr>
          <w:p w14:paraId="11EF35D0" w14:textId="77777777" w:rsidR="00975E2A"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Project Status Report (or other cadence as agreed to by all stakeholders) provides an executive view of the progress from the prior week and a summary of the planned tasks ahead for the team in the coming week. </w:t>
            </w:r>
          </w:p>
          <w:p w14:paraId="3A964870" w14:textId="0F729C0E" w:rsidR="00975E2A" w:rsidRPr="00A21682" w:rsidRDefault="0096546E"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Deloitte and DOS Project Management Offices (PMOs) will conduct a walkthrough of the PSR one business day prior to the PSR meeting. The </w:t>
            </w:r>
            <w:r>
              <w:rPr>
                <w:highlight w:val="black"/>
                <w:lang w:val="en-US"/>
              </w:rPr>
              <w:t>Deloitte</w:t>
            </w:r>
            <w:r>
              <w:rPr>
                <w:lang w:val="en-US"/>
              </w:rPr>
              <w:t xml:space="preserve"> PMO will submit the updated PSR to the DOS PMO the morning of the PSR meeting for a final quality review. Upon dispositioning of any feedback received, the </w:t>
            </w:r>
            <w:r>
              <w:rPr>
                <w:highlight w:val="black"/>
                <w:lang w:val="en-US"/>
              </w:rPr>
              <w:t>Deloitte</w:t>
            </w:r>
            <w:r>
              <w:rPr>
                <w:lang w:val="en-US"/>
              </w:rPr>
              <w:t xml:space="preserve"> PMO will distribute the PSR DOH OHIP at least 1 hour prior to the scheduled PSR meeting.</w:t>
            </w:r>
          </w:p>
          <w:p w14:paraId="4AC5E09D" w14:textId="11DDCC57"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In addition to a summary of weekly achievements and upcoming planned activities, the Project Status Report covers the risks, issues, deliverable statuses, schedule updates, and open items escalated for management attention.</w:t>
            </w:r>
          </w:p>
        </w:tc>
        <w:tc>
          <w:tcPr>
            <w:tcW w:w="0" w:type="dxa"/>
          </w:tcPr>
          <w:p w14:paraId="2446CBD1" w14:textId="5ECDF6B4" w:rsidR="00E90A9F" w:rsidRPr="00635C9B" w:rsidRDefault="004B40B6" w:rsidP="000872B5">
            <w:pPr>
              <w:pStyle w:val="TABLEBULLETNEW"/>
              <w:cnfStyle w:val="000000000000" w:firstRow="0" w:lastRow="0" w:firstColumn="0" w:lastColumn="0" w:oddVBand="0" w:evenVBand="0" w:oddHBand="0" w:evenHBand="0" w:firstRowFirstColumn="0" w:firstRowLastColumn="0" w:lastRowFirstColumn="0" w:lastRowLastColumn="0"/>
            </w:pPr>
            <w:r>
              <w:t>Project Status Report meeting</w:t>
            </w:r>
          </w:p>
          <w:p w14:paraId="390FC0C9" w14:textId="06A2175A"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rPr>
                <w:rFonts w:cs="Verdana"/>
              </w:rPr>
            </w:pPr>
            <w:r>
              <w:t xml:space="preserve">The ALM tool </w:t>
            </w:r>
          </w:p>
        </w:tc>
      </w:tr>
      <w:tr w:rsidR="00B65956" w:rsidRPr="00A21682" w14:paraId="4833BE8E" w14:textId="77777777" w:rsidTr="3A9676EC">
        <w:trPr>
          <w:trHeight w:val="300"/>
        </w:trPr>
        <w:tc>
          <w:tcPr>
            <w:cnfStyle w:val="001000000000" w:firstRow="0" w:lastRow="0" w:firstColumn="1" w:lastColumn="0" w:oddVBand="0" w:evenVBand="0" w:oddHBand="0" w:evenHBand="0" w:firstRowFirstColumn="0" w:firstRowLastColumn="0" w:lastRowFirstColumn="0" w:lastRowLastColumn="0"/>
            <w:tcW w:w="2310" w:type="dxa"/>
          </w:tcPr>
          <w:p w14:paraId="096CB973" w14:textId="351BA062" w:rsidR="00E90A9F" w:rsidRPr="00A21682" w:rsidRDefault="00E90A9F" w:rsidP="00047C4E">
            <w:pPr>
              <w:pStyle w:val="TABLETEXT1"/>
              <w:rPr>
                <w:b w:val="0"/>
                <w:bCs/>
                <w:u w:color="000000" w:themeColor="text1"/>
                <w:lang w:val="en-US"/>
              </w:rPr>
            </w:pPr>
            <w:r>
              <w:rPr>
                <w:b w:val="0"/>
                <w:bCs/>
                <w:u w:color="000000" w:themeColor="text1"/>
                <w:lang w:val="en-US"/>
              </w:rPr>
              <w:t>Monthly Compliance Report</w:t>
            </w:r>
          </w:p>
        </w:tc>
        <w:tc>
          <w:tcPr>
            <w:tcW w:w="5144" w:type="dxa"/>
          </w:tcPr>
          <w:p w14:paraId="2B132CB9" w14:textId="0E74E255"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sends a monthly report on compliance items and performance targets.</w:t>
            </w:r>
          </w:p>
        </w:tc>
        <w:tc>
          <w:tcPr>
            <w:tcW w:w="0" w:type="dxa"/>
          </w:tcPr>
          <w:p w14:paraId="19A774AD" w14:textId="1E4926DF"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tc>
      </w:tr>
      <w:tr w:rsidR="00B65956" w:rsidRPr="00A21682" w14:paraId="6414340C" w14:textId="77777777" w:rsidTr="3A9676EC">
        <w:trPr>
          <w:trHeight w:val="300"/>
        </w:trPr>
        <w:tc>
          <w:tcPr>
            <w:cnfStyle w:val="001000000000" w:firstRow="0" w:lastRow="0" w:firstColumn="1" w:lastColumn="0" w:oddVBand="0" w:evenVBand="0" w:oddHBand="0" w:evenHBand="0" w:firstRowFirstColumn="0" w:firstRowLastColumn="0" w:lastRowFirstColumn="0" w:lastRowLastColumn="0"/>
            <w:tcW w:w="2310" w:type="dxa"/>
          </w:tcPr>
          <w:p w14:paraId="04221FC9" w14:textId="77777777" w:rsidR="00E90A9F" w:rsidRPr="00A21682" w:rsidRDefault="00E90A9F" w:rsidP="00047C4E">
            <w:pPr>
              <w:pStyle w:val="TABLETEXT1"/>
              <w:rPr>
                <w:b w:val="0"/>
                <w:bCs/>
                <w:u w:color="000000" w:themeColor="text1"/>
                <w:lang w:val="en-US"/>
              </w:rPr>
            </w:pPr>
            <w:r>
              <w:rPr>
                <w:b w:val="0"/>
                <w:bCs/>
                <w:u w:color="000000" w:themeColor="text1"/>
                <w:lang w:val="en-US"/>
              </w:rPr>
              <w:t>Agenda and Meeting Materials</w:t>
            </w:r>
          </w:p>
        </w:tc>
        <w:tc>
          <w:tcPr>
            <w:tcW w:w="5144" w:type="dxa"/>
          </w:tcPr>
          <w:p w14:paraId="5F4C5049" w14:textId="5A630A4B" w:rsidR="00837EB1"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 sends out an agenda and relevant meeting materials to meeting invitees 24 business hours in advance of a meeting. Based on the nature of the meeting, the runway leading up to the meeting, and the MECM system project priorities at the time, ███████ and </w:t>
            </w:r>
            <w:r>
              <w:rPr>
                <w:lang w:val="en-US"/>
              </w:rPr>
              <w:lastRenderedPageBreak/>
              <w:t>DOH OHIP may mutually agree to share and review agendas and meeting materials in a shorter or longer timeframe than 24 business hours in advance of the meeting. Any expected deviations from the 24 business hours in advance for recurring or ongoing meetings must be logged as a decision issue type in the ALM tool. Materials for the JAD sessions will be distributed the week prior to the JAD session.</w:t>
            </w:r>
          </w:p>
          <w:p w14:paraId="2C2A1F76" w14:textId="30D19890"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Agenda items will include any action items remaining from previous discussions to facilitate follow up discussion to resolve those action items.</w:t>
            </w:r>
          </w:p>
        </w:tc>
        <w:tc>
          <w:tcPr>
            <w:tcW w:w="0" w:type="dxa"/>
          </w:tcPr>
          <w:p w14:paraId="6705C99B"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lastRenderedPageBreak/>
              <w:t>E-mail</w:t>
            </w:r>
          </w:p>
        </w:tc>
      </w:tr>
      <w:tr w:rsidR="00B65956" w:rsidRPr="00A21682" w14:paraId="390FD47B" w14:textId="77777777" w:rsidTr="3A9676EC">
        <w:trPr>
          <w:trHeight w:val="300"/>
        </w:trPr>
        <w:tc>
          <w:tcPr>
            <w:cnfStyle w:val="001000000000" w:firstRow="0" w:lastRow="0" w:firstColumn="1" w:lastColumn="0" w:oddVBand="0" w:evenVBand="0" w:oddHBand="0" w:evenHBand="0" w:firstRowFirstColumn="0" w:firstRowLastColumn="0" w:lastRowFirstColumn="0" w:lastRowLastColumn="0"/>
            <w:tcW w:w="2310" w:type="dxa"/>
            <w:hideMark/>
          </w:tcPr>
          <w:p w14:paraId="761D8A0C" w14:textId="77777777" w:rsidR="00E90A9F" w:rsidRPr="00A21682" w:rsidRDefault="00E90A9F" w:rsidP="00047C4E">
            <w:pPr>
              <w:pStyle w:val="TABLETEXT1"/>
              <w:rPr>
                <w:b w:val="0"/>
                <w:bCs/>
                <w:u w:color="000000" w:themeColor="text1"/>
                <w:lang w:val="en-US"/>
              </w:rPr>
            </w:pPr>
            <w:r>
              <w:rPr>
                <w:b w:val="0"/>
                <w:bCs/>
                <w:u w:color="000000" w:themeColor="text1"/>
                <w:lang w:val="en-US"/>
              </w:rPr>
              <w:t>Meeting Minutes </w:t>
            </w:r>
          </w:p>
        </w:tc>
        <w:tc>
          <w:tcPr>
            <w:tcW w:w="5144" w:type="dxa"/>
            <w:hideMark/>
          </w:tcPr>
          <w:p w14:paraId="6645D875" w14:textId="2855708B"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Meeting minutes are provided by the ███████ PMO to meeting invitees within 24 business hours following the meeting occurrence. Meeting minutes will include action items identified during the meeting. Upon receipt of the meeting minutes, DOH OHIP reviews and provides additional feedback or clarification, as necessary. In the event updates are requested, ███████ PMO will update and resend the meeting minutes. </w:t>
            </w:r>
          </w:p>
        </w:tc>
        <w:tc>
          <w:tcPr>
            <w:tcW w:w="0" w:type="dxa"/>
          </w:tcPr>
          <w:p w14:paraId="208DE223"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7E292630"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p w14:paraId="0BAAF89A"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The ALM tool</w:t>
            </w:r>
          </w:p>
        </w:tc>
      </w:tr>
      <w:tr w:rsidR="00B65956" w:rsidRPr="00A21682" w14:paraId="5636F3A6" w14:textId="77777777" w:rsidTr="3A9676EC">
        <w:trPr>
          <w:trHeight w:val="390"/>
        </w:trPr>
        <w:tc>
          <w:tcPr>
            <w:cnfStyle w:val="001000000000" w:firstRow="0" w:lastRow="0" w:firstColumn="1" w:lastColumn="0" w:oddVBand="0" w:evenVBand="0" w:oddHBand="0" w:evenHBand="0" w:firstRowFirstColumn="0" w:firstRowLastColumn="0" w:lastRowFirstColumn="0" w:lastRowLastColumn="0"/>
            <w:tcW w:w="2310" w:type="dxa"/>
          </w:tcPr>
          <w:p w14:paraId="2F5756CA" w14:textId="5ED89C27" w:rsidR="00E90A9F" w:rsidRPr="00A21682" w:rsidRDefault="00E90A9F" w:rsidP="00047C4E">
            <w:pPr>
              <w:pStyle w:val="TABLETEXT1"/>
              <w:rPr>
                <w:b w:val="0"/>
                <w:bCs/>
                <w:u w:color="000000" w:themeColor="text1"/>
                <w:lang w:val="en-US"/>
              </w:rPr>
            </w:pPr>
            <w:r>
              <w:rPr>
                <w:b w:val="0"/>
                <w:bCs/>
                <w:u w:color="000000" w:themeColor="text1"/>
                <w:lang w:val="en-US"/>
              </w:rPr>
              <w:t>Deliverable Review Submissions (Collaboration)</w:t>
            </w:r>
          </w:p>
        </w:tc>
        <w:tc>
          <w:tcPr>
            <w:tcW w:w="5144" w:type="dxa"/>
          </w:tcPr>
          <w:p w14:paraId="44A950A2" w14:textId="55F96625"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Deliverables include those listed in the MSOW and subsequent ISOW. Deliverables are socialized and shared in a format that is previously agreed upon by DOH OHIP and the submitting partner. </w:t>
            </w:r>
          </w:p>
        </w:tc>
        <w:tc>
          <w:tcPr>
            <w:tcW w:w="0" w:type="dxa"/>
          </w:tcPr>
          <w:p w14:paraId="2E873B1B"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14F35600"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tc>
      </w:tr>
      <w:tr w:rsidR="00B65956" w:rsidRPr="00A21682" w14:paraId="591F81A3"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152E033F" w14:textId="77777777" w:rsidR="00E90A9F" w:rsidRPr="00A21682" w:rsidRDefault="00E90A9F" w:rsidP="00047C4E">
            <w:pPr>
              <w:pStyle w:val="TABLETEXT1"/>
              <w:rPr>
                <w:b w:val="0"/>
                <w:bCs/>
                <w:u w:color="000000" w:themeColor="text1"/>
                <w:lang w:val="en-US"/>
              </w:rPr>
            </w:pPr>
            <w:r>
              <w:rPr>
                <w:b w:val="0"/>
                <w:bCs/>
                <w:u w:color="000000" w:themeColor="text1"/>
                <w:lang w:val="en-US"/>
              </w:rPr>
              <w:t>Presentations</w:t>
            </w:r>
          </w:p>
        </w:tc>
        <w:tc>
          <w:tcPr>
            <w:tcW w:w="5144" w:type="dxa"/>
          </w:tcPr>
          <w:p w14:paraId="213F367F" w14:textId="36EB790F"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Presentations may occur in-person or virtually and will be based on the MECM Solution PowerPoint Template as well as the Writing Style Guide. Similar to meeting materials, all presentations are provided to invitees beforehand for review. Presentations can come in the form of PowerPoint slides or other visual formats and can be used to workshop content, walkthrough timeline, and/or other applications. </w:t>
            </w:r>
          </w:p>
        </w:tc>
        <w:tc>
          <w:tcPr>
            <w:tcW w:w="0" w:type="dxa"/>
          </w:tcPr>
          <w:p w14:paraId="111A58DE"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3ACFEF00"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p w14:paraId="5610AF3C"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Meetings</w:t>
            </w:r>
          </w:p>
        </w:tc>
      </w:tr>
      <w:tr w:rsidR="00B65956" w:rsidRPr="00A21682" w14:paraId="67A43920"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28BD392F" w14:textId="77777777" w:rsidR="00E90A9F" w:rsidRPr="00A21682" w:rsidRDefault="00E90A9F" w:rsidP="00047C4E">
            <w:pPr>
              <w:pStyle w:val="TABLETEXT1"/>
              <w:rPr>
                <w:b w:val="0"/>
                <w:bCs/>
                <w:u w:color="000000" w:themeColor="text1"/>
                <w:lang w:val="en-US"/>
              </w:rPr>
            </w:pPr>
            <w:r>
              <w:rPr>
                <w:b w:val="0"/>
                <w:bCs/>
                <w:u w:color="000000" w:themeColor="text1"/>
                <w:lang w:val="en-US"/>
              </w:rPr>
              <w:t>Deliverable Expectations Document (DED)</w:t>
            </w:r>
          </w:p>
        </w:tc>
        <w:tc>
          <w:tcPr>
            <w:tcW w:w="5144" w:type="dxa"/>
          </w:tcPr>
          <w:p w14:paraId="6E0E491C" w14:textId="77777777" w:rsidR="00837EB1"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Prepared in advance of each deliverable outlined in the MSOW and subsequent ISOWs, DEDs are used to obtain agreement on the purpose, content, and structure of the deliverable ███████ prepares for DOH OHIP’s evaluation and acceptance.</w:t>
            </w:r>
          </w:p>
          <w:p w14:paraId="7E479A49" w14:textId="6675F724"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In the event that the DED and Deliverable are being worked on concurrently, Deliverables will be revised to align to the comments and feedback provided in the DEDs. </w:t>
            </w:r>
          </w:p>
        </w:tc>
        <w:tc>
          <w:tcPr>
            <w:tcW w:w="0" w:type="dxa"/>
          </w:tcPr>
          <w:p w14:paraId="1BF6D709"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tc>
      </w:tr>
      <w:tr w:rsidR="00B65956" w:rsidRPr="00A21682" w14:paraId="7D03A71F"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22307E0F" w14:textId="77777777" w:rsidR="00E90A9F" w:rsidRPr="00A21682" w:rsidRDefault="00E90A9F" w:rsidP="00047C4E">
            <w:pPr>
              <w:pStyle w:val="TABLETEXT1"/>
              <w:rPr>
                <w:b w:val="0"/>
                <w:bCs/>
                <w:u w:color="000000" w:themeColor="text1"/>
                <w:lang w:val="en-US"/>
              </w:rPr>
            </w:pPr>
            <w:r>
              <w:rPr>
                <w:b w:val="0"/>
                <w:bCs/>
                <w:u w:color="000000" w:themeColor="text1"/>
                <w:lang w:val="en-US"/>
              </w:rPr>
              <w:t>Deliverables</w:t>
            </w:r>
          </w:p>
        </w:tc>
        <w:tc>
          <w:tcPr>
            <w:tcW w:w="5144" w:type="dxa"/>
          </w:tcPr>
          <w:p w14:paraId="3960BB79" w14:textId="07FD04F8"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Defined by each respective ISOW, deliverable submissions specify the date of submission, the date a response to the deliverable acceptance request is due, and the files that are included with the deliverable submission.</w:t>
            </w:r>
          </w:p>
          <w:p w14:paraId="4F04E95F" w14:textId="10B44BE1"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Final sign-off approval by DOH OHIP and Deloitte is documented in accordance with the Deliverable Management Plan (refer to Section 5).</w:t>
            </w:r>
          </w:p>
        </w:tc>
        <w:tc>
          <w:tcPr>
            <w:tcW w:w="0" w:type="dxa"/>
          </w:tcPr>
          <w:p w14:paraId="7FE0402D" w14:textId="77777777" w:rsidR="00C34E70" w:rsidRDefault="00C34E70"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0A79C83E" w14:textId="4CA20D2C"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tc>
      </w:tr>
      <w:tr w:rsidR="00B65956" w:rsidRPr="00A21682" w14:paraId="52E657EE"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102F3DBC" w14:textId="6FCFA989" w:rsidR="00E90A9F" w:rsidRPr="00A21682" w:rsidRDefault="00CF3844" w:rsidP="00047C4E">
            <w:pPr>
              <w:pStyle w:val="TABLETEXT1"/>
              <w:rPr>
                <w:b w:val="0"/>
                <w:bCs/>
                <w:u w:color="000000" w:themeColor="text1"/>
                <w:lang w:val="en-US"/>
              </w:rPr>
            </w:pPr>
            <w:r>
              <w:rPr>
                <w:rFonts w:eastAsia="Times New Roman"/>
                <w:b w:val="0"/>
                <w:bCs/>
                <w:u w:color="000000" w:themeColor="text1"/>
                <w:lang w:val="en-US"/>
              </w:rPr>
              <w:lastRenderedPageBreak/>
              <w:t>Work Plan Updates</w:t>
            </w:r>
          </w:p>
        </w:tc>
        <w:tc>
          <w:tcPr>
            <w:tcW w:w="5144" w:type="dxa"/>
          </w:tcPr>
          <w:p w14:paraId="7F60174E" w14:textId="221B141E"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Work Plan is a Microsoft Project file that is used to track the completion of each task needed to complete the scope of work and address updates made on planned work activities.</w:t>
            </w:r>
          </w:p>
          <w:p w14:paraId="246B0C84" w14:textId="40B171B9"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If changes to the Work Plan are needed, refer to the Schedule Management Plan (refer to Section 11) and Integrated Change Control Process (refer to Section 10).</w:t>
            </w:r>
          </w:p>
        </w:tc>
        <w:tc>
          <w:tcPr>
            <w:tcW w:w="0" w:type="dxa"/>
          </w:tcPr>
          <w:p w14:paraId="39CBDD20"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5CEEDECD"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tc>
      </w:tr>
      <w:tr w:rsidR="00B65956" w:rsidRPr="00A21682" w14:paraId="1CCB2196"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69C83028" w14:textId="77777777" w:rsidR="00E90A9F" w:rsidRPr="00A21682" w:rsidRDefault="00E90A9F" w:rsidP="00047C4E">
            <w:pPr>
              <w:pStyle w:val="TABLETEXT1"/>
              <w:rPr>
                <w:b w:val="0"/>
                <w:bCs/>
                <w:u w:color="000000" w:themeColor="text1"/>
                <w:lang w:val="en-US"/>
              </w:rPr>
            </w:pPr>
            <w:r>
              <w:rPr>
                <w:b w:val="0"/>
                <w:bCs/>
                <w:u w:color="000000" w:themeColor="text1"/>
                <w:lang w:val="en-US"/>
              </w:rPr>
              <w:t>Risk and Issue Log</w:t>
            </w:r>
          </w:p>
        </w:tc>
        <w:tc>
          <w:tcPr>
            <w:tcW w:w="5144" w:type="dxa"/>
          </w:tcPr>
          <w:p w14:paraId="3FEC618C" w14:textId="02816197"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Risk and Issue Log is a shared document to track potential risks and ongoing issues throughout the project life cycle. More detail can be found in the Project Controls Plan (refer to Section 9) specifically Sections 9.3 and 9.4. </w:t>
            </w:r>
          </w:p>
        </w:tc>
        <w:tc>
          <w:tcPr>
            <w:tcW w:w="0" w:type="dxa"/>
          </w:tcPr>
          <w:p w14:paraId="6A670ABA"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p w14:paraId="0E137DBB"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The ALM tool</w:t>
            </w:r>
          </w:p>
        </w:tc>
      </w:tr>
      <w:tr w:rsidR="00B65956" w:rsidRPr="00A21682" w14:paraId="22A90C3E"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37D4493D" w14:textId="77777777" w:rsidR="00E90A9F" w:rsidRPr="00A21682" w:rsidRDefault="00E90A9F" w:rsidP="00047C4E">
            <w:pPr>
              <w:pStyle w:val="TABLETEXT1"/>
              <w:rPr>
                <w:b w:val="0"/>
                <w:bCs/>
                <w:u w:color="000000" w:themeColor="text1"/>
                <w:lang w:val="en-US"/>
              </w:rPr>
            </w:pPr>
            <w:r>
              <w:rPr>
                <w:b w:val="0"/>
                <w:bCs/>
                <w:u w:color="000000" w:themeColor="text1"/>
                <w:lang w:val="en-US"/>
              </w:rPr>
              <w:t>Variance</w:t>
            </w:r>
          </w:p>
        </w:tc>
        <w:tc>
          <w:tcPr>
            <w:tcW w:w="5144" w:type="dxa"/>
          </w:tcPr>
          <w:p w14:paraId="660A8984" w14:textId="220BF1C3" w:rsidR="00E90A9F" w:rsidRPr="00A21682" w:rsidRDefault="00E90A9F"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If project execution deviates from the Work Plan, a Variance is noted and shared in the Project Status Report.</w:t>
            </w:r>
          </w:p>
        </w:tc>
        <w:tc>
          <w:tcPr>
            <w:tcW w:w="0" w:type="dxa"/>
          </w:tcPr>
          <w:p w14:paraId="3D4A7D6C"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6DBA645C"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tc>
      </w:tr>
      <w:tr w:rsidR="00B65956" w:rsidRPr="00A21682" w14:paraId="52621734" w14:textId="77777777" w:rsidTr="3A9676EC">
        <w:trPr>
          <w:trHeight w:val="885"/>
        </w:trPr>
        <w:tc>
          <w:tcPr>
            <w:cnfStyle w:val="001000000000" w:firstRow="0" w:lastRow="0" w:firstColumn="1" w:lastColumn="0" w:oddVBand="0" w:evenVBand="0" w:oddHBand="0" w:evenHBand="0" w:firstRowFirstColumn="0" w:firstRowLastColumn="0" w:lastRowFirstColumn="0" w:lastRowLastColumn="0"/>
            <w:tcW w:w="2310" w:type="dxa"/>
          </w:tcPr>
          <w:p w14:paraId="4A4772E0" w14:textId="77777777" w:rsidR="00E90A9F" w:rsidRPr="00A21682" w:rsidRDefault="00E90A9F" w:rsidP="00047C4E">
            <w:pPr>
              <w:pStyle w:val="TABLETEXT1"/>
              <w:rPr>
                <w:b w:val="0"/>
                <w:bCs/>
                <w:u w:color="000000" w:themeColor="text1"/>
                <w:lang w:val="en-US"/>
              </w:rPr>
            </w:pPr>
            <w:r>
              <w:rPr>
                <w:b w:val="0"/>
                <w:bCs/>
                <w:u w:color="000000" w:themeColor="text1"/>
                <w:lang w:val="en-US"/>
              </w:rPr>
              <w:t>Lessons Learned</w:t>
            </w:r>
          </w:p>
        </w:tc>
        <w:tc>
          <w:tcPr>
            <w:tcW w:w="5144" w:type="dxa"/>
          </w:tcPr>
          <w:p w14:paraId="320ED8BD" w14:textId="1F260EAB" w:rsidR="00E90A9F" w:rsidRPr="00A21682" w:rsidRDefault="007452BA" w:rsidP="3A9676EC">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Lessons learned will be tracked in the ALM tool throughout the project life cycle to enable iterative development. New lessons learned can be logged in the ALM tool by any team member. ███████ will log the lessons learned in the ALM tool which will be available for ongoing review. The ███████ and DOS PMOs will review the logged lessons learned on a quarterly basis. </w:t>
            </w:r>
          </w:p>
        </w:tc>
        <w:tc>
          <w:tcPr>
            <w:tcW w:w="0" w:type="dxa"/>
          </w:tcPr>
          <w:p w14:paraId="7E9D8A92" w14:textId="77777777" w:rsidR="00E90A9F" w:rsidRPr="00635C9B"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SharePoint</w:t>
            </w:r>
          </w:p>
          <w:p w14:paraId="4DF6D6D3" w14:textId="77777777" w:rsidR="00E90A9F" w:rsidRDefault="00E90A9F" w:rsidP="000872B5">
            <w:pPr>
              <w:pStyle w:val="TABLEBULLETNEW"/>
              <w:cnfStyle w:val="000000000000" w:firstRow="0" w:lastRow="0" w:firstColumn="0" w:lastColumn="0" w:oddVBand="0" w:evenVBand="0" w:oddHBand="0" w:evenHBand="0" w:firstRowFirstColumn="0" w:firstRowLastColumn="0" w:lastRowFirstColumn="0" w:lastRowLastColumn="0"/>
            </w:pPr>
            <w:r>
              <w:t>Email</w:t>
            </w:r>
          </w:p>
          <w:p w14:paraId="7CDA00EA" w14:textId="6A7691B6" w:rsidR="00200CC6" w:rsidRPr="00635C9B" w:rsidRDefault="00200CC6" w:rsidP="000872B5">
            <w:pPr>
              <w:pStyle w:val="TABLEBULLETNEW"/>
              <w:cnfStyle w:val="000000000000" w:firstRow="0" w:lastRow="0" w:firstColumn="0" w:lastColumn="0" w:oddVBand="0" w:evenVBand="0" w:oddHBand="0" w:evenHBand="0" w:firstRowFirstColumn="0" w:firstRowLastColumn="0" w:lastRowFirstColumn="0" w:lastRowLastColumn="0"/>
            </w:pPr>
            <w:r>
              <w:t>The ALM tool</w:t>
            </w:r>
          </w:p>
        </w:tc>
      </w:tr>
    </w:tbl>
    <w:p w14:paraId="18210C05" w14:textId="72344E4A" w:rsidR="00E90A9F" w:rsidRPr="00A21682" w:rsidRDefault="00E90A9F" w:rsidP="00D818D3">
      <w:pPr>
        <w:pStyle w:val="Caption"/>
        <w:rPr>
          <w:noProof w:val="0"/>
        </w:rPr>
      </w:pPr>
      <w:bookmarkStart w:id="2561" w:name="_Toc144828279"/>
      <w:bookmarkStart w:id="2562" w:name="_Toc147240614"/>
      <w:bookmarkStart w:id="2563" w:name="_Toc152090633"/>
      <w:bookmarkStart w:id="2564" w:name="_Toc19287517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Project Management Communication Types</w:t>
      </w:r>
      <w:bookmarkEnd w:id="2561"/>
      <w:bookmarkEnd w:id="2562"/>
      <w:bookmarkEnd w:id="2563"/>
      <w:bookmarkEnd w:id="2564"/>
    </w:p>
    <w:p w14:paraId="46D6E565" w14:textId="7E00A5DC" w:rsidR="00E90A9F" w:rsidRPr="00A21682" w:rsidRDefault="00E90A9F" w:rsidP="00837EB1">
      <w:pPr>
        <w:pStyle w:val="NormalNEW"/>
        <w:rPr>
          <w:lang w:val="en-US"/>
        </w:rPr>
      </w:pPr>
      <w:r>
        <w:rPr>
          <w:lang w:val="en-US"/>
        </w:rPr>
        <w:t xml:space="preserve">Additional project communications regarding change management and stakeholder engagement are defined in the Integrated Change Control Process (refer to Section 10) and Stakeholder Engagement Plan (refer to Section 3). </w:t>
      </w:r>
    </w:p>
    <w:p w14:paraId="3D2B3BC4" w14:textId="77777777" w:rsidR="00E90A9F" w:rsidRPr="00A21682" w:rsidRDefault="00E90A9F">
      <w:pPr>
        <w:pStyle w:val="Heading3"/>
      </w:pPr>
      <w:bookmarkStart w:id="2565" w:name="_Toc177119136"/>
      <w:bookmarkStart w:id="2566" w:name="_Toc185952657"/>
      <w:bookmarkStart w:id="2567" w:name="_Toc192874825"/>
      <w:bookmarkStart w:id="2568" w:name="_Toc143612513"/>
      <w:bookmarkStart w:id="2569" w:name="_Toc144827625"/>
      <w:bookmarkStart w:id="2570" w:name="_Toc147240779"/>
      <w:bookmarkStart w:id="2571" w:name="_Toc149049788"/>
      <w:bookmarkStart w:id="2572" w:name="_Toc152089676"/>
      <w:bookmarkStart w:id="2573" w:name="_Toc152090565"/>
      <w:r>
        <w:t>Guiding Principles of Communications</w:t>
      </w:r>
      <w:bookmarkEnd w:id="2565"/>
      <w:bookmarkEnd w:id="2566"/>
      <w:bookmarkEnd w:id="2567"/>
      <w:r>
        <w:t xml:space="preserve"> </w:t>
      </w:r>
      <w:bookmarkEnd w:id="2568"/>
      <w:bookmarkEnd w:id="2569"/>
      <w:bookmarkEnd w:id="2570"/>
      <w:bookmarkEnd w:id="2571"/>
      <w:bookmarkEnd w:id="2572"/>
      <w:bookmarkEnd w:id="2573"/>
    </w:p>
    <w:p w14:paraId="3EA0B382" w14:textId="77777777" w:rsidR="00E90A9F" w:rsidRPr="00A21682" w:rsidRDefault="00E90A9F" w:rsidP="00837EB1">
      <w:pPr>
        <w:pStyle w:val="NormalNEW"/>
        <w:rPr>
          <w:lang w:val="en-US"/>
        </w:rPr>
      </w:pPr>
      <w:r>
        <w:rPr>
          <w:lang w:val="en-US"/>
        </w:rPr>
        <w:t>The communications approach is founded on several guiding principles. When consistently followed, they help a project team realize the most value from the efforts put into a communications effort. The table below outlines these guiding principles and the associated key activities or norms to achieve the results for successful communication.</w:t>
      </w:r>
    </w:p>
    <w:tbl>
      <w:tblPr>
        <w:tblStyle w:val="TableGrid-None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2700"/>
        <w:gridCol w:w="6662"/>
      </w:tblGrid>
      <w:tr w:rsidR="00E90A9F" w:rsidRPr="00A21682" w14:paraId="10460AD7" w14:textId="77777777" w:rsidTr="000B5709">
        <w:trPr>
          <w:trHeight w:val="20"/>
          <w:tblHeader/>
        </w:trPr>
        <w:tc>
          <w:tcPr>
            <w:tcW w:w="2700" w:type="dxa"/>
            <w:tcBorders>
              <w:right w:val="single" w:sz="2" w:space="0" w:color="FFFFFF" w:themeColor="background1"/>
            </w:tcBorders>
            <w:shd w:val="clear" w:color="auto" w:fill="000000" w:themeFill="text1"/>
          </w:tcPr>
          <w:p w14:paraId="36134BE2" w14:textId="77777777" w:rsidR="00E90A9F" w:rsidRPr="00A21682" w:rsidRDefault="00E90A9F" w:rsidP="00047C4E">
            <w:pPr>
              <w:pStyle w:val="TABLEHEADINGNEW"/>
              <w:rPr>
                <w:rFonts w:eastAsia="Verdana"/>
                <w:lang w:val="en-US" w:eastAsia="ja-JP"/>
              </w:rPr>
            </w:pPr>
            <w:r>
              <w:rPr>
                <w:rFonts w:eastAsia="Verdana"/>
                <w:lang w:val="en-US" w:eastAsia="ja-JP"/>
              </w:rPr>
              <w:t>Guiding Principle</w:t>
            </w:r>
          </w:p>
        </w:tc>
        <w:tc>
          <w:tcPr>
            <w:tcW w:w="6662" w:type="dxa"/>
            <w:tcBorders>
              <w:left w:val="single" w:sz="2" w:space="0" w:color="FFFFFF" w:themeColor="background1"/>
            </w:tcBorders>
            <w:shd w:val="clear" w:color="auto" w:fill="000000" w:themeFill="text1"/>
          </w:tcPr>
          <w:p w14:paraId="1D52E5C9" w14:textId="77777777" w:rsidR="00E90A9F" w:rsidRPr="00A21682" w:rsidRDefault="00E90A9F" w:rsidP="00047C4E">
            <w:pPr>
              <w:pStyle w:val="TABLEHEADINGNEW"/>
              <w:rPr>
                <w:rFonts w:eastAsia="Verdana"/>
                <w:lang w:val="en-US" w:eastAsia="ja-JP"/>
              </w:rPr>
            </w:pPr>
            <w:r>
              <w:rPr>
                <w:rFonts w:eastAsia="Verdana"/>
                <w:lang w:val="en-US" w:eastAsia="ja-JP"/>
              </w:rPr>
              <w:t>Key Activities or Norms</w:t>
            </w:r>
          </w:p>
        </w:tc>
      </w:tr>
      <w:tr w:rsidR="00E90A9F" w:rsidRPr="00A21682" w14:paraId="732A38F3" w14:textId="77777777" w:rsidTr="00047C4E">
        <w:trPr>
          <w:trHeight w:val="20"/>
        </w:trPr>
        <w:tc>
          <w:tcPr>
            <w:tcW w:w="2700" w:type="dxa"/>
          </w:tcPr>
          <w:p w14:paraId="6A1AA422" w14:textId="052AC9A9" w:rsidR="00E90A9F" w:rsidRPr="00A21682" w:rsidRDefault="00E90A9F" w:rsidP="00047C4E">
            <w:pPr>
              <w:pStyle w:val="TABLETEXT1"/>
              <w:rPr>
                <w:lang w:val="en-US"/>
              </w:rPr>
            </w:pPr>
            <w:r>
              <w:rPr>
                <w:lang w:val="en-US"/>
              </w:rPr>
              <w:t>Use Existing Communication Channels</w:t>
            </w:r>
          </w:p>
        </w:tc>
        <w:tc>
          <w:tcPr>
            <w:tcW w:w="6662" w:type="dxa"/>
          </w:tcPr>
          <w:p w14:paraId="1B1797E0" w14:textId="77777777" w:rsidR="00E90A9F" w:rsidRPr="00A21682" w:rsidRDefault="00E90A9F" w:rsidP="00047C4E">
            <w:pPr>
              <w:pStyle w:val="TABLETEXT1"/>
              <w:rPr>
                <w:lang w:val="en-US"/>
              </w:rPr>
            </w:pPr>
            <w:r>
              <w:rPr>
                <w:lang w:val="en-US"/>
              </w:rPr>
              <w:t>Communicate using existing channels, especially those that are known to be effective. Where possible, use meetings already set aside on people’s calendars to show respect for everyone’s time.</w:t>
            </w:r>
          </w:p>
        </w:tc>
      </w:tr>
      <w:tr w:rsidR="00E90A9F" w:rsidRPr="00A21682" w14:paraId="486FFEA8" w14:textId="77777777" w:rsidTr="00047C4E">
        <w:trPr>
          <w:trHeight w:val="20"/>
        </w:trPr>
        <w:tc>
          <w:tcPr>
            <w:tcW w:w="2700" w:type="dxa"/>
          </w:tcPr>
          <w:p w14:paraId="35D7B48B" w14:textId="77777777" w:rsidR="00E90A9F" w:rsidRPr="00A21682" w:rsidRDefault="00E90A9F" w:rsidP="00047C4E">
            <w:pPr>
              <w:pStyle w:val="TABLETEXT1"/>
              <w:rPr>
                <w:lang w:val="en-US"/>
              </w:rPr>
            </w:pPr>
            <w:r>
              <w:rPr>
                <w:lang w:val="en-US"/>
              </w:rPr>
              <w:t xml:space="preserve">Push vs. Pull Channels </w:t>
            </w:r>
          </w:p>
        </w:tc>
        <w:tc>
          <w:tcPr>
            <w:tcW w:w="6662" w:type="dxa"/>
          </w:tcPr>
          <w:p w14:paraId="2F36127C" w14:textId="51D4D9AB" w:rsidR="00E90A9F" w:rsidRPr="00A21682" w:rsidRDefault="00E90A9F" w:rsidP="00047C4E">
            <w:pPr>
              <w:pStyle w:val="TABLETEXT1"/>
              <w:rPr>
                <w:lang w:val="en-US"/>
              </w:rPr>
            </w:pPr>
            <w:r>
              <w:rPr>
                <w:lang w:val="en-US"/>
              </w:rPr>
              <w:t>Communication through push channels will be used for meeting invites, agendas, meeting minutes, etc. Pull channels will be used for documentation requiring feedback and access to a larger audience (e.g., SharePoint).</w:t>
            </w:r>
          </w:p>
        </w:tc>
      </w:tr>
      <w:tr w:rsidR="00E90A9F" w:rsidRPr="00A21682" w14:paraId="7FDB8FA5" w14:textId="77777777" w:rsidTr="00047C4E">
        <w:trPr>
          <w:trHeight w:val="20"/>
        </w:trPr>
        <w:tc>
          <w:tcPr>
            <w:tcW w:w="2700" w:type="dxa"/>
          </w:tcPr>
          <w:p w14:paraId="0B89442F" w14:textId="274C1652" w:rsidR="00E90A9F" w:rsidRPr="00A21682" w:rsidRDefault="00E90A9F" w:rsidP="00047C4E">
            <w:pPr>
              <w:pStyle w:val="TABLETEXT1"/>
              <w:rPr>
                <w:lang w:val="en-US"/>
              </w:rPr>
            </w:pPr>
            <w:r>
              <w:rPr>
                <w:lang w:val="en-US"/>
              </w:rPr>
              <w:t>Use Multiple Communication Channels</w:t>
            </w:r>
          </w:p>
        </w:tc>
        <w:tc>
          <w:tcPr>
            <w:tcW w:w="6662" w:type="dxa"/>
          </w:tcPr>
          <w:p w14:paraId="2C0967B0" w14:textId="79788B55" w:rsidR="00E90A9F" w:rsidRPr="00A21682" w:rsidRDefault="00E90A9F" w:rsidP="00047C4E">
            <w:pPr>
              <w:pStyle w:val="TABLETEXT1"/>
              <w:rPr>
                <w:lang w:val="en-US"/>
              </w:rPr>
            </w:pPr>
            <w:r>
              <w:rPr>
                <w:lang w:val="en-US"/>
              </w:rPr>
              <w:t xml:space="preserve">Provide stakeholders with multiple ways to receive information, ask questions, and get answers. Individuals vary in the way they like to receive and digest information. Project Management Communication Types (refer to Section 4.3.2) is used to determine how to use existing methods of communication. </w:t>
            </w:r>
          </w:p>
        </w:tc>
      </w:tr>
      <w:tr w:rsidR="00E90A9F" w:rsidRPr="00A21682" w14:paraId="7027924E" w14:textId="77777777" w:rsidTr="00047C4E">
        <w:trPr>
          <w:trHeight w:val="20"/>
        </w:trPr>
        <w:tc>
          <w:tcPr>
            <w:tcW w:w="2700" w:type="dxa"/>
          </w:tcPr>
          <w:p w14:paraId="25229C70" w14:textId="2DDF1C82" w:rsidR="00E90A9F" w:rsidRPr="00A21682" w:rsidRDefault="00E90A9F" w:rsidP="00047C4E">
            <w:pPr>
              <w:pStyle w:val="TABLETEXT1"/>
              <w:rPr>
                <w:lang w:val="en-US"/>
              </w:rPr>
            </w:pPr>
            <w:r>
              <w:rPr>
                <w:lang w:val="en-US"/>
              </w:rPr>
              <w:lastRenderedPageBreak/>
              <w:t>Communicate in a Steady Cadence</w:t>
            </w:r>
          </w:p>
        </w:tc>
        <w:tc>
          <w:tcPr>
            <w:tcW w:w="6662" w:type="dxa"/>
          </w:tcPr>
          <w:p w14:paraId="3BD832F4" w14:textId="5AF1DF5C" w:rsidR="00E90A9F" w:rsidRPr="00A21682" w:rsidRDefault="00E90A9F" w:rsidP="00047C4E">
            <w:pPr>
              <w:pStyle w:val="TABLETEXT1"/>
              <w:rPr>
                <w:lang w:val="en-US"/>
              </w:rPr>
            </w:pPr>
            <w:r>
              <w:rPr>
                <w:lang w:val="en-US"/>
              </w:rPr>
              <w:t>Communication will be employed using the “tell them three times” method. This is demonstrated by telling people once, telling them again, and then telling them repeatedly thereafter. Build expectations so that key events are well-anticipated by leaders and staff.</w:t>
            </w:r>
          </w:p>
        </w:tc>
      </w:tr>
      <w:tr w:rsidR="00E90A9F" w:rsidRPr="00A21682" w14:paraId="38B203FE" w14:textId="77777777" w:rsidTr="00047C4E">
        <w:trPr>
          <w:trHeight w:val="20"/>
        </w:trPr>
        <w:tc>
          <w:tcPr>
            <w:tcW w:w="2700" w:type="dxa"/>
          </w:tcPr>
          <w:p w14:paraId="3924A81B" w14:textId="436ACED5" w:rsidR="00E90A9F" w:rsidRPr="00A21682" w:rsidRDefault="00E90A9F" w:rsidP="00047C4E">
            <w:pPr>
              <w:pStyle w:val="TABLETEXT1"/>
              <w:rPr>
                <w:lang w:val="en-US"/>
              </w:rPr>
            </w:pPr>
            <w:r>
              <w:rPr>
                <w:lang w:val="en-US"/>
              </w:rPr>
              <w:t>Set and Manage Expectations</w:t>
            </w:r>
          </w:p>
        </w:tc>
        <w:tc>
          <w:tcPr>
            <w:tcW w:w="6662" w:type="dxa"/>
          </w:tcPr>
          <w:p w14:paraId="4E51F1B1" w14:textId="77777777" w:rsidR="00E90A9F" w:rsidRPr="00A21682" w:rsidRDefault="00E90A9F" w:rsidP="00047C4E">
            <w:pPr>
              <w:pStyle w:val="TABLETEXT1"/>
              <w:rPr>
                <w:lang w:val="en-US"/>
              </w:rPr>
            </w:pPr>
            <w:r>
              <w:rPr>
                <w:lang w:val="en-US"/>
              </w:rPr>
              <w:t xml:space="preserve">Provide clear context for your communications indicating what information you are providing or asking for and why. Indicate any planned follow-up steps with associated timelines. </w:t>
            </w:r>
          </w:p>
        </w:tc>
      </w:tr>
      <w:tr w:rsidR="00E90A9F" w:rsidRPr="00A21682" w14:paraId="05828B27" w14:textId="77777777" w:rsidTr="00047C4E">
        <w:trPr>
          <w:trHeight w:val="20"/>
        </w:trPr>
        <w:tc>
          <w:tcPr>
            <w:tcW w:w="2700" w:type="dxa"/>
          </w:tcPr>
          <w:p w14:paraId="2050084F" w14:textId="68FD8BBA" w:rsidR="00E90A9F" w:rsidRPr="00A21682" w:rsidRDefault="00E90A9F" w:rsidP="00047C4E">
            <w:pPr>
              <w:pStyle w:val="TABLETEXT1"/>
              <w:rPr>
                <w:lang w:val="en-US"/>
              </w:rPr>
            </w:pPr>
            <w:r>
              <w:rPr>
                <w:lang w:val="en-US"/>
              </w:rPr>
              <w:t>Keep It Simple</w:t>
            </w:r>
          </w:p>
        </w:tc>
        <w:tc>
          <w:tcPr>
            <w:tcW w:w="6662" w:type="dxa"/>
          </w:tcPr>
          <w:p w14:paraId="395B7ACB" w14:textId="77777777" w:rsidR="00E90A9F" w:rsidRPr="00A21682" w:rsidRDefault="00E90A9F" w:rsidP="00047C4E">
            <w:pPr>
              <w:pStyle w:val="TABLETEXT1"/>
              <w:rPr>
                <w:lang w:val="en-US"/>
              </w:rPr>
            </w:pPr>
            <w:r>
              <w:rPr>
                <w:lang w:val="en-US"/>
              </w:rPr>
              <w:t xml:space="preserve">Use simple and straightforward language to convey each message. Remove any unnecessary information to keep the communications focused and concise. </w:t>
            </w:r>
          </w:p>
        </w:tc>
      </w:tr>
      <w:tr w:rsidR="00E90A9F" w:rsidRPr="00A21682" w14:paraId="4D4D5FF2" w14:textId="77777777" w:rsidTr="00047C4E">
        <w:trPr>
          <w:trHeight w:val="20"/>
        </w:trPr>
        <w:tc>
          <w:tcPr>
            <w:tcW w:w="2700" w:type="dxa"/>
          </w:tcPr>
          <w:p w14:paraId="7C20FCA1" w14:textId="333698C8" w:rsidR="00E90A9F" w:rsidRPr="00A21682" w:rsidRDefault="00E90A9F" w:rsidP="00047C4E">
            <w:pPr>
              <w:pStyle w:val="TABLETEXT1"/>
              <w:rPr>
                <w:lang w:val="en-US"/>
              </w:rPr>
            </w:pPr>
            <w:r>
              <w:rPr>
                <w:lang w:val="en-US"/>
              </w:rPr>
              <w:t>Leaders First</w:t>
            </w:r>
          </w:p>
        </w:tc>
        <w:tc>
          <w:tcPr>
            <w:tcW w:w="6662" w:type="dxa"/>
          </w:tcPr>
          <w:p w14:paraId="1888A5CD" w14:textId="77777777" w:rsidR="00E90A9F" w:rsidRPr="00A21682" w:rsidRDefault="00E90A9F" w:rsidP="00047C4E">
            <w:pPr>
              <w:pStyle w:val="TABLETEXT1"/>
              <w:rPr>
                <w:lang w:val="en-US"/>
              </w:rPr>
            </w:pPr>
            <w:r>
              <w:rPr>
                <w:lang w:val="en-US"/>
              </w:rPr>
              <w:t>Equip leadership with information and tools to enable them to be successful in their role as change advocates for their respective teams.</w:t>
            </w:r>
          </w:p>
        </w:tc>
      </w:tr>
      <w:tr w:rsidR="00E90A9F" w:rsidRPr="00A21682" w14:paraId="4D836C75" w14:textId="77777777" w:rsidTr="00047C4E">
        <w:trPr>
          <w:cantSplit/>
          <w:trHeight w:val="20"/>
        </w:trPr>
        <w:tc>
          <w:tcPr>
            <w:tcW w:w="2700" w:type="dxa"/>
          </w:tcPr>
          <w:p w14:paraId="2C66A2C7" w14:textId="7C947F27" w:rsidR="00E90A9F" w:rsidRPr="00A21682" w:rsidRDefault="00E90A9F" w:rsidP="00047C4E">
            <w:pPr>
              <w:pStyle w:val="TABLETEXT1"/>
              <w:rPr>
                <w:lang w:val="en-US"/>
              </w:rPr>
            </w:pPr>
            <w:r>
              <w:rPr>
                <w:lang w:val="en-US"/>
              </w:rPr>
              <w:t>Know the Target Audience</w:t>
            </w:r>
          </w:p>
        </w:tc>
        <w:tc>
          <w:tcPr>
            <w:tcW w:w="6662" w:type="dxa"/>
          </w:tcPr>
          <w:p w14:paraId="787F7A4A" w14:textId="77777777" w:rsidR="00E90A9F" w:rsidRPr="00A21682" w:rsidRDefault="00E90A9F" w:rsidP="00047C4E">
            <w:pPr>
              <w:pStyle w:val="TABLETEXT1"/>
              <w:rPr>
                <w:lang w:val="en-US"/>
              </w:rPr>
            </w:pPr>
            <w:r>
              <w:rPr>
                <w:lang w:val="en-US"/>
              </w:rPr>
              <w:t xml:space="preserve">Deliver communications from leaders that “speak the language” of and are targeted to specific stakeholder groups. Key messages must be customized for their intended stakeholder, and for levels within the group. </w:t>
            </w:r>
          </w:p>
        </w:tc>
      </w:tr>
      <w:tr w:rsidR="00E90A9F" w:rsidRPr="00A21682" w14:paraId="3D639228" w14:textId="77777777" w:rsidTr="00047C4E">
        <w:trPr>
          <w:trHeight w:val="20"/>
        </w:trPr>
        <w:tc>
          <w:tcPr>
            <w:tcW w:w="2700" w:type="dxa"/>
          </w:tcPr>
          <w:p w14:paraId="45E49CD8" w14:textId="1C2DBE20" w:rsidR="00E90A9F" w:rsidRPr="00A21682" w:rsidRDefault="00E90A9F" w:rsidP="00047C4E">
            <w:pPr>
              <w:pStyle w:val="TABLETEXT1"/>
              <w:rPr>
                <w:lang w:val="en-US"/>
              </w:rPr>
            </w:pPr>
            <w:r>
              <w:rPr>
                <w:lang w:val="en-US"/>
              </w:rPr>
              <w:t xml:space="preserve">Keep the Message Consistent </w:t>
            </w:r>
          </w:p>
        </w:tc>
        <w:tc>
          <w:tcPr>
            <w:tcW w:w="6662" w:type="dxa"/>
          </w:tcPr>
          <w:p w14:paraId="6E61EA39" w14:textId="77777777" w:rsidR="00E90A9F" w:rsidRPr="00A21682" w:rsidRDefault="00E90A9F" w:rsidP="00047C4E">
            <w:pPr>
              <w:pStyle w:val="TABLETEXT1"/>
              <w:rPr>
                <w:lang w:val="en-US"/>
              </w:rPr>
            </w:pPr>
            <w:r>
              <w:rPr>
                <w:lang w:val="en-US"/>
              </w:rPr>
              <w:t xml:space="preserve">Use consistent templates, logos, words, and actions in messages that are associated with the project. </w:t>
            </w:r>
          </w:p>
        </w:tc>
      </w:tr>
      <w:tr w:rsidR="00E90A9F" w:rsidRPr="00A21682" w14:paraId="34645C3C" w14:textId="77777777" w:rsidTr="00047C4E">
        <w:trPr>
          <w:trHeight w:val="20"/>
        </w:trPr>
        <w:tc>
          <w:tcPr>
            <w:tcW w:w="2700" w:type="dxa"/>
          </w:tcPr>
          <w:p w14:paraId="2FEACF57" w14:textId="7581A968" w:rsidR="00E90A9F" w:rsidRPr="00A21682" w:rsidRDefault="00E90A9F" w:rsidP="00047C4E">
            <w:pPr>
              <w:pStyle w:val="TABLETEXT1"/>
              <w:rPr>
                <w:lang w:val="en-US"/>
              </w:rPr>
            </w:pPr>
            <w:r>
              <w:rPr>
                <w:lang w:val="en-US"/>
              </w:rPr>
              <w:t>Align Communications with Key Milestones</w:t>
            </w:r>
          </w:p>
        </w:tc>
        <w:tc>
          <w:tcPr>
            <w:tcW w:w="6662" w:type="dxa"/>
          </w:tcPr>
          <w:p w14:paraId="5E210908" w14:textId="77777777" w:rsidR="00E90A9F" w:rsidRPr="00A21682" w:rsidRDefault="00E90A9F" w:rsidP="00047C4E">
            <w:pPr>
              <w:pStyle w:val="TABLETEXT1"/>
              <w:rPr>
                <w:lang w:val="en-US"/>
              </w:rPr>
            </w:pPr>
            <w:r>
              <w:rPr>
                <w:lang w:val="en-US"/>
              </w:rPr>
              <w:t xml:space="preserve">Forecast communication needs to be based on key project timelines. Deliver messaging at the right time with a clear and accurate message. </w:t>
            </w:r>
          </w:p>
        </w:tc>
      </w:tr>
    </w:tbl>
    <w:p w14:paraId="09334BF5" w14:textId="1F55F4FE" w:rsidR="00E90A9F" w:rsidRPr="00A21682" w:rsidRDefault="00E90A9F" w:rsidP="00D818D3">
      <w:pPr>
        <w:pStyle w:val="Caption"/>
        <w:rPr>
          <w:noProof w:val="0"/>
        </w:rPr>
      </w:pPr>
      <w:bookmarkStart w:id="2574" w:name="_Toc144828280"/>
      <w:bookmarkStart w:id="2575" w:name="_Toc147240615"/>
      <w:bookmarkStart w:id="2576" w:name="_Toc152090634"/>
      <w:bookmarkStart w:id="2577" w:name="_Toc19287517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3</w:t>
      </w:r>
      <w:r>
        <w:rPr>
          <w:noProof w:val="0"/>
        </w:rPr>
        <w:fldChar w:fldCharType="end"/>
      </w:r>
      <w:r>
        <w:rPr>
          <w:noProof w:val="0"/>
        </w:rPr>
        <w:t xml:space="preserve">: Communication Approach Guiding </w:t>
      </w:r>
      <w:bookmarkEnd w:id="2574"/>
      <w:bookmarkEnd w:id="2575"/>
      <w:r>
        <w:rPr>
          <w:noProof w:val="0"/>
        </w:rPr>
        <w:t>Norms</w:t>
      </w:r>
      <w:bookmarkEnd w:id="2576"/>
      <w:bookmarkEnd w:id="2577"/>
    </w:p>
    <w:p w14:paraId="0FF5A789" w14:textId="77777777" w:rsidR="00E90A9F" w:rsidRPr="00A21682" w:rsidRDefault="00E90A9F">
      <w:pPr>
        <w:pStyle w:val="Heading3"/>
      </w:pPr>
      <w:bookmarkStart w:id="2578" w:name="_Toc143612514"/>
      <w:bookmarkStart w:id="2579" w:name="_Toc144827626"/>
      <w:bookmarkStart w:id="2580" w:name="_Toc147240780"/>
      <w:bookmarkStart w:id="2581" w:name="_Toc149049789"/>
      <w:bookmarkStart w:id="2582" w:name="_Toc152089677"/>
      <w:bookmarkStart w:id="2583" w:name="_Toc152090566"/>
      <w:bookmarkStart w:id="2584" w:name="_Toc177119137"/>
      <w:bookmarkStart w:id="2585" w:name="_Toc185952658"/>
      <w:bookmarkStart w:id="2586" w:name="_Toc192874826"/>
      <w:r>
        <w:t>Virtual Meeting Communication Guide</w:t>
      </w:r>
      <w:bookmarkEnd w:id="2578"/>
      <w:bookmarkEnd w:id="2579"/>
      <w:bookmarkEnd w:id="2580"/>
      <w:bookmarkEnd w:id="2581"/>
      <w:bookmarkEnd w:id="2582"/>
      <w:bookmarkEnd w:id="2583"/>
      <w:bookmarkEnd w:id="2584"/>
      <w:bookmarkEnd w:id="2585"/>
      <w:bookmarkEnd w:id="2586"/>
    </w:p>
    <w:p w14:paraId="5E28E8B7" w14:textId="77777777" w:rsidR="00E90A9F" w:rsidRPr="00A21682" w:rsidRDefault="00E90A9F" w:rsidP="00837EB1">
      <w:pPr>
        <w:pStyle w:val="NormalNEW"/>
        <w:rPr>
          <w:lang w:val="en-US"/>
        </w:rPr>
      </w:pPr>
      <w:r>
        <w:rPr>
          <w:lang w:val="en-US"/>
        </w:rPr>
        <w:t>Meetings are conducted remotely and in person. The following table outlines the guiding principles for remote meeting facilitation.</w:t>
      </w:r>
    </w:p>
    <w:tbl>
      <w:tblPr>
        <w:tblStyle w:val="TableGrid-None7"/>
        <w:tblW w:w="93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2600"/>
        <w:gridCol w:w="6762"/>
      </w:tblGrid>
      <w:tr w:rsidR="00E90A9F" w:rsidRPr="00A21682" w14:paraId="479E4986" w14:textId="77777777" w:rsidTr="000B5709">
        <w:trPr>
          <w:trHeight w:val="403"/>
          <w:tblHeader/>
        </w:trPr>
        <w:tc>
          <w:tcPr>
            <w:tcW w:w="2600" w:type="dxa"/>
            <w:tcBorders>
              <w:right w:val="single" w:sz="2" w:space="0" w:color="FFFFFF" w:themeColor="background1"/>
            </w:tcBorders>
            <w:shd w:val="clear" w:color="auto" w:fill="000000" w:themeFill="text1"/>
          </w:tcPr>
          <w:p w14:paraId="6274AC4A" w14:textId="77777777" w:rsidR="00E90A9F" w:rsidRPr="00A21682" w:rsidRDefault="00E90A9F" w:rsidP="00837EB1">
            <w:pPr>
              <w:pStyle w:val="TABLEHEADINGNEW"/>
              <w:rPr>
                <w:rFonts w:eastAsia="Verdana"/>
                <w:lang w:val="en-US" w:eastAsia="ja-JP"/>
              </w:rPr>
            </w:pPr>
            <w:r>
              <w:rPr>
                <w:rFonts w:eastAsia="Verdana"/>
                <w:lang w:val="en-US" w:eastAsia="ja-JP"/>
              </w:rPr>
              <w:t>Guiding Principle</w:t>
            </w:r>
          </w:p>
        </w:tc>
        <w:tc>
          <w:tcPr>
            <w:tcW w:w="6762" w:type="dxa"/>
            <w:tcBorders>
              <w:left w:val="single" w:sz="2" w:space="0" w:color="FFFFFF" w:themeColor="background1"/>
            </w:tcBorders>
            <w:shd w:val="clear" w:color="auto" w:fill="000000" w:themeFill="text1"/>
          </w:tcPr>
          <w:p w14:paraId="31027DBB" w14:textId="77777777" w:rsidR="00E90A9F" w:rsidRPr="00A21682" w:rsidRDefault="00E90A9F" w:rsidP="00837EB1">
            <w:pPr>
              <w:pStyle w:val="TABLEHEADINGNEW"/>
              <w:rPr>
                <w:rFonts w:eastAsia="Verdana"/>
                <w:lang w:val="en-US" w:eastAsia="ja-JP"/>
              </w:rPr>
            </w:pPr>
            <w:r>
              <w:rPr>
                <w:rFonts w:eastAsia="Verdana"/>
                <w:lang w:val="en-US" w:eastAsia="ja-JP"/>
              </w:rPr>
              <w:t>Key Activities or Norms</w:t>
            </w:r>
          </w:p>
        </w:tc>
      </w:tr>
      <w:tr w:rsidR="00E90A9F" w:rsidRPr="00A21682" w14:paraId="494C797F" w14:textId="77777777" w:rsidTr="00837EB1">
        <w:tc>
          <w:tcPr>
            <w:tcW w:w="2600" w:type="dxa"/>
          </w:tcPr>
          <w:p w14:paraId="1E776450" w14:textId="77777777" w:rsidR="00E90A9F" w:rsidRPr="00A21682" w:rsidRDefault="00E90A9F" w:rsidP="00837EB1">
            <w:pPr>
              <w:pStyle w:val="TABLETEXT1"/>
              <w:rPr>
                <w:lang w:val="en-US"/>
              </w:rPr>
            </w:pPr>
            <w:r>
              <w:rPr>
                <w:lang w:val="en-US"/>
              </w:rPr>
              <w:t>Define Technology</w:t>
            </w:r>
          </w:p>
        </w:tc>
        <w:tc>
          <w:tcPr>
            <w:tcW w:w="6762" w:type="dxa"/>
          </w:tcPr>
          <w:p w14:paraId="6550013D" w14:textId="77777777" w:rsidR="00E90A9F" w:rsidRPr="00A21682" w:rsidRDefault="00E90A9F" w:rsidP="00837EB1">
            <w:pPr>
              <w:pStyle w:val="TABLETEXT1"/>
              <w:rPr>
                <w:lang w:val="en-US"/>
              </w:rPr>
            </w:pPr>
            <w:r>
              <w:rPr>
                <w:lang w:val="en-US"/>
              </w:rPr>
              <w:t xml:space="preserve">███████ uses WebEx to host DOH OHIP meetings. All meetings include a WebEx connection with shared video and audio capability and are accessible via PC or by phone. </w:t>
            </w:r>
          </w:p>
        </w:tc>
      </w:tr>
      <w:tr w:rsidR="00E90A9F" w:rsidRPr="00A21682" w14:paraId="2B168521" w14:textId="77777777" w:rsidTr="00837EB1">
        <w:tc>
          <w:tcPr>
            <w:tcW w:w="2600" w:type="dxa"/>
          </w:tcPr>
          <w:p w14:paraId="15DDCC0A" w14:textId="77777777" w:rsidR="00E90A9F" w:rsidRPr="00A21682" w:rsidRDefault="00E90A9F" w:rsidP="00837EB1">
            <w:pPr>
              <w:pStyle w:val="TABLETEXT1"/>
              <w:rPr>
                <w:lang w:val="en-US"/>
              </w:rPr>
            </w:pPr>
            <w:r>
              <w:rPr>
                <w:lang w:val="en-US"/>
              </w:rPr>
              <w:t>Define Purpose</w:t>
            </w:r>
          </w:p>
        </w:tc>
        <w:tc>
          <w:tcPr>
            <w:tcW w:w="6762" w:type="dxa"/>
          </w:tcPr>
          <w:p w14:paraId="78E9595F" w14:textId="69DAC12A" w:rsidR="00E90A9F" w:rsidRPr="00A21682" w:rsidRDefault="00E90A9F" w:rsidP="00837EB1">
            <w:pPr>
              <w:pStyle w:val="TABLETEXT1"/>
              <w:rPr>
                <w:lang w:val="en-US"/>
              </w:rPr>
            </w:pPr>
            <w:r>
              <w:rPr>
                <w:lang w:val="en-US"/>
              </w:rPr>
              <w:t>The purpose and agenda for any meeting is provided in advance where possible to confirm that the appropriate participants are included and allow for any preparation.</w:t>
            </w:r>
          </w:p>
        </w:tc>
      </w:tr>
      <w:tr w:rsidR="00E90A9F" w:rsidRPr="00A21682" w14:paraId="417BD400" w14:textId="77777777" w:rsidTr="00837EB1">
        <w:tc>
          <w:tcPr>
            <w:tcW w:w="2600" w:type="dxa"/>
          </w:tcPr>
          <w:p w14:paraId="19FE00F5" w14:textId="77777777" w:rsidR="00E90A9F" w:rsidRPr="00A21682" w:rsidRDefault="00E90A9F" w:rsidP="00837EB1">
            <w:pPr>
              <w:pStyle w:val="TABLETEXT1"/>
              <w:rPr>
                <w:lang w:val="en-US"/>
              </w:rPr>
            </w:pPr>
            <w:r>
              <w:rPr>
                <w:lang w:val="en-US"/>
              </w:rPr>
              <w:t>Limit Background Noise</w:t>
            </w:r>
          </w:p>
        </w:tc>
        <w:tc>
          <w:tcPr>
            <w:tcW w:w="6762" w:type="dxa"/>
          </w:tcPr>
          <w:p w14:paraId="407772CC" w14:textId="77777777" w:rsidR="00E90A9F" w:rsidRPr="00A21682" w:rsidRDefault="00E90A9F" w:rsidP="00837EB1">
            <w:pPr>
              <w:pStyle w:val="TABLETEXT1"/>
              <w:rPr>
                <w:lang w:val="en-US"/>
              </w:rPr>
            </w:pPr>
            <w:r>
              <w:rPr>
                <w:lang w:val="en-US"/>
              </w:rPr>
              <w:t>Attendees mute their line when not in use to prevent background noise.</w:t>
            </w:r>
          </w:p>
        </w:tc>
      </w:tr>
      <w:tr w:rsidR="00E90A9F" w:rsidRPr="00A21682" w14:paraId="42471C13" w14:textId="77777777" w:rsidTr="00837EB1">
        <w:tc>
          <w:tcPr>
            <w:tcW w:w="2600" w:type="dxa"/>
          </w:tcPr>
          <w:p w14:paraId="4680E050" w14:textId="77777777" w:rsidR="00E90A9F" w:rsidRPr="00A21682" w:rsidRDefault="00E90A9F" w:rsidP="00837EB1">
            <w:pPr>
              <w:pStyle w:val="TABLETEXT1"/>
              <w:rPr>
                <w:lang w:val="en-US"/>
              </w:rPr>
            </w:pPr>
            <w:r>
              <w:rPr>
                <w:lang w:val="en-US"/>
              </w:rPr>
              <w:t>Encourage Video Sharing</w:t>
            </w:r>
          </w:p>
        </w:tc>
        <w:tc>
          <w:tcPr>
            <w:tcW w:w="6762" w:type="dxa"/>
          </w:tcPr>
          <w:p w14:paraId="592A2E82" w14:textId="77777777" w:rsidR="00E90A9F" w:rsidRPr="00A21682" w:rsidRDefault="00E90A9F" w:rsidP="00837EB1">
            <w:pPr>
              <w:pStyle w:val="TABLETEXT1"/>
              <w:rPr>
                <w:lang w:val="en-US"/>
              </w:rPr>
            </w:pPr>
            <w:r>
              <w:rPr>
                <w:lang w:val="en-US"/>
              </w:rPr>
              <w:t>Attendees are encouraged to show their video when able as long as there is no bandwidth limitation or technical issue.</w:t>
            </w:r>
          </w:p>
        </w:tc>
      </w:tr>
      <w:tr w:rsidR="00E90A9F" w:rsidRPr="00A21682" w14:paraId="79E3D8F5" w14:textId="77777777" w:rsidTr="00837EB1">
        <w:tc>
          <w:tcPr>
            <w:tcW w:w="2600" w:type="dxa"/>
          </w:tcPr>
          <w:p w14:paraId="3D0CDF7E" w14:textId="77777777" w:rsidR="00E90A9F" w:rsidRPr="00A21682" w:rsidRDefault="00E90A9F" w:rsidP="00837EB1">
            <w:pPr>
              <w:pStyle w:val="TABLETEXT1"/>
              <w:rPr>
                <w:lang w:val="en-US"/>
              </w:rPr>
            </w:pPr>
            <w:r>
              <w:rPr>
                <w:lang w:val="en-US"/>
              </w:rPr>
              <w:t>Clarify Rules</w:t>
            </w:r>
          </w:p>
        </w:tc>
        <w:tc>
          <w:tcPr>
            <w:tcW w:w="6762" w:type="dxa"/>
          </w:tcPr>
          <w:p w14:paraId="31E6AF67" w14:textId="77777777" w:rsidR="00E90A9F" w:rsidRPr="00A21682" w:rsidRDefault="00E90A9F" w:rsidP="00837EB1">
            <w:pPr>
              <w:pStyle w:val="TABLETEXT1"/>
              <w:rPr>
                <w:lang w:val="en-US"/>
              </w:rPr>
            </w:pPr>
            <w:r>
              <w:rPr>
                <w:lang w:val="en-US"/>
              </w:rPr>
              <w:t xml:space="preserve">The meeting facilitator introduces attendees and stakeholders at the beginning of the meeting and establishes guidelines for attending virtually (e.g., muting/unmuting lines, asking questions). Status of action items happens at the beginning and a review of action items and owners at the end of every meeting. </w:t>
            </w:r>
          </w:p>
        </w:tc>
      </w:tr>
    </w:tbl>
    <w:p w14:paraId="35072757" w14:textId="6B9D21EA" w:rsidR="00E90A9F" w:rsidRPr="00A21682" w:rsidRDefault="00E90A9F" w:rsidP="00D818D3">
      <w:pPr>
        <w:pStyle w:val="Caption"/>
        <w:rPr>
          <w:noProof w:val="0"/>
        </w:rPr>
      </w:pPr>
      <w:bookmarkStart w:id="2587" w:name="_Toc144828281"/>
      <w:bookmarkStart w:id="2588" w:name="_Toc147240616"/>
      <w:bookmarkStart w:id="2589" w:name="_Toc152090635"/>
      <w:bookmarkStart w:id="2590" w:name="_Toc192875173"/>
      <w:bookmarkStart w:id="2591" w:name="_Toc143608356"/>
      <w:bookmarkStart w:id="2592" w:name="_Toc14361253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Virtual Meeting Guide</w:t>
      </w:r>
      <w:bookmarkEnd w:id="2587"/>
      <w:bookmarkEnd w:id="2588"/>
      <w:bookmarkEnd w:id="2589"/>
      <w:bookmarkEnd w:id="2590"/>
    </w:p>
    <w:p w14:paraId="6E7D03A7" w14:textId="77777777" w:rsidR="00E90A9F" w:rsidRPr="00A21682" w:rsidRDefault="00E90A9F">
      <w:pPr>
        <w:pStyle w:val="Heading3"/>
      </w:pPr>
      <w:bookmarkStart w:id="2593" w:name="_Toc144812312"/>
      <w:bookmarkStart w:id="2594" w:name="_Toc144812420"/>
      <w:bookmarkStart w:id="2595" w:name="_Toc144827627"/>
      <w:bookmarkStart w:id="2596" w:name="_Toc147240781"/>
      <w:bookmarkStart w:id="2597" w:name="_Toc149049790"/>
      <w:bookmarkStart w:id="2598" w:name="_Toc152089678"/>
      <w:bookmarkStart w:id="2599" w:name="_Toc152090567"/>
      <w:bookmarkStart w:id="2600" w:name="_Toc177119138"/>
      <w:bookmarkStart w:id="2601" w:name="_Toc185952659"/>
      <w:bookmarkStart w:id="2602" w:name="_Toc192874827"/>
      <w:bookmarkEnd w:id="2591"/>
      <w:bookmarkEnd w:id="2592"/>
      <w:bookmarkEnd w:id="2593"/>
      <w:bookmarkEnd w:id="2594"/>
      <w:r>
        <w:lastRenderedPageBreak/>
        <w:t>In-Person Meeting Communication Guide</w:t>
      </w:r>
      <w:bookmarkEnd w:id="2595"/>
      <w:bookmarkEnd w:id="2596"/>
      <w:bookmarkEnd w:id="2597"/>
      <w:bookmarkEnd w:id="2598"/>
      <w:bookmarkEnd w:id="2599"/>
      <w:bookmarkEnd w:id="2600"/>
      <w:bookmarkEnd w:id="2601"/>
      <w:bookmarkEnd w:id="2602"/>
    </w:p>
    <w:p w14:paraId="4D020FB5" w14:textId="77777777" w:rsidR="00E90A9F" w:rsidRPr="00A21682" w:rsidRDefault="00E90A9F" w:rsidP="00837EB1">
      <w:pPr>
        <w:pStyle w:val="NormalNEW"/>
        <w:rPr>
          <w:lang w:val="en-US"/>
        </w:rPr>
      </w:pPr>
      <w:r>
        <w:rPr>
          <w:lang w:val="en-US"/>
        </w:rPr>
        <w:t>Meetings are conducted remotely and in person. The following outlines the guiding principles for in-person meeting activities.</w:t>
      </w:r>
    </w:p>
    <w:tbl>
      <w:tblPr>
        <w:tblStyle w:val="TableGrid-None7"/>
        <w:tblW w:w="93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2600"/>
        <w:gridCol w:w="6762"/>
      </w:tblGrid>
      <w:tr w:rsidR="00E90A9F" w:rsidRPr="00A21682" w14:paraId="7E90A669" w14:textId="77777777" w:rsidTr="000B5709">
        <w:trPr>
          <w:trHeight w:val="403"/>
          <w:tblHeader/>
        </w:trPr>
        <w:tc>
          <w:tcPr>
            <w:tcW w:w="2600" w:type="dxa"/>
            <w:tcBorders>
              <w:right w:val="single" w:sz="2" w:space="0" w:color="FFFFFF" w:themeColor="background1"/>
            </w:tcBorders>
            <w:shd w:val="clear" w:color="auto" w:fill="000000" w:themeFill="text1"/>
          </w:tcPr>
          <w:p w14:paraId="63217E46" w14:textId="77777777" w:rsidR="00E90A9F" w:rsidRPr="00A21682" w:rsidRDefault="00E90A9F" w:rsidP="00837EB1">
            <w:pPr>
              <w:pStyle w:val="TABLEHEADINGNEW"/>
              <w:rPr>
                <w:rFonts w:eastAsia="Verdana"/>
                <w:lang w:val="en-US" w:eastAsia="ja-JP"/>
              </w:rPr>
            </w:pPr>
            <w:r>
              <w:rPr>
                <w:rFonts w:eastAsia="Verdana"/>
                <w:lang w:val="en-US" w:eastAsia="ja-JP"/>
              </w:rPr>
              <w:t>Guiding Principle</w:t>
            </w:r>
          </w:p>
        </w:tc>
        <w:tc>
          <w:tcPr>
            <w:tcW w:w="6762" w:type="dxa"/>
            <w:tcBorders>
              <w:left w:val="single" w:sz="2" w:space="0" w:color="FFFFFF" w:themeColor="background1"/>
            </w:tcBorders>
            <w:shd w:val="clear" w:color="auto" w:fill="000000" w:themeFill="text1"/>
          </w:tcPr>
          <w:p w14:paraId="16F6365F" w14:textId="77777777" w:rsidR="00E90A9F" w:rsidRPr="00A21682" w:rsidRDefault="00E90A9F" w:rsidP="00837EB1">
            <w:pPr>
              <w:pStyle w:val="TABLEHEADINGNEW"/>
              <w:rPr>
                <w:rFonts w:eastAsia="Verdana"/>
                <w:lang w:val="en-US" w:eastAsia="ja-JP"/>
              </w:rPr>
            </w:pPr>
            <w:r>
              <w:rPr>
                <w:rFonts w:eastAsia="Verdana"/>
                <w:lang w:val="en-US" w:eastAsia="ja-JP"/>
              </w:rPr>
              <w:t xml:space="preserve">Key Activities </w:t>
            </w:r>
          </w:p>
        </w:tc>
      </w:tr>
      <w:tr w:rsidR="00E90A9F" w:rsidRPr="00A21682" w14:paraId="54A2CBA4" w14:textId="77777777" w:rsidTr="00837EB1">
        <w:trPr>
          <w:trHeight w:val="930"/>
        </w:trPr>
        <w:tc>
          <w:tcPr>
            <w:tcW w:w="2600" w:type="dxa"/>
          </w:tcPr>
          <w:p w14:paraId="0E4D0A6D" w14:textId="77777777" w:rsidR="00E90A9F" w:rsidRPr="00A21682" w:rsidRDefault="00E90A9F" w:rsidP="00837EB1">
            <w:pPr>
              <w:pStyle w:val="TABLETEXT1"/>
              <w:rPr>
                <w:lang w:val="en-US"/>
              </w:rPr>
            </w:pPr>
            <w:r>
              <w:rPr>
                <w:lang w:val="en-US"/>
              </w:rPr>
              <w:t>Define Purpose</w:t>
            </w:r>
          </w:p>
        </w:tc>
        <w:tc>
          <w:tcPr>
            <w:tcW w:w="6762" w:type="dxa"/>
          </w:tcPr>
          <w:p w14:paraId="3C95A9E0" w14:textId="7B24729B" w:rsidR="00E90A9F" w:rsidRPr="00A21682" w:rsidRDefault="00E90A9F" w:rsidP="00837EB1">
            <w:pPr>
              <w:pStyle w:val="TABLETEXT1"/>
              <w:rPr>
                <w:lang w:val="en-US"/>
              </w:rPr>
            </w:pPr>
            <w:r>
              <w:rPr>
                <w:lang w:val="en-US"/>
              </w:rPr>
              <w:t>A meeting purpose with adequate detail should be identified and provided in the meeting invite to confirm all attendees clearly understand the goal of the meeting and their role.</w:t>
            </w:r>
          </w:p>
        </w:tc>
      </w:tr>
      <w:tr w:rsidR="00E90A9F" w:rsidRPr="00A21682" w14:paraId="182C284F" w14:textId="77777777" w:rsidTr="00837EB1">
        <w:tc>
          <w:tcPr>
            <w:tcW w:w="2600" w:type="dxa"/>
          </w:tcPr>
          <w:p w14:paraId="046B478C" w14:textId="178831D3" w:rsidR="00E90A9F" w:rsidRPr="00A21682" w:rsidRDefault="00E90A9F" w:rsidP="00837EB1">
            <w:pPr>
              <w:pStyle w:val="TABLETEXT1"/>
              <w:rPr>
                <w:lang w:val="en-US"/>
              </w:rPr>
            </w:pPr>
            <w:r>
              <w:rPr>
                <w:lang w:val="en-US"/>
              </w:rPr>
              <w:t>Book an Appropriate Venue</w:t>
            </w:r>
          </w:p>
        </w:tc>
        <w:tc>
          <w:tcPr>
            <w:tcW w:w="6762" w:type="dxa"/>
          </w:tcPr>
          <w:p w14:paraId="22A467BB" w14:textId="77777777" w:rsidR="00E90A9F" w:rsidRPr="00A21682" w:rsidRDefault="00E90A9F" w:rsidP="00837EB1">
            <w:pPr>
              <w:pStyle w:val="TABLETEXT1"/>
              <w:rPr>
                <w:lang w:val="en-US"/>
              </w:rPr>
            </w:pPr>
            <w:r>
              <w:rPr>
                <w:lang w:val="en-US"/>
              </w:rPr>
              <w:t>A location to accommodate all attendees should be identified in advance and shared in the meeting invite.</w:t>
            </w:r>
          </w:p>
        </w:tc>
      </w:tr>
      <w:tr w:rsidR="00E90A9F" w:rsidRPr="00A21682" w14:paraId="65874445" w14:textId="77777777" w:rsidTr="00837EB1">
        <w:tc>
          <w:tcPr>
            <w:tcW w:w="2600" w:type="dxa"/>
          </w:tcPr>
          <w:p w14:paraId="71131B17" w14:textId="4D18F2EF" w:rsidR="00E90A9F" w:rsidRPr="00A21682" w:rsidRDefault="00E90A9F" w:rsidP="00837EB1">
            <w:pPr>
              <w:pStyle w:val="TABLETEXT1"/>
              <w:rPr>
                <w:lang w:val="en-US"/>
              </w:rPr>
            </w:pPr>
            <w:r>
              <w:rPr>
                <w:lang w:val="en-US"/>
              </w:rPr>
              <w:t>Invite the Right Attendees</w:t>
            </w:r>
          </w:p>
        </w:tc>
        <w:tc>
          <w:tcPr>
            <w:tcW w:w="6762" w:type="dxa"/>
          </w:tcPr>
          <w:p w14:paraId="05032AA2" w14:textId="3D8B2A0B" w:rsidR="00E90A9F" w:rsidRPr="00A21682" w:rsidRDefault="00E90A9F" w:rsidP="00837EB1">
            <w:pPr>
              <w:pStyle w:val="TABLETEXT1"/>
              <w:rPr>
                <w:lang w:val="en-US"/>
              </w:rPr>
            </w:pPr>
            <w:r>
              <w:rPr>
                <w:lang w:val="en-US"/>
              </w:rPr>
              <w:t>The meeting invitees should generally be limited to key individuals to promote productivity.</w:t>
            </w:r>
          </w:p>
        </w:tc>
      </w:tr>
      <w:tr w:rsidR="00E90A9F" w:rsidRPr="00A21682" w14:paraId="7FC83EBB" w14:textId="77777777" w:rsidTr="00837EB1">
        <w:tc>
          <w:tcPr>
            <w:tcW w:w="2600" w:type="dxa"/>
          </w:tcPr>
          <w:p w14:paraId="1152E67B" w14:textId="77777777" w:rsidR="00E90A9F" w:rsidRPr="00A21682" w:rsidRDefault="00E90A9F" w:rsidP="00837EB1">
            <w:pPr>
              <w:pStyle w:val="TABLETEXT1"/>
              <w:rPr>
                <w:lang w:val="en-US"/>
              </w:rPr>
            </w:pPr>
            <w:r>
              <w:rPr>
                <w:lang w:val="en-US"/>
              </w:rPr>
              <w:t>Share Meeting Agenda and Presentation Materials Ahead of Time</w:t>
            </w:r>
          </w:p>
        </w:tc>
        <w:tc>
          <w:tcPr>
            <w:tcW w:w="6762" w:type="dxa"/>
          </w:tcPr>
          <w:p w14:paraId="3460C73D" w14:textId="77777777" w:rsidR="00E90A9F" w:rsidRPr="00A21682" w:rsidRDefault="00E90A9F" w:rsidP="00837EB1">
            <w:pPr>
              <w:pStyle w:val="TABLETEXT1"/>
              <w:rPr>
                <w:lang w:val="en-US"/>
              </w:rPr>
            </w:pPr>
            <w:r>
              <w:rPr>
                <w:lang w:val="en-US"/>
              </w:rPr>
              <w:t>An agenda and presentation materials should be developed prior to scheduling and attached to the meeting invite 24 hours in advance of the meeting unless otherwise agreed upon by ███████ and DOH OHIP. Agenda items should be time boxed whenever possible to keep everyone focused and complete meeting goals in the scheduled time.</w:t>
            </w:r>
          </w:p>
        </w:tc>
      </w:tr>
    </w:tbl>
    <w:p w14:paraId="401B8864" w14:textId="7A8FA43A" w:rsidR="00E90A9F" w:rsidRPr="00A21682" w:rsidRDefault="00E90A9F" w:rsidP="00D818D3">
      <w:pPr>
        <w:pStyle w:val="Caption"/>
        <w:rPr>
          <w:noProof w:val="0"/>
        </w:rPr>
      </w:pPr>
      <w:bookmarkStart w:id="2603" w:name="_Toc144828282"/>
      <w:bookmarkStart w:id="2604" w:name="_Toc147240617"/>
      <w:bookmarkStart w:id="2605" w:name="_Toc152090636"/>
      <w:bookmarkStart w:id="2606" w:name="_Toc19287517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bookmarkEnd w:id="2603"/>
      <w:r>
        <w:rPr>
          <w:noProof w:val="0"/>
        </w:rPr>
        <w:t>: In-Person Meeting Guide</w:t>
      </w:r>
      <w:bookmarkEnd w:id="2604"/>
      <w:bookmarkEnd w:id="2605"/>
      <w:bookmarkEnd w:id="2606"/>
    </w:p>
    <w:p w14:paraId="7B4C32ED" w14:textId="77777777" w:rsidR="00E90A9F" w:rsidRPr="00A21682" w:rsidRDefault="00E90A9F">
      <w:pPr>
        <w:pStyle w:val="Heading3"/>
      </w:pPr>
      <w:bookmarkStart w:id="2607" w:name="_Toc144812316"/>
      <w:bookmarkStart w:id="2608" w:name="_Toc144812424"/>
      <w:bookmarkStart w:id="2609" w:name="_Toc149049791"/>
      <w:bookmarkStart w:id="2610" w:name="_Toc149133676"/>
      <w:bookmarkStart w:id="2611" w:name="_Toc149562829"/>
      <w:bookmarkStart w:id="2612" w:name="_Toc149574866"/>
      <w:bookmarkStart w:id="2613" w:name="_Toc149575857"/>
      <w:bookmarkStart w:id="2614" w:name="_Toc149669347"/>
      <w:bookmarkStart w:id="2615" w:name="_Toc149670578"/>
      <w:bookmarkStart w:id="2616" w:name="_Toc149049792"/>
      <w:bookmarkStart w:id="2617" w:name="_Toc149133677"/>
      <w:bookmarkStart w:id="2618" w:name="_Toc149562830"/>
      <w:bookmarkStart w:id="2619" w:name="_Toc149574867"/>
      <w:bookmarkStart w:id="2620" w:name="_Toc149575858"/>
      <w:bookmarkStart w:id="2621" w:name="_Toc149669348"/>
      <w:bookmarkStart w:id="2622" w:name="_Toc149670579"/>
      <w:bookmarkStart w:id="2623" w:name="_Toc152090569"/>
      <w:bookmarkStart w:id="2624" w:name="_Toc149049793"/>
      <w:bookmarkStart w:id="2625" w:name="_Toc149133678"/>
      <w:bookmarkStart w:id="2626" w:name="_Toc149562831"/>
      <w:bookmarkStart w:id="2627" w:name="_Toc149574868"/>
      <w:bookmarkStart w:id="2628" w:name="_Toc149575859"/>
      <w:bookmarkStart w:id="2629" w:name="_Toc149669349"/>
      <w:bookmarkStart w:id="2630" w:name="_Toc149670580"/>
      <w:bookmarkStart w:id="2631" w:name="_Toc152090570"/>
      <w:bookmarkStart w:id="2632" w:name="_Toc149049794"/>
      <w:bookmarkStart w:id="2633" w:name="_Toc149133679"/>
      <w:bookmarkStart w:id="2634" w:name="_Toc149562832"/>
      <w:bookmarkStart w:id="2635" w:name="_Toc149574869"/>
      <w:bookmarkStart w:id="2636" w:name="_Toc149575860"/>
      <w:bookmarkStart w:id="2637" w:name="_Toc149669350"/>
      <w:bookmarkStart w:id="2638" w:name="_Toc149670581"/>
      <w:bookmarkStart w:id="2639" w:name="_Toc152090571"/>
      <w:bookmarkStart w:id="2640" w:name="_Toc149049795"/>
      <w:bookmarkStart w:id="2641" w:name="_Toc149133680"/>
      <w:bookmarkStart w:id="2642" w:name="_Toc149562833"/>
      <w:bookmarkStart w:id="2643" w:name="_Toc149574870"/>
      <w:bookmarkStart w:id="2644" w:name="_Toc149575861"/>
      <w:bookmarkStart w:id="2645" w:name="_Toc149669351"/>
      <w:bookmarkStart w:id="2646" w:name="_Toc149670582"/>
      <w:bookmarkStart w:id="2647" w:name="_Toc152090572"/>
      <w:bookmarkStart w:id="2648" w:name="_Toc149049796"/>
      <w:bookmarkStart w:id="2649" w:name="_Toc149133681"/>
      <w:bookmarkStart w:id="2650" w:name="_Toc149562834"/>
      <w:bookmarkStart w:id="2651" w:name="_Toc149574871"/>
      <w:bookmarkStart w:id="2652" w:name="_Toc149575862"/>
      <w:bookmarkStart w:id="2653" w:name="_Toc149669352"/>
      <w:bookmarkStart w:id="2654" w:name="_Toc149670583"/>
      <w:bookmarkStart w:id="2655" w:name="_Toc143612515"/>
      <w:bookmarkStart w:id="2656" w:name="_Toc144827629"/>
      <w:bookmarkStart w:id="2657" w:name="_Toc147240783"/>
      <w:bookmarkStart w:id="2658" w:name="_Toc149049797"/>
      <w:bookmarkStart w:id="2659" w:name="_Toc152089685"/>
      <w:bookmarkStart w:id="2660" w:name="_Toc152090574"/>
      <w:bookmarkStart w:id="2661" w:name="_Toc177119139"/>
      <w:bookmarkStart w:id="2662" w:name="_Toc185952660"/>
      <w:bookmarkStart w:id="2663" w:name="_Toc192874828"/>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r>
        <w:t>Schedule of Communications Throughout Delivery Phases</w:t>
      </w:r>
      <w:bookmarkEnd w:id="2655"/>
      <w:bookmarkEnd w:id="2656"/>
      <w:bookmarkEnd w:id="2657"/>
      <w:bookmarkEnd w:id="2658"/>
      <w:bookmarkEnd w:id="2659"/>
      <w:bookmarkEnd w:id="2660"/>
      <w:bookmarkEnd w:id="2661"/>
      <w:bookmarkEnd w:id="2662"/>
      <w:bookmarkEnd w:id="2663"/>
    </w:p>
    <w:p w14:paraId="3A0B1273" w14:textId="48020FD3" w:rsidR="00EB4ABE" w:rsidRPr="00A21682" w:rsidRDefault="00E90A9F" w:rsidP="00837EB1">
      <w:pPr>
        <w:pStyle w:val="NormalNEW"/>
        <w:rPr>
          <w:lang w:val="en-US"/>
        </w:rPr>
      </w:pPr>
      <w:r>
        <w:rPr>
          <w:lang w:val="en-US"/>
        </w:rPr>
        <w:t>For detail on when and why particular communications are distributed across the project, refer to the following sections of the PMP:</w:t>
      </w:r>
    </w:p>
    <w:p w14:paraId="11FE16E6" w14:textId="535A92DC" w:rsidR="001D7B34" w:rsidRPr="00A21682" w:rsidRDefault="007948B9" w:rsidP="0031550A">
      <w:pPr>
        <w:pStyle w:val="BulletNEW"/>
      </w:pPr>
      <w:r>
        <w:t>Section 2.11.5: Phase Exit Criteria (SIT Phase)</w:t>
      </w:r>
    </w:p>
    <w:p w14:paraId="594F222A" w14:textId="0754E645" w:rsidR="00A6702A" w:rsidRPr="00A21682" w:rsidRDefault="007948B9" w:rsidP="0031550A">
      <w:pPr>
        <w:pStyle w:val="BulletNEW"/>
      </w:pPr>
      <w:r>
        <w:t>Section 2.14.5: Phase Exit Criteria (UAT Phase)</w:t>
      </w:r>
    </w:p>
    <w:p w14:paraId="0AF9F929" w14:textId="3852D27A" w:rsidR="00A6702A" w:rsidRPr="00A21682" w:rsidRDefault="007948B9" w:rsidP="0031550A">
      <w:pPr>
        <w:pStyle w:val="BulletNEW"/>
      </w:pPr>
      <w:r>
        <w:t>Section 2.15.5: Phase Exit Criteria (Rollout Phase)</w:t>
      </w:r>
    </w:p>
    <w:p w14:paraId="3E01ED64" w14:textId="43D3089C" w:rsidR="0056027A" w:rsidRPr="00A21682" w:rsidRDefault="0056027A" w:rsidP="0031550A">
      <w:pPr>
        <w:pStyle w:val="BulletNEW"/>
      </w:pPr>
      <w:r>
        <w:t>Section 4.3.2: Project Management Communication Types</w:t>
      </w:r>
    </w:p>
    <w:p w14:paraId="1F26791B" w14:textId="77777777" w:rsidR="00ED6572" w:rsidRPr="00A21682" w:rsidRDefault="000A09E8" w:rsidP="0031550A">
      <w:pPr>
        <w:pStyle w:val="BulletNEW"/>
      </w:pPr>
      <w:r>
        <w:t>Section 4.4.1: Project Status Report Process Flow Narrative</w:t>
      </w:r>
    </w:p>
    <w:p w14:paraId="354A9CB1" w14:textId="40D2CA3F" w:rsidR="00E90A9F" w:rsidRPr="00A21682" w:rsidRDefault="00034E23" w:rsidP="0031550A">
      <w:pPr>
        <w:pStyle w:val="BulletNEW"/>
      </w:pPr>
      <w:r>
        <w:t xml:space="preserve">Section 7.3.7.1: Contract Compliance  </w:t>
      </w:r>
    </w:p>
    <w:p w14:paraId="44D3ABAE" w14:textId="1899C590" w:rsidR="004262F9" w:rsidRPr="00A21682" w:rsidRDefault="004262F9" w:rsidP="0031550A">
      <w:pPr>
        <w:pStyle w:val="BulletNEW"/>
      </w:pPr>
      <w:r>
        <w:t xml:space="preserve">Section 8.3.4: Onboarding </w:t>
      </w:r>
    </w:p>
    <w:p w14:paraId="78B57E41" w14:textId="657C5A91" w:rsidR="004262F9" w:rsidRPr="00A21682" w:rsidRDefault="004262F9" w:rsidP="0031550A">
      <w:pPr>
        <w:pStyle w:val="BulletNEW"/>
      </w:pPr>
      <w:r>
        <w:t xml:space="preserve">Section 8.3.5: Offboarding </w:t>
      </w:r>
    </w:p>
    <w:p w14:paraId="73D5741A" w14:textId="2159BEF9" w:rsidR="00374317" w:rsidRPr="00A21682" w:rsidRDefault="00374317" w:rsidP="0031550A">
      <w:pPr>
        <w:pStyle w:val="BulletNEW"/>
      </w:pPr>
      <w:r>
        <w:t xml:space="preserve">Section 9.3.6: Escalation Level </w:t>
      </w:r>
    </w:p>
    <w:p w14:paraId="11B420FC" w14:textId="7DA09910" w:rsidR="00933932" w:rsidRPr="00A21682" w:rsidRDefault="00933932" w:rsidP="0031550A">
      <w:pPr>
        <w:pStyle w:val="BulletNEW"/>
      </w:pPr>
      <w:r>
        <w:t xml:space="preserve">Section 11.4.3: Variance </w:t>
      </w:r>
    </w:p>
    <w:p w14:paraId="21F60C07" w14:textId="77777777" w:rsidR="00E90A9F" w:rsidRPr="00A21682" w:rsidRDefault="00E90A9F">
      <w:pPr>
        <w:pStyle w:val="Heading2"/>
      </w:pPr>
      <w:bookmarkStart w:id="2664" w:name="_Toc147420823"/>
      <w:bookmarkStart w:id="2665" w:name="_Toc147420852"/>
      <w:bookmarkStart w:id="2666" w:name="_Toc147420887"/>
      <w:bookmarkStart w:id="2667" w:name="_Toc147420921"/>
      <w:bookmarkStart w:id="2668" w:name="_Toc143612518"/>
      <w:bookmarkStart w:id="2669" w:name="_Toc144827631"/>
      <w:bookmarkStart w:id="2670" w:name="_Toc147240785"/>
      <w:bookmarkStart w:id="2671" w:name="_Toc149049798"/>
      <w:bookmarkStart w:id="2672" w:name="_Toc152089686"/>
      <w:bookmarkStart w:id="2673" w:name="_Toc152090575"/>
      <w:bookmarkStart w:id="2674" w:name="_Toc177119140"/>
      <w:bookmarkStart w:id="2675" w:name="_Toc185952661"/>
      <w:bookmarkStart w:id="2676" w:name="_Toc192874829"/>
      <w:bookmarkEnd w:id="2664"/>
      <w:bookmarkEnd w:id="2665"/>
      <w:bookmarkEnd w:id="2666"/>
      <w:bookmarkEnd w:id="2667"/>
      <w:r>
        <w:t>Communications Processes</w:t>
      </w:r>
      <w:bookmarkEnd w:id="2668"/>
      <w:bookmarkEnd w:id="2669"/>
      <w:bookmarkEnd w:id="2670"/>
      <w:bookmarkEnd w:id="2671"/>
      <w:bookmarkEnd w:id="2672"/>
      <w:bookmarkEnd w:id="2673"/>
      <w:bookmarkEnd w:id="2674"/>
      <w:bookmarkEnd w:id="2675"/>
      <w:bookmarkEnd w:id="2676"/>
    </w:p>
    <w:p w14:paraId="77382B73" w14:textId="77777777" w:rsidR="00E90A9F" w:rsidRPr="00A21682" w:rsidRDefault="00E90A9F" w:rsidP="00837EB1">
      <w:pPr>
        <w:pStyle w:val="NormalNEW"/>
        <w:rPr>
          <w:lang w:val="en-US"/>
        </w:rPr>
      </w:pPr>
      <w:r>
        <w:rPr>
          <w:lang w:val="en-US"/>
        </w:rPr>
        <w:t>This section describes processes and guidelines for developing and distributing communications to the appropriate stakeholder groups prior to a meeting. For each method of communication, this section identifies the responsible parties for each process step leading up to and including publishing the communication for the intended audience. Roles and responsibilities may vary based on type of communication.</w:t>
      </w:r>
    </w:p>
    <w:p w14:paraId="40E7E2D9" w14:textId="77777777" w:rsidR="00E90A9F" w:rsidRPr="00A21682" w:rsidRDefault="00116661" w:rsidP="00837EB1">
      <w:pPr>
        <w:pStyle w:val="NormalNEW"/>
        <w:rPr>
          <w:lang w:val="en-US"/>
        </w:rPr>
      </w:pPr>
      <w:r>
        <w:rPr>
          <w:lang w:val="en-US"/>
        </w:rPr>
        <w:object w:dxaOrig="24150" w:dyaOrig="10800" w14:anchorId="37CCC448">
          <v:shape id="_x0000_i1040" type="#_x0000_t75" style="width:468.6pt;height:108.6pt" o:ole="">
            <v:imagedata r:id="rId63" o:title="" cropbottom="26337f"/>
          </v:shape>
          <o:OLEObject Type="Embed" ProgID="Visio.Drawing.15" ShapeID="_x0000_i1040" DrawAspect="Content" ObjectID="_1849677350" r:id="rId64"/>
        </w:object>
      </w:r>
    </w:p>
    <w:p w14:paraId="1AF67347" w14:textId="529493E0" w:rsidR="00E90A9F" w:rsidRPr="00A21682" w:rsidRDefault="00E90A9F" w:rsidP="00D818D3">
      <w:pPr>
        <w:pStyle w:val="Caption"/>
        <w:rPr>
          <w:noProof w:val="0"/>
        </w:rPr>
      </w:pPr>
      <w:bookmarkStart w:id="2677" w:name="_Toc144814075"/>
      <w:bookmarkStart w:id="2678" w:name="_Toc144828257"/>
      <w:bookmarkStart w:id="2679" w:name="_Toc147240603"/>
      <w:bookmarkStart w:id="2680" w:name="_Toc152090631"/>
      <w:bookmarkStart w:id="2681" w:name="_Toc178152050"/>
      <w:bookmarkStart w:id="2682" w:name="_Toc192875065"/>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Communications Process Flow</w:t>
      </w:r>
      <w:bookmarkEnd w:id="2677"/>
      <w:bookmarkEnd w:id="2678"/>
      <w:bookmarkEnd w:id="2679"/>
      <w:bookmarkEnd w:id="2680"/>
      <w:bookmarkEnd w:id="2681"/>
      <w:bookmarkEnd w:id="2682"/>
    </w:p>
    <w:p w14:paraId="7BB13977" w14:textId="7CC2648A" w:rsidR="00E90A9F" w:rsidRPr="00A21682" w:rsidRDefault="004B40B6">
      <w:pPr>
        <w:pStyle w:val="Heading3"/>
      </w:pPr>
      <w:bookmarkStart w:id="2683" w:name="_Toc144812323"/>
      <w:bookmarkStart w:id="2684" w:name="_Toc144812431"/>
      <w:bookmarkStart w:id="2685" w:name="_Toc143612519"/>
      <w:bookmarkStart w:id="2686" w:name="_Toc144827632"/>
      <w:bookmarkStart w:id="2687" w:name="_Toc147240786"/>
      <w:bookmarkStart w:id="2688" w:name="_Toc152089687"/>
      <w:bookmarkStart w:id="2689" w:name="_Toc149049799"/>
      <w:bookmarkStart w:id="2690" w:name="_Toc152090576"/>
      <w:bookmarkStart w:id="2691" w:name="_Toc177119141"/>
      <w:bookmarkStart w:id="2692" w:name="_Toc185952662"/>
      <w:bookmarkStart w:id="2693" w:name="_Toc192874830"/>
      <w:bookmarkEnd w:id="2683"/>
      <w:bookmarkEnd w:id="2684"/>
      <w:r>
        <w:t>Project Status Report</w:t>
      </w:r>
      <w:bookmarkEnd w:id="2685"/>
      <w:bookmarkEnd w:id="2686"/>
      <w:r>
        <w:t xml:space="preserve"> Process Flow Narrative</w:t>
      </w:r>
      <w:bookmarkEnd w:id="2687"/>
      <w:bookmarkEnd w:id="2688"/>
      <w:bookmarkEnd w:id="2689"/>
      <w:bookmarkEnd w:id="2690"/>
      <w:bookmarkEnd w:id="2691"/>
      <w:bookmarkEnd w:id="2692"/>
      <w:bookmarkEnd w:id="2693"/>
    </w:p>
    <w:p w14:paraId="58F67FCB" w14:textId="7C5178FD" w:rsidR="00E90A9F" w:rsidRPr="00A21682" w:rsidRDefault="00E90A9F" w:rsidP="00837EB1">
      <w:pPr>
        <w:pStyle w:val="NormalNEW"/>
        <w:rPr>
          <w:lang w:val="en-US"/>
        </w:rPr>
      </w:pPr>
      <w:r>
        <w:rPr>
          <w:lang w:val="en-US"/>
        </w:rPr>
        <w:t>Below is the process for communicating Project Status Report updates.</w:t>
      </w:r>
    </w:p>
    <w:tbl>
      <w:tblPr>
        <w:tblStyle w:val="ProcessSteps2"/>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95"/>
        <w:gridCol w:w="2160"/>
        <w:gridCol w:w="3780"/>
        <w:gridCol w:w="2520"/>
      </w:tblGrid>
      <w:tr w:rsidR="00E90A9F" w:rsidRPr="00A21682" w14:paraId="6BA03C4A" w14:textId="77777777" w:rsidTr="000B5709">
        <w:trPr>
          <w:cnfStyle w:val="100000000000" w:firstRow="1" w:lastRow="0" w:firstColumn="0" w:lastColumn="0" w:oddVBand="0" w:evenVBand="0" w:oddHBand="0" w:evenHBand="0" w:firstRowFirstColumn="0" w:firstRowLastColumn="0" w:lastRowFirstColumn="0" w:lastRowLastColumn="0"/>
          <w:trHeight w:val="403"/>
        </w:trPr>
        <w:tc>
          <w:tcPr>
            <w:tcW w:w="895" w:type="dxa"/>
            <w:tcBorders>
              <w:right w:val="single" w:sz="2" w:space="0" w:color="FFFFFF" w:themeColor="background1"/>
            </w:tcBorders>
          </w:tcPr>
          <w:p w14:paraId="03916870" w14:textId="77777777" w:rsidR="00E90A9F" w:rsidRPr="00A21682" w:rsidRDefault="00E90A9F" w:rsidP="00047C4E">
            <w:pPr>
              <w:pStyle w:val="TABLEHEADINGNEW"/>
              <w:rPr>
                <w:rFonts w:eastAsia="Verdana"/>
                <w:b/>
                <w:bCs w:val="0"/>
                <w:lang w:eastAsia="ja-JP"/>
              </w:rPr>
            </w:pPr>
            <w:r>
              <w:rPr>
                <w:rFonts w:eastAsia="Verdana"/>
                <w:b/>
                <w:bCs w:val="0"/>
                <w:lang w:eastAsia="ja-JP"/>
              </w:rPr>
              <w:t>Step #</w:t>
            </w:r>
          </w:p>
        </w:tc>
        <w:tc>
          <w:tcPr>
            <w:tcW w:w="2160" w:type="dxa"/>
            <w:tcBorders>
              <w:left w:val="single" w:sz="2" w:space="0" w:color="FFFFFF" w:themeColor="background1"/>
              <w:right w:val="single" w:sz="2" w:space="0" w:color="FFFFFF" w:themeColor="background1"/>
            </w:tcBorders>
          </w:tcPr>
          <w:p w14:paraId="7C60546B" w14:textId="77777777" w:rsidR="00E90A9F" w:rsidRPr="00A21682" w:rsidRDefault="00E90A9F" w:rsidP="00047C4E">
            <w:pPr>
              <w:pStyle w:val="TABLEHEADINGNEW"/>
              <w:rPr>
                <w:rFonts w:eastAsia="Verdana"/>
                <w:b/>
                <w:bCs w:val="0"/>
                <w:lang w:eastAsia="ja-JP"/>
              </w:rPr>
            </w:pPr>
            <w:r>
              <w:rPr>
                <w:rFonts w:eastAsia="Verdana"/>
                <w:b/>
                <w:bCs w:val="0"/>
                <w:lang w:eastAsia="ja-JP"/>
              </w:rPr>
              <w:t>Process Step</w:t>
            </w:r>
          </w:p>
        </w:tc>
        <w:tc>
          <w:tcPr>
            <w:tcW w:w="3780" w:type="dxa"/>
            <w:tcBorders>
              <w:left w:val="single" w:sz="2" w:space="0" w:color="FFFFFF" w:themeColor="background1"/>
              <w:right w:val="single" w:sz="2" w:space="0" w:color="FFFFFF" w:themeColor="background1"/>
            </w:tcBorders>
          </w:tcPr>
          <w:p w14:paraId="169394DE" w14:textId="77777777" w:rsidR="00E90A9F" w:rsidRPr="00A21682" w:rsidRDefault="00E90A9F" w:rsidP="00047C4E">
            <w:pPr>
              <w:pStyle w:val="TABLEHEADINGNEW"/>
              <w:rPr>
                <w:rFonts w:eastAsia="Verdana"/>
                <w:b/>
                <w:bCs w:val="0"/>
                <w:lang w:eastAsia="ja-JP"/>
              </w:rPr>
            </w:pPr>
            <w:r>
              <w:rPr>
                <w:rFonts w:eastAsia="Verdana"/>
                <w:b/>
                <w:bCs w:val="0"/>
                <w:lang w:eastAsia="ja-JP"/>
              </w:rPr>
              <w:t>Description</w:t>
            </w:r>
          </w:p>
        </w:tc>
        <w:tc>
          <w:tcPr>
            <w:tcW w:w="2520" w:type="dxa"/>
            <w:tcBorders>
              <w:left w:val="single" w:sz="2" w:space="0" w:color="FFFFFF" w:themeColor="background1"/>
            </w:tcBorders>
          </w:tcPr>
          <w:p w14:paraId="36C2D633" w14:textId="77777777" w:rsidR="00E90A9F" w:rsidRPr="00A21682" w:rsidRDefault="00E90A9F" w:rsidP="00047C4E">
            <w:pPr>
              <w:pStyle w:val="TABLEHEADINGNEW"/>
              <w:rPr>
                <w:rFonts w:eastAsia="Verdana"/>
                <w:b/>
                <w:bCs w:val="0"/>
                <w:lang w:eastAsia="ja-JP"/>
              </w:rPr>
            </w:pPr>
            <w:r>
              <w:rPr>
                <w:rFonts w:eastAsia="Verdana"/>
                <w:b/>
                <w:bCs w:val="0"/>
                <w:lang w:eastAsia="ja-JP"/>
              </w:rPr>
              <w:t>Stakeholder Group(s)</w:t>
            </w:r>
          </w:p>
        </w:tc>
      </w:tr>
      <w:tr w:rsidR="00E90A9F" w:rsidRPr="00A21682" w14:paraId="61AD9078" w14:textId="77777777" w:rsidTr="00047C4E">
        <w:trPr>
          <w:trHeight w:val="998"/>
        </w:trPr>
        <w:tc>
          <w:tcPr>
            <w:tcW w:w="895" w:type="dxa"/>
          </w:tcPr>
          <w:p w14:paraId="7D35D3F2" w14:textId="77777777" w:rsidR="00E90A9F" w:rsidRPr="00A21682" w:rsidRDefault="00E90A9F" w:rsidP="00047C4E">
            <w:pPr>
              <w:pStyle w:val="TABLETEXT1"/>
              <w:rPr>
                <w:lang w:val="en-US"/>
              </w:rPr>
            </w:pPr>
            <w:r>
              <w:rPr>
                <w:lang w:val="en-US"/>
              </w:rPr>
              <w:t>1</w:t>
            </w:r>
          </w:p>
        </w:tc>
        <w:tc>
          <w:tcPr>
            <w:tcW w:w="2160" w:type="dxa"/>
          </w:tcPr>
          <w:p w14:paraId="1510EEDE" w14:textId="77777777" w:rsidR="00E90A9F" w:rsidRPr="00A21682" w:rsidRDefault="00E90A9F" w:rsidP="00047C4E">
            <w:pPr>
              <w:pStyle w:val="TABLETEXT1"/>
              <w:rPr>
                <w:lang w:val="en-US"/>
              </w:rPr>
            </w:pPr>
            <w:r>
              <w:rPr>
                <w:lang w:val="en-US"/>
              </w:rPr>
              <w:t>Develop Materials</w:t>
            </w:r>
          </w:p>
        </w:tc>
        <w:tc>
          <w:tcPr>
            <w:tcW w:w="3780" w:type="dxa"/>
          </w:tcPr>
          <w:p w14:paraId="45A8692E" w14:textId="553FFFD4" w:rsidR="00E90A9F" w:rsidRPr="00A21682" w:rsidRDefault="00E90A9F" w:rsidP="00047C4E">
            <w:pPr>
              <w:pStyle w:val="TABLETEXT1"/>
              <w:rPr>
                <w:lang w:val="en-US"/>
              </w:rPr>
            </w:pPr>
            <w:r>
              <w:rPr>
                <w:lang w:val="en-US"/>
              </w:rPr>
              <w:t>███████ PMO works with track leads and PMO liaisons to compile updates for the Project Status Report, which is used to relay updates to the team and guide discussion during weekly meetings.</w:t>
            </w:r>
          </w:p>
          <w:p w14:paraId="68D7DBD5" w14:textId="74B3B8BC" w:rsidR="00E90A9F" w:rsidRPr="00A21682" w:rsidRDefault="00E90A9F" w:rsidP="00047C4E">
            <w:pPr>
              <w:pStyle w:val="TABLETEXT1"/>
              <w:rPr>
                <w:lang w:val="en-US"/>
              </w:rPr>
            </w:pPr>
            <w:r>
              <w:rPr>
                <w:lang w:val="en-US"/>
              </w:rPr>
              <w:t>More information about the contents of the Project Status Report can be found in Section 4.3.2 Project Management Communication Types.</w:t>
            </w:r>
          </w:p>
        </w:tc>
        <w:tc>
          <w:tcPr>
            <w:tcW w:w="2520" w:type="dxa"/>
          </w:tcPr>
          <w:p w14:paraId="3C195737" w14:textId="77777777" w:rsidR="00E90A9F" w:rsidRPr="00635C9B" w:rsidRDefault="00E90A9F" w:rsidP="006021A2">
            <w:pPr>
              <w:pStyle w:val="TABLEBULLETNEW"/>
            </w:pPr>
            <w:r>
              <w:t>PMO</w:t>
            </w:r>
          </w:p>
          <w:p w14:paraId="3333B4D8" w14:textId="77777777" w:rsidR="00E90A9F" w:rsidRPr="00635C9B" w:rsidRDefault="00E90A9F" w:rsidP="006021A2">
            <w:pPr>
              <w:pStyle w:val="TABLEBULLETNEW"/>
            </w:pPr>
            <w:r>
              <w:t>Impacted Stakeholder Group</w:t>
            </w:r>
          </w:p>
        </w:tc>
      </w:tr>
      <w:tr w:rsidR="00E90A9F" w:rsidRPr="00A21682" w14:paraId="6B3DA709" w14:textId="77777777" w:rsidTr="00047C4E">
        <w:trPr>
          <w:trHeight w:val="403"/>
        </w:trPr>
        <w:tc>
          <w:tcPr>
            <w:tcW w:w="895" w:type="dxa"/>
          </w:tcPr>
          <w:p w14:paraId="5A8C28CE" w14:textId="77777777" w:rsidR="00E90A9F" w:rsidRPr="00A21682" w:rsidRDefault="00E90A9F" w:rsidP="00047C4E">
            <w:pPr>
              <w:pStyle w:val="TABLETEXT1"/>
              <w:rPr>
                <w:lang w:val="en-US"/>
              </w:rPr>
            </w:pPr>
            <w:r>
              <w:rPr>
                <w:lang w:val="en-US"/>
              </w:rPr>
              <w:t>2</w:t>
            </w:r>
          </w:p>
        </w:tc>
        <w:tc>
          <w:tcPr>
            <w:tcW w:w="2160" w:type="dxa"/>
          </w:tcPr>
          <w:p w14:paraId="4E063F2D" w14:textId="77777777" w:rsidR="00E90A9F" w:rsidRPr="00A21682" w:rsidRDefault="00E90A9F" w:rsidP="00047C4E">
            <w:pPr>
              <w:pStyle w:val="TABLETEXT1"/>
              <w:rPr>
                <w:lang w:val="en-US"/>
              </w:rPr>
            </w:pPr>
            <w:r>
              <w:rPr>
                <w:lang w:val="en-US"/>
              </w:rPr>
              <w:t>Review Materials</w:t>
            </w:r>
          </w:p>
        </w:tc>
        <w:tc>
          <w:tcPr>
            <w:tcW w:w="3780" w:type="dxa"/>
          </w:tcPr>
          <w:p w14:paraId="60B2811B" w14:textId="0CD38A52" w:rsidR="00E90A9F" w:rsidRPr="00A21682" w:rsidRDefault="00E90A9F" w:rsidP="00047C4E">
            <w:pPr>
              <w:pStyle w:val="TABLETEXT1"/>
              <w:rPr>
                <w:lang w:val="en-US"/>
              </w:rPr>
            </w:pPr>
            <w:r>
              <w:rPr>
                <w:lang w:val="en-US"/>
              </w:rPr>
              <w:t>DOS PMO and relevant stakeholders review the Project Status Report before ███████ PMO distributes it to the meeting attendees.</w:t>
            </w:r>
          </w:p>
          <w:p w14:paraId="3B0FC7E5" w14:textId="139978C9" w:rsidR="00E90A9F" w:rsidRPr="00A21682" w:rsidRDefault="00E90A9F" w:rsidP="00047C4E">
            <w:pPr>
              <w:pStyle w:val="TABLETEXT1"/>
              <w:rPr>
                <w:lang w:val="en-US"/>
              </w:rPr>
            </w:pPr>
            <w:r>
              <w:rPr>
                <w:lang w:val="en-US"/>
              </w:rPr>
              <w:t xml:space="preserve">DOH OHIP can provide additions or comments to the Project Status Report in the window between </w:t>
            </w:r>
            <w:r>
              <w:rPr>
                <w:highlight w:val="black"/>
                <w:lang w:val="en-US"/>
              </w:rPr>
              <w:t>Deloitte’s</w:t>
            </w:r>
            <w:r>
              <w:rPr>
                <w:lang w:val="en-US"/>
              </w:rPr>
              <w:t xml:space="preserve"> dissemination of content and up to 2 hours in advance of the meeting. This provides time for </w:t>
            </w:r>
            <w:r>
              <w:rPr>
                <w:highlight w:val="black"/>
                <w:lang w:val="en-US"/>
              </w:rPr>
              <w:t>Deloitte</w:t>
            </w:r>
            <w:r>
              <w:rPr>
                <w:lang w:val="en-US"/>
              </w:rPr>
              <w:t xml:space="preserve"> to make and Quality Assurance/Quality Control (QA/QC) updates as well as clarify updated with DOH OHIP. For the Project Status Report, this would be a window of 2.5 hours. </w:t>
            </w:r>
          </w:p>
        </w:tc>
        <w:tc>
          <w:tcPr>
            <w:tcW w:w="2520" w:type="dxa"/>
          </w:tcPr>
          <w:p w14:paraId="677462EC" w14:textId="77777777" w:rsidR="00E90A9F" w:rsidRPr="00635C9B" w:rsidRDefault="00E90A9F" w:rsidP="006021A2">
            <w:pPr>
              <w:pStyle w:val="TABLEBULLETNEW"/>
            </w:pPr>
            <w:r>
              <w:t>PMO</w:t>
            </w:r>
          </w:p>
          <w:p w14:paraId="7703E38E" w14:textId="77777777" w:rsidR="00E90A9F" w:rsidRPr="00635C9B" w:rsidRDefault="00E90A9F" w:rsidP="006021A2">
            <w:pPr>
              <w:pStyle w:val="TABLEBULLETNEW"/>
            </w:pPr>
            <w:r>
              <w:t>Impacted Stakeholder Group</w:t>
            </w:r>
          </w:p>
        </w:tc>
      </w:tr>
      <w:tr w:rsidR="00E90A9F" w:rsidRPr="00A21682" w14:paraId="3F07CC91" w14:textId="77777777" w:rsidTr="00047C4E">
        <w:trPr>
          <w:trHeight w:val="403"/>
        </w:trPr>
        <w:tc>
          <w:tcPr>
            <w:tcW w:w="895" w:type="dxa"/>
          </w:tcPr>
          <w:p w14:paraId="373DE634" w14:textId="77777777" w:rsidR="00E90A9F" w:rsidRPr="00A21682" w:rsidRDefault="00E90A9F" w:rsidP="00047C4E">
            <w:pPr>
              <w:pStyle w:val="TABLETEXT1"/>
              <w:rPr>
                <w:lang w:val="en-US"/>
              </w:rPr>
            </w:pPr>
            <w:r>
              <w:rPr>
                <w:lang w:val="en-US"/>
              </w:rPr>
              <w:t>2.1</w:t>
            </w:r>
          </w:p>
        </w:tc>
        <w:tc>
          <w:tcPr>
            <w:tcW w:w="2160" w:type="dxa"/>
          </w:tcPr>
          <w:p w14:paraId="5CB51BF3" w14:textId="77777777" w:rsidR="00E90A9F" w:rsidRPr="00A21682" w:rsidRDefault="00E90A9F" w:rsidP="00047C4E">
            <w:pPr>
              <w:pStyle w:val="TABLETEXT1"/>
              <w:rPr>
                <w:lang w:val="en-US"/>
              </w:rPr>
            </w:pPr>
            <w:r>
              <w:rPr>
                <w:lang w:val="en-US"/>
              </w:rPr>
              <w:t>Meeting Required?</w:t>
            </w:r>
          </w:p>
        </w:tc>
        <w:tc>
          <w:tcPr>
            <w:tcW w:w="3780" w:type="dxa"/>
          </w:tcPr>
          <w:p w14:paraId="2AFE28EC" w14:textId="7AFA0931" w:rsidR="00E90A9F" w:rsidRPr="00A21682" w:rsidRDefault="00E90A9F" w:rsidP="00D12D47">
            <w:pPr>
              <w:pStyle w:val="TABLEBULLETNEW"/>
              <w:rPr>
                <w:i/>
                <w:iCs/>
              </w:rPr>
            </w:pPr>
            <w:r>
              <w:t xml:space="preserve">If during the review of the status report it is determined that a meeting with stakeholders is required to discuss the content, proceed to </w:t>
            </w:r>
            <w:r>
              <w:rPr>
                <w:i/>
                <w:iCs/>
              </w:rPr>
              <w:t>Step #3 Facilitate Meeting and Edit Materials as Needed</w:t>
            </w:r>
          </w:p>
          <w:p w14:paraId="7374B1EF" w14:textId="653FA1B9" w:rsidR="00E90A9F" w:rsidRPr="00A21682" w:rsidRDefault="00E90A9F" w:rsidP="00D12D47">
            <w:pPr>
              <w:pStyle w:val="TABLEBULLETNEW"/>
            </w:pPr>
            <w:r>
              <w:t xml:space="preserve">If a meeting is not required, proceed to </w:t>
            </w:r>
            <w:r>
              <w:rPr>
                <w:i/>
              </w:rPr>
              <w:t>Step #4 Distribute Final Materials</w:t>
            </w:r>
          </w:p>
        </w:tc>
        <w:tc>
          <w:tcPr>
            <w:tcW w:w="2520" w:type="dxa"/>
          </w:tcPr>
          <w:p w14:paraId="5EDB139C" w14:textId="77777777" w:rsidR="00E90A9F" w:rsidRPr="00635C9B" w:rsidRDefault="00E90A9F" w:rsidP="006021A2">
            <w:pPr>
              <w:pStyle w:val="TABLEBULLETNEW"/>
            </w:pPr>
            <w:r>
              <w:t>PMO</w:t>
            </w:r>
          </w:p>
          <w:p w14:paraId="158C3632" w14:textId="77777777" w:rsidR="00E90A9F" w:rsidRPr="00635C9B" w:rsidRDefault="00E90A9F" w:rsidP="006021A2">
            <w:pPr>
              <w:pStyle w:val="TABLEBULLETNEW"/>
            </w:pPr>
            <w:r>
              <w:t>Impacted Stakeholder Group</w:t>
            </w:r>
          </w:p>
        </w:tc>
      </w:tr>
      <w:tr w:rsidR="00E90A9F" w:rsidRPr="00A21682" w14:paraId="063288AC" w14:textId="77777777" w:rsidTr="00047C4E">
        <w:trPr>
          <w:trHeight w:val="403"/>
        </w:trPr>
        <w:tc>
          <w:tcPr>
            <w:tcW w:w="895" w:type="dxa"/>
          </w:tcPr>
          <w:p w14:paraId="293FBD8E" w14:textId="77777777" w:rsidR="00E90A9F" w:rsidRPr="00A21682" w:rsidRDefault="00E90A9F" w:rsidP="00047C4E">
            <w:pPr>
              <w:pStyle w:val="TABLETEXT1"/>
              <w:rPr>
                <w:lang w:val="en-US"/>
              </w:rPr>
            </w:pPr>
            <w:r>
              <w:rPr>
                <w:lang w:val="en-US"/>
              </w:rPr>
              <w:lastRenderedPageBreak/>
              <w:t>3</w:t>
            </w:r>
          </w:p>
        </w:tc>
        <w:tc>
          <w:tcPr>
            <w:tcW w:w="2160" w:type="dxa"/>
          </w:tcPr>
          <w:p w14:paraId="0D57B320" w14:textId="77777777" w:rsidR="00E90A9F" w:rsidRPr="00A21682" w:rsidRDefault="00E90A9F" w:rsidP="00047C4E">
            <w:pPr>
              <w:pStyle w:val="TABLETEXT1"/>
              <w:rPr>
                <w:lang w:val="en-US"/>
              </w:rPr>
            </w:pPr>
            <w:r>
              <w:rPr>
                <w:lang w:val="en-US"/>
              </w:rPr>
              <w:t>Facilitate Meeting and Edit Materials as Needed</w:t>
            </w:r>
          </w:p>
        </w:tc>
        <w:tc>
          <w:tcPr>
            <w:tcW w:w="3780" w:type="dxa"/>
          </w:tcPr>
          <w:p w14:paraId="787F917D" w14:textId="77777777" w:rsidR="00E90A9F" w:rsidRPr="00A21682" w:rsidRDefault="00E90A9F" w:rsidP="00047C4E">
            <w:pPr>
              <w:pStyle w:val="TABLETEXT1"/>
              <w:rPr>
                <w:lang w:val="en-US"/>
              </w:rPr>
            </w:pPr>
            <w:r>
              <w:rPr>
                <w:lang w:val="en-US"/>
              </w:rPr>
              <w:t>If a meeting is required, ███████ PMO facilitates a status report meeting with DOH OHIP stakeholder groups to discuss completed and planned activities and edit agenda and meeting materials.</w:t>
            </w:r>
          </w:p>
        </w:tc>
        <w:tc>
          <w:tcPr>
            <w:tcW w:w="2520" w:type="dxa"/>
          </w:tcPr>
          <w:p w14:paraId="50FD5175" w14:textId="77777777" w:rsidR="00E90A9F" w:rsidRPr="00635C9B" w:rsidRDefault="00E90A9F" w:rsidP="006021A2">
            <w:pPr>
              <w:pStyle w:val="TABLEBULLETNEW"/>
            </w:pPr>
            <w:r>
              <w:t>PMO</w:t>
            </w:r>
          </w:p>
          <w:p w14:paraId="212AE8D2" w14:textId="77777777" w:rsidR="00E90A9F" w:rsidRPr="00635C9B" w:rsidRDefault="00E90A9F" w:rsidP="006021A2">
            <w:pPr>
              <w:pStyle w:val="TABLEBULLETNEW"/>
            </w:pPr>
            <w:r>
              <w:t>Impacted Stakeholder Group</w:t>
            </w:r>
          </w:p>
        </w:tc>
      </w:tr>
      <w:tr w:rsidR="00E90A9F" w:rsidRPr="00A21682" w14:paraId="3D41018E" w14:textId="77777777" w:rsidTr="00047C4E">
        <w:trPr>
          <w:trHeight w:val="403"/>
        </w:trPr>
        <w:tc>
          <w:tcPr>
            <w:tcW w:w="895" w:type="dxa"/>
          </w:tcPr>
          <w:p w14:paraId="5BB1F3CB" w14:textId="77777777" w:rsidR="00E90A9F" w:rsidRPr="00A21682" w:rsidRDefault="00E90A9F" w:rsidP="00047C4E">
            <w:pPr>
              <w:pStyle w:val="TABLETEXT1"/>
              <w:rPr>
                <w:lang w:val="en-US"/>
              </w:rPr>
            </w:pPr>
            <w:r>
              <w:rPr>
                <w:lang w:val="en-US"/>
              </w:rPr>
              <w:t>4</w:t>
            </w:r>
          </w:p>
        </w:tc>
        <w:tc>
          <w:tcPr>
            <w:tcW w:w="2160" w:type="dxa"/>
          </w:tcPr>
          <w:p w14:paraId="54E28D42" w14:textId="77777777" w:rsidR="00E90A9F" w:rsidRPr="00A21682" w:rsidRDefault="00E90A9F" w:rsidP="00047C4E">
            <w:pPr>
              <w:pStyle w:val="TABLETEXT1"/>
              <w:rPr>
                <w:lang w:val="en-US"/>
              </w:rPr>
            </w:pPr>
            <w:r>
              <w:rPr>
                <w:lang w:val="en-US"/>
              </w:rPr>
              <w:t xml:space="preserve">Distribute Final Materials </w:t>
            </w:r>
          </w:p>
        </w:tc>
        <w:tc>
          <w:tcPr>
            <w:tcW w:w="3780" w:type="dxa"/>
          </w:tcPr>
          <w:p w14:paraId="12520701" w14:textId="77777777" w:rsidR="00E90A9F" w:rsidRPr="00A21682" w:rsidRDefault="00E90A9F" w:rsidP="00047C4E">
            <w:pPr>
              <w:pStyle w:val="TABLETEXT1"/>
              <w:rPr>
                <w:lang w:val="en-US"/>
              </w:rPr>
            </w:pPr>
            <w:r>
              <w:rPr>
                <w:lang w:val="en-US"/>
              </w:rPr>
              <w:t>███████ PMO attaches the finalized status report and relevant meeting materials to the invite.</w:t>
            </w:r>
          </w:p>
        </w:tc>
        <w:tc>
          <w:tcPr>
            <w:tcW w:w="2520" w:type="dxa"/>
          </w:tcPr>
          <w:p w14:paraId="6FE365A9" w14:textId="77777777" w:rsidR="00E90A9F" w:rsidRPr="00635C9B" w:rsidRDefault="00E90A9F" w:rsidP="006021A2">
            <w:pPr>
              <w:pStyle w:val="TABLEBULLETNEW"/>
            </w:pPr>
            <w:r>
              <w:t>PMO</w:t>
            </w:r>
          </w:p>
          <w:p w14:paraId="01BFFC5C" w14:textId="77777777" w:rsidR="00E90A9F" w:rsidRPr="00635C9B" w:rsidRDefault="00E90A9F" w:rsidP="006021A2">
            <w:pPr>
              <w:pStyle w:val="TABLEBULLETNEW"/>
            </w:pPr>
            <w:r>
              <w:t>Impacted Stakeholder Group</w:t>
            </w:r>
          </w:p>
        </w:tc>
      </w:tr>
    </w:tbl>
    <w:p w14:paraId="01E57DE8" w14:textId="1DA14B61" w:rsidR="00E90A9F" w:rsidRPr="00A21682" w:rsidRDefault="00E90A9F" w:rsidP="00D818D3">
      <w:pPr>
        <w:pStyle w:val="Caption"/>
        <w:rPr>
          <w:noProof w:val="0"/>
        </w:rPr>
      </w:pPr>
      <w:bookmarkStart w:id="2694" w:name="_Toc144828283"/>
      <w:bookmarkStart w:id="2695" w:name="_Toc147240618"/>
      <w:bookmarkStart w:id="2696" w:name="_Toc152090637"/>
      <w:bookmarkStart w:id="2697" w:name="_Toc19287517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6</w:t>
      </w:r>
      <w:r>
        <w:rPr>
          <w:noProof w:val="0"/>
        </w:rPr>
        <w:fldChar w:fldCharType="end"/>
      </w:r>
      <w:bookmarkEnd w:id="2694"/>
      <w:r>
        <w:rPr>
          <w:noProof w:val="0"/>
        </w:rPr>
        <w:t>: Project Status Report Process</w:t>
      </w:r>
      <w:bookmarkEnd w:id="2695"/>
      <w:bookmarkEnd w:id="2696"/>
      <w:bookmarkEnd w:id="2697"/>
    </w:p>
    <w:p w14:paraId="5C1BE52D" w14:textId="6400BE86" w:rsidR="00E90A9F" w:rsidRPr="00A21682" w:rsidRDefault="00CF3844">
      <w:pPr>
        <w:pStyle w:val="Heading3"/>
      </w:pPr>
      <w:bookmarkStart w:id="2698" w:name="_Toc147838256"/>
      <w:bookmarkStart w:id="2699" w:name="_Toc148103034"/>
      <w:bookmarkStart w:id="2700" w:name="_Toc148103058"/>
      <w:bookmarkStart w:id="2701" w:name="_Toc148103138"/>
      <w:bookmarkStart w:id="2702" w:name="_Toc148104367"/>
      <w:bookmarkStart w:id="2703" w:name="_Toc148104392"/>
      <w:bookmarkStart w:id="2704" w:name="_Toc144812328"/>
      <w:bookmarkStart w:id="2705" w:name="_Toc144812436"/>
      <w:bookmarkStart w:id="2706" w:name="_Toc143612520"/>
      <w:bookmarkStart w:id="2707" w:name="_Toc143877683"/>
      <w:bookmarkStart w:id="2708" w:name="_Toc144827634"/>
      <w:bookmarkStart w:id="2709" w:name="_Toc147240787"/>
      <w:bookmarkStart w:id="2710" w:name="_Toc149049800"/>
      <w:bookmarkStart w:id="2711" w:name="_Toc152089688"/>
      <w:bookmarkStart w:id="2712" w:name="_Toc152090577"/>
      <w:bookmarkStart w:id="2713" w:name="_Toc177119142"/>
      <w:bookmarkStart w:id="2714" w:name="_Toc185952663"/>
      <w:bookmarkStart w:id="2715" w:name="_Toc192874831"/>
      <w:bookmarkEnd w:id="2698"/>
      <w:bookmarkEnd w:id="2699"/>
      <w:bookmarkEnd w:id="2700"/>
      <w:bookmarkEnd w:id="2701"/>
      <w:bookmarkEnd w:id="2702"/>
      <w:bookmarkEnd w:id="2703"/>
      <w:bookmarkEnd w:id="2704"/>
      <w:bookmarkEnd w:id="2705"/>
      <w:r>
        <w:t>Work Plan Updates</w:t>
      </w:r>
      <w:bookmarkEnd w:id="2706"/>
      <w:bookmarkEnd w:id="2707"/>
      <w:bookmarkEnd w:id="2708"/>
      <w:r>
        <w:t xml:space="preserve"> Process Flow Narrative</w:t>
      </w:r>
      <w:bookmarkEnd w:id="2709"/>
      <w:bookmarkEnd w:id="2710"/>
      <w:bookmarkEnd w:id="2711"/>
      <w:bookmarkEnd w:id="2712"/>
      <w:bookmarkEnd w:id="2713"/>
      <w:bookmarkEnd w:id="2714"/>
      <w:bookmarkEnd w:id="2715"/>
    </w:p>
    <w:p w14:paraId="3533DC86" w14:textId="0B99F486" w:rsidR="00E90A9F" w:rsidRPr="00A21682" w:rsidRDefault="00E90A9F" w:rsidP="00837EB1">
      <w:pPr>
        <w:pStyle w:val="NormalNEW"/>
        <w:rPr>
          <w:lang w:val="en-US"/>
        </w:rPr>
      </w:pPr>
      <w:r>
        <w:rPr>
          <w:lang w:val="en-US"/>
        </w:rPr>
        <w:t>Below is the process for communicating Work Plan updates.</w:t>
      </w:r>
    </w:p>
    <w:tbl>
      <w:tblPr>
        <w:tblStyle w:val="ProcessSteps2"/>
        <w:tblW w:w="93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95"/>
        <w:gridCol w:w="2160"/>
        <w:gridCol w:w="3782"/>
        <w:gridCol w:w="2520"/>
      </w:tblGrid>
      <w:tr w:rsidR="00E90A9F" w:rsidRPr="00A21682" w14:paraId="7E9E2A95" w14:textId="77777777" w:rsidTr="000B5709">
        <w:trPr>
          <w:cnfStyle w:val="100000000000" w:firstRow="1" w:lastRow="0" w:firstColumn="0" w:lastColumn="0" w:oddVBand="0" w:evenVBand="0" w:oddHBand="0" w:evenHBand="0" w:firstRowFirstColumn="0" w:firstRowLastColumn="0" w:lastRowFirstColumn="0" w:lastRowLastColumn="0"/>
          <w:trHeight w:val="403"/>
        </w:trPr>
        <w:tc>
          <w:tcPr>
            <w:tcW w:w="895" w:type="dxa"/>
            <w:tcBorders>
              <w:right w:val="single" w:sz="2" w:space="0" w:color="FFFFFF" w:themeColor="background1"/>
            </w:tcBorders>
          </w:tcPr>
          <w:p w14:paraId="219FBDC0" w14:textId="77777777" w:rsidR="00E90A9F" w:rsidRPr="00A21682" w:rsidRDefault="00E90A9F" w:rsidP="00047C4E">
            <w:pPr>
              <w:pStyle w:val="TABLEHEADINGNEW"/>
              <w:rPr>
                <w:b/>
                <w:bCs w:val="0"/>
                <w:lang w:eastAsia="ja-JP"/>
              </w:rPr>
            </w:pPr>
            <w:bookmarkStart w:id="2716" w:name="_Toc143608359"/>
            <w:bookmarkStart w:id="2717" w:name="_Toc143612537"/>
            <w:r>
              <w:rPr>
                <w:b/>
                <w:bCs w:val="0"/>
                <w:lang w:eastAsia="ja-JP"/>
              </w:rPr>
              <w:t>Step #</w:t>
            </w:r>
          </w:p>
        </w:tc>
        <w:tc>
          <w:tcPr>
            <w:tcW w:w="2160" w:type="dxa"/>
            <w:tcBorders>
              <w:left w:val="single" w:sz="2" w:space="0" w:color="FFFFFF" w:themeColor="background1"/>
              <w:right w:val="single" w:sz="2" w:space="0" w:color="FFFFFF" w:themeColor="background1"/>
            </w:tcBorders>
          </w:tcPr>
          <w:p w14:paraId="083F23A7" w14:textId="77777777" w:rsidR="00E90A9F" w:rsidRPr="00A21682" w:rsidRDefault="00E90A9F" w:rsidP="00047C4E">
            <w:pPr>
              <w:pStyle w:val="TABLEHEADINGNEW"/>
              <w:rPr>
                <w:b/>
                <w:bCs w:val="0"/>
                <w:lang w:eastAsia="ja-JP"/>
              </w:rPr>
            </w:pPr>
            <w:r>
              <w:rPr>
                <w:b/>
                <w:bCs w:val="0"/>
                <w:lang w:eastAsia="ja-JP"/>
              </w:rPr>
              <w:t>Process Step</w:t>
            </w:r>
          </w:p>
        </w:tc>
        <w:tc>
          <w:tcPr>
            <w:tcW w:w="3782" w:type="dxa"/>
            <w:tcBorders>
              <w:left w:val="single" w:sz="2" w:space="0" w:color="FFFFFF" w:themeColor="background1"/>
              <w:right w:val="single" w:sz="2" w:space="0" w:color="FFFFFF" w:themeColor="background1"/>
            </w:tcBorders>
          </w:tcPr>
          <w:p w14:paraId="79477A48" w14:textId="77777777" w:rsidR="00E90A9F" w:rsidRPr="00A21682" w:rsidRDefault="00E90A9F" w:rsidP="00047C4E">
            <w:pPr>
              <w:pStyle w:val="TABLEHEADINGNEW"/>
              <w:rPr>
                <w:b/>
                <w:bCs w:val="0"/>
                <w:lang w:eastAsia="ja-JP"/>
              </w:rPr>
            </w:pPr>
            <w:r>
              <w:rPr>
                <w:b/>
                <w:bCs w:val="0"/>
                <w:lang w:eastAsia="ja-JP"/>
              </w:rPr>
              <w:t>Description</w:t>
            </w:r>
          </w:p>
        </w:tc>
        <w:tc>
          <w:tcPr>
            <w:tcW w:w="2520" w:type="dxa"/>
            <w:tcBorders>
              <w:left w:val="single" w:sz="2" w:space="0" w:color="FFFFFF" w:themeColor="background1"/>
            </w:tcBorders>
          </w:tcPr>
          <w:p w14:paraId="462B1A56" w14:textId="77777777" w:rsidR="00E90A9F" w:rsidRPr="00A21682" w:rsidRDefault="00E90A9F" w:rsidP="00047C4E">
            <w:pPr>
              <w:pStyle w:val="TABLEHEADINGNEW"/>
              <w:rPr>
                <w:b/>
                <w:bCs w:val="0"/>
                <w:lang w:eastAsia="ja-JP"/>
              </w:rPr>
            </w:pPr>
            <w:r>
              <w:rPr>
                <w:b/>
                <w:bCs w:val="0"/>
                <w:lang w:eastAsia="ja-JP"/>
              </w:rPr>
              <w:t>Stakeholder Group(s)</w:t>
            </w:r>
          </w:p>
        </w:tc>
      </w:tr>
      <w:tr w:rsidR="00E90A9F" w:rsidRPr="00A21682" w14:paraId="75D456C4" w14:textId="77777777" w:rsidTr="00047C4E">
        <w:trPr>
          <w:trHeight w:val="403"/>
        </w:trPr>
        <w:tc>
          <w:tcPr>
            <w:tcW w:w="895" w:type="dxa"/>
          </w:tcPr>
          <w:p w14:paraId="14D49210" w14:textId="77777777" w:rsidR="00E90A9F" w:rsidRPr="00A21682" w:rsidDel="002A736E" w:rsidRDefault="00E90A9F" w:rsidP="00047C4E">
            <w:pPr>
              <w:pStyle w:val="TABLETEXT1"/>
              <w:rPr>
                <w:lang w:val="en-US"/>
              </w:rPr>
            </w:pPr>
            <w:r>
              <w:rPr>
                <w:lang w:val="en-US"/>
              </w:rPr>
              <w:t>1</w:t>
            </w:r>
          </w:p>
        </w:tc>
        <w:tc>
          <w:tcPr>
            <w:tcW w:w="2160" w:type="dxa"/>
          </w:tcPr>
          <w:p w14:paraId="39F43413" w14:textId="77777777" w:rsidR="00E90A9F" w:rsidRPr="00A21682" w:rsidRDefault="00E90A9F" w:rsidP="00047C4E">
            <w:pPr>
              <w:pStyle w:val="TABLETEXT1"/>
              <w:rPr>
                <w:lang w:val="en-US"/>
              </w:rPr>
            </w:pPr>
            <w:r>
              <w:rPr>
                <w:lang w:val="en-US"/>
              </w:rPr>
              <w:t>Develop Materials</w:t>
            </w:r>
          </w:p>
        </w:tc>
        <w:tc>
          <w:tcPr>
            <w:tcW w:w="3782" w:type="dxa"/>
          </w:tcPr>
          <w:p w14:paraId="687E8295" w14:textId="2C4663FD" w:rsidR="00E90A9F" w:rsidRPr="00A21682" w:rsidRDefault="00E90A9F" w:rsidP="00047C4E">
            <w:pPr>
              <w:pStyle w:val="TABLETEXT1"/>
              <w:rPr>
                <w:lang w:val="en-US"/>
              </w:rPr>
            </w:pPr>
            <w:r>
              <w:rPr>
                <w:lang w:val="en-US"/>
              </w:rPr>
              <w:t xml:space="preserve">███████ PMO collaborates with PMO liaisons to make updates to applicable items in the Work Plan. </w:t>
            </w:r>
          </w:p>
        </w:tc>
        <w:tc>
          <w:tcPr>
            <w:tcW w:w="2520" w:type="dxa"/>
          </w:tcPr>
          <w:p w14:paraId="58648B7C" w14:textId="77777777" w:rsidR="00E90A9F" w:rsidRPr="00635C9B" w:rsidRDefault="00E90A9F" w:rsidP="006021A2">
            <w:pPr>
              <w:pStyle w:val="TABLEBULLETNEW"/>
            </w:pPr>
            <w:r>
              <w:t>PMO</w:t>
            </w:r>
          </w:p>
          <w:p w14:paraId="2447E978" w14:textId="77777777" w:rsidR="00E90A9F" w:rsidRPr="00635C9B" w:rsidRDefault="00E90A9F" w:rsidP="006021A2">
            <w:pPr>
              <w:pStyle w:val="TABLEBULLETNEW"/>
            </w:pPr>
            <w:r>
              <w:t>Impacted Stakeholder Group</w:t>
            </w:r>
          </w:p>
        </w:tc>
      </w:tr>
      <w:tr w:rsidR="00E90A9F" w:rsidRPr="00A21682" w14:paraId="16B0E282" w14:textId="77777777" w:rsidTr="00047C4E">
        <w:trPr>
          <w:trHeight w:val="403"/>
        </w:trPr>
        <w:tc>
          <w:tcPr>
            <w:tcW w:w="895" w:type="dxa"/>
          </w:tcPr>
          <w:p w14:paraId="6E11838D" w14:textId="77777777" w:rsidR="00E90A9F" w:rsidRPr="00A21682" w:rsidRDefault="00E90A9F" w:rsidP="00047C4E">
            <w:pPr>
              <w:pStyle w:val="TABLETEXT1"/>
              <w:rPr>
                <w:lang w:val="en-US"/>
              </w:rPr>
            </w:pPr>
            <w:r>
              <w:rPr>
                <w:lang w:val="en-US"/>
              </w:rPr>
              <w:t>2</w:t>
            </w:r>
          </w:p>
        </w:tc>
        <w:tc>
          <w:tcPr>
            <w:tcW w:w="2160" w:type="dxa"/>
          </w:tcPr>
          <w:p w14:paraId="30F0BD39" w14:textId="77777777" w:rsidR="00E90A9F" w:rsidRPr="00A21682" w:rsidRDefault="00E90A9F" w:rsidP="00047C4E">
            <w:pPr>
              <w:pStyle w:val="TABLETEXT1"/>
              <w:rPr>
                <w:lang w:val="en-US"/>
              </w:rPr>
            </w:pPr>
            <w:r>
              <w:rPr>
                <w:lang w:val="en-US"/>
              </w:rPr>
              <w:t>Review Materials</w:t>
            </w:r>
          </w:p>
        </w:tc>
        <w:tc>
          <w:tcPr>
            <w:tcW w:w="3782" w:type="dxa"/>
          </w:tcPr>
          <w:p w14:paraId="1E97F712" w14:textId="1CD5EA33" w:rsidR="00E90A9F" w:rsidRPr="00A21682" w:rsidRDefault="00E90A9F" w:rsidP="00047C4E">
            <w:pPr>
              <w:pStyle w:val="TABLETEXT1"/>
              <w:rPr>
                <w:lang w:val="en-US"/>
              </w:rPr>
            </w:pPr>
            <w:r>
              <w:rPr>
                <w:lang w:val="en-US"/>
              </w:rPr>
              <w:t>███████ PMO then shares the revised Work Plan that incorporates additions. Relevant stakeholders have an opportunity to review the updated Work Plan and indicate any further suggestions.</w:t>
            </w:r>
          </w:p>
        </w:tc>
        <w:tc>
          <w:tcPr>
            <w:tcW w:w="2520" w:type="dxa"/>
          </w:tcPr>
          <w:p w14:paraId="46EE2C54" w14:textId="77777777" w:rsidR="00E90A9F" w:rsidRPr="00635C9B" w:rsidRDefault="00E90A9F" w:rsidP="006021A2">
            <w:pPr>
              <w:pStyle w:val="TABLEBULLETNEW"/>
            </w:pPr>
            <w:r>
              <w:t>PMO</w:t>
            </w:r>
          </w:p>
          <w:p w14:paraId="3A277499" w14:textId="77777777" w:rsidR="00E90A9F" w:rsidRPr="00635C9B" w:rsidRDefault="00E90A9F" w:rsidP="006021A2">
            <w:pPr>
              <w:pStyle w:val="TABLEBULLETNEW"/>
            </w:pPr>
            <w:r>
              <w:t>Impacted Stakeholder Group</w:t>
            </w:r>
          </w:p>
        </w:tc>
      </w:tr>
      <w:tr w:rsidR="00E90A9F" w:rsidRPr="00A21682" w14:paraId="6CD06F6A" w14:textId="77777777" w:rsidTr="00047C4E">
        <w:trPr>
          <w:trHeight w:val="403"/>
        </w:trPr>
        <w:tc>
          <w:tcPr>
            <w:tcW w:w="895" w:type="dxa"/>
          </w:tcPr>
          <w:p w14:paraId="1AEE4F4C" w14:textId="77777777" w:rsidR="00E90A9F" w:rsidRPr="00A21682" w:rsidRDefault="00E90A9F" w:rsidP="00047C4E">
            <w:pPr>
              <w:pStyle w:val="TABLETEXT1"/>
              <w:rPr>
                <w:lang w:val="en-US"/>
              </w:rPr>
            </w:pPr>
            <w:r>
              <w:rPr>
                <w:lang w:val="en-US"/>
              </w:rPr>
              <w:t>2.1</w:t>
            </w:r>
          </w:p>
        </w:tc>
        <w:tc>
          <w:tcPr>
            <w:tcW w:w="2160" w:type="dxa"/>
          </w:tcPr>
          <w:p w14:paraId="4364E7AF" w14:textId="77777777" w:rsidR="00E90A9F" w:rsidRPr="00A21682" w:rsidRDefault="00E90A9F" w:rsidP="00047C4E">
            <w:pPr>
              <w:pStyle w:val="TABLETEXT1"/>
              <w:rPr>
                <w:lang w:val="en-US"/>
              </w:rPr>
            </w:pPr>
            <w:r>
              <w:rPr>
                <w:lang w:val="en-US"/>
              </w:rPr>
              <w:t>Meeting Required?</w:t>
            </w:r>
          </w:p>
        </w:tc>
        <w:tc>
          <w:tcPr>
            <w:tcW w:w="3782" w:type="dxa"/>
          </w:tcPr>
          <w:p w14:paraId="1118EC95" w14:textId="552C1909" w:rsidR="00E90A9F" w:rsidRPr="00A21682" w:rsidRDefault="00E90A9F" w:rsidP="004063E4">
            <w:pPr>
              <w:pStyle w:val="TABLEBULLETNEW"/>
              <w:rPr>
                <w:i/>
                <w:iCs/>
              </w:rPr>
            </w:pPr>
            <w:r>
              <w:t xml:space="preserve">If during the review of the Work Plan updates it is determined that a meeting with stakeholders is required to discuss the content, proceed to </w:t>
            </w:r>
            <w:r>
              <w:rPr>
                <w:i/>
                <w:iCs/>
              </w:rPr>
              <w:t>Step #3 Facilitate Meeting and Edit Materials as Needed</w:t>
            </w:r>
          </w:p>
          <w:p w14:paraId="0438D8F7" w14:textId="17C95E84" w:rsidR="00E90A9F" w:rsidRPr="00A21682" w:rsidRDefault="00E90A9F" w:rsidP="004063E4">
            <w:pPr>
              <w:pStyle w:val="TABLEBULLETNEW"/>
            </w:pPr>
            <w:r>
              <w:t xml:space="preserve">If a meeting is not required, proceed to </w:t>
            </w:r>
            <w:r>
              <w:rPr>
                <w:i/>
                <w:iCs/>
              </w:rPr>
              <w:t>Step #4 Distribute Final Materials</w:t>
            </w:r>
          </w:p>
        </w:tc>
        <w:tc>
          <w:tcPr>
            <w:tcW w:w="2520" w:type="dxa"/>
          </w:tcPr>
          <w:p w14:paraId="13E81E20" w14:textId="77777777" w:rsidR="00E90A9F" w:rsidRPr="00635C9B" w:rsidRDefault="00E90A9F" w:rsidP="006021A2">
            <w:pPr>
              <w:pStyle w:val="TABLEBULLETNEW"/>
            </w:pPr>
            <w:r>
              <w:t>PMO</w:t>
            </w:r>
          </w:p>
          <w:p w14:paraId="4AD87369" w14:textId="77777777" w:rsidR="00E90A9F" w:rsidRPr="00635C9B" w:rsidRDefault="00E90A9F" w:rsidP="006021A2">
            <w:pPr>
              <w:pStyle w:val="TABLEBULLETNEW"/>
            </w:pPr>
            <w:r>
              <w:t>Impacted Stakeholder Group</w:t>
            </w:r>
          </w:p>
        </w:tc>
      </w:tr>
      <w:tr w:rsidR="00E90A9F" w:rsidRPr="00A21682" w14:paraId="7C9582D9" w14:textId="77777777" w:rsidTr="00047C4E">
        <w:trPr>
          <w:trHeight w:val="403"/>
        </w:trPr>
        <w:tc>
          <w:tcPr>
            <w:tcW w:w="895" w:type="dxa"/>
          </w:tcPr>
          <w:p w14:paraId="134F2168" w14:textId="77777777" w:rsidR="00E90A9F" w:rsidRPr="00A21682" w:rsidRDefault="00E90A9F" w:rsidP="00047C4E">
            <w:pPr>
              <w:pStyle w:val="TABLETEXT1"/>
              <w:rPr>
                <w:lang w:val="en-US"/>
              </w:rPr>
            </w:pPr>
            <w:r>
              <w:rPr>
                <w:lang w:val="en-US"/>
              </w:rPr>
              <w:t>3</w:t>
            </w:r>
          </w:p>
        </w:tc>
        <w:tc>
          <w:tcPr>
            <w:tcW w:w="2160" w:type="dxa"/>
          </w:tcPr>
          <w:p w14:paraId="5DC15BD6" w14:textId="77777777" w:rsidR="00E90A9F" w:rsidRPr="00A21682" w:rsidRDefault="00E90A9F" w:rsidP="00047C4E">
            <w:pPr>
              <w:pStyle w:val="TABLETEXT1"/>
              <w:rPr>
                <w:lang w:val="en-US"/>
              </w:rPr>
            </w:pPr>
            <w:r>
              <w:rPr>
                <w:lang w:val="en-US"/>
              </w:rPr>
              <w:t>Facilitate Meeting and Edit Materials as Needed</w:t>
            </w:r>
          </w:p>
        </w:tc>
        <w:tc>
          <w:tcPr>
            <w:tcW w:w="3782" w:type="dxa"/>
          </w:tcPr>
          <w:p w14:paraId="5DECFE67" w14:textId="77777777" w:rsidR="00E90A9F" w:rsidRPr="00A21682" w:rsidRDefault="00E90A9F" w:rsidP="00047C4E">
            <w:pPr>
              <w:pStyle w:val="TABLETEXT1"/>
              <w:rPr>
                <w:lang w:val="en-US"/>
              </w:rPr>
            </w:pPr>
            <w:r>
              <w:rPr>
                <w:lang w:val="en-US"/>
              </w:rPr>
              <w:t>If a meeting is needed, ███████ PMO reviews the Work Plan with track leads to discuss outstanding items. ███████ PMO then makes updates to the document.</w:t>
            </w:r>
          </w:p>
        </w:tc>
        <w:tc>
          <w:tcPr>
            <w:tcW w:w="2520" w:type="dxa"/>
          </w:tcPr>
          <w:p w14:paraId="67E89134" w14:textId="77777777" w:rsidR="00E90A9F" w:rsidRPr="00635C9B" w:rsidRDefault="00E90A9F" w:rsidP="006021A2">
            <w:pPr>
              <w:pStyle w:val="TABLEBULLETNEW"/>
            </w:pPr>
            <w:r>
              <w:t>PMO</w:t>
            </w:r>
          </w:p>
          <w:p w14:paraId="60176549" w14:textId="77777777" w:rsidR="00E90A9F" w:rsidRPr="00635C9B" w:rsidRDefault="00E90A9F" w:rsidP="006021A2">
            <w:pPr>
              <w:pStyle w:val="TABLEBULLETNEW"/>
            </w:pPr>
            <w:r>
              <w:t>Impacted Stakeholder Group</w:t>
            </w:r>
          </w:p>
        </w:tc>
      </w:tr>
      <w:tr w:rsidR="00E90A9F" w:rsidRPr="00A21682" w14:paraId="2F5C6632" w14:textId="77777777" w:rsidTr="00047C4E">
        <w:trPr>
          <w:trHeight w:val="403"/>
        </w:trPr>
        <w:tc>
          <w:tcPr>
            <w:tcW w:w="895" w:type="dxa"/>
          </w:tcPr>
          <w:p w14:paraId="0EC9BD2A" w14:textId="77777777" w:rsidR="00E90A9F" w:rsidRPr="00A21682" w:rsidRDefault="00E90A9F" w:rsidP="00047C4E">
            <w:pPr>
              <w:pStyle w:val="TABLETEXT1"/>
              <w:rPr>
                <w:lang w:val="en-US"/>
              </w:rPr>
            </w:pPr>
            <w:r>
              <w:rPr>
                <w:lang w:val="en-US"/>
              </w:rPr>
              <w:t>4</w:t>
            </w:r>
          </w:p>
        </w:tc>
        <w:tc>
          <w:tcPr>
            <w:tcW w:w="2160" w:type="dxa"/>
          </w:tcPr>
          <w:p w14:paraId="6C6AB152" w14:textId="77777777" w:rsidR="00E90A9F" w:rsidRPr="00A21682" w:rsidRDefault="00E90A9F" w:rsidP="00047C4E">
            <w:pPr>
              <w:pStyle w:val="TABLETEXT1"/>
              <w:rPr>
                <w:lang w:val="en-US"/>
              </w:rPr>
            </w:pPr>
            <w:r>
              <w:rPr>
                <w:lang w:val="en-US"/>
              </w:rPr>
              <w:t xml:space="preserve">Distribute Final Materials </w:t>
            </w:r>
          </w:p>
        </w:tc>
        <w:tc>
          <w:tcPr>
            <w:tcW w:w="3782" w:type="dxa"/>
          </w:tcPr>
          <w:p w14:paraId="5421986A" w14:textId="152F8AAF" w:rsidR="00E90A9F" w:rsidRPr="00A21682" w:rsidRDefault="00E90A9F" w:rsidP="00047C4E">
            <w:pPr>
              <w:pStyle w:val="TABLETEXT1"/>
              <w:rPr>
                <w:lang w:val="en-US"/>
              </w:rPr>
            </w:pPr>
            <w:r>
              <w:rPr>
                <w:lang w:val="en-US"/>
              </w:rPr>
              <w:t xml:space="preserve">███████ PMO saves a copy of the file on the project SharePoint site for team members to access on a weekly cadence. </w:t>
            </w:r>
          </w:p>
        </w:tc>
        <w:tc>
          <w:tcPr>
            <w:tcW w:w="2520" w:type="dxa"/>
          </w:tcPr>
          <w:p w14:paraId="27E0FDA4" w14:textId="77777777" w:rsidR="00E90A9F" w:rsidRPr="00635C9B" w:rsidRDefault="00E90A9F" w:rsidP="006021A2">
            <w:pPr>
              <w:pStyle w:val="TABLEBULLETNEW"/>
            </w:pPr>
            <w:r>
              <w:t>PMO</w:t>
            </w:r>
          </w:p>
          <w:p w14:paraId="7D6F3BF7" w14:textId="77777777" w:rsidR="00E90A9F" w:rsidRPr="00635C9B" w:rsidRDefault="00E90A9F" w:rsidP="006021A2">
            <w:pPr>
              <w:pStyle w:val="TABLEBULLETNEW"/>
            </w:pPr>
            <w:r>
              <w:t>Impacted Stakeholder Group</w:t>
            </w:r>
          </w:p>
        </w:tc>
      </w:tr>
    </w:tbl>
    <w:p w14:paraId="06C9628F" w14:textId="4C23E5FE" w:rsidR="00E90A9F" w:rsidRPr="00A21682" w:rsidRDefault="00E90A9F" w:rsidP="00D818D3">
      <w:pPr>
        <w:pStyle w:val="Caption"/>
        <w:rPr>
          <w:noProof w:val="0"/>
        </w:rPr>
      </w:pPr>
      <w:bookmarkStart w:id="2718" w:name="_Toc144828284"/>
      <w:bookmarkStart w:id="2719" w:name="_Toc147240619"/>
      <w:bookmarkStart w:id="2720" w:name="_Toc152090638"/>
      <w:bookmarkStart w:id="2721" w:name="_Toc192875176"/>
      <w:bookmarkStart w:id="2722" w:name="_Toc143612521"/>
      <w:bookmarkStart w:id="2723" w:name="_Toc143877686"/>
      <w:bookmarkEnd w:id="2716"/>
      <w:bookmarkEnd w:id="271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7</w:t>
      </w:r>
      <w:r>
        <w:rPr>
          <w:noProof w:val="0"/>
        </w:rPr>
        <w:fldChar w:fldCharType="end"/>
      </w:r>
      <w:r>
        <w:rPr>
          <w:noProof w:val="0"/>
        </w:rPr>
        <w:t>: Work Plan Updates</w:t>
      </w:r>
      <w:bookmarkEnd w:id="2718"/>
      <w:bookmarkEnd w:id="2719"/>
      <w:bookmarkEnd w:id="2720"/>
      <w:bookmarkEnd w:id="2721"/>
    </w:p>
    <w:p w14:paraId="295C59B1" w14:textId="77777777" w:rsidR="00E90A9F" w:rsidRPr="00A21682" w:rsidRDefault="00E90A9F">
      <w:pPr>
        <w:pStyle w:val="Heading3"/>
      </w:pPr>
      <w:bookmarkStart w:id="2724" w:name="_Toc144812332"/>
      <w:bookmarkStart w:id="2725" w:name="_Toc144812440"/>
      <w:bookmarkStart w:id="2726" w:name="_Toc144827636"/>
      <w:bookmarkStart w:id="2727" w:name="_Toc147240788"/>
      <w:bookmarkStart w:id="2728" w:name="_Toc149049801"/>
      <w:bookmarkStart w:id="2729" w:name="_Toc152089689"/>
      <w:bookmarkStart w:id="2730" w:name="_Toc152090578"/>
      <w:bookmarkStart w:id="2731" w:name="_Toc177119143"/>
      <w:bookmarkStart w:id="2732" w:name="_Toc185952664"/>
      <w:bookmarkStart w:id="2733" w:name="_Toc192874832"/>
      <w:bookmarkEnd w:id="2724"/>
      <w:bookmarkEnd w:id="2725"/>
      <w:r>
        <w:lastRenderedPageBreak/>
        <w:t>SIT/UAT Test Metrics</w:t>
      </w:r>
      <w:bookmarkEnd w:id="2722"/>
      <w:bookmarkEnd w:id="2723"/>
      <w:bookmarkEnd w:id="2726"/>
      <w:r>
        <w:t xml:space="preserve"> Process Flow Narrative</w:t>
      </w:r>
      <w:bookmarkEnd w:id="2727"/>
      <w:bookmarkEnd w:id="2728"/>
      <w:bookmarkEnd w:id="2729"/>
      <w:bookmarkEnd w:id="2730"/>
      <w:bookmarkEnd w:id="2731"/>
      <w:bookmarkEnd w:id="2732"/>
      <w:bookmarkEnd w:id="2733"/>
    </w:p>
    <w:p w14:paraId="56E9985E" w14:textId="4EFBA639" w:rsidR="00E90A9F" w:rsidRPr="00A21682" w:rsidRDefault="00E90A9F" w:rsidP="00837EB1">
      <w:pPr>
        <w:pStyle w:val="NormalNEW"/>
        <w:rPr>
          <w:lang w:val="en-US"/>
        </w:rPr>
      </w:pPr>
      <w:r>
        <w:rPr>
          <w:lang w:val="en-US"/>
        </w:rPr>
        <w:t>The process for communicating SIT/UAT test metrics during the SIT and UAT test phases is detailed in the Test Management Plan (DEL-09).</w:t>
      </w:r>
    </w:p>
    <w:p w14:paraId="5A872969" w14:textId="77777777" w:rsidR="00E90A9F" w:rsidRPr="00A21682" w:rsidRDefault="00E90A9F">
      <w:pPr>
        <w:pStyle w:val="Heading3"/>
      </w:pPr>
      <w:bookmarkStart w:id="2734" w:name="_Toc149133723"/>
      <w:bookmarkStart w:id="2735" w:name="_Toc149562876"/>
      <w:bookmarkStart w:id="2736" w:name="_Toc149574913"/>
      <w:bookmarkStart w:id="2737" w:name="_Toc149575904"/>
      <w:bookmarkStart w:id="2738" w:name="_Toc144812337"/>
      <w:bookmarkStart w:id="2739" w:name="_Toc144812445"/>
      <w:bookmarkStart w:id="2740" w:name="_Toc144827638"/>
      <w:bookmarkStart w:id="2741" w:name="_Toc147240789"/>
      <w:bookmarkStart w:id="2742" w:name="_Toc149049802"/>
      <w:bookmarkStart w:id="2743" w:name="_Toc152089690"/>
      <w:bookmarkStart w:id="2744" w:name="_Toc152090579"/>
      <w:bookmarkStart w:id="2745" w:name="_Toc177119144"/>
      <w:bookmarkStart w:id="2746" w:name="_Toc185952665"/>
      <w:bookmarkStart w:id="2747" w:name="_Toc192874833"/>
      <w:bookmarkEnd w:id="2734"/>
      <w:bookmarkEnd w:id="2735"/>
      <w:bookmarkEnd w:id="2736"/>
      <w:bookmarkEnd w:id="2737"/>
      <w:bookmarkEnd w:id="2738"/>
      <w:bookmarkEnd w:id="2739"/>
      <w:r>
        <w:t>Release Plans</w:t>
      </w:r>
      <w:bookmarkEnd w:id="2740"/>
      <w:r>
        <w:t xml:space="preserve"> Process Flow Narrative</w:t>
      </w:r>
      <w:bookmarkEnd w:id="2741"/>
      <w:bookmarkEnd w:id="2742"/>
      <w:bookmarkEnd w:id="2743"/>
      <w:bookmarkEnd w:id="2744"/>
      <w:bookmarkEnd w:id="2745"/>
      <w:bookmarkEnd w:id="2746"/>
      <w:bookmarkEnd w:id="2747"/>
    </w:p>
    <w:p w14:paraId="0E4C8421" w14:textId="30022285" w:rsidR="00E90A9F" w:rsidRPr="00A21682" w:rsidRDefault="00E90A9F" w:rsidP="00837EB1">
      <w:pPr>
        <w:pStyle w:val="NormalNEW"/>
        <w:rPr>
          <w:lang w:val="en-US"/>
        </w:rPr>
      </w:pPr>
      <w:r>
        <w:rPr>
          <w:lang w:val="en-US"/>
        </w:rPr>
        <w:t>The process and schedule for communicating release plans are defined in the Release Management Plan (DEL-34).</w:t>
      </w:r>
    </w:p>
    <w:p w14:paraId="28759771" w14:textId="77777777" w:rsidR="00E90A9F" w:rsidRPr="00A21682" w:rsidRDefault="00E90A9F">
      <w:pPr>
        <w:pStyle w:val="Heading3"/>
      </w:pPr>
      <w:bookmarkStart w:id="2748" w:name="_Toc149133761"/>
      <w:bookmarkStart w:id="2749" w:name="_Toc149562914"/>
      <w:bookmarkStart w:id="2750" w:name="_Toc149574951"/>
      <w:bookmarkStart w:id="2751" w:name="_Toc149575942"/>
      <w:bookmarkStart w:id="2752" w:name="_Toc144812342"/>
      <w:bookmarkStart w:id="2753" w:name="_Toc144812450"/>
      <w:bookmarkStart w:id="2754" w:name="_Toc143612523"/>
      <w:bookmarkStart w:id="2755" w:name="_Toc143877692"/>
      <w:bookmarkStart w:id="2756" w:name="_Toc144827640"/>
      <w:bookmarkStart w:id="2757" w:name="_Toc147240790"/>
      <w:bookmarkStart w:id="2758" w:name="_Toc149049803"/>
      <w:bookmarkStart w:id="2759" w:name="_Toc152089691"/>
      <w:bookmarkStart w:id="2760" w:name="_Toc152090580"/>
      <w:bookmarkStart w:id="2761" w:name="_Toc177119145"/>
      <w:bookmarkStart w:id="2762" w:name="_Toc185952666"/>
      <w:bookmarkStart w:id="2763" w:name="_Toc192874834"/>
      <w:bookmarkEnd w:id="2748"/>
      <w:bookmarkEnd w:id="2749"/>
      <w:bookmarkEnd w:id="2750"/>
      <w:bookmarkEnd w:id="2751"/>
      <w:bookmarkEnd w:id="2752"/>
      <w:bookmarkEnd w:id="2753"/>
      <w:r>
        <w:t>Technical Deployment Checklists</w:t>
      </w:r>
      <w:bookmarkEnd w:id="2754"/>
      <w:bookmarkEnd w:id="2755"/>
      <w:bookmarkEnd w:id="2756"/>
      <w:r>
        <w:t xml:space="preserve"> Process Flow Narrative</w:t>
      </w:r>
      <w:bookmarkEnd w:id="2757"/>
      <w:bookmarkEnd w:id="2758"/>
      <w:bookmarkEnd w:id="2759"/>
      <w:bookmarkEnd w:id="2760"/>
      <w:bookmarkEnd w:id="2761"/>
      <w:bookmarkEnd w:id="2762"/>
      <w:bookmarkEnd w:id="2763"/>
    </w:p>
    <w:p w14:paraId="423F9F65" w14:textId="446F5A42" w:rsidR="00E90A9F" w:rsidRPr="00A21682" w:rsidRDefault="00E90A9F" w:rsidP="00837EB1">
      <w:pPr>
        <w:pStyle w:val="NormalNEW"/>
        <w:rPr>
          <w:lang w:val="en-US"/>
        </w:rPr>
      </w:pPr>
      <w:r>
        <w:rPr>
          <w:lang w:val="en-US"/>
        </w:rPr>
        <w:t>The process for communicating technical deployment checklists is defined in the Release Management Plan (DEL-34).</w:t>
      </w:r>
    </w:p>
    <w:p w14:paraId="1DD2BB43" w14:textId="77777777" w:rsidR="00E90A9F" w:rsidRPr="00A21682" w:rsidRDefault="00E90A9F">
      <w:pPr>
        <w:pStyle w:val="Heading3"/>
      </w:pPr>
      <w:bookmarkStart w:id="2764" w:name="_Toc149133803"/>
      <w:bookmarkStart w:id="2765" w:name="_Toc149562956"/>
      <w:bookmarkStart w:id="2766" w:name="_Toc149574993"/>
      <w:bookmarkStart w:id="2767" w:name="_Toc149575984"/>
      <w:bookmarkStart w:id="2768" w:name="_Toc144812347"/>
      <w:bookmarkStart w:id="2769" w:name="_Toc144812455"/>
      <w:bookmarkStart w:id="2770" w:name="_Toc144812348"/>
      <w:bookmarkStart w:id="2771" w:name="_Toc144812456"/>
      <w:bookmarkStart w:id="2772" w:name="_Toc143612524"/>
      <w:bookmarkStart w:id="2773" w:name="_Toc143877695"/>
      <w:bookmarkStart w:id="2774" w:name="_Toc144827642"/>
      <w:bookmarkStart w:id="2775" w:name="_Toc147240791"/>
      <w:bookmarkStart w:id="2776" w:name="_Toc149049804"/>
      <w:bookmarkStart w:id="2777" w:name="_Toc152089692"/>
      <w:bookmarkStart w:id="2778" w:name="_Toc152090581"/>
      <w:bookmarkStart w:id="2779" w:name="_Toc177119146"/>
      <w:bookmarkStart w:id="2780" w:name="_Toc185952667"/>
      <w:bookmarkStart w:id="2781" w:name="_Toc192874835"/>
      <w:bookmarkEnd w:id="2764"/>
      <w:bookmarkEnd w:id="2765"/>
      <w:bookmarkEnd w:id="2766"/>
      <w:bookmarkEnd w:id="2767"/>
      <w:bookmarkEnd w:id="2768"/>
      <w:bookmarkEnd w:id="2769"/>
      <w:bookmarkEnd w:id="2770"/>
      <w:bookmarkEnd w:id="2771"/>
      <w:r>
        <w:t>End-User Training Materials</w:t>
      </w:r>
      <w:bookmarkEnd w:id="2772"/>
      <w:bookmarkEnd w:id="2773"/>
      <w:bookmarkEnd w:id="2774"/>
      <w:r>
        <w:t xml:space="preserve"> Process Flow Narrative</w:t>
      </w:r>
      <w:bookmarkEnd w:id="2775"/>
      <w:bookmarkEnd w:id="2776"/>
      <w:bookmarkEnd w:id="2777"/>
      <w:bookmarkEnd w:id="2778"/>
      <w:bookmarkEnd w:id="2779"/>
      <w:bookmarkEnd w:id="2780"/>
      <w:bookmarkEnd w:id="2781"/>
    </w:p>
    <w:p w14:paraId="3866BD73" w14:textId="7EE666BF" w:rsidR="00E90A9F" w:rsidRPr="00A21682" w:rsidRDefault="00E90A9F" w:rsidP="00837EB1">
      <w:pPr>
        <w:pStyle w:val="NormalNEW"/>
        <w:rPr>
          <w:lang w:val="en-US"/>
        </w:rPr>
      </w:pPr>
      <w:r>
        <w:rPr>
          <w:lang w:val="en-US"/>
        </w:rPr>
        <w:t xml:space="preserve">The process for communicating end-user training is defined in the Training Plan (DEL-10). </w:t>
      </w:r>
    </w:p>
    <w:p w14:paraId="587EC2E3" w14:textId="77777777" w:rsidR="00E90A9F" w:rsidRPr="00A21682" w:rsidRDefault="00E90A9F">
      <w:pPr>
        <w:pStyle w:val="Heading3"/>
      </w:pPr>
      <w:bookmarkStart w:id="2782" w:name="_Toc149133842"/>
      <w:bookmarkStart w:id="2783" w:name="_Toc149562995"/>
      <w:bookmarkStart w:id="2784" w:name="_Toc149575032"/>
      <w:bookmarkStart w:id="2785" w:name="_Toc149576023"/>
      <w:bookmarkStart w:id="2786" w:name="_Toc149669398"/>
      <w:bookmarkStart w:id="2787" w:name="_Toc149670629"/>
      <w:bookmarkStart w:id="2788" w:name="_Toc152090619"/>
      <w:bookmarkStart w:id="2789" w:name="_Toc144812353"/>
      <w:bookmarkStart w:id="2790" w:name="_Toc144812461"/>
      <w:bookmarkStart w:id="2791" w:name="_Toc144812354"/>
      <w:bookmarkStart w:id="2792" w:name="_Toc144812462"/>
      <w:bookmarkStart w:id="2793" w:name="_Toc149049805"/>
      <w:bookmarkStart w:id="2794" w:name="_Toc152089725"/>
      <w:bookmarkStart w:id="2795" w:name="_Toc152090620"/>
      <w:bookmarkStart w:id="2796" w:name="_Toc177119147"/>
      <w:bookmarkStart w:id="2797" w:name="_Toc185952668"/>
      <w:bookmarkStart w:id="2798" w:name="_Toc192874836"/>
      <w:bookmarkEnd w:id="2782"/>
      <w:bookmarkEnd w:id="2783"/>
      <w:bookmarkEnd w:id="2784"/>
      <w:bookmarkEnd w:id="2785"/>
      <w:bookmarkEnd w:id="2786"/>
      <w:bookmarkEnd w:id="2787"/>
      <w:bookmarkEnd w:id="2788"/>
      <w:bookmarkEnd w:id="2789"/>
      <w:bookmarkEnd w:id="2790"/>
      <w:bookmarkEnd w:id="2791"/>
      <w:bookmarkEnd w:id="2792"/>
      <w:r>
        <w:t>Critical Communication Process Flow</w:t>
      </w:r>
      <w:r>
        <w:rPr>
          <w:rFonts w:cs="Verdana"/>
        </w:rPr>
        <w:t xml:space="preserve"> </w:t>
      </w:r>
      <w:r>
        <w:t>Narrative</w:t>
      </w:r>
      <w:bookmarkEnd w:id="2793"/>
      <w:bookmarkEnd w:id="2794"/>
      <w:bookmarkEnd w:id="2795"/>
      <w:bookmarkEnd w:id="2796"/>
      <w:bookmarkEnd w:id="2797"/>
      <w:bookmarkEnd w:id="2798"/>
    </w:p>
    <w:p w14:paraId="12075DB4" w14:textId="77777777" w:rsidR="00E90A9F" w:rsidRPr="00A21682" w:rsidRDefault="00E90A9F" w:rsidP="00837EB1">
      <w:pPr>
        <w:pStyle w:val="NormalNEW"/>
        <w:rPr>
          <w:lang w:val="en-US"/>
        </w:rPr>
      </w:pPr>
      <w:r>
        <w:rPr>
          <w:lang w:val="en-US"/>
        </w:rPr>
        <w:t xml:space="preserve">In addition to the planned communications, there are times when unplanned communications are required. These critical communications require expedited turnaround time, but they follow the same Communications Management process flow. </w:t>
      </w:r>
    </w:p>
    <w:tbl>
      <w:tblPr>
        <w:tblStyle w:val="ProcessSteps2"/>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95"/>
        <w:gridCol w:w="2160"/>
        <w:gridCol w:w="3690"/>
        <w:gridCol w:w="2610"/>
      </w:tblGrid>
      <w:tr w:rsidR="00E90A9F" w:rsidRPr="00A21682" w14:paraId="22C8CE7B" w14:textId="77777777" w:rsidTr="000B5709">
        <w:trPr>
          <w:cnfStyle w:val="100000000000" w:firstRow="1" w:lastRow="0" w:firstColumn="0" w:lastColumn="0" w:oddVBand="0" w:evenVBand="0" w:oddHBand="0" w:evenHBand="0" w:firstRowFirstColumn="0" w:firstRowLastColumn="0" w:lastRowFirstColumn="0" w:lastRowLastColumn="0"/>
          <w:trHeight w:val="403"/>
        </w:trPr>
        <w:tc>
          <w:tcPr>
            <w:tcW w:w="895" w:type="dxa"/>
            <w:tcBorders>
              <w:right w:val="single" w:sz="2" w:space="0" w:color="FFFFFF" w:themeColor="background1"/>
            </w:tcBorders>
          </w:tcPr>
          <w:p w14:paraId="3FA270B2" w14:textId="77777777" w:rsidR="00E90A9F" w:rsidRPr="00A21682" w:rsidRDefault="00E90A9F" w:rsidP="00047C4E">
            <w:pPr>
              <w:pStyle w:val="TABLEHEADINGNEW"/>
              <w:rPr>
                <w:b/>
                <w:bCs w:val="0"/>
                <w:lang w:eastAsia="ja-JP"/>
              </w:rPr>
            </w:pPr>
            <w:r>
              <w:rPr>
                <w:b/>
                <w:bCs w:val="0"/>
                <w:lang w:eastAsia="ja-JP"/>
              </w:rPr>
              <w:t>Step #</w:t>
            </w:r>
          </w:p>
        </w:tc>
        <w:tc>
          <w:tcPr>
            <w:tcW w:w="2160" w:type="dxa"/>
            <w:tcBorders>
              <w:left w:val="single" w:sz="2" w:space="0" w:color="FFFFFF" w:themeColor="background1"/>
              <w:right w:val="single" w:sz="2" w:space="0" w:color="FFFFFF" w:themeColor="background1"/>
            </w:tcBorders>
          </w:tcPr>
          <w:p w14:paraId="55CA403E" w14:textId="77777777" w:rsidR="00E90A9F" w:rsidRPr="00A21682" w:rsidRDefault="00E90A9F" w:rsidP="00047C4E">
            <w:pPr>
              <w:pStyle w:val="TABLEHEADINGNEW"/>
              <w:rPr>
                <w:b/>
                <w:bCs w:val="0"/>
                <w:lang w:eastAsia="ja-JP"/>
              </w:rPr>
            </w:pPr>
            <w:r>
              <w:rPr>
                <w:b/>
                <w:bCs w:val="0"/>
                <w:lang w:eastAsia="ja-JP"/>
              </w:rPr>
              <w:t>Process Step</w:t>
            </w:r>
          </w:p>
        </w:tc>
        <w:tc>
          <w:tcPr>
            <w:tcW w:w="3690" w:type="dxa"/>
            <w:tcBorders>
              <w:left w:val="single" w:sz="2" w:space="0" w:color="FFFFFF" w:themeColor="background1"/>
              <w:right w:val="single" w:sz="2" w:space="0" w:color="FFFFFF" w:themeColor="background1"/>
            </w:tcBorders>
          </w:tcPr>
          <w:p w14:paraId="4B0F73B9" w14:textId="77777777" w:rsidR="00E90A9F" w:rsidRPr="00A21682" w:rsidRDefault="00E90A9F" w:rsidP="00047C4E">
            <w:pPr>
              <w:pStyle w:val="TABLEHEADINGNEW"/>
              <w:rPr>
                <w:b/>
                <w:bCs w:val="0"/>
                <w:lang w:eastAsia="ja-JP"/>
              </w:rPr>
            </w:pPr>
            <w:r>
              <w:rPr>
                <w:b/>
                <w:bCs w:val="0"/>
                <w:lang w:eastAsia="ja-JP"/>
              </w:rPr>
              <w:t>Description</w:t>
            </w:r>
          </w:p>
        </w:tc>
        <w:tc>
          <w:tcPr>
            <w:tcW w:w="2610" w:type="dxa"/>
            <w:tcBorders>
              <w:left w:val="single" w:sz="2" w:space="0" w:color="FFFFFF" w:themeColor="background1"/>
            </w:tcBorders>
          </w:tcPr>
          <w:p w14:paraId="2AD75AF2" w14:textId="77777777" w:rsidR="00E90A9F" w:rsidRPr="00A21682" w:rsidRDefault="00E90A9F" w:rsidP="00047C4E">
            <w:pPr>
              <w:pStyle w:val="TABLEHEADINGNEW"/>
              <w:rPr>
                <w:b/>
                <w:bCs w:val="0"/>
                <w:lang w:eastAsia="ja-JP"/>
              </w:rPr>
            </w:pPr>
            <w:r>
              <w:rPr>
                <w:b/>
                <w:bCs w:val="0"/>
                <w:lang w:eastAsia="ja-JP"/>
              </w:rPr>
              <w:t>Stakeholder Group(s)</w:t>
            </w:r>
          </w:p>
        </w:tc>
      </w:tr>
      <w:tr w:rsidR="00E90A9F" w:rsidRPr="00A21682" w14:paraId="56881F7A" w14:textId="77777777" w:rsidTr="00047C4E">
        <w:trPr>
          <w:trHeight w:val="403"/>
        </w:trPr>
        <w:tc>
          <w:tcPr>
            <w:tcW w:w="895" w:type="dxa"/>
          </w:tcPr>
          <w:p w14:paraId="0CA612FD" w14:textId="77777777" w:rsidR="00E90A9F" w:rsidRPr="00A21682" w:rsidDel="002A736E" w:rsidRDefault="00E90A9F" w:rsidP="00047C4E">
            <w:pPr>
              <w:pStyle w:val="TABLETEXT1"/>
              <w:rPr>
                <w:lang w:val="en-US"/>
              </w:rPr>
            </w:pPr>
            <w:r>
              <w:rPr>
                <w:lang w:val="en-US"/>
              </w:rPr>
              <w:t>1</w:t>
            </w:r>
          </w:p>
        </w:tc>
        <w:tc>
          <w:tcPr>
            <w:tcW w:w="2160" w:type="dxa"/>
          </w:tcPr>
          <w:p w14:paraId="5A332044" w14:textId="77777777" w:rsidR="00E90A9F" w:rsidRPr="00A21682" w:rsidRDefault="00E90A9F" w:rsidP="00047C4E">
            <w:pPr>
              <w:pStyle w:val="TABLETEXT1"/>
              <w:rPr>
                <w:lang w:val="en-US"/>
              </w:rPr>
            </w:pPr>
            <w:r>
              <w:rPr>
                <w:lang w:val="en-US"/>
              </w:rPr>
              <w:t xml:space="preserve">Develop Materials </w:t>
            </w:r>
          </w:p>
        </w:tc>
        <w:tc>
          <w:tcPr>
            <w:tcW w:w="3690" w:type="dxa"/>
          </w:tcPr>
          <w:p w14:paraId="7669BEEB" w14:textId="77777777" w:rsidR="00E90A9F" w:rsidRPr="00A21682" w:rsidRDefault="00E90A9F" w:rsidP="00047C4E">
            <w:pPr>
              <w:pStyle w:val="TABLETEXT1"/>
              <w:rPr>
                <w:lang w:val="en-US"/>
              </w:rPr>
            </w:pPr>
            <w:r>
              <w:rPr>
                <w:lang w:val="en-US"/>
              </w:rPr>
              <w:t>███████ PMO and stakeholders prepare unplanned communication requests for review.</w:t>
            </w:r>
          </w:p>
          <w:p w14:paraId="51CE44FE" w14:textId="77777777" w:rsidR="00E90A9F" w:rsidRPr="00A21682" w:rsidRDefault="00E90A9F" w:rsidP="00047C4E">
            <w:pPr>
              <w:pStyle w:val="TABLETEXT1"/>
              <w:rPr>
                <w:lang w:val="en-US"/>
              </w:rPr>
            </w:pPr>
            <w:r>
              <w:rPr>
                <w:lang w:val="en-US"/>
              </w:rPr>
              <w:t>The request also includes a proposed review and release timeline tailored to the urgency of the request.</w:t>
            </w:r>
          </w:p>
        </w:tc>
        <w:tc>
          <w:tcPr>
            <w:tcW w:w="2610" w:type="dxa"/>
          </w:tcPr>
          <w:p w14:paraId="7139956B" w14:textId="77777777" w:rsidR="00E90A9F" w:rsidRPr="00635C9B" w:rsidRDefault="00E90A9F" w:rsidP="00704616">
            <w:pPr>
              <w:pStyle w:val="TABLEBULLETNEW"/>
            </w:pPr>
            <w:r>
              <w:t>PMO</w:t>
            </w:r>
          </w:p>
          <w:p w14:paraId="49261F35" w14:textId="77777777" w:rsidR="00E90A9F" w:rsidRPr="00635C9B" w:rsidRDefault="00E90A9F" w:rsidP="00704616">
            <w:pPr>
              <w:pStyle w:val="TABLEBULLETNEW"/>
            </w:pPr>
            <w:r>
              <w:t>Impacted Stakeholder Group</w:t>
            </w:r>
          </w:p>
        </w:tc>
      </w:tr>
      <w:tr w:rsidR="00E90A9F" w:rsidRPr="00A21682" w14:paraId="59A77389" w14:textId="77777777" w:rsidTr="00047C4E">
        <w:trPr>
          <w:trHeight w:val="403"/>
        </w:trPr>
        <w:tc>
          <w:tcPr>
            <w:tcW w:w="895" w:type="dxa"/>
          </w:tcPr>
          <w:p w14:paraId="3F2C6263" w14:textId="77777777" w:rsidR="00E90A9F" w:rsidRPr="00A21682" w:rsidRDefault="00E90A9F" w:rsidP="00047C4E">
            <w:pPr>
              <w:pStyle w:val="TABLETEXT1"/>
              <w:rPr>
                <w:lang w:val="en-US"/>
              </w:rPr>
            </w:pPr>
            <w:r>
              <w:rPr>
                <w:lang w:val="en-US"/>
              </w:rPr>
              <w:t>2</w:t>
            </w:r>
          </w:p>
        </w:tc>
        <w:tc>
          <w:tcPr>
            <w:tcW w:w="2160" w:type="dxa"/>
          </w:tcPr>
          <w:p w14:paraId="24C74C5A" w14:textId="77777777" w:rsidR="00E90A9F" w:rsidRPr="00A21682" w:rsidRDefault="00E90A9F" w:rsidP="00047C4E">
            <w:pPr>
              <w:pStyle w:val="TABLETEXT1"/>
              <w:rPr>
                <w:lang w:val="en-US"/>
              </w:rPr>
            </w:pPr>
            <w:r>
              <w:rPr>
                <w:lang w:val="en-US"/>
              </w:rPr>
              <w:t>Review Materials</w:t>
            </w:r>
          </w:p>
        </w:tc>
        <w:tc>
          <w:tcPr>
            <w:tcW w:w="3690" w:type="dxa"/>
          </w:tcPr>
          <w:p w14:paraId="0CC8F11D" w14:textId="77777777" w:rsidR="00E90A9F" w:rsidRPr="00A21682" w:rsidRDefault="00E90A9F" w:rsidP="00047C4E">
            <w:pPr>
              <w:pStyle w:val="TABLETEXT1"/>
              <w:rPr>
                <w:lang w:val="en-US"/>
              </w:rPr>
            </w:pPr>
            <w:r>
              <w:rPr>
                <w:lang w:val="en-US"/>
              </w:rPr>
              <w:t>If turnaround time is longer than one (1) business day, review unplanned communication request and determine next steps.</w:t>
            </w:r>
          </w:p>
          <w:p w14:paraId="13D6A5E7" w14:textId="77777777" w:rsidR="00E90A9F" w:rsidRPr="00A21682" w:rsidRDefault="00E90A9F" w:rsidP="00047C4E">
            <w:pPr>
              <w:pStyle w:val="TABLETEXT1"/>
              <w:rPr>
                <w:lang w:val="en-US"/>
              </w:rPr>
            </w:pPr>
            <w:r>
              <w:rPr>
                <w:lang w:val="en-US"/>
              </w:rPr>
              <w:t>If turnaround time is less than one (1) business day, review unplanned communication request and approve.</w:t>
            </w:r>
          </w:p>
        </w:tc>
        <w:tc>
          <w:tcPr>
            <w:tcW w:w="2610" w:type="dxa"/>
          </w:tcPr>
          <w:p w14:paraId="2CA74385" w14:textId="77777777" w:rsidR="00E90A9F" w:rsidRPr="00635C9B" w:rsidRDefault="00E90A9F" w:rsidP="00704616">
            <w:pPr>
              <w:pStyle w:val="TABLEBULLETNEW"/>
            </w:pPr>
            <w:r>
              <w:t>PMO</w:t>
            </w:r>
          </w:p>
          <w:p w14:paraId="27D60C6D" w14:textId="77777777" w:rsidR="00E90A9F" w:rsidRPr="00635C9B" w:rsidRDefault="00E90A9F" w:rsidP="00704616">
            <w:pPr>
              <w:pStyle w:val="TABLEBULLETNEW"/>
            </w:pPr>
            <w:r>
              <w:t>Impacted Stakeholder Group</w:t>
            </w:r>
          </w:p>
        </w:tc>
      </w:tr>
      <w:tr w:rsidR="00E90A9F" w:rsidRPr="00A21682" w14:paraId="082DB321" w14:textId="77777777" w:rsidTr="00047C4E">
        <w:trPr>
          <w:trHeight w:val="403"/>
        </w:trPr>
        <w:tc>
          <w:tcPr>
            <w:tcW w:w="895" w:type="dxa"/>
          </w:tcPr>
          <w:p w14:paraId="0808229E" w14:textId="77777777" w:rsidR="00E90A9F" w:rsidRPr="00A21682" w:rsidRDefault="00E90A9F" w:rsidP="00047C4E">
            <w:pPr>
              <w:pStyle w:val="TABLETEXT1"/>
              <w:rPr>
                <w:lang w:val="en-US"/>
              </w:rPr>
            </w:pPr>
            <w:r>
              <w:rPr>
                <w:lang w:val="en-US"/>
              </w:rPr>
              <w:t>2.1</w:t>
            </w:r>
          </w:p>
        </w:tc>
        <w:tc>
          <w:tcPr>
            <w:tcW w:w="2160" w:type="dxa"/>
          </w:tcPr>
          <w:p w14:paraId="3B24C4B1" w14:textId="77777777" w:rsidR="00E90A9F" w:rsidRPr="00A21682" w:rsidRDefault="00E90A9F" w:rsidP="00047C4E">
            <w:pPr>
              <w:pStyle w:val="TABLETEXT1"/>
              <w:rPr>
                <w:lang w:val="en-US"/>
              </w:rPr>
            </w:pPr>
            <w:r>
              <w:rPr>
                <w:lang w:val="en-US"/>
              </w:rPr>
              <w:t>Meeting Required?</w:t>
            </w:r>
          </w:p>
        </w:tc>
        <w:tc>
          <w:tcPr>
            <w:tcW w:w="3690" w:type="dxa"/>
          </w:tcPr>
          <w:p w14:paraId="0C9A841C" w14:textId="233BA52D" w:rsidR="00E90A9F" w:rsidRPr="00A21682" w:rsidRDefault="00E90A9F" w:rsidP="0006042B">
            <w:pPr>
              <w:pStyle w:val="TABLEBULLETNEW"/>
              <w:rPr>
                <w:i/>
              </w:rPr>
            </w:pPr>
            <w:r>
              <w:t xml:space="preserve">If during the review of the communication it is determined that a meeting with stakeholders is required to discuss the content, proceed to </w:t>
            </w:r>
            <w:r>
              <w:rPr>
                <w:i/>
              </w:rPr>
              <w:t>Step #3 Facilitate Meeting and Edit Materials as Needed</w:t>
            </w:r>
          </w:p>
          <w:p w14:paraId="1ECAD66E" w14:textId="423C842B" w:rsidR="00E90A9F" w:rsidRPr="00A21682" w:rsidRDefault="00E90A9F" w:rsidP="0006042B">
            <w:pPr>
              <w:pStyle w:val="TABLEBULLETNEW"/>
            </w:pPr>
            <w:r>
              <w:t xml:space="preserve">If a meeting is not required, proceed to </w:t>
            </w:r>
            <w:r>
              <w:rPr>
                <w:i/>
              </w:rPr>
              <w:t>Step #4 Distribute Final Materials</w:t>
            </w:r>
          </w:p>
        </w:tc>
        <w:tc>
          <w:tcPr>
            <w:tcW w:w="2610" w:type="dxa"/>
          </w:tcPr>
          <w:p w14:paraId="6690EC89" w14:textId="77777777" w:rsidR="00E90A9F" w:rsidRPr="00635C9B" w:rsidRDefault="00E90A9F" w:rsidP="00704616">
            <w:pPr>
              <w:pStyle w:val="TABLEBULLETNEW"/>
            </w:pPr>
            <w:r>
              <w:t>PMO</w:t>
            </w:r>
          </w:p>
          <w:p w14:paraId="60CF34E9" w14:textId="77777777" w:rsidR="00E90A9F" w:rsidRPr="00635C9B" w:rsidRDefault="00E90A9F" w:rsidP="00704616">
            <w:pPr>
              <w:pStyle w:val="TABLEBULLETNEW"/>
            </w:pPr>
            <w:r>
              <w:t>Impacted Stakeholder Group</w:t>
            </w:r>
          </w:p>
        </w:tc>
      </w:tr>
      <w:tr w:rsidR="00E90A9F" w:rsidRPr="00A21682" w14:paraId="2F1BD24A" w14:textId="77777777" w:rsidTr="00047C4E">
        <w:trPr>
          <w:trHeight w:val="403"/>
        </w:trPr>
        <w:tc>
          <w:tcPr>
            <w:tcW w:w="895" w:type="dxa"/>
          </w:tcPr>
          <w:p w14:paraId="5C3D9C5A" w14:textId="77777777" w:rsidR="00E90A9F" w:rsidRPr="00A21682" w:rsidRDefault="00E90A9F" w:rsidP="00047C4E">
            <w:pPr>
              <w:pStyle w:val="TABLETEXT1"/>
              <w:rPr>
                <w:lang w:val="en-US"/>
              </w:rPr>
            </w:pPr>
            <w:r>
              <w:rPr>
                <w:lang w:val="en-US"/>
              </w:rPr>
              <w:t>3</w:t>
            </w:r>
          </w:p>
        </w:tc>
        <w:tc>
          <w:tcPr>
            <w:tcW w:w="2160" w:type="dxa"/>
          </w:tcPr>
          <w:p w14:paraId="42A41EB5" w14:textId="77777777" w:rsidR="00E90A9F" w:rsidRPr="00A21682" w:rsidRDefault="00E90A9F" w:rsidP="00047C4E">
            <w:pPr>
              <w:pStyle w:val="TABLETEXT1"/>
              <w:rPr>
                <w:lang w:val="en-US"/>
              </w:rPr>
            </w:pPr>
            <w:r>
              <w:rPr>
                <w:lang w:val="en-US"/>
              </w:rPr>
              <w:t>Facilitate Meeting and Edit Materials as Needed</w:t>
            </w:r>
          </w:p>
        </w:tc>
        <w:tc>
          <w:tcPr>
            <w:tcW w:w="3690" w:type="dxa"/>
          </w:tcPr>
          <w:p w14:paraId="2D3AE2D1" w14:textId="77777777" w:rsidR="00E90A9F" w:rsidRPr="00A21682" w:rsidRDefault="00E90A9F" w:rsidP="00047C4E">
            <w:pPr>
              <w:pStyle w:val="TABLETEXT1"/>
              <w:rPr>
                <w:lang w:val="en-US"/>
              </w:rPr>
            </w:pPr>
            <w:r>
              <w:rPr>
                <w:lang w:val="en-US"/>
              </w:rPr>
              <w:t>PMO will facilitate a meeting with relevant stakeholders to review the draft communication and edit it, as needed, prior to distribution.</w:t>
            </w:r>
          </w:p>
        </w:tc>
        <w:tc>
          <w:tcPr>
            <w:tcW w:w="2610" w:type="dxa"/>
          </w:tcPr>
          <w:p w14:paraId="471C3654" w14:textId="77777777" w:rsidR="00E90A9F" w:rsidRPr="00635C9B" w:rsidRDefault="00E90A9F" w:rsidP="00704616">
            <w:pPr>
              <w:pStyle w:val="TABLEBULLETNEW"/>
            </w:pPr>
            <w:r>
              <w:t>PMO</w:t>
            </w:r>
          </w:p>
          <w:p w14:paraId="205D1C85" w14:textId="77777777" w:rsidR="00E90A9F" w:rsidRPr="00635C9B" w:rsidRDefault="00E90A9F" w:rsidP="00704616">
            <w:pPr>
              <w:pStyle w:val="TABLEBULLETNEW"/>
            </w:pPr>
            <w:r>
              <w:t>Impacted Stakeholder Group</w:t>
            </w:r>
          </w:p>
        </w:tc>
      </w:tr>
      <w:tr w:rsidR="00E90A9F" w:rsidRPr="00A21682" w14:paraId="64131A7C" w14:textId="77777777" w:rsidTr="00047C4E">
        <w:trPr>
          <w:trHeight w:val="403"/>
        </w:trPr>
        <w:tc>
          <w:tcPr>
            <w:tcW w:w="895" w:type="dxa"/>
          </w:tcPr>
          <w:p w14:paraId="595F2EA8" w14:textId="77777777" w:rsidR="00E90A9F" w:rsidRPr="00A21682" w:rsidRDefault="00E90A9F" w:rsidP="00047C4E">
            <w:pPr>
              <w:pStyle w:val="TABLETEXT1"/>
              <w:rPr>
                <w:lang w:val="en-US"/>
              </w:rPr>
            </w:pPr>
            <w:r>
              <w:rPr>
                <w:lang w:val="en-US"/>
              </w:rPr>
              <w:lastRenderedPageBreak/>
              <w:t>4</w:t>
            </w:r>
          </w:p>
        </w:tc>
        <w:tc>
          <w:tcPr>
            <w:tcW w:w="2160" w:type="dxa"/>
          </w:tcPr>
          <w:p w14:paraId="338DD1B4" w14:textId="77777777" w:rsidR="00E90A9F" w:rsidRPr="00A21682" w:rsidRDefault="00E90A9F" w:rsidP="00047C4E">
            <w:pPr>
              <w:pStyle w:val="TABLETEXT1"/>
              <w:rPr>
                <w:lang w:val="en-US"/>
              </w:rPr>
            </w:pPr>
            <w:r>
              <w:rPr>
                <w:lang w:val="en-US"/>
              </w:rPr>
              <w:t>Distribute Final Materials</w:t>
            </w:r>
          </w:p>
        </w:tc>
        <w:tc>
          <w:tcPr>
            <w:tcW w:w="3690" w:type="dxa"/>
          </w:tcPr>
          <w:p w14:paraId="62B2A4BB" w14:textId="77777777" w:rsidR="00E90A9F" w:rsidRPr="00A21682" w:rsidRDefault="00E90A9F" w:rsidP="00047C4E">
            <w:pPr>
              <w:pStyle w:val="TABLETEXT1"/>
              <w:rPr>
                <w:lang w:val="en-US"/>
              </w:rPr>
            </w:pPr>
            <w:r>
              <w:rPr>
                <w:lang w:val="en-US"/>
              </w:rPr>
              <w:t>Once the critical communication materials are finalized, they are transmitted to relevant parties.</w:t>
            </w:r>
          </w:p>
        </w:tc>
        <w:tc>
          <w:tcPr>
            <w:tcW w:w="2610" w:type="dxa"/>
          </w:tcPr>
          <w:p w14:paraId="7A667891" w14:textId="77777777" w:rsidR="00E90A9F" w:rsidRPr="00635C9B" w:rsidRDefault="00E90A9F" w:rsidP="00704616">
            <w:pPr>
              <w:pStyle w:val="TABLEBULLETNEW"/>
            </w:pPr>
            <w:r>
              <w:t>PMO</w:t>
            </w:r>
          </w:p>
          <w:p w14:paraId="482C3C53" w14:textId="77777777" w:rsidR="00E90A9F" w:rsidRPr="00635C9B" w:rsidRDefault="00E90A9F" w:rsidP="00704616">
            <w:pPr>
              <w:pStyle w:val="TABLEBULLETNEW"/>
            </w:pPr>
            <w:r>
              <w:t>Impacted Stakeholder Group</w:t>
            </w:r>
          </w:p>
        </w:tc>
      </w:tr>
    </w:tbl>
    <w:p w14:paraId="4BEBFB2F" w14:textId="43EDAEB8" w:rsidR="00E90A9F" w:rsidRPr="00A21682" w:rsidRDefault="00E90A9F" w:rsidP="00D818D3">
      <w:pPr>
        <w:pStyle w:val="Caption"/>
        <w:rPr>
          <w:noProof w:val="0"/>
        </w:rPr>
      </w:pPr>
      <w:bookmarkStart w:id="2799" w:name="_Toc144828288"/>
      <w:bookmarkStart w:id="2800" w:name="_Toc147240624"/>
      <w:bookmarkStart w:id="2801" w:name="_Toc152090639"/>
      <w:bookmarkStart w:id="2802" w:name="_Toc19287517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8</w:t>
      </w:r>
      <w:r>
        <w:rPr>
          <w:noProof w:val="0"/>
        </w:rPr>
        <w:fldChar w:fldCharType="end"/>
      </w:r>
      <w:r>
        <w:rPr>
          <w:noProof w:val="0"/>
        </w:rPr>
        <w:t>: Critical Communication Process Flow Narrative</w:t>
      </w:r>
      <w:bookmarkEnd w:id="2799"/>
      <w:bookmarkEnd w:id="2800"/>
      <w:bookmarkEnd w:id="2801"/>
      <w:bookmarkEnd w:id="2802"/>
    </w:p>
    <w:p w14:paraId="01F7E5BB" w14:textId="77777777" w:rsidR="00E90A9F" w:rsidRPr="00A21682" w:rsidRDefault="00E90A9F">
      <w:pPr>
        <w:pStyle w:val="Heading2"/>
      </w:pPr>
      <w:bookmarkStart w:id="2803" w:name="_Toc144812360"/>
      <w:bookmarkStart w:id="2804" w:name="_Toc144812468"/>
      <w:bookmarkStart w:id="2805" w:name="_Toc143612528"/>
      <w:bookmarkStart w:id="2806" w:name="_Toc144827647"/>
      <w:bookmarkStart w:id="2807" w:name="_Toc147240797"/>
      <w:bookmarkStart w:id="2808" w:name="_Toc149049806"/>
      <w:bookmarkStart w:id="2809" w:name="_Toc152089726"/>
      <w:bookmarkStart w:id="2810" w:name="_Toc152090621"/>
      <w:bookmarkStart w:id="2811" w:name="_Toc177119148"/>
      <w:bookmarkStart w:id="2812" w:name="_Toc185952669"/>
      <w:bookmarkStart w:id="2813" w:name="_Toc192874837"/>
      <w:bookmarkEnd w:id="2803"/>
      <w:bookmarkEnd w:id="2804"/>
      <w:r>
        <w:t>Communication Review and Approval Process</w:t>
      </w:r>
      <w:bookmarkEnd w:id="2805"/>
      <w:bookmarkEnd w:id="2806"/>
      <w:bookmarkEnd w:id="2807"/>
      <w:bookmarkEnd w:id="2808"/>
      <w:bookmarkEnd w:id="2809"/>
      <w:bookmarkEnd w:id="2810"/>
      <w:bookmarkEnd w:id="2811"/>
      <w:bookmarkEnd w:id="2812"/>
      <w:bookmarkEnd w:id="2813"/>
    </w:p>
    <w:p w14:paraId="1E34EF35" w14:textId="57EAA771" w:rsidR="00E90A9F" w:rsidRPr="00A21682" w:rsidRDefault="00E90A9F" w:rsidP="00837EB1">
      <w:pPr>
        <w:pStyle w:val="NormalNEW"/>
        <w:rPr>
          <w:lang w:val="en-US"/>
        </w:rPr>
      </w:pPr>
      <w:bookmarkStart w:id="2814" w:name="_Toc149049807"/>
      <w:r>
        <w:rPr>
          <w:lang w:val="en-US"/>
        </w:rPr>
        <w:t>Communications will be developed at specific times throughout the project to align with key milestones and events. All communications must be reviewed and approved prior to distribution. The review process for each communication will follow a structured approach to validate accuracy, quality, and consistency in messaging. This will be further defined in the Quality Management Plan (refer to Section 7).</w:t>
      </w:r>
      <w:bookmarkEnd w:id="2814"/>
      <w:r>
        <w:rPr>
          <w:lang w:val="en-US"/>
        </w:rPr>
        <w:t xml:space="preserve"> </w:t>
      </w:r>
    </w:p>
    <w:p w14:paraId="6FC9878A" w14:textId="77777777" w:rsidR="00E90A9F" w:rsidRPr="00A21682" w:rsidRDefault="00E90A9F">
      <w:pPr>
        <w:pStyle w:val="Heading3"/>
      </w:pPr>
      <w:bookmarkStart w:id="2815" w:name="_Toc149049809"/>
      <w:bookmarkStart w:id="2816" w:name="_Toc149133846"/>
      <w:bookmarkStart w:id="2817" w:name="_Toc149562999"/>
      <w:bookmarkStart w:id="2818" w:name="_Toc149575036"/>
      <w:bookmarkStart w:id="2819" w:name="_Toc149576027"/>
      <w:bookmarkStart w:id="2820" w:name="_Toc149669402"/>
      <w:bookmarkStart w:id="2821" w:name="_Toc149670633"/>
      <w:bookmarkStart w:id="2822" w:name="_Toc152090623"/>
      <w:bookmarkStart w:id="2823" w:name="_Toc149049810"/>
      <w:bookmarkStart w:id="2824" w:name="_Toc149133847"/>
      <w:bookmarkStart w:id="2825" w:name="_Toc149563000"/>
      <w:bookmarkStart w:id="2826" w:name="_Toc149575037"/>
      <w:bookmarkStart w:id="2827" w:name="_Toc149576028"/>
      <w:bookmarkStart w:id="2828" w:name="_Toc149669403"/>
      <w:bookmarkStart w:id="2829" w:name="_Toc149670634"/>
      <w:bookmarkStart w:id="2830" w:name="_Toc152090624"/>
      <w:bookmarkStart w:id="2831" w:name="_Toc149049811"/>
      <w:bookmarkStart w:id="2832" w:name="_Toc149133848"/>
      <w:bookmarkStart w:id="2833" w:name="_Toc149563001"/>
      <w:bookmarkStart w:id="2834" w:name="_Toc149575038"/>
      <w:bookmarkStart w:id="2835" w:name="_Toc149576029"/>
      <w:bookmarkStart w:id="2836" w:name="_Toc149669404"/>
      <w:bookmarkStart w:id="2837" w:name="_Toc149670635"/>
      <w:bookmarkStart w:id="2838" w:name="_Toc152090625"/>
      <w:bookmarkStart w:id="2839" w:name="_Toc149049812"/>
      <w:bookmarkStart w:id="2840" w:name="_Toc149133849"/>
      <w:bookmarkStart w:id="2841" w:name="_Toc149563002"/>
      <w:bookmarkStart w:id="2842" w:name="_Toc149575039"/>
      <w:bookmarkStart w:id="2843" w:name="_Toc149576030"/>
      <w:bookmarkStart w:id="2844" w:name="_Toc149669405"/>
      <w:bookmarkStart w:id="2845" w:name="_Toc149670636"/>
      <w:bookmarkStart w:id="2846" w:name="_Toc152090626"/>
      <w:bookmarkStart w:id="2847" w:name="_Toc148104375"/>
      <w:bookmarkStart w:id="2848" w:name="_Toc148104400"/>
      <w:bookmarkStart w:id="2849" w:name="_Toc144827649"/>
      <w:bookmarkStart w:id="2850" w:name="_Toc147240799"/>
      <w:bookmarkStart w:id="2851" w:name="_Toc149049813"/>
      <w:bookmarkStart w:id="2852" w:name="_Toc152089732"/>
      <w:bookmarkStart w:id="2853" w:name="_Toc152090627"/>
      <w:bookmarkStart w:id="2854" w:name="_Toc177119149"/>
      <w:bookmarkStart w:id="2855" w:name="_Toc185952670"/>
      <w:bookmarkStart w:id="2856" w:name="_Toc192874838"/>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r>
        <w:t>Communication Review and Approval Process Flow Narrative</w:t>
      </w:r>
      <w:bookmarkEnd w:id="2849"/>
      <w:bookmarkEnd w:id="2850"/>
      <w:bookmarkEnd w:id="2851"/>
      <w:bookmarkEnd w:id="2852"/>
      <w:bookmarkEnd w:id="2853"/>
      <w:bookmarkEnd w:id="2854"/>
      <w:bookmarkEnd w:id="2855"/>
      <w:bookmarkEnd w:id="2856"/>
    </w:p>
    <w:p w14:paraId="2161AE53" w14:textId="7D57FCC6" w:rsidR="00E90A9F" w:rsidRPr="00A21682" w:rsidRDefault="00E90A9F" w:rsidP="00837EB1">
      <w:pPr>
        <w:pStyle w:val="NormalNEW"/>
        <w:rPr>
          <w:lang w:val="en-US"/>
        </w:rPr>
      </w:pPr>
      <w:r>
        <w:rPr>
          <w:lang w:val="en-US"/>
        </w:rPr>
        <w:t>The communication review process aims to promote timely development and delivery of communications. Note, the overall process may be repeated to involve multiple cycles of reviews, depending on the degree of feedback.</w:t>
      </w:r>
    </w:p>
    <w:tbl>
      <w:tblPr>
        <w:tblStyle w:val="ProcessSteps2"/>
        <w:tblW w:w="93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95"/>
        <w:gridCol w:w="2160"/>
        <w:gridCol w:w="3602"/>
        <w:gridCol w:w="2700"/>
      </w:tblGrid>
      <w:tr w:rsidR="00E90A9F" w:rsidRPr="00A21682" w14:paraId="44AB4660" w14:textId="77777777" w:rsidTr="000B5709">
        <w:trPr>
          <w:cnfStyle w:val="100000000000" w:firstRow="1" w:lastRow="0" w:firstColumn="0" w:lastColumn="0" w:oddVBand="0" w:evenVBand="0" w:oddHBand="0" w:evenHBand="0" w:firstRowFirstColumn="0" w:firstRowLastColumn="0" w:lastRowFirstColumn="0" w:lastRowLastColumn="0"/>
          <w:trHeight w:val="403"/>
        </w:trPr>
        <w:tc>
          <w:tcPr>
            <w:tcW w:w="895" w:type="dxa"/>
            <w:tcBorders>
              <w:right w:val="single" w:sz="2" w:space="0" w:color="FFFFFF" w:themeColor="background1"/>
            </w:tcBorders>
          </w:tcPr>
          <w:p w14:paraId="3B695CED" w14:textId="77777777" w:rsidR="00E90A9F" w:rsidRPr="00A21682" w:rsidRDefault="00E90A9F" w:rsidP="00047C4E">
            <w:pPr>
              <w:pStyle w:val="TABLEHEADINGNEW"/>
              <w:rPr>
                <w:b/>
                <w:bCs w:val="0"/>
                <w:lang w:eastAsia="ja-JP"/>
              </w:rPr>
            </w:pPr>
            <w:r>
              <w:rPr>
                <w:b/>
                <w:bCs w:val="0"/>
                <w:lang w:eastAsia="ja-JP"/>
              </w:rPr>
              <w:t>Step #</w:t>
            </w:r>
          </w:p>
        </w:tc>
        <w:tc>
          <w:tcPr>
            <w:tcW w:w="2160" w:type="dxa"/>
            <w:tcBorders>
              <w:left w:val="single" w:sz="2" w:space="0" w:color="FFFFFF" w:themeColor="background1"/>
              <w:right w:val="single" w:sz="2" w:space="0" w:color="FFFFFF" w:themeColor="background1"/>
            </w:tcBorders>
          </w:tcPr>
          <w:p w14:paraId="541EC178" w14:textId="77777777" w:rsidR="00E90A9F" w:rsidRPr="00A21682" w:rsidRDefault="00E90A9F" w:rsidP="00047C4E">
            <w:pPr>
              <w:pStyle w:val="TABLEHEADINGNEW"/>
              <w:rPr>
                <w:b/>
                <w:bCs w:val="0"/>
                <w:lang w:eastAsia="ja-JP"/>
              </w:rPr>
            </w:pPr>
            <w:r>
              <w:rPr>
                <w:b/>
                <w:bCs w:val="0"/>
                <w:lang w:eastAsia="ja-JP"/>
              </w:rPr>
              <w:t>Process Step</w:t>
            </w:r>
          </w:p>
        </w:tc>
        <w:tc>
          <w:tcPr>
            <w:tcW w:w="3602" w:type="dxa"/>
            <w:tcBorders>
              <w:left w:val="single" w:sz="2" w:space="0" w:color="FFFFFF" w:themeColor="background1"/>
              <w:right w:val="single" w:sz="2" w:space="0" w:color="FFFFFF" w:themeColor="background1"/>
            </w:tcBorders>
          </w:tcPr>
          <w:p w14:paraId="3AF0FC79" w14:textId="77777777" w:rsidR="00E90A9F" w:rsidRPr="00A21682" w:rsidRDefault="00E90A9F" w:rsidP="00047C4E">
            <w:pPr>
              <w:pStyle w:val="TABLEHEADINGNEW"/>
              <w:rPr>
                <w:b/>
                <w:bCs w:val="0"/>
                <w:lang w:eastAsia="ja-JP"/>
              </w:rPr>
            </w:pPr>
            <w:r>
              <w:rPr>
                <w:b/>
                <w:bCs w:val="0"/>
                <w:lang w:eastAsia="ja-JP"/>
              </w:rPr>
              <w:t>Description</w:t>
            </w:r>
          </w:p>
        </w:tc>
        <w:tc>
          <w:tcPr>
            <w:tcW w:w="2700" w:type="dxa"/>
            <w:tcBorders>
              <w:left w:val="single" w:sz="2" w:space="0" w:color="FFFFFF" w:themeColor="background1"/>
            </w:tcBorders>
          </w:tcPr>
          <w:p w14:paraId="4A128CAB" w14:textId="77777777" w:rsidR="00E90A9F" w:rsidRPr="00A21682" w:rsidRDefault="00E90A9F" w:rsidP="00047C4E">
            <w:pPr>
              <w:pStyle w:val="TABLEHEADINGNEW"/>
              <w:rPr>
                <w:b/>
                <w:bCs w:val="0"/>
                <w:lang w:eastAsia="ja-JP"/>
              </w:rPr>
            </w:pPr>
            <w:r>
              <w:rPr>
                <w:b/>
                <w:bCs w:val="0"/>
                <w:lang w:eastAsia="ja-JP"/>
              </w:rPr>
              <w:t>Stakeholder Group(s)</w:t>
            </w:r>
          </w:p>
        </w:tc>
      </w:tr>
      <w:tr w:rsidR="00E90A9F" w:rsidRPr="00A21682" w14:paraId="49A47D58" w14:textId="77777777" w:rsidTr="00047C4E">
        <w:trPr>
          <w:trHeight w:val="403"/>
        </w:trPr>
        <w:tc>
          <w:tcPr>
            <w:tcW w:w="895" w:type="dxa"/>
          </w:tcPr>
          <w:p w14:paraId="79B7AAF0" w14:textId="77777777" w:rsidR="00E90A9F" w:rsidRPr="00A21682" w:rsidRDefault="00E90A9F" w:rsidP="00047C4E">
            <w:pPr>
              <w:pStyle w:val="TABLETEXT1"/>
              <w:rPr>
                <w:lang w:val="en-US"/>
              </w:rPr>
            </w:pPr>
            <w:r>
              <w:rPr>
                <w:lang w:val="en-US"/>
              </w:rPr>
              <w:t>1</w:t>
            </w:r>
          </w:p>
        </w:tc>
        <w:tc>
          <w:tcPr>
            <w:tcW w:w="2160" w:type="dxa"/>
          </w:tcPr>
          <w:p w14:paraId="16259FC4" w14:textId="77777777" w:rsidR="00E90A9F" w:rsidRPr="00A21682" w:rsidRDefault="00E90A9F" w:rsidP="00047C4E">
            <w:pPr>
              <w:pStyle w:val="TABLETEXT1"/>
              <w:rPr>
                <w:lang w:val="en-US"/>
              </w:rPr>
            </w:pPr>
            <w:r>
              <w:rPr>
                <w:lang w:val="en-US"/>
              </w:rPr>
              <w:t>Develop Materials</w:t>
            </w:r>
          </w:p>
        </w:tc>
        <w:tc>
          <w:tcPr>
            <w:tcW w:w="3602" w:type="dxa"/>
          </w:tcPr>
          <w:p w14:paraId="3C6EEF4E" w14:textId="77777777" w:rsidR="00E90A9F" w:rsidRPr="00A21682" w:rsidRDefault="00E90A9F" w:rsidP="00047C4E">
            <w:pPr>
              <w:pStyle w:val="TABLETEXT1"/>
              <w:rPr>
                <w:lang w:val="en-US"/>
              </w:rPr>
            </w:pPr>
            <w:r>
              <w:rPr>
                <w:lang w:val="en-US"/>
              </w:rPr>
              <w:t>Draft communication in line with project standards for review.</w:t>
            </w:r>
          </w:p>
        </w:tc>
        <w:tc>
          <w:tcPr>
            <w:tcW w:w="2700" w:type="dxa"/>
          </w:tcPr>
          <w:p w14:paraId="06DF59A8" w14:textId="77777777" w:rsidR="00E90A9F" w:rsidRPr="00635C9B" w:rsidRDefault="00E90A9F" w:rsidP="00704616">
            <w:pPr>
              <w:pStyle w:val="TABLEBULLETNEW"/>
            </w:pPr>
            <w:r>
              <w:t>PMO</w:t>
            </w:r>
          </w:p>
          <w:p w14:paraId="417F3F19" w14:textId="77777777" w:rsidR="00E90A9F" w:rsidRPr="00635C9B" w:rsidRDefault="00E90A9F" w:rsidP="00704616">
            <w:pPr>
              <w:pStyle w:val="TABLEBULLETNEW"/>
            </w:pPr>
            <w:r>
              <w:t>Impacted Stakeholder Group</w:t>
            </w:r>
          </w:p>
        </w:tc>
      </w:tr>
      <w:tr w:rsidR="00E90A9F" w:rsidRPr="00A21682" w14:paraId="15B9254E" w14:textId="77777777" w:rsidTr="00047C4E">
        <w:trPr>
          <w:trHeight w:val="403"/>
        </w:trPr>
        <w:tc>
          <w:tcPr>
            <w:tcW w:w="895" w:type="dxa"/>
          </w:tcPr>
          <w:p w14:paraId="46697BF3" w14:textId="77777777" w:rsidR="00E90A9F" w:rsidRPr="00A21682" w:rsidRDefault="00E90A9F" w:rsidP="00047C4E">
            <w:pPr>
              <w:pStyle w:val="TABLETEXT1"/>
              <w:rPr>
                <w:lang w:val="en-US"/>
              </w:rPr>
            </w:pPr>
            <w:r>
              <w:rPr>
                <w:lang w:val="en-US"/>
              </w:rPr>
              <w:t>2</w:t>
            </w:r>
          </w:p>
        </w:tc>
        <w:tc>
          <w:tcPr>
            <w:tcW w:w="2160" w:type="dxa"/>
          </w:tcPr>
          <w:p w14:paraId="57C4F118" w14:textId="77777777" w:rsidR="00E90A9F" w:rsidRPr="00A21682" w:rsidRDefault="00E90A9F" w:rsidP="00047C4E">
            <w:pPr>
              <w:pStyle w:val="TABLETEXT1"/>
              <w:rPr>
                <w:lang w:val="en-US"/>
              </w:rPr>
            </w:pPr>
            <w:r>
              <w:rPr>
                <w:lang w:val="en-US"/>
              </w:rPr>
              <w:t>Review Materials</w:t>
            </w:r>
          </w:p>
        </w:tc>
        <w:tc>
          <w:tcPr>
            <w:tcW w:w="3602" w:type="dxa"/>
          </w:tcPr>
          <w:p w14:paraId="3961FB10" w14:textId="77777777" w:rsidR="00E90A9F" w:rsidRPr="00A21682" w:rsidRDefault="00E90A9F" w:rsidP="00047C4E">
            <w:pPr>
              <w:pStyle w:val="TABLETEXT1"/>
              <w:rPr>
                <w:lang w:val="en-US"/>
              </w:rPr>
            </w:pPr>
            <w:r>
              <w:rPr>
                <w:lang w:val="en-US"/>
              </w:rPr>
              <w:t>Validate accuracy, quality, and consistency in messaging of communication.</w:t>
            </w:r>
          </w:p>
        </w:tc>
        <w:tc>
          <w:tcPr>
            <w:tcW w:w="2700" w:type="dxa"/>
          </w:tcPr>
          <w:p w14:paraId="7EE96A61" w14:textId="77777777" w:rsidR="00E90A9F" w:rsidRPr="00635C9B" w:rsidRDefault="00E90A9F" w:rsidP="00704616">
            <w:pPr>
              <w:pStyle w:val="TABLEBULLETNEW"/>
            </w:pPr>
            <w:r>
              <w:t>PMO</w:t>
            </w:r>
          </w:p>
          <w:p w14:paraId="5BA2F5B6" w14:textId="77777777" w:rsidR="00E90A9F" w:rsidRPr="00635C9B" w:rsidRDefault="00E90A9F" w:rsidP="00704616">
            <w:pPr>
              <w:pStyle w:val="TABLEBULLETNEW"/>
            </w:pPr>
            <w:r>
              <w:t>Impacted Stakeholder Group</w:t>
            </w:r>
          </w:p>
        </w:tc>
      </w:tr>
      <w:tr w:rsidR="00E90A9F" w:rsidRPr="00A21682" w14:paraId="0645D19E" w14:textId="77777777" w:rsidTr="00047C4E">
        <w:trPr>
          <w:trHeight w:val="403"/>
        </w:trPr>
        <w:tc>
          <w:tcPr>
            <w:tcW w:w="895" w:type="dxa"/>
          </w:tcPr>
          <w:p w14:paraId="7AD8E12C" w14:textId="77777777" w:rsidR="00E90A9F" w:rsidRPr="00A21682" w:rsidRDefault="00E90A9F" w:rsidP="00047C4E">
            <w:pPr>
              <w:pStyle w:val="TABLETEXT1"/>
              <w:rPr>
                <w:lang w:val="en-US"/>
              </w:rPr>
            </w:pPr>
            <w:r>
              <w:rPr>
                <w:lang w:val="en-US"/>
              </w:rPr>
              <w:t>2.1</w:t>
            </w:r>
          </w:p>
        </w:tc>
        <w:tc>
          <w:tcPr>
            <w:tcW w:w="2160" w:type="dxa"/>
          </w:tcPr>
          <w:p w14:paraId="6D434BE5" w14:textId="77777777" w:rsidR="00E90A9F" w:rsidRPr="00A21682" w:rsidRDefault="00E90A9F" w:rsidP="00047C4E">
            <w:pPr>
              <w:pStyle w:val="TABLETEXT1"/>
              <w:rPr>
                <w:lang w:val="en-US"/>
              </w:rPr>
            </w:pPr>
            <w:r>
              <w:rPr>
                <w:lang w:val="en-US"/>
              </w:rPr>
              <w:t>Meeting Required?</w:t>
            </w:r>
          </w:p>
        </w:tc>
        <w:tc>
          <w:tcPr>
            <w:tcW w:w="3602" w:type="dxa"/>
          </w:tcPr>
          <w:p w14:paraId="49C37438" w14:textId="2EDB07D6" w:rsidR="00E90A9F" w:rsidRPr="00A21682" w:rsidRDefault="00E90A9F" w:rsidP="00BC5891">
            <w:pPr>
              <w:pStyle w:val="TABLEBULLETNEW"/>
              <w:rPr>
                <w:i/>
              </w:rPr>
            </w:pPr>
            <w:r>
              <w:t>If during the review of the communications it is determined that a meeting with stakeholders is required to discuss the content, proceed to S</w:t>
            </w:r>
            <w:r>
              <w:rPr>
                <w:i/>
              </w:rPr>
              <w:t>tep #3 Facilitate Meeting and Edit Materials as needed</w:t>
            </w:r>
          </w:p>
          <w:p w14:paraId="6A4E7510" w14:textId="23C85790" w:rsidR="00E90A9F" w:rsidRPr="00A21682" w:rsidRDefault="00E90A9F" w:rsidP="00BC5891">
            <w:pPr>
              <w:pStyle w:val="TABLEBULLETNEW"/>
            </w:pPr>
            <w:r>
              <w:t xml:space="preserve">If a meeting is not required, proceed to </w:t>
            </w:r>
            <w:r>
              <w:rPr>
                <w:i/>
              </w:rPr>
              <w:t>Step #4 Distribute Final Materials</w:t>
            </w:r>
          </w:p>
        </w:tc>
        <w:tc>
          <w:tcPr>
            <w:tcW w:w="2700" w:type="dxa"/>
          </w:tcPr>
          <w:p w14:paraId="5EEDD628" w14:textId="77777777" w:rsidR="00E90A9F" w:rsidRPr="00635C9B" w:rsidRDefault="00E90A9F" w:rsidP="00704616">
            <w:pPr>
              <w:pStyle w:val="TABLEBULLETNEW"/>
            </w:pPr>
            <w:r>
              <w:t>PMO</w:t>
            </w:r>
          </w:p>
          <w:p w14:paraId="653D9339" w14:textId="77777777" w:rsidR="00E90A9F" w:rsidRPr="00635C9B" w:rsidRDefault="00E90A9F" w:rsidP="00704616">
            <w:pPr>
              <w:pStyle w:val="TABLEBULLETNEW"/>
            </w:pPr>
            <w:r>
              <w:t>Impacted Stakeholder Group</w:t>
            </w:r>
          </w:p>
        </w:tc>
      </w:tr>
      <w:tr w:rsidR="00E90A9F" w:rsidRPr="00A21682" w14:paraId="3F52756E" w14:textId="77777777" w:rsidTr="00047C4E">
        <w:trPr>
          <w:trHeight w:val="403"/>
        </w:trPr>
        <w:tc>
          <w:tcPr>
            <w:tcW w:w="895" w:type="dxa"/>
          </w:tcPr>
          <w:p w14:paraId="3F87610E" w14:textId="77777777" w:rsidR="00E90A9F" w:rsidRPr="00A21682" w:rsidRDefault="00E90A9F" w:rsidP="00047C4E">
            <w:pPr>
              <w:pStyle w:val="TABLETEXT1"/>
              <w:rPr>
                <w:lang w:val="en-US"/>
              </w:rPr>
            </w:pPr>
            <w:r>
              <w:rPr>
                <w:lang w:val="en-US"/>
              </w:rPr>
              <w:t>3</w:t>
            </w:r>
          </w:p>
        </w:tc>
        <w:tc>
          <w:tcPr>
            <w:tcW w:w="2160" w:type="dxa"/>
          </w:tcPr>
          <w:p w14:paraId="47A33AF0" w14:textId="77777777" w:rsidR="00E90A9F" w:rsidRPr="00A21682" w:rsidRDefault="00E90A9F" w:rsidP="00047C4E">
            <w:pPr>
              <w:pStyle w:val="TABLETEXT1"/>
              <w:rPr>
                <w:lang w:val="en-US"/>
              </w:rPr>
            </w:pPr>
            <w:r>
              <w:rPr>
                <w:lang w:val="en-US"/>
              </w:rPr>
              <w:t>Facilitate Meeting and Edit Materials as Needed</w:t>
            </w:r>
          </w:p>
        </w:tc>
        <w:tc>
          <w:tcPr>
            <w:tcW w:w="3602" w:type="dxa"/>
          </w:tcPr>
          <w:p w14:paraId="5C18F5C2" w14:textId="77777777" w:rsidR="00E90A9F" w:rsidRPr="00A21682" w:rsidRDefault="00E90A9F" w:rsidP="00047C4E">
            <w:pPr>
              <w:pStyle w:val="TABLETEXT1"/>
              <w:rPr>
                <w:lang w:val="en-US"/>
              </w:rPr>
            </w:pPr>
            <w:r>
              <w:rPr>
                <w:lang w:val="en-US"/>
              </w:rPr>
              <w:t>PMO will facilitate a meeting with relevant stakeholders to review the communication and edit it, as needed, prior to distribution.</w:t>
            </w:r>
          </w:p>
        </w:tc>
        <w:tc>
          <w:tcPr>
            <w:tcW w:w="2700" w:type="dxa"/>
          </w:tcPr>
          <w:p w14:paraId="4498F4E2" w14:textId="77777777" w:rsidR="00E90A9F" w:rsidRPr="00635C9B" w:rsidRDefault="00E90A9F" w:rsidP="00704616">
            <w:pPr>
              <w:pStyle w:val="TABLEBULLETNEW"/>
            </w:pPr>
            <w:r>
              <w:t>PMO</w:t>
            </w:r>
          </w:p>
          <w:p w14:paraId="3AF76109" w14:textId="77777777" w:rsidR="00E90A9F" w:rsidRPr="00635C9B" w:rsidRDefault="00E90A9F" w:rsidP="00704616">
            <w:pPr>
              <w:pStyle w:val="TABLEBULLETNEW"/>
            </w:pPr>
            <w:r>
              <w:t>Impacted Stakeholder Group</w:t>
            </w:r>
          </w:p>
        </w:tc>
      </w:tr>
      <w:tr w:rsidR="00E90A9F" w:rsidRPr="00A21682" w14:paraId="074405F3" w14:textId="77777777" w:rsidTr="00047C4E">
        <w:trPr>
          <w:trHeight w:val="403"/>
        </w:trPr>
        <w:tc>
          <w:tcPr>
            <w:tcW w:w="895" w:type="dxa"/>
          </w:tcPr>
          <w:p w14:paraId="596FCAA9" w14:textId="77777777" w:rsidR="00E90A9F" w:rsidRPr="00A21682" w:rsidRDefault="00E90A9F" w:rsidP="00047C4E">
            <w:pPr>
              <w:pStyle w:val="TABLETEXT1"/>
              <w:rPr>
                <w:lang w:val="en-US"/>
              </w:rPr>
            </w:pPr>
            <w:r>
              <w:rPr>
                <w:lang w:val="en-US"/>
              </w:rPr>
              <w:t>4</w:t>
            </w:r>
          </w:p>
        </w:tc>
        <w:tc>
          <w:tcPr>
            <w:tcW w:w="2160" w:type="dxa"/>
          </w:tcPr>
          <w:p w14:paraId="30BE9D19" w14:textId="77777777" w:rsidR="00E90A9F" w:rsidRPr="00A21682" w:rsidRDefault="00E90A9F" w:rsidP="00047C4E">
            <w:pPr>
              <w:pStyle w:val="TABLETEXT1"/>
              <w:rPr>
                <w:lang w:val="en-US"/>
              </w:rPr>
            </w:pPr>
            <w:r>
              <w:rPr>
                <w:lang w:val="en-US"/>
              </w:rPr>
              <w:t>Distribute Final Materials</w:t>
            </w:r>
          </w:p>
        </w:tc>
        <w:tc>
          <w:tcPr>
            <w:tcW w:w="3602" w:type="dxa"/>
          </w:tcPr>
          <w:p w14:paraId="1B9D8A8C" w14:textId="77777777" w:rsidR="00E90A9F" w:rsidRPr="00A21682" w:rsidRDefault="00E90A9F" w:rsidP="00047C4E">
            <w:pPr>
              <w:pStyle w:val="TABLETEXT1"/>
              <w:rPr>
                <w:lang w:val="en-US"/>
              </w:rPr>
            </w:pPr>
            <w:r>
              <w:rPr>
                <w:lang w:val="en-US"/>
              </w:rPr>
              <w:t>Once the communication materials are finalized, they are transmitted to relevant parties.</w:t>
            </w:r>
          </w:p>
        </w:tc>
        <w:tc>
          <w:tcPr>
            <w:tcW w:w="2700" w:type="dxa"/>
          </w:tcPr>
          <w:p w14:paraId="05D8D4C2" w14:textId="77777777" w:rsidR="00E90A9F" w:rsidRPr="00635C9B" w:rsidRDefault="00E90A9F" w:rsidP="00704616">
            <w:pPr>
              <w:pStyle w:val="TABLEBULLETNEW"/>
            </w:pPr>
            <w:r>
              <w:t>PMO</w:t>
            </w:r>
          </w:p>
          <w:p w14:paraId="6A66DD48" w14:textId="77777777" w:rsidR="00E90A9F" w:rsidRPr="00635C9B" w:rsidRDefault="00E90A9F" w:rsidP="00704616">
            <w:pPr>
              <w:pStyle w:val="TABLEBULLETNEW"/>
            </w:pPr>
            <w:r>
              <w:t>Impacted Stakeholder Group</w:t>
            </w:r>
          </w:p>
        </w:tc>
      </w:tr>
    </w:tbl>
    <w:p w14:paraId="57A4F93E" w14:textId="1E6F52FD" w:rsidR="00E90A9F" w:rsidRPr="00A21682" w:rsidRDefault="00E90A9F" w:rsidP="00D818D3">
      <w:pPr>
        <w:pStyle w:val="Caption"/>
        <w:rPr>
          <w:noProof w:val="0"/>
        </w:rPr>
      </w:pPr>
      <w:bookmarkStart w:id="2857" w:name="_Toc144828289"/>
      <w:bookmarkStart w:id="2858" w:name="_Toc147240625"/>
      <w:bookmarkStart w:id="2859" w:name="_Toc152090640"/>
      <w:bookmarkStart w:id="2860" w:name="_Toc19287517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4</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9</w:t>
      </w:r>
      <w:r>
        <w:rPr>
          <w:noProof w:val="0"/>
        </w:rPr>
        <w:fldChar w:fldCharType="end"/>
      </w:r>
      <w:r>
        <w:rPr>
          <w:noProof w:val="0"/>
        </w:rPr>
        <w:t>: Communication Review and Approval Process</w:t>
      </w:r>
      <w:bookmarkStart w:id="2861" w:name="_Toc144812365"/>
      <w:bookmarkStart w:id="2862" w:name="_Toc144812473"/>
      <w:bookmarkEnd w:id="2857"/>
      <w:bookmarkEnd w:id="2858"/>
      <w:bookmarkEnd w:id="2861"/>
      <w:bookmarkEnd w:id="2862"/>
      <w:r>
        <w:rPr>
          <w:noProof w:val="0"/>
        </w:rPr>
        <w:t xml:space="preserve"> Flow Narrative</w:t>
      </w:r>
      <w:bookmarkEnd w:id="2859"/>
      <w:bookmarkEnd w:id="2860"/>
    </w:p>
    <w:p w14:paraId="4877DB88" w14:textId="51E4F2CE" w:rsidR="0022457B" w:rsidRPr="00A21682" w:rsidRDefault="0022457B" w:rsidP="00DD12D4">
      <w:pPr>
        <w:pStyle w:val="NormalNEW"/>
        <w:rPr>
          <w:lang w:val="en-US"/>
        </w:rPr>
      </w:pPr>
    </w:p>
    <w:p w14:paraId="6E63AB83" w14:textId="77777777" w:rsidR="008E37A4" w:rsidRPr="00A21682" w:rsidRDefault="008E37A4">
      <w:pPr>
        <w:rPr>
          <w:rFonts w:ascii="Verdana" w:hAnsi="Verdana"/>
          <w:sz w:val="18"/>
        </w:rPr>
      </w:pPr>
    </w:p>
    <w:p w14:paraId="7BB3D838" w14:textId="77777777" w:rsidR="0062081E" w:rsidRPr="00A21682" w:rsidRDefault="0062081E">
      <w:pPr>
        <w:rPr>
          <w:rFonts w:ascii="Verdana" w:hAnsi="Verdana"/>
          <w:sz w:val="18"/>
        </w:rPr>
        <w:sectPr w:rsidR="0062081E" w:rsidRPr="00A21682" w:rsidSect="00307D3F">
          <w:headerReference w:type="default" r:id="rId65"/>
          <w:footerReference w:type="default" r:id="rId66"/>
          <w:pgSz w:w="12240" w:h="15840"/>
          <w:pgMar w:top="1440" w:right="1440" w:bottom="1440" w:left="1440" w:header="432" w:footer="720" w:gutter="0"/>
          <w:cols w:space="720"/>
          <w:docGrid w:linePitch="360"/>
        </w:sectPr>
      </w:pPr>
    </w:p>
    <w:p w14:paraId="46DB4C60" w14:textId="40C1EC87" w:rsidR="00A5554E" w:rsidRPr="00A21682" w:rsidRDefault="00E6638B" w:rsidP="00A9704C">
      <w:pPr>
        <w:pStyle w:val="Deliverable"/>
        <w:jc w:val="center"/>
        <w:rPr>
          <w:sz w:val="18"/>
        </w:rPr>
      </w:pPr>
      <w:r>
        <w:rPr>
          <w:color w:val="FFFFFF" w:themeColor="background1"/>
        </w:rPr>
        <w:lastRenderedPageBreak/>
        <w:t>Section 5 – Deliverable Management Plan</w:t>
      </w:r>
    </w:p>
    <w:p w14:paraId="30042224" w14:textId="77777777" w:rsidR="00A5554E" w:rsidRPr="00A21682" w:rsidRDefault="00A5554E">
      <w:pPr>
        <w:rPr>
          <w:rFonts w:ascii="Verdana" w:hAnsi="Verdana"/>
          <w:sz w:val="18"/>
        </w:rPr>
        <w:sectPr w:rsidR="00A5554E" w:rsidRPr="00A21682" w:rsidSect="00FB4E23">
          <w:headerReference w:type="default" r:id="rId67"/>
          <w:pgSz w:w="12240" w:h="15840"/>
          <w:pgMar w:top="1440" w:right="1440" w:bottom="1440" w:left="1440" w:header="720" w:footer="720" w:gutter="0"/>
          <w:cols w:space="720"/>
          <w:vAlign w:val="center"/>
          <w:docGrid w:linePitch="360"/>
        </w:sectPr>
      </w:pPr>
    </w:p>
    <w:p w14:paraId="1ADC6E22" w14:textId="485760EA" w:rsidR="00EF020E" w:rsidRPr="00A21682" w:rsidRDefault="0050381F">
      <w:pPr>
        <w:pStyle w:val="Heading1"/>
      </w:pPr>
      <w:bookmarkStart w:id="2863" w:name="_Toc177119150"/>
      <w:bookmarkStart w:id="2864" w:name="_Toc185952671"/>
      <w:bookmarkStart w:id="2865" w:name="_Toc192874839"/>
      <w:r>
        <w:lastRenderedPageBreak/>
        <w:t>Deliverable Management Plan</w:t>
      </w:r>
      <w:bookmarkEnd w:id="2863"/>
      <w:bookmarkEnd w:id="2864"/>
      <w:bookmarkEnd w:id="2865"/>
    </w:p>
    <w:p w14:paraId="30FE8D10" w14:textId="6E528A8E" w:rsidR="00A81D91" w:rsidRPr="00A21682" w:rsidRDefault="00A81D91">
      <w:pPr>
        <w:pStyle w:val="Heading2"/>
      </w:pPr>
      <w:bookmarkStart w:id="2866" w:name="_Toc151106824"/>
      <w:bookmarkStart w:id="2867" w:name="_Toc177119151"/>
      <w:bookmarkStart w:id="2868" w:name="_Toc185952672"/>
      <w:bookmarkStart w:id="2869" w:name="_Toc192874840"/>
      <w:r>
        <w:t>Introduction</w:t>
      </w:r>
      <w:bookmarkEnd w:id="2866"/>
      <w:bookmarkEnd w:id="2867"/>
      <w:bookmarkEnd w:id="2868"/>
      <w:bookmarkEnd w:id="2869"/>
      <w:r>
        <w:t xml:space="preserve"> </w:t>
      </w:r>
    </w:p>
    <w:p w14:paraId="30767821" w14:textId="6130A877" w:rsidR="00A81D91" w:rsidRPr="00A21682" w:rsidRDefault="00A81D91" w:rsidP="00DB20B7">
      <w:pPr>
        <w:pStyle w:val="NormalNEW"/>
        <w:rPr>
          <w:lang w:val="en-US"/>
        </w:rPr>
      </w:pPr>
      <w:r>
        <w:rPr>
          <w:lang w:val="en-US"/>
        </w:rPr>
        <w:t>The Deliverable Management Plan outlines project guidelines and procedures for developing and steering deliverables through the DOH OHIP approval process, as well as the review and tracking processes between the ███████ PMO, DOS PMO, ███████ deliverable stakeholders, and DOH OHIP deliverable stakeholders. All deliverables tie directly to project scope tasks and satisfy project requirements, and deliverables are referenced in each respective Individual Statement of Work (ISOW). The iterative process described in this document includes review timelines, tracking procedures, and filing mechanisms to confirm deliverables meet project standards. Processes for deliverable management include the review, transmittal, and approval of Deliverable Expectation Documents (DEDs)/Deliverables, which are listed in the Baselined Work Plan (DEL-06) and referenced in each project ISOW. Additional quality-related processes in tandem with deliverable management, including deliverable transmittal and review, deliverable quality expectations, and others, are outlined in detail in the Quality Management Plan (QMP) (refer to Section 7).</w:t>
      </w:r>
    </w:p>
    <w:p w14:paraId="4BEB513F" w14:textId="77777777" w:rsidR="00A81D91" w:rsidRPr="00A21682" w:rsidRDefault="00A81D91">
      <w:pPr>
        <w:pStyle w:val="Heading2"/>
      </w:pPr>
      <w:bookmarkStart w:id="2870" w:name="_Toc151106825"/>
      <w:bookmarkStart w:id="2871" w:name="_Toc177119152"/>
      <w:bookmarkStart w:id="2872" w:name="_Toc185952673"/>
      <w:bookmarkStart w:id="2873" w:name="_Toc192874841"/>
      <w:r>
        <w:t>Purpose</w:t>
      </w:r>
      <w:bookmarkEnd w:id="2870"/>
      <w:bookmarkEnd w:id="2871"/>
      <w:bookmarkEnd w:id="2872"/>
      <w:bookmarkEnd w:id="2873"/>
      <w:r>
        <w:t xml:space="preserve"> </w:t>
      </w:r>
    </w:p>
    <w:p w14:paraId="1D98ADC3" w14:textId="364AC657" w:rsidR="00A81D91" w:rsidRPr="00A21682" w:rsidRDefault="00A81D91" w:rsidP="00DB20B7">
      <w:pPr>
        <w:pStyle w:val="NormalNEW"/>
        <w:rPr>
          <w:lang w:val="en-US"/>
        </w:rPr>
      </w:pPr>
      <w:r>
        <w:rPr>
          <w:lang w:val="en-US"/>
        </w:rPr>
        <w:t>This document describes the processes, tools, and expectations to develop and manage project deliverables through DOH OHIP acceptance and which are referenced in each respective ISOW. The deliverable submission process is tracked using the Deliverable Management process for which more details are outlined in the QMP (refer to Section 7).</w:t>
      </w:r>
    </w:p>
    <w:p w14:paraId="3D921C75" w14:textId="77777777" w:rsidR="00A81D91" w:rsidRPr="00A21682" w:rsidRDefault="00A81D91" w:rsidP="00DB20B7">
      <w:pPr>
        <w:pStyle w:val="NormalNEW"/>
        <w:rPr>
          <w:lang w:val="en-US"/>
        </w:rPr>
      </w:pPr>
      <w:r>
        <w:rPr>
          <w:lang w:val="en-US"/>
        </w:rPr>
        <w:t xml:space="preserve">The objectives of this plan are to: </w:t>
      </w:r>
    </w:p>
    <w:p w14:paraId="295A7744" w14:textId="77777777" w:rsidR="00A81D91" w:rsidRPr="00A21682" w:rsidRDefault="00A81D91" w:rsidP="0031550A">
      <w:pPr>
        <w:pStyle w:val="BulletNEW"/>
      </w:pPr>
      <w:r>
        <w:t xml:space="preserve">Outline the deliverable review process and subsequent stakeholders’ roles </w:t>
      </w:r>
    </w:p>
    <w:p w14:paraId="0E9E3F7A" w14:textId="77777777" w:rsidR="00A81D91" w:rsidRPr="00A21682" w:rsidRDefault="00A81D91" w:rsidP="0031550A">
      <w:pPr>
        <w:pStyle w:val="BulletNEW"/>
      </w:pPr>
      <w:r>
        <w:t>Document the process for logging and tracking deliverables throughout the deliverable review cycle</w:t>
      </w:r>
    </w:p>
    <w:p w14:paraId="343427E4" w14:textId="4C4FD559" w:rsidR="008E1B06" w:rsidRPr="00A21682" w:rsidRDefault="00301796" w:rsidP="0031550A">
      <w:pPr>
        <w:pStyle w:val="BulletNEW"/>
      </w:pPr>
      <w:r>
        <w:t>Outline the Design Update process for Functional Design documents (FDDs) post transmittal approval</w:t>
      </w:r>
    </w:p>
    <w:p w14:paraId="62748941" w14:textId="0DFE04A3" w:rsidR="008E1B06" w:rsidRPr="00A21682" w:rsidRDefault="008F2668" w:rsidP="008E1B06">
      <w:pPr>
        <w:pStyle w:val="Heading2"/>
      </w:pPr>
      <w:bookmarkStart w:id="2874" w:name="_Toc178350759"/>
      <w:bookmarkStart w:id="2875" w:name="_Toc178352603"/>
      <w:bookmarkStart w:id="2876" w:name="_Toc178354717"/>
      <w:bookmarkStart w:id="2877" w:name="_Toc178357526"/>
      <w:bookmarkStart w:id="2878" w:name="_Toc178359325"/>
      <w:bookmarkStart w:id="2879" w:name="_Toc178371521"/>
      <w:bookmarkStart w:id="2880" w:name="_Toc184747102"/>
      <w:bookmarkStart w:id="2881" w:name="_Toc185948844"/>
      <w:bookmarkStart w:id="2882" w:name="_Toc186884428"/>
      <w:bookmarkStart w:id="2883" w:name="_Toc187428170"/>
      <w:bookmarkStart w:id="2884" w:name="_Toc188450546"/>
      <w:bookmarkStart w:id="2885" w:name="_Toc188619438"/>
      <w:bookmarkStart w:id="2886" w:name="_Toc177119153"/>
      <w:bookmarkStart w:id="2887" w:name="_Toc185952674"/>
      <w:bookmarkStart w:id="2888" w:name="_Toc192874842"/>
      <w:bookmarkEnd w:id="2874"/>
      <w:bookmarkEnd w:id="2875"/>
      <w:bookmarkEnd w:id="2876"/>
      <w:bookmarkEnd w:id="2877"/>
      <w:bookmarkEnd w:id="2878"/>
      <w:bookmarkEnd w:id="2879"/>
      <w:bookmarkEnd w:id="2880"/>
      <w:bookmarkEnd w:id="2881"/>
      <w:bookmarkEnd w:id="2882"/>
      <w:bookmarkEnd w:id="2883"/>
      <w:bookmarkEnd w:id="2884"/>
      <w:bookmarkEnd w:id="2885"/>
      <w:r>
        <w:t>Deliverable Expectation Documents and Deliverables</w:t>
      </w:r>
      <w:bookmarkEnd w:id="2886"/>
      <w:bookmarkEnd w:id="2887"/>
      <w:bookmarkEnd w:id="2888"/>
    </w:p>
    <w:p w14:paraId="7D710373" w14:textId="7181367B" w:rsidR="008E1B06" w:rsidRPr="00A21682" w:rsidRDefault="008E1B06" w:rsidP="0031550A">
      <w:pPr>
        <w:pStyle w:val="BulletNEW"/>
      </w:pPr>
      <w:r>
        <w:t xml:space="preserve">This section describes the distinction between DEDs and Deliverables. Both DEDs and Deliverables are equally subject to the protocols surrounding collaboration, concurrence, and final approval by DOH. </w:t>
      </w:r>
    </w:p>
    <w:p w14:paraId="142408E3" w14:textId="4A10B50C" w:rsidR="008C75D1" w:rsidRPr="00A21682" w:rsidRDefault="0003012A" w:rsidP="0031550A">
      <w:pPr>
        <w:pStyle w:val="BulletNEW"/>
      </w:pPr>
      <w:r>
        <w:t>A DED is a template for a deliverable that contains defined review and/or acceptance criteria for the deliverable. Prior to deliverable submission, ███████ works with DOH OHIP to finalize the templates and expected content of the deliverables. A DED is created by tailoring ███████ methodologies and reference materials to meet project-specific needs and further refined in collaboration with the DOH OHIP team members responsible for review and sign-off of the deliverable acceptance criteria.</w:t>
      </w:r>
    </w:p>
    <w:p w14:paraId="73FBC63B" w14:textId="0BDBEC74" w:rsidR="00166B76" w:rsidRPr="00A21682" w:rsidRDefault="000C6689" w:rsidP="0031550A">
      <w:pPr>
        <w:pStyle w:val="BulletNEW"/>
      </w:pPr>
      <w:r>
        <w:t xml:space="preserve">A Deliverable is directly tied to project scope tasks and meeting project requirements. All contractual deliverables are defined in the applicable ISOW for each project. </w:t>
      </w:r>
    </w:p>
    <w:p w14:paraId="13C78A36" w14:textId="618E0DAF" w:rsidR="00166B76" w:rsidRPr="00A21682" w:rsidRDefault="00C16D93" w:rsidP="0031550A">
      <w:pPr>
        <w:pStyle w:val="BulletNEW"/>
        <w:numPr>
          <w:ilvl w:val="1"/>
          <w:numId w:val="13"/>
        </w:numPr>
      </w:pPr>
      <w:r>
        <w:t xml:space="preserve">ISOW #1 Amendment contains the Continuing Medicaid Eligibility Modernization-specific list of deliverables </w:t>
      </w:r>
    </w:p>
    <w:p w14:paraId="706852BA" w14:textId="126C11B8" w:rsidR="00A26B6C" w:rsidRPr="00A21682" w:rsidRDefault="005D5DEA" w:rsidP="0031550A">
      <w:pPr>
        <w:pStyle w:val="BulletNEW"/>
        <w:numPr>
          <w:ilvl w:val="1"/>
          <w:numId w:val="13"/>
        </w:numPr>
      </w:pPr>
      <w:r>
        <w:t>ISOW #2 contains the Appeals project-specific list of deliverables</w:t>
      </w:r>
    </w:p>
    <w:p w14:paraId="07C99965" w14:textId="4291ECF4" w:rsidR="000C6689" w:rsidRPr="00A21682" w:rsidRDefault="00A26B6C" w:rsidP="0031550A">
      <w:pPr>
        <w:pStyle w:val="BulletNEW"/>
        <w:numPr>
          <w:ilvl w:val="1"/>
          <w:numId w:val="13"/>
        </w:numPr>
      </w:pPr>
      <w:r>
        <w:t>NOTE: Contractual deliverables may be subject to change based on ISOW amendments and deliverable revisions subject to change request approval</w:t>
      </w:r>
    </w:p>
    <w:p w14:paraId="23129BB1" w14:textId="77777777" w:rsidR="008E64C4" w:rsidRPr="00A21682" w:rsidRDefault="008E64C4" w:rsidP="008E64C4">
      <w:pPr>
        <w:pStyle w:val="Heading2"/>
      </w:pPr>
      <w:bookmarkStart w:id="2889" w:name="_Toc177051236"/>
      <w:bookmarkStart w:id="2890" w:name="_Toc177116847"/>
      <w:bookmarkStart w:id="2891" w:name="_Toc177117617"/>
      <w:bookmarkStart w:id="2892" w:name="_Toc177118387"/>
      <w:bookmarkStart w:id="2893" w:name="_Toc177119154"/>
      <w:bookmarkStart w:id="2894" w:name="_Toc178350761"/>
      <w:bookmarkStart w:id="2895" w:name="_Toc178352605"/>
      <w:bookmarkStart w:id="2896" w:name="_Toc178354719"/>
      <w:bookmarkStart w:id="2897" w:name="_Toc178357528"/>
      <w:bookmarkStart w:id="2898" w:name="_Toc178359327"/>
      <w:bookmarkStart w:id="2899" w:name="_Toc178371523"/>
      <w:bookmarkStart w:id="2900" w:name="_Toc184747104"/>
      <w:bookmarkStart w:id="2901" w:name="_Toc185948846"/>
      <w:bookmarkStart w:id="2902" w:name="_Toc186884430"/>
      <w:bookmarkStart w:id="2903" w:name="_Toc187428172"/>
      <w:bookmarkStart w:id="2904" w:name="_Toc188450548"/>
      <w:bookmarkStart w:id="2905" w:name="_Toc188619440"/>
      <w:bookmarkStart w:id="2906" w:name="_Toc185952675"/>
      <w:bookmarkStart w:id="2907" w:name="_Toc192874843"/>
      <w:bookmarkStart w:id="2908" w:name="_Toc151106826"/>
      <w:bookmarkStart w:id="2909" w:name="_Toc177119155"/>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r>
        <w:lastRenderedPageBreak/>
        <w:t>Non-Design Deliverable Management Approach</w:t>
      </w:r>
      <w:bookmarkEnd w:id="2906"/>
      <w:bookmarkEnd w:id="2907"/>
    </w:p>
    <w:bookmarkEnd w:id="2908"/>
    <w:bookmarkEnd w:id="2909"/>
    <w:p w14:paraId="139E4A45" w14:textId="22A6621B" w:rsidR="00B13648" w:rsidRPr="00A21682" w:rsidRDefault="008E44D4" w:rsidP="00DB20B7">
      <w:pPr>
        <w:pStyle w:val="NormalNEW"/>
        <w:rPr>
          <w:lang w:val="en-US"/>
        </w:rPr>
      </w:pPr>
      <w:r>
        <w:rPr>
          <w:lang w:val="en-US"/>
        </w:rPr>
        <w:t>Non-design documents are deliverables that provide comprehensive documentation that supports non-functional requirements, project management, technology, security, and change management operations. This approach outlines the process for developing, reviewing, and managing non-design documents throughout the project lifecycle. The documents are crafted, collaboratively reviewed, and thoroughly updated to reflect associated content and feedback. By following a structured approach, the project team maintains high standards of quality and consistency, facilitating clear communication and alignment among all stakeholders. This section details the process flow, roles, and responsibilities involved in the submission and management of non-design documents, promoting an efficient workflow from initial planning to final approval.</w:t>
      </w:r>
    </w:p>
    <w:p w14:paraId="0A74B788" w14:textId="13B83AD6" w:rsidR="004429B2" w:rsidRPr="00A21682" w:rsidRDefault="00755039" w:rsidP="00B81339">
      <w:pPr>
        <w:pStyle w:val="Body"/>
        <w:rPr>
          <w:lang w:val="en-US"/>
        </w:rPr>
      </w:pPr>
      <w:r>
        <w:rPr>
          <w:lang w:val="en-US"/>
        </w:rPr>
        <w:t xml:space="preserve">The table below summarizes the types of </w:t>
      </w:r>
      <w:r>
        <w:rPr>
          <w:u w:color="000000"/>
          <w:lang w:val="en-US"/>
        </w:rPr>
        <w:t xml:space="preserve">Continuing Medicaid Eligibility Modernization </w:t>
      </w:r>
      <w:r>
        <w:rPr>
          <w:lang w:val="en-US"/>
        </w:rPr>
        <w:t xml:space="preserve">non-design deliverables, as well as the organization structure, format, and general purpose each document type. </w:t>
      </w:r>
    </w:p>
    <w:tbl>
      <w:tblPr>
        <w:tblStyle w:val="TableGrid"/>
        <w:tblW w:w="9355" w:type="dxa"/>
        <w:tblLook w:val="04A0" w:firstRow="1" w:lastRow="0" w:firstColumn="1" w:lastColumn="0" w:noHBand="0" w:noVBand="1"/>
      </w:tblPr>
      <w:tblGrid>
        <w:gridCol w:w="2155"/>
        <w:gridCol w:w="2250"/>
        <w:gridCol w:w="4950"/>
      </w:tblGrid>
      <w:tr w:rsidR="00B24230" w:rsidRPr="00A21682" w14:paraId="6DF21EB0" w14:textId="77777777" w:rsidTr="00215786">
        <w:tc>
          <w:tcPr>
            <w:tcW w:w="2155" w:type="dxa"/>
            <w:tcBorders>
              <w:right w:val="single" w:sz="4" w:space="0" w:color="FFFFFF" w:themeColor="background1"/>
            </w:tcBorders>
            <w:shd w:val="clear" w:color="auto" w:fill="000000" w:themeFill="text1"/>
          </w:tcPr>
          <w:p w14:paraId="4E8530EE" w14:textId="7874AB4C" w:rsidR="00B24230" w:rsidRPr="00A21682" w:rsidRDefault="00B36936" w:rsidP="00215786">
            <w:pPr>
              <w:pStyle w:val="BodyText0"/>
              <w:spacing w:before="60" w:after="60"/>
              <w:rPr>
                <w:b/>
                <w:color w:val="FFFFFF" w:themeColor="background1"/>
                <w:sz w:val="18"/>
                <w:lang w:val="en-US"/>
              </w:rPr>
            </w:pPr>
            <w:bookmarkStart w:id="2910" w:name="_Toc185952677"/>
            <w:r>
              <w:rPr>
                <w:b/>
                <w:color w:val="FFFFFF" w:themeColor="background1"/>
                <w:sz w:val="18"/>
                <w:lang w:val="en-US"/>
              </w:rPr>
              <w:t>Non-Design Document Type</w:t>
            </w:r>
          </w:p>
        </w:tc>
        <w:tc>
          <w:tcPr>
            <w:tcW w:w="2250" w:type="dxa"/>
            <w:tcBorders>
              <w:left w:val="single" w:sz="4" w:space="0" w:color="FFFFFF" w:themeColor="background1"/>
              <w:right w:val="single" w:sz="4" w:space="0" w:color="FFFFFF" w:themeColor="background1"/>
            </w:tcBorders>
            <w:shd w:val="clear" w:color="auto" w:fill="000000" w:themeFill="text1"/>
          </w:tcPr>
          <w:p w14:paraId="66B2EA7B" w14:textId="77777777" w:rsidR="00B24230" w:rsidRPr="00A21682" w:rsidRDefault="00B24230" w:rsidP="00215786">
            <w:pPr>
              <w:pStyle w:val="BodyText0"/>
              <w:spacing w:before="60" w:after="60"/>
              <w:rPr>
                <w:b/>
                <w:color w:val="FFFFFF" w:themeColor="background1"/>
                <w:sz w:val="18"/>
                <w:lang w:val="en-US"/>
              </w:rPr>
            </w:pPr>
            <w:r>
              <w:rPr>
                <w:b/>
                <w:color w:val="FFFFFF" w:themeColor="background1"/>
                <w:sz w:val="18"/>
                <w:lang w:val="en-US"/>
              </w:rPr>
              <w:t>Organized By</w:t>
            </w:r>
          </w:p>
        </w:tc>
        <w:tc>
          <w:tcPr>
            <w:tcW w:w="4950" w:type="dxa"/>
            <w:tcBorders>
              <w:left w:val="single" w:sz="4" w:space="0" w:color="FFFFFF" w:themeColor="background1"/>
            </w:tcBorders>
            <w:shd w:val="clear" w:color="auto" w:fill="000000" w:themeFill="text1"/>
          </w:tcPr>
          <w:p w14:paraId="6F1E06A7" w14:textId="77777777" w:rsidR="00B24230" w:rsidRPr="00A21682" w:rsidRDefault="00B24230" w:rsidP="00215786">
            <w:pPr>
              <w:pStyle w:val="BodyText0"/>
              <w:spacing w:before="60" w:after="60"/>
              <w:rPr>
                <w:b/>
                <w:color w:val="FFFFFF" w:themeColor="background1"/>
                <w:sz w:val="18"/>
                <w:lang w:val="en-US"/>
              </w:rPr>
            </w:pPr>
            <w:r>
              <w:rPr>
                <w:b/>
                <w:color w:val="FFFFFF" w:themeColor="background1"/>
                <w:sz w:val="18"/>
                <w:lang w:val="en-US"/>
              </w:rPr>
              <w:t>Purpose</w:t>
            </w:r>
          </w:p>
        </w:tc>
      </w:tr>
      <w:tr w:rsidR="00B24230" w:rsidRPr="00A21682" w14:paraId="55F2E09C" w14:textId="77777777" w:rsidTr="00215786">
        <w:tc>
          <w:tcPr>
            <w:tcW w:w="2155" w:type="dxa"/>
          </w:tcPr>
          <w:p w14:paraId="7C904709" w14:textId="364FA43A" w:rsidR="00B24230" w:rsidRPr="00A21682" w:rsidRDefault="00DF6254" w:rsidP="00215786">
            <w:pPr>
              <w:spacing w:before="60" w:after="60"/>
              <w:rPr>
                <w:rFonts w:ascii="Verdana" w:hAnsi="Verdana"/>
                <w:sz w:val="18"/>
                <w:szCs w:val="18"/>
              </w:rPr>
            </w:pPr>
            <w:r>
              <w:rPr>
                <w:rFonts w:ascii="Verdana" w:hAnsi="Verdana"/>
                <w:sz w:val="18"/>
                <w:szCs w:val="18"/>
              </w:rPr>
              <w:t>Technology</w:t>
            </w:r>
          </w:p>
        </w:tc>
        <w:tc>
          <w:tcPr>
            <w:tcW w:w="2250" w:type="dxa"/>
          </w:tcPr>
          <w:p w14:paraId="46022346" w14:textId="77777777" w:rsidR="00B24230" w:rsidRPr="00A21682" w:rsidRDefault="00B24230" w:rsidP="00215786">
            <w:pPr>
              <w:spacing w:before="60" w:after="60"/>
              <w:rPr>
                <w:sz w:val="18"/>
              </w:rPr>
            </w:pPr>
            <w:r>
              <w:rPr>
                <w:rFonts w:ascii="Verdana" w:hAnsi="Verdana"/>
                <w:sz w:val="18"/>
                <w:szCs w:val="18"/>
              </w:rPr>
              <w:t>Track/System Module</w:t>
            </w:r>
          </w:p>
        </w:tc>
        <w:tc>
          <w:tcPr>
            <w:tcW w:w="4950" w:type="dxa"/>
          </w:tcPr>
          <w:p w14:paraId="1153C680" w14:textId="1743A6D5" w:rsidR="00B24230" w:rsidRPr="00A21682" w:rsidRDefault="00EE631E" w:rsidP="00215786">
            <w:pPr>
              <w:spacing w:before="60" w:after="60"/>
              <w:rPr>
                <w:rFonts w:ascii="Verdana" w:hAnsi="Verdana"/>
                <w:sz w:val="18"/>
              </w:rPr>
            </w:pPr>
            <w:r>
              <w:rPr>
                <w:rFonts w:ascii="Verdana" w:hAnsi="Verdana"/>
                <w:sz w:val="18"/>
              </w:rPr>
              <w:t>These documents describe the technical architecture, specifications, and operational procedures necessary to support the system’s functionality and performance. These documents also provide comprehensive details for the development and operations teams and may include release management processes for planning, scheduling, and controlling releases to production, with guidance for smooth deployment and issue management.</w:t>
            </w:r>
          </w:p>
        </w:tc>
      </w:tr>
      <w:tr w:rsidR="00B24230" w:rsidRPr="00A21682" w14:paraId="5A6519F3" w14:textId="77777777" w:rsidTr="00215786">
        <w:tc>
          <w:tcPr>
            <w:tcW w:w="2155" w:type="dxa"/>
          </w:tcPr>
          <w:p w14:paraId="619F9EC8" w14:textId="5588F848" w:rsidR="00B24230" w:rsidRPr="00A21682" w:rsidRDefault="009C31EB" w:rsidP="00215786">
            <w:pPr>
              <w:spacing w:before="60" w:after="60"/>
              <w:rPr>
                <w:rFonts w:ascii="Verdana" w:hAnsi="Verdana"/>
                <w:sz w:val="18"/>
                <w:szCs w:val="18"/>
              </w:rPr>
            </w:pPr>
            <w:r>
              <w:rPr>
                <w:rFonts w:ascii="Verdana" w:hAnsi="Verdana"/>
                <w:sz w:val="18"/>
                <w:szCs w:val="18"/>
              </w:rPr>
              <w:t>Project Management</w:t>
            </w:r>
          </w:p>
        </w:tc>
        <w:tc>
          <w:tcPr>
            <w:tcW w:w="2250" w:type="dxa"/>
          </w:tcPr>
          <w:p w14:paraId="439B3DE4" w14:textId="0ABB566B" w:rsidR="00B24230" w:rsidRPr="00A21682" w:rsidRDefault="00CA4F97" w:rsidP="00215786">
            <w:pPr>
              <w:spacing w:before="60" w:after="60"/>
              <w:rPr>
                <w:sz w:val="18"/>
              </w:rPr>
            </w:pPr>
            <w:r>
              <w:rPr>
                <w:rFonts w:ascii="Verdana" w:hAnsi="Verdana"/>
                <w:sz w:val="18"/>
                <w:szCs w:val="18"/>
              </w:rPr>
              <w:t>Track/System Module</w:t>
            </w:r>
          </w:p>
        </w:tc>
        <w:tc>
          <w:tcPr>
            <w:tcW w:w="4950" w:type="dxa"/>
          </w:tcPr>
          <w:p w14:paraId="5E7C1CAE" w14:textId="13EF7D9A" w:rsidR="00B24230" w:rsidRPr="00A21682" w:rsidRDefault="000D485E" w:rsidP="00215786">
            <w:pPr>
              <w:spacing w:before="60" w:after="60"/>
              <w:rPr>
                <w:rFonts w:ascii="Verdana" w:hAnsi="Verdana"/>
                <w:sz w:val="18"/>
              </w:rPr>
            </w:pPr>
            <w:r>
              <w:rPr>
                <w:rFonts w:ascii="Verdana" w:hAnsi="Verdana"/>
                <w:sz w:val="18"/>
              </w:rPr>
              <w:t>These documents describe the processes and tools used to plan, execute, and monitor project activities. The documents may include the project management plan, workplan and schedule, project status report, and the risk register.</w:t>
            </w:r>
          </w:p>
        </w:tc>
      </w:tr>
      <w:tr w:rsidR="009C31EB" w:rsidRPr="00A21682" w14:paraId="09A08130" w14:textId="77777777" w:rsidTr="00215786">
        <w:tc>
          <w:tcPr>
            <w:tcW w:w="2155" w:type="dxa"/>
          </w:tcPr>
          <w:p w14:paraId="5922702F" w14:textId="4A92DC36" w:rsidR="009C31EB" w:rsidRPr="00A21682" w:rsidRDefault="009C31EB" w:rsidP="00215786">
            <w:pPr>
              <w:spacing w:before="60" w:after="60"/>
              <w:rPr>
                <w:rFonts w:ascii="Verdana" w:hAnsi="Verdana"/>
                <w:sz w:val="18"/>
                <w:szCs w:val="18"/>
              </w:rPr>
            </w:pPr>
            <w:r>
              <w:rPr>
                <w:rFonts w:ascii="Verdana" w:hAnsi="Verdana"/>
                <w:sz w:val="18"/>
                <w:szCs w:val="18"/>
              </w:rPr>
              <w:t xml:space="preserve">Change Management </w:t>
            </w:r>
          </w:p>
        </w:tc>
        <w:tc>
          <w:tcPr>
            <w:tcW w:w="2250" w:type="dxa"/>
          </w:tcPr>
          <w:p w14:paraId="1936A58D" w14:textId="2EDC65C8" w:rsidR="009C31EB" w:rsidRPr="00A21682" w:rsidRDefault="00B13648" w:rsidP="00215786">
            <w:pPr>
              <w:spacing w:before="60" w:after="60"/>
              <w:rPr>
                <w:sz w:val="18"/>
              </w:rPr>
            </w:pPr>
            <w:r>
              <w:rPr>
                <w:rFonts w:ascii="Verdana" w:hAnsi="Verdana"/>
                <w:sz w:val="18"/>
                <w:szCs w:val="18"/>
              </w:rPr>
              <w:t>Track/System Module</w:t>
            </w:r>
          </w:p>
        </w:tc>
        <w:tc>
          <w:tcPr>
            <w:tcW w:w="4950" w:type="dxa"/>
          </w:tcPr>
          <w:p w14:paraId="3B460E54" w14:textId="5AF96C4D" w:rsidR="009C31EB" w:rsidRPr="00A21682" w:rsidRDefault="00DA72A4" w:rsidP="00215786">
            <w:pPr>
              <w:spacing w:before="60" w:after="60"/>
              <w:rPr>
                <w:rFonts w:ascii="Verdana" w:hAnsi="Verdana"/>
                <w:sz w:val="18"/>
              </w:rPr>
            </w:pPr>
            <w:r>
              <w:rPr>
                <w:rFonts w:ascii="Verdana" w:hAnsi="Verdana"/>
                <w:sz w:val="18"/>
              </w:rPr>
              <w:t>These documents describe the processes and procedures for managing changes to the project scope, requirements, or deliverables. The evaluation, approval, and implementation of changes in a controlled manner are facilitated, minimizing disruption, and maintaining project integrity.</w:t>
            </w:r>
          </w:p>
        </w:tc>
      </w:tr>
      <w:tr w:rsidR="00B13648" w:rsidRPr="00A21682" w14:paraId="6ABDBAF6" w14:textId="77777777" w:rsidTr="00215786">
        <w:tc>
          <w:tcPr>
            <w:tcW w:w="2155" w:type="dxa"/>
          </w:tcPr>
          <w:p w14:paraId="543D43A6" w14:textId="494CF26A" w:rsidR="00B13648" w:rsidRPr="00A21682" w:rsidRDefault="00B13648" w:rsidP="00215786">
            <w:pPr>
              <w:spacing w:before="60" w:after="60"/>
              <w:rPr>
                <w:rFonts w:ascii="Verdana" w:hAnsi="Verdana"/>
                <w:sz w:val="18"/>
                <w:szCs w:val="18"/>
              </w:rPr>
            </w:pPr>
            <w:r>
              <w:rPr>
                <w:rFonts w:ascii="Verdana" w:hAnsi="Verdana"/>
                <w:sz w:val="18"/>
                <w:szCs w:val="18"/>
              </w:rPr>
              <w:t>Security</w:t>
            </w:r>
          </w:p>
        </w:tc>
        <w:tc>
          <w:tcPr>
            <w:tcW w:w="2250" w:type="dxa"/>
          </w:tcPr>
          <w:p w14:paraId="4D5917A9" w14:textId="1E86C946" w:rsidR="00B13648" w:rsidRPr="00A21682" w:rsidRDefault="00B13648" w:rsidP="00215786">
            <w:pPr>
              <w:spacing w:before="60" w:after="60"/>
              <w:rPr>
                <w:sz w:val="18"/>
              </w:rPr>
            </w:pPr>
            <w:r>
              <w:rPr>
                <w:rFonts w:ascii="Verdana" w:hAnsi="Verdana"/>
                <w:sz w:val="18"/>
                <w:szCs w:val="18"/>
              </w:rPr>
              <w:t>Track/System Module</w:t>
            </w:r>
          </w:p>
        </w:tc>
        <w:tc>
          <w:tcPr>
            <w:tcW w:w="4950" w:type="dxa"/>
          </w:tcPr>
          <w:p w14:paraId="4FF45069" w14:textId="0F1C01B8" w:rsidR="00B13648" w:rsidRPr="00A21682" w:rsidRDefault="00CF2DAC" w:rsidP="00215786">
            <w:pPr>
              <w:spacing w:before="60" w:after="60"/>
              <w:rPr>
                <w:rFonts w:ascii="Verdana" w:hAnsi="Verdana"/>
                <w:sz w:val="18"/>
              </w:rPr>
            </w:pPr>
            <w:r>
              <w:rPr>
                <w:rFonts w:ascii="Verdana" w:hAnsi="Verdana"/>
                <w:sz w:val="18"/>
              </w:rPr>
              <w:t>These documents describe the security measures, policies, and protocols implemented to protect the system and its data. Details are provided on how security requirements are met and how the system is safeguarded against threats and vulnerabilities.</w:t>
            </w:r>
          </w:p>
        </w:tc>
      </w:tr>
    </w:tbl>
    <w:p w14:paraId="34798063" w14:textId="6489EB74" w:rsidR="00755039" w:rsidRPr="00A21682" w:rsidRDefault="00F85FC9" w:rsidP="008A0C0A">
      <w:pPr>
        <w:pStyle w:val="Caption"/>
        <w:rPr>
          <w:noProof w:val="0"/>
        </w:rPr>
      </w:pPr>
      <w:bookmarkStart w:id="2911" w:name="_Toc19287517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5</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xml:space="preserve">: Summary of </w:t>
      </w:r>
      <w:r>
        <w:t xml:space="preserve">Continuing Medicaid Eligibility Modernization </w:t>
      </w:r>
      <w:r>
        <w:rPr>
          <w:noProof w:val="0"/>
        </w:rPr>
        <w:t>Non-Design Documentation</w:t>
      </w:r>
      <w:bookmarkEnd w:id="2911"/>
    </w:p>
    <w:p w14:paraId="70E21940" w14:textId="4E43AC26" w:rsidR="00784AC6" w:rsidRPr="00A21682" w:rsidRDefault="009F1306" w:rsidP="00784AC6">
      <w:pPr>
        <w:pStyle w:val="Heading3"/>
      </w:pPr>
      <w:bookmarkStart w:id="2912" w:name="_Toc192874844"/>
      <w:r>
        <w:t>DED/Deliverable Management Process Flow</w:t>
      </w:r>
      <w:bookmarkEnd w:id="2910"/>
      <w:bookmarkEnd w:id="2912"/>
      <w:r>
        <w:t xml:space="preserve"> </w:t>
      </w:r>
    </w:p>
    <w:p w14:paraId="7DF7DD84" w14:textId="199BB197" w:rsidR="004F07C1" w:rsidRPr="00A21682" w:rsidRDefault="00784AC6" w:rsidP="0023336C">
      <w:pPr>
        <w:rPr>
          <w:rFonts w:ascii="Verdana" w:hAnsi="Verdana" w:cs="Times New Roman"/>
          <w:sz w:val="18"/>
          <w:szCs w:val="18"/>
        </w:rPr>
      </w:pPr>
      <w:r>
        <w:rPr>
          <w:rFonts w:ascii="Verdana" w:hAnsi="Verdana"/>
          <w:bCs/>
          <w:sz w:val="18"/>
          <w:szCs w:val="18"/>
        </w:rPr>
        <w:t xml:space="preserve">Link to Process Flow Diagram: </w:t>
      </w:r>
      <w:r>
        <w:rPr>
          <w:rFonts w:ascii="Verdana" w:hAnsi="Verdana"/>
          <w:sz w:val="18"/>
          <w:szCs w:val="18"/>
        </w:rPr>
        <w:t>DED/Deliverable Management Process</w:t>
      </w:r>
    </w:p>
    <w:p w14:paraId="4FB22339" w14:textId="42385353" w:rsidR="00A81D91" w:rsidRPr="00A21682" w:rsidRDefault="00A81D91" w:rsidP="00DF6254">
      <w:bookmarkStart w:id="2913" w:name="_Toc178350764"/>
      <w:bookmarkStart w:id="2914" w:name="_Toc178352608"/>
      <w:bookmarkStart w:id="2915" w:name="_Toc178354722"/>
      <w:bookmarkStart w:id="2916" w:name="_Toc178357531"/>
      <w:bookmarkStart w:id="2917" w:name="_Toc178350765"/>
      <w:bookmarkStart w:id="2918" w:name="_Toc178352609"/>
      <w:bookmarkStart w:id="2919" w:name="_Toc178354723"/>
      <w:bookmarkStart w:id="2920" w:name="_Toc178357532"/>
      <w:bookmarkStart w:id="2921" w:name="_Toc178350766"/>
      <w:bookmarkStart w:id="2922" w:name="_Toc178352610"/>
      <w:bookmarkStart w:id="2923" w:name="_Toc178354724"/>
      <w:bookmarkStart w:id="2924" w:name="_Toc178357533"/>
      <w:bookmarkStart w:id="2925" w:name="_Toc178350767"/>
      <w:bookmarkStart w:id="2926" w:name="_Toc178352611"/>
      <w:bookmarkStart w:id="2927" w:name="_Toc178354725"/>
      <w:bookmarkStart w:id="2928" w:name="_Toc178357534"/>
      <w:bookmarkStart w:id="2929" w:name="_Toc178350768"/>
      <w:bookmarkStart w:id="2930" w:name="_Toc178352612"/>
      <w:bookmarkStart w:id="2931" w:name="_Toc178354726"/>
      <w:bookmarkStart w:id="2932" w:name="_Toc178357535"/>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14:paraId="1DFB7C4D" w14:textId="2D825A5B" w:rsidR="00B06F9B" w:rsidRPr="00A21682" w:rsidRDefault="00A67145" w:rsidP="0023336C">
      <w:pPr>
        <w:pStyle w:val="Heading3"/>
      </w:pPr>
      <w:bookmarkStart w:id="2933" w:name="_Toc178359485"/>
      <w:bookmarkStart w:id="2934" w:name="_Toc178371681"/>
      <w:bookmarkStart w:id="2935" w:name="_Toc184747262"/>
      <w:bookmarkStart w:id="2936" w:name="_Toc185949004"/>
      <w:bookmarkStart w:id="2937" w:name="_Toc186884588"/>
      <w:bookmarkStart w:id="2938" w:name="_Toc187428330"/>
      <w:bookmarkStart w:id="2939" w:name="_Toc188450706"/>
      <w:bookmarkStart w:id="2940" w:name="_Toc185952678"/>
      <w:bookmarkStart w:id="2941" w:name="_Toc192874845"/>
      <w:bookmarkStart w:id="2942" w:name="_Toc151106667"/>
      <w:bookmarkEnd w:id="2933"/>
      <w:bookmarkEnd w:id="2934"/>
      <w:bookmarkEnd w:id="2935"/>
      <w:bookmarkEnd w:id="2936"/>
      <w:bookmarkEnd w:id="2937"/>
      <w:bookmarkEnd w:id="2938"/>
      <w:bookmarkEnd w:id="2939"/>
      <w:r>
        <w:t>DED/Deliverable Management Process Flow Narrative</w:t>
      </w:r>
      <w:bookmarkEnd w:id="2940"/>
      <w:bookmarkEnd w:id="2941"/>
    </w:p>
    <w:p w14:paraId="1B1DB1AD" w14:textId="0DB97DD9" w:rsidR="00EB35E3" w:rsidRPr="00A21682" w:rsidRDefault="00EB35E3" w:rsidP="00EB35E3">
      <w:pPr>
        <w:pStyle w:val="NormalNEW"/>
        <w:rPr>
          <w:lang w:val="en-US"/>
        </w:rPr>
      </w:pPr>
      <w:r>
        <w:rPr>
          <w:lang w:val="en-US"/>
        </w:rPr>
        <w:t>The following table outlines the steps detailed in the diagram linked above.</w:t>
      </w:r>
    </w:p>
    <w:tbl>
      <w:tblPr>
        <w:tblW w:w="5041" w:type="pct"/>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20" w:firstRow="1" w:lastRow="0" w:firstColumn="0" w:lastColumn="0" w:noHBand="1" w:noVBand="1"/>
      </w:tblPr>
      <w:tblGrid>
        <w:gridCol w:w="722"/>
        <w:gridCol w:w="1713"/>
        <w:gridCol w:w="4949"/>
        <w:gridCol w:w="2047"/>
      </w:tblGrid>
      <w:tr w:rsidR="005133E7" w:rsidRPr="00A21682" w14:paraId="5395302E" w14:textId="77777777" w:rsidTr="00BC5D58">
        <w:trPr>
          <w:trHeight w:val="300"/>
          <w:tblHeader/>
        </w:trPr>
        <w:tc>
          <w:tcPr>
            <w:tcW w:w="383" w:type="pct"/>
            <w:tcBorders>
              <w:right w:val="single" w:sz="2" w:space="0" w:color="FFFFFF" w:themeColor="background1"/>
            </w:tcBorders>
            <w:shd w:val="clear" w:color="auto" w:fill="000000" w:themeFill="text1"/>
            <w:hideMark/>
          </w:tcPr>
          <w:p w14:paraId="5D35F56A" w14:textId="77777777" w:rsidR="00EB35E3" w:rsidRPr="00A21682" w:rsidRDefault="00EB35E3">
            <w:pPr>
              <w:pStyle w:val="TABLEHEADINGNEW"/>
            </w:pPr>
            <w:r>
              <w:rPr>
                <w:rFonts w:eastAsia="Verdana"/>
              </w:rPr>
              <w:lastRenderedPageBreak/>
              <w:t>Step #</w:t>
            </w:r>
          </w:p>
        </w:tc>
        <w:tc>
          <w:tcPr>
            <w:tcW w:w="908" w:type="pct"/>
            <w:tcBorders>
              <w:left w:val="single" w:sz="2" w:space="0" w:color="FFFFFF" w:themeColor="background1"/>
              <w:right w:val="single" w:sz="2" w:space="0" w:color="FFFFFF" w:themeColor="background1"/>
            </w:tcBorders>
            <w:shd w:val="clear" w:color="auto" w:fill="000000" w:themeFill="text1"/>
            <w:hideMark/>
          </w:tcPr>
          <w:p w14:paraId="7A14CCDB" w14:textId="77777777" w:rsidR="00EB35E3" w:rsidRPr="00A21682" w:rsidRDefault="00EB35E3">
            <w:pPr>
              <w:pStyle w:val="TABLEHEADINGNEW"/>
            </w:pPr>
            <w:r>
              <w:rPr>
                <w:rFonts w:eastAsia="Verdana"/>
              </w:rPr>
              <w:t>Process</w:t>
            </w:r>
          </w:p>
        </w:tc>
        <w:tc>
          <w:tcPr>
            <w:tcW w:w="2624" w:type="pct"/>
            <w:tcBorders>
              <w:left w:val="single" w:sz="2" w:space="0" w:color="FFFFFF" w:themeColor="background1"/>
              <w:right w:val="single" w:sz="2" w:space="0" w:color="FFFFFF" w:themeColor="background1"/>
            </w:tcBorders>
            <w:shd w:val="clear" w:color="auto" w:fill="000000" w:themeFill="text1"/>
            <w:hideMark/>
          </w:tcPr>
          <w:p w14:paraId="0B03D63D" w14:textId="77777777" w:rsidR="00EB35E3" w:rsidRPr="00A21682" w:rsidRDefault="00EB35E3">
            <w:pPr>
              <w:pStyle w:val="TABLEHEADINGNEW"/>
            </w:pPr>
            <w:r>
              <w:rPr>
                <w:rFonts w:eastAsia="Verdana"/>
              </w:rPr>
              <w:t>Description</w:t>
            </w:r>
          </w:p>
        </w:tc>
        <w:tc>
          <w:tcPr>
            <w:tcW w:w="1085" w:type="pct"/>
            <w:tcBorders>
              <w:left w:val="single" w:sz="2" w:space="0" w:color="FFFFFF" w:themeColor="background1"/>
            </w:tcBorders>
            <w:shd w:val="clear" w:color="auto" w:fill="000000" w:themeFill="text1"/>
            <w:hideMark/>
          </w:tcPr>
          <w:p w14:paraId="2D3E8C32" w14:textId="77777777" w:rsidR="00EB35E3" w:rsidRPr="00A21682" w:rsidRDefault="00EB35E3">
            <w:pPr>
              <w:pStyle w:val="TABLEHEADINGNEW"/>
            </w:pPr>
            <w:r>
              <w:rPr>
                <w:rFonts w:eastAsia="Verdana"/>
              </w:rPr>
              <w:t>Stakeholder Group(s)</w:t>
            </w:r>
          </w:p>
        </w:tc>
      </w:tr>
      <w:tr w:rsidR="00B65956" w:rsidRPr="00A21682" w14:paraId="78E69DAF" w14:textId="77777777" w:rsidTr="00BC5D58">
        <w:trPr>
          <w:trHeight w:val="778"/>
        </w:trPr>
        <w:tc>
          <w:tcPr>
            <w:tcW w:w="383" w:type="pct"/>
            <w:hideMark/>
          </w:tcPr>
          <w:p w14:paraId="1D6642A2" w14:textId="77777777" w:rsidR="00EB35E3" w:rsidRPr="00A21682" w:rsidRDefault="00EB35E3">
            <w:pPr>
              <w:pStyle w:val="TABLETEXT1"/>
              <w:rPr>
                <w:lang w:val="en-US"/>
              </w:rPr>
            </w:pPr>
            <w:r>
              <w:rPr>
                <w:lang w:val="en-US"/>
              </w:rPr>
              <w:t>1.0</w:t>
            </w:r>
          </w:p>
        </w:tc>
        <w:tc>
          <w:tcPr>
            <w:tcW w:w="908" w:type="pct"/>
            <w:hideMark/>
          </w:tcPr>
          <w:p w14:paraId="7717063B" w14:textId="77777777" w:rsidR="00EB35E3" w:rsidRPr="00A21682" w:rsidRDefault="00EB35E3">
            <w:pPr>
              <w:pStyle w:val="TABLETEXT1"/>
              <w:rPr>
                <w:lang w:val="en-US"/>
              </w:rPr>
            </w:pPr>
            <w:r>
              <w:rPr>
                <w:lang w:val="en-US"/>
              </w:rPr>
              <w:t>Conduct meeting to align on expectations and QA/QC timeline for upcoming submission</w:t>
            </w:r>
          </w:p>
        </w:tc>
        <w:tc>
          <w:tcPr>
            <w:tcW w:w="2624" w:type="pct"/>
            <w:hideMark/>
          </w:tcPr>
          <w:p w14:paraId="2BA542C6" w14:textId="0E800A44" w:rsidR="00EB35E3" w:rsidRPr="00A21682" w:rsidRDefault="00EB35E3" w:rsidP="00DF6254">
            <w:pPr>
              <w:pStyle w:val="TABLETEXT1"/>
              <w:rPr>
                <w:rFonts w:cs="Arial"/>
                <w:b/>
                <w:szCs w:val="24"/>
                <w:lang w:val="en-US"/>
              </w:rPr>
            </w:pPr>
            <w:r>
              <w:rPr>
                <w:rFonts w:cs="Arial"/>
                <w:szCs w:val="24"/>
                <w:lang w:val="en-US"/>
              </w:rPr>
              <w:t xml:space="preserve">The ███████ track and ███████ PMO conduct meeting </w:t>
            </w:r>
            <w:r>
              <w:rPr>
                <w:lang w:val="en-US"/>
              </w:rPr>
              <w:t>to align on expectations and QA/QC timeline for upcoming submission.</w:t>
            </w:r>
          </w:p>
        </w:tc>
        <w:tc>
          <w:tcPr>
            <w:tcW w:w="1085" w:type="pct"/>
            <w:hideMark/>
          </w:tcPr>
          <w:p w14:paraId="7DFF6192" w14:textId="79C39057" w:rsidR="00EB35E3" w:rsidRPr="00A21682" w:rsidRDefault="00EB35E3" w:rsidP="00CB6B2E">
            <w:pPr>
              <w:pStyle w:val="TABLEBULLETNEW"/>
            </w:pPr>
            <w:r>
              <w:t>███████ Tracks</w:t>
            </w:r>
          </w:p>
          <w:p w14:paraId="3E9C3775" w14:textId="0F2135E9" w:rsidR="00D004F5" w:rsidRPr="00A21682" w:rsidRDefault="00D004F5" w:rsidP="00CB6B2E">
            <w:pPr>
              <w:pStyle w:val="TABLEBULLETNEW"/>
            </w:pPr>
            <w:r>
              <w:rPr>
                <w:highlight w:val="black"/>
              </w:rPr>
              <w:t>Deloitte</w:t>
            </w:r>
            <w:r>
              <w:t xml:space="preserve"> PMO</w:t>
            </w:r>
          </w:p>
          <w:p w14:paraId="494F0E5B" w14:textId="77777777" w:rsidR="00EB35E3" w:rsidRPr="00A21682" w:rsidRDefault="00EB35E3" w:rsidP="00CB6B2E">
            <w:pPr>
              <w:pStyle w:val="TABLEBULLETNEW"/>
              <w:numPr>
                <w:ilvl w:val="0"/>
                <w:numId w:val="0"/>
              </w:numPr>
              <w:ind w:left="180"/>
            </w:pPr>
          </w:p>
        </w:tc>
      </w:tr>
      <w:tr w:rsidR="00B65956" w:rsidRPr="00A21682" w14:paraId="1061457A" w14:textId="77777777" w:rsidTr="00BC5D58">
        <w:trPr>
          <w:trHeight w:val="382"/>
        </w:trPr>
        <w:tc>
          <w:tcPr>
            <w:tcW w:w="383" w:type="pct"/>
          </w:tcPr>
          <w:p w14:paraId="6712811E" w14:textId="02F841BA" w:rsidR="00EB35E3" w:rsidRPr="00A21682" w:rsidRDefault="007308D6">
            <w:pPr>
              <w:pStyle w:val="TABLETEXT1"/>
              <w:rPr>
                <w:lang w:val="en-US"/>
              </w:rPr>
            </w:pPr>
            <w:r>
              <w:rPr>
                <w:lang w:val="en-US"/>
              </w:rPr>
              <w:t>2.0</w:t>
            </w:r>
          </w:p>
        </w:tc>
        <w:tc>
          <w:tcPr>
            <w:tcW w:w="908" w:type="pct"/>
          </w:tcPr>
          <w:p w14:paraId="4BF05B20" w14:textId="6C1AA8B5" w:rsidR="00EB35E3" w:rsidRPr="00A21682" w:rsidRDefault="00EB35E3">
            <w:pPr>
              <w:pStyle w:val="TABLETEXT1"/>
              <w:rPr>
                <w:lang w:val="en-US"/>
              </w:rPr>
            </w:pPr>
            <w:r>
              <w:rPr>
                <w:lang w:val="en-US"/>
              </w:rPr>
              <w:t xml:space="preserve">Complete DED/Deliverable draft </w:t>
            </w:r>
          </w:p>
        </w:tc>
        <w:tc>
          <w:tcPr>
            <w:tcW w:w="2624" w:type="pct"/>
          </w:tcPr>
          <w:p w14:paraId="5EE4C4CC" w14:textId="7F99DEEE" w:rsidR="00EB35E3" w:rsidRPr="00DD38A8" w:rsidRDefault="00EB35E3" w:rsidP="00DD38A8">
            <w:pPr>
              <w:pStyle w:val="TABLETEXT1"/>
              <w:rPr>
                <w:rFonts w:cs="Arial"/>
                <w:szCs w:val="24"/>
                <w:lang w:val="en-US"/>
              </w:rPr>
            </w:pPr>
            <w:r>
              <w:rPr>
                <w:rFonts w:cs="Arial"/>
                <w:szCs w:val="24"/>
                <w:lang w:val="en-US"/>
              </w:rPr>
              <w:t xml:space="preserve">The ███████ track completes the </w:t>
            </w:r>
            <w:r>
              <w:rPr>
                <w:lang w:val="en-US"/>
              </w:rPr>
              <w:t xml:space="preserve">DED/Deliverable </w:t>
            </w:r>
            <w:r>
              <w:rPr>
                <w:rFonts w:cs="Arial"/>
                <w:szCs w:val="24"/>
                <w:lang w:val="en-US"/>
              </w:rPr>
              <w:t>draft.</w:t>
            </w:r>
          </w:p>
        </w:tc>
        <w:tc>
          <w:tcPr>
            <w:tcW w:w="1085" w:type="pct"/>
          </w:tcPr>
          <w:p w14:paraId="095EAEB7" w14:textId="62217820" w:rsidR="00EB35E3" w:rsidRPr="00A21682" w:rsidRDefault="00124FA8" w:rsidP="00CB6B2E">
            <w:pPr>
              <w:pStyle w:val="TABLEBULLETNEW"/>
            </w:pPr>
            <w:r>
              <w:t>███████ Tracks</w:t>
            </w:r>
          </w:p>
        </w:tc>
      </w:tr>
      <w:tr w:rsidR="00B65956" w:rsidRPr="00A21682" w14:paraId="7CEBAB64" w14:textId="77777777" w:rsidTr="00BC5D58">
        <w:trPr>
          <w:trHeight w:val="427"/>
        </w:trPr>
        <w:tc>
          <w:tcPr>
            <w:tcW w:w="383" w:type="pct"/>
          </w:tcPr>
          <w:p w14:paraId="7EB30620" w14:textId="1CE7729E" w:rsidR="00EB35E3" w:rsidRPr="00A21682" w:rsidRDefault="007308D6">
            <w:pPr>
              <w:pStyle w:val="TABLETEXT1"/>
              <w:rPr>
                <w:lang w:val="en-US"/>
              </w:rPr>
            </w:pPr>
            <w:r>
              <w:rPr>
                <w:lang w:val="en-US"/>
              </w:rPr>
              <w:t>3.0</w:t>
            </w:r>
          </w:p>
        </w:tc>
        <w:tc>
          <w:tcPr>
            <w:tcW w:w="908" w:type="pct"/>
          </w:tcPr>
          <w:p w14:paraId="34FEEB4B" w14:textId="200F669B" w:rsidR="00EB35E3" w:rsidRPr="00A21682" w:rsidRDefault="00EB35E3">
            <w:pPr>
              <w:pStyle w:val="TABLETEXT1"/>
              <w:rPr>
                <w:lang w:val="en-US"/>
              </w:rPr>
            </w:pPr>
            <w:r>
              <w:rPr>
                <w:lang w:val="en-US"/>
              </w:rPr>
              <w:t xml:space="preserve">Conduct internal QA/QC, proofread, and fill out QA/QC Checklist </w:t>
            </w:r>
          </w:p>
        </w:tc>
        <w:tc>
          <w:tcPr>
            <w:tcW w:w="2624" w:type="pct"/>
          </w:tcPr>
          <w:p w14:paraId="329564DA" w14:textId="77777777" w:rsidR="00EB35E3" w:rsidRPr="00DD38A8" w:rsidRDefault="00EB35E3" w:rsidP="00DD38A8">
            <w:pPr>
              <w:pStyle w:val="TABLETEXT1"/>
              <w:rPr>
                <w:rFonts w:cs="Arial"/>
                <w:szCs w:val="24"/>
                <w:lang w:val="en-US"/>
              </w:rPr>
            </w:pPr>
            <w:r>
              <w:rPr>
                <w:rFonts w:cs="Arial"/>
                <w:szCs w:val="24"/>
                <w:lang w:val="en-US"/>
              </w:rPr>
              <w:t>The ███████ track conducts internal QA/QC, proofreads, and fills out the QA/QC Checklist.</w:t>
            </w:r>
          </w:p>
          <w:p w14:paraId="284AD969" w14:textId="77777777" w:rsidR="00EB35E3" w:rsidRPr="00DD38A8" w:rsidRDefault="00EB35E3" w:rsidP="00DD38A8">
            <w:pPr>
              <w:pStyle w:val="TABLETEXT1"/>
              <w:rPr>
                <w:rFonts w:cs="Arial"/>
                <w:szCs w:val="24"/>
                <w:lang w:val="en-US"/>
              </w:rPr>
            </w:pPr>
          </w:p>
        </w:tc>
        <w:tc>
          <w:tcPr>
            <w:tcW w:w="1085" w:type="pct"/>
          </w:tcPr>
          <w:p w14:paraId="5A835F4B" w14:textId="5D9C1995" w:rsidR="00EB35E3" w:rsidRPr="00A21682" w:rsidRDefault="00124FA8" w:rsidP="00CB6B2E">
            <w:pPr>
              <w:pStyle w:val="TABLEBULLETNEW"/>
            </w:pPr>
            <w:r>
              <w:t>███████ Tracks</w:t>
            </w:r>
          </w:p>
        </w:tc>
      </w:tr>
      <w:tr w:rsidR="00B65956" w:rsidRPr="00A21682" w14:paraId="1F6EDCDB" w14:textId="77777777" w:rsidTr="00BC5D58">
        <w:trPr>
          <w:trHeight w:val="382"/>
        </w:trPr>
        <w:tc>
          <w:tcPr>
            <w:tcW w:w="383" w:type="pct"/>
          </w:tcPr>
          <w:p w14:paraId="781B11C9" w14:textId="01361326" w:rsidR="00EB35E3" w:rsidRPr="00A21682" w:rsidRDefault="007308D6">
            <w:pPr>
              <w:pStyle w:val="TABLETEXT1"/>
              <w:rPr>
                <w:lang w:val="en-US"/>
              </w:rPr>
            </w:pPr>
            <w:r>
              <w:rPr>
                <w:lang w:val="en-US"/>
              </w:rPr>
              <w:t>4.0</w:t>
            </w:r>
          </w:p>
        </w:tc>
        <w:tc>
          <w:tcPr>
            <w:tcW w:w="908" w:type="pct"/>
          </w:tcPr>
          <w:p w14:paraId="418652F7" w14:textId="212CAB44" w:rsidR="00EB35E3" w:rsidRPr="00A21682" w:rsidRDefault="00EB35E3">
            <w:pPr>
              <w:pStyle w:val="TABLETEXT1"/>
              <w:rPr>
                <w:lang w:val="en-US"/>
              </w:rPr>
            </w:pPr>
            <w:r>
              <w:rPr>
                <w:lang w:val="en-US"/>
              </w:rPr>
              <w:t>Send email to PMO with link to DED/Deliverable and QA/QC Checklist</w:t>
            </w:r>
          </w:p>
        </w:tc>
        <w:tc>
          <w:tcPr>
            <w:tcW w:w="2624" w:type="pct"/>
          </w:tcPr>
          <w:p w14:paraId="5929ACD0" w14:textId="76C6C843" w:rsidR="00EB35E3" w:rsidRPr="00DD38A8" w:rsidRDefault="00EB35E3" w:rsidP="00DD38A8">
            <w:pPr>
              <w:pStyle w:val="TABLETEXT1"/>
              <w:rPr>
                <w:rFonts w:cs="Arial"/>
                <w:szCs w:val="24"/>
                <w:lang w:val="en-US"/>
              </w:rPr>
            </w:pPr>
            <w:r>
              <w:rPr>
                <w:rFonts w:cs="Arial"/>
                <w:szCs w:val="24"/>
                <w:lang w:val="en-US"/>
              </w:rPr>
              <w:t xml:space="preserve">The ███████ track sends an email to the ███████ PMO with the link to the </w:t>
            </w:r>
            <w:r>
              <w:rPr>
                <w:lang w:val="en-US"/>
              </w:rPr>
              <w:t xml:space="preserve">DED/Deliverable </w:t>
            </w:r>
            <w:r>
              <w:rPr>
                <w:rFonts w:cs="Arial"/>
                <w:szCs w:val="24"/>
                <w:lang w:val="en-US"/>
              </w:rPr>
              <w:t xml:space="preserve">and completed QA/QC Checklist. </w:t>
            </w:r>
          </w:p>
        </w:tc>
        <w:tc>
          <w:tcPr>
            <w:tcW w:w="1085" w:type="pct"/>
          </w:tcPr>
          <w:p w14:paraId="2ED794A9" w14:textId="19ADFC17" w:rsidR="00EB35E3" w:rsidRPr="00A21682" w:rsidRDefault="00124FA8" w:rsidP="00CB6B2E">
            <w:pPr>
              <w:pStyle w:val="TABLEBULLETNEW"/>
            </w:pPr>
            <w:r>
              <w:t>███████ Tracks</w:t>
            </w:r>
          </w:p>
        </w:tc>
      </w:tr>
      <w:tr w:rsidR="00B65956" w:rsidRPr="00A21682" w14:paraId="24A0ACE4" w14:textId="77777777" w:rsidTr="00BC5D58">
        <w:trPr>
          <w:trHeight w:val="652"/>
        </w:trPr>
        <w:tc>
          <w:tcPr>
            <w:tcW w:w="383" w:type="pct"/>
          </w:tcPr>
          <w:p w14:paraId="7B1B7FA4" w14:textId="6781DC62" w:rsidR="00EB35E3" w:rsidRPr="00A21682" w:rsidRDefault="004670F8">
            <w:pPr>
              <w:pStyle w:val="TABLETEXT1"/>
              <w:rPr>
                <w:lang w:val="en-US"/>
              </w:rPr>
            </w:pPr>
            <w:r>
              <w:rPr>
                <w:lang w:val="en-US"/>
              </w:rPr>
              <w:t>5.0</w:t>
            </w:r>
          </w:p>
        </w:tc>
        <w:tc>
          <w:tcPr>
            <w:tcW w:w="908" w:type="pct"/>
          </w:tcPr>
          <w:p w14:paraId="68FCBEB8" w14:textId="77777777" w:rsidR="00EB35E3" w:rsidRPr="00A21682" w:rsidRDefault="00EB35E3">
            <w:pPr>
              <w:pStyle w:val="TABLETEXT1"/>
              <w:rPr>
                <w:lang w:val="en-US"/>
              </w:rPr>
            </w:pPr>
            <w:r>
              <w:rPr>
                <w:lang w:val="en-US"/>
              </w:rPr>
              <w:t>Conduct QA/QC and fill out checklist</w:t>
            </w:r>
          </w:p>
        </w:tc>
        <w:tc>
          <w:tcPr>
            <w:tcW w:w="2624" w:type="pct"/>
          </w:tcPr>
          <w:p w14:paraId="432D9AB2" w14:textId="77777777" w:rsidR="00EB35E3" w:rsidRPr="00A21682" w:rsidRDefault="00EB35E3">
            <w:pPr>
              <w:pStyle w:val="TABLETEXT1"/>
              <w:rPr>
                <w:rFonts w:cs="Arial"/>
                <w:szCs w:val="24"/>
                <w:lang w:val="en-US"/>
              </w:rPr>
            </w:pPr>
            <w:r>
              <w:rPr>
                <w:rFonts w:cs="Arial"/>
                <w:szCs w:val="24"/>
                <w:lang w:val="en-US"/>
              </w:rPr>
              <w:t>The ███████ PMO conducts QA/QC and fills out the QA/QC Checklist.</w:t>
            </w:r>
          </w:p>
        </w:tc>
        <w:tc>
          <w:tcPr>
            <w:tcW w:w="1085" w:type="pct"/>
          </w:tcPr>
          <w:p w14:paraId="47947030" w14:textId="40A1F9BD" w:rsidR="00EB35E3" w:rsidRPr="00A21682" w:rsidRDefault="00EB35E3" w:rsidP="00CB6B2E">
            <w:pPr>
              <w:pStyle w:val="TABLEBULLETNEW"/>
            </w:pPr>
            <w:r>
              <w:t>███████ PMO</w:t>
            </w:r>
          </w:p>
        </w:tc>
      </w:tr>
      <w:tr w:rsidR="00B65956" w:rsidRPr="00A21682" w14:paraId="71D83378" w14:textId="77777777" w:rsidTr="00BC5D58">
        <w:trPr>
          <w:trHeight w:val="652"/>
        </w:trPr>
        <w:tc>
          <w:tcPr>
            <w:tcW w:w="383" w:type="pct"/>
          </w:tcPr>
          <w:p w14:paraId="43157D4C" w14:textId="5409D3E2" w:rsidR="00EB35E3" w:rsidRPr="00A21682" w:rsidDel="00EF719B" w:rsidRDefault="004670F8">
            <w:pPr>
              <w:pStyle w:val="TABLETEXT1"/>
              <w:rPr>
                <w:rStyle w:val="CommentReference"/>
                <w:rFonts w:eastAsiaTheme="minorHAnsi" w:cstheme="minorBidi"/>
                <w:lang w:val="en-US"/>
              </w:rPr>
            </w:pPr>
            <w:r>
              <w:rPr>
                <w:lang w:val="en-US"/>
              </w:rPr>
              <w:t>5.1</w:t>
            </w:r>
          </w:p>
        </w:tc>
        <w:tc>
          <w:tcPr>
            <w:tcW w:w="908" w:type="pct"/>
          </w:tcPr>
          <w:p w14:paraId="2A74979D" w14:textId="77777777" w:rsidR="00EB35E3" w:rsidRPr="00A21682" w:rsidRDefault="00EB35E3">
            <w:pPr>
              <w:pStyle w:val="TABLETEXT1"/>
              <w:rPr>
                <w:lang w:val="en-US"/>
              </w:rPr>
            </w:pPr>
            <w:r>
              <w:rPr>
                <w:lang w:val="en-US"/>
              </w:rPr>
              <w:t>Ready for collaboration?</w:t>
            </w:r>
          </w:p>
        </w:tc>
        <w:tc>
          <w:tcPr>
            <w:tcW w:w="2624" w:type="pct"/>
          </w:tcPr>
          <w:p w14:paraId="55E9350E" w14:textId="1AA025B2" w:rsidR="00EB35E3" w:rsidRPr="00EF0094" w:rsidRDefault="00EB35E3" w:rsidP="00EF0094">
            <w:pPr>
              <w:pStyle w:val="TABLETEXT1"/>
              <w:rPr>
                <w:rFonts w:cs="Arial"/>
                <w:szCs w:val="24"/>
                <w:lang w:val="en-US"/>
              </w:rPr>
            </w:pPr>
            <w:r>
              <w:rPr>
                <w:rFonts w:cs="Arial"/>
                <w:szCs w:val="24"/>
                <w:lang w:val="en-US"/>
              </w:rPr>
              <w:t xml:space="preserve">The ███████ PMO decides if the </w:t>
            </w:r>
            <w:r>
              <w:rPr>
                <w:lang w:val="en-US"/>
              </w:rPr>
              <w:t xml:space="preserve">DED/Deliverable </w:t>
            </w:r>
            <w:r>
              <w:rPr>
                <w:rFonts w:cs="Arial"/>
                <w:szCs w:val="24"/>
                <w:lang w:val="en-US"/>
              </w:rPr>
              <w:t xml:space="preserve">is ready for collaboration. </w:t>
            </w:r>
          </w:p>
          <w:p w14:paraId="54414BB3" w14:textId="1054B0BE" w:rsidR="00EB35E3" w:rsidRPr="00A21682" w:rsidRDefault="00EB35E3" w:rsidP="00E06D47">
            <w:pPr>
              <w:pStyle w:val="TABLEBULLETNEW"/>
            </w:pPr>
            <w:r>
              <w:t xml:space="preserve">If the DED/Deliverable is not ready for collaboration, proceed to </w:t>
            </w:r>
            <w:r>
              <w:rPr>
                <w:i/>
              </w:rPr>
              <w:t>Step #6 Address PMO QA/QC feedback</w:t>
            </w:r>
          </w:p>
          <w:p w14:paraId="2BAE81BD" w14:textId="3F2D7F1C" w:rsidR="00EB35E3" w:rsidRPr="00A35B5F" w:rsidRDefault="00EB35E3" w:rsidP="00E06D47">
            <w:pPr>
              <w:pStyle w:val="TABLEBULLETNEW"/>
            </w:pPr>
            <w:r>
              <w:t xml:space="preserve">If the DED/Deliverable is ready for collaboration, proceed to </w:t>
            </w:r>
            <w:r>
              <w:rPr>
                <w:i/>
              </w:rPr>
              <w:t>Step #7 Initiate collaboration with DOH stakeholders</w:t>
            </w:r>
          </w:p>
        </w:tc>
        <w:tc>
          <w:tcPr>
            <w:tcW w:w="1085" w:type="pct"/>
          </w:tcPr>
          <w:p w14:paraId="60B3EEAC" w14:textId="791DEA76" w:rsidR="00EB35E3" w:rsidRPr="00A21682" w:rsidRDefault="00EB35E3" w:rsidP="00CB6B2E">
            <w:pPr>
              <w:pStyle w:val="TABLEBULLETNEW"/>
            </w:pPr>
            <w:r>
              <w:t>███████ PMO</w:t>
            </w:r>
          </w:p>
        </w:tc>
      </w:tr>
      <w:tr w:rsidR="00B65956" w:rsidRPr="00A21682" w14:paraId="38E78EA7" w14:textId="77777777" w:rsidTr="00BC5D58">
        <w:trPr>
          <w:trHeight w:val="112"/>
        </w:trPr>
        <w:tc>
          <w:tcPr>
            <w:tcW w:w="383" w:type="pct"/>
          </w:tcPr>
          <w:p w14:paraId="0E3B6D85" w14:textId="16AB3460" w:rsidR="00EB35E3" w:rsidRPr="00A21682" w:rsidRDefault="004670F8">
            <w:pPr>
              <w:pStyle w:val="TABLETEXT1"/>
              <w:rPr>
                <w:lang w:val="en-US"/>
              </w:rPr>
            </w:pPr>
            <w:r>
              <w:rPr>
                <w:lang w:val="en-US"/>
              </w:rPr>
              <w:t xml:space="preserve">6.0 </w:t>
            </w:r>
          </w:p>
        </w:tc>
        <w:tc>
          <w:tcPr>
            <w:tcW w:w="908" w:type="pct"/>
          </w:tcPr>
          <w:p w14:paraId="18E54296" w14:textId="77777777" w:rsidR="00EB35E3" w:rsidRPr="00A21682" w:rsidRDefault="00EB35E3">
            <w:pPr>
              <w:pStyle w:val="TABLETEXT1"/>
              <w:rPr>
                <w:lang w:val="en-US"/>
              </w:rPr>
            </w:pPr>
            <w:r>
              <w:rPr>
                <w:lang w:val="en-US"/>
              </w:rPr>
              <w:t>Address PMO QA/QC feedback (as needed)</w:t>
            </w:r>
          </w:p>
        </w:tc>
        <w:tc>
          <w:tcPr>
            <w:tcW w:w="2624" w:type="pct"/>
          </w:tcPr>
          <w:p w14:paraId="2E3841F8" w14:textId="77777777" w:rsidR="00EB35E3" w:rsidRPr="00DD38A8" w:rsidRDefault="00EB35E3" w:rsidP="00DD38A8">
            <w:pPr>
              <w:pStyle w:val="TABLETEXT1"/>
              <w:rPr>
                <w:rFonts w:cs="Arial"/>
                <w:szCs w:val="24"/>
                <w:lang w:val="en-US"/>
              </w:rPr>
            </w:pPr>
            <w:r>
              <w:rPr>
                <w:rFonts w:cs="Arial"/>
                <w:szCs w:val="24"/>
                <w:lang w:val="en-US"/>
              </w:rPr>
              <w:t>The ███████ track addresses ███████ PMO’s QA/QC feedback.</w:t>
            </w:r>
          </w:p>
        </w:tc>
        <w:tc>
          <w:tcPr>
            <w:tcW w:w="1085" w:type="pct"/>
          </w:tcPr>
          <w:p w14:paraId="3F4799E4" w14:textId="470935BD" w:rsidR="00EB35E3" w:rsidRPr="00A21682" w:rsidRDefault="000E7376" w:rsidP="00CB6B2E">
            <w:pPr>
              <w:pStyle w:val="TABLEBULLETNEW"/>
            </w:pPr>
            <w:r>
              <w:t>███████ Tracks</w:t>
            </w:r>
          </w:p>
        </w:tc>
      </w:tr>
      <w:tr w:rsidR="00B65956" w:rsidRPr="00A21682" w14:paraId="5438A33D" w14:textId="77777777" w:rsidTr="00BC5D58">
        <w:trPr>
          <w:trHeight w:val="499"/>
        </w:trPr>
        <w:tc>
          <w:tcPr>
            <w:tcW w:w="383" w:type="pct"/>
          </w:tcPr>
          <w:p w14:paraId="265879CE" w14:textId="75779207" w:rsidR="00EB35E3" w:rsidRPr="00A21682" w:rsidRDefault="0009469F">
            <w:pPr>
              <w:pStyle w:val="TABLETEXT1"/>
              <w:rPr>
                <w:lang w:val="en-US"/>
              </w:rPr>
            </w:pPr>
            <w:r>
              <w:rPr>
                <w:lang w:val="en-US"/>
              </w:rPr>
              <w:t xml:space="preserve">7.0 </w:t>
            </w:r>
          </w:p>
        </w:tc>
        <w:tc>
          <w:tcPr>
            <w:tcW w:w="908" w:type="pct"/>
          </w:tcPr>
          <w:p w14:paraId="2B45A536" w14:textId="77777777" w:rsidR="00EB35E3" w:rsidRPr="00A21682" w:rsidRDefault="00EB35E3">
            <w:pPr>
              <w:pStyle w:val="TABLETEXT1"/>
              <w:rPr>
                <w:lang w:val="en-US"/>
              </w:rPr>
            </w:pPr>
            <w:r>
              <w:rPr>
                <w:lang w:val="en-US"/>
              </w:rPr>
              <w:t>Initiate collaboration with DOH stakeholders</w:t>
            </w:r>
          </w:p>
        </w:tc>
        <w:tc>
          <w:tcPr>
            <w:tcW w:w="2624" w:type="pct"/>
          </w:tcPr>
          <w:p w14:paraId="29DFC623" w14:textId="77777777" w:rsidR="00EB35E3" w:rsidRPr="00EF0094" w:rsidRDefault="00EB35E3" w:rsidP="00EF0094">
            <w:pPr>
              <w:pStyle w:val="TABLETEXT1"/>
              <w:rPr>
                <w:rFonts w:cs="Arial"/>
                <w:szCs w:val="24"/>
                <w:lang w:val="en-US"/>
              </w:rPr>
            </w:pPr>
            <w:r>
              <w:rPr>
                <w:rFonts w:cs="Arial"/>
                <w:szCs w:val="24"/>
                <w:lang w:val="en-US"/>
              </w:rPr>
              <w:t xml:space="preserve">The ███████ track initiates collaboration with DOH stakeholders. </w:t>
            </w:r>
          </w:p>
          <w:p w14:paraId="08C0E511" w14:textId="67647456" w:rsidR="00EB35E3" w:rsidRPr="00EF0094" w:rsidRDefault="00EB35E3" w:rsidP="00EF0094">
            <w:pPr>
              <w:pStyle w:val="TABLETEXT1"/>
              <w:rPr>
                <w:rFonts w:cs="Arial"/>
                <w:szCs w:val="24"/>
                <w:lang w:val="en-US"/>
              </w:rPr>
            </w:pPr>
            <w:r>
              <w:rPr>
                <w:rFonts w:cs="Arial"/>
                <w:szCs w:val="24"/>
                <w:lang w:val="en-US"/>
              </w:rPr>
              <w:t xml:space="preserve">If requested and agreed upon by Deloitte and DOH stakeholders, the collaboration phase may begin with a walkthrough of the </w:t>
            </w:r>
            <w:r>
              <w:rPr>
                <w:lang w:val="en-US"/>
              </w:rPr>
              <w:t xml:space="preserve">DED/Deliverable </w:t>
            </w:r>
            <w:r>
              <w:rPr>
                <w:rFonts w:cs="Arial"/>
                <w:szCs w:val="24"/>
                <w:lang w:val="en-US"/>
              </w:rPr>
              <w:t xml:space="preserve">(walkthroughs are conducted upon request by Deloitte or DOH). </w:t>
            </w:r>
          </w:p>
        </w:tc>
        <w:tc>
          <w:tcPr>
            <w:tcW w:w="1085" w:type="pct"/>
          </w:tcPr>
          <w:p w14:paraId="6B206110" w14:textId="3185C9DB" w:rsidR="00EB35E3" w:rsidRPr="00A21682" w:rsidRDefault="000E7376" w:rsidP="00CB6B2E">
            <w:pPr>
              <w:pStyle w:val="TABLEBULLETNEW"/>
            </w:pPr>
            <w:r>
              <w:t>███████ Tracks</w:t>
            </w:r>
          </w:p>
        </w:tc>
      </w:tr>
      <w:tr w:rsidR="00B65956" w:rsidRPr="00A21682" w14:paraId="24AE472B" w14:textId="77777777" w:rsidTr="00BC5D58">
        <w:trPr>
          <w:trHeight w:val="409"/>
        </w:trPr>
        <w:tc>
          <w:tcPr>
            <w:tcW w:w="383" w:type="pct"/>
          </w:tcPr>
          <w:p w14:paraId="1BDB41E4" w14:textId="7130D7BD" w:rsidR="00EB35E3" w:rsidRPr="00A21682" w:rsidRDefault="0009469F">
            <w:pPr>
              <w:pStyle w:val="TABLETEXT1"/>
              <w:rPr>
                <w:lang w:val="en-US"/>
              </w:rPr>
            </w:pPr>
            <w:r>
              <w:rPr>
                <w:lang w:val="en-US"/>
              </w:rPr>
              <w:t>8.0</w:t>
            </w:r>
          </w:p>
        </w:tc>
        <w:tc>
          <w:tcPr>
            <w:tcW w:w="908" w:type="pct"/>
          </w:tcPr>
          <w:p w14:paraId="457B7C6E" w14:textId="6BD39531" w:rsidR="00EB35E3" w:rsidRPr="00A21682" w:rsidRDefault="00EB35E3">
            <w:pPr>
              <w:pStyle w:val="TABLETEXT1"/>
              <w:rPr>
                <w:lang w:val="en-US"/>
              </w:rPr>
            </w:pPr>
            <w:r>
              <w:rPr>
                <w:lang w:val="en-US"/>
              </w:rPr>
              <w:t xml:space="preserve">Review DED/Deliverable and provide </w:t>
            </w:r>
            <w:r>
              <w:rPr>
                <w:lang w:val="en-US"/>
              </w:rPr>
              <w:lastRenderedPageBreak/>
              <w:t>feedback to ███████</w:t>
            </w:r>
          </w:p>
        </w:tc>
        <w:tc>
          <w:tcPr>
            <w:tcW w:w="2624" w:type="pct"/>
          </w:tcPr>
          <w:p w14:paraId="2D614F12" w14:textId="2A8A4253" w:rsidR="00EB35E3" w:rsidRPr="00A21682" w:rsidRDefault="00EB35E3">
            <w:pPr>
              <w:pStyle w:val="TABLETEXT1"/>
              <w:rPr>
                <w:rFonts w:cs="Arial"/>
                <w:szCs w:val="24"/>
                <w:lang w:val="en-US"/>
              </w:rPr>
            </w:pPr>
            <w:r>
              <w:rPr>
                <w:rFonts w:cs="Arial"/>
                <w:szCs w:val="24"/>
                <w:lang w:val="en-US"/>
              </w:rPr>
              <w:lastRenderedPageBreak/>
              <w:t xml:space="preserve">DOH stakeholders review the </w:t>
            </w:r>
            <w:r>
              <w:rPr>
                <w:lang w:val="en-US"/>
              </w:rPr>
              <w:t>DED/Deliverable and provide feedback to ███████.</w:t>
            </w:r>
          </w:p>
        </w:tc>
        <w:tc>
          <w:tcPr>
            <w:tcW w:w="1085" w:type="pct"/>
          </w:tcPr>
          <w:p w14:paraId="0923277B" w14:textId="77777777" w:rsidR="00EB35E3" w:rsidRPr="00A21682" w:rsidRDefault="00EB35E3" w:rsidP="00CB6B2E">
            <w:pPr>
              <w:pStyle w:val="TABLEBULLETNEW"/>
            </w:pPr>
            <w:r>
              <w:t>DOH Stakeholders</w:t>
            </w:r>
          </w:p>
        </w:tc>
      </w:tr>
      <w:tr w:rsidR="00B65956" w:rsidRPr="00A21682" w14:paraId="0E4C9773" w14:textId="77777777" w:rsidTr="00BC5D58">
        <w:trPr>
          <w:trHeight w:val="598"/>
        </w:trPr>
        <w:tc>
          <w:tcPr>
            <w:tcW w:w="383" w:type="pct"/>
          </w:tcPr>
          <w:p w14:paraId="4CECF9E9" w14:textId="0E679F6F" w:rsidR="00EB35E3" w:rsidRPr="00A21682" w:rsidRDefault="005D017B">
            <w:pPr>
              <w:pStyle w:val="TABLETEXT1"/>
              <w:rPr>
                <w:lang w:val="en-US"/>
              </w:rPr>
            </w:pPr>
            <w:r>
              <w:rPr>
                <w:lang w:val="en-US"/>
              </w:rPr>
              <w:t xml:space="preserve">9.0 </w:t>
            </w:r>
          </w:p>
        </w:tc>
        <w:tc>
          <w:tcPr>
            <w:tcW w:w="908" w:type="pct"/>
          </w:tcPr>
          <w:p w14:paraId="3A3C4FD0" w14:textId="7EE71596" w:rsidR="00EB35E3" w:rsidRPr="00A21682" w:rsidRDefault="00EB35E3">
            <w:pPr>
              <w:pStyle w:val="TABLETEXT1"/>
              <w:rPr>
                <w:lang w:val="en-US"/>
              </w:rPr>
            </w:pPr>
            <w:r>
              <w:rPr>
                <w:lang w:val="en-US"/>
              </w:rPr>
              <w:t>Address DOH stakeholder feedback and update DED/Deliverable</w:t>
            </w:r>
          </w:p>
        </w:tc>
        <w:tc>
          <w:tcPr>
            <w:tcW w:w="2624" w:type="pct"/>
          </w:tcPr>
          <w:p w14:paraId="36CEB52E" w14:textId="77777777" w:rsidR="00EB35E3" w:rsidRPr="00A21682" w:rsidRDefault="00EB35E3">
            <w:pPr>
              <w:pStyle w:val="TABLETEXT1"/>
              <w:rPr>
                <w:rFonts w:cs="Arial"/>
                <w:szCs w:val="24"/>
                <w:lang w:val="en-US"/>
              </w:rPr>
            </w:pPr>
            <w:r>
              <w:rPr>
                <w:rFonts w:cs="Arial"/>
                <w:szCs w:val="24"/>
                <w:lang w:val="en-US"/>
              </w:rPr>
              <w:t xml:space="preserve">The ███████ track addresses DOH stakeholder feedback. </w:t>
            </w:r>
          </w:p>
        </w:tc>
        <w:tc>
          <w:tcPr>
            <w:tcW w:w="1085" w:type="pct"/>
          </w:tcPr>
          <w:p w14:paraId="33097EA7" w14:textId="5FA1F4F1" w:rsidR="00EB35E3" w:rsidRPr="00A21682" w:rsidRDefault="000E7376" w:rsidP="00CB6B2E">
            <w:pPr>
              <w:pStyle w:val="TABLEBULLETNEW"/>
            </w:pPr>
            <w:r>
              <w:t>███████ Tracks</w:t>
            </w:r>
          </w:p>
        </w:tc>
      </w:tr>
      <w:tr w:rsidR="00B65956" w:rsidRPr="00A21682" w14:paraId="3AAB0B2A" w14:textId="77777777" w:rsidTr="00BC5D58">
        <w:trPr>
          <w:trHeight w:val="112"/>
        </w:trPr>
        <w:tc>
          <w:tcPr>
            <w:tcW w:w="383" w:type="pct"/>
          </w:tcPr>
          <w:p w14:paraId="2B5AD4E5" w14:textId="3EC33292" w:rsidR="00EB35E3" w:rsidRPr="00A21682" w:rsidRDefault="00EB35E3">
            <w:pPr>
              <w:pStyle w:val="TABLETEXT1"/>
              <w:rPr>
                <w:lang w:val="en-US"/>
              </w:rPr>
            </w:pPr>
            <w:r>
              <w:rPr>
                <w:lang w:val="en-US"/>
              </w:rPr>
              <w:t>10.0</w:t>
            </w:r>
          </w:p>
        </w:tc>
        <w:tc>
          <w:tcPr>
            <w:tcW w:w="908" w:type="pct"/>
          </w:tcPr>
          <w:p w14:paraId="56A61EEB" w14:textId="2602D75F" w:rsidR="00EB35E3" w:rsidRPr="00A21682" w:rsidRDefault="00EB35E3">
            <w:pPr>
              <w:pStyle w:val="TABLETEXT1"/>
              <w:rPr>
                <w:lang w:val="en-US"/>
              </w:rPr>
            </w:pPr>
            <w:r>
              <w:rPr>
                <w:lang w:val="en-US"/>
              </w:rPr>
              <w:t>Review updated DED/Deliverable</w:t>
            </w:r>
          </w:p>
        </w:tc>
        <w:tc>
          <w:tcPr>
            <w:tcW w:w="2624" w:type="pct"/>
          </w:tcPr>
          <w:p w14:paraId="3DFD1362" w14:textId="53115389" w:rsidR="00EB35E3" w:rsidRPr="00A21682" w:rsidRDefault="00EB35E3">
            <w:pPr>
              <w:pStyle w:val="TABLETEXT1"/>
              <w:rPr>
                <w:rFonts w:cs="Arial"/>
                <w:szCs w:val="24"/>
                <w:lang w:val="en-US"/>
              </w:rPr>
            </w:pPr>
            <w:r>
              <w:rPr>
                <w:rFonts w:cs="Arial"/>
                <w:szCs w:val="24"/>
                <w:lang w:val="en-US"/>
              </w:rPr>
              <w:t xml:space="preserve">DOH stakeholders review the updated </w:t>
            </w:r>
            <w:r>
              <w:rPr>
                <w:lang w:val="en-US"/>
              </w:rPr>
              <w:t>DED/Deliverable.</w:t>
            </w:r>
          </w:p>
        </w:tc>
        <w:tc>
          <w:tcPr>
            <w:tcW w:w="1085" w:type="pct"/>
          </w:tcPr>
          <w:p w14:paraId="30DD73AA" w14:textId="77777777" w:rsidR="00EB35E3" w:rsidRPr="00A21682" w:rsidRDefault="00EB35E3" w:rsidP="00CB6B2E">
            <w:pPr>
              <w:pStyle w:val="TABLEBULLETNEW"/>
            </w:pPr>
            <w:r>
              <w:t>DOH Stakeholders</w:t>
            </w:r>
          </w:p>
        </w:tc>
      </w:tr>
      <w:tr w:rsidR="00B65956" w:rsidRPr="00A21682" w14:paraId="3AFA87A7" w14:textId="77777777" w:rsidTr="00BC5D58">
        <w:trPr>
          <w:trHeight w:val="535"/>
        </w:trPr>
        <w:tc>
          <w:tcPr>
            <w:tcW w:w="383" w:type="pct"/>
          </w:tcPr>
          <w:p w14:paraId="4ED80BE5" w14:textId="4D7515DA" w:rsidR="00EB35E3" w:rsidRPr="00A21682" w:rsidRDefault="00EB35E3">
            <w:pPr>
              <w:pStyle w:val="TABLETEXT1"/>
              <w:rPr>
                <w:lang w:val="en-US"/>
              </w:rPr>
            </w:pPr>
            <w:r>
              <w:rPr>
                <w:lang w:val="en-US"/>
              </w:rPr>
              <w:t>10.1</w:t>
            </w:r>
          </w:p>
        </w:tc>
        <w:tc>
          <w:tcPr>
            <w:tcW w:w="908" w:type="pct"/>
          </w:tcPr>
          <w:p w14:paraId="514D2E87" w14:textId="77777777" w:rsidR="00EB35E3" w:rsidRPr="00A21682" w:rsidRDefault="00EB35E3">
            <w:pPr>
              <w:pStyle w:val="TABLETEXT1"/>
              <w:rPr>
                <w:lang w:val="en-US"/>
              </w:rPr>
            </w:pPr>
            <w:r>
              <w:rPr>
                <w:lang w:val="en-US"/>
              </w:rPr>
              <w:t>Review completed?</w:t>
            </w:r>
          </w:p>
        </w:tc>
        <w:tc>
          <w:tcPr>
            <w:tcW w:w="2624" w:type="pct"/>
          </w:tcPr>
          <w:p w14:paraId="614B2FDF" w14:textId="2089176F" w:rsidR="004663AB" w:rsidRPr="00A21682" w:rsidRDefault="00EB35E3" w:rsidP="00A313D9">
            <w:pPr>
              <w:pStyle w:val="TABLETEXT1"/>
              <w:rPr>
                <w:rFonts w:cs="Arial"/>
                <w:szCs w:val="24"/>
                <w:lang w:val="en-US"/>
              </w:rPr>
            </w:pPr>
            <w:r>
              <w:rPr>
                <w:rFonts w:cs="Arial"/>
                <w:szCs w:val="24"/>
                <w:lang w:val="en-US"/>
              </w:rPr>
              <w:t>DOH stakeholders decide if the review of the DED /Deliverable is completed. This is based on the completion of the collaboration and review of the deliverable once all comments are addressed.</w:t>
            </w:r>
          </w:p>
          <w:p w14:paraId="000019ED" w14:textId="0446A974" w:rsidR="00EB35E3" w:rsidRPr="00A21682" w:rsidRDefault="00EB35E3" w:rsidP="00E06D47">
            <w:pPr>
              <w:pStyle w:val="TABLEBULLETNEW"/>
            </w:pPr>
            <w:r>
              <w:t xml:space="preserve">If the review of the DED/Deliverable is not completed, go back to </w:t>
            </w:r>
            <w:r>
              <w:rPr>
                <w:i/>
              </w:rPr>
              <w:t xml:space="preserve">Step #9 Address DOH stakeholder feedback and update </w:t>
            </w:r>
            <w:r>
              <w:rPr>
                <w:i/>
                <w:iCs/>
              </w:rPr>
              <w:t>DED/Deliverable</w:t>
            </w:r>
          </w:p>
          <w:p w14:paraId="5E116CCC" w14:textId="08955AE7" w:rsidR="00EB35E3" w:rsidRPr="00A21682" w:rsidRDefault="00EB35E3" w:rsidP="00E06D47">
            <w:pPr>
              <w:pStyle w:val="TABLEBULLETNEW"/>
            </w:pPr>
            <w:r>
              <w:t xml:space="preserve">If the review of the DED/Deliverable is completed, proceed to </w:t>
            </w:r>
            <w:r>
              <w:rPr>
                <w:i/>
              </w:rPr>
              <w:t>Step #11 Create clean copy; send to PMO for final QA/QC</w:t>
            </w:r>
          </w:p>
        </w:tc>
        <w:tc>
          <w:tcPr>
            <w:tcW w:w="1085" w:type="pct"/>
          </w:tcPr>
          <w:p w14:paraId="5D87BA14" w14:textId="77777777" w:rsidR="00EB35E3" w:rsidRPr="00A21682" w:rsidRDefault="00EB35E3" w:rsidP="00CB6B2E">
            <w:pPr>
              <w:pStyle w:val="TABLEBULLETNEW"/>
            </w:pPr>
            <w:r>
              <w:t>DOH Stakeholders</w:t>
            </w:r>
          </w:p>
        </w:tc>
      </w:tr>
      <w:tr w:rsidR="00B65956" w:rsidRPr="00A21682" w14:paraId="4564845B" w14:textId="77777777" w:rsidTr="00BC5D58">
        <w:trPr>
          <w:trHeight w:val="238"/>
        </w:trPr>
        <w:tc>
          <w:tcPr>
            <w:tcW w:w="383" w:type="pct"/>
          </w:tcPr>
          <w:p w14:paraId="3832EB35" w14:textId="2A7045AC" w:rsidR="00EB35E3" w:rsidRPr="00A21682" w:rsidRDefault="00EB35E3">
            <w:pPr>
              <w:pStyle w:val="TABLETEXT1"/>
              <w:rPr>
                <w:lang w:val="en-US"/>
              </w:rPr>
            </w:pPr>
            <w:r>
              <w:rPr>
                <w:lang w:val="en-US"/>
              </w:rPr>
              <w:t>11.0</w:t>
            </w:r>
          </w:p>
        </w:tc>
        <w:tc>
          <w:tcPr>
            <w:tcW w:w="908" w:type="pct"/>
          </w:tcPr>
          <w:p w14:paraId="14762C6B" w14:textId="77777777" w:rsidR="00EB35E3" w:rsidRPr="00A21682" w:rsidRDefault="00EB35E3">
            <w:pPr>
              <w:pStyle w:val="TABLETEXT1"/>
              <w:rPr>
                <w:lang w:val="en-US"/>
              </w:rPr>
            </w:pPr>
            <w:r>
              <w:rPr>
                <w:lang w:val="en-US"/>
              </w:rPr>
              <w:t>Create clean copy; send to PMO for final QA/QC</w:t>
            </w:r>
          </w:p>
        </w:tc>
        <w:tc>
          <w:tcPr>
            <w:tcW w:w="2624" w:type="pct"/>
          </w:tcPr>
          <w:p w14:paraId="1492C862" w14:textId="77777777" w:rsidR="00EB35E3" w:rsidRPr="00A21682" w:rsidRDefault="00EB35E3">
            <w:pPr>
              <w:pStyle w:val="TABLETEXT1"/>
              <w:rPr>
                <w:lang w:val="en-US"/>
              </w:rPr>
            </w:pPr>
            <w:r>
              <w:rPr>
                <w:lang w:val="en-US"/>
              </w:rPr>
              <w:t>The ███████ track creates a clean copy and sends it to ███████ PMO for final QA/QC.</w:t>
            </w:r>
          </w:p>
        </w:tc>
        <w:tc>
          <w:tcPr>
            <w:tcW w:w="1085" w:type="pct"/>
          </w:tcPr>
          <w:p w14:paraId="5E1E2454" w14:textId="76997D71" w:rsidR="00EB35E3" w:rsidRPr="00A21682" w:rsidRDefault="000E7376" w:rsidP="00CB6B2E">
            <w:pPr>
              <w:pStyle w:val="TABLEBULLETNEW"/>
            </w:pPr>
            <w:r>
              <w:t>███████ Tracks</w:t>
            </w:r>
          </w:p>
        </w:tc>
      </w:tr>
      <w:tr w:rsidR="00B65956" w:rsidRPr="00A21682" w14:paraId="7D77513F" w14:textId="77777777" w:rsidTr="00BC5D58">
        <w:trPr>
          <w:trHeight w:val="157"/>
        </w:trPr>
        <w:tc>
          <w:tcPr>
            <w:tcW w:w="383" w:type="pct"/>
          </w:tcPr>
          <w:p w14:paraId="3C3668BB" w14:textId="63DEAFFC" w:rsidR="00EB35E3" w:rsidRPr="00A21682" w:rsidRDefault="00EB35E3">
            <w:pPr>
              <w:pStyle w:val="TABLETEXT1"/>
              <w:rPr>
                <w:lang w:val="en-US"/>
              </w:rPr>
            </w:pPr>
            <w:r>
              <w:rPr>
                <w:lang w:val="en-US"/>
              </w:rPr>
              <w:t>12.0</w:t>
            </w:r>
          </w:p>
        </w:tc>
        <w:tc>
          <w:tcPr>
            <w:tcW w:w="908" w:type="pct"/>
          </w:tcPr>
          <w:p w14:paraId="0E5CA754" w14:textId="77777777" w:rsidR="00EB35E3" w:rsidRPr="00A21682" w:rsidRDefault="00EB35E3">
            <w:pPr>
              <w:pStyle w:val="TABLETEXT1"/>
              <w:rPr>
                <w:lang w:val="en-US"/>
              </w:rPr>
            </w:pPr>
            <w:r>
              <w:rPr>
                <w:lang w:val="en-US"/>
              </w:rPr>
              <w:t>Conduct QA/QC review</w:t>
            </w:r>
          </w:p>
        </w:tc>
        <w:tc>
          <w:tcPr>
            <w:tcW w:w="2624" w:type="pct"/>
          </w:tcPr>
          <w:p w14:paraId="138BE961" w14:textId="77777777" w:rsidR="00EB35E3" w:rsidRPr="00A21682" w:rsidRDefault="00EB35E3">
            <w:pPr>
              <w:pStyle w:val="TABLETEXT1"/>
              <w:rPr>
                <w:lang w:val="en-US"/>
              </w:rPr>
            </w:pPr>
            <w:r>
              <w:rPr>
                <w:lang w:val="en-US"/>
              </w:rPr>
              <w:t>The ███████ PMO conducts QA/QC review.</w:t>
            </w:r>
          </w:p>
        </w:tc>
        <w:tc>
          <w:tcPr>
            <w:tcW w:w="1085" w:type="pct"/>
          </w:tcPr>
          <w:p w14:paraId="7984F9FD" w14:textId="384F94D2" w:rsidR="00EB35E3" w:rsidRPr="00A21682" w:rsidRDefault="00EB35E3" w:rsidP="00CB6B2E">
            <w:pPr>
              <w:pStyle w:val="TABLEBULLETNEW"/>
            </w:pPr>
            <w:r>
              <w:t>███████ PMO</w:t>
            </w:r>
          </w:p>
        </w:tc>
      </w:tr>
      <w:tr w:rsidR="00B65956" w:rsidRPr="00A21682" w14:paraId="1887F6F0" w14:textId="77777777" w:rsidTr="00BC5D58">
        <w:trPr>
          <w:trHeight w:val="157"/>
        </w:trPr>
        <w:tc>
          <w:tcPr>
            <w:tcW w:w="383" w:type="pct"/>
          </w:tcPr>
          <w:p w14:paraId="6574E548" w14:textId="327DE683" w:rsidR="00EB35E3" w:rsidRPr="00A21682" w:rsidRDefault="00EB35E3">
            <w:pPr>
              <w:pStyle w:val="TABLETEXT1"/>
              <w:rPr>
                <w:lang w:val="en-US"/>
              </w:rPr>
            </w:pPr>
            <w:r>
              <w:rPr>
                <w:lang w:val="en-US"/>
              </w:rPr>
              <w:t>12.1</w:t>
            </w:r>
          </w:p>
        </w:tc>
        <w:tc>
          <w:tcPr>
            <w:tcW w:w="908" w:type="pct"/>
          </w:tcPr>
          <w:p w14:paraId="508CDDB0" w14:textId="77777777" w:rsidR="00EB35E3" w:rsidRPr="00A21682" w:rsidRDefault="00EB35E3">
            <w:pPr>
              <w:pStyle w:val="TABLETEXT1"/>
              <w:rPr>
                <w:lang w:val="en-US"/>
              </w:rPr>
            </w:pPr>
            <w:r>
              <w:rPr>
                <w:lang w:val="en-US"/>
              </w:rPr>
              <w:t>Ready for transmittal?</w:t>
            </w:r>
          </w:p>
        </w:tc>
        <w:tc>
          <w:tcPr>
            <w:tcW w:w="2624" w:type="pct"/>
          </w:tcPr>
          <w:p w14:paraId="47217D4F" w14:textId="48BC6900" w:rsidR="00EB35E3" w:rsidRPr="00A21682" w:rsidRDefault="00EB35E3">
            <w:pPr>
              <w:pStyle w:val="TABLETEXT1"/>
              <w:rPr>
                <w:rFonts w:cs="Arial"/>
                <w:szCs w:val="24"/>
                <w:lang w:val="en-US"/>
              </w:rPr>
            </w:pPr>
            <w:r>
              <w:rPr>
                <w:lang w:val="en-US"/>
              </w:rPr>
              <w:t xml:space="preserve">The ███████ PMO determines if the DED/Deliverable </w:t>
            </w:r>
            <w:r>
              <w:rPr>
                <w:rFonts w:cs="Arial"/>
                <w:szCs w:val="24"/>
                <w:lang w:val="en-US"/>
              </w:rPr>
              <w:t xml:space="preserve">is ready for transmittal. </w:t>
            </w:r>
          </w:p>
          <w:p w14:paraId="27AEF55E" w14:textId="6465D588" w:rsidR="00A2205F" w:rsidRPr="00A21682" w:rsidRDefault="00EB35E3" w:rsidP="00E06D47">
            <w:pPr>
              <w:pStyle w:val="TABLEBULLETNEW"/>
            </w:pPr>
            <w:r>
              <w:t xml:space="preserve">If the DED/Deliverable is not ready for transmittal, proceed to </w:t>
            </w:r>
            <w:r>
              <w:rPr>
                <w:i/>
              </w:rPr>
              <w:t>Step #11 Create clean copy; send to PMO for final QA/QC</w:t>
            </w:r>
          </w:p>
          <w:p w14:paraId="154262B0" w14:textId="55394ADD" w:rsidR="00EB35E3" w:rsidRDefault="00EB35E3" w:rsidP="00E06D47">
            <w:pPr>
              <w:pStyle w:val="TABLEBULLETNEW"/>
            </w:pPr>
            <w:r>
              <w:t xml:space="preserve">If the DED/Deliverable is ready for transmittal, proceed to </w:t>
            </w:r>
            <w:r>
              <w:rPr>
                <w:i/>
              </w:rPr>
              <w:t>Step #13 Send via Transmittal</w:t>
            </w:r>
          </w:p>
        </w:tc>
        <w:tc>
          <w:tcPr>
            <w:tcW w:w="1085" w:type="pct"/>
          </w:tcPr>
          <w:p w14:paraId="2ED0BA4D" w14:textId="7BE642DD" w:rsidR="00EB35E3" w:rsidRPr="00A21682" w:rsidRDefault="00EB35E3" w:rsidP="00CB6B2E">
            <w:pPr>
              <w:pStyle w:val="TABLEBULLETNEW"/>
            </w:pPr>
            <w:r>
              <w:t>███████ PMO</w:t>
            </w:r>
          </w:p>
        </w:tc>
      </w:tr>
      <w:tr w:rsidR="00B65956" w:rsidRPr="00A21682" w14:paraId="6FDDA950" w14:textId="77777777" w:rsidTr="00BC5D58">
        <w:trPr>
          <w:trHeight w:val="75"/>
        </w:trPr>
        <w:tc>
          <w:tcPr>
            <w:tcW w:w="383" w:type="pct"/>
          </w:tcPr>
          <w:p w14:paraId="33191C4C" w14:textId="7EBC0DD6" w:rsidR="00EB35E3" w:rsidRPr="00A21682" w:rsidRDefault="00EB35E3">
            <w:pPr>
              <w:pStyle w:val="TABLETEXT1"/>
              <w:rPr>
                <w:lang w:val="en-US"/>
              </w:rPr>
            </w:pPr>
            <w:r>
              <w:rPr>
                <w:lang w:val="en-US"/>
              </w:rPr>
              <w:t xml:space="preserve">13.0 </w:t>
            </w:r>
          </w:p>
        </w:tc>
        <w:tc>
          <w:tcPr>
            <w:tcW w:w="908" w:type="pct"/>
          </w:tcPr>
          <w:p w14:paraId="655F518B" w14:textId="77777777" w:rsidR="00EB35E3" w:rsidRPr="00A21682" w:rsidRDefault="00EB35E3">
            <w:pPr>
              <w:pStyle w:val="TABLETEXT1"/>
              <w:rPr>
                <w:lang w:val="en-US"/>
              </w:rPr>
            </w:pPr>
            <w:r>
              <w:rPr>
                <w:lang w:val="en-US"/>
              </w:rPr>
              <w:t>Send via Transmittal</w:t>
            </w:r>
          </w:p>
        </w:tc>
        <w:tc>
          <w:tcPr>
            <w:tcW w:w="2624" w:type="pct"/>
          </w:tcPr>
          <w:p w14:paraId="14C83BB5" w14:textId="3B25F8CB" w:rsidR="00EB35E3" w:rsidRPr="00A21682" w:rsidRDefault="00EB35E3">
            <w:pPr>
              <w:pStyle w:val="TABLETEXT1"/>
              <w:rPr>
                <w:rFonts w:cs="Arial"/>
                <w:szCs w:val="24"/>
                <w:lang w:val="en-US"/>
              </w:rPr>
            </w:pPr>
            <w:r>
              <w:rPr>
                <w:rFonts w:cs="Arial"/>
                <w:szCs w:val="24"/>
                <w:lang w:val="en-US"/>
              </w:rPr>
              <w:t xml:space="preserve">The ███████ PMO sends the </w:t>
            </w:r>
            <w:r>
              <w:rPr>
                <w:lang w:val="en-US"/>
              </w:rPr>
              <w:t xml:space="preserve">DED/Deliverable </w:t>
            </w:r>
            <w:r>
              <w:rPr>
                <w:rFonts w:cs="Arial"/>
                <w:szCs w:val="24"/>
                <w:lang w:val="en-US"/>
              </w:rPr>
              <w:t xml:space="preserve">via transmittal. </w:t>
            </w:r>
          </w:p>
          <w:p w14:paraId="0D1D322B" w14:textId="56EAD450" w:rsidR="00EB35E3" w:rsidRPr="00A21682" w:rsidRDefault="00EB35E3">
            <w:pPr>
              <w:pStyle w:val="TABLETEXT1"/>
              <w:rPr>
                <w:rFonts w:cs="Arial"/>
                <w:szCs w:val="24"/>
                <w:lang w:val="en-US"/>
              </w:rPr>
            </w:pPr>
            <w:r>
              <w:rPr>
                <w:rFonts w:eastAsia="Times New Roman" w:cs="Arial"/>
                <w:szCs w:val="24"/>
                <w:lang w:val="en-US"/>
              </w:rPr>
              <w:t>Refer to Section 7.4.1 Transmittal Management for more details on the transmittal process.</w:t>
            </w:r>
          </w:p>
        </w:tc>
        <w:tc>
          <w:tcPr>
            <w:tcW w:w="1085" w:type="pct"/>
          </w:tcPr>
          <w:p w14:paraId="341A4BE0" w14:textId="052F7235" w:rsidR="00EB35E3" w:rsidRPr="00A21682" w:rsidRDefault="00EB35E3" w:rsidP="00CB6B2E">
            <w:pPr>
              <w:pStyle w:val="TABLEBULLETNEW"/>
            </w:pPr>
            <w:r>
              <w:t>███████ PMO</w:t>
            </w:r>
          </w:p>
        </w:tc>
      </w:tr>
    </w:tbl>
    <w:p w14:paraId="443F38CE" w14:textId="68B60181" w:rsidR="00A81D91" w:rsidRPr="00A21682" w:rsidRDefault="00C1228A">
      <w:pPr>
        <w:pStyle w:val="Caption"/>
        <w:rPr>
          <w:rFonts w:eastAsia="Calibri" w:cs="Arial Narrow"/>
          <w:noProof w:val="0"/>
        </w:rPr>
      </w:pPr>
      <w:bookmarkStart w:id="2943" w:name="_Toc192875180"/>
      <w:r>
        <w:rPr>
          <w:noProof w:val="0"/>
        </w:rPr>
        <w:t xml:space="preserve">Table </w:t>
      </w:r>
      <w:r>
        <w:rPr>
          <w:iCs w:val="0"/>
          <w:noProof w:val="0"/>
        </w:rPr>
        <w:fldChar w:fldCharType="begin"/>
      </w:r>
      <w:r>
        <w:rPr>
          <w:noProof w:val="0"/>
        </w:rPr>
        <w:instrText xml:space="preserve"> STYLEREF 1 \s </w:instrText>
      </w:r>
      <w:r>
        <w:rPr>
          <w:iCs w:val="0"/>
          <w:noProof w:val="0"/>
        </w:rPr>
        <w:fldChar w:fldCharType="separate"/>
      </w:r>
      <w:r>
        <w:rPr>
          <w:noProof w:val="0"/>
        </w:rPr>
        <w:t>5</w:t>
      </w:r>
      <w:r>
        <w:rPr>
          <w:iCs w:val="0"/>
          <w:noProof w:val="0"/>
        </w:rPr>
        <w:fldChar w:fldCharType="end"/>
      </w:r>
      <w:r>
        <w:rPr>
          <w:noProof w:val="0"/>
        </w:rPr>
        <w:noBreakHyphen/>
      </w:r>
      <w:r>
        <w:rPr>
          <w:iCs w:val="0"/>
          <w:noProof w:val="0"/>
        </w:rPr>
        <w:fldChar w:fldCharType="begin"/>
      </w:r>
      <w:r>
        <w:rPr>
          <w:noProof w:val="0"/>
        </w:rPr>
        <w:instrText xml:space="preserve"> SEQ Table \* ARABIC \s 1 </w:instrText>
      </w:r>
      <w:r>
        <w:rPr>
          <w:iCs w:val="0"/>
          <w:noProof w:val="0"/>
        </w:rPr>
        <w:fldChar w:fldCharType="separate"/>
      </w:r>
      <w:r>
        <w:rPr>
          <w:noProof w:val="0"/>
        </w:rPr>
        <w:t>2</w:t>
      </w:r>
      <w:r>
        <w:rPr>
          <w:iCs w:val="0"/>
          <w:noProof w:val="0"/>
        </w:rPr>
        <w:fldChar w:fldCharType="end"/>
      </w:r>
      <w:r>
        <w:rPr>
          <w:noProof w:val="0"/>
        </w:rPr>
        <w:t xml:space="preserve">: </w:t>
      </w:r>
      <w:r>
        <w:t xml:space="preserve">DED/Deliverable </w:t>
      </w:r>
      <w:r>
        <w:rPr>
          <w:noProof w:val="0"/>
        </w:rPr>
        <w:t>Management Process Flow Narrative</w:t>
      </w:r>
      <w:bookmarkStart w:id="2944" w:name="_Toc143611327"/>
      <w:bookmarkEnd w:id="2942"/>
      <w:bookmarkEnd w:id="2943"/>
    </w:p>
    <w:p w14:paraId="38DB15BC" w14:textId="77777777" w:rsidR="00FE38C8" w:rsidRPr="00A21682" w:rsidRDefault="00FE38C8" w:rsidP="00FE38C8">
      <w:pPr>
        <w:pStyle w:val="Heading3"/>
      </w:pPr>
      <w:bookmarkStart w:id="2945" w:name="_Toc177119160"/>
      <w:bookmarkStart w:id="2946" w:name="_Toc185952679"/>
      <w:bookmarkStart w:id="2947" w:name="_Toc192874846"/>
      <w:bookmarkStart w:id="2948" w:name="_Toc151106838"/>
      <w:bookmarkStart w:id="2949" w:name="_Toc151106831"/>
      <w:r>
        <w:t>Collaboration Review Cycle Oversight</w:t>
      </w:r>
      <w:bookmarkEnd w:id="2945"/>
      <w:bookmarkEnd w:id="2946"/>
      <w:bookmarkEnd w:id="2947"/>
    </w:p>
    <w:p w14:paraId="53A10849" w14:textId="22667AA7" w:rsidR="003001DD" w:rsidRPr="00A21682" w:rsidRDefault="00DE537A" w:rsidP="00FE38C8">
      <w:pPr>
        <w:pStyle w:val="NormalNEW"/>
        <w:rPr>
          <w:lang w:val="en-US"/>
        </w:rPr>
      </w:pPr>
      <w:r>
        <w:rPr>
          <w:lang w:val="en-US"/>
        </w:rPr>
        <w:t xml:space="preserve">As part of the DED/Deliverable Management Approach mentioned above, DOH OHIP and ███████ mutually agree on a review cycle as part of the collaboration approach based on the nature and complexity of the DED/Deliverable or the review cycle may be modified on a case-by-case basis as needed. </w:t>
      </w:r>
    </w:p>
    <w:p w14:paraId="121B5CE9" w14:textId="56D1C064" w:rsidR="008274EE" w:rsidRPr="00A21682" w:rsidRDefault="008274EE" w:rsidP="008274EE">
      <w:pPr>
        <w:pStyle w:val="NormalNEW"/>
        <w:rPr>
          <w:szCs w:val="18"/>
          <w:lang w:val="en-US"/>
        </w:rPr>
      </w:pPr>
      <w:r>
        <w:rPr>
          <w:szCs w:val="18"/>
          <w:lang w:val="en-US"/>
        </w:rPr>
        <w:lastRenderedPageBreak/>
        <w:t xml:space="preserve">The default (baseline) review cycle for DEDs/Deliverables is 5-5-3, however the respective ███████/DOH owner and/or Lead may agree on a review cycle that deviates from the standard (default) 5-5-3 review cycle for a given </w:t>
      </w:r>
      <w:r>
        <w:rPr>
          <w:lang w:val="en-US"/>
        </w:rPr>
        <w:t>DED/Deliverable</w:t>
      </w:r>
      <w:r>
        <w:rPr>
          <w:szCs w:val="18"/>
          <w:lang w:val="en-US"/>
        </w:rPr>
        <w:t xml:space="preserve">. The Work Plan will be updated with the latest agreed upon </w:t>
      </w:r>
      <w:r>
        <w:rPr>
          <w:lang w:val="en-US"/>
        </w:rPr>
        <w:t xml:space="preserve">DED/Deliverable </w:t>
      </w:r>
      <w:r>
        <w:rPr>
          <w:szCs w:val="18"/>
          <w:lang w:val="en-US"/>
        </w:rPr>
        <w:t>review cycles.</w:t>
      </w:r>
    </w:p>
    <w:p w14:paraId="66C4E8C2" w14:textId="5C18D925" w:rsidR="009A6628" w:rsidRPr="00A21682" w:rsidRDefault="009A6628" w:rsidP="0031550A">
      <w:pPr>
        <w:pStyle w:val="BulletNEW"/>
      </w:pPr>
      <w:r>
        <w:t xml:space="preserve">DOH OHIP has five (5) business days to review the initial </w:t>
      </w:r>
      <w:r>
        <w:rPr>
          <w:lang w:val="en-US"/>
        </w:rPr>
        <w:t xml:space="preserve">DED/Deliverable </w:t>
      </w:r>
      <w:r>
        <w:t>submission and submit comments to ███████ via comments in the document</w:t>
      </w:r>
    </w:p>
    <w:p w14:paraId="2B224A1F" w14:textId="77777777" w:rsidR="009A6628" w:rsidRPr="00A21682" w:rsidRDefault="009A6628" w:rsidP="0031550A">
      <w:pPr>
        <w:pStyle w:val="BulletNEW"/>
      </w:pPr>
      <w:r>
        <w:t>███████ has five (5) business days to provide a response to DOH OHIP’s comments and edit the document</w:t>
      </w:r>
    </w:p>
    <w:p w14:paraId="5D825376" w14:textId="3BC07F37" w:rsidR="009A6628" w:rsidRPr="00A21682" w:rsidRDefault="009A6628" w:rsidP="0031550A">
      <w:pPr>
        <w:pStyle w:val="BulletNEW"/>
      </w:pPr>
      <w:r>
        <w:t xml:space="preserve">DOH OHIP has three (3) business days to provide a response to ███████ indicating concurrence or providing additional comments. If additional </w:t>
      </w:r>
      <w:r>
        <w:rPr>
          <w:color w:val="auto"/>
        </w:rPr>
        <w:t xml:space="preserve">DOH OHIP comments are provided, the respective ███████/DOH owner and/or lead will mutually determine the added review cycle response times for a given </w:t>
      </w:r>
      <w:r>
        <w:rPr>
          <w:lang w:val="en-US"/>
        </w:rPr>
        <w:t>DED/Deliverable</w:t>
      </w:r>
    </w:p>
    <w:p w14:paraId="6455FF18" w14:textId="57318026" w:rsidR="00F23305" w:rsidRPr="00A21682" w:rsidRDefault="00407080" w:rsidP="00CA100D">
      <w:pPr>
        <w:pStyle w:val="Heading3"/>
      </w:pPr>
      <w:bookmarkStart w:id="2950" w:name="_Toc185949030"/>
      <w:bookmarkStart w:id="2951" w:name="_Toc186884614"/>
      <w:bookmarkStart w:id="2952" w:name="_Toc187428356"/>
      <w:bookmarkStart w:id="2953" w:name="_Toc188450732"/>
      <w:bookmarkStart w:id="2954" w:name="_Toc188619624"/>
      <w:bookmarkStart w:id="2955" w:name="_Toc185949031"/>
      <w:bookmarkStart w:id="2956" w:name="_Toc186884615"/>
      <w:bookmarkStart w:id="2957" w:name="_Toc187428357"/>
      <w:bookmarkStart w:id="2958" w:name="_Toc188450733"/>
      <w:bookmarkStart w:id="2959" w:name="_Toc188619625"/>
      <w:bookmarkStart w:id="2960" w:name="_Toc185949032"/>
      <w:bookmarkStart w:id="2961" w:name="_Toc186884616"/>
      <w:bookmarkStart w:id="2962" w:name="_Toc187428358"/>
      <w:bookmarkStart w:id="2963" w:name="_Toc188450734"/>
      <w:bookmarkStart w:id="2964" w:name="_Toc188619626"/>
      <w:bookmarkStart w:id="2965" w:name="_Toc185952680"/>
      <w:bookmarkStart w:id="2966" w:name="_Toc192874847"/>
      <w:bookmarkStart w:id="2967" w:name="_Toc177119161"/>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t>Collaboration Process for DEDs/Deliverables</w:t>
      </w:r>
      <w:bookmarkEnd w:id="2965"/>
      <w:bookmarkEnd w:id="2966"/>
    </w:p>
    <w:p w14:paraId="2BF55125" w14:textId="16280EF3" w:rsidR="00407884" w:rsidRPr="00A21682" w:rsidRDefault="002679E5" w:rsidP="00FE672B">
      <w:pPr>
        <w:pStyle w:val="NormalNEW"/>
        <w:rPr>
          <w:lang w:val="en-US"/>
        </w:rPr>
      </w:pPr>
      <w:r>
        <w:rPr>
          <w:lang w:val="en-US"/>
        </w:rPr>
        <w:t xml:space="preserve">The collaboration process for DEDs/Deliverables specifies the roles, responsibilities, and timeline for the Continuing Medicaid Eligibility Modernization projects. </w:t>
      </w:r>
    </w:p>
    <w:p w14:paraId="66DB7E40" w14:textId="6B530A15" w:rsidR="00B8398F" w:rsidRPr="00A21682" w:rsidRDefault="00B8398F" w:rsidP="00FE672B">
      <w:pPr>
        <w:pStyle w:val="NormalNEW"/>
        <w:rPr>
          <w:lang w:val="en-US"/>
        </w:rPr>
      </w:pPr>
      <w:r>
        <w:rPr>
          <w:lang w:val="en-US"/>
        </w:rPr>
        <w:t xml:space="preserve">The general collaboration process begins with the ███████ Deliverable Lead coordinating with the ███████ PMO for an initial quality review of the document prior to initiating collaboration with the designated stakeholders. Upon conclusion of the quality review, the ███████ Delivery Lead sends the deliverable to the designated stakeholders to initiate collaboration. </w:t>
      </w:r>
    </w:p>
    <w:p w14:paraId="37157630" w14:textId="47089CD9" w:rsidR="00771174" w:rsidRPr="00A21682" w:rsidRDefault="001E42AF" w:rsidP="00FE672B">
      <w:pPr>
        <w:pStyle w:val="NormalNEW"/>
        <w:rPr>
          <w:lang w:val="en-US"/>
        </w:rPr>
      </w:pPr>
      <w:r>
        <w:rPr>
          <w:lang w:val="en-US"/>
        </w:rPr>
        <w:t>The designated stakeholders review the deliverable and either indicate the deliverable is concurred and ready to proceed to transmittal or provide comments for ███████ to adjudicate. If comments are provided, the ███████ team addresses the comments, typically by updating the document and responding to the comments provided, and resubmits the deliverable for stakeholder review. The designated stakeholders review the responses and confirm whether all comments have been sufficiently addressed or if further updates are required. If no further comments are provided, DOH provides written confirmation that the deliverable is concurred, and all comments have been addressed. If further comments are provided, the review cycle repeats until the stakeholders have acknowledged that all comments have been sufficiently addressed.</w:t>
      </w:r>
    </w:p>
    <w:p w14:paraId="255BCD84" w14:textId="3FE2E930" w:rsidR="003B65AB" w:rsidRPr="00A21682" w:rsidRDefault="00407884" w:rsidP="00FE672B">
      <w:pPr>
        <w:pStyle w:val="NormalNEW"/>
        <w:rPr>
          <w:lang w:val="en-US"/>
        </w:rPr>
      </w:pPr>
      <w:r>
        <w:rPr>
          <w:lang w:val="en-US"/>
        </w:rPr>
        <w:t>Refer to Appendix G: Collaboration Process for DEDs/Deliverables that describes the collaboration process for Non-Design Document Deliverables.</w:t>
      </w:r>
    </w:p>
    <w:p w14:paraId="680E19B3" w14:textId="084694D0" w:rsidR="003B528E" w:rsidRPr="00A21682" w:rsidRDefault="00682A06" w:rsidP="00383BC3">
      <w:pPr>
        <w:pStyle w:val="Heading3"/>
        <w:rPr>
          <w:szCs w:val="18"/>
        </w:rPr>
      </w:pPr>
      <w:bookmarkStart w:id="2968" w:name="_Toc188619628"/>
      <w:bookmarkStart w:id="2969" w:name="_Toc188619629"/>
      <w:bookmarkStart w:id="2970" w:name="_Toc188619630"/>
      <w:bookmarkStart w:id="2971" w:name="_Toc185952682"/>
      <w:bookmarkStart w:id="2972" w:name="_Toc192874848"/>
      <w:bookmarkEnd w:id="2967"/>
      <w:bookmarkEnd w:id="2968"/>
      <w:bookmarkEnd w:id="2969"/>
      <w:bookmarkEnd w:id="2970"/>
      <w:r>
        <w:rPr>
          <w:szCs w:val="18"/>
        </w:rPr>
        <w:t>PMO Review Following Completion of Collaboration Review</w:t>
      </w:r>
      <w:bookmarkEnd w:id="2971"/>
      <w:bookmarkEnd w:id="2972"/>
    </w:p>
    <w:p w14:paraId="3CAF68C3" w14:textId="6675E659" w:rsidR="005A00CE" w:rsidRPr="00A21682" w:rsidRDefault="00C33BB9" w:rsidP="005A00CE">
      <w:pPr>
        <w:pStyle w:val="NormalNEW"/>
        <w:rPr>
          <w:lang w:val="en-US"/>
        </w:rPr>
      </w:pPr>
      <w:r>
        <w:rPr>
          <w:lang w:val="en-US"/>
        </w:rPr>
        <w:t xml:space="preserve">Following the conclusion of the collaboration review cycle, the ███████ team responsible for the deliverable provides a clean copy of the DED/Deliverable to the ███████ PMO for a final PMO QA/QC review prior to transmittal. </w:t>
      </w:r>
    </w:p>
    <w:p w14:paraId="16A4B7B4" w14:textId="77777777" w:rsidR="000B31F5" w:rsidRPr="00A21682" w:rsidRDefault="00A40AA5" w:rsidP="000B31F5">
      <w:pPr>
        <w:pStyle w:val="NormalNEW"/>
        <w:keepNext/>
        <w:jc w:val="center"/>
        <w:rPr>
          <w:lang w:val="en-US"/>
        </w:rPr>
      </w:pPr>
      <w:r>
        <w:rPr>
          <w:lang w:val="en-US"/>
        </w:rPr>
        <w:lastRenderedPageBreak/>
        <w:pict w14:anchorId="5132BACF">
          <v:shape id="_x0000_i1041" type="#_x0000_t75" style="width:468pt;height:241.2pt">
            <v:imagedata r:id="rId68" o:title=""/>
          </v:shape>
        </w:pict>
      </w:r>
    </w:p>
    <w:p w14:paraId="00B935AF" w14:textId="67A09DC8" w:rsidR="009F1306" w:rsidRPr="00A21682" w:rsidRDefault="000B31F5" w:rsidP="000B31F5">
      <w:pPr>
        <w:pStyle w:val="Caption"/>
        <w:rPr>
          <w:noProof w:val="0"/>
        </w:rPr>
      </w:pPr>
      <w:bookmarkStart w:id="2973" w:name="_Toc192875066"/>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5</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PMO Review Following Completion of Collaboration Review Process</w:t>
      </w:r>
      <w:bookmarkEnd w:id="2973"/>
    </w:p>
    <w:p w14:paraId="2A2E3DA8" w14:textId="5B4905EB" w:rsidR="00BC587E" w:rsidRPr="00A21682" w:rsidRDefault="001708FC" w:rsidP="002B2F6A">
      <w:pPr>
        <w:pStyle w:val="NormalNEW"/>
        <w:rPr>
          <w:lang w:val="en-US"/>
        </w:rPr>
      </w:pPr>
      <w:r>
        <w:rPr>
          <w:lang w:val="en-US"/>
        </w:rPr>
        <w:t>The steps outlined below are taken by the ███████ PMO and ███████ Track prior to transmittal once a DED/Deliverable is concurred:</w:t>
      </w:r>
    </w:p>
    <w:tbl>
      <w:tblPr>
        <w:tblW w:w="5041" w:type="pct"/>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20" w:firstRow="1" w:lastRow="0" w:firstColumn="0" w:lastColumn="0" w:noHBand="1" w:noVBand="1"/>
      </w:tblPr>
      <w:tblGrid>
        <w:gridCol w:w="814"/>
        <w:gridCol w:w="1711"/>
        <w:gridCol w:w="5129"/>
        <w:gridCol w:w="1777"/>
      </w:tblGrid>
      <w:tr w:rsidR="005133E7" w:rsidRPr="00A21682" w14:paraId="38C2A894" w14:textId="77777777" w:rsidTr="00F00229">
        <w:trPr>
          <w:trHeight w:val="300"/>
          <w:tblHeader/>
        </w:trPr>
        <w:tc>
          <w:tcPr>
            <w:tcW w:w="432" w:type="pct"/>
            <w:tcBorders>
              <w:right w:val="single" w:sz="2" w:space="0" w:color="FFFFFF" w:themeColor="background1"/>
            </w:tcBorders>
            <w:shd w:val="clear" w:color="auto" w:fill="000000" w:themeFill="text1"/>
            <w:hideMark/>
          </w:tcPr>
          <w:p w14:paraId="4956FE15" w14:textId="77777777" w:rsidR="008E5D1C" w:rsidRPr="00A21682" w:rsidRDefault="008E5D1C" w:rsidP="007A7722">
            <w:pPr>
              <w:pStyle w:val="TABLEHEADINGNEW"/>
            </w:pPr>
            <w:r>
              <w:rPr>
                <w:rFonts w:eastAsia="Verdana"/>
              </w:rPr>
              <w:t>Step #</w:t>
            </w:r>
          </w:p>
        </w:tc>
        <w:tc>
          <w:tcPr>
            <w:tcW w:w="907" w:type="pct"/>
            <w:tcBorders>
              <w:left w:val="single" w:sz="2" w:space="0" w:color="FFFFFF" w:themeColor="background1"/>
              <w:right w:val="single" w:sz="2" w:space="0" w:color="FFFFFF" w:themeColor="background1"/>
            </w:tcBorders>
            <w:shd w:val="clear" w:color="auto" w:fill="000000" w:themeFill="text1"/>
            <w:hideMark/>
          </w:tcPr>
          <w:p w14:paraId="295E46D1" w14:textId="77777777" w:rsidR="008E5D1C" w:rsidRPr="00A21682" w:rsidRDefault="008E5D1C" w:rsidP="007A7722">
            <w:pPr>
              <w:pStyle w:val="TABLEHEADINGNEW"/>
            </w:pPr>
            <w:r>
              <w:rPr>
                <w:rFonts w:eastAsia="Verdana"/>
              </w:rPr>
              <w:t>Process</w:t>
            </w:r>
          </w:p>
        </w:tc>
        <w:tc>
          <w:tcPr>
            <w:tcW w:w="2719" w:type="pct"/>
            <w:tcBorders>
              <w:left w:val="single" w:sz="2" w:space="0" w:color="FFFFFF" w:themeColor="background1"/>
              <w:right w:val="single" w:sz="2" w:space="0" w:color="FFFFFF" w:themeColor="background1"/>
            </w:tcBorders>
            <w:shd w:val="clear" w:color="auto" w:fill="000000" w:themeFill="text1"/>
            <w:hideMark/>
          </w:tcPr>
          <w:p w14:paraId="20CF9BF1" w14:textId="77777777" w:rsidR="008E5D1C" w:rsidRPr="00A21682" w:rsidRDefault="008E5D1C" w:rsidP="007A7722">
            <w:pPr>
              <w:pStyle w:val="TABLEHEADINGNEW"/>
            </w:pPr>
            <w:r>
              <w:rPr>
                <w:rFonts w:eastAsia="Verdana"/>
              </w:rPr>
              <w:t>Description</w:t>
            </w:r>
          </w:p>
        </w:tc>
        <w:tc>
          <w:tcPr>
            <w:tcW w:w="942" w:type="pct"/>
            <w:tcBorders>
              <w:left w:val="single" w:sz="2" w:space="0" w:color="FFFFFF" w:themeColor="background1"/>
            </w:tcBorders>
            <w:shd w:val="clear" w:color="auto" w:fill="000000" w:themeFill="text1"/>
            <w:hideMark/>
          </w:tcPr>
          <w:p w14:paraId="579E2220" w14:textId="77777777" w:rsidR="008E5D1C" w:rsidRPr="00A21682" w:rsidRDefault="008E5D1C" w:rsidP="007A7722">
            <w:pPr>
              <w:pStyle w:val="TABLEHEADINGNEW"/>
            </w:pPr>
            <w:r>
              <w:rPr>
                <w:rFonts w:eastAsia="Verdana"/>
              </w:rPr>
              <w:t>Stakeholder Group(s)</w:t>
            </w:r>
          </w:p>
        </w:tc>
      </w:tr>
      <w:tr w:rsidR="00B65956" w:rsidRPr="00A21682" w14:paraId="40B80CAC" w14:textId="77777777" w:rsidTr="00F00229">
        <w:trPr>
          <w:trHeight w:val="895"/>
        </w:trPr>
        <w:tc>
          <w:tcPr>
            <w:tcW w:w="432" w:type="pct"/>
          </w:tcPr>
          <w:p w14:paraId="692C779B" w14:textId="3A7FFA47" w:rsidR="008E5D1C" w:rsidRPr="00A21682" w:rsidRDefault="008E5D1C" w:rsidP="007A7722">
            <w:pPr>
              <w:pStyle w:val="TABLETEXT1"/>
              <w:rPr>
                <w:lang w:val="en-US"/>
              </w:rPr>
            </w:pPr>
            <w:r>
              <w:rPr>
                <w:lang w:val="en-US"/>
              </w:rPr>
              <w:t>1.0</w:t>
            </w:r>
          </w:p>
        </w:tc>
        <w:tc>
          <w:tcPr>
            <w:tcW w:w="907" w:type="pct"/>
          </w:tcPr>
          <w:p w14:paraId="69F57549" w14:textId="7D28FFF4" w:rsidR="008E5D1C" w:rsidRPr="00A21682" w:rsidRDefault="00612739" w:rsidP="007A7722">
            <w:pPr>
              <w:pStyle w:val="TABLETEXT1"/>
              <w:rPr>
                <w:lang w:val="en-US"/>
              </w:rPr>
            </w:pPr>
            <w:r>
              <w:rPr>
                <w:lang w:val="en-US"/>
              </w:rPr>
              <w:t xml:space="preserve">Conduct Final QA/QC Review </w:t>
            </w:r>
          </w:p>
        </w:tc>
        <w:tc>
          <w:tcPr>
            <w:tcW w:w="2719" w:type="pct"/>
          </w:tcPr>
          <w:p w14:paraId="08A154A7" w14:textId="6F955216" w:rsidR="008E5D1C" w:rsidRPr="00A21682" w:rsidRDefault="007F73DA" w:rsidP="006D191E">
            <w:pPr>
              <w:pStyle w:val="TABLETEXT1"/>
              <w:rPr>
                <w:i/>
                <w:iCs/>
                <w:lang w:val="en-US"/>
              </w:rPr>
            </w:pPr>
            <w:r>
              <w:rPr>
                <w:rFonts w:cs="Arial"/>
                <w:szCs w:val="24"/>
                <w:lang w:val="en-US"/>
              </w:rPr>
              <w:t xml:space="preserve">The ███████ PMO conducts the final </w:t>
            </w:r>
            <w:r>
              <w:rPr>
                <w:lang w:val="en-US"/>
              </w:rPr>
              <w:t>QA/QC review. The PMO uses the clean copy of the latest concurred DED/Deliverable version.</w:t>
            </w:r>
          </w:p>
        </w:tc>
        <w:tc>
          <w:tcPr>
            <w:tcW w:w="942" w:type="pct"/>
          </w:tcPr>
          <w:p w14:paraId="30394A0F" w14:textId="75EE408B" w:rsidR="008E5D1C" w:rsidRPr="00A21682" w:rsidRDefault="00842BE0" w:rsidP="00CB6B2E">
            <w:pPr>
              <w:pStyle w:val="TABLEBULLETNEW"/>
            </w:pPr>
            <w:r>
              <w:t>███████ PMO</w:t>
            </w:r>
          </w:p>
        </w:tc>
      </w:tr>
      <w:tr w:rsidR="00B65956" w:rsidRPr="00A21682" w14:paraId="5BE59285" w14:textId="77777777" w:rsidTr="00F00229">
        <w:trPr>
          <w:trHeight w:val="1425"/>
        </w:trPr>
        <w:tc>
          <w:tcPr>
            <w:tcW w:w="432" w:type="pct"/>
          </w:tcPr>
          <w:p w14:paraId="2966C80D" w14:textId="0C80AD75" w:rsidR="00984149" w:rsidRPr="00A21682" w:rsidRDefault="00984149" w:rsidP="007A7722">
            <w:pPr>
              <w:pStyle w:val="TABLETEXT1"/>
              <w:rPr>
                <w:lang w:val="en-US"/>
              </w:rPr>
            </w:pPr>
            <w:r>
              <w:rPr>
                <w:lang w:val="en-US"/>
              </w:rPr>
              <w:t>1.1</w:t>
            </w:r>
          </w:p>
        </w:tc>
        <w:tc>
          <w:tcPr>
            <w:tcW w:w="907" w:type="pct"/>
          </w:tcPr>
          <w:p w14:paraId="6715570A" w14:textId="33314B81" w:rsidR="00984149" w:rsidRPr="00A21682" w:rsidRDefault="00F06CC7" w:rsidP="007A7722">
            <w:pPr>
              <w:pStyle w:val="TABLETEXT1"/>
              <w:rPr>
                <w:lang w:val="en-US"/>
              </w:rPr>
            </w:pPr>
            <w:r>
              <w:rPr>
                <w:lang w:val="en-US"/>
              </w:rPr>
              <w:t>Are Updates Needed?</w:t>
            </w:r>
          </w:p>
        </w:tc>
        <w:tc>
          <w:tcPr>
            <w:tcW w:w="2719" w:type="pct"/>
          </w:tcPr>
          <w:p w14:paraId="45591E36" w14:textId="615781C5" w:rsidR="00984149" w:rsidRPr="00A21682" w:rsidRDefault="00A37E73" w:rsidP="007A7722">
            <w:pPr>
              <w:pStyle w:val="TABLETEXT1"/>
              <w:rPr>
                <w:rFonts w:cs="Arial"/>
                <w:szCs w:val="24"/>
                <w:lang w:val="en-US"/>
              </w:rPr>
            </w:pPr>
            <w:r>
              <w:rPr>
                <w:rFonts w:cs="Arial"/>
                <w:szCs w:val="24"/>
                <w:lang w:val="en-US"/>
              </w:rPr>
              <w:t xml:space="preserve">The ███████ PMO determines if any additional updates are needed to the </w:t>
            </w:r>
            <w:r>
              <w:rPr>
                <w:lang w:val="en-US"/>
              </w:rPr>
              <w:t>DED/Deliverable</w:t>
            </w:r>
            <w:r>
              <w:rPr>
                <w:rFonts w:cs="Arial"/>
                <w:szCs w:val="24"/>
                <w:lang w:val="en-US"/>
              </w:rPr>
              <w:t>.</w:t>
            </w:r>
          </w:p>
          <w:p w14:paraId="3A1EDC15" w14:textId="79BECB37" w:rsidR="00D64CB5" w:rsidRPr="00A21682" w:rsidRDefault="00D64CB5" w:rsidP="00E06D47">
            <w:pPr>
              <w:pStyle w:val="TABLEBULLETNEW"/>
              <w:rPr>
                <w:i/>
              </w:rPr>
            </w:pPr>
            <w:r>
              <w:t xml:space="preserve">If the DED/Deliverable requires collaboration from the Deloitte track to address the QA/QC findings, proceed to </w:t>
            </w:r>
            <w:r>
              <w:rPr>
                <w:i/>
              </w:rPr>
              <w:t xml:space="preserve">Step #2.0 Engage </w:t>
            </w:r>
            <w:r>
              <w:rPr>
                <w:i/>
                <w:highlight w:val="black"/>
              </w:rPr>
              <w:t>Deloitte</w:t>
            </w:r>
            <w:r>
              <w:rPr>
                <w:i/>
              </w:rPr>
              <w:t xml:space="preserve"> Track to Update the </w:t>
            </w:r>
            <w:r>
              <w:rPr>
                <w:i/>
                <w:iCs/>
              </w:rPr>
              <w:t>DED/Deliverable</w:t>
            </w:r>
          </w:p>
          <w:p w14:paraId="38B8FCF1" w14:textId="7DF9E4DB" w:rsidR="005C0DF0" w:rsidRPr="00A21682" w:rsidRDefault="00D64CB5" w:rsidP="00E06D47">
            <w:pPr>
              <w:pStyle w:val="TABLEBULLETNEW"/>
              <w:rPr>
                <w:i/>
              </w:rPr>
            </w:pPr>
            <w:r>
              <w:t xml:space="preserve">If the Deliverable/DED QA/QC updates can be addressed by the </w:t>
            </w:r>
            <w:r>
              <w:rPr>
                <w:highlight w:val="black"/>
              </w:rPr>
              <w:t>Deloitte</w:t>
            </w:r>
            <w:r>
              <w:t xml:space="preserve"> PMO, proceed to </w:t>
            </w:r>
            <w:r>
              <w:rPr>
                <w:i/>
              </w:rPr>
              <w:t xml:space="preserve">Step #3.0 Finalize Transmittal Version of </w:t>
            </w:r>
            <w:r>
              <w:rPr>
                <w:i/>
                <w:iCs/>
              </w:rPr>
              <w:t>DED/Deliverable</w:t>
            </w:r>
          </w:p>
        </w:tc>
        <w:tc>
          <w:tcPr>
            <w:tcW w:w="942" w:type="pct"/>
          </w:tcPr>
          <w:p w14:paraId="2BCC6904" w14:textId="02D767D0" w:rsidR="00984149" w:rsidRPr="00A21682" w:rsidRDefault="00D64CB5" w:rsidP="00CB6B2E">
            <w:pPr>
              <w:pStyle w:val="TABLEBULLETNEW"/>
            </w:pPr>
            <w:r>
              <w:t>███████ PMO</w:t>
            </w:r>
          </w:p>
        </w:tc>
      </w:tr>
      <w:tr w:rsidR="00B65956" w:rsidRPr="00A21682" w14:paraId="007D59BC" w14:textId="77777777" w:rsidTr="00F00229">
        <w:trPr>
          <w:trHeight w:val="1425"/>
        </w:trPr>
        <w:tc>
          <w:tcPr>
            <w:tcW w:w="432" w:type="pct"/>
          </w:tcPr>
          <w:p w14:paraId="441811FE" w14:textId="0317704C" w:rsidR="00BD5B61" w:rsidRPr="00A21682" w:rsidRDefault="00BD5B61" w:rsidP="007A7722">
            <w:pPr>
              <w:pStyle w:val="TABLETEXT1"/>
              <w:rPr>
                <w:lang w:val="en-US"/>
              </w:rPr>
            </w:pPr>
            <w:r>
              <w:rPr>
                <w:lang w:val="en-US"/>
              </w:rPr>
              <w:t>2.0</w:t>
            </w:r>
          </w:p>
        </w:tc>
        <w:tc>
          <w:tcPr>
            <w:tcW w:w="907" w:type="pct"/>
          </w:tcPr>
          <w:p w14:paraId="6A771217" w14:textId="4A151EE5" w:rsidR="00BD5B61" w:rsidRPr="00A21682" w:rsidRDefault="00842BE0" w:rsidP="007A7722">
            <w:pPr>
              <w:pStyle w:val="TABLETEXT1"/>
              <w:rPr>
                <w:lang w:val="en-US"/>
              </w:rPr>
            </w:pPr>
            <w:r>
              <w:rPr>
                <w:lang w:val="en-US"/>
              </w:rPr>
              <w:t>Engage ███████ Track to Update the DED/Deliverable</w:t>
            </w:r>
          </w:p>
        </w:tc>
        <w:tc>
          <w:tcPr>
            <w:tcW w:w="2719" w:type="pct"/>
          </w:tcPr>
          <w:p w14:paraId="74FDEDDE" w14:textId="25A3C7F7" w:rsidR="00BD5B61" w:rsidRPr="00A21682" w:rsidRDefault="00283FB8" w:rsidP="007A7722">
            <w:pPr>
              <w:pStyle w:val="TABLETEXT1"/>
              <w:rPr>
                <w:rFonts w:cs="Arial"/>
                <w:szCs w:val="24"/>
                <w:lang w:val="en-US"/>
              </w:rPr>
            </w:pPr>
            <w:r>
              <w:rPr>
                <w:rFonts w:cs="Arial"/>
                <w:szCs w:val="24"/>
                <w:lang w:val="en-US"/>
              </w:rPr>
              <w:t>The ███████ track reviews and addresses the QA/QC findings from the ███████ PMO and notifies the ███████ PMO once the associated updates have been completed.</w:t>
            </w:r>
          </w:p>
        </w:tc>
        <w:tc>
          <w:tcPr>
            <w:tcW w:w="942" w:type="pct"/>
          </w:tcPr>
          <w:p w14:paraId="4C9B64F8" w14:textId="5CDA03D3" w:rsidR="00BD5B61" w:rsidRPr="00A21682" w:rsidRDefault="00842BE0" w:rsidP="00CB6B2E">
            <w:pPr>
              <w:pStyle w:val="TABLEBULLETNEW"/>
            </w:pPr>
            <w:r>
              <w:t>███████ Track</w:t>
            </w:r>
          </w:p>
        </w:tc>
      </w:tr>
      <w:tr w:rsidR="00B65956" w:rsidRPr="00A21682" w14:paraId="383E02D0" w14:textId="77777777" w:rsidTr="00F00229">
        <w:trPr>
          <w:trHeight w:val="1425"/>
        </w:trPr>
        <w:tc>
          <w:tcPr>
            <w:tcW w:w="432" w:type="pct"/>
          </w:tcPr>
          <w:p w14:paraId="377BE5DE" w14:textId="0154156F" w:rsidR="00323DBF" w:rsidRPr="00A21682" w:rsidRDefault="00BD5B61" w:rsidP="007A7722">
            <w:pPr>
              <w:pStyle w:val="TABLETEXT1"/>
              <w:rPr>
                <w:lang w:val="en-US"/>
              </w:rPr>
            </w:pPr>
            <w:r>
              <w:rPr>
                <w:lang w:val="en-US"/>
              </w:rPr>
              <w:lastRenderedPageBreak/>
              <w:t>3.0</w:t>
            </w:r>
          </w:p>
        </w:tc>
        <w:tc>
          <w:tcPr>
            <w:tcW w:w="907" w:type="pct"/>
          </w:tcPr>
          <w:p w14:paraId="272E3E68" w14:textId="5C7D0F0D" w:rsidR="00D63D6E" w:rsidRPr="00A21682" w:rsidRDefault="00283FB8" w:rsidP="007A7722">
            <w:pPr>
              <w:pStyle w:val="TABLETEXT1"/>
              <w:rPr>
                <w:lang w:val="en-US"/>
              </w:rPr>
            </w:pPr>
            <w:r>
              <w:rPr>
                <w:lang w:val="en-US"/>
              </w:rPr>
              <w:t>Finalize Transmittal Version of DED/Deliverable</w:t>
            </w:r>
          </w:p>
        </w:tc>
        <w:tc>
          <w:tcPr>
            <w:tcW w:w="2719" w:type="pct"/>
          </w:tcPr>
          <w:p w14:paraId="341CDD92" w14:textId="0FEC1997" w:rsidR="005C3541" w:rsidRPr="00A21682" w:rsidRDefault="0011143C" w:rsidP="006D191E">
            <w:pPr>
              <w:pStyle w:val="TABLETEXT1"/>
              <w:rPr>
                <w:rFonts w:cs="Arial"/>
                <w:szCs w:val="24"/>
                <w:lang w:val="en-US"/>
              </w:rPr>
            </w:pPr>
            <w:r>
              <w:rPr>
                <w:rFonts w:cs="Arial"/>
                <w:szCs w:val="24"/>
                <w:lang w:val="en-US"/>
              </w:rPr>
              <w:t>The ███████ PMO finalizes updates to the document in preparation for transmittal.</w:t>
            </w:r>
          </w:p>
        </w:tc>
        <w:tc>
          <w:tcPr>
            <w:tcW w:w="942" w:type="pct"/>
          </w:tcPr>
          <w:p w14:paraId="526CEFF2" w14:textId="1CC0C336" w:rsidR="00323DBF" w:rsidRPr="00A21682" w:rsidRDefault="00323DBF" w:rsidP="00CB6B2E">
            <w:pPr>
              <w:pStyle w:val="TABLEBULLETNEW"/>
            </w:pPr>
            <w:r>
              <w:t>███████ PMO</w:t>
            </w:r>
          </w:p>
        </w:tc>
      </w:tr>
      <w:tr w:rsidR="00B65956" w:rsidRPr="00A21682" w14:paraId="494DDD6D" w14:textId="77777777" w:rsidTr="00F00229">
        <w:trPr>
          <w:trHeight w:val="1425"/>
        </w:trPr>
        <w:tc>
          <w:tcPr>
            <w:tcW w:w="432" w:type="pct"/>
          </w:tcPr>
          <w:p w14:paraId="40B1ADDB" w14:textId="49E8F6B0" w:rsidR="00D760F5" w:rsidRPr="00A21682" w:rsidRDefault="00D760F5" w:rsidP="007A7722">
            <w:pPr>
              <w:pStyle w:val="TABLETEXT1"/>
              <w:rPr>
                <w:lang w:val="en-US"/>
              </w:rPr>
            </w:pPr>
            <w:r>
              <w:rPr>
                <w:lang w:val="en-US"/>
              </w:rPr>
              <w:t>3.1</w:t>
            </w:r>
          </w:p>
        </w:tc>
        <w:tc>
          <w:tcPr>
            <w:tcW w:w="907" w:type="pct"/>
          </w:tcPr>
          <w:p w14:paraId="7B6788D1" w14:textId="2974A6A4" w:rsidR="00D760F5" w:rsidRPr="00A21682" w:rsidRDefault="00F82E71" w:rsidP="007A7722">
            <w:pPr>
              <w:pStyle w:val="TABLETEXT1"/>
              <w:rPr>
                <w:lang w:val="en-US"/>
              </w:rPr>
            </w:pPr>
            <w:r>
              <w:rPr>
                <w:lang w:val="en-US"/>
              </w:rPr>
              <w:t>Are All Findings Addressed?</w:t>
            </w:r>
          </w:p>
        </w:tc>
        <w:tc>
          <w:tcPr>
            <w:tcW w:w="2719" w:type="pct"/>
          </w:tcPr>
          <w:p w14:paraId="28FA568C" w14:textId="7EF7A67E" w:rsidR="00D760F5" w:rsidRPr="00A21682" w:rsidRDefault="00F547AA" w:rsidP="007A7722">
            <w:pPr>
              <w:pStyle w:val="TABLETEXT1"/>
              <w:rPr>
                <w:rFonts w:cs="Arial"/>
                <w:szCs w:val="24"/>
                <w:lang w:val="en-US"/>
              </w:rPr>
            </w:pPr>
            <w:r>
              <w:rPr>
                <w:rFonts w:cs="Arial"/>
                <w:szCs w:val="24"/>
                <w:lang w:val="en-US"/>
              </w:rPr>
              <w:t>The ███████ PMO determines if all the findings have been addressed by the team.</w:t>
            </w:r>
          </w:p>
          <w:p w14:paraId="26D70B95" w14:textId="275C504D" w:rsidR="00F82E71" w:rsidRPr="00A21682" w:rsidRDefault="00F82E71" w:rsidP="00E06D47">
            <w:pPr>
              <w:pStyle w:val="TABLEBULLETNEW"/>
              <w:rPr>
                <w:i/>
              </w:rPr>
            </w:pPr>
            <w:r>
              <w:t xml:space="preserve">If all findings have been sufficiently addressed, proceed to </w:t>
            </w:r>
            <w:r>
              <w:rPr>
                <w:i/>
              </w:rPr>
              <w:t>Step #4.0 Approve Transmittal Submission</w:t>
            </w:r>
          </w:p>
          <w:p w14:paraId="6FB3C456" w14:textId="602774BE" w:rsidR="00F82E71" w:rsidRPr="00A21682" w:rsidRDefault="00F82E71" w:rsidP="00E06D47">
            <w:pPr>
              <w:pStyle w:val="TABLEBULLETNEW"/>
              <w:rPr>
                <w:i/>
              </w:rPr>
            </w:pPr>
            <w:r>
              <w:t xml:space="preserve">If further updates are required by the Deloitte PMO, proceed to </w:t>
            </w:r>
            <w:r>
              <w:rPr>
                <w:i/>
              </w:rPr>
              <w:t>Step #1.1 Are Updates Needed?</w:t>
            </w:r>
          </w:p>
          <w:p w14:paraId="4DF8A719" w14:textId="066BBCB1" w:rsidR="00F82E71" w:rsidRPr="00A21682" w:rsidRDefault="00F82E71" w:rsidP="00E06D47">
            <w:pPr>
              <w:pStyle w:val="TABLEBULLETNEW"/>
              <w:rPr>
                <w:i/>
              </w:rPr>
            </w:pPr>
            <w:r>
              <w:t xml:space="preserve">If further updates are required by the Deloitte track, proceed to </w:t>
            </w:r>
            <w:r>
              <w:rPr>
                <w:i/>
              </w:rPr>
              <w:t xml:space="preserve">Step #2.0 Engage </w:t>
            </w:r>
            <w:r>
              <w:rPr>
                <w:i/>
                <w:highlight w:val="black"/>
              </w:rPr>
              <w:t>Deloitte</w:t>
            </w:r>
            <w:r>
              <w:rPr>
                <w:i/>
              </w:rPr>
              <w:t xml:space="preserve"> Track to Update the </w:t>
            </w:r>
            <w:r>
              <w:rPr>
                <w:i/>
                <w:iCs/>
              </w:rPr>
              <w:t>DED/Deliverable</w:t>
            </w:r>
          </w:p>
        </w:tc>
        <w:tc>
          <w:tcPr>
            <w:tcW w:w="942" w:type="pct"/>
          </w:tcPr>
          <w:p w14:paraId="572F3695" w14:textId="5C6E4CFD" w:rsidR="00D760F5" w:rsidRPr="00A21682" w:rsidRDefault="00F82E71" w:rsidP="00CB6B2E">
            <w:pPr>
              <w:pStyle w:val="TABLEBULLETNEW"/>
            </w:pPr>
            <w:r>
              <w:t>███████ PMO</w:t>
            </w:r>
          </w:p>
        </w:tc>
      </w:tr>
      <w:tr w:rsidR="00B65956" w:rsidRPr="00A21682" w14:paraId="1F70F2BF" w14:textId="77777777" w:rsidTr="00F00229">
        <w:trPr>
          <w:trHeight w:val="535"/>
        </w:trPr>
        <w:tc>
          <w:tcPr>
            <w:tcW w:w="432" w:type="pct"/>
          </w:tcPr>
          <w:p w14:paraId="35B8BF24" w14:textId="2B3171EB" w:rsidR="008E5D1C" w:rsidRPr="00A21682" w:rsidRDefault="00EF3025" w:rsidP="007A7722">
            <w:pPr>
              <w:pStyle w:val="TABLETEXT1"/>
              <w:rPr>
                <w:lang w:val="en-US"/>
              </w:rPr>
            </w:pPr>
            <w:r>
              <w:rPr>
                <w:lang w:val="en-US"/>
              </w:rPr>
              <w:t>4.0</w:t>
            </w:r>
          </w:p>
        </w:tc>
        <w:tc>
          <w:tcPr>
            <w:tcW w:w="907" w:type="pct"/>
          </w:tcPr>
          <w:p w14:paraId="0B89A73E" w14:textId="4FA04D68" w:rsidR="008E5D1C" w:rsidRPr="00A21682" w:rsidRDefault="0048189D" w:rsidP="007A7722">
            <w:pPr>
              <w:pStyle w:val="TABLETEXT1"/>
              <w:rPr>
                <w:lang w:val="en-US"/>
              </w:rPr>
            </w:pPr>
            <w:r>
              <w:rPr>
                <w:lang w:val="en-US"/>
              </w:rPr>
              <w:t xml:space="preserve">Approve Transmittal Submission </w:t>
            </w:r>
          </w:p>
        </w:tc>
        <w:tc>
          <w:tcPr>
            <w:tcW w:w="2719" w:type="pct"/>
          </w:tcPr>
          <w:p w14:paraId="1C32C537" w14:textId="22460059" w:rsidR="00D63D6E" w:rsidRPr="00A21682" w:rsidRDefault="006D5E28" w:rsidP="00775C16">
            <w:pPr>
              <w:pStyle w:val="NormalNEW"/>
              <w:spacing w:before="60" w:after="60"/>
              <w:rPr>
                <w:lang w:val="en-US"/>
              </w:rPr>
            </w:pPr>
            <w:r>
              <w:rPr>
                <w:lang w:val="en-US"/>
              </w:rPr>
              <w:t>The ███████ PMO leads do a final spot check of the updated DED/Deliverable and confirm whether it is ready for transmittal.</w:t>
            </w:r>
          </w:p>
          <w:p w14:paraId="3AE19CDD" w14:textId="6A7C7E62" w:rsidR="008E5D1C" w:rsidRPr="00A21682" w:rsidRDefault="00D63D6E" w:rsidP="00775C16">
            <w:pPr>
              <w:pStyle w:val="NormalNEW"/>
              <w:spacing w:before="60" w:after="60"/>
              <w:rPr>
                <w:lang w:val="en-US"/>
              </w:rPr>
            </w:pPr>
            <w:r>
              <w:rPr>
                <w:lang w:val="en-US"/>
              </w:rPr>
              <w:t>If the DED/Deliverable is ready for transmittal, the review process ends.</w:t>
            </w:r>
          </w:p>
        </w:tc>
        <w:tc>
          <w:tcPr>
            <w:tcW w:w="942" w:type="pct"/>
          </w:tcPr>
          <w:p w14:paraId="7C4B8B9F" w14:textId="39A8E1D3" w:rsidR="00B26521" w:rsidRPr="00A21682" w:rsidRDefault="00B26521" w:rsidP="00CB6B2E">
            <w:pPr>
              <w:pStyle w:val="TABLEBULLETNEW"/>
            </w:pPr>
            <w:r>
              <w:t>███████ Track</w:t>
            </w:r>
          </w:p>
        </w:tc>
      </w:tr>
    </w:tbl>
    <w:p w14:paraId="5B0D8EA8" w14:textId="2DFA1004" w:rsidR="003610B0" w:rsidRPr="00A21682" w:rsidRDefault="003610B0">
      <w:pPr>
        <w:pStyle w:val="Caption"/>
        <w:rPr>
          <w:noProof w:val="0"/>
        </w:rPr>
      </w:pPr>
      <w:bookmarkStart w:id="2974" w:name="_Toc19287518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5</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3</w:t>
      </w:r>
      <w:r>
        <w:rPr>
          <w:noProof w:val="0"/>
        </w:rPr>
        <w:fldChar w:fldCharType="end"/>
      </w:r>
      <w:r>
        <w:rPr>
          <w:noProof w:val="0"/>
        </w:rPr>
        <w:t>: PMO Review Post Collaboration</w:t>
      </w:r>
      <w:bookmarkEnd w:id="2974"/>
    </w:p>
    <w:p w14:paraId="0B80802F" w14:textId="4E93D277" w:rsidR="00A81D91" w:rsidRPr="00A21682" w:rsidRDefault="00A81D91">
      <w:pPr>
        <w:pStyle w:val="Heading3"/>
      </w:pPr>
      <w:bookmarkStart w:id="2975" w:name="_Toc177116855"/>
      <w:bookmarkStart w:id="2976" w:name="_Toc177117625"/>
      <w:bookmarkStart w:id="2977" w:name="_Toc177118395"/>
      <w:bookmarkStart w:id="2978" w:name="_Toc177119162"/>
      <w:bookmarkStart w:id="2979" w:name="_Toc178350773"/>
      <w:bookmarkStart w:id="2980" w:name="_Toc178352617"/>
      <w:bookmarkStart w:id="2981" w:name="_Toc178354731"/>
      <w:bookmarkStart w:id="2982" w:name="_Toc178357540"/>
      <w:bookmarkStart w:id="2983" w:name="_Toc178359512"/>
      <w:bookmarkStart w:id="2984" w:name="_Toc178371708"/>
      <w:bookmarkStart w:id="2985" w:name="_Toc184747291"/>
      <w:bookmarkStart w:id="2986" w:name="_Toc185949036"/>
      <w:bookmarkStart w:id="2987" w:name="_Toc186884620"/>
      <w:bookmarkStart w:id="2988" w:name="_Toc187428362"/>
      <w:bookmarkStart w:id="2989" w:name="_Toc188450738"/>
      <w:bookmarkStart w:id="2990" w:name="_Toc188619632"/>
      <w:bookmarkStart w:id="2991" w:name="_Toc177116856"/>
      <w:bookmarkStart w:id="2992" w:name="_Toc177117626"/>
      <w:bookmarkStart w:id="2993" w:name="_Toc177118396"/>
      <w:bookmarkStart w:id="2994" w:name="_Toc177119163"/>
      <w:bookmarkStart w:id="2995" w:name="_Toc178350774"/>
      <w:bookmarkStart w:id="2996" w:name="_Toc178352618"/>
      <w:bookmarkStart w:id="2997" w:name="_Toc178354732"/>
      <w:bookmarkStart w:id="2998" w:name="_Toc178357541"/>
      <w:bookmarkStart w:id="2999" w:name="_Toc178359513"/>
      <w:bookmarkStart w:id="3000" w:name="_Toc178371709"/>
      <w:bookmarkStart w:id="3001" w:name="_Toc184747292"/>
      <w:bookmarkStart w:id="3002" w:name="_Toc185949037"/>
      <w:bookmarkStart w:id="3003" w:name="_Toc186884621"/>
      <w:bookmarkStart w:id="3004" w:name="_Toc187428363"/>
      <w:bookmarkStart w:id="3005" w:name="_Toc188450739"/>
      <w:bookmarkStart w:id="3006" w:name="_Toc188619633"/>
      <w:bookmarkStart w:id="3007" w:name="_Toc177116857"/>
      <w:bookmarkStart w:id="3008" w:name="_Toc177117627"/>
      <w:bookmarkStart w:id="3009" w:name="_Toc177118397"/>
      <w:bookmarkStart w:id="3010" w:name="_Toc177119164"/>
      <w:bookmarkStart w:id="3011" w:name="_Toc178350775"/>
      <w:bookmarkStart w:id="3012" w:name="_Toc178352619"/>
      <w:bookmarkStart w:id="3013" w:name="_Toc178354733"/>
      <w:bookmarkStart w:id="3014" w:name="_Toc178357542"/>
      <w:bookmarkStart w:id="3015" w:name="_Toc178359514"/>
      <w:bookmarkStart w:id="3016" w:name="_Toc178371710"/>
      <w:bookmarkStart w:id="3017" w:name="_Toc184747293"/>
      <w:bookmarkStart w:id="3018" w:name="_Toc185949038"/>
      <w:bookmarkStart w:id="3019" w:name="_Toc186884622"/>
      <w:bookmarkStart w:id="3020" w:name="_Toc187428364"/>
      <w:bookmarkStart w:id="3021" w:name="_Toc188450740"/>
      <w:bookmarkStart w:id="3022" w:name="_Toc188619634"/>
      <w:bookmarkStart w:id="3023" w:name="_Toc177116858"/>
      <w:bookmarkStart w:id="3024" w:name="_Toc177117628"/>
      <w:bookmarkStart w:id="3025" w:name="_Toc177118398"/>
      <w:bookmarkStart w:id="3026" w:name="_Toc177119165"/>
      <w:bookmarkStart w:id="3027" w:name="_Toc178350776"/>
      <w:bookmarkStart w:id="3028" w:name="_Toc178352620"/>
      <w:bookmarkStart w:id="3029" w:name="_Toc178354734"/>
      <w:bookmarkStart w:id="3030" w:name="_Toc178357543"/>
      <w:bookmarkStart w:id="3031" w:name="_Toc178359515"/>
      <w:bookmarkStart w:id="3032" w:name="_Toc178371711"/>
      <w:bookmarkStart w:id="3033" w:name="_Toc184747294"/>
      <w:bookmarkStart w:id="3034" w:name="_Toc185949039"/>
      <w:bookmarkStart w:id="3035" w:name="_Toc186884623"/>
      <w:bookmarkStart w:id="3036" w:name="_Toc187428365"/>
      <w:bookmarkStart w:id="3037" w:name="_Toc188450741"/>
      <w:bookmarkStart w:id="3038" w:name="_Toc188619635"/>
      <w:bookmarkStart w:id="3039" w:name="_Toc177116859"/>
      <w:bookmarkStart w:id="3040" w:name="_Toc177117629"/>
      <w:bookmarkStart w:id="3041" w:name="_Toc177118399"/>
      <w:bookmarkStart w:id="3042" w:name="_Toc177119166"/>
      <w:bookmarkStart w:id="3043" w:name="_Toc178350777"/>
      <w:bookmarkStart w:id="3044" w:name="_Toc178352621"/>
      <w:bookmarkStart w:id="3045" w:name="_Toc178354735"/>
      <w:bookmarkStart w:id="3046" w:name="_Toc178357544"/>
      <w:bookmarkStart w:id="3047" w:name="_Toc178359516"/>
      <w:bookmarkStart w:id="3048" w:name="_Toc178371712"/>
      <w:bookmarkStart w:id="3049" w:name="_Toc184747295"/>
      <w:bookmarkStart w:id="3050" w:name="_Toc185949040"/>
      <w:bookmarkStart w:id="3051" w:name="_Toc186884624"/>
      <w:bookmarkStart w:id="3052" w:name="_Toc187428366"/>
      <w:bookmarkStart w:id="3053" w:name="_Toc188450742"/>
      <w:bookmarkStart w:id="3054" w:name="_Toc188619636"/>
      <w:bookmarkStart w:id="3055" w:name="_Toc177116860"/>
      <w:bookmarkStart w:id="3056" w:name="_Toc177117630"/>
      <w:bookmarkStart w:id="3057" w:name="_Toc177118400"/>
      <w:bookmarkStart w:id="3058" w:name="_Toc177119167"/>
      <w:bookmarkStart w:id="3059" w:name="_Toc178350778"/>
      <w:bookmarkStart w:id="3060" w:name="_Toc178352622"/>
      <w:bookmarkStart w:id="3061" w:name="_Toc178354736"/>
      <w:bookmarkStart w:id="3062" w:name="_Toc178357545"/>
      <w:bookmarkStart w:id="3063" w:name="_Toc178359517"/>
      <w:bookmarkStart w:id="3064" w:name="_Toc178371713"/>
      <w:bookmarkStart w:id="3065" w:name="_Toc184747296"/>
      <w:bookmarkStart w:id="3066" w:name="_Toc185949041"/>
      <w:bookmarkStart w:id="3067" w:name="_Toc186884625"/>
      <w:bookmarkStart w:id="3068" w:name="_Toc187428367"/>
      <w:bookmarkStart w:id="3069" w:name="_Toc188450743"/>
      <w:bookmarkStart w:id="3070" w:name="_Toc188619637"/>
      <w:bookmarkStart w:id="3071" w:name="_Toc177116936"/>
      <w:bookmarkStart w:id="3072" w:name="_Toc177117706"/>
      <w:bookmarkStart w:id="3073" w:name="_Toc177118476"/>
      <w:bookmarkStart w:id="3074" w:name="_Toc177119243"/>
      <w:bookmarkStart w:id="3075" w:name="_Toc178350854"/>
      <w:bookmarkStart w:id="3076" w:name="_Toc178352698"/>
      <w:bookmarkStart w:id="3077" w:name="_Toc178354812"/>
      <w:bookmarkStart w:id="3078" w:name="_Toc178357621"/>
      <w:bookmarkStart w:id="3079" w:name="_Toc178359593"/>
      <w:bookmarkStart w:id="3080" w:name="_Toc178371789"/>
      <w:bookmarkStart w:id="3081" w:name="_Toc184747372"/>
      <w:bookmarkStart w:id="3082" w:name="_Toc185949117"/>
      <w:bookmarkStart w:id="3083" w:name="_Toc186884701"/>
      <w:bookmarkStart w:id="3084" w:name="_Toc187428443"/>
      <w:bookmarkStart w:id="3085" w:name="_Toc188450819"/>
      <w:bookmarkStart w:id="3086" w:name="_Toc188619713"/>
      <w:bookmarkStart w:id="3087" w:name="_Toc149817718"/>
      <w:bookmarkStart w:id="3088" w:name="_Toc149819768"/>
      <w:bookmarkStart w:id="3089" w:name="_Toc151106808"/>
      <w:bookmarkStart w:id="3090" w:name="_Toc151106832"/>
      <w:bookmarkStart w:id="3091" w:name="_Toc177116937"/>
      <w:bookmarkStart w:id="3092" w:name="_Toc177117707"/>
      <w:bookmarkStart w:id="3093" w:name="_Toc177118477"/>
      <w:bookmarkStart w:id="3094" w:name="_Toc177119244"/>
      <w:bookmarkStart w:id="3095" w:name="_Toc178350855"/>
      <w:bookmarkStart w:id="3096" w:name="_Toc178352699"/>
      <w:bookmarkStart w:id="3097" w:name="_Toc178354813"/>
      <w:bookmarkStart w:id="3098" w:name="_Toc178357622"/>
      <w:bookmarkStart w:id="3099" w:name="_Toc178359594"/>
      <w:bookmarkStart w:id="3100" w:name="_Toc178371790"/>
      <w:bookmarkStart w:id="3101" w:name="_Toc184747373"/>
      <w:bookmarkStart w:id="3102" w:name="_Toc185949118"/>
      <w:bookmarkStart w:id="3103" w:name="_Toc186884702"/>
      <w:bookmarkStart w:id="3104" w:name="_Toc187428444"/>
      <w:bookmarkStart w:id="3105" w:name="_Toc188450820"/>
      <w:bookmarkStart w:id="3106" w:name="_Toc188619714"/>
      <w:bookmarkStart w:id="3107" w:name="_Toc177116938"/>
      <w:bookmarkStart w:id="3108" w:name="_Toc177117708"/>
      <w:bookmarkStart w:id="3109" w:name="_Toc177118478"/>
      <w:bookmarkStart w:id="3110" w:name="_Toc177119245"/>
      <w:bookmarkStart w:id="3111" w:name="_Toc178350856"/>
      <w:bookmarkStart w:id="3112" w:name="_Toc178352700"/>
      <w:bookmarkStart w:id="3113" w:name="_Toc178354814"/>
      <w:bookmarkStart w:id="3114" w:name="_Toc178357623"/>
      <w:bookmarkStart w:id="3115" w:name="_Toc178359595"/>
      <w:bookmarkStart w:id="3116" w:name="_Toc178371791"/>
      <w:bookmarkStart w:id="3117" w:name="_Toc184747374"/>
      <w:bookmarkStart w:id="3118" w:name="_Toc185949119"/>
      <w:bookmarkStart w:id="3119" w:name="_Toc186884703"/>
      <w:bookmarkStart w:id="3120" w:name="_Toc187428445"/>
      <w:bookmarkStart w:id="3121" w:name="_Toc188450821"/>
      <w:bookmarkStart w:id="3122" w:name="_Toc188619715"/>
      <w:bookmarkStart w:id="3123" w:name="_Toc177116939"/>
      <w:bookmarkStart w:id="3124" w:name="_Toc177117709"/>
      <w:bookmarkStart w:id="3125" w:name="_Toc177118479"/>
      <w:bookmarkStart w:id="3126" w:name="_Toc177119246"/>
      <w:bookmarkStart w:id="3127" w:name="_Toc178350857"/>
      <w:bookmarkStart w:id="3128" w:name="_Toc178352701"/>
      <w:bookmarkStart w:id="3129" w:name="_Toc178354815"/>
      <w:bookmarkStart w:id="3130" w:name="_Toc178357624"/>
      <w:bookmarkStart w:id="3131" w:name="_Toc178359596"/>
      <w:bookmarkStart w:id="3132" w:name="_Toc178371792"/>
      <w:bookmarkStart w:id="3133" w:name="_Toc184747375"/>
      <w:bookmarkStart w:id="3134" w:name="_Toc185949120"/>
      <w:bookmarkStart w:id="3135" w:name="_Toc186884704"/>
      <w:bookmarkStart w:id="3136" w:name="_Toc187428446"/>
      <w:bookmarkStart w:id="3137" w:name="_Toc188450822"/>
      <w:bookmarkStart w:id="3138" w:name="_Toc188619716"/>
      <w:bookmarkStart w:id="3139" w:name="_Toc143611329"/>
      <w:bookmarkStart w:id="3140" w:name="_Toc151106834"/>
      <w:bookmarkStart w:id="3141" w:name="_Toc177119247"/>
      <w:bookmarkStart w:id="3142" w:name="_Toc185952686"/>
      <w:bookmarkStart w:id="3143" w:name="_Toc192874849"/>
      <w:bookmarkEnd w:id="2944"/>
      <w:bookmarkEnd w:id="2948"/>
      <w:bookmarkEnd w:id="2949"/>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r>
        <w:t xml:space="preserve">Final Review and </w:t>
      </w:r>
      <w:bookmarkEnd w:id="3139"/>
      <w:bookmarkEnd w:id="3140"/>
      <w:r>
        <w:t>Disposition</w:t>
      </w:r>
      <w:bookmarkEnd w:id="3141"/>
      <w:bookmarkEnd w:id="3142"/>
      <w:bookmarkEnd w:id="3143"/>
    </w:p>
    <w:p w14:paraId="7A70657D" w14:textId="47EDE9C9" w:rsidR="00A3644C" w:rsidRPr="00A21682" w:rsidRDefault="00B67CE7" w:rsidP="000B7ED2">
      <w:pPr>
        <w:pStyle w:val="NormalNEW"/>
        <w:rPr>
          <w:lang w:val="en-US"/>
        </w:rPr>
      </w:pPr>
      <w:r>
        <w:rPr>
          <w:lang w:val="en-US"/>
        </w:rPr>
        <w:t xml:space="preserve">The final review and disposition process of DEDs/Deliverables takes place via the transmittal process. Refer to Section 7 Quality Management Plan for more details on final dispositioning of DEDs/Deliverables. </w:t>
      </w:r>
      <w:bookmarkStart w:id="3144" w:name="_Toc151106811"/>
      <w:bookmarkStart w:id="3145" w:name="_Toc151106835"/>
      <w:bookmarkStart w:id="3146" w:name="_Toc149817721"/>
      <w:bookmarkStart w:id="3147" w:name="_Toc149819771"/>
      <w:bookmarkStart w:id="3148" w:name="_Toc151106812"/>
      <w:bookmarkStart w:id="3149" w:name="_Toc151106836"/>
      <w:bookmarkEnd w:id="3144"/>
      <w:bookmarkEnd w:id="3145"/>
      <w:bookmarkEnd w:id="3146"/>
      <w:bookmarkEnd w:id="3147"/>
      <w:bookmarkEnd w:id="3148"/>
      <w:bookmarkEnd w:id="3149"/>
    </w:p>
    <w:p w14:paraId="67678411" w14:textId="76961755" w:rsidR="00E2592A" w:rsidRPr="00A21682" w:rsidRDefault="004A5BC6" w:rsidP="0048121B">
      <w:pPr>
        <w:pStyle w:val="Heading3"/>
      </w:pPr>
      <w:bookmarkStart w:id="3150" w:name="_Toc177119248"/>
      <w:bookmarkStart w:id="3151" w:name="_Toc185952687"/>
      <w:bookmarkStart w:id="3152" w:name="_Toc192874850"/>
      <w:r>
        <w:t>Modifying Deliverables Post Transmittal Approval</w:t>
      </w:r>
      <w:bookmarkEnd w:id="3150"/>
      <w:bookmarkEnd w:id="3151"/>
      <w:bookmarkEnd w:id="3152"/>
    </w:p>
    <w:p w14:paraId="36BDE1B9" w14:textId="23E0BC5E" w:rsidR="00447B7D" w:rsidRPr="00A21682" w:rsidRDefault="00E2592A" w:rsidP="0048121B">
      <w:pPr>
        <w:pStyle w:val="NormalNEW"/>
        <w:rPr>
          <w:lang w:val="en-US"/>
        </w:rPr>
      </w:pPr>
      <w:r>
        <w:rPr>
          <w:lang w:val="en-US"/>
        </w:rPr>
        <w:t xml:space="preserve">If a deliverable needs to be updated after being approved by DOH OHIP, the DED related to the deliverable will not be updated post transmittal approval. Only the updated deliverable will be re-submitted via transmittal. The updated deliverable will be accompanied by a change tracker indicating the updates made to the approved deliverable, including the section number, section title, original language/content, updated language/content, type of action performed (e.g., addition, removal, update), and change rationale. Refer to Appendix I for the template of the Change Tracker. </w:t>
      </w:r>
    </w:p>
    <w:p w14:paraId="5A3EC7DB" w14:textId="2D8947E1" w:rsidR="00A3644C" w:rsidRPr="00A21682" w:rsidRDefault="00663E6D" w:rsidP="0048121B">
      <w:pPr>
        <w:pStyle w:val="NormalNEW"/>
        <w:rPr>
          <w:lang w:val="en-US"/>
        </w:rPr>
      </w:pPr>
      <w:r>
        <w:rPr>
          <w:lang w:val="en-US"/>
        </w:rPr>
        <w:t xml:space="preserve">Refer to Section 7 Quality Management Plan for more details on final dispositioning of DEDs/Deliverables. </w:t>
      </w:r>
    </w:p>
    <w:p w14:paraId="0639BA3A" w14:textId="51600D30" w:rsidR="00A81D91" w:rsidRPr="00A21682" w:rsidRDefault="00A81D91">
      <w:pPr>
        <w:pStyle w:val="Heading3"/>
      </w:pPr>
      <w:bookmarkStart w:id="3153" w:name="_Toc151106841"/>
      <w:bookmarkStart w:id="3154" w:name="_Toc177119249"/>
      <w:bookmarkStart w:id="3155" w:name="_Toc185952688"/>
      <w:bookmarkStart w:id="3156" w:name="_Toc192874851"/>
      <w:r>
        <w:t>Deliverable Approval Criteria</w:t>
      </w:r>
      <w:bookmarkEnd w:id="3153"/>
      <w:bookmarkEnd w:id="3154"/>
      <w:bookmarkEnd w:id="3155"/>
      <w:bookmarkEnd w:id="3156"/>
    </w:p>
    <w:p w14:paraId="6FA9E862" w14:textId="1419529E" w:rsidR="00A81D91" w:rsidRPr="00A21682" w:rsidRDefault="00A81D91" w:rsidP="00DB20B7">
      <w:pPr>
        <w:pStyle w:val="NormalNEW"/>
        <w:rPr>
          <w:lang w:val="en-US"/>
        </w:rPr>
      </w:pPr>
      <w:r>
        <w:rPr>
          <w:lang w:val="en-US"/>
        </w:rPr>
        <w:t>The following baseline criteria are used to determine the approval of deliverables. Further acceptance criteria may be referenced in the deliverable itself.</w:t>
      </w:r>
    </w:p>
    <w:p w14:paraId="6444E2F9" w14:textId="6CE6A987" w:rsidR="00A81D91" w:rsidRPr="00A21682" w:rsidRDefault="00A81D91" w:rsidP="0031550A">
      <w:pPr>
        <w:pStyle w:val="BulletNEW"/>
      </w:pPr>
      <w:r>
        <w:t>The deliverable should address and be consistent with the criteria identified in the DED as presented to and approved by DOH OHIP, in preparation for development of the deliverable</w:t>
      </w:r>
    </w:p>
    <w:p w14:paraId="41C44F89" w14:textId="0ED7AF50" w:rsidR="00A81D91" w:rsidRPr="00A21682" w:rsidRDefault="00A81D91" w:rsidP="0031550A">
      <w:pPr>
        <w:pStyle w:val="BulletNEW"/>
      </w:pPr>
      <w:r>
        <w:t xml:space="preserve">All required documentation, as specified by DOH OHIP is delivered according to the accepted Work Plan </w:t>
      </w:r>
    </w:p>
    <w:p w14:paraId="232C15E2" w14:textId="77777777" w:rsidR="00A81D91" w:rsidRPr="00A21682" w:rsidRDefault="00A81D91" w:rsidP="0031550A">
      <w:pPr>
        <w:pStyle w:val="BulletNEW"/>
      </w:pPr>
      <w:r>
        <w:lastRenderedPageBreak/>
        <w:t>Deliverable documents should be organized in a structured manner and be professional in presentation</w:t>
      </w:r>
    </w:p>
    <w:p w14:paraId="6D505425" w14:textId="77777777" w:rsidR="00A81D91" w:rsidRPr="00A21682" w:rsidRDefault="00A81D91" w:rsidP="0031550A">
      <w:pPr>
        <w:pStyle w:val="BulletNEW"/>
      </w:pPr>
      <w:r>
        <w:t>Deliverable documents should adhere to leading practices and be consistent in style and quality</w:t>
      </w:r>
    </w:p>
    <w:p w14:paraId="3DB8EF80" w14:textId="44D39051" w:rsidR="00A81D91" w:rsidRPr="00A21682" w:rsidRDefault="00A81D91" w:rsidP="0031550A">
      <w:pPr>
        <w:pStyle w:val="BulletNEW"/>
      </w:pPr>
      <w:r>
        <w:t>The deliverable and related documents should undergo a thorough quality assurance review before submission</w:t>
      </w:r>
    </w:p>
    <w:p w14:paraId="7AC8D63E" w14:textId="59381139" w:rsidR="00A81D91" w:rsidRPr="00A21682" w:rsidRDefault="00A81D91" w:rsidP="0031550A">
      <w:pPr>
        <w:pStyle w:val="BulletNEW"/>
      </w:pPr>
      <w:r>
        <w:t xml:space="preserve">The </w:t>
      </w:r>
      <w:r>
        <w:rPr>
          <w:lang w:val="en-US"/>
        </w:rPr>
        <w:t xml:space="preserve">DED/Deliverable </w:t>
      </w:r>
      <w:r>
        <w:t>shall be developed and submitted through the Formal Deliverable Review Process, as outlined in the PMP, and agreed upon by ███████ and DOH OHIP</w:t>
      </w:r>
    </w:p>
    <w:p w14:paraId="56ADB6B4" w14:textId="06023CAB" w:rsidR="00E0104B" w:rsidRPr="00A21682" w:rsidRDefault="00E0104B" w:rsidP="00E0104B">
      <w:pPr>
        <w:pStyle w:val="Heading2"/>
      </w:pPr>
      <w:bookmarkStart w:id="3157" w:name="_Toc192874852"/>
      <w:r>
        <w:t>Design Document Deliverable Management Approach</w:t>
      </w:r>
      <w:bookmarkEnd w:id="3157"/>
      <w:r>
        <w:t xml:space="preserve"> </w:t>
      </w:r>
    </w:p>
    <w:p w14:paraId="460F2FAA" w14:textId="4B0140AD" w:rsidR="002D37BB" w:rsidRPr="00A21682" w:rsidRDefault="002D37BB" w:rsidP="009471F4">
      <w:pPr>
        <w:pStyle w:val="NYBodyText"/>
        <w:rPr>
          <w:lang w:val="en-US"/>
        </w:rPr>
      </w:pPr>
      <w:r>
        <w:rPr>
          <w:lang w:val="en-US"/>
        </w:rPr>
        <w:t>Design documents are deliverables that provide comprehensive documentation that supports functional requirements. These documents enhance the system’s design, development, and operations. This approach outlines the process for developing, reviewing, and managing design documents within the project lifecycle. The documents are crafted, collaboratively reviewed, and thoroughly updated to reflect system requirements and feedback. By following a structured approach, the project team maintains high standards of quality and consistency, facilitating clear communication and alignment among all stakeholders. This section details the process flow, roles, and responsibilities involved in the submission and management of FDDs and related documentation, promoting an efficient workflow from initial planning to final approval.</w:t>
      </w:r>
    </w:p>
    <w:p w14:paraId="47F64C2B" w14:textId="0F01F39A" w:rsidR="00CE3B52" w:rsidRPr="00A21682" w:rsidRDefault="00CE3B52" w:rsidP="009471F4">
      <w:pPr>
        <w:pStyle w:val="NYBodyText"/>
        <w:rPr>
          <w:lang w:val="en-US"/>
        </w:rPr>
      </w:pPr>
      <w:r>
        <w:rPr>
          <w:lang w:val="en-US"/>
        </w:rPr>
        <w:t xml:space="preserve">The table below summarizes the types of MECM system design documentation, as well as the organization structure, format, and general purpose of each document type. </w:t>
      </w:r>
    </w:p>
    <w:tbl>
      <w:tblPr>
        <w:tblStyle w:val="TableGrid"/>
        <w:tblW w:w="9355" w:type="dxa"/>
        <w:tblLook w:val="04A0" w:firstRow="1" w:lastRow="0" w:firstColumn="1" w:lastColumn="0" w:noHBand="0" w:noVBand="1"/>
      </w:tblPr>
      <w:tblGrid>
        <w:gridCol w:w="1423"/>
        <w:gridCol w:w="1620"/>
        <w:gridCol w:w="1710"/>
        <w:gridCol w:w="4602"/>
      </w:tblGrid>
      <w:tr w:rsidR="0013350E" w:rsidRPr="00A21682" w14:paraId="052FF66D" w14:textId="77777777" w:rsidTr="00D87EFA">
        <w:trPr>
          <w:tblHeader/>
        </w:trPr>
        <w:tc>
          <w:tcPr>
            <w:tcW w:w="1423" w:type="dxa"/>
            <w:tcBorders>
              <w:right w:val="single" w:sz="4" w:space="0" w:color="FFFFFF" w:themeColor="background1"/>
            </w:tcBorders>
            <w:shd w:val="clear" w:color="auto" w:fill="000000" w:themeFill="text1"/>
          </w:tcPr>
          <w:p w14:paraId="2800BB36" w14:textId="3D158D97" w:rsidR="0013350E" w:rsidRPr="00A21682" w:rsidRDefault="007625B2" w:rsidP="000B7ED2">
            <w:pPr>
              <w:pStyle w:val="BodyText0"/>
              <w:spacing w:before="60" w:after="60"/>
              <w:rPr>
                <w:b/>
                <w:color w:val="FFFFFF" w:themeColor="background1"/>
                <w:sz w:val="18"/>
                <w:lang w:val="en-US"/>
              </w:rPr>
            </w:pPr>
            <w:r>
              <w:rPr>
                <w:b/>
                <w:color w:val="FFFFFF" w:themeColor="background1"/>
                <w:sz w:val="18"/>
                <w:lang w:val="en-US"/>
              </w:rPr>
              <w:t>Design Document Type</w:t>
            </w:r>
          </w:p>
        </w:tc>
        <w:tc>
          <w:tcPr>
            <w:tcW w:w="1620" w:type="dxa"/>
            <w:tcBorders>
              <w:left w:val="single" w:sz="4" w:space="0" w:color="FFFFFF" w:themeColor="background1"/>
              <w:right w:val="single" w:sz="4" w:space="0" w:color="FFFFFF" w:themeColor="background1"/>
            </w:tcBorders>
            <w:shd w:val="clear" w:color="auto" w:fill="000000" w:themeFill="text1"/>
          </w:tcPr>
          <w:p w14:paraId="3F1AC901" w14:textId="7EE5AA7A" w:rsidR="0013350E" w:rsidRPr="00A21682" w:rsidRDefault="007625B2" w:rsidP="000B7ED2">
            <w:pPr>
              <w:pStyle w:val="BodyText0"/>
              <w:spacing w:before="60" w:after="60"/>
              <w:rPr>
                <w:b/>
                <w:color w:val="FFFFFF" w:themeColor="background1"/>
                <w:sz w:val="18"/>
                <w:lang w:val="en-US"/>
              </w:rPr>
            </w:pPr>
            <w:r>
              <w:rPr>
                <w:b/>
                <w:color w:val="FFFFFF" w:themeColor="background1"/>
                <w:sz w:val="18"/>
                <w:lang w:val="en-US"/>
              </w:rPr>
              <w:t>Organized By</w:t>
            </w:r>
          </w:p>
        </w:tc>
        <w:tc>
          <w:tcPr>
            <w:tcW w:w="1710" w:type="dxa"/>
            <w:tcBorders>
              <w:left w:val="single" w:sz="4" w:space="0" w:color="FFFFFF" w:themeColor="background1"/>
              <w:right w:val="single" w:sz="4" w:space="0" w:color="FFFFFF" w:themeColor="background1"/>
            </w:tcBorders>
            <w:shd w:val="clear" w:color="auto" w:fill="000000" w:themeFill="text1"/>
          </w:tcPr>
          <w:p w14:paraId="019E02A9" w14:textId="4BC9F53E" w:rsidR="0013350E" w:rsidRPr="00A21682" w:rsidRDefault="007625B2" w:rsidP="000B7ED2">
            <w:pPr>
              <w:pStyle w:val="BodyText0"/>
              <w:spacing w:before="60" w:after="60"/>
              <w:rPr>
                <w:b/>
                <w:color w:val="FFFFFF" w:themeColor="background1"/>
                <w:sz w:val="18"/>
                <w:lang w:val="en-US"/>
              </w:rPr>
            </w:pPr>
            <w:r>
              <w:rPr>
                <w:b/>
                <w:color w:val="FFFFFF" w:themeColor="background1"/>
                <w:sz w:val="18"/>
                <w:lang w:val="en-US"/>
              </w:rPr>
              <w:t>Format(s)</w:t>
            </w:r>
          </w:p>
        </w:tc>
        <w:tc>
          <w:tcPr>
            <w:tcW w:w="4602" w:type="dxa"/>
            <w:tcBorders>
              <w:left w:val="single" w:sz="4" w:space="0" w:color="FFFFFF" w:themeColor="background1"/>
            </w:tcBorders>
            <w:shd w:val="clear" w:color="auto" w:fill="000000" w:themeFill="text1"/>
          </w:tcPr>
          <w:p w14:paraId="25D8B1F6" w14:textId="1DD22D28" w:rsidR="0013350E" w:rsidRPr="00A21682" w:rsidRDefault="007625B2" w:rsidP="000B7ED2">
            <w:pPr>
              <w:pStyle w:val="BodyText0"/>
              <w:spacing w:before="60" w:after="60"/>
              <w:rPr>
                <w:b/>
                <w:color w:val="FFFFFF" w:themeColor="background1"/>
                <w:sz w:val="18"/>
                <w:lang w:val="en-US"/>
              </w:rPr>
            </w:pPr>
            <w:r>
              <w:rPr>
                <w:b/>
                <w:color w:val="FFFFFF" w:themeColor="background1"/>
                <w:sz w:val="18"/>
                <w:lang w:val="en-US"/>
              </w:rPr>
              <w:t>Purpose</w:t>
            </w:r>
          </w:p>
        </w:tc>
      </w:tr>
      <w:tr w:rsidR="0013350E" w:rsidRPr="00A21682" w14:paraId="57BB4E32" w14:textId="77777777" w:rsidTr="00D87EFA">
        <w:tc>
          <w:tcPr>
            <w:tcW w:w="1423" w:type="dxa"/>
          </w:tcPr>
          <w:p w14:paraId="474B1BC1" w14:textId="761C0565" w:rsidR="0013350E" w:rsidRPr="00A21682" w:rsidRDefault="00BF3113" w:rsidP="000B7ED2">
            <w:pPr>
              <w:spacing w:before="60" w:after="60" w:line="240" w:lineRule="atLeast"/>
              <w:rPr>
                <w:sz w:val="18"/>
              </w:rPr>
            </w:pPr>
            <w:r>
              <w:rPr>
                <w:rFonts w:ascii="Verdana" w:hAnsi="Verdana"/>
                <w:sz w:val="18"/>
                <w:szCs w:val="18"/>
              </w:rPr>
              <w:t>Iteration 1 &amp; 2 FDDs</w:t>
            </w:r>
          </w:p>
        </w:tc>
        <w:tc>
          <w:tcPr>
            <w:tcW w:w="1620" w:type="dxa"/>
          </w:tcPr>
          <w:p w14:paraId="2774918B" w14:textId="625331BE" w:rsidR="0013350E" w:rsidRPr="00A21682" w:rsidRDefault="00BF3113" w:rsidP="000B7ED2">
            <w:pPr>
              <w:spacing w:before="60" w:after="60" w:line="240" w:lineRule="atLeast"/>
              <w:rPr>
                <w:sz w:val="18"/>
              </w:rPr>
            </w:pPr>
            <w:r>
              <w:rPr>
                <w:rFonts w:ascii="Verdana" w:hAnsi="Verdana"/>
                <w:sz w:val="18"/>
                <w:szCs w:val="18"/>
              </w:rPr>
              <w:t>Track/System Module</w:t>
            </w:r>
          </w:p>
        </w:tc>
        <w:tc>
          <w:tcPr>
            <w:tcW w:w="1710" w:type="dxa"/>
          </w:tcPr>
          <w:p w14:paraId="3E005C29" w14:textId="242CFD4A" w:rsidR="0013350E" w:rsidRPr="00A21682" w:rsidRDefault="008C0E57" w:rsidP="000B7ED2">
            <w:pPr>
              <w:spacing w:before="60" w:after="60" w:line="240" w:lineRule="atLeast"/>
              <w:rPr>
                <w:sz w:val="18"/>
              </w:rPr>
            </w:pPr>
            <w:r>
              <w:rPr>
                <w:rFonts w:ascii="Verdana" w:hAnsi="Verdana"/>
                <w:sz w:val="18"/>
                <w:szCs w:val="18"/>
              </w:rPr>
              <w:t>Word Docs</w:t>
            </w:r>
          </w:p>
        </w:tc>
        <w:tc>
          <w:tcPr>
            <w:tcW w:w="4602" w:type="dxa"/>
          </w:tcPr>
          <w:p w14:paraId="2EDC627E" w14:textId="70AF780D" w:rsidR="0013350E" w:rsidRPr="00A21682" w:rsidRDefault="008C0E57" w:rsidP="000B7ED2">
            <w:pPr>
              <w:spacing w:before="60" w:after="60" w:line="240" w:lineRule="atLeast"/>
              <w:rPr>
                <w:sz w:val="18"/>
              </w:rPr>
            </w:pPr>
            <w:r>
              <w:rPr>
                <w:rFonts w:ascii="Verdana" w:hAnsi="Verdana"/>
                <w:sz w:val="18"/>
                <w:szCs w:val="18"/>
              </w:rPr>
              <w:t>These documents contain narrative and functional design specifications only for the scope belonging to a specific track within a specific iteration.</w:t>
            </w:r>
          </w:p>
        </w:tc>
      </w:tr>
      <w:tr w:rsidR="0013350E" w:rsidRPr="00A21682" w14:paraId="7038A549" w14:textId="77777777" w:rsidTr="00D87EFA">
        <w:tc>
          <w:tcPr>
            <w:tcW w:w="1423" w:type="dxa"/>
          </w:tcPr>
          <w:p w14:paraId="5207BAF8" w14:textId="2CA822DC" w:rsidR="0013350E" w:rsidRPr="00A21682" w:rsidRDefault="00BF3113" w:rsidP="000B7ED2">
            <w:pPr>
              <w:spacing w:before="60" w:after="60" w:line="240" w:lineRule="atLeast"/>
              <w:rPr>
                <w:sz w:val="18"/>
              </w:rPr>
            </w:pPr>
            <w:r>
              <w:rPr>
                <w:rFonts w:ascii="Verdana" w:hAnsi="Verdana"/>
                <w:sz w:val="18"/>
                <w:szCs w:val="18"/>
              </w:rPr>
              <w:t>Integrated JAD Topic FDDs</w:t>
            </w:r>
          </w:p>
        </w:tc>
        <w:tc>
          <w:tcPr>
            <w:tcW w:w="1620" w:type="dxa"/>
          </w:tcPr>
          <w:p w14:paraId="0D9C8B99" w14:textId="494E2DC9" w:rsidR="0013350E" w:rsidRPr="00A21682" w:rsidRDefault="00BF3113" w:rsidP="000B7ED2">
            <w:pPr>
              <w:spacing w:before="60" w:after="60" w:line="240" w:lineRule="atLeast"/>
              <w:rPr>
                <w:sz w:val="18"/>
              </w:rPr>
            </w:pPr>
            <w:r>
              <w:rPr>
                <w:rFonts w:ascii="Verdana" w:hAnsi="Verdana"/>
                <w:sz w:val="18"/>
                <w:szCs w:val="18"/>
              </w:rPr>
              <w:t>Topic, as defined as a holistic, cross-track bundle approach</w:t>
            </w:r>
          </w:p>
        </w:tc>
        <w:tc>
          <w:tcPr>
            <w:tcW w:w="1710" w:type="dxa"/>
          </w:tcPr>
          <w:p w14:paraId="49A41558" w14:textId="6CFDCFFB" w:rsidR="0013350E" w:rsidRPr="00A21682" w:rsidRDefault="008C0E57" w:rsidP="000B7ED2">
            <w:pPr>
              <w:spacing w:before="60" w:after="60" w:line="240" w:lineRule="atLeast"/>
              <w:rPr>
                <w:sz w:val="18"/>
              </w:rPr>
            </w:pPr>
            <w:r>
              <w:rPr>
                <w:rFonts w:ascii="Verdana" w:hAnsi="Verdana"/>
                <w:sz w:val="18"/>
                <w:szCs w:val="18"/>
              </w:rPr>
              <w:t>Word Docs</w:t>
            </w:r>
          </w:p>
        </w:tc>
        <w:tc>
          <w:tcPr>
            <w:tcW w:w="4602" w:type="dxa"/>
          </w:tcPr>
          <w:p w14:paraId="169D72A7" w14:textId="77777777" w:rsidR="008C0E57" w:rsidRPr="00A21682" w:rsidRDefault="008C0E57" w:rsidP="000B7ED2">
            <w:pPr>
              <w:spacing w:before="60" w:after="60" w:line="240" w:lineRule="atLeast"/>
              <w:rPr>
                <w:szCs w:val="18"/>
              </w:rPr>
            </w:pPr>
            <w:r>
              <w:rPr>
                <w:rFonts w:ascii="Verdana" w:hAnsi="Verdana"/>
                <w:sz w:val="18"/>
                <w:szCs w:val="18"/>
              </w:rPr>
              <w:t>These documents contain narrative and functional design specifications for each business process. Each business process is described chronologically in the same order that users would experience the system, across every system track that supports the process.</w:t>
            </w:r>
          </w:p>
          <w:p w14:paraId="36D3A39E" w14:textId="261D39F3" w:rsidR="0013350E" w:rsidRPr="00A21682" w:rsidRDefault="008C0E57" w:rsidP="000B7ED2">
            <w:pPr>
              <w:spacing w:before="60" w:after="60" w:line="240" w:lineRule="atLeast"/>
              <w:rPr>
                <w:sz w:val="18"/>
              </w:rPr>
            </w:pPr>
            <w:r>
              <w:rPr>
                <w:rFonts w:ascii="Verdana" w:hAnsi="Verdana"/>
                <w:sz w:val="18"/>
                <w:szCs w:val="18"/>
              </w:rPr>
              <w:t>This supports ease of understanding the holistic system design, the user experience, and outcomes in different business scenarios. These documents are more business focused than technical.</w:t>
            </w:r>
          </w:p>
        </w:tc>
      </w:tr>
      <w:tr w:rsidR="0013350E" w:rsidRPr="00A21682" w14:paraId="1A431024" w14:textId="77777777" w:rsidTr="00D87EFA">
        <w:tc>
          <w:tcPr>
            <w:tcW w:w="1423" w:type="dxa"/>
          </w:tcPr>
          <w:p w14:paraId="05C03642" w14:textId="1D12F119" w:rsidR="0013350E" w:rsidRPr="00A21682" w:rsidRDefault="004D7ECB" w:rsidP="000B7ED2">
            <w:pPr>
              <w:spacing w:before="60" w:after="60" w:line="240" w:lineRule="atLeast"/>
              <w:rPr>
                <w:sz w:val="18"/>
              </w:rPr>
            </w:pPr>
            <w:r>
              <w:rPr>
                <w:rFonts w:ascii="Verdana" w:hAnsi="Verdana"/>
                <w:sz w:val="18"/>
                <w:szCs w:val="18"/>
              </w:rPr>
              <w:t>Component-Level Specification Documents</w:t>
            </w:r>
          </w:p>
        </w:tc>
        <w:tc>
          <w:tcPr>
            <w:tcW w:w="1620" w:type="dxa"/>
          </w:tcPr>
          <w:p w14:paraId="39EE2724" w14:textId="7AB81B94" w:rsidR="0013350E" w:rsidRPr="00A21682" w:rsidRDefault="004D7ECB" w:rsidP="000B7ED2">
            <w:pPr>
              <w:spacing w:before="60" w:after="60" w:line="240" w:lineRule="atLeast"/>
              <w:rPr>
                <w:sz w:val="18"/>
              </w:rPr>
            </w:pPr>
            <w:r>
              <w:rPr>
                <w:rFonts w:ascii="Verdana" w:hAnsi="Verdana"/>
                <w:sz w:val="18"/>
                <w:szCs w:val="18"/>
              </w:rPr>
              <w:t>Track/System Module</w:t>
            </w:r>
          </w:p>
        </w:tc>
        <w:tc>
          <w:tcPr>
            <w:tcW w:w="1710" w:type="dxa"/>
          </w:tcPr>
          <w:p w14:paraId="00606D85" w14:textId="0406F242" w:rsidR="0013350E" w:rsidRPr="00A21682" w:rsidRDefault="004D7ECB" w:rsidP="000B7ED2">
            <w:pPr>
              <w:spacing w:before="60" w:after="60" w:line="240" w:lineRule="atLeast"/>
              <w:rPr>
                <w:sz w:val="18"/>
              </w:rPr>
            </w:pPr>
            <w:r>
              <w:rPr>
                <w:rFonts w:ascii="Verdana" w:hAnsi="Verdana"/>
                <w:sz w:val="18"/>
                <w:szCs w:val="18"/>
              </w:rPr>
              <w:t>Excel, Word Docs</w:t>
            </w:r>
          </w:p>
        </w:tc>
        <w:tc>
          <w:tcPr>
            <w:tcW w:w="4602" w:type="dxa"/>
          </w:tcPr>
          <w:p w14:paraId="619DECC1" w14:textId="77777777" w:rsidR="009E5DB9" w:rsidRPr="00A21682" w:rsidRDefault="009E5DB9" w:rsidP="000B7ED2">
            <w:pPr>
              <w:spacing w:before="60" w:after="60" w:line="240" w:lineRule="atLeast"/>
              <w:rPr>
                <w:szCs w:val="18"/>
              </w:rPr>
            </w:pPr>
            <w:r>
              <w:rPr>
                <w:rFonts w:ascii="Verdana" w:hAnsi="Verdana"/>
                <w:sz w:val="18"/>
                <w:szCs w:val="18"/>
              </w:rPr>
              <w:t>These detailed specification documents are referenced in the FDDs and define how each individual component of the MECM system (e.g., each screen, notice, etc.) works in isolation.</w:t>
            </w:r>
          </w:p>
          <w:p w14:paraId="0E5627D7" w14:textId="6A960774" w:rsidR="0013350E" w:rsidRPr="00A21682" w:rsidRDefault="002A78EF" w:rsidP="000B7ED2">
            <w:pPr>
              <w:spacing w:before="60" w:after="60" w:line="240" w:lineRule="atLeast"/>
              <w:rPr>
                <w:sz w:val="18"/>
              </w:rPr>
            </w:pPr>
            <w:r>
              <w:rPr>
                <w:rFonts w:ascii="Verdana" w:hAnsi="Verdana"/>
                <w:sz w:val="18"/>
                <w:szCs w:val="18"/>
              </w:rPr>
              <w:t xml:space="preserve">This supports ease of development, maintenance, and operation of the system. </w:t>
            </w:r>
            <w:r>
              <w:rPr>
                <w:rFonts w:ascii="Verdana" w:hAnsi="Verdana"/>
                <w:sz w:val="18"/>
                <w:szCs w:val="18"/>
              </w:rPr>
              <w:lastRenderedPageBreak/>
              <w:t>These documents capture technical details that supplement the FDDs.</w:t>
            </w:r>
          </w:p>
        </w:tc>
      </w:tr>
      <w:tr w:rsidR="00CE4D13" w:rsidRPr="00A21682" w14:paraId="39AAC4AB" w14:textId="77777777" w:rsidTr="00D87EFA">
        <w:tc>
          <w:tcPr>
            <w:tcW w:w="1423" w:type="dxa"/>
          </w:tcPr>
          <w:p w14:paraId="3BCF49F4" w14:textId="664CD985" w:rsidR="00154652" w:rsidRPr="00A21682" w:rsidRDefault="00154652" w:rsidP="000B7ED2">
            <w:pPr>
              <w:spacing w:before="60" w:after="60" w:line="240" w:lineRule="atLeast"/>
              <w:rPr>
                <w:sz w:val="18"/>
              </w:rPr>
            </w:pPr>
            <w:r>
              <w:rPr>
                <w:rFonts w:ascii="Verdana" w:hAnsi="Verdana"/>
                <w:sz w:val="18"/>
                <w:szCs w:val="18"/>
              </w:rPr>
              <w:t>Interface Control Documents (ICDs)</w:t>
            </w:r>
          </w:p>
        </w:tc>
        <w:tc>
          <w:tcPr>
            <w:tcW w:w="1620" w:type="dxa"/>
          </w:tcPr>
          <w:p w14:paraId="1A54F45A" w14:textId="2D41C23F" w:rsidR="00154652" w:rsidRPr="00A21682" w:rsidRDefault="00154652" w:rsidP="000B7ED2">
            <w:pPr>
              <w:spacing w:before="60" w:after="60" w:line="240" w:lineRule="atLeast"/>
              <w:rPr>
                <w:sz w:val="18"/>
              </w:rPr>
            </w:pPr>
            <w:r>
              <w:rPr>
                <w:rFonts w:ascii="Verdana" w:hAnsi="Verdana"/>
                <w:sz w:val="18"/>
                <w:szCs w:val="18"/>
              </w:rPr>
              <w:t>System Interface</w:t>
            </w:r>
          </w:p>
        </w:tc>
        <w:tc>
          <w:tcPr>
            <w:tcW w:w="1710" w:type="dxa"/>
          </w:tcPr>
          <w:p w14:paraId="482EEAF3" w14:textId="4EC5B930" w:rsidR="00154652" w:rsidRPr="00A21682" w:rsidRDefault="00154652" w:rsidP="000B7ED2">
            <w:pPr>
              <w:spacing w:before="60" w:after="60" w:line="240" w:lineRule="atLeast"/>
              <w:rPr>
                <w:sz w:val="18"/>
              </w:rPr>
            </w:pPr>
            <w:r>
              <w:rPr>
                <w:rFonts w:ascii="Verdana" w:hAnsi="Verdana"/>
                <w:sz w:val="18"/>
                <w:szCs w:val="18"/>
              </w:rPr>
              <w:t>Word Docs</w:t>
            </w:r>
          </w:p>
        </w:tc>
        <w:tc>
          <w:tcPr>
            <w:tcW w:w="4602" w:type="dxa"/>
          </w:tcPr>
          <w:p w14:paraId="4AF84657" w14:textId="22D1B63B" w:rsidR="00154652" w:rsidRPr="00A21682" w:rsidRDefault="00154652" w:rsidP="000B7ED2">
            <w:pPr>
              <w:spacing w:before="60" w:after="60" w:line="240" w:lineRule="atLeast"/>
              <w:rPr>
                <w:sz w:val="18"/>
              </w:rPr>
            </w:pPr>
            <w:r>
              <w:rPr>
                <w:rFonts w:ascii="Verdana" w:hAnsi="Verdana"/>
                <w:sz w:val="18"/>
                <w:szCs w:val="18"/>
              </w:rPr>
              <w:t>These documents describe the relationship between the MECM system and the designated trading partner interface. ICDs specify the interface requirements to be met by the participating systems and how those requirements will be implemented. The ICD also describes the concept of operations for the interface, defines the message structure and protocols that govern the interchange of data, and identifies the communication paths or modes along which the data is expected to flow.</w:t>
            </w:r>
          </w:p>
        </w:tc>
      </w:tr>
    </w:tbl>
    <w:p w14:paraId="702269BE" w14:textId="2397FE70" w:rsidR="004418B3" w:rsidRPr="00A21682" w:rsidRDefault="003610B0" w:rsidP="000B7ED2">
      <w:pPr>
        <w:pStyle w:val="Caption"/>
        <w:rPr>
          <w:noProof w:val="0"/>
        </w:rPr>
      </w:pPr>
      <w:bookmarkStart w:id="3158" w:name="_Toc19287518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5</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Summary of MECM Design Documentation</w:t>
      </w:r>
      <w:bookmarkEnd w:id="3158"/>
    </w:p>
    <w:p w14:paraId="69E6AB0D" w14:textId="43F1C440" w:rsidR="00882A3B" w:rsidRPr="00A21682" w:rsidRDefault="00942461" w:rsidP="00EF3AEE">
      <w:pPr>
        <w:pStyle w:val="Heading3"/>
      </w:pPr>
      <w:bookmarkStart w:id="3159" w:name="_Toc192874853"/>
      <w:bookmarkStart w:id="3160" w:name="_Toc177119251"/>
      <w:bookmarkStart w:id="3161" w:name="_Toc185952690"/>
      <w:r>
        <w:t>Design Document DED/Deliverable Management Process Flow</w:t>
      </w:r>
      <w:bookmarkEnd w:id="3159"/>
      <w:r>
        <w:t xml:space="preserve"> </w:t>
      </w:r>
      <w:bookmarkEnd w:id="3160"/>
      <w:bookmarkEnd w:id="3161"/>
    </w:p>
    <w:p w14:paraId="3A7D11E4" w14:textId="10430BE0" w:rsidR="0014325C" w:rsidRPr="00A21682" w:rsidRDefault="005E5D24" w:rsidP="0091361F">
      <w:pPr>
        <w:pStyle w:val="NormalNEW"/>
        <w:rPr>
          <w:lang w:val="en-US"/>
        </w:rPr>
      </w:pPr>
      <w:r>
        <w:rPr>
          <w:lang w:val="en-US"/>
        </w:rPr>
        <w:t xml:space="preserve">The Design Document DEDs follow the same process as Non-Design DEDs. Refer to Section 5.4.1 for the DED Management Process Flow. Design Document Deliverables deviate from this process flow and have different responsibilities as well. </w:t>
      </w:r>
    </w:p>
    <w:p w14:paraId="458B14AC" w14:textId="0620F656" w:rsidR="005E5D24" w:rsidRPr="00A21682" w:rsidRDefault="005E5D24" w:rsidP="0091361F">
      <w:pPr>
        <w:pStyle w:val="NormalNEW"/>
        <w:rPr>
          <w:lang w:val="en-US"/>
        </w:rPr>
      </w:pPr>
      <w:r>
        <w:rPr>
          <w:lang w:val="en-US"/>
        </w:rPr>
        <w:t>Link to Process Flow: Design Document Development Process</w:t>
      </w:r>
    </w:p>
    <w:p w14:paraId="58BEA883" w14:textId="57F786E0" w:rsidR="00974912" w:rsidRPr="00A21682" w:rsidRDefault="00AD7E35" w:rsidP="00DA1CA5">
      <w:pPr>
        <w:pStyle w:val="Heading3"/>
      </w:pPr>
      <w:bookmarkStart w:id="3162" w:name="_Toc185949126"/>
      <w:bookmarkStart w:id="3163" w:name="_Toc186884710"/>
      <w:bookmarkStart w:id="3164" w:name="_Toc187428452"/>
      <w:bookmarkStart w:id="3165" w:name="_Toc188450828"/>
      <w:bookmarkStart w:id="3166" w:name="_Toc188619722"/>
      <w:bookmarkStart w:id="3167" w:name="_Toc177119252"/>
      <w:bookmarkStart w:id="3168" w:name="_Toc185952691"/>
      <w:bookmarkStart w:id="3169" w:name="_Toc192874854"/>
      <w:bookmarkEnd w:id="3162"/>
      <w:bookmarkEnd w:id="3163"/>
      <w:bookmarkEnd w:id="3164"/>
      <w:bookmarkEnd w:id="3165"/>
      <w:bookmarkEnd w:id="3166"/>
      <w:r>
        <w:t xml:space="preserve">Design Document DED/Deliverable Management Process Flow </w:t>
      </w:r>
      <w:bookmarkEnd w:id="3167"/>
      <w:bookmarkEnd w:id="3168"/>
      <w:r>
        <w:t>Narrative</w:t>
      </w:r>
      <w:bookmarkEnd w:id="3169"/>
    </w:p>
    <w:p w14:paraId="057955E1" w14:textId="74BAFAF6" w:rsidR="0029662A" w:rsidRPr="00A21682" w:rsidRDefault="00A13A18" w:rsidP="00A13A18">
      <w:pPr>
        <w:rPr>
          <w:rStyle w:val="Hyperlink"/>
          <w:rFonts w:ascii="Verdana" w:hAnsi="Verdana"/>
          <w:color w:val="auto"/>
          <w:sz w:val="18"/>
          <w:szCs w:val="18"/>
          <w:u w:val="none"/>
        </w:rPr>
      </w:pPr>
      <w:r>
        <w:rPr>
          <w:rFonts w:ascii="Verdana" w:hAnsi="Verdana"/>
          <w:sz w:val="18"/>
          <w:szCs w:val="18"/>
        </w:rPr>
        <w:t>Refer to Section 5.4.2 for the process flow narrative for Non-Design DED Management Process Flow for DEDs. The narrative for Design Document Deliverables is detailed further in Table 5-5:</w:t>
      </w:r>
    </w:p>
    <w:p w14:paraId="52A86AC8" w14:textId="77777777" w:rsidR="00FB5A43" w:rsidRPr="00A21682" w:rsidRDefault="00FB5A43" w:rsidP="00A13A18">
      <w:pPr>
        <w:rPr>
          <w:rStyle w:val="Hyperlink"/>
          <w:rFonts w:ascii="Verdana" w:hAnsi="Verdana"/>
          <w:sz w:val="18"/>
          <w:szCs w:val="18"/>
        </w:rPr>
      </w:pPr>
    </w:p>
    <w:tbl>
      <w:tblPr>
        <w:tblStyle w:val="TableGrid"/>
        <w:tblW w:w="9363" w:type="dxa"/>
        <w:tblLayout w:type="fixed"/>
        <w:tblLook w:val="04A0" w:firstRow="1" w:lastRow="0" w:firstColumn="1" w:lastColumn="0" w:noHBand="0" w:noVBand="1"/>
      </w:tblPr>
      <w:tblGrid>
        <w:gridCol w:w="845"/>
        <w:gridCol w:w="10"/>
        <w:gridCol w:w="2311"/>
        <w:gridCol w:w="10"/>
        <w:gridCol w:w="4243"/>
        <w:gridCol w:w="1944"/>
      </w:tblGrid>
      <w:tr w:rsidR="00251920" w:rsidRPr="00A21682" w14:paraId="2B24764B" w14:textId="77777777" w:rsidTr="00BD0DC6">
        <w:trPr>
          <w:trHeight w:val="300"/>
          <w:tblHeader/>
        </w:trPr>
        <w:tc>
          <w:tcPr>
            <w:tcW w:w="855" w:type="dxa"/>
            <w:gridSpan w:val="2"/>
            <w:tcBorders>
              <w:right w:val="single" w:sz="4" w:space="0" w:color="F2F2F2" w:themeColor="background1" w:themeShade="F2"/>
            </w:tcBorders>
            <w:shd w:val="clear" w:color="auto" w:fill="000000" w:themeFill="text1"/>
            <w:tcMar>
              <w:top w:w="43" w:type="dxa"/>
              <w:left w:w="43" w:type="dxa"/>
              <w:bottom w:w="43" w:type="dxa"/>
              <w:right w:w="43" w:type="dxa"/>
            </w:tcMar>
          </w:tcPr>
          <w:p w14:paraId="486A8A58" w14:textId="77777777" w:rsidR="00251920" w:rsidRPr="00A21682" w:rsidRDefault="00251920" w:rsidP="003610B0">
            <w:pPr>
              <w:spacing w:before="60" w:after="60"/>
            </w:pPr>
            <w:r>
              <w:rPr>
                <w:rFonts w:ascii="Verdana" w:eastAsia="Verdana" w:hAnsi="Verdana" w:cs="Verdana"/>
                <w:b/>
                <w:bCs/>
                <w:color w:val="FFFFFF" w:themeColor="background1"/>
                <w:sz w:val="18"/>
                <w:szCs w:val="18"/>
              </w:rPr>
              <w:t>Step #</w:t>
            </w:r>
          </w:p>
        </w:tc>
        <w:tc>
          <w:tcPr>
            <w:tcW w:w="2321" w:type="dxa"/>
            <w:gridSpan w:val="2"/>
            <w:tcBorders>
              <w:left w:val="single" w:sz="4" w:space="0" w:color="F2F2F2" w:themeColor="background1" w:themeShade="F2"/>
              <w:right w:val="single" w:sz="4" w:space="0" w:color="F2F2F2" w:themeColor="background1" w:themeShade="F2"/>
            </w:tcBorders>
            <w:shd w:val="clear" w:color="auto" w:fill="000000" w:themeFill="text1"/>
            <w:tcMar>
              <w:top w:w="43" w:type="dxa"/>
              <w:left w:w="43" w:type="dxa"/>
              <w:bottom w:w="43" w:type="dxa"/>
              <w:right w:w="43" w:type="dxa"/>
            </w:tcMar>
          </w:tcPr>
          <w:p w14:paraId="3A4A1CE6" w14:textId="77777777" w:rsidR="00251920" w:rsidRPr="00A21682" w:rsidRDefault="00251920" w:rsidP="003610B0">
            <w:pPr>
              <w:spacing w:before="60" w:after="60"/>
            </w:pPr>
            <w:r>
              <w:rPr>
                <w:rFonts w:ascii="Verdana" w:eastAsia="Verdana" w:hAnsi="Verdana" w:cs="Verdana"/>
                <w:b/>
                <w:bCs/>
                <w:color w:val="FFFFFF" w:themeColor="background1"/>
                <w:sz w:val="18"/>
                <w:szCs w:val="18"/>
              </w:rPr>
              <w:t>Process</w:t>
            </w:r>
          </w:p>
        </w:tc>
        <w:tc>
          <w:tcPr>
            <w:tcW w:w="4243" w:type="dxa"/>
            <w:tcBorders>
              <w:left w:val="single" w:sz="4" w:space="0" w:color="F2F2F2" w:themeColor="background1" w:themeShade="F2"/>
              <w:right w:val="single" w:sz="4" w:space="0" w:color="F2F2F2" w:themeColor="background1" w:themeShade="F2"/>
            </w:tcBorders>
            <w:shd w:val="clear" w:color="auto" w:fill="000000" w:themeFill="text1"/>
            <w:tcMar>
              <w:top w:w="43" w:type="dxa"/>
              <w:left w:w="43" w:type="dxa"/>
              <w:bottom w:w="43" w:type="dxa"/>
              <w:right w:w="43" w:type="dxa"/>
            </w:tcMar>
          </w:tcPr>
          <w:p w14:paraId="48436F9B" w14:textId="77777777" w:rsidR="00251920" w:rsidRPr="00A21682" w:rsidRDefault="00251920" w:rsidP="003610B0">
            <w:pPr>
              <w:spacing w:before="60" w:after="60"/>
            </w:pPr>
            <w:r>
              <w:rPr>
                <w:rFonts w:ascii="Verdana" w:eastAsia="Verdana" w:hAnsi="Verdana" w:cs="Verdana"/>
                <w:b/>
                <w:bCs/>
                <w:color w:val="FFFFFF" w:themeColor="background1"/>
                <w:sz w:val="18"/>
                <w:szCs w:val="18"/>
              </w:rPr>
              <w:t>Description</w:t>
            </w:r>
          </w:p>
        </w:tc>
        <w:tc>
          <w:tcPr>
            <w:tcW w:w="1944" w:type="dxa"/>
            <w:tcBorders>
              <w:left w:val="single" w:sz="4" w:space="0" w:color="F2F2F2" w:themeColor="background1" w:themeShade="F2"/>
            </w:tcBorders>
            <w:shd w:val="clear" w:color="auto" w:fill="000000" w:themeFill="text1"/>
            <w:tcMar>
              <w:top w:w="43" w:type="dxa"/>
              <w:left w:w="43" w:type="dxa"/>
              <w:bottom w:w="43" w:type="dxa"/>
              <w:right w:w="43" w:type="dxa"/>
            </w:tcMar>
          </w:tcPr>
          <w:p w14:paraId="5E1D7528" w14:textId="77777777" w:rsidR="00251920" w:rsidRPr="00A21682" w:rsidRDefault="00251920" w:rsidP="003610B0">
            <w:pPr>
              <w:spacing w:before="60" w:after="60"/>
            </w:pPr>
            <w:r>
              <w:rPr>
                <w:rFonts w:ascii="Verdana" w:eastAsia="Verdana" w:hAnsi="Verdana" w:cs="Verdana"/>
                <w:b/>
                <w:bCs/>
                <w:color w:val="FFFFFF" w:themeColor="background1"/>
                <w:sz w:val="18"/>
                <w:szCs w:val="18"/>
              </w:rPr>
              <w:t>Stakeholder Group(s)</w:t>
            </w:r>
          </w:p>
        </w:tc>
      </w:tr>
      <w:tr w:rsidR="00251920" w:rsidRPr="00A21682" w14:paraId="076757D8" w14:textId="77777777" w:rsidTr="00BD0DC6">
        <w:trPr>
          <w:trHeight w:val="435"/>
        </w:trPr>
        <w:tc>
          <w:tcPr>
            <w:tcW w:w="845" w:type="dxa"/>
            <w:tcMar>
              <w:left w:w="58" w:type="dxa"/>
              <w:right w:w="58" w:type="dxa"/>
            </w:tcMar>
          </w:tcPr>
          <w:p w14:paraId="30DAF144" w14:textId="77777777" w:rsidR="00251920" w:rsidRPr="00A21682" w:rsidRDefault="00251920" w:rsidP="003610B0">
            <w:pPr>
              <w:spacing w:before="60" w:after="60"/>
            </w:pPr>
            <w:r>
              <w:rPr>
                <w:rFonts w:ascii="Verdana" w:eastAsia="Verdana" w:hAnsi="Verdana" w:cs="Verdana"/>
                <w:sz w:val="18"/>
                <w:szCs w:val="18"/>
              </w:rPr>
              <w:t>1.0</w:t>
            </w:r>
          </w:p>
        </w:tc>
        <w:tc>
          <w:tcPr>
            <w:tcW w:w="2321" w:type="dxa"/>
            <w:gridSpan w:val="2"/>
            <w:tcMar>
              <w:left w:w="58" w:type="dxa"/>
              <w:right w:w="58" w:type="dxa"/>
            </w:tcMar>
          </w:tcPr>
          <w:p w14:paraId="5A668542" w14:textId="77777777" w:rsidR="00251920" w:rsidRPr="00A21682" w:rsidRDefault="00251920" w:rsidP="003610B0">
            <w:pPr>
              <w:spacing w:before="60" w:after="60"/>
            </w:pPr>
            <w:r>
              <w:rPr>
                <w:rFonts w:ascii="Verdana" w:eastAsia="Verdana" w:hAnsi="Verdana" w:cs="Verdana"/>
                <w:sz w:val="18"/>
                <w:szCs w:val="18"/>
              </w:rPr>
              <w:t>Conduct meeting to align on expectations and QA/QC timeline for upcoming submission</w:t>
            </w:r>
          </w:p>
        </w:tc>
        <w:tc>
          <w:tcPr>
            <w:tcW w:w="4253" w:type="dxa"/>
            <w:gridSpan w:val="2"/>
            <w:tcMar>
              <w:left w:w="58" w:type="dxa"/>
              <w:right w:w="58" w:type="dxa"/>
            </w:tcMar>
          </w:tcPr>
          <w:p w14:paraId="2A1320BA" w14:textId="77777777" w:rsidR="00251920" w:rsidRPr="00A21682" w:rsidRDefault="00251920" w:rsidP="003610B0">
            <w:pPr>
              <w:spacing w:before="60" w:after="60"/>
            </w:pPr>
            <w:r>
              <w:rPr>
                <w:rFonts w:ascii="Verdana" w:eastAsia="Verdana" w:hAnsi="Verdana" w:cs="Verdana"/>
                <w:sz w:val="18"/>
                <w:szCs w:val="18"/>
              </w:rPr>
              <w:t xml:space="preserve">The ███████ track and ███████ PMO conduct a meeting to align on expectations and the QA/QC timeline for upcoming submission. </w:t>
            </w:r>
          </w:p>
        </w:tc>
        <w:tc>
          <w:tcPr>
            <w:tcW w:w="1944" w:type="dxa"/>
            <w:tcMar>
              <w:left w:w="58" w:type="dxa"/>
              <w:right w:w="58" w:type="dxa"/>
            </w:tcMar>
          </w:tcPr>
          <w:p w14:paraId="63445E88" w14:textId="77777777" w:rsidR="00251920" w:rsidRPr="00A21682" w:rsidRDefault="00251920" w:rsidP="0017416C">
            <w:pPr>
              <w:pStyle w:val="TABLEBULLETNEW"/>
            </w:pPr>
            <w:r>
              <w:t>███████ PMO</w:t>
            </w:r>
          </w:p>
          <w:p w14:paraId="3ADB3AB0" w14:textId="21B684D2" w:rsidR="00251920" w:rsidRPr="00A21682" w:rsidRDefault="007134E9" w:rsidP="0017416C">
            <w:pPr>
              <w:pStyle w:val="TABLEBULLETNEW"/>
            </w:pPr>
            <w:r>
              <w:t>Deloitte Track</w:t>
            </w:r>
          </w:p>
        </w:tc>
      </w:tr>
      <w:tr w:rsidR="00251920" w:rsidRPr="00A21682" w14:paraId="7BF54EE0" w14:textId="77777777" w:rsidTr="00BD0DC6">
        <w:trPr>
          <w:trHeight w:val="75"/>
        </w:trPr>
        <w:tc>
          <w:tcPr>
            <w:tcW w:w="845" w:type="dxa"/>
            <w:tcMar>
              <w:left w:w="58" w:type="dxa"/>
              <w:right w:w="58" w:type="dxa"/>
            </w:tcMar>
          </w:tcPr>
          <w:p w14:paraId="29028BB2" w14:textId="07614D5C" w:rsidR="00251920" w:rsidRPr="00A21682" w:rsidRDefault="00BB631B" w:rsidP="003610B0">
            <w:pPr>
              <w:spacing w:before="60" w:after="60"/>
            </w:pPr>
            <w:r>
              <w:rPr>
                <w:rFonts w:ascii="Verdana" w:eastAsia="Verdana" w:hAnsi="Verdana" w:cs="Verdana"/>
                <w:sz w:val="18"/>
                <w:szCs w:val="18"/>
              </w:rPr>
              <w:t>2.0</w:t>
            </w:r>
          </w:p>
        </w:tc>
        <w:tc>
          <w:tcPr>
            <w:tcW w:w="2321" w:type="dxa"/>
            <w:gridSpan w:val="2"/>
            <w:tcMar>
              <w:left w:w="58" w:type="dxa"/>
              <w:right w:w="58" w:type="dxa"/>
            </w:tcMar>
          </w:tcPr>
          <w:p w14:paraId="61B5F996" w14:textId="3D54F3FB" w:rsidR="00251920" w:rsidRPr="00A21682" w:rsidRDefault="00251920" w:rsidP="003610B0">
            <w:pPr>
              <w:spacing w:before="60" w:after="60"/>
            </w:pPr>
            <w:r>
              <w:rPr>
                <w:rFonts w:ascii="Verdana" w:eastAsia="Verdana" w:hAnsi="Verdana" w:cs="Verdana"/>
                <w:sz w:val="18"/>
                <w:szCs w:val="18"/>
              </w:rPr>
              <w:t>Complete Design Document draft</w:t>
            </w:r>
          </w:p>
        </w:tc>
        <w:tc>
          <w:tcPr>
            <w:tcW w:w="4253" w:type="dxa"/>
            <w:gridSpan w:val="2"/>
            <w:tcMar>
              <w:left w:w="58" w:type="dxa"/>
              <w:right w:w="58" w:type="dxa"/>
            </w:tcMar>
          </w:tcPr>
          <w:p w14:paraId="1D34EC1A" w14:textId="797F0413" w:rsidR="00251920" w:rsidRPr="00A21682" w:rsidRDefault="00251920" w:rsidP="003610B0">
            <w:pPr>
              <w:spacing w:before="60" w:after="60"/>
            </w:pPr>
            <w:r>
              <w:rPr>
                <w:rFonts w:ascii="Verdana" w:eastAsia="Verdana" w:hAnsi="Verdana" w:cs="Verdana"/>
                <w:sz w:val="18"/>
                <w:szCs w:val="18"/>
              </w:rPr>
              <w:t>The ███████ track completes the design document draft.</w:t>
            </w:r>
          </w:p>
        </w:tc>
        <w:tc>
          <w:tcPr>
            <w:tcW w:w="1944" w:type="dxa"/>
            <w:tcMar>
              <w:left w:w="58" w:type="dxa"/>
              <w:right w:w="58" w:type="dxa"/>
            </w:tcMar>
          </w:tcPr>
          <w:p w14:paraId="1252578C" w14:textId="2A2E64B5" w:rsidR="00251920" w:rsidRPr="00A21682" w:rsidRDefault="00251920" w:rsidP="0017416C">
            <w:pPr>
              <w:pStyle w:val="TABLEBULLETNEW"/>
            </w:pPr>
            <w:r>
              <w:t>███████ Track</w:t>
            </w:r>
          </w:p>
        </w:tc>
      </w:tr>
      <w:tr w:rsidR="00251920" w:rsidRPr="00A21682" w14:paraId="5D4F58B2" w14:textId="77777777" w:rsidTr="00BD0DC6">
        <w:trPr>
          <w:trHeight w:val="285"/>
        </w:trPr>
        <w:tc>
          <w:tcPr>
            <w:tcW w:w="845" w:type="dxa"/>
            <w:tcMar>
              <w:left w:w="58" w:type="dxa"/>
              <w:right w:w="58" w:type="dxa"/>
            </w:tcMar>
          </w:tcPr>
          <w:p w14:paraId="0CDFF059" w14:textId="4C03EFBF" w:rsidR="00251920" w:rsidRPr="00A21682" w:rsidRDefault="00BB631B" w:rsidP="003610B0">
            <w:pPr>
              <w:spacing w:before="60" w:after="60"/>
            </w:pPr>
            <w:r>
              <w:rPr>
                <w:rFonts w:ascii="Verdana" w:eastAsia="Verdana" w:hAnsi="Verdana" w:cs="Verdana"/>
                <w:sz w:val="18"/>
                <w:szCs w:val="18"/>
              </w:rPr>
              <w:t>3.0</w:t>
            </w:r>
          </w:p>
        </w:tc>
        <w:tc>
          <w:tcPr>
            <w:tcW w:w="2321" w:type="dxa"/>
            <w:gridSpan w:val="2"/>
            <w:tcMar>
              <w:left w:w="58" w:type="dxa"/>
              <w:right w:w="58" w:type="dxa"/>
            </w:tcMar>
          </w:tcPr>
          <w:p w14:paraId="06143B4F" w14:textId="2D7C994C" w:rsidR="00251920" w:rsidRPr="00A21682" w:rsidRDefault="00251920" w:rsidP="003610B0">
            <w:pPr>
              <w:spacing w:before="60" w:after="60"/>
            </w:pPr>
            <w:r>
              <w:rPr>
                <w:rFonts w:ascii="Verdana" w:eastAsia="Verdana" w:hAnsi="Verdana" w:cs="Verdana"/>
                <w:sz w:val="18"/>
                <w:szCs w:val="18"/>
              </w:rPr>
              <w:t>Conduct Internal QA/QC, Proofread, and Fill Out QA/QC Checklist</w:t>
            </w:r>
          </w:p>
        </w:tc>
        <w:tc>
          <w:tcPr>
            <w:tcW w:w="4253" w:type="dxa"/>
            <w:gridSpan w:val="2"/>
            <w:tcMar>
              <w:left w:w="58" w:type="dxa"/>
              <w:right w:w="58" w:type="dxa"/>
            </w:tcMar>
          </w:tcPr>
          <w:p w14:paraId="51340949" w14:textId="77777777" w:rsidR="00251920" w:rsidRPr="00A21682" w:rsidRDefault="00251920" w:rsidP="003610B0">
            <w:pPr>
              <w:spacing w:before="60" w:after="60"/>
            </w:pPr>
            <w:r>
              <w:rPr>
                <w:rFonts w:ascii="Verdana" w:eastAsia="Verdana" w:hAnsi="Verdana" w:cs="Verdana"/>
                <w:sz w:val="18"/>
                <w:szCs w:val="18"/>
              </w:rPr>
              <w:t>The ███████ track conducts internal QA/QC, and proofreads, and fills outs the QA/QC Checklist.</w:t>
            </w:r>
          </w:p>
        </w:tc>
        <w:tc>
          <w:tcPr>
            <w:tcW w:w="1944" w:type="dxa"/>
            <w:tcMar>
              <w:left w:w="58" w:type="dxa"/>
              <w:right w:w="58" w:type="dxa"/>
            </w:tcMar>
          </w:tcPr>
          <w:p w14:paraId="54550937" w14:textId="2DEF5B49" w:rsidR="00251920" w:rsidRPr="00A21682" w:rsidRDefault="00251920" w:rsidP="0017416C">
            <w:pPr>
              <w:pStyle w:val="TABLEBULLETNEW"/>
            </w:pPr>
            <w:r>
              <w:t>███████ Track</w:t>
            </w:r>
          </w:p>
        </w:tc>
      </w:tr>
      <w:tr w:rsidR="00251920" w:rsidRPr="00A21682" w14:paraId="62C2BB90" w14:textId="77777777" w:rsidTr="00BD0DC6">
        <w:trPr>
          <w:trHeight w:val="75"/>
        </w:trPr>
        <w:tc>
          <w:tcPr>
            <w:tcW w:w="855" w:type="dxa"/>
            <w:gridSpan w:val="2"/>
            <w:tcMar>
              <w:top w:w="43" w:type="dxa"/>
              <w:left w:w="43" w:type="dxa"/>
              <w:bottom w:w="43" w:type="dxa"/>
              <w:right w:w="43" w:type="dxa"/>
            </w:tcMar>
          </w:tcPr>
          <w:p w14:paraId="480A9D13" w14:textId="772FA1D1" w:rsidR="00251920" w:rsidRPr="00A21682" w:rsidRDefault="00BB631B" w:rsidP="003610B0">
            <w:pPr>
              <w:spacing w:before="60" w:after="60"/>
              <w:rPr>
                <w:rFonts w:ascii="Verdana" w:eastAsia="Verdana" w:hAnsi="Verdana" w:cs="Verdana"/>
                <w:sz w:val="18"/>
                <w:szCs w:val="18"/>
              </w:rPr>
            </w:pPr>
            <w:r>
              <w:rPr>
                <w:rFonts w:ascii="Verdana" w:eastAsia="Verdana" w:hAnsi="Verdana" w:cs="Verdana"/>
                <w:sz w:val="18"/>
                <w:szCs w:val="18"/>
              </w:rPr>
              <w:t>4.0</w:t>
            </w:r>
          </w:p>
        </w:tc>
        <w:tc>
          <w:tcPr>
            <w:tcW w:w="2321" w:type="dxa"/>
            <w:gridSpan w:val="2"/>
            <w:tcMar>
              <w:top w:w="43" w:type="dxa"/>
              <w:left w:w="43" w:type="dxa"/>
              <w:bottom w:w="43" w:type="dxa"/>
              <w:right w:w="43" w:type="dxa"/>
            </w:tcMar>
          </w:tcPr>
          <w:p w14:paraId="5A38B7C5" w14:textId="2A278A40" w:rsidR="00251920" w:rsidRPr="00A21682" w:rsidRDefault="00251920" w:rsidP="003610B0">
            <w:pPr>
              <w:spacing w:before="60" w:after="60"/>
              <w:rPr>
                <w:rFonts w:ascii="Verdana" w:eastAsia="Verdana" w:hAnsi="Verdana" w:cs="Verdana"/>
                <w:sz w:val="18"/>
                <w:szCs w:val="18"/>
              </w:rPr>
            </w:pPr>
            <w:r>
              <w:rPr>
                <w:rFonts w:ascii="Verdana" w:eastAsia="Verdana" w:hAnsi="Verdana" w:cs="Verdana"/>
                <w:sz w:val="18"/>
                <w:szCs w:val="18"/>
              </w:rPr>
              <w:t>Send Email to PMO with Link to Design Document and QA/QC Checklist</w:t>
            </w:r>
          </w:p>
        </w:tc>
        <w:tc>
          <w:tcPr>
            <w:tcW w:w="4243" w:type="dxa"/>
            <w:tcMar>
              <w:top w:w="43" w:type="dxa"/>
              <w:left w:w="43" w:type="dxa"/>
              <w:bottom w:w="43" w:type="dxa"/>
              <w:right w:w="43" w:type="dxa"/>
            </w:tcMar>
          </w:tcPr>
          <w:p w14:paraId="4CEEE08D" w14:textId="2DD9A638" w:rsidR="00251920" w:rsidRPr="00A21682" w:rsidRDefault="00251920" w:rsidP="003610B0">
            <w:pPr>
              <w:spacing w:before="60" w:after="60"/>
              <w:rPr>
                <w:rFonts w:ascii="Verdana" w:eastAsia="Verdana" w:hAnsi="Verdana" w:cs="Verdana"/>
                <w:sz w:val="18"/>
                <w:szCs w:val="18"/>
              </w:rPr>
            </w:pPr>
            <w:r>
              <w:rPr>
                <w:rFonts w:ascii="Verdana" w:eastAsia="Verdana" w:hAnsi="Verdana" w:cs="Verdana"/>
                <w:sz w:val="18"/>
                <w:szCs w:val="18"/>
              </w:rPr>
              <w:t>The ███████ track sends an email to the ███████ PMO with a link to the design document and accompanying QA/QC Checklist.</w:t>
            </w:r>
          </w:p>
        </w:tc>
        <w:tc>
          <w:tcPr>
            <w:tcW w:w="1944" w:type="dxa"/>
            <w:tcMar>
              <w:top w:w="43" w:type="dxa"/>
              <w:left w:w="43" w:type="dxa"/>
              <w:bottom w:w="43" w:type="dxa"/>
              <w:right w:w="43" w:type="dxa"/>
            </w:tcMar>
          </w:tcPr>
          <w:p w14:paraId="03294EDA" w14:textId="1D6DE927" w:rsidR="00251920" w:rsidRPr="00A21682" w:rsidRDefault="00251920" w:rsidP="0017416C">
            <w:pPr>
              <w:pStyle w:val="TABLEBULLETNEW"/>
            </w:pPr>
            <w:r>
              <w:t>███████ Track</w:t>
            </w:r>
          </w:p>
        </w:tc>
      </w:tr>
      <w:tr w:rsidR="00251920" w:rsidRPr="00A21682" w14:paraId="3A77C1E2" w14:textId="77777777" w:rsidTr="00BD0DC6">
        <w:trPr>
          <w:trHeight w:val="75"/>
        </w:trPr>
        <w:tc>
          <w:tcPr>
            <w:tcW w:w="845" w:type="dxa"/>
            <w:tcMar>
              <w:left w:w="58" w:type="dxa"/>
              <w:right w:w="58" w:type="dxa"/>
            </w:tcMar>
          </w:tcPr>
          <w:p w14:paraId="63A27042" w14:textId="6BA2966B" w:rsidR="00251920" w:rsidRPr="00A21682" w:rsidRDefault="00BB631B" w:rsidP="003610B0">
            <w:pPr>
              <w:spacing w:before="60" w:after="60"/>
            </w:pPr>
            <w:r>
              <w:rPr>
                <w:rFonts w:ascii="Verdana" w:eastAsia="Verdana" w:hAnsi="Verdana" w:cs="Verdana"/>
                <w:sz w:val="18"/>
                <w:szCs w:val="18"/>
              </w:rPr>
              <w:t>5.0</w:t>
            </w:r>
          </w:p>
        </w:tc>
        <w:tc>
          <w:tcPr>
            <w:tcW w:w="2321" w:type="dxa"/>
            <w:gridSpan w:val="2"/>
            <w:tcMar>
              <w:left w:w="58" w:type="dxa"/>
              <w:right w:w="58" w:type="dxa"/>
            </w:tcMar>
          </w:tcPr>
          <w:p w14:paraId="69B988DD" w14:textId="3F1B7FA3" w:rsidR="00251920" w:rsidRPr="00A21682" w:rsidRDefault="00251920" w:rsidP="003610B0">
            <w:pPr>
              <w:spacing w:before="60" w:after="60"/>
            </w:pPr>
            <w:r>
              <w:rPr>
                <w:rFonts w:ascii="Verdana" w:eastAsia="Verdana" w:hAnsi="Verdana" w:cs="Verdana"/>
                <w:sz w:val="18"/>
                <w:szCs w:val="18"/>
              </w:rPr>
              <w:t>Conduct QA/QC and Fill out Checklist</w:t>
            </w:r>
          </w:p>
        </w:tc>
        <w:tc>
          <w:tcPr>
            <w:tcW w:w="4253" w:type="dxa"/>
            <w:gridSpan w:val="2"/>
            <w:tcMar>
              <w:left w:w="58" w:type="dxa"/>
              <w:right w:w="58" w:type="dxa"/>
            </w:tcMar>
          </w:tcPr>
          <w:p w14:paraId="0DC46DEA" w14:textId="77777777" w:rsidR="00251920" w:rsidRPr="00A21682" w:rsidRDefault="00251920" w:rsidP="003610B0">
            <w:pPr>
              <w:spacing w:before="60" w:after="60"/>
            </w:pPr>
            <w:r>
              <w:rPr>
                <w:rFonts w:ascii="Verdana" w:eastAsia="Verdana" w:hAnsi="Verdana" w:cs="Verdana"/>
                <w:color w:val="000000" w:themeColor="text1"/>
                <w:sz w:val="18"/>
                <w:szCs w:val="18"/>
              </w:rPr>
              <w:t>The ███████ PMO conducts QA/QC and fills out the QA/QC Checklist.</w:t>
            </w:r>
          </w:p>
        </w:tc>
        <w:tc>
          <w:tcPr>
            <w:tcW w:w="1944" w:type="dxa"/>
            <w:tcMar>
              <w:left w:w="58" w:type="dxa"/>
              <w:right w:w="58" w:type="dxa"/>
            </w:tcMar>
          </w:tcPr>
          <w:p w14:paraId="43B96580" w14:textId="7E85ECA9" w:rsidR="00251920" w:rsidRPr="00A21682" w:rsidRDefault="00251920" w:rsidP="0017416C">
            <w:pPr>
              <w:pStyle w:val="TABLEBULLETNEW"/>
            </w:pPr>
            <w:r>
              <w:t>███████ PMO</w:t>
            </w:r>
          </w:p>
        </w:tc>
      </w:tr>
      <w:tr w:rsidR="00251920" w:rsidRPr="00A21682" w14:paraId="2C5BB528" w14:textId="77777777" w:rsidTr="00BD0DC6">
        <w:trPr>
          <w:trHeight w:val="75"/>
        </w:trPr>
        <w:tc>
          <w:tcPr>
            <w:tcW w:w="845" w:type="dxa"/>
            <w:tcMar>
              <w:left w:w="58" w:type="dxa"/>
              <w:right w:w="58" w:type="dxa"/>
            </w:tcMar>
          </w:tcPr>
          <w:p w14:paraId="3D1D5818" w14:textId="3985B395" w:rsidR="00251920" w:rsidRPr="00A21682" w:rsidRDefault="00BB631B" w:rsidP="003610B0">
            <w:pPr>
              <w:spacing w:before="60" w:after="60"/>
            </w:pPr>
            <w:r>
              <w:rPr>
                <w:rFonts w:ascii="Verdana" w:eastAsia="Verdana" w:hAnsi="Verdana" w:cs="Verdana"/>
                <w:sz w:val="18"/>
                <w:szCs w:val="18"/>
              </w:rPr>
              <w:t>5.1</w:t>
            </w:r>
          </w:p>
        </w:tc>
        <w:tc>
          <w:tcPr>
            <w:tcW w:w="2321" w:type="dxa"/>
            <w:gridSpan w:val="2"/>
            <w:tcMar>
              <w:left w:w="58" w:type="dxa"/>
              <w:right w:w="58" w:type="dxa"/>
            </w:tcMar>
          </w:tcPr>
          <w:p w14:paraId="29C96803" w14:textId="21A4983E" w:rsidR="00251920" w:rsidRPr="00A21682" w:rsidRDefault="00251920" w:rsidP="003610B0">
            <w:pPr>
              <w:spacing w:before="60" w:after="60"/>
            </w:pPr>
            <w:r>
              <w:rPr>
                <w:rFonts w:ascii="Verdana" w:eastAsia="Verdana" w:hAnsi="Verdana" w:cs="Verdana"/>
                <w:sz w:val="18"/>
                <w:szCs w:val="18"/>
              </w:rPr>
              <w:t xml:space="preserve">Ready for Collaboration? </w:t>
            </w:r>
          </w:p>
        </w:tc>
        <w:tc>
          <w:tcPr>
            <w:tcW w:w="4253" w:type="dxa"/>
            <w:gridSpan w:val="2"/>
            <w:tcMar>
              <w:left w:w="58" w:type="dxa"/>
              <w:right w:w="58" w:type="dxa"/>
            </w:tcMar>
          </w:tcPr>
          <w:p w14:paraId="2EA80605" w14:textId="22D75E5C" w:rsidR="00251920" w:rsidRPr="00A21682" w:rsidRDefault="00251920" w:rsidP="00E655DB">
            <w:pPr>
              <w:pStyle w:val="TABLETEXT1"/>
              <w:rPr>
                <w:lang w:val="en-US"/>
              </w:rPr>
            </w:pPr>
            <w:r>
              <w:rPr>
                <w:lang w:val="en-US"/>
              </w:rPr>
              <w:t>The ███████ PMO determines if the design document is ready for collaboration.</w:t>
            </w:r>
          </w:p>
          <w:p w14:paraId="302D0685" w14:textId="43B2DDB6" w:rsidR="00DD03B1" w:rsidRPr="008E3B7C" w:rsidRDefault="00251920" w:rsidP="000B277D">
            <w:pPr>
              <w:pStyle w:val="TABLEBULLETNEW"/>
              <w:rPr>
                <w:i/>
              </w:rPr>
            </w:pPr>
            <w:r>
              <w:lastRenderedPageBreak/>
              <w:t xml:space="preserve">If the document is ready for collaboration, proceed to </w:t>
            </w:r>
            <w:r>
              <w:rPr>
                <w:i/>
              </w:rPr>
              <w:t>Step #7 Send Design Document and Other Related Documentation for Collaboration to DOS PMO</w:t>
            </w:r>
          </w:p>
          <w:p w14:paraId="15B77C51" w14:textId="3FF07A6A" w:rsidR="00251920" w:rsidRPr="00A21682" w:rsidRDefault="00251920" w:rsidP="000B277D">
            <w:pPr>
              <w:pStyle w:val="TABLEBULLETNEW"/>
            </w:pPr>
            <w:r>
              <w:t xml:space="preserve">If the document is not ready for collaboration, proceed to </w:t>
            </w:r>
            <w:r>
              <w:rPr>
                <w:i/>
              </w:rPr>
              <w:t>Step #6 Address PMO QA/QC Feedback</w:t>
            </w:r>
          </w:p>
        </w:tc>
        <w:tc>
          <w:tcPr>
            <w:tcW w:w="1944" w:type="dxa"/>
            <w:tcMar>
              <w:left w:w="58" w:type="dxa"/>
              <w:right w:w="58" w:type="dxa"/>
            </w:tcMar>
          </w:tcPr>
          <w:p w14:paraId="3B28EEBE" w14:textId="367E3658" w:rsidR="00251920" w:rsidRPr="00A21682" w:rsidRDefault="00251920" w:rsidP="0017416C">
            <w:pPr>
              <w:pStyle w:val="TABLEBULLETNEW"/>
            </w:pPr>
            <w:r>
              <w:lastRenderedPageBreak/>
              <w:t>███████ PMO</w:t>
            </w:r>
          </w:p>
        </w:tc>
      </w:tr>
      <w:tr w:rsidR="0092561B" w:rsidRPr="00A21682" w14:paraId="59615DFC" w14:textId="77777777" w:rsidTr="00BD0DC6">
        <w:trPr>
          <w:trHeight w:val="75"/>
        </w:trPr>
        <w:tc>
          <w:tcPr>
            <w:tcW w:w="845" w:type="dxa"/>
            <w:tcMar>
              <w:left w:w="58" w:type="dxa"/>
              <w:right w:w="58" w:type="dxa"/>
            </w:tcMar>
          </w:tcPr>
          <w:p w14:paraId="5160E91E" w14:textId="36EC9FEF" w:rsidR="0092561B" w:rsidRPr="00A21682" w:rsidRDefault="009C7777">
            <w:pPr>
              <w:spacing w:before="60" w:after="60"/>
            </w:pPr>
            <w:r>
              <w:rPr>
                <w:rFonts w:ascii="Verdana" w:eastAsia="Verdana" w:hAnsi="Verdana" w:cs="Verdana"/>
                <w:sz w:val="18"/>
                <w:szCs w:val="18"/>
              </w:rPr>
              <w:t>6.0</w:t>
            </w:r>
          </w:p>
        </w:tc>
        <w:tc>
          <w:tcPr>
            <w:tcW w:w="2321" w:type="dxa"/>
            <w:gridSpan w:val="2"/>
            <w:tcMar>
              <w:left w:w="58" w:type="dxa"/>
              <w:right w:w="58" w:type="dxa"/>
            </w:tcMar>
          </w:tcPr>
          <w:p w14:paraId="0DDC05C2" w14:textId="77777777" w:rsidR="0092561B" w:rsidRPr="00A21682" w:rsidRDefault="0092561B">
            <w:pPr>
              <w:spacing w:before="60" w:after="60"/>
            </w:pPr>
            <w:r>
              <w:rPr>
                <w:rFonts w:ascii="Verdana" w:eastAsia="Verdana" w:hAnsi="Verdana" w:cs="Verdana"/>
                <w:sz w:val="18"/>
                <w:szCs w:val="18"/>
              </w:rPr>
              <w:t>Address PMO QA/QC Feedback</w:t>
            </w:r>
          </w:p>
        </w:tc>
        <w:tc>
          <w:tcPr>
            <w:tcW w:w="4253" w:type="dxa"/>
            <w:gridSpan w:val="2"/>
            <w:tcMar>
              <w:left w:w="58" w:type="dxa"/>
              <w:right w:w="58" w:type="dxa"/>
            </w:tcMar>
          </w:tcPr>
          <w:p w14:paraId="4CD59F7E" w14:textId="77777777" w:rsidR="0092561B" w:rsidRPr="00A21682" w:rsidRDefault="0092561B">
            <w:pPr>
              <w:spacing w:before="60" w:after="60"/>
            </w:pPr>
            <w:r>
              <w:rPr>
                <w:rFonts w:ascii="Verdana" w:eastAsia="Verdana" w:hAnsi="Verdana" w:cs="Verdana"/>
                <w:color w:val="000000" w:themeColor="text1"/>
                <w:sz w:val="18"/>
                <w:szCs w:val="18"/>
              </w:rPr>
              <w:t xml:space="preserve">The ███████ track addresses the QA/QC feedback from the ███████ PMO. </w:t>
            </w:r>
          </w:p>
        </w:tc>
        <w:tc>
          <w:tcPr>
            <w:tcW w:w="1944" w:type="dxa"/>
            <w:tcMar>
              <w:left w:w="58" w:type="dxa"/>
              <w:right w:w="58" w:type="dxa"/>
            </w:tcMar>
          </w:tcPr>
          <w:p w14:paraId="3A549192" w14:textId="77777777" w:rsidR="0092561B" w:rsidRPr="00A21682" w:rsidRDefault="0092561B" w:rsidP="0017416C">
            <w:pPr>
              <w:pStyle w:val="TABLEBULLETNEW"/>
            </w:pPr>
            <w:r>
              <w:t>███████ Track</w:t>
            </w:r>
          </w:p>
        </w:tc>
      </w:tr>
      <w:tr w:rsidR="00251920" w:rsidRPr="00A21682" w14:paraId="17FE7936" w14:textId="77777777" w:rsidTr="00BD0DC6">
        <w:trPr>
          <w:trHeight w:val="645"/>
        </w:trPr>
        <w:tc>
          <w:tcPr>
            <w:tcW w:w="845" w:type="dxa"/>
            <w:tcMar>
              <w:left w:w="58" w:type="dxa"/>
              <w:right w:w="58" w:type="dxa"/>
            </w:tcMar>
          </w:tcPr>
          <w:p w14:paraId="554199F8" w14:textId="4A276CFB" w:rsidR="00251920" w:rsidRPr="00A21682" w:rsidRDefault="00BA5300" w:rsidP="003610B0">
            <w:pPr>
              <w:spacing w:before="60" w:after="60"/>
            </w:pPr>
            <w:r>
              <w:rPr>
                <w:rFonts w:ascii="Verdana" w:eastAsia="Verdana" w:hAnsi="Verdana" w:cs="Verdana"/>
                <w:sz w:val="18"/>
                <w:szCs w:val="18"/>
              </w:rPr>
              <w:t>7.0</w:t>
            </w:r>
          </w:p>
        </w:tc>
        <w:tc>
          <w:tcPr>
            <w:tcW w:w="2321" w:type="dxa"/>
            <w:gridSpan w:val="2"/>
            <w:tcMar>
              <w:left w:w="58" w:type="dxa"/>
              <w:right w:w="58" w:type="dxa"/>
            </w:tcMar>
          </w:tcPr>
          <w:p w14:paraId="50BCA226" w14:textId="4A245FF0" w:rsidR="00251920" w:rsidRPr="00A21682" w:rsidRDefault="00251920" w:rsidP="003610B0">
            <w:pPr>
              <w:spacing w:before="60" w:after="60"/>
            </w:pPr>
            <w:r>
              <w:rPr>
                <w:rFonts w:ascii="Verdana" w:eastAsia="Verdana" w:hAnsi="Verdana" w:cs="Verdana"/>
                <w:sz w:val="18"/>
                <w:szCs w:val="18"/>
              </w:rPr>
              <w:t>Send Design Document and Other Related Documentation for Collaboration to DOS PMO</w:t>
            </w:r>
          </w:p>
        </w:tc>
        <w:tc>
          <w:tcPr>
            <w:tcW w:w="4253" w:type="dxa"/>
            <w:gridSpan w:val="2"/>
            <w:tcMar>
              <w:left w:w="58" w:type="dxa"/>
              <w:right w:w="58" w:type="dxa"/>
            </w:tcMar>
          </w:tcPr>
          <w:p w14:paraId="6FA56A96" w14:textId="5D9CCC47" w:rsidR="00251920" w:rsidRPr="00A21682" w:rsidRDefault="00251920" w:rsidP="003610B0">
            <w:pPr>
              <w:spacing w:before="60" w:after="60"/>
            </w:pPr>
            <w:r>
              <w:rPr>
                <w:rFonts w:ascii="Verdana" w:eastAsia="Verdana" w:hAnsi="Verdana" w:cs="Verdana"/>
                <w:sz w:val="18"/>
                <w:szCs w:val="18"/>
              </w:rPr>
              <w:t>The ███████ PMO sends the design document (e.g., FDD and/or ICD) and other related documentation for collaboration to DOS PMO.</w:t>
            </w:r>
          </w:p>
        </w:tc>
        <w:tc>
          <w:tcPr>
            <w:tcW w:w="1944" w:type="dxa"/>
            <w:tcMar>
              <w:left w:w="58" w:type="dxa"/>
              <w:right w:w="58" w:type="dxa"/>
            </w:tcMar>
          </w:tcPr>
          <w:p w14:paraId="37F6F414" w14:textId="2B7A5D7E" w:rsidR="00251920" w:rsidRPr="00A21682" w:rsidRDefault="00251920" w:rsidP="0017416C">
            <w:pPr>
              <w:pStyle w:val="TABLEBULLETNEW"/>
            </w:pPr>
            <w:r>
              <w:t>███████ PMO</w:t>
            </w:r>
          </w:p>
        </w:tc>
      </w:tr>
      <w:tr w:rsidR="00251920" w:rsidRPr="00A21682" w14:paraId="4C232800" w14:textId="77777777" w:rsidTr="00BD0DC6">
        <w:trPr>
          <w:trHeight w:val="405"/>
        </w:trPr>
        <w:tc>
          <w:tcPr>
            <w:tcW w:w="845" w:type="dxa"/>
            <w:tcMar>
              <w:left w:w="58" w:type="dxa"/>
              <w:right w:w="58" w:type="dxa"/>
            </w:tcMar>
          </w:tcPr>
          <w:p w14:paraId="187CCD35" w14:textId="6D4F54FF" w:rsidR="00251920" w:rsidRPr="00A21682" w:rsidRDefault="00BA5300" w:rsidP="003610B0">
            <w:pPr>
              <w:spacing w:before="60" w:after="60"/>
            </w:pPr>
            <w:r>
              <w:rPr>
                <w:rFonts w:ascii="Verdana" w:eastAsia="Verdana" w:hAnsi="Verdana" w:cs="Verdana"/>
                <w:sz w:val="18"/>
                <w:szCs w:val="18"/>
              </w:rPr>
              <w:t>8.0</w:t>
            </w:r>
          </w:p>
        </w:tc>
        <w:tc>
          <w:tcPr>
            <w:tcW w:w="2321" w:type="dxa"/>
            <w:gridSpan w:val="2"/>
            <w:tcMar>
              <w:left w:w="58" w:type="dxa"/>
              <w:right w:w="58" w:type="dxa"/>
            </w:tcMar>
          </w:tcPr>
          <w:p w14:paraId="06D933C3" w14:textId="664E85DB" w:rsidR="00251920" w:rsidRPr="00A21682" w:rsidRDefault="00251920" w:rsidP="003610B0">
            <w:pPr>
              <w:spacing w:before="60" w:after="60"/>
            </w:pPr>
            <w:r>
              <w:rPr>
                <w:rFonts w:ascii="Verdana" w:eastAsia="Verdana" w:hAnsi="Verdana" w:cs="Verdana"/>
                <w:sz w:val="18"/>
                <w:szCs w:val="18"/>
              </w:rPr>
              <w:t xml:space="preserve">Receive Documents and Send to DOH Stakeholders </w:t>
            </w:r>
          </w:p>
        </w:tc>
        <w:tc>
          <w:tcPr>
            <w:tcW w:w="4253" w:type="dxa"/>
            <w:gridSpan w:val="2"/>
            <w:tcMar>
              <w:left w:w="58" w:type="dxa"/>
              <w:right w:w="58" w:type="dxa"/>
            </w:tcMar>
          </w:tcPr>
          <w:p w14:paraId="55A37A95" w14:textId="77777777" w:rsidR="00251920" w:rsidRPr="00A21682" w:rsidRDefault="00251920" w:rsidP="003610B0">
            <w:pPr>
              <w:spacing w:before="60" w:after="60"/>
            </w:pPr>
            <w:r>
              <w:rPr>
                <w:rFonts w:ascii="Verdana" w:eastAsia="Verdana" w:hAnsi="Verdana" w:cs="Verdana"/>
                <w:sz w:val="18"/>
                <w:szCs w:val="18"/>
              </w:rPr>
              <w:t xml:space="preserve">The DOS PMO receives the document and sends to the appropriate DOH stakeholders. </w:t>
            </w:r>
          </w:p>
        </w:tc>
        <w:tc>
          <w:tcPr>
            <w:tcW w:w="1944" w:type="dxa"/>
            <w:tcMar>
              <w:left w:w="58" w:type="dxa"/>
              <w:right w:w="58" w:type="dxa"/>
            </w:tcMar>
          </w:tcPr>
          <w:p w14:paraId="266A03DE" w14:textId="4DDD2457" w:rsidR="00251920" w:rsidRPr="00A21682" w:rsidRDefault="00C31EE2" w:rsidP="0017416C">
            <w:pPr>
              <w:pStyle w:val="TABLEBULLETNEW"/>
            </w:pPr>
            <w:r>
              <w:t>DOS PMO</w:t>
            </w:r>
          </w:p>
        </w:tc>
      </w:tr>
      <w:tr w:rsidR="00251920" w:rsidRPr="00A21682" w14:paraId="53948467" w14:textId="77777777" w:rsidTr="00BD0DC6">
        <w:trPr>
          <w:trHeight w:val="15"/>
        </w:trPr>
        <w:tc>
          <w:tcPr>
            <w:tcW w:w="845" w:type="dxa"/>
            <w:tcMar>
              <w:left w:w="58" w:type="dxa"/>
              <w:right w:w="58" w:type="dxa"/>
            </w:tcMar>
          </w:tcPr>
          <w:p w14:paraId="7BC2655B" w14:textId="15A90169" w:rsidR="00251920" w:rsidRPr="00A21682" w:rsidRDefault="00BA5300" w:rsidP="003610B0">
            <w:pPr>
              <w:spacing w:before="60" w:after="60"/>
            </w:pPr>
            <w:r>
              <w:rPr>
                <w:rFonts w:ascii="Verdana" w:eastAsia="Verdana" w:hAnsi="Verdana" w:cs="Verdana"/>
                <w:sz w:val="18"/>
                <w:szCs w:val="18"/>
              </w:rPr>
              <w:t>9.0</w:t>
            </w:r>
          </w:p>
        </w:tc>
        <w:tc>
          <w:tcPr>
            <w:tcW w:w="2321" w:type="dxa"/>
            <w:gridSpan w:val="2"/>
            <w:tcMar>
              <w:left w:w="58" w:type="dxa"/>
              <w:right w:w="58" w:type="dxa"/>
            </w:tcMar>
          </w:tcPr>
          <w:p w14:paraId="6BB760B2" w14:textId="246FDC81" w:rsidR="00251920" w:rsidRPr="00A21682" w:rsidRDefault="00251920" w:rsidP="003610B0">
            <w:pPr>
              <w:spacing w:before="60" w:after="60"/>
            </w:pPr>
            <w:r>
              <w:rPr>
                <w:rFonts w:ascii="Verdana" w:eastAsia="Verdana" w:hAnsi="Verdana" w:cs="Verdana"/>
                <w:sz w:val="18"/>
                <w:szCs w:val="18"/>
              </w:rPr>
              <w:t>Review Design Documents and Provide Feedback Back to DOS PMO</w:t>
            </w:r>
          </w:p>
        </w:tc>
        <w:tc>
          <w:tcPr>
            <w:tcW w:w="4253" w:type="dxa"/>
            <w:gridSpan w:val="2"/>
            <w:tcMar>
              <w:left w:w="58" w:type="dxa"/>
              <w:right w:w="58" w:type="dxa"/>
            </w:tcMar>
          </w:tcPr>
          <w:p w14:paraId="75058A9E" w14:textId="769A84C0" w:rsidR="00251920" w:rsidRPr="00A21682" w:rsidRDefault="00251920" w:rsidP="003610B0">
            <w:pPr>
              <w:spacing w:before="60" w:after="60"/>
            </w:pPr>
            <w:r>
              <w:rPr>
                <w:rFonts w:ascii="Verdana" w:eastAsia="Verdana" w:hAnsi="Verdana" w:cs="Verdana"/>
                <w:sz w:val="18"/>
                <w:szCs w:val="18"/>
              </w:rPr>
              <w:t>The DOH stakeholders review the FDD and provide feedback to ███████ via the DOS PMO.</w:t>
            </w:r>
          </w:p>
        </w:tc>
        <w:tc>
          <w:tcPr>
            <w:tcW w:w="1944" w:type="dxa"/>
            <w:tcMar>
              <w:left w:w="58" w:type="dxa"/>
              <w:right w:w="58" w:type="dxa"/>
            </w:tcMar>
          </w:tcPr>
          <w:p w14:paraId="70A3B646" w14:textId="5D5513EB" w:rsidR="00251920" w:rsidRPr="00A21682" w:rsidRDefault="001F0BE0" w:rsidP="0017416C">
            <w:pPr>
              <w:pStyle w:val="TABLEBULLETNEW"/>
            </w:pPr>
            <w:r>
              <w:t>DOH Stakeholders</w:t>
            </w:r>
          </w:p>
        </w:tc>
      </w:tr>
      <w:tr w:rsidR="00251920" w:rsidRPr="00A21682" w14:paraId="2A26102E" w14:textId="77777777" w:rsidTr="00BD0DC6">
        <w:trPr>
          <w:trHeight w:val="75"/>
        </w:trPr>
        <w:tc>
          <w:tcPr>
            <w:tcW w:w="855" w:type="dxa"/>
            <w:gridSpan w:val="2"/>
            <w:tcMar>
              <w:top w:w="43" w:type="dxa"/>
              <w:left w:w="43" w:type="dxa"/>
              <w:bottom w:w="43" w:type="dxa"/>
              <w:right w:w="43" w:type="dxa"/>
            </w:tcMar>
          </w:tcPr>
          <w:p w14:paraId="03A84FB1" w14:textId="4BD626A1" w:rsidR="00251920" w:rsidRPr="00A21682" w:rsidRDefault="00BA5300" w:rsidP="003610B0">
            <w:pPr>
              <w:spacing w:before="60" w:after="60"/>
            </w:pPr>
            <w:r>
              <w:rPr>
                <w:rFonts w:ascii="Verdana" w:eastAsia="Verdana" w:hAnsi="Verdana" w:cs="Verdana"/>
                <w:sz w:val="18"/>
                <w:szCs w:val="18"/>
              </w:rPr>
              <w:t>9.1</w:t>
            </w:r>
          </w:p>
        </w:tc>
        <w:tc>
          <w:tcPr>
            <w:tcW w:w="2321" w:type="dxa"/>
            <w:gridSpan w:val="2"/>
            <w:tcMar>
              <w:top w:w="43" w:type="dxa"/>
              <w:left w:w="43" w:type="dxa"/>
              <w:bottom w:w="43" w:type="dxa"/>
              <w:right w:w="43" w:type="dxa"/>
            </w:tcMar>
          </w:tcPr>
          <w:p w14:paraId="6B05FED5" w14:textId="43EEFE13" w:rsidR="00251920" w:rsidRPr="00A21682" w:rsidRDefault="00251920" w:rsidP="003610B0">
            <w:pPr>
              <w:spacing w:before="60" w:after="60"/>
            </w:pPr>
            <w:r>
              <w:rPr>
                <w:rFonts w:ascii="Verdana" w:eastAsia="Verdana" w:hAnsi="Verdana" w:cs="Verdana"/>
                <w:sz w:val="18"/>
                <w:szCs w:val="18"/>
              </w:rPr>
              <w:t>Does DOH provide feedback on the Design Documents?</w:t>
            </w:r>
          </w:p>
        </w:tc>
        <w:tc>
          <w:tcPr>
            <w:tcW w:w="4243" w:type="dxa"/>
            <w:tcMar>
              <w:top w:w="43" w:type="dxa"/>
              <w:left w:w="43" w:type="dxa"/>
              <w:bottom w:w="43" w:type="dxa"/>
              <w:right w:w="43" w:type="dxa"/>
            </w:tcMar>
          </w:tcPr>
          <w:p w14:paraId="600E20CC" w14:textId="77777777" w:rsidR="00251920" w:rsidRPr="00A21682" w:rsidRDefault="00251920" w:rsidP="003610B0">
            <w:pPr>
              <w:spacing w:before="60" w:after="60"/>
            </w:pPr>
            <w:r>
              <w:rPr>
                <w:rFonts w:ascii="Verdana" w:eastAsia="Verdana" w:hAnsi="Verdana" w:cs="Verdana"/>
                <w:sz w:val="18"/>
                <w:szCs w:val="18"/>
              </w:rPr>
              <w:t xml:space="preserve">DOH stakeholders determine whether to provide feedback on the FDD. </w:t>
            </w:r>
          </w:p>
          <w:p w14:paraId="73B5EFBB" w14:textId="3845592A" w:rsidR="00DD03B1" w:rsidRPr="00A21682" w:rsidRDefault="00251920" w:rsidP="000B277D">
            <w:pPr>
              <w:pStyle w:val="TABLEBULLETNEW"/>
              <w:rPr>
                <w:rFonts w:ascii="Arial" w:eastAsia="Times New Roman" w:hAnsi="Arial" w:cs="Arial"/>
                <w:sz w:val="20"/>
                <w:szCs w:val="20"/>
              </w:rPr>
            </w:pPr>
            <w:r>
              <w:t xml:space="preserve">If DOH stakeholders provide feedback, proceed to </w:t>
            </w:r>
            <w:r>
              <w:rPr>
                <w:i/>
              </w:rPr>
              <w:t xml:space="preserve">Step #10 Receive Feedback and Send to </w:t>
            </w:r>
            <w:r>
              <w:rPr>
                <w:i/>
                <w:highlight w:val="black"/>
              </w:rPr>
              <w:t>Deloitte</w:t>
            </w:r>
            <w:r>
              <w:rPr>
                <w:i/>
              </w:rPr>
              <w:t xml:space="preserve"> PMO</w:t>
            </w:r>
          </w:p>
          <w:p w14:paraId="6D8D99E3" w14:textId="0795128C" w:rsidR="00251920" w:rsidRPr="00A21682" w:rsidRDefault="00251920" w:rsidP="000B277D">
            <w:pPr>
              <w:pStyle w:val="TABLEBULLETNEW"/>
            </w:pPr>
            <w:r>
              <w:t xml:space="preserve">If DOH stakeholders do not provide feedback, proceed to </w:t>
            </w:r>
            <w:r>
              <w:rPr>
                <w:i/>
              </w:rPr>
              <w:t>Step #9.2 Does DOH Concur that All Comments Have Been Addressed</w:t>
            </w:r>
          </w:p>
        </w:tc>
        <w:tc>
          <w:tcPr>
            <w:tcW w:w="1944" w:type="dxa"/>
            <w:tcMar>
              <w:top w:w="43" w:type="dxa"/>
              <w:left w:w="43" w:type="dxa"/>
              <w:bottom w:w="43" w:type="dxa"/>
              <w:right w:w="43" w:type="dxa"/>
            </w:tcMar>
          </w:tcPr>
          <w:p w14:paraId="6C559445" w14:textId="38806F20" w:rsidR="00251920" w:rsidRPr="00A21682" w:rsidRDefault="00251920" w:rsidP="0017416C">
            <w:pPr>
              <w:pStyle w:val="TABLEBULLETNEW"/>
            </w:pPr>
            <w:r>
              <w:t>DOH Stakeholders</w:t>
            </w:r>
          </w:p>
        </w:tc>
      </w:tr>
      <w:tr w:rsidR="00251920" w:rsidRPr="00A21682" w14:paraId="399DDEC7" w14:textId="77777777" w:rsidTr="00BD0DC6">
        <w:trPr>
          <w:trHeight w:val="75"/>
        </w:trPr>
        <w:tc>
          <w:tcPr>
            <w:tcW w:w="855" w:type="dxa"/>
            <w:gridSpan w:val="2"/>
            <w:tcMar>
              <w:top w:w="43" w:type="dxa"/>
              <w:left w:w="43" w:type="dxa"/>
              <w:bottom w:w="43" w:type="dxa"/>
              <w:right w:w="43" w:type="dxa"/>
            </w:tcMar>
          </w:tcPr>
          <w:p w14:paraId="11478AF5" w14:textId="26B09FC0" w:rsidR="00251920" w:rsidRPr="00A21682" w:rsidRDefault="006B5EAA" w:rsidP="003610B0">
            <w:pPr>
              <w:spacing w:before="60" w:after="60"/>
            </w:pPr>
            <w:r>
              <w:rPr>
                <w:rFonts w:ascii="Verdana" w:eastAsia="Verdana" w:hAnsi="Verdana" w:cs="Verdana"/>
                <w:sz w:val="18"/>
                <w:szCs w:val="18"/>
              </w:rPr>
              <w:t>9.2</w:t>
            </w:r>
          </w:p>
        </w:tc>
        <w:tc>
          <w:tcPr>
            <w:tcW w:w="2321" w:type="dxa"/>
            <w:gridSpan w:val="2"/>
            <w:tcMar>
              <w:top w:w="43" w:type="dxa"/>
              <w:left w:w="43" w:type="dxa"/>
              <w:bottom w:w="43" w:type="dxa"/>
              <w:right w:w="43" w:type="dxa"/>
            </w:tcMar>
          </w:tcPr>
          <w:p w14:paraId="00AA8F1B" w14:textId="1BFAC931" w:rsidR="00251920" w:rsidRPr="00A21682" w:rsidRDefault="00251920" w:rsidP="003610B0">
            <w:pPr>
              <w:spacing w:before="60" w:after="60"/>
            </w:pPr>
            <w:r>
              <w:rPr>
                <w:rFonts w:ascii="Verdana" w:eastAsia="Verdana" w:hAnsi="Verdana" w:cs="Verdana"/>
                <w:sz w:val="18"/>
                <w:szCs w:val="18"/>
              </w:rPr>
              <w:t>Does DOH Concur that All Comments Have Been Addressed?</w:t>
            </w:r>
          </w:p>
        </w:tc>
        <w:tc>
          <w:tcPr>
            <w:tcW w:w="4243" w:type="dxa"/>
            <w:tcMar>
              <w:top w:w="43" w:type="dxa"/>
              <w:left w:w="43" w:type="dxa"/>
              <w:bottom w:w="43" w:type="dxa"/>
              <w:right w:w="43" w:type="dxa"/>
            </w:tcMar>
          </w:tcPr>
          <w:p w14:paraId="2A40B7D5" w14:textId="77777777" w:rsidR="00251920" w:rsidRPr="00A21682" w:rsidRDefault="00251920" w:rsidP="003610B0">
            <w:pPr>
              <w:spacing w:before="60" w:after="60"/>
            </w:pPr>
            <w:r>
              <w:rPr>
                <w:rFonts w:ascii="Verdana" w:eastAsia="Verdana" w:hAnsi="Verdana" w:cs="Verdana"/>
                <w:sz w:val="18"/>
                <w:szCs w:val="18"/>
              </w:rPr>
              <w:t xml:space="preserve">The DOH stakeholders decide if they concur that all comments have been addressed. </w:t>
            </w:r>
          </w:p>
          <w:p w14:paraId="0FD922A0" w14:textId="77777777" w:rsidR="00251920" w:rsidRPr="00A21682" w:rsidRDefault="00251920" w:rsidP="003610B0">
            <w:pPr>
              <w:spacing w:before="60" w:after="60"/>
            </w:pPr>
            <w:r>
              <w:rPr>
                <w:rFonts w:ascii="Verdana" w:eastAsia="Verdana" w:hAnsi="Verdana" w:cs="Verdana"/>
                <w:sz w:val="18"/>
                <w:szCs w:val="18"/>
              </w:rPr>
              <w:t>Once we have reached concurrence, Deloitte does not expect to receive any DOH comments impacting development.</w:t>
            </w:r>
          </w:p>
          <w:p w14:paraId="21108E53" w14:textId="7CF536C2" w:rsidR="00B40419" w:rsidRPr="00A21682" w:rsidRDefault="00251920" w:rsidP="000B277D">
            <w:pPr>
              <w:pStyle w:val="TABLEBULLETNEW"/>
              <w:rPr>
                <w:rFonts w:ascii="Arial" w:eastAsia="Times New Roman" w:hAnsi="Arial" w:cs="Arial"/>
                <w:sz w:val="20"/>
                <w:szCs w:val="20"/>
              </w:rPr>
            </w:pPr>
            <w:r>
              <w:t xml:space="preserve">If the FDD is not concurred, proceed to </w:t>
            </w:r>
            <w:r>
              <w:rPr>
                <w:i/>
              </w:rPr>
              <w:t>Step #9.1 Does DOH Provide Feedback on FDD</w:t>
            </w:r>
          </w:p>
          <w:p w14:paraId="5C9E0CC9" w14:textId="7BF931F4" w:rsidR="00251920" w:rsidRPr="00A21682" w:rsidRDefault="00251920" w:rsidP="000B277D">
            <w:pPr>
              <w:pStyle w:val="TABLEBULLETNEW"/>
            </w:pPr>
            <w:r>
              <w:t xml:space="preserve">If the FDD is concurred, proceed to </w:t>
            </w:r>
            <w:r>
              <w:rPr>
                <w:i/>
              </w:rPr>
              <w:t>Step #13 Request Clean Copy from Deloitte</w:t>
            </w:r>
          </w:p>
        </w:tc>
        <w:tc>
          <w:tcPr>
            <w:tcW w:w="1944" w:type="dxa"/>
            <w:tcMar>
              <w:top w:w="43" w:type="dxa"/>
              <w:left w:w="43" w:type="dxa"/>
              <w:bottom w:w="43" w:type="dxa"/>
              <w:right w:w="43" w:type="dxa"/>
            </w:tcMar>
          </w:tcPr>
          <w:p w14:paraId="365D6FFC" w14:textId="3FA64F7E" w:rsidR="00251920" w:rsidRPr="00A21682" w:rsidRDefault="00251920" w:rsidP="0017416C">
            <w:pPr>
              <w:pStyle w:val="TABLEBULLETNEW"/>
            </w:pPr>
            <w:r>
              <w:t>DOH Stakeholders</w:t>
            </w:r>
          </w:p>
        </w:tc>
      </w:tr>
      <w:tr w:rsidR="00251920" w:rsidRPr="00A21682" w14:paraId="1E139D6D" w14:textId="77777777" w:rsidTr="00BD0DC6">
        <w:trPr>
          <w:trHeight w:val="75"/>
        </w:trPr>
        <w:tc>
          <w:tcPr>
            <w:tcW w:w="855" w:type="dxa"/>
            <w:gridSpan w:val="2"/>
            <w:tcMar>
              <w:top w:w="43" w:type="dxa"/>
              <w:left w:w="43" w:type="dxa"/>
              <w:bottom w:w="43" w:type="dxa"/>
              <w:right w:w="43" w:type="dxa"/>
            </w:tcMar>
          </w:tcPr>
          <w:p w14:paraId="78785606" w14:textId="5981AB1E" w:rsidR="00251920" w:rsidRPr="00A21682" w:rsidRDefault="00251920" w:rsidP="003610B0">
            <w:pPr>
              <w:spacing w:before="60" w:after="60"/>
            </w:pPr>
            <w:r>
              <w:rPr>
                <w:rFonts w:ascii="Verdana" w:eastAsia="Verdana" w:hAnsi="Verdana" w:cs="Verdana"/>
                <w:sz w:val="18"/>
                <w:szCs w:val="18"/>
              </w:rPr>
              <w:t>10.0</w:t>
            </w:r>
          </w:p>
        </w:tc>
        <w:tc>
          <w:tcPr>
            <w:tcW w:w="2321" w:type="dxa"/>
            <w:gridSpan w:val="2"/>
            <w:tcMar>
              <w:top w:w="43" w:type="dxa"/>
              <w:left w:w="43" w:type="dxa"/>
              <w:bottom w:w="43" w:type="dxa"/>
              <w:right w:w="43" w:type="dxa"/>
            </w:tcMar>
          </w:tcPr>
          <w:p w14:paraId="3B892D4D" w14:textId="5E0815F4" w:rsidR="00251920" w:rsidRPr="00A21682" w:rsidRDefault="00251920" w:rsidP="003610B0">
            <w:pPr>
              <w:spacing w:before="60" w:after="60"/>
            </w:pPr>
            <w:r>
              <w:rPr>
                <w:rFonts w:ascii="Verdana" w:eastAsia="Verdana" w:hAnsi="Verdana" w:cs="Verdana"/>
                <w:sz w:val="18"/>
                <w:szCs w:val="18"/>
              </w:rPr>
              <w:t xml:space="preserve">Receive Feedback and Send to ███████ PMO </w:t>
            </w:r>
          </w:p>
        </w:tc>
        <w:tc>
          <w:tcPr>
            <w:tcW w:w="4243" w:type="dxa"/>
            <w:tcMar>
              <w:top w:w="43" w:type="dxa"/>
              <w:left w:w="43" w:type="dxa"/>
              <w:bottom w:w="43" w:type="dxa"/>
              <w:right w:w="43" w:type="dxa"/>
            </w:tcMar>
          </w:tcPr>
          <w:p w14:paraId="189BA609" w14:textId="77777777" w:rsidR="00251920" w:rsidRPr="00A21682" w:rsidRDefault="00251920" w:rsidP="003610B0">
            <w:pPr>
              <w:spacing w:before="60" w:after="60"/>
            </w:pPr>
            <w:r>
              <w:rPr>
                <w:rFonts w:ascii="Verdana" w:eastAsia="Verdana" w:hAnsi="Verdana" w:cs="Verdana"/>
                <w:sz w:val="18"/>
                <w:szCs w:val="18"/>
              </w:rPr>
              <w:t xml:space="preserve">The DOS PMO receives feedback and sends it to the ███████ PMO. </w:t>
            </w:r>
          </w:p>
        </w:tc>
        <w:tc>
          <w:tcPr>
            <w:tcW w:w="1944" w:type="dxa"/>
            <w:tcMar>
              <w:top w:w="43" w:type="dxa"/>
              <w:left w:w="43" w:type="dxa"/>
              <w:bottom w:w="43" w:type="dxa"/>
              <w:right w:w="43" w:type="dxa"/>
            </w:tcMar>
          </w:tcPr>
          <w:p w14:paraId="263D708D" w14:textId="24893275" w:rsidR="00251920" w:rsidRPr="00A21682" w:rsidRDefault="00251920" w:rsidP="0017416C">
            <w:pPr>
              <w:pStyle w:val="TABLEBULLETNEW"/>
            </w:pPr>
            <w:r>
              <w:t>DOS PMO</w:t>
            </w:r>
          </w:p>
        </w:tc>
      </w:tr>
      <w:tr w:rsidR="00251920" w:rsidRPr="00A21682" w14:paraId="71A3EBBC" w14:textId="77777777" w:rsidTr="00BD0DC6">
        <w:trPr>
          <w:trHeight w:val="660"/>
        </w:trPr>
        <w:tc>
          <w:tcPr>
            <w:tcW w:w="855" w:type="dxa"/>
            <w:gridSpan w:val="2"/>
            <w:tcMar>
              <w:top w:w="43" w:type="dxa"/>
              <w:left w:w="43" w:type="dxa"/>
              <w:bottom w:w="43" w:type="dxa"/>
              <w:right w:w="43" w:type="dxa"/>
            </w:tcMar>
          </w:tcPr>
          <w:p w14:paraId="718B2E05" w14:textId="3947D768" w:rsidR="00251920" w:rsidRPr="00A21682" w:rsidRDefault="00251920" w:rsidP="003610B0">
            <w:pPr>
              <w:spacing w:before="60" w:after="60"/>
            </w:pPr>
            <w:r>
              <w:rPr>
                <w:rFonts w:ascii="Verdana" w:eastAsia="Verdana" w:hAnsi="Verdana" w:cs="Verdana"/>
                <w:sz w:val="18"/>
                <w:szCs w:val="18"/>
              </w:rPr>
              <w:lastRenderedPageBreak/>
              <w:t>11.0</w:t>
            </w:r>
          </w:p>
        </w:tc>
        <w:tc>
          <w:tcPr>
            <w:tcW w:w="2321" w:type="dxa"/>
            <w:gridSpan w:val="2"/>
            <w:tcMar>
              <w:top w:w="43" w:type="dxa"/>
              <w:left w:w="43" w:type="dxa"/>
              <w:bottom w:w="43" w:type="dxa"/>
              <w:right w:w="43" w:type="dxa"/>
            </w:tcMar>
          </w:tcPr>
          <w:p w14:paraId="03716457" w14:textId="3C8281DD" w:rsidR="00251920" w:rsidRPr="00A21682" w:rsidRDefault="00251920" w:rsidP="003610B0">
            <w:pPr>
              <w:spacing w:before="60" w:after="60"/>
            </w:pPr>
            <w:r>
              <w:rPr>
                <w:rFonts w:ascii="Verdana" w:eastAsia="Verdana" w:hAnsi="Verdana" w:cs="Verdana"/>
                <w:sz w:val="18"/>
                <w:szCs w:val="18"/>
              </w:rPr>
              <w:t>Receive Feedback, Save New Version, and Share with ███████ Track</w:t>
            </w:r>
          </w:p>
        </w:tc>
        <w:tc>
          <w:tcPr>
            <w:tcW w:w="4243" w:type="dxa"/>
            <w:tcMar>
              <w:top w:w="43" w:type="dxa"/>
              <w:left w:w="43" w:type="dxa"/>
              <w:bottom w:w="43" w:type="dxa"/>
              <w:right w:w="43" w:type="dxa"/>
            </w:tcMar>
          </w:tcPr>
          <w:p w14:paraId="30230E16" w14:textId="77777777" w:rsidR="00251920" w:rsidRPr="00A21682" w:rsidRDefault="00251920" w:rsidP="003610B0">
            <w:pPr>
              <w:spacing w:before="60" w:after="60"/>
            </w:pPr>
            <w:r>
              <w:rPr>
                <w:rFonts w:ascii="Verdana" w:eastAsia="Verdana" w:hAnsi="Verdana" w:cs="Verdana"/>
                <w:sz w:val="18"/>
                <w:szCs w:val="18"/>
              </w:rPr>
              <w:t>The ███████ PMO receives feedback, saves a new version of the file, and shares it with the appropriate ███████ track.</w:t>
            </w:r>
          </w:p>
        </w:tc>
        <w:tc>
          <w:tcPr>
            <w:tcW w:w="1944" w:type="dxa"/>
            <w:tcMar>
              <w:top w:w="43" w:type="dxa"/>
              <w:left w:w="43" w:type="dxa"/>
              <w:bottom w:w="43" w:type="dxa"/>
              <w:right w:w="43" w:type="dxa"/>
            </w:tcMar>
          </w:tcPr>
          <w:p w14:paraId="4BE02979" w14:textId="44306B1E" w:rsidR="00251920" w:rsidRPr="00A21682" w:rsidRDefault="00251920" w:rsidP="0017416C">
            <w:pPr>
              <w:pStyle w:val="TABLEBULLETNEW"/>
            </w:pPr>
            <w:r>
              <w:t>███████ PMO</w:t>
            </w:r>
          </w:p>
        </w:tc>
      </w:tr>
      <w:tr w:rsidR="00251920" w:rsidRPr="00A21682" w14:paraId="4C230A34" w14:textId="77777777" w:rsidTr="00BD0DC6">
        <w:trPr>
          <w:trHeight w:val="75"/>
        </w:trPr>
        <w:tc>
          <w:tcPr>
            <w:tcW w:w="855" w:type="dxa"/>
            <w:gridSpan w:val="2"/>
            <w:tcMar>
              <w:top w:w="43" w:type="dxa"/>
              <w:left w:w="43" w:type="dxa"/>
              <w:bottom w:w="43" w:type="dxa"/>
              <w:right w:w="43" w:type="dxa"/>
            </w:tcMar>
          </w:tcPr>
          <w:p w14:paraId="389770E7" w14:textId="054A86AD" w:rsidR="00251920" w:rsidRPr="00A21682" w:rsidRDefault="00251920" w:rsidP="003610B0">
            <w:pPr>
              <w:spacing w:before="60" w:after="60"/>
            </w:pPr>
            <w:r>
              <w:rPr>
                <w:rFonts w:ascii="Verdana" w:eastAsia="Verdana" w:hAnsi="Verdana" w:cs="Verdana"/>
                <w:sz w:val="18"/>
                <w:szCs w:val="18"/>
              </w:rPr>
              <w:t>12.0</w:t>
            </w:r>
          </w:p>
        </w:tc>
        <w:tc>
          <w:tcPr>
            <w:tcW w:w="2321" w:type="dxa"/>
            <w:gridSpan w:val="2"/>
            <w:tcMar>
              <w:top w:w="43" w:type="dxa"/>
              <w:left w:w="43" w:type="dxa"/>
              <w:bottom w:w="43" w:type="dxa"/>
              <w:right w:w="43" w:type="dxa"/>
            </w:tcMar>
          </w:tcPr>
          <w:p w14:paraId="24D30D16" w14:textId="76A66528" w:rsidR="00251920" w:rsidRPr="00A21682" w:rsidRDefault="00251920" w:rsidP="003610B0">
            <w:pPr>
              <w:spacing w:before="60" w:after="60"/>
            </w:pPr>
            <w:r>
              <w:rPr>
                <w:rFonts w:ascii="Verdana" w:eastAsia="Verdana" w:hAnsi="Verdana" w:cs="Verdana"/>
                <w:sz w:val="18"/>
                <w:szCs w:val="18"/>
              </w:rPr>
              <w:t>Address DOH Stakeholder Feedback</w:t>
            </w:r>
          </w:p>
        </w:tc>
        <w:tc>
          <w:tcPr>
            <w:tcW w:w="4243" w:type="dxa"/>
            <w:tcMar>
              <w:top w:w="43" w:type="dxa"/>
              <w:left w:w="43" w:type="dxa"/>
              <w:bottom w:w="43" w:type="dxa"/>
              <w:right w:w="43" w:type="dxa"/>
            </w:tcMar>
          </w:tcPr>
          <w:p w14:paraId="4FA9BD30" w14:textId="77777777" w:rsidR="00251920" w:rsidRPr="00A21682" w:rsidRDefault="00251920" w:rsidP="003610B0">
            <w:pPr>
              <w:spacing w:before="60" w:after="60"/>
            </w:pPr>
            <w:r>
              <w:rPr>
                <w:rFonts w:ascii="Verdana" w:eastAsia="Verdana" w:hAnsi="Verdana" w:cs="Verdana"/>
                <w:sz w:val="18"/>
                <w:szCs w:val="18"/>
              </w:rPr>
              <w:t>The ███████ track addresses DOH stakeholder feedback.</w:t>
            </w:r>
          </w:p>
        </w:tc>
        <w:tc>
          <w:tcPr>
            <w:tcW w:w="1944" w:type="dxa"/>
            <w:tcMar>
              <w:top w:w="43" w:type="dxa"/>
              <w:left w:w="43" w:type="dxa"/>
              <w:bottom w:w="43" w:type="dxa"/>
              <w:right w:w="43" w:type="dxa"/>
            </w:tcMar>
          </w:tcPr>
          <w:p w14:paraId="3DCBBD1E" w14:textId="14C38B41" w:rsidR="00251920" w:rsidRPr="00A21682" w:rsidRDefault="00251920" w:rsidP="0017416C">
            <w:pPr>
              <w:pStyle w:val="TABLEBULLETNEW"/>
            </w:pPr>
            <w:r>
              <w:t>███████ Track</w:t>
            </w:r>
          </w:p>
        </w:tc>
      </w:tr>
      <w:tr w:rsidR="00251920" w:rsidRPr="00A21682" w14:paraId="0C31B957" w14:textId="77777777" w:rsidTr="00BD0DC6">
        <w:trPr>
          <w:trHeight w:val="75"/>
        </w:trPr>
        <w:tc>
          <w:tcPr>
            <w:tcW w:w="845" w:type="dxa"/>
            <w:tcMar>
              <w:left w:w="58" w:type="dxa"/>
              <w:right w:w="58" w:type="dxa"/>
            </w:tcMar>
          </w:tcPr>
          <w:p w14:paraId="774B52B7" w14:textId="64363A6A" w:rsidR="00251920" w:rsidRPr="00A21682" w:rsidRDefault="00251920" w:rsidP="003610B0">
            <w:pPr>
              <w:spacing w:before="60" w:after="60"/>
            </w:pPr>
            <w:r>
              <w:rPr>
                <w:rFonts w:ascii="Verdana" w:eastAsia="Verdana" w:hAnsi="Verdana" w:cs="Verdana"/>
                <w:sz w:val="18"/>
                <w:szCs w:val="18"/>
              </w:rPr>
              <w:t>13.0</w:t>
            </w:r>
          </w:p>
        </w:tc>
        <w:tc>
          <w:tcPr>
            <w:tcW w:w="2321" w:type="dxa"/>
            <w:gridSpan w:val="2"/>
            <w:tcMar>
              <w:left w:w="58" w:type="dxa"/>
              <w:right w:w="58" w:type="dxa"/>
            </w:tcMar>
          </w:tcPr>
          <w:p w14:paraId="1FB130EA" w14:textId="704B7CFA" w:rsidR="00251920" w:rsidRPr="00A21682" w:rsidRDefault="00251920" w:rsidP="003610B0">
            <w:pPr>
              <w:spacing w:before="60" w:after="60"/>
            </w:pPr>
            <w:r>
              <w:rPr>
                <w:rFonts w:ascii="Verdana" w:eastAsia="Verdana" w:hAnsi="Verdana" w:cs="Verdana"/>
                <w:sz w:val="18"/>
                <w:szCs w:val="18"/>
              </w:rPr>
              <w:t xml:space="preserve">Request Clean Copy from ███████ </w:t>
            </w:r>
          </w:p>
        </w:tc>
        <w:tc>
          <w:tcPr>
            <w:tcW w:w="4253" w:type="dxa"/>
            <w:gridSpan w:val="2"/>
            <w:tcMar>
              <w:left w:w="58" w:type="dxa"/>
              <w:right w:w="58" w:type="dxa"/>
            </w:tcMar>
          </w:tcPr>
          <w:p w14:paraId="6BAE535A" w14:textId="77777777" w:rsidR="00251920" w:rsidRPr="00A21682" w:rsidRDefault="00251920" w:rsidP="003610B0">
            <w:pPr>
              <w:spacing w:before="60" w:after="60"/>
            </w:pPr>
            <w:r>
              <w:rPr>
                <w:rFonts w:ascii="Verdana" w:eastAsia="Verdana" w:hAnsi="Verdana" w:cs="Verdana"/>
                <w:sz w:val="18"/>
                <w:szCs w:val="18"/>
              </w:rPr>
              <w:t>The DOS PMO requests a clean copy from ███████.</w:t>
            </w:r>
          </w:p>
        </w:tc>
        <w:tc>
          <w:tcPr>
            <w:tcW w:w="1944" w:type="dxa"/>
            <w:tcMar>
              <w:left w:w="58" w:type="dxa"/>
              <w:right w:w="58" w:type="dxa"/>
            </w:tcMar>
          </w:tcPr>
          <w:p w14:paraId="19C09570" w14:textId="7F263C4D" w:rsidR="00251920" w:rsidRPr="00A21682" w:rsidRDefault="009D1D8F" w:rsidP="0017416C">
            <w:pPr>
              <w:pStyle w:val="TABLEBULLETNEW"/>
            </w:pPr>
            <w:r>
              <w:t>DOS PMO</w:t>
            </w:r>
          </w:p>
        </w:tc>
      </w:tr>
      <w:tr w:rsidR="00251920" w:rsidRPr="00A21682" w14:paraId="697391B5" w14:textId="77777777" w:rsidTr="00BD0DC6">
        <w:trPr>
          <w:trHeight w:val="75"/>
        </w:trPr>
        <w:tc>
          <w:tcPr>
            <w:tcW w:w="845" w:type="dxa"/>
            <w:tcMar>
              <w:left w:w="58" w:type="dxa"/>
              <w:right w:w="58" w:type="dxa"/>
            </w:tcMar>
          </w:tcPr>
          <w:p w14:paraId="6A9FF54D" w14:textId="7A203CCE" w:rsidR="00251920" w:rsidRPr="00A21682" w:rsidRDefault="00251920" w:rsidP="003610B0">
            <w:pPr>
              <w:spacing w:before="60" w:after="60"/>
            </w:pPr>
            <w:r>
              <w:rPr>
                <w:rFonts w:ascii="Verdana" w:eastAsia="Verdana" w:hAnsi="Verdana" w:cs="Verdana"/>
                <w:sz w:val="18"/>
                <w:szCs w:val="18"/>
              </w:rPr>
              <w:t>14.0</w:t>
            </w:r>
          </w:p>
        </w:tc>
        <w:tc>
          <w:tcPr>
            <w:tcW w:w="2321" w:type="dxa"/>
            <w:gridSpan w:val="2"/>
            <w:tcMar>
              <w:left w:w="58" w:type="dxa"/>
              <w:right w:w="58" w:type="dxa"/>
            </w:tcMar>
          </w:tcPr>
          <w:p w14:paraId="15927BBE" w14:textId="7A4D1FC1" w:rsidR="00251920" w:rsidRPr="00A21682" w:rsidRDefault="00543E18" w:rsidP="003610B0">
            <w:pPr>
              <w:spacing w:before="60" w:after="60"/>
            </w:pPr>
            <w:r>
              <w:rPr>
                <w:rFonts w:ascii="Verdana" w:eastAsia="Verdana" w:hAnsi="Verdana" w:cs="Verdana"/>
                <w:sz w:val="18"/>
                <w:szCs w:val="18"/>
              </w:rPr>
              <w:t xml:space="preserve">Save New Version, and Send Clean Copy Request to ███████ Track </w:t>
            </w:r>
          </w:p>
        </w:tc>
        <w:tc>
          <w:tcPr>
            <w:tcW w:w="4253" w:type="dxa"/>
            <w:gridSpan w:val="2"/>
            <w:tcMar>
              <w:left w:w="58" w:type="dxa"/>
              <w:right w:w="58" w:type="dxa"/>
            </w:tcMar>
          </w:tcPr>
          <w:p w14:paraId="2FA1E9A9" w14:textId="77777777" w:rsidR="00251920" w:rsidRPr="00A21682" w:rsidRDefault="00251920" w:rsidP="003610B0">
            <w:pPr>
              <w:spacing w:before="60" w:after="60"/>
            </w:pPr>
            <w:r>
              <w:rPr>
                <w:rFonts w:ascii="Verdana" w:eastAsia="Verdana" w:hAnsi="Verdana" w:cs="Verdana"/>
                <w:sz w:val="18"/>
                <w:szCs w:val="18"/>
              </w:rPr>
              <w:t>The ███████ PMO sends clean copy request to the ███████ track.</w:t>
            </w:r>
          </w:p>
        </w:tc>
        <w:tc>
          <w:tcPr>
            <w:tcW w:w="1944" w:type="dxa"/>
            <w:tcMar>
              <w:left w:w="58" w:type="dxa"/>
              <w:right w:w="58" w:type="dxa"/>
            </w:tcMar>
          </w:tcPr>
          <w:p w14:paraId="718DD6BA" w14:textId="7544962C" w:rsidR="00251920" w:rsidRPr="00A21682" w:rsidRDefault="00251920" w:rsidP="0017416C">
            <w:pPr>
              <w:pStyle w:val="TABLEBULLETNEW"/>
            </w:pPr>
            <w:r>
              <w:t>███████ PMO</w:t>
            </w:r>
          </w:p>
        </w:tc>
      </w:tr>
      <w:tr w:rsidR="00251920" w:rsidRPr="00A21682" w14:paraId="6CC8081C" w14:textId="77777777" w:rsidTr="00BD0DC6">
        <w:trPr>
          <w:trHeight w:val="75"/>
        </w:trPr>
        <w:tc>
          <w:tcPr>
            <w:tcW w:w="845" w:type="dxa"/>
            <w:tcMar>
              <w:left w:w="58" w:type="dxa"/>
              <w:right w:w="58" w:type="dxa"/>
            </w:tcMar>
          </w:tcPr>
          <w:p w14:paraId="11A9BB93" w14:textId="3E5918B9" w:rsidR="00251920" w:rsidRPr="00A21682" w:rsidRDefault="00251920" w:rsidP="003610B0">
            <w:pPr>
              <w:spacing w:before="60" w:after="60"/>
            </w:pPr>
            <w:r>
              <w:rPr>
                <w:rFonts w:ascii="Verdana" w:eastAsia="Verdana" w:hAnsi="Verdana" w:cs="Verdana"/>
                <w:sz w:val="18"/>
                <w:szCs w:val="18"/>
              </w:rPr>
              <w:t>15.0</w:t>
            </w:r>
          </w:p>
        </w:tc>
        <w:tc>
          <w:tcPr>
            <w:tcW w:w="2321" w:type="dxa"/>
            <w:gridSpan w:val="2"/>
            <w:tcMar>
              <w:left w:w="58" w:type="dxa"/>
              <w:right w:w="58" w:type="dxa"/>
            </w:tcMar>
          </w:tcPr>
          <w:p w14:paraId="378DC2AE" w14:textId="7EB1291B" w:rsidR="00251920" w:rsidRPr="00A21682" w:rsidRDefault="00251920" w:rsidP="003610B0">
            <w:pPr>
              <w:spacing w:before="60" w:after="60"/>
            </w:pPr>
            <w:r>
              <w:rPr>
                <w:rFonts w:ascii="Verdana" w:eastAsia="Verdana" w:hAnsi="Verdana" w:cs="Verdana"/>
                <w:sz w:val="18"/>
                <w:szCs w:val="18"/>
              </w:rPr>
              <w:t>Create Clean Copy; Send to ███████ PMO</w:t>
            </w:r>
          </w:p>
        </w:tc>
        <w:tc>
          <w:tcPr>
            <w:tcW w:w="4253" w:type="dxa"/>
            <w:gridSpan w:val="2"/>
            <w:tcMar>
              <w:left w:w="58" w:type="dxa"/>
              <w:right w:w="58" w:type="dxa"/>
            </w:tcMar>
          </w:tcPr>
          <w:p w14:paraId="5472639A" w14:textId="77777777" w:rsidR="00251920" w:rsidRPr="00A21682" w:rsidRDefault="00251920" w:rsidP="003610B0">
            <w:pPr>
              <w:spacing w:before="60" w:after="60"/>
            </w:pPr>
            <w:r>
              <w:rPr>
                <w:rFonts w:ascii="Verdana" w:eastAsia="Verdana" w:hAnsi="Verdana" w:cs="Verdana"/>
                <w:sz w:val="18"/>
                <w:szCs w:val="18"/>
              </w:rPr>
              <w:t>The ███████ track creates a clean copy and sends it to the ███████ PMO.</w:t>
            </w:r>
          </w:p>
        </w:tc>
        <w:tc>
          <w:tcPr>
            <w:tcW w:w="1944" w:type="dxa"/>
            <w:tcMar>
              <w:left w:w="58" w:type="dxa"/>
              <w:right w:w="58" w:type="dxa"/>
            </w:tcMar>
          </w:tcPr>
          <w:p w14:paraId="4363F558" w14:textId="2D771870" w:rsidR="00251920" w:rsidRPr="00A21682" w:rsidRDefault="00251920" w:rsidP="0017416C">
            <w:pPr>
              <w:pStyle w:val="TABLEBULLETNEW"/>
            </w:pPr>
            <w:r>
              <w:t>███████ Track</w:t>
            </w:r>
          </w:p>
        </w:tc>
      </w:tr>
      <w:tr w:rsidR="00251920" w:rsidRPr="00A21682" w14:paraId="3A67326A" w14:textId="77777777" w:rsidTr="00BD0DC6">
        <w:trPr>
          <w:trHeight w:val="75"/>
        </w:trPr>
        <w:tc>
          <w:tcPr>
            <w:tcW w:w="845" w:type="dxa"/>
            <w:tcMar>
              <w:left w:w="58" w:type="dxa"/>
              <w:right w:w="58" w:type="dxa"/>
            </w:tcMar>
          </w:tcPr>
          <w:p w14:paraId="50EBFD87" w14:textId="1B26F92C" w:rsidR="00251920" w:rsidRPr="00A21682" w:rsidRDefault="00251920" w:rsidP="003610B0">
            <w:pPr>
              <w:spacing w:before="60" w:after="60"/>
            </w:pPr>
            <w:r>
              <w:rPr>
                <w:rFonts w:ascii="Verdana" w:eastAsia="Verdana" w:hAnsi="Verdana" w:cs="Verdana"/>
                <w:sz w:val="18"/>
                <w:szCs w:val="18"/>
              </w:rPr>
              <w:t>16.0</w:t>
            </w:r>
          </w:p>
        </w:tc>
        <w:tc>
          <w:tcPr>
            <w:tcW w:w="2321" w:type="dxa"/>
            <w:gridSpan w:val="2"/>
            <w:tcMar>
              <w:left w:w="58" w:type="dxa"/>
              <w:right w:w="58" w:type="dxa"/>
            </w:tcMar>
          </w:tcPr>
          <w:p w14:paraId="0869F87E" w14:textId="1F1FCF3B" w:rsidR="00251920" w:rsidRPr="00A21682" w:rsidRDefault="00251920" w:rsidP="003610B0">
            <w:pPr>
              <w:spacing w:before="60" w:after="60"/>
            </w:pPr>
            <w:r>
              <w:rPr>
                <w:rFonts w:ascii="Verdana" w:eastAsia="Verdana" w:hAnsi="Verdana" w:cs="Verdana"/>
                <w:sz w:val="18"/>
                <w:szCs w:val="18"/>
              </w:rPr>
              <w:t>Send Clean Copy to DOS PMO</w:t>
            </w:r>
          </w:p>
        </w:tc>
        <w:tc>
          <w:tcPr>
            <w:tcW w:w="4253" w:type="dxa"/>
            <w:gridSpan w:val="2"/>
            <w:tcMar>
              <w:left w:w="58" w:type="dxa"/>
              <w:right w:w="58" w:type="dxa"/>
            </w:tcMar>
          </w:tcPr>
          <w:p w14:paraId="646EA215" w14:textId="77777777" w:rsidR="00251920" w:rsidRPr="00A21682" w:rsidRDefault="00251920" w:rsidP="003610B0">
            <w:pPr>
              <w:spacing w:before="60" w:after="60"/>
            </w:pPr>
            <w:r>
              <w:rPr>
                <w:rFonts w:ascii="Verdana" w:eastAsia="Verdana" w:hAnsi="Verdana" w:cs="Verdana"/>
                <w:sz w:val="18"/>
                <w:szCs w:val="18"/>
              </w:rPr>
              <w:t>The ███████ PMO sends the clean copy to the DOS PMO.</w:t>
            </w:r>
          </w:p>
        </w:tc>
        <w:tc>
          <w:tcPr>
            <w:tcW w:w="1944" w:type="dxa"/>
            <w:tcMar>
              <w:left w:w="58" w:type="dxa"/>
              <w:right w:w="58" w:type="dxa"/>
            </w:tcMar>
          </w:tcPr>
          <w:p w14:paraId="034CF532" w14:textId="65E7D8DC" w:rsidR="00251920" w:rsidRPr="00A21682" w:rsidRDefault="00251920" w:rsidP="0017416C">
            <w:pPr>
              <w:pStyle w:val="TABLEBULLETNEW"/>
            </w:pPr>
            <w:r>
              <w:t>███████ PMO</w:t>
            </w:r>
          </w:p>
        </w:tc>
      </w:tr>
      <w:tr w:rsidR="00251920" w:rsidRPr="00A21682" w14:paraId="62DFAC5D" w14:textId="77777777" w:rsidTr="00BD0DC6">
        <w:trPr>
          <w:trHeight w:val="75"/>
        </w:trPr>
        <w:tc>
          <w:tcPr>
            <w:tcW w:w="845" w:type="dxa"/>
            <w:tcMar>
              <w:left w:w="58" w:type="dxa"/>
              <w:right w:w="58" w:type="dxa"/>
            </w:tcMar>
          </w:tcPr>
          <w:p w14:paraId="2405EFA4" w14:textId="30463749" w:rsidR="00251920" w:rsidRPr="00A21682" w:rsidRDefault="00251920" w:rsidP="003610B0">
            <w:pPr>
              <w:spacing w:before="60" w:after="60"/>
            </w:pPr>
            <w:r>
              <w:rPr>
                <w:rFonts w:ascii="Verdana" w:eastAsia="Verdana" w:hAnsi="Verdana" w:cs="Verdana"/>
                <w:sz w:val="18"/>
                <w:szCs w:val="18"/>
              </w:rPr>
              <w:t>17.0</w:t>
            </w:r>
          </w:p>
        </w:tc>
        <w:tc>
          <w:tcPr>
            <w:tcW w:w="2321" w:type="dxa"/>
            <w:gridSpan w:val="2"/>
            <w:tcMar>
              <w:left w:w="58" w:type="dxa"/>
              <w:right w:w="58" w:type="dxa"/>
            </w:tcMar>
          </w:tcPr>
          <w:p w14:paraId="12C73CF9" w14:textId="12169D08" w:rsidR="00251920" w:rsidRPr="00A21682" w:rsidRDefault="00251920" w:rsidP="003610B0">
            <w:pPr>
              <w:spacing w:before="60" w:after="60"/>
            </w:pPr>
            <w:r>
              <w:rPr>
                <w:rFonts w:ascii="Verdana" w:eastAsia="Verdana" w:hAnsi="Verdana" w:cs="Verdana"/>
                <w:sz w:val="18"/>
                <w:szCs w:val="18"/>
              </w:rPr>
              <w:t>Review Design Document Clean Copy</w:t>
            </w:r>
          </w:p>
        </w:tc>
        <w:tc>
          <w:tcPr>
            <w:tcW w:w="4253" w:type="dxa"/>
            <w:gridSpan w:val="2"/>
            <w:tcMar>
              <w:left w:w="58" w:type="dxa"/>
              <w:right w:w="58" w:type="dxa"/>
            </w:tcMar>
          </w:tcPr>
          <w:p w14:paraId="007AE07F" w14:textId="2F3497B3" w:rsidR="00251920" w:rsidRPr="00A21682" w:rsidRDefault="008642C0" w:rsidP="003610B0">
            <w:pPr>
              <w:spacing w:before="60" w:after="60"/>
            </w:pPr>
            <w:r>
              <w:rPr>
                <w:rFonts w:ascii="Verdana" w:eastAsia="Verdana" w:hAnsi="Verdana" w:cs="Verdana"/>
                <w:sz w:val="18"/>
                <w:szCs w:val="18"/>
              </w:rPr>
              <w:t>DOS PMO reviews the design document clean copy.</w:t>
            </w:r>
          </w:p>
        </w:tc>
        <w:tc>
          <w:tcPr>
            <w:tcW w:w="1944" w:type="dxa"/>
            <w:tcMar>
              <w:left w:w="58" w:type="dxa"/>
              <w:right w:w="58" w:type="dxa"/>
            </w:tcMar>
          </w:tcPr>
          <w:p w14:paraId="050318EB" w14:textId="1D9F1382" w:rsidR="00251920" w:rsidRPr="00A21682" w:rsidRDefault="003044AD" w:rsidP="0017416C">
            <w:pPr>
              <w:pStyle w:val="TABLEBULLETNEW"/>
            </w:pPr>
            <w:r>
              <w:t>DOS PMO</w:t>
            </w:r>
          </w:p>
        </w:tc>
      </w:tr>
      <w:tr w:rsidR="00251920" w:rsidRPr="00A21682" w14:paraId="74C202A6" w14:textId="77777777" w:rsidTr="00BD0DC6">
        <w:trPr>
          <w:trHeight w:val="75"/>
        </w:trPr>
        <w:tc>
          <w:tcPr>
            <w:tcW w:w="845" w:type="dxa"/>
            <w:tcMar>
              <w:left w:w="58" w:type="dxa"/>
              <w:right w:w="58" w:type="dxa"/>
            </w:tcMar>
          </w:tcPr>
          <w:p w14:paraId="39E44B94" w14:textId="3FDC1E96" w:rsidR="00251920" w:rsidRPr="00A21682" w:rsidRDefault="00251920" w:rsidP="003610B0">
            <w:pPr>
              <w:spacing w:before="60" w:after="60"/>
            </w:pPr>
            <w:r>
              <w:rPr>
                <w:rFonts w:ascii="Verdana" w:eastAsia="Verdana" w:hAnsi="Verdana" w:cs="Verdana"/>
                <w:sz w:val="18"/>
                <w:szCs w:val="18"/>
              </w:rPr>
              <w:t>17.1</w:t>
            </w:r>
          </w:p>
        </w:tc>
        <w:tc>
          <w:tcPr>
            <w:tcW w:w="2321" w:type="dxa"/>
            <w:gridSpan w:val="2"/>
            <w:tcMar>
              <w:left w:w="58" w:type="dxa"/>
              <w:right w:w="58" w:type="dxa"/>
            </w:tcMar>
          </w:tcPr>
          <w:p w14:paraId="0634348D" w14:textId="4507394D" w:rsidR="00251920" w:rsidRPr="00A21682" w:rsidRDefault="00251920" w:rsidP="003610B0">
            <w:pPr>
              <w:spacing w:before="60" w:after="60"/>
            </w:pPr>
            <w:r>
              <w:rPr>
                <w:rFonts w:ascii="Verdana" w:eastAsia="Verdana" w:hAnsi="Verdana" w:cs="Verdana"/>
                <w:sz w:val="18"/>
                <w:szCs w:val="18"/>
              </w:rPr>
              <w:t>Review Complete?</w:t>
            </w:r>
          </w:p>
        </w:tc>
        <w:tc>
          <w:tcPr>
            <w:tcW w:w="4253" w:type="dxa"/>
            <w:gridSpan w:val="2"/>
            <w:tcMar>
              <w:left w:w="58" w:type="dxa"/>
              <w:right w:w="58" w:type="dxa"/>
            </w:tcMar>
          </w:tcPr>
          <w:p w14:paraId="1BD0B927" w14:textId="5F711384" w:rsidR="00251920" w:rsidRPr="00A21682" w:rsidRDefault="00B12FDB" w:rsidP="003610B0">
            <w:pPr>
              <w:spacing w:before="60" w:after="60"/>
            </w:pPr>
            <w:r>
              <w:rPr>
                <w:rFonts w:ascii="Verdana" w:eastAsia="Verdana" w:hAnsi="Verdana" w:cs="Verdana"/>
                <w:sz w:val="18"/>
                <w:szCs w:val="18"/>
              </w:rPr>
              <w:t xml:space="preserve">DOS PMO decides if FDD review is complete. </w:t>
            </w:r>
          </w:p>
          <w:p w14:paraId="5617FEAA" w14:textId="2C16DBE2" w:rsidR="002214F4" w:rsidRPr="00A21682" w:rsidRDefault="00251920" w:rsidP="000B277D">
            <w:pPr>
              <w:pStyle w:val="TABLEBULLETNEW"/>
              <w:rPr>
                <w:rFonts w:ascii="Arial" w:eastAsia="Times New Roman" w:hAnsi="Arial" w:cs="Arial"/>
                <w:sz w:val="20"/>
                <w:szCs w:val="20"/>
              </w:rPr>
            </w:pPr>
            <w:r>
              <w:t xml:space="preserve">If the FDD review is not complete, proceed to </w:t>
            </w:r>
            <w:r>
              <w:rPr>
                <w:i/>
              </w:rPr>
              <w:t xml:space="preserve">Step #18 Receive Feedback and Share with </w:t>
            </w:r>
            <w:r>
              <w:rPr>
                <w:i/>
                <w:highlight w:val="black"/>
              </w:rPr>
              <w:t>Deloitte</w:t>
            </w:r>
            <w:r>
              <w:rPr>
                <w:i/>
              </w:rPr>
              <w:t xml:space="preserve"> Track</w:t>
            </w:r>
          </w:p>
          <w:p w14:paraId="2FB02A0D" w14:textId="6642AFA1" w:rsidR="00251920" w:rsidRPr="00A21682" w:rsidRDefault="00251920" w:rsidP="000B277D">
            <w:pPr>
              <w:pStyle w:val="TABLEBULLETNEW"/>
            </w:pPr>
            <w:r>
              <w:t xml:space="preserve">If the FDD review is complete, proceed to </w:t>
            </w:r>
            <w:r>
              <w:rPr>
                <w:i/>
              </w:rPr>
              <w:t>Step #20 Conduct Final QA/QC</w:t>
            </w:r>
          </w:p>
        </w:tc>
        <w:tc>
          <w:tcPr>
            <w:tcW w:w="1944" w:type="dxa"/>
            <w:tcMar>
              <w:left w:w="58" w:type="dxa"/>
              <w:right w:w="58" w:type="dxa"/>
            </w:tcMar>
          </w:tcPr>
          <w:p w14:paraId="1449F829" w14:textId="27149C70" w:rsidR="00251920" w:rsidRPr="00A21682" w:rsidRDefault="00CC0B36" w:rsidP="0017416C">
            <w:pPr>
              <w:pStyle w:val="TABLEBULLETNEW"/>
            </w:pPr>
            <w:r>
              <w:t>DOS PMO</w:t>
            </w:r>
          </w:p>
        </w:tc>
      </w:tr>
      <w:tr w:rsidR="00251920" w:rsidRPr="00A21682" w14:paraId="69156645" w14:textId="77777777" w:rsidTr="00BD0DC6">
        <w:trPr>
          <w:trHeight w:val="75"/>
        </w:trPr>
        <w:tc>
          <w:tcPr>
            <w:tcW w:w="845" w:type="dxa"/>
            <w:tcMar>
              <w:left w:w="58" w:type="dxa"/>
              <w:right w:w="58" w:type="dxa"/>
            </w:tcMar>
          </w:tcPr>
          <w:p w14:paraId="51EC9EA1" w14:textId="3F632967" w:rsidR="00251920" w:rsidRPr="00A21682" w:rsidRDefault="00251920" w:rsidP="003610B0">
            <w:pPr>
              <w:spacing w:before="60" w:after="60"/>
            </w:pPr>
            <w:r>
              <w:rPr>
                <w:rFonts w:ascii="Verdana" w:eastAsia="Verdana" w:hAnsi="Verdana" w:cs="Verdana"/>
                <w:sz w:val="18"/>
                <w:szCs w:val="18"/>
              </w:rPr>
              <w:t>18.0</w:t>
            </w:r>
          </w:p>
        </w:tc>
        <w:tc>
          <w:tcPr>
            <w:tcW w:w="2321" w:type="dxa"/>
            <w:gridSpan w:val="2"/>
            <w:tcMar>
              <w:left w:w="58" w:type="dxa"/>
              <w:right w:w="58" w:type="dxa"/>
            </w:tcMar>
          </w:tcPr>
          <w:p w14:paraId="7D8E57EF" w14:textId="3786C0A7" w:rsidR="00251920" w:rsidRPr="00A21682" w:rsidRDefault="00251920" w:rsidP="003610B0">
            <w:pPr>
              <w:spacing w:before="60" w:after="60"/>
            </w:pPr>
            <w:r>
              <w:rPr>
                <w:rFonts w:ascii="Verdana" w:eastAsia="Verdana" w:hAnsi="Verdana" w:cs="Verdana"/>
                <w:sz w:val="18"/>
                <w:szCs w:val="18"/>
              </w:rPr>
              <w:t>Receive Feedback and Share with ███████ Track</w:t>
            </w:r>
          </w:p>
        </w:tc>
        <w:tc>
          <w:tcPr>
            <w:tcW w:w="4253" w:type="dxa"/>
            <w:gridSpan w:val="2"/>
            <w:tcMar>
              <w:left w:w="58" w:type="dxa"/>
              <w:right w:w="58" w:type="dxa"/>
            </w:tcMar>
          </w:tcPr>
          <w:p w14:paraId="58D056AC" w14:textId="77777777" w:rsidR="00251920" w:rsidRPr="00A21682" w:rsidRDefault="00251920" w:rsidP="003610B0">
            <w:pPr>
              <w:spacing w:before="60" w:after="60"/>
            </w:pPr>
            <w:r>
              <w:rPr>
                <w:rFonts w:ascii="Verdana" w:eastAsia="Verdana" w:hAnsi="Verdana" w:cs="Verdana"/>
                <w:sz w:val="18"/>
                <w:szCs w:val="18"/>
              </w:rPr>
              <w:t>The ███████ PMO receives feedback and shares it with the appropriate ███████ track.</w:t>
            </w:r>
          </w:p>
        </w:tc>
        <w:tc>
          <w:tcPr>
            <w:tcW w:w="1944" w:type="dxa"/>
            <w:tcMar>
              <w:left w:w="58" w:type="dxa"/>
              <w:right w:w="58" w:type="dxa"/>
            </w:tcMar>
          </w:tcPr>
          <w:p w14:paraId="4B99DF39" w14:textId="047AE8DE" w:rsidR="00251920" w:rsidRPr="00A21682" w:rsidRDefault="00251920" w:rsidP="0017416C">
            <w:pPr>
              <w:pStyle w:val="TABLEBULLETNEW"/>
            </w:pPr>
            <w:r>
              <w:t>███████ PMO</w:t>
            </w:r>
          </w:p>
        </w:tc>
      </w:tr>
      <w:tr w:rsidR="00251920" w:rsidRPr="00A21682" w14:paraId="7C953033" w14:textId="77777777" w:rsidTr="00BD0DC6">
        <w:trPr>
          <w:trHeight w:val="75"/>
        </w:trPr>
        <w:tc>
          <w:tcPr>
            <w:tcW w:w="845" w:type="dxa"/>
            <w:tcMar>
              <w:left w:w="58" w:type="dxa"/>
              <w:right w:w="58" w:type="dxa"/>
            </w:tcMar>
          </w:tcPr>
          <w:p w14:paraId="750159BA" w14:textId="0848A7C5" w:rsidR="00251920" w:rsidRPr="00A21682" w:rsidRDefault="00251920" w:rsidP="003610B0">
            <w:pPr>
              <w:spacing w:before="60" w:after="60"/>
            </w:pPr>
            <w:r>
              <w:rPr>
                <w:rFonts w:ascii="Verdana" w:eastAsia="Verdana" w:hAnsi="Verdana" w:cs="Verdana"/>
                <w:sz w:val="18"/>
                <w:szCs w:val="18"/>
              </w:rPr>
              <w:t>19.0</w:t>
            </w:r>
          </w:p>
        </w:tc>
        <w:tc>
          <w:tcPr>
            <w:tcW w:w="2321" w:type="dxa"/>
            <w:gridSpan w:val="2"/>
            <w:tcMar>
              <w:left w:w="58" w:type="dxa"/>
              <w:right w:w="58" w:type="dxa"/>
            </w:tcMar>
          </w:tcPr>
          <w:p w14:paraId="4FDC2DA7" w14:textId="6E08E47C" w:rsidR="00251920" w:rsidRPr="00A21682" w:rsidRDefault="00251920" w:rsidP="003610B0">
            <w:pPr>
              <w:spacing w:before="60" w:after="60"/>
            </w:pPr>
            <w:r>
              <w:rPr>
                <w:rFonts w:ascii="Verdana" w:eastAsia="Verdana" w:hAnsi="Verdana" w:cs="Verdana"/>
                <w:sz w:val="18"/>
                <w:szCs w:val="18"/>
              </w:rPr>
              <w:t>Complete Requested Updates on Clean Copy; Send to ███████ PMO</w:t>
            </w:r>
          </w:p>
        </w:tc>
        <w:tc>
          <w:tcPr>
            <w:tcW w:w="4253" w:type="dxa"/>
            <w:gridSpan w:val="2"/>
            <w:tcMar>
              <w:left w:w="58" w:type="dxa"/>
              <w:right w:w="58" w:type="dxa"/>
            </w:tcMar>
          </w:tcPr>
          <w:p w14:paraId="4CD04DE3" w14:textId="77777777" w:rsidR="00251920" w:rsidRPr="00A21682" w:rsidRDefault="00251920" w:rsidP="003610B0">
            <w:pPr>
              <w:spacing w:before="60" w:after="60"/>
            </w:pPr>
            <w:r>
              <w:rPr>
                <w:rFonts w:ascii="Verdana" w:eastAsia="Verdana" w:hAnsi="Verdana" w:cs="Verdana"/>
                <w:sz w:val="18"/>
                <w:szCs w:val="18"/>
              </w:rPr>
              <w:t>The ███████ track completes the requested updates and sends the updated document back to the ███████ PMO.</w:t>
            </w:r>
          </w:p>
        </w:tc>
        <w:tc>
          <w:tcPr>
            <w:tcW w:w="1944" w:type="dxa"/>
            <w:tcMar>
              <w:left w:w="58" w:type="dxa"/>
              <w:right w:w="58" w:type="dxa"/>
            </w:tcMar>
          </w:tcPr>
          <w:p w14:paraId="6E48DEB8" w14:textId="5266D265" w:rsidR="00251920" w:rsidRPr="00A21682" w:rsidRDefault="00251920" w:rsidP="0017416C">
            <w:pPr>
              <w:pStyle w:val="TABLEBULLETNEW"/>
            </w:pPr>
            <w:r>
              <w:t>███████ Tracks</w:t>
            </w:r>
          </w:p>
        </w:tc>
      </w:tr>
      <w:tr w:rsidR="00251920" w:rsidRPr="00A21682" w14:paraId="49CB5E06" w14:textId="77777777" w:rsidTr="00BD0DC6">
        <w:trPr>
          <w:trHeight w:val="75"/>
        </w:trPr>
        <w:tc>
          <w:tcPr>
            <w:tcW w:w="845" w:type="dxa"/>
            <w:tcMar>
              <w:left w:w="58" w:type="dxa"/>
              <w:right w:w="58" w:type="dxa"/>
            </w:tcMar>
          </w:tcPr>
          <w:p w14:paraId="0267225F" w14:textId="12CBAC64" w:rsidR="00251920" w:rsidRPr="00A21682" w:rsidRDefault="00AD630A" w:rsidP="003610B0">
            <w:pPr>
              <w:spacing w:before="60" w:after="60"/>
            </w:pPr>
            <w:r>
              <w:rPr>
                <w:rFonts w:ascii="Verdana" w:eastAsia="Verdana" w:hAnsi="Verdana" w:cs="Verdana"/>
                <w:sz w:val="18"/>
                <w:szCs w:val="18"/>
              </w:rPr>
              <w:t>20.0</w:t>
            </w:r>
          </w:p>
        </w:tc>
        <w:tc>
          <w:tcPr>
            <w:tcW w:w="2321" w:type="dxa"/>
            <w:gridSpan w:val="2"/>
            <w:tcMar>
              <w:left w:w="58" w:type="dxa"/>
              <w:right w:w="58" w:type="dxa"/>
            </w:tcMar>
          </w:tcPr>
          <w:p w14:paraId="499E4425" w14:textId="07678E83" w:rsidR="00251920" w:rsidRPr="00A21682" w:rsidRDefault="00251920" w:rsidP="003610B0">
            <w:pPr>
              <w:spacing w:before="60" w:after="60"/>
            </w:pPr>
            <w:r>
              <w:rPr>
                <w:rFonts w:ascii="Verdana" w:eastAsia="Verdana" w:hAnsi="Verdana" w:cs="Verdana"/>
                <w:sz w:val="18"/>
                <w:szCs w:val="18"/>
              </w:rPr>
              <w:t xml:space="preserve">Conduct Final QA/QC </w:t>
            </w:r>
          </w:p>
        </w:tc>
        <w:tc>
          <w:tcPr>
            <w:tcW w:w="4253" w:type="dxa"/>
            <w:gridSpan w:val="2"/>
            <w:tcMar>
              <w:left w:w="58" w:type="dxa"/>
              <w:right w:w="58" w:type="dxa"/>
            </w:tcMar>
          </w:tcPr>
          <w:p w14:paraId="57A90AAC" w14:textId="77777777" w:rsidR="00251920" w:rsidRPr="00A21682" w:rsidRDefault="00251920" w:rsidP="003610B0">
            <w:pPr>
              <w:spacing w:before="60" w:after="60"/>
            </w:pPr>
            <w:r>
              <w:rPr>
                <w:rFonts w:ascii="Verdana" w:eastAsia="Verdana" w:hAnsi="Verdana" w:cs="Verdana"/>
                <w:sz w:val="18"/>
                <w:szCs w:val="18"/>
              </w:rPr>
              <w:t>The ███████ PMO conducts final QA/QC.</w:t>
            </w:r>
          </w:p>
        </w:tc>
        <w:tc>
          <w:tcPr>
            <w:tcW w:w="1944" w:type="dxa"/>
            <w:tcMar>
              <w:left w:w="58" w:type="dxa"/>
              <w:right w:w="58" w:type="dxa"/>
            </w:tcMar>
          </w:tcPr>
          <w:p w14:paraId="0B0B410E" w14:textId="2659C744" w:rsidR="00251920" w:rsidRPr="00A21682" w:rsidRDefault="00251920" w:rsidP="0017416C">
            <w:pPr>
              <w:pStyle w:val="TABLEBULLETNEW"/>
            </w:pPr>
            <w:r>
              <w:t>███████ PMO</w:t>
            </w:r>
          </w:p>
        </w:tc>
      </w:tr>
      <w:tr w:rsidR="00251920" w:rsidRPr="00A21682" w14:paraId="36B63625" w14:textId="77777777" w:rsidTr="00BD0DC6">
        <w:trPr>
          <w:trHeight w:val="75"/>
        </w:trPr>
        <w:tc>
          <w:tcPr>
            <w:tcW w:w="845" w:type="dxa"/>
            <w:tcMar>
              <w:left w:w="58" w:type="dxa"/>
              <w:right w:w="58" w:type="dxa"/>
            </w:tcMar>
          </w:tcPr>
          <w:p w14:paraId="19E2DEE7" w14:textId="43C0B4D6" w:rsidR="00251920" w:rsidRPr="00A21682" w:rsidRDefault="00AD630A" w:rsidP="003610B0">
            <w:pPr>
              <w:spacing w:before="60" w:after="60"/>
            </w:pPr>
            <w:r>
              <w:rPr>
                <w:rFonts w:ascii="Verdana" w:eastAsia="Verdana" w:hAnsi="Verdana" w:cs="Verdana"/>
                <w:sz w:val="18"/>
                <w:szCs w:val="18"/>
              </w:rPr>
              <w:t>20.1</w:t>
            </w:r>
          </w:p>
        </w:tc>
        <w:tc>
          <w:tcPr>
            <w:tcW w:w="2321" w:type="dxa"/>
            <w:gridSpan w:val="2"/>
            <w:tcMar>
              <w:left w:w="58" w:type="dxa"/>
              <w:right w:w="58" w:type="dxa"/>
            </w:tcMar>
          </w:tcPr>
          <w:p w14:paraId="2F8E0BC7" w14:textId="17BF0CEF" w:rsidR="00251920" w:rsidRPr="00A21682" w:rsidRDefault="00251920" w:rsidP="003610B0">
            <w:pPr>
              <w:spacing w:before="60" w:after="60"/>
            </w:pPr>
            <w:r>
              <w:rPr>
                <w:rFonts w:ascii="Verdana" w:eastAsia="Verdana" w:hAnsi="Verdana" w:cs="Verdana"/>
                <w:sz w:val="18"/>
                <w:szCs w:val="18"/>
              </w:rPr>
              <w:t>Ready for Transmittal?</w:t>
            </w:r>
          </w:p>
        </w:tc>
        <w:tc>
          <w:tcPr>
            <w:tcW w:w="4253" w:type="dxa"/>
            <w:gridSpan w:val="2"/>
            <w:tcMar>
              <w:left w:w="58" w:type="dxa"/>
              <w:right w:w="58" w:type="dxa"/>
            </w:tcMar>
          </w:tcPr>
          <w:p w14:paraId="77668C2F" w14:textId="77777777" w:rsidR="00251920" w:rsidRPr="00A21682" w:rsidRDefault="00251920" w:rsidP="003610B0">
            <w:pPr>
              <w:spacing w:before="60" w:after="60"/>
            </w:pPr>
            <w:r>
              <w:rPr>
                <w:rFonts w:ascii="Verdana" w:eastAsia="Verdana" w:hAnsi="Verdana" w:cs="Verdana"/>
                <w:sz w:val="18"/>
                <w:szCs w:val="18"/>
              </w:rPr>
              <w:t>The ███████ PMO decides whether the FDD is ready for transmittal.</w:t>
            </w:r>
          </w:p>
          <w:p w14:paraId="46FBA71C" w14:textId="769C7DE5" w:rsidR="0080525D" w:rsidRPr="008E3B7C" w:rsidRDefault="00251920" w:rsidP="0017416C">
            <w:pPr>
              <w:pStyle w:val="TABLEBULLETNEW"/>
              <w:rPr>
                <w:rFonts w:ascii="Arial" w:eastAsia="Times New Roman" w:hAnsi="Arial" w:cs="Arial"/>
                <w:i/>
                <w:sz w:val="20"/>
                <w:szCs w:val="20"/>
              </w:rPr>
            </w:pPr>
            <w:r>
              <w:t xml:space="preserve">If the FDD is not ready for transmittal, proceed to </w:t>
            </w:r>
            <w:r>
              <w:rPr>
                <w:i/>
              </w:rPr>
              <w:t>Step #21 Update the Design Document and Send Back to Deloitte PMO</w:t>
            </w:r>
          </w:p>
          <w:p w14:paraId="4C0BA9F3" w14:textId="7FB914EF" w:rsidR="00251920" w:rsidRPr="00A21682" w:rsidRDefault="00251920" w:rsidP="0017416C">
            <w:pPr>
              <w:pStyle w:val="TABLEBULLETNEW"/>
            </w:pPr>
            <w:r>
              <w:t xml:space="preserve">If the FDD is ready for transmittal, proceed to </w:t>
            </w:r>
            <w:r>
              <w:rPr>
                <w:i/>
              </w:rPr>
              <w:t xml:space="preserve">Step #22 Initiate Transmittal Process </w:t>
            </w:r>
            <w:r>
              <w:t xml:space="preserve"> </w:t>
            </w:r>
          </w:p>
        </w:tc>
        <w:tc>
          <w:tcPr>
            <w:tcW w:w="1944" w:type="dxa"/>
            <w:tcMar>
              <w:left w:w="58" w:type="dxa"/>
              <w:right w:w="58" w:type="dxa"/>
            </w:tcMar>
          </w:tcPr>
          <w:p w14:paraId="7683BB52" w14:textId="2DCD720D" w:rsidR="00251920" w:rsidRPr="00A21682" w:rsidRDefault="00251920" w:rsidP="0017416C">
            <w:pPr>
              <w:pStyle w:val="TABLEBULLETNEW"/>
            </w:pPr>
            <w:r>
              <w:t>███████ PMO</w:t>
            </w:r>
          </w:p>
        </w:tc>
      </w:tr>
      <w:tr w:rsidR="00632A1F" w:rsidRPr="00A21682" w14:paraId="1BF761E4" w14:textId="77777777" w:rsidTr="00BD0DC6">
        <w:trPr>
          <w:trHeight w:val="75"/>
        </w:trPr>
        <w:tc>
          <w:tcPr>
            <w:tcW w:w="855" w:type="dxa"/>
            <w:gridSpan w:val="2"/>
            <w:tcMar>
              <w:top w:w="43" w:type="dxa"/>
              <w:left w:w="43" w:type="dxa"/>
              <w:bottom w:w="43" w:type="dxa"/>
              <w:right w:w="43" w:type="dxa"/>
            </w:tcMar>
          </w:tcPr>
          <w:p w14:paraId="6011B991" w14:textId="7A48D3A8" w:rsidR="00632A1F" w:rsidRPr="00A21682" w:rsidRDefault="003406D2" w:rsidP="003610B0">
            <w:pPr>
              <w:spacing w:before="60" w:after="60"/>
              <w:rPr>
                <w:rFonts w:ascii="Verdana" w:eastAsia="Verdana" w:hAnsi="Verdana" w:cs="Verdana"/>
                <w:sz w:val="18"/>
                <w:szCs w:val="18"/>
              </w:rPr>
            </w:pPr>
            <w:r>
              <w:rPr>
                <w:rFonts w:ascii="Verdana" w:eastAsia="Verdana" w:hAnsi="Verdana" w:cs="Verdana"/>
                <w:sz w:val="18"/>
                <w:szCs w:val="18"/>
              </w:rPr>
              <w:t>21.0</w:t>
            </w:r>
          </w:p>
        </w:tc>
        <w:tc>
          <w:tcPr>
            <w:tcW w:w="2321" w:type="dxa"/>
            <w:gridSpan w:val="2"/>
            <w:tcMar>
              <w:top w:w="43" w:type="dxa"/>
              <w:left w:w="43" w:type="dxa"/>
              <w:bottom w:w="43" w:type="dxa"/>
              <w:right w:w="43" w:type="dxa"/>
            </w:tcMar>
          </w:tcPr>
          <w:p w14:paraId="2308D1E9" w14:textId="589EE5EF" w:rsidR="00632A1F" w:rsidRPr="00A21682" w:rsidRDefault="00632A1F" w:rsidP="003610B0">
            <w:pPr>
              <w:spacing w:before="60" w:after="60"/>
              <w:rPr>
                <w:rFonts w:ascii="Verdana" w:eastAsia="Verdana" w:hAnsi="Verdana" w:cs="Verdana"/>
                <w:sz w:val="18"/>
                <w:szCs w:val="18"/>
              </w:rPr>
            </w:pPr>
            <w:r>
              <w:rPr>
                <w:rFonts w:ascii="Verdana" w:eastAsia="Verdana" w:hAnsi="Verdana" w:cs="Verdana"/>
                <w:sz w:val="18"/>
                <w:szCs w:val="18"/>
              </w:rPr>
              <w:t>Update the Design Document and Send Back to ███████ PMO</w:t>
            </w:r>
          </w:p>
        </w:tc>
        <w:tc>
          <w:tcPr>
            <w:tcW w:w="4243" w:type="dxa"/>
            <w:tcMar>
              <w:top w:w="43" w:type="dxa"/>
              <w:left w:w="43" w:type="dxa"/>
              <w:bottom w:w="43" w:type="dxa"/>
              <w:right w:w="43" w:type="dxa"/>
            </w:tcMar>
          </w:tcPr>
          <w:p w14:paraId="24699024" w14:textId="3350AD7F" w:rsidR="00632A1F" w:rsidRPr="00A21682" w:rsidRDefault="00632A1F" w:rsidP="003610B0">
            <w:pPr>
              <w:spacing w:before="60" w:after="60"/>
              <w:rPr>
                <w:rFonts w:ascii="Verdana" w:eastAsia="Verdana" w:hAnsi="Verdana" w:cs="Verdana"/>
                <w:sz w:val="18"/>
                <w:szCs w:val="18"/>
              </w:rPr>
            </w:pPr>
            <w:r>
              <w:rPr>
                <w:rFonts w:ascii="Verdana" w:eastAsia="Verdana" w:hAnsi="Verdana" w:cs="Verdana"/>
                <w:sz w:val="18"/>
                <w:szCs w:val="18"/>
              </w:rPr>
              <w:t>The ███████ Track completes the requested updates and sends it back to the Deloitte PMO for a final QA/QC.</w:t>
            </w:r>
          </w:p>
        </w:tc>
        <w:tc>
          <w:tcPr>
            <w:tcW w:w="1944" w:type="dxa"/>
            <w:tcMar>
              <w:top w:w="43" w:type="dxa"/>
              <w:left w:w="43" w:type="dxa"/>
              <w:bottom w:w="43" w:type="dxa"/>
              <w:right w:w="43" w:type="dxa"/>
            </w:tcMar>
          </w:tcPr>
          <w:p w14:paraId="00CB8D46" w14:textId="71108C9C" w:rsidR="00632A1F" w:rsidRPr="00A21682" w:rsidRDefault="00201626" w:rsidP="0017416C">
            <w:pPr>
              <w:pStyle w:val="TABLEBULLETNEW"/>
            </w:pPr>
            <w:r>
              <w:t>███████ Tracks</w:t>
            </w:r>
          </w:p>
        </w:tc>
      </w:tr>
      <w:tr w:rsidR="00251920" w:rsidRPr="00A21682" w14:paraId="077B1FFB" w14:textId="77777777" w:rsidTr="00BD0DC6">
        <w:trPr>
          <w:trHeight w:val="75"/>
        </w:trPr>
        <w:tc>
          <w:tcPr>
            <w:tcW w:w="855" w:type="dxa"/>
            <w:gridSpan w:val="2"/>
            <w:tcMar>
              <w:top w:w="43" w:type="dxa"/>
              <w:left w:w="43" w:type="dxa"/>
              <w:bottom w:w="43" w:type="dxa"/>
              <w:right w:w="43" w:type="dxa"/>
            </w:tcMar>
          </w:tcPr>
          <w:p w14:paraId="0747FEF0" w14:textId="3E3EC80E" w:rsidR="00251920" w:rsidRPr="00A21682" w:rsidRDefault="003406D2" w:rsidP="003610B0">
            <w:pPr>
              <w:spacing w:before="60" w:after="60"/>
            </w:pPr>
            <w:r>
              <w:rPr>
                <w:rFonts w:ascii="Verdana" w:eastAsia="Verdana" w:hAnsi="Verdana" w:cs="Verdana"/>
                <w:sz w:val="18"/>
                <w:szCs w:val="18"/>
              </w:rPr>
              <w:lastRenderedPageBreak/>
              <w:t>22.0</w:t>
            </w:r>
          </w:p>
        </w:tc>
        <w:tc>
          <w:tcPr>
            <w:tcW w:w="2321" w:type="dxa"/>
            <w:gridSpan w:val="2"/>
            <w:tcMar>
              <w:top w:w="43" w:type="dxa"/>
              <w:left w:w="43" w:type="dxa"/>
              <w:bottom w:w="43" w:type="dxa"/>
              <w:right w:w="43" w:type="dxa"/>
            </w:tcMar>
          </w:tcPr>
          <w:p w14:paraId="700BFA54" w14:textId="06DFB7F8" w:rsidR="00251920" w:rsidRPr="00A21682" w:rsidRDefault="00251920" w:rsidP="003610B0">
            <w:pPr>
              <w:spacing w:before="60" w:after="60"/>
            </w:pPr>
            <w:r>
              <w:rPr>
                <w:rFonts w:ascii="Verdana" w:eastAsia="Verdana" w:hAnsi="Verdana" w:cs="Verdana"/>
                <w:sz w:val="18"/>
                <w:szCs w:val="18"/>
              </w:rPr>
              <w:t>Initiate Transmittal Process</w:t>
            </w:r>
          </w:p>
        </w:tc>
        <w:tc>
          <w:tcPr>
            <w:tcW w:w="4243" w:type="dxa"/>
            <w:tcMar>
              <w:top w:w="43" w:type="dxa"/>
              <w:left w:w="43" w:type="dxa"/>
              <w:bottom w:w="43" w:type="dxa"/>
              <w:right w:w="43" w:type="dxa"/>
            </w:tcMar>
          </w:tcPr>
          <w:p w14:paraId="168F4AC0" w14:textId="18FA9C8C" w:rsidR="00251920" w:rsidRPr="00A21682" w:rsidRDefault="00251920" w:rsidP="003610B0">
            <w:pPr>
              <w:spacing w:before="60" w:after="60"/>
            </w:pPr>
            <w:r>
              <w:rPr>
                <w:rFonts w:ascii="Verdana" w:eastAsia="Verdana" w:hAnsi="Verdana" w:cs="Verdana"/>
                <w:sz w:val="18"/>
                <w:szCs w:val="18"/>
              </w:rPr>
              <w:t xml:space="preserve">The ███████ PMO initiates the transmittal process. </w:t>
            </w:r>
          </w:p>
          <w:p w14:paraId="12336053" w14:textId="4BD574B3" w:rsidR="00251920" w:rsidRPr="00A21682" w:rsidRDefault="00251920" w:rsidP="003610B0">
            <w:pPr>
              <w:spacing w:before="60" w:after="60"/>
            </w:pPr>
            <w:r>
              <w:rPr>
                <w:rFonts w:ascii="Verdana" w:eastAsia="Verdana" w:hAnsi="Verdana" w:cs="Verdana"/>
                <w:sz w:val="18"/>
                <w:szCs w:val="18"/>
              </w:rPr>
              <w:t xml:space="preserve">Refer to Section 7.4.1. Transmittal Management for more details on the transmittal process. </w:t>
            </w:r>
          </w:p>
        </w:tc>
        <w:tc>
          <w:tcPr>
            <w:tcW w:w="1944" w:type="dxa"/>
            <w:tcMar>
              <w:top w:w="43" w:type="dxa"/>
              <w:left w:w="43" w:type="dxa"/>
              <w:bottom w:w="43" w:type="dxa"/>
              <w:right w:w="43" w:type="dxa"/>
            </w:tcMar>
          </w:tcPr>
          <w:p w14:paraId="580308F2" w14:textId="6733B15C" w:rsidR="00251920" w:rsidRPr="00A21682" w:rsidRDefault="00251920" w:rsidP="0017416C">
            <w:pPr>
              <w:pStyle w:val="TABLEBULLETNEW"/>
            </w:pPr>
            <w:r>
              <w:t>███████ PMO</w:t>
            </w:r>
          </w:p>
        </w:tc>
      </w:tr>
    </w:tbl>
    <w:p w14:paraId="3DE08EEB" w14:textId="1047B6EC" w:rsidR="0029662A" w:rsidRPr="00A21682" w:rsidRDefault="003610B0" w:rsidP="00644482">
      <w:pPr>
        <w:pStyle w:val="Caption"/>
        <w:rPr>
          <w:noProof w:val="0"/>
        </w:rPr>
      </w:pPr>
      <w:bookmarkStart w:id="3170" w:name="_Toc19287518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5</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r>
        <w:rPr>
          <w:noProof w:val="0"/>
        </w:rPr>
        <w:t>: FDD and Related Documentation Development Process Narrative</w:t>
      </w:r>
      <w:bookmarkEnd w:id="3170"/>
    </w:p>
    <w:p w14:paraId="5FADA804" w14:textId="2F421999" w:rsidR="00EC0989" w:rsidRPr="00A21682" w:rsidRDefault="00EC0989" w:rsidP="00EC0989">
      <w:pPr>
        <w:pStyle w:val="Heading3"/>
      </w:pPr>
      <w:bookmarkStart w:id="3171" w:name="_Toc185949130"/>
      <w:bookmarkStart w:id="3172" w:name="_Toc186884714"/>
      <w:bookmarkStart w:id="3173" w:name="_Toc187428456"/>
      <w:bookmarkStart w:id="3174" w:name="_Toc188450832"/>
      <w:bookmarkStart w:id="3175" w:name="_Toc188619726"/>
      <w:bookmarkStart w:id="3176" w:name="_Toc178350864"/>
      <w:bookmarkStart w:id="3177" w:name="_Toc178352708"/>
      <w:bookmarkStart w:id="3178" w:name="_Toc178354822"/>
      <w:bookmarkStart w:id="3179" w:name="_Toc178357631"/>
      <w:bookmarkStart w:id="3180" w:name="_Toc178359603"/>
      <w:bookmarkStart w:id="3181" w:name="_Toc178371799"/>
      <w:bookmarkStart w:id="3182" w:name="_Toc184747382"/>
      <w:bookmarkStart w:id="3183" w:name="_Toc185949131"/>
      <w:bookmarkStart w:id="3184" w:name="_Toc186884715"/>
      <w:bookmarkStart w:id="3185" w:name="_Toc187428457"/>
      <w:bookmarkStart w:id="3186" w:name="_Toc188450833"/>
      <w:bookmarkStart w:id="3187" w:name="_Toc188619727"/>
      <w:bookmarkStart w:id="3188" w:name="_Toc178350865"/>
      <w:bookmarkStart w:id="3189" w:name="_Toc178352709"/>
      <w:bookmarkStart w:id="3190" w:name="_Toc178354823"/>
      <w:bookmarkStart w:id="3191" w:name="_Toc178357632"/>
      <w:bookmarkStart w:id="3192" w:name="_Toc178359604"/>
      <w:bookmarkStart w:id="3193" w:name="_Toc178371800"/>
      <w:bookmarkStart w:id="3194" w:name="_Toc184747383"/>
      <w:bookmarkStart w:id="3195" w:name="_Toc185949132"/>
      <w:bookmarkStart w:id="3196" w:name="_Toc186884716"/>
      <w:bookmarkStart w:id="3197" w:name="_Toc187428458"/>
      <w:bookmarkStart w:id="3198" w:name="_Toc188450834"/>
      <w:bookmarkStart w:id="3199" w:name="_Toc188619728"/>
      <w:bookmarkStart w:id="3200" w:name="_Toc177119253"/>
      <w:bookmarkStart w:id="3201" w:name="_Toc185952692"/>
      <w:bookmarkStart w:id="3202" w:name="_Toc192874855"/>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r>
        <w:t>Design Document Collaboration Review Cycle Oversight</w:t>
      </w:r>
      <w:bookmarkEnd w:id="3200"/>
      <w:bookmarkEnd w:id="3201"/>
      <w:bookmarkEnd w:id="3202"/>
    </w:p>
    <w:p w14:paraId="3E67BB8D" w14:textId="32752332" w:rsidR="00974912" w:rsidRPr="00A21682" w:rsidRDefault="00CF5329" w:rsidP="00BE601B">
      <w:pPr>
        <w:pStyle w:val="NormalNEW"/>
        <w:rPr>
          <w:lang w:val="en-US"/>
        </w:rPr>
      </w:pPr>
      <w:r>
        <w:rPr>
          <w:lang w:val="en-US"/>
        </w:rPr>
        <w:t xml:space="preserve">Design Document Deliverables follow the same collaboration review cycle as Non-Design Deliverables. Refer to Section 5.4.3 for details. </w:t>
      </w:r>
    </w:p>
    <w:p w14:paraId="3DA5C685" w14:textId="6F7CD0FC" w:rsidR="009C165B" w:rsidRPr="00A21682" w:rsidRDefault="00C06A8D" w:rsidP="00DA1CA5">
      <w:pPr>
        <w:pStyle w:val="Heading3"/>
      </w:pPr>
      <w:bookmarkStart w:id="3203" w:name="_Toc177119254"/>
      <w:bookmarkStart w:id="3204" w:name="_Toc185952693"/>
      <w:bookmarkStart w:id="3205" w:name="_Toc192874856"/>
      <w:r>
        <w:t>Collaboration Process for Design Document DEDs/Deliverable</w:t>
      </w:r>
      <w:bookmarkEnd w:id="3203"/>
      <w:bookmarkEnd w:id="3204"/>
      <w:r>
        <w:t>s</w:t>
      </w:r>
      <w:bookmarkEnd w:id="3205"/>
    </w:p>
    <w:p w14:paraId="144D0DB7" w14:textId="14CADBBD" w:rsidR="00642314" w:rsidRPr="00A21682" w:rsidRDefault="00642314" w:rsidP="00642314">
      <w:pPr>
        <w:pStyle w:val="NormalNEW"/>
        <w:rPr>
          <w:lang w:val="en-US"/>
        </w:rPr>
      </w:pPr>
      <w:r>
        <w:rPr>
          <w:lang w:val="en-US"/>
        </w:rPr>
        <w:t>Refer to Appendix G: Collaboration Process for DEDs/Deliverables that describes the collaboration process for Design Document Deliverables.</w:t>
      </w:r>
    </w:p>
    <w:p w14:paraId="651C1A0E" w14:textId="00F27AB2" w:rsidR="008F5751" w:rsidRPr="00A21682" w:rsidRDefault="008F5751">
      <w:pPr>
        <w:pStyle w:val="Heading3"/>
      </w:pPr>
      <w:bookmarkStart w:id="3206" w:name="_Toc185949314"/>
      <w:bookmarkStart w:id="3207" w:name="_Toc186884898"/>
      <w:bookmarkStart w:id="3208" w:name="_Toc187428640"/>
      <w:bookmarkStart w:id="3209" w:name="_Toc188451016"/>
      <w:bookmarkStart w:id="3210" w:name="_Toc188619910"/>
      <w:bookmarkStart w:id="3211" w:name="_Toc185952694"/>
      <w:bookmarkStart w:id="3212" w:name="_Toc192874857"/>
      <w:bookmarkStart w:id="3213" w:name="_Toc177119255"/>
      <w:bookmarkEnd w:id="3206"/>
      <w:bookmarkEnd w:id="3207"/>
      <w:bookmarkEnd w:id="3208"/>
      <w:bookmarkEnd w:id="3209"/>
      <w:bookmarkEnd w:id="3210"/>
      <w:r>
        <w:t>Final Review and Disposition</w:t>
      </w:r>
      <w:bookmarkEnd w:id="3211"/>
      <w:bookmarkEnd w:id="3212"/>
    </w:p>
    <w:p w14:paraId="46A77CB6" w14:textId="39D697F7" w:rsidR="008F5751" w:rsidRPr="00A21682" w:rsidRDefault="006C7D60" w:rsidP="00F71AF2">
      <w:pPr>
        <w:pStyle w:val="NYBodyText"/>
        <w:rPr>
          <w:lang w:val="en-US"/>
        </w:rPr>
      </w:pPr>
      <w:r>
        <w:rPr>
          <w:lang w:val="en-US"/>
        </w:rPr>
        <w:t>The final review and disposition of DEDs/Deliverables takes place via the transmittal process. Refer to Section 7 Quality Management Plan for more details on final dispositioning of DEDs/Deliverables.</w:t>
      </w:r>
    </w:p>
    <w:p w14:paraId="2A9FE376" w14:textId="67D50CBF" w:rsidR="006C7D60" w:rsidRPr="00A21682" w:rsidRDefault="006C7D60">
      <w:pPr>
        <w:pStyle w:val="Heading3"/>
      </w:pPr>
      <w:bookmarkStart w:id="3214" w:name="_Toc185952695"/>
      <w:bookmarkStart w:id="3215" w:name="_Toc192874858"/>
      <w:r>
        <w:t>Modifying Design Deliverables Post Transmittal Approval or Post Concurrence</w:t>
      </w:r>
      <w:bookmarkEnd w:id="3214"/>
      <w:bookmarkEnd w:id="3215"/>
    </w:p>
    <w:p w14:paraId="10591F60" w14:textId="374284E7" w:rsidR="0062054D" w:rsidRPr="00A21682" w:rsidRDefault="0062054D" w:rsidP="0062054D">
      <w:pPr>
        <w:pStyle w:val="NormalNEW"/>
        <w:rPr>
          <w:szCs w:val="18"/>
          <w:lang w:val="en-US"/>
        </w:rPr>
      </w:pPr>
      <w:r>
        <w:rPr>
          <w:szCs w:val="18"/>
          <w:lang w:val="en-US"/>
        </w:rPr>
        <w:t>After a design document reaches concurrence, there are several events or sources that can cause a design document to require further revisions across the project lifecycle. The majority of post concurrence design updates will result from one or more of the following source categories:</w:t>
      </w:r>
    </w:p>
    <w:p w14:paraId="46154D83" w14:textId="77777777" w:rsidR="0062054D" w:rsidRPr="00A21682" w:rsidRDefault="0062054D" w:rsidP="00F73D43">
      <w:pPr>
        <w:pStyle w:val="NormalNEW"/>
        <w:numPr>
          <w:ilvl w:val="0"/>
          <w:numId w:val="27"/>
        </w:numPr>
        <w:rPr>
          <w:szCs w:val="18"/>
          <w:lang w:val="en-US"/>
        </w:rPr>
      </w:pPr>
      <w:r>
        <w:rPr>
          <w:szCs w:val="18"/>
          <w:lang w:val="en-US"/>
        </w:rPr>
        <w:t>Defects that result in changes to system code and/or associated design documentation</w:t>
      </w:r>
    </w:p>
    <w:p w14:paraId="3A4B77CD" w14:textId="4DC389CF" w:rsidR="0062054D" w:rsidRPr="00A21682" w:rsidRDefault="0062054D" w:rsidP="00F73D43">
      <w:pPr>
        <w:pStyle w:val="NormalNEW"/>
        <w:numPr>
          <w:ilvl w:val="0"/>
          <w:numId w:val="27"/>
        </w:numPr>
        <w:rPr>
          <w:szCs w:val="18"/>
          <w:lang w:val="en-US"/>
        </w:rPr>
      </w:pPr>
      <w:r>
        <w:rPr>
          <w:szCs w:val="18"/>
          <w:lang w:val="en-US"/>
        </w:rPr>
        <w:t>Observations or JAD-related discussions to provide confirmation or additional clarity to designs</w:t>
      </w:r>
    </w:p>
    <w:p w14:paraId="7C3FCBCF" w14:textId="070649A3" w:rsidR="0062054D" w:rsidRPr="00A21682" w:rsidRDefault="0062054D" w:rsidP="00F73D43">
      <w:pPr>
        <w:pStyle w:val="NormalNEW"/>
        <w:numPr>
          <w:ilvl w:val="0"/>
          <w:numId w:val="27"/>
        </w:numPr>
        <w:rPr>
          <w:szCs w:val="18"/>
          <w:lang w:val="en-US"/>
        </w:rPr>
      </w:pPr>
      <w:r>
        <w:rPr>
          <w:szCs w:val="18"/>
          <w:lang w:val="en-US"/>
        </w:rPr>
        <w:t>Solution Exploration Observations resulting in changes to system code and/or design documentation</w:t>
      </w:r>
    </w:p>
    <w:p w14:paraId="367ACA52" w14:textId="181EBFB8" w:rsidR="0062054D" w:rsidRPr="00A21682" w:rsidRDefault="0062054D" w:rsidP="00F73D43">
      <w:pPr>
        <w:pStyle w:val="NormalNEW"/>
        <w:numPr>
          <w:ilvl w:val="0"/>
          <w:numId w:val="27"/>
        </w:numPr>
        <w:rPr>
          <w:lang w:val="en-US"/>
        </w:rPr>
      </w:pPr>
      <w:r>
        <w:rPr>
          <w:lang w:val="en-US"/>
        </w:rPr>
        <w:t>Design Update Management (DUM) meeting items that result in design update decisions. DUM meetings are held between ███████ and DOH to discuss parking lot items from JADs and other meetings that require further discussion. As part of the DUM meeting, the updates are evaluated to determine if the update is necessary and if it needs to be routed to the Integrated Change Control Process (ICCP)</w:t>
      </w:r>
    </w:p>
    <w:p w14:paraId="184F38F4" w14:textId="0A83ECE2" w:rsidR="00DA2D25" w:rsidRPr="00A21682" w:rsidRDefault="0062054D" w:rsidP="0062054D">
      <w:pPr>
        <w:pStyle w:val="NormalNEW"/>
        <w:rPr>
          <w:szCs w:val="18"/>
          <w:lang w:val="en-US"/>
        </w:rPr>
      </w:pPr>
      <w:r>
        <w:rPr>
          <w:szCs w:val="18"/>
          <w:lang w:val="en-US"/>
        </w:rPr>
        <w:t xml:space="preserve">When a design document requires post concurrence updates, the document approval status needs to be evaluated before changes are made to the design document. If the design documents are transmittal approved, the ICCP must be completed before the changes to the design document are made and sent for review. If the post collaboration design document has not yet been approved via transmittal, the design update can be submitted without an accompanying CR (unless the update is out of scope and requires a change request to be initiated). </w:t>
      </w:r>
    </w:p>
    <w:p w14:paraId="2465A9FF" w14:textId="06B876BD" w:rsidR="007F11B5" w:rsidRPr="00A21682" w:rsidRDefault="00DA2D25" w:rsidP="0062054D">
      <w:pPr>
        <w:pStyle w:val="NormalNEW"/>
        <w:rPr>
          <w:szCs w:val="18"/>
          <w:lang w:val="en-US"/>
        </w:rPr>
      </w:pPr>
      <w:r>
        <w:rPr>
          <w:lang w:val="en-US"/>
        </w:rPr>
        <w:t>The table below indicates whether ICCP approval is required to implement a design update for an FDD, Design Component, or ICD.</w:t>
      </w:r>
      <w:r>
        <w:rPr>
          <w:szCs w:val="18"/>
          <w:lang w:val="en-US"/>
        </w:rPr>
        <w:t xml:space="preserve"> </w:t>
      </w:r>
    </w:p>
    <w:tbl>
      <w:tblPr>
        <w:tblStyle w:val="DEDTable2"/>
        <w:tblW w:w="8979" w:type="dxa"/>
        <w:jc w:val="center"/>
        <w:tblLook w:val="04A0" w:firstRow="1" w:lastRow="0" w:firstColumn="1" w:lastColumn="0" w:noHBand="0" w:noVBand="1"/>
      </w:tblPr>
      <w:tblGrid>
        <w:gridCol w:w="4389"/>
        <w:gridCol w:w="2250"/>
        <w:gridCol w:w="2340"/>
      </w:tblGrid>
      <w:tr w:rsidR="00E27BC3" w:rsidRPr="00A21682" w14:paraId="7D265A6F" w14:textId="77777777" w:rsidTr="00B6583F">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4389" w:type="dxa"/>
          </w:tcPr>
          <w:p w14:paraId="5F8A2569" w14:textId="77777777" w:rsidR="00E27BC3" w:rsidRPr="00A21682" w:rsidRDefault="00E27BC3" w:rsidP="00B6583F">
            <w:pPr>
              <w:pStyle w:val="NormalNEW"/>
              <w:spacing w:before="60" w:after="60"/>
              <w:rPr>
                <w:rStyle w:val="Hyperlink"/>
                <w:color w:val="FFFFFF" w:themeColor="background1"/>
                <w:szCs w:val="18"/>
                <w:u w:val="none"/>
                <w:lang w:val="en-US"/>
              </w:rPr>
            </w:pPr>
            <w:r>
              <w:rPr>
                <w:rStyle w:val="Hyperlink"/>
                <w:color w:val="FFFFFF" w:themeColor="background1"/>
                <w:szCs w:val="18"/>
                <w:u w:val="none"/>
                <w:lang w:val="en-US"/>
              </w:rPr>
              <w:lastRenderedPageBreak/>
              <w:t>Design Document Status</w:t>
            </w:r>
          </w:p>
        </w:tc>
        <w:tc>
          <w:tcPr>
            <w:tcW w:w="2250" w:type="dxa"/>
          </w:tcPr>
          <w:p w14:paraId="51CA2973" w14:textId="44009748" w:rsidR="00E27BC3" w:rsidRPr="00A21682" w:rsidRDefault="00E27BC3" w:rsidP="00B6583F">
            <w:pPr>
              <w:pStyle w:val="NormalNEW"/>
              <w:spacing w:before="60" w:after="60"/>
              <w:cnfStyle w:val="100000000000" w:firstRow="1" w:lastRow="0" w:firstColumn="0" w:lastColumn="0" w:oddVBand="0" w:evenVBand="0" w:oddHBand="0" w:evenHBand="0" w:firstRowFirstColumn="0" w:firstRowLastColumn="0" w:lastRowFirstColumn="0" w:lastRowLastColumn="0"/>
              <w:rPr>
                <w:rStyle w:val="Hyperlink"/>
                <w:color w:val="FFFFFF" w:themeColor="background1"/>
                <w:szCs w:val="18"/>
                <w:u w:val="none"/>
                <w:lang w:val="en-US"/>
              </w:rPr>
            </w:pPr>
            <w:r>
              <w:rPr>
                <w:rStyle w:val="Hyperlink"/>
                <w:color w:val="FFFFFF" w:themeColor="background1"/>
                <w:szCs w:val="18"/>
                <w:u w:val="none"/>
                <w:lang w:val="en-US"/>
              </w:rPr>
              <w:t>Design Update is in Scope?</w:t>
            </w:r>
          </w:p>
        </w:tc>
        <w:tc>
          <w:tcPr>
            <w:tcW w:w="2340" w:type="dxa"/>
            <w:tcBorders>
              <w:bottom w:val="single" w:sz="4" w:space="0" w:color="auto"/>
              <w:right w:val="single" w:sz="4" w:space="0" w:color="auto"/>
            </w:tcBorders>
          </w:tcPr>
          <w:p w14:paraId="53A507BA" w14:textId="5FC92869" w:rsidR="00E27BC3" w:rsidRPr="00A21682" w:rsidRDefault="00E27BC3" w:rsidP="00B6583F">
            <w:pPr>
              <w:pStyle w:val="NormalNEW"/>
              <w:spacing w:before="60" w:after="60"/>
              <w:cnfStyle w:val="100000000000" w:firstRow="1" w:lastRow="0" w:firstColumn="0" w:lastColumn="0" w:oddVBand="0" w:evenVBand="0" w:oddHBand="0" w:evenHBand="0" w:firstRowFirstColumn="0" w:firstRowLastColumn="0" w:lastRowFirstColumn="0" w:lastRowLastColumn="0"/>
              <w:rPr>
                <w:rStyle w:val="Hyperlink"/>
                <w:color w:val="FFFFFF" w:themeColor="background1"/>
                <w:szCs w:val="18"/>
                <w:u w:val="none"/>
                <w:lang w:val="en-US"/>
              </w:rPr>
            </w:pPr>
            <w:r>
              <w:rPr>
                <w:rStyle w:val="Hyperlink"/>
                <w:color w:val="FFFFFF" w:themeColor="background1"/>
                <w:szCs w:val="18"/>
                <w:u w:val="none"/>
                <w:lang w:val="en-US"/>
              </w:rPr>
              <w:t>ICCP Approval Required Before Updates are Made?</w:t>
            </w:r>
          </w:p>
        </w:tc>
      </w:tr>
      <w:tr w:rsidR="00E27BC3" w:rsidRPr="00A21682" w14:paraId="0C86B3EA" w14:textId="77777777" w:rsidTr="00B6583F">
        <w:trPr>
          <w:trHeight w:val="432"/>
          <w:jc w:val="center"/>
        </w:trPr>
        <w:tc>
          <w:tcPr>
            <w:cnfStyle w:val="001000000000" w:firstRow="0" w:lastRow="0" w:firstColumn="1" w:lastColumn="0" w:oddVBand="0" w:evenVBand="0" w:oddHBand="0" w:evenHBand="0" w:firstRowFirstColumn="0" w:firstRowLastColumn="0" w:lastRowFirstColumn="0" w:lastRowLastColumn="0"/>
            <w:tcW w:w="4389" w:type="dxa"/>
          </w:tcPr>
          <w:p w14:paraId="458DB544" w14:textId="376D4756" w:rsidR="00E27BC3" w:rsidRPr="00A21682" w:rsidRDefault="00E27BC3" w:rsidP="00B6583F">
            <w:pPr>
              <w:pStyle w:val="NormalNEW"/>
              <w:spacing w:before="60" w:after="60"/>
              <w:rPr>
                <w:rStyle w:val="Hyperlink"/>
                <w:color w:val="auto"/>
                <w:szCs w:val="18"/>
                <w:u w:val="none"/>
                <w:lang w:val="en-US"/>
              </w:rPr>
            </w:pPr>
            <w:r>
              <w:rPr>
                <w:rStyle w:val="Hyperlink"/>
                <w:color w:val="auto"/>
                <w:szCs w:val="18"/>
                <w:u w:val="none"/>
                <w:lang w:val="en-US"/>
              </w:rPr>
              <w:t>Transmittal Approved</w:t>
            </w:r>
          </w:p>
        </w:tc>
        <w:tc>
          <w:tcPr>
            <w:tcW w:w="2250" w:type="dxa"/>
          </w:tcPr>
          <w:p w14:paraId="686FBDE7"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Yes</w:t>
            </w:r>
          </w:p>
        </w:tc>
        <w:tc>
          <w:tcPr>
            <w:tcW w:w="2340" w:type="dxa"/>
            <w:tcBorders>
              <w:top w:val="single" w:sz="4" w:space="0" w:color="auto"/>
            </w:tcBorders>
          </w:tcPr>
          <w:p w14:paraId="21D53CB5"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Yes</w:t>
            </w:r>
          </w:p>
        </w:tc>
      </w:tr>
      <w:tr w:rsidR="00E27BC3" w:rsidRPr="00A21682" w14:paraId="365EAFA3" w14:textId="77777777" w:rsidTr="00F61291">
        <w:trPr>
          <w:trHeight w:val="485"/>
          <w:jc w:val="center"/>
        </w:trPr>
        <w:tc>
          <w:tcPr>
            <w:cnfStyle w:val="001000000000" w:firstRow="0" w:lastRow="0" w:firstColumn="1" w:lastColumn="0" w:oddVBand="0" w:evenVBand="0" w:oddHBand="0" w:evenHBand="0" w:firstRowFirstColumn="0" w:firstRowLastColumn="0" w:lastRowFirstColumn="0" w:lastRowLastColumn="0"/>
            <w:tcW w:w="4389" w:type="dxa"/>
          </w:tcPr>
          <w:p w14:paraId="511BE7B7" w14:textId="09657232" w:rsidR="00E27BC3" w:rsidRPr="00A21682" w:rsidRDefault="00E27BC3" w:rsidP="00B6583F">
            <w:pPr>
              <w:pStyle w:val="NormalNEW"/>
              <w:spacing w:before="60" w:after="60"/>
              <w:rPr>
                <w:rStyle w:val="Hyperlink"/>
                <w:color w:val="auto"/>
                <w:szCs w:val="18"/>
                <w:u w:val="none"/>
                <w:lang w:val="en-US"/>
              </w:rPr>
            </w:pPr>
            <w:r>
              <w:rPr>
                <w:rStyle w:val="Hyperlink"/>
                <w:color w:val="auto"/>
                <w:szCs w:val="18"/>
                <w:u w:val="none"/>
                <w:lang w:val="en-US"/>
              </w:rPr>
              <w:t>Transmittal Approved</w:t>
            </w:r>
          </w:p>
        </w:tc>
        <w:tc>
          <w:tcPr>
            <w:tcW w:w="2250" w:type="dxa"/>
          </w:tcPr>
          <w:p w14:paraId="36953CB6"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No</w:t>
            </w:r>
          </w:p>
        </w:tc>
        <w:tc>
          <w:tcPr>
            <w:tcW w:w="2340" w:type="dxa"/>
          </w:tcPr>
          <w:p w14:paraId="1646D4CE"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Yes</w:t>
            </w:r>
          </w:p>
        </w:tc>
      </w:tr>
      <w:tr w:rsidR="00E27BC3" w:rsidRPr="00A21682" w14:paraId="3AB43372" w14:textId="77777777" w:rsidTr="00B6583F">
        <w:trPr>
          <w:trHeight w:val="432"/>
          <w:jc w:val="center"/>
        </w:trPr>
        <w:tc>
          <w:tcPr>
            <w:cnfStyle w:val="001000000000" w:firstRow="0" w:lastRow="0" w:firstColumn="1" w:lastColumn="0" w:oddVBand="0" w:evenVBand="0" w:oddHBand="0" w:evenHBand="0" w:firstRowFirstColumn="0" w:firstRowLastColumn="0" w:lastRowFirstColumn="0" w:lastRowLastColumn="0"/>
            <w:tcW w:w="4389" w:type="dxa"/>
          </w:tcPr>
          <w:p w14:paraId="29B970BB" w14:textId="77777777" w:rsidR="00E27BC3" w:rsidRPr="00A21682" w:rsidRDefault="00E27BC3" w:rsidP="00B6583F">
            <w:pPr>
              <w:pStyle w:val="NormalNEW"/>
              <w:spacing w:before="60" w:after="60"/>
              <w:rPr>
                <w:rStyle w:val="Hyperlink"/>
                <w:color w:val="auto"/>
                <w:szCs w:val="18"/>
                <w:u w:val="none"/>
                <w:lang w:val="en-US"/>
              </w:rPr>
            </w:pPr>
            <w:r>
              <w:rPr>
                <w:rStyle w:val="Hyperlink"/>
                <w:color w:val="auto"/>
                <w:szCs w:val="18"/>
                <w:u w:val="none"/>
                <w:lang w:val="en-US"/>
              </w:rPr>
              <w:t>Concurred</w:t>
            </w:r>
          </w:p>
        </w:tc>
        <w:tc>
          <w:tcPr>
            <w:tcW w:w="2250" w:type="dxa"/>
          </w:tcPr>
          <w:p w14:paraId="4A268FB3"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Yes</w:t>
            </w:r>
          </w:p>
        </w:tc>
        <w:tc>
          <w:tcPr>
            <w:tcW w:w="2340" w:type="dxa"/>
          </w:tcPr>
          <w:p w14:paraId="446390BB"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No</w:t>
            </w:r>
          </w:p>
        </w:tc>
      </w:tr>
      <w:tr w:rsidR="00E27BC3" w:rsidRPr="00A21682" w14:paraId="236865BA" w14:textId="77777777" w:rsidTr="00B6583F">
        <w:trPr>
          <w:trHeight w:val="432"/>
          <w:jc w:val="center"/>
        </w:trPr>
        <w:tc>
          <w:tcPr>
            <w:cnfStyle w:val="001000000000" w:firstRow="0" w:lastRow="0" w:firstColumn="1" w:lastColumn="0" w:oddVBand="0" w:evenVBand="0" w:oddHBand="0" w:evenHBand="0" w:firstRowFirstColumn="0" w:firstRowLastColumn="0" w:lastRowFirstColumn="0" w:lastRowLastColumn="0"/>
            <w:tcW w:w="4389" w:type="dxa"/>
          </w:tcPr>
          <w:p w14:paraId="12C781FB" w14:textId="77777777" w:rsidR="00E27BC3" w:rsidRPr="00A21682" w:rsidRDefault="00E27BC3" w:rsidP="00B6583F">
            <w:pPr>
              <w:pStyle w:val="NormalNEW"/>
              <w:spacing w:before="60" w:after="60"/>
              <w:rPr>
                <w:rStyle w:val="Hyperlink"/>
                <w:color w:val="auto"/>
                <w:szCs w:val="18"/>
                <w:u w:val="none"/>
                <w:lang w:val="en-US"/>
              </w:rPr>
            </w:pPr>
            <w:r>
              <w:rPr>
                <w:rStyle w:val="Hyperlink"/>
                <w:color w:val="auto"/>
                <w:szCs w:val="18"/>
                <w:u w:val="none"/>
                <w:lang w:val="en-US"/>
              </w:rPr>
              <w:t>Concurred</w:t>
            </w:r>
          </w:p>
        </w:tc>
        <w:tc>
          <w:tcPr>
            <w:tcW w:w="2250" w:type="dxa"/>
          </w:tcPr>
          <w:p w14:paraId="0AD23468"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No</w:t>
            </w:r>
          </w:p>
        </w:tc>
        <w:tc>
          <w:tcPr>
            <w:tcW w:w="2340" w:type="dxa"/>
          </w:tcPr>
          <w:p w14:paraId="3D31326D" w14:textId="77777777" w:rsidR="00E27BC3" w:rsidRPr="00A21682" w:rsidRDefault="00E27BC3" w:rsidP="00B6583F">
            <w:pPr>
              <w:pStyle w:val="NormalNEW"/>
              <w:spacing w:before="60" w:after="60"/>
              <w:cnfStyle w:val="000000000000" w:firstRow="0" w:lastRow="0" w:firstColumn="0" w:lastColumn="0" w:oddVBand="0" w:evenVBand="0" w:oddHBand="0" w:evenHBand="0" w:firstRowFirstColumn="0" w:firstRowLastColumn="0" w:lastRowFirstColumn="0" w:lastRowLastColumn="0"/>
              <w:rPr>
                <w:rStyle w:val="Hyperlink"/>
                <w:color w:val="auto"/>
                <w:szCs w:val="18"/>
                <w:u w:val="none"/>
                <w:lang w:val="en-US"/>
              </w:rPr>
            </w:pPr>
            <w:r>
              <w:rPr>
                <w:rStyle w:val="Hyperlink"/>
                <w:color w:val="auto"/>
                <w:szCs w:val="18"/>
                <w:u w:val="none"/>
                <w:lang w:val="en-US"/>
              </w:rPr>
              <w:t>Yes</w:t>
            </w:r>
          </w:p>
        </w:tc>
      </w:tr>
    </w:tbl>
    <w:p w14:paraId="2040B3DD" w14:textId="541801A8" w:rsidR="003610B0" w:rsidRPr="00A21682" w:rsidRDefault="003610B0">
      <w:pPr>
        <w:pStyle w:val="Caption"/>
        <w:rPr>
          <w:noProof w:val="0"/>
        </w:rPr>
      </w:pPr>
      <w:bookmarkStart w:id="3216" w:name="_Toc19287518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5</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6</w:t>
      </w:r>
      <w:r>
        <w:rPr>
          <w:noProof w:val="0"/>
        </w:rPr>
        <w:fldChar w:fldCharType="end"/>
      </w:r>
      <w:r>
        <w:rPr>
          <w:noProof w:val="0"/>
        </w:rPr>
        <w:t>: ICCP Approval for Design Documentation</w:t>
      </w:r>
      <w:bookmarkEnd w:id="3216"/>
    </w:p>
    <w:p w14:paraId="793D81E3" w14:textId="611F49C2" w:rsidR="009719F7" w:rsidRPr="00A21682" w:rsidRDefault="009719F7" w:rsidP="009719F7">
      <w:pPr>
        <w:pStyle w:val="Heading4"/>
      </w:pPr>
      <w:bookmarkStart w:id="3217" w:name="_Toc192874859"/>
      <w:bookmarkStart w:id="3218" w:name="_Toc185952696"/>
      <w:r>
        <w:t>Design Updates to FDD Post Transmittal Approval Diagram</w:t>
      </w:r>
      <w:bookmarkEnd w:id="3217"/>
    </w:p>
    <w:p w14:paraId="47ACEA5C" w14:textId="3DF21C0D" w:rsidR="009719F7" w:rsidRPr="00A21682" w:rsidRDefault="009719F7" w:rsidP="009719F7">
      <w:pPr>
        <w:pStyle w:val="NormalNEW"/>
        <w:rPr>
          <w:rFonts w:ascii="Times New Roman" w:hAnsi="Times New Roman" w:cs="Times New Roman"/>
          <w:lang w:val="en-US"/>
        </w:rPr>
      </w:pPr>
      <w:r>
        <w:rPr>
          <w:szCs w:val="18"/>
          <w:lang w:val="en-US"/>
        </w:rPr>
        <w:t>Link to process flow diagram: Post Transmittal Approval Post Concurrence Design Update Process Flow</w:t>
      </w:r>
    </w:p>
    <w:p w14:paraId="7753C03C" w14:textId="09E29C3C" w:rsidR="00914F8E" w:rsidRPr="00A21682" w:rsidRDefault="00914F8E" w:rsidP="00914F8E">
      <w:pPr>
        <w:pStyle w:val="Heading4"/>
      </w:pPr>
      <w:bookmarkStart w:id="3219" w:name="_Toc192874860"/>
      <w:r>
        <w:t>Design Updates to FDD Post Transmittal Approval Narrative</w:t>
      </w:r>
      <w:bookmarkEnd w:id="3219"/>
    </w:p>
    <w:p w14:paraId="6302C2A5" w14:textId="77777777" w:rsidR="00914F8E" w:rsidRPr="00A21682" w:rsidRDefault="00914F8E" w:rsidP="00914F8E">
      <w:pPr>
        <w:rPr>
          <w:rFonts w:ascii="Verdana" w:hAnsi="Verdana"/>
          <w:sz w:val="18"/>
          <w:szCs w:val="18"/>
        </w:rPr>
      </w:pPr>
      <w:r>
        <w:rPr>
          <w:rFonts w:ascii="Verdana" w:hAnsi="Verdana"/>
          <w:sz w:val="18"/>
          <w:szCs w:val="18"/>
        </w:rPr>
        <w:t>The following table details the steps outlined in the link to the diagram mentioned above.</w:t>
      </w:r>
    </w:p>
    <w:p w14:paraId="7BF20FBA" w14:textId="77777777" w:rsidR="00914F8E" w:rsidRPr="00A21682" w:rsidRDefault="00914F8E" w:rsidP="00914F8E">
      <w:pPr>
        <w:rPr>
          <w:rFonts w:ascii="Verdana" w:hAnsi="Verdana"/>
          <w:sz w:val="18"/>
          <w:szCs w:val="1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762"/>
        <w:gridCol w:w="2967"/>
        <w:gridCol w:w="3609"/>
        <w:gridCol w:w="2022"/>
      </w:tblGrid>
      <w:tr w:rsidR="00914F8E" w:rsidRPr="00A21682" w14:paraId="5EE462CD" w14:textId="77777777" w:rsidTr="00EC6D10">
        <w:trPr>
          <w:trHeight w:val="300"/>
          <w:tblHeader/>
        </w:trPr>
        <w:tc>
          <w:tcPr>
            <w:tcW w:w="762" w:type="dxa"/>
            <w:tcBorders>
              <w:right w:val="single" w:sz="4" w:space="0" w:color="FFFFFF" w:themeColor="background1"/>
            </w:tcBorders>
            <w:shd w:val="clear" w:color="auto" w:fill="000000" w:themeFill="text1"/>
            <w:tcMar>
              <w:left w:w="58" w:type="dxa"/>
              <w:right w:w="58" w:type="dxa"/>
            </w:tcMar>
          </w:tcPr>
          <w:p w14:paraId="10523FF8" w14:textId="77777777" w:rsidR="00914F8E" w:rsidRPr="00A21682" w:rsidRDefault="00914F8E">
            <w:pPr>
              <w:spacing w:before="60" w:after="60"/>
              <w:rPr>
                <w:rFonts w:ascii="Verdana" w:hAnsi="Verdana"/>
                <w:sz w:val="18"/>
                <w:szCs w:val="18"/>
              </w:rPr>
            </w:pPr>
            <w:r>
              <w:rPr>
                <w:rFonts w:ascii="Verdana" w:eastAsia="Verdana" w:hAnsi="Verdana" w:cs="Verdana"/>
                <w:b/>
                <w:bCs/>
                <w:color w:val="FFFFFF" w:themeColor="background1"/>
                <w:sz w:val="18"/>
                <w:szCs w:val="18"/>
              </w:rPr>
              <w:t>Step #</w:t>
            </w:r>
          </w:p>
        </w:tc>
        <w:tc>
          <w:tcPr>
            <w:tcW w:w="2967" w:type="dxa"/>
            <w:tcBorders>
              <w:left w:val="single" w:sz="4" w:space="0" w:color="FFFFFF" w:themeColor="background1"/>
              <w:right w:val="single" w:sz="4" w:space="0" w:color="FFFFFF" w:themeColor="background1"/>
            </w:tcBorders>
            <w:shd w:val="clear" w:color="auto" w:fill="000000" w:themeFill="text1"/>
            <w:tcMar>
              <w:left w:w="58" w:type="dxa"/>
              <w:right w:w="58" w:type="dxa"/>
            </w:tcMar>
          </w:tcPr>
          <w:p w14:paraId="3E6CC810" w14:textId="77777777" w:rsidR="00914F8E" w:rsidRPr="00A21682" w:rsidRDefault="00914F8E">
            <w:pPr>
              <w:spacing w:before="60" w:after="60"/>
              <w:rPr>
                <w:rFonts w:ascii="Verdana" w:hAnsi="Verdana"/>
                <w:sz w:val="18"/>
                <w:szCs w:val="18"/>
              </w:rPr>
            </w:pPr>
            <w:r>
              <w:rPr>
                <w:rFonts w:ascii="Verdana" w:eastAsia="Verdana" w:hAnsi="Verdana" w:cs="Verdana"/>
                <w:b/>
                <w:bCs/>
                <w:color w:val="FFFFFF" w:themeColor="background1"/>
                <w:sz w:val="18"/>
                <w:szCs w:val="18"/>
              </w:rPr>
              <w:t>Process</w:t>
            </w:r>
          </w:p>
        </w:tc>
        <w:tc>
          <w:tcPr>
            <w:tcW w:w="3609" w:type="dxa"/>
            <w:tcBorders>
              <w:left w:val="single" w:sz="4" w:space="0" w:color="FFFFFF" w:themeColor="background1"/>
              <w:right w:val="single" w:sz="4" w:space="0" w:color="FFFFFF" w:themeColor="background1"/>
            </w:tcBorders>
            <w:shd w:val="clear" w:color="auto" w:fill="000000" w:themeFill="text1"/>
            <w:tcMar>
              <w:left w:w="58" w:type="dxa"/>
              <w:right w:w="58" w:type="dxa"/>
            </w:tcMar>
          </w:tcPr>
          <w:p w14:paraId="6E43E5C7" w14:textId="77777777" w:rsidR="00914F8E" w:rsidRPr="00A21682" w:rsidRDefault="00914F8E">
            <w:pPr>
              <w:spacing w:before="60" w:after="60"/>
              <w:rPr>
                <w:rFonts w:ascii="Verdana" w:hAnsi="Verdana"/>
                <w:sz w:val="18"/>
                <w:szCs w:val="18"/>
              </w:rPr>
            </w:pPr>
            <w:r>
              <w:rPr>
                <w:rFonts w:ascii="Verdana" w:eastAsia="Verdana" w:hAnsi="Verdana" w:cs="Verdana"/>
                <w:b/>
                <w:bCs/>
                <w:color w:val="FFFFFF" w:themeColor="background1"/>
                <w:sz w:val="18"/>
                <w:szCs w:val="18"/>
              </w:rPr>
              <w:t>Description</w:t>
            </w:r>
          </w:p>
        </w:tc>
        <w:tc>
          <w:tcPr>
            <w:tcW w:w="2022" w:type="dxa"/>
            <w:tcBorders>
              <w:left w:val="single" w:sz="4" w:space="0" w:color="FFFFFF" w:themeColor="background1"/>
            </w:tcBorders>
            <w:shd w:val="clear" w:color="auto" w:fill="000000" w:themeFill="text1"/>
            <w:tcMar>
              <w:left w:w="58" w:type="dxa"/>
              <w:right w:w="58" w:type="dxa"/>
            </w:tcMar>
          </w:tcPr>
          <w:p w14:paraId="3DD2E693" w14:textId="77777777" w:rsidR="00914F8E" w:rsidRPr="00A21682" w:rsidRDefault="00914F8E">
            <w:pPr>
              <w:spacing w:before="60" w:after="60"/>
              <w:rPr>
                <w:rFonts w:ascii="Verdana" w:hAnsi="Verdana"/>
                <w:sz w:val="18"/>
                <w:szCs w:val="18"/>
              </w:rPr>
            </w:pPr>
            <w:r>
              <w:rPr>
                <w:rFonts w:ascii="Verdana" w:eastAsia="Verdana" w:hAnsi="Verdana" w:cs="Verdana"/>
                <w:b/>
                <w:bCs/>
                <w:color w:val="FFFFFF" w:themeColor="background1"/>
                <w:sz w:val="18"/>
                <w:szCs w:val="18"/>
              </w:rPr>
              <w:t>Stakeholder Group(s)</w:t>
            </w:r>
          </w:p>
        </w:tc>
      </w:tr>
      <w:tr w:rsidR="00914F8E" w:rsidRPr="00A21682" w14:paraId="7191FBDC" w14:textId="77777777" w:rsidTr="00EC6D10">
        <w:trPr>
          <w:trHeight w:val="510"/>
        </w:trPr>
        <w:tc>
          <w:tcPr>
            <w:tcW w:w="762" w:type="dxa"/>
            <w:tcMar>
              <w:left w:w="58" w:type="dxa"/>
              <w:right w:w="58" w:type="dxa"/>
            </w:tcMar>
          </w:tcPr>
          <w:p w14:paraId="7AAF44A9"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1.0</w:t>
            </w:r>
          </w:p>
        </w:tc>
        <w:tc>
          <w:tcPr>
            <w:tcW w:w="2967" w:type="dxa"/>
            <w:tcMar>
              <w:left w:w="58" w:type="dxa"/>
              <w:right w:w="58" w:type="dxa"/>
            </w:tcMar>
          </w:tcPr>
          <w:p w14:paraId="30EA00B4"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Design Document Needs Updates</w:t>
            </w:r>
          </w:p>
        </w:tc>
        <w:tc>
          <w:tcPr>
            <w:tcW w:w="3609" w:type="dxa"/>
            <w:tcMar>
              <w:left w:w="58" w:type="dxa"/>
              <w:right w:w="58" w:type="dxa"/>
            </w:tcMar>
          </w:tcPr>
          <w:p w14:paraId="1C29D63B" w14:textId="1BF58451"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 xml:space="preserve">Design documents could be requiring post transmittal approval/concurrence for several reasons. Common examples include defects, Solution Exploration Observations, JAD sessions, DUM process, etc. </w:t>
            </w:r>
          </w:p>
        </w:tc>
        <w:tc>
          <w:tcPr>
            <w:tcW w:w="2022" w:type="dxa"/>
            <w:tcMar>
              <w:left w:w="58" w:type="dxa"/>
              <w:right w:w="58" w:type="dxa"/>
            </w:tcMar>
          </w:tcPr>
          <w:p w14:paraId="0C0C4AF0" w14:textId="77777777" w:rsidR="00914F8E" w:rsidRPr="00A21682" w:rsidRDefault="00914F8E" w:rsidP="00E06D47">
            <w:pPr>
              <w:pStyle w:val="TABLEBULLETNEW"/>
            </w:pPr>
            <w:r>
              <w:t>███████ Functional team</w:t>
            </w:r>
          </w:p>
          <w:p w14:paraId="4EA380D3" w14:textId="77777777" w:rsidR="00914F8E" w:rsidRPr="00A21682" w:rsidRDefault="00914F8E" w:rsidP="00E06D47">
            <w:pPr>
              <w:pStyle w:val="TABLEBULLETNEW"/>
            </w:pPr>
            <w:r>
              <w:t>DOH OHIP</w:t>
            </w:r>
          </w:p>
        </w:tc>
      </w:tr>
      <w:tr w:rsidR="00914F8E" w:rsidRPr="00A21682" w14:paraId="6DB980B9" w14:textId="77777777" w:rsidTr="00EC6D10">
        <w:trPr>
          <w:trHeight w:val="682"/>
        </w:trPr>
        <w:tc>
          <w:tcPr>
            <w:tcW w:w="762" w:type="dxa"/>
            <w:tcMar>
              <w:left w:w="58" w:type="dxa"/>
              <w:right w:w="58" w:type="dxa"/>
            </w:tcMar>
          </w:tcPr>
          <w:p w14:paraId="087825A1" w14:textId="77777777"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1.1</w:t>
            </w:r>
          </w:p>
        </w:tc>
        <w:tc>
          <w:tcPr>
            <w:tcW w:w="2967" w:type="dxa"/>
            <w:tcMar>
              <w:left w:w="58" w:type="dxa"/>
              <w:right w:w="58" w:type="dxa"/>
            </w:tcMar>
          </w:tcPr>
          <w:p w14:paraId="04484AF6" w14:textId="77777777" w:rsidR="00914F8E" w:rsidRPr="00A21682" w:rsidDel="007C77D3" w:rsidRDefault="00914F8E">
            <w:pPr>
              <w:spacing w:before="60" w:after="60"/>
              <w:rPr>
                <w:rFonts w:ascii="Verdana" w:eastAsia="Verdana" w:hAnsi="Verdana" w:cs="Verdana"/>
                <w:color w:val="000000" w:themeColor="text1"/>
                <w:sz w:val="18"/>
                <w:szCs w:val="18"/>
              </w:rPr>
            </w:pPr>
            <w:r>
              <w:rPr>
                <w:rFonts w:ascii="Verdana" w:eastAsia="Verdana" w:hAnsi="Verdana" w:cs="Verdana"/>
                <w:color w:val="000000" w:themeColor="text1"/>
                <w:sz w:val="18"/>
                <w:szCs w:val="18"/>
              </w:rPr>
              <w:t>Change Request Required?</w:t>
            </w:r>
          </w:p>
        </w:tc>
        <w:tc>
          <w:tcPr>
            <w:tcW w:w="3609" w:type="dxa"/>
            <w:tcMar>
              <w:left w:w="58" w:type="dxa"/>
              <w:right w:w="58" w:type="dxa"/>
            </w:tcMar>
          </w:tcPr>
          <w:p w14:paraId="64707F0E" w14:textId="77777777"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If ███████ and DOH OHIP determine that a Change Request is necessary for the design update and/or the design update is already transmittal approved, then the ICCP process is followed to make the design update.</w:t>
            </w:r>
          </w:p>
          <w:p w14:paraId="4AC7250F" w14:textId="77777777" w:rsidR="00914F8E" w:rsidRPr="008E3B7C" w:rsidRDefault="00914F8E" w:rsidP="00E06D47">
            <w:pPr>
              <w:pStyle w:val="TABLEBULLETNEW"/>
              <w:rPr>
                <w:i/>
              </w:rPr>
            </w:pPr>
            <w:r>
              <w:t xml:space="preserve">If the update requires a change request, proceed to </w:t>
            </w:r>
            <w:r>
              <w:rPr>
                <w:i/>
              </w:rPr>
              <w:t>Step #1.2 Follow ICCP to Initiate Design Update</w:t>
            </w:r>
          </w:p>
          <w:p w14:paraId="54E59CA5" w14:textId="77777777" w:rsidR="00914F8E" w:rsidRPr="00A21682" w:rsidDel="00EF5ECA" w:rsidRDefault="00914F8E" w:rsidP="00E06D47">
            <w:pPr>
              <w:pStyle w:val="TABLEBULLETNEW"/>
            </w:pPr>
            <w:r>
              <w:t xml:space="preserve">If the update does not require a change request, proceed to </w:t>
            </w:r>
            <w:r>
              <w:rPr>
                <w:i/>
              </w:rPr>
              <w:t>Step #1.3 System Code Change Required?</w:t>
            </w:r>
          </w:p>
        </w:tc>
        <w:tc>
          <w:tcPr>
            <w:tcW w:w="2022" w:type="dxa"/>
            <w:tcMar>
              <w:left w:w="58" w:type="dxa"/>
              <w:right w:w="58" w:type="dxa"/>
            </w:tcMar>
          </w:tcPr>
          <w:p w14:paraId="07B74AE0" w14:textId="77777777" w:rsidR="00914F8E" w:rsidRPr="00A21682" w:rsidRDefault="00914F8E" w:rsidP="00E06D47">
            <w:pPr>
              <w:pStyle w:val="TABLEBULLETNEW"/>
            </w:pPr>
            <w:r>
              <w:t>███████ Functional team</w:t>
            </w:r>
          </w:p>
          <w:p w14:paraId="1DC01A31" w14:textId="77777777" w:rsidR="00914F8E" w:rsidRPr="00A21682" w:rsidRDefault="00914F8E" w:rsidP="00E06D47">
            <w:pPr>
              <w:pStyle w:val="TABLEBULLETNEW"/>
            </w:pPr>
            <w:r>
              <w:t>DOH OHIP</w:t>
            </w:r>
          </w:p>
        </w:tc>
      </w:tr>
      <w:tr w:rsidR="00914F8E" w:rsidRPr="00A21682" w14:paraId="5B705594" w14:textId="77777777" w:rsidTr="00EC6D10">
        <w:trPr>
          <w:trHeight w:val="970"/>
        </w:trPr>
        <w:tc>
          <w:tcPr>
            <w:tcW w:w="762" w:type="dxa"/>
            <w:tcMar>
              <w:left w:w="58" w:type="dxa"/>
              <w:right w:w="58" w:type="dxa"/>
            </w:tcMar>
          </w:tcPr>
          <w:p w14:paraId="008C1885" w14:textId="77777777"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1.2</w:t>
            </w:r>
          </w:p>
        </w:tc>
        <w:tc>
          <w:tcPr>
            <w:tcW w:w="2967" w:type="dxa"/>
            <w:tcMar>
              <w:left w:w="58" w:type="dxa"/>
              <w:right w:w="58" w:type="dxa"/>
            </w:tcMar>
          </w:tcPr>
          <w:p w14:paraId="19955B98" w14:textId="77777777" w:rsidR="00914F8E" w:rsidRPr="00A21682" w:rsidDel="007C77D3" w:rsidRDefault="00914F8E">
            <w:pPr>
              <w:spacing w:before="60" w:after="60"/>
              <w:rPr>
                <w:rFonts w:ascii="Verdana" w:eastAsia="Verdana" w:hAnsi="Verdana" w:cs="Verdana"/>
                <w:color w:val="000000" w:themeColor="text1"/>
                <w:sz w:val="18"/>
                <w:szCs w:val="18"/>
              </w:rPr>
            </w:pPr>
            <w:r>
              <w:rPr>
                <w:rFonts w:ascii="Verdana" w:eastAsia="Verdana" w:hAnsi="Verdana" w:cs="Verdana"/>
                <w:color w:val="000000" w:themeColor="text1"/>
                <w:sz w:val="18"/>
                <w:szCs w:val="18"/>
              </w:rPr>
              <w:t>Follow ICCP to Initiate Design Update</w:t>
            </w:r>
          </w:p>
        </w:tc>
        <w:tc>
          <w:tcPr>
            <w:tcW w:w="3609" w:type="dxa"/>
            <w:tcMar>
              <w:left w:w="58" w:type="dxa"/>
              <w:right w:w="58" w:type="dxa"/>
            </w:tcMar>
          </w:tcPr>
          <w:p w14:paraId="11E78F52" w14:textId="77777777" w:rsidR="00914F8E" w:rsidRPr="00A21682" w:rsidDel="00EF5ECA" w:rsidRDefault="00914F8E">
            <w:pPr>
              <w:spacing w:before="60" w:after="60"/>
              <w:rPr>
                <w:rFonts w:ascii="Verdana" w:eastAsia="Verdana" w:hAnsi="Verdana" w:cs="Verdana"/>
                <w:sz w:val="18"/>
                <w:szCs w:val="18"/>
              </w:rPr>
            </w:pPr>
            <w:r>
              <w:rPr>
                <w:rFonts w:ascii="Verdana" w:eastAsia="Verdana" w:hAnsi="Verdana" w:cs="Verdana"/>
                <w:color w:val="000000" w:themeColor="text1"/>
                <w:sz w:val="18"/>
                <w:szCs w:val="18"/>
              </w:rPr>
              <w:t>Create CR ticket, documentation, and follow ICCP to initiate the design update.</w:t>
            </w:r>
          </w:p>
        </w:tc>
        <w:tc>
          <w:tcPr>
            <w:tcW w:w="2022" w:type="dxa"/>
            <w:tcMar>
              <w:left w:w="58" w:type="dxa"/>
              <w:right w:w="58" w:type="dxa"/>
            </w:tcMar>
          </w:tcPr>
          <w:p w14:paraId="7B71E522" w14:textId="77777777" w:rsidR="00914F8E" w:rsidRPr="00A21682" w:rsidRDefault="00914F8E" w:rsidP="00E06D47">
            <w:pPr>
              <w:pStyle w:val="TABLEBULLETNEW"/>
            </w:pPr>
            <w:r>
              <w:t>███████ Functional team</w:t>
            </w:r>
          </w:p>
        </w:tc>
      </w:tr>
      <w:tr w:rsidR="00914F8E" w:rsidRPr="00A21682" w14:paraId="12B7524B" w14:textId="77777777" w:rsidTr="00EC6D10">
        <w:trPr>
          <w:trHeight w:val="835"/>
        </w:trPr>
        <w:tc>
          <w:tcPr>
            <w:tcW w:w="762" w:type="dxa"/>
            <w:tcMar>
              <w:left w:w="58" w:type="dxa"/>
              <w:right w:w="58" w:type="dxa"/>
            </w:tcMar>
          </w:tcPr>
          <w:p w14:paraId="7F8FF989"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1.3</w:t>
            </w:r>
          </w:p>
        </w:tc>
        <w:tc>
          <w:tcPr>
            <w:tcW w:w="2967" w:type="dxa"/>
            <w:tcMar>
              <w:left w:w="58" w:type="dxa"/>
              <w:right w:w="58" w:type="dxa"/>
            </w:tcMar>
          </w:tcPr>
          <w:p w14:paraId="5164F6C1"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System Code Change Required?</w:t>
            </w:r>
          </w:p>
        </w:tc>
        <w:tc>
          <w:tcPr>
            <w:tcW w:w="3609" w:type="dxa"/>
            <w:tcMar>
              <w:left w:w="58" w:type="dxa"/>
              <w:right w:w="58" w:type="dxa"/>
            </w:tcMar>
          </w:tcPr>
          <w:p w14:paraId="295B18DD" w14:textId="77777777" w:rsidR="00914F8E" w:rsidRPr="00A21682" w:rsidRDefault="00914F8E">
            <w:pPr>
              <w:spacing w:before="60" w:after="60"/>
            </w:pPr>
            <w:r>
              <w:t xml:space="preserve">Determine whether the design update will result in a system code change. </w:t>
            </w:r>
          </w:p>
          <w:p w14:paraId="26D5AC74" w14:textId="77777777" w:rsidR="00914F8E" w:rsidRPr="008E3B7C" w:rsidRDefault="00914F8E" w:rsidP="00E06D47">
            <w:pPr>
              <w:pStyle w:val="TABLEBULLETNEW"/>
              <w:rPr>
                <w:i/>
              </w:rPr>
            </w:pPr>
            <w:r>
              <w:t xml:space="preserve">If the update to the design document will result in a system code change, proceed to </w:t>
            </w:r>
            <w:r>
              <w:rPr>
                <w:i/>
              </w:rPr>
              <w:t xml:space="preserve">Step #2 </w:t>
            </w:r>
            <w:r>
              <w:rPr>
                <w:i/>
              </w:rPr>
              <w:lastRenderedPageBreak/>
              <w:t>Create Design Update (Doc + Code) the ALM tool Ticket</w:t>
            </w:r>
          </w:p>
          <w:p w14:paraId="6E45B3A2" w14:textId="77777777" w:rsidR="00914F8E" w:rsidRPr="00A21682" w:rsidRDefault="00914F8E" w:rsidP="00E06D47">
            <w:pPr>
              <w:pStyle w:val="TABLEBULLETNEW"/>
            </w:pPr>
            <w:r>
              <w:t xml:space="preserve">If the design update does not require a system code update, proceed to </w:t>
            </w:r>
            <w:r>
              <w:rPr>
                <w:i/>
              </w:rPr>
              <w:t>Step #3 Create Document Update (Doc only) the ALM tool Ticket</w:t>
            </w:r>
          </w:p>
        </w:tc>
        <w:tc>
          <w:tcPr>
            <w:tcW w:w="2022" w:type="dxa"/>
            <w:tcMar>
              <w:left w:w="58" w:type="dxa"/>
              <w:right w:w="58" w:type="dxa"/>
            </w:tcMar>
          </w:tcPr>
          <w:p w14:paraId="0309315C" w14:textId="77777777" w:rsidR="00914F8E" w:rsidRPr="00A21682" w:rsidRDefault="00914F8E" w:rsidP="00E06D47">
            <w:pPr>
              <w:pStyle w:val="TABLEBULLETNEW"/>
            </w:pPr>
            <w:r>
              <w:lastRenderedPageBreak/>
              <w:t>███████ Functional team</w:t>
            </w:r>
          </w:p>
        </w:tc>
      </w:tr>
      <w:tr w:rsidR="00914F8E" w:rsidRPr="00A21682" w14:paraId="64387749" w14:textId="77777777" w:rsidTr="00EC6D10">
        <w:trPr>
          <w:trHeight w:val="435"/>
        </w:trPr>
        <w:tc>
          <w:tcPr>
            <w:tcW w:w="762" w:type="dxa"/>
            <w:tcMar>
              <w:left w:w="58" w:type="dxa"/>
              <w:right w:w="58" w:type="dxa"/>
            </w:tcMar>
          </w:tcPr>
          <w:p w14:paraId="1DDCBFBF"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2.0</w:t>
            </w:r>
          </w:p>
        </w:tc>
        <w:tc>
          <w:tcPr>
            <w:tcW w:w="2967" w:type="dxa"/>
            <w:tcMar>
              <w:left w:w="58" w:type="dxa"/>
              <w:right w:w="58" w:type="dxa"/>
            </w:tcMar>
          </w:tcPr>
          <w:p w14:paraId="38B4CB38"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Create Design Update (Doc + Code) the ALM tool Ticket</w:t>
            </w:r>
          </w:p>
        </w:tc>
        <w:tc>
          <w:tcPr>
            <w:tcW w:w="3609" w:type="dxa"/>
            <w:tcMar>
              <w:left w:w="58" w:type="dxa"/>
              <w:right w:w="58" w:type="dxa"/>
            </w:tcMar>
          </w:tcPr>
          <w:p w14:paraId="0B42633C" w14:textId="2B609E6D"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The ███████ Functional team creates a Design Update (Doc + Code) ALM tool ticket and fills out the relevant fields. The team links the ticket to the source ticket and corresponding design artifact (i.e., Design Document, Design Component, or ICD).</w:t>
            </w:r>
          </w:p>
        </w:tc>
        <w:tc>
          <w:tcPr>
            <w:tcW w:w="2022" w:type="dxa"/>
            <w:tcMar>
              <w:left w:w="58" w:type="dxa"/>
              <w:right w:w="58" w:type="dxa"/>
            </w:tcMar>
          </w:tcPr>
          <w:p w14:paraId="0CE5BAB5" w14:textId="77777777" w:rsidR="00914F8E" w:rsidRPr="00A21682" w:rsidRDefault="00914F8E" w:rsidP="00E06D47">
            <w:pPr>
              <w:pStyle w:val="TABLEBULLETNEW"/>
            </w:pPr>
            <w:r>
              <w:t>███████ Functional team</w:t>
            </w:r>
          </w:p>
        </w:tc>
      </w:tr>
      <w:tr w:rsidR="00914F8E" w:rsidRPr="00A21682" w14:paraId="41C4C03B" w14:textId="77777777" w:rsidTr="00EC6D10">
        <w:trPr>
          <w:trHeight w:val="585"/>
        </w:trPr>
        <w:tc>
          <w:tcPr>
            <w:tcW w:w="762" w:type="dxa"/>
            <w:tcMar>
              <w:left w:w="58" w:type="dxa"/>
              <w:right w:w="58" w:type="dxa"/>
            </w:tcMar>
          </w:tcPr>
          <w:p w14:paraId="65451AF0"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3.0</w:t>
            </w:r>
          </w:p>
        </w:tc>
        <w:tc>
          <w:tcPr>
            <w:tcW w:w="2967" w:type="dxa"/>
            <w:tcMar>
              <w:left w:w="58" w:type="dxa"/>
              <w:right w:w="58" w:type="dxa"/>
            </w:tcMar>
          </w:tcPr>
          <w:p w14:paraId="272746DA" w14:textId="255AE558"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Create Document Update (Doc Only) the ALM tool Ticket</w:t>
            </w:r>
          </w:p>
        </w:tc>
        <w:tc>
          <w:tcPr>
            <w:tcW w:w="3609" w:type="dxa"/>
            <w:tcMar>
              <w:left w:w="58" w:type="dxa"/>
              <w:right w:w="58" w:type="dxa"/>
            </w:tcMar>
          </w:tcPr>
          <w:p w14:paraId="2D6470CC" w14:textId="1AE18BFE"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 xml:space="preserve">The ███████ Functional team </w:t>
            </w:r>
            <w:r>
              <w:rPr>
                <w:rFonts w:ascii="Verdana" w:eastAsia="Verdana" w:hAnsi="Verdana" w:cs="Verdana"/>
                <w:color w:val="000000" w:themeColor="text1"/>
                <w:sz w:val="18"/>
                <w:szCs w:val="18"/>
              </w:rPr>
              <w:t xml:space="preserve">creates a Document Update (Doc only) ALM tool ticket </w:t>
            </w:r>
            <w:r>
              <w:rPr>
                <w:rFonts w:ascii="Verdana" w:eastAsia="Verdana" w:hAnsi="Verdana" w:cs="Verdana"/>
                <w:sz w:val="18"/>
                <w:szCs w:val="18"/>
              </w:rPr>
              <w:t>and fills out the relevant fields. The team links the ticket to the source ticket and corresponding design artifact (i.e., Design Document, Design Component, or ICD).</w:t>
            </w:r>
          </w:p>
        </w:tc>
        <w:tc>
          <w:tcPr>
            <w:tcW w:w="2022" w:type="dxa"/>
            <w:tcMar>
              <w:left w:w="58" w:type="dxa"/>
              <w:right w:w="58" w:type="dxa"/>
            </w:tcMar>
          </w:tcPr>
          <w:p w14:paraId="0147FD15" w14:textId="6ACE6647" w:rsidR="00914F8E" w:rsidRPr="00A21682" w:rsidRDefault="00914F8E" w:rsidP="00E06D47">
            <w:pPr>
              <w:pStyle w:val="TABLEBULLETNEW"/>
            </w:pPr>
            <w:r>
              <w:t>███████ Functional team</w:t>
            </w:r>
          </w:p>
        </w:tc>
      </w:tr>
      <w:tr w:rsidR="00914F8E" w:rsidRPr="00A21682" w14:paraId="6F08E25C" w14:textId="77777777" w:rsidTr="00EC6D10">
        <w:trPr>
          <w:trHeight w:val="585"/>
        </w:trPr>
        <w:tc>
          <w:tcPr>
            <w:tcW w:w="762" w:type="dxa"/>
            <w:tcMar>
              <w:left w:w="58" w:type="dxa"/>
              <w:right w:w="58" w:type="dxa"/>
            </w:tcMar>
          </w:tcPr>
          <w:p w14:paraId="340F7AB7" w14:textId="77777777"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4.0</w:t>
            </w:r>
          </w:p>
        </w:tc>
        <w:tc>
          <w:tcPr>
            <w:tcW w:w="2967" w:type="dxa"/>
            <w:tcMar>
              <w:left w:w="58" w:type="dxa"/>
              <w:right w:w="58" w:type="dxa"/>
            </w:tcMar>
          </w:tcPr>
          <w:p w14:paraId="50E39745" w14:textId="77777777" w:rsidR="00914F8E" w:rsidRPr="00A21682" w:rsidRDefault="00914F8E">
            <w:pPr>
              <w:spacing w:before="60" w:after="60"/>
              <w:rPr>
                <w:rFonts w:ascii="Verdana" w:eastAsia="Verdana" w:hAnsi="Verdana" w:cs="Verdana"/>
                <w:color w:val="000000" w:themeColor="text1"/>
                <w:sz w:val="18"/>
                <w:szCs w:val="18"/>
              </w:rPr>
            </w:pPr>
            <w:r>
              <w:rPr>
                <w:rFonts w:ascii="Verdana" w:eastAsia="Verdana" w:hAnsi="Verdana" w:cs="Verdana"/>
                <w:color w:val="000000" w:themeColor="text1"/>
                <w:sz w:val="18"/>
                <w:szCs w:val="18"/>
              </w:rPr>
              <w:t>Update ALM tool status to Triaged</w:t>
            </w:r>
          </w:p>
        </w:tc>
        <w:tc>
          <w:tcPr>
            <w:tcW w:w="3609" w:type="dxa"/>
            <w:tcMar>
              <w:left w:w="58" w:type="dxa"/>
              <w:right w:w="58" w:type="dxa"/>
            </w:tcMar>
          </w:tcPr>
          <w:p w14:paraId="462F1545" w14:textId="6F95532A"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The ███████ Functional team updates status of ticket to ‘</w:t>
            </w:r>
            <w:r>
              <w:rPr>
                <w:rFonts w:ascii="Verdana" w:eastAsia="Verdana" w:hAnsi="Verdana" w:cs="Verdana"/>
                <w:color w:val="000000" w:themeColor="text1"/>
                <w:sz w:val="18"/>
                <w:szCs w:val="18"/>
              </w:rPr>
              <w:t>Triaged’ while analyzing the updates required.</w:t>
            </w:r>
          </w:p>
        </w:tc>
        <w:tc>
          <w:tcPr>
            <w:tcW w:w="2022" w:type="dxa"/>
            <w:tcMar>
              <w:left w:w="58" w:type="dxa"/>
              <w:right w:w="58" w:type="dxa"/>
            </w:tcMar>
          </w:tcPr>
          <w:p w14:paraId="174FE4CA" w14:textId="77777777" w:rsidR="00914F8E" w:rsidRPr="00A21682" w:rsidRDefault="00914F8E" w:rsidP="00E06D47">
            <w:pPr>
              <w:pStyle w:val="TABLEBULLETNEW"/>
            </w:pPr>
            <w:r>
              <w:t>███████ Functional team</w:t>
            </w:r>
          </w:p>
        </w:tc>
      </w:tr>
      <w:tr w:rsidR="00914F8E" w:rsidRPr="00A21682" w14:paraId="6B520D6D" w14:textId="77777777" w:rsidTr="00EC6D10">
        <w:trPr>
          <w:trHeight w:val="1425"/>
        </w:trPr>
        <w:tc>
          <w:tcPr>
            <w:tcW w:w="762" w:type="dxa"/>
            <w:tcMar>
              <w:left w:w="58" w:type="dxa"/>
              <w:right w:w="58" w:type="dxa"/>
            </w:tcMar>
          </w:tcPr>
          <w:p w14:paraId="42E0E07A"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5.0</w:t>
            </w:r>
          </w:p>
        </w:tc>
        <w:tc>
          <w:tcPr>
            <w:tcW w:w="2967" w:type="dxa"/>
            <w:tcMar>
              <w:left w:w="58" w:type="dxa"/>
              <w:right w:w="58" w:type="dxa"/>
            </w:tcMar>
          </w:tcPr>
          <w:p w14:paraId="4810884E"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Initiate Design Updates</w:t>
            </w:r>
          </w:p>
        </w:tc>
        <w:tc>
          <w:tcPr>
            <w:tcW w:w="3609" w:type="dxa"/>
            <w:tcMar>
              <w:left w:w="58" w:type="dxa"/>
              <w:right w:w="58" w:type="dxa"/>
            </w:tcMar>
          </w:tcPr>
          <w:p w14:paraId="3D49E5F6" w14:textId="77777777"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 xml:space="preserve">The ███████ Functional team obtains the latest version of the design document from either the ADR (if approved via transmittal) or the CDR (if concurred, but not yet approved). </w:t>
            </w:r>
          </w:p>
          <w:p w14:paraId="5707EF19"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Changes are made to the design document with tracked changes turned on, and the version history is advanced by .1 with a description indicating the source of the update and summarizing changes made. </w:t>
            </w:r>
          </w:p>
        </w:tc>
        <w:tc>
          <w:tcPr>
            <w:tcW w:w="2022" w:type="dxa"/>
            <w:tcMar>
              <w:left w:w="58" w:type="dxa"/>
              <w:right w:w="58" w:type="dxa"/>
            </w:tcMar>
          </w:tcPr>
          <w:p w14:paraId="666C7F07" w14:textId="77777777" w:rsidR="00914F8E" w:rsidRPr="00A21682" w:rsidRDefault="00914F8E" w:rsidP="00E06D47">
            <w:pPr>
              <w:pStyle w:val="TABLEBULLETNEW"/>
            </w:pPr>
            <w:r>
              <w:t>███████ Functional team</w:t>
            </w:r>
          </w:p>
        </w:tc>
      </w:tr>
      <w:tr w:rsidR="00914F8E" w:rsidRPr="00A21682" w14:paraId="7F60B9AD" w14:textId="77777777" w:rsidTr="00EC6D10">
        <w:trPr>
          <w:trHeight w:val="1425"/>
        </w:trPr>
        <w:tc>
          <w:tcPr>
            <w:tcW w:w="762" w:type="dxa"/>
            <w:tcMar>
              <w:left w:w="58" w:type="dxa"/>
              <w:right w:w="58" w:type="dxa"/>
            </w:tcMar>
          </w:tcPr>
          <w:p w14:paraId="45D9FF4A"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6.0</w:t>
            </w:r>
          </w:p>
        </w:tc>
        <w:tc>
          <w:tcPr>
            <w:tcW w:w="2967" w:type="dxa"/>
            <w:tcMar>
              <w:left w:w="58" w:type="dxa"/>
              <w:right w:w="58" w:type="dxa"/>
            </w:tcMar>
          </w:tcPr>
          <w:p w14:paraId="57239AEA" w14:textId="3A59B814"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Save Document in Designated DOH SharePoint Location</w:t>
            </w:r>
          </w:p>
        </w:tc>
        <w:tc>
          <w:tcPr>
            <w:tcW w:w="3609" w:type="dxa"/>
            <w:tcMar>
              <w:left w:w="58" w:type="dxa"/>
              <w:right w:w="58" w:type="dxa"/>
            </w:tcMar>
          </w:tcPr>
          <w:p w14:paraId="0BFAE578" w14:textId="34FC73BE" w:rsidR="00914F8E" w:rsidRPr="00A21682" w:rsidRDefault="00914F8E">
            <w:pPr>
              <w:spacing w:before="60" w:after="60"/>
              <w:rPr>
                <w:rFonts w:ascii="Verdana" w:hAnsi="Verdana"/>
                <w:sz w:val="18"/>
                <w:szCs w:val="18"/>
              </w:rPr>
            </w:pPr>
            <w:r>
              <w:rPr>
                <w:rFonts w:ascii="Verdana" w:eastAsia="Verdana" w:hAnsi="Verdana" w:cs="Verdana"/>
                <w:sz w:val="18"/>
                <w:szCs w:val="18"/>
              </w:rPr>
              <w:t>The ███████ Functional team saves the design document with tracked changes on while design updates are ongoing in the designated DOH SharePoint folder. Design documents are temporarily stored in this folder throughout the review cycle between DOH and ███████. The hyperlink to the document should be included in the ALM tool ticket.</w:t>
            </w:r>
          </w:p>
        </w:tc>
        <w:tc>
          <w:tcPr>
            <w:tcW w:w="2022" w:type="dxa"/>
            <w:tcMar>
              <w:left w:w="58" w:type="dxa"/>
              <w:right w:w="58" w:type="dxa"/>
            </w:tcMar>
          </w:tcPr>
          <w:p w14:paraId="3341D3A2" w14:textId="77777777" w:rsidR="00914F8E" w:rsidRPr="00A21682" w:rsidRDefault="00914F8E" w:rsidP="00E06D47">
            <w:pPr>
              <w:pStyle w:val="TABLEBULLETNEW"/>
            </w:pPr>
            <w:r>
              <w:t>███████ Functional team</w:t>
            </w:r>
          </w:p>
        </w:tc>
      </w:tr>
      <w:tr w:rsidR="00914F8E" w:rsidRPr="00A21682" w14:paraId="28824091" w14:textId="77777777" w:rsidTr="00EC6D10">
        <w:trPr>
          <w:trHeight w:val="420"/>
        </w:trPr>
        <w:tc>
          <w:tcPr>
            <w:tcW w:w="762" w:type="dxa"/>
            <w:tcMar>
              <w:left w:w="58" w:type="dxa"/>
              <w:right w:w="58" w:type="dxa"/>
            </w:tcMar>
          </w:tcPr>
          <w:p w14:paraId="3CC01B28"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lastRenderedPageBreak/>
              <w:t>7.0</w:t>
            </w:r>
          </w:p>
        </w:tc>
        <w:tc>
          <w:tcPr>
            <w:tcW w:w="2967" w:type="dxa"/>
            <w:tcMar>
              <w:left w:w="58" w:type="dxa"/>
              <w:right w:w="58" w:type="dxa"/>
            </w:tcMar>
          </w:tcPr>
          <w:p w14:paraId="30DEAA5E"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Complete Design Update Changes</w:t>
            </w:r>
          </w:p>
        </w:tc>
        <w:tc>
          <w:tcPr>
            <w:tcW w:w="3609" w:type="dxa"/>
            <w:tcMar>
              <w:left w:w="58" w:type="dxa"/>
              <w:right w:w="58" w:type="dxa"/>
            </w:tcMar>
          </w:tcPr>
          <w:p w14:paraId="693AB402"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The ███████ Functional team makes changes to the design document to complete the design update. </w:t>
            </w:r>
          </w:p>
        </w:tc>
        <w:tc>
          <w:tcPr>
            <w:tcW w:w="2022" w:type="dxa"/>
            <w:tcMar>
              <w:left w:w="58" w:type="dxa"/>
              <w:right w:w="58" w:type="dxa"/>
            </w:tcMar>
          </w:tcPr>
          <w:p w14:paraId="0C18A518" w14:textId="77777777" w:rsidR="00914F8E" w:rsidRPr="00A21682" w:rsidRDefault="00914F8E" w:rsidP="00E06D47">
            <w:pPr>
              <w:pStyle w:val="TABLEBULLETNEW"/>
            </w:pPr>
            <w:r>
              <w:t>███████ Functional team</w:t>
            </w:r>
          </w:p>
        </w:tc>
      </w:tr>
      <w:tr w:rsidR="00914F8E" w:rsidRPr="00A21682" w14:paraId="37E36914" w14:textId="77777777" w:rsidTr="00EC6D10">
        <w:trPr>
          <w:trHeight w:val="1425"/>
        </w:trPr>
        <w:tc>
          <w:tcPr>
            <w:tcW w:w="762" w:type="dxa"/>
            <w:tcMar>
              <w:left w:w="58" w:type="dxa"/>
              <w:right w:w="58" w:type="dxa"/>
            </w:tcMar>
          </w:tcPr>
          <w:p w14:paraId="27F3D305"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8.0</w:t>
            </w:r>
          </w:p>
        </w:tc>
        <w:tc>
          <w:tcPr>
            <w:tcW w:w="2967" w:type="dxa"/>
            <w:tcMar>
              <w:left w:w="58" w:type="dxa"/>
              <w:right w:w="58" w:type="dxa"/>
            </w:tcMar>
          </w:tcPr>
          <w:p w14:paraId="4FF32036"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Conduct QA Review of Updated Document</w:t>
            </w:r>
          </w:p>
        </w:tc>
        <w:tc>
          <w:tcPr>
            <w:tcW w:w="3609" w:type="dxa"/>
            <w:tcMar>
              <w:left w:w="58" w:type="dxa"/>
              <w:right w:w="58" w:type="dxa"/>
            </w:tcMar>
          </w:tcPr>
          <w:p w14:paraId="3D2796B4"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The ███████ Functional team performs QA checks on the updated design document before it is shared with DOH. </w:t>
            </w:r>
          </w:p>
          <w:p w14:paraId="32CD3E20"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The ALM tool status is updated to QA Review in Progress. </w:t>
            </w:r>
          </w:p>
        </w:tc>
        <w:tc>
          <w:tcPr>
            <w:tcW w:w="2022" w:type="dxa"/>
            <w:tcMar>
              <w:left w:w="58" w:type="dxa"/>
              <w:right w:w="58" w:type="dxa"/>
            </w:tcMar>
          </w:tcPr>
          <w:p w14:paraId="06D51716" w14:textId="77777777" w:rsidR="00914F8E" w:rsidRPr="00A21682" w:rsidRDefault="00914F8E" w:rsidP="00E06D47">
            <w:pPr>
              <w:pStyle w:val="TABLEBULLETNEW"/>
            </w:pPr>
            <w:r>
              <w:t>███████ Functional team</w:t>
            </w:r>
          </w:p>
        </w:tc>
      </w:tr>
      <w:tr w:rsidR="00914F8E" w:rsidRPr="00A21682" w14:paraId="3BAEBC16" w14:textId="77777777" w:rsidTr="00EC6D10">
        <w:trPr>
          <w:trHeight w:val="1425"/>
        </w:trPr>
        <w:tc>
          <w:tcPr>
            <w:tcW w:w="762" w:type="dxa"/>
            <w:tcMar>
              <w:left w:w="58" w:type="dxa"/>
              <w:right w:w="58" w:type="dxa"/>
            </w:tcMar>
          </w:tcPr>
          <w:p w14:paraId="2A43060C"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9.0</w:t>
            </w:r>
          </w:p>
        </w:tc>
        <w:tc>
          <w:tcPr>
            <w:tcW w:w="2967" w:type="dxa"/>
            <w:tcMar>
              <w:left w:w="58" w:type="dxa"/>
              <w:right w:w="58" w:type="dxa"/>
            </w:tcMar>
          </w:tcPr>
          <w:p w14:paraId="684BD5C5"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Assign to DOH Reviewer</w:t>
            </w:r>
          </w:p>
        </w:tc>
        <w:tc>
          <w:tcPr>
            <w:tcW w:w="3609" w:type="dxa"/>
            <w:tcMar>
              <w:left w:w="58" w:type="dxa"/>
              <w:right w:w="58" w:type="dxa"/>
            </w:tcMar>
          </w:tcPr>
          <w:p w14:paraId="4054D77C"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Once ███████ completes the QA review, and the design document is ready to be shared with DOH, ███████ update the ALM tool status to DOH Review. </w:t>
            </w:r>
          </w:p>
          <w:p w14:paraId="11DB7FA0" w14:textId="4D0B888D" w:rsidR="00914F8E" w:rsidRPr="00A21682" w:rsidRDefault="00914F8E">
            <w:pPr>
              <w:spacing w:before="60" w:after="60"/>
              <w:rPr>
                <w:rFonts w:ascii="Verdana" w:hAnsi="Verdana"/>
                <w:sz w:val="18"/>
                <w:szCs w:val="18"/>
              </w:rPr>
            </w:pPr>
            <w:r>
              <w:rPr>
                <w:rFonts w:ascii="Verdana" w:eastAsia="Verdana" w:hAnsi="Verdana" w:cs="Verdana"/>
                <w:sz w:val="18"/>
                <w:szCs w:val="18"/>
                <w:highlight w:val="black"/>
              </w:rPr>
              <w:t>Deloitte</w:t>
            </w:r>
            <w:r>
              <w:rPr>
                <w:rFonts w:ascii="Verdana" w:eastAsia="Verdana" w:hAnsi="Verdana" w:cs="Verdana"/>
                <w:sz w:val="18"/>
                <w:szCs w:val="18"/>
              </w:rPr>
              <w:t xml:space="preserve"> notifies and re-assigns the ticket to the designated DOH reviewer. The Target Close Date is updated in the ticket so that Deloitte and DOH can target finishing the review of the design update.</w:t>
            </w:r>
          </w:p>
        </w:tc>
        <w:tc>
          <w:tcPr>
            <w:tcW w:w="2022" w:type="dxa"/>
            <w:tcMar>
              <w:left w:w="58" w:type="dxa"/>
              <w:right w:w="58" w:type="dxa"/>
            </w:tcMar>
          </w:tcPr>
          <w:p w14:paraId="2CBBCCDB" w14:textId="4A774AE8" w:rsidR="00914F8E" w:rsidRPr="00A21682" w:rsidRDefault="00914F8E" w:rsidP="00E06D47">
            <w:pPr>
              <w:pStyle w:val="TABLEBULLETNEW"/>
            </w:pPr>
            <w:r>
              <w:t>███████ Functional team</w:t>
            </w:r>
          </w:p>
        </w:tc>
      </w:tr>
      <w:tr w:rsidR="00914F8E" w:rsidRPr="00A21682" w14:paraId="319EDF6F" w14:textId="77777777" w:rsidTr="00EC6D10">
        <w:trPr>
          <w:trHeight w:val="277"/>
        </w:trPr>
        <w:tc>
          <w:tcPr>
            <w:tcW w:w="762" w:type="dxa"/>
            <w:tcMar>
              <w:left w:w="58" w:type="dxa"/>
              <w:right w:w="58" w:type="dxa"/>
            </w:tcMar>
          </w:tcPr>
          <w:p w14:paraId="39725941"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10.0</w:t>
            </w:r>
          </w:p>
        </w:tc>
        <w:tc>
          <w:tcPr>
            <w:tcW w:w="2967" w:type="dxa"/>
            <w:tcMar>
              <w:left w:w="58" w:type="dxa"/>
              <w:right w:w="58" w:type="dxa"/>
            </w:tcMar>
          </w:tcPr>
          <w:p w14:paraId="72D6F478" w14:textId="77777777" w:rsidR="00914F8E" w:rsidRPr="00A21682" w:rsidRDefault="00914F8E" w:rsidP="00BD0DC6">
            <w:pPr>
              <w:spacing w:before="60" w:after="60" w:line="288" w:lineRule="auto"/>
              <w:rPr>
                <w:rFonts w:ascii="Verdana" w:hAnsi="Verdana"/>
                <w:sz w:val="18"/>
                <w:szCs w:val="18"/>
              </w:rPr>
            </w:pPr>
            <w:r>
              <w:rPr>
                <w:rFonts w:ascii="Verdana" w:eastAsia="Verdana" w:hAnsi="Verdana" w:cs="Verdana"/>
                <w:color w:val="000000" w:themeColor="text1"/>
                <w:sz w:val="18"/>
                <w:szCs w:val="18"/>
              </w:rPr>
              <w:t>Conduct Design Update Document Review</w:t>
            </w:r>
          </w:p>
        </w:tc>
        <w:tc>
          <w:tcPr>
            <w:tcW w:w="3609" w:type="dxa"/>
            <w:tcMar>
              <w:left w:w="58" w:type="dxa"/>
              <w:right w:w="58" w:type="dxa"/>
            </w:tcMar>
          </w:tcPr>
          <w:p w14:paraId="3B6D81FA"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 xml:space="preserve">DOH OHIP reviews the assigned design update document. </w:t>
            </w:r>
          </w:p>
        </w:tc>
        <w:tc>
          <w:tcPr>
            <w:tcW w:w="2022" w:type="dxa"/>
            <w:tcMar>
              <w:left w:w="58" w:type="dxa"/>
              <w:right w:w="58" w:type="dxa"/>
            </w:tcMar>
          </w:tcPr>
          <w:p w14:paraId="73201A53" w14:textId="77777777" w:rsidR="00914F8E" w:rsidRPr="00A21682" w:rsidRDefault="00914F8E" w:rsidP="00E06D47">
            <w:pPr>
              <w:pStyle w:val="TABLEBULLETNEW"/>
            </w:pPr>
            <w:r>
              <w:t>DOH OHIP</w:t>
            </w:r>
          </w:p>
        </w:tc>
      </w:tr>
      <w:tr w:rsidR="00914F8E" w:rsidRPr="00A21682" w14:paraId="483BCC12" w14:textId="77777777" w:rsidTr="00EC6D10">
        <w:trPr>
          <w:trHeight w:val="90"/>
        </w:trPr>
        <w:tc>
          <w:tcPr>
            <w:tcW w:w="762" w:type="dxa"/>
            <w:tcMar>
              <w:left w:w="58" w:type="dxa"/>
              <w:right w:w="58" w:type="dxa"/>
            </w:tcMar>
          </w:tcPr>
          <w:p w14:paraId="36EE73C6"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10.1</w:t>
            </w:r>
          </w:p>
        </w:tc>
        <w:tc>
          <w:tcPr>
            <w:tcW w:w="2967" w:type="dxa"/>
            <w:tcMar>
              <w:left w:w="58" w:type="dxa"/>
              <w:right w:w="58" w:type="dxa"/>
            </w:tcMar>
          </w:tcPr>
          <w:p w14:paraId="74DC5396" w14:textId="77777777" w:rsidR="00914F8E" w:rsidRPr="00A21682" w:rsidRDefault="00914F8E" w:rsidP="00BD0DC6">
            <w:pPr>
              <w:spacing w:before="60" w:after="60" w:line="288" w:lineRule="auto"/>
              <w:rPr>
                <w:rFonts w:ascii="Verdana" w:hAnsi="Verdana"/>
                <w:sz w:val="18"/>
                <w:szCs w:val="18"/>
              </w:rPr>
            </w:pPr>
            <w:r>
              <w:rPr>
                <w:rFonts w:ascii="Verdana" w:eastAsia="Verdana" w:hAnsi="Verdana" w:cs="Verdana"/>
                <w:color w:val="000000" w:themeColor="text1"/>
                <w:sz w:val="18"/>
                <w:szCs w:val="18"/>
              </w:rPr>
              <w:t>Comments/Feedback Provided by DOH?</w:t>
            </w:r>
          </w:p>
        </w:tc>
        <w:tc>
          <w:tcPr>
            <w:tcW w:w="3609" w:type="dxa"/>
            <w:tcMar>
              <w:left w:w="58" w:type="dxa"/>
              <w:right w:w="58" w:type="dxa"/>
            </w:tcMar>
          </w:tcPr>
          <w:p w14:paraId="437F8778"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 xml:space="preserve">DOH OHIP determines whether to provide any feedback/comments for ███████ to address </w:t>
            </w:r>
          </w:p>
          <w:p w14:paraId="0E7CE8AE" w14:textId="77777777" w:rsidR="00914F8E" w:rsidRPr="00A21682" w:rsidRDefault="00914F8E" w:rsidP="00E06D47">
            <w:pPr>
              <w:pStyle w:val="TABLEBULLETNEW"/>
            </w:pPr>
            <w:r>
              <w:t xml:space="preserve">If there are comments/feedback for </w:t>
            </w:r>
            <w:r>
              <w:rPr>
                <w:highlight w:val="black"/>
              </w:rPr>
              <w:t>Deloitte</w:t>
            </w:r>
            <w:r>
              <w:t xml:space="preserve"> to address, proceed to </w:t>
            </w:r>
            <w:r>
              <w:rPr>
                <w:i/>
              </w:rPr>
              <w:t xml:space="preserve">Step #11 Provide Comments/Feedback </w:t>
            </w:r>
          </w:p>
          <w:p w14:paraId="68F705C5" w14:textId="77777777" w:rsidR="00914F8E" w:rsidRPr="00A21682" w:rsidRDefault="00914F8E" w:rsidP="00E06D47">
            <w:pPr>
              <w:pStyle w:val="TABLEBULLETNEW"/>
            </w:pPr>
            <w:r>
              <w:t xml:space="preserve">If there are no comments or feedback for </w:t>
            </w:r>
            <w:r>
              <w:rPr>
                <w:highlight w:val="black"/>
              </w:rPr>
              <w:t>Deloitte</w:t>
            </w:r>
            <w:r>
              <w:t xml:space="preserve"> to address and the design update is approved, proceed to </w:t>
            </w:r>
            <w:r>
              <w:rPr>
                <w:i/>
              </w:rPr>
              <w:t>Step #12.0 Update ALM tool status to DOH Approval</w:t>
            </w:r>
          </w:p>
        </w:tc>
        <w:tc>
          <w:tcPr>
            <w:tcW w:w="2022" w:type="dxa"/>
            <w:tcMar>
              <w:left w:w="58" w:type="dxa"/>
              <w:right w:w="58" w:type="dxa"/>
            </w:tcMar>
          </w:tcPr>
          <w:p w14:paraId="67A536FF" w14:textId="3FFC4BBF" w:rsidR="00914F8E" w:rsidRPr="00A21682" w:rsidRDefault="00914F8E" w:rsidP="00E06D47">
            <w:pPr>
              <w:pStyle w:val="TABLEBULLETNEW"/>
            </w:pPr>
            <w:r>
              <w:t>DOH OHIP</w:t>
            </w:r>
          </w:p>
        </w:tc>
      </w:tr>
      <w:tr w:rsidR="00914F8E" w:rsidRPr="00A21682" w14:paraId="57735025" w14:textId="77777777" w:rsidTr="00EC6D10">
        <w:trPr>
          <w:trHeight w:val="1564"/>
        </w:trPr>
        <w:tc>
          <w:tcPr>
            <w:tcW w:w="762" w:type="dxa"/>
            <w:tcMar>
              <w:left w:w="58" w:type="dxa"/>
              <w:right w:w="58" w:type="dxa"/>
            </w:tcMar>
          </w:tcPr>
          <w:p w14:paraId="3910BCE9" w14:textId="77777777" w:rsidR="00914F8E" w:rsidRPr="00A21682" w:rsidDel="00F17925" w:rsidRDefault="00914F8E">
            <w:pPr>
              <w:spacing w:before="60" w:after="60"/>
              <w:rPr>
                <w:rFonts w:ascii="Verdana" w:eastAsia="Verdana" w:hAnsi="Verdana" w:cs="Verdana"/>
                <w:sz w:val="18"/>
                <w:szCs w:val="18"/>
              </w:rPr>
            </w:pPr>
            <w:r>
              <w:rPr>
                <w:rFonts w:ascii="Verdana" w:eastAsia="Verdana" w:hAnsi="Verdana" w:cs="Verdana"/>
                <w:sz w:val="18"/>
                <w:szCs w:val="18"/>
              </w:rPr>
              <w:t>11.0</w:t>
            </w:r>
          </w:p>
        </w:tc>
        <w:tc>
          <w:tcPr>
            <w:tcW w:w="2967" w:type="dxa"/>
            <w:tcMar>
              <w:left w:w="58" w:type="dxa"/>
              <w:right w:w="58" w:type="dxa"/>
            </w:tcMar>
          </w:tcPr>
          <w:p w14:paraId="522BFF79" w14:textId="77777777" w:rsidR="00914F8E" w:rsidRPr="00A21682" w:rsidDel="00F17925" w:rsidRDefault="00914F8E" w:rsidP="00BD0DC6">
            <w:pPr>
              <w:spacing w:before="60" w:after="60" w:line="288" w:lineRule="auto"/>
              <w:rPr>
                <w:rFonts w:ascii="Verdana" w:eastAsia="Verdana" w:hAnsi="Verdana" w:cs="Verdana"/>
                <w:color w:val="000000" w:themeColor="text1"/>
                <w:sz w:val="18"/>
                <w:szCs w:val="18"/>
              </w:rPr>
            </w:pPr>
            <w:r>
              <w:rPr>
                <w:rFonts w:ascii="Verdana" w:eastAsia="Verdana" w:hAnsi="Verdana" w:cs="Verdana"/>
                <w:color w:val="000000" w:themeColor="text1"/>
                <w:sz w:val="18"/>
                <w:szCs w:val="18"/>
              </w:rPr>
              <w:t>Provide Comments/Feedback</w:t>
            </w:r>
          </w:p>
        </w:tc>
        <w:tc>
          <w:tcPr>
            <w:tcW w:w="3609" w:type="dxa"/>
            <w:tcMar>
              <w:left w:w="58" w:type="dxa"/>
              <w:right w:w="58" w:type="dxa"/>
            </w:tcMar>
          </w:tcPr>
          <w:p w14:paraId="7CF4B413" w14:textId="77777777" w:rsidR="00914F8E" w:rsidRPr="00A21682" w:rsidRDefault="00914F8E">
            <w:pPr>
              <w:spacing w:before="60" w:after="60"/>
              <w:rPr>
                <w:rFonts w:ascii="Verdana" w:eastAsia="Verdana" w:hAnsi="Verdana" w:cs="Verdana"/>
                <w:color w:val="000000" w:themeColor="text1"/>
                <w:sz w:val="18"/>
                <w:szCs w:val="18"/>
              </w:rPr>
            </w:pPr>
            <w:r>
              <w:rPr>
                <w:rFonts w:ascii="Verdana" w:eastAsia="Verdana" w:hAnsi="Verdana" w:cs="Verdana"/>
                <w:color w:val="000000" w:themeColor="text1"/>
                <w:sz w:val="18"/>
                <w:szCs w:val="18"/>
              </w:rPr>
              <w:t>DOH OHIP posts comments and feedback directly in the design document. DOH OHIP updates the ALM tool status to Comment Response Pending and reassigns the ALM tool ticket to ███████ to review.</w:t>
            </w:r>
          </w:p>
        </w:tc>
        <w:tc>
          <w:tcPr>
            <w:tcW w:w="2022" w:type="dxa"/>
            <w:tcMar>
              <w:left w:w="58" w:type="dxa"/>
              <w:right w:w="58" w:type="dxa"/>
            </w:tcMar>
          </w:tcPr>
          <w:p w14:paraId="52AD250D" w14:textId="77777777" w:rsidR="00914F8E" w:rsidRPr="00A21682" w:rsidRDefault="00914F8E" w:rsidP="00E06D47">
            <w:pPr>
              <w:pStyle w:val="TABLEBULLETNEW"/>
            </w:pPr>
            <w:r>
              <w:t>DOH OHIP</w:t>
            </w:r>
          </w:p>
        </w:tc>
      </w:tr>
      <w:tr w:rsidR="00914F8E" w:rsidRPr="00A21682" w14:paraId="43B08DD3" w14:textId="77777777" w:rsidTr="00EC6D10">
        <w:trPr>
          <w:trHeight w:val="565"/>
        </w:trPr>
        <w:tc>
          <w:tcPr>
            <w:tcW w:w="762" w:type="dxa"/>
            <w:tcMar>
              <w:left w:w="58" w:type="dxa"/>
              <w:right w:w="58" w:type="dxa"/>
            </w:tcMar>
          </w:tcPr>
          <w:p w14:paraId="7DD66EE8"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11.1</w:t>
            </w:r>
          </w:p>
        </w:tc>
        <w:tc>
          <w:tcPr>
            <w:tcW w:w="2967" w:type="dxa"/>
            <w:tcMar>
              <w:left w:w="58" w:type="dxa"/>
              <w:right w:w="58" w:type="dxa"/>
            </w:tcMar>
          </w:tcPr>
          <w:p w14:paraId="2669C7D3" w14:textId="77777777" w:rsidR="00914F8E" w:rsidRPr="00A21682" w:rsidRDefault="00914F8E" w:rsidP="00BD0DC6">
            <w:pPr>
              <w:spacing w:before="60" w:after="60" w:line="288" w:lineRule="auto"/>
              <w:rPr>
                <w:rFonts w:ascii="Verdana" w:hAnsi="Verdana"/>
                <w:sz w:val="18"/>
                <w:szCs w:val="18"/>
              </w:rPr>
            </w:pPr>
            <w:r>
              <w:rPr>
                <w:rFonts w:ascii="Verdana" w:eastAsia="Verdana" w:hAnsi="Verdana" w:cs="Verdana"/>
                <w:color w:val="000000" w:themeColor="text1"/>
                <w:sz w:val="18"/>
                <w:szCs w:val="18"/>
              </w:rPr>
              <w:t>Address DOH Comments/Feedback</w:t>
            </w:r>
          </w:p>
        </w:tc>
        <w:tc>
          <w:tcPr>
            <w:tcW w:w="3609" w:type="dxa"/>
            <w:tcMar>
              <w:left w:w="58" w:type="dxa"/>
              <w:right w:w="58" w:type="dxa"/>
            </w:tcMar>
          </w:tcPr>
          <w:p w14:paraId="4323A1C6"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 xml:space="preserve">The ███████ Functional team reviews and addresses DOH feedback in the design document, with tracked changes on. </w:t>
            </w:r>
          </w:p>
          <w:p w14:paraId="490204A4"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 xml:space="preserve">For each review cycle, the file version is rounded up to the next 0.1 version </w:t>
            </w:r>
          </w:p>
          <w:p w14:paraId="6D78EE01" w14:textId="4273F400" w:rsidR="00914F8E" w:rsidRPr="00A21682" w:rsidRDefault="00914F8E">
            <w:pPr>
              <w:spacing w:before="60" w:after="60"/>
              <w:rPr>
                <w:rFonts w:ascii="Verdana" w:eastAsia="Verdana" w:hAnsi="Verdana" w:cs="Verdana"/>
                <w:color w:val="000000" w:themeColor="text1"/>
                <w:sz w:val="18"/>
                <w:szCs w:val="18"/>
              </w:rPr>
            </w:pPr>
            <w:r>
              <w:rPr>
                <w:rFonts w:ascii="Verdana" w:eastAsia="Verdana" w:hAnsi="Verdana" w:cs="Verdana"/>
                <w:color w:val="000000" w:themeColor="text1"/>
                <w:sz w:val="18"/>
                <w:szCs w:val="18"/>
              </w:rPr>
              <w:lastRenderedPageBreak/>
              <w:t>(e.g., 1.1 version updated to 1.2).</w:t>
            </w:r>
          </w:p>
          <w:p w14:paraId="534F81D1" w14:textId="77777777" w:rsidR="00914F8E" w:rsidRPr="00A21682" w:rsidRDefault="00914F8E">
            <w:pPr>
              <w:spacing w:before="60" w:after="60"/>
              <w:rPr>
                <w:rFonts w:ascii="Verdana" w:eastAsia="Verdana" w:hAnsi="Verdana" w:cs="Verdana"/>
                <w:color w:val="000000" w:themeColor="text1"/>
                <w:sz w:val="18"/>
                <w:szCs w:val="18"/>
              </w:rPr>
            </w:pPr>
          </w:p>
          <w:p w14:paraId="2C3406AB" w14:textId="77777777" w:rsidR="00914F8E" w:rsidRPr="00A21682" w:rsidRDefault="00914F8E">
            <w:pPr>
              <w:spacing w:before="60" w:after="60"/>
              <w:rPr>
                <w:rFonts w:ascii="Verdana" w:hAnsi="Verdana"/>
                <w:sz w:val="18"/>
                <w:szCs w:val="18"/>
              </w:rPr>
            </w:pPr>
            <w:r>
              <w:rPr>
                <w:rFonts w:ascii="Verdana" w:eastAsia="Verdana" w:hAnsi="Verdana" w:cs="Verdana"/>
                <w:i/>
                <w:iCs/>
                <w:color w:val="000000" w:themeColor="text1"/>
                <w:sz w:val="18"/>
                <w:szCs w:val="18"/>
              </w:rPr>
              <w:t>Steps # 9.0, 10.0, 10.1, 11.0</w:t>
            </w:r>
            <w:r>
              <w:rPr>
                <w:rFonts w:ascii="Verdana" w:eastAsia="Verdana" w:hAnsi="Verdana" w:cs="Verdana"/>
                <w:color w:val="000000" w:themeColor="text1"/>
                <w:sz w:val="18"/>
                <w:szCs w:val="18"/>
              </w:rPr>
              <w:t xml:space="preserve"> and </w:t>
            </w:r>
            <w:r>
              <w:rPr>
                <w:rFonts w:ascii="Verdana" w:eastAsia="Verdana" w:hAnsi="Verdana" w:cs="Verdana"/>
                <w:i/>
                <w:iCs/>
                <w:color w:val="000000" w:themeColor="text1"/>
                <w:sz w:val="18"/>
                <w:szCs w:val="18"/>
              </w:rPr>
              <w:t>11.1</w:t>
            </w:r>
            <w:r>
              <w:rPr>
                <w:rFonts w:ascii="Verdana" w:eastAsia="Verdana" w:hAnsi="Verdana" w:cs="Verdana"/>
                <w:color w:val="000000" w:themeColor="text1"/>
                <w:sz w:val="18"/>
                <w:szCs w:val="18"/>
              </w:rPr>
              <w:t xml:space="preserve"> are repeated until Deloitte addresses all comments in the document.</w:t>
            </w:r>
          </w:p>
        </w:tc>
        <w:tc>
          <w:tcPr>
            <w:tcW w:w="2022" w:type="dxa"/>
            <w:tcMar>
              <w:left w:w="58" w:type="dxa"/>
              <w:right w:w="58" w:type="dxa"/>
            </w:tcMar>
          </w:tcPr>
          <w:p w14:paraId="62F09C7F" w14:textId="77777777" w:rsidR="00914F8E" w:rsidRPr="00A21682" w:rsidRDefault="00914F8E" w:rsidP="00E06D47">
            <w:pPr>
              <w:pStyle w:val="TABLEBULLETNEW"/>
            </w:pPr>
            <w:r>
              <w:lastRenderedPageBreak/>
              <w:t>███████ Functional team</w:t>
            </w:r>
          </w:p>
        </w:tc>
      </w:tr>
      <w:tr w:rsidR="00914F8E" w:rsidRPr="00A21682" w14:paraId="193277A4" w14:textId="77777777" w:rsidTr="00EC6D10">
        <w:trPr>
          <w:trHeight w:val="405"/>
        </w:trPr>
        <w:tc>
          <w:tcPr>
            <w:tcW w:w="762" w:type="dxa"/>
            <w:tcMar>
              <w:left w:w="58" w:type="dxa"/>
              <w:right w:w="58" w:type="dxa"/>
            </w:tcMar>
          </w:tcPr>
          <w:p w14:paraId="673DC1C0"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12.0</w:t>
            </w:r>
          </w:p>
        </w:tc>
        <w:tc>
          <w:tcPr>
            <w:tcW w:w="2967" w:type="dxa"/>
            <w:tcMar>
              <w:left w:w="58" w:type="dxa"/>
              <w:right w:w="58" w:type="dxa"/>
            </w:tcMar>
          </w:tcPr>
          <w:p w14:paraId="473EC462" w14:textId="77777777" w:rsidR="00914F8E" w:rsidRPr="00A21682" w:rsidRDefault="00914F8E">
            <w:pPr>
              <w:spacing w:before="60" w:after="60"/>
              <w:rPr>
                <w:rFonts w:ascii="Verdana" w:hAnsi="Verdana"/>
                <w:sz w:val="18"/>
                <w:szCs w:val="18"/>
              </w:rPr>
            </w:pPr>
            <w:r>
              <w:rPr>
                <w:rFonts w:ascii="Verdana" w:hAnsi="Verdana"/>
                <w:sz w:val="18"/>
                <w:szCs w:val="18"/>
              </w:rPr>
              <w:t>Update ALM tool status to DOH Approval</w:t>
            </w:r>
          </w:p>
        </w:tc>
        <w:tc>
          <w:tcPr>
            <w:tcW w:w="3609" w:type="dxa"/>
            <w:tcMar>
              <w:left w:w="58" w:type="dxa"/>
              <w:right w:w="58" w:type="dxa"/>
            </w:tcMar>
          </w:tcPr>
          <w:p w14:paraId="4E00B114" w14:textId="20456241"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DOH OHIP notifies ███████ and updates the ALM tool status to DOH Approval.</w:t>
            </w:r>
          </w:p>
        </w:tc>
        <w:tc>
          <w:tcPr>
            <w:tcW w:w="2022" w:type="dxa"/>
            <w:tcMar>
              <w:left w:w="58" w:type="dxa"/>
              <w:right w:w="58" w:type="dxa"/>
            </w:tcMar>
          </w:tcPr>
          <w:p w14:paraId="0B961F11" w14:textId="77777777" w:rsidR="00914F8E" w:rsidRPr="00A21682" w:rsidRDefault="00914F8E" w:rsidP="00E06D47">
            <w:pPr>
              <w:pStyle w:val="TABLEBULLETNEW"/>
            </w:pPr>
            <w:r>
              <w:t>DOH OHIP</w:t>
            </w:r>
          </w:p>
        </w:tc>
      </w:tr>
      <w:tr w:rsidR="00914F8E" w:rsidRPr="00A21682" w14:paraId="6ADB225C" w14:textId="77777777" w:rsidTr="00EC6D10">
        <w:trPr>
          <w:trHeight w:val="997"/>
        </w:trPr>
        <w:tc>
          <w:tcPr>
            <w:tcW w:w="762" w:type="dxa"/>
            <w:tcMar>
              <w:left w:w="58" w:type="dxa"/>
              <w:right w:w="58" w:type="dxa"/>
            </w:tcMar>
          </w:tcPr>
          <w:p w14:paraId="4024855A"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13.0</w:t>
            </w:r>
          </w:p>
        </w:tc>
        <w:tc>
          <w:tcPr>
            <w:tcW w:w="2967" w:type="dxa"/>
            <w:tcMar>
              <w:left w:w="58" w:type="dxa"/>
              <w:right w:w="58" w:type="dxa"/>
            </w:tcMar>
          </w:tcPr>
          <w:p w14:paraId="541C9F11" w14:textId="77777777" w:rsidR="00914F8E" w:rsidRPr="00A21682" w:rsidRDefault="00914F8E">
            <w:pPr>
              <w:spacing w:before="60" w:after="60"/>
              <w:rPr>
                <w:rFonts w:ascii="Verdana" w:hAnsi="Verdana"/>
                <w:sz w:val="18"/>
                <w:szCs w:val="18"/>
              </w:rPr>
            </w:pPr>
            <w:r>
              <w:rPr>
                <w:rFonts w:ascii="Verdana" w:hAnsi="Verdana"/>
                <w:sz w:val="18"/>
                <w:szCs w:val="18"/>
              </w:rPr>
              <w:t>Update ALM tool status to ADR File Sync In Progress</w:t>
            </w:r>
          </w:p>
        </w:tc>
        <w:tc>
          <w:tcPr>
            <w:tcW w:w="3609" w:type="dxa"/>
            <w:tcMar>
              <w:left w:w="58" w:type="dxa"/>
              <w:right w:w="58" w:type="dxa"/>
            </w:tcMar>
          </w:tcPr>
          <w:p w14:paraId="690F330E"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 updates the ALM tool status to ADR File Sync in Progress. </w:t>
            </w:r>
          </w:p>
        </w:tc>
        <w:tc>
          <w:tcPr>
            <w:tcW w:w="2022" w:type="dxa"/>
            <w:tcMar>
              <w:left w:w="58" w:type="dxa"/>
              <w:right w:w="58" w:type="dxa"/>
            </w:tcMar>
          </w:tcPr>
          <w:p w14:paraId="07267ECD" w14:textId="77777777" w:rsidR="00914F8E" w:rsidRPr="00A21682" w:rsidRDefault="00914F8E" w:rsidP="00E06D47">
            <w:pPr>
              <w:pStyle w:val="TABLEBULLETNEW"/>
            </w:pPr>
            <w:r>
              <w:t>███████ Functional team</w:t>
            </w:r>
          </w:p>
        </w:tc>
      </w:tr>
      <w:tr w:rsidR="00914F8E" w:rsidRPr="00A21682" w14:paraId="6E833A59" w14:textId="77777777" w:rsidTr="00EC6D10">
        <w:trPr>
          <w:trHeight w:val="630"/>
        </w:trPr>
        <w:tc>
          <w:tcPr>
            <w:tcW w:w="762" w:type="dxa"/>
            <w:tcMar>
              <w:left w:w="58" w:type="dxa"/>
              <w:right w:w="58" w:type="dxa"/>
            </w:tcMar>
          </w:tcPr>
          <w:p w14:paraId="73C223D9"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14.0</w:t>
            </w:r>
          </w:p>
        </w:tc>
        <w:tc>
          <w:tcPr>
            <w:tcW w:w="2967" w:type="dxa"/>
            <w:tcMar>
              <w:left w:w="58" w:type="dxa"/>
              <w:right w:w="58" w:type="dxa"/>
            </w:tcMar>
          </w:tcPr>
          <w:p w14:paraId="79E6228E" w14:textId="77777777" w:rsidR="00914F8E" w:rsidRPr="00A21682" w:rsidRDefault="00914F8E">
            <w:pPr>
              <w:spacing w:before="60" w:after="60"/>
              <w:rPr>
                <w:rFonts w:ascii="Verdana" w:hAnsi="Verdana"/>
                <w:sz w:val="18"/>
                <w:szCs w:val="18"/>
              </w:rPr>
            </w:pPr>
            <w:r>
              <w:rPr>
                <w:rFonts w:ascii="Verdana" w:hAnsi="Verdana"/>
                <w:sz w:val="18"/>
                <w:szCs w:val="18"/>
              </w:rPr>
              <w:t>Create Clean Copy and Store in CDR/ADR</w:t>
            </w:r>
          </w:p>
        </w:tc>
        <w:tc>
          <w:tcPr>
            <w:tcW w:w="3609" w:type="dxa"/>
            <w:tcMar>
              <w:left w:w="58" w:type="dxa"/>
              <w:right w:w="58" w:type="dxa"/>
            </w:tcMar>
          </w:tcPr>
          <w:p w14:paraId="0CC8A2FE" w14:textId="2B73F562" w:rsidR="00914F8E" w:rsidRPr="00A21682" w:rsidRDefault="00914F8E">
            <w:pPr>
              <w:spacing w:before="60" w:after="60"/>
              <w:rPr>
                <w:rFonts w:ascii="Verdana" w:eastAsia="Verdana" w:hAnsi="Verdana" w:cs="Verdana"/>
                <w:sz w:val="18"/>
                <w:szCs w:val="18"/>
              </w:rPr>
            </w:pPr>
            <w:r>
              <w:rPr>
                <w:rFonts w:ascii="Verdana" w:eastAsia="Verdana" w:hAnsi="Verdana" w:cs="Verdana"/>
                <w:sz w:val="18"/>
                <w:szCs w:val="18"/>
              </w:rPr>
              <w:t>The ███████ Functional team prepares the associated</w:t>
            </w:r>
            <w:r>
              <w:rPr>
                <w:rFonts w:ascii="Verdana" w:eastAsia="Verdana" w:hAnsi="Verdana" w:cs="Verdana"/>
                <w:color w:val="000000" w:themeColor="text1"/>
                <w:sz w:val="18"/>
                <w:szCs w:val="18"/>
              </w:rPr>
              <w:t xml:space="preserve"> clean copies and stores them in the respective DOH SharePoint </w:t>
            </w:r>
            <w:r>
              <w:rPr>
                <w:rFonts w:ascii="Verdana" w:eastAsia="Verdana" w:hAnsi="Verdana" w:cs="Verdana"/>
                <w:sz w:val="18"/>
                <w:szCs w:val="18"/>
              </w:rPr>
              <w:t>folders.</w:t>
            </w:r>
          </w:p>
          <w:p w14:paraId="4907A1AE" w14:textId="4A8B692B" w:rsidR="00914F8E" w:rsidRPr="00A21682" w:rsidRDefault="00BB2DBB">
            <w:pPr>
              <w:spacing w:before="60" w:after="60"/>
              <w:rPr>
                <w:rFonts w:ascii="Verdana" w:eastAsia="Verdana" w:hAnsi="Verdana" w:cs="Verdana"/>
                <w:color w:val="000000" w:themeColor="text1"/>
                <w:sz w:val="18"/>
                <w:szCs w:val="18"/>
              </w:rPr>
            </w:pPr>
            <w:r>
              <w:rPr>
                <w:rFonts w:ascii="Verdana" w:eastAsia="Verdana" w:hAnsi="Verdana" w:cs="Verdana"/>
                <w:sz w:val="18"/>
                <w:szCs w:val="18"/>
              </w:rPr>
              <w:t xml:space="preserve">The </w:t>
            </w:r>
            <w:r>
              <w:rPr>
                <w:rFonts w:ascii="Verdana" w:eastAsia="Verdana" w:hAnsi="Verdana" w:cs="Verdana"/>
                <w:sz w:val="18"/>
                <w:szCs w:val="18"/>
                <w:highlight w:val="black"/>
              </w:rPr>
              <w:t>Deloitte</w:t>
            </w:r>
            <w:r>
              <w:rPr>
                <w:rFonts w:ascii="Verdana" w:eastAsia="Verdana" w:hAnsi="Verdana" w:cs="Verdana"/>
                <w:sz w:val="18"/>
                <w:szCs w:val="18"/>
              </w:rPr>
              <w:t xml:space="preserve"> Functional team loads a copy of the latest DOH Approved document (with tracked changes/comments) into the designated location on DOH SharePoint. </w:t>
            </w:r>
            <w:r>
              <w:rPr>
                <w:rFonts w:ascii="Verdana" w:eastAsia="Verdana" w:hAnsi="Verdana" w:cs="Verdana"/>
                <w:color w:val="000000" w:themeColor="text1"/>
                <w:sz w:val="18"/>
                <w:szCs w:val="18"/>
              </w:rPr>
              <w:t>If there was a previous version in the folder, it is placed in an archive folder.</w:t>
            </w:r>
          </w:p>
          <w:p w14:paraId="44D270B8" w14:textId="5241639A" w:rsidR="00914F8E" w:rsidRPr="00A21682" w:rsidRDefault="00C74162">
            <w:pPr>
              <w:spacing w:before="60" w:after="60"/>
              <w:rPr>
                <w:rFonts w:ascii="Verdana" w:hAnsi="Verdana"/>
                <w:sz w:val="18"/>
                <w:szCs w:val="18"/>
              </w:rPr>
            </w:pPr>
            <w:r>
              <w:rPr>
                <w:rFonts w:ascii="Verdana" w:eastAsia="Verdana" w:hAnsi="Verdana" w:cs="Verdana"/>
                <w:color w:val="000000" w:themeColor="text1"/>
                <w:sz w:val="18"/>
                <w:szCs w:val="18"/>
              </w:rPr>
              <w:t xml:space="preserve">The team next creates a clean copy of the latest approved design, which involves accepting/removing tracked changes/comments and advancing the document version to the next whole number. This version is loaded into the CDR folder if the design document status is concurred, or the ADR if the design document that was updated was transmittal approved. Previous versions are archived.  </w:t>
            </w:r>
          </w:p>
        </w:tc>
        <w:tc>
          <w:tcPr>
            <w:tcW w:w="2022" w:type="dxa"/>
            <w:tcMar>
              <w:left w:w="58" w:type="dxa"/>
              <w:right w:w="58" w:type="dxa"/>
            </w:tcMar>
          </w:tcPr>
          <w:p w14:paraId="583B1AE2" w14:textId="77777777" w:rsidR="00914F8E" w:rsidRPr="00A21682" w:rsidRDefault="00914F8E" w:rsidP="00E06D47">
            <w:pPr>
              <w:pStyle w:val="TABLEBULLETNEW"/>
            </w:pPr>
            <w:r>
              <w:t>███████ Functional team</w:t>
            </w:r>
          </w:p>
        </w:tc>
      </w:tr>
      <w:tr w:rsidR="00914F8E" w:rsidRPr="00A21682" w14:paraId="74F32E3D" w14:textId="77777777" w:rsidTr="00EC6D10">
        <w:trPr>
          <w:trHeight w:val="565"/>
        </w:trPr>
        <w:tc>
          <w:tcPr>
            <w:tcW w:w="762" w:type="dxa"/>
            <w:tcMar>
              <w:left w:w="58" w:type="dxa"/>
              <w:right w:w="58" w:type="dxa"/>
            </w:tcMar>
          </w:tcPr>
          <w:p w14:paraId="3B6257E7"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15.0</w:t>
            </w:r>
          </w:p>
        </w:tc>
        <w:tc>
          <w:tcPr>
            <w:tcW w:w="2967" w:type="dxa"/>
            <w:tcMar>
              <w:left w:w="58" w:type="dxa"/>
              <w:right w:w="58" w:type="dxa"/>
            </w:tcMar>
          </w:tcPr>
          <w:p w14:paraId="46D2FE3A"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Design Update Resulted in System Code Impact?</w:t>
            </w:r>
          </w:p>
        </w:tc>
        <w:tc>
          <w:tcPr>
            <w:tcW w:w="3609" w:type="dxa"/>
            <w:tcMar>
              <w:left w:w="58" w:type="dxa"/>
              <w:right w:w="58" w:type="dxa"/>
            </w:tcMar>
          </w:tcPr>
          <w:p w14:paraId="276FD196" w14:textId="77777777" w:rsidR="00914F8E" w:rsidRPr="00A21682" w:rsidRDefault="00914F8E">
            <w:pPr>
              <w:spacing w:before="60" w:after="60"/>
              <w:rPr>
                <w:rFonts w:ascii="Verdana" w:eastAsia="Verdana" w:hAnsi="Verdana" w:cs="Verdana"/>
                <w:color w:val="000000" w:themeColor="text1"/>
                <w:sz w:val="18"/>
                <w:szCs w:val="18"/>
              </w:rPr>
            </w:pPr>
            <w:r>
              <w:rPr>
                <w:rFonts w:ascii="Verdana" w:eastAsia="Verdana" w:hAnsi="Verdana" w:cs="Verdana"/>
                <w:color w:val="000000" w:themeColor="text1"/>
                <w:sz w:val="18"/>
                <w:szCs w:val="18"/>
              </w:rPr>
              <w:t xml:space="preserve">The ███████ Functional team updates the corresponding ALM tool status depending on whether the design update had a system code impact. </w:t>
            </w:r>
          </w:p>
          <w:p w14:paraId="07C82B28" w14:textId="77777777" w:rsidR="00914F8E" w:rsidRPr="00A21682" w:rsidRDefault="00914F8E" w:rsidP="00E06D47">
            <w:pPr>
              <w:pStyle w:val="TABLEBULLETNEW"/>
            </w:pPr>
            <w:r>
              <w:t xml:space="preserve">If the design update did not result in a system code impact, proceed to </w:t>
            </w:r>
            <w:r>
              <w:rPr>
                <w:i/>
              </w:rPr>
              <w:t>Step #16.0 Update ALM tool status to Document Only Update Completed</w:t>
            </w:r>
          </w:p>
          <w:p w14:paraId="252C51D5" w14:textId="77777777" w:rsidR="00914F8E" w:rsidRPr="00A21682" w:rsidRDefault="00914F8E" w:rsidP="00E06D47">
            <w:pPr>
              <w:pStyle w:val="TABLEBULLETNEW"/>
            </w:pPr>
            <w:r>
              <w:t xml:space="preserve">If the design update resulted in a system code impact and the design needs to be added to the development backlog, proceed to </w:t>
            </w:r>
            <w:r>
              <w:rPr>
                <w:i/>
              </w:rPr>
              <w:lastRenderedPageBreak/>
              <w:t xml:space="preserve">Step #17.0 Update ALM tool status to Ready for Development </w:t>
            </w:r>
          </w:p>
        </w:tc>
        <w:tc>
          <w:tcPr>
            <w:tcW w:w="2022" w:type="dxa"/>
            <w:tcMar>
              <w:left w:w="58" w:type="dxa"/>
              <w:right w:w="58" w:type="dxa"/>
            </w:tcMar>
          </w:tcPr>
          <w:p w14:paraId="304C29FA" w14:textId="77777777" w:rsidR="00914F8E" w:rsidRPr="00A21682" w:rsidRDefault="00914F8E" w:rsidP="00E06D47">
            <w:pPr>
              <w:pStyle w:val="TABLEBULLETNEW"/>
            </w:pPr>
            <w:r>
              <w:lastRenderedPageBreak/>
              <w:t>███████ Functional team</w:t>
            </w:r>
          </w:p>
        </w:tc>
      </w:tr>
      <w:tr w:rsidR="00914F8E" w:rsidRPr="00A21682" w14:paraId="238B2EEE" w14:textId="77777777" w:rsidTr="00EC6D10">
        <w:trPr>
          <w:trHeight w:val="675"/>
        </w:trPr>
        <w:tc>
          <w:tcPr>
            <w:tcW w:w="762" w:type="dxa"/>
            <w:tcMar>
              <w:left w:w="58" w:type="dxa"/>
              <w:right w:w="58" w:type="dxa"/>
            </w:tcMar>
          </w:tcPr>
          <w:p w14:paraId="3041D2DF"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16.0 </w:t>
            </w:r>
          </w:p>
        </w:tc>
        <w:tc>
          <w:tcPr>
            <w:tcW w:w="2967" w:type="dxa"/>
            <w:tcMar>
              <w:left w:w="58" w:type="dxa"/>
              <w:right w:w="58" w:type="dxa"/>
            </w:tcMar>
          </w:tcPr>
          <w:p w14:paraId="68438076"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Update the ALM tool status to Document Only Update Completed</w:t>
            </w:r>
          </w:p>
        </w:tc>
        <w:tc>
          <w:tcPr>
            <w:tcW w:w="3609" w:type="dxa"/>
            <w:tcMar>
              <w:left w:w="58" w:type="dxa"/>
              <w:right w:w="58" w:type="dxa"/>
            </w:tcMar>
          </w:tcPr>
          <w:p w14:paraId="00A42BB4"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 xml:space="preserve">The ███████ Functional team </w:t>
            </w:r>
            <w:r>
              <w:rPr>
                <w:rFonts w:ascii="Verdana" w:eastAsia="Verdana" w:hAnsi="Verdana" w:cs="Verdana"/>
                <w:color w:val="000000" w:themeColor="text1"/>
                <w:sz w:val="18"/>
                <w:szCs w:val="18"/>
              </w:rPr>
              <w:t>updates the ALM tool status to Document Only Update Completed.</w:t>
            </w:r>
          </w:p>
        </w:tc>
        <w:tc>
          <w:tcPr>
            <w:tcW w:w="2022" w:type="dxa"/>
            <w:tcMar>
              <w:left w:w="58" w:type="dxa"/>
              <w:right w:w="58" w:type="dxa"/>
            </w:tcMar>
          </w:tcPr>
          <w:p w14:paraId="352D3D08" w14:textId="77777777" w:rsidR="00914F8E" w:rsidRPr="00A21682" w:rsidRDefault="00914F8E" w:rsidP="00E06D47">
            <w:pPr>
              <w:pStyle w:val="TABLEBULLETNEW"/>
            </w:pPr>
            <w:r>
              <w:t>███████ Functional team</w:t>
            </w:r>
          </w:p>
        </w:tc>
      </w:tr>
      <w:tr w:rsidR="00914F8E" w:rsidRPr="00A21682" w14:paraId="449E5585" w14:textId="77777777" w:rsidTr="00EC6D10">
        <w:trPr>
          <w:trHeight w:val="930"/>
        </w:trPr>
        <w:tc>
          <w:tcPr>
            <w:tcW w:w="762" w:type="dxa"/>
            <w:tcMar>
              <w:left w:w="58" w:type="dxa"/>
              <w:right w:w="58" w:type="dxa"/>
            </w:tcMar>
          </w:tcPr>
          <w:p w14:paraId="2D942955"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17.0</w:t>
            </w:r>
          </w:p>
        </w:tc>
        <w:tc>
          <w:tcPr>
            <w:tcW w:w="2967" w:type="dxa"/>
            <w:tcMar>
              <w:left w:w="58" w:type="dxa"/>
              <w:right w:w="58" w:type="dxa"/>
            </w:tcMar>
          </w:tcPr>
          <w:p w14:paraId="28025AF0" w14:textId="77777777" w:rsidR="00914F8E" w:rsidRPr="00A21682" w:rsidRDefault="00914F8E">
            <w:pPr>
              <w:spacing w:before="60" w:after="60"/>
              <w:rPr>
                <w:rFonts w:ascii="Verdana" w:hAnsi="Verdana"/>
                <w:sz w:val="18"/>
                <w:szCs w:val="18"/>
              </w:rPr>
            </w:pPr>
            <w:r>
              <w:rPr>
                <w:rFonts w:ascii="Verdana" w:hAnsi="Verdana"/>
                <w:sz w:val="18"/>
                <w:szCs w:val="18"/>
              </w:rPr>
              <w:t>Update the ALM tool status to Ready for Development</w:t>
            </w:r>
          </w:p>
        </w:tc>
        <w:tc>
          <w:tcPr>
            <w:tcW w:w="3609" w:type="dxa"/>
            <w:tcMar>
              <w:left w:w="58" w:type="dxa"/>
              <w:right w:w="58" w:type="dxa"/>
            </w:tcMar>
          </w:tcPr>
          <w:p w14:paraId="7D677C18"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The ███████ Functional team updates ALM tool status to Ready for Development to add updated design to ███████’s development backlog as it is ready for development.</w:t>
            </w:r>
          </w:p>
        </w:tc>
        <w:tc>
          <w:tcPr>
            <w:tcW w:w="2022" w:type="dxa"/>
            <w:tcMar>
              <w:left w:w="58" w:type="dxa"/>
              <w:right w:w="58" w:type="dxa"/>
            </w:tcMar>
          </w:tcPr>
          <w:p w14:paraId="0610912E" w14:textId="77777777" w:rsidR="00914F8E" w:rsidRPr="00A21682" w:rsidRDefault="00914F8E" w:rsidP="00E06D47">
            <w:pPr>
              <w:pStyle w:val="TABLEBULLETNEW"/>
            </w:pPr>
            <w:r>
              <w:t>███████ Functional team</w:t>
            </w:r>
          </w:p>
        </w:tc>
      </w:tr>
      <w:tr w:rsidR="00914F8E" w:rsidRPr="00A21682" w14:paraId="7C663C0B" w14:textId="77777777" w:rsidTr="00EC6D10">
        <w:trPr>
          <w:trHeight w:val="1095"/>
        </w:trPr>
        <w:tc>
          <w:tcPr>
            <w:tcW w:w="762" w:type="dxa"/>
            <w:tcMar>
              <w:left w:w="58" w:type="dxa"/>
              <w:right w:w="58" w:type="dxa"/>
            </w:tcMar>
          </w:tcPr>
          <w:p w14:paraId="0943B7EC"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17.1</w:t>
            </w:r>
          </w:p>
        </w:tc>
        <w:tc>
          <w:tcPr>
            <w:tcW w:w="2967" w:type="dxa"/>
            <w:tcMar>
              <w:left w:w="58" w:type="dxa"/>
              <w:right w:w="58" w:type="dxa"/>
            </w:tcMar>
          </w:tcPr>
          <w:p w14:paraId="05F37BBB" w14:textId="77777777" w:rsidR="00914F8E" w:rsidRPr="00A21682" w:rsidRDefault="00914F8E">
            <w:pPr>
              <w:spacing w:before="60" w:after="60"/>
              <w:rPr>
                <w:rFonts w:ascii="Verdana" w:hAnsi="Verdana"/>
                <w:sz w:val="18"/>
                <w:szCs w:val="18"/>
              </w:rPr>
            </w:pPr>
            <w:r>
              <w:rPr>
                <w:rFonts w:ascii="Verdana" w:hAnsi="Verdana"/>
                <w:sz w:val="18"/>
                <w:szCs w:val="18"/>
              </w:rPr>
              <w:t>Update the ALM tool status to Development in Progress</w:t>
            </w:r>
          </w:p>
        </w:tc>
        <w:tc>
          <w:tcPr>
            <w:tcW w:w="3609" w:type="dxa"/>
            <w:tcMar>
              <w:left w:w="58" w:type="dxa"/>
              <w:right w:w="58" w:type="dxa"/>
            </w:tcMar>
          </w:tcPr>
          <w:p w14:paraId="68DE61BD"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The ███████ Development team works on the system code changes and updates ticket status to Development in Progress.</w:t>
            </w:r>
          </w:p>
        </w:tc>
        <w:tc>
          <w:tcPr>
            <w:tcW w:w="2022" w:type="dxa"/>
            <w:tcMar>
              <w:left w:w="58" w:type="dxa"/>
              <w:right w:w="58" w:type="dxa"/>
            </w:tcMar>
          </w:tcPr>
          <w:p w14:paraId="36588154" w14:textId="77777777" w:rsidR="00914F8E" w:rsidRPr="00A21682" w:rsidRDefault="00914F8E" w:rsidP="00E06D47">
            <w:pPr>
              <w:pStyle w:val="TABLEBULLETNEW"/>
            </w:pPr>
            <w:r>
              <w:t>███████ Development team</w:t>
            </w:r>
          </w:p>
        </w:tc>
      </w:tr>
      <w:tr w:rsidR="00914F8E" w:rsidRPr="00A21682" w14:paraId="7506C0F4" w14:textId="77777777" w:rsidTr="00EC6D10">
        <w:trPr>
          <w:trHeight w:val="540"/>
        </w:trPr>
        <w:tc>
          <w:tcPr>
            <w:tcW w:w="762" w:type="dxa"/>
            <w:tcMar>
              <w:left w:w="58" w:type="dxa"/>
              <w:right w:w="58" w:type="dxa"/>
            </w:tcMar>
          </w:tcPr>
          <w:p w14:paraId="791A6B9A"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17.2</w:t>
            </w:r>
          </w:p>
        </w:tc>
        <w:tc>
          <w:tcPr>
            <w:tcW w:w="2967" w:type="dxa"/>
            <w:tcMar>
              <w:left w:w="58" w:type="dxa"/>
              <w:right w:w="58" w:type="dxa"/>
            </w:tcMar>
          </w:tcPr>
          <w:p w14:paraId="059EEBA9" w14:textId="77777777" w:rsidR="00914F8E" w:rsidRPr="00A21682" w:rsidRDefault="00914F8E">
            <w:pPr>
              <w:spacing w:before="60" w:after="60"/>
              <w:rPr>
                <w:rFonts w:ascii="Verdana" w:hAnsi="Verdana"/>
                <w:sz w:val="18"/>
                <w:szCs w:val="18"/>
              </w:rPr>
            </w:pPr>
            <w:r>
              <w:rPr>
                <w:rFonts w:ascii="Verdana" w:hAnsi="Verdana"/>
                <w:sz w:val="18"/>
                <w:szCs w:val="18"/>
              </w:rPr>
              <w:t>Complete Code Change and Update the ALM tool status to Ready for SIT</w:t>
            </w:r>
          </w:p>
        </w:tc>
        <w:tc>
          <w:tcPr>
            <w:tcW w:w="3609" w:type="dxa"/>
            <w:tcMar>
              <w:left w:w="58" w:type="dxa"/>
              <w:right w:w="58" w:type="dxa"/>
            </w:tcMar>
          </w:tcPr>
          <w:p w14:paraId="3CC3577C"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Once development is completed, the design update is ready for System Integration Testing (SIT) in testing environment. The ███████ Development team updates the ALM tool status to Ready for SIT.</w:t>
            </w:r>
          </w:p>
        </w:tc>
        <w:tc>
          <w:tcPr>
            <w:tcW w:w="2022" w:type="dxa"/>
            <w:tcMar>
              <w:left w:w="58" w:type="dxa"/>
              <w:right w:w="58" w:type="dxa"/>
            </w:tcMar>
          </w:tcPr>
          <w:p w14:paraId="2D000684" w14:textId="77777777" w:rsidR="00914F8E" w:rsidRPr="00A21682" w:rsidRDefault="00914F8E" w:rsidP="00E06D47">
            <w:pPr>
              <w:pStyle w:val="TABLEBULLETNEW"/>
            </w:pPr>
            <w:r>
              <w:t>███████ Development team</w:t>
            </w:r>
          </w:p>
        </w:tc>
      </w:tr>
      <w:tr w:rsidR="00914F8E" w:rsidRPr="00A21682" w14:paraId="7D2B6833" w14:textId="77777777" w:rsidTr="00EC6D10">
        <w:trPr>
          <w:trHeight w:val="315"/>
        </w:trPr>
        <w:tc>
          <w:tcPr>
            <w:tcW w:w="762" w:type="dxa"/>
            <w:tcMar>
              <w:left w:w="58" w:type="dxa"/>
              <w:right w:w="58" w:type="dxa"/>
            </w:tcMar>
          </w:tcPr>
          <w:p w14:paraId="1F254A07" w14:textId="77777777" w:rsidR="00914F8E" w:rsidRPr="00A21682" w:rsidRDefault="00914F8E">
            <w:pPr>
              <w:spacing w:before="60" w:after="60"/>
              <w:rPr>
                <w:rFonts w:ascii="Verdana" w:hAnsi="Verdana"/>
                <w:sz w:val="18"/>
                <w:szCs w:val="18"/>
              </w:rPr>
            </w:pPr>
            <w:r>
              <w:rPr>
                <w:rFonts w:ascii="Verdana" w:eastAsia="Verdana" w:hAnsi="Verdana" w:cs="Verdana"/>
                <w:sz w:val="18"/>
                <w:szCs w:val="18"/>
              </w:rPr>
              <w:t>17.3</w:t>
            </w:r>
          </w:p>
        </w:tc>
        <w:tc>
          <w:tcPr>
            <w:tcW w:w="2967" w:type="dxa"/>
            <w:tcMar>
              <w:left w:w="58" w:type="dxa"/>
              <w:right w:w="58" w:type="dxa"/>
            </w:tcMar>
          </w:tcPr>
          <w:p w14:paraId="7495ABE8"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Conduct SIT and Update the ALM tool status to SIT In Progress</w:t>
            </w:r>
          </w:p>
        </w:tc>
        <w:tc>
          <w:tcPr>
            <w:tcW w:w="3609" w:type="dxa"/>
            <w:tcMar>
              <w:left w:w="58" w:type="dxa"/>
              <w:right w:w="58" w:type="dxa"/>
            </w:tcMar>
          </w:tcPr>
          <w:p w14:paraId="2CF0DA6B"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 conducts SIT and updates ticket status to SIT In Progress.</w:t>
            </w:r>
          </w:p>
        </w:tc>
        <w:tc>
          <w:tcPr>
            <w:tcW w:w="2022" w:type="dxa"/>
            <w:tcMar>
              <w:left w:w="58" w:type="dxa"/>
              <w:right w:w="58" w:type="dxa"/>
            </w:tcMar>
          </w:tcPr>
          <w:p w14:paraId="2EF80D85" w14:textId="77777777" w:rsidR="00914F8E" w:rsidRPr="00A21682" w:rsidRDefault="00914F8E" w:rsidP="00E06D47">
            <w:pPr>
              <w:pStyle w:val="TABLEBULLETNEW"/>
            </w:pPr>
            <w:r>
              <w:t>███████ Testing team</w:t>
            </w:r>
          </w:p>
        </w:tc>
      </w:tr>
      <w:tr w:rsidR="00914F8E" w:rsidRPr="00A21682" w14:paraId="78F32F64" w14:textId="77777777" w:rsidTr="00EC6D10">
        <w:trPr>
          <w:trHeight w:val="1114"/>
        </w:trPr>
        <w:tc>
          <w:tcPr>
            <w:tcW w:w="762" w:type="dxa"/>
            <w:tcMar>
              <w:left w:w="58" w:type="dxa"/>
              <w:right w:w="58" w:type="dxa"/>
            </w:tcMar>
          </w:tcPr>
          <w:p w14:paraId="05497846"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17.4</w:t>
            </w:r>
          </w:p>
        </w:tc>
        <w:tc>
          <w:tcPr>
            <w:tcW w:w="2967" w:type="dxa"/>
            <w:tcMar>
              <w:left w:w="58" w:type="dxa"/>
              <w:right w:w="58" w:type="dxa"/>
            </w:tcMar>
          </w:tcPr>
          <w:p w14:paraId="6E97BFC3" w14:textId="77777777" w:rsidR="00914F8E" w:rsidRPr="00A21682" w:rsidRDefault="00914F8E">
            <w:pPr>
              <w:spacing w:before="60" w:after="60"/>
              <w:rPr>
                <w:rFonts w:ascii="Verdana" w:hAnsi="Verdana"/>
                <w:sz w:val="18"/>
                <w:szCs w:val="18"/>
              </w:rPr>
            </w:pPr>
            <w:r>
              <w:rPr>
                <w:rFonts w:ascii="Verdana" w:hAnsi="Verdana"/>
                <w:sz w:val="18"/>
                <w:szCs w:val="18"/>
              </w:rPr>
              <w:t>Update the ALM tool status to Ready for UAT</w:t>
            </w:r>
          </w:p>
        </w:tc>
        <w:tc>
          <w:tcPr>
            <w:tcW w:w="3609" w:type="dxa"/>
            <w:tcMar>
              <w:left w:w="58" w:type="dxa"/>
              <w:right w:w="58" w:type="dxa"/>
            </w:tcMar>
          </w:tcPr>
          <w:p w14:paraId="4EA48DBB" w14:textId="77777777" w:rsidR="00914F8E" w:rsidRPr="00A21682" w:rsidRDefault="00914F8E">
            <w:pPr>
              <w:spacing w:before="60" w:after="60"/>
              <w:rPr>
                <w:rFonts w:ascii="Verdana" w:hAnsi="Verdana"/>
                <w:sz w:val="18"/>
                <w:szCs w:val="18"/>
              </w:rPr>
            </w:pPr>
            <w:r>
              <w:rPr>
                <w:rFonts w:ascii="Verdana" w:eastAsia="Verdana" w:hAnsi="Verdana" w:cs="Verdana"/>
                <w:color w:val="000000" w:themeColor="text1"/>
                <w:sz w:val="18"/>
                <w:szCs w:val="18"/>
              </w:rPr>
              <w:t>Once ███████ completes SIT, the design update is ready for UAT. The ███████ Testing team updates the ALM tool status to Ready for UAT.</w:t>
            </w:r>
          </w:p>
        </w:tc>
        <w:tc>
          <w:tcPr>
            <w:tcW w:w="2022" w:type="dxa"/>
            <w:tcMar>
              <w:left w:w="58" w:type="dxa"/>
              <w:right w:w="58" w:type="dxa"/>
            </w:tcMar>
          </w:tcPr>
          <w:p w14:paraId="19DE1C5F" w14:textId="77777777" w:rsidR="00914F8E" w:rsidRPr="00A21682" w:rsidRDefault="00914F8E" w:rsidP="00E06D47">
            <w:pPr>
              <w:pStyle w:val="TABLEBULLETNEW"/>
            </w:pPr>
            <w:r>
              <w:t>███████ Testing team</w:t>
            </w:r>
          </w:p>
        </w:tc>
      </w:tr>
    </w:tbl>
    <w:p w14:paraId="246E0917" w14:textId="1D258439" w:rsidR="00914F8E" w:rsidRPr="00A21682" w:rsidRDefault="00914F8E" w:rsidP="00914F8E">
      <w:pPr>
        <w:pStyle w:val="Caption"/>
        <w:rPr>
          <w:noProof w:val="0"/>
        </w:rPr>
      </w:pPr>
      <w:bookmarkStart w:id="3220" w:name="_Toc192875185"/>
      <w:r>
        <w:rPr>
          <w:noProof w:val="0"/>
        </w:rPr>
        <w:t xml:space="preserve">Table </w:t>
      </w:r>
      <w:r>
        <w:rPr>
          <w:noProof w:val="0"/>
        </w:rPr>
        <w:fldChar w:fldCharType="begin"/>
      </w:r>
      <w:r>
        <w:rPr>
          <w:noProof w:val="0"/>
        </w:rPr>
        <w:instrText xml:space="preserve"> STYLEREF 1 \s </w:instrText>
      </w:r>
      <w:r>
        <w:rPr>
          <w:noProof w:val="0"/>
        </w:rPr>
        <w:fldChar w:fldCharType="separate"/>
      </w:r>
      <w:r>
        <w:t>5</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7</w:t>
      </w:r>
      <w:r>
        <w:rPr>
          <w:noProof w:val="0"/>
        </w:rPr>
        <w:fldChar w:fldCharType="end"/>
      </w:r>
      <w:r>
        <w:rPr>
          <w:noProof w:val="0"/>
        </w:rPr>
        <w:t>: Design Updates Post FDD Approval Narrative</w:t>
      </w:r>
      <w:bookmarkEnd w:id="3220"/>
    </w:p>
    <w:p w14:paraId="02206620" w14:textId="40FFA669" w:rsidR="00877250" w:rsidRPr="00A21682" w:rsidRDefault="00877250" w:rsidP="00C004A3">
      <w:pPr>
        <w:pStyle w:val="Heading3"/>
      </w:pPr>
      <w:bookmarkStart w:id="3221" w:name="_Toc192874861"/>
      <w:r>
        <w:t>Storing Design Documentation in DOH SharePoint</w:t>
      </w:r>
      <w:bookmarkEnd w:id="3213"/>
      <w:bookmarkEnd w:id="3218"/>
      <w:bookmarkEnd w:id="3221"/>
    </w:p>
    <w:p w14:paraId="0E894AA5" w14:textId="77777777" w:rsidR="00B57E45" w:rsidRPr="00A21682" w:rsidRDefault="00375B30" w:rsidP="00375B30">
      <w:pPr>
        <w:pStyle w:val="NormalNEW"/>
        <w:rPr>
          <w:szCs w:val="18"/>
          <w:lang w:val="en-US"/>
        </w:rPr>
      </w:pPr>
      <w:r>
        <w:rPr>
          <w:lang w:val="en-US"/>
        </w:rPr>
        <w:t xml:space="preserve">The DOH SharePoint is </w:t>
      </w:r>
      <w:r>
        <w:rPr>
          <w:szCs w:val="18"/>
          <w:lang w:val="en-US"/>
        </w:rPr>
        <w:t xml:space="preserve">used to store, update, and collaborate on design documentation. </w:t>
      </w:r>
    </w:p>
    <w:p w14:paraId="2DC61C12" w14:textId="036BF099" w:rsidR="00C23F45" w:rsidRPr="00A21682" w:rsidRDefault="00C23F45" w:rsidP="00375B30">
      <w:pPr>
        <w:pStyle w:val="NormalNEW"/>
        <w:rPr>
          <w:lang w:val="en-US"/>
        </w:rPr>
      </w:pPr>
      <w:r>
        <w:rPr>
          <w:lang w:val="en-US"/>
        </w:rPr>
        <w:t xml:space="preserve">Refer to Appendix H: Design Document Storage on DOH SharePoint for details regarding folder types used to store design documents throughout the design lifecycle. </w:t>
      </w:r>
    </w:p>
    <w:p w14:paraId="0C902AC1" w14:textId="340D5429" w:rsidR="00D818D3" w:rsidRPr="00A21682" w:rsidRDefault="00A17EC6" w:rsidP="00D818D3">
      <w:pPr>
        <w:pStyle w:val="Heading3"/>
      </w:pPr>
      <w:bookmarkStart w:id="3222" w:name="_Toc185949320"/>
      <w:bookmarkStart w:id="3223" w:name="_Toc186884904"/>
      <w:bookmarkStart w:id="3224" w:name="_Toc187428646"/>
      <w:bookmarkStart w:id="3225" w:name="_Toc188451022"/>
      <w:bookmarkStart w:id="3226" w:name="_Toc188619916"/>
      <w:bookmarkStart w:id="3227" w:name="_Toc185952699"/>
      <w:bookmarkStart w:id="3228" w:name="_Toc192874862"/>
      <w:bookmarkEnd w:id="3222"/>
      <w:bookmarkEnd w:id="3223"/>
      <w:bookmarkEnd w:id="3224"/>
      <w:bookmarkEnd w:id="3225"/>
      <w:bookmarkEnd w:id="3226"/>
      <w:r>
        <w:t>Deliverable Approval Criteria</w:t>
      </w:r>
      <w:bookmarkEnd w:id="3227"/>
      <w:bookmarkEnd w:id="3228"/>
    </w:p>
    <w:p w14:paraId="5B7008F7" w14:textId="21C22516" w:rsidR="00D818D3" w:rsidRPr="00A21682" w:rsidRDefault="007C7D9E" w:rsidP="00A37F03">
      <w:pPr>
        <w:rPr>
          <w:rFonts w:ascii="Verdana" w:hAnsi="Verdana"/>
          <w:sz w:val="18"/>
          <w:szCs w:val="18"/>
        </w:rPr>
      </w:pPr>
      <w:r>
        <w:rPr>
          <w:rFonts w:ascii="Verdana" w:hAnsi="Verdana"/>
          <w:sz w:val="18"/>
          <w:szCs w:val="18"/>
        </w:rPr>
        <w:t>Design Document Deliverable approval criteria mirrors Non-Design Document Deliverable approval criteria. Refer to Section 5.4.8 for details.</w:t>
      </w:r>
    </w:p>
    <w:p w14:paraId="15ACDEC5" w14:textId="217792F0" w:rsidR="00A81D91" w:rsidRPr="00A21682" w:rsidRDefault="00A81D91">
      <w:pPr>
        <w:pStyle w:val="Heading2"/>
      </w:pPr>
      <w:bookmarkStart w:id="3229" w:name="_Toc185949324"/>
      <w:bookmarkStart w:id="3230" w:name="_Toc186884908"/>
      <w:bookmarkStart w:id="3231" w:name="_Toc187428650"/>
      <w:bookmarkStart w:id="3232" w:name="_Toc188451026"/>
      <w:bookmarkStart w:id="3233" w:name="_Toc188619920"/>
      <w:bookmarkStart w:id="3234" w:name="_Toc177119258"/>
      <w:bookmarkStart w:id="3235" w:name="_Toc185952700"/>
      <w:bookmarkStart w:id="3236" w:name="_Toc192874863"/>
      <w:bookmarkEnd w:id="3229"/>
      <w:bookmarkEnd w:id="3230"/>
      <w:bookmarkEnd w:id="3231"/>
      <w:bookmarkEnd w:id="3232"/>
      <w:bookmarkEnd w:id="3233"/>
      <w:r>
        <w:t>Work Products</w:t>
      </w:r>
      <w:bookmarkEnd w:id="3234"/>
      <w:bookmarkEnd w:id="3235"/>
      <w:bookmarkEnd w:id="3236"/>
    </w:p>
    <w:p w14:paraId="7F98C7F9" w14:textId="339C5332" w:rsidR="00A81D91" w:rsidRPr="00A21682" w:rsidRDefault="00E95260" w:rsidP="00395AAA">
      <w:pPr>
        <w:pStyle w:val="NormalNEW"/>
        <w:rPr>
          <w:lang w:val="en-US"/>
        </w:rPr>
      </w:pPr>
      <w:r>
        <w:rPr>
          <w:lang w:val="en-US"/>
        </w:rPr>
        <w:t xml:space="preserve">Work products are documents created in support of the project that are not considered contractual deliverables and therefore are not subject to the standard deliverable approval processes. If ███████ and DOH OHIP determine that a work product should be submitted via transmittal or requires formal feedback, ███████ and DOH OHIP stakeholders will mutually agree to the expected review timelines and whether formal approval is needed. </w:t>
      </w:r>
    </w:p>
    <w:p w14:paraId="6729AB46" w14:textId="195B2363" w:rsidR="00A81D91" w:rsidRPr="00A21682" w:rsidRDefault="00A1220C">
      <w:pPr>
        <w:pStyle w:val="Heading2"/>
      </w:pPr>
      <w:bookmarkStart w:id="3237" w:name="_Toc151106843"/>
      <w:bookmarkStart w:id="3238" w:name="_Toc177119259"/>
      <w:bookmarkStart w:id="3239" w:name="_Toc185952701"/>
      <w:bookmarkStart w:id="3240" w:name="_Toc192874864"/>
      <w:r>
        <w:lastRenderedPageBreak/>
        <w:t>Application Lifecycle Management (</w:t>
      </w:r>
      <w:r>
        <w:rPr>
          <w:u w:color="000000"/>
        </w:rPr>
        <w:t xml:space="preserve">ALM) </w:t>
      </w:r>
      <w:r>
        <w:t>Tools</w:t>
      </w:r>
      <w:bookmarkEnd w:id="3237"/>
      <w:bookmarkEnd w:id="3238"/>
      <w:bookmarkEnd w:id="3239"/>
      <w:bookmarkEnd w:id="3240"/>
    </w:p>
    <w:p w14:paraId="449C77D8" w14:textId="56EE4A19" w:rsidR="00A81D91" w:rsidRPr="00A21682" w:rsidRDefault="00A81D91" w:rsidP="00DB20B7">
      <w:pPr>
        <w:pStyle w:val="NormalNEW"/>
        <w:rPr>
          <w:lang w:val="en-US"/>
        </w:rPr>
      </w:pPr>
      <w:r>
        <w:rPr>
          <w:lang w:val="en-US"/>
        </w:rPr>
        <w:t>The ALM tool is the standard ALM tool for tracking review and approval processes for all DED/Deliverable types. For additional detail on ALM tool statuses, configuration, and roles and responsibilities, refer to Section 2.20 the ALM tool.</w:t>
      </w:r>
    </w:p>
    <w:p w14:paraId="5FAC8670" w14:textId="77777777" w:rsidR="00972B55" w:rsidRPr="00A21682" w:rsidRDefault="00972B55" w:rsidP="00A3488A">
      <w:pPr>
        <w:rPr>
          <w:rFonts w:ascii="Verdana" w:hAnsi="Verdana"/>
          <w:sz w:val="18"/>
        </w:rPr>
        <w:sectPr w:rsidR="00972B55" w:rsidRPr="00A21682" w:rsidSect="00FB4E23">
          <w:headerReference w:type="default" r:id="rId69"/>
          <w:footerReference w:type="default" r:id="rId70"/>
          <w:pgSz w:w="12240" w:h="15840"/>
          <w:pgMar w:top="1440" w:right="1440" w:bottom="1440" w:left="1440" w:header="720" w:footer="720" w:gutter="0"/>
          <w:cols w:space="720"/>
          <w:docGrid w:linePitch="360"/>
        </w:sectPr>
      </w:pPr>
      <w:bookmarkStart w:id="3241" w:name="_Toc147479676"/>
      <w:bookmarkEnd w:id="3241"/>
    </w:p>
    <w:p w14:paraId="3DD503EB" w14:textId="77777777" w:rsidR="00A5554E" w:rsidRPr="00A21682" w:rsidRDefault="00A5554E" w:rsidP="00A3488A">
      <w:pPr>
        <w:rPr>
          <w:rFonts w:ascii="Verdana" w:hAnsi="Verdana"/>
          <w:sz w:val="18"/>
        </w:rPr>
      </w:pPr>
    </w:p>
    <w:p w14:paraId="606341E2" w14:textId="7558EEE7" w:rsidR="00972B55" w:rsidRPr="00A21682" w:rsidRDefault="006C7144" w:rsidP="00A9704C">
      <w:pPr>
        <w:pStyle w:val="Deliverable"/>
        <w:jc w:val="center"/>
        <w:rPr>
          <w:sz w:val="18"/>
        </w:rPr>
      </w:pPr>
      <w:r>
        <w:rPr>
          <w:color w:val="FFFFFF" w:themeColor="background1"/>
        </w:rPr>
        <w:t>Section 6 – Budget Management Plan</w:t>
      </w:r>
    </w:p>
    <w:p w14:paraId="12D8425A" w14:textId="77777777" w:rsidR="00972B55" w:rsidRPr="00A21682" w:rsidRDefault="00972B55" w:rsidP="00A3488A">
      <w:pPr>
        <w:rPr>
          <w:rFonts w:ascii="Verdana" w:hAnsi="Verdana"/>
          <w:sz w:val="18"/>
        </w:rPr>
        <w:sectPr w:rsidR="00972B55" w:rsidRPr="00A21682" w:rsidSect="00FB4E23">
          <w:headerReference w:type="default" r:id="rId71"/>
          <w:pgSz w:w="12240" w:h="15840"/>
          <w:pgMar w:top="1440" w:right="1440" w:bottom="1440" w:left="1440" w:header="720" w:footer="720" w:gutter="0"/>
          <w:cols w:space="720"/>
          <w:vAlign w:val="center"/>
          <w:docGrid w:linePitch="360"/>
        </w:sectPr>
      </w:pPr>
    </w:p>
    <w:p w14:paraId="5F2468E0" w14:textId="0078B2A5" w:rsidR="00972B55" w:rsidRPr="00A21682" w:rsidRDefault="00544827">
      <w:pPr>
        <w:pStyle w:val="Heading1"/>
      </w:pPr>
      <w:bookmarkStart w:id="3242" w:name="_Toc177119261"/>
      <w:bookmarkStart w:id="3243" w:name="_Toc185952703"/>
      <w:bookmarkStart w:id="3244" w:name="_Toc192874865"/>
      <w:r>
        <w:lastRenderedPageBreak/>
        <w:t>Budget Management Plan</w:t>
      </w:r>
      <w:bookmarkEnd w:id="3242"/>
      <w:bookmarkEnd w:id="3243"/>
      <w:bookmarkEnd w:id="3244"/>
    </w:p>
    <w:p w14:paraId="0064D169" w14:textId="77777777" w:rsidR="005A710B" w:rsidRPr="00A21682" w:rsidRDefault="005A710B">
      <w:pPr>
        <w:pStyle w:val="Heading2"/>
      </w:pPr>
      <w:bookmarkStart w:id="3245" w:name="_Toc152089317"/>
      <w:bookmarkStart w:id="3246" w:name="_Toc177119262"/>
      <w:bookmarkStart w:id="3247" w:name="_Toc185952704"/>
      <w:bookmarkStart w:id="3248" w:name="_Toc192874866"/>
      <w:r>
        <w:t>Introduction</w:t>
      </w:r>
      <w:bookmarkEnd w:id="3245"/>
      <w:bookmarkEnd w:id="3246"/>
      <w:bookmarkEnd w:id="3247"/>
      <w:bookmarkEnd w:id="3248"/>
      <w:r>
        <w:t xml:space="preserve"> </w:t>
      </w:r>
    </w:p>
    <w:p w14:paraId="36C26AEF" w14:textId="4F9B6F09" w:rsidR="005A710B" w:rsidRPr="00A21682" w:rsidRDefault="005A710B" w:rsidP="009F117A">
      <w:pPr>
        <w:pStyle w:val="NormalNEW"/>
        <w:rPr>
          <w:lang w:val="en-US"/>
        </w:rPr>
      </w:pPr>
      <w:r>
        <w:rPr>
          <w:lang w:val="en-US"/>
        </w:rPr>
        <w:t xml:space="preserve">The Budget Management Plan includes the processes needed to manage, track, and report project costs within the project budget. The initial project budget is set forth in the MSOW. Upon delivery of the first ISOW, an ISOW budget will be created, reviewed, and baselined. </w:t>
      </w:r>
    </w:p>
    <w:p w14:paraId="5B8D18BC" w14:textId="77777777" w:rsidR="005A710B" w:rsidRPr="00A21682" w:rsidRDefault="005A710B">
      <w:pPr>
        <w:pStyle w:val="Heading2"/>
      </w:pPr>
      <w:bookmarkStart w:id="3249" w:name="_Toc152089318"/>
      <w:bookmarkStart w:id="3250" w:name="_Toc177119263"/>
      <w:bookmarkStart w:id="3251" w:name="_Toc185952705"/>
      <w:bookmarkStart w:id="3252" w:name="_Toc192874867"/>
      <w:r>
        <w:t>Purpose</w:t>
      </w:r>
      <w:bookmarkEnd w:id="3249"/>
      <w:bookmarkEnd w:id="3250"/>
      <w:bookmarkEnd w:id="3251"/>
      <w:bookmarkEnd w:id="3252"/>
      <w:r>
        <w:t xml:space="preserve"> </w:t>
      </w:r>
    </w:p>
    <w:p w14:paraId="4EFAB837" w14:textId="2E5367DB" w:rsidR="005A710B" w:rsidRPr="00A21682" w:rsidRDefault="002E621C" w:rsidP="009F117A">
      <w:pPr>
        <w:pStyle w:val="NormalNEW"/>
        <w:rPr>
          <w:u w:color="000000" w:themeColor="text1"/>
          <w:lang w:val="en-US" w:eastAsia="ko-KR"/>
        </w:rPr>
      </w:pPr>
      <w:r>
        <w:rPr>
          <w:u w:color="000000" w:themeColor="text1"/>
          <w:lang w:val="en-US" w:eastAsia="ko-KR"/>
        </w:rPr>
        <w:t xml:space="preserve">The Continuing Medicaid Eligibility Modernization project is expected to be delivered within the available project budget as defined in the MSOW. The project objectives, high level scope, and timeline defined in the MSOW were used to estimate the initial project budget, but that estimate will be refined as the project progresses through the creation and execution of each ISOW. </w:t>
      </w:r>
    </w:p>
    <w:p w14:paraId="037A009C" w14:textId="4B9097F8" w:rsidR="005A710B" w:rsidRPr="00A21682" w:rsidRDefault="005A710B" w:rsidP="009F117A">
      <w:pPr>
        <w:pStyle w:val="NormalNEW"/>
        <w:rPr>
          <w:u w:color="000000" w:themeColor="text1"/>
          <w:lang w:val="en-US" w:eastAsia="ko-KR"/>
        </w:rPr>
      </w:pPr>
      <w:r>
        <w:rPr>
          <w:u w:color="000000" w:themeColor="text1"/>
          <w:lang w:val="en-US" w:eastAsia="ko-KR"/>
        </w:rPr>
        <w:t xml:space="preserve">Over the term of this project, ███████ and the New York State DOH OHIP will draft and implement ISOWs. Each ISOW will be allocated a portion of the overall budget to provide the services and deliverables specified in each ISOW. For this reason, the project budget must be managed carefully. </w:t>
      </w:r>
    </w:p>
    <w:p w14:paraId="7A75FFFD" w14:textId="77777777" w:rsidR="005A710B" w:rsidRPr="00A21682" w:rsidRDefault="005A710B" w:rsidP="009F117A">
      <w:pPr>
        <w:pStyle w:val="NormalNEW"/>
        <w:rPr>
          <w:u w:color="000000" w:themeColor="text1"/>
          <w:lang w:val="en-US" w:eastAsia="ko-KR"/>
        </w:rPr>
      </w:pPr>
      <w:r>
        <w:rPr>
          <w:u w:color="000000" w:themeColor="text1"/>
          <w:lang w:val="en-US" w:eastAsia="ko-KR"/>
        </w:rPr>
        <w:t>The objective of the Budget Management Plan is to provide a budget management process that achieves the following:</w:t>
      </w:r>
    </w:p>
    <w:p w14:paraId="1BEA8A45" w14:textId="77777777" w:rsidR="005A710B" w:rsidRPr="00A21682" w:rsidRDefault="005A710B" w:rsidP="0031550A">
      <w:pPr>
        <w:pStyle w:val="BulletNEW"/>
        <w:rPr>
          <w:lang w:eastAsia="ko-KR"/>
        </w:rPr>
      </w:pPr>
      <w:r>
        <w:rPr>
          <w:lang w:eastAsia="ko-KR"/>
        </w:rPr>
        <w:t>The overall project budget management approach, including initial budget tracking, budget adjustment, and payment process</w:t>
      </w:r>
    </w:p>
    <w:p w14:paraId="0FC72833" w14:textId="77777777" w:rsidR="005A710B" w:rsidRPr="00A21682" w:rsidRDefault="005A710B" w:rsidP="0031550A">
      <w:pPr>
        <w:pStyle w:val="BulletNEW"/>
        <w:rPr>
          <w:rFonts w:eastAsiaTheme="minorEastAsia"/>
        </w:rPr>
      </w:pPr>
      <w:r>
        <w:rPr>
          <w:lang w:eastAsia="ko-KR"/>
        </w:rPr>
        <w:t>Identification of a process for budget and invoice reporting</w:t>
      </w:r>
    </w:p>
    <w:p w14:paraId="665DE9AB" w14:textId="77777777" w:rsidR="005A710B" w:rsidRPr="00A21682" w:rsidRDefault="005A710B">
      <w:pPr>
        <w:pStyle w:val="Heading2"/>
        <w:rPr>
          <w:u w:color="000000" w:themeColor="text1"/>
        </w:rPr>
      </w:pPr>
      <w:bookmarkStart w:id="3253" w:name="_Toc144998724"/>
      <w:bookmarkStart w:id="3254" w:name="_Toc144999037"/>
      <w:bookmarkStart w:id="3255" w:name="_Toc144999164"/>
      <w:bookmarkStart w:id="3256" w:name="_Toc144998725"/>
      <w:bookmarkStart w:id="3257" w:name="_Toc144999038"/>
      <w:bookmarkStart w:id="3258" w:name="_Toc144999165"/>
      <w:bookmarkStart w:id="3259" w:name="_Toc144379744"/>
      <w:bookmarkStart w:id="3260" w:name="_Toc152089319"/>
      <w:bookmarkStart w:id="3261" w:name="_Toc177119264"/>
      <w:bookmarkStart w:id="3262" w:name="_Toc185952706"/>
      <w:bookmarkStart w:id="3263" w:name="_Toc192874868"/>
      <w:bookmarkEnd w:id="3253"/>
      <w:bookmarkEnd w:id="3254"/>
      <w:bookmarkEnd w:id="3255"/>
      <w:bookmarkEnd w:id="3256"/>
      <w:bookmarkEnd w:id="3257"/>
      <w:bookmarkEnd w:id="3258"/>
      <w:r>
        <w:rPr>
          <w:u w:color="000000" w:themeColor="text1"/>
        </w:rPr>
        <w:t>Budget Management Approach</w:t>
      </w:r>
      <w:bookmarkEnd w:id="3259"/>
      <w:bookmarkEnd w:id="3260"/>
      <w:bookmarkEnd w:id="3261"/>
      <w:bookmarkEnd w:id="3262"/>
      <w:bookmarkEnd w:id="3263"/>
    </w:p>
    <w:p w14:paraId="3BDA275A" w14:textId="6A8A2985" w:rsidR="005A710B" w:rsidRPr="00A21682" w:rsidRDefault="005A710B" w:rsidP="009F117A">
      <w:pPr>
        <w:pStyle w:val="NormalNEW"/>
        <w:rPr>
          <w:u w:color="000000" w:themeColor="text1"/>
          <w:lang w:val="en-US" w:eastAsia="ko-KR"/>
        </w:rPr>
      </w:pPr>
      <w:r>
        <w:rPr>
          <w:u w:color="000000" w:themeColor="text1"/>
          <w:lang w:val="en-US" w:eastAsia="ko-KR"/>
        </w:rPr>
        <w:t xml:space="preserve">Budget management includes the creation of the initial ISOW budget and the management of that budget throughout the project. Events that can initiate the budget management process include annual or periodic budget reviews, the creation of new ISOWs that need to draw down from the project budget, and changes that occur via the Integrated Change Control Process (refer to Section 10) that may result in project budget impacts. </w:t>
      </w:r>
    </w:p>
    <w:p w14:paraId="3B24868E" w14:textId="77777777" w:rsidR="005A710B" w:rsidRPr="00A21682" w:rsidRDefault="005A710B">
      <w:pPr>
        <w:pStyle w:val="Heading3"/>
      </w:pPr>
      <w:bookmarkStart w:id="3264" w:name="_Toc152089320"/>
      <w:bookmarkStart w:id="3265" w:name="_Toc177119265"/>
      <w:bookmarkStart w:id="3266" w:name="_Toc185952707"/>
      <w:bookmarkStart w:id="3267" w:name="_Toc192874869"/>
      <w:r>
        <w:t>Initial Budget Allocation Process</w:t>
      </w:r>
      <w:bookmarkEnd w:id="3264"/>
      <w:bookmarkEnd w:id="3265"/>
      <w:bookmarkEnd w:id="3266"/>
      <w:bookmarkEnd w:id="3267"/>
    </w:p>
    <w:p w14:paraId="034ACDC8" w14:textId="5167D34B" w:rsidR="005A710B" w:rsidRPr="00A21682" w:rsidRDefault="005A710B" w:rsidP="009F117A">
      <w:pPr>
        <w:pStyle w:val="NormalNEW"/>
        <w:rPr>
          <w:u w:color="000000" w:themeColor="text1"/>
          <w:lang w:val="en-US" w:eastAsia="ko-KR"/>
        </w:rPr>
      </w:pPr>
      <w:r>
        <w:rPr>
          <w:u w:color="000000" w:themeColor="text1"/>
          <w:lang w:val="en-US" w:eastAsia="ko-KR"/>
        </w:rPr>
        <w:t>The MSOW contains an overall budget for the MECM system based on an initial estimation of the effort and associated fees to complete the services outlined in the contract. DOH OHIP and ███████ expect this initial budget to be sufficient to deliver Wave 1. In each ISOW, the budget will be refined and allocated to a specific scope.</w:t>
      </w:r>
    </w:p>
    <w:p w14:paraId="67C51D1D" w14:textId="05B94DFE" w:rsidR="005A710B" w:rsidRPr="00A21682" w:rsidRDefault="005A710B" w:rsidP="00CF019B">
      <w:pPr>
        <w:pStyle w:val="Heading4"/>
        <w:keepNext w:val="0"/>
        <w:keepLines w:val="0"/>
        <w:rPr>
          <w:u w:color="000000" w:themeColor="text1"/>
          <w:lang w:eastAsia="ko-KR"/>
        </w:rPr>
      </w:pPr>
      <w:bookmarkStart w:id="3268" w:name="_Toc151405150"/>
      <w:bookmarkStart w:id="3269" w:name="_Toc152073101"/>
      <w:bookmarkStart w:id="3270" w:name="_Toc152089321"/>
      <w:bookmarkStart w:id="3271" w:name="_Toc151405151"/>
      <w:bookmarkStart w:id="3272" w:name="_Toc152073102"/>
      <w:bookmarkStart w:id="3273" w:name="_Toc152089322"/>
      <w:bookmarkStart w:id="3274" w:name="_Toc151405152"/>
      <w:bookmarkStart w:id="3275" w:name="_Toc152073103"/>
      <w:bookmarkStart w:id="3276" w:name="_Toc152089323"/>
      <w:bookmarkStart w:id="3277" w:name="_Toc151405153"/>
      <w:bookmarkStart w:id="3278" w:name="_Toc152073104"/>
      <w:bookmarkStart w:id="3279" w:name="_Toc152089324"/>
      <w:bookmarkStart w:id="3280" w:name="_Toc151405154"/>
      <w:bookmarkStart w:id="3281" w:name="_Toc152073105"/>
      <w:bookmarkStart w:id="3282" w:name="_Toc152089325"/>
      <w:bookmarkStart w:id="3283" w:name="_Toc151405155"/>
      <w:bookmarkStart w:id="3284" w:name="_Toc152073106"/>
      <w:bookmarkStart w:id="3285" w:name="_Toc152089326"/>
      <w:bookmarkStart w:id="3286" w:name="_Toc151405156"/>
      <w:bookmarkStart w:id="3287" w:name="_Toc152073107"/>
      <w:bookmarkStart w:id="3288" w:name="_Toc152089327"/>
      <w:bookmarkStart w:id="3289" w:name="_Toc151405157"/>
      <w:bookmarkStart w:id="3290" w:name="_Toc152073108"/>
      <w:bookmarkStart w:id="3291" w:name="_Toc152089328"/>
      <w:bookmarkStart w:id="3292" w:name="_Toc151405158"/>
      <w:bookmarkStart w:id="3293" w:name="_Toc152073109"/>
      <w:bookmarkStart w:id="3294" w:name="_Toc152089329"/>
      <w:bookmarkStart w:id="3295" w:name="_Toc151405159"/>
      <w:bookmarkStart w:id="3296" w:name="_Toc152073110"/>
      <w:bookmarkStart w:id="3297" w:name="_Toc152089330"/>
      <w:bookmarkStart w:id="3298" w:name="_Toc151405160"/>
      <w:bookmarkStart w:id="3299" w:name="_Toc152073111"/>
      <w:bookmarkStart w:id="3300" w:name="_Toc152089331"/>
      <w:bookmarkStart w:id="3301" w:name="_Toc152089332"/>
      <w:bookmarkStart w:id="3302" w:name="_Toc177119266"/>
      <w:bookmarkStart w:id="3303" w:name="_Toc185952708"/>
      <w:bookmarkStart w:id="3304" w:name="_Toc192874870"/>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r>
        <w:rPr>
          <w:u w:color="000000" w:themeColor="text1"/>
          <w:lang w:eastAsia="ko-KR"/>
        </w:rPr>
        <w:t>Budget Allocation Process Flow Diagram</w:t>
      </w:r>
      <w:bookmarkEnd w:id="3301"/>
      <w:bookmarkEnd w:id="3302"/>
      <w:bookmarkEnd w:id="3303"/>
      <w:bookmarkEnd w:id="3304"/>
    </w:p>
    <w:p w14:paraId="0FFAC8DE" w14:textId="3EF6CFD3" w:rsidR="005A710B" w:rsidRPr="00A21682" w:rsidRDefault="005A710B" w:rsidP="00BD7A47">
      <w:pPr>
        <w:pStyle w:val="NormalNEW"/>
        <w:rPr>
          <w:u w:color="000000" w:themeColor="text1"/>
          <w:lang w:val="en-US" w:eastAsia="ko-KR"/>
        </w:rPr>
      </w:pPr>
      <w:r>
        <w:rPr>
          <w:u w:color="000000" w:themeColor="text1"/>
          <w:lang w:val="en-US" w:eastAsia="ko-KR"/>
        </w:rPr>
        <w:t xml:space="preserve">The following diagram depicts the initial budget allocation process for the Continuing Medicaid Eligibility Modernization project. The diagram conveys an overview of responsibilities across ███████ Leadership, DOH OHIP, and MECM Quality Assurance. </w:t>
      </w:r>
    </w:p>
    <w:p w14:paraId="470684BE" w14:textId="1C4AD0A3" w:rsidR="005A710B" w:rsidRPr="00A21682" w:rsidRDefault="00116661" w:rsidP="009F117A">
      <w:pPr>
        <w:pStyle w:val="NormalNEW"/>
        <w:rPr>
          <w:lang w:val="en-US" w:eastAsia="ko-KR"/>
        </w:rPr>
      </w:pPr>
      <w:r>
        <w:rPr>
          <w:lang w:val="en-US"/>
        </w:rPr>
        <w:object w:dxaOrig="24150" w:dyaOrig="9024" w14:anchorId="77670300">
          <v:shape id="_x0000_i1042" type="#_x0000_t75" style="width:468.6pt;height:174.6pt" o:ole="">
            <v:imagedata r:id="rId72" o:title=""/>
          </v:shape>
          <o:OLEObject Type="Embed" ProgID="Visio.Drawing.15" ShapeID="_x0000_i1042" DrawAspect="Content" ObjectID="_1849677351" r:id="rId73"/>
        </w:object>
      </w:r>
    </w:p>
    <w:p w14:paraId="601F3E52" w14:textId="4E5D99AB" w:rsidR="005A710B" w:rsidRPr="00A21682" w:rsidRDefault="005A710B" w:rsidP="00D818D3">
      <w:pPr>
        <w:pStyle w:val="Caption"/>
        <w:rPr>
          <w:noProof w:val="0"/>
          <w:u w:color="000000" w:themeColor="text1"/>
          <w:lang w:eastAsia="ja-JP"/>
        </w:rPr>
      </w:pPr>
      <w:bookmarkStart w:id="3305" w:name="_Toc150786449"/>
      <w:bookmarkStart w:id="3306" w:name="_Toc152089346"/>
      <w:bookmarkStart w:id="3307" w:name="_Toc178152051"/>
      <w:bookmarkStart w:id="3308" w:name="_Toc192875067"/>
      <w:r>
        <w:rPr>
          <w:noProof w:val="0"/>
          <w:u w:color="000000" w:themeColor="text1"/>
          <w:lang w:eastAsia="ja-JP"/>
        </w:rPr>
        <w:t xml:space="preserve">Figure </w:t>
      </w:r>
      <w:r>
        <w:rPr>
          <w:noProof w:val="0"/>
          <w:u w:color="000000" w:themeColor="text1"/>
          <w:lang w:eastAsia="ja-JP"/>
        </w:rPr>
        <w:fldChar w:fldCharType="begin"/>
      </w:r>
      <w:r>
        <w:rPr>
          <w:noProof w:val="0"/>
          <w:u w:color="000000" w:themeColor="text1"/>
          <w:lang w:eastAsia="ja-JP"/>
        </w:rPr>
        <w:instrText xml:space="preserve"> STYLEREF 1 \s </w:instrText>
      </w:r>
      <w:r>
        <w:rPr>
          <w:noProof w:val="0"/>
          <w:u w:color="000000" w:themeColor="text1"/>
          <w:lang w:eastAsia="ja-JP"/>
        </w:rPr>
        <w:fldChar w:fldCharType="separate"/>
      </w:r>
      <w:r>
        <w:rPr>
          <w:noProof w:val="0"/>
          <w:u w:color="000000" w:themeColor="text1"/>
          <w:lang w:eastAsia="ja-JP"/>
        </w:rPr>
        <w:t>6</w:t>
      </w:r>
      <w:r>
        <w:rPr>
          <w:noProof w:val="0"/>
          <w:u w:color="000000" w:themeColor="text1"/>
          <w:lang w:eastAsia="ja-JP"/>
        </w:rPr>
        <w:fldChar w:fldCharType="end"/>
      </w:r>
      <w:r>
        <w:rPr>
          <w:noProof w:val="0"/>
          <w:u w:color="000000" w:themeColor="text1"/>
          <w:lang w:eastAsia="ja-JP"/>
        </w:rPr>
        <w:t>-</w:t>
      </w:r>
      <w:r>
        <w:rPr>
          <w:noProof w:val="0"/>
          <w:u w:color="000000" w:themeColor="text1"/>
          <w:lang w:eastAsia="ja-JP"/>
        </w:rPr>
        <w:fldChar w:fldCharType="begin"/>
      </w:r>
      <w:r>
        <w:rPr>
          <w:noProof w:val="0"/>
          <w:u w:color="000000" w:themeColor="text1"/>
          <w:lang w:eastAsia="ja-JP"/>
        </w:rPr>
        <w:instrText xml:space="preserve"> SEQ Figure \* ARABIC \s 1 </w:instrText>
      </w:r>
      <w:r>
        <w:rPr>
          <w:noProof w:val="0"/>
          <w:u w:color="000000" w:themeColor="text1"/>
          <w:lang w:eastAsia="ja-JP"/>
        </w:rPr>
        <w:fldChar w:fldCharType="separate"/>
      </w:r>
      <w:r>
        <w:rPr>
          <w:noProof w:val="0"/>
          <w:u w:color="000000" w:themeColor="text1"/>
          <w:lang w:eastAsia="ja-JP"/>
        </w:rPr>
        <w:t>1</w:t>
      </w:r>
      <w:r>
        <w:rPr>
          <w:noProof w:val="0"/>
          <w:u w:color="000000" w:themeColor="text1"/>
          <w:lang w:eastAsia="ja-JP"/>
        </w:rPr>
        <w:fldChar w:fldCharType="end"/>
      </w:r>
      <w:r>
        <w:rPr>
          <w:noProof w:val="0"/>
          <w:u w:color="000000" w:themeColor="text1"/>
          <w:lang w:eastAsia="ja-JP"/>
        </w:rPr>
        <w:t>: Initial Budget Allocation Process Flow Diagram</w:t>
      </w:r>
      <w:bookmarkEnd w:id="3305"/>
      <w:bookmarkEnd w:id="3306"/>
      <w:bookmarkEnd w:id="3307"/>
      <w:bookmarkEnd w:id="3308"/>
    </w:p>
    <w:p w14:paraId="29A6ACB4" w14:textId="0027F5A5" w:rsidR="005A710B" w:rsidRPr="00A21682" w:rsidRDefault="005A710B" w:rsidP="00424DE9">
      <w:pPr>
        <w:pStyle w:val="Heading4"/>
        <w:rPr>
          <w:u w:color="000000" w:themeColor="text1"/>
          <w:lang w:eastAsia="ko-KR"/>
        </w:rPr>
      </w:pPr>
      <w:bookmarkStart w:id="3309" w:name="_Toc152089333"/>
      <w:bookmarkStart w:id="3310" w:name="_Toc177119267"/>
      <w:bookmarkStart w:id="3311" w:name="_Toc185952709"/>
      <w:bookmarkStart w:id="3312" w:name="_Toc192874871"/>
      <w:r>
        <w:rPr>
          <w:u w:color="000000" w:themeColor="text1"/>
          <w:lang w:eastAsia="ko-KR"/>
        </w:rPr>
        <w:t>Initial Budget Allocation Process Flow Narrative</w:t>
      </w:r>
      <w:bookmarkEnd w:id="3309"/>
      <w:bookmarkEnd w:id="3310"/>
      <w:bookmarkEnd w:id="3311"/>
      <w:bookmarkEnd w:id="3312"/>
    </w:p>
    <w:p w14:paraId="7A3C31DB" w14:textId="77777777" w:rsidR="005A710B" w:rsidRPr="00A21682" w:rsidRDefault="005A710B" w:rsidP="009F117A">
      <w:pPr>
        <w:pStyle w:val="NormalNEW"/>
        <w:rPr>
          <w:u w:color="000000" w:themeColor="text1"/>
          <w:lang w:val="en-US" w:eastAsia="ko-KR"/>
        </w:rPr>
      </w:pPr>
      <w:r>
        <w:rPr>
          <w:u w:color="000000" w:themeColor="text1"/>
          <w:lang w:val="en-US" w:eastAsia="ko-KR"/>
        </w:rPr>
        <w:t>The following table describes each process step illustrated above.</w:t>
      </w:r>
    </w:p>
    <w:tbl>
      <w:tblPr>
        <w:tblStyle w:val="TableGrid-None13"/>
        <w:tblW w:w="9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720"/>
        <w:gridCol w:w="1584"/>
        <w:gridCol w:w="4968"/>
        <w:gridCol w:w="2160"/>
      </w:tblGrid>
      <w:tr w:rsidR="005A710B" w:rsidRPr="00A21682" w14:paraId="3EC33999" w14:textId="77777777" w:rsidTr="00C91FE0">
        <w:trPr>
          <w:cnfStyle w:val="100000000000" w:firstRow="1" w:lastRow="0" w:firstColumn="0" w:lastColumn="0" w:oddVBand="0" w:evenVBand="0" w:oddHBand="0" w:evenHBand="0" w:firstRowFirstColumn="0" w:firstRowLastColumn="0" w:lastRowFirstColumn="0" w:lastRowLastColumn="0"/>
        </w:trPr>
        <w:tc>
          <w:tcPr>
            <w:tcW w:w="720" w:type="dxa"/>
            <w:tcBorders>
              <w:right w:val="single" w:sz="2" w:space="0" w:color="FFFFFF" w:themeColor="background1"/>
            </w:tcBorders>
          </w:tcPr>
          <w:p w14:paraId="72518ECC" w14:textId="77777777" w:rsidR="005A710B" w:rsidRPr="00A21682" w:rsidRDefault="005A710B" w:rsidP="00047C4E">
            <w:pPr>
              <w:pStyle w:val="TABLEHEADINGNEW"/>
              <w:rPr>
                <w:rFonts w:eastAsia="Arial Narrow"/>
                <w:b/>
                <w:bCs w:val="0"/>
              </w:rPr>
            </w:pPr>
            <w:r>
              <w:rPr>
                <w:rFonts w:eastAsia="Arial Narrow"/>
                <w:b/>
                <w:bCs w:val="0"/>
              </w:rPr>
              <w:t>Step #</w:t>
            </w:r>
          </w:p>
        </w:tc>
        <w:tc>
          <w:tcPr>
            <w:tcW w:w="1584" w:type="dxa"/>
            <w:tcBorders>
              <w:left w:val="single" w:sz="2" w:space="0" w:color="FFFFFF" w:themeColor="background1"/>
              <w:right w:val="single" w:sz="2" w:space="0" w:color="FFFFFF" w:themeColor="background1"/>
            </w:tcBorders>
          </w:tcPr>
          <w:p w14:paraId="3DE02C35" w14:textId="77777777" w:rsidR="005A710B" w:rsidRPr="00A21682" w:rsidRDefault="005A710B" w:rsidP="00047C4E">
            <w:pPr>
              <w:pStyle w:val="TABLEHEADINGNEW"/>
              <w:rPr>
                <w:rFonts w:eastAsia="Arial Narrow"/>
                <w:b/>
                <w:bCs w:val="0"/>
              </w:rPr>
            </w:pPr>
            <w:r>
              <w:rPr>
                <w:rFonts w:eastAsia="Arial Narrow"/>
                <w:b/>
                <w:bCs w:val="0"/>
              </w:rPr>
              <w:t>Process Step</w:t>
            </w:r>
          </w:p>
        </w:tc>
        <w:tc>
          <w:tcPr>
            <w:tcW w:w="4968" w:type="dxa"/>
            <w:tcBorders>
              <w:left w:val="single" w:sz="2" w:space="0" w:color="FFFFFF" w:themeColor="background1"/>
              <w:right w:val="single" w:sz="2" w:space="0" w:color="FFFFFF" w:themeColor="background1"/>
            </w:tcBorders>
          </w:tcPr>
          <w:p w14:paraId="5C0CD015" w14:textId="77777777" w:rsidR="005A710B" w:rsidRPr="00A21682" w:rsidRDefault="005A710B" w:rsidP="00047C4E">
            <w:pPr>
              <w:pStyle w:val="TABLEHEADINGNEW"/>
              <w:rPr>
                <w:rFonts w:eastAsia="Arial Narrow"/>
                <w:b/>
                <w:bCs w:val="0"/>
              </w:rPr>
            </w:pPr>
            <w:r>
              <w:rPr>
                <w:rFonts w:eastAsia="Arial Narrow"/>
                <w:b/>
                <w:bCs w:val="0"/>
              </w:rPr>
              <w:t>Description</w:t>
            </w:r>
          </w:p>
        </w:tc>
        <w:tc>
          <w:tcPr>
            <w:tcW w:w="2160" w:type="dxa"/>
            <w:tcBorders>
              <w:left w:val="single" w:sz="2" w:space="0" w:color="FFFFFF" w:themeColor="background1"/>
            </w:tcBorders>
          </w:tcPr>
          <w:p w14:paraId="7297A5DE" w14:textId="77777777" w:rsidR="005A710B" w:rsidRPr="00A21682" w:rsidRDefault="005A710B" w:rsidP="00047C4E">
            <w:pPr>
              <w:pStyle w:val="TABLEHEADINGNEW"/>
              <w:rPr>
                <w:b/>
                <w:bCs w:val="0"/>
              </w:rPr>
            </w:pPr>
            <w:r>
              <w:rPr>
                <w:rFonts w:eastAsia="Arial Narrow"/>
                <w:b/>
                <w:bCs w:val="0"/>
              </w:rPr>
              <w:t>Stakeholder Group(s)</w:t>
            </w:r>
          </w:p>
        </w:tc>
      </w:tr>
      <w:tr w:rsidR="005A710B" w:rsidRPr="00A21682" w14:paraId="6D5A3529" w14:textId="77777777" w:rsidTr="00047C4E">
        <w:tc>
          <w:tcPr>
            <w:tcW w:w="720" w:type="dxa"/>
            <w:shd w:val="clear" w:color="auto" w:fill="FFFFFF" w:themeFill="background1"/>
          </w:tcPr>
          <w:p w14:paraId="62857779" w14:textId="77777777" w:rsidR="005A710B" w:rsidRPr="00A21682" w:rsidRDefault="005A710B" w:rsidP="00047C4E">
            <w:pPr>
              <w:pStyle w:val="TABLETEXT1"/>
              <w:rPr>
                <w:lang w:val="en-US"/>
              </w:rPr>
            </w:pPr>
            <w:r>
              <w:rPr>
                <w:lang w:val="en-US"/>
              </w:rPr>
              <w:t>1</w:t>
            </w:r>
          </w:p>
        </w:tc>
        <w:tc>
          <w:tcPr>
            <w:tcW w:w="1584" w:type="dxa"/>
            <w:shd w:val="clear" w:color="auto" w:fill="FFFFFF" w:themeFill="background1"/>
          </w:tcPr>
          <w:p w14:paraId="35455571" w14:textId="77777777" w:rsidR="005A710B" w:rsidRPr="00A21682" w:rsidRDefault="005A710B" w:rsidP="00047C4E">
            <w:pPr>
              <w:pStyle w:val="TABLETEXT1"/>
              <w:rPr>
                <w:lang w:val="en-US"/>
              </w:rPr>
            </w:pPr>
            <w:r>
              <w:rPr>
                <w:lang w:val="en-US"/>
              </w:rPr>
              <w:t>MSOW and Master Budget Established</w:t>
            </w:r>
          </w:p>
        </w:tc>
        <w:tc>
          <w:tcPr>
            <w:tcW w:w="4968" w:type="dxa"/>
            <w:shd w:val="clear" w:color="auto" w:fill="FFFFFF" w:themeFill="background1"/>
          </w:tcPr>
          <w:p w14:paraId="3FEBACE3" w14:textId="77777777" w:rsidR="005A710B" w:rsidRPr="00A21682" w:rsidRDefault="005A710B" w:rsidP="00047C4E">
            <w:pPr>
              <w:pStyle w:val="TABLETEXT1"/>
              <w:rPr>
                <w:lang w:val="en-US"/>
              </w:rPr>
            </w:pPr>
            <w:r>
              <w:rPr>
                <w:lang w:val="en-US"/>
              </w:rPr>
              <w:t xml:space="preserve">███████ Leadership and DOH OHIP establish the MSOW and the Master Budget for each Wave. This also establishes the Master ISOW Integrated Project Schedule (see 4.1 Terms and Definitions). </w:t>
            </w:r>
          </w:p>
        </w:tc>
        <w:tc>
          <w:tcPr>
            <w:tcW w:w="2160" w:type="dxa"/>
            <w:shd w:val="clear" w:color="auto" w:fill="FFFFFF" w:themeFill="background1"/>
          </w:tcPr>
          <w:p w14:paraId="4F545C54" w14:textId="77777777" w:rsidR="005A710B" w:rsidRPr="00635C9B" w:rsidRDefault="005A710B" w:rsidP="00E06D47">
            <w:pPr>
              <w:pStyle w:val="TABLEBULLETNEW"/>
              <w:rPr>
                <w:lang w:eastAsia="ko-KR"/>
              </w:rPr>
            </w:pPr>
            <w:r>
              <w:rPr>
                <w:lang w:eastAsia="ko-KR"/>
              </w:rPr>
              <w:t>███████ Leadership</w:t>
            </w:r>
          </w:p>
          <w:p w14:paraId="7266D083" w14:textId="77777777" w:rsidR="005A710B" w:rsidRPr="00635C9B" w:rsidRDefault="005A710B" w:rsidP="00E06D47">
            <w:pPr>
              <w:pStyle w:val="TABLEBULLETNEW"/>
              <w:rPr>
                <w:lang w:eastAsia="ko-KR"/>
              </w:rPr>
            </w:pPr>
            <w:r>
              <w:rPr>
                <w:lang w:eastAsia="ko-KR"/>
              </w:rPr>
              <w:t>DOH OHIP</w:t>
            </w:r>
          </w:p>
        </w:tc>
      </w:tr>
      <w:tr w:rsidR="005A710B" w:rsidRPr="00A21682" w14:paraId="76AD34EE" w14:textId="77777777" w:rsidTr="00047C4E">
        <w:tc>
          <w:tcPr>
            <w:tcW w:w="720" w:type="dxa"/>
            <w:shd w:val="clear" w:color="auto" w:fill="FFFFFF" w:themeFill="background1"/>
          </w:tcPr>
          <w:p w14:paraId="38B66499" w14:textId="77777777" w:rsidR="005A710B" w:rsidRPr="00A21682" w:rsidRDefault="005A710B" w:rsidP="00047C4E">
            <w:pPr>
              <w:pStyle w:val="TABLETEXT1"/>
              <w:rPr>
                <w:lang w:val="en-US"/>
              </w:rPr>
            </w:pPr>
            <w:r>
              <w:rPr>
                <w:lang w:val="en-US"/>
              </w:rPr>
              <w:t>2</w:t>
            </w:r>
          </w:p>
        </w:tc>
        <w:tc>
          <w:tcPr>
            <w:tcW w:w="1584" w:type="dxa"/>
            <w:shd w:val="clear" w:color="auto" w:fill="FFFFFF" w:themeFill="background1"/>
          </w:tcPr>
          <w:p w14:paraId="483E216A" w14:textId="2D313014" w:rsidR="005A710B" w:rsidRPr="00A21682" w:rsidRDefault="005A710B" w:rsidP="00047C4E">
            <w:pPr>
              <w:pStyle w:val="TABLETEXT1"/>
              <w:rPr>
                <w:lang w:val="en-US"/>
              </w:rPr>
            </w:pPr>
            <w:r>
              <w:rPr>
                <w:lang w:val="en-US"/>
              </w:rPr>
              <w:t xml:space="preserve">Vendor Submits ISOW to DOH OHIP </w:t>
            </w:r>
          </w:p>
        </w:tc>
        <w:tc>
          <w:tcPr>
            <w:tcW w:w="4968" w:type="dxa"/>
            <w:shd w:val="clear" w:color="auto" w:fill="FFFFFF" w:themeFill="background1"/>
          </w:tcPr>
          <w:p w14:paraId="1294C590" w14:textId="34187370" w:rsidR="005A710B" w:rsidRPr="00A21682" w:rsidRDefault="005A710B" w:rsidP="00047C4E">
            <w:pPr>
              <w:pStyle w:val="TABLETEXT1"/>
              <w:rPr>
                <w:lang w:val="en-US"/>
              </w:rPr>
            </w:pPr>
            <w:r>
              <w:rPr>
                <w:lang w:val="en-US"/>
              </w:rPr>
              <w:t>For each new trigger (e.g., change in scope, budget, schedule, etc.), an ISOW must be developed detailing the scope of services, timeline, staffing model, deliverables, payment schedule, and payment trigger conditions.</w:t>
            </w:r>
          </w:p>
        </w:tc>
        <w:tc>
          <w:tcPr>
            <w:tcW w:w="2160" w:type="dxa"/>
            <w:shd w:val="clear" w:color="auto" w:fill="FFFFFF" w:themeFill="background1"/>
          </w:tcPr>
          <w:p w14:paraId="706BE7EC" w14:textId="77777777" w:rsidR="005A710B" w:rsidRPr="00635C9B" w:rsidRDefault="005A710B" w:rsidP="00E06D47">
            <w:pPr>
              <w:pStyle w:val="TABLEBULLETNEW"/>
              <w:rPr>
                <w:lang w:eastAsia="ko-KR"/>
              </w:rPr>
            </w:pPr>
            <w:r>
              <w:rPr>
                <w:lang w:eastAsia="ko-KR"/>
              </w:rPr>
              <w:t>███████ Leadership</w:t>
            </w:r>
          </w:p>
        </w:tc>
      </w:tr>
      <w:tr w:rsidR="005A710B" w:rsidRPr="00A21682" w14:paraId="59E3CCD5" w14:textId="77777777" w:rsidTr="00047C4E">
        <w:tc>
          <w:tcPr>
            <w:tcW w:w="720" w:type="dxa"/>
          </w:tcPr>
          <w:p w14:paraId="6DD47363" w14:textId="77777777" w:rsidR="005A710B" w:rsidRPr="00A21682" w:rsidRDefault="005A710B" w:rsidP="00047C4E">
            <w:pPr>
              <w:pStyle w:val="TABLETEXT1"/>
              <w:rPr>
                <w:lang w:val="en-US"/>
              </w:rPr>
            </w:pPr>
            <w:r>
              <w:rPr>
                <w:lang w:val="en-US"/>
              </w:rPr>
              <w:t>3</w:t>
            </w:r>
          </w:p>
        </w:tc>
        <w:tc>
          <w:tcPr>
            <w:tcW w:w="1584" w:type="dxa"/>
          </w:tcPr>
          <w:p w14:paraId="0A5B9095" w14:textId="7F2CD856" w:rsidR="005A710B" w:rsidRPr="00A21682" w:rsidRDefault="005A710B" w:rsidP="00047C4E">
            <w:pPr>
              <w:pStyle w:val="TABLETEXT1"/>
              <w:rPr>
                <w:lang w:val="en-US"/>
              </w:rPr>
            </w:pPr>
            <w:r>
              <w:rPr>
                <w:lang w:val="en-US"/>
              </w:rPr>
              <w:t>QA / DOH OHIP Reviews ISOW</w:t>
            </w:r>
          </w:p>
        </w:tc>
        <w:tc>
          <w:tcPr>
            <w:tcW w:w="4968" w:type="dxa"/>
          </w:tcPr>
          <w:p w14:paraId="75C66217" w14:textId="77777777" w:rsidR="005A710B" w:rsidRPr="00A21682" w:rsidRDefault="005A710B" w:rsidP="00047C4E">
            <w:pPr>
              <w:pStyle w:val="TABLETEXT1"/>
              <w:rPr>
                <w:lang w:val="en-US"/>
              </w:rPr>
            </w:pPr>
            <w:r>
              <w:rPr>
                <w:lang w:val="en-US"/>
              </w:rPr>
              <w:t>DOH OHIP reviews the draft ISOW for alignment with DOH OHIP priorities and applicable expectations and regulations. DOH OHIP can provide feedback, in the form of comments and questions, for ███████ to address prior to approval.</w:t>
            </w:r>
          </w:p>
          <w:p w14:paraId="56AE14E0" w14:textId="77777777" w:rsidR="005A710B" w:rsidRPr="00A21682" w:rsidRDefault="005A710B" w:rsidP="00047C4E">
            <w:pPr>
              <w:pStyle w:val="TABLETEXT1"/>
              <w:rPr>
                <w:lang w:val="en-US"/>
              </w:rPr>
            </w:pPr>
            <w:r>
              <w:rPr>
                <w:lang w:val="en-US"/>
              </w:rPr>
              <w:t xml:space="preserve">The ISOW is then returned to </w:t>
            </w:r>
            <w:r>
              <w:rPr>
                <w:highlight w:val="black"/>
                <w:lang w:val="en-US"/>
              </w:rPr>
              <w:t>Deloitte</w:t>
            </w:r>
            <w:r>
              <w:rPr>
                <w:lang w:val="en-US"/>
              </w:rPr>
              <w:t xml:space="preserve"> Leadership for updates. The QA process may require multiple iterations or working sessions.</w:t>
            </w:r>
          </w:p>
        </w:tc>
        <w:tc>
          <w:tcPr>
            <w:tcW w:w="2160" w:type="dxa"/>
          </w:tcPr>
          <w:p w14:paraId="6F63AD6A" w14:textId="77777777" w:rsidR="005A710B" w:rsidRPr="00635C9B" w:rsidRDefault="005A710B" w:rsidP="00E06D47">
            <w:pPr>
              <w:pStyle w:val="TABLEBULLETNEW"/>
              <w:rPr>
                <w:lang w:eastAsia="ko-KR"/>
              </w:rPr>
            </w:pPr>
            <w:r>
              <w:rPr>
                <w:lang w:eastAsia="ko-KR"/>
              </w:rPr>
              <w:t>MECM QA</w:t>
            </w:r>
          </w:p>
          <w:p w14:paraId="5E00A5C1" w14:textId="77777777" w:rsidR="005A710B" w:rsidRPr="00635C9B" w:rsidRDefault="005A710B" w:rsidP="00E06D47">
            <w:pPr>
              <w:pStyle w:val="TABLEBULLETNEW"/>
              <w:rPr>
                <w:lang w:eastAsia="ko-KR"/>
              </w:rPr>
            </w:pPr>
            <w:r>
              <w:rPr>
                <w:lang w:eastAsia="ko-KR"/>
              </w:rPr>
              <w:t>DOH OHIP</w:t>
            </w:r>
          </w:p>
        </w:tc>
      </w:tr>
      <w:tr w:rsidR="005A710B" w:rsidRPr="00A21682" w14:paraId="193B22DC" w14:textId="77777777" w:rsidTr="00047C4E">
        <w:tc>
          <w:tcPr>
            <w:tcW w:w="720" w:type="dxa"/>
          </w:tcPr>
          <w:p w14:paraId="1335DA8D" w14:textId="77777777" w:rsidR="005A710B" w:rsidRPr="00A21682" w:rsidRDefault="005A710B" w:rsidP="00047C4E">
            <w:pPr>
              <w:pStyle w:val="TABLETEXT1"/>
              <w:rPr>
                <w:lang w:val="en-US"/>
              </w:rPr>
            </w:pPr>
            <w:r>
              <w:rPr>
                <w:lang w:val="en-US"/>
              </w:rPr>
              <w:t>3.1</w:t>
            </w:r>
          </w:p>
        </w:tc>
        <w:tc>
          <w:tcPr>
            <w:tcW w:w="1584" w:type="dxa"/>
          </w:tcPr>
          <w:p w14:paraId="140E1E87" w14:textId="77777777" w:rsidR="005A710B" w:rsidRPr="00A21682" w:rsidRDefault="005A710B" w:rsidP="00047C4E">
            <w:pPr>
              <w:pStyle w:val="TABLETEXT1"/>
              <w:rPr>
                <w:lang w:val="en-US"/>
              </w:rPr>
            </w:pPr>
            <w:r>
              <w:rPr>
                <w:lang w:val="en-US"/>
              </w:rPr>
              <w:t>Is the ISOW approved?</w:t>
            </w:r>
          </w:p>
        </w:tc>
        <w:tc>
          <w:tcPr>
            <w:tcW w:w="4968" w:type="dxa"/>
          </w:tcPr>
          <w:p w14:paraId="3B4C0044" w14:textId="443EEFA9" w:rsidR="007A14F9" w:rsidRPr="00A21682" w:rsidRDefault="005A710B" w:rsidP="00E06D47">
            <w:pPr>
              <w:pStyle w:val="TABLEBULLETNEW"/>
            </w:pPr>
            <w:r>
              <w:t xml:space="preserve">If DOH OHIP approves the ISOW without any outstanding comments or questions, proceed to </w:t>
            </w:r>
            <w:r>
              <w:rPr>
                <w:i/>
                <w:iCs/>
              </w:rPr>
              <w:t>Step #4 Budget Established and Executed</w:t>
            </w:r>
          </w:p>
          <w:p w14:paraId="69CE7FA5" w14:textId="013C5B6D" w:rsidR="005A710B" w:rsidRPr="00A21682" w:rsidRDefault="005A710B" w:rsidP="00E06D47">
            <w:pPr>
              <w:pStyle w:val="TABLEBULLETNEW"/>
            </w:pPr>
            <w:r>
              <w:t xml:space="preserve">If the ISOW is not approved, return to </w:t>
            </w:r>
            <w:r>
              <w:rPr>
                <w:i/>
                <w:iCs/>
              </w:rPr>
              <w:t xml:space="preserve">Step #2 Vendor Submits ISOW to DOH OHIP </w:t>
            </w:r>
            <w:r>
              <w:t>to update the ISOW in preparation for another submittal</w:t>
            </w:r>
          </w:p>
        </w:tc>
        <w:tc>
          <w:tcPr>
            <w:tcW w:w="2160" w:type="dxa"/>
          </w:tcPr>
          <w:p w14:paraId="3203D5A7" w14:textId="77777777" w:rsidR="005A710B" w:rsidRPr="00635C9B" w:rsidRDefault="005A710B" w:rsidP="00E06D47">
            <w:pPr>
              <w:pStyle w:val="TABLEBULLETNEW"/>
              <w:rPr>
                <w:lang w:eastAsia="ko-KR"/>
              </w:rPr>
            </w:pPr>
            <w:r>
              <w:rPr>
                <w:lang w:eastAsia="ko-KR"/>
              </w:rPr>
              <w:t>MECM QA</w:t>
            </w:r>
          </w:p>
          <w:p w14:paraId="5828330B" w14:textId="77777777" w:rsidR="005A710B" w:rsidRPr="00635C9B" w:rsidRDefault="005A710B" w:rsidP="00E06D47">
            <w:pPr>
              <w:pStyle w:val="TABLEBULLETNEW"/>
              <w:rPr>
                <w:lang w:eastAsia="ko-KR"/>
              </w:rPr>
            </w:pPr>
            <w:r>
              <w:rPr>
                <w:lang w:eastAsia="ko-KR"/>
              </w:rPr>
              <w:t>DOH OHIP</w:t>
            </w:r>
          </w:p>
        </w:tc>
      </w:tr>
      <w:tr w:rsidR="005A710B" w:rsidRPr="00A21682" w14:paraId="6B13B1F6" w14:textId="77777777" w:rsidTr="00047C4E">
        <w:tc>
          <w:tcPr>
            <w:tcW w:w="720" w:type="dxa"/>
          </w:tcPr>
          <w:p w14:paraId="0CB5210D" w14:textId="77777777" w:rsidR="005A710B" w:rsidRPr="00A21682" w:rsidRDefault="005A710B" w:rsidP="00047C4E">
            <w:pPr>
              <w:pStyle w:val="TABLETEXT1"/>
              <w:rPr>
                <w:lang w:val="en-US"/>
              </w:rPr>
            </w:pPr>
            <w:r>
              <w:rPr>
                <w:lang w:val="en-US"/>
              </w:rPr>
              <w:lastRenderedPageBreak/>
              <w:t>4</w:t>
            </w:r>
          </w:p>
        </w:tc>
        <w:tc>
          <w:tcPr>
            <w:tcW w:w="1584" w:type="dxa"/>
          </w:tcPr>
          <w:p w14:paraId="1BC19C02" w14:textId="77777777" w:rsidR="005A710B" w:rsidRPr="00A21682" w:rsidRDefault="005A710B" w:rsidP="00047C4E">
            <w:pPr>
              <w:pStyle w:val="TABLETEXT1"/>
              <w:rPr>
                <w:lang w:val="en-US"/>
              </w:rPr>
            </w:pPr>
            <w:r>
              <w:rPr>
                <w:lang w:val="en-US"/>
              </w:rPr>
              <w:t>Budget Established and Executed</w:t>
            </w:r>
          </w:p>
        </w:tc>
        <w:tc>
          <w:tcPr>
            <w:tcW w:w="4968" w:type="dxa"/>
          </w:tcPr>
          <w:p w14:paraId="6D8AB99D" w14:textId="6947B2F3" w:rsidR="005A710B" w:rsidRPr="00A21682" w:rsidRDefault="005A710B" w:rsidP="00047C4E">
            <w:pPr>
              <w:pStyle w:val="TABLETEXT1"/>
              <w:rPr>
                <w:lang w:val="en-US"/>
              </w:rPr>
            </w:pPr>
            <w:r>
              <w:rPr>
                <w:lang w:val="en-US"/>
              </w:rPr>
              <w:t xml:space="preserve">Once the ISOW is approved, ███████ and DOH OHIP establish a mutually accepted budget plan based on the approved ISOW. The Master ISOW Integrated Project Schedule will be updated to reflect change. </w:t>
            </w:r>
          </w:p>
          <w:p w14:paraId="7DFFA169" w14:textId="6A4297D5" w:rsidR="005A710B" w:rsidRPr="00A21682" w:rsidRDefault="005A710B" w:rsidP="00047C4E">
            <w:pPr>
              <w:pStyle w:val="TABLETEXT1"/>
              <w:rPr>
                <w:lang w:val="en-US"/>
              </w:rPr>
            </w:pPr>
            <w:r>
              <w:rPr>
                <w:lang w:val="en-US"/>
              </w:rPr>
              <w:t>Deloitte can then proceed to invoicing, outlined in Section 6.3.2 Invoicing.</w:t>
            </w:r>
          </w:p>
        </w:tc>
        <w:tc>
          <w:tcPr>
            <w:tcW w:w="2160" w:type="dxa"/>
          </w:tcPr>
          <w:p w14:paraId="52E03034" w14:textId="77777777" w:rsidR="005A710B" w:rsidRPr="00635C9B" w:rsidRDefault="005A710B" w:rsidP="00E06D47">
            <w:pPr>
              <w:pStyle w:val="TABLEBULLETNEW"/>
              <w:rPr>
                <w:lang w:eastAsia="ko-KR"/>
              </w:rPr>
            </w:pPr>
            <w:r>
              <w:rPr>
                <w:lang w:eastAsia="ko-KR"/>
              </w:rPr>
              <w:t>███████ Leadership</w:t>
            </w:r>
          </w:p>
          <w:p w14:paraId="7DA62CDA" w14:textId="77777777" w:rsidR="005A710B" w:rsidRPr="00635C9B" w:rsidRDefault="005A710B" w:rsidP="00E06D47">
            <w:pPr>
              <w:pStyle w:val="TABLEBULLETNEW"/>
              <w:rPr>
                <w:lang w:eastAsia="ko-KR"/>
              </w:rPr>
            </w:pPr>
            <w:r>
              <w:rPr>
                <w:lang w:eastAsia="ko-KR"/>
              </w:rPr>
              <w:t>DOH OHIP</w:t>
            </w:r>
          </w:p>
        </w:tc>
      </w:tr>
    </w:tbl>
    <w:p w14:paraId="6D9F137D" w14:textId="268B08E8" w:rsidR="005A710B" w:rsidRPr="00A21682" w:rsidRDefault="005A710B" w:rsidP="00D818D3">
      <w:pPr>
        <w:pStyle w:val="Caption"/>
        <w:rPr>
          <w:noProof w:val="0"/>
          <w:u w:color="000000" w:themeColor="text1"/>
          <w:lang w:eastAsia="ja-JP"/>
        </w:rPr>
      </w:pPr>
      <w:bookmarkStart w:id="3313" w:name="_Toc152089350"/>
      <w:bookmarkStart w:id="3314" w:name="_Toc192875186"/>
      <w:r>
        <w:rPr>
          <w:noProof w:val="0"/>
          <w:u w:color="000000" w:themeColor="text1"/>
          <w:lang w:eastAsia="ja-JP"/>
        </w:rPr>
        <w:t xml:space="preserve">Table </w:t>
      </w:r>
      <w:r>
        <w:rPr>
          <w:noProof w:val="0"/>
          <w:u w:color="000000" w:themeColor="text1"/>
          <w:lang w:eastAsia="ja-JP"/>
        </w:rPr>
        <w:fldChar w:fldCharType="begin"/>
      </w:r>
      <w:r>
        <w:rPr>
          <w:noProof w:val="0"/>
          <w:u w:color="000000" w:themeColor="text1"/>
          <w:lang w:eastAsia="ja-JP"/>
        </w:rPr>
        <w:instrText xml:space="preserve"> STYLEREF 1 \s </w:instrText>
      </w:r>
      <w:r>
        <w:rPr>
          <w:noProof w:val="0"/>
          <w:u w:color="000000" w:themeColor="text1"/>
          <w:lang w:eastAsia="ja-JP"/>
        </w:rPr>
        <w:fldChar w:fldCharType="separate"/>
      </w:r>
      <w:r>
        <w:rPr>
          <w:noProof w:val="0"/>
          <w:u w:color="000000" w:themeColor="text1"/>
          <w:lang w:eastAsia="ja-JP"/>
        </w:rPr>
        <w:t>6</w:t>
      </w:r>
      <w:r>
        <w:rPr>
          <w:noProof w:val="0"/>
          <w:u w:color="000000" w:themeColor="text1"/>
          <w:lang w:eastAsia="ja-JP"/>
        </w:rPr>
        <w:fldChar w:fldCharType="end"/>
      </w:r>
      <w:r>
        <w:rPr>
          <w:noProof w:val="0"/>
          <w:u w:color="000000" w:themeColor="text1"/>
          <w:lang w:eastAsia="ja-JP"/>
        </w:rPr>
        <w:noBreakHyphen/>
      </w:r>
      <w:r>
        <w:rPr>
          <w:noProof w:val="0"/>
          <w:u w:color="000000" w:themeColor="text1"/>
          <w:lang w:eastAsia="ja-JP"/>
        </w:rPr>
        <w:fldChar w:fldCharType="begin"/>
      </w:r>
      <w:r>
        <w:rPr>
          <w:noProof w:val="0"/>
          <w:u w:color="000000" w:themeColor="text1"/>
          <w:lang w:eastAsia="ja-JP"/>
        </w:rPr>
        <w:instrText xml:space="preserve"> SEQ Table \* ARABIC \s 1 </w:instrText>
      </w:r>
      <w:r>
        <w:rPr>
          <w:noProof w:val="0"/>
          <w:u w:color="000000" w:themeColor="text1"/>
          <w:lang w:eastAsia="ja-JP"/>
        </w:rPr>
        <w:fldChar w:fldCharType="separate"/>
      </w:r>
      <w:r>
        <w:rPr>
          <w:noProof w:val="0"/>
          <w:u w:color="000000" w:themeColor="text1"/>
          <w:lang w:eastAsia="ja-JP"/>
        </w:rPr>
        <w:t>1</w:t>
      </w:r>
      <w:r>
        <w:rPr>
          <w:noProof w:val="0"/>
          <w:u w:color="000000" w:themeColor="text1"/>
          <w:lang w:eastAsia="ja-JP"/>
        </w:rPr>
        <w:fldChar w:fldCharType="end"/>
      </w:r>
      <w:r>
        <w:rPr>
          <w:noProof w:val="0"/>
          <w:u w:color="000000" w:themeColor="text1"/>
          <w:lang w:eastAsia="ja-JP"/>
        </w:rPr>
        <w:t>: Initial Budget Allocation Process Narrative</w:t>
      </w:r>
      <w:bookmarkEnd w:id="3313"/>
      <w:bookmarkEnd w:id="3314"/>
    </w:p>
    <w:p w14:paraId="0ABB9C9F" w14:textId="77777777" w:rsidR="005A710B" w:rsidRPr="00A21682" w:rsidRDefault="005A710B" w:rsidP="00424DE9">
      <w:pPr>
        <w:pStyle w:val="Heading4"/>
        <w:rPr>
          <w:u w:color="000000" w:themeColor="text1"/>
          <w:lang w:eastAsia="ko-KR"/>
        </w:rPr>
      </w:pPr>
      <w:bookmarkStart w:id="3315" w:name="_Toc177119268"/>
      <w:bookmarkStart w:id="3316" w:name="_Toc185952710"/>
      <w:bookmarkStart w:id="3317" w:name="_Toc192874872"/>
      <w:r>
        <w:rPr>
          <w:u w:color="000000" w:themeColor="text1"/>
          <w:lang w:eastAsia="ko-KR"/>
        </w:rPr>
        <w:t>Budget Maintenance</w:t>
      </w:r>
      <w:bookmarkEnd w:id="3315"/>
      <w:bookmarkEnd w:id="3316"/>
      <w:bookmarkEnd w:id="3317"/>
      <w:r>
        <w:rPr>
          <w:u w:color="000000" w:themeColor="text1"/>
          <w:lang w:eastAsia="ko-KR"/>
        </w:rPr>
        <w:t xml:space="preserve"> </w:t>
      </w:r>
    </w:p>
    <w:p w14:paraId="5A743D20" w14:textId="530E46DB" w:rsidR="005A710B" w:rsidRPr="00A21682" w:rsidRDefault="005A710B" w:rsidP="009F117A">
      <w:pPr>
        <w:pStyle w:val="NormalNEW"/>
        <w:rPr>
          <w:u w:color="000000" w:themeColor="text1"/>
          <w:lang w:val="en-US" w:eastAsia="ko-KR"/>
        </w:rPr>
      </w:pPr>
      <w:r>
        <w:rPr>
          <w:u w:color="000000" w:themeColor="text1"/>
          <w:lang w:val="en-US" w:eastAsia="ko-KR"/>
        </w:rPr>
        <w:t>After initial budget allocation, ███████ will monitor and maintain the budget for each ISOW on an ongoing basis. ███████ will maintain an ISOW Invoice Catalog in Excel (a component of the Master ISOW Integrated Project Schedule) representing the status of all ISOW invoices. Additionally, ███████ will leverage the Project Status Report PowerPoint document to report on the project budget, including total contract amount, percent complete of deliverables, project costs (planned vs. actual), and financial change request details, as required by the MSOW.</w:t>
      </w:r>
    </w:p>
    <w:p w14:paraId="3859EBC3" w14:textId="60D8A6AD" w:rsidR="005A710B" w:rsidRPr="00A21682" w:rsidRDefault="005A710B">
      <w:pPr>
        <w:pStyle w:val="Heading3"/>
      </w:pPr>
      <w:bookmarkStart w:id="3318" w:name="_Toc152089334"/>
      <w:bookmarkStart w:id="3319" w:name="_Toc177119269"/>
      <w:bookmarkStart w:id="3320" w:name="_Toc185952711"/>
      <w:bookmarkStart w:id="3321" w:name="_Toc192874873"/>
      <w:r>
        <w:t>Invoicing</w:t>
      </w:r>
      <w:bookmarkEnd w:id="3318"/>
      <w:bookmarkEnd w:id="3319"/>
      <w:bookmarkEnd w:id="3320"/>
      <w:bookmarkEnd w:id="3321"/>
      <w:r>
        <w:t xml:space="preserve"> </w:t>
      </w:r>
    </w:p>
    <w:p w14:paraId="6CB66A55" w14:textId="77777777" w:rsidR="005A710B" w:rsidRPr="00A21682" w:rsidRDefault="005A710B" w:rsidP="009F117A">
      <w:pPr>
        <w:pStyle w:val="NormalNEW"/>
        <w:rPr>
          <w:u w:color="000000"/>
          <w:lang w:val="en-US" w:eastAsia="ko-KR"/>
        </w:rPr>
      </w:pPr>
      <w:r>
        <w:rPr>
          <w:u w:color="000000"/>
          <w:lang w:val="en-US" w:eastAsia="ko-KR"/>
        </w:rPr>
        <w:t>Each ISOW will be organized by service area, each of which will be categorized as fixed fee or variable fee costs. The fixed fee costs will remain as-is during execution of the project once they are established through the execution of an ISOW. These fixed fee costs will be tracked through invoice and payment tracking of each ISOW. Variable fee costs will require additional tracking and periodic review to assess trends and potential impacts to the project budget as these costs are based on actual progress, which can vary from the initial estimate used to budget for the variable costs.</w:t>
      </w:r>
    </w:p>
    <w:p w14:paraId="2D1A3E8F" w14:textId="52F9B967" w:rsidR="005A710B" w:rsidRPr="00A21682" w:rsidRDefault="005A710B" w:rsidP="009F117A">
      <w:pPr>
        <w:pStyle w:val="NormalNEW"/>
        <w:rPr>
          <w:u w:color="000000"/>
          <w:lang w:val="en-US" w:eastAsia="ko-KR"/>
        </w:rPr>
      </w:pPr>
      <w:r>
        <w:rPr>
          <w:u w:color="000000"/>
          <w:lang w:val="en-US" w:eastAsia="ko-KR"/>
        </w:rPr>
        <w:t>As part of budget tracking, the ███████ PMO, Business Operations, and MECM QA will conduct regular reviews of the budget and funding availability. During this meeting, the ███████ PMO and MECM QA will discuss upcoming deliverable submissions, subsequent invoicing, the availability of funding for the invoices, and revise budgets and purchase orders, as necessary and as mutually agreed upon between ███████ and DOH OHIP.</w:t>
      </w:r>
    </w:p>
    <w:p w14:paraId="62DEBB34" w14:textId="77777777" w:rsidR="005A710B" w:rsidRPr="00A21682" w:rsidRDefault="005A710B" w:rsidP="00424DE9">
      <w:pPr>
        <w:pStyle w:val="Heading4"/>
        <w:rPr>
          <w:u w:color="000000" w:themeColor="text1"/>
          <w:lang w:eastAsia="ko-KR"/>
        </w:rPr>
      </w:pPr>
      <w:bookmarkStart w:id="3322" w:name="_Toc152089335"/>
      <w:bookmarkStart w:id="3323" w:name="_Toc177119270"/>
      <w:bookmarkStart w:id="3324" w:name="_Toc185952712"/>
      <w:bookmarkStart w:id="3325" w:name="_Toc192874874"/>
      <w:r>
        <w:rPr>
          <w:u w:color="000000" w:themeColor="text1"/>
          <w:lang w:eastAsia="ko-KR"/>
        </w:rPr>
        <w:lastRenderedPageBreak/>
        <w:t>Invoicing Process Flow Diagram</w:t>
      </w:r>
      <w:bookmarkEnd w:id="3322"/>
      <w:bookmarkEnd w:id="3323"/>
      <w:bookmarkEnd w:id="3324"/>
      <w:bookmarkEnd w:id="3325"/>
    </w:p>
    <w:p w14:paraId="15C0B021" w14:textId="24EC6F7D" w:rsidR="005A710B" w:rsidRPr="00A21682" w:rsidRDefault="005A710B" w:rsidP="009F117A">
      <w:pPr>
        <w:pStyle w:val="NormalNEW"/>
        <w:keepNext/>
        <w:rPr>
          <w:u w:color="000000" w:themeColor="text1"/>
          <w:lang w:val="en-US" w:eastAsia="ko-KR"/>
        </w:rPr>
      </w:pPr>
      <w:r>
        <w:rPr>
          <w:u w:color="000000" w:themeColor="text1"/>
          <w:lang w:val="en-US" w:eastAsia="ko-KR"/>
        </w:rPr>
        <w:t xml:space="preserve">The following diagram depicts the invoicing process for the Continuing Medicaid Eligibility Modernization project. The diagram conveys an overview of responsibilities across the ███████ PMO and DOH OHIP. </w:t>
      </w:r>
    </w:p>
    <w:p w14:paraId="1C31AD98" w14:textId="749D9816" w:rsidR="005A710B" w:rsidRPr="00A21682" w:rsidRDefault="00A40AA5" w:rsidP="009F117A">
      <w:pPr>
        <w:pStyle w:val="NormalNEW"/>
        <w:rPr>
          <w:u w:color="000000" w:themeColor="text1"/>
          <w:lang w:val="en-US" w:eastAsia="ko-KR"/>
        </w:rPr>
      </w:pPr>
      <w:r>
        <w:rPr>
          <w:lang w:val="en-US"/>
        </w:rPr>
        <w:pict w14:anchorId="2BFD9FE1">
          <v:shape id="_x0000_i1043" type="#_x0000_t75" style="width:468pt;height:200.4pt">
            <v:imagedata r:id="rId74" o:title=""/>
          </v:shape>
        </w:pict>
      </w:r>
    </w:p>
    <w:p w14:paraId="38DD5E43" w14:textId="6D6A81D0" w:rsidR="005A710B" w:rsidRPr="00A21682" w:rsidRDefault="005A710B" w:rsidP="00D818D3">
      <w:pPr>
        <w:pStyle w:val="Caption"/>
        <w:rPr>
          <w:noProof w:val="0"/>
          <w:u w:color="000000" w:themeColor="text1"/>
          <w:lang w:eastAsia="ja-JP"/>
        </w:rPr>
      </w:pPr>
      <w:bookmarkStart w:id="3326" w:name="_Toc144910032"/>
      <w:bookmarkStart w:id="3327" w:name="_Toc144973612"/>
      <w:bookmarkStart w:id="3328" w:name="_Toc144973647"/>
      <w:bookmarkStart w:id="3329" w:name="_Toc144974691"/>
      <w:bookmarkStart w:id="3330" w:name="_Toc150786450"/>
      <w:bookmarkStart w:id="3331" w:name="_Toc152089347"/>
      <w:bookmarkStart w:id="3332" w:name="_Toc178152052"/>
      <w:bookmarkStart w:id="3333" w:name="_Toc192875068"/>
      <w:r>
        <w:rPr>
          <w:noProof w:val="0"/>
          <w:u w:color="000000" w:themeColor="text1"/>
          <w:lang w:eastAsia="ja-JP"/>
        </w:rPr>
        <w:t xml:space="preserve">Figure </w:t>
      </w:r>
      <w:r>
        <w:rPr>
          <w:noProof w:val="0"/>
          <w:u w:color="000000" w:themeColor="text1"/>
          <w:lang w:eastAsia="ja-JP"/>
        </w:rPr>
        <w:fldChar w:fldCharType="begin"/>
      </w:r>
      <w:r>
        <w:rPr>
          <w:noProof w:val="0"/>
          <w:u w:color="000000" w:themeColor="text1"/>
          <w:lang w:eastAsia="ja-JP"/>
        </w:rPr>
        <w:instrText xml:space="preserve"> STYLEREF 1 \s </w:instrText>
      </w:r>
      <w:r>
        <w:rPr>
          <w:noProof w:val="0"/>
          <w:u w:color="000000" w:themeColor="text1"/>
          <w:lang w:eastAsia="ja-JP"/>
        </w:rPr>
        <w:fldChar w:fldCharType="separate"/>
      </w:r>
      <w:r>
        <w:rPr>
          <w:noProof w:val="0"/>
          <w:u w:color="000000" w:themeColor="text1"/>
          <w:lang w:eastAsia="ja-JP"/>
        </w:rPr>
        <w:t>6</w:t>
      </w:r>
      <w:r>
        <w:rPr>
          <w:noProof w:val="0"/>
          <w:u w:color="000000" w:themeColor="text1"/>
          <w:lang w:eastAsia="ja-JP"/>
        </w:rPr>
        <w:fldChar w:fldCharType="end"/>
      </w:r>
      <w:r>
        <w:rPr>
          <w:noProof w:val="0"/>
          <w:u w:color="000000" w:themeColor="text1"/>
          <w:lang w:eastAsia="ja-JP"/>
        </w:rPr>
        <w:t>-</w:t>
      </w:r>
      <w:r>
        <w:rPr>
          <w:noProof w:val="0"/>
          <w:u w:color="000000" w:themeColor="text1"/>
          <w:lang w:eastAsia="ja-JP"/>
        </w:rPr>
        <w:fldChar w:fldCharType="begin"/>
      </w:r>
      <w:r>
        <w:rPr>
          <w:noProof w:val="0"/>
          <w:u w:color="000000" w:themeColor="text1"/>
          <w:lang w:eastAsia="ja-JP"/>
        </w:rPr>
        <w:instrText xml:space="preserve"> SEQ Figure \* ARABIC \s 1 </w:instrText>
      </w:r>
      <w:r>
        <w:rPr>
          <w:noProof w:val="0"/>
          <w:u w:color="000000" w:themeColor="text1"/>
          <w:lang w:eastAsia="ja-JP"/>
        </w:rPr>
        <w:fldChar w:fldCharType="separate"/>
      </w:r>
      <w:r>
        <w:rPr>
          <w:noProof w:val="0"/>
          <w:u w:color="000000" w:themeColor="text1"/>
          <w:lang w:eastAsia="ja-JP"/>
        </w:rPr>
        <w:t>2</w:t>
      </w:r>
      <w:r>
        <w:rPr>
          <w:noProof w:val="0"/>
          <w:u w:color="000000" w:themeColor="text1"/>
          <w:lang w:eastAsia="ja-JP"/>
        </w:rPr>
        <w:fldChar w:fldCharType="end"/>
      </w:r>
      <w:r>
        <w:rPr>
          <w:noProof w:val="0"/>
          <w:u w:color="000000" w:themeColor="text1"/>
          <w:lang w:eastAsia="ja-JP"/>
        </w:rPr>
        <w:t>: Invoicing Process Flow Diagram</w:t>
      </w:r>
      <w:bookmarkEnd w:id="3326"/>
      <w:bookmarkEnd w:id="3327"/>
      <w:bookmarkEnd w:id="3328"/>
      <w:bookmarkEnd w:id="3329"/>
      <w:bookmarkEnd w:id="3330"/>
      <w:bookmarkEnd w:id="3331"/>
      <w:bookmarkEnd w:id="3332"/>
      <w:bookmarkEnd w:id="3333"/>
    </w:p>
    <w:p w14:paraId="1F75F31A" w14:textId="484EDAC2" w:rsidR="005A710B" w:rsidRPr="00A21682" w:rsidRDefault="009D6A8D" w:rsidP="00424DE9">
      <w:pPr>
        <w:pStyle w:val="Heading4"/>
        <w:rPr>
          <w:u w:color="000000" w:themeColor="text1"/>
          <w:lang w:eastAsia="ko-KR"/>
        </w:rPr>
      </w:pPr>
      <w:bookmarkStart w:id="3334" w:name="_Toc152089336"/>
      <w:bookmarkStart w:id="3335" w:name="_Toc177119271"/>
      <w:r>
        <w:rPr>
          <w:u w:color="000000" w:themeColor="text1"/>
          <w:lang w:eastAsia="ko-KR"/>
        </w:rPr>
        <w:t xml:space="preserve"> </w:t>
      </w:r>
      <w:bookmarkStart w:id="3336" w:name="_Toc185952713"/>
      <w:bookmarkStart w:id="3337" w:name="_Toc192874875"/>
      <w:r>
        <w:rPr>
          <w:u w:color="000000" w:themeColor="text1"/>
          <w:lang w:eastAsia="ko-KR"/>
        </w:rPr>
        <w:t>Invoicing Process Flow Narrative</w:t>
      </w:r>
      <w:bookmarkEnd w:id="3334"/>
      <w:bookmarkEnd w:id="3335"/>
      <w:bookmarkEnd w:id="3336"/>
      <w:bookmarkEnd w:id="3337"/>
    </w:p>
    <w:p w14:paraId="0AFC0038" w14:textId="77777777" w:rsidR="005A710B" w:rsidRPr="00A21682" w:rsidRDefault="005A710B" w:rsidP="009F117A">
      <w:pPr>
        <w:pStyle w:val="NormalNEW"/>
        <w:rPr>
          <w:u w:color="000000" w:themeColor="text1"/>
          <w:lang w:val="en-US" w:eastAsia="ko-KR"/>
        </w:rPr>
      </w:pPr>
      <w:r>
        <w:rPr>
          <w:u w:color="000000" w:themeColor="text1"/>
          <w:lang w:val="en-US" w:eastAsia="ko-KR"/>
        </w:rPr>
        <w:t>The following table describes each step of the process illustrated above.</w:t>
      </w:r>
    </w:p>
    <w:tbl>
      <w:tblPr>
        <w:tblStyle w:val="TableGrid-None13"/>
        <w:tblW w:w="95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720"/>
        <w:gridCol w:w="1728"/>
        <w:gridCol w:w="4968"/>
        <w:gridCol w:w="2160"/>
      </w:tblGrid>
      <w:tr w:rsidR="005A710B" w:rsidRPr="00A21682" w14:paraId="05460362" w14:textId="77777777" w:rsidTr="00C91FE0">
        <w:trPr>
          <w:cnfStyle w:val="100000000000" w:firstRow="1" w:lastRow="0" w:firstColumn="0" w:lastColumn="0" w:oddVBand="0" w:evenVBand="0" w:oddHBand="0" w:evenHBand="0" w:firstRowFirstColumn="0" w:firstRowLastColumn="0" w:lastRowFirstColumn="0" w:lastRowLastColumn="0"/>
        </w:trPr>
        <w:tc>
          <w:tcPr>
            <w:tcW w:w="720" w:type="dxa"/>
            <w:tcBorders>
              <w:right w:val="single" w:sz="2" w:space="0" w:color="FFFFFF" w:themeColor="background1"/>
            </w:tcBorders>
          </w:tcPr>
          <w:p w14:paraId="00A11AAC" w14:textId="77777777" w:rsidR="005A710B" w:rsidRPr="00A21682" w:rsidRDefault="005A710B" w:rsidP="00047C4E">
            <w:pPr>
              <w:pStyle w:val="TABLEHEADINGNEW"/>
              <w:rPr>
                <w:rFonts w:eastAsia="Arial Narrow"/>
                <w:b/>
                <w:bCs w:val="0"/>
              </w:rPr>
            </w:pPr>
            <w:r>
              <w:rPr>
                <w:rFonts w:eastAsia="Arial Narrow"/>
                <w:b/>
                <w:bCs w:val="0"/>
              </w:rPr>
              <w:t>Step #</w:t>
            </w:r>
          </w:p>
        </w:tc>
        <w:tc>
          <w:tcPr>
            <w:tcW w:w="1728" w:type="dxa"/>
            <w:tcBorders>
              <w:left w:val="single" w:sz="2" w:space="0" w:color="FFFFFF" w:themeColor="background1"/>
              <w:right w:val="single" w:sz="2" w:space="0" w:color="FFFFFF" w:themeColor="background1"/>
            </w:tcBorders>
          </w:tcPr>
          <w:p w14:paraId="3F88E00C" w14:textId="77777777" w:rsidR="005A710B" w:rsidRPr="00A21682" w:rsidRDefault="005A710B" w:rsidP="00047C4E">
            <w:pPr>
              <w:pStyle w:val="TABLEHEADINGNEW"/>
              <w:rPr>
                <w:rFonts w:eastAsia="Arial Narrow"/>
                <w:b/>
                <w:bCs w:val="0"/>
              </w:rPr>
            </w:pPr>
            <w:r>
              <w:rPr>
                <w:rFonts w:eastAsia="Arial Narrow"/>
                <w:b/>
                <w:bCs w:val="0"/>
              </w:rPr>
              <w:t>Process Step</w:t>
            </w:r>
          </w:p>
        </w:tc>
        <w:tc>
          <w:tcPr>
            <w:tcW w:w="4968" w:type="dxa"/>
            <w:tcBorders>
              <w:left w:val="single" w:sz="2" w:space="0" w:color="FFFFFF" w:themeColor="background1"/>
              <w:right w:val="single" w:sz="2" w:space="0" w:color="FFFFFF" w:themeColor="background1"/>
            </w:tcBorders>
          </w:tcPr>
          <w:p w14:paraId="0108029B" w14:textId="77777777" w:rsidR="005A710B" w:rsidRPr="00A21682" w:rsidRDefault="005A710B" w:rsidP="00047C4E">
            <w:pPr>
              <w:pStyle w:val="TABLEHEADINGNEW"/>
              <w:rPr>
                <w:rFonts w:eastAsia="Arial Narrow"/>
                <w:b/>
                <w:bCs w:val="0"/>
              </w:rPr>
            </w:pPr>
            <w:r>
              <w:rPr>
                <w:rFonts w:eastAsia="Arial Narrow"/>
                <w:b/>
                <w:bCs w:val="0"/>
              </w:rPr>
              <w:t>Description</w:t>
            </w:r>
          </w:p>
        </w:tc>
        <w:tc>
          <w:tcPr>
            <w:tcW w:w="2160" w:type="dxa"/>
            <w:tcBorders>
              <w:left w:val="single" w:sz="2" w:space="0" w:color="FFFFFF" w:themeColor="background1"/>
            </w:tcBorders>
          </w:tcPr>
          <w:p w14:paraId="2B58B5DF" w14:textId="77777777" w:rsidR="005A710B" w:rsidRPr="00A21682" w:rsidRDefault="005A710B" w:rsidP="00047C4E">
            <w:pPr>
              <w:pStyle w:val="TABLEHEADINGNEW"/>
              <w:rPr>
                <w:b/>
                <w:bCs w:val="0"/>
              </w:rPr>
            </w:pPr>
            <w:r>
              <w:rPr>
                <w:rFonts w:eastAsia="Arial Narrow"/>
                <w:b/>
                <w:bCs w:val="0"/>
              </w:rPr>
              <w:t>Stakeholder Group(s)</w:t>
            </w:r>
          </w:p>
        </w:tc>
      </w:tr>
      <w:tr w:rsidR="005A710B" w:rsidRPr="00A21682" w14:paraId="6CC6C61B" w14:textId="77777777" w:rsidTr="00047C4E">
        <w:tc>
          <w:tcPr>
            <w:tcW w:w="720" w:type="dxa"/>
          </w:tcPr>
          <w:p w14:paraId="69FC7DA2" w14:textId="77777777" w:rsidR="005A710B" w:rsidRPr="00A21682" w:rsidRDefault="005A710B" w:rsidP="00047C4E">
            <w:pPr>
              <w:pStyle w:val="TABLETEXT1"/>
              <w:rPr>
                <w:lang w:val="en-US"/>
              </w:rPr>
            </w:pPr>
            <w:r>
              <w:rPr>
                <w:lang w:val="en-US"/>
              </w:rPr>
              <w:t>1</w:t>
            </w:r>
          </w:p>
        </w:tc>
        <w:tc>
          <w:tcPr>
            <w:tcW w:w="1728" w:type="dxa"/>
          </w:tcPr>
          <w:p w14:paraId="166CACCC" w14:textId="1953754C" w:rsidR="005A710B" w:rsidRPr="00A21682" w:rsidRDefault="005A710B" w:rsidP="00047C4E">
            <w:pPr>
              <w:pStyle w:val="TABLETEXT1"/>
              <w:rPr>
                <w:lang w:val="en-US"/>
              </w:rPr>
            </w:pPr>
            <w:r>
              <w:rPr>
                <w:lang w:val="en-US"/>
              </w:rPr>
              <w:t xml:space="preserve">Project Event or Milestone Completion Occurs Triggering Invoice </w:t>
            </w:r>
          </w:p>
        </w:tc>
        <w:tc>
          <w:tcPr>
            <w:tcW w:w="4968" w:type="dxa"/>
          </w:tcPr>
          <w:p w14:paraId="622DD058" w14:textId="0A75B10A" w:rsidR="005A710B" w:rsidRPr="00A21682" w:rsidRDefault="005A710B" w:rsidP="00047C4E">
            <w:pPr>
              <w:pStyle w:val="TABLETEXT1"/>
              <w:rPr>
                <w:lang w:val="en-US"/>
              </w:rPr>
            </w:pPr>
            <w:r>
              <w:rPr>
                <w:lang w:val="en-US"/>
              </w:rPr>
              <w:t>When ███████ completes a project event or milestone (based on the Master ISOW Integrated Project Schedule), it will trigger an invoice to be delivered to DOH OHIP (see Appendix C-5 Budget Management Roles &amp; Responsibilities).</w:t>
            </w:r>
          </w:p>
        </w:tc>
        <w:tc>
          <w:tcPr>
            <w:tcW w:w="2160" w:type="dxa"/>
          </w:tcPr>
          <w:p w14:paraId="129EAFB1" w14:textId="4DEB19B6" w:rsidR="005A710B" w:rsidRPr="00635C9B" w:rsidRDefault="005A710B" w:rsidP="00E06D47">
            <w:pPr>
              <w:pStyle w:val="TABLEBULLETNEW"/>
              <w:rPr>
                <w:lang w:eastAsia="ko-KR"/>
              </w:rPr>
            </w:pPr>
            <w:r>
              <w:rPr>
                <w:lang w:eastAsia="ko-KR"/>
              </w:rPr>
              <w:t>███████ PMO</w:t>
            </w:r>
          </w:p>
        </w:tc>
      </w:tr>
      <w:tr w:rsidR="005A710B" w:rsidRPr="00A21682" w14:paraId="1DCABAC4" w14:textId="77777777" w:rsidTr="00047C4E">
        <w:tc>
          <w:tcPr>
            <w:tcW w:w="720" w:type="dxa"/>
          </w:tcPr>
          <w:p w14:paraId="20AAEB7A" w14:textId="77777777" w:rsidR="005A710B" w:rsidRPr="00A21682" w:rsidRDefault="005A710B" w:rsidP="00047C4E">
            <w:pPr>
              <w:pStyle w:val="TABLETEXT1"/>
              <w:rPr>
                <w:lang w:val="en-US"/>
              </w:rPr>
            </w:pPr>
            <w:r>
              <w:rPr>
                <w:lang w:val="en-US"/>
              </w:rPr>
              <w:t>2</w:t>
            </w:r>
          </w:p>
        </w:tc>
        <w:tc>
          <w:tcPr>
            <w:tcW w:w="1728" w:type="dxa"/>
          </w:tcPr>
          <w:p w14:paraId="58186FED" w14:textId="10B7FD4F" w:rsidR="005A710B" w:rsidRPr="00A21682" w:rsidRDefault="005A1356" w:rsidP="00047C4E">
            <w:pPr>
              <w:pStyle w:val="TABLETEXT1"/>
              <w:rPr>
                <w:lang w:val="en-US"/>
              </w:rPr>
            </w:pPr>
            <w:r>
              <w:rPr>
                <w:lang w:val="en-US"/>
              </w:rPr>
              <w:t>Invoice is Generated Based on Invoice Catalog from Master ISOW Integrated Project Schedule</w:t>
            </w:r>
          </w:p>
        </w:tc>
        <w:tc>
          <w:tcPr>
            <w:tcW w:w="4968" w:type="dxa"/>
          </w:tcPr>
          <w:p w14:paraId="3C8AB150" w14:textId="37A88B58" w:rsidR="005A710B" w:rsidRPr="00A21682" w:rsidRDefault="005A710B" w:rsidP="00047C4E">
            <w:pPr>
              <w:pStyle w:val="TABLETEXT1"/>
              <w:rPr>
                <w:lang w:val="en-US"/>
              </w:rPr>
            </w:pPr>
            <w:r>
              <w:rPr>
                <w:lang w:val="en-US"/>
              </w:rPr>
              <w:t xml:space="preserve">Following DOH OHIP approval, ███████ generates an invoice for the deliverable by leveraging the </w:t>
            </w:r>
            <w:r>
              <w:rPr>
                <w:i/>
                <w:iCs/>
                <w:lang w:val="en-US"/>
              </w:rPr>
              <w:t xml:space="preserve">Claim for Payment </w:t>
            </w:r>
            <w:r>
              <w:rPr>
                <w:lang w:val="en-US"/>
              </w:rPr>
              <w:t xml:space="preserve">(refer to Section 6.5 State Of New York Claim for Payment). </w:t>
            </w:r>
          </w:p>
        </w:tc>
        <w:tc>
          <w:tcPr>
            <w:tcW w:w="2160" w:type="dxa"/>
          </w:tcPr>
          <w:p w14:paraId="2FC11837" w14:textId="77777777" w:rsidR="005A710B" w:rsidRPr="00635C9B" w:rsidRDefault="005A710B" w:rsidP="00E06D47">
            <w:pPr>
              <w:pStyle w:val="TABLEBULLETNEW"/>
              <w:rPr>
                <w:lang w:eastAsia="ko-KR"/>
              </w:rPr>
            </w:pPr>
            <w:r>
              <w:rPr>
                <w:lang w:eastAsia="ko-KR"/>
              </w:rPr>
              <w:t>███████ PMO</w:t>
            </w:r>
          </w:p>
        </w:tc>
      </w:tr>
      <w:tr w:rsidR="005A710B" w:rsidRPr="00A21682" w14:paraId="7D3921B5" w14:textId="77777777" w:rsidTr="00047C4E">
        <w:tc>
          <w:tcPr>
            <w:tcW w:w="720" w:type="dxa"/>
          </w:tcPr>
          <w:p w14:paraId="056BC14E" w14:textId="77777777" w:rsidR="005A710B" w:rsidRPr="00A21682" w:rsidRDefault="005A710B" w:rsidP="00047C4E">
            <w:pPr>
              <w:pStyle w:val="TABLETEXT1"/>
              <w:rPr>
                <w:lang w:val="en-US"/>
              </w:rPr>
            </w:pPr>
            <w:r>
              <w:rPr>
                <w:lang w:val="en-US"/>
              </w:rPr>
              <w:t>3</w:t>
            </w:r>
          </w:p>
        </w:tc>
        <w:tc>
          <w:tcPr>
            <w:tcW w:w="1728" w:type="dxa"/>
          </w:tcPr>
          <w:p w14:paraId="11E3877C" w14:textId="66DF2721" w:rsidR="005A710B" w:rsidRPr="00A21682" w:rsidRDefault="005A1356" w:rsidP="00047C4E">
            <w:pPr>
              <w:pStyle w:val="TABLETEXT1"/>
              <w:rPr>
                <w:lang w:val="en-US"/>
              </w:rPr>
            </w:pPr>
            <w:r>
              <w:rPr>
                <w:lang w:val="en-US"/>
              </w:rPr>
              <w:t>Transmit Invoice Draft to DOH for Disposition</w:t>
            </w:r>
          </w:p>
        </w:tc>
        <w:tc>
          <w:tcPr>
            <w:tcW w:w="4968" w:type="dxa"/>
          </w:tcPr>
          <w:p w14:paraId="60D151B9" w14:textId="7629B389" w:rsidR="005A710B" w:rsidRPr="00A21682" w:rsidRDefault="005A710B" w:rsidP="00047C4E">
            <w:pPr>
              <w:pStyle w:val="TABLETEXT1"/>
              <w:rPr>
                <w:lang w:val="en-US"/>
              </w:rPr>
            </w:pPr>
            <w:r>
              <w:rPr>
                <w:lang w:val="en-US"/>
              </w:rPr>
              <w:t>Upon compiling an invoice, the ███████ PMO will transmit the draft invoice with DOH OHIP for review and discussion prior to formally transmitting the invoice for payment.</w:t>
            </w:r>
          </w:p>
        </w:tc>
        <w:tc>
          <w:tcPr>
            <w:tcW w:w="2160" w:type="dxa"/>
          </w:tcPr>
          <w:p w14:paraId="59391074" w14:textId="77777777" w:rsidR="005A710B" w:rsidRPr="00635C9B" w:rsidRDefault="005A710B" w:rsidP="00E06D47">
            <w:pPr>
              <w:pStyle w:val="TABLEBULLETNEW"/>
              <w:rPr>
                <w:lang w:eastAsia="ko-KR"/>
              </w:rPr>
            </w:pPr>
            <w:r>
              <w:rPr>
                <w:lang w:eastAsia="ko-KR"/>
              </w:rPr>
              <w:t>███████ PMO</w:t>
            </w:r>
          </w:p>
        </w:tc>
      </w:tr>
      <w:tr w:rsidR="005A710B" w:rsidRPr="00A21682" w14:paraId="6B09D08C" w14:textId="77777777" w:rsidTr="00047C4E">
        <w:tc>
          <w:tcPr>
            <w:tcW w:w="720" w:type="dxa"/>
          </w:tcPr>
          <w:p w14:paraId="13CF085B" w14:textId="77777777" w:rsidR="005A710B" w:rsidRPr="00A21682" w:rsidRDefault="005A710B" w:rsidP="00047C4E">
            <w:pPr>
              <w:pStyle w:val="TABLETEXT1"/>
              <w:rPr>
                <w:lang w:val="en-US"/>
              </w:rPr>
            </w:pPr>
            <w:r>
              <w:rPr>
                <w:lang w:val="en-US"/>
              </w:rPr>
              <w:t>4</w:t>
            </w:r>
          </w:p>
        </w:tc>
        <w:tc>
          <w:tcPr>
            <w:tcW w:w="1728" w:type="dxa"/>
          </w:tcPr>
          <w:p w14:paraId="0880383E" w14:textId="054A6183" w:rsidR="005A710B" w:rsidRPr="00A21682" w:rsidRDefault="005A1356" w:rsidP="00047C4E">
            <w:pPr>
              <w:pStyle w:val="TABLETEXT1"/>
              <w:rPr>
                <w:lang w:val="en-US"/>
              </w:rPr>
            </w:pPr>
            <w:r>
              <w:rPr>
                <w:lang w:val="en-US"/>
              </w:rPr>
              <w:t>Review Transmitted Invoice</w:t>
            </w:r>
          </w:p>
        </w:tc>
        <w:tc>
          <w:tcPr>
            <w:tcW w:w="4968" w:type="dxa"/>
          </w:tcPr>
          <w:p w14:paraId="39FA6A4E" w14:textId="77777777" w:rsidR="005A710B" w:rsidRPr="00A21682" w:rsidRDefault="005A710B" w:rsidP="00047C4E">
            <w:pPr>
              <w:pStyle w:val="TABLETEXT1"/>
              <w:rPr>
                <w:szCs w:val="18"/>
                <w:lang w:val="en-US"/>
              </w:rPr>
            </w:pPr>
            <w:r>
              <w:rPr>
                <w:szCs w:val="18"/>
                <w:lang w:val="en-US"/>
              </w:rPr>
              <w:t>Upon receipt of the draft invoice, DOH OHIP will review the draft invoice for accuracy and completion.</w:t>
            </w:r>
          </w:p>
        </w:tc>
        <w:tc>
          <w:tcPr>
            <w:tcW w:w="2160" w:type="dxa"/>
          </w:tcPr>
          <w:p w14:paraId="56CD0CA0" w14:textId="77777777" w:rsidR="005A710B" w:rsidRPr="00635C9B" w:rsidRDefault="005A710B" w:rsidP="00E06D47">
            <w:pPr>
              <w:pStyle w:val="TABLEBULLETNEW"/>
              <w:rPr>
                <w:lang w:eastAsia="ko-KR"/>
              </w:rPr>
            </w:pPr>
            <w:r>
              <w:rPr>
                <w:lang w:eastAsia="ko-KR"/>
              </w:rPr>
              <w:t>MECM QA</w:t>
            </w:r>
          </w:p>
          <w:p w14:paraId="136A2B3F" w14:textId="77777777" w:rsidR="005A710B" w:rsidRPr="00635C9B" w:rsidRDefault="005A710B" w:rsidP="00E06D47">
            <w:pPr>
              <w:pStyle w:val="TABLEBULLETNEW"/>
              <w:rPr>
                <w:lang w:eastAsia="ko-KR"/>
              </w:rPr>
            </w:pPr>
            <w:r>
              <w:rPr>
                <w:lang w:eastAsia="ko-KR"/>
              </w:rPr>
              <w:t xml:space="preserve">DOH OHIP </w:t>
            </w:r>
          </w:p>
        </w:tc>
      </w:tr>
      <w:tr w:rsidR="005A710B" w:rsidRPr="00A21682" w14:paraId="2F68B0EB" w14:textId="77777777" w:rsidTr="00047C4E">
        <w:tc>
          <w:tcPr>
            <w:tcW w:w="720" w:type="dxa"/>
          </w:tcPr>
          <w:p w14:paraId="729281B1" w14:textId="77777777" w:rsidR="005A710B" w:rsidRPr="00A21682" w:rsidRDefault="005A710B" w:rsidP="00047C4E">
            <w:pPr>
              <w:pStyle w:val="TABLETEXT1"/>
              <w:rPr>
                <w:lang w:val="en-US"/>
              </w:rPr>
            </w:pPr>
            <w:r>
              <w:rPr>
                <w:lang w:val="en-US"/>
              </w:rPr>
              <w:lastRenderedPageBreak/>
              <w:t>4.1</w:t>
            </w:r>
          </w:p>
        </w:tc>
        <w:tc>
          <w:tcPr>
            <w:tcW w:w="1728" w:type="dxa"/>
          </w:tcPr>
          <w:p w14:paraId="798666CC" w14:textId="1D8EC215" w:rsidR="005A710B" w:rsidRPr="00A21682" w:rsidRDefault="001914D0" w:rsidP="00047C4E">
            <w:pPr>
              <w:pStyle w:val="TABLETEXT1"/>
              <w:rPr>
                <w:lang w:val="en-US"/>
              </w:rPr>
            </w:pPr>
            <w:r>
              <w:rPr>
                <w:lang w:val="en-US"/>
              </w:rPr>
              <w:t>Transmittal Approved?</w:t>
            </w:r>
          </w:p>
        </w:tc>
        <w:tc>
          <w:tcPr>
            <w:tcW w:w="4968" w:type="dxa"/>
          </w:tcPr>
          <w:p w14:paraId="342297EC" w14:textId="77777777" w:rsidR="005A710B" w:rsidRPr="00A21682" w:rsidRDefault="005A710B" w:rsidP="00047C4E">
            <w:pPr>
              <w:pStyle w:val="TABLETEXT1"/>
              <w:rPr>
                <w:lang w:val="en-US"/>
              </w:rPr>
            </w:pPr>
            <w:r>
              <w:rPr>
                <w:lang w:val="en-US"/>
              </w:rPr>
              <w:t>DOH OHIP will review draft invoice and add any comments, questions, or edits if necessary.</w:t>
            </w:r>
          </w:p>
          <w:p w14:paraId="0CB7322F" w14:textId="371C646B" w:rsidR="00F4470C" w:rsidRPr="00A21682" w:rsidRDefault="005A710B" w:rsidP="00E06D47">
            <w:pPr>
              <w:pStyle w:val="TABLEBULLETNEW"/>
            </w:pPr>
            <w:r>
              <w:t xml:space="preserve">If the invoice is approved without any changes, proceed to </w:t>
            </w:r>
            <w:r>
              <w:rPr>
                <w:i/>
              </w:rPr>
              <w:t>Step #6 Submit Approved Invoice to Accounts Payable</w:t>
            </w:r>
          </w:p>
          <w:p w14:paraId="424407CE" w14:textId="2395FE48" w:rsidR="005A710B" w:rsidRPr="00A21682" w:rsidRDefault="005A710B" w:rsidP="00E06D47">
            <w:pPr>
              <w:pStyle w:val="TABLEBULLETNEW"/>
            </w:pPr>
            <w:r>
              <w:t>If the invoice is not approved and requires further updates, proceed to S</w:t>
            </w:r>
            <w:r>
              <w:rPr>
                <w:i/>
                <w:iCs/>
              </w:rPr>
              <w:t>tep</w:t>
            </w:r>
            <w:r>
              <w:rPr>
                <w:i/>
              </w:rPr>
              <w:t xml:space="preserve"> #5 Update Invoice </w:t>
            </w:r>
          </w:p>
        </w:tc>
        <w:tc>
          <w:tcPr>
            <w:tcW w:w="2160" w:type="dxa"/>
          </w:tcPr>
          <w:p w14:paraId="46EC3058" w14:textId="77777777" w:rsidR="005A710B" w:rsidRPr="00635C9B" w:rsidRDefault="005A710B" w:rsidP="00E06D47">
            <w:pPr>
              <w:pStyle w:val="TABLEBULLETNEW"/>
              <w:rPr>
                <w:lang w:eastAsia="ko-KR"/>
              </w:rPr>
            </w:pPr>
            <w:r>
              <w:rPr>
                <w:lang w:eastAsia="ko-KR"/>
              </w:rPr>
              <w:t>MECM QA</w:t>
            </w:r>
          </w:p>
          <w:p w14:paraId="6E0776E2" w14:textId="77777777" w:rsidR="005A710B" w:rsidRPr="00635C9B" w:rsidRDefault="005A710B" w:rsidP="00E06D47">
            <w:pPr>
              <w:pStyle w:val="TABLEBULLETNEW"/>
              <w:rPr>
                <w:lang w:eastAsia="ko-KR"/>
              </w:rPr>
            </w:pPr>
            <w:r>
              <w:rPr>
                <w:lang w:eastAsia="ko-KR"/>
              </w:rPr>
              <w:t>DOH OHIP</w:t>
            </w:r>
          </w:p>
        </w:tc>
      </w:tr>
      <w:tr w:rsidR="005A710B" w:rsidRPr="00A21682" w14:paraId="008B8EC1" w14:textId="77777777" w:rsidTr="00047C4E">
        <w:tc>
          <w:tcPr>
            <w:tcW w:w="720" w:type="dxa"/>
          </w:tcPr>
          <w:p w14:paraId="5E57E1BD" w14:textId="77777777" w:rsidR="005A710B" w:rsidRPr="00A21682" w:rsidRDefault="005A710B" w:rsidP="00047C4E">
            <w:pPr>
              <w:pStyle w:val="TABLETEXT1"/>
              <w:rPr>
                <w:lang w:val="en-US"/>
              </w:rPr>
            </w:pPr>
            <w:r>
              <w:rPr>
                <w:lang w:val="en-US"/>
              </w:rPr>
              <w:t>5</w:t>
            </w:r>
          </w:p>
        </w:tc>
        <w:tc>
          <w:tcPr>
            <w:tcW w:w="1728" w:type="dxa"/>
          </w:tcPr>
          <w:p w14:paraId="6C7BFC9A" w14:textId="77777777" w:rsidR="005A710B" w:rsidRPr="00A21682" w:rsidRDefault="005A710B" w:rsidP="00047C4E">
            <w:pPr>
              <w:pStyle w:val="TABLETEXT1"/>
              <w:rPr>
                <w:lang w:val="en-US"/>
              </w:rPr>
            </w:pPr>
            <w:r>
              <w:rPr>
                <w:lang w:val="en-US"/>
              </w:rPr>
              <w:t>Update Invoice</w:t>
            </w:r>
          </w:p>
        </w:tc>
        <w:tc>
          <w:tcPr>
            <w:tcW w:w="4968" w:type="dxa"/>
          </w:tcPr>
          <w:p w14:paraId="6B96A431" w14:textId="0258EF96" w:rsidR="005A710B" w:rsidRPr="00A21682" w:rsidRDefault="005A710B" w:rsidP="00047C4E">
            <w:pPr>
              <w:pStyle w:val="TABLETEXT1"/>
              <w:rPr>
                <w:lang w:val="en-US"/>
              </w:rPr>
            </w:pPr>
            <w:r>
              <w:rPr>
                <w:lang w:val="en-US"/>
              </w:rPr>
              <w:t xml:space="preserve">Address DOH OHIP feedback and concerns. Proceed to </w:t>
            </w:r>
            <w:r>
              <w:rPr>
                <w:i/>
                <w:lang w:val="en-US"/>
              </w:rPr>
              <w:t>Step #4 Review Transmitted Invoice</w:t>
            </w:r>
            <w:r>
              <w:rPr>
                <w:i/>
                <w:iCs/>
                <w:lang w:val="en-US"/>
              </w:rPr>
              <w:t>.</w:t>
            </w:r>
          </w:p>
        </w:tc>
        <w:tc>
          <w:tcPr>
            <w:tcW w:w="2160" w:type="dxa"/>
          </w:tcPr>
          <w:p w14:paraId="0D25DC92" w14:textId="77777777" w:rsidR="005A710B" w:rsidRPr="00635C9B" w:rsidRDefault="005A710B" w:rsidP="00E06D47">
            <w:pPr>
              <w:pStyle w:val="TABLEBULLETNEW"/>
              <w:rPr>
                <w:lang w:eastAsia="ko-KR"/>
              </w:rPr>
            </w:pPr>
            <w:r>
              <w:rPr>
                <w:lang w:eastAsia="ko-KR"/>
              </w:rPr>
              <w:t>███████ PMO</w:t>
            </w:r>
          </w:p>
        </w:tc>
      </w:tr>
      <w:tr w:rsidR="005A710B" w:rsidRPr="00A21682" w14:paraId="02D4CD0B" w14:textId="77777777" w:rsidTr="00047C4E">
        <w:tc>
          <w:tcPr>
            <w:tcW w:w="720" w:type="dxa"/>
          </w:tcPr>
          <w:p w14:paraId="04F0410F" w14:textId="77777777" w:rsidR="005A710B" w:rsidRPr="00A21682" w:rsidRDefault="005A710B" w:rsidP="00047C4E">
            <w:pPr>
              <w:pStyle w:val="TABLETEXT1"/>
              <w:rPr>
                <w:lang w:val="en-US"/>
              </w:rPr>
            </w:pPr>
            <w:r>
              <w:rPr>
                <w:lang w:val="en-US"/>
              </w:rPr>
              <w:t>6</w:t>
            </w:r>
          </w:p>
        </w:tc>
        <w:tc>
          <w:tcPr>
            <w:tcW w:w="1728" w:type="dxa"/>
          </w:tcPr>
          <w:p w14:paraId="0FFC7FBF" w14:textId="2991D2E1" w:rsidR="005A710B" w:rsidRPr="00A21682" w:rsidRDefault="006208C1" w:rsidP="00047C4E">
            <w:pPr>
              <w:pStyle w:val="TABLETEXT1"/>
              <w:rPr>
                <w:lang w:val="en-US"/>
              </w:rPr>
            </w:pPr>
            <w:r>
              <w:rPr>
                <w:lang w:val="en-US"/>
              </w:rPr>
              <w:t>Submit Approved Invoice to Accounts Payable</w:t>
            </w:r>
          </w:p>
        </w:tc>
        <w:tc>
          <w:tcPr>
            <w:tcW w:w="4968" w:type="dxa"/>
          </w:tcPr>
          <w:p w14:paraId="64BD7033" w14:textId="37D120DD" w:rsidR="005A710B" w:rsidRPr="00A21682" w:rsidRDefault="005A710B" w:rsidP="00047C4E">
            <w:pPr>
              <w:pStyle w:val="TABLETEXT1"/>
              <w:rPr>
                <w:lang w:val="en-US"/>
              </w:rPr>
            </w:pPr>
            <w:r>
              <w:rPr>
                <w:lang w:val="en-US"/>
              </w:rPr>
              <w:t xml:space="preserve">███████ submits the invoice via the Transmittal Process-Inbound process per the Quality Management Plan (refer to Section 7.4.1.1). Upon approval from DOH OHIP via transmittal, ███████ submits the invoice and Claim for Payment via email, as instructed in the OHIP Invoice Submission FAQ (refer to Section 6.6). After the invoice is paid, ███████ updates the Invoice Catalogue to reflect funding drawdowns. </w:t>
            </w:r>
          </w:p>
        </w:tc>
        <w:tc>
          <w:tcPr>
            <w:tcW w:w="2160" w:type="dxa"/>
          </w:tcPr>
          <w:p w14:paraId="52863CBC" w14:textId="77777777" w:rsidR="005A710B" w:rsidRPr="00635C9B" w:rsidRDefault="005A710B" w:rsidP="00E06D47">
            <w:pPr>
              <w:pStyle w:val="TABLEBULLETNEW"/>
              <w:rPr>
                <w:lang w:eastAsia="ko-KR"/>
              </w:rPr>
            </w:pPr>
            <w:r>
              <w:rPr>
                <w:lang w:eastAsia="ko-KR"/>
              </w:rPr>
              <w:t>███████ PMO</w:t>
            </w:r>
          </w:p>
        </w:tc>
      </w:tr>
    </w:tbl>
    <w:p w14:paraId="2FD5D375" w14:textId="4D3ACA7F" w:rsidR="009F117A" w:rsidRPr="00A21682" w:rsidRDefault="009F117A" w:rsidP="00D818D3">
      <w:pPr>
        <w:pStyle w:val="Caption"/>
        <w:rPr>
          <w:noProof w:val="0"/>
        </w:rPr>
      </w:pPr>
      <w:bookmarkStart w:id="3338" w:name="_Toc192875187"/>
      <w:bookmarkStart w:id="3339" w:name="_Toc152089337"/>
      <w:bookmarkStart w:id="3340" w:name="_Toc14437974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6</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Invoicing Process Flow Narrative</w:t>
      </w:r>
      <w:bookmarkEnd w:id="3338"/>
    </w:p>
    <w:p w14:paraId="5A7A40CA" w14:textId="411DB578" w:rsidR="005A710B" w:rsidRPr="00A21682" w:rsidRDefault="005A710B">
      <w:pPr>
        <w:pStyle w:val="Heading3"/>
        <w:rPr>
          <w:u w:color="000000" w:themeColor="text1"/>
        </w:rPr>
      </w:pPr>
      <w:bookmarkStart w:id="3341" w:name="_Toc177119272"/>
      <w:bookmarkStart w:id="3342" w:name="_Toc185952714"/>
      <w:bookmarkStart w:id="3343" w:name="_Toc192874876"/>
      <w:r>
        <w:rPr>
          <w:u w:color="000000" w:themeColor="text1"/>
        </w:rPr>
        <w:t>Budget Reporting</w:t>
      </w:r>
      <w:bookmarkEnd w:id="3339"/>
      <w:bookmarkEnd w:id="3341"/>
      <w:bookmarkEnd w:id="3342"/>
      <w:bookmarkEnd w:id="3343"/>
    </w:p>
    <w:p w14:paraId="1F147780" w14:textId="77777777" w:rsidR="005A710B" w:rsidRPr="00A21682" w:rsidRDefault="005A710B" w:rsidP="009F117A">
      <w:pPr>
        <w:pStyle w:val="NormalNEW"/>
        <w:rPr>
          <w:u w:color="000000" w:themeColor="text1"/>
          <w:lang w:val="en-US" w:eastAsia="ko-KR"/>
        </w:rPr>
      </w:pPr>
      <w:r>
        <w:rPr>
          <w:u w:color="000000" w:themeColor="text1"/>
          <w:lang w:val="en-US" w:eastAsia="ko-KR"/>
        </w:rPr>
        <w:t xml:space="preserve">As outlined in the MSOW and subsequent ISOWs, ███████ will include budget updates in the weekly Project Status Report (PSR). It will include the following details: </w:t>
      </w:r>
    </w:p>
    <w:p w14:paraId="6F39357A" w14:textId="77777777" w:rsidR="005A710B" w:rsidRPr="00A21682" w:rsidRDefault="005A710B" w:rsidP="0031550A">
      <w:pPr>
        <w:pStyle w:val="BulletNEW"/>
        <w:rPr>
          <w:lang w:eastAsia="ko-KR"/>
        </w:rPr>
      </w:pPr>
      <w:r>
        <w:rPr>
          <w:lang w:eastAsia="ko-KR"/>
        </w:rPr>
        <w:t>Total contract amount</w:t>
      </w:r>
    </w:p>
    <w:p w14:paraId="00C56A35" w14:textId="77777777" w:rsidR="005A710B" w:rsidRPr="00A21682" w:rsidRDefault="005A710B" w:rsidP="0031550A">
      <w:pPr>
        <w:pStyle w:val="BulletNEW"/>
        <w:rPr>
          <w:lang w:eastAsia="ko-KR"/>
        </w:rPr>
      </w:pPr>
      <w:r>
        <w:rPr>
          <w:lang w:eastAsia="ko-KR"/>
        </w:rPr>
        <w:t>Percent complete of deliverables</w:t>
      </w:r>
    </w:p>
    <w:p w14:paraId="3088217C" w14:textId="77777777" w:rsidR="005A710B" w:rsidRPr="00A21682" w:rsidRDefault="005A710B" w:rsidP="0031550A">
      <w:pPr>
        <w:pStyle w:val="BulletNEW"/>
        <w:rPr>
          <w:lang w:eastAsia="ko-KR"/>
        </w:rPr>
      </w:pPr>
      <w:r>
        <w:rPr>
          <w:lang w:eastAsia="ko-KR"/>
        </w:rPr>
        <w:t>Project costs (planned vs. actual)</w:t>
      </w:r>
    </w:p>
    <w:p w14:paraId="71796EA8" w14:textId="77777777" w:rsidR="005A710B" w:rsidRPr="00A21682" w:rsidRDefault="005A710B" w:rsidP="0031550A">
      <w:pPr>
        <w:pStyle w:val="BulletNEW"/>
        <w:rPr>
          <w:lang w:eastAsia="ko-KR"/>
        </w:rPr>
      </w:pPr>
      <w:r>
        <w:rPr>
          <w:lang w:eastAsia="ko-KR"/>
        </w:rPr>
        <w:t>Financial change request details</w:t>
      </w:r>
    </w:p>
    <w:p w14:paraId="5A971BDA" w14:textId="77777777" w:rsidR="005A710B" w:rsidRPr="00A21682" w:rsidRDefault="005A710B" w:rsidP="0031550A">
      <w:pPr>
        <w:pStyle w:val="BulletNEW"/>
        <w:rPr>
          <w:lang w:eastAsia="ko-KR"/>
        </w:rPr>
      </w:pPr>
      <w:r>
        <w:rPr>
          <w:lang w:eastAsia="ko-KR"/>
        </w:rPr>
        <w:t>Topline MSOW figure with subsequent breakout of ISOWs</w:t>
      </w:r>
    </w:p>
    <w:p w14:paraId="72146351" w14:textId="77777777" w:rsidR="005A710B" w:rsidRPr="00A21682" w:rsidRDefault="005A710B">
      <w:pPr>
        <w:pStyle w:val="Heading3"/>
        <w:rPr>
          <w:u w:color="000000" w:themeColor="text1"/>
        </w:rPr>
      </w:pPr>
      <w:bookmarkStart w:id="3344" w:name="_Toc152089338"/>
      <w:bookmarkStart w:id="3345" w:name="_Toc177119273"/>
      <w:bookmarkStart w:id="3346" w:name="_Toc185952715"/>
      <w:bookmarkStart w:id="3347" w:name="_Toc192874877"/>
      <w:r>
        <w:rPr>
          <w:u w:color="000000" w:themeColor="text1"/>
        </w:rPr>
        <w:t>Budget Adjustments</w:t>
      </w:r>
      <w:bookmarkEnd w:id="3344"/>
      <w:bookmarkEnd w:id="3345"/>
      <w:bookmarkEnd w:id="3346"/>
      <w:bookmarkEnd w:id="3347"/>
    </w:p>
    <w:bookmarkEnd w:id="3340"/>
    <w:p w14:paraId="13331490" w14:textId="77777777" w:rsidR="005A710B" w:rsidRPr="00A21682" w:rsidRDefault="005A710B" w:rsidP="009F117A">
      <w:pPr>
        <w:pStyle w:val="NormalNEW"/>
        <w:rPr>
          <w:u w:color="000000" w:themeColor="text1"/>
          <w:lang w:val="en-US" w:eastAsia="ko-KR"/>
        </w:rPr>
      </w:pPr>
      <w:r>
        <w:rPr>
          <w:u w:color="000000" w:themeColor="text1"/>
          <w:lang w:val="en-US" w:eastAsia="ko-KR"/>
        </w:rPr>
        <w:t xml:space="preserve">Adjustments may be made to the initial project budget based on mutual agreement between DOH OHIP and ███████ using the contract amendment process. This may be required if additional scope, schedule, or resource needs are identified and agreed upon beyond what is documented within the initial project budget as defined in the MSOW or ISOWs. </w:t>
      </w:r>
    </w:p>
    <w:p w14:paraId="29A88EC9" w14:textId="77777777" w:rsidR="005A710B" w:rsidRPr="00A21682" w:rsidRDefault="005A710B" w:rsidP="009F117A">
      <w:pPr>
        <w:pStyle w:val="NormalNEW"/>
        <w:rPr>
          <w:u w:color="000000" w:themeColor="text1"/>
          <w:lang w:val="en-US" w:eastAsia="ko-KR"/>
        </w:rPr>
      </w:pPr>
      <w:r>
        <w:rPr>
          <w:u w:color="000000" w:themeColor="text1"/>
          <w:lang w:val="en-US" w:eastAsia="ko-KR"/>
        </w:rPr>
        <w:t>When this occurs, ███████ will update the ISOW budget with the newly available project budget, including the identification of new ISOWs, and if applicable, within the Master ISOW Integrated Project Schedule and facilitate a review of the new ISOW budget. The remainder of the budget management process steps will be followed to complete the process.</w:t>
      </w:r>
    </w:p>
    <w:p w14:paraId="427A90E2" w14:textId="77777777" w:rsidR="005A710B" w:rsidRPr="00A21682" w:rsidRDefault="005A710B" w:rsidP="005A710B">
      <w:pPr>
        <w:keepLines/>
        <w:spacing w:before="120" w:after="120" w:line="240" w:lineRule="atLeast"/>
        <w:rPr>
          <w:rFonts w:ascii="Verdana" w:eastAsia="Calibri" w:hAnsi="Verdana" w:cs="Arial Narrow"/>
          <w:sz w:val="18"/>
          <w:szCs w:val="18"/>
          <w:u w:color="000000" w:themeColor="text1"/>
          <w:lang w:eastAsia="ko-KR"/>
        </w:rPr>
      </w:pPr>
      <w:r>
        <w:rPr>
          <w:rFonts w:ascii="Verdana" w:eastAsia="Calibri" w:hAnsi="Verdana" w:cs="Arial Narrow"/>
          <w:sz w:val="18"/>
          <w:szCs w:val="18"/>
          <w:u w:color="000000" w:themeColor="text1"/>
          <w:lang w:eastAsia="ko-KR"/>
        </w:rPr>
        <w:br w:type="page"/>
      </w:r>
    </w:p>
    <w:p w14:paraId="517FA137" w14:textId="0FCF6C38" w:rsidR="005A710B" w:rsidRPr="00A21682" w:rsidRDefault="00205713" w:rsidP="00205713">
      <w:pPr>
        <w:pStyle w:val="Heading2"/>
      </w:pPr>
      <w:bookmarkStart w:id="3348" w:name="_Toc149654373"/>
      <w:bookmarkStart w:id="3349" w:name="_Toc149722230"/>
      <w:bookmarkStart w:id="3350" w:name="_Toc149722316"/>
      <w:bookmarkStart w:id="3351" w:name="_Toc149722401"/>
      <w:bookmarkStart w:id="3352" w:name="_Toc149725017"/>
      <w:bookmarkStart w:id="3353" w:name="_Toc149654381"/>
      <w:bookmarkStart w:id="3354" w:name="_Toc149722238"/>
      <w:bookmarkStart w:id="3355" w:name="_Toc149722322"/>
      <w:bookmarkStart w:id="3356" w:name="_Toc149722409"/>
      <w:bookmarkStart w:id="3357" w:name="_Toc149725025"/>
      <w:bookmarkStart w:id="3358" w:name="_Toc177119274"/>
      <w:bookmarkStart w:id="3359" w:name="_Toc185952716"/>
      <w:bookmarkStart w:id="3360" w:name="_Toc192874878"/>
      <w:bookmarkEnd w:id="3348"/>
      <w:bookmarkEnd w:id="3349"/>
      <w:bookmarkEnd w:id="3350"/>
      <w:bookmarkEnd w:id="3351"/>
      <w:bookmarkEnd w:id="3352"/>
      <w:bookmarkEnd w:id="3353"/>
      <w:bookmarkEnd w:id="3354"/>
      <w:bookmarkEnd w:id="3355"/>
      <w:bookmarkEnd w:id="3356"/>
      <w:bookmarkEnd w:id="3357"/>
      <w:r>
        <w:lastRenderedPageBreak/>
        <w:t>Tool and Descriptions</w:t>
      </w:r>
      <w:bookmarkEnd w:id="3358"/>
      <w:bookmarkEnd w:id="3359"/>
      <w:bookmarkEnd w:id="3360"/>
      <w:r>
        <w:t xml:space="preserve"> </w:t>
      </w:r>
    </w:p>
    <w:tbl>
      <w:tblPr>
        <w:tblStyle w:val="TableGrid-None2"/>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516"/>
        <w:gridCol w:w="1271"/>
        <w:gridCol w:w="6660"/>
      </w:tblGrid>
      <w:tr w:rsidR="005A710B" w:rsidRPr="00A21682" w14:paraId="540A9AED" w14:textId="77777777" w:rsidTr="00C91FE0">
        <w:trPr>
          <w:trHeight w:val="294"/>
        </w:trPr>
        <w:tc>
          <w:tcPr>
            <w:tcW w:w="1516" w:type="dxa"/>
            <w:tcBorders>
              <w:right w:val="single" w:sz="2" w:space="0" w:color="FFFFFF" w:themeColor="background1"/>
            </w:tcBorders>
            <w:shd w:val="clear" w:color="auto" w:fill="000000" w:themeFill="text1"/>
          </w:tcPr>
          <w:p w14:paraId="6CC1A663" w14:textId="77777777" w:rsidR="005A710B" w:rsidRPr="00A21682" w:rsidRDefault="005A710B" w:rsidP="00047C4E">
            <w:pPr>
              <w:pStyle w:val="TABLEHEADINGNEW"/>
              <w:rPr>
                <w:lang w:val="en-US"/>
              </w:rPr>
            </w:pPr>
            <w:r>
              <w:rPr>
                <w:lang w:val="en-US"/>
              </w:rPr>
              <w:t>Tool</w:t>
            </w:r>
          </w:p>
        </w:tc>
        <w:tc>
          <w:tcPr>
            <w:tcW w:w="1271" w:type="dxa"/>
            <w:tcBorders>
              <w:left w:val="single" w:sz="2" w:space="0" w:color="FFFFFF" w:themeColor="background1"/>
              <w:right w:val="single" w:sz="2" w:space="0" w:color="FFFFFF" w:themeColor="background1"/>
            </w:tcBorders>
            <w:shd w:val="clear" w:color="auto" w:fill="000000" w:themeFill="text1"/>
          </w:tcPr>
          <w:p w14:paraId="5C19024C" w14:textId="77777777" w:rsidR="005A710B" w:rsidRPr="00A21682" w:rsidDel="00486D7F" w:rsidRDefault="005A710B" w:rsidP="00047C4E">
            <w:pPr>
              <w:pStyle w:val="TABLEHEADINGNEW"/>
              <w:rPr>
                <w:rFonts w:eastAsia="Verdana"/>
                <w:lang w:val="en-US"/>
              </w:rPr>
            </w:pPr>
            <w:r>
              <w:rPr>
                <w:rFonts w:eastAsia="Verdana"/>
                <w:lang w:val="en-US"/>
              </w:rPr>
              <w:t>Format</w:t>
            </w:r>
          </w:p>
        </w:tc>
        <w:tc>
          <w:tcPr>
            <w:tcW w:w="6660" w:type="dxa"/>
            <w:tcBorders>
              <w:left w:val="single" w:sz="2" w:space="0" w:color="FFFFFF" w:themeColor="background1"/>
            </w:tcBorders>
            <w:shd w:val="clear" w:color="auto" w:fill="000000" w:themeFill="text1"/>
          </w:tcPr>
          <w:p w14:paraId="467A11D3" w14:textId="77777777" w:rsidR="005A710B" w:rsidRPr="00A21682" w:rsidRDefault="005A710B" w:rsidP="00047C4E">
            <w:pPr>
              <w:pStyle w:val="TABLEHEADINGNEW"/>
              <w:rPr>
                <w:lang w:val="en-US"/>
              </w:rPr>
            </w:pPr>
            <w:r>
              <w:rPr>
                <w:rFonts w:eastAsia="Verdana"/>
                <w:lang w:val="en-US"/>
              </w:rPr>
              <w:t>Description</w:t>
            </w:r>
          </w:p>
        </w:tc>
      </w:tr>
      <w:tr w:rsidR="005A710B" w:rsidRPr="00A21682" w14:paraId="1DC47D8A" w14:textId="77777777" w:rsidTr="00047C4E">
        <w:trPr>
          <w:trHeight w:val="372"/>
        </w:trPr>
        <w:tc>
          <w:tcPr>
            <w:tcW w:w="1516" w:type="dxa"/>
          </w:tcPr>
          <w:p w14:paraId="35E656AE" w14:textId="77777777" w:rsidR="005A710B" w:rsidRPr="00A21682" w:rsidRDefault="005A710B" w:rsidP="00047C4E">
            <w:pPr>
              <w:pStyle w:val="TABLETEXT1"/>
              <w:rPr>
                <w:rFonts w:cs="Arial"/>
                <w:lang w:val="en-US"/>
              </w:rPr>
            </w:pPr>
            <w:r>
              <w:rPr>
                <w:lang w:val="en-US"/>
              </w:rPr>
              <w:t>ISOW Invoice Catalog</w:t>
            </w:r>
          </w:p>
        </w:tc>
        <w:tc>
          <w:tcPr>
            <w:tcW w:w="1271" w:type="dxa"/>
          </w:tcPr>
          <w:p w14:paraId="60983038" w14:textId="77777777" w:rsidR="005A710B" w:rsidRPr="00A21682" w:rsidDel="00485A5B" w:rsidRDefault="005A710B" w:rsidP="00047C4E">
            <w:pPr>
              <w:pStyle w:val="TABLETEXT1"/>
              <w:rPr>
                <w:rFonts w:cs="Arial"/>
                <w:lang w:val="en-US"/>
              </w:rPr>
            </w:pPr>
            <w:r>
              <w:rPr>
                <w:rFonts w:cs="Arial"/>
                <w:lang w:val="en-US"/>
              </w:rPr>
              <w:t>Excel</w:t>
            </w:r>
          </w:p>
        </w:tc>
        <w:tc>
          <w:tcPr>
            <w:tcW w:w="6660" w:type="dxa"/>
          </w:tcPr>
          <w:p w14:paraId="497EBA79" w14:textId="77777777" w:rsidR="005A710B" w:rsidRPr="00A21682" w:rsidRDefault="005A710B" w:rsidP="00047C4E">
            <w:pPr>
              <w:pStyle w:val="TABLETEXT1"/>
              <w:rPr>
                <w:rFonts w:cs="Arial"/>
                <w:lang w:val="en-US"/>
              </w:rPr>
            </w:pPr>
            <w:r>
              <w:rPr>
                <w:rFonts w:cs="Arial"/>
                <w:lang w:val="en-US"/>
              </w:rPr>
              <w:t xml:space="preserve">Document representing the status of all ISOW invoices. This is a component of the Master ISOW Integrated Project Schedule. </w:t>
            </w:r>
          </w:p>
        </w:tc>
      </w:tr>
      <w:tr w:rsidR="005A710B" w:rsidRPr="00A21682" w14:paraId="2402972D" w14:textId="77777777" w:rsidTr="00047C4E">
        <w:trPr>
          <w:trHeight w:val="372"/>
        </w:trPr>
        <w:tc>
          <w:tcPr>
            <w:tcW w:w="1516" w:type="dxa"/>
          </w:tcPr>
          <w:p w14:paraId="1610D8D9" w14:textId="77777777" w:rsidR="005A710B" w:rsidRPr="00A21682" w:rsidRDefault="005A710B" w:rsidP="00047C4E">
            <w:pPr>
              <w:pStyle w:val="TABLETEXT1"/>
              <w:rPr>
                <w:lang w:val="en-US"/>
              </w:rPr>
            </w:pPr>
            <w:r>
              <w:rPr>
                <w:lang w:val="en-US"/>
              </w:rPr>
              <w:t>Project Status Report</w:t>
            </w:r>
          </w:p>
        </w:tc>
        <w:tc>
          <w:tcPr>
            <w:tcW w:w="1271" w:type="dxa"/>
          </w:tcPr>
          <w:p w14:paraId="1F5BBBC6" w14:textId="77777777" w:rsidR="005A710B" w:rsidRPr="00A21682" w:rsidDel="00485A5B" w:rsidRDefault="005A710B" w:rsidP="00047C4E">
            <w:pPr>
              <w:pStyle w:val="TABLETEXT1"/>
              <w:rPr>
                <w:rFonts w:eastAsia="Times New Roman" w:cs="Arial"/>
                <w:lang w:val="en-US"/>
              </w:rPr>
            </w:pPr>
            <w:r>
              <w:rPr>
                <w:rFonts w:eastAsia="Times New Roman" w:cs="Arial"/>
                <w:lang w:val="en-US"/>
              </w:rPr>
              <w:t>PowerPoint</w:t>
            </w:r>
          </w:p>
        </w:tc>
        <w:tc>
          <w:tcPr>
            <w:tcW w:w="6660" w:type="dxa"/>
          </w:tcPr>
          <w:p w14:paraId="1D3F6496" w14:textId="77777777" w:rsidR="005A710B" w:rsidRPr="00A21682" w:rsidRDefault="005A710B" w:rsidP="00047C4E">
            <w:pPr>
              <w:pStyle w:val="TABLETEXT1"/>
              <w:rPr>
                <w:rFonts w:cs="Arial"/>
                <w:lang w:val="en-US"/>
              </w:rPr>
            </w:pPr>
            <w:r>
              <w:rPr>
                <w:rFonts w:eastAsia="Times New Roman" w:cs="Arial"/>
                <w:lang w:val="en-US"/>
              </w:rPr>
              <w:t xml:space="preserve">Document distributed weekly, including project updates for discussion during regular meetings between DOH OHIP and ███████ teams. The PSR will report on the project budget, including total contract amount, percent complete of deliverables, project costs (planned vs. actual), and financial change request details, as required by the MSOW. </w:t>
            </w:r>
          </w:p>
        </w:tc>
      </w:tr>
    </w:tbl>
    <w:p w14:paraId="7E2EEE48" w14:textId="24704EDB" w:rsidR="009F117A" w:rsidRPr="00A21682" w:rsidRDefault="009F117A" w:rsidP="00D818D3">
      <w:pPr>
        <w:pStyle w:val="Caption"/>
        <w:rPr>
          <w:noProof w:val="0"/>
          <w:u w:color="000000" w:themeColor="text1"/>
          <w:lang w:eastAsia="ja-JP"/>
        </w:rPr>
      </w:pPr>
      <w:bookmarkStart w:id="3361" w:name="_Toc192875188"/>
      <w:r>
        <w:rPr>
          <w:noProof w:val="0"/>
          <w:u w:color="000000" w:themeColor="text1"/>
          <w:lang w:eastAsia="ja-JP"/>
        </w:rPr>
        <w:t xml:space="preserve">Table </w:t>
      </w:r>
      <w:r>
        <w:rPr>
          <w:noProof w:val="0"/>
          <w:u w:color="000000" w:themeColor="text1"/>
          <w:lang w:eastAsia="ja-JP"/>
        </w:rPr>
        <w:fldChar w:fldCharType="begin"/>
      </w:r>
      <w:r>
        <w:rPr>
          <w:noProof w:val="0"/>
          <w:u w:color="000000" w:themeColor="text1"/>
          <w:lang w:eastAsia="ja-JP"/>
        </w:rPr>
        <w:instrText xml:space="preserve"> STYLEREF 1 \s </w:instrText>
      </w:r>
      <w:r>
        <w:rPr>
          <w:noProof w:val="0"/>
          <w:u w:color="000000" w:themeColor="text1"/>
          <w:lang w:eastAsia="ja-JP"/>
        </w:rPr>
        <w:fldChar w:fldCharType="separate"/>
      </w:r>
      <w:r>
        <w:rPr>
          <w:noProof w:val="0"/>
          <w:u w:color="000000" w:themeColor="text1"/>
          <w:lang w:eastAsia="ja-JP"/>
        </w:rPr>
        <w:t>6</w:t>
      </w:r>
      <w:r>
        <w:rPr>
          <w:noProof w:val="0"/>
          <w:u w:color="000000" w:themeColor="text1"/>
          <w:lang w:eastAsia="ja-JP"/>
        </w:rPr>
        <w:fldChar w:fldCharType="end"/>
      </w:r>
      <w:r>
        <w:rPr>
          <w:noProof w:val="0"/>
          <w:u w:color="000000" w:themeColor="text1"/>
          <w:lang w:eastAsia="ja-JP"/>
        </w:rPr>
        <w:noBreakHyphen/>
      </w:r>
      <w:r>
        <w:rPr>
          <w:noProof w:val="0"/>
          <w:u w:color="000000" w:themeColor="text1"/>
          <w:lang w:eastAsia="ja-JP"/>
        </w:rPr>
        <w:fldChar w:fldCharType="begin"/>
      </w:r>
      <w:r>
        <w:rPr>
          <w:noProof w:val="0"/>
          <w:u w:color="000000" w:themeColor="text1"/>
          <w:lang w:eastAsia="ja-JP"/>
        </w:rPr>
        <w:instrText xml:space="preserve"> SEQ Table \* ARABIC \s 1 </w:instrText>
      </w:r>
      <w:r>
        <w:rPr>
          <w:noProof w:val="0"/>
          <w:u w:color="000000" w:themeColor="text1"/>
          <w:lang w:eastAsia="ja-JP"/>
        </w:rPr>
        <w:fldChar w:fldCharType="separate"/>
      </w:r>
      <w:r>
        <w:rPr>
          <w:noProof w:val="0"/>
          <w:u w:color="000000" w:themeColor="text1"/>
          <w:lang w:eastAsia="ja-JP"/>
        </w:rPr>
        <w:t>3</w:t>
      </w:r>
      <w:r>
        <w:rPr>
          <w:noProof w:val="0"/>
          <w:u w:color="000000" w:themeColor="text1"/>
          <w:lang w:eastAsia="ja-JP"/>
        </w:rPr>
        <w:fldChar w:fldCharType="end"/>
      </w:r>
      <w:r>
        <w:rPr>
          <w:noProof w:val="0"/>
          <w:u w:color="000000" w:themeColor="text1"/>
          <w:lang w:eastAsia="ja-JP"/>
        </w:rPr>
        <w:t>: Tools and Descriptions</w:t>
      </w:r>
      <w:bookmarkEnd w:id="3361"/>
    </w:p>
    <w:p w14:paraId="64882ED3" w14:textId="10955004" w:rsidR="005A710B" w:rsidRPr="00A21682" w:rsidRDefault="005A710B" w:rsidP="008E3E3A">
      <w:pPr>
        <w:pStyle w:val="Heading2"/>
      </w:pPr>
      <w:bookmarkStart w:id="3362" w:name="_Toc152089341"/>
      <w:bookmarkStart w:id="3363" w:name="_Toc177119275"/>
      <w:bookmarkStart w:id="3364" w:name="_Toc185952717"/>
      <w:bookmarkStart w:id="3365" w:name="_Toc192874879"/>
      <w:r>
        <w:lastRenderedPageBreak/>
        <w:t>State Of New York Claim for Payment Form</w:t>
      </w:r>
      <w:bookmarkEnd w:id="3362"/>
      <w:bookmarkEnd w:id="3363"/>
      <w:bookmarkEnd w:id="3364"/>
      <w:bookmarkEnd w:id="3365"/>
    </w:p>
    <w:p w14:paraId="57794797" w14:textId="77777777" w:rsidR="005A710B" w:rsidRPr="00A21682" w:rsidRDefault="005A710B" w:rsidP="009F117A">
      <w:pPr>
        <w:pStyle w:val="NormalNEW"/>
        <w:jc w:val="center"/>
        <w:rPr>
          <w:u w:color="000000" w:themeColor="text1"/>
          <w:lang w:val="en-US" w:eastAsia="ko-KR"/>
        </w:rPr>
      </w:pPr>
      <w:r>
        <w:rPr>
          <w:noProof/>
          <w:lang w:val="en-US"/>
        </w:rPr>
        <w:drawing>
          <wp:inline distT="0" distB="0" distL="0" distR="0" wp14:anchorId="66440712" wp14:editId="52835ACA">
            <wp:extent cx="5680075" cy="7008268"/>
            <wp:effectExtent l="0" t="0" r="0"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t="1130" r="3401" b="2235"/>
                    <a:stretch/>
                  </pic:blipFill>
                  <pic:spPr bwMode="auto">
                    <a:xfrm>
                      <a:off x="0" y="0"/>
                      <a:ext cx="5688736" cy="7018954"/>
                    </a:xfrm>
                    <a:prstGeom prst="rect">
                      <a:avLst/>
                    </a:prstGeom>
                    <a:ln>
                      <a:noFill/>
                    </a:ln>
                    <a:extLst>
                      <a:ext uri="{53640926-AAD7-44D8-BBD7-CCE9431645EC}">
                        <a14:shadowObscured xmlns:a14="http://schemas.microsoft.com/office/drawing/2010/main"/>
                      </a:ext>
                    </a:extLst>
                  </pic:spPr>
                </pic:pic>
              </a:graphicData>
            </a:graphic>
          </wp:inline>
        </w:drawing>
      </w:r>
    </w:p>
    <w:p w14:paraId="62BC5E1F" w14:textId="5D8B319D" w:rsidR="005A710B" w:rsidRPr="00A21682" w:rsidRDefault="005A710B" w:rsidP="00D818D3">
      <w:pPr>
        <w:pStyle w:val="Caption"/>
        <w:rPr>
          <w:noProof w:val="0"/>
          <w:u w:color="000000" w:themeColor="text1"/>
          <w:lang w:eastAsia="ja-JP"/>
        </w:rPr>
      </w:pPr>
      <w:bookmarkStart w:id="3366" w:name="_Toc152089348"/>
      <w:bookmarkStart w:id="3367" w:name="_Toc178152053"/>
      <w:bookmarkStart w:id="3368" w:name="_Toc192875069"/>
      <w:r>
        <w:rPr>
          <w:noProof w:val="0"/>
          <w:u w:color="000000" w:themeColor="text1"/>
          <w:lang w:eastAsia="ja-JP"/>
        </w:rPr>
        <w:t xml:space="preserve">Figure </w:t>
      </w:r>
      <w:r>
        <w:rPr>
          <w:noProof w:val="0"/>
          <w:u w:color="000000" w:themeColor="text1"/>
          <w:lang w:eastAsia="ja-JP"/>
        </w:rPr>
        <w:fldChar w:fldCharType="begin"/>
      </w:r>
      <w:r>
        <w:rPr>
          <w:noProof w:val="0"/>
          <w:u w:color="000000" w:themeColor="text1"/>
          <w:lang w:eastAsia="ja-JP"/>
        </w:rPr>
        <w:instrText xml:space="preserve"> STYLEREF 1 \s </w:instrText>
      </w:r>
      <w:r>
        <w:rPr>
          <w:noProof w:val="0"/>
          <w:u w:color="000000" w:themeColor="text1"/>
          <w:lang w:eastAsia="ja-JP"/>
        </w:rPr>
        <w:fldChar w:fldCharType="separate"/>
      </w:r>
      <w:r>
        <w:rPr>
          <w:noProof w:val="0"/>
          <w:u w:color="000000" w:themeColor="text1"/>
          <w:lang w:eastAsia="ja-JP"/>
        </w:rPr>
        <w:t>6</w:t>
      </w:r>
      <w:r>
        <w:rPr>
          <w:noProof w:val="0"/>
          <w:u w:color="000000" w:themeColor="text1"/>
          <w:lang w:eastAsia="ja-JP"/>
        </w:rPr>
        <w:fldChar w:fldCharType="end"/>
      </w:r>
      <w:r>
        <w:rPr>
          <w:noProof w:val="0"/>
          <w:u w:color="000000" w:themeColor="text1"/>
          <w:lang w:eastAsia="ja-JP"/>
        </w:rPr>
        <w:t>-</w:t>
      </w:r>
      <w:r>
        <w:rPr>
          <w:noProof w:val="0"/>
          <w:u w:color="000000" w:themeColor="text1"/>
          <w:lang w:eastAsia="ja-JP"/>
        </w:rPr>
        <w:fldChar w:fldCharType="begin"/>
      </w:r>
      <w:r>
        <w:rPr>
          <w:noProof w:val="0"/>
          <w:u w:color="000000" w:themeColor="text1"/>
          <w:lang w:eastAsia="ja-JP"/>
        </w:rPr>
        <w:instrText xml:space="preserve"> SEQ Figure \* ARABIC \s 1 </w:instrText>
      </w:r>
      <w:r>
        <w:rPr>
          <w:noProof w:val="0"/>
          <w:u w:color="000000" w:themeColor="text1"/>
          <w:lang w:eastAsia="ja-JP"/>
        </w:rPr>
        <w:fldChar w:fldCharType="separate"/>
      </w:r>
      <w:r>
        <w:rPr>
          <w:noProof w:val="0"/>
          <w:u w:color="000000" w:themeColor="text1"/>
          <w:lang w:eastAsia="ja-JP"/>
        </w:rPr>
        <w:t>3</w:t>
      </w:r>
      <w:r>
        <w:rPr>
          <w:noProof w:val="0"/>
          <w:u w:color="000000" w:themeColor="text1"/>
          <w:lang w:eastAsia="ja-JP"/>
        </w:rPr>
        <w:fldChar w:fldCharType="end"/>
      </w:r>
      <w:r>
        <w:rPr>
          <w:noProof w:val="0"/>
          <w:u w:color="000000" w:themeColor="text1"/>
          <w:lang w:eastAsia="ja-JP"/>
        </w:rPr>
        <w:t>: State Of New York Claim for Payment Form</w:t>
      </w:r>
      <w:bookmarkEnd w:id="3366"/>
      <w:bookmarkEnd w:id="3367"/>
      <w:bookmarkEnd w:id="3368"/>
    </w:p>
    <w:p w14:paraId="6F73A52C" w14:textId="77777777" w:rsidR="005A710B" w:rsidRPr="00A21682" w:rsidRDefault="005A710B" w:rsidP="008E3E3A">
      <w:pPr>
        <w:pStyle w:val="Heading2"/>
        <w:rPr>
          <w:u w:color="000000" w:themeColor="text1"/>
        </w:rPr>
      </w:pPr>
      <w:bookmarkStart w:id="3369" w:name="_Toc151405171"/>
      <w:bookmarkStart w:id="3370" w:name="_Toc152073122"/>
      <w:bookmarkStart w:id="3371" w:name="_Toc152089342"/>
      <w:bookmarkStart w:id="3372" w:name="_Toc149654384"/>
      <w:bookmarkStart w:id="3373" w:name="_Toc149722241"/>
      <w:bookmarkStart w:id="3374" w:name="_Toc149722325"/>
      <w:bookmarkStart w:id="3375" w:name="_Toc149722412"/>
      <w:bookmarkStart w:id="3376" w:name="_Toc149725028"/>
      <w:bookmarkStart w:id="3377" w:name="_Toc152089343"/>
      <w:bookmarkStart w:id="3378" w:name="_Toc177119276"/>
      <w:bookmarkStart w:id="3379" w:name="_Toc185952718"/>
      <w:bookmarkStart w:id="3380" w:name="_Toc192874880"/>
      <w:bookmarkEnd w:id="3369"/>
      <w:bookmarkEnd w:id="3370"/>
      <w:bookmarkEnd w:id="3371"/>
      <w:bookmarkEnd w:id="3372"/>
      <w:bookmarkEnd w:id="3373"/>
      <w:bookmarkEnd w:id="3374"/>
      <w:bookmarkEnd w:id="3375"/>
      <w:bookmarkEnd w:id="3376"/>
      <w:r>
        <w:rPr>
          <w:u w:color="000000" w:themeColor="text1"/>
        </w:rPr>
        <w:lastRenderedPageBreak/>
        <w:t>OHIP Invoice Submission FAQ</w:t>
      </w:r>
      <w:bookmarkEnd w:id="3377"/>
      <w:bookmarkEnd w:id="3378"/>
      <w:bookmarkEnd w:id="3379"/>
      <w:bookmarkEnd w:id="3380"/>
    </w:p>
    <w:p w14:paraId="429487FD" w14:textId="77777777" w:rsidR="005A710B" w:rsidRPr="00A21682" w:rsidRDefault="005A710B" w:rsidP="009F117A">
      <w:pPr>
        <w:pStyle w:val="NormalNEW"/>
        <w:jc w:val="center"/>
        <w:rPr>
          <w:u w:color="000000" w:themeColor="text1"/>
          <w:lang w:val="en-US" w:eastAsia="ko-KR"/>
        </w:rPr>
      </w:pPr>
      <w:r>
        <w:rPr>
          <w:noProof/>
          <w:u w:color="000000" w:themeColor="text1"/>
          <w:lang w:val="en-US" w:eastAsia="ko-KR"/>
        </w:rPr>
        <w:drawing>
          <wp:inline distT="0" distB="0" distL="0" distR="0" wp14:anchorId="7CA7AFB3" wp14:editId="42574079">
            <wp:extent cx="5943140" cy="6933537"/>
            <wp:effectExtent l="19050" t="19050" r="19685" b="203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b="7128"/>
                    <a:stretch/>
                  </pic:blipFill>
                  <pic:spPr bwMode="auto">
                    <a:xfrm>
                      <a:off x="0" y="0"/>
                      <a:ext cx="5945781" cy="693661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31D61CE8" w14:textId="66BAC8D1" w:rsidR="00AD5610" w:rsidRPr="00A21682" w:rsidRDefault="005A710B" w:rsidP="00D818D3">
      <w:pPr>
        <w:pStyle w:val="Caption"/>
        <w:rPr>
          <w:noProof w:val="0"/>
        </w:rPr>
      </w:pPr>
      <w:bookmarkStart w:id="3381" w:name="_Toc152089349"/>
      <w:bookmarkStart w:id="3382" w:name="_Toc178152054"/>
      <w:bookmarkStart w:id="3383" w:name="_Toc192875070"/>
      <w:r>
        <w:rPr>
          <w:noProof w:val="0"/>
          <w:u w:color="000000" w:themeColor="text1"/>
          <w:lang w:eastAsia="ja-JP"/>
        </w:rPr>
        <w:t xml:space="preserve">Figure </w:t>
      </w:r>
      <w:r>
        <w:rPr>
          <w:noProof w:val="0"/>
          <w:u w:color="000000" w:themeColor="text1"/>
          <w:lang w:eastAsia="ja-JP"/>
        </w:rPr>
        <w:fldChar w:fldCharType="begin"/>
      </w:r>
      <w:r>
        <w:rPr>
          <w:noProof w:val="0"/>
          <w:u w:color="000000" w:themeColor="text1"/>
          <w:lang w:eastAsia="ja-JP"/>
        </w:rPr>
        <w:instrText xml:space="preserve"> STYLEREF 1 \s </w:instrText>
      </w:r>
      <w:r>
        <w:rPr>
          <w:noProof w:val="0"/>
          <w:u w:color="000000" w:themeColor="text1"/>
          <w:lang w:eastAsia="ja-JP"/>
        </w:rPr>
        <w:fldChar w:fldCharType="separate"/>
      </w:r>
      <w:r>
        <w:rPr>
          <w:noProof w:val="0"/>
          <w:u w:color="000000" w:themeColor="text1"/>
          <w:lang w:eastAsia="ja-JP"/>
        </w:rPr>
        <w:t>6</w:t>
      </w:r>
      <w:r>
        <w:rPr>
          <w:noProof w:val="0"/>
          <w:u w:color="000000" w:themeColor="text1"/>
          <w:lang w:eastAsia="ja-JP"/>
        </w:rPr>
        <w:fldChar w:fldCharType="end"/>
      </w:r>
      <w:r>
        <w:rPr>
          <w:noProof w:val="0"/>
          <w:u w:color="000000" w:themeColor="text1"/>
          <w:lang w:eastAsia="ja-JP"/>
        </w:rPr>
        <w:t>-</w:t>
      </w:r>
      <w:r>
        <w:rPr>
          <w:noProof w:val="0"/>
          <w:u w:color="000000" w:themeColor="text1"/>
          <w:lang w:eastAsia="ja-JP"/>
        </w:rPr>
        <w:fldChar w:fldCharType="begin"/>
      </w:r>
      <w:r>
        <w:rPr>
          <w:noProof w:val="0"/>
          <w:u w:color="000000" w:themeColor="text1"/>
          <w:lang w:eastAsia="ja-JP"/>
        </w:rPr>
        <w:instrText xml:space="preserve"> SEQ Figure \* ARABIC \s 1 </w:instrText>
      </w:r>
      <w:r>
        <w:rPr>
          <w:noProof w:val="0"/>
          <w:u w:color="000000" w:themeColor="text1"/>
          <w:lang w:eastAsia="ja-JP"/>
        </w:rPr>
        <w:fldChar w:fldCharType="separate"/>
      </w:r>
      <w:r>
        <w:rPr>
          <w:noProof w:val="0"/>
          <w:u w:color="000000" w:themeColor="text1"/>
          <w:lang w:eastAsia="ja-JP"/>
        </w:rPr>
        <w:t>4</w:t>
      </w:r>
      <w:r>
        <w:rPr>
          <w:noProof w:val="0"/>
          <w:u w:color="000000" w:themeColor="text1"/>
          <w:lang w:eastAsia="ja-JP"/>
        </w:rPr>
        <w:fldChar w:fldCharType="end"/>
      </w:r>
      <w:r>
        <w:rPr>
          <w:noProof w:val="0"/>
          <w:u w:color="000000" w:themeColor="text1"/>
          <w:lang w:eastAsia="ja-JP"/>
        </w:rPr>
        <w:t>: OHIP Invoice Submission FAQ</w:t>
      </w:r>
      <w:bookmarkStart w:id="3384" w:name="_Toc151405173"/>
      <w:bookmarkStart w:id="3385" w:name="_Toc152073124"/>
      <w:bookmarkStart w:id="3386" w:name="_Toc152089344"/>
      <w:bookmarkEnd w:id="3381"/>
      <w:bookmarkEnd w:id="3382"/>
      <w:bookmarkEnd w:id="3383"/>
      <w:bookmarkEnd w:id="3384"/>
      <w:bookmarkEnd w:id="3385"/>
      <w:bookmarkEnd w:id="3386"/>
    </w:p>
    <w:p w14:paraId="11F648B6" w14:textId="77777777" w:rsidR="00AD5610" w:rsidRPr="00A21682" w:rsidRDefault="00AD5610" w:rsidP="00A3488A">
      <w:pPr>
        <w:rPr>
          <w:rFonts w:ascii="Verdana" w:hAnsi="Verdana"/>
          <w:sz w:val="18"/>
        </w:rPr>
        <w:sectPr w:rsidR="00AD5610" w:rsidRPr="00A21682" w:rsidSect="00FB4E23">
          <w:headerReference w:type="default" r:id="rId77"/>
          <w:footerReference w:type="default" r:id="rId78"/>
          <w:pgSz w:w="12240" w:h="15840"/>
          <w:pgMar w:top="1440" w:right="1440" w:bottom="1440" w:left="1440" w:header="720" w:footer="720" w:gutter="0"/>
          <w:cols w:space="720"/>
          <w:docGrid w:linePitch="360"/>
        </w:sectPr>
      </w:pPr>
    </w:p>
    <w:p w14:paraId="08A500C1" w14:textId="66CE384A" w:rsidR="00AD5610" w:rsidRPr="00A21682" w:rsidRDefault="00880D70" w:rsidP="00A9704C">
      <w:pPr>
        <w:pStyle w:val="Deliverable"/>
        <w:jc w:val="center"/>
        <w:rPr>
          <w:sz w:val="18"/>
        </w:rPr>
      </w:pPr>
      <w:r>
        <w:rPr>
          <w:color w:val="FFFFFF" w:themeColor="background1"/>
        </w:rPr>
        <w:lastRenderedPageBreak/>
        <w:t>Section 7 – Quality Management Plan</w:t>
      </w:r>
    </w:p>
    <w:p w14:paraId="41750405" w14:textId="77777777" w:rsidR="00AD5610" w:rsidRPr="00A21682" w:rsidRDefault="00AD5610" w:rsidP="00A3488A">
      <w:pPr>
        <w:rPr>
          <w:rFonts w:ascii="Verdana" w:hAnsi="Verdana"/>
          <w:sz w:val="18"/>
        </w:rPr>
        <w:sectPr w:rsidR="00AD5610" w:rsidRPr="00A21682" w:rsidSect="00FB4E23">
          <w:headerReference w:type="default" r:id="rId79"/>
          <w:footerReference w:type="default" r:id="rId80"/>
          <w:pgSz w:w="12240" w:h="15840"/>
          <w:pgMar w:top="1440" w:right="1440" w:bottom="1440" w:left="1440" w:header="720" w:footer="720" w:gutter="0"/>
          <w:cols w:space="720"/>
          <w:vAlign w:val="center"/>
          <w:docGrid w:linePitch="360"/>
        </w:sectPr>
      </w:pPr>
    </w:p>
    <w:p w14:paraId="1340151E" w14:textId="260851CF" w:rsidR="00223C4D" w:rsidRPr="00A21682" w:rsidRDefault="00223C4D">
      <w:pPr>
        <w:pStyle w:val="Heading1"/>
      </w:pPr>
      <w:bookmarkStart w:id="3387" w:name="_Toc177119277"/>
      <w:bookmarkStart w:id="3388" w:name="_Toc185952719"/>
      <w:bookmarkStart w:id="3389" w:name="_Toc192874881"/>
      <w:bookmarkStart w:id="3390" w:name="_Toc153278072"/>
      <w:r>
        <w:lastRenderedPageBreak/>
        <w:t>Quality Management Plan</w:t>
      </w:r>
      <w:bookmarkEnd w:id="3387"/>
      <w:bookmarkEnd w:id="3388"/>
      <w:bookmarkEnd w:id="3389"/>
    </w:p>
    <w:p w14:paraId="71172520" w14:textId="6E909094" w:rsidR="00AB0EC4" w:rsidRPr="00A21682" w:rsidRDefault="00AB0EC4">
      <w:pPr>
        <w:pStyle w:val="Heading2"/>
      </w:pPr>
      <w:bookmarkStart w:id="3391" w:name="_Toc177119278"/>
      <w:bookmarkStart w:id="3392" w:name="_Toc185952720"/>
      <w:bookmarkStart w:id="3393" w:name="_Toc192874882"/>
      <w:r>
        <w:rPr>
          <w:u w:color="000000" w:themeColor="text1"/>
        </w:rPr>
        <w:t>Introductio</w:t>
      </w:r>
      <w:r>
        <w:t>n</w:t>
      </w:r>
      <w:bookmarkEnd w:id="3390"/>
      <w:bookmarkEnd w:id="3391"/>
      <w:bookmarkEnd w:id="3392"/>
      <w:bookmarkEnd w:id="3393"/>
    </w:p>
    <w:p w14:paraId="1FF82873" w14:textId="0B640487" w:rsidR="00AB0EC4" w:rsidRPr="00A21682" w:rsidRDefault="00AB0EC4" w:rsidP="00AB0EC4">
      <w:pPr>
        <w:pStyle w:val="NormalNEW"/>
        <w:rPr>
          <w:lang w:val="en-US"/>
        </w:rPr>
      </w:pPr>
      <w:r>
        <w:rPr>
          <w:lang w:val="en-US"/>
        </w:rPr>
        <w:t xml:space="preserve">The QMP outlines project guidelines and procedures for assessing and confirming the quality of project deliverables, DEDs, and processes. The QMP establishes a shared understanding of quality standards, verification processes, and project controls to be implemented and managed throughout the project lifecycle. </w:t>
      </w:r>
    </w:p>
    <w:p w14:paraId="0E34917B" w14:textId="7ED8F837" w:rsidR="00AB0EC4" w:rsidRPr="00A21682" w:rsidRDefault="00AB0EC4">
      <w:pPr>
        <w:pStyle w:val="Heading2"/>
      </w:pPr>
      <w:bookmarkStart w:id="3394" w:name="_Toc153278073"/>
      <w:bookmarkStart w:id="3395" w:name="_Toc177119279"/>
      <w:bookmarkStart w:id="3396" w:name="_Toc185952721"/>
      <w:bookmarkStart w:id="3397" w:name="_Toc192874883"/>
      <w:r>
        <w:t>Purpose</w:t>
      </w:r>
      <w:bookmarkEnd w:id="3394"/>
      <w:bookmarkEnd w:id="3395"/>
      <w:bookmarkEnd w:id="3396"/>
      <w:bookmarkEnd w:id="3397"/>
    </w:p>
    <w:p w14:paraId="49039FEF" w14:textId="64B76085" w:rsidR="00AB0EC4" w:rsidRPr="00A21682" w:rsidRDefault="00AB0EC4" w:rsidP="00223C4D">
      <w:pPr>
        <w:pStyle w:val="NormalNEW"/>
        <w:rPr>
          <w:lang w:val="en-US"/>
        </w:rPr>
      </w:pPr>
      <w:r>
        <w:rPr>
          <w:lang w:val="en-US"/>
        </w:rPr>
        <w:t xml:space="preserve">The purpose of the QMP is to define the objectives, processes, tools, and roles and responsibilities required to manage quality throughout the project lifecycle. The QMP provides consistency across the project through adherence to project methods, processes, templates, and tools. The scope of the QMP applies to the quality control of deliverables and work products to help confirm they meet project requirements. In addition, the QMP scope applies to the quality assurance processes, standards, tools, and techniques used to create those subsequent work products. </w:t>
      </w:r>
    </w:p>
    <w:p w14:paraId="11BDDD06" w14:textId="080A3B62" w:rsidR="00AB0EC4" w:rsidRPr="00A21682" w:rsidRDefault="00AB0EC4" w:rsidP="00AB0EC4">
      <w:pPr>
        <w:pStyle w:val="NormalNEW"/>
        <w:rPr>
          <w:lang w:val="en-US"/>
        </w:rPr>
      </w:pPr>
      <w:r>
        <w:rPr>
          <w:lang w:val="en-US"/>
        </w:rPr>
        <w:t xml:space="preserve">The ███████ team will leverage the QMP to enhance teamwork, organizational efficiency, and commitment to quality at every stage of the project. An example of the QMP being utilized is within the SDLC Roles and Responsibilities. To support and promote quality in every stage of the project, ███████ includes in Appendix C-1 SDLC Roles and Responsibilities and an accompanying RACI matrix that outlines stakeholder group(s) involved in quality assurance activities. </w:t>
      </w:r>
    </w:p>
    <w:p w14:paraId="3BD4F1A4" w14:textId="77777777" w:rsidR="00AB0EC4" w:rsidRPr="00A21682" w:rsidRDefault="00AB0EC4" w:rsidP="00DD12D4">
      <w:pPr>
        <w:pStyle w:val="NormalNEW"/>
        <w:rPr>
          <w:lang w:val="en-US"/>
        </w:rPr>
      </w:pPr>
      <w:r>
        <w:rPr>
          <w:lang w:val="en-US"/>
        </w:rPr>
        <w:t>The objectives of this QMP are to:</w:t>
      </w:r>
    </w:p>
    <w:p w14:paraId="7346FED6" w14:textId="2C0195E8" w:rsidR="00AB0EC4" w:rsidRPr="00A21682" w:rsidRDefault="00AB0EC4" w:rsidP="0031550A">
      <w:pPr>
        <w:pStyle w:val="BulletNEW"/>
      </w:pPr>
      <w:r>
        <w:t xml:space="preserve">Define the approach to effectively use project processes, checklists, style guides, and tools to support the project team in delivering quality throughout the project </w:t>
      </w:r>
    </w:p>
    <w:p w14:paraId="05AB44EB" w14:textId="0F29CA0D" w:rsidR="00AB0EC4" w:rsidRPr="00A21682" w:rsidRDefault="00AB0EC4" w:rsidP="0031550A">
      <w:pPr>
        <w:pStyle w:val="BulletNEW"/>
      </w:pPr>
      <w:r>
        <w:t>Define the approach to verify that deliverables are meeting project standards and quality expectations to match the needs of DOH OHIP</w:t>
      </w:r>
    </w:p>
    <w:p w14:paraId="167F9183" w14:textId="77777777" w:rsidR="00AB0EC4" w:rsidRPr="00A21682" w:rsidRDefault="00AB0EC4" w:rsidP="0031550A">
      <w:pPr>
        <w:pStyle w:val="BulletNEW"/>
      </w:pPr>
      <w:r>
        <w:t>Define what additional groups outside the core project team will be supporting the project to help achieve these quality objectives</w:t>
      </w:r>
      <w:bookmarkStart w:id="3398" w:name="_Toc143601251"/>
      <w:bookmarkStart w:id="3399" w:name="_Toc140529193"/>
    </w:p>
    <w:p w14:paraId="36FE1386" w14:textId="5138FD8F" w:rsidR="00AB0EC4" w:rsidRPr="00A21682" w:rsidRDefault="00633699" w:rsidP="0031550A">
      <w:pPr>
        <w:pStyle w:val="BulletNEW"/>
      </w:pPr>
      <w:r>
        <w:t xml:space="preserve">Establish processes for continuous improvement, which draws on lessons learned throughout the life cycle of the project to continue to drive the highest project standards and quality expectations </w:t>
      </w:r>
    </w:p>
    <w:p w14:paraId="4C3FD9B7" w14:textId="77777777" w:rsidR="00AB0EC4" w:rsidRPr="00A21682" w:rsidRDefault="00AB0EC4">
      <w:pPr>
        <w:pStyle w:val="Heading2"/>
      </w:pPr>
      <w:bookmarkStart w:id="3400" w:name="_Toc143601256"/>
      <w:bookmarkStart w:id="3401" w:name="_Toc153278074"/>
      <w:bookmarkStart w:id="3402" w:name="_Toc177119280"/>
      <w:bookmarkStart w:id="3403" w:name="_Toc185952722"/>
      <w:bookmarkStart w:id="3404" w:name="_Toc192874884"/>
      <w:bookmarkEnd w:id="3398"/>
      <w:r>
        <w:t xml:space="preserve">Quality Assurance </w:t>
      </w:r>
      <w:bookmarkEnd w:id="3400"/>
      <w:r>
        <w:t>Approach</w:t>
      </w:r>
      <w:bookmarkEnd w:id="3401"/>
      <w:bookmarkEnd w:id="3402"/>
      <w:bookmarkEnd w:id="3403"/>
      <w:bookmarkEnd w:id="3404"/>
    </w:p>
    <w:p w14:paraId="489019BF" w14:textId="19B5D31F" w:rsidR="00AB0EC4" w:rsidRPr="00A21682" w:rsidRDefault="00AB0EC4" w:rsidP="00223C4D">
      <w:pPr>
        <w:pStyle w:val="NormalNEW"/>
        <w:rPr>
          <w:lang w:val="en-US"/>
        </w:rPr>
      </w:pPr>
      <w:r>
        <w:rPr>
          <w:lang w:val="en-US"/>
        </w:rPr>
        <w:t>The Quality Assurance Approach section of the QMP provides detail on the internal quality review process and the escalation process. It also summarizes how lessons learned are incorporated into future quality planning. This quality management document is focused on deliverables, associated documentation, and other project work products. Quality management approaches associated with test management activities are supported by the Test Management Plan (DEL-09).</w:t>
      </w:r>
    </w:p>
    <w:p w14:paraId="5B388D2D" w14:textId="1DFD58F5" w:rsidR="00AB0EC4" w:rsidRPr="00A21682" w:rsidRDefault="00AB0EC4" w:rsidP="00223C4D">
      <w:pPr>
        <w:pStyle w:val="NormalNEW"/>
        <w:rPr>
          <w:lang w:val="en-US"/>
        </w:rPr>
      </w:pPr>
      <w:r>
        <w:rPr>
          <w:lang w:val="en-US"/>
        </w:rPr>
        <w:t xml:space="preserve">███████ will designate a QA/QC Lead to collaborate with the QA/QC counterpart from the DOS PMO to plan, manage, and monitor quality processes across the ███████ team. The QA/QC Lead will help confirm that project-defined processes, cadences, and expectations around quality are implemented and followed throughout the duration of the project. As part of their role, the QA/QC Lead will oversee the rollout and implementation of key process-defining documents, such as the PMP, Test Management Plan, and ISD. In addition, the QA/QC Lead will leverage the SDLC RACI to define and hold accountable stakeholder group(s) that are also involved in QA tasks throughout the SDLC phases. The QA/QC Lead and relevant stakeholders will leverage processes, tools, and standards referenced in </w:t>
      </w:r>
      <w:r>
        <w:rPr>
          <w:lang w:val="en-US"/>
        </w:rPr>
        <w:lastRenderedPageBreak/>
        <w:t>the QMP to drive continuous quality improvement. Additional roles can be found in Appendix C-6 Quality Management Plan Roles and Responsibilities.</w:t>
      </w:r>
    </w:p>
    <w:p w14:paraId="238CDA8E" w14:textId="77777777" w:rsidR="00AB0EC4" w:rsidRPr="00A21682" w:rsidRDefault="00AB0EC4">
      <w:pPr>
        <w:pStyle w:val="Heading3"/>
      </w:pPr>
      <w:bookmarkStart w:id="3405" w:name="_Toc143601253"/>
      <w:bookmarkStart w:id="3406" w:name="_Toc153278075"/>
      <w:bookmarkStart w:id="3407" w:name="_Toc177119281"/>
      <w:bookmarkStart w:id="3408" w:name="_Toc185952723"/>
      <w:bookmarkStart w:id="3409" w:name="_Toc192874885"/>
      <w:r>
        <w:t>Implementing the Quality Management Plan</w:t>
      </w:r>
      <w:bookmarkEnd w:id="3405"/>
      <w:bookmarkEnd w:id="3406"/>
      <w:bookmarkEnd w:id="3407"/>
      <w:bookmarkEnd w:id="3408"/>
      <w:bookmarkEnd w:id="3409"/>
    </w:p>
    <w:p w14:paraId="3329AA50" w14:textId="7ED283AA" w:rsidR="00223C4D" w:rsidRPr="00A21682" w:rsidRDefault="00AB0EC4" w:rsidP="00223C4D">
      <w:pPr>
        <w:pStyle w:val="NormalNEW"/>
        <w:rPr>
          <w:lang w:val="en-US"/>
        </w:rPr>
      </w:pPr>
      <w:r>
        <w:rPr>
          <w:lang w:val="en-US"/>
        </w:rPr>
        <w:t>Successful implementation of the QMP is the shared responsibility of the entire project team. Every member of the project team is responsible for following the quality standards, processes, and requirements identified in this QMP. It is the responsibility of the Quality Assurance stakeholder group to identify and implement required revisions to the project’s QMP to keep it current and relevant.</w:t>
      </w:r>
    </w:p>
    <w:p w14:paraId="6DA93FF1" w14:textId="6CD9C279" w:rsidR="00AB0EC4" w:rsidRPr="00A21682" w:rsidRDefault="00AB0EC4" w:rsidP="00223C4D">
      <w:pPr>
        <w:pStyle w:val="NormalNEW"/>
        <w:rPr>
          <w:lang w:val="en-US"/>
        </w:rPr>
      </w:pPr>
      <w:r>
        <w:rPr>
          <w:lang w:val="en-US"/>
        </w:rPr>
        <w:t>Additionally, the reviewers assigned at each deliverable submission, or resubmission, review the revised document. The QMP will be maintained on and uploaded to the DOH SharePoint along with other DOH OHIP-approved deliverables.</w:t>
      </w:r>
    </w:p>
    <w:p w14:paraId="1106EFE6" w14:textId="77777777" w:rsidR="00AB0EC4" w:rsidRPr="00A21682" w:rsidRDefault="00AB0EC4">
      <w:pPr>
        <w:pStyle w:val="Heading3"/>
      </w:pPr>
      <w:bookmarkStart w:id="3410" w:name="_Toc153278076"/>
      <w:bookmarkStart w:id="3411" w:name="_Toc177119282"/>
      <w:bookmarkStart w:id="3412" w:name="_Toc185952724"/>
      <w:bookmarkStart w:id="3413" w:name="_Toc192874886"/>
      <w:r>
        <w:t>Quality Management to Meet State and Federal Regulations</w:t>
      </w:r>
      <w:bookmarkEnd w:id="3410"/>
      <w:bookmarkEnd w:id="3411"/>
      <w:bookmarkEnd w:id="3412"/>
      <w:bookmarkEnd w:id="3413"/>
    </w:p>
    <w:p w14:paraId="522DFB08" w14:textId="77777777" w:rsidR="00AB0EC4" w:rsidRPr="00A21682" w:rsidRDefault="00AB0EC4" w:rsidP="00223C4D">
      <w:pPr>
        <w:pStyle w:val="NormalNEW"/>
        <w:rPr>
          <w:lang w:val="en-US"/>
        </w:rPr>
      </w:pPr>
      <w:r>
        <w:rPr>
          <w:lang w:val="en-US"/>
        </w:rPr>
        <w:t xml:space="preserve">Successful implementation of the QMP also requires that the entire project team meet State and Federal regulations. The NextGen based solution, implemented as part of MECM, supports DOH OHIP’s need to satisfy the requirements of the Affordable Care Act (ACA) and the Centers for Medicare and Medicaid Services (CMS) 7 Standards and Conditions including Medicaid Information Technology Architecture (MITA) and federal security compliance requirements. </w:t>
      </w:r>
    </w:p>
    <w:p w14:paraId="49044FC0" w14:textId="1CB7F638" w:rsidR="00AB0EC4" w:rsidRPr="00A21682" w:rsidRDefault="00AB0EC4" w:rsidP="00223C4D">
      <w:pPr>
        <w:pStyle w:val="NormalNEW"/>
        <w:rPr>
          <w:lang w:val="en-US"/>
        </w:rPr>
      </w:pPr>
      <w:r>
        <w:rPr>
          <w:lang w:val="en-US"/>
        </w:rPr>
        <w:t xml:space="preserve">The NextGen solution is an Enterprise Platform, built on a flexible and modular technical architecture, and is based upon open standards and Service Oriented Architecture (SOA) leading practices as well as the MITA 3.0 framework. </w:t>
      </w:r>
      <w:r>
        <w:rPr>
          <w:lang w:val="en-US"/>
        </w:rPr>
        <w:br/>
      </w:r>
      <w:r>
        <w:rPr>
          <w:lang w:val="en-US"/>
        </w:rPr>
        <w:br/>
        <w:t xml:space="preserve">As part of ███████’s effort to align to MITA 3.0, which reflects new and recently updated legislation, including: Health Information Technology for Economic and Clinical Health Act (HITECH), Children’s Health Insurance Program Reauthorization Act (CHIPRA), Affordable Care Act (ACA), and Health Insurance Portability and Accountability Act (HIPAA), the ███████ team performs the following: </w:t>
      </w:r>
    </w:p>
    <w:p w14:paraId="45745D87" w14:textId="4AF2C96B" w:rsidR="00AB0EC4" w:rsidRPr="00A21682" w:rsidRDefault="00AB0EC4" w:rsidP="0031550A">
      <w:pPr>
        <w:pStyle w:val="BulletNEW"/>
      </w:pPr>
      <w:r>
        <w:t>Provide technical resources with knowledge of CMS’s MITA 3.0 standards to support the technical services within this ISOW</w:t>
      </w:r>
    </w:p>
    <w:p w14:paraId="1C34E9A6" w14:textId="77777777" w:rsidR="00AB0EC4" w:rsidRPr="00A21682" w:rsidRDefault="00AB0EC4" w:rsidP="0031550A">
      <w:pPr>
        <w:pStyle w:val="BulletNEW"/>
      </w:pPr>
      <w:r>
        <w:t>Review the Enterprise and Solution Architecture deliverables for alignment with CMS MITA 3.0 standards</w:t>
      </w:r>
    </w:p>
    <w:p w14:paraId="34F44478" w14:textId="77777777" w:rsidR="00AB0EC4" w:rsidRPr="00A21682" w:rsidRDefault="00AB0EC4" w:rsidP="0031550A">
      <w:pPr>
        <w:pStyle w:val="BulletNEW"/>
      </w:pPr>
      <w:r>
        <w:t>Demonstrate to DOH OHIP the alignment of the MECM Enterprise and Solution Architecture with CMS MITA 3.0 standards</w:t>
      </w:r>
    </w:p>
    <w:p w14:paraId="19F38E28" w14:textId="180D81FB" w:rsidR="00AB0EC4" w:rsidRPr="00A21682" w:rsidRDefault="00AB0EC4" w:rsidP="0031550A">
      <w:pPr>
        <w:pStyle w:val="BulletNEW"/>
      </w:pPr>
      <w:r>
        <w:t>Address CMS requirements as part of the System a Plan (SSP)</w:t>
      </w:r>
    </w:p>
    <w:p w14:paraId="2FA150DA" w14:textId="77777777" w:rsidR="00AB0EC4" w:rsidRPr="00A21682" w:rsidRDefault="00AB0EC4" w:rsidP="0031550A">
      <w:pPr>
        <w:pStyle w:val="BulletNEW"/>
      </w:pPr>
      <w:r>
        <w:t xml:space="preserve">Adhere to CMS Outcome-Based Certification (OBC) requirements </w:t>
      </w:r>
    </w:p>
    <w:p w14:paraId="5AA77723" w14:textId="77777777" w:rsidR="00AB0EC4" w:rsidRPr="00A21682" w:rsidRDefault="00AB0EC4" w:rsidP="0031550A">
      <w:pPr>
        <w:pStyle w:val="BulletNEW"/>
      </w:pPr>
      <w:r>
        <w:t>Confirm data quality meets Transformed Medicaid Statistical Information System (T-MSIS) standards</w:t>
      </w:r>
    </w:p>
    <w:p w14:paraId="65925F8A" w14:textId="77777777" w:rsidR="00AB0EC4" w:rsidRPr="00A21682" w:rsidRDefault="00AB0EC4">
      <w:pPr>
        <w:pStyle w:val="Heading3"/>
      </w:pPr>
      <w:bookmarkStart w:id="3414" w:name="_Toc143601257"/>
      <w:bookmarkStart w:id="3415" w:name="_Toc153278077"/>
      <w:bookmarkStart w:id="3416" w:name="_Toc177119283"/>
      <w:bookmarkStart w:id="3417" w:name="_Toc185952725"/>
      <w:bookmarkStart w:id="3418" w:name="_Toc192874887"/>
      <w:r>
        <w:t>Quality Assurance Review</w:t>
      </w:r>
      <w:bookmarkEnd w:id="3414"/>
      <w:r>
        <w:t>s</w:t>
      </w:r>
      <w:bookmarkEnd w:id="3415"/>
      <w:bookmarkEnd w:id="3416"/>
      <w:bookmarkEnd w:id="3417"/>
      <w:bookmarkEnd w:id="3418"/>
    </w:p>
    <w:p w14:paraId="3B682B91" w14:textId="2B234D71" w:rsidR="00AB0EC4" w:rsidRPr="00A21682" w:rsidRDefault="00AB0EC4" w:rsidP="00223C4D">
      <w:pPr>
        <w:pStyle w:val="NormalNEW"/>
        <w:rPr>
          <w:lang w:val="en-US"/>
        </w:rPr>
      </w:pPr>
      <w:r>
        <w:rPr>
          <w:lang w:val="en-US"/>
        </w:rPr>
        <w:t xml:space="preserve">Quality assurance reviews will be performed to evaluate the major project processes. These reviews may include both project management processes (e.g., risk management, deliverable management) and technology processes (e.g., requirements management, test case development). Relevant stakeholder groups will perform quality assurance reviews to confirm that the project team follows the processes and standards. These reviews will focus on addressing whether the documented processes are being followed, are working, and are efficient. ███████ and DOH OHIP align early on as part of this review process. As quality assurance reviews are performed, the project team will evaluate the results and determine what, if any, actions should be taken. Actions might include additional training, process enforcement, or process refinements. </w:t>
      </w:r>
    </w:p>
    <w:p w14:paraId="265C2BE0" w14:textId="77777777" w:rsidR="00AB0EC4" w:rsidRPr="00A21682" w:rsidRDefault="00AB0EC4" w:rsidP="00223C4D">
      <w:pPr>
        <w:pStyle w:val="NormalNEW"/>
        <w:rPr>
          <w:szCs w:val="18"/>
          <w:lang w:val="en-US"/>
        </w:rPr>
      </w:pPr>
      <w:r>
        <w:rPr>
          <w:szCs w:val="18"/>
          <w:lang w:val="en-US"/>
        </w:rPr>
        <w:lastRenderedPageBreak/>
        <w:t xml:space="preserve">███████ places a strong emphasis on continuous improvement through regular reviews and lessons learned sessions. These sessions would be conducted at the conclusion of each project phase, serving as a core element of our iterative and collaborative process. These reviews may take the form of internal assessments conducted by our project team or external sessions involving stakeholder participation. </w:t>
      </w:r>
    </w:p>
    <w:p w14:paraId="390BEDD1" w14:textId="4BAE2C02" w:rsidR="00AB0EC4" w:rsidRPr="00A21682" w:rsidRDefault="00AB0EC4" w:rsidP="00223C4D">
      <w:pPr>
        <w:pStyle w:val="NormalNEW"/>
        <w:rPr>
          <w:szCs w:val="18"/>
          <w:lang w:val="en-US"/>
        </w:rPr>
      </w:pPr>
      <w:r>
        <w:rPr>
          <w:szCs w:val="18"/>
          <w:lang w:val="en-US"/>
        </w:rPr>
        <w:t>During these sessions, ███████ will identify areas for improvement and acknowledge successes – activities to sustain. Lessons learned encompass a broad spectrum of knowledge, ranging from process efficiencies and leading practices to specific challenges and solutions. This comprehensive approach promotes a holistic view of the project’s journey. The accrued knowledge and insights are documented and integrated into our project management tool, the ALM tool. This step is instrumental in preserving the institutional memory of the projects and enables easy retrieval and reference in the future. Each new phase or iteration/bundle begins with a review of these lessons, so past experiences inform our future actions. This iterative approach confirms that we actively incorporate our insights into our processes, leading to increased efficiency, effectiveness, and ultimately, a higher level of quality and project satisfaction.</w:t>
      </w:r>
    </w:p>
    <w:p w14:paraId="19AF42AB" w14:textId="77777777" w:rsidR="00AB0EC4" w:rsidRPr="00A21682" w:rsidRDefault="00AB0EC4" w:rsidP="004C3232">
      <w:pPr>
        <w:pStyle w:val="Heading3"/>
      </w:pPr>
      <w:bookmarkStart w:id="3419" w:name="_Toc143601259"/>
      <w:bookmarkStart w:id="3420" w:name="_Toc153278078"/>
      <w:bookmarkStart w:id="3421" w:name="_Toc177119284"/>
      <w:bookmarkStart w:id="3422" w:name="_Toc185952726"/>
      <w:bookmarkStart w:id="3423" w:name="_Toc192874888"/>
      <w:r>
        <w:t>Project Quality Standards</w:t>
      </w:r>
      <w:bookmarkEnd w:id="3419"/>
      <w:bookmarkEnd w:id="3420"/>
      <w:bookmarkEnd w:id="3421"/>
      <w:bookmarkEnd w:id="3422"/>
      <w:bookmarkEnd w:id="3423"/>
    </w:p>
    <w:p w14:paraId="02E4C749" w14:textId="64F2F05C" w:rsidR="00223C4D" w:rsidRPr="00A21682" w:rsidRDefault="00AB0EC4" w:rsidP="00223C4D">
      <w:pPr>
        <w:pStyle w:val="NormalNEW"/>
        <w:rPr>
          <w:lang w:val="en-US"/>
        </w:rPr>
      </w:pPr>
      <w:r>
        <w:rPr>
          <w:lang w:val="en-US"/>
        </w:rPr>
        <w:t>The purpose of this section is to define the project’s plans for performing quality assurance reviews. Quality standards are the basis for measuring quality on a project, and they help the team determine whether project deliverables meet pre-defined criteria regarding content presentation.</w:t>
      </w:r>
    </w:p>
    <w:p w14:paraId="739D687E" w14:textId="17CEDD9C" w:rsidR="00AB0EC4" w:rsidRPr="00A21682" w:rsidRDefault="00AB0EC4" w:rsidP="00223C4D">
      <w:pPr>
        <w:pStyle w:val="NormalNEW"/>
        <w:rPr>
          <w:lang w:val="en-US"/>
        </w:rPr>
      </w:pPr>
      <w:r>
        <w:rPr>
          <w:lang w:val="en-US"/>
        </w:rPr>
        <w:t>Quality standards can be defined by different sources, including:</w:t>
      </w:r>
    </w:p>
    <w:p w14:paraId="78BEA9D3" w14:textId="77777777" w:rsidR="00AB0EC4" w:rsidRPr="003F6B94" w:rsidRDefault="00AB0EC4" w:rsidP="0031550A">
      <w:pPr>
        <w:pStyle w:val="BulletNEW"/>
      </w:pPr>
      <w:r>
        <w:t>Stakeholder Defined Standards – Approved standards specific to DOH OHIP and/or the project</w:t>
      </w:r>
    </w:p>
    <w:p w14:paraId="4585EDD3" w14:textId="77777777" w:rsidR="00AB0EC4" w:rsidRPr="003F6B94" w:rsidRDefault="00AB0EC4" w:rsidP="0031550A">
      <w:pPr>
        <w:pStyle w:val="BulletNEW"/>
      </w:pPr>
      <w:r>
        <w:t xml:space="preserve">Industry Standards – Globally accepted and applied standards in a particular domain </w:t>
      </w:r>
    </w:p>
    <w:p w14:paraId="3E01A054" w14:textId="77777777" w:rsidR="00AB0EC4" w:rsidRPr="00A21682" w:rsidRDefault="00AB0EC4" w:rsidP="0031550A">
      <w:pPr>
        <w:pStyle w:val="BulletNEW"/>
      </w:pPr>
      <w:r>
        <w:t>███████ Standards – Standards developed based on relevant experience and applicable industry standards</w:t>
      </w:r>
    </w:p>
    <w:p w14:paraId="5F7086D6" w14:textId="4FF4AACF" w:rsidR="00AB0EC4" w:rsidRPr="00A21682" w:rsidRDefault="00AB0EC4" w:rsidP="00223C4D">
      <w:pPr>
        <w:pStyle w:val="NormalNEW"/>
        <w:rPr>
          <w:lang w:val="en-US"/>
        </w:rPr>
      </w:pPr>
      <w:r>
        <w:rPr>
          <w:lang w:val="en-US"/>
        </w:rPr>
        <w:t>Although many standards apply across most technology projects, it is important to define standards specific to the Continuing Medicaid Eligibility Modernization project to meet project-specific requirements. Standards will continue to be added, removed, and redefined throughout the course of the project.</w:t>
      </w:r>
    </w:p>
    <w:p w14:paraId="7AF1B527" w14:textId="5B0F44E3" w:rsidR="00AB0EC4" w:rsidRPr="00A21682" w:rsidRDefault="00AB0EC4" w:rsidP="00223C4D">
      <w:pPr>
        <w:pStyle w:val="NormalNEW"/>
        <w:rPr>
          <w:lang w:val="en-US"/>
        </w:rPr>
      </w:pPr>
      <w:r>
        <w:rPr>
          <w:lang w:val="en-US"/>
        </w:rPr>
        <w:t xml:space="preserve">███████’s quality framework is built around two core sets of standards, which are listed below. </w:t>
      </w:r>
    </w:p>
    <w:p w14:paraId="25BF8B36" w14:textId="6340C0AB" w:rsidR="00AB0EC4" w:rsidRPr="003F6B94" w:rsidRDefault="00AB0EC4" w:rsidP="0031550A">
      <w:pPr>
        <w:pStyle w:val="BulletNEW"/>
        <w:rPr>
          <w:bCs/>
        </w:rPr>
      </w:pPr>
      <w:r>
        <w:rPr>
          <w:bCs/>
        </w:rPr>
        <w:t>Project Management Institute’s (PMI) Project Management Body of Knowledge (PMBOK</w:t>
      </w:r>
      <w:r>
        <w:rPr>
          <w:bCs/>
          <w:vertAlign w:val="superscript"/>
        </w:rPr>
        <w:t>®</w:t>
      </w:r>
      <w:r>
        <w:rPr>
          <w:bCs/>
        </w:rPr>
        <w:t>) – PMI is the world’s leading not-for-profit membership association for the project management profession and provides global project management standards, including the PMBOK</w:t>
      </w:r>
      <w:r>
        <w:rPr>
          <w:bCs/>
          <w:vertAlign w:val="superscript"/>
        </w:rPr>
        <w:t>®</w:t>
      </w:r>
      <w:r>
        <w:rPr>
          <w:bCs/>
        </w:rPr>
        <w:t xml:space="preserve"> guide. PMBOK focuses on three primary components of quality management: overall quality philosophy, quality assurance, and quality control. ███████’s project-level PMP draws upon the core tenets of these components</w:t>
      </w:r>
    </w:p>
    <w:p w14:paraId="404C5BC7" w14:textId="1493F51B" w:rsidR="00AB0EC4" w:rsidRPr="00A21682" w:rsidDel="00E478FE" w:rsidRDefault="00AB0EC4" w:rsidP="0031550A">
      <w:pPr>
        <w:pStyle w:val="BulletNEW"/>
      </w:pPr>
      <w:r>
        <w:rPr>
          <w:bCs/>
        </w:rPr>
        <w:t>███████ Enterprise Value Delivery for Systems Integration (EVD for SI) –</w:t>
      </w:r>
      <w:r>
        <w:t xml:space="preserve"> Based on the Software Engineering Institute’s (SEI) Capability Maturity Model Integration (CMMI</w:t>
      </w:r>
      <w:r>
        <w:rPr>
          <w:vertAlign w:val="superscript"/>
        </w:rPr>
        <w:t>®</w:t>
      </w:r>
      <w:r>
        <w:t>) and PMBOK</w:t>
      </w:r>
      <w:r>
        <w:rPr>
          <w:vertAlign w:val="superscript"/>
        </w:rPr>
        <w:t>®</w:t>
      </w:r>
      <w:r>
        <w:t>, the EVD for SI method supports all activities that are executed during the project life cycle, from project initiation and planning to deployment of the final product and project closure. The EVD for SI is compliant to CMMI Level 3 process maturity expectations, which a focus on being proactive, rather than reactive. ███████’s SDLC Methodology (refer to Section 2) is based on and adherences to standards outlined in the EVD for SI</w:t>
      </w:r>
    </w:p>
    <w:p w14:paraId="4C69ADDF" w14:textId="1B9E4B66" w:rsidR="00AB0EC4" w:rsidRPr="00A21682" w:rsidRDefault="00AB0EC4" w:rsidP="00223C4D">
      <w:pPr>
        <w:pStyle w:val="NormalNEW"/>
        <w:rPr>
          <w:lang w:val="en-US"/>
        </w:rPr>
      </w:pPr>
      <w:r>
        <w:rPr>
          <w:lang w:val="en-US"/>
        </w:rPr>
        <w:t xml:space="preserve">All quality management standards outlined in the QMP and implemented on the Continuing Medicaid Eligibility Modernization project will be mutually agreed upon by ███████ and DOH OHIP through the review and approval of this document. The project will use quality checklists and review cycles to adhere to contract requirements; industry standard tools to drive consistency and uniformity across </w:t>
      </w:r>
      <w:r>
        <w:rPr>
          <w:lang w:val="en-US"/>
        </w:rPr>
        <w:lastRenderedPageBreak/>
        <w:t>the project; and thorough cycles of quality planning, assurance, monitoring, and support to get feedback that promotes continuous improvement.</w:t>
      </w:r>
    </w:p>
    <w:p w14:paraId="0D400FEB" w14:textId="27467659" w:rsidR="00AB0EC4" w:rsidRPr="00A21682" w:rsidRDefault="00AB0EC4" w:rsidP="00E14499">
      <w:pPr>
        <w:pStyle w:val="Heading3"/>
        <w:rPr>
          <w:rFonts w:cs="Arial Narrow"/>
        </w:rPr>
      </w:pPr>
      <w:bookmarkStart w:id="3424" w:name="_Toc143601260"/>
      <w:bookmarkStart w:id="3425" w:name="_Toc153278079"/>
      <w:bookmarkStart w:id="3426" w:name="_Toc177119285"/>
      <w:bookmarkStart w:id="3427" w:name="_Toc185952727"/>
      <w:bookmarkStart w:id="3428" w:name="_Toc192874889"/>
      <w:r>
        <w:t>Standard Verification</w:t>
      </w:r>
      <w:bookmarkEnd w:id="3424"/>
      <w:bookmarkEnd w:id="3425"/>
      <w:bookmarkEnd w:id="3426"/>
      <w:bookmarkEnd w:id="3427"/>
      <w:bookmarkEnd w:id="3428"/>
    </w:p>
    <w:p w14:paraId="6DAF5DEB" w14:textId="0D2F478E" w:rsidR="00AB0EC4" w:rsidRPr="00A21682" w:rsidRDefault="003C092E" w:rsidP="00223C4D">
      <w:pPr>
        <w:pStyle w:val="NormalNEW"/>
        <w:rPr>
          <w:lang w:val="en-US"/>
        </w:rPr>
      </w:pPr>
      <w:r>
        <w:rPr>
          <w:lang w:val="en-US"/>
        </w:rPr>
        <w:t>Defined standards in documentation will be maintained on the DOH SharePoint site; any updates to the documentation will be tracked as decisions to update these documentation standards. Once the initial standards for the project are defined, an approach will be specified to measure each standard and verify that it is met. The project will use the following definitions for standard verification:</w:t>
      </w:r>
    </w:p>
    <w:tbl>
      <w:tblPr>
        <w:tblStyle w:val="DEDTable"/>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695"/>
        <w:gridCol w:w="6655"/>
      </w:tblGrid>
      <w:tr w:rsidR="00FA5553" w:rsidRPr="00A21682" w14:paraId="0515C8FE" w14:textId="77777777" w:rsidTr="00C91FE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95" w:type="dxa"/>
            <w:tcBorders>
              <w:right w:val="single" w:sz="2" w:space="0" w:color="FFFFFF" w:themeColor="background1"/>
            </w:tcBorders>
          </w:tcPr>
          <w:p w14:paraId="7BB2FF5F" w14:textId="77777777" w:rsidR="00AB0EC4" w:rsidRPr="00A21682" w:rsidRDefault="00AB0EC4" w:rsidP="00047C4E">
            <w:pPr>
              <w:pStyle w:val="TABLEHEADINGNEW"/>
              <w:rPr>
                <w:b/>
              </w:rPr>
            </w:pPr>
            <w:r>
              <w:rPr>
                <w:b/>
              </w:rPr>
              <w:t>Term</w:t>
            </w:r>
          </w:p>
        </w:tc>
        <w:tc>
          <w:tcPr>
            <w:tcW w:w="6655" w:type="dxa"/>
            <w:tcBorders>
              <w:left w:val="single" w:sz="2" w:space="0" w:color="FFFFFF" w:themeColor="background1"/>
            </w:tcBorders>
          </w:tcPr>
          <w:p w14:paraId="1CFBDB39" w14:textId="77777777" w:rsidR="00AB0EC4" w:rsidRPr="00A21682" w:rsidRDefault="00AB0EC4" w:rsidP="00047C4E">
            <w:pPr>
              <w:pStyle w:val="TABLEHEADINGNEW"/>
              <w:cnfStyle w:val="100000000000" w:firstRow="1" w:lastRow="0" w:firstColumn="0" w:lastColumn="0" w:oddVBand="0" w:evenVBand="0" w:oddHBand="0" w:evenHBand="0" w:firstRowFirstColumn="0" w:firstRowLastColumn="0" w:lastRowFirstColumn="0" w:lastRowLastColumn="0"/>
              <w:rPr>
                <w:b/>
              </w:rPr>
            </w:pPr>
            <w:r>
              <w:rPr>
                <w:b/>
              </w:rPr>
              <w:t>Description</w:t>
            </w:r>
          </w:p>
        </w:tc>
      </w:tr>
      <w:tr w:rsidR="00B65956" w:rsidRPr="00A21682" w14:paraId="10F26A2B"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2FCC5CFD" w14:textId="77777777" w:rsidR="00AB0EC4" w:rsidRPr="00A21682" w:rsidRDefault="00AB0EC4" w:rsidP="00047C4E">
            <w:pPr>
              <w:pStyle w:val="TABLETEXT1"/>
              <w:rPr>
                <w:b w:val="0"/>
                <w:bCs/>
                <w:lang w:val="en-US"/>
              </w:rPr>
            </w:pPr>
            <w:r>
              <w:rPr>
                <w:b w:val="0"/>
                <w:bCs/>
                <w:lang w:val="en-US"/>
              </w:rPr>
              <w:t>Standard</w:t>
            </w:r>
          </w:p>
        </w:tc>
        <w:tc>
          <w:tcPr>
            <w:tcW w:w="6655" w:type="dxa"/>
          </w:tcPr>
          <w:p w14:paraId="4E182FE6"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documented source of guidelines, criteria, or specifications established to provide a common framework for executing and assessing project-related activities</w:t>
            </w:r>
          </w:p>
        </w:tc>
      </w:tr>
      <w:tr w:rsidR="00B65956" w:rsidRPr="00A21682" w14:paraId="028B3931"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3EDF9E68" w14:textId="77777777" w:rsidR="00AB0EC4" w:rsidRPr="00A21682" w:rsidRDefault="00AB0EC4" w:rsidP="00047C4E">
            <w:pPr>
              <w:pStyle w:val="TABLETEXT1"/>
              <w:rPr>
                <w:b w:val="0"/>
                <w:bCs/>
                <w:lang w:val="en-US"/>
              </w:rPr>
            </w:pPr>
            <w:r>
              <w:rPr>
                <w:b w:val="0"/>
                <w:bCs/>
                <w:lang w:val="en-US"/>
              </w:rPr>
              <w:t>Standard Reference</w:t>
            </w:r>
          </w:p>
        </w:tc>
        <w:tc>
          <w:tcPr>
            <w:tcW w:w="6655" w:type="dxa"/>
          </w:tcPr>
          <w:p w14:paraId="23CCCAC2"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source of the standard, including a reference number, if applicable</w:t>
            </w:r>
          </w:p>
        </w:tc>
      </w:tr>
      <w:tr w:rsidR="00B65956" w:rsidRPr="00A21682" w14:paraId="6EC7C901"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321DAF92" w14:textId="77777777" w:rsidR="00AB0EC4" w:rsidRPr="00A21682" w:rsidRDefault="00AB0EC4" w:rsidP="00047C4E">
            <w:pPr>
              <w:pStyle w:val="TABLETEXT1"/>
              <w:rPr>
                <w:b w:val="0"/>
                <w:bCs/>
                <w:lang w:val="en-US"/>
              </w:rPr>
            </w:pPr>
            <w:r>
              <w:rPr>
                <w:b w:val="0"/>
                <w:bCs/>
                <w:lang w:val="en-US"/>
              </w:rPr>
              <w:t>Wave</w:t>
            </w:r>
          </w:p>
        </w:tc>
        <w:tc>
          <w:tcPr>
            <w:tcW w:w="6655" w:type="dxa"/>
          </w:tcPr>
          <w:p w14:paraId="37E5324F"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phase of the project that the standard applies to; some standards may apply to all phases</w:t>
            </w:r>
          </w:p>
        </w:tc>
      </w:tr>
      <w:tr w:rsidR="00B65956" w:rsidRPr="00A21682" w14:paraId="36CD00DA"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01771012" w14:textId="77777777" w:rsidR="00AB0EC4" w:rsidRPr="00A21682" w:rsidRDefault="00AB0EC4" w:rsidP="00047C4E">
            <w:pPr>
              <w:pStyle w:val="TABLETEXT1"/>
              <w:rPr>
                <w:b w:val="0"/>
                <w:bCs/>
                <w:lang w:val="en-US"/>
              </w:rPr>
            </w:pPr>
            <w:r>
              <w:rPr>
                <w:b w:val="0"/>
                <w:bCs/>
                <w:lang w:val="en-US"/>
              </w:rPr>
              <w:t>Process/Product</w:t>
            </w:r>
          </w:p>
        </w:tc>
        <w:tc>
          <w:tcPr>
            <w:tcW w:w="6655" w:type="dxa"/>
          </w:tcPr>
          <w:p w14:paraId="4FB03ACF" w14:textId="05987CE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Identifies if the standard is a process standard (e.g., Integrated Change Control Process) or a product standard (e.g., Requirements Management Plan)</w:t>
            </w:r>
          </w:p>
        </w:tc>
      </w:tr>
      <w:tr w:rsidR="00B65956" w:rsidRPr="00A21682" w14:paraId="47B724ED"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71A66E7A" w14:textId="77777777" w:rsidR="00AB0EC4" w:rsidRPr="00A21682" w:rsidRDefault="00AB0EC4" w:rsidP="00047C4E">
            <w:pPr>
              <w:pStyle w:val="TABLETEXT1"/>
              <w:rPr>
                <w:b w:val="0"/>
                <w:bCs/>
                <w:lang w:val="en-US"/>
              </w:rPr>
            </w:pPr>
            <w:r>
              <w:rPr>
                <w:b w:val="0"/>
                <w:bCs/>
                <w:lang w:val="en-US"/>
              </w:rPr>
              <w:t>Product/Process Name</w:t>
            </w:r>
          </w:p>
        </w:tc>
        <w:tc>
          <w:tcPr>
            <w:tcW w:w="6655" w:type="dxa"/>
          </w:tcPr>
          <w:p w14:paraId="18E942DF"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name of the product or process </w:t>
            </w:r>
          </w:p>
        </w:tc>
      </w:tr>
      <w:tr w:rsidR="00B65956" w:rsidRPr="00A21682" w14:paraId="76655FB3"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58106F9D" w14:textId="77777777" w:rsidR="00AB0EC4" w:rsidRPr="00A21682" w:rsidRDefault="00AB0EC4" w:rsidP="00047C4E">
            <w:pPr>
              <w:pStyle w:val="TABLETEXT1"/>
              <w:rPr>
                <w:b w:val="0"/>
                <w:bCs/>
                <w:lang w:val="en-US"/>
              </w:rPr>
            </w:pPr>
            <w:r>
              <w:rPr>
                <w:b w:val="0"/>
                <w:bCs/>
                <w:lang w:val="en-US"/>
              </w:rPr>
              <w:t>Verification Method</w:t>
            </w:r>
          </w:p>
        </w:tc>
        <w:tc>
          <w:tcPr>
            <w:tcW w:w="6655" w:type="dxa"/>
          </w:tcPr>
          <w:p w14:paraId="0996B9DF"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method that will be used to verify the standard</w:t>
            </w:r>
          </w:p>
        </w:tc>
      </w:tr>
      <w:tr w:rsidR="00B65956" w:rsidRPr="00A21682" w14:paraId="150275F7"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2A153F01" w14:textId="77777777" w:rsidR="00AB0EC4" w:rsidRPr="00A21682" w:rsidRDefault="00AB0EC4" w:rsidP="00047C4E">
            <w:pPr>
              <w:pStyle w:val="TABLETEXT1"/>
              <w:rPr>
                <w:b w:val="0"/>
                <w:bCs/>
                <w:lang w:val="en-US"/>
              </w:rPr>
            </w:pPr>
            <w:r>
              <w:rPr>
                <w:b w:val="0"/>
                <w:bCs/>
                <w:lang w:val="en-US"/>
              </w:rPr>
              <w:t>Verification Checklist</w:t>
            </w:r>
          </w:p>
        </w:tc>
        <w:tc>
          <w:tcPr>
            <w:tcW w:w="6655" w:type="dxa"/>
          </w:tcPr>
          <w:p w14:paraId="0C1ECF46"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name of the checklist that will be used in the verification process, if applicable</w:t>
            </w:r>
          </w:p>
        </w:tc>
      </w:tr>
      <w:tr w:rsidR="00B65956" w:rsidRPr="00A21682" w14:paraId="7055EFFF"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1A744DCA" w14:textId="77777777" w:rsidR="00AB0EC4" w:rsidRPr="00A21682" w:rsidRDefault="00AB0EC4" w:rsidP="00047C4E">
            <w:pPr>
              <w:pStyle w:val="TABLETEXT1"/>
              <w:rPr>
                <w:b w:val="0"/>
                <w:bCs/>
                <w:lang w:val="en-US"/>
              </w:rPr>
            </w:pPr>
            <w:r>
              <w:rPr>
                <w:b w:val="0"/>
                <w:bCs/>
                <w:lang w:val="en-US"/>
              </w:rPr>
              <w:t>When Verification Performed</w:t>
            </w:r>
          </w:p>
        </w:tc>
        <w:tc>
          <w:tcPr>
            <w:tcW w:w="6655" w:type="dxa"/>
          </w:tcPr>
          <w:p w14:paraId="7AD8F5AD"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timing of the verification (e.g., weekly, when a document is complete)</w:t>
            </w:r>
          </w:p>
        </w:tc>
      </w:tr>
      <w:tr w:rsidR="00B65956" w:rsidRPr="00A21682" w14:paraId="3E9578E3"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2BE4F71C" w14:textId="77777777" w:rsidR="00AB0EC4" w:rsidRPr="00A21682" w:rsidRDefault="00AB0EC4" w:rsidP="00047C4E">
            <w:pPr>
              <w:pStyle w:val="TABLETEXT1"/>
              <w:rPr>
                <w:b w:val="0"/>
                <w:bCs/>
                <w:lang w:val="en-US"/>
              </w:rPr>
            </w:pPr>
            <w:r>
              <w:rPr>
                <w:b w:val="0"/>
                <w:bCs/>
                <w:lang w:val="en-US"/>
              </w:rPr>
              <w:t>Information Required (Tracking Mechanism)</w:t>
            </w:r>
          </w:p>
        </w:tc>
        <w:tc>
          <w:tcPr>
            <w:tcW w:w="6655" w:type="dxa"/>
          </w:tcPr>
          <w:p w14:paraId="09E8AF30" w14:textId="3CD3A84E"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information that is required to verify the standard, and the way the information is tracked (e.g., the ALM tool/the requirements management tool)</w:t>
            </w:r>
          </w:p>
        </w:tc>
      </w:tr>
      <w:tr w:rsidR="00B65956" w:rsidRPr="00A21682" w14:paraId="4D8575CE"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074B7C01" w14:textId="77777777" w:rsidR="00AB0EC4" w:rsidRPr="00A21682" w:rsidRDefault="00AB0EC4" w:rsidP="00047C4E">
            <w:pPr>
              <w:pStyle w:val="TABLETEXT1"/>
              <w:rPr>
                <w:b w:val="0"/>
                <w:bCs/>
                <w:lang w:val="en-US"/>
              </w:rPr>
            </w:pPr>
            <w:r>
              <w:rPr>
                <w:b w:val="0"/>
                <w:bCs/>
                <w:lang w:val="en-US"/>
              </w:rPr>
              <w:t>Metric to Track</w:t>
            </w:r>
          </w:p>
        </w:tc>
        <w:tc>
          <w:tcPr>
            <w:tcW w:w="6655" w:type="dxa"/>
          </w:tcPr>
          <w:p w14:paraId="75E0D62D"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metric that will be tracked for the standard</w:t>
            </w:r>
          </w:p>
        </w:tc>
      </w:tr>
      <w:tr w:rsidR="00B65956" w:rsidRPr="00A21682" w14:paraId="2CC009FF" w14:textId="77777777" w:rsidTr="00047C4E">
        <w:trPr>
          <w:trHeight w:val="20"/>
        </w:trPr>
        <w:tc>
          <w:tcPr>
            <w:cnfStyle w:val="001000000000" w:firstRow="0" w:lastRow="0" w:firstColumn="1" w:lastColumn="0" w:oddVBand="0" w:evenVBand="0" w:oddHBand="0" w:evenHBand="0" w:firstRowFirstColumn="0" w:firstRowLastColumn="0" w:lastRowFirstColumn="0" w:lastRowLastColumn="0"/>
            <w:tcW w:w="2695" w:type="dxa"/>
          </w:tcPr>
          <w:p w14:paraId="14054A9D" w14:textId="77777777" w:rsidR="00AB0EC4" w:rsidRPr="00A21682" w:rsidRDefault="00AB0EC4" w:rsidP="00047C4E">
            <w:pPr>
              <w:pStyle w:val="TABLETEXT1"/>
              <w:rPr>
                <w:b w:val="0"/>
                <w:bCs/>
                <w:lang w:val="en-US"/>
              </w:rPr>
            </w:pPr>
            <w:r>
              <w:rPr>
                <w:b w:val="0"/>
                <w:bCs/>
                <w:lang w:val="en-US"/>
              </w:rPr>
              <w:t>Standard/Verification Owner</w:t>
            </w:r>
          </w:p>
        </w:tc>
        <w:tc>
          <w:tcPr>
            <w:tcW w:w="6655" w:type="dxa"/>
          </w:tcPr>
          <w:p w14:paraId="2A0C164B"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person responsible for ensuring that the standard is verified</w:t>
            </w:r>
          </w:p>
        </w:tc>
      </w:tr>
    </w:tbl>
    <w:p w14:paraId="5E4C51CD" w14:textId="120EE35F" w:rsidR="00AB0EC4" w:rsidRPr="00A21682" w:rsidRDefault="00AB0EC4" w:rsidP="00D818D3">
      <w:pPr>
        <w:pStyle w:val="Caption"/>
        <w:rPr>
          <w:noProof w:val="0"/>
        </w:rPr>
      </w:pPr>
      <w:bookmarkStart w:id="3429" w:name="_Toc153278128"/>
      <w:bookmarkStart w:id="3430" w:name="_Toc19287518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bookmarkEnd w:id="3429"/>
      <w:r>
        <w:rPr>
          <w:noProof w:val="0"/>
        </w:rPr>
        <w:t>: Standard Verification</w:t>
      </w:r>
      <w:bookmarkEnd w:id="3430"/>
    </w:p>
    <w:p w14:paraId="30EB2155" w14:textId="2CA0666B" w:rsidR="00AB0EC4" w:rsidRPr="00A21682" w:rsidRDefault="00AB0EC4" w:rsidP="00CD3AB3">
      <w:pPr>
        <w:pStyle w:val="NormalNEW"/>
        <w:keepNext/>
        <w:rPr>
          <w:lang w:val="en-US"/>
        </w:rPr>
      </w:pPr>
      <w:r>
        <w:rPr>
          <w:lang w:val="en-US"/>
        </w:rPr>
        <w:t>The project will use the following verification methods, based on ███████’s internal leading practices:</w:t>
      </w:r>
    </w:p>
    <w:p w14:paraId="476A7705" w14:textId="35B68B34" w:rsidR="00AB0EC4" w:rsidRPr="003F6B94" w:rsidRDefault="00AB0EC4" w:rsidP="0031550A">
      <w:pPr>
        <w:pStyle w:val="BulletNEW"/>
        <w:rPr>
          <w:bCs/>
        </w:rPr>
      </w:pPr>
      <w:r>
        <w:rPr>
          <w:bCs/>
        </w:rPr>
        <w:t>Inspection – An independent inspection or measurement of a product or work process. In software, for example, quality control personnel can perform (or observe others performing) tests on system functionality. Inspections and measurements are generally recorded to provide an audit trail</w:t>
      </w:r>
    </w:p>
    <w:p w14:paraId="5A64DD0C" w14:textId="0D7CF67C" w:rsidR="00AB0EC4" w:rsidRPr="00A21682" w:rsidRDefault="00AB0EC4" w:rsidP="0031550A">
      <w:pPr>
        <w:pStyle w:val="BulletNEW"/>
        <w:rPr>
          <w:b/>
        </w:rPr>
      </w:pPr>
      <w:r>
        <w:rPr>
          <w:bCs/>
        </w:rPr>
        <w:t>Document Review –</w:t>
      </w:r>
      <w:r>
        <w:t xml:space="preserve"> A document review that applies project quality standards. A document review can and should be performed at all stages of document development, so that standards can be verified early in the document development process. Document reviews are performed at all levels of the project organization, and the required reviewers will be defined for each deliverable</w:t>
      </w:r>
    </w:p>
    <w:p w14:paraId="6A80F437" w14:textId="4819E1DB" w:rsidR="00AB0EC4" w:rsidRPr="00A21682" w:rsidRDefault="00AB0EC4" w:rsidP="00223C4D">
      <w:pPr>
        <w:pStyle w:val="NormalNEW"/>
        <w:rPr>
          <w:lang w:val="en-US"/>
        </w:rPr>
      </w:pPr>
      <w:r>
        <w:rPr>
          <w:lang w:val="en-US"/>
        </w:rPr>
        <w:t>The different types of document reviews are listed in the table below.</w:t>
      </w:r>
    </w:p>
    <w:tbl>
      <w:tblPr>
        <w:tblStyle w:val="DEDTable"/>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789"/>
        <w:gridCol w:w="4591"/>
        <w:gridCol w:w="2970"/>
      </w:tblGrid>
      <w:tr w:rsidR="005133E7" w:rsidRPr="00A21682" w14:paraId="77CD7A21" w14:textId="77777777" w:rsidTr="00C91F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2" w:space="0" w:color="FFFFFF" w:themeColor="background1"/>
            </w:tcBorders>
          </w:tcPr>
          <w:p w14:paraId="7025E088" w14:textId="77777777" w:rsidR="00AB0EC4" w:rsidRPr="00A21682" w:rsidRDefault="00AB0EC4" w:rsidP="00047C4E">
            <w:pPr>
              <w:pStyle w:val="TABLEHEADINGNEW"/>
              <w:rPr>
                <w:b/>
                <w:bCs w:val="0"/>
              </w:rPr>
            </w:pPr>
            <w:r>
              <w:rPr>
                <w:b/>
                <w:bCs w:val="0"/>
              </w:rPr>
              <w:lastRenderedPageBreak/>
              <w:t>Type</w:t>
            </w:r>
          </w:p>
        </w:tc>
        <w:tc>
          <w:tcPr>
            <w:tcW w:w="0" w:type="auto"/>
            <w:tcBorders>
              <w:left w:val="single" w:sz="2" w:space="0" w:color="FFFFFF" w:themeColor="background1"/>
              <w:right w:val="single" w:sz="2" w:space="0" w:color="FFFFFF" w:themeColor="background1"/>
            </w:tcBorders>
          </w:tcPr>
          <w:p w14:paraId="7823B997" w14:textId="77777777" w:rsidR="00AB0EC4" w:rsidRPr="00A21682" w:rsidRDefault="00AB0EC4" w:rsidP="00047C4E">
            <w:pPr>
              <w:pStyle w:val="TABLEHEADINGNEW"/>
              <w:cnfStyle w:val="100000000000" w:firstRow="1" w:lastRow="0" w:firstColumn="0" w:lastColumn="0" w:oddVBand="0" w:evenVBand="0" w:oddHBand="0" w:evenHBand="0" w:firstRowFirstColumn="0" w:firstRowLastColumn="0" w:lastRowFirstColumn="0" w:lastRowLastColumn="0"/>
              <w:rPr>
                <w:b/>
                <w:bCs w:val="0"/>
              </w:rPr>
            </w:pPr>
            <w:r>
              <w:rPr>
                <w:b/>
                <w:bCs w:val="0"/>
              </w:rPr>
              <w:t>Description</w:t>
            </w:r>
          </w:p>
        </w:tc>
        <w:tc>
          <w:tcPr>
            <w:tcW w:w="2970" w:type="dxa"/>
            <w:tcBorders>
              <w:left w:val="single" w:sz="2" w:space="0" w:color="FFFFFF" w:themeColor="background1"/>
            </w:tcBorders>
          </w:tcPr>
          <w:p w14:paraId="0D93BD2F" w14:textId="77777777" w:rsidR="00AB0EC4" w:rsidRPr="00A21682" w:rsidRDefault="00AB0EC4" w:rsidP="00047C4E">
            <w:pPr>
              <w:pStyle w:val="TABLEHEADINGNEW"/>
              <w:cnfStyle w:val="100000000000" w:firstRow="1" w:lastRow="0" w:firstColumn="0" w:lastColumn="0" w:oddVBand="0" w:evenVBand="0" w:oddHBand="0" w:evenHBand="0" w:firstRowFirstColumn="0" w:firstRowLastColumn="0" w:lastRowFirstColumn="0" w:lastRowLastColumn="0"/>
              <w:rPr>
                <w:b/>
                <w:bCs w:val="0"/>
              </w:rPr>
            </w:pPr>
            <w:r>
              <w:rPr>
                <w:b/>
                <w:bCs w:val="0"/>
              </w:rPr>
              <w:t>Timeframe</w:t>
            </w:r>
          </w:p>
        </w:tc>
      </w:tr>
      <w:tr w:rsidR="00B65956" w:rsidRPr="00A21682" w14:paraId="5AF3653C" w14:textId="77777777">
        <w:tc>
          <w:tcPr>
            <w:cnfStyle w:val="001000000000" w:firstRow="0" w:lastRow="0" w:firstColumn="1" w:lastColumn="0" w:oddVBand="0" w:evenVBand="0" w:oddHBand="0" w:evenHBand="0" w:firstRowFirstColumn="0" w:firstRowLastColumn="0" w:lastRowFirstColumn="0" w:lastRowLastColumn="0"/>
            <w:tcW w:w="9350" w:type="dxa"/>
            <w:gridSpan w:val="3"/>
          </w:tcPr>
          <w:p w14:paraId="10A66813" w14:textId="0C03F5AD" w:rsidR="00942A1B" w:rsidRPr="0031550A" w:rsidRDefault="00942A1B" w:rsidP="00052C9E">
            <w:pPr>
              <w:pStyle w:val="TABLETEXT1"/>
              <w:jc w:val="center"/>
            </w:pPr>
            <w:r>
              <w:t>Pre-Collaboration Review</w:t>
            </w:r>
          </w:p>
        </w:tc>
      </w:tr>
      <w:tr w:rsidR="00B65956" w:rsidRPr="00A21682" w14:paraId="6204A961"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4BAC8E41" w14:textId="2292DDB3" w:rsidR="00CD3A88" w:rsidRPr="00A21682" w:rsidRDefault="00CD3A88" w:rsidP="00047C4E">
            <w:pPr>
              <w:pStyle w:val="TABLETEXT1"/>
              <w:rPr>
                <w:b w:val="0"/>
                <w:bCs/>
                <w:lang w:val="en-US"/>
              </w:rPr>
            </w:pPr>
            <w:r>
              <w:rPr>
                <w:b w:val="0"/>
                <w:bCs/>
                <w:lang w:val="en-US"/>
              </w:rPr>
              <w:t>███████ Draft Review</w:t>
            </w:r>
          </w:p>
        </w:tc>
        <w:tc>
          <w:tcPr>
            <w:tcW w:w="0" w:type="auto"/>
          </w:tcPr>
          <w:p w14:paraId="35DA3E50" w14:textId="4E9006E6" w:rsidR="00CD3A88" w:rsidRPr="00A21682" w:rsidRDefault="00A11AA8"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 conducts internal QA/QC review(s) of the document draft ahead of DOH OHIP collaboration. </w:t>
            </w:r>
          </w:p>
        </w:tc>
        <w:tc>
          <w:tcPr>
            <w:tcW w:w="2970" w:type="dxa"/>
          </w:tcPr>
          <w:p w14:paraId="10954FB8" w14:textId="60ECF132" w:rsidR="00CD3A88" w:rsidRPr="00A21682" w:rsidRDefault="00DB09CB"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Iterative process until document is ready for DOH OHIP collaboration </w:t>
            </w:r>
          </w:p>
        </w:tc>
      </w:tr>
      <w:tr w:rsidR="00B65956" w:rsidRPr="00A21682" w14:paraId="5E343153"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161D90FF" w14:textId="683E83B3" w:rsidR="00205D11" w:rsidRPr="00A21682" w:rsidRDefault="00205D11" w:rsidP="00205D11">
            <w:pPr>
              <w:pStyle w:val="TABLETEXT1"/>
              <w:rPr>
                <w:b w:val="0"/>
                <w:bCs/>
                <w:lang w:val="en-US"/>
              </w:rPr>
            </w:pPr>
            <w:r>
              <w:rPr>
                <w:b w:val="0"/>
                <w:bCs/>
                <w:lang w:val="en-US"/>
              </w:rPr>
              <w:t xml:space="preserve">Initial Draft Review Prior to Collaboration </w:t>
            </w:r>
          </w:p>
        </w:tc>
        <w:tc>
          <w:tcPr>
            <w:tcW w:w="0" w:type="auto"/>
          </w:tcPr>
          <w:p w14:paraId="2AD43735" w14:textId="20548068" w:rsidR="00336598" w:rsidRPr="00A21682" w:rsidRDefault="00A374AB"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submits the initial draft document for DOH OHIP review and feedback.</w:t>
            </w:r>
          </w:p>
          <w:p w14:paraId="07505251" w14:textId="06AC80A0" w:rsidR="00205D11" w:rsidRPr="00A21682" w:rsidRDefault="00336598"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Note: This typically applies to FDDs and ICDs.</w:t>
            </w:r>
          </w:p>
        </w:tc>
        <w:tc>
          <w:tcPr>
            <w:tcW w:w="2970" w:type="dxa"/>
          </w:tcPr>
          <w:p w14:paraId="2F72B270" w14:textId="5B6C5A9C" w:rsidR="00205D11" w:rsidRPr="00A21682" w:rsidRDefault="00205D11"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As needed for the creation of document</w:t>
            </w:r>
          </w:p>
        </w:tc>
      </w:tr>
      <w:tr w:rsidR="00B65956" w:rsidRPr="00A21682" w14:paraId="69832F39"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2762116E" w14:textId="7F4BF1FC" w:rsidR="001C0711" w:rsidRPr="00A21682" w:rsidRDefault="001C0711" w:rsidP="00205D11">
            <w:pPr>
              <w:pStyle w:val="TABLETEXT1"/>
              <w:rPr>
                <w:b w:val="0"/>
                <w:lang w:val="en-US"/>
              </w:rPr>
            </w:pPr>
            <w:r>
              <w:rPr>
                <w:b w:val="0"/>
                <w:lang w:val="en-US"/>
              </w:rPr>
              <w:t>Pre-Collaboration ███████ QA/QC</w:t>
            </w:r>
          </w:p>
        </w:tc>
        <w:tc>
          <w:tcPr>
            <w:tcW w:w="0" w:type="auto"/>
          </w:tcPr>
          <w:p w14:paraId="78437708" w14:textId="22CF28CF" w:rsidR="001C0711" w:rsidRPr="00A21682" w:rsidRDefault="001C0711"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reviews the deliverable against the applicable checklist(s) to prepare for collaboration.</w:t>
            </w:r>
          </w:p>
        </w:tc>
        <w:tc>
          <w:tcPr>
            <w:tcW w:w="2970" w:type="dxa"/>
          </w:tcPr>
          <w:p w14:paraId="4F3A7873" w14:textId="765A30C1" w:rsidR="001C0711" w:rsidRPr="00A21682" w:rsidRDefault="001C0711"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Immediately prior to the initiation of collaboration</w:t>
            </w:r>
          </w:p>
        </w:tc>
      </w:tr>
      <w:tr w:rsidR="00B65956" w:rsidRPr="00A21682" w14:paraId="53074A6E"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3A545BFD" w14:textId="6BF73940" w:rsidR="00CD3A88" w:rsidRPr="00A21682" w:rsidRDefault="00DB09CB" w:rsidP="00047C4E">
            <w:pPr>
              <w:pStyle w:val="TABLETEXT1"/>
              <w:rPr>
                <w:b w:val="0"/>
                <w:bCs/>
                <w:lang w:val="en-US"/>
              </w:rPr>
            </w:pPr>
            <w:r>
              <w:rPr>
                <w:b w:val="0"/>
                <w:bCs/>
                <w:lang w:val="en-US"/>
              </w:rPr>
              <w:t>Collaboration with DOH OHIP</w:t>
            </w:r>
          </w:p>
        </w:tc>
        <w:tc>
          <w:tcPr>
            <w:tcW w:w="0" w:type="auto"/>
          </w:tcPr>
          <w:p w14:paraId="5E85AE55" w14:textId="005D46E6" w:rsidR="00CD3A88" w:rsidRPr="00A21682" w:rsidRDefault="00DB09CB"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updates the document to incorporate any feedback or input received from DOH OHIP to make the document ready for review by DOH OHIP or other designated stakeholders.</w:t>
            </w:r>
          </w:p>
          <w:p w14:paraId="5159BAB2" w14:textId="5AB362A2" w:rsidR="00CD3A88" w:rsidRPr="00A21682" w:rsidRDefault="002C23FF"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collaboration phase may start with an informal walkthrough (optional and conducted as needed).</w:t>
            </w:r>
          </w:p>
        </w:tc>
        <w:tc>
          <w:tcPr>
            <w:tcW w:w="2970" w:type="dxa"/>
          </w:tcPr>
          <w:p w14:paraId="7A5C2AEF" w14:textId="6E3AEA75" w:rsidR="00CD3A88" w:rsidRPr="00A21682" w:rsidRDefault="00DB09CB"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All deliverables require DOH OHIP collaboration </w:t>
            </w:r>
          </w:p>
        </w:tc>
      </w:tr>
      <w:tr w:rsidR="00B65956" w:rsidRPr="00A21682" w14:paraId="685D022C"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4A5A7928" w14:textId="40DD0D45" w:rsidR="00433C37" w:rsidRPr="00A21682" w:rsidRDefault="00433C37" w:rsidP="00433C37">
            <w:pPr>
              <w:pStyle w:val="TABLETEXT1"/>
              <w:rPr>
                <w:bCs/>
                <w:lang w:val="en-US"/>
              </w:rPr>
            </w:pPr>
            <w:r>
              <w:rPr>
                <w:b w:val="0"/>
                <w:bCs/>
                <w:lang w:val="en-US"/>
              </w:rPr>
              <w:t xml:space="preserve">Informal Walkthrough </w:t>
            </w:r>
          </w:p>
        </w:tc>
        <w:tc>
          <w:tcPr>
            <w:tcW w:w="0" w:type="auto"/>
          </w:tcPr>
          <w:p w14:paraId="7B52DDB0" w14:textId="2EDBB62D" w:rsidR="00433C37" w:rsidRPr="00A21682" w:rsidRDefault="00433C37"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If requested and agreed upon by ███████ and DOH OHIP stakeholders, the collaboration phase starts with an informal walkthrough (optional) as requested to facilitate document content alignment.</w:t>
            </w:r>
          </w:p>
          <w:p w14:paraId="0BE6D8E0" w14:textId="3DE8B9C9" w:rsidR="00433C37" w:rsidRPr="00A21682" w:rsidRDefault="00433C37"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This review is conducted by the deliverable owner or designee.</w:t>
            </w:r>
          </w:p>
        </w:tc>
        <w:tc>
          <w:tcPr>
            <w:tcW w:w="2970" w:type="dxa"/>
          </w:tcPr>
          <w:p w14:paraId="321AC35F" w14:textId="7BFD7848" w:rsidR="00433C37" w:rsidRPr="00A21682" w:rsidRDefault="00433C37" w:rsidP="00CC12F0">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timing of informal walkthroughs is mutually agreed by ███████ and DOH OHIP stakeholders</w:t>
            </w:r>
          </w:p>
        </w:tc>
      </w:tr>
      <w:tr w:rsidR="00B65956" w:rsidRPr="00052C9E" w14:paraId="1D03C318" w14:textId="77777777">
        <w:tc>
          <w:tcPr>
            <w:cnfStyle w:val="001000000000" w:firstRow="0" w:lastRow="0" w:firstColumn="1" w:lastColumn="0" w:oddVBand="0" w:evenVBand="0" w:oddHBand="0" w:evenHBand="0" w:firstRowFirstColumn="0" w:firstRowLastColumn="0" w:lastRowFirstColumn="0" w:lastRowLastColumn="0"/>
            <w:tcW w:w="9350" w:type="dxa"/>
            <w:gridSpan w:val="3"/>
          </w:tcPr>
          <w:p w14:paraId="73DA693A" w14:textId="705465AB" w:rsidR="00942A1B" w:rsidRPr="0031550A" w:rsidRDefault="00942A1B" w:rsidP="00052C9E">
            <w:pPr>
              <w:pStyle w:val="TABLETEXT1"/>
              <w:jc w:val="center"/>
            </w:pPr>
            <w:r>
              <w:t>Post Collaboration Review</w:t>
            </w:r>
          </w:p>
        </w:tc>
      </w:tr>
      <w:tr w:rsidR="00B65956" w:rsidRPr="00A21682" w14:paraId="5F6CBA4A"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251D7AE1" w14:textId="7D17C828" w:rsidR="00942A1B" w:rsidRPr="00A21682" w:rsidRDefault="00942A1B" w:rsidP="00047C4E">
            <w:pPr>
              <w:pStyle w:val="TABLETEXT1"/>
              <w:rPr>
                <w:b w:val="0"/>
                <w:bCs/>
                <w:lang w:val="en-US"/>
              </w:rPr>
            </w:pPr>
            <w:r>
              <w:rPr>
                <w:b w:val="0"/>
                <w:bCs/>
                <w:lang w:val="en-US"/>
              </w:rPr>
              <w:t>Formal QA/QC Review</w:t>
            </w:r>
          </w:p>
        </w:tc>
        <w:tc>
          <w:tcPr>
            <w:tcW w:w="0" w:type="auto"/>
          </w:tcPr>
          <w:p w14:paraId="76FFD9D5" w14:textId="035C5AB8" w:rsidR="005641E3" w:rsidRPr="00A21682" w:rsidRDefault="005641E3"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creates a clean copy of the document after collaboration is completed and conducts QA/QC review ahead of drafting transmittal for final document approval.</w:t>
            </w:r>
          </w:p>
        </w:tc>
        <w:tc>
          <w:tcPr>
            <w:tcW w:w="2970" w:type="dxa"/>
          </w:tcPr>
          <w:p w14:paraId="5054C740" w14:textId="726A727B" w:rsidR="00942A1B" w:rsidRPr="00A21682" w:rsidRDefault="00C52BA2"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After collaboration is completed but prior to initiating transmittal</w:t>
            </w:r>
          </w:p>
        </w:tc>
      </w:tr>
      <w:tr w:rsidR="00B65956" w:rsidRPr="00A21682" w14:paraId="41329050"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4E043145" w14:textId="095CAEEA" w:rsidR="00433C37" w:rsidRPr="00A21682" w:rsidRDefault="00433C37" w:rsidP="00433C37">
            <w:pPr>
              <w:pStyle w:val="TABLETEXT1"/>
              <w:rPr>
                <w:b w:val="0"/>
                <w:bCs/>
                <w:lang w:val="en-US"/>
              </w:rPr>
            </w:pPr>
            <w:r>
              <w:rPr>
                <w:b w:val="0"/>
                <w:bCs/>
                <w:lang w:val="en-US"/>
              </w:rPr>
              <w:t>Submit Transmittal for DOH OHIP Review</w:t>
            </w:r>
          </w:p>
        </w:tc>
        <w:tc>
          <w:tcPr>
            <w:tcW w:w="0" w:type="auto"/>
          </w:tcPr>
          <w:p w14:paraId="5ABB08B8" w14:textId="12F2E737" w:rsidR="00433C37" w:rsidRPr="00A21682" w:rsidRDefault="00433C37"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confirms the document is ready for transmittal.</w:t>
            </w:r>
          </w:p>
          <w:p w14:paraId="11E30BC5" w14:textId="0B9CD232" w:rsidR="00433C37" w:rsidRPr="00A21682" w:rsidRDefault="00433C37"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final review and approval of documents takes place via the transmittal process.</w:t>
            </w:r>
          </w:p>
        </w:tc>
        <w:tc>
          <w:tcPr>
            <w:tcW w:w="2970" w:type="dxa"/>
          </w:tcPr>
          <w:p w14:paraId="4E474707" w14:textId="4CAD5A38" w:rsidR="00433C37" w:rsidRPr="00A21682" w:rsidRDefault="00433C37"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Once all comments and feedback are addressed and DOH OHIP consider the review of the document complete</w:t>
            </w:r>
          </w:p>
        </w:tc>
      </w:tr>
      <w:tr w:rsidR="00B65956" w:rsidRPr="00A21682" w14:paraId="4C138560" w14:textId="77777777" w:rsidTr="00047C4E">
        <w:tc>
          <w:tcPr>
            <w:cnfStyle w:val="001000000000" w:firstRow="0" w:lastRow="0" w:firstColumn="1" w:lastColumn="0" w:oddVBand="0" w:evenVBand="0" w:oddHBand="0" w:evenHBand="0" w:firstRowFirstColumn="0" w:firstRowLastColumn="0" w:lastRowFirstColumn="0" w:lastRowLastColumn="0"/>
            <w:tcW w:w="0" w:type="auto"/>
          </w:tcPr>
          <w:p w14:paraId="601A6CF9" w14:textId="08817C26" w:rsidR="00B177CC" w:rsidRPr="00A21682" w:rsidRDefault="00B177CC" w:rsidP="00047C4E">
            <w:pPr>
              <w:pStyle w:val="TABLETEXT1"/>
              <w:rPr>
                <w:b w:val="0"/>
                <w:bCs/>
                <w:lang w:val="en-US"/>
              </w:rPr>
            </w:pPr>
            <w:r>
              <w:rPr>
                <w:b w:val="0"/>
                <w:bCs/>
                <w:lang w:val="en-US"/>
              </w:rPr>
              <w:t>DOH OHIP Final Review During Transmittal</w:t>
            </w:r>
          </w:p>
        </w:tc>
        <w:tc>
          <w:tcPr>
            <w:tcW w:w="0" w:type="auto"/>
          </w:tcPr>
          <w:p w14:paraId="70D367F1" w14:textId="0E587314" w:rsidR="000D1CB9" w:rsidRPr="00A21682" w:rsidRDefault="00D05C43"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DOS PMO completes a QA/QC review using established quality checklists and provides a disposition recommendation to DOH OHIP.</w:t>
            </w:r>
          </w:p>
        </w:tc>
        <w:tc>
          <w:tcPr>
            <w:tcW w:w="2970" w:type="dxa"/>
          </w:tcPr>
          <w:p w14:paraId="7947806F" w14:textId="21356377" w:rsidR="000D1CB9" w:rsidRPr="00A21682" w:rsidRDefault="000D1CB9" w:rsidP="00B83D61">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As agreed to by DOH OHIP/███████ and specified in the transmittal. This is typically 5 business days</w:t>
            </w:r>
          </w:p>
        </w:tc>
      </w:tr>
    </w:tbl>
    <w:p w14:paraId="1E393DF2" w14:textId="07036E6F" w:rsidR="00AB0EC4" w:rsidRPr="00A21682" w:rsidRDefault="00AB0EC4" w:rsidP="00D818D3">
      <w:pPr>
        <w:pStyle w:val="Caption"/>
        <w:rPr>
          <w:noProof w:val="0"/>
        </w:rPr>
      </w:pPr>
      <w:bookmarkStart w:id="3431" w:name="_Toc153278129"/>
      <w:bookmarkStart w:id="3432" w:name="_Toc19287519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bookmarkEnd w:id="3431"/>
      <w:r>
        <w:rPr>
          <w:noProof w:val="0"/>
        </w:rPr>
        <w:t>: Document Review Types</w:t>
      </w:r>
      <w:bookmarkEnd w:id="3432"/>
    </w:p>
    <w:p w14:paraId="150A20FE" w14:textId="7AE11FE5" w:rsidR="00AB0EC4" w:rsidRPr="00A21682" w:rsidRDefault="00AB0EC4" w:rsidP="0031550A">
      <w:pPr>
        <w:pStyle w:val="BulletNEW"/>
      </w:pPr>
      <w:r>
        <w:rPr>
          <w:bCs/>
        </w:rPr>
        <w:t>Code Review –</w:t>
      </w:r>
      <w:r>
        <w:t xml:space="preserve"> A review of the system code that applies project quality standards. Code reviews occur as part of unit testing and are done in accordance with project approved Unit Test Checklists. The details on how when code reviews occur will be defined in the Test Management Plan (DEL-09)</w:t>
      </w:r>
    </w:p>
    <w:p w14:paraId="40A06CF7" w14:textId="2C59D81F" w:rsidR="00AB0EC4" w:rsidRPr="00A21682" w:rsidRDefault="00AB0EC4" w:rsidP="0031550A">
      <w:pPr>
        <w:pStyle w:val="BulletNEW"/>
      </w:pPr>
      <w:r>
        <w:rPr>
          <w:bCs/>
        </w:rPr>
        <w:lastRenderedPageBreak/>
        <w:t>Process Review</w:t>
      </w:r>
      <w:r>
        <w:t xml:space="preserve"> – A review of a project process that applies project quality standards. Processes, like products (e.g., documents and code), need to be controlled. Processes on the project will be required to meet defined standards</w:t>
      </w:r>
    </w:p>
    <w:p w14:paraId="65811E83" w14:textId="77777777" w:rsidR="00AB0EC4" w:rsidRPr="00A21682" w:rsidRDefault="00AB0EC4" w:rsidP="000F47DE">
      <w:pPr>
        <w:pStyle w:val="Heading3"/>
      </w:pPr>
      <w:bookmarkStart w:id="3433" w:name="_Toc143601261"/>
      <w:bookmarkStart w:id="3434" w:name="_Toc153278080"/>
      <w:bookmarkStart w:id="3435" w:name="_Toc177119286"/>
      <w:bookmarkStart w:id="3436" w:name="_Toc185952728"/>
      <w:bookmarkStart w:id="3437" w:name="_Toc192874890"/>
      <w:bookmarkEnd w:id="3399"/>
      <w:r>
        <w:t>Standard Verification Checklists</w:t>
      </w:r>
      <w:bookmarkEnd w:id="3433"/>
      <w:bookmarkEnd w:id="3434"/>
      <w:bookmarkEnd w:id="3435"/>
      <w:bookmarkEnd w:id="3436"/>
      <w:bookmarkEnd w:id="3437"/>
    </w:p>
    <w:p w14:paraId="257C7F2D" w14:textId="77777777" w:rsidR="00AB0EC4" w:rsidRPr="00A21682" w:rsidRDefault="00AB0EC4" w:rsidP="00223C4D">
      <w:pPr>
        <w:pStyle w:val="NormalNEW"/>
        <w:rPr>
          <w:lang w:val="en-US"/>
        </w:rPr>
      </w:pPr>
      <w:r>
        <w:rPr>
          <w:lang w:val="en-US"/>
        </w:rPr>
        <w:t>A verification checklist is a common and effective way to control document quality. Checklists are used as part of any of the verification methods and are incorporated from the very beginning of product development (document or code) or a controlled process.</w:t>
      </w:r>
    </w:p>
    <w:p w14:paraId="3427B74B" w14:textId="05B18B60" w:rsidR="00AB0EC4" w:rsidRPr="00A21682" w:rsidRDefault="00AB0EC4" w:rsidP="00223C4D">
      <w:pPr>
        <w:pStyle w:val="NormalNEW"/>
        <w:rPr>
          <w:lang w:val="en-US"/>
        </w:rPr>
      </w:pPr>
      <w:r>
        <w:rPr>
          <w:lang w:val="en-US"/>
        </w:rPr>
        <w:t xml:space="preserve">The product author/process owner and the relevant stakeholders discuss what standards apply to each product or process at the beginning of the planning stage for each product/process. </w:t>
      </w:r>
    </w:p>
    <w:p w14:paraId="72AF78D5" w14:textId="3892B9CE" w:rsidR="00AB0EC4" w:rsidRPr="00A21682" w:rsidRDefault="00AB0EC4" w:rsidP="00223C4D">
      <w:pPr>
        <w:pStyle w:val="NormalNEW"/>
        <w:rPr>
          <w:lang w:val="en-US"/>
        </w:rPr>
      </w:pPr>
      <w:r>
        <w:rPr>
          <w:lang w:val="en-US"/>
        </w:rPr>
        <w:t>The verification checklists for DEDs/Deliverables can be found in Appendix E: DED/Deliverable Quality Checklists.</w:t>
      </w:r>
    </w:p>
    <w:p w14:paraId="50BB733F" w14:textId="77777777" w:rsidR="00AB0EC4" w:rsidRPr="00A21682" w:rsidRDefault="00AB0EC4" w:rsidP="00FB5FF9">
      <w:pPr>
        <w:pStyle w:val="Heading3"/>
      </w:pPr>
      <w:bookmarkStart w:id="3438" w:name="_Toc143601262"/>
      <w:bookmarkStart w:id="3439" w:name="_Toc153278081"/>
      <w:bookmarkStart w:id="3440" w:name="_Toc177119287"/>
      <w:bookmarkStart w:id="3441" w:name="_Toc185952729"/>
      <w:bookmarkStart w:id="3442" w:name="_Toc192874891"/>
      <w:r>
        <w:t>Quality Assurance Reporting</w:t>
      </w:r>
      <w:bookmarkEnd w:id="3438"/>
      <w:bookmarkEnd w:id="3439"/>
      <w:bookmarkEnd w:id="3440"/>
      <w:bookmarkEnd w:id="3441"/>
      <w:bookmarkEnd w:id="3442"/>
    </w:p>
    <w:p w14:paraId="42411912" w14:textId="5E20D1F8" w:rsidR="00AB0EC4" w:rsidRPr="00A21682" w:rsidRDefault="00AB0EC4" w:rsidP="00223C4D">
      <w:pPr>
        <w:pStyle w:val="NormalNEW"/>
        <w:rPr>
          <w:lang w:val="en-US"/>
        </w:rPr>
      </w:pPr>
      <w:r>
        <w:rPr>
          <w:lang w:val="en-US"/>
        </w:rPr>
        <w:t>The output of quality assurance reviews will be a set of suggested actions. Once these actions are identified, the project team will discuss at the project status meeting and mutually determine which, if any, actions will be undertaken. Actions that are approved for implementation will be documented in the ALM tool (Risk, Action Item, Issue, Decision (RAID) Log Dashboard) and tracked to completion according to the Project Controls Plan (refer to Section 9).</w:t>
      </w:r>
    </w:p>
    <w:p w14:paraId="566B9191" w14:textId="77777777" w:rsidR="00AB0EC4" w:rsidRPr="00A21682" w:rsidRDefault="00AB0EC4" w:rsidP="00424DE9">
      <w:pPr>
        <w:pStyle w:val="Heading4"/>
      </w:pPr>
      <w:bookmarkStart w:id="3443" w:name="_Toc153278082"/>
      <w:bookmarkStart w:id="3444" w:name="_Toc177119288"/>
      <w:bookmarkStart w:id="3445" w:name="_Toc185952730"/>
      <w:bookmarkStart w:id="3446" w:name="_Toc192874892"/>
      <w:r>
        <w:t>Contract Compliance</w:t>
      </w:r>
      <w:bookmarkEnd w:id="3443"/>
      <w:bookmarkEnd w:id="3444"/>
      <w:bookmarkEnd w:id="3445"/>
      <w:bookmarkEnd w:id="3446"/>
    </w:p>
    <w:p w14:paraId="77BC5332" w14:textId="2DAD6684" w:rsidR="00AB0EC4" w:rsidRPr="00A21682" w:rsidRDefault="00AB0EC4" w:rsidP="00223C4D">
      <w:pPr>
        <w:pStyle w:val="NormalNEW"/>
        <w:rPr>
          <w:lang w:val="en-US"/>
        </w:rPr>
      </w:pPr>
      <w:r>
        <w:rPr>
          <w:lang w:val="en-US"/>
        </w:rPr>
        <w:t>The ███████ team includes a dedicated Contract Manager who will assume the responsibility of managing and monitoring our contractual obligations. This role is critical in confirming that ███████ upholds commitments, maintain compliance, and foster a collaborative and transparent relationship. The Contract Manager will reference the M&amp;O Run Book and track Service Level Agreements (SLA’s) as part of contract compliance.</w:t>
      </w:r>
    </w:p>
    <w:p w14:paraId="0ED0981B" w14:textId="5EAA3E79" w:rsidR="00AB0EC4" w:rsidRPr="00A21682" w:rsidRDefault="00AB0EC4" w:rsidP="00223C4D">
      <w:pPr>
        <w:pStyle w:val="NormalNEW"/>
        <w:rPr>
          <w:lang w:val="en-US"/>
        </w:rPr>
      </w:pPr>
      <w:r>
        <w:rPr>
          <w:lang w:val="en-US"/>
        </w:rPr>
        <w:t>To maintain open and ongoing communication, ███████ will institute a structured meeting with the Change Advisory Board on a mutually agreed upon cadence. These meetings are designed to provide a platform for robust and transparent discussions surrounding our contractual obligations. By adhering to this proactive governance structure, ███████ aims to address any emerging issues, align on project milestones, and explore opportunities for continuous improvement.</w:t>
      </w:r>
    </w:p>
    <w:p w14:paraId="73680FDC" w14:textId="77777777" w:rsidR="00AB0EC4" w:rsidRPr="00A21682" w:rsidRDefault="00AB0EC4" w:rsidP="00424DE9">
      <w:pPr>
        <w:pStyle w:val="Heading4"/>
      </w:pPr>
      <w:bookmarkStart w:id="3447" w:name="_Toc153278083"/>
      <w:bookmarkStart w:id="3448" w:name="_Toc177119289"/>
      <w:bookmarkStart w:id="3449" w:name="_Toc185952731"/>
      <w:bookmarkStart w:id="3450" w:name="_Toc192874893"/>
      <w:r>
        <w:t>Evaluation of Standards</w:t>
      </w:r>
      <w:bookmarkEnd w:id="3447"/>
      <w:bookmarkEnd w:id="3448"/>
      <w:bookmarkEnd w:id="3449"/>
      <w:bookmarkEnd w:id="3450"/>
    </w:p>
    <w:p w14:paraId="7A3552C5" w14:textId="77777777" w:rsidR="00AB0EC4" w:rsidRPr="00A21682" w:rsidRDefault="00AB0EC4" w:rsidP="00223C4D">
      <w:pPr>
        <w:pStyle w:val="NormalNEW"/>
        <w:rPr>
          <w:lang w:val="en-US"/>
        </w:rPr>
      </w:pPr>
      <w:r>
        <w:rPr>
          <w:lang w:val="en-US"/>
        </w:rPr>
        <w:t xml:space="preserve">When completing quality assurance and quality control, the ███████ team may use several different industry standards to measure standards: </w:t>
      </w:r>
    </w:p>
    <w:tbl>
      <w:tblPr>
        <w:tblStyle w:val="DEDTable"/>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876"/>
        <w:gridCol w:w="6474"/>
      </w:tblGrid>
      <w:tr w:rsidR="00FA5553" w:rsidRPr="00A21682" w14:paraId="6CF734FA" w14:textId="77777777" w:rsidTr="00C91F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7" w:type="dxa"/>
            <w:tcBorders>
              <w:right w:val="single" w:sz="2" w:space="0" w:color="FFFFFF" w:themeColor="background1"/>
            </w:tcBorders>
          </w:tcPr>
          <w:p w14:paraId="6AB5467A" w14:textId="77777777" w:rsidR="00AB0EC4" w:rsidRPr="00A21682" w:rsidRDefault="00AB0EC4" w:rsidP="00047C4E">
            <w:pPr>
              <w:pStyle w:val="TABLEHEADINGNEW"/>
              <w:rPr>
                <w:b/>
              </w:rPr>
            </w:pPr>
            <w:r>
              <w:rPr>
                <w:b/>
              </w:rPr>
              <w:t>Method</w:t>
            </w:r>
          </w:p>
        </w:tc>
        <w:tc>
          <w:tcPr>
            <w:tcW w:w="6477" w:type="dxa"/>
            <w:tcBorders>
              <w:left w:val="single" w:sz="2" w:space="0" w:color="FFFFFF" w:themeColor="background1"/>
            </w:tcBorders>
          </w:tcPr>
          <w:p w14:paraId="475D9A59" w14:textId="77777777" w:rsidR="00AB0EC4" w:rsidRPr="00A21682" w:rsidRDefault="00AB0EC4" w:rsidP="00047C4E">
            <w:pPr>
              <w:pStyle w:val="TABLEHEADINGNEW"/>
              <w:cnfStyle w:val="100000000000" w:firstRow="1" w:lastRow="0" w:firstColumn="0" w:lastColumn="0" w:oddVBand="0" w:evenVBand="0" w:oddHBand="0" w:evenHBand="0" w:firstRowFirstColumn="0" w:firstRowLastColumn="0" w:lastRowFirstColumn="0" w:lastRowLastColumn="0"/>
              <w:rPr>
                <w:b/>
              </w:rPr>
            </w:pPr>
            <w:r>
              <w:rPr>
                <w:b/>
              </w:rPr>
              <w:t>Description</w:t>
            </w:r>
          </w:p>
        </w:tc>
      </w:tr>
      <w:tr w:rsidR="00B65956" w:rsidRPr="00A21682" w14:paraId="7FCCC939" w14:textId="77777777" w:rsidTr="00047C4E">
        <w:tc>
          <w:tcPr>
            <w:cnfStyle w:val="001000000000" w:firstRow="0" w:lastRow="0" w:firstColumn="1" w:lastColumn="0" w:oddVBand="0" w:evenVBand="0" w:oddHBand="0" w:evenHBand="0" w:firstRowFirstColumn="0" w:firstRowLastColumn="0" w:lastRowFirstColumn="0" w:lastRowLastColumn="0"/>
            <w:tcW w:w="2877" w:type="dxa"/>
          </w:tcPr>
          <w:p w14:paraId="62B84332" w14:textId="77777777" w:rsidR="00AB0EC4" w:rsidRPr="00A21682" w:rsidRDefault="00AB0EC4" w:rsidP="00047C4E">
            <w:pPr>
              <w:pStyle w:val="TABLETEXT1"/>
              <w:rPr>
                <w:b w:val="0"/>
                <w:bCs/>
                <w:lang w:val="en-US"/>
              </w:rPr>
            </w:pPr>
            <w:r>
              <w:rPr>
                <w:b w:val="0"/>
                <w:bCs/>
                <w:lang w:val="en-US"/>
              </w:rPr>
              <w:t xml:space="preserve">Adherence to Requirements </w:t>
            </w:r>
          </w:p>
        </w:tc>
        <w:tc>
          <w:tcPr>
            <w:tcW w:w="6477" w:type="dxa"/>
          </w:tcPr>
          <w:p w14:paraId="51F6B00D"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Assess the extent to which project activities, processes, and deliverables comply with specified requirements and standards</w:t>
            </w:r>
          </w:p>
        </w:tc>
      </w:tr>
      <w:tr w:rsidR="00B65956" w:rsidRPr="00A21682" w14:paraId="20913CA1" w14:textId="77777777" w:rsidTr="00047C4E">
        <w:trPr>
          <w:cantSplit/>
        </w:trPr>
        <w:tc>
          <w:tcPr>
            <w:cnfStyle w:val="001000000000" w:firstRow="0" w:lastRow="0" w:firstColumn="1" w:lastColumn="0" w:oddVBand="0" w:evenVBand="0" w:oddHBand="0" w:evenHBand="0" w:firstRowFirstColumn="0" w:firstRowLastColumn="0" w:lastRowFirstColumn="0" w:lastRowLastColumn="0"/>
            <w:tcW w:w="2877" w:type="dxa"/>
          </w:tcPr>
          <w:p w14:paraId="6E507C20" w14:textId="77777777" w:rsidR="00AB0EC4" w:rsidRPr="00A21682" w:rsidRDefault="00AB0EC4" w:rsidP="00047C4E">
            <w:pPr>
              <w:pStyle w:val="TABLETEXT1"/>
              <w:rPr>
                <w:b w:val="0"/>
                <w:bCs/>
                <w:lang w:val="en-US"/>
              </w:rPr>
            </w:pPr>
            <w:r>
              <w:rPr>
                <w:b w:val="0"/>
                <w:bCs/>
                <w:lang w:val="en-US"/>
              </w:rPr>
              <w:t>Quality of Deliverables</w:t>
            </w:r>
          </w:p>
        </w:tc>
        <w:tc>
          <w:tcPr>
            <w:tcW w:w="6477" w:type="dxa"/>
          </w:tcPr>
          <w:p w14:paraId="20B6D189"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Evaluate the quality of project deliverables and work products by measuring the occurrence of defects, errors, or deviations from established standards</w:t>
            </w:r>
          </w:p>
        </w:tc>
      </w:tr>
      <w:tr w:rsidR="00B65956" w:rsidRPr="00A21682" w14:paraId="01767410" w14:textId="77777777" w:rsidTr="00047C4E">
        <w:tc>
          <w:tcPr>
            <w:cnfStyle w:val="001000000000" w:firstRow="0" w:lastRow="0" w:firstColumn="1" w:lastColumn="0" w:oddVBand="0" w:evenVBand="0" w:oddHBand="0" w:evenHBand="0" w:firstRowFirstColumn="0" w:firstRowLastColumn="0" w:lastRowFirstColumn="0" w:lastRowLastColumn="0"/>
            <w:tcW w:w="2877" w:type="dxa"/>
          </w:tcPr>
          <w:p w14:paraId="7ECFA761" w14:textId="77777777" w:rsidR="00AB0EC4" w:rsidRPr="00A21682" w:rsidRDefault="00AB0EC4" w:rsidP="00047C4E">
            <w:pPr>
              <w:pStyle w:val="TABLETEXT1"/>
              <w:rPr>
                <w:b w:val="0"/>
                <w:bCs/>
                <w:lang w:val="en-US"/>
              </w:rPr>
            </w:pPr>
            <w:r>
              <w:rPr>
                <w:b w:val="0"/>
                <w:bCs/>
                <w:lang w:val="en-US"/>
              </w:rPr>
              <w:t>Timeline and Schedule Adherence</w:t>
            </w:r>
          </w:p>
        </w:tc>
        <w:tc>
          <w:tcPr>
            <w:tcW w:w="6477" w:type="dxa"/>
          </w:tcPr>
          <w:p w14:paraId="7F552B98"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Measure how well the project adheres to the established schedule and timeline outlined in the baselined project plan</w:t>
            </w:r>
          </w:p>
        </w:tc>
      </w:tr>
      <w:tr w:rsidR="00B65956" w:rsidRPr="00A21682" w14:paraId="1F0D15F8" w14:textId="77777777" w:rsidTr="00047C4E">
        <w:tc>
          <w:tcPr>
            <w:cnfStyle w:val="001000000000" w:firstRow="0" w:lastRow="0" w:firstColumn="1" w:lastColumn="0" w:oddVBand="0" w:evenVBand="0" w:oddHBand="0" w:evenHBand="0" w:firstRowFirstColumn="0" w:firstRowLastColumn="0" w:lastRowFirstColumn="0" w:lastRowLastColumn="0"/>
            <w:tcW w:w="2877" w:type="dxa"/>
          </w:tcPr>
          <w:p w14:paraId="384F3772" w14:textId="77777777" w:rsidR="00AB0EC4" w:rsidRPr="00A21682" w:rsidRDefault="00AB0EC4" w:rsidP="00047C4E">
            <w:pPr>
              <w:pStyle w:val="TABLETEXT1"/>
              <w:rPr>
                <w:b w:val="0"/>
                <w:bCs/>
                <w:lang w:val="en-US"/>
              </w:rPr>
            </w:pPr>
            <w:r>
              <w:rPr>
                <w:b w:val="0"/>
                <w:bCs/>
                <w:lang w:val="en-US"/>
              </w:rPr>
              <w:t>Stakeholder Satisfaction</w:t>
            </w:r>
          </w:p>
        </w:tc>
        <w:tc>
          <w:tcPr>
            <w:tcW w:w="6477" w:type="dxa"/>
          </w:tcPr>
          <w:p w14:paraId="520EDBA4" w14:textId="77777777" w:rsidR="00AB0EC4" w:rsidRPr="00A21682" w:rsidRDefault="00AB0EC4"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Collect feedback from project stakeholders to gauge their satisfaction with project outcomes, communication, and agreed-upon standards</w:t>
            </w:r>
          </w:p>
        </w:tc>
      </w:tr>
    </w:tbl>
    <w:p w14:paraId="54109A71" w14:textId="7103A1E9" w:rsidR="00AB0EC4" w:rsidRPr="00A21682" w:rsidRDefault="00AB0EC4" w:rsidP="00D818D3">
      <w:pPr>
        <w:pStyle w:val="Caption"/>
        <w:rPr>
          <w:noProof w:val="0"/>
        </w:rPr>
      </w:pPr>
      <w:bookmarkStart w:id="3451" w:name="_Toc19287519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3</w:t>
      </w:r>
      <w:r>
        <w:rPr>
          <w:noProof w:val="0"/>
        </w:rPr>
        <w:fldChar w:fldCharType="end"/>
      </w:r>
      <w:r>
        <w:rPr>
          <w:noProof w:val="0"/>
        </w:rPr>
        <w:t>: Methods of Measuring Standards</w:t>
      </w:r>
      <w:bookmarkEnd w:id="3451"/>
    </w:p>
    <w:p w14:paraId="1C01C89B" w14:textId="77777777" w:rsidR="00AB0EC4" w:rsidRPr="00A21682" w:rsidRDefault="00AB0EC4">
      <w:pPr>
        <w:pStyle w:val="Heading3"/>
      </w:pPr>
      <w:bookmarkStart w:id="3452" w:name="_Toc153278084"/>
      <w:bookmarkStart w:id="3453" w:name="_Toc177119290"/>
      <w:bookmarkStart w:id="3454" w:name="_Toc185952732"/>
      <w:bookmarkStart w:id="3455" w:name="_Toc192874894"/>
      <w:r>
        <w:lastRenderedPageBreak/>
        <w:t xml:space="preserve">Continuous </w:t>
      </w:r>
      <w:bookmarkEnd w:id="3452"/>
      <w:r>
        <w:t>Process Improvement</w:t>
      </w:r>
      <w:bookmarkEnd w:id="3453"/>
      <w:bookmarkEnd w:id="3454"/>
      <w:bookmarkEnd w:id="3455"/>
    </w:p>
    <w:p w14:paraId="0B7996D6" w14:textId="3E9CF8A0" w:rsidR="00AB0EC4" w:rsidRPr="00A21682" w:rsidRDefault="00AB0EC4" w:rsidP="00223C4D">
      <w:pPr>
        <w:pStyle w:val="NormalNEW"/>
        <w:rPr>
          <w:lang w:val="en-US"/>
        </w:rPr>
      </w:pPr>
      <w:r>
        <w:rPr>
          <w:lang w:val="en-US"/>
        </w:rPr>
        <w:t>███████ manages continuous process improvement and quality improvement processes in projects through a Quality Management Framework that includes practices to manage project delivery standards, monitor results, and identify improvement actions. Standard metrics for measuring project delivery on time and on budget will be included in regular reviews with DOH OHIP. ███████ has a process for delivery standardization, which allows for the application of the latest standards and leading practices. Furthermore, ███████ identifies opportunities for increased standardization through internal quality reviews. With these tools, along with lessons learned sessions at the end of each phase, ███████ will provide continuous learning in process improvement and skills enhancement to maintain standards and quality for the project.</w:t>
      </w:r>
    </w:p>
    <w:p w14:paraId="529C4FE1" w14:textId="7AB6B350" w:rsidR="00AB0EC4" w:rsidRPr="00A21682" w:rsidRDefault="00AB0EC4" w:rsidP="00223C4D">
      <w:pPr>
        <w:pStyle w:val="NormalNEW"/>
        <w:rPr>
          <w:lang w:val="en-US"/>
        </w:rPr>
      </w:pPr>
      <w:r>
        <w:rPr>
          <w:lang w:val="en-US"/>
        </w:rPr>
        <w:t xml:space="preserve">As part of continuous process improvement, ███████ will conduct a lesson learned session with DOH OHIP at the end of each phase of the SDLC. ███████ will present and be ready to discuss lessons learned from the previous phase and will drive to confirm that those lessons learned are applied in the next phase as well as next wave, as applicable. </w:t>
      </w:r>
    </w:p>
    <w:p w14:paraId="51B15729" w14:textId="77777777" w:rsidR="00AB0EC4" w:rsidRPr="00A21682" w:rsidRDefault="00AB0EC4">
      <w:pPr>
        <w:pStyle w:val="Heading2"/>
      </w:pPr>
      <w:bookmarkStart w:id="3456" w:name="_Toc143601263"/>
      <w:bookmarkStart w:id="3457" w:name="_Toc153278085"/>
      <w:bookmarkStart w:id="3458" w:name="_Toc177119291"/>
      <w:bookmarkStart w:id="3459" w:name="_Toc185952733"/>
      <w:bookmarkStart w:id="3460" w:name="_Toc192874895"/>
      <w:r>
        <w:t>Quality Control Plan</w:t>
      </w:r>
      <w:bookmarkEnd w:id="3456"/>
      <w:bookmarkEnd w:id="3457"/>
      <w:bookmarkEnd w:id="3458"/>
      <w:bookmarkEnd w:id="3459"/>
      <w:bookmarkEnd w:id="3460"/>
    </w:p>
    <w:p w14:paraId="1B69935E" w14:textId="77777777" w:rsidR="00AB0EC4" w:rsidRPr="00A21682" w:rsidRDefault="00AB0EC4" w:rsidP="00223C4D">
      <w:pPr>
        <w:pStyle w:val="NormalNEW"/>
        <w:rPr>
          <w:lang w:val="en-US"/>
        </w:rPr>
      </w:pPr>
      <w:r>
        <w:rPr>
          <w:lang w:val="en-US"/>
        </w:rPr>
        <w:t xml:space="preserve">Quality control involves monitoring project-specific results for quality, and identifying corrective, preventive, or improvement actions when results are unsatisfactory or do not meet expected standards and requirements. This section of the QMP identifies the project quality standards, describes the verification approach and methods, supplies the project quality methods, and provides the process for addressing quality issues. </w:t>
      </w:r>
    </w:p>
    <w:p w14:paraId="3C473DF6" w14:textId="5B33B9C8" w:rsidR="00AB0EC4" w:rsidRPr="00A21682" w:rsidRDefault="00AB0EC4" w:rsidP="00223C4D">
      <w:pPr>
        <w:pStyle w:val="NormalNEW"/>
        <w:rPr>
          <w:lang w:val="en-US"/>
        </w:rPr>
      </w:pPr>
      <w:r>
        <w:rPr>
          <w:lang w:val="en-US"/>
        </w:rPr>
        <w:t>Note that ███████’s overall testing strategy, approach to performing solution testing, identifying and managing defects, and providing UAT support is discussed in detail in the Test Management Plan (DEL-09).</w:t>
      </w:r>
    </w:p>
    <w:p w14:paraId="1420E4C8" w14:textId="0C50C10A" w:rsidR="00AB0EC4" w:rsidRPr="00A21682" w:rsidRDefault="0054776F">
      <w:pPr>
        <w:pStyle w:val="Heading3"/>
      </w:pPr>
      <w:bookmarkStart w:id="3461" w:name="_Toc143601264"/>
      <w:bookmarkStart w:id="3462" w:name="_Toc153278086"/>
      <w:bookmarkStart w:id="3463" w:name="_Toc177119292"/>
      <w:bookmarkStart w:id="3464" w:name="_Toc185952734"/>
      <w:bookmarkStart w:id="3465" w:name="_Toc192874896"/>
      <w:r>
        <w:t>Transmittal Management</w:t>
      </w:r>
      <w:bookmarkEnd w:id="3461"/>
      <w:bookmarkEnd w:id="3462"/>
      <w:bookmarkEnd w:id="3463"/>
      <w:bookmarkEnd w:id="3464"/>
      <w:bookmarkEnd w:id="3465"/>
    </w:p>
    <w:p w14:paraId="4CF57B09" w14:textId="06521FC8" w:rsidR="00AB0EC4" w:rsidRPr="00A21682" w:rsidRDefault="005A0770" w:rsidP="00223C4D">
      <w:pPr>
        <w:pStyle w:val="NormalNEW"/>
        <w:rPr>
          <w:lang w:val="en-US"/>
        </w:rPr>
      </w:pPr>
      <w:r>
        <w:rPr>
          <w:lang w:val="en-US"/>
        </w:rPr>
        <w:t xml:space="preserve">Transmittal management is the set of activities the project uses to review and obtain appropriate levels of DOH OHIP approval for project deliverables and work products subject to the transmittal process. ███████ and DOH OHIP will transfer or “transmit” work products and deliverables, and the artifacts associated with the deliverables according to the transmittal process mentioned below. The DOS PMO oversees the final review and disposition via email transmittal. </w:t>
      </w:r>
    </w:p>
    <w:p w14:paraId="007DF2D2" w14:textId="5A3BD853" w:rsidR="00AB0EC4" w:rsidRPr="00A21682" w:rsidRDefault="00AB0EC4" w:rsidP="00424DE9">
      <w:pPr>
        <w:pStyle w:val="Heading4"/>
      </w:pPr>
      <w:bookmarkStart w:id="3466" w:name="_Toc153278087"/>
      <w:bookmarkStart w:id="3467" w:name="_Toc177119293"/>
      <w:bookmarkStart w:id="3468" w:name="_Toc185952735"/>
      <w:bookmarkStart w:id="3469" w:name="_Toc192874897"/>
      <w:r>
        <w:lastRenderedPageBreak/>
        <w:t>Transmittal Process – Inbound Flow Diagram</w:t>
      </w:r>
      <w:bookmarkEnd w:id="3466"/>
      <w:bookmarkEnd w:id="3467"/>
      <w:bookmarkEnd w:id="3468"/>
      <w:bookmarkEnd w:id="3469"/>
    </w:p>
    <w:p w14:paraId="27507F67" w14:textId="19F29C10" w:rsidR="002C2AD6" w:rsidRPr="00A21682" w:rsidRDefault="0033024C" w:rsidP="00952D86">
      <w:pPr>
        <w:pStyle w:val="NormalNEW"/>
        <w:keepNext/>
        <w:rPr>
          <w:u w:color="000000" w:themeColor="text1"/>
          <w:lang w:val="en-US" w:eastAsia="ko-KR"/>
        </w:rPr>
      </w:pPr>
      <w:r>
        <w:rPr>
          <w:u w:color="000000" w:themeColor="text1"/>
          <w:lang w:val="en-US" w:eastAsia="ko-KR"/>
        </w:rPr>
        <w:t>The following diagram depicts the inbound transmittal flow for the Continuing Medicaid Eligibility Modernization project.</w:t>
      </w:r>
    </w:p>
    <w:p w14:paraId="76D3FE79" w14:textId="42EF7DAB" w:rsidR="00AB0EC4" w:rsidRPr="00A21682" w:rsidRDefault="003D1D62" w:rsidP="00952D86">
      <w:pPr>
        <w:pStyle w:val="NormalNEW"/>
        <w:jc w:val="center"/>
        <w:rPr>
          <w:lang w:val="en-US"/>
        </w:rPr>
      </w:pPr>
      <w:r>
        <w:rPr>
          <w:lang w:val="en-US"/>
        </w:rPr>
        <w:object w:dxaOrig="16430" w:dyaOrig="9241" w14:anchorId="53EB131A">
          <v:shape id="_x0000_i1044" type="#_x0000_t75" style="width:462.6pt;height:257.4pt" o:ole="">
            <v:imagedata r:id="rId81" o:title=""/>
          </v:shape>
          <o:OLEObject Type="Embed" ProgID="Visio.Drawing.15" ShapeID="_x0000_i1044" DrawAspect="Content" ObjectID="_1849677352" r:id="rId82"/>
        </w:object>
      </w:r>
      <w:bookmarkStart w:id="3470" w:name="_Toc178351085"/>
      <w:bookmarkStart w:id="3471" w:name="_Toc178352929"/>
      <w:bookmarkStart w:id="3472" w:name="_Toc178355043"/>
      <w:bookmarkStart w:id="3473" w:name="_Toc178357852"/>
      <w:bookmarkStart w:id="3474" w:name="_Toc178359824"/>
      <w:bookmarkStart w:id="3475" w:name="_Toc178372020"/>
      <w:bookmarkStart w:id="3476" w:name="_Toc184747603"/>
      <w:bookmarkStart w:id="3477" w:name="_Toc185949361"/>
      <w:bookmarkStart w:id="3478" w:name="_Toc186884944"/>
      <w:bookmarkStart w:id="3479" w:name="_Toc187428686"/>
      <w:bookmarkStart w:id="3480" w:name="_Toc188451062"/>
      <w:bookmarkStart w:id="3481" w:name="_Toc188619956"/>
      <w:bookmarkEnd w:id="3470"/>
      <w:bookmarkEnd w:id="3471"/>
      <w:bookmarkEnd w:id="3472"/>
      <w:bookmarkEnd w:id="3473"/>
      <w:bookmarkEnd w:id="3474"/>
      <w:bookmarkEnd w:id="3475"/>
      <w:bookmarkEnd w:id="3476"/>
      <w:bookmarkEnd w:id="3477"/>
      <w:bookmarkEnd w:id="3478"/>
      <w:bookmarkEnd w:id="3479"/>
      <w:bookmarkEnd w:id="3480"/>
      <w:bookmarkEnd w:id="3481"/>
    </w:p>
    <w:p w14:paraId="3DD66EE7" w14:textId="2FBC8D59" w:rsidR="00AB0EC4" w:rsidRPr="00A21682" w:rsidRDefault="00AB0EC4" w:rsidP="00952D86">
      <w:pPr>
        <w:pStyle w:val="Caption"/>
        <w:rPr>
          <w:noProof w:val="0"/>
        </w:rPr>
      </w:pPr>
      <w:bookmarkStart w:id="3482" w:name="_Toc150443606"/>
      <w:bookmarkStart w:id="3483" w:name="_Toc178152055"/>
      <w:bookmarkStart w:id="3484" w:name="_Toc192875071"/>
      <w:r>
        <w:rPr>
          <w:noProof w:val="0"/>
        </w:rPr>
        <w:t xml:space="preserve">Figure </w:t>
      </w:r>
      <w:r>
        <w:rPr>
          <w:noProof w:val="0"/>
        </w:rPr>
        <w:fldChar w:fldCharType="begin"/>
      </w:r>
      <w:r>
        <w:rPr>
          <w:u w:color="000000" w:themeColor="text1"/>
          <w:lang w:eastAsia="ja-JP"/>
        </w:rPr>
        <w:instrText xml:space="preserve"> STYLEREF 1 \s </w:instrText>
      </w:r>
      <w:r>
        <w:rPr>
          <w:noProof w:val="0"/>
        </w:rPr>
        <w:fldChar w:fldCharType="separate"/>
      </w:r>
      <w:r>
        <w:rPr>
          <w:noProof w:val="0"/>
        </w:rPr>
        <w:t>7</w:t>
      </w:r>
      <w:r>
        <w:rPr>
          <w:noProof w:val="0"/>
        </w:rPr>
        <w:fldChar w:fldCharType="end"/>
      </w:r>
      <w:r>
        <w:rPr>
          <w:noProof w:val="0"/>
        </w:rPr>
        <w:t>-</w:t>
      </w:r>
      <w:r>
        <w:rPr>
          <w:noProof w:val="0"/>
        </w:rPr>
        <w:fldChar w:fldCharType="begin"/>
      </w:r>
      <w:r>
        <w:rPr>
          <w:u w:color="000000" w:themeColor="text1"/>
          <w:lang w:eastAsia="ja-JP"/>
        </w:rPr>
        <w:instrText xml:space="preserve"> SEQ Figure \* ARABIC \s 1 </w:instrText>
      </w:r>
      <w:r>
        <w:rPr>
          <w:noProof w:val="0"/>
        </w:rPr>
        <w:fldChar w:fldCharType="separate"/>
      </w:r>
      <w:r>
        <w:rPr>
          <w:noProof w:val="0"/>
        </w:rPr>
        <w:t>1</w:t>
      </w:r>
      <w:r>
        <w:rPr>
          <w:noProof w:val="0"/>
        </w:rPr>
        <w:fldChar w:fldCharType="end"/>
      </w:r>
      <w:r>
        <w:rPr>
          <w:b w:val="0"/>
          <w:noProof w:val="0"/>
        </w:rPr>
        <w:fldChar w:fldCharType="begin"/>
      </w:r>
      <w:r>
        <w:rPr>
          <w:b w:val="0"/>
          <w:noProof w:val="0"/>
        </w:rPr>
        <w:fldChar w:fldCharType="separate"/>
      </w:r>
      <w:r>
        <w:rPr>
          <w:noProof w:val="0"/>
        </w:rPr>
        <w:t>1</w:t>
      </w:r>
      <w:r>
        <w:rPr>
          <w:b w:val="0"/>
          <w:noProof w:val="0"/>
        </w:rPr>
        <w:fldChar w:fldCharType="end"/>
      </w:r>
      <w:r>
        <w:rPr>
          <w:b w:val="0"/>
          <w:noProof w:val="0"/>
        </w:rPr>
        <w:t>:</w:t>
      </w:r>
      <w:r>
        <w:rPr>
          <w:noProof w:val="0"/>
        </w:rPr>
        <w:t xml:space="preserve"> Transmittal Process - Inbound</w:t>
      </w:r>
      <w:bookmarkStart w:id="3485" w:name="_Toc178351086"/>
      <w:bookmarkStart w:id="3486" w:name="_Toc178352930"/>
      <w:bookmarkStart w:id="3487" w:name="_Toc178355044"/>
      <w:bookmarkStart w:id="3488" w:name="_Toc178357853"/>
      <w:bookmarkStart w:id="3489" w:name="_Toc178359825"/>
      <w:bookmarkStart w:id="3490" w:name="_Toc178372021"/>
      <w:bookmarkStart w:id="3491" w:name="_Toc184747604"/>
      <w:bookmarkStart w:id="3492" w:name="_Toc185949362"/>
      <w:bookmarkStart w:id="3493" w:name="_Toc186884945"/>
      <w:bookmarkStart w:id="3494" w:name="_Toc187428687"/>
      <w:bookmarkStart w:id="3495" w:name="_Toc188451063"/>
      <w:bookmarkStart w:id="3496" w:name="_Toc188619957"/>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14:paraId="766DB418" w14:textId="764A66CF" w:rsidR="00AB0EC4" w:rsidRPr="00A21682" w:rsidRDefault="00AB0EC4" w:rsidP="00424DE9">
      <w:pPr>
        <w:pStyle w:val="Heading4"/>
      </w:pPr>
      <w:bookmarkStart w:id="3497" w:name="_Toc153278088"/>
      <w:bookmarkStart w:id="3498" w:name="_Toc177119294"/>
      <w:bookmarkStart w:id="3499" w:name="_Toc185952736"/>
      <w:bookmarkStart w:id="3500" w:name="_Toc192874898"/>
      <w:r>
        <w:t>Transmittal Process – Inbound Process Flow Narrative</w:t>
      </w:r>
      <w:bookmarkEnd w:id="3497"/>
      <w:bookmarkEnd w:id="3498"/>
      <w:bookmarkEnd w:id="3499"/>
      <w:bookmarkEnd w:id="3500"/>
    </w:p>
    <w:p w14:paraId="405ED32C" w14:textId="77777777" w:rsidR="0033024C" w:rsidRPr="00A21682" w:rsidRDefault="0033024C" w:rsidP="0033024C">
      <w:pPr>
        <w:pStyle w:val="NormalNEW"/>
        <w:rPr>
          <w:u w:color="000000" w:themeColor="text1"/>
          <w:lang w:val="en-US" w:eastAsia="ko-KR"/>
        </w:rPr>
      </w:pPr>
      <w:r>
        <w:rPr>
          <w:u w:color="000000" w:themeColor="text1"/>
          <w:lang w:val="en-US" w:eastAsia="ko-KR"/>
        </w:rPr>
        <w:t>The following table describes each process step illustrated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6"/>
        <w:gridCol w:w="1918"/>
        <w:gridCol w:w="4916"/>
        <w:gridCol w:w="1820"/>
      </w:tblGrid>
      <w:tr w:rsidR="0033024C" w:rsidRPr="00A21682" w14:paraId="0EE40F78" w14:textId="77777777" w:rsidTr="00900D8D">
        <w:trPr>
          <w:trHeight w:val="15"/>
          <w:tblHeader/>
        </w:trPr>
        <w:tc>
          <w:tcPr>
            <w:tcW w:w="333" w:type="pct"/>
            <w:tcBorders>
              <w:right w:val="single" w:sz="4" w:space="0" w:color="FFFFFF" w:themeColor="background1"/>
            </w:tcBorders>
            <w:shd w:val="clear" w:color="auto" w:fill="000000"/>
            <w:hideMark/>
          </w:tcPr>
          <w:p w14:paraId="3A4D2EE2" w14:textId="77777777" w:rsidR="00E85482" w:rsidRPr="00A21682" w:rsidRDefault="00E85482" w:rsidP="00900D8D">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Step # </w:t>
            </w:r>
          </w:p>
        </w:tc>
        <w:tc>
          <w:tcPr>
            <w:tcW w:w="1039" w:type="pct"/>
            <w:tcBorders>
              <w:left w:val="single" w:sz="4" w:space="0" w:color="FFFFFF" w:themeColor="background1"/>
              <w:right w:val="single" w:sz="4" w:space="0" w:color="FFFFFF" w:themeColor="background1"/>
            </w:tcBorders>
            <w:shd w:val="clear" w:color="auto" w:fill="000000"/>
            <w:hideMark/>
          </w:tcPr>
          <w:p w14:paraId="3E0C7030" w14:textId="77777777" w:rsidR="00E85482" w:rsidRPr="00A21682" w:rsidRDefault="00E85482" w:rsidP="00900D8D">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Process Step </w:t>
            </w:r>
          </w:p>
        </w:tc>
        <w:tc>
          <w:tcPr>
            <w:tcW w:w="2642" w:type="pct"/>
            <w:tcBorders>
              <w:left w:val="single" w:sz="4" w:space="0" w:color="FFFFFF" w:themeColor="background1"/>
              <w:right w:val="single" w:sz="4" w:space="0" w:color="FFFFFF" w:themeColor="background1"/>
            </w:tcBorders>
            <w:shd w:val="clear" w:color="auto" w:fill="000000"/>
            <w:hideMark/>
          </w:tcPr>
          <w:p w14:paraId="7E38C457" w14:textId="77777777" w:rsidR="00E85482" w:rsidRPr="00A21682" w:rsidRDefault="00E85482" w:rsidP="00900D8D">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Description </w:t>
            </w:r>
          </w:p>
        </w:tc>
        <w:tc>
          <w:tcPr>
            <w:tcW w:w="986" w:type="pct"/>
            <w:tcBorders>
              <w:left w:val="single" w:sz="4" w:space="0" w:color="FFFFFF" w:themeColor="background1"/>
            </w:tcBorders>
            <w:shd w:val="clear" w:color="auto" w:fill="000000"/>
            <w:hideMark/>
          </w:tcPr>
          <w:p w14:paraId="62D134D1" w14:textId="77777777" w:rsidR="00E85482" w:rsidRPr="00A21682" w:rsidRDefault="00E85482" w:rsidP="00900D8D">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Stakeholder Group(s) </w:t>
            </w:r>
          </w:p>
        </w:tc>
      </w:tr>
      <w:tr w:rsidR="00E85482" w:rsidRPr="00A21682" w14:paraId="7BB171E7" w14:textId="77777777" w:rsidTr="00900D8D">
        <w:trPr>
          <w:trHeight w:val="15"/>
        </w:trPr>
        <w:tc>
          <w:tcPr>
            <w:tcW w:w="333" w:type="pct"/>
            <w:hideMark/>
          </w:tcPr>
          <w:p w14:paraId="5E322464" w14:textId="77777777" w:rsidR="00E85482" w:rsidRPr="00A21682" w:rsidRDefault="00E85482" w:rsidP="00900D8D">
            <w:pPr>
              <w:pStyle w:val="TABLETEXT1"/>
              <w:ind w:left="115" w:right="115"/>
              <w:rPr>
                <w:lang w:val="en-US" w:eastAsia="ja-JP"/>
              </w:rPr>
            </w:pPr>
            <w:r>
              <w:rPr>
                <w:lang w:val="en-US" w:eastAsia="ja-JP"/>
              </w:rPr>
              <w:t>1 </w:t>
            </w:r>
          </w:p>
        </w:tc>
        <w:tc>
          <w:tcPr>
            <w:tcW w:w="1039" w:type="pct"/>
            <w:hideMark/>
          </w:tcPr>
          <w:p w14:paraId="44AAFA34" w14:textId="77777777" w:rsidR="00E85482" w:rsidRPr="00A21682" w:rsidRDefault="00E85482" w:rsidP="00900D8D">
            <w:pPr>
              <w:pStyle w:val="TABLETEXT1"/>
              <w:ind w:left="115" w:right="115"/>
              <w:rPr>
                <w:lang w:val="en-US" w:eastAsia="ja-JP"/>
              </w:rPr>
            </w:pPr>
            <w:r>
              <w:rPr>
                <w:lang w:val="en-US" w:eastAsia="ja-JP"/>
              </w:rPr>
              <w:t>Upload Transmittal and Add to Tracker </w:t>
            </w:r>
          </w:p>
        </w:tc>
        <w:tc>
          <w:tcPr>
            <w:tcW w:w="2642" w:type="pct"/>
            <w:hideMark/>
          </w:tcPr>
          <w:p w14:paraId="6E4D699D" w14:textId="0F7E0D14" w:rsidR="00E85482" w:rsidRPr="00A21682" w:rsidRDefault="00E85482" w:rsidP="00900D8D">
            <w:pPr>
              <w:pStyle w:val="TABLETEXT1"/>
              <w:ind w:left="115" w:right="115"/>
              <w:rPr>
                <w:lang w:val="en-US" w:eastAsia="ja-JP"/>
              </w:rPr>
            </w:pPr>
            <w:r>
              <w:rPr>
                <w:lang w:val="en-US" w:eastAsia="ja-JP"/>
              </w:rPr>
              <w:t>Upon receipt of a transmittal, MECM QA will upload the transmittal to the Transmittal Repository, which is a folder used for storing and dissemination transmittals between ███████ and DOH OHIP and is located on the DOH SharePoint. ███████ will add the transmittal to the Transmittal Tracker Spreadsheet, which is an Excel file that tracks details of transmittals, including time and date, between DOH OHIP and ███████. </w:t>
            </w:r>
          </w:p>
        </w:tc>
        <w:tc>
          <w:tcPr>
            <w:tcW w:w="986" w:type="pct"/>
            <w:hideMark/>
          </w:tcPr>
          <w:p w14:paraId="59C0B116" w14:textId="77777777" w:rsidR="00E85482" w:rsidRPr="00A21682" w:rsidRDefault="00E85482" w:rsidP="00900D8D">
            <w:pPr>
              <w:pStyle w:val="TABLEBULLETNEW"/>
            </w:pPr>
            <w:r>
              <w:t>MECM QA </w:t>
            </w:r>
          </w:p>
        </w:tc>
      </w:tr>
      <w:tr w:rsidR="0084097C" w:rsidRPr="00A21682" w14:paraId="1DBC0D42" w14:textId="77777777" w:rsidTr="00900D8D">
        <w:trPr>
          <w:trHeight w:val="15"/>
        </w:trPr>
        <w:tc>
          <w:tcPr>
            <w:tcW w:w="333" w:type="pct"/>
            <w:hideMark/>
          </w:tcPr>
          <w:p w14:paraId="616BB1A3"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2 </w:t>
            </w:r>
          </w:p>
        </w:tc>
        <w:tc>
          <w:tcPr>
            <w:tcW w:w="1039" w:type="pct"/>
            <w:hideMark/>
          </w:tcPr>
          <w:p w14:paraId="7B8AAAD4" w14:textId="2C69B268"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Send Transmittal to DOS for Review and Response </w:t>
            </w:r>
          </w:p>
        </w:tc>
        <w:tc>
          <w:tcPr>
            <w:tcW w:w="2642" w:type="pct"/>
            <w:hideMark/>
          </w:tcPr>
          <w:p w14:paraId="11C88772" w14:textId="3E3F8893"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After the document has been uploaded to the Transmittal Repository and added to the Transmittal Tracker Spreadsheet, MECM QA will notify DOH OHIP Leadership to review and respond to the transmittal. </w:t>
            </w:r>
          </w:p>
        </w:tc>
        <w:tc>
          <w:tcPr>
            <w:tcW w:w="986" w:type="pct"/>
            <w:hideMark/>
          </w:tcPr>
          <w:p w14:paraId="5500E0C7" w14:textId="77777777" w:rsidR="00E85482" w:rsidRPr="00A21682" w:rsidRDefault="00E85482" w:rsidP="00900D8D">
            <w:pPr>
              <w:pStyle w:val="TABLEBULLETNEW"/>
            </w:pPr>
            <w:r>
              <w:t>MECM QA </w:t>
            </w:r>
          </w:p>
        </w:tc>
      </w:tr>
      <w:tr w:rsidR="0084097C" w:rsidRPr="00A21682" w14:paraId="1C761415" w14:textId="77777777" w:rsidTr="00900D8D">
        <w:trPr>
          <w:trHeight w:val="15"/>
        </w:trPr>
        <w:tc>
          <w:tcPr>
            <w:tcW w:w="333" w:type="pct"/>
            <w:hideMark/>
          </w:tcPr>
          <w:p w14:paraId="52556415"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3 </w:t>
            </w:r>
          </w:p>
        </w:tc>
        <w:tc>
          <w:tcPr>
            <w:tcW w:w="1039" w:type="pct"/>
            <w:hideMark/>
          </w:tcPr>
          <w:p w14:paraId="30ED61EE"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and Respond </w:t>
            </w:r>
          </w:p>
        </w:tc>
        <w:tc>
          <w:tcPr>
            <w:tcW w:w="2642" w:type="pct"/>
            <w:hideMark/>
          </w:tcPr>
          <w:p w14:paraId="1DD2BB4F" w14:textId="63FE7ADB" w:rsidR="00E85482" w:rsidRPr="00A21682" w:rsidRDefault="0084097C"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DOH OHIP Leadership will initiate the review process and begin QA, in accordance with the timelines identified in the Deliverable Management Plan (refer to Section 5) and will develop/gather </w:t>
            </w:r>
            <w:r>
              <w:rPr>
                <w:rFonts w:ascii="Verdana" w:eastAsia="Times New Roman" w:hAnsi="Verdana" w:cs="Times New Roman"/>
                <w:sz w:val="18"/>
                <w:szCs w:val="18"/>
              </w:rPr>
              <w:lastRenderedPageBreak/>
              <w:t xml:space="preserve">feedback to be included in the response to MECM QA. </w:t>
            </w:r>
          </w:p>
        </w:tc>
        <w:tc>
          <w:tcPr>
            <w:tcW w:w="986" w:type="pct"/>
            <w:hideMark/>
          </w:tcPr>
          <w:p w14:paraId="386882FE" w14:textId="2D900D18" w:rsidR="00E85482" w:rsidRPr="00A21682" w:rsidRDefault="00E85482" w:rsidP="00900D8D">
            <w:pPr>
              <w:pStyle w:val="TABLEBULLETNEW"/>
            </w:pPr>
            <w:r>
              <w:lastRenderedPageBreak/>
              <w:t>DOH OHIP Leadership </w:t>
            </w:r>
          </w:p>
        </w:tc>
      </w:tr>
      <w:tr w:rsidR="0084097C" w:rsidRPr="00A21682" w14:paraId="4AC12BC4" w14:textId="77777777" w:rsidTr="00900D8D">
        <w:trPr>
          <w:trHeight w:val="15"/>
        </w:trPr>
        <w:tc>
          <w:tcPr>
            <w:tcW w:w="333" w:type="pct"/>
            <w:hideMark/>
          </w:tcPr>
          <w:p w14:paraId="78ED19E1"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4 </w:t>
            </w:r>
          </w:p>
        </w:tc>
        <w:tc>
          <w:tcPr>
            <w:tcW w:w="1039" w:type="pct"/>
            <w:hideMark/>
          </w:tcPr>
          <w:p w14:paraId="3B06CC0B" w14:textId="26257E0E"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Draft Response Transmittal Letter and Send for Review and Approval </w:t>
            </w:r>
          </w:p>
        </w:tc>
        <w:tc>
          <w:tcPr>
            <w:tcW w:w="2642" w:type="pct"/>
            <w:hideMark/>
          </w:tcPr>
          <w:p w14:paraId="0ECE8CDA" w14:textId="606905D0"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Using the input from DOH OHIP Leadership, MECM QA will draft a response letter to ███████. The letter will include relevant QA feedback and suggestions from DOH OHIP Leadership and other DOH OHIP stakeholders involved in the QA. </w:t>
            </w:r>
          </w:p>
        </w:tc>
        <w:tc>
          <w:tcPr>
            <w:tcW w:w="986" w:type="pct"/>
            <w:hideMark/>
          </w:tcPr>
          <w:p w14:paraId="24FE4C48" w14:textId="77777777" w:rsidR="00E85482" w:rsidRPr="00A21682" w:rsidRDefault="00E85482" w:rsidP="00900D8D">
            <w:pPr>
              <w:pStyle w:val="TABLEBULLETNEW"/>
            </w:pPr>
            <w:r>
              <w:t>MECM QA </w:t>
            </w:r>
          </w:p>
        </w:tc>
      </w:tr>
      <w:tr w:rsidR="0084097C" w:rsidRPr="00A21682" w14:paraId="4E015161" w14:textId="77777777" w:rsidTr="00900D8D">
        <w:trPr>
          <w:trHeight w:val="15"/>
        </w:trPr>
        <w:tc>
          <w:tcPr>
            <w:tcW w:w="333" w:type="pct"/>
            <w:hideMark/>
          </w:tcPr>
          <w:p w14:paraId="6FB8CE39"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5 </w:t>
            </w:r>
          </w:p>
        </w:tc>
        <w:tc>
          <w:tcPr>
            <w:tcW w:w="1039" w:type="pct"/>
            <w:hideMark/>
          </w:tcPr>
          <w:p w14:paraId="1FCC609D"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for Approval </w:t>
            </w:r>
          </w:p>
        </w:tc>
        <w:tc>
          <w:tcPr>
            <w:tcW w:w="2642" w:type="pct"/>
            <w:hideMark/>
          </w:tcPr>
          <w:p w14:paraId="7EA31CE8" w14:textId="40FC53D2" w:rsidR="00E85482" w:rsidRPr="00A21682" w:rsidRDefault="00706DB3"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DOH OHIP Leadership will review and approve the draft response letter before MECM QA sends the draft response letter to ███████. </w:t>
            </w:r>
          </w:p>
        </w:tc>
        <w:tc>
          <w:tcPr>
            <w:tcW w:w="986" w:type="pct"/>
            <w:hideMark/>
          </w:tcPr>
          <w:p w14:paraId="5298E11F" w14:textId="2696AD78" w:rsidR="00E85482" w:rsidRPr="00A21682" w:rsidRDefault="0084097C" w:rsidP="00900D8D">
            <w:pPr>
              <w:pStyle w:val="TABLEBULLETNEW"/>
            </w:pPr>
            <w:r>
              <w:t>DOH OHIP Leadership </w:t>
            </w:r>
          </w:p>
        </w:tc>
      </w:tr>
      <w:tr w:rsidR="0084097C" w:rsidRPr="00A21682" w14:paraId="1DF9F7B4" w14:textId="77777777" w:rsidTr="00900D8D">
        <w:trPr>
          <w:trHeight w:val="15"/>
        </w:trPr>
        <w:tc>
          <w:tcPr>
            <w:tcW w:w="333" w:type="pct"/>
            <w:hideMark/>
          </w:tcPr>
          <w:p w14:paraId="239BDE64"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6 </w:t>
            </w:r>
          </w:p>
        </w:tc>
        <w:tc>
          <w:tcPr>
            <w:tcW w:w="1039" w:type="pct"/>
            <w:hideMark/>
          </w:tcPr>
          <w:p w14:paraId="2DAF683D"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Decision to Approve or Reject </w:t>
            </w:r>
          </w:p>
        </w:tc>
        <w:tc>
          <w:tcPr>
            <w:tcW w:w="2642" w:type="pct"/>
            <w:hideMark/>
          </w:tcPr>
          <w:p w14:paraId="3D3EB1B2" w14:textId="2F1F73BF" w:rsidR="00E85482" w:rsidRPr="00A21682" w:rsidRDefault="005305E4"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DOH OHIP Leadership will either approve or reject the draft response letter. </w:t>
            </w:r>
          </w:p>
          <w:p w14:paraId="40CD648F" w14:textId="230DCC97" w:rsidR="00642EAF" w:rsidRPr="00A21682" w:rsidRDefault="00E85482" w:rsidP="00900D8D">
            <w:pPr>
              <w:pStyle w:val="TABLEBULLETNEW"/>
              <w:rPr>
                <w:rFonts w:ascii="Times New Roman" w:hAnsi="Times New Roman"/>
                <w:sz w:val="24"/>
                <w:szCs w:val="24"/>
              </w:rPr>
            </w:pPr>
            <w:r>
              <w:t xml:space="preserve">If DOH OHIP Leadership rejects the letter, proceed to </w:t>
            </w:r>
            <w:r>
              <w:rPr>
                <w:i/>
              </w:rPr>
              <w:t>Step #6.1 Update Letter based on Feedback and Resend for Review</w:t>
            </w:r>
          </w:p>
          <w:p w14:paraId="41C1EA81" w14:textId="267B19D2" w:rsidR="00E85482" w:rsidRPr="00A21682" w:rsidRDefault="00E85482" w:rsidP="00900D8D">
            <w:pPr>
              <w:pStyle w:val="TABLEBULLETNEW"/>
              <w:rPr>
                <w:rFonts w:ascii="Times New Roman" w:hAnsi="Times New Roman"/>
                <w:sz w:val="24"/>
                <w:szCs w:val="24"/>
              </w:rPr>
            </w:pPr>
            <w:r>
              <w:t xml:space="preserve">If DOS Leadership approves the letter, proceed to </w:t>
            </w:r>
            <w:r>
              <w:rPr>
                <w:i/>
              </w:rPr>
              <w:t xml:space="preserve">Step #7 Assign Transmittal Number and Add to Tracker </w:t>
            </w:r>
          </w:p>
        </w:tc>
        <w:tc>
          <w:tcPr>
            <w:tcW w:w="986" w:type="pct"/>
            <w:hideMark/>
          </w:tcPr>
          <w:p w14:paraId="474E32A6" w14:textId="68CA993B" w:rsidR="00E85482" w:rsidRPr="00A21682" w:rsidRDefault="0084097C" w:rsidP="00900D8D">
            <w:pPr>
              <w:pStyle w:val="TABLEBULLETNEW"/>
            </w:pPr>
            <w:r>
              <w:t>DOH OHIP Leadership </w:t>
            </w:r>
          </w:p>
        </w:tc>
      </w:tr>
      <w:tr w:rsidR="0084097C" w:rsidRPr="00A21682" w14:paraId="21F94840" w14:textId="77777777" w:rsidTr="00900D8D">
        <w:trPr>
          <w:trHeight w:val="15"/>
        </w:trPr>
        <w:tc>
          <w:tcPr>
            <w:tcW w:w="333" w:type="pct"/>
            <w:hideMark/>
          </w:tcPr>
          <w:p w14:paraId="19A06F5D"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6.1 </w:t>
            </w:r>
          </w:p>
        </w:tc>
        <w:tc>
          <w:tcPr>
            <w:tcW w:w="1039" w:type="pct"/>
            <w:hideMark/>
          </w:tcPr>
          <w:p w14:paraId="3ADCF463"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 Letter Based on Feedback and Resend for Review </w:t>
            </w:r>
          </w:p>
        </w:tc>
        <w:tc>
          <w:tcPr>
            <w:tcW w:w="2642" w:type="pct"/>
            <w:hideMark/>
          </w:tcPr>
          <w:p w14:paraId="49985D3F" w14:textId="4B036AB9"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If DOH OHIP Leadership rejects the letter, MECM QA will update the draft response letter to incorporate the feedback provided by DOH OHIP Leadership. </w:t>
            </w:r>
          </w:p>
          <w:p w14:paraId="753E0736" w14:textId="01460B40"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Once the edits are completed, proceed to </w:t>
            </w:r>
            <w:r>
              <w:rPr>
                <w:rFonts w:ascii="Verdana" w:eastAsia="Times New Roman" w:hAnsi="Verdana" w:cs="Times New Roman"/>
                <w:i/>
                <w:iCs/>
                <w:sz w:val="18"/>
                <w:szCs w:val="18"/>
              </w:rPr>
              <w:t>Step #5 Review for Approval</w:t>
            </w:r>
            <w:r>
              <w:rPr>
                <w:rFonts w:ascii="Verdana" w:eastAsia="Times New Roman" w:hAnsi="Verdana" w:cs="Times New Roman"/>
                <w:sz w:val="18"/>
                <w:szCs w:val="18"/>
              </w:rPr>
              <w:t>.  </w:t>
            </w:r>
          </w:p>
        </w:tc>
        <w:tc>
          <w:tcPr>
            <w:tcW w:w="986" w:type="pct"/>
            <w:hideMark/>
          </w:tcPr>
          <w:p w14:paraId="67A78DD6" w14:textId="77777777" w:rsidR="00E85482" w:rsidRPr="00A21682" w:rsidRDefault="00E85482" w:rsidP="00900D8D">
            <w:pPr>
              <w:pStyle w:val="TABLEBULLETNEW"/>
            </w:pPr>
            <w:r>
              <w:t>MECM QA </w:t>
            </w:r>
          </w:p>
        </w:tc>
      </w:tr>
      <w:tr w:rsidR="0084097C" w:rsidRPr="00A21682" w14:paraId="0691104E" w14:textId="77777777" w:rsidTr="00900D8D">
        <w:trPr>
          <w:trHeight w:val="15"/>
        </w:trPr>
        <w:tc>
          <w:tcPr>
            <w:tcW w:w="333" w:type="pct"/>
            <w:hideMark/>
          </w:tcPr>
          <w:p w14:paraId="73557C3D"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7 </w:t>
            </w:r>
          </w:p>
        </w:tc>
        <w:tc>
          <w:tcPr>
            <w:tcW w:w="1039" w:type="pct"/>
            <w:hideMark/>
          </w:tcPr>
          <w:p w14:paraId="318C2AD2"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Assign Transmittal Number and Add to Tracker </w:t>
            </w:r>
          </w:p>
        </w:tc>
        <w:tc>
          <w:tcPr>
            <w:tcW w:w="2642" w:type="pct"/>
            <w:hideMark/>
          </w:tcPr>
          <w:p w14:paraId="69537B1A" w14:textId="29C8F3DC"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If DOH OHIP Leadership approves the letter, MECM QA will assign the draft response letter a transmittal number and add it to the Transmittal Tracker Spreadsheet. </w:t>
            </w:r>
          </w:p>
        </w:tc>
        <w:tc>
          <w:tcPr>
            <w:tcW w:w="986" w:type="pct"/>
            <w:hideMark/>
          </w:tcPr>
          <w:p w14:paraId="42A672DB" w14:textId="77777777" w:rsidR="00E85482" w:rsidRPr="00A21682" w:rsidRDefault="00E85482" w:rsidP="00900D8D">
            <w:pPr>
              <w:pStyle w:val="TABLEBULLETNEW"/>
            </w:pPr>
            <w:r>
              <w:t>MECM QA </w:t>
            </w:r>
          </w:p>
        </w:tc>
      </w:tr>
      <w:tr w:rsidR="0084097C" w:rsidRPr="00A21682" w14:paraId="338DE6CC" w14:textId="77777777" w:rsidTr="00900D8D">
        <w:trPr>
          <w:trHeight w:val="15"/>
        </w:trPr>
        <w:tc>
          <w:tcPr>
            <w:tcW w:w="333" w:type="pct"/>
            <w:hideMark/>
          </w:tcPr>
          <w:p w14:paraId="062B4486"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8 </w:t>
            </w:r>
          </w:p>
        </w:tc>
        <w:tc>
          <w:tcPr>
            <w:tcW w:w="1039" w:type="pct"/>
            <w:hideMark/>
          </w:tcPr>
          <w:p w14:paraId="44F08765"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Upload to SharePoint Site Transmittal Folder </w:t>
            </w:r>
          </w:p>
        </w:tc>
        <w:tc>
          <w:tcPr>
            <w:tcW w:w="2642" w:type="pct"/>
            <w:hideMark/>
          </w:tcPr>
          <w:p w14:paraId="5A8708CE"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MECM QA will then upload the completed transmittal to the Transmittal Repository. </w:t>
            </w:r>
          </w:p>
        </w:tc>
        <w:tc>
          <w:tcPr>
            <w:tcW w:w="986" w:type="pct"/>
            <w:hideMark/>
          </w:tcPr>
          <w:p w14:paraId="09699BE2" w14:textId="77777777" w:rsidR="00E85482" w:rsidRPr="00A21682" w:rsidRDefault="00E85482" w:rsidP="00900D8D">
            <w:pPr>
              <w:pStyle w:val="TABLEBULLETNEW"/>
            </w:pPr>
            <w:r>
              <w:t>MECM QA </w:t>
            </w:r>
          </w:p>
        </w:tc>
      </w:tr>
      <w:tr w:rsidR="0084097C" w:rsidRPr="00A21682" w14:paraId="7A613F40" w14:textId="77777777" w:rsidTr="00900D8D">
        <w:trPr>
          <w:trHeight w:val="15"/>
        </w:trPr>
        <w:tc>
          <w:tcPr>
            <w:tcW w:w="333" w:type="pct"/>
            <w:hideMark/>
          </w:tcPr>
          <w:p w14:paraId="65DBF4B4"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9 </w:t>
            </w:r>
          </w:p>
        </w:tc>
        <w:tc>
          <w:tcPr>
            <w:tcW w:w="1039" w:type="pct"/>
            <w:hideMark/>
          </w:tcPr>
          <w:p w14:paraId="42477A01" w14:textId="77777777"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Send to Vendor </w:t>
            </w:r>
          </w:p>
        </w:tc>
        <w:tc>
          <w:tcPr>
            <w:tcW w:w="2642" w:type="pct"/>
            <w:hideMark/>
          </w:tcPr>
          <w:p w14:paraId="4B203F52" w14:textId="3E61C9C1" w:rsidR="00E85482" w:rsidRPr="00A21682" w:rsidRDefault="00E85482" w:rsidP="00900D8D">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MECM QA will send the transmittal to ███████ via email link to the Transmittal Repository. </w:t>
            </w:r>
          </w:p>
        </w:tc>
        <w:tc>
          <w:tcPr>
            <w:tcW w:w="986" w:type="pct"/>
            <w:hideMark/>
          </w:tcPr>
          <w:p w14:paraId="2F2A0727" w14:textId="77777777" w:rsidR="00E85482" w:rsidRPr="00A21682" w:rsidRDefault="00E85482" w:rsidP="00900D8D">
            <w:pPr>
              <w:pStyle w:val="TABLEBULLETNEW"/>
            </w:pPr>
            <w:r>
              <w:t>MECM QA </w:t>
            </w:r>
          </w:p>
        </w:tc>
      </w:tr>
    </w:tbl>
    <w:p w14:paraId="4575D51F" w14:textId="64620CAF" w:rsidR="00F85FC9" w:rsidRPr="00A21682" w:rsidRDefault="00F85FC9" w:rsidP="00F85FC9">
      <w:pPr>
        <w:pStyle w:val="Caption"/>
        <w:rPr>
          <w:noProof w:val="0"/>
        </w:rPr>
      </w:pPr>
      <w:bookmarkStart w:id="3501" w:name="_Toc19287519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MECM Transmittal Process - Inbound Flow Narrative</w:t>
      </w:r>
      <w:bookmarkEnd w:id="3501"/>
    </w:p>
    <w:p w14:paraId="36E18B7E" w14:textId="540B5930" w:rsidR="007C646E" w:rsidRPr="00A21682" w:rsidRDefault="007C646E" w:rsidP="00CB29E6">
      <w:pPr>
        <w:textAlignment w:val="baseline"/>
        <w:rPr>
          <w:rFonts w:ascii="Segoe UI" w:eastAsia="Times New Roman" w:hAnsi="Segoe UI" w:cs="Segoe UI"/>
          <w:b/>
          <w:szCs w:val="18"/>
        </w:rPr>
      </w:pPr>
    </w:p>
    <w:p w14:paraId="58921DA5" w14:textId="291A156D" w:rsidR="00AB0EC4" w:rsidRPr="00A21682" w:rsidRDefault="00AB0EC4" w:rsidP="00D818D3"/>
    <w:p w14:paraId="3A91422D" w14:textId="46691D1F" w:rsidR="00AB0EC4" w:rsidRPr="00A21682" w:rsidRDefault="00AB0EC4" w:rsidP="00424DE9">
      <w:pPr>
        <w:pStyle w:val="Heading4"/>
      </w:pPr>
      <w:bookmarkStart w:id="3502" w:name="_Toc153278089"/>
      <w:bookmarkStart w:id="3503" w:name="_Toc177119295"/>
      <w:bookmarkStart w:id="3504" w:name="_Toc185952737"/>
      <w:bookmarkStart w:id="3505" w:name="_Toc192874899"/>
      <w:r>
        <w:lastRenderedPageBreak/>
        <w:t>Transmittal Process – Outbound Flow Diagram</w:t>
      </w:r>
      <w:bookmarkEnd w:id="3502"/>
      <w:bookmarkEnd w:id="3503"/>
      <w:bookmarkEnd w:id="3504"/>
      <w:bookmarkEnd w:id="3505"/>
    </w:p>
    <w:p w14:paraId="47D5CDDB" w14:textId="1028EE8E" w:rsidR="00C46F60" w:rsidRPr="00A21682" w:rsidRDefault="00C46F60" w:rsidP="00C46F60">
      <w:pPr>
        <w:pStyle w:val="NormalNEW"/>
        <w:keepNext/>
        <w:rPr>
          <w:u w:color="000000" w:themeColor="text1"/>
          <w:lang w:val="en-US" w:eastAsia="ko-KR"/>
        </w:rPr>
      </w:pPr>
      <w:r>
        <w:rPr>
          <w:u w:color="000000" w:themeColor="text1"/>
          <w:lang w:val="en-US" w:eastAsia="ko-KR"/>
        </w:rPr>
        <w:t>The following diagram depicts the outbound transmittal flow for the Continuing Medicaid Eligibility Modernization project.</w:t>
      </w:r>
    </w:p>
    <w:p w14:paraId="4F332802" w14:textId="13FFC89C" w:rsidR="00AB0EC4" w:rsidRPr="00A21682" w:rsidRDefault="004A2CBF" w:rsidP="00952D86">
      <w:pPr>
        <w:pStyle w:val="NormalNEW"/>
        <w:rPr>
          <w:lang w:val="en-US"/>
        </w:rPr>
      </w:pPr>
      <w:r>
        <w:rPr>
          <w:lang w:val="en-US"/>
        </w:rPr>
        <w:object w:dxaOrig="15170" w:dyaOrig="9390" w14:anchorId="7C48BD82">
          <v:shape id="_x0000_i1045" type="#_x0000_t75" style="width:467.4pt;height:4in" o:ole="">
            <v:imagedata r:id="rId83" o:title=""/>
          </v:shape>
          <o:OLEObject Type="Embed" ProgID="Visio.Drawing.15" ShapeID="_x0000_i1045" DrawAspect="Content" ObjectID="_1849677353" r:id="rId84"/>
        </w:object>
      </w:r>
    </w:p>
    <w:p w14:paraId="7892BB73" w14:textId="18E54D39" w:rsidR="00AB0EC4" w:rsidRPr="00A21682" w:rsidRDefault="00AB0EC4" w:rsidP="00952D86">
      <w:pPr>
        <w:pStyle w:val="Caption"/>
        <w:rPr>
          <w:noProof w:val="0"/>
        </w:rPr>
      </w:pPr>
      <w:bookmarkStart w:id="3506" w:name="_Toc178152056"/>
      <w:bookmarkStart w:id="3507" w:name="_Toc150443607"/>
      <w:bookmarkStart w:id="3508" w:name="_Toc192875072"/>
      <w:r>
        <w:rPr>
          <w:noProof w:val="0"/>
        </w:rPr>
        <w:t xml:space="preserve">Figure </w:t>
      </w:r>
      <w:r>
        <w:rPr>
          <w:noProof w:val="0"/>
        </w:rPr>
        <w:fldChar w:fldCharType="begin"/>
      </w:r>
      <w:r>
        <w:rPr>
          <w:u w:color="000000" w:themeColor="text1"/>
          <w:lang w:eastAsia="ja-JP"/>
        </w:rPr>
        <w:instrText xml:space="preserve"> STYLEREF 1 \s </w:instrText>
      </w:r>
      <w:r>
        <w:rPr>
          <w:noProof w:val="0"/>
        </w:rPr>
        <w:fldChar w:fldCharType="separate"/>
      </w:r>
      <w:r>
        <w:rPr>
          <w:noProof w:val="0"/>
        </w:rPr>
        <w:t>7</w:t>
      </w:r>
      <w:r>
        <w:rPr>
          <w:noProof w:val="0"/>
        </w:rPr>
        <w:fldChar w:fldCharType="end"/>
      </w:r>
      <w:r>
        <w:rPr>
          <w:noProof w:val="0"/>
        </w:rPr>
        <w:t>-</w:t>
      </w:r>
      <w:r>
        <w:rPr>
          <w:noProof w:val="0"/>
        </w:rPr>
        <w:fldChar w:fldCharType="begin"/>
      </w:r>
      <w:r>
        <w:rPr>
          <w:u w:color="000000" w:themeColor="text1"/>
          <w:lang w:eastAsia="ja-JP"/>
        </w:rPr>
        <w:instrText xml:space="preserve"> SEQ Figure \* ARABIC \s 1 </w:instrText>
      </w:r>
      <w:r>
        <w:rPr>
          <w:noProof w:val="0"/>
        </w:rPr>
        <w:fldChar w:fldCharType="separate"/>
      </w:r>
      <w:r>
        <w:rPr>
          <w:noProof w:val="0"/>
        </w:rPr>
        <w:t>2</w:t>
      </w:r>
      <w:r>
        <w:rPr>
          <w:noProof w:val="0"/>
        </w:rPr>
        <w:fldChar w:fldCharType="end"/>
      </w:r>
      <w:r>
        <w:rPr>
          <w:noProof w:val="0"/>
          <w:u w:color="000000" w:themeColor="text1"/>
          <w:lang w:eastAsia="ja-JP"/>
        </w:rPr>
        <w:fldChar w:fldCharType="begin"/>
      </w:r>
      <w:bookmarkEnd w:id="3506"/>
      <w:bookmarkEnd w:id="3507"/>
      <w:r>
        <w:rPr>
          <w:noProof w:val="0"/>
          <w:u w:color="000000" w:themeColor="text1"/>
          <w:lang w:eastAsia="ja-JP"/>
        </w:rPr>
        <w:fldChar w:fldCharType="separate"/>
      </w:r>
      <w:r>
        <w:rPr>
          <w:noProof w:val="0"/>
          <w:u w:color="000000" w:themeColor="text1"/>
          <w:lang w:eastAsia="ja-JP"/>
        </w:rPr>
        <w:t>2</w:t>
      </w:r>
      <w:r>
        <w:rPr>
          <w:noProof w:val="0"/>
          <w:u w:color="000000" w:themeColor="text1"/>
          <w:lang w:eastAsia="ja-JP"/>
        </w:rPr>
        <w:fldChar w:fldCharType="end"/>
      </w:r>
      <w:r>
        <w:rPr>
          <w:b w:val="0"/>
          <w:noProof w:val="0"/>
        </w:rPr>
        <w:fldChar w:fldCharType="begin"/>
      </w:r>
      <w:r>
        <w:rPr>
          <w:b w:val="0"/>
          <w:noProof w:val="0"/>
        </w:rPr>
        <w:fldChar w:fldCharType="separate"/>
      </w:r>
      <w:r>
        <w:rPr>
          <w:noProof w:val="0"/>
        </w:rPr>
        <w:t>2</w:t>
      </w:r>
      <w:r>
        <w:rPr>
          <w:b w:val="0"/>
          <w:noProof w:val="0"/>
        </w:rPr>
        <w:fldChar w:fldCharType="end"/>
      </w:r>
      <w:r>
        <w:rPr>
          <w:noProof w:val="0"/>
        </w:rPr>
        <w:t>: Transmittal Process - Outbound</w:t>
      </w:r>
      <w:bookmarkEnd w:id="3508"/>
    </w:p>
    <w:p w14:paraId="302E2C1B" w14:textId="498F1B22" w:rsidR="00AB0EC4" w:rsidRPr="00A21682" w:rsidRDefault="00AB0EC4" w:rsidP="00424DE9">
      <w:pPr>
        <w:pStyle w:val="Heading4"/>
      </w:pPr>
      <w:bookmarkStart w:id="3509" w:name="_Toc153278090"/>
      <w:bookmarkStart w:id="3510" w:name="_Toc177119296"/>
      <w:bookmarkStart w:id="3511" w:name="_Toc185952738"/>
      <w:bookmarkStart w:id="3512" w:name="_Toc192874900"/>
      <w:r>
        <w:t>Transmittal Process – Outbound Process Flow Narrative</w:t>
      </w:r>
      <w:bookmarkEnd w:id="3509"/>
      <w:bookmarkEnd w:id="3510"/>
      <w:bookmarkEnd w:id="3511"/>
      <w:bookmarkEnd w:id="3512"/>
    </w:p>
    <w:p w14:paraId="4E3211A6" w14:textId="77777777" w:rsidR="003332CA" w:rsidRPr="00A21682" w:rsidRDefault="003332CA" w:rsidP="003332CA">
      <w:pPr>
        <w:pStyle w:val="NormalNEW"/>
        <w:rPr>
          <w:u w:color="000000" w:themeColor="text1"/>
          <w:lang w:val="en-US" w:eastAsia="ko-KR"/>
        </w:rPr>
      </w:pPr>
      <w:r>
        <w:rPr>
          <w:u w:color="000000" w:themeColor="text1"/>
          <w:lang w:val="en-US" w:eastAsia="ko-KR"/>
        </w:rPr>
        <w:t>The following table describes each process step illustrated 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6"/>
        <w:gridCol w:w="1805"/>
        <w:gridCol w:w="3516"/>
        <w:gridCol w:w="3323"/>
      </w:tblGrid>
      <w:tr w:rsidR="00C36AF5" w:rsidRPr="00A21682" w14:paraId="09ECA386" w14:textId="77777777" w:rsidTr="00900D8D">
        <w:trPr>
          <w:trHeight w:val="420"/>
        </w:trPr>
        <w:tc>
          <w:tcPr>
            <w:tcW w:w="378" w:type="pct"/>
            <w:tcBorders>
              <w:right w:val="single" w:sz="4" w:space="0" w:color="FFFFFF" w:themeColor="background1"/>
            </w:tcBorders>
            <w:shd w:val="clear" w:color="auto" w:fill="000000"/>
            <w:hideMark/>
          </w:tcPr>
          <w:p w14:paraId="7220792D" w14:textId="77777777" w:rsidR="00C36AF5" w:rsidRPr="00A21682" w:rsidRDefault="00C36AF5" w:rsidP="002C232B">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Step # </w:t>
            </w:r>
          </w:p>
        </w:tc>
        <w:tc>
          <w:tcPr>
            <w:tcW w:w="965" w:type="pct"/>
            <w:tcBorders>
              <w:left w:val="single" w:sz="4" w:space="0" w:color="FFFFFF" w:themeColor="background1"/>
              <w:right w:val="single" w:sz="4" w:space="0" w:color="FFFFFF" w:themeColor="background1"/>
            </w:tcBorders>
            <w:shd w:val="clear" w:color="auto" w:fill="000000"/>
            <w:hideMark/>
          </w:tcPr>
          <w:p w14:paraId="62D5BB0A" w14:textId="77777777" w:rsidR="00C36AF5" w:rsidRPr="00A21682" w:rsidRDefault="00C36AF5" w:rsidP="002C232B">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Process Step </w:t>
            </w:r>
          </w:p>
        </w:tc>
        <w:tc>
          <w:tcPr>
            <w:tcW w:w="1880" w:type="pct"/>
            <w:tcBorders>
              <w:left w:val="single" w:sz="4" w:space="0" w:color="FFFFFF" w:themeColor="background1"/>
              <w:right w:val="single" w:sz="4" w:space="0" w:color="FFFFFF" w:themeColor="background1"/>
            </w:tcBorders>
            <w:shd w:val="clear" w:color="auto" w:fill="000000"/>
            <w:hideMark/>
          </w:tcPr>
          <w:p w14:paraId="3C756D0A" w14:textId="77777777" w:rsidR="00C36AF5" w:rsidRPr="00A21682" w:rsidRDefault="00C36AF5" w:rsidP="002C232B">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Description </w:t>
            </w:r>
          </w:p>
        </w:tc>
        <w:tc>
          <w:tcPr>
            <w:tcW w:w="1777" w:type="pct"/>
            <w:tcBorders>
              <w:left w:val="single" w:sz="4" w:space="0" w:color="FFFFFF" w:themeColor="background1"/>
            </w:tcBorders>
            <w:shd w:val="clear" w:color="auto" w:fill="000000"/>
            <w:hideMark/>
          </w:tcPr>
          <w:p w14:paraId="7FE4DC84" w14:textId="77777777" w:rsidR="00C36AF5" w:rsidRPr="00A21682" w:rsidRDefault="00C36AF5" w:rsidP="002C232B">
            <w:pPr>
              <w:spacing w:before="60" w:after="60"/>
              <w:ind w:left="115" w:right="115"/>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Stakeholder Group(s) </w:t>
            </w:r>
          </w:p>
        </w:tc>
      </w:tr>
      <w:tr w:rsidR="00C36AF5" w:rsidRPr="00A21682" w14:paraId="3AF1D00C" w14:textId="77777777" w:rsidTr="00900D8D">
        <w:trPr>
          <w:trHeight w:val="15"/>
        </w:trPr>
        <w:tc>
          <w:tcPr>
            <w:tcW w:w="378" w:type="pct"/>
            <w:hideMark/>
          </w:tcPr>
          <w:p w14:paraId="564A10FD"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1 </w:t>
            </w:r>
          </w:p>
        </w:tc>
        <w:tc>
          <w:tcPr>
            <w:tcW w:w="965" w:type="pct"/>
            <w:hideMark/>
          </w:tcPr>
          <w:p w14:paraId="727A946C"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For Approval </w:t>
            </w:r>
          </w:p>
        </w:tc>
        <w:tc>
          <w:tcPr>
            <w:tcW w:w="1880" w:type="pct"/>
            <w:hideMark/>
          </w:tcPr>
          <w:p w14:paraId="639CDD42" w14:textId="4D67EF3B" w:rsidR="00C36AF5" w:rsidRPr="00A21682" w:rsidRDefault="00517AD2"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DOH OHIP Leadership will review the transmittal letter developed by MECM QA. Once the review has been completed, DOH OHIP Leadership will either approve or reject the letter. </w:t>
            </w:r>
          </w:p>
        </w:tc>
        <w:tc>
          <w:tcPr>
            <w:tcW w:w="1777" w:type="pct"/>
            <w:hideMark/>
          </w:tcPr>
          <w:p w14:paraId="13E107B8" w14:textId="6D6383FA" w:rsidR="00C36AF5" w:rsidRPr="00A21682" w:rsidRDefault="003332CA" w:rsidP="00900D8D">
            <w:pPr>
              <w:pStyle w:val="TABLEBULLETNEW"/>
            </w:pPr>
            <w:r>
              <w:t>DOH OHIP Leadership </w:t>
            </w:r>
          </w:p>
        </w:tc>
      </w:tr>
      <w:tr w:rsidR="00C36AF5" w:rsidRPr="00A21682" w14:paraId="1E542B71" w14:textId="77777777" w:rsidTr="00900D8D">
        <w:trPr>
          <w:trHeight w:val="15"/>
        </w:trPr>
        <w:tc>
          <w:tcPr>
            <w:tcW w:w="378" w:type="pct"/>
            <w:hideMark/>
          </w:tcPr>
          <w:p w14:paraId="69C72AA8"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2 </w:t>
            </w:r>
          </w:p>
        </w:tc>
        <w:tc>
          <w:tcPr>
            <w:tcW w:w="965" w:type="pct"/>
            <w:hideMark/>
          </w:tcPr>
          <w:p w14:paraId="18BC681E"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Decision to Approve or Reject </w:t>
            </w:r>
          </w:p>
        </w:tc>
        <w:tc>
          <w:tcPr>
            <w:tcW w:w="1880" w:type="pct"/>
            <w:hideMark/>
          </w:tcPr>
          <w:p w14:paraId="7B22F6CF" w14:textId="69AA5CA8" w:rsidR="00287E21" w:rsidRPr="00A21682" w:rsidRDefault="00861379" w:rsidP="002C232B">
            <w:pPr>
              <w:spacing w:before="60" w:after="60"/>
              <w:ind w:left="115" w:right="115"/>
              <w:textAlignment w:val="baseline"/>
              <w:rPr>
                <w:rFonts w:ascii="Verdana" w:eastAsia="Times New Roman" w:hAnsi="Verdana" w:cs="Times New Roman"/>
                <w:sz w:val="18"/>
                <w:szCs w:val="18"/>
              </w:rPr>
            </w:pPr>
            <w:r>
              <w:rPr>
                <w:rFonts w:ascii="Verdana" w:eastAsia="Times New Roman" w:hAnsi="Verdana" w:cs="Times New Roman"/>
                <w:sz w:val="18"/>
                <w:szCs w:val="18"/>
              </w:rPr>
              <w:t>DOH OHIP Leadership will approve or reject the draft response letter as written. </w:t>
            </w:r>
          </w:p>
          <w:p w14:paraId="5C16F0E4" w14:textId="39DA3396" w:rsidR="00002499" w:rsidRPr="00791872" w:rsidRDefault="00C36AF5" w:rsidP="00900D8D">
            <w:pPr>
              <w:pStyle w:val="TABLEBULLETNEW"/>
              <w:rPr>
                <w:rFonts w:ascii="Times New Roman" w:hAnsi="Times New Roman"/>
                <w:i/>
                <w:sz w:val="24"/>
                <w:szCs w:val="24"/>
              </w:rPr>
            </w:pPr>
            <w:r>
              <w:t xml:space="preserve">If DOH OHIP Leadership rejects the letter, proceed to </w:t>
            </w:r>
            <w:r>
              <w:rPr>
                <w:i/>
              </w:rPr>
              <w:t>Step #2.1 Update Letter based on Feedback and Resend for Review</w:t>
            </w:r>
          </w:p>
          <w:p w14:paraId="4DE48482" w14:textId="4FCD840E" w:rsidR="00C36AF5" w:rsidRPr="00A21682" w:rsidRDefault="00C36AF5" w:rsidP="00900D8D">
            <w:pPr>
              <w:pStyle w:val="TABLEBULLETNEW"/>
              <w:rPr>
                <w:rFonts w:ascii="Times New Roman" w:hAnsi="Times New Roman"/>
                <w:sz w:val="24"/>
                <w:szCs w:val="24"/>
              </w:rPr>
            </w:pPr>
            <w:r>
              <w:t xml:space="preserve">If DOH OHIP Leadership approves the letter, proceed to </w:t>
            </w:r>
            <w:r>
              <w:rPr>
                <w:i/>
              </w:rPr>
              <w:t xml:space="preserve">Step #3 </w:t>
            </w:r>
            <w:r>
              <w:rPr>
                <w:i/>
              </w:rPr>
              <w:lastRenderedPageBreak/>
              <w:t>Assign Transmittal Number and add to Tracker</w:t>
            </w:r>
            <w:r>
              <w:t xml:space="preserve"> </w:t>
            </w:r>
          </w:p>
        </w:tc>
        <w:tc>
          <w:tcPr>
            <w:tcW w:w="1777" w:type="pct"/>
            <w:hideMark/>
          </w:tcPr>
          <w:p w14:paraId="52BC56A0" w14:textId="050D72C6" w:rsidR="00C36AF5" w:rsidRPr="00A21682" w:rsidRDefault="00C36AF5" w:rsidP="00900D8D">
            <w:pPr>
              <w:pStyle w:val="TABLEBULLETNEW"/>
            </w:pPr>
            <w:r>
              <w:lastRenderedPageBreak/>
              <w:t xml:space="preserve">DOS Leadership </w:t>
            </w:r>
          </w:p>
        </w:tc>
      </w:tr>
      <w:tr w:rsidR="00C36AF5" w:rsidRPr="00A21682" w14:paraId="4314D6DD" w14:textId="77777777" w:rsidTr="00900D8D">
        <w:trPr>
          <w:trHeight w:val="15"/>
        </w:trPr>
        <w:tc>
          <w:tcPr>
            <w:tcW w:w="378" w:type="pct"/>
            <w:hideMark/>
          </w:tcPr>
          <w:p w14:paraId="1E13566F"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2.1 </w:t>
            </w:r>
          </w:p>
        </w:tc>
        <w:tc>
          <w:tcPr>
            <w:tcW w:w="965" w:type="pct"/>
            <w:hideMark/>
          </w:tcPr>
          <w:p w14:paraId="66E7A5A1"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Updated Letter Based on Feedback and Resend for Review </w:t>
            </w:r>
          </w:p>
        </w:tc>
        <w:tc>
          <w:tcPr>
            <w:tcW w:w="1880" w:type="pct"/>
            <w:hideMark/>
          </w:tcPr>
          <w:p w14:paraId="5FCA125D" w14:textId="38E88EB5"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MECM QA will update the letter based on feedback provided by </w:t>
            </w:r>
            <w:r>
              <w:rPr>
                <w:rFonts w:ascii="Verdana" w:hAnsi="Verdana" w:cs="Times New Roman"/>
                <w:sz w:val="18"/>
                <w:szCs w:val="18"/>
              </w:rPr>
              <w:t xml:space="preserve">DOH OHIP </w:t>
            </w:r>
            <w:r>
              <w:rPr>
                <w:rFonts w:ascii="Verdana" w:eastAsia="Times New Roman" w:hAnsi="Verdana" w:cs="Times New Roman"/>
                <w:sz w:val="18"/>
                <w:szCs w:val="18"/>
              </w:rPr>
              <w:t xml:space="preserve">Leadership. Once the edits are completed, proceed to </w:t>
            </w:r>
            <w:r>
              <w:rPr>
                <w:rFonts w:ascii="Verdana" w:eastAsia="Times New Roman" w:hAnsi="Verdana" w:cs="Times New Roman"/>
                <w:i/>
                <w:iCs/>
                <w:sz w:val="18"/>
                <w:szCs w:val="18"/>
              </w:rPr>
              <w:t>Step #2 Decision to Approve or Reject</w:t>
            </w:r>
            <w:r>
              <w:rPr>
                <w:rFonts w:ascii="Verdana" w:eastAsia="Times New Roman" w:hAnsi="Verdana" w:cs="Times New Roman"/>
                <w:sz w:val="18"/>
                <w:szCs w:val="18"/>
              </w:rPr>
              <w:t xml:space="preserve">. </w:t>
            </w:r>
          </w:p>
        </w:tc>
        <w:tc>
          <w:tcPr>
            <w:tcW w:w="1777" w:type="pct"/>
            <w:hideMark/>
          </w:tcPr>
          <w:p w14:paraId="662F63CF" w14:textId="77777777" w:rsidR="00C36AF5" w:rsidRPr="00A21682" w:rsidRDefault="00C36AF5" w:rsidP="00900D8D">
            <w:pPr>
              <w:pStyle w:val="TABLEBULLETNEW"/>
            </w:pPr>
            <w:r>
              <w:t>MECM QA </w:t>
            </w:r>
          </w:p>
        </w:tc>
      </w:tr>
      <w:tr w:rsidR="00C36AF5" w:rsidRPr="00A21682" w14:paraId="66065462" w14:textId="77777777" w:rsidTr="00900D8D">
        <w:trPr>
          <w:trHeight w:val="15"/>
        </w:trPr>
        <w:tc>
          <w:tcPr>
            <w:tcW w:w="378" w:type="pct"/>
            <w:hideMark/>
          </w:tcPr>
          <w:p w14:paraId="1183ADE3"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3 </w:t>
            </w:r>
          </w:p>
        </w:tc>
        <w:tc>
          <w:tcPr>
            <w:tcW w:w="965" w:type="pct"/>
            <w:hideMark/>
          </w:tcPr>
          <w:p w14:paraId="03B28987"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Assign Transmittal Number and Add to Tracker </w:t>
            </w:r>
          </w:p>
        </w:tc>
        <w:tc>
          <w:tcPr>
            <w:tcW w:w="1880" w:type="pct"/>
            <w:hideMark/>
          </w:tcPr>
          <w:p w14:paraId="7352AC06" w14:textId="3AAA7945"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After the letter has been approved, MECM QA will assign the transmittal letter a transmittal number and add the transmittal letter to the Transmittal Tracker Spreadsheet.  </w:t>
            </w:r>
          </w:p>
        </w:tc>
        <w:tc>
          <w:tcPr>
            <w:tcW w:w="1777" w:type="pct"/>
            <w:hideMark/>
          </w:tcPr>
          <w:p w14:paraId="459E53EC" w14:textId="77777777" w:rsidR="00C36AF5" w:rsidRPr="00A21682" w:rsidRDefault="00C36AF5" w:rsidP="00900D8D">
            <w:pPr>
              <w:pStyle w:val="TABLEBULLETNEW"/>
            </w:pPr>
            <w:r>
              <w:t>MECM QA </w:t>
            </w:r>
          </w:p>
        </w:tc>
      </w:tr>
      <w:tr w:rsidR="00C36AF5" w:rsidRPr="00A21682" w14:paraId="234BEBD2" w14:textId="77777777" w:rsidTr="00900D8D">
        <w:trPr>
          <w:trHeight w:val="15"/>
        </w:trPr>
        <w:tc>
          <w:tcPr>
            <w:tcW w:w="378" w:type="pct"/>
            <w:hideMark/>
          </w:tcPr>
          <w:p w14:paraId="1BE010AA"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4 </w:t>
            </w:r>
          </w:p>
        </w:tc>
        <w:tc>
          <w:tcPr>
            <w:tcW w:w="965" w:type="pct"/>
            <w:hideMark/>
          </w:tcPr>
          <w:p w14:paraId="7DEC1428"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Upload to SharePoint Site Transmittal Folder </w:t>
            </w:r>
          </w:p>
        </w:tc>
        <w:tc>
          <w:tcPr>
            <w:tcW w:w="1880" w:type="pct"/>
            <w:hideMark/>
          </w:tcPr>
          <w:p w14:paraId="64CE50E5" w14:textId="1326E6C5"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MECM QA will then upload the completed transmittal letter to the Transmittal Repository on the DOH SharePoint site. </w:t>
            </w:r>
          </w:p>
        </w:tc>
        <w:tc>
          <w:tcPr>
            <w:tcW w:w="1777" w:type="pct"/>
            <w:hideMark/>
          </w:tcPr>
          <w:p w14:paraId="5A023F86" w14:textId="77777777" w:rsidR="00C36AF5" w:rsidRPr="00A21682" w:rsidRDefault="00C36AF5" w:rsidP="00900D8D">
            <w:pPr>
              <w:pStyle w:val="TABLEBULLETNEW"/>
            </w:pPr>
            <w:r>
              <w:t>MECM QA </w:t>
            </w:r>
          </w:p>
        </w:tc>
      </w:tr>
      <w:tr w:rsidR="00C36AF5" w:rsidRPr="00A21682" w14:paraId="2A06554C" w14:textId="77777777" w:rsidTr="00900D8D">
        <w:trPr>
          <w:trHeight w:val="15"/>
        </w:trPr>
        <w:tc>
          <w:tcPr>
            <w:tcW w:w="378" w:type="pct"/>
            <w:hideMark/>
          </w:tcPr>
          <w:p w14:paraId="32A29F99"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5 </w:t>
            </w:r>
          </w:p>
        </w:tc>
        <w:tc>
          <w:tcPr>
            <w:tcW w:w="965" w:type="pct"/>
            <w:hideMark/>
          </w:tcPr>
          <w:p w14:paraId="23D16EED"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Send to Vendor </w:t>
            </w:r>
          </w:p>
        </w:tc>
        <w:tc>
          <w:tcPr>
            <w:tcW w:w="1880" w:type="pct"/>
            <w:hideMark/>
          </w:tcPr>
          <w:p w14:paraId="3499325F" w14:textId="77777777" w:rsidR="00C36AF5" w:rsidRPr="00A21682" w:rsidRDefault="00C36AF5" w:rsidP="002C232B">
            <w:pPr>
              <w:spacing w:before="60" w:after="60"/>
              <w:ind w:left="115" w:right="115"/>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MECM QA will then send the completed transmittal to the vendor. </w:t>
            </w:r>
          </w:p>
        </w:tc>
        <w:tc>
          <w:tcPr>
            <w:tcW w:w="1777" w:type="pct"/>
            <w:hideMark/>
          </w:tcPr>
          <w:p w14:paraId="742E29CB" w14:textId="77777777" w:rsidR="00C36AF5" w:rsidRPr="00A21682" w:rsidRDefault="00C36AF5" w:rsidP="00900D8D">
            <w:pPr>
              <w:pStyle w:val="TABLEBULLETNEW"/>
            </w:pPr>
            <w:r>
              <w:t>MECM QA </w:t>
            </w:r>
          </w:p>
        </w:tc>
      </w:tr>
    </w:tbl>
    <w:p w14:paraId="04BCF33B" w14:textId="2FE1AAEF" w:rsidR="00416EAD" w:rsidRPr="00A21682" w:rsidRDefault="00B13682" w:rsidP="00CF62B8">
      <w:pPr>
        <w:pStyle w:val="Caption"/>
        <w:rPr>
          <w:noProof w:val="0"/>
        </w:rPr>
      </w:pPr>
      <w:bookmarkStart w:id="3513" w:name="_Toc19287519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r>
        <w:rPr>
          <w:noProof w:val="0"/>
        </w:rPr>
        <w:t>: MECM Transmittal Process - Outbound Flow Narrative</w:t>
      </w:r>
      <w:bookmarkEnd w:id="3513"/>
    </w:p>
    <w:p w14:paraId="65B76B92" w14:textId="50C21F56" w:rsidR="00EF07D2" w:rsidRPr="00A21682" w:rsidRDefault="00E92E9B" w:rsidP="00084F77">
      <w:pPr>
        <w:pStyle w:val="Heading3"/>
      </w:pPr>
      <w:bookmarkStart w:id="3514" w:name="_Toc177119489"/>
      <w:bookmarkStart w:id="3515" w:name="_Toc185952787"/>
      <w:bookmarkStart w:id="3516" w:name="_Toc192874901"/>
      <w:r>
        <w:t>Components of DED/Deliverable Quality Reviews</w:t>
      </w:r>
      <w:bookmarkEnd w:id="3514"/>
      <w:bookmarkEnd w:id="3515"/>
      <w:bookmarkEnd w:id="3516"/>
    </w:p>
    <w:p w14:paraId="2B5E1BAC" w14:textId="57C6D46F" w:rsidR="00AB0EC4" w:rsidRPr="00A21682" w:rsidRDefault="00AB0EC4" w:rsidP="00952D86">
      <w:pPr>
        <w:pStyle w:val="NormalNEW"/>
        <w:rPr>
          <w:lang w:val="en-US"/>
        </w:rPr>
      </w:pPr>
      <w:r>
        <w:rPr>
          <w:lang w:val="en-US"/>
        </w:rPr>
        <w:t>Table 7-6 lists key elements that a reviewer verifies when conducting a review of a given deliverable/DED. These checks must be verified in addition to all the items listed in the Deliverable Checklist outlined in Appendix E: DED/Deliverable Quality Checklists of this document.</w:t>
      </w:r>
    </w:p>
    <w:tbl>
      <w:tblPr>
        <w:tblStyle w:val="TableGrid13"/>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2335"/>
        <w:gridCol w:w="7020"/>
      </w:tblGrid>
      <w:tr w:rsidR="00AB0EC4" w:rsidRPr="00A21682" w14:paraId="251FBC12" w14:textId="77777777" w:rsidTr="00C91FE0">
        <w:trPr>
          <w:cnfStyle w:val="100000000000" w:firstRow="1" w:lastRow="0" w:firstColumn="0" w:lastColumn="0" w:oddVBand="0" w:evenVBand="0" w:oddHBand="0" w:evenHBand="0" w:firstRowFirstColumn="0" w:firstRowLastColumn="0" w:lastRowFirstColumn="0" w:lastRowLastColumn="0"/>
          <w:cantSplit/>
          <w:trHeight w:val="20"/>
          <w:tblHeader/>
        </w:trPr>
        <w:tc>
          <w:tcPr>
            <w:tcW w:w="2335" w:type="dxa"/>
            <w:tcBorders>
              <w:right w:val="single" w:sz="2" w:space="0" w:color="FFFFFF" w:themeColor="background1"/>
            </w:tcBorders>
          </w:tcPr>
          <w:p w14:paraId="54586715" w14:textId="06868CC7" w:rsidR="00AB0EC4" w:rsidRPr="00A21682" w:rsidRDefault="00AB0EC4" w:rsidP="00952D86">
            <w:pPr>
              <w:pStyle w:val="TABLEHEADINGNEW"/>
              <w:jc w:val="left"/>
              <w:rPr>
                <w:rFonts w:eastAsia="Calibri"/>
                <w:b/>
              </w:rPr>
            </w:pPr>
            <w:r>
              <w:rPr>
                <w:rFonts w:eastAsia="Calibri"/>
                <w:b/>
              </w:rPr>
              <w:t>Action</w:t>
            </w:r>
          </w:p>
        </w:tc>
        <w:tc>
          <w:tcPr>
            <w:tcW w:w="7020" w:type="dxa"/>
            <w:tcBorders>
              <w:left w:val="single" w:sz="2" w:space="0" w:color="FFFFFF" w:themeColor="background1"/>
            </w:tcBorders>
          </w:tcPr>
          <w:p w14:paraId="5E77630C" w14:textId="77777777" w:rsidR="00AB0EC4" w:rsidRPr="00A21682" w:rsidRDefault="00AB0EC4" w:rsidP="00952D86">
            <w:pPr>
              <w:pStyle w:val="TABLEHEADINGNEW"/>
              <w:jc w:val="left"/>
              <w:rPr>
                <w:rFonts w:eastAsia="Calibri"/>
                <w:b/>
              </w:rPr>
            </w:pPr>
            <w:r>
              <w:rPr>
                <w:rFonts w:eastAsia="Calibri"/>
                <w:b/>
              </w:rPr>
              <w:t>Description</w:t>
            </w:r>
          </w:p>
        </w:tc>
      </w:tr>
      <w:tr w:rsidR="00AB0EC4" w:rsidRPr="00A21682" w14:paraId="06753924" w14:textId="77777777" w:rsidTr="00047C4E">
        <w:trPr>
          <w:cantSplit/>
          <w:trHeight w:val="20"/>
        </w:trPr>
        <w:tc>
          <w:tcPr>
            <w:tcW w:w="2335" w:type="dxa"/>
          </w:tcPr>
          <w:p w14:paraId="4D7EC9EB"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content aligns with contract</w:t>
            </w:r>
          </w:p>
        </w:tc>
        <w:tc>
          <w:tcPr>
            <w:tcW w:w="7020" w:type="dxa"/>
          </w:tcPr>
          <w:p w14:paraId="14150BDF" w14:textId="3B7F02ED" w:rsidR="00AB0EC4" w:rsidRPr="00A21682" w:rsidRDefault="00AB0EC4" w:rsidP="00084F77">
            <w:pPr>
              <w:pStyle w:val="TABLETEXT1"/>
              <w:spacing w:line="240" w:lineRule="auto"/>
              <w:rPr>
                <w:u w:color="000000" w:themeColor="text1"/>
                <w:lang w:val="en-US"/>
              </w:rPr>
            </w:pPr>
            <w:r>
              <w:rPr>
                <w:u w:color="000000" w:themeColor="text1"/>
                <w:lang w:val="en-US"/>
              </w:rPr>
              <w:t>Verify that the content of a deliverable satisfies the requirements in the MSO) and the ISOW</w:t>
            </w:r>
          </w:p>
        </w:tc>
      </w:tr>
      <w:tr w:rsidR="00AB0EC4" w:rsidRPr="00A21682" w14:paraId="608711DC" w14:textId="77777777" w:rsidTr="00047C4E">
        <w:trPr>
          <w:cantSplit/>
          <w:trHeight w:val="20"/>
        </w:trPr>
        <w:tc>
          <w:tcPr>
            <w:tcW w:w="2335" w:type="dxa"/>
          </w:tcPr>
          <w:p w14:paraId="5A1DC65C"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content aligns with DED</w:t>
            </w:r>
          </w:p>
        </w:tc>
        <w:tc>
          <w:tcPr>
            <w:tcW w:w="7020" w:type="dxa"/>
          </w:tcPr>
          <w:p w14:paraId="434F9EAC"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that the content of a deliverable aligns with the respective DED</w:t>
            </w:r>
          </w:p>
        </w:tc>
      </w:tr>
      <w:tr w:rsidR="00AB0EC4" w:rsidRPr="00A21682" w14:paraId="4C127272" w14:textId="77777777" w:rsidTr="00047C4E">
        <w:trPr>
          <w:cantSplit/>
          <w:trHeight w:val="20"/>
        </w:trPr>
        <w:tc>
          <w:tcPr>
            <w:tcW w:w="2335" w:type="dxa"/>
          </w:tcPr>
          <w:p w14:paraId="38C51BE9"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content complete</w:t>
            </w:r>
          </w:p>
        </w:tc>
        <w:tc>
          <w:tcPr>
            <w:tcW w:w="7020" w:type="dxa"/>
          </w:tcPr>
          <w:p w14:paraId="7CCC7E33"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the completeness of the deliverable content</w:t>
            </w:r>
          </w:p>
        </w:tc>
      </w:tr>
      <w:tr w:rsidR="00AB0EC4" w:rsidRPr="00A21682" w14:paraId="1C170ADC" w14:textId="77777777" w:rsidTr="00047C4E">
        <w:trPr>
          <w:cantSplit/>
          <w:trHeight w:val="20"/>
        </w:trPr>
        <w:tc>
          <w:tcPr>
            <w:tcW w:w="2335" w:type="dxa"/>
          </w:tcPr>
          <w:p w14:paraId="7ABD6C6E"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project standards</w:t>
            </w:r>
          </w:p>
        </w:tc>
        <w:tc>
          <w:tcPr>
            <w:tcW w:w="7020" w:type="dxa"/>
          </w:tcPr>
          <w:p w14:paraId="4FF5C32D" w14:textId="77777777" w:rsidR="00AB0EC4" w:rsidRPr="00A21682" w:rsidRDefault="00AB0EC4" w:rsidP="00084F77">
            <w:pPr>
              <w:pStyle w:val="TABLETEXT1"/>
              <w:spacing w:line="240" w:lineRule="auto"/>
              <w:rPr>
                <w:u w:color="000000" w:themeColor="text1"/>
                <w:lang w:val="en-US"/>
              </w:rPr>
            </w:pPr>
            <w:r>
              <w:rPr>
                <w:u w:color="000000" w:themeColor="text1"/>
                <w:lang w:val="en-US"/>
              </w:rPr>
              <w:t>Verify that a deliverable meets project standards (for example, using the right template), as well as any deliverable-specific or custom requirements. Additionally, verifying that it meets the following project standards for:</w:t>
            </w:r>
          </w:p>
          <w:p w14:paraId="224D8212" w14:textId="77777777" w:rsidR="00AB0EC4" w:rsidRPr="00A21682" w:rsidRDefault="00AB0EC4" w:rsidP="00CA1375">
            <w:pPr>
              <w:pStyle w:val="TABLEBULLETNEW"/>
            </w:pPr>
            <w:r>
              <w:t>Professional appearance</w:t>
            </w:r>
          </w:p>
          <w:p w14:paraId="1283B586" w14:textId="77777777" w:rsidR="00AB0EC4" w:rsidRPr="00A21682" w:rsidRDefault="00AB0EC4" w:rsidP="00CA1375">
            <w:pPr>
              <w:pStyle w:val="TABLEBULLETNEW"/>
            </w:pPr>
            <w:r>
              <w:t>Appropriate terms for reader(s)</w:t>
            </w:r>
          </w:p>
          <w:p w14:paraId="61D78602" w14:textId="77777777" w:rsidR="00AB0EC4" w:rsidRPr="00A21682" w:rsidRDefault="00AB0EC4" w:rsidP="00CA1375">
            <w:pPr>
              <w:pStyle w:val="TABLEBULLETNEW"/>
            </w:pPr>
            <w:r>
              <w:t>Clarity and consistency</w:t>
            </w:r>
          </w:p>
          <w:p w14:paraId="243CDAA3" w14:textId="77777777" w:rsidR="00AB0EC4" w:rsidRPr="00A21682" w:rsidRDefault="00AB0EC4" w:rsidP="00CA1375">
            <w:pPr>
              <w:pStyle w:val="TABLEBULLETNEW"/>
            </w:pPr>
            <w:r>
              <w:t>Organization</w:t>
            </w:r>
          </w:p>
          <w:p w14:paraId="4D9C65DF" w14:textId="77777777" w:rsidR="00AB0EC4" w:rsidRPr="00A21682" w:rsidRDefault="00AB0EC4" w:rsidP="00CA1375">
            <w:pPr>
              <w:pStyle w:val="TABLEBULLETNEW"/>
            </w:pPr>
            <w:r>
              <w:t>Readability</w:t>
            </w:r>
          </w:p>
          <w:p w14:paraId="03FD00DF" w14:textId="77777777" w:rsidR="00AB0EC4" w:rsidRPr="00A21682" w:rsidRDefault="00AB0EC4" w:rsidP="00CA1375">
            <w:pPr>
              <w:pStyle w:val="TABLEBULLETNEW"/>
            </w:pPr>
            <w:r>
              <w:t>Spelling, grammar, punctuation, and pagination</w:t>
            </w:r>
          </w:p>
        </w:tc>
      </w:tr>
    </w:tbl>
    <w:p w14:paraId="2BB57DA1" w14:textId="3B8F2328" w:rsidR="00CF62B8" w:rsidRPr="00A21682" w:rsidRDefault="00CF62B8">
      <w:pPr>
        <w:pStyle w:val="Caption"/>
        <w:rPr>
          <w:noProof w:val="0"/>
        </w:rPr>
      </w:pPr>
      <w:bookmarkStart w:id="3517" w:name="_Toc192875194"/>
      <w:bookmarkStart w:id="3518" w:name="_Toc15327813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6</w:t>
      </w:r>
      <w:r>
        <w:rPr>
          <w:noProof w:val="0"/>
        </w:rPr>
        <w:fldChar w:fldCharType="end"/>
      </w:r>
      <w:r>
        <w:rPr>
          <w:noProof w:val="0"/>
        </w:rPr>
        <w:t>: Deliverable Review Process Components</w:t>
      </w:r>
      <w:bookmarkEnd w:id="3517"/>
    </w:p>
    <w:p w14:paraId="49B066AA" w14:textId="32D9C004" w:rsidR="00AB0EC4" w:rsidRPr="00A21682" w:rsidRDefault="00AB0EC4" w:rsidP="00084F77">
      <w:pPr>
        <w:pStyle w:val="Heading3"/>
      </w:pPr>
      <w:bookmarkStart w:id="3519" w:name="_Toc143601267"/>
      <w:bookmarkStart w:id="3520" w:name="_Toc153278095"/>
      <w:bookmarkStart w:id="3521" w:name="_Toc177119490"/>
      <w:bookmarkStart w:id="3522" w:name="_Toc185952788"/>
      <w:bookmarkStart w:id="3523" w:name="_Toc192874902"/>
      <w:bookmarkEnd w:id="3518"/>
      <w:r>
        <w:lastRenderedPageBreak/>
        <w:t>Approval Process</w:t>
      </w:r>
      <w:bookmarkEnd w:id="3519"/>
      <w:bookmarkEnd w:id="3520"/>
      <w:bookmarkEnd w:id="3521"/>
      <w:bookmarkEnd w:id="3522"/>
      <w:bookmarkEnd w:id="3523"/>
    </w:p>
    <w:p w14:paraId="0F5F66EC" w14:textId="76F3E6FC" w:rsidR="00AB0EC4" w:rsidRPr="00A21682" w:rsidRDefault="00C9463F" w:rsidP="00362090">
      <w:pPr>
        <w:pStyle w:val="NormalNEW"/>
        <w:rPr>
          <w:lang w:val="en-US"/>
        </w:rPr>
      </w:pPr>
      <w:r>
        <w:rPr>
          <w:lang w:val="en-US"/>
        </w:rPr>
        <w:t xml:space="preserve">The DOS PMO oversees the final review and disposition of DEDs/Deliverables via the transmittal process. ███████ submits a formal transmittal of the finalized deliverable. Upon review, the DOS PMO provides approval to ███████ via the transmittal process. If the DED/Deliverable is approved, it is posted to the DOH SharePoint site. </w:t>
      </w:r>
    </w:p>
    <w:p w14:paraId="152303BB" w14:textId="090FD87C" w:rsidR="007F0274" w:rsidRPr="00A21682" w:rsidRDefault="00C9463F" w:rsidP="007F0274">
      <w:pPr>
        <w:pStyle w:val="NormalNEW"/>
        <w:rPr>
          <w:lang w:val="en-US"/>
        </w:rPr>
      </w:pPr>
      <w:r>
        <w:rPr>
          <w:lang w:val="en-US"/>
        </w:rPr>
        <w:t xml:space="preserve">The ███████ PMO emails the transmittal for a given DED/Deliverable to DOS PMO, then posts the document(s) in the DOH SharePoint. </w:t>
      </w:r>
    </w:p>
    <w:p w14:paraId="7B52ECE1" w14:textId="78CF9B94" w:rsidR="007F0274" w:rsidRPr="00A21682" w:rsidRDefault="007F0274" w:rsidP="007F0274">
      <w:pPr>
        <w:pStyle w:val="NormalNEW"/>
        <w:rPr>
          <w:lang w:val="en-US"/>
        </w:rPr>
      </w:pPr>
      <w:r>
        <w:rPr>
          <w:lang w:val="en-US"/>
        </w:rPr>
        <w:t xml:space="preserve">The review period to determine the disposition of the transmittal begins the next business day after the transmittal submission date. The review period for the transmittal is indicated within the transmittal email. During the designated review period, the DOS PMO reviews and documents feedback within a comments matrix. The DOS PMO coordinates, manages, and monitors the review as well as acts as a central body for consolidating comments from DOH OHIP staff. </w:t>
      </w:r>
    </w:p>
    <w:p w14:paraId="37566CAC" w14:textId="2C13A22C" w:rsidR="007F0274" w:rsidRPr="00A21682" w:rsidRDefault="00C9463F" w:rsidP="007F0274">
      <w:pPr>
        <w:pStyle w:val="NormalNEW"/>
        <w:rPr>
          <w:lang w:val="en-US"/>
        </w:rPr>
      </w:pPr>
      <w:r>
        <w:rPr>
          <w:lang w:val="en-US"/>
        </w:rPr>
        <w:t>The DOS PMO oversees the final review and approval, or notice of rejection, via transmittal. The transmittal consists of the following statuses for final decision/disposition of a given DED/Deliverable:</w:t>
      </w:r>
    </w:p>
    <w:p w14:paraId="0993E2EC" w14:textId="77777777" w:rsidR="007F0274" w:rsidRPr="00A21682" w:rsidRDefault="007F0274" w:rsidP="0031550A">
      <w:pPr>
        <w:pStyle w:val="BulletNEW"/>
      </w:pPr>
      <w:r>
        <w:t>Approved</w:t>
      </w:r>
    </w:p>
    <w:p w14:paraId="09752272" w14:textId="77777777" w:rsidR="007F0274" w:rsidRPr="00A21682" w:rsidRDefault="007F0274" w:rsidP="0031550A">
      <w:pPr>
        <w:pStyle w:val="BulletNEW"/>
      </w:pPr>
      <w:r>
        <w:t>Approved with Comments</w:t>
      </w:r>
    </w:p>
    <w:p w14:paraId="1309E00D" w14:textId="097A3F3B" w:rsidR="007334F5" w:rsidRPr="00A21682" w:rsidRDefault="007334F5" w:rsidP="0031550A">
      <w:pPr>
        <w:pStyle w:val="BulletNEW"/>
      </w:pPr>
      <w:r>
        <w:t>Rejected</w:t>
      </w:r>
    </w:p>
    <w:p w14:paraId="6DB7376B" w14:textId="64903F21" w:rsidR="007F0274" w:rsidRPr="00A21682" w:rsidRDefault="007334F5" w:rsidP="00424DE9">
      <w:pPr>
        <w:pStyle w:val="Heading4"/>
      </w:pPr>
      <w:bookmarkStart w:id="3524" w:name="_Toc177119491"/>
      <w:bookmarkStart w:id="3525" w:name="_Toc185952789"/>
      <w:bookmarkStart w:id="3526" w:name="_Toc192874903"/>
      <w:r>
        <w:t>Approved</w:t>
      </w:r>
      <w:bookmarkEnd w:id="3524"/>
      <w:bookmarkEnd w:id="3525"/>
      <w:bookmarkEnd w:id="3526"/>
    </w:p>
    <w:p w14:paraId="1D19EFC7" w14:textId="13054320" w:rsidR="007334F5" w:rsidRPr="00A21682" w:rsidRDefault="007F0274" w:rsidP="007F0274">
      <w:pPr>
        <w:pStyle w:val="NormalNEW"/>
        <w:rPr>
          <w:lang w:val="en-US"/>
        </w:rPr>
      </w:pPr>
      <w:r>
        <w:rPr>
          <w:lang w:val="en-US"/>
        </w:rPr>
        <w:t>If the deliverable is Approved, no further updates to the deliverable are required by ███████ or DOH OHIP. The DOS PMO stores the approved deliverable documentation within the designated location in DOH SharePoint.</w:t>
      </w:r>
    </w:p>
    <w:p w14:paraId="32DA9BEF" w14:textId="67B4B87A" w:rsidR="007F0274" w:rsidRPr="00A21682" w:rsidRDefault="007F0274" w:rsidP="00424DE9">
      <w:pPr>
        <w:pStyle w:val="Heading4"/>
      </w:pPr>
      <w:bookmarkStart w:id="3527" w:name="_Toc177119492"/>
      <w:bookmarkStart w:id="3528" w:name="_Toc185952790"/>
      <w:bookmarkStart w:id="3529" w:name="_Toc192874904"/>
      <w:r>
        <w:t>Approved with Comments</w:t>
      </w:r>
      <w:bookmarkEnd w:id="3527"/>
      <w:bookmarkEnd w:id="3528"/>
      <w:bookmarkEnd w:id="3529"/>
    </w:p>
    <w:p w14:paraId="45462FAB" w14:textId="77777777" w:rsidR="004B0F83" w:rsidRPr="00A21682" w:rsidRDefault="007F0274" w:rsidP="007F0274">
      <w:pPr>
        <w:pStyle w:val="NormalNEW"/>
        <w:rPr>
          <w:lang w:val="en-US"/>
        </w:rPr>
      </w:pPr>
      <w:r>
        <w:rPr>
          <w:lang w:val="en-US"/>
        </w:rPr>
        <w:t xml:space="preserve">If the Deliverable/DED is Approved with Comments, ███████ makes updates to the deliverable and resubmits it to the DOS PMO within 5 business days. Upon resubmission, the DOS PMO reviews the updates and confirms whether all of the comments have been sufficiently addressed. If so, the DOS PMO responds with approval via email (outside of the transmittal process). </w:t>
      </w:r>
    </w:p>
    <w:p w14:paraId="0CE48D43" w14:textId="2DAF9DD1" w:rsidR="007334F5" w:rsidRPr="00A21682" w:rsidRDefault="00C67827" w:rsidP="007F0274">
      <w:pPr>
        <w:pStyle w:val="NormalNEW"/>
        <w:rPr>
          <w:rFonts w:eastAsia="Calibri" w:cs="Arial Narrow"/>
          <w:color w:val="000000" w:themeColor="text1"/>
          <w:szCs w:val="18"/>
          <w:u w:color="000000" w:themeColor="text1"/>
          <w:lang w:val="en-US"/>
        </w:rPr>
      </w:pPr>
      <w:r>
        <w:rPr>
          <w:lang w:val="en-US"/>
        </w:rPr>
        <w:t>Note: This status is not applicable for Invoice transmittals.</w:t>
      </w:r>
    </w:p>
    <w:p w14:paraId="2614810A" w14:textId="1B160B19" w:rsidR="003C2258" w:rsidRPr="00A21682" w:rsidRDefault="003C2258" w:rsidP="00B214B7">
      <w:pPr>
        <w:pStyle w:val="Heading4"/>
      </w:pPr>
      <w:bookmarkStart w:id="3530" w:name="_Toc185952791"/>
      <w:bookmarkStart w:id="3531" w:name="_Toc192874905"/>
      <w:bookmarkStart w:id="3532" w:name="_Toc177119493"/>
      <w:bookmarkStart w:id="3533" w:name="_Toc143601269"/>
      <w:bookmarkStart w:id="3534" w:name="_Toc153278096"/>
      <w:r>
        <w:t>Rejected</w:t>
      </w:r>
      <w:bookmarkEnd w:id="3530"/>
      <w:bookmarkEnd w:id="3531"/>
      <w:r>
        <w:t xml:space="preserve"> </w:t>
      </w:r>
      <w:bookmarkEnd w:id="3532"/>
    </w:p>
    <w:p w14:paraId="05F24E74" w14:textId="7A69B076" w:rsidR="003C2258" w:rsidRPr="00A21682" w:rsidRDefault="003C2258" w:rsidP="003C2258">
      <w:pPr>
        <w:pStyle w:val="NormalNEW"/>
        <w:rPr>
          <w:lang w:val="en-US"/>
        </w:rPr>
      </w:pPr>
      <w:r>
        <w:rPr>
          <w:lang w:val="en-US"/>
        </w:rPr>
        <w:t xml:space="preserve">If the deliverable is Rejected, the DOS PMO and ███████ work together to determine the appropriate timeline for ███████ to modify/update the deliverable to meet acceptance criteria. Deliverable rejections are accompanied by a comments matrix identifying specific components of the deliverable that do not confirm with the deliverable acceptance criteria. </w:t>
      </w:r>
    </w:p>
    <w:p w14:paraId="3BB85AD5" w14:textId="0C61293D" w:rsidR="003C2258" w:rsidRPr="00A21682" w:rsidRDefault="003C2258" w:rsidP="003C2258">
      <w:pPr>
        <w:pStyle w:val="NormalNEW"/>
        <w:rPr>
          <w:lang w:val="en-US"/>
        </w:rPr>
      </w:pPr>
      <w:r>
        <w:rPr>
          <w:lang w:val="en-US"/>
        </w:rPr>
        <w:t xml:space="preserve">The cycle will continue until the DOS PMO provides an approval transmittal for the deliverable. If there are multiple cycles, it may be necessary to conduct a walkthrough of the deliverable to gain clarity on expectations for the deliverable and walk stakeholders through changes to gain consensus for resolution. Once consensus is reached, the transmittal process will be reinitiated. </w:t>
      </w:r>
    </w:p>
    <w:p w14:paraId="59FC1312" w14:textId="77777777" w:rsidR="00AB0EC4" w:rsidRPr="00A21682" w:rsidRDefault="00AB0EC4">
      <w:pPr>
        <w:pStyle w:val="Heading3"/>
      </w:pPr>
      <w:bookmarkStart w:id="3535" w:name="_Toc177119494"/>
      <w:bookmarkStart w:id="3536" w:name="_Toc185952792"/>
      <w:bookmarkStart w:id="3537" w:name="_Toc192874906"/>
      <w:r>
        <w:t>Quality Control Tools</w:t>
      </w:r>
      <w:bookmarkEnd w:id="3533"/>
      <w:bookmarkEnd w:id="3534"/>
      <w:bookmarkEnd w:id="3535"/>
      <w:bookmarkEnd w:id="3536"/>
      <w:bookmarkEnd w:id="3537"/>
    </w:p>
    <w:p w14:paraId="3674813E" w14:textId="77777777" w:rsidR="00AB0EC4" w:rsidRPr="00A21682" w:rsidRDefault="00AB0EC4" w:rsidP="00362090">
      <w:pPr>
        <w:pStyle w:val="NormalNEW"/>
        <w:rPr>
          <w:lang w:val="en-US"/>
        </w:rPr>
      </w:pPr>
      <w:r>
        <w:rPr>
          <w:lang w:val="en-US"/>
        </w:rPr>
        <w:t>The table below provides a summary of the tools that are utilized for the quality management process:</w:t>
      </w:r>
    </w:p>
    <w:tbl>
      <w:tblPr>
        <w:tblStyle w:val="TableGrid13"/>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805"/>
        <w:gridCol w:w="1712"/>
        <w:gridCol w:w="6833"/>
      </w:tblGrid>
      <w:tr w:rsidR="00AB0EC4" w:rsidRPr="00A21682" w14:paraId="6EAE2B27" w14:textId="77777777" w:rsidTr="00C91FE0">
        <w:trPr>
          <w:cnfStyle w:val="100000000000" w:firstRow="1" w:lastRow="0" w:firstColumn="0" w:lastColumn="0" w:oddVBand="0" w:evenVBand="0" w:oddHBand="0" w:evenHBand="0" w:firstRowFirstColumn="0" w:firstRowLastColumn="0" w:lastRowFirstColumn="0" w:lastRowLastColumn="0"/>
          <w:trHeight w:val="20"/>
          <w:tblHeader/>
        </w:trPr>
        <w:tc>
          <w:tcPr>
            <w:tcW w:w="805" w:type="dxa"/>
            <w:tcBorders>
              <w:right w:val="single" w:sz="2" w:space="0" w:color="FFFFFF" w:themeColor="background1"/>
            </w:tcBorders>
          </w:tcPr>
          <w:p w14:paraId="2E8EE9FC" w14:textId="77777777" w:rsidR="00AB0EC4" w:rsidRPr="00A21682" w:rsidRDefault="00AB0EC4" w:rsidP="00047C4E">
            <w:pPr>
              <w:pStyle w:val="TABLEHEADINGNEW"/>
              <w:jc w:val="left"/>
              <w:rPr>
                <w:b/>
              </w:rPr>
            </w:pPr>
            <w:r>
              <w:rPr>
                <w:b/>
              </w:rPr>
              <w:t>#</w:t>
            </w:r>
          </w:p>
        </w:tc>
        <w:tc>
          <w:tcPr>
            <w:tcW w:w="1712" w:type="dxa"/>
            <w:tcBorders>
              <w:left w:val="single" w:sz="2" w:space="0" w:color="FFFFFF" w:themeColor="background1"/>
              <w:right w:val="single" w:sz="2" w:space="0" w:color="FFFFFF" w:themeColor="background1"/>
            </w:tcBorders>
          </w:tcPr>
          <w:p w14:paraId="3BB346CF" w14:textId="77777777" w:rsidR="00AB0EC4" w:rsidRPr="00A21682" w:rsidRDefault="00AB0EC4" w:rsidP="00047C4E">
            <w:pPr>
              <w:pStyle w:val="TABLEHEADINGNEW"/>
              <w:jc w:val="left"/>
              <w:rPr>
                <w:b/>
              </w:rPr>
            </w:pPr>
            <w:r>
              <w:rPr>
                <w:b/>
              </w:rPr>
              <w:t xml:space="preserve">Tool </w:t>
            </w:r>
          </w:p>
        </w:tc>
        <w:tc>
          <w:tcPr>
            <w:tcW w:w="6833" w:type="dxa"/>
            <w:tcBorders>
              <w:left w:val="single" w:sz="2" w:space="0" w:color="FFFFFF" w:themeColor="background1"/>
            </w:tcBorders>
          </w:tcPr>
          <w:p w14:paraId="67B03A01" w14:textId="77777777" w:rsidR="00AB0EC4" w:rsidRPr="00A21682" w:rsidRDefault="00AB0EC4" w:rsidP="00047C4E">
            <w:pPr>
              <w:pStyle w:val="TABLEHEADINGNEW"/>
              <w:jc w:val="left"/>
              <w:rPr>
                <w:b/>
              </w:rPr>
            </w:pPr>
            <w:r>
              <w:rPr>
                <w:b/>
              </w:rPr>
              <w:t>Value</w:t>
            </w:r>
          </w:p>
        </w:tc>
      </w:tr>
      <w:tr w:rsidR="00AB0EC4" w:rsidRPr="00A21682" w14:paraId="53C2A6EB" w14:textId="77777777" w:rsidTr="00C91FE0">
        <w:trPr>
          <w:trHeight w:val="20"/>
        </w:trPr>
        <w:tc>
          <w:tcPr>
            <w:tcW w:w="805" w:type="dxa"/>
          </w:tcPr>
          <w:p w14:paraId="2ABA5B80" w14:textId="77777777" w:rsidR="00AB0EC4" w:rsidRPr="00A21682" w:rsidRDefault="00AB0EC4" w:rsidP="00047C4E">
            <w:pPr>
              <w:pStyle w:val="TABLETEXT1"/>
              <w:rPr>
                <w:lang w:val="en-US"/>
              </w:rPr>
            </w:pPr>
            <w:r>
              <w:rPr>
                <w:lang w:val="en-US"/>
              </w:rPr>
              <w:t>1</w:t>
            </w:r>
          </w:p>
        </w:tc>
        <w:tc>
          <w:tcPr>
            <w:tcW w:w="1712" w:type="dxa"/>
          </w:tcPr>
          <w:p w14:paraId="4A54F95E" w14:textId="77777777" w:rsidR="00AB0EC4" w:rsidRPr="00A21682" w:rsidRDefault="00AB0EC4" w:rsidP="00047C4E">
            <w:pPr>
              <w:pStyle w:val="TABLETEXT1"/>
              <w:rPr>
                <w:lang w:val="en-US"/>
              </w:rPr>
            </w:pPr>
            <w:r>
              <w:rPr>
                <w:lang w:val="en-US"/>
              </w:rPr>
              <w:t>Microsoft Project</w:t>
            </w:r>
          </w:p>
        </w:tc>
        <w:tc>
          <w:tcPr>
            <w:tcW w:w="6833" w:type="dxa"/>
          </w:tcPr>
          <w:p w14:paraId="38EF6A02" w14:textId="35FA06A1" w:rsidR="00AB0EC4" w:rsidRPr="00A21682" w:rsidRDefault="00AB0EC4" w:rsidP="00047C4E">
            <w:pPr>
              <w:pStyle w:val="TABLETEXT1"/>
              <w:rPr>
                <w:lang w:val="en-US"/>
              </w:rPr>
            </w:pPr>
            <w:r>
              <w:rPr>
                <w:lang w:val="en-US"/>
              </w:rPr>
              <w:t xml:space="preserve">Used to build project Work Plan which provides the project schedule and timeline for DED/Deliverable reviews as well as the schedule and timeline </w:t>
            </w:r>
            <w:r>
              <w:rPr>
                <w:lang w:val="en-US"/>
              </w:rPr>
              <w:lastRenderedPageBreak/>
              <w:t xml:space="preserve">for planned QA and QC activities. </w:t>
            </w:r>
          </w:p>
        </w:tc>
      </w:tr>
      <w:tr w:rsidR="00AB0EC4" w:rsidRPr="00A21682" w14:paraId="34E2A1E8" w14:textId="77777777" w:rsidTr="00C91FE0">
        <w:trPr>
          <w:trHeight w:val="20"/>
        </w:trPr>
        <w:tc>
          <w:tcPr>
            <w:tcW w:w="805" w:type="dxa"/>
          </w:tcPr>
          <w:p w14:paraId="6D8A5731" w14:textId="77777777" w:rsidR="00AB0EC4" w:rsidRPr="00A21682" w:rsidRDefault="00AB0EC4" w:rsidP="00047C4E">
            <w:pPr>
              <w:pStyle w:val="TABLETEXT1"/>
              <w:rPr>
                <w:lang w:val="en-US"/>
              </w:rPr>
            </w:pPr>
            <w:r>
              <w:rPr>
                <w:lang w:val="en-US"/>
              </w:rPr>
              <w:t>2</w:t>
            </w:r>
          </w:p>
        </w:tc>
        <w:tc>
          <w:tcPr>
            <w:tcW w:w="1712" w:type="dxa"/>
          </w:tcPr>
          <w:p w14:paraId="6F3FDA20" w14:textId="77777777" w:rsidR="00AB0EC4" w:rsidRPr="00A21682" w:rsidRDefault="00AB0EC4" w:rsidP="00047C4E">
            <w:pPr>
              <w:pStyle w:val="TABLETEXT1"/>
              <w:rPr>
                <w:lang w:val="en-US"/>
              </w:rPr>
            </w:pPr>
            <w:r>
              <w:rPr>
                <w:lang w:val="en-US"/>
              </w:rPr>
              <w:t>The ALM tool</w:t>
            </w:r>
          </w:p>
        </w:tc>
        <w:tc>
          <w:tcPr>
            <w:tcW w:w="6833" w:type="dxa"/>
          </w:tcPr>
          <w:p w14:paraId="7F9FEA0B" w14:textId="0B228BDC" w:rsidR="00AB0EC4" w:rsidRPr="00A21682" w:rsidRDefault="00AB0EC4" w:rsidP="00047C4E">
            <w:pPr>
              <w:pStyle w:val="TABLETEXT1"/>
              <w:rPr>
                <w:lang w:val="en-US"/>
              </w:rPr>
            </w:pPr>
            <w:r>
              <w:rPr>
                <w:lang w:val="en-US"/>
              </w:rPr>
              <w:t xml:space="preserve">The ALM tool streamlines quality control through its versatile workflow management and tracking capabilities. The ALM tool enables the Continuing Medicaid Eligibility Modernization project to promote quality standards throughout the project life cycle. In addition, the ALM tool provides the ability to create quality-related reports and dashboards including, but not limited to, action item resolution, risk and issue reporting, and defect resolution. </w:t>
            </w:r>
          </w:p>
        </w:tc>
      </w:tr>
      <w:tr w:rsidR="00AB0EC4" w:rsidRPr="00A21682" w14:paraId="3D778A5C" w14:textId="77777777" w:rsidTr="00C91FE0">
        <w:trPr>
          <w:trHeight w:val="20"/>
        </w:trPr>
        <w:tc>
          <w:tcPr>
            <w:tcW w:w="805" w:type="dxa"/>
          </w:tcPr>
          <w:p w14:paraId="756A0922" w14:textId="77777777" w:rsidR="00AB0EC4" w:rsidRPr="00A21682" w:rsidRDefault="00AB0EC4" w:rsidP="00047C4E">
            <w:pPr>
              <w:pStyle w:val="TABLETEXT1"/>
              <w:rPr>
                <w:lang w:val="en-US"/>
              </w:rPr>
            </w:pPr>
            <w:r>
              <w:rPr>
                <w:lang w:val="en-US"/>
              </w:rPr>
              <w:t>3</w:t>
            </w:r>
          </w:p>
        </w:tc>
        <w:tc>
          <w:tcPr>
            <w:tcW w:w="1712" w:type="dxa"/>
          </w:tcPr>
          <w:p w14:paraId="7FED64F8" w14:textId="77777777" w:rsidR="00AB0EC4" w:rsidRPr="00A21682" w:rsidRDefault="00AB0EC4" w:rsidP="00047C4E">
            <w:pPr>
              <w:pStyle w:val="TABLETEXT1"/>
              <w:rPr>
                <w:lang w:val="en-US"/>
              </w:rPr>
            </w:pPr>
            <w:r>
              <w:rPr>
                <w:lang w:val="en-US"/>
              </w:rPr>
              <w:t>Project Checklists</w:t>
            </w:r>
          </w:p>
        </w:tc>
        <w:tc>
          <w:tcPr>
            <w:tcW w:w="6833" w:type="dxa"/>
          </w:tcPr>
          <w:p w14:paraId="5147759B" w14:textId="52569826" w:rsidR="00AB0EC4" w:rsidRPr="00A21682" w:rsidRDefault="00AB0EC4" w:rsidP="00047C4E">
            <w:pPr>
              <w:pStyle w:val="TABLETEXT1"/>
              <w:rPr>
                <w:lang w:val="en-US"/>
              </w:rPr>
            </w:pPr>
            <w:r>
              <w:rPr>
                <w:lang w:val="en-US"/>
              </w:rPr>
              <w:t>Checklists provides guidelines on how documents, reports, presentations, work products, DEDs/Deliverables, and other project-related materials should be formatted to drive, consistency in appearance and structure. In addition, checklists provide direction on version control and document management. During quality control reviews, checklists serve as a reference to check if products conform to the established standards. These guides will evolve over time based on lessons learned from previous phases.</w:t>
            </w:r>
          </w:p>
        </w:tc>
      </w:tr>
      <w:tr w:rsidR="00AB0EC4" w:rsidRPr="00A21682" w14:paraId="793E3795" w14:textId="77777777" w:rsidTr="00C91FE0">
        <w:trPr>
          <w:trHeight w:val="20"/>
        </w:trPr>
        <w:tc>
          <w:tcPr>
            <w:tcW w:w="805" w:type="dxa"/>
          </w:tcPr>
          <w:p w14:paraId="2E03B71A" w14:textId="77777777" w:rsidR="00AB0EC4" w:rsidRPr="00A21682" w:rsidRDefault="00AB0EC4" w:rsidP="00047C4E">
            <w:pPr>
              <w:pStyle w:val="TABLETEXT1"/>
              <w:rPr>
                <w:lang w:val="en-US"/>
              </w:rPr>
            </w:pPr>
            <w:r>
              <w:rPr>
                <w:lang w:val="en-US"/>
              </w:rPr>
              <w:t>4</w:t>
            </w:r>
          </w:p>
        </w:tc>
        <w:tc>
          <w:tcPr>
            <w:tcW w:w="1712" w:type="dxa"/>
          </w:tcPr>
          <w:p w14:paraId="5F942574" w14:textId="77777777" w:rsidR="00AB0EC4" w:rsidRPr="00A21682" w:rsidRDefault="00AB0EC4" w:rsidP="00047C4E">
            <w:pPr>
              <w:pStyle w:val="TABLETEXT1"/>
              <w:rPr>
                <w:lang w:val="en-US"/>
              </w:rPr>
            </w:pPr>
            <w:r>
              <w:rPr>
                <w:lang w:val="en-US"/>
              </w:rPr>
              <w:t>MECM Templates Repository</w:t>
            </w:r>
          </w:p>
        </w:tc>
        <w:tc>
          <w:tcPr>
            <w:tcW w:w="6833" w:type="dxa"/>
          </w:tcPr>
          <w:p w14:paraId="516DB825" w14:textId="48E2766A" w:rsidR="00AB0EC4" w:rsidRPr="00A21682" w:rsidRDefault="00AB0EC4" w:rsidP="00047C4E">
            <w:pPr>
              <w:pStyle w:val="TABLETEXT1"/>
              <w:rPr>
                <w:lang w:val="en-US"/>
              </w:rPr>
            </w:pPr>
            <w:r>
              <w:rPr>
                <w:lang w:val="en-US"/>
              </w:rPr>
              <w:t xml:space="preserve">The templates repository will streamline the implementation of the quality plan by offering standardized, efficient, and compliance document structures. It enforces adherence to quality standards, helps teams work more effectively, and helps confirm that documentation meets or exceeds the established quality criteria. The templates repository will be based on templates, designs, and styles provided by DOH OHIP. </w:t>
            </w:r>
          </w:p>
        </w:tc>
      </w:tr>
      <w:tr w:rsidR="00AB0EC4" w:rsidRPr="00A21682" w14:paraId="18993238" w14:textId="77777777" w:rsidTr="00C91FE0">
        <w:trPr>
          <w:trHeight w:val="20"/>
        </w:trPr>
        <w:tc>
          <w:tcPr>
            <w:tcW w:w="805" w:type="dxa"/>
          </w:tcPr>
          <w:p w14:paraId="62E74EA8" w14:textId="77777777" w:rsidR="00AB0EC4" w:rsidRPr="00A21682" w:rsidRDefault="00AB0EC4" w:rsidP="00047C4E">
            <w:pPr>
              <w:pStyle w:val="TABLETEXT1"/>
              <w:rPr>
                <w:lang w:val="en-US"/>
              </w:rPr>
            </w:pPr>
            <w:r>
              <w:rPr>
                <w:lang w:val="en-US"/>
              </w:rPr>
              <w:t>5</w:t>
            </w:r>
          </w:p>
        </w:tc>
        <w:tc>
          <w:tcPr>
            <w:tcW w:w="1712" w:type="dxa"/>
          </w:tcPr>
          <w:p w14:paraId="5EC162DD" w14:textId="77777777" w:rsidR="00AB0EC4" w:rsidRPr="00A21682" w:rsidRDefault="00AB0EC4" w:rsidP="00047C4E">
            <w:pPr>
              <w:pStyle w:val="TABLETEXT1"/>
              <w:rPr>
                <w:lang w:val="en-US"/>
              </w:rPr>
            </w:pPr>
            <w:r>
              <w:rPr>
                <w:lang w:val="en-US"/>
              </w:rPr>
              <w:t>Confidential Information Management Plan (CIMP)</w:t>
            </w:r>
          </w:p>
        </w:tc>
        <w:tc>
          <w:tcPr>
            <w:tcW w:w="6833" w:type="dxa"/>
          </w:tcPr>
          <w:p w14:paraId="3BFA9E57" w14:textId="3C34796D" w:rsidR="00AB0EC4" w:rsidRPr="00A21682" w:rsidRDefault="00AB0EC4" w:rsidP="00B30ABE">
            <w:pPr>
              <w:pStyle w:val="TABLETEXT1"/>
              <w:keepNext/>
              <w:rPr>
                <w:lang w:val="en-US"/>
              </w:rPr>
            </w:pPr>
            <w:r>
              <w:rPr>
                <w:lang w:val="en-US"/>
              </w:rPr>
              <w:t>The Continuing Medicaid Eligibility Modernization CIMP defines a method for effectively mitigating confidentiality risks pertaining to the project. It outlines leading practices and processes to prevent, detect, and respond to potential confidentiality incidents. It defines technical, administrative and physical safeguards for the project to protect stakeholder data throughout the SDLC.</w:t>
            </w:r>
          </w:p>
        </w:tc>
      </w:tr>
    </w:tbl>
    <w:p w14:paraId="77EEB883" w14:textId="2EBCA348" w:rsidR="00B30ABE" w:rsidRPr="00A21682" w:rsidRDefault="00B30ABE">
      <w:pPr>
        <w:pStyle w:val="Caption"/>
        <w:rPr>
          <w:noProof w:val="0"/>
        </w:rPr>
      </w:pPr>
      <w:bookmarkStart w:id="3538" w:name="_Toc192875195"/>
      <w:bookmarkStart w:id="3539" w:name="_Toc15327813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7</w:t>
      </w:r>
      <w:r>
        <w:rPr>
          <w:noProof w:val="0"/>
        </w:rPr>
        <w:fldChar w:fldCharType="end"/>
      </w:r>
      <w:r>
        <w:rPr>
          <w:noProof w:val="0"/>
        </w:rPr>
        <w:t>: Quality Control Tools</w:t>
      </w:r>
      <w:bookmarkEnd w:id="3538"/>
    </w:p>
    <w:p w14:paraId="75199BF7" w14:textId="77777777" w:rsidR="00AB0EC4" w:rsidRPr="00A21682" w:rsidRDefault="00AB0EC4">
      <w:pPr>
        <w:pStyle w:val="Heading2"/>
      </w:pPr>
      <w:bookmarkStart w:id="3540" w:name="_Toc143601271"/>
      <w:bookmarkStart w:id="3541" w:name="_Toc153278098"/>
      <w:bookmarkStart w:id="3542" w:name="_Toc177119495"/>
      <w:bookmarkStart w:id="3543" w:name="_Toc185952793"/>
      <w:bookmarkStart w:id="3544" w:name="_Toc192874907"/>
      <w:bookmarkEnd w:id="3539"/>
      <w:r>
        <w:t>Quality Support Plan</w:t>
      </w:r>
      <w:bookmarkEnd w:id="3540"/>
      <w:bookmarkEnd w:id="3541"/>
      <w:bookmarkEnd w:id="3542"/>
      <w:bookmarkEnd w:id="3543"/>
      <w:bookmarkEnd w:id="3544"/>
    </w:p>
    <w:p w14:paraId="72815660" w14:textId="77777777" w:rsidR="00AB0EC4" w:rsidRPr="00A21682" w:rsidRDefault="00AB0EC4" w:rsidP="00362090">
      <w:pPr>
        <w:pStyle w:val="NormalNEW"/>
        <w:rPr>
          <w:lang w:val="en-US"/>
        </w:rPr>
      </w:pPr>
      <w:r>
        <w:rPr>
          <w:lang w:val="en-US"/>
        </w:rPr>
        <w:t>In addition to the quality assurance and quality control activities planned for the project, additional project reviews will occur across the delivery timeline. These reviews will include specific support personnel that will aid in the review of these projects. These individuals will have specialist support or outside expertise to assist in the refinement of the quality reviews. These activities include:</w:t>
      </w:r>
    </w:p>
    <w:p w14:paraId="66DBA69F" w14:textId="77777777" w:rsidR="00AB0EC4" w:rsidRPr="00A21682" w:rsidRDefault="00AB0EC4" w:rsidP="0031550A">
      <w:pPr>
        <w:pStyle w:val="BulletNEW"/>
      </w:pPr>
      <w:r>
        <w:t>Engagement Review Program</w:t>
      </w:r>
    </w:p>
    <w:p w14:paraId="13940472" w14:textId="77777777" w:rsidR="00AB0EC4" w:rsidRPr="00A21682" w:rsidRDefault="00AB0EC4" w:rsidP="0031550A">
      <w:pPr>
        <w:pStyle w:val="BulletNEW"/>
      </w:pPr>
      <w:r>
        <w:t xml:space="preserve">Delivery Excellence (DE) Program </w:t>
      </w:r>
    </w:p>
    <w:p w14:paraId="307B455C" w14:textId="77777777" w:rsidR="00AB0EC4" w:rsidRPr="00A21682" w:rsidRDefault="00AB0EC4" w:rsidP="0031550A">
      <w:pPr>
        <w:pStyle w:val="BulletNEW"/>
      </w:pPr>
      <w:r>
        <w:t>Guest Star Program</w:t>
      </w:r>
    </w:p>
    <w:p w14:paraId="042099E4" w14:textId="77777777" w:rsidR="00AB0EC4" w:rsidRPr="00A21682" w:rsidRDefault="00AB0EC4" w:rsidP="0031550A">
      <w:pPr>
        <w:pStyle w:val="BulletNEW"/>
      </w:pPr>
      <w:r>
        <w:t>External Training / Tool Support</w:t>
      </w:r>
    </w:p>
    <w:p w14:paraId="71BC6D88" w14:textId="77777777" w:rsidR="00AB0EC4" w:rsidRPr="00A21682" w:rsidRDefault="00AB0EC4">
      <w:pPr>
        <w:pStyle w:val="Heading3"/>
      </w:pPr>
      <w:bookmarkStart w:id="3545" w:name="_Toc143601272"/>
      <w:bookmarkStart w:id="3546" w:name="_Toc153278099"/>
      <w:bookmarkStart w:id="3547" w:name="_Toc177119496"/>
      <w:bookmarkStart w:id="3548" w:name="_Toc185952794"/>
      <w:bookmarkStart w:id="3549" w:name="_Toc192874908"/>
      <w:r>
        <w:t>Engagement Review Program</w:t>
      </w:r>
      <w:bookmarkEnd w:id="3545"/>
      <w:bookmarkEnd w:id="3546"/>
      <w:bookmarkEnd w:id="3547"/>
      <w:bookmarkEnd w:id="3548"/>
      <w:bookmarkEnd w:id="3549"/>
    </w:p>
    <w:p w14:paraId="64C2F2F7" w14:textId="77777777" w:rsidR="00AB0EC4" w:rsidRPr="00A21682" w:rsidRDefault="00AB0EC4" w:rsidP="00362090">
      <w:pPr>
        <w:pStyle w:val="NormalNEW"/>
        <w:rPr>
          <w:rStyle w:val="normaltextrun"/>
          <w:lang w:val="en-US"/>
        </w:rPr>
      </w:pPr>
      <w:r>
        <w:rPr>
          <w:rStyle w:val="normaltextrun"/>
          <w:lang w:val="en-US"/>
        </w:rPr>
        <w:t>███████ will perform internal quality project reviews, which are formal, objective reviews to evaluate the status of the project in six categories:</w:t>
      </w:r>
    </w:p>
    <w:p w14:paraId="25EFD19D" w14:textId="77777777" w:rsidR="00AB0EC4" w:rsidRPr="00A21682" w:rsidRDefault="00AB0EC4" w:rsidP="0031550A">
      <w:pPr>
        <w:pStyle w:val="BulletNEW"/>
      </w:pPr>
      <w:r>
        <w:lastRenderedPageBreak/>
        <w:t>Project Leadership</w:t>
      </w:r>
    </w:p>
    <w:p w14:paraId="7C492C61" w14:textId="77777777" w:rsidR="00AB0EC4" w:rsidRPr="00A21682" w:rsidRDefault="00AB0EC4" w:rsidP="0031550A">
      <w:pPr>
        <w:pStyle w:val="BulletNEW"/>
      </w:pPr>
      <w:r>
        <w:t>Solution and Deliverables</w:t>
      </w:r>
    </w:p>
    <w:p w14:paraId="1E3875DC" w14:textId="77777777" w:rsidR="00AB0EC4" w:rsidRPr="00A21682" w:rsidRDefault="00AB0EC4" w:rsidP="0031550A">
      <w:pPr>
        <w:pStyle w:val="BulletNEW"/>
      </w:pPr>
      <w:r>
        <w:t>Estimation, Planning, and Timeline</w:t>
      </w:r>
    </w:p>
    <w:p w14:paraId="770E2CB2" w14:textId="77777777" w:rsidR="00AB0EC4" w:rsidRPr="00A21682" w:rsidRDefault="00AB0EC4" w:rsidP="0031550A">
      <w:pPr>
        <w:pStyle w:val="BulletNEW"/>
      </w:pPr>
      <w:r>
        <w:t>Project Staffing</w:t>
      </w:r>
    </w:p>
    <w:p w14:paraId="75D59635" w14:textId="77777777" w:rsidR="00AB0EC4" w:rsidRPr="00A21682" w:rsidRDefault="00AB0EC4" w:rsidP="0031550A">
      <w:pPr>
        <w:pStyle w:val="BulletNEW"/>
      </w:pPr>
      <w:r>
        <w:t>Monitor &amp; Control</w:t>
      </w:r>
    </w:p>
    <w:p w14:paraId="1DF05EAD" w14:textId="77777777" w:rsidR="00AB0EC4" w:rsidRPr="00A21682" w:rsidRDefault="00AB0EC4" w:rsidP="0031550A">
      <w:pPr>
        <w:pStyle w:val="BulletNEW"/>
      </w:pPr>
      <w:r>
        <w:t>Approach</w:t>
      </w:r>
    </w:p>
    <w:p w14:paraId="296CCA39" w14:textId="77777777" w:rsidR="00AB0EC4" w:rsidRPr="00A21682" w:rsidRDefault="00AB0EC4" w:rsidP="00362090">
      <w:pPr>
        <w:pStyle w:val="NormalNEW"/>
        <w:keepNext/>
        <w:rPr>
          <w:lang w:val="en-US"/>
        </w:rPr>
      </w:pPr>
      <w:r>
        <w:rPr>
          <w:lang w:val="en-US"/>
        </w:rPr>
        <w:t>These reviews and this process are standard across all ███████ projects. Additional details about each of the six categories are included in the figure below.</w:t>
      </w:r>
    </w:p>
    <w:p w14:paraId="41EFCE07" w14:textId="77777777" w:rsidR="00845042" w:rsidRPr="00A21682" w:rsidRDefault="00AB0EC4" w:rsidP="00E80346">
      <w:pPr>
        <w:pStyle w:val="NormalNEW"/>
        <w:keepNext/>
        <w:jc w:val="center"/>
        <w:rPr>
          <w:lang w:val="en-US"/>
        </w:rPr>
      </w:pPr>
      <w:r>
        <w:rPr>
          <w:noProof/>
          <w:lang w:val="en-US"/>
        </w:rPr>
        <w:drawing>
          <wp:inline distT="0" distB="0" distL="0" distR="0" wp14:anchorId="1A03277B" wp14:editId="060E6A9C">
            <wp:extent cx="4319516" cy="3903805"/>
            <wp:effectExtent l="0" t="0" r="0"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328236" cy="3911686"/>
                    </a:xfrm>
                    <a:prstGeom prst="rect">
                      <a:avLst/>
                    </a:prstGeom>
                    <a:noFill/>
                    <a:ln>
                      <a:noFill/>
                    </a:ln>
                  </pic:spPr>
                </pic:pic>
              </a:graphicData>
            </a:graphic>
          </wp:inline>
        </w:drawing>
      </w:r>
    </w:p>
    <w:p w14:paraId="4D96A919" w14:textId="295EDB80" w:rsidR="00AB0EC4" w:rsidRPr="00A21682" w:rsidRDefault="00845042" w:rsidP="00E80346">
      <w:pPr>
        <w:pStyle w:val="Caption"/>
        <w:rPr>
          <w:noProof w:val="0"/>
        </w:rPr>
      </w:pPr>
      <w:bookmarkStart w:id="3550" w:name="_Toc192875073"/>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3</w:t>
      </w:r>
      <w:r>
        <w:rPr>
          <w:noProof w:val="0"/>
        </w:rPr>
        <w:fldChar w:fldCharType="end"/>
      </w:r>
      <w:r>
        <w:rPr>
          <w:noProof w:val="0"/>
        </w:rPr>
        <w:t>: Six Categories of Project Review</w:t>
      </w:r>
      <w:bookmarkEnd w:id="3550"/>
    </w:p>
    <w:p w14:paraId="26273DC4" w14:textId="75C99588" w:rsidR="00AB0EC4" w:rsidRPr="00A21682" w:rsidRDefault="00AB0EC4">
      <w:pPr>
        <w:pStyle w:val="Heading3"/>
      </w:pPr>
      <w:bookmarkStart w:id="3551" w:name="_Toc153278100"/>
      <w:bookmarkStart w:id="3552" w:name="_Toc177119497"/>
      <w:bookmarkStart w:id="3553" w:name="_Toc185952795"/>
      <w:bookmarkStart w:id="3554" w:name="_Toc192874909"/>
      <w:bookmarkStart w:id="3555" w:name="_Toc143601273"/>
      <w:r>
        <w:t>Delivery Excellence Program</w:t>
      </w:r>
      <w:bookmarkEnd w:id="3551"/>
      <w:bookmarkEnd w:id="3552"/>
      <w:bookmarkEnd w:id="3553"/>
      <w:bookmarkEnd w:id="3554"/>
      <w:r>
        <w:t xml:space="preserve"> </w:t>
      </w:r>
    </w:p>
    <w:p w14:paraId="4A795CA6" w14:textId="6F847BA3" w:rsidR="00AB0EC4" w:rsidRPr="00A21682" w:rsidRDefault="00AB0EC4" w:rsidP="00362090">
      <w:pPr>
        <w:pStyle w:val="NormalNEW"/>
        <w:rPr>
          <w:lang w:val="en-US"/>
        </w:rPr>
      </w:pPr>
      <w:r>
        <w:rPr>
          <w:lang w:val="en-US"/>
        </w:rPr>
        <w:t xml:space="preserve">███████ project leadership will engage on a recurring agreed upon cadence, with other ███████ leaders for insights related to specific subject matter. Given the complexity and multi-faceted nature of the Continuing Medicaid Eligibility Modernization project, ███████ project leadership will look to solicit insights and reviews from subject matter advisors (SMAs) related to specific areas, including design, development, testing, and Go-Live activities of the project. </w:t>
      </w:r>
    </w:p>
    <w:p w14:paraId="45EBDE62" w14:textId="77777777" w:rsidR="00AB0EC4" w:rsidRPr="00A21682" w:rsidRDefault="00AB0EC4">
      <w:pPr>
        <w:pStyle w:val="Heading3"/>
      </w:pPr>
      <w:bookmarkStart w:id="3556" w:name="_Toc153278101"/>
      <w:bookmarkStart w:id="3557" w:name="_Toc177119498"/>
      <w:bookmarkStart w:id="3558" w:name="_Toc185952796"/>
      <w:bookmarkStart w:id="3559" w:name="_Toc192874910"/>
      <w:r>
        <w:t>Guest Star Program</w:t>
      </w:r>
      <w:bookmarkEnd w:id="3555"/>
      <w:bookmarkEnd w:id="3556"/>
      <w:bookmarkEnd w:id="3557"/>
      <w:bookmarkEnd w:id="3558"/>
      <w:bookmarkEnd w:id="3559"/>
    </w:p>
    <w:p w14:paraId="04BF2F38" w14:textId="74DC84F4" w:rsidR="00AB0EC4" w:rsidRPr="00A21682" w:rsidRDefault="00AB0EC4" w:rsidP="00362090">
      <w:pPr>
        <w:pStyle w:val="NormalNEW"/>
        <w:rPr>
          <w:lang w:val="en-US"/>
        </w:rPr>
      </w:pPr>
      <w:r>
        <w:rPr>
          <w:lang w:val="en-US"/>
        </w:rPr>
        <w:t xml:space="preserve">The Continuing Medicaid Eligibility Modernization project will leverage guest stars or specialists periodically to augment the project team. These highly skilled resources provide deep industry knowledge about a specific topic or technology and will be available to the project for short durations, </w:t>
      </w:r>
      <w:r>
        <w:rPr>
          <w:lang w:val="en-US"/>
        </w:rPr>
        <w:lastRenderedPageBreak/>
        <w:t>or periodically based upon identified needs. This section describes the plan for leveraging specialists on this project.</w:t>
      </w:r>
    </w:p>
    <w:p w14:paraId="3583341D" w14:textId="397CBEAE" w:rsidR="00AB0EC4" w:rsidRPr="00A21682" w:rsidRDefault="00AB0EC4" w:rsidP="00362090">
      <w:pPr>
        <w:pStyle w:val="NormalNEW"/>
        <w:keepNext/>
        <w:rPr>
          <w:lang w:val="en-US"/>
        </w:rPr>
      </w:pPr>
      <w:r>
        <w:rPr>
          <w:lang w:val="en-US"/>
        </w:rPr>
        <w:t>The guest stars support plan for the project is defined in the table below.</w:t>
      </w:r>
    </w:p>
    <w:tbl>
      <w:tblPr>
        <w:tblW w:w="935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450"/>
        <w:gridCol w:w="2250"/>
        <w:gridCol w:w="2791"/>
        <w:gridCol w:w="3867"/>
      </w:tblGrid>
      <w:tr w:rsidR="00362090" w:rsidRPr="00A21682" w14:paraId="398139D1" w14:textId="77777777" w:rsidTr="00D1488B">
        <w:trPr>
          <w:cantSplit/>
          <w:tblHeader/>
          <w:jc w:val="center"/>
        </w:trPr>
        <w:tc>
          <w:tcPr>
            <w:tcW w:w="241" w:type="pct"/>
            <w:tcBorders>
              <w:right w:val="single" w:sz="2" w:space="0" w:color="FFFFFF" w:themeColor="background1"/>
            </w:tcBorders>
            <w:shd w:val="clear" w:color="auto" w:fill="000000" w:themeFill="text1"/>
          </w:tcPr>
          <w:p w14:paraId="0572FBEE" w14:textId="77777777" w:rsidR="00AB0EC4" w:rsidRPr="00A21682" w:rsidRDefault="00AB0EC4" w:rsidP="00047C4E">
            <w:pPr>
              <w:pStyle w:val="TABLEHEADINGNEW"/>
            </w:pPr>
            <w:r>
              <w:t>#</w:t>
            </w:r>
          </w:p>
        </w:tc>
        <w:tc>
          <w:tcPr>
            <w:tcW w:w="1202" w:type="pct"/>
            <w:tcBorders>
              <w:left w:val="single" w:sz="2" w:space="0" w:color="FFFFFF" w:themeColor="background1"/>
              <w:right w:val="single" w:sz="2" w:space="0" w:color="FFFFFF" w:themeColor="background1"/>
            </w:tcBorders>
            <w:shd w:val="clear" w:color="auto" w:fill="000000" w:themeFill="text1"/>
          </w:tcPr>
          <w:p w14:paraId="27378033" w14:textId="77777777" w:rsidR="00AB0EC4" w:rsidRPr="00A21682" w:rsidRDefault="00AB0EC4" w:rsidP="00047C4E">
            <w:pPr>
              <w:pStyle w:val="TABLEHEADINGNEW"/>
            </w:pPr>
            <w:r>
              <w:t>Specialist Area</w:t>
            </w:r>
          </w:p>
        </w:tc>
        <w:tc>
          <w:tcPr>
            <w:tcW w:w="1491" w:type="pct"/>
            <w:tcBorders>
              <w:left w:val="single" w:sz="2" w:space="0" w:color="FFFFFF" w:themeColor="background1"/>
              <w:right w:val="single" w:sz="2" w:space="0" w:color="FFFFFF" w:themeColor="background1"/>
            </w:tcBorders>
            <w:shd w:val="clear" w:color="auto" w:fill="000000" w:themeFill="text1"/>
          </w:tcPr>
          <w:p w14:paraId="173DFAD9" w14:textId="77777777" w:rsidR="00AB0EC4" w:rsidRPr="00A21682" w:rsidRDefault="00AB0EC4" w:rsidP="00047C4E">
            <w:pPr>
              <w:pStyle w:val="TABLEHEADINGNEW"/>
            </w:pPr>
            <w:r>
              <w:t>Frequency</w:t>
            </w:r>
          </w:p>
        </w:tc>
        <w:tc>
          <w:tcPr>
            <w:tcW w:w="2066" w:type="pct"/>
            <w:tcBorders>
              <w:left w:val="single" w:sz="2" w:space="0" w:color="FFFFFF" w:themeColor="background1"/>
            </w:tcBorders>
            <w:shd w:val="clear" w:color="auto" w:fill="000000" w:themeFill="text1"/>
          </w:tcPr>
          <w:p w14:paraId="3FCD13E6" w14:textId="77777777" w:rsidR="00AB0EC4" w:rsidRPr="00A21682" w:rsidRDefault="00AB0EC4" w:rsidP="00047C4E">
            <w:pPr>
              <w:pStyle w:val="TABLEHEADINGNEW"/>
            </w:pPr>
            <w:r>
              <w:t>Objectives</w:t>
            </w:r>
          </w:p>
        </w:tc>
      </w:tr>
      <w:tr w:rsidR="00AB0EC4" w:rsidRPr="00A21682" w14:paraId="58A44DBB" w14:textId="77777777" w:rsidTr="00D1488B">
        <w:trPr>
          <w:cantSplit/>
          <w:trHeight w:val="719"/>
          <w:jc w:val="center"/>
        </w:trPr>
        <w:tc>
          <w:tcPr>
            <w:tcW w:w="241" w:type="pct"/>
          </w:tcPr>
          <w:p w14:paraId="2D93E9E8" w14:textId="77777777" w:rsidR="00AB0EC4" w:rsidRPr="00A21682" w:rsidRDefault="00AB0EC4" w:rsidP="00047C4E">
            <w:pPr>
              <w:pStyle w:val="TABLETEXT1"/>
              <w:rPr>
                <w:u w:color="000000" w:themeColor="text1"/>
                <w:lang w:val="en-US"/>
              </w:rPr>
            </w:pPr>
            <w:r>
              <w:rPr>
                <w:u w:color="000000" w:themeColor="text1"/>
                <w:lang w:val="en-US"/>
              </w:rPr>
              <w:t>1</w:t>
            </w:r>
          </w:p>
        </w:tc>
        <w:tc>
          <w:tcPr>
            <w:tcW w:w="1202" w:type="pct"/>
          </w:tcPr>
          <w:p w14:paraId="1E814119" w14:textId="77777777" w:rsidR="00AB0EC4" w:rsidRPr="00A21682" w:rsidRDefault="00AB0EC4" w:rsidP="00047C4E">
            <w:pPr>
              <w:pStyle w:val="TABLETEXT1"/>
              <w:rPr>
                <w:u w:color="000000" w:themeColor="text1"/>
                <w:lang w:val="en-US"/>
              </w:rPr>
            </w:pPr>
            <w:r>
              <w:rPr>
                <w:u w:color="000000" w:themeColor="text1"/>
                <w:lang w:val="en-US"/>
              </w:rPr>
              <w:t>Policy / Functional Advisors</w:t>
            </w:r>
          </w:p>
        </w:tc>
        <w:tc>
          <w:tcPr>
            <w:tcW w:w="1491" w:type="pct"/>
          </w:tcPr>
          <w:p w14:paraId="5FAB316C" w14:textId="77777777" w:rsidR="00AB0EC4" w:rsidRPr="00A21682" w:rsidRDefault="00AB0EC4" w:rsidP="00047C4E">
            <w:pPr>
              <w:pStyle w:val="TABLETEXT1"/>
              <w:rPr>
                <w:u w:color="000000" w:themeColor="text1"/>
                <w:lang w:val="en-US"/>
              </w:rPr>
            </w:pPr>
            <w:r>
              <w:rPr>
                <w:u w:color="000000" w:themeColor="text1"/>
                <w:lang w:val="en-US"/>
              </w:rPr>
              <w:t>During requirements and design</w:t>
            </w:r>
          </w:p>
        </w:tc>
        <w:tc>
          <w:tcPr>
            <w:tcW w:w="2066" w:type="pct"/>
          </w:tcPr>
          <w:p w14:paraId="4593F82A" w14:textId="77777777" w:rsidR="00AB0EC4" w:rsidRPr="00A21682" w:rsidRDefault="00AB0EC4" w:rsidP="00047C4E">
            <w:pPr>
              <w:pStyle w:val="TABLETEXT1"/>
              <w:rPr>
                <w:u w:color="000000" w:themeColor="text1"/>
                <w:lang w:val="en-US"/>
              </w:rPr>
            </w:pPr>
            <w:r>
              <w:rPr>
                <w:u w:color="000000" w:themeColor="text1"/>
                <w:lang w:val="en-US"/>
              </w:rPr>
              <w:t>Provide Subject Matter Experts (SMEs) to assist in requirements validation and design validation sessions</w:t>
            </w:r>
          </w:p>
        </w:tc>
      </w:tr>
      <w:tr w:rsidR="00AB0EC4" w:rsidRPr="00A21682" w14:paraId="32F2E661" w14:textId="77777777" w:rsidTr="00D1488B">
        <w:trPr>
          <w:cantSplit/>
          <w:jc w:val="center"/>
        </w:trPr>
        <w:tc>
          <w:tcPr>
            <w:tcW w:w="241" w:type="pct"/>
          </w:tcPr>
          <w:p w14:paraId="3246DD0B" w14:textId="77777777" w:rsidR="00AB0EC4" w:rsidRPr="00A21682" w:rsidRDefault="00AB0EC4" w:rsidP="00047C4E">
            <w:pPr>
              <w:pStyle w:val="TABLETEXT1"/>
              <w:rPr>
                <w:u w:color="000000" w:themeColor="text1"/>
                <w:lang w:val="en-US"/>
              </w:rPr>
            </w:pPr>
            <w:r>
              <w:rPr>
                <w:u w:color="000000" w:themeColor="text1"/>
                <w:lang w:val="en-US"/>
              </w:rPr>
              <w:t>2</w:t>
            </w:r>
          </w:p>
        </w:tc>
        <w:tc>
          <w:tcPr>
            <w:tcW w:w="1202" w:type="pct"/>
          </w:tcPr>
          <w:p w14:paraId="639ACE3A" w14:textId="77777777" w:rsidR="00AB0EC4" w:rsidRPr="00A21682" w:rsidRDefault="00AB0EC4" w:rsidP="00047C4E">
            <w:pPr>
              <w:pStyle w:val="TABLETEXT1"/>
              <w:rPr>
                <w:u w:color="000000" w:themeColor="text1"/>
                <w:lang w:val="en-US"/>
              </w:rPr>
            </w:pPr>
            <w:r>
              <w:rPr>
                <w:u w:color="000000" w:themeColor="text1"/>
                <w:lang w:val="en-US"/>
              </w:rPr>
              <w:t>Technical / Infrastructure</w:t>
            </w:r>
          </w:p>
        </w:tc>
        <w:tc>
          <w:tcPr>
            <w:tcW w:w="1491" w:type="pct"/>
          </w:tcPr>
          <w:p w14:paraId="44E6821A" w14:textId="77777777" w:rsidR="00AB0EC4" w:rsidRPr="00A21682" w:rsidRDefault="00AB0EC4" w:rsidP="00047C4E">
            <w:pPr>
              <w:pStyle w:val="TABLETEXT1"/>
              <w:rPr>
                <w:u w:color="000000" w:themeColor="text1"/>
                <w:lang w:val="en-US"/>
              </w:rPr>
            </w:pPr>
            <w:r>
              <w:rPr>
                <w:u w:color="000000" w:themeColor="text1"/>
                <w:lang w:val="en-US"/>
              </w:rPr>
              <w:t>During design</w:t>
            </w:r>
          </w:p>
        </w:tc>
        <w:tc>
          <w:tcPr>
            <w:tcW w:w="2066" w:type="pct"/>
          </w:tcPr>
          <w:p w14:paraId="5A1A0306" w14:textId="77777777" w:rsidR="00AB0EC4" w:rsidRPr="00A21682" w:rsidRDefault="00AB0EC4" w:rsidP="00047C4E">
            <w:pPr>
              <w:pStyle w:val="TABLETEXT1"/>
              <w:rPr>
                <w:u w:color="000000" w:themeColor="text1"/>
                <w:lang w:val="en-US"/>
              </w:rPr>
            </w:pPr>
            <w:r>
              <w:rPr>
                <w:u w:color="000000" w:themeColor="text1"/>
                <w:lang w:val="en-US"/>
              </w:rPr>
              <w:t>Provide SMEs to assist in technical requirements validation and design validation sessions</w:t>
            </w:r>
          </w:p>
        </w:tc>
      </w:tr>
      <w:tr w:rsidR="00AB0EC4" w:rsidRPr="00A21682" w14:paraId="42612453" w14:textId="77777777" w:rsidTr="00D1488B">
        <w:trPr>
          <w:cantSplit/>
          <w:jc w:val="center"/>
        </w:trPr>
        <w:tc>
          <w:tcPr>
            <w:tcW w:w="241" w:type="pct"/>
          </w:tcPr>
          <w:p w14:paraId="2B7CF1FA" w14:textId="77777777" w:rsidR="00AB0EC4" w:rsidRPr="00A21682" w:rsidRDefault="00AB0EC4" w:rsidP="00047C4E">
            <w:pPr>
              <w:pStyle w:val="TABLETEXT1"/>
              <w:rPr>
                <w:u w:color="000000" w:themeColor="text1"/>
                <w:lang w:val="en-US"/>
              </w:rPr>
            </w:pPr>
            <w:r>
              <w:rPr>
                <w:u w:color="000000" w:themeColor="text1"/>
                <w:lang w:val="en-US"/>
              </w:rPr>
              <w:t>3</w:t>
            </w:r>
          </w:p>
        </w:tc>
        <w:tc>
          <w:tcPr>
            <w:tcW w:w="1202" w:type="pct"/>
          </w:tcPr>
          <w:p w14:paraId="735BDC62" w14:textId="6E701AE5" w:rsidR="00AB0EC4" w:rsidRPr="00A21682" w:rsidRDefault="00AB0EC4" w:rsidP="00047C4E">
            <w:pPr>
              <w:pStyle w:val="TABLETEXT1"/>
              <w:rPr>
                <w:u w:color="000000" w:themeColor="text1"/>
                <w:lang w:val="en-US"/>
              </w:rPr>
            </w:pPr>
            <w:r>
              <w:rPr>
                <w:u w:color="000000" w:themeColor="text1"/>
                <w:lang w:val="en-US"/>
              </w:rPr>
              <w:t>Implementation / Go- Live</w:t>
            </w:r>
          </w:p>
        </w:tc>
        <w:tc>
          <w:tcPr>
            <w:tcW w:w="1491" w:type="pct"/>
          </w:tcPr>
          <w:p w14:paraId="26229044" w14:textId="2A56A2F5" w:rsidR="00AB0EC4" w:rsidRPr="00A21682" w:rsidRDefault="00AB0EC4" w:rsidP="00047C4E">
            <w:pPr>
              <w:pStyle w:val="TABLETEXT1"/>
              <w:rPr>
                <w:u w:color="000000" w:themeColor="text1"/>
                <w:lang w:val="en-US"/>
              </w:rPr>
            </w:pPr>
            <w:r>
              <w:rPr>
                <w:u w:color="000000" w:themeColor="text1"/>
                <w:lang w:val="en-US"/>
              </w:rPr>
              <w:t>During planning for Go-Live</w:t>
            </w:r>
          </w:p>
        </w:tc>
        <w:tc>
          <w:tcPr>
            <w:tcW w:w="2066" w:type="pct"/>
          </w:tcPr>
          <w:p w14:paraId="17055380" w14:textId="50E602A2" w:rsidR="00AB0EC4" w:rsidRPr="00A21682" w:rsidRDefault="00AB0EC4" w:rsidP="00B30ABE">
            <w:pPr>
              <w:pStyle w:val="TABLETEXT1"/>
              <w:keepNext/>
              <w:rPr>
                <w:rFonts w:eastAsiaTheme="minorEastAsia"/>
                <w:u w:color="000000" w:themeColor="text1"/>
                <w:lang w:val="en-US"/>
              </w:rPr>
            </w:pPr>
            <w:r>
              <w:rPr>
                <w:u w:color="000000" w:themeColor="text1"/>
                <w:lang w:val="en-US"/>
              </w:rPr>
              <w:t>Provide SMEs to help with implementation and Go-Live planning</w:t>
            </w:r>
          </w:p>
        </w:tc>
      </w:tr>
    </w:tbl>
    <w:p w14:paraId="02B0DA0A" w14:textId="1628604B" w:rsidR="00B30ABE" w:rsidRPr="00A21682" w:rsidRDefault="00B30ABE">
      <w:pPr>
        <w:pStyle w:val="Caption"/>
        <w:rPr>
          <w:noProof w:val="0"/>
        </w:rPr>
      </w:pPr>
      <w:bookmarkStart w:id="3560" w:name="_Toc192875196"/>
      <w:bookmarkStart w:id="3561" w:name="_Toc15327813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7</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8</w:t>
      </w:r>
      <w:r>
        <w:rPr>
          <w:noProof w:val="0"/>
        </w:rPr>
        <w:fldChar w:fldCharType="end"/>
      </w:r>
      <w:r>
        <w:rPr>
          <w:noProof w:val="0"/>
        </w:rPr>
        <w:t>: Guest Star Support Plan</w:t>
      </w:r>
      <w:bookmarkEnd w:id="3560"/>
    </w:p>
    <w:bookmarkEnd w:id="3561"/>
    <w:p w14:paraId="66902541" w14:textId="77777777" w:rsidR="00AB0EC4" w:rsidRPr="00A21682" w:rsidRDefault="00AB0EC4" w:rsidP="00362090">
      <w:pPr>
        <w:pStyle w:val="NormalNEW"/>
        <w:rPr>
          <w:lang w:val="en-US"/>
        </w:rPr>
      </w:pPr>
      <w:r>
        <w:rPr>
          <w:lang w:val="en-US"/>
        </w:rPr>
        <w:t xml:space="preserve">Guest stars will be used in other areas of the project and are brought on to assist the ███████ team in recognizing national impacts and to assist with project execution. </w:t>
      </w:r>
    </w:p>
    <w:p w14:paraId="42F2127E" w14:textId="77777777" w:rsidR="00AB0EC4" w:rsidRPr="00A21682" w:rsidRDefault="00AB0EC4">
      <w:pPr>
        <w:pStyle w:val="Heading3"/>
      </w:pPr>
      <w:bookmarkStart w:id="3562" w:name="_Toc150428045"/>
      <w:bookmarkStart w:id="3563" w:name="_Toc150428046"/>
      <w:bookmarkStart w:id="3564" w:name="_Toc150428047"/>
      <w:bookmarkStart w:id="3565" w:name="_Toc143601275"/>
      <w:bookmarkStart w:id="3566" w:name="_Toc153278102"/>
      <w:bookmarkStart w:id="3567" w:name="_Toc177119499"/>
      <w:bookmarkStart w:id="3568" w:name="_Toc185952797"/>
      <w:bookmarkStart w:id="3569" w:name="_Toc192874911"/>
      <w:bookmarkEnd w:id="3562"/>
      <w:bookmarkEnd w:id="3563"/>
      <w:bookmarkEnd w:id="3564"/>
      <w:r>
        <w:t>External Training and Tools Support</w:t>
      </w:r>
      <w:bookmarkEnd w:id="3565"/>
      <w:bookmarkEnd w:id="3566"/>
      <w:bookmarkEnd w:id="3567"/>
      <w:bookmarkEnd w:id="3568"/>
      <w:bookmarkEnd w:id="3569"/>
    </w:p>
    <w:p w14:paraId="5BBC4A7B" w14:textId="331A0B43" w:rsidR="00AB0EC4" w:rsidRPr="00A21682" w:rsidRDefault="00AB0EC4" w:rsidP="00362090">
      <w:pPr>
        <w:pStyle w:val="NormalNEW"/>
        <w:rPr>
          <w:lang w:val="en-US"/>
        </w:rPr>
      </w:pPr>
      <w:r>
        <w:rPr>
          <w:lang w:val="en-US"/>
        </w:rPr>
        <w:t>Quality support includes quality training for project staff and the implementation of quality tools to support Section 7.4 Quality Control Plan and Section 7.3 Quality Assurance Approach. This section describes the approach to quality training and how project tools are used for quality management.</w:t>
      </w:r>
    </w:p>
    <w:p w14:paraId="6182414D" w14:textId="77777777" w:rsidR="00AB0EC4" w:rsidRPr="00A21682" w:rsidRDefault="00AB0EC4" w:rsidP="00362090">
      <w:pPr>
        <w:pStyle w:val="NormalNEW"/>
        <w:rPr>
          <w:lang w:val="en-US"/>
        </w:rPr>
      </w:pPr>
      <w:r>
        <w:rPr>
          <w:lang w:val="en-US"/>
        </w:rPr>
        <w:t>The following training sessions and learning opportunities will be provided as needed for the team to train staff on project-specific quality processes:</w:t>
      </w:r>
    </w:p>
    <w:p w14:paraId="5D100109" w14:textId="62603066" w:rsidR="00AB0EC4" w:rsidRPr="00A21682" w:rsidRDefault="00AB0EC4" w:rsidP="0031550A">
      <w:pPr>
        <w:pStyle w:val="BulletNEW"/>
      </w:pPr>
      <w:r>
        <w:rPr>
          <w:b/>
          <w:bCs/>
        </w:rPr>
        <w:t>Industry Training</w:t>
      </w:r>
      <w:r>
        <w:t xml:space="preserve"> – Although not specifically about quality, the project team may be required to take industry training courses that are relevant to the Continuing Medicaid Eligibility Modernization project, such as the Eligibility and Enrolment (EE) Bootcamp. The EE Bootcamp is a 4-day program to equip ███████ practitioners with deep foundational knowledge of Health and Human Services programs, such as various Public Assistance programs, their features, benefits, and funding sources to deliver a quality complex EE solution. Trainings, such as the EE Bootcamp and others, help improve quality by giving the staff a greater understanding of the subject matter</w:t>
      </w:r>
    </w:p>
    <w:p w14:paraId="4A049CD9" w14:textId="3764038C" w:rsidR="00AB0EC4" w:rsidRPr="00A21682" w:rsidRDefault="00AB0EC4" w:rsidP="0031550A">
      <w:pPr>
        <w:pStyle w:val="BulletNEW"/>
      </w:pPr>
      <w:r>
        <w:rPr>
          <w:b/>
          <w:bCs/>
        </w:rPr>
        <w:t>███████ EVD for SI Method</w:t>
      </w:r>
      <w:r>
        <w:t xml:space="preserve"> –Technology consultants at ███████ are up-to-speed on the latest version of ███████’s EVD for SI. Many of the standards specified in the EVD for SI will be utilized on the Continuing Medicaid Eligibility Modernization project, specifically in the development of the SDLC Methodology. EVD is ███████’s framework for consistently delivering value on business transformation and technology implementation engagement. EVD for SI encompasses leading practices in project management, change management, requirements and design, development, testing, deployment, and support and is aligned with CMMI and PMBOK</w:t>
      </w:r>
    </w:p>
    <w:p w14:paraId="2E01FDDC" w14:textId="096B28F3" w:rsidR="00AB0EC4" w:rsidRPr="00A21682" w:rsidRDefault="00AB0EC4" w:rsidP="0031550A">
      <w:pPr>
        <w:pStyle w:val="BulletNEW"/>
      </w:pPr>
      <w:r>
        <w:rPr>
          <w:b/>
          <w:bCs/>
        </w:rPr>
        <w:t>Project Management Professional (PMP) Certification</w:t>
      </w:r>
      <w:r>
        <w:t xml:space="preserve"> – Several of the ███████ staff on the Continuing Medicaid Eligibility Modernization project are PMP-certified with PMI. The PMP certified professionals are adept at the ever-changing requirements of project management including quality management</w:t>
      </w:r>
    </w:p>
    <w:p w14:paraId="6C705876" w14:textId="72EF47FE" w:rsidR="00AB0EC4" w:rsidRPr="00A21682" w:rsidRDefault="009B2A03">
      <w:pPr>
        <w:pStyle w:val="Heading2"/>
      </w:pPr>
      <w:bookmarkStart w:id="3570" w:name="_Toc141346721"/>
      <w:bookmarkStart w:id="3571" w:name="_Toc141348586"/>
      <w:bookmarkStart w:id="3572" w:name="_Toc141348788"/>
      <w:bookmarkStart w:id="3573" w:name="_Toc177119514"/>
      <w:bookmarkStart w:id="3574" w:name="_Toc185952812"/>
      <w:bookmarkStart w:id="3575" w:name="_Toc192874912"/>
      <w:bookmarkEnd w:id="3570"/>
      <w:bookmarkEnd w:id="3571"/>
      <w:bookmarkEnd w:id="3572"/>
      <w:r>
        <w:lastRenderedPageBreak/>
        <w:t>DED Checklist</w:t>
      </w:r>
      <w:bookmarkEnd w:id="3573"/>
      <w:bookmarkEnd w:id="3574"/>
      <w:bookmarkEnd w:id="3575"/>
    </w:p>
    <w:p w14:paraId="63E0A28A" w14:textId="6FBEA975" w:rsidR="004443B7" w:rsidRPr="00A21682" w:rsidRDefault="00AB0EC4" w:rsidP="00316CD0">
      <w:pPr>
        <w:pStyle w:val="NormalNEW"/>
        <w:rPr>
          <w:lang w:val="en-US"/>
        </w:rPr>
      </w:pPr>
      <w:r>
        <w:rPr>
          <w:lang w:val="en-US"/>
        </w:rPr>
        <w:t>The DED checklist is used to verify the quality of the DED for the project. The DED checklist is an evolving document and continuously refined. Any expected deviations from the DED checklist or standards will be documented in the transmittal letter.</w:t>
      </w:r>
    </w:p>
    <w:p w14:paraId="090D3653" w14:textId="16876955" w:rsidR="00AB0EC4" w:rsidRPr="00A21682" w:rsidRDefault="00AC02C3" w:rsidP="00316CD0">
      <w:pPr>
        <w:pStyle w:val="NormalNEW"/>
        <w:rPr>
          <w:lang w:val="en-US"/>
        </w:rPr>
      </w:pPr>
      <w:r>
        <w:rPr>
          <w:lang w:val="en-US"/>
        </w:rPr>
        <w:t>The latest version of the DED checklist can be found in Appendix E.</w:t>
      </w:r>
    </w:p>
    <w:p w14:paraId="09912FCA" w14:textId="77777777" w:rsidR="00AB0EC4" w:rsidRPr="00A21682" w:rsidRDefault="00AB0EC4" w:rsidP="009B2A03">
      <w:pPr>
        <w:pStyle w:val="Heading2"/>
      </w:pPr>
      <w:bookmarkStart w:id="3576" w:name="_Toc143601289"/>
      <w:bookmarkStart w:id="3577" w:name="_Toc153278121"/>
      <w:bookmarkStart w:id="3578" w:name="_Toc177119515"/>
      <w:bookmarkStart w:id="3579" w:name="_Toc185952813"/>
      <w:bookmarkStart w:id="3580" w:name="_Toc192874913"/>
      <w:r>
        <w:t>Deliverable Quality Checklist</w:t>
      </w:r>
      <w:bookmarkEnd w:id="3576"/>
      <w:bookmarkEnd w:id="3577"/>
      <w:bookmarkEnd w:id="3578"/>
      <w:bookmarkEnd w:id="3579"/>
      <w:bookmarkEnd w:id="3580"/>
    </w:p>
    <w:p w14:paraId="3C04C57F" w14:textId="4CDE9F2F" w:rsidR="000463F3" w:rsidRPr="00A21682" w:rsidRDefault="00067D8F" w:rsidP="00067D8F">
      <w:pPr>
        <w:pStyle w:val="NormalNEW"/>
        <w:rPr>
          <w:lang w:val="en-US"/>
        </w:rPr>
      </w:pPr>
      <w:r>
        <w:rPr>
          <w:lang w:val="en-US"/>
        </w:rPr>
        <w:t>The Deliverable checklist is used to verify the quality of the deliverables for the Continuing Medicaid Eligibility Modernization project. The Deliverable checklist is an evolving document and continuously refined. Any expected deviations from the Deliverable checklist or standards will be documented in the transmittal letter.</w:t>
      </w:r>
    </w:p>
    <w:p w14:paraId="4536B9C9" w14:textId="3DE2AC9D" w:rsidR="00067D8F" w:rsidRPr="00A21682" w:rsidRDefault="00067D8F" w:rsidP="00067D8F">
      <w:pPr>
        <w:pStyle w:val="NormalNEW"/>
        <w:rPr>
          <w:lang w:val="en-US"/>
        </w:rPr>
      </w:pPr>
      <w:r>
        <w:rPr>
          <w:lang w:val="en-US"/>
        </w:rPr>
        <w:t>The latest version of the Deliverable checklist can be found in Appendix E.</w:t>
      </w:r>
    </w:p>
    <w:p w14:paraId="0DBC665D" w14:textId="77777777" w:rsidR="00AB0EC4" w:rsidRPr="00A21682" w:rsidRDefault="00AB0EC4" w:rsidP="009B2A03">
      <w:pPr>
        <w:pStyle w:val="Heading2"/>
      </w:pPr>
      <w:bookmarkStart w:id="3581" w:name="_Toc185950165"/>
      <w:bookmarkStart w:id="3582" w:name="_Toc186885748"/>
      <w:bookmarkStart w:id="3583" w:name="_Toc187429490"/>
      <w:bookmarkStart w:id="3584" w:name="_Toc188451866"/>
      <w:bookmarkStart w:id="3585" w:name="_Toc188620760"/>
      <w:bookmarkStart w:id="3586" w:name="_Toc185950166"/>
      <w:bookmarkStart w:id="3587" w:name="_Toc186885749"/>
      <w:bookmarkStart w:id="3588" w:name="_Toc187429491"/>
      <w:bookmarkStart w:id="3589" w:name="_Toc188451867"/>
      <w:bookmarkStart w:id="3590" w:name="_Toc188620761"/>
      <w:bookmarkStart w:id="3591" w:name="_Toc153278122"/>
      <w:bookmarkStart w:id="3592" w:name="_Toc177119517"/>
      <w:bookmarkStart w:id="3593" w:name="_Toc185952814"/>
      <w:bookmarkStart w:id="3594" w:name="_Toc192874914"/>
      <w:bookmarkEnd w:id="3581"/>
      <w:bookmarkEnd w:id="3582"/>
      <w:bookmarkEnd w:id="3583"/>
      <w:bookmarkEnd w:id="3584"/>
      <w:bookmarkEnd w:id="3585"/>
      <w:bookmarkEnd w:id="3586"/>
      <w:bookmarkEnd w:id="3587"/>
      <w:bookmarkEnd w:id="3588"/>
      <w:bookmarkEnd w:id="3589"/>
      <w:bookmarkEnd w:id="3590"/>
      <w:r>
        <w:t>References</w:t>
      </w:r>
      <w:bookmarkEnd w:id="3591"/>
      <w:bookmarkEnd w:id="3592"/>
      <w:bookmarkEnd w:id="3593"/>
      <w:bookmarkEnd w:id="3594"/>
    </w:p>
    <w:p w14:paraId="0FAFB277" w14:textId="097A6E24" w:rsidR="00AB0EC4" w:rsidRPr="00A21682" w:rsidRDefault="00AB0EC4" w:rsidP="00CF5E83">
      <w:pPr>
        <w:pStyle w:val="NormalNEW"/>
        <w:rPr>
          <w:lang w:val="en-US"/>
        </w:rPr>
      </w:pPr>
      <w:r>
        <w:rPr>
          <w:lang w:val="en-US"/>
        </w:rPr>
        <w:t>The Quality Management Plan has project-wide implications and applicability. As such, it relies on several other sections of the PMP and Deliverables. The following section outlines the various PMP sections and deliverables referenced in the QMP.</w:t>
      </w:r>
    </w:p>
    <w:p w14:paraId="625E26F1" w14:textId="77777777" w:rsidR="00AB0EC4" w:rsidRPr="00A21682" w:rsidRDefault="00AB0EC4" w:rsidP="00F73D43">
      <w:pPr>
        <w:keepNext/>
        <w:keepLines/>
        <w:widowControl w:val="0"/>
        <w:numPr>
          <w:ilvl w:val="2"/>
          <w:numId w:val="16"/>
        </w:numPr>
        <w:tabs>
          <w:tab w:val="num" w:pos="360"/>
        </w:tabs>
        <w:spacing w:before="40" w:after="120" w:line="240" w:lineRule="atLeast"/>
        <w:ind w:left="792" w:hanging="792"/>
        <w:outlineLvl w:val="2"/>
        <w:rPr>
          <w:szCs w:val="24"/>
        </w:rPr>
      </w:pPr>
      <w:bookmarkStart w:id="3595" w:name="_Toc153278123"/>
      <w:bookmarkStart w:id="3596" w:name="_Toc185952815"/>
      <w:bookmarkStart w:id="3597" w:name="_Toc192874915"/>
      <w:r>
        <w:rPr>
          <w:rFonts w:ascii="Verdana" w:eastAsiaTheme="majorEastAsia" w:hAnsi="Verdana" w:cstheme="majorBidi"/>
          <w:b/>
          <w:sz w:val="18"/>
          <w:szCs w:val="24"/>
        </w:rPr>
        <w:t>SDLC Methodology</w:t>
      </w:r>
      <w:bookmarkEnd w:id="3595"/>
      <w:bookmarkEnd w:id="3596"/>
      <w:bookmarkEnd w:id="3597"/>
    </w:p>
    <w:p w14:paraId="5108CFBB" w14:textId="6B7E9A76" w:rsidR="00AB0EC4" w:rsidRPr="00A21682" w:rsidRDefault="00AB0EC4" w:rsidP="00CF5E83">
      <w:pPr>
        <w:pStyle w:val="NormalNEW"/>
        <w:rPr>
          <w:lang w:val="en-US"/>
        </w:rPr>
      </w:pPr>
      <w:r>
        <w:rPr>
          <w:lang w:val="en-US"/>
        </w:rPr>
        <w:t xml:space="preserve">The SDLC Methodology (refer to Section 2) defines the SDLC approach to be used for the implementation of the MECM solution. It defines how the Continuing Medicaid Eligibility Modernization project will operate throughout the life cycle across each of its phases including the scope, inputs, outputs, roles and responsibilities. This deliverable includes an SDLC RACI Matrix, which defines stakeholder group(s) involved in QA activities across the life cycle of the project. </w:t>
      </w:r>
    </w:p>
    <w:p w14:paraId="5A160D27" w14:textId="77777777" w:rsidR="00AB0EC4" w:rsidRPr="00A21682" w:rsidRDefault="00AB0EC4" w:rsidP="00F73D43">
      <w:pPr>
        <w:keepNext/>
        <w:keepLines/>
        <w:widowControl w:val="0"/>
        <w:numPr>
          <w:ilvl w:val="2"/>
          <w:numId w:val="16"/>
        </w:numPr>
        <w:tabs>
          <w:tab w:val="num" w:pos="360"/>
        </w:tabs>
        <w:spacing w:before="40" w:after="120" w:line="240" w:lineRule="atLeast"/>
        <w:ind w:left="792" w:hanging="792"/>
        <w:outlineLvl w:val="2"/>
        <w:rPr>
          <w:szCs w:val="24"/>
        </w:rPr>
      </w:pPr>
      <w:bookmarkStart w:id="3598" w:name="_Toc153278124"/>
      <w:bookmarkStart w:id="3599" w:name="_Toc185952816"/>
      <w:bookmarkStart w:id="3600" w:name="_Toc192874916"/>
      <w:r>
        <w:rPr>
          <w:rFonts w:ascii="Verdana" w:eastAsiaTheme="majorEastAsia" w:hAnsi="Verdana" w:cstheme="majorBidi"/>
          <w:b/>
          <w:sz w:val="18"/>
          <w:szCs w:val="24"/>
        </w:rPr>
        <w:t>Deliverable Management Plan</w:t>
      </w:r>
      <w:bookmarkEnd w:id="3598"/>
      <w:bookmarkEnd w:id="3599"/>
      <w:bookmarkEnd w:id="3600"/>
      <w:r>
        <w:rPr>
          <w:rFonts w:ascii="Verdana" w:eastAsiaTheme="majorEastAsia" w:hAnsi="Verdana" w:cstheme="majorBidi"/>
          <w:b/>
          <w:sz w:val="18"/>
          <w:szCs w:val="24"/>
        </w:rPr>
        <w:t xml:space="preserve"> </w:t>
      </w:r>
    </w:p>
    <w:p w14:paraId="1B03714E" w14:textId="30A493A4" w:rsidR="00AB0EC4" w:rsidRPr="00A21682" w:rsidRDefault="00AB0EC4" w:rsidP="00CF5E83">
      <w:pPr>
        <w:pStyle w:val="NormalNEW"/>
        <w:rPr>
          <w:lang w:val="en-US"/>
        </w:rPr>
      </w:pPr>
      <w:r>
        <w:rPr>
          <w:lang w:val="en-US"/>
        </w:rPr>
        <w:t xml:space="preserve">The Deliverable Management Plan (refer to Section 5) describes the processes, tools, and expectations to develop and manage project deliverables through DOH OHIP acceptance. For the purposes of the QMP, it defines review cadences for DEDs/Deliverables to which ███████ and DOS Leadership adhere. </w:t>
      </w:r>
    </w:p>
    <w:p w14:paraId="6E1E7288" w14:textId="72F880B3" w:rsidR="00AB0EC4" w:rsidRPr="00A21682" w:rsidRDefault="00053ACA" w:rsidP="00F73D43">
      <w:pPr>
        <w:keepNext/>
        <w:keepLines/>
        <w:widowControl w:val="0"/>
        <w:numPr>
          <w:ilvl w:val="2"/>
          <w:numId w:val="16"/>
        </w:numPr>
        <w:tabs>
          <w:tab w:val="num" w:pos="360"/>
        </w:tabs>
        <w:spacing w:before="40" w:after="120" w:line="240" w:lineRule="atLeast"/>
        <w:ind w:left="792" w:hanging="792"/>
        <w:outlineLvl w:val="2"/>
        <w:rPr>
          <w:szCs w:val="24"/>
        </w:rPr>
      </w:pPr>
      <w:bookmarkStart w:id="3601" w:name="_Toc185952817"/>
      <w:bookmarkStart w:id="3602" w:name="_Toc192874917"/>
      <w:r>
        <w:rPr>
          <w:rFonts w:ascii="Verdana" w:eastAsiaTheme="majorEastAsia" w:hAnsi="Verdana" w:cstheme="majorBidi"/>
          <w:b/>
          <w:sz w:val="18"/>
          <w:szCs w:val="24"/>
        </w:rPr>
        <w:t>Project Controls Plan</w:t>
      </w:r>
      <w:bookmarkEnd w:id="3601"/>
      <w:bookmarkEnd w:id="3602"/>
    </w:p>
    <w:p w14:paraId="211CCA43" w14:textId="0E11484B" w:rsidR="00AB0EC4" w:rsidRPr="00A21682" w:rsidRDefault="00AB0EC4" w:rsidP="00CF5E83">
      <w:pPr>
        <w:pStyle w:val="NormalNEW"/>
        <w:rPr>
          <w:lang w:val="en-US"/>
        </w:rPr>
      </w:pPr>
      <w:r>
        <w:rPr>
          <w:lang w:val="en-US"/>
        </w:rPr>
        <w:t>The Project Controls Plan (refer to Section 9) defines the overall strategy and methodology used to manage risks, issues, action items, and decisions throughout the course of the Continuing Medicaid Eligibility Modernization project. One output of quality assurance reviews will be a set of suggested actions. Once these actions are identified, the project team will discuss at the project status meeting and mutually determine which, if any, actions will be undertaken. Actions that are approved for implementation will be documented in the ALM tool and tracked to completion according to the Project Controls Plan (refer to Section 9).</w:t>
      </w:r>
    </w:p>
    <w:p w14:paraId="688833BF" w14:textId="77777777" w:rsidR="00AB0EC4" w:rsidRPr="00A21682" w:rsidRDefault="00AB0EC4" w:rsidP="00F73D43">
      <w:pPr>
        <w:keepNext/>
        <w:keepLines/>
        <w:widowControl w:val="0"/>
        <w:numPr>
          <w:ilvl w:val="2"/>
          <w:numId w:val="16"/>
        </w:numPr>
        <w:tabs>
          <w:tab w:val="num" w:pos="360"/>
        </w:tabs>
        <w:spacing w:before="40" w:after="120" w:line="240" w:lineRule="atLeast"/>
        <w:ind w:left="792" w:hanging="792"/>
        <w:outlineLvl w:val="2"/>
        <w:rPr>
          <w:rFonts w:ascii="Verdana" w:eastAsiaTheme="majorEastAsia" w:hAnsi="Verdana" w:cstheme="majorBidi"/>
          <w:b/>
          <w:sz w:val="18"/>
          <w:szCs w:val="24"/>
        </w:rPr>
      </w:pPr>
      <w:bookmarkStart w:id="3603" w:name="_Toc153278126"/>
      <w:bookmarkStart w:id="3604" w:name="_Toc185952818"/>
      <w:bookmarkStart w:id="3605" w:name="_Toc192874918"/>
      <w:r>
        <w:rPr>
          <w:rFonts w:ascii="Verdana" w:eastAsiaTheme="majorEastAsia" w:hAnsi="Verdana" w:cstheme="majorBidi"/>
          <w:b/>
          <w:sz w:val="18"/>
          <w:szCs w:val="24"/>
        </w:rPr>
        <w:t>Test Management Plan</w:t>
      </w:r>
      <w:bookmarkEnd w:id="3603"/>
      <w:bookmarkEnd w:id="3604"/>
      <w:bookmarkEnd w:id="3605"/>
    </w:p>
    <w:p w14:paraId="4C360432" w14:textId="2180C647" w:rsidR="00AB0EC4" w:rsidRPr="00A21682" w:rsidRDefault="00AB0EC4" w:rsidP="00CF5E83">
      <w:pPr>
        <w:pStyle w:val="NormalNEW"/>
        <w:rPr>
          <w:lang w:val="en-US"/>
        </w:rPr>
      </w:pPr>
      <w:r>
        <w:rPr>
          <w:lang w:val="en-US"/>
        </w:rPr>
        <w:t>The Test Management Plan (DEL-09) outlines the approach that will be employed to test the MECM system and evaluate the results of that testing. Quality management approaches associated with test management activities will be supported by the Test Management Plan. ███████’s approach to identifying and managing defects, UAT support, and overall testing strategy is discussed in detail in this deliverable.</w:t>
      </w:r>
    </w:p>
    <w:p w14:paraId="4F4BDBE3" w14:textId="5957F725" w:rsidR="00AB0EC4" w:rsidRPr="00A21682" w:rsidRDefault="00AB0EC4" w:rsidP="00F73D43">
      <w:pPr>
        <w:keepNext/>
        <w:keepLines/>
        <w:widowControl w:val="0"/>
        <w:numPr>
          <w:ilvl w:val="2"/>
          <w:numId w:val="16"/>
        </w:numPr>
        <w:tabs>
          <w:tab w:val="num" w:pos="360"/>
        </w:tabs>
        <w:spacing w:before="40" w:after="120" w:line="240" w:lineRule="atLeast"/>
        <w:ind w:left="792" w:hanging="792"/>
        <w:outlineLvl w:val="2"/>
        <w:rPr>
          <w:rFonts w:ascii="Verdana" w:eastAsiaTheme="majorEastAsia" w:hAnsi="Verdana" w:cstheme="majorBidi"/>
          <w:b/>
          <w:sz w:val="18"/>
          <w:szCs w:val="24"/>
        </w:rPr>
      </w:pPr>
      <w:bookmarkStart w:id="3606" w:name="_Toc153278127"/>
      <w:bookmarkStart w:id="3607" w:name="_Toc185952819"/>
      <w:bookmarkStart w:id="3608" w:name="_Toc192874919"/>
      <w:r>
        <w:rPr>
          <w:rFonts w:ascii="Verdana" w:eastAsiaTheme="majorEastAsia" w:hAnsi="Verdana" w:cstheme="majorBidi"/>
          <w:b/>
          <w:sz w:val="18"/>
          <w:szCs w:val="24"/>
        </w:rPr>
        <w:t>Maintenance and Operations Run Book</w:t>
      </w:r>
      <w:bookmarkEnd w:id="3606"/>
      <w:bookmarkEnd w:id="3607"/>
      <w:bookmarkEnd w:id="3608"/>
    </w:p>
    <w:p w14:paraId="09EC9603" w14:textId="5344FBF9" w:rsidR="00032F4E" w:rsidRPr="00A21682" w:rsidRDefault="00AB0EC4" w:rsidP="009B2A03">
      <w:pPr>
        <w:pStyle w:val="NormalNEW"/>
        <w:rPr>
          <w:lang w:val="en-US"/>
        </w:rPr>
      </w:pPr>
      <w:r>
        <w:rPr>
          <w:lang w:val="en-US"/>
        </w:rPr>
        <w:t xml:space="preserve">The M&amp;O Run Book (DEL-33) describes standard operating procedures for batches, interfaces, notices, deployments, and data activities (e.g., data fixes, data extracts). In addition, it lists production defect </w:t>
      </w:r>
      <w:r>
        <w:rPr>
          <w:lang w:val="en-US"/>
        </w:rPr>
        <w:lastRenderedPageBreak/>
        <w:t>and incident management processes, security management process, and the approach to performing technical maintenance. This deliverable will outline how ███████ will track, compile source data, and report findings to DOH OHIP on SLA compliance.</w:t>
      </w:r>
    </w:p>
    <w:p w14:paraId="317B83C1" w14:textId="77777777" w:rsidR="00733DFC" w:rsidRPr="00A21682" w:rsidRDefault="00733DFC" w:rsidP="00032F4E">
      <w:pPr>
        <w:rPr>
          <w:rFonts w:ascii="Verdana" w:hAnsi="Verdana"/>
          <w:sz w:val="18"/>
        </w:rPr>
        <w:sectPr w:rsidR="00733DFC" w:rsidRPr="00A21682" w:rsidSect="00FB4E23">
          <w:headerReference w:type="default" r:id="rId86"/>
          <w:footerReference w:type="default" r:id="rId87"/>
          <w:pgSz w:w="12240" w:h="15840"/>
          <w:pgMar w:top="1440" w:right="1440" w:bottom="1440" w:left="1440" w:header="720" w:footer="720" w:gutter="0"/>
          <w:cols w:space="720"/>
          <w:docGrid w:linePitch="360"/>
        </w:sectPr>
      </w:pPr>
    </w:p>
    <w:p w14:paraId="4067FC2E" w14:textId="51E31A8B" w:rsidR="00544827" w:rsidRPr="00A21682" w:rsidRDefault="00733DFC" w:rsidP="00A9704C">
      <w:pPr>
        <w:pStyle w:val="Deliverable"/>
        <w:jc w:val="center"/>
        <w:rPr>
          <w:sz w:val="18"/>
        </w:rPr>
      </w:pPr>
      <w:r>
        <w:rPr>
          <w:color w:val="FFFFFF" w:themeColor="background1"/>
        </w:rPr>
        <w:lastRenderedPageBreak/>
        <w:t>Section 8 – Resource Management Plan</w:t>
      </w:r>
    </w:p>
    <w:p w14:paraId="519ED19A" w14:textId="77777777" w:rsidR="00733DFC" w:rsidRPr="00A21682" w:rsidRDefault="00733DFC" w:rsidP="00A3488A">
      <w:pPr>
        <w:rPr>
          <w:rFonts w:ascii="Verdana" w:hAnsi="Verdana"/>
          <w:sz w:val="18"/>
        </w:rPr>
        <w:sectPr w:rsidR="00733DFC" w:rsidRPr="00A21682" w:rsidSect="00FB4E23">
          <w:headerReference w:type="default" r:id="rId88"/>
          <w:footerReference w:type="default" r:id="rId89"/>
          <w:pgSz w:w="12240" w:h="15840"/>
          <w:pgMar w:top="1440" w:right="1440" w:bottom="1440" w:left="1440" w:header="720" w:footer="720" w:gutter="0"/>
          <w:cols w:space="720"/>
          <w:vAlign w:val="center"/>
          <w:docGrid w:linePitch="360"/>
        </w:sectPr>
      </w:pPr>
    </w:p>
    <w:p w14:paraId="69FB47FF" w14:textId="70172705" w:rsidR="00733DFC" w:rsidRPr="00A21682" w:rsidRDefault="00F22739">
      <w:pPr>
        <w:pStyle w:val="Heading1"/>
      </w:pPr>
      <w:bookmarkStart w:id="3609" w:name="_Toc177119518"/>
      <w:bookmarkStart w:id="3610" w:name="_Toc185952820"/>
      <w:bookmarkStart w:id="3611" w:name="_Toc192874920"/>
      <w:r>
        <w:lastRenderedPageBreak/>
        <w:t>Resource Management Plan</w:t>
      </w:r>
      <w:bookmarkEnd w:id="3609"/>
      <w:bookmarkEnd w:id="3610"/>
      <w:bookmarkEnd w:id="3611"/>
    </w:p>
    <w:p w14:paraId="27911E17" w14:textId="77777777" w:rsidR="00B92E9D" w:rsidRPr="00A21682" w:rsidRDefault="00B92E9D">
      <w:pPr>
        <w:pStyle w:val="Heading2"/>
      </w:pPr>
      <w:bookmarkStart w:id="3612" w:name="_Toc149312332"/>
      <w:bookmarkStart w:id="3613" w:name="_Toc177119519"/>
      <w:bookmarkStart w:id="3614" w:name="_Toc185952821"/>
      <w:bookmarkStart w:id="3615" w:name="_Toc192874921"/>
      <w:r>
        <w:t>Introduction</w:t>
      </w:r>
      <w:bookmarkEnd w:id="3612"/>
      <w:bookmarkEnd w:id="3613"/>
      <w:bookmarkEnd w:id="3614"/>
      <w:bookmarkEnd w:id="3615"/>
      <w:r>
        <w:t xml:space="preserve"> </w:t>
      </w:r>
    </w:p>
    <w:p w14:paraId="053C187F" w14:textId="29E50A58" w:rsidR="00B92E9D" w:rsidRPr="00A21682" w:rsidRDefault="00B92E9D" w:rsidP="00E720A3">
      <w:pPr>
        <w:pStyle w:val="NormalNEW"/>
        <w:rPr>
          <w:u w:color="000000" w:themeColor="text1"/>
          <w:lang w:val="en-US" w:eastAsia="ko-KR"/>
        </w:rPr>
      </w:pPr>
      <w:r>
        <w:rPr>
          <w:u w:color="000000" w:themeColor="text1"/>
          <w:lang w:val="en-US" w:eastAsia="ko-KR"/>
        </w:rPr>
        <w:t>The Resource Management Plan identifies the staffing requirements and processes per the Continuing Medicaid Eligibility Modernization ISOWs. The Resource Management Plan outlines the procedures and processes to onboard, offboard, and transition resources as needed throughout the project.</w:t>
      </w:r>
    </w:p>
    <w:p w14:paraId="6D848631" w14:textId="77777777" w:rsidR="00B92E9D" w:rsidRPr="00A21682" w:rsidRDefault="00B92E9D">
      <w:pPr>
        <w:pStyle w:val="Heading2"/>
      </w:pPr>
      <w:bookmarkStart w:id="3616" w:name="_Toc149312333"/>
      <w:bookmarkStart w:id="3617" w:name="_Toc177119520"/>
      <w:bookmarkStart w:id="3618" w:name="_Toc185952822"/>
      <w:bookmarkStart w:id="3619" w:name="_Toc192874922"/>
      <w:r>
        <w:t>Purpose</w:t>
      </w:r>
      <w:bookmarkEnd w:id="3616"/>
      <w:bookmarkEnd w:id="3617"/>
      <w:bookmarkEnd w:id="3618"/>
      <w:bookmarkEnd w:id="3619"/>
      <w:r>
        <w:t xml:space="preserve"> </w:t>
      </w:r>
    </w:p>
    <w:p w14:paraId="101CFFA3" w14:textId="77777777" w:rsidR="00B92E9D" w:rsidRPr="00A21682" w:rsidRDefault="00B92E9D" w:rsidP="00E720A3">
      <w:pPr>
        <w:pStyle w:val="NormalNEW"/>
        <w:rPr>
          <w:u w:color="000000" w:themeColor="text1"/>
          <w:lang w:val="en-US" w:eastAsia="ko-KR"/>
        </w:rPr>
      </w:pPr>
      <w:r>
        <w:rPr>
          <w:u w:color="000000" w:themeColor="text1"/>
          <w:lang w:val="en-US" w:eastAsia="ko-KR"/>
        </w:rPr>
        <w:t>The Resource Management Plan identifies the preliminary and ongoing staffing and monitoring processes, including future staff needs and associated decisions for release or renewal of personnel. The objective of this plan is to provide a guideline for the below items:</w:t>
      </w:r>
    </w:p>
    <w:p w14:paraId="4387D12E" w14:textId="77777777" w:rsidR="00B92E9D" w:rsidRPr="00A21682" w:rsidRDefault="00B92E9D" w:rsidP="0031550A">
      <w:pPr>
        <w:pStyle w:val="BulletNEW"/>
        <w:rPr>
          <w:lang w:eastAsia="ko-KR"/>
        </w:rPr>
      </w:pPr>
      <w:r>
        <w:rPr>
          <w:lang w:eastAsia="ko-KR"/>
        </w:rPr>
        <w:t>Describe the process for staffing considerations, including initial and ongoing project resource needs, resource levels and assignments, number of key and non-key personnel, and information on how personnel will be deployed throughout the project</w:t>
      </w:r>
    </w:p>
    <w:p w14:paraId="4C7097B2" w14:textId="77777777" w:rsidR="00B92E9D" w:rsidRPr="00A21682" w:rsidRDefault="00B92E9D" w:rsidP="0031550A">
      <w:pPr>
        <w:pStyle w:val="BulletNEW"/>
        <w:rPr>
          <w:lang w:eastAsia="ko-KR"/>
        </w:rPr>
      </w:pPr>
      <w:r>
        <w:rPr>
          <w:lang w:eastAsia="ko-KR"/>
        </w:rPr>
        <w:t xml:space="preserve">Describe the staff management process to onboard, offboard, train, and transition staff members on the project </w:t>
      </w:r>
    </w:p>
    <w:p w14:paraId="1678542B" w14:textId="77777777" w:rsidR="00B92E9D" w:rsidRPr="00A21682" w:rsidRDefault="00B92E9D" w:rsidP="0031550A">
      <w:pPr>
        <w:pStyle w:val="BulletNEW"/>
        <w:rPr>
          <w:lang w:eastAsia="ko-KR"/>
        </w:rPr>
      </w:pPr>
      <w:r>
        <w:rPr>
          <w:lang w:eastAsia="ko-KR"/>
        </w:rPr>
        <w:t>Provide an overview of the initial staff planning and roster maintenance processes</w:t>
      </w:r>
    </w:p>
    <w:p w14:paraId="2141BA8F" w14:textId="77777777" w:rsidR="00B92E9D" w:rsidRPr="00A21682" w:rsidRDefault="00B92E9D">
      <w:pPr>
        <w:pStyle w:val="Heading3"/>
        <w:rPr>
          <w:u w:color="000000" w:themeColor="text1"/>
          <w:lang w:eastAsia="ko-KR"/>
        </w:rPr>
      </w:pPr>
      <w:bookmarkStart w:id="3620" w:name="_Toc143602022"/>
      <w:bookmarkStart w:id="3621" w:name="_Toc149312334"/>
      <w:bookmarkStart w:id="3622" w:name="_Toc177119521"/>
      <w:bookmarkStart w:id="3623" w:name="_Toc185952823"/>
      <w:bookmarkStart w:id="3624" w:name="_Toc192874923"/>
      <w:r>
        <w:rPr>
          <w:u w:color="000000" w:themeColor="text1"/>
          <w:lang w:eastAsia="ko-KR"/>
        </w:rPr>
        <w:t>Organizational Structure</w:t>
      </w:r>
      <w:bookmarkEnd w:id="3620"/>
      <w:bookmarkEnd w:id="3621"/>
      <w:bookmarkEnd w:id="3622"/>
      <w:bookmarkEnd w:id="3623"/>
      <w:bookmarkEnd w:id="3624"/>
    </w:p>
    <w:p w14:paraId="719EB79E" w14:textId="0D92AE1D" w:rsidR="00B92E9D" w:rsidRPr="00A21682" w:rsidRDefault="00B92E9D" w:rsidP="00E720A3">
      <w:pPr>
        <w:pStyle w:val="NormalNEW"/>
        <w:rPr>
          <w:u w:color="000000" w:themeColor="text1"/>
          <w:lang w:val="en-US" w:eastAsia="ko-KR"/>
        </w:rPr>
      </w:pPr>
      <w:r>
        <w:rPr>
          <w:u w:color="000000" w:themeColor="text1"/>
          <w:lang w:val="en-US" w:eastAsia="ko-KR"/>
        </w:rPr>
        <w:t>The Project Team has developed an organizational structure for the team. While changes in project staffing may occur over the project life cycle, the organizational structure will remain constant. The primary components of the organizational structure are:</w:t>
      </w:r>
    </w:p>
    <w:p w14:paraId="70F72706" w14:textId="09CD8703" w:rsidR="00B92E9D" w:rsidRPr="00A21682" w:rsidRDefault="00B92E9D" w:rsidP="0031550A">
      <w:pPr>
        <w:pStyle w:val="BulletNEW"/>
        <w:rPr>
          <w:lang w:eastAsia="ko-KR"/>
        </w:rPr>
      </w:pPr>
      <w:r>
        <w:rPr>
          <w:lang w:eastAsia="ko-KR"/>
        </w:rPr>
        <w:t xml:space="preserve">Project Executive: Leads the </w:t>
      </w:r>
      <w:r>
        <w:t>Continuing Medicaid Eligibility Modernization</w:t>
      </w:r>
      <w:r>
        <w:rPr>
          <w:lang w:eastAsia="ko-KR"/>
        </w:rPr>
        <w:t xml:space="preserve"> project with input from other members of project leadership who have relevant expertise</w:t>
      </w:r>
    </w:p>
    <w:p w14:paraId="54A1107B" w14:textId="6D28358D" w:rsidR="00B92E9D" w:rsidRPr="00A21682" w:rsidRDefault="00B92E9D" w:rsidP="0031550A">
      <w:pPr>
        <w:pStyle w:val="BulletNEW"/>
        <w:rPr>
          <w:lang w:eastAsia="ko-KR"/>
        </w:rPr>
      </w:pPr>
      <w:r>
        <w:rPr>
          <w:lang w:eastAsia="ko-KR"/>
        </w:rPr>
        <w:t>Project Director: Oversees all project tracks, which include Implementation and Change Management, Technical, PMO, Test, and Functional</w:t>
      </w:r>
    </w:p>
    <w:p w14:paraId="42022FE7" w14:textId="3A9B5CA8" w:rsidR="00B92E9D" w:rsidRPr="00A21682" w:rsidRDefault="00B92E9D" w:rsidP="0031550A">
      <w:pPr>
        <w:pStyle w:val="BulletNEW"/>
        <w:rPr>
          <w:lang w:eastAsia="ko-KR"/>
        </w:rPr>
      </w:pPr>
      <w:r>
        <w:rPr>
          <w:lang w:eastAsia="ko-KR"/>
        </w:rPr>
        <w:t>Managers: Managers will be responsible for their respective project track deliverables and accompanying tasks. Managers will lead staff in support of the execution of work products</w:t>
      </w:r>
    </w:p>
    <w:p w14:paraId="68F47600" w14:textId="3459A149" w:rsidR="00B92E9D" w:rsidRPr="00A21682" w:rsidRDefault="00B92E9D" w:rsidP="0031550A">
      <w:pPr>
        <w:pStyle w:val="BulletNEW"/>
        <w:rPr>
          <w:lang w:eastAsia="ko-KR"/>
        </w:rPr>
      </w:pPr>
      <w:r>
        <w:rPr>
          <w:lang w:eastAsia="ko-KR"/>
        </w:rPr>
        <w:t>Staff: Staff will be responsible for performing day-to-day tasks and activities to support their managers in the delivery of their respective tracks</w:t>
      </w:r>
    </w:p>
    <w:p w14:paraId="055FC9FA" w14:textId="77777777" w:rsidR="00B92E9D" w:rsidRPr="00A21682" w:rsidRDefault="00B92E9D">
      <w:pPr>
        <w:pStyle w:val="Heading2"/>
      </w:pPr>
      <w:bookmarkStart w:id="3625" w:name="_Toc149312335"/>
      <w:bookmarkStart w:id="3626" w:name="_Toc177119522"/>
      <w:bookmarkStart w:id="3627" w:name="_Toc185952824"/>
      <w:bookmarkStart w:id="3628" w:name="_Toc192874924"/>
      <w:r>
        <w:t>Resource/Staff Management Approach</w:t>
      </w:r>
      <w:bookmarkEnd w:id="3625"/>
      <w:bookmarkEnd w:id="3626"/>
      <w:bookmarkEnd w:id="3627"/>
      <w:bookmarkEnd w:id="3628"/>
    </w:p>
    <w:p w14:paraId="46D4257B" w14:textId="77777777" w:rsidR="00B92E9D" w:rsidRPr="00A21682" w:rsidRDefault="00B92E9D" w:rsidP="00E720A3">
      <w:pPr>
        <w:pStyle w:val="NormalNEW"/>
        <w:rPr>
          <w:lang w:val="en-US"/>
        </w:rPr>
      </w:pPr>
      <w:r>
        <w:rPr>
          <w:lang w:val="en-US"/>
        </w:rPr>
        <w:t>The following section outlines how ███████ will initiate staffing and manage resources throughout the project.</w:t>
      </w:r>
    </w:p>
    <w:p w14:paraId="53AEB939" w14:textId="77777777" w:rsidR="00B92E9D" w:rsidRPr="00A21682" w:rsidRDefault="00B92E9D">
      <w:pPr>
        <w:pStyle w:val="Heading3"/>
        <w:rPr>
          <w:u w:color="000000" w:themeColor="text1"/>
          <w:lang w:eastAsia="ko-KR"/>
        </w:rPr>
      </w:pPr>
      <w:bookmarkStart w:id="3629" w:name="_Toc149312336"/>
      <w:bookmarkStart w:id="3630" w:name="_Toc177119523"/>
      <w:bookmarkStart w:id="3631" w:name="_Toc185952825"/>
      <w:bookmarkStart w:id="3632" w:name="_Toc192874925"/>
      <w:r>
        <w:rPr>
          <w:u w:color="000000" w:themeColor="text1"/>
          <w:lang w:eastAsia="ko-KR"/>
        </w:rPr>
        <w:t>Staffing Process</w:t>
      </w:r>
      <w:bookmarkEnd w:id="3629"/>
      <w:bookmarkEnd w:id="3630"/>
      <w:bookmarkEnd w:id="3631"/>
      <w:bookmarkEnd w:id="3632"/>
    </w:p>
    <w:p w14:paraId="71049BDE" w14:textId="77777777" w:rsidR="00B92E9D" w:rsidRPr="00A21682" w:rsidRDefault="00B92E9D" w:rsidP="00E720A3">
      <w:pPr>
        <w:pStyle w:val="NormalNEW"/>
        <w:rPr>
          <w:u w:color="000000" w:themeColor="text1"/>
          <w:lang w:val="en-US" w:eastAsia="ko-KR"/>
        </w:rPr>
      </w:pPr>
      <w:r>
        <w:rPr>
          <w:u w:color="000000" w:themeColor="text1"/>
          <w:lang w:val="en-US" w:eastAsia="ko-KR"/>
        </w:rPr>
        <w:t>Effective resource management requires a process to identify and appropriately fill evolving staffing needs. This section defines the approach.</w:t>
      </w:r>
    </w:p>
    <w:p w14:paraId="58DC7D85" w14:textId="77777777" w:rsidR="00B92E9D" w:rsidRPr="00A21682" w:rsidRDefault="00B92E9D" w:rsidP="00424DE9">
      <w:pPr>
        <w:pStyle w:val="Heading4"/>
        <w:rPr>
          <w:u w:color="000000" w:themeColor="text1"/>
          <w:lang w:eastAsia="ko-KR"/>
        </w:rPr>
      </w:pPr>
      <w:bookmarkStart w:id="3633" w:name="_Toc149312337"/>
      <w:bookmarkStart w:id="3634" w:name="_Toc177119524"/>
      <w:bookmarkStart w:id="3635" w:name="_Toc185952826"/>
      <w:bookmarkStart w:id="3636" w:name="_Toc192874926"/>
      <w:r>
        <w:rPr>
          <w:u w:color="000000" w:themeColor="text1"/>
          <w:lang w:eastAsia="ko-KR"/>
        </w:rPr>
        <w:lastRenderedPageBreak/>
        <w:t>Staffing Process Flow Diagram</w:t>
      </w:r>
      <w:bookmarkEnd w:id="3633"/>
      <w:bookmarkEnd w:id="3634"/>
      <w:bookmarkEnd w:id="3635"/>
      <w:bookmarkEnd w:id="3636"/>
    </w:p>
    <w:p w14:paraId="1DC84A7C" w14:textId="77777777" w:rsidR="00B92E9D" w:rsidRPr="00A21682" w:rsidRDefault="00B92E9D" w:rsidP="005A19C6">
      <w:pPr>
        <w:pStyle w:val="NormalNEW"/>
        <w:keepNext/>
        <w:rPr>
          <w:lang w:val="en-US"/>
        </w:rPr>
      </w:pPr>
      <w:r>
        <w:rPr>
          <w:lang w:val="en-US"/>
        </w:rPr>
        <w:t>The diagram below outlines the staffing process.</w:t>
      </w:r>
    </w:p>
    <w:p w14:paraId="0F319587" w14:textId="44CA6A1E" w:rsidR="00BD0759" w:rsidRPr="00A21682" w:rsidRDefault="00A40AA5" w:rsidP="005A19C6">
      <w:pPr>
        <w:pStyle w:val="NormalNEW"/>
        <w:keepNext/>
        <w:rPr>
          <w:lang w:val="en-US"/>
        </w:rPr>
      </w:pPr>
      <w:r>
        <w:rPr>
          <w:lang w:val="en-US"/>
        </w:rPr>
        <w:pict w14:anchorId="54AF70D9">
          <v:shape id="_x0000_i1046" type="#_x0000_t75" style="width:468.6pt;height:185.4pt">
            <v:imagedata r:id="rId90" o:title=""/>
          </v:shape>
        </w:pict>
      </w:r>
    </w:p>
    <w:p w14:paraId="27DE317E" w14:textId="76AA339D" w:rsidR="00B92E9D" w:rsidRPr="00A21682" w:rsidRDefault="00B92E9D" w:rsidP="00E720A3">
      <w:pPr>
        <w:pStyle w:val="NormalNEW"/>
        <w:rPr>
          <w:u w:color="000000" w:themeColor="text1"/>
          <w:lang w:val="en-US"/>
        </w:rPr>
      </w:pPr>
    </w:p>
    <w:p w14:paraId="121D7C54" w14:textId="65D5B14D" w:rsidR="00B92E9D" w:rsidRPr="00A21682" w:rsidRDefault="00B92E9D" w:rsidP="00D818D3">
      <w:pPr>
        <w:pStyle w:val="Caption"/>
        <w:rPr>
          <w:noProof w:val="0"/>
        </w:rPr>
      </w:pPr>
      <w:bookmarkStart w:id="3637" w:name="_Toc149312350"/>
      <w:bookmarkStart w:id="3638" w:name="_Toc178152066"/>
      <w:bookmarkStart w:id="3639" w:name="_Toc192875074"/>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8</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Staffing Process Flow Diagram</w:t>
      </w:r>
      <w:bookmarkEnd w:id="3637"/>
      <w:bookmarkEnd w:id="3638"/>
      <w:bookmarkEnd w:id="3639"/>
    </w:p>
    <w:p w14:paraId="103755EB" w14:textId="77777777" w:rsidR="00B92E9D" w:rsidRPr="00A21682" w:rsidRDefault="00B92E9D" w:rsidP="00424DE9">
      <w:pPr>
        <w:pStyle w:val="Heading4"/>
        <w:rPr>
          <w:u w:color="000000" w:themeColor="text1"/>
          <w:lang w:eastAsia="ko-KR"/>
        </w:rPr>
      </w:pPr>
      <w:bookmarkStart w:id="3640" w:name="_Toc149312338"/>
      <w:bookmarkStart w:id="3641" w:name="_Toc177119525"/>
      <w:bookmarkStart w:id="3642" w:name="_Toc185952827"/>
      <w:bookmarkStart w:id="3643" w:name="_Toc192874927"/>
      <w:r>
        <w:rPr>
          <w:u w:color="000000" w:themeColor="text1"/>
          <w:lang w:eastAsia="ko-KR"/>
        </w:rPr>
        <w:t>Staffing Process Flow Narrative</w:t>
      </w:r>
      <w:bookmarkEnd w:id="3640"/>
      <w:bookmarkEnd w:id="3641"/>
      <w:bookmarkEnd w:id="3642"/>
      <w:bookmarkEnd w:id="3643"/>
    </w:p>
    <w:p w14:paraId="35E7E313" w14:textId="2730D897" w:rsidR="00B92E9D" w:rsidRPr="00A21682" w:rsidRDefault="00B92E9D" w:rsidP="00170CC3">
      <w:pPr>
        <w:pStyle w:val="NormalNEW"/>
        <w:rPr>
          <w:u w:color="000000" w:themeColor="text1"/>
          <w:lang w:val="en-US" w:eastAsia="ko-KR"/>
        </w:rPr>
      </w:pPr>
      <w:r>
        <w:rPr>
          <w:u w:color="000000" w:themeColor="text1"/>
          <w:lang w:val="en-US" w:eastAsia="ko-KR"/>
        </w:rPr>
        <w:t>The steps identified below document this process and the responsible stakeholder group(s), as defined by DOH OHIP.</w:t>
      </w:r>
      <w:bookmarkStart w:id="3644" w:name="_Toc143602024"/>
    </w:p>
    <w:tbl>
      <w:tblPr>
        <w:tblStyle w:val="ProcessSteps3"/>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715"/>
        <w:gridCol w:w="1352"/>
        <w:gridCol w:w="4860"/>
        <w:gridCol w:w="2428"/>
      </w:tblGrid>
      <w:tr w:rsidR="00B92E9D" w:rsidRPr="00A21682" w14:paraId="50FA0DE5" w14:textId="77777777" w:rsidTr="00541F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Borders>
              <w:right w:val="single" w:sz="2" w:space="0" w:color="FFFFFF" w:themeColor="background1"/>
            </w:tcBorders>
          </w:tcPr>
          <w:p w14:paraId="1BFF2D6A" w14:textId="77777777" w:rsidR="00B92E9D" w:rsidRPr="00A21682" w:rsidRDefault="00B92E9D" w:rsidP="00047C4E">
            <w:pPr>
              <w:pStyle w:val="TABLEHEADINGNEW"/>
              <w:rPr>
                <w:rFonts w:eastAsia="Times"/>
                <w:b/>
                <w:bCs w:val="0"/>
              </w:rPr>
            </w:pPr>
            <w:r>
              <w:rPr>
                <w:rFonts w:eastAsia="Times"/>
                <w:b/>
                <w:bCs w:val="0"/>
              </w:rPr>
              <w:t>Step #</w:t>
            </w:r>
          </w:p>
        </w:tc>
        <w:tc>
          <w:tcPr>
            <w:tcW w:w="1352" w:type="dxa"/>
            <w:tcBorders>
              <w:left w:val="single" w:sz="2" w:space="0" w:color="FFFFFF" w:themeColor="background1"/>
              <w:right w:val="single" w:sz="2" w:space="0" w:color="FFFFFF" w:themeColor="background1"/>
            </w:tcBorders>
          </w:tcPr>
          <w:p w14:paraId="277E095C" w14:textId="77777777" w:rsidR="00B92E9D" w:rsidRPr="00A21682" w:rsidRDefault="00B92E9D" w:rsidP="00047C4E">
            <w:pPr>
              <w:pStyle w:val="TABLEHEADINGNEW"/>
              <w:cnfStyle w:val="100000000000" w:firstRow="1" w:lastRow="0" w:firstColumn="0" w:lastColumn="0" w:oddVBand="0" w:evenVBand="0" w:oddHBand="0" w:evenHBand="0" w:firstRowFirstColumn="0" w:firstRowLastColumn="0" w:lastRowFirstColumn="0" w:lastRowLastColumn="0"/>
              <w:rPr>
                <w:rFonts w:eastAsia="Times"/>
                <w:b/>
                <w:bCs w:val="0"/>
              </w:rPr>
            </w:pPr>
            <w:r>
              <w:rPr>
                <w:rFonts w:eastAsia="Times"/>
                <w:b/>
                <w:bCs w:val="0"/>
              </w:rPr>
              <w:t>Process</w:t>
            </w:r>
          </w:p>
        </w:tc>
        <w:tc>
          <w:tcPr>
            <w:tcW w:w="4860" w:type="dxa"/>
            <w:tcBorders>
              <w:left w:val="single" w:sz="2" w:space="0" w:color="FFFFFF" w:themeColor="background1"/>
              <w:right w:val="single" w:sz="2" w:space="0" w:color="FFFFFF" w:themeColor="background1"/>
            </w:tcBorders>
          </w:tcPr>
          <w:p w14:paraId="2939DDB3" w14:textId="77777777" w:rsidR="00B92E9D" w:rsidRPr="00A21682" w:rsidRDefault="00B92E9D" w:rsidP="00047C4E">
            <w:pPr>
              <w:pStyle w:val="TABLEHEADINGNEW"/>
              <w:cnfStyle w:val="100000000000" w:firstRow="1" w:lastRow="0" w:firstColumn="0" w:lastColumn="0" w:oddVBand="0" w:evenVBand="0" w:oddHBand="0" w:evenHBand="0" w:firstRowFirstColumn="0" w:firstRowLastColumn="0" w:lastRowFirstColumn="0" w:lastRowLastColumn="0"/>
              <w:rPr>
                <w:rFonts w:eastAsia="Times"/>
                <w:b/>
                <w:bCs w:val="0"/>
              </w:rPr>
            </w:pPr>
            <w:r>
              <w:rPr>
                <w:rFonts w:eastAsia="Times"/>
                <w:b/>
                <w:bCs w:val="0"/>
              </w:rPr>
              <w:t>Description</w:t>
            </w:r>
          </w:p>
        </w:tc>
        <w:tc>
          <w:tcPr>
            <w:tcW w:w="2428" w:type="dxa"/>
            <w:tcBorders>
              <w:left w:val="single" w:sz="2" w:space="0" w:color="FFFFFF" w:themeColor="background1"/>
            </w:tcBorders>
          </w:tcPr>
          <w:p w14:paraId="2BFAD640" w14:textId="2B2FBFE0" w:rsidR="00B92E9D" w:rsidRPr="00A21682" w:rsidRDefault="00B92E9D" w:rsidP="00047C4E">
            <w:pPr>
              <w:pStyle w:val="TABLEHEADINGNEW"/>
              <w:cnfStyle w:val="100000000000" w:firstRow="1" w:lastRow="0" w:firstColumn="0" w:lastColumn="0" w:oddVBand="0" w:evenVBand="0" w:oddHBand="0" w:evenHBand="0" w:firstRowFirstColumn="0" w:firstRowLastColumn="0" w:lastRowFirstColumn="0" w:lastRowLastColumn="0"/>
              <w:rPr>
                <w:rFonts w:eastAsia="Times"/>
                <w:b/>
                <w:bCs w:val="0"/>
              </w:rPr>
            </w:pPr>
            <w:r>
              <w:rPr>
                <w:rFonts w:eastAsia="Times"/>
                <w:b/>
                <w:bCs w:val="0"/>
              </w:rPr>
              <w:t xml:space="preserve">Stakeholder </w:t>
            </w:r>
            <w:r>
              <w:rPr>
                <w:rFonts w:eastAsia="Times"/>
                <w:b/>
                <w:bCs w:val="0"/>
              </w:rPr>
              <w:br/>
              <w:t>Group(s)</w:t>
            </w:r>
          </w:p>
        </w:tc>
      </w:tr>
      <w:tr w:rsidR="00B92E9D" w:rsidRPr="00A21682" w14:paraId="1F3AA9BF" w14:textId="77777777" w:rsidTr="00047C4E">
        <w:trPr>
          <w:trHeight w:val="755"/>
        </w:trPr>
        <w:tc>
          <w:tcPr>
            <w:cnfStyle w:val="001000000000" w:firstRow="0" w:lastRow="0" w:firstColumn="1" w:lastColumn="0" w:oddVBand="0" w:evenVBand="0" w:oddHBand="0" w:evenHBand="0" w:firstRowFirstColumn="0" w:firstRowLastColumn="0" w:lastRowFirstColumn="0" w:lastRowLastColumn="0"/>
            <w:tcW w:w="715" w:type="dxa"/>
          </w:tcPr>
          <w:p w14:paraId="23F3F052" w14:textId="77777777" w:rsidR="00B92E9D" w:rsidRPr="00A21682" w:rsidRDefault="00B92E9D" w:rsidP="00047C4E">
            <w:pPr>
              <w:pStyle w:val="TABLETEXT1"/>
              <w:rPr>
                <w:b w:val="0"/>
                <w:bCs/>
                <w:lang w:val="en-US"/>
              </w:rPr>
            </w:pPr>
            <w:r>
              <w:rPr>
                <w:b w:val="0"/>
                <w:bCs/>
                <w:lang w:val="en-US"/>
              </w:rPr>
              <w:t>1</w:t>
            </w:r>
          </w:p>
        </w:tc>
        <w:tc>
          <w:tcPr>
            <w:tcW w:w="1352" w:type="dxa"/>
          </w:tcPr>
          <w:p w14:paraId="6057435E" w14:textId="35E7C72A"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Identify the Role</w:t>
            </w:r>
          </w:p>
        </w:tc>
        <w:tc>
          <w:tcPr>
            <w:tcW w:w="4860" w:type="dxa"/>
          </w:tcPr>
          <w:p w14:paraId="0EC0553A" w14:textId="796F5585"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Project leads identify the need for the role. Prior to initiating a resource search, project leads must clearly define the responsibilities of that role.</w:t>
            </w:r>
          </w:p>
        </w:tc>
        <w:tc>
          <w:tcPr>
            <w:tcW w:w="2428" w:type="dxa"/>
          </w:tcPr>
          <w:p w14:paraId="03925104" w14:textId="77777777" w:rsidR="00B92E9D" w:rsidRPr="00635C9B" w:rsidRDefault="00B92E9D"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Impacted Stakeholder Group(s)</w:t>
            </w:r>
          </w:p>
        </w:tc>
      </w:tr>
      <w:tr w:rsidR="00B92E9D" w:rsidRPr="00A21682" w14:paraId="1EC06AA0"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288ECD12" w14:textId="77777777" w:rsidR="00B92E9D" w:rsidRPr="00A21682" w:rsidRDefault="00B92E9D" w:rsidP="00047C4E">
            <w:pPr>
              <w:pStyle w:val="TABLETEXT1"/>
              <w:rPr>
                <w:b w:val="0"/>
                <w:bCs/>
                <w:lang w:val="en-US"/>
              </w:rPr>
            </w:pPr>
            <w:r>
              <w:rPr>
                <w:b w:val="0"/>
                <w:bCs/>
                <w:lang w:val="en-US"/>
              </w:rPr>
              <w:t>2</w:t>
            </w:r>
          </w:p>
        </w:tc>
        <w:tc>
          <w:tcPr>
            <w:tcW w:w="1352" w:type="dxa"/>
          </w:tcPr>
          <w:p w14:paraId="095DE65D"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Search</w:t>
            </w:r>
          </w:p>
        </w:tc>
        <w:tc>
          <w:tcPr>
            <w:tcW w:w="4860" w:type="dxa"/>
          </w:tcPr>
          <w:p w14:paraId="725B2173" w14:textId="3B925910" w:rsidR="00B92E9D" w:rsidRPr="00A21682" w:rsidRDefault="00430BB3"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The ███████ PMO leads the search to find appropriate candidates. The ███████ PMO looks across the national ███████ staff resource pool with a focus and emphasis on local State of New York resources.</w:t>
            </w:r>
          </w:p>
        </w:tc>
        <w:tc>
          <w:tcPr>
            <w:tcW w:w="2428" w:type="dxa"/>
          </w:tcPr>
          <w:p w14:paraId="2D1F244D" w14:textId="4619D964" w:rsidR="00B92E9D" w:rsidRPr="00635C9B" w:rsidRDefault="00430BB3"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PMO</w:t>
            </w:r>
          </w:p>
        </w:tc>
      </w:tr>
      <w:tr w:rsidR="00B92E9D" w:rsidRPr="00A21682" w14:paraId="6EC3A085"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56C74EFF" w14:textId="77777777" w:rsidR="00B92E9D" w:rsidRPr="00A21682" w:rsidRDefault="00B92E9D" w:rsidP="00047C4E">
            <w:pPr>
              <w:pStyle w:val="TABLETEXT1"/>
              <w:rPr>
                <w:b w:val="0"/>
                <w:bCs/>
                <w:lang w:val="en-US"/>
              </w:rPr>
            </w:pPr>
            <w:r>
              <w:rPr>
                <w:b w:val="0"/>
                <w:bCs/>
                <w:lang w:val="en-US"/>
              </w:rPr>
              <w:t>2.1</w:t>
            </w:r>
          </w:p>
        </w:tc>
        <w:tc>
          <w:tcPr>
            <w:tcW w:w="1352" w:type="dxa"/>
          </w:tcPr>
          <w:p w14:paraId="372E626E"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Candidate Screening</w:t>
            </w:r>
          </w:p>
        </w:tc>
        <w:tc>
          <w:tcPr>
            <w:tcW w:w="4860" w:type="dxa"/>
          </w:tcPr>
          <w:p w14:paraId="0982EEFB" w14:textId="4E39F493" w:rsidR="00B92E9D" w:rsidRPr="00A21682" w:rsidRDefault="00430BB3"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 xml:space="preserve">The ███████ PMO and the track leads conduct interviews (in-person or virtual) for the candidates identified in </w:t>
            </w:r>
            <w:r>
              <w:rPr>
                <w:rFonts w:eastAsia="Times New Roman" w:cs="Arial"/>
                <w:i/>
                <w:iCs/>
                <w:szCs w:val="24"/>
                <w:lang w:val="en-US"/>
              </w:rPr>
              <w:t>Step #2 Search.</w:t>
            </w:r>
          </w:p>
        </w:tc>
        <w:tc>
          <w:tcPr>
            <w:tcW w:w="2428" w:type="dxa"/>
          </w:tcPr>
          <w:p w14:paraId="7F16BE90" w14:textId="57BEBC58" w:rsidR="00B92E9D" w:rsidRPr="00635C9B" w:rsidRDefault="00430BB3"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PMO</w:t>
            </w:r>
          </w:p>
          <w:p w14:paraId="2699A109" w14:textId="77777777" w:rsidR="00B92E9D" w:rsidRPr="00635C9B" w:rsidRDefault="00B92E9D"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Impacted Stakeholder Group(s)</w:t>
            </w:r>
          </w:p>
        </w:tc>
      </w:tr>
      <w:tr w:rsidR="00B92E9D" w:rsidRPr="00A21682" w14:paraId="7C1EF064"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61F20EBE" w14:textId="77777777" w:rsidR="00B92E9D" w:rsidRPr="00A21682" w:rsidRDefault="00B92E9D" w:rsidP="00047C4E">
            <w:pPr>
              <w:pStyle w:val="TABLETEXT1"/>
              <w:rPr>
                <w:b w:val="0"/>
                <w:bCs/>
                <w:lang w:val="en-US"/>
              </w:rPr>
            </w:pPr>
            <w:r>
              <w:rPr>
                <w:b w:val="0"/>
                <w:bCs/>
                <w:lang w:val="en-US"/>
              </w:rPr>
              <w:lastRenderedPageBreak/>
              <w:t>3</w:t>
            </w:r>
          </w:p>
        </w:tc>
        <w:tc>
          <w:tcPr>
            <w:tcW w:w="1352" w:type="dxa"/>
          </w:tcPr>
          <w:p w14:paraId="1E2C75C1"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Department Screening?</w:t>
            </w:r>
          </w:p>
        </w:tc>
        <w:tc>
          <w:tcPr>
            <w:tcW w:w="4860" w:type="dxa"/>
          </w:tcPr>
          <w:p w14:paraId="2AAE21B7" w14:textId="07C5FB5C" w:rsidR="00B92E9D" w:rsidRPr="00A21682" w:rsidRDefault="00B92E9D" w:rsidP="00CA1375">
            <w:pPr>
              <w:pStyle w:val="TABLEBULLETNEW"/>
              <w:cnfStyle w:val="000000000000" w:firstRow="0" w:lastRow="0" w:firstColumn="0" w:lastColumn="0" w:oddVBand="0" w:evenVBand="0" w:oddHBand="0" w:evenHBand="0" w:firstRowFirstColumn="0" w:firstRowLastColumn="0" w:lastRowFirstColumn="0" w:lastRowLastColumn="0"/>
            </w:pPr>
            <w:r>
              <w:t xml:space="preserve">For key personnel and subcontractors, DOH OHIP must screen candidates. This is outlined in </w:t>
            </w:r>
            <w:r>
              <w:rPr>
                <w:i/>
                <w:iCs/>
              </w:rPr>
              <w:t xml:space="preserve">Step #3.1 Department Screening. </w:t>
            </w:r>
            <w:r>
              <w:t xml:space="preserve">███████ will submit the key personnel through the Transmittal Process-Inbound Flow defined in Section 7.4.1. The DOS PMO will engage in candidate credentialing as part of the OHIP screening of candidate  </w:t>
            </w:r>
          </w:p>
          <w:p w14:paraId="75503096" w14:textId="009D3A72" w:rsidR="00B92E9D" w:rsidRPr="00A21682" w:rsidRDefault="00B92E9D" w:rsidP="00CA1375">
            <w:pPr>
              <w:pStyle w:val="TABLEBULLETNEW"/>
              <w:cnfStyle w:val="000000000000" w:firstRow="0" w:lastRow="0" w:firstColumn="0" w:lastColumn="0" w:oddVBand="0" w:evenVBand="0" w:oddHBand="0" w:evenHBand="0" w:firstRowFirstColumn="0" w:firstRowLastColumn="0" w:lastRowFirstColumn="0" w:lastRowLastColumn="0"/>
            </w:pPr>
            <w:r>
              <w:t>For non-key personnel, DOH OHIP has the option to screen or review the resume, but if it is determined that it is not necessary, the Deloitte PMO and Impacted Stakeholder Group(s) can make the candidate an offer, which is outlined in S</w:t>
            </w:r>
            <w:r>
              <w:rPr>
                <w:i/>
                <w:iCs/>
              </w:rPr>
              <w:t>tep #3.3 Offer Accepted?</w:t>
            </w:r>
            <w:r>
              <w:t>.</w:t>
            </w:r>
          </w:p>
        </w:tc>
        <w:tc>
          <w:tcPr>
            <w:tcW w:w="2428" w:type="dxa"/>
          </w:tcPr>
          <w:p w14:paraId="2064D2CB" w14:textId="74C8CFEC" w:rsidR="00B92E9D" w:rsidRPr="00635C9B" w:rsidRDefault="00987346"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PMO</w:t>
            </w:r>
          </w:p>
          <w:p w14:paraId="56F78997" w14:textId="63DE1424" w:rsidR="00B92E9D" w:rsidRPr="00635C9B" w:rsidRDefault="00987346"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DOS PMO</w:t>
            </w:r>
          </w:p>
          <w:p w14:paraId="71664982" w14:textId="77777777" w:rsidR="00B92E9D" w:rsidRPr="00635C9B" w:rsidRDefault="00B92E9D"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Impacted Stakeholder Group(s)</w:t>
            </w:r>
          </w:p>
        </w:tc>
      </w:tr>
      <w:tr w:rsidR="00B92E9D" w:rsidRPr="00A21682" w14:paraId="47955C6F"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49F92962" w14:textId="77777777" w:rsidR="00B92E9D" w:rsidRPr="00A21682" w:rsidRDefault="00B92E9D" w:rsidP="00047C4E">
            <w:pPr>
              <w:pStyle w:val="TABLETEXT1"/>
              <w:rPr>
                <w:b w:val="0"/>
                <w:bCs/>
                <w:lang w:val="en-US"/>
              </w:rPr>
            </w:pPr>
            <w:r>
              <w:rPr>
                <w:b w:val="0"/>
                <w:bCs/>
                <w:lang w:val="en-US"/>
              </w:rPr>
              <w:t>3.1</w:t>
            </w:r>
          </w:p>
        </w:tc>
        <w:tc>
          <w:tcPr>
            <w:tcW w:w="1352" w:type="dxa"/>
          </w:tcPr>
          <w:p w14:paraId="76B57495"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Department Screening</w:t>
            </w:r>
          </w:p>
        </w:tc>
        <w:tc>
          <w:tcPr>
            <w:tcW w:w="4860" w:type="dxa"/>
          </w:tcPr>
          <w:p w14:paraId="2A466C1F"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 xml:space="preserve">For key personnel and subcontractors, DOH OHIP Managerial Governance must review the candidate’s resume and assess the candidate’s fit for the role. In addition, candidates may be subject to credentialing and interviews by DOH OHIP. </w:t>
            </w:r>
          </w:p>
        </w:tc>
        <w:tc>
          <w:tcPr>
            <w:tcW w:w="2428" w:type="dxa"/>
          </w:tcPr>
          <w:p w14:paraId="6AAE9BA1" w14:textId="77777777" w:rsidR="00B92E9D" w:rsidRPr="00635C9B" w:rsidRDefault="00B92E9D"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Managerial Governance</w:t>
            </w:r>
          </w:p>
        </w:tc>
      </w:tr>
      <w:tr w:rsidR="00B92E9D" w:rsidRPr="00A21682" w14:paraId="059142E1"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4807EC36" w14:textId="77777777" w:rsidR="00B92E9D" w:rsidRPr="00A21682" w:rsidRDefault="00B92E9D" w:rsidP="00047C4E">
            <w:pPr>
              <w:pStyle w:val="TABLETEXT1"/>
              <w:rPr>
                <w:b w:val="0"/>
                <w:bCs/>
                <w:lang w:val="en-US"/>
              </w:rPr>
            </w:pPr>
            <w:r>
              <w:rPr>
                <w:b w:val="0"/>
                <w:bCs/>
                <w:lang w:val="en-US"/>
              </w:rPr>
              <w:t>3.2</w:t>
            </w:r>
          </w:p>
        </w:tc>
        <w:tc>
          <w:tcPr>
            <w:tcW w:w="1352" w:type="dxa"/>
          </w:tcPr>
          <w:p w14:paraId="72FD9DF1"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Department Approved?</w:t>
            </w:r>
          </w:p>
        </w:tc>
        <w:tc>
          <w:tcPr>
            <w:tcW w:w="4860" w:type="dxa"/>
          </w:tcPr>
          <w:p w14:paraId="06A12DF3" w14:textId="44327607" w:rsidR="00B92E9D" w:rsidRPr="00A21682" w:rsidRDefault="00B92E9D" w:rsidP="00CA1375">
            <w:pPr>
              <w:pStyle w:val="TABLEBULLETNEW"/>
              <w:cnfStyle w:val="000000000000" w:firstRow="0" w:lastRow="0" w:firstColumn="0" w:lastColumn="0" w:oddVBand="0" w:evenVBand="0" w:oddHBand="0" w:evenHBand="0" w:firstRowFirstColumn="0" w:firstRowLastColumn="0" w:lastRowFirstColumn="0" w:lastRowLastColumn="0"/>
            </w:pPr>
            <w:r>
              <w:t xml:space="preserve">If DOH OHIP Managerial Governance approves the key personnel candidate or subcontractor, proceed to </w:t>
            </w:r>
            <w:r>
              <w:rPr>
                <w:i/>
                <w:iCs/>
              </w:rPr>
              <w:t>Step #3.3 Offer Accepted?.</w:t>
            </w:r>
            <w:r>
              <w:t xml:space="preserve"> DOH OHIP Managerial Governance will send the transmittal based on the Transmittal Process-Outbound Flow</w:t>
            </w:r>
          </w:p>
          <w:p w14:paraId="706C7F71" w14:textId="74234838" w:rsidR="00B92E9D" w:rsidRPr="00A21682" w:rsidRDefault="00B92E9D" w:rsidP="00CA1375">
            <w:pPr>
              <w:pStyle w:val="TABLEBULLETNEW"/>
              <w:cnfStyle w:val="000000000000" w:firstRow="0" w:lastRow="0" w:firstColumn="0" w:lastColumn="0" w:oddVBand="0" w:evenVBand="0" w:oddHBand="0" w:evenHBand="0" w:firstRowFirstColumn="0" w:firstRowLastColumn="0" w:lastRowFirstColumn="0" w:lastRowLastColumn="0"/>
            </w:pPr>
            <w:r>
              <w:t>If DOH OHIP Managerial Governance does not approve the key personnel or subcontractor candidate, return to</w:t>
            </w:r>
            <w:r>
              <w:rPr>
                <w:i/>
                <w:iCs/>
              </w:rPr>
              <w:t xml:space="preserve"> Step #2 Search. </w:t>
            </w:r>
            <w:r>
              <w:t>DOH OHIP Managerial Governance will send the transmittal based on the Transmittal Process-Outbound Flow defined in Section 7.4.1</w:t>
            </w:r>
          </w:p>
        </w:tc>
        <w:tc>
          <w:tcPr>
            <w:tcW w:w="2428" w:type="dxa"/>
          </w:tcPr>
          <w:p w14:paraId="0D620CC9" w14:textId="77777777" w:rsidR="00B92E9D" w:rsidRPr="00635C9B" w:rsidRDefault="00B92E9D"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Managerial Governance</w:t>
            </w:r>
          </w:p>
        </w:tc>
      </w:tr>
      <w:tr w:rsidR="00B92E9D" w:rsidRPr="00A21682" w14:paraId="7359E9E8"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30BF6CA2" w14:textId="77777777" w:rsidR="00B92E9D" w:rsidRPr="00A21682" w:rsidRDefault="00B92E9D" w:rsidP="00047C4E">
            <w:pPr>
              <w:pStyle w:val="TABLETEXT1"/>
              <w:rPr>
                <w:b w:val="0"/>
                <w:bCs/>
                <w:lang w:val="en-US"/>
              </w:rPr>
            </w:pPr>
            <w:r>
              <w:rPr>
                <w:b w:val="0"/>
                <w:bCs/>
                <w:lang w:val="en-US"/>
              </w:rPr>
              <w:t>3.3</w:t>
            </w:r>
          </w:p>
        </w:tc>
        <w:tc>
          <w:tcPr>
            <w:tcW w:w="1352" w:type="dxa"/>
          </w:tcPr>
          <w:p w14:paraId="3AB753DA"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Offer Accepted?</w:t>
            </w:r>
          </w:p>
        </w:tc>
        <w:tc>
          <w:tcPr>
            <w:tcW w:w="4860" w:type="dxa"/>
          </w:tcPr>
          <w:p w14:paraId="2618933C" w14:textId="48432142" w:rsidR="00B92E9D" w:rsidRPr="00A21682" w:rsidRDefault="00B92E9D" w:rsidP="00CA1375">
            <w:pPr>
              <w:pStyle w:val="TABLEBULLETNEW"/>
              <w:cnfStyle w:val="000000000000" w:firstRow="0" w:lastRow="0" w:firstColumn="0" w:lastColumn="0" w:oddVBand="0" w:evenVBand="0" w:oddHBand="0" w:evenHBand="0" w:firstRowFirstColumn="0" w:firstRowLastColumn="0" w:lastRowFirstColumn="0" w:lastRowLastColumn="0"/>
            </w:pPr>
            <w:r>
              <w:t xml:space="preserve">If the selected individual, whether key personnel and non-key personnel, accepts the offer, proceed to </w:t>
            </w:r>
            <w:r>
              <w:rPr>
                <w:i/>
                <w:iCs/>
              </w:rPr>
              <w:t>Step #4 Begin Onboarding</w:t>
            </w:r>
            <w:r>
              <w:t xml:space="preserve"> </w:t>
            </w:r>
          </w:p>
          <w:p w14:paraId="17D531C0" w14:textId="11103BEC" w:rsidR="00B92E9D" w:rsidRPr="00A21682" w:rsidRDefault="00B92E9D" w:rsidP="00CA1375">
            <w:pPr>
              <w:pStyle w:val="TABLEBULLETNEW"/>
              <w:cnfStyle w:val="000000000000" w:firstRow="0" w:lastRow="0" w:firstColumn="0" w:lastColumn="0" w:oddVBand="0" w:evenVBand="0" w:oddHBand="0" w:evenHBand="0" w:firstRowFirstColumn="0" w:firstRowLastColumn="0" w:lastRowFirstColumn="0" w:lastRowLastColumn="0"/>
            </w:pPr>
            <w:r>
              <w:t xml:space="preserve">If the selected individual does not accept the offer, return to </w:t>
            </w:r>
            <w:r>
              <w:rPr>
                <w:i/>
                <w:iCs/>
              </w:rPr>
              <w:t>Step #2 Search</w:t>
            </w:r>
            <w:r>
              <w:t>, and the Deloitte PMO will initiate another search of the Deloitte talent pool</w:t>
            </w:r>
          </w:p>
        </w:tc>
        <w:tc>
          <w:tcPr>
            <w:tcW w:w="2428" w:type="dxa"/>
          </w:tcPr>
          <w:p w14:paraId="68E25B21" w14:textId="357B6203" w:rsidR="00B92E9D" w:rsidRPr="00635C9B" w:rsidRDefault="00CB789E"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PMO</w:t>
            </w:r>
          </w:p>
          <w:p w14:paraId="4ECEECA9" w14:textId="77777777" w:rsidR="00B92E9D" w:rsidRPr="00635C9B" w:rsidRDefault="00B92E9D"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Impacted Stakeholder Group(s)</w:t>
            </w:r>
          </w:p>
        </w:tc>
      </w:tr>
      <w:tr w:rsidR="00B92E9D" w:rsidRPr="00A21682" w14:paraId="008D9BFE" w14:textId="77777777" w:rsidTr="00047C4E">
        <w:trPr>
          <w:trHeight w:val="800"/>
        </w:trPr>
        <w:tc>
          <w:tcPr>
            <w:cnfStyle w:val="001000000000" w:firstRow="0" w:lastRow="0" w:firstColumn="1" w:lastColumn="0" w:oddVBand="0" w:evenVBand="0" w:oddHBand="0" w:evenHBand="0" w:firstRowFirstColumn="0" w:firstRowLastColumn="0" w:lastRowFirstColumn="0" w:lastRowLastColumn="0"/>
            <w:tcW w:w="715" w:type="dxa"/>
          </w:tcPr>
          <w:p w14:paraId="5B6F534E" w14:textId="77777777" w:rsidR="00B92E9D" w:rsidRPr="00A21682" w:rsidRDefault="00B92E9D" w:rsidP="00047C4E">
            <w:pPr>
              <w:pStyle w:val="TABLETEXT1"/>
              <w:rPr>
                <w:b w:val="0"/>
                <w:bCs/>
                <w:lang w:val="en-US"/>
              </w:rPr>
            </w:pPr>
            <w:r>
              <w:rPr>
                <w:b w:val="0"/>
                <w:bCs/>
                <w:lang w:val="en-US"/>
              </w:rPr>
              <w:t>4</w:t>
            </w:r>
          </w:p>
        </w:tc>
        <w:tc>
          <w:tcPr>
            <w:tcW w:w="1352" w:type="dxa"/>
          </w:tcPr>
          <w:p w14:paraId="58DBB213" w14:textId="77777777"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Begin Onboarding</w:t>
            </w:r>
          </w:p>
        </w:tc>
        <w:tc>
          <w:tcPr>
            <w:tcW w:w="4860" w:type="dxa"/>
          </w:tcPr>
          <w:p w14:paraId="7F4B5B77" w14:textId="3837368D" w:rsidR="00B92E9D" w:rsidRPr="00A21682" w:rsidRDefault="00B92E9D" w:rsidP="00047C4E">
            <w:pPr>
              <w:pStyle w:val="TABLETEXT1"/>
              <w:cnfStyle w:val="000000000000" w:firstRow="0" w:lastRow="0" w:firstColumn="0" w:lastColumn="0" w:oddVBand="0" w:evenVBand="0" w:oddHBand="0" w:evenHBand="0" w:firstRowFirstColumn="0" w:firstRowLastColumn="0" w:lastRowFirstColumn="0" w:lastRowLastColumn="0"/>
              <w:rPr>
                <w:rFonts w:eastAsia="Times New Roman" w:cs="Arial"/>
                <w:szCs w:val="24"/>
                <w:lang w:val="en-US"/>
              </w:rPr>
            </w:pPr>
            <w:r>
              <w:rPr>
                <w:rFonts w:eastAsia="Times New Roman" w:cs="Arial"/>
                <w:szCs w:val="24"/>
                <w:lang w:val="en-US"/>
              </w:rPr>
              <w:t>After the individual accepts the offer, the ███████ PMO onboards them to the team. Follow the onboarding procedure outlined in Section 8.3.4 Onboarding</w:t>
            </w:r>
            <w:r>
              <w:rPr>
                <w:rFonts w:eastAsia="Times New Roman" w:cs="Arial"/>
                <w:i/>
                <w:iCs/>
                <w:szCs w:val="24"/>
                <w:lang w:val="en-US"/>
              </w:rPr>
              <w:t>.</w:t>
            </w:r>
          </w:p>
        </w:tc>
        <w:tc>
          <w:tcPr>
            <w:tcW w:w="2428" w:type="dxa"/>
          </w:tcPr>
          <w:p w14:paraId="0900D8E6" w14:textId="0440CDAB" w:rsidR="00B92E9D" w:rsidRPr="00635C9B" w:rsidRDefault="00CB789E" w:rsidP="00CA1375">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PMO</w:t>
            </w:r>
          </w:p>
        </w:tc>
      </w:tr>
    </w:tbl>
    <w:p w14:paraId="53A607BC" w14:textId="72F2A5E1" w:rsidR="00B92E9D" w:rsidRPr="00A21682" w:rsidRDefault="00B92E9D" w:rsidP="00D818D3">
      <w:pPr>
        <w:pStyle w:val="Caption"/>
        <w:rPr>
          <w:noProof w:val="0"/>
        </w:rPr>
      </w:pPr>
      <w:bookmarkStart w:id="3645" w:name="_Toc149312366"/>
      <w:bookmarkStart w:id="3646" w:name="_Toc19287519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8</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Staffing Process Flow Narrative</w:t>
      </w:r>
      <w:bookmarkEnd w:id="3645"/>
      <w:bookmarkEnd w:id="3646"/>
    </w:p>
    <w:p w14:paraId="23839470" w14:textId="77777777" w:rsidR="00B92E9D" w:rsidRPr="00A21682" w:rsidRDefault="00B92E9D">
      <w:pPr>
        <w:pStyle w:val="Heading3"/>
        <w:rPr>
          <w:u w:color="000000" w:themeColor="text1"/>
          <w:lang w:eastAsia="ko-KR"/>
        </w:rPr>
      </w:pPr>
      <w:bookmarkStart w:id="3647" w:name="_Toc149312339"/>
      <w:bookmarkStart w:id="3648" w:name="_Toc177119526"/>
      <w:bookmarkStart w:id="3649" w:name="_Toc185952828"/>
      <w:bookmarkStart w:id="3650" w:name="_Toc192874928"/>
      <w:r>
        <w:rPr>
          <w:u w:color="000000" w:themeColor="text1"/>
          <w:lang w:eastAsia="ko-KR"/>
        </w:rPr>
        <w:lastRenderedPageBreak/>
        <w:t>Staffing Management</w:t>
      </w:r>
      <w:bookmarkEnd w:id="3644"/>
      <w:bookmarkEnd w:id="3647"/>
      <w:bookmarkEnd w:id="3648"/>
      <w:bookmarkEnd w:id="3649"/>
      <w:bookmarkEnd w:id="3650"/>
    </w:p>
    <w:p w14:paraId="09E2432A" w14:textId="77777777" w:rsidR="00B92E9D" w:rsidRPr="00A21682" w:rsidRDefault="00B92E9D" w:rsidP="00541FC2">
      <w:pPr>
        <w:pStyle w:val="NormalNEW"/>
        <w:keepLines/>
        <w:rPr>
          <w:u w:color="000000" w:themeColor="text1"/>
          <w:lang w:val="en-US" w:eastAsia="ko-KR"/>
        </w:rPr>
      </w:pPr>
      <w:r>
        <w:rPr>
          <w:u w:color="000000" w:themeColor="text1"/>
          <w:lang w:val="en-US" w:eastAsia="ko-KR"/>
        </w:rPr>
        <w:t>███████ will develop and maintain a project roster, which includes initial and ongoing project resource needs, resource levels and assignments, number of key and non-key personnel, and information on how personnel will be deployed throughout the project. The project roster includes team roll-on and roll-off schedules to forecast upcoming resourcing needs and a Paid Time Off (PTO) tracker to mitigate absence of resources and coordinate coverage when needed. ███████ will also develop and maintain a Key Staff Resumes file, which will be uploaded to the DOH SharePoint. ███████ will maintain, update, and share the project roster and Key Staff Resumes file with DOH OHIP at least once per quarter and as requested by DOH OHIP.</w:t>
      </w:r>
    </w:p>
    <w:p w14:paraId="483757C2" w14:textId="051608A6" w:rsidR="00B92E9D" w:rsidRPr="00A21682" w:rsidRDefault="00B92E9D" w:rsidP="00170CC3">
      <w:pPr>
        <w:pStyle w:val="NormalNEW"/>
        <w:rPr>
          <w:u w:color="000000" w:themeColor="text1"/>
          <w:lang w:val="en-US" w:eastAsia="ko-KR"/>
        </w:rPr>
      </w:pPr>
      <w:r>
        <w:rPr>
          <w:u w:color="000000" w:themeColor="text1"/>
          <w:lang w:val="en-US" w:eastAsia="ko-KR"/>
        </w:rPr>
        <w:t xml:space="preserve">Once onboarded, resources report to the relevant track lead who oversees their work and manages their performance. Any performance issues flagged by DOH OHIP or ███████ track leads are addressed immediately. If there are performance issues with a </w:t>
      </w:r>
      <w:r>
        <w:rPr>
          <w:u w:color="000000"/>
          <w:lang w:val="en-US"/>
        </w:rPr>
        <w:t xml:space="preserve">Continuing Medicaid Eligibility Modernization </w:t>
      </w:r>
      <w:r>
        <w:rPr>
          <w:u w:color="000000" w:themeColor="text1"/>
          <w:lang w:val="en-US" w:eastAsia="ko-KR"/>
        </w:rPr>
        <w:t>resource, a new member is onboarded immediately, and a thorough knowledge transfer takes place to promote a seamless transition.</w:t>
      </w:r>
    </w:p>
    <w:p w14:paraId="0E2E7B7B" w14:textId="77777777" w:rsidR="00B92E9D" w:rsidRPr="00A21682" w:rsidRDefault="00B92E9D">
      <w:pPr>
        <w:pStyle w:val="Heading3"/>
        <w:rPr>
          <w:u w:color="000000" w:themeColor="text1"/>
          <w:lang w:eastAsia="ko-KR"/>
        </w:rPr>
      </w:pPr>
      <w:bookmarkStart w:id="3651" w:name="_Toc143602026"/>
      <w:bookmarkStart w:id="3652" w:name="_Toc149312340"/>
      <w:bookmarkStart w:id="3653" w:name="_Toc177119527"/>
      <w:bookmarkStart w:id="3654" w:name="_Toc185952829"/>
      <w:bookmarkStart w:id="3655" w:name="_Toc192874929"/>
      <w:r>
        <w:rPr>
          <w:u w:color="000000" w:themeColor="text1"/>
          <w:lang w:eastAsia="ko-KR"/>
        </w:rPr>
        <w:t>Personnel Transition</w:t>
      </w:r>
      <w:bookmarkEnd w:id="3651"/>
      <w:bookmarkEnd w:id="3652"/>
      <w:bookmarkEnd w:id="3653"/>
      <w:bookmarkEnd w:id="3654"/>
      <w:bookmarkEnd w:id="3655"/>
    </w:p>
    <w:p w14:paraId="2843D488" w14:textId="79671F78" w:rsidR="00B92E9D" w:rsidRPr="00A21682" w:rsidRDefault="00B92E9D" w:rsidP="00170CC3">
      <w:pPr>
        <w:pStyle w:val="NormalNEW"/>
        <w:rPr>
          <w:lang w:val="en-US"/>
        </w:rPr>
      </w:pPr>
      <w:r>
        <w:rPr>
          <w:lang w:val="en-US" w:eastAsia="ko-KR"/>
        </w:rPr>
        <w:t xml:space="preserve">Staffing levels will be monitored and adjusted throughout the project life cycle so that they are closely aligned with the project’s needs. </w:t>
      </w:r>
      <w:r>
        <w:rPr>
          <w:lang w:val="en-US"/>
        </w:rPr>
        <w:t xml:space="preserve">The ███████ team will address changes and turnover on an ongoing basis and conduct knowledge transfer when needed. Relevant project leads and ███████ leadership, in collaboration with DOH OHIP, authorize resource changes. </w:t>
      </w:r>
      <w:r>
        <w:rPr>
          <w:lang w:val="en-US" w:eastAsia="ko-KR"/>
        </w:rPr>
        <w:t>As such, personnel are expected to roll on and roll off as the project progresses through its different Waves in accordance with the guidelines outlined in Section 8.3.1 Staffing Process</w:t>
      </w:r>
      <w:r>
        <w:rPr>
          <w:i/>
          <w:iCs/>
          <w:lang w:val="en-US" w:eastAsia="ko-KR"/>
        </w:rPr>
        <w:t>.</w:t>
      </w:r>
    </w:p>
    <w:p w14:paraId="4D3D3DBF" w14:textId="3369B018" w:rsidR="00B92E9D" w:rsidRPr="00A21682" w:rsidRDefault="00B92E9D" w:rsidP="00170CC3">
      <w:pPr>
        <w:pStyle w:val="NormalNEW"/>
        <w:rPr>
          <w:u w:color="000000" w:themeColor="text1"/>
          <w:lang w:val="en-US" w:eastAsia="ko-KR"/>
        </w:rPr>
      </w:pPr>
      <w:r>
        <w:rPr>
          <w:u w:color="000000" w:themeColor="text1"/>
          <w:lang w:val="en-US" w:eastAsia="ko-KR"/>
        </w:rPr>
        <w:t xml:space="preserve">According to the MSOW, ███████ may not substitute key personnel, other than by extraordinary circumstances, without the prior written approval of DOH OHIP. To replace any key personnel, ███████ shall submit an explanation of the reasons for the substitution request and the resumes of the proposed substitute personnel. ███████ shall make this submission at least two weeks prior to the substitution. </w:t>
      </w:r>
      <w:bookmarkStart w:id="3656" w:name="_Toc148974974"/>
      <w:bookmarkStart w:id="3657" w:name="_Toc148975063"/>
      <w:bookmarkStart w:id="3658" w:name="_Toc149116297"/>
      <w:bookmarkStart w:id="3659" w:name="_Toc148974975"/>
      <w:bookmarkStart w:id="3660" w:name="_Toc148975064"/>
      <w:bookmarkStart w:id="3661" w:name="_Toc149116298"/>
      <w:bookmarkStart w:id="3662" w:name="_Toc148974976"/>
      <w:bookmarkStart w:id="3663" w:name="_Toc148975065"/>
      <w:bookmarkStart w:id="3664" w:name="_Toc149116299"/>
      <w:bookmarkStart w:id="3665" w:name="_Toc148974977"/>
      <w:bookmarkStart w:id="3666" w:name="_Toc148975066"/>
      <w:bookmarkStart w:id="3667" w:name="_Toc149116300"/>
      <w:bookmarkStart w:id="3668" w:name="_Toc148974978"/>
      <w:bookmarkStart w:id="3669" w:name="_Toc148975067"/>
      <w:bookmarkStart w:id="3670" w:name="_Toc149116301"/>
      <w:bookmarkStart w:id="3671" w:name="_Toc148974979"/>
      <w:bookmarkStart w:id="3672" w:name="_Toc148975068"/>
      <w:bookmarkStart w:id="3673" w:name="_Toc149116302"/>
      <w:bookmarkStart w:id="3674" w:name="_Toc148974981"/>
      <w:bookmarkStart w:id="3675" w:name="_Toc148975070"/>
      <w:bookmarkStart w:id="3676" w:name="_Toc149116304"/>
      <w:bookmarkStart w:id="3677" w:name="_Toc148974982"/>
      <w:bookmarkStart w:id="3678" w:name="_Toc148975071"/>
      <w:bookmarkStart w:id="3679" w:name="_Toc149116305"/>
      <w:bookmarkStart w:id="3680" w:name="_Toc148974983"/>
      <w:bookmarkStart w:id="3681" w:name="_Toc148975072"/>
      <w:bookmarkStart w:id="3682" w:name="_Toc149116306"/>
      <w:bookmarkStart w:id="3683" w:name="_Toc148974984"/>
      <w:bookmarkStart w:id="3684" w:name="_Toc148975073"/>
      <w:bookmarkStart w:id="3685" w:name="_Toc149116307"/>
      <w:bookmarkStart w:id="3686" w:name="_Toc148974986"/>
      <w:bookmarkStart w:id="3687" w:name="_Toc148975075"/>
      <w:bookmarkStart w:id="3688" w:name="_Toc149116309"/>
      <w:bookmarkStart w:id="3689" w:name="_Toc148974987"/>
      <w:bookmarkStart w:id="3690" w:name="_Toc148975076"/>
      <w:bookmarkStart w:id="3691" w:name="_Toc149116310"/>
      <w:bookmarkStart w:id="3692" w:name="_Toc148974988"/>
      <w:bookmarkStart w:id="3693" w:name="_Toc148975077"/>
      <w:bookmarkStart w:id="3694" w:name="_Toc149116311"/>
      <w:bookmarkStart w:id="3695" w:name="_Toc148974989"/>
      <w:bookmarkStart w:id="3696" w:name="_Toc148975078"/>
      <w:bookmarkStart w:id="3697" w:name="_Toc149116312"/>
      <w:bookmarkStart w:id="3698" w:name="_Toc148974990"/>
      <w:bookmarkStart w:id="3699" w:name="_Toc148975079"/>
      <w:bookmarkStart w:id="3700" w:name="_Toc149116313"/>
      <w:bookmarkStart w:id="3701" w:name="_Toc148974991"/>
      <w:bookmarkStart w:id="3702" w:name="_Toc148975080"/>
      <w:bookmarkStart w:id="3703" w:name="_Toc149116314"/>
      <w:bookmarkStart w:id="3704" w:name="_Toc148974992"/>
      <w:bookmarkStart w:id="3705" w:name="_Toc148975081"/>
      <w:bookmarkStart w:id="3706" w:name="_Toc149116315"/>
      <w:bookmarkStart w:id="3707" w:name="_Toc148974993"/>
      <w:bookmarkStart w:id="3708" w:name="_Toc148975082"/>
      <w:bookmarkStart w:id="3709" w:name="_Toc149116316"/>
      <w:bookmarkStart w:id="3710" w:name="_Toc148974994"/>
      <w:bookmarkStart w:id="3711" w:name="_Toc148975083"/>
      <w:bookmarkStart w:id="3712" w:name="_Toc149116317"/>
      <w:bookmarkStart w:id="3713" w:name="_Toc148974996"/>
      <w:bookmarkStart w:id="3714" w:name="_Toc148975085"/>
      <w:bookmarkStart w:id="3715" w:name="_Toc149116319"/>
      <w:bookmarkStart w:id="3716" w:name="_Toc148974997"/>
      <w:bookmarkStart w:id="3717" w:name="_Toc148975086"/>
      <w:bookmarkStart w:id="3718" w:name="_Toc149116320"/>
      <w:bookmarkStart w:id="3719" w:name="_Toc148974998"/>
      <w:bookmarkStart w:id="3720" w:name="_Toc148975087"/>
      <w:bookmarkStart w:id="3721" w:name="_Toc149116321"/>
      <w:bookmarkStart w:id="3722" w:name="_Toc148974999"/>
      <w:bookmarkStart w:id="3723" w:name="_Toc148975088"/>
      <w:bookmarkStart w:id="3724" w:name="_Toc149116322"/>
      <w:bookmarkStart w:id="3725" w:name="_Toc148975000"/>
      <w:bookmarkStart w:id="3726" w:name="_Toc148975089"/>
      <w:bookmarkStart w:id="3727" w:name="_Toc149116323"/>
      <w:bookmarkStart w:id="3728" w:name="_Toc148975002"/>
      <w:bookmarkStart w:id="3729" w:name="_Toc148975091"/>
      <w:bookmarkStart w:id="3730" w:name="_Toc149116325"/>
      <w:bookmarkStart w:id="3731" w:name="_Toc148975003"/>
      <w:bookmarkStart w:id="3732" w:name="_Toc148975092"/>
      <w:bookmarkStart w:id="3733" w:name="_Toc149116326"/>
      <w:bookmarkStart w:id="3734" w:name="_Toc148975004"/>
      <w:bookmarkStart w:id="3735" w:name="_Toc148975093"/>
      <w:bookmarkStart w:id="3736" w:name="_Toc149116327"/>
      <w:bookmarkStart w:id="3737" w:name="_Toc148975005"/>
      <w:bookmarkStart w:id="3738" w:name="_Toc148975094"/>
      <w:bookmarkStart w:id="3739" w:name="_Toc149116328"/>
      <w:bookmarkStart w:id="3740" w:name="_Toc148975007"/>
      <w:bookmarkStart w:id="3741" w:name="_Toc148975096"/>
      <w:bookmarkStart w:id="3742" w:name="_Toc149116330"/>
      <w:bookmarkStart w:id="3743" w:name="_Toc148975008"/>
      <w:bookmarkStart w:id="3744" w:name="_Toc148975097"/>
      <w:bookmarkStart w:id="3745" w:name="_Toc149116331"/>
      <w:bookmarkStart w:id="3746" w:name="_Toc148975009"/>
      <w:bookmarkStart w:id="3747" w:name="_Toc148975098"/>
      <w:bookmarkStart w:id="3748" w:name="_Toc149116332"/>
      <w:bookmarkStart w:id="3749" w:name="_Toc148975010"/>
      <w:bookmarkStart w:id="3750" w:name="_Toc148975099"/>
      <w:bookmarkStart w:id="3751" w:name="_Toc149116333"/>
      <w:bookmarkStart w:id="3752" w:name="_Toc148975011"/>
      <w:bookmarkStart w:id="3753" w:name="_Toc148975100"/>
      <w:bookmarkStart w:id="3754" w:name="_Toc149116334"/>
      <w:bookmarkStart w:id="3755" w:name="_Toc148975013"/>
      <w:bookmarkStart w:id="3756" w:name="_Toc148975102"/>
      <w:bookmarkStart w:id="3757" w:name="_Toc149116336"/>
      <w:bookmarkStart w:id="3758" w:name="_Toc143602028"/>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14:paraId="4176A825" w14:textId="77777777" w:rsidR="00B92E9D" w:rsidRPr="00A21682" w:rsidRDefault="00B92E9D">
      <w:pPr>
        <w:pStyle w:val="Heading3"/>
        <w:rPr>
          <w:u w:color="000000" w:themeColor="text1"/>
          <w:lang w:eastAsia="ko-KR"/>
        </w:rPr>
      </w:pPr>
      <w:bookmarkStart w:id="3759" w:name="_Toc149312341"/>
      <w:bookmarkStart w:id="3760" w:name="_Toc177119528"/>
      <w:bookmarkStart w:id="3761" w:name="_Toc185952830"/>
      <w:bookmarkStart w:id="3762" w:name="_Toc192874930"/>
      <w:r>
        <w:rPr>
          <w:u w:color="000000" w:themeColor="text1"/>
          <w:lang w:eastAsia="ko-KR"/>
        </w:rPr>
        <w:t>Onboarding</w:t>
      </w:r>
      <w:bookmarkEnd w:id="3758"/>
      <w:bookmarkEnd w:id="3759"/>
      <w:bookmarkEnd w:id="3760"/>
      <w:bookmarkEnd w:id="3761"/>
      <w:bookmarkEnd w:id="3762"/>
    </w:p>
    <w:p w14:paraId="001D7288" w14:textId="61D2AA70" w:rsidR="00B92E9D" w:rsidRPr="00A21682" w:rsidRDefault="00B92E9D" w:rsidP="00170CC3">
      <w:pPr>
        <w:pStyle w:val="NormalNEW"/>
        <w:rPr>
          <w:u w:color="000000" w:themeColor="text1"/>
          <w:lang w:val="en-US" w:eastAsia="ko-KR"/>
        </w:rPr>
      </w:pPr>
      <w:r>
        <w:rPr>
          <w:u w:color="000000" w:themeColor="text1"/>
          <w:lang w:val="en-US" w:eastAsia="ko-KR"/>
        </w:rPr>
        <w:t xml:space="preserve">Once a suitable resource is identified, interviewed, and confirmed, they are formally allocated to the relevant team in the </w:t>
      </w:r>
      <w:r>
        <w:rPr>
          <w:lang w:val="en-US"/>
        </w:rPr>
        <w:t>Continuing Medicaid Eligibility Modernization</w:t>
      </w:r>
      <w:r>
        <w:rPr>
          <w:u w:color="000000" w:themeColor="text1"/>
          <w:lang w:val="en-US" w:eastAsia="ko-KR"/>
        </w:rPr>
        <w:t xml:space="preserve"> project, and the onboarding process is executed. Onboarding is critical to the success of stakeholders, especially project team members.</w:t>
      </w:r>
    </w:p>
    <w:p w14:paraId="04BF6BC7" w14:textId="5E7920A0" w:rsidR="00B92E9D" w:rsidRPr="00A21682" w:rsidRDefault="00B92E9D" w:rsidP="00170CC3">
      <w:pPr>
        <w:pStyle w:val="NormalNEW"/>
        <w:rPr>
          <w:u w:color="000000" w:themeColor="text1"/>
          <w:lang w:val="en-US" w:eastAsia="ko-KR"/>
        </w:rPr>
      </w:pPr>
      <w:r>
        <w:rPr>
          <w:u w:color="000000" w:themeColor="text1"/>
          <w:lang w:val="en-US" w:eastAsia="ko-KR"/>
        </w:rPr>
        <w:t xml:space="preserve">The </w:t>
      </w:r>
      <w:r>
        <w:rPr>
          <w:lang w:val="en-US"/>
        </w:rPr>
        <w:t>Continuing Medicaid Eligibility Modernization</w:t>
      </w:r>
      <w:r>
        <w:rPr>
          <w:u w:color="000000" w:themeColor="text1"/>
          <w:lang w:val="en-US" w:eastAsia="ko-KR"/>
        </w:rPr>
        <w:t xml:space="preserve"> project onboarding processes include collaboration with the appropriate liaisons to troubleshoot issues and continue to implement leading practices to improve the onboarding process. The resources are tracked against key onboarding milestones, which include paperwork submission, DOH email and SharePoint access, and badging (as needed). Resources undergoing onboarding receive helpful materials that are managed and stored in the ███████ SharePoint site. Onboarding materials include: </w:t>
      </w:r>
    </w:p>
    <w:p w14:paraId="3E9676C1" w14:textId="77777777" w:rsidR="00B92E9D" w:rsidRPr="00A21682" w:rsidRDefault="00B92E9D" w:rsidP="0031550A">
      <w:pPr>
        <w:pStyle w:val="BulletNEW"/>
        <w:rPr>
          <w:lang w:eastAsia="ko-KR"/>
        </w:rPr>
      </w:pPr>
      <w:r>
        <w:rPr>
          <w:lang w:eastAsia="ko-KR"/>
        </w:rPr>
        <w:t>Onboarding Deck</w:t>
      </w:r>
    </w:p>
    <w:p w14:paraId="2D569A93" w14:textId="77777777" w:rsidR="00B92E9D" w:rsidRPr="00A21682" w:rsidRDefault="00B92E9D">
      <w:pPr>
        <w:pStyle w:val="SubBulletlistMainBodyText"/>
        <w:spacing w:before="0" w:after="0"/>
        <w:rPr>
          <w:lang w:val="en-US"/>
        </w:rPr>
      </w:pPr>
      <w:r>
        <w:rPr>
          <w:lang w:val="en-US"/>
        </w:rPr>
        <w:t>Project Overview</w:t>
      </w:r>
    </w:p>
    <w:p w14:paraId="6E74BF88" w14:textId="77777777" w:rsidR="00B92E9D" w:rsidRPr="00A21682" w:rsidRDefault="00B92E9D">
      <w:pPr>
        <w:pStyle w:val="SubBulletlistMainBodyText"/>
        <w:spacing w:before="0" w:after="0"/>
        <w:rPr>
          <w:lang w:val="en-US"/>
        </w:rPr>
      </w:pPr>
      <w:r>
        <w:rPr>
          <w:lang w:val="en-US"/>
        </w:rPr>
        <w:t xml:space="preserve">Project Related Training Support </w:t>
      </w:r>
    </w:p>
    <w:p w14:paraId="0FE4C536" w14:textId="77777777" w:rsidR="00B92E9D" w:rsidRPr="00A21682" w:rsidRDefault="00B92E9D">
      <w:pPr>
        <w:pStyle w:val="SubBulletlistMainBodyText"/>
        <w:spacing w:before="0" w:after="0"/>
        <w:rPr>
          <w:lang w:val="en-US"/>
        </w:rPr>
      </w:pPr>
      <w:r>
        <w:rPr>
          <w:lang w:val="en-US"/>
        </w:rPr>
        <w:t>Overview of Project Tools</w:t>
      </w:r>
    </w:p>
    <w:p w14:paraId="566E6562" w14:textId="77777777" w:rsidR="00B92E9D" w:rsidRPr="00A21682" w:rsidRDefault="00B92E9D">
      <w:pPr>
        <w:pStyle w:val="SubBulletlistMainBodyText"/>
        <w:spacing w:before="0" w:after="0"/>
        <w:rPr>
          <w:lang w:val="en-US"/>
        </w:rPr>
      </w:pPr>
      <w:r>
        <w:rPr>
          <w:lang w:val="en-US"/>
        </w:rPr>
        <w:t>Project Logistics</w:t>
      </w:r>
    </w:p>
    <w:p w14:paraId="6434465A" w14:textId="77777777" w:rsidR="00B92E9D" w:rsidRPr="00A21682" w:rsidRDefault="00B92E9D" w:rsidP="0031550A">
      <w:pPr>
        <w:pStyle w:val="BulletNEW"/>
        <w:rPr>
          <w:lang w:eastAsia="ko-KR"/>
        </w:rPr>
      </w:pPr>
      <w:r>
        <w:rPr>
          <w:lang w:eastAsia="ko-KR"/>
        </w:rPr>
        <w:t xml:space="preserve">Project Process Overview </w:t>
      </w:r>
    </w:p>
    <w:p w14:paraId="447BDE29" w14:textId="77777777" w:rsidR="00B92E9D" w:rsidRPr="00A21682" w:rsidRDefault="00B92E9D" w:rsidP="0031550A">
      <w:pPr>
        <w:pStyle w:val="BulletNEW"/>
        <w:rPr>
          <w:lang w:eastAsia="ko-KR"/>
        </w:rPr>
      </w:pPr>
      <w:r>
        <w:rPr>
          <w:lang w:eastAsia="ko-KR"/>
        </w:rPr>
        <w:t>Project Contract Overview</w:t>
      </w:r>
    </w:p>
    <w:p w14:paraId="5F06A136" w14:textId="77777777" w:rsidR="00B92E9D" w:rsidRPr="00A21682" w:rsidRDefault="00B92E9D" w:rsidP="0031550A">
      <w:pPr>
        <w:pStyle w:val="BulletNEW"/>
        <w:rPr>
          <w:lang w:eastAsia="ko-KR"/>
        </w:rPr>
      </w:pPr>
      <w:r>
        <w:rPr>
          <w:lang w:eastAsia="ko-KR"/>
        </w:rPr>
        <w:t xml:space="preserve">Confidential Information Management Plan and Training </w:t>
      </w:r>
    </w:p>
    <w:p w14:paraId="1C63780D" w14:textId="6D802E5B" w:rsidR="00B92E9D" w:rsidRPr="00A21682" w:rsidRDefault="00B92E9D" w:rsidP="00541FC2">
      <w:pPr>
        <w:pStyle w:val="NormalNEW"/>
        <w:keepLines/>
        <w:rPr>
          <w:u w:color="000000" w:themeColor="text1"/>
          <w:lang w:val="en-US" w:eastAsia="ko-KR"/>
        </w:rPr>
      </w:pPr>
      <w:r>
        <w:rPr>
          <w:u w:color="000000" w:themeColor="text1"/>
          <w:lang w:val="en-US" w:eastAsia="ko-KR"/>
        </w:rPr>
        <w:lastRenderedPageBreak/>
        <w:t>As resources begin work on the project, the ███████ PMO will communicate their role, team, physical and logical security needs, and contact information to the DOS PMO. The ███████ PMO will adjust capacity and task assignments as the team changes throughout the project.</w:t>
      </w:r>
    </w:p>
    <w:p w14:paraId="2F013FA0" w14:textId="77777777" w:rsidR="00B92E9D" w:rsidRPr="00A21682" w:rsidRDefault="00B92E9D">
      <w:pPr>
        <w:pStyle w:val="Heading3"/>
        <w:rPr>
          <w:u w:color="000000" w:themeColor="text1"/>
          <w:lang w:eastAsia="ko-KR"/>
        </w:rPr>
      </w:pPr>
      <w:bookmarkStart w:id="3763" w:name="_Toc143602029"/>
      <w:bookmarkStart w:id="3764" w:name="_Toc149312342"/>
      <w:bookmarkStart w:id="3765" w:name="_Toc177119529"/>
      <w:bookmarkStart w:id="3766" w:name="_Toc185952831"/>
      <w:bookmarkStart w:id="3767" w:name="_Toc192874931"/>
      <w:r>
        <w:rPr>
          <w:u w:color="000000" w:themeColor="text1"/>
          <w:lang w:eastAsia="ko-KR"/>
        </w:rPr>
        <w:t>Offboarding</w:t>
      </w:r>
      <w:bookmarkEnd w:id="3763"/>
      <w:bookmarkEnd w:id="3764"/>
      <w:bookmarkEnd w:id="3765"/>
      <w:bookmarkEnd w:id="3766"/>
      <w:bookmarkEnd w:id="3767"/>
    </w:p>
    <w:p w14:paraId="5DF299BE" w14:textId="6ABF16D5" w:rsidR="00B92E9D" w:rsidRPr="00A21682" w:rsidRDefault="00B92E9D" w:rsidP="0DAC99C1">
      <w:pPr>
        <w:pStyle w:val="NormalNEW"/>
        <w:rPr>
          <w:lang w:val="en-US" w:eastAsia="ko-KR"/>
        </w:rPr>
      </w:pPr>
      <w:r>
        <w:rPr>
          <w:lang w:val="en-US" w:eastAsia="ko-KR"/>
        </w:rPr>
        <w:t xml:space="preserve">Track leads will communicate any personnel offboarding to the ███████ PMO. When personnel roll off, the ███████ PMO will provide notice to the DOS PMO and MECM QA via email within 24 hours of the individual’s last day for purposes of decommissioning DOH emails and SharePoint access. In addition, the ███████ PMO will initiate a security rights expiration and reassign resources, as necessary. The ███████ PMO will notify DOH OHIP logistics and copy the DOS PMO to return badges. The ███████ PMO will then collect badges and return to the DOS PMO. Offboarding activities will be tracked and captured in the staff roster maintained by ███████ PMO. </w:t>
      </w:r>
    </w:p>
    <w:p w14:paraId="3F00E5D7" w14:textId="0A35203F" w:rsidR="00B92E9D" w:rsidRPr="00A21682" w:rsidRDefault="00A1220C">
      <w:pPr>
        <w:pStyle w:val="Heading3"/>
        <w:rPr>
          <w:u w:color="000000" w:themeColor="text1"/>
          <w:lang w:eastAsia="ko-KR"/>
        </w:rPr>
      </w:pPr>
      <w:bookmarkStart w:id="3768" w:name="_Toc148975017"/>
      <w:bookmarkStart w:id="3769" w:name="_Toc148975106"/>
      <w:bookmarkStart w:id="3770" w:name="_Toc149116340"/>
      <w:bookmarkStart w:id="3771" w:name="_Toc148975018"/>
      <w:bookmarkStart w:id="3772" w:name="_Toc148975107"/>
      <w:bookmarkStart w:id="3773" w:name="_Toc149116341"/>
      <w:bookmarkStart w:id="3774" w:name="_Toc148975019"/>
      <w:bookmarkStart w:id="3775" w:name="_Toc148975108"/>
      <w:bookmarkStart w:id="3776" w:name="_Toc149116342"/>
      <w:bookmarkStart w:id="3777" w:name="_Toc148975050"/>
      <w:bookmarkStart w:id="3778" w:name="_Toc148975139"/>
      <w:bookmarkStart w:id="3779" w:name="_Toc149116373"/>
      <w:bookmarkStart w:id="3780" w:name="_Toc149312343"/>
      <w:bookmarkStart w:id="3781" w:name="_Toc177119530"/>
      <w:bookmarkStart w:id="3782" w:name="_Toc185952832"/>
      <w:bookmarkStart w:id="3783" w:name="_Toc192874932"/>
      <w:bookmarkStart w:id="3784" w:name="_Toc144881887"/>
      <w:bookmarkEnd w:id="3768"/>
      <w:bookmarkEnd w:id="3769"/>
      <w:bookmarkEnd w:id="3770"/>
      <w:bookmarkEnd w:id="3771"/>
      <w:bookmarkEnd w:id="3772"/>
      <w:bookmarkEnd w:id="3773"/>
      <w:bookmarkEnd w:id="3774"/>
      <w:bookmarkEnd w:id="3775"/>
      <w:bookmarkEnd w:id="3776"/>
      <w:bookmarkEnd w:id="3777"/>
      <w:bookmarkEnd w:id="3778"/>
      <w:bookmarkEnd w:id="3779"/>
      <w:r>
        <w:t>Application Lifecycle Management</w:t>
      </w:r>
      <w:r>
        <w:rPr>
          <w:u w:color="000000"/>
        </w:rPr>
        <w:t xml:space="preserve"> </w:t>
      </w:r>
      <w:r>
        <w:rPr>
          <w:u w:color="000000" w:themeColor="text1"/>
          <w:lang w:eastAsia="ko-KR"/>
        </w:rPr>
        <w:t>Tools</w:t>
      </w:r>
      <w:bookmarkEnd w:id="3780"/>
      <w:bookmarkEnd w:id="3781"/>
      <w:bookmarkEnd w:id="3782"/>
      <w:bookmarkEnd w:id="3783"/>
    </w:p>
    <w:p w14:paraId="207E3E73" w14:textId="2D9BD4F9" w:rsidR="00B92E9D" w:rsidRPr="00A21682" w:rsidRDefault="00B92E9D" w:rsidP="00170CC3">
      <w:pPr>
        <w:pStyle w:val="NormalNEW"/>
        <w:rPr>
          <w:u w:color="000000" w:themeColor="text1"/>
          <w:lang w:val="en-US" w:eastAsia="ko-KR"/>
        </w:rPr>
      </w:pPr>
      <w:r>
        <w:rPr>
          <w:u w:color="000000" w:themeColor="text1"/>
          <w:lang w:val="en-US" w:eastAsia="ko-KR"/>
        </w:rPr>
        <w:t xml:space="preserve">Project resources will be required to use a variety of ALM tools to achieve the objectives of the </w:t>
      </w:r>
      <w:r>
        <w:rPr>
          <w:lang w:val="en-US"/>
        </w:rPr>
        <w:t>Continuing Medicaid Eligibility Modernization</w:t>
      </w:r>
      <w:r>
        <w:rPr>
          <w:u w:color="000000" w:themeColor="text1"/>
          <w:lang w:val="en-US" w:eastAsia="ko-KR"/>
        </w:rPr>
        <w:t xml:space="preserve"> project. During onboarding, project resources will gain access and training to the ALM tools. </w:t>
      </w:r>
      <w:bookmarkEnd w:id="3784"/>
      <w:r>
        <w:rPr>
          <w:u w:color="000000" w:themeColor="text1"/>
          <w:lang w:val="en-US" w:eastAsia="ko-KR"/>
        </w:rPr>
        <w:t>For an overview of the ALM tools utilized, their purposes, and affiliated roles and workflows required to effectively operationalize each tool, refer to the Software Development Life Cycle Methodology Section 2.17 ALM tools.</w:t>
      </w:r>
    </w:p>
    <w:p w14:paraId="46C2B3BC" w14:textId="77777777" w:rsidR="00AD5610" w:rsidRPr="00A21682" w:rsidRDefault="00AD5610" w:rsidP="00A3488A">
      <w:pPr>
        <w:rPr>
          <w:rFonts w:ascii="Verdana" w:hAnsi="Verdana"/>
          <w:sz w:val="18"/>
        </w:rPr>
      </w:pPr>
    </w:p>
    <w:p w14:paraId="2EA72096" w14:textId="77777777" w:rsidR="00AD5610" w:rsidRPr="00A21682" w:rsidRDefault="00AD5610" w:rsidP="00A3488A">
      <w:pPr>
        <w:rPr>
          <w:rFonts w:ascii="Verdana" w:hAnsi="Verdana"/>
          <w:sz w:val="18"/>
        </w:rPr>
        <w:sectPr w:rsidR="00AD5610" w:rsidRPr="00A21682" w:rsidSect="00FB4E23">
          <w:headerReference w:type="default" r:id="rId91"/>
          <w:footerReference w:type="default" r:id="rId92"/>
          <w:pgSz w:w="12240" w:h="15840"/>
          <w:pgMar w:top="1440" w:right="1440" w:bottom="1440" w:left="1440" w:header="720" w:footer="720" w:gutter="0"/>
          <w:cols w:space="720"/>
          <w:docGrid w:linePitch="360"/>
        </w:sectPr>
      </w:pPr>
    </w:p>
    <w:p w14:paraId="3796F7DC" w14:textId="6ED2A845" w:rsidR="00AD5610" w:rsidRPr="00A21682" w:rsidRDefault="000B33B3" w:rsidP="00A9704C">
      <w:pPr>
        <w:pStyle w:val="Deliverable"/>
        <w:jc w:val="center"/>
        <w:rPr>
          <w:sz w:val="18"/>
        </w:rPr>
      </w:pPr>
      <w:r>
        <w:rPr>
          <w:color w:val="FFFFFF" w:themeColor="background1"/>
        </w:rPr>
        <w:lastRenderedPageBreak/>
        <w:t>Section 9 – Project Controls Plan</w:t>
      </w:r>
    </w:p>
    <w:p w14:paraId="6622A37C" w14:textId="77777777" w:rsidR="00E57B0C" w:rsidRPr="00A21682" w:rsidRDefault="00E57B0C" w:rsidP="00A3488A">
      <w:pPr>
        <w:rPr>
          <w:rFonts w:ascii="Verdana" w:hAnsi="Verdana"/>
          <w:sz w:val="18"/>
        </w:rPr>
        <w:sectPr w:rsidR="00E57B0C" w:rsidRPr="00A21682" w:rsidSect="00FB4E23">
          <w:headerReference w:type="default" r:id="rId93"/>
          <w:footerReference w:type="default" r:id="rId94"/>
          <w:pgSz w:w="12240" w:h="15840"/>
          <w:pgMar w:top="1440" w:right="1440" w:bottom="1440" w:left="1440" w:header="720" w:footer="720" w:gutter="0"/>
          <w:cols w:space="720"/>
          <w:vAlign w:val="center"/>
          <w:docGrid w:linePitch="360"/>
        </w:sectPr>
      </w:pPr>
    </w:p>
    <w:p w14:paraId="2ADA64F6" w14:textId="228E5F45" w:rsidR="00AD5610" w:rsidRPr="00A21682" w:rsidRDefault="00AF608C">
      <w:pPr>
        <w:pStyle w:val="Heading1"/>
      </w:pPr>
      <w:bookmarkStart w:id="3785" w:name="_Toc177119531"/>
      <w:bookmarkStart w:id="3786" w:name="_Toc185952833"/>
      <w:bookmarkStart w:id="3787" w:name="_Toc192874933"/>
      <w:r>
        <w:lastRenderedPageBreak/>
        <w:t>Project Controls Plan</w:t>
      </w:r>
      <w:bookmarkEnd w:id="3785"/>
      <w:bookmarkEnd w:id="3786"/>
      <w:bookmarkEnd w:id="3787"/>
    </w:p>
    <w:p w14:paraId="1EA6934E" w14:textId="77777777" w:rsidR="005B461F" w:rsidRPr="00A21682" w:rsidRDefault="005B461F">
      <w:pPr>
        <w:pStyle w:val="Heading2"/>
      </w:pPr>
      <w:bookmarkStart w:id="3788" w:name="_Toc153277016"/>
      <w:bookmarkStart w:id="3789" w:name="_Toc177119532"/>
      <w:bookmarkStart w:id="3790" w:name="_Toc185952834"/>
      <w:bookmarkStart w:id="3791" w:name="_Toc192874934"/>
      <w:r>
        <w:t>Introduction</w:t>
      </w:r>
      <w:bookmarkEnd w:id="3788"/>
      <w:bookmarkEnd w:id="3789"/>
      <w:bookmarkEnd w:id="3790"/>
      <w:bookmarkEnd w:id="3791"/>
      <w:r>
        <w:t xml:space="preserve"> </w:t>
      </w:r>
    </w:p>
    <w:p w14:paraId="776DE76E" w14:textId="5C60B0EA" w:rsidR="005B461F" w:rsidRPr="00A21682" w:rsidRDefault="005B461F" w:rsidP="00170CC3">
      <w:pPr>
        <w:pStyle w:val="NormalNEW"/>
        <w:rPr>
          <w:rFonts w:cs="Arial Narrow"/>
          <w:lang w:val="en-US"/>
        </w:rPr>
      </w:pPr>
      <w:r>
        <w:rPr>
          <w:rFonts w:eastAsia="Calibri"/>
          <w:lang w:val="en-US"/>
        </w:rPr>
        <w:t>Th</w:t>
      </w:r>
      <w:r>
        <w:rPr>
          <w:lang w:val="en-US"/>
        </w:rPr>
        <w:t xml:space="preserve">e Project Controls Plan defines the overall strategy and methodology used to manage risks and issues, as well as action items and decisions, throughout the course of the Continuing Medicaid Eligibility Modernization project. </w:t>
      </w:r>
      <w:r>
        <w:rPr>
          <w:rFonts w:eastAsia="Calibri"/>
          <w:lang w:val="en-US"/>
        </w:rPr>
        <w:t xml:space="preserve">Project risks and issues may become apparent at any point during the project life cycle and disciplined management of those risks and issues is critical to the overall success of the project. Action items and decisions capture the planned mitigations to risks and relative resolutions to issues. Action items also capture project activities needed to support delivery of the project. Decisions log conclusions, responses to questions, and judgments made during the course of project delivery. </w:t>
      </w:r>
    </w:p>
    <w:p w14:paraId="4E546DD5" w14:textId="77777777" w:rsidR="005B461F" w:rsidRPr="00A21682" w:rsidRDefault="005B461F">
      <w:pPr>
        <w:pStyle w:val="Heading2"/>
      </w:pPr>
      <w:bookmarkStart w:id="3792" w:name="_Toc153277017"/>
      <w:bookmarkStart w:id="3793" w:name="_Toc177119533"/>
      <w:bookmarkStart w:id="3794" w:name="_Toc185952835"/>
      <w:bookmarkStart w:id="3795" w:name="_Toc192874935"/>
      <w:r>
        <w:t>Purpose</w:t>
      </w:r>
      <w:bookmarkEnd w:id="3792"/>
      <w:bookmarkEnd w:id="3793"/>
      <w:bookmarkEnd w:id="3794"/>
      <w:bookmarkEnd w:id="3795"/>
    </w:p>
    <w:p w14:paraId="18065C6C" w14:textId="5771E571" w:rsidR="005B461F" w:rsidRPr="00A21682" w:rsidRDefault="005B461F" w:rsidP="00170CC3">
      <w:pPr>
        <w:pStyle w:val="NormalNEW"/>
        <w:rPr>
          <w:lang w:val="en-US"/>
        </w:rPr>
      </w:pPr>
      <w:r>
        <w:rPr>
          <w:lang w:val="en-US"/>
        </w:rPr>
        <w:t xml:space="preserve">The purpose of the Project Controls Plan is to define how risks and issues will be identified, evaluated, reported, managed, mitigated and/or resolved. The plan also defines the process to manage action items and decisions. In addition, the Risk Management Approach outlines how risk management activities will be performed, recorded, and monitored throughout the project and provides templates and practices for prioritizing risks to confirm that they are escalated appropriately and resolved in a timely manner. </w:t>
      </w:r>
    </w:p>
    <w:p w14:paraId="47145F1F" w14:textId="0D8895F5" w:rsidR="005B461F" w:rsidRPr="00A21682" w:rsidRDefault="005B461F" w:rsidP="00170CC3">
      <w:pPr>
        <w:pStyle w:val="NormalNEW"/>
        <w:rPr>
          <w:lang w:val="en-US"/>
        </w:rPr>
      </w:pPr>
      <w:r>
        <w:rPr>
          <w:lang w:val="en-US"/>
        </w:rPr>
        <w:t>The ALM tool will be used as the tool for maintaining the risk log as a component of the RAID Log. The project management tool includes functionality for tracking, reporting, and dashboarding the RAID management process.</w:t>
      </w:r>
    </w:p>
    <w:p w14:paraId="7391F177" w14:textId="45C9C379" w:rsidR="005B461F" w:rsidRPr="00A21682" w:rsidRDefault="005B461F" w:rsidP="00170CC3">
      <w:pPr>
        <w:pStyle w:val="NormalNEW"/>
        <w:rPr>
          <w:rFonts w:cs="Arial Narrow"/>
          <w:lang w:val="en-US"/>
        </w:rPr>
      </w:pPr>
      <w:r>
        <w:rPr>
          <w:rFonts w:cs="Arial Narrow"/>
          <w:lang w:val="en-US"/>
        </w:rPr>
        <w:t>Objectives of the Continuing Medicaid Eligibility Modernization Controls Plan include:</w:t>
      </w:r>
    </w:p>
    <w:p w14:paraId="40E94DD4" w14:textId="760837BD" w:rsidR="005B461F" w:rsidRPr="00A21682" w:rsidRDefault="005B461F" w:rsidP="0031550A">
      <w:pPr>
        <w:pStyle w:val="BulletNEW"/>
      </w:pPr>
      <w:bookmarkStart w:id="3796" w:name="_Toc143696781"/>
      <w:bookmarkStart w:id="3797" w:name="_Toc143697011"/>
      <w:bookmarkStart w:id="3798" w:name="_Toc143697763"/>
      <w:bookmarkStart w:id="3799" w:name="_Toc143700163"/>
      <w:r>
        <w:t>Establish the review cadence and roles and responsibilities for project RAID management</w:t>
      </w:r>
    </w:p>
    <w:p w14:paraId="515B918F" w14:textId="344F4BC4" w:rsidR="005B461F" w:rsidRPr="00A21682" w:rsidRDefault="005B461F" w:rsidP="0031550A">
      <w:pPr>
        <w:pStyle w:val="BulletNEW"/>
      </w:pPr>
      <w:r>
        <w:t>Illustrate the workflow associated with entering and managing RAID items throughout their life cycles</w:t>
      </w:r>
    </w:p>
    <w:p w14:paraId="40EC0918" w14:textId="611A6CA7" w:rsidR="005B461F" w:rsidRPr="00A21682" w:rsidRDefault="005B461F" w:rsidP="0031550A">
      <w:pPr>
        <w:pStyle w:val="BulletNEW"/>
      </w:pPr>
      <w:r>
        <w:t>Outline the procedures including meetings, stakeholders, and reports involved to proactively monitor RAID</w:t>
      </w:r>
    </w:p>
    <w:p w14:paraId="3A25B802" w14:textId="5DE43FAD" w:rsidR="005B461F" w:rsidRPr="00A21682" w:rsidRDefault="005B461F" w:rsidP="0031550A">
      <w:pPr>
        <w:pStyle w:val="BulletNEW"/>
      </w:pPr>
      <w:r>
        <w:t>Define how risks and issues associated with the project are identified, evaluated, reported, managed, and mitigated</w:t>
      </w:r>
    </w:p>
    <w:p w14:paraId="5410F9D8" w14:textId="77777777" w:rsidR="005B461F" w:rsidRPr="00A21682" w:rsidRDefault="005B461F" w:rsidP="0031550A">
      <w:pPr>
        <w:pStyle w:val="BulletNEW"/>
      </w:pPr>
      <w:r>
        <w:t>Identify the key attributes, including probability and impact, used in the ALM tool to document risks and issues</w:t>
      </w:r>
      <w:bookmarkStart w:id="3800" w:name="_Toc144460803"/>
      <w:bookmarkEnd w:id="3796"/>
      <w:bookmarkEnd w:id="3797"/>
      <w:bookmarkEnd w:id="3798"/>
      <w:bookmarkEnd w:id="3799"/>
      <w:bookmarkEnd w:id="3800"/>
    </w:p>
    <w:p w14:paraId="2A4DBA7F" w14:textId="77777777" w:rsidR="005B461F" w:rsidRPr="00A21682" w:rsidRDefault="005B461F">
      <w:pPr>
        <w:pStyle w:val="Heading2"/>
      </w:pPr>
      <w:bookmarkStart w:id="3801" w:name="_Toc153277018"/>
      <w:bookmarkStart w:id="3802" w:name="_Toc177119534"/>
      <w:bookmarkStart w:id="3803" w:name="_Toc185952836"/>
      <w:bookmarkStart w:id="3804" w:name="_Toc192874936"/>
      <w:r>
        <w:t>Risk Management Approach</w:t>
      </w:r>
      <w:bookmarkEnd w:id="3801"/>
      <w:bookmarkEnd w:id="3802"/>
      <w:bookmarkEnd w:id="3803"/>
      <w:bookmarkEnd w:id="3804"/>
    </w:p>
    <w:p w14:paraId="02F86A9D" w14:textId="4DC72353" w:rsidR="005B461F" w:rsidRPr="00A21682" w:rsidRDefault="005B461F" w:rsidP="00170CC3">
      <w:pPr>
        <w:pStyle w:val="NormalNEW"/>
        <w:rPr>
          <w:lang w:val="en-US"/>
        </w:rPr>
      </w:pPr>
      <w:r>
        <w:rPr>
          <w:lang w:val="en-US"/>
        </w:rPr>
        <w:t>The following section illustrates how risks associated with the project will be identified, evaluated, reported, managed, and mitigated going forward. It outlines how risk management activities will be performed throughout the life cycle of the project using the ALM tool.</w:t>
      </w:r>
    </w:p>
    <w:p w14:paraId="4E383CAE" w14:textId="2C9CDC98" w:rsidR="005924B5" w:rsidRPr="00A21682" w:rsidRDefault="00BA3A92" w:rsidP="00170CC3">
      <w:pPr>
        <w:pStyle w:val="NormalNEW"/>
        <w:rPr>
          <w:lang w:val="en-US"/>
        </w:rPr>
      </w:pPr>
      <w:r>
        <w:rPr>
          <w:lang w:val="en-US"/>
        </w:rPr>
        <w:t>A risk is defined as an event or a condition that might occur in the future. If a risk does occur, it can negatively impact a project.</w:t>
      </w:r>
      <w:r>
        <w:rPr>
          <w:rFonts w:ascii="Arial" w:hAnsi="Arial" w:cs="Arial"/>
          <w:lang w:val="en-US"/>
        </w:rPr>
        <w:t>​</w:t>
      </w:r>
    </w:p>
    <w:p w14:paraId="0F1EBFA9" w14:textId="18C77169" w:rsidR="005B461F" w:rsidRPr="00A21682" w:rsidRDefault="005B461F">
      <w:pPr>
        <w:pStyle w:val="Heading3"/>
      </w:pPr>
      <w:bookmarkStart w:id="3805" w:name="_Toc153277019"/>
      <w:bookmarkStart w:id="3806" w:name="_Toc177119535"/>
      <w:bookmarkStart w:id="3807" w:name="_Toc185952837"/>
      <w:bookmarkStart w:id="3808" w:name="_Toc192874937"/>
      <w:r>
        <w:t>Risk Management Process Summary</w:t>
      </w:r>
      <w:bookmarkEnd w:id="3805"/>
      <w:bookmarkEnd w:id="3806"/>
      <w:bookmarkEnd w:id="3807"/>
      <w:bookmarkEnd w:id="3808"/>
    </w:p>
    <w:p w14:paraId="326DBD24" w14:textId="0A84BBBC" w:rsidR="005B461F" w:rsidRPr="00A21682" w:rsidRDefault="00213C89" w:rsidP="00170CC3">
      <w:pPr>
        <w:pStyle w:val="NormalNEW"/>
        <w:rPr>
          <w:lang w:val="en-US"/>
        </w:rPr>
      </w:pPr>
      <w:r>
        <w:rPr>
          <w:lang w:val="en-US"/>
        </w:rPr>
        <w:t>The ALM tool is the tool to manage the Risk Management Approach. The risk management process includes:</w:t>
      </w:r>
    </w:p>
    <w:p w14:paraId="36FDE2F9" w14:textId="3330EE45" w:rsidR="005B461F" w:rsidRPr="00A21682" w:rsidRDefault="005B461F" w:rsidP="0031550A">
      <w:pPr>
        <w:pStyle w:val="BulletNEW"/>
      </w:pPr>
      <w:r>
        <w:t xml:space="preserve">Identify Risk – A team member raises a risk. Anyone from either team can raise a risk for documentation and discussion. When logging the risk, team member will analyze the risk </w:t>
      </w:r>
      <w:r>
        <w:lastRenderedPageBreak/>
        <w:t>severity on a scale of Low to High and the score is based on multiplying Impact by Probability to produce a numerical measure on severity. The probability, impact, and overall risk severity will be included for the risks included in the PSR and reported to project leadership</w:t>
      </w:r>
    </w:p>
    <w:p w14:paraId="44F93C94" w14:textId="3996DCAC" w:rsidR="005B461F" w:rsidRPr="00A21682" w:rsidRDefault="005B461F" w:rsidP="0031550A">
      <w:pPr>
        <w:pStyle w:val="BulletNEW"/>
      </w:pPr>
      <w:r>
        <w:t xml:space="preserve">Document Risk – The identifier of the risk as well as risk stakeholders then work with the PMO to log the risk status in the ALM tool </w:t>
      </w:r>
    </w:p>
    <w:p w14:paraId="6E277D5C" w14:textId="2C2F182B" w:rsidR="001E15DF" w:rsidRPr="00A21682" w:rsidRDefault="005B461F" w:rsidP="0031550A">
      <w:pPr>
        <w:pStyle w:val="BulletNEW"/>
      </w:pPr>
      <w:r>
        <w:t>Address Risk – A risk response plan and associated mitigation strategies are required as part of risk management/mitigation. A risk response plan contains the actionable steps to manage the risk, as well as a contingency plan, and indicates if the risk will be mitigated, accepted, or transferred. The PMO will work with the Risk Owner and respective track to produce and socialize the risk response plan to the applicable stakeholder(s). PMO includes open risks in the PSR and discusses the open risks during Project Status meetings with ███████ and DOH OHIP. The team defines the action items required to resolve the risk and develops, socializes, and executes a risk response plan and associated management/mitigation plan (as applicable)</w:t>
      </w:r>
    </w:p>
    <w:p w14:paraId="6C26FB18" w14:textId="16BF4343" w:rsidR="001E15DF" w:rsidRPr="00A21682" w:rsidRDefault="005B461F" w:rsidP="0031550A">
      <w:pPr>
        <w:pStyle w:val="BulletNEW"/>
      </w:pPr>
      <w:r>
        <w:t>Monitor Risk – The PMO maintains the ALM tool RAID Log with appropriate risk status and updates the PSR prior to meetings with changes</w:t>
      </w:r>
    </w:p>
    <w:p w14:paraId="4DCFD13E" w14:textId="17AFE05E" w:rsidR="001E15DF" w:rsidRPr="00A21682" w:rsidRDefault="005B461F" w:rsidP="0031550A">
      <w:pPr>
        <w:pStyle w:val="BulletNEW"/>
      </w:pPr>
      <w:r>
        <w:t>Resolve Risk – A risk is resolved when the issue or challenge posed by the risk has been adequately manage or mitigated, which means that measures have been implemented to reduce the likelihood or impact of the risk. This may involve implementing mitigation strategies, preparing contingency plans, or accepting the risk</w:t>
      </w:r>
    </w:p>
    <w:p w14:paraId="38691426" w14:textId="71DC78E2" w:rsidR="001303E0" w:rsidRPr="00A21682" w:rsidRDefault="005B461F" w:rsidP="0031550A">
      <w:pPr>
        <w:pStyle w:val="BulletNEW"/>
      </w:pPr>
      <w:r>
        <w:t>Cancel Risk – This occurs when it is determined that the risk is no longer applicable or relevant. This may also occur if the conditions that initially led to the identification of the risk have changed, or if the risk is found unlikely to occur or have significant impact. If a risk cannot be mitigated and will likely result in adverse impacts, the risk may be transferred to a third party. Once the risk is transferred, it is considered cancelled</w:t>
      </w:r>
    </w:p>
    <w:p w14:paraId="3A06119B" w14:textId="19D3E1DF" w:rsidR="001303E0" w:rsidRPr="00A21682" w:rsidRDefault="005B461F" w:rsidP="0031550A">
      <w:pPr>
        <w:pStyle w:val="BulletNEW"/>
      </w:pPr>
      <w:r>
        <w:t>Escalate Risk – If after review, the risk is determined to be high priority and unmitigated, it should be escalated and converted to an issue and go through the issue resolution process</w:t>
      </w:r>
    </w:p>
    <w:p w14:paraId="75CB23C1" w14:textId="7488FD98" w:rsidR="005B461F" w:rsidRPr="00A21682" w:rsidRDefault="009031EE" w:rsidP="0031550A">
      <w:pPr>
        <w:pStyle w:val="BulletNEW"/>
      </w:pPr>
      <w:r>
        <w:t>Resolve (Close) Risk – Once the risk has been mitigated, transferred, or avoided, it is considered resolved (closed)</w:t>
      </w:r>
    </w:p>
    <w:p w14:paraId="0D27A890" w14:textId="0FEEE8EE" w:rsidR="005B461F" w:rsidRPr="00A21682" w:rsidRDefault="005B461F" w:rsidP="00170CC3">
      <w:pPr>
        <w:pStyle w:val="NormalNEW"/>
        <w:rPr>
          <w:lang w:val="en-US"/>
        </w:rPr>
      </w:pPr>
      <w:r>
        <w:rPr>
          <w:lang w:val="en-US"/>
        </w:rPr>
        <w:t>The process outlined in Section 9.3.2 and 9.3.3 below show the current process.</w:t>
      </w:r>
    </w:p>
    <w:p w14:paraId="457A631F" w14:textId="5B6AAFE7" w:rsidR="005B461F" w:rsidRPr="00A21682" w:rsidRDefault="005B461F">
      <w:pPr>
        <w:pStyle w:val="Heading3"/>
      </w:pPr>
      <w:bookmarkStart w:id="3809" w:name="_Toc153277020"/>
      <w:bookmarkStart w:id="3810" w:name="_Toc177119536"/>
      <w:bookmarkStart w:id="3811" w:name="_Toc185952838"/>
      <w:bookmarkStart w:id="3812" w:name="_Toc192874938"/>
      <w:r>
        <w:t>Risk Management Process Flow Diagram</w:t>
      </w:r>
      <w:bookmarkEnd w:id="3809"/>
      <w:bookmarkEnd w:id="3810"/>
      <w:bookmarkEnd w:id="3811"/>
      <w:bookmarkEnd w:id="3812"/>
    </w:p>
    <w:p w14:paraId="4C720C44" w14:textId="2B060246" w:rsidR="005B461F" w:rsidRPr="00A21682" w:rsidRDefault="005B461F" w:rsidP="00A9704C">
      <w:pPr>
        <w:pStyle w:val="NormalNEW"/>
        <w:rPr>
          <w:rFonts w:cs="Arial Narrow"/>
          <w:szCs w:val="18"/>
          <w:lang w:val="en-US"/>
        </w:rPr>
      </w:pPr>
      <w:r>
        <w:rPr>
          <w:lang w:val="en-US"/>
        </w:rPr>
        <w:t xml:space="preserve">The following diagram depicts the risk management the ALM tool workflow for the Continuing Medicaid Eligibility Modernization project. The diagram conveys an overview of responsibilities across the ███████ functional, business, and technical stakeholders, and the PMO, which includes the ███████ PMO and DOS PMO teams. </w:t>
      </w:r>
    </w:p>
    <w:p w14:paraId="4E4D6EDC" w14:textId="124B6825" w:rsidR="005B461F" w:rsidRPr="00A21682" w:rsidRDefault="00A40AA5" w:rsidP="006162B8">
      <w:pPr>
        <w:pStyle w:val="NormalNEW"/>
        <w:jc w:val="center"/>
        <w:rPr>
          <w:lang w:val="en-US"/>
        </w:rPr>
      </w:pPr>
      <w:r>
        <w:rPr>
          <w:lang w:val="en-US"/>
        </w:rPr>
        <w:lastRenderedPageBreak/>
        <w:pict w14:anchorId="4C6E1F6A">
          <v:shape id="_x0000_i1047" type="#_x0000_t75" style="width:468pt;height:204.6pt">
            <v:imagedata r:id="rId95" o:title=""/>
          </v:shape>
        </w:pict>
      </w:r>
    </w:p>
    <w:p w14:paraId="0BA2DCD2" w14:textId="4F9C8500" w:rsidR="005B461F" w:rsidRPr="00A21682" w:rsidRDefault="005B461F" w:rsidP="00D818D3">
      <w:pPr>
        <w:pStyle w:val="Caption"/>
        <w:rPr>
          <w:rFonts w:eastAsiaTheme="majorEastAsia" w:cs="Arial"/>
          <w:noProof w:val="0"/>
          <w:szCs w:val="20"/>
        </w:rPr>
      </w:pPr>
      <w:bookmarkStart w:id="3813" w:name="_Toc149672597"/>
      <w:bookmarkStart w:id="3814" w:name="_Toc178152067"/>
      <w:bookmarkStart w:id="3815" w:name="_Toc192875075"/>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Risk Management Process Flow</w:t>
      </w:r>
      <w:bookmarkEnd w:id="3813"/>
      <w:bookmarkEnd w:id="3814"/>
      <w:bookmarkEnd w:id="3815"/>
    </w:p>
    <w:p w14:paraId="01FE112D" w14:textId="4A80B16E" w:rsidR="005B461F" w:rsidRPr="00A21682" w:rsidRDefault="005B461F">
      <w:pPr>
        <w:pStyle w:val="Heading3"/>
      </w:pPr>
      <w:bookmarkStart w:id="3816" w:name="_Toc153277021"/>
      <w:bookmarkStart w:id="3817" w:name="_Toc177119537"/>
      <w:bookmarkStart w:id="3818" w:name="_Toc185952839"/>
      <w:bookmarkStart w:id="3819" w:name="_Toc192874939"/>
      <w:r>
        <w:t>Risk Management Process Flow Narrative</w:t>
      </w:r>
      <w:bookmarkEnd w:id="3816"/>
      <w:bookmarkEnd w:id="3817"/>
      <w:bookmarkEnd w:id="3818"/>
      <w:bookmarkEnd w:id="3819"/>
    </w:p>
    <w:p w14:paraId="0AE59742" w14:textId="01280387" w:rsidR="005B461F" w:rsidRPr="00A21682" w:rsidRDefault="005B461F" w:rsidP="00170CC3">
      <w:pPr>
        <w:pStyle w:val="NormalNEW"/>
        <w:rPr>
          <w:lang w:val="en-US"/>
        </w:rPr>
      </w:pPr>
      <w:r>
        <w:rPr>
          <w:lang w:val="en-US"/>
        </w:rPr>
        <w:t>The following table describes each process step illustrated above.</w:t>
      </w:r>
    </w:p>
    <w:tbl>
      <w:tblPr>
        <w:tblStyle w:val="TableGrid13"/>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05"/>
        <w:gridCol w:w="1350"/>
        <w:gridCol w:w="5084"/>
        <w:gridCol w:w="2116"/>
      </w:tblGrid>
      <w:tr w:rsidR="005B461F" w:rsidRPr="00A21682" w14:paraId="3C87FE4B" w14:textId="77777777" w:rsidTr="00541FC2">
        <w:trPr>
          <w:cnfStyle w:val="100000000000" w:firstRow="1" w:lastRow="0" w:firstColumn="0" w:lastColumn="0" w:oddVBand="0" w:evenVBand="0" w:oddHBand="0" w:evenHBand="0" w:firstRowFirstColumn="0" w:firstRowLastColumn="0" w:lastRowFirstColumn="0" w:lastRowLastColumn="0"/>
          <w:trHeight w:val="433"/>
          <w:tblHeader/>
        </w:trPr>
        <w:tc>
          <w:tcPr>
            <w:tcW w:w="805" w:type="dxa"/>
            <w:tcBorders>
              <w:right w:val="single" w:sz="2" w:space="0" w:color="FFFFFF" w:themeColor="background1"/>
            </w:tcBorders>
          </w:tcPr>
          <w:p w14:paraId="24E88364" w14:textId="77777777" w:rsidR="005B461F" w:rsidRPr="00A21682" w:rsidRDefault="005B461F" w:rsidP="00CA1375">
            <w:pPr>
              <w:pStyle w:val="TABLEHEADINGNEW"/>
              <w:jc w:val="left"/>
              <w:rPr>
                <w:rFonts w:eastAsiaTheme="minorEastAsia"/>
                <w:b/>
                <w:bCs w:val="0"/>
              </w:rPr>
            </w:pPr>
            <w:r>
              <w:rPr>
                <w:rFonts w:eastAsiaTheme="minorEastAsia"/>
                <w:b/>
                <w:bCs w:val="0"/>
              </w:rPr>
              <w:t>Step #</w:t>
            </w:r>
          </w:p>
        </w:tc>
        <w:tc>
          <w:tcPr>
            <w:tcW w:w="1350" w:type="dxa"/>
            <w:tcBorders>
              <w:left w:val="single" w:sz="2" w:space="0" w:color="FFFFFF" w:themeColor="background1"/>
              <w:right w:val="single" w:sz="2" w:space="0" w:color="FFFFFF" w:themeColor="background1"/>
            </w:tcBorders>
          </w:tcPr>
          <w:p w14:paraId="07055795" w14:textId="77777777" w:rsidR="005B461F" w:rsidRPr="00A21682" w:rsidRDefault="005B461F" w:rsidP="00CA1375">
            <w:pPr>
              <w:pStyle w:val="TABLEHEADINGNEW"/>
              <w:jc w:val="left"/>
              <w:rPr>
                <w:rFonts w:eastAsiaTheme="minorEastAsia"/>
                <w:b/>
                <w:bCs w:val="0"/>
              </w:rPr>
            </w:pPr>
            <w:r>
              <w:rPr>
                <w:rFonts w:eastAsiaTheme="minorEastAsia"/>
                <w:b/>
                <w:bCs w:val="0"/>
              </w:rPr>
              <w:t>Process Step</w:t>
            </w:r>
          </w:p>
        </w:tc>
        <w:tc>
          <w:tcPr>
            <w:tcW w:w="5084" w:type="dxa"/>
            <w:tcBorders>
              <w:left w:val="single" w:sz="2" w:space="0" w:color="FFFFFF" w:themeColor="background1"/>
              <w:right w:val="single" w:sz="2" w:space="0" w:color="FFFFFF" w:themeColor="background1"/>
            </w:tcBorders>
          </w:tcPr>
          <w:p w14:paraId="72FDA590" w14:textId="77777777" w:rsidR="005B461F" w:rsidRPr="00A21682" w:rsidRDefault="005B461F" w:rsidP="00CA1375">
            <w:pPr>
              <w:pStyle w:val="TABLEHEADINGNEW"/>
              <w:jc w:val="left"/>
              <w:rPr>
                <w:rFonts w:eastAsiaTheme="minorEastAsia"/>
                <w:b/>
                <w:bCs w:val="0"/>
              </w:rPr>
            </w:pPr>
            <w:r>
              <w:rPr>
                <w:rFonts w:eastAsiaTheme="minorEastAsia"/>
                <w:b/>
                <w:bCs w:val="0"/>
              </w:rPr>
              <w:t>Description</w:t>
            </w:r>
          </w:p>
        </w:tc>
        <w:tc>
          <w:tcPr>
            <w:tcW w:w="2116" w:type="dxa"/>
            <w:tcBorders>
              <w:left w:val="single" w:sz="2" w:space="0" w:color="FFFFFF" w:themeColor="background1"/>
            </w:tcBorders>
          </w:tcPr>
          <w:p w14:paraId="07C570E0" w14:textId="77777777" w:rsidR="005B461F" w:rsidRPr="00A21682" w:rsidRDefault="005B461F" w:rsidP="00CA1375">
            <w:pPr>
              <w:pStyle w:val="TABLEHEADINGNEW"/>
              <w:jc w:val="left"/>
              <w:rPr>
                <w:rFonts w:eastAsiaTheme="minorEastAsia"/>
                <w:b/>
                <w:bCs w:val="0"/>
              </w:rPr>
            </w:pPr>
            <w:r>
              <w:rPr>
                <w:rFonts w:eastAsiaTheme="minorEastAsia"/>
                <w:b/>
                <w:bCs w:val="0"/>
              </w:rPr>
              <w:t>Stakeholder Group(s)</w:t>
            </w:r>
          </w:p>
        </w:tc>
      </w:tr>
      <w:tr w:rsidR="005B461F" w:rsidRPr="00A21682" w14:paraId="6A1078ED" w14:textId="77777777" w:rsidTr="00047C4E">
        <w:trPr>
          <w:cantSplit/>
          <w:trHeight w:val="20"/>
        </w:trPr>
        <w:tc>
          <w:tcPr>
            <w:tcW w:w="805" w:type="dxa"/>
          </w:tcPr>
          <w:p w14:paraId="48335092" w14:textId="77777777" w:rsidR="005B461F" w:rsidRPr="00A21682" w:rsidRDefault="005B461F" w:rsidP="00CA1375">
            <w:pPr>
              <w:pStyle w:val="TABLETEXT1"/>
              <w:rPr>
                <w:rFonts w:eastAsiaTheme="majorEastAsia"/>
                <w:lang w:val="en-US"/>
              </w:rPr>
            </w:pPr>
            <w:r>
              <w:rPr>
                <w:lang w:val="en-US"/>
              </w:rPr>
              <w:t>1</w:t>
            </w:r>
          </w:p>
        </w:tc>
        <w:tc>
          <w:tcPr>
            <w:tcW w:w="1350" w:type="dxa"/>
          </w:tcPr>
          <w:p w14:paraId="73A6DC42" w14:textId="77777777" w:rsidR="005B461F" w:rsidRPr="00A21682" w:rsidRDefault="005B461F" w:rsidP="00CA1375">
            <w:pPr>
              <w:pStyle w:val="TABLETEXT1"/>
              <w:rPr>
                <w:rFonts w:eastAsiaTheme="majorEastAsia" w:cs="Arial"/>
                <w:szCs w:val="24"/>
                <w:lang w:val="en-US"/>
              </w:rPr>
            </w:pPr>
            <w:r>
              <w:rPr>
                <w:rFonts w:eastAsiaTheme="majorEastAsia" w:cs="Arial"/>
                <w:szCs w:val="24"/>
                <w:lang w:val="en-US"/>
              </w:rPr>
              <w:t>ID Risk</w:t>
            </w:r>
          </w:p>
        </w:tc>
        <w:tc>
          <w:tcPr>
            <w:tcW w:w="5084" w:type="dxa"/>
          </w:tcPr>
          <w:p w14:paraId="635CCD68" w14:textId="4D2A98B7" w:rsidR="005B461F" w:rsidRPr="00A21682" w:rsidRDefault="009C0D6E" w:rsidP="00CA1375">
            <w:pPr>
              <w:pStyle w:val="TABLETEXT1"/>
              <w:rPr>
                <w:rFonts w:eastAsia="Times New Roman" w:cs="Arial"/>
                <w:szCs w:val="24"/>
                <w:lang w:val="en-US"/>
              </w:rPr>
            </w:pPr>
            <w:r>
              <w:rPr>
                <w:rFonts w:eastAsiaTheme="majorEastAsia" w:cs="Arial"/>
                <w:szCs w:val="24"/>
                <w:lang w:val="en-US"/>
              </w:rPr>
              <w:t>The designated PMO, along with the Risk Identifier, logs the item in the ALM tool, which serves as the project tracking software. Anyone from the project team can raise a risk for documentation and discussion.</w:t>
            </w:r>
          </w:p>
        </w:tc>
        <w:tc>
          <w:tcPr>
            <w:tcW w:w="2116" w:type="dxa"/>
          </w:tcPr>
          <w:p w14:paraId="7A40EB51" w14:textId="56684678" w:rsidR="005B461F" w:rsidRPr="00635C9B" w:rsidRDefault="00883E29" w:rsidP="00CA1375">
            <w:pPr>
              <w:pStyle w:val="TABLEBULLETNEW"/>
            </w:pPr>
            <w:r>
              <w:t>███████/DOS PMO</w:t>
            </w:r>
          </w:p>
          <w:p w14:paraId="279068C8" w14:textId="466E4D76" w:rsidR="005B461F" w:rsidRPr="00635C9B" w:rsidRDefault="005B461F" w:rsidP="00CA1375">
            <w:pPr>
              <w:pStyle w:val="TABLEBULLETNEW"/>
            </w:pPr>
            <w:r>
              <w:t>Risk Identifier</w:t>
            </w:r>
          </w:p>
        </w:tc>
      </w:tr>
      <w:tr w:rsidR="005B461F" w:rsidRPr="00A21682" w14:paraId="18A40974" w14:textId="77777777" w:rsidTr="00047C4E">
        <w:trPr>
          <w:cantSplit/>
          <w:trHeight w:val="576"/>
        </w:trPr>
        <w:tc>
          <w:tcPr>
            <w:tcW w:w="805" w:type="dxa"/>
          </w:tcPr>
          <w:p w14:paraId="14FC05C0" w14:textId="77777777" w:rsidR="005B461F" w:rsidRPr="00A21682" w:rsidRDefault="005B461F" w:rsidP="00CA1375">
            <w:pPr>
              <w:pStyle w:val="TABLETEXT1"/>
              <w:rPr>
                <w:lang w:val="en-US"/>
              </w:rPr>
            </w:pPr>
            <w:r>
              <w:rPr>
                <w:lang w:val="en-US"/>
              </w:rPr>
              <w:t>2</w:t>
            </w:r>
          </w:p>
        </w:tc>
        <w:tc>
          <w:tcPr>
            <w:tcW w:w="1350" w:type="dxa"/>
          </w:tcPr>
          <w:p w14:paraId="23754E93" w14:textId="77777777" w:rsidR="005B461F" w:rsidRPr="00A21682" w:rsidRDefault="005B461F" w:rsidP="00CA1375">
            <w:pPr>
              <w:pStyle w:val="TABLETEXT1"/>
              <w:rPr>
                <w:rFonts w:eastAsiaTheme="majorEastAsia" w:cs="Arial"/>
                <w:szCs w:val="24"/>
                <w:lang w:val="en-US"/>
              </w:rPr>
            </w:pPr>
            <w:r>
              <w:rPr>
                <w:rFonts w:eastAsiaTheme="majorEastAsia" w:cs="Arial"/>
                <w:szCs w:val="24"/>
                <w:lang w:val="en-US"/>
              </w:rPr>
              <w:t>ID Owner</w:t>
            </w:r>
          </w:p>
        </w:tc>
        <w:tc>
          <w:tcPr>
            <w:tcW w:w="5084" w:type="dxa"/>
          </w:tcPr>
          <w:p w14:paraId="66541D3D" w14:textId="116E0DE9" w:rsidR="005B461F" w:rsidRPr="00A21682" w:rsidRDefault="00883E29" w:rsidP="00CA1375">
            <w:pPr>
              <w:pStyle w:val="TABLETEXT1"/>
              <w:rPr>
                <w:rFonts w:eastAsia="Times New Roman" w:cs="Arial"/>
                <w:szCs w:val="24"/>
                <w:lang w:val="en-US"/>
              </w:rPr>
            </w:pPr>
            <w:r>
              <w:rPr>
                <w:rFonts w:eastAsia="Times New Roman" w:cs="Arial"/>
                <w:szCs w:val="24"/>
                <w:lang w:val="en-US"/>
              </w:rPr>
              <w:t>The designated PMO and Risk Identifier coordinate to identify a Risk Owner (Assignee), who will manage/address the risk process for the item through to close.</w:t>
            </w:r>
          </w:p>
        </w:tc>
        <w:tc>
          <w:tcPr>
            <w:tcW w:w="2116" w:type="dxa"/>
          </w:tcPr>
          <w:p w14:paraId="43F2A412" w14:textId="7E511EDE" w:rsidR="005B461F" w:rsidRPr="00635C9B" w:rsidRDefault="00883E29" w:rsidP="00CA1375">
            <w:pPr>
              <w:pStyle w:val="TABLEBULLETNEW"/>
            </w:pPr>
            <w:r>
              <w:t>███████/DOS PMO</w:t>
            </w:r>
          </w:p>
          <w:p w14:paraId="4E8D2A7E" w14:textId="16A725B5" w:rsidR="005B461F" w:rsidRPr="00635C9B" w:rsidRDefault="005B461F" w:rsidP="00CA1375">
            <w:pPr>
              <w:pStyle w:val="TABLEBULLETNEW"/>
            </w:pPr>
            <w:r>
              <w:t>Risk Identifier</w:t>
            </w:r>
          </w:p>
        </w:tc>
      </w:tr>
      <w:tr w:rsidR="005B461F" w:rsidRPr="00A21682" w14:paraId="46ED9573" w14:textId="77777777" w:rsidTr="00047C4E">
        <w:trPr>
          <w:cantSplit/>
          <w:trHeight w:val="352"/>
        </w:trPr>
        <w:tc>
          <w:tcPr>
            <w:tcW w:w="805" w:type="dxa"/>
          </w:tcPr>
          <w:p w14:paraId="680B6D45" w14:textId="77777777" w:rsidR="005B461F" w:rsidRPr="00A21682" w:rsidRDefault="005B461F" w:rsidP="00CA1375">
            <w:pPr>
              <w:pStyle w:val="TABLETEXT1"/>
              <w:rPr>
                <w:rFonts w:eastAsiaTheme="majorEastAsia"/>
                <w:lang w:val="en-US"/>
              </w:rPr>
            </w:pPr>
            <w:r>
              <w:rPr>
                <w:lang w:val="en-US"/>
              </w:rPr>
              <w:t>3</w:t>
            </w:r>
          </w:p>
        </w:tc>
        <w:tc>
          <w:tcPr>
            <w:tcW w:w="1350" w:type="dxa"/>
          </w:tcPr>
          <w:p w14:paraId="196BF0DF" w14:textId="77777777" w:rsidR="005B461F" w:rsidRPr="00A21682" w:rsidRDefault="005B461F" w:rsidP="00CA1375">
            <w:pPr>
              <w:pStyle w:val="TABLETEXT1"/>
              <w:rPr>
                <w:rFonts w:eastAsiaTheme="majorEastAsia" w:cs="Arial"/>
                <w:szCs w:val="24"/>
                <w:lang w:val="en-US"/>
              </w:rPr>
            </w:pPr>
            <w:r>
              <w:rPr>
                <w:rFonts w:eastAsiaTheme="majorEastAsia" w:cs="Arial"/>
                <w:szCs w:val="24"/>
                <w:lang w:val="en-US"/>
              </w:rPr>
              <w:t>Validate Risk</w:t>
            </w:r>
          </w:p>
        </w:tc>
        <w:tc>
          <w:tcPr>
            <w:tcW w:w="5084" w:type="dxa"/>
          </w:tcPr>
          <w:p w14:paraId="5D0457B4" w14:textId="77777777" w:rsidR="005B461F" w:rsidRPr="00A21682" w:rsidRDefault="005B461F" w:rsidP="00CA1375">
            <w:pPr>
              <w:pStyle w:val="TABLETEXT1"/>
              <w:rPr>
                <w:rFonts w:eastAsia="Times New Roman" w:cs="Arial"/>
                <w:szCs w:val="24"/>
                <w:lang w:val="en-US"/>
              </w:rPr>
            </w:pPr>
            <w:r>
              <w:rPr>
                <w:rFonts w:eastAsia="Times New Roman" w:cs="Arial"/>
                <w:szCs w:val="24"/>
                <w:lang w:val="en-US"/>
              </w:rPr>
              <w:t>All risks must be reviewed for their probability of occurrence, estimated impact to project scope and/or budget, and mitigation approach. A valid risk is characterized by one or more of the following attributes:</w:t>
            </w:r>
          </w:p>
          <w:p w14:paraId="0AA5732E" w14:textId="77777777" w:rsidR="005B461F" w:rsidRPr="00BA3236" w:rsidRDefault="005B461F" w:rsidP="00CA1375">
            <w:pPr>
              <w:pStyle w:val="TABLETEXT1"/>
              <w:rPr>
                <w:rFonts w:eastAsia="Times New Roman" w:cs="Arial"/>
                <w:szCs w:val="24"/>
                <w:lang w:val="en-US"/>
              </w:rPr>
            </w:pPr>
            <w:r>
              <w:rPr>
                <w:rFonts w:eastAsia="Times New Roman" w:cs="Arial"/>
                <w:szCs w:val="24"/>
                <w:lang w:val="en-US"/>
              </w:rPr>
              <w:t>Likelihood: Does the risk have a reasonable chance of occurring?</w:t>
            </w:r>
          </w:p>
          <w:p w14:paraId="08405693" w14:textId="77777777" w:rsidR="005B461F" w:rsidRPr="00BA3236" w:rsidRDefault="005B461F" w:rsidP="00CA1375">
            <w:pPr>
              <w:pStyle w:val="TABLETEXT1"/>
              <w:rPr>
                <w:rFonts w:eastAsia="Times New Roman" w:cs="Arial"/>
                <w:szCs w:val="24"/>
                <w:lang w:val="en-US"/>
              </w:rPr>
            </w:pPr>
            <w:r>
              <w:rPr>
                <w:rFonts w:eastAsia="Times New Roman" w:cs="Arial"/>
                <w:szCs w:val="24"/>
                <w:lang w:val="en-US"/>
              </w:rPr>
              <w:t>Impact: If a risk does materialize, does it have the potential to cause negative consequences?</w:t>
            </w:r>
          </w:p>
          <w:p w14:paraId="2745F4FC" w14:textId="77777777" w:rsidR="005B461F" w:rsidRPr="00BA3236" w:rsidRDefault="005B461F" w:rsidP="00CA1375">
            <w:pPr>
              <w:pStyle w:val="TABLETEXT1"/>
              <w:rPr>
                <w:rFonts w:eastAsia="Times New Roman" w:cs="Arial"/>
                <w:szCs w:val="24"/>
                <w:lang w:val="en-US"/>
              </w:rPr>
            </w:pPr>
            <w:r>
              <w:rPr>
                <w:rFonts w:eastAsia="Times New Roman" w:cs="Arial"/>
                <w:szCs w:val="24"/>
                <w:lang w:val="en-US"/>
              </w:rPr>
              <w:t>Identifiability: Can the risk be clearly defined, described, and documented?</w:t>
            </w:r>
          </w:p>
          <w:p w14:paraId="41D42823" w14:textId="77777777" w:rsidR="005B461F" w:rsidRPr="00A21682" w:rsidRDefault="005B461F" w:rsidP="00CA1375">
            <w:pPr>
              <w:pStyle w:val="TABLETEXT1"/>
              <w:rPr>
                <w:rFonts w:eastAsia="Times New Roman" w:cs="Arial"/>
                <w:szCs w:val="24"/>
                <w:lang w:val="en-US"/>
              </w:rPr>
            </w:pPr>
            <w:r>
              <w:rPr>
                <w:rFonts w:eastAsia="Times New Roman" w:cs="Arial"/>
                <w:szCs w:val="24"/>
                <w:lang w:val="en-US"/>
              </w:rPr>
              <w:t>Manageability: Can a mitigation strategy or response plan be developed to reduce the likelihood or impact?</w:t>
            </w:r>
          </w:p>
        </w:tc>
        <w:tc>
          <w:tcPr>
            <w:tcW w:w="2116" w:type="dxa"/>
          </w:tcPr>
          <w:p w14:paraId="03149039" w14:textId="704EA6EF" w:rsidR="005B461F" w:rsidRPr="00635C9B" w:rsidRDefault="005B461F" w:rsidP="00CA1375">
            <w:pPr>
              <w:pStyle w:val="TABLEBULLETNEW"/>
            </w:pPr>
            <w:r>
              <w:t>Risk Owner</w:t>
            </w:r>
          </w:p>
        </w:tc>
      </w:tr>
      <w:tr w:rsidR="005B461F" w:rsidRPr="00A21682" w14:paraId="712769BB" w14:textId="77777777" w:rsidTr="00047C4E">
        <w:trPr>
          <w:cantSplit/>
          <w:trHeight w:val="352"/>
        </w:trPr>
        <w:tc>
          <w:tcPr>
            <w:tcW w:w="805" w:type="dxa"/>
          </w:tcPr>
          <w:p w14:paraId="238B4635" w14:textId="77777777" w:rsidR="005B461F" w:rsidRPr="00A21682" w:rsidRDefault="005B461F" w:rsidP="00CA1375">
            <w:pPr>
              <w:pStyle w:val="TABLETEXT1"/>
              <w:rPr>
                <w:rFonts w:eastAsia="Times New Roman" w:cs="Arial"/>
                <w:szCs w:val="24"/>
                <w:lang w:val="en-US"/>
              </w:rPr>
            </w:pPr>
            <w:r>
              <w:rPr>
                <w:rFonts w:eastAsia="Times New Roman" w:cs="Arial"/>
                <w:szCs w:val="24"/>
                <w:lang w:val="en-US"/>
              </w:rPr>
              <w:lastRenderedPageBreak/>
              <w:t>3.1</w:t>
            </w:r>
          </w:p>
        </w:tc>
        <w:tc>
          <w:tcPr>
            <w:tcW w:w="1350" w:type="dxa"/>
          </w:tcPr>
          <w:p w14:paraId="3111192D" w14:textId="77777777" w:rsidR="005B461F" w:rsidRPr="00A21682" w:rsidRDefault="005B461F" w:rsidP="00CA1375">
            <w:pPr>
              <w:pStyle w:val="TABLETEXT1"/>
              <w:rPr>
                <w:rFonts w:eastAsiaTheme="majorEastAsia" w:cs="Arial"/>
                <w:szCs w:val="24"/>
                <w:lang w:val="en-US"/>
              </w:rPr>
            </w:pPr>
            <w:r>
              <w:rPr>
                <w:rFonts w:eastAsiaTheme="majorEastAsia" w:cs="Arial"/>
                <w:szCs w:val="24"/>
                <w:lang w:val="en-US"/>
              </w:rPr>
              <w:t>Is the risk valid?</w:t>
            </w:r>
          </w:p>
        </w:tc>
        <w:tc>
          <w:tcPr>
            <w:tcW w:w="5084" w:type="dxa"/>
          </w:tcPr>
          <w:p w14:paraId="77FF967B" w14:textId="5A645DC6" w:rsidR="005B461F" w:rsidRPr="00A21682" w:rsidRDefault="005B461F" w:rsidP="00CA1375">
            <w:pPr>
              <w:pStyle w:val="TABLEBULLETNEW"/>
            </w:pPr>
            <w:r>
              <w:t>If after review, a risk is considered invalid, it transitions to the “Risk Not Valid” status</w:t>
            </w:r>
          </w:p>
          <w:p w14:paraId="71E8A2C3" w14:textId="01FB24E0" w:rsidR="005B461F" w:rsidRPr="00A21682" w:rsidRDefault="005B461F" w:rsidP="00CA1375">
            <w:pPr>
              <w:pStyle w:val="TABLEBULLETNEW"/>
            </w:pPr>
            <w:r>
              <w:t xml:space="preserve">If after review, a risk is considered valid, the Risk Owner and Stakeholders will proceed to </w:t>
            </w:r>
            <w:r>
              <w:rPr>
                <w:i/>
              </w:rPr>
              <w:t xml:space="preserve">Step #3.2 Can the risk be mitigated? </w:t>
            </w:r>
          </w:p>
        </w:tc>
        <w:tc>
          <w:tcPr>
            <w:tcW w:w="2116" w:type="dxa"/>
          </w:tcPr>
          <w:p w14:paraId="04B90FF9" w14:textId="7A7D2696" w:rsidR="005B461F" w:rsidRPr="00635C9B" w:rsidRDefault="005B461F" w:rsidP="00CA1375">
            <w:pPr>
              <w:pStyle w:val="TABLEBULLETNEW"/>
            </w:pPr>
            <w:r>
              <w:t>Risk Owner</w:t>
            </w:r>
          </w:p>
          <w:p w14:paraId="4AA6841F" w14:textId="3DEDF418" w:rsidR="005B461F" w:rsidRPr="00635C9B" w:rsidRDefault="005B461F" w:rsidP="00CA1375">
            <w:pPr>
              <w:pStyle w:val="TABLEBULLETNEW"/>
            </w:pPr>
            <w:r>
              <w:t>Risk Stakeholders</w:t>
            </w:r>
          </w:p>
        </w:tc>
      </w:tr>
      <w:tr w:rsidR="005B461F" w:rsidRPr="00A21682" w14:paraId="39AC6E46" w14:textId="77777777" w:rsidTr="00541FC2">
        <w:trPr>
          <w:trHeight w:val="352"/>
        </w:trPr>
        <w:tc>
          <w:tcPr>
            <w:tcW w:w="805" w:type="dxa"/>
          </w:tcPr>
          <w:p w14:paraId="10102E49" w14:textId="77777777" w:rsidR="005B461F" w:rsidRPr="00A21682" w:rsidRDefault="005B461F" w:rsidP="00CA1375">
            <w:pPr>
              <w:pStyle w:val="TABLETEXT1"/>
              <w:rPr>
                <w:lang w:val="en-US"/>
              </w:rPr>
            </w:pPr>
            <w:r>
              <w:rPr>
                <w:lang w:val="en-US"/>
              </w:rPr>
              <w:t>3.2</w:t>
            </w:r>
          </w:p>
        </w:tc>
        <w:tc>
          <w:tcPr>
            <w:tcW w:w="1350" w:type="dxa"/>
          </w:tcPr>
          <w:p w14:paraId="57CC6A07" w14:textId="77777777" w:rsidR="005B461F" w:rsidRPr="00A21682" w:rsidRDefault="005B461F" w:rsidP="00CA1375">
            <w:pPr>
              <w:pStyle w:val="TABLETEXT1"/>
              <w:rPr>
                <w:rFonts w:eastAsiaTheme="majorEastAsia" w:cs="Arial"/>
                <w:szCs w:val="24"/>
                <w:lang w:val="en-US"/>
              </w:rPr>
            </w:pPr>
            <w:r>
              <w:rPr>
                <w:rFonts w:eastAsiaTheme="majorEastAsia" w:cs="Arial"/>
                <w:szCs w:val="24"/>
                <w:lang w:val="en-US"/>
              </w:rPr>
              <w:t>Can the risk be mitigated?</w:t>
            </w:r>
          </w:p>
        </w:tc>
        <w:tc>
          <w:tcPr>
            <w:tcW w:w="5084" w:type="dxa"/>
          </w:tcPr>
          <w:p w14:paraId="580C81A2" w14:textId="583799A5" w:rsidR="005B461F" w:rsidRPr="00A21682" w:rsidRDefault="005B461F" w:rsidP="00CA1375">
            <w:pPr>
              <w:pStyle w:val="TABLETEXT1"/>
              <w:rPr>
                <w:rFonts w:eastAsia="Times New Roman" w:cs="Arial"/>
                <w:szCs w:val="24"/>
                <w:lang w:val="en-US"/>
              </w:rPr>
            </w:pPr>
            <w:r>
              <w:rPr>
                <w:rFonts w:eastAsia="Times New Roman" w:cs="Arial"/>
                <w:szCs w:val="24"/>
                <w:lang w:val="en-US"/>
              </w:rPr>
              <w:t>If a risk cannot be mitigated and will result in adverse impacts on the project, the risk is escalated and transitioned to the “</w:t>
            </w:r>
            <w:r>
              <w:rPr>
                <w:rFonts w:eastAsia="Times New Roman" w:cs="Arial"/>
                <w:i/>
                <w:iCs/>
                <w:szCs w:val="24"/>
                <w:lang w:val="en-US"/>
              </w:rPr>
              <w:t>Risk Closed, Turned to Issue</w:t>
            </w:r>
            <w:r>
              <w:rPr>
                <w:rFonts w:eastAsia="Times New Roman" w:cs="Arial"/>
                <w:szCs w:val="24"/>
                <w:lang w:val="en-US"/>
              </w:rPr>
              <w:t xml:space="preserve">” status. Escalation will create transparency and help confirm that risks are handled at an adequate decision-making level. Managerial Governance will develop a Risk Response of Mitigate, Accept or Transfer. The ESC will be informed of the risk, as necessary and applicable. </w:t>
            </w:r>
          </w:p>
          <w:p w14:paraId="167240FA" w14:textId="2F9CEBB0" w:rsidR="005B461F" w:rsidRPr="00A21682" w:rsidRDefault="005B461F" w:rsidP="00CA1375">
            <w:pPr>
              <w:pStyle w:val="TABLEBULLETNEW"/>
            </w:pPr>
            <w:r>
              <w:t>If a risk cannot be mitigated but will not result in adverse impacts on the project, the risk will be accepted and reflect an “</w:t>
            </w:r>
            <w:r>
              <w:rPr>
                <w:i/>
              </w:rPr>
              <w:t>Open</w:t>
            </w:r>
            <w:r>
              <w:t>” status in the ALM tool</w:t>
            </w:r>
          </w:p>
          <w:p w14:paraId="4CE92BE6" w14:textId="320A78C9" w:rsidR="005B461F" w:rsidRPr="00A21682" w:rsidRDefault="005B461F" w:rsidP="00CA1375">
            <w:pPr>
              <w:pStyle w:val="TABLEBULLETNEW"/>
            </w:pPr>
            <w:r>
              <w:t xml:space="preserve">If a risk cannot be mitigated and will likely result in adverse impacts, the risk may be transferred to a third party. Transferring the risk gives another party responsibility for its management it does not eliminate it. For example, the DOH OHIP may purchase warranties to cover risks after purchase of a tool or system. If a risk is transferred, the Risk Owner transitions the risk to </w:t>
            </w:r>
            <w:r>
              <w:rPr>
                <w:i/>
              </w:rPr>
              <w:t>“Risk Cancelled”</w:t>
            </w:r>
            <w:r>
              <w:t xml:space="preserve"> status</w:t>
            </w:r>
          </w:p>
          <w:p w14:paraId="277637CD" w14:textId="56C87330" w:rsidR="005B461F" w:rsidRPr="00A21682" w:rsidRDefault="00C44458" w:rsidP="00CA1375">
            <w:pPr>
              <w:pStyle w:val="TABLEBULLETNEW"/>
            </w:pPr>
            <w:r>
              <w:t>If a risk can be mitigated, then the appropriate risk response will be defined</w:t>
            </w:r>
          </w:p>
        </w:tc>
        <w:tc>
          <w:tcPr>
            <w:tcW w:w="2116" w:type="dxa"/>
          </w:tcPr>
          <w:p w14:paraId="7D4776FB" w14:textId="7A696094" w:rsidR="005B461F" w:rsidRPr="00635C9B" w:rsidRDefault="005B461F" w:rsidP="00CA1375">
            <w:pPr>
              <w:pStyle w:val="TABLEBULLETNEW"/>
            </w:pPr>
            <w:r>
              <w:t>Risk Owner</w:t>
            </w:r>
          </w:p>
        </w:tc>
      </w:tr>
      <w:tr w:rsidR="005B461F" w:rsidRPr="00A21682" w14:paraId="0BF583EF" w14:textId="77777777" w:rsidTr="00047C4E">
        <w:trPr>
          <w:cantSplit/>
          <w:trHeight w:val="1045"/>
        </w:trPr>
        <w:tc>
          <w:tcPr>
            <w:tcW w:w="805" w:type="dxa"/>
          </w:tcPr>
          <w:p w14:paraId="270F4D45" w14:textId="77777777" w:rsidR="005B461F" w:rsidRPr="00A21682" w:rsidRDefault="005B461F" w:rsidP="00CA1375">
            <w:pPr>
              <w:pStyle w:val="TABLETEXT1"/>
              <w:rPr>
                <w:rFonts w:eastAsiaTheme="majorEastAsia"/>
                <w:lang w:val="en-US"/>
              </w:rPr>
            </w:pPr>
            <w:r>
              <w:rPr>
                <w:lang w:val="en-US"/>
              </w:rPr>
              <w:t>4</w:t>
            </w:r>
          </w:p>
        </w:tc>
        <w:tc>
          <w:tcPr>
            <w:tcW w:w="1350" w:type="dxa"/>
          </w:tcPr>
          <w:p w14:paraId="111421BE" w14:textId="77777777" w:rsidR="005B461F" w:rsidRPr="00A21682" w:rsidRDefault="005B461F" w:rsidP="00CA1375">
            <w:pPr>
              <w:pStyle w:val="TABLETEXT1"/>
              <w:rPr>
                <w:rFonts w:eastAsiaTheme="majorEastAsia" w:cs="Arial"/>
                <w:szCs w:val="24"/>
                <w:lang w:val="en-US"/>
              </w:rPr>
            </w:pPr>
            <w:r>
              <w:rPr>
                <w:rFonts w:eastAsiaTheme="majorEastAsia" w:cs="Arial"/>
                <w:szCs w:val="24"/>
                <w:lang w:val="en-US"/>
              </w:rPr>
              <w:t>Risk Response Action Items Define</w:t>
            </w:r>
          </w:p>
        </w:tc>
        <w:tc>
          <w:tcPr>
            <w:tcW w:w="5084" w:type="dxa"/>
          </w:tcPr>
          <w:p w14:paraId="4C5F290D" w14:textId="7CA4C4F6" w:rsidR="005B461F" w:rsidRPr="00A21682" w:rsidRDefault="005B461F" w:rsidP="00CA1375">
            <w:pPr>
              <w:pStyle w:val="TABLETEXT1"/>
              <w:rPr>
                <w:rFonts w:eastAsiaTheme="majorEastAsia" w:cs="Arial"/>
                <w:szCs w:val="24"/>
                <w:lang w:val="en-US"/>
              </w:rPr>
            </w:pPr>
            <w:r>
              <w:rPr>
                <w:rFonts w:eastAsia="Times New Roman" w:cs="Arial"/>
                <w:szCs w:val="24"/>
                <w:lang w:val="en-US"/>
              </w:rPr>
              <w:t xml:space="preserve">A risk response plan is required as part of risk mitigation. A risk response plan contains the actionable steps to mitigate the risk, as well as a contingency plan. The response also indicates if the risk will be mitigated, accepted or transferred. The designated PMO will work with the Risk Owner and respective track to produce and socialize the risk response plan to the applicable stakeholder(s). Mitigation steps will be monitored weekly during the Project Status meeting. </w:t>
            </w:r>
          </w:p>
        </w:tc>
        <w:tc>
          <w:tcPr>
            <w:tcW w:w="2116" w:type="dxa"/>
          </w:tcPr>
          <w:p w14:paraId="79B6A5F2" w14:textId="39635203" w:rsidR="005B461F" w:rsidRPr="00635C9B" w:rsidDel="00374429" w:rsidRDefault="00883E29" w:rsidP="00CA1375">
            <w:pPr>
              <w:pStyle w:val="TABLEBULLETNEW"/>
            </w:pPr>
            <w:r>
              <w:t>███████/DOS PMO</w:t>
            </w:r>
          </w:p>
          <w:p w14:paraId="6F092707" w14:textId="56E13983" w:rsidR="005B461F" w:rsidRPr="00635C9B" w:rsidRDefault="005B461F" w:rsidP="00CA1375">
            <w:pPr>
              <w:pStyle w:val="TABLEBULLETNEW"/>
            </w:pPr>
            <w:r>
              <w:t>Risk Owner</w:t>
            </w:r>
          </w:p>
          <w:p w14:paraId="4D2B29F5" w14:textId="64670940" w:rsidR="005B461F" w:rsidRPr="00635C9B" w:rsidRDefault="005B461F" w:rsidP="00CA1375">
            <w:pPr>
              <w:pStyle w:val="TABLEBULLETNEW"/>
            </w:pPr>
            <w:r>
              <w:t>Risk Stakeholders</w:t>
            </w:r>
          </w:p>
        </w:tc>
      </w:tr>
      <w:tr w:rsidR="005B461F" w:rsidRPr="00A21682" w14:paraId="3FE04996" w14:textId="77777777" w:rsidTr="00214887">
        <w:trPr>
          <w:trHeight w:val="22"/>
        </w:trPr>
        <w:tc>
          <w:tcPr>
            <w:tcW w:w="805" w:type="dxa"/>
          </w:tcPr>
          <w:p w14:paraId="64D318D3" w14:textId="77777777" w:rsidR="005B461F" w:rsidRPr="00A21682" w:rsidRDefault="005B461F" w:rsidP="00CA1375">
            <w:pPr>
              <w:pStyle w:val="TABLETEXT1"/>
              <w:rPr>
                <w:rFonts w:eastAsiaTheme="majorEastAsia"/>
                <w:lang w:val="en-US"/>
              </w:rPr>
            </w:pPr>
            <w:r>
              <w:rPr>
                <w:lang w:val="en-US"/>
              </w:rPr>
              <w:t>5</w:t>
            </w:r>
          </w:p>
        </w:tc>
        <w:tc>
          <w:tcPr>
            <w:tcW w:w="1350" w:type="dxa"/>
          </w:tcPr>
          <w:p w14:paraId="116C4EEA" w14:textId="4B94AAD1" w:rsidR="00206CDB" w:rsidRPr="00A21682" w:rsidRDefault="00206CDB" w:rsidP="00CA1375">
            <w:pPr>
              <w:pStyle w:val="TABLETEXT1"/>
              <w:rPr>
                <w:rFonts w:eastAsia="Times New Roman" w:cs="Arial"/>
                <w:szCs w:val="24"/>
                <w:lang w:val="en-US"/>
              </w:rPr>
            </w:pPr>
            <w:r>
              <w:rPr>
                <w:rFonts w:eastAsia="Times New Roman" w:cs="Arial"/>
                <w:szCs w:val="24"/>
                <w:lang w:val="en-US"/>
              </w:rPr>
              <w:t>Assigned Owner Monitors Action Items to Closure</w:t>
            </w:r>
          </w:p>
        </w:tc>
        <w:tc>
          <w:tcPr>
            <w:tcW w:w="5084" w:type="dxa"/>
          </w:tcPr>
          <w:p w14:paraId="031C2EF1" w14:textId="77777777" w:rsidR="005B461F" w:rsidRPr="00A21682" w:rsidRDefault="005B461F" w:rsidP="00CA1375">
            <w:pPr>
              <w:pStyle w:val="TABLETEXT1"/>
              <w:rPr>
                <w:rFonts w:eastAsia="Times New Roman" w:cs="Arial"/>
                <w:szCs w:val="24"/>
                <w:lang w:val="en-US"/>
              </w:rPr>
            </w:pPr>
            <w:r>
              <w:rPr>
                <w:rFonts w:eastAsia="Times New Roman" w:cs="Arial"/>
                <w:szCs w:val="24"/>
                <w:lang w:val="en-US"/>
              </w:rPr>
              <w:t>The Stakeholders continue to monitor the risk according to the risk response plan. The risk response plan is monitored to closure.</w:t>
            </w:r>
          </w:p>
          <w:p w14:paraId="4E0DD063" w14:textId="7F4B80E6" w:rsidR="005B461F" w:rsidRPr="00A21682" w:rsidRDefault="005B461F" w:rsidP="00CA1375">
            <w:pPr>
              <w:pStyle w:val="TABLETEXT1"/>
              <w:rPr>
                <w:rFonts w:eastAsiaTheme="majorEastAsia" w:cs="Arial"/>
                <w:szCs w:val="24"/>
                <w:lang w:val="en-US"/>
              </w:rPr>
            </w:pPr>
            <w:r>
              <w:rPr>
                <w:rFonts w:eastAsia="Times New Roman" w:cs="Arial"/>
                <w:szCs w:val="24"/>
                <w:lang w:val="en-US"/>
              </w:rPr>
              <w:t>Upon the closure of the risk response plan, the risk is closed (resolved).</w:t>
            </w:r>
          </w:p>
        </w:tc>
        <w:tc>
          <w:tcPr>
            <w:tcW w:w="2116" w:type="dxa"/>
          </w:tcPr>
          <w:p w14:paraId="03003E76" w14:textId="2A053B38" w:rsidR="005B461F" w:rsidRPr="00635C9B" w:rsidRDefault="005B461F" w:rsidP="00CA1375">
            <w:pPr>
              <w:pStyle w:val="TABLEBULLETNEW"/>
            </w:pPr>
            <w:r>
              <w:t>Risk Owner</w:t>
            </w:r>
          </w:p>
          <w:p w14:paraId="3B68D5D6" w14:textId="62B64FBF" w:rsidR="005B461F" w:rsidRPr="00635C9B" w:rsidRDefault="005B461F" w:rsidP="00CA1375">
            <w:pPr>
              <w:pStyle w:val="TABLEBULLETNEW"/>
            </w:pPr>
            <w:r>
              <w:t>Risk Stakeholders</w:t>
            </w:r>
          </w:p>
        </w:tc>
      </w:tr>
      <w:tr w:rsidR="005B461F" w:rsidRPr="00A21682" w14:paraId="3ACE1D9D" w14:textId="77777777" w:rsidTr="00047C4E">
        <w:trPr>
          <w:trHeight w:val="595"/>
        </w:trPr>
        <w:tc>
          <w:tcPr>
            <w:tcW w:w="805" w:type="dxa"/>
          </w:tcPr>
          <w:p w14:paraId="1A73DDFB" w14:textId="77777777" w:rsidR="005B461F" w:rsidRPr="00A21682" w:rsidRDefault="005B461F" w:rsidP="00CA1375">
            <w:pPr>
              <w:pStyle w:val="TABLETEXT1"/>
              <w:rPr>
                <w:lang w:val="en-US"/>
              </w:rPr>
            </w:pPr>
            <w:r>
              <w:rPr>
                <w:lang w:val="en-US"/>
              </w:rPr>
              <w:lastRenderedPageBreak/>
              <w:t>5.1</w:t>
            </w:r>
          </w:p>
        </w:tc>
        <w:tc>
          <w:tcPr>
            <w:tcW w:w="1350" w:type="dxa"/>
          </w:tcPr>
          <w:p w14:paraId="6A179B88" w14:textId="77777777" w:rsidR="005B461F" w:rsidRPr="00A21682" w:rsidDel="009B2C65" w:rsidRDefault="005B461F" w:rsidP="00CA1375">
            <w:pPr>
              <w:pStyle w:val="TABLETEXT1"/>
              <w:rPr>
                <w:rFonts w:eastAsia="Times New Roman" w:cs="Arial"/>
                <w:szCs w:val="24"/>
                <w:lang w:val="en-US"/>
              </w:rPr>
            </w:pPr>
            <w:r>
              <w:rPr>
                <w:rFonts w:eastAsia="Times New Roman" w:cs="Arial"/>
                <w:szCs w:val="24"/>
                <w:lang w:val="en-US"/>
              </w:rPr>
              <w:t>Has the risk materialized into an issue?</w:t>
            </w:r>
          </w:p>
        </w:tc>
        <w:tc>
          <w:tcPr>
            <w:tcW w:w="5084" w:type="dxa"/>
          </w:tcPr>
          <w:p w14:paraId="07CB9DAA" w14:textId="77777777" w:rsidR="0098184F" w:rsidRPr="00A21682" w:rsidRDefault="005B461F" w:rsidP="00CA1375">
            <w:pPr>
              <w:pStyle w:val="TABLEBULLETNEW"/>
              <w:rPr>
                <w:i/>
              </w:rPr>
            </w:pPr>
            <w:r>
              <w:t>If a risk has been realized, it is transitioned to an issue and the Risk Owner initiates the Issue Resolution Approach (outlined in Section 9.4)</w:t>
            </w:r>
            <w:r>
              <w:rPr>
                <w:i/>
              </w:rPr>
              <w:t>.</w:t>
            </w:r>
            <w:r>
              <w:t xml:space="preserve"> A risk may become an issue when certain conditions occur including the following scenarios: </w:t>
            </w:r>
          </w:p>
          <w:p w14:paraId="49821500" w14:textId="77777777" w:rsidR="00C465F6" w:rsidRPr="00A21682" w:rsidRDefault="0098184F" w:rsidP="00CA1375">
            <w:pPr>
              <w:pStyle w:val="TABLEBULLETNEW"/>
              <w:numPr>
                <w:ilvl w:val="1"/>
                <w:numId w:val="36"/>
              </w:numPr>
              <w:ind w:left="1135"/>
            </w:pPr>
            <w:r>
              <w:t>Risk has been materialized and becomes an issue</w:t>
            </w:r>
          </w:p>
          <w:p w14:paraId="296C24DA" w14:textId="147AE3CE" w:rsidR="0098184F" w:rsidRPr="00A21682" w:rsidRDefault="0098184F" w:rsidP="00CA1375">
            <w:pPr>
              <w:pStyle w:val="TABLEBULLETNEW"/>
              <w:numPr>
                <w:ilvl w:val="1"/>
                <w:numId w:val="36"/>
              </w:numPr>
              <w:ind w:left="1135"/>
            </w:pPr>
            <w:r>
              <w:t>Risk severity, meaning the threshold, for the impact/consequences has been surpassed</w:t>
            </w:r>
          </w:p>
          <w:p w14:paraId="34CE8B79" w14:textId="6D9104DE" w:rsidR="0098184F" w:rsidRPr="00A21682" w:rsidRDefault="0098184F" w:rsidP="00CA1375">
            <w:pPr>
              <w:pStyle w:val="TABLEBULLETNEW"/>
              <w:numPr>
                <w:ilvl w:val="1"/>
                <w:numId w:val="36"/>
              </w:numPr>
              <w:ind w:left="1135"/>
            </w:pPr>
            <w:r>
              <w:t xml:space="preserve">Risk cannot be effectively managed or mitigated with current management plan. </w:t>
            </w:r>
          </w:p>
          <w:p w14:paraId="3D6E18F8" w14:textId="3FBB168B" w:rsidR="005B461F" w:rsidRPr="00A21682" w:rsidRDefault="005B461F" w:rsidP="00CA1375">
            <w:pPr>
              <w:pStyle w:val="TABLEBULLETNEW"/>
            </w:pPr>
            <w:r>
              <w:t xml:space="preserve">If the risk has not materialized into an issue, the Risk Owner and Stakeholders continue to monitor the risk through resolution. Proceed to </w:t>
            </w:r>
            <w:r>
              <w:rPr>
                <w:i/>
                <w:iCs/>
              </w:rPr>
              <w:t>Step #5.2 Has the risk been sufficiently addressed to be Resolved?</w:t>
            </w:r>
          </w:p>
        </w:tc>
        <w:tc>
          <w:tcPr>
            <w:tcW w:w="2116" w:type="dxa"/>
          </w:tcPr>
          <w:p w14:paraId="43C0C8E5" w14:textId="558EF5CF" w:rsidR="005B461F" w:rsidRPr="00635C9B" w:rsidRDefault="005B461F" w:rsidP="00CA1375">
            <w:pPr>
              <w:pStyle w:val="TABLEBULLETNEW"/>
            </w:pPr>
            <w:r>
              <w:t>Risk Owner</w:t>
            </w:r>
          </w:p>
          <w:p w14:paraId="55E7DB1F" w14:textId="12DABA1B" w:rsidR="005B461F" w:rsidRPr="00635C9B" w:rsidRDefault="005B461F" w:rsidP="00CA1375">
            <w:pPr>
              <w:pStyle w:val="TABLEBULLETNEW"/>
            </w:pPr>
            <w:r>
              <w:t>Risk Stakeholders</w:t>
            </w:r>
          </w:p>
        </w:tc>
      </w:tr>
      <w:tr w:rsidR="005B461F" w:rsidRPr="00A21682" w14:paraId="0C480356" w14:textId="77777777" w:rsidTr="00047C4E">
        <w:trPr>
          <w:trHeight w:val="595"/>
        </w:trPr>
        <w:tc>
          <w:tcPr>
            <w:tcW w:w="805" w:type="dxa"/>
          </w:tcPr>
          <w:p w14:paraId="1052D25A" w14:textId="77777777" w:rsidR="005B461F" w:rsidRPr="00A21682" w:rsidRDefault="005B461F" w:rsidP="00CA1375">
            <w:pPr>
              <w:pStyle w:val="TABLETEXT1"/>
              <w:rPr>
                <w:lang w:val="en-US"/>
              </w:rPr>
            </w:pPr>
            <w:r>
              <w:rPr>
                <w:lang w:val="en-US"/>
              </w:rPr>
              <w:t>5.2</w:t>
            </w:r>
          </w:p>
        </w:tc>
        <w:tc>
          <w:tcPr>
            <w:tcW w:w="1350" w:type="dxa"/>
          </w:tcPr>
          <w:p w14:paraId="545C70A7" w14:textId="77777777" w:rsidR="005B461F" w:rsidRPr="00A21682" w:rsidRDefault="005B461F" w:rsidP="00CA1375">
            <w:pPr>
              <w:pStyle w:val="TABLETEXT1"/>
              <w:rPr>
                <w:rFonts w:eastAsia="Times New Roman" w:cs="Arial"/>
                <w:szCs w:val="24"/>
                <w:lang w:val="en-US"/>
              </w:rPr>
            </w:pPr>
            <w:r>
              <w:rPr>
                <w:rFonts w:eastAsia="Times New Roman" w:cs="Arial"/>
                <w:szCs w:val="24"/>
                <w:lang w:val="en-US"/>
              </w:rPr>
              <w:t>Has the risk been sufficiently addressed to be Resolved?</w:t>
            </w:r>
          </w:p>
        </w:tc>
        <w:tc>
          <w:tcPr>
            <w:tcW w:w="5084" w:type="dxa"/>
          </w:tcPr>
          <w:p w14:paraId="795AAC14" w14:textId="340DCE94" w:rsidR="005B461F" w:rsidRPr="00A21682" w:rsidRDefault="005B461F" w:rsidP="005E0125">
            <w:pPr>
              <w:pStyle w:val="TABLEBULLETNEW"/>
            </w:pPr>
            <w:r>
              <w:t xml:space="preserve">If the risk has been sufficiently addressed through the prescribed action items, the Risk Owner and Stakeholders will proceed to </w:t>
            </w:r>
            <w:r>
              <w:rPr>
                <w:i/>
              </w:rPr>
              <w:t>Step #6 Risk Resolved.</w:t>
            </w:r>
          </w:p>
          <w:p w14:paraId="5AD634DB" w14:textId="10BAD8F6" w:rsidR="005B461F" w:rsidRPr="00A21682" w:rsidRDefault="005B461F" w:rsidP="005E0125">
            <w:pPr>
              <w:pStyle w:val="TABLEBULLETNEW"/>
            </w:pPr>
            <w:r>
              <w:t xml:space="preserve">If the risk has not been sufficiently addressed, proceed to </w:t>
            </w:r>
            <w:r>
              <w:rPr>
                <w:i/>
              </w:rPr>
              <w:t>Step #5 Assigned Owner Monitors Action Items to Closure</w:t>
            </w:r>
            <w:r>
              <w:t xml:space="preserve"> and the team continues to monitor the risk through resolution.</w:t>
            </w:r>
          </w:p>
        </w:tc>
        <w:tc>
          <w:tcPr>
            <w:tcW w:w="2116" w:type="dxa"/>
          </w:tcPr>
          <w:p w14:paraId="66B6A87F" w14:textId="260A4CE7" w:rsidR="005B461F" w:rsidRPr="00635C9B" w:rsidRDefault="005B461F" w:rsidP="00CA1375">
            <w:pPr>
              <w:pStyle w:val="TABLEBULLETNEW"/>
            </w:pPr>
            <w:r>
              <w:t>Risk Owner</w:t>
            </w:r>
          </w:p>
          <w:p w14:paraId="086B0268" w14:textId="1AC6F616" w:rsidR="005B461F" w:rsidRPr="00635C9B" w:rsidRDefault="005B461F" w:rsidP="00CA1375">
            <w:pPr>
              <w:pStyle w:val="TABLEBULLETNEW"/>
            </w:pPr>
            <w:r>
              <w:t>Risk Stakeholders</w:t>
            </w:r>
          </w:p>
        </w:tc>
      </w:tr>
      <w:tr w:rsidR="005B461F" w:rsidRPr="00A21682" w14:paraId="5FADB403" w14:textId="77777777" w:rsidTr="00047C4E">
        <w:trPr>
          <w:trHeight w:val="352"/>
        </w:trPr>
        <w:tc>
          <w:tcPr>
            <w:tcW w:w="805" w:type="dxa"/>
          </w:tcPr>
          <w:p w14:paraId="41B4AC85" w14:textId="77777777" w:rsidR="005B461F" w:rsidRPr="00A21682" w:rsidRDefault="005B461F" w:rsidP="00CA1375">
            <w:pPr>
              <w:pStyle w:val="TABLETEXT1"/>
              <w:rPr>
                <w:rFonts w:eastAsiaTheme="majorEastAsia"/>
                <w:lang w:val="en-US"/>
              </w:rPr>
            </w:pPr>
            <w:r>
              <w:rPr>
                <w:lang w:val="en-US"/>
              </w:rPr>
              <w:t>6</w:t>
            </w:r>
          </w:p>
        </w:tc>
        <w:tc>
          <w:tcPr>
            <w:tcW w:w="1350" w:type="dxa"/>
          </w:tcPr>
          <w:p w14:paraId="4B4B3F96" w14:textId="77777777" w:rsidR="005B461F" w:rsidRPr="00A21682" w:rsidRDefault="005B461F" w:rsidP="00CA1375">
            <w:pPr>
              <w:pStyle w:val="TABLETEXT1"/>
              <w:rPr>
                <w:rFonts w:eastAsiaTheme="majorEastAsia" w:cs="Arial"/>
                <w:szCs w:val="24"/>
                <w:lang w:val="en-US"/>
              </w:rPr>
            </w:pPr>
            <w:r>
              <w:rPr>
                <w:rFonts w:eastAsia="Times New Roman" w:cs="Arial"/>
                <w:szCs w:val="24"/>
                <w:lang w:val="en-US"/>
              </w:rPr>
              <w:t>Risk Resolved</w:t>
            </w:r>
          </w:p>
        </w:tc>
        <w:tc>
          <w:tcPr>
            <w:tcW w:w="5084" w:type="dxa"/>
          </w:tcPr>
          <w:p w14:paraId="20D32C18" w14:textId="77777777" w:rsidR="005B461F" w:rsidRPr="00A21682" w:rsidRDefault="005B461F" w:rsidP="00CA1375">
            <w:pPr>
              <w:pStyle w:val="TABLETEXT1"/>
              <w:rPr>
                <w:rFonts w:eastAsiaTheme="majorEastAsia" w:cs="Arial"/>
                <w:szCs w:val="24"/>
                <w:lang w:val="en-US"/>
              </w:rPr>
            </w:pPr>
            <w:r>
              <w:rPr>
                <w:rFonts w:eastAsia="Times New Roman" w:cs="Arial"/>
                <w:szCs w:val="24"/>
                <w:lang w:val="en-US"/>
              </w:rPr>
              <w:t xml:space="preserve">Once a risk is addressed through the response plan or is cancelled, the Risk Owner updates the status in the ALM tool to </w:t>
            </w:r>
            <w:r>
              <w:rPr>
                <w:rFonts w:eastAsia="Times New Roman" w:cs="Arial"/>
                <w:i/>
                <w:iCs/>
                <w:szCs w:val="24"/>
                <w:lang w:val="en-US"/>
              </w:rPr>
              <w:t>“Risk Resolved”</w:t>
            </w:r>
            <w:r>
              <w:rPr>
                <w:rFonts w:eastAsia="Times New Roman" w:cs="Arial"/>
                <w:szCs w:val="24"/>
                <w:lang w:val="en-US"/>
              </w:rPr>
              <w:t>.</w:t>
            </w:r>
          </w:p>
        </w:tc>
        <w:tc>
          <w:tcPr>
            <w:tcW w:w="2116" w:type="dxa"/>
          </w:tcPr>
          <w:p w14:paraId="604F5CF3" w14:textId="03593F06" w:rsidR="005B461F" w:rsidRPr="00635C9B" w:rsidRDefault="005B461F" w:rsidP="00CA1375">
            <w:pPr>
              <w:pStyle w:val="TABLEBULLETNEW"/>
            </w:pPr>
            <w:r>
              <w:t>Risk Owner</w:t>
            </w:r>
          </w:p>
        </w:tc>
      </w:tr>
    </w:tbl>
    <w:p w14:paraId="25DFB9D9" w14:textId="62F09498" w:rsidR="005B461F" w:rsidRPr="00A21682" w:rsidRDefault="00B66F8F" w:rsidP="00D818D3">
      <w:pPr>
        <w:pStyle w:val="Caption"/>
        <w:rPr>
          <w:noProof w:val="0"/>
        </w:rPr>
      </w:pPr>
      <w:bookmarkStart w:id="3820" w:name="_Toc149672601"/>
      <w:bookmarkStart w:id="3821" w:name="_Toc19287519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Risk Management Process Flow Narrative</w:t>
      </w:r>
      <w:bookmarkEnd w:id="3820"/>
      <w:bookmarkEnd w:id="3821"/>
    </w:p>
    <w:p w14:paraId="12E97CBF" w14:textId="77777777" w:rsidR="005B461F" w:rsidRPr="00A21682" w:rsidRDefault="005B461F" w:rsidP="007335B5">
      <w:pPr>
        <w:pStyle w:val="Heading3"/>
        <w:keepNext w:val="0"/>
        <w:keepLines w:val="0"/>
      </w:pPr>
      <w:bookmarkStart w:id="3822" w:name="_Toc153277022"/>
      <w:bookmarkStart w:id="3823" w:name="_Toc177119538"/>
      <w:bookmarkStart w:id="3824" w:name="_Toc185952840"/>
      <w:bookmarkStart w:id="3825" w:name="_Toc192874940"/>
      <w:r>
        <w:t>Risk Status</w:t>
      </w:r>
      <w:bookmarkEnd w:id="3822"/>
      <w:bookmarkEnd w:id="3823"/>
      <w:bookmarkEnd w:id="3824"/>
      <w:bookmarkEnd w:id="3825"/>
    </w:p>
    <w:p w14:paraId="226366BB" w14:textId="77777777" w:rsidR="005B461F" w:rsidRPr="00A21682" w:rsidRDefault="005B461F" w:rsidP="007335B5">
      <w:pPr>
        <w:pStyle w:val="NormalNEW"/>
        <w:rPr>
          <w:lang w:val="en-US"/>
        </w:rPr>
      </w:pPr>
      <w:r>
        <w:rPr>
          <w:lang w:val="en-US"/>
        </w:rPr>
        <w:t>Risk status indicates the risk’s current point in the risk management process. Depending on the risk status, the risk owner takes respective actionable steps to manage the risk to closure. The following table describes the risk statuses used in the risk management process.</w:t>
      </w:r>
      <w:bookmarkStart w:id="3826" w:name="_Toc143509842"/>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155"/>
        <w:gridCol w:w="7199"/>
      </w:tblGrid>
      <w:tr w:rsidR="005B461F" w:rsidRPr="00A21682" w14:paraId="0AAEA336" w14:textId="77777777" w:rsidTr="00541FC2">
        <w:trPr>
          <w:cantSplit/>
          <w:trHeight w:val="20"/>
          <w:tblHeader/>
          <w:jc w:val="center"/>
        </w:trPr>
        <w:tc>
          <w:tcPr>
            <w:tcW w:w="1152" w:type="pct"/>
            <w:tcBorders>
              <w:right w:val="single" w:sz="2" w:space="0" w:color="FFFFFF" w:themeColor="background1"/>
            </w:tcBorders>
            <w:shd w:val="clear" w:color="auto" w:fill="000000" w:themeFill="text1"/>
          </w:tcPr>
          <w:p w14:paraId="5A68E860" w14:textId="77777777" w:rsidR="005B461F" w:rsidRPr="00A21682" w:rsidRDefault="005B461F" w:rsidP="007335B5">
            <w:pPr>
              <w:pStyle w:val="TABLEHEADINGNEW"/>
              <w:keepNext w:val="0"/>
              <w:rPr>
                <w:rFonts w:eastAsiaTheme="minorEastAsia"/>
              </w:rPr>
            </w:pPr>
            <w:r>
              <w:rPr>
                <w:rFonts w:eastAsiaTheme="minorEastAsia"/>
              </w:rPr>
              <w:t>Risk Status</w:t>
            </w:r>
          </w:p>
        </w:tc>
        <w:tc>
          <w:tcPr>
            <w:tcW w:w="3848" w:type="pct"/>
            <w:tcBorders>
              <w:left w:val="single" w:sz="2" w:space="0" w:color="FFFFFF" w:themeColor="background1"/>
            </w:tcBorders>
            <w:shd w:val="clear" w:color="auto" w:fill="000000" w:themeFill="text1"/>
          </w:tcPr>
          <w:p w14:paraId="05A79FEB" w14:textId="77777777" w:rsidR="005B461F" w:rsidRPr="00A21682" w:rsidRDefault="005B461F" w:rsidP="007335B5">
            <w:pPr>
              <w:pStyle w:val="TABLEHEADINGNEW"/>
              <w:keepNext w:val="0"/>
              <w:rPr>
                <w:rFonts w:eastAsiaTheme="minorEastAsia"/>
              </w:rPr>
            </w:pPr>
            <w:r>
              <w:rPr>
                <w:rFonts w:eastAsiaTheme="minorEastAsia"/>
              </w:rPr>
              <w:t>Description</w:t>
            </w:r>
          </w:p>
        </w:tc>
      </w:tr>
      <w:tr w:rsidR="005B461F" w:rsidRPr="00A21682" w14:paraId="24EEAC0C" w14:textId="77777777" w:rsidTr="007335B5">
        <w:trPr>
          <w:cantSplit/>
          <w:trHeight w:val="20"/>
          <w:jc w:val="center"/>
        </w:trPr>
        <w:tc>
          <w:tcPr>
            <w:tcW w:w="1152" w:type="pct"/>
          </w:tcPr>
          <w:p w14:paraId="68B801DE" w14:textId="428179AA" w:rsidR="005B461F" w:rsidRPr="00A21682" w:rsidRDefault="005B461F" w:rsidP="00047C4E">
            <w:pPr>
              <w:pStyle w:val="TABLETEXT1"/>
              <w:rPr>
                <w:lang w:val="en-US"/>
              </w:rPr>
            </w:pPr>
            <w:r>
              <w:rPr>
                <w:lang w:val="en-US"/>
              </w:rPr>
              <w:t>Risk Cancelled</w:t>
            </w:r>
          </w:p>
        </w:tc>
        <w:tc>
          <w:tcPr>
            <w:tcW w:w="3848" w:type="pct"/>
          </w:tcPr>
          <w:p w14:paraId="762C84C7" w14:textId="17C672E2" w:rsidR="005B461F" w:rsidRPr="00A21682" w:rsidRDefault="005B461F" w:rsidP="00047C4E">
            <w:pPr>
              <w:pStyle w:val="TABLETEXT1"/>
              <w:rPr>
                <w:lang w:val="en-US"/>
              </w:rPr>
            </w:pPr>
            <w:r>
              <w:rPr>
                <w:lang w:val="en-US"/>
              </w:rPr>
              <w:t xml:space="preserve">If the triage process determines that the risk does not meet one or more of the characteristics of a valid risk, or that it is no longer relevant, then the risk will not be addressed further, and the risk is cancelled. </w:t>
            </w:r>
          </w:p>
        </w:tc>
      </w:tr>
      <w:tr w:rsidR="005B461F" w:rsidRPr="00A21682" w14:paraId="78E9906F" w14:textId="77777777" w:rsidTr="007335B5">
        <w:trPr>
          <w:cantSplit/>
          <w:trHeight w:val="20"/>
          <w:jc w:val="center"/>
        </w:trPr>
        <w:tc>
          <w:tcPr>
            <w:tcW w:w="1152" w:type="pct"/>
          </w:tcPr>
          <w:p w14:paraId="734B159C" w14:textId="77777777" w:rsidR="005B461F" w:rsidRPr="00A21682" w:rsidRDefault="005B461F" w:rsidP="00047C4E">
            <w:pPr>
              <w:pStyle w:val="TABLETEXT1"/>
              <w:rPr>
                <w:lang w:val="en-US"/>
              </w:rPr>
            </w:pPr>
            <w:r>
              <w:rPr>
                <w:rFonts w:eastAsiaTheme="majorEastAsia"/>
                <w:lang w:val="en-US"/>
              </w:rPr>
              <w:t>Risk Open</w:t>
            </w:r>
          </w:p>
        </w:tc>
        <w:tc>
          <w:tcPr>
            <w:tcW w:w="3848" w:type="pct"/>
          </w:tcPr>
          <w:p w14:paraId="2288E5EE" w14:textId="560C270C" w:rsidR="005B461F" w:rsidRPr="00A21682" w:rsidRDefault="005B461F" w:rsidP="00047C4E">
            <w:pPr>
              <w:pStyle w:val="TABLETEXT1"/>
              <w:rPr>
                <w:rFonts w:eastAsiaTheme="majorEastAsia"/>
                <w:lang w:val="en-US"/>
              </w:rPr>
            </w:pPr>
            <w:r>
              <w:rPr>
                <w:rFonts w:eastAsiaTheme="majorEastAsia"/>
                <w:lang w:val="en-US"/>
              </w:rPr>
              <w:t xml:space="preserve">This is the initial status a risk assumes when it is first entered into the ALM tool. A risk assumes this status when it has been identified and accepted as a risk to the project. The risk is either monitored (if low priority) and left in </w:t>
            </w:r>
            <w:r>
              <w:rPr>
                <w:rFonts w:eastAsiaTheme="majorEastAsia"/>
                <w:i/>
                <w:iCs/>
                <w:lang w:val="en-US"/>
              </w:rPr>
              <w:t>“Open”</w:t>
            </w:r>
            <w:r>
              <w:rPr>
                <w:rFonts w:eastAsiaTheme="majorEastAsia"/>
                <w:lang w:val="en-US"/>
              </w:rPr>
              <w:t xml:space="preserve"> status or a risk response/mitigation strategy is developed and reviewed with DOH OHIP.</w:t>
            </w:r>
          </w:p>
        </w:tc>
      </w:tr>
      <w:tr w:rsidR="005B461F" w:rsidRPr="00A21682" w14:paraId="7C348A15" w14:textId="77777777" w:rsidTr="007335B5">
        <w:trPr>
          <w:cantSplit/>
          <w:trHeight w:val="20"/>
          <w:jc w:val="center"/>
        </w:trPr>
        <w:tc>
          <w:tcPr>
            <w:tcW w:w="1152" w:type="pct"/>
          </w:tcPr>
          <w:p w14:paraId="3356DC46" w14:textId="77777777" w:rsidR="005B461F" w:rsidRPr="00A21682" w:rsidRDefault="005B461F" w:rsidP="00047C4E">
            <w:pPr>
              <w:pStyle w:val="TABLETEXT1"/>
              <w:rPr>
                <w:lang w:val="en-US"/>
              </w:rPr>
            </w:pPr>
            <w:r>
              <w:rPr>
                <w:lang w:val="en-US"/>
              </w:rPr>
              <w:lastRenderedPageBreak/>
              <w:t>Risk On Hold</w:t>
            </w:r>
          </w:p>
        </w:tc>
        <w:tc>
          <w:tcPr>
            <w:tcW w:w="3848" w:type="pct"/>
          </w:tcPr>
          <w:p w14:paraId="264D3D47" w14:textId="43FF14A7" w:rsidR="005B461F" w:rsidRPr="00A21682" w:rsidRDefault="005B461F" w:rsidP="00047C4E">
            <w:pPr>
              <w:pStyle w:val="TABLETEXT1"/>
              <w:rPr>
                <w:lang w:val="en-US"/>
              </w:rPr>
            </w:pPr>
            <w:r>
              <w:rPr>
                <w:lang w:val="en-US"/>
              </w:rPr>
              <w:t>A risk assumes this status if there is uncertainty or a lack of information that needs to be addressed before making decision on how to address the risk. This also means that mitigation efforts have been paused for a specific reason.</w:t>
            </w:r>
          </w:p>
        </w:tc>
      </w:tr>
      <w:tr w:rsidR="005B461F" w:rsidRPr="00A21682" w14:paraId="6C588F61" w14:textId="77777777" w:rsidTr="007335B5">
        <w:trPr>
          <w:cantSplit/>
          <w:trHeight w:val="20"/>
          <w:jc w:val="center"/>
        </w:trPr>
        <w:tc>
          <w:tcPr>
            <w:tcW w:w="1152" w:type="pct"/>
          </w:tcPr>
          <w:p w14:paraId="06A237CD" w14:textId="77777777" w:rsidR="005B461F" w:rsidRPr="00A21682" w:rsidRDefault="005B461F" w:rsidP="00047C4E">
            <w:pPr>
              <w:pStyle w:val="TABLETEXT1"/>
              <w:rPr>
                <w:lang w:val="en-US"/>
              </w:rPr>
            </w:pPr>
            <w:r>
              <w:rPr>
                <w:rFonts w:eastAsiaTheme="majorEastAsia"/>
                <w:lang w:val="en-US"/>
              </w:rPr>
              <w:t xml:space="preserve">Risk Closed, Turned to Issue </w:t>
            </w:r>
          </w:p>
        </w:tc>
        <w:tc>
          <w:tcPr>
            <w:tcW w:w="3848" w:type="pct"/>
          </w:tcPr>
          <w:p w14:paraId="184363CE" w14:textId="53CA2EE2" w:rsidR="005B461F" w:rsidRPr="00A21682" w:rsidRDefault="005B461F" w:rsidP="00047C4E">
            <w:pPr>
              <w:pStyle w:val="TABLETEXT1"/>
              <w:rPr>
                <w:lang w:val="en-US"/>
              </w:rPr>
            </w:pPr>
            <w:r>
              <w:rPr>
                <w:rFonts w:eastAsiaTheme="majorEastAsia"/>
                <w:lang w:val="en-US"/>
              </w:rPr>
              <w:t>If, after review</w:t>
            </w:r>
            <w:r>
              <w:rPr>
                <w:lang w:val="en-US"/>
              </w:rPr>
              <w:t>,</w:t>
            </w:r>
            <w:r>
              <w:rPr>
                <w:rFonts w:eastAsiaTheme="majorEastAsia"/>
                <w:lang w:val="en-US"/>
              </w:rPr>
              <w:t xml:space="preserve"> the risk is determined to be high priority and unmitigated, it is closed and should be converted to an issue that requires further attention and is escalated </w:t>
            </w:r>
            <w:r>
              <w:rPr>
                <w:rFonts w:eastAsia="Times New Roman" w:cs="Arial"/>
                <w:szCs w:val="24"/>
                <w:lang w:val="en-US"/>
              </w:rPr>
              <w:t>through the Issue Resolution Approach (outlined in Section 9.4)</w:t>
            </w:r>
            <w:r>
              <w:rPr>
                <w:rFonts w:eastAsia="Times New Roman" w:cs="Arial"/>
                <w:i/>
                <w:iCs/>
                <w:szCs w:val="24"/>
                <w:lang w:val="en-US"/>
              </w:rPr>
              <w:t>.</w:t>
            </w:r>
          </w:p>
        </w:tc>
      </w:tr>
      <w:tr w:rsidR="005B461F" w:rsidRPr="00A21682" w14:paraId="1746AA76" w14:textId="77777777" w:rsidTr="007335B5">
        <w:trPr>
          <w:cantSplit/>
          <w:trHeight w:val="20"/>
          <w:jc w:val="center"/>
        </w:trPr>
        <w:tc>
          <w:tcPr>
            <w:tcW w:w="1152" w:type="pct"/>
          </w:tcPr>
          <w:p w14:paraId="1C816943" w14:textId="77777777" w:rsidR="005B461F" w:rsidRPr="00A21682" w:rsidRDefault="005B461F" w:rsidP="00047C4E">
            <w:pPr>
              <w:pStyle w:val="TABLETEXT1"/>
              <w:rPr>
                <w:lang w:val="en-US"/>
              </w:rPr>
            </w:pPr>
            <w:r>
              <w:rPr>
                <w:rFonts w:eastAsiaTheme="majorEastAsia"/>
                <w:lang w:val="en-US"/>
              </w:rPr>
              <w:t>Risk Resolved</w:t>
            </w:r>
          </w:p>
        </w:tc>
        <w:tc>
          <w:tcPr>
            <w:tcW w:w="3848" w:type="pct"/>
          </w:tcPr>
          <w:p w14:paraId="2BAFEDE8" w14:textId="7A521B9B" w:rsidR="005B461F" w:rsidRPr="00A21682" w:rsidRDefault="005B461F" w:rsidP="00047C4E">
            <w:pPr>
              <w:pStyle w:val="TABLETEXT1"/>
              <w:rPr>
                <w:lang w:val="en-US"/>
              </w:rPr>
            </w:pPr>
            <w:r>
              <w:rPr>
                <w:rFonts w:eastAsiaTheme="majorEastAsia"/>
                <w:lang w:val="en-US"/>
              </w:rPr>
              <w:t xml:space="preserve">A risk assumes this status if the risk is Mitigated which means it was successfully managed and measures have been implemented to reduce the likelihood or impact of the risk; if the risk is Transferred or Accepted; or if the risk is overtaken by other events and is no longer applicable. </w:t>
            </w:r>
          </w:p>
        </w:tc>
      </w:tr>
    </w:tbl>
    <w:p w14:paraId="0D0627CB" w14:textId="0649189C" w:rsidR="005B461F" w:rsidRPr="00A21682" w:rsidRDefault="00B66F8F" w:rsidP="00D818D3">
      <w:pPr>
        <w:pStyle w:val="Caption"/>
        <w:rPr>
          <w:noProof w:val="0"/>
        </w:rPr>
      </w:pPr>
      <w:bookmarkStart w:id="3827" w:name="_Toc149672602"/>
      <w:bookmarkStart w:id="3828" w:name="_Toc19287519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Risk Status</w:t>
      </w:r>
      <w:bookmarkEnd w:id="3827"/>
      <w:bookmarkEnd w:id="3828"/>
    </w:p>
    <w:p w14:paraId="40314FB1" w14:textId="77777777" w:rsidR="005B461F" w:rsidRPr="00A21682" w:rsidRDefault="005B461F" w:rsidP="007335B5">
      <w:pPr>
        <w:pStyle w:val="Heading3"/>
        <w:keepNext w:val="0"/>
        <w:keepLines w:val="0"/>
      </w:pPr>
      <w:bookmarkStart w:id="3829" w:name="_Toc143509843"/>
      <w:bookmarkStart w:id="3830" w:name="_Toc153277023"/>
      <w:bookmarkStart w:id="3831" w:name="_Toc177119539"/>
      <w:bookmarkStart w:id="3832" w:name="_Toc185952841"/>
      <w:bookmarkStart w:id="3833" w:name="_Toc192874941"/>
      <w:bookmarkEnd w:id="3826"/>
      <w:r>
        <w:t>Risk Attributes</w:t>
      </w:r>
      <w:bookmarkEnd w:id="3829"/>
      <w:r>
        <w:t>, Types, and Tracks</w:t>
      </w:r>
      <w:bookmarkEnd w:id="3830"/>
      <w:bookmarkEnd w:id="3831"/>
      <w:bookmarkEnd w:id="3832"/>
      <w:bookmarkEnd w:id="3833"/>
      <w:r>
        <w:t xml:space="preserve"> </w:t>
      </w:r>
    </w:p>
    <w:p w14:paraId="0EC7EA03" w14:textId="09939C27" w:rsidR="00DE2B60" w:rsidRPr="00A21682" w:rsidRDefault="00DE2B60" w:rsidP="00DE2B60">
      <w:pPr>
        <w:pStyle w:val="NormalNEW"/>
        <w:rPr>
          <w:rStyle w:val="Hyperlink"/>
          <w:lang w:val="en-US"/>
        </w:rPr>
      </w:pPr>
      <w:r>
        <w:rPr>
          <w:lang w:val="en-US"/>
        </w:rPr>
        <w:t xml:space="preserve">The most updated attributes used for Risks in the ALM tool can be found in the ALM Tool Reference Guide in the following location: </w:t>
      </w:r>
      <w:r>
        <w:rPr>
          <w:rStyle w:val="Hyperlink"/>
          <w:lang w:val="en-US"/>
        </w:rPr>
        <w:t>The ALM tool</w:t>
      </w:r>
    </w:p>
    <w:p w14:paraId="210DF3C2" w14:textId="50D7347B" w:rsidR="005B461F" w:rsidRPr="00CF2672" w:rsidRDefault="005B461F" w:rsidP="003214DF">
      <w:pPr>
        <w:pStyle w:val="NormalNEW"/>
        <w:keepNext/>
      </w:pPr>
    </w:p>
    <w:p w14:paraId="56183341" w14:textId="77777777" w:rsidR="005B461F" w:rsidRPr="00A21682" w:rsidRDefault="005B461F">
      <w:pPr>
        <w:pStyle w:val="Heading3"/>
      </w:pPr>
      <w:bookmarkStart w:id="3834" w:name="_Toc149134807"/>
      <w:bookmarkStart w:id="3835" w:name="_Toc149136433"/>
      <w:bookmarkStart w:id="3836" w:name="_Toc149639903"/>
      <w:bookmarkStart w:id="3837" w:name="_Toc149646985"/>
      <w:bookmarkStart w:id="3838" w:name="_Toc149666479"/>
      <w:bookmarkStart w:id="3839" w:name="_Toc149671159"/>
      <w:bookmarkStart w:id="3840" w:name="_Toc149671494"/>
      <w:bookmarkStart w:id="3841" w:name="_Toc149672574"/>
      <w:bookmarkStart w:id="3842" w:name="_Toc149672629"/>
      <w:bookmarkStart w:id="3843" w:name="_Toc153277024"/>
      <w:bookmarkStart w:id="3844" w:name="_Toc149134808"/>
      <w:bookmarkStart w:id="3845" w:name="_Toc149136434"/>
      <w:bookmarkStart w:id="3846" w:name="_Toc149639904"/>
      <w:bookmarkStart w:id="3847" w:name="_Toc149646986"/>
      <w:bookmarkStart w:id="3848" w:name="_Toc149666480"/>
      <w:bookmarkStart w:id="3849" w:name="_Toc149671160"/>
      <w:bookmarkStart w:id="3850" w:name="_Toc149671495"/>
      <w:bookmarkStart w:id="3851" w:name="_Toc149672575"/>
      <w:bookmarkStart w:id="3852" w:name="_Toc149672630"/>
      <w:bookmarkStart w:id="3853" w:name="_Toc153277025"/>
      <w:bookmarkStart w:id="3854" w:name="_Toc149134809"/>
      <w:bookmarkStart w:id="3855" w:name="_Toc149136435"/>
      <w:bookmarkStart w:id="3856" w:name="_Toc149639905"/>
      <w:bookmarkStart w:id="3857" w:name="_Toc149646987"/>
      <w:bookmarkStart w:id="3858" w:name="_Toc149666481"/>
      <w:bookmarkStart w:id="3859" w:name="_Toc149671161"/>
      <w:bookmarkStart w:id="3860" w:name="_Toc149671496"/>
      <w:bookmarkStart w:id="3861" w:name="_Toc149672576"/>
      <w:bookmarkStart w:id="3862" w:name="_Toc149672631"/>
      <w:bookmarkStart w:id="3863" w:name="_Toc153277026"/>
      <w:bookmarkStart w:id="3864" w:name="_Toc149134810"/>
      <w:bookmarkStart w:id="3865" w:name="_Toc149136436"/>
      <w:bookmarkStart w:id="3866" w:name="_Toc149639906"/>
      <w:bookmarkStart w:id="3867" w:name="_Toc149646988"/>
      <w:bookmarkStart w:id="3868" w:name="_Toc149666482"/>
      <w:bookmarkStart w:id="3869" w:name="_Toc149671162"/>
      <w:bookmarkStart w:id="3870" w:name="_Toc149671497"/>
      <w:bookmarkStart w:id="3871" w:name="_Toc149672577"/>
      <w:bookmarkStart w:id="3872" w:name="_Toc149672632"/>
      <w:bookmarkStart w:id="3873" w:name="_Toc153277027"/>
      <w:bookmarkStart w:id="3874" w:name="_Toc149134811"/>
      <w:bookmarkStart w:id="3875" w:name="_Toc149136437"/>
      <w:bookmarkStart w:id="3876" w:name="_Toc149639907"/>
      <w:bookmarkStart w:id="3877" w:name="_Toc149646989"/>
      <w:bookmarkStart w:id="3878" w:name="_Toc149666483"/>
      <w:bookmarkStart w:id="3879" w:name="_Toc149671163"/>
      <w:bookmarkStart w:id="3880" w:name="_Toc149671498"/>
      <w:bookmarkStart w:id="3881" w:name="_Toc149672578"/>
      <w:bookmarkStart w:id="3882" w:name="_Toc149672633"/>
      <w:bookmarkStart w:id="3883" w:name="_Toc153277028"/>
      <w:bookmarkStart w:id="3884" w:name="_Toc149134812"/>
      <w:bookmarkStart w:id="3885" w:name="_Toc149136438"/>
      <w:bookmarkStart w:id="3886" w:name="_Toc149639908"/>
      <w:bookmarkStart w:id="3887" w:name="_Toc149646990"/>
      <w:bookmarkStart w:id="3888" w:name="_Toc149666484"/>
      <w:bookmarkStart w:id="3889" w:name="_Toc149671164"/>
      <w:bookmarkStart w:id="3890" w:name="_Toc149671499"/>
      <w:bookmarkStart w:id="3891" w:name="_Toc149672579"/>
      <w:bookmarkStart w:id="3892" w:name="_Toc149672634"/>
      <w:bookmarkStart w:id="3893" w:name="_Toc153277029"/>
      <w:bookmarkStart w:id="3894" w:name="_Toc149134813"/>
      <w:bookmarkStart w:id="3895" w:name="_Toc149136439"/>
      <w:bookmarkStart w:id="3896" w:name="_Toc149639909"/>
      <w:bookmarkStart w:id="3897" w:name="_Toc149646991"/>
      <w:bookmarkStart w:id="3898" w:name="_Toc149666485"/>
      <w:bookmarkStart w:id="3899" w:name="_Toc149671165"/>
      <w:bookmarkStart w:id="3900" w:name="_Toc149671500"/>
      <w:bookmarkStart w:id="3901" w:name="_Toc149672580"/>
      <w:bookmarkStart w:id="3902" w:name="_Toc149672635"/>
      <w:bookmarkStart w:id="3903" w:name="_Toc153277030"/>
      <w:bookmarkStart w:id="3904" w:name="_Toc149134814"/>
      <w:bookmarkStart w:id="3905" w:name="_Toc149136440"/>
      <w:bookmarkStart w:id="3906" w:name="_Toc149639910"/>
      <w:bookmarkStart w:id="3907" w:name="_Toc149646992"/>
      <w:bookmarkStart w:id="3908" w:name="_Toc149666486"/>
      <w:bookmarkStart w:id="3909" w:name="_Toc149671166"/>
      <w:bookmarkStart w:id="3910" w:name="_Toc149671501"/>
      <w:bookmarkStart w:id="3911" w:name="_Toc149672581"/>
      <w:bookmarkStart w:id="3912" w:name="_Toc149672636"/>
      <w:bookmarkStart w:id="3913" w:name="_Toc143509847"/>
      <w:bookmarkStart w:id="3914" w:name="_Toc153277032"/>
      <w:bookmarkStart w:id="3915" w:name="_Toc177119540"/>
      <w:bookmarkStart w:id="3916" w:name="_Toc185952842"/>
      <w:bookmarkStart w:id="3917" w:name="_Toc192874942"/>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r>
        <w:t>Escalation Level</w:t>
      </w:r>
      <w:bookmarkEnd w:id="3913"/>
      <w:bookmarkEnd w:id="3914"/>
      <w:bookmarkEnd w:id="3915"/>
      <w:bookmarkEnd w:id="3916"/>
      <w:bookmarkEnd w:id="3917"/>
      <w:r>
        <w:t xml:space="preserve"> </w:t>
      </w:r>
    </w:p>
    <w:p w14:paraId="7868D806" w14:textId="3B6B45CD" w:rsidR="0044769E" w:rsidRPr="00A21682" w:rsidRDefault="005B461F" w:rsidP="0044769E">
      <w:pPr>
        <w:pStyle w:val="NormalNEW"/>
        <w:rPr>
          <w:lang w:val="en-US"/>
        </w:rPr>
      </w:pPr>
      <w:r>
        <w:rPr>
          <w:lang w:val="en-US"/>
        </w:rPr>
        <w:t xml:space="preserve">Under the Risk Management Approach, risks are addressed by Management Level (Project Administration and Execution teams) by default, as defined in the Governance Structure (refer to Section 1) because risks impact individual components or functional areas and do not pose an immediate impact to operations or policies. The types of escalation levels include the following: </w:t>
      </w:r>
    </w:p>
    <w:p w14:paraId="693458AF" w14:textId="15CEF388" w:rsidR="0044769E" w:rsidRPr="00A21682" w:rsidRDefault="0044769E" w:rsidP="00F73D43">
      <w:pPr>
        <w:pStyle w:val="NormalNEW"/>
        <w:numPr>
          <w:ilvl w:val="0"/>
          <w:numId w:val="22"/>
        </w:numPr>
        <w:rPr>
          <w:lang w:val="en-US"/>
        </w:rPr>
      </w:pPr>
      <w:r>
        <w:rPr>
          <w:lang w:val="en-US"/>
        </w:rPr>
        <w:t>Management – Items we are managing day to day at the project level</w:t>
      </w:r>
    </w:p>
    <w:p w14:paraId="183B312E" w14:textId="10304178" w:rsidR="0044769E" w:rsidRPr="00A21682" w:rsidRDefault="0044769E" w:rsidP="00F73D43">
      <w:pPr>
        <w:pStyle w:val="NormalNEW"/>
        <w:numPr>
          <w:ilvl w:val="0"/>
          <w:numId w:val="22"/>
        </w:numPr>
        <w:rPr>
          <w:lang w:val="en-US"/>
        </w:rPr>
      </w:pPr>
      <w:r>
        <w:rPr>
          <w:lang w:val="en-US"/>
        </w:rPr>
        <w:t xml:space="preserve">Leadership – Items requiring project leadership awareness/input which are items with high severity that will be flagged at the project status report level </w:t>
      </w:r>
    </w:p>
    <w:p w14:paraId="31DA7200" w14:textId="45D8351C" w:rsidR="0044769E" w:rsidRPr="00A21682" w:rsidRDefault="0044769E" w:rsidP="00F73D43">
      <w:pPr>
        <w:pStyle w:val="NormalNEW"/>
        <w:numPr>
          <w:ilvl w:val="0"/>
          <w:numId w:val="22"/>
        </w:numPr>
        <w:rPr>
          <w:lang w:val="en-US"/>
        </w:rPr>
      </w:pPr>
      <w:r>
        <w:rPr>
          <w:lang w:val="en-US"/>
        </w:rPr>
        <w:t>Executive – Items requiring executive project leadership awareness/input at the steering committee level</w:t>
      </w:r>
    </w:p>
    <w:p w14:paraId="79732F88" w14:textId="08C7B311" w:rsidR="005B461F" w:rsidRPr="00A21682" w:rsidRDefault="005B461F" w:rsidP="00D12CEE">
      <w:pPr>
        <w:pStyle w:val="NormalNEW"/>
        <w:rPr>
          <w:lang w:val="en-US"/>
        </w:rPr>
      </w:pPr>
      <w:r>
        <w:rPr>
          <w:lang w:val="en-US"/>
        </w:rPr>
        <w:t>If the risk cannot be mitigated or resolved by the project team, it must be escalated to an issue and proceed with the Issue Resolution Approach outlined in Section 9.4.</w:t>
      </w:r>
    </w:p>
    <w:p w14:paraId="52F37C53" w14:textId="77777777" w:rsidR="005B461F" w:rsidRPr="00A21682" w:rsidRDefault="005B461F" w:rsidP="00D12CEE">
      <w:pPr>
        <w:pStyle w:val="NormalNEW"/>
        <w:rPr>
          <w:lang w:val="en-US"/>
        </w:rPr>
      </w:pPr>
      <w:r>
        <w:rPr>
          <w:lang w:val="en-US"/>
        </w:rPr>
        <w:t>A risk may be escalated to an issue when certain conditions or events occur. One or more of the following scenarios may trigger the escalation.</w:t>
      </w:r>
    </w:p>
    <w:p w14:paraId="61F5692C" w14:textId="248FE2BD" w:rsidR="005B461F" w:rsidRPr="00A21682" w:rsidRDefault="005B461F" w:rsidP="0031550A">
      <w:pPr>
        <w:pStyle w:val="BulletNEW"/>
      </w:pPr>
      <w:r>
        <w:t xml:space="preserve">Risk Materialization </w:t>
      </w:r>
      <w:r>
        <w:rPr>
          <w:lang w:val="en-US"/>
        </w:rPr>
        <w:t>–</w:t>
      </w:r>
      <w:r>
        <w:t xml:space="preserve"> A risk may be escalated to an issue if the event or condition that was originally identified as a risk has occurred. When a potential risk becomes a reality, it is no longer a risk but an issue that needs to be addressed</w:t>
      </w:r>
    </w:p>
    <w:p w14:paraId="1ED0A1D7" w14:textId="5E3F5A53" w:rsidR="005B461F" w:rsidRPr="00A21682" w:rsidRDefault="005B461F" w:rsidP="0031550A">
      <w:pPr>
        <w:pStyle w:val="BulletNEW"/>
      </w:pPr>
      <w:r>
        <w:t xml:space="preserve">Risk Severity </w:t>
      </w:r>
      <w:r>
        <w:rPr>
          <w:lang w:val="en-US"/>
        </w:rPr>
        <w:t>–</w:t>
      </w:r>
      <w:r>
        <w:t xml:space="preserve"> If the impact or consequences of the risk increase beyond a predefined threshold, it may be escalated to an issue. This can happen when the potential harm or disruption becomes significant</w:t>
      </w:r>
    </w:p>
    <w:p w14:paraId="44DD7B50" w14:textId="7C13997E" w:rsidR="005B461F" w:rsidRPr="00A21682" w:rsidRDefault="005B461F" w:rsidP="0031550A">
      <w:pPr>
        <w:pStyle w:val="BulletNEW"/>
      </w:pPr>
      <w:r>
        <w:t xml:space="preserve">Manageability </w:t>
      </w:r>
      <w:r>
        <w:rPr>
          <w:lang w:val="en-US"/>
        </w:rPr>
        <w:t>–</w:t>
      </w:r>
      <w:r>
        <w:t xml:space="preserve"> A risk may be escalated to an issue if it is determined that the risk cannot be effectively managed or mitigated within the current risk management approach</w:t>
      </w:r>
    </w:p>
    <w:p w14:paraId="7ED01386" w14:textId="77777777" w:rsidR="005B461F" w:rsidRPr="00A21682" w:rsidRDefault="005B461F" w:rsidP="00D12CEE">
      <w:pPr>
        <w:pStyle w:val="NormalNEW"/>
        <w:rPr>
          <w:lang w:val="en-US"/>
        </w:rPr>
      </w:pPr>
      <w:r>
        <w:rPr>
          <w:lang w:val="en-US"/>
        </w:rPr>
        <w:t xml:space="preserve">Risks are communicated in the PSR and discussed during recurring PSR meetings. Upon review of the escalated risks, ███████ and DOH OHIP will identify those that would need discussion in the upcoming ESC meeting. If the escalated risk poses an immediate negative impact and cannot wait </w:t>
      </w:r>
      <w:r>
        <w:rPr>
          <w:lang w:val="en-US"/>
        </w:rPr>
        <w:lastRenderedPageBreak/>
        <w:t>until the next scheduled ESC meeting, the track lead will contact the Managerial Governance group to review the escalated risk on an emergency basis and determine a recommended course of action.</w:t>
      </w:r>
    </w:p>
    <w:p w14:paraId="0F8A0148" w14:textId="77777777" w:rsidR="005B461F" w:rsidRPr="00A21682" w:rsidRDefault="005B461F">
      <w:pPr>
        <w:pStyle w:val="Heading3"/>
      </w:pPr>
      <w:bookmarkStart w:id="3918" w:name="_Toc143509848"/>
      <w:bookmarkStart w:id="3919" w:name="_Toc153277033"/>
      <w:bookmarkStart w:id="3920" w:name="_Toc177119541"/>
      <w:bookmarkStart w:id="3921" w:name="_Toc185952843"/>
      <w:bookmarkStart w:id="3922" w:name="_Toc192874943"/>
      <w:r>
        <w:t>Risk Probability, Impact, and Severity</w:t>
      </w:r>
      <w:bookmarkEnd w:id="3918"/>
      <w:bookmarkEnd w:id="3919"/>
      <w:bookmarkEnd w:id="3920"/>
      <w:bookmarkEnd w:id="3921"/>
      <w:bookmarkEnd w:id="3922"/>
    </w:p>
    <w:p w14:paraId="3C5FD58A" w14:textId="77777777" w:rsidR="005B461F" w:rsidRPr="00A21682" w:rsidRDefault="005B461F" w:rsidP="00D12CEE">
      <w:pPr>
        <w:pStyle w:val="NormalNEW"/>
        <w:rPr>
          <w:lang w:val="en-US"/>
        </w:rPr>
      </w:pPr>
      <w:r>
        <w:rPr>
          <w:lang w:val="en-US"/>
        </w:rPr>
        <w:t>The values and definitions in the following table will be used to assign the probability of risks occurring:</w:t>
      </w:r>
    </w:p>
    <w:tbl>
      <w:tblPr>
        <w:tblStyle w:val="TableGrid-None2"/>
        <w:tblW w:w="944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337"/>
        <w:gridCol w:w="7109"/>
      </w:tblGrid>
      <w:tr w:rsidR="005B461F" w:rsidRPr="00A21682" w14:paraId="521BC2FA" w14:textId="77777777" w:rsidTr="00541FC2">
        <w:trPr>
          <w:trHeight w:val="364"/>
        </w:trPr>
        <w:tc>
          <w:tcPr>
            <w:tcW w:w="2337" w:type="dxa"/>
            <w:tcBorders>
              <w:right w:val="single" w:sz="2" w:space="0" w:color="FFFFFF" w:themeColor="background1"/>
            </w:tcBorders>
            <w:shd w:val="clear" w:color="auto" w:fill="000000" w:themeFill="text1"/>
            <w:vAlign w:val="center"/>
          </w:tcPr>
          <w:p w14:paraId="438FD351" w14:textId="310CF44A" w:rsidR="005B461F" w:rsidRPr="00A21682" w:rsidRDefault="005B461F" w:rsidP="00047C4E">
            <w:pPr>
              <w:pStyle w:val="TABLEHEADINGNEW"/>
              <w:rPr>
                <w:rFonts w:eastAsiaTheme="minorEastAsia"/>
                <w:lang w:val="en-US"/>
              </w:rPr>
            </w:pPr>
            <w:r>
              <w:rPr>
                <w:rFonts w:eastAsiaTheme="minorEastAsia"/>
                <w:lang w:val="en-US"/>
              </w:rPr>
              <w:t>Probability Value</w:t>
            </w:r>
          </w:p>
        </w:tc>
        <w:tc>
          <w:tcPr>
            <w:tcW w:w="7109" w:type="dxa"/>
            <w:tcBorders>
              <w:left w:val="single" w:sz="2" w:space="0" w:color="FFFFFF" w:themeColor="background1"/>
            </w:tcBorders>
            <w:shd w:val="clear" w:color="auto" w:fill="000000" w:themeFill="text1"/>
            <w:vAlign w:val="center"/>
          </w:tcPr>
          <w:p w14:paraId="7FAAAF80" w14:textId="77777777" w:rsidR="005B461F" w:rsidRPr="00A21682" w:rsidRDefault="005B461F" w:rsidP="00047C4E">
            <w:pPr>
              <w:pStyle w:val="TABLEHEADINGNEW"/>
              <w:rPr>
                <w:rFonts w:eastAsiaTheme="minorEastAsia"/>
                <w:lang w:val="en-US"/>
              </w:rPr>
            </w:pPr>
            <w:r>
              <w:rPr>
                <w:rFonts w:eastAsiaTheme="minorEastAsia"/>
                <w:lang w:val="en-US"/>
              </w:rPr>
              <w:t>Description</w:t>
            </w:r>
          </w:p>
        </w:tc>
      </w:tr>
      <w:tr w:rsidR="005B461F" w:rsidRPr="00A21682" w14:paraId="6F79F78F" w14:textId="77777777" w:rsidTr="00047C4E">
        <w:trPr>
          <w:trHeight w:val="364"/>
        </w:trPr>
        <w:tc>
          <w:tcPr>
            <w:tcW w:w="2337" w:type="dxa"/>
            <w:vAlign w:val="center"/>
          </w:tcPr>
          <w:p w14:paraId="0E13C5DE" w14:textId="77777777" w:rsidR="005B461F" w:rsidRPr="00A21682" w:rsidRDefault="005B461F" w:rsidP="00047C4E">
            <w:pPr>
              <w:pStyle w:val="TABLETEXT1"/>
              <w:rPr>
                <w:lang w:val="en-US"/>
              </w:rPr>
            </w:pPr>
            <w:r>
              <w:rPr>
                <w:lang w:val="en-US"/>
              </w:rPr>
              <w:t>1-Low (0-33%)</w:t>
            </w:r>
          </w:p>
        </w:tc>
        <w:tc>
          <w:tcPr>
            <w:tcW w:w="7109" w:type="dxa"/>
            <w:vAlign w:val="center"/>
          </w:tcPr>
          <w:p w14:paraId="279A8F58" w14:textId="77777777" w:rsidR="005B461F" w:rsidRPr="00A21682" w:rsidRDefault="005B461F" w:rsidP="00047C4E">
            <w:pPr>
              <w:pStyle w:val="TABLETEXT1"/>
              <w:rPr>
                <w:lang w:val="en-US"/>
              </w:rPr>
            </w:pPr>
            <w:r>
              <w:rPr>
                <w:lang w:val="en-US"/>
              </w:rPr>
              <w:t>Very unlikely to occur</w:t>
            </w:r>
          </w:p>
        </w:tc>
      </w:tr>
      <w:tr w:rsidR="005B461F" w:rsidRPr="00A21682" w14:paraId="7CCFF572" w14:textId="77777777" w:rsidTr="00047C4E">
        <w:trPr>
          <w:trHeight w:val="357"/>
        </w:trPr>
        <w:tc>
          <w:tcPr>
            <w:tcW w:w="2337" w:type="dxa"/>
            <w:vAlign w:val="center"/>
          </w:tcPr>
          <w:p w14:paraId="351B2BED" w14:textId="77777777" w:rsidR="005B461F" w:rsidRPr="00A21682" w:rsidRDefault="005B461F" w:rsidP="00047C4E">
            <w:pPr>
              <w:pStyle w:val="TABLETEXT1"/>
              <w:rPr>
                <w:lang w:val="en-US"/>
              </w:rPr>
            </w:pPr>
            <w:r>
              <w:rPr>
                <w:lang w:val="en-US"/>
              </w:rPr>
              <w:t>2-Medium (34-66%)</w:t>
            </w:r>
          </w:p>
        </w:tc>
        <w:tc>
          <w:tcPr>
            <w:tcW w:w="7109" w:type="dxa"/>
            <w:vAlign w:val="center"/>
          </w:tcPr>
          <w:p w14:paraId="6E70EA0D" w14:textId="77777777" w:rsidR="005B461F" w:rsidRPr="00A21682" w:rsidRDefault="005B461F" w:rsidP="00047C4E">
            <w:pPr>
              <w:pStyle w:val="TABLETEXT1"/>
              <w:rPr>
                <w:lang w:val="en-US"/>
              </w:rPr>
            </w:pPr>
            <w:r>
              <w:rPr>
                <w:lang w:val="en-US"/>
              </w:rPr>
              <w:t>Some chance of occurring</w:t>
            </w:r>
          </w:p>
        </w:tc>
      </w:tr>
      <w:tr w:rsidR="005B461F" w:rsidRPr="00A21682" w14:paraId="2C93114D" w14:textId="77777777" w:rsidTr="00047C4E">
        <w:trPr>
          <w:trHeight w:val="357"/>
        </w:trPr>
        <w:tc>
          <w:tcPr>
            <w:tcW w:w="2337" w:type="dxa"/>
            <w:vAlign w:val="center"/>
          </w:tcPr>
          <w:p w14:paraId="51081903" w14:textId="77777777" w:rsidR="005B461F" w:rsidRPr="00A21682" w:rsidRDefault="005B461F" w:rsidP="00047C4E">
            <w:pPr>
              <w:pStyle w:val="TABLETEXT1"/>
              <w:rPr>
                <w:lang w:val="en-US"/>
              </w:rPr>
            </w:pPr>
            <w:r>
              <w:rPr>
                <w:lang w:val="en-US"/>
              </w:rPr>
              <w:t>3-High (67-99%)</w:t>
            </w:r>
          </w:p>
        </w:tc>
        <w:tc>
          <w:tcPr>
            <w:tcW w:w="7109" w:type="dxa"/>
            <w:vAlign w:val="center"/>
          </w:tcPr>
          <w:p w14:paraId="3EB47902" w14:textId="77777777" w:rsidR="005B461F" w:rsidRPr="00A21682" w:rsidRDefault="005B461F" w:rsidP="00047C4E">
            <w:pPr>
              <w:pStyle w:val="TABLETEXT1"/>
              <w:rPr>
                <w:lang w:val="en-US"/>
              </w:rPr>
            </w:pPr>
            <w:r>
              <w:rPr>
                <w:lang w:val="en-US"/>
              </w:rPr>
              <w:t>Very likely to occur</w:t>
            </w:r>
          </w:p>
        </w:tc>
      </w:tr>
    </w:tbl>
    <w:p w14:paraId="210B8D11" w14:textId="2674E7B1" w:rsidR="005B461F" w:rsidRPr="00A21682" w:rsidRDefault="005B461F" w:rsidP="00D818D3">
      <w:pPr>
        <w:pStyle w:val="Caption"/>
        <w:rPr>
          <w:noProof w:val="0"/>
        </w:rPr>
      </w:pPr>
      <w:bookmarkStart w:id="3923" w:name="_Toc149672605"/>
      <w:bookmarkStart w:id="3924" w:name="_Toc19287520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Probability Values of Risks</w:t>
      </w:r>
      <w:bookmarkEnd w:id="3923"/>
      <w:bookmarkEnd w:id="3924"/>
    </w:p>
    <w:p w14:paraId="7B11E585" w14:textId="77777777" w:rsidR="005B461F" w:rsidRPr="00A21682" w:rsidRDefault="005B461F" w:rsidP="00541FC2">
      <w:pPr>
        <w:keepNext/>
        <w:widowControl w:val="0"/>
        <w:spacing w:before="120" w:after="120" w:line="240" w:lineRule="atLeast"/>
        <w:rPr>
          <w:rFonts w:ascii="Verdana" w:hAnsi="Verdana" w:cs="Arial Narrow"/>
          <w:sz w:val="18"/>
          <w:szCs w:val="18"/>
        </w:rPr>
      </w:pPr>
      <w:r>
        <w:rPr>
          <w:rFonts w:ascii="Verdana" w:hAnsi="Verdana" w:cs="Arial Narrow"/>
          <w:sz w:val="18"/>
          <w:szCs w:val="18"/>
        </w:rPr>
        <w:t>The table below describes the impact values ascribed to the various risks identified in the project:</w:t>
      </w:r>
    </w:p>
    <w:tbl>
      <w:tblPr>
        <w:tblStyle w:val="TableGrid-None2"/>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333"/>
        <w:gridCol w:w="7114"/>
      </w:tblGrid>
      <w:tr w:rsidR="005B461F" w:rsidRPr="00A21682" w14:paraId="3DA284C8" w14:textId="77777777" w:rsidTr="00541FC2">
        <w:trPr>
          <w:trHeight w:val="288"/>
        </w:trPr>
        <w:tc>
          <w:tcPr>
            <w:tcW w:w="2333" w:type="dxa"/>
            <w:tcBorders>
              <w:right w:val="single" w:sz="2" w:space="0" w:color="FFFFFF" w:themeColor="background1"/>
            </w:tcBorders>
            <w:shd w:val="clear" w:color="auto" w:fill="000000"/>
            <w:vAlign w:val="center"/>
          </w:tcPr>
          <w:p w14:paraId="789F280F" w14:textId="77777777" w:rsidR="005B461F" w:rsidRPr="00A21682" w:rsidRDefault="005B461F" w:rsidP="00047C4E">
            <w:pPr>
              <w:pStyle w:val="TABLEHEADINGNEW"/>
              <w:rPr>
                <w:rFonts w:eastAsiaTheme="minorEastAsia"/>
                <w:lang w:val="en-US"/>
              </w:rPr>
            </w:pPr>
            <w:r>
              <w:rPr>
                <w:rFonts w:eastAsiaTheme="minorEastAsia"/>
                <w:lang w:val="en-US"/>
              </w:rPr>
              <w:t>Impact Value</w:t>
            </w:r>
          </w:p>
        </w:tc>
        <w:tc>
          <w:tcPr>
            <w:tcW w:w="7114" w:type="dxa"/>
            <w:tcBorders>
              <w:left w:val="single" w:sz="2" w:space="0" w:color="FFFFFF" w:themeColor="background1"/>
            </w:tcBorders>
            <w:shd w:val="clear" w:color="auto" w:fill="000000"/>
            <w:vAlign w:val="center"/>
          </w:tcPr>
          <w:p w14:paraId="0CD0B453" w14:textId="77777777" w:rsidR="005B461F" w:rsidRPr="00A21682" w:rsidRDefault="005B461F" w:rsidP="00047C4E">
            <w:pPr>
              <w:pStyle w:val="TABLEHEADINGNEW"/>
              <w:rPr>
                <w:rFonts w:eastAsiaTheme="minorEastAsia"/>
                <w:lang w:val="en-US"/>
              </w:rPr>
            </w:pPr>
            <w:r>
              <w:rPr>
                <w:rFonts w:eastAsiaTheme="minorEastAsia"/>
                <w:lang w:val="en-US"/>
              </w:rPr>
              <w:t>Description</w:t>
            </w:r>
          </w:p>
        </w:tc>
      </w:tr>
      <w:tr w:rsidR="005B461F" w:rsidRPr="00A21682" w14:paraId="5CAEC20A" w14:textId="77777777" w:rsidTr="00047C4E">
        <w:trPr>
          <w:trHeight w:val="364"/>
        </w:trPr>
        <w:tc>
          <w:tcPr>
            <w:tcW w:w="2333" w:type="dxa"/>
            <w:vAlign w:val="center"/>
          </w:tcPr>
          <w:p w14:paraId="1ECCC214" w14:textId="77777777" w:rsidR="005B461F" w:rsidRPr="00A21682" w:rsidRDefault="005B461F" w:rsidP="00047C4E">
            <w:pPr>
              <w:pStyle w:val="TABLETEXT1"/>
              <w:rPr>
                <w:lang w:val="en-US"/>
              </w:rPr>
            </w:pPr>
            <w:r>
              <w:rPr>
                <w:lang w:val="en-US"/>
              </w:rPr>
              <w:t>1-Low</w:t>
            </w:r>
          </w:p>
        </w:tc>
        <w:tc>
          <w:tcPr>
            <w:tcW w:w="7114" w:type="dxa"/>
            <w:vAlign w:val="center"/>
          </w:tcPr>
          <w:p w14:paraId="303E2F71" w14:textId="77777777" w:rsidR="005B461F" w:rsidRPr="00A21682" w:rsidRDefault="005B461F" w:rsidP="00047C4E">
            <w:pPr>
              <w:pStyle w:val="TABLETEXT1"/>
              <w:rPr>
                <w:lang w:val="en-US"/>
              </w:rPr>
            </w:pPr>
            <w:r>
              <w:rPr>
                <w:lang w:val="en-US"/>
              </w:rPr>
              <w:t xml:space="preserve">Insignificant impacts to timescale and cost, </w:t>
            </w:r>
            <w:r>
              <w:rPr>
                <w:rFonts w:eastAsia="Times New Roman"/>
                <w:lang w:val="en-US"/>
              </w:rPr>
              <w:t xml:space="preserve">some </w:t>
            </w:r>
            <w:r>
              <w:rPr>
                <w:lang w:val="en-US"/>
              </w:rPr>
              <w:t xml:space="preserve">re-planning </w:t>
            </w:r>
            <w:r>
              <w:rPr>
                <w:rFonts w:eastAsia="Times New Roman"/>
                <w:lang w:val="en-US"/>
              </w:rPr>
              <w:t xml:space="preserve">may be </w:t>
            </w:r>
            <w:r>
              <w:rPr>
                <w:lang w:val="en-US"/>
              </w:rPr>
              <w:t>necessary</w:t>
            </w:r>
          </w:p>
        </w:tc>
      </w:tr>
      <w:tr w:rsidR="005B461F" w:rsidRPr="00A21682" w14:paraId="3C759119" w14:textId="77777777" w:rsidTr="00047C4E">
        <w:trPr>
          <w:trHeight w:val="357"/>
        </w:trPr>
        <w:tc>
          <w:tcPr>
            <w:tcW w:w="2333" w:type="dxa"/>
            <w:vAlign w:val="center"/>
          </w:tcPr>
          <w:p w14:paraId="3756D81E" w14:textId="77777777" w:rsidR="005B461F" w:rsidRPr="00A21682" w:rsidRDefault="005B461F" w:rsidP="00047C4E">
            <w:pPr>
              <w:pStyle w:val="TABLETEXT1"/>
              <w:rPr>
                <w:lang w:val="en-US"/>
              </w:rPr>
            </w:pPr>
            <w:r>
              <w:rPr>
                <w:lang w:val="en-US"/>
              </w:rPr>
              <w:t>2-Medium</w:t>
            </w:r>
          </w:p>
        </w:tc>
        <w:tc>
          <w:tcPr>
            <w:tcW w:w="7114" w:type="dxa"/>
            <w:vAlign w:val="center"/>
          </w:tcPr>
          <w:p w14:paraId="19ADD29D" w14:textId="77777777" w:rsidR="005B461F" w:rsidRPr="00A21682" w:rsidRDefault="005B461F" w:rsidP="00047C4E">
            <w:pPr>
              <w:pStyle w:val="TABLETEXT1"/>
              <w:rPr>
                <w:lang w:val="en-US"/>
              </w:rPr>
            </w:pPr>
            <w:r>
              <w:rPr>
                <w:lang w:val="en-US"/>
              </w:rPr>
              <w:t>Substantial delay increases cost; key resources/deliverable impacted</w:t>
            </w:r>
          </w:p>
        </w:tc>
      </w:tr>
      <w:tr w:rsidR="005B461F" w:rsidRPr="00A21682" w14:paraId="5A0CCC39" w14:textId="77777777" w:rsidTr="00047C4E">
        <w:trPr>
          <w:trHeight w:val="357"/>
        </w:trPr>
        <w:tc>
          <w:tcPr>
            <w:tcW w:w="2333" w:type="dxa"/>
            <w:vAlign w:val="center"/>
          </w:tcPr>
          <w:p w14:paraId="054C518A" w14:textId="77777777" w:rsidR="005B461F" w:rsidRPr="00A21682" w:rsidRDefault="005B461F" w:rsidP="00047C4E">
            <w:pPr>
              <w:pStyle w:val="TABLETEXT1"/>
              <w:rPr>
                <w:lang w:val="en-US"/>
              </w:rPr>
            </w:pPr>
            <w:r>
              <w:rPr>
                <w:lang w:val="en-US"/>
              </w:rPr>
              <w:t>3-High</w:t>
            </w:r>
          </w:p>
        </w:tc>
        <w:tc>
          <w:tcPr>
            <w:tcW w:w="7114" w:type="dxa"/>
            <w:vAlign w:val="center"/>
          </w:tcPr>
          <w:p w14:paraId="5BE0CC5C" w14:textId="77777777" w:rsidR="005B461F" w:rsidRPr="00A21682" w:rsidRDefault="005B461F" w:rsidP="00047C4E">
            <w:pPr>
              <w:pStyle w:val="TABLETEXT1"/>
              <w:rPr>
                <w:lang w:val="en-US"/>
              </w:rPr>
            </w:pPr>
            <w:r>
              <w:rPr>
                <w:lang w:val="en-US"/>
              </w:rPr>
              <w:t>Inability to deliver; objectives cannot be achieved</w:t>
            </w:r>
          </w:p>
        </w:tc>
      </w:tr>
    </w:tbl>
    <w:p w14:paraId="380388A4" w14:textId="1EF38CE5" w:rsidR="005B461F" w:rsidRPr="00A21682" w:rsidRDefault="005B461F" w:rsidP="00D818D3">
      <w:pPr>
        <w:pStyle w:val="Caption"/>
        <w:rPr>
          <w:noProof w:val="0"/>
        </w:rPr>
      </w:pPr>
      <w:bookmarkStart w:id="3925" w:name="_Toc149672606"/>
      <w:bookmarkStart w:id="3926" w:name="_Toc19287520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r>
        <w:rPr>
          <w:noProof w:val="0"/>
        </w:rPr>
        <w:t>: Impact Values of Risks</w:t>
      </w:r>
      <w:bookmarkEnd w:id="3925"/>
      <w:bookmarkEnd w:id="3926"/>
    </w:p>
    <w:p w14:paraId="7A9DBE90" w14:textId="6477D22A" w:rsidR="005B461F" w:rsidRPr="00A21682" w:rsidRDefault="005B461F" w:rsidP="00D12CEE">
      <w:pPr>
        <w:pStyle w:val="NormalNEW"/>
        <w:rPr>
          <w:lang w:val="en-US"/>
        </w:rPr>
      </w:pPr>
      <w:r>
        <w:rPr>
          <w:lang w:val="en-US"/>
        </w:rPr>
        <w:t xml:space="preserve">When risks are identified, they will be qualitatively analyzed in terms of impact and probability. Impact will be assessed on a range of 1 – 3, with 1 being Low, 2 being Medium, and 3 being High. Similarly, probability will be assessed on a range of 1 – 3, with 1 indicating low probability of occurring, 2 indicating medium probability of occurring, and 3 indicating high probability of occurring. </w:t>
      </w:r>
    </w:p>
    <w:p w14:paraId="10A482FE" w14:textId="77777777" w:rsidR="005B461F" w:rsidRPr="00A21682" w:rsidRDefault="005B461F" w:rsidP="00D12CEE">
      <w:pPr>
        <w:pStyle w:val="NormalNEW"/>
        <w:rPr>
          <w:lang w:val="en-US"/>
        </w:rPr>
      </w:pPr>
      <w:r>
        <w:rPr>
          <w:lang w:val="en-US"/>
        </w:rPr>
        <w:t xml:space="preserve">The two values will then be multiplied by the ALM tool to compute an overall risk severity. The probability, impact, and overall risk severity will be included for the risks included in the PSR. </w:t>
      </w:r>
    </w:p>
    <w:p w14:paraId="1241F450" w14:textId="22F5B456" w:rsidR="005B461F" w:rsidRPr="00A21682" w:rsidRDefault="005B461F" w:rsidP="00D12CEE">
      <w:pPr>
        <w:pStyle w:val="NormalNEW"/>
        <w:rPr>
          <w:lang w:val="en-US"/>
        </w:rPr>
      </w:pPr>
      <w:r>
        <w:rPr>
          <w:lang w:val="en-US"/>
        </w:rPr>
        <w:t>The table below outlines the complete set of values and the risk severity level for each combination.</w:t>
      </w:r>
    </w:p>
    <w:tbl>
      <w:tblPr>
        <w:tblStyle w:val="TableGrid-None4"/>
        <w:tblW w:w="933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503"/>
        <w:gridCol w:w="2322"/>
        <w:gridCol w:w="1857"/>
        <w:gridCol w:w="2322"/>
        <w:gridCol w:w="2323"/>
        <w:gridCol w:w="8"/>
      </w:tblGrid>
      <w:tr w:rsidR="00D2694C" w:rsidRPr="00A21682" w14:paraId="4565B6CD" w14:textId="77777777" w:rsidTr="00D12CEE">
        <w:trPr>
          <w:cnfStyle w:val="100000000000" w:firstRow="1" w:lastRow="0" w:firstColumn="0" w:lastColumn="0" w:oddVBand="0" w:evenVBand="0" w:oddHBand="0" w:evenHBand="0" w:firstRowFirstColumn="0" w:firstRowLastColumn="0" w:lastRowFirstColumn="0" w:lastRowLastColumn="0"/>
          <w:trHeight w:val="20"/>
        </w:trPr>
        <w:tc>
          <w:tcPr>
            <w:tcW w:w="503" w:type="dxa"/>
            <w:vMerge w:val="restart"/>
            <w:textDirection w:val="btLr"/>
            <w:vAlign w:val="center"/>
          </w:tcPr>
          <w:p w14:paraId="074650B8" w14:textId="6CC92003" w:rsidR="005B461F" w:rsidRPr="00A21682" w:rsidRDefault="002E431D" w:rsidP="00D12CEE">
            <w:pPr>
              <w:pStyle w:val="TABLEHEADINGNEW"/>
              <w:rPr>
                <w:b/>
                <w:bCs w:val="0"/>
                <w:color w:val="000000" w:themeColor="text1"/>
              </w:rPr>
            </w:pPr>
            <w:r>
              <w:rPr>
                <w:b/>
                <w:bCs w:val="0"/>
              </w:rPr>
              <w:t xml:space="preserve">  Impact</w:t>
            </w:r>
          </w:p>
        </w:tc>
        <w:tc>
          <w:tcPr>
            <w:tcW w:w="8832" w:type="dxa"/>
            <w:gridSpan w:val="5"/>
            <w:vAlign w:val="center"/>
          </w:tcPr>
          <w:p w14:paraId="2F936A67" w14:textId="77777777" w:rsidR="005B461F" w:rsidRPr="00A21682" w:rsidRDefault="005B461F" w:rsidP="00D12CEE">
            <w:pPr>
              <w:pStyle w:val="TABLEHEADINGNEW"/>
              <w:rPr>
                <w:b/>
                <w:bCs w:val="0"/>
                <w:color w:val="000000" w:themeColor="text1"/>
              </w:rPr>
            </w:pPr>
            <w:r>
              <w:rPr>
                <w:b/>
                <w:bCs w:val="0"/>
              </w:rPr>
              <w:t>Probability</w:t>
            </w:r>
          </w:p>
        </w:tc>
      </w:tr>
      <w:tr w:rsidR="00B60884" w:rsidRPr="00A21682" w14:paraId="18129787" w14:textId="77777777" w:rsidTr="00D12CEE">
        <w:trPr>
          <w:gridAfter w:val="1"/>
          <w:wAfter w:w="8" w:type="dxa"/>
          <w:trHeight w:val="20"/>
        </w:trPr>
        <w:tc>
          <w:tcPr>
            <w:tcW w:w="503" w:type="dxa"/>
            <w:vMerge/>
            <w:vAlign w:val="center"/>
          </w:tcPr>
          <w:p w14:paraId="6A22B7F4" w14:textId="77777777" w:rsidR="005B461F" w:rsidRPr="00A21682" w:rsidRDefault="005B461F" w:rsidP="005B461F">
            <w:pPr>
              <w:widowControl w:val="0"/>
              <w:spacing w:line="280" w:lineRule="atLeast"/>
              <w:contextualSpacing/>
              <w:rPr>
                <w:rFonts w:ascii="Verdana" w:hAnsi="Verdana" w:cs="Arial"/>
                <w:sz w:val="18"/>
                <w:szCs w:val="24"/>
              </w:rPr>
            </w:pPr>
          </w:p>
        </w:tc>
        <w:tc>
          <w:tcPr>
            <w:tcW w:w="2322" w:type="dxa"/>
            <w:shd w:val="clear" w:color="auto" w:fill="FFFFFF" w:themeFill="background1"/>
            <w:vAlign w:val="center"/>
          </w:tcPr>
          <w:p w14:paraId="50F7F18B" w14:textId="77777777" w:rsidR="005B461F" w:rsidRPr="00A21682" w:rsidRDefault="005B461F" w:rsidP="00D12CEE">
            <w:pPr>
              <w:pStyle w:val="TABLETEXT1"/>
              <w:rPr>
                <w:b/>
                <w:bCs/>
                <w:lang w:val="en-US"/>
              </w:rPr>
            </w:pPr>
          </w:p>
        </w:tc>
        <w:tc>
          <w:tcPr>
            <w:tcW w:w="1857" w:type="dxa"/>
            <w:shd w:val="clear" w:color="auto" w:fill="FFFFFF" w:themeFill="background1"/>
            <w:vAlign w:val="center"/>
          </w:tcPr>
          <w:p w14:paraId="52FA3C88" w14:textId="77777777" w:rsidR="005B461F" w:rsidRPr="00A21682" w:rsidRDefault="005B461F" w:rsidP="00D12CEE">
            <w:pPr>
              <w:pStyle w:val="TABLETEXT1"/>
              <w:rPr>
                <w:b/>
                <w:bCs/>
                <w:lang w:val="en-US"/>
              </w:rPr>
            </w:pPr>
            <w:r>
              <w:rPr>
                <w:b/>
                <w:bCs/>
                <w:lang w:val="en-US"/>
              </w:rPr>
              <w:t>1 – Low</w:t>
            </w:r>
          </w:p>
        </w:tc>
        <w:tc>
          <w:tcPr>
            <w:tcW w:w="2322" w:type="dxa"/>
            <w:shd w:val="clear" w:color="auto" w:fill="FFFFFF" w:themeFill="background1"/>
            <w:vAlign w:val="center"/>
          </w:tcPr>
          <w:p w14:paraId="64F121D8" w14:textId="77777777" w:rsidR="005B461F" w:rsidRPr="00A21682" w:rsidRDefault="005B461F" w:rsidP="00D12CEE">
            <w:pPr>
              <w:pStyle w:val="TABLETEXT1"/>
              <w:rPr>
                <w:b/>
                <w:bCs/>
                <w:lang w:val="en-US"/>
              </w:rPr>
            </w:pPr>
            <w:r>
              <w:rPr>
                <w:b/>
                <w:bCs/>
                <w:lang w:val="en-US"/>
              </w:rPr>
              <w:t>2 – Medium</w:t>
            </w:r>
          </w:p>
        </w:tc>
        <w:tc>
          <w:tcPr>
            <w:tcW w:w="2323" w:type="dxa"/>
            <w:shd w:val="clear" w:color="auto" w:fill="FFFFFF" w:themeFill="background1"/>
            <w:vAlign w:val="center"/>
          </w:tcPr>
          <w:p w14:paraId="11AC3FA7" w14:textId="77777777" w:rsidR="005B461F" w:rsidRPr="00A21682" w:rsidRDefault="005B461F" w:rsidP="00D12CEE">
            <w:pPr>
              <w:pStyle w:val="TABLETEXT1"/>
              <w:rPr>
                <w:b/>
                <w:bCs/>
                <w:lang w:val="en-US"/>
              </w:rPr>
            </w:pPr>
            <w:r>
              <w:rPr>
                <w:b/>
                <w:bCs/>
                <w:lang w:val="en-US"/>
              </w:rPr>
              <w:t>3 – High</w:t>
            </w:r>
          </w:p>
        </w:tc>
      </w:tr>
      <w:tr w:rsidR="00B60884" w:rsidRPr="00A21682" w14:paraId="36772547" w14:textId="77777777" w:rsidTr="00D12CEE">
        <w:trPr>
          <w:gridAfter w:val="1"/>
          <w:wAfter w:w="8" w:type="dxa"/>
          <w:trHeight w:val="20"/>
        </w:trPr>
        <w:tc>
          <w:tcPr>
            <w:tcW w:w="503" w:type="dxa"/>
            <w:vMerge/>
            <w:vAlign w:val="center"/>
          </w:tcPr>
          <w:p w14:paraId="1C4BCFD1" w14:textId="77777777" w:rsidR="005B461F" w:rsidRPr="00A21682" w:rsidRDefault="005B461F" w:rsidP="005B461F">
            <w:pPr>
              <w:widowControl w:val="0"/>
              <w:spacing w:line="280" w:lineRule="atLeast"/>
              <w:contextualSpacing/>
              <w:rPr>
                <w:rFonts w:ascii="Verdana" w:hAnsi="Verdana" w:cs="Arial"/>
                <w:sz w:val="18"/>
                <w:szCs w:val="24"/>
              </w:rPr>
            </w:pPr>
          </w:p>
        </w:tc>
        <w:tc>
          <w:tcPr>
            <w:tcW w:w="2322" w:type="dxa"/>
            <w:shd w:val="clear" w:color="auto" w:fill="FFFFFF" w:themeFill="background1"/>
            <w:vAlign w:val="center"/>
          </w:tcPr>
          <w:p w14:paraId="23703A20" w14:textId="77777777" w:rsidR="005B461F" w:rsidRPr="00A21682" w:rsidRDefault="005B461F" w:rsidP="00D12CEE">
            <w:pPr>
              <w:pStyle w:val="TABLETEXT1"/>
              <w:rPr>
                <w:b/>
                <w:bCs/>
                <w:lang w:val="en-US"/>
              </w:rPr>
            </w:pPr>
            <w:r>
              <w:rPr>
                <w:b/>
                <w:bCs/>
                <w:lang w:val="en-US"/>
              </w:rPr>
              <w:t>3 – High</w:t>
            </w:r>
          </w:p>
        </w:tc>
        <w:tc>
          <w:tcPr>
            <w:tcW w:w="1857" w:type="dxa"/>
            <w:shd w:val="clear" w:color="auto" w:fill="00B050"/>
            <w:vAlign w:val="center"/>
          </w:tcPr>
          <w:p w14:paraId="2372B61E" w14:textId="77777777" w:rsidR="005B461F" w:rsidRPr="00A21682" w:rsidRDefault="005B461F" w:rsidP="00D12CEE">
            <w:pPr>
              <w:pStyle w:val="TABLETEXT1"/>
              <w:rPr>
                <w:color w:val="FFFFFF" w:themeColor="background1"/>
                <w:lang w:val="en-US"/>
              </w:rPr>
            </w:pPr>
            <w:r>
              <w:rPr>
                <w:color w:val="FFFFFF" w:themeColor="background1"/>
                <w:lang w:val="en-US"/>
              </w:rPr>
              <w:t>Low (3)</w:t>
            </w:r>
          </w:p>
        </w:tc>
        <w:tc>
          <w:tcPr>
            <w:tcW w:w="2322" w:type="dxa"/>
            <w:shd w:val="clear" w:color="auto" w:fill="FFFF00"/>
            <w:vAlign w:val="center"/>
          </w:tcPr>
          <w:p w14:paraId="02C1643C" w14:textId="77777777" w:rsidR="005B461F" w:rsidRPr="00A21682" w:rsidRDefault="005B461F" w:rsidP="00D12CEE">
            <w:pPr>
              <w:pStyle w:val="TABLETEXT1"/>
              <w:rPr>
                <w:color w:val="FFFFFF" w:themeColor="background1"/>
                <w:lang w:val="en-US"/>
              </w:rPr>
            </w:pPr>
            <w:r>
              <w:rPr>
                <w:lang w:val="en-US"/>
              </w:rPr>
              <w:t>Medium (6)</w:t>
            </w:r>
          </w:p>
        </w:tc>
        <w:tc>
          <w:tcPr>
            <w:tcW w:w="2323" w:type="dxa"/>
            <w:shd w:val="clear" w:color="auto" w:fill="FF0000"/>
            <w:vAlign w:val="center"/>
          </w:tcPr>
          <w:p w14:paraId="502F0246" w14:textId="77777777" w:rsidR="005B461F" w:rsidRPr="00A21682" w:rsidRDefault="005B461F" w:rsidP="00D12CEE">
            <w:pPr>
              <w:pStyle w:val="TABLETEXT1"/>
              <w:rPr>
                <w:color w:val="FFFFFF" w:themeColor="background1"/>
                <w:lang w:val="en-US"/>
              </w:rPr>
            </w:pPr>
            <w:r>
              <w:rPr>
                <w:color w:val="FFFFFF" w:themeColor="background1"/>
                <w:lang w:val="en-US"/>
              </w:rPr>
              <w:t>High (9)</w:t>
            </w:r>
          </w:p>
        </w:tc>
      </w:tr>
      <w:tr w:rsidR="00B60884" w:rsidRPr="00A21682" w14:paraId="619B6D80" w14:textId="77777777" w:rsidTr="00D12CEE">
        <w:trPr>
          <w:gridAfter w:val="1"/>
          <w:wAfter w:w="8" w:type="dxa"/>
          <w:trHeight w:val="20"/>
        </w:trPr>
        <w:tc>
          <w:tcPr>
            <w:tcW w:w="503" w:type="dxa"/>
            <w:vMerge/>
            <w:vAlign w:val="center"/>
          </w:tcPr>
          <w:p w14:paraId="13DDEA37" w14:textId="77777777" w:rsidR="005B461F" w:rsidRPr="00A21682" w:rsidRDefault="005B461F" w:rsidP="005B461F">
            <w:pPr>
              <w:widowControl w:val="0"/>
              <w:spacing w:line="280" w:lineRule="atLeast"/>
              <w:contextualSpacing/>
              <w:rPr>
                <w:rFonts w:ascii="Verdana" w:hAnsi="Verdana" w:cs="Arial"/>
                <w:sz w:val="18"/>
                <w:szCs w:val="24"/>
              </w:rPr>
            </w:pPr>
          </w:p>
        </w:tc>
        <w:tc>
          <w:tcPr>
            <w:tcW w:w="2322" w:type="dxa"/>
            <w:shd w:val="clear" w:color="auto" w:fill="FFFFFF" w:themeFill="background1"/>
            <w:vAlign w:val="center"/>
          </w:tcPr>
          <w:p w14:paraId="436EF627" w14:textId="77777777" w:rsidR="005B461F" w:rsidRPr="00A21682" w:rsidRDefault="005B461F" w:rsidP="00D12CEE">
            <w:pPr>
              <w:pStyle w:val="TABLETEXT1"/>
              <w:rPr>
                <w:b/>
                <w:bCs/>
                <w:lang w:val="en-US"/>
              </w:rPr>
            </w:pPr>
            <w:r>
              <w:rPr>
                <w:b/>
                <w:bCs/>
                <w:lang w:val="en-US"/>
              </w:rPr>
              <w:t>2 – Medium</w:t>
            </w:r>
          </w:p>
        </w:tc>
        <w:tc>
          <w:tcPr>
            <w:tcW w:w="1857" w:type="dxa"/>
            <w:shd w:val="clear" w:color="auto" w:fill="00B050"/>
            <w:vAlign w:val="center"/>
          </w:tcPr>
          <w:p w14:paraId="12E61C86" w14:textId="77777777" w:rsidR="005B461F" w:rsidRPr="00A21682" w:rsidRDefault="005B461F" w:rsidP="00D12CEE">
            <w:pPr>
              <w:pStyle w:val="TABLETEXT1"/>
              <w:rPr>
                <w:color w:val="FFFFFF" w:themeColor="background1"/>
                <w:lang w:val="en-US"/>
              </w:rPr>
            </w:pPr>
            <w:r>
              <w:rPr>
                <w:color w:val="FFFFFF" w:themeColor="background1"/>
                <w:lang w:val="en-US"/>
              </w:rPr>
              <w:t>Low (2)</w:t>
            </w:r>
          </w:p>
        </w:tc>
        <w:tc>
          <w:tcPr>
            <w:tcW w:w="2322" w:type="dxa"/>
            <w:shd w:val="clear" w:color="auto" w:fill="FFFF00"/>
            <w:vAlign w:val="center"/>
          </w:tcPr>
          <w:p w14:paraId="20E0F8CE" w14:textId="77777777" w:rsidR="005B461F" w:rsidRPr="00A21682" w:rsidRDefault="005B461F" w:rsidP="00D12CEE">
            <w:pPr>
              <w:pStyle w:val="TABLETEXT1"/>
              <w:rPr>
                <w:lang w:val="en-US"/>
              </w:rPr>
            </w:pPr>
            <w:r>
              <w:rPr>
                <w:lang w:val="en-US"/>
              </w:rPr>
              <w:t>Medium (4)</w:t>
            </w:r>
          </w:p>
        </w:tc>
        <w:tc>
          <w:tcPr>
            <w:tcW w:w="2323" w:type="dxa"/>
            <w:shd w:val="clear" w:color="auto" w:fill="FFFF00"/>
            <w:vAlign w:val="center"/>
          </w:tcPr>
          <w:p w14:paraId="71B5AC2F" w14:textId="77777777" w:rsidR="005B461F" w:rsidRPr="00A21682" w:rsidRDefault="005B461F" w:rsidP="00D12CEE">
            <w:pPr>
              <w:pStyle w:val="TABLETEXT1"/>
              <w:rPr>
                <w:lang w:val="en-US"/>
              </w:rPr>
            </w:pPr>
            <w:r>
              <w:rPr>
                <w:lang w:val="en-US"/>
              </w:rPr>
              <w:t>Medium (6)</w:t>
            </w:r>
          </w:p>
        </w:tc>
      </w:tr>
      <w:tr w:rsidR="00B60884" w:rsidRPr="00A21682" w14:paraId="409A65D8" w14:textId="77777777" w:rsidTr="00D12CEE">
        <w:trPr>
          <w:gridAfter w:val="1"/>
          <w:wAfter w:w="8" w:type="dxa"/>
          <w:trHeight w:val="20"/>
        </w:trPr>
        <w:tc>
          <w:tcPr>
            <w:tcW w:w="503" w:type="dxa"/>
            <w:vMerge/>
            <w:vAlign w:val="center"/>
          </w:tcPr>
          <w:p w14:paraId="22C4AD08" w14:textId="77777777" w:rsidR="005B461F" w:rsidRPr="00A21682" w:rsidRDefault="005B461F" w:rsidP="005B461F">
            <w:pPr>
              <w:widowControl w:val="0"/>
              <w:spacing w:line="280" w:lineRule="atLeast"/>
              <w:contextualSpacing/>
              <w:rPr>
                <w:rFonts w:ascii="Verdana" w:hAnsi="Verdana" w:cs="Arial"/>
                <w:sz w:val="18"/>
                <w:szCs w:val="24"/>
              </w:rPr>
            </w:pPr>
          </w:p>
        </w:tc>
        <w:tc>
          <w:tcPr>
            <w:tcW w:w="2322" w:type="dxa"/>
            <w:shd w:val="clear" w:color="auto" w:fill="FFFFFF" w:themeFill="background1"/>
            <w:vAlign w:val="center"/>
          </w:tcPr>
          <w:p w14:paraId="6E2EC41A" w14:textId="77777777" w:rsidR="005B461F" w:rsidRPr="00A21682" w:rsidRDefault="005B461F" w:rsidP="00D12CEE">
            <w:pPr>
              <w:pStyle w:val="TABLETEXT1"/>
              <w:rPr>
                <w:b/>
                <w:bCs/>
                <w:lang w:val="en-US"/>
              </w:rPr>
            </w:pPr>
            <w:r>
              <w:rPr>
                <w:b/>
                <w:bCs/>
                <w:lang w:val="en-US"/>
              </w:rPr>
              <w:t>1 – Low</w:t>
            </w:r>
          </w:p>
        </w:tc>
        <w:tc>
          <w:tcPr>
            <w:tcW w:w="1857" w:type="dxa"/>
            <w:shd w:val="clear" w:color="auto" w:fill="00B050"/>
            <w:vAlign w:val="center"/>
          </w:tcPr>
          <w:p w14:paraId="1325FC21" w14:textId="77777777" w:rsidR="005B461F" w:rsidRPr="00A21682" w:rsidRDefault="005B461F" w:rsidP="00D12CEE">
            <w:pPr>
              <w:pStyle w:val="TABLETEXT1"/>
              <w:rPr>
                <w:color w:val="FFFFFF" w:themeColor="background1"/>
                <w:lang w:val="en-US"/>
              </w:rPr>
            </w:pPr>
            <w:r>
              <w:rPr>
                <w:color w:val="FFFFFF" w:themeColor="background1"/>
                <w:lang w:val="en-US"/>
              </w:rPr>
              <w:t>Low (1)</w:t>
            </w:r>
          </w:p>
        </w:tc>
        <w:tc>
          <w:tcPr>
            <w:tcW w:w="2322" w:type="dxa"/>
            <w:shd w:val="clear" w:color="auto" w:fill="00B050"/>
            <w:vAlign w:val="center"/>
          </w:tcPr>
          <w:p w14:paraId="33463A02" w14:textId="77777777" w:rsidR="005B461F" w:rsidRPr="00A21682" w:rsidRDefault="005B461F" w:rsidP="00D12CEE">
            <w:pPr>
              <w:pStyle w:val="TABLETEXT1"/>
              <w:rPr>
                <w:color w:val="FFFFFF" w:themeColor="background1"/>
                <w:lang w:val="en-US"/>
              </w:rPr>
            </w:pPr>
            <w:r>
              <w:rPr>
                <w:color w:val="FFFFFF" w:themeColor="background1"/>
                <w:lang w:val="en-US"/>
              </w:rPr>
              <w:t>Low (2)</w:t>
            </w:r>
          </w:p>
        </w:tc>
        <w:tc>
          <w:tcPr>
            <w:tcW w:w="2323" w:type="dxa"/>
            <w:shd w:val="clear" w:color="auto" w:fill="00B050"/>
            <w:vAlign w:val="center"/>
          </w:tcPr>
          <w:p w14:paraId="282C2529" w14:textId="77777777" w:rsidR="005B461F" w:rsidRPr="00A21682" w:rsidRDefault="005B461F" w:rsidP="00D12CEE">
            <w:pPr>
              <w:pStyle w:val="TABLETEXT1"/>
              <w:rPr>
                <w:color w:val="FFFFFF" w:themeColor="background1"/>
                <w:lang w:val="en-US"/>
              </w:rPr>
            </w:pPr>
            <w:r>
              <w:rPr>
                <w:color w:val="FFFFFF" w:themeColor="background1"/>
                <w:lang w:val="en-US"/>
              </w:rPr>
              <w:t>Low (3)</w:t>
            </w:r>
          </w:p>
        </w:tc>
      </w:tr>
    </w:tbl>
    <w:p w14:paraId="7E41E209" w14:textId="77777777" w:rsidR="005B461F" w:rsidRPr="00A21682" w:rsidRDefault="005B461F" w:rsidP="005B461F">
      <w:pPr>
        <w:spacing w:before="120"/>
        <w:rPr>
          <w:rFonts w:ascii="Arial" w:hAnsi="Arial" w:cs="Arial"/>
          <w:sz w:val="18"/>
          <w:szCs w:val="18"/>
          <w:highlight w:val="yellow"/>
        </w:rPr>
      </w:pPr>
    </w:p>
    <w:tbl>
      <w:tblPr>
        <w:tblStyle w:val="TableGrid-None5"/>
        <w:tblW w:w="3586" w:type="dxa"/>
        <w:tblLook w:val="04A0" w:firstRow="1" w:lastRow="0" w:firstColumn="1" w:lastColumn="0" w:noHBand="0" w:noVBand="1"/>
      </w:tblPr>
      <w:tblGrid>
        <w:gridCol w:w="1165"/>
        <w:gridCol w:w="2421"/>
      </w:tblGrid>
      <w:tr w:rsidR="005B461F" w:rsidRPr="00A21682" w14:paraId="0BF1FE59" w14:textId="77777777" w:rsidTr="00D12CEE">
        <w:trPr>
          <w:cnfStyle w:val="100000000000" w:firstRow="1" w:lastRow="0" w:firstColumn="0" w:lastColumn="0" w:oddVBand="0" w:evenVBand="0" w:oddHBand="0" w:evenHBand="0" w:firstRowFirstColumn="0" w:firstRowLastColumn="0" w:lastRowFirstColumn="0" w:lastRowLastColumn="0"/>
          <w:trHeight w:val="20"/>
        </w:trPr>
        <w:tc>
          <w:tcPr>
            <w:tcW w:w="1165" w:type="dxa"/>
            <w:vAlign w:val="center"/>
          </w:tcPr>
          <w:p w14:paraId="408979EA" w14:textId="77777777" w:rsidR="005B461F" w:rsidRPr="00A21682" w:rsidRDefault="005B461F" w:rsidP="00D12CEE">
            <w:pPr>
              <w:pStyle w:val="TABLEHEADINGNEW"/>
              <w:rPr>
                <w:b/>
                <w:bCs w:val="0"/>
              </w:rPr>
            </w:pPr>
            <w:r>
              <w:rPr>
                <w:b/>
                <w:bCs w:val="0"/>
              </w:rPr>
              <w:t>Score</w:t>
            </w:r>
          </w:p>
        </w:tc>
        <w:tc>
          <w:tcPr>
            <w:tcW w:w="2421" w:type="dxa"/>
            <w:vAlign w:val="center"/>
          </w:tcPr>
          <w:p w14:paraId="7516EF94" w14:textId="77777777" w:rsidR="005B461F" w:rsidRPr="00A21682" w:rsidRDefault="005B461F" w:rsidP="00D12CEE">
            <w:pPr>
              <w:pStyle w:val="TABLEHEADINGNEW"/>
              <w:rPr>
                <w:b/>
                <w:bCs w:val="0"/>
              </w:rPr>
            </w:pPr>
            <w:r>
              <w:rPr>
                <w:b/>
                <w:bCs w:val="0"/>
              </w:rPr>
              <w:t>Severity</w:t>
            </w:r>
          </w:p>
        </w:tc>
      </w:tr>
      <w:tr w:rsidR="005B461F" w:rsidRPr="00A21682" w14:paraId="1BA20959" w14:textId="77777777" w:rsidTr="00D12CEE">
        <w:trPr>
          <w:trHeight w:val="20"/>
        </w:trPr>
        <w:tc>
          <w:tcPr>
            <w:tcW w:w="1165" w:type="dxa"/>
            <w:vAlign w:val="center"/>
          </w:tcPr>
          <w:p w14:paraId="5DB7604A" w14:textId="77777777" w:rsidR="005B461F" w:rsidRPr="00A21682" w:rsidRDefault="005B461F" w:rsidP="00D12CEE">
            <w:pPr>
              <w:pStyle w:val="TABLETEXT1"/>
              <w:rPr>
                <w:lang w:val="en-US"/>
              </w:rPr>
            </w:pPr>
            <w:r>
              <w:rPr>
                <w:lang w:val="en-US"/>
              </w:rPr>
              <w:t>1 – 3</w:t>
            </w:r>
          </w:p>
        </w:tc>
        <w:tc>
          <w:tcPr>
            <w:tcW w:w="2421" w:type="dxa"/>
            <w:shd w:val="clear" w:color="auto" w:fill="00B050"/>
            <w:vAlign w:val="center"/>
          </w:tcPr>
          <w:p w14:paraId="5EF5ED6B" w14:textId="77777777" w:rsidR="005B461F" w:rsidRPr="00A21682" w:rsidRDefault="005B461F" w:rsidP="00D12CEE">
            <w:pPr>
              <w:pStyle w:val="TABLETEXT1"/>
              <w:rPr>
                <w:lang w:val="en-US"/>
              </w:rPr>
            </w:pPr>
            <w:r>
              <w:rPr>
                <w:color w:val="FFFFFF" w:themeColor="background1"/>
                <w:lang w:val="en-US"/>
              </w:rPr>
              <w:t>Low</w:t>
            </w:r>
          </w:p>
        </w:tc>
      </w:tr>
      <w:tr w:rsidR="005B461F" w:rsidRPr="00A21682" w14:paraId="44405B0F" w14:textId="77777777" w:rsidTr="00D12CEE">
        <w:trPr>
          <w:trHeight w:val="20"/>
        </w:trPr>
        <w:tc>
          <w:tcPr>
            <w:tcW w:w="1165" w:type="dxa"/>
            <w:vAlign w:val="center"/>
          </w:tcPr>
          <w:p w14:paraId="324D6F41" w14:textId="77777777" w:rsidR="005B461F" w:rsidRPr="00A21682" w:rsidRDefault="005B461F" w:rsidP="00D12CEE">
            <w:pPr>
              <w:pStyle w:val="TABLETEXT1"/>
              <w:rPr>
                <w:lang w:val="en-US"/>
              </w:rPr>
            </w:pPr>
            <w:r>
              <w:rPr>
                <w:lang w:val="en-US"/>
              </w:rPr>
              <w:t>4 – 6</w:t>
            </w:r>
          </w:p>
        </w:tc>
        <w:tc>
          <w:tcPr>
            <w:tcW w:w="2421" w:type="dxa"/>
            <w:shd w:val="clear" w:color="auto" w:fill="FFFF00"/>
            <w:vAlign w:val="center"/>
          </w:tcPr>
          <w:p w14:paraId="5FB1D4DF" w14:textId="77777777" w:rsidR="005B461F" w:rsidRPr="00A21682" w:rsidRDefault="005B461F" w:rsidP="00D12CEE">
            <w:pPr>
              <w:pStyle w:val="TABLETEXT1"/>
              <w:rPr>
                <w:lang w:val="en-US"/>
              </w:rPr>
            </w:pPr>
            <w:r>
              <w:rPr>
                <w:lang w:val="en-US"/>
              </w:rPr>
              <w:t>Medium</w:t>
            </w:r>
          </w:p>
        </w:tc>
      </w:tr>
      <w:tr w:rsidR="005B461F" w:rsidRPr="00A21682" w14:paraId="49771921" w14:textId="77777777" w:rsidTr="00D12CEE">
        <w:trPr>
          <w:trHeight w:val="20"/>
        </w:trPr>
        <w:tc>
          <w:tcPr>
            <w:tcW w:w="1165" w:type="dxa"/>
            <w:vAlign w:val="center"/>
          </w:tcPr>
          <w:p w14:paraId="73F22570" w14:textId="77777777" w:rsidR="005B461F" w:rsidRPr="00A21682" w:rsidRDefault="005B461F" w:rsidP="00D12CEE">
            <w:pPr>
              <w:pStyle w:val="TABLETEXT1"/>
              <w:rPr>
                <w:lang w:val="en-US"/>
              </w:rPr>
            </w:pPr>
            <w:r>
              <w:rPr>
                <w:lang w:val="en-US"/>
              </w:rPr>
              <w:t>7 – 9</w:t>
            </w:r>
          </w:p>
        </w:tc>
        <w:tc>
          <w:tcPr>
            <w:tcW w:w="2421" w:type="dxa"/>
            <w:shd w:val="clear" w:color="auto" w:fill="FF0000"/>
            <w:vAlign w:val="center"/>
          </w:tcPr>
          <w:p w14:paraId="2B933578" w14:textId="77777777" w:rsidR="005B461F" w:rsidRPr="00A21682" w:rsidRDefault="005B461F" w:rsidP="00D12CEE">
            <w:pPr>
              <w:pStyle w:val="TABLETEXT1"/>
              <w:rPr>
                <w:lang w:val="en-US"/>
              </w:rPr>
            </w:pPr>
            <w:r>
              <w:rPr>
                <w:color w:val="FFFFFF" w:themeColor="background1"/>
                <w:lang w:val="en-US"/>
              </w:rPr>
              <w:t>High</w:t>
            </w:r>
          </w:p>
        </w:tc>
      </w:tr>
    </w:tbl>
    <w:p w14:paraId="790BED56" w14:textId="73AF7DBB" w:rsidR="005B461F" w:rsidRPr="00A21682" w:rsidRDefault="005B461F" w:rsidP="00D818D3">
      <w:pPr>
        <w:pStyle w:val="Caption"/>
        <w:rPr>
          <w:noProof w:val="0"/>
        </w:rPr>
      </w:pPr>
      <w:bookmarkStart w:id="3927" w:name="_Toc149672607"/>
      <w:bookmarkStart w:id="3928" w:name="_Toc19287520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6</w:t>
      </w:r>
      <w:r>
        <w:rPr>
          <w:noProof w:val="0"/>
        </w:rPr>
        <w:fldChar w:fldCharType="end"/>
      </w:r>
      <w:r>
        <w:rPr>
          <w:noProof w:val="0"/>
        </w:rPr>
        <w:t>: Impact x Probability Matrix</w:t>
      </w:r>
      <w:bookmarkEnd w:id="3927"/>
      <w:r>
        <w:rPr>
          <w:noProof w:val="0"/>
        </w:rPr>
        <w:t xml:space="preserve"> to Calculate Risk Severity</w:t>
      </w:r>
      <w:bookmarkEnd w:id="3928"/>
    </w:p>
    <w:p w14:paraId="599D0117" w14:textId="77777777" w:rsidR="005B461F" w:rsidRPr="00A21682" w:rsidRDefault="005B461F">
      <w:pPr>
        <w:pStyle w:val="Heading3"/>
      </w:pPr>
      <w:bookmarkStart w:id="3929" w:name="_Toc143509849"/>
      <w:bookmarkStart w:id="3930" w:name="_Toc153277034"/>
      <w:bookmarkStart w:id="3931" w:name="_Toc177119542"/>
      <w:bookmarkStart w:id="3932" w:name="_Toc185952844"/>
      <w:bookmarkStart w:id="3933" w:name="_Toc192874944"/>
      <w:r>
        <w:lastRenderedPageBreak/>
        <w:t>Risk Monitoring and Reporting</w:t>
      </w:r>
      <w:bookmarkEnd w:id="3929"/>
      <w:bookmarkEnd w:id="3930"/>
      <w:bookmarkEnd w:id="3931"/>
      <w:bookmarkEnd w:id="3932"/>
      <w:bookmarkEnd w:id="3933"/>
      <w:r>
        <w:t xml:space="preserve"> </w:t>
      </w:r>
    </w:p>
    <w:p w14:paraId="773FAB24" w14:textId="2314D9B0" w:rsidR="005B461F" w:rsidRPr="00A21682" w:rsidRDefault="005B461F" w:rsidP="00D12CEE">
      <w:pPr>
        <w:pStyle w:val="NormalNEW"/>
        <w:rPr>
          <w:lang w:val="en-US"/>
        </w:rPr>
      </w:pPr>
      <w:r>
        <w:rPr>
          <w:lang w:val="en-US"/>
        </w:rPr>
        <w:t xml:space="preserve">Open risks tagged at the leadership escalation level will be tracked and published in the PSR. </w:t>
      </w:r>
    </w:p>
    <w:p w14:paraId="60957179" w14:textId="77777777" w:rsidR="005B461F" w:rsidRPr="00A21682" w:rsidRDefault="005B461F" w:rsidP="00D12CEE">
      <w:pPr>
        <w:pStyle w:val="NormalNEW"/>
        <w:rPr>
          <w:lang w:val="en-US"/>
        </w:rPr>
      </w:pPr>
      <w:r>
        <w:rPr>
          <w:lang w:val="en-US"/>
        </w:rPr>
        <w:t>the ALM tool’s dashboard feature will be used to support the PMO in facilitating the recurring Project Status meeting. The dashboards in the ALM tool will allow the Project team to review risks in real time. The objectives of the risk review of the Project Status meeting are to:</w:t>
      </w:r>
    </w:p>
    <w:p w14:paraId="602F104A" w14:textId="5894F32C" w:rsidR="005B461F" w:rsidRPr="00A21682" w:rsidRDefault="005B461F" w:rsidP="0031550A">
      <w:pPr>
        <w:pStyle w:val="BulletNEW"/>
      </w:pPr>
      <w:r>
        <w:t>Validate new risks</w:t>
      </w:r>
    </w:p>
    <w:p w14:paraId="0890BEDA" w14:textId="1685BD50" w:rsidR="005B461F" w:rsidRPr="00A21682" w:rsidRDefault="005B461F" w:rsidP="0031550A">
      <w:pPr>
        <w:pStyle w:val="BulletNEW"/>
      </w:pPr>
      <w:r>
        <w:t>Determine/update the risk owner, priority, probability and impact, or risk response as necessary</w:t>
      </w:r>
    </w:p>
    <w:p w14:paraId="33F66E1D" w14:textId="2C9F8D82" w:rsidR="005B461F" w:rsidRPr="00A21682" w:rsidRDefault="005B461F" w:rsidP="0031550A">
      <w:pPr>
        <w:pStyle w:val="BulletNEW"/>
      </w:pPr>
      <w:r>
        <w:t>Approve submitted risk response plans</w:t>
      </w:r>
    </w:p>
    <w:p w14:paraId="0FEB1BDD" w14:textId="538E8DD3" w:rsidR="005B461F" w:rsidRPr="00A21682" w:rsidRDefault="005B461F" w:rsidP="0031550A">
      <w:pPr>
        <w:pStyle w:val="BulletNEW"/>
      </w:pPr>
      <w:r>
        <w:t xml:space="preserve">Determine if, or when, a risk needs to be escalated; risks will be discussed as part of the PSR meetings and participants both from ███████ and DOH OHIP will discuss the need to escalate open risks during this time </w:t>
      </w:r>
    </w:p>
    <w:p w14:paraId="4998B225" w14:textId="77777777" w:rsidR="005B461F" w:rsidRPr="00A21682" w:rsidRDefault="005B461F" w:rsidP="00D12CEE">
      <w:pPr>
        <w:pStyle w:val="NormalNEW"/>
        <w:rPr>
          <w:lang w:val="en-US"/>
        </w:rPr>
      </w:pPr>
      <w:r>
        <w:rPr>
          <w:lang w:val="en-US"/>
        </w:rPr>
        <w:t>The following risk dashboard panels will be provided in the risk dashboard in the ALM tool to monitor and control project risks:</w:t>
      </w:r>
    </w:p>
    <w:p w14:paraId="01F70C83" w14:textId="6A2AB3AB" w:rsidR="005B461F" w:rsidRPr="00A21682" w:rsidRDefault="005B461F" w:rsidP="0031550A">
      <w:pPr>
        <w:pStyle w:val="BulletNEW"/>
      </w:pPr>
      <w:r>
        <w:t>Cumulative Risks by Status</w:t>
      </w:r>
    </w:p>
    <w:p w14:paraId="7DA7B39C" w14:textId="0D715A80" w:rsidR="005B461F" w:rsidRPr="00A21682" w:rsidRDefault="005B461F" w:rsidP="0031550A">
      <w:pPr>
        <w:pStyle w:val="BulletNEW"/>
      </w:pPr>
      <w:r>
        <w:t>Risks by Severity and Status</w:t>
      </w:r>
    </w:p>
    <w:p w14:paraId="25A26674" w14:textId="3DA4A224" w:rsidR="005B461F" w:rsidRPr="00A21682" w:rsidRDefault="005B461F" w:rsidP="0031550A">
      <w:pPr>
        <w:pStyle w:val="BulletNEW"/>
      </w:pPr>
      <w:r>
        <w:t>Open Risks by Severity</w:t>
      </w:r>
    </w:p>
    <w:p w14:paraId="62414795" w14:textId="1A43CEFD" w:rsidR="005B461F" w:rsidRPr="00A21682" w:rsidRDefault="005B461F" w:rsidP="0031550A">
      <w:pPr>
        <w:pStyle w:val="BulletNEW"/>
      </w:pPr>
      <w:r>
        <w:t>Open Risk Aging by Severity</w:t>
      </w:r>
    </w:p>
    <w:p w14:paraId="7D63F7FE" w14:textId="77777777" w:rsidR="005B461F" w:rsidRPr="00A21682" w:rsidRDefault="005B461F" w:rsidP="00D12CEE">
      <w:pPr>
        <w:pStyle w:val="NormalNEW"/>
        <w:rPr>
          <w:lang w:val="en-US"/>
        </w:rPr>
      </w:pPr>
      <w:r>
        <w:rPr>
          <w:lang w:val="en-US"/>
        </w:rPr>
        <w:t xml:space="preserve">Below is an example dashboard which displays the number of risks categorized by status. Note that the dashboard was created using test data. ███████ will collaborate with DOH OHIP to generate and modify dashboards to meet DOH OHIP expectations. Upon agreement on dashboard format and data, ███████ will include the dashboards in the PSR. </w:t>
      </w:r>
    </w:p>
    <w:p w14:paraId="7F2DB571" w14:textId="77777777" w:rsidR="005B461F" w:rsidRPr="00A21682" w:rsidRDefault="005B461F" w:rsidP="00D12CEE">
      <w:pPr>
        <w:pStyle w:val="NormalNEW"/>
        <w:jc w:val="center"/>
        <w:rPr>
          <w:lang w:val="en-US"/>
        </w:rPr>
      </w:pPr>
      <w:r>
        <w:rPr>
          <w:noProof/>
          <w:lang w:val="en-US"/>
        </w:rPr>
        <w:drawing>
          <wp:inline distT="0" distB="0" distL="0" distR="0" wp14:anchorId="15DB8601" wp14:editId="5B3D879C">
            <wp:extent cx="2928132" cy="3202200"/>
            <wp:effectExtent l="19050" t="19050" r="24765" b="17780"/>
            <wp:docPr id="60" name="Picture 60" descr="Ch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928132" cy="3202200"/>
                    </a:xfrm>
                    <a:prstGeom prst="rect">
                      <a:avLst/>
                    </a:prstGeom>
                    <a:ln>
                      <a:solidFill>
                        <a:sysClr val="window" lastClr="FFFFFF">
                          <a:lumMod val="50000"/>
                        </a:sysClr>
                      </a:solidFill>
                    </a:ln>
                  </pic:spPr>
                </pic:pic>
              </a:graphicData>
            </a:graphic>
          </wp:inline>
        </w:drawing>
      </w:r>
    </w:p>
    <w:p w14:paraId="1796BF17" w14:textId="406794E7" w:rsidR="005B461F" w:rsidRPr="00A21682" w:rsidRDefault="005B461F" w:rsidP="000F38B8">
      <w:pPr>
        <w:pStyle w:val="Caption"/>
        <w:rPr>
          <w:noProof w:val="0"/>
        </w:rPr>
      </w:pPr>
      <w:bookmarkStart w:id="3934" w:name="_Toc149672598"/>
      <w:bookmarkStart w:id="3935" w:name="_Toc178152068"/>
      <w:bookmarkStart w:id="3936" w:name="_Toc192875076"/>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2</w:t>
      </w:r>
      <w:r>
        <w:rPr>
          <w:noProof w:val="0"/>
        </w:rPr>
        <w:fldChar w:fldCharType="end"/>
      </w:r>
      <w:r>
        <w:rPr>
          <w:noProof w:val="0"/>
        </w:rPr>
        <w:t>: Sample Risk Dashboard</w:t>
      </w:r>
      <w:bookmarkEnd w:id="3934"/>
      <w:bookmarkEnd w:id="3935"/>
      <w:bookmarkEnd w:id="3936"/>
    </w:p>
    <w:p w14:paraId="0D2DA5C2" w14:textId="77777777" w:rsidR="005B461F" w:rsidRPr="00A21682" w:rsidRDefault="005B461F">
      <w:pPr>
        <w:pStyle w:val="Heading3"/>
        <w:rPr>
          <w:szCs w:val="28"/>
        </w:rPr>
      </w:pPr>
      <w:bookmarkStart w:id="3937" w:name="_Toc149134818"/>
      <w:bookmarkStart w:id="3938" w:name="_Toc149136444"/>
      <w:bookmarkStart w:id="3939" w:name="_Toc177119543"/>
      <w:bookmarkStart w:id="3940" w:name="_Toc185952845"/>
      <w:bookmarkStart w:id="3941" w:name="_Toc192874945"/>
      <w:bookmarkEnd w:id="3937"/>
      <w:bookmarkEnd w:id="3938"/>
      <w:r>
        <w:lastRenderedPageBreak/>
        <w:t>Lessons Learned</w:t>
      </w:r>
      <w:bookmarkEnd w:id="3939"/>
      <w:bookmarkEnd w:id="3940"/>
      <w:bookmarkEnd w:id="3941"/>
    </w:p>
    <w:p w14:paraId="2B3CB322" w14:textId="4563BEB9" w:rsidR="005B461F" w:rsidRPr="00A21682" w:rsidRDefault="005B461F" w:rsidP="00D12CEE">
      <w:pPr>
        <w:pStyle w:val="NormalNEW"/>
        <w:rPr>
          <w:rFonts w:ascii="Segoe UI" w:hAnsi="Segoe UI" w:cs="Arial Narrow"/>
          <w:lang w:val="en-US"/>
        </w:rPr>
      </w:pPr>
      <w:r>
        <w:rPr>
          <w:lang w:val="en-US"/>
        </w:rPr>
        <w:t xml:space="preserve">███████ promotes continuous improvement through regular reviews and lessons learned sessions. These sessions will be conducted at the conclusion of each project phase, serving as a core element of our iterative and collaborative process. A log of all project risks, mitigation plans applied, and lessons learned are documented and integrated into our project management tool, the ALM tool. The documented lessons learned will be shared with DOH OHIP on a quarterly basis. </w:t>
      </w:r>
    </w:p>
    <w:p w14:paraId="7CF857D5" w14:textId="551F20F4" w:rsidR="00D12CEE" w:rsidRPr="00A21682" w:rsidRDefault="005B461F" w:rsidP="00D12CEE">
      <w:pPr>
        <w:pStyle w:val="NormalNEW"/>
        <w:rPr>
          <w:lang w:val="en-US"/>
        </w:rPr>
      </w:pPr>
      <w:r>
        <w:rPr>
          <w:lang w:val="en-US"/>
        </w:rPr>
        <w:t xml:space="preserve">Using this information, ███████ will identify areas for improvement and acknowledge successes – activities to sustain. Lessons learned encompass a broad spectrum of knowledge, ranging from process efficiencies and leading practices to specific challenges and solutions. This comprehensive approach helps promote a holistic view of the project’s journey. </w:t>
      </w:r>
    </w:p>
    <w:p w14:paraId="67973E07" w14:textId="77777777" w:rsidR="005B461F" w:rsidRPr="00A21682" w:rsidRDefault="005B461F">
      <w:pPr>
        <w:pStyle w:val="Heading2"/>
      </w:pPr>
      <w:bookmarkStart w:id="3942" w:name="_Toc153277035"/>
      <w:bookmarkStart w:id="3943" w:name="_Toc177119544"/>
      <w:bookmarkStart w:id="3944" w:name="_Toc185952846"/>
      <w:bookmarkStart w:id="3945" w:name="_Toc192874946"/>
      <w:r>
        <w:t>Issue Resolution Approach</w:t>
      </w:r>
      <w:bookmarkEnd w:id="3942"/>
      <w:bookmarkEnd w:id="3943"/>
      <w:bookmarkEnd w:id="3944"/>
      <w:bookmarkEnd w:id="3945"/>
    </w:p>
    <w:p w14:paraId="30337407" w14:textId="26402442" w:rsidR="005B461F" w:rsidRPr="00A21682" w:rsidRDefault="005B461F" w:rsidP="00D12CEE">
      <w:pPr>
        <w:pStyle w:val="NormalNEW"/>
        <w:rPr>
          <w:lang w:val="en-US"/>
        </w:rPr>
      </w:pPr>
      <w:r>
        <w:rPr>
          <w:lang w:val="en-US"/>
        </w:rPr>
        <w:t>The following section illustrates how issues associated with the project are identified, evaluated, reported, managed, and mitigated. It outlines how issue resolution activities will be performed throughout the life cycle of the project using the ALM tool as an IT enabler.</w:t>
      </w:r>
    </w:p>
    <w:p w14:paraId="40F6F015" w14:textId="77777777" w:rsidR="005B461F" w:rsidRPr="00A21682" w:rsidRDefault="005B461F">
      <w:pPr>
        <w:pStyle w:val="Heading3"/>
      </w:pPr>
      <w:bookmarkStart w:id="3946" w:name="_Toc153277036"/>
      <w:bookmarkStart w:id="3947" w:name="_Toc177119545"/>
      <w:bookmarkStart w:id="3948" w:name="_Toc185952847"/>
      <w:bookmarkStart w:id="3949" w:name="_Toc192874947"/>
      <w:r>
        <w:t>Issue Identification Summary</w:t>
      </w:r>
      <w:bookmarkEnd w:id="3946"/>
      <w:bookmarkEnd w:id="3947"/>
      <w:bookmarkEnd w:id="3948"/>
      <w:bookmarkEnd w:id="3949"/>
    </w:p>
    <w:p w14:paraId="5C6530AA" w14:textId="77777777" w:rsidR="005B461F" w:rsidRPr="00A21682" w:rsidRDefault="005B461F" w:rsidP="00D12CEE">
      <w:pPr>
        <w:pStyle w:val="NormalNEW"/>
        <w:rPr>
          <w:lang w:val="en-US"/>
        </w:rPr>
      </w:pPr>
      <w:r>
        <w:rPr>
          <w:lang w:val="en-US"/>
        </w:rPr>
        <w:t>A risk may be escalated to an issue when certain conditions or events occur. One or more of the following scenarios may trigger the escalation.</w:t>
      </w:r>
    </w:p>
    <w:p w14:paraId="3108DE33" w14:textId="3B38EFEA" w:rsidR="005B461F" w:rsidRPr="00A21682" w:rsidRDefault="005B461F" w:rsidP="0031550A">
      <w:pPr>
        <w:pStyle w:val="BulletNEW"/>
      </w:pPr>
      <w:r>
        <w:t xml:space="preserve">Risk Materialization </w:t>
      </w:r>
      <w:r>
        <w:rPr>
          <w:lang w:val="en-US"/>
        </w:rPr>
        <w:t>–</w:t>
      </w:r>
      <w:r>
        <w:t xml:space="preserve"> A risk may be escalated to an issue if the event or condition that was originally identified as a risk has occurred. When a potential risk becomes a reality, it is no longer a risk but an issue that needs to be addressed</w:t>
      </w:r>
    </w:p>
    <w:p w14:paraId="3C410858" w14:textId="7E37C0F7" w:rsidR="005B461F" w:rsidRPr="00A21682" w:rsidRDefault="005B461F" w:rsidP="0031550A">
      <w:pPr>
        <w:pStyle w:val="BulletNEW"/>
      </w:pPr>
      <w:r>
        <w:t xml:space="preserve">Risk Severity </w:t>
      </w:r>
      <w:r>
        <w:rPr>
          <w:lang w:val="en-US"/>
        </w:rPr>
        <w:t>–</w:t>
      </w:r>
      <w:r>
        <w:t xml:space="preserve"> If the impact or consequences of the risk increase beyond a predefined threshold, it may be escalated to an issue. This can happen when the potential harm or disruption becomes significant</w:t>
      </w:r>
    </w:p>
    <w:p w14:paraId="25E9EC31" w14:textId="782179D7" w:rsidR="005B461F" w:rsidRPr="00A21682" w:rsidRDefault="005B461F" w:rsidP="0031550A">
      <w:pPr>
        <w:pStyle w:val="BulletNEW"/>
      </w:pPr>
      <w:r>
        <w:t xml:space="preserve">Manageability </w:t>
      </w:r>
      <w:r>
        <w:rPr>
          <w:lang w:val="en-US"/>
        </w:rPr>
        <w:t>–</w:t>
      </w:r>
      <w:r>
        <w:t xml:space="preserve"> A risk may be escalated to an issue if it is determined that the risk cannot be effectively managed or mitigated within the current risk management approach</w:t>
      </w:r>
    </w:p>
    <w:p w14:paraId="77D93599" w14:textId="5238E128" w:rsidR="005B461F" w:rsidRPr="00A21682" w:rsidRDefault="005B461F">
      <w:pPr>
        <w:pStyle w:val="Heading3"/>
      </w:pPr>
      <w:bookmarkStart w:id="3950" w:name="_Toc153277037"/>
      <w:bookmarkStart w:id="3951" w:name="_Toc177119546"/>
      <w:bookmarkStart w:id="3952" w:name="_Toc185952848"/>
      <w:bookmarkStart w:id="3953" w:name="_Toc192874948"/>
      <w:r>
        <w:t>Issue Resolution Process Summary</w:t>
      </w:r>
      <w:bookmarkEnd w:id="3950"/>
      <w:bookmarkEnd w:id="3951"/>
      <w:bookmarkEnd w:id="3952"/>
      <w:bookmarkEnd w:id="3953"/>
    </w:p>
    <w:p w14:paraId="62EA2D6F" w14:textId="0623AD86" w:rsidR="005B461F" w:rsidRPr="00A21682" w:rsidRDefault="005B461F" w:rsidP="00D12CEE">
      <w:pPr>
        <w:pStyle w:val="NormalNEW"/>
        <w:rPr>
          <w:lang w:val="en-US"/>
        </w:rPr>
      </w:pPr>
      <w:r>
        <w:rPr>
          <w:lang w:val="en-US"/>
        </w:rPr>
        <w:t xml:space="preserve">███████ and DOH OHIP has established the ALM tool to manage the Issue Resolution Process including identifying and resolving project issues. </w:t>
      </w:r>
    </w:p>
    <w:p w14:paraId="4CDDE918" w14:textId="21C49911" w:rsidR="005B461F" w:rsidRPr="00A21682" w:rsidRDefault="005B461F" w:rsidP="00D12CEE">
      <w:pPr>
        <w:pStyle w:val="NormalNEW"/>
        <w:rPr>
          <w:lang w:val="en-US"/>
        </w:rPr>
      </w:pPr>
      <w:r>
        <w:rPr>
          <w:lang w:val="en-US"/>
        </w:rPr>
        <w:t>The issue resolution process includes:</w:t>
      </w:r>
    </w:p>
    <w:p w14:paraId="78441B87" w14:textId="72FD1858" w:rsidR="005B461F" w:rsidRPr="00A21682" w:rsidRDefault="005B461F" w:rsidP="0031550A">
      <w:pPr>
        <w:pStyle w:val="BulletNEW"/>
      </w:pPr>
      <w:r>
        <w:t xml:space="preserve">Document Issue – ███████ or DOH OHIP team member identifies issue among project activities or from existing risk. The identifier of the issue as well as the issue stakeholders then work with the PMO to update item status in the ALM tool </w:t>
      </w:r>
    </w:p>
    <w:p w14:paraId="67E0F3C4" w14:textId="3F5ADE78" w:rsidR="005B461F" w:rsidRPr="00A21682" w:rsidRDefault="005B461F" w:rsidP="0031550A">
      <w:pPr>
        <w:pStyle w:val="BulletNEW"/>
      </w:pPr>
      <w:r>
        <w:t>Address Issue – The PMO includes issues in PSR and discusses them during Project Status meeting with ███████ and DOH OHIP. During the Project Status meeting, ███████ and DOH OHIP create a plan for addressing issues</w:t>
      </w:r>
    </w:p>
    <w:p w14:paraId="3BF48B6F" w14:textId="2F97CF9E" w:rsidR="005B461F" w:rsidRPr="00A21682" w:rsidRDefault="005B461F" w:rsidP="0031550A">
      <w:pPr>
        <w:pStyle w:val="BulletNEW"/>
      </w:pPr>
      <w:r>
        <w:t>Monitor Issue –The PMO maintains the ALM tool with appropriate issue status and updates the PSR prior to meetings with changes</w:t>
      </w:r>
    </w:p>
    <w:p w14:paraId="2F95E403" w14:textId="34439441" w:rsidR="005B461F" w:rsidRPr="00A21682" w:rsidRDefault="005B461F" w:rsidP="00D12CEE">
      <w:pPr>
        <w:pStyle w:val="NormalNEW"/>
        <w:rPr>
          <w:lang w:val="en-US"/>
        </w:rPr>
      </w:pPr>
      <w:r>
        <w:rPr>
          <w:lang w:val="en-US"/>
        </w:rPr>
        <w:t>The process uses the ALM tool for logging and tracking issues. The process outlined in Sections 9.4.3 and 9.4.4 below explain the Issue Resolution Process Flow and Narrative.</w:t>
      </w:r>
    </w:p>
    <w:p w14:paraId="245913E5" w14:textId="1F9B47AC" w:rsidR="005B461F" w:rsidRPr="00A21682" w:rsidRDefault="005B461F">
      <w:pPr>
        <w:pStyle w:val="Heading3"/>
      </w:pPr>
      <w:bookmarkStart w:id="3954" w:name="_Toc153277038"/>
      <w:bookmarkStart w:id="3955" w:name="_Toc177119547"/>
      <w:bookmarkStart w:id="3956" w:name="_Toc185952849"/>
      <w:bookmarkStart w:id="3957" w:name="_Toc192874949"/>
      <w:r>
        <w:t>Issue Resolution Process Flow Diagram</w:t>
      </w:r>
      <w:bookmarkEnd w:id="3954"/>
      <w:bookmarkEnd w:id="3955"/>
      <w:bookmarkEnd w:id="3956"/>
      <w:bookmarkEnd w:id="3957"/>
    </w:p>
    <w:p w14:paraId="6A687CE1" w14:textId="60B6D7A7" w:rsidR="003644EA" w:rsidRPr="00A21682" w:rsidRDefault="005B461F" w:rsidP="00A41072">
      <w:pPr>
        <w:pStyle w:val="NormalNEW"/>
        <w:rPr>
          <w:lang w:val="en-US"/>
        </w:rPr>
      </w:pPr>
      <w:r>
        <w:rPr>
          <w:lang w:val="en-US"/>
        </w:rPr>
        <w:t xml:space="preserve">The following diagram depicts the issue resolution process for the project. The diagram conveys an overview of responsibilities across the ███████ functional, business, and technical stakeholders, and the PMO, which includes the ███████ and DOS PMO teams. </w:t>
      </w:r>
    </w:p>
    <w:p w14:paraId="13F28E6D" w14:textId="1994ED37" w:rsidR="00A81893" w:rsidRPr="00A21682" w:rsidRDefault="00A40AA5" w:rsidP="00D12CEE">
      <w:pPr>
        <w:pStyle w:val="NormalNEW"/>
        <w:jc w:val="center"/>
        <w:rPr>
          <w:lang w:val="en-US"/>
        </w:rPr>
      </w:pPr>
      <w:r>
        <w:rPr>
          <w:lang w:val="en-US"/>
        </w:rPr>
        <w:lastRenderedPageBreak/>
        <w:pict w14:anchorId="00E856F7">
          <v:shape id="_x0000_i1048" type="#_x0000_t75" style="width:467.4pt;height:241.8pt">
            <v:imagedata r:id="rId97" o:title=""/>
          </v:shape>
        </w:pict>
      </w:r>
    </w:p>
    <w:p w14:paraId="3BF04CF8" w14:textId="46804468" w:rsidR="005B461F" w:rsidRPr="00A21682" w:rsidRDefault="005B461F" w:rsidP="000F38B8">
      <w:pPr>
        <w:pStyle w:val="Caption"/>
        <w:rPr>
          <w:noProof w:val="0"/>
        </w:rPr>
      </w:pPr>
      <w:bookmarkStart w:id="3958" w:name="_Toc149672599"/>
      <w:bookmarkStart w:id="3959" w:name="_Toc178152069"/>
      <w:bookmarkStart w:id="3960" w:name="_Toc192875077"/>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3</w:t>
      </w:r>
      <w:r>
        <w:rPr>
          <w:noProof w:val="0"/>
        </w:rPr>
        <w:fldChar w:fldCharType="end"/>
      </w:r>
      <w:r>
        <w:rPr>
          <w:noProof w:val="0"/>
        </w:rPr>
        <w:t>: Issue Resolution Process Flow</w:t>
      </w:r>
      <w:bookmarkEnd w:id="3958"/>
      <w:bookmarkEnd w:id="3959"/>
      <w:bookmarkEnd w:id="3960"/>
    </w:p>
    <w:p w14:paraId="0CC590F3" w14:textId="5330298A" w:rsidR="005B461F" w:rsidRPr="00A21682" w:rsidRDefault="005B461F">
      <w:pPr>
        <w:pStyle w:val="Heading3"/>
      </w:pPr>
      <w:bookmarkStart w:id="3961" w:name="_Toc153277039"/>
      <w:bookmarkStart w:id="3962" w:name="_Toc177119548"/>
      <w:bookmarkStart w:id="3963" w:name="_Toc185952850"/>
      <w:bookmarkStart w:id="3964" w:name="_Toc192874950"/>
      <w:r>
        <w:t>Issue Resolution Process Flow Narrative</w:t>
      </w:r>
      <w:bookmarkEnd w:id="3961"/>
      <w:bookmarkEnd w:id="3962"/>
      <w:bookmarkEnd w:id="3963"/>
      <w:bookmarkEnd w:id="3964"/>
    </w:p>
    <w:p w14:paraId="12567F5D" w14:textId="6A880BAC" w:rsidR="005B461F" w:rsidRPr="00A21682" w:rsidRDefault="005B461F" w:rsidP="00D12CEE">
      <w:pPr>
        <w:pStyle w:val="NormalNEW"/>
        <w:rPr>
          <w:lang w:val="en-US"/>
        </w:rPr>
      </w:pPr>
      <w:r>
        <w:rPr>
          <w:lang w:val="en-US"/>
        </w:rPr>
        <w:t>The following table describes each process step illustrated above.</w:t>
      </w:r>
    </w:p>
    <w:tbl>
      <w:tblPr>
        <w:tblStyle w:val="TableGrid13"/>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07"/>
        <w:gridCol w:w="2252"/>
        <w:gridCol w:w="4589"/>
        <w:gridCol w:w="1706"/>
      </w:tblGrid>
      <w:tr w:rsidR="00E71008" w:rsidRPr="00A21682" w14:paraId="60099790" w14:textId="77777777" w:rsidTr="00005F7A">
        <w:trPr>
          <w:cnfStyle w:val="100000000000" w:firstRow="1" w:lastRow="0" w:firstColumn="0" w:lastColumn="0" w:oddVBand="0" w:evenVBand="0" w:oddHBand="0" w:evenHBand="0" w:firstRowFirstColumn="0" w:firstRowLastColumn="0" w:lastRowFirstColumn="0" w:lastRowLastColumn="0"/>
          <w:trHeight w:val="20"/>
          <w:tblHeader/>
        </w:trPr>
        <w:tc>
          <w:tcPr>
            <w:tcW w:w="431" w:type="pct"/>
            <w:tcBorders>
              <w:right w:val="single" w:sz="2" w:space="0" w:color="FFFFFF" w:themeColor="background1"/>
            </w:tcBorders>
          </w:tcPr>
          <w:p w14:paraId="1B60D865" w14:textId="77777777" w:rsidR="005B461F" w:rsidRPr="00A21682" w:rsidRDefault="005B461F" w:rsidP="00047C4E">
            <w:pPr>
              <w:pStyle w:val="TABLEHEADINGNEW"/>
              <w:jc w:val="left"/>
              <w:rPr>
                <w:rFonts w:eastAsiaTheme="minorEastAsia"/>
                <w:b/>
                <w:bCs w:val="0"/>
              </w:rPr>
            </w:pPr>
            <w:r>
              <w:rPr>
                <w:rFonts w:eastAsiaTheme="minorEastAsia"/>
                <w:b/>
                <w:bCs w:val="0"/>
              </w:rPr>
              <w:t>Step #</w:t>
            </w:r>
          </w:p>
        </w:tc>
        <w:tc>
          <w:tcPr>
            <w:tcW w:w="1203" w:type="pct"/>
            <w:tcBorders>
              <w:left w:val="single" w:sz="2" w:space="0" w:color="FFFFFF" w:themeColor="background1"/>
              <w:right w:val="single" w:sz="2" w:space="0" w:color="FFFFFF" w:themeColor="background1"/>
            </w:tcBorders>
          </w:tcPr>
          <w:p w14:paraId="6D5A6AB6" w14:textId="77777777" w:rsidR="005B461F" w:rsidRPr="00A21682" w:rsidRDefault="005B461F" w:rsidP="00047C4E">
            <w:pPr>
              <w:pStyle w:val="TABLEHEADINGNEW"/>
              <w:jc w:val="left"/>
              <w:rPr>
                <w:rFonts w:eastAsiaTheme="minorEastAsia"/>
                <w:b/>
                <w:bCs w:val="0"/>
              </w:rPr>
            </w:pPr>
            <w:r>
              <w:rPr>
                <w:rFonts w:eastAsiaTheme="minorEastAsia"/>
                <w:b/>
                <w:bCs w:val="0"/>
              </w:rPr>
              <w:t>Process Step</w:t>
            </w:r>
          </w:p>
        </w:tc>
        <w:tc>
          <w:tcPr>
            <w:tcW w:w="2453" w:type="pct"/>
            <w:tcBorders>
              <w:left w:val="single" w:sz="2" w:space="0" w:color="FFFFFF" w:themeColor="background1"/>
              <w:right w:val="single" w:sz="2" w:space="0" w:color="FFFFFF" w:themeColor="background1"/>
            </w:tcBorders>
          </w:tcPr>
          <w:p w14:paraId="40BCC805" w14:textId="77777777" w:rsidR="005B461F" w:rsidRPr="00A21682" w:rsidRDefault="005B461F" w:rsidP="00047C4E">
            <w:pPr>
              <w:pStyle w:val="TABLEHEADINGNEW"/>
              <w:jc w:val="left"/>
              <w:rPr>
                <w:rFonts w:eastAsiaTheme="minorEastAsia"/>
                <w:b/>
                <w:bCs w:val="0"/>
              </w:rPr>
            </w:pPr>
            <w:r>
              <w:rPr>
                <w:rFonts w:eastAsiaTheme="minorEastAsia"/>
                <w:b/>
                <w:bCs w:val="0"/>
              </w:rPr>
              <w:t>Description</w:t>
            </w:r>
          </w:p>
        </w:tc>
        <w:tc>
          <w:tcPr>
            <w:tcW w:w="912" w:type="pct"/>
            <w:tcBorders>
              <w:left w:val="single" w:sz="2" w:space="0" w:color="FFFFFF" w:themeColor="background1"/>
            </w:tcBorders>
          </w:tcPr>
          <w:p w14:paraId="2552440E" w14:textId="77777777" w:rsidR="005B461F" w:rsidRPr="00A21682" w:rsidRDefault="005B461F" w:rsidP="00047C4E">
            <w:pPr>
              <w:pStyle w:val="TABLEHEADINGNEW"/>
              <w:jc w:val="left"/>
              <w:rPr>
                <w:rFonts w:eastAsiaTheme="minorEastAsia"/>
                <w:b/>
                <w:bCs w:val="0"/>
              </w:rPr>
            </w:pPr>
            <w:r>
              <w:rPr>
                <w:rFonts w:eastAsiaTheme="minorEastAsia"/>
                <w:b/>
                <w:bCs w:val="0"/>
              </w:rPr>
              <w:t>Stakeholder Group(s)</w:t>
            </w:r>
          </w:p>
        </w:tc>
      </w:tr>
      <w:tr w:rsidR="00005F7A" w:rsidRPr="00A21682" w14:paraId="0513F699" w14:textId="77777777" w:rsidTr="00005F7A">
        <w:trPr>
          <w:trHeight w:val="20"/>
        </w:trPr>
        <w:tc>
          <w:tcPr>
            <w:tcW w:w="431" w:type="pct"/>
          </w:tcPr>
          <w:p w14:paraId="6B085E47" w14:textId="77777777" w:rsidR="005B461F" w:rsidRPr="00A21682" w:rsidRDefault="005B461F" w:rsidP="00047C4E">
            <w:pPr>
              <w:pStyle w:val="TABLETEXT1"/>
              <w:rPr>
                <w:rFonts w:eastAsiaTheme="majorEastAsia"/>
                <w:lang w:val="en-US"/>
              </w:rPr>
            </w:pPr>
            <w:r>
              <w:rPr>
                <w:lang w:val="en-US"/>
              </w:rPr>
              <w:t>1</w:t>
            </w:r>
          </w:p>
        </w:tc>
        <w:tc>
          <w:tcPr>
            <w:tcW w:w="1203" w:type="pct"/>
          </w:tcPr>
          <w:p w14:paraId="3B15CA5F" w14:textId="77777777" w:rsidR="005B461F" w:rsidRPr="00A21682" w:rsidRDefault="005B461F" w:rsidP="00047C4E">
            <w:pPr>
              <w:pStyle w:val="TABLETEXT1"/>
              <w:rPr>
                <w:rFonts w:eastAsiaTheme="majorEastAsia" w:cs="Arial"/>
                <w:lang w:val="en-US"/>
              </w:rPr>
            </w:pPr>
            <w:r>
              <w:rPr>
                <w:rFonts w:eastAsiaTheme="majorEastAsia" w:cs="Arial"/>
                <w:lang w:val="en-US"/>
              </w:rPr>
              <w:t>Identify Issue</w:t>
            </w:r>
          </w:p>
        </w:tc>
        <w:tc>
          <w:tcPr>
            <w:tcW w:w="2453" w:type="pct"/>
          </w:tcPr>
          <w:p w14:paraId="4E016CA9" w14:textId="56FCA929" w:rsidR="005B461F" w:rsidRPr="00A21682" w:rsidRDefault="005B461F" w:rsidP="00047C4E">
            <w:pPr>
              <w:pStyle w:val="TABLETEXT1"/>
              <w:rPr>
                <w:rFonts w:eastAsia="Times New Roman" w:cs="Arial"/>
                <w:lang w:val="en-US"/>
              </w:rPr>
            </w:pPr>
            <w:r>
              <w:rPr>
                <w:rFonts w:eastAsia="Times New Roman" w:cs="Arial"/>
                <w:lang w:val="en-US"/>
              </w:rPr>
              <w:t>Stakeholders a raise new issue, or existing risk is realized and escalated to issue.</w:t>
            </w:r>
          </w:p>
        </w:tc>
        <w:tc>
          <w:tcPr>
            <w:tcW w:w="912" w:type="pct"/>
          </w:tcPr>
          <w:p w14:paraId="313386C8" w14:textId="77777777" w:rsidR="005B461F" w:rsidRDefault="00EE7FC2" w:rsidP="00CA1375">
            <w:pPr>
              <w:pStyle w:val="TABLEBULLETNEW"/>
            </w:pPr>
            <w:r>
              <w:t>███████</w:t>
            </w:r>
          </w:p>
          <w:p w14:paraId="27B27A8B" w14:textId="56A880D1" w:rsidR="00EE7FC2" w:rsidRPr="00635C9B" w:rsidRDefault="00EE7FC2" w:rsidP="00CA1375">
            <w:pPr>
              <w:pStyle w:val="TABLEBULLETNEW"/>
            </w:pPr>
            <w:r>
              <w:t>DOH OHIP</w:t>
            </w:r>
          </w:p>
        </w:tc>
      </w:tr>
      <w:tr w:rsidR="00005F7A" w:rsidRPr="00A21682" w14:paraId="217562C2" w14:textId="77777777" w:rsidTr="00005F7A">
        <w:trPr>
          <w:trHeight w:val="20"/>
        </w:trPr>
        <w:tc>
          <w:tcPr>
            <w:tcW w:w="431" w:type="pct"/>
          </w:tcPr>
          <w:p w14:paraId="69E805B9" w14:textId="77777777" w:rsidR="005B461F" w:rsidRPr="00A21682" w:rsidRDefault="005B461F" w:rsidP="00047C4E">
            <w:pPr>
              <w:pStyle w:val="TABLETEXT1"/>
              <w:rPr>
                <w:lang w:val="en-US"/>
              </w:rPr>
            </w:pPr>
            <w:r>
              <w:rPr>
                <w:lang w:val="en-US"/>
              </w:rPr>
              <w:t>2</w:t>
            </w:r>
          </w:p>
        </w:tc>
        <w:tc>
          <w:tcPr>
            <w:tcW w:w="1203" w:type="pct"/>
          </w:tcPr>
          <w:p w14:paraId="0530889D" w14:textId="77777777" w:rsidR="005B461F" w:rsidRPr="00A21682" w:rsidRDefault="005B461F" w:rsidP="00047C4E">
            <w:pPr>
              <w:pStyle w:val="TABLETEXT1"/>
              <w:rPr>
                <w:rFonts w:eastAsiaTheme="majorEastAsia" w:cs="Arial"/>
                <w:lang w:val="en-US"/>
              </w:rPr>
            </w:pPr>
            <w:r>
              <w:rPr>
                <w:rFonts w:eastAsiaTheme="majorEastAsia" w:cs="Arial"/>
                <w:lang w:val="en-US"/>
              </w:rPr>
              <w:t>Enter Issue in the ALM tool</w:t>
            </w:r>
          </w:p>
        </w:tc>
        <w:tc>
          <w:tcPr>
            <w:tcW w:w="2453" w:type="pct"/>
          </w:tcPr>
          <w:p w14:paraId="31F5B2EC" w14:textId="77777777" w:rsidR="005B461F" w:rsidRPr="00A21682" w:rsidRDefault="005B461F" w:rsidP="00047C4E">
            <w:pPr>
              <w:pStyle w:val="TABLETEXT1"/>
              <w:rPr>
                <w:rFonts w:eastAsia="Times New Roman" w:cs="Arial"/>
                <w:lang w:val="en-US"/>
              </w:rPr>
            </w:pPr>
            <w:r>
              <w:rPr>
                <w:rFonts w:eastAsia="Times New Roman" w:cs="Arial"/>
                <w:lang w:val="en-US"/>
              </w:rPr>
              <w:t xml:space="preserve">If it is a new issue, </w:t>
            </w:r>
          </w:p>
          <w:p w14:paraId="39DDD0F1" w14:textId="64B26AA4" w:rsidR="005B461F" w:rsidRPr="00635C9B" w:rsidRDefault="005B461F" w:rsidP="00CA1375">
            <w:pPr>
              <w:pStyle w:val="TABLEBULLETNEW"/>
            </w:pPr>
            <w:r>
              <w:t>Log the issue in the ALM tool and populate issue entry data fields</w:t>
            </w:r>
          </w:p>
          <w:p w14:paraId="0DA572CA" w14:textId="72449594" w:rsidR="005B461F" w:rsidRPr="00635C9B" w:rsidRDefault="005B461F" w:rsidP="00CA1375">
            <w:pPr>
              <w:pStyle w:val="TABLEBULLETNEW"/>
            </w:pPr>
            <w:r>
              <w:t>Identify an Issue Owner</w:t>
            </w:r>
          </w:p>
          <w:p w14:paraId="1F315C91" w14:textId="69D91C94" w:rsidR="005B461F" w:rsidRPr="00635C9B" w:rsidRDefault="005B461F" w:rsidP="00CA1375">
            <w:pPr>
              <w:pStyle w:val="TABLEBULLETNEW"/>
            </w:pPr>
            <w:r>
              <w:t>If it is a realized risk:</w:t>
            </w:r>
          </w:p>
          <w:p w14:paraId="43B8EE75" w14:textId="4DF216A1" w:rsidR="005B461F" w:rsidRPr="00A21682" w:rsidRDefault="005B461F" w:rsidP="00CA1375">
            <w:pPr>
              <w:pStyle w:val="TABLEBULLETNEW"/>
              <w:numPr>
                <w:ilvl w:val="1"/>
                <w:numId w:val="36"/>
              </w:numPr>
              <w:ind w:left="853"/>
            </w:pPr>
            <w:r>
              <w:t xml:space="preserve">Update the status of the risk item to </w:t>
            </w:r>
            <w:r>
              <w:rPr>
                <w:i/>
                <w:iCs/>
              </w:rPr>
              <w:t xml:space="preserve">“Risk Closed, Turned to Issue”. </w:t>
            </w:r>
            <w:r>
              <w:t>Link the new issue and risk and log the item in the ALM tool</w:t>
            </w:r>
          </w:p>
          <w:p w14:paraId="28A0D8CB" w14:textId="5B5AF208" w:rsidR="005B461F" w:rsidRPr="00A21682" w:rsidRDefault="005B461F" w:rsidP="00CA1375">
            <w:pPr>
              <w:pStyle w:val="TABLEBULLETNEW"/>
              <w:numPr>
                <w:ilvl w:val="1"/>
                <w:numId w:val="36"/>
              </w:numPr>
              <w:ind w:left="853"/>
            </w:pPr>
            <w:r>
              <w:t xml:space="preserve">Leverage details and data fields from risk item to populate the issue entry </w:t>
            </w:r>
          </w:p>
          <w:p w14:paraId="3DA9B8DD" w14:textId="44788CDB" w:rsidR="005B461F" w:rsidRPr="00A21682" w:rsidRDefault="005B461F" w:rsidP="00CA1375">
            <w:pPr>
              <w:pStyle w:val="TABLEBULLETNEW"/>
              <w:numPr>
                <w:ilvl w:val="1"/>
                <w:numId w:val="36"/>
              </w:numPr>
              <w:ind w:left="853"/>
            </w:pPr>
            <w:r>
              <w:t xml:space="preserve">Validate all data fields to promote accuracy. For example: Is the owner of the issue the same as the risk owner? Has the priority changed? </w:t>
            </w:r>
          </w:p>
          <w:p w14:paraId="3325DD50" w14:textId="102A24F0" w:rsidR="005B461F" w:rsidRPr="00A21682" w:rsidRDefault="005B461F" w:rsidP="00CA1375">
            <w:pPr>
              <w:pStyle w:val="TABLEBULLETNEW"/>
              <w:numPr>
                <w:ilvl w:val="1"/>
                <w:numId w:val="36"/>
              </w:numPr>
              <w:ind w:left="853"/>
            </w:pPr>
            <w:r>
              <w:t>Identify an Issue Owner, if different from the Risk Owner</w:t>
            </w:r>
          </w:p>
        </w:tc>
        <w:tc>
          <w:tcPr>
            <w:tcW w:w="912" w:type="pct"/>
          </w:tcPr>
          <w:p w14:paraId="79B2EB17" w14:textId="77777777" w:rsidR="00EE7FC2" w:rsidRDefault="00EE7FC2" w:rsidP="00CA1375">
            <w:pPr>
              <w:pStyle w:val="TABLEBULLETNEW"/>
            </w:pPr>
            <w:r>
              <w:t>███████</w:t>
            </w:r>
          </w:p>
          <w:p w14:paraId="4EA81689" w14:textId="5FF1BF33" w:rsidR="005B461F" w:rsidRPr="00635C9B" w:rsidRDefault="00EE7FC2" w:rsidP="00CA1375">
            <w:pPr>
              <w:pStyle w:val="TABLEBULLETNEW"/>
            </w:pPr>
            <w:r>
              <w:t>DOH OHIP</w:t>
            </w:r>
          </w:p>
        </w:tc>
      </w:tr>
      <w:tr w:rsidR="00633B74" w:rsidRPr="00A21682" w14:paraId="020B0280" w14:textId="77777777" w:rsidTr="00005F7A">
        <w:trPr>
          <w:cantSplit/>
          <w:trHeight w:val="20"/>
        </w:trPr>
        <w:tc>
          <w:tcPr>
            <w:tcW w:w="431" w:type="pct"/>
          </w:tcPr>
          <w:p w14:paraId="2F5A6FEA" w14:textId="77777777" w:rsidR="005B461F" w:rsidRPr="00A21682" w:rsidRDefault="005B461F" w:rsidP="00047C4E">
            <w:pPr>
              <w:pStyle w:val="TABLETEXT1"/>
              <w:rPr>
                <w:rFonts w:eastAsiaTheme="majorEastAsia"/>
                <w:lang w:val="en-US"/>
              </w:rPr>
            </w:pPr>
            <w:r>
              <w:rPr>
                <w:lang w:val="en-US"/>
              </w:rPr>
              <w:lastRenderedPageBreak/>
              <w:t>3</w:t>
            </w:r>
          </w:p>
        </w:tc>
        <w:tc>
          <w:tcPr>
            <w:tcW w:w="1203" w:type="pct"/>
          </w:tcPr>
          <w:p w14:paraId="3B8429C4" w14:textId="4B040B0D" w:rsidR="005B461F" w:rsidRPr="00A21682" w:rsidRDefault="005B461F" w:rsidP="00047C4E">
            <w:pPr>
              <w:pStyle w:val="TABLETEXT1"/>
              <w:rPr>
                <w:rFonts w:eastAsiaTheme="majorEastAsia" w:cs="Arial"/>
                <w:lang w:val="en-US"/>
              </w:rPr>
            </w:pPr>
            <w:r>
              <w:rPr>
                <w:rFonts w:eastAsiaTheme="majorEastAsia" w:cs="Arial"/>
                <w:lang w:val="en-US"/>
              </w:rPr>
              <w:t>Raise Issue to Managerial Governance (default)</w:t>
            </w:r>
          </w:p>
        </w:tc>
        <w:tc>
          <w:tcPr>
            <w:tcW w:w="2453" w:type="pct"/>
          </w:tcPr>
          <w:p w14:paraId="26D054AE" w14:textId="77777777" w:rsidR="0031452A" w:rsidRPr="00A21682" w:rsidRDefault="0031452A" w:rsidP="0031452A">
            <w:pPr>
              <w:pStyle w:val="TABLETEXT1"/>
              <w:rPr>
                <w:rFonts w:eastAsia="Times New Roman" w:cs="Arial"/>
                <w:lang w:val="en-US"/>
              </w:rPr>
            </w:pPr>
            <w:r>
              <w:rPr>
                <w:rFonts w:eastAsia="Times New Roman" w:cs="Arial"/>
                <w:lang w:val="en-US"/>
              </w:rPr>
              <w:t>Issue is automatically tagged by default to the Managerial Governance group as part of the escalation level.</w:t>
            </w:r>
          </w:p>
          <w:p w14:paraId="58432229" w14:textId="1A7B96A2" w:rsidR="005B461F" w:rsidRPr="00A21682" w:rsidRDefault="005B461F" w:rsidP="00047C4E">
            <w:pPr>
              <w:pStyle w:val="TABLETEXT1"/>
              <w:rPr>
                <w:rFonts w:eastAsia="Times New Roman" w:cs="Arial"/>
                <w:lang w:val="en-US"/>
              </w:rPr>
            </w:pPr>
            <w:r>
              <w:rPr>
                <w:rFonts w:eastAsia="Times New Roman" w:cs="Arial"/>
                <w:lang w:val="en-US"/>
              </w:rPr>
              <w:t xml:space="preserve">The Issue Owner adds the Issue to the PSR for weekly discussion and review if the item is escalated to the Leadership Governance group as part of the project status meeting. The Issue remains on the PSR until it is resolved. If the Leadership Governance group is unable to resolve the issue, the issue is then escalated to the Executive level. </w:t>
            </w:r>
          </w:p>
        </w:tc>
        <w:tc>
          <w:tcPr>
            <w:tcW w:w="912" w:type="pct"/>
          </w:tcPr>
          <w:p w14:paraId="2282768F" w14:textId="475A526F" w:rsidR="005B461F" w:rsidRPr="00635C9B" w:rsidRDefault="005B461F" w:rsidP="00CA1375">
            <w:pPr>
              <w:pStyle w:val="TABLEBULLETNEW"/>
            </w:pPr>
            <w:r>
              <w:t>Issue Owner</w:t>
            </w:r>
          </w:p>
        </w:tc>
      </w:tr>
      <w:tr w:rsidR="00005F7A" w:rsidRPr="00A21682" w14:paraId="177BE40D" w14:textId="77777777" w:rsidTr="00005F7A">
        <w:trPr>
          <w:trHeight w:val="20"/>
        </w:trPr>
        <w:tc>
          <w:tcPr>
            <w:tcW w:w="431" w:type="pct"/>
          </w:tcPr>
          <w:p w14:paraId="7B6BA4F7" w14:textId="77777777" w:rsidR="005B461F" w:rsidRPr="00A21682" w:rsidRDefault="005B461F" w:rsidP="00047C4E">
            <w:pPr>
              <w:pStyle w:val="TABLETEXT1"/>
              <w:rPr>
                <w:rFonts w:eastAsiaTheme="majorEastAsia"/>
                <w:lang w:val="en-US"/>
              </w:rPr>
            </w:pPr>
            <w:r>
              <w:rPr>
                <w:lang w:val="en-US"/>
              </w:rPr>
              <w:t>4</w:t>
            </w:r>
          </w:p>
        </w:tc>
        <w:tc>
          <w:tcPr>
            <w:tcW w:w="1203" w:type="pct"/>
          </w:tcPr>
          <w:p w14:paraId="6BA487F9" w14:textId="77777777" w:rsidR="005B461F" w:rsidRPr="00A21682" w:rsidRDefault="005B461F" w:rsidP="00047C4E">
            <w:pPr>
              <w:pStyle w:val="TABLETEXT1"/>
              <w:rPr>
                <w:rFonts w:eastAsiaTheme="majorEastAsia" w:cs="Arial"/>
                <w:lang w:val="en-US"/>
              </w:rPr>
            </w:pPr>
            <w:r>
              <w:rPr>
                <w:rFonts w:eastAsiaTheme="majorEastAsia" w:cs="Arial"/>
                <w:lang w:val="en-US"/>
              </w:rPr>
              <w:t>Define Issue Resolution Plan</w:t>
            </w:r>
          </w:p>
        </w:tc>
        <w:tc>
          <w:tcPr>
            <w:tcW w:w="2453" w:type="pct"/>
          </w:tcPr>
          <w:p w14:paraId="2201501F" w14:textId="27785DC2" w:rsidR="005B461F" w:rsidRPr="00A21682" w:rsidRDefault="005B461F" w:rsidP="00047C4E">
            <w:pPr>
              <w:pStyle w:val="TABLETEXT1"/>
              <w:rPr>
                <w:rFonts w:eastAsiaTheme="majorEastAsia" w:cs="Arial"/>
                <w:lang w:val="en-US"/>
              </w:rPr>
            </w:pPr>
            <w:r>
              <w:rPr>
                <w:rFonts w:eastAsia="Times New Roman" w:cs="Arial"/>
                <w:lang w:val="en-US"/>
              </w:rPr>
              <w:t>An Issue Resolution Plan contains the actionable steps to address the issue. The PMO will work with the Issue Owner to produce and socialize the issue resolution plan to the applicable stakeholder(s).</w:t>
            </w:r>
          </w:p>
        </w:tc>
        <w:tc>
          <w:tcPr>
            <w:tcW w:w="912" w:type="pct"/>
          </w:tcPr>
          <w:p w14:paraId="276B880F" w14:textId="3D5B6B01" w:rsidR="005B461F" w:rsidRPr="00635C9B" w:rsidRDefault="005B461F" w:rsidP="00CA1375">
            <w:pPr>
              <w:pStyle w:val="TABLEBULLETNEW"/>
            </w:pPr>
            <w:r>
              <w:t>Issue Owner</w:t>
            </w:r>
          </w:p>
          <w:p w14:paraId="634F7646" w14:textId="197B28D4" w:rsidR="005B461F" w:rsidRPr="00635C9B" w:rsidRDefault="00EE7FC2" w:rsidP="00CA1375">
            <w:pPr>
              <w:pStyle w:val="TABLEBULLETNEW"/>
            </w:pPr>
            <w:r>
              <w:rPr>
                <w:highlight w:val="black"/>
              </w:rPr>
              <w:t>Deloitte</w:t>
            </w:r>
            <w:r>
              <w:t>/DOS PMO</w:t>
            </w:r>
          </w:p>
          <w:p w14:paraId="7A793890" w14:textId="3FC5B8AC" w:rsidR="005B461F" w:rsidRPr="00635C9B" w:rsidRDefault="005B461F" w:rsidP="00CA1375">
            <w:pPr>
              <w:pStyle w:val="TABLEBULLETNEW"/>
            </w:pPr>
            <w:r>
              <w:t>Issue Stakeholders</w:t>
            </w:r>
          </w:p>
        </w:tc>
      </w:tr>
      <w:tr w:rsidR="00D13B87" w:rsidRPr="00A21682" w14:paraId="74501591" w14:textId="77777777" w:rsidTr="00005F7A">
        <w:trPr>
          <w:trHeight w:val="20"/>
        </w:trPr>
        <w:tc>
          <w:tcPr>
            <w:tcW w:w="431" w:type="pct"/>
          </w:tcPr>
          <w:p w14:paraId="06E88464" w14:textId="77777777" w:rsidR="005B461F" w:rsidRPr="00A21682" w:rsidRDefault="005B461F" w:rsidP="00047C4E">
            <w:pPr>
              <w:pStyle w:val="TABLETEXT1"/>
              <w:rPr>
                <w:lang w:val="en-US"/>
              </w:rPr>
            </w:pPr>
            <w:r>
              <w:rPr>
                <w:lang w:val="en-US"/>
              </w:rPr>
              <w:t>5</w:t>
            </w:r>
          </w:p>
        </w:tc>
        <w:tc>
          <w:tcPr>
            <w:tcW w:w="1203" w:type="pct"/>
          </w:tcPr>
          <w:p w14:paraId="212BB69D" w14:textId="77777777" w:rsidR="005B461F" w:rsidRPr="00A21682" w:rsidRDefault="005B461F" w:rsidP="00047C4E">
            <w:pPr>
              <w:pStyle w:val="TABLETEXT1"/>
              <w:rPr>
                <w:rFonts w:eastAsia="Times New Roman" w:cs="Arial"/>
                <w:lang w:val="en-US"/>
              </w:rPr>
            </w:pPr>
            <w:r>
              <w:rPr>
                <w:rFonts w:eastAsia="Times New Roman" w:cs="Arial"/>
                <w:lang w:val="en-US"/>
              </w:rPr>
              <w:t>Implement Issue Resolution Plan</w:t>
            </w:r>
          </w:p>
        </w:tc>
        <w:tc>
          <w:tcPr>
            <w:tcW w:w="2453" w:type="pct"/>
          </w:tcPr>
          <w:p w14:paraId="2509670D" w14:textId="77777777" w:rsidR="005B461F" w:rsidRPr="00A21682" w:rsidRDefault="005B461F" w:rsidP="00047C4E">
            <w:pPr>
              <w:pStyle w:val="TABLETEXT1"/>
              <w:rPr>
                <w:rFonts w:eastAsia="Times New Roman" w:cs="Arial"/>
                <w:lang w:val="en-US"/>
              </w:rPr>
            </w:pPr>
            <w:r>
              <w:rPr>
                <w:rFonts w:eastAsia="Times New Roman" w:cs="Arial"/>
                <w:lang w:val="en-US"/>
              </w:rPr>
              <w:t>The Issue Owner works with relevant stakeholders to complete action items outlined in the issue resolution plan.</w:t>
            </w:r>
          </w:p>
        </w:tc>
        <w:tc>
          <w:tcPr>
            <w:tcW w:w="912" w:type="pct"/>
          </w:tcPr>
          <w:p w14:paraId="74C3122B" w14:textId="0BA877FD" w:rsidR="005B461F" w:rsidRPr="00635C9B" w:rsidRDefault="005B461F" w:rsidP="00CA1375">
            <w:pPr>
              <w:pStyle w:val="TABLEBULLETNEW"/>
            </w:pPr>
            <w:r>
              <w:t>Issue Owner</w:t>
            </w:r>
          </w:p>
          <w:p w14:paraId="7A9D0184" w14:textId="4C56DF7E" w:rsidR="005B461F" w:rsidRPr="00635C9B" w:rsidRDefault="005B461F" w:rsidP="00CA1375">
            <w:pPr>
              <w:pStyle w:val="TABLEBULLETNEW"/>
            </w:pPr>
            <w:r>
              <w:t>Issue Stakeholders</w:t>
            </w:r>
          </w:p>
        </w:tc>
      </w:tr>
      <w:tr w:rsidR="00D13B87" w:rsidRPr="00A21682" w14:paraId="357F806A" w14:textId="77777777" w:rsidTr="00005F7A">
        <w:trPr>
          <w:trHeight w:val="20"/>
        </w:trPr>
        <w:tc>
          <w:tcPr>
            <w:tcW w:w="431" w:type="pct"/>
          </w:tcPr>
          <w:p w14:paraId="3F585C2E" w14:textId="77777777" w:rsidR="005B461F" w:rsidRPr="00A21682" w:rsidRDefault="005B461F" w:rsidP="00047C4E">
            <w:pPr>
              <w:pStyle w:val="TABLETEXT1"/>
              <w:rPr>
                <w:lang w:val="en-US"/>
              </w:rPr>
            </w:pPr>
            <w:r>
              <w:rPr>
                <w:lang w:val="en-US"/>
              </w:rPr>
              <w:t>5.1</w:t>
            </w:r>
          </w:p>
        </w:tc>
        <w:tc>
          <w:tcPr>
            <w:tcW w:w="1203" w:type="pct"/>
          </w:tcPr>
          <w:p w14:paraId="3BD517F8" w14:textId="77777777" w:rsidR="005B461F" w:rsidRPr="00A21682" w:rsidRDefault="005B461F" w:rsidP="00047C4E">
            <w:pPr>
              <w:pStyle w:val="TABLETEXT1"/>
              <w:rPr>
                <w:rFonts w:eastAsia="Times New Roman" w:cs="Arial"/>
                <w:lang w:val="en-US"/>
              </w:rPr>
            </w:pPr>
            <w:r>
              <w:rPr>
                <w:rFonts w:eastAsia="Times New Roman" w:cs="Arial"/>
                <w:lang w:val="en-US"/>
              </w:rPr>
              <w:t>Has the issue been resolved?</w:t>
            </w:r>
          </w:p>
        </w:tc>
        <w:tc>
          <w:tcPr>
            <w:tcW w:w="2453" w:type="pct"/>
          </w:tcPr>
          <w:p w14:paraId="790554F7" w14:textId="6FB437C0" w:rsidR="005B461F" w:rsidRPr="00A21682" w:rsidRDefault="005B461F" w:rsidP="00CA1375">
            <w:pPr>
              <w:pStyle w:val="TABLEBULLETNEW"/>
            </w:pPr>
            <w:r>
              <w:t xml:space="preserve">If an issue is not resolved, the item remains open to be reviewed and discussed weekly until resolution. Proceed to </w:t>
            </w:r>
            <w:r>
              <w:rPr>
                <w:i/>
                <w:iCs/>
              </w:rPr>
              <w:t>Step #3 Raise Issue to Managerial Governance (Default)</w:t>
            </w:r>
          </w:p>
          <w:p w14:paraId="06DE8626" w14:textId="4AE71B1D" w:rsidR="005B461F" w:rsidRPr="00A21682" w:rsidRDefault="005B461F" w:rsidP="00CA1375">
            <w:pPr>
              <w:pStyle w:val="TABLEBULLETNEW"/>
            </w:pPr>
            <w:r>
              <w:t xml:space="preserve">If the issue is resolved, then proceed to </w:t>
            </w:r>
            <w:r>
              <w:rPr>
                <w:i/>
              </w:rPr>
              <w:t>Step #6 Issue Resolved</w:t>
            </w:r>
          </w:p>
        </w:tc>
        <w:tc>
          <w:tcPr>
            <w:tcW w:w="912" w:type="pct"/>
          </w:tcPr>
          <w:p w14:paraId="21CD032C" w14:textId="08D4B79A" w:rsidR="005B461F" w:rsidRPr="00635C9B" w:rsidRDefault="005B461F" w:rsidP="00CA1375">
            <w:pPr>
              <w:pStyle w:val="TABLEBULLETNEW"/>
            </w:pPr>
            <w:r>
              <w:t>Issue Owner</w:t>
            </w:r>
          </w:p>
          <w:p w14:paraId="50FF7EA2" w14:textId="0F8E4643" w:rsidR="005B461F" w:rsidRPr="00635C9B" w:rsidRDefault="005B461F" w:rsidP="00CA1375">
            <w:pPr>
              <w:pStyle w:val="TABLEBULLETNEW"/>
            </w:pPr>
            <w:r>
              <w:t>Issue Stakeholders</w:t>
            </w:r>
          </w:p>
          <w:p w14:paraId="74A9E9E9" w14:textId="6D985423" w:rsidR="005B461F" w:rsidRPr="00635C9B" w:rsidRDefault="005B461F" w:rsidP="00CA1375">
            <w:pPr>
              <w:pStyle w:val="TABLEBULLETNEW"/>
            </w:pPr>
            <w:r>
              <w:t>Managerial Governance</w:t>
            </w:r>
          </w:p>
        </w:tc>
      </w:tr>
      <w:tr w:rsidR="00D13B87" w:rsidRPr="00A21682" w14:paraId="34EC7D8B" w14:textId="77777777" w:rsidTr="00005F7A">
        <w:trPr>
          <w:trHeight w:val="20"/>
        </w:trPr>
        <w:tc>
          <w:tcPr>
            <w:tcW w:w="431" w:type="pct"/>
          </w:tcPr>
          <w:p w14:paraId="776E2438" w14:textId="77777777" w:rsidR="005B461F" w:rsidRPr="00A21682" w:rsidRDefault="005B461F" w:rsidP="00047C4E">
            <w:pPr>
              <w:pStyle w:val="TABLETEXT1"/>
              <w:rPr>
                <w:lang w:val="en-US"/>
              </w:rPr>
            </w:pPr>
            <w:r>
              <w:rPr>
                <w:lang w:val="en-US"/>
              </w:rPr>
              <w:t>6</w:t>
            </w:r>
          </w:p>
        </w:tc>
        <w:tc>
          <w:tcPr>
            <w:tcW w:w="1203" w:type="pct"/>
          </w:tcPr>
          <w:p w14:paraId="57705DA5" w14:textId="77777777" w:rsidR="005B461F" w:rsidRPr="00A21682" w:rsidRDefault="005B461F" w:rsidP="00047C4E">
            <w:pPr>
              <w:pStyle w:val="TABLETEXT1"/>
              <w:rPr>
                <w:rFonts w:eastAsia="Times New Roman" w:cs="Arial"/>
                <w:lang w:val="en-US"/>
              </w:rPr>
            </w:pPr>
            <w:r>
              <w:rPr>
                <w:rFonts w:eastAsia="Times New Roman" w:cs="Arial"/>
                <w:lang w:val="en-US"/>
              </w:rPr>
              <w:t>Issue Resolved</w:t>
            </w:r>
          </w:p>
        </w:tc>
        <w:tc>
          <w:tcPr>
            <w:tcW w:w="2453" w:type="pct"/>
          </w:tcPr>
          <w:p w14:paraId="0CC572F6" w14:textId="77777777" w:rsidR="005B461F" w:rsidRPr="00A21682" w:rsidRDefault="005B461F" w:rsidP="00047C4E">
            <w:pPr>
              <w:pStyle w:val="TABLETEXT1"/>
              <w:rPr>
                <w:rFonts w:eastAsia="Times New Roman" w:cs="Arial"/>
                <w:lang w:val="en-US"/>
              </w:rPr>
            </w:pPr>
            <w:r>
              <w:rPr>
                <w:rFonts w:eastAsia="Times New Roman" w:cs="Arial"/>
                <w:lang w:val="en-US"/>
              </w:rPr>
              <w:t>The Issue Owner updates the status in the ALM tool to “Issue Resolved”.</w:t>
            </w:r>
          </w:p>
        </w:tc>
        <w:tc>
          <w:tcPr>
            <w:tcW w:w="912" w:type="pct"/>
          </w:tcPr>
          <w:p w14:paraId="0DD8100D" w14:textId="1954F818" w:rsidR="005B461F" w:rsidRPr="00635C9B" w:rsidRDefault="005B461F" w:rsidP="00CA1375">
            <w:pPr>
              <w:pStyle w:val="TABLEBULLETNEW"/>
            </w:pPr>
            <w:r>
              <w:t>Issue Owner</w:t>
            </w:r>
          </w:p>
        </w:tc>
      </w:tr>
    </w:tbl>
    <w:p w14:paraId="6F990786" w14:textId="7E8F341E" w:rsidR="005B461F" w:rsidRPr="00A21682" w:rsidRDefault="00C56B6A" w:rsidP="000F38B8">
      <w:pPr>
        <w:pStyle w:val="Caption"/>
        <w:rPr>
          <w:noProof w:val="0"/>
        </w:rPr>
      </w:pPr>
      <w:bookmarkStart w:id="3965" w:name="_Toc149672608"/>
      <w:bookmarkStart w:id="3966" w:name="_Toc19287520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7</w:t>
      </w:r>
      <w:r>
        <w:rPr>
          <w:noProof w:val="0"/>
        </w:rPr>
        <w:fldChar w:fldCharType="end"/>
      </w:r>
      <w:r>
        <w:rPr>
          <w:noProof w:val="0"/>
        </w:rPr>
        <w:t>: Issue Resolution Process Flow Narrative</w:t>
      </w:r>
      <w:bookmarkEnd w:id="3965"/>
      <w:bookmarkEnd w:id="3966"/>
    </w:p>
    <w:p w14:paraId="5CC28B33" w14:textId="77777777" w:rsidR="005B461F" w:rsidRPr="00A21682" w:rsidRDefault="005B461F">
      <w:pPr>
        <w:pStyle w:val="Heading3"/>
      </w:pPr>
      <w:bookmarkStart w:id="3967" w:name="_Toc153277040"/>
      <w:bookmarkStart w:id="3968" w:name="_Toc177119549"/>
      <w:bookmarkStart w:id="3969" w:name="_Toc185952851"/>
      <w:bookmarkStart w:id="3970" w:name="_Toc192874951"/>
      <w:r>
        <w:t>Issue Status</w:t>
      </w:r>
      <w:bookmarkEnd w:id="3967"/>
      <w:bookmarkEnd w:id="3968"/>
      <w:bookmarkEnd w:id="3969"/>
      <w:bookmarkEnd w:id="3970"/>
    </w:p>
    <w:p w14:paraId="2E63168B" w14:textId="77777777" w:rsidR="005B461F" w:rsidRPr="00A21682" w:rsidRDefault="005B461F" w:rsidP="003E59AC">
      <w:pPr>
        <w:pStyle w:val="NormalNEW"/>
        <w:rPr>
          <w:lang w:val="en-US"/>
        </w:rPr>
      </w:pPr>
      <w:r>
        <w:rPr>
          <w:lang w:val="en-US"/>
        </w:rPr>
        <w:t>Issue status indicates the current point the issue is in the issue resolution process. Depending on the issue status, the issue owner takes respective actionable steps to manage the issue to closure. The following table describes the issue statuses used in the issue resolution process.</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155"/>
        <w:gridCol w:w="7199"/>
      </w:tblGrid>
      <w:tr w:rsidR="005B461F" w:rsidRPr="00A21682" w14:paraId="24B0E291" w14:textId="77777777" w:rsidTr="00541FC2">
        <w:trPr>
          <w:trHeight w:val="20"/>
          <w:tblHeader/>
          <w:jc w:val="center"/>
        </w:trPr>
        <w:tc>
          <w:tcPr>
            <w:tcW w:w="1152" w:type="pct"/>
            <w:tcBorders>
              <w:right w:val="single" w:sz="2" w:space="0" w:color="FFFFFF" w:themeColor="background1"/>
            </w:tcBorders>
            <w:shd w:val="clear" w:color="auto" w:fill="000000" w:themeFill="text1"/>
          </w:tcPr>
          <w:p w14:paraId="2A64A55E" w14:textId="77777777" w:rsidR="005B461F" w:rsidRPr="00A21682" w:rsidRDefault="005B461F" w:rsidP="00047C4E">
            <w:pPr>
              <w:pStyle w:val="TABLEHEADINGNEW"/>
              <w:rPr>
                <w:rFonts w:eastAsiaTheme="minorEastAsia"/>
              </w:rPr>
            </w:pPr>
            <w:r>
              <w:rPr>
                <w:rFonts w:eastAsiaTheme="minorEastAsia"/>
              </w:rPr>
              <w:lastRenderedPageBreak/>
              <w:t>Issue Status</w:t>
            </w:r>
          </w:p>
        </w:tc>
        <w:tc>
          <w:tcPr>
            <w:tcW w:w="3848" w:type="pct"/>
            <w:tcBorders>
              <w:left w:val="single" w:sz="2" w:space="0" w:color="FFFFFF" w:themeColor="background1"/>
            </w:tcBorders>
            <w:shd w:val="clear" w:color="auto" w:fill="000000" w:themeFill="text1"/>
          </w:tcPr>
          <w:p w14:paraId="7228DCF0" w14:textId="77777777" w:rsidR="005B461F" w:rsidRPr="00A21682" w:rsidRDefault="005B461F" w:rsidP="00047C4E">
            <w:pPr>
              <w:pStyle w:val="TABLEHEADINGNEW"/>
              <w:rPr>
                <w:rFonts w:eastAsiaTheme="minorEastAsia"/>
              </w:rPr>
            </w:pPr>
            <w:r>
              <w:rPr>
                <w:rFonts w:eastAsiaTheme="minorEastAsia"/>
              </w:rPr>
              <w:t>Description</w:t>
            </w:r>
          </w:p>
        </w:tc>
      </w:tr>
      <w:tr w:rsidR="005B461F" w:rsidRPr="00A21682" w14:paraId="366C5A53" w14:textId="77777777" w:rsidTr="00047C4E">
        <w:trPr>
          <w:trHeight w:val="20"/>
          <w:tblHeader/>
          <w:jc w:val="center"/>
        </w:trPr>
        <w:tc>
          <w:tcPr>
            <w:tcW w:w="1152" w:type="pct"/>
          </w:tcPr>
          <w:p w14:paraId="30F0A66C" w14:textId="77777777" w:rsidR="005B461F" w:rsidRPr="00A21682" w:rsidRDefault="005B461F" w:rsidP="00047C4E">
            <w:pPr>
              <w:pStyle w:val="TABLETEXT1"/>
              <w:rPr>
                <w:rFonts w:eastAsia="Times New Roman"/>
                <w:lang w:val="en-US"/>
              </w:rPr>
            </w:pPr>
            <w:r>
              <w:rPr>
                <w:lang w:val="en-US"/>
              </w:rPr>
              <w:t>Issue Open</w:t>
            </w:r>
          </w:p>
        </w:tc>
        <w:tc>
          <w:tcPr>
            <w:tcW w:w="3848" w:type="pct"/>
          </w:tcPr>
          <w:p w14:paraId="21A4B217" w14:textId="77777777" w:rsidR="000232C4" w:rsidRPr="00A21682" w:rsidRDefault="000232C4" w:rsidP="000232C4">
            <w:pPr>
              <w:pStyle w:val="TABLETEXT1"/>
              <w:rPr>
                <w:lang w:val="en-US"/>
              </w:rPr>
            </w:pPr>
            <w:r>
              <w:rPr>
                <w:lang w:val="en-US"/>
              </w:rPr>
              <w:t>An issue is in an open state when initially logged in the ALM tool, indicating that it has been identified and logged, but has not yet been resolved.</w:t>
            </w:r>
          </w:p>
          <w:p w14:paraId="1B2D5D98" w14:textId="22871365" w:rsidR="005B461F" w:rsidRPr="00A21682" w:rsidRDefault="005B461F" w:rsidP="00047C4E">
            <w:pPr>
              <w:pStyle w:val="TABLETEXT1"/>
              <w:rPr>
                <w:rFonts w:eastAsia="Times New Roman"/>
                <w:lang w:val="en-US"/>
              </w:rPr>
            </w:pPr>
            <w:r>
              <w:rPr>
                <w:lang w:val="en-US"/>
              </w:rPr>
              <w:t>An issue can also assume this status when it has been transitioned from a risk to an issue and work begins pursuant to resolving the issue.</w:t>
            </w:r>
          </w:p>
        </w:tc>
      </w:tr>
      <w:tr w:rsidR="005B461F" w:rsidRPr="00A21682" w14:paraId="02EA3B64" w14:textId="77777777" w:rsidTr="00047C4E">
        <w:trPr>
          <w:trHeight w:val="20"/>
          <w:tblHeader/>
          <w:jc w:val="center"/>
        </w:trPr>
        <w:tc>
          <w:tcPr>
            <w:tcW w:w="1152" w:type="pct"/>
          </w:tcPr>
          <w:p w14:paraId="75D1EE47" w14:textId="77777777" w:rsidR="005B461F" w:rsidRPr="00A21682" w:rsidRDefault="005B461F" w:rsidP="00047C4E">
            <w:pPr>
              <w:pStyle w:val="TABLETEXT1"/>
              <w:rPr>
                <w:lang w:val="en-US"/>
              </w:rPr>
            </w:pPr>
            <w:r>
              <w:rPr>
                <w:lang w:val="en-US"/>
              </w:rPr>
              <w:t>Issue On-Hold</w:t>
            </w:r>
          </w:p>
        </w:tc>
        <w:tc>
          <w:tcPr>
            <w:tcW w:w="3848" w:type="pct"/>
          </w:tcPr>
          <w:p w14:paraId="11AF089D" w14:textId="232CB205" w:rsidR="005B461F" w:rsidRPr="00A21682" w:rsidRDefault="005B461F" w:rsidP="00047C4E">
            <w:pPr>
              <w:pStyle w:val="TABLETEXT1"/>
              <w:rPr>
                <w:lang w:val="en-US"/>
              </w:rPr>
            </w:pPr>
            <w:r>
              <w:rPr>
                <w:lang w:val="en-US"/>
              </w:rPr>
              <w:t>An issue can be temporarily on hold, meaning work to address issue is delayed, paused or disrupted for a specific reason and requires that an issue be placed on hold.</w:t>
            </w:r>
          </w:p>
        </w:tc>
      </w:tr>
      <w:tr w:rsidR="005B461F" w:rsidRPr="00A21682" w14:paraId="2CA75A7B" w14:textId="77777777" w:rsidTr="00047C4E">
        <w:trPr>
          <w:trHeight w:val="20"/>
          <w:tblHeader/>
          <w:jc w:val="center"/>
        </w:trPr>
        <w:tc>
          <w:tcPr>
            <w:tcW w:w="1152" w:type="pct"/>
          </w:tcPr>
          <w:p w14:paraId="6EF52253" w14:textId="77777777" w:rsidR="005B461F" w:rsidRPr="00A21682" w:rsidRDefault="005B461F" w:rsidP="00047C4E">
            <w:pPr>
              <w:pStyle w:val="TABLETEXT1"/>
              <w:rPr>
                <w:rFonts w:eastAsia="Times New Roman"/>
                <w:lang w:val="en-US"/>
              </w:rPr>
            </w:pPr>
            <w:r>
              <w:rPr>
                <w:rFonts w:eastAsia="Times New Roman"/>
                <w:lang w:val="en-US"/>
              </w:rPr>
              <w:t>Issue Resolved</w:t>
            </w:r>
          </w:p>
        </w:tc>
        <w:tc>
          <w:tcPr>
            <w:tcW w:w="3848" w:type="pct"/>
          </w:tcPr>
          <w:p w14:paraId="4D32B06E" w14:textId="04B62444" w:rsidR="005B461F" w:rsidRPr="00A21682" w:rsidRDefault="005B461F" w:rsidP="00047C4E">
            <w:pPr>
              <w:pStyle w:val="TABLETEXT1"/>
              <w:rPr>
                <w:rFonts w:eastAsia="Times New Roman"/>
                <w:lang w:val="en-US"/>
              </w:rPr>
            </w:pPr>
            <w:r>
              <w:rPr>
                <w:lang w:val="en-US"/>
              </w:rPr>
              <w:t xml:space="preserve">An issue assumes this status if the issue is closed, meaning that the root cause has been identified and addressed, and any necessary corrective actions have been implemented. </w:t>
            </w:r>
          </w:p>
        </w:tc>
      </w:tr>
      <w:tr w:rsidR="005B461F" w:rsidRPr="00A21682" w14:paraId="16373892" w14:textId="77777777" w:rsidTr="00047C4E">
        <w:trPr>
          <w:trHeight w:val="20"/>
          <w:tblHeader/>
          <w:jc w:val="center"/>
        </w:trPr>
        <w:tc>
          <w:tcPr>
            <w:tcW w:w="1152" w:type="pct"/>
          </w:tcPr>
          <w:p w14:paraId="2B46F774" w14:textId="77777777" w:rsidR="005B461F" w:rsidRPr="00A21682" w:rsidRDefault="005B461F" w:rsidP="00047C4E">
            <w:pPr>
              <w:pStyle w:val="TABLETEXT1"/>
              <w:rPr>
                <w:rFonts w:eastAsia="Times New Roman"/>
                <w:lang w:val="en-US"/>
              </w:rPr>
            </w:pPr>
            <w:r>
              <w:rPr>
                <w:lang w:val="en-US"/>
              </w:rPr>
              <w:t>Issue Reopened</w:t>
            </w:r>
          </w:p>
        </w:tc>
        <w:tc>
          <w:tcPr>
            <w:tcW w:w="3848" w:type="pct"/>
          </w:tcPr>
          <w:p w14:paraId="5C8FDDA7" w14:textId="5A99EBE4" w:rsidR="005B461F" w:rsidRPr="00A21682" w:rsidRDefault="005B461F" w:rsidP="00047C4E">
            <w:pPr>
              <w:pStyle w:val="TABLETEXT1"/>
              <w:rPr>
                <w:rFonts w:eastAsia="Times New Roman"/>
                <w:lang w:val="en-US"/>
              </w:rPr>
            </w:pPr>
            <w:r>
              <w:rPr>
                <w:lang w:val="en-US"/>
              </w:rPr>
              <w:t xml:space="preserve">When an issue is </w:t>
            </w:r>
            <w:r>
              <w:rPr>
                <w:rFonts w:eastAsia="Times New Roman"/>
                <w:lang w:val="en-US"/>
              </w:rPr>
              <w:t>resolved</w:t>
            </w:r>
            <w:r>
              <w:rPr>
                <w:lang w:val="en-US"/>
              </w:rPr>
              <w:t xml:space="preserve"> in error, it can be reopened by project members. This will then be reviewed for validity and follow the normal issue workflow. A reason for reopening must be provided.</w:t>
            </w:r>
          </w:p>
        </w:tc>
      </w:tr>
      <w:tr w:rsidR="00797CA8" w:rsidRPr="00A21682" w14:paraId="1334C143" w14:textId="77777777" w:rsidTr="00047C4E">
        <w:trPr>
          <w:trHeight w:val="20"/>
          <w:tblHeader/>
          <w:jc w:val="center"/>
        </w:trPr>
        <w:tc>
          <w:tcPr>
            <w:tcW w:w="1152" w:type="pct"/>
          </w:tcPr>
          <w:p w14:paraId="1CA802A6" w14:textId="0B13BE7E" w:rsidR="00797CA8" w:rsidRPr="00A21682" w:rsidRDefault="00797CA8" w:rsidP="00797CA8">
            <w:pPr>
              <w:pStyle w:val="TABLETEXT1"/>
              <w:rPr>
                <w:lang w:val="en-US"/>
              </w:rPr>
            </w:pPr>
            <w:r>
              <w:rPr>
                <w:kern w:val="2"/>
                <w:lang w:val="en-US"/>
              </w:rPr>
              <w:t>Issue Cancelled</w:t>
            </w:r>
          </w:p>
        </w:tc>
        <w:tc>
          <w:tcPr>
            <w:tcW w:w="3848" w:type="pct"/>
          </w:tcPr>
          <w:p w14:paraId="747A4EFA" w14:textId="1F3033D8" w:rsidR="00797CA8" w:rsidRPr="00A21682" w:rsidRDefault="00797CA8" w:rsidP="00797CA8">
            <w:pPr>
              <w:pStyle w:val="TABLETEXT1"/>
              <w:rPr>
                <w:lang w:val="en-US"/>
              </w:rPr>
            </w:pPr>
            <w:r>
              <w:rPr>
                <w:kern w:val="2"/>
                <w:lang w:val="en-US"/>
              </w:rPr>
              <w:t>An issue is cancelled when it will not be addressed further, or it is no longer relevant.</w:t>
            </w:r>
          </w:p>
        </w:tc>
      </w:tr>
    </w:tbl>
    <w:p w14:paraId="5F81F7E7" w14:textId="6217B2D0" w:rsidR="005B461F" w:rsidRPr="00A21682" w:rsidRDefault="005B461F" w:rsidP="000F38B8">
      <w:pPr>
        <w:pStyle w:val="Caption"/>
        <w:rPr>
          <w:noProof w:val="0"/>
        </w:rPr>
      </w:pPr>
      <w:bookmarkStart w:id="3971" w:name="_Toc149672609"/>
      <w:bookmarkStart w:id="3972" w:name="_Toc19287520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8</w:t>
      </w:r>
      <w:r>
        <w:rPr>
          <w:noProof w:val="0"/>
        </w:rPr>
        <w:fldChar w:fldCharType="end"/>
      </w:r>
      <w:r>
        <w:rPr>
          <w:noProof w:val="0"/>
        </w:rPr>
        <w:t>:Issue Status</w:t>
      </w:r>
      <w:bookmarkStart w:id="3973" w:name="_Toc153277041"/>
      <w:bookmarkEnd w:id="3971"/>
      <w:bookmarkEnd w:id="3972"/>
    </w:p>
    <w:p w14:paraId="181041F8" w14:textId="77777777" w:rsidR="005B461F" w:rsidRDefault="005B461F" w:rsidP="00541FC2">
      <w:pPr>
        <w:pStyle w:val="Heading3"/>
      </w:pPr>
      <w:bookmarkStart w:id="3974" w:name="_Toc177119550"/>
      <w:bookmarkStart w:id="3975" w:name="_Toc185952852"/>
      <w:bookmarkStart w:id="3976" w:name="_Toc192874952"/>
      <w:r>
        <w:t>Issue Attributes, Types, and Tracks</w:t>
      </w:r>
      <w:bookmarkEnd w:id="3973"/>
      <w:bookmarkEnd w:id="3974"/>
      <w:bookmarkEnd w:id="3975"/>
      <w:bookmarkEnd w:id="3976"/>
      <w:r>
        <w:t xml:space="preserve"> </w:t>
      </w:r>
    </w:p>
    <w:p w14:paraId="663A5C44" w14:textId="1BC28A04" w:rsidR="003214DF" w:rsidRPr="00A21682" w:rsidRDefault="003214DF" w:rsidP="003214DF">
      <w:pPr>
        <w:pStyle w:val="NormalNEW"/>
        <w:rPr>
          <w:rStyle w:val="Hyperlink"/>
          <w:lang w:val="en-US"/>
        </w:rPr>
      </w:pPr>
      <w:r>
        <w:rPr>
          <w:lang w:val="en-US"/>
        </w:rPr>
        <w:t xml:space="preserve">The most updated attributes used for Issues in the ALM tool can be found in the ALM Tool Reference Guide in the following location: </w:t>
      </w:r>
      <w:r>
        <w:rPr>
          <w:rStyle w:val="Hyperlink"/>
          <w:lang w:val="en-US"/>
        </w:rPr>
        <w:t>The ALM tool</w:t>
      </w:r>
    </w:p>
    <w:p w14:paraId="498DF69A" w14:textId="67F2933D" w:rsidR="003214DF" w:rsidRPr="003214DF" w:rsidRDefault="003214DF" w:rsidP="003214DF">
      <w:pPr>
        <w:pStyle w:val="NYBodyText"/>
        <w:rPr>
          <w:lang w:val="en-US"/>
        </w:rPr>
      </w:pPr>
    </w:p>
    <w:p w14:paraId="018F628E" w14:textId="77777777" w:rsidR="005B461F" w:rsidRPr="00A21682" w:rsidRDefault="005B461F">
      <w:pPr>
        <w:pStyle w:val="Heading3"/>
      </w:pPr>
      <w:bookmarkStart w:id="3977" w:name="_Toc177119551"/>
      <w:bookmarkStart w:id="3978" w:name="_Toc185952853"/>
      <w:bookmarkStart w:id="3979" w:name="_Toc192874953"/>
      <w:bookmarkStart w:id="3980" w:name="_Toc153277043"/>
      <w:r>
        <w:t>Escalation Level</w:t>
      </w:r>
      <w:bookmarkEnd w:id="3977"/>
      <w:bookmarkEnd w:id="3978"/>
      <w:bookmarkEnd w:id="3979"/>
      <w:r>
        <w:t xml:space="preserve"> </w:t>
      </w:r>
      <w:bookmarkEnd w:id="3980"/>
    </w:p>
    <w:p w14:paraId="23362E17" w14:textId="426660D6" w:rsidR="003214DF" w:rsidRPr="00A21682" w:rsidRDefault="003214DF" w:rsidP="003214DF">
      <w:pPr>
        <w:pStyle w:val="NormalNEW"/>
        <w:keepLines/>
        <w:rPr>
          <w:lang w:val="en-US"/>
        </w:rPr>
      </w:pPr>
      <w:r>
        <w:rPr>
          <w:lang w:val="en-US"/>
        </w:rPr>
        <w:t>Escalation Level details the process that escalates a risk into an issue. This happens when the event that was originally identified occurs (Risk Materialization); if the impact of the risk increases beyond a predefined threshold (Risk Severity); or if the risk cannot be effectively managed within the current risk management approach (Manageability).</w:t>
      </w:r>
    </w:p>
    <w:p w14:paraId="7092FBE6" w14:textId="77777777" w:rsidR="003214DF" w:rsidRPr="00A21682" w:rsidRDefault="003214DF" w:rsidP="003214DF">
      <w:pPr>
        <w:pStyle w:val="NormalNEW"/>
        <w:rPr>
          <w:lang w:val="en-US"/>
        </w:rPr>
      </w:pPr>
      <w:r>
        <w:rPr>
          <w:lang w:val="en-US"/>
        </w:rPr>
        <w:t xml:space="preserve">When a risk becomes an issue and a new ALM tool ticket is created, a reconciliation will occur to confirm details are carried from the risk over to the newly opened issue. </w:t>
      </w:r>
    </w:p>
    <w:p w14:paraId="337B7AE4" w14:textId="379683D3" w:rsidR="00D92523" w:rsidRPr="00A21682" w:rsidRDefault="005B461F" w:rsidP="00D92523">
      <w:pPr>
        <w:pStyle w:val="NormalNEW"/>
        <w:rPr>
          <w:lang w:val="en-US"/>
        </w:rPr>
      </w:pPr>
      <w:r>
        <w:rPr>
          <w:lang w:val="en-US"/>
        </w:rPr>
        <w:t xml:space="preserve">As part of the Issue Resolution Approach, the Leadership Governance group discusses escalated issues during the PSR meetings until the issues are resolved. If the Leadership Governance group is unable to resolve the issue, the issue is then escalated to the Executive level. The types of escalation levels include the following: </w:t>
      </w:r>
    </w:p>
    <w:p w14:paraId="23263DDE" w14:textId="7214BD92" w:rsidR="00D92523" w:rsidRPr="00A21682" w:rsidRDefault="00D92523" w:rsidP="00F73D43">
      <w:pPr>
        <w:pStyle w:val="NormalNEW"/>
        <w:numPr>
          <w:ilvl w:val="0"/>
          <w:numId w:val="22"/>
        </w:numPr>
        <w:rPr>
          <w:lang w:val="en-US"/>
        </w:rPr>
      </w:pPr>
      <w:r>
        <w:rPr>
          <w:lang w:val="en-US"/>
        </w:rPr>
        <w:t>Management – Items we are managing day to day at the project level</w:t>
      </w:r>
    </w:p>
    <w:p w14:paraId="0D203A9A" w14:textId="5D916C10" w:rsidR="00D92523" w:rsidRPr="00A21682" w:rsidRDefault="00D92523" w:rsidP="00F73D43">
      <w:pPr>
        <w:pStyle w:val="NormalNEW"/>
        <w:numPr>
          <w:ilvl w:val="0"/>
          <w:numId w:val="22"/>
        </w:numPr>
        <w:rPr>
          <w:lang w:val="en-US"/>
        </w:rPr>
      </w:pPr>
      <w:r>
        <w:rPr>
          <w:lang w:val="en-US"/>
        </w:rPr>
        <w:t xml:space="preserve">Leadership – Items requiring project leadership awareness/input which are items with high severity that will be flagged at the project status report level </w:t>
      </w:r>
    </w:p>
    <w:p w14:paraId="2874EE54" w14:textId="59A16242" w:rsidR="00D92523" w:rsidRPr="00A21682" w:rsidRDefault="00D92523" w:rsidP="00F73D43">
      <w:pPr>
        <w:pStyle w:val="NormalNEW"/>
        <w:numPr>
          <w:ilvl w:val="0"/>
          <w:numId w:val="22"/>
        </w:numPr>
        <w:rPr>
          <w:lang w:val="en-US"/>
        </w:rPr>
      </w:pPr>
      <w:r>
        <w:rPr>
          <w:lang w:val="en-US"/>
        </w:rPr>
        <w:t>Executive – Items requiring executive project leadership awareness/input at the steering committee level</w:t>
      </w:r>
    </w:p>
    <w:p w14:paraId="3494789E" w14:textId="43B551E6" w:rsidR="005B461F" w:rsidRPr="00A21682" w:rsidRDefault="005B461F" w:rsidP="003E59AC">
      <w:pPr>
        <w:pStyle w:val="NormalNEW"/>
        <w:rPr>
          <w:highlight w:val="yellow"/>
          <w:lang w:val="en-US"/>
        </w:rPr>
      </w:pPr>
      <w:r>
        <w:rPr>
          <w:lang w:val="en-US"/>
        </w:rPr>
        <w:t xml:space="preserve">Issues escalated to the ESC will be first discussed in recurring ESC meetings. If the escalated issue poses an immediate negative impact and cannot wait until the next scheduled ESC meeting, the </w:t>
      </w:r>
      <w:r>
        <w:rPr>
          <w:u w:color="000000"/>
          <w:lang w:val="en-US"/>
        </w:rPr>
        <w:t xml:space="preserve">Continuing Medicaid Eligibility Modernization </w:t>
      </w:r>
      <w:r>
        <w:rPr>
          <w:lang w:val="en-US"/>
        </w:rPr>
        <w:t>PM will contact the ESC to review the issue on an emergency basis and determine a recommended course of action.</w:t>
      </w:r>
    </w:p>
    <w:p w14:paraId="3EE40829" w14:textId="77777777" w:rsidR="005B461F" w:rsidRPr="00A21682" w:rsidRDefault="005B461F">
      <w:pPr>
        <w:pStyle w:val="Heading3"/>
      </w:pPr>
      <w:bookmarkStart w:id="3981" w:name="_Toc153277044"/>
      <w:bookmarkStart w:id="3982" w:name="_Toc177119552"/>
      <w:bookmarkStart w:id="3983" w:name="_Toc185952854"/>
      <w:bookmarkStart w:id="3984" w:name="_Toc192874954"/>
      <w:r>
        <w:lastRenderedPageBreak/>
        <w:t>Issue Monitoring and Reporting</w:t>
      </w:r>
      <w:bookmarkEnd w:id="3981"/>
      <w:bookmarkEnd w:id="3982"/>
      <w:bookmarkEnd w:id="3983"/>
      <w:bookmarkEnd w:id="3984"/>
      <w:r>
        <w:t xml:space="preserve"> </w:t>
      </w:r>
    </w:p>
    <w:p w14:paraId="4D19E0AA" w14:textId="745898FF" w:rsidR="005B461F" w:rsidRPr="00A21682" w:rsidRDefault="005B461F" w:rsidP="003E59AC">
      <w:pPr>
        <w:pStyle w:val="NormalNEW"/>
        <w:rPr>
          <w:lang w:val="en-US"/>
        </w:rPr>
      </w:pPr>
      <w:r>
        <w:rPr>
          <w:lang w:val="en-US"/>
        </w:rPr>
        <w:t xml:space="preserve">Open issues that require project leadership attention will be tracked and published in the PSR. </w:t>
      </w:r>
    </w:p>
    <w:p w14:paraId="74CCB671" w14:textId="77777777" w:rsidR="005B461F" w:rsidRPr="00A21682" w:rsidRDefault="005B461F" w:rsidP="003E59AC">
      <w:pPr>
        <w:pStyle w:val="NormalNEW"/>
        <w:rPr>
          <w:lang w:val="en-US"/>
        </w:rPr>
      </w:pPr>
      <w:r>
        <w:rPr>
          <w:lang w:val="en-US"/>
        </w:rPr>
        <w:t>the ALM tool’s dashboard feature will be used to support the PMO in facilitating the recurring PSR review meeting. The dashboards in the ALM tool will allow the Project team to review issues in real time. The objectives of the issue review of the Project Status meeting are to:</w:t>
      </w:r>
    </w:p>
    <w:p w14:paraId="6C800156" w14:textId="2F4122AA" w:rsidR="005B461F" w:rsidRPr="00A21682" w:rsidRDefault="005B461F" w:rsidP="0031550A">
      <w:pPr>
        <w:pStyle w:val="BulletNEW"/>
      </w:pPr>
      <w:r>
        <w:t>Validate new issues</w:t>
      </w:r>
    </w:p>
    <w:p w14:paraId="05C03CDA" w14:textId="0C02E2D9" w:rsidR="005B461F" w:rsidRPr="00A21682" w:rsidRDefault="005B461F" w:rsidP="0031550A">
      <w:pPr>
        <w:pStyle w:val="BulletNEW"/>
      </w:pPr>
      <w:r>
        <w:t>Determine/update the issue owner, priority and impact, or issue resolution as necessary</w:t>
      </w:r>
    </w:p>
    <w:p w14:paraId="3AEB2D5E" w14:textId="6AD6FC6B" w:rsidR="005B461F" w:rsidRPr="00A21682" w:rsidRDefault="005B461F" w:rsidP="0031550A">
      <w:pPr>
        <w:pStyle w:val="BulletNEW"/>
      </w:pPr>
      <w:r>
        <w:t>Secure Project Executive Committee (PEC) approval of submitted issue resolution plans</w:t>
      </w:r>
    </w:p>
    <w:p w14:paraId="6B385580" w14:textId="27D61A0A" w:rsidR="005B461F" w:rsidRPr="00A21682" w:rsidRDefault="005B461F" w:rsidP="0031550A">
      <w:pPr>
        <w:pStyle w:val="BulletNEW"/>
      </w:pPr>
      <w:r>
        <w:t>Determine if, or when, an issue needs to be escalated</w:t>
      </w:r>
    </w:p>
    <w:p w14:paraId="6B34EDFB" w14:textId="77777777" w:rsidR="005B461F" w:rsidRPr="00A21682" w:rsidRDefault="005B461F" w:rsidP="003E59AC">
      <w:pPr>
        <w:pStyle w:val="NormalNEW"/>
        <w:rPr>
          <w:lang w:val="en-US"/>
        </w:rPr>
      </w:pPr>
      <w:r>
        <w:rPr>
          <w:lang w:val="en-US"/>
        </w:rPr>
        <w:t>The following issue dashboard panels are provided in the issue dashboard in the ALM tool and are used to monitor and control project issues:</w:t>
      </w:r>
    </w:p>
    <w:p w14:paraId="689AB855" w14:textId="1571B4CE" w:rsidR="005B461F" w:rsidRPr="00A21682" w:rsidRDefault="005B461F" w:rsidP="0031550A">
      <w:pPr>
        <w:pStyle w:val="BulletNEW"/>
      </w:pPr>
      <w:r>
        <w:t>Cumulative Issues by Status</w:t>
      </w:r>
    </w:p>
    <w:p w14:paraId="129E825A" w14:textId="15E05000" w:rsidR="005B461F" w:rsidRPr="00A21682" w:rsidRDefault="005B461F" w:rsidP="0031550A">
      <w:pPr>
        <w:pStyle w:val="BulletNEW"/>
      </w:pPr>
      <w:r>
        <w:t>Issues by Severity and Status</w:t>
      </w:r>
    </w:p>
    <w:p w14:paraId="65FB78A1" w14:textId="0EC153CF" w:rsidR="005B461F" w:rsidRPr="00A21682" w:rsidRDefault="005B461F" w:rsidP="0031550A">
      <w:pPr>
        <w:pStyle w:val="BulletNEW"/>
      </w:pPr>
      <w:r>
        <w:t>Open Issues by Severity</w:t>
      </w:r>
    </w:p>
    <w:p w14:paraId="7B4FB2B1" w14:textId="20AB7FAB" w:rsidR="005B461F" w:rsidRPr="00A21682" w:rsidRDefault="005B461F" w:rsidP="0031550A">
      <w:pPr>
        <w:pStyle w:val="BulletNEW"/>
      </w:pPr>
      <w:r>
        <w:t>Open Issues Aging by Severity</w:t>
      </w:r>
    </w:p>
    <w:p w14:paraId="3B873A52" w14:textId="77777777" w:rsidR="005B461F" w:rsidRPr="00A21682" w:rsidRDefault="005B461F" w:rsidP="003E59AC">
      <w:pPr>
        <w:pStyle w:val="NormalNEW"/>
        <w:rPr>
          <w:lang w:val="en-US"/>
        </w:rPr>
      </w:pPr>
      <w:r>
        <w:rPr>
          <w:lang w:val="en-US"/>
        </w:rPr>
        <w:t>Below is an example dashboard which displays the number of risks categorized by status. Note that the dashboard was created using test data. ███████ will collaborate with DOH OHIP to generate and modify dashboards to meet DOH OHIP expectations. Upon agreement on dashboard format and data, ███████ will include the dashboards in the PSR.</w:t>
      </w:r>
    </w:p>
    <w:p w14:paraId="4DD525BE" w14:textId="77777777" w:rsidR="005B461F" w:rsidRPr="00A21682" w:rsidRDefault="005B461F" w:rsidP="003E59AC">
      <w:pPr>
        <w:pStyle w:val="NormalNEW"/>
        <w:jc w:val="center"/>
        <w:rPr>
          <w:lang w:val="en-US"/>
        </w:rPr>
      </w:pPr>
      <w:r>
        <w:rPr>
          <w:noProof/>
          <w:lang w:val="en-US"/>
        </w:rPr>
        <w:drawing>
          <wp:inline distT="0" distB="0" distL="0" distR="0" wp14:anchorId="0F1B34F7" wp14:editId="5EA8BCED">
            <wp:extent cx="3837315" cy="3989719"/>
            <wp:effectExtent l="19050" t="19050" r="10795" b="10795"/>
            <wp:docPr id="9" name="Picture 9" descr="Ch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98">
                      <a:extLst>
                        <a:ext uri="{28A0092B-C50C-407E-A947-70E740481C1C}">
                          <a14:useLocalDpi xmlns:a14="http://schemas.microsoft.com/office/drawing/2010/main" val="0"/>
                        </a:ext>
                      </a:extLst>
                    </a:blip>
                    <a:stretch>
                      <a:fillRect/>
                    </a:stretch>
                  </pic:blipFill>
                  <pic:spPr>
                    <a:xfrm>
                      <a:off x="0" y="0"/>
                      <a:ext cx="3837315" cy="3989719"/>
                    </a:xfrm>
                    <a:prstGeom prst="rect">
                      <a:avLst/>
                    </a:prstGeom>
                    <a:ln w="9525">
                      <a:solidFill>
                        <a:schemeClr val="tx1"/>
                      </a:solidFill>
                    </a:ln>
                  </pic:spPr>
                </pic:pic>
              </a:graphicData>
            </a:graphic>
          </wp:inline>
        </w:drawing>
      </w:r>
    </w:p>
    <w:p w14:paraId="5B74602C" w14:textId="481F4675" w:rsidR="0092603C" w:rsidRPr="00A21682" w:rsidRDefault="005B461F" w:rsidP="000F38B8">
      <w:pPr>
        <w:pStyle w:val="Caption"/>
        <w:rPr>
          <w:noProof w:val="0"/>
        </w:rPr>
      </w:pPr>
      <w:bookmarkStart w:id="3985" w:name="_Toc149672600"/>
      <w:bookmarkStart w:id="3986" w:name="_Toc178152070"/>
      <w:bookmarkStart w:id="3987" w:name="_Toc192875078"/>
      <w:r>
        <w:rPr>
          <w:noProof w:val="0"/>
        </w:rPr>
        <w:lastRenderedPageBreak/>
        <w:t xml:space="preserve">Figure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4</w:t>
      </w:r>
      <w:r>
        <w:rPr>
          <w:noProof w:val="0"/>
        </w:rPr>
        <w:fldChar w:fldCharType="end"/>
      </w:r>
      <w:r>
        <w:rPr>
          <w:noProof w:val="0"/>
        </w:rPr>
        <w:t>: Sample Issue Dashboard</w:t>
      </w:r>
      <w:bookmarkEnd w:id="3985"/>
      <w:bookmarkEnd w:id="3986"/>
      <w:bookmarkEnd w:id="3987"/>
    </w:p>
    <w:p w14:paraId="3EFE93A9" w14:textId="54BBB265" w:rsidR="00F96ABD" w:rsidRPr="00A21682" w:rsidRDefault="00F96ABD" w:rsidP="00F96ABD">
      <w:pPr>
        <w:pStyle w:val="Heading2"/>
      </w:pPr>
      <w:bookmarkStart w:id="3988" w:name="_Toc185952855"/>
      <w:bookmarkStart w:id="3989" w:name="_Toc192874955"/>
      <w:r>
        <w:t>Action Item (AI) Management</w:t>
      </w:r>
      <w:bookmarkEnd w:id="3988"/>
      <w:bookmarkEnd w:id="3989"/>
    </w:p>
    <w:p w14:paraId="477383D3" w14:textId="77777777" w:rsidR="00F96ABD" w:rsidRPr="00A21682" w:rsidRDefault="00F96ABD" w:rsidP="00F96ABD">
      <w:pPr>
        <w:pStyle w:val="NormalNEW"/>
        <w:rPr>
          <w:lang w:val="en-US"/>
        </w:rPr>
      </w:pPr>
      <w:r>
        <w:rPr>
          <w:lang w:val="en-US"/>
        </w:rPr>
        <w:t xml:space="preserve">This section documents the process and tools the project will use to log action items and manage them to closure throughout the life of the project. </w:t>
      </w:r>
    </w:p>
    <w:p w14:paraId="35950FCB" w14:textId="68328EAE" w:rsidR="00F96ABD" w:rsidRPr="00A21682" w:rsidRDefault="00F96ABD" w:rsidP="00F96ABD">
      <w:pPr>
        <w:pStyle w:val="NormalNEW"/>
        <w:rPr>
          <w:lang w:val="en-US"/>
        </w:rPr>
      </w:pPr>
      <w:r>
        <w:rPr>
          <w:lang w:val="en-US"/>
        </w:rPr>
        <w:t xml:space="preserve">The Continuing Medicaid Eligibility Modernization project will use the ALM tool, a project tracking software tool, to manage action items, track action items, and generate action item reports and dashboards. </w:t>
      </w:r>
    </w:p>
    <w:p w14:paraId="328BA5EE" w14:textId="77777777" w:rsidR="00F96ABD" w:rsidRPr="00A21682" w:rsidRDefault="00F96ABD" w:rsidP="00F96ABD">
      <w:pPr>
        <w:pStyle w:val="Heading3"/>
      </w:pPr>
      <w:bookmarkStart w:id="3990" w:name="_Toc185952856"/>
      <w:bookmarkStart w:id="3991" w:name="_Toc192874956"/>
      <w:r>
        <w:t>Action Item Management Process Flow</w:t>
      </w:r>
      <w:bookmarkEnd w:id="3990"/>
      <w:bookmarkEnd w:id="3991"/>
    </w:p>
    <w:p w14:paraId="3269645E" w14:textId="2DD14E2C" w:rsidR="00F96ABD" w:rsidRPr="00A21682" w:rsidRDefault="00F96ABD" w:rsidP="00F96ABD">
      <w:pPr>
        <w:pStyle w:val="NormalNEW"/>
        <w:rPr>
          <w:lang w:val="en-US"/>
        </w:rPr>
      </w:pPr>
      <w:r>
        <w:rPr>
          <w:lang w:val="en-US"/>
        </w:rPr>
        <w:t xml:space="preserve">Action items arise when a specific task or action needs to be undertaken to address an issue, complete a project phase, or achieve a goal. The action item life cycle describes the allowed states and workflow for action items. The timely address of action items is critical for maintaining project standards and quality. The following process flow describes the status changes of action items through the life cycle of the project. </w:t>
      </w:r>
    </w:p>
    <w:p w14:paraId="2BAEBA10" w14:textId="03B7C0AA" w:rsidR="00781DFF" w:rsidRPr="00A21682" w:rsidRDefault="00A40AA5" w:rsidP="00F96ABD">
      <w:pPr>
        <w:pStyle w:val="NormalNEW"/>
        <w:rPr>
          <w:lang w:val="en-US"/>
        </w:rPr>
      </w:pPr>
      <w:r>
        <w:rPr>
          <w:lang w:val="en-US"/>
        </w:rPr>
        <w:pict w14:anchorId="4E30CAD0">
          <v:shape id="_x0000_i1049" type="#_x0000_t75" style="width:468pt;height:174pt">
            <v:imagedata r:id="rId99" o:title=""/>
          </v:shape>
        </w:pict>
      </w:r>
    </w:p>
    <w:p w14:paraId="7185040A" w14:textId="1361B1A0" w:rsidR="00F96ABD" w:rsidRPr="00A21682" w:rsidRDefault="00F96ABD" w:rsidP="000F38B8">
      <w:pPr>
        <w:pStyle w:val="Caption"/>
        <w:rPr>
          <w:rFonts w:eastAsia="Arial Narrow"/>
          <w:noProof w:val="0"/>
        </w:rPr>
      </w:pPr>
      <w:bookmarkStart w:id="3992" w:name="_Toc178152071"/>
      <w:bookmarkStart w:id="3993" w:name="_Toc192875079"/>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5</w:t>
      </w:r>
      <w:r>
        <w:rPr>
          <w:noProof w:val="0"/>
        </w:rPr>
        <w:fldChar w:fldCharType="end"/>
      </w:r>
      <w:r>
        <w:rPr>
          <w:noProof w:val="0"/>
        </w:rPr>
        <w:t>: Action Item Management Process Flow Diagram</w:t>
      </w:r>
      <w:bookmarkEnd w:id="3992"/>
      <w:bookmarkEnd w:id="3993"/>
    </w:p>
    <w:p w14:paraId="16F8E048" w14:textId="77777777" w:rsidR="00F96ABD" w:rsidRPr="00A21682" w:rsidRDefault="00F96ABD" w:rsidP="00F96ABD">
      <w:pPr>
        <w:pStyle w:val="Heading3"/>
      </w:pPr>
      <w:bookmarkStart w:id="3994" w:name="_Toc185952857"/>
      <w:bookmarkStart w:id="3995" w:name="_Toc192874957"/>
      <w:r>
        <w:t>Action Item Management Process Flow Narrative</w:t>
      </w:r>
      <w:bookmarkEnd w:id="3994"/>
      <w:bookmarkEnd w:id="3995"/>
    </w:p>
    <w:p w14:paraId="64C0EC51" w14:textId="0DA7E110" w:rsidR="00F96ABD" w:rsidRPr="00A21682" w:rsidRDefault="00F96ABD" w:rsidP="00F96ABD">
      <w:pPr>
        <w:pStyle w:val="NormalNEW"/>
        <w:rPr>
          <w:lang w:val="en-US"/>
        </w:rPr>
      </w:pPr>
      <w:r>
        <w:rPr>
          <w:lang w:val="en-US"/>
        </w:rPr>
        <w:t>The following narrative describes the status changes of action item through the life cycle of the project.</w:t>
      </w:r>
    </w:p>
    <w:tbl>
      <w:tblPr>
        <w:tblStyle w:val="TableGrid13"/>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05"/>
        <w:gridCol w:w="1712"/>
        <w:gridCol w:w="5040"/>
        <w:gridCol w:w="1798"/>
      </w:tblGrid>
      <w:tr w:rsidR="00F96ABD" w:rsidRPr="00A21682" w14:paraId="7B1355A4" w14:textId="77777777">
        <w:trPr>
          <w:cnfStyle w:val="100000000000" w:firstRow="1" w:lastRow="0" w:firstColumn="0" w:lastColumn="0" w:oddVBand="0" w:evenVBand="0" w:oddHBand="0" w:evenHBand="0" w:firstRowFirstColumn="0" w:firstRowLastColumn="0" w:lastRowFirstColumn="0" w:lastRowLastColumn="0"/>
          <w:cantSplit/>
          <w:trHeight w:val="20"/>
          <w:tblHeader/>
        </w:trPr>
        <w:tc>
          <w:tcPr>
            <w:tcW w:w="805" w:type="dxa"/>
            <w:tcBorders>
              <w:right w:val="single" w:sz="2" w:space="0" w:color="FFFFFF" w:themeColor="background1"/>
            </w:tcBorders>
          </w:tcPr>
          <w:p w14:paraId="5836C82D" w14:textId="77777777" w:rsidR="00F96ABD" w:rsidRPr="00A21682" w:rsidRDefault="00F96ABD">
            <w:pPr>
              <w:pStyle w:val="TABLEHEADINGNEW"/>
              <w:jc w:val="left"/>
              <w:rPr>
                <w:rFonts w:eastAsia="Verdana"/>
                <w:b/>
              </w:rPr>
            </w:pPr>
            <w:r>
              <w:rPr>
                <w:rFonts w:eastAsia="Verdana"/>
                <w:b/>
              </w:rPr>
              <w:t>Step #</w:t>
            </w:r>
          </w:p>
        </w:tc>
        <w:tc>
          <w:tcPr>
            <w:tcW w:w="1712" w:type="dxa"/>
            <w:tcBorders>
              <w:left w:val="single" w:sz="2" w:space="0" w:color="FFFFFF" w:themeColor="background1"/>
              <w:right w:val="single" w:sz="2" w:space="0" w:color="FFFFFF" w:themeColor="background1"/>
            </w:tcBorders>
          </w:tcPr>
          <w:p w14:paraId="48AA3DA4" w14:textId="77777777" w:rsidR="00F96ABD" w:rsidRPr="00A21682" w:rsidRDefault="00F96ABD">
            <w:pPr>
              <w:pStyle w:val="TABLEHEADINGNEW"/>
              <w:jc w:val="left"/>
              <w:rPr>
                <w:rFonts w:eastAsia="Verdana"/>
                <w:b/>
              </w:rPr>
            </w:pPr>
            <w:r>
              <w:rPr>
                <w:rFonts w:eastAsia="Verdana"/>
                <w:b/>
              </w:rPr>
              <w:t>Process </w:t>
            </w:r>
          </w:p>
        </w:tc>
        <w:tc>
          <w:tcPr>
            <w:tcW w:w="5040" w:type="dxa"/>
            <w:tcBorders>
              <w:left w:val="single" w:sz="2" w:space="0" w:color="FFFFFF" w:themeColor="background1"/>
              <w:right w:val="single" w:sz="2" w:space="0" w:color="FFFFFF" w:themeColor="background1"/>
            </w:tcBorders>
          </w:tcPr>
          <w:p w14:paraId="460B8782" w14:textId="77777777" w:rsidR="00F96ABD" w:rsidRPr="00A21682" w:rsidRDefault="00F96ABD">
            <w:pPr>
              <w:pStyle w:val="TABLEHEADINGNEW"/>
              <w:jc w:val="left"/>
              <w:rPr>
                <w:rFonts w:eastAsia="Verdana"/>
                <w:b/>
              </w:rPr>
            </w:pPr>
            <w:r>
              <w:rPr>
                <w:rFonts w:eastAsia="Verdana"/>
                <w:b/>
              </w:rPr>
              <w:t>Description </w:t>
            </w:r>
          </w:p>
        </w:tc>
        <w:tc>
          <w:tcPr>
            <w:tcW w:w="1798" w:type="dxa"/>
            <w:tcBorders>
              <w:left w:val="single" w:sz="2" w:space="0" w:color="FFFFFF" w:themeColor="background1"/>
            </w:tcBorders>
          </w:tcPr>
          <w:p w14:paraId="435A5247" w14:textId="77777777" w:rsidR="00F96ABD" w:rsidRPr="00A21682" w:rsidRDefault="00F96ABD">
            <w:pPr>
              <w:pStyle w:val="TABLEHEADINGNEW"/>
              <w:jc w:val="left"/>
              <w:rPr>
                <w:rFonts w:eastAsia="Verdana"/>
                <w:b/>
              </w:rPr>
            </w:pPr>
            <w:r>
              <w:rPr>
                <w:rFonts w:eastAsia="Verdana"/>
                <w:b/>
              </w:rPr>
              <w:t>Stakeholder Group(s) </w:t>
            </w:r>
          </w:p>
        </w:tc>
      </w:tr>
      <w:tr w:rsidR="00F96ABD" w:rsidRPr="00A21682" w14:paraId="2EEB6DB1" w14:textId="77777777">
        <w:trPr>
          <w:cantSplit/>
          <w:trHeight w:val="20"/>
        </w:trPr>
        <w:tc>
          <w:tcPr>
            <w:tcW w:w="805" w:type="dxa"/>
          </w:tcPr>
          <w:p w14:paraId="2FC96B57" w14:textId="77777777" w:rsidR="00F96ABD" w:rsidRPr="00A21682" w:rsidRDefault="00F96ABD">
            <w:pPr>
              <w:pStyle w:val="TABLETEXT1"/>
              <w:rPr>
                <w:lang w:val="en-US"/>
              </w:rPr>
            </w:pPr>
            <w:r>
              <w:rPr>
                <w:lang w:val="en-US"/>
              </w:rPr>
              <w:t>1</w:t>
            </w:r>
          </w:p>
        </w:tc>
        <w:tc>
          <w:tcPr>
            <w:tcW w:w="1712" w:type="dxa"/>
          </w:tcPr>
          <w:p w14:paraId="5D27BEB2" w14:textId="77777777" w:rsidR="00F96ABD" w:rsidRPr="00A21682" w:rsidRDefault="00F96ABD">
            <w:pPr>
              <w:pStyle w:val="TABLETEXT1"/>
              <w:rPr>
                <w:lang w:val="en-US"/>
              </w:rPr>
            </w:pPr>
            <w:r>
              <w:rPr>
                <w:lang w:val="en-US"/>
              </w:rPr>
              <w:t>Identify AI</w:t>
            </w:r>
          </w:p>
        </w:tc>
        <w:tc>
          <w:tcPr>
            <w:tcW w:w="5040" w:type="dxa"/>
          </w:tcPr>
          <w:p w14:paraId="58CBA78D" w14:textId="77777777" w:rsidR="00F96ABD" w:rsidRPr="00A21682" w:rsidRDefault="00F96ABD">
            <w:pPr>
              <w:pStyle w:val="TABLETEXT1"/>
              <w:rPr>
                <w:lang w:val="en-US"/>
              </w:rPr>
            </w:pPr>
            <w:r>
              <w:rPr>
                <w:lang w:val="en-US"/>
              </w:rPr>
              <w:t xml:space="preserve">AI Identifier, through project delivery, identifies an AI. </w:t>
            </w:r>
          </w:p>
        </w:tc>
        <w:tc>
          <w:tcPr>
            <w:tcW w:w="1798" w:type="dxa"/>
          </w:tcPr>
          <w:p w14:paraId="17E7B3DA" w14:textId="77777777" w:rsidR="00F96ABD" w:rsidRPr="00635C9B" w:rsidRDefault="00F96ABD" w:rsidP="00CA1375">
            <w:pPr>
              <w:pStyle w:val="TABLEBULLETNEW"/>
            </w:pPr>
            <w:r>
              <w:t>AI Identifier</w:t>
            </w:r>
          </w:p>
        </w:tc>
      </w:tr>
      <w:tr w:rsidR="00F96ABD" w:rsidRPr="00A21682" w14:paraId="57740691" w14:textId="77777777">
        <w:trPr>
          <w:cantSplit/>
          <w:trHeight w:val="20"/>
        </w:trPr>
        <w:tc>
          <w:tcPr>
            <w:tcW w:w="805" w:type="dxa"/>
          </w:tcPr>
          <w:p w14:paraId="18DBDB52" w14:textId="77777777" w:rsidR="00F96ABD" w:rsidRPr="00A21682" w:rsidRDefault="00F96ABD">
            <w:pPr>
              <w:pStyle w:val="TABLETEXT1"/>
              <w:rPr>
                <w:lang w:val="en-US"/>
              </w:rPr>
            </w:pPr>
            <w:r>
              <w:rPr>
                <w:lang w:val="en-US"/>
              </w:rPr>
              <w:t>2</w:t>
            </w:r>
          </w:p>
        </w:tc>
        <w:tc>
          <w:tcPr>
            <w:tcW w:w="1712" w:type="dxa"/>
          </w:tcPr>
          <w:p w14:paraId="45799F39" w14:textId="278B438C" w:rsidR="00F96ABD" w:rsidRPr="00A21682" w:rsidRDefault="00F96ABD">
            <w:pPr>
              <w:pStyle w:val="TABLETEXT1"/>
              <w:rPr>
                <w:lang w:val="en-US"/>
              </w:rPr>
            </w:pPr>
            <w:r>
              <w:rPr>
                <w:lang w:val="en-US"/>
              </w:rPr>
              <w:t>Document AI in the ALM tool and Populate All Fields</w:t>
            </w:r>
          </w:p>
        </w:tc>
        <w:tc>
          <w:tcPr>
            <w:tcW w:w="5040" w:type="dxa"/>
          </w:tcPr>
          <w:p w14:paraId="65DE1DA7" w14:textId="69AB96D7" w:rsidR="00F96ABD" w:rsidRPr="00A21682" w:rsidRDefault="00C357DF">
            <w:pPr>
              <w:pStyle w:val="TABLETEXT1"/>
              <w:rPr>
                <w:lang w:val="en-US"/>
              </w:rPr>
            </w:pPr>
            <w:r>
              <w:rPr>
                <w:lang w:val="en-US"/>
              </w:rPr>
              <w:t xml:space="preserve">The designated PMO will work with the AI Identifier to log the item in the ALM tool and confirm that an AI Owner is identified. </w:t>
            </w:r>
          </w:p>
        </w:tc>
        <w:tc>
          <w:tcPr>
            <w:tcW w:w="1798" w:type="dxa"/>
          </w:tcPr>
          <w:p w14:paraId="1524889B" w14:textId="49D7D596" w:rsidR="00F96ABD" w:rsidRPr="00635C9B" w:rsidRDefault="00F356E9" w:rsidP="00CA1375">
            <w:pPr>
              <w:pStyle w:val="TABLEBULLETNEW"/>
            </w:pPr>
            <w:r>
              <w:t>███████/DOS PMO</w:t>
            </w:r>
          </w:p>
          <w:p w14:paraId="35995C3B" w14:textId="77777777" w:rsidR="00F96ABD" w:rsidRPr="00635C9B" w:rsidRDefault="00F96ABD" w:rsidP="00CA1375">
            <w:pPr>
              <w:pStyle w:val="TABLEBULLETNEW"/>
            </w:pPr>
            <w:r>
              <w:t>AI Identifier</w:t>
            </w:r>
          </w:p>
        </w:tc>
      </w:tr>
      <w:tr w:rsidR="00F96ABD" w:rsidRPr="00A21682" w14:paraId="5DC15548" w14:textId="77777777">
        <w:trPr>
          <w:cantSplit/>
          <w:trHeight w:val="20"/>
        </w:trPr>
        <w:tc>
          <w:tcPr>
            <w:tcW w:w="805" w:type="dxa"/>
          </w:tcPr>
          <w:p w14:paraId="192CDF4A" w14:textId="77777777" w:rsidR="00F96ABD" w:rsidRPr="00A21682" w:rsidRDefault="00F96ABD">
            <w:pPr>
              <w:pStyle w:val="TABLETEXT1"/>
              <w:rPr>
                <w:lang w:val="en-US"/>
              </w:rPr>
            </w:pPr>
            <w:r>
              <w:rPr>
                <w:lang w:val="en-US"/>
              </w:rPr>
              <w:lastRenderedPageBreak/>
              <w:t>3</w:t>
            </w:r>
          </w:p>
        </w:tc>
        <w:tc>
          <w:tcPr>
            <w:tcW w:w="1712" w:type="dxa"/>
          </w:tcPr>
          <w:p w14:paraId="697EE1F6" w14:textId="77777777" w:rsidR="00F96ABD" w:rsidRPr="00A21682" w:rsidRDefault="00F96ABD">
            <w:pPr>
              <w:pStyle w:val="TABLETEXT1"/>
              <w:rPr>
                <w:lang w:val="en-US"/>
              </w:rPr>
            </w:pPr>
            <w:r>
              <w:rPr>
                <w:lang w:val="en-US"/>
              </w:rPr>
              <w:t>Address AI</w:t>
            </w:r>
          </w:p>
        </w:tc>
        <w:tc>
          <w:tcPr>
            <w:tcW w:w="5040" w:type="dxa"/>
          </w:tcPr>
          <w:p w14:paraId="43AF9087" w14:textId="77777777" w:rsidR="00F96ABD" w:rsidRPr="00A21682" w:rsidRDefault="00F96ABD">
            <w:pPr>
              <w:pStyle w:val="TABLETEXT1"/>
              <w:rPr>
                <w:lang w:val="en-US"/>
              </w:rPr>
            </w:pPr>
            <w:r>
              <w:rPr>
                <w:lang w:val="en-US"/>
              </w:rPr>
              <w:t>AI Owner performs necessary steps to complete the action item and make the updates needed in the ALM tool.</w:t>
            </w:r>
          </w:p>
          <w:p w14:paraId="4148760A" w14:textId="77777777" w:rsidR="00F96ABD" w:rsidRPr="00A21682" w:rsidRDefault="00F96ABD">
            <w:pPr>
              <w:pStyle w:val="TABLETEXT1"/>
              <w:rPr>
                <w:lang w:val="en-US"/>
              </w:rPr>
            </w:pPr>
            <w:r>
              <w:rPr>
                <w:lang w:val="en-US"/>
              </w:rPr>
              <w:t>Under certain circumstances, the AI Owner may not be able to complete the tasks required to close the action item. In this scenario, the AI Owner escalated the item to receive additional resources.</w:t>
            </w:r>
          </w:p>
        </w:tc>
        <w:tc>
          <w:tcPr>
            <w:tcW w:w="1798" w:type="dxa"/>
          </w:tcPr>
          <w:p w14:paraId="13E54629" w14:textId="77777777" w:rsidR="00F96ABD" w:rsidRPr="00635C9B" w:rsidRDefault="00F96ABD" w:rsidP="00CA1375">
            <w:pPr>
              <w:pStyle w:val="TABLEBULLETNEW"/>
            </w:pPr>
            <w:r>
              <w:t>AI Owner</w:t>
            </w:r>
          </w:p>
        </w:tc>
      </w:tr>
      <w:tr w:rsidR="00F96ABD" w:rsidRPr="00A21682" w14:paraId="4D5C7656" w14:textId="77777777">
        <w:trPr>
          <w:cantSplit/>
          <w:trHeight w:val="20"/>
        </w:trPr>
        <w:tc>
          <w:tcPr>
            <w:tcW w:w="805" w:type="dxa"/>
          </w:tcPr>
          <w:p w14:paraId="5CF18272" w14:textId="77777777" w:rsidR="00F96ABD" w:rsidRPr="00A21682" w:rsidRDefault="00F96ABD">
            <w:pPr>
              <w:pStyle w:val="TABLETEXT1"/>
              <w:rPr>
                <w:lang w:val="en-US"/>
              </w:rPr>
            </w:pPr>
            <w:r>
              <w:rPr>
                <w:lang w:val="en-US"/>
              </w:rPr>
              <w:t>3.1</w:t>
            </w:r>
          </w:p>
        </w:tc>
        <w:tc>
          <w:tcPr>
            <w:tcW w:w="1712" w:type="dxa"/>
          </w:tcPr>
          <w:p w14:paraId="382640B5" w14:textId="43F51D98" w:rsidR="00F96ABD" w:rsidRPr="00A21682" w:rsidRDefault="00F96ABD">
            <w:pPr>
              <w:pStyle w:val="TABLETEXT1"/>
              <w:rPr>
                <w:lang w:val="en-US"/>
              </w:rPr>
            </w:pPr>
            <w:r>
              <w:rPr>
                <w:lang w:val="en-US"/>
              </w:rPr>
              <w:t>Is the AI Complete?</w:t>
            </w:r>
          </w:p>
        </w:tc>
        <w:tc>
          <w:tcPr>
            <w:tcW w:w="5040" w:type="dxa"/>
          </w:tcPr>
          <w:p w14:paraId="2E8D2BCF" w14:textId="0119D367" w:rsidR="00F96ABD" w:rsidRPr="00A21682" w:rsidRDefault="00F96ABD" w:rsidP="00CA1375">
            <w:pPr>
              <w:pStyle w:val="TABLEBULLETNEW"/>
            </w:pPr>
            <w:r>
              <w:t xml:space="preserve">If the AI Owner completes the AI, proceed to </w:t>
            </w:r>
            <w:r>
              <w:rPr>
                <w:i/>
                <w:iCs/>
              </w:rPr>
              <w:t xml:space="preserve">Step #4 Verify AI is Complete </w:t>
            </w:r>
            <w:r>
              <w:t>and close out in the ALM tool</w:t>
            </w:r>
          </w:p>
          <w:p w14:paraId="78D665AF" w14:textId="77777777" w:rsidR="00F96ABD" w:rsidRPr="00A21682" w:rsidRDefault="00F96ABD" w:rsidP="00CA1375">
            <w:pPr>
              <w:pStyle w:val="TABLEBULLETNEW"/>
            </w:pPr>
            <w:r>
              <w:t xml:space="preserve">If the AI owner does not complete the AI, proceed to </w:t>
            </w:r>
            <w:r>
              <w:rPr>
                <w:i/>
                <w:iCs/>
              </w:rPr>
              <w:t xml:space="preserve">Step </w:t>
            </w:r>
            <w:r>
              <w:rPr>
                <w:i/>
              </w:rPr>
              <w:t>#3.2 Is Escalation Required</w:t>
            </w:r>
            <w:r>
              <w:rPr>
                <w:i/>
                <w:iCs/>
              </w:rPr>
              <w:t>?</w:t>
            </w:r>
            <w:r>
              <w:t xml:space="preserve"> </w:t>
            </w:r>
          </w:p>
        </w:tc>
        <w:tc>
          <w:tcPr>
            <w:tcW w:w="1798" w:type="dxa"/>
          </w:tcPr>
          <w:p w14:paraId="5407E156" w14:textId="77777777" w:rsidR="00F96ABD" w:rsidRPr="00635C9B" w:rsidRDefault="00F96ABD" w:rsidP="00CA1375">
            <w:pPr>
              <w:pStyle w:val="TABLEBULLETNEW"/>
            </w:pPr>
            <w:r>
              <w:t>AI Owner</w:t>
            </w:r>
          </w:p>
        </w:tc>
      </w:tr>
      <w:tr w:rsidR="00F96ABD" w:rsidRPr="00A21682" w14:paraId="7F33CCD9" w14:textId="77777777">
        <w:trPr>
          <w:cantSplit/>
          <w:trHeight w:val="20"/>
        </w:trPr>
        <w:tc>
          <w:tcPr>
            <w:tcW w:w="805" w:type="dxa"/>
          </w:tcPr>
          <w:p w14:paraId="6F348FC4" w14:textId="77777777" w:rsidR="00F96ABD" w:rsidRPr="00A21682" w:rsidRDefault="00F96ABD">
            <w:pPr>
              <w:pStyle w:val="TABLETEXT1"/>
              <w:rPr>
                <w:lang w:val="en-US"/>
              </w:rPr>
            </w:pPr>
            <w:r>
              <w:rPr>
                <w:lang w:val="en-US"/>
              </w:rPr>
              <w:t>3.2</w:t>
            </w:r>
          </w:p>
        </w:tc>
        <w:tc>
          <w:tcPr>
            <w:tcW w:w="1712" w:type="dxa"/>
          </w:tcPr>
          <w:p w14:paraId="4E7C39D4" w14:textId="77777777" w:rsidR="00F96ABD" w:rsidRPr="00A21682" w:rsidRDefault="00F96ABD">
            <w:pPr>
              <w:pStyle w:val="TABLETEXT1"/>
              <w:rPr>
                <w:lang w:val="en-US"/>
              </w:rPr>
            </w:pPr>
            <w:r>
              <w:rPr>
                <w:lang w:val="en-US"/>
              </w:rPr>
              <w:t>Is Escalation Required?</w:t>
            </w:r>
          </w:p>
        </w:tc>
        <w:tc>
          <w:tcPr>
            <w:tcW w:w="5040" w:type="dxa"/>
          </w:tcPr>
          <w:p w14:paraId="42B47777" w14:textId="35D629B7" w:rsidR="008F5E39" w:rsidRPr="00A21682" w:rsidRDefault="00F96ABD" w:rsidP="008F5E39">
            <w:pPr>
              <w:pStyle w:val="TABLETEXT1"/>
              <w:rPr>
                <w:lang w:val="en-US"/>
              </w:rPr>
            </w:pPr>
            <w:r>
              <w:rPr>
                <w:lang w:val="en-US"/>
              </w:rPr>
              <w:t xml:space="preserve">If the AI Owner is unable to complete the tasks, the designated PMO must determine if escalation is required. </w:t>
            </w:r>
          </w:p>
          <w:p w14:paraId="0EC35BF3" w14:textId="64659B94" w:rsidR="00F96ABD" w:rsidRPr="00A21682" w:rsidRDefault="00F96ABD" w:rsidP="00CA1375">
            <w:pPr>
              <w:pStyle w:val="TABLEBULLETNEW"/>
              <w:rPr>
                <w:i/>
              </w:rPr>
            </w:pPr>
            <w:r>
              <w:t xml:space="preserve">If escalation is required, proceed to </w:t>
            </w:r>
            <w:r>
              <w:rPr>
                <w:i/>
                <w:iCs/>
              </w:rPr>
              <w:t xml:space="preserve">Step </w:t>
            </w:r>
            <w:r>
              <w:rPr>
                <w:i/>
              </w:rPr>
              <w:t>#3.4 Log AI as New Risk</w:t>
            </w:r>
          </w:p>
          <w:p w14:paraId="77AB3C43" w14:textId="290E7387" w:rsidR="00F96ABD" w:rsidRPr="00A21682" w:rsidRDefault="00F96ABD" w:rsidP="00CA1375">
            <w:pPr>
              <w:pStyle w:val="TABLEBULLETNEW"/>
            </w:pPr>
            <w:r>
              <w:t xml:space="preserve">If the AI owner does not complete the AI but does not require escalation, proceed to </w:t>
            </w:r>
            <w:r>
              <w:rPr>
                <w:i/>
                <w:iCs/>
              </w:rPr>
              <w:t>Step #</w:t>
            </w:r>
            <w:r>
              <w:rPr>
                <w:i/>
              </w:rPr>
              <w:t>3.3 Include AI in Project Status Report (PSR) and Flag to AI Owner</w:t>
            </w:r>
          </w:p>
        </w:tc>
        <w:tc>
          <w:tcPr>
            <w:tcW w:w="1798" w:type="dxa"/>
          </w:tcPr>
          <w:p w14:paraId="7F33BF03" w14:textId="4C782604" w:rsidR="00F96ABD" w:rsidRPr="00635C9B" w:rsidRDefault="00CC2845" w:rsidP="00CA1375">
            <w:pPr>
              <w:pStyle w:val="TABLEBULLETNEW"/>
            </w:pPr>
            <w:r>
              <w:t>███████/DOS PMO</w:t>
            </w:r>
          </w:p>
        </w:tc>
      </w:tr>
      <w:tr w:rsidR="00CC2845" w:rsidRPr="00A21682" w14:paraId="29015AB0" w14:textId="77777777">
        <w:trPr>
          <w:cantSplit/>
          <w:trHeight w:val="20"/>
        </w:trPr>
        <w:tc>
          <w:tcPr>
            <w:tcW w:w="805" w:type="dxa"/>
          </w:tcPr>
          <w:p w14:paraId="01469D4B" w14:textId="77777777" w:rsidR="00CC2845" w:rsidRPr="00A21682" w:rsidRDefault="00CC2845" w:rsidP="00CC2845">
            <w:pPr>
              <w:pStyle w:val="TABLETEXT1"/>
              <w:rPr>
                <w:lang w:val="en-US"/>
              </w:rPr>
            </w:pPr>
            <w:r>
              <w:rPr>
                <w:lang w:val="en-US"/>
              </w:rPr>
              <w:t>3.3</w:t>
            </w:r>
          </w:p>
        </w:tc>
        <w:tc>
          <w:tcPr>
            <w:tcW w:w="1712" w:type="dxa"/>
          </w:tcPr>
          <w:p w14:paraId="0D0CEE7C" w14:textId="77777777" w:rsidR="00CC2845" w:rsidRPr="00A21682" w:rsidRDefault="00CC2845" w:rsidP="00CC2845">
            <w:pPr>
              <w:pStyle w:val="TABLETEXT1"/>
              <w:rPr>
                <w:lang w:val="en-US"/>
              </w:rPr>
            </w:pPr>
            <w:r>
              <w:rPr>
                <w:lang w:val="en-US"/>
              </w:rPr>
              <w:t>Include AI in Project Status Report (PSR) and Flag to AI Owner</w:t>
            </w:r>
          </w:p>
        </w:tc>
        <w:tc>
          <w:tcPr>
            <w:tcW w:w="5040" w:type="dxa"/>
          </w:tcPr>
          <w:p w14:paraId="4425D347" w14:textId="3D62644D" w:rsidR="00CC2845" w:rsidRPr="00A21682" w:rsidRDefault="00CC2845" w:rsidP="00CC2845">
            <w:pPr>
              <w:pStyle w:val="TABLETEXT1"/>
              <w:rPr>
                <w:lang w:val="en-US"/>
              </w:rPr>
            </w:pPr>
            <w:r>
              <w:rPr>
                <w:lang w:val="en-US"/>
              </w:rPr>
              <w:t xml:space="preserve">If the AI requires escalation, the designated PMO includes the unresolved AI in the PSR, notifies the AI Owner of its inclusion, and continues to monitor the item. </w:t>
            </w:r>
          </w:p>
          <w:p w14:paraId="7A273407" w14:textId="77777777" w:rsidR="00CC2845" w:rsidRPr="00A21682" w:rsidRDefault="00CC2845" w:rsidP="00CC2845">
            <w:pPr>
              <w:pStyle w:val="TABLETEXT1"/>
              <w:rPr>
                <w:lang w:val="en-US"/>
              </w:rPr>
            </w:pPr>
            <w:r>
              <w:rPr>
                <w:lang w:val="en-US"/>
              </w:rPr>
              <w:t>This item will remain on the PSR and discussed during Project Status Report meetings until it is resolved.</w:t>
            </w:r>
          </w:p>
        </w:tc>
        <w:tc>
          <w:tcPr>
            <w:tcW w:w="1798" w:type="dxa"/>
          </w:tcPr>
          <w:p w14:paraId="4D03E1FC" w14:textId="4C48E142" w:rsidR="00CC2845" w:rsidRPr="00635C9B" w:rsidRDefault="00CC2845" w:rsidP="00CA1375">
            <w:pPr>
              <w:pStyle w:val="TABLEBULLETNEW"/>
            </w:pPr>
            <w:r>
              <w:t>███████/DOS PMO</w:t>
            </w:r>
          </w:p>
        </w:tc>
      </w:tr>
      <w:tr w:rsidR="00CC2845" w:rsidRPr="00A21682" w14:paraId="05E06249" w14:textId="77777777">
        <w:trPr>
          <w:cantSplit/>
          <w:trHeight w:val="20"/>
        </w:trPr>
        <w:tc>
          <w:tcPr>
            <w:tcW w:w="805" w:type="dxa"/>
          </w:tcPr>
          <w:p w14:paraId="3400D91F" w14:textId="77777777" w:rsidR="00CC2845" w:rsidRPr="00A21682" w:rsidRDefault="00CC2845" w:rsidP="00CC2845">
            <w:pPr>
              <w:pStyle w:val="TABLETEXT1"/>
              <w:rPr>
                <w:lang w:val="en-US"/>
              </w:rPr>
            </w:pPr>
            <w:r>
              <w:rPr>
                <w:lang w:val="en-US"/>
              </w:rPr>
              <w:t>3.4</w:t>
            </w:r>
          </w:p>
        </w:tc>
        <w:tc>
          <w:tcPr>
            <w:tcW w:w="1712" w:type="dxa"/>
          </w:tcPr>
          <w:p w14:paraId="1F96432B" w14:textId="09AF0CF2" w:rsidR="00CC2845" w:rsidRPr="00A21682" w:rsidRDefault="00CC2845" w:rsidP="00CC2845">
            <w:pPr>
              <w:pStyle w:val="TABLETEXT1"/>
              <w:rPr>
                <w:lang w:val="en-US"/>
              </w:rPr>
            </w:pPr>
            <w:r>
              <w:rPr>
                <w:lang w:val="en-US"/>
              </w:rPr>
              <w:t>Log AI as New Risk</w:t>
            </w:r>
          </w:p>
        </w:tc>
        <w:tc>
          <w:tcPr>
            <w:tcW w:w="5040" w:type="dxa"/>
          </w:tcPr>
          <w:p w14:paraId="629B9858" w14:textId="692DA117" w:rsidR="00CC2845" w:rsidRPr="00A21682" w:rsidRDefault="00CC2845" w:rsidP="00CC2845">
            <w:pPr>
              <w:pStyle w:val="TABLETEXT1"/>
              <w:rPr>
                <w:lang w:val="en-US"/>
              </w:rPr>
            </w:pPr>
            <w:r>
              <w:rPr>
                <w:lang w:val="en-US"/>
              </w:rPr>
              <w:t xml:space="preserve">If the AI Owner is not able to address the AI and requires escalation to another Stakeholder Group or member of project leadership, the designated PMO logs a new risk, and the new risk follows the Risk Management process. </w:t>
            </w:r>
          </w:p>
        </w:tc>
        <w:tc>
          <w:tcPr>
            <w:tcW w:w="1798" w:type="dxa"/>
          </w:tcPr>
          <w:p w14:paraId="06304C00" w14:textId="679595C8" w:rsidR="00CC2845" w:rsidRPr="00635C9B" w:rsidRDefault="00CC2845" w:rsidP="00CA1375">
            <w:pPr>
              <w:pStyle w:val="TABLEBULLETNEW"/>
            </w:pPr>
            <w:r>
              <w:t>███████/DOS PMO</w:t>
            </w:r>
          </w:p>
        </w:tc>
      </w:tr>
      <w:tr w:rsidR="00CC2845" w:rsidRPr="00A21682" w14:paraId="0392BA78" w14:textId="77777777">
        <w:trPr>
          <w:cantSplit/>
          <w:trHeight w:val="20"/>
        </w:trPr>
        <w:tc>
          <w:tcPr>
            <w:tcW w:w="805" w:type="dxa"/>
          </w:tcPr>
          <w:p w14:paraId="0C274C89" w14:textId="77777777" w:rsidR="00CC2845" w:rsidRPr="00A21682" w:rsidRDefault="00CC2845" w:rsidP="00CC2845">
            <w:pPr>
              <w:pStyle w:val="TABLETEXT1"/>
              <w:rPr>
                <w:lang w:val="en-US"/>
              </w:rPr>
            </w:pPr>
            <w:r>
              <w:rPr>
                <w:lang w:val="en-US"/>
              </w:rPr>
              <w:t>4</w:t>
            </w:r>
          </w:p>
        </w:tc>
        <w:tc>
          <w:tcPr>
            <w:tcW w:w="1712" w:type="dxa"/>
          </w:tcPr>
          <w:p w14:paraId="5AAFD838" w14:textId="0D54588D" w:rsidR="00CC2845" w:rsidRPr="00A21682" w:rsidRDefault="00CC2845" w:rsidP="00CC2845">
            <w:pPr>
              <w:pStyle w:val="TABLETEXT1"/>
              <w:rPr>
                <w:color w:val="000000" w:themeColor="text1"/>
                <w:lang w:val="en-US"/>
              </w:rPr>
            </w:pPr>
            <w:r>
              <w:rPr>
                <w:lang w:val="en-US"/>
              </w:rPr>
              <w:t>Verify AI is Complete</w:t>
            </w:r>
          </w:p>
        </w:tc>
        <w:tc>
          <w:tcPr>
            <w:tcW w:w="5040" w:type="dxa"/>
          </w:tcPr>
          <w:p w14:paraId="2706BBE1" w14:textId="71BB4E22" w:rsidR="00CC2845" w:rsidRPr="00A21682" w:rsidRDefault="00CC2845" w:rsidP="00CC2845">
            <w:pPr>
              <w:pStyle w:val="TABLETEXT1"/>
              <w:rPr>
                <w:color w:val="000000" w:themeColor="text1"/>
                <w:lang w:val="en-US"/>
              </w:rPr>
            </w:pPr>
            <w:r>
              <w:rPr>
                <w:lang w:val="en-US"/>
              </w:rPr>
              <w:t>Once the AI is completed, the designated PMO verifies that the AI is complete before it is closed out in the ALM tool.</w:t>
            </w:r>
          </w:p>
        </w:tc>
        <w:tc>
          <w:tcPr>
            <w:tcW w:w="1798" w:type="dxa"/>
          </w:tcPr>
          <w:p w14:paraId="486270EB" w14:textId="4688FB90" w:rsidR="00CC2845" w:rsidRPr="00635C9B" w:rsidRDefault="00CC2845" w:rsidP="00CA1375">
            <w:pPr>
              <w:pStyle w:val="TABLEBULLETNEW"/>
            </w:pPr>
            <w:r>
              <w:t>███████/DOS PMO</w:t>
            </w:r>
          </w:p>
        </w:tc>
      </w:tr>
    </w:tbl>
    <w:p w14:paraId="2F0851EE" w14:textId="4CC6AE86" w:rsidR="00F96ABD" w:rsidRPr="00A21682" w:rsidRDefault="00F96ABD" w:rsidP="00C357DF">
      <w:pPr>
        <w:pStyle w:val="Caption"/>
        <w:keepNext/>
        <w:rPr>
          <w:noProof w:val="0"/>
        </w:rPr>
      </w:pPr>
      <w:bookmarkStart w:id="3996" w:name="_Toc19287520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9</w:t>
      </w:r>
      <w:r>
        <w:rPr>
          <w:noProof w:val="0"/>
        </w:rPr>
        <w:fldChar w:fldCharType="end"/>
      </w:r>
      <w:r>
        <w:rPr>
          <w:noProof w:val="0"/>
        </w:rPr>
        <w:t>: Action Item Management Process Flow Narrative</w:t>
      </w:r>
      <w:bookmarkEnd w:id="3996"/>
    </w:p>
    <w:p w14:paraId="6D3BE41C" w14:textId="77777777" w:rsidR="00F96ABD" w:rsidRPr="00A21682" w:rsidRDefault="00F96ABD" w:rsidP="00F96ABD">
      <w:pPr>
        <w:pStyle w:val="NormalNEW"/>
        <w:rPr>
          <w:lang w:val="en-US"/>
        </w:rPr>
      </w:pPr>
      <w:r>
        <w:rPr>
          <w:lang w:val="en-US"/>
        </w:rPr>
        <w:t xml:space="preserve">When the action item is submitted, the creator must select an assignee and manually add any stakeholders to be informed by email notification. The notification contains high-level details of the action item, as well as a hyperlink to the action item itself for the assignee to take proper action. </w:t>
      </w:r>
    </w:p>
    <w:p w14:paraId="2DAAFF68" w14:textId="77777777" w:rsidR="00F96ABD" w:rsidRPr="00A21682" w:rsidRDefault="00F96ABD" w:rsidP="00F96ABD">
      <w:pPr>
        <w:pStyle w:val="Heading3"/>
      </w:pPr>
      <w:bookmarkStart w:id="3997" w:name="_Toc185952858"/>
      <w:bookmarkStart w:id="3998" w:name="_Toc192874958"/>
      <w:r>
        <w:lastRenderedPageBreak/>
        <w:t>Action Item Attributes</w:t>
      </w:r>
      <w:bookmarkEnd w:id="3997"/>
      <w:bookmarkEnd w:id="3998"/>
    </w:p>
    <w:p w14:paraId="528F879B" w14:textId="355B92F1" w:rsidR="003214DF" w:rsidRPr="00A21682" w:rsidRDefault="003214DF" w:rsidP="003214DF">
      <w:pPr>
        <w:pStyle w:val="NormalNEW"/>
        <w:rPr>
          <w:rStyle w:val="Hyperlink"/>
          <w:lang w:val="en-US"/>
        </w:rPr>
      </w:pPr>
      <w:bookmarkStart w:id="3999" w:name="_Toc185952859"/>
      <w:r>
        <w:rPr>
          <w:lang w:val="en-US"/>
        </w:rPr>
        <w:t xml:space="preserve">The most updated attributes used for Action Items in the ALM tool can be found in the ALM Tool Reference Guide in the following location: </w:t>
      </w:r>
      <w:r>
        <w:rPr>
          <w:rStyle w:val="Hyperlink"/>
          <w:lang w:val="en-US"/>
        </w:rPr>
        <w:t>The ALM tool</w:t>
      </w:r>
    </w:p>
    <w:p w14:paraId="46A5CE10" w14:textId="67522A3D" w:rsidR="00F96ABD" w:rsidRPr="00A21682" w:rsidRDefault="003214DF" w:rsidP="003214DF">
      <w:pPr>
        <w:pStyle w:val="Heading3"/>
      </w:pPr>
      <w:bookmarkStart w:id="4000" w:name="_Toc192874959"/>
      <w:r>
        <w:t>Action Item Types</w:t>
      </w:r>
      <w:bookmarkEnd w:id="3999"/>
      <w:bookmarkEnd w:id="4000"/>
    </w:p>
    <w:p w14:paraId="61DF1786" w14:textId="77777777" w:rsidR="00F96ABD" w:rsidRPr="00A21682" w:rsidRDefault="00F96ABD" w:rsidP="00F96ABD">
      <w:pPr>
        <w:pStyle w:val="NormalNEW"/>
        <w:rPr>
          <w:lang w:val="en-US"/>
        </w:rPr>
      </w:pPr>
      <w:r>
        <w:rPr>
          <w:lang w:val="en-US"/>
        </w:rPr>
        <w:t>An action item can be categorized in the following ways:</w:t>
      </w:r>
    </w:p>
    <w:tbl>
      <w:tblPr>
        <w:tblStyle w:val="TableGrid-None9"/>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1977"/>
        <w:gridCol w:w="7383"/>
      </w:tblGrid>
      <w:tr w:rsidR="00F96ABD" w:rsidRPr="00A21682" w14:paraId="078BF4EF" w14:textId="77777777">
        <w:trPr>
          <w:trHeight w:val="300"/>
          <w:tblHeader/>
        </w:trPr>
        <w:tc>
          <w:tcPr>
            <w:tcW w:w="1977" w:type="dxa"/>
            <w:tcBorders>
              <w:right w:val="single" w:sz="2" w:space="0" w:color="FFFFFF" w:themeColor="background1"/>
            </w:tcBorders>
            <w:shd w:val="clear" w:color="auto" w:fill="000000" w:themeFill="text1"/>
            <w:tcMar>
              <w:left w:w="108" w:type="dxa"/>
              <w:right w:w="108" w:type="dxa"/>
            </w:tcMar>
          </w:tcPr>
          <w:p w14:paraId="4696561B" w14:textId="77777777" w:rsidR="00F96ABD" w:rsidRPr="00A21682" w:rsidRDefault="00F96ABD">
            <w:pPr>
              <w:pStyle w:val="TABLEHEADINGNEW"/>
              <w:rPr>
                <w:rFonts w:eastAsia="Calibri"/>
                <w:lang w:val="en-US"/>
              </w:rPr>
            </w:pPr>
            <w:r>
              <w:rPr>
                <w:rFonts w:eastAsia="Calibri"/>
                <w:lang w:val="en-US"/>
              </w:rPr>
              <w:t>Action Item Type</w:t>
            </w:r>
          </w:p>
        </w:tc>
        <w:tc>
          <w:tcPr>
            <w:tcW w:w="7383" w:type="dxa"/>
            <w:tcBorders>
              <w:left w:val="single" w:sz="2" w:space="0" w:color="FFFFFF" w:themeColor="background1"/>
            </w:tcBorders>
            <w:shd w:val="clear" w:color="auto" w:fill="000000" w:themeFill="text1"/>
            <w:tcMar>
              <w:left w:w="108" w:type="dxa"/>
              <w:right w:w="108" w:type="dxa"/>
            </w:tcMar>
          </w:tcPr>
          <w:p w14:paraId="10722F44" w14:textId="77777777" w:rsidR="00F96ABD" w:rsidRPr="00A21682" w:rsidRDefault="00F96ABD">
            <w:pPr>
              <w:pStyle w:val="TABLEHEADINGNEW"/>
              <w:rPr>
                <w:rFonts w:eastAsia="Calibri"/>
                <w:lang w:val="en-US"/>
              </w:rPr>
            </w:pPr>
            <w:r>
              <w:rPr>
                <w:rFonts w:eastAsia="Calibri"/>
                <w:lang w:val="en-US"/>
              </w:rPr>
              <w:t>Action Item Type Description</w:t>
            </w:r>
          </w:p>
        </w:tc>
      </w:tr>
      <w:tr w:rsidR="00F96ABD" w:rsidRPr="00A21682" w14:paraId="54FD996A" w14:textId="77777777">
        <w:trPr>
          <w:trHeight w:val="300"/>
        </w:trPr>
        <w:tc>
          <w:tcPr>
            <w:tcW w:w="1977" w:type="dxa"/>
            <w:tcMar>
              <w:left w:w="108" w:type="dxa"/>
              <w:right w:w="108" w:type="dxa"/>
            </w:tcMar>
          </w:tcPr>
          <w:p w14:paraId="1F403544" w14:textId="77777777" w:rsidR="00F96ABD" w:rsidRPr="00A21682" w:rsidRDefault="00F96ABD">
            <w:pPr>
              <w:pStyle w:val="TABLETEXT1"/>
              <w:rPr>
                <w:u w:color="000000" w:themeColor="text1"/>
                <w:lang w:val="en-US"/>
              </w:rPr>
            </w:pPr>
            <w:r>
              <w:rPr>
                <w:u w:color="000000" w:themeColor="text1"/>
                <w:lang w:val="en-US"/>
              </w:rPr>
              <w:t xml:space="preserve">Contract </w:t>
            </w:r>
          </w:p>
        </w:tc>
        <w:tc>
          <w:tcPr>
            <w:tcW w:w="7383" w:type="dxa"/>
            <w:tcMar>
              <w:left w:w="108" w:type="dxa"/>
              <w:right w:w="108" w:type="dxa"/>
            </w:tcMar>
          </w:tcPr>
          <w:p w14:paraId="7D482D45" w14:textId="77777777" w:rsidR="00F96ABD" w:rsidRPr="00A21682" w:rsidRDefault="00F96ABD">
            <w:pPr>
              <w:pStyle w:val="TABLETEXT1"/>
              <w:rPr>
                <w:u w:color="000000" w:themeColor="text1"/>
                <w:lang w:val="en-US"/>
              </w:rPr>
            </w:pPr>
            <w:r>
              <w:rPr>
                <w:u w:color="000000" w:themeColor="text1"/>
                <w:lang w:val="en-US"/>
              </w:rPr>
              <w:t>Any action item related to the contracts of the project (such as a signed agreement between ███████ and the State or subcontractors)</w:t>
            </w:r>
          </w:p>
        </w:tc>
      </w:tr>
      <w:tr w:rsidR="00F96ABD" w:rsidRPr="00A21682" w14:paraId="2457DAE3" w14:textId="77777777">
        <w:trPr>
          <w:trHeight w:val="300"/>
        </w:trPr>
        <w:tc>
          <w:tcPr>
            <w:tcW w:w="1977" w:type="dxa"/>
            <w:tcMar>
              <w:left w:w="108" w:type="dxa"/>
              <w:right w:w="108" w:type="dxa"/>
            </w:tcMar>
          </w:tcPr>
          <w:p w14:paraId="1FF36056" w14:textId="77777777" w:rsidR="00F96ABD" w:rsidRPr="00A21682" w:rsidRDefault="00F96ABD">
            <w:pPr>
              <w:pStyle w:val="TABLETEXT1"/>
              <w:rPr>
                <w:u w:color="000000" w:themeColor="text1"/>
                <w:lang w:val="en-US"/>
              </w:rPr>
            </w:pPr>
            <w:r>
              <w:rPr>
                <w:u w:color="000000" w:themeColor="text1"/>
                <w:lang w:val="en-US"/>
              </w:rPr>
              <w:t>External</w:t>
            </w:r>
          </w:p>
        </w:tc>
        <w:tc>
          <w:tcPr>
            <w:tcW w:w="7383" w:type="dxa"/>
            <w:tcMar>
              <w:left w:w="108" w:type="dxa"/>
              <w:right w:w="108" w:type="dxa"/>
            </w:tcMar>
          </w:tcPr>
          <w:p w14:paraId="56C37B23" w14:textId="77777777" w:rsidR="00F96ABD" w:rsidRPr="00A21682" w:rsidRDefault="00F96ABD">
            <w:pPr>
              <w:pStyle w:val="TABLETEXT1"/>
              <w:rPr>
                <w:u w:color="000000" w:themeColor="text1"/>
                <w:lang w:val="en-US"/>
              </w:rPr>
            </w:pPr>
            <w:r>
              <w:rPr>
                <w:u w:color="000000" w:themeColor="text1"/>
                <w:lang w:val="en-US"/>
              </w:rPr>
              <w:t>Any action item related to environmental factors largely outside the control of the project (such as cultural, legal, or regulatory)</w:t>
            </w:r>
          </w:p>
        </w:tc>
      </w:tr>
      <w:tr w:rsidR="00F96ABD" w:rsidRPr="00A21682" w14:paraId="14BDE5B1" w14:textId="77777777">
        <w:trPr>
          <w:trHeight w:val="300"/>
        </w:trPr>
        <w:tc>
          <w:tcPr>
            <w:tcW w:w="1977" w:type="dxa"/>
            <w:tcMar>
              <w:left w:w="108" w:type="dxa"/>
              <w:right w:w="108" w:type="dxa"/>
            </w:tcMar>
          </w:tcPr>
          <w:p w14:paraId="597502E4" w14:textId="77777777" w:rsidR="00F96ABD" w:rsidRPr="00A21682" w:rsidRDefault="00F96ABD">
            <w:pPr>
              <w:pStyle w:val="TABLETEXT1"/>
              <w:rPr>
                <w:u w:color="000000" w:themeColor="text1"/>
                <w:lang w:val="en-US"/>
              </w:rPr>
            </w:pPr>
            <w:r>
              <w:rPr>
                <w:u w:color="000000" w:themeColor="text1"/>
                <w:lang w:val="en-US"/>
              </w:rPr>
              <w:t xml:space="preserve">Financial </w:t>
            </w:r>
          </w:p>
        </w:tc>
        <w:tc>
          <w:tcPr>
            <w:tcW w:w="7383" w:type="dxa"/>
            <w:tcMar>
              <w:left w:w="108" w:type="dxa"/>
              <w:right w:w="108" w:type="dxa"/>
            </w:tcMar>
          </w:tcPr>
          <w:p w14:paraId="78FCC927" w14:textId="77777777" w:rsidR="00F96ABD" w:rsidRPr="00A21682" w:rsidRDefault="00F96ABD">
            <w:pPr>
              <w:pStyle w:val="TABLETEXT1"/>
              <w:rPr>
                <w:u w:color="000000" w:themeColor="text1"/>
                <w:lang w:val="en-US"/>
              </w:rPr>
            </w:pPr>
            <w:r>
              <w:rPr>
                <w:u w:color="000000" w:themeColor="text1"/>
                <w:lang w:val="en-US"/>
              </w:rPr>
              <w:t>Any action item related to the budget or cost structure of the project (e.g., increase or decrease in the budget)</w:t>
            </w:r>
          </w:p>
        </w:tc>
      </w:tr>
      <w:tr w:rsidR="00F96ABD" w:rsidRPr="00A21682" w14:paraId="46C560BE" w14:textId="77777777">
        <w:trPr>
          <w:trHeight w:val="300"/>
        </w:trPr>
        <w:tc>
          <w:tcPr>
            <w:tcW w:w="1977" w:type="dxa"/>
            <w:tcMar>
              <w:left w:w="108" w:type="dxa"/>
              <w:right w:w="108" w:type="dxa"/>
            </w:tcMar>
          </w:tcPr>
          <w:p w14:paraId="542168FA" w14:textId="77777777" w:rsidR="00F96ABD" w:rsidRPr="00A21682" w:rsidRDefault="00F96ABD">
            <w:pPr>
              <w:pStyle w:val="TABLETEXT1"/>
              <w:rPr>
                <w:u w:color="000000" w:themeColor="text1"/>
                <w:lang w:val="en-US"/>
              </w:rPr>
            </w:pPr>
            <w:r>
              <w:rPr>
                <w:u w:color="000000" w:themeColor="text1"/>
                <w:lang w:val="en-US"/>
              </w:rPr>
              <w:t>Functional</w:t>
            </w:r>
          </w:p>
        </w:tc>
        <w:tc>
          <w:tcPr>
            <w:tcW w:w="7383" w:type="dxa"/>
            <w:tcMar>
              <w:left w:w="108" w:type="dxa"/>
              <w:right w:w="108" w:type="dxa"/>
            </w:tcMar>
          </w:tcPr>
          <w:p w14:paraId="20C52912" w14:textId="77777777" w:rsidR="00F96ABD" w:rsidRPr="00A21682" w:rsidRDefault="00F96ABD">
            <w:pPr>
              <w:pStyle w:val="TABLETEXT1"/>
              <w:rPr>
                <w:u w:color="000000" w:themeColor="text1"/>
                <w:lang w:val="en-US"/>
              </w:rPr>
            </w:pPr>
            <w:r>
              <w:rPr>
                <w:u w:color="000000" w:themeColor="text1"/>
                <w:lang w:val="en-US"/>
              </w:rPr>
              <w:t>Any action item related to the overall function of the product (such as requirements or design) being developed by the project</w:t>
            </w:r>
          </w:p>
        </w:tc>
      </w:tr>
      <w:tr w:rsidR="00F96ABD" w:rsidRPr="00A21682" w14:paraId="1B61AD7C" w14:textId="77777777">
        <w:trPr>
          <w:trHeight w:val="300"/>
        </w:trPr>
        <w:tc>
          <w:tcPr>
            <w:tcW w:w="1977" w:type="dxa"/>
            <w:tcMar>
              <w:left w:w="108" w:type="dxa"/>
              <w:right w:w="108" w:type="dxa"/>
            </w:tcMar>
          </w:tcPr>
          <w:p w14:paraId="1D1D449F" w14:textId="77777777" w:rsidR="00F96ABD" w:rsidRPr="00A21682" w:rsidRDefault="00F96ABD">
            <w:pPr>
              <w:pStyle w:val="TABLETEXT1"/>
              <w:rPr>
                <w:u w:color="000000" w:themeColor="text1"/>
                <w:lang w:val="en-US"/>
              </w:rPr>
            </w:pPr>
            <w:r>
              <w:rPr>
                <w:u w:color="000000" w:themeColor="text1"/>
                <w:lang w:val="en-US"/>
              </w:rPr>
              <w:t>Quality</w:t>
            </w:r>
          </w:p>
        </w:tc>
        <w:tc>
          <w:tcPr>
            <w:tcW w:w="7383" w:type="dxa"/>
            <w:tcMar>
              <w:left w:w="108" w:type="dxa"/>
              <w:right w:w="108" w:type="dxa"/>
            </w:tcMar>
          </w:tcPr>
          <w:p w14:paraId="06DE5B50" w14:textId="77777777" w:rsidR="00F96ABD" w:rsidRPr="00A21682" w:rsidRDefault="00F96ABD">
            <w:pPr>
              <w:pStyle w:val="TABLETEXT1"/>
              <w:rPr>
                <w:u w:color="000000" w:themeColor="text1"/>
                <w:lang w:val="en-US"/>
              </w:rPr>
            </w:pPr>
            <w:r>
              <w:rPr>
                <w:u w:color="000000" w:themeColor="text1"/>
                <w:lang w:val="en-US"/>
              </w:rPr>
              <w:t>Any action item related to the quality requirements of the project</w:t>
            </w:r>
          </w:p>
        </w:tc>
      </w:tr>
      <w:tr w:rsidR="00F96ABD" w:rsidRPr="00A21682" w14:paraId="78A0486D" w14:textId="77777777">
        <w:trPr>
          <w:trHeight w:val="300"/>
        </w:trPr>
        <w:tc>
          <w:tcPr>
            <w:tcW w:w="1977" w:type="dxa"/>
            <w:tcMar>
              <w:left w:w="108" w:type="dxa"/>
              <w:right w:w="108" w:type="dxa"/>
            </w:tcMar>
          </w:tcPr>
          <w:p w14:paraId="0D4921FA" w14:textId="77777777" w:rsidR="00F96ABD" w:rsidRPr="00A21682" w:rsidRDefault="00F96ABD">
            <w:pPr>
              <w:pStyle w:val="TABLETEXT1"/>
              <w:rPr>
                <w:u w:color="000000" w:themeColor="text1"/>
                <w:lang w:val="en-US"/>
              </w:rPr>
            </w:pPr>
            <w:r>
              <w:rPr>
                <w:u w:color="000000" w:themeColor="text1"/>
                <w:lang w:val="en-US"/>
              </w:rPr>
              <w:t>Organization</w:t>
            </w:r>
          </w:p>
        </w:tc>
        <w:tc>
          <w:tcPr>
            <w:tcW w:w="7383" w:type="dxa"/>
            <w:tcMar>
              <w:left w:w="108" w:type="dxa"/>
              <w:right w:w="108" w:type="dxa"/>
            </w:tcMar>
          </w:tcPr>
          <w:p w14:paraId="49A92293" w14:textId="77777777" w:rsidR="00F96ABD" w:rsidRPr="00A21682" w:rsidRDefault="00F96ABD">
            <w:pPr>
              <w:pStyle w:val="TABLETEXT1"/>
              <w:rPr>
                <w:u w:color="000000" w:themeColor="text1"/>
                <w:lang w:val="en-US"/>
              </w:rPr>
            </w:pPr>
            <w:r>
              <w:rPr>
                <w:u w:color="000000" w:themeColor="text1"/>
                <w:lang w:val="en-US"/>
              </w:rPr>
              <w:t>Any action item related to internal, State, or third-party organizational or business changes (such as Executive Leadership role changes)</w:t>
            </w:r>
          </w:p>
        </w:tc>
      </w:tr>
      <w:tr w:rsidR="00F96ABD" w:rsidRPr="00A21682" w14:paraId="602DB73D" w14:textId="77777777">
        <w:trPr>
          <w:trHeight w:val="300"/>
        </w:trPr>
        <w:tc>
          <w:tcPr>
            <w:tcW w:w="1977" w:type="dxa"/>
            <w:tcMar>
              <w:left w:w="108" w:type="dxa"/>
              <w:right w:w="108" w:type="dxa"/>
            </w:tcMar>
          </w:tcPr>
          <w:p w14:paraId="3807746F" w14:textId="77777777" w:rsidR="00F96ABD" w:rsidRPr="00A21682" w:rsidRDefault="00F96ABD">
            <w:pPr>
              <w:pStyle w:val="TABLETEXT1"/>
              <w:rPr>
                <w:u w:color="000000" w:themeColor="text1"/>
                <w:lang w:val="en-US"/>
              </w:rPr>
            </w:pPr>
            <w:r>
              <w:rPr>
                <w:u w:color="000000" w:themeColor="text1"/>
                <w:lang w:val="en-US"/>
              </w:rPr>
              <w:t>Performance</w:t>
            </w:r>
          </w:p>
        </w:tc>
        <w:tc>
          <w:tcPr>
            <w:tcW w:w="7383" w:type="dxa"/>
            <w:tcMar>
              <w:left w:w="108" w:type="dxa"/>
              <w:right w:w="108" w:type="dxa"/>
            </w:tcMar>
          </w:tcPr>
          <w:p w14:paraId="110AA377" w14:textId="77777777" w:rsidR="00F96ABD" w:rsidRPr="00A21682" w:rsidRDefault="00F96ABD">
            <w:pPr>
              <w:pStyle w:val="TABLETEXT1"/>
              <w:rPr>
                <w:u w:color="000000" w:themeColor="text1"/>
                <w:lang w:val="en-US"/>
              </w:rPr>
            </w:pPr>
            <w:r>
              <w:rPr>
                <w:u w:color="000000" w:themeColor="text1"/>
                <w:lang w:val="en-US"/>
              </w:rPr>
              <w:t>Any action item associated with the performance of the application (such as response time, stress testing, and development environments)</w:t>
            </w:r>
          </w:p>
        </w:tc>
      </w:tr>
      <w:tr w:rsidR="00F96ABD" w:rsidRPr="00A21682" w14:paraId="7E56FB38" w14:textId="77777777">
        <w:trPr>
          <w:trHeight w:val="300"/>
        </w:trPr>
        <w:tc>
          <w:tcPr>
            <w:tcW w:w="1977" w:type="dxa"/>
            <w:tcMar>
              <w:left w:w="108" w:type="dxa"/>
              <w:right w:w="108" w:type="dxa"/>
            </w:tcMar>
          </w:tcPr>
          <w:p w14:paraId="54DB830A" w14:textId="77777777" w:rsidR="00F96ABD" w:rsidRPr="00A21682" w:rsidRDefault="00F96ABD">
            <w:pPr>
              <w:pStyle w:val="TABLETEXT1"/>
              <w:rPr>
                <w:u w:color="000000" w:themeColor="text1"/>
                <w:lang w:val="en-US"/>
              </w:rPr>
            </w:pPr>
            <w:r>
              <w:rPr>
                <w:u w:color="000000" w:themeColor="text1"/>
                <w:lang w:val="en-US"/>
              </w:rPr>
              <w:t xml:space="preserve">Project Management </w:t>
            </w:r>
          </w:p>
        </w:tc>
        <w:tc>
          <w:tcPr>
            <w:tcW w:w="7383" w:type="dxa"/>
            <w:tcMar>
              <w:left w:w="108" w:type="dxa"/>
              <w:right w:w="108" w:type="dxa"/>
            </w:tcMar>
          </w:tcPr>
          <w:p w14:paraId="043EF559" w14:textId="77777777" w:rsidR="00F96ABD" w:rsidRPr="00A21682" w:rsidRDefault="00F96ABD">
            <w:pPr>
              <w:pStyle w:val="TABLETEXT1"/>
              <w:rPr>
                <w:u w:color="000000" w:themeColor="text1"/>
                <w:lang w:val="en-US"/>
              </w:rPr>
            </w:pPr>
            <w:r>
              <w:rPr>
                <w:u w:color="000000" w:themeColor="text1"/>
                <w:lang w:val="en-US"/>
              </w:rPr>
              <w:t>Any action item related to the management of the project (such as communications, status reporting, and issues management)</w:t>
            </w:r>
          </w:p>
        </w:tc>
      </w:tr>
      <w:tr w:rsidR="00F96ABD" w:rsidRPr="00A21682" w14:paraId="3CF3BF36" w14:textId="77777777">
        <w:trPr>
          <w:trHeight w:val="300"/>
        </w:trPr>
        <w:tc>
          <w:tcPr>
            <w:tcW w:w="1977" w:type="dxa"/>
            <w:tcMar>
              <w:left w:w="108" w:type="dxa"/>
              <w:right w:w="108" w:type="dxa"/>
            </w:tcMar>
          </w:tcPr>
          <w:p w14:paraId="69F093C5" w14:textId="77777777" w:rsidR="00F96ABD" w:rsidRPr="00A21682" w:rsidRDefault="00F96ABD">
            <w:pPr>
              <w:pStyle w:val="TABLETEXT1"/>
              <w:rPr>
                <w:u w:color="000000" w:themeColor="text1"/>
                <w:lang w:val="en-US"/>
              </w:rPr>
            </w:pPr>
            <w:r>
              <w:rPr>
                <w:u w:color="000000" w:themeColor="text1"/>
                <w:lang w:val="en-US"/>
              </w:rPr>
              <w:t xml:space="preserve">Resource </w:t>
            </w:r>
          </w:p>
        </w:tc>
        <w:tc>
          <w:tcPr>
            <w:tcW w:w="7383" w:type="dxa"/>
            <w:tcMar>
              <w:left w:w="108" w:type="dxa"/>
              <w:right w:w="108" w:type="dxa"/>
            </w:tcMar>
          </w:tcPr>
          <w:p w14:paraId="4D61D34B" w14:textId="77777777" w:rsidR="00F96ABD" w:rsidRPr="00A21682" w:rsidRDefault="00F96ABD">
            <w:pPr>
              <w:pStyle w:val="TABLETEXT1"/>
              <w:rPr>
                <w:u w:color="000000" w:themeColor="text1"/>
                <w:lang w:val="en-US"/>
              </w:rPr>
            </w:pPr>
            <w:r>
              <w:rPr>
                <w:u w:color="000000" w:themeColor="text1"/>
                <w:lang w:val="en-US"/>
              </w:rPr>
              <w:t>Any action item related to project resources (such as the addition or removal of resources)</w:t>
            </w:r>
          </w:p>
        </w:tc>
      </w:tr>
      <w:tr w:rsidR="00F96ABD" w:rsidRPr="00A21682" w14:paraId="590BD512" w14:textId="77777777">
        <w:trPr>
          <w:trHeight w:val="300"/>
        </w:trPr>
        <w:tc>
          <w:tcPr>
            <w:tcW w:w="1977" w:type="dxa"/>
            <w:tcMar>
              <w:left w:w="108" w:type="dxa"/>
              <w:right w:w="108" w:type="dxa"/>
            </w:tcMar>
          </w:tcPr>
          <w:p w14:paraId="6DFB41B9" w14:textId="77777777" w:rsidR="00F96ABD" w:rsidRPr="00A21682" w:rsidRDefault="00F96ABD">
            <w:pPr>
              <w:pStyle w:val="TABLETEXT1"/>
              <w:rPr>
                <w:u w:color="000000" w:themeColor="text1"/>
                <w:lang w:val="en-US"/>
              </w:rPr>
            </w:pPr>
            <w:r>
              <w:rPr>
                <w:u w:color="000000" w:themeColor="text1"/>
                <w:lang w:val="en-US"/>
              </w:rPr>
              <w:t xml:space="preserve">Schedule </w:t>
            </w:r>
          </w:p>
        </w:tc>
        <w:tc>
          <w:tcPr>
            <w:tcW w:w="7383" w:type="dxa"/>
            <w:tcMar>
              <w:left w:w="108" w:type="dxa"/>
              <w:right w:w="108" w:type="dxa"/>
            </w:tcMar>
          </w:tcPr>
          <w:p w14:paraId="5B153E82" w14:textId="77777777" w:rsidR="00F96ABD" w:rsidRPr="00A21682" w:rsidRDefault="00F96ABD">
            <w:pPr>
              <w:pStyle w:val="TABLETEXT1"/>
              <w:rPr>
                <w:u w:color="000000" w:themeColor="text1"/>
                <w:lang w:val="en-US"/>
              </w:rPr>
            </w:pPr>
            <w:r>
              <w:rPr>
                <w:u w:color="000000" w:themeColor="text1"/>
                <w:lang w:val="en-US"/>
              </w:rPr>
              <w:t>Any action item related to the Work Plan and related tasks (such as extensions or reductions of the project timeline)</w:t>
            </w:r>
          </w:p>
        </w:tc>
      </w:tr>
      <w:tr w:rsidR="00F96ABD" w:rsidRPr="00A21682" w14:paraId="29B7BAB6" w14:textId="77777777">
        <w:trPr>
          <w:trHeight w:val="300"/>
        </w:trPr>
        <w:tc>
          <w:tcPr>
            <w:tcW w:w="1977" w:type="dxa"/>
            <w:tcMar>
              <w:left w:w="108" w:type="dxa"/>
              <w:right w:w="108" w:type="dxa"/>
            </w:tcMar>
          </w:tcPr>
          <w:p w14:paraId="35F9F732" w14:textId="77777777" w:rsidR="00F96ABD" w:rsidRPr="00A21682" w:rsidRDefault="00F96ABD">
            <w:pPr>
              <w:pStyle w:val="TABLETEXT1"/>
              <w:rPr>
                <w:lang w:val="en-US"/>
              </w:rPr>
            </w:pPr>
            <w:r>
              <w:rPr>
                <w:lang w:val="en-US"/>
              </w:rPr>
              <w:t xml:space="preserve">Scope </w:t>
            </w:r>
          </w:p>
        </w:tc>
        <w:tc>
          <w:tcPr>
            <w:tcW w:w="7383" w:type="dxa"/>
            <w:tcMar>
              <w:left w:w="108" w:type="dxa"/>
              <w:right w:w="108" w:type="dxa"/>
            </w:tcMar>
          </w:tcPr>
          <w:p w14:paraId="518D02F8" w14:textId="77777777" w:rsidR="00F96ABD" w:rsidRPr="00A21682" w:rsidRDefault="00F96ABD">
            <w:pPr>
              <w:pStyle w:val="TABLETEXT1"/>
              <w:rPr>
                <w:lang w:val="en-US"/>
              </w:rPr>
            </w:pPr>
            <w:r>
              <w:rPr>
                <w:lang w:val="en-US"/>
              </w:rPr>
              <w:t>Any action item related to project scope (such as process, module, and development objects)</w:t>
            </w:r>
          </w:p>
        </w:tc>
      </w:tr>
      <w:tr w:rsidR="00F96ABD" w:rsidRPr="00A21682" w14:paraId="6552308C" w14:textId="77777777">
        <w:trPr>
          <w:trHeight w:val="300"/>
        </w:trPr>
        <w:tc>
          <w:tcPr>
            <w:tcW w:w="1977" w:type="dxa"/>
            <w:tcMar>
              <w:left w:w="108" w:type="dxa"/>
              <w:right w:w="108" w:type="dxa"/>
            </w:tcMar>
          </w:tcPr>
          <w:p w14:paraId="0882B110" w14:textId="77777777" w:rsidR="00F96ABD" w:rsidRPr="00A21682" w:rsidRDefault="00F96ABD">
            <w:pPr>
              <w:pStyle w:val="TABLETEXT1"/>
              <w:rPr>
                <w:lang w:val="en-US"/>
              </w:rPr>
            </w:pPr>
            <w:r>
              <w:rPr>
                <w:lang w:val="en-US"/>
              </w:rPr>
              <w:t xml:space="preserve">Technical </w:t>
            </w:r>
          </w:p>
        </w:tc>
        <w:tc>
          <w:tcPr>
            <w:tcW w:w="7383" w:type="dxa"/>
            <w:tcMar>
              <w:left w:w="108" w:type="dxa"/>
              <w:right w:w="108" w:type="dxa"/>
            </w:tcMar>
          </w:tcPr>
          <w:p w14:paraId="18CF573B" w14:textId="77777777" w:rsidR="00F96ABD" w:rsidRPr="00A21682" w:rsidRDefault="00F96ABD">
            <w:pPr>
              <w:pStyle w:val="TABLETEXT1"/>
              <w:rPr>
                <w:lang w:val="en-US"/>
              </w:rPr>
            </w:pPr>
            <w:r>
              <w:rPr>
                <w:lang w:val="en-US"/>
              </w:rPr>
              <w:t>Any action item related to software or hardware, including infrastructure related to the project</w:t>
            </w:r>
          </w:p>
        </w:tc>
      </w:tr>
      <w:tr w:rsidR="00F96ABD" w:rsidRPr="00A21682" w14:paraId="7DC57DF1" w14:textId="77777777">
        <w:trPr>
          <w:trHeight w:val="300"/>
        </w:trPr>
        <w:tc>
          <w:tcPr>
            <w:tcW w:w="1977" w:type="dxa"/>
            <w:tcMar>
              <w:left w:w="108" w:type="dxa"/>
              <w:right w:w="108" w:type="dxa"/>
            </w:tcMar>
          </w:tcPr>
          <w:p w14:paraId="1D1D5AF4" w14:textId="77777777" w:rsidR="00F96ABD" w:rsidRPr="00A21682" w:rsidRDefault="00F96ABD">
            <w:pPr>
              <w:pStyle w:val="TABLETEXT1"/>
              <w:rPr>
                <w:lang w:val="en-US"/>
              </w:rPr>
            </w:pPr>
            <w:r>
              <w:rPr>
                <w:lang w:val="en-US"/>
              </w:rPr>
              <w:t xml:space="preserve">General </w:t>
            </w:r>
          </w:p>
        </w:tc>
        <w:tc>
          <w:tcPr>
            <w:tcW w:w="7383" w:type="dxa"/>
            <w:tcMar>
              <w:left w:w="108" w:type="dxa"/>
              <w:right w:w="108" w:type="dxa"/>
            </w:tcMar>
          </w:tcPr>
          <w:p w14:paraId="0A37124B" w14:textId="77777777" w:rsidR="00F96ABD" w:rsidRPr="00A21682" w:rsidRDefault="00F96ABD">
            <w:pPr>
              <w:pStyle w:val="TABLETEXT1"/>
              <w:rPr>
                <w:lang w:val="en-US"/>
              </w:rPr>
            </w:pPr>
            <w:r>
              <w:rPr>
                <w:lang w:val="en-US"/>
              </w:rPr>
              <w:t>Any action item that cannot be categorized into one of the above categories</w:t>
            </w:r>
          </w:p>
        </w:tc>
      </w:tr>
    </w:tbl>
    <w:p w14:paraId="1C7D7752" w14:textId="5D3FA594" w:rsidR="00F96ABD" w:rsidRPr="00A21682" w:rsidRDefault="00F96ABD" w:rsidP="000F38B8">
      <w:pPr>
        <w:pStyle w:val="Caption"/>
        <w:rPr>
          <w:noProof w:val="0"/>
        </w:rPr>
      </w:pPr>
      <w:bookmarkStart w:id="4001" w:name="_Toc19287520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11</w:t>
      </w:r>
      <w:r>
        <w:rPr>
          <w:noProof w:val="0"/>
        </w:rPr>
        <w:fldChar w:fldCharType="end"/>
      </w:r>
      <w:r>
        <w:rPr>
          <w:noProof w:val="0"/>
        </w:rPr>
        <w:t>: Action Item Types</w:t>
      </w:r>
      <w:bookmarkEnd w:id="4001"/>
    </w:p>
    <w:p w14:paraId="14574681" w14:textId="77777777" w:rsidR="00F96ABD" w:rsidRPr="00A21682" w:rsidRDefault="00F96ABD" w:rsidP="00F96ABD">
      <w:pPr>
        <w:pStyle w:val="Heading3"/>
      </w:pPr>
      <w:bookmarkStart w:id="4002" w:name="_Toc185952860"/>
      <w:bookmarkStart w:id="4003" w:name="_Toc192874960"/>
      <w:r>
        <w:t>Action Item Priorities</w:t>
      </w:r>
      <w:bookmarkEnd w:id="4002"/>
      <w:bookmarkEnd w:id="4003"/>
    </w:p>
    <w:p w14:paraId="733881CD" w14:textId="77777777" w:rsidR="00F96ABD" w:rsidRPr="00A21682" w:rsidRDefault="00F96ABD" w:rsidP="00F96ABD">
      <w:pPr>
        <w:pStyle w:val="NormalNEW"/>
        <w:rPr>
          <w:lang w:val="en-US"/>
        </w:rPr>
      </w:pPr>
      <w:r>
        <w:rPr>
          <w:lang w:val="en-US"/>
        </w:rPr>
        <w:t>Action items can be prioritized through the following categories:</w:t>
      </w:r>
    </w:p>
    <w:p w14:paraId="59D8857D" w14:textId="6DC01154" w:rsidR="00F96ABD" w:rsidRPr="00A21682" w:rsidRDefault="00F96ABD" w:rsidP="0031550A">
      <w:pPr>
        <w:pStyle w:val="BulletNEW"/>
      </w:pPr>
      <w:r>
        <w:t xml:space="preserve">High – The action item must be addressed immediately or in an expedited manner to prevent negative impacts to the project outcomes or objectives (e.g., cost overruns or milestone delays) </w:t>
      </w:r>
    </w:p>
    <w:p w14:paraId="6285FB87" w14:textId="7C65B94D" w:rsidR="00F96ABD" w:rsidRPr="00A21682" w:rsidRDefault="00F96ABD" w:rsidP="0031550A">
      <w:pPr>
        <w:pStyle w:val="BulletNEW"/>
      </w:pPr>
      <w:r>
        <w:t>Medium – The action item will be addressed, monitored, and controlled following regular project action item management processes</w:t>
      </w:r>
    </w:p>
    <w:p w14:paraId="490F5231" w14:textId="6582AD7D" w:rsidR="00F96ABD" w:rsidRPr="00A21682" w:rsidRDefault="00F96ABD" w:rsidP="0031550A">
      <w:pPr>
        <w:pStyle w:val="BulletNEW"/>
      </w:pPr>
      <w:r>
        <w:t>Low – The action item will be addressed as cost and schedule permits</w:t>
      </w:r>
    </w:p>
    <w:p w14:paraId="6BD10E12" w14:textId="77777777" w:rsidR="00F96ABD" w:rsidRPr="00A21682" w:rsidRDefault="00F96ABD" w:rsidP="00F96ABD">
      <w:pPr>
        <w:pStyle w:val="Heading3"/>
      </w:pPr>
      <w:bookmarkStart w:id="4004" w:name="_Toc185952861"/>
      <w:bookmarkStart w:id="4005" w:name="_Toc192874961"/>
      <w:r>
        <w:lastRenderedPageBreak/>
        <w:t>Action Item Status</w:t>
      </w:r>
      <w:bookmarkEnd w:id="4004"/>
      <w:bookmarkEnd w:id="4005"/>
    </w:p>
    <w:p w14:paraId="4E15B46F" w14:textId="77777777" w:rsidR="00F96ABD" w:rsidRPr="00A21682" w:rsidRDefault="00F96ABD" w:rsidP="00F96ABD">
      <w:pPr>
        <w:pStyle w:val="NormalNEW"/>
        <w:rPr>
          <w:lang w:val="en-US"/>
        </w:rPr>
      </w:pPr>
      <w:r>
        <w:rPr>
          <w:lang w:val="en-US"/>
        </w:rPr>
        <w:t>An action item status can be categorized in the following ways:</w:t>
      </w:r>
    </w:p>
    <w:tbl>
      <w:tblPr>
        <w:tblStyle w:val="TableGrid-None9"/>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1975"/>
        <w:gridCol w:w="7385"/>
      </w:tblGrid>
      <w:tr w:rsidR="00F96ABD" w:rsidRPr="00A21682" w14:paraId="403FB05D" w14:textId="77777777">
        <w:trPr>
          <w:trHeight w:val="300"/>
          <w:tblHeader/>
        </w:trPr>
        <w:tc>
          <w:tcPr>
            <w:tcW w:w="1975" w:type="dxa"/>
            <w:tcBorders>
              <w:right w:val="single" w:sz="2" w:space="0" w:color="FFFFFF" w:themeColor="background1"/>
            </w:tcBorders>
            <w:shd w:val="clear" w:color="auto" w:fill="000000" w:themeFill="text1"/>
            <w:tcMar>
              <w:left w:w="108" w:type="dxa"/>
              <w:right w:w="108" w:type="dxa"/>
            </w:tcMar>
          </w:tcPr>
          <w:p w14:paraId="31B7F5BE" w14:textId="77777777" w:rsidR="00F96ABD" w:rsidRPr="00A21682" w:rsidRDefault="00F96ABD">
            <w:pPr>
              <w:pStyle w:val="TABLEHEADINGNEW"/>
              <w:rPr>
                <w:rFonts w:eastAsia="Calibri"/>
                <w:lang w:val="en-US"/>
              </w:rPr>
            </w:pPr>
            <w:r>
              <w:rPr>
                <w:rFonts w:eastAsia="Calibri"/>
                <w:lang w:val="en-US"/>
              </w:rPr>
              <w:t>Action Item Type</w:t>
            </w:r>
          </w:p>
        </w:tc>
        <w:tc>
          <w:tcPr>
            <w:tcW w:w="7385" w:type="dxa"/>
            <w:tcBorders>
              <w:left w:val="single" w:sz="2" w:space="0" w:color="FFFFFF" w:themeColor="background1"/>
            </w:tcBorders>
            <w:shd w:val="clear" w:color="auto" w:fill="000000" w:themeFill="text1"/>
            <w:tcMar>
              <w:left w:w="108" w:type="dxa"/>
              <w:right w:w="108" w:type="dxa"/>
            </w:tcMar>
          </w:tcPr>
          <w:p w14:paraId="795B57AE" w14:textId="77777777" w:rsidR="00F96ABD" w:rsidRPr="00A21682" w:rsidRDefault="00F96ABD">
            <w:pPr>
              <w:pStyle w:val="TABLEHEADINGNEW"/>
              <w:rPr>
                <w:rFonts w:eastAsia="Calibri"/>
                <w:lang w:val="en-US"/>
              </w:rPr>
            </w:pPr>
            <w:r>
              <w:rPr>
                <w:rFonts w:eastAsia="Calibri"/>
                <w:lang w:val="en-US"/>
              </w:rPr>
              <w:t>Action Item Type Description</w:t>
            </w:r>
          </w:p>
        </w:tc>
      </w:tr>
      <w:tr w:rsidR="00F96ABD" w:rsidRPr="00A21682" w14:paraId="551302D5" w14:textId="77777777">
        <w:trPr>
          <w:trHeight w:val="300"/>
        </w:trPr>
        <w:tc>
          <w:tcPr>
            <w:tcW w:w="1975" w:type="dxa"/>
            <w:tcMar>
              <w:left w:w="108" w:type="dxa"/>
              <w:right w:w="108" w:type="dxa"/>
            </w:tcMar>
          </w:tcPr>
          <w:p w14:paraId="665DA6E4" w14:textId="77777777" w:rsidR="00F96ABD" w:rsidRPr="00A21682" w:rsidRDefault="00F96ABD">
            <w:pPr>
              <w:pStyle w:val="TABLETEXT1"/>
              <w:rPr>
                <w:u w:color="000000" w:themeColor="text1"/>
                <w:lang w:val="en-US"/>
              </w:rPr>
            </w:pPr>
            <w:r>
              <w:rPr>
                <w:u w:color="000000" w:themeColor="text1"/>
                <w:lang w:val="en-US"/>
              </w:rPr>
              <w:t>Open</w:t>
            </w:r>
          </w:p>
        </w:tc>
        <w:tc>
          <w:tcPr>
            <w:tcW w:w="7385" w:type="dxa"/>
            <w:tcMar>
              <w:left w:w="108" w:type="dxa"/>
              <w:right w:w="108" w:type="dxa"/>
            </w:tcMar>
          </w:tcPr>
          <w:p w14:paraId="31D86121" w14:textId="77777777" w:rsidR="00F96ABD" w:rsidRPr="00A21682" w:rsidRDefault="00F96ABD">
            <w:pPr>
              <w:pStyle w:val="TABLETEXT1"/>
              <w:rPr>
                <w:u w:color="000000" w:themeColor="text1"/>
                <w:lang w:val="en-US"/>
              </w:rPr>
            </w:pPr>
            <w:r>
              <w:rPr>
                <w:u w:color="000000" w:themeColor="text1"/>
                <w:lang w:val="en-US"/>
              </w:rPr>
              <w:t>This is the initial status a proposed action item assumes when it is first entered into the ALM tool.</w:t>
            </w:r>
          </w:p>
        </w:tc>
      </w:tr>
      <w:tr w:rsidR="00F96ABD" w:rsidRPr="00A21682" w14:paraId="0D54F786" w14:textId="77777777">
        <w:trPr>
          <w:trHeight w:val="300"/>
        </w:trPr>
        <w:tc>
          <w:tcPr>
            <w:tcW w:w="1975" w:type="dxa"/>
            <w:tcMar>
              <w:left w:w="108" w:type="dxa"/>
              <w:right w:w="108" w:type="dxa"/>
            </w:tcMar>
          </w:tcPr>
          <w:p w14:paraId="55608908" w14:textId="77777777" w:rsidR="00F96ABD" w:rsidRPr="00A21682" w:rsidRDefault="00F96ABD">
            <w:pPr>
              <w:pStyle w:val="TABLETEXT1"/>
              <w:rPr>
                <w:u w:color="000000" w:themeColor="text1"/>
                <w:lang w:val="en-US"/>
              </w:rPr>
            </w:pPr>
            <w:r>
              <w:rPr>
                <w:u w:color="000000" w:themeColor="text1"/>
                <w:lang w:val="en-US"/>
              </w:rPr>
              <w:t>In Progress</w:t>
            </w:r>
          </w:p>
        </w:tc>
        <w:tc>
          <w:tcPr>
            <w:tcW w:w="7385" w:type="dxa"/>
            <w:tcMar>
              <w:left w:w="108" w:type="dxa"/>
              <w:right w:w="108" w:type="dxa"/>
            </w:tcMar>
          </w:tcPr>
          <w:p w14:paraId="7375E812" w14:textId="77777777" w:rsidR="00F96ABD" w:rsidRPr="00A21682" w:rsidRDefault="00F96ABD">
            <w:pPr>
              <w:pStyle w:val="TABLETEXT1"/>
              <w:rPr>
                <w:u w:color="000000" w:themeColor="text1"/>
                <w:lang w:val="en-US"/>
              </w:rPr>
            </w:pPr>
            <w:r>
              <w:rPr>
                <w:u w:color="000000" w:themeColor="text1"/>
                <w:lang w:val="en-US"/>
              </w:rPr>
              <w:t>An action item assumes this status when it has been accepted as required for the project and is being worked on by the responsible party. The action item is continuously monitored, and status and comments are updated accordingly.</w:t>
            </w:r>
          </w:p>
        </w:tc>
      </w:tr>
      <w:tr w:rsidR="00F96ABD" w:rsidRPr="00A21682" w14:paraId="01831899" w14:textId="77777777">
        <w:trPr>
          <w:trHeight w:val="300"/>
        </w:trPr>
        <w:tc>
          <w:tcPr>
            <w:tcW w:w="1975" w:type="dxa"/>
            <w:tcMar>
              <w:left w:w="108" w:type="dxa"/>
              <w:right w:w="108" w:type="dxa"/>
            </w:tcMar>
          </w:tcPr>
          <w:p w14:paraId="0FA88242" w14:textId="77777777" w:rsidR="00F96ABD" w:rsidRPr="00A21682" w:rsidRDefault="00F96ABD">
            <w:pPr>
              <w:pStyle w:val="TABLETEXT1"/>
              <w:rPr>
                <w:u w:color="000000" w:themeColor="text1"/>
                <w:lang w:val="en-US"/>
              </w:rPr>
            </w:pPr>
            <w:r>
              <w:rPr>
                <w:u w:color="000000" w:themeColor="text1"/>
                <w:lang w:val="en-US"/>
              </w:rPr>
              <w:t>Cancelled</w:t>
            </w:r>
          </w:p>
        </w:tc>
        <w:tc>
          <w:tcPr>
            <w:tcW w:w="7385" w:type="dxa"/>
            <w:tcMar>
              <w:left w:w="108" w:type="dxa"/>
              <w:right w:w="108" w:type="dxa"/>
            </w:tcMar>
          </w:tcPr>
          <w:p w14:paraId="4E99E8C1" w14:textId="01C006FD" w:rsidR="00F96ABD" w:rsidRPr="00A21682" w:rsidRDefault="00F96ABD">
            <w:pPr>
              <w:pStyle w:val="TABLETEXT1"/>
              <w:rPr>
                <w:u w:color="000000" w:themeColor="text1"/>
                <w:lang w:val="en-US"/>
              </w:rPr>
            </w:pPr>
            <w:r>
              <w:rPr>
                <w:u w:color="000000" w:themeColor="text1"/>
                <w:lang w:val="en-US"/>
              </w:rPr>
              <w:t>An action item is cancelled when the triage process determines that the action item is not required for the project.</w:t>
            </w:r>
          </w:p>
        </w:tc>
      </w:tr>
      <w:tr w:rsidR="00F96ABD" w:rsidRPr="00A21682" w14:paraId="0513A9AA" w14:textId="77777777">
        <w:trPr>
          <w:trHeight w:val="300"/>
        </w:trPr>
        <w:tc>
          <w:tcPr>
            <w:tcW w:w="1975" w:type="dxa"/>
            <w:tcMar>
              <w:left w:w="108" w:type="dxa"/>
              <w:right w:w="108" w:type="dxa"/>
            </w:tcMar>
          </w:tcPr>
          <w:p w14:paraId="1D5348F3" w14:textId="77777777" w:rsidR="00F96ABD" w:rsidRPr="00A21682" w:rsidRDefault="00F96ABD">
            <w:pPr>
              <w:pStyle w:val="TABLETEXT1"/>
              <w:rPr>
                <w:u w:color="000000" w:themeColor="text1"/>
                <w:lang w:val="en-US"/>
              </w:rPr>
            </w:pPr>
            <w:r>
              <w:rPr>
                <w:u w:color="000000" w:themeColor="text1"/>
                <w:lang w:val="en-US"/>
              </w:rPr>
              <w:t>Complete</w:t>
            </w:r>
          </w:p>
        </w:tc>
        <w:tc>
          <w:tcPr>
            <w:tcW w:w="7385" w:type="dxa"/>
            <w:tcMar>
              <w:left w:w="108" w:type="dxa"/>
              <w:right w:w="108" w:type="dxa"/>
            </w:tcMar>
          </w:tcPr>
          <w:p w14:paraId="1F2261EE" w14:textId="77777777" w:rsidR="00F96ABD" w:rsidRPr="00A21682" w:rsidRDefault="00F96ABD">
            <w:pPr>
              <w:pStyle w:val="TABLETEXT1"/>
              <w:rPr>
                <w:u w:color="000000" w:themeColor="text1"/>
                <w:lang w:val="en-US"/>
              </w:rPr>
            </w:pPr>
            <w:r>
              <w:rPr>
                <w:u w:color="000000" w:themeColor="text1"/>
                <w:lang w:val="en-US"/>
              </w:rPr>
              <w:t>An issue assumes this status once PMO verifies that the action item has been completed.</w:t>
            </w:r>
          </w:p>
        </w:tc>
      </w:tr>
      <w:tr w:rsidR="00F96ABD" w:rsidRPr="00A21682" w14:paraId="7C7E5217" w14:textId="77777777">
        <w:trPr>
          <w:trHeight w:val="300"/>
        </w:trPr>
        <w:tc>
          <w:tcPr>
            <w:tcW w:w="1975" w:type="dxa"/>
            <w:tcMar>
              <w:left w:w="108" w:type="dxa"/>
              <w:right w:w="108" w:type="dxa"/>
            </w:tcMar>
          </w:tcPr>
          <w:p w14:paraId="5E609172" w14:textId="77777777" w:rsidR="00F96ABD" w:rsidRPr="00A21682" w:rsidRDefault="00F96ABD">
            <w:pPr>
              <w:pStyle w:val="TABLETEXT1"/>
              <w:rPr>
                <w:u w:color="000000" w:themeColor="text1"/>
                <w:lang w:val="en-US"/>
              </w:rPr>
            </w:pPr>
            <w:r>
              <w:rPr>
                <w:u w:color="000000" w:themeColor="text1"/>
                <w:lang w:val="en-US"/>
              </w:rPr>
              <w:t>On Hold</w:t>
            </w:r>
          </w:p>
        </w:tc>
        <w:tc>
          <w:tcPr>
            <w:tcW w:w="7385" w:type="dxa"/>
            <w:tcMar>
              <w:left w:w="108" w:type="dxa"/>
              <w:right w:w="108" w:type="dxa"/>
            </w:tcMar>
          </w:tcPr>
          <w:p w14:paraId="39B8AAD4" w14:textId="77777777" w:rsidR="00F96ABD" w:rsidRPr="00A21682" w:rsidRDefault="00F96ABD">
            <w:pPr>
              <w:pStyle w:val="TABLETEXT1"/>
              <w:rPr>
                <w:u w:color="000000" w:themeColor="text1"/>
                <w:lang w:val="en-US"/>
              </w:rPr>
            </w:pPr>
            <w:r>
              <w:rPr>
                <w:u w:color="000000" w:themeColor="text1"/>
                <w:lang w:val="en-US"/>
              </w:rPr>
              <w:t xml:space="preserve">The action item has been put on hold. </w:t>
            </w:r>
          </w:p>
        </w:tc>
      </w:tr>
    </w:tbl>
    <w:p w14:paraId="15203CB6" w14:textId="596D3928" w:rsidR="00F96ABD" w:rsidRPr="00A21682" w:rsidRDefault="00F96ABD" w:rsidP="000F38B8">
      <w:pPr>
        <w:pStyle w:val="Caption"/>
        <w:rPr>
          <w:noProof w:val="0"/>
        </w:rPr>
      </w:pPr>
      <w:bookmarkStart w:id="4006" w:name="_Toc19287520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12</w:t>
      </w:r>
      <w:r>
        <w:rPr>
          <w:noProof w:val="0"/>
        </w:rPr>
        <w:fldChar w:fldCharType="end"/>
      </w:r>
      <w:r>
        <w:rPr>
          <w:noProof w:val="0"/>
        </w:rPr>
        <w:t>: Action Item Status</w:t>
      </w:r>
      <w:bookmarkEnd w:id="4006"/>
    </w:p>
    <w:p w14:paraId="10C5CB71" w14:textId="77777777" w:rsidR="00F96ABD" w:rsidRPr="00A21682" w:rsidRDefault="00F96ABD" w:rsidP="00F96ABD">
      <w:pPr>
        <w:pStyle w:val="Heading3"/>
      </w:pPr>
      <w:bookmarkStart w:id="4007" w:name="_Toc185952862"/>
      <w:bookmarkStart w:id="4008" w:name="_Toc192874962"/>
      <w:r>
        <w:t>Close Action Item</w:t>
      </w:r>
      <w:bookmarkEnd w:id="4007"/>
      <w:bookmarkEnd w:id="4008"/>
    </w:p>
    <w:p w14:paraId="0F1A5FCE" w14:textId="77777777" w:rsidR="00F96ABD" w:rsidRPr="00A21682" w:rsidRDefault="00F96ABD" w:rsidP="00F96ABD">
      <w:pPr>
        <w:pStyle w:val="NormalNEW"/>
        <w:rPr>
          <w:lang w:val="en-US"/>
        </w:rPr>
      </w:pPr>
      <w:r>
        <w:rPr>
          <w:lang w:val="en-US"/>
        </w:rPr>
        <w:t xml:space="preserve">An action item must be confirmed as resolved before it can be closed in the ALM tool. The following actions and checks are carried out as part of the resolution confirmation process. </w:t>
      </w:r>
    </w:p>
    <w:p w14:paraId="01DA2CB2" w14:textId="5ACA4B0F" w:rsidR="00F96ABD" w:rsidRPr="00A21682" w:rsidRDefault="00F96ABD" w:rsidP="0031550A">
      <w:pPr>
        <w:pStyle w:val="BulletNEW"/>
      </w:pPr>
      <w:r>
        <w:t>MECM system project will confirm that the action item steps have been completed satisfactorily during project status meeting</w:t>
      </w:r>
    </w:p>
    <w:p w14:paraId="29F14763" w14:textId="77777777" w:rsidR="00F96ABD" w:rsidRPr="00A21682" w:rsidRDefault="00F96ABD" w:rsidP="0031550A">
      <w:pPr>
        <w:pStyle w:val="BulletNEW"/>
      </w:pPr>
      <w:r>
        <w:t>The appropriate stakeholder(s) identified for the action item should help confirm the issue resolution</w:t>
      </w:r>
    </w:p>
    <w:p w14:paraId="284C6694" w14:textId="77777777" w:rsidR="00F96ABD" w:rsidRPr="00A21682" w:rsidRDefault="00F96ABD" w:rsidP="0031550A">
      <w:pPr>
        <w:pStyle w:val="BulletNEW"/>
      </w:pPr>
      <w:r>
        <w:t>For action items where resolution is confirmed, set the status to “Complete” in the ALM tool</w:t>
      </w:r>
    </w:p>
    <w:p w14:paraId="1607FC6E" w14:textId="77777777" w:rsidR="00F96ABD" w:rsidRPr="00A21682" w:rsidRDefault="00F96ABD" w:rsidP="0031550A">
      <w:pPr>
        <w:pStyle w:val="BulletNEW"/>
      </w:pPr>
      <w:r>
        <w:t>Action items where the resolution results were not confirmed will go back to “In Progress” status and assigned back to the owner so that they can successfully complete the required action</w:t>
      </w:r>
    </w:p>
    <w:p w14:paraId="4B6BD86F" w14:textId="77777777" w:rsidR="00F96ABD" w:rsidRPr="00A21682" w:rsidRDefault="00F96ABD" w:rsidP="0031550A">
      <w:pPr>
        <w:pStyle w:val="BulletNEW"/>
      </w:pPr>
      <w:r>
        <w:t>Action items that were closed in error can be reopened by any project member</w:t>
      </w:r>
    </w:p>
    <w:p w14:paraId="035AF750" w14:textId="77777777" w:rsidR="00F96ABD" w:rsidRPr="00A21682" w:rsidRDefault="00F96ABD" w:rsidP="00F96ABD">
      <w:pPr>
        <w:pStyle w:val="Heading3"/>
      </w:pPr>
      <w:bookmarkStart w:id="4009" w:name="_Toc185952863"/>
      <w:bookmarkStart w:id="4010" w:name="_Toc192874963"/>
      <w:r>
        <w:t>Action Item Monitoring and Reporting</w:t>
      </w:r>
      <w:bookmarkEnd w:id="4009"/>
      <w:bookmarkEnd w:id="4010"/>
    </w:p>
    <w:p w14:paraId="53CE7B7F" w14:textId="576B9D53" w:rsidR="00F96ABD" w:rsidRPr="00A21682" w:rsidRDefault="00F96ABD" w:rsidP="0031550A">
      <w:pPr>
        <w:pStyle w:val="BulletNEW"/>
      </w:pPr>
      <w:r>
        <w:t xml:space="preserve">Open action items (any status that is not “Cancelled” or “Complete”) will be tracked and published in the PSR and the monthly executive steering committee report, both of which are stored on the </w:t>
      </w:r>
      <w:r>
        <w:rPr>
          <w:u w:color="000000"/>
          <w:lang w:val="en-US"/>
        </w:rPr>
        <w:t xml:space="preserve">Continuing Medicaid Eligibility Modernization </w:t>
      </w:r>
      <w:r>
        <w:t>SharePoint site.</w:t>
      </w:r>
    </w:p>
    <w:p w14:paraId="3364A342" w14:textId="77777777" w:rsidR="00F96ABD" w:rsidRPr="00A21682" w:rsidRDefault="00F96ABD" w:rsidP="00F96ABD">
      <w:pPr>
        <w:pStyle w:val="Heading2"/>
      </w:pPr>
      <w:bookmarkStart w:id="4011" w:name="_Toc185952864"/>
      <w:bookmarkStart w:id="4012" w:name="_Toc192874964"/>
      <w:r>
        <w:t>Decision Management</w:t>
      </w:r>
      <w:bookmarkEnd w:id="4011"/>
      <w:bookmarkEnd w:id="4012"/>
    </w:p>
    <w:p w14:paraId="36D7F8F0" w14:textId="77777777" w:rsidR="00F96ABD" w:rsidRPr="00A21682" w:rsidRDefault="00F96ABD" w:rsidP="00F96ABD">
      <w:pPr>
        <w:pStyle w:val="NormalNEW"/>
        <w:rPr>
          <w:lang w:val="en-US"/>
        </w:rPr>
      </w:pPr>
      <w:r>
        <w:rPr>
          <w:lang w:val="en-US"/>
        </w:rPr>
        <w:t xml:space="preserve">Managing decisions includes identifying, documenting, prioritizing, assigning, and tracking the results of decisions throughout the phases of the project. This section documents the process and tools the project will use to log and manage day-to-day decisions, as well as formal project decisions. </w:t>
      </w:r>
    </w:p>
    <w:p w14:paraId="1675E07D" w14:textId="77777777" w:rsidR="00F96ABD" w:rsidRPr="00A21682" w:rsidRDefault="00F96ABD" w:rsidP="00F96ABD">
      <w:pPr>
        <w:pStyle w:val="NormalNEW"/>
        <w:rPr>
          <w:rFonts w:cs="Times New Roman"/>
          <w:lang w:val="en-US"/>
        </w:rPr>
      </w:pPr>
      <w:r>
        <w:rPr>
          <w:rFonts w:cs="Times New Roman"/>
          <w:lang w:val="en-US"/>
        </w:rPr>
        <w:t xml:space="preserve">Day-to-day decisions are decisions that project management deems necessary to document and track for future reference. Formal decisions are decisions that impact project schedule and/or scope. The decision criteria for making a formal decision versus a day-to-day decision must be understood by team members. </w:t>
      </w:r>
    </w:p>
    <w:p w14:paraId="4331D1F5" w14:textId="77777777" w:rsidR="00F96ABD" w:rsidRPr="00A21682" w:rsidRDefault="00F96ABD" w:rsidP="00F96ABD">
      <w:pPr>
        <w:pStyle w:val="NormalNEW"/>
        <w:rPr>
          <w:rFonts w:cs="Times New Roman"/>
          <w:lang w:val="en-US"/>
        </w:rPr>
      </w:pPr>
      <w:r>
        <w:rPr>
          <w:rFonts w:cs="Times New Roman"/>
          <w:lang w:val="en-US"/>
        </w:rPr>
        <w:t>Any decisions impacting the scope of the project will be referred to the Review Board for evaluation of impact on the scope, cost, schedule, and quality of the project.</w:t>
      </w:r>
    </w:p>
    <w:p w14:paraId="695086D5" w14:textId="3E4C21D9" w:rsidR="00F96ABD" w:rsidRPr="00A21682" w:rsidRDefault="00F96ABD" w:rsidP="00F96ABD">
      <w:pPr>
        <w:pStyle w:val="NormalNEW"/>
        <w:rPr>
          <w:rFonts w:cs="Times New Roman"/>
          <w:lang w:val="en-US"/>
        </w:rPr>
      </w:pPr>
      <w:r>
        <w:rPr>
          <w:rFonts w:cs="Times New Roman"/>
          <w:lang w:val="en-US"/>
        </w:rPr>
        <w:lastRenderedPageBreak/>
        <w:t>The Continuing Medicaid Eligibility Modernization project will utilize the ALM tool, an issue and project tracking software tool, to manage and track project decisions. The ALM tool has built-in reporting and dashboard functionality.</w:t>
      </w:r>
    </w:p>
    <w:p w14:paraId="5151899F" w14:textId="77777777" w:rsidR="00F96ABD" w:rsidRPr="00A21682" w:rsidRDefault="00F96ABD" w:rsidP="00F96ABD">
      <w:pPr>
        <w:pStyle w:val="Heading3"/>
      </w:pPr>
      <w:bookmarkStart w:id="4013" w:name="_Toc185952865"/>
      <w:bookmarkStart w:id="4014" w:name="_Toc192874965"/>
      <w:r>
        <w:t>Decision Management Process Flow Diagram</w:t>
      </w:r>
      <w:bookmarkEnd w:id="4013"/>
      <w:bookmarkEnd w:id="4014"/>
    </w:p>
    <w:p w14:paraId="40197659" w14:textId="77777777" w:rsidR="00F96ABD" w:rsidRPr="00A21682" w:rsidRDefault="00F96ABD" w:rsidP="00F96ABD">
      <w:pPr>
        <w:pStyle w:val="NormalNEW"/>
        <w:keepNext/>
        <w:rPr>
          <w:lang w:val="en-US"/>
        </w:rPr>
      </w:pPr>
      <w:r>
        <w:rPr>
          <w:lang w:val="en-US"/>
        </w:rPr>
        <w:t>The workflow below summarizes the project’s decision management process.</w:t>
      </w:r>
    </w:p>
    <w:p w14:paraId="2BDE0927" w14:textId="77777777" w:rsidR="00F96ABD" w:rsidRPr="00A21682" w:rsidRDefault="00F96ABD" w:rsidP="00F96ABD">
      <w:pPr>
        <w:pStyle w:val="NormalNEW"/>
        <w:rPr>
          <w:lang w:val="en-US"/>
        </w:rPr>
      </w:pPr>
      <w:r>
        <w:rPr>
          <w:lang w:val="en-US"/>
        </w:rPr>
        <w:object w:dxaOrig="24150" w:dyaOrig="6560" w14:anchorId="5F4D994A">
          <v:shape id="_x0000_i1050" type="#_x0000_t75" style="width:468.6pt;height:128.4pt" o:ole="">
            <v:imagedata r:id="rId100" o:title=""/>
          </v:shape>
          <o:OLEObject Type="Embed" ProgID="Visio.Drawing.15" ShapeID="_x0000_i1050" DrawAspect="Content" ObjectID="_1849677354" r:id="rId101"/>
        </w:object>
      </w:r>
    </w:p>
    <w:p w14:paraId="0011E853" w14:textId="2E7BE478" w:rsidR="00F96ABD" w:rsidRPr="00A21682" w:rsidRDefault="00F96ABD" w:rsidP="000F38B8">
      <w:pPr>
        <w:pStyle w:val="Caption"/>
        <w:rPr>
          <w:noProof w:val="0"/>
        </w:rPr>
      </w:pPr>
      <w:bookmarkStart w:id="4015" w:name="_Toc178152072"/>
      <w:bookmarkStart w:id="4016" w:name="_Toc192875080"/>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6</w:t>
      </w:r>
      <w:r>
        <w:rPr>
          <w:noProof w:val="0"/>
        </w:rPr>
        <w:fldChar w:fldCharType="end"/>
      </w:r>
      <w:r>
        <w:rPr>
          <w:noProof w:val="0"/>
        </w:rPr>
        <w:t>: Decision Management Process Flow</w:t>
      </w:r>
      <w:bookmarkEnd w:id="4015"/>
      <w:bookmarkEnd w:id="4016"/>
    </w:p>
    <w:p w14:paraId="4A0A72BF" w14:textId="77777777" w:rsidR="00F96ABD" w:rsidRPr="00A21682" w:rsidRDefault="00F96ABD" w:rsidP="00F96ABD">
      <w:pPr>
        <w:pStyle w:val="Heading3"/>
      </w:pPr>
      <w:bookmarkStart w:id="4017" w:name="_Toc185952866"/>
      <w:bookmarkStart w:id="4018" w:name="_Toc192874966"/>
      <w:r>
        <w:t>Decision Management Process Flow Narrative</w:t>
      </w:r>
      <w:bookmarkEnd w:id="4017"/>
      <w:bookmarkEnd w:id="4018"/>
    </w:p>
    <w:p w14:paraId="0DE0E4E1" w14:textId="77777777" w:rsidR="00F96ABD" w:rsidRPr="00A21682" w:rsidRDefault="00F96ABD" w:rsidP="00F96ABD">
      <w:pPr>
        <w:pStyle w:val="NormalNEW"/>
        <w:rPr>
          <w:lang w:val="en-US"/>
        </w:rPr>
      </w:pPr>
      <w:r>
        <w:rPr>
          <w:lang w:val="en-US"/>
        </w:rPr>
        <w:t>The narrative below summarizes how the project’s decision management process is completed.</w:t>
      </w:r>
    </w:p>
    <w:tbl>
      <w:tblPr>
        <w:tblStyle w:val="TableGrid13"/>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805"/>
        <w:gridCol w:w="1890"/>
        <w:gridCol w:w="4544"/>
        <w:gridCol w:w="2116"/>
      </w:tblGrid>
      <w:tr w:rsidR="00F96ABD" w:rsidRPr="00A21682" w14:paraId="77FBC6DF" w14:textId="77777777">
        <w:trPr>
          <w:cnfStyle w:val="100000000000" w:firstRow="1" w:lastRow="0" w:firstColumn="0" w:lastColumn="0" w:oddVBand="0" w:evenVBand="0" w:oddHBand="0" w:evenHBand="0" w:firstRowFirstColumn="0" w:firstRowLastColumn="0" w:lastRowFirstColumn="0" w:lastRowLastColumn="0"/>
          <w:cantSplit/>
          <w:trHeight w:val="433"/>
          <w:tblHeader/>
        </w:trPr>
        <w:tc>
          <w:tcPr>
            <w:tcW w:w="805" w:type="dxa"/>
            <w:tcBorders>
              <w:right w:val="single" w:sz="2" w:space="0" w:color="FFFFFF" w:themeColor="background1"/>
            </w:tcBorders>
          </w:tcPr>
          <w:p w14:paraId="07B9448A" w14:textId="77777777" w:rsidR="00F96ABD" w:rsidRPr="00A21682" w:rsidRDefault="00F96ABD">
            <w:pPr>
              <w:pStyle w:val="TABLEHEADINGNEW"/>
              <w:jc w:val="left"/>
              <w:rPr>
                <w:rFonts w:eastAsia="Verdana"/>
                <w:b/>
              </w:rPr>
            </w:pPr>
            <w:r>
              <w:rPr>
                <w:rFonts w:eastAsia="Verdana"/>
                <w:b/>
              </w:rPr>
              <w:t>Step # </w:t>
            </w:r>
          </w:p>
        </w:tc>
        <w:tc>
          <w:tcPr>
            <w:tcW w:w="1890" w:type="dxa"/>
            <w:tcBorders>
              <w:left w:val="single" w:sz="2" w:space="0" w:color="FFFFFF" w:themeColor="background1"/>
              <w:right w:val="single" w:sz="2" w:space="0" w:color="FFFFFF" w:themeColor="background1"/>
            </w:tcBorders>
          </w:tcPr>
          <w:p w14:paraId="69870978" w14:textId="77777777" w:rsidR="00F96ABD" w:rsidRPr="00A21682" w:rsidRDefault="00F96ABD">
            <w:pPr>
              <w:pStyle w:val="TABLEHEADINGNEW"/>
              <w:jc w:val="left"/>
              <w:rPr>
                <w:rFonts w:eastAsia="Verdana"/>
                <w:b/>
              </w:rPr>
            </w:pPr>
            <w:r>
              <w:rPr>
                <w:rFonts w:eastAsia="Verdana"/>
                <w:b/>
              </w:rPr>
              <w:t>Process </w:t>
            </w:r>
          </w:p>
        </w:tc>
        <w:tc>
          <w:tcPr>
            <w:tcW w:w="4544" w:type="dxa"/>
            <w:tcBorders>
              <w:left w:val="single" w:sz="2" w:space="0" w:color="FFFFFF" w:themeColor="background1"/>
              <w:right w:val="single" w:sz="2" w:space="0" w:color="FFFFFF" w:themeColor="background1"/>
            </w:tcBorders>
          </w:tcPr>
          <w:p w14:paraId="7C83284B" w14:textId="77777777" w:rsidR="00F96ABD" w:rsidRPr="00A21682" w:rsidRDefault="00F96ABD">
            <w:pPr>
              <w:pStyle w:val="TABLEHEADINGNEW"/>
              <w:jc w:val="left"/>
              <w:rPr>
                <w:rFonts w:eastAsia="Verdana"/>
                <w:b/>
              </w:rPr>
            </w:pPr>
            <w:r>
              <w:rPr>
                <w:rFonts w:eastAsia="Verdana"/>
                <w:b/>
              </w:rPr>
              <w:t>Description </w:t>
            </w:r>
          </w:p>
        </w:tc>
        <w:tc>
          <w:tcPr>
            <w:tcW w:w="2116" w:type="dxa"/>
            <w:tcBorders>
              <w:left w:val="single" w:sz="2" w:space="0" w:color="FFFFFF" w:themeColor="background1"/>
            </w:tcBorders>
          </w:tcPr>
          <w:p w14:paraId="4EADAE12" w14:textId="77777777" w:rsidR="00F96ABD" w:rsidRPr="00A21682" w:rsidRDefault="00F96ABD">
            <w:pPr>
              <w:pStyle w:val="TABLEHEADINGNEW"/>
              <w:jc w:val="left"/>
              <w:rPr>
                <w:rFonts w:eastAsia="Verdana"/>
                <w:b/>
              </w:rPr>
            </w:pPr>
            <w:r>
              <w:rPr>
                <w:rFonts w:eastAsia="Verdana"/>
                <w:b/>
              </w:rPr>
              <w:t>Stakeholder Group(s) </w:t>
            </w:r>
          </w:p>
        </w:tc>
      </w:tr>
      <w:tr w:rsidR="00F96ABD" w:rsidRPr="00A21682" w14:paraId="11AC739A" w14:textId="77777777">
        <w:trPr>
          <w:cantSplit/>
          <w:trHeight w:val="20"/>
        </w:trPr>
        <w:tc>
          <w:tcPr>
            <w:tcW w:w="805" w:type="dxa"/>
          </w:tcPr>
          <w:p w14:paraId="11094D27" w14:textId="77777777" w:rsidR="00F96ABD" w:rsidRPr="00A21682" w:rsidRDefault="00F96ABD">
            <w:pPr>
              <w:pStyle w:val="TABLETEXT1"/>
              <w:rPr>
                <w:lang w:val="en-US"/>
              </w:rPr>
            </w:pPr>
            <w:r>
              <w:rPr>
                <w:lang w:val="en-US"/>
              </w:rPr>
              <w:t>1</w:t>
            </w:r>
          </w:p>
        </w:tc>
        <w:tc>
          <w:tcPr>
            <w:tcW w:w="1890" w:type="dxa"/>
          </w:tcPr>
          <w:p w14:paraId="2CE199A0" w14:textId="5481ECB3" w:rsidR="00F96ABD" w:rsidRPr="00A21682" w:rsidRDefault="00F96ABD">
            <w:pPr>
              <w:pStyle w:val="TABLETEXT1"/>
              <w:rPr>
                <w:lang w:val="en-US"/>
              </w:rPr>
            </w:pPr>
            <w:r>
              <w:rPr>
                <w:lang w:val="en-US"/>
              </w:rPr>
              <w:t xml:space="preserve">Decision is Made </w:t>
            </w:r>
          </w:p>
        </w:tc>
        <w:tc>
          <w:tcPr>
            <w:tcW w:w="4544" w:type="dxa"/>
          </w:tcPr>
          <w:p w14:paraId="65CF5B66" w14:textId="7CEA1C76" w:rsidR="00F96ABD" w:rsidRPr="00A21682" w:rsidRDefault="00F96ABD">
            <w:pPr>
              <w:pStyle w:val="TABLETEXT1"/>
              <w:rPr>
                <w:lang w:val="en-US"/>
              </w:rPr>
            </w:pPr>
            <w:r>
              <w:rPr>
                <w:lang w:val="en-US"/>
              </w:rPr>
              <w:t>Decision Stakeholders discuss an open item and decide to address the open item.</w:t>
            </w:r>
          </w:p>
        </w:tc>
        <w:tc>
          <w:tcPr>
            <w:tcW w:w="2116" w:type="dxa"/>
          </w:tcPr>
          <w:p w14:paraId="5EF254CF" w14:textId="77777777" w:rsidR="00F96ABD" w:rsidRPr="00635C9B" w:rsidRDefault="00F96ABD" w:rsidP="00CA1375">
            <w:pPr>
              <w:pStyle w:val="TABLEBULLETNEW"/>
            </w:pPr>
            <w:r>
              <w:t>Decision Stakeholders</w:t>
            </w:r>
          </w:p>
        </w:tc>
      </w:tr>
      <w:tr w:rsidR="00F96ABD" w:rsidRPr="00A21682" w14:paraId="2DC2BF96" w14:textId="77777777">
        <w:trPr>
          <w:cantSplit/>
          <w:trHeight w:val="20"/>
        </w:trPr>
        <w:tc>
          <w:tcPr>
            <w:tcW w:w="805" w:type="dxa"/>
          </w:tcPr>
          <w:p w14:paraId="1FDB8BBA" w14:textId="77777777" w:rsidR="00F96ABD" w:rsidRPr="00A21682" w:rsidRDefault="00F96ABD">
            <w:pPr>
              <w:pStyle w:val="TABLETEXT1"/>
              <w:rPr>
                <w:lang w:val="en-US"/>
              </w:rPr>
            </w:pPr>
            <w:r>
              <w:rPr>
                <w:lang w:val="en-US"/>
              </w:rPr>
              <w:t>2</w:t>
            </w:r>
          </w:p>
        </w:tc>
        <w:tc>
          <w:tcPr>
            <w:tcW w:w="1890" w:type="dxa"/>
          </w:tcPr>
          <w:p w14:paraId="448C1B90" w14:textId="3882BA1C" w:rsidR="00F96ABD" w:rsidRPr="00A21682" w:rsidRDefault="00F96ABD">
            <w:pPr>
              <w:pStyle w:val="TABLETEXT1"/>
              <w:rPr>
                <w:lang w:val="en-US"/>
              </w:rPr>
            </w:pPr>
            <w:r>
              <w:rPr>
                <w:lang w:val="en-US"/>
              </w:rPr>
              <w:t>Record the Decision in the ALM tool as Open</w:t>
            </w:r>
          </w:p>
        </w:tc>
        <w:tc>
          <w:tcPr>
            <w:tcW w:w="4544" w:type="dxa"/>
          </w:tcPr>
          <w:p w14:paraId="4E0A379B" w14:textId="33807010" w:rsidR="00F96ABD" w:rsidRPr="00A21682" w:rsidRDefault="00F96ABD">
            <w:pPr>
              <w:pStyle w:val="TABLETEXT1"/>
            </w:pPr>
            <w:r>
              <w:t>Decision Stakeholders log the decision in the ALM tool and with the status to ‘</w:t>
            </w:r>
            <w:r>
              <w:rPr>
                <w:i/>
              </w:rPr>
              <w:t>Open</w:t>
            </w:r>
            <w:r>
              <w:t>’.</w:t>
            </w:r>
          </w:p>
        </w:tc>
        <w:tc>
          <w:tcPr>
            <w:tcW w:w="2116" w:type="dxa"/>
          </w:tcPr>
          <w:p w14:paraId="79041C68" w14:textId="77777777" w:rsidR="00F96ABD" w:rsidRPr="00635C9B" w:rsidRDefault="00F96ABD" w:rsidP="00CA1375">
            <w:pPr>
              <w:pStyle w:val="TABLEBULLETNEW"/>
            </w:pPr>
            <w:r>
              <w:t>Decision Stakeholders</w:t>
            </w:r>
          </w:p>
        </w:tc>
      </w:tr>
      <w:tr w:rsidR="00F96ABD" w:rsidRPr="00A21682" w14:paraId="1041F58A" w14:textId="77777777">
        <w:trPr>
          <w:cantSplit/>
          <w:trHeight w:val="20"/>
        </w:trPr>
        <w:tc>
          <w:tcPr>
            <w:tcW w:w="805" w:type="dxa"/>
          </w:tcPr>
          <w:p w14:paraId="233CB66F" w14:textId="77777777" w:rsidR="00F96ABD" w:rsidRPr="00A21682" w:rsidRDefault="00F96ABD">
            <w:pPr>
              <w:pStyle w:val="TABLETEXT1"/>
              <w:rPr>
                <w:lang w:val="en-US"/>
              </w:rPr>
            </w:pPr>
            <w:r>
              <w:rPr>
                <w:lang w:val="en-US"/>
              </w:rPr>
              <w:t>3</w:t>
            </w:r>
          </w:p>
        </w:tc>
        <w:tc>
          <w:tcPr>
            <w:tcW w:w="1890" w:type="dxa"/>
          </w:tcPr>
          <w:p w14:paraId="6B2F8B1A" w14:textId="39846C16" w:rsidR="00F96ABD" w:rsidRPr="00A21682" w:rsidRDefault="00F96ABD">
            <w:pPr>
              <w:pStyle w:val="TABLETEXT1"/>
              <w:rPr>
                <w:lang w:val="en-US"/>
              </w:rPr>
            </w:pPr>
            <w:r>
              <w:rPr>
                <w:lang w:val="en-US"/>
              </w:rPr>
              <w:t>Review Decision for Completeness</w:t>
            </w:r>
          </w:p>
        </w:tc>
        <w:tc>
          <w:tcPr>
            <w:tcW w:w="4544" w:type="dxa"/>
          </w:tcPr>
          <w:p w14:paraId="19F848ED" w14:textId="34C6F863" w:rsidR="00F96ABD" w:rsidRPr="00A21682" w:rsidRDefault="00B87920">
            <w:pPr>
              <w:pStyle w:val="TABLETEXT1"/>
              <w:rPr>
                <w:lang w:val="en-US"/>
              </w:rPr>
            </w:pPr>
            <w:r>
              <w:rPr>
                <w:lang w:val="en-US"/>
              </w:rPr>
              <w:t>The designated PMO reviews the decision entered by the Decision Stakeholders and confirms whether there is enough information available to confirm the decision.</w:t>
            </w:r>
          </w:p>
        </w:tc>
        <w:tc>
          <w:tcPr>
            <w:tcW w:w="2116" w:type="dxa"/>
          </w:tcPr>
          <w:p w14:paraId="651275E6" w14:textId="48D09839" w:rsidR="00F96ABD" w:rsidRPr="00635C9B" w:rsidRDefault="00CC2845" w:rsidP="00CA1375">
            <w:pPr>
              <w:pStyle w:val="TABLEBULLETNEW"/>
            </w:pPr>
            <w:r>
              <w:t>███████/DOS PMO</w:t>
            </w:r>
          </w:p>
        </w:tc>
      </w:tr>
      <w:tr w:rsidR="00CC2845" w:rsidRPr="00A21682" w14:paraId="04AFACA1" w14:textId="77777777">
        <w:trPr>
          <w:cantSplit/>
          <w:trHeight w:val="20"/>
        </w:trPr>
        <w:tc>
          <w:tcPr>
            <w:tcW w:w="805" w:type="dxa"/>
          </w:tcPr>
          <w:p w14:paraId="4D7561B5" w14:textId="77777777" w:rsidR="00CC2845" w:rsidRPr="00A21682" w:rsidRDefault="00CC2845" w:rsidP="00CC2845">
            <w:pPr>
              <w:pStyle w:val="TABLETEXT1"/>
              <w:rPr>
                <w:lang w:val="en-US"/>
              </w:rPr>
            </w:pPr>
            <w:r>
              <w:rPr>
                <w:lang w:val="en-US"/>
              </w:rPr>
              <w:t>3.1</w:t>
            </w:r>
          </w:p>
        </w:tc>
        <w:tc>
          <w:tcPr>
            <w:tcW w:w="1890" w:type="dxa"/>
          </w:tcPr>
          <w:p w14:paraId="2B324DE6" w14:textId="5D59D9D6" w:rsidR="00CC2845" w:rsidRPr="00A21682" w:rsidRDefault="00CC2845" w:rsidP="00CC2845">
            <w:pPr>
              <w:pStyle w:val="TABLETEXT1"/>
              <w:rPr>
                <w:lang w:val="en-US"/>
              </w:rPr>
            </w:pPr>
            <w:r>
              <w:rPr>
                <w:lang w:val="en-US"/>
              </w:rPr>
              <w:t>Are All Required Fields Populated?</w:t>
            </w:r>
          </w:p>
        </w:tc>
        <w:tc>
          <w:tcPr>
            <w:tcW w:w="4544" w:type="dxa"/>
          </w:tcPr>
          <w:p w14:paraId="43E32EAC" w14:textId="44F23ACD" w:rsidR="00CC2845" w:rsidRPr="00A21682" w:rsidRDefault="00CC2845" w:rsidP="00CA1375">
            <w:pPr>
              <w:pStyle w:val="TABLEBULLETNEW"/>
            </w:pPr>
            <w:r>
              <w:t xml:space="preserve">If the decision is not complete, return to </w:t>
            </w:r>
            <w:r>
              <w:rPr>
                <w:i/>
              </w:rPr>
              <w:t>Step #2 Record the decision in the ALM tool as Open</w:t>
            </w:r>
            <w:r>
              <w:t xml:space="preserve"> to re-assess decision and gather additional input to complete all fields</w:t>
            </w:r>
          </w:p>
          <w:p w14:paraId="7D824636" w14:textId="1BC69182" w:rsidR="00CC2845" w:rsidRPr="00A21682" w:rsidRDefault="00CC2845" w:rsidP="00CA1375">
            <w:pPr>
              <w:pStyle w:val="TABLEBULLETNEW"/>
            </w:pPr>
            <w:r>
              <w:t xml:space="preserve">If the decision is complete, proceed to </w:t>
            </w:r>
            <w:r>
              <w:rPr>
                <w:i/>
              </w:rPr>
              <w:t>Step #4 Record the decision in the ALM tool as Complete</w:t>
            </w:r>
          </w:p>
        </w:tc>
        <w:tc>
          <w:tcPr>
            <w:tcW w:w="2116" w:type="dxa"/>
          </w:tcPr>
          <w:p w14:paraId="09CC7BA2" w14:textId="71D1CA7B" w:rsidR="00CC2845" w:rsidRPr="00635C9B" w:rsidRDefault="00CC2845" w:rsidP="00CA1375">
            <w:pPr>
              <w:pStyle w:val="TABLEBULLETNEW"/>
            </w:pPr>
            <w:r>
              <w:t>███████/DOS PMO</w:t>
            </w:r>
          </w:p>
        </w:tc>
      </w:tr>
      <w:tr w:rsidR="00CC2845" w:rsidRPr="00A21682" w14:paraId="1100E7A8" w14:textId="77777777">
        <w:trPr>
          <w:cantSplit/>
          <w:trHeight w:val="20"/>
        </w:trPr>
        <w:tc>
          <w:tcPr>
            <w:tcW w:w="805" w:type="dxa"/>
          </w:tcPr>
          <w:p w14:paraId="627E477F" w14:textId="77777777" w:rsidR="00CC2845" w:rsidRPr="00A21682" w:rsidRDefault="00CC2845" w:rsidP="00CC2845">
            <w:pPr>
              <w:pStyle w:val="TABLETEXT1"/>
              <w:rPr>
                <w:lang w:val="en-US"/>
              </w:rPr>
            </w:pPr>
            <w:r>
              <w:rPr>
                <w:lang w:val="en-US"/>
              </w:rPr>
              <w:t>4</w:t>
            </w:r>
          </w:p>
        </w:tc>
        <w:tc>
          <w:tcPr>
            <w:tcW w:w="1890" w:type="dxa"/>
          </w:tcPr>
          <w:p w14:paraId="2189B705" w14:textId="2C8A0C24" w:rsidR="00CC2845" w:rsidRPr="00A21682" w:rsidRDefault="00CC2845" w:rsidP="00CC2845">
            <w:pPr>
              <w:pStyle w:val="TABLETEXT1"/>
              <w:rPr>
                <w:lang w:val="en-US"/>
              </w:rPr>
            </w:pPr>
            <w:r>
              <w:rPr>
                <w:lang w:val="en-US"/>
              </w:rPr>
              <w:t>Record the Decision in the ALM tool as Complete</w:t>
            </w:r>
          </w:p>
        </w:tc>
        <w:tc>
          <w:tcPr>
            <w:tcW w:w="4544" w:type="dxa"/>
          </w:tcPr>
          <w:p w14:paraId="3B3EF32A" w14:textId="474F7D7C" w:rsidR="00CC2845" w:rsidRPr="00A21682" w:rsidRDefault="00CC2845" w:rsidP="00CC2845">
            <w:pPr>
              <w:pStyle w:val="TABLETEXT1"/>
              <w:rPr>
                <w:lang w:val="en-US"/>
              </w:rPr>
            </w:pPr>
            <w:r>
              <w:rPr>
                <w:lang w:val="en-US"/>
              </w:rPr>
              <w:t>The designated PMO updates the decision status to ‘</w:t>
            </w:r>
            <w:r>
              <w:rPr>
                <w:i/>
                <w:lang w:val="en-US"/>
              </w:rPr>
              <w:t>Complete</w:t>
            </w:r>
            <w:r>
              <w:rPr>
                <w:lang w:val="en-US"/>
              </w:rPr>
              <w:t>’</w:t>
            </w:r>
            <w:r>
              <w:rPr>
                <w:i/>
                <w:lang w:val="en-US"/>
              </w:rPr>
              <w:t xml:space="preserve"> </w:t>
            </w:r>
            <w:r>
              <w:rPr>
                <w:lang w:val="en-US"/>
              </w:rPr>
              <w:t xml:space="preserve">and closes out the open action item for the decision to be made, as applicable. </w:t>
            </w:r>
          </w:p>
        </w:tc>
        <w:tc>
          <w:tcPr>
            <w:tcW w:w="2116" w:type="dxa"/>
          </w:tcPr>
          <w:p w14:paraId="79035C82" w14:textId="137460E9" w:rsidR="00CC2845" w:rsidRPr="00635C9B" w:rsidRDefault="00CC2845" w:rsidP="00CA1375">
            <w:pPr>
              <w:pStyle w:val="TABLEBULLETNEW"/>
            </w:pPr>
            <w:r>
              <w:t>███████/DOS PMO</w:t>
            </w:r>
          </w:p>
        </w:tc>
      </w:tr>
    </w:tbl>
    <w:p w14:paraId="6AC3D864" w14:textId="0EFAFDD2" w:rsidR="00F96ABD" w:rsidRPr="00A21682" w:rsidRDefault="00F96ABD" w:rsidP="000F38B8">
      <w:pPr>
        <w:pStyle w:val="Caption"/>
        <w:rPr>
          <w:noProof w:val="0"/>
        </w:rPr>
      </w:pPr>
      <w:bookmarkStart w:id="4019" w:name="_Toc19287520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9</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13</w:t>
      </w:r>
      <w:r>
        <w:rPr>
          <w:noProof w:val="0"/>
        </w:rPr>
        <w:fldChar w:fldCharType="end"/>
      </w:r>
      <w:r>
        <w:rPr>
          <w:noProof w:val="0"/>
        </w:rPr>
        <w:t>: Decision Management Process Flow Narrative</w:t>
      </w:r>
      <w:bookmarkEnd w:id="4019"/>
    </w:p>
    <w:p w14:paraId="765175A7" w14:textId="77777777" w:rsidR="00F96ABD" w:rsidRDefault="00F96ABD" w:rsidP="00F96ABD">
      <w:pPr>
        <w:pStyle w:val="Heading3"/>
      </w:pPr>
      <w:bookmarkStart w:id="4020" w:name="_Toc185952867"/>
      <w:bookmarkStart w:id="4021" w:name="_Toc192874967"/>
      <w:r>
        <w:lastRenderedPageBreak/>
        <w:t>Decision Attributes</w:t>
      </w:r>
      <w:bookmarkEnd w:id="4020"/>
      <w:bookmarkEnd w:id="4021"/>
    </w:p>
    <w:p w14:paraId="6586D0CE" w14:textId="31A1514C" w:rsidR="00064A01" w:rsidRPr="00A21682" w:rsidRDefault="00064A01" w:rsidP="00064A01">
      <w:pPr>
        <w:pStyle w:val="NormalNEW"/>
        <w:rPr>
          <w:rStyle w:val="Hyperlink"/>
          <w:lang w:val="en-US"/>
        </w:rPr>
      </w:pPr>
      <w:r>
        <w:rPr>
          <w:lang w:val="en-US"/>
        </w:rPr>
        <w:t xml:space="preserve">The most updated attributes used for Decisions in the ALM tool can be found in the ALM Tool Reference Guide in the following location: </w:t>
      </w:r>
      <w:r>
        <w:rPr>
          <w:rStyle w:val="Hyperlink"/>
          <w:lang w:val="en-US"/>
        </w:rPr>
        <w:t>The ALM tool</w:t>
      </w:r>
    </w:p>
    <w:p w14:paraId="56466468" w14:textId="000565AD" w:rsidR="00064A01" w:rsidRPr="00064A01" w:rsidRDefault="00064A01" w:rsidP="00064A01">
      <w:pPr>
        <w:pStyle w:val="NYBodyText"/>
        <w:rPr>
          <w:lang w:val="en-US"/>
        </w:rPr>
      </w:pPr>
    </w:p>
    <w:p w14:paraId="20FB5A77" w14:textId="77777777" w:rsidR="00F96ABD" w:rsidRPr="00A21682" w:rsidRDefault="00F96ABD" w:rsidP="00F96ABD">
      <w:pPr>
        <w:pStyle w:val="Heading3"/>
      </w:pPr>
      <w:bookmarkStart w:id="4022" w:name="_Toc185952868"/>
      <w:bookmarkStart w:id="4023" w:name="_Toc192874968"/>
      <w:r>
        <w:t>Decision Monitoring and Reporting</w:t>
      </w:r>
      <w:bookmarkEnd w:id="4022"/>
      <w:bookmarkEnd w:id="4023"/>
    </w:p>
    <w:p w14:paraId="65CA5D52" w14:textId="5B7EEE9F" w:rsidR="00F96ABD" w:rsidRPr="00A21682" w:rsidRDefault="00F96ABD" w:rsidP="00F96ABD">
      <w:pPr>
        <w:pStyle w:val="NormalNEW"/>
        <w:rPr>
          <w:lang w:val="en-US"/>
        </w:rPr>
      </w:pPr>
      <w:r>
        <w:rPr>
          <w:lang w:val="en-US"/>
        </w:rPr>
        <w:t xml:space="preserve">Open decisions (any status that is not “Cancelled” or “Complete”) will be tracked and published in the PSR, which will be uploaded to the DOS SharePoint site. Open decisions will be monitored daily by PMO; the PMO will engage Decision Stakeholders for updates, clarifications, and next steps as part of the decision monitoring. </w:t>
      </w:r>
    </w:p>
    <w:p w14:paraId="1F6B07AE" w14:textId="77777777" w:rsidR="00F96ABD" w:rsidRPr="00A21682" w:rsidRDefault="00F96ABD" w:rsidP="00F96ABD">
      <w:pPr>
        <w:widowControl w:val="0"/>
        <w:spacing w:before="120" w:after="120" w:line="240" w:lineRule="atLeast"/>
        <w:rPr>
          <w:rFonts w:ascii="Verdana" w:eastAsiaTheme="majorEastAsia" w:hAnsi="Verdana" w:cstheme="majorBidi"/>
          <w:sz w:val="18"/>
          <w:szCs w:val="28"/>
        </w:rPr>
      </w:pPr>
      <w:r>
        <w:rPr>
          <w:rFonts w:ascii="Verdana" w:hAnsi="Verdana"/>
          <w:sz w:val="18"/>
          <w:szCs w:val="18"/>
        </w:rPr>
        <w:br w:type="page"/>
      </w:r>
    </w:p>
    <w:p w14:paraId="1A9A4FBA" w14:textId="77777777" w:rsidR="00F96ABD" w:rsidRPr="00A21682" w:rsidRDefault="00F96ABD" w:rsidP="0092603C">
      <w:pPr>
        <w:rPr>
          <w:rFonts w:ascii="Verdana" w:hAnsi="Verdana"/>
          <w:sz w:val="18"/>
        </w:rPr>
        <w:sectPr w:rsidR="00F96ABD" w:rsidRPr="00A21682" w:rsidSect="00FB4E23">
          <w:headerReference w:type="default" r:id="rId102"/>
          <w:footerReference w:type="default" r:id="rId103"/>
          <w:pgSz w:w="12240" w:h="15840"/>
          <w:pgMar w:top="1440" w:right="1440" w:bottom="1440" w:left="1440" w:header="720" w:footer="720" w:gutter="0"/>
          <w:cols w:space="720"/>
          <w:docGrid w:linePitch="360"/>
        </w:sectPr>
      </w:pPr>
    </w:p>
    <w:p w14:paraId="6BB2F658" w14:textId="23B07246" w:rsidR="0092603C" w:rsidRPr="00A21682" w:rsidRDefault="0092603C" w:rsidP="00A9704C">
      <w:pPr>
        <w:pStyle w:val="Deliverable"/>
        <w:jc w:val="center"/>
        <w:rPr>
          <w:sz w:val="18"/>
        </w:rPr>
      </w:pPr>
      <w:r>
        <w:rPr>
          <w:color w:val="FFFFFF" w:themeColor="background1"/>
        </w:rPr>
        <w:lastRenderedPageBreak/>
        <w:t xml:space="preserve">Section 10 – Integrated Change Control Process </w:t>
      </w:r>
    </w:p>
    <w:p w14:paraId="4BA171FF" w14:textId="77777777" w:rsidR="0092603C" w:rsidRPr="00A21682" w:rsidRDefault="0092603C" w:rsidP="0092603C">
      <w:pPr>
        <w:rPr>
          <w:rFonts w:ascii="Verdana" w:hAnsi="Verdana"/>
          <w:sz w:val="18"/>
        </w:rPr>
        <w:sectPr w:rsidR="0092603C" w:rsidRPr="00A21682" w:rsidSect="00FB4E23">
          <w:headerReference w:type="default" r:id="rId104"/>
          <w:footerReference w:type="default" r:id="rId105"/>
          <w:pgSz w:w="12240" w:h="15840"/>
          <w:pgMar w:top="1440" w:right="1440" w:bottom="1440" w:left="1440" w:header="720" w:footer="720" w:gutter="0"/>
          <w:cols w:space="720"/>
          <w:vAlign w:val="center"/>
          <w:docGrid w:linePitch="360"/>
        </w:sectPr>
      </w:pPr>
    </w:p>
    <w:p w14:paraId="0B9F305C" w14:textId="30ACD1E2" w:rsidR="0092603C" w:rsidRPr="00A21682" w:rsidRDefault="00CF7CE7">
      <w:pPr>
        <w:pStyle w:val="Heading1"/>
        <w:rPr>
          <w:szCs w:val="18"/>
        </w:rPr>
      </w:pPr>
      <w:bookmarkStart w:id="4024" w:name="_Toc177119553"/>
      <w:bookmarkStart w:id="4025" w:name="_Toc185952869"/>
      <w:bookmarkStart w:id="4026" w:name="_Toc192874969"/>
      <w:r>
        <w:rPr>
          <w:szCs w:val="18"/>
        </w:rPr>
        <w:lastRenderedPageBreak/>
        <w:t xml:space="preserve">Integrated Change Control </w:t>
      </w:r>
      <w:bookmarkEnd w:id="4024"/>
      <w:r>
        <w:rPr>
          <w:szCs w:val="18"/>
        </w:rPr>
        <w:t>Process</w:t>
      </w:r>
      <w:bookmarkEnd w:id="4025"/>
      <w:bookmarkEnd w:id="4026"/>
    </w:p>
    <w:p w14:paraId="0DCE9F93" w14:textId="77777777" w:rsidR="00042D52" w:rsidRPr="00A21682" w:rsidRDefault="00042D52">
      <w:pPr>
        <w:pStyle w:val="Heading2"/>
        <w:rPr>
          <w:szCs w:val="18"/>
        </w:rPr>
      </w:pPr>
      <w:bookmarkStart w:id="4027" w:name="_Toc141248313"/>
      <w:bookmarkStart w:id="4028" w:name="_Toc146296917"/>
      <w:bookmarkStart w:id="4029" w:name="_Toc177119554"/>
      <w:bookmarkStart w:id="4030" w:name="_Toc185952870"/>
      <w:bookmarkStart w:id="4031" w:name="_Toc192874970"/>
      <w:r>
        <w:rPr>
          <w:szCs w:val="18"/>
        </w:rPr>
        <w:t>Integrated Change Control Overview</w:t>
      </w:r>
      <w:bookmarkEnd w:id="4027"/>
      <w:bookmarkEnd w:id="4028"/>
      <w:bookmarkEnd w:id="4029"/>
      <w:bookmarkEnd w:id="4030"/>
      <w:bookmarkEnd w:id="4031"/>
    </w:p>
    <w:p w14:paraId="4ACC6FDE" w14:textId="70661F31" w:rsidR="00042D52" w:rsidRPr="00A21682" w:rsidRDefault="00042D52" w:rsidP="003E59AC">
      <w:pPr>
        <w:pStyle w:val="NormalNEW"/>
        <w:rPr>
          <w:szCs w:val="18"/>
          <w:lang w:val="en-US"/>
        </w:rPr>
      </w:pPr>
      <w:r>
        <w:rPr>
          <w:szCs w:val="18"/>
          <w:lang w:val="en-US"/>
        </w:rPr>
        <w:t xml:space="preserve">The ICCP defines the overall strategy and methodology for managing scope via the integrated change control process throughout the course of the Continuing Medicaid Eligibility Modernization project. This document also describes the technology-specific change control activities, processes, and procedures. </w:t>
      </w:r>
    </w:p>
    <w:p w14:paraId="22299690" w14:textId="5BE3093C" w:rsidR="00CA1857" w:rsidRPr="00A21682" w:rsidRDefault="00042D52" w:rsidP="003E59AC">
      <w:pPr>
        <w:pStyle w:val="NormalNEW"/>
        <w:rPr>
          <w:szCs w:val="18"/>
          <w:u w:val="single"/>
          <w:lang w:val="en-US"/>
        </w:rPr>
      </w:pPr>
      <w:r>
        <w:rPr>
          <w:szCs w:val="18"/>
          <w:lang w:val="en-US"/>
        </w:rPr>
        <w:t xml:space="preserve">Project changes can occur at any point during the project life cycle. Disciplined management of these project changes is critical to the overall success of the project and helps to reduce risk across the project timeline. </w:t>
      </w:r>
    </w:p>
    <w:p w14:paraId="7237E313" w14:textId="77777777" w:rsidR="00042D52" w:rsidRPr="00A21682" w:rsidRDefault="00042D52">
      <w:pPr>
        <w:pStyle w:val="Heading2"/>
        <w:rPr>
          <w:szCs w:val="18"/>
        </w:rPr>
      </w:pPr>
      <w:bookmarkStart w:id="4032" w:name="_Toc146296918"/>
      <w:bookmarkStart w:id="4033" w:name="_Toc177119555"/>
      <w:bookmarkStart w:id="4034" w:name="_Toc185952871"/>
      <w:bookmarkStart w:id="4035" w:name="_Toc192874971"/>
      <w:r>
        <w:rPr>
          <w:szCs w:val="18"/>
        </w:rPr>
        <w:t>Introduction and Purpose</w:t>
      </w:r>
      <w:bookmarkEnd w:id="4032"/>
      <w:bookmarkEnd w:id="4033"/>
      <w:bookmarkEnd w:id="4034"/>
      <w:bookmarkEnd w:id="4035"/>
    </w:p>
    <w:p w14:paraId="650F4863" w14:textId="5564A13B" w:rsidR="00042D52" w:rsidRPr="00A21682" w:rsidRDefault="00042D52" w:rsidP="003E59AC">
      <w:pPr>
        <w:pStyle w:val="NormalNEW"/>
        <w:rPr>
          <w:b/>
          <w:szCs w:val="18"/>
          <w:lang w:val="en-US"/>
        </w:rPr>
      </w:pPr>
      <w:r>
        <w:rPr>
          <w:szCs w:val="18"/>
          <w:lang w:val="en-US"/>
        </w:rPr>
        <w:t>The ICCP defines a framework for the project to plan and control changes to the scope, schedule, resources, budget, objectives, or baselined documentation. The change control process includes the criteria for requesting a change, the change control process, prioritization guidelines, categorization to determining governance, and the tools that support the ICCP. The change control process is at the heart of this plan and establishes an orderly and effective procedure for tracking the submission, prioritization, review, evaluation, categorization, and approval for release of all changes to the project baselines. These baselines may include contract documents (e.g., MSOW and ISOWs), deliverables, or controlled project working documents (e.g., the Master ISOW Integrated Project Schedule).</w:t>
      </w:r>
    </w:p>
    <w:p w14:paraId="69CEC655" w14:textId="6BD5B210" w:rsidR="00042D52" w:rsidRPr="00A21682" w:rsidRDefault="00042D52" w:rsidP="003E59AC">
      <w:pPr>
        <w:pStyle w:val="NormalNEW"/>
        <w:rPr>
          <w:szCs w:val="18"/>
          <w:lang w:val="en-US"/>
        </w:rPr>
      </w:pPr>
      <w:r>
        <w:rPr>
          <w:szCs w:val="18"/>
          <w:lang w:val="en-US"/>
        </w:rPr>
        <w:t xml:space="preserve">A common use case for change control includes modifications to system requirements and, over time, modifications to the MECM solution. While the baseline requirements provide a starting point for defining and building the MECM solution, changes are also identified during the SDLC process. Changes during the SDLC may be driven by legislation or policy, incorporating new opportunities for optimization, items that arise from reviews of legacy documentation, or business-requested functionality changes. Although not all changes of this nature are approved, it is important that changes can be requested. The ICCP provides a process to manage change throughout the project. </w:t>
      </w:r>
    </w:p>
    <w:p w14:paraId="3938EABC" w14:textId="61D88ECA" w:rsidR="00042D52" w:rsidRPr="00A21682" w:rsidRDefault="00042D52" w:rsidP="003E59AC">
      <w:pPr>
        <w:pStyle w:val="NormalNEW"/>
        <w:rPr>
          <w:szCs w:val="18"/>
          <w:lang w:val="en-US"/>
        </w:rPr>
      </w:pPr>
      <w:r>
        <w:rPr>
          <w:szCs w:val="18"/>
          <w:lang w:val="en-US"/>
        </w:rPr>
        <w:t>Every change request in the project triggers the change control process. A change can be for scope, resources, and project schedule. A change request must capture key information on the proposed change such as, but not limited to, the reason for change, description of change, financial impact, and associated risks/issues. Once a change to the project is identified, the change control process is initiated to evaluate, track, manage, and disposition the change. These changes are submitted to the ███████ and DOS PMOs for analysis and review. The PMOs mutually agree on which change requests are eligible to be presented to the CRB after analyzing the impact on scope, schedule, level of effort, associated business benefit, and whether they are a business driver. The CRB evaluates change requests and renders a disposition, which can be approved, rejected, placed on hold, or additional information is needed.</w:t>
      </w:r>
    </w:p>
    <w:p w14:paraId="18157AFA" w14:textId="77777777" w:rsidR="00042D52" w:rsidRPr="00A21682" w:rsidRDefault="00042D52">
      <w:pPr>
        <w:pStyle w:val="Heading2"/>
        <w:rPr>
          <w:szCs w:val="18"/>
        </w:rPr>
      </w:pPr>
      <w:bookmarkStart w:id="4036" w:name="_Toc141248315"/>
      <w:bookmarkStart w:id="4037" w:name="_Toc146296919"/>
      <w:bookmarkStart w:id="4038" w:name="_Toc177119556"/>
      <w:bookmarkStart w:id="4039" w:name="_Toc185952872"/>
      <w:bookmarkStart w:id="4040" w:name="_Toc192874972"/>
      <w:r>
        <w:rPr>
          <w:szCs w:val="18"/>
        </w:rPr>
        <w:t>Objectives</w:t>
      </w:r>
      <w:bookmarkEnd w:id="4036"/>
      <w:bookmarkEnd w:id="4037"/>
      <w:bookmarkEnd w:id="4038"/>
      <w:bookmarkEnd w:id="4039"/>
      <w:bookmarkEnd w:id="4040"/>
    </w:p>
    <w:p w14:paraId="0B1B818B" w14:textId="018AC0DA" w:rsidR="00042D52" w:rsidRPr="00A21682" w:rsidRDefault="0046397A" w:rsidP="003E59AC">
      <w:pPr>
        <w:pStyle w:val="NormalNEW"/>
        <w:rPr>
          <w:szCs w:val="18"/>
          <w:lang w:val="en-US"/>
        </w:rPr>
      </w:pPr>
      <w:r>
        <w:rPr>
          <w:szCs w:val="18"/>
          <w:lang w:val="en-US"/>
        </w:rPr>
        <w:t>The ICCP focuses on the following objectives to support the program goals:</w:t>
      </w:r>
    </w:p>
    <w:p w14:paraId="3945783B" w14:textId="77777777" w:rsidR="00042D52" w:rsidRPr="00A21682" w:rsidRDefault="00042D52" w:rsidP="0031550A">
      <w:pPr>
        <w:pStyle w:val="BulletNEW"/>
      </w:pPr>
      <w:r>
        <w:t xml:space="preserve">Defines processes and procedures that determine how project change is defined, documented, verified, managed, and controlled </w:t>
      </w:r>
    </w:p>
    <w:p w14:paraId="392234E5" w14:textId="43151E85" w:rsidR="00042D52" w:rsidRPr="00A21682" w:rsidRDefault="00042D52" w:rsidP="0031550A">
      <w:pPr>
        <w:pStyle w:val="BulletNEW"/>
      </w:pPr>
      <w:r>
        <w:t>Validates that all scope updates are escalated appropriately and addressed in a timely manner</w:t>
      </w:r>
    </w:p>
    <w:p w14:paraId="7053F747" w14:textId="77777777" w:rsidR="00042D52" w:rsidRPr="00A21682" w:rsidRDefault="00042D52" w:rsidP="0031550A">
      <w:pPr>
        <w:pStyle w:val="BulletNEW"/>
      </w:pPr>
      <w:r>
        <w:t xml:space="preserve">Establishes the process to identify the scope baseline and the procedures used if there are any potential changes to the baseline identified </w:t>
      </w:r>
    </w:p>
    <w:p w14:paraId="60424093" w14:textId="61B42272" w:rsidR="00042D52" w:rsidRPr="00A21682" w:rsidRDefault="00042D52" w:rsidP="0031550A">
      <w:pPr>
        <w:pStyle w:val="BulletNEW"/>
      </w:pPr>
      <w:r>
        <w:t xml:space="preserve">Defines processes and procedures to manage and control changes, including the roles and responsibilities of the CRB </w:t>
      </w:r>
    </w:p>
    <w:p w14:paraId="61AB5659" w14:textId="2D91E9C1" w:rsidR="00042D52" w:rsidRPr="00A21682" w:rsidRDefault="00042D52">
      <w:pPr>
        <w:pStyle w:val="Heading2"/>
        <w:rPr>
          <w:szCs w:val="18"/>
        </w:rPr>
      </w:pPr>
      <w:bookmarkStart w:id="4041" w:name="_Toc141248316"/>
      <w:bookmarkStart w:id="4042" w:name="_Toc146296920"/>
      <w:bookmarkStart w:id="4043" w:name="_Toc177119557"/>
      <w:bookmarkStart w:id="4044" w:name="_Toc185952873"/>
      <w:bookmarkStart w:id="4045" w:name="_Toc192874973"/>
      <w:r>
        <w:rPr>
          <w:szCs w:val="18"/>
        </w:rPr>
        <w:lastRenderedPageBreak/>
        <w:t>Integrated Change Control Process Roles and Responsibilities</w:t>
      </w:r>
      <w:bookmarkEnd w:id="4041"/>
      <w:bookmarkEnd w:id="4042"/>
      <w:bookmarkEnd w:id="4043"/>
      <w:bookmarkEnd w:id="4044"/>
      <w:bookmarkEnd w:id="4045"/>
    </w:p>
    <w:p w14:paraId="051C8627" w14:textId="12DFE60E" w:rsidR="00042D52" w:rsidRPr="00A21682" w:rsidRDefault="00042D52" w:rsidP="003E59AC">
      <w:pPr>
        <w:pStyle w:val="NormalNEW"/>
        <w:rPr>
          <w:szCs w:val="18"/>
          <w:lang w:val="en-US"/>
        </w:rPr>
      </w:pPr>
      <w:r>
        <w:rPr>
          <w:szCs w:val="18"/>
          <w:lang w:val="en-US"/>
        </w:rPr>
        <w:t>The Integrated Change Control Process Roles and Responsibilities table can be found in Appendix C-9. This table identifies the roles and responsibilities associated with the ICCP.</w:t>
      </w:r>
    </w:p>
    <w:p w14:paraId="32533646" w14:textId="0239771E" w:rsidR="00042D52" w:rsidRPr="00A21682" w:rsidRDefault="00042D52">
      <w:pPr>
        <w:pStyle w:val="Heading2"/>
        <w:rPr>
          <w:szCs w:val="18"/>
        </w:rPr>
      </w:pPr>
      <w:bookmarkStart w:id="4046" w:name="_Toc146296921"/>
      <w:bookmarkStart w:id="4047" w:name="_Toc192874974"/>
      <w:bookmarkStart w:id="4048" w:name="_Toc177119558"/>
      <w:bookmarkStart w:id="4049" w:name="_Toc185952874"/>
      <w:r>
        <w:rPr>
          <w:szCs w:val="18"/>
        </w:rPr>
        <w:t>Integrated Change Control Process</w:t>
      </w:r>
      <w:bookmarkEnd w:id="4046"/>
      <w:bookmarkEnd w:id="4047"/>
      <w:r>
        <w:rPr>
          <w:szCs w:val="18"/>
        </w:rPr>
        <w:t xml:space="preserve"> </w:t>
      </w:r>
      <w:bookmarkEnd w:id="4048"/>
      <w:bookmarkEnd w:id="4049"/>
    </w:p>
    <w:p w14:paraId="08D76F3E" w14:textId="23306135" w:rsidR="00B1267C" w:rsidRPr="00A21682" w:rsidRDefault="00042D52" w:rsidP="00325F80">
      <w:pPr>
        <w:rPr>
          <w:szCs w:val="18"/>
        </w:rPr>
      </w:pPr>
      <w:r>
        <w:rPr>
          <w:rFonts w:ascii="Verdana" w:hAnsi="Verdana"/>
          <w:sz w:val="18"/>
          <w:szCs w:val="18"/>
        </w:rPr>
        <w:t>The ICCP establishes an orderly and effective procedure for tracking the submission, prioritization, review, evaluation, categorization, and approval of all changes to the project’s baselines. The ICCP is designed so as to apply a consistent approach that each change introduced is analyzed and vetted by DOH OHIP, ███████, and the CRB prior to implementation. Documents related to Change Requests (CRs) and ICCP are stored and maintained in the following location in the DOH SharePoint: Change Requests.</w:t>
      </w:r>
      <w:r>
        <w:rPr>
          <w:szCs w:val="18"/>
        </w:rPr>
        <w:t xml:space="preserve"> </w:t>
      </w:r>
    </w:p>
    <w:p w14:paraId="4093D453" w14:textId="66BC3A70" w:rsidR="001C054C" w:rsidRPr="00A21682" w:rsidRDefault="00042D52" w:rsidP="003E59AC">
      <w:pPr>
        <w:pStyle w:val="NormalNEW"/>
        <w:rPr>
          <w:szCs w:val="18"/>
          <w:lang w:val="en-US"/>
        </w:rPr>
      </w:pPr>
      <w:r>
        <w:rPr>
          <w:szCs w:val="18"/>
          <w:lang w:val="en-US"/>
        </w:rPr>
        <w:t xml:space="preserve">The link to the diagram ‘Integrated Change Control Process Flow’ mentioned below depicts the change control process for the Continuing Medicaid Eligibility Modernization project. The diagram conveys an overview of responsibilities across the Requestor, ███████ Tracks/Stakeholders, and the PMO, which includes the ███████ PMO and DOS PMO teams. The diagram also shows responsibilities for the CRB. The CRB evaluates, reviews, and approves all proposed changes to the project that would impact the project scope, schedule, resources, budget, and objectives. The ARB reviews and approves technical and security changes in the MECM environments that do not initiate a change request. Any changes that result in impacts to the project will be routed through the ICCP. More information can be found in </w:t>
      </w:r>
      <w:r>
        <w:rPr>
          <w:iCs/>
          <w:szCs w:val="18"/>
          <w:lang w:val="en-US"/>
        </w:rPr>
        <w:t>Section 1 Governance Structure</w:t>
      </w:r>
      <w:r>
        <w:rPr>
          <w:szCs w:val="18"/>
          <w:lang w:val="en-US"/>
        </w:rPr>
        <w:t xml:space="preserve">. </w:t>
      </w:r>
    </w:p>
    <w:p w14:paraId="2D154780" w14:textId="23141127" w:rsidR="006C7CF4" w:rsidRPr="00A21682" w:rsidRDefault="00B45C2D" w:rsidP="003E59AC">
      <w:pPr>
        <w:pStyle w:val="NormalNEW"/>
        <w:rPr>
          <w:szCs w:val="18"/>
          <w:lang w:val="en-US"/>
        </w:rPr>
      </w:pPr>
      <w:r>
        <w:rPr>
          <w:szCs w:val="18"/>
          <w:lang w:val="en-US"/>
        </w:rPr>
        <w:t>The ███████ and DOS PMOs determine the appropriate target audience to review each change request based on the proposed CR impacts and funding source.</w:t>
      </w:r>
    </w:p>
    <w:p w14:paraId="31BE77D4" w14:textId="69C528DD" w:rsidR="004030C9" w:rsidRPr="00A21682" w:rsidRDefault="00EB76F7" w:rsidP="00325F80">
      <w:pPr>
        <w:pStyle w:val="NormalNEW"/>
        <w:rPr>
          <w:szCs w:val="18"/>
          <w:lang w:val="en-US"/>
        </w:rPr>
      </w:pPr>
      <w:r>
        <w:rPr>
          <w:szCs w:val="18"/>
          <w:lang w:val="en-US"/>
        </w:rPr>
        <w:t xml:space="preserve">Depending on the cost, scope, and budget impacts of the CR, the PMOs may recommend that the CR be directed to executive stakeholders following consultation and confirmation with project leadership according to the governance level as defined in Section 1 Governance Structure. </w:t>
      </w:r>
    </w:p>
    <w:p w14:paraId="793D2C94" w14:textId="3EFED712" w:rsidR="009D1372" w:rsidRPr="00A21682" w:rsidRDefault="009D1372" w:rsidP="003E59AC">
      <w:pPr>
        <w:pStyle w:val="NormalNEW"/>
        <w:rPr>
          <w:szCs w:val="18"/>
          <w:lang w:val="en-US"/>
        </w:rPr>
      </w:pPr>
      <w:r>
        <w:rPr>
          <w:szCs w:val="18"/>
          <w:lang w:val="en-US"/>
        </w:rPr>
        <w:t xml:space="preserve">CRs fall into four different funding sources: </w:t>
      </w:r>
    </w:p>
    <w:p w14:paraId="32DC853B" w14:textId="1D647858" w:rsidR="009D1372" w:rsidRPr="00A21682" w:rsidRDefault="009D1372" w:rsidP="0031550A">
      <w:pPr>
        <w:pStyle w:val="BulletNEW"/>
      </w:pPr>
      <w:r>
        <w:t>Cost: Any CR that requires additional funds not otherwise allocated within an ISOW to implement</w:t>
      </w:r>
    </w:p>
    <w:p w14:paraId="0C07542C" w14:textId="4353999F" w:rsidR="00205D32" w:rsidRPr="00A21682" w:rsidRDefault="009D1372" w:rsidP="0031550A">
      <w:pPr>
        <w:pStyle w:val="BulletNEW"/>
      </w:pPr>
      <w:r>
        <w:t>No Cost: Any CR that will be delivered at no cost – meaning it is not utilizing any reserve or enhancement hours from an ISOW</w:t>
      </w:r>
    </w:p>
    <w:p w14:paraId="295F65D0" w14:textId="5FBA8B53" w:rsidR="00F7543B" w:rsidRPr="00A21682" w:rsidRDefault="00F7543B" w:rsidP="0031550A">
      <w:pPr>
        <w:pStyle w:val="BulletNEW"/>
      </w:pPr>
      <w:r>
        <w:t>No Cost ISOW: Any change request that utilizes reserve hours from the respective system change’s ISOW</w:t>
      </w:r>
    </w:p>
    <w:p w14:paraId="26D59E29" w14:textId="362CFA85" w:rsidR="00F7543B" w:rsidRPr="00A21682" w:rsidRDefault="00F7543B" w:rsidP="0031550A">
      <w:pPr>
        <w:pStyle w:val="BulletNEW"/>
      </w:pPr>
      <w:r>
        <w:t>No Cost Future Wave: Any change request that utilizes enhancement hours from a planned future wave</w:t>
      </w:r>
    </w:p>
    <w:p w14:paraId="0751E5CE" w14:textId="2141DF44" w:rsidR="00042D52" w:rsidRPr="00A21682" w:rsidRDefault="0025080E" w:rsidP="000E0BBA">
      <w:r>
        <w:rPr>
          <w:rFonts w:ascii="Verdana" w:hAnsi="Verdana"/>
          <w:sz w:val="18"/>
          <w:szCs w:val="18"/>
        </w:rPr>
        <w:t>Link to Change Request Process flow diagram: Change Request Process Diagram</w:t>
      </w:r>
    </w:p>
    <w:p w14:paraId="00DCFDEA" w14:textId="77777777" w:rsidR="00042D52" w:rsidRPr="00A21682" w:rsidRDefault="00042D52" w:rsidP="000E0BBA">
      <w:pPr>
        <w:pStyle w:val="Heading2"/>
        <w:rPr>
          <w:szCs w:val="18"/>
        </w:rPr>
      </w:pPr>
      <w:bookmarkStart w:id="4050" w:name="_Toc141248318"/>
      <w:bookmarkStart w:id="4051" w:name="_Toc146296922"/>
      <w:bookmarkStart w:id="4052" w:name="_Toc177119560"/>
      <w:bookmarkStart w:id="4053" w:name="_Toc185952876"/>
      <w:bookmarkStart w:id="4054" w:name="_Toc192874975"/>
      <w:r>
        <w:rPr>
          <w:szCs w:val="18"/>
        </w:rPr>
        <w:t>Identifying and Requesting Changes</w:t>
      </w:r>
      <w:bookmarkEnd w:id="4050"/>
      <w:bookmarkEnd w:id="4051"/>
      <w:bookmarkEnd w:id="4052"/>
      <w:bookmarkEnd w:id="4053"/>
      <w:bookmarkEnd w:id="4054"/>
    </w:p>
    <w:p w14:paraId="3905A997" w14:textId="702EBFDD" w:rsidR="00042D52" w:rsidRPr="00A21682" w:rsidRDefault="00042D52" w:rsidP="003E59AC">
      <w:pPr>
        <w:pStyle w:val="NormalNEW"/>
        <w:rPr>
          <w:lang w:val="en-US"/>
        </w:rPr>
      </w:pPr>
      <w:r>
        <w:rPr>
          <w:lang w:val="en-US"/>
        </w:rPr>
        <w:t xml:space="preserve">A change is defined initially as any variance from the scope finalized as a part of the baselined requirements. As the project progresses, the definition of change incorporates any variance from a previously approved (“Accepted”) project document. This includes the following examples: contract documents (MSOW or ISOW), project deliverables, and project working documents (e.g., Master ISOW Integrated Schedule). </w:t>
      </w:r>
    </w:p>
    <w:p w14:paraId="4194D862" w14:textId="55FFD79A" w:rsidR="00042D52" w:rsidRPr="00A21682" w:rsidRDefault="00042D52" w:rsidP="003E59AC">
      <w:pPr>
        <w:pStyle w:val="NormalNEW"/>
        <w:rPr>
          <w:lang w:val="en-US"/>
        </w:rPr>
      </w:pPr>
      <w:r>
        <w:rPr>
          <w:lang w:val="en-US"/>
        </w:rPr>
        <w:t xml:space="preserve">Although change typically impacts the solution design or project activities, a requested change might impact schedule, effort, budget, resources, or objectives and must be evaluated and approved through this formal process prior to dispositioning and implementation, if applicable. Changes can be identified at any time after requirement validation including in design, development, testing phases, and </w:t>
      </w:r>
      <w:r>
        <w:rPr>
          <w:lang w:val="en-US"/>
        </w:rPr>
        <w:lastRenderedPageBreak/>
        <w:t xml:space="preserve">production. The change control process helps control unapproved change to avoid scope creep, costly delays, and decreased quality in the solution. </w:t>
      </w:r>
    </w:p>
    <w:p w14:paraId="13AD5F05" w14:textId="0A4CB956" w:rsidR="00042D52" w:rsidRPr="00A21682" w:rsidRDefault="00042D52" w:rsidP="003E59AC">
      <w:pPr>
        <w:pStyle w:val="NormalNEW"/>
        <w:rPr>
          <w:lang w:val="en-US"/>
        </w:rPr>
      </w:pPr>
      <w:r>
        <w:rPr>
          <w:lang w:val="en-US"/>
        </w:rPr>
        <w:t xml:space="preserve">Any project stakeholder may submit a change request through the ALM tool which triggers the ICCP process. A CR is completed by the member(s) of the project team and distributed to the ███████ PMO or DOS PMO teams for review. </w:t>
      </w:r>
    </w:p>
    <w:p w14:paraId="53CE42FC" w14:textId="2AC148D6" w:rsidR="00B47BF8" w:rsidRPr="00A21682" w:rsidRDefault="00B47BF8" w:rsidP="003E59AC">
      <w:pPr>
        <w:pStyle w:val="NormalNEW"/>
        <w:rPr>
          <w:lang w:val="en-US"/>
        </w:rPr>
      </w:pPr>
      <w:r>
        <w:rPr>
          <w:lang w:val="en-US"/>
        </w:rPr>
        <w:t>In addition to logging a CR ticket in the ALM tool, the project stakeholder initiating the change will also complete and submit a corresponding Change Request Approach and Impact form. When initiating the change request, the requestor will complete the Solution Approach tab of the form. Once the change request is reviewed by the ███████ and DOS PMOs, if the CR is valid, then the requestor will provide the relevant impact information on the Impact Analysis tab in the same linked form.</w:t>
      </w:r>
    </w:p>
    <w:p w14:paraId="721C3EF9" w14:textId="3DC1401E" w:rsidR="002D5449" w:rsidRPr="00A21682" w:rsidRDefault="00DE3235" w:rsidP="00C72199">
      <w:pPr>
        <w:pStyle w:val="NormalNEW"/>
        <w:rPr>
          <w:lang w:val="en-US"/>
        </w:rPr>
      </w:pPr>
      <w:r>
        <w:rPr>
          <w:lang w:val="en-US"/>
        </w:rPr>
        <w:t>The most updated Change Request Approach and Impact form can be accessed here:</w:t>
      </w:r>
      <w:r>
        <w:rPr>
          <w:rStyle w:val="Hyperlink"/>
          <w:lang w:val="en-US"/>
        </w:rPr>
        <w:t xml:space="preserve"> </w:t>
      </w:r>
      <w:r>
        <w:rPr>
          <w:lang w:val="en-US"/>
        </w:rPr>
        <w:t>TEMPLATE_Change Request Approach and Impact.</w:t>
      </w:r>
    </w:p>
    <w:p w14:paraId="0E9EDE9E" w14:textId="3AAC8473" w:rsidR="00DF2C29" w:rsidRPr="00A21682" w:rsidRDefault="009510FD">
      <w:pPr>
        <w:pStyle w:val="NormalNEW"/>
        <w:rPr>
          <w:lang w:val="en-US"/>
        </w:rPr>
      </w:pPr>
      <w:r>
        <w:rPr>
          <w:lang w:val="en-US"/>
        </w:rPr>
        <w:t>The CR form and associated reference materials are uploaded to and maintained in a CR-specific folder in the Change Request folder within the DOH SharePoint site. The link to the corresponding CR folder will be posted in the CR ticket in the ALM tool. The CR folder will contain the Change Request Approach and Impact form as well as any applicable supplementary materials.</w:t>
      </w:r>
    </w:p>
    <w:p w14:paraId="142FF4C7" w14:textId="465D0D8D" w:rsidR="008808CB" w:rsidRPr="00A21682" w:rsidRDefault="00646F28" w:rsidP="00E5447C">
      <w:pPr>
        <w:pStyle w:val="NormalNEW"/>
        <w:rPr>
          <w:lang w:val="en-US"/>
        </w:rPr>
      </w:pPr>
      <w:r>
        <w:rPr>
          <w:lang w:val="en-US"/>
        </w:rPr>
        <w:t>Once all of the CR initiation materials are drafted, the ███████ PMO drafts an accompanying CR Summary slide. This slide serves as a supplemental file to the CR submission to provide an overview of the CR when it is presented to the CRB. It summarizes key information provided in the ALM tool, reference materials, and the Change Request Approach and Impact form. The slide also has placeholders to capture comments and/or questions arising during the CR review session and a CR disposition if the CRB chooses to disposition the CR during the review session.</w:t>
      </w:r>
    </w:p>
    <w:p w14:paraId="32E3806C" w14:textId="60D20B4D" w:rsidR="00646F28" w:rsidRPr="00A21682" w:rsidRDefault="00CD08D9" w:rsidP="00E5447C">
      <w:pPr>
        <w:pStyle w:val="NormalNEW"/>
        <w:rPr>
          <w:lang w:val="en-US"/>
        </w:rPr>
      </w:pPr>
      <w:r>
        <w:rPr>
          <w:lang w:val="en-US"/>
        </w:rPr>
        <w:t>The table below describes the process steps for initiation and identification of changes to Change Requests.</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6"/>
        <w:gridCol w:w="2206"/>
        <w:gridCol w:w="4030"/>
        <w:gridCol w:w="2122"/>
      </w:tblGrid>
      <w:tr w:rsidR="001E62CC" w:rsidRPr="00A21682" w14:paraId="7C91DDE7" w14:textId="77777777" w:rsidTr="00F00901">
        <w:trPr>
          <w:trHeight w:val="300"/>
          <w:tblHeader/>
        </w:trPr>
        <w:tc>
          <w:tcPr>
            <w:tcW w:w="986" w:type="dxa"/>
            <w:tcBorders>
              <w:right w:val="single" w:sz="4" w:space="0" w:color="FFFFFF" w:themeColor="background1"/>
            </w:tcBorders>
            <w:shd w:val="clear" w:color="auto" w:fill="000000"/>
            <w:hideMark/>
          </w:tcPr>
          <w:p w14:paraId="0C4AEED5" w14:textId="77777777" w:rsidR="001C4AF5" w:rsidRPr="00A21682" w:rsidRDefault="001C4AF5" w:rsidP="00D6147D">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Step # </w:t>
            </w:r>
          </w:p>
        </w:tc>
        <w:tc>
          <w:tcPr>
            <w:tcW w:w="2206" w:type="dxa"/>
            <w:tcBorders>
              <w:left w:val="single" w:sz="4" w:space="0" w:color="FFFFFF" w:themeColor="background1"/>
              <w:right w:val="single" w:sz="4" w:space="0" w:color="FFFFFF" w:themeColor="background1"/>
            </w:tcBorders>
            <w:shd w:val="clear" w:color="auto" w:fill="000000"/>
            <w:hideMark/>
          </w:tcPr>
          <w:p w14:paraId="31B9159B" w14:textId="77777777" w:rsidR="001C4AF5" w:rsidRPr="00A21682" w:rsidRDefault="001C4AF5" w:rsidP="00D6147D">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Process Step </w:t>
            </w:r>
          </w:p>
        </w:tc>
        <w:tc>
          <w:tcPr>
            <w:tcW w:w="4030" w:type="dxa"/>
            <w:tcBorders>
              <w:left w:val="single" w:sz="4" w:space="0" w:color="FFFFFF" w:themeColor="background1"/>
              <w:right w:val="single" w:sz="4" w:space="0" w:color="FFFFFF" w:themeColor="background1"/>
            </w:tcBorders>
            <w:shd w:val="clear" w:color="auto" w:fill="000000"/>
            <w:hideMark/>
          </w:tcPr>
          <w:p w14:paraId="247EA5F0" w14:textId="77777777" w:rsidR="001C4AF5" w:rsidRPr="00A21682" w:rsidRDefault="001C4AF5" w:rsidP="00D6147D">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Description </w:t>
            </w:r>
          </w:p>
        </w:tc>
        <w:tc>
          <w:tcPr>
            <w:tcW w:w="2122" w:type="dxa"/>
            <w:tcBorders>
              <w:left w:val="single" w:sz="4" w:space="0" w:color="FFFFFF" w:themeColor="background1"/>
            </w:tcBorders>
            <w:shd w:val="clear" w:color="auto" w:fill="000000"/>
            <w:hideMark/>
          </w:tcPr>
          <w:p w14:paraId="29B0BEBB" w14:textId="77777777" w:rsidR="001C4AF5" w:rsidRPr="00A21682" w:rsidRDefault="001C4AF5" w:rsidP="00D6147D">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Stakeholder Group(s) </w:t>
            </w:r>
          </w:p>
        </w:tc>
      </w:tr>
      <w:tr w:rsidR="001E62CC" w:rsidRPr="00A21682" w14:paraId="31FEF2FB" w14:textId="77777777" w:rsidTr="00F00901">
        <w:trPr>
          <w:trHeight w:val="1425"/>
        </w:trPr>
        <w:tc>
          <w:tcPr>
            <w:tcW w:w="986" w:type="dxa"/>
            <w:hideMark/>
          </w:tcPr>
          <w:p w14:paraId="02FADC2F"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1 </w:t>
            </w:r>
          </w:p>
        </w:tc>
        <w:tc>
          <w:tcPr>
            <w:tcW w:w="2206" w:type="dxa"/>
            <w:hideMark/>
          </w:tcPr>
          <w:p w14:paraId="6CDDB4E3"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Log Change Request in the ALM tool and Assign to Corresponding PMO Lead </w:t>
            </w:r>
          </w:p>
          <w:p w14:paraId="1071630E"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w:t>
            </w:r>
          </w:p>
        </w:tc>
        <w:tc>
          <w:tcPr>
            <w:tcW w:w="4030" w:type="dxa"/>
            <w:hideMark/>
          </w:tcPr>
          <w:p w14:paraId="3652A4F9" w14:textId="4C92C9F6" w:rsidR="001E62CC" w:rsidRPr="00F00901" w:rsidRDefault="001C4AF5" w:rsidP="00F00901">
            <w:pPr>
              <w:pStyle w:val="TABLEBULLETNEW"/>
            </w:pPr>
            <w:r>
              <w:t>The requestor logs the Change Request capturing the high-level information for the proposed change in the ALM tool and assigns to corresponding PMO Lead</w:t>
            </w:r>
          </w:p>
          <w:p w14:paraId="7918754E" w14:textId="77777777" w:rsidR="001E62CC" w:rsidRPr="00F00901" w:rsidRDefault="001C4AF5" w:rsidP="00F00901">
            <w:pPr>
              <w:pStyle w:val="TABLEBULLETNEW"/>
            </w:pPr>
            <w:r>
              <w:t xml:space="preserve">A requestor can be any </w:t>
            </w:r>
            <w:r>
              <w:rPr>
                <w:highlight w:val="black"/>
              </w:rPr>
              <w:t>Deloitte</w:t>
            </w:r>
            <w:r>
              <w:t>/DOH stakeholder </w:t>
            </w:r>
          </w:p>
          <w:p w14:paraId="4076C60F" w14:textId="009F44A1" w:rsidR="001C4AF5" w:rsidRPr="00A21682" w:rsidRDefault="001C4AF5" w:rsidP="00F00901">
            <w:pPr>
              <w:pStyle w:val="TABLEBULLETNEW"/>
            </w:pPr>
            <w:r>
              <w:t>Status of change request is set to “Opened” </w:t>
            </w:r>
          </w:p>
        </w:tc>
        <w:tc>
          <w:tcPr>
            <w:tcW w:w="2122" w:type="dxa"/>
            <w:hideMark/>
          </w:tcPr>
          <w:p w14:paraId="2798F515" w14:textId="432FBC57" w:rsidR="001C4AF5" w:rsidRPr="00A21682" w:rsidRDefault="001C4AF5" w:rsidP="00CA1375">
            <w:pPr>
              <w:pStyle w:val="TABLEBULLETNEW"/>
            </w:pPr>
            <w:r>
              <w:t xml:space="preserve">Requestor (███████/DOH Stakeholders) </w:t>
            </w:r>
          </w:p>
        </w:tc>
      </w:tr>
      <w:tr w:rsidR="001E62CC" w:rsidRPr="00A21682" w14:paraId="4C708FF1" w14:textId="77777777" w:rsidTr="00F00901">
        <w:trPr>
          <w:trHeight w:val="75"/>
        </w:trPr>
        <w:tc>
          <w:tcPr>
            <w:tcW w:w="986" w:type="dxa"/>
            <w:hideMark/>
          </w:tcPr>
          <w:p w14:paraId="1CBC648C"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2 </w:t>
            </w:r>
          </w:p>
        </w:tc>
        <w:tc>
          <w:tcPr>
            <w:tcW w:w="2206" w:type="dxa"/>
            <w:hideMark/>
          </w:tcPr>
          <w:p w14:paraId="026A0EC7" w14:textId="0DB77781"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Review CR and Coordinate with Requestor to Provide Any Missing Details </w:t>
            </w:r>
          </w:p>
        </w:tc>
        <w:tc>
          <w:tcPr>
            <w:tcW w:w="4030" w:type="dxa"/>
            <w:hideMark/>
          </w:tcPr>
          <w:p w14:paraId="39C59972" w14:textId="400AADD1" w:rsidR="001C4AF5" w:rsidRPr="00A21682" w:rsidRDefault="001C4AF5" w:rsidP="00D6147D">
            <w:pPr>
              <w:keepNext/>
              <w:spacing w:before="60" w:after="60"/>
              <w:ind w:left="72"/>
              <w:textAlignment w:val="baseline"/>
              <w:rPr>
                <w:rFonts w:ascii="Verdana" w:hAnsi="Verdana" w:cs="Times New Roman"/>
                <w:sz w:val="18"/>
                <w:szCs w:val="18"/>
              </w:rPr>
            </w:pPr>
            <w:r>
              <w:rPr>
                <w:rFonts w:ascii="Verdana" w:hAnsi="Verdana" w:cs="Times New Roman"/>
                <w:sz w:val="18"/>
                <w:szCs w:val="18"/>
              </w:rPr>
              <w:t>The ███████ and DOS PMOs conduct an initial assessment of the CR and coordinate with the requestor to provide any missing details.</w:t>
            </w:r>
          </w:p>
        </w:tc>
        <w:tc>
          <w:tcPr>
            <w:tcW w:w="2122" w:type="dxa"/>
            <w:hideMark/>
          </w:tcPr>
          <w:p w14:paraId="6C9C8A3F" w14:textId="77777777" w:rsidR="001C4AF5" w:rsidRPr="00A21682" w:rsidRDefault="001C4AF5" w:rsidP="00F00901">
            <w:pPr>
              <w:pStyle w:val="TABLEBULLETNEW"/>
            </w:pPr>
            <w:r>
              <w:t>███████/DOS PMOs </w:t>
            </w:r>
          </w:p>
        </w:tc>
      </w:tr>
      <w:tr w:rsidR="001E62CC" w:rsidRPr="00A21682" w14:paraId="5E3AB758" w14:textId="77777777" w:rsidTr="00F00901">
        <w:trPr>
          <w:trHeight w:val="75"/>
        </w:trPr>
        <w:tc>
          <w:tcPr>
            <w:tcW w:w="986" w:type="dxa"/>
            <w:hideMark/>
          </w:tcPr>
          <w:p w14:paraId="154EF089"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2.1 </w:t>
            </w:r>
          </w:p>
        </w:tc>
        <w:tc>
          <w:tcPr>
            <w:tcW w:w="2206" w:type="dxa"/>
            <w:hideMark/>
          </w:tcPr>
          <w:p w14:paraId="106E8566" w14:textId="36E87CE2"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Additional Information Required? </w:t>
            </w:r>
          </w:p>
        </w:tc>
        <w:tc>
          <w:tcPr>
            <w:tcW w:w="4030" w:type="dxa"/>
            <w:hideMark/>
          </w:tcPr>
          <w:p w14:paraId="704B91A6" w14:textId="445F216A"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and DOS PMOs determine whether additional information is required for the CR.</w:t>
            </w:r>
          </w:p>
          <w:p w14:paraId="77639308" w14:textId="78442114" w:rsidR="000D6D80" w:rsidRPr="0098755B" w:rsidRDefault="000D6D80" w:rsidP="00F00901">
            <w:pPr>
              <w:pStyle w:val="TABLEBULLETNEW"/>
              <w:rPr>
                <w:i/>
              </w:rPr>
            </w:pPr>
            <w:r>
              <w:rPr>
                <w:rFonts w:cs="Times New Roman"/>
              </w:rPr>
              <w:t>I</w:t>
            </w:r>
            <w:r>
              <w:t xml:space="preserve">f additional information is required, proceed to </w:t>
            </w:r>
            <w:r>
              <w:rPr>
                <w:i/>
              </w:rPr>
              <w:t>Step #3 Update CR Based on Feedback</w:t>
            </w:r>
          </w:p>
          <w:p w14:paraId="1E1F8C76" w14:textId="6482AAA5" w:rsidR="000D6D80" w:rsidRPr="00A21682" w:rsidRDefault="001C4AF5" w:rsidP="00F00901">
            <w:pPr>
              <w:pStyle w:val="TABLEBULLETNEW"/>
              <w:rPr>
                <w:rFonts w:cs="Times New Roman"/>
              </w:rPr>
            </w:pPr>
            <w:r>
              <w:t xml:space="preserve">If additional information is not required, proceed to </w:t>
            </w:r>
            <w:r>
              <w:rPr>
                <w:i/>
              </w:rPr>
              <w:t xml:space="preserve">Step #4 Review CR and </w:t>
            </w:r>
            <w:r>
              <w:rPr>
                <w:i/>
              </w:rPr>
              <w:lastRenderedPageBreak/>
              <w:t>Confirm Readiness and Completeness of the ALM tool ticket and Solution Approach(es)</w:t>
            </w:r>
          </w:p>
        </w:tc>
        <w:tc>
          <w:tcPr>
            <w:tcW w:w="2122" w:type="dxa"/>
            <w:hideMark/>
          </w:tcPr>
          <w:p w14:paraId="3B5C47C9" w14:textId="77777777" w:rsidR="001C4AF5" w:rsidRPr="00A21682" w:rsidRDefault="001C4AF5" w:rsidP="00F00901">
            <w:pPr>
              <w:pStyle w:val="TABLEBULLETNEW"/>
            </w:pPr>
            <w:r>
              <w:lastRenderedPageBreak/>
              <w:t>███████/DOS PMOs </w:t>
            </w:r>
          </w:p>
        </w:tc>
      </w:tr>
      <w:tr w:rsidR="001E62CC" w:rsidRPr="00A21682" w14:paraId="026B324E" w14:textId="77777777" w:rsidTr="00F00901">
        <w:trPr>
          <w:trHeight w:val="75"/>
        </w:trPr>
        <w:tc>
          <w:tcPr>
            <w:tcW w:w="986" w:type="dxa"/>
            <w:hideMark/>
          </w:tcPr>
          <w:p w14:paraId="0D989632"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3 </w:t>
            </w:r>
          </w:p>
        </w:tc>
        <w:tc>
          <w:tcPr>
            <w:tcW w:w="2206" w:type="dxa"/>
            <w:hideMark/>
          </w:tcPr>
          <w:p w14:paraId="31C6ACDE"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 CR Based on Feedback </w:t>
            </w:r>
          </w:p>
        </w:tc>
        <w:tc>
          <w:tcPr>
            <w:tcW w:w="4030" w:type="dxa"/>
            <w:hideMark/>
          </w:tcPr>
          <w:p w14:paraId="2DE29D09"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requestor updates the CR (ALM tool ticket and/or Change Request Approach and Impact form) based on feedback. </w:t>
            </w:r>
          </w:p>
        </w:tc>
        <w:tc>
          <w:tcPr>
            <w:tcW w:w="2122" w:type="dxa"/>
            <w:hideMark/>
          </w:tcPr>
          <w:p w14:paraId="69AF3AAF" w14:textId="77777777" w:rsidR="001C4AF5" w:rsidRPr="00A21682" w:rsidRDefault="001C4AF5" w:rsidP="00F00901">
            <w:pPr>
              <w:pStyle w:val="TABLEBULLETNEW"/>
            </w:pPr>
            <w:r>
              <w:t>Requestor (███████/DOH Stakeholders) </w:t>
            </w:r>
          </w:p>
        </w:tc>
      </w:tr>
      <w:tr w:rsidR="001E62CC" w:rsidRPr="00A21682" w14:paraId="0539607C" w14:textId="77777777" w:rsidTr="00F00901">
        <w:trPr>
          <w:trHeight w:val="75"/>
        </w:trPr>
        <w:tc>
          <w:tcPr>
            <w:tcW w:w="986" w:type="dxa"/>
            <w:hideMark/>
          </w:tcPr>
          <w:p w14:paraId="65758EEF"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4 </w:t>
            </w:r>
          </w:p>
        </w:tc>
        <w:tc>
          <w:tcPr>
            <w:tcW w:w="2206" w:type="dxa"/>
            <w:hideMark/>
          </w:tcPr>
          <w:p w14:paraId="69F9544B"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CR and Confirm Readiness and Completeness of the ALM tool ticket and Solution Approach(es) </w:t>
            </w:r>
          </w:p>
        </w:tc>
        <w:tc>
          <w:tcPr>
            <w:tcW w:w="4030" w:type="dxa"/>
            <w:hideMark/>
          </w:tcPr>
          <w:p w14:paraId="1D23C08D"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and DOS PMOs review the CR and confirm readiness and completeness of the ALM tool ticket and supporting documentation. </w:t>
            </w:r>
          </w:p>
        </w:tc>
        <w:tc>
          <w:tcPr>
            <w:tcW w:w="2122" w:type="dxa"/>
            <w:hideMark/>
          </w:tcPr>
          <w:p w14:paraId="7F9EABFF" w14:textId="77777777" w:rsidR="001C4AF5" w:rsidRPr="00A21682" w:rsidRDefault="001C4AF5" w:rsidP="00F00901">
            <w:pPr>
              <w:pStyle w:val="TABLEBULLETNEW"/>
            </w:pPr>
            <w:r>
              <w:t>███████/DOS PMOs </w:t>
            </w:r>
          </w:p>
        </w:tc>
      </w:tr>
      <w:tr w:rsidR="001E62CC" w:rsidRPr="00A21682" w14:paraId="246CF20F" w14:textId="77777777" w:rsidTr="00F00901">
        <w:trPr>
          <w:trHeight w:val="75"/>
        </w:trPr>
        <w:tc>
          <w:tcPr>
            <w:tcW w:w="986" w:type="dxa"/>
            <w:hideMark/>
          </w:tcPr>
          <w:p w14:paraId="0537187E"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4.1 </w:t>
            </w:r>
          </w:p>
        </w:tc>
        <w:tc>
          <w:tcPr>
            <w:tcW w:w="2206" w:type="dxa"/>
            <w:hideMark/>
          </w:tcPr>
          <w:p w14:paraId="2DB34A07"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Initial Assessment of CR Complete? </w:t>
            </w:r>
          </w:p>
        </w:tc>
        <w:tc>
          <w:tcPr>
            <w:tcW w:w="4030" w:type="dxa"/>
            <w:hideMark/>
          </w:tcPr>
          <w:p w14:paraId="7490AAD3" w14:textId="3E2C3DC6" w:rsidR="001C4AF5" w:rsidRPr="00A21682" w:rsidRDefault="001C4AF5" w:rsidP="001A162C">
            <w:pPr>
              <w:pStyle w:val="TABLEBULLETNEW"/>
              <w:numPr>
                <w:ilvl w:val="0"/>
                <w:numId w:val="0"/>
              </w:numPr>
              <w:ind w:left="72"/>
            </w:pPr>
            <w:r>
              <w:t>The ███████ and DOS PMOs determine whether the initial assessment of the CR is complete.</w:t>
            </w:r>
          </w:p>
          <w:p w14:paraId="7361E157" w14:textId="517F173F" w:rsidR="00CC4115" w:rsidRPr="00A21682" w:rsidRDefault="001C4AF5" w:rsidP="00F00901">
            <w:pPr>
              <w:pStyle w:val="TABLEBULLETNEW"/>
            </w:pPr>
            <w:r>
              <w:t xml:space="preserve">If the initial assessment of the CR is not complete, proceed to </w:t>
            </w:r>
            <w:r>
              <w:rPr>
                <w:i/>
              </w:rPr>
              <w:t>Step #3 Update CR Based on Feedback</w:t>
            </w:r>
          </w:p>
          <w:p w14:paraId="716B1C38" w14:textId="2C65905C" w:rsidR="001C4AF5" w:rsidRPr="00A21682" w:rsidRDefault="001C4AF5" w:rsidP="00F00901">
            <w:pPr>
              <w:pStyle w:val="TABLEBULLETNEW"/>
            </w:pPr>
            <w:r>
              <w:t xml:space="preserve">If the initial assessment of the CR is complete, proceed to </w:t>
            </w:r>
            <w:r>
              <w:rPr>
                <w:i/>
              </w:rPr>
              <w:t>Step #5 Review and Confirm Validity to Proceed with CR</w:t>
            </w:r>
            <w:r>
              <w:t> </w:t>
            </w:r>
          </w:p>
        </w:tc>
        <w:tc>
          <w:tcPr>
            <w:tcW w:w="2122" w:type="dxa"/>
            <w:hideMark/>
          </w:tcPr>
          <w:p w14:paraId="3526969E" w14:textId="77777777" w:rsidR="001C4AF5" w:rsidRPr="00A21682" w:rsidRDefault="001C4AF5" w:rsidP="00F00901">
            <w:pPr>
              <w:pStyle w:val="TABLEBULLETNEW"/>
            </w:pPr>
            <w:r>
              <w:t>███████/DOS PMOs </w:t>
            </w:r>
          </w:p>
        </w:tc>
      </w:tr>
      <w:tr w:rsidR="001E62CC" w:rsidRPr="00A21682" w14:paraId="4FC82ABA" w14:textId="77777777" w:rsidTr="00F00901">
        <w:trPr>
          <w:trHeight w:val="75"/>
        </w:trPr>
        <w:tc>
          <w:tcPr>
            <w:tcW w:w="986" w:type="dxa"/>
            <w:hideMark/>
          </w:tcPr>
          <w:p w14:paraId="028EE7F2"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5 </w:t>
            </w:r>
          </w:p>
        </w:tc>
        <w:tc>
          <w:tcPr>
            <w:tcW w:w="2206" w:type="dxa"/>
            <w:hideMark/>
          </w:tcPr>
          <w:p w14:paraId="3F64CEC2"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and Confirm Validity to Proceed with CR </w:t>
            </w:r>
          </w:p>
        </w:tc>
        <w:tc>
          <w:tcPr>
            <w:tcW w:w="4030" w:type="dxa"/>
            <w:hideMark/>
          </w:tcPr>
          <w:p w14:paraId="195CC9E3" w14:textId="2D3DD3AD"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The ███████ and DOS PMOs assess the CR documentation, confirm whether the CR is valid and determine whether the CR should proceed to the impact assessment activities. </w:t>
            </w:r>
          </w:p>
        </w:tc>
        <w:tc>
          <w:tcPr>
            <w:tcW w:w="2122" w:type="dxa"/>
            <w:hideMark/>
          </w:tcPr>
          <w:p w14:paraId="17B9D90B" w14:textId="77777777" w:rsidR="001C4AF5" w:rsidRPr="00A21682" w:rsidRDefault="001C4AF5" w:rsidP="00F00901">
            <w:pPr>
              <w:pStyle w:val="TABLEBULLETNEW"/>
            </w:pPr>
            <w:r>
              <w:t>███████/DOS PMOs </w:t>
            </w:r>
          </w:p>
        </w:tc>
      </w:tr>
      <w:tr w:rsidR="001E62CC" w:rsidRPr="00A21682" w14:paraId="4879EDFD" w14:textId="77777777" w:rsidTr="00F00901">
        <w:trPr>
          <w:trHeight w:val="75"/>
        </w:trPr>
        <w:tc>
          <w:tcPr>
            <w:tcW w:w="986" w:type="dxa"/>
            <w:hideMark/>
          </w:tcPr>
          <w:p w14:paraId="4D1BF018"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5.1 </w:t>
            </w:r>
          </w:p>
        </w:tc>
        <w:tc>
          <w:tcPr>
            <w:tcW w:w="2206" w:type="dxa"/>
            <w:hideMark/>
          </w:tcPr>
          <w:p w14:paraId="43D6B058" w14:textId="77777777"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CR Ready for Impact Assessment? </w:t>
            </w:r>
          </w:p>
        </w:tc>
        <w:tc>
          <w:tcPr>
            <w:tcW w:w="4030" w:type="dxa"/>
            <w:hideMark/>
          </w:tcPr>
          <w:p w14:paraId="65AADE08" w14:textId="4C1EC238" w:rsidR="001C4AF5" w:rsidRPr="00A21682" w:rsidRDefault="001C4AF5" w:rsidP="00D6147D">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The ███████ and DOS PMOs decide whether the CR is ready for impact assessment. </w:t>
            </w:r>
          </w:p>
          <w:p w14:paraId="312FC7F6" w14:textId="1AA3C5F1" w:rsidR="00AC7329" w:rsidRPr="0098755B" w:rsidRDefault="001C4AF5" w:rsidP="00F00901">
            <w:pPr>
              <w:pStyle w:val="TABLEBULLETNEW"/>
              <w:rPr>
                <w:i/>
              </w:rPr>
            </w:pPr>
            <w:r>
              <w:t xml:space="preserve">If the CR is not ready for impact assessment, proceed to </w:t>
            </w:r>
            <w:r>
              <w:rPr>
                <w:i/>
              </w:rPr>
              <w:t>Step #6.1 Update CR Status to Ready for Impact Assessment and Set Assessment Due Date to Future Date</w:t>
            </w:r>
          </w:p>
          <w:p w14:paraId="20238E2E" w14:textId="516828D9" w:rsidR="001C4AF5" w:rsidRPr="00A21682" w:rsidRDefault="001C4AF5" w:rsidP="00F00901">
            <w:pPr>
              <w:pStyle w:val="TABLEBULLETNEW"/>
              <w:rPr>
                <w:rFonts w:ascii="Times New Roman" w:hAnsi="Times New Roman" w:cs="Times New Roman"/>
                <w:sz w:val="24"/>
                <w:szCs w:val="24"/>
              </w:rPr>
            </w:pPr>
            <w:r>
              <w:t xml:space="preserve">If the CR is ready for impact assessment, proceed to </w:t>
            </w:r>
            <w:r>
              <w:rPr>
                <w:i/>
              </w:rPr>
              <w:t>Step #6 Update CR Status to Ready for Impact Assessment and Set Assessment Due Date to 10 Business Days</w:t>
            </w:r>
            <w:r>
              <w:t xml:space="preserve"> </w:t>
            </w:r>
          </w:p>
        </w:tc>
        <w:tc>
          <w:tcPr>
            <w:tcW w:w="2122" w:type="dxa"/>
            <w:hideMark/>
          </w:tcPr>
          <w:p w14:paraId="0F1234A2" w14:textId="77777777" w:rsidR="001C4AF5" w:rsidRPr="00A21682" w:rsidRDefault="001C4AF5" w:rsidP="00F00901">
            <w:pPr>
              <w:pStyle w:val="TABLEBULLETNEW"/>
            </w:pPr>
            <w:r>
              <w:t>███████/DOS PMOs </w:t>
            </w:r>
          </w:p>
        </w:tc>
      </w:tr>
    </w:tbl>
    <w:p w14:paraId="23DD7A42" w14:textId="3B4671A2" w:rsidR="0021568C" w:rsidRPr="00A21682" w:rsidRDefault="00F70893" w:rsidP="00AC015D">
      <w:pPr>
        <w:pStyle w:val="Caption"/>
        <w:rPr>
          <w:noProof w:val="0"/>
        </w:rPr>
      </w:pPr>
      <w:bookmarkStart w:id="4055" w:name="_Toc19287520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10</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Process Steps for Initiation/Change Identification of Change Requests</w:t>
      </w:r>
      <w:bookmarkEnd w:id="4055"/>
    </w:p>
    <w:p w14:paraId="129A7DF4" w14:textId="0F6B2D31" w:rsidR="00CD08D9" w:rsidRPr="00A21682" w:rsidRDefault="001D170E" w:rsidP="00420794">
      <w:pPr>
        <w:pStyle w:val="NormalNEW"/>
        <w:rPr>
          <w:lang w:val="en-US"/>
        </w:rPr>
      </w:pPr>
      <w:r>
        <w:rPr>
          <w:lang w:val="en-US"/>
        </w:rPr>
        <w:t>The table below describes the process steps for evaluating Change Requests.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2"/>
        <w:gridCol w:w="1706"/>
        <w:gridCol w:w="4978"/>
        <w:gridCol w:w="1784"/>
      </w:tblGrid>
      <w:tr w:rsidR="001C4AF5" w:rsidRPr="00A21682" w14:paraId="31F2DEBB" w14:textId="77777777" w:rsidTr="00F00901">
        <w:trPr>
          <w:trHeight w:val="150"/>
          <w:tblHeader/>
        </w:trPr>
        <w:tc>
          <w:tcPr>
            <w:tcW w:w="885" w:type="dxa"/>
            <w:tcBorders>
              <w:right w:val="single" w:sz="4" w:space="0" w:color="FFFFFF" w:themeColor="background1"/>
            </w:tcBorders>
            <w:shd w:val="clear" w:color="auto" w:fill="000000"/>
            <w:hideMark/>
          </w:tcPr>
          <w:p w14:paraId="42D093FA" w14:textId="77777777" w:rsidR="001C4AF5" w:rsidRPr="00A21682" w:rsidRDefault="001C4AF5" w:rsidP="004059F6">
            <w:pPr>
              <w:spacing w:before="60" w:after="60"/>
              <w:ind w:left="72"/>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Step # </w:t>
            </w:r>
          </w:p>
        </w:tc>
        <w:tc>
          <w:tcPr>
            <w:tcW w:w="1710" w:type="dxa"/>
            <w:tcBorders>
              <w:left w:val="single" w:sz="4" w:space="0" w:color="FFFFFF" w:themeColor="background1"/>
              <w:right w:val="single" w:sz="4" w:space="0" w:color="FFFFFF" w:themeColor="background1"/>
            </w:tcBorders>
            <w:shd w:val="clear" w:color="auto" w:fill="000000"/>
            <w:hideMark/>
          </w:tcPr>
          <w:p w14:paraId="56C9AD9E" w14:textId="77777777" w:rsidR="001C4AF5" w:rsidRPr="00A21682" w:rsidRDefault="001C4AF5" w:rsidP="004059F6">
            <w:pPr>
              <w:spacing w:before="60" w:after="60"/>
              <w:ind w:left="72"/>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Process Step </w:t>
            </w:r>
          </w:p>
        </w:tc>
        <w:tc>
          <w:tcPr>
            <w:tcW w:w="5040" w:type="dxa"/>
            <w:tcBorders>
              <w:left w:val="single" w:sz="4" w:space="0" w:color="FFFFFF" w:themeColor="background1"/>
              <w:right w:val="single" w:sz="4" w:space="0" w:color="FFFFFF" w:themeColor="background1"/>
            </w:tcBorders>
            <w:shd w:val="clear" w:color="auto" w:fill="000000"/>
            <w:hideMark/>
          </w:tcPr>
          <w:p w14:paraId="12167166" w14:textId="77777777" w:rsidR="001C4AF5" w:rsidRPr="00A21682" w:rsidRDefault="001C4AF5" w:rsidP="004059F6">
            <w:pPr>
              <w:spacing w:before="60" w:after="60"/>
              <w:ind w:left="72"/>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Description </w:t>
            </w:r>
          </w:p>
        </w:tc>
        <w:tc>
          <w:tcPr>
            <w:tcW w:w="1785" w:type="dxa"/>
            <w:tcBorders>
              <w:left w:val="single" w:sz="4" w:space="0" w:color="FFFFFF" w:themeColor="background1"/>
            </w:tcBorders>
            <w:shd w:val="clear" w:color="auto" w:fill="000000"/>
            <w:hideMark/>
          </w:tcPr>
          <w:p w14:paraId="02091838" w14:textId="77777777" w:rsidR="001C4AF5" w:rsidRPr="00A21682" w:rsidRDefault="001C4AF5" w:rsidP="004059F6">
            <w:pPr>
              <w:spacing w:before="60" w:after="60"/>
              <w:ind w:left="72"/>
              <w:textAlignment w:val="baseline"/>
              <w:rPr>
                <w:rFonts w:ascii="Times New Roman" w:eastAsia="Times New Roman" w:hAnsi="Times New Roman" w:cs="Times New Roman"/>
                <w:b/>
                <w:bCs/>
                <w:color w:val="FFFFFF"/>
                <w:sz w:val="24"/>
                <w:szCs w:val="24"/>
              </w:rPr>
            </w:pPr>
            <w:r>
              <w:rPr>
                <w:rFonts w:ascii="Verdana" w:eastAsia="Times New Roman" w:hAnsi="Verdana" w:cs="Times New Roman"/>
                <w:b/>
                <w:bCs/>
                <w:color w:val="FFFFFF"/>
                <w:sz w:val="18"/>
                <w:szCs w:val="18"/>
              </w:rPr>
              <w:t>Stakeholder Group(s) </w:t>
            </w:r>
          </w:p>
        </w:tc>
      </w:tr>
      <w:tr w:rsidR="001C4AF5" w:rsidRPr="00A21682" w14:paraId="2E40D037" w14:textId="77777777" w:rsidTr="00F00901">
        <w:trPr>
          <w:trHeight w:val="300"/>
        </w:trPr>
        <w:tc>
          <w:tcPr>
            <w:tcW w:w="885" w:type="dxa"/>
            <w:hideMark/>
          </w:tcPr>
          <w:p w14:paraId="4D57833A"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5.1 </w:t>
            </w:r>
          </w:p>
        </w:tc>
        <w:tc>
          <w:tcPr>
            <w:tcW w:w="1710" w:type="dxa"/>
            <w:hideMark/>
          </w:tcPr>
          <w:p w14:paraId="31522A01"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CR Ready for Impact Assessment? </w:t>
            </w:r>
          </w:p>
        </w:tc>
        <w:tc>
          <w:tcPr>
            <w:tcW w:w="5040" w:type="dxa"/>
            <w:hideMark/>
          </w:tcPr>
          <w:p w14:paraId="11E5DE03" w14:textId="5F805F2C" w:rsidR="001C4AF5" w:rsidRPr="00A21682" w:rsidRDefault="001C4AF5" w:rsidP="004059F6">
            <w:pPr>
              <w:spacing w:before="60" w:after="60"/>
              <w:ind w:left="72"/>
              <w:textAlignment w:val="baseline"/>
              <w:rPr>
                <w:rFonts w:ascii="Times New Roman" w:eastAsia="Times New Roman" w:hAnsi="Times New Roman" w:cs="Times New Roman"/>
                <w:color w:val="000000"/>
                <w:sz w:val="24"/>
                <w:szCs w:val="24"/>
              </w:rPr>
            </w:pPr>
            <w:r>
              <w:rPr>
                <w:rFonts w:ascii="Verdana" w:eastAsia="Times New Roman" w:hAnsi="Verdana" w:cs="Times New Roman"/>
                <w:color w:val="000000"/>
                <w:sz w:val="18"/>
                <w:szCs w:val="18"/>
              </w:rPr>
              <w:t xml:space="preserve">The ███████ and DOS PMOs decide if the CR is ready for impact assessment. </w:t>
            </w:r>
          </w:p>
          <w:p w14:paraId="458198C6" w14:textId="2784C58C" w:rsidR="001C4AF5" w:rsidRPr="00A21682" w:rsidRDefault="001C4AF5" w:rsidP="00F00901">
            <w:pPr>
              <w:pStyle w:val="TABLEBULLETNEW"/>
            </w:pPr>
            <w:r>
              <w:lastRenderedPageBreak/>
              <w:t>If the CR is ready for impact assessment, proceed to Step #6 Update CR Status to Ready for Impact Assessment and Set Assessment Due Date to 10 Business Days </w:t>
            </w:r>
          </w:p>
          <w:p w14:paraId="17CEAF9C" w14:textId="69A48621" w:rsidR="001C4AF5" w:rsidRPr="00A21682" w:rsidRDefault="001C4AF5" w:rsidP="00F00901">
            <w:pPr>
              <w:pStyle w:val="TABLEBULLETNEW"/>
              <w:rPr>
                <w:rFonts w:cs="Times New Roman"/>
                <w:color w:val="000000"/>
              </w:rPr>
            </w:pPr>
            <w:r>
              <w:t xml:space="preserve">If the CR is not ready for impact assessment, proceed to </w:t>
            </w:r>
            <w:r>
              <w:rPr>
                <w:i/>
              </w:rPr>
              <w:t>Step #6.1 Update CR Status to Ready for Impact Assessment and Set Assessment Due Date to Future Date</w:t>
            </w:r>
          </w:p>
        </w:tc>
        <w:tc>
          <w:tcPr>
            <w:tcW w:w="1785" w:type="dxa"/>
            <w:hideMark/>
          </w:tcPr>
          <w:p w14:paraId="6F33B8AE" w14:textId="77777777" w:rsidR="001C4AF5" w:rsidRPr="00A21682" w:rsidRDefault="001C4AF5" w:rsidP="00F00901">
            <w:pPr>
              <w:pStyle w:val="TABLEBULLETNEW"/>
            </w:pPr>
            <w:r>
              <w:lastRenderedPageBreak/>
              <w:t>███████/DOS PMOs </w:t>
            </w:r>
          </w:p>
        </w:tc>
      </w:tr>
      <w:tr w:rsidR="001C4AF5" w:rsidRPr="00A21682" w14:paraId="1F65BEF9" w14:textId="77777777" w:rsidTr="00F00901">
        <w:trPr>
          <w:trHeight w:val="300"/>
        </w:trPr>
        <w:tc>
          <w:tcPr>
            <w:tcW w:w="885" w:type="dxa"/>
            <w:hideMark/>
          </w:tcPr>
          <w:p w14:paraId="0780A221" w14:textId="780407E8"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6.0 </w:t>
            </w:r>
          </w:p>
        </w:tc>
        <w:tc>
          <w:tcPr>
            <w:tcW w:w="1710" w:type="dxa"/>
            <w:hideMark/>
          </w:tcPr>
          <w:p w14:paraId="6CD87ECA"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 CR Status to Ready for Impact Assessment and Set Assessment Due Date to 10 Business Days </w:t>
            </w:r>
          </w:p>
        </w:tc>
        <w:tc>
          <w:tcPr>
            <w:tcW w:w="5040" w:type="dxa"/>
            <w:hideMark/>
          </w:tcPr>
          <w:p w14:paraId="4884EB11" w14:textId="67BA9FE4" w:rsidR="001C4AF5" w:rsidRPr="00A21682" w:rsidRDefault="001C4AF5" w:rsidP="004059F6">
            <w:pPr>
              <w:keepNext/>
              <w:spacing w:before="60" w:after="60"/>
              <w:ind w:left="72"/>
              <w:textAlignment w:val="baseline"/>
              <w:rPr>
                <w:rFonts w:ascii="Verdana" w:hAnsi="Verdana" w:cs="Times New Roman"/>
                <w:sz w:val="18"/>
                <w:szCs w:val="18"/>
              </w:rPr>
            </w:pPr>
            <w:r>
              <w:rPr>
                <w:rFonts w:ascii="Verdana" w:hAnsi="Verdana" w:cs="Times New Roman"/>
                <w:sz w:val="18"/>
                <w:szCs w:val="18"/>
              </w:rPr>
              <w:t>The ███████ PMO updates CR status to Ready for Impact Assessment and sets assessment due date to 10 business days</w:t>
            </w:r>
          </w:p>
        </w:tc>
        <w:tc>
          <w:tcPr>
            <w:tcW w:w="1785" w:type="dxa"/>
            <w:hideMark/>
          </w:tcPr>
          <w:p w14:paraId="2E3AC35E" w14:textId="77777777" w:rsidR="001C4AF5" w:rsidRPr="00A21682" w:rsidRDefault="001C4AF5" w:rsidP="00F00901">
            <w:pPr>
              <w:pStyle w:val="TABLEBULLETNEW"/>
            </w:pPr>
            <w:r>
              <w:t>███████ PMO </w:t>
            </w:r>
          </w:p>
        </w:tc>
      </w:tr>
      <w:tr w:rsidR="001C4AF5" w:rsidRPr="00A21682" w14:paraId="66F1E22F" w14:textId="77777777" w:rsidTr="00F00901">
        <w:trPr>
          <w:trHeight w:val="300"/>
        </w:trPr>
        <w:tc>
          <w:tcPr>
            <w:tcW w:w="885" w:type="dxa"/>
            <w:hideMark/>
          </w:tcPr>
          <w:p w14:paraId="1D5C176C"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6.1 </w:t>
            </w:r>
          </w:p>
        </w:tc>
        <w:tc>
          <w:tcPr>
            <w:tcW w:w="1710" w:type="dxa"/>
            <w:hideMark/>
          </w:tcPr>
          <w:p w14:paraId="70FB5037"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 CR Status to Ready for Impact Assessment and Set Assessment Due Date to Future Date </w:t>
            </w:r>
          </w:p>
        </w:tc>
        <w:tc>
          <w:tcPr>
            <w:tcW w:w="5040" w:type="dxa"/>
            <w:hideMark/>
          </w:tcPr>
          <w:p w14:paraId="744140D8" w14:textId="7D94C9FD" w:rsidR="001C4AF5" w:rsidRPr="00A21682" w:rsidRDefault="001C4AF5" w:rsidP="004059F6">
            <w:pPr>
              <w:keepNext/>
              <w:spacing w:before="60" w:after="60"/>
              <w:ind w:left="72"/>
              <w:textAlignment w:val="baseline"/>
              <w:rPr>
                <w:rFonts w:ascii="Verdana" w:hAnsi="Verdana" w:cs="Times New Roman"/>
                <w:sz w:val="18"/>
                <w:szCs w:val="18"/>
              </w:rPr>
            </w:pPr>
            <w:r>
              <w:rPr>
                <w:rFonts w:ascii="Verdana" w:hAnsi="Verdana" w:cs="Times New Roman"/>
                <w:sz w:val="18"/>
                <w:szCs w:val="18"/>
              </w:rPr>
              <w:t>The ███████ and DOS PMOs update CR status to Ready for Impact Assessment and set assessment due date to future date</w:t>
            </w:r>
          </w:p>
        </w:tc>
        <w:tc>
          <w:tcPr>
            <w:tcW w:w="1785" w:type="dxa"/>
            <w:hideMark/>
          </w:tcPr>
          <w:p w14:paraId="066189D8" w14:textId="77777777" w:rsidR="001C4AF5" w:rsidRPr="00A21682" w:rsidRDefault="001C4AF5" w:rsidP="00F00901">
            <w:pPr>
              <w:pStyle w:val="TABLEBULLETNEW"/>
            </w:pPr>
            <w:r>
              <w:t>███████/DOS PMOs </w:t>
            </w:r>
          </w:p>
        </w:tc>
      </w:tr>
      <w:tr w:rsidR="001C4AF5" w:rsidRPr="00A21682" w14:paraId="71504DF6" w14:textId="77777777" w:rsidTr="00F00901">
        <w:trPr>
          <w:trHeight w:val="300"/>
        </w:trPr>
        <w:tc>
          <w:tcPr>
            <w:tcW w:w="885" w:type="dxa"/>
            <w:hideMark/>
          </w:tcPr>
          <w:p w14:paraId="687F002F"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6.2 </w:t>
            </w:r>
          </w:p>
        </w:tc>
        <w:tc>
          <w:tcPr>
            <w:tcW w:w="1710" w:type="dxa"/>
            <w:hideMark/>
          </w:tcPr>
          <w:p w14:paraId="6B37067B"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CR Ready for Impact Assessment? </w:t>
            </w:r>
          </w:p>
        </w:tc>
        <w:tc>
          <w:tcPr>
            <w:tcW w:w="5040" w:type="dxa"/>
            <w:hideMark/>
          </w:tcPr>
          <w:p w14:paraId="62BE59C4" w14:textId="7E08EF42" w:rsidR="001C4AF5" w:rsidRPr="00A21682" w:rsidRDefault="001C4AF5" w:rsidP="004059F6">
            <w:pPr>
              <w:spacing w:before="60" w:after="60"/>
              <w:ind w:left="72"/>
              <w:textAlignment w:val="baseline"/>
              <w:rPr>
                <w:rFonts w:ascii="Times New Roman" w:eastAsia="Times New Roman" w:hAnsi="Times New Roman" w:cs="Times New Roman"/>
                <w:color w:val="000000"/>
                <w:sz w:val="24"/>
                <w:szCs w:val="24"/>
              </w:rPr>
            </w:pPr>
            <w:r>
              <w:rPr>
                <w:rFonts w:ascii="Verdana" w:eastAsia="Times New Roman" w:hAnsi="Verdana" w:cs="Times New Roman"/>
                <w:color w:val="000000"/>
                <w:sz w:val="18"/>
                <w:szCs w:val="18"/>
              </w:rPr>
              <w:t>The ███████ and DOS PMOs decide if the CR is ready for impact assessment.  </w:t>
            </w:r>
          </w:p>
          <w:p w14:paraId="368510D4" w14:textId="36B61141" w:rsidR="001C4AF5" w:rsidRPr="00A21682" w:rsidRDefault="001C4AF5" w:rsidP="00F00901">
            <w:pPr>
              <w:pStyle w:val="TABLEBULLETNEW"/>
            </w:pPr>
            <w:r>
              <w:t xml:space="preserve">If the CR is not ready, proceed to </w:t>
            </w:r>
            <w:r>
              <w:rPr>
                <w:i/>
              </w:rPr>
              <w:t>Step #6.3 Keep CR Status as Ready for Impact Assessment and Revise Assessment Due Date as Needed</w:t>
            </w:r>
            <w:r>
              <w:t xml:space="preserve"> </w:t>
            </w:r>
          </w:p>
          <w:p w14:paraId="29E37021" w14:textId="77777777" w:rsidR="001C4AF5" w:rsidRPr="00A21682" w:rsidRDefault="001C4AF5" w:rsidP="00F00901">
            <w:pPr>
              <w:pStyle w:val="TABLEBULLETNEW"/>
              <w:rPr>
                <w:rFonts w:cs="Times New Roman"/>
                <w:color w:val="000000"/>
              </w:rPr>
            </w:pPr>
            <w:r>
              <w:t xml:space="preserve">If the CR is ready, proceed to </w:t>
            </w:r>
            <w:r>
              <w:rPr>
                <w:i/>
              </w:rPr>
              <w:t>Step #7 Gather Information to Complete Impact Assessment. Update CR Status to Impact Assessment In Progress </w:t>
            </w:r>
          </w:p>
        </w:tc>
        <w:tc>
          <w:tcPr>
            <w:tcW w:w="1785" w:type="dxa"/>
            <w:hideMark/>
          </w:tcPr>
          <w:p w14:paraId="15517709" w14:textId="77777777" w:rsidR="001C4AF5" w:rsidRPr="00A21682" w:rsidRDefault="001C4AF5" w:rsidP="00F00901">
            <w:pPr>
              <w:pStyle w:val="TABLEBULLETNEW"/>
            </w:pPr>
            <w:r>
              <w:t>███████/DOS PMOs </w:t>
            </w:r>
          </w:p>
        </w:tc>
      </w:tr>
      <w:tr w:rsidR="001C4AF5" w:rsidRPr="00A21682" w14:paraId="78A4A657" w14:textId="77777777" w:rsidTr="00F00901">
        <w:trPr>
          <w:trHeight w:val="300"/>
        </w:trPr>
        <w:tc>
          <w:tcPr>
            <w:tcW w:w="885" w:type="dxa"/>
            <w:hideMark/>
          </w:tcPr>
          <w:p w14:paraId="30CBD153"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6.3 </w:t>
            </w:r>
          </w:p>
        </w:tc>
        <w:tc>
          <w:tcPr>
            <w:tcW w:w="1710" w:type="dxa"/>
            <w:hideMark/>
          </w:tcPr>
          <w:p w14:paraId="162A39D7"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Keep CR Status as Ready for Impact Assessment and Revise Assessment Due Date as Needed </w:t>
            </w:r>
          </w:p>
        </w:tc>
        <w:tc>
          <w:tcPr>
            <w:tcW w:w="5040" w:type="dxa"/>
            <w:hideMark/>
          </w:tcPr>
          <w:p w14:paraId="6CF9BB07" w14:textId="712A63D1" w:rsidR="001C4AF5" w:rsidRPr="00A21682" w:rsidRDefault="001C4AF5" w:rsidP="004059F6">
            <w:pPr>
              <w:keepNext/>
              <w:spacing w:before="60" w:after="60"/>
              <w:ind w:left="72"/>
              <w:textAlignment w:val="baseline"/>
              <w:rPr>
                <w:rFonts w:ascii="Verdana" w:hAnsi="Verdana" w:cs="Times New Roman"/>
                <w:sz w:val="18"/>
                <w:szCs w:val="18"/>
              </w:rPr>
            </w:pPr>
            <w:r>
              <w:rPr>
                <w:rFonts w:ascii="Verdana" w:hAnsi="Verdana" w:cs="Times New Roman"/>
                <w:sz w:val="18"/>
                <w:szCs w:val="18"/>
              </w:rPr>
              <w:t>███████/DOS PMOs keep CR status as Ready for Impact Assessment and revise assessment due date as needed</w:t>
            </w:r>
          </w:p>
        </w:tc>
        <w:tc>
          <w:tcPr>
            <w:tcW w:w="1785" w:type="dxa"/>
            <w:hideMark/>
          </w:tcPr>
          <w:p w14:paraId="4388F826" w14:textId="5A8E0FB3" w:rsidR="001C4AF5" w:rsidRPr="00A21682" w:rsidRDefault="001C4AF5" w:rsidP="00F00901">
            <w:pPr>
              <w:pStyle w:val="TABLEBULLETNEW"/>
            </w:pPr>
            <w:r>
              <w:t xml:space="preserve">███████/DOS PMOs </w:t>
            </w:r>
          </w:p>
        </w:tc>
      </w:tr>
      <w:tr w:rsidR="001C4AF5" w:rsidRPr="00A21682" w14:paraId="4A1A6989" w14:textId="77777777" w:rsidTr="00F00901">
        <w:trPr>
          <w:trHeight w:val="300"/>
        </w:trPr>
        <w:tc>
          <w:tcPr>
            <w:tcW w:w="885" w:type="dxa"/>
            <w:hideMark/>
          </w:tcPr>
          <w:p w14:paraId="5F8E3DF5"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7 </w:t>
            </w:r>
          </w:p>
        </w:tc>
        <w:tc>
          <w:tcPr>
            <w:tcW w:w="1710" w:type="dxa"/>
            <w:hideMark/>
          </w:tcPr>
          <w:p w14:paraId="6EEBBEA3"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Gather Information to Complete Impact Assessment. Update CR Status to Impact Assessment In Progress </w:t>
            </w:r>
          </w:p>
        </w:tc>
        <w:tc>
          <w:tcPr>
            <w:tcW w:w="5040" w:type="dxa"/>
            <w:hideMark/>
          </w:tcPr>
          <w:p w14:paraId="64FD5CDD" w14:textId="0244501A" w:rsidR="001C4AF5" w:rsidRPr="00A21682" w:rsidRDefault="001C4AF5" w:rsidP="004059F6">
            <w:pPr>
              <w:keepNext/>
              <w:spacing w:before="60" w:after="60"/>
              <w:ind w:left="72"/>
              <w:textAlignment w:val="baseline"/>
              <w:rPr>
                <w:rFonts w:ascii="Verdana" w:hAnsi="Verdana" w:cs="Times New Roman"/>
                <w:sz w:val="18"/>
                <w:szCs w:val="18"/>
              </w:rPr>
            </w:pPr>
            <w:r>
              <w:rPr>
                <w:rFonts w:ascii="Verdana" w:hAnsi="Verdana" w:cs="Times New Roman"/>
                <w:sz w:val="18"/>
                <w:szCs w:val="18"/>
              </w:rPr>
              <w:t>The ███████ Track gathers information to complete the impact assessment and updates the CR status to Impact Assessment In Progress</w:t>
            </w:r>
          </w:p>
        </w:tc>
        <w:tc>
          <w:tcPr>
            <w:tcW w:w="1785" w:type="dxa"/>
            <w:hideMark/>
          </w:tcPr>
          <w:p w14:paraId="66E0689E" w14:textId="77777777" w:rsidR="001C4AF5" w:rsidRPr="00A21682" w:rsidRDefault="001C4AF5" w:rsidP="00F00901">
            <w:pPr>
              <w:pStyle w:val="TABLEBULLETNEW"/>
            </w:pPr>
            <w:r>
              <w:t>███████ Track </w:t>
            </w:r>
          </w:p>
        </w:tc>
      </w:tr>
      <w:tr w:rsidR="001C4AF5" w:rsidRPr="00A21682" w14:paraId="5DD6E89F" w14:textId="77777777" w:rsidTr="00F00901">
        <w:trPr>
          <w:trHeight w:val="813"/>
        </w:trPr>
        <w:tc>
          <w:tcPr>
            <w:tcW w:w="885" w:type="dxa"/>
            <w:hideMark/>
          </w:tcPr>
          <w:p w14:paraId="724F9B70"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lastRenderedPageBreak/>
              <w:t>8 </w:t>
            </w:r>
          </w:p>
        </w:tc>
        <w:tc>
          <w:tcPr>
            <w:tcW w:w="1710" w:type="dxa"/>
            <w:hideMark/>
          </w:tcPr>
          <w:p w14:paraId="730AFC63" w14:textId="0AD8AC81"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Complete Impact Assessment and Submit Associated Documentation </w:t>
            </w:r>
          </w:p>
          <w:p w14:paraId="078166F7"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w:t>
            </w:r>
          </w:p>
        </w:tc>
        <w:tc>
          <w:tcPr>
            <w:tcW w:w="5040" w:type="dxa"/>
            <w:hideMark/>
          </w:tcPr>
          <w:p w14:paraId="6696B882" w14:textId="317F006F" w:rsidR="001C4AF5" w:rsidRPr="00A21682" w:rsidRDefault="001C4AF5" w:rsidP="004059F6">
            <w:pPr>
              <w:keepNext/>
              <w:spacing w:before="60" w:after="60"/>
              <w:ind w:left="72"/>
              <w:textAlignment w:val="baseline"/>
              <w:rPr>
                <w:rFonts w:ascii="Verdana" w:hAnsi="Verdana" w:cs="Times New Roman"/>
                <w:sz w:val="18"/>
                <w:szCs w:val="18"/>
              </w:rPr>
            </w:pPr>
            <w:r>
              <w:rPr>
                <w:rFonts w:ascii="Verdana" w:hAnsi="Verdana" w:cs="Times New Roman"/>
                <w:sz w:val="18"/>
                <w:szCs w:val="18"/>
              </w:rPr>
              <w:t>The ███████ Track completes impact assessment and submits associated documentation</w:t>
            </w:r>
          </w:p>
        </w:tc>
        <w:tc>
          <w:tcPr>
            <w:tcW w:w="1785" w:type="dxa"/>
            <w:hideMark/>
          </w:tcPr>
          <w:p w14:paraId="3F31354F" w14:textId="77777777" w:rsidR="001C4AF5" w:rsidRPr="00A21682" w:rsidRDefault="001C4AF5" w:rsidP="00F00901">
            <w:pPr>
              <w:pStyle w:val="TABLEBULLETNEW"/>
            </w:pPr>
            <w:r>
              <w:t>███████ Track </w:t>
            </w:r>
          </w:p>
        </w:tc>
      </w:tr>
      <w:tr w:rsidR="001C4AF5" w:rsidRPr="00A21682" w14:paraId="24FDCFE6" w14:textId="77777777" w:rsidTr="00F00901">
        <w:trPr>
          <w:trHeight w:val="300"/>
        </w:trPr>
        <w:tc>
          <w:tcPr>
            <w:tcW w:w="885" w:type="dxa"/>
            <w:hideMark/>
          </w:tcPr>
          <w:p w14:paraId="18A6FC32"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9 </w:t>
            </w:r>
          </w:p>
        </w:tc>
        <w:tc>
          <w:tcPr>
            <w:tcW w:w="1710" w:type="dxa"/>
            <w:hideMark/>
          </w:tcPr>
          <w:p w14:paraId="5925DB3C"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Impact Assessment and Update CR Status to Impact Assessment Review in Progress </w:t>
            </w:r>
          </w:p>
        </w:tc>
        <w:tc>
          <w:tcPr>
            <w:tcW w:w="5040" w:type="dxa"/>
            <w:hideMark/>
          </w:tcPr>
          <w:p w14:paraId="1C587B2B" w14:textId="4BA2CC9E" w:rsidR="001C4AF5" w:rsidRPr="00A21682" w:rsidRDefault="001C4AF5" w:rsidP="004059F6">
            <w:pPr>
              <w:keepNext/>
              <w:spacing w:before="60" w:after="60"/>
              <w:ind w:left="72"/>
              <w:textAlignment w:val="baseline"/>
              <w:rPr>
                <w:rFonts w:ascii="Verdana" w:hAnsi="Verdana" w:cs="Times New Roman"/>
                <w:sz w:val="18"/>
                <w:szCs w:val="18"/>
              </w:rPr>
            </w:pPr>
            <w:r>
              <w:rPr>
                <w:rFonts w:ascii="Verdana" w:hAnsi="Verdana" w:cs="Times New Roman"/>
                <w:sz w:val="18"/>
                <w:szCs w:val="18"/>
              </w:rPr>
              <w:t>The ███████ PMO reviews the impact assessment and updates the CR Status to Impact Assessment Review in Progress</w:t>
            </w:r>
          </w:p>
        </w:tc>
        <w:tc>
          <w:tcPr>
            <w:tcW w:w="1785" w:type="dxa"/>
            <w:hideMark/>
          </w:tcPr>
          <w:p w14:paraId="0979E974" w14:textId="77777777" w:rsidR="001C4AF5" w:rsidRPr="00A21682" w:rsidRDefault="001C4AF5" w:rsidP="00F00901">
            <w:pPr>
              <w:pStyle w:val="TABLEBULLETNEW"/>
            </w:pPr>
            <w:r>
              <w:t>███████ PMO </w:t>
            </w:r>
          </w:p>
        </w:tc>
      </w:tr>
      <w:tr w:rsidR="001C4AF5" w:rsidRPr="00A21682" w14:paraId="55F11AD7" w14:textId="77777777" w:rsidTr="00F00901">
        <w:trPr>
          <w:trHeight w:val="300"/>
        </w:trPr>
        <w:tc>
          <w:tcPr>
            <w:tcW w:w="885" w:type="dxa"/>
            <w:hideMark/>
          </w:tcPr>
          <w:p w14:paraId="381D6C58"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9.1 </w:t>
            </w:r>
          </w:p>
        </w:tc>
        <w:tc>
          <w:tcPr>
            <w:tcW w:w="1710" w:type="dxa"/>
            <w:hideMark/>
          </w:tcPr>
          <w:p w14:paraId="5BD231E0"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Ready for Review with DOS PMO? </w:t>
            </w:r>
          </w:p>
        </w:tc>
        <w:tc>
          <w:tcPr>
            <w:tcW w:w="5040" w:type="dxa"/>
            <w:hideMark/>
          </w:tcPr>
          <w:p w14:paraId="36BE287C" w14:textId="06020F8A"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PMO decides if the CR is ready for review with DOS PMO.  </w:t>
            </w:r>
          </w:p>
          <w:p w14:paraId="5755CD8A" w14:textId="0858799C" w:rsidR="001C4AF5" w:rsidRPr="0098755B" w:rsidRDefault="001C4AF5" w:rsidP="00F00901">
            <w:pPr>
              <w:pStyle w:val="TABLEBULLETNEW"/>
              <w:rPr>
                <w:i/>
              </w:rPr>
            </w:pPr>
            <w:r>
              <w:t xml:space="preserve">If the CR is not ready for DOS PMO review, proceed to </w:t>
            </w:r>
            <w:r>
              <w:rPr>
                <w:i/>
              </w:rPr>
              <w:t>Step #9.1.1 Update CR Form and the ALM tool Based on Feedback </w:t>
            </w:r>
          </w:p>
          <w:p w14:paraId="11BB1488" w14:textId="2C00FF41" w:rsidR="001C4AF5" w:rsidRPr="00A21682" w:rsidRDefault="001C4AF5" w:rsidP="00F00901">
            <w:pPr>
              <w:pStyle w:val="TABLEBULLETNEW"/>
              <w:rPr>
                <w:rFonts w:ascii="Times New Roman" w:hAnsi="Times New Roman" w:cs="Times New Roman"/>
                <w:color w:val="auto"/>
                <w:sz w:val="24"/>
                <w:szCs w:val="24"/>
              </w:rPr>
            </w:pPr>
            <w:r>
              <w:t xml:space="preserve">If the CR is ready for DOS PMO review, proceed to </w:t>
            </w:r>
            <w:r>
              <w:rPr>
                <w:i/>
              </w:rPr>
              <w:t>Step #10 Review Solution Approach(es) and Impact Assessment Draft</w:t>
            </w:r>
            <w:r>
              <w:t> </w:t>
            </w:r>
          </w:p>
        </w:tc>
        <w:tc>
          <w:tcPr>
            <w:tcW w:w="1785" w:type="dxa"/>
            <w:hideMark/>
          </w:tcPr>
          <w:p w14:paraId="510F6060" w14:textId="77777777" w:rsidR="001C4AF5" w:rsidRPr="00A21682" w:rsidRDefault="001C4AF5" w:rsidP="00F00901">
            <w:pPr>
              <w:pStyle w:val="TABLEBULLETNEW"/>
            </w:pPr>
            <w:r>
              <w:t>███████ PMO </w:t>
            </w:r>
          </w:p>
        </w:tc>
      </w:tr>
      <w:tr w:rsidR="001C4AF5" w:rsidRPr="00A21682" w14:paraId="680F65C2" w14:textId="77777777" w:rsidTr="00F00901">
        <w:trPr>
          <w:trHeight w:val="300"/>
        </w:trPr>
        <w:tc>
          <w:tcPr>
            <w:tcW w:w="885" w:type="dxa"/>
            <w:hideMark/>
          </w:tcPr>
          <w:p w14:paraId="1D9F8D63"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9.1.1 </w:t>
            </w:r>
          </w:p>
        </w:tc>
        <w:tc>
          <w:tcPr>
            <w:tcW w:w="1710" w:type="dxa"/>
            <w:hideMark/>
          </w:tcPr>
          <w:p w14:paraId="0CFFDC4B"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 CR Form and the ALM tool Based on Feedback </w:t>
            </w:r>
          </w:p>
        </w:tc>
        <w:tc>
          <w:tcPr>
            <w:tcW w:w="5040" w:type="dxa"/>
            <w:hideMark/>
          </w:tcPr>
          <w:p w14:paraId="4EB2EE1B"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Track updates the CR Form and the ALM tool based on feedback. </w:t>
            </w:r>
          </w:p>
        </w:tc>
        <w:tc>
          <w:tcPr>
            <w:tcW w:w="1785" w:type="dxa"/>
            <w:hideMark/>
          </w:tcPr>
          <w:p w14:paraId="416558E0" w14:textId="77777777" w:rsidR="001C4AF5" w:rsidRPr="00A21682" w:rsidRDefault="001C4AF5" w:rsidP="00F00901">
            <w:pPr>
              <w:pStyle w:val="TABLEBULLETNEW"/>
            </w:pPr>
            <w:r>
              <w:t>███████ Track </w:t>
            </w:r>
          </w:p>
        </w:tc>
      </w:tr>
      <w:tr w:rsidR="001C4AF5" w:rsidRPr="00A21682" w14:paraId="046E15BF" w14:textId="77777777" w:rsidTr="00F00901">
        <w:trPr>
          <w:trHeight w:val="300"/>
        </w:trPr>
        <w:tc>
          <w:tcPr>
            <w:tcW w:w="885" w:type="dxa"/>
            <w:hideMark/>
          </w:tcPr>
          <w:p w14:paraId="31BFC242"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10 </w:t>
            </w:r>
          </w:p>
        </w:tc>
        <w:tc>
          <w:tcPr>
            <w:tcW w:w="1710" w:type="dxa"/>
            <w:hideMark/>
          </w:tcPr>
          <w:p w14:paraId="248C1E58"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Review Solution Approach(es) and Impact Assessment Draft </w:t>
            </w:r>
          </w:p>
        </w:tc>
        <w:tc>
          <w:tcPr>
            <w:tcW w:w="5040" w:type="dxa"/>
            <w:hideMark/>
          </w:tcPr>
          <w:p w14:paraId="2E74CA92"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and DOS PMOs review the Change Request Approach and Impact form. </w:t>
            </w:r>
          </w:p>
        </w:tc>
        <w:tc>
          <w:tcPr>
            <w:tcW w:w="1785" w:type="dxa"/>
            <w:hideMark/>
          </w:tcPr>
          <w:p w14:paraId="518C0A25" w14:textId="77777777" w:rsidR="001C4AF5" w:rsidRPr="00A21682" w:rsidRDefault="001C4AF5" w:rsidP="00F00901">
            <w:pPr>
              <w:pStyle w:val="TABLEBULLETNEW"/>
            </w:pPr>
            <w:r>
              <w:t>███████/DOS PMO </w:t>
            </w:r>
          </w:p>
        </w:tc>
      </w:tr>
      <w:tr w:rsidR="001C4AF5" w:rsidRPr="00A21682" w14:paraId="02FAAA89" w14:textId="77777777" w:rsidTr="00F00901">
        <w:trPr>
          <w:trHeight w:val="300"/>
        </w:trPr>
        <w:tc>
          <w:tcPr>
            <w:tcW w:w="885" w:type="dxa"/>
            <w:hideMark/>
          </w:tcPr>
          <w:p w14:paraId="0E44EDDF" w14:textId="598628E5"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10.1 </w:t>
            </w:r>
          </w:p>
        </w:tc>
        <w:tc>
          <w:tcPr>
            <w:tcW w:w="1710" w:type="dxa"/>
            <w:hideMark/>
          </w:tcPr>
          <w:p w14:paraId="0566414F"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Ready for CRB Review? </w:t>
            </w:r>
          </w:p>
        </w:tc>
        <w:tc>
          <w:tcPr>
            <w:tcW w:w="5040" w:type="dxa"/>
            <w:hideMark/>
          </w:tcPr>
          <w:p w14:paraId="4F5896B2" w14:textId="1F525D7B"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and DOS PMO decide if the CR is ready for CRB review. </w:t>
            </w:r>
          </w:p>
          <w:p w14:paraId="73891C16" w14:textId="7FA58E76" w:rsidR="001C4AF5" w:rsidRPr="00A21682" w:rsidRDefault="001C4AF5" w:rsidP="00F00901">
            <w:pPr>
              <w:pStyle w:val="TABLEBULLETNEW"/>
            </w:pPr>
            <w:r>
              <w:t xml:space="preserve">If the CR is not ready for CRB review, proceed to </w:t>
            </w:r>
            <w:r>
              <w:rPr>
                <w:i/>
              </w:rPr>
              <w:t>Step #9.1.1 Update CR Form and the ALM tool Based on Feedback</w:t>
            </w:r>
          </w:p>
          <w:p w14:paraId="6E075C78" w14:textId="2861D7BD" w:rsidR="001C4AF5" w:rsidRPr="00A21682" w:rsidRDefault="001C4AF5" w:rsidP="00F00901">
            <w:pPr>
              <w:pStyle w:val="TABLEBULLETNEW"/>
              <w:rPr>
                <w:rFonts w:ascii="Times New Roman" w:hAnsi="Times New Roman" w:cs="Times New Roman"/>
                <w:sz w:val="24"/>
                <w:szCs w:val="24"/>
              </w:rPr>
            </w:pPr>
            <w:r>
              <w:t xml:space="preserve">If the CR is ready for CRB review, proceed to </w:t>
            </w:r>
            <w:r>
              <w:rPr>
                <w:i/>
              </w:rPr>
              <w:t xml:space="preserve">Step #11 Schedule Review with CRB (if needed) and Send CR Materials to CRB </w:t>
            </w:r>
          </w:p>
        </w:tc>
        <w:tc>
          <w:tcPr>
            <w:tcW w:w="1785" w:type="dxa"/>
            <w:hideMark/>
          </w:tcPr>
          <w:p w14:paraId="2B7357C3" w14:textId="77777777" w:rsidR="001C4AF5" w:rsidRPr="00A21682" w:rsidRDefault="001C4AF5" w:rsidP="00F00901">
            <w:pPr>
              <w:pStyle w:val="TABLEBULLETNEW"/>
            </w:pPr>
            <w:r>
              <w:t>███████/DOS PMOs </w:t>
            </w:r>
          </w:p>
        </w:tc>
      </w:tr>
      <w:tr w:rsidR="001C4AF5" w:rsidRPr="00A21682" w14:paraId="4EE88974" w14:textId="77777777" w:rsidTr="00F00901">
        <w:trPr>
          <w:trHeight w:val="300"/>
        </w:trPr>
        <w:tc>
          <w:tcPr>
            <w:tcW w:w="885" w:type="dxa"/>
            <w:hideMark/>
          </w:tcPr>
          <w:p w14:paraId="656D0350"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11 </w:t>
            </w:r>
          </w:p>
        </w:tc>
        <w:tc>
          <w:tcPr>
            <w:tcW w:w="1710" w:type="dxa"/>
            <w:hideMark/>
          </w:tcPr>
          <w:p w14:paraId="22250116" w14:textId="098671F2"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Schedule Review with CRB (if needed) and Send CR Materials to CRB</w:t>
            </w:r>
          </w:p>
        </w:tc>
        <w:tc>
          <w:tcPr>
            <w:tcW w:w="5040" w:type="dxa"/>
            <w:hideMark/>
          </w:tcPr>
          <w:p w14:paraId="00A77E7D" w14:textId="11330203"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Verdana" w:hAnsi="Verdana" w:cs="Times New Roman"/>
                <w:sz w:val="18"/>
                <w:szCs w:val="18"/>
              </w:rPr>
            </w:pPr>
            <w:r>
              <w:rPr>
                <w:rFonts w:ascii="Verdana" w:hAnsi="Verdana" w:cs="Times New Roman"/>
                <w:sz w:val="18"/>
                <w:szCs w:val="18"/>
              </w:rPr>
              <w:t xml:space="preserve">The ███████ and DOS PMOs schedule review with CRB (if needed) and send CR materials to CRB. </w:t>
            </w:r>
          </w:p>
        </w:tc>
        <w:tc>
          <w:tcPr>
            <w:tcW w:w="1785" w:type="dxa"/>
            <w:hideMark/>
          </w:tcPr>
          <w:p w14:paraId="34AC3E8D" w14:textId="77777777" w:rsidR="001C4AF5" w:rsidRPr="00A21682" w:rsidRDefault="001C4AF5" w:rsidP="00F00901">
            <w:pPr>
              <w:pStyle w:val="TABLEBULLETNEW"/>
            </w:pPr>
            <w:r>
              <w:t>███████/DOS PMOs </w:t>
            </w:r>
          </w:p>
        </w:tc>
      </w:tr>
      <w:tr w:rsidR="001C4AF5" w:rsidRPr="00A21682" w14:paraId="56CB7160" w14:textId="77777777" w:rsidTr="00F00901">
        <w:trPr>
          <w:trHeight w:val="300"/>
        </w:trPr>
        <w:tc>
          <w:tcPr>
            <w:tcW w:w="885" w:type="dxa"/>
            <w:hideMark/>
          </w:tcPr>
          <w:p w14:paraId="49EE1180"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12 </w:t>
            </w:r>
          </w:p>
        </w:tc>
        <w:tc>
          <w:tcPr>
            <w:tcW w:w="1710" w:type="dxa"/>
            <w:hideMark/>
          </w:tcPr>
          <w:p w14:paraId="4D22424D"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Review CR and Supporting Documents, and </w:t>
            </w:r>
            <w:r>
              <w:rPr>
                <w:rFonts w:ascii="Verdana" w:eastAsia="Times New Roman" w:hAnsi="Verdana" w:cs="Times New Roman"/>
                <w:sz w:val="18"/>
                <w:szCs w:val="18"/>
              </w:rPr>
              <w:lastRenderedPageBreak/>
              <w:t>Determine Disposition of CR </w:t>
            </w:r>
          </w:p>
        </w:tc>
        <w:tc>
          <w:tcPr>
            <w:tcW w:w="5040" w:type="dxa"/>
            <w:hideMark/>
          </w:tcPr>
          <w:p w14:paraId="365665E8" w14:textId="6CE0DE64"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Verdana" w:hAnsi="Verdana" w:cs="Times New Roman"/>
                <w:sz w:val="18"/>
                <w:szCs w:val="18"/>
              </w:rPr>
            </w:pPr>
            <w:r>
              <w:rPr>
                <w:rFonts w:ascii="Verdana" w:hAnsi="Verdana" w:cs="Times New Roman"/>
                <w:sz w:val="18"/>
                <w:szCs w:val="18"/>
              </w:rPr>
              <w:lastRenderedPageBreak/>
              <w:t>The Review Board assess the CR and supporting documents, and determines the disposition of the CR. </w:t>
            </w:r>
          </w:p>
        </w:tc>
        <w:tc>
          <w:tcPr>
            <w:tcW w:w="1785" w:type="dxa"/>
            <w:hideMark/>
          </w:tcPr>
          <w:p w14:paraId="2B903845" w14:textId="77777777" w:rsidR="001C4AF5" w:rsidRPr="00A21682" w:rsidRDefault="001C4AF5" w:rsidP="00F00901">
            <w:pPr>
              <w:pStyle w:val="TABLEBULLETNEW"/>
            </w:pPr>
            <w:r>
              <w:t>Review Board </w:t>
            </w:r>
          </w:p>
        </w:tc>
      </w:tr>
      <w:tr w:rsidR="001C4AF5" w:rsidRPr="00A21682" w14:paraId="252920AE" w14:textId="77777777" w:rsidTr="00F00901">
        <w:trPr>
          <w:trHeight w:val="300"/>
        </w:trPr>
        <w:tc>
          <w:tcPr>
            <w:tcW w:w="885" w:type="dxa"/>
            <w:hideMark/>
          </w:tcPr>
          <w:p w14:paraId="55C9668F"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12.1 </w:t>
            </w:r>
          </w:p>
        </w:tc>
        <w:tc>
          <w:tcPr>
            <w:tcW w:w="1710" w:type="dxa"/>
            <w:hideMark/>
          </w:tcPr>
          <w:p w14:paraId="2A70715D"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Additional Information Required? </w:t>
            </w:r>
          </w:p>
        </w:tc>
        <w:tc>
          <w:tcPr>
            <w:tcW w:w="5040" w:type="dxa"/>
            <w:hideMark/>
          </w:tcPr>
          <w:p w14:paraId="104C423E" w14:textId="641E0234"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 xml:space="preserve">The Review Board decides if additional information required. </w:t>
            </w:r>
          </w:p>
          <w:p w14:paraId="0E043668" w14:textId="5F6B53F1" w:rsidR="001C4AF5" w:rsidRPr="00A21682" w:rsidRDefault="001C4AF5" w:rsidP="00F00901">
            <w:pPr>
              <w:pStyle w:val="TABLEBULLETNEW"/>
            </w:pPr>
            <w:r>
              <w:t xml:space="preserve">If additional information is required, proceed to </w:t>
            </w:r>
            <w:r>
              <w:rPr>
                <w:i/>
              </w:rPr>
              <w:t>Step #12.1.1 Set CR Status to Information Pending and Update Comments to Reflect Information Requested</w:t>
            </w:r>
            <w:r>
              <w:t> </w:t>
            </w:r>
          </w:p>
          <w:p w14:paraId="52A7E695" w14:textId="2953F0E1" w:rsidR="001C4AF5" w:rsidRPr="00A21682" w:rsidRDefault="001C4AF5" w:rsidP="00F00901">
            <w:pPr>
              <w:pStyle w:val="TABLEBULLETNEW"/>
              <w:rPr>
                <w:rFonts w:ascii="Times New Roman" w:hAnsi="Times New Roman" w:cs="Times New Roman"/>
                <w:sz w:val="24"/>
                <w:szCs w:val="24"/>
              </w:rPr>
            </w:pPr>
            <w:r>
              <w:t xml:space="preserve">If additional information is not required, proceed to </w:t>
            </w:r>
            <w:r>
              <w:rPr>
                <w:i/>
              </w:rPr>
              <w:t>Step #12.2 Put CR On Hold?</w:t>
            </w:r>
          </w:p>
        </w:tc>
        <w:tc>
          <w:tcPr>
            <w:tcW w:w="1785" w:type="dxa"/>
            <w:hideMark/>
          </w:tcPr>
          <w:p w14:paraId="0E45C1D1" w14:textId="77777777" w:rsidR="001C4AF5" w:rsidRPr="00A21682" w:rsidRDefault="001C4AF5" w:rsidP="00F00901">
            <w:pPr>
              <w:pStyle w:val="TABLEBULLETNEW"/>
            </w:pPr>
            <w:r>
              <w:t>Review Board </w:t>
            </w:r>
          </w:p>
        </w:tc>
      </w:tr>
      <w:tr w:rsidR="001C4AF5" w:rsidRPr="00A21682" w14:paraId="01866F84" w14:textId="77777777" w:rsidTr="00F00901">
        <w:trPr>
          <w:trHeight w:val="300"/>
        </w:trPr>
        <w:tc>
          <w:tcPr>
            <w:tcW w:w="885" w:type="dxa"/>
            <w:hideMark/>
          </w:tcPr>
          <w:p w14:paraId="35D77E11"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12.1.1 </w:t>
            </w:r>
          </w:p>
        </w:tc>
        <w:tc>
          <w:tcPr>
            <w:tcW w:w="1710" w:type="dxa"/>
            <w:hideMark/>
          </w:tcPr>
          <w:p w14:paraId="270C1743" w14:textId="49607AF6"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Set CR Status to Information Pending and Update Comments to Reflect Information Requested</w:t>
            </w:r>
          </w:p>
        </w:tc>
        <w:tc>
          <w:tcPr>
            <w:tcW w:w="5040" w:type="dxa"/>
            <w:hideMark/>
          </w:tcPr>
          <w:p w14:paraId="15E52AF3" w14:textId="34F197CC"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Times New Roman" w:hAnsi="Times New Roman" w:cs="Times New Roman"/>
                <w:sz w:val="24"/>
                <w:szCs w:val="24"/>
              </w:rPr>
            </w:pPr>
            <w:r>
              <w:rPr>
                <w:rFonts w:ascii="Verdana" w:hAnsi="Verdana" w:cs="Times New Roman"/>
                <w:sz w:val="18"/>
                <w:szCs w:val="18"/>
              </w:rPr>
              <w:t>The ███████/DOS PMOs set CR status to Information Pending and update comments to reflect information requested. </w:t>
            </w:r>
          </w:p>
        </w:tc>
        <w:tc>
          <w:tcPr>
            <w:tcW w:w="1785" w:type="dxa"/>
            <w:hideMark/>
          </w:tcPr>
          <w:p w14:paraId="13AD7C4E" w14:textId="77777777" w:rsidR="001C4AF5" w:rsidRPr="00A21682" w:rsidRDefault="001C4AF5" w:rsidP="00F00901">
            <w:pPr>
              <w:pStyle w:val="TABLEBULLETNEW"/>
            </w:pPr>
            <w:r>
              <w:t>███████/DOS PMOs </w:t>
            </w:r>
          </w:p>
        </w:tc>
      </w:tr>
      <w:tr w:rsidR="001C4AF5" w:rsidRPr="00A21682" w14:paraId="79E8DEBA" w14:textId="77777777" w:rsidTr="00F00901">
        <w:trPr>
          <w:trHeight w:val="300"/>
        </w:trPr>
        <w:tc>
          <w:tcPr>
            <w:tcW w:w="885" w:type="dxa"/>
            <w:hideMark/>
          </w:tcPr>
          <w:p w14:paraId="1D70D0C1"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12.2 </w:t>
            </w:r>
          </w:p>
        </w:tc>
        <w:tc>
          <w:tcPr>
            <w:tcW w:w="1710" w:type="dxa"/>
            <w:hideMark/>
          </w:tcPr>
          <w:p w14:paraId="0C053FA1"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Put CR On Hold? </w:t>
            </w:r>
          </w:p>
        </w:tc>
        <w:tc>
          <w:tcPr>
            <w:tcW w:w="5040" w:type="dxa"/>
            <w:hideMark/>
          </w:tcPr>
          <w:p w14:paraId="3F48262F" w14:textId="4673D64A"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Review Board decides if the CR should be placed on hold.  </w:t>
            </w:r>
          </w:p>
          <w:p w14:paraId="31CD7A00" w14:textId="5CB3C4EE" w:rsidR="001C4AF5" w:rsidRPr="0098755B" w:rsidRDefault="001C4AF5" w:rsidP="00F00901">
            <w:pPr>
              <w:pStyle w:val="TABLEBULLETNEW"/>
              <w:rPr>
                <w:i/>
              </w:rPr>
            </w:pPr>
            <w:r>
              <w:t xml:space="preserve">If the CR is placed on hold, proceed to </w:t>
            </w:r>
            <w:r>
              <w:rPr>
                <w:i/>
              </w:rPr>
              <w:t>Step #12.2.1 Set CR Status to Change On Hold and Specify Revisit Date </w:t>
            </w:r>
          </w:p>
          <w:p w14:paraId="32CE2DDD" w14:textId="77777777" w:rsidR="001C4AF5" w:rsidRPr="00A21682" w:rsidRDefault="001C4AF5" w:rsidP="00F00901">
            <w:pPr>
              <w:pStyle w:val="TABLEBULLETNEW"/>
              <w:rPr>
                <w:rFonts w:ascii="Times New Roman" w:hAnsi="Times New Roman" w:cs="Times New Roman"/>
                <w:sz w:val="24"/>
                <w:szCs w:val="24"/>
              </w:rPr>
            </w:pPr>
            <w:r>
              <w:t xml:space="preserve">If the CR is not placed on hold, proceed to </w:t>
            </w:r>
            <w:r>
              <w:rPr>
                <w:i/>
              </w:rPr>
              <w:t>Step #12.4 Approve CR? </w:t>
            </w:r>
          </w:p>
        </w:tc>
        <w:tc>
          <w:tcPr>
            <w:tcW w:w="1785" w:type="dxa"/>
            <w:hideMark/>
          </w:tcPr>
          <w:p w14:paraId="2AC2454A" w14:textId="77777777" w:rsidR="001C4AF5" w:rsidRPr="00A21682" w:rsidRDefault="001C4AF5" w:rsidP="00F00901">
            <w:pPr>
              <w:pStyle w:val="TABLEBULLETNEW"/>
            </w:pPr>
            <w:r>
              <w:t>Review Board </w:t>
            </w:r>
          </w:p>
        </w:tc>
      </w:tr>
      <w:tr w:rsidR="001C4AF5" w:rsidRPr="00A21682" w14:paraId="5B1B160F" w14:textId="77777777" w:rsidTr="00F00901">
        <w:trPr>
          <w:trHeight w:val="300"/>
        </w:trPr>
        <w:tc>
          <w:tcPr>
            <w:tcW w:w="885" w:type="dxa"/>
            <w:hideMark/>
          </w:tcPr>
          <w:p w14:paraId="75B58445"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12.2.1 </w:t>
            </w:r>
          </w:p>
        </w:tc>
        <w:tc>
          <w:tcPr>
            <w:tcW w:w="1710" w:type="dxa"/>
            <w:hideMark/>
          </w:tcPr>
          <w:p w14:paraId="4FA05143"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Set CR Status to Change On Hold and Specify Revisit Date </w:t>
            </w:r>
          </w:p>
        </w:tc>
        <w:tc>
          <w:tcPr>
            <w:tcW w:w="5040" w:type="dxa"/>
            <w:hideMark/>
          </w:tcPr>
          <w:p w14:paraId="545A5D77" w14:textId="746696AF"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Times New Roman" w:hAnsi="Times New Roman" w:cs="Times New Roman"/>
                <w:sz w:val="24"/>
                <w:szCs w:val="24"/>
              </w:rPr>
            </w:pPr>
            <w:r>
              <w:rPr>
                <w:rFonts w:ascii="Verdana" w:hAnsi="Verdana" w:cs="Times New Roman"/>
                <w:sz w:val="18"/>
                <w:szCs w:val="18"/>
              </w:rPr>
              <w:t>The ███████ and DOS PMOs set the CR status to Change On Hold and specify the date to revisit the CR.</w:t>
            </w:r>
          </w:p>
        </w:tc>
        <w:tc>
          <w:tcPr>
            <w:tcW w:w="1785" w:type="dxa"/>
            <w:hideMark/>
          </w:tcPr>
          <w:p w14:paraId="29C08E2D" w14:textId="77777777" w:rsidR="001C4AF5" w:rsidRPr="00A21682" w:rsidRDefault="001C4AF5" w:rsidP="00F00901">
            <w:pPr>
              <w:pStyle w:val="TABLEBULLETNEW"/>
            </w:pPr>
            <w:r>
              <w:t>███████/DOS PMOs </w:t>
            </w:r>
          </w:p>
        </w:tc>
      </w:tr>
      <w:tr w:rsidR="001C4AF5" w:rsidRPr="00A21682" w14:paraId="03693109" w14:textId="77777777" w:rsidTr="00F00901">
        <w:trPr>
          <w:trHeight w:val="300"/>
        </w:trPr>
        <w:tc>
          <w:tcPr>
            <w:tcW w:w="885" w:type="dxa"/>
            <w:hideMark/>
          </w:tcPr>
          <w:p w14:paraId="392A22C1"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12.3 </w:t>
            </w:r>
          </w:p>
        </w:tc>
        <w:tc>
          <w:tcPr>
            <w:tcW w:w="1710" w:type="dxa"/>
            <w:hideMark/>
          </w:tcPr>
          <w:p w14:paraId="20840FC5"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Reopen CR? </w:t>
            </w:r>
          </w:p>
        </w:tc>
        <w:tc>
          <w:tcPr>
            <w:tcW w:w="5040" w:type="dxa"/>
            <w:hideMark/>
          </w:tcPr>
          <w:p w14:paraId="78CB6F11" w14:textId="025A2AA4"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The ███████ and DOS PMOs decide if CR should be reopened.  </w:t>
            </w:r>
          </w:p>
          <w:p w14:paraId="15D7D933" w14:textId="34B62ED7" w:rsidR="001C4AF5" w:rsidRPr="00A21682" w:rsidRDefault="001C4AF5" w:rsidP="00F00901">
            <w:pPr>
              <w:pStyle w:val="TABLEBULLETNEW"/>
            </w:pPr>
            <w:r>
              <w:t xml:space="preserve">If the CR is not opened, proceed to </w:t>
            </w:r>
            <w:r>
              <w:rPr>
                <w:i/>
              </w:rPr>
              <w:t>Step #12.3.1 Keep CR On Hold</w:t>
            </w:r>
            <w:r>
              <w:t> </w:t>
            </w:r>
          </w:p>
          <w:p w14:paraId="14B4461B" w14:textId="13060DD9" w:rsidR="001C4AF5" w:rsidRPr="00A21682" w:rsidRDefault="001C4AF5" w:rsidP="00F00901">
            <w:pPr>
              <w:pStyle w:val="TABLEBULLETNEW"/>
              <w:rPr>
                <w:rFonts w:ascii="Times New Roman" w:hAnsi="Times New Roman" w:cs="Times New Roman"/>
                <w:sz w:val="24"/>
                <w:szCs w:val="24"/>
              </w:rPr>
            </w:pPr>
            <w:r>
              <w:t xml:space="preserve">If the CR is opened, proceed to </w:t>
            </w:r>
            <w:r>
              <w:rPr>
                <w:i/>
              </w:rPr>
              <w:t>Step #12.3.2 Set CR Status as Information Pending and Review and Update CR As Needed </w:t>
            </w:r>
          </w:p>
        </w:tc>
        <w:tc>
          <w:tcPr>
            <w:tcW w:w="1785" w:type="dxa"/>
            <w:hideMark/>
          </w:tcPr>
          <w:p w14:paraId="62F245B6" w14:textId="77777777" w:rsidR="001C4AF5" w:rsidRPr="00A21682" w:rsidRDefault="001C4AF5" w:rsidP="00F00901">
            <w:pPr>
              <w:pStyle w:val="TABLEBULLETNEW"/>
            </w:pPr>
            <w:r>
              <w:t>███████/DOS PMOs </w:t>
            </w:r>
          </w:p>
        </w:tc>
      </w:tr>
      <w:tr w:rsidR="001C4AF5" w:rsidRPr="00A21682" w14:paraId="662B4AA8" w14:textId="77777777" w:rsidTr="00F00901">
        <w:trPr>
          <w:trHeight w:val="300"/>
        </w:trPr>
        <w:tc>
          <w:tcPr>
            <w:tcW w:w="885" w:type="dxa"/>
            <w:hideMark/>
          </w:tcPr>
          <w:p w14:paraId="758AD88B"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12.3.1 </w:t>
            </w:r>
          </w:p>
        </w:tc>
        <w:tc>
          <w:tcPr>
            <w:tcW w:w="1710" w:type="dxa"/>
            <w:hideMark/>
          </w:tcPr>
          <w:p w14:paraId="6AA24820"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Keep CR On Hold </w:t>
            </w:r>
          </w:p>
        </w:tc>
        <w:tc>
          <w:tcPr>
            <w:tcW w:w="5040" w:type="dxa"/>
            <w:hideMark/>
          </w:tcPr>
          <w:p w14:paraId="6EB5E8BC" w14:textId="1EAFB9E0"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Verdana" w:hAnsi="Verdana" w:cs="Times New Roman"/>
                <w:sz w:val="18"/>
                <w:szCs w:val="18"/>
              </w:rPr>
            </w:pPr>
            <w:r>
              <w:rPr>
                <w:rFonts w:ascii="Verdana" w:hAnsi="Verdana" w:cs="Times New Roman"/>
                <w:sz w:val="18"/>
                <w:szCs w:val="18"/>
              </w:rPr>
              <w:t xml:space="preserve">███████/DOS PMOs decide to CR On Hold. </w:t>
            </w:r>
          </w:p>
        </w:tc>
        <w:tc>
          <w:tcPr>
            <w:tcW w:w="1785" w:type="dxa"/>
            <w:hideMark/>
          </w:tcPr>
          <w:p w14:paraId="53AE70D4" w14:textId="77777777" w:rsidR="001C4AF5" w:rsidRPr="00A21682" w:rsidRDefault="001C4AF5" w:rsidP="00F00901">
            <w:pPr>
              <w:pStyle w:val="TABLEBULLETNEW"/>
            </w:pPr>
            <w:r>
              <w:t>███████/DOS PMOs </w:t>
            </w:r>
          </w:p>
        </w:tc>
      </w:tr>
      <w:tr w:rsidR="001C4AF5" w:rsidRPr="00A21682" w14:paraId="1ED826FE" w14:textId="77777777" w:rsidTr="00F00901">
        <w:trPr>
          <w:trHeight w:val="300"/>
        </w:trPr>
        <w:tc>
          <w:tcPr>
            <w:tcW w:w="885" w:type="dxa"/>
            <w:hideMark/>
          </w:tcPr>
          <w:p w14:paraId="25DC0079"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12.3.2 </w:t>
            </w:r>
          </w:p>
        </w:tc>
        <w:tc>
          <w:tcPr>
            <w:tcW w:w="1710" w:type="dxa"/>
            <w:hideMark/>
          </w:tcPr>
          <w:p w14:paraId="040AFBF3"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Set CR Status as Information Pending and Review and Update CR As Needed </w:t>
            </w:r>
          </w:p>
        </w:tc>
        <w:tc>
          <w:tcPr>
            <w:tcW w:w="5040" w:type="dxa"/>
            <w:hideMark/>
          </w:tcPr>
          <w:p w14:paraId="34705286" w14:textId="567A9B6B"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Verdana" w:hAnsi="Verdana" w:cs="Times New Roman"/>
                <w:sz w:val="18"/>
                <w:szCs w:val="18"/>
              </w:rPr>
            </w:pPr>
            <w:r>
              <w:rPr>
                <w:rFonts w:ascii="Verdana" w:hAnsi="Verdana" w:cs="Times New Roman"/>
                <w:sz w:val="18"/>
                <w:szCs w:val="18"/>
              </w:rPr>
              <w:t>The ███████ Track sets CR status as Information Pending and review and update CR as needed. </w:t>
            </w:r>
          </w:p>
        </w:tc>
        <w:tc>
          <w:tcPr>
            <w:tcW w:w="1785" w:type="dxa"/>
            <w:hideMark/>
          </w:tcPr>
          <w:p w14:paraId="541AAFD3" w14:textId="7362FE7A" w:rsidR="001C4AF5" w:rsidRPr="00A21682" w:rsidRDefault="001C4AF5" w:rsidP="00F00901">
            <w:pPr>
              <w:pStyle w:val="TABLEBULLETNEW"/>
            </w:pPr>
            <w:r>
              <w:t xml:space="preserve">███████ Track </w:t>
            </w:r>
          </w:p>
        </w:tc>
      </w:tr>
      <w:tr w:rsidR="001C4AF5" w:rsidRPr="00A21682" w14:paraId="1772E3AD" w14:textId="77777777" w:rsidTr="00F00901">
        <w:trPr>
          <w:trHeight w:val="300"/>
        </w:trPr>
        <w:tc>
          <w:tcPr>
            <w:tcW w:w="885" w:type="dxa"/>
            <w:hideMark/>
          </w:tcPr>
          <w:p w14:paraId="655CA2FB"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12.4 </w:t>
            </w:r>
          </w:p>
        </w:tc>
        <w:tc>
          <w:tcPr>
            <w:tcW w:w="1710" w:type="dxa"/>
            <w:hideMark/>
          </w:tcPr>
          <w:p w14:paraId="2DE566AE"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Approve CR? </w:t>
            </w:r>
          </w:p>
        </w:tc>
        <w:tc>
          <w:tcPr>
            <w:tcW w:w="5040" w:type="dxa"/>
            <w:hideMark/>
          </w:tcPr>
          <w:p w14:paraId="3AAA22FD" w14:textId="4825F69B" w:rsidR="001C4AF5" w:rsidRPr="00A21682" w:rsidRDefault="001C4AF5" w:rsidP="004059F6">
            <w:pPr>
              <w:spacing w:before="60" w:after="60"/>
              <w:ind w:left="72"/>
              <w:textAlignment w:val="baseline"/>
              <w:rPr>
                <w:rFonts w:ascii="Verdana" w:eastAsia="Times New Roman" w:hAnsi="Verdana" w:cs="Times New Roman"/>
                <w:sz w:val="18"/>
                <w:szCs w:val="18"/>
              </w:rPr>
            </w:pPr>
            <w:r>
              <w:rPr>
                <w:rFonts w:ascii="Verdana" w:eastAsia="Times New Roman" w:hAnsi="Verdana" w:cs="Times New Roman"/>
                <w:sz w:val="18"/>
                <w:szCs w:val="18"/>
              </w:rPr>
              <w:t>The Review Board decides if CR should be approved.  </w:t>
            </w:r>
          </w:p>
          <w:p w14:paraId="0B78003D" w14:textId="1CF741C9" w:rsidR="001C4AF5" w:rsidRPr="00A21682" w:rsidRDefault="001C4AF5" w:rsidP="00F00901">
            <w:pPr>
              <w:pStyle w:val="TABLEBULLETNEW"/>
            </w:pPr>
            <w:r>
              <w:lastRenderedPageBreak/>
              <w:t xml:space="preserve">If the CR is not approved, proceed to </w:t>
            </w:r>
            <w:r>
              <w:rPr>
                <w:i/>
              </w:rPr>
              <w:t>Step #13 Record CRB Decision and Update CR Status to Change Rejected </w:t>
            </w:r>
          </w:p>
          <w:p w14:paraId="15ADE786" w14:textId="4BEC0028" w:rsidR="001C4AF5" w:rsidRPr="00A21682" w:rsidRDefault="001C4AF5" w:rsidP="00F00901">
            <w:pPr>
              <w:pStyle w:val="TABLEBULLETNEW"/>
            </w:pPr>
            <w:r>
              <w:t xml:space="preserve">If the CR is approved, proceed to </w:t>
            </w:r>
            <w:r>
              <w:rPr>
                <w:i/>
              </w:rPr>
              <w:t>Step #14 Record CRB Decision and Update CR Status to Change Approved</w:t>
            </w:r>
          </w:p>
        </w:tc>
        <w:tc>
          <w:tcPr>
            <w:tcW w:w="1785" w:type="dxa"/>
            <w:hideMark/>
          </w:tcPr>
          <w:p w14:paraId="4B97BE78" w14:textId="77777777" w:rsidR="001C4AF5" w:rsidRPr="00A21682" w:rsidRDefault="001C4AF5" w:rsidP="00F00901">
            <w:pPr>
              <w:pStyle w:val="TABLEBULLETNEW"/>
            </w:pPr>
            <w:r>
              <w:lastRenderedPageBreak/>
              <w:t>Review Board </w:t>
            </w:r>
          </w:p>
        </w:tc>
      </w:tr>
      <w:tr w:rsidR="001C4AF5" w:rsidRPr="00A21682" w14:paraId="5C395E7A" w14:textId="77777777" w:rsidTr="00F00901">
        <w:trPr>
          <w:trHeight w:val="300"/>
        </w:trPr>
        <w:tc>
          <w:tcPr>
            <w:tcW w:w="885" w:type="dxa"/>
            <w:hideMark/>
          </w:tcPr>
          <w:p w14:paraId="2D9534C6"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13 </w:t>
            </w:r>
          </w:p>
        </w:tc>
        <w:tc>
          <w:tcPr>
            <w:tcW w:w="1710" w:type="dxa"/>
            <w:hideMark/>
          </w:tcPr>
          <w:p w14:paraId="50164A00"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Record CRB Decision and Update CR Status to Change Rejected </w:t>
            </w:r>
          </w:p>
        </w:tc>
        <w:tc>
          <w:tcPr>
            <w:tcW w:w="5040" w:type="dxa"/>
            <w:hideMark/>
          </w:tcPr>
          <w:p w14:paraId="0221B314" w14:textId="38A937EE"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Verdana" w:hAnsi="Verdana" w:cs="Times New Roman"/>
                <w:sz w:val="18"/>
                <w:szCs w:val="18"/>
              </w:rPr>
            </w:pPr>
            <w:r>
              <w:rPr>
                <w:rFonts w:ascii="Verdana" w:hAnsi="Verdana" w:cs="Times New Roman"/>
                <w:sz w:val="18"/>
                <w:szCs w:val="18"/>
              </w:rPr>
              <w:t>The ███████ and DOS PMOs record the CRB decision and update CR Status to Change Rejected.</w:t>
            </w:r>
          </w:p>
        </w:tc>
        <w:tc>
          <w:tcPr>
            <w:tcW w:w="1785" w:type="dxa"/>
            <w:hideMark/>
          </w:tcPr>
          <w:p w14:paraId="61DFA7E8" w14:textId="77777777" w:rsidR="001C4AF5" w:rsidRPr="00A21682" w:rsidRDefault="001C4AF5" w:rsidP="00F00901">
            <w:pPr>
              <w:pStyle w:val="TABLEBULLETNEW"/>
            </w:pPr>
            <w:r>
              <w:t>███████/DOS PMO </w:t>
            </w:r>
          </w:p>
        </w:tc>
      </w:tr>
      <w:tr w:rsidR="00653D5F" w:rsidRPr="00A21682" w14:paraId="6EE42D52" w14:textId="77777777" w:rsidTr="00F00901">
        <w:trPr>
          <w:trHeight w:val="300"/>
        </w:trPr>
        <w:tc>
          <w:tcPr>
            <w:tcW w:w="885" w:type="dxa"/>
            <w:hideMark/>
          </w:tcPr>
          <w:p w14:paraId="1FEA4E15"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14 </w:t>
            </w:r>
          </w:p>
        </w:tc>
        <w:tc>
          <w:tcPr>
            <w:tcW w:w="1710" w:type="dxa"/>
            <w:hideMark/>
          </w:tcPr>
          <w:p w14:paraId="7AC23459"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Record CRB Decision and Update CR Status to Change Approved </w:t>
            </w:r>
          </w:p>
        </w:tc>
        <w:tc>
          <w:tcPr>
            <w:tcW w:w="5040" w:type="dxa"/>
            <w:hideMark/>
          </w:tcPr>
          <w:p w14:paraId="075F276E" w14:textId="4ED37A0E" w:rsidR="001C4AF5" w:rsidRPr="00A21682" w:rsidRDefault="001C4AF5" w:rsidP="00F73D43">
            <w:pPr>
              <w:pStyle w:val="ListParagraph"/>
              <w:keepNext/>
              <w:numPr>
                <w:ilvl w:val="0"/>
                <w:numId w:val="31"/>
              </w:numPr>
              <w:tabs>
                <w:tab w:val="clear" w:pos="720"/>
                <w:tab w:val="num" w:pos="390"/>
              </w:tabs>
              <w:spacing w:before="60" w:after="60"/>
              <w:ind w:left="72" w:hanging="270"/>
              <w:textAlignment w:val="baseline"/>
              <w:rPr>
                <w:rFonts w:ascii="Verdana" w:hAnsi="Verdana" w:cs="Times New Roman"/>
                <w:sz w:val="18"/>
                <w:szCs w:val="18"/>
              </w:rPr>
            </w:pPr>
            <w:r>
              <w:rPr>
                <w:rFonts w:ascii="Verdana" w:hAnsi="Verdana" w:cs="Times New Roman"/>
                <w:sz w:val="18"/>
                <w:szCs w:val="18"/>
              </w:rPr>
              <w:t>The ███████ and DOS PMOs record the CRB decision and update CR Status to Change Approved.</w:t>
            </w:r>
          </w:p>
        </w:tc>
        <w:tc>
          <w:tcPr>
            <w:tcW w:w="1785" w:type="dxa"/>
            <w:hideMark/>
          </w:tcPr>
          <w:p w14:paraId="68786C6B" w14:textId="77777777" w:rsidR="001C4AF5" w:rsidRPr="00A21682" w:rsidRDefault="001C4AF5" w:rsidP="00F00901">
            <w:pPr>
              <w:pStyle w:val="TABLEBULLETNEW"/>
            </w:pPr>
            <w:r>
              <w:t>███████/DOS PMO </w:t>
            </w:r>
          </w:p>
        </w:tc>
      </w:tr>
    </w:tbl>
    <w:p w14:paraId="50B1A7CC" w14:textId="5C2B45AF" w:rsidR="00653D5F" w:rsidRPr="00A21682" w:rsidRDefault="00F70893" w:rsidP="00F70893">
      <w:pPr>
        <w:pStyle w:val="Caption"/>
        <w:rPr>
          <w:noProof w:val="0"/>
        </w:rPr>
      </w:pPr>
      <w:bookmarkStart w:id="4056" w:name="_Toc19287521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10</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Process Steps for Change Request Evaluation</w:t>
      </w:r>
      <w:bookmarkEnd w:id="4056"/>
    </w:p>
    <w:p w14:paraId="655A7E5C" w14:textId="7521C2CC" w:rsidR="00FC791A" w:rsidRPr="00A21682" w:rsidRDefault="00914AD0" w:rsidP="004059F6">
      <w:pPr>
        <w:pStyle w:val="Body"/>
        <w:jc w:val="left"/>
        <w:rPr>
          <w:lang w:val="en-US"/>
        </w:rPr>
      </w:pPr>
      <w:r>
        <w:rPr>
          <w:lang w:val="en-US"/>
        </w:rPr>
        <w:t>The table below describes the process steps for implementing Change Requests.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3"/>
        <w:gridCol w:w="2323"/>
        <w:gridCol w:w="4353"/>
        <w:gridCol w:w="1971"/>
      </w:tblGrid>
      <w:tr w:rsidR="00653D5F" w:rsidRPr="00A21682" w14:paraId="1D0B1D82" w14:textId="77777777" w:rsidTr="00F00901">
        <w:trPr>
          <w:trHeight w:val="300"/>
          <w:tblHeader/>
        </w:trPr>
        <w:tc>
          <w:tcPr>
            <w:tcW w:w="705" w:type="dxa"/>
            <w:tcBorders>
              <w:right w:val="single" w:sz="4" w:space="0" w:color="FFFFFF" w:themeColor="background1"/>
            </w:tcBorders>
            <w:shd w:val="clear" w:color="auto" w:fill="000000" w:themeFill="text1"/>
            <w:hideMark/>
          </w:tcPr>
          <w:p w14:paraId="4909B087" w14:textId="77777777" w:rsidR="001C4AF5" w:rsidRPr="00A21682" w:rsidRDefault="001C4AF5" w:rsidP="004059F6">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Step # </w:t>
            </w:r>
          </w:p>
        </w:tc>
        <w:tc>
          <w:tcPr>
            <w:tcW w:w="2340" w:type="dxa"/>
            <w:tcBorders>
              <w:left w:val="single" w:sz="4" w:space="0" w:color="FFFFFF" w:themeColor="background1"/>
              <w:right w:val="single" w:sz="4" w:space="0" w:color="FFFFFF" w:themeColor="background1"/>
            </w:tcBorders>
            <w:shd w:val="clear" w:color="auto" w:fill="000000" w:themeFill="text1"/>
            <w:hideMark/>
          </w:tcPr>
          <w:p w14:paraId="13C5FC91" w14:textId="77777777" w:rsidR="001C4AF5" w:rsidRPr="00A21682" w:rsidRDefault="001C4AF5" w:rsidP="004059F6">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Process Step </w:t>
            </w:r>
          </w:p>
        </w:tc>
        <w:tc>
          <w:tcPr>
            <w:tcW w:w="4395" w:type="dxa"/>
            <w:tcBorders>
              <w:left w:val="single" w:sz="4" w:space="0" w:color="FFFFFF" w:themeColor="background1"/>
              <w:right w:val="single" w:sz="4" w:space="0" w:color="FFFFFF" w:themeColor="background1"/>
            </w:tcBorders>
            <w:shd w:val="clear" w:color="auto" w:fill="000000" w:themeFill="text1"/>
            <w:hideMark/>
          </w:tcPr>
          <w:p w14:paraId="2D771221" w14:textId="77777777" w:rsidR="001C4AF5" w:rsidRPr="00A21682" w:rsidRDefault="001C4AF5" w:rsidP="004059F6">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Description </w:t>
            </w:r>
          </w:p>
        </w:tc>
        <w:tc>
          <w:tcPr>
            <w:tcW w:w="1980" w:type="dxa"/>
            <w:tcBorders>
              <w:left w:val="single" w:sz="4" w:space="0" w:color="FFFFFF" w:themeColor="background1"/>
            </w:tcBorders>
            <w:shd w:val="clear" w:color="auto" w:fill="000000" w:themeFill="text1"/>
            <w:hideMark/>
          </w:tcPr>
          <w:p w14:paraId="4BFF5275" w14:textId="77777777" w:rsidR="001C4AF5" w:rsidRPr="00A21682" w:rsidRDefault="001C4AF5" w:rsidP="004059F6">
            <w:pPr>
              <w:spacing w:before="60" w:after="60"/>
              <w:ind w:left="72"/>
              <w:textAlignment w:val="baseline"/>
              <w:rPr>
                <w:rFonts w:ascii="Times New Roman" w:eastAsia="Times New Roman" w:hAnsi="Times New Roman" w:cs="Times New Roman"/>
                <w:b/>
                <w:bCs/>
                <w:sz w:val="24"/>
                <w:szCs w:val="24"/>
              </w:rPr>
            </w:pPr>
            <w:r>
              <w:rPr>
                <w:rFonts w:ascii="Verdana" w:eastAsia="Times New Roman" w:hAnsi="Verdana" w:cs="Times New Roman"/>
                <w:b/>
                <w:bCs/>
                <w:sz w:val="18"/>
                <w:szCs w:val="18"/>
              </w:rPr>
              <w:t>Stakeholder Group(s) </w:t>
            </w:r>
          </w:p>
        </w:tc>
      </w:tr>
      <w:tr w:rsidR="00653D5F" w:rsidRPr="00A21682" w14:paraId="71FCE2FF" w14:textId="77777777" w:rsidTr="00F00901">
        <w:trPr>
          <w:trHeight w:val="825"/>
        </w:trPr>
        <w:tc>
          <w:tcPr>
            <w:tcW w:w="705" w:type="dxa"/>
            <w:hideMark/>
          </w:tcPr>
          <w:p w14:paraId="4E77D73F"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15 </w:t>
            </w:r>
          </w:p>
        </w:tc>
        <w:tc>
          <w:tcPr>
            <w:tcW w:w="2340" w:type="dxa"/>
            <w:hideMark/>
          </w:tcPr>
          <w:p w14:paraId="66896F9D"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Perform Updates to Work Plan/the ALM tool/Etc. to Implement CR </w:t>
            </w:r>
          </w:p>
        </w:tc>
        <w:tc>
          <w:tcPr>
            <w:tcW w:w="4395" w:type="dxa"/>
            <w:hideMark/>
          </w:tcPr>
          <w:p w14:paraId="418BD12C" w14:textId="21FE47B3" w:rsidR="001C4AF5" w:rsidRPr="00A21682" w:rsidRDefault="001C4AF5" w:rsidP="004059F6">
            <w:pPr>
              <w:spacing w:before="60" w:after="60"/>
              <w:ind w:left="72"/>
              <w:textAlignment w:val="baseline"/>
              <w:rPr>
                <w:rFonts w:ascii="Verdana" w:eastAsia="Times New Roman" w:hAnsi="Verdana" w:cs="Times New Roman"/>
                <w:sz w:val="18"/>
                <w:szCs w:val="18"/>
              </w:rPr>
            </w:pPr>
            <w:r>
              <w:rPr>
                <w:rFonts w:ascii="Verdana" w:eastAsia="Times New Roman" w:hAnsi="Verdana" w:cs="Times New Roman"/>
                <w:sz w:val="18"/>
                <w:szCs w:val="18"/>
              </w:rPr>
              <w:t>The ███████ Track performs updates to Work Plan/the ALM tool/Etc. to Implement CR. </w:t>
            </w:r>
          </w:p>
        </w:tc>
        <w:tc>
          <w:tcPr>
            <w:tcW w:w="1980" w:type="dxa"/>
            <w:hideMark/>
          </w:tcPr>
          <w:p w14:paraId="2BE4577B" w14:textId="77777777" w:rsidR="001C4AF5" w:rsidRPr="00653D5F" w:rsidRDefault="001C4AF5" w:rsidP="00F00901">
            <w:pPr>
              <w:pStyle w:val="TABLEBULLETNEW"/>
              <w:rPr>
                <w:rFonts w:cs="Times New Roman"/>
              </w:rPr>
            </w:pPr>
            <w:r>
              <w:t>███████ Track </w:t>
            </w:r>
          </w:p>
        </w:tc>
      </w:tr>
      <w:tr w:rsidR="00653D5F" w:rsidRPr="00A21682" w14:paraId="4F257BEB" w14:textId="77777777" w:rsidTr="00F00901">
        <w:trPr>
          <w:trHeight w:val="420"/>
        </w:trPr>
        <w:tc>
          <w:tcPr>
            <w:tcW w:w="705" w:type="dxa"/>
            <w:hideMark/>
          </w:tcPr>
          <w:p w14:paraId="0D9D3E43"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16 </w:t>
            </w:r>
          </w:p>
        </w:tc>
        <w:tc>
          <w:tcPr>
            <w:tcW w:w="2340" w:type="dxa"/>
            <w:hideMark/>
          </w:tcPr>
          <w:p w14:paraId="646A39EC" w14:textId="77777777" w:rsidR="001C4AF5" w:rsidRPr="00A21682" w:rsidRDefault="001C4AF5" w:rsidP="004059F6">
            <w:pPr>
              <w:spacing w:before="60" w:after="60"/>
              <w:ind w:left="72"/>
              <w:textAlignment w:val="baseline"/>
              <w:rPr>
                <w:rFonts w:ascii="Times New Roman" w:eastAsia="Times New Roman" w:hAnsi="Times New Roman" w:cs="Times New Roman"/>
                <w:sz w:val="24"/>
                <w:szCs w:val="24"/>
              </w:rPr>
            </w:pPr>
            <w:r>
              <w:rPr>
                <w:rFonts w:ascii="Verdana" w:eastAsia="Times New Roman" w:hAnsi="Verdana" w:cs="Times New Roman"/>
                <w:sz w:val="18"/>
                <w:szCs w:val="18"/>
              </w:rPr>
              <w:t>Update CR Status to Closed </w:t>
            </w:r>
          </w:p>
        </w:tc>
        <w:tc>
          <w:tcPr>
            <w:tcW w:w="4395" w:type="dxa"/>
            <w:hideMark/>
          </w:tcPr>
          <w:p w14:paraId="5A3D0BAB" w14:textId="331164FC" w:rsidR="001C4AF5" w:rsidRPr="00A21682" w:rsidRDefault="001C4AF5" w:rsidP="004059F6">
            <w:pPr>
              <w:spacing w:before="60" w:after="60"/>
              <w:ind w:left="72"/>
              <w:textAlignment w:val="baseline"/>
              <w:rPr>
                <w:rFonts w:ascii="Verdana" w:eastAsia="Times New Roman" w:hAnsi="Verdana" w:cs="Times New Roman"/>
                <w:sz w:val="18"/>
                <w:szCs w:val="18"/>
              </w:rPr>
            </w:pPr>
            <w:r>
              <w:rPr>
                <w:rFonts w:ascii="Verdana" w:eastAsia="Times New Roman" w:hAnsi="Verdana" w:cs="Times New Roman"/>
                <w:sz w:val="18"/>
                <w:szCs w:val="18"/>
              </w:rPr>
              <w:t>Upon closure of all associated action items and incorporation of updates into the Work Plan, the ███████ PMO updates the CR Status to Closed, which ends the process. </w:t>
            </w:r>
          </w:p>
        </w:tc>
        <w:tc>
          <w:tcPr>
            <w:tcW w:w="1980" w:type="dxa"/>
            <w:hideMark/>
          </w:tcPr>
          <w:p w14:paraId="72F57F67" w14:textId="77777777" w:rsidR="001C4AF5" w:rsidRPr="000F0A11" w:rsidRDefault="001C4AF5" w:rsidP="00F00901">
            <w:pPr>
              <w:pStyle w:val="TABLEBULLETNEW"/>
              <w:rPr>
                <w:rFonts w:cs="Times New Roman"/>
              </w:rPr>
            </w:pPr>
            <w:r>
              <w:t>███████ PMO </w:t>
            </w:r>
          </w:p>
        </w:tc>
      </w:tr>
    </w:tbl>
    <w:p w14:paraId="1DF8D13B" w14:textId="312AD138" w:rsidR="001C4AF5" w:rsidRPr="00A21682" w:rsidRDefault="00F70893" w:rsidP="003255C5">
      <w:pPr>
        <w:pStyle w:val="Caption"/>
        <w:rPr>
          <w:noProof w:val="0"/>
        </w:rPr>
      </w:pPr>
      <w:bookmarkStart w:id="4057" w:name="_Toc19287521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10</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3</w:t>
      </w:r>
      <w:r>
        <w:rPr>
          <w:noProof w:val="0"/>
        </w:rPr>
        <w:fldChar w:fldCharType="end"/>
      </w:r>
      <w:r>
        <w:rPr>
          <w:noProof w:val="0"/>
        </w:rPr>
        <w:t>: Change Request Implementation Process</w:t>
      </w:r>
      <w:bookmarkEnd w:id="4057"/>
    </w:p>
    <w:p w14:paraId="3A2C1E70" w14:textId="34742619" w:rsidR="00042D52" w:rsidRPr="00A21682" w:rsidRDefault="00042D52">
      <w:pPr>
        <w:pStyle w:val="Heading3"/>
      </w:pPr>
      <w:bookmarkStart w:id="4058" w:name="_Toc146296923"/>
      <w:bookmarkStart w:id="4059" w:name="_Toc177119561"/>
      <w:bookmarkStart w:id="4060" w:name="_Toc185952877"/>
      <w:bookmarkStart w:id="4061" w:name="_Toc192874976"/>
      <w:r>
        <w:t>Prioritizing Change Requests for Impact Assessment and Decision</w:t>
      </w:r>
      <w:bookmarkEnd w:id="4058"/>
      <w:bookmarkEnd w:id="4059"/>
      <w:bookmarkEnd w:id="4060"/>
      <w:bookmarkEnd w:id="4061"/>
    </w:p>
    <w:p w14:paraId="69248497" w14:textId="6977AFF2" w:rsidR="00812265" w:rsidRPr="00A21682" w:rsidRDefault="00042D52" w:rsidP="009B17AE">
      <w:pPr>
        <w:pStyle w:val="Body"/>
        <w:jc w:val="left"/>
        <w:rPr>
          <w:lang w:val="en-US"/>
        </w:rPr>
      </w:pPr>
      <w:r>
        <w:rPr>
          <w:lang w:val="en-US"/>
        </w:rPr>
        <w:t>The task of assessing a CR may require project staff to reassess the planned activities in the Baselined Work Plan and Schedule. Therefore, one of the roles of the ███████ and DOS PMOs is to review and prioritize which CRs undergo an impact assessment. The review is completed leveraging the CR business case included in its submission and the general knowledge that the ███████ and DOS PMO teams have for a particular change request. The ███████ PMO also obtains input from ███████ leadership regarding the capacity available to perform the impact assessment. The decision to prioritize change requests for impact assessment is a mutual ███████ and DOS PMO decision and, if approved for impact assessment, the ███████ PMO will coordinate with the appropriate stakeholders to initiate the assessment.</w:t>
      </w:r>
    </w:p>
    <w:p w14:paraId="37106787" w14:textId="4BDFFB6D" w:rsidR="00042D52" w:rsidRPr="00A21682" w:rsidRDefault="00042D52" w:rsidP="00812265">
      <w:pPr>
        <w:pStyle w:val="Heading3"/>
      </w:pPr>
      <w:bookmarkStart w:id="4062" w:name="_Toc146296924"/>
      <w:bookmarkStart w:id="4063" w:name="_Toc177119566"/>
      <w:bookmarkStart w:id="4064" w:name="_Toc185952878"/>
      <w:bookmarkStart w:id="4065" w:name="_Toc192874977"/>
      <w:r>
        <w:lastRenderedPageBreak/>
        <w:t>Change Request Status</w:t>
      </w:r>
      <w:bookmarkEnd w:id="4062"/>
      <w:r>
        <w:t>es</w:t>
      </w:r>
      <w:bookmarkEnd w:id="4063"/>
      <w:bookmarkEnd w:id="4064"/>
      <w:bookmarkEnd w:id="4065"/>
    </w:p>
    <w:p w14:paraId="0B608A13" w14:textId="7D22C6F9" w:rsidR="00042D52" w:rsidRPr="00A21682" w:rsidRDefault="00573B37" w:rsidP="00541FC2">
      <w:pPr>
        <w:pStyle w:val="NormalNEW"/>
        <w:keepNext/>
        <w:rPr>
          <w:lang w:val="en-US"/>
        </w:rPr>
      </w:pPr>
      <w:r>
        <w:rPr>
          <w:lang w:val="en-US"/>
        </w:rPr>
        <w:t>A CR can take on different statuses throughout its life cycle, as shown in the table below.</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1976"/>
        <w:gridCol w:w="7378"/>
      </w:tblGrid>
      <w:tr w:rsidR="00042D52" w:rsidRPr="00A21682" w14:paraId="60430E63" w14:textId="77777777" w:rsidTr="00541FC2">
        <w:trPr>
          <w:cantSplit/>
          <w:trHeight w:val="20"/>
          <w:tblHeader/>
          <w:jc w:val="center"/>
        </w:trPr>
        <w:tc>
          <w:tcPr>
            <w:tcW w:w="1056" w:type="pct"/>
            <w:tcBorders>
              <w:right w:val="single" w:sz="2" w:space="0" w:color="FFFFFF" w:themeColor="background1"/>
            </w:tcBorders>
            <w:shd w:val="clear" w:color="auto" w:fill="000000" w:themeFill="text1"/>
            <w:vAlign w:val="center"/>
          </w:tcPr>
          <w:p w14:paraId="6C091072" w14:textId="77777777" w:rsidR="00042D52" w:rsidRPr="00A21682" w:rsidRDefault="00042D52" w:rsidP="003E59AC">
            <w:pPr>
              <w:pStyle w:val="TABLEHEADINGNEW"/>
            </w:pPr>
            <w:r>
              <w:t>Change Request Status</w:t>
            </w:r>
          </w:p>
        </w:tc>
        <w:tc>
          <w:tcPr>
            <w:tcW w:w="3944" w:type="pct"/>
            <w:tcBorders>
              <w:left w:val="single" w:sz="2" w:space="0" w:color="FFFFFF" w:themeColor="background1"/>
            </w:tcBorders>
            <w:shd w:val="clear" w:color="auto" w:fill="000000" w:themeFill="text1"/>
            <w:vAlign w:val="center"/>
          </w:tcPr>
          <w:p w14:paraId="32C8E697" w14:textId="77777777" w:rsidR="00042D52" w:rsidRPr="00A21682" w:rsidRDefault="00042D52" w:rsidP="003E59AC">
            <w:pPr>
              <w:pStyle w:val="TABLEHEADINGNEW"/>
            </w:pPr>
            <w:r>
              <w:t>Description</w:t>
            </w:r>
          </w:p>
        </w:tc>
      </w:tr>
      <w:tr w:rsidR="00632907" w:rsidRPr="00A21682" w14:paraId="13A5467D" w14:textId="77777777" w:rsidTr="00BE0350">
        <w:trPr>
          <w:cantSplit/>
          <w:trHeight w:val="20"/>
          <w:jc w:val="center"/>
        </w:trPr>
        <w:tc>
          <w:tcPr>
            <w:tcW w:w="1056" w:type="pct"/>
          </w:tcPr>
          <w:p w14:paraId="078BDC83" w14:textId="3A384853" w:rsidR="00042D52" w:rsidRPr="00A21682" w:rsidRDefault="003B589F" w:rsidP="00BE0350">
            <w:pPr>
              <w:pStyle w:val="TABLETEXT1"/>
              <w:rPr>
                <w:lang w:val="en-US"/>
              </w:rPr>
            </w:pPr>
            <w:r>
              <w:rPr>
                <w:lang w:val="en-US"/>
              </w:rPr>
              <w:t>Opened</w:t>
            </w:r>
          </w:p>
        </w:tc>
        <w:tc>
          <w:tcPr>
            <w:tcW w:w="3944" w:type="pct"/>
            <w:vAlign w:val="center"/>
          </w:tcPr>
          <w:p w14:paraId="1B973A53" w14:textId="03F133CD" w:rsidR="00042D52" w:rsidRPr="00A21682" w:rsidRDefault="00664F31" w:rsidP="003E59AC">
            <w:pPr>
              <w:pStyle w:val="TABLETEXT1"/>
              <w:rPr>
                <w:lang w:val="en-US"/>
              </w:rPr>
            </w:pPr>
            <w:r>
              <w:rPr>
                <w:lang w:val="en-US"/>
              </w:rPr>
              <w:t>The CR has been logged within the ALM tool, but the PMO team has not started their initial review.</w:t>
            </w:r>
          </w:p>
        </w:tc>
      </w:tr>
      <w:tr w:rsidR="00632907" w:rsidRPr="00A21682" w14:paraId="70128D5D" w14:textId="77777777" w:rsidTr="00BE0350">
        <w:trPr>
          <w:cantSplit/>
          <w:trHeight w:val="20"/>
          <w:jc w:val="center"/>
        </w:trPr>
        <w:tc>
          <w:tcPr>
            <w:tcW w:w="1056" w:type="pct"/>
          </w:tcPr>
          <w:p w14:paraId="468DF610" w14:textId="30D2E076" w:rsidR="00042D52" w:rsidRPr="00A21682" w:rsidRDefault="000F69BE" w:rsidP="00BE0350">
            <w:pPr>
              <w:pStyle w:val="TABLETEXT1"/>
              <w:rPr>
                <w:lang w:val="en-US"/>
              </w:rPr>
            </w:pPr>
            <w:r>
              <w:rPr>
                <w:lang w:val="en-US"/>
              </w:rPr>
              <w:t>Ready for PMO Review</w:t>
            </w:r>
          </w:p>
        </w:tc>
        <w:tc>
          <w:tcPr>
            <w:tcW w:w="3944" w:type="pct"/>
          </w:tcPr>
          <w:p w14:paraId="4F2596AF" w14:textId="2221FC46" w:rsidR="00042D52" w:rsidRPr="00A21682" w:rsidRDefault="00042D52" w:rsidP="00B234A9">
            <w:pPr>
              <w:pStyle w:val="TABLETEXT1"/>
              <w:rPr>
                <w:lang w:val="en-US"/>
              </w:rPr>
            </w:pPr>
            <w:r>
              <w:rPr>
                <w:lang w:val="en-US"/>
              </w:rPr>
              <w:t xml:space="preserve">The CR is ready for the PMO team to begin its initial review or review has already begun. </w:t>
            </w:r>
          </w:p>
        </w:tc>
      </w:tr>
      <w:tr w:rsidR="00632907" w:rsidRPr="00A21682" w14:paraId="097D5C8A" w14:textId="77777777" w:rsidTr="00BE0350">
        <w:trPr>
          <w:cantSplit/>
          <w:trHeight w:val="20"/>
          <w:jc w:val="center"/>
        </w:trPr>
        <w:tc>
          <w:tcPr>
            <w:tcW w:w="1056" w:type="pct"/>
          </w:tcPr>
          <w:p w14:paraId="2B476BD0" w14:textId="1E24887F" w:rsidR="00562AA9" w:rsidRPr="00A21682" w:rsidRDefault="00562AA9" w:rsidP="00BE0350">
            <w:pPr>
              <w:pStyle w:val="TABLETEXT1"/>
              <w:rPr>
                <w:lang w:val="en-US"/>
              </w:rPr>
            </w:pPr>
            <w:r>
              <w:rPr>
                <w:lang w:val="en-US"/>
              </w:rPr>
              <w:t>Ready for Impact Assessment</w:t>
            </w:r>
          </w:p>
        </w:tc>
        <w:tc>
          <w:tcPr>
            <w:tcW w:w="3944" w:type="pct"/>
          </w:tcPr>
          <w:p w14:paraId="6DFFCD8C" w14:textId="0CD7CA65" w:rsidR="00562AA9" w:rsidRPr="00A21682" w:rsidRDefault="007F5307" w:rsidP="00B234A9">
            <w:pPr>
              <w:pStyle w:val="TABLETEXT1"/>
              <w:rPr>
                <w:lang w:val="en-US"/>
              </w:rPr>
            </w:pPr>
            <w:r>
              <w:rPr>
                <w:lang w:val="en-US"/>
              </w:rPr>
              <w:t>The CR has been validated and is ready for the impact assessment to be initiated.</w:t>
            </w:r>
          </w:p>
        </w:tc>
      </w:tr>
      <w:tr w:rsidR="00632907" w:rsidRPr="00A21682" w14:paraId="17DF5520" w14:textId="77777777" w:rsidTr="00BE0350">
        <w:trPr>
          <w:cantSplit/>
          <w:trHeight w:val="373"/>
          <w:jc w:val="center"/>
        </w:trPr>
        <w:tc>
          <w:tcPr>
            <w:tcW w:w="1056" w:type="pct"/>
          </w:tcPr>
          <w:p w14:paraId="2351084E" w14:textId="7A953811" w:rsidR="00562AA9" w:rsidRPr="00A21682" w:rsidRDefault="00BE0350" w:rsidP="00BE0350">
            <w:pPr>
              <w:pStyle w:val="TABLETEXT1"/>
              <w:rPr>
                <w:lang w:val="en-US"/>
              </w:rPr>
            </w:pPr>
            <w:r>
              <w:rPr>
                <w:lang w:val="en-US"/>
              </w:rPr>
              <w:t>Impact Assessment in Progress</w:t>
            </w:r>
          </w:p>
        </w:tc>
        <w:tc>
          <w:tcPr>
            <w:tcW w:w="3944" w:type="pct"/>
          </w:tcPr>
          <w:p w14:paraId="76B84FEE" w14:textId="3F2C9A99" w:rsidR="00562AA9" w:rsidRPr="00A21682" w:rsidRDefault="00BE0350" w:rsidP="009B17AE">
            <w:pPr>
              <w:pStyle w:val="TABLETEXT1"/>
              <w:tabs>
                <w:tab w:val="left" w:pos="2725"/>
              </w:tabs>
              <w:rPr>
                <w:lang w:val="en-US"/>
              </w:rPr>
            </w:pPr>
            <w:r>
              <w:rPr>
                <w:lang w:val="en-US"/>
              </w:rPr>
              <w:t>The impact assessment to define impacts to items such as cost, effort, and schedule is in progress.</w:t>
            </w:r>
          </w:p>
        </w:tc>
      </w:tr>
      <w:tr w:rsidR="00BE0350" w:rsidRPr="00A21682" w14:paraId="01BFFA08" w14:textId="77777777" w:rsidTr="00BE0350">
        <w:trPr>
          <w:cantSplit/>
          <w:trHeight w:val="373"/>
          <w:jc w:val="center"/>
        </w:trPr>
        <w:tc>
          <w:tcPr>
            <w:tcW w:w="1056" w:type="pct"/>
          </w:tcPr>
          <w:p w14:paraId="757A078A" w14:textId="0ACC40B2" w:rsidR="00BE0350" w:rsidRPr="00A21682" w:rsidRDefault="001C61FD" w:rsidP="00BE0350">
            <w:pPr>
              <w:pStyle w:val="TABLETEXT1"/>
              <w:rPr>
                <w:lang w:val="en-US"/>
              </w:rPr>
            </w:pPr>
            <w:r>
              <w:rPr>
                <w:lang w:val="en-US"/>
              </w:rPr>
              <w:t>Impact Assessment Review in Progress</w:t>
            </w:r>
          </w:p>
        </w:tc>
        <w:tc>
          <w:tcPr>
            <w:tcW w:w="3944" w:type="pct"/>
          </w:tcPr>
          <w:p w14:paraId="6580300B" w14:textId="7DE07BDE" w:rsidR="00BE0350" w:rsidRPr="00A21682" w:rsidRDefault="00302287" w:rsidP="00D62ADE">
            <w:pPr>
              <w:pStyle w:val="TABLETEXT1"/>
              <w:tabs>
                <w:tab w:val="left" w:pos="2725"/>
              </w:tabs>
              <w:rPr>
                <w:lang w:val="en-US"/>
              </w:rPr>
            </w:pPr>
            <w:r>
              <w:rPr>
                <w:lang w:val="en-US"/>
              </w:rPr>
              <w:t>The PMO team is assessing the details of the impact assessment and confirming whether the CR is ready for the CRB to review and disposition.</w:t>
            </w:r>
          </w:p>
        </w:tc>
      </w:tr>
      <w:tr w:rsidR="00302287" w:rsidRPr="00A21682" w14:paraId="756CA535" w14:textId="77777777" w:rsidTr="00BE0350">
        <w:trPr>
          <w:cantSplit/>
          <w:trHeight w:val="373"/>
          <w:jc w:val="center"/>
        </w:trPr>
        <w:tc>
          <w:tcPr>
            <w:tcW w:w="1056" w:type="pct"/>
          </w:tcPr>
          <w:p w14:paraId="1100933E" w14:textId="77777777" w:rsidR="00302287" w:rsidRPr="00A21682" w:rsidRDefault="000845E5" w:rsidP="00BE0350">
            <w:pPr>
              <w:pStyle w:val="TABLETEXT1"/>
              <w:rPr>
                <w:lang w:val="en-US"/>
              </w:rPr>
            </w:pPr>
            <w:r>
              <w:rPr>
                <w:lang w:val="en-US"/>
              </w:rPr>
              <w:t>Ready for CRB</w:t>
            </w:r>
          </w:p>
          <w:p w14:paraId="418EA66E" w14:textId="1E0FF867" w:rsidR="00302287" w:rsidRPr="00A21682" w:rsidRDefault="00302287" w:rsidP="00BE0350">
            <w:pPr>
              <w:pStyle w:val="TABLETEXT1"/>
              <w:rPr>
                <w:lang w:val="en-US"/>
              </w:rPr>
            </w:pPr>
          </w:p>
        </w:tc>
        <w:tc>
          <w:tcPr>
            <w:tcW w:w="3944" w:type="pct"/>
          </w:tcPr>
          <w:p w14:paraId="1893B3FD" w14:textId="6C6C66F9" w:rsidR="00302287" w:rsidRPr="00A21682" w:rsidRDefault="00A9791B" w:rsidP="00D62ADE">
            <w:pPr>
              <w:pStyle w:val="TABLETEXT1"/>
              <w:tabs>
                <w:tab w:val="left" w:pos="2725"/>
              </w:tabs>
              <w:rPr>
                <w:lang w:val="en-US"/>
              </w:rPr>
            </w:pPr>
            <w:r>
              <w:rPr>
                <w:lang w:val="en-US"/>
              </w:rPr>
              <w:t>The PMO team has determined that the change request is ready for the CRB to review and disposition or the CR is currently being evaluated by the CRB, but no additional information has been requested. </w:t>
            </w:r>
          </w:p>
        </w:tc>
      </w:tr>
      <w:tr w:rsidR="00535148" w:rsidRPr="00A21682" w14:paraId="4A05E9F6" w14:textId="77777777" w:rsidTr="00BE0350">
        <w:trPr>
          <w:cantSplit/>
          <w:trHeight w:val="373"/>
          <w:jc w:val="center"/>
        </w:trPr>
        <w:tc>
          <w:tcPr>
            <w:tcW w:w="1056" w:type="pct"/>
          </w:tcPr>
          <w:p w14:paraId="476035AB" w14:textId="10131FE8" w:rsidR="00535148" w:rsidRPr="00A21682" w:rsidRDefault="00203858" w:rsidP="00BE0350">
            <w:pPr>
              <w:pStyle w:val="TABLETEXT1"/>
              <w:rPr>
                <w:lang w:val="en-US"/>
              </w:rPr>
            </w:pPr>
            <w:r>
              <w:rPr>
                <w:lang w:val="en-US"/>
              </w:rPr>
              <w:t>Information Pending</w:t>
            </w:r>
          </w:p>
        </w:tc>
        <w:tc>
          <w:tcPr>
            <w:tcW w:w="3944" w:type="pct"/>
          </w:tcPr>
          <w:p w14:paraId="50F7B5CA" w14:textId="4D7C4AAD" w:rsidR="00535148" w:rsidRPr="00A21682" w:rsidRDefault="00332FA8" w:rsidP="00D62ADE">
            <w:pPr>
              <w:pStyle w:val="TABLETEXT1"/>
              <w:tabs>
                <w:tab w:val="left" w:pos="2725"/>
              </w:tabs>
              <w:rPr>
                <w:lang w:val="en-US"/>
              </w:rPr>
            </w:pPr>
            <w:r>
              <w:rPr>
                <w:lang w:val="en-US"/>
              </w:rPr>
              <w:t>Additional information has been requested and the CR owner must provide this information.</w:t>
            </w:r>
          </w:p>
        </w:tc>
      </w:tr>
      <w:tr w:rsidR="00632907" w:rsidRPr="00A21682" w14:paraId="2869F7B9" w14:textId="77777777" w:rsidTr="00BE0350">
        <w:trPr>
          <w:cantSplit/>
          <w:trHeight w:val="20"/>
          <w:jc w:val="center"/>
        </w:trPr>
        <w:tc>
          <w:tcPr>
            <w:tcW w:w="1056" w:type="pct"/>
          </w:tcPr>
          <w:p w14:paraId="12C6282B" w14:textId="1DE0FDF4" w:rsidR="00042D52" w:rsidRPr="00A21682" w:rsidRDefault="006E7E49" w:rsidP="00BE0350">
            <w:pPr>
              <w:pStyle w:val="TABLETEXT1"/>
              <w:rPr>
                <w:lang w:val="en-US"/>
              </w:rPr>
            </w:pPr>
            <w:r>
              <w:rPr>
                <w:lang w:val="en-US"/>
              </w:rPr>
              <w:t>Change Approved</w:t>
            </w:r>
          </w:p>
        </w:tc>
        <w:tc>
          <w:tcPr>
            <w:tcW w:w="3944" w:type="pct"/>
          </w:tcPr>
          <w:p w14:paraId="56FFA501" w14:textId="638E4E85" w:rsidR="00042D52" w:rsidRPr="00A21682" w:rsidRDefault="00042D52" w:rsidP="00B234A9">
            <w:pPr>
              <w:pStyle w:val="TABLETEXT1"/>
              <w:rPr>
                <w:lang w:val="en-US"/>
              </w:rPr>
            </w:pPr>
            <w:r>
              <w:rPr>
                <w:lang w:val="en-US"/>
              </w:rPr>
              <w:t>The change request has been approved by the CRB. Project baselines can now be updated, and activities required to implement the CR can be initiated.</w:t>
            </w:r>
          </w:p>
        </w:tc>
      </w:tr>
      <w:tr w:rsidR="00632907" w:rsidRPr="00A21682" w14:paraId="417AD342" w14:textId="77777777" w:rsidTr="00B234A9">
        <w:trPr>
          <w:cantSplit/>
          <w:trHeight w:val="20"/>
          <w:jc w:val="center"/>
        </w:trPr>
        <w:tc>
          <w:tcPr>
            <w:tcW w:w="1056" w:type="pct"/>
            <w:vAlign w:val="center"/>
          </w:tcPr>
          <w:p w14:paraId="04513E51" w14:textId="77777777" w:rsidR="00042D52" w:rsidRPr="00A21682" w:rsidRDefault="00042D52" w:rsidP="003E59AC">
            <w:pPr>
              <w:pStyle w:val="TABLETEXT1"/>
              <w:rPr>
                <w:lang w:val="en-US"/>
              </w:rPr>
            </w:pPr>
            <w:r>
              <w:rPr>
                <w:lang w:val="en-US"/>
              </w:rPr>
              <w:t>Closed</w:t>
            </w:r>
          </w:p>
        </w:tc>
        <w:tc>
          <w:tcPr>
            <w:tcW w:w="3944" w:type="pct"/>
          </w:tcPr>
          <w:p w14:paraId="247DF97B" w14:textId="5DF3DA98" w:rsidR="004C16F4" w:rsidRPr="00A21682" w:rsidRDefault="004C16F4" w:rsidP="00B234A9">
            <w:pPr>
              <w:pStyle w:val="TABLETEXT1"/>
              <w:rPr>
                <w:lang w:val="en-US"/>
              </w:rPr>
            </w:pPr>
            <w:r>
              <w:rPr>
                <w:lang w:val="en-US"/>
              </w:rPr>
              <w:t>Any ad hoc activities not already incorporated into the Work Plan required to implement the CR have been completed.</w:t>
            </w:r>
          </w:p>
          <w:p w14:paraId="3BD04F31" w14:textId="6F15E5F0" w:rsidR="00042D52" w:rsidRPr="00A21682" w:rsidRDefault="00042D52" w:rsidP="00B234A9">
            <w:pPr>
              <w:pStyle w:val="TABLETEXT1"/>
              <w:rPr>
                <w:lang w:val="en-US"/>
              </w:rPr>
            </w:pPr>
            <w:r>
              <w:rPr>
                <w:lang w:val="en-US"/>
              </w:rPr>
              <w:t>The required project baseline documents associated with the CR have been validated and approved.</w:t>
            </w:r>
          </w:p>
        </w:tc>
      </w:tr>
      <w:tr w:rsidR="00632907" w:rsidRPr="00A21682" w14:paraId="463723C3" w14:textId="77777777" w:rsidTr="00B234A9">
        <w:trPr>
          <w:cantSplit/>
          <w:trHeight w:val="20"/>
          <w:jc w:val="center"/>
        </w:trPr>
        <w:tc>
          <w:tcPr>
            <w:tcW w:w="1056" w:type="pct"/>
            <w:vAlign w:val="center"/>
          </w:tcPr>
          <w:p w14:paraId="20075741" w14:textId="06754F06" w:rsidR="00042D52" w:rsidRPr="00A21682" w:rsidRDefault="005962DB" w:rsidP="003E59AC">
            <w:pPr>
              <w:pStyle w:val="TABLETEXT1"/>
              <w:rPr>
                <w:lang w:val="en-US"/>
              </w:rPr>
            </w:pPr>
            <w:r>
              <w:rPr>
                <w:lang w:val="en-US"/>
              </w:rPr>
              <w:t>Change Rejected</w:t>
            </w:r>
          </w:p>
        </w:tc>
        <w:tc>
          <w:tcPr>
            <w:tcW w:w="3944" w:type="pct"/>
          </w:tcPr>
          <w:p w14:paraId="54AB2F01" w14:textId="4D517BDD" w:rsidR="00042D52" w:rsidRPr="00A21682" w:rsidRDefault="00042D52" w:rsidP="00B234A9">
            <w:pPr>
              <w:pStyle w:val="TABLETEXT1"/>
              <w:rPr>
                <w:lang w:val="en-US"/>
              </w:rPr>
            </w:pPr>
            <w:r>
              <w:rPr>
                <w:lang w:val="en-US"/>
              </w:rPr>
              <w:t>The CR has been rejected by the CRB indicating that the associated changes will not be implemented.</w:t>
            </w:r>
          </w:p>
        </w:tc>
      </w:tr>
      <w:tr w:rsidR="00042D52" w:rsidRPr="00A21682" w14:paraId="58FE786D" w14:textId="77777777" w:rsidTr="003E59AC">
        <w:trPr>
          <w:cantSplit/>
          <w:trHeight w:val="20"/>
          <w:jc w:val="center"/>
        </w:trPr>
        <w:tc>
          <w:tcPr>
            <w:tcW w:w="1056" w:type="pct"/>
            <w:vAlign w:val="center"/>
          </w:tcPr>
          <w:p w14:paraId="4C63C6FB" w14:textId="2748504F" w:rsidR="00042D52" w:rsidRPr="00A21682" w:rsidRDefault="007729D7" w:rsidP="003E59AC">
            <w:pPr>
              <w:pStyle w:val="TABLETEXT1"/>
              <w:rPr>
                <w:lang w:val="en-US"/>
              </w:rPr>
            </w:pPr>
            <w:r>
              <w:rPr>
                <w:lang w:val="en-US"/>
              </w:rPr>
              <w:t>Change on Hold</w:t>
            </w:r>
          </w:p>
        </w:tc>
        <w:tc>
          <w:tcPr>
            <w:tcW w:w="3944" w:type="pct"/>
            <w:vAlign w:val="center"/>
          </w:tcPr>
          <w:p w14:paraId="2AD56E8A" w14:textId="0EE929B5" w:rsidR="00042D52" w:rsidRPr="00A21682" w:rsidRDefault="00042D52" w:rsidP="003E59AC">
            <w:pPr>
              <w:pStyle w:val="TABLETEXT1"/>
              <w:rPr>
                <w:lang w:val="en-US"/>
              </w:rPr>
            </w:pPr>
            <w:r>
              <w:rPr>
                <w:lang w:val="en-US"/>
              </w:rPr>
              <w:t>The CR has been placed on hold meaning it has been deferred for future consideration.</w:t>
            </w:r>
          </w:p>
        </w:tc>
      </w:tr>
      <w:tr w:rsidR="00B766FD" w:rsidRPr="00A21682" w14:paraId="2C062637" w14:textId="77777777" w:rsidTr="003E59AC">
        <w:trPr>
          <w:cantSplit/>
          <w:trHeight w:val="20"/>
          <w:jc w:val="center"/>
        </w:trPr>
        <w:tc>
          <w:tcPr>
            <w:tcW w:w="1056" w:type="pct"/>
            <w:vAlign w:val="center"/>
          </w:tcPr>
          <w:p w14:paraId="0BB213E0" w14:textId="1AC799AC" w:rsidR="00B766FD" w:rsidRPr="00A21682" w:rsidRDefault="007729D7" w:rsidP="003E59AC">
            <w:pPr>
              <w:pStyle w:val="TABLETEXT1"/>
              <w:rPr>
                <w:lang w:val="en-US"/>
              </w:rPr>
            </w:pPr>
            <w:r>
              <w:rPr>
                <w:lang w:val="en-US"/>
              </w:rPr>
              <w:t xml:space="preserve">Change Cancelled </w:t>
            </w:r>
          </w:p>
        </w:tc>
        <w:tc>
          <w:tcPr>
            <w:tcW w:w="3944" w:type="pct"/>
            <w:vAlign w:val="center"/>
          </w:tcPr>
          <w:p w14:paraId="49B125DB" w14:textId="07AF403A" w:rsidR="00B766FD" w:rsidRPr="00A21682" w:rsidRDefault="00606EEA" w:rsidP="003255C5">
            <w:pPr>
              <w:pStyle w:val="TABLETEXT1"/>
              <w:keepNext/>
              <w:rPr>
                <w:lang w:val="en-US"/>
              </w:rPr>
            </w:pPr>
            <w:r>
              <w:rPr>
                <w:lang w:val="en-US"/>
              </w:rPr>
              <w:t>The CR is cancelled as it is no longer needed. </w:t>
            </w:r>
          </w:p>
        </w:tc>
      </w:tr>
    </w:tbl>
    <w:p w14:paraId="440FD5A0" w14:textId="5BA51F51" w:rsidR="003255C5" w:rsidRPr="00A21682" w:rsidRDefault="003255C5">
      <w:pPr>
        <w:pStyle w:val="Caption"/>
        <w:rPr>
          <w:noProof w:val="0"/>
        </w:rPr>
      </w:pPr>
      <w:bookmarkStart w:id="4066" w:name="_Toc19287521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10</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Change Request Statuses</w:t>
      </w:r>
      <w:bookmarkEnd w:id="4066"/>
    </w:p>
    <w:p w14:paraId="55EA14AD" w14:textId="77777777" w:rsidR="00042D52" w:rsidRPr="00A21682" w:rsidRDefault="00042D52">
      <w:pPr>
        <w:pStyle w:val="Heading2"/>
      </w:pPr>
      <w:bookmarkStart w:id="4067" w:name="_Toc146296925"/>
      <w:bookmarkStart w:id="4068" w:name="_Toc177119567"/>
      <w:bookmarkStart w:id="4069" w:name="_Toc185952879"/>
      <w:bookmarkStart w:id="4070" w:name="_Toc192874978"/>
      <w:r>
        <w:t>Change Request Evaluation/Authorization</w:t>
      </w:r>
      <w:bookmarkEnd w:id="4067"/>
      <w:bookmarkEnd w:id="4068"/>
      <w:bookmarkEnd w:id="4069"/>
      <w:bookmarkEnd w:id="4070"/>
      <w:r>
        <w:t xml:space="preserve"> </w:t>
      </w:r>
    </w:p>
    <w:p w14:paraId="61B77CBA" w14:textId="0BC2DE78" w:rsidR="00646F28" w:rsidRPr="00A21682" w:rsidRDefault="00E91BAF" w:rsidP="00646F28">
      <w:pPr>
        <w:pStyle w:val="NormalNEW"/>
        <w:rPr>
          <w:lang w:val="en-US"/>
        </w:rPr>
      </w:pPr>
      <w:r>
        <w:rPr>
          <w:lang w:val="en-US"/>
        </w:rPr>
        <w:t>Once the go ahead is provided for the CR impact assessment, the Change Owner coordinates with the necessary teams to collect and document the CR impacts. The impact assessment should be completed within 10 business days from when the go ahead is provided. The Change Request Approach and Impact form is updated by the Change Owner and the updated CR is provided to the ███████ and DOS PMOs for review. The PMOs review the CR documentation in its entirety and determine whether the CR is complete and ready to be presented to the CRB. The CR Summary slide is updated as needed to reflect any information added or modified during impact assessment.</w:t>
      </w:r>
    </w:p>
    <w:p w14:paraId="261E1490" w14:textId="07F1C8F8" w:rsidR="00646F28" w:rsidRPr="00A21682" w:rsidRDefault="00285884" w:rsidP="00646F28">
      <w:pPr>
        <w:pStyle w:val="NormalNEW"/>
        <w:rPr>
          <w:lang w:val="en-US"/>
        </w:rPr>
      </w:pPr>
      <w:r>
        <w:rPr>
          <w:lang w:val="en-US"/>
        </w:rPr>
        <w:t xml:space="preserve">If the CR is not ready, the PMOs communicate any additional information needed to the Change Owner and await the information prior to re-evaluating the CR. Any required updates from this analysis are </w:t>
      </w:r>
      <w:r>
        <w:rPr>
          <w:lang w:val="en-US"/>
        </w:rPr>
        <w:lastRenderedPageBreak/>
        <w:t xml:space="preserve">entered in the ALM tool as an update to the ALM tool change request item and the CR is reassigned to the Change Owner. </w:t>
      </w:r>
    </w:p>
    <w:p w14:paraId="78104948" w14:textId="07641B0F" w:rsidR="008914EB" w:rsidRPr="00A21682" w:rsidRDefault="00285884" w:rsidP="003E59AC">
      <w:pPr>
        <w:pStyle w:val="NormalNEW"/>
        <w:rPr>
          <w:lang w:val="en-US"/>
        </w:rPr>
      </w:pPr>
      <w:r>
        <w:rPr>
          <w:lang w:val="en-US"/>
        </w:rPr>
        <w:t xml:space="preserve">If the CR is ready to present to the CRB, the CR materials, including the Change Request Approach and Impact form, CR Summary slide, and supporting documentation are distributed to the CRB stakeholders in advance of the CR being presented. During the CRB meeting, the CR Summary slide is displayed and the PMOs present the change request for review and dispositioning. </w:t>
      </w:r>
    </w:p>
    <w:p w14:paraId="48EEC76A" w14:textId="6C767699" w:rsidR="00042D52" w:rsidRPr="00A21682" w:rsidRDefault="00042D52" w:rsidP="003E59AC">
      <w:pPr>
        <w:pStyle w:val="NormalNEW"/>
        <w:keepNext/>
        <w:rPr>
          <w:lang w:val="en-US"/>
        </w:rPr>
      </w:pPr>
      <w:r>
        <w:rPr>
          <w:lang w:val="en-US"/>
        </w:rPr>
        <w:t>The following link lists the process steps, task descriptions, and stakeholder group(s) involved for the evaluation process of CRs undergoing an impact assessment: Change Request Process Diagram</w:t>
      </w:r>
    </w:p>
    <w:p w14:paraId="7EBE5FF1" w14:textId="74721579" w:rsidR="00B82F7F" w:rsidRPr="00A21682" w:rsidRDefault="00042D52" w:rsidP="00B82F7F">
      <w:pPr>
        <w:pStyle w:val="NormalNEW"/>
        <w:rPr>
          <w:lang w:val="en-US"/>
        </w:rPr>
      </w:pPr>
      <w:r>
        <w:rPr>
          <w:lang w:val="en-US"/>
        </w:rPr>
        <w:t>The CRB reviews each completed change request and discusses the item at a CRB meeting. The ███████/DOS PMOs propose target meeting dates to present the CRs that are ready for CRB disposition. If ad hoc meetings are required, the PMOs coordinate to find a time that is mutually available for the required CRB stakeholders to attend. Attendees include CRB members or their delegates. The ███████ PMO presents the CRs to the members who validate the necessity of the change as well as consider the impact of the change.</w:t>
      </w:r>
    </w:p>
    <w:p w14:paraId="1D32AD0E" w14:textId="57AEC4E2" w:rsidR="00EC2F3F" w:rsidRPr="00A21682" w:rsidRDefault="00042D52" w:rsidP="00EC2F3F">
      <w:pPr>
        <w:pStyle w:val="NormalNEW"/>
        <w:rPr>
          <w:lang w:val="en-US"/>
        </w:rPr>
      </w:pPr>
      <w:r>
        <w:rPr>
          <w:lang w:val="en-US"/>
        </w:rPr>
        <w:t xml:space="preserve">The meeting participants then determine how to disposition the CR. There are four possible outcomes for the CR at this point: </w:t>
      </w:r>
    </w:p>
    <w:p w14:paraId="5361EE5B" w14:textId="3199FCD0" w:rsidR="00EC2F3F" w:rsidRPr="00A21682" w:rsidRDefault="00EC2F3F" w:rsidP="0031550A">
      <w:pPr>
        <w:pStyle w:val="BulletNEW"/>
      </w:pPr>
      <w:r>
        <w:t>Approved – denotes the change is authorized and can be implemented</w:t>
      </w:r>
    </w:p>
    <w:p w14:paraId="052BDD7A" w14:textId="5AAE0398" w:rsidR="00EC2F3F" w:rsidRPr="00A21682" w:rsidRDefault="00EC2F3F" w:rsidP="0031550A">
      <w:pPr>
        <w:pStyle w:val="BulletNEW"/>
      </w:pPr>
      <w:r>
        <w:t>Rejected – denotes the change is declined and will not be implemented</w:t>
      </w:r>
    </w:p>
    <w:p w14:paraId="5D3163D2" w14:textId="52E243AA" w:rsidR="00EC2F3F" w:rsidRPr="00A21682" w:rsidRDefault="00EC2F3F" w:rsidP="0031550A">
      <w:pPr>
        <w:pStyle w:val="BulletNEW"/>
      </w:pPr>
      <w:r>
        <w:t xml:space="preserve">On Hold – denotes the CRB is not ready to provide a disposition </w:t>
      </w:r>
    </w:p>
    <w:p w14:paraId="0C1D48A3" w14:textId="0511504C" w:rsidR="00EC2F3F" w:rsidRPr="00A21682" w:rsidRDefault="00EC2F3F" w:rsidP="0031550A">
      <w:pPr>
        <w:pStyle w:val="BulletNEW"/>
      </w:pPr>
      <w:r>
        <w:t>Additional Information Required – denotes the CRB requires additional information or updates to disposition the CR. In this case, the ███████ and DOS PMOs reassign the CR to the Change Owner until the information is provided back to the CRB</w:t>
      </w:r>
    </w:p>
    <w:p w14:paraId="578D2F8B" w14:textId="2EC3AE2B" w:rsidR="00D10811" w:rsidRPr="00A21682" w:rsidRDefault="00EC2F3F" w:rsidP="00B82F7F">
      <w:pPr>
        <w:pStyle w:val="NormalNEW"/>
        <w:rPr>
          <w:lang w:val="en-US"/>
        </w:rPr>
      </w:pPr>
      <w:r>
        <w:rPr>
          <w:lang w:val="en-US"/>
        </w:rPr>
        <w:t>During the CRB meeting, the ███████ and DOS PMOs document questions, information requests, and the CR disposition, as applicable, within the designated fields in the CR Summary slide. After the meeting, the CR Summary slide is attached to the CR in the ALM tool and comments are added to the ticket summarizing the outcome of the discussion. If the CR is not dispositioned during the meeting and the CRB requests to review and disposition the CR offline, the ███████ and DOS PMOs will address any pending actions and set a target due date for the disposition. Once a disposition is provided via email, the CR in the ALM tool is updated accordingly and the DOS PMO sends a transmittal with the disposition to ███████.</w:t>
      </w:r>
    </w:p>
    <w:p w14:paraId="43522B80" w14:textId="3A37980E" w:rsidR="00D10811" w:rsidRPr="00A21682" w:rsidRDefault="00D10811" w:rsidP="00B82F7F">
      <w:pPr>
        <w:pStyle w:val="NormalNEW"/>
        <w:rPr>
          <w:lang w:val="en-US"/>
        </w:rPr>
      </w:pPr>
      <w:r>
        <w:rPr>
          <w:lang w:val="en-US"/>
        </w:rPr>
        <w:t xml:space="preserve">After a CR is dispositioned, the Change Request summary is included in the Project Status Report. </w:t>
      </w:r>
    </w:p>
    <w:p w14:paraId="6641803A" w14:textId="77777777" w:rsidR="00042D52" w:rsidRPr="00A21682" w:rsidRDefault="00042D52">
      <w:pPr>
        <w:pStyle w:val="Heading3"/>
      </w:pPr>
      <w:bookmarkStart w:id="4071" w:name="_Toc146296927"/>
      <w:bookmarkStart w:id="4072" w:name="_Toc177119596"/>
      <w:bookmarkStart w:id="4073" w:name="_Toc185952881"/>
      <w:bookmarkStart w:id="4074" w:name="_Toc192874979"/>
      <w:r>
        <w:t>Change Request Implementation</w:t>
      </w:r>
      <w:bookmarkEnd w:id="4071"/>
      <w:bookmarkEnd w:id="4072"/>
      <w:bookmarkEnd w:id="4073"/>
      <w:bookmarkEnd w:id="4074"/>
      <w:r>
        <w:t xml:space="preserve"> </w:t>
      </w:r>
    </w:p>
    <w:p w14:paraId="79E125F5" w14:textId="4164B2A5" w:rsidR="00042D52" w:rsidRPr="00A21682" w:rsidRDefault="006F7196" w:rsidP="00B82F7F">
      <w:pPr>
        <w:pStyle w:val="NormalNEW"/>
        <w:rPr>
          <w:lang w:val="en-US"/>
        </w:rPr>
      </w:pPr>
      <w:r>
        <w:rPr>
          <w:lang w:val="en-US"/>
        </w:rPr>
        <w:t xml:space="preserve">The Baselined Work Plan and Schedule and other relevant project documentation are updated reflecting the impact of the change on the project scope, timeline, budget, and quality after the CR is approved for implementation. Any associated ad hoc activities not otherwise incorporated into the Work Plan are logged as action items in the ALM tool. If testing of the change is required, the testing is conducted according to the procedures outlined in the Test Management Plan. </w:t>
      </w:r>
    </w:p>
    <w:p w14:paraId="3E5B854A" w14:textId="6EA5B8D9" w:rsidR="00011317" w:rsidRPr="00A21682" w:rsidRDefault="004753EC" w:rsidP="00B82F7F">
      <w:pPr>
        <w:pStyle w:val="NormalNEW"/>
        <w:rPr>
          <w:lang w:val="en-US"/>
        </w:rPr>
      </w:pPr>
      <w:r>
        <w:rPr>
          <w:lang w:val="en-US"/>
        </w:rPr>
        <w:t>The activities associated with the CR that have been incorporated into the Work Plan will be tracked through the Work Plan. Any ad hoc activities resulting from the CR will be tracked via action items in the ALM tool. Once all ad hoc activities tied to the CR are completed, the CR ticket will be closed, and any remaining scheduled tasks will be tracked and updated via the Work Plan.</w:t>
      </w:r>
    </w:p>
    <w:p w14:paraId="5EB6756B" w14:textId="5E6AB8BC" w:rsidR="00042D52" w:rsidRPr="00A21682" w:rsidRDefault="00042D52" w:rsidP="00CE1FAC">
      <w:pPr>
        <w:pStyle w:val="NormalNEW"/>
        <w:keepNext/>
        <w:rPr>
          <w:lang w:val="en-US"/>
        </w:rPr>
      </w:pPr>
      <w:r>
        <w:rPr>
          <w:lang w:val="en-US"/>
        </w:rPr>
        <w:lastRenderedPageBreak/>
        <w:t>The following link identifies the activities, tasks, and responsibilities associated with the CR implementation process</w:t>
      </w:r>
      <w:r>
        <w:rPr>
          <w:szCs w:val="18"/>
          <w:lang w:val="en-US"/>
        </w:rPr>
        <w:t xml:space="preserve">: </w:t>
      </w:r>
      <w:r>
        <w:rPr>
          <w:lang w:val="en-US"/>
        </w:rPr>
        <w:t>Change Request Process Diagram</w:t>
      </w:r>
    </w:p>
    <w:p w14:paraId="67E147DA" w14:textId="77777777" w:rsidR="00042D52" w:rsidRPr="00A21682" w:rsidRDefault="00042D52">
      <w:pPr>
        <w:pStyle w:val="Heading3"/>
      </w:pPr>
      <w:bookmarkStart w:id="4075" w:name="_Toc146296929"/>
      <w:bookmarkStart w:id="4076" w:name="_Toc177119619"/>
      <w:bookmarkStart w:id="4077" w:name="_Toc185952883"/>
      <w:bookmarkStart w:id="4078" w:name="_Toc192874980"/>
      <w:r>
        <w:t>Procedures for Emergency Change</w:t>
      </w:r>
      <w:bookmarkEnd w:id="4075"/>
      <w:bookmarkEnd w:id="4076"/>
      <w:bookmarkEnd w:id="4077"/>
      <w:bookmarkEnd w:id="4078"/>
    </w:p>
    <w:p w14:paraId="488E5761" w14:textId="77448B85" w:rsidR="00042D52" w:rsidRPr="00A21682" w:rsidRDefault="00042D52" w:rsidP="00B82F7F">
      <w:pPr>
        <w:pStyle w:val="NormalNEW"/>
        <w:rPr>
          <w:lang w:val="en-US"/>
        </w:rPr>
      </w:pPr>
      <w:r>
        <w:rPr>
          <w:lang w:val="en-US"/>
        </w:rPr>
        <w:t xml:space="preserve">As each CR that is complete and ready for discussion at the CRB meetings, emergency CRB meetings can be scheduled to address CRs more quickly (less than ten (10) business days of analysis of the change request) if required. </w:t>
      </w:r>
    </w:p>
    <w:p w14:paraId="7CC60A85" w14:textId="039F20ED" w:rsidR="00042D52" w:rsidRPr="00A21682" w:rsidRDefault="00042D52" w:rsidP="00B82F7F">
      <w:pPr>
        <w:pStyle w:val="NormalNEW"/>
        <w:rPr>
          <w:lang w:val="en-US"/>
        </w:rPr>
      </w:pPr>
      <w:r>
        <w:rPr>
          <w:lang w:val="en-US"/>
        </w:rPr>
        <w:t xml:space="preserve">If an emergency project change is required, the same project change control method and processes are followed but may require an ad hoc DOH OHIP-approved meeting with the appropriate board for the emergency project change request. </w:t>
      </w:r>
    </w:p>
    <w:p w14:paraId="7A6DE587" w14:textId="57526936" w:rsidR="00042D52" w:rsidRPr="00A21682" w:rsidRDefault="00042D52" w:rsidP="00B82F7F">
      <w:pPr>
        <w:pStyle w:val="NormalNEW"/>
        <w:rPr>
          <w:lang w:val="en-US"/>
        </w:rPr>
      </w:pPr>
      <w:r>
        <w:rPr>
          <w:lang w:val="en-US"/>
        </w:rPr>
        <w:t xml:space="preserve">A change is classified as an emergency if the change is responding to a critical business incident that is disrupting service or violating a service level agreement. </w:t>
      </w:r>
    </w:p>
    <w:p w14:paraId="02475E6F" w14:textId="4B859A81" w:rsidR="00042D52" w:rsidRPr="00A21682" w:rsidRDefault="00042D52" w:rsidP="00B82F7F">
      <w:pPr>
        <w:pStyle w:val="NormalNEW"/>
        <w:rPr>
          <w:lang w:val="en-US"/>
        </w:rPr>
      </w:pPr>
      <w:r>
        <w:rPr>
          <w:lang w:val="en-US"/>
        </w:rPr>
        <w:t xml:space="preserve">The change requestor must identify urgency when logging the CR in the ALM tool. CR timeline expectations are determined on a case-by-case basis and approved by DOH OHIP. The ███████ team works with the appropriate stakeholders to address emergency change requests and approvals as the need arises. </w:t>
      </w:r>
    </w:p>
    <w:p w14:paraId="3CEDBAD1" w14:textId="3A717E90" w:rsidR="00042D52" w:rsidRPr="00A21682" w:rsidRDefault="00042D52" w:rsidP="00903077">
      <w:pPr>
        <w:pStyle w:val="Heading2"/>
      </w:pPr>
      <w:bookmarkStart w:id="4079" w:name="_Toc146296933"/>
      <w:bookmarkStart w:id="4080" w:name="_Toc177119620"/>
      <w:bookmarkStart w:id="4081" w:name="_Toc185952884"/>
      <w:bookmarkStart w:id="4082" w:name="_Toc192874981"/>
      <w:r>
        <w:t>Tools</w:t>
      </w:r>
      <w:bookmarkEnd w:id="4079"/>
      <w:bookmarkEnd w:id="4080"/>
      <w:bookmarkEnd w:id="4081"/>
      <w:bookmarkEnd w:id="4082"/>
    </w:p>
    <w:p w14:paraId="0724BE11" w14:textId="77777777" w:rsidR="00042D52" w:rsidRPr="00A21682" w:rsidRDefault="00042D52" w:rsidP="00B82F7F">
      <w:pPr>
        <w:pStyle w:val="NormalNEW"/>
        <w:keepNext/>
        <w:rPr>
          <w:lang w:val="en-US"/>
        </w:rPr>
      </w:pPr>
      <w:r>
        <w:rPr>
          <w:lang w:val="en-US"/>
        </w:rPr>
        <w:t>The table below shows the set of tools used throughout the change control process:</w:t>
      </w:r>
    </w:p>
    <w:tbl>
      <w:tblPr>
        <w:tblW w:w="9275"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1E0" w:firstRow="1" w:lastRow="1" w:firstColumn="1" w:lastColumn="1" w:noHBand="0" w:noVBand="0"/>
      </w:tblPr>
      <w:tblGrid>
        <w:gridCol w:w="1890"/>
        <w:gridCol w:w="7385"/>
      </w:tblGrid>
      <w:tr w:rsidR="002F4E2D" w:rsidRPr="00A21682" w14:paraId="53E3513D" w14:textId="77777777" w:rsidTr="00F27E48">
        <w:trPr>
          <w:cantSplit/>
          <w:trHeight w:val="20"/>
          <w:tblHeader/>
        </w:trPr>
        <w:tc>
          <w:tcPr>
            <w:tcW w:w="1890" w:type="dxa"/>
            <w:tcBorders>
              <w:right w:val="single" w:sz="2" w:space="0" w:color="FFFFFF" w:themeColor="background1"/>
            </w:tcBorders>
            <w:shd w:val="clear" w:color="auto" w:fill="000000" w:themeFill="text1"/>
            <w:tcMar>
              <w:left w:w="108" w:type="dxa"/>
              <w:right w:w="108" w:type="dxa"/>
            </w:tcMar>
          </w:tcPr>
          <w:p w14:paraId="279C595C" w14:textId="77777777" w:rsidR="00042D52" w:rsidRPr="00A21682" w:rsidRDefault="00042D52" w:rsidP="00047C4E">
            <w:pPr>
              <w:pStyle w:val="TABLEHEADINGNEW"/>
            </w:pPr>
            <w:r>
              <w:t>Tool</w:t>
            </w:r>
          </w:p>
        </w:tc>
        <w:tc>
          <w:tcPr>
            <w:tcW w:w="7385" w:type="dxa"/>
            <w:tcBorders>
              <w:left w:val="single" w:sz="2" w:space="0" w:color="FFFFFF" w:themeColor="background1"/>
            </w:tcBorders>
            <w:shd w:val="clear" w:color="auto" w:fill="000000" w:themeFill="text1"/>
            <w:tcMar>
              <w:left w:w="108" w:type="dxa"/>
              <w:right w:w="108" w:type="dxa"/>
            </w:tcMar>
          </w:tcPr>
          <w:p w14:paraId="341CE754" w14:textId="77777777" w:rsidR="00042D52" w:rsidRPr="00A21682" w:rsidRDefault="00042D52" w:rsidP="00047C4E">
            <w:pPr>
              <w:pStyle w:val="TABLEHEADINGNEW"/>
            </w:pPr>
            <w:r>
              <w:t>Uses</w:t>
            </w:r>
          </w:p>
        </w:tc>
      </w:tr>
      <w:tr w:rsidR="009932BC" w:rsidRPr="00A21682" w:rsidDel="00E55BFB" w14:paraId="38C1EE2D" w14:textId="25E3A23B" w:rsidTr="00F27E48">
        <w:trPr>
          <w:cantSplit/>
          <w:trHeight w:val="20"/>
        </w:trPr>
        <w:tc>
          <w:tcPr>
            <w:tcW w:w="1890" w:type="dxa"/>
            <w:tcMar>
              <w:left w:w="108" w:type="dxa"/>
              <w:right w:w="108" w:type="dxa"/>
            </w:tcMar>
          </w:tcPr>
          <w:p w14:paraId="52B07530" w14:textId="522FCC8D" w:rsidR="00042D52" w:rsidRPr="00A21682" w:rsidDel="00E55BFB" w:rsidRDefault="00DC1131" w:rsidP="00047C4E">
            <w:pPr>
              <w:pStyle w:val="TABLETEXT1"/>
              <w:rPr>
                <w:lang w:val="en-US"/>
              </w:rPr>
            </w:pPr>
            <w:r>
              <w:rPr>
                <w:lang w:val="en-US"/>
              </w:rPr>
              <w:t>The requirements management tool (the requirements management tool)</w:t>
            </w:r>
          </w:p>
        </w:tc>
        <w:tc>
          <w:tcPr>
            <w:tcW w:w="7385" w:type="dxa"/>
            <w:tcMar>
              <w:left w:w="108" w:type="dxa"/>
              <w:right w:w="108" w:type="dxa"/>
            </w:tcMar>
          </w:tcPr>
          <w:p w14:paraId="568C9F15" w14:textId="4E10A8E0" w:rsidR="00042D52" w:rsidRPr="00A21682" w:rsidDel="00E55BFB" w:rsidRDefault="00042D52" w:rsidP="00047C4E">
            <w:pPr>
              <w:pStyle w:val="TABLETEXT1"/>
              <w:rPr>
                <w:lang w:val="en-US"/>
              </w:rPr>
            </w:pPr>
            <w:r>
              <w:rPr>
                <w:lang w:val="en-US"/>
              </w:rPr>
              <w:t>If CRs result in changes to contract or project requirements, the project team will update the requirements in the ALM tool following the documentation procedures defined in the Requirements Management Plan portion of the Project Management Plan. The RTM add-on for the ALM tool, the requirements management tool, will be used to generate the updated RTM documentation resulting from approved requirement changes.</w:t>
            </w:r>
          </w:p>
          <w:p w14:paraId="00A3DE23" w14:textId="4DBDAA24" w:rsidR="00042D52" w:rsidRPr="00A21682" w:rsidDel="00E55BFB" w:rsidRDefault="00042D52" w:rsidP="00047C4E">
            <w:pPr>
              <w:pStyle w:val="TABLETEXT1"/>
              <w:rPr>
                <w:lang w:val="en-US"/>
              </w:rPr>
            </w:pPr>
            <w:r>
              <w:rPr>
                <w:lang w:val="en-US"/>
              </w:rPr>
              <w:t xml:space="preserve">Once the requirements are confirmed, finalized, and loaded into the tool, they are separated and grouped into each of the sub-systems, establishing links between the related requirements. These links provide users with real-time visibility into the interrelations between requirements. </w:t>
            </w:r>
          </w:p>
        </w:tc>
      </w:tr>
      <w:tr w:rsidR="009932BC" w:rsidRPr="00A21682" w14:paraId="71129C39" w14:textId="77777777" w:rsidTr="00F27E48">
        <w:trPr>
          <w:cantSplit/>
          <w:trHeight w:val="20"/>
        </w:trPr>
        <w:tc>
          <w:tcPr>
            <w:tcW w:w="1890" w:type="dxa"/>
            <w:tcMar>
              <w:left w:w="108" w:type="dxa"/>
              <w:right w:w="108" w:type="dxa"/>
            </w:tcMar>
          </w:tcPr>
          <w:p w14:paraId="02DB13E3" w14:textId="77777777" w:rsidR="00042D52" w:rsidRPr="00A21682" w:rsidRDefault="00042D52" w:rsidP="00047C4E">
            <w:pPr>
              <w:pStyle w:val="TABLETEXT1"/>
              <w:rPr>
                <w:lang w:val="en-US"/>
              </w:rPr>
            </w:pPr>
            <w:r>
              <w:rPr>
                <w:lang w:val="en-US"/>
              </w:rPr>
              <w:t>The ALM tool</w:t>
            </w:r>
          </w:p>
        </w:tc>
        <w:tc>
          <w:tcPr>
            <w:tcW w:w="7385" w:type="dxa"/>
            <w:tcMar>
              <w:left w:w="108" w:type="dxa"/>
              <w:right w:w="108" w:type="dxa"/>
            </w:tcMar>
          </w:tcPr>
          <w:p w14:paraId="29968F48" w14:textId="77777777" w:rsidR="00042D52" w:rsidRPr="00A21682" w:rsidRDefault="00042D52" w:rsidP="00047C4E">
            <w:pPr>
              <w:pStyle w:val="TABLETEXT1"/>
              <w:rPr>
                <w:lang w:val="en-US"/>
              </w:rPr>
            </w:pPr>
            <w:r>
              <w:rPr>
                <w:lang w:val="en-US"/>
              </w:rPr>
              <w:t>The ALM tool manages issues, risks, activities, dependencies, schedule, and effort. This tool uses dashboards to help manage work and uniquely track specific work items with identified owners and approvers. The change control log will be maintained and managed in the ALM tool.</w:t>
            </w:r>
          </w:p>
          <w:p w14:paraId="10039042" w14:textId="10D1703D" w:rsidR="00042D52" w:rsidRPr="00A21682" w:rsidRDefault="00042D52" w:rsidP="00047C4E">
            <w:pPr>
              <w:pStyle w:val="TABLETEXT1"/>
              <w:rPr>
                <w:lang w:val="en-US"/>
              </w:rPr>
            </w:pPr>
            <w:r>
              <w:rPr>
                <w:lang w:val="en-US"/>
              </w:rPr>
              <w:t xml:space="preserve">The project uses the ALM tool to log and track the CRs. The ALM tool is configured to allow the change control process represented in the workflow. Changes to scope are primarily identified, reviewed, and evaluated as “Change Requests” in the ALM tool before they are processed by the CRB and determined to require a formal change request. </w:t>
            </w:r>
          </w:p>
          <w:p w14:paraId="73C1E8F3" w14:textId="2EFB4980" w:rsidR="00042D52" w:rsidRPr="00A21682" w:rsidRDefault="00042D52" w:rsidP="00047C4E">
            <w:pPr>
              <w:pStyle w:val="TABLETEXT1"/>
              <w:rPr>
                <w:lang w:val="en-US"/>
              </w:rPr>
            </w:pPr>
            <w:r>
              <w:rPr>
                <w:lang w:val="en-US"/>
              </w:rPr>
              <w:t xml:space="preserve">The ALM tool also is used for the maintenance of the requirements log and to manage the requirements throughout the project implementation phases. </w:t>
            </w:r>
          </w:p>
        </w:tc>
      </w:tr>
      <w:tr w:rsidR="009932BC" w:rsidRPr="00A21682" w14:paraId="0F627783" w14:textId="77777777" w:rsidTr="00F27E48">
        <w:trPr>
          <w:cantSplit/>
          <w:trHeight w:val="20"/>
        </w:trPr>
        <w:tc>
          <w:tcPr>
            <w:tcW w:w="1890" w:type="dxa"/>
            <w:tcMar>
              <w:left w:w="108" w:type="dxa"/>
              <w:right w:w="108" w:type="dxa"/>
            </w:tcMar>
          </w:tcPr>
          <w:p w14:paraId="720030EA" w14:textId="793F7655" w:rsidR="00042D52" w:rsidRPr="00A21682" w:rsidRDefault="0031432B" w:rsidP="00047C4E">
            <w:pPr>
              <w:pStyle w:val="TABLETEXT1"/>
              <w:rPr>
                <w:lang w:val="en-US"/>
              </w:rPr>
            </w:pPr>
            <w:r>
              <w:rPr>
                <w:lang w:val="en-US"/>
              </w:rPr>
              <w:t>DOH SharePoint</w:t>
            </w:r>
          </w:p>
        </w:tc>
        <w:tc>
          <w:tcPr>
            <w:tcW w:w="7385" w:type="dxa"/>
            <w:tcMar>
              <w:left w:w="108" w:type="dxa"/>
              <w:right w:w="108" w:type="dxa"/>
            </w:tcMar>
          </w:tcPr>
          <w:p w14:paraId="0C6164BE" w14:textId="3624EBF3" w:rsidR="00042D52" w:rsidRPr="00A21682" w:rsidRDefault="00042D52" w:rsidP="00150879">
            <w:pPr>
              <w:pStyle w:val="TABLETEXT1"/>
              <w:keepNext/>
              <w:rPr>
                <w:lang w:val="en-US"/>
              </w:rPr>
            </w:pPr>
            <w:r>
              <w:rPr>
                <w:lang w:val="en-US"/>
              </w:rPr>
              <w:t>The DOH SharePoint is leveraged for accessing, storing, and version-controlling content and the PMP</w:t>
            </w:r>
            <w:r>
              <w:rPr>
                <w:i/>
                <w:lang w:val="en-US"/>
              </w:rPr>
              <w:t>.</w:t>
            </w:r>
          </w:p>
        </w:tc>
      </w:tr>
    </w:tbl>
    <w:p w14:paraId="5A7B2F1D" w14:textId="65B54456" w:rsidR="00150879" w:rsidRPr="00A21682" w:rsidRDefault="00150879">
      <w:pPr>
        <w:pStyle w:val="Caption"/>
        <w:rPr>
          <w:noProof w:val="0"/>
        </w:rPr>
      </w:pPr>
      <w:bookmarkStart w:id="4083" w:name="_Toc19287521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10</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r>
        <w:rPr>
          <w:noProof w:val="0"/>
        </w:rPr>
        <w:t>: Change Control Tools</w:t>
      </w:r>
      <w:bookmarkEnd w:id="4083"/>
    </w:p>
    <w:p w14:paraId="51884E7E" w14:textId="77777777" w:rsidR="00042D52" w:rsidRPr="00A21682" w:rsidRDefault="00042D52" w:rsidP="00991485">
      <w:pPr>
        <w:pStyle w:val="Heading2"/>
      </w:pPr>
      <w:bookmarkStart w:id="4084" w:name="_Toc146296934"/>
      <w:bookmarkStart w:id="4085" w:name="_Toc177119621"/>
      <w:bookmarkStart w:id="4086" w:name="_Toc185952885"/>
      <w:bookmarkStart w:id="4087" w:name="_Toc192874982"/>
      <w:r>
        <w:lastRenderedPageBreak/>
        <w:t>ALM Tool Attributes</w:t>
      </w:r>
      <w:bookmarkEnd w:id="4084"/>
      <w:bookmarkEnd w:id="4085"/>
      <w:bookmarkEnd w:id="4086"/>
      <w:bookmarkEnd w:id="4087"/>
    </w:p>
    <w:p w14:paraId="4F96E3F4" w14:textId="292929E1" w:rsidR="002F2042" w:rsidRPr="00A21682" w:rsidRDefault="00042D52" w:rsidP="002F2042">
      <w:pPr>
        <w:pStyle w:val="NormalNEW"/>
        <w:rPr>
          <w:rStyle w:val="Hyperlink"/>
          <w:lang w:val="en-US"/>
        </w:rPr>
      </w:pPr>
      <w:r>
        <w:rPr>
          <w:lang w:val="en-US"/>
        </w:rPr>
        <w:t xml:space="preserve">The most updated fields used for Change Request issue type in the ALM tool can be found in the ALM Tool Reference Guide in the following location: </w:t>
      </w:r>
      <w:r>
        <w:rPr>
          <w:rStyle w:val="Hyperlink"/>
          <w:lang w:val="en-US"/>
        </w:rPr>
        <w:t>The ALM tool</w:t>
      </w:r>
    </w:p>
    <w:p w14:paraId="42CB760A" w14:textId="2E6234FA" w:rsidR="00CA42CB" w:rsidRPr="00A21682" w:rsidRDefault="00CA42CB" w:rsidP="00D62ADE"/>
    <w:p w14:paraId="0C3C56F9" w14:textId="77FC1667" w:rsidR="00CA42CB" w:rsidRPr="00A21682" w:rsidRDefault="00B70521" w:rsidP="00CA42CB">
      <w:pPr>
        <w:pStyle w:val="Heading3"/>
      </w:pPr>
      <w:bookmarkStart w:id="4088" w:name="_Toc177119622"/>
      <w:bookmarkStart w:id="4089" w:name="_Toc185952886"/>
      <w:bookmarkStart w:id="4090" w:name="_Toc192874983"/>
      <w:r>
        <w:t>ALM Tool Workflow</w:t>
      </w:r>
      <w:bookmarkEnd w:id="4088"/>
      <w:bookmarkEnd w:id="4089"/>
      <w:bookmarkEnd w:id="4090"/>
      <w:r>
        <w:t xml:space="preserve"> </w:t>
      </w:r>
    </w:p>
    <w:p w14:paraId="72712B15" w14:textId="124765A7" w:rsidR="00B70521" w:rsidRPr="00A21682" w:rsidRDefault="008B713E" w:rsidP="00496633">
      <w:pPr>
        <w:pStyle w:val="NYBodyText"/>
        <w:rPr>
          <w:lang w:val="en-US"/>
        </w:rPr>
      </w:pPr>
      <w:r>
        <w:rPr>
          <w:lang w:val="en-US"/>
        </w:rPr>
        <w:t xml:space="preserve">The ALM tool workflow and statuses are subject to change – refer to the following file location for the latest workflow: </w:t>
      </w:r>
    </w:p>
    <w:p w14:paraId="1B39AA6F" w14:textId="1FF971F0" w:rsidR="009F1AFE" w:rsidRPr="00A21682" w:rsidRDefault="009F1AFE" w:rsidP="009F1AFE">
      <w:pPr>
        <w:pStyle w:val="NormalNEW"/>
        <w:rPr>
          <w:rStyle w:val="Hyperlink"/>
          <w:lang w:val="en-US"/>
        </w:rPr>
      </w:pPr>
      <w:r>
        <w:rPr>
          <w:rStyle w:val="Hyperlink"/>
          <w:lang w:val="en-US"/>
        </w:rPr>
        <w:t>The ALM tool</w:t>
      </w:r>
    </w:p>
    <w:p w14:paraId="4E1B7F55" w14:textId="68602B09" w:rsidR="009F1AFE" w:rsidRPr="00A21682" w:rsidRDefault="009F1AFE" w:rsidP="002B0630">
      <w:pPr>
        <w:rPr>
          <w:rFonts w:ascii="Verdana" w:hAnsi="Verdana" w:cstheme="minorBidi"/>
          <w:b/>
          <w:iCs/>
          <w:sz w:val="18"/>
          <w:szCs w:val="18"/>
        </w:rPr>
      </w:pPr>
    </w:p>
    <w:p w14:paraId="61352993" w14:textId="77777777" w:rsidR="0092603C" w:rsidRPr="00A21682" w:rsidRDefault="0092603C" w:rsidP="00F27E48">
      <w:pPr>
        <w:pStyle w:val="Caption"/>
        <w:rPr>
          <w:b w:val="0"/>
          <w:noProof w:val="0"/>
        </w:rPr>
        <w:sectPr w:rsidR="0092603C" w:rsidRPr="00A21682" w:rsidSect="00FB4E23">
          <w:headerReference w:type="default" r:id="rId106"/>
          <w:footerReference w:type="default" r:id="rId107"/>
          <w:pgSz w:w="12240" w:h="15840"/>
          <w:pgMar w:top="1440" w:right="1440" w:bottom="1440" w:left="1440" w:header="720" w:footer="720" w:gutter="0"/>
          <w:cols w:space="720"/>
          <w:docGrid w:linePitch="360"/>
        </w:sectPr>
      </w:pPr>
    </w:p>
    <w:p w14:paraId="218B95D1" w14:textId="77777777" w:rsidR="0092603C" w:rsidRPr="00A21682" w:rsidRDefault="0092603C" w:rsidP="0092603C">
      <w:pPr>
        <w:rPr>
          <w:rFonts w:ascii="Verdana" w:hAnsi="Verdana"/>
          <w:sz w:val="18"/>
        </w:rPr>
      </w:pPr>
    </w:p>
    <w:p w14:paraId="58DF63B0" w14:textId="4B7DFF64" w:rsidR="0092603C" w:rsidRPr="00A21682" w:rsidRDefault="0092603C" w:rsidP="00A9704C">
      <w:pPr>
        <w:pStyle w:val="Deliverable"/>
        <w:jc w:val="center"/>
        <w:rPr>
          <w:sz w:val="18"/>
        </w:rPr>
      </w:pPr>
      <w:r>
        <w:rPr>
          <w:color w:val="FFFFFF" w:themeColor="background1"/>
        </w:rPr>
        <w:t>Section 11 – Schedule Management Plan</w:t>
      </w:r>
    </w:p>
    <w:p w14:paraId="0D003E44" w14:textId="77777777" w:rsidR="0092603C" w:rsidRPr="00A21682" w:rsidRDefault="0092603C" w:rsidP="0092603C">
      <w:pPr>
        <w:rPr>
          <w:rFonts w:ascii="Verdana" w:hAnsi="Verdana"/>
          <w:sz w:val="18"/>
        </w:rPr>
        <w:sectPr w:rsidR="0092603C" w:rsidRPr="00A21682" w:rsidSect="00FB4E23">
          <w:headerReference w:type="default" r:id="rId108"/>
          <w:footerReference w:type="default" r:id="rId109"/>
          <w:pgSz w:w="12240" w:h="15840"/>
          <w:pgMar w:top="1440" w:right="1440" w:bottom="1440" w:left="1440" w:header="720" w:footer="720" w:gutter="0"/>
          <w:cols w:space="720"/>
          <w:vAlign w:val="center"/>
          <w:docGrid w:linePitch="360"/>
        </w:sectPr>
      </w:pPr>
    </w:p>
    <w:p w14:paraId="5D617CAF" w14:textId="7D2B3DA6" w:rsidR="0092603C" w:rsidRPr="00A21682" w:rsidRDefault="0092603C">
      <w:pPr>
        <w:pStyle w:val="Heading1"/>
      </w:pPr>
      <w:bookmarkStart w:id="4091" w:name="_Toc177119623"/>
      <w:bookmarkStart w:id="4092" w:name="_Toc185952887"/>
      <w:bookmarkStart w:id="4093" w:name="_Toc192874984"/>
      <w:r>
        <w:lastRenderedPageBreak/>
        <w:t>Schedule Management Plan</w:t>
      </w:r>
      <w:bookmarkEnd w:id="4091"/>
      <w:bookmarkEnd w:id="4092"/>
      <w:bookmarkEnd w:id="4093"/>
    </w:p>
    <w:p w14:paraId="54116C41" w14:textId="2F3A9033" w:rsidR="008960FC" w:rsidRPr="00A21682" w:rsidRDefault="008960FC">
      <w:pPr>
        <w:pStyle w:val="Heading2"/>
        <w:rPr>
          <w:shd w:val="clear" w:color="auto" w:fill="FFFFFF"/>
        </w:rPr>
      </w:pPr>
      <w:bookmarkStart w:id="4094" w:name="_Toc144466106"/>
      <w:bookmarkStart w:id="4095" w:name="_Toc148009278"/>
      <w:bookmarkStart w:id="4096" w:name="_Toc151389878"/>
      <w:bookmarkStart w:id="4097" w:name="_Toc177119624"/>
      <w:bookmarkStart w:id="4098" w:name="_Toc185952888"/>
      <w:bookmarkStart w:id="4099" w:name="_Toc192874985"/>
      <w:r>
        <w:rPr>
          <w:shd w:val="clear" w:color="auto" w:fill="FFFFFF"/>
        </w:rPr>
        <w:t>Introduction</w:t>
      </w:r>
      <w:bookmarkEnd w:id="4094"/>
      <w:bookmarkEnd w:id="4095"/>
      <w:bookmarkEnd w:id="4096"/>
      <w:bookmarkEnd w:id="4097"/>
      <w:bookmarkEnd w:id="4098"/>
      <w:bookmarkEnd w:id="4099"/>
      <w:r>
        <w:rPr>
          <w:shd w:val="clear" w:color="auto" w:fill="FFFFFF"/>
        </w:rPr>
        <w:t xml:space="preserve"> </w:t>
      </w:r>
    </w:p>
    <w:p w14:paraId="3B72E729" w14:textId="2DCAE199" w:rsidR="008960FC" w:rsidRPr="00A21682" w:rsidDel="00E16CFB" w:rsidRDefault="008960FC" w:rsidP="0065543E">
      <w:pPr>
        <w:pStyle w:val="NormalNEW"/>
        <w:rPr>
          <w:lang w:val="en-US"/>
        </w:rPr>
      </w:pPr>
      <w:r>
        <w:rPr>
          <w:lang w:val="en-US"/>
        </w:rPr>
        <w:t xml:space="preserve">The Schedule Management Plan defines the framework to create and maintain the Baselined Work Plan and Schedule (DEL-06) (“Work Plan”). </w:t>
      </w:r>
      <w:bookmarkStart w:id="4100" w:name="_Toc143601394"/>
      <w:r>
        <w:rPr>
          <w:lang w:val="en-US"/>
        </w:rPr>
        <w:t>The Work Plan serves as the schedule and roadmap for project execution and provides the project team and stakeholders with a picture of the project’s production status at any given time. As indicated in the MSOW, the Work Plan is managed in an appropriate project management tool, with sufficient detail to support the projected durations. The Continuing Medicaid Eligibility Modernization project Work Plan will be managed in Microsoft Project, a project management tool.</w:t>
      </w:r>
    </w:p>
    <w:p w14:paraId="421AD8CD" w14:textId="2FAC0964" w:rsidR="008960FC" w:rsidRPr="00A21682" w:rsidRDefault="008960FC">
      <w:pPr>
        <w:pStyle w:val="Heading2"/>
        <w:rPr>
          <w:shd w:val="clear" w:color="auto" w:fill="FFFFFF"/>
        </w:rPr>
      </w:pPr>
      <w:bookmarkStart w:id="4101" w:name="_Toc144466107"/>
      <w:bookmarkStart w:id="4102" w:name="_Toc148009279"/>
      <w:bookmarkStart w:id="4103" w:name="_Toc151389879"/>
      <w:bookmarkStart w:id="4104" w:name="_Toc177119625"/>
      <w:bookmarkStart w:id="4105" w:name="_Toc185952889"/>
      <w:bookmarkStart w:id="4106" w:name="_Toc192874986"/>
      <w:r>
        <w:rPr>
          <w:shd w:val="clear" w:color="auto" w:fill="FFFFFF"/>
        </w:rPr>
        <w:t>Purpose</w:t>
      </w:r>
      <w:bookmarkEnd w:id="4100"/>
      <w:bookmarkEnd w:id="4101"/>
      <w:bookmarkEnd w:id="4102"/>
      <w:bookmarkEnd w:id="4103"/>
      <w:bookmarkEnd w:id="4104"/>
      <w:bookmarkEnd w:id="4105"/>
      <w:bookmarkEnd w:id="4106"/>
    </w:p>
    <w:p w14:paraId="1AFC0033" w14:textId="5B3D6387" w:rsidR="008960FC" w:rsidRPr="00A21682" w:rsidRDefault="008960FC" w:rsidP="0065543E">
      <w:pPr>
        <w:pStyle w:val="NormalNEW"/>
        <w:rPr>
          <w:lang w:val="en-US"/>
        </w:rPr>
      </w:pPr>
      <w:r>
        <w:rPr>
          <w:lang w:val="en-US"/>
        </w:rPr>
        <w:t>The Schedule Management Plan outlines and identifies the procedures and processes necessary to create and maintain the Work Plan. It also describes the integration of the multiple component schedules within the Continuing Medicaid Eligibility Modernization project and the proactive communication between project teams and stakeholders.</w:t>
      </w:r>
    </w:p>
    <w:p w14:paraId="50A06231" w14:textId="77777777" w:rsidR="008960FC" w:rsidRPr="00A21682" w:rsidRDefault="008960FC" w:rsidP="0065543E">
      <w:pPr>
        <w:pStyle w:val="NormalNEW"/>
        <w:rPr>
          <w:lang w:val="en-US"/>
        </w:rPr>
      </w:pPr>
      <w:r>
        <w:rPr>
          <w:lang w:val="en-US"/>
        </w:rPr>
        <w:t>The objective of this plan is to provide a schedule management process that achieves the following:</w:t>
      </w:r>
    </w:p>
    <w:p w14:paraId="33E3DE73" w14:textId="77777777" w:rsidR="008960FC" w:rsidRPr="00A21682" w:rsidRDefault="008960FC" w:rsidP="0031550A">
      <w:pPr>
        <w:pStyle w:val="BulletNEW"/>
      </w:pPr>
      <w:r>
        <w:t>Describes an approach and activities for planning, scheduling, and documenting project work</w:t>
      </w:r>
    </w:p>
    <w:p w14:paraId="47D9A3CA" w14:textId="77777777" w:rsidR="008960FC" w:rsidRPr="00A21682" w:rsidRDefault="008960FC" w:rsidP="0031550A">
      <w:pPr>
        <w:pStyle w:val="BulletNEW"/>
      </w:pPr>
      <w:r>
        <w:t>Establishes the standards used for schedule structure, data elements, and ongoing schedule maintenance</w:t>
      </w:r>
    </w:p>
    <w:p w14:paraId="036D5733" w14:textId="77777777" w:rsidR="008960FC" w:rsidRPr="00A21682" w:rsidRDefault="008960FC" w:rsidP="0031550A">
      <w:pPr>
        <w:pStyle w:val="BulletNEW"/>
      </w:pPr>
      <w:r>
        <w:t>Describes how changes to the schedule, and any related corrective actions, will be documented and managed</w:t>
      </w:r>
    </w:p>
    <w:p w14:paraId="14B6F8B3" w14:textId="77777777" w:rsidR="008960FC" w:rsidRPr="00A21682" w:rsidRDefault="008960FC" w:rsidP="0031550A">
      <w:pPr>
        <w:pStyle w:val="BulletNEW"/>
      </w:pPr>
      <w:r>
        <w:t>Defines the Microsoft Project format, schedule milestones, and schedule development roles and responsibilities</w:t>
      </w:r>
    </w:p>
    <w:p w14:paraId="4A6FB535" w14:textId="66C65645" w:rsidR="008960FC" w:rsidRPr="00A21682" w:rsidRDefault="008960FC">
      <w:pPr>
        <w:pStyle w:val="Heading2"/>
        <w:rPr>
          <w:shd w:val="clear" w:color="auto" w:fill="FFFFFF"/>
        </w:rPr>
      </w:pPr>
      <w:bookmarkStart w:id="4107" w:name="_Toc148976752"/>
      <w:bookmarkStart w:id="4108" w:name="_Toc148977201"/>
      <w:bookmarkStart w:id="4109" w:name="_Toc143601396"/>
      <w:bookmarkStart w:id="4110" w:name="_Toc144466109"/>
      <w:bookmarkStart w:id="4111" w:name="_Toc148009280"/>
      <w:bookmarkStart w:id="4112" w:name="_Toc151389880"/>
      <w:bookmarkStart w:id="4113" w:name="_Toc177119626"/>
      <w:bookmarkStart w:id="4114" w:name="_Toc185952890"/>
      <w:bookmarkStart w:id="4115" w:name="_Toc192874987"/>
      <w:bookmarkEnd w:id="4107"/>
      <w:bookmarkEnd w:id="4108"/>
      <w:r>
        <w:rPr>
          <w:shd w:val="clear" w:color="auto" w:fill="FFFFFF"/>
        </w:rPr>
        <w:t>Schedule Management Approach</w:t>
      </w:r>
      <w:bookmarkEnd w:id="4109"/>
      <w:bookmarkEnd w:id="4110"/>
      <w:bookmarkEnd w:id="4111"/>
      <w:bookmarkEnd w:id="4112"/>
      <w:bookmarkEnd w:id="4113"/>
      <w:bookmarkEnd w:id="4114"/>
      <w:bookmarkEnd w:id="4115"/>
    </w:p>
    <w:p w14:paraId="3A87855A" w14:textId="3F70C348" w:rsidR="008960FC" w:rsidRPr="00A21682" w:rsidRDefault="008960FC" w:rsidP="0065543E">
      <w:pPr>
        <w:pStyle w:val="NormalNEW"/>
        <w:rPr>
          <w:lang w:val="en-US"/>
        </w:rPr>
      </w:pPr>
      <w:r>
        <w:rPr>
          <w:lang w:val="en-US"/>
        </w:rPr>
        <w:t>The Continuing Medicaid Eligibility Modernization project requires the coordination of multiple schedules. This section outlines an approach to develop a Work Plan that remains consistent across all schedules and teams.</w:t>
      </w:r>
    </w:p>
    <w:p w14:paraId="7C139207" w14:textId="49ABCADF" w:rsidR="008960FC" w:rsidRPr="00A21682" w:rsidRDefault="008960FC">
      <w:pPr>
        <w:pStyle w:val="Heading3"/>
        <w:rPr>
          <w:shd w:val="clear" w:color="auto" w:fill="FFFFFF"/>
        </w:rPr>
      </w:pPr>
      <w:bookmarkStart w:id="4116" w:name="_Toc148009281"/>
      <w:bookmarkStart w:id="4117" w:name="_Toc151389881"/>
      <w:bookmarkStart w:id="4118" w:name="_Toc177119627"/>
      <w:bookmarkStart w:id="4119" w:name="_Toc185952891"/>
      <w:bookmarkStart w:id="4120" w:name="_Toc192874988"/>
      <w:r>
        <w:rPr>
          <w:shd w:val="clear" w:color="auto" w:fill="FFFFFF"/>
        </w:rPr>
        <w:t>Schedule Management Process Flow Diagram</w:t>
      </w:r>
      <w:bookmarkEnd w:id="4116"/>
      <w:bookmarkEnd w:id="4117"/>
      <w:bookmarkEnd w:id="4118"/>
      <w:bookmarkEnd w:id="4119"/>
      <w:bookmarkEnd w:id="4120"/>
    </w:p>
    <w:p w14:paraId="15D60990" w14:textId="77777777" w:rsidR="008960FC" w:rsidRPr="00A21682" w:rsidRDefault="008960FC" w:rsidP="0065543E">
      <w:pPr>
        <w:pStyle w:val="NormalNEW"/>
        <w:rPr>
          <w:lang w:val="en-US"/>
        </w:rPr>
      </w:pPr>
      <w:r>
        <w:rPr>
          <w:lang w:val="en-US"/>
        </w:rPr>
        <w:t>The process flow below identifies necessary schedule development and management steps.</w:t>
      </w:r>
    </w:p>
    <w:p w14:paraId="4F3985E5" w14:textId="7F619797" w:rsidR="008960FC" w:rsidRPr="00A21682" w:rsidRDefault="005859AC" w:rsidP="002E0BAA">
      <w:pPr>
        <w:pStyle w:val="NormalNEW"/>
        <w:jc w:val="center"/>
        <w:rPr>
          <w:lang w:val="en-US"/>
        </w:rPr>
      </w:pPr>
      <w:r>
        <w:object w:dxaOrig="19110" w:dyaOrig="10720" w14:anchorId="5FBA0365">
          <v:shape id="_x0000_i1051" type="#_x0000_t75" style="width:468pt;height:267pt" o:ole="">
            <v:imagedata r:id="rId110" o:title=""/>
          </v:shape>
          <o:OLEObject Type="Embed" ProgID="Visio.Drawing.15" ShapeID="_x0000_i1051" DrawAspect="Content" ObjectID="_1849677355" r:id="rId111"/>
        </w:object>
      </w:r>
    </w:p>
    <w:p w14:paraId="6CD27EF3" w14:textId="4D38F6C4" w:rsidR="008960FC" w:rsidRPr="00A21682" w:rsidRDefault="008960FC" w:rsidP="0006302C">
      <w:pPr>
        <w:pStyle w:val="Caption"/>
        <w:rPr>
          <w:noProof w:val="0"/>
          <w:shd w:val="clear" w:color="auto" w:fill="FFFFFF"/>
        </w:rPr>
      </w:pPr>
      <w:bookmarkStart w:id="4121" w:name="_Toc148009163"/>
      <w:bookmarkStart w:id="4122" w:name="_Toc151389934"/>
      <w:bookmarkStart w:id="4123" w:name="_Toc178152073"/>
      <w:bookmarkStart w:id="4124" w:name="_Toc192875081"/>
      <w:r>
        <w:rPr>
          <w:noProof w:val="0"/>
          <w:shd w:val="clear" w:color="auto" w:fill="FFFFFF"/>
        </w:rPr>
        <w:t xml:space="preserve">Figure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t>-</w:t>
      </w:r>
      <w:r>
        <w:rPr>
          <w:noProof w:val="0"/>
          <w:shd w:val="clear" w:color="auto" w:fill="FFFFFF"/>
        </w:rPr>
        <w:fldChar w:fldCharType="begin"/>
      </w:r>
      <w:r>
        <w:rPr>
          <w:noProof w:val="0"/>
          <w:shd w:val="clear" w:color="auto" w:fill="FFFFFF"/>
        </w:rPr>
        <w:instrText xml:space="preserve"> SEQ Figure \* ARABIC \s 1 </w:instrText>
      </w:r>
      <w:r>
        <w:rPr>
          <w:noProof w:val="0"/>
          <w:shd w:val="clear" w:color="auto" w:fill="FFFFFF"/>
        </w:rPr>
        <w:fldChar w:fldCharType="separate"/>
      </w:r>
      <w:r>
        <w:rPr>
          <w:noProof w:val="0"/>
          <w:shd w:val="clear" w:color="auto" w:fill="FFFFFF"/>
        </w:rPr>
        <w:t>1</w:t>
      </w:r>
      <w:r>
        <w:rPr>
          <w:noProof w:val="0"/>
          <w:shd w:val="clear" w:color="auto" w:fill="FFFFFF"/>
        </w:rPr>
        <w:fldChar w:fldCharType="end"/>
      </w:r>
      <w:r>
        <w:rPr>
          <w:noProof w:val="0"/>
          <w:shd w:val="clear" w:color="auto" w:fill="FFFFFF"/>
        </w:rPr>
        <w:t>: Schedule Management Process Flow Diagram</w:t>
      </w:r>
      <w:bookmarkEnd w:id="4121"/>
      <w:bookmarkEnd w:id="4122"/>
      <w:bookmarkEnd w:id="4123"/>
      <w:bookmarkEnd w:id="4124"/>
    </w:p>
    <w:p w14:paraId="625D2B88" w14:textId="77777777" w:rsidR="008960FC" w:rsidRPr="00A21682" w:rsidRDefault="008960FC">
      <w:pPr>
        <w:pStyle w:val="Heading3"/>
        <w:rPr>
          <w:shd w:val="clear" w:color="auto" w:fill="FFFFFF"/>
        </w:rPr>
      </w:pPr>
      <w:bookmarkStart w:id="4125" w:name="_Toc148009282"/>
      <w:bookmarkStart w:id="4126" w:name="_Toc151389882"/>
      <w:bookmarkStart w:id="4127" w:name="_Toc177119628"/>
      <w:bookmarkStart w:id="4128" w:name="_Toc185952892"/>
      <w:bookmarkStart w:id="4129" w:name="_Toc192874989"/>
      <w:r>
        <w:rPr>
          <w:shd w:val="clear" w:color="auto" w:fill="FFFFFF"/>
        </w:rPr>
        <w:t>Schedule Management Process Flow Narrative</w:t>
      </w:r>
      <w:bookmarkEnd w:id="4125"/>
      <w:bookmarkEnd w:id="4126"/>
      <w:bookmarkEnd w:id="4127"/>
      <w:bookmarkEnd w:id="4128"/>
      <w:bookmarkEnd w:id="4129"/>
    </w:p>
    <w:p w14:paraId="2B5BF8F8" w14:textId="77777777" w:rsidR="008960FC" w:rsidRPr="00A21682" w:rsidRDefault="008960FC" w:rsidP="00E76309">
      <w:pPr>
        <w:pStyle w:val="NormalNEW"/>
        <w:rPr>
          <w:lang w:val="en-US"/>
        </w:rPr>
      </w:pPr>
      <w:r>
        <w:rPr>
          <w:lang w:val="en-US"/>
        </w:rPr>
        <w:t>The following table details the steps outlined in the diagram above.</w:t>
      </w:r>
    </w:p>
    <w:tbl>
      <w:tblPr>
        <w:tblW w:w="943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720"/>
        <w:gridCol w:w="1584"/>
        <w:gridCol w:w="4968"/>
        <w:gridCol w:w="2160"/>
      </w:tblGrid>
      <w:tr w:rsidR="002F4E2D" w:rsidRPr="00A21682" w14:paraId="42B6E544" w14:textId="77777777" w:rsidTr="00B540A5">
        <w:trPr>
          <w:trHeight w:val="20"/>
          <w:tblHeader/>
        </w:trPr>
        <w:tc>
          <w:tcPr>
            <w:tcW w:w="720" w:type="dxa"/>
            <w:tcBorders>
              <w:right w:val="single" w:sz="2" w:space="0" w:color="FFFFFF" w:themeColor="background1"/>
            </w:tcBorders>
            <w:shd w:val="clear" w:color="auto" w:fill="000000" w:themeFill="text1"/>
          </w:tcPr>
          <w:p w14:paraId="026AFF8A" w14:textId="77777777" w:rsidR="008960FC" w:rsidRPr="00A21682" w:rsidRDefault="008960FC" w:rsidP="00960AA6">
            <w:pPr>
              <w:pStyle w:val="TABLEHEADINGNEW"/>
            </w:pPr>
            <w:r>
              <w:t>Step #</w:t>
            </w:r>
          </w:p>
        </w:tc>
        <w:tc>
          <w:tcPr>
            <w:tcW w:w="1584" w:type="dxa"/>
            <w:tcBorders>
              <w:left w:val="single" w:sz="2" w:space="0" w:color="FFFFFF" w:themeColor="background1"/>
              <w:right w:val="single" w:sz="2" w:space="0" w:color="FFFFFF" w:themeColor="background1"/>
            </w:tcBorders>
            <w:shd w:val="clear" w:color="auto" w:fill="000000" w:themeFill="text1"/>
          </w:tcPr>
          <w:p w14:paraId="5DDA0282" w14:textId="77777777" w:rsidR="008960FC" w:rsidRPr="00A21682" w:rsidRDefault="008960FC" w:rsidP="00960AA6">
            <w:pPr>
              <w:pStyle w:val="TABLEHEADINGNEW"/>
              <w:rPr>
                <w:shd w:val="clear" w:color="auto" w:fill="FFFFFF"/>
              </w:rPr>
            </w:pPr>
            <w:r>
              <w:t>Work Plan Process</w:t>
            </w:r>
          </w:p>
        </w:tc>
        <w:tc>
          <w:tcPr>
            <w:tcW w:w="4968" w:type="dxa"/>
            <w:tcBorders>
              <w:left w:val="single" w:sz="2" w:space="0" w:color="FFFFFF" w:themeColor="background1"/>
              <w:right w:val="single" w:sz="2" w:space="0" w:color="FFFFFF" w:themeColor="background1"/>
            </w:tcBorders>
            <w:shd w:val="clear" w:color="auto" w:fill="000000" w:themeFill="text1"/>
          </w:tcPr>
          <w:p w14:paraId="0F9F29F8" w14:textId="77777777" w:rsidR="008960FC" w:rsidRPr="00A21682" w:rsidRDefault="008960FC" w:rsidP="00960AA6">
            <w:pPr>
              <w:pStyle w:val="TABLEHEADINGNEW"/>
              <w:rPr>
                <w:shd w:val="clear" w:color="auto" w:fill="FFFFFF"/>
              </w:rPr>
            </w:pPr>
            <w:r>
              <w:t>Description</w:t>
            </w:r>
          </w:p>
        </w:tc>
        <w:tc>
          <w:tcPr>
            <w:tcW w:w="2160" w:type="dxa"/>
            <w:tcBorders>
              <w:left w:val="single" w:sz="2" w:space="0" w:color="FFFFFF" w:themeColor="background1"/>
            </w:tcBorders>
            <w:shd w:val="clear" w:color="auto" w:fill="000000" w:themeFill="text1"/>
          </w:tcPr>
          <w:p w14:paraId="6819D96C" w14:textId="77777777" w:rsidR="008960FC" w:rsidRPr="00A21682" w:rsidRDefault="008960FC" w:rsidP="00960AA6">
            <w:pPr>
              <w:pStyle w:val="TABLEHEADINGNEW"/>
            </w:pPr>
            <w:r>
              <w:t>Stakeholder Group(s)</w:t>
            </w:r>
          </w:p>
        </w:tc>
      </w:tr>
      <w:tr w:rsidR="003A472F" w:rsidRPr="00A21682" w14:paraId="2B4FF80A" w14:textId="77777777" w:rsidTr="00047C4E">
        <w:trPr>
          <w:trHeight w:val="20"/>
        </w:trPr>
        <w:tc>
          <w:tcPr>
            <w:tcW w:w="720" w:type="dxa"/>
          </w:tcPr>
          <w:p w14:paraId="7D864428" w14:textId="77777777" w:rsidR="008960FC" w:rsidRPr="00A21682" w:rsidRDefault="008960FC" w:rsidP="00960AA6">
            <w:pPr>
              <w:pStyle w:val="TABLETEXT1"/>
              <w:rPr>
                <w:lang w:val="en-US"/>
              </w:rPr>
            </w:pPr>
            <w:r>
              <w:rPr>
                <w:lang w:val="en-US"/>
              </w:rPr>
              <w:t>1</w:t>
            </w:r>
          </w:p>
        </w:tc>
        <w:tc>
          <w:tcPr>
            <w:tcW w:w="1584" w:type="dxa"/>
          </w:tcPr>
          <w:p w14:paraId="22F1A64C" w14:textId="56F8FC82" w:rsidR="008960FC" w:rsidRPr="00A21682" w:rsidRDefault="001278D0" w:rsidP="00960AA6">
            <w:pPr>
              <w:pStyle w:val="TABLETEXT1"/>
              <w:rPr>
                <w:lang w:val="en-US"/>
              </w:rPr>
            </w:pPr>
            <w:r>
              <w:rPr>
                <w:lang w:val="en-US"/>
              </w:rPr>
              <w:t>Integrated Master Schedule (IMS)</w:t>
            </w:r>
          </w:p>
        </w:tc>
        <w:tc>
          <w:tcPr>
            <w:tcW w:w="4968" w:type="dxa"/>
          </w:tcPr>
          <w:p w14:paraId="2B857D83" w14:textId="4C0C3970" w:rsidR="008960FC" w:rsidRPr="00A21682" w:rsidRDefault="008960FC" w:rsidP="00960AA6">
            <w:pPr>
              <w:pStyle w:val="TABLETEXT1"/>
              <w:rPr>
                <w:lang w:val="en-US"/>
              </w:rPr>
            </w:pPr>
            <w:r>
              <w:rPr>
                <w:lang w:val="en-US"/>
              </w:rPr>
              <w:t xml:space="preserve">Prior to initiating the development of the Work Plan, develop a Master ISOW Integrated Project Schedule. This document is based on the current project scope, IMS, as outlined in the MSOW, and anticipated future project Waves. The Master ISOW Integrated Project Schedule is a baselined work plan that provides the overall project schedule; key milestones; and work effort, resource, and cost estimates, by Wave. </w:t>
            </w:r>
          </w:p>
          <w:p w14:paraId="3B2CE481" w14:textId="2749DDF8" w:rsidR="008960FC" w:rsidRPr="00A21682" w:rsidRDefault="008960FC" w:rsidP="00960AA6">
            <w:pPr>
              <w:pStyle w:val="TABLETEXT1"/>
              <w:rPr>
                <w:lang w:val="en-US"/>
              </w:rPr>
            </w:pPr>
            <w:r>
              <w:rPr>
                <w:lang w:val="en-US"/>
              </w:rPr>
              <w:t xml:space="preserve">The Master ISOW Integrated Project Schedule informs the more detailed Work Plan, or Work Breakdown Structure (WBS), which will be created at the beginning of every Wave for work to be performed in that Wave. The Baselined Work Plan and Schedule (DEL-06), which will be a Microsoft Project file, will be the single project schedule that represents the full schedule and status across all project waves for </w:t>
            </w:r>
            <w:r>
              <w:rPr>
                <w:highlight w:val="black"/>
                <w:lang w:val="en-US"/>
              </w:rPr>
              <w:t>Deloitte</w:t>
            </w:r>
            <w:r>
              <w:rPr>
                <w:lang w:val="en-US"/>
              </w:rPr>
              <w:t xml:space="preserve"> and DOH. </w:t>
            </w:r>
          </w:p>
        </w:tc>
        <w:tc>
          <w:tcPr>
            <w:tcW w:w="2160" w:type="dxa"/>
          </w:tcPr>
          <w:p w14:paraId="44470181" w14:textId="4541C9AE" w:rsidR="008960FC" w:rsidRPr="00635C9B" w:rsidRDefault="00AA0826" w:rsidP="00F00901">
            <w:pPr>
              <w:pStyle w:val="TABLEBULLETNEW"/>
            </w:pPr>
            <w:r>
              <w:t>PMO</w:t>
            </w:r>
          </w:p>
          <w:p w14:paraId="73118721" w14:textId="77777777" w:rsidR="008960FC" w:rsidRPr="00635C9B" w:rsidRDefault="008960FC" w:rsidP="00F00901">
            <w:pPr>
              <w:pStyle w:val="TABLEBULLETNEW"/>
            </w:pPr>
            <w:r>
              <w:t>Stakeholders</w:t>
            </w:r>
          </w:p>
          <w:p w14:paraId="0279F1F5" w14:textId="77777777" w:rsidR="008960FC" w:rsidRPr="00635C9B" w:rsidRDefault="008960FC" w:rsidP="00F00901">
            <w:pPr>
              <w:pStyle w:val="TABLEBULLETNEW"/>
            </w:pPr>
            <w:r>
              <w:t>Managerial Governance</w:t>
            </w:r>
          </w:p>
          <w:p w14:paraId="16D9599F" w14:textId="04667B74" w:rsidR="008960FC" w:rsidRPr="00635C9B" w:rsidRDefault="008960FC" w:rsidP="00F00901">
            <w:pPr>
              <w:pStyle w:val="TABLEBULLETNEW"/>
            </w:pPr>
            <w:r>
              <w:t>Executive Governance</w:t>
            </w:r>
          </w:p>
        </w:tc>
      </w:tr>
      <w:tr w:rsidR="003A472F" w:rsidRPr="00A21682" w14:paraId="6FC96AD6" w14:textId="77777777" w:rsidTr="00047C4E">
        <w:trPr>
          <w:trHeight w:val="20"/>
        </w:trPr>
        <w:tc>
          <w:tcPr>
            <w:tcW w:w="720" w:type="dxa"/>
          </w:tcPr>
          <w:p w14:paraId="35EB51DA" w14:textId="77777777" w:rsidR="008960FC" w:rsidRPr="00A21682" w:rsidRDefault="008960FC" w:rsidP="00960AA6">
            <w:pPr>
              <w:pStyle w:val="TABLETEXT1"/>
              <w:rPr>
                <w:lang w:val="en-US"/>
              </w:rPr>
            </w:pPr>
            <w:r>
              <w:rPr>
                <w:lang w:val="en-US"/>
              </w:rPr>
              <w:t>2</w:t>
            </w:r>
          </w:p>
        </w:tc>
        <w:tc>
          <w:tcPr>
            <w:tcW w:w="1584" w:type="dxa"/>
          </w:tcPr>
          <w:p w14:paraId="3FC1F9BE" w14:textId="77777777" w:rsidR="008960FC" w:rsidRPr="00A21682" w:rsidRDefault="008960FC" w:rsidP="00960AA6">
            <w:pPr>
              <w:pStyle w:val="TABLETEXT1"/>
              <w:rPr>
                <w:lang w:val="en-US"/>
              </w:rPr>
            </w:pPr>
            <w:r>
              <w:rPr>
                <w:lang w:val="en-US"/>
              </w:rPr>
              <w:t xml:space="preserve">Wave – WBS </w:t>
            </w:r>
          </w:p>
          <w:p w14:paraId="1FAFF735" w14:textId="3710D1CE" w:rsidR="008067EC" w:rsidRPr="00A21682" w:rsidRDefault="008067EC" w:rsidP="00960AA6">
            <w:pPr>
              <w:pStyle w:val="TABLETEXT1"/>
              <w:rPr>
                <w:lang w:val="en-US"/>
              </w:rPr>
            </w:pPr>
            <w:r>
              <w:rPr>
                <w:lang w:val="en-US"/>
              </w:rPr>
              <w:t>I1, I2, I3, I4</w:t>
            </w:r>
          </w:p>
        </w:tc>
        <w:tc>
          <w:tcPr>
            <w:tcW w:w="4968" w:type="dxa"/>
          </w:tcPr>
          <w:p w14:paraId="3CAB6C05" w14:textId="77777777" w:rsidR="008960FC" w:rsidRPr="00A21682" w:rsidRDefault="008960FC" w:rsidP="00960AA6">
            <w:pPr>
              <w:pStyle w:val="TABLETEXT1"/>
              <w:rPr>
                <w:lang w:val="en-US"/>
              </w:rPr>
            </w:pPr>
            <w:r>
              <w:rPr>
                <w:lang w:val="en-US"/>
              </w:rPr>
              <w:t xml:space="preserve">Develop the WBS for the current Wave. The WBS should contain the detailed schedule, resource assignments, dependencies, and constraints for the deliverables. </w:t>
            </w:r>
          </w:p>
          <w:p w14:paraId="36B09BC5" w14:textId="77DB6117" w:rsidR="008960FC" w:rsidRPr="00A21682" w:rsidRDefault="008960FC" w:rsidP="00960AA6">
            <w:pPr>
              <w:pStyle w:val="TABLETEXT1"/>
              <w:rPr>
                <w:lang w:val="en-US"/>
              </w:rPr>
            </w:pPr>
            <w:r>
              <w:rPr>
                <w:lang w:val="en-US"/>
              </w:rPr>
              <w:lastRenderedPageBreak/>
              <w:t>The WBS is used to direct project execution and delivery of the Wave deliverables contributing to the project solution.</w:t>
            </w:r>
          </w:p>
        </w:tc>
        <w:tc>
          <w:tcPr>
            <w:tcW w:w="2160" w:type="dxa"/>
          </w:tcPr>
          <w:p w14:paraId="30549382" w14:textId="77777777" w:rsidR="008960FC" w:rsidRPr="00635C9B" w:rsidRDefault="008960FC" w:rsidP="00F00901">
            <w:pPr>
              <w:pStyle w:val="TABLEBULLETNEW"/>
            </w:pPr>
            <w:r>
              <w:lastRenderedPageBreak/>
              <w:t>PMO</w:t>
            </w:r>
          </w:p>
          <w:p w14:paraId="37ABABE2" w14:textId="77777777" w:rsidR="008960FC" w:rsidRPr="00635C9B" w:rsidRDefault="008960FC" w:rsidP="00F00901">
            <w:pPr>
              <w:pStyle w:val="TABLEBULLETNEW"/>
            </w:pPr>
            <w:r>
              <w:t>Stakeholders</w:t>
            </w:r>
          </w:p>
          <w:p w14:paraId="4FEDC5C8" w14:textId="77777777" w:rsidR="008960FC" w:rsidRPr="00635C9B" w:rsidRDefault="008960FC" w:rsidP="00F00901">
            <w:pPr>
              <w:pStyle w:val="TABLEBULLETNEW"/>
            </w:pPr>
            <w:r>
              <w:lastRenderedPageBreak/>
              <w:t>Managerial Governance</w:t>
            </w:r>
          </w:p>
        </w:tc>
      </w:tr>
      <w:tr w:rsidR="003A472F" w:rsidRPr="00A21682" w14:paraId="3A417EC9" w14:textId="77777777" w:rsidTr="00047C4E">
        <w:trPr>
          <w:trHeight w:val="20"/>
        </w:trPr>
        <w:tc>
          <w:tcPr>
            <w:tcW w:w="720" w:type="dxa"/>
          </w:tcPr>
          <w:p w14:paraId="1D148423" w14:textId="77777777" w:rsidR="008960FC" w:rsidRPr="00A21682" w:rsidRDefault="008960FC" w:rsidP="00960AA6">
            <w:pPr>
              <w:pStyle w:val="TABLETEXT1"/>
              <w:rPr>
                <w:lang w:val="en-US"/>
              </w:rPr>
            </w:pPr>
            <w:r>
              <w:rPr>
                <w:lang w:val="en-US"/>
              </w:rPr>
              <w:t>3</w:t>
            </w:r>
          </w:p>
        </w:tc>
        <w:tc>
          <w:tcPr>
            <w:tcW w:w="1584" w:type="dxa"/>
          </w:tcPr>
          <w:p w14:paraId="371DF7E0" w14:textId="77777777" w:rsidR="008960FC" w:rsidRPr="00A21682" w:rsidRDefault="008960FC" w:rsidP="00960AA6">
            <w:pPr>
              <w:pStyle w:val="TABLETEXT1"/>
              <w:rPr>
                <w:lang w:val="en-US"/>
              </w:rPr>
            </w:pPr>
            <w:r>
              <w:rPr>
                <w:lang w:val="en-US"/>
              </w:rPr>
              <w:t>Monitor / Manage</w:t>
            </w:r>
          </w:p>
        </w:tc>
        <w:tc>
          <w:tcPr>
            <w:tcW w:w="4968" w:type="dxa"/>
          </w:tcPr>
          <w:p w14:paraId="13BB18F4" w14:textId="51DDBAC3" w:rsidR="008960FC" w:rsidRPr="00A21682" w:rsidRDefault="008960FC" w:rsidP="00960AA6">
            <w:pPr>
              <w:pStyle w:val="TABLETEXT1"/>
              <w:rPr>
                <w:lang w:val="en-US"/>
              </w:rPr>
            </w:pPr>
            <w:r>
              <w:rPr>
                <w:lang w:val="en-US"/>
              </w:rPr>
              <w:t>Compare actual project progress against the Work Plan on a weekly basis through the duration of the project. Share findings at Project Status Report meeting, or alternative weekly meeting for schedule management items to be arranged between DOH OHIP and ███████.</w:t>
            </w:r>
          </w:p>
        </w:tc>
        <w:tc>
          <w:tcPr>
            <w:tcW w:w="2160" w:type="dxa"/>
          </w:tcPr>
          <w:p w14:paraId="0BB9148C" w14:textId="77777777" w:rsidR="008960FC" w:rsidRPr="00635C9B" w:rsidRDefault="008960FC" w:rsidP="00F00901">
            <w:pPr>
              <w:pStyle w:val="TABLEBULLETNEW"/>
            </w:pPr>
            <w:r>
              <w:t>PMO</w:t>
            </w:r>
          </w:p>
          <w:p w14:paraId="5655F269" w14:textId="77777777" w:rsidR="008960FC" w:rsidRPr="00635C9B" w:rsidRDefault="008960FC" w:rsidP="00F00901">
            <w:pPr>
              <w:pStyle w:val="TABLEBULLETNEW"/>
            </w:pPr>
            <w:r>
              <w:t>Stakeholders</w:t>
            </w:r>
          </w:p>
        </w:tc>
      </w:tr>
      <w:tr w:rsidR="003A472F" w:rsidRPr="00A21682" w14:paraId="210D9F6C" w14:textId="77777777" w:rsidTr="00047C4E">
        <w:trPr>
          <w:trHeight w:val="20"/>
        </w:trPr>
        <w:tc>
          <w:tcPr>
            <w:tcW w:w="720" w:type="dxa"/>
          </w:tcPr>
          <w:p w14:paraId="7DA9BA49" w14:textId="77777777" w:rsidR="008960FC" w:rsidRPr="00A21682" w:rsidRDefault="008960FC" w:rsidP="00960AA6">
            <w:pPr>
              <w:pStyle w:val="TABLETEXT1"/>
              <w:rPr>
                <w:lang w:val="en-US"/>
              </w:rPr>
            </w:pPr>
            <w:r>
              <w:rPr>
                <w:lang w:val="en-US"/>
              </w:rPr>
              <w:t>3.1</w:t>
            </w:r>
          </w:p>
        </w:tc>
        <w:tc>
          <w:tcPr>
            <w:tcW w:w="1584" w:type="dxa"/>
          </w:tcPr>
          <w:p w14:paraId="735C777B" w14:textId="77777777" w:rsidR="008960FC" w:rsidRPr="00A21682" w:rsidRDefault="008960FC" w:rsidP="00960AA6">
            <w:pPr>
              <w:pStyle w:val="TABLETEXT1"/>
              <w:rPr>
                <w:lang w:val="en-US"/>
              </w:rPr>
            </w:pPr>
            <w:r>
              <w:rPr>
                <w:lang w:val="en-US"/>
              </w:rPr>
              <w:t>Change?</w:t>
            </w:r>
          </w:p>
        </w:tc>
        <w:tc>
          <w:tcPr>
            <w:tcW w:w="4968" w:type="dxa"/>
          </w:tcPr>
          <w:p w14:paraId="3D60985A" w14:textId="05CBD955" w:rsidR="008960FC" w:rsidRPr="00A21682" w:rsidRDefault="008960FC" w:rsidP="00960AA6">
            <w:pPr>
              <w:pStyle w:val="TABLETEXT1"/>
              <w:rPr>
                <w:lang w:val="en-US"/>
              </w:rPr>
            </w:pPr>
            <w:r>
              <w:rPr>
                <w:lang w:val="en-US"/>
              </w:rPr>
              <w:t>Based on the outcome of regular Monitor/Manage reporting, changes to the Work Plan to reflect the latest project updates could be needed.</w:t>
            </w:r>
          </w:p>
          <w:p w14:paraId="3DC19979" w14:textId="7A7B84BF" w:rsidR="008960FC" w:rsidRPr="00A21682" w:rsidRDefault="008960FC" w:rsidP="00F00901">
            <w:pPr>
              <w:pStyle w:val="TABLEBULLETNEW"/>
            </w:pPr>
            <w:r>
              <w:t xml:space="preserve">If there are needed changes to the Work Plan, proceed to </w:t>
            </w:r>
            <w:r>
              <w:rPr>
                <w:i/>
              </w:rPr>
              <w:t>Step #3.2 Refer to Integrated Change Control Process</w:t>
            </w:r>
            <w:r>
              <w:t xml:space="preserve"> </w:t>
            </w:r>
          </w:p>
          <w:p w14:paraId="47299C8F" w14:textId="7C0BF377" w:rsidR="008960FC" w:rsidRPr="00A21682" w:rsidRDefault="008960FC" w:rsidP="00F00901">
            <w:pPr>
              <w:pStyle w:val="TABLEBULLETNEW"/>
            </w:pPr>
            <w:r>
              <w:t xml:space="preserve">If there are no changes to the Work Plan, proceed to </w:t>
            </w:r>
            <w:r>
              <w:rPr>
                <w:i/>
              </w:rPr>
              <w:t>Step #4 Variance</w:t>
            </w:r>
            <w:r>
              <w:t>?</w:t>
            </w:r>
          </w:p>
        </w:tc>
        <w:tc>
          <w:tcPr>
            <w:tcW w:w="2160" w:type="dxa"/>
          </w:tcPr>
          <w:p w14:paraId="2267FF7B" w14:textId="77777777" w:rsidR="008960FC" w:rsidRPr="00635C9B" w:rsidRDefault="008960FC" w:rsidP="00F00901">
            <w:pPr>
              <w:pStyle w:val="TABLEBULLETNEW"/>
            </w:pPr>
            <w:r>
              <w:t>PMO</w:t>
            </w:r>
          </w:p>
          <w:p w14:paraId="0AC0C9E2" w14:textId="77777777" w:rsidR="008960FC" w:rsidRPr="00635C9B" w:rsidRDefault="008960FC" w:rsidP="00F00901">
            <w:pPr>
              <w:pStyle w:val="TABLEBULLETNEW"/>
            </w:pPr>
            <w:r>
              <w:t>Stakeholders</w:t>
            </w:r>
          </w:p>
        </w:tc>
      </w:tr>
      <w:tr w:rsidR="003A472F" w:rsidRPr="00A21682" w14:paraId="56F38EEC" w14:textId="77777777" w:rsidTr="00047C4E">
        <w:trPr>
          <w:trHeight w:val="20"/>
        </w:trPr>
        <w:tc>
          <w:tcPr>
            <w:tcW w:w="720" w:type="dxa"/>
          </w:tcPr>
          <w:p w14:paraId="22A9AE2E" w14:textId="77777777" w:rsidR="008960FC" w:rsidRPr="00A21682" w:rsidRDefault="008960FC" w:rsidP="00960AA6">
            <w:pPr>
              <w:pStyle w:val="TABLETEXT1"/>
              <w:rPr>
                <w:lang w:val="en-US"/>
              </w:rPr>
            </w:pPr>
            <w:r>
              <w:rPr>
                <w:lang w:val="en-US"/>
              </w:rPr>
              <w:t>3.2</w:t>
            </w:r>
          </w:p>
        </w:tc>
        <w:tc>
          <w:tcPr>
            <w:tcW w:w="1584" w:type="dxa"/>
          </w:tcPr>
          <w:p w14:paraId="628BDA2C" w14:textId="6ABF9CA9" w:rsidR="008960FC" w:rsidRPr="00A21682" w:rsidRDefault="008960FC" w:rsidP="00960AA6">
            <w:pPr>
              <w:pStyle w:val="TABLETEXT1"/>
              <w:rPr>
                <w:lang w:val="en-US"/>
              </w:rPr>
            </w:pPr>
            <w:r>
              <w:rPr>
                <w:lang w:val="en-US"/>
              </w:rPr>
              <w:t xml:space="preserve">Refer to </w:t>
            </w:r>
            <w:r>
              <w:rPr>
                <w:iCs/>
                <w:lang w:val="en-US"/>
              </w:rPr>
              <w:t>Integrated Change Control Process</w:t>
            </w:r>
          </w:p>
        </w:tc>
        <w:tc>
          <w:tcPr>
            <w:tcW w:w="4968" w:type="dxa"/>
          </w:tcPr>
          <w:p w14:paraId="1EA50F12" w14:textId="0FAD2166" w:rsidR="008960FC" w:rsidRPr="00A21682" w:rsidRDefault="008960FC" w:rsidP="00427E35">
            <w:pPr>
              <w:pStyle w:val="TABLETEXT1"/>
              <w:rPr>
                <w:lang w:val="en-US"/>
              </w:rPr>
            </w:pPr>
            <w:r>
              <w:rPr>
                <w:lang w:val="en-US"/>
              </w:rPr>
              <w:t xml:space="preserve">The </w:t>
            </w:r>
            <w:r>
              <w:rPr>
                <w:iCs/>
                <w:lang w:val="en-US"/>
              </w:rPr>
              <w:t>ICCP (refer to Section 10)</w:t>
            </w:r>
            <w:r>
              <w:rPr>
                <w:lang w:val="en-US"/>
              </w:rPr>
              <w:t xml:space="preserve"> outlines the process for submitting and reviewing a Change Request.</w:t>
            </w:r>
          </w:p>
        </w:tc>
        <w:tc>
          <w:tcPr>
            <w:tcW w:w="2160" w:type="dxa"/>
          </w:tcPr>
          <w:p w14:paraId="3D3FE2FB" w14:textId="77777777" w:rsidR="008960FC" w:rsidRPr="00635C9B" w:rsidRDefault="008960FC" w:rsidP="00F00901">
            <w:pPr>
              <w:pStyle w:val="TABLEBULLETNEW"/>
            </w:pPr>
            <w:r>
              <w:t>Stakeholders</w:t>
            </w:r>
          </w:p>
        </w:tc>
      </w:tr>
      <w:tr w:rsidR="003A472F" w:rsidRPr="00A21682" w14:paraId="1A82E6DC" w14:textId="77777777" w:rsidTr="00047C4E">
        <w:trPr>
          <w:trHeight w:val="20"/>
        </w:trPr>
        <w:tc>
          <w:tcPr>
            <w:tcW w:w="720" w:type="dxa"/>
          </w:tcPr>
          <w:p w14:paraId="58BEE879" w14:textId="77777777" w:rsidR="008960FC" w:rsidRPr="00A21682" w:rsidRDefault="008960FC" w:rsidP="00960AA6">
            <w:pPr>
              <w:pStyle w:val="TABLETEXT1"/>
              <w:rPr>
                <w:lang w:val="en-US"/>
              </w:rPr>
            </w:pPr>
            <w:r>
              <w:rPr>
                <w:lang w:val="en-US"/>
              </w:rPr>
              <w:t>4</w:t>
            </w:r>
          </w:p>
        </w:tc>
        <w:tc>
          <w:tcPr>
            <w:tcW w:w="1584" w:type="dxa"/>
          </w:tcPr>
          <w:p w14:paraId="2EE943A6" w14:textId="77777777" w:rsidR="008960FC" w:rsidRPr="00A21682" w:rsidRDefault="008960FC" w:rsidP="00960AA6">
            <w:pPr>
              <w:pStyle w:val="TABLETEXT1"/>
              <w:rPr>
                <w:lang w:val="en-US"/>
              </w:rPr>
            </w:pPr>
            <w:r>
              <w:rPr>
                <w:lang w:val="en-US"/>
              </w:rPr>
              <w:t>Variance?</w:t>
            </w:r>
          </w:p>
        </w:tc>
        <w:tc>
          <w:tcPr>
            <w:tcW w:w="4968" w:type="dxa"/>
          </w:tcPr>
          <w:p w14:paraId="45D4FB0A" w14:textId="7B509B5A" w:rsidR="008960FC" w:rsidRPr="00A21682" w:rsidRDefault="008960FC" w:rsidP="00960AA6">
            <w:pPr>
              <w:pStyle w:val="TABLETEXT1"/>
              <w:rPr>
                <w:lang w:val="en-US"/>
              </w:rPr>
            </w:pPr>
            <w:r>
              <w:rPr>
                <w:lang w:val="en-US"/>
              </w:rPr>
              <w:t>Based on the outcome of regular Monitor/Manage reporting, the project team could identify a variance. A variance occurs when project execution deviates from the Work Plan.</w:t>
            </w:r>
          </w:p>
          <w:p w14:paraId="16AF9044" w14:textId="1DB20BCD" w:rsidR="008960FC" w:rsidRPr="00A21682" w:rsidRDefault="008960FC" w:rsidP="00F00901">
            <w:pPr>
              <w:pStyle w:val="TABLEBULLETNEW"/>
              <w:rPr>
                <w:i/>
              </w:rPr>
            </w:pPr>
            <w:r>
              <w:t xml:space="preserve">If there is a variance, proceed to </w:t>
            </w:r>
            <w:r>
              <w:rPr>
                <w:i/>
              </w:rPr>
              <w:t>Step #5 Is this a Risk?</w:t>
            </w:r>
          </w:p>
          <w:p w14:paraId="683E4E2D" w14:textId="527B7FB4" w:rsidR="008960FC" w:rsidRPr="00A21682" w:rsidRDefault="008960FC" w:rsidP="00F00901">
            <w:pPr>
              <w:pStyle w:val="TABLEBULLETNEW"/>
            </w:pPr>
            <w:r>
              <w:t xml:space="preserve">If there is no variance, proceed to </w:t>
            </w:r>
            <w:r>
              <w:rPr>
                <w:i/>
              </w:rPr>
              <w:t>End</w:t>
            </w:r>
          </w:p>
        </w:tc>
        <w:tc>
          <w:tcPr>
            <w:tcW w:w="2160" w:type="dxa"/>
          </w:tcPr>
          <w:p w14:paraId="394A0D82" w14:textId="77777777" w:rsidR="008960FC" w:rsidRPr="00635C9B" w:rsidRDefault="008960FC" w:rsidP="00F00901">
            <w:pPr>
              <w:pStyle w:val="TABLEBULLETNEW"/>
            </w:pPr>
            <w:r>
              <w:t>PMO</w:t>
            </w:r>
          </w:p>
          <w:p w14:paraId="68F5030D" w14:textId="77777777" w:rsidR="008960FC" w:rsidRPr="00635C9B" w:rsidRDefault="008960FC" w:rsidP="00F00901">
            <w:pPr>
              <w:pStyle w:val="TABLEBULLETNEW"/>
            </w:pPr>
            <w:r>
              <w:t>Stakeholders</w:t>
            </w:r>
          </w:p>
        </w:tc>
      </w:tr>
      <w:tr w:rsidR="003A472F" w:rsidRPr="00A21682" w14:paraId="17DE6ABA" w14:textId="77777777" w:rsidTr="00047C4E">
        <w:trPr>
          <w:trHeight w:val="20"/>
        </w:trPr>
        <w:tc>
          <w:tcPr>
            <w:tcW w:w="720" w:type="dxa"/>
          </w:tcPr>
          <w:p w14:paraId="2ADF574C" w14:textId="77777777" w:rsidR="008960FC" w:rsidRPr="00A21682" w:rsidRDefault="008960FC" w:rsidP="00960AA6">
            <w:pPr>
              <w:pStyle w:val="TABLETEXT1"/>
              <w:rPr>
                <w:lang w:val="en-US"/>
              </w:rPr>
            </w:pPr>
            <w:r>
              <w:rPr>
                <w:lang w:val="en-US"/>
              </w:rPr>
              <w:t>5</w:t>
            </w:r>
          </w:p>
        </w:tc>
        <w:tc>
          <w:tcPr>
            <w:tcW w:w="1584" w:type="dxa"/>
          </w:tcPr>
          <w:p w14:paraId="5524BC20" w14:textId="77777777" w:rsidR="008960FC" w:rsidRPr="00A21682" w:rsidRDefault="008960FC" w:rsidP="00960AA6">
            <w:pPr>
              <w:pStyle w:val="TABLETEXT1"/>
              <w:rPr>
                <w:lang w:val="en-US"/>
              </w:rPr>
            </w:pPr>
            <w:r>
              <w:rPr>
                <w:lang w:val="en-US"/>
              </w:rPr>
              <w:t>Is this a Risk?</w:t>
            </w:r>
          </w:p>
        </w:tc>
        <w:tc>
          <w:tcPr>
            <w:tcW w:w="4968" w:type="dxa"/>
          </w:tcPr>
          <w:p w14:paraId="7D51F655" w14:textId="1939E0AB" w:rsidR="008960FC" w:rsidRPr="00A21682" w:rsidRDefault="008960FC" w:rsidP="00960AA6">
            <w:pPr>
              <w:pStyle w:val="TABLETEXT1"/>
              <w:rPr>
                <w:lang w:val="en-US"/>
              </w:rPr>
            </w:pPr>
            <w:r>
              <w:rPr>
                <w:lang w:val="en-US"/>
              </w:rPr>
              <w:t>If there is a variance between project execution and the Work Plan, stakeholders must determine if the variance poses a risk. Stakeholders will complete the process defined in the Project Controls Plan (refer to Section 9) to determine if the variance is a risk and address it according to the Risk Management Approach.</w:t>
            </w:r>
          </w:p>
          <w:p w14:paraId="47E41AA4" w14:textId="16874781" w:rsidR="007F142D" w:rsidRPr="00831D96" w:rsidRDefault="008960FC" w:rsidP="00F00901">
            <w:pPr>
              <w:pStyle w:val="TABLEBULLETNEW"/>
              <w:rPr>
                <w:i/>
              </w:rPr>
            </w:pPr>
            <w:r>
              <w:t xml:space="preserve">If the variance is a risk, proceed to </w:t>
            </w:r>
            <w:r>
              <w:rPr>
                <w:i/>
              </w:rPr>
              <w:t xml:space="preserve">Step #5.1 Refer to Project Controls Plan Section 9.3 Risk Management Approach </w:t>
            </w:r>
          </w:p>
          <w:p w14:paraId="3519E147" w14:textId="7393F7A1" w:rsidR="008960FC" w:rsidRPr="00A21682" w:rsidRDefault="008960FC" w:rsidP="00F00901">
            <w:pPr>
              <w:pStyle w:val="TABLEBULLETNEW"/>
            </w:pPr>
            <w:r>
              <w:t xml:space="preserve">If the variance is not a risk, continue to </w:t>
            </w:r>
            <w:r>
              <w:rPr>
                <w:i/>
              </w:rPr>
              <w:t>Step #6 Is this an Issue?</w:t>
            </w:r>
          </w:p>
        </w:tc>
        <w:tc>
          <w:tcPr>
            <w:tcW w:w="2160" w:type="dxa"/>
          </w:tcPr>
          <w:p w14:paraId="3CE427FA" w14:textId="77777777" w:rsidR="008960FC" w:rsidRPr="00635C9B" w:rsidRDefault="008960FC" w:rsidP="00F00901">
            <w:pPr>
              <w:pStyle w:val="TABLEBULLETNEW"/>
            </w:pPr>
            <w:r>
              <w:t>Stakeholders</w:t>
            </w:r>
          </w:p>
        </w:tc>
      </w:tr>
      <w:tr w:rsidR="003A472F" w:rsidRPr="00A21682" w14:paraId="64BB7B9B" w14:textId="77777777" w:rsidTr="00047C4E">
        <w:trPr>
          <w:trHeight w:val="20"/>
        </w:trPr>
        <w:tc>
          <w:tcPr>
            <w:tcW w:w="720" w:type="dxa"/>
          </w:tcPr>
          <w:p w14:paraId="4AB1314B" w14:textId="77777777" w:rsidR="008960FC" w:rsidRPr="00A21682" w:rsidRDefault="008960FC" w:rsidP="00960AA6">
            <w:pPr>
              <w:pStyle w:val="TABLETEXT1"/>
              <w:rPr>
                <w:lang w:val="en-US"/>
              </w:rPr>
            </w:pPr>
            <w:r>
              <w:rPr>
                <w:lang w:val="en-US"/>
              </w:rPr>
              <w:t>5.1</w:t>
            </w:r>
          </w:p>
        </w:tc>
        <w:tc>
          <w:tcPr>
            <w:tcW w:w="1584" w:type="dxa"/>
          </w:tcPr>
          <w:p w14:paraId="0ABCEE47" w14:textId="730DB490" w:rsidR="008960FC" w:rsidRPr="00A21682" w:rsidRDefault="008960FC" w:rsidP="00960AA6">
            <w:pPr>
              <w:pStyle w:val="TABLETEXT1"/>
              <w:rPr>
                <w:lang w:val="en-US"/>
              </w:rPr>
            </w:pPr>
            <w:r>
              <w:rPr>
                <w:lang w:val="en-US"/>
              </w:rPr>
              <w:t>Refer to Project Controls Plan Section 9.3 Risk Management Approach</w:t>
            </w:r>
          </w:p>
        </w:tc>
        <w:tc>
          <w:tcPr>
            <w:tcW w:w="4968" w:type="dxa"/>
          </w:tcPr>
          <w:p w14:paraId="0D0DE014" w14:textId="67B8FA4B" w:rsidR="008960FC" w:rsidRPr="00A21682" w:rsidRDefault="00CF616C" w:rsidP="00960AA6">
            <w:pPr>
              <w:pStyle w:val="TABLETEXT1"/>
              <w:rPr>
                <w:lang w:val="en-US"/>
              </w:rPr>
            </w:pPr>
            <w:r>
              <w:rPr>
                <w:lang w:val="en-US"/>
              </w:rPr>
              <w:t>Section 9 Project Controls Plan outlines the process for addressing project risks. If, after review, it is determined that the variance is a risk to the project, Section 9.3 Risk Management Approach provides the necessary procedure.</w:t>
            </w:r>
          </w:p>
        </w:tc>
        <w:tc>
          <w:tcPr>
            <w:tcW w:w="2160" w:type="dxa"/>
          </w:tcPr>
          <w:p w14:paraId="685A2146" w14:textId="77777777" w:rsidR="008960FC" w:rsidRPr="00635C9B" w:rsidRDefault="008960FC" w:rsidP="00F00901">
            <w:pPr>
              <w:pStyle w:val="TABLEBULLETNEW"/>
            </w:pPr>
            <w:r>
              <w:t>Managerial Governance</w:t>
            </w:r>
          </w:p>
        </w:tc>
      </w:tr>
      <w:tr w:rsidR="003A472F" w:rsidRPr="00A21682" w14:paraId="0AF7E2A5" w14:textId="77777777" w:rsidTr="00047C4E">
        <w:trPr>
          <w:trHeight w:val="20"/>
        </w:trPr>
        <w:tc>
          <w:tcPr>
            <w:tcW w:w="720" w:type="dxa"/>
          </w:tcPr>
          <w:p w14:paraId="0781C8D9" w14:textId="77777777" w:rsidR="008960FC" w:rsidRPr="00A21682" w:rsidRDefault="008960FC" w:rsidP="00960AA6">
            <w:pPr>
              <w:pStyle w:val="TABLETEXT1"/>
              <w:rPr>
                <w:lang w:val="en-US"/>
              </w:rPr>
            </w:pPr>
            <w:r>
              <w:rPr>
                <w:lang w:val="en-US"/>
              </w:rPr>
              <w:lastRenderedPageBreak/>
              <w:t>6</w:t>
            </w:r>
          </w:p>
        </w:tc>
        <w:tc>
          <w:tcPr>
            <w:tcW w:w="1584" w:type="dxa"/>
          </w:tcPr>
          <w:p w14:paraId="1902D0A7" w14:textId="77777777" w:rsidR="008960FC" w:rsidRPr="00A21682" w:rsidRDefault="008960FC" w:rsidP="00960AA6">
            <w:pPr>
              <w:pStyle w:val="TABLETEXT1"/>
              <w:rPr>
                <w:lang w:val="en-US"/>
              </w:rPr>
            </w:pPr>
            <w:r>
              <w:rPr>
                <w:lang w:val="en-US"/>
              </w:rPr>
              <w:t>Is this an Issue?</w:t>
            </w:r>
          </w:p>
        </w:tc>
        <w:tc>
          <w:tcPr>
            <w:tcW w:w="4968" w:type="dxa"/>
          </w:tcPr>
          <w:p w14:paraId="1C0B4367" w14:textId="17865FC0" w:rsidR="008960FC" w:rsidRPr="00A21682" w:rsidRDefault="008960FC" w:rsidP="00960AA6">
            <w:pPr>
              <w:pStyle w:val="TABLETEXT1"/>
              <w:rPr>
                <w:lang w:val="en-US"/>
              </w:rPr>
            </w:pPr>
            <w:r>
              <w:rPr>
                <w:lang w:val="en-US"/>
              </w:rPr>
              <w:t>If there is a variance between project execution and the Work Plan, but it is not a risk, stakeholders must also determine if the variance is an issue. Stakeholders will complete the process defined in the Project Controls Plan (refer to Section 9) to determine if the variance is an issue and address it according to the Risk management Approach.</w:t>
            </w:r>
          </w:p>
          <w:p w14:paraId="77258AC0" w14:textId="4395B95B" w:rsidR="008960FC" w:rsidRPr="00A04EC9" w:rsidRDefault="008960FC" w:rsidP="00F00901">
            <w:pPr>
              <w:pStyle w:val="TABLEBULLETNEW"/>
              <w:rPr>
                <w:i/>
              </w:rPr>
            </w:pPr>
            <w:r>
              <w:t xml:space="preserve">If the variance is an issue, proceed to </w:t>
            </w:r>
            <w:r>
              <w:rPr>
                <w:i/>
              </w:rPr>
              <w:t>Step #6.1 Refer Project Controls Plan Section to 9.4 Issue Resolution Approach</w:t>
            </w:r>
          </w:p>
          <w:p w14:paraId="7648DAC3" w14:textId="7634B5E2" w:rsidR="008960FC" w:rsidRPr="00A21682" w:rsidRDefault="008960FC" w:rsidP="00F00901">
            <w:pPr>
              <w:pStyle w:val="TABLEBULLETNEW"/>
            </w:pPr>
            <w:r>
              <w:t xml:space="preserve">If the variance is not an issue, proceed to </w:t>
            </w:r>
            <w:r>
              <w:rPr>
                <w:i/>
                <w:iCs/>
              </w:rPr>
              <w:t>End</w:t>
            </w:r>
          </w:p>
        </w:tc>
        <w:tc>
          <w:tcPr>
            <w:tcW w:w="2160" w:type="dxa"/>
          </w:tcPr>
          <w:p w14:paraId="63FD6426" w14:textId="77777777" w:rsidR="008960FC" w:rsidRPr="00635C9B" w:rsidRDefault="008960FC" w:rsidP="00F00901">
            <w:pPr>
              <w:pStyle w:val="TABLEBULLETNEW"/>
            </w:pPr>
            <w:r>
              <w:t>Stakeholders</w:t>
            </w:r>
          </w:p>
        </w:tc>
      </w:tr>
      <w:tr w:rsidR="003A472F" w:rsidRPr="00A21682" w14:paraId="4433A104" w14:textId="77777777" w:rsidTr="00047C4E">
        <w:trPr>
          <w:trHeight w:val="20"/>
        </w:trPr>
        <w:tc>
          <w:tcPr>
            <w:tcW w:w="720" w:type="dxa"/>
          </w:tcPr>
          <w:p w14:paraId="62BE8970" w14:textId="77777777" w:rsidR="008960FC" w:rsidRPr="00A21682" w:rsidRDefault="008960FC" w:rsidP="00960AA6">
            <w:pPr>
              <w:pStyle w:val="TABLETEXT1"/>
              <w:rPr>
                <w:lang w:val="en-US"/>
              </w:rPr>
            </w:pPr>
            <w:r>
              <w:rPr>
                <w:lang w:val="en-US"/>
              </w:rPr>
              <w:t>6.1</w:t>
            </w:r>
          </w:p>
        </w:tc>
        <w:tc>
          <w:tcPr>
            <w:tcW w:w="1584" w:type="dxa"/>
          </w:tcPr>
          <w:p w14:paraId="42AB820D" w14:textId="4182713A" w:rsidR="008960FC" w:rsidRPr="00A21682" w:rsidRDefault="008960FC" w:rsidP="00960AA6">
            <w:pPr>
              <w:pStyle w:val="TABLETEXT1"/>
              <w:rPr>
                <w:lang w:val="en-US"/>
              </w:rPr>
            </w:pPr>
            <w:r>
              <w:rPr>
                <w:lang w:val="en-US"/>
              </w:rPr>
              <w:t>Refer to Project Controls Plan Section 9.4 Issue Resolution Approach</w:t>
            </w:r>
          </w:p>
        </w:tc>
        <w:tc>
          <w:tcPr>
            <w:tcW w:w="4968" w:type="dxa"/>
          </w:tcPr>
          <w:p w14:paraId="48A909EF" w14:textId="4639AEBD" w:rsidR="008960FC" w:rsidRPr="00A21682" w:rsidRDefault="005C0C29" w:rsidP="00960AA6">
            <w:pPr>
              <w:pStyle w:val="TABLETEXT1"/>
              <w:rPr>
                <w:lang w:val="en-US"/>
              </w:rPr>
            </w:pPr>
            <w:r>
              <w:rPr>
                <w:lang w:val="en-US"/>
              </w:rPr>
              <w:t>Section 9 Project Controls Plan outlines the process for addressing project issues. If, after review, it is determined that the variance is an issue for the project, Section 9.4 Issue Resolution Approach provides the necessary procedure.</w:t>
            </w:r>
          </w:p>
        </w:tc>
        <w:tc>
          <w:tcPr>
            <w:tcW w:w="2160" w:type="dxa"/>
          </w:tcPr>
          <w:p w14:paraId="17EEEE2B" w14:textId="77777777" w:rsidR="008960FC" w:rsidRPr="00635C9B" w:rsidRDefault="008960FC" w:rsidP="00F00901">
            <w:pPr>
              <w:pStyle w:val="TABLEBULLETNEW"/>
            </w:pPr>
            <w:r>
              <w:t>Managerial Governance</w:t>
            </w:r>
          </w:p>
        </w:tc>
      </w:tr>
    </w:tbl>
    <w:p w14:paraId="0BB4F58A" w14:textId="0446C243" w:rsidR="008960FC" w:rsidRPr="00A21682" w:rsidRDefault="008960FC" w:rsidP="00B62CB4">
      <w:pPr>
        <w:pStyle w:val="Caption"/>
        <w:rPr>
          <w:noProof w:val="0"/>
          <w:shd w:val="clear" w:color="auto" w:fill="FFFFFF"/>
        </w:rPr>
      </w:pPr>
      <w:bookmarkStart w:id="4130" w:name="_Toc148009150"/>
      <w:bookmarkStart w:id="4131" w:name="_Toc151389910"/>
      <w:bookmarkStart w:id="4132" w:name="_Toc192875214"/>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1</w:t>
      </w:r>
      <w:r>
        <w:rPr>
          <w:noProof w:val="0"/>
          <w:shd w:val="clear" w:color="auto" w:fill="FFFFFF"/>
        </w:rPr>
        <w:fldChar w:fldCharType="end"/>
      </w:r>
      <w:r>
        <w:rPr>
          <w:noProof w:val="0"/>
          <w:shd w:val="clear" w:color="auto" w:fill="FFFFFF"/>
        </w:rPr>
        <w:t>: Schedule Management Process Flow Narrative</w:t>
      </w:r>
      <w:bookmarkEnd w:id="4130"/>
      <w:bookmarkEnd w:id="4131"/>
      <w:bookmarkEnd w:id="4132"/>
    </w:p>
    <w:p w14:paraId="383C75DE" w14:textId="7B1AD9C5" w:rsidR="008960FC" w:rsidRPr="00A21682" w:rsidRDefault="008960FC">
      <w:pPr>
        <w:pStyle w:val="Heading2"/>
        <w:rPr>
          <w:shd w:val="clear" w:color="auto" w:fill="FFFFFF"/>
        </w:rPr>
      </w:pPr>
      <w:bookmarkStart w:id="4133" w:name="_Toc151389883"/>
      <w:bookmarkStart w:id="4134" w:name="_Toc177119629"/>
      <w:bookmarkStart w:id="4135" w:name="_Toc185952893"/>
      <w:bookmarkStart w:id="4136" w:name="_Toc192874990"/>
      <w:bookmarkStart w:id="4137" w:name="_Toc143601398"/>
      <w:bookmarkStart w:id="4138" w:name="_Toc144466111"/>
      <w:bookmarkStart w:id="4139" w:name="_Toc148009283"/>
      <w:r>
        <w:rPr>
          <w:shd w:val="clear" w:color="auto" w:fill="FFFFFF"/>
        </w:rPr>
        <w:t>Schedule Performance Monitoring</w:t>
      </w:r>
      <w:bookmarkEnd w:id="4133"/>
      <w:bookmarkEnd w:id="4134"/>
      <w:bookmarkEnd w:id="4135"/>
      <w:bookmarkEnd w:id="4136"/>
    </w:p>
    <w:p w14:paraId="02828B1C" w14:textId="77777777" w:rsidR="008960FC" w:rsidRPr="00A21682" w:rsidRDefault="008960FC">
      <w:pPr>
        <w:pStyle w:val="Heading3"/>
        <w:rPr>
          <w:shd w:val="clear" w:color="auto" w:fill="FFFFFF"/>
        </w:rPr>
      </w:pPr>
      <w:bookmarkStart w:id="4140" w:name="_Toc151389884"/>
      <w:bookmarkStart w:id="4141" w:name="_Toc177119630"/>
      <w:bookmarkStart w:id="4142" w:name="_Toc185952894"/>
      <w:bookmarkStart w:id="4143" w:name="_Toc192874991"/>
      <w:r>
        <w:rPr>
          <w:shd w:val="clear" w:color="auto" w:fill="FFFFFF"/>
        </w:rPr>
        <w:t>Background and Purpose</w:t>
      </w:r>
      <w:bookmarkEnd w:id="4140"/>
      <w:bookmarkEnd w:id="4141"/>
      <w:bookmarkEnd w:id="4142"/>
      <w:bookmarkEnd w:id="4143"/>
    </w:p>
    <w:p w14:paraId="651F7342" w14:textId="2997472D" w:rsidR="008960FC" w:rsidRPr="00A21682" w:rsidRDefault="008960FC" w:rsidP="00C63D1B">
      <w:pPr>
        <w:pStyle w:val="NormalNEW"/>
        <w:rPr>
          <w:lang w:val="en-US"/>
        </w:rPr>
      </w:pPr>
      <w:r>
        <w:rPr>
          <w:lang w:val="en-US"/>
        </w:rPr>
        <w:t xml:space="preserve">Schedule performance monitoring includes tracking schedule status and progress, monitoring schedule performance, and reviewing and discussing schedule performance measurements with the DOH OHIP stakeholders. As schedule performance is measured and monitored, the results become inputs into schedule monitoring and control, implementation of changes or modifications to the schedule, and/or escalation of schedule risks or issues. </w:t>
      </w:r>
    </w:p>
    <w:p w14:paraId="02958CC4" w14:textId="1990F0F3" w:rsidR="008960FC" w:rsidRPr="00A21682" w:rsidRDefault="008960FC" w:rsidP="00C63D1B">
      <w:pPr>
        <w:pStyle w:val="NormalNEW"/>
        <w:rPr>
          <w:lang w:val="en-US"/>
        </w:rPr>
      </w:pPr>
      <w:r>
        <w:rPr>
          <w:lang w:val="en-US"/>
        </w:rPr>
        <w:t>Schedule performance monitoring includes status reporting as well as more specific schedule reviews in preparation for key milestones as designated in the Work Plan. ███████ will leverage the Project Status Report to report on schedule performance. The recurring cadence of the PSR provides a proactive mode to discuss the current state of schedule performance prior to any schedule risks or issues.</w:t>
      </w:r>
    </w:p>
    <w:p w14:paraId="3E45E0E4" w14:textId="2A16788F" w:rsidR="008960FC" w:rsidRPr="00A21682" w:rsidRDefault="008960FC">
      <w:pPr>
        <w:pStyle w:val="Heading3"/>
        <w:rPr>
          <w:shd w:val="clear" w:color="auto" w:fill="FFFFFF"/>
        </w:rPr>
      </w:pPr>
      <w:bookmarkStart w:id="4144" w:name="_Toc151389885"/>
      <w:bookmarkStart w:id="4145" w:name="_Toc177119631"/>
      <w:bookmarkStart w:id="4146" w:name="_Toc185952895"/>
      <w:bookmarkStart w:id="4147" w:name="_Toc192874992"/>
      <w:r>
        <w:rPr>
          <w:shd w:val="clear" w:color="auto" w:fill="FFFFFF"/>
        </w:rPr>
        <w:t>Schedule Performance Index</w:t>
      </w:r>
      <w:bookmarkEnd w:id="4144"/>
      <w:bookmarkEnd w:id="4145"/>
      <w:bookmarkEnd w:id="4146"/>
      <w:bookmarkEnd w:id="4147"/>
    </w:p>
    <w:p w14:paraId="19D172AF" w14:textId="2D6D1ADC" w:rsidR="008960FC" w:rsidRPr="00A21682" w:rsidRDefault="008960FC" w:rsidP="00C63D1B">
      <w:pPr>
        <w:pStyle w:val="NormalNEW"/>
        <w:rPr>
          <w:lang w:val="en-US"/>
        </w:rPr>
      </w:pPr>
      <w:r>
        <w:rPr>
          <w:lang w:val="en-US"/>
        </w:rPr>
        <w:t xml:space="preserve">For the Continuing Medicaid Eligibility Modernization project, ███████ will leverage the Schedule Performance Index (SPI) as the Key Performance Indicator (KPI) to measure schedule performance. ███████ will include SPI as part of the PSR. </w:t>
      </w:r>
    </w:p>
    <w:p w14:paraId="1329649D" w14:textId="34242B52" w:rsidR="008960FC" w:rsidRPr="00A21682" w:rsidRDefault="008960FC" w:rsidP="00C63D1B">
      <w:pPr>
        <w:pStyle w:val="NormalNEW"/>
        <w:rPr>
          <w:lang w:val="en-US"/>
        </w:rPr>
      </w:pPr>
      <w:r>
        <w:rPr>
          <w:lang w:val="en-US"/>
        </w:rPr>
        <w:t>SPI provides a quantitative measure of schedule performance that measures the efficiency of time utilization in a project. SPI functions as a real-time system, allowing ███████ to identify potential schedule issues before they escalate. By analyzing SPI values, ███████ can proactively address schedule slippages, reallocate resources, and implement corrective actions promptly.</w:t>
      </w:r>
    </w:p>
    <w:p w14:paraId="32A9CB8E" w14:textId="6B8EFC5B" w:rsidR="008960FC" w:rsidRPr="00A21682" w:rsidRDefault="008960FC" w:rsidP="00271E5F">
      <w:pPr>
        <w:pStyle w:val="NormalNEW"/>
        <w:rPr>
          <w:lang w:val="en-US"/>
        </w:rPr>
      </w:pPr>
      <w:r>
        <w:rPr>
          <w:lang w:val="en-US"/>
        </w:rPr>
        <w:t xml:space="preserve"> </w:t>
      </w:r>
    </w:p>
    <w:p w14:paraId="36F2E11A" w14:textId="5FC4A063" w:rsidR="008960FC" w:rsidRPr="00A21682" w:rsidRDefault="008960FC" w:rsidP="009E416C">
      <w:pPr>
        <w:pStyle w:val="Heading3"/>
      </w:pPr>
      <w:bookmarkStart w:id="4148" w:name="_Toc151389887"/>
      <w:bookmarkStart w:id="4149" w:name="_Toc177119633"/>
      <w:bookmarkStart w:id="4150" w:name="_Toc185952897"/>
      <w:bookmarkStart w:id="4151" w:name="_Toc192874993"/>
      <w:r>
        <w:t>Variance</w:t>
      </w:r>
      <w:bookmarkEnd w:id="4148"/>
      <w:bookmarkEnd w:id="4149"/>
      <w:bookmarkEnd w:id="4150"/>
      <w:bookmarkEnd w:id="4151"/>
    </w:p>
    <w:p w14:paraId="1549E0F7" w14:textId="2588C2CF" w:rsidR="00874A0C" w:rsidRPr="00A21682" w:rsidRDefault="00874A0C" w:rsidP="00496633">
      <w:pPr>
        <w:pStyle w:val="NYBodyText"/>
        <w:rPr>
          <w:lang w:val="en-US"/>
        </w:rPr>
      </w:pPr>
      <w:r>
        <w:rPr>
          <w:lang w:val="en-US"/>
        </w:rPr>
        <w:t xml:space="preserve">To effectively gauge the performance of the project schedule, variance and threshold values are set for the SPI. By having defined, agreed-upon values for variance and threshold, ███████ and DOH </w:t>
      </w:r>
      <w:r>
        <w:rPr>
          <w:lang w:val="en-US"/>
        </w:rPr>
        <w:lastRenderedPageBreak/>
        <w:t>OHIP can measure the progress of the project schedule through the same lens. Variance refers to any SPI value that is not 1. Throughout the duration of the Continuing Medicaid Eligibility Modernization project, the ███████ PMO will monitor and communicate the project’s SPI. As part of effective performance monitoring, the ███████ PMO will establish variance thresholds to monitor and manage against. Based on the variance threshold, the ███████ PMO will take the appropriate next steps to communicate the project schedule status to DOH OHIP. The SPI variance thresholds are subject to change based on mutual agreement between ███████ and DOH on the updated metrics. The following table outlines the SPI variance thresholds with subsequent details.</w:t>
      </w:r>
    </w:p>
    <w:tbl>
      <w:tblPr>
        <w:tblStyle w:val="GridTable4"/>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6A0" w:firstRow="1" w:lastRow="0" w:firstColumn="1" w:lastColumn="0" w:noHBand="1" w:noVBand="1"/>
      </w:tblPr>
      <w:tblGrid>
        <w:gridCol w:w="1705"/>
        <w:gridCol w:w="2250"/>
        <w:gridCol w:w="5395"/>
      </w:tblGrid>
      <w:tr w:rsidR="00874A0C" w:rsidRPr="00A21682" w14:paraId="5BB42012" w14:textId="77777777" w:rsidTr="009E416C">
        <w:trPr>
          <w:cnfStyle w:val="100000000000" w:firstRow="1" w:lastRow="0" w:firstColumn="0" w:lastColumn="0" w:oddVBand="0" w:evenVBand="0" w:oddHBand="0" w:evenHBand="0" w:firstRowFirstColumn="0" w:firstRowLastColumn="0" w:lastRowFirstColumn="0" w:lastRowLastColumn="0"/>
          <w:trHeight w:val="26"/>
          <w:tblHeader/>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auto"/>
              <w:bottom w:val="single" w:sz="4" w:space="0" w:color="auto"/>
              <w:right w:val="single" w:sz="4" w:space="0" w:color="FFFFFF" w:themeColor="background1"/>
            </w:tcBorders>
            <w:vAlign w:val="center"/>
          </w:tcPr>
          <w:p w14:paraId="3D03F479" w14:textId="5C0708EB" w:rsidR="008960FC" w:rsidRPr="00A21682" w:rsidRDefault="008960FC" w:rsidP="00C63D1B">
            <w:pPr>
              <w:pStyle w:val="TABLEHEADINGNEW"/>
              <w:rPr>
                <w:b/>
                <w:bCs/>
                <w:color w:val="auto"/>
              </w:rPr>
            </w:pPr>
            <w:r>
              <w:rPr>
                <w:b/>
                <w:bCs/>
                <w:color w:val="auto"/>
              </w:rPr>
              <w:t>Variance Type</w:t>
            </w:r>
          </w:p>
        </w:tc>
        <w:tc>
          <w:tcPr>
            <w:tcW w:w="0" w:type="pct"/>
            <w:tcBorders>
              <w:top w:val="single" w:sz="4" w:space="0" w:color="auto"/>
              <w:left w:val="single" w:sz="4" w:space="0" w:color="FFFFFF" w:themeColor="background1"/>
              <w:bottom w:val="single" w:sz="4" w:space="0" w:color="auto"/>
              <w:right w:val="single" w:sz="4" w:space="0" w:color="FFFFFF" w:themeColor="background1"/>
            </w:tcBorders>
            <w:vAlign w:val="center"/>
          </w:tcPr>
          <w:p w14:paraId="5BC6978D" w14:textId="77777777" w:rsidR="008960FC" w:rsidRPr="00A21682" w:rsidRDefault="008960FC" w:rsidP="00C63D1B">
            <w:pPr>
              <w:pStyle w:val="TABLEHEADINGNEW"/>
              <w:cnfStyle w:val="100000000000" w:firstRow="1" w:lastRow="0" w:firstColumn="0" w:lastColumn="0" w:oddVBand="0" w:evenVBand="0" w:oddHBand="0" w:evenHBand="0" w:firstRowFirstColumn="0" w:firstRowLastColumn="0" w:lastRowFirstColumn="0" w:lastRowLastColumn="0"/>
              <w:rPr>
                <w:b/>
                <w:bCs/>
                <w:color w:val="auto"/>
              </w:rPr>
            </w:pPr>
            <w:r>
              <w:rPr>
                <w:b/>
                <w:bCs/>
                <w:color w:val="auto"/>
              </w:rPr>
              <w:t>Threshold</w:t>
            </w:r>
          </w:p>
        </w:tc>
        <w:tc>
          <w:tcPr>
            <w:tcW w:w="0" w:type="pct"/>
            <w:tcBorders>
              <w:top w:val="single" w:sz="4" w:space="0" w:color="auto"/>
              <w:left w:val="single" w:sz="4" w:space="0" w:color="FFFFFF" w:themeColor="background1"/>
              <w:bottom w:val="single" w:sz="4" w:space="0" w:color="auto"/>
              <w:right w:val="single" w:sz="4" w:space="0" w:color="auto"/>
            </w:tcBorders>
            <w:vAlign w:val="center"/>
          </w:tcPr>
          <w:p w14:paraId="6CB0F501" w14:textId="77777777" w:rsidR="008960FC" w:rsidRPr="00A21682" w:rsidRDefault="008960FC" w:rsidP="00C63D1B">
            <w:pPr>
              <w:pStyle w:val="TABLEHEADINGNEW"/>
              <w:cnfStyle w:val="100000000000" w:firstRow="1" w:lastRow="0" w:firstColumn="0" w:lastColumn="0" w:oddVBand="0" w:evenVBand="0" w:oddHBand="0" w:evenHBand="0" w:firstRowFirstColumn="0" w:firstRowLastColumn="0" w:lastRowFirstColumn="0" w:lastRowLastColumn="0"/>
              <w:rPr>
                <w:b/>
                <w:bCs/>
                <w:color w:val="auto"/>
              </w:rPr>
            </w:pPr>
            <w:r>
              <w:rPr>
                <w:b/>
                <w:bCs/>
                <w:color w:val="auto"/>
              </w:rPr>
              <w:t>Description</w:t>
            </w:r>
          </w:p>
        </w:tc>
      </w:tr>
      <w:tr w:rsidR="00874A0C" w:rsidRPr="00A21682" w14:paraId="396C2261" w14:textId="77777777" w:rsidTr="0026727A">
        <w:trPr>
          <w:cantSplit/>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tcBorders>
            <w:shd w:val="clear" w:color="auto" w:fill="00B050"/>
            <w:vAlign w:val="center"/>
          </w:tcPr>
          <w:p w14:paraId="283F445B" w14:textId="77777777" w:rsidR="008960FC" w:rsidRPr="00A21682" w:rsidRDefault="008960FC" w:rsidP="00C63D1B">
            <w:pPr>
              <w:pStyle w:val="TABLETEXT1"/>
              <w:rPr>
                <w:shd w:val="clear" w:color="auto" w:fill="FFFFFF"/>
                <w:lang w:val="en-US"/>
              </w:rPr>
            </w:pPr>
            <w:r>
              <w:rPr>
                <w:color w:val="FFFFFF" w:themeColor="background1"/>
                <w:lang w:val="en-US"/>
              </w:rPr>
              <w:t>On-Track</w:t>
            </w:r>
          </w:p>
        </w:tc>
        <w:tc>
          <w:tcPr>
            <w:tcW w:w="0" w:type="pct"/>
            <w:tcBorders>
              <w:top w:val="single" w:sz="4" w:space="0" w:color="auto"/>
            </w:tcBorders>
            <w:vAlign w:val="center"/>
          </w:tcPr>
          <w:p w14:paraId="1E2E2D87" w14:textId="2DCCFB88" w:rsidR="008960FC"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SPI ≥ 0.95 or </w:t>
            </w:r>
            <w:r>
              <w:rPr>
                <w:lang w:val="en-US"/>
              </w:rPr>
              <w:br/>
              <w:t>SPI ≤ 1.05</w:t>
            </w:r>
          </w:p>
        </w:tc>
        <w:tc>
          <w:tcPr>
            <w:tcW w:w="0" w:type="pct"/>
            <w:tcBorders>
              <w:top w:val="single" w:sz="4" w:space="0" w:color="auto"/>
            </w:tcBorders>
            <w:vAlign w:val="center"/>
          </w:tcPr>
          <w:p w14:paraId="6C955F0B" w14:textId="77777777" w:rsidR="008960FC"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goal of schedule performance monitoring is to maintain the project schedule within the thresholds of the On-Track variance, which indicates that the project is effectively on schedule. </w:t>
            </w:r>
          </w:p>
        </w:tc>
      </w:tr>
      <w:tr w:rsidR="00874A0C" w:rsidRPr="00A21682" w14:paraId="32E8E7C2" w14:textId="77777777" w:rsidTr="00C63D1B">
        <w:trPr>
          <w:cantSplit/>
        </w:trPr>
        <w:tc>
          <w:tcPr>
            <w:cnfStyle w:val="001000000000" w:firstRow="0" w:lastRow="0" w:firstColumn="1" w:lastColumn="0" w:oddVBand="0" w:evenVBand="0" w:oddHBand="0" w:evenHBand="0" w:firstRowFirstColumn="0" w:firstRowLastColumn="0" w:lastRowFirstColumn="0" w:lastRowLastColumn="0"/>
            <w:tcW w:w="912" w:type="pct"/>
            <w:shd w:val="clear" w:color="auto" w:fill="FFFF00"/>
            <w:vAlign w:val="center"/>
          </w:tcPr>
          <w:p w14:paraId="046FC6F9" w14:textId="77777777" w:rsidR="008960FC" w:rsidRPr="00A21682" w:rsidRDefault="008960FC" w:rsidP="00C63D1B">
            <w:pPr>
              <w:pStyle w:val="TABLETEXT1"/>
              <w:rPr>
                <w:shd w:val="clear" w:color="auto" w:fill="FFFFFF"/>
                <w:lang w:val="en-US"/>
              </w:rPr>
            </w:pPr>
            <w:r>
              <w:rPr>
                <w:lang w:val="en-US"/>
              </w:rPr>
              <w:t>At-Risk</w:t>
            </w:r>
          </w:p>
        </w:tc>
        <w:tc>
          <w:tcPr>
            <w:tcW w:w="1203" w:type="pct"/>
            <w:vAlign w:val="center"/>
          </w:tcPr>
          <w:p w14:paraId="4F30E8DE" w14:textId="77777777" w:rsidR="008960FC"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0.91 ≤ SPI ≤ 0.94 or </w:t>
            </w:r>
            <w:r>
              <w:rPr>
                <w:lang w:val="en-US"/>
              </w:rPr>
              <w:br/>
              <w:t>1.06 ≤ SPI ≤ 1.09</w:t>
            </w:r>
          </w:p>
        </w:tc>
        <w:tc>
          <w:tcPr>
            <w:tcW w:w="2885" w:type="pct"/>
            <w:vAlign w:val="center"/>
          </w:tcPr>
          <w:p w14:paraId="22625F26" w14:textId="2BDA6D2B" w:rsidR="008960FC"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When an At-Risk variance in the SPI occurs, this indicates that the project schedule needs corrective action. ███████ will leverage this threshold to serve as real-time indicators for potential proactive corrective actions to prevent the SPI from reaching an Off-Track variance. ███████ will log the SPI as a risk and take appropriate actions to get the project back on track. </w:t>
            </w:r>
          </w:p>
        </w:tc>
      </w:tr>
      <w:tr w:rsidR="00874A0C" w:rsidRPr="00A21682" w14:paraId="248905F9" w14:textId="77777777" w:rsidTr="00C63D1B">
        <w:trPr>
          <w:cantSplit/>
        </w:trPr>
        <w:tc>
          <w:tcPr>
            <w:cnfStyle w:val="001000000000" w:firstRow="0" w:lastRow="0" w:firstColumn="1" w:lastColumn="0" w:oddVBand="0" w:evenVBand="0" w:oddHBand="0" w:evenHBand="0" w:firstRowFirstColumn="0" w:firstRowLastColumn="0" w:lastRowFirstColumn="0" w:lastRowLastColumn="0"/>
            <w:tcW w:w="912" w:type="pct"/>
            <w:shd w:val="clear" w:color="auto" w:fill="FF0000"/>
            <w:vAlign w:val="center"/>
          </w:tcPr>
          <w:p w14:paraId="2C0FC4BC" w14:textId="77777777" w:rsidR="008960FC" w:rsidRPr="00A21682" w:rsidRDefault="008960FC" w:rsidP="00C63D1B">
            <w:pPr>
              <w:pStyle w:val="TABLETEXT1"/>
              <w:rPr>
                <w:shd w:val="clear" w:color="auto" w:fill="FFFFFF"/>
                <w:lang w:val="en-US"/>
              </w:rPr>
            </w:pPr>
            <w:r>
              <w:rPr>
                <w:color w:val="FFFFFF" w:themeColor="background1"/>
                <w:lang w:val="en-US"/>
              </w:rPr>
              <w:t>Off-Track</w:t>
            </w:r>
          </w:p>
        </w:tc>
        <w:tc>
          <w:tcPr>
            <w:tcW w:w="1203" w:type="pct"/>
            <w:vAlign w:val="center"/>
          </w:tcPr>
          <w:p w14:paraId="73FB302B" w14:textId="77777777" w:rsidR="008960FC"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SPI ≤ 0.90 or </w:t>
            </w:r>
            <w:r>
              <w:rPr>
                <w:lang w:val="en-US"/>
              </w:rPr>
              <w:br/>
              <w:t>SPI ≥ 1.10</w:t>
            </w:r>
          </w:p>
        </w:tc>
        <w:tc>
          <w:tcPr>
            <w:tcW w:w="2885" w:type="pct"/>
            <w:vAlign w:val="center"/>
          </w:tcPr>
          <w:p w14:paraId="3B7B4F9D" w14:textId="759ADF83" w:rsidR="00C63D1B"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When an Off-Track variance in the SPI occurs, this indicates that the project requires immediate mitigation measures. ███████ will log the SPI as an issue and implement mitigation actions to get the project schedule back on track (i.e., to At-Risk and ultimately On-Track status).</w:t>
            </w:r>
          </w:p>
          <w:p w14:paraId="0673D397" w14:textId="5AFFBEBD" w:rsidR="008960FC" w:rsidRPr="00A21682" w:rsidRDefault="008960FC" w:rsidP="00C63D1B">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An SPI ≥ 1.10 Indicates that the project is ahead of schedule. In these instances, Deloitte will conduct a review and assessment as to why the SPI is not more closely aligned with the On-Track variance.</w:t>
            </w:r>
          </w:p>
        </w:tc>
      </w:tr>
    </w:tbl>
    <w:p w14:paraId="37B6EB30" w14:textId="47090298" w:rsidR="008960FC" w:rsidRPr="00A21682" w:rsidRDefault="008960FC" w:rsidP="00B62CB4">
      <w:pPr>
        <w:pStyle w:val="Caption"/>
        <w:rPr>
          <w:noProof w:val="0"/>
          <w:shd w:val="clear" w:color="auto" w:fill="FFFFFF"/>
        </w:rPr>
      </w:pPr>
      <w:bookmarkStart w:id="4152" w:name="_Toc151389911"/>
      <w:bookmarkStart w:id="4153" w:name="_Toc192875215"/>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2</w:t>
      </w:r>
      <w:r>
        <w:rPr>
          <w:noProof w:val="0"/>
          <w:shd w:val="clear" w:color="auto" w:fill="FFFFFF"/>
        </w:rPr>
        <w:fldChar w:fldCharType="end"/>
      </w:r>
      <w:r>
        <w:rPr>
          <w:noProof w:val="0"/>
          <w:shd w:val="clear" w:color="auto" w:fill="FFFFFF"/>
        </w:rPr>
        <w:t>: SPI Variance Types</w:t>
      </w:r>
      <w:bookmarkEnd w:id="4152"/>
      <w:bookmarkEnd w:id="4153"/>
    </w:p>
    <w:p w14:paraId="7F696015" w14:textId="77777777" w:rsidR="008960FC" w:rsidRPr="00A21682" w:rsidRDefault="008960FC" w:rsidP="009E416C">
      <w:pPr>
        <w:pStyle w:val="Heading3"/>
      </w:pPr>
      <w:bookmarkStart w:id="4154" w:name="_Toc151389888"/>
      <w:bookmarkStart w:id="4155" w:name="_Toc177119634"/>
      <w:bookmarkStart w:id="4156" w:name="_Toc185952898"/>
      <w:bookmarkStart w:id="4157" w:name="_Toc192874994"/>
      <w:r>
        <w:t>Stakeholder Engagement</w:t>
      </w:r>
      <w:bookmarkEnd w:id="4154"/>
      <w:bookmarkEnd w:id="4155"/>
      <w:bookmarkEnd w:id="4156"/>
      <w:bookmarkEnd w:id="4157"/>
    </w:p>
    <w:p w14:paraId="0898090F" w14:textId="06CDBD62" w:rsidR="008960FC" w:rsidRPr="00A21682" w:rsidRDefault="008960FC" w:rsidP="00C63D1B">
      <w:pPr>
        <w:pStyle w:val="NormalNEW"/>
        <w:rPr>
          <w:lang w:val="en-US"/>
        </w:rPr>
      </w:pPr>
      <w:r>
        <w:rPr>
          <w:lang w:val="en-US"/>
        </w:rPr>
        <w:t xml:space="preserve">███████ will include SPI in the PSR. During the PSR meeting, ███████ and DOH OHIP will discuss the SPI, contributing factors, and mitigation measures for any potential risks or realized issues. The inclusion of SPI in the PSR helps confirm that schedule performance monitoring is not a one-time assessment but rather a continuous improvement process throughout the life cycle of Continuing Medicaid Eligibility Modernization. </w:t>
      </w:r>
    </w:p>
    <w:p w14:paraId="4BA028A4" w14:textId="77777777" w:rsidR="008960FC" w:rsidRPr="00A21682" w:rsidRDefault="008960FC" w:rsidP="009E416C">
      <w:pPr>
        <w:pStyle w:val="Heading3"/>
      </w:pPr>
      <w:bookmarkStart w:id="4158" w:name="_Toc151389889"/>
      <w:bookmarkStart w:id="4159" w:name="_Toc177119635"/>
      <w:bookmarkStart w:id="4160" w:name="_Toc185952899"/>
      <w:bookmarkStart w:id="4161" w:name="_Toc192874995"/>
      <w:r>
        <w:t>Sample SPI Dashboard</w:t>
      </w:r>
      <w:bookmarkEnd w:id="4158"/>
      <w:bookmarkEnd w:id="4159"/>
      <w:bookmarkEnd w:id="4160"/>
      <w:bookmarkEnd w:id="4161"/>
    </w:p>
    <w:p w14:paraId="5A43EB27" w14:textId="1720F532" w:rsidR="008960FC" w:rsidRPr="00A21682" w:rsidRDefault="008960FC" w:rsidP="00C63D1B">
      <w:pPr>
        <w:pStyle w:val="NormalNEW"/>
        <w:rPr>
          <w:lang w:val="en-US"/>
        </w:rPr>
      </w:pPr>
      <w:r>
        <w:rPr>
          <w:lang w:val="en-US"/>
        </w:rPr>
        <w:t xml:space="preserve">Below is an example of an SPI dashboard used to depict project schedule performance within the bounds of the agreed-upon threshold and variance metrics. Upon finalizing the SPI dashboard for the Continuing Medicaid Eligibility Modernization project, it will be included as part of the PSR. </w:t>
      </w:r>
    </w:p>
    <w:p w14:paraId="7AA10D42" w14:textId="77777777" w:rsidR="008960FC" w:rsidRPr="00A21682" w:rsidRDefault="008960FC" w:rsidP="00595D26">
      <w:pPr>
        <w:pStyle w:val="NormalNEW"/>
        <w:rPr>
          <w:lang w:val="en-US"/>
        </w:rPr>
      </w:pPr>
      <w:r>
        <w:rPr>
          <w:noProof/>
          <w:lang w:val="en-US"/>
        </w:rPr>
        <w:lastRenderedPageBreak/>
        <w:drawing>
          <wp:inline distT="0" distB="0" distL="0" distR="0" wp14:anchorId="1D3E35C1" wp14:editId="6E480039">
            <wp:extent cx="5930900" cy="4014470"/>
            <wp:effectExtent l="19050" t="19050" r="12700" b="2413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30900" cy="4014470"/>
                    </a:xfrm>
                    <a:prstGeom prst="rect">
                      <a:avLst/>
                    </a:prstGeom>
                    <a:noFill/>
                    <a:ln w="9525">
                      <a:solidFill>
                        <a:schemeClr val="tx1"/>
                      </a:solidFill>
                    </a:ln>
                  </pic:spPr>
                </pic:pic>
              </a:graphicData>
            </a:graphic>
          </wp:inline>
        </w:drawing>
      </w:r>
    </w:p>
    <w:p w14:paraId="0F8691DE" w14:textId="1D768B07" w:rsidR="008960FC" w:rsidRPr="00A21682" w:rsidRDefault="008960FC" w:rsidP="00F422EF">
      <w:pPr>
        <w:pStyle w:val="Caption"/>
        <w:rPr>
          <w:noProof w:val="0"/>
          <w:shd w:val="clear" w:color="auto" w:fill="FFFFFF"/>
        </w:rPr>
      </w:pPr>
      <w:bookmarkStart w:id="4162" w:name="_Toc151389935"/>
      <w:bookmarkStart w:id="4163" w:name="_Toc178152074"/>
      <w:bookmarkStart w:id="4164" w:name="_Toc192875082"/>
      <w:r>
        <w:rPr>
          <w:noProof w:val="0"/>
          <w:shd w:val="clear" w:color="auto" w:fill="FFFFFF"/>
        </w:rPr>
        <w:t xml:space="preserve">Figure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t>-</w:t>
      </w:r>
      <w:r>
        <w:rPr>
          <w:noProof w:val="0"/>
          <w:shd w:val="clear" w:color="auto" w:fill="FFFFFF"/>
        </w:rPr>
        <w:fldChar w:fldCharType="begin"/>
      </w:r>
      <w:r>
        <w:rPr>
          <w:noProof w:val="0"/>
          <w:shd w:val="clear" w:color="auto" w:fill="FFFFFF"/>
        </w:rPr>
        <w:instrText xml:space="preserve"> SEQ Figure \* ARABIC \s 1 </w:instrText>
      </w:r>
      <w:r>
        <w:rPr>
          <w:noProof w:val="0"/>
          <w:shd w:val="clear" w:color="auto" w:fill="FFFFFF"/>
        </w:rPr>
        <w:fldChar w:fldCharType="separate"/>
      </w:r>
      <w:r>
        <w:rPr>
          <w:noProof w:val="0"/>
          <w:shd w:val="clear" w:color="auto" w:fill="FFFFFF"/>
        </w:rPr>
        <w:t>2</w:t>
      </w:r>
      <w:r>
        <w:rPr>
          <w:noProof w:val="0"/>
          <w:shd w:val="clear" w:color="auto" w:fill="FFFFFF"/>
        </w:rPr>
        <w:fldChar w:fldCharType="end"/>
      </w:r>
      <w:r>
        <w:rPr>
          <w:noProof w:val="0"/>
          <w:shd w:val="clear" w:color="auto" w:fill="FFFFFF"/>
        </w:rPr>
        <w:t>: Sample SPI Dashboard</w:t>
      </w:r>
      <w:bookmarkEnd w:id="4162"/>
      <w:bookmarkEnd w:id="4163"/>
      <w:bookmarkEnd w:id="4164"/>
    </w:p>
    <w:p w14:paraId="3896B2E9" w14:textId="318F4498" w:rsidR="008960FC" w:rsidRPr="00A21682" w:rsidRDefault="008960FC">
      <w:pPr>
        <w:pStyle w:val="Heading2"/>
        <w:rPr>
          <w:shd w:val="clear" w:color="auto" w:fill="FFFFFF"/>
        </w:rPr>
      </w:pPr>
      <w:bookmarkStart w:id="4165" w:name="_Toc151389890"/>
      <w:bookmarkStart w:id="4166" w:name="_Toc177119636"/>
      <w:bookmarkStart w:id="4167" w:name="_Toc185952900"/>
      <w:bookmarkStart w:id="4168" w:name="_Toc192874996"/>
      <w:r>
        <w:rPr>
          <w:shd w:val="clear" w:color="auto" w:fill="FFFFFF"/>
        </w:rPr>
        <w:t>Work Plan</w:t>
      </w:r>
      <w:bookmarkEnd w:id="4137"/>
      <w:bookmarkEnd w:id="4138"/>
      <w:bookmarkEnd w:id="4139"/>
      <w:bookmarkEnd w:id="4165"/>
      <w:bookmarkEnd w:id="4166"/>
      <w:bookmarkEnd w:id="4167"/>
      <w:bookmarkEnd w:id="4168"/>
    </w:p>
    <w:p w14:paraId="434E8896" w14:textId="43818DE3" w:rsidR="00354A45" w:rsidRPr="00A21682" w:rsidRDefault="00354A45" w:rsidP="00354A45">
      <w:pPr>
        <w:pStyle w:val="NormalNEW"/>
        <w:rPr>
          <w:lang w:val="en-US"/>
        </w:rPr>
      </w:pPr>
      <w:r>
        <w:rPr>
          <w:lang w:val="en-US"/>
        </w:rPr>
        <w:t>The Work Plan uses all holidays from the NY State holiday calendar as the basis for working day exceptions. Additionally, the ███████ holiday calendar is factored in for tasks owned by ███████. The guidelines to account for State-specific holidays are in Section 11.5.4 Operational Quality,</w:t>
      </w:r>
      <w:r>
        <w:rPr>
          <w:i/>
          <w:iCs/>
          <w:lang w:val="en-US"/>
        </w:rPr>
        <w:t xml:space="preserve"> </w:t>
      </w:r>
      <w:r>
        <w:rPr>
          <w:lang w:val="en-US"/>
        </w:rPr>
        <w:t xml:space="preserve">under “Holiday Check.” </w:t>
      </w:r>
    </w:p>
    <w:p w14:paraId="1180EEE2" w14:textId="7CF00BF0" w:rsidR="008960FC" w:rsidRPr="00A21682" w:rsidRDefault="008960FC">
      <w:pPr>
        <w:pStyle w:val="Heading3"/>
        <w:rPr>
          <w:shd w:val="clear" w:color="auto" w:fill="FFFFFF"/>
        </w:rPr>
      </w:pPr>
      <w:bookmarkStart w:id="4169" w:name="_Toc177117333"/>
      <w:bookmarkStart w:id="4170" w:name="_Toc177118103"/>
      <w:bookmarkStart w:id="4171" w:name="_Toc177118870"/>
      <w:bookmarkStart w:id="4172" w:name="_Toc177119637"/>
      <w:bookmarkStart w:id="4173" w:name="_Toc178352136"/>
      <w:bookmarkStart w:id="4174" w:name="_Toc178353980"/>
      <w:bookmarkStart w:id="4175" w:name="_Toc178356094"/>
      <w:bookmarkStart w:id="4176" w:name="_Toc178358903"/>
      <w:bookmarkStart w:id="4177" w:name="_Toc178360875"/>
      <w:bookmarkStart w:id="4178" w:name="_Toc178373071"/>
      <w:bookmarkStart w:id="4179" w:name="_Toc184748699"/>
      <w:bookmarkStart w:id="4180" w:name="_Toc185950717"/>
      <w:bookmarkStart w:id="4181" w:name="_Toc186886300"/>
      <w:bookmarkStart w:id="4182" w:name="_Toc187430042"/>
      <w:bookmarkStart w:id="4183" w:name="_Toc188452418"/>
      <w:bookmarkStart w:id="4184" w:name="_Toc188621312"/>
      <w:bookmarkStart w:id="4185" w:name="_Toc148009284"/>
      <w:bookmarkStart w:id="4186" w:name="_Toc151389891"/>
      <w:bookmarkStart w:id="4187" w:name="_Toc177119638"/>
      <w:bookmarkStart w:id="4188" w:name="_Toc185952901"/>
      <w:bookmarkStart w:id="4189" w:name="_Toc192874997"/>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r>
        <w:rPr>
          <w:shd w:val="clear" w:color="auto" w:fill="FFFFFF"/>
        </w:rPr>
        <w:t>Core Contents</w:t>
      </w:r>
      <w:bookmarkEnd w:id="4185"/>
      <w:bookmarkEnd w:id="4186"/>
      <w:bookmarkEnd w:id="4187"/>
      <w:bookmarkEnd w:id="4188"/>
      <w:bookmarkEnd w:id="4189"/>
    </w:p>
    <w:p w14:paraId="1A591A89" w14:textId="6D44C6E5" w:rsidR="008960FC" w:rsidRPr="00A21682" w:rsidRDefault="008960FC" w:rsidP="00595D26">
      <w:pPr>
        <w:pStyle w:val="NormalNEW"/>
        <w:rPr>
          <w:lang w:val="en-US"/>
        </w:rPr>
      </w:pPr>
      <w:r>
        <w:rPr>
          <w:lang w:val="en-US"/>
        </w:rPr>
        <w:t>The Work Plan defines the planned timeline for the completion of project work activities, deliverables, and milestones throughout the project life cycle. The team uses this to monitor schedule variances during the project and to identify tasks that may cause the timeline to change.</w:t>
      </w:r>
    </w:p>
    <w:p w14:paraId="675BC9B7" w14:textId="6EAFBA8A" w:rsidR="008960FC" w:rsidRPr="00A21682" w:rsidRDefault="008960FC" w:rsidP="00595D26">
      <w:pPr>
        <w:pStyle w:val="NormalNEW"/>
        <w:rPr>
          <w:lang w:val="en-US"/>
        </w:rPr>
      </w:pPr>
      <w:r>
        <w:rPr>
          <w:lang w:val="en-US"/>
        </w:rPr>
        <w:t xml:space="preserve">The Work Plan will provide a “baselined” description of the work and scheduled deliverables for the Continuing Medicaid Eligibility Modernization project. Once the Work Plan is baselined, it is controlled in accordance with Section 11.3.2 Schedule Management Process Flow Narrative </w:t>
      </w:r>
      <w:r>
        <w:rPr>
          <w:i/>
          <w:iCs/>
          <w:lang w:val="en-US"/>
        </w:rPr>
        <w:t xml:space="preserve">Step #3.2 Refer to Integrated Change Control Process </w:t>
      </w:r>
      <w:r>
        <w:rPr>
          <w:lang w:val="en-US"/>
        </w:rPr>
        <w:t>and Section 11.6.6 Controlling the Schedule.</w:t>
      </w:r>
    </w:p>
    <w:p w14:paraId="47566A6A" w14:textId="7A67E10A" w:rsidR="008960FC" w:rsidRPr="00A21682" w:rsidRDefault="008960FC" w:rsidP="00595D26">
      <w:pPr>
        <w:pStyle w:val="NormalNEW"/>
        <w:keepNext/>
        <w:rPr>
          <w:lang w:val="en-US"/>
        </w:rPr>
      </w:pPr>
      <w:r>
        <w:rPr>
          <w:lang w:val="en-US"/>
        </w:rPr>
        <w:t xml:space="preserve">The Continuing Medicaid Eligibility Modernization Work Plan contains the following: </w:t>
      </w:r>
    </w:p>
    <w:p w14:paraId="593D44CA" w14:textId="77777777" w:rsidR="008960FC" w:rsidRPr="00A21682" w:rsidRDefault="008960FC" w:rsidP="0031550A">
      <w:pPr>
        <w:pStyle w:val="BulletNEW"/>
      </w:pPr>
      <w:r>
        <w:t>Tasks</w:t>
      </w:r>
    </w:p>
    <w:p w14:paraId="1E84E2E2" w14:textId="77777777" w:rsidR="008960FC" w:rsidRPr="00A21682" w:rsidRDefault="008960FC" w:rsidP="0031550A">
      <w:pPr>
        <w:pStyle w:val="BulletNEW"/>
      </w:pPr>
      <w:r>
        <w:t>Phases</w:t>
      </w:r>
    </w:p>
    <w:p w14:paraId="6B00C859" w14:textId="1D0FC4F1" w:rsidR="008960FC" w:rsidRPr="00A21682" w:rsidRDefault="008960FC">
      <w:pPr>
        <w:pStyle w:val="ListBullet2"/>
        <w:rPr>
          <w:lang w:val="en-US"/>
        </w:rPr>
      </w:pPr>
      <w:r>
        <w:rPr>
          <w:lang w:val="en-US"/>
        </w:rPr>
        <w:t>Project Initiation</w:t>
      </w:r>
    </w:p>
    <w:p w14:paraId="3EBB09D5" w14:textId="788318E3" w:rsidR="009F0BCB" w:rsidRPr="00A21682" w:rsidRDefault="009F0BCB">
      <w:pPr>
        <w:pStyle w:val="ListBullet2"/>
        <w:rPr>
          <w:lang w:val="en-US"/>
        </w:rPr>
      </w:pPr>
      <w:r>
        <w:rPr>
          <w:lang w:val="en-US"/>
        </w:rPr>
        <w:t>Planning</w:t>
      </w:r>
    </w:p>
    <w:p w14:paraId="00ACAF37" w14:textId="6A9EF202" w:rsidR="0056208A" w:rsidRPr="00A21682" w:rsidRDefault="0056208A">
      <w:pPr>
        <w:pStyle w:val="ListBullet2"/>
        <w:rPr>
          <w:lang w:val="en-US"/>
        </w:rPr>
      </w:pPr>
      <w:r>
        <w:rPr>
          <w:lang w:val="en-US"/>
        </w:rPr>
        <w:t>Monitor and Control</w:t>
      </w:r>
    </w:p>
    <w:p w14:paraId="1812ECC7" w14:textId="77777777" w:rsidR="008960FC" w:rsidRPr="00A21682" w:rsidRDefault="008960FC">
      <w:pPr>
        <w:pStyle w:val="ListBullet2"/>
        <w:rPr>
          <w:lang w:val="en-US"/>
        </w:rPr>
      </w:pPr>
      <w:r>
        <w:rPr>
          <w:lang w:val="en-US"/>
        </w:rPr>
        <w:lastRenderedPageBreak/>
        <w:t xml:space="preserve">Requirements </w:t>
      </w:r>
    </w:p>
    <w:p w14:paraId="40B64318" w14:textId="77777777" w:rsidR="008960FC" w:rsidRPr="00A21682" w:rsidRDefault="008960FC">
      <w:pPr>
        <w:pStyle w:val="ListBullet2"/>
        <w:rPr>
          <w:lang w:val="en-US"/>
        </w:rPr>
      </w:pPr>
      <w:r>
        <w:rPr>
          <w:lang w:val="en-US"/>
        </w:rPr>
        <w:t xml:space="preserve">Development </w:t>
      </w:r>
    </w:p>
    <w:p w14:paraId="4B7A2D9F" w14:textId="289B9E2D" w:rsidR="00DC61DC" w:rsidRPr="00A21682" w:rsidRDefault="00DC61DC">
      <w:pPr>
        <w:pStyle w:val="ListBullet2"/>
        <w:rPr>
          <w:lang w:val="en-US"/>
        </w:rPr>
      </w:pPr>
      <w:r>
        <w:rPr>
          <w:lang w:val="en-US"/>
        </w:rPr>
        <w:t>Interfaces</w:t>
      </w:r>
    </w:p>
    <w:p w14:paraId="3BEC5DCD" w14:textId="5289984D" w:rsidR="00DC61DC" w:rsidRPr="00A21682" w:rsidRDefault="00DC61DC">
      <w:pPr>
        <w:pStyle w:val="ListBullet2"/>
        <w:rPr>
          <w:lang w:val="en-US"/>
        </w:rPr>
      </w:pPr>
      <w:r>
        <w:rPr>
          <w:lang w:val="en-US"/>
        </w:rPr>
        <w:t>Data Conversion</w:t>
      </w:r>
    </w:p>
    <w:p w14:paraId="64136684" w14:textId="4813071B" w:rsidR="00DC61DC" w:rsidRPr="00A21682" w:rsidRDefault="00DC61DC">
      <w:pPr>
        <w:pStyle w:val="ListBullet2"/>
        <w:rPr>
          <w:lang w:val="en-US"/>
        </w:rPr>
      </w:pPr>
      <w:r>
        <w:rPr>
          <w:lang w:val="en-US"/>
        </w:rPr>
        <w:t>Technology</w:t>
      </w:r>
    </w:p>
    <w:p w14:paraId="78D89B43" w14:textId="2A17709A" w:rsidR="008C2670" w:rsidRPr="00A21682" w:rsidRDefault="008C2670">
      <w:pPr>
        <w:pStyle w:val="ListBullet2"/>
        <w:rPr>
          <w:lang w:val="en-US"/>
        </w:rPr>
      </w:pPr>
      <w:r>
        <w:rPr>
          <w:lang w:val="en-US"/>
        </w:rPr>
        <w:t>Security and Privacy</w:t>
      </w:r>
    </w:p>
    <w:p w14:paraId="2B38D001" w14:textId="17E8684D" w:rsidR="008960FC" w:rsidRPr="00A21682" w:rsidRDefault="00AF1395">
      <w:pPr>
        <w:pStyle w:val="ListBullet2"/>
        <w:rPr>
          <w:lang w:val="en-US"/>
        </w:rPr>
      </w:pPr>
      <w:r>
        <w:rPr>
          <w:lang w:val="en-US"/>
        </w:rPr>
        <w:t xml:space="preserve">Testing </w:t>
      </w:r>
    </w:p>
    <w:p w14:paraId="41769FCE" w14:textId="76F7E622" w:rsidR="00206E39" w:rsidRPr="00A21682" w:rsidRDefault="008960FC">
      <w:pPr>
        <w:pStyle w:val="ListBullet2"/>
        <w:rPr>
          <w:lang w:val="en-US"/>
        </w:rPr>
      </w:pPr>
      <w:r>
        <w:rPr>
          <w:lang w:val="en-US"/>
        </w:rPr>
        <w:t>UAT</w:t>
      </w:r>
    </w:p>
    <w:p w14:paraId="6A91F3BF" w14:textId="165CF453" w:rsidR="008960FC" w:rsidRPr="00A21682" w:rsidRDefault="008960FC">
      <w:pPr>
        <w:pStyle w:val="ListBullet2"/>
        <w:rPr>
          <w:lang w:val="en-US"/>
        </w:rPr>
      </w:pPr>
      <w:r>
        <w:rPr>
          <w:lang w:val="en-US"/>
        </w:rPr>
        <w:t>Production Implementation</w:t>
      </w:r>
    </w:p>
    <w:p w14:paraId="7C40D4D4" w14:textId="1F44AC2D" w:rsidR="008960FC" w:rsidRPr="00A21682" w:rsidRDefault="008960FC">
      <w:pPr>
        <w:pStyle w:val="ListBullet2"/>
        <w:spacing w:after="120"/>
        <w:rPr>
          <w:lang w:val="en-US"/>
        </w:rPr>
      </w:pPr>
      <w:r>
        <w:rPr>
          <w:lang w:val="en-US"/>
        </w:rPr>
        <w:t>Project Close-Out</w:t>
      </w:r>
    </w:p>
    <w:p w14:paraId="61BD0738" w14:textId="77777777" w:rsidR="005C3B44" w:rsidRPr="00A21682" w:rsidRDefault="00CD0AC2" w:rsidP="005C3B44">
      <w:pPr>
        <w:pStyle w:val="ListBullet2"/>
        <w:spacing w:after="120"/>
        <w:rPr>
          <w:lang w:val="en-US"/>
        </w:rPr>
      </w:pPr>
      <w:r>
        <w:rPr>
          <w:lang w:val="en-US"/>
        </w:rPr>
        <w:t>Enhancements</w:t>
      </w:r>
    </w:p>
    <w:p w14:paraId="6F933913" w14:textId="1F65C23E" w:rsidR="00C114CE" w:rsidRPr="00A21682" w:rsidRDefault="00CD0AC2" w:rsidP="00C114CE">
      <w:pPr>
        <w:pStyle w:val="ListBullet2"/>
        <w:spacing w:after="120"/>
        <w:rPr>
          <w:lang w:val="en-US"/>
        </w:rPr>
      </w:pPr>
      <w:r>
        <w:rPr>
          <w:lang w:val="en-US"/>
        </w:rPr>
        <w:t>Wave 1 Change Management</w:t>
      </w:r>
    </w:p>
    <w:p w14:paraId="5E31BF2D" w14:textId="77777777" w:rsidR="008960FC" w:rsidRPr="00A21682" w:rsidRDefault="008960FC" w:rsidP="0031550A">
      <w:pPr>
        <w:pStyle w:val="BulletNEW"/>
      </w:pPr>
      <w:r>
        <w:t>Milestones</w:t>
      </w:r>
    </w:p>
    <w:p w14:paraId="35800C6C" w14:textId="77777777" w:rsidR="008960FC" w:rsidRPr="00A21682" w:rsidRDefault="008960FC">
      <w:pPr>
        <w:pStyle w:val="ListBullet2"/>
        <w:rPr>
          <w:lang w:val="en-US"/>
        </w:rPr>
      </w:pPr>
      <w:r>
        <w:rPr>
          <w:lang w:val="en-US"/>
        </w:rPr>
        <w:t>Project Start and Project Finish</w:t>
      </w:r>
    </w:p>
    <w:p w14:paraId="0C69545E" w14:textId="77777777" w:rsidR="008960FC" w:rsidRPr="00A21682" w:rsidRDefault="008960FC">
      <w:pPr>
        <w:pStyle w:val="ListBullet2"/>
        <w:rPr>
          <w:lang w:val="en-US"/>
        </w:rPr>
      </w:pPr>
      <w:r>
        <w:rPr>
          <w:lang w:val="en-US"/>
        </w:rPr>
        <w:t>Phase completions</w:t>
      </w:r>
    </w:p>
    <w:p w14:paraId="3FD6586A" w14:textId="77777777" w:rsidR="008960FC" w:rsidRPr="00A21682" w:rsidRDefault="008960FC">
      <w:pPr>
        <w:pStyle w:val="ListBullet2"/>
        <w:rPr>
          <w:lang w:val="en-US"/>
        </w:rPr>
      </w:pPr>
      <w:r>
        <w:rPr>
          <w:lang w:val="en-US"/>
        </w:rPr>
        <w:t xml:space="preserve">Deliverables </w:t>
      </w:r>
    </w:p>
    <w:p w14:paraId="1D0AB22D" w14:textId="77777777" w:rsidR="008960FC" w:rsidRPr="00A21682" w:rsidRDefault="008960FC">
      <w:pPr>
        <w:pStyle w:val="ListBullet2"/>
        <w:spacing w:after="120"/>
        <w:rPr>
          <w:lang w:val="en-US"/>
        </w:rPr>
      </w:pPr>
      <w:r>
        <w:rPr>
          <w:lang w:val="en-US"/>
        </w:rPr>
        <w:t>Key events (e.g., Go-Lives, Kick-Offs)</w:t>
      </w:r>
    </w:p>
    <w:p w14:paraId="3E622FC1" w14:textId="77777777" w:rsidR="008960FC" w:rsidRPr="00A21682" w:rsidRDefault="008960FC" w:rsidP="0031550A">
      <w:pPr>
        <w:pStyle w:val="BulletNEW"/>
      </w:pPr>
      <w:r>
        <w:t>Duration (the span in days between the Start and Finish date of each task)</w:t>
      </w:r>
    </w:p>
    <w:p w14:paraId="57CEDCEC" w14:textId="77777777" w:rsidR="008960FC" w:rsidRPr="00A21682" w:rsidRDefault="008960FC" w:rsidP="0031550A">
      <w:pPr>
        <w:pStyle w:val="BulletNEW"/>
      </w:pPr>
      <w:r>
        <w:t>Dependencies (a set of predecessors and successors)</w:t>
      </w:r>
    </w:p>
    <w:p w14:paraId="35FE3376" w14:textId="0A5DF1F3" w:rsidR="008960FC" w:rsidRPr="00A21682" w:rsidRDefault="008960FC" w:rsidP="0031550A">
      <w:pPr>
        <w:pStyle w:val="BulletNEW"/>
      </w:pPr>
      <w:r>
        <w:t>Responsible resources (███████ and/or State Team(s) responsible for tasks and/or deliverables)</w:t>
      </w:r>
    </w:p>
    <w:p w14:paraId="7408F4A7" w14:textId="5795BF5C" w:rsidR="008960FC" w:rsidRPr="00A21682" w:rsidRDefault="008960FC" w:rsidP="0031550A">
      <w:pPr>
        <w:pStyle w:val="BulletNEW"/>
      </w:pPr>
      <w:r>
        <w:t>Critical Path Tasks</w:t>
      </w:r>
    </w:p>
    <w:p w14:paraId="169EB31E" w14:textId="03A7E2FC" w:rsidR="008960FC" w:rsidRPr="00A21682" w:rsidRDefault="008960FC">
      <w:pPr>
        <w:pStyle w:val="Heading3"/>
        <w:rPr>
          <w:shd w:val="clear" w:color="auto" w:fill="FFFFFF"/>
        </w:rPr>
      </w:pPr>
      <w:bookmarkStart w:id="4190" w:name="_Toc143601399"/>
      <w:bookmarkStart w:id="4191" w:name="_Toc144466112"/>
      <w:bookmarkStart w:id="4192" w:name="_Toc148009285"/>
      <w:bookmarkStart w:id="4193" w:name="_Toc151389892"/>
      <w:bookmarkStart w:id="4194" w:name="_Toc177119639"/>
      <w:bookmarkStart w:id="4195" w:name="_Toc185952902"/>
      <w:bookmarkStart w:id="4196" w:name="_Toc192874998"/>
      <w:r>
        <w:rPr>
          <w:shd w:val="clear" w:color="auto" w:fill="FFFFFF"/>
        </w:rPr>
        <w:t>Work Plan Fields</w:t>
      </w:r>
      <w:bookmarkEnd w:id="4190"/>
      <w:bookmarkEnd w:id="4191"/>
      <w:bookmarkEnd w:id="4192"/>
      <w:bookmarkEnd w:id="4193"/>
      <w:bookmarkEnd w:id="4194"/>
      <w:bookmarkEnd w:id="4195"/>
      <w:bookmarkEnd w:id="4196"/>
    </w:p>
    <w:p w14:paraId="614A3088" w14:textId="7CE3B057" w:rsidR="008960FC" w:rsidRPr="00A21682" w:rsidRDefault="008960FC" w:rsidP="00595D26">
      <w:pPr>
        <w:pStyle w:val="NormalNEW"/>
        <w:rPr>
          <w:lang w:val="en-US"/>
        </w:rPr>
      </w:pPr>
      <w:r>
        <w:rPr>
          <w:lang w:val="en-US"/>
        </w:rPr>
        <w:t>The table below includes the list of fields included in the Work Plan.</w:t>
      </w:r>
      <w:r>
        <w:rPr>
          <w:b/>
          <w:lang w:val="en-US"/>
        </w:rPr>
        <w:t xml:space="preserve"> </w:t>
      </w:r>
    </w:p>
    <w:tbl>
      <w:tblPr>
        <w:tblW w:w="93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1435"/>
        <w:gridCol w:w="7922"/>
      </w:tblGrid>
      <w:tr w:rsidR="008960FC" w:rsidRPr="00A21682" w14:paraId="7E66629F" w14:textId="77777777" w:rsidTr="00541FC2">
        <w:trPr>
          <w:trHeight w:val="151"/>
          <w:tblHeader/>
        </w:trPr>
        <w:tc>
          <w:tcPr>
            <w:tcW w:w="1435" w:type="dxa"/>
            <w:tcBorders>
              <w:right w:val="single" w:sz="2" w:space="0" w:color="FFFFFF" w:themeColor="background1"/>
            </w:tcBorders>
            <w:shd w:val="clear" w:color="auto" w:fill="000000" w:themeFill="text1"/>
          </w:tcPr>
          <w:p w14:paraId="7634B8CE" w14:textId="77777777" w:rsidR="008960FC" w:rsidRPr="00A21682" w:rsidRDefault="008960FC" w:rsidP="00047C4E">
            <w:pPr>
              <w:pStyle w:val="TABLEHEADINGNEW"/>
            </w:pPr>
            <w:r>
              <w:t>Item</w:t>
            </w:r>
          </w:p>
        </w:tc>
        <w:tc>
          <w:tcPr>
            <w:tcW w:w="7922" w:type="dxa"/>
            <w:tcBorders>
              <w:left w:val="single" w:sz="2" w:space="0" w:color="FFFFFF" w:themeColor="background1"/>
            </w:tcBorders>
            <w:shd w:val="clear" w:color="auto" w:fill="000000" w:themeFill="text1"/>
          </w:tcPr>
          <w:p w14:paraId="5FA2AA26" w14:textId="77777777" w:rsidR="008960FC" w:rsidRPr="00A21682" w:rsidRDefault="008960FC" w:rsidP="00047C4E">
            <w:pPr>
              <w:pStyle w:val="TABLEHEADINGNEW"/>
            </w:pPr>
            <w:r>
              <w:t>Details</w:t>
            </w:r>
          </w:p>
        </w:tc>
      </w:tr>
      <w:tr w:rsidR="00467BBC" w:rsidRPr="00A21682" w14:paraId="47A9235A" w14:textId="77777777" w:rsidTr="00047C4E">
        <w:trPr>
          <w:trHeight w:val="300"/>
        </w:trPr>
        <w:tc>
          <w:tcPr>
            <w:tcW w:w="1435" w:type="dxa"/>
          </w:tcPr>
          <w:p w14:paraId="6188FB2A" w14:textId="58A86510" w:rsidR="00467BBC" w:rsidRPr="00A21682" w:rsidRDefault="00467BBC" w:rsidP="00047C4E">
            <w:pPr>
              <w:pStyle w:val="TABLETEXT1"/>
              <w:rPr>
                <w:lang w:val="en-US"/>
              </w:rPr>
            </w:pPr>
            <w:r>
              <w:rPr>
                <w:lang w:val="en-US"/>
              </w:rPr>
              <w:t>WBS</w:t>
            </w:r>
          </w:p>
        </w:tc>
        <w:tc>
          <w:tcPr>
            <w:tcW w:w="7922" w:type="dxa"/>
          </w:tcPr>
          <w:p w14:paraId="5F1870B8" w14:textId="4ECD5E83" w:rsidR="00467BBC" w:rsidRPr="00A21682" w:rsidRDefault="00FE0B02" w:rsidP="00047C4E">
            <w:pPr>
              <w:pStyle w:val="TABLETEXT1"/>
              <w:rPr>
                <w:lang w:val="en-US"/>
              </w:rPr>
            </w:pPr>
            <w:r>
              <w:rPr>
                <w:lang w:val="en-US"/>
              </w:rPr>
              <w:t xml:space="preserve">A Work Breakdown Structure (WBS) is a hierarchy of the work that will be done for a project. It represents the project team’s understanding of the composition of work and includes the size and duration of each component. </w:t>
            </w:r>
          </w:p>
        </w:tc>
      </w:tr>
      <w:tr w:rsidR="00467BBC" w:rsidRPr="00A21682" w14:paraId="51C21A3B" w14:textId="77777777" w:rsidTr="00047C4E">
        <w:trPr>
          <w:trHeight w:val="300"/>
        </w:trPr>
        <w:tc>
          <w:tcPr>
            <w:tcW w:w="1435" w:type="dxa"/>
          </w:tcPr>
          <w:p w14:paraId="37C6D315" w14:textId="5839399E" w:rsidR="00467BBC" w:rsidRPr="00A21682" w:rsidRDefault="00467BBC" w:rsidP="00047C4E">
            <w:pPr>
              <w:pStyle w:val="TABLETEXT1"/>
              <w:rPr>
                <w:lang w:val="en-US"/>
              </w:rPr>
            </w:pPr>
            <w:r>
              <w:rPr>
                <w:lang w:val="en-US"/>
              </w:rPr>
              <w:t>SPI</w:t>
            </w:r>
          </w:p>
        </w:tc>
        <w:tc>
          <w:tcPr>
            <w:tcW w:w="7922" w:type="dxa"/>
          </w:tcPr>
          <w:p w14:paraId="619CA711" w14:textId="165AFD41" w:rsidR="00467BBC" w:rsidRPr="00A21682" w:rsidRDefault="003B15DC" w:rsidP="00047C4E">
            <w:pPr>
              <w:pStyle w:val="TABLETEXT1"/>
              <w:rPr>
                <w:lang w:val="en-US"/>
              </w:rPr>
            </w:pPr>
            <w:r>
              <w:rPr>
                <w:rStyle w:val="Strong"/>
                <w:b w:val="0"/>
                <w:lang w:val="en-US"/>
              </w:rPr>
              <w:t>The Schedule Performance Index (SPI)</w:t>
            </w:r>
            <w:r>
              <w:rPr>
                <w:lang w:val="en-US"/>
              </w:rPr>
              <w:t xml:space="preserve"> is a performance indicator that measures the efficiency of time utilization in a project. It is calculated by dividing the hours spent, based on percent complete, by the total planned number of hours for each task. The Work Plan allocates 8 hours per day per team for each task to calculate the total hours worked. </w:t>
            </w:r>
          </w:p>
        </w:tc>
      </w:tr>
      <w:tr w:rsidR="00467BBC" w:rsidRPr="00A21682" w14:paraId="78B557AD" w14:textId="77777777" w:rsidTr="00047C4E">
        <w:trPr>
          <w:trHeight w:val="300"/>
        </w:trPr>
        <w:tc>
          <w:tcPr>
            <w:tcW w:w="1435" w:type="dxa"/>
          </w:tcPr>
          <w:p w14:paraId="01F803A8" w14:textId="23493E2A" w:rsidR="00467BBC" w:rsidRPr="00A21682" w:rsidRDefault="00467BBC" w:rsidP="00467BBC">
            <w:pPr>
              <w:pStyle w:val="TABLETEXT1"/>
              <w:rPr>
                <w:lang w:val="en-US"/>
              </w:rPr>
            </w:pPr>
            <w:r>
              <w:rPr>
                <w:lang w:val="en-US"/>
              </w:rPr>
              <w:t>% Complete</w:t>
            </w:r>
          </w:p>
        </w:tc>
        <w:tc>
          <w:tcPr>
            <w:tcW w:w="7922" w:type="dxa"/>
          </w:tcPr>
          <w:p w14:paraId="22B0EE5E" w14:textId="4BE29B70" w:rsidR="00467BBC" w:rsidRPr="00A21682" w:rsidRDefault="00467BBC" w:rsidP="00467BBC">
            <w:pPr>
              <w:pStyle w:val="TABLETEXT1"/>
              <w:rPr>
                <w:lang w:val="en-US"/>
              </w:rPr>
            </w:pPr>
            <w:r>
              <w:rPr>
                <w:lang w:val="en-US"/>
              </w:rPr>
              <w:t>This is a Microsoft Project default attribute and is tracked in percentage (%).</w:t>
            </w:r>
          </w:p>
        </w:tc>
      </w:tr>
      <w:tr w:rsidR="00467BBC" w:rsidRPr="00A21682" w14:paraId="346A3E20" w14:textId="77777777" w:rsidTr="00047C4E">
        <w:trPr>
          <w:trHeight w:val="300"/>
        </w:trPr>
        <w:tc>
          <w:tcPr>
            <w:tcW w:w="1435" w:type="dxa"/>
          </w:tcPr>
          <w:p w14:paraId="1852C89A" w14:textId="4DB2577F" w:rsidR="00467BBC" w:rsidRPr="00A21682" w:rsidRDefault="00467BBC" w:rsidP="00467BBC">
            <w:pPr>
              <w:pStyle w:val="TABLETEXT1"/>
              <w:rPr>
                <w:lang w:val="en-US"/>
              </w:rPr>
            </w:pPr>
            <w:r>
              <w:rPr>
                <w:lang w:val="en-US"/>
              </w:rPr>
              <w:t>Status</w:t>
            </w:r>
          </w:p>
        </w:tc>
        <w:tc>
          <w:tcPr>
            <w:tcW w:w="7922" w:type="dxa"/>
          </w:tcPr>
          <w:p w14:paraId="3AE66981" w14:textId="5BFA031B" w:rsidR="00467BBC" w:rsidRPr="00A21682" w:rsidRDefault="00030B35" w:rsidP="00467BBC">
            <w:pPr>
              <w:pStyle w:val="TABLETEXT1"/>
              <w:rPr>
                <w:lang w:val="en-US"/>
              </w:rPr>
            </w:pPr>
            <w:r>
              <w:rPr>
                <w:lang w:val="en-US"/>
              </w:rPr>
              <w:t>This field indicates the current status of a task based on SPI, specifying whether the task is Complete, On Schedule, Late, or a Future Task.</w:t>
            </w:r>
          </w:p>
        </w:tc>
      </w:tr>
      <w:tr w:rsidR="008960FC" w:rsidRPr="00A21682" w14:paraId="11522058" w14:textId="77777777" w:rsidTr="00047C4E">
        <w:trPr>
          <w:trHeight w:val="300"/>
        </w:trPr>
        <w:tc>
          <w:tcPr>
            <w:tcW w:w="1435" w:type="dxa"/>
          </w:tcPr>
          <w:p w14:paraId="38E26067" w14:textId="77777777" w:rsidR="008960FC" w:rsidRPr="00A21682" w:rsidRDefault="008960FC" w:rsidP="00047C4E">
            <w:pPr>
              <w:pStyle w:val="TABLETEXT1"/>
              <w:rPr>
                <w:lang w:val="en-US"/>
              </w:rPr>
            </w:pPr>
            <w:r>
              <w:rPr>
                <w:lang w:val="en-US"/>
              </w:rPr>
              <w:t>Task Name</w:t>
            </w:r>
          </w:p>
        </w:tc>
        <w:tc>
          <w:tcPr>
            <w:tcW w:w="7922" w:type="dxa"/>
          </w:tcPr>
          <w:p w14:paraId="5F9925F5" w14:textId="4178B9B3" w:rsidR="008960FC" w:rsidRPr="00A21682" w:rsidRDefault="008960FC" w:rsidP="00047C4E">
            <w:pPr>
              <w:pStyle w:val="TABLETEXT1"/>
              <w:rPr>
                <w:lang w:val="en-US"/>
              </w:rPr>
            </w:pPr>
            <w:r>
              <w:rPr>
                <w:lang w:val="en-US"/>
              </w:rPr>
              <w:t>Tasks should be formulated as a phrased length synopsis of the activity being performed and utilizes Verb-Noun form. The description of an activity or milestone is brief, but specific enough to differentiate it from other similar activities in the schedule.</w:t>
            </w:r>
          </w:p>
        </w:tc>
      </w:tr>
      <w:tr w:rsidR="008960FC" w:rsidRPr="00A21682" w14:paraId="21938759" w14:textId="77777777" w:rsidTr="00047C4E">
        <w:trPr>
          <w:trHeight w:val="300"/>
        </w:trPr>
        <w:tc>
          <w:tcPr>
            <w:tcW w:w="1435" w:type="dxa"/>
          </w:tcPr>
          <w:p w14:paraId="16AF7882" w14:textId="77777777" w:rsidR="008960FC" w:rsidRPr="00A21682" w:rsidRDefault="008960FC" w:rsidP="00047C4E">
            <w:pPr>
              <w:pStyle w:val="TABLETEXT1"/>
              <w:rPr>
                <w:lang w:val="en-US"/>
              </w:rPr>
            </w:pPr>
            <w:r>
              <w:rPr>
                <w:lang w:val="en-US"/>
              </w:rPr>
              <w:t>Duration</w:t>
            </w:r>
          </w:p>
        </w:tc>
        <w:tc>
          <w:tcPr>
            <w:tcW w:w="7922" w:type="dxa"/>
          </w:tcPr>
          <w:p w14:paraId="64AED0F7" w14:textId="77777777" w:rsidR="008960FC" w:rsidRPr="00A21682" w:rsidRDefault="008960FC" w:rsidP="00047C4E">
            <w:pPr>
              <w:pStyle w:val="TABLETEXT1"/>
              <w:rPr>
                <w:lang w:val="en-US"/>
              </w:rPr>
            </w:pPr>
            <w:r>
              <w:rPr>
                <w:lang w:val="en-US"/>
              </w:rPr>
              <w:t xml:space="preserve">This is a Microsoft Project default attribute and is tracked in days. Duration is the amount of working time, displayed in days, from the start to finish of an activity (task). It is the total span of active working time for an activity (task) as entered or </w:t>
            </w:r>
            <w:r>
              <w:rPr>
                <w:lang w:val="en-US"/>
              </w:rPr>
              <w:lastRenderedPageBreak/>
              <w:t>calculated automatically based on start date, finish date, calendars, and other scheduling factors, like dependencies.</w:t>
            </w:r>
          </w:p>
        </w:tc>
      </w:tr>
      <w:tr w:rsidR="008960FC" w:rsidRPr="00A21682" w14:paraId="418A3534" w14:textId="77777777" w:rsidTr="00047C4E">
        <w:trPr>
          <w:trHeight w:val="300"/>
        </w:trPr>
        <w:tc>
          <w:tcPr>
            <w:tcW w:w="1435" w:type="dxa"/>
          </w:tcPr>
          <w:p w14:paraId="33BC1F39" w14:textId="77777777" w:rsidR="008960FC" w:rsidRPr="00A21682" w:rsidRDefault="008960FC" w:rsidP="00047C4E">
            <w:pPr>
              <w:pStyle w:val="TABLETEXT1"/>
              <w:rPr>
                <w:lang w:val="en-US"/>
              </w:rPr>
            </w:pPr>
            <w:r>
              <w:rPr>
                <w:lang w:val="en-US"/>
              </w:rPr>
              <w:t>Start</w:t>
            </w:r>
          </w:p>
        </w:tc>
        <w:tc>
          <w:tcPr>
            <w:tcW w:w="7922" w:type="dxa"/>
          </w:tcPr>
          <w:p w14:paraId="5306A8E5" w14:textId="7E0618BA" w:rsidR="008960FC" w:rsidRPr="00A21682" w:rsidRDefault="008960FC" w:rsidP="00047C4E">
            <w:pPr>
              <w:pStyle w:val="TABLETEXT1"/>
              <w:rPr>
                <w:lang w:val="en-US"/>
              </w:rPr>
            </w:pPr>
            <w:r>
              <w:rPr>
                <w:lang w:val="en-US"/>
              </w:rPr>
              <w:t>This is a Microsoft Project default attribute and is formatted in the Microsoft Project Default setting of abbreviated day and mm/dd/yyyy date. It denotes the intended start date of a task. An Activity Start Date is the date a project activity is expected to begin and/or actually begins. Activity Start Date may also represent the date when a predecessor activity may end, which serves as the start date for a successor activity.</w:t>
            </w:r>
          </w:p>
        </w:tc>
      </w:tr>
      <w:tr w:rsidR="008960FC" w:rsidRPr="00A21682" w14:paraId="64FB90C9" w14:textId="77777777" w:rsidTr="00047C4E">
        <w:trPr>
          <w:trHeight w:val="300"/>
        </w:trPr>
        <w:tc>
          <w:tcPr>
            <w:tcW w:w="1435" w:type="dxa"/>
          </w:tcPr>
          <w:p w14:paraId="6E27E7D3" w14:textId="77777777" w:rsidR="008960FC" w:rsidRPr="00A21682" w:rsidRDefault="008960FC" w:rsidP="00047C4E">
            <w:pPr>
              <w:pStyle w:val="TABLETEXT1"/>
              <w:rPr>
                <w:lang w:val="en-US"/>
              </w:rPr>
            </w:pPr>
            <w:r>
              <w:rPr>
                <w:lang w:val="en-US"/>
              </w:rPr>
              <w:t>Finish</w:t>
            </w:r>
          </w:p>
        </w:tc>
        <w:tc>
          <w:tcPr>
            <w:tcW w:w="7922" w:type="dxa"/>
          </w:tcPr>
          <w:p w14:paraId="0BF584FD" w14:textId="4AEF99B8" w:rsidR="008960FC" w:rsidRPr="00A21682" w:rsidRDefault="008960FC" w:rsidP="00047C4E">
            <w:pPr>
              <w:pStyle w:val="TABLETEXT1"/>
              <w:rPr>
                <w:lang w:val="en-US"/>
              </w:rPr>
            </w:pPr>
            <w:r>
              <w:rPr>
                <w:lang w:val="en-US"/>
              </w:rPr>
              <w:t>This is a Microsoft Project default attribute and is formatted in the Microsoft Project Default setting of abbreviated day and mm/dd/yyyy date. The Activity Finish Date is the date a project activity is expected to be completed and/or actually completed.</w:t>
            </w:r>
          </w:p>
        </w:tc>
      </w:tr>
      <w:tr w:rsidR="008960FC" w:rsidRPr="00A21682" w14:paraId="024DA9AF" w14:textId="77777777" w:rsidTr="00047C4E">
        <w:trPr>
          <w:trHeight w:val="300"/>
        </w:trPr>
        <w:tc>
          <w:tcPr>
            <w:tcW w:w="1435" w:type="dxa"/>
          </w:tcPr>
          <w:p w14:paraId="3A0E1A92" w14:textId="77777777" w:rsidR="008960FC" w:rsidRPr="00A21682" w:rsidRDefault="008960FC" w:rsidP="00047C4E">
            <w:pPr>
              <w:pStyle w:val="TABLETEXT1"/>
              <w:rPr>
                <w:lang w:val="en-US"/>
              </w:rPr>
            </w:pPr>
            <w:r>
              <w:rPr>
                <w:lang w:val="en-US"/>
              </w:rPr>
              <w:t>Predecessors</w:t>
            </w:r>
          </w:p>
        </w:tc>
        <w:tc>
          <w:tcPr>
            <w:tcW w:w="7922" w:type="dxa"/>
          </w:tcPr>
          <w:p w14:paraId="4A1E2A68" w14:textId="6329E3A9" w:rsidR="008960FC" w:rsidRPr="00A21682" w:rsidRDefault="008960FC" w:rsidP="00047C4E">
            <w:pPr>
              <w:pStyle w:val="TABLETEXT1"/>
              <w:rPr>
                <w:lang w:val="en-US"/>
              </w:rPr>
            </w:pPr>
            <w:r>
              <w:rPr>
                <w:lang w:val="en-US"/>
              </w:rPr>
              <w:t>This is a Microsoft Project default attribute. This denotes an activity that must be completed and/or started before this task is undertaken. Predecessor and successor activities include activities with dependencies on another activity, which will be able to take place once the activity is started or completed.</w:t>
            </w:r>
          </w:p>
        </w:tc>
      </w:tr>
      <w:tr w:rsidR="008960FC" w:rsidRPr="00A21682" w14:paraId="10E9CD38" w14:textId="77777777" w:rsidTr="00047C4E">
        <w:trPr>
          <w:trHeight w:val="300"/>
        </w:trPr>
        <w:tc>
          <w:tcPr>
            <w:tcW w:w="1435" w:type="dxa"/>
          </w:tcPr>
          <w:p w14:paraId="78734024" w14:textId="7CC8CE62" w:rsidR="008960FC" w:rsidRPr="00A21682" w:rsidRDefault="00467BBC" w:rsidP="00047C4E">
            <w:pPr>
              <w:pStyle w:val="TABLETEXT1"/>
              <w:rPr>
                <w:lang w:val="en-US"/>
              </w:rPr>
            </w:pPr>
            <w:r>
              <w:rPr>
                <w:lang w:val="en-US"/>
              </w:rPr>
              <w:t>Successors</w:t>
            </w:r>
          </w:p>
        </w:tc>
        <w:tc>
          <w:tcPr>
            <w:tcW w:w="7922" w:type="dxa"/>
          </w:tcPr>
          <w:p w14:paraId="78708D4D" w14:textId="77777777" w:rsidR="008960FC" w:rsidRPr="00A21682" w:rsidRDefault="008960FC" w:rsidP="00047C4E">
            <w:pPr>
              <w:pStyle w:val="TABLETEXT1"/>
              <w:rPr>
                <w:lang w:val="en-US"/>
              </w:rPr>
            </w:pPr>
            <w:r>
              <w:rPr>
                <w:lang w:val="en-US"/>
              </w:rPr>
              <w:t xml:space="preserve">This is a Microsoft Project default attribute. This denotes an activity that will be started after this task is completed. </w:t>
            </w:r>
          </w:p>
        </w:tc>
      </w:tr>
      <w:tr w:rsidR="008960FC" w:rsidRPr="00A21682" w14:paraId="6D88988A" w14:textId="77777777" w:rsidTr="00047C4E">
        <w:trPr>
          <w:trHeight w:val="300"/>
        </w:trPr>
        <w:tc>
          <w:tcPr>
            <w:tcW w:w="1435" w:type="dxa"/>
          </w:tcPr>
          <w:p w14:paraId="747295C3" w14:textId="77777777" w:rsidR="008960FC" w:rsidRPr="00A21682" w:rsidRDefault="008960FC" w:rsidP="00047C4E">
            <w:pPr>
              <w:pStyle w:val="TABLETEXT1"/>
              <w:rPr>
                <w:lang w:val="en-US"/>
              </w:rPr>
            </w:pPr>
            <w:r>
              <w:rPr>
                <w:lang w:val="en-US"/>
              </w:rPr>
              <w:t>Resource Names</w:t>
            </w:r>
          </w:p>
        </w:tc>
        <w:tc>
          <w:tcPr>
            <w:tcW w:w="7922" w:type="dxa"/>
          </w:tcPr>
          <w:p w14:paraId="6AE8516C" w14:textId="231A0ACF" w:rsidR="008960FC" w:rsidRPr="00A21682" w:rsidRDefault="008960FC" w:rsidP="00047C4E">
            <w:pPr>
              <w:pStyle w:val="TABLETEXT1"/>
              <w:rPr>
                <w:lang w:val="en-US"/>
              </w:rPr>
            </w:pPr>
            <w:r>
              <w:rPr>
                <w:lang w:val="en-US"/>
              </w:rPr>
              <w:t>This is a Microsoft Project default attribute that references the resource responsible for completing the task. The resource has ultimate accountability for executing and reporting the task. For this project, the named resource will be set to the organization and team responsible for completing the task.</w:t>
            </w:r>
          </w:p>
        </w:tc>
      </w:tr>
      <w:tr w:rsidR="008960FC" w:rsidRPr="00A21682" w14:paraId="2728C902" w14:textId="77777777" w:rsidTr="00047C4E">
        <w:trPr>
          <w:trHeight w:val="300"/>
        </w:trPr>
        <w:tc>
          <w:tcPr>
            <w:tcW w:w="1435" w:type="dxa"/>
          </w:tcPr>
          <w:p w14:paraId="2C50CD29" w14:textId="77777777" w:rsidR="008960FC" w:rsidRPr="00A21682" w:rsidRDefault="008960FC" w:rsidP="00047C4E">
            <w:pPr>
              <w:pStyle w:val="TABLETEXT1"/>
              <w:rPr>
                <w:lang w:val="en-US"/>
              </w:rPr>
            </w:pPr>
            <w:r>
              <w:rPr>
                <w:lang w:val="en-US"/>
              </w:rPr>
              <w:t>Notes</w:t>
            </w:r>
          </w:p>
        </w:tc>
        <w:tc>
          <w:tcPr>
            <w:tcW w:w="7922" w:type="dxa"/>
          </w:tcPr>
          <w:p w14:paraId="32DB6E72" w14:textId="77777777" w:rsidR="008960FC" w:rsidRPr="00A21682" w:rsidRDefault="008960FC" w:rsidP="00047C4E">
            <w:pPr>
              <w:pStyle w:val="TABLETEXT1"/>
              <w:rPr>
                <w:lang w:val="en-US"/>
              </w:rPr>
            </w:pPr>
            <w:r>
              <w:rPr>
                <w:lang w:val="en-US"/>
              </w:rPr>
              <w:t>This is a Microsoft Project default attribute and is used to record any pertinent information regarding the task as necessary. Additional information including detailed descriptions of an activity, or comments relating to it, can be included in the “Notes” data field of an activity within the project schedule.</w:t>
            </w:r>
          </w:p>
        </w:tc>
      </w:tr>
      <w:tr w:rsidR="00867D65" w:rsidRPr="00A21682" w14:paraId="438FC7F0" w14:textId="77777777" w:rsidTr="00047C4E">
        <w:trPr>
          <w:trHeight w:val="300"/>
        </w:trPr>
        <w:tc>
          <w:tcPr>
            <w:tcW w:w="1435" w:type="dxa"/>
          </w:tcPr>
          <w:p w14:paraId="6C3D16C5" w14:textId="2E624807" w:rsidR="00867D65" w:rsidRPr="00A21682" w:rsidRDefault="00992882" w:rsidP="00047C4E">
            <w:pPr>
              <w:pStyle w:val="TABLETEXT1"/>
              <w:rPr>
                <w:lang w:val="en-US"/>
              </w:rPr>
            </w:pPr>
            <w:r>
              <w:rPr>
                <w:lang w:val="en-US"/>
              </w:rPr>
              <w:t>Baseline Start</w:t>
            </w:r>
          </w:p>
        </w:tc>
        <w:tc>
          <w:tcPr>
            <w:tcW w:w="7922" w:type="dxa"/>
          </w:tcPr>
          <w:p w14:paraId="7E9F626C" w14:textId="09C359AA" w:rsidR="00867D65" w:rsidRPr="00A21682" w:rsidRDefault="00E40FA1" w:rsidP="00047C4E">
            <w:pPr>
              <w:pStyle w:val="TABLETEXT1"/>
              <w:rPr>
                <w:lang w:val="en-US"/>
              </w:rPr>
            </w:pPr>
            <w:r>
              <w:rPr>
                <w:lang w:val="en-US"/>
              </w:rPr>
              <w:t>The planned beginning date for a task at the time a project baseline is set.</w:t>
            </w:r>
          </w:p>
        </w:tc>
      </w:tr>
      <w:tr w:rsidR="00867D65" w:rsidRPr="00A21682" w14:paraId="16B822DE" w14:textId="77777777" w:rsidTr="00047C4E">
        <w:trPr>
          <w:trHeight w:val="300"/>
        </w:trPr>
        <w:tc>
          <w:tcPr>
            <w:tcW w:w="1435" w:type="dxa"/>
          </w:tcPr>
          <w:p w14:paraId="70FBD0C5" w14:textId="2E2D0369" w:rsidR="00867D65" w:rsidRPr="00A21682" w:rsidRDefault="00FA68CD" w:rsidP="00047C4E">
            <w:pPr>
              <w:pStyle w:val="TABLETEXT1"/>
              <w:rPr>
                <w:lang w:val="en-US"/>
              </w:rPr>
            </w:pPr>
            <w:r>
              <w:rPr>
                <w:lang w:val="en-US"/>
              </w:rPr>
              <w:t>Baseline End</w:t>
            </w:r>
          </w:p>
        </w:tc>
        <w:tc>
          <w:tcPr>
            <w:tcW w:w="7922" w:type="dxa"/>
          </w:tcPr>
          <w:p w14:paraId="07850FB4" w14:textId="3D1305BB" w:rsidR="00867D65" w:rsidRPr="00A21682" w:rsidRDefault="00162C36" w:rsidP="00047C4E">
            <w:pPr>
              <w:pStyle w:val="TABLETEXT1"/>
              <w:rPr>
                <w:lang w:val="en-US"/>
              </w:rPr>
            </w:pPr>
            <w:r>
              <w:rPr>
                <w:lang w:val="en-US"/>
              </w:rPr>
              <w:t>The planned completion date for a task at the time a project baseline is set.</w:t>
            </w:r>
          </w:p>
        </w:tc>
      </w:tr>
      <w:tr w:rsidR="00867D65" w:rsidRPr="00A21682" w14:paraId="7416F1C8" w14:textId="77777777" w:rsidTr="00047C4E">
        <w:trPr>
          <w:trHeight w:val="300"/>
        </w:trPr>
        <w:tc>
          <w:tcPr>
            <w:tcW w:w="1435" w:type="dxa"/>
          </w:tcPr>
          <w:p w14:paraId="5091D30C" w14:textId="193E933D" w:rsidR="00867D65" w:rsidRPr="00A21682" w:rsidRDefault="00492C12" w:rsidP="00047C4E">
            <w:pPr>
              <w:pStyle w:val="TABLETEXT1"/>
              <w:rPr>
                <w:lang w:val="en-US"/>
              </w:rPr>
            </w:pPr>
            <w:r>
              <w:rPr>
                <w:lang w:val="en-US"/>
              </w:rPr>
              <w:t>Actual Start</w:t>
            </w:r>
          </w:p>
        </w:tc>
        <w:tc>
          <w:tcPr>
            <w:tcW w:w="7922" w:type="dxa"/>
          </w:tcPr>
          <w:p w14:paraId="055A4BB4" w14:textId="2D2795B6" w:rsidR="00867D65" w:rsidRPr="00A21682" w:rsidRDefault="00F20DD2" w:rsidP="00047C4E">
            <w:pPr>
              <w:pStyle w:val="TABLETEXT1"/>
              <w:rPr>
                <w:lang w:val="en-US"/>
              </w:rPr>
            </w:pPr>
            <w:r>
              <w:rPr>
                <w:lang w:val="en-US"/>
              </w:rPr>
              <w:t>The date that a task has actually begun.</w:t>
            </w:r>
          </w:p>
        </w:tc>
      </w:tr>
      <w:tr w:rsidR="00867D65" w:rsidRPr="00A21682" w14:paraId="358A4F57" w14:textId="77777777" w:rsidTr="00047C4E">
        <w:trPr>
          <w:trHeight w:val="300"/>
        </w:trPr>
        <w:tc>
          <w:tcPr>
            <w:tcW w:w="1435" w:type="dxa"/>
          </w:tcPr>
          <w:p w14:paraId="576EE6D3" w14:textId="02AECEEB" w:rsidR="00867D65" w:rsidRPr="00A21682" w:rsidRDefault="0063746F" w:rsidP="00047C4E">
            <w:pPr>
              <w:pStyle w:val="TABLETEXT1"/>
              <w:rPr>
                <w:lang w:val="en-US"/>
              </w:rPr>
            </w:pPr>
            <w:r>
              <w:rPr>
                <w:lang w:val="en-US"/>
              </w:rPr>
              <w:t>Actual End</w:t>
            </w:r>
          </w:p>
        </w:tc>
        <w:tc>
          <w:tcPr>
            <w:tcW w:w="7922" w:type="dxa"/>
          </w:tcPr>
          <w:p w14:paraId="549A10FB" w14:textId="600EEBFF" w:rsidR="00867D65" w:rsidRPr="00A21682" w:rsidRDefault="005142FA" w:rsidP="00047C4E">
            <w:pPr>
              <w:pStyle w:val="TABLETEXT1"/>
              <w:rPr>
                <w:lang w:val="en-US"/>
              </w:rPr>
            </w:pPr>
            <w:r>
              <w:rPr>
                <w:lang w:val="en-US"/>
              </w:rPr>
              <w:t>The date that a task has actually been completed.</w:t>
            </w:r>
          </w:p>
        </w:tc>
      </w:tr>
    </w:tbl>
    <w:p w14:paraId="30FE9921" w14:textId="06D5B1CB" w:rsidR="008960FC" w:rsidRPr="00A21682" w:rsidRDefault="008960FC" w:rsidP="00384F0E">
      <w:pPr>
        <w:pStyle w:val="Caption"/>
        <w:rPr>
          <w:noProof w:val="0"/>
          <w:shd w:val="clear" w:color="auto" w:fill="FFFFFF"/>
        </w:rPr>
      </w:pPr>
      <w:bookmarkStart w:id="4197" w:name="_Toc148009151"/>
      <w:bookmarkStart w:id="4198" w:name="_Toc151389912"/>
      <w:bookmarkStart w:id="4199" w:name="_Toc192875216"/>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3</w:t>
      </w:r>
      <w:r>
        <w:rPr>
          <w:noProof w:val="0"/>
          <w:shd w:val="clear" w:color="auto" w:fill="FFFFFF"/>
        </w:rPr>
        <w:fldChar w:fldCharType="end"/>
      </w:r>
      <w:r>
        <w:rPr>
          <w:noProof w:val="0"/>
          <w:shd w:val="clear" w:color="auto" w:fill="FFFFFF"/>
        </w:rPr>
        <w:t>: Standard Fields</w:t>
      </w:r>
      <w:bookmarkStart w:id="4200" w:name="_Toc148009286"/>
      <w:bookmarkEnd w:id="4197"/>
      <w:bookmarkEnd w:id="4198"/>
      <w:bookmarkEnd w:id="4199"/>
    </w:p>
    <w:p w14:paraId="3245616E" w14:textId="08DA7F8C" w:rsidR="008960FC" w:rsidRPr="00A21682" w:rsidRDefault="008960FC">
      <w:pPr>
        <w:pStyle w:val="Heading3"/>
        <w:rPr>
          <w:shd w:val="clear" w:color="auto" w:fill="FFFFFF"/>
        </w:rPr>
      </w:pPr>
      <w:bookmarkStart w:id="4201" w:name="_Toc151389893"/>
      <w:bookmarkStart w:id="4202" w:name="_Toc177119640"/>
      <w:bookmarkStart w:id="4203" w:name="_Toc185952903"/>
      <w:bookmarkStart w:id="4204" w:name="_Toc192874999"/>
      <w:r>
        <w:rPr>
          <w:shd w:val="clear" w:color="auto" w:fill="FFFFFF"/>
        </w:rPr>
        <w:t>Monitoring</w:t>
      </w:r>
      <w:bookmarkEnd w:id="4200"/>
      <w:r>
        <w:rPr>
          <w:shd w:val="clear" w:color="auto" w:fill="FFFFFF"/>
        </w:rPr>
        <w:t xml:space="preserve"> and Managing Updates</w:t>
      </w:r>
      <w:bookmarkEnd w:id="4201"/>
      <w:bookmarkEnd w:id="4202"/>
      <w:bookmarkEnd w:id="4203"/>
      <w:bookmarkEnd w:id="4204"/>
    </w:p>
    <w:p w14:paraId="2AB775A8" w14:textId="0C8AEE69" w:rsidR="008960FC" w:rsidRPr="00A21682" w:rsidRDefault="008960FC" w:rsidP="00595D26">
      <w:pPr>
        <w:pStyle w:val="NormalNEW"/>
        <w:rPr>
          <w:lang w:val="en-US"/>
        </w:rPr>
      </w:pPr>
      <w:r>
        <w:rPr>
          <w:lang w:val="en-US"/>
        </w:rPr>
        <w:t>On a bi-weekly cadence, or more frequently if requested by DOH OHIP, progress is tracked in the Work Plan and performance will be analyzed and reported in project status reports. DOH OHIP and ███████ meet to discuss the milestones and outstanding tasks requiring discussion in the weekly schedule management meeting. This meeting helps to identify and remediate any tasks in the Work Plan prior to the updates to the PSR.</w:t>
      </w:r>
    </w:p>
    <w:p w14:paraId="5B296673" w14:textId="5D803AE2" w:rsidR="008960FC" w:rsidRPr="00A21682" w:rsidRDefault="008960FC">
      <w:pPr>
        <w:pStyle w:val="Heading3"/>
        <w:rPr>
          <w:shd w:val="clear" w:color="auto" w:fill="FFFFFF"/>
        </w:rPr>
      </w:pPr>
      <w:bookmarkStart w:id="4205" w:name="_Toc148976762"/>
      <w:bookmarkStart w:id="4206" w:name="_Toc148977211"/>
      <w:bookmarkStart w:id="4207" w:name="_Toc148009293"/>
      <w:bookmarkStart w:id="4208" w:name="_Toc151389894"/>
      <w:bookmarkStart w:id="4209" w:name="_Toc177119641"/>
      <w:bookmarkStart w:id="4210" w:name="_Toc185952904"/>
      <w:bookmarkStart w:id="4211" w:name="_Toc192875000"/>
      <w:bookmarkEnd w:id="4205"/>
      <w:bookmarkEnd w:id="4206"/>
      <w:r>
        <w:rPr>
          <w:shd w:val="clear" w:color="auto" w:fill="FFFFFF"/>
        </w:rPr>
        <w:t>Operational Quality</w:t>
      </w:r>
      <w:bookmarkEnd w:id="4207"/>
      <w:bookmarkEnd w:id="4208"/>
      <w:bookmarkEnd w:id="4209"/>
      <w:bookmarkEnd w:id="4210"/>
      <w:bookmarkEnd w:id="4211"/>
    </w:p>
    <w:p w14:paraId="5E4C415D" w14:textId="56E160B9" w:rsidR="008960FC" w:rsidRPr="00A21682" w:rsidRDefault="008960FC" w:rsidP="00595D26">
      <w:pPr>
        <w:pStyle w:val="NormalNEW"/>
        <w:rPr>
          <w:lang w:val="en-US"/>
        </w:rPr>
      </w:pPr>
      <w:r>
        <w:rPr>
          <w:lang w:val="en-US"/>
        </w:rPr>
        <w:t>The following activities will take place prior to the submission of the Work Plan and throughout the various updates made to the Work Plan. These operational quality checks will help improve the ongoing quality of the plan.</w:t>
      </w:r>
    </w:p>
    <w:tbl>
      <w:tblPr>
        <w:tblW w:w="93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A0" w:firstRow="1" w:lastRow="0" w:firstColumn="1" w:lastColumn="0" w:noHBand="1" w:noVBand="1"/>
      </w:tblPr>
      <w:tblGrid>
        <w:gridCol w:w="1977"/>
        <w:gridCol w:w="7380"/>
      </w:tblGrid>
      <w:tr w:rsidR="00F27C5D" w:rsidRPr="00A21682" w14:paraId="0A0FBE30" w14:textId="77777777" w:rsidTr="361E3916">
        <w:trPr>
          <w:trHeight w:val="20"/>
          <w:tblHeader/>
        </w:trPr>
        <w:tc>
          <w:tcPr>
            <w:tcW w:w="1977" w:type="dxa"/>
            <w:tcBorders>
              <w:right w:val="single" w:sz="2" w:space="0" w:color="FFFFFF" w:themeColor="background1"/>
            </w:tcBorders>
            <w:shd w:val="clear" w:color="auto" w:fill="000000" w:themeFill="text1"/>
          </w:tcPr>
          <w:p w14:paraId="2E7462BB" w14:textId="77777777" w:rsidR="008960FC" w:rsidRPr="00A21682" w:rsidRDefault="008960FC" w:rsidP="00036C35">
            <w:pPr>
              <w:pStyle w:val="TABLEHEADINGNEW"/>
              <w:rPr>
                <w:shd w:val="clear" w:color="auto" w:fill="FFFFFF"/>
              </w:rPr>
            </w:pPr>
            <w:bookmarkStart w:id="4212" w:name="_Hlk153275827"/>
            <w:r>
              <w:t>Quality Check</w:t>
            </w:r>
          </w:p>
        </w:tc>
        <w:tc>
          <w:tcPr>
            <w:tcW w:w="7380" w:type="dxa"/>
            <w:tcBorders>
              <w:left w:val="single" w:sz="2" w:space="0" w:color="FFFFFF" w:themeColor="background1"/>
            </w:tcBorders>
            <w:shd w:val="clear" w:color="auto" w:fill="000000" w:themeFill="text1"/>
          </w:tcPr>
          <w:p w14:paraId="41FC6086" w14:textId="77777777" w:rsidR="008960FC" w:rsidRPr="00A21682" w:rsidRDefault="008960FC" w:rsidP="00036C35">
            <w:pPr>
              <w:pStyle w:val="TABLEHEADINGNEW"/>
              <w:rPr>
                <w:shd w:val="clear" w:color="auto" w:fill="FFFFFF"/>
              </w:rPr>
            </w:pPr>
            <w:r>
              <w:t>Description</w:t>
            </w:r>
          </w:p>
        </w:tc>
      </w:tr>
      <w:tr w:rsidR="008960FC" w:rsidRPr="00A21682" w14:paraId="45F8D888" w14:textId="77777777" w:rsidTr="361E3916">
        <w:tblPrEx>
          <w:tblLook w:val="04A0" w:firstRow="1" w:lastRow="0" w:firstColumn="1" w:lastColumn="0" w:noHBand="0" w:noVBand="1"/>
        </w:tblPrEx>
        <w:trPr>
          <w:trHeight w:val="20"/>
        </w:trPr>
        <w:tc>
          <w:tcPr>
            <w:tcW w:w="1977" w:type="dxa"/>
          </w:tcPr>
          <w:p w14:paraId="18FFF22F" w14:textId="77777777" w:rsidR="008960FC" w:rsidRPr="00A21682" w:rsidRDefault="008960FC" w:rsidP="00036C35">
            <w:pPr>
              <w:pStyle w:val="TABLETEXT1"/>
              <w:rPr>
                <w:lang w:val="en-US"/>
              </w:rPr>
            </w:pPr>
            <w:r>
              <w:rPr>
                <w:lang w:val="en-US"/>
              </w:rPr>
              <w:t>Resource Check</w:t>
            </w:r>
          </w:p>
        </w:tc>
        <w:tc>
          <w:tcPr>
            <w:tcW w:w="7380" w:type="dxa"/>
          </w:tcPr>
          <w:p w14:paraId="2DFAB823" w14:textId="77777777" w:rsidR="008960FC" w:rsidRPr="00A21682" w:rsidRDefault="008960FC" w:rsidP="00036C35">
            <w:pPr>
              <w:pStyle w:val="TABLETEXT1"/>
              <w:rPr>
                <w:lang w:val="en-US"/>
              </w:rPr>
            </w:pPr>
            <w:r>
              <w:rPr>
                <w:lang w:val="en-US"/>
              </w:rPr>
              <w:t>Filter on Resource Name</w:t>
            </w:r>
          </w:p>
          <w:p w14:paraId="0676E000" w14:textId="5CB267DF" w:rsidR="008960FC" w:rsidRPr="00A21682" w:rsidRDefault="008960FC" w:rsidP="0031550A">
            <w:pPr>
              <w:pStyle w:val="TABLEBULLETNEW"/>
            </w:pPr>
            <w:r>
              <w:lastRenderedPageBreak/>
              <w:t>If Resource Name = “ “ (blank), then determine the appropriate resource and populate the field.</w:t>
            </w:r>
          </w:p>
          <w:p w14:paraId="197C05D7" w14:textId="4BDFE21B" w:rsidR="008960FC" w:rsidRPr="00635C9B" w:rsidRDefault="008960FC" w:rsidP="0031550A">
            <w:pPr>
              <w:pStyle w:val="BulletNEW"/>
              <w:rPr>
                <w:b/>
              </w:rPr>
            </w:pPr>
            <w:r>
              <w:t>Resources should only be assigned to the lowest-level tasks in the Work Plan</w:t>
            </w:r>
          </w:p>
        </w:tc>
      </w:tr>
      <w:tr w:rsidR="008960FC" w:rsidRPr="00A21682" w14:paraId="2AF246D5" w14:textId="77777777" w:rsidTr="361E3916">
        <w:tblPrEx>
          <w:tblLook w:val="04A0" w:firstRow="1" w:lastRow="0" w:firstColumn="1" w:lastColumn="0" w:noHBand="0" w:noVBand="1"/>
        </w:tblPrEx>
        <w:trPr>
          <w:trHeight w:val="20"/>
        </w:trPr>
        <w:tc>
          <w:tcPr>
            <w:tcW w:w="1977" w:type="dxa"/>
          </w:tcPr>
          <w:p w14:paraId="321DE815" w14:textId="671E2843" w:rsidR="008960FC" w:rsidRPr="00A21682" w:rsidRDefault="008960FC" w:rsidP="00036C35">
            <w:pPr>
              <w:pStyle w:val="TABLETEXT1"/>
              <w:rPr>
                <w:lang w:val="en-US"/>
              </w:rPr>
            </w:pPr>
            <w:bookmarkStart w:id="4213" w:name="_Hlk153275907"/>
            <w:r>
              <w:rPr>
                <w:lang w:val="en-US"/>
              </w:rPr>
              <w:t>Milestone Check</w:t>
            </w:r>
          </w:p>
        </w:tc>
        <w:tc>
          <w:tcPr>
            <w:tcW w:w="7380" w:type="dxa"/>
          </w:tcPr>
          <w:p w14:paraId="405D2E4B" w14:textId="77777777" w:rsidR="008960FC" w:rsidRPr="00A21682" w:rsidRDefault="008960FC" w:rsidP="00036C35">
            <w:pPr>
              <w:pStyle w:val="TABLETEXT1"/>
              <w:rPr>
                <w:lang w:val="en-US"/>
              </w:rPr>
            </w:pPr>
            <w:r>
              <w:rPr>
                <w:lang w:val="en-US"/>
              </w:rPr>
              <w:t>Filter = Milestone (0-duration tasks)</w:t>
            </w:r>
          </w:p>
          <w:p w14:paraId="51C5C3B8" w14:textId="66F21633" w:rsidR="008960FC" w:rsidRPr="00635C9B" w:rsidRDefault="008960FC" w:rsidP="0031550A">
            <w:pPr>
              <w:pStyle w:val="BulletNEW"/>
            </w:pPr>
            <w:r>
              <w:t>For each milestone, check to see if there has been any change in the milestone date. If there is a change, identify the corresponding task, or set of tasks, that caused the milestone to move beyond the baseline finish date</w:t>
            </w:r>
          </w:p>
        </w:tc>
      </w:tr>
      <w:tr w:rsidR="008960FC" w:rsidRPr="00A21682" w14:paraId="605C0E8C" w14:textId="77777777" w:rsidTr="361E3916">
        <w:tblPrEx>
          <w:tblLook w:val="04A0" w:firstRow="1" w:lastRow="0" w:firstColumn="1" w:lastColumn="0" w:noHBand="0" w:noVBand="1"/>
        </w:tblPrEx>
        <w:trPr>
          <w:trHeight w:val="20"/>
        </w:trPr>
        <w:tc>
          <w:tcPr>
            <w:tcW w:w="1977" w:type="dxa"/>
          </w:tcPr>
          <w:p w14:paraId="6C2243AF" w14:textId="15C5FA40" w:rsidR="008960FC" w:rsidRPr="00A21682" w:rsidRDefault="008960FC" w:rsidP="00036C35">
            <w:pPr>
              <w:pStyle w:val="TABLETEXT1"/>
              <w:rPr>
                <w:lang w:val="en-US"/>
              </w:rPr>
            </w:pPr>
            <w:r>
              <w:rPr>
                <w:lang w:val="en-US"/>
              </w:rPr>
              <w:t>Actual Start Check</w:t>
            </w:r>
          </w:p>
        </w:tc>
        <w:tc>
          <w:tcPr>
            <w:tcW w:w="7380" w:type="dxa"/>
          </w:tcPr>
          <w:p w14:paraId="798B6E88" w14:textId="77777777" w:rsidR="008960FC" w:rsidRPr="00A21682" w:rsidRDefault="008960FC" w:rsidP="00036C35">
            <w:pPr>
              <w:pStyle w:val="TABLETEXT1"/>
              <w:rPr>
                <w:lang w:val="en-US"/>
              </w:rPr>
            </w:pPr>
            <w:r>
              <w:rPr>
                <w:lang w:val="en-US"/>
              </w:rPr>
              <w:t>Filter on Actual Start Date and (Planned) Start Date</w:t>
            </w:r>
          </w:p>
          <w:p w14:paraId="751C4F37" w14:textId="704A8E0C" w:rsidR="008960FC" w:rsidRPr="00635C9B" w:rsidDel="001E4652" w:rsidRDefault="008960FC" w:rsidP="0031550A">
            <w:pPr>
              <w:pStyle w:val="BulletNEW"/>
            </w:pPr>
            <w:r>
              <w:t>If the planned start date is in the past (meaning the work was supposed to have started) and the actual start date is blank, identify the actual start date</w:t>
            </w:r>
          </w:p>
          <w:p w14:paraId="5A17DBE7" w14:textId="2CA4C91B" w:rsidR="008960FC" w:rsidRPr="001E4652" w:rsidRDefault="008960FC" w:rsidP="0031550A">
            <w:pPr>
              <w:pStyle w:val="BulletNEW"/>
            </w:pPr>
            <w:r>
              <w:t>If the planned start date is in the past and the actual start date is blank and the work has not started, then highlight the associated activity to flag it for discussion with the appropriate resource</w:t>
            </w:r>
          </w:p>
        </w:tc>
      </w:tr>
      <w:tr w:rsidR="008960FC" w:rsidRPr="00A21682" w14:paraId="6AEBDCE0" w14:textId="77777777" w:rsidTr="361E3916">
        <w:tblPrEx>
          <w:tblLook w:val="04A0" w:firstRow="1" w:lastRow="0" w:firstColumn="1" w:lastColumn="0" w:noHBand="0" w:noVBand="1"/>
        </w:tblPrEx>
        <w:trPr>
          <w:trHeight w:val="20"/>
        </w:trPr>
        <w:tc>
          <w:tcPr>
            <w:tcW w:w="1977" w:type="dxa"/>
          </w:tcPr>
          <w:p w14:paraId="106C19D4" w14:textId="17A4510C" w:rsidR="008960FC" w:rsidRPr="00A21682" w:rsidRDefault="008960FC" w:rsidP="00036C35">
            <w:pPr>
              <w:pStyle w:val="TABLETEXT1"/>
              <w:rPr>
                <w:lang w:val="en-US"/>
              </w:rPr>
            </w:pPr>
            <w:r>
              <w:rPr>
                <w:lang w:val="en-US"/>
              </w:rPr>
              <w:t>Planned Finish Check (tasks that are late)</w:t>
            </w:r>
          </w:p>
        </w:tc>
        <w:tc>
          <w:tcPr>
            <w:tcW w:w="7380" w:type="dxa"/>
          </w:tcPr>
          <w:p w14:paraId="1E27827B" w14:textId="77777777" w:rsidR="008960FC" w:rsidRPr="00A21682" w:rsidRDefault="008960FC" w:rsidP="00036C35">
            <w:pPr>
              <w:pStyle w:val="TABLETEXT1"/>
              <w:rPr>
                <w:lang w:val="en-US"/>
              </w:rPr>
            </w:pPr>
            <w:r>
              <w:rPr>
                <w:lang w:val="en-US"/>
              </w:rPr>
              <w:t>Filter on (Planned) Finish Date</w:t>
            </w:r>
          </w:p>
          <w:p w14:paraId="6CC55F74" w14:textId="34AAB0D2" w:rsidR="008960FC" w:rsidRPr="00635C9B" w:rsidRDefault="008960FC" w:rsidP="0031550A">
            <w:pPr>
              <w:pStyle w:val="BulletNEW"/>
            </w:pPr>
            <w:r>
              <w:t>If the planned finish date is in the past, then identify the latest status of the task. If the task is late, then highlight the associated activity to flag it for discussion with the appropriate resource</w:t>
            </w:r>
          </w:p>
        </w:tc>
      </w:tr>
      <w:tr w:rsidR="008960FC" w:rsidRPr="00A21682" w14:paraId="59ACC7E0" w14:textId="77777777" w:rsidTr="361E3916">
        <w:tblPrEx>
          <w:tblLook w:val="04A0" w:firstRow="1" w:lastRow="0" w:firstColumn="1" w:lastColumn="0" w:noHBand="0" w:noVBand="1"/>
        </w:tblPrEx>
        <w:trPr>
          <w:trHeight w:val="20"/>
        </w:trPr>
        <w:tc>
          <w:tcPr>
            <w:tcW w:w="1977" w:type="dxa"/>
          </w:tcPr>
          <w:p w14:paraId="18F69924" w14:textId="2EC0059E" w:rsidR="008960FC" w:rsidRPr="00A21682" w:rsidRDefault="008960FC" w:rsidP="00036C35">
            <w:pPr>
              <w:pStyle w:val="TABLETEXT1"/>
              <w:rPr>
                <w:lang w:val="en-US"/>
              </w:rPr>
            </w:pPr>
            <w:r>
              <w:rPr>
                <w:lang w:val="en-US"/>
              </w:rPr>
              <w:t>Actual Finish Check (tasks that are late)</w:t>
            </w:r>
          </w:p>
        </w:tc>
        <w:tc>
          <w:tcPr>
            <w:tcW w:w="7380" w:type="dxa"/>
          </w:tcPr>
          <w:p w14:paraId="475DC322" w14:textId="77777777" w:rsidR="008960FC" w:rsidRPr="00A21682" w:rsidRDefault="008960FC" w:rsidP="00036C35">
            <w:pPr>
              <w:pStyle w:val="TABLETEXT1"/>
              <w:rPr>
                <w:lang w:val="en-US"/>
              </w:rPr>
            </w:pPr>
            <w:r>
              <w:rPr>
                <w:lang w:val="en-US"/>
              </w:rPr>
              <w:t>Filter on Actual Finish Date</w:t>
            </w:r>
          </w:p>
          <w:p w14:paraId="7313CD02" w14:textId="134E2A27" w:rsidR="008960FC" w:rsidRPr="00635C9B" w:rsidRDefault="008960FC" w:rsidP="0031550A">
            <w:pPr>
              <w:pStyle w:val="BulletNEW"/>
            </w:pPr>
            <w:r>
              <w:t>If the actual finish date is blank, then work with the appropriate resource to identify if the task is complete. If the task is complete, populate the actual finish date</w:t>
            </w:r>
          </w:p>
        </w:tc>
      </w:tr>
      <w:tr w:rsidR="00595D26" w:rsidRPr="00A21682" w14:paraId="22DA0873" w14:textId="77777777" w:rsidTr="361E3916">
        <w:tblPrEx>
          <w:tblLook w:val="04A0" w:firstRow="1" w:lastRow="0" w:firstColumn="1" w:lastColumn="0" w:noHBand="0" w:noVBand="1"/>
        </w:tblPrEx>
        <w:trPr>
          <w:trHeight w:val="20"/>
        </w:trPr>
        <w:tc>
          <w:tcPr>
            <w:tcW w:w="1977" w:type="dxa"/>
          </w:tcPr>
          <w:p w14:paraId="5A1B72A6" w14:textId="1F1583F5" w:rsidR="00595D26" w:rsidRPr="00A21682" w:rsidRDefault="00595D26" w:rsidP="00036C35">
            <w:pPr>
              <w:pStyle w:val="TABLETEXT1"/>
              <w:rPr>
                <w:lang w:val="en-US"/>
              </w:rPr>
            </w:pPr>
            <w:r>
              <w:rPr>
                <w:lang w:val="en-US"/>
              </w:rPr>
              <w:t>Predecessor Check</w:t>
            </w:r>
          </w:p>
        </w:tc>
        <w:tc>
          <w:tcPr>
            <w:tcW w:w="7380" w:type="dxa"/>
          </w:tcPr>
          <w:p w14:paraId="55D37404" w14:textId="77777777" w:rsidR="00595D26" w:rsidRPr="00A21682" w:rsidRDefault="00595D26" w:rsidP="00036C35">
            <w:pPr>
              <w:pStyle w:val="TABLETEXT1"/>
              <w:rPr>
                <w:lang w:val="en-US"/>
              </w:rPr>
            </w:pPr>
            <w:r>
              <w:rPr>
                <w:lang w:val="en-US"/>
              </w:rPr>
              <w:t>Filter on Predecessor</w:t>
            </w:r>
          </w:p>
          <w:p w14:paraId="2C16AA07" w14:textId="38B3E70C" w:rsidR="00595D26" w:rsidRPr="00635C9B" w:rsidRDefault="00595D26" w:rsidP="0031550A">
            <w:pPr>
              <w:pStyle w:val="BulletNEW"/>
            </w:pPr>
            <w:r>
              <w:t>If the predecessor is blank, then determine the appropriate predecessor for the task</w:t>
            </w:r>
          </w:p>
          <w:p w14:paraId="7C858995" w14:textId="68B378C5" w:rsidR="00595D26" w:rsidRPr="00635C9B" w:rsidRDefault="00595D26" w:rsidP="0031550A">
            <w:pPr>
              <w:pStyle w:val="BulletNEW"/>
            </w:pPr>
            <w:r>
              <w:t>A predecessor should be assigned to the lowest level task</w:t>
            </w:r>
          </w:p>
          <w:p w14:paraId="6A0A2929" w14:textId="482D0D5C" w:rsidR="00595D26" w:rsidRPr="00635C9B" w:rsidRDefault="00595D26" w:rsidP="0031550A">
            <w:pPr>
              <w:pStyle w:val="BulletNEW"/>
            </w:pPr>
            <w:r>
              <w:t>Predecessor can be left blank if it is a recurring task or if it is the first task of the project</w:t>
            </w:r>
          </w:p>
        </w:tc>
      </w:tr>
      <w:tr w:rsidR="00595D26" w:rsidRPr="00A21682" w14:paraId="4A2E2B74" w14:textId="77777777" w:rsidTr="361E3916">
        <w:tblPrEx>
          <w:tblLook w:val="04A0" w:firstRow="1" w:lastRow="0" w:firstColumn="1" w:lastColumn="0" w:noHBand="0" w:noVBand="1"/>
        </w:tblPrEx>
        <w:trPr>
          <w:trHeight w:val="20"/>
        </w:trPr>
        <w:tc>
          <w:tcPr>
            <w:tcW w:w="1977" w:type="dxa"/>
          </w:tcPr>
          <w:p w14:paraId="6CEA71B3" w14:textId="6845E1DF" w:rsidR="00595D26" w:rsidRPr="00A21682" w:rsidRDefault="00595D26" w:rsidP="00036C35">
            <w:pPr>
              <w:pStyle w:val="TABLETEXT1"/>
              <w:rPr>
                <w:lang w:val="en-US"/>
              </w:rPr>
            </w:pPr>
            <w:r>
              <w:rPr>
                <w:lang w:val="en-US"/>
              </w:rPr>
              <w:t>Successor Check</w:t>
            </w:r>
          </w:p>
        </w:tc>
        <w:tc>
          <w:tcPr>
            <w:tcW w:w="7380" w:type="dxa"/>
          </w:tcPr>
          <w:p w14:paraId="206D68F8" w14:textId="77777777" w:rsidR="00595D26" w:rsidRPr="00A21682" w:rsidRDefault="00595D26" w:rsidP="00036C35">
            <w:pPr>
              <w:pStyle w:val="TABLETEXT1"/>
              <w:rPr>
                <w:lang w:val="en-US"/>
              </w:rPr>
            </w:pPr>
            <w:r>
              <w:rPr>
                <w:lang w:val="en-US"/>
              </w:rPr>
              <w:t xml:space="preserve">Filter on Successor </w:t>
            </w:r>
          </w:p>
          <w:p w14:paraId="2060BDEC" w14:textId="03665C91" w:rsidR="00595D26" w:rsidRPr="00635C9B" w:rsidRDefault="00595D26" w:rsidP="0031550A">
            <w:pPr>
              <w:pStyle w:val="BulletNEW"/>
            </w:pPr>
            <w:r>
              <w:t>If the successor is blank, then determine the appropriate successor for the task</w:t>
            </w:r>
          </w:p>
          <w:p w14:paraId="3A62D9AE" w14:textId="08F9C780" w:rsidR="00595D26" w:rsidRPr="00635C9B" w:rsidRDefault="00595D26" w:rsidP="0031550A">
            <w:pPr>
              <w:pStyle w:val="BulletNEW"/>
            </w:pPr>
            <w:r>
              <w:t>A successor should be assigned to the lowest level task</w:t>
            </w:r>
          </w:p>
          <w:p w14:paraId="7918DEF4" w14:textId="71671C0A" w:rsidR="00595D26" w:rsidRPr="00635C9B" w:rsidRDefault="00595D26" w:rsidP="0031550A">
            <w:pPr>
              <w:pStyle w:val="BulletNEW"/>
            </w:pPr>
            <w:r>
              <w:t>Successor can be left blank if the task has no dependent tasks following it or if it is the last task of the project</w:t>
            </w:r>
          </w:p>
        </w:tc>
      </w:tr>
      <w:tr w:rsidR="008C0B8F" w:rsidRPr="00A21682" w14:paraId="3EC66B53" w14:textId="77777777" w:rsidTr="361E3916">
        <w:tblPrEx>
          <w:tblLook w:val="04A0" w:firstRow="1" w:lastRow="0" w:firstColumn="1" w:lastColumn="0" w:noHBand="0" w:noVBand="1"/>
        </w:tblPrEx>
        <w:trPr>
          <w:trHeight w:val="20"/>
        </w:trPr>
        <w:tc>
          <w:tcPr>
            <w:tcW w:w="1977" w:type="dxa"/>
          </w:tcPr>
          <w:p w14:paraId="53AE6425" w14:textId="16127CBA" w:rsidR="008C0B8F" w:rsidRPr="00A21682" w:rsidRDefault="008C0B8F" w:rsidP="00036C35">
            <w:pPr>
              <w:pStyle w:val="TABLETEXT1"/>
              <w:rPr>
                <w:lang w:val="en-US"/>
              </w:rPr>
            </w:pPr>
            <w:r>
              <w:rPr>
                <w:lang w:val="en-US"/>
              </w:rPr>
              <w:t>Holiday Check</w:t>
            </w:r>
          </w:p>
        </w:tc>
        <w:tc>
          <w:tcPr>
            <w:tcW w:w="7380" w:type="dxa"/>
          </w:tcPr>
          <w:p w14:paraId="3FC258AA" w14:textId="77777777" w:rsidR="00F22FA8" w:rsidRPr="00A21682" w:rsidRDefault="00F22FA8" w:rsidP="00036C35">
            <w:pPr>
              <w:pStyle w:val="Tabletext"/>
              <w:spacing w:before="60" w:after="60"/>
            </w:pPr>
            <w:r>
              <w:t>Filter on State Specific Holidays</w:t>
            </w:r>
          </w:p>
          <w:p w14:paraId="417EBE5D" w14:textId="30D2D00C" w:rsidR="00500CC1" w:rsidRPr="003E3071" w:rsidRDefault="00500CC1" w:rsidP="0031550A">
            <w:pPr>
              <w:pStyle w:val="BulletNEW"/>
            </w:pPr>
            <w:r>
              <w:t>New Year’s Day</w:t>
            </w:r>
          </w:p>
          <w:p w14:paraId="3659D4B8" w14:textId="3660CE34" w:rsidR="00500CC1" w:rsidRPr="003E3071" w:rsidRDefault="00500CC1" w:rsidP="0031550A">
            <w:pPr>
              <w:pStyle w:val="BulletNEW"/>
            </w:pPr>
            <w:r>
              <w:lastRenderedPageBreak/>
              <w:t xml:space="preserve">Dr. Martin Luther King, Jr. Day </w:t>
            </w:r>
          </w:p>
          <w:p w14:paraId="23B5D211" w14:textId="0D14B554" w:rsidR="00500CC1" w:rsidRPr="003E3071" w:rsidRDefault="00500CC1" w:rsidP="0031550A">
            <w:pPr>
              <w:pStyle w:val="BulletNEW"/>
            </w:pPr>
            <w:r>
              <w:t>Washington’s Birthday (President’s Day)</w:t>
            </w:r>
          </w:p>
          <w:p w14:paraId="11489784" w14:textId="6E7D1315" w:rsidR="00500CC1" w:rsidRPr="003E3071" w:rsidRDefault="00500CC1" w:rsidP="0031550A">
            <w:pPr>
              <w:pStyle w:val="BulletNEW"/>
            </w:pPr>
            <w:r>
              <w:t>Memorial Day</w:t>
            </w:r>
          </w:p>
          <w:p w14:paraId="28E9656B" w14:textId="4F51F5FA" w:rsidR="00500CC1" w:rsidRPr="003E3071" w:rsidRDefault="00500CC1" w:rsidP="0031550A">
            <w:pPr>
              <w:pStyle w:val="BulletNEW"/>
            </w:pPr>
            <w:r>
              <w:t>Juneteenth</w:t>
            </w:r>
          </w:p>
          <w:p w14:paraId="1CE471C5" w14:textId="165660A6" w:rsidR="00500CC1" w:rsidRPr="003E3071" w:rsidRDefault="00500CC1" w:rsidP="0031550A">
            <w:pPr>
              <w:pStyle w:val="BulletNEW"/>
            </w:pPr>
            <w:r>
              <w:t>Independence Day</w:t>
            </w:r>
          </w:p>
          <w:p w14:paraId="02ED5961" w14:textId="0AC67834" w:rsidR="00500CC1" w:rsidRPr="003E3071" w:rsidRDefault="00500CC1" w:rsidP="0031550A">
            <w:pPr>
              <w:pStyle w:val="BulletNEW"/>
            </w:pPr>
            <w:r>
              <w:t>Labor Day</w:t>
            </w:r>
          </w:p>
          <w:p w14:paraId="668A844D" w14:textId="7AFE29B2" w:rsidR="00500CC1" w:rsidRPr="003E3071" w:rsidRDefault="00500CC1" w:rsidP="0031550A">
            <w:pPr>
              <w:pStyle w:val="BulletNEW"/>
            </w:pPr>
            <w:r>
              <w:t>Columbus Day</w:t>
            </w:r>
          </w:p>
          <w:p w14:paraId="0D93F6A5" w14:textId="3E3BCDB7" w:rsidR="00EF19E1" w:rsidRPr="003E3071" w:rsidRDefault="00EF19E1" w:rsidP="0031550A">
            <w:pPr>
              <w:pStyle w:val="BulletNEW"/>
            </w:pPr>
            <w:r>
              <w:t>Election Day</w:t>
            </w:r>
          </w:p>
          <w:p w14:paraId="6B02624D" w14:textId="1878EBCA" w:rsidR="00500CC1" w:rsidRPr="003E3071" w:rsidRDefault="0026727A" w:rsidP="0031550A">
            <w:pPr>
              <w:pStyle w:val="BulletNEW"/>
            </w:pPr>
            <w:r>
              <w:t>Veterans Day</w:t>
            </w:r>
          </w:p>
          <w:p w14:paraId="55821D21" w14:textId="71FA6964" w:rsidR="00500CC1" w:rsidRPr="003E3071" w:rsidRDefault="00500CC1" w:rsidP="0031550A">
            <w:pPr>
              <w:pStyle w:val="BulletNEW"/>
            </w:pPr>
            <w:r>
              <w:t>Thanksgiving Day</w:t>
            </w:r>
          </w:p>
          <w:p w14:paraId="253FF0EF" w14:textId="77777777" w:rsidR="00556BA3" w:rsidRPr="00A21682" w:rsidRDefault="00500CC1" w:rsidP="0031550A">
            <w:pPr>
              <w:pStyle w:val="BulletNEW"/>
            </w:pPr>
            <w:r>
              <w:t>Christmas Day</w:t>
            </w:r>
          </w:p>
          <w:p w14:paraId="01F97390" w14:textId="210AD01A" w:rsidR="00EF19E1" w:rsidRPr="00A21682" w:rsidRDefault="00A13FF5" w:rsidP="00164D68">
            <w:pPr>
              <w:pStyle w:val="Tabletext"/>
              <w:spacing w:before="60" w:after="60"/>
            </w:pPr>
            <w:r>
              <w:t>Note: The list of observed State holidays is subject to change and will be reconciled with the legal holiday calendar released by New York State (NYS) each year.</w:t>
            </w:r>
          </w:p>
          <w:p w14:paraId="036B6EC9" w14:textId="61F4A62B" w:rsidR="00D64ED2" w:rsidRPr="00A21682" w:rsidRDefault="00D64ED2" w:rsidP="00036C35">
            <w:pPr>
              <w:pStyle w:val="Tabletext"/>
              <w:spacing w:before="60" w:after="60"/>
            </w:pPr>
            <w:r>
              <w:t xml:space="preserve">If a date for the task needs to be adjusted, put the date that the task will be completed on, in the Due Date column. </w:t>
            </w:r>
          </w:p>
          <w:p w14:paraId="6444CF02" w14:textId="6751635C" w:rsidR="008C0B8F" w:rsidRPr="00A21682" w:rsidRDefault="00D64ED2" w:rsidP="0031550A">
            <w:pPr>
              <w:pStyle w:val="TABLEBULLETNEW"/>
            </w:pPr>
            <w:r>
              <w:t>Rules like the Deliverable socialization date and DED/Deliverable walkthrough dates will need to be made on how we adjust the due date.</w:t>
            </w:r>
          </w:p>
        </w:tc>
      </w:tr>
      <w:tr w:rsidR="00595D26" w:rsidRPr="00A21682" w14:paraId="3C6F127C" w14:textId="77777777" w:rsidTr="361E3916">
        <w:tblPrEx>
          <w:tblLook w:val="04A0" w:firstRow="1" w:lastRow="0" w:firstColumn="1" w:lastColumn="0" w:noHBand="0" w:noVBand="1"/>
        </w:tblPrEx>
        <w:trPr>
          <w:trHeight w:val="20"/>
        </w:trPr>
        <w:tc>
          <w:tcPr>
            <w:tcW w:w="1977" w:type="dxa"/>
          </w:tcPr>
          <w:p w14:paraId="557E45B5" w14:textId="26D960CC" w:rsidR="00595D26" w:rsidRPr="00A21682" w:rsidRDefault="00595D26" w:rsidP="00036C35">
            <w:pPr>
              <w:pStyle w:val="TABLETEXT1"/>
              <w:rPr>
                <w:lang w:val="en-US"/>
              </w:rPr>
            </w:pPr>
            <w:r>
              <w:rPr>
                <w:lang w:val="en-US"/>
              </w:rPr>
              <w:t xml:space="preserve">Percent Complete </w:t>
            </w:r>
          </w:p>
        </w:tc>
        <w:tc>
          <w:tcPr>
            <w:tcW w:w="7380" w:type="dxa"/>
          </w:tcPr>
          <w:p w14:paraId="48177F9E" w14:textId="77777777" w:rsidR="00595D26" w:rsidRPr="00A21682" w:rsidRDefault="00595D26" w:rsidP="00036C35">
            <w:pPr>
              <w:pStyle w:val="TABLETEXT1"/>
              <w:rPr>
                <w:lang w:val="en-US"/>
              </w:rPr>
            </w:pPr>
            <w:r>
              <w:rPr>
                <w:lang w:val="en-US"/>
              </w:rPr>
              <w:t xml:space="preserve">The following standards will be used when updating the % Complete column in the Work Plan. </w:t>
            </w:r>
          </w:p>
          <w:p w14:paraId="4887BB79" w14:textId="7EA51475" w:rsidR="00595D26" w:rsidRPr="00635C9B" w:rsidRDefault="00595D26" w:rsidP="0031550A">
            <w:pPr>
              <w:pStyle w:val="BulletNEW"/>
            </w:pPr>
            <w:r>
              <w:t>25% - Task has been started</w:t>
            </w:r>
          </w:p>
          <w:p w14:paraId="1A2FDA17" w14:textId="2BC21ECA" w:rsidR="00595D26" w:rsidRPr="00635C9B" w:rsidRDefault="00595D26" w:rsidP="0031550A">
            <w:pPr>
              <w:pStyle w:val="BulletNEW"/>
            </w:pPr>
            <w:r>
              <w:t>50% - Task is in progress</w:t>
            </w:r>
          </w:p>
          <w:p w14:paraId="38CE629F" w14:textId="6BD49A75" w:rsidR="00595D26" w:rsidRPr="00635C9B" w:rsidRDefault="00595D26" w:rsidP="0031550A">
            <w:pPr>
              <w:pStyle w:val="BulletNEW"/>
            </w:pPr>
            <w:r>
              <w:t>75% - Task is completed, but requires updates due to reviews/comments received</w:t>
            </w:r>
          </w:p>
          <w:p w14:paraId="68450F76" w14:textId="60AA456D" w:rsidR="00595D26" w:rsidRPr="00635C9B" w:rsidRDefault="00595D26" w:rsidP="0031550A">
            <w:pPr>
              <w:pStyle w:val="BulletNEW"/>
            </w:pPr>
            <w:r>
              <w:t>100% - Task is complete</w:t>
            </w:r>
          </w:p>
        </w:tc>
      </w:tr>
    </w:tbl>
    <w:p w14:paraId="779659E4" w14:textId="01EF2A38" w:rsidR="008960FC" w:rsidRPr="00A21682" w:rsidRDefault="008960FC" w:rsidP="00F27C5D">
      <w:pPr>
        <w:pStyle w:val="Caption"/>
        <w:rPr>
          <w:noProof w:val="0"/>
          <w:shd w:val="clear" w:color="auto" w:fill="FFFFFF"/>
        </w:rPr>
      </w:pPr>
      <w:bookmarkStart w:id="4214" w:name="_Toc151389913"/>
      <w:bookmarkStart w:id="4215" w:name="_Toc192875217"/>
      <w:bookmarkStart w:id="4216" w:name="_Toc148009154"/>
      <w:bookmarkStart w:id="4217" w:name="_Toc143601400"/>
      <w:bookmarkStart w:id="4218" w:name="_Toc144466113"/>
      <w:bookmarkEnd w:id="4212"/>
      <w:bookmarkEnd w:id="4213"/>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4</w:t>
      </w:r>
      <w:r>
        <w:rPr>
          <w:noProof w:val="0"/>
          <w:shd w:val="clear" w:color="auto" w:fill="FFFFFF"/>
        </w:rPr>
        <w:fldChar w:fldCharType="end"/>
      </w:r>
      <w:r>
        <w:rPr>
          <w:noProof w:val="0"/>
          <w:shd w:val="clear" w:color="auto" w:fill="FFFFFF"/>
        </w:rPr>
        <w:t>: Quality Checks</w:t>
      </w:r>
      <w:bookmarkEnd w:id="4214"/>
      <w:bookmarkEnd w:id="4215"/>
    </w:p>
    <w:p w14:paraId="4667CF42" w14:textId="6B747123" w:rsidR="008960FC" w:rsidRPr="00A21682" w:rsidRDefault="008960FC">
      <w:pPr>
        <w:pStyle w:val="Heading2"/>
        <w:rPr>
          <w:shd w:val="clear" w:color="auto" w:fill="FFFFFF"/>
        </w:rPr>
      </w:pPr>
      <w:bookmarkStart w:id="4219" w:name="_Toc148009294"/>
      <w:bookmarkStart w:id="4220" w:name="_Toc151389895"/>
      <w:bookmarkStart w:id="4221" w:name="_Toc177119642"/>
      <w:bookmarkStart w:id="4222" w:name="_Toc185952905"/>
      <w:bookmarkStart w:id="4223" w:name="_Toc192875001"/>
      <w:bookmarkEnd w:id="4216"/>
      <w:r>
        <w:rPr>
          <w:shd w:val="clear" w:color="auto" w:fill="FFFFFF"/>
        </w:rPr>
        <w:t>Task Creation and Maintenance</w:t>
      </w:r>
      <w:bookmarkEnd w:id="4217"/>
      <w:bookmarkEnd w:id="4218"/>
      <w:bookmarkEnd w:id="4219"/>
      <w:bookmarkEnd w:id="4220"/>
      <w:bookmarkEnd w:id="4221"/>
      <w:bookmarkEnd w:id="4222"/>
      <w:bookmarkEnd w:id="4223"/>
    </w:p>
    <w:p w14:paraId="1786EFFF" w14:textId="6E919198" w:rsidR="008960FC" w:rsidRPr="00A21682" w:rsidRDefault="008960FC" w:rsidP="00595D26">
      <w:pPr>
        <w:pStyle w:val="NormalNEW"/>
        <w:rPr>
          <w:lang w:val="en-US"/>
        </w:rPr>
      </w:pPr>
      <w:r>
        <w:rPr>
          <w:lang w:val="en-US"/>
        </w:rPr>
        <w:t xml:space="preserve">The following sub-sections describe the detailed processes for the creation and maintenance of tasks. </w:t>
      </w:r>
    </w:p>
    <w:p w14:paraId="2EB1B506" w14:textId="5E1184CA" w:rsidR="008960FC" w:rsidRPr="00A21682" w:rsidRDefault="008960FC">
      <w:pPr>
        <w:pStyle w:val="Heading3"/>
        <w:rPr>
          <w:shd w:val="clear" w:color="auto" w:fill="FFFFFF"/>
        </w:rPr>
      </w:pPr>
      <w:bookmarkStart w:id="4224" w:name="_Toc143601401"/>
      <w:bookmarkStart w:id="4225" w:name="_Toc144466114"/>
      <w:bookmarkStart w:id="4226" w:name="_Toc148009295"/>
      <w:bookmarkStart w:id="4227" w:name="_Toc151389896"/>
      <w:bookmarkStart w:id="4228" w:name="_Toc177119643"/>
      <w:bookmarkStart w:id="4229" w:name="_Toc185952906"/>
      <w:bookmarkStart w:id="4230" w:name="_Toc192875002"/>
      <w:r>
        <w:rPr>
          <w:shd w:val="clear" w:color="auto" w:fill="FFFFFF"/>
        </w:rPr>
        <w:t>Establishing the Overall Work Plan Structure</w:t>
      </w:r>
      <w:bookmarkEnd w:id="4224"/>
      <w:bookmarkEnd w:id="4225"/>
      <w:bookmarkEnd w:id="4226"/>
      <w:bookmarkEnd w:id="4227"/>
      <w:bookmarkEnd w:id="4228"/>
      <w:bookmarkEnd w:id="4229"/>
      <w:bookmarkEnd w:id="4230"/>
    </w:p>
    <w:p w14:paraId="727A612C" w14:textId="4F3364D5" w:rsidR="008960FC" w:rsidRPr="00A21682" w:rsidRDefault="008960FC" w:rsidP="00595D26">
      <w:pPr>
        <w:pStyle w:val="NormalNEW"/>
        <w:rPr>
          <w:lang w:val="en-US"/>
        </w:rPr>
      </w:pPr>
      <w:r>
        <w:rPr>
          <w:lang w:val="en-US"/>
        </w:rPr>
        <w:t>The structure of the Work Plan should adhere to the following guidelines:</w:t>
      </w:r>
    </w:p>
    <w:p w14:paraId="5BEEC573" w14:textId="5B2C1640" w:rsidR="008960FC" w:rsidRPr="00A21682" w:rsidRDefault="008960FC" w:rsidP="0031550A">
      <w:pPr>
        <w:pStyle w:val="BulletNEW"/>
      </w:pPr>
      <w:r>
        <w:t>Each phase and subphase ends with a completion milestone that follows the Phase/Subphase Name + “Completed” format (e.g., Plan Requirements Completed, this will be tracked in Requirements Traceability Matrix (DEL-19))</w:t>
      </w:r>
    </w:p>
    <w:p w14:paraId="7219BF57" w14:textId="5270DFD2" w:rsidR="008960FC" w:rsidRPr="00A21682" w:rsidRDefault="008960FC" w:rsidP="0031550A">
      <w:pPr>
        <w:pStyle w:val="BulletNEW"/>
      </w:pPr>
      <w:r>
        <w:t>For requirements and design sessions planning in the Work Plan, the start and finish of each session for each functional area are tracked; the Work Plan is not used as a calendaring tool to plan out each individual session, rather, the JAD Calendar is used for this purpose</w:t>
      </w:r>
    </w:p>
    <w:p w14:paraId="60CE6264" w14:textId="433E1B7A" w:rsidR="008960FC" w:rsidRPr="00A21682" w:rsidRDefault="008960FC" w:rsidP="0031550A">
      <w:pPr>
        <w:pStyle w:val="BulletNEW"/>
      </w:pPr>
      <w:r>
        <w:lastRenderedPageBreak/>
        <w:t>For displaying contractual deliverables in the Work Plan, the drafting and planning activities are in the individual workstream’s section. The submission, review, and invoicing activities of the deliverable are in the Monitor and Control section of the Work Plan under “Deliverable Transmittals and Invoices”, organized by Deliverable number. Below is an example of a single deliverable in the Work Plan:</w:t>
      </w:r>
    </w:p>
    <w:tbl>
      <w:tblPr>
        <w:tblW w:w="83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A0" w:firstRow="1" w:lastRow="0" w:firstColumn="1" w:lastColumn="0" w:noHBand="1" w:noVBand="1"/>
      </w:tblPr>
      <w:tblGrid>
        <w:gridCol w:w="8373"/>
      </w:tblGrid>
      <w:tr w:rsidR="00C9537A" w:rsidRPr="00A21682" w14:paraId="55C84271" w14:textId="77777777" w:rsidTr="006A2007">
        <w:trPr>
          <w:trHeight w:val="20"/>
          <w:jc w:val="center"/>
        </w:trPr>
        <w:tc>
          <w:tcPr>
            <w:tcW w:w="8373" w:type="dxa"/>
            <w:shd w:val="clear" w:color="auto" w:fill="000000" w:themeFill="text1"/>
            <w:vAlign w:val="center"/>
          </w:tcPr>
          <w:p w14:paraId="73B08416" w14:textId="77777777" w:rsidR="00C9537A" w:rsidRPr="00A21682" w:rsidRDefault="00C9537A">
            <w:pPr>
              <w:pStyle w:val="TABLEHEADINGNEW"/>
              <w:rPr>
                <w:shd w:val="clear" w:color="auto" w:fill="FFFFFF"/>
              </w:rPr>
            </w:pPr>
            <w:r>
              <w:t>Develop Deliverable (in Workstream section)</w:t>
            </w:r>
          </w:p>
        </w:tc>
      </w:tr>
      <w:tr w:rsidR="00C9537A" w:rsidRPr="00A21682" w14:paraId="530526B9" w14:textId="77777777" w:rsidTr="006A2007">
        <w:trPr>
          <w:trHeight w:val="20"/>
          <w:jc w:val="center"/>
        </w:trPr>
        <w:tc>
          <w:tcPr>
            <w:tcW w:w="8373" w:type="dxa"/>
            <w:vAlign w:val="center"/>
          </w:tcPr>
          <w:p w14:paraId="7EA9CC07" w14:textId="77777777" w:rsidR="00C9537A" w:rsidRPr="00A21682" w:rsidRDefault="00C9537A">
            <w:pPr>
              <w:pStyle w:val="TABLETEXT1"/>
              <w:rPr>
                <w:lang w:val="en-US"/>
              </w:rPr>
            </w:pPr>
            <w:r>
              <w:rPr>
                <w:lang w:val="en-US"/>
              </w:rPr>
              <w:t>Develop [</w:t>
            </w:r>
            <w:r>
              <w:rPr>
                <w:i/>
                <w:iCs/>
                <w:lang w:val="en-US"/>
              </w:rPr>
              <w:t>Deliverable Name</w:t>
            </w:r>
            <w:r>
              <w:rPr>
                <w:lang w:val="en-US"/>
              </w:rPr>
              <w:t>] Deliverable</w:t>
            </w:r>
          </w:p>
        </w:tc>
      </w:tr>
      <w:tr w:rsidR="00C9537A" w:rsidRPr="00A21682" w14:paraId="540A62CA" w14:textId="77777777" w:rsidTr="006A2007">
        <w:trPr>
          <w:trHeight w:val="20"/>
          <w:jc w:val="center"/>
        </w:trPr>
        <w:tc>
          <w:tcPr>
            <w:tcW w:w="8373" w:type="dxa"/>
            <w:vAlign w:val="center"/>
          </w:tcPr>
          <w:p w14:paraId="07AB5C8E" w14:textId="77777777" w:rsidR="00C9537A" w:rsidRPr="00A21682" w:rsidRDefault="00C9537A">
            <w:pPr>
              <w:pStyle w:val="TABLETEXT1"/>
              <w:rPr>
                <w:lang w:val="en-US"/>
              </w:rPr>
            </w:pPr>
            <w:r>
              <w:rPr>
                <w:lang w:val="en-US"/>
              </w:rPr>
              <w:t>Submit [</w:t>
            </w:r>
            <w:r>
              <w:rPr>
                <w:i/>
                <w:iCs/>
                <w:lang w:val="en-US"/>
              </w:rPr>
              <w:t>Deliverable Name</w:t>
            </w:r>
            <w:r>
              <w:rPr>
                <w:lang w:val="en-US"/>
              </w:rPr>
              <w:t>] Deliverable to DOH for Collaboration</w:t>
            </w:r>
          </w:p>
        </w:tc>
      </w:tr>
      <w:tr w:rsidR="00C9537A" w:rsidRPr="00A21682" w14:paraId="2758B4AC" w14:textId="77777777" w:rsidTr="006A2007">
        <w:trPr>
          <w:trHeight w:val="20"/>
          <w:jc w:val="center"/>
        </w:trPr>
        <w:tc>
          <w:tcPr>
            <w:tcW w:w="8373" w:type="dxa"/>
            <w:vAlign w:val="center"/>
          </w:tcPr>
          <w:p w14:paraId="2D7CC9DB" w14:textId="77777777" w:rsidR="00C9537A" w:rsidRPr="00A21682" w:rsidRDefault="00C9537A">
            <w:pPr>
              <w:pStyle w:val="TABLETEXT1"/>
              <w:rPr>
                <w:lang w:val="en-US"/>
              </w:rPr>
            </w:pPr>
            <w:r>
              <w:rPr>
                <w:lang w:val="en-US"/>
              </w:rPr>
              <w:t>DOH Provides Comments [</w:t>
            </w:r>
            <w:r>
              <w:rPr>
                <w:i/>
                <w:iCs/>
                <w:lang w:val="en-US"/>
              </w:rPr>
              <w:t>Deliverable Name</w:t>
            </w:r>
            <w:r>
              <w:rPr>
                <w:lang w:val="en-US"/>
              </w:rPr>
              <w:t xml:space="preserve">] </w:t>
            </w:r>
          </w:p>
        </w:tc>
      </w:tr>
      <w:tr w:rsidR="00C9537A" w:rsidRPr="00A21682" w14:paraId="5C79EEBA" w14:textId="77777777" w:rsidTr="006A2007">
        <w:trPr>
          <w:trHeight w:val="20"/>
          <w:jc w:val="center"/>
        </w:trPr>
        <w:tc>
          <w:tcPr>
            <w:tcW w:w="8373" w:type="dxa"/>
            <w:vAlign w:val="center"/>
          </w:tcPr>
          <w:p w14:paraId="1117E35C" w14:textId="77777777" w:rsidR="00C9537A" w:rsidRPr="00A21682" w:rsidRDefault="00C9537A">
            <w:pPr>
              <w:pStyle w:val="TABLETEXT1"/>
              <w:rPr>
                <w:lang w:val="en-US"/>
              </w:rPr>
            </w:pPr>
            <w:r>
              <w:rPr>
                <w:lang w:val="en-US"/>
              </w:rPr>
              <w:t>███████ Responds to Comments on [</w:t>
            </w:r>
            <w:r>
              <w:rPr>
                <w:i/>
                <w:lang w:val="en-US"/>
              </w:rPr>
              <w:t>Deliverable Name</w:t>
            </w:r>
            <w:r>
              <w:rPr>
                <w:lang w:val="en-US"/>
              </w:rPr>
              <w:t xml:space="preserve">] </w:t>
            </w:r>
          </w:p>
        </w:tc>
      </w:tr>
      <w:tr w:rsidR="00C9537A" w:rsidRPr="00A21682" w14:paraId="38455001" w14:textId="77777777" w:rsidTr="006A2007">
        <w:trPr>
          <w:trHeight w:val="20"/>
          <w:jc w:val="center"/>
        </w:trPr>
        <w:tc>
          <w:tcPr>
            <w:tcW w:w="8373" w:type="dxa"/>
            <w:vAlign w:val="center"/>
          </w:tcPr>
          <w:p w14:paraId="4CC83926" w14:textId="77777777" w:rsidR="00C9537A" w:rsidRPr="00A21682" w:rsidRDefault="00C9537A">
            <w:pPr>
              <w:pStyle w:val="TABLETEXT1"/>
              <w:rPr>
                <w:lang w:val="en-US"/>
              </w:rPr>
            </w:pPr>
            <w:r>
              <w:rPr>
                <w:lang w:val="en-US"/>
              </w:rPr>
              <w:t>DOH Reviews Comments on [</w:t>
            </w:r>
            <w:r>
              <w:rPr>
                <w:i/>
                <w:lang w:val="en-US"/>
              </w:rPr>
              <w:t>Deliverable Name</w:t>
            </w:r>
            <w:r>
              <w:rPr>
                <w:lang w:val="en-US"/>
              </w:rPr>
              <w:t>]</w:t>
            </w:r>
          </w:p>
        </w:tc>
      </w:tr>
      <w:tr w:rsidR="00C9537A" w:rsidRPr="00A21682" w14:paraId="676BEB02" w14:textId="77777777" w:rsidTr="006A2007">
        <w:trPr>
          <w:trHeight w:val="20"/>
          <w:jc w:val="center"/>
        </w:trPr>
        <w:tc>
          <w:tcPr>
            <w:tcW w:w="8373" w:type="dxa"/>
            <w:vAlign w:val="center"/>
          </w:tcPr>
          <w:p w14:paraId="561B111A" w14:textId="7C27C2F8" w:rsidR="00C9537A" w:rsidRPr="00A21682" w:rsidRDefault="00C9537A" w:rsidP="00C9537A">
            <w:pPr>
              <w:pStyle w:val="TABLETEXT1"/>
              <w:keepNext/>
              <w:rPr>
                <w:lang w:val="en-US"/>
              </w:rPr>
            </w:pPr>
            <w:r>
              <w:rPr>
                <w:lang w:val="en-US"/>
              </w:rPr>
              <w:t>[</w:t>
            </w:r>
            <w:r>
              <w:rPr>
                <w:i/>
                <w:lang w:val="en-US"/>
              </w:rPr>
              <w:t>Deliverable Name</w:t>
            </w:r>
            <w:r>
              <w:rPr>
                <w:lang w:val="en-US"/>
              </w:rPr>
              <w:t>] Review Complete and Ready for Transmittal</w:t>
            </w:r>
          </w:p>
        </w:tc>
      </w:tr>
    </w:tbl>
    <w:p w14:paraId="54C99D24" w14:textId="39226B5F" w:rsidR="008960FC" w:rsidRPr="00A21682" w:rsidRDefault="008960FC" w:rsidP="00FD1EF4">
      <w:pPr>
        <w:pStyle w:val="Caption"/>
        <w:rPr>
          <w:noProof w:val="0"/>
          <w:shd w:val="clear" w:color="auto" w:fill="FFFFFF"/>
        </w:rPr>
      </w:pPr>
      <w:bookmarkStart w:id="4231" w:name="_Toc148009155"/>
      <w:bookmarkStart w:id="4232" w:name="_Toc151389914"/>
      <w:bookmarkStart w:id="4233" w:name="_Toc192875218"/>
      <w:bookmarkStart w:id="4234" w:name="_Toc143601402"/>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5</w:t>
      </w:r>
      <w:r>
        <w:rPr>
          <w:noProof w:val="0"/>
          <w:shd w:val="clear" w:color="auto" w:fill="FFFFFF"/>
        </w:rPr>
        <w:fldChar w:fldCharType="end"/>
      </w:r>
      <w:r>
        <w:rPr>
          <w:noProof w:val="0"/>
          <w:shd w:val="clear" w:color="auto" w:fill="FFFFFF"/>
        </w:rPr>
        <w:t>: Example Deliverable Development Tasks in Work Plan</w:t>
      </w:r>
      <w:bookmarkEnd w:id="4231"/>
      <w:bookmarkEnd w:id="4232"/>
      <w:bookmarkEnd w:id="4233"/>
    </w:p>
    <w:tbl>
      <w:tblPr>
        <w:tblW w:w="83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A0" w:firstRow="1" w:lastRow="0" w:firstColumn="1" w:lastColumn="0" w:noHBand="1" w:noVBand="1"/>
      </w:tblPr>
      <w:tblGrid>
        <w:gridCol w:w="8373"/>
      </w:tblGrid>
      <w:tr w:rsidR="00943C44" w:rsidRPr="00A21682" w14:paraId="3CE8AC0B" w14:textId="77777777" w:rsidTr="006A2007">
        <w:trPr>
          <w:trHeight w:val="20"/>
          <w:jc w:val="center"/>
        </w:trPr>
        <w:tc>
          <w:tcPr>
            <w:tcW w:w="8373" w:type="dxa"/>
            <w:shd w:val="clear" w:color="auto" w:fill="000000" w:themeFill="text1"/>
            <w:vAlign w:val="center"/>
          </w:tcPr>
          <w:p w14:paraId="6BE14A34" w14:textId="24532A0F" w:rsidR="00943C44" w:rsidRPr="00A21682" w:rsidRDefault="00B15AAA">
            <w:pPr>
              <w:pStyle w:val="TABLEHEADINGNEW"/>
              <w:rPr>
                <w:shd w:val="clear" w:color="auto" w:fill="FFFFFF"/>
              </w:rPr>
            </w:pPr>
            <w:r>
              <w:t>Transmit Deliverable (in Monitor and Control section)</w:t>
            </w:r>
          </w:p>
        </w:tc>
      </w:tr>
      <w:tr w:rsidR="00943C44" w:rsidRPr="00A21682" w14:paraId="0560421F" w14:textId="77777777" w:rsidTr="006A2007">
        <w:trPr>
          <w:trHeight w:val="20"/>
          <w:jc w:val="center"/>
        </w:trPr>
        <w:tc>
          <w:tcPr>
            <w:tcW w:w="8373" w:type="dxa"/>
            <w:vAlign w:val="center"/>
          </w:tcPr>
          <w:p w14:paraId="451D0547" w14:textId="219FF7E6" w:rsidR="00943C44" w:rsidRPr="00A21682" w:rsidRDefault="007D747C">
            <w:pPr>
              <w:pStyle w:val="TABLETEXT1"/>
              <w:rPr>
                <w:lang w:val="en-US"/>
              </w:rPr>
            </w:pPr>
            <w:r>
              <w:rPr>
                <w:lang w:val="en-US"/>
              </w:rPr>
              <w:t>███████ Prepares [</w:t>
            </w:r>
            <w:r>
              <w:rPr>
                <w:i/>
                <w:iCs/>
                <w:lang w:val="en-US"/>
              </w:rPr>
              <w:t>Deliverable Name</w:t>
            </w:r>
            <w:r>
              <w:rPr>
                <w:lang w:val="en-US"/>
              </w:rPr>
              <w:t>] Deliverable Transmittal</w:t>
            </w:r>
          </w:p>
        </w:tc>
      </w:tr>
      <w:tr w:rsidR="007D747C" w:rsidRPr="00A21682" w14:paraId="22E8982C" w14:textId="77777777" w:rsidTr="006A2007">
        <w:trPr>
          <w:trHeight w:val="20"/>
          <w:jc w:val="center"/>
        </w:trPr>
        <w:tc>
          <w:tcPr>
            <w:tcW w:w="8373" w:type="dxa"/>
            <w:vAlign w:val="center"/>
          </w:tcPr>
          <w:p w14:paraId="6C2A0401" w14:textId="48C8F69E" w:rsidR="007D747C" w:rsidRPr="00A21682" w:rsidRDefault="007D747C">
            <w:pPr>
              <w:pStyle w:val="TABLETEXT1"/>
              <w:rPr>
                <w:lang w:val="en-US"/>
              </w:rPr>
            </w:pPr>
            <w:r>
              <w:rPr>
                <w:lang w:val="en-US"/>
              </w:rPr>
              <w:t>███████ Submits [</w:t>
            </w:r>
            <w:r>
              <w:rPr>
                <w:i/>
                <w:iCs/>
                <w:lang w:val="en-US"/>
              </w:rPr>
              <w:t>Deliverable Name</w:t>
            </w:r>
            <w:r>
              <w:rPr>
                <w:lang w:val="en-US"/>
              </w:rPr>
              <w:t>] to DOH</w:t>
            </w:r>
          </w:p>
        </w:tc>
      </w:tr>
      <w:tr w:rsidR="007D747C" w:rsidRPr="00A21682" w14:paraId="3BE2726E" w14:textId="77777777" w:rsidTr="006A2007">
        <w:trPr>
          <w:trHeight w:val="20"/>
          <w:jc w:val="center"/>
        </w:trPr>
        <w:tc>
          <w:tcPr>
            <w:tcW w:w="8373" w:type="dxa"/>
            <w:vAlign w:val="center"/>
          </w:tcPr>
          <w:p w14:paraId="46A826B9" w14:textId="5F59B09D" w:rsidR="007D747C" w:rsidRPr="00A21682" w:rsidRDefault="004C31F5">
            <w:pPr>
              <w:pStyle w:val="TABLETEXT1"/>
              <w:rPr>
                <w:lang w:val="en-US"/>
              </w:rPr>
            </w:pPr>
            <w:r>
              <w:rPr>
                <w:lang w:val="en-US"/>
              </w:rPr>
              <w:t>DOH Reviews [</w:t>
            </w:r>
            <w:r>
              <w:rPr>
                <w:i/>
                <w:iCs/>
                <w:lang w:val="en-US"/>
              </w:rPr>
              <w:t>Deliverable Name</w:t>
            </w:r>
            <w:r>
              <w:rPr>
                <w:lang w:val="en-US"/>
              </w:rPr>
              <w:t>]</w:t>
            </w:r>
          </w:p>
        </w:tc>
      </w:tr>
      <w:tr w:rsidR="004C31F5" w:rsidRPr="00A21682" w14:paraId="13DFD69E" w14:textId="77777777" w:rsidTr="006A2007">
        <w:trPr>
          <w:trHeight w:val="20"/>
          <w:jc w:val="center"/>
        </w:trPr>
        <w:tc>
          <w:tcPr>
            <w:tcW w:w="8373" w:type="dxa"/>
            <w:vAlign w:val="center"/>
          </w:tcPr>
          <w:p w14:paraId="2ED09B3A" w14:textId="67A34BA8" w:rsidR="004C31F5" w:rsidRPr="00A21682" w:rsidRDefault="004C31F5">
            <w:pPr>
              <w:pStyle w:val="TABLETEXT1"/>
              <w:rPr>
                <w:lang w:val="en-US"/>
              </w:rPr>
            </w:pPr>
            <w:r>
              <w:rPr>
                <w:lang w:val="en-US"/>
              </w:rPr>
              <w:t>███████ Completes Updates and Re-Submits [</w:t>
            </w:r>
            <w:r>
              <w:rPr>
                <w:i/>
                <w:iCs/>
                <w:lang w:val="en-US"/>
              </w:rPr>
              <w:t>Deliverable Name</w:t>
            </w:r>
            <w:r>
              <w:rPr>
                <w:lang w:val="en-US"/>
              </w:rPr>
              <w:t>] to DOH</w:t>
            </w:r>
          </w:p>
        </w:tc>
      </w:tr>
      <w:tr w:rsidR="004C31F5" w:rsidRPr="00A21682" w14:paraId="1BE5CFD3" w14:textId="77777777" w:rsidTr="006A2007">
        <w:trPr>
          <w:trHeight w:val="20"/>
          <w:jc w:val="center"/>
        </w:trPr>
        <w:tc>
          <w:tcPr>
            <w:tcW w:w="8373" w:type="dxa"/>
            <w:vAlign w:val="center"/>
          </w:tcPr>
          <w:p w14:paraId="00216329" w14:textId="01D3948E" w:rsidR="004C31F5" w:rsidRPr="00A21682" w:rsidRDefault="004C31F5">
            <w:pPr>
              <w:pStyle w:val="TABLETEXT1"/>
              <w:rPr>
                <w:lang w:val="en-US"/>
              </w:rPr>
            </w:pPr>
            <w:r>
              <w:rPr>
                <w:lang w:val="en-US"/>
              </w:rPr>
              <w:t>DOH Approves [</w:t>
            </w:r>
            <w:r>
              <w:rPr>
                <w:i/>
                <w:iCs/>
                <w:lang w:val="en-US"/>
              </w:rPr>
              <w:t>Deliverable Name</w:t>
            </w:r>
            <w:r>
              <w:rPr>
                <w:lang w:val="en-US"/>
              </w:rPr>
              <w:t>] Transmittal</w:t>
            </w:r>
          </w:p>
        </w:tc>
      </w:tr>
    </w:tbl>
    <w:p w14:paraId="1E36F323" w14:textId="3F4CC2E3" w:rsidR="00943C44" w:rsidRPr="00A21682" w:rsidRDefault="00943C44" w:rsidP="00943C44">
      <w:pPr>
        <w:pStyle w:val="Caption"/>
        <w:rPr>
          <w:noProof w:val="0"/>
          <w:shd w:val="clear" w:color="auto" w:fill="FFFFFF"/>
        </w:rPr>
      </w:pPr>
      <w:bookmarkStart w:id="4235" w:name="_Toc192875219"/>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6</w:t>
      </w:r>
      <w:r>
        <w:rPr>
          <w:noProof w:val="0"/>
          <w:shd w:val="clear" w:color="auto" w:fill="FFFFFF"/>
        </w:rPr>
        <w:fldChar w:fldCharType="end"/>
      </w:r>
      <w:r>
        <w:rPr>
          <w:noProof w:val="0"/>
          <w:shd w:val="clear" w:color="auto" w:fill="FFFFFF"/>
        </w:rPr>
        <w:t>: Example Deliverable Transmittal Tasks in Work Plan</w:t>
      </w:r>
      <w:bookmarkEnd w:id="4235"/>
    </w:p>
    <w:p w14:paraId="559E62AA" w14:textId="4F5B1B45" w:rsidR="008960FC" w:rsidRPr="00A21682" w:rsidRDefault="008960FC">
      <w:pPr>
        <w:pStyle w:val="Heading3"/>
        <w:rPr>
          <w:shd w:val="clear" w:color="auto" w:fill="FFFFFF"/>
        </w:rPr>
      </w:pPr>
      <w:bookmarkStart w:id="4236" w:name="_Toc144466115"/>
      <w:bookmarkStart w:id="4237" w:name="_Toc148009296"/>
      <w:bookmarkStart w:id="4238" w:name="_Toc151389897"/>
      <w:bookmarkStart w:id="4239" w:name="_Toc177119644"/>
      <w:bookmarkStart w:id="4240" w:name="_Toc185952907"/>
      <w:bookmarkStart w:id="4241" w:name="_Toc192875003"/>
      <w:r>
        <w:rPr>
          <w:shd w:val="clear" w:color="auto" w:fill="FFFFFF"/>
        </w:rPr>
        <w:t>Creating a Task</w:t>
      </w:r>
      <w:bookmarkEnd w:id="4234"/>
      <w:bookmarkEnd w:id="4236"/>
      <w:bookmarkEnd w:id="4237"/>
      <w:bookmarkEnd w:id="4238"/>
      <w:bookmarkEnd w:id="4239"/>
      <w:bookmarkEnd w:id="4240"/>
      <w:bookmarkEnd w:id="4241"/>
    </w:p>
    <w:p w14:paraId="383C05E0" w14:textId="77777777" w:rsidR="008960FC" w:rsidRPr="00A21682" w:rsidRDefault="008960FC" w:rsidP="00FD1EF4">
      <w:pPr>
        <w:pStyle w:val="NormalNEW"/>
        <w:rPr>
          <w:lang w:val="en-US"/>
        </w:rPr>
      </w:pPr>
      <w:r>
        <w:rPr>
          <w:lang w:val="en-US"/>
        </w:rPr>
        <w:t xml:space="preserve">The following are guidelines for the creation of all tasks in the Work Plan. </w:t>
      </w:r>
    </w:p>
    <w:p w14:paraId="71BA2E59" w14:textId="42D6F5E6" w:rsidR="008960FC" w:rsidRPr="00A21682" w:rsidRDefault="008960FC" w:rsidP="0031550A">
      <w:pPr>
        <w:pStyle w:val="BulletNEW"/>
      </w:pPr>
      <w:r>
        <w:t>Start all tasks with a verb or action</w:t>
      </w:r>
    </w:p>
    <w:p w14:paraId="0E911395" w14:textId="77777777" w:rsidR="008960FC" w:rsidRPr="00A21682" w:rsidRDefault="008960FC" w:rsidP="0031550A">
      <w:pPr>
        <w:pStyle w:val="BulletNEW"/>
      </w:pPr>
      <w:r>
        <w:t>Populate the following fields:</w:t>
      </w:r>
    </w:p>
    <w:p w14:paraId="6EA8E95B" w14:textId="77777777" w:rsidR="008960FC" w:rsidRPr="00A21682" w:rsidRDefault="008960FC">
      <w:pPr>
        <w:pStyle w:val="ListBullet2"/>
        <w:rPr>
          <w:lang w:val="en-US"/>
        </w:rPr>
      </w:pPr>
      <w:r>
        <w:rPr>
          <w:lang w:val="en-US"/>
        </w:rPr>
        <w:t>Task Name</w:t>
      </w:r>
    </w:p>
    <w:p w14:paraId="56045F3A" w14:textId="77777777" w:rsidR="008960FC" w:rsidRPr="00A21682" w:rsidRDefault="008960FC">
      <w:pPr>
        <w:pStyle w:val="ListBullet2"/>
        <w:rPr>
          <w:lang w:val="en-US"/>
        </w:rPr>
      </w:pPr>
      <w:r>
        <w:rPr>
          <w:lang w:val="en-US"/>
        </w:rPr>
        <w:t>Resource Name</w:t>
      </w:r>
    </w:p>
    <w:p w14:paraId="00C60E70" w14:textId="77777777" w:rsidR="008960FC" w:rsidRPr="00A21682" w:rsidRDefault="008960FC">
      <w:pPr>
        <w:pStyle w:val="ListBullet2"/>
        <w:rPr>
          <w:lang w:val="en-US"/>
        </w:rPr>
      </w:pPr>
      <w:r>
        <w:rPr>
          <w:lang w:val="en-US"/>
        </w:rPr>
        <w:t>Duration</w:t>
      </w:r>
    </w:p>
    <w:p w14:paraId="49249469" w14:textId="6DE261A3" w:rsidR="008960FC" w:rsidRPr="00A21682" w:rsidRDefault="000531E9">
      <w:pPr>
        <w:pStyle w:val="ListBullet2"/>
        <w:rPr>
          <w:lang w:val="en-US"/>
        </w:rPr>
      </w:pPr>
      <w:r>
        <w:rPr>
          <w:lang w:val="en-US"/>
        </w:rPr>
        <w:t>Predecessors</w:t>
      </w:r>
    </w:p>
    <w:p w14:paraId="1B5E630E" w14:textId="77777777" w:rsidR="008960FC" w:rsidRPr="00A21682" w:rsidRDefault="008960FC">
      <w:pPr>
        <w:pStyle w:val="ListBullet2"/>
        <w:rPr>
          <w:lang w:val="en-US"/>
        </w:rPr>
      </w:pPr>
      <w:r>
        <w:rPr>
          <w:lang w:val="en-US"/>
        </w:rPr>
        <w:t>Notes, if applicable</w:t>
      </w:r>
    </w:p>
    <w:p w14:paraId="0F0AC60A" w14:textId="20C8936B" w:rsidR="008960FC" w:rsidRPr="00A21682" w:rsidRDefault="008960FC">
      <w:pPr>
        <w:pStyle w:val="ListBullet2"/>
        <w:rPr>
          <w:lang w:val="en-US"/>
        </w:rPr>
      </w:pPr>
      <w:r>
        <w:rPr>
          <w:lang w:val="en-US"/>
        </w:rPr>
        <w:t xml:space="preserve">(Planned) Start Date (auto populated) </w:t>
      </w:r>
    </w:p>
    <w:p w14:paraId="2B5C18B8" w14:textId="49CC243F" w:rsidR="008960FC" w:rsidRPr="00A21682" w:rsidRDefault="008960FC" w:rsidP="00541FC2">
      <w:pPr>
        <w:pStyle w:val="ListBullet2"/>
        <w:spacing w:after="120"/>
        <w:rPr>
          <w:lang w:val="en-US"/>
        </w:rPr>
      </w:pPr>
      <w:r>
        <w:rPr>
          <w:lang w:val="en-US"/>
        </w:rPr>
        <w:t>(Planned) Finish Date</w:t>
      </w:r>
    </w:p>
    <w:p w14:paraId="072D0F55" w14:textId="37975D74" w:rsidR="008960FC" w:rsidRPr="00A21682" w:rsidRDefault="008960FC" w:rsidP="0031550A">
      <w:pPr>
        <w:pStyle w:val="BulletNEW"/>
      </w:pPr>
      <w:r>
        <w:t>Each task added to the Work Plan will be set to auto-schedule and Fixed Duration</w:t>
      </w:r>
    </w:p>
    <w:p w14:paraId="66B1E41A" w14:textId="44E8F971" w:rsidR="008960FC" w:rsidRPr="00A21682" w:rsidRDefault="008960FC" w:rsidP="0031550A">
      <w:pPr>
        <w:pStyle w:val="BulletNEW"/>
      </w:pPr>
      <w:r>
        <w:t>Where possible, custom fields are used with discretion and only if there is an agreement with ███████ and DOH OHIP</w:t>
      </w:r>
    </w:p>
    <w:p w14:paraId="5188AA70" w14:textId="38B636C6" w:rsidR="008960FC" w:rsidRPr="00A21682" w:rsidRDefault="008960FC" w:rsidP="0031550A">
      <w:pPr>
        <w:pStyle w:val="BulletNEW"/>
      </w:pPr>
      <w:r>
        <w:t>If a task or activity has a predecessor dependency to a contractual deliverable, establish the dependency with the SUBMISSION milestone for that deliverable rather than the APPROVAL milestone</w:t>
      </w:r>
    </w:p>
    <w:p w14:paraId="02FF613C" w14:textId="416011C9" w:rsidR="008960FC" w:rsidRPr="00A21682" w:rsidRDefault="008960FC" w:rsidP="0031550A">
      <w:pPr>
        <w:pStyle w:val="BulletNEW"/>
      </w:pPr>
      <w:r>
        <w:lastRenderedPageBreak/>
        <w:t>If a task is required to achieve a milestone within a specific phase, it should always be structured under that phase, even if it means that it will start before the previous phase(s) are completed (by leveraging lag/slack in its task dependencies if necessary)</w:t>
      </w:r>
    </w:p>
    <w:p w14:paraId="1A41E668" w14:textId="1D972D47" w:rsidR="008960FC" w:rsidRPr="00A21682" w:rsidRDefault="008960FC" w:rsidP="0031550A">
      <w:pPr>
        <w:pStyle w:val="BulletNEW"/>
      </w:pPr>
      <w:r>
        <w:t>The duration of a task should be an accurate estimation of the anticipated number of days needed to complete the task</w:t>
      </w:r>
    </w:p>
    <w:p w14:paraId="6D30F2AE" w14:textId="50B78381" w:rsidR="008960FC" w:rsidRPr="00A21682" w:rsidRDefault="008960FC">
      <w:pPr>
        <w:pStyle w:val="Heading3"/>
        <w:rPr>
          <w:shd w:val="clear" w:color="auto" w:fill="FFFFFF"/>
        </w:rPr>
      </w:pPr>
      <w:bookmarkStart w:id="4242" w:name="_Toc143601403"/>
      <w:bookmarkStart w:id="4243" w:name="_Toc144466116"/>
      <w:bookmarkStart w:id="4244" w:name="_Toc148009297"/>
      <w:bookmarkStart w:id="4245" w:name="_Toc151389898"/>
      <w:bookmarkStart w:id="4246" w:name="_Toc177119645"/>
      <w:bookmarkStart w:id="4247" w:name="_Toc185952908"/>
      <w:bookmarkStart w:id="4248" w:name="_Toc192875004"/>
      <w:r>
        <w:rPr>
          <w:shd w:val="clear" w:color="auto" w:fill="FFFFFF"/>
        </w:rPr>
        <w:t>Removing or Cancelling a Task</w:t>
      </w:r>
      <w:bookmarkEnd w:id="4242"/>
      <w:bookmarkEnd w:id="4243"/>
      <w:bookmarkEnd w:id="4244"/>
      <w:bookmarkEnd w:id="4245"/>
      <w:bookmarkEnd w:id="4246"/>
      <w:bookmarkEnd w:id="4247"/>
      <w:bookmarkEnd w:id="4248"/>
    </w:p>
    <w:p w14:paraId="09DAF852" w14:textId="4A8BDCF8" w:rsidR="008960FC" w:rsidRPr="00A21682" w:rsidRDefault="008960FC" w:rsidP="00FD1EF4">
      <w:pPr>
        <w:pStyle w:val="NormalNEW"/>
        <w:rPr>
          <w:lang w:val="en-US"/>
        </w:rPr>
      </w:pPr>
      <w:r>
        <w:rPr>
          <w:lang w:val="en-US"/>
        </w:rPr>
        <w:t>Once the plan is baselined, a task should never be removed from the Work Plan. If a task is determined to be no longer necessary, then the steps below should be followed:</w:t>
      </w:r>
    </w:p>
    <w:p w14:paraId="3075260D" w14:textId="5F5D41F7" w:rsidR="008960FC" w:rsidRPr="00A21682" w:rsidRDefault="008960FC" w:rsidP="0031550A">
      <w:pPr>
        <w:pStyle w:val="BulletNEW"/>
      </w:pPr>
      <w:r>
        <w:t>Determine if the removal of the task warrants a CR per the ICCP (refer to Section 10)</w:t>
      </w:r>
    </w:p>
    <w:p w14:paraId="19418669" w14:textId="17B88D9B" w:rsidR="008960FC" w:rsidRPr="00A21682" w:rsidRDefault="008960FC" w:rsidP="0031550A">
      <w:pPr>
        <w:pStyle w:val="BulletNEW"/>
      </w:pPr>
      <w:r>
        <w:t>Update the duration of the task to 0 days</w:t>
      </w:r>
    </w:p>
    <w:p w14:paraId="01CE1AC7" w14:textId="1E1D23DD" w:rsidR="008960FC" w:rsidRPr="00A21682" w:rsidRDefault="008960FC" w:rsidP="0031550A">
      <w:pPr>
        <w:pStyle w:val="BulletNEW"/>
      </w:pPr>
      <w:r>
        <w:t>Update the percent complete to 100%</w:t>
      </w:r>
    </w:p>
    <w:p w14:paraId="5AE5F359" w14:textId="5EF5A3BC" w:rsidR="008960FC" w:rsidRPr="00A21682" w:rsidRDefault="008960FC" w:rsidP="0031550A">
      <w:pPr>
        <w:pStyle w:val="BulletNEW"/>
      </w:pPr>
      <w:r>
        <w:t>Update the task name as CANCELLED on [Date] with the date the task was cancelled, as well as the reason for task cancellation</w:t>
      </w:r>
    </w:p>
    <w:p w14:paraId="3404A045" w14:textId="109743F5" w:rsidR="00504265" w:rsidRPr="00A21682" w:rsidRDefault="00504265" w:rsidP="0031550A">
      <w:pPr>
        <w:pStyle w:val="BulletNEW"/>
      </w:pPr>
      <w:r>
        <w:t>Update the notes section with the original task name</w:t>
      </w:r>
    </w:p>
    <w:p w14:paraId="42B579DF" w14:textId="2BF37530" w:rsidR="008960FC" w:rsidRPr="00A21682" w:rsidRDefault="008960FC">
      <w:pPr>
        <w:pStyle w:val="Heading3"/>
        <w:rPr>
          <w:shd w:val="clear" w:color="auto" w:fill="FFFFFF"/>
        </w:rPr>
      </w:pPr>
      <w:bookmarkStart w:id="4249" w:name="_Toc143601404"/>
      <w:bookmarkStart w:id="4250" w:name="_Toc144466117"/>
      <w:bookmarkStart w:id="4251" w:name="_Toc148009298"/>
      <w:bookmarkStart w:id="4252" w:name="_Toc151389899"/>
      <w:bookmarkStart w:id="4253" w:name="_Toc177119646"/>
      <w:bookmarkStart w:id="4254" w:name="_Toc185952909"/>
      <w:bookmarkStart w:id="4255" w:name="_Toc192875005"/>
      <w:r>
        <w:rPr>
          <w:shd w:val="clear" w:color="auto" w:fill="FFFFFF"/>
        </w:rPr>
        <w:t>Assigning a Task</w:t>
      </w:r>
      <w:bookmarkEnd w:id="4249"/>
      <w:bookmarkEnd w:id="4250"/>
      <w:bookmarkEnd w:id="4251"/>
      <w:bookmarkEnd w:id="4252"/>
      <w:bookmarkEnd w:id="4253"/>
      <w:bookmarkEnd w:id="4254"/>
      <w:bookmarkEnd w:id="4255"/>
    </w:p>
    <w:p w14:paraId="47113701" w14:textId="0795A66B" w:rsidR="008960FC" w:rsidRPr="00A21682" w:rsidRDefault="008960FC" w:rsidP="00FD1EF4">
      <w:pPr>
        <w:pStyle w:val="NormalNEW"/>
        <w:rPr>
          <w:lang w:val="en-US"/>
        </w:rPr>
      </w:pPr>
      <w:r>
        <w:rPr>
          <w:lang w:val="en-US"/>
        </w:rPr>
        <w:t>Maintaining a standardized list of available team and resource names allows the Work Plan task to be assigned to the proper team and task owner. Resources will be maintained by the ███████ PMO in collaboration with DOH OHIP.</w:t>
      </w:r>
    </w:p>
    <w:p w14:paraId="7A77F6C7" w14:textId="03DB0869" w:rsidR="008960FC" w:rsidRPr="00A21682" w:rsidRDefault="008960FC" w:rsidP="00FD1EF4">
      <w:pPr>
        <w:pStyle w:val="NormalNEW"/>
        <w:rPr>
          <w:lang w:val="en-US"/>
        </w:rPr>
      </w:pPr>
      <w:r>
        <w:rPr>
          <w:lang w:val="en-US"/>
        </w:rPr>
        <w:t>Assign the “Resource Name” of each lowest-level task in the Work Plan to a designated team of people responsible for completing the task; this allows the Work Plan to be sorted by project workstream. Individual tasks within teams are decided upon by team leads. The responsibility for completion falls to the lead of the assigned team.</w:t>
      </w:r>
    </w:p>
    <w:p w14:paraId="67433331" w14:textId="4DC5A03B" w:rsidR="008960FC" w:rsidRPr="00A21682" w:rsidRDefault="008960FC">
      <w:pPr>
        <w:pStyle w:val="Heading3"/>
        <w:rPr>
          <w:shd w:val="clear" w:color="auto" w:fill="FFFFFF"/>
        </w:rPr>
      </w:pPr>
      <w:bookmarkStart w:id="4256" w:name="_Toc143601405"/>
      <w:bookmarkStart w:id="4257" w:name="_Toc144466118"/>
      <w:bookmarkStart w:id="4258" w:name="_Toc148009299"/>
      <w:bookmarkStart w:id="4259" w:name="_Toc151389900"/>
      <w:bookmarkStart w:id="4260" w:name="_Toc177119647"/>
      <w:bookmarkStart w:id="4261" w:name="_Toc185952910"/>
      <w:bookmarkStart w:id="4262" w:name="_Toc192875006"/>
      <w:r>
        <w:rPr>
          <w:shd w:val="clear" w:color="auto" w:fill="FFFFFF"/>
        </w:rPr>
        <w:t>Leveling and Resource Balancing</w:t>
      </w:r>
      <w:bookmarkEnd w:id="4256"/>
      <w:bookmarkEnd w:id="4257"/>
      <w:bookmarkEnd w:id="4258"/>
      <w:bookmarkEnd w:id="4259"/>
      <w:bookmarkEnd w:id="4260"/>
      <w:bookmarkEnd w:id="4261"/>
      <w:bookmarkEnd w:id="4262"/>
    </w:p>
    <w:p w14:paraId="6DCB40B6" w14:textId="04DE47BD" w:rsidR="00B52769" w:rsidRPr="00A21682" w:rsidRDefault="008960FC" w:rsidP="00FD1EF4">
      <w:pPr>
        <w:pStyle w:val="NormalNEW"/>
        <w:rPr>
          <w:lang w:val="en-US"/>
        </w:rPr>
      </w:pPr>
      <w:r>
        <w:rPr>
          <w:lang w:val="en-US"/>
        </w:rPr>
        <w:t xml:space="preserve">Since each assigned “resource” in the Work Plan represents a team of people performing the task, resource balancing will not be performed. </w:t>
      </w:r>
    </w:p>
    <w:p w14:paraId="047F730D" w14:textId="172564D1" w:rsidR="00312AB6" w:rsidRPr="00A21682" w:rsidRDefault="00312AB6" w:rsidP="0031550A">
      <w:pPr>
        <w:pStyle w:val="BulletNEW"/>
      </w:pPr>
      <w:r>
        <w:t>Each team lead is responsible for managing the allocation of effort by the team’s respective members to manage to the due dates set forth in the work plan. If the team lead identifies that their team may not be able to complete activities as planned due to resource constraints, they will consult with the team managing the work plan, draft a schedule risk per the Project Controls Plan, and present remediation options to ███████ and DOH OHIP project leadership. Once a remediation approach is confirmed, any resulting schedule changes will be incorporated into the Work Plan.</w:t>
      </w:r>
    </w:p>
    <w:p w14:paraId="38815E95" w14:textId="51A1D15B" w:rsidR="008960FC" w:rsidRPr="00A21682" w:rsidRDefault="008960FC">
      <w:pPr>
        <w:pStyle w:val="Heading3"/>
        <w:rPr>
          <w:shd w:val="clear" w:color="auto" w:fill="FFFFFF"/>
        </w:rPr>
      </w:pPr>
      <w:bookmarkStart w:id="4263" w:name="_Toc143601406"/>
      <w:bookmarkStart w:id="4264" w:name="_Toc144466119"/>
      <w:bookmarkStart w:id="4265" w:name="_Toc148009300"/>
      <w:bookmarkStart w:id="4266" w:name="_Toc151389901"/>
      <w:bookmarkStart w:id="4267" w:name="_Toc177119648"/>
      <w:bookmarkStart w:id="4268" w:name="_Toc185952911"/>
      <w:bookmarkStart w:id="4269" w:name="_Toc192875007"/>
      <w:r>
        <w:rPr>
          <w:shd w:val="clear" w:color="auto" w:fill="FFFFFF"/>
        </w:rPr>
        <w:t>Controlling the Schedule</w:t>
      </w:r>
      <w:bookmarkEnd w:id="4263"/>
      <w:bookmarkEnd w:id="4264"/>
      <w:bookmarkEnd w:id="4265"/>
      <w:bookmarkEnd w:id="4266"/>
      <w:bookmarkEnd w:id="4267"/>
      <w:bookmarkEnd w:id="4268"/>
      <w:bookmarkEnd w:id="4269"/>
    </w:p>
    <w:p w14:paraId="0F06153D" w14:textId="002DDAAF" w:rsidR="00117142" w:rsidRPr="00A21682" w:rsidRDefault="008960FC" w:rsidP="00FD1EF4">
      <w:pPr>
        <w:pStyle w:val="NormalNEW"/>
        <w:rPr>
          <w:lang w:val="en-US"/>
        </w:rPr>
      </w:pPr>
      <w:r>
        <w:rPr>
          <w:lang w:val="en-US"/>
        </w:rPr>
        <w:t>Schedule control processes serve to minimize schedule changes. Some control techniques reveal the status of the schedule where others suggest action to bring the project back on schedule. The table below lists some control techniques that may be used to control the Work Plan.</w:t>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A0" w:firstRow="1" w:lastRow="0" w:firstColumn="1" w:lastColumn="0" w:noHBand="1" w:noVBand="1"/>
      </w:tblPr>
      <w:tblGrid>
        <w:gridCol w:w="2016"/>
        <w:gridCol w:w="7344"/>
      </w:tblGrid>
      <w:tr w:rsidR="00117142" w:rsidRPr="00A21682" w14:paraId="5DB31199" w14:textId="77777777" w:rsidTr="00541FC2">
        <w:trPr>
          <w:trHeight w:val="20"/>
          <w:tblHeader/>
        </w:trPr>
        <w:tc>
          <w:tcPr>
            <w:tcW w:w="2016" w:type="dxa"/>
            <w:tcBorders>
              <w:right w:val="single" w:sz="2" w:space="0" w:color="FFFFFF" w:themeColor="background1"/>
            </w:tcBorders>
            <w:shd w:val="clear" w:color="auto" w:fill="000000" w:themeFill="text1"/>
          </w:tcPr>
          <w:p w14:paraId="2E336A36" w14:textId="77777777" w:rsidR="008960FC" w:rsidRPr="00A21682" w:rsidRDefault="008960FC" w:rsidP="00047C4E">
            <w:pPr>
              <w:pStyle w:val="TABLEHEADINGNEW"/>
              <w:rPr>
                <w:shd w:val="clear" w:color="auto" w:fill="FFFFFF"/>
              </w:rPr>
            </w:pPr>
            <w:r>
              <w:t>Technique</w:t>
            </w:r>
          </w:p>
        </w:tc>
        <w:tc>
          <w:tcPr>
            <w:tcW w:w="7344" w:type="dxa"/>
            <w:tcBorders>
              <w:left w:val="single" w:sz="2" w:space="0" w:color="FFFFFF" w:themeColor="background1"/>
            </w:tcBorders>
            <w:shd w:val="clear" w:color="auto" w:fill="000000" w:themeFill="text1"/>
          </w:tcPr>
          <w:p w14:paraId="057E69F2" w14:textId="77777777" w:rsidR="008960FC" w:rsidRPr="00A21682" w:rsidRDefault="008960FC" w:rsidP="00047C4E">
            <w:pPr>
              <w:pStyle w:val="TABLEHEADINGNEW"/>
              <w:rPr>
                <w:shd w:val="clear" w:color="auto" w:fill="FFFFFF"/>
              </w:rPr>
            </w:pPr>
            <w:r>
              <w:t>Definition</w:t>
            </w:r>
          </w:p>
        </w:tc>
      </w:tr>
      <w:tr w:rsidR="008960FC" w:rsidRPr="00A21682" w14:paraId="5459CC5B" w14:textId="77777777" w:rsidTr="00047C4E">
        <w:trPr>
          <w:trHeight w:val="20"/>
        </w:trPr>
        <w:tc>
          <w:tcPr>
            <w:tcW w:w="2016" w:type="dxa"/>
          </w:tcPr>
          <w:p w14:paraId="39B70CA0" w14:textId="77777777" w:rsidR="008960FC" w:rsidRPr="00A21682" w:rsidRDefault="008960FC" w:rsidP="00047C4E">
            <w:pPr>
              <w:pStyle w:val="TABLETEXT1"/>
              <w:rPr>
                <w:lang w:val="en-US"/>
              </w:rPr>
            </w:pPr>
            <w:bookmarkStart w:id="4270" w:name="_Toc143601407"/>
            <w:r>
              <w:rPr>
                <w:lang w:val="en-US"/>
              </w:rPr>
              <w:t>Performance Reviews</w:t>
            </w:r>
          </w:p>
        </w:tc>
        <w:tc>
          <w:tcPr>
            <w:tcW w:w="7344" w:type="dxa"/>
          </w:tcPr>
          <w:p w14:paraId="3E6C1B22" w14:textId="77777777" w:rsidR="008960FC" w:rsidRPr="00A21682" w:rsidRDefault="008960FC" w:rsidP="00047C4E">
            <w:pPr>
              <w:pStyle w:val="TABLETEXT1"/>
              <w:rPr>
                <w:lang w:val="en-US"/>
              </w:rPr>
            </w:pPr>
            <w:r>
              <w:rPr>
                <w:lang w:val="en-US"/>
              </w:rPr>
              <w:t>Performance reviews measure, compare, and analyze schedule performance such as actual start and finish dates, percent complete, and remaining duration for the work in progress.</w:t>
            </w:r>
          </w:p>
        </w:tc>
      </w:tr>
      <w:tr w:rsidR="008960FC" w:rsidRPr="00A21682" w14:paraId="0DA9F7C6" w14:textId="77777777" w:rsidTr="00047C4E">
        <w:trPr>
          <w:trHeight w:val="20"/>
        </w:trPr>
        <w:tc>
          <w:tcPr>
            <w:tcW w:w="2016" w:type="dxa"/>
          </w:tcPr>
          <w:p w14:paraId="14019335" w14:textId="77777777" w:rsidR="008960FC" w:rsidRPr="00A21682" w:rsidRDefault="008960FC" w:rsidP="00047C4E">
            <w:pPr>
              <w:pStyle w:val="TABLETEXT1"/>
              <w:rPr>
                <w:b/>
                <w:lang w:val="en-US"/>
              </w:rPr>
            </w:pPr>
            <w:r>
              <w:rPr>
                <w:lang w:val="en-US"/>
              </w:rPr>
              <w:t>Scenario Analysis</w:t>
            </w:r>
          </w:p>
        </w:tc>
        <w:tc>
          <w:tcPr>
            <w:tcW w:w="7344" w:type="dxa"/>
          </w:tcPr>
          <w:p w14:paraId="1B790B0F" w14:textId="77777777" w:rsidR="008960FC" w:rsidRPr="00A21682" w:rsidRDefault="008960FC" w:rsidP="00047C4E">
            <w:pPr>
              <w:pStyle w:val="TABLETEXT1"/>
              <w:rPr>
                <w:b/>
                <w:lang w:val="en-US"/>
              </w:rPr>
            </w:pPr>
            <w:r>
              <w:rPr>
                <w:lang w:val="en-US"/>
              </w:rPr>
              <w:t xml:space="preserve">Allows decision makers to explore the implications of several alternative future states thus avoiding the danger of single-point forecasts. Conducted in a </w:t>
            </w:r>
            <w:r>
              <w:rPr>
                <w:lang w:val="en-US"/>
              </w:rPr>
              <w:lastRenderedPageBreak/>
              <w:t>nonthreatening group setting, participants express beliefs, challenge assumptions, and alter their viewpoints to ultimately arrive at a strategic direction that is flexible and will remain so as actual events unfold.</w:t>
            </w:r>
          </w:p>
        </w:tc>
      </w:tr>
      <w:tr w:rsidR="008960FC" w:rsidRPr="00A21682" w14:paraId="63178D0B" w14:textId="77777777" w:rsidTr="00047C4E">
        <w:trPr>
          <w:trHeight w:val="20"/>
        </w:trPr>
        <w:tc>
          <w:tcPr>
            <w:tcW w:w="2016" w:type="dxa"/>
          </w:tcPr>
          <w:p w14:paraId="4C9318AE" w14:textId="77777777" w:rsidR="008960FC" w:rsidRPr="00A21682" w:rsidRDefault="008960FC" w:rsidP="00047C4E">
            <w:pPr>
              <w:pStyle w:val="TABLETEXT1"/>
              <w:rPr>
                <w:b/>
                <w:lang w:val="en-US"/>
              </w:rPr>
            </w:pPr>
            <w:r>
              <w:rPr>
                <w:lang w:val="en-US"/>
              </w:rPr>
              <w:t>Forward-Pass Analysis</w:t>
            </w:r>
          </w:p>
        </w:tc>
        <w:tc>
          <w:tcPr>
            <w:tcW w:w="7344" w:type="dxa"/>
          </w:tcPr>
          <w:p w14:paraId="4226BC6E" w14:textId="77777777" w:rsidR="008960FC" w:rsidRPr="00A21682" w:rsidRDefault="008960FC" w:rsidP="00047C4E">
            <w:pPr>
              <w:pStyle w:val="TABLETEXT1"/>
              <w:rPr>
                <w:b/>
                <w:lang w:val="en-US"/>
              </w:rPr>
            </w:pPr>
            <w:r>
              <w:rPr>
                <w:lang w:val="en-US"/>
              </w:rPr>
              <w:t>Calculation of early start dates and early finish dates for uncompleted portions of all network activities. Determined by working forward through the network logic from the project’s end date.</w:t>
            </w:r>
          </w:p>
        </w:tc>
      </w:tr>
      <w:tr w:rsidR="008960FC" w:rsidRPr="00A21682" w14:paraId="226FC471" w14:textId="77777777" w:rsidTr="00047C4E">
        <w:trPr>
          <w:trHeight w:val="20"/>
        </w:trPr>
        <w:tc>
          <w:tcPr>
            <w:tcW w:w="2016" w:type="dxa"/>
          </w:tcPr>
          <w:p w14:paraId="198ACAF8" w14:textId="77777777" w:rsidR="008960FC" w:rsidRPr="00A21682" w:rsidRDefault="008960FC" w:rsidP="00047C4E">
            <w:pPr>
              <w:pStyle w:val="TABLETEXT1"/>
              <w:rPr>
                <w:b/>
                <w:lang w:val="en-US"/>
              </w:rPr>
            </w:pPr>
            <w:r>
              <w:rPr>
                <w:lang w:val="en-US"/>
              </w:rPr>
              <w:t>Backward-Pass Analysis</w:t>
            </w:r>
          </w:p>
        </w:tc>
        <w:tc>
          <w:tcPr>
            <w:tcW w:w="7344" w:type="dxa"/>
          </w:tcPr>
          <w:p w14:paraId="7C995C1D" w14:textId="77777777" w:rsidR="008960FC" w:rsidRPr="00A21682" w:rsidRDefault="008960FC" w:rsidP="00047C4E">
            <w:pPr>
              <w:pStyle w:val="TABLETEXT1"/>
              <w:rPr>
                <w:b/>
                <w:lang w:val="en-US"/>
              </w:rPr>
            </w:pPr>
            <w:r>
              <w:rPr>
                <w:lang w:val="en-US"/>
              </w:rPr>
              <w:t>Calculation of late finish dates and late start dates for uncompleted portions of all network activities. Determined by working backward through the network logic from the project’s begin date.</w:t>
            </w:r>
          </w:p>
        </w:tc>
      </w:tr>
      <w:tr w:rsidR="008960FC" w:rsidRPr="00A21682" w14:paraId="38EBE45F" w14:textId="77777777" w:rsidTr="00047C4E">
        <w:trPr>
          <w:trHeight w:val="20"/>
        </w:trPr>
        <w:tc>
          <w:tcPr>
            <w:tcW w:w="2016" w:type="dxa"/>
          </w:tcPr>
          <w:p w14:paraId="34CFD8ED" w14:textId="77777777" w:rsidR="008960FC" w:rsidRPr="00A21682" w:rsidRDefault="008960FC" w:rsidP="00047C4E">
            <w:pPr>
              <w:pStyle w:val="TABLETEXT1"/>
              <w:rPr>
                <w:b/>
                <w:lang w:val="en-US"/>
              </w:rPr>
            </w:pPr>
            <w:r>
              <w:rPr>
                <w:lang w:val="en-US"/>
              </w:rPr>
              <w:t>Critical Path Method</w:t>
            </w:r>
          </w:p>
        </w:tc>
        <w:tc>
          <w:tcPr>
            <w:tcW w:w="7344" w:type="dxa"/>
          </w:tcPr>
          <w:p w14:paraId="24C1C694" w14:textId="10997308" w:rsidR="008960FC" w:rsidRPr="00A21682" w:rsidRDefault="008960FC" w:rsidP="00047C4E">
            <w:pPr>
              <w:pStyle w:val="TABLETEXT1"/>
              <w:rPr>
                <w:b/>
                <w:lang w:val="en-US"/>
              </w:rPr>
            </w:pPr>
            <w:r>
              <w:rPr>
                <w:lang w:val="en-US"/>
              </w:rPr>
              <w:t>Predicts project duration by analyzing the sequence of activities (network path) that has the least amount of scheduling flexibility (i.e., float). Early dates are calculated by a forward pass using a specified start date. Late dates are calculated by a backward pass starting from a specified completion date (usually forward pass’s calculated early finish date for the project.)</w:t>
            </w:r>
          </w:p>
        </w:tc>
      </w:tr>
      <w:tr w:rsidR="008960FC" w:rsidRPr="00A21682" w14:paraId="06DB10FF" w14:textId="77777777" w:rsidTr="00047C4E">
        <w:trPr>
          <w:trHeight w:val="20"/>
        </w:trPr>
        <w:tc>
          <w:tcPr>
            <w:tcW w:w="2016" w:type="dxa"/>
          </w:tcPr>
          <w:p w14:paraId="4CA4EABA" w14:textId="77777777" w:rsidR="008960FC" w:rsidRPr="00A21682" w:rsidRDefault="008960FC" w:rsidP="00047C4E">
            <w:pPr>
              <w:pStyle w:val="TABLETEXT1"/>
              <w:rPr>
                <w:b/>
                <w:lang w:val="en-US"/>
              </w:rPr>
            </w:pPr>
            <w:r>
              <w:rPr>
                <w:lang w:val="en-US"/>
              </w:rPr>
              <w:t>Monte Carlo Simulation</w:t>
            </w:r>
          </w:p>
        </w:tc>
        <w:tc>
          <w:tcPr>
            <w:tcW w:w="7344" w:type="dxa"/>
          </w:tcPr>
          <w:p w14:paraId="6DCDAFB8" w14:textId="77777777" w:rsidR="008960FC" w:rsidRPr="00A21682" w:rsidRDefault="008960FC" w:rsidP="00047C4E">
            <w:pPr>
              <w:pStyle w:val="TABLETEXT1"/>
              <w:rPr>
                <w:b/>
                <w:lang w:val="en-US"/>
              </w:rPr>
            </w:pPr>
            <w:r>
              <w:rPr>
                <w:lang w:val="en-US"/>
              </w:rPr>
              <w:t>A technique in which the project team leader or project team computes and/or quantifies the complete and total project cost and/or project schedule a number of times through the use of input values that are selected at random through the careful utilization of probability distributions or potential costs and/or potential durations. The purpose of utilization of the Monte Carlo analysis is for the sake of calculating a defined distribution scenario of possible total costs associated with the project as well as a range of possible completion dates of the project.</w:t>
            </w:r>
          </w:p>
        </w:tc>
      </w:tr>
      <w:tr w:rsidR="008960FC" w:rsidRPr="00A21682" w14:paraId="57DB24A3" w14:textId="77777777" w:rsidTr="00047C4E">
        <w:trPr>
          <w:trHeight w:val="20"/>
        </w:trPr>
        <w:tc>
          <w:tcPr>
            <w:tcW w:w="2016" w:type="dxa"/>
          </w:tcPr>
          <w:p w14:paraId="1D27B086" w14:textId="77777777" w:rsidR="008960FC" w:rsidRPr="00A21682" w:rsidRDefault="008960FC" w:rsidP="00047C4E">
            <w:pPr>
              <w:pStyle w:val="TABLETEXT1"/>
              <w:rPr>
                <w:b/>
                <w:lang w:val="en-US"/>
              </w:rPr>
            </w:pPr>
            <w:r>
              <w:rPr>
                <w:lang w:val="en-US"/>
              </w:rPr>
              <w:t>Variance Analysis</w:t>
            </w:r>
          </w:p>
        </w:tc>
        <w:tc>
          <w:tcPr>
            <w:tcW w:w="7344" w:type="dxa"/>
          </w:tcPr>
          <w:p w14:paraId="16ABCCC3" w14:textId="77777777" w:rsidR="008960FC" w:rsidRPr="00A21682" w:rsidRDefault="008960FC" w:rsidP="00047C4E">
            <w:pPr>
              <w:pStyle w:val="TABLETEXT1"/>
              <w:rPr>
                <w:b/>
                <w:lang w:val="en-US"/>
              </w:rPr>
            </w:pPr>
            <w:r>
              <w:rPr>
                <w:lang w:val="en-US"/>
              </w:rPr>
              <w:t>The goal is to determine the causes of a variance (that is to say, the difference between an expected result and an actual result).</w:t>
            </w:r>
          </w:p>
        </w:tc>
      </w:tr>
      <w:tr w:rsidR="008960FC" w:rsidRPr="00A21682" w14:paraId="316519D4" w14:textId="77777777" w:rsidTr="00047C4E">
        <w:trPr>
          <w:trHeight w:val="20"/>
        </w:trPr>
        <w:tc>
          <w:tcPr>
            <w:tcW w:w="2016" w:type="dxa"/>
          </w:tcPr>
          <w:p w14:paraId="0D196C37" w14:textId="77777777" w:rsidR="008960FC" w:rsidRPr="00A21682" w:rsidRDefault="008960FC" w:rsidP="00047C4E">
            <w:pPr>
              <w:pStyle w:val="TABLETEXT1"/>
              <w:rPr>
                <w:b/>
                <w:lang w:val="en-US"/>
              </w:rPr>
            </w:pPr>
            <w:r>
              <w:rPr>
                <w:lang w:val="en-US"/>
              </w:rPr>
              <w:t>Schedule Compression</w:t>
            </w:r>
          </w:p>
        </w:tc>
        <w:tc>
          <w:tcPr>
            <w:tcW w:w="7344" w:type="dxa"/>
          </w:tcPr>
          <w:p w14:paraId="23593C25" w14:textId="77777777" w:rsidR="008960FC" w:rsidRPr="00A21682" w:rsidRDefault="008960FC" w:rsidP="00047C4E">
            <w:pPr>
              <w:pStyle w:val="TABLETEXT1"/>
              <w:rPr>
                <w:b/>
                <w:lang w:val="en-US"/>
              </w:rPr>
            </w:pPr>
            <w:r>
              <w:rPr>
                <w:lang w:val="en-US"/>
              </w:rPr>
              <w:t>Shortening of the schedule without reducing the project scope. Often requires an increase in project cost.</w:t>
            </w:r>
          </w:p>
        </w:tc>
      </w:tr>
      <w:tr w:rsidR="008960FC" w:rsidRPr="00A21682" w14:paraId="51B1628A" w14:textId="77777777" w:rsidTr="00047C4E">
        <w:trPr>
          <w:trHeight w:val="20"/>
        </w:trPr>
        <w:tc>
          <w:tcPr>
            <w:tcW w:w="2016" w:type="dxa"/>
          </w:tcPr>
          <w:p w14:paraId="0E9CB14F" w14:textId="77777777" w:rsidR="008960FC" w:rsidRPr="00A21682" w:rsidRDefault="008960FC" w:rsidP="00047C4E">
            <w:pPr>
              <w:pStyle w:val="TABLETEXT1"/>
              <w:rPr>
                <w:b/>
                <w:lang w:val="en-US"/>
              </w:rPr>
            </w:pPr>
            <w:r>
              <w:rPr>
                <w:lang w:val="en-US"/>
              </w:rPr>
              <w:t>Fast Tracking</w:t>
            </w:r>
          </w:p>
        </w:tc>
        <w:tc>
          <w:tcPr>
            <w:tcW w:w="7344" w:type="dxa"/>
          </w:tcPr>
          <w:p w14:paraId="2C4AEEA1" w14:textId="77777777" w:rsidR="008960FC" w:rsidRPr="00A21682" w:rsidRDefault="008960FC" w:rsidP="00047C4E">
            <w:pPr>
              <w:pStyle w:val="TABLETEXT1"/>
              <w:rPr>
                <w:b/>
                <w:bCs/>
                <w:lang w:val="en-US"/>
              </w:rPr>
            </w:pPr>
            <w:r>
              <w:rPr>
                <w:lang w:val="en-US"/>
              </w:rPr>
              <w:t>Compressing the project schedule by overlapping activities normally performed in sequence, such as Design and Build/Construction.</w:t>
            </w:r>
          </w:p>
        </w:tc>
      </w:tr>
      <w:tr w:rsidR="008960FC" w:rsidRPr="00A21682" w14:paraId="70B68BFC" w14:textId="77777777" w:rsidTr="00047C4E">
        <w:trPr>
          <w:trHeight w:val="20"/>
        </w:trPr>
        <w:tc>
          <w:tcPr>
            <w:tcW w:w="2016" w:type="dxa"/>
          </w:tcPr>
          <w:p w14:paraId="2A23A6F2" w14:textId="462BEFF9" w:rsidR="008960FC" w:rsidRPr="00A21682" w:rsidRDefault="008960FC" w:rsidP="00047C4E">
            <w:pPr>
              <w:pStyle w:val="TABLETEXT1"/>
              <w:rPr>
                <w:lang w:val="en-US"/>
              </w:rPr>
            </w:pPr>
            <w:r>
              <w:rPr>
                <w:lang w:val="en-US"/>
              </w:rPr>
              <w:t>Free Float &amp; Total Float (or Slack)</w:t>
            </w:r>
          </w:p>
        </w:tc>
        <w:tc>
          <w:tcPr>
            <w:tcW w:w="7344" w:type="dxa"/>
          </w:tcPr>
          <w:p w14:paraId="34C867EF" w14:textId="77777777" w:rsidR="008960FC" w:rsidRPr="00A21682" w:rsidRDefault="008960FC" w:rsidP="00047C4E">
            <w:pPr>
              <w:pStyle w:val="TABLETEXT1"/>
              <w:rPr>
                <w:lang w:val="en-US"/>
              </w:rPr>
            </w:pPr>
            <w:r>
              <w:rPr>
                <w:lang w:val="en-US"/>
              </w:rPr>
              <w:t>Free float is the amount of time an activity can be delayed without delaying the early start of any immediately succeeding activities. Also called secondary float.</w:t>
            </w:r>
          </w:p>
          <w:p w14:paraId="07480362" w14:textId="77777777" w:rsidR="008960FC" w:rsidRPr="00A21682" w:rsidRDefault="008960FC" w:rsidP="00047C4E">
            <w:pPr>
              <w:pStyle w:val="TABLETEXT1"/>
              <w:rPr>
                <w:lang w:val="en-US"/>
              </w:rPr>
            </w:pPr>
            <w:r>
              <w:rPr>
                <w:lang w:val="en-US"/>
              </w:rPr>
              <w:t>Total float is the amount of time an activity can deviate from its early start without delaying the project end date. Derived by subtracting the early start from the late start, or the early finish from the late finish, and may change as the project progresses and as changes are made to the project plan. Also called slack, float, and path float.</w:t>
            </w:r>
          </w:p>
        </w:tc>
      </w:tr>
      <w:tr w:rsidR="008960FC" w:rsidRPr="00A21682" w14:paraId="604E705C" w14:textId="77777777" w:rsidTr="008E421C">
        <w:trPr>
          <w:trHeight w:val="20"/>
        </w:trPr>
        <w:tc>
          <w:tcPr>
            <w:tcW w:w="2016" w:type="dxa"/>
          </w:tcPr>
          <w:p w14:paraId="26252408" w14:textId="77777777" w:rsidR="008960FC" w:rsidRPr="00A21682" w:rsidRDefault="008960FC" w:rsidP="00047C4E">
            <w:pPr>
              <w:pStyle w:val="TABLETEXT1"/>
              <w:rPr>
                <w:lang w:val="en-US"/>
              </w:rPr>
            </w:pPr>
            <w:r>
              <w:rPr>
                <w:lang w:val="en-US"/>
              </w:rPr>
              <w:t>Adjust Leads and Lags</w:t>
            </w:r>
          </w:p>
        </w:tc>
        <w:tc>
          <w:tcPr>
            <w:tcW w:w="7344" w:type="dxa"/>
          </w:tcPr>
          <w:p w14:paraId="79E40684" w14:textId="77777777" w:rsidR="008960FC" w:rsidRPr="00A21682" w:rsidRDefault="008960FC" w:rsidP="00047C4E">
            <w:pPr>
              <w:pStyle w:val="TABLETEXT1"/>
              <w:rPr>
                <w:lang w:val="en-US"/>
              </w:rPr>
            </w:pPr>
            <w:r>
              <w:rPr>
                <w:lang w:val="en-US"/>
              </w:rPr>
              <w:t>Lead: A modification of a logical relationship that allows an acceleration of the successor activity such as when a task has a finish-to-start dependency with a ten-day lead, the successor activity can start ten days before the predecessor activity has finished.</w:t>
            </w:r>
          </w:p>
          <w:p w14:paraId="3BDAFE53" w14:textId="77777777" w:rsidR="008960FC" w:rsidRPr="00A21682" w:rsidRDefault="008960FC" w:rsidP="00047C4E">
            <w:pPr>
              <w:pStyle w:val="TABLETEXT1"/>
              <w:rPr>
                <w:lang w:val="en-US"/>
              </w:rPr>
            </w:pPr>
            <w:r>
              <w:rPr>
                <w:lang w:val="en-US"/>
              </w:rPr>
              <w:t>Lag: The modification of a logical relationship that directs a delay in the successor activity such as when a task has a finish-to-start dependency with a ten-day lag, the successor activity cannot start until ten days after the predecessor activity has finished.</w:t>
            </w:r>
          </w:p>
          <w:p w14:paraId="5B5B801B" w14:textId="77777777" w:rsidR="008960FC" w:rsidRPr="00A21682" w:rsidRDefault="008960FC" w:rsidP="00047C4E">
            <w:pPr>
              <w:pStyle w:val="TABLETEXT1"/>
              <w:rPr>
                <w:lang w:val="en-US"/>
              </w:rPr>
            </w:pPr>
            <w:r>
              <w:rPr>
                <w:lang w:val="en-US"/>
              </w:rPr>
              <w:lastRenderedPageBreak/>
              <w:t>Adjusting leads and lags is used to find ways to bring project activities that are behind into alignment with the plan.</w:t>
            </w:r>
          </w:p>
        </w:tc>
      </w:tr>
    </w:tbl>
    <w:p w14:paraId="3C39707C" w14:textId="213ADF60" w:rsidR="008960FC" w:rsidRPr="00A21682" w:rsidRDefault="008960FC" w:rsidP="00F200C4">
      <w:pPr>
        <w:pStyle w:val="Caption"/>
        <w:rPr>
          <w:noProof w:val="0"/>
          <w:shd w:val="clear" w:color="auto" w:fill="FFFFFF"/>
        </w:rPr>
      </w:pPr>
      <w:bookmarkStart w:id="4271" w:name="_Toc148009156"/>
      <w:bookmarkStart w:id="4272" w:name="_Toc151389915"/>
      <w:bookmarkStart w:id="4273" w:name="_Toc192875220"/>
      <w:r>
        <w:rPr>
          <w:noProof w:val="0"/>
          <w:shd w:val="clear" w:color="auto" w:fill="FFFFFF"/>
        </w:rPr>
        <w:t xml:space="preserve">Table </w:t>
      </w:r>
      <w:r>
        <w:rPr>
          <w:noProof w:val="0"/>
          <w:shd w:val="clear" w:color="auto" w:fill="FFFFFF"/>
        </w:rPr>
        <w:fldChar w:fldCharType="begin"/>
      </w:r>
      <w:r>
        <w:rPr>
          <w:noProof w:val="0"/>
          <w:shd w:val="clear" w:color="auto" w:fill="FFFFFF"/>
        </w:rPr>
        <w:instrText xml:space="preserve"> STYLEREF 1 \s </w:instrText>
      </w:r>
      <w:r>
        <w:rPr>
          <w:noProof w:val="0"/>
          <w:shd w:val="clear" w:color="auto" w:fill="FFFFFF"/>
        </w:rPr>
        <w:fldChar w:fldCharType="separate"/>
      </w:r>
      <w:r>
        <w:rPr>
          <w:noProof w:val="0"/>
          <w:shd w:val="clear" w:color="auto" w:fill="FFFFFF"/>
        </w:rPr>
        <w:t>11</w:t>
      </w:r>
      <w:r>
        <w:rPr>
          <w:noProof w:val="0"/>
          <w:shd w:val="clear" w:color="auto" w:fill="FFFFFF"/>
        </w:rPr>
        <w:fldChar w:fldCharType="end"/>
      </w:r>
      <w:r>
        <w:rPr>
          <w:noProof w:val="0"/>
          <w:shd w:val="clear" w:color="auto" w:fill="FFFFFF"/>
        </w:rPr>
        <w:noBreakHyphen/>
      </w:r>
      <w:r>
        <w:rPr>
          <w:noProof w:val="0"/>
          <w:shd w:val="clear" w:color="auto" w:fill="FFFFFF"/>
        </w:rPr>
        <w:fldChar w:fldCharType="begin"/>
      </w:r>
      <w:r>
        <w:rPr>
          <w:noProof w:val="0"/>
          <w:shd w:val="clear" w:color="auto" w:fill="FFFFFF"/>
        </w:rPr>
        <w:instrText xml:space="preserve"> SEQ Table \* ARABIC \s 1 </w:instrText>
      </w:r>
      <w:r>
        <w:rPr>
          <w:noProof w:val="0"/>
          <w:shd w:val="clear" w:color="auto" w:fill="FFFFFF"/>
        </w:rPr>
        <w:fldChar w:fldCharType="separate"/>
      </w:r>
      <w:r>
        <w:rPr>
          <w:noProof w:val="0"/>
          <w:shd w:val="clear" w:color="auto" w:fill="FFFFFF"/>
        </w:rPr>
        <w:t>7</w:t>
      </w:r>
      <w:r>
        <w:rPr>
          <w:noProof w:val="0"/>
          <w:shd w:val="clear" w:color="auto" w:fill="FFFFFF"/>
        </w:rPr>
        <w:fldChar w:fldCharType="end"/>
      </w:r>
      <w:r>
        <w:rPr>
          <w:noProof w:val="0"/>
          <w:shd w:val="clear" w:color="auto" w:fill="FFFFFF"/>
        </w:rPr>
        <w:t>: Schedule Techniques</w:t>
      </w:r>
      <w:bookmarkEnd w:id="4271"/>
      <w:bookmarkEnd w:id="4272"/>
      <w:bookmarkEnd w:id="4273"/>
    </w:p>
    <w:p w14:paraId="029D1094" w14:textId="1632EBD8" w:rsidR="008960FC" w:rsidRPr="00A21682" w:rsidRDefault="008960FC" w:rsidP="00424DE9">
      <w:pPr>
        <w:pStyle w:val="Heading4"/>
      </w:pPr>
      <w:bookmarkStart w:id="4274" w:name="_Toc144466120"/>
      <w:bookmarkStart w:id="4275" w:name="_Toc148009301"/>
      <w:bookmarkStart w:id="4276" w:name="_Toc151389902"/>
      <w:bookmarkStart w:id="4277" w:name="_Toc177119649"/>
      <w:bookmarkStart w:id="4278" w:name="_Toc185952912"/>
      <w:bookmarkStart w:id="4279" w:name="_Toc192875008"/>
      <w:r>
        <w:t>Adding Notes to a Task</w:t>
      </w:r>
      <w:bookmarkEnd w:id="4270"/>
      <w:bookmarkEnd w:id="4274"/>
      <w:bookmarkEnd w:id="4275"/>
      <w:bookmarkEnd w:id="4276"/>
      <w:bookmarkEnd w:id="4277"/>
      <w:bookmarkEnd w:id="4278"/>
      <w:bookmarkEnd w:id="4279"/>
    </w:p>
    <w:p w14:paraId="5E91B4D6" w14:textId="77777777" w:rsidR="008960FC" w:rsidRPr="00A21682" w:rsidRDefault="008960FC" w:rsidP="00FD1EF4">
      <w:pPr>
        <w:pStyle w:val="NormalNEW"/>
        <w:rPr>
          <w:lang w:val="en-US"/>
        </w:rPr>
      </w:pPr>
      <w:r>
        <w:rPr>
          <w:lang w:val="en-US"/>
        </w:rPr>
        <w:t>Tasks should include notes when additional information or updates are provided. The structure of notes will adhere to a chronological order with the most recent note at the top. As such, an example is provided below:</w:t>
      </w:r>
    </w:p>
    <w:p w14:paraId="16D362FE" w14:textId="25E14F5F" w:rsidR="008960FC" w:rsidRPr="00A21682" w:rsidRDefault="008B78D7" w:rsidP="0031550A">
      <w:pPr>
        <w:pStyle w:val="BulletNEW"/>
      </w:pPr>
      <w:r>
        <w:t>01/02/2024: requires an update from the technical team</w:t>
      </w:r>
    </w:p>
    <w:p w14:paraId="46896E4F" w14:textId="5C320FAC" w:rsidR="008960FC" w:rsidRPr="00A21682" w:rsidRDefault="008960FC" w:rsidP="0031550A">
      <w:pPr>
        <w:pStyle w:val="BulletNEW"/>
      </w:pPr>
      <w:r>
        <w:t>12/27/2023: awaiting the return of networking staff – updated duration of the task from 10 to 12 days</w:t>
      </w:r>
    </w:p>
    <w:p w14:paraId="2159A3D8" w14:textId="07A4A632" w:rsidR="008960FC" w:rsidRPr="00A21682" w:rsidRDefault="008960FC" w:rsidP="0031550A">
      <w:pPr>
        <w:pStyle w:val="BulletNEW"/>
      </w:pPr>
      <w:r>
        <w:t>12/20/2023: task identified to assist with technical coordination</w:t>
      </w:r>
    </w:p>
    <w:p w14:paraId="06EF5277" w14:textId="6A982530" w:rsidR="008960FC" w:rsidRPr="00A21682" w:rsidRDefault="008960FC" w:rsidP="00FD1EF4">
      <w:pPr>
        <w:pStyle w:val="NormalNEW"/>
        <w:rPr>
          <w:lang w:val="en-US"/>
        </w:rPr>
      </w:pPr>
      <w:r>
        <w:rPr>
          <w:lang w:val="en-US"/>
        </w:rPr>
        <w:t>Notes can be used to identify action items. If the note contains an action item, the identifier “Action:” will be used to identify the note as an action item. Action items identified in the notes field should also be logged in the ALM tool.</w:t>
      </w:r>
    </w:p>
    <w:p w14:paraId="263B4D2A" w14:textId="3FE7D257" w:rsidR="008960FC" w:rsidRPr="00A21682" w:rsidRDefault="008960FC">
      <w:pPr>
        <w:pStyle w:val="Heading3"/>
        <w:rPr>
          <w:shd w:val="clear" w:color="auto" w:fill="FFFFFF"/>
        </w:rPr>
      </w:pPr>
      <w:bookmarkStart w:id="4280" w:name="_Toc143601408"/>
      <w:bookmarkStart w:id="4281" w:name="_Toc144466121"/>
      <w:bookmarkStart w:id="4282" w:name="_Toc148009302"/>
      <w:bookmarkStart w:id="4283" w:name="_Toc151389903"/>
      <w:bookmarkStart w:id="4284" w:name="_Toc177119650"/>
      <w:bookmarkStart w:id="4285" w:name="_Toc185952913"/>
      <w:bookmarkStart w:id="4286" w:name="_Toc192875009"/>
      <w:r>
        <w:rPr>
          <w:shd w:val="clear" w:color="auto" w:fill="FFFFFF"/>
        </w:rPr>
        <w:t>Flagging Tasks for Discussion</w:t>
      </w:r>
      <w:bookmarkEnd w:id="4280"/>
      <w:bookmarkEnd w:id="4281"/>
      <w:bookmarkEnd w:id="4282"/>
      <w:bookmarkEnd w:id="4283"/>
      <w:bookmarkEnd w:id="4284"/>
      <w:bookmarkEnd w:id="4285"/>
      <w:bookmarkEnd w:id="4286"/>
    </w:p>
    <w:p w14:paraId="4C0C04FF" w14:textId="3839237A" w:rsidR="008960FC" w:rsidRPr="00A21682" w:rsidRDefault="008960FC" w:rsidP="00FD1EF4">
      <w:pPr>
        <w:pStyle w:val="NormalNEW"/>
        <w:rPr>
          <w:lang w:val="en-US"/>
        </w:rPr>
      </w:pPr>
      <w:r>
        <w:rPr>
          <w:lang w:val="en-US"/>
        </w:rPr>
        <w:t>In some instances, a task may need to be flagged for discussion. To identify a task that requires discussion, highlight the tasks in yellow. The tasks flagged for discussion will be reviewed during the weekly schedule management meeting as indicated in Section 11.5.3 Monitoring and Managing Updates.</w:t>
      </w:r>
    </w:p>
    <w:p w14:paraId="04288215" w14:textId="49F1271D" w:rsidR="008960FC" w:rsidRPr="00A21682" w:rsidRDefault="008960FC">
      <w:pPr>
        <w:pStyle w:val="Heading3"/>
        <w:rPr>
          <w:shd w:val="clear" w:color="auto" w:fill="FFFFFF"/>
        </w:rPr>
      </w:pPr>
      <w:bookmarkStart w:id="4287" w:name="_Toc143601410"/>
      <w:bookmarkStart w:id="4288" w:name="_Toc144466123"/>
      <w:bookmarkStart w:id="4289" w:name="_Toc148009303"/>
      <w:bookmarkStart w:id="4290" w:name="_Toc151389904"/>
      <w:bookmarkStart w:id="4291" w:name="_Toc177119651"/>
      <w:bookmarkStart w:id="4292" w:name="_Toc185952914"/>
      <w:bookmarkStart w:id="4293" w:name="_Toc192875010"/>
      <w:r>
        <w:rPr>
          <w:shd w:val="clear" w:color="auto" w:fill="FFFFFF"/>
        </w:rPr>
        <w:t>Baselining the Project</w:t>
      </w:r>
      <w:bookmarkEnd w:id="4287"/>
      <w:bookmarkEnd w:id="4288"/>
      <w:bookmarkEnd w:id="4289"/>
      <w:bookmarkEnd w:id="4290"/>
      <w:bookmarkEnd w:id="4291"/>
      <w:bookmarkEnd w:id="4292"/>
      <w:bookmarkEnd w:id="4293"/>
    </w:p>
    <w:p w14:paraId="12007226" w14:textId="0BB7434E" w:rsidR="00CF7CE7" w:rsidRPr="00A21682" w:rsidRDefault="008960FC" w:rsidP="00A9704C">
      <w:pPr>
        <w:pStyle w:val="NormalNEW"/>
        <w:rPr>
          <w:lang w:val="en-US"/>
        </w:rPr>
      </w:pPr>
      <w:r>
        <w:rPr>
          <w:lang w:val="en-US"/>
        </w:rPr>
        <w:t>The project’s schedule baseline defines the planned, agreed, and approved timeline for completion of project work activities, deliverables, and milestones throughout the project life cycle. This baseline is used to monitor schedule variances during the project and to identify tasks that may cause the timeline to slip. The updates to the tasks and the re-baselining of a project will be discussed if needed during weekly project management meetings, and then submitted and approved by the Change Control Board in consultation with Executive Governance.</w:t>
      </w:r>
    </w:p>
    <w:p w14:paraId="3627D49A" w14:textId="77777777" w:rsidR="00CF7CE7" w:rsidRPr="00A21682" w:rsidRDefault="00CF7CE7" w:rsidP="00CF7CE7">
      <w:pPr>
        <w:rPr>
          <w:rFonts w:ascii="Verdana" w:hAnsi="Verdana"/>
          <w:sz w:val="18"/>
        </w:rPr>
        <w:sectPr w:rsidR="00CF7CE7" w:rsidRPr="00A21682" w:rsidSect="00FB4E23">
          <w:headerReference w:type="default" r:id="rId113"/>
          <w:footerReference w:type="default" r:id="rId114"/>
          <w:pgSz w:w="12240" w:h="15840"/>
          <w:pgMar w:top="1440" w:right="1440" w:bottom="1440" w:left="1440" w:header="720" w:footer="720" w:gutter="0"/>
          <w:cols w:space="720"/>
          <w:docGrid w:linePitch="360"/>
        </w:sectPr>
      </w:pPr>
    </w:p>
    <w:p w14:paraId="621DF297" w14:textId="69C7EC24" w:rsidR="00CF7CE7" w:rsidRPr="00A21682" w:rsidRDefault="00CF7CE7" w:rsidP="00A9704C">
      <w:pPr>
        <w:pStyle w:val="Deliverable"/>
        <w:jc w:val="center"/>
        <w:rPr>
          <w:sz w:val="18"/>
        </w:rPr>
      </w:pPr>
      <w:r>
        <w:rPr>
          <w:color w:val="FFFFFF" w:themeColor="background1"/>
        </w:rPr>
        <w:lastRenderedPageBreak/>
        <w:t>Section 12 – Requirements Management Plan</w:t>
      </w:r>
    </w:p>
    <w:p w14:paraId="31F07BD9" w14:textId="77777777" w:rsidR="00CF7CE7" w:rsidRPr="00A21682" w:rsidRDefault="00CF7CE7" w:rsidP="00CF7CE7">
      <w:pPr>
        <w:rPr>
          <w:rFonts w:ascii="Verdana" w:hAnsi="Verdana"/>
          <w:sz w:val="18"/>
        </w:rPr>
        <w:sectPr w:rsidR="00CF7CE7" w:rsidRPr="00A21682" w:rsidSect="00FB4E23">
          <w:headerReference w:type="default" r:id="rId115"/>
          <w:footerReference w:type="default" r:id="rId116"/>
          <w:pgSz w:w="12240" w:h="15840"/>
          <w:pgMar w:top="1440" w:right="1440" w:bottom="1440" w:left="1440" w:header="720" w:footer="720" w:gutter="0"/>
          <w:cols w:space="720"/>
          <w:vAlign w:val="center"/>
          <w:docGrid w:linePitch="360"/>
        </w:sectPr>
      </w:pPr>
    </w:p>
    <w:p w14:paraId="71CC0A5F" w14:textId="6AFEC1C3" w:rsidR="00CF7CE7" w:rsidRPr="00A21682" w:rsidRDefault="00CF7CE7">
      <w:pPr>
        <w:pStyle w:val="Heading1"/>
      </w:pPr>
      <w:bookmarkStart w:id="4294" w:name="_Toc177119652"/>
      <w:bookmarkStart w:id="4295" w:name="_Toc185952915"/>
      <w:bookmarkStart w:id="4296" w:name="_Toc192875011"/>
      <w:r>
        <w:lastRenderedPageBreak/>
        <w:t>Requirements Management Plan</w:t>
      </w:r>
      <w:bookmarkEnd w:id="4294"/>
      <w:bookmarkEnd w:id="4295"/>
      <w:bookmarkEnd w:id="4296"/>
    </w:p>
    <w:p w14:paraId="2097B07B" w14:textId="77777777" w:rsidR="00B55190" w:rsidRPr="00A21682" w:rsidRDefault="00B55190">
      <w:pPr>
        <w:pStyle w:val="Heading2"/>
      </w:pPr>
      <w:bookmarkStart w:id="4297" w:name="_Toc145346119"/>
      <w:bookmarkStart w:id="4298" w:name="_Toc149732269"/>
      <w:bookmarkStart w:id="4299" w:name="_Toc177119653"/>
      <w:bookmarkStart w:id="4300" w:name="_Toc185952916"/>
      <w:bookmarkStart w:id="4301" w:name="_Toc192875012"/>
      <w:r>
        <w:t>Introduction</w:t>
      </w:r>
      <w:bookmarkEnd w:id="4297"/>
      <w:bookmarkEnd w:id="4298"/>
      <w:bookmarkEnd w:id="4299"/>
      <w:bookmarkEnd w:id="4300"/>
      <w:bookmarkEnd w:id="4301"/>
      <w:r>
        <w:t xml:space="preserve"> </w:t>
      </w:r>
    </w:p>
    <w:p w14:paraId="765A202B" w14:textId="64C2876E" w:rsidR="00B55190" w:rsidRPr="00A21682" w:rsidRDefault="00CC2A11">
      <w:pPr>
        <w:pStyle w:val="NormalNEW"/>
        <w:rPr>
          <w:lang w:val="en-US"/>
        </w:rPr>
      </w:pPr>
      <w:r>
        <w:rPr>
          <w:lang w:val="en-US"/>
        </w:rPr>
        <w:t>A requirement is a specific condition or capability that must be included in a product, service, or outcome to meet a business need. Requirements can range from broad, overarching statements, like those in a business case, to very detailed descriptions, such as the acceptance criteria for a particular system component (PMBOK, 2021). To implement the MECM solution, requirements must be stated in a clear, concise way and managed accordingly. Refer to Appendix F for resources on best practices for drafting requirements. The Requirements Management Approach in Section 12.3 outlines the processes necessary for the DOH OHIP to verify that the project requirements are managed and that traceability across phases is documented. This section addresses how the MECM system will be designed, developed, and implemented based on the requirements.</w:t>
      </w:r>
    </w:p>
    <w:p w14:paraId="7A910861" w14:textId="3915CBB7" w:rsidR="00B55190" w:rsidRPr="00A21682" w:rsidRDefault="00406418" w:rsidP="00FD1EF4">
      <w:pPr>
        <w:pStyle w:val="NormalNEW"/>
        <w:rPr>
          <w:rFonts w:cstheme="majorBidi"/>
          <w:lang w:val="en-US"/>
        </w:rPr>
      </w:pPr>
      <w:r>
        <w:rPr>
          <w:rFonts w:cstheme="majorBidi"/>
          <w:lang w:val="en-US"/>
        </w:rPr>
        <w:t xml:space="preserve">Requirement traceability for the Continuing Medicaid Eligibility Modernization project will be tracked and reported through the ALM tool (refer to Section 12.6.1 Requirements Management Tool). </w:t>
      </w:r>
    </w:p>
    <w:p w14:paraId="28FB6DB2" w14:textId="77777777" w:rsidR="00B55190" w:rsidRPr="00A21682" w:rsidRDefault="00B55190">
      <w:pPr>
        <w:pStyle w:val="Heading2"/>
      </w:pPr>
      <w:bookmarkStart w:id="4302" w:name="_Toc145346120"/>
      <w:bookmarkStart w:id="4303" w:name="_Toc149732270"/>
      <w:bookmarkStart w:id="4304" w:name="_Toc177119654"/>
      <w:bookmarkStart w:id="4305" w:name="_Toc185952917"/>
      <w:bookmarkStart w:id="4306" w:name="_Toc192875013"/>
      <w:r>
        <w:t>Purpose</w:t>
      </w:r>
      <w:bookmarkEnd w:id="4302"/>
      <w:bookmarkEnd w:id="4303"/>
      <w:bookmarkEnd w:id="4304"/>
      <w:bookmarkEnd w:id="4305"/>
      <w:bookmarkEnd w:id="4306"/>
      <w:r>
        <w:t xml:space="preserve"> </w:t>
      </w:r>
    </w:p>
    <w:p w14:paraId="3565E299" w14:textId="14350BEB" w:rsidR="009C3612" w:rsidRPr="00A21682" w:rsidRDefault="009C3612" w:rsidP="009C3612">
      <w:pPr>
        <w:pStyle w:val="NormalNEW"/>
        <w:rPr>
          <w:rFonts w:cstheme="majorBidi"/>
          <w:lang w:val="en-US" w:eastAsia="ko-KR"/>
        </w:rPr>
      </w:pPr>
      <w:r>
        <w:rPr>
          <w:rFonts w:cstheme="majorBidi"/>
          <w:lang w:val="en-US" w:eastAsia="ko-KR"/>
        </w:rPr>
        <w:t xml:space="preserve">The Requirements Management Plan lays out how requirements (including Functional and Non-Functional) will be validated and managed throughout the project. Additionally, the Requirements Management Plan prescribes the tools and methodologies for capturing, standardizing, classifying, monitoring, reporting, maintaining, and managing requirements as well as downstream traceability to design, development, and testing. </w:t>
      </w:r>
    </w:p>
    <w:p w14:paraId="20B2D7AF" w14:textId="77777777" w:rsidR="009C3612" w:rsidRPr="00A21682" w:rsidRDefault="009C3612" w:rsidP="009C3612">
      <w:pPr>
        <w:pStyle w:val="NormalNEW"/>
        <w:rPr>
          <w:rFonts w:cstheme="majorBidi"/>
          <w:lang w:val="en-US"/>
        </w:rPr>
      </w:pPr>
      <w:r>
        <w:rPr>
          <w:rFonts w:cstheme="majorBidi"/>
          <w:lang w:val="en-US"/>
        </w:rPr>
        <w:t>The objectives of the Requirements Management Plan are to:</w:t>
      </w:r>
    </w:p>
    <w:p w14:paraId="08090EB9" w14:textId="77777777" w:rsidR="009C3612" w:rsidRPr="00A21682" w:rsidRDefault="009C3612" w:rsidP="0031550A">
      <w:pPr>
        <w:pStyle w:val="BulletNEW"/>
      </w:pPr>
      <w:r>
        <w:t>Provide a plan that guides and governs stakeholders in collecting requirements during the Planning phase of the project</w:t>
      </w:r>
    </w:p>
    <w:p w14:paraId="5E8680E2" w14:textId="77777777" w:rsidR="009C3612" w:rsidRPr="00A21682" w:rsidRDefault="009C3612" w:rsidP="0031550A">
      <w:pPr>
        <w:pStyle w:val="BulletNEW"/>
      </w:pPr>
      <w:r>
        <w:t>Help parties involved in the process understand their role and the outcomes that will be achieved</w:t>
      </w:r>
    </w:p>
    <w:p w14:paraId="690B4859" w14:textId="13F12AC1" w:rsidR="009C3612" w:rsidRPr="00A21682" w:rsidRDefault="009C3612" w:rsidP="0031550A">
      <w:pPr>
        <w:pStyle w:val="BulletNEW"/>
      </w:pPr>
      <w:r>
        <w:t>Specify outputs for the Requirements Traceability Matrix (DEL-19) and the Requirements Specification Document (DEL-18)</w:t>
      </w:r>
    </w:p>
    <w:p w14:paraId="70E36DE6" w14:textId="77777777" w:rsidR="009C3612" w:rsidRPr="00A21682" w:rsidRDefault="009C3612" w:rsidP="0031550A">
      <w:pPr>
        <w:pStyle w:val="BulletNEW"/>
      </w:pPr>
      <w:r>
        <w:t>Describe the methodology and processes used for requirements validation</w:t>
      </w:r>
    </w:p>
    <w:p w14:paraId="20E11182" w14:textId="77777777" w:rsidR="00B55190" w:rsidRPr="00A21682" w:rsidRDefault="00B55190">
      <w:pPr>
        <w:pStyle w:val="Heading2"/>
      </w:pPr>
      <w:bookmarkStart w:id="4307" w:name="_Toc149732271"/>
      <w:bookmarkStart w:id="4308" w:name="_Toc177119655"/>
      <w:bookmarkStart w:id="4309" w:name="_Toc185952918"/>
      <w:bookmarkStart w:id="4310" w:name="_Toc192875014"/>
      <w:bookmarkStart w:id="4311" w:name="_Toc145346121"/>
      <w:r>
        <w:t>Requirements Management Approach</w:t>
      </w:r>
      <w:bookmarkEnd w:id="4307"/>
      <w:bookmarkEnd w:id="4308"/>
      <w:bookmarkEnd w:id="4309"/>
      <w:bookmarkEnd w:id="4310"/>
    </w:p>
    <w:p w14:paraId="6745EAAC" w14:textId="4C9E854A" w:rsidR="00B55190" w:rsidRPr="00A21682" w:rsidRDefault="00B55190" w:rsidP="00FD1EF4">
      <w:pPr>
        <w:pStyle w:val="NormalNEW"/>
        <w:rPr>
          <w:lang w:val="en-US"/>
        </w:rPr>
      </w:pPr>
      <w:r>
        <w:rPr>
          <w:lang w:val="en-US"/>
        </w:rPr>
        <w:t xml:space="preserve">There are specific tasks that are performed to manage and maintain a requirement through its life cycle, including establishing relevant relationships between requirements to design documents and components, development widgets, test cases (which include test results) as well as assessing, analyzing, and gaining consensus on proposed changes to requirements. </w:t>
      </w:r>
      <w:bookmarkEnd w:id="4311"/>
      <w:r>
        <w:rPr>
          <w:lang w:val="en-US"/>
        </w:rPr>
        <w:t xml:space="preserve">Deloitte analyzes the MECM requirements applicable for a particular iteration or bundle and then clarifies them in preparation for validation sessions. The requirements are then reviewed and validated with DOH OHIP. During the requirements validation sessions, ███████ will work with DOH OHIP to understand the priority and business needs of requirements and how each requirement relates to the specific iteration/bundle and the overall system. As requirements are baselined for an iteration/bundle, ███████ may analyze requirements and assist DOH OHIP to defer or deprecate requirements. Deferred requirements may be placed in a backlog to be considered for future bundle planning. </w:t>
      </w:r>
    </w:p>
    <w:p w14:paraId="3C0BA0BD" w14:textId="178DCF1C" w:rsidR="00D9340E" w:rsidRPr="00A21682" w:rsidRDefault="00D9340E" w:rsidP="007C00A0">
      <w:pPr>
        <w:pStyle w:val="Heading3"/>
      </w:pPr>
      <w:bookmarkStart w:id="4312" w:name="_Toc192875015"/>
      <w:r>
        <w:lastRenderedPageBreak/>
        <w:t>Requirement Types</w:t>
      </w:r>
      <w:bookmarkEnd w:id="4312"/>
    </w:p>
    <w:p w14:paraId="7EB8CE1D" w14:textId="55362A30" w:rsidR="00B55190" w:rsidRPr="00A21682" w:rsidRDefault="00B55190" w:rsidP="007C00A0">
      <w:pPr>
        <w:pStyle w:val="NormalNEW"/>
        <w:keepNext/>
        <w:rPr>
          <w:lang w:val="en-US"/>
        </w:rPr>
      </w:pPr>
      <w:r>
        <w:rPr>
          <w:lang w:val="en-US"/>
        </w:rPr>
        <w:t>Requirements are defined to be usable representations of business needs. The project requirements are classified into the following categories:</w:t>
      </w:r>
    </w:p>
    <w:p w14:paraId="12C81F75" w14:textId="590B68E9" w:rsidR="00B55190" w:rsidRPr="00A21682" w:rsidRDefault="00B55190" w:rsidP="0031550A">
      <w:pPr>
        <w:pStyle w:val="BulletNEW"/>
      </w:pPr>
      <w:r>
        <w:rPr>
          <w:b/>
          <w:bCs/>
        </w:rPr>
        <w:t>Functional Requirements:</w:t>
      </w:r>
      <w:r>
        <w:t xml:space="preserve"> Defines the expected functionality of the solution; these requirements are categorized into Appeals, Assistor Portal, Eligibility, Enrollment, Interfaces, Member Portal, Notices, Reports, Support Functions, Worker Portal, and Workload Management</w:t>
      </w:r>
    </w:p>
    <w:p w14:paraId="226B832E" w14:textId="25C4A8A9" w:rsidR="00B55190" w:rsidRPr="00A21682" w:rsidRDefault="00B55190" w:rsidP="0031550A">
      <w:pPr>
        <w:pStyle w:val="BulletNEW"/>
      </w:pPr>
      <w:r>
        <w:rPr>
          <w:b/>
        </w:rPr>
        <w:t>Non-functional Requirements:</w:t>
      </w:r>
      <w:r>
        <w:t xml:space="preserve"> Defines the specific technical requirements that must exist in the solution to deliver the business functionality, the operational objectives of the solution, and the methodology and processes to manage the solution delivery; these include Application Architecture, Integration Architecture, Data Architecture, Infrastructure Architecture, Data Conversion, Accessibility, Manageability, Reliability, Scalability, Sustainability, Usability, Security and Privacy, Organizational Change Management, and Operations and Maintenance</w:t>
      </w:r>
    </w:p>
    <w:p w14:paraId="43291BEE" w14:textId="1CE1268B" w:rsidR="009C5996" w:rsidRPr="00A21682" w:rsidRDefault="002A034B" w:rsidP="009C5996">
      <w:pPr>
        <w:pStyle w:val="Heading3"/>
      </w:pPr>
      <w:bookmarkStart w:id="4313" w:name="_Toc192875016"/>
      <w:r>
        <w:t>Requirements Status Reporting</w:t>
      </w:r>
      <w:bookmarkEnd w:id="4313"/>
    </w:p>
    <w:p w14:paraId="1B214631" w14:textId="340D36AD" w:rsidR="009C5996" w:rsidRPr="00A21682" w:rsidRDefault="009C5996" w:rsidP="009C5996">
      <w:pPr>
        <w:pStyle w:val="NormalNEW"/>
        <w:rPr>
          <w:rFonts w:eastAsia="Calibri"/>
          <w:iCs/>
          <w:szCs w:val="18"/>
          <w:lang w:val="en-US"/>
        </w:rPr>
      </w:pPr>
      <w:r>
        <w:rPr>
          <w:lang w:val="en-US"/>
        </w:rPr>
        <w:t xml:space="preserve">The status of the requirements will be reported in the Continuing Medicaid Eligibility Modernization PSR delivered weekly to DOH OHIP. This report will be discussed during the project status meeting. As requirements are in the ALM tool, ad-hoc reports and queries can be created to address questions or provide additional status. </w:t>
      </w:r>
    </w:p>
    <w:p w14:paraId="6E2DD1D5" w14:textId="34C6D93F" w:rsidR="00207350" w:rsidRPr="00A21682" w:rsidRDefault="00F16BEF" w:rsidP="00D9731C">
      <w:pPr>
        <w:pStyle w:val="Heading2"/>
      </w:pPr>
      <w:bookmarkStart w:id="4314" w:name="_Toc192875017"/>
      <w:r>
        <w:t>Initial Requirements Approval Process</w:t>
      </w:r>
      <w:bookmarkEnd w:id="4314"/>
    </w:p>
    <w:p w14:paraId="1227D0E1" w14:textId="337715AA" w:rsidR="007A5616" w:rsidRPr="00A21682" w:rsidRDefault="007A5616" w:rsidP="007A5616">
      <w:pPr>
        <w:rPr>
          <w:rFonts w:ascii="Verdana" w:eastAsia="Verdana" w:hAnsi="Verdana" w:cstheme="majorBidi"/>
          <w:sz w:val="18"/>
          <w:szCs w:val="20"/>
        </w:rPr>
      </w:pPr>
      <w:r>
        <w:rPr>
          <w:rFonts w:ascii="Verdana" w:eastAsia="Verdana" w:hAnsi="Verdana" w:cstheme="majorBidi"/>
          <w:sz w:val="18"/>
          <w:szCs w:val="20"/>
        </w:rPr>
        <w:t>An organized initial approval process flow and RTM are crucial for capturing comprehensive and accurate project requirements. The process begins with gathering detailed input documents and performing gap assessments to identify additional needs, making sure no requirement is overlooked. Validation sessions clarify and confirm requirements, aligning all stakeholders. Assessing the impact on timeline, budget, and schedule helps manage potential project risks. Approved and baselined requirements provide a reference point for future changes, enabling effective tracking. The RTM maintains traceability, accountability, and continuous stakeholder feedback, fostering a transparent and collaborative project environment.</w:t>
      </w:r>
    </w:p>
    <w:p w14:paraId="764DCE85" w14:textId="77777777" w:rsidR="007008DC" w:rsidRPr="00A21682" w:rsidRDefault="007008DC" w:rsidP="007A5616">
      <w:pPr>
        <w:rPr>
          <w:rFonts w:ascii="Verdana" w:eastAsia="Verdana" w:hAnsi="Verdana" w:cstheme="majorBidi"/>
          <w:sz w:val="18"/>
          <w:szCs w:val="20"/>
        </w:rPr>
      </w:pPr>
    </w:p>
    <w:p w14:paraId="4227E92A" w14:textId="6E2CC8B0" w:rsidR="00C00C8C" w:rsidRPr="00A21682" w:rsidRDefault="00234697" w:rsidP="00B45147">
      <w:pPr>
        <w:pStyle w:val="Heading3"/>
      </w:pPr>
      <w:bookmarkStart w:id="4315" w:name="_Toc192875018"/>
      <w:r>
        <w:t>Initial Requirements Approval Process Flow</w:t>
      </w:r>
      <w:bookmarkEnd w:id="4315"/>
    </w:p>
    <w:p w14:paraId="1BDE9586" w14:textId="2ECE972C" w:rsidR="008E0B89" w:rsidRPr="00A21682" w:rsidRDefault="008E0B89" w:rsidP="005A4B9E">
      <w:pPr>
        <w:pStyle w:val="NormalNEW"/>
        <w:rPr>
          <w:lang w:val="en-US"/>
        </w:rPr>
      </w:pPr>
      <w:r>
        <w:rPr>
          <w:lang w:val="en-US"/>
        </w:rPr>
        <w:t>The process flow below identifies the initial requirement approval steps.</w:t>
      </w:r>
    </w:p>
    <w:bookmarkStart w:id="4316" w:name="_1801056688"/>
    <w:bookmarkEnd w:id="4316"/>
    <w:p w14:paraId="6988F900" w14:textId="784FEFF5" w:rsidR="00B55190" w:rsidRPr="00005AA1" w:rsidRDefault="000823FF" w:rsidP="00005AA1">
      <w:pPr>
        <w:pStyle w:val="NormalNEW"/>
        <w:jc w:val="center"/>
        <w:rPr>
          <w:lang w:val="en-US"/>
        </w:rPr>
      </w:pPr>
      <w:r>
        <w:rPr>
          <w:lang w:val="en-US"/>
        </w:rPr>
        <w:object w:dxaOrig="24224" w:dyaOrig="7140" w14:anchorId="04103A71">
          <v:shape id="_x0000_i1052" type="#_x0000_t75" style="width:467.4pt;height:138.6pt" o:ole="">
            <v:imagedata r:id="rId117" o:title=""/>
          </v:shape>
          <o:OLEObject Type="Embed" ProgID="Visio.Drawing.15" ShapeID="_x0000_i1052" DrawAspect="Content" ObjectID="_1849677356" r:id="rId118"/>
        </w:object>
      </w:r>
      <w:r>
        <w:rPr>
          <w:lang w:val="en-US"/>
        </w:rPr>
        <w:fldChar w:fldCharType="begin"/>
      </w:r>
      <w:r>
        <w:rPr>
          <w:lang w:val="en-US"/>
        </w:rPr>
        <w:fldChar w:fldCharType="separate"/>
      </w:r>
      <w:r>
        <w:rPr>
          <w:lang w:val="en-US"/>
        </w:rPr>
        <w:fldChar w:fldCharType="end"/>
      </w:r>
    </w:p>
    <w:p w14:paraId="46C55249" w14:textId="61CA34C2" w:rsidR="00B55190" w:rsidRPr="00A21682" w:rsidRDefault="00B55190" w:rsidP="00901E6E">
      <w:pPr>
        <w:pStyle w:val="Caption"/>
        <w:rPr>
          <w:noProof w:val="0"/>
        </w:rPr>
      </w:pPr>
      <w:bookmarkStart w:id="4317" w:name="_Toc149732285"/>
      <w:bookmarkStart w:id="4318" w:name="_Toc178152075"/>
      <w:bookmarkStart w:id="4319" w:name="_Toc192875083"/>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12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1</w:t>
      </w:r>
      <w:r>
        <w:rPr>
          <w:noProof w:val="0"/>
        </w:rPr>
        <w:fldChar w:fldCharType="end"/>
      </w:r>
      <w:r>
        <w:rPr>
          <w:noProof w:val="0"/>
        </w:rPr>
        <w:t>: Requirements Management Process Flow Diagram</w:t>
      </w:r>
      <w:bookmarkStart w:id="4320" w:name="_Toc187430061"/>
      <w:bookmarkEnd w:id="4317"/>
      <w:bookmarkEnd w:id="4318"/>
      <w:bookmarkEnd w:id="4319"/>
      <w:bookmarkEnd w:id="4320"/>
    </w:p>
    <w:p w14:paraId="1AF299D5" w14:textId="2F48AB1A" w:rsidR="00B55190" w:rsidRPr="00A21682" w:rsidRDefault="00F55451">
      <w:pPr>
        <w:pStyle w:val="Heading3"/>
      </w:pPr>
      <w:bookmarkStart w:id="4321" w:name="_Ref143677742"/>
      <w:bookmarkStart w:id="4322" w:name="_Toc143866561"/>
      <w:bookmarkStart w:id="4323" w:name="_Toc145346125"/>
      <w:bookmarkStart w:id="4324" w:name="_Toc149732274"/>
      <w:bookmarkStart w:id="4325" w:name="_Toc177119658"/>
      <w:bookmarkStart w:id="4326" w:name="_Toc185952921"/>
      <w:bookmarkStart w:id="4327" w:name="_Toc192875019"/>
      <w:r>
        <w:lastRenderedPageBreak/>
        <w:t>Initial Requirements Approval Process Flow Narrative</w:t>
      </w:r>
      <w:bookmarkEnd w:id="4321"/>
      <w:bookmarkEnd w:id="4322"/>
      <w:bookmarkEnd w:id="4323"/>
      <w:bookmarkEnd w:id="4324"/>
      <w:bookmarkEnd w:id="4325"/>
      <w:bookmarkEnd w:id="4326"/>
      <w:bookmarkEnd w:id="4327"/>
    </w:p>
    <w:p w14:paraId="680435A7" w14:textId="61C0E0BC" w:rsidR="00B55190" w:rsidRDefault="00360F0C" w:rsidP="00DC1F8A">
      <w:pPr>
        <w:pStyle w:val="NormalNEW"/>
        <w:rPr>
          <w:rFonts w:cstheme="majorBidi"/>
        </w:rPr>
      </w:pPr>
      <w:r>
        <w:rPr>
          <w:lang w:val="en-US"/>
        </w:rPr>
        <w:t xml:space="preserve">The following table describes each process step illustrated above. NOTE: The stakeholder groups involved in post transmittal approval of requirements include, but are not limited to Project Management, Business Analysts, Quality Assurance, Technology </w:t>
      </w:r>
      <w:r>
        <w:rPr>
          <w:rFonts w:cstheme="majorBidi"/>
        </w:rPr>
        <w:t>team, and Business team.</w:t>
      </w:r>
    </w:p>
    <w:tbl>
      <w:tblPr>
        <w:tblStyle w:val="GridTable5Dark-Accent13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6A0" w:firstRow="1" w:lastRow="0" w:firstColumn="1" w:lastColumn="0" w:noHBand="1" w:noVBand="1"/>
      </w:tblPr>
      <w:tblGrid>
        <w:gridCol w:w="714"/>
        <w:gridCol w:w="1440"/>
        <w:gridCol w:w="4681"/>
        <w:gridCol w:w="2515"/>
      </w:tblGrid>
      <w:tr w:rsidR="00EA07E9" w:rsidRPr="00A21682" w14:paraId="62C51094" w14:textId="0CB21A11" w:rsidTr="009D4E97">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382" w:type="pct"/>
            <w:tcBorders>
              <w:right w:val="single" w:sz="4" w:space="0" w:color="FFFFFF" w:themeColor="background1"/>
            </w:tcBorders>
            <w:shd w:val="clear" w:color="auto" w:fill="000000" w:themeFill="text1"/>
          </w:tcPr>
          <w:p w14:paraId="048B2721" w14:textId="77777777" w:rsidR="00B55190" w:rsidRPr="00A21682" w:rsidDel="0009317F" w:rsidRDefault="00B55190" w:rsidP="000F42CD">
            <w:pPr>
              <w:pStyle w:val="TABLEHEADINGNEW"/>
              <w:rPr>
                <w:b/>
                <w:bCs/>
              </w:rPr>
            </w:pPr>
            <w:r>
              <w:rPr>
                <w:b/>
                <w:bCs/>
              </w:rPr>
              <w:t>Step #</w:t>
            </w:r>
          </w:p>
        </w:tc>
        <w:tc>
          <w:tcPr>
            <w:tcW w:w="770" w:type="pct"/>
            <w:tcBorders>
              <w:left w:val="single" w:sz="4" w:space="0" w:color="FFFFFF" w:themeColor="background1"/>
              <w:right w:val="single" w:sz="4" w:space="0" w:color="FFFFFF" w:themeColor="background1"/>
            </w:tcBorders>
            <w:shd w:val="clear" w:color="auto" w:fill="000000" w:themeFill="text1"/>
          </w:tcPr>
          <w:p w14:paraId="6968E032" w14:textId="550BE39E" w:rsidR="00B55190" w:rsidRPr="00A21682" w:rsidRDefault="00B55190" w:rsidP="000F42CD">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Process</w:t>
            </w:r>
          </w:p>
        </w:tc>
        <w:tc>
          <w:tcPr>
            <w:tcW w:w="2503" w:type="pct"/>
            <w:tcBorders>
              <w:left w:val="single" w:sz="4" w:space="0" w:color="FFFFFF" w:themeColor="background1"/>
              <w:right w:val="single" w:sz="4" w:space="0" w:color="FFFFFF" w:themeColor="background1"/>
            </w:tcBorders>
            <w:shd w:val="clear" w:color="auto" w:fill="000000" w:themeFill="text1"/>
          </w:tcPr>
          <w:p w14:paraId="776DDBBE" w14:textId="7F5B78EB" w:rsidR="00B55190" w:rsidRPr="00A21682" w:rsidRDefault="00B55190" w:rsidP="000F42CD">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Description</w:t>
            </w:r>
          </w:p>
        </w:tc>
        <w:tc>
          <w:tcPr>
            <w:tcW w:w="1345" w:type="pct"/>
            <w:tcBorders>
              <w:left w:val="single" w:sz="4" w:space="0" w:color="FFFFFF" w:themeColor="background1"/>
            </w:tcBorders>
            <w:shd w:val="clear" w:color="auto" w:fill="000000" w:themeFill="text1"/>
          </w:tcPr>
          <w:p w14:paraId="6761C26A" w14:textId="0618BD4B" w:rsidR="009E0CA6" w:rsidRPr="009E0CA6" w:rsidRDefault="009E0CA6" w:rsidP="000F42CD">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Stakeholders</w:t>
            </w:r>
          </w:p>
        </w:tc>
      </w:tr>
      <w:tr w:rsidR="0030569A" w:rsidRPr="00A21682" w14:paraId="18EE73FA" w14:textId="18E0FF59" w:rsidTr="00EE2D6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3D19EC36" w14:textId="77777777" w:rsidR="00B55190" w:rsidRPr="00A21682" w:rsidRDefault="00B55190" w:rsidP="000F42CD">
            <w:pPr>
              <w:pStyle w:val="TABLETEXT1"/>
              <w:rPr>
                <w:lang w:val="en-US"/>
              </w:rPr>
            </w:pPr>
            <w:r>
              <w:rPr>
                <w:lang w:val="en-US"/>
              </w:rPr>
              <w:t>1</w:t>
            </w:r>
          </w:p>
        </w:tc>
        <w:tc>
          <w:tcPr>
            <w:tcW w:w="770" w:type="pct"/>
            <w:shd w:val="clear" w:color="auto" w:fill="FFFFFF" w:themeFill="background1"/>
          </w:tcPr>
          <w:p w14:paraId="2687A36B" w14:textId="77777777"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lang w:val="en-US"/>
              </w:rPr>
            </w:pPr>
            <w:r>
              <w:rPr>
                <w:lang w:val="en-US"/>
              </w:rPr>
              <w:t>Gather Input Documents</w:t>
            </w:r>
          </w:p>
        </w:tc>
        <w:tc>
          <w:tcPr>
            <w:tcW w:w="2503" w:type="pct"/>
            <w:shd w:val="clear" w:color="auto" w:fill="auto"/>
          </w:tcPr>
          <w:p w14:paraId="3C950482" w14:textId="77777777"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Input documents cover the high-level process flows, rules and expected system behavior for the project.</w:t>
            </w:r>
          </w:p>
          <w:p w14:paraId="4FD40BB7" w14:textId="0589B813"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All team members from DOS can source input documents to inform requirements.</w:t>
            </w:r>
          </w:p>
        </w:tc>
        <w:tc>
          <w:tcPr>
            <w:tcW w:w="1345" w:type="pct"/>
            <w:shd w:val="clear" w:color="auto" w:fill="FFFFFF" w:themeFill="background1"/>
          </w:tcPr>
          <w:p w14:paraId="02D64F7B" w14:textId="44DEB361" w:rsidR="009E0CA6" w:rsidRDefault="00950B6E" w:rsidP="00CB677F">
            <w:pPr>
              <w:pStyle w:val="TABLEBULLETNEW"/>
              <w:cnfStyle w:val="000000100000" w:firstRow="0" w:lastRow="0" w:firstColumn="0" w:lastColumn="0" w:oddVBand="0" w:evenVBand="0" w:oddHBand="1" w:evenHBand="0" w:firstRowFirstColumn="0" w:firstRowLastColumn="0" w:lastRowFirstColumn="0" w:lastRowLastColumn="0"/>
            </w:pPr>
            <w:r>
              <w:t>███████/DOS PMO</w:t>
            </w:r>
          </w:p>
          <w:p w14:paraId="2691C9D1"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41F82BE5"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68B8C947"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239161F1" w14:textId="140EA7E0" w:rsidR="00F963BD" w:rsidRPr="00A21682" w:rsidRDefault="00F963BD" w:rsidP="00CB677F">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30569A" w:rsidRPr="00A21682" w14:paraId="28C7B58D" w14:textId="74FE7EA5" w:rsidTr="00EE2D6D">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0EE3FF50" w14:textId="77777777" w:rsidR="00B55190" w:rsidRPr="00A21682" w:rsidRDefault="00B55190" w:rsidP="000F42CD">
            <w:pPr>
              <w:pStyle w:val="TABLETEXT1"/>
              <w:rPr>
                <w:lang w:val="en-US"/>
              </w:rPr>
            </w:pPr>
            <w:r>
              <w:rPr>
                <w:lang w:val="en-US"/>
              </w:rPr>
              <w:t>2</w:t>
            </w:r>
          </w:p>
        </w:tc>
        <w:tc>
          <w:tcPr>
            <w:tcW w:w="770" w:type="pct"/>
            <w:shd w:val="clear" w:color="auto" w:fill="FFFFFF" w:themeFill="background1"/>
          </w:tcPr>
          <w:p w14:paraId="5BC64A19" w14:textId="77777777" w:rsidR="00B55190" w:rsidRPr="00A21682" w:rsidRDefault="00B55190" w:rsidP="000F42CD">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Requirements Gap Assessment</w:t>
            </w:r>
          </w:p>
        </w:tc>
        <w:tc>
          <w:tcPr>
            <w:tcW w:w="2503" w:type="pct"/>
            <w:shd w:val="clear" w:color="auto" w:fill="auto"/>
          </w:tcPr>
          <w:p w14:paraId="61157719" w14:textId="0F676608" w:rsidR="00B55190" w:rsidRPr="00A21682" w:rsidRDefault="00B55190"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Relevant stakeholder groups will perform requirements gap assessment activity to compare expected functionality with the baseline Medicaid Transformation programs used to inform MECM.</w:t>
            </w:r>
          </w:p>
          <w:p w14:paraId="457F33BF" w14:textId="77777777" w:rsidR="00B55190" w:rsidRPr="00A21682" w:rsidRDefault="00B55190"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The team will then be able to select requirements from the base solution and identify additional needs that do not exist in the current solution.</w:t>
            </w:r>
          </w:p>
        </w:tc>
        <w:tc>
          <w:tcPr>
            <w:tcW w:w="1345" w:type="pct"/>
            <w:shd w:val="clear" w:color="auto" w:fill="FFFFFF" w:themeFill="background1"/>
          </w:tcPr>
          <w:p w14:paraId="2E086BC8" w14:textId="0FBEC70B"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6CE794B1"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0B402D82"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381E9A96"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6D7EBC2B" w14:textId="091D357A" w:rsidR="009E0CA6" w:rsidRPr="00A21682"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r w:rsidR="0030569A" w:rsidRPr="00A21682" w14:paraId="610387BC" w14:textId="12A6861B" w:rsidTr="00EE2D6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108CBD44" w14:textId="77777777" w:rsidR="00B55190" w:rsidRPr="00A21682" w:rsidRDefault="00B55190" w:rsidP="000F42CD">
            <w:pPr>
              <w:pStyle w:val="TABLETEXT1"/>
              <w:rPr>
                <w:lang w:val="en-US"/>
              </w:rPr>
            </w:pPr>
            <w:r>
              <w:rPr>
                <w:lang w:val="en-US"/>
              </w:rPr>
              <w:t>3</w:t>
            </w:r>
          </w:p>
        </w:tc>
        <w:tc>
          <w:tcPr>
            <w:tcW w:w="770" w:type="pct"/>
            <w:shd w:val="clear" w:color="auto" w:fill="FFFFFF" w:themeFill="background1"/>
          </w:tcPr>
          <w:p w14:paraId="0245816B" w14:textId="77777777"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Requirements Validation Sessions</w:t>
            </w:r>
          </w:p>
        </w:tc>
        <w:tc>
          <w:tcPr>
            <w:tcW w:w="2503" w:type="pct"/>
            <w:shd w:val="clear" w:color="auto" w:fill="auto"/>
          </w:tcPr>
          <w:p w14:paraId="3F82A3B0" w14:textId="5E9AB0E9"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All requirements must be validated prior to inclusion in the RTM.</w:t>
            </w:r>
          </w:p>
          <w:p w14:paraId="36F1D4AB" w14:textId="558372E3"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The Project Management team and stakeholder groups will conduct Requirements Validation sessions where requirement gaps identified in the requirements gap assessment are discussed in detail, items are clarified by policy and a better understanding of requirements is established.</w:t>
            </w:r>
          </w:p>
        </w:tc>
        <w:tc>
          <w:tcPr>
            <w:tcW w:w="1345" w:type="pct"/>
            <w:shd w:val="clear" w:color="auto" w:fill="FFFFFF" w:themeFill="background1"/>
          </w:tcPr>
          <w:p w14:paraId="01BAD1C0" w14:textId="3FDBC0A5"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6A3CCAA3"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3936C0F5"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04954682"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7C3B01F2" w14:textId="6DBE91FC" w:rsidR="009E0CA6" w:rsidRPr="00A21682"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30569A" w:rsidRPr="00A21682" w14:paraId="64CFC18E" w14:textId="14F8D6D3" w:rsidTr="00EE2D6D">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5F7B2D88" w14:textId="77777777" w:rsidR="00B55190" w:rsidRPr="00A21682" w:rsidRDefault="00B55190" w:rsidP="000F42CD">
            <w:pPr>
              <w:pStyle w:val="TABLETEXT1"/>
              <w:rPr>
                <w:lang w:val="en-US"/>
              </w:rPr>
            </w:pPr>
            <w:r>
              <w:rPr>
                <w:lang w:val="en-US"/>
              </w:rPr>
              <w:t>3.1</w:t>
            </w:r>
          </w:p>
        </w:tc>
        <w:tc>
          <w:tcPr>
            <w:tcW w:w="770" w:type="pct"/>
            <w:shd w:val="clear" w:color="auto" w:fill="FFFFFF" w:themeFill="background1"/>
          </w:tcPr>
          <w:p w14:paraId="138EAC60" w14:textId="0F9DF362" w:rsidR="00B55190" w:rsidRPr="00A21682" w:rsidRDefault="00B55190"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Are the Requirements Validated?</w:t>
            </w:r>
          </w:p>
        </w:tc>
        <w:tc>
          <w:tcPr>
            <w:tcW w:w="2503" w:type="pct"/>
            <w:shd w:val="clear" w:color="auto" w:fill="auto"/>
          </w:tcPr>
          <w:p w14:paraId="5E24866A" w14:textId="77777777" w:rsidR="00BC7DE8" w:rsidRPr="00A21682" w:rsidRDefault="00A564CF"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During the Requirements Validation sessions, attendees determine whether the requirements are validated and can be included in the RTM.</w:t>
            </w:r>
          </w:p>
          <w:p w14:paraId="5333281B" w14:textId="19D6E23B" w:rsidR="0009609F" w:rsidRPr="00A04EC9" w:rsidRDefault="00A564CF" w:rsidP="00CB677F">
            <w:pPr>
              <w:pStyle w:val="TABLEBULLETNEW"/>
              <w:cnfStyle w:val="000000000000" w:firstRow="0" w:lastRow="0" w:firstColumn="0" w:lastColumn="0" w:oddVBand="0" w:evenVBand="0" w:oddHBand="0" w:evenHBand="0" w:firstRowFirstColumn="0" w:firstRowLastColumn="0" w:lastRowFirstColumn="0" w:lastRowLastColumn="0"/>
              <w:rPr>
                <w:i/>
              </w:rPr>
            </w:pPr>
            <w:r>
              <w:t xml:space="preserve">If the requirements are validated during the Requirements Validation sessions, proceed to </w:t>
            </w:r>
            <w:r>
              <w:rPr>
                <w:i/>
              </w:rPr>
              <w:t>Step #4 Prepare requirements for transmittal</w:t>
            </w:r>
          </w:p>
          <w:p w14:paraId="7FB15EF1" w14:textId="363D753A" w:rsidR="00B55190" w:rsidRPr="00A21682" w:rsidRDefault="00A564CF" w:rsidP="00CB677F">
            <w:pPr>
              <w:pStyle w:val="TABLEBULLETNEW"/>
              <w:cnfStyle w:val="000000000000" w:firstRow="0" w:lastRow="0" w:firstColumn="0" w:lastColumn="0" w:oddVBand="0" w:evenVBand="0" w:oddHBand="0" w:evenHBand="0" w:firstRowFirstColumn="0" w:firstRowLastColumn="0" w:lastRowFirstColumn="0" w:lastRowLastColumn="0"/>
              <w:rPr>
                <w:rFonts w:cs="Arial"/>
                <w:szCs w:val="24"/>
              </w:rPr>
            </w:pPr>
            <w:r>
              <w:t xml:space="preserve">If the requirements are not validated, return to </w:t>
            </w:r>
            <w:r>
              <w:rPr>
                <w:i/>
              </w:rPr>
              <w:t>Step #1 Gather Input Documents</w:t>
            </w:r>
          </w:p>
        </w:tc>
        <w:tc>
          <w:tcPr>
            <w:tcW w:w="1345" w:type="pct"/>
            <w:shd w:val="clear" w:color="auto" w:fill="FFFFFF" w:themeFill="background1"/>
          </w:tcPr>
          <w:p w14:paraId="5617E7C3" w14:textId="2D00E4EA"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12F11481"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45AC4DC3"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7E3014D1"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0AE25F33" w14:textId="159B941C" w:rsidR="009E0CA6" w:rsidRPr="00A21682"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r w:rsidR="0030569A" w:rsidRPr="00A21682" w14:paraId="0BAD2BFA" w14:textId="0C72229A" w:rsidTr="00EE2D6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68E91B85" w14:textId="3C9BBB6C" w:rsidR="00B55190" w:rsidRPr="00F949C9" w:rsidRDefault="008A4336" w:rsidP="000F42CD">
            <w:pPr>
              <w:pStyle w:val="TABLETEXT1"/>
              <w:rPr>
                <w:lang w:val="en-US"/>
              </w:rPr>
            </w:pPr>
            <w:r>
              <w:rPr>
                <w:lang w:val="en-US"/>
              </w:rPr>
              <w:t>4.0</w:t>
            </w:r>
          </w:p>
        </w:tc>
        <w:tc>
          <w:tcPr>
            <w:tcW w:w="770" w:type="pct"/>
            <w:shd w:val="clear" w:color="auto" w:fill="FFFFFF" w:themeFill="background1"/>
          </w:tcPr>
          <w:p w14:paraId="51D1A0E5" w14:textId="440F99BC" w:rsidR="00B55190" w:rsidRPr="00F949C9" w:rsidRDefault="00F949C9"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Prepare Requirements for Transmittal</w:t>
            </w:r>
          </w:p>
        </w:tc>
        <w:tc>
          <w:tcPr>
            <w:tcW w:w="2503" w:type="pct"/>
            <w:shd w:val="clear" w:color="auto" w:fill="auto"/>
          </w:tcPr>
          <w:p w14:paraId="1ECAA8C4" w14:textId="1F055A1E" w:rsidR="00B55190" w:rsidRPr="00F949C9" w:rsidRDefault="00F949C9" w:rsidP="00070B73">
            <w:pPr>
              <w:pStyle w:val="TABLEBULLETNEW"/>
              <w:numPr>
                <w:ilvl w:val="0"/>
                <w:numId w:val="0"/>
              </w:numPr>
              <w:ind w:left="72"/>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Once the requirements are validated, prepare the deliverables for transmittal approval (including Requirements Specification Document (DEL-18) and Requirements Traceability Matrix (DEL-19)).</w:t>
            </w:r>
          </w:p>
        </w:tc>
        <w:tc>
          <w:tcPr>
            <w:tcW w:w="1345" w:type="pct"/>
            <w:shd w:val="clear" w:color="auto" w:fill="FFFFFF" w:themeFill="background1"/>
          </w:tcPr>
          <w:p w14:paraId="53811ECF" w14:textId="3080F1B7"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15CB0926"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292AA350"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63C809DB"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3A201B9E" w14:textId="0C2EEF94" w:rsidR="009E0CA6" w:rsidRPr="00A21682"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30569A" w:rsidRPr="00A21682" w14:paraId="5FE386FE" w14:textId="26307590" w:rsidTr="00EE2D6D">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089F792B" w14:textId="666EDBA9" w:rsidR="00B55190" w:rsidRPr="00A21682" w:rsidRDefault="008A4336" w:rsidP="000F42CD">
            <w:pPr>
              <w:pStyle w:val="TABLETEXT1"/>
              <w:rPr>
                <w:lang w:val="en-US"/>
              </w:rPr>
            </w:pPr>
            <w:r>
              <w:rPr>
                <w:lang w:val="en-US"/>
              </w:rPr>
              <w:lastRenderedPageBreak/>
              <w:t>4.1</w:t>
            </w:r>
          </w:p>
        </w:tc>
        <w:tc>
          <w:tcPr>
            <w:tcW w:w="770" w:type="pct"/>
            <w:shd w:val="clear" w:color="auto" w:fill="FFFFFF" w:themeFill="background1"/>
          </w:tcPr>
          <w:p w14:paraId="68F821F6" w14:textId="2ED71DAA" w:rsidR="00B55190" w:rsidRPr="00A21682" w:rsidRDefault="00B55190"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Are Requirements Approved?</w:t>
            </w:r>
          </w:p>
        </w:tc>
        <w:tc>
          <w:tcPr>
            <w:tcW w:w="2503" w:type="pct"/>
            <w:shd w:val="clear" w:color="auto" w:fill="auto"/>
          </w:tcPr>
          <w:p w14:paraId="123BD52E" w14:textId="77777777" w:rsidR="00B55190" w:rsidRPr="00A21682" w:rsidRDefault="00B55190"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Requirements must be approved prior to inclusion in the RTM.</w:t>
            </w:r>
          </w:p>
          <w:p w14:paraId="5D1F0638" w14:textId="7DA5A122" w:rsidR="00B31232" w:rsidRPr="00CB677F" w:rsidRDefault="00B55190" w:rsidP="00CB677F">
            <w:pPr>
              <w:pStyle w:val="TABLEBULLETNEW"/>
              <w:cnfStyle w:val="000000000000" w:firstRow="0" w:lastRow="0" w:firstColumn="0" w:lastColumn="0" w:oddVBand="0" w:evenVBand="0" w:oddHBand="0" w:evenHBand="0" w:firstRowFirstColumn="0" w:firstRowLastColumn="0" w:lastRowFirstColumn="0" w:lastRowLastColumn="0"/>
            </w:pPr>
            <w:r>
              <w:t xml:space="preserve">If the requirements are approved, proceed to </w:t>
            </w:r>
            <w:r>
              <w:rPr>
                <w:i/>
              </w:rPr>
              <w:t>Step #5 Baseline Requirements</w:t>
            </w:r>
          </w:p>
          <w:p w14:paraId="0625EB54" w14:textId="0E797B3C" w:rsidR="00B55190" w:rsidRPr="00A21682" w:rsidRDefault="00B55190" w:rsidP="00CB677F">
            <w:pPr>
              <w:pStyle w:val="TABLEBULLETNEW"/>
              <w:cnfStyle w:val="000000000000" w:firstRow="0" w:lastRow="0" w:firstColumn="0" w:lastColumn="0" w:oddVBand="0" w:evenVBand="0" w:oddHBand="0" w:evenHBand="0" w:firstRowFirstColumn="0" w:firstRowLastColumn="0" w:lastRowFirstColumn="0" w:lastRowLastColumn="0"/>
            </w:pPr>
            <w:r>
              <w:t xml:space="preserve">If the requirements are not approved, return to </w:t>
            </w:r>
            <w:r>
              <w:rPr>
                <w:i/>
              </w:rPr>
              <w:t>Step #4 Prepare requirements for transmittal to perform adjustments as needed for re-submission</w:t>
            </w:r>
          </w:p>
        </w:tc>
        <w:tc>
          <w:tcPr>
            <w:tcW w:w="1345" w:type="pct"/>
            <w:shd w:val="clear" w:color="auto" w:fill="FFFFFF" w:themeFill="background1"/>
          </w:tcPr>
          <w:p w14:paraId="41FDE98C" w14:textId="07041C97"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6AC88B13"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2A8C3CE9"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61096FF7"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24C8854D" w14:textId="42192ED9" w:rsidR="009E0CA6" w:rsidRPr="00A21682"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r w:rsidR="0030569A" w:rsidRPr="00A21682" w14:paraId="288BE2CB" w14:textId="59E5E353" w:rsidTr="00EE2D6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36BEA8AC" w14:textId="517140E2" w:rsidR="00B55190" w:rsidRPr="00A21682" w:rsidRDefault="008A4336" w:rsidP="000F42CD">
            <w:pPr>
              <w:pStyle w:val="TABLETEXT1"/>
              <w:rPr>
                <w:lang w:val="en-US"/>
              </w:rPr>
            </w:pPr>
            <w:r>
              <w:rPr>
                <w:lang w:val="en-US"/>
              </w:rPr>
              <w:t>5</w:t>
            </w:r>
          </w:p>
        </w:tc>
        <w:tc>
          <w:tcPr>
            <w:tcW w:w="770" w:type="pct"/>
            <w:shd w:val="clear" w:color="auto" w:fill="FFFFFF" w:themeFill="background1"/>
          </w:tcPr>
          <w:p w14:paraId="4B59A5A0" w14:textId="77777777" w:rsidR="00B55190" w:rsidRPr="00A21682" w:rsidRDefault="00B55190"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Baseline Requirements</w:t>
            </w:r>
          </w:p>
        </w:tc>
        <w:tc>
          <w:tcPr>
            <w:tcW w:w="2503" w:type="pct"/>
            <w:shd w:val="clear" w:color="auto" w:fill="auto"/>
          </w:tcPr>
          <w:p w14:paraId="0306FAB1" w14:textId="4D36C01A" w:rsidR="00B55190" w:rsidRDefault="00E02196" w:rsidP="00310A35">
            <w:pPr>
              <w:pStyle w:val="TABLETEXT1"/>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The approved requirements serve as the established baseline requirements for the Wave.</w:t>
            </w:r>
          </w:p>
          <w:p w14:paraId="563A967F" w14:textId="77777777" w:rsidR="005F4B3C" w:rsidRDefault="005F4B3C" w:rsidP="005F4B3C">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p>
          <w:p w14:paraId="041C15ED" w14:textId="5046DE14" w:rsidR="005F4B3C" w:rsidRPr="00A21682" w:rsidRDefault="005F4B3C" w:rsidP="005F4B3C">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p>
        </w:tc>
        <w:tc>
          <w:tcPr>
            <w:tcW w:w="1345" w:type="pct"/>
            <w:shd w:val="clear" w:color="auto" w:fill="FFFFFF" w:themeFill="background1"/>
          </w:tcPr>
          <w:p w14:paraId="18505971" w14:textId="2281233F"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1563390F"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1A90B484"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3C69EB0B"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5D561E51" w14:textId="466ADC96" w:rsidR="009E0CA6" w:rsidRPr="00A21682"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30569A" w:rsidRPr="00A21682" w14:paraId="1EEE4758" w14:textId="0E91CFB7" w:rsidTr="00EE2D6D">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198847FC" w14:textId="3A5EB4A0" w:rsidR="00B55190" w:rsidRPr="00A21682" w:rsidRDefault="008A4336" w:rsidP="000F42CD">
            <w:pPr>
              <w:pStyle w:val="TABLETEXT1"/>
              <w:rPr>
                <w:lang w:val="en-US"/>
              </w:rPr>
            </w:pPr>
            <w:r>
              <w:rPr>
                <w:lang w:val="en-US"/>
              </w:rPr>
              <w:t>6</w:t>
            </w:r>
          </w:p>
        </w:tc>
        <w:tc>
          <w:tcPr>
            <w:tcW w:w="770" w:type="pct"/>
            <w:shd w:val="clear" w:color="auto" w:fill="FFFFFF" w:themeFill="background1"/>
          </w:tcPr>
          <w:p w14:paraId="1C3E57E7" w14:textId="38F2E780" w:rsidR="00B55190" w:rsidRPr="00A21682" w:rsidRDefault="00DE5107"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theme="majorHAnsi"/>
                <w:szCs w:val="18"/>
                <w:lang w:val="en-US"/>
              </w:rPr>
              <w:t>Load into the ALM tool</w:t>
            </w:r>
          </w:p>
        </w:tc>
        <w:tc>
          <w:tcPr>
            <w:tcW w:w="2503" w:type="pct"/>
            <w:shd w:val="clear" w:color="auto" w:fill="auto"/>
          </w:tcPr>
          <w:p w14:paraId="1EBF0C17" w14:textId="14D91267" w:rsidR="00B55190" w:rsidRPr="00A21682" w:rsidRDefault="00DE5107" w:rsidP="000F42CD">
            <w:pPr>
              <w:pStyle w:val="TABLETEXT1"/>
              <w:cnfStyle w:val="000000000000" w:firstRow="0" w:lastRow="0" w:firstColumn="0" w:lastColumn="0" w:oddVBand="0" w:evenVBand="0" w:oddHBand="0" w:evenHBand="0" w:firstRowFirstColumn="0" w:firstRowLastColumn="0" w:lastRowFirstColumn="0" w:lastRowLastColumn="0"/>
              <w:rPr>
                <w:lang w:val="en-US"/>
              </w:rPr>
            </w:pPr>
            <w:r>
              <w:rPr>
                <w:rFonts w:cstheme="majorBidi"/>
                <w:lang w:val="en-US"/>
              </w:rPr>
              <w:t xml:space="preserve">Baselined requirements are loaded into the ALM tool for traceability going forward. They are also used to drive design and implementation processes. </w:t>
            </w:r>
          </w:p>
        </w:tc>
        <w:tc>
          <w:tcPr>
            <w:tcW w:w="1345" w:type="pct"/>
            <w:shd w:val="clear" w:color="auto" w:fill="FFFFFF" w:themeFill="background1"/>
          </w:tcPr>
          <w:p w14:paraId="2F2E1481" w14:textId="47BC04D1"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1CD3F386"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0A320BB6"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3CF80927"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1A202EC5" w14:textId="1283F450" w:rsidR="009E0CA6" w:rsidRPr="00A21682" w:rsidRDefault="00F963BD" w:rsidP="00F963BD">
            <w:pPr>
              <w:pStyle w:val="TABLEBULLETNEW"/>
              <w:cnfStyle w:val="000000000000" w:firstRow="0" w:lastRow="0" w:firstColumn="0" w:lastColumn="0" w:oddVBand="0" w:evenVBand="0" w:oddHBand="0" w:evenHBand="0" w:firstRowFirstColumn="0" w:firstRowLastColumn="0" w:lastRowFirstColumn="0" w:lastRowLastColumn="0"/>
              <w:rPr>
                <w:rFonts w:cstheme="majorBidi"/>
              </w:rPr>
            </w:pPr>
            <w:r>
              <w:rPr>
                <w:u w:color="000000" w:themeColor="text1"/>
              </w:rPr>
              <w:t>Business Team</w:t>
            </w:r>
          </w:p>
        </w:tc>
      </w:tr>
      <w:tr w:rsidR="00DE5107" w:rsidRPr="00A21682" w14:paraId="22652A0C" w14:textId="0A21D2B9" w:rsidTr="00EE2D6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4F7A164F" w14:textId="7A6BB8A1" w:rsidR="00DE5107" w:rsidRPr="00A21682" w:rsidRDefault="008A4336" w:rsidP="000F42CD">
            <w:pPr>
              <w:pStyle w:val="TABLETEXT1"/>
              <w:rPr>
                <w:lang w:val="en-US"/>
              </w:rPr>
            </w:pPr>
            <w:r>
              <w:rPr>
                <w:lang w:val="en-US"/>
              </w:rPr>
              <w:t>7</w:t>
            </w:r>
          </w:p>
        </w:tc>
        <w:tc>
          <w:tcPr>
            <w:tcW w:w="770" w:type="pct"/>
            <w:shd w:val="clear" w:color="auto" w:fill="FFFFFF" w:themeFill="background1"/>
          </w:tcPr>
          <w:p w14:paraId="19B6BE6D" w14:textId="70B52A87" w:rsidR="00DE5107" w:rsidRPr="00A21682" w:rsidRDefault="00DE5107"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theme="majorHAnsi"/>
                <w:color w:val="auto"/>
                <w:szCs w:val="18"/>
                <w:lang w:val="en-US"/>
              </w:rPr>
              <w:t>Generate an ALM tool Extract Report</w:t>
            </w:r>
          </w:p>
        </w:tc>
        <w:tc>
          <w:tcPr>
            <w:tcW w:w="2503" w:type="pct"/>
            <w:shd w:val="clear" w:color="auto" w:fill="auto"/>
          </w:tcPr>
          <w:p w14:paraId="12B41A64" w14:textId="2388441B" w:rsidR="00DE5107" w:rsidRPr="00A21682" w:rsidRDefault="00DE5107" w:rsidP="000F42CD">
            <w:pPr>
              <w:pStyle w:val="TABLETEXT1"/>
              <w:cnfStyle w:val="000000100000" w:firstRow="0" w:lastRow="0" w:firstColumn="0" w:lastColumn="0" w:oddVBand="0" w:evenVBand="0" w:oddHBand="1" w:evenHBand="0" w:firstRowFirstColumn="0" w:firstRowLastColumn="0" w:lastRowFirstColumn="0" w:lastRowLastColumn="0"/>
              <w:rPr>
                <w:lang w:val="en-US"/>
              </w:rPr>
            </w:pPr>
            <w:r>
              <w:rPr>
                <w:rFonts w:cstheme="majorBidi"/>
                <w:color w:val="auto"/>
                <w:lang w:val="en-US"/>
              </w:rPr>
              <w:t xml:space="preserve">This report creates the RTM. The extract is reviewed and validated to verify all test cases and design documents are linked. </w:t>
            </w:r>
          </w:p>
        </w:tc>
        <w:tc>
          <w:tcPr>
            <w:tcW w:w="1345" w:type="pct"/>
            <w:shd w:val="clear" w:color="auto" w:fill="FFFFFF" w:themeFill="background1"/>
          </w:tcPr>
          <w:p w14:paraId="35739989" w14:textId="28025EAB"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384B76CB"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42191B45"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5837F185"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347942E9" w14:textId="753951C8" w:rsidR="009E0CA6" w:rsidRPr="00A21682" w:rsidRDefault="00F963BD" w:rsidP="00F963BD">
            <w:pPr>
              <w:pStyle w:val="TABLEBULLETNEW"/>
              <w:cnfStyle w:val="000000100000" w:firstRow="0" w:lastRow="0" w:firstColumn="0" w:lastColumn="0" w:oddVBand="0" w:evenVBand="0" w:oddHBand="1" w:evenHBand="0" w:firstRowFirstColumn="0" w:firstRowLastColumn="0" w:lastRowFirstColumn="0" w:lastRowLastColumn="0"/>
              <w:rPr>
                <w:rFonts w:cstheme="majorBidi"/>
              </w:rPr>
            </w:pPr>
            <w:r>
              <w:rPr>
                <w:u w:color="000000" w:themeColor="text1"/>
              </w:rPr>
              <w:t>Business Team</w:t>
            </w:r>
          </w:p>
        </w:tc>
      </w:tr>
      <w:tr w:rsidR="00755635" w:rsidRPr="00A21682" w14:paraId="5BCF0140" w14:textId="24263193" w:rsidTr="00EE2D6D">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2BDB11A3" w14:textId="685969D6" w:rsidR="00AD1441" w:rsidRPr="008A4336" w:rsidRDefault="008A4336" w:rsidP="000F42CD">
            <w:pPr>
              <w:pStyle w:val="TABLETEXT1"/>
              <w:rPr>
                <w:lang w:val="en-US"/>
              </w:rPr>
            </w:pPr>
            <w:r>
              <w:rPr>
                <w:lang w:val="en-US"/>
              </w:rPr>
              <w:t>8</w:t>
            </w:r>
          </w:p>
        </w:tc>
        <w:tc>
          <w:tcPr>
            <w:tcW w:w="770" w:type="pct"/>
            <w:shd w:val="clear" w:color="auto" w:fill="FFFFFF" w:themeFill="background1"/>
          </w:tcPr>
          <w:p w14:paraId="0E406A77" w14:textId="30A0BEC6" w:rsidR="00AD1441" w:rsidRPr="00A21682" w:rsidRDefault="00DE5107" w:rsidP="000F42CD">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theme="majorHAnsi"/>
                <w:szCs w:val="18"/>
                <w:lang w:val="en-US"/>
              </w:rPr>
              <w:t>Publish RTM</w:t>
            </w:r>
          </w:p>
        </w:tc>
        <w:tc>
          <w:tcPr>
            <w:tcW w:w="2503" w:type="pct"/>
            <w:shd w:val="clear" w:color="auto" w:fill="auto"/>
          </w:tcPr>
          <w:p w14:paraId="181E0720" w14:textId="77777777" w:rsidR="00DE5107" w:rsidRPr="00A21682" w:rsidRDefault="00DE5107" w:rsidP="000F42CD">
            <w:pPr>
              <w:pStyle w:val="TABLETEXT1"/>
              <w:cnfStyle w:val="000000000000" w:firstRow="0" w:lastRow="0" w:firstColumn="0" w:lastColumn="0" w:oddVBand="0" w:evenVBand="0" w:oddHBand="0" w:evenHBand="0" w:firstRowFirstColumn="0" w:firstRowLastColumn="0" w:lastRowFirstColumn="0" w:lastRowLastColumn="0"/>
              <w:rPr>
                <w:rFonts w:cstheme="majorBidi"/>
                <w:color w:val="auto"/>
                <w:lang w:val="en-US"/>
              </w:rPr>
            </w:pPr>
            <w:r>
              <w:rPr>
                <w:rFonts w:cstheme="majorBidi"/>
                <w:color w:val="auto"/>
                <w:lang w:val="en-US"/>
              </w:rPr>
              <w:t>In the RTM, each requirement is assigned an identification number and, if possible, mapped to the baseline Medicaid solution.</w:t>
            </w:r>
          </w:p>
          <w:p w14:paraId="58411F4F" w14:textId="6D3DE59C" w:rsidR="00AD1441" w:rsidRPr="00A21682" w:rsidRDefault="00DE5107" w:rsidP="000F42CD">
            <w:pPr>
              <w:pStyle w:val="TABLETEXT1"/>
              <w:cnfStyle w:val="000000000000" w:firstRow="0" w:lastRow="0" w:firstColumn="0" w:lastColumn="0" w:oddVBand="0" w:evenVBand="0" w:oddHBand="0" w:evenHBand="0" w:firstRowFirstColumn="0" w:firstRowLastColumn="0" w:lastRowFirstColumn="0" w:lastRowLastColumn="0"/>
              <w:rPr>
                <w:lang w:val="en-US"/>
              </w:rPr>
            </w:pPr>
            <w:r>
              <w:rPr>
                <w:rFonts w:cstheme="majorBidi"/>
                <w:lang w:val="en-US"/>
              </w:rPr>
              <w:t>The RTM is then published via the requirements management tool for all stakeholders to review. (The format of the RTM extract is subject to the capabilities of the requirements management tool)</w:t>
            </w:r>
          </w:p>
        </w:tc>
        <w:tc>
          <w:tcPr>
            <w:tcW w:w="1345" w:type="pct"/>
            <w:shd w:val="clear" w:color="auto" w:fill="FFFFFF" w:themeFill="background1"/>
          </w:tcPr>
          <w:p w14:paraId="5D40BFEF" w14:textId="75C5DBAE"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78ADEDBC"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4386340A"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0E874F75"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28746A9F" w14:textId="77FFFD96" w:rsidR="009E0CA6" w:rsidRPr="00A21682" w:rsidRDefault="00F963BD" w:rsidP="00F963BD">
            <w:pPr>
              <w:pStyle w:val="TABLEBULLETNEW"/>
              <w:cnfStyle w:val="000000000000" w:firstRow="0" w:lastRow="0" w:firstColumn="0" w:lastColumn="0" w:oddVBand="0" w:evenVBand="0" w:oddHBand="0" w:evenHBand="0" w:firstRowFirstColumn="0" w:firstRowLastColumn="0" w:lastRowFirstColumn="0" w:lastRowLastColumn="0"/>
              <w:rPr>
                <w:rFonts w:cstheme="majorBidi"/>
              </w:rPr>
            </w:pPr>
            <w:r>
              <w:rPr>
                <w:u w:color="000000" w:themeColor="text1"/>
              </w:rPr>
              <w:t>Business Team</w:t>
            </w:r>
          </w:p>
        </w:tc>
      </w:tr>
      <w:tr w:rsidR="00675F3C" w:rsidRPr="00A21682" w14:paraId="0EA8207B" w14:textId="5AB5AF11" w:rsidTr="00EE2D6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82" w:type="pct"/>
            <w:shd w:val="clear" w:color="auto" w:fill="FFFFFF" w:themeFill="background1"/>
          </w:tcPr>
          <w:p w14:paraId="5F080A30" w14:textId="72E2D2AE" w:rsidR="00AD1441" w:rsidRPr="008A4336" w:rsidRDefault="008A4336" w:rsidP="000F42CD">
            <w:pPr>
              <w:pStyle w:val="TABLETEXT1"/>
              <w:rPr>
                <w:lang w:val="en-US"/>
              </w:rPr>
            </w:pPr>
            <w:r>
              <w:rPr>
                <w:lang w:val="en-US"/>
              </w:rPr>
              <w:t>9</w:t>
            </w:r>
          </w:p>
        </w:tc>
        <w:tc>
          <w:tcPr>
            <w:tcW w:w="770" w:type="pct"/>
            <w:shd w:val="clear" w:color="auto" w:fill="FFFFFF" w:themeFill="background1"/>
          </w:tcPr>
          <w:p w14:paraId="527BB957" w14:textId="6DC0EB05" w:rsidR="00AD1441" w:rsidRPr="00A21682" w:rsidRDefault="00EC5738" w:rsidP="000F42CD">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theme="majorHAnsi"/>
                <w:szCs w:val="18"/>
                <w:lang w:val="en-US"/>
              </w:rPr>
              <w:t>Review RTM</w:t>
            </w:r>
          </w:p>
        </w:tc>
        <w:tc>
          <w:tcPr>
            <w:tcW w:w="2503" w:type="pct"/>
            <w:shd w:val="clear" w:color="auto" w:fill="auto"/>
          </w:tcPr>
          <w:p w14:paraId="6F8219A4" w14:textId="001E3EBA" w:rsidR="00AD1441" w:rsidRPr="00A21682" w:rsidRDefault="00AD1441" w:rsidP="000F42CD">
            <w:pPr>
              <w:pStyle w:val="TABLETEXT1"/>
              <w:cnfStyle w:val="000000100000" w:firstRow="0" w:lastRow="0" w:firstColumn="0" w:lastColumn="0" w:oddVBand="0" w:evenVBand="0" w:oddHBand="1" w:evenHBand="0" w:firstRowFirstColumn="0" w:firstRowLastColumn="0" w:lastRowFirstColumn="0" w:lastRowLastColumn="0"/>
              <w:rPr>
                <w:lang w:val="en-US"/>
              </w:rPr>
            </w:pPr>
            <w:r>
              <w:rPr>
                <w:rFonts w:cs="Arial"/>
                <w:szCs w:val="24"/>
                <w:lang w:val="en-US"/>
              </w:rPr>
              <w:t>Project Management and relevant stakeholder groups review the RTM and provide feedback and comments, if needed.</w:t>
            </w:r>
          </w:p>
        </w:tc>
        <w:tc>
          <w:tcPr>
            <w:tcW w:w="1345" w:type="pct"/>
            <w:shd w:val="clear" w:color="auto" w:fill="FFFFFF" w:themeFill="background1"/>
          </w:tcPr>
          <w:p w14:paraId="3DE5A208" w14:textId="32BBAA31"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19E08F09"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56DC1B9E"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551C63F3"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0A458B6B" w14:textId="3D333C2A" w:rsidR="009E0CA6" w:rsidRPr="00A21682"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bl>
    <w:p w14:paraId="2517A45F" w14:textId="7E4C7BA2" w:rsidR="00B55190" w:rsidRPr="00A21682" w:rsidRDefault="00B55190" w:rsidP="00EA66FB">
      <w:pPr>
        <w:pStyle w:val="Caption"/>
        <w:rPr>
          <w:noProof w:val="0"/>
        </w:rPr>
      </w:pPr>
      <w:bookmarkStart w:id="4328" w:name="_Toc149732286"/>
      <w:bookmarkStart w:id="4329" w:name="_Toc19287522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Initial Requirements Approval Process Flow Narrative</w:t>
      </w:r>
      <w:bookmarkStart w:id="4330" w:name="_Toc143696654"/>
      <w:bookmarkStart w:id="4331" w:name="_Toc143696682"/>
      <w:bookmarkStart w:id="4332" w:name="_Toc143698406"/>
      <w:bookmarkEnd w:id="4328"/>
      <w:bookmarkEnd w:id="4329"/>
    </w:p>
    <w:p w14:paraId="530C89A5" w14:textId="737D6DD8" w:rsidR="00F33A46" w:rsidRPr="00A21682" w:rsidRDefault="00C110E0" w:rsidP="00C110E0">
      <w:pPr>
        <w:pStyle w:val="Heading2"/>
      </w:pPr>
      <w:bookmarkStart w:id="4333" w:name="_Toc192875020"/>
      <w:r>
        <w:t>Post Transmittal Approval Requirements Modifications</w:t>
      </w:r>
      <w:bookmarkEnd w:id="4333"/>
    </w:p>
    <w:p w14:paraId="42CA0983" w14:textId="2D70EE39" w:rsidR="0031389F" w:rsidRPr="00A21682" w:rsidRDefault="0031389F" w:rsidP="00F30978">
      <w:pPr>
        <w:pStyle w:val="NormalNEW"/>
        <w:rPr>
          <w:lang w:val="en-US"/>
        </w:rPr>
      </w:pPr>
      <w:r>
        <w:rPr>
          <w:lang w:val="en-US"/>
        </w:rPr>
        <w:t xml:space="preserve">Changes to requirements can significantly impact the project lifecycle, often dependent upon updates to design documents. These changes may arise from various sources, such as defects discovered </w:t>
      </w:r>
      <w:r>
        <w:rPr>
          <w:lang w:val="en-US"/>
        </w:rPr>
        <w:lastRenderedPageBreak/>
        <w:t>during testing, which require modifications to system code and corresponding design documentation. In addition, observations, or discussions during Integrated JAD sessions may highlight the need for further clarification or confirmation of designs, prompting updates. Solution Exploration activities can also lead to adjustments in system code and design documents to better align with the desired outcomes. DUM meetings, where ███████ and DOH OHIP discuss unresolved items from JADs and other meetings, may result in decisions that call for design updates. Project timelines and resource availability can impact requirements, as constraints or extensions may require re-evaluation and adjustment of the project scope to align with overall objectives. Changes are evaluated for their potential impact on the project's quality, schedule, budget, and resources, thereby mitigating risks and maintaining project quality. This evaluation process requires the ICCP, which is discussed further in Section 10.</w:t>
      </w:r>
    </w:p>
    <w:p w14:paraId="5B244266" w14:textId="0F086C5C" w:rsidR="00504E0E" w:rsidRPr="00A21682" w:rsidRDefault="0031389F" w:rsidP="00F30978">
      <w:pPr>
        <w:pStyle w:val="NormalNEW"/>
        <w:rPr>
          <w:lang w:val="en-US"/>
        </w:rPr>
      </w:pPr>
      <w:r>
        <w:rPr>
          <w:lang w:val="en-US"/>
        </w:rPr>
        <w:t>Maintaining requirements is a critical aspect of project management, involving several key activities to keep them accurate, relevant, and aligned with project objectives. This process includes regular reviews and updates to reflect changes in project scope, stakeholder needs, or external factors. Effective communication and collaboration between ███████ and DOH are essential to promptly identify and address any discrepancies or new requirements. Documentation practices, such as version</w:t>
      </w:r>
      <w:r>
        <w:rPr>
          <w:rFonts w:eastAsiaTheme="majorEastAsia" w:cstheme="majorBidi"/>
          <w:szCs w:val="18"/>
          <w:lang w:val="en-US"/>
        </w:rPr>
        <w:t xml:space="preserve"> </w:t>
      </w:r>
      <w:r>
        <w:rPr>
          <w:lang w:val="en-US"/>
        </w:rPr>
        <w:t>control (highlighted in Section 12.7 Requirements Versioning Control) and traceability, are employed to track changes and maintain a clear history of requirement evolution. In addition, validation and verification activities are conducted to confirm that the requirements continue to meet the project's goals and can be feasibly implemented within the given constraints. By systematically managing requirements, projects can achieve better alignment with business objectives, reduce risks, and enhance overall project success.</w:t>
      </w:r>
    </w:p>
    <w:p w14:paraId="5FD71895" w14:textId="477E2F3C" w:rsidR="00C110E0" w:rsidRPr="00A21682" w:rsidRDefault="002C34B8" w:rsidP="008466EE">
      <w:pPr>
        <w:pStyle w:val="Heading3"/>
      </w:pPr>
      <w:bookmarkStart w:id="4334" w:name="_Toc192875021"/>
      <w:r>
        <w:t>Post Transmittal Approval Requirements Modification Process Flow</w:t>
      </w:r>
      <w:bookmarkEnd w:id="4334"/>
    </w:p>
    <w:p w14:paraId="56969BA0" w14:textId="7EA8FD82" w:rsidR="00EA66FB" w:rsidRPr="00A21682" w:rsidRDefault="00EA66FB" w:rsidP="00EA66FB">
      <w:pPr>
        <w:pStyle w:val="NormalNEW"/>
        <w:rPr>
          <w:lang w:val="en-US"/>
        </w:rPr>
      </w:pPr>
      <w:r>
        <w:rPr>
          <w:lang w:val="en-US"/>
        </w:rPr>
        <w:t>The process flow below identifies the post transmittal approval requirement modification steps.</w:t>
      </w:r>
    </w:p>
    <w:p w14:paraId="4A68AF1D" w14:textId="5B200D37" w:rsidR="00713D91" w:rsidRPr="00A21682" w:rsidRDefault="00577A3A" w:rsidP="008E0B89">
      <w:pPr>
        <w:pStyle w:val="Body"/>
        <w:rPr>
          <w:lang w:val="en-US"/>
        </w:rPr>
      </w:pPr>
      <w:r>
        <w:rPr>
          <w:lang w:val="en-US"/>
        </w:rPr>
        <w:object w:dxaOrig="20205" w:dyaOrig="10855" w14:anchorId="4C92CBAB">
          <v:shape id="_x0000_i1053" type="#_x0000_t75" style="width:457.8pt;height:231.6pt" o:ole="">
            <v:imagedata r:id="rId119" o:title=""/>
          </v:shape>
          <o:OLEObject Type="Embed" ProgID="Visio.Drawing.15" ShapeID="_x0000_i1053" DrawAspect="Content" ObjectID="_1849677357" r:id="rId120"/>
        </w:object>
      </w:r>
      <w:r>
        <w:rPr>
          <w:lang w:val="en-US"/>
        </w:rPr>
        <w:t xml:space="preserve"> </w:t>
      </w:r>
    </w:p>
    <w:p w14:paraId="3BA742CD" w14:textId="5CBD007E" w:rsidR="00AA1482" w:rsidRPr="00A21682" w:rsidRDefault="00AA1482" w:rsidP="00AA1482">
      <w:pPr>
        <w:pStyle w:val="Caption"/>
        <w:rPr>
          <w:noProof w:val="0"/>
        </w:rPr>
      </w:pPr>
      <w:bookmarkStart w:id="4335" w:name="_Toc192875084"/>
      <w:r>
        <w:rPr>
          <w:noProof w:val="0"/>
        </w:rPr>
        <w:t xml:space="preserve">Figure </w:t>
      </w:r>
      <w:r>
        <w:rPr>
          <w:noProof w:val="0"/>
        </w:rPr>
        <w:fldChar w:fldCharType="begin"/>
      </w:r>
      <w:r>
        <w:rPr>
          <w:noProof w:val="0"/>
        </w:rPr>
        <w:instrText xml:space="preserve"> STYLEREF 1 \s </w:instrText>
      </w:r>
      <w:r>
        <w:rPr>
          <w:noProof w:val="0"/>
        </w:rPr>
        <w:fldChar w:fldCharType="separate"/>
      </w:r>
      <w:r>
        <w:rPr>
          <w:noProof w:val="0"/>
        </w:rPr>
        <w:t>12</w:t>
      </w:r>
      <w:r>
        <w:rPr>
          <w:noProof w:val="0"/>
        </w:rPr>
        <w:fldChar w:fldCharType="end"/>
      </w:r>
      <w:r>
        <w:rPr>
          <w:noProof w:val="0"/>
        </w:rPr>
        <w:t>-</w:t>
      </w:r>
      <w:r>
        <w:rPr>
          <w:noProof w:val="0"/>
        </w:rPr>
        <w:fldChar w:fldCharType="begin"/>
      </w:r>
      <w:r>
        <w:rPr>
          <w:noProof w:val="0"/>
        </w:rPr>
        <w:instrText xml:space="preserve"> SEQ Figure \* ARABIC \s 1 </w:instrText>
      </w:r>
      <w:r>
        <w:rPr>
          <w:noProof w:val="0"/>
        </w:rPr>
        <w:fldChar w:fldCharType="separate"/>
      </w:r>
      <w:r>
        <w:rPr>
          <w:noProof w:val="0"/>
        </w:rPr>
        <w:t>2</w:t>
      </w:r>
      <w:r>
        <w:rPr>
          <w:noProof w:val="0"/>
        </w:rPr>
        <w:fldChar w:fldCharType="end"/>
      </w:r>
      <w:r>
        <w:rPr>
          <w:noProof w:val="0"/>
        </w:rPr>
        <w:t>: Post Transmittal Approval Requirements Modification Process Flow Diagram</w:t>
      </w:r>
      <w:bookmarkEnd w:id="4335"/>
    </w:p>
    <w:p w14:paraId="6B2EE5A8" w14:textId="4C698FEF" w:rsidR="000264C3" w:rsidRPr="00A21682" w:rsidRDefault="00AE7670" w:rsidP="008E0B89">
      <w:pPr>
        <w:pStyle w:val="Heading3"/>
      </w:pPr>
      <w:bookmarkStart w:id="4336" w:name="_Toc192875022"/>
      <w:r>
        <w:lastRenderedPageBreak/>
        <w:t>Post Transmittal Approval Requirements Modification Process Narrative</w:t>
      </w:r>
      <w:bookmarkEnd w:id="4336"/>
    </w:p>
    <w:p w14:paraId="5773168C" w14:textId="3D68B45E" w:rsidR="00360F0C" w:rsidRPr="00A21682" w:rsidRDefault="00360F0C" w:rsidP="00360F0C">
      <w:pPr>
        <w:pStyle w:val="NormalNEW"/>
        <w:rPr>
          <w:rFonts w:cstheme="majorHAnsi"/>
          <w:szCs w:val="18"/>
          <w:lang w:val="en-US"/>
        </w:rPr>
      </w:pPr>
      <w:r>
        <w:rPr>
          <w:rFonts w:cstheme="majorHAnsi"/>
          <w:szCs w:val="18"/>
          <w:lang w:val="en-US"/>
        </w:rPr>
        <w:t>The following table describes each process step illustrated above. NOTE: The stakeholder groups involved in post transmittal approval of requirements include, but are not limited to Project Management, Business Analysts, Quality Assurance, Technology Team, and Business team.</w:t>
      </w:r>
    </w:p>
    <w:tbl>
      <w:tblPr>
        <w:tblStyle w:val="GridTable5Dark-Accent135"/>
        <w:tblW w:w="5000" w:type="pct"/>
        <w:tblInd w:w="-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A0" w:firstRow="1" w:lastRow="0" w:firstColumn="1" w:lastColumn="0" w:noHBand="1" w:noVBand="1"/>
      </w:tblPr>
      <w:tblGrid>
        <w:gridCol w:w="628"/>
        <w:gridCol w:w="1691"/>
        <w:gridCol w:w="4607"/>
        <w:gridCol w:w="2426"/>
      </w:tblGrid>
      <w:tr w:rsidR="00F963BD" w:rsidRPr="00A21682" w14:paraId="016AD7C3" w14:textId="22847E4F" w:rsidTr="00EA3FAA">
        <w:trPr>
          <w:cnfStyle w:val="100000000000" w:firstRow="1" w:lastRow="0" w:firstColumn="0" w:lastColumn="0" w:oddVBand="0" w:evenVBand="0" w:oddHBand="0" w:evenHBand="0" w:firstRowFirstColumn="0" w:firstRowLastColumn="0" w:lastRowFirstColumn="0" w:lastRowLastColumn="0"/>
          <w:cantSplit/>
          <w:trHeight w:val="20"/>
          <w:tblHeader/>
        </w:trPr>
        <w:tc>
          <w:tcPr>
            <w:cnfStyle w:val="001000000000" w:firstRow="0" w:lastRow="0" w:firstColumn="1" w:lastColumn="0" w:oddVBand="0" w:evenVBand="0" w:oddHBand="0" w:evenHBand="0" w:firstRowFirstColumn="0" w:firstRowLastColumn="0" w:lastRowFirstColumn="0" w:lastRowLastColumn="0"/>
            <w:tcW w:w="336" w:type="pct"/>
            <w:tcBorders>
              <w:bottom w:val="single" w:sz="2" w:space="0" w:color="auto"/>
              <w:right w:val="single" w:sz="4" w:space="0" w:color="FFFFFF" w:themeColor="background1"/>
            </w:tcBorders>
            <w:shd w:val="clear" w:color="auto" w:fill="000000" w:themeFill="text1"/>
          </w:tcPr>
          <w:p w14:paraId="7B1E112C" w14:textId="77777777" w:rsidR="00F963BD" w:rsidRPr="00A21682" w:rsidDel="0009317F" w:rsidRDefault="00F963BD" w:rsidP="000F325E">
            <w:pPr>
              <w:pStyle w:val="TABLEHEADINGNEW"/>
              <w:rPr>
                <w:rFonts w:cstheme="majorHAnsi"/>
                <w:b/>
                <w:bCs/>
                <w:szCs w:val="18"/>
              </w:rPr>
            </w:pPr>
            <w:r>
              <w:rPr>
                <w:rFonts w:cstheme="majorHAnsi"/>
                <w:b/>
                <w:bCs/>
                <w:szCs w:val="18"/>
              </w:rPr>
              <w:t>Step #</w:t>
            </w:r>
          </w:p>
        </w:tc>
        <w:tc>
          <w:tcPr>
            <w:tcW w:w="904" w:type="pct"/>
            <w:tcBorders>
              <w:left w:val="single" w:sz="4" w:space="0" w:color="FFFFFF" w:themeColor="background1"/>
              <w:bottom w:val="single" w:sz="2" w:space="0" w:color="auto"/>
              <w:right w:val="single" w:sz="4" w:space="0" w:color="FFFFFF" w:themeColor="background1"/>
            </w:tcBorders>
            <w:shd w:val="clear" w:color="auto" w:fill="000000" w:themeFill="text1"/>
          </w:tcPr>
          <w:p w14:paraId="4B85B5FA" w14:textId="7F7C0753" w:rsidR="00F963BD" w:rsidRPr="00A21682" w:rsidRDefault="00F963BD" w:rsidP="000F325E">
            <w:pPr>
              <w:pStyle w:val="TABLEHEADINGNEW"/>
              <w:cnfStyle w:val="100000000000" w:firstRow="1" w:lastRow="0" w:firstColumn="0" w:lastColumn="0" w:oddVBand="0" w:evenVBand="0" w:oddHBand="0" w:evenHBand="0" w:firstRowFirstColumn="0" w:firstRowLastColumn="0" w:lastRowFirstColumn="0" w:lastRowLastColumn="0"/>
              <w:rPr>
                <w:rFonts w:cstheme="majorHAnsi"/>
                <w:b/>
                <w:bCs/>
                <w:szCs w:val="18"/>
              </w:rPr>
            </w:pPr>
            <w:r>
              <w:rPr>
                <w:rFonts w:cstheme="majorHAnsi"/>
                <w:b/>
                <w:bCs/>
                <w:szCs w:val="18"/>
              </w:rPr>
              <w:t>Process</w:t>
            </w:r>
          </w:p>
        </w:tc>
        <w:tc>
          <w:tcPr>
            <w:tcW w:w="2463" w:type="pct"/>
            <w:tcBorders>
              <w:left w:val="single" w:sz="4" w:space="0" w:color="FFFFFF" w:themeColor="background1"/>
              <w:bottom w:val="single" w:sz="2" w:space="0" w:color="auto"/>
              <w:right w:val="single" w:sz="4" w:space="0" w:color="FFFFFF" w:themeColor="background1"/>
            </w:tcBorders>
            <w:shd w:val="clear" w:color="auto" w:fill="000000" w:themeFill="text1"/>
          </w:tcPr>
          <w:p w14:paraId="63A30E5C" w14:textId="77777777" w:rsidR="00F963BD" w:rsidRPr="00A21682" w:rsidRDefault="00F963BD" w:rsidP="000F325E">
            <w:pPr>
              <w:pStyle w:val="TABLEHEADINGNEW"/>
              <w:cnfStyle w:val="100000000000" w:firstRow="1" w:lastRow="0" w:firstColumn="0" w:lastColumn="0" w:oddVBand="0" w:evenVBand="0" w:oddHBand="0" w:evenHBand="0" w:firstRowFirstColumn="0" w:firstRowLastColumn="0" w:lastRowFirstColumn="0" w:lastRowLastColumn="0"/>
              <w:rPr>
                <w:rFonts w:cstheme="majorHAnsi"/>
                <w:b/>
                <w:bCs/>
                <w:szCs w:val="18"/>
              </w:rPr>
            </w:pPr>
            <w:r>
              <w:rPr>
                <w:rFonts w:cstheme="majorHAnsi"/>
                <w:b/>
                <w:bCs/>
                <w:szCs w:val="18"/>
              </w:rPr>
              <w:t>Description</w:t>
            </w:r>
          </w:p>
        </w:tc>
        <w:tc>
          <w:tcPr>
            <w:tcW w:w="1297" w:type="pct"/>
            <w:tcBorders>
              <w:left w:val="single" w:sz="4" w:space="0" w:color="FFFFFF" w:themeColor="background1"/>
              <w:bottom w:val="single" w:sz="2" w:space="0" w:color="auto"/>
              <w:right w:val="single" w:sz="2" w:space="0" w:color="FFFFFF" w:themeColor="background1"/>
            </w:tcBorders>
            <w:shd w:val="clear" w:color="auto" w:fill="000000" w:themeFill="text1"/>
          </w:tcPr>
          <w:p w14:paraId="4FEE5246" w14:textId="7D68FB9D" w:rsidR="00F963BD" w:rsidRPr="00F963BD" w:rsidRDefault="00F963BD" w:rsidP="000F325E">
            <w:pPr>
              <w:pStyle w:val="TABLEHEADINGNEW"/>
              <w:cnfStyle w:val="100000000000" w:firstRow="1" w:lastRow="0" w:firstColumn="0" w:lastColumn="0" w:oddVBand="0" w:evenVBand="0" w:oddHBand="0" w:evenHBand="0" w:firstRowFirstColumn="0" w:firstRowLastColumn="0" w:lastRowFirstColumn="0" w:lastRowLastColumn="0"/>
              <w:rPr>
                <w:rFonts w:cstheme="majorHAnsi"/>
                <w:b/>
                <w:bCs/>
                <w:szCs w:val="18"/>
              </w:rPr>
            </w:pPr>
            <w:r>
              <w:rPr>
                <w:rFonts w:cstheme="majorHAnsi"/>
                <w:b/>
                <w:bCs/>
                <w:szCs w:val="18"/>
              </w:rPr>
              <w:t>Stakeholder</w:t>
            </w:r>
          </w:p>
        </w:tc>
      </w:tr>
      <w:tr w:rsidR="00F963BD" w:rsidRPr="00A21682" w14:paraId="565096A9" w14:textId="3044C952" w:rsidTr="00310A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top w:val="single" w:sz="2" w:space="0" w:color="auto"/>
              <w:left w:val="single" w:sz="2" w:space="0" w:color="auto"/>
              <w:bottom w:val="single" w:sz="2" w:space="0" w:color="auto"/>
              <w:right w:val="single" w:sz="2" w:space="0" w:color="auto"/>
            </w:tcBorders>
            <w:shd w:val="clear" w:color="auto" w:fill="FFFFFF" w:themeFill="background1"/>
          </w:tcPr>
          <w:p w14:paraId="7AE3FC5F" w14:textId="6E44CD2A" w:rsidR="00F963BD" w:rsidRPr="00A21682" w:rsidRDefault="00F963BD" w:rsidP="000F325E">
            <w:pPr>
              <w:pStyle w:val="TABLETEXT1"/>
              <w:rPr>
                <w:rFonts w:cs="Arial"/>
                <w:b w:val="0"/>
                <w:bCs w:val="0"/>
                <w:color w:val="000000" w:themeColor="text1"/>
                <w:szCs w:val="24"/>
                <w:lang w:val="en-US"/>
              </w:rPr>
            </w:pPr>
            <w:r>
              <w:rPr>
                <w:rFonts w:cs="Arial"/>
                <w:b w:val="0"/>
                <w:bCs w:val="0"/>
                <w:color w:val="000000" w:themeColor="text1"/>
                <w:szCs w:val="24"/>
                <w:lang w:val="en-US"/>
              </w:rPr>
              <w:t>1</w:t>
            </w:r>
          </w:p>
        </w:tc>
        <w:tc>
          <w:tcPr>
            <w:tcW w:w="904" w:type="pct"/>
            <w:tcBorders>
              <w:top w:val="single" w:sz="2" w:space="0" w:color="auto"/>
              <w:left w:val="single" w:sz="2" w:space="0" w:color="auto"/>
              <w:bottom w:val="single" w:sz="2" w:space="0" w:color="auto"/>
              <w:right w:val="single" w:sz="2" w:space="0" w:color="auto"/>
            </w:tcBorders>
            <w:shd w:val="clear" w:color="auto" w:fill="FFFFFF" w:themeFill="background1"/>
          </w:tcPr>
          <w:p w14:paraId="1755D2FC" w14:textId="77777777"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Changes in Requirements are Identified</w:t>
            </w:r>
          </w:p>
        </w:tc>
        <w:tc>
          <w:tcPr>
            <w:tcW w:w="2463" w:type="pct"/>
            <w:tcBorders>
              <w:top w:val="single" w:sz="2" w:space="0" w:color="auto"/>
              <w:left w:val="single" w:sz="2" w:space="0" w:color="auto"/>
              <w:bottom w:val="single" w:sz="2" w:space="0" w:color="auto"/>
              <w:right w:val="single" w:sz="2" w:space="0" w:color="auto"/>
            </w:tcBorders>
            <w:shd w:val="clear" w:color="auto" w:fill="auto"/>
          </w:tcPr>
          <w:p w14:paraId="528BBFF9" w14:textId="77777777"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Identify whether the requirement needs to be changed, updated, or if a new requirement needs to be created.</w:t>
            </w:r>
          </w:p>
        </w:tc>
        <w:tc>
          <w:tcPr>
            <w:tcW w:w="1297" w:type="pct"/>
            <w:tcBorders>
              <w:top w:val="single" w:sz="2" w:space="0" w:color="auto"/>
              <w:left w:val="single" w:sz="2" w:space="0" w:color="auto"/>
              <w:bottom w:val="single" w:sz="2" w:space="0" w:color="auto"/>
              <w:right w:val="single" w:sz="2" w:space="0" w:color="auto"/>
            </w:tcBorders>
            <w:shd w:val="clear" w:color="auto" w:fill="FFFFFF" w:themeFill="background1"/>
          </w:tcPr>
          <w:p w14:paraId="28A7F688" w14:textId="2500F5C4"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15C18069" w14:textId="77777777" w:rsidR="00950B6E" w:rsidRPr="00950B6E"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116BD0AD" w14:textId="77777777" w:rsidR="00950B6E" w:rsidRPr="00950B6E"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71C9E8A6" w14:textId="77777777" w:rsidR="00950B6E" w:rsidRPr="00950B6E"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59EC1A8A" w14:textId="3A7691F3" w:rsidR="00F963BD" w:rsidRPr="00F963BD"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F963BD" w:rsidRPr="00A21682" w14:paraId="79D61372" w14:textId="342FE8A0" w:rsidTr="00310A35">
        <w:tblPrEx>
          <w:tblLook w:val="04A0" w:firstRow="1" w:lastRow="0" w:firstColumn="1" w:lastColumn="0" w:noHBand="0" w:noVBand="1"/>
        </w:tblPrEx>
        <w:trPr>
          <w:cantSplit/>
          <w:trHeight w:val="652"/>
        </w:trPr>
        <w:tc>
          <w:tcPr>
            <w:cnfStyle w:val="001000000000" w:firstRow="0" w:lastRow="0" w:firstColumn="1" w:lastColumn="0" w:oddVBand="0" w:evenVBand="0" w:oddHBand="0" w:evenHBand="0" w:firstRowFirstColumn="0" w:firstRowLastColumn="0" w:lastRowFirstColumn="0" w:lastRowLastColumn="0"/>
            <w:tcW w:w="336" w:type="pct"/>
            <w:tcBorders>
              <w:top w:val="single" w:sz="2" w:space="0" w:color="auto"/>
              <w:left w:val="single" w:sz="2" w:space="0" w:color="auto"/>
              <w:bottom w:val="single" w:sz="2" w:space="0" w:color="auto"/>
              <w:right w:val="single" w:sz="2" w:space="0" w:color="auto"/>
            </w:tcBorders>
            <w:shd w:val="clear" w:color="auto" w:fill="FFFFFF" w:themeFill="background1"/>
          </w:tcPr>
          <w:p w14:paraId="6CB0BE1D" w14:textId="1C8D437D" w:rsidR="00F963BD" w:rsidRPr="00A21682" w:rsidRDefault="00F963BD" w:rsidP="000F325E">
            <w:pPr>
              <w:pStyle w:val="TABLETEXT1"/>
              <w:rPr>
                <w:rFonts w:cs="Arial"/>
                <w:b w:val="0"/>
                <w:bCs w:val="0"/>
                <w:color w:val="000000" w:themeColor="text1"/>
                <w:szCs w:val="24"/>
                <w:lang w:val="en-US"/>
              </w:rPr>
            </w:pPr>
            <w:r>
              <w:rPr>
                <w:rFonts w:cs="Arial"/>
                <w:b w:val="0"/>
                <w:bCs w:val="0"/>
                <w:color w:val="000000" w:themeColor="text1"/>
                <w:szCs w:val="24"/>
                <w:lang w:val="en-US"/>
              </w:rPr>
              <w:t>2</w:t>
            </w:r>
          </w:p>
        </w:tc>
        <w:tc>
          <w:tcPr>
            <w:tcW w:w="904" w:type="pct"/>
            <w:tcBorders>
              <w:top w:val="single" w:sz="2" w:space="0" w:color="auto"/>
              <w:left w:val="single" w:sz="2" w:space="0" w:color="auto"/>
              <w:bottom w:val="single" w:sz="2" w:space="0" w:color="auto"/>
              <w:right w:val="single" w:sz="2" w:space="0" w:color="auto"/>
            </w:tcBorders>
            <w:shd w:val="clear" w:color="auto" w:fill="FFFFFF" w:themeFill="background1"/>
          </w:tcPr>
          <w:p w14:paraId="160A8795" w14:textId="72A9F65D"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Update the Requirement for Review</w:t>
            </w:r>
          </w:p>
        </w:tc>
        <w:tc>
          <w:tcPr>
            <w:tcW w:w="2463" w:type="pct"/>
            <w:tcBorders>
              <w:top w:val="single" w:sz="2" w:space="0" w:color="auto"/>
              <w:left w:val="single" w:sz="2" w:space="0" w:color="auto"/>
              <w:bottom w:val="single" w:sz="2" w:space="0" w:color="auto"/>
              <w:right w:val="single" w:sz="2" w:space="0" w:color="auto"/>
            </w:tcBorders>
            <w:shd w:val="clear" w:color="auto" w:fill="auto"/>
          </w:tcPr>
          <w:p w14:paraId="2D00269D" w14:textId="77777777"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Once the necessary changes are identified, the impacted requirement(s) are updated accordingly.</w:t>
            </w:r>
          </w:p>
        </w:tc>
        <w:tc>
          <w:tcPr>
            <w:tcW w:w="1297" w:type="pct"/>
            <w:tcBorders>
              <w:top w:val="single" w:sz="2" w:space="0" w:color="auto"/>
              <w:left w:val="single" w:sz="2" w:space="0" w:color="auto"/>
              <w:bottom w:val="single" w:sz="2" w:space="0" w:color="auto"/>
              <w:right w:val="single" w:sz="2" w:space="0" w:color="auto"/>
            </w:tcBorders>
            <w:shd w:val="clear" w:color="auto" w:fill="FFFFFF" w:themeFill="background1"/>
          </w:tcPr>
          <w:p w14:paraId="64128130" w14:textId="48718CB7"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07D69DC3"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4F6F05B9"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713B79C6"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2CFC17C5" w14:textId="11BB8C88" w:rsidR="00F963BD" w:rsidRPr="00F963BD"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r w:rsidR="00F963BD" w:rsidRPr="00A21682" w14:paraId="7A8BC375" w14:textId="14D63413" w:rsidTr="00310A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left w:val="single" w:sz="2" w:space="0" w:color="auto"/>
            </w:tcBorders>
            <w:shd w:val="clear" w:color="auto" w:fill="FFFFFF" w:themeFill="background1"/>
          </w:tcPr>
          <w:p w14:paraId="24B50862" w14:textId="77777777" w:rsidR="00F963BD" w:rsidRPr="00A21682" w:rsidRDefault="00F963BD" w:rsidP="000F325E">
            <w:pPr>
              <w:pStyle w:val="TABLETEXT1"/>
              <w:rPr>
                <w:rFonts w:cs="Arial"/>
                <w:b w:val="0"/>
                <w:bCs w:val="0"/>
                <w:color w:val="000000" w:themeColor="text1"/>
                <w:szCs w:val="24"/>
                <w:lang w:val="en-US"/>
              </w:rPr>
            </w:pPr>
            <w:r>
              <w:rPr>
                <w:rFonts w:cs="Arial"/>
                <w:b w:val="0"/>
                <w:bCs w:val="0"/>
                <w:color w:val="000000" w:themeColor="text1"/>
                <w:szCs w:val="24"/>
                <w:lang w:val="en-US"/>
              </w:rPr>
              <w:t>2.1</w:t>
            </w:r>
          </w:p>
        </w:tc>
        <w:tc>
          <w:tcPr>
            <w:tcW w:w="904" w:type="pct"/>
            <w:shd w:val="clear" w:color="auto" w:fill="FFFFFF" w:themeFill="background1"/>
          </w:tcPr>
          <w:p w14:paraId="500F56C4" w14:textId="18D2B895"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Are the Requirements Concurred?</w:t>
            </w:r>
          </w:p>
        </w:tc>
        <w:tc>
          <w:tcPr>
            <w:tcW w:w="2463" w:type="pct"/>
            <w:shd w:val="clear" w:color="auto" w:fill="auto"/>
          </w:tcPr>
          <w:p w14:paraId="77807BC2" w14:textId="2C30F486"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theme="majorBidi"/>
                <w:color w:val="auto"/>
                <w:lang w:val="en-US"/>
              </w:rPr>
            </w:pPr>
            <w:r>
              <w:rPr>
                <w:rFonts w:cstheme="majorBidi"/>
                <w:color w:val="auto"/>
                <w:lang w:val="en-US"/>
              </w:rPr>
              <w:t>During the review, DOH OHIP will determine whether they concur with requirements and if the requirements can be included in the RTM.</w:t>
            </w:r>
          </w:p>
          <w:p w14:paraId="1718CA86" w14:textId="02F51055" w:rsidR="00F963BD" w:rsidRPr="00A21682" w:rsidRDefault="00F963BD" w:rsidP="00CB677F">
            <w:pPr>
              <w:pStyle w:val="TABLEBULLETNEW"/>
              <w:cnfStyle w:val="000000100000" w:firstRow="0" w:lastRow="0" w:firstColumn="0" w:lastColumn="0" w:oddVBand="0" w:evenVBand="0" w:oddHBand="1" w:evenHBand="0" w:firstRowFirstColumn="0" w:firstRowLastColumn="0" w:lastRowFirstColumn="0" w:lastRowLastColumn="0"/>
            </w:pPr>
            <w:r>
              <w:t xml:space="preserve">If the requirements are concurred, proceed to </w:t>
            </w:r>
            <w:r>
              <w:rPr>
                <w:i/>
              </w:rPr>
              <w:t>Step #2.2 Do Requirements Impact Scope, Budget, and/or Schedule?</w:t>
            </w:r>
          </w:p>
          <w:p w14:paraId="2D1E32B3" w14:textId="3F1419BA" w:rsidR="00F963BD" w:rsidRPr="00A21682" w:rsidRDefault="00F963BD" w:rsidP="00CB677F">
            <w:pPr>
              <w:pStyle w:val="TABLEBULLETNEW"/>
              <w:cnfStyle w:val="000000100000" w:firstRow="0" w:lastRow="0" w:firstColumn="0" w:lastColumn="0" w:oddVBand="0" w:evenVBand="0" w:oddHBand="1" w:evenHBand="0" w:firstRowFirstColumn="0" w:firstRowLastColumn="0" w:lastRowFirstColumn="0" w:lastRowLastColumn="0"/>
            </w:pPr>
            <w:r>
              <w:t xml:space="preserve">If the requirements are not concurred, return to </w:t>
            </w:r>
            <w:r>
              <w:rPr>
                <w:i/>
              </w:rPr>
              <w:t xml:space="preserve">Step #2 Update the Requirement for Review to gather more inputs </w:t>
            </w:r>
          </w:p>
        </w:tc>
        <w:tc>
          <w:tcPr>
            <w:tcW w:w="1297" w:type="pct"/>
            <w:shd w:val="clear" w:color="auto" w:fill="FFFFFF" w:themeFill="background1"/>
          </w:tcPr>
          <w:p w14:paraId="66CB4E7D" w14:textId="1D340EDE"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5C0CB038"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6DD13F30"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0F721564"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789867AF" w14:textId="26AB6809" w:rsidR="00F963BD" w:rsidRPr="00F963BD"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F963BD" w:rsidRPr="00A21682" w14:paraId="4C07D34A" w14:textId="76579DB6" w:rsidTr="00310A35">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left w:val="single" w:sz="2" w:space="0" w:color="auto"/>
            </w:tcBorders>
            <w:shd w:val="clear" w:color="auto" w:fill="FFFFFF" w:themeFill="background1"/>
          </w:tcPr>
          <w:p w14:paraId="5ED655D0" w14:textId="77777777" w:rsidR="00F963BD" w:rsidRPr="00A21682" w:rsidRDefault="00F963BD" w:rsidP="000F325E">
            <w:pPr>
              <w:pStyle w:val="TABLETEXT1"/>
              <w:rPr>
                <w:rFonts w:cs="Arial"/>
                <w:b w:val="0"/>
                <w:bCs w:val="0"/>
                <w:color w:val="000000" w:themeColor="text1"/>
                <w:szCs w:val="24"/>
                <w:lang w:val="en-US"/>
              </w:rPr>
            </w:pPr>
            <w:r>
              <w:rPr>
                <w:rFonts w:cs="Arial"/>
                <w:b w:val="0"/>
                <w:bCs w:val="0"/>
                <w:color w:val="000000" w:themeColor="text1"/>
                <w:szCs w:val="24"/>
                <w:lang w:val="en-US"/>
              </w:rPr>
              <w:t>2.2</w:t>
            </w:r>
          </w:p>
        </w:tc>
        <w:tc>
          <w:tcPr>
            <w:tcW w:w="904" w:type="pct"/>
            <w:shd w:val="clear" w:color="auto" w:fill="FFFFFF" w:themeFill="background1"/>
          </w:tcPr>
          <w:p w14:paraId="258D994B" w14:textId="73633709"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Do Requirements Impact Scope, Budget, and/or Schedule?</w:t>
            </w:r>
          </w:p>
        </w:tc>
        <w:tc>
          <w:tcPr>
            <w:tcW w:w="2463" w:type="pct"/>
            <w:shd w:val="clear" w:color="auto" w:fill="auto"/>
          </w:tcPr>
          <w:p w14:paraId="75C606A9" w14:textId="4C2B2943"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Determine if the requirements impact timeline, budget, and/schedule for the project.</w:t>
            </w:r>
          </w:p>
          <w:p w14:paraId="443E9143" w14:textId="4789B11B" w:rsidR="00F963BD" w:rsidRPr="00A21682" w:rsidRDefault="00F963BD" w:rsidP="00CB677F">
            <w:pPr>
              <w:pStyle w:val="TABLEBULLETNEW"/>
              <w:cnfStyle w:val="000000000000" w:firstRow="0" w:lastRow="0" w:firstColumn="0" w:lastColumn="0" w:oddVBand="0" w:evenVBand="0" w:oddHBand="0" w:evenHBand="0" w:firstRowFirstColumn="0" w:firstRowLastColumn="0" w:lastRowFirstColumn="0" w:lastRowLastColumn="0"/>
            </w:pPr>
            <w:r>
              <w:t xml:space="preserve">If requirements impact scope, schedule and/or budget, initiate a change request via the ICCP (refer to Section 10) to obtain approval and proceed to </w:t>
            </w:r>
            <w:r>
              <w:rPr>
                <w:i/>
                <w:iCs/>
              </w:rPr>
              <w:t xml:space="preserve">Step #4 Upload Requirements and Generate an ALM tool Extract Report </w:t>
            </w:r>
          </w:p>
          <w:p w14:paraId="2F5787F7" w14:textId="0A25A71A" w:rsidR="00F963BD" w:rsidRPr="00A21682" w:rsidRDefault="00F963BD" w:rsidP="00CB677F">
            <w:pPr>
              <w:pStyle w:val="TABLEBULLETNEW"/>
              <w:cnfStyle w:val="000000000000" w:firstRow="0" w:lastRow="0" w:firstColumn="0" w:lastColumn="0" w:oddVBand="0" w:evenVBand="0" w:oddHBand="0" w:evenHBand="0" w:firstRowFirstColumn="0" w:firstRowLastColumn="0" w:lastRowFirstColumn="0" w:lastRowLastColumn="0"/>
            </w:pPr>
            <w:r>
              <w:t xml:space="preserve">If requirements do not impact timeline, schedule, and/or budget, proceed to </w:t>
            </w:r>
            <w:r>
              <w:rPr>
                <w:i/>
              </w:rPr>
              <w:t>Step #3 Approve Requirements</w:t>
            </w:r>
          </w:p>
        </w:tc>
        <w:tc>
          <w:tcPr>
            <w:tcW w:w="1297" w:type="pct"/>
            <w:shd w:val="clear" w:color="auto" w:fill="FFFFFF" w:themeFill="background1"/>
          </w:tcPr>
          <w:p w14:paraId="384D5CCC" w14:textId="1EB7F18C"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0B18C13C"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4FB9E37A"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2958A081"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1A4A51DF" w14:textId="48123EE4" w:rsidR="00F963BD" w:rsidRPr="00F963BD"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r w:rsidR="00F963BD" w:rsidRPr="00A21682" w14:paraId="7B9507A4" w14:textId="0B398875" w:rsidTr="00310A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top w:val="single" w:sz="2" w:space="0" w:color="auto"/>
              <w:left w:val="single" w:sz="2" w:space="0" w:color="auto"/>
              <w:bottom w:val="single" w:sz="2" w:space="0" w:color="auto"/>
              <w:right w:val="single" w:sz="2" w:space="0" w:color="auto"/>
            </w:tcBorders>
            <w:shd w:val="clear" w:color="auto" w:fill="FFFFFF" w:themeFill="background1"/>
          </w:tcPr>
          <w:p w14:paraId="73E904F5" w14:textId="5234884D" w:rsidR="00F963BD" w:rsidRPr="00A21682" w:rsidRDefault="00F963BD" w:rsidP="000F325E">
            <w:pPr>
              <w:pStyle w:val="TABLETEXT1"/>
              <w:rPr>
                <w:rFonts w:cstheme="majorHAnsi"/>
                <w:b w:val="0"/>
                <w:bCs w:val="0"/>
                <w:color w:val="000000" w:themeColor="text1"/>
                <w:szCs w:val="18"/>
                <w:lang w:val="en-US"/>
              </w:rPr>
            </w:pPr>
            <w:r>
              <w:rPr>
                <w:rFonts w:cstheme="majorHAnsi"/>
                <w:b w:val="0"/>
                <w:bCs w:val="0"/>
                <w:color w:val="000000" w:themeColor="text1"/>
                <w:szCs w:val="18"/>
                <w:lang w:val="en-US"/>
              </w:rPr>
              <w:t>3</w:t>
            </w:r>
          </w:p>
        </w:tc>
        <w:tc>
          <w:tcPr>
            <w:tcW w:w="904" w:type="pct"/>
            <w:tcBorders>
              <w:top w:val="single" w:sz="2" w:space="0" w:color="auto"/>
              <w:left w:val="single" w:sz="2" w:space="0" w:color="auto"/>
              <w:bottom w:val="single" w:sz="2" w:space="0" w:color="auto"/>
              <w:right w:val="single" w:sz="2" w:space="0" w:color="auto"/>
            </w:tcBorders>
            <w:shd w:val="clear" w:color="auto" w:fill="FFFFFF" w:themeFill="background1"/>
          </w:tcPr>
          <w:p w14:paraId="4D7020A4" w14:textId="460621D8"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theme="majorHAnsi"/>
                <w:szCs w:val="18"/>
                <w:lang w:val="en-US"/>
              </w:rPr>
            </w:pPr>
            <w:r>
              <w:rPr>
                <w:rFonts w:cstheme="majorHAnsi"/>
                <w:szCs w:val="18"/>
                <w:lang w:val="en-US"/>
              </w:rPr>
              <w:t>Approve Requirements</w:t>
            </w:r>
          </w:p>
        </w:tc>
        <w:tc>
          <w:tcPr>
            <w:tcW w:w="2463" w:type="pct"/>
            <w:tcBorders>
              <w:top w:val="single" w:sz="2" w:space="0" w:color="auto"/>
              <w:left w:val="single" w:sz="2" w:space="0" w:color="auto"/>
              <w:bottom w:val="single" w:sz="2" w:space="0" w:color="auto"/>
              <w:right w:val="single" w:sz="2" w:space="0" w:color="auto"/>
            </w:tcBorders>
            <w:shd w:val="clear" w:color="auto" w:fill="auto"/>
          </w:tcPr>
          <w:p w14:paraId="61A1144F" w14:textId="540AF6CE" w:rsidR="00F963BD" w:rsidRPr="00A21682" w:rsidRDefault="0063332B" w:rsidP="000F325E">
            <w:pPr>
              <w:pStyle w:val="TABLETEXT1"/>
              <w:cnfStyle w:val="000000100000" w:firstRow="0" w:lastRow="0" w:firstColumn="0" w:lastColumn="0" w:oddVBand="0" w:evenVBand="0" w:oddHBand="1" w:evenHBand="0" w:firstRowFirstColumn="0" w:firstRowLastColumn="0" w:lastRowFirstColumn="0" w:lastRowLastColumn="0"/>
              <w:rPr>
                <w:rFonts w:cstheme="majorBidi"/>
                <w:color w:val="auto"/>
                <w:lang w:val="en-US"/>
              </w:rPr>
            </w:pPr>
            <w:r>
              <w:rPr>
                <w:rFonts w:cstheme="majorBidi"/>
                <w:color w:val="auto"/>
                <w:lang w:val="en-US"/>
              </w:rPr>
              <w:t>Stakeholders validate and approve the requirement updates.</w:t>
            </w:r>
          </w:p>
        </w:tc>
        <w:tc>
          <w:tcPr>
            <w:tcW w:w="1297" w:type="pct"/>
            <w:tcBorders>
              <w:top w:val="single" w:sz="2" w:space="0" w:color="auto"/>
              <w:left w:val="single" w:sz="2" w:space="0" w:color="auto"/>
              <w:bottom w:val="single" w:sz="2" w:space="0" w:color="auto"/>
              <w:right w:val="single" w:sz="2" w:space="0" w:color="auto"/>
            </w:tcBorders>
            <w:shd w:val="clear" w:color="auto" w:fill="FFFFFF" w:themeFill="background1"/>
          </w:tcPr>
          <w:p w14:paraId="09322A0F" w14:textId="303E2705"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470BABFD"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25D1EAC5"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01284397"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3934A973" w14:textId="00B597EE" w:rsidR="00F963BD" w:rsidRPr="00F963BD"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F963BD" w:rsidRPr="00A21682" w14:paraId="056066ED" w14:textId="70F4664D" w:rsidTr="00310A35">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6CF77938" w14:textId="5D217F14" w:rsidR="00F963BD" w:rsidRPr="00A21682" w:rsidRDefault="00F963BD" w:rsidP="000F325E">
            <w:pPr>
              <w:pStyle w:val="TABLETEXT1"/>
              <w:rPr>
                <w:rFonts w:cstheme="majorHAnsi"/>
                <w:b w:val="0"/>
                <w:bCs w:val="0"/>
                <w:color w:val="auto"/>
                <w:szCs w:val="18"/>
                <w:lang w:val="en-US"/>
              </w:rPr>
            </w:pPr>
            <w:r>
              <w:rPr>
                <w:rFonts w:cstheme="majorHAnsi"/>
                <w:b w:val="0"/>
                <w:bCs w:val="0"/>
                <w:color w:val="auto"/>
                <w:szCs w:val="18"/>
                <w:lang w:val="en-US"/>
              </w:rPr>
              <w:lastRenderedPageBreak/>
              <w:t>4</w:t>
            </w:r>
          </w:p>
        </w:tc>
        <w:tc>
          <w:tcPr>
            <w:tcW w:w="904" w:type="pct"/>
            <w:tcBorders>
              <w:top w:val="single" w:sz="2" w:space="0" w:color="auto"/>
              <w:left w:val="single" w:sz="4" w:space="0" w:color="auto"/>
              <w:bottom w:val="single" w:sz="2" w:space="0" w:color="auto"/>
              <w:right w:val="single" w:sz="2" w:space="0" w:color="auto"/>
            </w:tcBorders>
            <w:shd w:val="clear" w:color="auto" w:fill="FFFFFF" w:themeFill="background1"/>
          </w:tcPr>
          <w:p w14:paraId="6CF249A9" w14:textId="33CD805C" w:rsidR="00F963BD" w:rsidRPr="00A21682" w:rsidRDefault="003F6A27" w:rsidP="000F325E">
            <w:pPr>
              <w:pStyle w:val="TABLETEXT1"/>
              <w:cnfStyle w:val="000000000000" w:firstRow="0" w:lastRow="0" w:firstColumn="0" w:lastColumn="0" w:oddVBand="0" w:evenVBand="0" w:oddHBand="0" w:evenHBand="0" w:firstRowFirstColumn="0" w:firstRowLastColumn="0" w:lastRowFirstColumn="0" w:lastRowLastColumn="0"/>
              <w:rPr>
                <w:rFonts w:cstheme="majorHAnsi"/>
                <w:color w:val="auto"/>
                <w:szCs w:val="18"/>
                <w:lang w:val="en-US"/>
              </w:rPr>
            </w:pPr>
            <w:r>
              <w:rPr>
                <w:rFonts w:cstheme="majorHAnsi"/>
                <w:color w:val="auto"/>
                <w:szCs w:val="18"/>
                <w:lang w:val="en-US"/>
              </w:rPr>
              <w:t>Upload Requirements and Generate an ALM tool Extract Report</w:t>
            </w:r>
          </w:p>
        </w:tc>
        <w:tc>
          <w:tcPr>
            <w:tcW w:w="2463" w:type="pct"/>
            <w:tcBorders>
              <w:top w:val="single" w:sz="2" w:space="0" w:color="auto"/>
              <w:left w:val="single" w:sz="2" w:space="0" w:color="auto"/>
              <w:bottom w:val="single" w:sz="2" w:space="0" w:color="auto"/>
              <w:right w:val="single" w:sz="2" w:space="0" w:color="auto"/>
            </w:tcBorders>
            <w:shd w:val="clear" w:color="auto" w:fill="auto"/>
          </w:tcPr>
          <w:p w14:paraId="29AAA79E" w14:textId="26C0D8DE" w:rsidR="00B63734" w:rsidRDefault="00B63734" w:rsidP="000F325E">
            <w:pPr>
              <w:pStyle w:val="TABLETEXT1"/>
              <w:cnfStyle w:val="000000000000" w:firstRow="0" w:lastRow="0" w:firstColumn="0" w:lastColumn="0" w:oddVBand="0" w:evenVBand="0" w:oddHBand="0" w:evenHBand="0" w:firstRowFirstColumn="0" w:firstRowLastColumn="0" w:lastRowFirstColumn="0" w:lastRowLastColumn="0"/>
              <w:rPr>
                <w:rFonts w:cstheme="majorBidi"/>
                <w:color w:val="auto"/>
                <w:lang w:val="en-US"/>
              </w:rPr>
            </w:pPr>
            <w:r>
              <w:rPr>
                <w:rFonts w:cstheme="majorBidi"/>
                <w:color w:val="auto"/>
                <w:lang w:val="en-US"/>
              </w:rPr>
              <w:t>The approved Excel versions of the requirement updates are uploaded into the ALM tool and an extract of the requirements is generated from the ALM tool.</w:t>
            </w:r>
          </w:p>
          <w:p w14:paraId="2600BD06" w14:textId="00FA9ECC"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theme="majorBidi"/>
                <w:color w:val="auto"/>
                <w:lang w:val="en-US"/>
              </w:rPr>
            </w:pPr>
            <w:r>
              <w:rPr>
                <w:rFonts w:cstheme="majorBidi"/>
                <w:color w:val="auto"/>
                <w:lang w:val="en-US"/>
              </w:rPr>
              <w:t xml:space="preserve">This report creates the RTM. The extract is reviewed and validated to verify all test cases and design documents are linked. </w:t>
            </w:r>
          </w:p>
        </w:tc>
        <w:tc>
          <w:tcPr>
            <w:tcW w:w="1297" w:type="pct"/>
            <w:tcBorders>
              <w:top w:val="single" w:sz="2" w:space="0" w:color="auto"/>
              <w:left w:val="single" w:sz="2" w:space="0" w:color="auto"/>
              <w:bottom w:val="single" w:sz="2" w:space="0" w:color="auto"/>
              <w:right w:val="single" w:sz="2" w:space="0" w:color="auto"/>
            </w:tcBorders>
            <w:shd w:val="clear" w:color="auto" w:fill="FFFFFF" w:themeFill="background1"/>
          </w:tcPr>
          <w:p w14:paraId="5C22E59A" w14:textId="4DE60F6A"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643244A8"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7780BB9E"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20AA8D64"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6B05958D" w14:textId="49FF0BDF" w:rsidR="00F963BD" w:rsidRPr="00F963BD"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r w:rsidR="00F963BD" w:rsidRPr="00A21682" w14:paraId="5FF38940" w14:textId="61D74540" w:rsidTr="00310A3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top w:val="single" w:sz="4" w:space="0" w:color="auto"/>
              <w:left w:val="single" w:sz="4" w:space="0" w:color="auto"/>
              <w:bottom w:val="single" w:sz="4" w:space="0" w:color="auto"/>
              <w:right w:val="single" w:sz="4" w:space="0" w:color="auto"/>
            </w:tcBorders>
            <w:shd w:val="clear" w:color="auto" w:fill="FFFFFF" w:themeFill="background1"/>
          </w:tcPr>
          <w:p w14:paraId="5E593A1C" w14:textId="671DD233" w:rsidR="00F963BD" w:rsidRPr="00A21682" w:rsidRDefault="00F963BD" w:rsidP="000F325E">
            <w:pPr>
              <w:pStyle w:val="TABLETEXT1"/>
              <w:rPr>
                <w:rFonts w:cstheme="majorHAnsi"/>
                <w:b w:val="0"/>
                <w:bCs w:val="0"/>
                <w:color w:val="000000" w:themeColor="text1"/>
                <w:szCs w:val="18"/>
                <w:lang w:val="en-US"/>
              </w:rPr>
            </w:pPr>
            <w:r>
              <w:rPr>
                <w:rFonts w:cstheme="majorHAnsi"/>
                <w:b w:val="0"/>
                <w:bCs w:val="0"/>
                <w:color w:val="000000" w:themeColor="text1"/>
                <w:szCs w:val="18"/>
                <w:lang w:val="en-US"/>
              </w:rPr>
              <w:t>5</w:t>
            </w:r>
          </w:p>
        </w:tc>
        <w:tc>
          <w:tcPr>
            <w:tcW w:w="904" w:type="pct"/>
            <w:tcBorders>
              <w:left w:val="single" w:sz="4" w:space="0" w:color="auto"/>
            </w:tcBorders>
            <w:shd w:val="clear" w:color="auto" w:fill="FFFFFF" w:themeFill="background1"/>
          </w:tcPr>
          <w:p w14:paraId="20171DDD" w14:textId="77777777"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theme="majorHAnsi"/>
                <w:szCs w:val="18"/>
                <w:lang w:val="en-US"/>
              </w:rPr>
            </w:pPr>
            <w:r>
              <w:rPr>
                <w:rFonts w:cstheme="majorHAnsi"/>
                <w:szCs w:val="18"/>
                <w:lang w:val="en-US"/>
              </w:rPr>
              <w:t>Publish RTM</w:t>
            </w:r>
          </w:p>
        </w:tc>
        <w:tc>
          <w:tcPr>
            <w:tcW w:w="2463" w:type="pct"/>
            <w:shd w:val="clear" w:color="auto" w:fill="auto"/>
          </w:tcPr>
          <w:p w14:paraId="31E16B06" w14:textId="77777777"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theme="majorBidi"/>
                <w:color w:val="auto"/>
                <w:lang w:val="en-US"/>
              </w:rPr>
            </w:pPr>
            <w:r>
              <w:rPr>
                <w:rFonts w:cstheme="majorBidi"/>
                <w:color w:val="auto"/>
                <w:lang w:val="en-US"/>
              </w:rPr>
              <w:t>In the RTM, each requirement is assigned an identification number and, if possible, mapped to the baseline Medicaid solution.</w:t>
            </w:r>
          </w:p>
          <w:p w14:paraId="2FD38073" w14:textId="77777777" w:rsidR="00F963BD" w:rsidRPr="00A21682" w:rsidRDefault="00F963BD" w:rsidP="000F325E">
            <w:pPr>
              <w:pStyle w:val="TABLETEXT1"/>
              <w:cnfStyle w:val="000000100000" w:firstRow="0" w:lastRow="0" w:firstColumn="0" w:lastColumn="0" w:oddVBand="0" w:evenVBand="0" w:oddHBand="1" w:evenHBand="0" w:firstRowFirstColumn="0" w:firstRowLastColumn="0" w:lastRowFirstColumn="0" w:lastRowLastColumn="0"/>
              <w:rPr>
                <w:rFonts w:cstheme="majorBidi"/>
                <w:color w:val="auto"/>
                <w:lang w:val="en-US"/>
              </w:rPr>
            </w:pPr>
            <w:r>
              <w:rPr>
                <w:rFonts w:cstheme="majorBidi"/>
                <w:color w:val="auto"/>
                <w:lang w:val="en-US"/>
              </w:rPr>
              <w:t>The RTM is then published via the requirements management tool for all stakeholders to review. (The format of the RTM extract is subject to the capabilities of the requirements management tool.)</w:t>
            </w:r>
          </w:p>
        </w:tc>
        <w:tc>
          <w:tcPr>
            <w:tcW w:w="1297" w:type="pct"/>
            <w:shd w:val="clear" w:color="auto" w:fill="FFFFFF" w:themeFill="background1"/>
          </w:tcPr>
          <w:p w14:paraId="0E0C5B66" w14:textId="6B35C5DD" w:rsidR="00F963BD" w:rsidRDefault="00950B6E" w:rsidP="00F963BD">
            <w:pPr>
              <w:pStyle w:val="TABLEBULLETNEW"/>
              <w:cnfStyle w:val="000000100000" w:firstRow="0" w:lastRow="0" w:firstColumn="0" w:lastColumn="0" w:oddVBand="0" w:evenVBand="0" w:oddHBand="1" w:evenHBand="0" w:firstRowFirstColumn="0" w:firstRowLastColumn="0" w:lastRowFirstColumn="0" w:lastRowLastColumn="0"/>
            </w:pPr>
            <w:r>
              <w:t>███████/DOS PMO</w:t>
            </w:r>
          </w:p>
          <w:p w14:paraId="7A8D274E"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Analyst</w:t>
            </w:r>
          </w:p>
          <w:p w14:paraId="1429CAE8"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Quality Assurance</w:t>
            </w:r>
          </w:p>
          <w:p w14:paraId="2259EB98" w14:textId="77777777" w:rsidR="00950B6E" w:rsidRPr="00950B6E" w:rsidRDefault="00F963BD" w:rsidP="00950B6E">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Technology Team</w:t>
            </w:r>
          </w:p>
          <w:p w14:paraId="1A889E6A" w14:textId="6EAFDA5E" w:rsidR="00F963BD" w:rsidRPr="00F963BD" w:rsidRDefault="00F963BD" w:rsidP="00F963BD">
            <w:pPr>
              <w:pStyle w:val="TABLEBULLETNEW"/>
              <w:cnfStyle w:val="000000100000" w:firstRow="0" w:lastRow="0" w:firstColumn="0" w:lastColumn="0" w:oddVBand="0" w:evenVBand="0" w:oddHBand="1" w:evenHBand="0" w:firstRowFirstColumn="0" w:firstRowLastColumn="0" w:lastRowFirstColumn="0" w:lastRowLastColumn="0"/>
            </w:pPr>
            <w:r>
              <w:rPr>
                <w:u w:color="000000" w:themeColor="text1"/>
              </w:rPr>
              <w:t>Business Team</w:t>
            </w:r>
          </w:p>
        </w:tc>
      </w:tr>
      <w:tr w:rsidR="00F963BD" w:rsidRPr="00A21682" w14:paraId="047936CF" w14:textId="2C1D2AB2" w:rsidTr="00310A35">
        <w:tblPrEx>
          <w:tblLook w:val="04A0" w:firstRow="1" w:lastRow="0" w:firstColumn="1" w:lastColumn="0" w:noHBand="0" w:noVBand="1"/>
        </w:tblPrEx>
        <w:trPr>
          <w:cantSplit/>
          <w:trHeight w:val="20"/>
        </w:trPr>
        <w:tc>
          <w:tcPr>
            <w:cnfStyle w:val="001000000000" w:firstRow="0" w:lastRow="0" w:firstColumn="1" w:lastColumn="0" w:oddVBand="0" w:evenVBand="0" w:oddHBand="0" w:evenHBand="0" w:firstRowFirstColumn="0" w:firstRowLastColumn="0" w:lastRowFirstColumn="0" w:lastRowLastColumn="0"/>
            <w:tcW w:w="336" w:type="pct"/>
            <w:tcBorders>
              <w:top w:val="single" w:sz="4" w:space="0" w:color="auto"/>
              <w:left w:val="single" w:sz="2" w:space="0" w:color="auto"/>
              <w:bottom w:val="single" w:sz="4" w:space="0" w:color="auto"/>
            </w:tcBorders>
            <w:shd w:val="clear" w:color="auto" w:fill="FFFFFF" w:themeFill="background1"/>
          </w:tcPr>
          <w:p w14:paraId="1CE55569" w14:textId="2874A4A1" w:rsidR="00F963BD" w:rsidRPr="00A21682" w:rsidRDefault="00F963BD" w:rsidP="000F325E">
            <w:pPr>
              <w:pStyle w:val="TABLETEXT1"/>
              <w:rPr>
                <w:rFonts w:cstheme="majorHAnsi"/>
                <w:b w:val="0"/>
                <w:bCs w:val="0"/>
                <w:color w:val="000000" w:themeColor="text1"/>
                <w:szCs w:val="18"/>
                <w:lang w:val="en-US"/>
              </w:rPr>
            </w:pPr>
            <w:r>
              <w:rPr>
                <w:rFonts w:cstheme="majorHAnsi"/>
                <w:b w:val="0"/>
                <w:bCs w:val="0"/>
                <w:color w:val="000000" w:themeColor="text1"/>
                <w:szCs w:val="18"/>
                <w:lang w:val="en-US"/>
              </w:rPr>
              <w:t>6</w:t>
            </w:r>
          </w:p>
        </w:tc>
        <w:tc>
          <w:tcPr>
            <w:tcW w:w="904" w:type="pct"/>
            <w:shd w:val="clear" w:color="auto" w:fill="FFFFFF" w:themeFill="background1"/>
          </w:tcPr>
          <w:p w14:paraId="250A6BF9" w14:textId="77777777"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theme="majorHAnsi"/>
                <w:szCs w:val="18"/>
                <w:lang w:val="en-US"/>
              </w:rPr>
            </w:pPr>
            <w:r>
              <w:rPr>
                <w:rFonts w:cstheme="majorHAnsi"/>
                <w:szCs w:val="18"/>
                <w:lang w:val="en-US"/>
              </w:rPr>
              <w:t>Review RTM</w:t>
            </w:r>
          </w:p>
        </w:tc>
        <w:tc>
          <w:tcPr>
            <w:tcW w:w="2463" w:type="pct"/>
            <w:shd w:val="clear" w:color="auto" w:fill="auto"/>
          </w:tcPr>
          <w:p w14:paraId="1BDCE63B" w14:textId="77777777" w:rsidR="00F963BD" w:rsidRPr="00A21682" w:rsidRDefault="00F963BD" w:rsidP="000F325E">
            <w:pPr>
              <w:pStyle w:val="TABLETEXT1"/>
              <w:cnfStyle w:val="000000000000" w:firstRow="0" w:lastRow="0" w:firstColumn="0" w:lastColumn="0" w:oddVBand="0" w:evenVBand="0" w:oddHBand="0" w:evenHBand="0" w:firstRowFirstColumn="0" w:firstRowLastColumn="0" w:lastRowFirstColumn="0" w:lastRowLastColumn="0"/>
              <w:rPr>
                <w:rFonts w:cstheme="majorBidi"/>
                <w:color w:val="auto"/>
                <w:lang w:val="en-US"/>
              </w:rPr>
            </w:pPr>
            <w:r>
              <w:rPr>
                <w:rFonts w:cstheme="majorBidi"/>
                <w:color w:val="auto"/>
                <w:lang w:val="en-US"/>
              </w:rPr>
              <w:t>Project Management and relevant stakeholder groups review the RTM and provide feedback and comments, if needed.</w:t>
            </w:r>
          </w:p>
        </w:tc>
        <w:tc>
          <w:tcPr>
            <w:tcW w:w="1297" w:type="pct"/>
            <w:shd w:val="clear" w:color="auto" w:fill="FFFFFF" w:themeFill="background1"/>
          </w:tcPr>
          <w:p w14:paraId="7A0D0C45" w14:textId="2E0E5F62" w:rsidR="00F963BD" w:rsidRDefault="00950B6E" w:rsidP="00F963BD">
            <w:pPr>
              <w:pStyle w:val="TABLEBULLETNEW"/>
              <w:cnfStyle w:val="000000000000" w:firstRow="0" w:lastRow="0" w:firstColumn="0" w:lastColumn="0" w:oddVBand="0" w:evenVBand="0" w:oddHBand="0" w:evenHBand="0" w:firstRowFirstColumn="0" w:firstRowLastColumn="0" w:lastRowFirstColumn="0" w:lastRowLastColumn="0"/>
            </w:pPr>
            <w:r>
              <w:t>███████/DOS PMO</w:t>
            </w:r>
          </w:p>
          <w:p w14:paraId="45F1F49C"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Analyst</w:t>
            </w:r>
          </w:p>
          <w:p w14:paraId="6E41EDF2"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Quality Assurance</w:t>
            </w:r>
          </w:p>
          <w:p w14:paraId="72524D01" w14:textId="77777777" w:rsidR="00950B6E" w:rsidRPr="00950B6E" w:rsidRDefault="00F963BD" w:rsidP="00950B6E">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Technology Team</w:t>
            </w:r>
          </w:p>
          <w:p w14:paraId="75FBC5F4" w14:textId="5A611560" w:rsidR="00F963BD" w:rsidRPr="00F963BD" w:rsidRDefault="00F963BD" w:rsidP="00F963BD">
            <w:pPr>
              <w:pStyle w:val="TABLEBULLETNEW"/>
              <w:cnfStyle w:val="000000000000" w:firstRow="0" w:lastRow="0" w:firstColumn="0" w:lastColumn="0" w:oddVBand="0" w:evenVBand="0" w:oddHBand="0" w:evenHBand="0" w:firstRowFirstColumn="0" w:firstRowLastColumn="0" w:lastRowFirstColumn="0" w:lastRowLastColumn="0"/>
            </w:pPr>
            <w:r>
              <w:rPr>
                <w:u w:color="000000" w:themeColor="text1"/>
              </w:rPr>
              <w:t>Business Team</w:t>
            </w:r>
          </w:p>
        </w:tc>
      </w:tr>
    </w:tbl>
    <w:p w14:paraId="39A5EC1D" w14:textId="0D615815" w:rsidR="00624121" w:rsidRPr="00A21682" w:rsidRDefault="00624121" w:rsidP="00624121">
      <w:pPr>
        <w:pStyle w:val="Caption"/>
        <w:rPr>
          <w:noProof w:val="0"/>
        </w:rPr>
      </w:pPr>
      <w:bookmarkStart w:id="4337" w:name="_Toc19287522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Post Transmittal Approval Requirements Modification Process Flow Narrative</w:t>
      </w:r>
      <w:bookmarkEnd w:id="4337"/>
    </w:p>
    <w:p w14:paraId="28E79B4D" w14:textId="77777777" w:rsidR="00B55190" w:rsidRPr="00A21682" w:rsidRDefault="00B55190">
      <w:pPr>
        <w:pStyle w:val="Heading2"/>
      </w:pPr>
      <w:bookmarkStart w:id="4338" w:name="_Toc143866565"/>
      <w:bookmarkStart w:id="4339" w:name="_Toc145346128"/>
      <w:bookmarkStart w:id="4340" w:name="_Toc149732277"/>
      <w:bookmarkStart w:id="4341" w:name="_Toc177119661"/>
      <w:bookmarkStart w:id="4342" w:name="_Toc185952924"/>
      <w:bookmarkStart w:id="4343" w:name="_Toc192875023"/>
      <w:r>
        <w:t>Requirements Traceability</w:t>
      </w:r>
      <w:bookmarkEnd w:id="4338"/>
      <w:bookmarkEnd w:id="4339"/>
      <w:bookmarkEnd w:id="4340"/>
      <w:bookmarkEnd w:id="4341"/>
      <w:bookmarkEnd w:id="4342"/>
      <w:bookmarkEnd w:id="4343"/>
    </w:p>
    <w:p w14:paraId="1B4AEE17" w14:textId="0E2FAC72" w:rsidR="00B03C05" w:rsidRPr="00A21682" w:rsidRDefault="00B55190" w:rsidP="00B03C05">
      <w:pPr>
        <w:pStyle w:val="NormalNEW"/>
        <w:rPr>
          <w:lang w:val="en-US"/>
        </w:rPr>
      </w:pPr>
      <w:r>
        <w:rPr>
          <w:lang w:val="en-US"/>
        </w:rPr>
        <w:t>Traceability in this project involves making sure that each requirement is clearly linked to the relevant design documents or components and the corresponding test cases. This process helps to confirm that every requirement is implemented correctly and avoid the addition of any unnecessary requirements. In addition, design documents and components should be connected to both development tasks and test cases to provide thorough coverage and verification throughout the project lifecycle. Occasionally, requirements can also be linked to other related requirements.</w:t>
      </w:r>
    </w:p>
    <w:p w14:paraId="0D83A494" w14:textId="42D0135B" w:rsidR="00B55190" w:rsidRPr="00A21682" w:rsidRDefault="00B03C05" w:rsidP="00127E57">
      <w:pPr>
        <w:pStyle w:val="NormalNEW"/>
        <w:rPr>
          <w:rFonts w:cstheme="majorHAnsi"/>
          <w:szCs w:val="18"/>
          <w:lang w:val="en-US"/>
        </w:rPr>
      </w:pPr>
      <w:r>
        <w:rPr>
          <w:rFonts w:cstheme="majorHAnsi"/>
          <w:szCs w:val="18"/>
          <w:lang w:val="en-US"/>
        </w:rPr>
        <w:t>It's important to understand that the requirements management tool in the ALM tool is a tool that helps us visualize these connections in an easy-to-understand way, but it doesn't create the connections. Therefore, achieving traceability means to actively create and maintain these connections, rather than just relying on the requirements management tool to show them. If requirements, design documents, components, and test cases are not systematically linked, or if there is sole reliance on the requirements management tool without manual verification and documentation, true traceability will not be achieved.</w:t>
      </w:r>
    </w:p>
    <w:p w14:paraId="228F9FD1" w14:textId="3C67A432" w:rsidR="00514070" w:rsidRPr="00A21682" w:rsidRDefault="00514070">
      <w:pPr>
        <w:pStyle w:val="Heading3"/>
      </w:pPr>
      <w:bookmarkStart w:id="4344" w:name="_Toc192875024"/>
      <w:bookmarkStart w:id="4345" w:name="_Ref143678834"/>
      <w:bookmarkStart w:id="4346" w:name="_Toc143866568"/>
      <w:bookmarkStart w:id="4347" w:name="_Toc145346130"/>
      <w:bookmarkStart w:id="4348" w:name="_Toc149732279"/>
      <w:bookmarkStart w:id="4349" w:name="_Toc177119663"/>
      <w:bookmarkStart w:id="4350" w:name="_Toc185952926"/>
      <w:r>
        <w:t>Requirements Management Tool</w:t>
      </w:r>
      <w:bookmarkEnd w:id="4344"/>
    </w:p>
    <w:p w14:paraId="5C5F6B60" w14:textId="0C893AE0" w:rsidR="00514070" w:rsidRPr="00A21682" w:rsidRDefault="002F111E" w:rsidP="00514070">
      <w:pPr>
        <w:pStyle w:val="NYBodyText"/>
        <w:rPr>
          <w:lang w:val="en-US"/>
        </w:rPr>
      </w:pPr>
      <w:r>
        <w:rPr>
          <w:lang w:val="en-US"/>
        </w:rPr>
        <w:t xml:space="preserve">The ALM tool will be used to manage requirements as well as associated design, development, and testing activities for the MECM system. Initially, the list of requirements defined in the Continuing Medicaid Eligibility Modernization MSOW as well as those approved during the Requirements phase will be bulk loaded into the ALM tool. Any subsequent additions, modifications, or removal of approved requirements will be managed via the ICCP process (refer to Section 10). Once the requirements are loaded, they serve as the foundation that supports downstream project activities including design, development, and testing. Traceability in the ALM tool is established by linking each approved </w:t>
      </w:r>
      <w:r>
        <w:rPr>
          <w:lang w:val="en-US"/>
        </w:rPr>
        <w:lastRenderedPageBreak/>
        <w:t>requirement to the applicable design, development, and testing tickets. The traceability of these ticket types is visualized using the requirements management tool the ALM tool plug-in (refer to Section 2.34). Approved updates to requirements are performed and maintained in the ALM tool.</w:t>
      </w:r>
    </w:p>
    <w:p w14:paraId="35625E45" w14:textId="77777777" w:rsidR="00FE6B70" w:rsidRPr="00A21682" w:rsidRDefault="00FE6B70" w:rsidP="00FE6B70">
      <w:pPr>
        <w:pStyle w:val="Heading3"/>
        <w:rPr>
          <w:rFonts w:cstheme="majorHAnsi"/>
          <w:szCs w:val="18"/>
        </w:rPr>
      </w:pPr>
      <w:bookmarkStart w:id="4351" w:name="_Toc192875025"/>
      <w:r>
        <w:rPr>
          <w:rFonts w:cstheme="majorHAnsi"/>
          <w:szCs w:val="18"/>
        </w:rPr>
        <w:t>Requirements Attributes in the ALM tool</w:t>
      </w:r>
      <w:bookmarkEnd w:id="4351"/>
    </w:p>
    <w:p w14:paraId="19C744A0" w14:textId="77777777" w:rsidR="00FE6B70" w:rsidRPr="00A21682" w:rsidRDefault="00FE6B70" w:rsidP="00FE6B70">
      <w:pPr>
        <w:pStyle w:val="NormalNEW"/>
        <w:rPr>
          <w:rFonts w:cstheme="majorBidi"/>
          <w:lang w:val="en-US"/>
        </w:rPr>
      </w:pPr>
      <w:r>
        <w:rPr>
          <w:rFonts w:cstheme="majorBidi"/>
          <w:lang w:val="en-US"/>
        </w:rPr>
        <w:t xml:space="preserve">When documenting requirements in the ALM tool, attributes for both Functional and Non-Functional requirements are captured. These attributes are utilized within the ALM tool requirements management tool. </w:t>
      </w:r>
    </w:p>
    <w:p w14:paraId="527B7A15" w14:textId="041A77AB" w:rsidR="00B36BFC" w:rsidRPr="00A21682" w:rsidRDefault="00FE6B70" w:rsidP="001F6A8A">
      <w:pPr>
        <w:pStyle w:val="NormalNEW"/>
        <w:rPr>
          <w:highlight w:val="green"/>
          <w:lang w:val="en-US"/>
        </w:rPr>
      </w:pPr>
      <w:r>
        <w:rPr>
          <w:rFonts w:cstheme="majorBidi"/>
          <w:lang w:val="en-US"/>
        </w:rPr>
        <w:t>Access the field attributes in the ALM tool, defined and continuously maintained in the ALM Tool User Guide and ALM Tool Reference Guide via this link: The ALM tool</w:t>
      </w:r>
    </w:p>
    <w:p w14:paraId="0E4D7C23" w14:textId="06CA836A" w:rsidR="00B55190" w:rsidRPr="00A21682" w:rsidRDefault="00634842" w:rsidP="001F6A8A">
      <w:pPr>
        <w:pStyle w:val="Heading2"/>
      </w:pPr>
      <w:bookmarkStart w:id="4352" w:name="_Toc192875026"/>
      <w:bookmarkEnd w:id="4345"/>
      <w:bookmarkEnd w:id="4346"/>
      <w:bookmarkEnd w:id="4347"/>
      <w:bookmarkEnd w:id="4348"/>
      <w:bookmarkEnd w:id="4349"/>
      <w:bookmarkEnd w:id="4350"/>
      <w:r>
        <w:t>Requirements Versioning Control</w:t>
      </w:r>
      <w:bookmarkEnd w:id="4352"/>
    </w:p>
    <w:p w14:paraId="4DA0114C" w14:textId="1F130A64" w:rsidR="00B55190" w:rsidRPr="00A21682" w:rsidRDefault="00B55190" w:rsidP="00FD1EF4">
      <w:pPr>
        <w:pStyle w:val="NormalNEW"/>
        <w:rPr>
          <w:lang w:val="en-US"/>
        </w:rPr>
      </w:pPr>
      <w:r>
        <w:rPr>
          <w:lang w:val="en-US"/>
        </w:rPr>
        <w:t xml:space="preserve">To monitor and track the requirement deliverable submissions, standards and document versioning are defined for the MECM system, as follows: </w:t>
      </w:r>
    </w:p>
    <w:p w14:paraId="10C46E7F" w14:textId="77777777" w:rsidR="00B55190" w:rsidRPr="00A21682" w:rsidRDefault="00B55190" w:rsidP="0031550A">
      <w:pPr>
        <w:pStyle w:val="BulletNEW"/>
      </w:pPr>
      <w:r>
        <w:t>Pre-work for requirements will begin as v0.1</w:t>
      </w:r>
    </w:p>
    <w:p w14:paraId="5ACFC877" w14:textId="77777777" w:rsidR="00B55190" w:rsidRPr="00A21682" w:rsidRDefault="00B55190" w:rsidP="0031550A">
      <w:pPr>
        <w:pStyle w:val="BulletNEW"/>
      </w:pPr>
      <w:r>
        <w:t xml:space="preserve">Every subsequent submission post discussion with DOH OHIP will be incremented by 0.1 versions, i.e., validation sessions submissions will be incremented as 0.2, 0.3 etc. </w:t>
      </w:r>
    </w:p>
    <w:p w14:paraId="704A5E43" w14:textId="77777777" w:rsidR="00B55190" w:rsidRPr="00A21682" w:rsidRDefault="00B55190" w:rsidP="0031550A">
      <w:pPr>
        <w:pStyle w:val="BulletNEW"/>
      </w:pPr>
      <w:r>
        <w:t>Once the requirements are approved, the baselined version submission is v1.0</w:t>
      </w:r>
    </w:p>
    <w:p w14:paraId="700F12CB" w14:textId="77777777" w:rsidR="00B55190" w:rsidRPr="00A21682" w:rsidRDefault="00B55190" w:rsidP="0031550A">
      <w:pPr>
        <w:pStyle w:val="BulletNEW"/>
      </w:pPr>
      <w:r>
        <w:t>Re-submissions based on change requests increment by 0.1</w:t>
      </w:r>
    </w:p>
    <w:p w14:paraId="0D50E9AA" w14:textId="77777777" w:rsidR="00B55190" w:rsidRPr="00A21682" w:rsidRDefault="00B55190" w:rsidP="0031550A">
      <w:pPr>
        <w:pStyle w:val="BulletNEW"/>
      </w:pPr>
      <w:r>
        <w:t>Version tracking will include the change requests included for every increment</w:t>
      </w:r>
    </w:p>
    <w:tbl>
      <w:tblPr>
        <w:tblStyle w:val="ProcessSteps4"/>
        <w:tblW w:w="94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620" w:firstRow="1" w:lastRow="0" w:firstColumn="0" w:lastColumn="0" w:noHBand="1" w:noVBand="1"/>
      </w:tblPr>
      <w:tblGrid>
        <w:gridCol w:w="3505"/>
        <w:gridCol w:w="3278"/>
        <w:gridCol w:w="2662"/>
      </w:tblGrid>
      <w:tr w:rsidR="00B55190" w:rsidRPr="00A21682" w14:paraId="05C2E978" w14:textId="77777777" w:rsidTr="00541FC2">
        <w:trPr>
          <w:cnfStyle w:val="100000000000" w:firstRow="1" w:lastRow="0" w:firstColumn="0" w:lastColumn="0" w:oddVBand="0" w:evenVBand="0" w:oddHBand="0" w:evenHBand="0" w:firstRowFirstColumn="0" w:firstRowLastColumn="0" w:lastRowFirstColumn="0" w:lastRowLastColumn="0"/>
          <w:trHeight w:val="20"/>
        </w:trPr>
        <w:tc>
          <w:tcPr>
            <w:tcW w:w="3505" w:type="dxa"/>
            <w:tcBorders>
              <w:right w:val="single" w:sz="2" w:space="0" w:color="FFFFFF" w:themeColor="background1"/>
            </w:tcBorders>
          </w:tcPr>
          <w:p w14:paraId="2A2E1978" w14:textId="77777777" w:rsidR="00B55190" w:rsidRPr="00A21682" w:rsidRDefault="00B55190" w:rsidP="00FD1EF4">
            <w:pPr>
              <w:pStyle w:val="TABLEHEADINGNEW"/>
              <w:rPr>
                <w:rFonts w:eastAsia="Arial Narrow"/>
                <w:b/>
                <w:bCs w:val="0"/>
              </w:rPr>
            </w:pPr>
            <w:r>
              <w:rPr>
                <w:b/>
                <w:bCs w:val="0"/>
              </w:rPr>
              <w:t>v0.1</w:t>
            </w:r>
          </w:p>
        </w:tc>
        <w:tc>
          <w:tcPr>
            <w:tcW w:w="3278" w:type="dxa"/>
            <w:tcBorders>
              <w:left w:val="single" w:sz="2" w:space="0" w:color="FFFFFF" w:themeColor="background1"/>
              <w:right w:val="single" w:sz="2" w:space="0" w:color="FFFFFF" w:themeColor="background1"/>
            </w:tcBorders>
          </w:tcPr>
          <w:p w14:paraId="4593EA22" w14:textId="77777777" w:rsidR="00B55190" w:rsidRPr="00A21682" w:rsidRDefault="00B55190" w:rsidP="00FD1EF4">
            <w:pPr>
              <w:pStyle w:val="TABLEHEADINGNEW"/>
              <w:rPr>
                <w:rFonts w:eastAsia="Arial Narrow"/>
                <w:b/>
                <w:bCs w:val="0"/>
              </w:rPr>
            </w:pPr>
            <w:r>
              <w:rPr>
                <w:b/>
                <w:bCs w:val="0"/>
              </w:rPr>
              <w:t>v1.0</w:t>
            </w:r>
          </w:p>
        </w:tc>
        <w:tc>
          <w:tcPr>
            <w:tcW w:w="2662" w:type="dxa"/>
            <w:tcBorders>
              <w:left w:val="single" w:sz="2" w:space="0" w:color="FFFFFF" w:themeColor="background1"/>
            </w:tcBorders>
          </w:tcPr>
          <w:p w14:paraId="5689F683" w14:textId="77777777" w:rsidR="00B55190" w:rsidRPr="00A21682" w:rsidRDefault="00B55190" w:rsidP="00FD1EF4">
            <w:pPr>
              <w:pStyle w:val="TABLEHEADINGNEW"/>
              <w:rPr>
                <w:rFonts w:eastAsia="Arial Narrow"/>
                <w:b/>
                <w:bCs w:val="0"/>
              </w:rPr>
            </w:pPr>
            <w:r>
              <w:rPr>
                <w:b/>
                <w:bCs w:val="0"/>
              </w:rPr>
              <w:t>v1.1</w:t>
            </w:r>
          </w:p>
        </w:tc>
      </w:tr>
      <w:tr w:rsidR="00B55190" w:rsidRPr="00A21682" w14:paraId="79171C77" w14:textId="77777777" w:rsidTr="00FD1EF4">
        <w:trPr>
          <w:trHeight w:val="20"/>
        </w:trPr>
        <w:tc>
          <w:tcPr>
            <w:tcW w:w="3505" w:type="dxa"/>
          </w:tcPr>
          <w:p w14:paraId="218346F6" w14:textId="77777777" w:rsidR="00B55190" w:rsidRPr="00A21682" w:rsidRDefault="00B55190" w:rsidP="00FD1EF4">
            <w:pPr>
              <w:pStyle w:val="TABLETEXT1"/>
              <w:rPr>
                <w:rFonts w:eastAsia="Arial Narrow"/>
                <w:u w:color="000000" w:themeColor="text1"/>
                <w:lang w:val="en-US"/>
              </w:rPr>
            </w:pPr>
            <w:r>
              <w:rPr>
                <w:u w:color="000000" w:themeColor="text1"/>
                <w:lang w:val="en-US"/>
              </w:rPr>
              <w:t>Requirements pre-work and validation session submissions versions will begin with v0.1 and increment by 0.1</w:t>
            </w:r>
          </w:p>
        </w:tc>
        <w:tc>
          <w:tcPr>
            <w:tcW w:w="3278" w:type="dxa"/>
          </w:tcPr>
          <w:p w14:paraId="4445FED8" w14:textId="77777777" w:rsidR="00B55190" w:rsidRPr="00A21682" w:rsidRDefault="00B55190" w:rsidP="00FD1EF4">
            <w:pPr>
              <w:pStyle w:val="TABLETEXT1"/>
              <w:rPr>
                <w:u w:color="000000" w:themeColor="text1"/>
                <w:lang w:val="en-US"/>
              </w:rPr>
            </w:pPr>
            <w:r>
              <w:rPr>
                <w:u w:color="000000" w:themeColor="text1"/>
                <w:lang w:val="en-US"/>
              </w:rPr>
              <w:t>Baselined requirements once approved will be v1.0</w:t>
            </w:r>
          </w:p>
        </w:tc>
        <w:tc>
          <w:tcPr>
            <w:tcW w:w="2662" w:type="dxa"/>
          </w:tcPr>
          <w:p w14:paraId="4C4E7624" w14:textId="77777777" w:rsidR="00B55190" w:rsidRPr="00A21682" w:rsidRDefault="00B55190" w:rsidP="00FD1EF4">
            <w:pPr>
              <w:pStyle w:val="TABLETEXT1"/>
              <w:rPr>
                <w:u w:color="000000" w:themeColor="text1"/>
                <w:lang w:val="en-US"/>
              </w:rPr>
            </w:pPr>
            <w:r>
              <w:rPr>
                <w:u w:color="000000" w:themeColor="text1"/>
                <w:lang w:val="en-US"/>
              </w:rPr>
              <w:t>Requirements re-submissions based on change requests will be v1.1 and increment by 0.1</w:t>
            </w:r>
          </w:p>
        </w:tc>
      </w:tr>
    </w:tbl>
    <w:p w14:paraId="06ABF5D3" w14:textId="64137D3B" w:rsidR="00B55190" w:rsidRPr="00A21682" w:rsidRDefault="00B55190" w:rsidP="00901E6E">
      <w:pPr>
        <w:pStyle w:val="Caption"/>
        <w:rPr>
          <w:noProof w:val="0"/>
        </w:rPr>
      </w:pPr>
      <w:bookmarkStart w:id="4353" w:name="_Toc149732289"/>
      <w:bookmarkStart w:id="4354" w:name="_Toc192875223"/>
      <w:bookmarkStart w:id="4355" w:name="_Toc143866569"/>
      <w:r>
        <w:rPr>
          <w:noProof w:val="0"/>
        </w:rPr>
        <w:t xml:space="preserve">Table </w:t>
      </w:r>
      <w:r>
        <w:rPr>
          <w:noProof w:val="0"/>
        </w:rPr>
        <w:fldChar w:fldCharType="begin"/>
      </w:r>
      <w:r>
        <w:rPr>
          <w:noProof w:val="0"/>
        </w:rPr>
        <w:instrText xml:space="preserve"> STYLEREF 1 \s </w:instrText>
      </w:r>
      <w:r>
        <w:rPr>
          <w:noProof w:val="0"/>
        </w:rPr>
        <w:fldChar w:fldCharType="separate"/>
      </w:r>
      <w:r>
        <w:t>12</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t>3</w:t>
      </w:r>
      <w:r>
        <w:rPr>
          <w:noProof w:val="0"/>
        </w:rPr>
        <w:fldChar w:fldCharType="end"/>
      </w:r>
      <w:r>
        <w:rPr>
          <w:noProof w:val="0"/>
        </w:rPr>
        <w:t>: Versioning</w:t>
      </w:r>
      <w:bookmarkEnd w:id="4353"/>
      <w:bookmarkEnd w:id="4354"/>
    </w:p>
    <w:p w14:paraId="4AE4DF5F" w14:textId="77777777" w:rsidR="00AC118E" w:rsidRPr="00A21682" w:rsidRDefault="00AC118E" w:rsidP="00AC118E">
      <w:pPr>
        <w:rPr>
          <w:rFonts w:ascii="Verdana" w:hAnsi="Verdana"/>
          <w:sz w:val="18"/>
        </w:rPr>
        <w:sectPr w:rsidR="00AC118E" w:rsidRPr="00A21682" w:rsidSect="00FB4E23">
          <w:headerReference w:type="default" r:id="rId121"/>
          <w:footerReference w:type="default" r:id="rId122"/>
          <w:pgSz w:w="12240" w:h="15840"/>
          <w:pgMar w:top="1440" w:right="1440" w:bottom="1440" w:left="1440" w:header="720" w:footer="720" w:gutter="0"/>
          <w:cols w:space="720"/>
          <w:docGrid w:linePitch="360"/>
        </w:sectPr>
      </w:pPr>
      <w:bookmarkStart w:id="4356" w:name="_Toc149049665"/>
      <w:bookmarkStart w:id="4357" w:name="_Toc149050754"/>
      <w:bookmarkStart w:id="4358" w:name="_Toc149050770"/>
      <w:bookmarkStart w:id="4359" w:name="_Toc149063734"/>
      <w:bookmarkStart w:id="4360" w:name="_Toc149064136"/>
      <w:bookmarkStart w:id="4361" w:name="_Toc149572063"/>
      <w:bookmarkStart w:id="4362" w:name="_Toc149572079"/>
      <w:bookmarkStart w:id="4363" w:name="_Toc149732281"/>
      <w:bookmarkEnd w:id="4330"/>
      <w:bookmarkEnd w:id="4331"/>
      <w:bookmarkEnd w:id="4332"/>
      <w:bookmarkEnd w:id="4355"/>
      <w:bookmarkEnd w:id="4356"/>
      <w:bookmarkEnd w:id="4357"/>
      <w:bookmarkEnd w:id="4358"/>
      <w:bookmarkEnd w:id="4359"/>
      <w:bookmarkEnd w:id="4360"/>
      <w:bookmarkEnd w:id="4361"/>
      <w:bookmarkEnd w:id="4362"/>
      <w:bookmarkEnd w:id="4363"/>
    </w:p>
    <w:p w14:paraId="4CEDAFEE" w14:textId="685FD1D3" w:rsidR="00AC118E" w:rsidRPr="00A21682" w:rsidRDefault="00821A08" w:rsidP="00A9704C">
      <w:pPr>
        <w:pStyle w:val="Deliverable"/>
        <w:jc w:val="center"/>
        <w:rPr>
          <w:sz w:val="18"/>
        </w:rPr>
      </w:pPr>
      <w:r>
        <w:rPr>
          <w:color w:val="FFFFFF" w:themeColor="background1"/>
        </w:rPr>
        <w:lastRenderedPageBreak/>
        <w:t>Appendices</w:t>
      </w:r>
    </w:p>
    <w:p w14:paraId="55832B88" w14:textId="77777777" w:rsidR="00AC118E" w:rsidRPr="00A21682" w:rsidRDefault="00AC118E" w:rsidP="00AC118E">
      <w:pPr>
        <w:rPr>
          <w:rFonts w:ascii="Verdana" w:hAnsi="Verdana"/>
          <w:sz w:val="18"/>
        </w:rPr>
        <w:sectPr w:rsidR="00AC118E" w:rsidRPr="00A21682" w:rsidSect="00FB4E23">
          <w:headerReference w:type="default" r:id="rId123"/>
          <w:footerReference w:type="default" r:id="rId124"/>
          <w:pgSz w:w="12240" w:h="15840"/>
          <w:pgMar w:top="1440" w:right="1440" w:bottom="1440" w:left="1440" w:header="720" w:footer="720" w:gutter="0"/>
          <w:cols w:space="720"/>
          <w:vAlign w:val="center"/>
          <w:docGrid w:linePitch="360"/>
        </w:sectPr>
      </w:pPr>
    </w:p>
    <w:p w14:paraId="3C981602" w14:textId="77777777" w:rsidR="0062035F" w:rsidRPr="00A21682" w:rsidRDefault="0062035F" w:rsidP="00CD7944">
      <w:pPr>
        <w:pStyle w:val="Heading1"/>
      </w:pPr>
      <w:bookmarkStart w:id="4364" w:name="_Toc185952928"/>
      <w:bookmarkStart w:id="4365" w:name="_Toc192875027"/>
      <w:bookmarkStart w:id="4366" w:name="_Toc154132982"/>
      <w:bookmarkStart w:id="4367" w:name="_Toc177119665"/>
      <w:r>
        <w:lastRenderedPageBreak/>
        <w:t>Appendix</w:t>
      </w:r>
      <w:bookmarkEnd w:id="4364"/>
      <w:bookmarkEnd w:id="4365"/>
    </w:p>
    <w:p w14:paraId="50E55047" w14:textId="29FAA713" w:rsidR="00E001A2" w:rsidRPr="00A21682" w:rsidRDefault="00E001A2" w:rsidP="00CD7944">
      <w:pPr>
        <w:pStyle w:val="Heading2"/>
      </w:pPr>
      <w:bookmarkStart w:id="4368" w:name="_Toc185952929"/>
      <w:bookmarkStart w:id="4369" w:name="_Toc192875028"/>
      <w:r>
        <w:t>Appendix A: Terms and Definitions</w:t>
      </w:r>
      <w:bookmarkEnd w:id="4366"/>
      <w:bookmarkEnd w:id="4367"/>
      <w:bookmarkEnd w:id="4368"/>
      <w:bookmarkEnd w:id="4369"/>
    </w:p>
    <w:tbl>
      <w:tblPr>
        <w:tblStyle w:val="TableGrid-None221"/>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875"/>
        <w:gridCol w:w="6480"/>
      </w:tblGrid>
      <w:tr w:rsidR="00E001A2" w:rsidRPr="00A21682" w14:paraId="7DB35E3D" w14:textId="77777777" w:rsidTr="00541FC2">
        <w:trPr>
          <w:trHeight w:val="288"/>
          <w:tblHeader/>
        </w:trPr>
        <w:tc>
          <w:tcPr>
            <w:tcW w:w="2875" w:type="dxa"/>
            <w:tcBorders>
              <w:right w:val="single" w:sz="2" w:space="0" w:color="FFFFFF" w:themeColor="background1"/>
            </w:tcBorders>
            <w:shd w:val="clear" w:color="auto" w:fill="000000"/>
          </w:tcPr>
          <w:p w14:paraId="290A5381" w14:textId="77777777" w:rsidR="00E001A2" w:rsidRPr="00A21682" w:rsidRDefault="00E001A2" w:rsidP="00047C4E">
            <w:pPr>
              <w:pStyle w:val="TABLEHEADINGNEW"/>
              <w:rPr>
                <w:lang w:val="en-US"/>
              </w:rPr>
            </w:pPr>
            <w:r>
              <w:rPr>
                <w:lang w:val="en-US"/>
              </w:rPr>
              <w:t>Term</w:t>
            </w:r>
          </w:p>
        </w:tc>
        <w:tc>
          <w:tcPr>
            <w:tcW w:w="6480" w:type="dxa"/>
            <w:tcBorders>
              <w:left w:val="single" w:sz="2" w:space="0" w:color="FFFFFF" w:themeColor="background1"/>
            </w:tcBorders>
            <w:shd w:val="clear" w:color="auto" w:fill="000000"/>
          </w:tcPr>
          <w:p w14:paraId="0C3238A2" w14:textId="77777777" w:rsidR="00E001A2" w:rsidRPr="00A21682" w:rsidRDefault="00E001A2" w:rsidP="00047C4E">
            <w:pPr>
              <w:pStyle w:val="TABLEHEADINGNEW"/>
              <w:rPr>
                <w:lang w:val="en-US"/>
              </w:rPr>
            </w:pPr>
            <w:r>
              <w:rPr>
                <w:lang w:val="en-US"/>
              </w:rPr>
              <w:t>Definition</w:t>
            </w:r>
          </w:p>
        </w:tc>
      </w:tr>
      <w:tr w:rsidR="00E001A2" w:rsidRPr="00A21682" w14:paraId="3AA4275A" w14:textId="77777777" w:rsidTr="00047C4E">
        <w:trPr>
          <w:cantSplit/>
          <w:trHeight w:val="364"/>
        </w:trPr>
        <w:tc>
          <w:tcPr>
            <w:tcW w:w="2875" w:type="dxa"/>
          </w:tcPr>
          <w:p w14:paraId="65333D9F" w14:textId="77777777" w:rsidR="00E001A2" w:rsidRPr="00A21682" w:rsidRDefault="00E001A2" w:rsidP="00047C4E">
            <w:pPr>
              <w:pStyle w:val="TABLETEXT1"/>
              <w:rPr>
                <w:lang w:val="en-US"/>
              </w:rPr>
            </w:pPr>
            <w:r>
              <w:rPr>
                <w:lang w:val="en-US"/>
              </w:rPr>
              <w:t>Activity</w:t>
            </w:r>
          </w:p>
        </w:tc>
        <w:tc>
          <w:tcPr>
            <w:tcW w:w="6480" w:type="dxa"/>
          </w:tcPr>
          <w:p w14:paraId="79CFF984" w14:textId="77777777" w:rsidR="00E001A2" w:rsidRPr="00A21682" w:rsidRDefault="00E001A2" w:rsidP="00047C4E">
            <w:pPr>
              <w:pStyle w:val="TABLETEXT1"/>
              <w:rPr>
                <w:lang w:val="en-US"/>
              </w:rPr>
            </w:pPr>
            <w:r>
              <w:rPr>
                <w:lang w:val="en-US"/>
              </w:rPr>
              <w:t>An activity is defined as a summary level task.</w:t>
            </w:r>
          </w:p>
        </w:tc>
      </w:tr>
      <w:tr w:rsidR="00E001A2" w:rsidRPr="00A21682" w14:paraId="53628260" w14:textId="77777777" w:rsidTr="00047C4E">
        <w:trPr>
          <w:cantSplit/>
          <w:trHeight w:val="364"/>
        </w:trPr>
        <w:tc>
          <w:tcPr>
            <w:tcW w:w="2875" w:type="dxa"/>
          </w:tcPr>
          <w:p w14:paraId="46867ED6" w14:textId="77777777" w:rsidR="00E001A2" w:rsidRPr="00A21682" w:rsidRDefault="00E001A2" w:rsidP="00047C4E">
            <w:pPr>
              <w:pStyle w:val="TABLETEXT1"/>
              <w:rPr>
                <w:lang w:val="en-US"/>
              </w:rPr>
            </w:pPr>
            <w:r>
              <w:rPr>
                <w:lang w:val="en-US"/>
              </w:rPr>
              <w:t xml:space="preserve">Action Item Identifier </w:t>
            </w:r>
          </w:p>
        </w:tc>
        <w:tc>
          <w:tcPr>
            <w:tcW w:w="6480" w:type="dxa"/>
          </w:tcPr>
          <w:p w14:paraId="30BCBB19" w14:textId="77777777" w:rsidR="00E001A2" w:rsidRPr="00A21682" w:rsidRDefault="00E001A2" w:rsidP="00047C4E">
            <w:pPr>
              <w:pStyle w:val="TABLETEXT1"/>
              <w:rPr>
                <w:lang w:val="en-US"/>
              </w:rPr>
            </w:pPr>
            <w:r>
              <w:rPr>
                <w:lang w:val="en-US"/>
              </w:rPr>
              <w:t>An Action Item Identifier (AI Identifier) can be anyone involved in the quality assessment process who identifies actions to be taken by the Action Item (AI) Owner.</w:t>
            </w:r>
          </w:p>
        </w:tc>
      </w:tr>
      <w:tr w:rsidR="00E001A2" w:rsidRPr="00A21682" w14:paraId="14BF1435" w14:textId="77777777" w:rsidTr="00047C4E">
        <w:trPr>
          <w:cantSplit/>
          <w:trHeight w:val="364"/>
        </w:trPr>
        <w:tc>
          <w:tcPr>
            <w:tcW w:w="2875" w:type="dxa"/>
          </w:tcPr>
          <w:p w14:paraId="053083FB" w14:textId="77777777" w:rsidR="00E001A2" w:rsidRPr="00A21682" w:rsidRDefault="00E001A2" w:rsidP="00047C4E">
            <w:pPr>
              <w:pStyle w:val="TABLETEXT1"/>
              <w:rPr>
                <w:lang w:val="en-US"/>
              </w:rPr>
            </w:pPr>
            <w:r>
              <w:rPr>
                <w:lang w:val="en-US"/>
              </w:rPr>
              <w:t>Action Item Owner</w:t>
            </w:r>
          </w:p>
        </w:tc>
        <w:tc>
          <w:tcPr>
            <w:tcW w:w="6480" w:type="dxa"/>
          </w:tcPr>
          <w:p w14:paraId="3143E543" w14:textId="77777777" w:rsidR="00E001A2" w:rsidRPr="00A21682" w:rsidRDefault="00E001A2" w:rsidP="00047C4E">
            <w:pPr>
              <w:pStyle w:val="TABLETEXT1"/>
              <w:rPr>
                <w:lang w:val="en-US"/>
              </w:rPr>
            </w:pPr>
            <w:r>
              <w:rPr>
                <w:lang w:val="en-US"/>
              </w:rPr>
              <w:t xml:space="preserve">An Action Item Owner (AI Owner) is the individual selected by the Action Item (AI) Identifier that manages an item and provides the ALM tool updates on its resolution status. </w:t>
            </w:r>
          </w:p>
        </w:tc>
      </w:tr>
      <w:tr w:rsidR="00E001A2" w:rsidRPr="00A21682" w14:paraId="787E82DC" w14:textId="77777777" w:rsidTr="00047C4E">
        <w:trPr>
          <w:cantSplit/>
          <w:trHeight w:val="364"/>
        </w:trPr>
        <w:tc>
          <w:tcPr>
            <w:tcW w:w="2875" w:type="dxa"/>
          </w:tcPr>
          <w:p w14:paraId="0176F911" w14:textId="77777777" w:rsidR="00E001A2" w:rsidRPr="00A21682" w:rsidRDefault="00E001A2" w:rsidP="00047C4E">
            <w:pPr>
              <w:pStyle w:val="TABLETEXT1"/>
              <w:rPr>
                <w:lang w:val="en-US"/>
              </w:rPr>
            </w:pPr>
            <w:r>
              <w:rPr>
                <w:lang w:val="en-US"/>
              </w:rPr>
              <w:t>Baselined Work Plan</w:t>
            </w:r>
          </w:p>
        </w:tc>
        <w:tc>
          <w:tcPr>
            <w:tcW w:w="6480" w:type="dxa"/>
          </w:tcPr>
          <w:p w14:paraId="4C3DC369" w14:textId="77777777" w:rsidR="00E001A2" w:rsidRPr="00A21682" w:rsidRDefault="00E001A2" w:rsidP="00047C4E">
            <w:pPr>
              <w:pStyle w:val="TABLETEXT1"/>
              <w:rPr>
                <w:lang w:val="en-US"/>
              </w:rPr>
            </w:pPr>
            <w:r>
              <w:rPr>
                <w:lang w:val="en-US"/>
              </w:rPr>
              <w:t>This is a work plan and schedule that is managed in an appropriate project management tool, with sufficient detail to support the projected durations</w:t>
            </w:r>
          </w:p>
        </w:tc>
      </w:tr>
      <w:tr w:rsidR="001C508D" w:rsidRPr="00A21682" w14:paraId="2D85E954" w14:textId="77777777" w:rsidTr="00047C4E">
        <w:trPr>
          <w:cantSplit/>
          <w:trHeight w:val="364"/>
        </w:trPr>
        <w:tc>
          <w:tcPr>
            <w:tcW w:w="2875" w:type="dxa"/>
          </w:tcPr>
          <w:p w14:paraId="227407AE" w14:textId="32D4D0C5" w:rsidR="001C508D" w:rsidRPr="00A21682" w:rsidRDefault="001C508D" w:rsidP="00047C4E">
            <w:pPr>
              <w:pStyle w:val="TABLETEXT1"/>
              <w:rPr>
                <w:lang w:val="en-US"/>
              </w:rPr>
            </w:pPr>
            <w:r>
              <w:rPr>
                <w:lang w:val="en-US"/>
              </w:rPr>
              <w:t>Bundles</w:t>
            </w:r>
          </w:p>
        </w:tc>
        <w:tc>
          <w:tcPr>
            <w:tcW w:w="6480" w:type="dxa"/>
          </w:tcPr>
          <w:p w14:paraId="5857708E" w14:textId="7A789178" w:rsidR="001C508D" w:rsidRPr="00A21682" w:rsidRDefault="00E03F6B" w:rsidP="00047C4E">
            <w:pPr>
              <w:pStyle w:val="TABLETEXT1"/>
              <w:rPr>
                <w:lang w:val="en-US"/>
              </w:rPr>
            </w:pPr>
            <w:r>
              <w:rPr>
                <w:lang w:val="en-US"/>
              </w:rPr>
              <w:t>Bundles are subsets of iterations that are further broken down which break topics logically and creates more FDDs which are easier for stakeholders to consume when they review and approve</w:t>
            </w:r>
          </w:p>
        </w:tc>
      </w:tr>
      <w:tr w:rsidR="00E001A2" w:rsidRPr="00A21682" w14:paraId="44A1E0DF" w14:textId="77777777" w:rsidTr="00047C4E">
        <w:trPr>
          <w:cantSplit/>
          <w:trHeight w:val="364"/>
        </w:trPr>
        <w:tc>
          <w:tcPr>
            <w:tcW w:w="2875" w:type="dxa"/>
          </w:tcPr>
          <w:p w14:paraId="286F36EC" w14:textId="77777777" w:rsidR="00E001A2" w:rsidRPr="00A21682" w:rsidRDefault="00E001A2" w:rsidP="00047C4E">
            <w:pPr>
              <w:pStyle w:val="TABLETEXT1"/>
              <w:rPr>
                <w:lang w:val="en-US"/>
              </w:rPr>
            </w:pPr>
            <w:r>
              <w:rPr>
                <w:lang w:val="en-US"/>
              </w:rPr>
              <w:t>Deliverable Acceptance Criteria</w:t>
            </w:r>
          </w:p>
        </w:tc>
        <w:tc>
          <w:tcPr>
            <w:tcW w:w="6480" w:type="dxa"/>
          </w:tcPr>
          <w:p w14:paraId="4D9ABF18" w14:textId="77777777" w:rsidR="00E001A2" w:rsidRPr="00A21682" w:rsidRDefault="00E001A2" w:rsidP="00047C4E">
            <w:pPr>
              <w:pStyle w:val="TABLETEXT1"/>
              <w:rPr>
                <w:lang w:val="en-US"/>
              </w:rPr>
            </w:pPr>
            <w:r>
              <w:rPr>
                <w:lang w:val="en-US"/>
              </w:rPr>
              <w:t>Conditions that a deliverable must meet for DOH OHIP approval.</w:t>
            </w:r>
          </w:p>
        </w:tc>
      </w:tr>
      <w:tr w:rsidR="00E001A2" w:rsidRPr="00A21682" w14:paraId="470E6E03" w14:textId="77777777" w:rsidTr="00047C4E">
        <w:trPr>
          <w:cantSplit/>
          <w:trHeight w:val="364"/>
        </w:trPr>
        <w:tc>
          <w:tcPr>
            <w:tcW w:w="2875" w:type="dxa"/>
          </w:tcPr>
          <w:p w14:paraId="113CAD19" w14:textId="77777777" w:rsidR="00E001A2" w:rsidRPr="00A21682" w:rsidRDefault="00E001A2" w:rsidP="00047C4E">
            <w:pPr>
              <w:pStyle w:val="TABLETEXT1"/>
              <w:rPr>
                <w:lang w:val="en-US"/>
              </w:rPr>
            </w:pPr>
            <w:r>
              <w:rPr>
                <w:lang w:val="en-US"/>
              </w:rPr>
              <w:t>Deliverable Expectations Document</w:t>
            </w:r>
          </w:p>
        </w:tc>
        <w:tc>
          <w:tcPr>
            <w:tcW w:w="6480" w:type="dxa"/>
          </w:tcPr>
          <w:p w14:paraId="5FC942A4" w14:textId="77777777" w:rsidR="00E001A2" w:rsidRPr="00A21682" w:rsidRDefault="00E001A2" w:rsidP="00047C4E">
            <w:pPr>
              <w:pStyle w:val="TABLETEXT1"/>
              <w:rPr>
                <w:lang w:val="en-US"/>
              </w:rPr>
            </w:pPr>
            <w:r>
              <w:rPr>
                <w:lang w:val="en-US"/>
              </w:rPr>
              <w:t>A template for a deliverable that also contains defined review and/or acceptance criteria for the deliverable.</w:t>
            </w:r>
          </w:p>
        </w:tc>
      </w:tr>
      <w:tr w:rsidR="00E001A2" w:rsidRPr="00A21682" w14:paraId="5DAD6A88" w14:textId="77777777" w:rsidTr="00047C4E">
        <w:trPr>
          <w:cantSplit/>
          <w:trHeight w:val="364"/>
        </w:trPr>
        <w:tc>
          <w:tcPr>
            <w:tcW w:w="2875" w:type="dxa"/>
          </w:tcPr>
          <w:p w14:paraId="0F9F3A2A" w14:textId="77777777" w:rsidR="00E001A2" w:rsidRPr="00A21682" w:rsidRDefault="00E001A2" w:rsidP="00047C4E">
            <w:pPr>
              <w:pStyle w:val="TABLETEXT1"/>
              <w:rPr>
                <w:lang w:val="en-US"/>
              </w:rPr>
            </w:pPr>
            <w:r>
              <w:rPr>
                <w:lang w:val="en-US"/>
              </w:rPr>
              <w:t>Deliverable Management</w:t>
            </w:r>
          </w:p>
        </w:tc>
        <w:tc>
          <w:tcPr>
            <w:tcW w:w="6480" w:type="dxa"/>
          </w:tcPr>
          <w:p w14:paraId="6A872543" w14:textId="53A1A0EF" w:rsidR="00E001A2" w:rsidRPr="00A21682" w:rsidRDefault="00E001A2" w:rsidP="00047C4E">
            <w:pPr>
              <w:pStyle w:val="TABLETEXT1"/>
              <w:rPr>
                <w:lang w:val="en-US"/>
              </w:rPr>
            </w:pPr>
            <w:r>
              <w:rPr>
                <w:lang w:val="en-US"/>
              </w:rPr>
              <w:t>Guidelines and procedures for developing and steering deliverables through the DOH OHIP approval process</w:t>
            </w:r>
          </w:p>
        </w:tc>
      </w:tr>
      <w:tr w:rsidR="00E001A2" w:rsidRPr="00A21682" w14:paraId="1DFB1F4A" w14:textId="77777777" w:rsidTr="00047C4E">
        <w:trPr>
          <w:cantSplit/>
          <w:trHeight w:val="364"/>
        </w:trPr>
        <w:tc>
          <w:tcPr>
            <w:tcW w:w="2875" w:type="dxa"/>
          </w:tcPr>
          <w:p w14:paraId="60DCD286" w14:textId="77777777" w:rsidR="00E001A2" w:rsidRPr="00A21682" w:rsidRDefault="00E001A2" w:rsidP="00047C4E">
            <w:pPr>
              <w:pStyle w:val="TABLETEXT1"/>
              <w:rPr>
                <w:lang w:val="en-US"/>
              </w:rPr>
            </w:pPr>
            <w:r>
              <w:rPr>
                <w:lang w:val="en-US"/>
              </w:rPr>
              <w:t>Deliverable Management RACI</w:t>
            </w:r>
          </w:p>
        </w:tc>
        <w:tc>
          <w:tcPr>
            <w:tcW w:w="6480" w:type="dxa"/>
          </w:tcPr>
          <w:p w14:paraId="128546D5" w14:textId="77777777" w:rsidR="00E001A2" w:rsidRPr="00A21682" w:rsidRDefault="00E001A2" w:rsidP="00047C4E">
            <w:pPr>
              <w:pStyle w:val="TABLETEXT1"/>
              <w:rPr>
                <w:lang w:val="en-US"/>
              </w:rPr>
            </w:pPr>
            <w:r>
              <w:rPr>
                <w:lang w:val="en-US"/>
              </w:rPr>
              <w:t>Document that details the key deliverable management roles and responsibilities that helps the project team monitor task progress to inform project leadership and guide resources</w:t>
            </w:r>
          </w:p>
        </w:tc>
      </w:tr>
      <w:tr w:rsidR="00E001A2" w:rsidRPr="00A21682" w14:paraId="15F5A5C3" w14:textId="77777777" w:rsidTr="00047C4E">
        <w:trPr>
          <w:cantSplit/>
          <w:trHeight w:val="364"/>
        </w:trPr>
        <w:tc>
          <w:tcPr>
            <w:tcW w:w="2875" w:type="dxa"/>
          </w:tcPr>
          <w:p w14:paraId="45EC1F6B" w14:textId="77777777" w:rsidR="00E001A2" w:rsidRPr="00A21682" w:rsidRDefault="00E001A2" w:rsidP="00047C4E">
            <w:pPr>
              <w:pStyle w:val="TABLETEXT1"/>
              <w:rPr>
                <w:lang w:val="en-US"/>
              </w:rPr>
            </w:pPr>
            <w:r>
              <w:rPr>
                <w:lang w:val="en-US"/>
              </w:rPr>
              <w:t>Issue</w:t>
            </w:r>
          </w:p>
        </w:tc>
        <w:tc>
          <w:tcPr>
            <w:tcW w:w="6480" w:type="dxa"/>
          </w:tcPr>
          <w:p w14:paraId="0E7E14EE" w14:textId="77777777" w:rsidR="00E001A2" w:rsidRPr="00A21682" w:rsidRDefault="00E001A2" w:rsidP="00047C4E">
            <w:pPr>
              <w:pStyle w:val="TABLETEXT1"/>
              <w:rPr>
                <w:lang w:val="en-US"/>
              </w:rPr>
            </w:pPr>
            <w:r>
              <w:rPr>
                <w:lang w:val="en-US"/>
              </w:rPr>
              <w:t>A validated risk that materializes.</w:t>
            </w:r>
          </w:p>
        </w:tc>
      </w:tr>
      <w:tr w:rsidR="00E001A2" w:rsidRPr="00A21682" w14:paraId="0B80DFA2" w14:textId="77777777" w:rsidTr="00047C4E">
        <w:trPr>
          <w:cantSplit/>
          <w:trHeight w:val="364"/>
        </w:trPr>
        <w:tc>
          <w:tcPr>
            <w:tcW w:w="2875" w:type="dxa"/>
          </w:tcPr>
          <w:p w14:paraId="0BE4DF44" w14:textId="77777777" w:rsidR="00E001A2" w:rsidRPr="00A21682" w:rsidRDefault="00E001A2" w:rsidP="00047C4E">
            <w:pPr>
              <w:pStyle w:val="TABLETEXT1"/>
              <w:rPr>
                <w:lang w:val="en-US"/>
              </w:rPr>
            </w:pPr>
            <w:r>
              <w:rPr>
                <w:lang w:val="en-US"/>
              </w:rPr>
              <w:t>Issue Resolution Plan</w:t>
            </w:r>
          </w:p>
        </w:tc>
        <w:tc>
          <w:tcPr>
            <w:tcW w:w="6480" w:type="dxa"/>
          </w:tcPr>
          <w:p w14:paraId="6655FABC" w14:textId="77777777" w:rsidR="00E001A2" w:rsidRPr="00A21682" w:rsidRDefault="00E001A2" w:rsidP="00047C4E">
            <w:pPr>
              <w:pStyle w:val="TABLETEXT1"/>
              <w:rPr>
                <w:lang w:val="en-US"/>
              </w:rPr>
            </w:pPr>
            <w:r>
              <w:rPr>
                <w:lang w:val="en-US"/>
              </w:rPr>
              <w:t>A narrative documented in the ALM tool for a specific issue to document resolution steps.</w:t>
            </w:r>
          </w:p>
        </w:tc>
      </w:tr>
      <w:tr w:rsidR="00524C70" w:rsidRPr="00A21682" w14:paraId="559BE944" w14:textId="77777777" w:rsidTr="00047C4E">
        <w:trPr>
          <w:cantSplit/>
          <w:trHeight w:val="364"/>
        </w:trPr>
        <w:tc>
          <w:tcPr>
            <w:tcW w:w="2875" w:type="dxa"/>
          </w:tcPr>
          <w:p w14:paraId="35AABE18" w14:textId="08230686" w:rsidR="00524C70" w:rsidRPr="00A21682" w:rsidRDefault="00524C70" w:rsidP="00524C70">
            <w:pPr>
              <w:pStyle w:val="TABLETEXT1"/>
              <w:rPr>
                <w:lang w:val="en-US"/>
              </w:rPr>
            </w:pPr>
            <w:r>
              <w:rPr>
                <w:lang w:val="en-US"/>
              </w:rPr>
              <w:t>Iteration</w:t>
            </w:r>
          </w:p>
        </w:tc>
        <w:tc>
          <w:tcPr>
            <w:tcW w:w="6480" w:type="dxa"/>
          </w:tcPr>
          <w:p w14:paraId="724B80DF" w14:textId="42BDE645" w:rsidR="00524C70" w:rsidRPr="00A21682" w:rsidRDefault="00524C70" w:rsidP="00524C70">
            <w:pPr>
              <w:pStyle w:val="TABLETEXT1"/>
              <w:rPr>
                <w:lang w:val="en-US"/>
              </w:rPr>
            </w:pPr>
            <w:r>
              <w:rPr>
                <w:lang w:val="en-US"/>
              </w:rPr>
              <w:t>An iteration is a means to deliver working software incrementally during the SDLC. Each iteration will include a Design, Development and SIT phases within it.</w:t>
            </w:r>
          </w:p>
        </w:tc>
      </w:tr>
      <w:tr w:rsidR="00E001A2" w:rsidRPr="00A21682" w14:paraId="4B35208F" w14:textId="77777777" w:rsidTr="00047C4E">
        <w:trPr>
          <w:cantSplit/>
          <w:trHeight w:val="364"/>
        </w:trPr>
        <w:tc>
          <w:tcPr>
            <w:tcW w:w="2875" w:type="dxa"/>
          </w:tcPr>
          <w:p w14:paraId="6A0FFB74" w14:textId="77777777" w:rsidR="00E001A2" w:rsidRPr="00A21682" w:rsidRDefault="00E001A2" w:rsidP="00047C4E">
            <w:pPr>
              <w:pStyle w:val="TABLETEXT1"/>
              <w:rPr>
                <w:lang w:val="en-US"/>
              </w:rPr>
            </w:pPr>
            <w:r>
              <w:rPr>
                <w:lang w:val="en-US"/>
              </w:rPr>
              <w:t>Key Personnel</w:t>
            </w:r>
          </w:p>
        </w:tc>
        <w:tc>
          <w:tcPr>
            <w:tcW w:w="6480" w:type="dxa"/>
          </w:tcPr>
          <w:p w14:paraId="022E746D" w14:textId="77777777" w:rsidR="00E001A2" w:rsidRPr="00A21682" w:rsidRDefault="00E001A2" w:rsidP="00047C4E">
            <w:pPr>
              <w:pStyle w:val="TABLETEXT1"/>
              <w:rPr>
                <w:lang w:val="en-US"/>
              </w:rPr>
            </w:pPr>
            <w:r>
              <w:rPr>
                <w:lang w:val="en-US"/>
              </w:rPr>
              <w:t>Vendor project leadership, as identified in the MSOW.</w:t>
            </w:r>
          </w:p>
        </w:tc>
      </w:tr>
      <w:tr w:rsidR="00E001A2" w:rsidRPr="00A21682" w14:paraId="40C11B68" w14:textId="77777777" w:rsidTr="00047C4E">
        <w:trPr>
          <w:cantSplit/>
          <w:trHeight w:val="364"/>
        </w:trPr>
        <w:tc>
          <w:tcPr>
            <w:tcW w:w="2875" w:type="dxa"/>
          </w:tcPr>
          <w:p w14:paraId="502EF92C" w14:textId="77777777" w:rsidR="00E001A2" w:rsidRPr="00A21682" w:rsidRDefault="00E001A2" w:rsidP="00047C4E">
            <w:pPr>
              <w:pStyle w:val="TABLETEXT1"/>
              <w:rPr>
                <w:lang w:val="en-US"/>
              </w:rPr>
            </w:pPr>
            <w:r>
              <w:rPr>
                <w:lang w:val="en-US"/>
              </w:rPr>
              <w:t>Managers</w:t>
            </w:r>
          </w:p>
        </w:tc>
        <w:tc>
          <w:tcPr>
            <w:tcW w:w="6480" w:type="dxa"/>
          </w:tcPr>
          <w:p w14:paraId="3519FB0E" w14:textId="77777777" w:rsidR="00E001A2" w:rsidRPr="00A21682" w:rsidRDefault="00E001A2" w:rsidP="00047C4E">
            <w:pPr>
              <w:pStyle w:val="TABLETEXT1"/>
              <w:rPr>
                <w:lang w:val="en-US"/>
              </w:rPr>
            </w:pPr>
            <w:r>
              <w:rPr>
                <w:lang w:val="en-US"/>
              </w:rPr>
              <w:t>Each project track and accompanying tasks will be led by a manager and their corresponding staff.</w:t>
            </w:r>
          </w:p>
        </w:tc>
      </w:tr>
      <w:tr w:rsidR="00E001A2" w:rsidRPr="00A21682" w14:paraId="6FDBCB96" w14:textId="77777777" w:rsidTr="00047C4E">
        <w:trPr>
          <w:cantSplit/>
          <w:trHeight w:val="364"/>
        </w:trPr>
        <w:tc>
          <w:tcPr>
            <w:tcW w:w="2875" w:type="dxa"/>
          </w:tcPr>
          <w:p w14:paraId="4B453E05" w14:textId="77777777" w:rsidR="00E001A2" w:rsidRPr="00A21682" w:rsidRDefault="00E001A2" w:rsidP="00047C4E">
            <w:pPr>
              <w:pStyle w:val="TABLETEXT1"/>
              <w:rPr>
                <w:lang w:val="en-US"/>
              </w:rPr>
            </w:pPr>
            <w:r>
              <w:rPr>
                <w:lang w:val="en-US"/>
              </w:rPr>
              <w:t>Master ISOW Integrated Project Schedule</w:t>
            </w:r>
          </w:p>
        </w:tc>
        <w:tc>
          <w:tcPr>
            <w:tcW w:w="6480" w:type="dxa"/>
          </w:tcPr>
          <w:p w14:paraId="3A692C78" w14:textId="77777777" w:rsidR="00E001A2" w:rsidRPr="00A21682" w:rsidRDefault="00E001A2" w:rsidP="00047C4E">
            <w:pPr>
              <w:pStyle w:val="TABLETEXT1"/>
              <w:rPr>
                <w:lang w:val="en-US"/>
              </w:rPr>
            </w:pPr>
            <w:r>
              <w:rPr>
                <w:lang w:val="en-US"/>
              </w:rPr>
              <w:t xml:space="preserve">The Master ISOW Integrated Project Schedule is based on the current project scope, as outlined in the MSOW, and anticipated future project Waves. The Master ISOW Integrated Project Schedule provides the overall project schedule; key milestones; and work effort, resource, and cost estimates, by Wave. This document is required in the MSOW. </w:t>
            </w:r>
          </w:p>
        </w:tc>
      </w:tr>
      <w:tr w:rsidR="00E001A2" w:rsidRPr="00A21682" w14:paraId="12539AF5" w14:textId="77777777" w:rsidTr="00047C4E">
        <w:trPr>
          <w:cantSplit/>
          <w:trHeight w:val="364"/>
        </w:trPr>
        <w:tc>
          <w:tcPr>
            <w:tcW w:w="2875" w:type="dxa"/>
          </w:tcPr>
          <w:p w14:paraId="5E1E2B15" w14:textId="77777777" w:rsidR="00E001A2" w:rsidRPr="00A21682" w:rsidRDefault="00E001A2" w:rsidP="00047C4E">
            <w:pPr>
              <w:pStyle w:val="TABLETEXT1"/>
              <w:rPr>
                <w:lang w:val="en-US"/>
              </w:rPr>
            </w:pPr>
            <w:r>
              <w:rPr>
                <w:lang w:val="en-US"/>
              </w:rPr>
              <w:lastRenderedPageBreak/>
              <w:t>Master Transmittal Tracker Spreadsheet</w:t>
            </w:r>
          </w:p>
        </w:tc>
        <w:tc>
          <w:tcPr>
            <w:tcW w:w="6480" w:type="dxa"/>
          </w:tcPr>
          <w:p w14:paraId="4667AC8E" w14:textId="77777777" w:rsidR="00E001A2" w:rsidRPr="00A21682" w:rsidRDefault="00E001A2" w:rsidP="00047C4E">
            <w:pPr>
              <w:pStyle w:val="TABLETEXT1"/>
              <w:rPr>
                <w:lang w:val="en-US"/>
              </w:rPr>
            </w:pPr>
            <w:r>
              <w:rPr>
                <w:lang w:val="en-US"/>
              </w:rPr>
              <w:t>An Excel document that tracks details of document transfers with DOS such as the date and time of the transmittal and the version of the document.</w:t>
            </w:r>
          </w:p>
        </w:tc>
      </w:tr>
      <w:tr w:rsidR="00E001A2" w:rsidRPr="00A21682" w14:paraId="74CD2009" w14:textId="77777777" w:rsidTr="00047C4E">
        <w:trPr>
          <w:cantSplit/>
          <w:trHeight w:val="364"/>
        </w:trPr>
        <w:tc>
          <w:tcPr>
            <w:tcW w:w="2875" w:type="dxa"/>
          </w:tcPr>
          <w:p w14:paraId="2C6C548A" w14:textId="77777777" w:rsidR="00E001A2" w:rsidRPr="00A21682" w:rsidRDefault="00E001A2" w:rsidP="00047C4E">
            <w:pPr>
              <w:pStyle w:val="TABLETEXT1"/>
              <w:rPr>
                <w:lang w:val="en-US"/>
              </w:rPr>
            </w:pPr>
            <w:r>
              <w:rPr>
                <w:lang w:val="en-US"/>
              </w:rPr>
              <w:t>MITA</w:t>
            </w:r>
          </w:p>
        </w:tc>
        <w:tc>
          <w:tcPr>
            <w:tcW w:w="6480" w:type="dxa"/>
          </w:tcPr>
          <w:p w14:paraId="52F3FA10" w14:textId="77777777" w:rsidR="00E001A2" w:rsidRPr="00A21682" w:rsidRDefault="00E001A2" w:rsidP="00047C4E">
            <w:pPr>
              <w:pStyle w:val="TABLETEXT1"/>
              <w:rPr>
                <w:lang w:val="en-US"/>
              </w:rPr>
            </w:pPr>
            <w:r>
              <w:rPr>
                <w:lang w:val="en-US"/>
              </w:rPr>
              <w:t>Medicaid Information Technology Architecture</w:t>
            </w:r>
          </w:p>
        </w:tc>
      </w:tr>
      <w:tr w:rsidR="00337669" w:rsidRPr="00A21682" w14:paraId="2C2FC88D" w14:textId="77777777" w:rsidTr="00047C4E">
        <w:trPr>
          <w:cantSplit/>
          <w:trHeight w:val="364"/>
        </w:trPr>
        <w:tc>
          <w:tcPr>
            <w:tcW w:w="2875" w:type="dxa"/>
          </w:tcPr>
          <w:p w14:paraId="50DFD455" w14:textId="07E89C3C" w:rsidR="00337669" w:rsidRPr="00A21682" w:rsidRDefault="00337669" w:rsidP="00337669">
            <w:pPr>
              <w:pStyle w:val="TABLETEXT1"/>
              <w:rPr>
                <w:lang w:val="en-US"/>
              </w:rPr>
            </w:pPr>
            <w:r>
              <w:rPr>
                <w:lang w:val="en-US"/>
              </w:rPr>
              <w:t>Phase Gate</w:t>
            </w:r>
          </w:p>
        </w:tc>
        <w:tc>
          <w:tcPr>
            <w:tcW w:w="6480" w:type="dxa"/>
          </w:tcPr>
          <w:p w14:paraId="35E1A2D0" w14:textId="01BE56D5" w:rsidR="00337669" w:rsidRPr="00A21682" w:rsidRDefault="00337669" w:rsidP="00337669">
            <w:pPr>
              <w:pStyle w:val="TABLETEXT1"/>
              <w:rPr>
                <w:lang w:val="en-US"/>
              </w:rPr>
            </w:pPr>
            <w:r>
              <w:rPr>
                <w:lang w:val="en-US"/>
              </w:rPr>
              <w:t>Set of criteria to be met in each phase before continuing to the next phase.</w:t>
            </w:r>
          </w:p>
        </w:tc>
      </w:tr>
      <w:tr w:rsidR="00E001A2" w:rsidRPr="00A21682" w14:paraId="2DDFF29C" w14:textId="77777777" w:rsidTr="00047C4E">
        <w:trPr>
          <w:cantSplit/>
          <w:trHeight w:val="364"/>
        </w:trPr>
        <w:tc>
          <w:tcPr>
            <w:tcW w:w="2875" w:type="dxa"/>
          </w:tcPr>
          <w:p w14:paraId="7C52EC82" w14:textId="77777777" w:rsidR="00E001A2" w:rsidRPr="00A21682" w:rsidRDefault="00E001A2" w:rsidP="00047C4E">
            <w:pPr>
              <w:pStyle w:val="TABLETEXT1"/>
              <w:rPr>
                <w:lang w:val="en-US"/>
              </w:rPr>
            </w:pPr>
            <w:r>
              <w:rPr>
                <w:lang w:val="en-US"/>
              </w:rPr>
              <w:t>Project Director</w:t>
            </w:r>
          </w:p>
        </w:tc>
        <w:tc>
          <w:tcPr>
            <w:tcW w:w="6480" w:type="dxa"/>
          </w:tcPr>
          <w:p w14:paraId="14481F28" w14:textId="7620C406" w:rsidR="00E001A2" w:rsidRPr="00A21682" w:rsidRDefault="00E001A2" w:rsidP="00047C4E">
            <w:pPr>
              <w:pStyle w:val="TABLETEXT1"/>
              <w:rPr>
                <w:lang w:val="en-US"/>
              </w:rPr>
            </w:pPr>
            <w:r>
              <w:rPr>
                <w:lang w:val="en-US"/>
              </w:rPr>
              <w:t>Oversees all project tracks, which include Implementation and Change Management, Technical, PMO, Test, and Functional.</w:t>
            </w:r>
          </w:p>
        </w:tc>
      </w:tr>
      <w:tr w:rsidR="00E001A2" w:rsidRPr="00A21682" w14:paraId="52128E26" w14:textId="77777777" w:rsidTr="00047C4E">
        <w:trPr>
          <w:cantSplit/>
          <w:trHeight w:val="364"/>
        </w:trPr>
        <w:tc>
          <w:tcPr>
            <w:tcW w:w="2875" w:type="dxa"/>
          </w:tcPr>
          <w:p w14:paraId="036B238A" w14:textId="77777777" w:rsidR="00E001A2" w:rsidRPr="00A21682" w:rsidRDefault="00E001A2" w:rsidP="00047C4E">
            <w:pPr>
              <w:pStyle w:val="TABLETEXT1"/>
              <w:rPr>
                <w:lang w:val="en-US"/>
              </w:rPr>
            </w:pPr>
            <w:r>
              <w:rPr>
                <w:lang w:val="en-US"/>
              </w:rPr>
              <w:t>Project Executive</w:t>
            </w:r>
          </w:p>
        </w:tc>
        <w:tc>
          <w:tcPr>
            <w:tcW w:w="6480" w:type="dxa"/>
          </w:tcPr>
          <w:p w14:paraId="403F28F1" w14:textId="07131227" w:rsidR="00E001A2" w:rsidRPr="00A21682" w:rsidRDefault="00E001A2" w:rsidP="00047C4E">
            <w:pPr>
              <w:pStyle w:val="TABLETEXT1"/>
              <w:rPr>
                <w:lang w:val="en-US"/>
              </w:rPr>
            </w:pPr>
            <w:r>
              <w:rPr>
                <w:lang w:val="en-US"/>
              </w:rPr>
              <w:t>Leads the Continuing Medicaid Eligibility Modernization project with input from other members of project leadership who have relevant expertise.</w:t>
            </w:r>
          </w:p>
        </w:tc>
      </w:tr>
      <w:tr w:rsidR="003F6635" w:rsidRPr="00A21682" w14:paraId="7EE8B7CB" w14:textId="77777777" w:rsidTr="00047C4E">
        <w:trPr>
          <w:cantSplit/>
          <w:trHeight w:val="364"/>
        </w:trPr>
        <w:tc>
          <w:tcPr>
            <w:tcW w:w="2875" w:type="dxa"/>
          </w:tcPr>
          <w:p w14:paraId="3649BA94" w14:textId="1727435A" w:rsidR="003F6635" w:rsidRPr="00A21682" w:rsidRDefault="003F6635" w:rsidP="003F6635">
            <w:pPr>
              <w:pStyle w:val="TABLETEXT1"/>
              <w:rPr>
                <w:lang w:val="en-US"/>
              </w:rPr>
            </w:pPr>
            <w:r>
              <w:rPr>
                <w:lang w:val="en-US"/>
              </w:rPr>
              <w:t>Project Status Report</w:t>
            </w:r>
          </w:p>
        </w:tc>
        <w:tc>
          <w:tcPr>
            <w:tcW w:w="6480" w:type="dxa"/>
          </w:tcPr>
          <w:p w14:paraId="45879EED" w14:textId="20B9F6C0" w:rsidR="003F6635" w:rsidRPr="00A21682" w:rsidRDefault="003F6635" w:rsidP="003F6635">
            <w:pPr>
              <w:pStyle w:val="TABLETEXT1"/>
              <w:rPr>
                <w:lang w:val="en-US"/>
              </w:rPr>
            </w:pPr>
            <w:r>
              <w:rPr>
                <w:lang w:val="en-US"/>
              </w:rPr>
              <w:t>The Project Status Report (PSR) includes project updates for discussion during regular meetings between DOH OHIP and ███████ teams.</w:t>
            </w:r>
          </w:p>
        </w:tc>
      </w:tr>
      <w:tr w:rsidR="003F6635" w:rsidRPr="00A21682" w14:paraId="1D359080" w14:textId="77777777" w:rsidTr="00047C4E">
        <w:trPr>
          <w:cantSplit/>
          <w:trHeight w:val="364"/>
        </w:trPr>
        <w:tc>
          <w:tcPr>
            <w:tcW w:w="2875" w:type="dxa"/>
          </w:tcPr>
          <w:p w14:paraId="2CE43786" w14:textId="77777777" w:rsidR="003F6635" w:rsidRPr="00A21682" w:rsidRDefault="003F6635" w:rsidP="003F6635">
            <w:pPr>
              <w:pStyle w:val="TABLETEXT1"/>
              <w:rPr>
                <w:lang w:val="en-US"/>
              </w:rPr>
            </w:pPr>
            <w:r>
              <w:rPr>
                <w:lang w:val="en-US"/>
              </w:rPr>
              <w:t>Quality Assurance</w:t>
            </w:r>
          </w:p>
        </w:tc>
        <w:tc>
          <w:tcPr>
            <w:tcW w:w="6480" w:type="dxa"/>
          </w:tcPr>
          <w:p w14:paraId="4A32E2DA" w14:textId="77777777" w:rsidR="003F6635" w:rsidRPr="00A21682" w:rsidRDefault="003F6635" w:rsidP="003F6635">
            <w:pPr>
              <w:pStyle w:val="TABLETEXT1"/>
              <w:rPr>
                <w:lang w:val="en-US"/>
              </w:rPr>
            </w:pPr>
            <w:r>
              <w:rPr>
                <w:lang w:val="en-US"/>
              </w:rPr>
              <w:t>Quality assurance is the process of performing planned, systematic activities to verify that the project is using the proper methods, templates, standards, and guidelines, as well as implementing the right processes to produce high-quality deliverables that satisfy project requirements.</w:t>
            </w:r>
          </w:p>
        </w:tc>
      </w:tr>
      <w:tr w:rsidR="003F6635" w:rsidRPr="00A21682" w14:paraId="4D0E9770" w14:textId="77777777" w:rsidTr="00047C4E">
        <w:trPr>
          <w:cantSplit/>
          <w:trHeight w:val="364"/>
        </w:trPr>
        <w:tc>
          <w:tcPr>
            <w:tcW w:w="2875" w:type="dxa"/>
          </w:tcPr>
          <w:p w14:paraId="2AF54708" w14:textId="77777777" w:rsidR="003F6635" w:rsidRPr="00A21682" w:rsidRDefault="003F6635" w:rsidP="003F6635">
            <w:pPr>
              <w:pStyle w:val="TABLETEXT1"/>
              <w:rPr>
                <w:lang w:val="en-US"/>
              </w:rPr>
            </w:pPr>
            <w:r>
              <w:rPr>
                <w:lang w:val="en-US"/>
              </w:rPr>
              <w:t>Responsibility Assignment Matrix (RACI)</w:t>
            </w:r>
          </w:p>
        </w:tc>
        <w:tc>
          <w:tcPr>
            <w:tcW w:w="6480" w:type="dxa"/>
          </w:tcPr>
          <w:p w14:paraId="1EB2D127" w14:textId="77777777" w:rsidR="003F6635" w:rsidRPr="00A21682" w:rsidRDefault="003F6635" w:rsidP="003F6635">
            <w:pPr>
              <w:pStyle w:val="TABLETEXT1"/>
              <w:rPr>
                <w:lang w:val="en-US"/>
              </w:rPr>
            </w:pPr>
            <w:r>
              <w:rPr>
                <w:lang w:val="en-US"/>
              </w:rPr>
              <w:t>A type of responsibility assignment matrix (RAM) in project management. In practice, it’s a simple spreadsheet or table that lists all stakeholders on a project and their level involvement in each task, denoted with the letters R, A, C or I. </w:t>
            </w:r>
          </w:p>
        </w:tc>
      </w:tr>
      <w:tr w:rsidR="003F6635" w:rsidRPr="00A21682" w14:paraId="1D3A422A" w14:textId="77777777" w:rsidTr="00047C4E">
        <w:trPr>
          <w:cantSplit/>
          <w:trHeight w:val="364"/>
        </w:trPr>
        <w:tc>
          <w:tcPr>
            <w:tcW w:w="2875" w:type="dxa"/>
          </w:tcPr>
          <w:p w14:paraId="43D48E76" w14:textId="77777777" w:rsidR="003F6635" w:rsidRPr="00A21682" w:rsidRDefault="003F6635" w:rsidP="003F6635">
            <w:pPr>
              <w:pStyle w:val="TABLETEXT1"/>
              <w:rPr>
                <w:lang w:val="en-US"/>
              </w:rPr>
            </w:pPr>
            <w:r>
              <w:rPr>
                <w:lang w:val="en-US"/>
              </w:rPr>
              <w:t>Requirements Management</w:t>
            </w:r>
          </w:p>
        </w:tc>
        <w:tc>
          <w:tcPr>
            <w:tcW w:w="6480" w:type="dxa"/>
          </w:tcPr>
          <w:p w14:paraId="4C6A187D" w14:textId="77777777" w:rsidR="003F6635" w:rsidRPr="00A21682" w:rsidRDefault="003F6635" w:rsidP="003F6635">
            <w:pPr>
              <w:pStyle w:val="TABLETEXT1"/>
              <w:rPr>
                <w:lang w:val="en-US"/>
              </w:rPr>
            </w:pPr>
            <w:r>
              <w:rPr>
                <w:lang w:val="en-US"/>
              </w:rPr>
              <w:t>Requirements management is the planning, execution, monitoring, and controlling of the work associated with requirements analysis and validation and the associated requirements process.</w:t>
            </w:r>
          </w:p>
        </w:tc>
      </w:tr>
      <w:tr w:rsidR="003F6635" w:rsidRPr="00A21682" w14:paraId="384C5FD7" w14:textId="77777777" w:rsidTr="00047C4E">
        <w:trPr>
          <w:cantSplit/>
          <w:trHeight w:val="364"/>
        </w:trPr>
        <w:tc>
          <w:tcPr>
            <w:tcW w:w="2875" w:type="dxa"/>
          </w:tcPr>
          <w:p w14:paraId="5F08F50F" w14:textId="77777777" w:rsidR="003F6635" w:rsidRPr="00A21682" w:rsidRDefault="003F6635" w:rsidP="003F6635">
            <w:pPr>
              <w:pStyle w:val="TABLETEXT1"/>
              <w:rPr>
                <w:lang w:val="en-US"/>
              </w:rPr>
            </w:pPr>
            <w:r>
              <w:rPr>
                <w:lang w:val="en-US"/>
              </w:rPr>
              <w:t>Requirements Traceability</w:t>
            </w:r>
          </w:p>
        </w:tc>
        <w:tc>
          <w:tcPr>
            <w:tcW w:w="6480" w:type="dxa"/>
          </w:tcPr>
          <w:p w14:paraId="75AE3C4D" w14:textId="77777777" w:rsidR="003F6635" w:rsidRPr="00A21682" w:rsidRDefault="003F6635" w:rsidP="003F6635">
            <w:pPr>
              <w:pStyle w:val="TABLETEXT1"/>
              <w:rPr>
                <w:lang w:val="en-US"/>
              </w:rPr>
            </w:pPr>
            <w:r>
              <w:rPr>
                <w:lang w:val="en-US"/>
              </w:rPr>
              <w:t>Requirements traceability is the process of documenting the links between the requirements &amp; the artifacts developed to implement &amp; verify those requirements.</w:t>
            </w:r>
          </w:p>
        </w:tc>
      </w:tr>
      <w:tr w:rsidR="003F6635" w:rsidRPr="00A21682" w14:paraId="5F897CA2" w14:textId="77777777" w:rsidTr="00047C4E">
        <w:trPr>
          <w:cantSplit/>
          <w:trHeight w:val="364"/>
        </w:trPr>
        <w:tc>
          <w:tcPr>
            <w:tcW w:w="2875" w:type="dxa"/>
          </w:tcPr>
          <w:p w14:paraId="65059D56" w14:textId="77777777" w:rsidR="003F6635" w:rsidRPr="00A21682" w:rsidRDefault="003F6635" w:rsidP="003F6635">
            <w:pPr>
              <w:pStyle w:val="TABLETEXT1"/>
              <w:rPr>
                <w:lang w:val="en-US"/>
              </w:rPr>
            </w:pPr>
            <w:r>
              <w:rPr>
                <w:lang w:val="en-US"/>
              </w:rPr>
              <w:t>Review Cycle</w:t>
            </w:r>
          </w:p>
        </w:tc>
        <w:tc>
          <w:tcPr>
            <w:tcW w:w="6480" w:type="dxa"/>
          </w:tcPr>
          <w:p w14:paraId="2371CB1A" w14:textId="77777777" w:rsidR="003F6635" w:rsidRPr="00A21682" w:rsidRDefault="003F6635" w:rsidP="003F6635">
            <w:pPr>
              <w:pStyle w:val="TABLETEXT1"/>
              <w:rPr>
                <w:lang w:val="en-US"/>
              </w:rPr>
            </w:pPr>
            <w:r>
              <w:rPr>
                <w:lang w:val="en-US"/>
              </w:rPr>
              <w:t xml:space="preserve">The cadence through which ███████ and OHIP will coordinate the initial deliverable, review, and re-submission process. </w:t>
            </w:r>
          </w:p>
        </w:tc>
      </w:tr>
      <w:tr w:rsidR="003F6635" w:rsidRPr="00A21682" w14:paraId="5821D690" w14:textId="77777777" w:rsidTr="00047C4E">
        <w:trPr>
          <w:cantSplit/>
          <w:trHeight w:val="364"/>
        </w:trPr>
        <w:tc>
          <w:tcPr>
            <w:tcW w:w="2875" w:type="dxa"/>
          </w:tcPr>
          <w:p w14:paraId="387F4B0A" w14:textId="77777777" w:rsidR="003F6635" w:rsidRPr="00A21682" w:rsidRDefault="003F6635" w:rsidP="003F6635">
            <w:pPr>
              <w:pStyle w:val="TABLETEXT1"/>
              <w:rPr>
                <w:lang w:val="en-US"/>
              </w:rPr>
            </w:pPr>
            <w:r>
              <w:rPr>
                <w:lang w:val="en-US"/>
              </w:rPr>
              <w:t>Risk</w:t>
            </w:r>
          </w:p>
        </w:tc>
        <w:tc>
          <w:tcPr>
            <w:tcW w:w="6480" w:type="dxa"/>
          </w:tcPr>
          <w:p w14:paraId="066E7F99" w14:textId="77777777" w:rsidR="003F6635" w:rsidRPr="00A21682" w:rsidRDefault="003F6635" w:rsidP="003F6635">
            <w:pPr>
              <w:pStyle w:val="TABLETEXT1"/>
              <w:rPr>
                <w:lang w:val="en-US"/>
              </w:rPr>
            </w:pPr>
            <w:r>
              <w:rPr>
                <w:lang w:val="en-US"/>
              </w:rPr>
              <w:t xml:space="preserve">An event that has a probability of occurrence and if it does occur, will impact the project schedule, scope, budget, or quality. </w:t>
            </w:r>
          </w:p>
        </w:tc>
      </w:tr>
      <w:tr w:rsidR="003F6635" w:rsidRPr="00A21682" w14:paraId="6B0029F9" w14:textId="77777777" w:rsidTr="00047C4E">
        <w:trPr>
          <w:cantSplit/>
          <w:trHeight w:val="364"/>
        </w:trPr>
        <w:tc>
          <w:tcPr>
            <w:tcW w:w="2875" w:type="dxa"/>
          </w:tcPr>
          <w:p w14:paraId="2531452E" w14:textId="77777777" w:rsidR="003F6635" w:rsidRPr="00A21682" w:rsidRDefault="003F6635" w:rsidP="003F6635">
            <w:pPr>
              <w:pStyle w:val="TABLETEXT1"/>
              <w:rPr>
                <w:lang w:val="en-US"/>
              </w:rPr>
            </w:pPr>
            <w:r>
              <w:rPr>
                <w:lang w:val="en-US"/>
              </w:rPr>
              <w:t>Risk and Issue Log</w:t>
            </w:r>
          </w:p>
        </w:tc>
        <w:tc>
          <w:tcPr>
            <w:tcW w:w="6480" w:type="dxa"/>
          </w:tcPr>
          <w:p w14:paraId="6E37BAA4" w14:textId="65067169" w:rsidR="003F6635" w:rsidRPr="00A21682" w:rsidRDefault="003F6635" w:rsidP="003F6635">
            <w:pPr>
              <w:pStyle w:val="TABLETEXT1"/>
              <w:rPr>
                <w:lang w:val="en-US"/>
              </w:rPr>
            </w:pPr>
            <w:r>
              <w:rPr>
                <w:lang w:val="en-US"/>
              </w:rPr>
              <w:t xml:space="preserve">A Risk and Issue Log is a shared document to track potential risks and ongoing issues throughout project life cycle. </w:t>
            </w:r>
          </w:p>
        </w:tc>
      </w:tr>
      <w:tr w:rsidR="003F6635" w:rsidRPr="00A21682" w14:paraId="35850DA0" w14:textId="77777777" w:rsidTr="00047C4E">
        <w:trPr>
          <w:cantSplit/>
          <w:trHeight w:val="364"/>
        </w:trPr>
        <w:tc>
          <w:tcPr>
            <w:tcW w:w="2875" w:type="dxa"/>
          </w:tcPr>
          <w:p w14:paraId="0057342A" w14:textId="77777777" w:rsidR="003F6635" w:rsidRPr="00A21682" w:rsidRDefault="003F6635" w:rsidP="003F6635">
            <w:pPr>
              <w:pStyle w:val="TABLETEXT1"/>
              <w:rPr>
                <w:lang w:val="en-US"/>
              </w:rPr>
            </w:pPr>
            <w:r>
              <w:rPr>
                <w:lang w:val="en-US"/>
              </w:rPr>
              <w:t>Risk Response Plan</w:t>
            </w:r>
          </w:p>
        </w:tc>
        <w:tc>
          <w:tcPr>
            <w:tcW w:w="6480" w:type="dxa"/>
          </w:tcPr>
          <w:p w14:paraId="2C78E8BB" w14:textId="77777777" w:rsidR="003F6635" w:rsidRPr="00A21682" w:rsidRDefault="003F6635" w:rsidP="003F6635">
            <w:pPr>
              <w:pStyle w:val="TABLETEXT1"/>
              <w:rPr>
                <w:lang w:val="en-US"/>
              </w:rPr>
            </w:pPr>
            <w:r>
              <w:rPr>
                <w:lang w:val="en-US"/>
              </w:rPr>
              <w:t>A narrative documented in the ALM tool for a specific risk to document mitigation steps as well as contingency steps.</w:t>
            </w:r>
          </w:p>
        </w:tc>
      </w:tr>
      <w:tr w:rsidR="003F6635" w:rsidRPr="00A21682" w14:paraId="2ED1C6B6" w14:textId="77777777" w:rsidTr="00047C4E">
        <w:trPr>
          <w:cantSplit/>
          <w:trHeight w:val="364"/>
        </w:trPr>
        <w:tc>
          <w:tcPr>
            <w:tcW w:w="2875" w:type="dxa"/>
          </w:tcPr>
          <w:p w14:paraId="4C68841F" w14:textId="77777777" w:rsidR="003F6635" w:rsidRPr="00A21682" w:rsidRDefault="003F6635" w:rsidP="003F6635">
            <w:pPr>
              <w:pStyle w:val="TABLETEXT1"/>
              <w:rPr>
                <w:lang w:val="en-US"/>
              </w:rPr>
            </w:pPr>
            <w:r>
              <w:rPr>
                <w:lang w:val="en-US"/>
              </w:rPr>
              <w:t>Schedule Management</w:t>
            </w:r>
          </w:p>
        </w:tc>
        <w:tc>
          <w:tcPr>
            <w:tcW w:w="6480" w:type="dxa"/>
          </w:tcPr>
          <w:p w14:paraId="60A180A9" w14:textId="77777777" w:rsidR="003F6635" w:rsidRPr="00A21682" w:rsidRDefault="003F6635" w:rsidP="003F6635">
            <w:pPr>
              <w:pStyle w:val="TABLETEXT1"/>
              <w:rPr>
                <w:lang w:val="en-US"/>
              </w:rPr>
            </w:pPr>
            <w:r>
              <w:rPr>
                <w:lang w:val="en-US"/>
              </w:rPr>
              <w:t>Schedule Management identifies a scheduling method and Microsoft Project sets the format and establishes criteria for developing and controlling the project schedule.</w:t>
            </w:r>
          </w:p>
        </w:tc>
      </w:tr>
      <w:tr w:rsidR="003F6635" w:rsidRPr="00A21682" w14:paraId="096B02B7" w14:textId="77777777" w:rsidTr="00047C4E">
        <w:trPr>
          <w:cantSplit/>
          <w:trHeight w:val="364"/>
        </w:trPr>
        <w:tc>
          <w:tcPr>
            <w:tcW w:w="2875" w:type="dxa"/>
          </w:tcPr>
          <w:p w14:paraId="40C0FC80" w14:textId="77777777" w:rsidR="003F6635" w:rsidRPr="00A21682" w:rsidRDefault="003F6635" w:rsidP="003F6635">
            <w:pPr>
              <w:pStyle w:val="TABLETEXT1"/>
              <w:rPr>
                <w:lang w:val="en-US"/>
              </w:rPr>
            </w:pPr>
            <w:r>
              <w:rPr>
                <w:lang w:val="en-US"/>
              </w:rPr>
              <w:t>Slack</w:t>
            </w:r>
          </w:p>
        </w:tc>
        <w:tc>
          <w:tcPr>
            <w:tcW w:w="6480" w:type="dxa"/>
          </w:tcPr>
          <w:p w14:paraId="46A37FCF" w14:textId="77777777" w:rsidR="003F6635" w:rsidRPr="00A21682" w:rsidRDefault="003F6635" w:rsidP="003F6635">
            <w:pPr>
              <w:pStyle w:val="TABLETEXT1"/>
              <w:rPr>
                <w:lang w:val="en-US"/>
              </w:rPr>
            </w:pPr>
            <w:r>
              <w:rPr>
                <w:lang w:val="en-US"/>
              </w:rPr>
              <w:t>Slack is the amount of time a task can start early (positive slack) or slip (negative slack) before it affects another task or the project’s finish date.</w:t>
            </w:r>
          </w:p>
        </w:tc>
      </w:tr>
      <w:tr w:rsidR="002F3F5C" w:rsidRPr="00A21682" w14:paraId="34126C8F" w14:textId="77777777" w:rsidTr="00047C4E">
        <w:trPr>
          <w:cantSplit/>
          <w:trHeight w:val="364"/>
        </w:trPr>
        <w:tc>
          <w:tcPr>
            <w:tcW w:w="2875" w:type="dxa"/>
          </w:tcPr>
          <w:p w14:paraId="7681BDDF" w14:textId="5F9252E4" w:rsidR="002F3F5C" w:rsidRPr="00A21682" w:rsidRDefault="002F3F5C" w:rsidP="003F6635">
            <w:pPr>
              <w:pStyle w:val="TABLETEXT1"/>
              <w:rPr>
                <w:lang w:val="en-US"/>
              </w:rPr>
            </w:pPr>
            <w:r>
              <w:rPr>
                <w:lang w:val="en-US"/>
              </w:rPr>
              <w:lastRenderedPageBreak/>
              <w:t>Solution Exploration</w:t>
            </w:r>
          </w:p>
        </w:tc>
        <w:tc>
          <w:tcPr>
            <w:tcW w:w="6480" w:type="dxa"/>
          </w:tcPr>
          <w:p w14:paraId="6A5E05D3" w14:textId="2B1D783B" w:rsidR="002F3F5C" w:rsidRPr="00A21682" w:rsidRDefault="00107DE1" w:rsidP="003F6635">
            <w:pPr>
              <w:pStyle w:val="TABLETEXT1"/>
              <w:rPr>
                <w:lang w:val="en-US"/>
              </w:rPr>
            </w:pPr>
            <w:r>
              <w:rPr>
                <w:lang w:val="en-US"/>
              </w:rPr>
              <w:t>Solution Exploration allows stakeholders/end users to validate that implementation of the design aligns with the JADs and provide the ability to verify that the configuration of the solution matches the policy definitions. This will ultimately allow DOH to provide feedback and be comfortable with the system prior to the pre-UAT phase of the project.</w:t>
            </w:r>
          </w:p>
        </w:tc>
      </w:tr>
      <w:tr w:rsidR="003F6635" w:rsidRPr="00A21682" w14:paraId="62C8E79E" w14:textId="77777777" w:rsidTr="00047C4E">
        <w:trPr>
          <w:cantSplit/>
          <w:trHeight w:val="364"/>
        </w:trPr>
        <w:tc>
          <w:tcPr>
            <w:tcW w:w="2875" w:type="dxa"/>
          </w:tcPr>
          <w:p w14:paraId="6953EA23" w14:textId="77777777" w:rsidR="003F6635" w:rsidRPr="00A21682" w:rsidRDefault="003F6635" w:rsidP="003F6635">
            <w:pPr>
              <w:pStyle w:val="TABLETEXT1"/>
              <w:rPr>
                <w:lang w:val="en-US"/>
              </w:rPr>
            </w:pPr>
            <w:r>
              <w:rPr>
                <w:lang w:val="en-US"/>
              </w:rPr>
              <w:t>Stakeholders</w:t>
            </w:r>
          </w:p>
        </w:tc>
        <w:tc>
          <w:tcPr>
            <w:tcW w:w="6480" w:type="dxa"/>
          </w:tcPr>
          <w:p w14:paraId="534A41BE" w14:textId="0A6F06AF" w:rsidR="003F6635" w:rsidRPr="00A21682" w:rsidRDefault="003F6635" w:rsidP="003F6635">
            <w:pPr>
              <w:pStyle w:val="TABLETEXT1"/>
              <w:rPr>
                <w:lang w:val="en-US"/>
              </w:rPr>
            </w:pPr>
            <w:r>
              <w:rPr>
                <w:lang w:val="en-US"/>
              </w:rPr>
              <w:t>Stakeholders are defined as a person or group of people, internal or external to the organization that have a vested interest in the project and are involved in and/or impacted by the Continuing Medicaid Eligibility Modernization project.</w:t>
            </w:r>
          </w:p>
        </w:tc>
      </w:tr>
      <w:tr w:rsidR="003F6635" w:rsidRPr="00A21682" w14:paraId="47B93899" w14:textId="77777777" w:rsidTr="00047C4E">
        <w:trPr>
          <w:cantSplit/>
          <w:trHeight w:val="364"/>
        </w:trPr>
        <w:tc>
          <w:tcPr>
            <w:tcW w:w="2875" w:type="dxa"/>
          </w:tcPr>
          <w:p w14:paraId="506A912F" w14:textId="77777777" w:rsidR="003F6635" w:rsidRPr="00A21682" w:rsidRDefault="003F6635" w:rsidP="003F6635">
            <w:pPr>
              <w:pStyle w:val="TABLETEXT1"/>
              <w:rPr>
                <w:lang w:val="en-US"/>
              </w:rPr>
            </w:pPr>
            <w:r>
              <w:rPr>
                <w:lang w:val="en-US"/>
              </w:rPr>
              <w:t>Transmittal Repository</w:t>
            </w:r>
          </w:p>
        </w:tc>
        <w:tc>
          <w:tcPr>
            <w:tcW w:w="6480" w:type="dxa"/>
          </w:tcPr>
          <w:p w14:paraId="23508A6C" w14:textId="304F9407" w:rsidR="003F6635" w:rsidRPr="00A21682" w:rsidRDefault="003F6635" w:rsidP="003F6635">
            <w:pPr>
              <w:pStyle w:val="TABLETEXT1"/>
              <w:rPr>
                <w:lang w:val="en-US"/>
              </w:rPr>
            </w:pPr>
            <w:r>
              <w:rPr>
                <w:lang w:val="en-US"/>
              </w:rPr>
              <w:t>A folder that is located on the DOH SharePoint and is used for storing and disseminating Transmittals between ███████ and DOH OHIP. This folder will include:</w:t>
            </w:r>
          </w:p>
          <w:p w14:paraId="63DB1C9C" w14:textId="77777777" w:rsidR="003F6635" w:rsidRPr="00635C9B" w:rsidRDefault="003F6635" w:rsidP="0031550A">
            <w:pPr>
              <w:pStyle w:val="BulletNEW"/>
            </w:pPr>
            <w:r>
              <w:t>Master Transmittal Tracker Spreadsheet</w:t>
            </w:r>
          </w:p>
          <w:p w14:paraId="67E58288" w14:textId="0463615A" w:rsidR="003F6635" w:rsidRPr="00635C9B" w:rsidRDefault="003F6635" w:rsidP="0031550A">
            <w:pPr>
              <w:pStyle w:val="BulletNEW"/>
            </w:pPr>
            <w:r>
              <w:t>DLTT Transmittal Subfolder: All transmittals from Deloitte to DOS are stored in this subfolder</w:t>
            </w:r>
          </w:p>
          <w:p w14:paraId="6ACD90E4" w14:textId="739A6227" w:rsidR="003F6635" w:rsidRPr="00635C9B" w:rsidRDefault="003F6635" w:rsidP="0031550A">
            <w:pPr>
              <w:pStyle w:val="BulletNEW"/>
            </w:pPr>
            <w:r>
              <w:t>MECM Transmittal Subfolder: All transmittals from DOS to Vendor are stored in this subfolder</w:t>
            </w:r>
          </w:p>
          <w:p w14:paraId="6B3C73D6" w14:textId="04B475AC" w:rsidR="003F6635" w:rsidRPr="00635C9B" w:rsidRDefault="003F6635" w:rsidP="0031550A">
            <w:pPr>
              <w:pStyle w:val="BulletNEW"/>
            </w:pPr>
            <w:r>
              <w:t>Transmittal Templates Subfolder: All transmittal templates are maintained and saved in this subfolder</w:t>
            </w:r>
          </w:p>
          <w:p w14:paraId="0934C012" w14:textId="77777777" w:rsidR="003F6635" w:rsidRPr="00635C9B" w:rsidRDefault="003F6635" w:rsidP="0031550A">
            <w:pPr>
              <w:pStyle w:val="BulletNEW"/>
            </w:pPr>
            <w:r>
              <w:t>Transmittal Process Documents Subfolder: All process related documentation and training materials are maintained and saved in this subfolder.</w:t>
            </w:r>
          </w:p>
        </w:tc>
      </w:tr>
      <w:tr w:rsidR="003F6635" w:rsidRPr="00A21682" w14:paraId="19B7CBF8" w14:textId="77777777" w:rsidTr="00047C4E">
        <w:trPr>
          <w:cantSplit/>
          <w:trHeight w:val="364"/>
        </w:trPr>
        <w:tc>
          <w:tcPr>
            <w:tcW w:w="2875" w:type="dxa"/>
          </w:tcPr>
          <w:p w14:paraId="27BD190E" w14:textId="77777777" w:rsidR="003F6635" w:rsidRPr="00A21682" w:rsidRDefault="003F6635" w:rsidP="003F6635">
            <w:pPr>
              <w:pStyle w:val="TABLETEXT1"/>
              <w:rPr>
                <w:lang w:val="en-US"/>
              </w:rPr>
            </w:pPr>
            <w:r>
              <w:rPr>
                <w:lang w:val="en-US"/>
              </w:rPr>
              <w:t>Variance</w:t>
            </w:r>
          </w:p>
        </w:tc>
        <w:tc>
          <w:tcPr>
            <w:tcW w:w="6480" w:type="dxa"/>
          </w:tcPr>
          <w:p w14:paraId="1C76EEE7" w14:textId="77777777" w:rsidR="003F6635" w:rsidRPr="00A21682" w:rsidRDefault="003F6635" w:rsidP="003F6635">
            <w:pPr>
              <w:pStyle w:val="TABLETEXT1"/>
              <w:rPr>
                <w:lang w:val="en-US"/>
              </w:rPr>
            </w:pPr>
            <w:r>
              <w:rPr>
                <w:lang w:val="en-US"/>
              </w:rPr>
              <w:t>A variance occurs when project execution deviates from the Work Plan.</w:t>
            </w:r>
          </w:p>
        </w:tc>
      </w:tr>
      <w:tr w:rsidR="002B2E4D" w:rsidRPr="00A21682" w14:paraId="50F4C884" w14:textId="77777777">
        <w:trPr>
          <w:cantSplit/>
          <w:trHeight w:val="364"/>
        </w:trPr>
        <w:tc>
          <w:tcPr>
            <w:tcW w:w="2875" w:type="dxa"/>
            <w:vAlign w:val="center"/>
          </w:tcPr>
          <w:p w14:paraId="717BAF85" w14:textId="033DB8FB" w:rsidR="002B2E4D" w:rsidRPr="00A21682" w:rsidRDefault="002B2E4D" w:rsidP="002B2E4D">
            <w:pPr>
              <w:pStyle w:val="TABLETEXT1"/>
              <w:rPr>
                <w:lang w:val="en-US"/>
              </w:rPr>
            </w:pPr>
            <w:r>
              <w:rPr>
                <w:rFonts w:cs="Calibri"/>
                <w:color w:val="000000"/>
                <w:szCs w:val="18"/>
                <w:lang w:val="en-US"/>
              </w:rPr>
              <w:t>Wave</w:t>
            </w:r>
          </w:p>
        </w:tc>
        <w:tc>
          <w:tcPr>
            <w:tcW w:w="6480" w:type="dxa"/>
            <w:vAlign w:val="center"/>
          </w:tcPr>
          <w:p w14:paraId="31096858" w14:textId="71EE2FED" w:rsidR="002B2E4D" w:rsidRPr="00A21682" w:rsidRDefault="002B2E4D" w:rsidP="002B2E4D">
            <w:pPr>
              <w:pStyle w:val="TABLETEXT1"/>
              <w:rPr>
                <w:lang w:val="en-US"/>
              </w:rPr>
            </w:pPr>
            <w:r>
              <w:rPr>
                <w:rFonts w:cs="Calibri"/>
                <w:color w:val="000000"/>
                <w:szCs w:val="18"/>
                <w:lang w:val="en-US"/>
              </w:rPr>
              <w:t>A set of requirements that needs to be met during a rolling planning with interactive design, development, and implementation of a system.</w:t>
            </w:r>
          </w:p>
        </w:tc>
      </w:tr>
      <w:tr w:rsidR="003F6635" w:rsidRPr="00A21682" w14:paraId="68325A87" w14:textId="77777777" w:rsidTr="00047C4E">
        <w:trPr>
          <w:cantSplit/>
          <w:trHeight w:val="364"/>
        </w:trPr>
        <w:tc>
          <w:tcPr>
            <w:tcW w:w="2875" w:type="dxa"/>
          </w:tcPr>
          <w:p w14:paraId="3C0B0CAA" w14:textId="77777777" w:rsidR="003F6635" w:rsidRPr="00A21682" w:rsidRDefault="003F6635" w:rsidP="003F6635">
            <w:pPr>
              <w:pStyle w:val="TABLETEXT1"/>
              <w:rPr>
                <w:lang w:val="en-US"/>
              </w:rPr>
            </w:pPr>
            <w:r>
              <w:rPr>
                <w:lang w:val="en-US"/>
              </w:rPr>
              <w:t>Work Breakdown Structure (WBS)</w:t>
            </w:r>
          </w:p>
        </w:tc>
        <w:tc>
          <w:tcPr>
            <w:tcW w:w="6480" w:type="dxa"/>
          </w:tcPr>
          <w:p w14:paraId="0EF1AACE" w14:textId="77777777" w:rsidR="003F6635" w:rsidRPr="00A21682" w:rsidRDefault="003F6635" w:rsidP="00CD7944">
            <w:pPr>
              <w:pStyle w:val="TABLETEXT1"/>
              <w:keepNext/>
              <w:rPr>
                <w:lang w:val="en-US"/>
              </w:rPr>
            </w:pPr>
            <w:r>
              <w:rPr>
                <w:lang w:val="en-US"/>
              </w:rPr>
              <w:t>The WBS is used to direct project execution and delivery of the Wave deliverables contributing to the project solution.</w:t>
            </w:r>
          </w:p>
        </w:tc>
      </w:tr>
    </w:tbl>
    <w:p w14:paraId="588E7C7F" w14:textId="47B190B3" w:rsidR="00D14A70" w:rsidRPr="00A21682" w:rsidRDefault="00A1006E" w:rsidP="00A1006E">
      <w:pPr>
        <w:pStyle w:val="Caption"/>
        <w:rPr>
          <w:noProof w:val="0"/>
        </w:rPr>
      </w:pPr>
      <w:bookmarkStart w:id="4370" w:name="_Toc19287522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w:t>
      </w:r>
      <w:r>
        <w:rPr>
          <w:noProof w:val="0"/>
        </w:rPr>
        <w:fldChar w:fldCharType="end"/>
      </w:r>
      <w:r>
        <w:rPr>
          <w:noProof w:val="0"/>
        </w:rPr>
        <w:t>: Terms and Definitions</w:t>
      </w:r>
      <w:bookmarkEnd w:id="4370"/>
    </w:p>
    <w:p w14:paraId="061C249D" w14:textId="77777777" w:rsidR="00E001A2" w:rsidRPr="00A21682" w:rsidRDefault="00E001A2" w:rsidP="00E001A2">
      <w:pPr>
        <w:rPr>
          <w:rFonts w:ascii="Verdana" w:hAnsi="Verdana"/>
          <w:sz w:val="18"/>
        </w:rPr>
      </w:pPr>
      <w:r>
        <w:rPr>
          <w:rFonts w:ascii="Verdana" w:hAnsi="Verdana"/>
          <w:sz w:val="18"/>
        </w:rPr>
        <w:br w:type="page"/>
      </w:r>
    </w:p>
    <w:p w14:paraId="46D793E7" w14:textId="77777777" w:rsidR="00D14A70" w:rsidRPr="00A21682" w:rsidRDefault="00D14A70" w:rsidP="00E001A2">
      <w:pPr>
        <w:rPr>
          <w:rFonts w:ascii="Verdana" w:hAnsi="Verdana"/>
          <w:sz w:val="18"/>
        </w:rPr>
      </w:pPr>
    </w:p>
    <w:p w14:paraId="497D27A3" w14:textId="689E873B" w:rsidR="00E001A2" w:rsidRPr="00A21682" w:rsidRDefault="00E001A2" w:rsidP="00CD7944">
      <w:pPr>
        <w:pStyle w:val="Heading2"/>
      </w:pPr>
      <w:bookmarkStart w:id="4371" w:name="_Toc154132983"/>
      <w:bookmarkStart w:id="4372" w:name="_Toc177119666"/>
      <w:bookmarkStart w:id="4373" w:name="_Toc185952930"/>
      <w:bookmarkStart w:id="4374" w:name="_Toc192875029"/>
      <w:r>
        <w:t>Appendix B: Acronyms</w:t>
      </w:r>
      <w:bookmarkEnd w:id="4371"/>
      <w:bookmarkEnd w:id="4372"/>
      <w:bookmarkEnd w:id="4373"/>
      <w:bookmarkEnd w:id="4374"/>
    </w:p>
    <w:p w14:paraId="32889C58" w14:textId="182312C5" w:rsidR="00E001A2" w:rsidRPr="00A21682" w:rsidRDefault="00E001A2" w:rsidP="00E001A2">
      <w:pPr>
        <w:pStyle w:val="NormalNEW"/>
        <w:rPr>
          <w:shd w:val="clear" w:color="auto" w:fill="FFFFFF"/>
          <w:lang w:val="en-US"/>
        </w:rPr>
      </w:pPr>
      <w:r>
        <w:rPr>
          <w:shd w:val="clear" w:color="auto" w:fill="FFFFFF"/>
          <w:lang w:val="en-US"/>
        </w:rPr>
        <w:t>Acronyms used in this document are listed below for reference.</w:t>
      </w:r>
    </w:p>
    <w:tbl>
      <w:tblPr>
        <w:tblStyle w:val="TableGrid-None10"/>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7"/>
        <w:gridCol w:w="7653"/>
      </w:tblGrid>
      <w:tr w:rsidR="00E001A2" w:rsidRPr="00A21682" w14:paraId="35103A39" w14:textId="77777777" w:rsidTr="00541FC2">
        <w:trPr>
          <w:trHeight w:val="20"/>
          <w:tblHeader/>
        </w:trPr>
        <w:tc>
          <w:tcPr>
            <w:tcW w:w="1707" w:type="dxa"/>
            <w:tcBorders>
              <w:right w:val="single" w:sz="2" w:space="0" w:color="FFFFFF" w:themeColor="background1"/>
            </w:tcBorders>
            <w:shd w:val="clear" w:color="auto" w:fill="000000" w:themeFill="text1"/>
          </w:tcPr>
          <w:p w14:paraId="3DE2A4CD" w14:textId="77777777" w:rsidR="00E001A2" w:rsidRPr="00A21682" w:rsidRDefault="00E001A2" w:rsidP="00047C4E">
            <w:pPr>
              <w:pStyle w:val="TABLEHEADINGNEW"/>
            </w:pPr>
            <w:r>
              <w:t>Acronym</w:t>
            </w:r>
          </w:p>
        </w:tc>
        <w:tc>
          <w:tcPr>
            <w:tcW w:w="7653" w:type="dxa"/>
            <w:tcBorders>
              <w:left w:val="single" w:sz="2" w:space="0" w:color="FFFFFF" w:themeColor="background1"/>
            </w:tcBorders>
            <w:shd w:val="clear" w:color="auto" w:fill="000000" w:themeFill="text1"/>
            <w:noWrap/>
          </w:tcPr>
          <w:p w14:paraId="3AD9153B" w14:textId="77777777" w:rsidR="00E001A2" w:rsidRPr="00A21682" w:rsidRDefault="00E001A2" w:rsidP="00047C4E">
            <w:pPr>
              <w:pStyle w:val="TABLEHEADINGNEW"/>
            </w:pPr>
            <w:r>
              <w:t>Term</w:t>
            </w:r>
          </w:p>
        </w:tc>
      </w:tr>
      <w:tr w:rsidR="000A5AD7" w:rsidRPr="00A21682" w14:paraId="14C6F5E2" w14:textId="77777777">
        <w:trPr>
          <w:trHeight w:val="20"/>
        </w:trPr>
        <w:tc>
          <w:tcPr>
            <w:tcW w:w="1707" w:type="dxa"/>
            <w:vAlign w:val="center"/>
          </w:tcPr>
          <w:p w14:paraId="4A96629D" w14:textId="622F4FC4" w:rsidR="000A5AD7" w:rsidRPr="00A21682" w:rsidRDefault="000A5AD7" w:rsidP="000A5AD7">
            <w:pPr>
              <w:pStyle w:val="TABLETEXT1"/>
              <w:rPr>
                <w:lang w:val="en-US"/>
              </w:rPr>
            </w:pPr>
            <w:r>
              <w:rPr>
                <w:rFonts w:cs="Calibri"/>
                <w:color w:val="000000"/>
                <w:szCs w:val="18"/>
                <w:lang w:val="en-US"/>
              </w:rPr>
              <w:t>ACA</w:t>
            </w:r>
          </w:p>
        </w:tc>
        <w:tc>
          <w:tcPr>
            <w:tcW w:w="7653" w:type="dxa"/>
            <w:vAlign w:val="center"/>
          </w:tcPr>
          <w:p w14:paraId="06520CF0" w14:textId="37BFC0B7" w:rsidR="000A5AD7" w:rsidRPr="00A21682" w:rsidRDefault="000A5AD7" w:rsidP="000A5AD7">
            <w:pPr>
              <w:pStyle w:val="TABLETEXT1"/>
              <w:rPr>
                <w:lang w:val="en-US"/>
              </w:rPr>
            </w:pPr>
            <w:r>
              <w:rPr>
                <w:rFonts w:cs="Calibri"/>
                <w:color w:val="000000"/>
                <w:szCs w:val="18"/>
                <w:lang w:val="en-US"/>
              </w:rPr>
              <w:t>Affordable Care Act</w:t>
            </w:r>
          </w:p>
        </w:tc>
      </w:tr>
      <w:tr w:rsidR="000A5AD7" w:rsidRPr="00A21682" w14:paraId="4E9CFF80" w14:textId="77777777">
        <w:trPr>
          <w:trHeight w:val="20"/>
        </w:trPr>
        <w:tc>
          <w:tcPr>
            <w:tcW w:w="1707" w:type="dxa"/>
            <w:vAlign w:val="center"/>
          </w:tcPr>
          <w:p w14:paraId="2FD39666" w14:textId="077DDFB5" w:rsidR="000A5AD7" w:rsidRPr="00A21682" w:rsidRDefault="000A5AD7" w:rsidP="000A5AD7">
            <w:pPr>
              <w:pStyle w:val="TABLETEXT1"/>
              <w:rPr>
                <w:lang w:val="en-US"/>
              </w:rPr>
            </w:pPr>
            <w:r>
              <w:rPr>
                <w:rFonts w:cs="Calibri"/>
                <w:color w:val="000000"/>
                <w:szCs w:val="18"/>
                <w:lang w:val="en-US"/>
              </w:rPr>
              <w:t>AI</w:t>
            </w:r>
          </w:p>
        </w:tc>
        <w:tc>
          <w:tcPr>
            <w:tcW w:w="7653" w:type="dxa"/>
            <w:vAlign w:val="center"/>
          </w:tcPr>
          <w:p w14:paraId="633DA2D7" w14:textId="15028854" w:rsidR="000A5AD7" w:rsidRPr="00A21682" w:rsidRDefault="000A5AD7" w:rsidP="000A5AD7">
            <w:pPr>
              <w:pStyle w:val="TABLETEXT1"/>
              <w:rPr>
                <w:lang w:val="en-US"/>
              </w:rPr>
            </w:pPr>
            <w:r>
              <w:rPr>
                <w:rFonts w:cs="Calibri"/>
                <w:color w:val="000000"/>
                <w:szCs w:val="18"/>
                <w:lang w:val="en-US"/>
              </w:rPr>
              <w:t>Action Item</w:t>
            </w:r>
          </w:p>
        </w:tc>
      </w:tr>
      <w:tr w:rsidR="000A5AD7" w:rsidRPr="00A21682" w14:paraId="24D6AC67" w14:textId="77777777">
        <w:trPr>
          <w:trHeight w:val="20"/>
        </w:trPr>
        <w:tc>
          <w:tcPr>
            <w:tcW w:w="1707" w:type="dxa"/>
            <w:vAlign w:val="center"/>
          </w:tcPr>
          <w:p w14:paraId="7802B2D4" w14:textId="0C0A2A04" w:rsidR="000A5AD7" w:rsidRPr="00A21682" w:rsidRDefault="000A5AD7" w:rsidP="000A5AD7">
            <w:pPr>
              <w:pStyle w:val="TABLETEXT1"/>
              <w:rPr>
                <w:lang w:val="en-US"/>
              </w:rPr>
            </w:pPr>
            <w:r>
              <w:rPr>
                <w:rFonts w:cs="Calibri"/>
                <w:color w:val="000000"/>
                <w:szCs w:val="18"/>
                <w:lang w:val="en-US"/>
              </w:rPr>
              <w:t>ALM</w:t>
            </w:r>
          </w:p>
        </w:tc>
        <w:tc>
          <w:tcPr>
            <w:tcW w:w="7653" w:type="dxa"/>
            <w:vAlign w:val="center"/>
          </w:tcPr>
          <w:p w14:paraId="1A936D59" w14:textId="3671CDCB" w:rsidR="000A5AD7" w:rsidRPr="00A21682" w:rsidRDefault="000A5AD7" w:rsidP="000A5AD7">
            <w:pPr>
              <w:pStyle w:val="TABLETEXT1"/>
              <w:rPr>
                <w:lang w:val="en-US"/>
              </w:rPr>
            </w:pPr>
            <w:r>
              <w:rPr>
                <w:rFonts w:cs="Calibri"/>
                <w:color w:val="000000"/>
                <w:szCs w:val="18"/>
                <w:lang w:val="en-US"/>
              </w:rPr>
              <w:t>Application Lifecycle Management</w:t>
            </w:r>
          </w:p>
        </w:tc>
      </w:tr>
      <w:tr w:rsidR="000A5AD7" w:rsidRPr="00A21682" w14:paraId="48553B99" w14:textId="77777777">
        <w:trPr>
          <w:trHeight w:val="20"/>
        </w:trPr>
        <w:tc>
          <w:tcPr>
            <w:tcW w:w="1707" w:type="dxa"/>
            <w:vAlign w:val="center"/>
          </w:tcPr>
          <w:p w14:paraId="5AA0A051" w14:textId="1BACDF19" w:rsidR="000A5AD7" w:rsidRPr="00A21682" w:rsidRDefault="000A5AD7" w:rsidP="000A5AD7">
            <w:pPr>
              <w:pStyle w:val="TABLETEXT1"/>
              <w:rPr>
                <w:lang w:val="en-US"/>
              </w:rPr>
            </w:pPr>
            <w:r>
              <w:rPr>
                <w:rFonts w:cs="Calibri"/>
                <w:color w:val="000000"/>
                <w:szCs w:val="18"/>
                <w:lang w:val="en-US"/>
              </w:rPr>
              <w:t>AMI</w:t>
            </w:r>
          </w:p>
        </w:tc>
        <w:tc>
          <w:tcPr>
            <w:tcW w:w="7653" w:type="dxa"/>
            <w:vAlign w:val="center"/>
          </w:tcPr>
          <w:p w14:paraId="5F332668" w14:textId="2198D041" w:rsidR="000A5AD7" w:rsidRPr="00A21682" w:rsidRDefault="000A5AD7" w:rsidP="000A5AD7">
            <w:pPr>
              <w:pStyle w:val="TABLETEXT1"/>
              <w:rPr>
                <w:lang w:val="en-US"/>
              </w:rPr>
            </w:pPr>
            <w:r>
              <w:rPr>
                <w:rFonts w:cs="Calibri"/>
                <w:color w:val="000000"/>
                <w:szCs w:val="18"/>
                <w:lang w:val="en-US"/>
              </w:rPr>
              <w:t>Amazon Machine Image</w:t>
            </w:r>
          </w:p>
        </w:tc>
      </w:tr>
      <w:tr w:rsidR="000A5AD7" w:rsidRPr="00A21682" w14:paraId="509294E7" w14:textId="77777777">
        <w:trPr>
          <w:trHeight w:val="20"/>
        </w:trPr>
        <w:tc>
          <w:tcPr>
            <w:tcW w:w="1707" w:type="dxa"/>
            <w:vAlign w:val="center"/>
          </w:tcPr>
          <w:p w14:paraId="6A269B84" w14:textId="2E346B3B" w:rsidR="000A5AD7" w:rsidRPr="00A21682" w:rsidRDefault="000A5AD7" w:rsidP="000A5AD7">
            <w:pPr>
              <w:pStyle w:val="TABLETEXT1"/>
              <w:rPr>
                <w:lang w:val="en-US"/>
              </w:rPr>
            </w:pPr>
            <w:r>
              <w:rPr>
                <w:rFonts w:cs="Calibri"/>
                <w:color w:val="000000"/>
                <w:szCs w:val="18"/>
                <w:lang w:val="en-US"/>
              </w:rPr>
              <w:t>ARB</w:t>
            </w:r>
          </w:p>
        </w:tc>
        <w:tc>
          <w:tcPr>
            <w:tcW w:w="7653" w:type="dxa"/>
            <w:vAlign w:val="center"/>
          </w:tcPr>
          <w:p w14:paraId="66291189" w14:textId="75664D23" w:rsidR="000A5AD7" w:rsidRPr="00A21682" w:rsidRDefault="000A5AD7" w:rsidP="000A5AD7">
            <w:pPr>
              <w:pStyle w:val="TABLETEXT1"/>
              <w:rPr>
                <w:lang w:val="en-US"/>
              </w:rPr>
            </w:pPr>
            <w:r>
              <w:rPr>
                <w:rFonts w:cs="Calibri"/>
                <w:color w:val="000000"/>
                <w:szCs w:val="18"/>
                <w:lang w:val="en-US"/>
              </w:rPr>
              <w:t>Architecture Review Board</w:t>
            </w:r>
          </w:p>
        </w:tc>
      </w:tr>
      <w:tr w:rsidR="000A5AD7" w:rsidRPr="00A21682" w14:paraId="238C7CEB" w14:textId="77777777">
        <w:trPr>
          <w:trHeight w:val="20"/>
        </w:trPr>
        <w:tc>
          <w:tcPr>
            <w:tcW w:w="1707" w:type="dxa"/>
            <w:vAlign w:val="center"/>
          </w:tcPr>
          <w:p w14:paraId="5EAE6526" w14:textId="4E8334DB" w:rsidR="000A5AD7" w:rsidRPr="00A21682" w:rsidRDefault="000A5AD7" w:rsidP="000A5AD7">
            <w:pPr>
              <w:pStyle w:val="TABLETEXT1"/>
              <w:rPr>
                <w:lang w:val="en-US"/>
              </w:rPr>
            </w:pPr>
            <w:r>
              <w:rPr>
                <w:rFonts w:cs="Calibri"/>
                <w:color w:val="000000"/>
                <w:szCs w:val="18"/>
                <w:lang w:val="en-US"/>
              </w:rPr>
              <w:t>BCD</w:t>
            </w:r>
          </w:p>
        </w:tc>
        <w:tc>
          <w:tcPr>
            <w:tcW w:w="7653" w:type="dxa"/>
            <w:vAlign w:val="center"/>
          </w:tcPr>
          <w:p w14:paraId="636B3992" w14:textId="13572CE1" w:rsidR="000A5AD7" w:rsidRPr="00A21682" w:rsidRDefault="000A5AD7" w:rsidP="000A5AD7">
            <w:pPr>
              <w:pStyle w:val="TABLETEXT1"/>
              <w:rPr>
                <w:lang w:val="en-US"/>
              </w:rPr>
            </w:pPr>
            <w:r>
              <w:rPr>
                <w:rFonts w:cs="Calibri"/>
                <w:color w:val="000000"/>
                <w:szCs w:val="18"/>
                <w:lang w:val="en-US"/>
              </w:rPr>
              <w:t>Batch Control Document</w:t>
            </w:r>
          </w:p>
        </w:tc>
      </w:tr>
      <w:tr w:rsidR="000A5AD7" w:rsidRPr="00A21682" w14:paraId="3CFC323B" w14:textId="77777777">
        <w:trPr>
          <w:trHeight w:val="20"/>
        </w:trPr>
        <w:tc>
          <w:tcPr>
            <w:tcW w:w="1707" w:type="dxa"/>
            <w:vAlign w:val="center"/>
          </w:tcPr>
          <w:p w14:paraId="08DC31EE" w14:textId="41CC4C18" w:rsidR="000A5AD7" w:rsidRPr="00A21682" w:rsidRDefault="000A5AD7" w:rsidP="000A5AD7">
            <w:pPr>
              <w:pStyle w:val="TABLETEXT1"/>
              <w:rPr>
                <w:lang w:val="en-US"/>
              </w:rPr>
            </w:pPr>
            <w:r>
              <w:rPr>
                <w:rFonts w:cs="Calibri"/>
                <w:color w:val="000000"/>
                <w:szCs w:val="18"/>
                <w:lang w:val="en-US"/>
              </w:rPr>
              <w:t>BCDR</w:t>
            </w:r>
          </w:p>
        </w:tc>
        <w:tc>
          <w:tcPr>
            <w:tcW w:w="7653" w:type="dxa"/>
            <w:noWrap/>
            <w:vAlign w:val="center"/>
            <w:hideMark/>
          </w:tcPr>
          <w:p w14:paraId="027426AB" w14:textId="145D00AC" w:rsidR="000A5AD7" w:rsidRPr="00A21682" w:rsidRDefault="000A5AD7" w:rsidP="000A5AD7">
            <w:pPr>
              <w:pStyle w:val="TABLETEXT1"/>
              <w:rPr>
                <w:lang w:val="en-US"/>
              </w:rPr>
            </w:pPr>
            <w:r>
              <w:rPr>
                <w:rFonts w:cs="Calibri"/>
                <w:color w:val="000000"/>
                <w:szCs w:val="18"/>
                <w:lang w:val="en-US"/>
              </w:rPr>
              <w:t>Business Continuity and Disaster Recovery Plan</w:t>
            </w:r>
          </w:p>
        </w:tc>
      </w:tr>
      <w:tr w:rsidR="000A5AD7" w:rsidRPr="00A21682" w14:paraId="62A830B3" w14:textId="77777777">
        <w:trPr>
          <w:trHeight w:val="20"/>
        </w:trPr>
        <w:tc>
          <w:tcPr>
            <w:tcW w:w="1707" w:type="dxa"/>
            <w:vAlign w:val="center"/>
          </w:tcPr>
          <w:p w14:paraId="766E4E12" w14:textId="5784FD3D" w:rsidR="000A5AD7" w:rsidRPr="00A21682" w:rsidRDefault="000A5AD7" w:rsidP="000A5AD7">
            <w:pPr>
              <w:pStyle w:val="TABLETEXT1"/>
              <w:rPr>
                <w:lang w:val="en-US"/>
              </w:rPr>
            </w:pPr>
            <w:r>
              <w:rPr>
                <w:rFonts w:cs="Calibri"/>
                <w:color w:val="000000"/>
                <w:szCs w:val="18"/>
                <w:lang w:val="en-US"/>
              </w:rPr>
              <w:t>BOM</w:t>
            </w:r>
          </w:p>
        </w:tc>
        <w:tc>
          <w:tcPr>
            <w:tcW w:w="7653" w:type="dxa"/>
            <w:vAlign w:val="center"/>
          </w:tcPr>
          <w:p w14:paraId="00B609F2" w14:textId="6352CA3C" w:rsidR="000A5AD7" w:rsidRPr="00A21682" w:rsidRDefault="000A5AD7" w:rsidP="000A5AD7">
            <w:pPr>
              <w:pStyle w:val="TABLETEXT1"/>
              <w:rPr>
                <w:lang w:val="en-US"/>
              </w:rPr>
            </w:pPr>
            <w:r>
              <w:rPr>
                <w:rFonts w:cs="Calibri"/>
                <w:color w:val="000000"/>
                <w:szCs w:val="18"/>
                <w:lang w:val="en-US"/>
              </w:rPr>
              <w:t>Bill of Materials</w:t>
            </w:r>
          </w:p>
        </w:tc>
      </w:tr>
      <w:tr w:rsidR="000A5AD7" w:rsidRPr="00A21682" w14:paraId="3E1470E6" w14:textId="77777777">
        <w:trPr>
          <w:trHeight w:val="20"/>
        </w:trPr>
        <w:tc>
          <w:tcPr>
            <w:tcW w:w="1707" w:type="dxa"/>
            <w:vAlign w:val="center"/>
          </w:tcPr>
          <w:p w14:paraId="321FDF8C" w14:textId="01AAEDAF" w:rsidR="000A5AD7" w:rsidRPr="00A21682" w:rsidRDefault="000A5AD7" w:rsidP="000A5AD7">
            <w:pPr>
              <w:pStyle w:val="TABLETEXT1"/>
              <w:rPr>
                <w:lang w:val="en-US"/>
              </w:rPr>
            </w:pPr>
            <w:r>
              <w:rPr>
                <w:rFonts w:cs="Calibri"/>
                <w:color w:val="000000"/>
                <w:szCs w:val="18"/>
                <w:lang w:val="en-US"/>
              </w:rPr>
              <w:t>CAB</w:t>
            </w:r>
          </w:p>
        </w:tc>
        <w:tc>
          <w:tcPr>
            <w:tcW w:w="7653" w:type="dxa"/>
            <w:vAlign w:val="center"/>
          </w:tcPr>
          <w:p w14:paraId="0BCFCDBD" w14:textId="119C7D43" w:rsidR="000A5AD7" w:rsidRPr="00A21682" w:rsidRDefault="000A5AD7" w:rsidP="000A5AD7">
            <w:pPr>
              <w:pStyle w:val="TABLETEXT1"/>
              <w:rPr>
                <w:lang w:val="en-US"/>
              </w:rPr>
            </w:pPr>
            <w:r>
              <w:rPr>
                <w:rFonts w:cs="Calibri"/>
                <w:color w:val="000000"/>
                <w:szCs w:val="18"/>
                <w:lang w:val="en-US"/>
              </w:rPr>
              <w:t>Change Advisory Board</w:t>
            </w:r>
          </w:p>
        </w:tc>
      </w:tr>
      <w:tr w:rsidR="000A5AD7" w:rsidRPr="00A21682" w14:paraId="0B1C88C3" w14:textId="77777777">
        <w:trPr>
          <w:trHeight w:val="20"/>
        </w:trPr>
        <w:tc>
          <w:tcPr>
            <w:tcW w:w="1707" w:type="dxa"/>
            <w:vAlign w:val="center"/>
          </w:tcPr>
          <w:p w14:paraId="313C0BF6" w14:textId="7527A91E" w:rsidR="000A5AD7" w:rsidRPr="00A21682" w:rsidRDefault="000A5AD7" w:rsidP="000A5AD7">
            <w:pPr>
              <w:pStyle w:val="TABLETEXT1"/>
              <w:rPr>
                <w:lang w:val="en-US"/>
              </w:rPr>
            </w:pPr>
            <w:r>
              <w:rPr>
                <w:rFonts w:cs="Calibri"/>
                <w:color w:val="000000"/>
                <w:szCs w:val="18"/>
                <w:lang w:val="en-US"/>
              </w:rPr>
              <w:t>CCM</w:t>
            </w:r>
          </w:p>
        </w:tc>
        <w:tc>
          <w:tcPr>
            <w:tcW w:w="7653" w:type="dxa"/>
            <w:vAlign w:val="center"/>
            <w:hideMark/>
          </w:tcPr>
          <w:p w14:paraId="67A39F20" w14:textId="6088554C" w:rsidR="000A5AD7" w:rsidRPr="00A21682" w:rsidRDefault="000A5AD7" w:rsidP="000A5AD7">
            <w:pPr>
              <w:pStyle w:val="TABLETEXT1"/>
              <w:rPr>
                <w:lang w:val="en-US"/>
              </w:rPr>
            </w:pPr>
            <w:r>
              <w:rPr>
                <w:rFonts w:cs="Calibri"/>
                <w:color w:val="000000"/>
                <w:szCs w:val="18"/>
                <w:lang w:val="en-US"/>
              </w:rPr>
              <w:t>Client Communication Management</w:t>
            </w:r>
          </w:p>
        </w:tc>
      </w:tr>
      <w:tr w:rsidR="000A5AD7" w:rsidRPr="00A21682" w14:paraId="7AE84550" w14:textId="77777777">
        <w:trPr>
          <w:trHeight w:val="20"/>
        </w:trPr>
        <w:tc>
          <w:tcPr>
            <w:tcW w:w="1707" w:type="dxa"/>
            <w:vAlign w:val="center"/>
          </w:tcPr>
          <w:p w14:paraId="60B75729" w14:textId="6A4A01FD" w:rsidR="000A5AD7" w:rsidRPr="00A21682" w:rsidRDefault="000A5AD7" w:rsidP="000A5AD7">
            <w:pPr>
              <w:pStyle w:val="TABLETEXT1"/>
              <w:rPr>
                <w:lang w:val="en-US"/>
              </w:rPr>
            </w:pPr>
            <w:r>
              <w:rPr>
                <w:rFonts w:cs="Calibri"/>
                <w:color w:val="000000"/>
                <w:szCs w:val="18"/>
                <w:lang w:val="en-US"/>
              </w:rPr>
              <w:t>CHIPRA</w:t>
            </w:r>
          </w:p>
        </w:tc>
        <w:tc>
          <w:tcPr>
            <w:tcW w:w="7653" w:type="dxa"/>
            <w:vAlign w:val="center"/>
            <w:hideMark/>
          </w:tcPr>
          <w:p w14:paraId="7497B42E" w14:textId="5E2FF738" w:rsidR="000A5AD7" w:rsidRPr="00A21682" w:rsidRDefault="000A5AD7" w:rsidP="000A5AD7">
            <w:pPr>
              <w:pStyle w:val="TABLETEXT1"/>
              <w:rPr>
                <w:lang w:val="en-US"/>
              </w:rPr>
            </w:pPr>
            <w:r>
              <w:rPr>
                <w:rFonts w:cs="Calibri"/>
                <w:color w:val="000000"/>
                <w:szCs w:val="18"/>
                <w:lang w:val="en-US"/>
              </w:rPr>
              <w:t>Children’s Health Insurance Program Reauthorization Act</w:t>
            </w:r>
          </w:p>
        </w:tc>
      </w:tr>
      <w:tr w:rsidR="000A5AD7" w:rsidRPr="00A21682" w14:paraId="379AB521" w14:textId="77777777">
        <w:trPr>
          <w:trHeight w:val="20"/>
        </w:trPr>
        <w:tc>
          <w:tcPr>
            <w:tcW w:w="1707" w:type="dxa"/>
            <w:vAlign w:val="center"/>
          </w:tcPr>
          <w:p w14:paraId="3DED51A1" w14:textId="4064E1D7" w:rsidR="000A5AD7" w:rsidRPr="00A21682" w:rsidRDefault="000A5AD7" w:rsidP="000A5AD7">
            <w:pPr>
              <w:pStyle w:val="TABLETEXT1"/>
              <w:rPr>
                <w:lang w:val="en-US"/>
              </w:rPr>
            </w:pPr>
            <w:r>
              <w:rPr>
                <w:rFonts w:cs="Calibri"/>
                <w:color w:val="000000"/>
                <w:szCs w:val="18"/>
                <w:lang w:val="en-US"/>
              </w:rPr>
              <w:t>CIO</w:t>
            </w:r>
          </w:p>
        </w:tc>
        <w:tc>
          <w:tcPr>
            <w:tcW w:w="7653" w:type="dxa"/>
            <w:vAlign w:val="center"/>
          </w:tcPr>
          <w:p w14:paraId="54616634" w14:textId="12203A55" w:rsidR="000A5AD7" w:rsidRPr="00A21682" w:rsidRDefault="000A5AD7" w:rsidP="000A5AD7">
            <w:pPr>
              <w:pStyle w:val="TABLETEXT1"/>
              <w:rPr>
                <w:lang w:val="en-US"/>
              </w:rPr>
            </w:pPr>
            <w:r>
              <w:rPr>
                <w:rFonts w:cs="Calibri"/>
                <w:color w:val="000000"/>
                <w:szCs w:val="18"/>
                <w:lang w:val="en-US"/>
              </w:rPr>
              <w:t>Chief Information Officer</w:t>
            </w:r>
          </w:p>
        </w:tc>
      </w:tr>
      <w:tr w:rsidR="000A5AD7" w:rsidRPr="00A21682" w14:paraId="1685B834" w14:textId="77777777">
        <w:trPr>
          <w:trHeight w:val="20"/>
        </w:trPr>
        <w:tc>
          <w:tcPr>
            <w:tcW w:w="1707" w:type="dxa"/>
            <w:vAlign w:val="center"/>
          </w:tcPr>
          <w:p w14:paraId="3BB810F6" w14:textId="07709F37" w:rsidR="000A5AD7" w:rsidRPr="00A21682" w:rsidRDefault="000A5AD7" w:rsidP="000A5AD7">
            <w:pPr>
              <w:pStyle w:val="TABLETEXT1"/>
              <w:rPr>
                <w:lang w:val="en-US"/>
              </w:rPr>
            </w:pPr>
            <w:r>
              <w:rPr>
                <w:rFonts w:cs="Calibri"/>
                <w:color w:val="000000"/>
                <w:szCs w:val="18"/>
                <w:lang w:val="en-US"/>
              </w:rPr>
              <w:t>CM</w:t>
            </w:r>
          </w:p>
        </w:tc>
        <w:tc>
          <w:tcPr>
            <w:tcW w:w="7653" w:type="dxa"/>
            <w:vAlign w:val="center"/>
            <w:hideMark/>
          </w:tcPr>
          <w:p w14:paraId="1F6F93CC" w14:textId="2BE53774" w:rsidR="000A5AD7" w:rsidRPr="00A21682" w:rsidRDefault="000A5AD7" w:rsidP="000A5AD7">
            <w:pPr>
              <w:pStyle w:val="TABLETEXT1"/>
              <w:rPr>
                <w:lang w:val="en-US"/>
              </w:rPr>
            </w:pPr>
            <w:r>
              <w:rPr>
                <w:rFonts w:cs="Calibri"/>
                <w:color w:val="000000"/>
                <w:szCs w:val="18"/>
                <w:lang w:val="en-US"/>
              </w:rPr>
              <w:t>Change Management</w:t>
            </w:r>
          </w:p>
        </w:tc>
      </w:tr>
      <w:tr w:rsidR="000A5AD7" w:rsidRPr="00A21682" w14:paraId="020C7020" w14:textId="77777777">
        <w:trPr>
          <w:trHeight w:val="20"/>
        </w:trPr>
        <w:tc>
          <w:tcPr>
            <w:tcW w:w="1707" w:type="dxa"/>
            <w:vAlign w:val="center"/>
          </w:tcPr>
          <w:p w14:paraId="5778211E" w14:textId="2813746E" w:rsidR="000A5AD7" w:rsidRPr="00A21682" w:rsidRDefault="000A5AD7" w:rsidP="000A5AD7">
            <w:pPr>
              <w:pStyle w:val="TABLETEXT1"/>
              <w:rPr>
                <w:lang w:val="en-US"/>
              </w:rPr>
            </w:pPr>
            <w:r>
              <w:rPr>
                <w:rFonts w:cs="Calibri"/>
                <w:color w:val="000000"/>
                <w:szCs w:val="18"/>
                <w:lang w:val="en-US"/>
              </w:rPr>
              <w:t>CMMI</w:t>
            </w:r>
          </w:p>
        </w:tc>
        <w:tc>
          <w:tcPr>
            <w:tcW w:w="7653" w:type="dxa"/>
            <w:vAlign w:val="center"/>
          </w:tcPr>
          <w:p w14:paraId="369B6207" w14:textId="2E8C8875" w:rsidR="000A5AD7" w:rsidRPr="00A21682" w:rsidRDefault="000A5AD7" w:rsidP="000A5AD7">
            <w:pPr>
              <w:pStyle w:val="TABLETEXT1"/>
              <w:rPr>
                <w:lang w:val="en-US"/>
              </w:rPr>
            </w:pPr>
            <w:r>
              <w:rPr>
                <w:rFonts w:cs="Calibri"/>
                <w:color w:val="000000"/>
                <w:szCs w:val="18"/>
                <w:lang w:val="en-US"/>
              </w:rPr>
              <w:t>Capability Maturity Model Integration</w:t>
            </w:r>
          </w:p>
        </w:tc>
      </w:tr>
      <w:tr w:rsidR="000A5AD7" w:rsidRPr="00A21682" w14:paraId="7C7559F5" w14:textId="77777777">
        <w:trPr>
          <w:trHeight w:val="20"/>
        </w:trPr>
        <w:tc>
          <w:tcPr>
            <w:tcW w:w="1707" w:type="dxa"/>
            <w:vAlign w:val="center"/>
          </w:tcPr>
          <w:p w14:paraId="22F8541F" w14:textId="3AD63601" w:rsidR="000A5AD7" w:rsidRPr="00A21682" w:rsidRDefault="000A5AD7" w:rsidP="000A5AD7">
            <w:pPr>
              <w:pStyle w:val="TABLETEXT1"/>
              <w:rPr>
                <w:lang w:val="en-US"/>
              </w:rPr>
            </w:pPr>
            <w:r>
              <w:rPr>
                <w:rFonts w:cs="Calibri"/>
                <w:color w:val="000000"/>
                <w:szCs w:val="18"/>
                <w:lang w:val="en-US"/>
              </w:rPr>
              <w:t>CMS</w:t>
            </w:r>
          </w:p>
        </w:tc>
        <w:tc>
          <w:tcPr>
            <w:tcW w:w="7653" w:type="dxa"/>
            <w:vAlign w:val="center"/>
          </w:tcPr>
          <w:p w14:paraId="2BBFE9B4" w14:textId="00407288" w:rsidR="000A5AD7" w:rsidRPr="00A21682" w:rsidRDefault="000A5AD7" w:rsidP="000A5AD7">
            <w:pPr>
              <w:pStyle w:val="TABLETEXT1"/>
              <w:rPr>
                <w:lang w:val="en-US"/>
              </w:rPr>
            </w:pPr>
            <w:r>
              <w:rPr>
                <w:rFonts w:cs="Calibri"/>
                <w:color w:val="000000"/>
                <w:szCs w:val="18"/>
                <w:lang w:val="en-US"/>
              </w:rPr>
              <w:t>Centers for Medicare and Medicaid Services</w:t>
            </w:r>
          </w:p>
        </w:tc>
      </w:tr>
      <w:tr w:rsidR="000A5AD7" w:rsidRPr="00A21682" w14:paraId="3B74B7EF" w14:textId="77777777">
        <w:trPr>
          <w:trHeight w:val="20"/>
        </w:trPr>
        <w:tc>
          <w:tcPr>
            <w:tcW w:w="1707" w:type="dxa"/>
            <w:vAlign w:val="center"/>
          </w:tcPr>
          <w:p w14:paraId="7E72FD13" w14:textId="3205CBC3" w:rsidR="000A5AD7" w:rsidRPr="00A21682" w:rsidRDefault="000A5AD7" w:rsidP="000A5AD7">
            <w:pPr>
              <w:pStyle w:val="TABLETEXT1"/>
              <w:rPr>
                <w:lang w:val="en-US"/>
              </w:rPr>
            </w:pPr>
            <w:r>
              <w:rPr>
                <w:rFonts w:cs="Calibri"/>
                <w:color w:val="000000"/>
                <w:szCs w:val="18"/>
                <w:lang w:val="en-US"/>
              </w:rPr>
              <w:t>COTS</w:t>
            </w:r>
          </w:p>
        </w:tc>
        <w:tc>
          <w:tcPr>
            <w:tcW w:w="7653" w:type="dxa"/>
            <w:vAlign w:val="center"/>
          </w:tcPr>
          <w:p w14:paraId="1C63CB23" w14:textId="385EEAB7" w:rsidR="000A5AD7" w:rsidRPr="00A21682" w:rsidRDefault="000A5AD7" w:rsidP="000A5AD7">
            <w:pPr>
              <w:pStyle w:val="TABLETEXT1"/>
              <w:rPr>
                <w:lang w:val="en-US"/>
              </w:rPr>
            </w:pPr>
            <w:r>
              <w:rPr>
                <w:rFonts w:cs="Calibri"/>
                <w:color w:val="000000"/>
                <w:szCs w:val="18"/>
                <w:lang w:val="en-US"/>
              </w:rPr>
              <w:t>Commercial-off-the-Shelf</w:t>
            </w:r>
          </w:p>
        </w:tc>
      </w:tr>
      <w:tr w:rsidR="000A5AD7" w:rsidRPr="00A21682" w14:paraId="329EDA94" w14:textId="77777777">
        <w:trPr>
          <w:trHeight w:val="20"/>
        </w:trPr>
        <w:tc>
          <w:tcPr>
            <w:tcW w:w="1707" w:type="dxa"/>
            <w:vAlign w:val="center"/>
          </w:tcPr>
          <w:p w14:paraId="3D08F55B" w14:textId="5C2D1D11" w:rsidR="000A5AD7" w:rsidRPr="00A21682" w:rsidRDefault="000A5AD7" w:rsidP="000A5AD7">
            <w:pPr>
              <w:pStyle w:val="TABLETEXT1"/>
              <w:rPr>
                <w:lang w:val="en-US"/>
              </w:rPr>
            </w:pPr>
            <w:r>
              <w:rPr>
                <w:rFonts w:cs="Calibri"/>
                <w:color w:val="000000"/>
                <w:szCs w:val="18"/>
                <w:lang w:val="en-US"/>
              </w:rPr>
              <w:t>CR</w:t>
            </w:r>
          </w:p>
        </w:tc>
        <w:tc>
          <w:tcPr>
            <w:tcW w:w="7653" w:type="dxa"/>
            <w:vAlign w:val="center"/>
            <w:hideMark/>
          </w:tcPr>
          <w:p w14:paraId="1BB96686" w14:textId="0B19AD0F" w:rsidR="000A5AD7" w:rsidRPr="00A21682" w:rsidRDefault="000A5AD7" w:rsidP="000A5AD7">
            <w:pPr>
              <w:pStyle w:val="TABLETEXT1"/>
              <w:rPr>
                <w:lang w:val="en-US"/>
              </w:rPr>
            </w:pPr>
            <w:r>
              <w:rPr>
                <w:rFonts w:cs="Calibri"/>
                <w:color w:val="000000"/>
                <w:szCs w:val="18"/>
                <w:lang w:val="en-US"/>
              </w:rPr>
              <w:t>Change Request</w:t>
            </w:r>
          </w:p>
        </w:tc>
      </w:tr>
      <w:tr w:rsidR="000A5AD7" w:rsidRPr="00A21682" w14:paraId="10252659" w14:textId="77777777">
        <w:trPr>
          <w:trHeight w:val="20"/>
        </w:trPr>
        <w:tc>
          <w:tcPr>
            <w:tcW w:w="1707" w:type="dxa"/>
            <w:vAlign w:val="center"/>
          </w:tcPr>
          <w:p w14:paraId="13342693" w14:textId="65526171" w:rsidR="000A5AD7" w:rsidRPr="00A21682" w:rsidRDefault="000A5AD7" w:rsidP="000A5AD7">
            <w:pPr>
              <w:pStyle w:val="TABLETEXT1"/>
              <w:rPr>
                <w:lang w:val="en-US"/>
              </w:rPr>
            </w:pPr>
            <w:r>
              <w:rPr>
                <w:rFonts w:cs="Calibri"/>
                <w:color w:val="000000"/>
                <w:szCs w:val="18"/>
                <w:lang w:val="en-US"/>
              </w:rPr>
              <w:t>CRB</w:t>
            </w:r>
          </w:p>
        </w:tc>
        <w:tc>
          <w:tcPr>
            <w:tcW w:w="7653" w:type="dxa"/>
            <w:vAlign w:val="center"/>
            <w:hideMark/>
          </w:tcPr>
          <w:p w14:paraId="52B8A1D4" w14:textId="21F2AB5C" w:rsidR="000A5AD7" w:rsidRPr="00A21682" w:rsidRDefault="000A5AD7" w:rsidP="000A5AD7">
            <w:pPr>
              <w:pStyle w:val="TABLETEXT1"/>
              <w:rPr>
                <w:lang w:val="en-US"/>
              </w:rPr>
            </w:pPr>
            <w:r>
              <w:rPr>
                <w:rFonts w:cs="Calibri"/>
                <w:color w:val="000000"/>
                <w:szCs w:val="18"/>
                <w:lang w:val="en-US"/>
              </w:rPr>
              <w:t>Change Review Board</w:t>
            </w:r>
          </w:p>
        </w:tc>
      </w:tr>
      <w:tr w:rsidR="000A5AD7" w:rsidRPr="00A21682" w14:paraId="2BE6BB57" w14:textId="77777777">
        <w:trPr>
          <w:trHeight w:val="20"/>
        </w:trPr>
        <w:tc>
          <w:tcPr>
            <w:tcW w:w="1707" w:type="dxa"/>
            <w:vAlign w:val="center"/>
          </w:tcPr>
          <w:p w14:paraId="7C3CE01F" w14:textId="4A9B2E95" w:rsidR="000A5AD7" w:rsidRPr="00A21682" w:rsidRDefault="000A5AD7" w:rsidP="000A5AD7">
            <w:pPr>
              <w:pStyle w:val="TABLETEXT1"/>
              <w:rPr>
                <w:lang w:val="en-US"/>
              </w:rPr>
            </w:pPr>
            <w:r>
              <w:rPr>
                <w:rFonts w:cs="Calibri"/>
                <w:color w:val="000000"/>
                <w:szCs w:val="18"/>
                <w:lang w:val="en-US"/>
              </w:rPr>
              <w:t>CTO</w:t>
            </w:r>
          </w:p>
        </w:tc>
        <w:tc>
          <w:tcPr>
            <w:tcW w:w="7653" w:type="dxa"/>
            <w:vAlign w:val="center"/>
          </w:tcPr>
          <w:p w14:paraId="466F0384" w14:textId="28BED863" w:rsidR="000A5AD7" w:rsidRPr="00A21682" w:rsidRDefault="000A5AD7" w:rsidP="000A5AD7">
            <w:pPr>
              <w:pStyle w:val="TABLETEXT1"/>
              <w:rPr>
                <w:lang w:val="en-US"/>
              </w:rPr>
            </w:pPr>
            <w:r>
              <w:rPr>
                <w:rFonts w:cs="Calibri"/>
                <w:color w:val="000000"/>
                <w:szCs w:val="18"/>
                <w:lang w:val="en-US"/>
              </w:rPr>
              <w:t>Chief Technology Officer</w:t>
            </w:r>
          </w:p>
        </w:tc>
      </w:tr>
      <w:tr w:rsidR="000A5AD7" w:rsidRPr="00A21682" w14:paraId="30D2EFB0" w14:textId="77777777">
        <w:trPr>
          <w:trHeight w:val="20"/>
        </w:trPr>
        <w:tc>
          <w:tcPr>
            <w:tcW w:w="1707" w:type="dxa"/>
            <w:vAlign w:val="center"/>
          </w:tcPr>
          <w:p w14:paraId="20827A42" w14:textId="163158D0" w:rsidR="000A5AD7" w:rsidRPr="00A21682" w:rsidRDefault="000A5AD7" w:rsidP="000A5AD7">
            <w:pPr>
              <w:pStyle w:val="TABLETEXT1"/>
              <w:rPr>
                <w:lang w:val="en-US"/>
              </w:rPr>
            </w:pPr>
            <w:r>
              <w:rPr>
                <w:rFonts w:cs="Calibri"/>
                <w:color w:val="000000"/>
                <w:szCs w:val="18"/>
                <w:lang w:val="en-US"/>
              </w:rPr>
              <w:t>DAST</w:t>
            </w:r>
          </w:p>
        </w:tc>
        <w:tc>
          <w:tcPr>
            <w:tcW w:w="7653" w:type="dxa"/>
            <w:vAlign w:val="center"/>
          </w:tcPr>
          <w:p w14:paraId="48990148" w14:textId="7F447282" w:rsidR="000A5AD7" w:rsidRPr="00A21682" w:rsidRDefault="000A5AD7" w:rsidP="000A5AD7">
            <w:pPr>
              <w:pStyle w:val="TABLETEXT1"/>
              <w:rPr>
                <w:lang w:val="en-US"/>
              </w:rPr>
            </w:pPr>
            <w:r>
              <w:rPr>
                <w:rFonts w:cs="Calibri"/>
                <w:color w:val="000000"/>
                <w:szCs w:val="18"/>
                <w:lang w:val="en-US"/>
              </w:rPr>
              <w:t>Dynamic Application Security Testing</w:t>
            </w:r>
          </w:p>
        </w:tc>
      </w:tr>
      <w:tr w:rsidR="000A5AD7" w:rsidRPr="00A21682" w14:paraId="35811676" w14:textId="77777777">
        <w:trPr>
          <w:trHeight w:val="20"/>
        </w:trPr>
        <w:tc>
          <w:tcPr>
            <w:tcW w:w="1707" w:type="dxa"/>
            <w:vAlign w:val="center"/>
          </w:tcPr>
          <w:p w14:paraId="4DADD105" w14:textId="4BEDF4E1" w:rsidR="000A5AD7" w:rsidRPr="00A21682" w:rsidRDefault="000A5AD7" w:rsidP="000A5AD7">
            <w:pPr>
              <w:pStyle w:val="TABLETEXT1"/>
              <w:rPr>
                <w:lang w:val="en-US"/>
              </w:rPr>
            </w:pPr>
            <w:r>
              <w:rPr>
                <w:rFonts w:cs="Calibri"/>
                <w:color w:val="000000"/>
                <w:szCs w:val="18"/>
                <w:lang w:val="en-US"/>
              </w:rPr>
              <w:t>DED</w:t>
            </w:r>
          </w:p>
        </w:tc>
        <w:tc>
          <w:tcPr>
            <w:tcW w:w="7653" w:type="dxa"/>
            <w:vAlign w:val="center"/>
            <w:hideMark/>
          </w:tcPr>
          <w:p w14:paraId="2038938C" w14:textId="3B97BFEC" w:rsidR="000A5AD7" w:rsidRPr="00A21682" w:rsidRDefault="000A5AD7" w:rsidP="000A5AD7">
            <w:pPr>
              <w:pStyle w:val="TABLETEXT1"/>
              <w:rPr>
                <w:lang w:val="en-US"/>
              </w:rPr>
            </w:pPr>
            <w:r>
              <w:rPr>
                <w:rFonts w:cs="Calibri"/>
                <w:color w:val="000000"/>
                <w:szCs w:val="18"/>
                <w:lang w:val="en-US"/>
              </w:rPr>
              <w:t>Deliverable Expectations Document</w:t>
            </w:r>
          </w:p>
        </w:tc>
      </w:tr>
      <w:tr w:rsidR="000A5AD7" w:rsidRPr="00A21682" w14:paraId="09B88953" w14:textId="77777777">
        <w:trPr>
          <w:trHeight w:val="20"/>
        </w:trPr>
        <w:tc>
          <w:tcPr>
            <w:tcW w:w="1707" w:type="dxa"/>
            <w:vAlign w:val="center"/>
          </w:tcPr>
          <w:p w14:paraId="344773FA" w14:textId="746F3F4D" w:rsidR="000A5AD7" w:rsidRPr="00A21682" w:rsidRDefault="000A5AD7" w:rsidP="000A5AD7">
            <w:pPr>
              <w:pStyle w:val="TABLETEXT1"/>
              <w:rPr>
                <w:lang w:val="en-US"/>
              </w:rPr>
            </w:pPr>
            <w:r>
              <w:rPr>
                <w:rFonts w:cs="Calibri"/>
                <w:color w:val="000000"/>
                <w:szCs w:val="18"/>
                <w:lang w:val="en-US"/>
              </w:rPr>
              <w:t>DEMI</w:t>
            </w:r>
          </w:p>
        </w:tc>
        <w:tc>
          <w:tcPr>
            <w:tcW w:w="7653" w:type="dxa"/>
            <w:noWrap/>
            <w:vAlign w:val="center"/>
            <w:hideMark/>
          </w:tcPr>
          <w:p w14:paraId="3438FFC2" w14:textId="2580473B" w:rsidR="000A5AD7" w:rsidRPr="00A21682" w:rsidRDefault="000A5AD7" w:rsidP="000A5AD7">
            <w:pPr>
              <w:pStyle w:val="TABLETEXT1"/>
              <w:rPr>
                <w:lang w:val="en-US"/>
              </w:rPr>
            </w:pPr>
            <w:r>
              <w:rPr>
                <w:rFonts w:cs="Calibri"/>
                <w:color w:val="000000"/>
                <w:szCs w:val="18"/>
                <w:lang w:val="en-US"/>
              </w:rPr>
              <w:t>Division of Eligibility and Marketplace Integration</w:t>
            </w:r>
          </w:p>
        </w:tc>
      </w:tr>
      <w:tr w:rsidR="000A5AD7" w:rsidRPr="00A21682" w14:paraId="1AA93FF7" w14:textId="77777777">
        <w:trPr>
          <w:trHeight w:val="20"/>
        </w:trPr>
        <w:tc>
          <w:tcPr>
            <w:tcW w:w="1707" w:type="dxa"/>
            <w:vAlign w:val="center"/>
          </w:tcPr>
          <w:p w14:paraId="0778F273" w14:textId="47E5EC2C" w:rsidR="000A5AD7" w:rsidRPr="00A21682" w:rsidRDefault="000A5AD7" w:rsidP="000A5AD7">
            <w:pPr>
              <w:pStyle w:val="TABLETEXT1"/>
              <w:rPr>
                <w:lang w:val="en-US"/>
              </w:rPr>
            </w:pPr>
            <w:r>
              <w:rPr>
                <w:rFonts w:cs="Calibri"/>
                <w:color w:val="000000"/>
                <w:szCs w:val="18"/>
                <w:lang w:val="en-US"/>
              </w:rPr>
              <w:t>DOH OHIP</w:t>
            </w:r>
          </w:p>
        </w:tc>
        <w:tc>
          <w:tcPr>
            <w:tcW w:w="7653" w:type="dxa"/>
            <w:vAlign w:val="center"/>
            <w:hideMark/>
          </w:tcPr>
          <w:p w14:paraId="45F9C938" w14:textId="1BBBFE34" w:rsidR="000A5AD7" w:rsidRPr="00A21682" w:rsidRDefault="000A5AD7" w:rsidP="000A5AD7">
            <w:pPr>
              <w:pStyle w:val="TABLETEXT1"/>
              <w:rPr>
                <w:lang w:val="en-US"/>
              </w:rPr>
            </w:pPr>
            <w:r>
              <w:rPr>
                <w:rFonts w:cs="Calibri"/>
                <w:color w:val="000000"/>
                <w:szCs w:val="18"/>
                <w:lang w:val="en-US"/>
              </w:rPr>
              <w:t>Department of Health Office of Health Insurance Programs</w:t>
            </w:r>
          </w:p>
        </w:tc>
      </w:tr>
      <w:tr w:rsidR="000A5AD7" w:rsidRPr="00A21682" w14:paraId="37547ED2" w14:textId="77777777">
        <w:trPr>
          <w:trHeight w:val="20"/>
        </w:trPr>
        <w:tc>
          <w:tcPr>
            <w:tcW w:w="1707" w:type="dxa"/>
            <w:vAlign w:val="center"/>
          </w:tcPr>
          <w:p w14:paraId="1B267954" w14:textId="13B0EA2A" w:rsidR="000A5AD7" w:rsidRPr="00A21682" w:rsidRDefault="000A5AD7" w:rsidP="000A5AD7">
            <w:pPr>
              <w:pStyle w:val="TABLETEXT1"/>
              <w:rPr>
                <w:lang w:val="en-US"/>
              </w:rPr>
            </w:pPr>
            <w:r>
              <w:rPr>
                <w:rFonts w:cs="Calibri"/>
                <w:color w:val="000000"/>
                <w:szCs w:val="18"/>
                <w:lang w:val="en-US"/>
              </w:rPr>
              <w:t>DOS</w:t>
            </w:r>
          </w:p>
        </w:tc>
        <w:tc>
          <w:tcPr>
            <w:tcW w:w="7653" w:type="dxa"/>
            <w:vAlign w:val="center"/>
          </w:tcPr>
          <w:p w14:paraId="2E0956D2" w14:textId="69EBCF4C" w:rsidR="000A5AD7" w:rsidRPr="00A21682" w:rsidRDefault="000A5AD7" w:rsidP="000A5AD7">
            <w:pPr>
              <w:pStyle w:val="TABLETEXT1"/>
              <w:rPr>
                <w:lang w:val="en-US"/>
              </w:rPr>
            </w:pPr>
            <w:r>
              <w:rPr>
                <w:rFonts w:cs="Calibri"/>
                <w:color w:val="000000"/>
                <w:szCs w:val="18"/>
                <w:lang w:val="en-US"/>
              </w:rPr>
              <w:t>Division of Operations and Systems</w:t>
            </w:r>
          </w:p>
        </w:tc>
      </w:tr>
      <w:tr w:rsidR="000A5AD7" w:rsidRPr="00A21682" w14:paraId="06E1E9FB" w14:textId="77777777">
        <w:trPr>
          <w:trHeight w:val="20"/>
        </w:trPr>
        <w:tc>
          <w:tcPr>
            <w:tcW w:w="1707" w:type="dxa"/>
            <w:vAlign w:val="center"/>
          </w:tcPr>
          <w:p w14:paraId="62491B81" w14:textId="4126241A" w:rsidR="000A5AD7" w:rsidRPr="00A21682" w:rsidRDefault="000A5AD7" w:rsidP="000A5AD7">
            <w:pPr>
              <w:pStyle w:val="TABLETEXT1"/>
              <w:rPr>
                <w:lang w:val="en-US"/>
              </w:rPr>
            </w:pPr>
            <w:r>
              <w:rPr>
                <w:rFonts w:cs="Calibri"/>
                <w:color w:val="000000"/>
                <w:szCs w:val="18"/>
                <w:lang w:val="en-US"/>
              </w:rPr>
              <w:t>DUM</w:t>
            </w:r>
          </w:p>
        </w:tc>
        <w:tc>
          <w:tcPr>
            <w:tcW w:w="7653" w:type="dxa"/>
            <w:vAlign w:val="center"/>
          </w:tcPr>
          <w:p w14:paraId="29B1038C" w14:textId="17ABAD97" w:rsidR="000A5AD7" w:rsidRPr="00A21682" w:rsidRDefault="000A5AD7" w:rsidP="000A5AD7">
            <w:pPr>
              <w:pStyle w:val="TABLETEXT1"/>
              <w:rPr>
                <w:lang w:val="en-US"/>
              </w:rPr>
            </w:pPr>
            <w:r>
              <w:rPr>
                <w:rFonts w:cs="Calibri"/>
                <w:color w:val="000000"/>
                <w:szCs w:val="18"/>
                <w:lang w:val="en-US"/>
              </w:rPr>
              <w:t>Design Update Management</w:t>
            </w:r>
          </w:p>
        </w:tc>
      </w:tr>
      <w:tr w:rsidR="000A5AD7" w:rsidRPr="00A21682" w14:paraId="1DE3CACD" w14:textId="77777777">
        <w:trPr>
          <w:trHeight w:val="20"/>
        </w:trPr>
        <w:tc>
          <w:tcPr>
            <w:tcW w:w="1707" w:type="dxa"/>
            <w:vAlign w:val="center"/>
          </w:tcPr>
          <w:p w14:paraId="6A07994E" w14:textId="2099BD22" w:rsidR="000A5AD7" w:rsidRPr="00A21682" w:rsidRDefault="000A5AD7" w:rsidP="000A5AD7">
            <w:pPr>
              <w:pStyle w:val="TABLETEXT1"/>
              <w:rPr>
                <w:lang w:val="en-US"/>
              </w:rPr>
            </w:pPr>
            <w:r>
              <w:rPr>
                <w:rFonts w:cs="Calibri"/>
                <w:color w:val="000000"/>
                <w:szCs w:val="18"/>
                <w:lang w:val="en-US"/>
              </w:rPr>
              <w:t>E2E</w:t>
            </w:r>
          </w:p>
        </w:tc>
        <w:tc>
          <w:tcPr>
            <w:tcW w:w="7653" w:type="dxa"/>
            <w:vAlign w:val="center"/>
          </w:tcPr>
          <w:p w14:paraId="4091367A" w14:textId="355948C5" w:rsidR="000A5AD7" w:rsidRPr="00A21682" w:rsidRDefault="000A5AD7" w:rsidP="000A5AD7">
            <w:pPr>
              <w:pStyle w:val="TABLETEXT1"/>
              <w:rPr>
                <w:lang w:val="en-US"/>
              </w:rPr>
            </w:pPr>
            <w:r>
              <w:rPr>
                <w:rFonts w:cs="Calibri"/>
                <w:color w:val="000000"/>
                <w:szCs w:val="18"/>
                <w:lang w:val="en-US"/>
              </w:rPr>
              <w:t>End to End</w:t>
            </w:r>
          </w:p>
        </w:tc>
      </w:tr>
      <w:tr w:rsidR="000A5AD7" w:rsidRPr="00A21682" w14:paraId="7BDF8131" w14:textId="77777777">
        <w:trPr>
          <w:trHeight w:val="20"/>
        </w:trPr>
        <w:tc>
          <w:tcPr>
            <w:tcW w:w="1707" w:type="dxa"/>
            <w:vAlign w:val="center"/>
          </w:tcPr>
          <w:p w14:paraId="46E7E434" w14:textId="461F1202" w:rsidR="000A5AD7" w:rsidRPr="00A21682" w:rsidRDefault="000A5AD7" w:rsidP="000A5AD7">
            <w:pPr>
              <w:pStyle w:val="TABLETEXT1"/>
              <w:rPr>
                <w:lang w:val="en-US"/>
              </w:rPr>
            </w:pPr>
            <w:r>
              <w:rPr>
                <w:rFonts w:cs="Calibri"/>
                <w:color w:val="000000"/>
                <w:szCs w:val="18"/>
                <w:lang w:val="en-US"/>
              </w:rPr>
              <w:t>ESC</w:t>
            </w:r>
          </w:p>
        </w:tc>
        <w:tc>
          <w:tcPr>
            <w:tcW w:w="7653" w:type="dxa"/>
            <w:vAlign w:val="center"/>
          </w:tcPr>
          <w:p w14:paraId="492A6E8A" w14:textId="5061AF28" w:rsidR="000A5AD7" w:rsidRPr="00A21682" w:rsidRDefault="000A5AD7" w:rsidP="000A5AD7">
            <w:pPr>
              <w:pStyle w:val="TABLETEXT1"/>
              <w:rPr>
                <w:lang w:val="en-US"/>
              </w:rPr>
            </w:pPr>
            <w:r>
              <w:rPr>
                <w:rFonts w:cs="Calibri"/>
                <w:color w:val="000000"/>
                <w:szCs w:val="18"/>
                <w:lang w:val="en-US"/>
              </w:rPr>
              <w:t>Executive Steering Committee</w:t>
            </w:r>
          </w:p>
        </w:tc>
      </w:tr>
      <w:tr w:rsidR="000A5AD7" w:rsidRPr="00A21682" w14:paraId="19B98DF7" w14:textId="77777777">
        <w:trPr>
          <w:trHeight w:val="20"/>
        </w:trPr>
        <w:tc>
          <w:tcPr>
            <w:tcW w:w="1707" w:type="dxa"/>
            <w:vAlign w:val="center"/>
          </w:tcPr>
          <w:p w14:paraId="75876960" w14:textId="0916EB1E" w:rsidR="000A5AD7" w:rsidRPr="00A21682" w:rsidRDefault="000A5AD7" w:rsidP="000A5AD7">
            <w:pPr>
              <w:pStyle w:val="TABLETEXT1"/>
              <w:rPr>
                <w:lang w:val="en-US"/>
              </w:rPr>
            </w:pPr>
            <w:r>
              <w:rPr>
                <w:rFonts w:cs="Calibri"/>
                <w:color w:val="000000"/>
                <w:szCs w:val="18"/>
                <w:lang w:val="en-US"/>
              </w:rPr>
              <w:t>EVD</w:t>
            </w:r>
          </w:p>
        </w:tc>
        <w:tc>
          <w:tcPr>
            <w:tcW w:w="7653" w:type="dxa"/>
            <w:vAlign w:val="center"/>
          </w:tcPr>
          <w:p w14:paraId="66E27BF0" w14:textId="62D08FB3" w:rsidR="000A5AD7" w:rsidRPr="00A21682" w:rsidRDefault="000A5AD7" w:rsidP="000A5AD7">
            <w:pPr>
              <w:pStyle w:val="TABLETEXT1"/>
              <w:rPr>
                <w:lang w:val="en-US"/>
              </w:rPr>
            </w:pPr>
            <w:r>
              <w:rPr>
                <w:rFonts w:cs="Calibri"/>
                <w:color w:val="000000"/>
                <w:szCs w:val="18"/>
                <w:lang w:val="en-US"/>
              </w:rPr>
              <w:t>Enterprise Value Delivery</w:t>
            </w:r>
          </w:p>
        </w:tc>
      </w:tr>
      <w:tr w:rsidR="000A5AD7" w:rsidRPr="00A21682" w14:paraId="5AFEF13C" w14:textId="77777777">
        <w:trPr>
          <w:trHeight w:val="20"/>
        </w:trPr>
        <w:tc>
          <w:tcPr>
            <w:tcW w:w="1707" w:type="dxa"/>
            <w:vAlign w:val="center"/>
          </w:tcPr>
          <w:p w14:paraId="61E556D0" w14:textId="1D644E76" w:rsidR="000A5AD7" w:rsidRPr="00A21682" w:rsidRDefault="000A5AD7" w:rsidP="000A5AD7">
            <w:pPr>
              <w:pStyle w:val="TABLETEXT1"/>
              <w:rPr>
                <w:lang w:val="en-US"/>
              </w:rPr>
            </w:pPr>
            <w:r>
              <w:rPr>
                <w:rFonts w:cs="Calibri"/>
                <w:color w:val="000000"/>
                <w:szCs w:val="18"/>
                <w:lang w:val="en-US"/>
              </w:rPr>
              <w:t>FDD</w:t>
            </w:r>
          </w:p>
        </w:tc>
        <w:tc>
          <w:tcPr>
            <w:tcW w:w="7653" w:type="dxa"/>
            <w:vAlign w:val="center"/>
          </w:tcPr>
          <w:p w14:paraId="36404760" w14:textId="4AD8DBB6" w:rsidR="000A5AD7" w:rsidRPr="00A21682" w:rsidRDefault="000A5AD7" w:rsidP="000A5AD7">
            <w:pPr>
              <w:pStyle w:val="TABLETEXT1"/>
              <w:rPr>
                <w:lang w:val="en-US"/>
              </w:rPr>
            </w:pPr>
            <w:r>
              <w:rPr>
                <w:rFonts w:cs="Calibri"/>
                <w:color w:val="000000"/>
                <w:szCs w:val="18"/>
                <w:lang w:val="en-US"/>
              </w:rPr>
              <w:t>Functional Design Document</w:t>
            </w:r>
          </w:p>
        </w:tc>
      </w:tr>
      <w:tr w:rsidR="000A5AD7" w:rsidRPr="00A21682" w14:paraId="6C7AC392" w14:textId="77777777">
        <w:trPr>
          <w:trHeight w:val="20"/>
        </w:trPr>
        <w:tc>
          <w:tcPr>
            <w:tcW w:w="1707" w:type="dxa"/>
            <w:vAlign w:val="center"/>
          </w:tcPr>
          <w:p w14:paraId="4C63ECBD" w14:textId="2EA29213" w:rsidR="000A5AD7" w:rsidRPr="00A21682" w:rsidRDefault="000A5AD7" w:rsidP="000A5AD7">
            <w:pPr>
              <w:pStyle w:val="TABLETEXT1"/>
              <w:rPr>
                <w:lang w:val="en-US"/>
              </w:rPr>
            </w:pPr>
            <w:r>
              <w:rPr>
                <w:rFonts w:cs="Calibri"/>
                <w:color w:val="000000"/>
                <w:szCs w:val="18"/>
                <w:lang w:val="en-US"/>
              </w:rPr>
              <w:t>HIPAA</w:t>
            </w:r>
          </w:p>
        </w:tc>
        <w:tc>
          <w:tcPr>
            <w:tcW w:w="7653" w:type="dxa"/>
            <w:vAlign w:val="center"/>
          </w:tcPr>
          <w:p w14:paraId="307DFDB5" w14:textId="564D0FF8" w:rsidR="000A5AD7" w:rsidRPr="00A21682" w:rsidRDefault="000A5AD7" w:rsidP="000A5AD7">
            <w:pPr>
              <w:pStyle w:val="TABLETEXT1"/>
              <w:rPr>
                <w:lang w:val="en-US"/>
              </w:rPr>
            </w:pPr>
            <w:r>
              <w:rPr>
                <w:rFonts w:cs="Calibri"/>
                <w:color w:val="000000"/>
                <w:szCs w:val="18"/>
                <w:lang w:val="en-US"/>
              </w:rPr>
              <w:t>Health Insurance Portability and Accountability Act</w:t>
            </w:r>
          </w:p>
        </w:tc>
      </w:tr>
      <w:tr w:rsidR="000A5AD7" w:rsidRPr="00A21682" w14:paraId="0378B4A1" w14:textId="77777777">
        <w:trPr>
          <w:trHeight w:val="20"/>
        </w:trPr>
        <w:tc>
          <w:tcPr>
            <w:tcW w:w="1707" w:type="dxa"/>
            <w:vAlign w:val="center"/>
          </w:tcPr>
          <w:p w14:paraId="3CADA86F" w14:textId="42B1A5DB" w:rsidR="000A5AD7" w:rsidRPr="00A21682" w:rsidRDefault="000A5AD7" w:rsidP="000A5AD7">
            <w:pPr>
              <w:pStyle w:val="TABLETEXT1"/>
              <w:rPr>
                <w:lang w:val="en-US"/>
              </w:rPr>
            </w:pPr>
            <w:r>
              <w:rPr>
                <w:rFonts w:cs="Calibri"/>
                <w:color w:val="000000"/>
                <w:szCs w:val="18"/>
                <w:lang w:val="en-US"/>
              </w:rPr>
              <w:t>HITECH</w:t>
            </w:r>
          </w:p>
        </w:tc>
        <w:tc>
          <w:tcPr>
            <w:tcW w:w="7653" w:type="dxa"/>
            <w:vAlign w:val="center"/>
          </w:tcPr>
          <w:p w14:paraId="6D236F7B" w14:textId="6091D009" w:rsidR="000A5AD7" w:rsidRPr="00A21682" w:rsidRDefault="000A5AD7" w:rsidP="000A5AD7">
            <w:pPr>
              <w:pStyle w:val="TABLETEXT1"/>
              <w:rPr>
                <w:lang w:val="en-US"/>
              </w:rPr>
            </w:pPr>
            <w:r>
              <w:rPr>
                <w:rFonts w:cs="Calibri"/>
                <w:color w:val="000000"/>
                <w:szCs w:val="18"/>
                <w:lang w:val="en-US"/>
              </w:rPr>
              <w:t>Health Information Technology for Economic and Clinical Health Act</w:t>
            </w:r>
          </w:p>
        </w:tc>
      </w:tr>
      <w:tr w:rsidR="000A5AD7" w:rsidRPr="00A21682" w14:paraId="45E4BCED" w14:textId="77777777">
        <w:trPr>
          <w:trHeight w:val="20"/>
        </w:trPr>
        <w:tc>
          <w:tcPr>
            <w:tcW w:w="1707" w:type="dxa"/>
            <w:vAlign w:val="center"/>
          </w:tcPr>
          <w:p w14:paraId="48B62A2D" w14:textId="37FF6AFE" w:rsidR="000A5AD7" w:rsidRPr="00A21682" w:rsidRDefault="000A5AD7" w:rsidP="000A5AD7">
            <w:pPr>
              <w:pStyle w:val="TABLETEXT1"/>
              <w:rPr>
                <w:lang w:val="en-US"/>
              </w:rPr>
            </w:pPr>
            <w:r>
              <w:rPr>
                <w:rFonts w:cs="Calibri"/>
                <w:color w:val="000000"/>
                <w:szCs w:val="18"/>
                <w:lang w:val="en-US"/>
              </w:rPr>
              <w:lastRenderedPageBreak/>
              <w:t>ICCP</w:t>
            </w:r>
          </w:p>
        </w:tc>
        <w:tc>
          <w:tcPr>
            <w:tcW w:w="7653" w:type="dxa"/>
            <w:vAlign w:val="center"/>
            <w:hideMark/>
          </w:tcPr>
          <w:p w14:paraId="0F7CE834" w14:textId="2B7CD62C" w:rsidR="000A5AD7" w:rsidRPr="00A21682" w:rsidRDefault="000A5AD7" w:rsidP="000A5AD7">
            <w:pPr>
              <w:pStyle w:val="TABLETEXT1"/>
              <w:rPr>
                <w:lang w:val="en-US"/>
              </w:rPr>
            </w:pPr>
            <w:r>
              <w:rPr>
                <w:rFonts w:cs="Calibri"/>
                <w:color w:val="000000"/>
                <w:szCs w:val="18"/>
                <w:lang w:val="en-US"/>
              </w:rPr>
              <w:t>Integrated Change Control Process</w:t>
            </w:r>
          </w:p>
        </w:tc>
      </w:tr>
      <w:tr w:rsidR="000A5AD7" w:rsidRPr="00A21682" w14:paraId="368911F7" w14:textId="77777777">
        <w:trPr>
          <w:trHeight w:val="20"/>
        </w:trPr>
        <w:tc>
          <w:tcPr>
            <w:tcW w:w="1707" w:type="dxa"/>
            <w:vAlign w:val="center"/>
          </w:tcPr>
          <w:p w14:paraId="7330A61D" w14:textId="4B1BD94F" w:rsidR="000A5AD7" w:rsidRPr="00A21682" w:rsidRDefault="000A5AD7" w:rsidP="000A5AD7">
            <w:pPr>
              <w:pStyle w:val="TABLETEXT1"/>
              <w:rPr>
                <w:lang w:val="en-US"/>
              </w:rPr>
            </w:pPr>
            <w:r>
              <w:rPr>
                <w:rFonts w:cs="Calibri"/>
                <w:color w:val="000000"/>
                <w:szCs w:val="18"/>
                <w:lang w:val="en-US"/>
              </w:rPr>
              <w:t>ICD</w:t>
            </w:r>
          </w:p>
        </w:tc>
        <w:tc>
          <w:tcPr>
            <w:tcW w:w="7653" w:type="dxa"/>
            <w:vAlign w:val="center"/>
          </w:tcPr>
          <w:p w14:paraId="2C619475" w14:textId="0DBBC041" w:rsidR="000A5AD7" w:rsidRPr="00A21682" w:rsidRDefault="000A5AD7" w:rsidP="000A5AD7">
            <w:pPr>
              <w:pStyle w:val="TABLETEXT1"/>
              <w:rPr>
                <w:lang w:val="en-US"/>
              </w:rPr>
            </w:pPr>
            <w:r>
              <w:rPr>
                <w:rFonts w:cs="Calibri"/>
                <w:color w:val="000000"/>
                <w:szCs w:val="18"/>
                <w:lang w:val="en-US"/>
              </w:rPr>
              <w:t>Interface Control Document</w:t>
            </w:r>
          </w:p>
        </w:tc>
      </w:tr>
      <w:tr w:rsidR="000A5AD7" w:rsidRPr="00A21682" w14:paraId="4642842B" w14:textId="77777777">
        <w:trPr>
          <w:trHeight w:val="20"/>
        </w:trPr>
        <w:tc>
          <w:tcPr>
            <w:tcW w:w="1707" w:type="dxa"/>
            <w:vAlign w:val="center"/>
          </w:tcPr>
          <w:p w14:paraId="4382F2D1" w14:textId="6D85C13F" w:rsidR="000A5AD7" w:rsidRPr="00A21682" w:rsidRDefault="000A5AD7" w:rsidP="000A5AD7">
            <w:pPr>
              <w:pStyle w:val="TABLETEXT1"/>
              <w:rPr>
                <w:lang w:val="en-US"/>
              </w:rPr>
            </w:pPr>
            <w:r>
              <w:rPr>
                <w:rFonts w:cs="Calibri"/>
                <w:color w:val="000000"/>
                <w:szCs w:val="18"/>
                <w:lang w:val="en-US"/>
              </w:rPr>
              <w:t>IMS</w:t>
            </w:r>
          </w:p>
        </w:tc>
        <w:tc>
          <w:tcPr>
            <w:tcW w:w="7653" w:type="dxa"/>
            <w:vAlign w:val="center"/>
          </w:tcPr>
          <w:p w14:paraId="11AA1DB6" w14:textId="02D261DE" w:rsidR="000A5AD7" w:rsidRPr="00A21682" w:rsidRDefault="000A5AD7" w:rsidP="000A5AD7">
            <w:pPr>
              <w:pStyle w:val="TABLETEXT1"/>
              <w:rPr>
                <w:lang w:val="en-US"/>
              </w:rPr>
            </w:pPr>
            <w:r>
              <w:rPr>
                <w:rFonts w:cs="Calibri"/>
                <w:color w:val="000000"/>
                <w:szCs w:val="18"/>
                <w:lang w:val="en-US"/>
              </w:rPr>
              <w:t>Integrated Master Schedule</w:t>
            </w:r>
          </w:p>
        </w:tc>
      </w:tr>
      <w:tr w:rsidR="000A5AD7" w:rsidRPr="00A21682" w14:paraId="047D4B3F" w14:textId="77777777">
        <w:trPr>
          <w:trHeight w:val="20"/>
        </w:trPr>
        <w:tc>
          <w:tcPr>
            <w:tcW w:w="1707" w:type="dxa"/>
            <w:vAlign w:val="center"/>
          </w:tcPr>
          <w:p w14:paraId="1392C700" w14:textId="332997C7" w:rsidR="000A5AD7" w:rsidRPr="00A21682" w:rsidRDefault="000A5AD7" w:rsidP="000A5AD7">
            <w:pPr>
              <w:pStyle w:val="TABLETEXT1"/>
              <w:rPr>
                <w:lang w:val="en-US"/>
              </w:rPr>
            </w:pPr>
            <w:r>
              <w:rPr>
                <w:rFonts w:cs="Calibri"/>
                <w:color w:val="000000"/>
                <w:szCs w:val="18"/>
                <w:lang w:val="en-US"/>
              </w:rPr>
              <w:t>ISD</w:t>
            </w:r>
          </w:p>
        </w:tc>
        <w:tc>
          <w:tcPr>
            <w:tcW w:w="7653" w:type="dxa"/>
            <w:vAlign w:val="center"/>
          </w:tcPr>
          <w:p w14:paraId="00E8F7F6" w14:textId="56CD0593" w:rsidR="000A5AD7" w:rsidRPr="00A21682" w:rsidRDefault="000A5AD7" w:rsidP="000A5AD7">
            <w:pPr>
              <w:pStyle w:val="TABLETEXT1"/>
              <w:rPr>
                <w:lang w:val="en-US"/>
              </w:rPr>
            </w:pPr>
            <w:r>
              <w:rPr>
                <w:rFonts w:cs="Calibri"/>
                <w:color w:val="000000"/>
                <w:szCs w:val="18"/>
                <w:lang w:val="en-US"/>
              </w:rPr>
              <w:t>Initial Solution Definition</w:t>
            </w:r>
          </w:p>
        </w:tc>
      </w:tr>
      <w:tr w:rsidR="000A5AD7" w:rsidRPr="00A21682" w14:paraId="3BCE42A0" w14:textId="77777777">
        <w:trPr>
          <w:trHeight w:val="20"/>
        </w:trPr>
        <w:tc>
          <w:tcPr>
            <w:tcW w:w="1707" w:type="dxa"/>
            <w:vAlign w:val="center"/>
          </w:tcPr>
          <w:p w14:paraId="6A4D2CA1" w14:textId="6710554F" w:rsidR="000A5AD7" w:rsidRPr="00A21682" w:rsidRDefault="000A5AD7" w:rsidP="000A5AD7">
            <w:pPr>
              <w:pStyle w:val="TABLETEXT1"/>
              <w:rPr>
                <w:lang w:val="en-US"/>
              </w:rPr>
            </w:pPr>
            <w:r>
              <w:rPr>
                <w:rFonts w:cs="Calibri"/>
                <w:color w:val="000000"/>
                <w:szCs w:val="18"/>
                <w:lang w:val="en-US"/>
              </w:rPr>
              <w:t>ISOW</w:t>
            </w:r>
          </w:p>
        </w:tc>
        <w:tc>
          <w:tcPr>
            <w:tcW w:w="7653" w:type="dxa"/>
            <w:vAlign w:val="center"/>
          </w:tcPr>
          <w:p w14:paraId="2DB60AEF" w14:textId="05009376" w:rsidR="000A5AD7" w:rsidRPr="00A21682" w:rsidRDefault="000A5AD7" w:rsidP="000A5AD7">
            <w:pPr>
              <w:pStyle w:val="TABLETEXT1"/>
              <w:rPr>
                <w:lang w:val="en-US"/>
              </w:rPr>
            </w:pPr>
            <w:r>
              <w:rPr>
                <w:rFonts w:cs="Calibri"/>
                <w:color w:val="000000"/>
                <w:szCs w:val="18"/>
                <w:lang w:val="en-US"/>
              </w:rPr>
              <w:t>Individual Statement of Work</w:t>
            </w:r>
          </w:p>
        </w:tc>
      </w:tr>
      <w:tr w:rsidR="000A5AD7" w:rsidRPr="00A21682" w14:paraId="642A4BCD" w14:textId="77777777">
        <w:trPr>
          <w:trHeight w:val="20"/>
        </w:trPr>
        <w:tc>
          <w:tcPr>
            <w:tcW w:w="1707" w:type="dxa"/>
            <w:vAlign w:val="center"/>
          </w:tcPr>
          <w:p w14:paraId="146CE792" w14:textId="7E4E0AC7" w:rsidR="000A5AD7" w:rsidRPr="00A21682" w:rsidRDefault="000A5AD7" w:rsidP="000A5AD7">
            <w:pPr>
              <w:pStyle w:val="TABLETEXT1"/>
              <w:rPr>
                <w:lang w:val="en-US"/>
              </w:rPr>
            </w:pPr>
            <w:r>
              <w:rPr>
                <w:rFonts w:cs="Calibri"/>
                <w:color w:val="000000"/>
                <w:szCs w:val="18"/>
                <w:lang w:val="en-US"/>
              </w:rPr>
              <w:t>ITS</w:t>
            </w:r>
          </w:p>
        </w:tc>
        <w:tc>
          <w:tcPr>
            <w:tcW w:w="7653" w:type="dxa"/>
            <w:vAlign w:val="center"/>
          </w:tcPr>
          <w:p w14:paraId="30FC8FED" w14:textId="1034FAD6" w:rsidR="000A5AD7" w:rsidRPr="00A21682" w:rsidRDefault="000A5AD7" w:rsidP="000A5AD7">
            <w:pPr>
              <w:pStyle w:val="TABLETEXT1"/>
              <w:rPr>
                <w:lang w:val="en-US"/>
              </w:rPr>
            </w:pPr>
            <w:r>
              <w:rPr>
                <w:rFonts w:cs="Calibri"/>
                <w:color w:val="000000"/>
                <w:szCs w:val="18"/>
                <w:lang w:val="en-US"/>
              </w:rPr>
              <w:t>Information Technology Services</w:t>
            </w:r>
          </w:p>
        </w:tc>
      </w:tr>
      <w:tr w:rsidR="000A5AD7" w:rsidRPr="00A21682" w14:paraId="340B1CD4" w14:textId="77777777">
        <w:trPr>
          <w:trHeight w:val="20"/>
        </w:trPr>
        <w:tc>
          <w:tcPr>
            <w:tcW w:w="1707" w:type="dxa"/>
            <w:vAlign w:val="center"/>
          </w:tcPr>
          <w:p w14:paraId="00D5302E" w14:textId="7DAC9AE6" w:rsidR="000A5AD7" w:rsidRPr="00A21682" w:rsidRDefault="000A5AD7" w:rsidP="000A5AD7">
            <w:pPr>
              <w:pStyle w:val="TABLETEXT1"/>
              <w:rPr>
                <w:lang w:val="en-US"/>
              </w:rPr>
            </w:pPr>
            <w:r>
              <w:rPr>
                <w:rFonts w:cs="Calibri"/>
                <w:color w:val="000000"/>
                <w:szCs w:val="18"/>
                <w:lang w:val="en-US"/>
              </w:rPr>
              <w:t>KPI</w:t>
            </w:r>
          </w:p>
        </w:tc>
        <w:tc>
          <w:tcPr>
            <w:tcW w:w="7653" w:type="dxa"/>
            <w:vAlign w:val="center"/>
          </w:tcPr>
          <w:p w14:paraId="0DA5FDED" w14:textId="0518825F" w:rsidR="000A5AD7" w:rsidRPr="00A21682" w:rsidRDefault="000A5AD7" w:rsidP="000A5AD7">
            <w:pPr>
              <w:pStyle w:val="TABLETEXT1"/>
              <w:rPr>
                <w:lang w:val="en-US"/>
              </w:rPr>
            </w:pPr>
            <w:r>
              <w:rPr>
                <w:rFonts w:cs="Calibri"/>
                <w:color w:val="000000"/>
                <w:szCs w:val="18"/>
                <w:lang w:val="en-US"/>
              </w:rPr>
              <w:t>Key Performance Indicator</w:t>
            </w:r>
          </w:p>
        </w:tc>
      </w:tr>
      <w:tr w:rsidR="000A5AD7" w:rsidRPr="00A21682" w14:paraId="3A5A7781" w14:textId="77777777">
        <w:trPr>
          <w:trHeight w:val="20"/>
        </w:trPr>
        <w:tc>
          <w:tcPr>
            <w:tcW w:w="1707" w:type="dxa"/>
            <w:vAlign w:val="center"/>
          </w:tcPr>
          <w:p w14:paraId="2F2B7B9B" w14:textId="094EC4DA" w:rsidR="000A5AD7" w:rsidRPr="00A21682" w:rsidRDefault="000A5AD7" w:rsidP="000A5AD7">
            <w:pPr>
              <w:pStyle w:val="TABLETEXT1"/>
              <w:rPr>
                <w:lang w:val="en-US"/>
              </w:rPr>
            </w:pPr>
            <w:r>
              <w:rPr>
                <w:rFonts w:cs="Calibri"/>
                <w:color w:val="000000"/>
                <w:szCs w:val="18"/>
                <w:lang w:val="en-US"/>
              </w:rPr>
              <w:t>M&amp;O</w:t>
            </w:r>
          </w:p>
        </w:tc>
        <w:tc>
          <w:tcPr>
            <w:tcW w:w="7653" w:type="dxa"/>
            <w:vAlign w:val="center"/>
          </w:tcPr>
          <w:p w14:paraId="3231C4DF" w14:textId="6B325ED9" w:rsidR="000A5AD7" w:rsidRPr="00A21682" w:rsidRDefault="000A5AD7" w:rsidP="000A5AD7">
            <w:pPr>
              <w:pStyle w:val="TABLETEXT1"/>
              <w:rPr>
                <w:lang w:val="en-US"/>
              </w:rPr>
            </w:pPr>
            <w:r>
              <w:rPr>
                <w:rFonts w:cs="Calibri"/>
                <w:color w:val="000000"/>
                <w:szCs w:val="18"/>
                <w:lang w:val="en-US"/>
              </w:rPr>
              <w:t>Maintenance &amp; Operations</w:t>
            </w:r>
          </w:p>
        </w:tc>
      </w:tr>
      <w:tr w:rsidR="000A5AD7" w:rsidRPr="00A21682" w14:paraId="060031AB" w14:textId="77777777">
        <w:trPr>
          <w:trHeight w:val="20"/>
        </w:trPr>
        <w:tc>
          <w:tcPr>
            <w:tcW w:w="1707" w:type="dxa"/>
            <w:vAlign w:val="center"/>
          </w:tcPr>
          <w:p w14:paraId="5AF2D8D7" w14:textId="36560077" w:rsidR="000A5AD7" w:rsidRPr="00A21682" w:rsidRDefault="000A5AD7" w:rsidP="000A5AD7">
            <w:pPr>
              <w:pStyle w:val="TABLETEXT1"/>
              <w:rPr>
                <w:lang w:val="en-US"/>
              </w:rPr>
            </w:pPr>
            <w:r>
              <w:rPr>
                <w:rFonts w:cs="Calibri"/>
                <w:color w:val="000000"/>
                <w:szCs w:val="18"/>
                <w:lang w:val="en-US"/>
              </w:rPr>
              <w:t>MECM</w:t>
            </w:r>
          </w:p>
        </w:tc>
        <w:tc>
          <w:tcPr>
            <w:tcW w:w="7653" w:type="dxa"/>
            <w:vAlign w:val="center"/>
          </w:tcPr>
          <w:p w14:paraId="31758F1E" w14:textId="567F7023" w:rsidR="000A5AD7" w:rsidRPr="00A21682" w:rsidRDefault="000A5AD7" w:rsidP="000A5AD7">
            <w:pPr>
              <w:pStyle w:val="TABLETEXT1"/>
              <w:rPr>
                <w:lang w:val="en-US"/>
              </w:rPr>
            </w:pPr>
            <w:r>
              <w:rPr>
                <w:rFonts w:cs="Calibri"/>
                <w:color w:val="000000"/>
                <w:szCs w:val="18"/>
                <w:lang w:val="en-US"/>
              </w:rPr>
              <w:t xml:space="preserve">Medicaid Eligibility and Client Management </w:t>
            </w:r>
          </w:p>
        </w:tc>
      </w:tr>
      <w:tr w:rsidR="000A5AD7" w:rsidRPr="00A21682" w14:paraId="43518A8D" w14:textId="77777777">
        <w:trPr>
          <w:trHeight w:val="20"/>
        </w:trPr>
        <w:tc>
          <w:tcPr>
            <w:tcW w:w="1707" w:type="dxa"/>
            <w:vAlign w:val="center"/>
          </w:tcPr>
          <w:p w14:paraId="295DCB0B" w14:textId="03C26044" w:rsidR="000A5AD7" w:rsidRPr="00A21682" w:rsidRDefault="000A5AD7" w:rsidP="000A5AD7">
            <w:pPr>
              <w:pStyle w:val="TABLETEXT1"/>
              <w:rPr>
                <w:lang w:val="en-US"/>
              </w:rPr>
            </w:pPr>
            <w:r>
              <w:rPr>
                <w:rFonts w:cs="Calibri"/>
                <w:color w:val="000000"/>
                <w:szCs w:val="18"/>
                <w:lang w:val="en-US"/>
              </w:rPr>
              <w:t>MITA</w:t>
            </w:r>
          </w:p>
        </w:tc>
        <w:tc>
          <w:tcPr>
            <w:tcW w:w="7653" w:type="dxa"/>
            <w:vAlign w:val="center"/>
          </w:tcPr>
          <w:p w14:paraId="0E4334E9" w14:textId="6AC8A0C1" w:rsidR="000A5AD7" w:rsidRPr="00A21682" w:rsidRDefault="000A5AD7" w:rsidP="000A5AD7">
            <w:pPr>
              <w:pStyle w:val="TABLETEXT1"/>
              <w:rPr>
                <w:lang w:val="en-US"/>
              </w:rPr>
            </w:pPr>
            <w:r>
              <w:rPr>
                <w:rFonts w:cs="Calibri"/>
                <w:color w:val="000000"/>
                <w:szCs w:val="18"/>
                <w:lang w:val="en-US"/>
              </w:rPr>
              <w:t>Medicaid Information Technology Architecture</w:t>
            </w:r>
          </w:p>
        </w:tc>
      </w:tr>
      <w:tr w:rsidR="000A5AD7" w:rsidRPr="00A21682" w14:paraId="3B04ACF4" w14:textId="77777777">
        <w:trPr>
          <w:trHeight w:val="20"/>
        </w:trPr>
        <w:tc>
          <w:tcPr>
            <w:tcW w:w="1707" w:type="dxa"/>
            <w:vAlign w:val="center"/>
          </w:tcPr>
          <w:p w14:paraId="2A3D1263" w14:textId="058BCD6D" w:rsidR="000A5AD7" w:rsidRPr="00A21682" w:rsidRDefault="000A5AD7" w:rsidP="000A5AD7">
            <w:pPr>
              <w:pStyle w:val="TABLETEXT1"/>
              <w:rPr>
                <w:lang w:val="en-US"/>
              </w:rPr>
            </w:pPr>
            <w:r>
              <w:rPr>
                <w:rFonts w:cs="Calibri"/>
                <w:color w:val="000000"/>
                <w:szCs w:val="18"/>
                <w:lang w:val="en-US"/>
              </w:rPr>
              <w:t>MSOW</w:t>
            </w:r>
          </w:p>
        </w:tc>
        <w:tc>
          <w:tcPr>
            <w:tcW w:w="7653" w:type="dxa"/>
            <w:vAlign w:val="center"/>
            <w:hideMark/>
          </w:tcPr>
          <w:p w14:paraId="03F722F4" w14:textId="454324C7" w:rsidR="000A5AD7" w:rsidRPr="00A21682" w:rsidRDefault="000A5AD7" w:rsidP="000A5AD7">
            <w:pPr>
              <w:pStyle w:val="TABLETEXT1"/>
              <w:rPr>
                <w:lang w:val="en-US"/>
              </w:rPr>
            </w:pPr>
            <w:r>
              <w:rPr>
                <w:rFonts w:cs="Calibri"/>
                <w:color w:val="000000"/>
                <w:szCs w:val="18"/>
                <w:lang w:val="en-US"/>
              </w:rPr>
              <w:t>Master Statement of Work</w:t>
            </w:r>
          </w:p>
        </w:tc>
      </w:tr>
      <w:tr w:rsidR="000A5AD7" w:rsidRPr="00A21682" w14:paraId="608BCA55" w14:textId="77777777">
        <w:trPr>
          <w:trHeight w:val="20"/>
        </w:trPr>
        <w:tc>
          <w:tcPr>
            <w:tcW w:w="1707" w:type="dxa"/>
            <w:vAlign w:val="center"/>
          </w:tcPr>
          <w:p w14:paraId="3D6BDCF7" w14:textId="1CE19B7C" w:rsidR="000A5AD7" w:rsidRPr="00A21682" w:rsidRDefault="000A5AD7" w:rsidP="000A5AD7">
            <w:pPr>
              <w:pStyle w:val="TABLETEXT1"/>
              <w:rPr>
                <w:lang w:val="en-US"/>
              </w:rPr>
            </w:pPr>
            <w:r>
              <w:rPr>
                <w:rFonts w:cs="Calibri"/>
                <w:color w:val="000000"/>
                <w:szCs w:val="18"/>
                <w:lang w:val="en-US"/>
              </w:rPr>
              <w:t>Non-MAGI</w:t>
            </w:r>
          </w:p>
        </w:tc>
        <w:tc>
          <w:tcPr>
            <w:tcW w:w="7653" w:type="dxa"/>
            <w:vAlign w:val="center"/>
            <w:hideMark/>
          </w:tcPr>
          <w:p w14:paraId="6E08BEC7" w14:textId="7E9140E3" w:rsidR="000A5AD7" w:rsidRPr="00A21682" w:rsidRDefault="000A5AD7" w:rsidP="000A5AD7">
            <w:pPr>
              <w:pStyle w:val="TABLETEXT1"/>
              <w:rPr>
                <w:lang w:val="en-US"/>
              </w:rPr>
            </w:pPr>
            <w:r>
              <w:rPr>
                <w:rFonts w:cs="Calibri"/>
                <w:color w:val="000000"/>
                <w:szCs w:val="18"/>
                <w:lang w:val="en-US"/>
              </w:rPr>
              <w:t>Short for Non-Modified Adjusted Gross Income. Non-MAGI population groups were not included in ACA’s Medicaid expansion and continue to operate under the eligibility guidelines, application and renewal procedures in place prior to the implementation of the ACA. include those aged 65 and over, disabled with Medicare, and/or Blind with Medicare.</w:t>
            </w:r>
          </w:p>
        </w:tc>
      </w:tr>
      <w:tr w:rsidR="000A5AD7" w:rsidRPr="00A21682" w14:paraId="62F45CDB" w14:textId="77777777">
        <w:trPr>
          <w:trHeight w:val="20"/>
        </w:trPr>
        <w:tc>
          <w:tcPr>
            <w:tcW w:w="1707" w:type="dxa"/>
            <w:vAlign w:val="center"/>
          </w:tcPr>
          <w:p w14:paraId="0AB33351" w14:textId="5243841C" w:rsidR="000A5AD7" w:rsidRPr="00A21682" w:rsidRDefault="000A5AD7" w:rsidP="000A5AD7">
            <w:pPr>
              <w:pStyle w:val="TABLETEXT1"/>
              <w:rPr>
                <w:lang w:val="en-US"/>
              </w:rPr>
            </w:pPr>
            <w:r>
              <w:rPr>
                <w:rFonts w:cs="Calibri"/>
                <w:color w:val="000000"/>
                <w:szCs w:val="18"/>
                <w:lang w:val="en-US"/>
              </w:rPr>
              <w:t>NYS</w:t>
            </w:r>
          </w:p>
        </w:tc>
        <w:tc>
          <w:tcPr>
            <w:tcW w:w="7653" w:type="dxa"/>
            <w:vAlign w:val="center"/>
          </w:tcPr>
          <w:p w14:paraId="17C45B6F" w14:textId="66E43D93" w:rsidR="000A5AD7" w:rsidRPr="00A21682" w:rsidRDefault="000A5AD7" w:rsidP="000A5AD7">
            <w:pPr>
              <w:pStyle w:val="TABLETEXT1"/>
              <w:rPr>
                <w:lang w:val="en-US"/>
              </w:rPr>
            </w:pPr>
            <w:r>
              <w:rPr>
                <w:rFonts w:cs="Calibri"/>
                <w:color w:val="000000"/>
                <w:szCs w:val="18"/>
                <w:lang w:val="en-US"/>
              </w:rPr>
              <w:t>New York State</w:t>
            </w:r>
          </w:p>
        </w:tc>
      </w:tr>
      <w:tr w:rsidR="000A5AD7" w:rsidRPr="00A21682" w14:paraId="4BEE4BB0" w14:textId="77777777">
        <w:trPr>
          <w:trHeight w:val="20"/>
        </w:trPr>
        <w:tc>
          <w:tcPr>
            <w:tcW w:w="1707" w:type="dxa"/>
            <w:vAlign w:val="center"/>
          </w:tcPr>
          <w:p w14:paraId="6DDE0A66" w14:textId="73EB9819" w:rsidR="000A5AD7" w:rsidRPr="00A21682" w:rsidRDefault="000A5AD7" w:rsidP="000A5AD7">
            <w:pPr>
              <w:pStyle w:val="TABLETEXT1"/>
              <w:rPr>
                <w:lang w:val="en-US"/>
              </w:rPr>
            </w:pPr>
            <w:r>
              <w:rPr>
                <w:rFonts w:cs="Calibri"/>
                <w:color w:val="000000"/>
                <w:szCs w:val="18"/>
                <w:lang w:val="en-US"/>
              </w:rPr>
              <w:t>NYSOH</w:t>
            </w:r>
          </w:p>
        </w:tc>
        <w:tc>
          <w:tcPr>
            <w:tcW w:w="7653" w:type="dxa"/>
            <w:vAlign w:val="center"/>
          </w:tcPr>
          <w:p w14:paraId="7A41DDFE" w14:textId="455258F1" w:rsidR="000A5AD7" w:rsidRPr="00A21682" w:rsidRDefault="000A5AD7" w:rsidP="000A5AD7">
            <w:pPr>
              <w:pStyle w:val="TABLETEXT1"/>
              <w:rPr>
                <w:lang w:val="en-US"/>
              </w:rPr>
            </w:pPr>
            <w:r>
              <w:rPr>
                <w:rFonts w:cs="Calibri"/>
                <w:color w:val="000000"/>
                <w:szCs w:val="18"/>
                <w:lang w:val="en-US"/>
              </w:rPr>
              <w:t>New York State of Health</w:t>
            </w:r>
          </w:p>
        </w:tc>
      </w:tr>
      <w:tr w:rsidR="000A5AD7" w:rsidRPr="00A21682" w14:paraId="1EA00716" w14:textId="77777777">
        <w:trPr>
          <w:trHeight w:val="20"/>
        </w:trPr>
        <w:tc>
          <w:tcPr>
            <w:tcW w:w="1707" w:type="dxa"/>
            <w:vAlign w:val="center"/>
          </w:tcPr>
          <w:p w14:paraId="27FDC39E" w14:textId="22177687" w:rsidR="000A5AD7" w:rsidRPr="00A21682" w:rsidRDefault="000A5AD7" w:rsidP="000A5AD7">
            <w:pPr>
              <w:pStyle w:val="TABLETEXT1"/>
              <w:rPr>
                <w:lang w:val="en-US"/>
              </w:rPr>
            </w:pPr>
            <w:r>
              <w:rPr>
                <w:rFonts w:cs="Calibri"/>
                <w:color w:val="000000"/>
                <w:szCs w:val="18"/>
                <w:lang w:val="en-US"/>
              </w:rPr>
              <w:t>OBC</w:t>
            </w:r>
          </w:p>
        </w:tc>
        <w:tc>
          <w:tcPr>
            <w:tcW w:w="7653" w:type="dxa"/>
            <w:vAlign w:val="center"/>
          </w:tcPr>
          <w:p w14:paraId="4D4657B8" w14:textId="7B9B7FFA" w:rsidR="000A5AD7" w:rsidRPr="00A21682" w:rsidRDefault="000A5AD7" w:rsidP="000A5AD7">
            <w:pPr>
              <w:pStyle w:val="TABLETEXT1"/>
              <w:rPr>
                <w:lang w:val="en-US"/>
              </w:rPr>
            </w:pPr>
            <w:r>
              <w:rPr>
                <w:rFonts w:cs="Calibri"/>
                <w:color w:val="000000"/>
                <w:szCs w:val="18"/>
                <w:lang w:val="en-US"/>
              </w:rPr>
              <w:t>Outcome based Certification</w:t>
            </w:r>
          </w:p>
        </w:tc>
      </w:tr>
      <w:tr w:rsidR="000A5AD7" w:rsidRPr="00A21682" w14:paraId="631CE8F7" w14:textId="77777777">
        <w:trPr>
          <w:trHeight w:val="20"/>
        </w:trPr>
        <w:tc>
          <w:tcPr>
            <w:tcW w:w="1707" w:type="dxa"/>
            <w:vAlign w:val="center"/>
          </w:tcPr>
          <w:p w14:paraId="28981AC8" w14:textId="14AD2C84" w:rsidR="000A5AD7" w:rsidRPr="00A21682" w:rsidRDefault="000A5AD7" w:rsidP="000A5AD7">
            <w:pPr>
              <w:pStyle w:val="TABLETEXT1"/>
              <w:rPr>
                <w:lang w:val="en-US"/>
              </w:rPr>
            </w:pPr>
            <w:r>
              <w:rPr>
                <w:rFonts w:cs="Calibri"/>
                <w:color w:val="000000"/>
                <w:szCs w:val="18"/>
                <w:lang w:val="en-US"/>
              </w:rPr>
              <w:t>OCM</w:t>
            </w:r>
          </w:p>
        </w:tc>
        <w:tc>
          <w:tcPr>
            <w:tcW w:w="7653" w:type="dxa"/>
            <w:vAlign w:val="center"/>
          </w:tcPr>
          <w:p w14:paraId="6E4834C2" w14:textId="3374138E" w:rsidR="000A5AD7" w:rsidRPr="00A21682" w:rsidRDefault="000A5AD7" w:rsidP="000A5AD7">
            <w:pPr>
              <w:pStyle w:val="TABLETEXT1"/>
              <w:rPr>
                <w:lang w:val="en-US"/>
              </w:rPr>
            </w:pPr>
            <w:r>
              <w:rPr>
                <w:rFonts w:cs="Calibri"/>
                <w:color w:val="000000"/>
                <w:szCs w:val="18"/>
                <w:lang w:val="en-US"/>
              </w:rPr>
              <w:t>Organizational Change Management</w:t>
            </w:r>
          </w:p>
        </w:tc>
      </w:tr>
      <w:tr w:rsidR="000A5AD7" w:rsidRPr="00A21682" w14:paraId="0EB70F91" w14:textId="77777777">
        <w:trPr>
          <w:trHeight w:val="20"/>
        </w:trPr>
        <w:tc>
          <w:tcPr>
            <w:tcW w:w="1707" w:type="dxa"/>
            <w:vAlign w:val="center"/>
          </w:tcPr>
          <w:p w14:paraId="0FDA86DE" w14:textId="499391CD" w:rsidR="000A5AD7" w:rsidRPr="00A21682" w:rsidRDefault="000A5AD7" w:rsidP="000A5AD7">
            <w:pPr>
              <w:pStyle w:val="TABLETEXT1"/>
              <w:rPr>
                <w:lang w:val="en-US"/>
              </w:rPr>
            </w:pPr>
            <w:r>
              <w:rPr>
                <w:rFonts w:cs="Calibri"/>
                <w:color w:val="000000"/>
                <w:szCs w:val="18"/>
                <w:lang w:val="en-US"/>
              </w:rPr>
              <w:t>OHIP</w:t>
            </w:r>
          </w:p>
        </w:tc>
        <w:tc>
          <w:tcPr>
            <w:tcW w:w="7653" w:type="dxa"/>
            <w:vAlign w:val="center"/>
            <w:hideMark/>
          </w:tcPr>
          <w:p w14:paraId="4D74A3A7" w14:textId="559CE797" w:rsidR="000A5AD7" w:rsidRPr="00A21682" w:rsidRDefault="000A5AD7" w:rsidP="000A5AD7">
            <w:pPr>
              <w:pStyle w:val="TABLETEXT1"/>
              <w:rPr>
                <w:lang w:val="en-US"/>
              </w:rPr>
            </w:pPr>
            <w:r>
              <w:rPr>
                <w:rFonts w:cs="Calibri"/>
                <w:color w:val="000000"/>
                <w:szCs w:val="18"/>
                <w:lang w:val="en-US"/>
              </w:rPr>
              <w:t>Office of Health Insurance Programs</w:t>
            </w:r>
          </w:p>
        </w:tc>
      </w:tr>
      <w:tr w:rsidR="000A5AD7" w:rsidRPr="00A21682" w14:paraId="44AB0BA5" w14:textId="77777777">
        <w:trPr>
          <w:trHeight w:val="20"/>
        </w:trPr>
        <w:tc>
          <w:tcPr>
            <w:tcW w:w="1707" w:type="dxa"/>
            <w:vAlign w:val="center"/>
          </w:tcPr>
          <w:p w14:paraId="1FDCF59C" w14:textId="23B505E6" w:rsidR="000A5AD7" w:rsidRPr="00A21682" w:rsidRDefault="000A5AD7" w:rsidP="000A5AD7">
            <w:pPr>
              <w:pStyle w:val="TABLETEXT1"/>
              <w:rPr>
                <w:lang w:val="en-US"/>
              </w:rPr>
            </w:pPr>
            <w:r>
              <w:rPr>
                <w:rFonts w:cs="Calibri"/>
                <w:color w:val="000000"/>
                <w:szCs w:val="18"/>
                <w:lang w:val="en-US"/>
              </w:rPr>
              <w:t>OPA</w:t>
            </w:r>
          </w:p>
        </w:tc>
        <w:tc>
          <w:tcPr>
            <w:tcW w:w="7653" w:type="dxa"/>
            <w:vAlign w:val="center"/>
          </w:tcPr>
          <w:p w14:paraId="7AC72388" w14:textId="653F06BF" w:rsidR="000A5AD7" w:rsidRPr="00A21682" w:rsidRDefault="000A5AD7" w:rsidP="000A5AD7">
            <w:pPr>
              <w:pStyle w:val="TABLETEXT1"/>
              <w:rPr>
                <w:lang w:val="en-US"/>
              </w:rPr>
            </w:pPr>
            <w:r>
              <w:rPr>
                <w:rFonts w:cs="Calibri"/>
                <w:color w:val="000000"/>
                <w:szCs w:val="18"/>
                <w:lang w:val="en-US"/>
              </w:rPr>
              <w:t>Oracle Policy Automation</w:t>
            </w:r>
          </w:p>
        </w:tc>
      </w:tr>
      <w:tr w:rsidR="000A5AD7" w:rsidRPr="00A21682" w14:paraId="134D3781" w14:textId="77777777">
        <w:trPr>
          <w:trHeight w:val="20"/>
        </w:trPr>
        <w:tc>
          <w:tcPr>
            <w:tcW w:w="1707" w:type="dxa"/>
            <w:vAlign w:val="center"/>
          </w:tcPr>
          <w:p w14:paraId="70EAA0DD" w14:textId="25C8F6E9" w:rsidR="000A5AD7" w:rsidRPr="00A21682" w:rsidRDefault="000A5AD7" w:rsidP="000A5AD7">
            <w:pPr>
              <w:pStyle w:val="TABLETEXT1"/>
              <w:rPr>
                <w:lang w:val="en-US"/>
              </w:rPr>
            </w:pPr>
            <w:r>
              <w:rPr>
                <w:rFonts w:cs="Calibri"/>
                <w:color w:val="000000"/>
                <w:szCs w:val="18"/>
                <w:lang w:val="en-US"/>
              </w:rPr>
              <w:t>ORT</w:t>
            </w:r>
          </w:p>
        </w:tc>
        <w:tc>
          <w:tcPr>
            <w:tcW w:w="7653" w:type="dxa"/>
            <w:vAlign w:val="center"/>
            <w:hideMark/>
          </w:tcPr>
          <w:p w14:paraId="742A3C03" w14:textId="21C2A5B5" w:rsidR="000A5AD7" w:rsidRPr="00A21682" w:rsidRDefault="000A5AD7" w:rsidP="000A5AD7">
            <w:pPr>
              <w:pStyle w:val="TABLETEXT1"/>
              <w:rPr>
                <w:lang w:val="en-US"/>
              </w:rPr>
            </w:pPr>
            <w:r>
              <w:rPr>
                <w:rFonts w:cs="Calibri"/>
                <w:color w:val="000000"/>
                <w:szCs w:val="18"/>
                <w:lang w:val="en-US"/>
              </w:rPr>
              <w:t>Operation Readiness Test</w:t>
            </w:r>
          </w:p>
        </w:tc>
      </w:tr>
      <w:tr w:rsidR="000A5AD7" w:rsidRPr="00A21682" w14:paraId="5638E4DE" w14:textId="77777777">
        <w:trPr>
          <w:trHeight w:val="20"/>
        </w:trPr>
        <w:tc>
          <w:tcPr>
            <w:tcW w:w="1707" w:type="dxa"/>
            <w:vAlign w:val="center"/>
          </w:tcPr>
          <w:p w14:paraId="1456FF72" w14:textId="369A2E08" w:rsidR="000A5AD7" w:rsidRPr="00A21682" w:rsidRDefault="000A5AD7" w:rsidP="000A5AD7">
            <w:pPr>
              <w:pStyle w:val="TABLETEXT1"/>
              <w:rPr>
                <w:lang w:val="en-US"/>
              </w:rPr>
            </w:pPr>
            <w:r>
              <w:rPr>
                <w:rFonts w:cs="Calibri"/>
                <w:color w:val="000000"/>
                <w:szCs w:val="18"/>
                <w:lang w:val="en-US"/>
              </w:rPr>
              <w:t>PAE</w:t>
            </w:r>
          </w:p>
        </w:tc>
        <w:tc>
          <w:tcPr>
            <w:tcW w:w="7653" w:type="dxa"/>
            <w:vAlign w:val="center"/>
          </w:tcPr>
          <w:p w14:paraId="68927900" w14:textId="09693290" w:rsidR="000A5AD7" w:rsidRPr="00A21682" w:rsidRDefault="000A5AD7" w:rsidP="000A5AD7">
            <w:pPr>
              <w:pStyle w:val="TABLETEXT1"/>
              <w:rPr>
                <w:lang w:val="en-US"/>
              </w:rPr>
            </w:pPr>
            <w:r>
              <w:rPr>
                <w:rFonts w:cs="Calibri"/>
                <w:color w:val="000000"/>
                <w:szCs w:val="18"/>
                <w:lang w:val="en-US"/>
              </w:rPr>
              <w:t>Project Administration and Execution</w:t>
            </w:r>
          </w:p>
        </w:tc>
      </w:tr>
      <w:tr w:rsidR="000A5AD7" w:rsidRPr="00A21682" w14:paraId="3FBA596A" w14:textId="77777777">
        <w:trPr>
          <w:trHeight w:val="20"/>
        </w:trPr>
        <w:tc>
          <w:tcPr>
            <w:tcW w:w="1707" w:type="dxa"/>
            <w:vAlign w:val="center"/>
          </w:tcPr>
          <w:p w14:paraId="5FB0F9C1" w14:textId="69ED1591" w:rsidR="000A5AD7" w:rsidRPr="00A21682" w:rsidRDefault="000A5AD7" w:rsidP="000A5AD7">
            <w:pPr>
              <w:pStyle w:val="TABLETEXT1"/>
              <w:rPr>
                <w:lang w:val="en-US"/>
              </w:rPr>
            </w:pPr>
            <w:r>
              <w:rPr>
                <w:rFonts w:cs="Calibri"/>
                <w:color w:val="000000"/>
                <w:szCs w:val="18"/>
                <w:lang w:val="en-US"/>
              </w:rPr>
              <w:t>PMBOK</w:t>
            </w:r>
          </w:p>
        </w:tc>
        <w:tc>
          <w:tcPr>
            <w:tcW w:w="7653" w:type="dxa"/>
            <w:vAlign w:val="center"/>
          </w:tcPr>
          <w:p w14:paraId="236A4A8A" w14:textId="7CCF5B40" w:rsidR="000A5AD7" w:rsidRPr="00A21682" w:rsidRDefault="000A5AD7" w:rsidP="000A5AD7">
            <w:pPr>
              <w:pStyle w:val="TABLETEXT1"/>
              <w:rPr>
                <w:lang w:val="en-US"/>
              </w:rPr>
            </w:pPr>
            <w:r>
              <w:rPr>
                <w:rFonts w:cs="Calibri"/>
                <w:color w:val="000000"/>
                <w:szCs w:val="18"/>
                <w:lang w:val="en-US"/>
              </w:rPr>
              <w:t>Project Management Body of Knowledge</w:t>
            </w:r>
          </w:p>
        </w:tc>
      </w:tr>
      <w:tr w:rsidR="000A5AD7" w:rsidRPr="00A21682" w14:paraId="62F598A6" w14:textId="77777777">
        <w:trPr>
          <w:trHeight w:val="20"/>
        </w:trPr>
        <w:tc>
          <w:tcPr>
            <w:tcW w:w="1707" w:type="dxa"/>
            <w:vAlign w:val="center"/>
          </w:tcPr>
          <w:p w14:paraId="6B0503B5" w14:textId="48BFEA9C" w:rsidR="000A5AD7" w:rsidRPr="00A21682" w:rsidRDefault="000A5AD7" w:rsidP="000A5AD7">
            <w:pPr>
              <w:pStyle w:val="TABLETEXT1"/>
              <w:rPr>
                <w:lang w:val="en-US"/>
              </w:rPr>
            </w:pPr>
            <w:r>
              <w:rPr>
                <w:rFonts w:cs="Calibri"/>
                <w:color w:val="000000"/>
                <w:szCs w:val="18"/>
                <w:lang w:val="en-US"/>
              </w:rPr>
              <w:t>PMI</w:t>
            </w:r>
          </w:p>
        </w:tc>
        <w:tc>
          <w:tcPr>
            <w:tcW w:w="7653" w:type="dxa"/>
            <w:vAlign w:val="center"/>
          </w:tcPr>
          <w:p w14:paraId="3A6C2C8B" w14:textId="3B61EA41" w:rsidR="000A5AD7" w:rsidRPr="00A21682" w:rsidRDefault="000A5AD7" w:rsidP="000A5AD7">
            <w:pPr>
              <w:pStyle w:val="TABLETEXT1"/>
              <w:rPr>
                <w:lang w:val="en-US"/>
              </w:rPr>
            </w:pPr>
            <w:r>
              <w:rPr>
                <w:rFonts w:cs="Calibri"/>
                <w:color w:val="000000"/>
                <w:szCs w:val="18"/>
                <w:lang w:val="en-US"/>
              </w:rPr>
              <w:t>Project Management Institute</w:t>
            </w:r>
          </w:p>
        </w:tc>
      </w:tr>
      <w:tr w:rsidR="000A5AD7" w:rsidRPr="00A21682" w14:paraId="1494CF6F" w14:textId="77777777">
        <w:trPr>
          <w:trHeight w:val="20"/>
        </w:trPr>
        <w:tc>
          <w:tcPr>
            <w:tcW w:w="1707" w:type="dxa"/>
            <w:vAlign w:val="center"/>
          </w:tcPr>
          <w:p w14:paraId="02EE1570" w14:textId="4D0F20EC" w:rsidR="000A5AD7" w:rsidRPr="00A21682" w:rsidRDefault="000A5AD7" w:rsidP="000A5AD7">
            <w:pPr>
              <w:pStyle w:val="TABLETEXT1"/>
              <w:rPr>
                <w:lang w:val="en-US"/>
              </w:rPr>
            </w:pPr>
            <w:r>
              <w:rPr>
                <w:rFonts w:cs="Calibri"/>
                <w:color w:val="000000"/>
                <w:szCs w:val="18"/>
                <w:lang w:val="en-US"/>
              </w:rPr>
              <w:t>PMO</w:t>
            </w:r>
          </w:p>
        </w:tc>
        <w:tc>
          <w:tcPr>
            <w:tcW w:w="7653" w:type="dxa"/>
            <w:vAlign w:val="center"/>
          </w:tcPr>
          <w:p w14:paraId="02B92A34" w14:textId="31D1F73C" w:rsidR="000A5AD7" w:rsidRPr="00A21682" w:rsidRDefault="000A5AD7" w:rsidP="000A5AD7">
            <w:pPr>
              <w:pStyle w:val="TABLETEXT1"/>
              <w:rPr>
                <w:lang w:val="en-US"/>
              </w:rPr>
            </w:pPr>
            <w:r>
              <w:rPr>
                <w:rFonts w:cs="Calibri"/>
                <w:color w:val="000000"/>
                <w:szCs w:val="18"/>
                <w:lang w:val="en-US"/>
              </w:rPr>
              <w:t>Project Management Office</w:t>
            </w:r>
          </w:p>
        </w:tc>
      </w:tr>
      <w:tr w:rsidR="000A5AD7" w:rsidRPr="00A21682" w14:paraId="375029FB" w14:textId="77777777">
        <w:trPr>
          <w:trHeight w:val="20"/>
        </w:trPr>
        <w:tc>
          <w:tcPr>
            <w:tcW w:w="1707" w:type="dxa"/>
            <w:vAlign w:val="center"/>
          </w:tcPr>
          <w:p w14:paraId="2BE684D3" w14:textId="1A6526B1" w:rsidR="000A5AD7" w:rsidRPr="00A21682" w:rsidRDefault="000A5AD7" w:rsidP="000A5AD7">
            <w:pPr>
              <w:pStyle w:val="TABLETEXT1"/>
              <w:rPr>
                <w:lang w:val="en-US"/>
              </w:rPr>
            </w:pPr>
            <w:r>
              <w:rPr>
                <w:rFonts w:cs="Calibri"/>
                <w:color w:val="000000"/>
                <w:szCs w:val="18"/>
                <w:lang w:val="en-US"/>
              </w:rPr>
              <w:t>PMP</w:t>
            </w:r>
          </w:p>
        </w:tc>
        <w:tc>
          <w:tcPr>
            <w:tcW w:w="7653" w:type="dxa"/>
            <w:vAlign w:val="center"/>
          </w:tcPr>
          <w:p w14:paraId="45826B03" w14:textId="0C47C43C" w:rsidR="000A5AD7" w:rsidRPr="00A21682" w:rsidRDefault="000A5AD7" w:rsidP="000A5AD7">
            <w:pPr>
              <w:pStyle w:val="TABLETEXT1"/>
              <w:rPr>
                <w:lang w:val="en-US"/>
              </w:rPr>
            </w:pPr>
            <w:r>
              <w:rPr>
                <w:rFonts w:cs="Calibri"/>
                <w:color w:val="000000"/>
                <w:szCs w:val="18"/>
                <w:lang w:val="en-US"/>
              </w:rPr>
              <w:t>Project Management Plan</w:t>
            </w:r>
          </w:p>
        </w:tc>
      </w:tr>
      <w:tr w:rsidR="000A5AD7" w:rsidRPr="00A21682" w14:paraId="1479E1FB" w14:textId="77777777">
        <w:trPr>
          <w:trHeight w:val="20"/>
        </w:trPr>
        <w:tc>
          <w:tcPr>
            <w:tcW w:w="1707" w:type="dxa"/>
            <w:vAlign w:val="center"/>
          </w:tcPr>
          <w:p w14:paraId="19675E7F" w14:textId="06B5DB52" w:rsidR="000A5AD7" w:rsidRPr="00A21682" w:rsidRDefault="000A5AD7" w:rsidP="000A5AD7">
            <w:pPr>
              <w:pStyle w:val="TABLETEXT1"/>
              <w:rPr>
                <w:lang w:val="en-US"/>
              </w:rPr>
            </w:pPr>
            <w:r>
              <w:rPr>
                <w:rFonts w:cs="Calibri"/>
                <w:color w:val="000000"/>
                <w:szCs w:val="18"/>
                <w:lang w:val="en-US"/>
              </w:rPr>
              <w:t>PSC</w:t>
            </w:r>
          </w:p>
        </w:tc>
        <w:tc>
          <w:tcPr>
            <w:tcW w:w="7653" w:type="dxa"/>
            <w:vAlign w:val="center"/>
          </w:tcPr>
          <w:p w14:paraId="2DA0FF96" w14:textId="1544FD79" w:rsidR="000A5AD7" w:rsidRPr="00A21682" w:rsidRDefault="000A5AD7" w:rsidP="000A5AD7">
            <w:pPr>
              <w:pStyle w:val="TABLETEXT1"/>
              <w:rPr>
                <w:lang w:val="en-US"/>
              </w:rPr>
            </w:pPr>
            <w:r>
              <w:rPr>
                <w:rFonts w:cs="Calibri"/>
                <w:color w:val="000000"/>
                <w:szCs w:val="18"/>
                <w:lang w:val="en-US"/>
              </w:rPr>
              <w:t>Project Steering Committee</w:t>
            </w:r>
          </w:p>
        </w:tc>
      </w:tr>
      <w:tr w:rsidR="000A5AD7" w:rsidRPr="00A21682" w14:paraId="30E32E79" w14:textId="77777777">
        <w:trPr>
          <w:trHeight w:val="20"/>
        </w:trPr>
        <w:tc>
          <w:tcPr>
            <w:tcW w:w="1707" w:type="dxa"/>
            <w:vAlign w:val="center"/>
          </w:tcPr>
          <w:p w14:paraId="22DF0E69" w14:textId="6F3E4A58" w:rsidR="000A5AD7" w:rsidRPr="00A21682" w:rsidRDefault="000A5AD7" w:rsidP="000A5AD7">
            <w:pPr>
              <w:pStyle w:val="TABLETEXT1"/>
              <w:rPr>
                <w:lang w:val="en-US"/>
              </w:rPr>
            </w:pPr>
            <w:r>
              <w:rPr>
                <w:rFonts w:cs="Calibri"/>
                <w:color w:val="000000"/>
                <w:szCs w:val="18"/>
                <w:lang w:val="en-US"/>
              </w:rPr>
              <w:t>PSR</w:t>
            </w:r>
          </w:p>
        </w:tc>
        <w:tc>
          <w:tcPr>
            <w:tcW w:w="7653" w:type="dxa"/>
            <w:vAlign w:val="center"/>
            <w:hideMark/>
          </w:tcPr>
          <w:p w14:paraId="62389CC5" w14:textId="61329473" w:rsidR="000A5AD7" w:rsidRPr="00A21682" w:rsidRDefault="000A5AD7" w:rsidP="000A5AD7">
            <w:pPr>
              <w:pStyle w:val="TABLETEXT1"/>
              <w:rPr>
                <w:lang w:val="en-US"/>
              </w:rPr>
            </w:pPr>
            <w:r>
              <w:rPr>
                <w:rFonts w:cs="Calibri"/>
                <w:color w:val="000000"/>
                <w:szCs w:val="18"/>
                <w:lang w:val="en-US"/>
              </w:rPr>
              <w:t>Project Status Report</w:t>
            </w:r>
          </w:p>
        </w:tc>
      </w:tr>
      <w:tr w:rsidR="000A5AD7" w:rsidRPr="00A21682" w14:paraId="79C05386" w14:textId="77777777">
        <w:trPr>
          <w:trHeight w:val="20"/>
        </w:trPr>
        <w:tc>
          <w:tcPr>
            <w:tcW w:w="1707" w:type="dxa"/>
            <w:vAlign w:val="center"/>
          </w:tcPr>
          <w:p w14:paraId="167AA9EE" w14:textId="0546393B" w:rsidR="000A5AD7" w:rsidRPr="00A21682" w:rsidRDefault="000A5AD7" w:rsidP="000A5AD7">
            <w:pPr>
              <w:pStyle w:val="TABLETEXT1"/>
              <w:rPr>
                <w:lang w:val="en-US"/>
              </w:rPr>
            </w:pPr>
            <w:r>
              <w:rPr>
                <w:rFonts w:cs="Calibri"/>
                <w:color w:val="000000"/>
                <w:szCs w:val="18"/>
                <w:lang w:val="en-US"/>
              </w:rPr>
              <w:t>QA</w:t>
            </w:r>
          </w:p>
        </w:tc>
        <w:tc>
          <w:tcPr>
            <w:tcW w:w="7653" w:type="dxa"/>
            <w:vAlign w:val="center"/>
            <w:hideMark/>
          </w:tcPr>
          <w:p w14:paraId="7AD5DE5B" w14:textId="285D57D1" w:rsidR="000A5AD7" w:rsidRPr="00A21682" w:rsidRDefault="000A5AD7" w:rsidP="000A5AD7">
            <w:pPr>
              <w:pStyle w:val="TABLETEXT1"/>
              <w:rPr>
                <w:lang w:val="en-US"/>
              </w:rPr>
            </w:pPr>
            <w:r>
              <w:rPr>
                <w:rFonts w:cs="Calibri"/>
                <w:color w:val="000000"/>
                <w:szCs w:val="18"/>
                <w:lang w:val="en-US"/>
              </w:rPr>
              <w:t>Quality Assurance</w:t>
            </w:r>
          </w:p>
        </w:tc>
      </w:tr>
      <w:tr w:rsidR="000A5AD7" w:rsidRPr="00A21682" w14:paraId="3A3DCD8F" w14:textId="77777777">
        <w:trPr>
          <w:trHeight w:val="20"/>
        </w:trPr>
        <w:tc>
          <w:tcPr>
            <w:tcW w:w="1707" w:type="dxa"/>
            <w:vAlign w:val="center"/>
          </w:tcPr>
          <w:p w14:paraId="62512F4B" w14:textId="0AB7AEEA" w:rsidR="000A5AD7" w:rsidRPr="00A21682" w:rsidRDefault="000A5AD7" w:rsidP="000A5AD7">
            <w:pPr>
              <w:pStyle w:val="TABLETEXT1"/>
              <w:rPr>
                <w:lang w:val="en-US"/>
              </w:rPr>
            </w:pPr>
            <w:r>
              <w:rPr>
                <w:rFonts w:cs="Calibri"/>
                <w:color w:val="000000"/>
                <w:szCs w:val="18"/>
                <w:lang w:val="en-US"/>
              </w:rPr>
              <w:t>QA/QC</w:t>
            </w:r>
          </w:p>
        </w:tc>
        <w:tc>
          <w:tcPr>
            <w:tcW w:w="7653" w:type="dxa"/>
            <w:vAlign w:val="center"/>
          </w:tcPr>
          <w:p w14:paraId="5F903493" w14:textId="6C056448" w:rsidR="000A5AD7" w:rsidRPr="00A21682" w:rsidRDefault="000A5AD7" w:rsidP="000A5AD7">
            <w:pPr>
              <w:pStyle w:val="TABLETEXT1"/>
              <w:rPr>
                <w:lang w:val="en-US"/>
              </w:rPr>
            </w:pPr>
            <w:r>
              <w:rPr>
                <w:rFonts w:cs="Calibri"/>
                <w:color w:val="000000"/>
                <w:szCs w:val="18"/>
                <w:lang w:val="en-US"/>
              </w:rPr>
              <w:t>Quality Assurance/Quality Control</w:t>
            </w:r>
          </w:p>
        </w:tc>
      </w:tr>
      <w:tr w:rsidR="000A5AD7" w:rsidRPr="00A21682" w14:paraId="23AB4C52" w14:textId="77777777">
        <w:trPr>
          <w:trHeight w:val="20"/>
        </w:trPr>
        <w:tc>
          <w:tcPr>
            <w:tcW w:w="1707" w:type="dxa"/>
            <w:vAlign w:val="center"/>
          </w:tcPr>
          <w:p w14:paraId="7003BED6" w14:textId="61E18022" w:rsidR="000A5AD7" w:rsidRPr="00A21682" w:rsidRDefault="000A5AD7" w:rsidP="000A5AD7">
            <w:pPr>
              <w:pStyle w:val="TABLETEXT1"/>
              <w:rPr>
                <w:lang w:val="en-US"/>
              </w:rPr>
            </w:pPr>
            <w:r>
              <w:rPr>
                <w:rFonts w:cs="Calibri"/>
                <w:color w:val="000000"/>
                <w:szCs w:val="18"/>
                <w:lang w:val="en-US"/>
              </w:rPr>
              <w:t>QMP</w:t>
            </w:r>
          </w:p>
        </w:tc>
        <w:tc>
          <w:tcPr>
            <w:tcW w:w="7653" w:type="dxa"/>
            <w:vAlign w:val="center"/>
            <w:hideMark/>
          </w:tcPr>
          <w:p w14:paraId="5ABD1A6A" w14:textId="71DB9EE8" w:rsidR="000A5AD7" w:rsidRPr="00A21682" w:rsidRDefault="000A5AD7" w:rsidP="000A5AD7">
            <w:pPr>
              <w:pStyle w:val="TABLETEXT1"/>
              <w:rPr>
                <w:lang w:val="en-US"/>
              </w:rPr>
            </w:pPr>
            <w:r>
              <w:rPr>
                <w:rFonts w:cs="Calibri"/>
                <w:color w:val="000000"/>
                <w:szCs w:val="18"/>
                <w:lang w:val="en-US"/>
              </w:rPr>
              <w:t>Quality Management Plan</w:t>
            </w:r>
          </w:p>
        </w:tc>
      </w:tr>
      <w:tr w:rsidR="000A5AD7" w:rsidRPr="00A21682" w14:paraId="1FE385EC" w14:textId="77777777">
        <w:trPr>
          <w:trHeight w:val="20"/>
        </w:trPr>
        <w:tc>
          <w:tcPr>
            <w:tcW w:w="1707" w:type="dxa"/>
            <w:vAlign w:val="center"/>
          </w:tcPr>
          <w:p w14:paraId="4D47216E" w14:textId="7D1F8ECB" w:rsidR="000A5AD7" w:rsidRPr="00A21682" w:rsidRDefault="000A5AD7" w:rsidP="000A5AD7">
            <w:pPr>
              <w:pStyle w:val="TABLETEXT1"/>
              <w:rPr>
                <w:lang w:val="en-US"/>
              </w:rPr>
            </w:pPr>
            <w:r>
              <w:rPr>
                <w:rFonts w:cs="Calibri"/>
                <w:color w:val="000000"/>
                <w:szCs w:val="18"/>
                <w:lang w:val="en-US"/>
              </w:rPr>
              <w:t>RACI</w:t>
            </w:r>
          </w:p>
        </w:tc>
        <w:tc>
          <w:tcPr>
            <w:tcW w:w="7653" w:type="dxa"/>
            <w:vAlign w:val="center"/>
          </w:tcPr>
          <w:p w14:paraId="3CDA5B0B" w14:textId="67AC36A4" w:rsidR="000A5AD7" w:rsidRPr="00A21682" w:rsidRDefault="000A5AD7" w:rsidP="000A5AD7">
            <w:pPr>
              <w:pStyle w:val="TABLETEXT1"/>
              <w:rPr>
                <w:lang w:val="en-US"/>
              </w:rPr>
            </w:pPr>
            <w:r>
              <w:rPr>
                <w:rFonts w:cs="Calibri"/>
                <w:color w:val="000000"/>
                <w:szCs w:val="18"/>
                <w:lang w:val="en-US"/>
              </w:rPr>
              <w:t xml:space="preserve">A type of responsibility assignment matrix (RAM) in project management. In practice, it’s a simple spreadsheet or table that lists all stakeholders on a project </w:t>
            </w:r>
            <w:r>
              <w:rPr>
                <w:rFonts w:cs="Calibri"/>
                <w:color w:val="000000"/>
                <w:szCs w:val="18"/>
                <w:lang w:val="en-US"/>
              </w:rPr>
              <w:lastRenderedPageBreak/>
              <w:t>and their level involvement in each task, denoted with the letters R, A, C or I.  Responsible, Accountable, Consulted, and Informed</w:t>
            </w:r>
          </w:p>
        </w:tc>
      </w:tr>
      <w:tr w:rsidR="000A5AD7" w:rsidRPr="00A21682" w14:paraId="2747D01E" w14:textId="77777777">
        <w:trPr>
          <w:trHeight w:val="20"/>
        </w:trPr>
        <w:tc>
          <w:tcPr>
            <w:tcW w:w="1707" w:type="dxa"/>
            <w:vAlign w:val="center"/>
          </w:tcPr>
          <w:p w14:paraId="1851AAFA" w14:textId="5BC0E4FB" w:rsidR="000A5AD7" w:rsidRPr="00A21682" w:rsidRDefault="000A5AD7" w:rsidP="000A5AD7">
            <w:pPr>
              <w:pStyle w:val="TABLETEXT1"/>
              <w:rPr>
                <w:lang w:val="en-US"/>
              </w:rPr>
            </w:pPr>
            <w:r>
              <w:rPr>
                <w:rFonts w:cs="Calibri"/>
                <w:color w:val="000000"/>
                <w:szCs w:val="18"/>
                <w:lang w:val="en-US"/>
              </w:rPr>
              <w:t>RAID</w:t>
            </w:r>
          </w:p>
        </w:tc>
        <w:tc>
          <w:tcPr>
            <w:tcW w:w="7653" w:type="dxa"/>
            <w:vAlign w:val="center"/>
          </w:tcPr>
          <w:p w14:paraId="1018ECF9" w14:textId="084CDCEF" w:rsidR="000A5AD7" w:rsidRPr="00A21682" w:rsidRDefault="000A5AD7" w:rsidP="000A5AD7">
            <w:pPr>
              <w:pStyle w:val="TABLETEXT1"/>
              <w:rPr>
                <w:lang w:val="en-US"/>
              </w:rPr>
            </w:pPr>
            <w:r>
              <w:rPr>
                <w:rFonts w:cs="Calibri"/>
                <w:color w:val="000000"/>
                <w:szCs w:val="18"/>
                <w:lang w:val="en-US"/>
              </w:rPr>
              <w:t>Risks, Assumptions, Issues, Dependencies</w:t>
            </w:r>
          </w:p>
        </w:tc>
      </w:tr>
      <w:tr w:rsidR="000A5AD7" w:rsidRPr="00A21682" w14:paraId="04D43558" w14:textId="77777777">
        <w:trPr>
          <w:trHeight w:val="20"/>
        </w:trPr>
        <w:tc>
          <w:tcPr>
            <w:tcW w:w="1707" w:type="dxa"/>
            <w:vAlign w:val="center"/>
          </w:tcPr>
          <w:p w14:paraId="14E53A39" w14:textId="164BA931" w:rsidR="000A5AD7" w:rsidRPr="00A21682" w:rsidRDefault="000A5AD7" w:rsidP="000A5AD7">
            <w:pPr>
              <w:pStyle w:val="TABLETEXT1"/>
              <w:rPr>
                <w:lang w:val="en-US"/>
              </w:rPr>
            </w:pPr>
            <w:r>
              <w:rPr>
                <w:rFonts w:cs="Calibri"/>
                <w:color w:val="000000"/>
                <w:szCs w:val="18"/>
                <w:lang w:val="en-US"/>
              </w:rPr>
              <w:t>RPO</w:t>
            </w:r>
          </w:p>
        </w:tc>
        <w:tc>
          <w:tcPr>
            <w:tcW w:w="7653" w:type="dxa"/>
            <w:vAlign w:val="center"/>
          </w:tcPr>
          <w:p w14:paraId="38F75DBF" w14:textId="5EE088F4" w:rsidR="000A5AD7" w:rsidRPr="00A21682" w:rsidRDefault="000A5AD7" w:rsidP="000A5AD7">
            <w:pPr>
              <w:pStyle w:val="TABLETEXT1"/>
              <w:rPr>
                <w:lang w:val="en-US"/>
              </w:rPr>
            </w:pPr>
            <w:r>
              <w:rPr>
                <w:rFonts w:cs="Calibri"/>
                <w:color w:val="000000"/>
                <w:szCs w:val="18"/>
                <w:lang w:val="en-US"/>
              </w:rPr>
              <w:t>Recovery Point Objective</w:t>
            </w:r>
          </w:p>
        </w:tc>
      </w:tr>
      <w:tr w:rsidR="000A5AD7" w:rsidRPr="00A21682" w14:paraId="11286CED" w14:textId="77777777">
        <w:trPr>
          <w:trHeight w:val="20"/>
        </w:trPr>
        <w:tc>
          <w:tcPr>
            <w:tcW w:w="1707" w:type="dxa"/>
            <w:vAlign w:val="center"/>
          </w:tcPr>
          <w:p w14:paraId="49AE57D4" w14:textId="11A04F63" w:rsidR="000A5AD7" w:rsidRPr="00A21682" w:rsidRDefault="000A5AD7" w:rsidP="000A5AD7">
            <w:pPr>
              <w:pStyle w:val="TABLETEXT1"/>
              <w:rPr>
                <w:lang w:val="en-US"/>
              </w:rPr>
            </w:pPr>
            <w:r>
              <w:rPr>
                <w:rFonts w:cs="Calibri"/>
                <w:color w:val="000000"/>
                <w:szCs w:val="18"/>
                <w:lang w:val="en-US"/>
              </w:rPr>
              <w:t>RSD</w:t>
            </w:r>
          </w:p>
        </w:tc>
        <w:tc>
          <w:tcPr>
            <w:tcW w:w="7653" w:type="dxa"/>
            <w:vAlign w:val="center"/>
            <w:hideMark/>
          </w:tcPr>
          <w:p w14:paraId="406C2DDE" w14:textId="2CAB4C77" w:rsidR="000A5AD7" w:rsidRPr="00A21682" w:rsidRDefault="000A5AD7" w:rsidP="000A5AD7">
            <w:pPr>
              <w:pStyle w:val="TABLETEXT1"/>
              <w:rPr>
                <w:lang w:val="en-US"/>
              </w:rPr>
            </w:pPr>
            <w:r>
              <w:rPr>
                <w:rFonts w:cs="Calibri"/>
                <w:color w:val="000000"/>
                <w:szCs w:val="18"/>
                <w:lang w:val="en-US"/>
              </w:rPr>
              <w:t>Requirements Specification Document</w:t>
            </w:r>
          </w:p>
        </w:tc>
      </w:tr>
      <w:tr w:rsidR="000A5AD7" w:rsidRPr="00A21682" w14:paraId="50500C73" w14:textId="77777777">
        <w:trPr>
          <w:trHeight w:val="20"/>
        </w:trPr>
        <w:tc>
          <w:tcPr>
            <w:tcW w:w="1707" w:type="dxa"/>
            <w:vAlign w:val="center"/>
          </w:tcPr>
          <w:p w14:paraId="56E77A51" w14:textId="3F7C5237" w:rsidR="000A5AD7" w:rsidRPr="00A21682" w:rsidRDefault="000A5AD7" w:rsidP="000A5AD7">
            <w:pPr>
              <w:pStyle w:val="TABLETEXT1"/>
              <w:rPr>
                <w:lang w:val="en-US"/>
              </w:rPr>
            </w:pPr>
            <w:r>
              <w:rPr>
                <w:rFonts w:cs="Calibri"/>
                <w:color w:val="000000"/>
                <w:szCs w:val="18"/>
                <w:lang w:val="en-US"/>
              </w:rPr>
              <w:t>RTM</w:t>
            </w:r>
          </w:p>
        </w:tc>
        <w:tc>
          <w:tcPr>
            <w:tcW w:w="7653" w:type="dxa"/>
            <w:vAlign w:val="center"/>
          </w:tcPr>
          <w:p w14:paraId="094C5470" w14:textId="5F3B6B6E" w:rsidR="000A5AD7" w:rsidRPr="00A21682" w:rsidRDefault="000A5AD7" w:rsidP="000A5AD7">
            <w:pPr>
              <w:pStyle w:val="TABLETEXT1"/>
              <w:rPr>
                <w:lang w:val="en-US"/>
              </w:rPr>
            </w:pPr>
            <w:r>
              <w:rPr>
                <w:rFonts w:cs="Calibri"/>
                <w:color w:val="000000"/>
                <w:szCs w:val="18"/>
                <w:lang w:val="en-US"/>
              </w:rPr>
              <w:t>Requirements Traceability Matrix</w:t>
            </w:r>
          </w:p>
        </w:tc>
      </w:tr>
      <w:tr w:rsidR="000A5AD7" w:rsidRPr="00A21682" w14:paraId="1F5F6DAD" w14:textId="77777777">
        <w:trPr>
          <w:trHeight w:val="20"/>
        </w:trPr>
        <w:tc>
          <w:tcPr>
            <w:tcW w:w="1707" w:type="dxa"/>
            <w:vAlign w:val="center"/>
          </w:tcPr>
          <w:p w14:paraId="29FA87B9" w14:textId="49B55B85" w:rsidR="000A5AD7" w:rsidRPr="00A21682" w:rsidRDefault="000A5AD7" w:rsidP="000A5AD7">
            <w:pPr>
              <w:pStyle w:val="TABLETEXT1"/>
              <w:rPr>
                <w:lang w:val="en-US"/>
              </w:rPr>
            </w:pPr>
            <w:r>
              <w:rPr>
                <w:rFonts w:cs="Calibri"/>
                <w:color w:val="000000"/>
                <w:szCs w:val="18"/>
                <w:lang w:val="en-US"/>
              </w:rPr>
              <w:t>RTO</w:t>
            </w:r>
          </w:p>
        </w:tc>
        <w:tc>
          <w:tcPr>
            <w:tcW w:w="7653" w:type="dxa"/>
            <w:vAlign w:val="center"/>
          </w:tcPr>
          <w:p w14:paraId="0B3585EC" w14:textId="7F3B88CD" w:rsidR="000A5AD7" w:rsidRPr="00A21682" w:rsidRDefault="000A5AD7" w:rsidP="000A5AD7">
            <w:pPr>
              <w:pStyle w:val="TABLETEXT1"/>
              <w:rPr>
                <w:lang w:val="en-US"/>
              </w:rPr>
            </w:pPr>
            <w:r>
              <w:rPr>
                <w:rFonts w:cs="Calibri"/>
                <w:color w:val="000000"/>
                <w:szCs w:val="18"/>
                <w:lang w:val="en-US"/>
              </w:rPr>
              <w:t>Recovery Time Objective</w:t>
            </w:r>
          </w:p>
        </w:tc>
      </w:tr>
      <w:tr w:rsidR="000A5AD7" w:rsidRPr="00A21682" w14:paraId="6AE245AD" w14:textId="77777777">
        <w:trPr>
          <w:trHeight w:val="20"/>
        </w:trPr>
        <w:tc>
          <w:tcPr>
            <w:tcW w:w="1707" w:type="dxa"/>
            <w:vAlign w:val="center"/>
          </w:tcPr>
          <w:p w14:paraId="2AFF4F81" w14:textId="45200564" w:rsidR="000A5AD7" w:rsidRPr="00A21682" w:rsidRDefault="000A5AD7" w:rsidP="000A5AD7">
            <w:pPr>
              <w:pStyle w:val="TABLETEXT1"/>
              <w:rPr>
                <w:lang w:val="en-US"/>
              </w:rPr>
            </w:pPr>
            <w:r>
              <w:rPr>
                <w:rFonts w:cs="Calibri"/>
                <w:color w:val="000000"/>
                <w:szCs w:val="18"/>
                <w:lang w:val="en-US"/>
              </w:rPr>
              <w:t>SAST</w:t>
            </w:r>
          </w:p>
        </w:tc>
        <w:tc>
          <w:tcPr>
            <w:tcW w:w="7653" w:type="dxa"/>
            <w:vAlign w:val="center"/>
          </w:tcPr>
          <w:p w14:paraId="1F99D08C" w14:textId="3D10740A" w:rsidR="000A5AD7" w:rsidRPr="00A21682" w:rsidRDefault="000A5AD7" w:rsidP="000A5AD7">
            <w:pPr>
              <w:pStyle w:val="TABLETEXT1"/>
              <w:rPr>
                <w:lang w:val="en-US"/>
              </w:rPr>
            </w:pPr>
            <w:r>
              <w:rPr>
                <w:rFonts w:cs="Calibri"/>
                <w:color w:val="000000"/>
                <w:szCs w:val="18"/>
                <w:lang w:val="en-US"/>
              </w:rPr>
              <w:t>Static Application Security Testing</w:t>
            </w:r>
          </w:p>
        </w:tc>
      </w:tr>
      <w:tr w:rsidR="000A5AD7" w:rsidRPr="00A21682" w14:paraId="70F44D63" w14:textId="77777777">
        <w:trPr>
          <w:trHeight w:val="20"/>
        </w:trPr>
        <w:tc>
          <w:tcPr>
            <w:tcW w:w="1707" w:type="dxa"/>
            <w:vAlign w:val="center"/>
          </w:tcPr>
          <w:p w14:paraId="5F80133D" w14:textId="35289079" w:rsidR="000A5AD7" w:rsidRPr="00A21682" w:rsidRDefault="000A5AD7" w:rsidP="000A5AD7">
            <w:pPr>
              <w:pStyle w:val="TABLETEXT1"/>
              <w:rPr>
                <w:lang w:val="en-US"/>
              </w:rPr>
            </w:pPr>
            <w:r>
              <w:rPr>
                <w:rFonts w:cs="Calibri"/>
                <w:color w:val="000000"/>
                <w:szCs w:val="18"/>
                <w:lang w:val="en-US"/>
              </w:rPr>
              <w:t>SDLC</w:t>
            </w:r>
          </w:p>
        </w:tc>
        <w:tc>
          <w:tcPr>
            <w:tcW w:w="7653" w:type="dxa"/>
            <w:vAlign w:val="center"/>
          </w:tcPr>
          <w:p w14:paraId="4F6F03DE" w14:textId="2D36AA06" w:rsidR="000A5AD7" w:rsidRPr="00A21682" w:rsidRDefault="000A5AD7" w:rsidP="000A5AD7">
            <w:pPr>
              <w:pStyle w:val="TABLETEXT1"/>
              <w:rPr>
                <w:lang w:val="en-US"/>
              </w:rPr>
            </w:pPr>
            <w:r>
              <w:rPr>
                <w:rFonts w:cs="Calibri"/>
                <w:color w:val="000000"/>
                <w:szCs w:val="18"/>
                <w:lang w:val="en-US"/>
              </w:rPr>
              <w:t>Software Development Life Cycle</w:t>
            </w:r>
          </w:p>
        </w:tc>
      </w:tr>
      <w:tr w:rsidR="000A5AD7" w:rsidRPr="00A21682" w14:paraId="1968F516" w14:textId="77777777">
        <w:trPr>
          <w:trHeight w:val="20"/>
        </w:trPr>
        <w:tc>
          <w:tcPr>
            <w:tcW w:w="1707" w:type="dxa"/>
            <w:vAlign w:val="center"/>
          </w:tcPr>
          <w:p w14:paraId="62DDBF98" w14:textId="2B054AF9" w:rsidR="000A5AD7" w:rsidRPr="00A21682" w:rsidRDefault="000A5AD7" w:rsidP="000A5AD7">
            <w:pPr>
              <w:pStyle w:val="TABLETEXT1"/>
              <w:rPr>
                <w:lang w:val="en-US"/>
              </w:rPr>
            </w:pPr>
            <w:r>
              <w:rPr>
                <w:rFonts w:cs="Calibri"/>
                <w:color w:val="000000"/>
                <w:szCs w:val="18"/>
                <w:lang w:val="en-US"/>
              </w:rPr>
              <w:t>SEI</w:t>
            </w:r>
          </w:p>
        </w:tc>
        <w:tc>
          <w:tcPr>
            <w:tcW w:w="7653" w:type="dxa"/>
            <w:vAlign w:val="center"/>
          </w:tcPr>
          <w:p w14:paraId="700C0D59" w14:textId="50CCEE82" w:rsidR="000A5AD7" w:rsidRPr="00A21682" w:rsidRDefault="000A5AD7" w:rsidP="000A5AD7">
            <w:pPr>
              <w:pStyle w:val="TABLETEXT1"/>
              <w:rPr>
                <w:lang w:val="en-US"/>
              </w:rPr>
            </w:pPr>
            <w:r>
              <w:rPr>
                <w:rFonts w:cs="Calibri"/>
                <w:color w:val="000000"/>
                <w:szCs w:val="18"/>
                <w:lang w:val="en-US"/>
              </w:rPr>
              <w:t>Software Engineering Institute</w:t>
            </w:r>
          </w:p>
        </w:tc>
      </w:tr>
      <w:tr w:rsidR="000A5AD7" w:rsidRPr="00A21682" w14:paraId="1B655F9B" w14:textId="77777777">
        <w:trPr>
          <w:trHeight w:val="20"/>
        </w:trPr>
        <w:tc>
          <w:tcPr>
            <w:tcW w:w="1707" w:type="dxa"/>
            <w:vAlign w:val="center"/>
          </w:tcPr>
          <w:p w14:paraId="739ACD7A" w14:textId="12900B43" w:rsidR="000A5AD7" w:rsidRPr="00A21682" w:rsidRDefault="000A5AD7" w:rsidP="000A5AD7">
            <w:pPr>
              <w:pStyle w:val="TABLETEXT1"/>
              <w:rPr>
                <w:lang w:val="en-US"/>
              </w:rPr>
            </w:pPr>
            <w:r>
              <w:rPr>
                <w:rFonts w:cs="Calibri"/>
                <w:color w:val="000000"/>
                <w:szCs w:val="18"/>
                <w:lang w:val="en-US"/>
              </w:rPr>
              <w:t>SEQ</w:t>
            </w:r>
          </w:p>
        </w:tc>
        <w:tc>
          <w:tcPr>
            <w:tcW w:w="7653" w:type="dxa"/>
            <w:vAlign w:val="center"/>
          </w:tcPr>
          <w:p w14:paraId="14C9C3B3" w14:textId="74E21681" w:rsidR="000A5AD7" w:rsidRPr="00A21682" w:rsidRDefault="000A5AD7" w:rsidP="000A5AD7">
            <w:pPr>
              <w:pStyle w:val="TABLETEXT1"/>
              <w:rPr>
                <w:lang w:val="en-US"/>
              </w:rPr>
            </w:pPr>
            <w:r>
              <w:rPr>
                <w:rFonts w:cs="Calibri"/>
                <w:color w:val="000000"/>
                <w:szCs w:val="18"/>
                <w:lang w:val="en-US"/>
              </w:rPr>
              <w:t>Security Evaluation Questionnaire</w:t>
            </w:r>
          </w:p>
        </w:tc>
      </w:tr>
      <w:tr w:rsidR="000A5AD7" w:rsidRPr="00A21682" w14:paraId="64BB92CF" w14:textId="77777777">
        <w:trPr>
          <w:trHeight w:val="20"/>
        </w:trPr>
        <w:tc>
          <w:tcPr>
            <w:tcW w:w="1707" w:type="dxa"/>
            <w:vAlign w:val="center"/>
          </w:tcPr>
          <w:p w14:paraId="09E09CCD" w14:textId="5D07FB18" w:rsidR="000A5AD7" w:rsidRPr="00A21682" w:rsidRDefault="000A5AD7" w:rsidP="000A5AD7">
            <w:pPr>
              <w:pStyle w:val="TABLETEXT1"/>
              <w:rPr>
                <w:lang w:val="en-US"/>
              </w:rPr>
            </w:pPr>
            <w:r>
              <w:rPr>
                <w:rFonts w:cs="Calibri"/>
                <w:color w:val="000000"/>
                <w:szCs w:val="18"/>
                <w:lang w:val="en-US"/>
              </w:rPr>
              <w:t>SI</w:t>
            </w:r>
          </w:p>
        </w:tc>
        <w:tc>
          <w:tcPr>
            <w:tcW w:w="7653" w:type="dxa"/>
            <w:vAlign w:val="center"/>
          </w:tcPr>
          <w:p w14:paraId="08EC1A5A" w14:textId="15A35C3C" w:rsidR="000A5AD7" w:rsidRPr="00A21682" w:rsidRDefault="000A5AD7" w:rsidP="000A5AD7">
            <w:pPr>
              <w:pStyle w:val="TABLETEXT1"/>
              <w:rPr>
                <w:lang w:val="en-US"/>
              </w:rPr>
            </w:pPr>
            <w:r>
              <w:rPr>
                <w:rFonts w:cs="Calibri"/>
                <w:color w:val="000000"/>
                <w:szCs w:val="18"/>
                <w:lang w:val="en-US"/>
              </w:rPr>
              <w:t>Systems Integration</w:t>
            </w:r>
          </w:p>
        </w:tc>
      </w:tr>
      <w:tr w:rsidR="000A5AD7" w:rsidRPr="00A21682" w14:paraId="562DE24E" w14:textId="77777777">
        <w:trPr>
          <w:trHeight w:val="20"/>
        </w:trPr>
        <w:tc>
          <w:tcPr>
            <w:tcW w:w="1707" w:type="dxa"/>
            <w:vAlign w:val="center"/>
          </w:tcPr>
          <w:p w14:paraId="7AB18CE4" w14:textId="6A420C00" w:rsidR="000A5AD7" w:rsidRPr="00A21682" w:rsidRDefault="000A5AD7" w:rsidP="000A5AD7">
            <w:pPr>
              <w:pStyle w:val="TABLETEXT1"/>
              <w:rPr>
                <w:lang w:val="en-US"/>
              </w:rPr>
            </w:pPr>
            <w:r>
              <w:rPr>
                <w:rFonts w:cs="Calibri"/>
                <w:color w:val="000000"/>
                <w:szCs w:val="18"/>
                <w:lang w:val="en-US"/>
              </w:rPr>
              <w:t>SIT</w:t>
            </w:r>
          </w:p>
        </w:tc>
        <w:tc>
          <w:tcPr>
            <w:tcW w:w="7653" w:type="dxa"/>
            <w:vAlign w:val="center"/>
          </w:tcPr>
          <w:p w14:paraId="0876F1FB" w14:textId="7DD3531B" w:rsidR="000A5AD7" w:rsidRPr="00A21682" w:rsidRDefault="000A5AD7" w:rsidP="000A5AD7">
            <w:pPr>
              <w:pStyle w:val="TABLETEXT1"/>
              <w:rPr>
                <w:lang w:val="en-US"/>
              </w:rPr>
            </w:pPr>
            <w:r>
              <w:rPr>
                <w:rFonts w:cs="Calibri"/>
                <w:color w:val="000000"/>
                <w:szCs w:val="18"/>
                <w:lang w:val="en-US"/>
              </w:rPr>
              <w:t>System Integration Test</w:t>
            </w:r>
          </w:p>
        </w:tc>
      </w:tr>
      <w:tr w:rsidR="000A5AD7" w:rsidRPr="00A21682" w14:paraId="6F3C7AA9" w14:textId="77777777">
        <w:trPr>
          <w:trHeight w:val="20"/>
        </w:trPr>
        <w:tc>
          <w:tcPr>
            <w:tcW w:w="1707" w:type="dxa"/>
            <w:vAlign w:val="center"/>
          </w:tcPr>
          <w:p w14:paraId="45050479" w14:textId="361FACFC" w:rsidR="000A5AD7" w:rsidRPr="00A21682" w:rsidRDefault="000A5AD7" w:rsidP="000A5AD7">
            <w:pPr>
              <w:pStyle w:val="TABLETEXT1"/>
              <w:rPr>
                <w:lang w:val="en-US"/>
              </w:rPr>
            </w:pPr>
            <w:r>
              <w:rPr>
                <w:rFonts w:cs="Calibri"/>
                <w:color w:val="000000"/>
                <w:szCs w:val="18"/>
                <w:lang w:val="en-US"/>
              </w:rPr>
              <w:t>SLA</w:t>
            </w:r>
          </w:p>
        </w:tc>
        <w:tc>
          <w:tcPr>
            <w:tcW w:w="7653" w:type="dxa"/>
            <w:vAlign w:val="center"/>
          </w:tcPr>
          <w:p w14:paraId="6C896D8C" w14:textId="3361EB40" w:rsidR="000A5AD7" w:rsidRPr="00A21682" w:rsidRDefault="000A5AD7" w:rsidP="000A5AD7">
            <w:pPr>
              <w:pStyle w:val="TABLETEXT1"/>
              <w:rPr>
                <w:lang w:val="en-US"/>
              </w:rPr>
            </w:pPr>
            <w:r>
              <w:rPr>
                <w:rFonts w:cs="Calibri"/>
                <w:color w:val="000000"/>
                <w:szCs w:val="18"/>
                <w:lang w:val="en-US"/>
              </w:rPr>
              <w:t>Service Level Agreement</w:t>
            </w:r>
          </w:p>
        </w:tc>
      </w:tr>
      <w:tr w:rsidR="000A5AD7" w:rsidRPr="00A21682" w14:paraId="1A34E8A1" w14:textId="77777777">
        <w:trPr>
          <w:trHeight w:val="20"/>
        </w:trPr>
        <w:tc>
          <w:tcPr>
            <w:tcW w:w="1707" w:type="dxa"/>
            <w:vAlign w:val="center"/>
          </w:tcPr>
          <w:p w14:paraId="412D4B1F" w14:textId="3F1B8B7E" w:rsidR="000A5AD7" w:rsidRPr="00A21682" w:rsidRDefault="000A5AD7" w:rsidP="000A5AD7">
            <w:pPr>
              <w:pStyle w:val="TABLETEXT1"/>
              <w:rPr>
                <w:lang w:val="en-US"/>
              </w:rPr>
            </w:pPr>
            <w:r>
              <w:rPr>
                <w:rFonts w:cs="Calibri"/>
                <w:color w:val="000000"/>
                <w:szCs w:val="18"/>
                <w:lang w:val="en-US"/>
              </w:rPr>
              <w:t>SOA</w:t>
            </w:r>
          </w:p>
        </w:tc>
        <w:tc>
          <w:tcPr>
            <w:tcW w:w="7653" w:type="dxa"/>
            <w:vAlign w:val="center"/>
          </w:tcPr>
          <w:p w14:paraId="01A7B770" w14:textId="4216F16F" w:rsidR="000A5AD7" w:rsidRPr="00A21682" w:rsidRDefault="000A5AD7" w:rsidP="000A5AD7">
            <w:pPr>
              <w:pStyle w:val="TABLETEXT1"/>
              <w:rPr>
                <w:lang w:val="en-US"/>
              </w:rPr>
            </w:pPr>
            <w:r>
              <w:rPr>
                <w:rFonts w:cs="Calibri"/>
                <w:color w:val="000000"/>
                <w:szCs w:val="18"/>
                <w:lang w:val="en-US"/>
              </w:rPr>
              <w:t>Service Oriented Architecture</w:t>
            </w:r>
          </w:p>
        </w:tc>
      </w:tr>
      <w:tr w:rsidR="000A5AD7" w:rsidRPr="00A21682" w14:paraId="30A0A126" w14:textId="77777777">
        <w:trPr>
          <w:trHeight w:val="20"/>
        </w:trPr>
        <w:tc>
          <w:tcPr>
            <w:tcW w:w="1707" w:type="dxa"/>
            <w:vAlign w:val="center"/>
          </w:tcPr>
          <w:p w14:paraId="6BD15458" w14:textId="75AEBE1F" w:rsidR="000A5AD7" w:rsidRPr="00A21682" w:rsidRDefault="000A5AD7" w:rsidP="000A5AD7">
            <w:pPr>
              <w:pStyle w:val="TABLETEXT1"/>
              <w:rPr>
                <w:lang w:val="en-US"/>
              </w:rPr>
            </w:pPr>
            <w:r>
              <w:rPr>
                <w:rFonts w:cs="Calibri"/>
                <w:color w:val="000000"/>
                <w:szCs w:val="18"/>
                <w:lang w:val="en-US"/>
              </w:rPr>
              <w:t>SPI</w:t>
            </w:r>
          </w:p>
        </w:tc>
        <w:tc>
          <w:tcPr>
            <w:tcW w:w="7653" w:type="dxa"/>
            <w:vAlign w:val="center"/>
          </w:tcPr>
          <w:p w14:paraId="589D966C" w14:textId="3614ED4B" w:rsidR="000A5AD7" w:rsidRPr="00A21682" w:rsidRDefault="000A5AD7" w:rsidP="000A5AD7">
            <w:pPr>
              <w:pStyle w:val="TABLETEXT1"/>
              <w:rPr>
                <w:lang w:val="en-US"/>
              </w:rPr>
            </w:pPr>
            <w:r>
              <w:rPr>
                <w:rFonts w:cs="Calibri"/>
                <w:color w:val="000000"/>
                <w:szCs w:val="18"/>
                <w:lang w:val="en-US"/>
              </w:rPr>
              <w:t>Schedule Performance Index</w:t>
            </w:r>
          </w:p>
        </w:tc>
      </w:tr>
      <w:tr w:rsidR="000A5AD7" w:rsidRPr="00A21682" w14:paraId="5217E909" w14:textId="77777777">
        <w:trPr>
          <w:trHeight w:val="20"/>
        </w:trPr>
        <w:tc>
          <w:tcPr>
            <w:tcW w:w="1707" w:type="dxa"/>
            <w:vAlign w:val="center"/>
          </w:tcPr>
          <w:p w14:paraId="673CBD88" w14:textId="41A1B92D" w:rsidR="000A5AD7" w:rsidRPr="00A21682" w:rsidRDefault="000A5AD7" w:rsidP="000A5AD7">
            <w:pPr>
              <w:pStyle w:val="TABLETEXT1"/>
              <w:rPr>
                <w:lang w:val="en-US"/>
              </w:rPr>
            </w:pPr>
            <w:r>
              <w:rPr>
                <w:rFonts w:cs="Calibri"/>
                <w:color w:val="000000"/>
                <w:szCs w:val="18"/>
                <w:lang w:val="en-US"/>
              </w:rPr>
              <w:t>SRTM</w:t>
            </w:r>
          </w:p>
        </w:tc>
        <w:tc>
          <w:tcPr>
            <w:tcW w:w="7653" w:type="dxa"/>
            <w:vAlign w:val="center"/>
          </w:tcPr>
          <w:p w14:paraId="203FFE9F" w14:textId="4BB979FC" w:rsidR="000A5AD7" w:rsidRPr="00A21682" w:rsidRDefault="000A5AD7" w:rsidP="000A5AD7">
            <w:pPr>
              <w:pStyle w:val="TABLETEXT1"/>
              <w:rPr>
                <w:lang w:val="en-US"/>
              </w:rPr>
            </w:pPr>
            <w:r>
              <w:rPr>
                <w:rFonts w:cs="Calibri"/>
                <w:color w:val="000000"/>
                <w:szCs w:val="18"/>
                <w:lang w:val="en-US"/>
              </w:rPr>
              <w:t>Security Requirements Traceability Matrix</w:t>
            </w:r>
          </w:p>
        </w:tc>
      </w:tr>
      <w:tr w:rsidR="000A5AD7" w:rsidRPr="00A21682" w14:paraId="3DE3A0A4" w14:textId="77777777">
        <w:trPr>
          <w:trHeight w:val="20"/>
        </w:trPr>
        <w:tc>
          <w:tcPr>
            <w:tcW w:w="1707" w:type="dxa"/>
            <w:vAlign w:val="center"/>
          </w:tcPr>
          <w:p w14:paraId="68242E73" w14:textId="28A23E92" w:rsidR="000A5AD7" w:rsidRPr="00A21682" w:rsidRDefault="000A5AD7" w:rsidP="000A5AD7">
            <w:pPr>
              <w:pStyle w:val="TABLETEXT1"/>
              <w:rPr>
                <w:lang w:val="en-US"/>
              </w:rPr>
            </w:pPr>
            <w:r>
              <w:rPr>
                <w:rFonts w:cs="Calibri"/>
                <w:color w:val="000000"/>
                <w:szCs w:val="18"/>
                <w:lang w:val="en-US"/>
              </w:rPr>
              <w:t>SSA</w:t>
            </w:r>
          </w:p>
        </w:tc>
        <w:tc>
          <w:tcPr>
            <w:tcW w:w="7653" w:type="dxa"/>
            <w:vAlign w:val="center"/>
          </w:tcPr>
          <w:p w14:paraId="4F16EF35" w14:textId="0E041B43" w:rsidR="000A5AD7" w:rsidRPr="00A21682" w:rsidRDefault="000A5AD7" w:rsidP="000A5AD7">
            <w:pPr>
              <w:pStyle w:val="TABLETEXT1"/>
              <w:rPr>
                <w:lang w:val="en-US"/>
              </w:rPr>
            </w:pPr>
            <w:r>
              <w:rPr>
                <w:rFonts w:cs="Calibri"/>
                <w:color w:val="000000"/>
                <w:szCs w:val="18"/>
                <w:lang w:val="en-US"/>
              </w:rPr>
              <w:t>Social Security Administration</w:t>
            </w:r>
          </w:p>
        </w:tc>
      </w:tr>
      <w:tr w:rsidR="000A5AD7" w:rsidRPr="00A21682" w14:paraId="43E4B5E9" w14:textId="77777777">
        <w:trPr>
          <w:trHeight w:val="20"/>
        </w:trPr>
        <w:tc>
          <w:tcPr>
            <w:tcW w:w="1707" w:type="dxa"/>
            <w:vAlign w:val="center"/>
          </w:tcPr>
          <w:p w14:paraId="5DB75424" w14:textId="7F910C02" w:rsidR="000A5AD7" w:rsidRPr="00A21682" w:rsidRDefault="000A5AD7" w:rsidP="000A5AD7">
            <w:pPr>
              <w:pStyle w:val="TABLETEXT1"/>
              <w:rPr>
                <w:lang w:val="en-US"/>
              </w:rPr>
            </w:pPr>
            <w:r>
              <w:rPr>
                <w:rFonts w:cs="Calibri"/>
                <w:color w:val="000000"/>
                <w:szCs w:val="18"/>
                <w:lang w:val="en-US"/>
              </w:rPr>
              <w:t>SSP</w:t>
            </w:r>
          </w:p>
        </w:tc>
        <w:tc>
          <w:tcPr>
            <w:tcW w:w="7653" w:type="dxa"/>
            <w:vAlign w:val="center"/>
          </w:tcPr>
          <w:p w14:paraId="5D23DD11" w14:textId="1CC6304B" w:rsidR="000A5AD7" w:rsidRPr="00A21682" w:rsidRDefault="000A5AD7" w:rsidP="000A5AD7">
            <w:pPr>
              <w:pStyle w:val="TABLETEXT1"/>
              <w:rPr>
                <w:lang w:val="en-US"/>
              </w:rPr>
            </w:pPr>
            <w:r>
              <w:rPr>
                <w:rFonts w:cs="Calibri"/>
                <w:color w:val="000000"/>
                <w:szCs w:val="18"/>
                <w:lang w:val="en-US"/>
              </w:rPr>
              <w:t>System Security Plan</w:t>
            </w:r>
          </w:p>
        </w:tc>
      </w:tr>
      <w:tr w:rsidR="000A5AD7" w:rsidRPr="00A21682" w14:paraId="7F6B041D" w14:textId="77777777">
        <w:trPr>
          <w:trHeight w:val="20"/>
        </w:trPr>
        <w:tc>
          <w:tcPr>
            <w:tcW w:w="1707" w:type="dxa"/>
            <w:vAlign w:val="center"/>
          </w:tcPr>
          <w:p w14:paraId="6C65D435" w14:textId="3D24013D" w:rsidR="000A5AD7" w:rsidRPr="00A21682" w:rsidRDefault="000A5AD7" w:rsidP="000A5AD7">
            <w:pPr>
              <w:pStyle w:val="TABLETEXT1"/>
              <w:rPr>
                <w:lang w:val="en-US"/>
              </w:rPr>
            </w:pPr>
            <w:r>
              <w:rPr>
                <w:rFonts w:cs="Calibri"/>
                <w:color w:val="000000"/>
                <w:szCs w:val="18"/>
                <w:lang w:val="en-US"/>
              </w:rPr>
              <w:t>TMP</w:t>
            </w:r>
          </w:p>
        </w:tc>
        <w:tc>
          <w:tcPr>
            <w:tcW w:w="7653" w:type="dxa"/>
            <w:vAlign w:val="center"/>
          </w:tcPr>
          <w:p w14:paraId="198ADDC8" w14:textId="074A8882" w:rsidR="000A5AD7" w:rsidRPr="00A21682" w:rsidRDefault="000A5AD7" w:rsidP="000A5AD7">
            <w:pPr>
              <w:pStyle w:val="TABLETEXT1"/>
              <w:rPr>
                <w:lang w:val="en-US"/>
              </w:rPr>
            </w:pPr>
            <w:r>
              <w:rPr>
                <w:rFonts w:cs="Calibri"/>
                <w:color w:val="000000"/>
                <w:szCs w:val="18"/>
                <w:lang w:val="en-US"/>
              </w:rPr>
              <w:t>Test Management Plan</w:t>
            </w:r>
          </w:p>
        </w:tc>
      </w:tr>
      <w:tr w:rsidR="000A5AD7" w:rsidRPr="00A21682" w14:paraId="00786B89" w14:textId="77777777">
        <w:trPr>
          <w:trHeight w:val="20"/>
        </w:trPr>
        <w:tc>
          <w:tcPr>
            <w:tcW w:w="1707" w:type="dxa"/>
            <w:vAlign w:val="center"/>
          </w:tcPr>
          <w:p w14:paraId="6E482DD1" w14:textId="75068425" w:rsidR="000A5AD7" w:rsidRPr="00A21682" w:rsidRDefault="000A5AD7" w:rsidP="000A5AD7">
            <w:pPr>
              <w:pStyle w:val="TABLETEXT1"/>
              <w:rPr>
                <w:lang w:val="en-US"/>
              </w:rPr>
            </w:pPr>
            <w:r>
              <w:rPr>
                <w:rFonts w:cs="Calibri"/>
                <w:color w:val="000000"/>
                <w:szCs w:val="18"/>
                <w:lang w:val="en-US"/>
              </w:rPr>
              <w:t>T-MSIS</w:t>
            </w:r>
          </w:p>
        </w:tc>
        <w:tc>
          <w:tcPr>
            <w:tcW w:w="7653" w:type="dxa"/>
            <w:vAlign w:val="center"/>
          </w:tcPr>
          <w:p w14:paraId="6212A608" w14:textId="5E8BB4E5" w:rsidR="000A5AD7" w:rsidRPr="00A21682" w:rsidRDefault="000A5AD7" w:rsidP="000A5AD7">
            <w:pPr>
              <w:pStyle w:val="TABLETEXT1"/>
              <w:rPr>
                <w:lang w:val="en-US"/>
              </w:rPr>
            </w:pPr>
            <w:r>
              <w:rPr>
                <w:rFonts w:cs="Calibri"/>
                <w:color w:val="000000"/>
                <w:szCs w:val="18"/>
                <w:lang w:val="en-US"/>
              </w:rPr>
              <w:t>Transformed Medicaid Statistical Information System</w:t>
            </w:r>
          </w:p>
        </w:tc>
      </w:tr>
      <w:tr w:rsidR="000A5AD7" w:rsidRPr="00A21682" w14:paraId="68B4EA30" w14:textId="77777777">
        <w:trPr>
          <w:trHeight w:val="20"/>
        </w:trPr>
        <w:tc>
          <w:tcPr>
            <w:tcW w:w="1707" w:type="dxa"/>
            <w:vAlign w:val="center"/>
          </w:tcPr>
          <w:p w14:paraId="444D4277" w14:textId="290701FB" w:rsidR="000A5AD7" w:rsidRPr="00A21682" w:rsidRDefault="000A5AD7" w:rsidP="000A5AD7">
            <w:pPr>
              <w:pStyle w:val="TABLETEXT1"/>
              <w:rPr>
                <w:lang w:val="en-US"/>
              </w:rPr>
            </w:pPr>
            <w:r>
              <w:rPr>
                <w:rFonts w:cs="Calibri"/>
                <w:color w:val="000000"/>
                <w:szCs w:val="18"/>
                <w:lang w:val="en-US"/>
              </w:rPr>
              <w:t>UAT</w:t>
            </w:r>
          </w:p>
        </w:tc>
        <w:tc>
          <w:tcPr>
            <w:tcW w:w="7653" w:type="dxa"/>
            <w:vAlign w:val="center"/>
          </w:tcPr>
          <w:p w14:paraId="62FB95F6" w14:textId="1B91989F" w:rsidR="000A5AD7" w:rsidRPr="00A21682" w:rsidRDefault="000A5AD7" w:rsidP="000A5AD7">
            <w:pPr>
              <w:pStyle w:val="TABLETEXT1"/>
              <w:rPr>
                <w:lang w:val="en-US"/>
              </w:rPr>
            </w:pPr>
            <w:r>
              <w:rPr>
                <w:rFonts w:cs="Calibri"/>
                <w:color w:val="000000"/>
                <w:szCs w:val="18"/>
                <w:lang w:val="en-US"/>
              </w:rPr>
              <w:t>User Acceptance Test</w:t>
            </w:r>
          </w:p>
        </w:tc>
      </w:tr>
    </w:tbl>
    <w:p w14:paraId="0A0EFE0B" w14:textId="09AA5912" w:rsidR="0008575D" w:rsidRPr="00A21682" w:rsidRDefault="0008575D" w:rsidP="0008575D">
      <w:pPr>
        <w:pStyle w:val="Caption"/>
        <w:rPr>
          <w:noProof w:val="0"/>
        </w:rPr>
      </w:pPr>
      <w:bookmarkStart w:id="4375" w:name="_Toc19287522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2</w:t>
      </w:r>
      <w:r>
        <w:rPr>
          <w:noProof w:val="0"/>
        </w:rPr>
        <w:fldChar w:fldCharType="end"/>
      </w:r>
      <w:r>
        <w:rPr>
          <w:noProof w:val="0"/>
        </w:rPr>
        <w:t>: Acronyms</w:t>
      </w:r>
      <w:bookmarkEnd w:id="4375"/>
    </w:p>
    <w:p w14:paraId="62306F74" w14:textId="77777777" w:rsidR="00E001A2" w:rsidRPr="00A21682" w:rsidRDefault="00E001A2" w:rsidP="00E001A2">
      <w:pPr>
        <w:rPr>
          <w:rFonts w:ascii="Verdana" w:hAnsi="Verdana"/>
          <w:sz w:val="18"/>
        </w:rPr>
      </w:pPr>
      <w:r>
        <w:rPr>
          <w:rFonts w:ascii="Verdana" w:hAnsi="Verdana"/>
          <w:sz w:val="18"/>
        </w:rPr>
        <w:br w:type="page"/>
      </w:r>
    </w:p>
    <w:p w14:paraId="77308DC7" w14:textId="7F5401B6" w:rsidR="00E001A2" w:rsidRPr="00A21682" w:rsidRDefault="00E001A2" w:rsidP="00CD7944">
      <w:pPr>
        <w:pStyle w:val="Heading2"/>
      </w:pPr>
      <w:bookmarkStart w:id="4376" w:name="_Toc154132984"/>
      <w:bookmarkStart w:id="4377" w:name="_Toc177119667"/>
      <w:bookmarkStart w:id="4378" w:name="_Toc185952931"/>
      <w:bookmarkStart w:id="4379" w:name="_Toc192875030"/>
      <w:r>
        <w:lastRenderedPageBreak/>
        <w:t>Appendix C: Roles and Responsibilities</w:t>
      </w:r>
      <w:bookmarkEnd w:id="4376"/>
      <w:bookmarkEnd w:id="4377"/>
      <w:bookmarkEnd w:id="4378"/>
      <w:bookmarkEnd w:id="4379"/>
    </w:p>
    <w:p w14:paraId="746280D8" w14:textId="0CA317F8" w:rsidR="00E001A2" w:rsidRPr="00A21682" w:rsidRDefault="00E001A2" w:rsidP="00B97366">
      <w:pPr>
        <w:pStyle w:val="NormalNEW"/>
        <w:rPr>
          <w:b/>
          <w:lang w:val="en-US"/>
        </w:rPr>
      </w:pPr>
      <w:bookmarkStart w:id="4380" w:name="_Toc154132985"/>
      <w:r>
        <w:rPr>
          <w:b/>
          <w:lang w:val="en-US"/>
        </w:rPr>
        <w:t>Appendix C -1 SDLC Roles and Responsibilities</w:t>
      </w:r>
      <w:bookmarkEnd w:id="4380"/>
      <w:r>
        <w:rPr>
          <w:b/>
          <w:lang w:val="en-US"/>
        </w:rPr>
        <w:t xml:space="preserve"> Matrix</w:t>
      </w:r>
    </w:p>
    <w:p w14:paraId="2808BF4C" w14:textId="59764519" w:rsidR="00513B48" w:rsidRPr="00A21682" w:rsidRDefault="00513B48" w:rsidP="00B93D8B">
      <w:pPr>
        <w:pStyle w:val="NormalNEW"/>
        <w:rPr>
          <w:shd w:val="clear" w:color="auto" w:fill="FFFFFF"/>
          <w:lang w:val="en-US"/>
        </w:rPr>
      </w:pPr>
      <w:r>
        <w:rPr>
          <w:shd w:val="clear" w:color="auto" w:fill="FFFFFF"/>
          <w:lang w:val="en-US"/>
        </w:rPr>
        <w:t xml:space="preserve">Many project roles or personas will be required to participate in the MECM SDLC Methodology, performing steps in the processes defined within each of the phases of the methodology. These roles or personas will have varying levels of responsibilities which will be defined through a RACI matrix applicable to the activities of each phase. In addition, the resources, or tools available to these roles or personas that will support them in carrying out these activities will be defined in the </w:t>
      </w:r>
      <w:r>
        <w:rPr>
          <w:lang w:val="en-US"/>
        </w:rPr>
        <w:t>MECM SDLC RACI Matrix</w:t>
      </w:r>
      <w:r>
        <w:rPr>
          <w:shd w:val="clear" w:color="auto" w:fill="FFFFFF"/>
          <w:lang w:val="en-US"/>
        </w:rPr>
        <w:t>.</w:t>
      </w:r>
    </w:p>
    <w:tbl>
      <w:tblPr>
        <w:tblStyle w:val="TableGrid-None31"/>
        <w:tblW w:w="93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200"/>
        <w:gridCol w:w="7165"/>
      </w:tblGrid>
      <w:tr w:rsidR="00CD2008" w:rsidRPr="00A21682" w14:paraId="37682CBE" w14:textId="77777777" w:rsidTr="00C96B17">
        <w:trPr>
          <w:cnfStyle w:val="100000000000" w:firstRow="1" w:lastRow="0" w:firstColumn="0" w:lastColumn="0" w:oddVBand="0" w:evenVBand="0" w:oddHBand="0" w:evenHBand="0" w:firstRowFirstColumn="0" w:firstRowLastColumn="0" w:lastRowFirstColumn="0" w:lastRowLastColumn="0"/>
        </w:trPr>
        <w:tc>
          <w:tcPr>
            <w:tcW w:w="2200" w:type="dxa"/>
            <w:tcBorders>
              <w:right w:val="single" w:sz="2" w:space="0" w:color="FFFFFF" w:themeColor="background1"/>
            </w:tcBorders>
          </w:tcPr>
          <w:p w14:paraId="4824D906" w14:textId="77777777" w:rsidR="00E001A2" w:rsidRPr="00A21682" w:rsidRDefault="00E001A2" w:rsidP="00047C4E">
            <w:pPr>
              <w:pStyle w:val="TABLEHEADINGNEW"/>
              <w:rPr>
                <w:rFonts w:eastAsiaTheme="minorHAnsi"/>
                <w:b/>
                <w:bCs w:val="0"/>
              </w:rPr>
            </w:pPr>
            <w:r>
              <w:rPr>
                <w:rFonts w:eastAsiaTheme="minorHAnsi"/>
                <w:b/>
                <w:bCs w:val="0"/>
              </w:rPr>
              <w:t>Stakeholder Group</w:t>
            </w:r>
          </w:p>
        </w:tc>
        <w:tc>
          <w:tcPr>
            <w:tcW w:w="7165" w:type="dxa"/>
            <w:tcBorders>
              <w:left w:val="single" w:sz="2" w:space="0" w:color="FFFFFF" w:themeColor="background1"/>
            </w:tcBorders>
          </w:tcPr>
          <w:p w14:paraId="48A685CF" w14:textId="77777777" w:rsidR="00E001A2" w:rsidRPr="00A21682" w:rsidRDefault="00E001A2" w:rsidP="00047C4E">
            <w:pPr>
              <w:pStyle w:val="TABLEHEADINGNEW"/>
              <w:rPr>
                <w:rFonts w:eastAsiaTheme="minorHAnsi"/>
                <w:b/>
                <w:bCs w:val="0"/>
              </w:rPr>
            </w:pPr>
            <w:r>
              <w:rPr>
                <w:rFonts w:eastAsiaTheme="minorHAnsi"/>
                <w:b/>
                <w:bCs w:val="0"/>
              </w:rPr>
              <w:t>Responsibilities</w:t>
            </w:r>
          </w:p>
        </w:tc>
      </w:tr>
      <w:tr w:rsidR="00E001A2" w:rsidRPr="00A21682" w14:paraId="57757389" w14:textId="77777777" w:rsidTr="00047C4E">
        <w:trPr>
          <w:trHeight w:val="300"/>
        </w:trPr>
        <w:tc>
          <w:tcPr>
            <w:tcW w:w="9365" w:type="dxa"/>
            <w:gridSpan w:val="2"/>
            <w:shd w:val="clear" w:color="auto" w:fill="D5DCE4" w:themeFill="text2" w:themeFillTint="33"/>
          </w:tcPr>
          <w:p w14:paraId="328946FF" w14:textId="77777777" w:rsidR="00E001A2" w:rsidRPr="00A21682" w:rsidRDefault="00E001A2" w:rsidP="00A679E4">
            <w:pPr>
              <w:pStyle w:val="TABLEHEADINGNEW"/>
              <w:jc w:val="center"/>
              <w:rPr>
                <w:color w:val="000000" w:themeColor="text1"/>
              </w:rPr>
            </w:pPr>
            <w:r>
              <w:rPr>
                <w:color w:val="000000" w:themeColor="text1"/>
              </w:rPr>
              <w:t>Executive Stakeholders</w:t>
            </w:r>
          </w:p>
        </w:tc>
      </w:tr>
      <w:tr w:rsidR="00513D5E" w:rsidRPr="00A21682" w14:paraId="2EF109FF" w14:textId="77777777" w:rsidTr="00C96B17">
        <w:trPr>
          <w:trHeight w:val="300"/>
        </w:trPr>
        <w:tc>
          <w:tcPr>
            <w:tcW w:w="2200" w:type="dxa"/>
            <w:shd w:val="clear" w:color="auto" w:fill="FFFFFF" w:themeFill="background1"/>
            <w:hideMark/>
          </w:tcPr>
          <w:p w14:paraId="4FDE32E0" w14:textId="77777777" w:rsidR="00E001A2" w:rsidRPr="00A21682" w:rsidRDefault="00E001A2" w:rsidP="00047C4E">
            <w:pPr>
              <w:pStyle w:val="TABLETEXT1"/>
              <w:rPr>
                <w:lang w:val="en-US"/>
              </w:rPr>
            </w:pPr>
            <w:r>
              <w:rPr>
                <w:lang w:val="en-US"/>
              </w:rPr>
              <w:t>Medicaid Director </w:t>
            </w:r>
          </w:p>
        </w:tc>
        <w:tc>
          <w:tcPr>
            <w:tcW w:w="7165" w:type="dxa"/>
            <w:hideMark/>
          </w:tcPr>
          <w:p w14:paraId="1A5288A1" w14:textId="77777777" w:rsidR="00E001A2" w:rsidRPr="00635C9B" w:rsidRDefault="00E001A2" w:rsidP="00127279">
            <w:pPr>
              <w:pStyle w:val="TABLEBULLETNEW"/>
            </w:pPr>
            <w:r>
              <w:t>Serves as the Executive Advisor for the program </w:t>
            </w:r>
          </w:p>
          <w:p w14:paraId="01A8D26E" w14:textId="31AF3DB8" w:rsidR="00E001A2" w:rsidRPr="00635C9B" w:rsidRDefault="00E001A2" w:rsidP="00127279">
            <w:pPr>
              <w:pStyle w:val="TABLEBULLETNEW"/>
            </w:pPr>
            <w:r>
              <w:t>Participates in the ESC when needed</w:t>
            </w:r>
          </w:p>
          <w:p w14:paraId="689ECB7B" w14:textId="77777777" w:rsidR="00E001A2" w:rsidRPr="00635C9B" w:rsidRDefault="00E001A2" w:rsidP="00127279">
            <w:pPr>
              <w:pStyle w:val="TABLEBULLETNEW"/>
            </w:pPr>
            <w:r>
              <w:t>Participates in Project Wave scope and decisions </w:t>
            </w:r>
          </w:p>
        </w:tc>
      </w:tr>
      <w:tr w:rsidR="000D42A5" w:rsidRPr="00A21682" w14:paraId="3290AE96" w14:textId="77777777" w:rsidTr="00C96B17">
        <w:trPr>
          <w:trHeight w:val="300"/>
        </w:trPr>
        <w:tc>
          <w:tcPr>
            <w:tcW w:w="2200" w:type="dxa"/>
            <w:shd w:val="clear" w:color="auto" w:fill="FFFFFF" w:themeFill="background1"/>
          </w:tcPr>
          <w:p w14:paraId="141769F4" w14:textId="5A0103FA" w:rsidR="000D42A5" w:rsidRPr="00A21682" w:rsidRDefault="000D42A5" w:rsidP="00047C4E">
            <w:pPr>
              <w:pStyle w:val="TABLETEXT1"/>
              <w:rPr>
                <w:lang w:val="en-US"/>
              </w:rPr>
            </w:pPr>
            <w:r>
              <w:rPr>
                <w:lang w:val="en-US"/>
              </w:rPr>
              <w:t>Medicaid Chief Operating Officer (COO)</w:t>
            </w:r>
          </w:p>
        </w:tc>
        <w:tc>
          <w:tcPr>
            <w:tcW w:w="7165" w:type="dxa"/>
          </w:tcPr>
          <w:p w14:paraId="2A7BA450" w14:textId="77777777" w:rsidR="000D42A5" w:rsidRPr="00635C9B" w:rsidRDefault="000D42A5" w:rsidP="00127279">
            <w:pPr>
              <w:pStyle w:val="TABLEBULLETNEW"/>
            </w:pPr>
            <w:r>
              <w:t>Serves as the Executive Advisor for the program </w:t>
            </w:r>
          </w:p>
          <w:p w14:paraId="645B503A" w14:textId="7CFA2977" w:rsidR="000D42A5" w:rsidRPr="00635C9B" w:rsidRDefault="000D42A5" w:rsidP="00127279">
            <w:pPr>
              <w:pStyle w:val="TABLEBULLETNEW"/>
            </w:pPr>
            <w:r>
              <w:t>Participates in the ESC when needed</w:t>
            </w:r>
          </w:p>
          <w:p w14:paraId="61486D29" w14:textId="1E219FA2" w:rsidR="000D42A5" w:rsidRPr="00635C9B" w:rsidRDefault="000D42A5" w:rsidP="00127279">
            <w:pPr>
              <w:pStyle w:val="TABLEBULLETNEW"/>
            </w:pPr>
            <w:r>
              <w:t>Participates in Project Wave scope and decisions</w:t>
            </w:r>
          </w:p>
        </w:tc>
      </w:tr>
      <w:tr w:rsidR="00513D5E" w:rsidRPr="00A21682" w14:paraId="26491BD8" w14:textId="77777777" w:rsidTr="00C96B17">
        <w:trPr>
          <w:trHeight w:val="300"/>
        </w:trPr>
        <w:tc>
          <w:tcPr>
            <w:tcW w:w="2200" w:type="dxa"/>
            <w:shd w:val="clear" w:color="auto" w:fill="FFFFFF" w:themeFill="background1"/>
            <w:hideMark/>
          </w:tcPr>
          <w:p w14:paraId="70194D15" w14:textId="2918EAAE" w:rsidR="00E001A2" w:rsidRPr="00A21682" w:rsidRDefault="00DF7947" w:rsidP="00047C4E">
            <w:pPr>
              <w:pStyle w:val="TABLETEXT1"/>
              <w:rPr>
                <w:lang w:val="en-US"/>
              </w:rPr>
            </w:pPr>
            <w:r>
              <w:rPr>
                <w:lang w:val="en-US"/>
              </w:rPr>
              <w:t>Division of Eligibility and Marketplace Integration (DEMI) Director </w:t>
            </w:r>
          </w:p>
        </w:tc>
        <w:tc>
          <w:tcPr>
            <w:tcW w:w="7165" w:type="dxa"/>
            <w:hideMark/>
          </w:tcPr>
          <w:p w14:paraId="15AF097B" w14:textId="77777777" w:rsidR="00E001A2" w:rsidRPr="00635C9B" w:rsidRDefault="00E001A2" w:rsidP="00127279">
            <w:pPr>
              <w:pStyle w:val="TABLEBULLETNEW"/>
            </w:pPr>
            <w:r>
              <w:t>Serves as the Executive Sponsor for the program </w:t>
            </w:r>
          </w:p>
          <w:p w14:paraId="0BA3E005" w14:textId="77777777" w:rsidR="00E001A2" w:rsidRPr="00635C9B" w:rsidRDefault="00E001A2" w:rsidP="00127279">
            <w:pPr>
              <w:pStyle w:val="TABLEBULLETNEW"/>
            </w:pPr>
            <w:r>
              <w:t>Heads the ESC and participates in ESC decision-making activities throughout the SDLC </w:t>
            </w:r>
          </w:p>
          <w:p w14:paraId="2C62C994" w14:textId="77777777" w:rsidR="00E001A2" w:rsidRPr="00635C9B" w:rsidRDefault="00E001A2" w:rsidP="00127279">
            <w:pPr>
              <w:pStyle w:val="TABLEBULLETNEW"/>
            </w:pPr>
            <w:r>
              <w:t>Serves as a business process advisor and point of escalation for the Director of Eligibility System Modernization role </w:t>
            </w:r>
          </w:p>
          <w:p w14:paraId="64EE553E" w14:textId="616CEF41" w:rsidR="00E001A2" w:rsidRPr="00635C9B" w:rsidRDefault="00E001A2" w:rsidP="00127279">
            <w:pPr>
              <w:pStyle w:val="TABLEBULLETNEW"/>
            </w:pPr>
            <w:r>
              <w:t>Participates in Project Wave scope and decisions</w:t>
            </w:r>
          </w:p>
        </w:tc>
      </w:tr>
      <w:tr w:rsidR="008F16C2" w:rsidRPr="00A21682" w14:paraId="4AD7A4DE" w14:textId="77777777" w:rsidTr="00C96B17">
        <w:trPr>
          <w:trHeight w:val="300"/>
        </w:trPr>
        <w:tc>
          <w:tcPr>
            <w:tcW w:w="2200" w:type="dxa"/>
            <w:shd w:val="clear" w:color="auto" w:fill="FFFFFF" w:themeFill="background1"/>
          </w:tcPr>
          <w:p w14:paraId="6127111C" w14:textId="3EC48B3E" w:rsidR="008F16C2" w:rsidRPr="00A21682" w:rsidRDefault="008F16C2" w:rsidP="00047C4E">
            <w:pPr>
              <w:pStyle w:val="TABLETEXT1"/>
              <w:rPr>
                <w:lang w:val="en-US"/>
              </w:rPr>
            </w:pPr>
            <w:r>
              <w:rPr>
                <w:lang w:val="en-US"/>
              </w:rPr>
              <w:t>DEMI Deputy Director</w:t>
            </w:r>
          </w:p>
        </w:tc>
        <w:tc>
          <w:tcPr>
            <w:tcW w:w="7165" w:type="dxa"/>
          </w:tcPr>
          <w:p w14:paraId="081669B1" w14:textId="1473D2A0" w:rsidR="008F16C2" w:rsidRPr="00635C9B" w:rsidRDefault="008F16C2" w:rsidP="00127279">
            <w:pPr>
              <w:pStyle w:val="TABLEBULLETNEW"/>
            </w:pPr>
            <w:r>
              <w:t>Oversees review and provide feedback for business process analysis and Change Management deliverables </w:t>
            </w:r>
          </w:p>
          <w:p w14:paraId="5EE15BB4" w14:textId="77777777" w:rsidR="008F16C2" w:rsidRPr="00635C9B" w:rsidRDefault="008F16C2" w:rsidP="00127279">
            <w:pPr>
              <w:pStyle w:val="TABLEBULLETNEW"/>
            </w:pPr>
            <w:r>
              <w:t>Authority to make CM decisions on behalf of the business for their functional area </w:t>
            </w:r>
          </w:p>
          <w:p w14:paraId="0687EF45" w14:textId="77777777" w:rsidR="008F16C2" w:rsidRPr="00635C9B" w:rsidRDefault="008F16C2" w:rsidP="00127279">
            <w:pPr>
              <w:pStyle w:val="TABLEBULLETNEW"/>
            </w:pPr>
            <w:r>
              <w:t>Authority to approve CM deliverables </w:t>
            </w:r>
          </w:p>
          <w:p w14:paraId="27F2EC9B" w14:textId="77777777" w:rsidR="008F16C2" w:rsidRPr="00635C9B" w:rsidRDefault="008F16C2" w:rsidP="00127279">
            <w:pPr>
              <w:pStyle w:val="TABLEBULLETNEW"/>
            </w:pPr>
            <w:r>
              <w:t>Responsible for bringing the appropriate policy, operations, or business stakeholders to business process analysis, CM tasks, and design working sessions when needed </w:t>
            </w:r>
          </w:p>
          <w:p w14:paraId="32C857A8" w14:textId="4A311FAF" w:rsidR="008F16C2" w:rsidRPr="00635C9B" w:rsidRDefault="008F16C2" w:rsidP="00127279">
            <w:pPr>
              <w:pStyle w:val="TABLEBULLETNEW"/>
            </w:pPr>
            <w:r>
              <w:t xml:space="preserve">Identify stakeholders to participant in UAT, triage defects and validate test results </w:t>
            </w:r>
          </w:p>
        </w:tc>
      </w:tr>
      <w:tr w:rsidR="00513D5E" w:rsidRPr="00A21682" w14:paraId="3647C9B6" w14:textId="77777777" w:rsidTr="00C96B17">
        <w:trPr>
          <w:trHeight w:val="300"/>
        </w:trPr>
        <w:tc>
          <w:tcPr>
            <w:tcW w:w="2200" w:type="dxa"/>
            <w:shd w:val="clear" w:color="auto" w:fill="FFFFFF" w:themeFill="background1"/>
            <w:hideMark/>
          </w:tcPr>
          <w:p w14:paraId="5DBDEBA8" w14:textId="67C49F1B" w:rsidR="00E001A2" w:rsidRPr="00A21682" w:rsidRDefault="00E001A2" w:rsidP="00047C4E">
            <w:pPr>
              <w:pStyle w:val="TABLETEXT1"/>
              <w:rPr>
                <w:lang w:val="en-US"/>
              </w:rPr>
            </w:pPr>
            <w:r>
              <w:rPr>
                <w:lang w:val="en-US"/>
              </w:rPr>
              <w:t>DOS Chief Information Office (CIO)</w:t>
            </w:r>
          </w:p>
        </w:tc>
        <w:tc>
          <w:tcPr>
            <w:tcW w:w="7165" w:type="dxa"/>
            <w:hideMark/>
          </w:tcPr>
          <w:p w14:paraId="5A068317" w14:textId="77777777" w:rsidR="00E001A2" w:rsidRPr="00635C9B" w:rsidRDefault="00E001A2" w:rsidP="00127279">
            <w:pPr>
              <w:pStyle w:val="TABLEBULLETNEW"/>
            </w:pPr>
            <w:r>
              <w:t>Participates in the ESC </w:t>
            </w:r>
          </w:p>
          <w:p w14:paraId="19B67D53" w14:textId="77777777" w:rsidR="00E001A2" w:rsidRPr="00635C9B" w:rsidRDefault="00E001A2" w:rsidP="00127279">
            <w:pPr>
              <w:pStyle w:val="TABLEBULLETNEW"/>
            </w:pPr>
            <w:r>
              <w:t>Consulted for acquiring DOS resources and assigning roles and responsibilities to those resources </w:t>
            </w:r>
          </w:p>
          <w:p w14:paraId="5EF24CAA" w14:textId="72AF6057" w:rsidR="00E001A2" w:rsidRPr="00635C9B" w:rsidRDefault="00E001A2" w:rsidP="00127279">
            <w:pPr>
              <w:pStyle w:val="TABLEBULLETNEW"/>
            </w:pPr>
            <w:r>
              <w:t>Accountable for program management decisions that affect the MECM SDLC Methodology or other Project Management Plan (DEL-05) processes </w:t>
            </w:r>
          </w:p>
          <w:p w14:paraId="4BAFE743" w14:textId="77777777" w:rsidR="00E001A2" w:rsidRPr="00635C9B" w:rsidRDefault="00E001A2" w:rsidP="00127279">
            <w:pPr>
              <w:pStyle w:val="TABLEBULLETNEW"/>
            </w:pPr>
            <w:r>
              <w:t>Participates in Project Wave scope and decisions </w:t>
            </w:r>
          </w:p>
        </w:tc>
      </w:tr>
      <w:tr w:rsidR="00513D5E" w:rsidRPr="00A21682" w14:paraId="6F0879A6" w14:textId="77777777" w:rsidTr="00C96B17">
        <w:trPr>
          <w:trHeight w:val="300"/>
        </w:trPr>
        <w:tc>
          <w:tcPr>
            <w:tcW w:w="2200" w:type="dxa"/>
            <w:shd w:val="clear" w:color="auto" w:fill="FFFFFF" w:themeFill="background1"/>
            <w:hideMark/>
          </w:tcPr>
          <w:p w14:paraId="7B1212D2" w14:textId="70653D4D" w:rsidR="00E001A2" w:rsidRPr="00A21682" w:rsidRDefault="000D42A5" w:rsidP="00047C4E">
            <w:pPr>
              <w:pStyle w:val="TABLETEXT1"/>
              <w:rPr>
                <w:lang w:val="en-US"/>
              </w:rPr>
            </w:pPr>
            <w:r>
              <w:rPr>
                <w:lang w:val="en-US"/>
              </w:rPr>
              <w:lastRenderedPageBreak/>
              <w:t>DOS Deputy CIO </w:t>
            </w:r>
          </w:p>
        </w:tc>
        <w:tc>
          <w:tcPr>
            <w:tcW w:w="7165" w:type="dxa"/>
            <w:hideMark/>
          </w:tcPr>
          <w:p w14:paraId="7F68FBF8" w14:textId="77777777" w:rsidR="00E001A2" w:rsidRPr="00635C9B" w:rsidRDefault="00E001A2" w:rsidP="00127279">
            <w:pPr>
              <w:pStyle w:val="TABLEBULLETNEW"/>
            </w:pPr>
            <w:r>
              <w:t>Participates in the ESC </w:t>
            </w:r>
          </w:p>
          <w:p w14:paraId="3E328B64" w14:textId="77777777" w:rsidR="00E001A2" w:rsidRPr="00635C9B" w:rsidRDefault="00E001A2" w:rsidP="00127279">
            <w:pPr>
              <w:pStyle w:val="TABLEBULLETNEW"/>
            </w:pPr>
            <w:r>
              <w:t>Responsible for acquiring DOS resources and assigning roles and responsibilities to those resources </w:t>
            </w:r>
          </w:p>
          <w:p w14:paraId="71702239" w14:textId="4B49D028" w:rsidR="00E001A2" w:rsidRPr="00635C9B" w:rsidRDefault="00E001A2" w:rsidP="00127279">
            <w:pPr>
              <w:pStyle w:val="TABLEBULLETNEW"/>
            </w:pPr>
            <w:r>
              <w:t>Accountable for program management decisions that affect the MECM SDLC Methodology or other Project Management Plan (DEL-05) processes </w:t>
            </w:r>
          </w:p>
          <w:p w14:paraId="587080C2" w14:textId="77777777" w:rsidR="00E001A2" w:rsidRPr="00635C9B" w:rsidRDefault="00E001A2" w:rsidP="00127279">
            <w:pPr>
              <w:pStyle w:val="TABLEBULLETNEW"/>
            </w:pPr>
            <w:r>
              <w:t>Participates in Project Wave scope and decisions </w:t>
            </w:r>
          </w:p>
        </w:tc>
      </w:tr>
      <w:tr w:rsidR="000D42A5" w:rsidRPr="00A21682" w14:paraId="002CAA22" w14:textId="77777777" w:rsidTr="00C96B17">
        <w:trPr>
          <w:trHeight w:val="300"/>
        </w:trPr>
        <w:tc>
          <w:tcPr>
            <w:tcW w:w="2200" w:type="dxa"/>
            <w:shd w:val="clear" w:color="auto" w:fill="FFFFFF" w:themeFill="background1"/>
          </w:tcPr>
          <w:p w14:paraId="12FF1165" w14:textId="7ABE9920" w:rsidR="000D42A5" w:rsidRPr="00A21682" w:rsidRDefault="000D42A5" w:rsidP="00047C4E">
            <w:pPr>
              <w:pStyle w:val="TABLETEXT1"/>
              <w:rPr>
                <w:lang w:val="en-US"/>
              </w:rPr>
            </w:pPr>
            <w:r>
              <w:rPr>
                <w:lang w:val="en-US"/>
              </w:rPr>
              <w:t>DOS Deputy Director/Security and Privacy Bureau Director</w:t>
            </w:r>
          </w:p>
        </w:tc>
        <w:tc>
          <w:tcPr>
            <w:tcW w:w="7165" w:type="dxa"/>
          </w:tcPr>
          <w:p w14:paraId="71C15598" w14:textId="77777777" w:rsidR="000D42A5" w:rsidRDefault="000D42A5" w:rsidP="00127279">
            <w:pPr>
              <w:pStyle w:val="TABLEBULLETNEW"/>
            </w:pPr>
            <w:r>
              <w:t>Participates in the ESC </w:t>
            </w:r>
          </w:p>
          <w:p w14:paraId="4A569FAA" w14:textId="46AD94D4" w:rsidR="000D42A5" w:rsidRPr="00635C9B" w:rsidRDefault="000D42A5" w:rsidP="00127279">
            <w:pPr>
              <w:pStyle w:val="TABLEBULLETNEW"/>
            </w:pPr>
            <w:r>
              <w:t>Provides oversight and is consulted on system privacy and security </w:t>
            </w:r>
          </w:p>
          <w:p w14:paraId="5E4B0C88" w14:textId="67B34DB9" w:rsidR="000D42A5" w:rsidRPr="00635C9B" w:rsidRDefault="000D42A5" w:rsidP="00127279">
            <w:pPr>
              <w:pStyle w:val="TABLEBULLETNEW"/>
            </w:pPr>
            <w:r>
              <w:t>Participates in Project Wave scope and decisions</w:t>
            </w:r>
          </w:p>
        </w:tc>
      </w:tr>
      <w:tr w:rsidR="00513D5E" w:rsidRPr="00A21682" w14:paraId="48C85395" w14:textId="77777777" w:rsidTr="00C96B17">
        <w:trPr>
          <w:trHeight w:val="300"/>
        </w:trPr>
        <w:tc>
          <w:tcPr>
            <w:tcW w:w="2200" w:type="dxa"/>
            <w:shd w:val="clear" w:color="auto" w:fill="FFFFFF" w:themeFill="background1"/>
            <w:hideMark/>
          </w:tcPr>
          <w:p w14:paraId="332FDA14" w14:textId="513FD6DE" w:rsidR="00E001A2" w:rsidRPr="00A21682" w:rsidRDefault="00E001A2" w:rsidP="00047C4E">
            <w:pPr>
              <w:pStyle w:val="TABLETEXT1"/>
              <w:rPr>
                <w:lang w:val="en-US"/>
              </w:rPr>
            </w:pPr>
            <w:r>
              <w:rPr>
                <w:lang w:val="en-US"/>
              </w:rPr>
              <w:t>DOS Chief Technology Officer (CTO)</w:t>
            </w:r>
          </w:p>
        </w:tc>
        <w:tc>
          <w:tcPr>
            <w:tcW w:w="7165" w:type="dxa"/>
            <w:hideMark/>
          </w:tcPr>
          <w:p w14:paraId="73C96546" w14:textId="77777777" w:rsidR="00E001A2" w:rsidRPr="00635C9B" w:rsidRDefault="00E001A2" w:rsidP="00127279">
            <w:pPr>
              <w:pStyle w:val="TABLEBULLETNEW"/>
            </w:pPr>
            <w:r>
              <w:t>Participates in the ESC </w:t>
            </w:r>
          </w:p>
          <w:p w14:paraId="5EDC3D6A" w14:textId="77777777" w:rsidR="00E001A2" w:rsidRPr="00635C9B" w:rsidRDefault="00E001A2" w:rsidP="00127279">
            <w:pPr>
              <w:pStyle w:val="TABLEBULLETNEW"/>
            </w:pPr>
            <w:r>
              <w:t>Provides oversight and is consulted on system architecture design and business continuity </w:t>
            </w:r>
          </w:p>
          <w:p w14:paraId="4FBAB541" w14:textId="77777777" w:rsidR="00E001A2" w:rsidRPr="00635C9B" w:rsidRDefault="00E001A2" w:rsidP="00127279">
            <w:pPr>
              <w:pStyle w:val="TABLEBULLETNEW"/>
            </w:pPr>
            <w:r>
              <w:t>Participates in Project Wave scope and decisions </w:t>
            </w:r>
          </w:p>
        </w:tc>
      </w:tr>
      <w:tr w:rsidR="00513D5E" w:rsidRPr="00A21682" w14:paraId="64B052EB" w14:textId="77777777" w:rsidTr="00C96B17">
        <w:trPr>
          <w:trHeight w:val="300"/>
        </w:trPr>
        <w:tc>
          <w:tcPr>
            <w:tcW w:w="2200" w:type="dxa"/>
            <w:shd w:val="clear" w:color="auto" w:fill="FFFFFF" w:themeFill="background1"/>
            <w:hideMark/>
          </w:tcPr>
          <w:p w14:paraId="483B5438" w14:textId="77777777" w:rsidR="00E001A2" w:rsidRPr="00A21682" w:rsidRDefault="00E001A2" w:rsidP="00047C4E">
            <w:pPr>
              <w:pStyle w:val="TABLETEXT1"/>
              <w:rPr>
                <w:lang w:val="en-US"/>
              </w:rPr>
            </w:pPr>
            <w:r>
              <w:rPr>
                <w:lang w:val="en-US"/>
              </w:rPr>
              <w:t>DOS Project Director </w:t>
            </w:r>
          </w:p>
        </w:tc>
        <w:tc>
          <w:tcPr>
            <w:tcW w:w="7165" w:type="dxa"/>
            <w:hideMark/>
          </w:tcPr>
          <w:p w14:paraId="6FA80A4F" w14:textId="74638AC7" w:rsidR="000D42A5" w:rsidRPr="00635C9B" w:rsidRDefault="000D42A5" w:rsidP="00127279">
            <w:pPr>
              <w:pStyle w:val="TABLEBULLETNEW"/>
            </w:pPr>
            <w:r>
              <w:t>Participates in the ESC </w:t>
            </w:r>
          </w:p>
          <w:p w14:paraId="271AC110" w14:textId="0B2FA794" w:rsidR="00E001A2" w:rsidRPr="00635C9B" w:rsidRDefault="00E001A2" w:rsidP="00127279">
            <w:pPr>
              <w:pStyle w:val="TABLEBULLETNEW"/>
            </w:pPr>
            <w:r>
              <w:t>Provides program oversight and is accountable for DOS team tasks in the project work plan </w:t>
            </w:r>
          </w:p>
          <w:p w14:paraId="2124826B" w14:textId="77777777" w:rsidR="00E001A2" w:rsidRPr="00635C9B" w:rsidRDefault="00E001A2" w:rsidP="00127279">
            <w:pPr>
              <w:pStyle w:val="TABLEBULLETNEW"/>
            </w:pPr>
            <w:r>
              <w:t>Is the DOH OHIP responsible party for each of the SDLC phase decisions to exit/enter a new phase </w:t>
            </w:r>
          </w:p>
          <w:p w14:paraId="33412189" w14:textId="77777777" w:rsidR="00E001A2" w:rsidRPr="00635C9B" w:rsidRDefault="00E001A2" w:rsidP="00127279">
            <w:pPr>
              <w:pStyle w:val="TABLEBULLETNEW"/>
            </w:pPr>
            <w:r>
              <w:t>Participates in Project Wave scope and decisions </w:t>
            </w:r>
          </w:p>
        </w:tc>
      </w:tr>
      <w:tr w:rsidR="000D42A5" w:rsidRPr="00A21682" w14:paraId="6E3EB621" w14:textId="77777777" w:rsidTr="00C96B17">
        <w:trPr>
          <w:trHeight w:val="300"/>
        </w:trPr>
        <w:tc>
          <w:tcPr>
            <w:tcW w:w="2200" w:type="dxa"/>
            <w:shd w:val="clear" w:color="auto" w:fill="FFFFFF" w:themeFill="background1"/>
          </w:tcPr>
          <w:p w14:paraId="11A3366E" w14:textId="13414D60" w:rsidR="000D42A5" w:rsidRPr="00A21682" w:rsidRDefault="000D42A5" w:rsidP="00047C4E">
            <w:pPr>
              <w:pStyle w:val="TABLETEXT1"/>
              <w:rPr>
                <w:lang w:val="en-US"/>
              </w:rPr>
            </w:pPr>
            <w:r>
              <w:rPr>
                <w:lang w:val="en-US"/>
              </w:rPr>
              <w:t>DOS Technical Director</w:t>
            </w:r>
          </w:p>
        </w:tc>
        <w:tc>
          <w:tcPr>
            <w:tcW w:w="7165" w:type="dxa"/>
          </w:tcPr>
          <w:p w14:paraId="15FFDF16" w14:textId="77777777" w:rsidR="000D42A5" w:rsidRPr="00635C9B" w:rsidRDefault="000D42A5" w:rsidP="00127279">
            <w:pPr>
              <w:pStyle w:val="TABLEBULLETNEW"/>
            </w:pPr>
            <w:r>
              <w:t>Participates in the ESC </w:t>
            </w:r>
          </w:p>
          <w:p w14:paraId="0D2736A9" w14:textId="299D2627" w:rsidR="000D42A5" w:rsidRPr="00635C9B" w:rsidRDefault="000D42A5" w:rsidP="00127279">
            <w:pPr>
              <w:pStyle w:val="TABLEBULLETNEW"/>
            </w:pPr>
            <w:r>
              <w:t>Provides leadership and decision making on system architecture design and business continuity in collaboration with DOS CTO</w:t>
            </w:r>
          </w:p>
          <w:p w14:paraId="761EA7F2" w14:textId="3EAB195A" w:rsidR="000D42A5" w:rsidRPr="00635C9B" w:rsidRDefault="000D42A5" w:rsidP="00127279">
            <w:pPr>
              <w:pStyle w:val="TABLEBULLETNEW"/>
            </w:pPr>
            <w:r>
              <w:t>Review and provide feedback on architectural deliverables</w:t>
            </w:r>
          </w:p>
          <w:p w14:paraId="111DD7BE" w14:textId="77777777" w:rsidR="000D42A5" w:rsidRPr="00635C9B" w:rsidRDefault="000D42A5" w:rsidP="00127279">
            <w:pPr>
              <w:pStyle w:val="TABLEBULLETNEW"/>
            </w:pPr>
            <w:r>
              <w:t>Authority to make architectural decisions (for example, approve sizing of cloud infrastructure) </w:t>
            </w:r>
          </w:p>
          <w:p w14:paraId="40EA4BFF" w14:textId="77777777" w:rsidR="000D42A5" w:rsidRPr="00635C9B" w:rsidRDefault="000D42A5" w:rsidP="00127279">
            <w:pPr>
              <w:pStyle w:val="TABLEBULLETNEW"/>
            </w:pPr>
            <w:r>
              <w:t>Available for working sessions to assist Deloitte in producing architectural deliverables </w:t>
            </w:r>
          </w:p>
          <w:p w14:paraId="77724369" w14:textId="77777777" w:rsidR="000D42A5" w:rsidRPr="00635C9B" w:rsidRDefault="000D42A5" w:rsidP="00127279">
            <w:pPr>
              <w:pStyle w:val="TABLEBULLETNEW"/>
            </w:pPr>
            <w:r>
              <w:t>Authority to approve technical deliverables </w:t>
            </w:r>
          </w:p>
          <w:p w14:paraId="516E0F0B" w14:textId="759101D0" w:rsidR="000D42A5" w:rsidRDefault="000D42A5" w:rsidP="00127279">
            <w:pPr>
              <w:pStyle w:val="TABLEBULLETNEW"/>
            </w:pPr>
            <w:r>
              <w:t>Authority to approve software procurements</w:t>
            </w:r>
          </w:p>
          <w:p w14:paraId="3D6BDE5F" w14:textId="4A561F7E" w:rsidR="000D42A5" w:rsidRPr="00635C9B" w:rsidRDefault="000D42A5" w:rsidP="00127279">
            <w:pPr>
              <w:pStyle w:val="TABLEBULLETNEW"/>
            </w:pPr>
            <w:r>
              <w:t>Participates in Project Wave scope and decisions</w:t>
            </w:r>
          </w:p>
        </w:tc>
      </w:tr>
      <w:tr w:rsidR="00513D5E" w:rsidRPr="00A21682" w14:paraId="369D891E" w14:textId="77777777" w:rsidTr="00C96B17">
        <w:trPr>
          <w:trHeight w:val="300"/>
        </w:trPr>
        <w:tc>
          <w:tcPr>
            <w:tcW w:w="2200" w:type="dxa"/>
            <w:shd w:val="clear" w:color="auto" w:fill="FFFFFF" w:themeFill="background1"/>
            <w:hideMark/>
          </w:tcPr>
          <w:p w14:paraId="5B69EC84" w14:textId="77777777" w:rsidR="00E001A2" w:rsidRPr="00A21682" w:rsidRDefault="00E001A2" w:rsidP="00047C4E">
            <w:pPr>
              <w:pStyle w:val="TABLETEXT1"/>
              <w:rPr>
                <w:lang w:val="en-US"/>
              </w:rPr>
            </w:pPr>
            <w:r>
              <w:rPr>
                <w:lang w:val="en-US"/>
              </w:rPr>
              <w:t>███████ Project Executive </w:t>
            </w:r>
          </w:p>
        </w:tc>
        <w:tc>
          <w:tcPr>
            <w:tcW w:w="7165" w:type="dxa"/>
            <w:hideMark/>
          </w:tcPr>
          <w:p w14:paraId="09A37A6B" w14:textId="0C54D2F2" w:rsidR="00E001A2" w:rsidRPr="00635C9B" w:rsidRDefault="00E001A2" w:rsidP="00127279">
            <w:pPr>
              <w:pStyle w:val="TABLEBULLETNEW"/>
            </w:pPr>
            <w:r>
              <w:t>Provides executive program oversight and is accountable for ███████’s services, performance, and work on the Continuing Medicaid Eligibility Modernization Project </w:t>
            </w:r>
          </w:p>
          <w:p w14:paraId="01DF127F" w14:textId="77777777" w:rsidR="00E001A2" w:rsidRPr="00635C9B" w:rsidRDefault="00E001A2" w:rsidP="00127279">
            <w:pPr>
              <w:pStyle w:val="TABLEBULLETNEW"/>
            </w:pPr>
            <w:r>
              <w:t>Advises the team on key aspects of the program, technical solution, and provides subject matter expertise </w:t>
            </w:r>
          </w:p>
          <w:p w14:paraId="4451ED63" w14:textId="77777777" w:rsidR="00E001A2" w:rsidRPr="00635C9B" w:rsidRDefault="00E001A2" w:rsidP="00127279">
            <w:pPr>
              <w:pStyle w:val="TABLEBULLETNEW"/>
            </w:pPr>
            <w:r>
              <w:t>Has contractual authority on behalf of Deloitte </w:t>
            </w:r>
          </w:p>
          <w:p w14:paraId="03DC5460" w14:textId="77777777" w:rsidR="00E001A2" w:rsidRPr="00635C9B" w:rsidRDefault="00E001A2" w:rsidP="00127279">
            <w:pPr>
              <w:pStyle w:val="TABLEBULLETNEW"/>
            </w:pPr>
            <w:r>
              <w:t>Participates in Project Wave scope and decisions </w:t>
            </w:r>
          </w:p>
        </w:tc>
      </w:tr>
      <w:tr w:rsidR="00513D5E" w:rsidRPr="00A21682" w14:paraId="1601B959" w14:textId="77777777" w:rsidTr="00C96B17">
        <w:trPr>
          <w:trHeight w:val="300"/>
        </w:trPr>
        <w:tc>
          <w:tcPr>
            <w:tcW w:w="2200" w:type="dxa"/>
            <w:shd w:val="clear" w:color="auto" w:fill="FFFFFF" w:themeFill="background1"/>
            <w:hideMark/>
          </w:tcPr>
          <w:p w14:paraId="54A21E1C" w14:textId="77777777" w:rsidR="00E001A2" w:rsidRPr="00A21682" w:rsidRDefault="00E001A2" w:rsidP="00047C4E">
            <w:pPr>
              <w:pStyle w:val="TABLETEXT1"/>
              <w:rPr>
                <w:lang w:val="en-US"/>
              </w:rPr>
            </w:pPr>
            <w:r>
              <w:rPr>
                <w:lang w:val="en-US"/>
              </w:rPr>
              <w:lastRenderedPageBreak/>
              <w:t>███████ Project Director </w:t>
            </w:r>
          </w:p>
        </w:tc>
        <w:tc>
          <w:tcPr>
            <w:tcW w:w="7165" w:type="dxa"/>
            <w:hideMark/>
          </w:tcPr>
          <w:p w14:paraId="6A6A0CAF" w14:textId="19B3BCA0" w:rsidR="00E001A2" w:rsidRPr="00635C9B" w:rsidRDefault="00E001A2" w:rsidP="00127279">
            <w:pPr>
              <w:pStyle w:val="TABLEBULLETNEW"/>
            </w:pPr>
            <w:r>
              <w:t>Provides program oversight and is responsible for ███████’s services, performance, and work on the Continuing Medicaid Eligibility Modernization Project </w:t>
            </w:r>
          </w:p>
          <w:p w14:paraId="13D8094F" w14:textId="6BABC5A2" w:rsidR="00E001A2" w:rsidRPr="00635C9B" w:rsidRDefault="00E001A2" w:rsidP="00127279">
            <w:pPr>
              <w:pStyle w:val="TABLEBULLETNEW"/>
            </w:pPr>
            <w:r>
              <w:t xml:space="preserve">Manages quality of delivery, supports resource acquisition, provides support to and makes decisions for contract administration </w:t>
            </w:r>
          </w:p>
          <w:p w14:paraId="62BDA302" w14:textId="77777777" w:rsidR="00E001A2" w:rsidRPr="00635C9B" w:rsidRDefault="00E001A2" w:rsidP="00127279">
            <w:pPr>
              <w:pStyle w:val="TABLEBULLETNEW"/>
            </w:pPr>
            <w:r>
              <w:t>Is the Deloitte responsible party for each of the SDLC phase decisions to exit/enter a new phase </w:t>
            </w:r>
          </w:p>
          <w:p w14:paraId="0C723FAE" w14:textId="77777777" w:rsidR="00E001A2" w:rsidRPr="00635C9B" w:rsidRDefault="00E001A2" w:rsidP="00127279">
            <w:pPr>
              <w:pStyle w:val="TABLEBULLETNEW"/>
            </w:pPr>
            <w:r>
              <w:t>Participates in Project Wave scope and decisions </w:t>
            </w:r>
          </w:p>
        </w:tc>
      </w:tr>
      <w:tr w:rsidR="00513D5E" w:rsidRPr="00A21682" w14:paraId="169FEC64" w14:textId="77777777" w:rsidTr="00C96B17">
        <w:trPr>
          <w:trHeight w:val="300"/>
        </w:trPr>
        <w:tc>
          <w:tcPr>
            <w:tcW w:w="2200" w:type="dxa"/>
            <w:shd w:val="clear" w:color="auto" w:fill="FFFFFF" w:themeFill="background1"/>
            <w:hideMark/>
          </w:tcPr>
          <w:p w14:paraId="5B305B94" w14:textId="77777777" w:rsidR="00E001A2" w:rsidRPr="00A21682" w:rsidRDefault="00E001A2" w:rsidP="00047C4E">
            <w:pPr>
              <w:pStyle w:val="TABLETEXT1"/>
              <w:rPr>
                <w:lang w:val="en-US"/>
              </w:rPr>
            </w:pPr>
            <w:r>
              <w:rPr>
                <w:lang w:val="en-US"/>
              </w:rPr>
              <w:t>███████ Human Services Transformation Practice Leader </w:t>
            </w:r>
          </w:p>
        </w:tc>
        <w:tc>
          <w:tcPr>
            <w:tcW w:w="7165" w:type="dxa"/>
            <w:hideMark/>
          </w:tcPr>
          <w:p w14:paraId="69362B35" w14:textId="77777777" w:rsidR="00E001A2" w:rsidRPr="00635C9B" w:rsidRDefault="00E001A2" w:rsidP="00127279">
            <w:pPr>
              <w:pStyle w:val="TABLEBULLETNEW"/>
            </w:pPr>
            <w:r>
              <w:t>Participates in the ESC </w:t>
            </w:r>
          </w:p>
          <w:p w14:paraId="3A457B82" w14:textId="77777777" w:rsidR="00E001A2" w:rsidRPr="00635C9B" w:rsidRDefault="00E001A2" w:rsidP="00127279">
            <w:pPr>
              <w:pStyle w:val="TABLEBULLETNEW"/>
            </w:pPr>
            <w:r>
              <w:t>Serves as a senior advisor to the project and point of access to the Deloitte Humans Services Transformation practice </w:t>
            </w:r>
          </w:p>
        </w:tc>
      </w:tr>
      <w:tr w:rsidR="00513D5E" w:rsidRPr="00A21682" w14:paraId="08CF9E50" w14:textId="77777777" w:rsidTr="00C96B17">
        <w:trPr>
          <w:trHeight w:val="300"/>
        </w:trPr>
        <w:tc>
          <w:tcPr>
            <w:tcW w:w="2200" w:type="dxa"/>
            <w:shd w:val="clear" w:color="auto" w:fill="FFFFFF" w:themeFill="background1"/>
            <w:hideMark/>
          </w:tcPr>
          <w:p w14:paraId="103C7AB8" w14:textId="77777777" w:rsidR="00E001A2" w:rsidRPr="00A21682" w:rsidRDefault="00E001A2" w:rsidP="00047C4E">
            <w:pPr>
              <w:pStyle w:val="TABLETEXT1"/>
              <w:rPr>
                <w:lang w:val="en-US"/>
              </w:rPr>
            </w:pPr>
            <w:r>
              <w:rPr>
                <w:lang w:val="en-US"/>
              </w:rPr>
              <w:t>███████ NYS Account Consulting Leader </w:t>
            </w:r>
          </w:p>
        </w:tc>
        <w:tc>
          <w:tcPr>
            <w:tcW w:w="7165" w:type="dxa"/>
            <w:hideMark/>
          </w:tcPr>
          <w:p w14:paraId="7B3C95C5" w14:textId="77777777" w:rsidR="00E001A2" w:rsidRPr="00635C9B" w:rsidRDefault="00E001A2" w:rsidP="00127279">
            <w:pPr>
              <w:pStyle w:val="TABLEBULLETNEW"/>
            </w:pPr>
            <w:r>
              <w:t>Participates in the ESC </w:t>
            </w:r>
          </w:p>
          <w:p w14:paraId="6EB09EF9" w14:textId="77777777" w:rsidR="00E001A2" w:rsidRPr="00635C9B" w:rsidRDefault="00E001A2" w:rsidP="00127279">
            <w:pPr>
              <w:pStyle w:val="TABLEBULLETNEW"/>
            </w:pPr>
            <w:r>
              <w:t>Supports the Deloitte Project Executive with contract administration and decisions </w:t>
            </w:r>
          </w:p>
        </w:tc>
      </w:tr>
      <w:tr w:rsidR="00E001A2" w:rsidRPr="00A21682" w14:paraId="307E0DD8" w14:textId="77777777" w:rsidTr="00047C4E">
        <w:trPr>
          <w:trHeight w:val="300"/>
        </w:trPr>
        <w:tc>
          <w:tcPr>
            <w:tcW w:w="9365" w:type="dxa"/>
            <w:gridSpan w:val="2"/>
            <w:shd w:val="clear" w:color="auto" w:fill="D5DCE4" w:themeFill="text2" w:themeFillTint="33"/>
          </w:tcPr>
          <w:p w14:paraId="1FF90D40" w14:textId="77777777" w:rsidR="00E001A2" w:rsidRPr="00A21682" w:rsidRDefault="00E001A2" w:rsidP="00047C4E">
            <w:pPr>
              <w:pStyle w:val="TABLEHEADINGNEW"/>
              <w:jc w:val="center"/>
              <w:rPr>
                <w:color w:val="000000" w:themeColor="text1"/>
              </w:rPr>
            </w:pPr>
            <w:r>
              <w:rPr>
                <w:color w:val="000000" w:themeColor="text1"/>
              </w:rPr>
              <w:t>Business Stakeholders</w:t>
            </w:r>
          </w:p>
        </w:tc>
      </w:tr>
      <w:tr w:rsidR="00513D5E" w:rsidRPr="00A21682" w14:paraId="21005492" w14:textId="77777777" w:rsidTr="00C96B17">
        <w:trPr>
          <w:trHeight w:val="300"/>
        </w:trPr>
        <w:tc>
          <w:tcPr>
            <w:tcW w:w="2200" w:type="dxa"/>
            <w:shd w:val="clear" w:color="auto" w:fill="FFFFFF" w:themeFill="background1"/>
            <w:hideMark/>
          </w:tcPr>
          <w:p w14:paraId="14E20DDA" w14:textId="77777777" w:rsidR="00E001A2" w:rsidRPr="00A21682" w:rsidRDefault="00E001A2" w:rsidP="00047C4E">
            <w:pPr>
              <w:pStyle w:val="TABLETEXT1"/>
              <w:rPr>
                <w:lang w:val="en-US"/>
              </w:rPr>
            </w:pPr>
            <w:r>
              <w:rPr>
                <w:lang w:val="en-US"/>
              </w:rPr>
              <w:t>DOS Implementation and CM Manager </w:t>
            </w:r>
          </w:p>
        </w:tc>
        <w:tc>
          <w:tcPr>
            <w:tcW w:w="7165" w:type="dxa"/>
            <w:hideMark/>
          </w:tcPr>
          <w:p w14:paraId="3F3A1EA4" w14:textId="77777777" w:rsidR="00E001A2" w:rsidRPr="00635C9B" w:rsidRDefault="00E001A2" w:rsidP="00127279">
            <w:pPr>
              <w:pStyle w:val="TABLEBULLETNEW"/>
            </w:pPr>
            <w:r>
              <w:t>Manages the timely review and approval of business process analysis, design, and rollout deliverables </w:t>
            </w:r>
          </w:p>
          <w:p w14:paraId="72D396C0" w14:textId="77777777" w:rsidR="00E001A2" w:rsidRPr="00635C9B" w:rsidRDefault="00E001A2" w:rsidP="00127279">
            <w:pPr>
              <w:pStyle w:val="TABLEBULLETNEW"/>
            </w:pPr>
            <w:r>
              <w:t>Tracks open action items, decisions, risks, and issues related to CM activities to resolution </w:t>
            </w:r>
          </w:p>
          <w:p w14:paraId="72361382" w14:textId="77777777" w:rsidR="00E001A2" w:rsidRPr="00635C9B" w:rsidRDefault="00E001A2" w:rsidP="00127279">
            <w:pPr>
              <w:pStyle w:val="TABLEBULLETNEW"/>
            </w:pPr>
            <w:r>
              <w:t>Secures resource availability to attend business process and design sessions and coordinates schedule with the Deloitte Implementation and CM Manager </w:t>
            </w:r>
          </w:p>
          <w:p w14:paraId="0CE7504D" w14:textId="52F71F7D" w:rsidR="00E001A2" w:rsidRPr="00635C9B" w:rsidRDefault="00E001A2" w:rsidP="00127279">
            <w:pPr>
              <w:pStyle w:val="TABLEBULLETNEW"/>
            </w:pPr>
            <w:r>
              <w:t xml:space="preserve">Supports Business Stakeholders during UAT and training </w:t>
            </w:r>
          </w:p>
        </w:tc>
      </w:tr>
      <w:tr w:rsidR="00513D5E" w:rsidRPr="00A21682" w14:paraId="58A3D073" w14:textId="77777777" w:rsidTr="00C96B17">
        <w:trPr>
          <w:trHeight w:val="300"/>
        </w:trPr>
        <w:tc>
          <w:tcPr>
            <w:tcW w:w="2200" w:type="dxa"/>
            <w:shd w:val="clear" w:color="auto" w:fill="FFFFFF" w:themeFill="background1"/>
            <w:hideMark/>
          </w:tcPr>
          <w:p w14:paraId="24B91A2A" w14:textId="5D1EFAD8" w:rsidR="00E001A2" w:rsidRPr="00A21682" w:rsidRDefault="00E001A2" w:rsidP="00047C4E">
            <w:pPr>
              <w:pStyle w:val="TABLETEXT1"/>
              <w:rPr>
                <w:lang w:val="en-US"/>
              </w:rPr>
            </w:pPr>
            <w:r>
              <w:rPr>
                <w:lang w:val="en-US"/>
              </w:rPr>
              <w:t xml:space="preserve">DOH OHIP Business Process Analysis, Requirements, Design Session, and UAT Participants </w:t>
            </w:r>
          </w:p>
        </w:tc>
        <w:tc>
          <w:tcPr>
            <w:tcW w:w="7165" w:type="dxa"/>
            <w:hideMark/>
          </w:tcPr>
          <w:p w14:paraId="6C2D8EC7" w14:textId="77777777" w:rsidR="00E001A2" w:rsidRPr="00635C9B" w:rsidRDefault="00E001A2" w:rsidP="00127279">
            <w:pPr>
              <w:pStyle w:val="TABLEBULLETNEW"/>
            </w:pPr>
            <w:r>
              <w:t>Participate in working sessions and provide documentation for the business process analysis, functional requirements, design sessions, and UAT </w:t>
            </w:r>
          </w:p>
          <w:p w14:paraId="564CBAB7" w14:textId="77777777" w:rsidR="00E001A2" w:rsidRPr="00635C9B" w:rsidRDefault="00E001A2" w:rsidP="00127279">
            <w:pPr>
              <w:pStyle w:val="TABLEBULLETNEW"/>
            </w:pPr>
            <w:r>
              <w:t>Validates the requirements and design aligned to the business objectives </w:t>
            </w:r>
          </w:p>
        </w:tc>
      </w:tr>
      <w:tr w:rsidR="00513D5E" w:rsidRPr="00A21682" w14:paraId="67B1FFBE" w14:textId="77777777" w:rsidTr="00C96B17">
        <w:trPr>
          <w:trHeight w:val="300"/>
        </w:trPr>
        <w:tc>
          <w:tcPr>
            <w:tcW w:w="2200" w:type="dxa"/>
            <w:shd w:val="clear" w:color="auto" w:fill="FFFFFF" w:themeFill="background1"/>
            <w:hideMark/>
          </w:tcPr>
          <w:p w14:paraId="1F80C10B" w14:textId="77777777" w:rsidR="00E001A2" w:rsidRPr="00A21682" w:rsidRDefault="00E001A2" w:rsidP="00047C4E">
            <w:pPr>
              <w:pStyle w:val="TABLETEXT1"/>
              <w:rPr>
                <w:lang w:val="en-US"/>
              </w:rPr>
            </w:pPr>
            <w:r>
              <w:rPr>
                <w:lang w:val="en-US"/>
              </w:rPr>
              <w:t>███████ CM Director </w:t>
            </w:r>
          </w:p>
        </w:tc>
        <w:tc>
          <w:tcPr>
            <w:tcW w:w="7165" w:type="dxa"/>
            <w:hideMark/>
          </w:tcPr>
          <w:p w14:paraId="297A80BD" w14:textId="32640E41" w:rsidR="00E001A2" w:rsidRPr="00635C9B" w:rsidRDefault="00E001A2" w:rsidP="00127279">
            <w:pPr>
              <w:pStyle w:val="TABLEBULLETNEW"/>
            </w:pPr>
            <w:r>
              <w:t xml:space="preserve">Oversees CM activities for the MECM solution and Change Management </w:t>
            </w:r>
          </w:p>
          <w:p w14:paraId="156891E7" w14:textId="2918C110" w:rsidR="00E001A2" w:rsidRPr="00635C9B" w:rsidRDefault="00E001A2" w:rsidP="00127279">
            <w:pPr>
              <w:pStyle w:val="TABLEBULLETNEW"/>
            </w:pPr>
            <w:r>
              <w:t xml:space="preserve">Responsible for the timely review and quality control of CM deliverables </w:t>
            </w:r>
          </w:p>
        </w:tc>
      </w:tr>
      <w:tr w:rsidR="00513D5E" w:rsidRPr="00A21682" w14:paraId="2844688D" w14:textId="77777777" w:rsidTr="00C96B17">
        <w:trPr>
          <w:trHeight w:val="300"/>
        </w:trPr>
        <w:tc>
          <w:tcPr>
            <w:tcW w:w="2200" w:type="dxa"/>
            <w:shd w:val="clear" w:color="auto" w:fill="FFFFFF" w:themeFill="background1"/>
            <w:hideMark/>
          </w:tcPr>
          <w:p w14:paraId="32ACF809" w14:textId="77777777" w:rsidR="00E001A2" w:rsidRPr="00A21682" w:rsidRDefault="00E001A2" w:rsidP="00047C4E">
            <w:pPr>
              <w:pStyle w:val="TABLETEXT1"/>
              <w:rPr>
                <w:lang w:val="en-US"/>
              </w:rPr>
            </w:pPr>
            <w:r>
              <w:rPr>
                <w:lang w:val="en-US"/>
              </w:rPr>
              <w:t>███████ Implementation and CM Manager </w:t>
            </w:r>
          </w:p>
        </w:tc>
        <w:tc>
          <w:tcPr>
            <w:tcW w:w="7165" w:type="dxa"/>
            <w:hideMark/>
          </w:tcPr>
          <w:p w14:paraId="30B44D35" w14:textId="396FACF3" w:rsidR="00E001A2" w:rsidRPr="00635C9B" w:rsidRDefault="00E001A2" w:rsidP="00127279">
            <w:pPr>
              <w:pStyle w:val="TABLEBULLETNEW"/>
            </w:pPr>
            <w:r>
              <w:t xml:space="preserve">Manages CM activities for the MECM solution and Change Management </w:t>
            </w:r>
          </w:p>
          <w:p w14:paraId="546EC6CC" w14:textId="77777777" w:rsidR="00E001A2" w:rsidRPr="00635C9B" w:rsidRDefault="00E001A2" w:rsidP="00127279">
            <w:pPr>
              <w:pStyle w:val="TABLEBULLETNEW"/>
            </w:pPr>
            <w:r>
              <w:t>Recommends solutions for CM activities </w:t>
            </w:r>
          </w:p>
          <w:p w14:paraId="38D572E4" w14:textId="77777777" w:rsidR="00E001A2" w:rsidRPr="00635C9B" w:rsidRDefault="00E001A2" w:rsidP="00127279">
            <w:pPr>
              <w:pStyle w:val="TABLEBULLETNEW"/>
            </w:pPr>
            <w:r>
              <w:t>Validates the CM activities align to the business objectives </w:t>
            </w:r>
          </w:p>
          <w:p w14:paraId="3646224E" w14:textId="77777777" w:rsidR="00E001A2" w:rsidRPr="00635C9B" w:rsidRDefault="00E001A2" w:rsidP="00127279">
            <w:pPr>
              <w:pStyle w:val="TABLEBULLETNEW"/>
            </w:pPr>
            <w:r>
              <w:t>Coordinates with the DOS Implementation and CM Manager for stakeholder support during CM tasks </w:t>
            </w:r>
          </w:p>
          <w:p w14:paraId="59B5A33E" w14:textId="77777777" w:rsidR="00E001A2" w:rsidRPr="00635C9B" w:rsidRDefault="00E001A2" w:rsidP="00127279">
            <w:pPr>
              <w:pStyle w:val="TABLEBULLETNEW"/>
            </w:pPr>
            <w:r>
              <w:t>Coordinates with DOS Implementation and CM Manager for timely reviews and approvals of CM deliverables </w:t>
            </w:r>
          </w:p>
        </w:tc>
      </w:tr>
      <w:tr w:rsidR="00513D5E" w:rsidRPr="00A21682" w14:paraId="5C4AAB64" w14:textId="77777777" w:rsidTr="00C96B17">
        <w:trPr>
          <w:trHeight w:val="300"/>
        </w:trPr>
        <w:tc>
          <w:tcPr>
            <w:tcW w:w="2200" w:type="dxa"/>
            <w:shd w:val="clear" w:color="auto" w:fill="FFFFFF" w:themeFill="background1"/>
            <w:hideMark/>
          </w:tcPr>
          <w:p w14:paraId="636BB9B2" w14:textId="77777777" w:rsidR="00E001A2" w:rsidRPr="00A21682" w:rsidRDefault="00E001A2" w:rsidP="00047C4E">
            <w:pPr>
              <w:pStyle w:val="TABLETEXT1"/>
              <w:rPr>
                <w:lang w:val="en-US"/>
              </w:rPr>
            </w:pPr>
            <w:r>
              <w:rPr>
                <w:lang w:val="en-US"/>
              </w:rPr>
              <w:t>███████ Human Centered Design and Business Process Lead </w:t>
            </w:r>
          </w:p>
        </w:tc>
        <w:tc>
          <w:tcPr>
            <w:tcW w:w="7165" w:type="dxa"/>
            <w:hideMark/>
          </w:tcPr>
          <w:p w14:paraId="36BFBEA7" w14:textId="77777777" w:rsidR="00E001A2" w:rsidRPr="00635C9B" w:rsidRDefault="00E001A2" w:rsidP="00127279">
            <w:pPr>
              <w:pStyle w:val="TABLEBULLETNEW"/>
            </w:pPr>
            <w:r>
              <w:t>Responsible for drafting business process analysis and supporting design sessions </w:t>
            </w:r>
          </w:p>
          <w:p w14:paraId="61996191" w14:textId="77777777" w:rsidR="00E001A2" w:rsidRPr="00635C9B" w:rsidRDefault="00E001A2" w:rsidP="00127279">
            <w:pPr>
              <w:pStyle w:val="TABLEBULLETNEW"/>
            </w:pPr>
            <w:r>
              <w:t>Recommends solutions for complex design challenges </w:t>
            </w:r>
          </w:p>
          <w:p w14:paraId="56537F62" w14:textId="77777777" w:rsidR="00E001A2" w:rsidRPr="00635C9B" w:rsidRDefault="00E001A2" w:rsidP="00127279">
            <w:pPr>
              <w:pStyle w:val="TABLEBULLETNEW"/>
            </w:pPr>
            <w:r>
              <w:t>Validates the business process analysis aligns to the business objectives </w:t>
            </w:r>
          </w:p>
        </w:tc>
      </w:tr>
      <w:tr w:rsidR="00E001A2" w:rsidRPr="00A21682" w14:paraId="433A9421" w14:textId="77777777" w:rsidTr="00047C4E">
        <w:trPr>
          <w:trHeight w:val="300"/>
        </w:trPr>
        <w:tc>
          <w:tcPr>
            <w:tcW w:w="9365" w:type="dxa"/>
            <w:gridSpan w:val="2"/>
            <w:shd w:val="clear" w:color="auto" w:fill="D5DCE4" w:themeFill="text2" w:themeFillTint="33"/>
          </w:tcPr>
          <w:p w14:paraId="379DFE89" w14:textId="77777777" w:rsidR="00E001A2" w:rsidRPr="00A21682" w:rsidRDefault="00E001A2" w:rsidP="00047C4E">
            <w:pPr>
              <w:pStyle w:val="TABLEHEADINGNEW"/>
              <w:jc w:val="center"/>
              <w:rPr>
                <w:color w:val="000000" w:themeColor="text1"/>
              </w:rPr>
            </w:pPr>
            <w:r>
              <w:rPr>
                <w:color w:val="000000" w:themeColor="text1"/>
              </w:rPr>
              <w:lastRenderedPageBreak/>
              <w:t>Functional Stakeholders</w:t>
            </w:r>
          </w:p>
        </w:tc>
      </w:tr>
      <w:tr w:rsidR="00513D5E" w:rsidRPr="00A21682" w14:paraId="0EBF203F" w14:textId="77777777" w:rsidTr="00C96B17">
        <w:trPr>
          <w:trHeight w:val="300"/>
        </w:trPr>
        <w:tc>
          <w:tcPr>
            <w:tcW w:w="2200" w:type="dxa"/>
            <w:shd w:val="clear" w:color="auto" w:fill="FFFFFF" w:themeFill="background1"/>
            <w:hideMark/>
          </w:tcPr>
          <w:p w14:paraId="39517EF8" w14:textId="77777777" w:rsidR="00E001A2" w:rsidRPr="00A21682" w:rsidRDefault="00E001A2" w:rsidP="00047C4E">
            <w:pPr>
              <w:pStyle w:val="TABLETEXT1"/>
              <w:rPr>
                <w:lang w:val="en-US"/>
              </w:rPr>
            </w:pPr>
            <w:r>
              <w:rPr>
                <w:lang w:val="en-US"/>
              </w:rPr>
              <w:t>DOS Functional Manager </w:t>
            </w:r>
          </w:p>
        </w:tc>
        <w:tc>
          <w:tcPr>
            <w:tcW w:w="7165" w:type="dxa"/>
            <w:hideMark/>
          </w:tcPr>
          <w:p w14:paraId="0680C6CA" w14:textId="77777777" w:rsidR="00E001A2" w:rsidRPr="00635C9B" w:rsidRDefault="00E001A2" w:rsidP="00127279">
            <w:pPr>
              <w:pStyle w:val="TABLEBULLETNEW"/>
            </w:pPr>
            <w:r>
              <w:t>Manages timely review and approval of functional design documentation </w:t>
            </w:r>
          </w:p>
          <w:p w14:paraId="42CC2D1E" w14:textId="77777777" w:rsidR="00E001A2" w:rsidRPr="00635C9B" w:rsidRDefault="00E001A2" w:rsidP="00127279">
            <w:pPr>
              <w:pStyle w:val="TABLEBULLETNEW"/>
            </w:pPr>
            <w:r>
              <w:t>Tracks open action items, decisions, risks, and issues related to functional design to resolution </w:t>
            </w:r>
          </w:p>
          <w:p w14:paraId="47B4FE52" w14:textId="77777777" w:rsidR="00E001A2" w:rsidRPr="00635C9B" w:rsidRDefault="00E001A2" w:rsidP="00127279">
            <w:pPr>
              <w:pStyle w:val="TABLEBULLETNEW"/>
            </w:pPr>
            <w:r>
              <w:t>Secures resource availability to attend design working sessions and coordinates schedule with the Deloitte Functional Manager </w:t>
            </w:r>
          </w:p>
          <w:p w14:paraId="1E3C6A1A" w14:textId="77777777" w:rsidR="00E001A2" w:rsidRPr="00635C9B" w:rsidRDefault="00E001A2" w:rsidP="00127279">
            <w:pPr>
              <w:pStyle w:val="TABLEBULLETNEW"/>
            </w:pPr>
            <w:r>
              <w:t>Supports Business Stakeholders during UAT </w:t>
            </w:r>
          </w:p>
        </w:tc>
      </w:tr>
      <w:tr w:rsidR="00513D5E" w:rsidRPr="00A21682" w14:paraId="28D1BFD9" w14:textId="77777777" w:rsidTr="00C96B17">
        <w:trPr>
          <w:trHeight w:val="300"/>
        </w:trPr>
        <w:tc>
          <w:tcPr>
            <w:tcW w:w="2200" w:type="dxa"/>
            <w:shd w:val="clear" w:color="auto" w:fill="FFFFFF" w:themeFill="background1"/>
            <w:hideMark/>
          </w:tcPr>
          <w:p w14:paraId="5544B839" w14:textId="77777777" w:rsidR="00E001A2" w:rsidRPr="00A21682" w:rsidRDefault="00E001A2" w:rsidP="00047C4E">
            <w:pPr>
              <w:pStyle w:val="TABLETEXT1"/>
              <w:rPr>
                <w:lang w:val="en-US"/>
              </w:rPr>
            </w:pPr>
            <w:r>
              <w:rPr>
                <w:lang w:val="en-US"/>
              </w:rPr>
              <w:t>DOS Functional Architect </w:t>
            </w:r>
          </w:p>
        </w:tc>
        <w:tc>
          <w:tcPr>
            <w:tcW w:w="7165" w:type="dxa"/>
            <w:hideMark/>
          </w:tcPr>
          <w:p w14:paraId="485C4A68" w14:textId="77777777" w:rsidR="00E001A2" w:rsidRPr="00635C9B" w:rsidRDefault="00E001A2" w:rsidP="00127279">
            <w:pPr>
              <w:pStyle w:val="TABLEBULLETNEW"/>
            </w:pPr>
            <w:r>
              <w:t>Responsible for addressing cross-track functional requirements, design decisions, action items, risks and issues owned by DOH </w:t>
            </w:r>
          </w:p>
          <w:p w14:paraId="5849F891" w14:textId="77777777" w:rsidR="00E001A2" w:rsidRPr="00635C9B" w:rsidRDefault="00E001A2" w:rsidP="00127279">
            <w:pPr>
              <w:pStyle w:val="TABLEBULLETNEW"/>
            </w:pPr>
            <w:r>
              <w:t>Validates the requirements and design align to the business objectives </w:t>
            </w:r>
          </w:p>
        </w:tc>
      </w:tr>
      <w:tr w:rsidR="00513D5E" w:rsidRPr="00A21682" w14:paraId="6C292C2C" w14:textId="77777777" w:rsidTr="00C96B17">
        <w:trPr>
          <w:trHeight w:val="300"/>
        </w:trPr>
        <w:tc>
          <w:tcPr>
            <w:tcW w:w="2200" w:type="dxa"/>
            <w:shd w:val="clear" w:color="auto" w:fill="FFFFFF" w:themeFill="background1"/>
            <w:hideMark/>
          </w:tcPr>
          <w:p w14:paraId="11B9B443" w14:textId="77777777" w:rsidR="00E001A2" w:rsidRPr="00A21682" w:rsidRDefault="00E001A2" w:rsidP="00047C4E">
            <w:pPr>
              <w:pStyle w:val="TABLETEXT1"/>
              <w:rPr>
                <w:lang w:val="en-US"/>
              </w:rPr>
            </w:pPr>
            <w:r>
              <w:rPr>
                <w:lang w:val="en-US"/>
              </w:rPr>
              <w:t>DOS Interface/Batch Track Lead </w:t>
            </w:r>
          </w:p>
        </w:tc>
        <w:tc>
          <w:tcPr>
            <w:tcW w:w="7165" w:type="dxa"/>
            <w:hideMark/>
          </w:tcPr>
          <w:p w14:paraId="1C452C4F" w14:textId="77777777" w:rsidR="00E001A2" w:rsidRPr="00635C9B" w:rsidRDefault="00E001A2" w:rsidP="00127279">
            <w:pPr>
              <w:pStyle w:val="TABLEBULLETNEW"/>
            </w:pPr>
            <w:r>
              <w:t>Review and provide feedback for interface and batch control document deliverables </w:t>
            </w:r>
          </w:p>
          <w:p w14:paraId="30844FAA" w14:textId="77777777" w:rsidR="00E001A2" w:rsidRPr="00635C9B" w:rsidRDefault="00E001A2" w:rsidP="00127279">
            <w:pPr>
              <w:pStyle w:val="TABLEBULLETNEW"/>
            </w:pPr>
            <w:r>
              <w:t>Authority to make design decisions on behalf of the business for their functional area </w:t>
            </w:r>
          </w:p>
          <w:p w14:paraId="5FF5C8FC" w14:textId="77777777" w:rsidR="00E001A2" w:rsidRPr="00635C9B" w:rsidRDefault="00E001A2" w:rsidP="00127279">
            <w:pPr>
              <w:pStyle w:val="TABLEBULLETNEW"/>
            </w:pPr>
            <w:r>
              <w:t>Authority to approve deliverables for their functional area </w:t>
            </w:r>
          </w:p>
          <w:p w14:paraId="06FB3B49" w14:textId="77777777" w:rsidR="00E001A2" w:rsidRPr="00635C9B" w:rsidRDefault="00E001A2" w:rsidP="00127279">
            <w:pPr>
              <w:pStyle w:val="TABLEBULLETNEW"/>
            </w:pPr>
            <w:r>
              <w:t>Responsible for bringing the appropriate policy, operations, or business stakeholders to design working sessions when needed </w:t>
            </w:r>
          </w:p>
          <w:p w14:paraId="6D86EC6E" w14:textId="77777777" w:rsidR="00E001A2" w:rsidRPr="00635C9B" w:rsidRDefault="00E001A2" w:rsidP="00127279">
            <w:pPr>
              <w:pStyle w:val="TABLEBULLETNEW"/>
            </w:pPr>
            <w:r>
              <w:t>Participate in UAT, triage defects and validate test results for their functional area </w:t>
            </w:r>
          </w:p>
        </w:tc>
      </w:tr>
      <w:tr w:rsidR="00CF1838" w:rsidRPr="00A21682" w14:paraId="05C7454D" w14:textId="77777777" w:rsidTr="00C96B17">
        <w:trPr>
          <w:trHeight w:val="300"/>
        </w:trPr>
        <w:tc>
          <w:tcPr>
            <w:tcW w:w="2200" w:type="dxa"/>
            <w:shd w:val="clear" w:color="auto" w:fill="FFFFFF" w:themeFill="background1"/>
          </w:tcPr>
          <w:p w14:paraId="4233A279" w14:textId="4918140B" w:rsidR="00CF1838" w:rsidRPr="00A21682" w:rsidRDefault="00CF1838" w:rsidP="00CF1838">
            <w:pPr>
              <w:pStyle w:val="TABLETEXT1"/>
              <w:rPr>
                <w:lang w:val="en-US"/>
              </w:rPr>
            </w:pPr>
            <w:r>
              <w:rPr>
                <w:lang w:val="en-US"/>
              </w:rPr>
              <w:t>DOS Integrated JAD Track Lead</w:t>
            </w:r>
          </w:p>
        </w:tc>
        <w:tc>
          <w:tcPr>
            <w:tcW w:w="7165" w:type="dxa"/>
          </w:tcPr>
          <w:p w14:paraId="70155BD4" w14:textId="258029C2" w:rsidR="00CF1838" w:rsidRDefault="00CF1838" w:rsidP="00127279">
            <w:pPr>
              <w:pStyle w:val="TABLEBULLETNEW"/>
            </w:pPr>
            <w:r>
              <w:t>Reviews and provides feedback for specific documentation deliverables for the Integrated JAD Approach</w:t>
            </w:r>
          </w:p>
          <w:p w14:paraId="1ED6B324" w14:textId="0FAA989D" w:rsidR="008777DA" w:rsidRDefault="008C4AA9" w:rsidP="00127279">
            <w:pPr>
              <w:pStyle w:val="TABLEBULLETNEW"/>
            </w:pPr>
            <w:r>
              <w:t>Responsible for coordinating on completion of Integrated JAD Topics and Bundles</w:t>
            </w:r>
          </w:p>
          <w:p w14:paraId="2B72768F" w14:textId="19A1333A" w:rsidR="00504C33" w:rsidRDefault="00504C33" w:rsidP="00127279">
            <w:pPr>
              <w:pStyle w:val="TABLEBULLETNEW"/>
            </w:pPr>
            <w:r>
              <w:t>Authority to make design decision on behalf of the business for the Integrated JAD functional areas</w:t>
            </w:r>
          </w:p>
          <w:p w14:paraId="3581BE4A" w14:textId="77777777" w:rsidR="00504C33" w:rsidRDefault="00504C33" w:rsidP="00127279">
            <w:pPr>
              <w:pStyle w:val="TABLEBULLETNEW"/>
            </w:pPr>
            <w:r>
              <w:t>Authority to approve deliverables for the Integrated JAD Approach</w:t>
            </w:r>
          </w:p>
          <w:p w14:paraId="147B0295" w14:textId="39048C57" w:rsidR="00504C33" w:rsidRDefault="00504C33" w:rsidP="00127279">
            <w:pPr>
              <w:pStyle w:val="TABLEBULLETNEW"/>
            </w:pPr>
            <w:r>
              <w:t xml:space="preserve">Responsible for bringing the appropriate policy, operations, or business stakeholders to design working sessions when needed. </w:t>
            </w:r>
          </w:p>
          <w:p w14:paraId="51ECD57F" w14:textId="5847E4AE" w:rsidR="00CF1838" w:rsidRPr="00635C9B" w:rsidRDefault="002C4870" w:rsidP="00127279">
            <w:pPr>
              <w:pStyle w:val="TABLEBULLETNEW"/>
            </w:pPr>
            <w:r>
              <w:t>Participate in UAT, triage defects, and validate tests results</w:t>
            </w:r>
          </w:p>
        </w:tc>
      </w:tr>
      <w:tr w:rsidR="00513D5E" w:rsidRPr="00A21682" w14:paraId="6E95ACB8" w14:textId="77777777" w:rsidTr="00C96B17">
        <w:trPr>
          <w:trHeight w:val="300"/>
        </w:trPr>
        <w:tc>
          <w:tcPr>
            <w:tcW w:w="2200" w:type="dxa"/>
            <w:shd w:val="clear" w:color="auto" w:fill="FFFFFF" w:themeFill="background1"/>
            <w:hideMark/>
          </w:tcPr>
          <w:p w14:paraId="13EA88C9" w14:textId="65CBE306" w:rsidR="00E001A2" w:rsidRPr="00A21682" w:rsidRDefault="004B40B6" w:rsidP="00047C4E">
            <w:pPr>
              <w:pStyle w:val="TABLETEXT1"/>
              <w:rPr>
                <w:lang w:val="en-US"/>
              </w:rPr>
            </w:pPr>
            <w:r>
              <w:rPr>
                <w:lang w:val="en-US"/>
              </w:rPr>
              <w:t>MECM QA Manager </w:t>
            </w:r>
          </w:p>
        </w:tc>
        <w:tc>
          <w:tcPr>
            <w:tcW w:w="7165" w:type="dxa"/>
            <w:hideMark/>
          </w:tcPr>
          <w:p w14:paraId="278E3507" w14:textId="67DEAADC" w:rsidR="00E001A2" w:rsidRPr="00635C9B" w:rsidRDefault="00E001A2" w:rsidP="00127279">
            <w:pPr>
              <w:pStyle w:val="TABLEBULLETNEW"/>
            </w:pPr>
            <w:r>
              <w:t>Reviews and approves the Test Management Plan (DEL-09) </w:t>
            </w:r>
          </w:p>
          <w:p w14:paraId="135D0B93" w14:textId="77777777" w:rsidR="00E001A2" w:rsidRPr="00635C9B" w:rsidRDefault="00E001A2" w:rsidP="00127279">
            <w:pPr>
              <w:pStyle w:val="TABLEBULLETNEW"/>
            </w:pPr>
            <w:r>
              <w:t>Reviews and approves unit test and system test results </w:t>
            </w:r>
          </w:p>
          <w:p w14:paraId="387DBF72" w14:textId="77777777" w:rsidR="00E001A2" w:rsidRPr="00635C9B" w:rsidRDefault="00E001A2" w:rsidP="00127279">
            <w:pPr>
              <w:pStyle w:val="TABLEBULLETNEW"/>
            </w:pPr>
            <w:r>
              <w:t>Manages DOS testing resources and test activities owned by DOS </w:t>
            </w:r>
          </w:p>
          <w:p w14:paraId="1753E31E" w14:textId="77777777" w:rsidR="00E001A2" w:rsidRPr="00635C9B" w:rsidRDefault="00E001A2" w:rsidP="00127279">
            <w:pPr>
              <w:pStyle w:val="TABLEBULLETNEW"/>
            </w:pPr>
            <w:r>
              <w:t>Manages business stakeholders to execute UAT </w:t>
            </w:r>
          </w:p>
          <w:p w14:paraId="1B1ACF76" w14:textId="19E59B4A" w:rsidR="00E001A2" w:rsidRPr="00635C9B" w:rsidRDefault="00E001A2" w:rsidP="00127279">
            <w:pPr>
              <w:pStyle w:val="TABLEBULLETNEW"/>
            </w:pPr>
            <w:r>
              <w:t>Supports the Deloitte Test Manager to execute the Test Management Plan (DEL-09) </w:t>
            </w:r>
          </w:p>
        </w:tc>
      </w:tr>
      <w:tr w:rsidR="00513D5E" w:rsidRPr="00A21682" w14:paraId="47B1CF1F" w14:textId="77777777" w:rsidTr="00C96B17">
        <w:trPr>
          <w:trHeight w:val="300"/>
        </w:trPr>
        <w:tc>
          <w:tcPr>
            <w:tcW w:w="2200" w:type="dxa"/>
            <w:shd w:val="clear" w:color="auto" w:fill="FFFFFF" w:themeFill="background1"/>
            <w:hideMark/>
          </w:tcPr>
          <w:p w14:paraId="7F0FFA4A" w14:textId="77777777" w:rsidR="00E001A2" w:rsidRPr="00A21682" w:rsidRDefault="00E001A2" w:rsidP="00047C4E">
            <w:pPr>
              <w:pStyle w:val="TABLETEXT1"/>
              <w:rPr>
                <w:lang w:val="en-US"/>
              </w:rPr>
            </w:pPr>
            <w:r>
              <w:rPr>
                <w:lang w:val="en-US"/>
              </w:rPr>
              <w:t>DOS Test Lead </w:t>
            </w:r>
          </w:p>
        </w:tc>
        <w:tc>
          <w:tcPr>
            <w:tcW w:w="7165" w:type="dxa"/>
            <w:hideMark/>
          </w:tcPr>
          <w:p w14:paraId="2301D502" w14:textId="4C2FB290" w:rsidR="00E001A2" w:rsidRPr="00635C9B" w:rsidRDefault="00E001A2" w:rsidP="00127279">
            <w:pPr>
              <w:pStyle w:val="TABLEBULLETNEW"/>
            </w:pPr>
            <w:r>
              <w:t>Reviews and provides input to the Test Management Plan (DEL-09) (provides details for DOH owned test activities) </w:t>
            </w:r>
          </w:p>
          <w:p w14:paraId="1F1FD253" w14:textId="77777777" w:rsidR="00E001A2" w:rsidRPr="00635C9B" w:rsidRDefault="00E001A2" w:rsidP="00127279">
            <w:pPr>
              <w:pStyle w:val="TABLEBULLETNEW"/>
            </w:pPr>
            <w:r>
              <w:t>Reviews and provides input into the unit test and system test results </w:t>
            </w:r>
          </w:p>
          <w:p w14:paraId="4A564CF8" w14:textId="77777777" w:rsidR="00E001A2" w:rsidRPr="00635C9B" w:rsidRDefault="00E001A2" w:rsidP="00127279">
            <w:pPr>
              <w:pStyle w:val="TABLEBULLETNEW"/>
            </w:pPr>
            <w:r>
              <w:t>Leads DOS testing resources and test activities owned by DOS </w:t>
            </w:r>
          </w:p>
          <w:p w14:paraId="337FC4E8" w14:textId="2725C936" w:rsidR="00E001A2" w:rsidRPr="00635C9B" w:rsidRDefault="00E001A2" w:rsidP="00127279">
            <w:pPr>
              <w:pStyle w:val="TABLEBULLETNEW"/>
            </w:pPr>
            <w:r>
              <w:t>Supports the Deloitte Test Lead in executing the Test Management Plan (DEL-09) </w:t>
            </w:r>
          </w:p>
        </w:tc>
      </w:tr>
      <w:tr w:rsidR="00513D5E" w:rsidRPr="00A21682" w14:paraId="2FF162CC" w14:textId="77777777" w:rsidTr="00C96B17">
        <w:trPr>
          <w:trHeight w:val="300"/>
        </w:trPr>
        <w:tc>
          <w:tcPr>
            <w:tcW w:w="2200" w:type="dxa"/>
            <w:shd w:val="clear" w:color="auto" w:fill="FFFFFF" w:themeFill="background1"/>
            <w:hideMark/>
          </w:tcPr>
          <w:p w14:paraId="0B63C61C" w14:textId="77777777" w:rsidR="00E001A2" w:rsidRPr="00A21682" w:rsidRDefault="00E001A2" w:rsidP="00047C4E">
            <w:pPr>
              <w:pStyle w:val="TABLETEXT1"/>
              <w:rPr>
                <w:lang w:val="en-US"/>
              </w:rPr>
            </w:pPr>
            <w:r>
              <w:rPr>
                <w:lang w:val="en-US"/>
              </w:rPr>
              <w:lastRenderedPageBreak/>
              <w:t>███████ Functional Manager </w:t>
            </w:r>
          </w:p>
        </w:tc>
        <w:tc>
          <w:tcPr>
            <w:tcW w:w="7165" w:type="dxa"/>
            <w:hideMark/>
          </w:tcPr>
          <w:p w14:paraId="0DB3DE97" w14:textId="77777777" w:rsidR="00E001A2" w:rsidRPr="00635C9B" w:rsidRDefault="00E001A2" w:rsidP="00127279">
            <w:pPr>
              <w:pStyle w:val="TABLEBULLETNEW"/>
            </w:pPr>
            <w:r>
              <w:t>Manages requirements and functional design for the MECM solution </w:t>
            </w:r>
          </w:p>
          <w:p w14:paraId="6649AC3F" w14:textId="77777777" w:rsidR="00E001A2" w:rsidRPr="00635C9B" w:rsidRDefault="00E001A2" w:rsidP="00127279">
            <w:pPr>
              <w:pStyle w:val="TABLEBULLETNEW"/>
            </w:pPr>
            <w:r>
              <w:t>Coordinates with the Development Manager for functional support during development tasks </w:t>
            </w:r>
          </w:p>
          <w:p w14:paraId="49C6B718" w14:textId="77777777" w:rsidR="00E001A2" w:rsidRPr="00635C9B" w:rsidRDefault="00E001A2" w:rsidP="00127279">
            <w:pPr>
              <w:pStyle w:val="TABLEBULLETNEW"/>
            </w:pPr>
            <w:r>
              <w:t>Coordinates with the QA Manager for functional support during testing tasks </w:t>
            </w:r>
          </w:p>
          <w:p w14:paraId="0D6D2A03" w14:textId="77777777" w:rsidR="00E001A2" w:rsidRPr="00635C9B" w:rsidRDefault="00E001A2" w:rsidP="00127279">
            <w:pPr>
              <w:pStyle w:val="TABLEBULLETNEW"/>
            </w:pPr>
            <w:r>
              <w:t>Coordinates with DOS Functional Manager for timely reviews and approvals of functional deliverables </w:t>
            </w:r>
          </w:p>
        </w:tc>
      </w:tr>
      <w:tr w:rsidR="00513D5E" w:rsidRPr="00A21682" w14:paraId="57F2FADE" w14:textId="77777777" w:rsidTr="00C96B17">
        <w:trPr>
          <w:trHeight w:val="300"/>
        </w:trPr>
        <w:tc>
          <w:tcPr>
            <w:tcW w:w="2200" w:type="dxa"/>
            <w:shd w:val="clear" w:color="auto" w:fill="FFFFFF" w:themeFill="background1"/>
            <w:hideMark/>
          </w:tcPr>
          <w:p w14:paraId="5A67FE4E" w14:textId="77777777" w:rsidR="00E001A2" w:rsidRPr="00A21682" w:rsidRDefault="00E001A2" w:rsidP="00047C4E">
            <w:pPr>
              <w:pStyle w:val="TABLETEXT1"/>
              <w:rPr>
                <w:lang w:val="en-US"/>
              </w:rPr>
            </w:pPr>
            <w:r>
              <w:rPr>
                <w:lang w:val="en-US"/>
              </w:rPr>
              <w:t>███████ Functional Architect </w:t>
            </w:r>
          </w:p>
        </w:tc>
        <w:tc>
          <w:tcPr>
            <w:tcW w:w="7165" w:type="dxa"/>
            <w:hideMark/>
          </w:tcPr>
          <w:p w14:paraId="6293DA23" w14:textId="77777777" w:rsidR="00E001A2" w:rsidRPr="00635C9B" w:rsidRDefault="00E001A2" w:rsidP="00127279">
            <w:pPr>
              <w:pStyle w:val="TABLEBULLETNEW"/>
            </w:pPr>
            <w:r>
              <w:t>Responsible for drafting cross-track functional requirements and design </w:t>
            </w:r>
          </w:p>
          <w:p w14:paraId="59BC3CAA" w14:textId="77777777" w:rsidR="00E001A2" w:rsidRPr="00635C9B" w:rsidRDefault="00E001A2" w:rsidP="00127279">
            <w:pPr>
              <w:pStyle w:val="TABLEBULLETNEW"/>
            </w:pPr>
            <w:r>
              <w:t>Recommends solutions for complex design challenges </w:t>
            </w:r>
          </w:p>
          <w:p w14:paraId="59734283" w14:textId="77777777" w:rsidR="00E001A2" w:rsidRPr="00635C9B" w:rsidRDefault="00E001A2" w:rsidP="00127279">
            <w:pPr>
              <w:pStyle w:val="TABLEBULLETNEW"/>
            </w:pPr>
            <w:r>
              <w:t>Validates the requirements and design align to the business objectives </w:t>
            </w:r>
          </w:p>
          <w:p w14:paraId="5A8FC12E" w14:textId="77777777" w:rsidR="00E001A2" w:rsidRPr="00635C9B" w:rsidRDefault="00E001A2" w:rsidP="00127279">
            <w:pPr>
              <w:pStyle w:val="TABLEBULLETNEW"/>
            </w:pPr>
            <w:r>
              <w:t>Validates the requirements and design align to base solution functionality where possible </w:t>
            </w:r>
          </w:p>
        </w:tc>
      </w:tr>
      <w:tr w:rsidR="00513D5E" w:rsidRPr="00A21682" w14:paraId="7AD786A4" w14:textId="77777777" w:rsidTr="00C96B17">
        <w:trPr>
          <w:trHeight w:val="300"/>
        </w:trPr>
        <w:tc>
          <w:tcPr>
            <w:tcW w:w="2200" w:type="dxa"/>
            <w:shd w:val="clear" w:color="auto" w:fill="FFFFFF" w:themeFill="background1"/>
            <w:hideMark/>
          </w:tcPr>
          <w:p w14:paraId="1F8F0BD7" w14:textId="77777777" w:rsidR="00E001A2" w:rsidRPr="00A21682" w:rsidRDefault="00E001A2" w:rsidP="00047C4E">
            <w:pPr>
              <w:pStyle w:val="TABLETEXT1"/>
              <w:rPr>
                <w:lang w:val="en-US"/>
              </w:rPr>
            </w:pPr>
            <w:r>
              <w:rPr>
                <w:lang w:val="en-US"/>
              </w:rPr>
              <w:t>███████ Interface/Batch Track Lead </w:t>
            </w:r>
          </w:p>
        </w:tc>
        <w:tc>
          <w:tcPr>
            <w:tcW w:w="7165" w:type="dxa"/>
            <w:hideMark/>
          </w:tcPr>
          <w:p w14:paraId="4DC5EDE1" w14:textId="77777777" w:rsidR="00E001A2" w:rsidRPr="00635C9B" w:rsidRDefault="00E001A2" w:rsidP="00127279">
            <w:pPr>
              <w:pStyle w:val="TABLEBULLETNEW"/>
            </w:pPr>
            <w:r>
              <w:t>Responsible for drafting interface and batch control documents </w:t>
            </w:r>
          </w:p>
          <w:p w14:paraId="66AEF00D" w14:textId="77777777" w:rsidR="00E001A2" w:rsidRPr="00635C9B" w:rsidRDefault="00E001A2" w:rsidP="00127279">
            <w:pPr>
              <w:pStyle w:val="TABLEBULLETNEW"/>
            </w:pPr>
            <w:r>
              <w:t>Facilitates design validation sessions with functional stakeholders </w:t>
            </w:r>
          </w:p>
          <w:p w14:paraId="790FC993" w14:textId="77777777" w:rsidR="00E001A2" w:rsidRPr="00635C9B" w:rsidRDefault="00E001A2" w:rsidP="00127279">
            <w:pPr>
              <w:pStyle w:val="TABLEBULLETNEW"/>
            </w:pPr>
            <w:r>
              <w:t>Manages functional design decisions and action items for their functional area </w:t>
            </w:r>
          </w:p>
          <w:p w14:paraId="55BA07BE" w14:textId="77777777" w:rsidR="00E001A2" w:rsidRPr="00635C9B" w:rsidRDefault="00E001A2" w:rsidP="00127279">
            <w:pPr>
              <w:pStyle w:val="TABLEBULLETNEW"/>
            </w:pPr>
            <w:r>
              <w:t>Supports development team for their area during development tasks </w:t>
            </w:r>
          </w:p>
          <w:p w14:paraId="7AC536E2" w14:textId="77777777" w:rsidR="00E001A2" w:rsidRPr="00635C9B" w:rsidRDefault="00E001A2" w:rsidP="00127279">
            <w:pPr>
              <w:pStyle w:val="TABLEBULLETNEW"/>
            </w:pPr>
            <w:r>
              <w:t>Support testing team for their area during testing tasks </w:t>
            </w:r>
          </w:p>
        </w:tc>
      </w:tr>
      <w:tr w:rsidR="00513D5E" w:rsidRPr="00A21682" w14:paraId="23D02FE4" w14:textId="77777777" w:rsidTr="00C96B17">
        <w:trPr>
          <w:trHeight w:val="300"/>
        </w:trPr>
        <w:tc>
          <w:tcPr>
            <w:tcW w:w="2200" w:type="dxa"/>
            <w:shd w:val="clear" w:color="auto" w:fill="FFFFFF" w:themeFill="background1"/>
            <w:hideMark/>
          </w:tcPr>
          <w:p w14:paraId="39553C3D" w14:textId="4F111DF6" w:rsidR="00E001A2" w:rsidRPr="00A21682" w:rsidRDefault="00E001A2" w:rsidP="00047C4E">
            <w:pPr>
              <w:pStyle w:val="TABLETEXT1"/>
              <w:rPr>
                <w:lang w:val="en-US"/>
              </w:rPr>
            </w:pPr>
            <w:r>
              <w:rPr>
                <w:lang w:val="en-US"/>
              </w:rPr>
              <w:t>███████ Eligibility Track Lead </w:t>
            </w:r>
          </w:p>
        </w:tc>
        <w:tc>
          <w:tcPr>
            <w:tcW w:w="7165" w:type="dxa"/>
            <w:hideMark/>
          </w:tcPr>
          <w:p w14:paraId="15F4B0FA" w14:textId="77777777" w:rsidR="00E001A2" w:rsidRPr="00635C9B" w:rsidRDefault="00E001A2" w:rsidP="00127279">
            <w:pPr>
              <w:pStyle w:val="TABLEBULLETNEW"/>
            </w:pPr>
            <w:r>
              <w:t>Responsible for drafting eligibility rules design specifications </w:t>
            </w:r>
          </w:p>
          <w:p w14:paraId="224AFF65" w14:textId="77777777" w:rsidR="00E001A2" w:rsidRPr="00635C9B" w:rsidRDefault="00E001A2" w:rsidP="00127279">
            <w:pPr>
              <w:pStyle w:val="TABLEBULLETNEW"/>
            </w:pPr>
            <w:r>
              <w:t>Facilitates design validation sessions with functional stakeholders </w:t>
            </w:r>
          </w:p>
          <w:p w14:paraId="249A3B75" w14:textId="77777777" w:rsidR="00E001A2" w:rsidRPr="00635C9B" w:rsidRDefault="00E001A2" w:rsidP="00127279">
            <w:pPr>
              <w:pStyle w:val="TABLEBULLETNEW"/>
            </w:pPr>
            <w:r>
              <w:t>Manages functional design decisions and action items for their functional area </w:t>
            </w:r>
          </w:p>
          <w:p w14:paraId="11C80EA9" w14:textId="77777777" w:rsidR="00E001A2" w:rsidRPr="00635C9B" w:rsidRDefault="00E001A2" w:rsidP="00127279">
            <w:pPr>
              <w:pStyle w:val="TABLEBULLETNEW"/>
            </w:pPr>
            <w:r>
              <w:t>Supports development team for their area during development tasks </w:t>
            </w:r>
          </w:p>
          <w:p w14:paraId="3839FDF3" w14:textId="77777777" w:rsidR="00E001A2" w:rsidRPr="00635C9B" w:rsidRDefault="00E001A2" w:rsidP="00127279">
            <w:pPr>
              <w:pStyle w:val="TABLEBULLETNEW"/>
            </w:pPr>
            <w:r>
              <w:t>Support testing team for their area during testing tasks </w:t>
            </w:r>
          </w:p>
        </w:tc>
      </w:tr>
      <w:tr w:rsidR="00513D5E" w:rsidRPr="00A21682" w14:paraId="5F4703A0" w14:textId="77777777" w:rsidTr="00C96B17">
        <w:trPr>
          <w:trHeight w:val="300"/>
        </w:trPr>
        <w:tc>
          <w:tcPr>
            <w:tcW w:w="2200" w:type="dxa"/>
            <w:shd w:val="clear" w:color="auto" w:fill="FFFFFF" w:themeFill="background1"/>
            <w:hideMark/>
          </w:tcPr>
          <w:p w14:paraId="04CA04CA" w14:textId="77777777" w:rsidR="00E001A2" w:rsidRPr="00A21682" w:rsidRDefault="00E001A2" w:rsidP="00047C4E">
            <w:pPr>
              <w:pStyle w:val="TABLETEXT1"/>
              <w:rPr>
                <w:lang w:val="en-US"/>
              </w:rPr>
            </w:pPr>
            <w:r>
              <w:rPr>
                <w:lang w:val="en-US"/>
              </w:rPr>
              <w:t>███████ Notices Track Lead </w:t>
            </w:r>
          </w:p>
        </w:tc>
        <w:tc>
          <w:tcPr>
            <w:tcW w:w="7165" w:type="dxa"/>
            <w:hideMark/>
          </w:tcPr>
          <w:p w14:paraId="55266D62" w14:textId="77777777" w:rsidR="00E001A2" w:rsidRPr="00635C9B" w:rsidRDefault="00E001A2" w:rsidP="00127279">
            <w:pPr>
              <w:pStyle w:val="TABLEBULLETNEW"/>
            </w:pPr>
            <w:r>
              <w:t>Responsible for drafting notice control documents </w:t>
            </w:r>
          </w:p>
          <w:p w14:paraId="176F56D8" w14:textId="77777777" w:rsidR="00E001A2" w:rsidRPr="00635C9B" w:rsidRDefault="00E001A2" w:rsidP="00127279">
            <w:pPr>
              <w:pStyle w:val="TABLEBULLETNEW"/>
            </w:pPr>
            <w:r>
              <w:t>Facilitates design validation sessions with functional stakeholders </w:t>
            </w:r>
          </w:p>
          <w:p w14:paraId="726595E3" w14:textId="77777777" w:rsidR="00E001A2" w:rsidRPr="00635C9B" w:rsidRDefault="00E001A2" w:rsidP="00127279">
            <w:pPr>
              <w:pStyle w:val="TABLEBULLETNEW"/>
            </w:pPr>
            <w:r>
              <w:t>Manages functional design decisions and action items for their functional area </w:t>
            </w:r>
          </w:p>
          <w:p w14:paraId="70E3AAE2" w14:textId="77777777" w:rsidR="00E001A2" w:rsidRPr="00635C9B" w:rsidRDefault="00E001A2" w:rsidP="00127279">
            <w:pPr>
              <w:pStyle w:val="TABLEBULLETNEW"/>
            </w:pPr>
            <w:r>
              <w:t>Supports development team for their area during development tasks </w:t>
            </w:r>
          </w:p>
          <w:p w14:paraId="7C5B8D41" w14:textId="77777777" w:rsidR="00E001A2" w:rsidRPr="00635C9B" w:rsidRDefault="00E001A2" w:rsidP="00127279">
            <w:pPr>
              <w:pStyle w:val="TABLEBULLETNEW"/>
            </w:pPr>
            <w:r>
              <w:t>Support testing team for their area during testing tasks </w:t>
            </w:r>
          </w:p>
        </w:tc>
      </w:tr>
      <w:tr w:rsidR="00513D5E" w:rsidRPr="00A21682" w14:paraId="760AF6AE" w14:textId="77777777" w:rsidTr="00C96B17">
        <w:trPr>
          <w:trHeight w:val="300"/>
        </w:trPr>
        <w:tc>
          <w:tcPr>
            <w:tcW w:w="2200" w:type="dxa"/>
            <w:shd w:val="clear" w:color="auto" w:fill="FFFFFF" w:themeFill="background1"/>
            <w:hideMark/>
          </w:tcPr>
          <w:p w14:paraId="42630BA2" w14:textId="77777777" w:rsidR="00E001A2" w:rsidRPr="00A21682" w:rsidRDefault="00E001A2" w:rsidP="00047C4E">
            <w:pPr>
              <w:pStyle w:val="TABLETEXT1"/>
              <w:rPr>
                <w:lang w:val="en-US"/>
              </w:rPr>
            </w:pPr>
            <w:r>
              <w:rPr>
                <w:lang w:val="en-US"/>
              </w:rPr>
              <w:t>███████ Portals Track Lead </w:t>
            </w:r>
          </w:p>
        </w:tc>
        <w:tc>
          <w:tcPr>
            <w:tcW w:w="7165" w:type="dxa"/>
            <w:hideMark/>
          </w:tcPr>
          <w:p w14:paraId="6CC21F04" w14:textId="77777777" w:rsidR="00E001A2" w:rsidRPr="00635C9B" w:rsidRDefault="00E001A2" w:rsidP="00127279">
            <w:pPr>
              <w:pStyle w:val="TABLEBULLETNEW"/>
            </w:pPr>
            <w:r>
              <w:t>Responsible for drafting portals design specifications </w:t>
            </w:r>
          </w:p>
          <w:p w14:paraId="453A62E8" w14:textId="77777777" w:rsidR="00E001A2" w:rsidRPr="00635C9B" w:rsidRDefault="00E001A2" w:rsidP="00127279">
            <w:pPr>
              <w:pStyle w:val="TABLEBULLETNEW"/>
            </w:pPr>
            <w:r>
              <w:t>Facilitates design validation sessions with functional stakeholders </w:t>
            </w:r>
          </w:p>
          <w:p w14:paraId="1ED21CA5" w14:textId="77777777" w:rsidR="00E001A2" w:rsidRPr="00635C9B" w:rsidRDefault="00E001A2" w:rsidP="00127279">
            <w:pPr>
              <w:pStyle w:val="TABLEBULLETNEW"/>
            </w:pPr>
            <w:r>
              <w:t>Manages functional design decisions and action items for their functional area </w:t>
            </w:r>
          </w:p>
          <w:p w14:paraId="3DAF56B6" w14:textId="77777777" w:rsidR="00E001A2" w:rsidRPr="00635C9B" w:rsidRDefault="00E001A2" w:rsidP="00127279">
            <w:pPr>
              <w:pStyle w:val="TABLEBULLETNEW"/>
            </w:pPr>
            <w:r>
              <w:t>Supports development team for their area during development tasks </w:t>
            </w:r>
          </w:p>
          <w:p w14:paraId="7AA3B95C" w14:textId="77777777" w:rsidR="00E001A2" w:rsidRPr="00635C9B" w:rsidRDefault="00E001A2" w:rsidP="00127279">
            <w:pPr>
              <w:pStyle w:val="TABLEBULLETNEW"/>
            </w:pPr>
            <w:r>
              <w:t>Support testing team for their area during testing tasks </w:t>
            </w:r>
          </w:p>
        </w:tc>
      </w:tr>
      <w:tr w:rsidR="00513D5E" w:rsidRPr="00A21682" w14:paraId="593F51B2" w14:textId="77777777" w:rsidTr="00C96B17">
        <w:trPr>
          <w:trHeight w:val="300"/>
        </w:trPr>
        <w:tc>
          <w:tcPr>
            <w:tcW w:w="2200" w:type="dxa"/>
            <w:shd w:val="clear" w:color="auto" w:fill="FFFFFF" w:themeFill="background1"/>
            <w:hideMark/>
          </w:tcPr>
          <w:p w14:paraId="1DA65F95" w14:textId="77777777" w:rsidR="00E001A2" w:rsidRPr="00A21682" w:rsidRDefault="00E001A2" w:rsidP="00047C4E">
            <w:pPr>
              <w:pStyle w:val="TABLETEXT1"/>
              <w:rPr>
                <w:lang w:val="en-US"/>
              </w:rPr>
            </w:pPr>
            <w:r>
              <w:rPr>
                <w:lang w:val="en-US"/>
              </w:rPr>
              <w:t>███████ Reports Track Lead </w:t>
            </w:r>
          </w:p>
        </w:tc>
        <w:tc>
          <w:tcPr>
            <w:tcW w:w="7165" w:type="dxa"/>
            <w:hideMark/>
          </w:tcPr>
          <w:p w14:paraId="12ADA00A" w14:textId="77777777" w:rsidR="00E001A2" w:rsidRPr="00635C9B" w:rsidRDefault="00E001A2" w:rsidP="00127279">
            <w:pPr>
              <w:pStyle w:val="TABLEBULLETNEW"/>
            </w:pPr>
            <w:r>
              <w:t>Responsible for drafting reports control documents </w:t>
            </w:r>
          </w:p>
          <w:p w14:paraId="42BA1C4E" w14:textId="77777777" w:rsidR="00E001A2" w:rsidRPr="00635C9B" w:rsidRDefault="00E001A2" w:rsidP="00127279">
            <w:pPr>
              <w:pStyle w:val="TABLEBULLETNEW"/>
            </w:pPr>
            <w:r>
              <w:t>Facilitates design validation sessions with functional stakeholders </w:t>
            </w:r>
          </w:p>
          <w:p w14:paraId="43576FC6" w14:textId="77777777" w:rsidR="00E001A2" w:rsidRPr="00635C9B" w:rsidRDefault="00E001A2" w:rsidP="00127279">
            <w:pPr>
              <w:pStyle w:val="TABLEBULLETNEW"/>
            </w:pPr>
            <w:r>
              <w:t>Manages functional design decisions and action items for their functional area </w:t>
            </w:r>
          </w:p>
          <w:p w14:paraId="071C0D6E" w14:textId="77777777" w:rsidR="00E001A2" w:rsidRPr="00635C9B" w:rsidRDefault="00E001A2" w:rsidP="00127279">
            <w:pPr>
              <w:pStyle w:val="TABLEBULLETNEW"/>
            </w:pPr>
            <w:r>
              <w:t>Supports development team for their area during development tasks </w:t>
            </w:r>
          </w:p>
          <w:p w14:paraId="4A19C249" w14:textId="77777777" w:rsidR="00E001A2" w:rsidRPr="00635C9B" w:rsidRDefault="00E001A2" w:rsidP="00127279">
            <w:pPr>
              <w:pStyle w:val="TABLEBULLETNEW"/>
            </w:pPr>
            <w:r>
              <w:t>Support testing team for their area during testing tasks </w:t>
            </w:r>
          </w:p>
        </w:tc>
      </w:tr>
      <w:tr w:rsidR="00513D5E" w:rsidRPr="00A21682" w14:paraId="73FA3960" w14:textId="77777777" w:rsidTr="00C96B17">
        <w:trPr>
          <w:trHeight w:val="300"/>
        </w:trPr>
        <w:tc>
          <w:tcPr>
            <w:tcW w:w="2200" w:type="dxa"/>
            <w:shd w:val="clear" w:color="auto" w:fill="FFFFFF" w:themeFill="background1"/>
            <w:hideMark/>
          </w:tcPr>
          <w:p w14:paraId="6D2DF812" w14:textId="77777777" w:rsidR="00E001A2" w:rsidRPr="00A21682" w:rsidRDefault="00E001A2" w:rsidP="00047C4E">
            <w:pPr>
              <w:pStyle w:val="TABLETEXT1"/>
              <w:rPr>
                <w:lang w:val="en-US"/>
              </w:rPr>
            </w:pPr>
            <w:r>
              <w:rPr>
                <w:lang w:val="en-US"/>
              </w:rPr>
              <w:lastRenderedPageBreak/>
              <w:t>███████ Enrollment Track Lead </w:t>
            </w:r>
          </w:p>
        </w:tc>
        <w:tc>
          <w:tcPr>
            <w:tcW w:w="7165" w:type="dxa"/>
            <w:hideMark/>
          </w:tcPr>
          <w:p w14:paraId="1792C5A6" w14:textId="77777777" w:rsidR="00E001A2" w:rsidRPr="00635C9B" w:rsidRDefault="00E001A2" w:rsidP="00127279">
            <w:pPr>
              <w:pStyle w:val="TABLEBULLETNEW"/>
            </w:pPr>
            <w:r>
              <w:t>Responsible for drafting enrollment design specifications </w:t>
            </w:r>
          </w:p>
          <w:p w14:paraId="66D4C15B" w14:textId="77777777" w:rsidR="00E001A2" w:rsidRPr="00635C9B" w:rsidRDefault="00E001A2" w:rsidP="00127279">
            <w:pPr>
              <w:pStyle w:val="TABLEBULLETNEW"/>
            </w:pPr>
            <w:r>
              <w:t>Facilitates design validation sessions with functional stakeholders </w:t>
            </w:r>
          </w:p>
          <w:p w14:paraId="361720AB" w14:textId="77777777" w:rsidR="00E001A2" w:rsidRPr="00635C9B" w:rsidRDefault="00E001A2" w:rsidP="00127279">
            <w:pPr>
              <w:pStyle w:val="TABLEBULLETNEW"/>
            </w:pPr>
            <w:r>
              <w:t>Manages functional design decisions and action items for their functional area </w:t>
            </w:r>
          </w:p>
          <w:p w14:paraId="18150D9D" w14:textId="77777777" w:rsidR="00E001A2" w:rsidRPr="00635C9B" w:rsidRDefault="00E001A2" w:rsidP="00127279">
            <w:pPr>
              <w:pStyle w:val="TABLEBULLETNEW"/>
            </w:pPr>
            <w:r>
              <w:t>Supports development team for their area during development tasks </w:t>
            </w:r>
          </w:p>
          <w:p w14:paraId="7DA9BE66" w14:textId="77777777" w:rsidR="00E001A2" w:rsidRPr="00635C9B" w:rsidRDefault="00E001A2" w:rsidP="00127279">
            <w:pPr>
              <w:pStyle w:val="TABLEBULLETNEW"/>
            </w:pPr>
            <w:r>
              <w:t>Support testing team for their area during testing tasks </w:t>
            </w:r>
          </w:p>
        </w:tc>
      </w:tr>
      <w:tr w:rsidR="00513D5E" w:rsidRPr="00A21682" w14:paraId="6615DC9E" w14:textId="77777777" w:rsidTr="00C96B17">
        <w:trPr>
          <w:trHeight w:val="300"/>
        </w:trPr>
        <w:tc>
          <w:tcPr>
            <w:tcW w:w="2200" w:type="dxa"/>
            <w:shd w:val="clear" w:color="auto" w:fill="FFFFFF" w:themeFill="background1"/>
            <w:hideMark/>
          </w:tcPr>
          <w:p w14:paraId="61780E7C" w14:textId="77777777" w:rsidR="00E001A2" w:rsidRPr="00A21682" w:rsidRDefault="00E001A2" w:rsidP="00047C4E">
            <w:pPr>
              <w:pStyle w:val="TABLETEXT1"/>
              <w:rPr>
                <w:lang w:val="en-US"/>
              </w:rPr>
            </w:pPr>
            <w:r>
              <w:rPr>
                <w:lang w:val="en-US"/>
              </w:rPr>
              <w:t>███████ Workload Management Track Lead </w:t>
            </w:r>
          </w:p>
        </w:tc>
        <w:tc>
          <w:tcPr>
            <w:tcW w:w="7165" w:type="dxa"/>
            <w:hideMark/>
          </w:tcPr>
          <w:p w14:paraId="55D09991" w14:textId="77777777" w:rsidR="00E001A2" w:rsidRPr="00635C9B" w:rsidRDefault="00E001A2" w:rsidP="00127279">
            <w:pPr>
              <w:pStyle w:val="TABLEBULLETNEW"/>
            </w:pPr>
            <w:r>
              <w:t>Responsible for drafting workload management design specifications </w:t>
            </w:r>
          </w:p>
          <w:p w14:paraId="20EFA3EE" w14:textId="77777777" w:rsidR="00E001A2" w:rsidRPr="00635C9B" w:rsidRDefault="00E001A2" w:rsidP="00127279">
            <w:pPr>
              <w:pStyle w:val="TABLEBULLETNEW"/>
            </w:pPr>
            <w:r>
              <w:t>Facilitates design validation sessions with functional stakeholders </w:t>
            </w:r>
          </w:p>
          <w:p w14:paraId="105052DE" w14:textId="77777777" w:rsidR="00E001A2" w:rsidRPr="00635C9B" w:rsidRDefault="00E001A2" w:rsidP="00127279">
            <w:pPr>
              <w:pStyle w:val="TABLEBULLETNEW"/>
            </w:pPr>
            <w:r>
              <w:t>Manages functional design decisions and action items for their functional area </w:t>
            </w:r>
          </w:p>
          <w:p w14:paraId="19769D0C" w14:textId="77777777" w:rsidR="00E001A2" w:rsidRPr="00635C9B" w:rsidRDefault="00E001A2" w:rsidP="00127279">
            <w:pPr>
              <w:pStyle w:val="TABLEBULLETNEW"/>
            </w:pPr>
            <w:r>
              <w:t>Supports development team for their area during development tasks </w:t>
            </w:r>
          </w:p>
          <w:p w14:paraId="4A637F42" w14:textId="77777777" w:rsidR="00E001A2" w:rsidRPr="00635C9B" w:rsidRDefault="00E001A2" w:rsidP="00127279">
            <w:pPr>
              <w:pStyle w:val="TABLEBULLETNEW"/>
            </w:pPr>
            <w:r>
              <w:t>Support testing team for their area during testing tasks </w:t>
            </w:r>
          </w:p>
        </w:tc>
      </w:tr>
      <w:tr w:rsidR="00513D5E" w:rsidRPr="00A21682" w14:paraId="79508888" w14:textId="77777777" w:rsidTr="00C96B17">
        <w:trPr>
          <w:trHeight w:val="300"/>
        </w:trPr>
        <w:tc>
          <w:tcPr>
            <w:tcW w:w="2200" w:type="dxa"/>
            <w:shd w:val="clear" w:color="auto" w:fill="FFFFFF" w:themeFill="background1"/>
            <w:hideMark/>
          </w:tcPr>
          <w:p w14:paraId="6FBD8AD6" w14:textId="77777777" w:rsidR="00E001A2" w:rsidRPr="00A21682" w:rsidRDefault="00E001A2" w:rsidP="00047C4E">
            <w:pPr>
              <w:pStyle w:val="TABLETEXT1"/>
              <w:rPr>
                <w:lang w:val="en-US"/>
              </w:rPr>
            </w:pPr>
            <w:r>
              <w:rPr>
                <w:lang w:val="en-US"/>
              </w:rPr>
              <w:t>███████ QA Manager </w:t>
            </w:r>
          </w:p>
        </w:tc>
        <w:tc>
          <w:tcPr>
            <w:tcW w:w="7165" w:type="dxa"/>
            <w:hideMark/>
          </w:tcPr>
          <w:p w14:paraId="55843418" w14:textId="32DE6D4A" w:rsidR="00E001A2" w:rsidRPr="00635C9B" w:rsidRDefault="00E001A2" w:rsidP="00127279">
            <w:pPr>
              <w:pStyle w:val="TABLEBULLETNEW"/>
            </w:pPr>
            <w:r>
              <w:t>Responsible for creation of the Test Management Plan (DEL-09) </w:t>
            </w:r>
          </w:p>
          <w:p w14:paraId="6D18B388" w14:textId="77777777" w:rsidR="00E001A2" w:rsidRPr="00635C9B" w:rsidRDefault="00E001A2" w:rsidP="00127279">
            <w:pPr>
              <w:pStyle w:val="TABLEBULLETNEW"/>
            </w:pPr>
            <w:r>
              <w:t>Manages Deloitte owned test activities throughout the SDLC </w:t>
            </w:r>
          </w:p>
          <w:p w14:paraId="59F71448" w14:textId="77777777" w:rsidR="00E001A2" w:rsidRPr="00635C9B" w:rsidRDefault="00E001A2" w:rsidP="00127279">
            <w:pPr>
              <w:pStyle w:val="TABLEBULLETNEW"/>
            </w:pPr>
            <w:r>
              <w:t>Coordinates with the Development Manager for timely defect handoffs and resolution </w:t>
            </w:r>
          </w:p>
          <w:p w14:paraId="7180E7FB" w14:textId="6754497C" w:rsidR="00E001A2" w:rsidRPr="00635C9B" w:rsidRDefault="00E001A2" w:rsidP="00127279">
            <w:pPr>
              <w:pStyle w:val="TABLEBULLETNEW"/>
            </w:pPr>
            <w:r>
              <w:t>Supports the MECM QA Manager during DOH owned test activities </w:t>
            </w:r>
          </w:p>
        </w:tc>
      </w:tr>
      <w:tr w:rsidR="00513D5E" w:rsidRPr="00A21682" w14:paraId="4557FAC6" w14:textId="77777777" w:rsidTr="00C96B17">
        <w:trPr>
          <w:trHeight w:val="300"/>
        </w:trPr>
        <w:tc>
          <w:tcPr>
            <w:tcW w:w="2200" w:type="dxa"/>
            <w:shd w:val="clear" w:color="auto" w:fill="FFFFFF" w:themeFill="background1"/>
            <w:hideMark/>
          </w:tcPr>
          <w:p w14:paraId="2192CF75" w14:textId="77777777" w:rsidR="00E001A2" w:rsidRPr="00A21682" w:rsidRDefault="00E001A2" w:rsidP="00047C4E">
            <w:pPr>
              <w:pStyle w:val="TABLETEXT1"/>
              <w:rPr>
                <w:lang w:val="en-US"/>
              </w:rPr>
            </w:pPr>
            <w:r>
              <w:rPr>
                <w:lang w:val="en-US"/>
              </w:rPr>
              <w:t>███████ Test Lead </w:t>
            </w:r>
          </w:p>
        </w:tc>
        <w:tc>
          <w:tcPr>
            <w:tcW w:w="7165" w:type="dxa"/>
            <w:hideMark/>
          </w:tcPr>
          <w:p w14:paraId="182D6D55" w14:textId="3B1C7BAD" w:rsidR="00E001A2" w:rsidRPr="00635C9B" w:rsidRDefault="00E001A2" w:rsidP="00127279">
            <w:pPr>
              <w:pStyle w:val="TABLEBULLETNEW"/>
            </w:pPr>
            <w:r>
              <w:t>Authors the Test Management Plan (DEL-09) </w:t>
            </w:r>
          </w:p>
          <w:p w14:paraId="16A7E55B" w14:textId="77777777" w:rsidR="00E001A2" w:rsidRPr="00635C9B" w:rsidRDefault="00E001A2" w:rsidP="00127279">
            <w:pPr>
              <w:pStyle w:val="TABLEBULLETNEW"/>
            </w:pPr>
            <w:r>
              <w:t>Leads and performs Deloitte owned test activities throughout the SDLC </w:t>
            </w:r>
          </w:p>
          <w:p w14:paraId="7820647F" w14:textId="77777777" w:rsidR="00E001A2" w:rsidRPr="00635C9B" w:rsidRDefault="00E001A2" w:rsidP="00127279">
            <w:pPr>
              <w:pStyle w:val="TABLEBULLETNEW"/>
            </w:pPr>
            <w:r>
              <w:t>Execute test management processes to manage timely test execution and defect resolution </w:t>
            </w:r>
          </w:p>
          <w:p w14:paraId="0B0D4B5D" w14:textId="77777777" w:rsidR="00E001A2" w:rsidRPr="00635C9B" w:rsidRDefault="00E001A2" w:rsidP="00127279">
            <w:pPr>
              <w:pStyle w:val="TABLEBULLETNEW"/>
            </w:pPr>
            <w:r>
              <w:t>Responsible for defect triage and coordinating with development and functional teams as needed </w:t>
            </w:r>
          </w:p>
          <w:p w14:paraId="5A8898BA" w14:textId="57A97D5B" w:rsidR="00E001A2" w:rsidRPr="00635C9B" w:rsidRDefault="00E001A2" w:rsidP="00127279">
            <w:pPr>
              <w:pStyle w:val="TABLEBULLETNEW"/>
            </w:pPr>
            <w:r>
              <w:t>Responsible for conducting the SIT Walkthrough </w:t>
            </w:r>
          </w:p>
        </w:tc>
      </w:tr>
      <w:tr w:rsidR="00E001A2" w:rsidRPr="00A21682" w14:paraId="37D451A6" w14:textId="77777777" w:rsidTr="00047C4E">
        <w:trPr>
          <w:trHeight w:val="300"/>
        </w:trPr>
        <w:tc>
          <w:tcPr>
            <w:tcW w:w="9365" w:type="dxa"/>
            <w:gridSpan w:val="2"/>
            <w:shd w:val="clear" w:color="auto" w:fill="D5DCE4" w:themeFill="text2" w:themeFillTint="33"/>
          </w:tcPr>
          <w:p w14:paraId="5B3C6AA6" w14:textId="77777777" w:rsidR="00E001A2" w:rsidRPr="00A21682" w:rsidRDefault="00E001A2" w:rsidP="00047C4E">
            <w:pPr>
              <w:pStyle w:val="TABLEHEADINGNEW"/>
              <w:jc w:val="center"/>
              <w:rPr>
                <w:color w:val="000000" w:themeColor="text1"/>
              </w:rPr>
            </w:pPr>
            <w:r>
              <w:rPr>
                <w:color w:val="000000" w:themeColor="text1"/>
              </w:rPr>
              <w:t>Technical Stakeholders</w:t>
            </w:r>
          </w:p>
        </w:tc>
      </w:tr>
      <w:tr w:rsidR="00513D5E" w:rsidRPr="00A21682" w14:paraId="59CDD168" w14:textId="77777777" w:rsidTr="00C96B17">
        <w:trPr>
          <w:trHeight w:val="300"/>
        </w:trPr>
        <w:tc>
          <w:tcPr>
            <w:tcW w:w="2200" w:type="dxa"/>
            <w:shd w:val="clear" w:color="auto" w:fill="FFFFFF" w:themeFill="background1"/>
            <w:hideMark/>
          </w:tcPr>
          <w:p w14:paraId="674D23FF" w14:textId="77777777" w:rsidR="00E001A2" w:rsidRPr="00A21682" w:rsidRDefault="00E001A2" w:rsidP="00047C4E">
            <w:pPr>
              <w:pStyle w:val="TABLETEXT1"/>
              <w:rPr>
                <w:lang w:val="en-US"/>
              </w:rPr>
            </w:pPr>
            <w:r>
              <w:rPr>
                <w:lang w:val="en-US"/>
              </w:rPr>
              <w:t>eMedNY Bureau Director </w:t>
            </w:r>
          </w:p>
        </w:tc>
        <w:tc>
          <w:tcPr>
            <w:tcW w:w="7165" w:type="dxa"/>
            <w:hideMark/>
          </w:tcPr>
          <w:p w14:paraId="156ACD8C" w14:textId="77777777" w:rsidR="00E001A2" w:rsidRPr="00635C9B" w:rsidRDefault="00E001A2" w:rsidP="00FF05BD">
            <w:pPr>
              <w:pStyle w:val="TABLEBULLETNEW"/>
            </w:pPr>
            <w:r>
              <w:t>Review and provide feedback on the interface design for eMedNY </w:t>
            </w:r>
          </w:p>
          <w:p w14:paraId="163DBECF" w14:textId="77777777" w:rsidR="00E001A2" w:rsidRPr="00635C9B" w:rsidRDefault="00E001A2" w:rsidP="00FF05BD">
            <w:pPr>
              <w:pStyle w:val="TABLEBULLETNEW"/>
            </w:pPr>
            <w:r>
              <w:t>Authority to approve eMedNY interface development </w:t>
            </w:r>
          </w:p>
        </w:tc>
      </w:tr>
      <w:tr w:rsidR="00513D5E" w:rsidRPr="00A21682" w14:paraId="534FDDC6" w14:textId="77777777" w:rsidTr="00C96B17">
        <w:trPr>
          <w:trHeight w:val="300"/>
        </w:trPr>
        <w:tc>
          <w:tcPr>
            <w:tcW w:w="2200" w:type="dxa"/>
            <w:shd w:val="clear" w:color="auto" w:fill="FFFFFF" w:themeFill="background1"/>
            <w:hideMark/>
          </w:tcPr>
          <w:p w14:paraId="47E76430" w14:textId="77777777" w:rsidR="00E001A2" w:rsidRPr="00A21682" w:rsidRDefault="00E001A2" w:rsidP="00047C4E">
            <w:pPr>
              <w:pStyle w:val="TABLETEXT1"/>
              <w:rPr>
                <w:lang w:val="en-US"/>
              </w:rPr>
            </w:pPr>
            <w:r>
              <w:rPr>
                <w:lang w:val="en-US"/>
              </w:rPr>
              <w:t>NYSOH Bureau Director </w:t>
            </w:r>
          </w:p>
        </w:tc>
        <w:tc>
          <w:tcPr>
            <w:tcW w:w="7165" w:type="dxa"/>
            <w:hideMark/>
          </w:tcPr>
          <w:p w14:paraId="12FB6460" w14:textId="77777777" w:rsidR="00E001A2" w:rsidRPr="00635C9B" w:rsidRDefault="00E001A2" w:rsidP="00FF05BD">
            <w:pPr>
              <w:pStyle w:val="TABLEBULLETNEW"/>
            </w:pPr>
            <w:r>
              <w:t>Review and provide feedback on the interface design for NYSOH </w:t>
            </w:r>
          </w:p>
          <w:p w14:paraId="1636E730" w14:textId="77777777" w:rsidR="00E001A2" w:rsidRPr="00635C9B" w:rsidRDefault="00E001A2" w:rsidP="00FF05BD">
            <w:pPr>
              <w:pStyle w:val="TABLEBULLETNEW"/>
            </w:pPr>
            <w:r>
              <w:t>Authority to approve NYSOH interface development </w:t>
            </w:r>
          </w:p>
        </w:tc>
      </w:tr>
      <w:tr w:rsidR="00513D5E" w:rsidRPr="00A21682" w14:paraId="0110596C" w14:textId="77777777" w:rsidTr="00C96B17">
        <w:trPr>
          <w:trHeight w:val="300"/>
        </w:trPr>
        <w:tc>
          <w:tcPr>
            <w:tcW w:w="2200" w:type="dxa"/>
            <w:shd w:val="clear" w:color="auto" w:fill="FFFFFF" w:themeFill="background1"/>
            <w:hideMark/>
          </w:tcPr>
          <w:p w14:paraId="22C09CA3" w14:textId="291B2332" w:rsidR="00E001A2" w:rsidRPr="00A21682" w:rsidRDefault="00E001A2" w:rsidP="000D0692">
            <w:pPr>
              <w:pStyle w:val="TABLETEXT1"/>
              <w:rPr>
                <w:lang w:val="en-US"/>
              </w:rPr>
            </w:pPr>
            <w:r>
              <w:rPr>
                <w:lang w:val="en-US"/>
              </w:rPr>
              <w:t xml:space="preserve">DOS Information Architect </w:t>
            </w:r>
          </w:p>
        </w:tc>
        <w:tc>
          <w:tcPr>
            <w:tcW w:w="7165" w:type="dxa"/>
            <w:hideMark/>
          </w:tcPr>
          <w:p w14:paraId="5245DAA0" w14:textId="5D7FFA74" w:rsidR="00E001A2" w:rsidRPr="00635C9B" w:rsidRDefault="00E001A2" w:rsidP="00FF05BD">
            <w:pPr>
              <w:pStyle w:val="TABLEBULLETNEW"/>
            </w:pPr>
            <w:r>
              <w:t>Review and provide feedback on architectural deliverables </w:t>
            </w:r>
          </w:p>
          <w:p w14:paraId="42F8E083" w14:textId="77777777" w:rsidR="00E001A2" w:rsidRPr="00635C9B" w:rsidRDefault="00E001A2" w:rsidP="00FF05BD">
            <w:pPr>
              <w:pStyle w:val="TABLEBULLETNEW"/>
            </w:pPr>
            <w:r>
              <w:t>Authority to make architectural decisions (for example, approve sizing of cloud infrastructure) </w:t>
            </w:r>
          </w:p>
          <w:p w14:paraId="38281CD6" w14:textId="77777777" w:rsidR="00E001A2" w:rsidRPr="00635C9B" w:rsidRDefault="00E001A2" w:rsidP="00FF05BD">
            <w:pPr>
              <w:pStyle w:val="TABLEBULLETNEW"/>
            </w:pPr>
            <w:r>
              <w:t>Available for working sessions to assist Deloitte in producing architectural deliverables </w:t>
            </w:r>
          </w:p>
          <w:p w14:paraId="3BFC7243" w14:textId="77777777" w:rsidR="00E001A2" w:rsidRPr="00635C9B" w:rsidRDefault="00E001A2" w:rsidP="00FF05BD">
            <w:pPr>
              <w:pStyle w:val="TABLEBULLETNEW"/>
            </w:pPr>
            <w:r>
              <w:t>Authority to approve technical deliverables </w:t>
            </w:r>
          </w:p>
          <w:p w14:paraId="5CB0AE02" w14:textId="77777777" w:rsidR="00E001A2" w:rsidRPr="00635C9B" w:rsidRDefault="00E001A2" w:rsidP="00FF05BD">
            <w:pPr>
              <w:pStyle w:val="TABLEBULLETNEW"/>
            </w:pPr>
            <w:r>
              <w:t>Authority to approve software procurements </w:t>
            </w:r>
          </w:p>
        </w:tc>
      </w:tr>
      <w:tr w:rsidR="00513D5E" w:rsidRPr="00A21682" w14:paraId="312B6BAC" w14:textId="77777777" w:rsidTr="00C96B17">
        <w:trPr>
          <w:trHeight w:val="300"/>
        </w:trPr>
        <w:tc>
          <w:tcPr>
            <w:tcW w:w="2200" w:type="dxa"/>
            <w:shd w:val="clear" w:color="auto" w:fill="FFFFFF" w:themeFill="background1"/>
            <w:hideMark/>
          </w:tcPr>
          <w:p w14:paraId="6B433DC7" w14:textId="77777777" w:rsidR="00E001A2" w:rsidRPr="00A21682" w:rsidRDefault="00E001A2" w:rsidP="00047C4E">
            <w:pPr>
              <w:pStyle w:val="TABLETEXT1"/>
              <w:rPr>
                <w:lang w:val="en-US"/>
              </w:rPr>
            </w:pPr>
            <w:r>
              <w:rPr>
                <w:lang w:val="en-US"/>
              </w:rPr>
              <w:t>Third Party Integration Point of Contact </w:t>
            </w:r>
          </w:p>
        </w:tc>
        <w:tc>
          <w:tcPr>
            <w:tcW w:w="7165" w:type="dxa"/>
            <w:hideMark/>
          </w:tcPr>
          <w:p w14:paraId="0DA5E851" w14:textId="77777777" w:rsidR="00E001A2" w:rsidRPr="00635C9B" w:rsidRDefault="00E001A2" w:rsidP="00FF05BD">
            <w:pPr>
              <w:pStyle w:val="TABLEBULLETNEW"/>
            </w:pPr>
            <w:r>
              <w:t>Provide decision on timing and integration tasks for third parties </w:t>
            </w:r>
          </w:p>
          <w:p w14:paraId="71E86E88" w14:textId="77777777" w:rsidR="00E001A2" w:rsidRPr="00635C9B" w:rsidRDefault="00E001A2" w:rsidP="00FF05BD">
            <w:pPr>
              <w:pStyle w:val="TABLEBULLETNEW"/>
            </w:pPr>
            <w:r>
              <w:t>Participate and contribute to interface design </w:t>
            </w:r>
          </w:p>
          <w:p w14:paraId="02C3EB6D" w14:textId="77777777" w:rsidR="00E001A2" w:rsidRPr="00635C9B" w:rsidRDefault="00E001A2" w:rsidP="00FF05BD">
            <w:pPr>
              <w:pStyle w:val="TABLEBULLETNEW"/>
            </w:pPr>
            <w:r>
              <w:t>Participate and contribute to end-to-end testing of the interface </w:t>
            </w:r>
          </w:p>
        </w:tc>
      </w:tr>
      <w:tr w:rsidR="00513D5E" w:rsidRPr="00A21682" w14:paraId="452258D6" w14:textId="77777777" w:rsidTr="00324088">
        <w:trPr>
          <w:trHeight w:val="5773"/>
        </w:trPr>
        <w:tc>
          <w:tcPr>
            <w:tcW w:w="2200" w:type="dxa"/>
            <w:shd w:val="clear" w:color="auto" w:fill="FFFFFF" w:themeFill="background1"/>
            <w:hideMark/>
          </w:tcPr>
          <w:p w14:paraId="30E1258F" w14:textId="0A379123" w:rsidR="002B524D" w:rsidRPr="00A21682" w:rsidRDefault="002B524D" w:rsidP="00047C4E">
            <w:pPr>
              <w:pStyle w:val="TABLETEXT1"/>
              <w:rPr>
                <w:lang w:val="en-US"/>
              </w:rPr>
            </w:pPr>
            <w:r>
              <w:rPr>
                <w:lang w:val="en-US"/>
              </w:rPr>
              <w:lastRenderedPageBreak/>
              <w:t>DOS Deputy Director/DOS Security and Privacy Bureau Director</w:t>
            </w:r>
          </w:p>
          <w:p w14:paraId="69CE6C5E" w14:textId="10C791A2" w:rsidR="00E001A2" w:rsidRPr="00A21682" w:rsidRDefault="00E001A2" w:rsidP="00047C4E">
            <w:pPr>
              <w:pStyle w:val="TABLETEXT1"/>
              <w:rPr>
                <w:lang w:val="en-US"/>
              </w:rPr>
            </w:pPr>
          </w:p>
        </w:tc>
        <w:tc>
          <w:tcPr>
            <w:tcW w:w="7165" w:type="dxa"/>
            <w:hideMark/>
          </w:tcPr>
          <w:p w14:paraId="2F203C8C" w14:textId="532AA3E1" w:rsidR="00E001A2" w:rsidRPr="00635C9B" w:rsidRDefault="00E001A2" w:rsidP="00FF05BD">
            <w:pPr>
              <w:pStyle w:val="TABLEBULLETNEW"/>
            </w:pPr>
            <w:r>
              <w:t>Authority to approve security deliverables </w:t>
            </w:r>
          </w:p>
          <w:p w14:paraId="0C1D495C" w14:textId="25DDD923" w:rsidR="00E001A2" w:rsidRPr="00635C9B" w:rsidRDefault="00E001A2" w:rsidP="00FF05BD">
            <w:pPr>
              <w:pStyle w:val="TABLEBULLETNEW"/>
            </w:pPr>
            <w:r>
              <w:t>Provide a point of escalation for overdue security decisions/action items and risks/issues</w:t>
            </w:r>
          </w:p>
          <w:p w14:paraId="5478E66A" w14:textId="77777777" w:rsidR="002B524D" w:rsidRPr="00635C9B" w:rsidRDefault="00E001A2" w:rsidP="00FF05BD">
            <w:pPr>
              <w:pStyle w:val="TABLEBULLETNEW"/>
            </w:pPr>
            <w:r>
              <w:t>Available for working sessions to inform operational and management processes to assist Deloitte in producing security deliverables </w:t>
            </w:r>
          </w:p>
          <w:p w14:paraId="3D2C434E" w14:textId="77777777" w:rsidR="002B524D" w:rsidRPr="00A21682" w:rsidRDefault="002B524D" w:rsidP="00FF05BD">
            <w:pPr>
              <w:pStyle w:val="TABLEBULLETNEW"/>
            </w:pPr>
            <w:r>
              <w:t>Coordinate with NYSOH Security Team in mapping CMS, IRS, and Social Security Administration (SSA) notification and compliance requirements; provide oversight, approval, and submit required artifacts in relation to requirements </w:t>
            </w:r>
          </w:p>
          <w:p w14:paraId="661EE19F" w14:textId="77777777" w:rsidR="002B524D" w:rsidRPr="00635C9B" w:rsidRDefault="002B524D" w:rsidP="00FF05BD">
            <w:pPr>
              <w:pStyle w:val="TABLEBULLETNEW"/>
            </w:pPr>
            <w:r>
              <w:t>Authority to represent the State’s security compliance and data privacy rules and policies </w:t>
            </w:r>
          </w:p>
          <w:p w14:paraId="49C28C3E" w14:textId="77777777" w:rsidR="002B524D" w:rsidRPr="00635C9B" w:rsidRDefault="002B524D" w:rsidP="00FF05BD">
            <w:pPr>
              <w:pStyle w:val="TABLEBULLETNEW"/>
            </w:pPr>
            <w:r>
              <w:t>Authority to make decisions on behalf of the State regarding security compliance and data privacy rules </w:t>
            </w:r>
          </w:p>
          <w:p w14:paraId="478B0D8D" w14:textId="77777777" w:rsidR="002B524D" w:rsidRPr="00635C9B" w:rsidRDefault="002B524D" w:rsidP="00FF05BD">
            <w:pPr>
              <w:pStyle w:val="TABLEBULLETNEW"/>
            </w:pPr>
            <w:r>
              <w:t>Provides a communication channel to Federal agencies (CMS, SSA, etc.) for security compliance decisions/action items </w:t>
            </w:r>
          </w:p>
          <w:p w14:paraId="3C93AAB2" w14:textId="77777777" w:rsidR="002B524D" w:rsidRPr="00635C9B" w:rsidRDefault="002B524D" w:rsidP="00FF05BD">
            <w:pPr>
              <w:pStyle w:val="TABLEBULLETNEW"/>
            </w:pPr>
            <w:r>
              <w:t>Manages Federal agencies (CMS, SSA, etc.) responsibilities and timeline for their work plan tasks. </w:t>
            </w:r>
          </w:p>
          <w:p w14:paraId="08084BA7" w14:textId="77777777" w:rsidR="002B524D" w:rsidRPr="00635C9B" w:rsidRDefault="002B524D" w:rsidP="00FF05BD">
            <w:pPr>
              <w:pStyle w:val="TABLEBULLETNEW"/>
            </w:pPr>
            <w:r>
              <w:t>Available for working sessions to inform operational and management processes to assist Deloitte in producing security deliverables </w:t>
            </w:r>
          </w:p>
          <w:p w14:paraId="7A4506C9" w14:textId="414B091B" w:rsidR="00E001A2" w:rsidRPr="00635C9B" w:rsidRDefault="002B524D" w:rsidP="00FF05BD">
            <w:pPr>
              <w:pStyle w:val="TABLEBULLETNEW"/>
            </w:pPr>
            <w:r>
              <w:t>Oversees compliance with the NYS ITS Secure SDLC Standard throughout the SDLC and related documentation </w:t>
            </w:r>
          </w:p>
        </w:tc>
      </w:tr>
      <w:tr w:rsidR="00513D5E" w:rsidRPr="00A21682" w14:paraId="5D9FB007" w14:textId="77777777" w:rsidTr="00C96B17">
        <w:trPr>
          <w:trHeight w:val="300"/>
        </w:trPr>
        <w:tc>
          <w:tcPr>
            <w:tcW w:w="2200" w:type="dxa"/>
            <w:shd w:val="clear" w:color="auto" w:fill="FFFFFF" w:themeFill="background1"/>
            <w:hideMark/>
          </w:tcPr>
          <w:p w14:paraId="7748BD54" w14:textId="77777777" w:rsidR="00E001A2" w:rsidRPr="00A21682" w:rsidRDefault="00E001A2" w:rsidP="00047C4E">
            <w:pPr>
              <w:pStyle w:val="TABLETEXT1"/>
              <w:rPr>
                <w:lang w:val="en-US"/>
              </w:rPr>
            </w:pPr>
            <w:r>
              <w:rPr>
                <w:lang w:val="en-US"/>
              </w:rPr>
              <w:t>DOS Data Conversion Lead </w:t>
            </w:r>
          </w:p>
        </w:tc>
        <w:tc>
          <w:tcPr>
            <w:tcW w:w="7165" w:type="dxa"/>
            <w:hideMark/>
          </w:tcPr>
          <w:p w14:paraId="3C944976" w14:textId="77777777" w:rsidR="00E001A2" w:rsidRPr="00635C9B" w:rsidRDefault="00E001A2" w:rsidP="00FF05BD">
            <w:pPr>
              <w:pStyle w:val="TABLEBULLETNEW"/>
            </w:pPr>
            <w:r>
              <w:t>Review and provide feedback on data conversion deliverables </w:t>
            </w:r>
          </w:p>
          <w:p w14:paraId="7B5211FF" w14:textId="77777777" w:rsidR="00E001A2" w:rsidRPr="00635C9B" w:rsidRDefault="00E001A2" w:rsidP="00FF05BD">
            <w:pPr>
              <w:pStyle w:val="TABLEBULLETNEW"/>
            </w:pPr>
            <w:r>
              <w:t>Authority to make data conversion decisions (for example, data mapping decisions within the source system data model) </w:t>
            </w:r>
          </w:p>
          <w:p w14:paraId="2EF90A2A" w14:textId="77777777" w:rsidR="00E001A2" w:rsidRPr="00635C9B" w:rsidRDefault="00E001A2" w:rsidP="00FF05BD">
            <w:pPr>
              <w:pStyle w:val="TABLEBULLETNEW"/>
            </w:pPr>
            <w:r>
              <w:t>Available for working sessions to assist Deloitte in producing data conversion deliverables </w:t>
            </w:r>
          </w:p>
          <w:p w14:paraId="7BE10216" w14:textId="77777777" w:rsidR="00E001A2" w:rsidRPr="00635C9B" w:rsidRDefault="00E001A2" w:rsidP="00FF05BD">
            <w:pPr>
              <w:pStyle w:val="TABLEBULLETNEW"/>
            </w:pPr>
            <w:r>
              <w:t>Reviews data conversion dry run results and validates accuracy </w:t>
            </w:r>
          </w:p>
          <w:p w14:paraId="3CDF4D27" w14:textId="77777777" w:rsidR="00E001A2" w:rsidRPr="00635C9B" w:rsidRDefault="00E001A2" w:rsidP="00FF05BD">
            <w:pPr>
              <w:pStyle w:val="TABLEBULLETNEW"/>
            </w:pPr>
            <w:r>
              <w:t>Authority to sign off on data conversion dry run results on behalf of DOH </w:t>
            </w:r>
          </w:p>
        </w:tc>
      </w:tr>
      <w:tr w:rsidR="00513D5E" w:rsidRPr="00A21682" w14:paraId="5FCB83E9" w14:textId="77777777" w:rsidTr="00C96B17">
        <w:trPr>
          <w:trHeight w:val="300"/>
        </w:trPr>
        <w:tc>
          <w:tcPr>
            <w:tcW w:w="2200" w:type="dxa"/>
            <w:shd w:val="clear" w:color="auto" w:fill="FFFFFF" w:themeFill="background1"/>
            <w:hideMark/>
          </w:tcPr>
          <w:p w14:paraId="5230EBBC" w14:textId="77777777" w:rsidR="00E001A2" w:rsidRPr="00A21682" w:rsidRDefault="00E001A2" w:rsidP="00047C4E">
            <w:pPr>
              <w:pStyle w:val="TABLETEXT1"/>
              <w:rPr>
                <w:lang w:val="en-US"/>
              </w:rPr>
            </w:pPr>
            <w:r>
              <w:rPr>
                <w:lang w:val="en-US"/>
              </w:rPr>
              <w:t>███████ Technical Director </w:t>
            </w:r>
          </w:p>
        </w:tc>
        <w:tc>
          <w:tcPr>
            <w:tcW w:w="7165" w:type="dxa"/>
            <w:hideMark/>
          </w:tcPr>
          <w:p w14:paraId="39D07A6B" w14:textId="77777777" w:rsidR="00E001A2" w:rsidRPr="00635C9B" w:rsidRDefault="00E001A2" w:rsidP="00FF05BD">
            <w:pPr>
              <w:pStyle w:val="TABLEBULLETNEW"/>
            </w:pPr>
            <w:r>
              <w:t>Advises on technical solutions and architecture to support DOH objectives </w:t>
            </w:r>
          </w:p>
          <w:p w14:paraId="0F59454E" w14:textId="77777777" w:rsidR="00E001A2" w:rsidRPr="00635C9B" w:rsidRDefault="00E001A2" w:rsidP="00FF05BD">
            <w:pPr>
              <w:pStyle w:val="TABLEBULLETNEW"/>
            </w:pPr>
            <w:r>
              <w:t>Responsible for final solution architecture </w:t>
            </w:r>
          </w:p>
          <w:p w14:paraId="0476E212" w14:textId="1015C408" w:rsidR="00E001A2" w:rsidRPr="00635C9B" w:rsidRDefault="00E001A2" w:rsidP="00FF05BD">
            <w:pPr>
              <w:pStyle w:val="TABLEBULLETNEW"/>
            </w:pPr>
            <w:r>
              <w:t>Authority to make production operations decisions and provide production change/maintenance approvals (in conjunction with DOH OHIP approvals as needed) </w:t>
            </w:r>
          </w:p>
        </w:tc>
      </w:tr>
      <w:tr w:rsidR="00513D5E" w:rsidRPr="00A21682" w14:paraId="6757C979" w14:textId="77777777" w:rsidTr="00C96B17">
        <w:trPr>
          <w:trHeight w:val="300"/>
        </w:trPr>
        <w:tc>
          <w:tcPr>
            <w:tcW w:w="2200" w:type="dxa"/>
            <w:shd w:val="clear" w:color="auto" w:fill="FFFFFF" w:themeFill="background1"/>
            <w:hideMark/>
          </w:tcPr>
          <w:p w14:paraId="1D906467" w14:textId="77777777" w:rsidR="00E001A2" w:rsidRPr="00A21682" w:rsidRDefault="00E001A2" w:rsidP="00047C4E">
            <w:pPr>
              <w:pStyle w:val="TABLETEXT1"/>
              <w:rPr>
                <w:lang w:val="en-US"/>
              </w:rPr>
            </w:pPr>
            <w:r>
              <w:rPr>
                <w:lang w:val="en-US"/>
              </w:rPr>
              <w:t>███████ Technical Manager </w:t>
            </w:r>
          </w:p>
        </w:tc>
        <w:tc>
          <w:tcPr>
            <w:tcW w:w="7165" w:type="dxa"/>
            <w:hideMark/>
          </w:tcPr>
          <w:p w14:paraId="47688654" w14:textId="6E984D74" w:rsidR="00E001A2" w:rsidRPr="00635C9B" w:rsidRDefault="00E001A2" w:rsidP="00FF05BD">
            <w:pPr>
              <w:pStyle w:val="TABLEBULLETNEW"/>
            </w:pPr>
            <w:r>
              <w:t>Advises on technical solutions and architecture to support DOH OHIP objectives </w:t>
            </w:r>
          </w:p>
          <w:p w14:paraId="71252D26" w14:textId="77777777" w:rsidR="00E001A2" w:rsidRPr="00635C9B" w:rsidRDefault="00E001A2" w:rsidP="00FF05BD">
            <w:pPr>
              <w:pStyle w:val="TABLEBULLETNEW"/>
            </w:pPr>
            <w:r>
              <w:t>Responsible for final solution architecture </w:t>
            </w:r>
          </w:p>
          <w:p w14:paraId="1100D0D2" w14:textId="2C4068CA" w:rsidR="00E001A2" w:rsidRPr="00635C9B" w:rsidRDefault="00E001A2" w:rsidP="00FF05BD">
            <w:pPr>
              <w:pStyle w:val="TABLEBULLETNEW"/>
            </w:pPr>
            <w:r>
              <w:t>Authority to make production operations decisions and provide production change/maintenance approvals (in conjunction with DOH OHIP approvals as needed) </w:t>
            </w:r>
          </w:p>
        </w:tc>
      </w:tr>
      <w:tr w:rsidR="00513D5E" w:rsidRPr="00A21682" w14:paraId="1BCD6D36" w14:textId="77777777" w:rsidTr="00C96B17">
        <w:trPr>
          <w:trHeight w:val="300"/>
        </w:trPr>
        <w:tc>
          <w:tcPr>
            <w:tcW w:w="2200" w:type="dxa"/>
            <w:shd w:val="clear" w:color="auto" w:fill="FFFFFF" w:themeFill="background1"/>
            <w:hideMark/>
          </w:tcPr>
          <w:p w14:paraId="2DD92836" w14:textId="77777777" w:rsidR="00E001A2" w:rsidRPr="00A21682" w:rsidRDefault="00E001A2" w:rsidP="00047C4E">
            <w:pPr>
              <w:pStyle w:val="TABLETEXT1"/>
              <w:rPr>
                <w:lang w:val="en-US"/>
              </w:rPr>
            </w:pPr>
            <w:r>
              <w:rPr>
                <w:lang w:val="en-US"/>
              </w:rPr>
              <w:t>███████ Technical Architect </w:t>
            </w:r>
          </w:p>
        </w:tc>
        <w:tc>
          <w:tcPr>
            <w:tcW w:w="7165" w:type="dxa"/>
            <w:hideMark/>
          </w:tcPr>
          <w:p w14:paraId="7EE85FC1" w14:textId="42ECF04D" w:rsidR="00E001A2" w:rsidRPr="00635C9B" w:rsidRDefault="00E001A2" w:rsidP="00FF05BD">
            <w:pPr>
              <w:pStyle w:val="TABLEBULLETNEW"/>
            </w:pPr>
            <w:r>
              <w:t>Advises on the technical architecture to support DOH OHIP objectives </w:t>
            </w:r>
          </w:p>
          <w:p w14:paraId="42FA6A51" w14:textId="77777777" w:rsidR="00E001A2" w:rsidRPr="00635C9B" w:rsidRDefault="00E001A2" w:rsidP="00FF05BD">
            <w:pPr>
              <w:pStyle w:val="TABLEBULLETNEW"/>
            </w:pPr>
            <w:r>
              <w:t>Coordinates with the Deloitte Technical Manager on the final solution architecture </w:t>
            </w:r>
          </w:p>
        </w:tc>
      </w:tr>
      <w:tr w:rsidR="00513D5E" w:rsidRPr="00A21682" w14:paraId="155E36B8" w14:textId="77777777" w:rsidTr="00C96B17">
        <w:trPr>
          <w:trHeight w:val="300"/>
        </w:trPr>
        <w:tc>
          <w:tcPr>
            <w:tcW w:w="2200" w:type="dxa"/>
            <w:shd w:val="clear" w:color="auto" w:fill="FFFFFF" w:themeFill="background1"/>
            <w:hideMark/>
          </w:tcPr>
          <w:p w14:paraId="32E3648B" w14:textId="77777777" w:rsidR="00E001A2" w:rsidRPr="00A21682" w:rsidRDefault="00E001A2" w:rsidP="00047C4E">
            <w:pPr>
              <w:pStyle w:val="TABLETEXT1"/>
              <w:rPr>
                <w:lang w:val="en-US"/>
              </w:rPr>
            </w:pPr>
            <w:r>
              <w:rPr>
                <w:lang w:val="en-US"/>
              </w:rPr>
              <w:lastRenderedPageBreak/>
              <w:t>███████ Security Manager </w:t>
            </w:r>
          </w:p>
        </w:tc>
        <w:tc>
          <w:tcPr>
            <w:tcW w:w="7165" w:type="dxa"/>
            <w:hideMark/>
          </w:tcPr>
          <w:p w14:paraId="5894FD9D" w14:textId="77777777" w:rsidR="00E001A2" w:rsidRPr="00635C9B" w:rsidRDefault="00E001A2" w:rsidP="00FF05BD">
            <w:pPr>
              <w:pStyle w:val="TABLEBULLETNEW"/>
            </w:pPr>
            <w:r>
              <w:t>Leads security planning, testing and remediation for the solution </w:t>
            </w:r>
          </w:p>
          <w:p w14:paraId="2E62D149" w14:textId="77777777" w:rsidR="00E001A2" w:rsidRPr="00635C9B" w:rsidRDefault="00E001A2" w:rsidP="00FF05BD">
            <w:pPr>
              <w:pStyle w:val="TABLEBULLETNEW"/>
            </w:pPr>
            <w:r>
              <w:t>Coordinates with appropriate State POCs to confirm security meets State requirements </w:t>
            </w:r>
          </w:p>
          <w:p w14:paraId="4A16D0A9" w14:textId="77777777" w:rsidR="00E001A2" w:rsidRPr="00635C9B" w:rsidRDefault="00E001A2" w:rsidP="00FF05BD">
            <w:pPr>
              <w:pStyle w:val="TABLEBULLETNEW"/>
            </w:pPr>
            <w:r>
              <w:t>Responsible for obtaining final security authorizations prior to solution roll-out </w:t>
            </w:r>
          </w:p>
          <w:p w14:paraId="58D8D8E9" w14:textId="1D3FA9BA" w:rsidR="00E001A2" w:rsidRPr="00635C9B" w:rsidRDefault="00E001A2" w:rsidP="00FF05BD">
            <w:pPr>
              <w:pStyle w:val="TABLEBULLETNEW"/>
            </w:pPr>
            <w:r>
              <w:t>Has the authority to advise DOH OHIP on security compliance, planning and monitoring </w:t>
            </w:r>
          </w:p>
          <w:p w14:paraId="18C33F40" w14:textId="0464B70E" w:rsidR="00E001A2" w:rsidRPr="00635C9B" w:rsidRDefault="00E001A2" w:rsidP="00FF05BD">
            <w:pPr>
              <w:pStyle w:val="TABLEBULLETNEW"/>
            </w:pPr>
            <w:r>
              <w:t>Oversees compliance with the NYS ITS Secure SDLC Standard throughout the SDLC and in related documentation </w:t>
            </w:r>
          </w:p>
        </w:tc>
      </w:tr>
      <w:tr w:rsidR="00513D5E" w:rsidRPr="00A21682" w14:paraId="48D10891" w14:textId="77777777" w:rsidTr="00C96B17">
        <w:trPr>
          <w:trHeight w:val="300"/>
        </w:trPr>
        <w:tc>
          <w:tcPr>
            <w:tcW w:w="2200" w:type="dxa"/>
            <w:shd w:val="clear" w:color="auto" w:fill="FFFFFF" w:themeFill="background1"/>
            <w:hideMark/>
          </w:tcPr>
          <w:p w14:paraId="5A65FAB9" w14:textId="77777777" w:rsidR="00E001A2" w:rsidRPr="00A21682" w:rsidRDefault="00E001A2" w:rsidP="00047C4E">
            <w:pPr>
              <w:pStyle w:val="TABLETEXT1"/>
              <w:rPr>
                <w:lang w:val="en-US"/>
              </w:rPr>
            </w:pPr>
            <w:r>
              <w:rPr>
                <w:lang w:val="en-US"/>
              </w:rPr>
              <w:t>███████ Application Development Manager </w:t>
            </w:r>
          </w:p>
        </w:tc>
        <w:tc>
          <w:tcPr>
            <w:tcW w:w="7165" w:type="dxa"/>
            <w:hideMark/>
          </w:tcPr>
          <w:p w14:paraId="155068CC" w14:textId="5F874EFC" w:rsidR="00E001A2" w:rsidRPr="00635C9B" w:rsidRDefault="00E001A2" w:rsidP="00FF05BD">
            <w:pPr>
              <w:pStyle w:val="TABLEBULLETNEW"/>
            </w:pPr>
            <w:r>
              <w:t xml:space="preserve">Responsible for the application development activities and adherence to SDLC processes </w:t>
            </w:r>
          </w:p>
        </w:tc>
      </w:tr>
      <w:tr w:rsidR="00513D5E" w:rsidRPr="00A21682" w14:paraId="2C102E24" w14:textId="77777777" w:rsidTr="00C96B17">
        <w:trPr>
          <w:trHeight w:val="300"/>
        </w:trPr>
        <w:tc>
          <w:tcPr>
            <w:tcW w:w="2200" w:type="dxa"/>
            <w:shd w:val="clear" w:color="auto" w:fill="FFFFFF" w:themeFill="background1"/>
            <w:hideMark/>
          </w:tcPr>
          <w:p w14:paraId="16426DD5" w14:textId="2197327D" w:rsidR="00E001A2" w:rsidRPr="00A21682" w:rsidRDefault="00DC1F5F" w:rsidP="00047C4E">
            <w:pPr>
              <w:pStyle w:val="TABLETEXT1"/>
              <w:rPr>
                <w:lang w:val="en-US"/>
              </w:rPr>
            </w:pPr>
            <w:r>
              <w:rPr>
                <w:lang w:val="en-US"/>
              </w:rPr>
              <w:t>DOS Deputy Director/Security and Privacy Bureau Director</w:t>
            </w:r>
          </w:p>
        </w:tc>
        <w:tc>
          <w:tcPr>
            <w:tcW w:w="7165" w:type="dxa"/>
            <w:hideMark/>
          </w:tcPr>
          <w:p w14:paraId="0D7C3EFA" w14:textId="77777777" w:rsidR="00E001A2" w:rsidRPr="00635C9B" w:rsidRDefault="00E001A2" w:rsidP="00FF05BD">
            <w:pPr>
              <w:pStyle w:val="TABLEBULLETNEW"/>
            </w:pPr>
            <w:r>
              <w:t>Leads cybersecurity compliance workstream and oversee that the solution complies with security and privacy requirements for applicable federal and state regulations </w:t>
            </w:r>
          </w:p>
          <w:p w14:paraId="011F6271" w14:textId="77777777" w:rsidR="00E001A2" w:rsidRPr="00635C9B" w:rsidRDefault="00E001A2" w:rsidP="00FF05BD">
            <w:pPr>
              <w:pStyle w:val="TABLEBULLETNEW"/>
            </w:pPr>
            <w:r>
              <w:t>Responsible to support the security authorization process and required artifact development </w:t>
            </w:r>
          </w:p>
        </w:tc>
      </w:tr>
      <w:tr w:rsidR="00513D5E" w:rsidRPr="00A21682" w14:paraId="3874A6E7" w14:textId="77777777" w:rsidTr="00C96B17">
        <w:trPr>
          <w:trHeight w:val="300"/>
        </w:trPr>
        <w:tc>
          <w:tcPr>
            <w:tcW w:w="2200" w:type="dxa"/>
            <w:shd w:val="clear" w:color="auto" w:fill="FFFFFF" w:themeFill="background1"/>
            <w:hideMark/>
          </w:tcPr>
          <w:p w14:paraId="03C6F18D" w14:textId="77777777" w:rsidR="00E001A2" w:rsidRPr="00A21682" w:rsidRDefault="00E001A2" w:rsidP="00047C4E">
            <w:pPr>
              <w:pStyle w:val="TABLETEXT1"/>
              <w:rPr>
                <w:lang w:val="en-US"/>
              </w:rPr>
            </w:pPr>
            <w:r>
              <w:rPr>
                <w:lang w:val="en-US"/>
              </w:rPr>
              <w:t>AWS Architect </w:t>
            </w:r>
          </w:p>
        </w:tc>
        <w:tc>
          <w:tcPr>
            <w:tcW w:w="7165" w:type="dxa"/>
            <w:hideMark/>
          </w:tcPr>
          <w:p w14:paraId="022D5E5E" w14:textId="77777777" w:rsidR="00E001A2" w:rsidRPr="00635C9B" w:rsidRDefault="00E001A2" w:rsidP="00FF05BD">
            <w:pPr>
              <w:pStyle w:val="TABLEBULLETNEW"/>
            </w:pPr>
            <w:r>
              <w:t>Reviews software BOM for the cloud managed platform </w:t>
            </w:r>
          </w:p>
          <w:p w14:paraId="44E70149" w14:textId="77777777" w:rsidR="00E001A2" w:rsidRPr="00635C9B" w:rsidRDefault="00E001A2" w:rsidP="00FF05BD">
            <w:pPr>
              <w:pStyle w:val="TABLEBULLETNEW"/>
            </w:pPr>
            <w:r>
              <w:t>Reviews Initial Solution Definition (ISD) </w:t>
            </w:r>
          </w:p>
          <w:p w14:paraId="5E0D1F3F" w14:textId="77777777" w:rsidR="00E001A2" w:rsidRPr="00635C9B" w:rsidRDefault="00E001A2" w:rsidP="00FF05BD">
            <w:pPr>
              <w:pStyle w:val="TABLEBULLETNEW"/>
            </w:pPr>
            <w:r>
              <w:t>Reviews AWS cost management and FinOps, including billing, budgets, and reports </w:t>
            </w:r>
          </w:p>
        </w:tc>
      </w:tr>
      <w:tr w:rsidR="00513D5E" w:rsidRPr="00A21682" w14:paraId="5BA49470" w14:textId="77777777" w:rsidTr="00C96B17">
        <w:trPr>
          <w:trHeight w:val="300"/>
        </w:trPr>
        <w:tc>
          <w:tcPr>
            <w:tcW w:w="2200" w:type="dxa"/>
            <w:shd w:val="clear" w:color="auto" w:fill="FFFFFF" w:themeFill="background1"/>
            <w:hideMark/>
          </w:tcPr>
          <w:p w14:paraId="6E33BEC9" w14:textId="77777777" w:rsidR="00E001A2" w:rsidRPr="00A21682" w:rsidRDefault="00E001A2" w:rsidP="00047C4E">
            <w:pPr>
              <w:pStyle w:val="TABLETEXT1"/>
              <w:rPr>
                <w:lang w:val="en-US"/>
              </w:rPr>
            </w:pPr>
            <w:r>
              <w:rPr>
                <w:lang w:val="en-US"/>
              </w:rPr>
              <w:t>AWS Accounts Reviewer </w:t>
            </w:r>
          </w:p>
        </w:tc>
        <w:tc>
          <w:tcPr>
            <w:tcW w:w="7165" w:type="dxa"/>
            <w:hideMark/>
          </w:tcPr>
          <w:p w14:paraId="522B212D" w14:textId="1C843641" w:rsidR="00E001A2" w:rsidRPr="00635C9B" w:rsidRDefault="00E001A2" w:rsidP="00FF05BD">
            <w:pPr>
              <w:pStyle w:val="TABLEBULLETNEW"/>
            </w:pPr>
            <w:r>
              <w:t xml:space="preserve">Reviews AWS organization and accounts </w:t>
            </w:r>
          </w:p>
        </w:tc>
      </w:tr>
    </w:tbl>
    <w:p w14:paraId="489499E3" w14:textId="07F82403" w:rsidR="0008575D" w:rsidRPr="00A21682" w:rsidRDefault="0008575D" w:rsidP="0008575D">
      <w:pPr>
        <w:pStyle w:val="Caption"/>
        <w:rPr>
          <w:noProof w:val="0"/>
        </w:rPr>
      </w:pPr>
      <w:bookmarkStart w:id="4381" w:name="_Toc19287522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3</w:t>
      </w:r>
      <w:r>
        <w:rPr>
          <w:noProof w:val="0"/>
        </w:rPr>
        <w:fldChar w:fldCharType="end"/>
      </w:r>
      <w:r>
        <w:rPr>
          <w:noProof w:val="0"/>
        </w:rPr>
        <w:t>: SDLC Roles and Responsibilities</w:t>
      </w:r>
      <w:bookmarkEnd w:id="4381"/>
    </w:p>
    <w:p w14:paraId="3C41FCA8" w14:textId="77777777" w:rsidR="00E001A2" w:rsidRPr="00A21682" w:rsidRDefault="00E001A2" w:rsidP="00E001A2">
      <w:pPr>
        <w:rPr>
          <w:rFonts w:ascii="Verdana" w:hAnsi="Verdana"/>
          <w:sz w:val="18"/>
        </w:rPr>
      </w:pPr>
      <w:r>
        <w:rPr>
          <w:rFonts w:ascii="Verdana" w:hAnsi="Verdana"/>
          <w:sz w:val="18"/>
        </w:rPr>
        <w:br w:type="page"/>
      </w:r>
    </w:p>
    <w:p w14:paraId="25700133" w14:textId="77777777" w:rsidR="00E001A2" w:rsidRPr="00A21682" w:rsidRDefault="00E001A2" w:rsidP="00B97366">
      <w:pPr>
        <w:pStyle w:val="NormalNEW"/>
        <w:rPr>
          <w:b/>
          <w:bCs/>
          <w:lang w:val="en-US"/>
        </w:rPr>
      </w:pPr>
      <w:bookmarkStart w:id="4382" w:name="_Toc154132986"/>
      <w:r>
        <w:rPr>
          <w:b/>
          <w:bCs/>
          <w:lang w:val="en-US"/>
        </w:rPr>
        <w:lastRenderedPageBreak/>
        <w:t>Appendix C-2 Stakeholder Engagement Roles and Responsibilities</w:t>
      </w:r>
      <w:bookmarkEnd w:id="4382"/>
    </w:p>
    <w:p w14:paraId="4B3D1863" w14:textId="44866E1B" w:rsidR="00E001A2" w:rsidRPr="00A21682" w:rsidRDefault="00E001A2" w:rsidP="00E001A2">
      <w:pPr>
        <w:pStyle w:val="NormalNEW"/>
        <w:rPr>
          <w:szCs w:val="18"/>
          <w:lang w:val="en-US"/>
        </w:rPr>
      </w:pPr>
      <w:r>
        <w:rPr>
          <w:szCs w:val="18"/>
          <w:lang w:val="en-US"/>
        </w:rPr>
        <w:t>The following table identifies roles and responsibilities associated with Section 3 Stakeholder Engagement Plan:</w:t>
      </w:r>
    </w:p>
    <w:tbl>
      <w:tblPr>
        <w:tblStyle w:val="GridTable5Dark-Accent1331"/>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154"/>
        <w:gridCol w:w="7206"/>
      </w:tblGrid>
      <w:tr w:rsidR="002F4E2D" w:rsidRPr="00A21682" w14:paraId="3C89B05D" w14:textId="77777777" w:rsidTr="004912D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54" w:type="dxa"/>
            <w:tcBorders>
              <w:top w:val="single" w:sz="4" w:space="0" w:color="auto"/>
              <w:left w:val="single" w:sz="4" w:space="0" w:color="auto"/>
              <w:right w:val="single" w:sz="2" w:space="0" w:color="FFFFFF" w:themeColor="background1"/>
            </w:tcBorders>
            <w:shd w:val="clear" w:color="auto" w:fill="000000" w:themeFill="text1"/>
          </w:tcPr>
          <w:p w14:paraId="01DD791E" w14:textId="77777777" w:rsidR="00E001A2" w:rsidRPr="00A21682" w:rsidRDefault="00E001A2" w:rsidP="00047C4E">
            <w:pPr>
              <w:pStyle w:val="TABLEHEADINGNEW"/>
              <w:rPr>
                <w:b/>
                <w:bCs/>
              </w:rPr>
            </w:pPr>
            <w:bookmarkStart w:id="4383" w:name="_Hlk154129212"/>
            <w:r>
              <w:rPr>
                <w:b/>
                <w:bCs/>
              </w:rPr>
              <w:t>Stakeholder Group</w:t>
            </w:r>
          </w:p>
        </w:tc>
        <w:tc>
          <w:tcPr>
            <w:tcW w:w="7206" w:type="dxa"/>
            <w:tcBorders>
              <w:top w:val="single" w:sz="4" w:space="0" w:color="auto"/>
              <w:left w:val="single" w:sz="2" w:space="0" w:color="FFFFFF" w:themeColor="background1"/>
              <w:right w:val="single" w:sz="4" w:space="0" w:color="auto"/>
            </w:tcBorders>
            <w:shd w:val="clear" w:color="auto" w:fill="000000" w:themeFill="text1"/>
          </w:tcPr>
          <w:p w14:paraId="287C1DA3"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116D1825" w14:textId="77777777" w:rsidTr="004912D2">
        <w:trPr>
          <w:cnfStyle w:val="000000100000" w:firstRow="0" w:lastRow="0" w:firstColumn="0" w:lastColumn="0" w:oddVBand="0" w:evenVBand="0" w:oddHBand="1" w:evenHBand="0" w:firstRowFirstColumn="0" w:firstRowLastColumn="0" w:lastRowFirstColumn="0" w:lastRowLastColumn="0"/>
          <w:cantSplit/>
          <w:trHeight w:val="2708"/>
        </w:trPr>
        <w:tc>
          <w:tcPr>
            <w:cnfStyle w:val="001000000000" w:firstRow="0" w:lastRow="0" w:firstColumn="1" w:lastColumn="0" w:oddVBand="0" w:evenVBand="0" w:oddHBand="0" w:evenHBand="0" w:firstRowFirstColumn="0" w:firstRowLastColumn="0" w:lastRowFirstColumn="0" w:lastRowLastColumn="0"/>
            <w:tcW w:w="2154" w:type="dxa"/>
            <w:tcBorders>
              <w:left w:val="single" w:sz="4" w:space="0" w:color="auto"/>
            </w:tcBorders>
            <w:shd w:val="clear" w:color="auto" w:fill="FFFFFF" w:themeFill="background1"/>
          </w:tcPr>
          <w:p w14:paraId="093FA878" w14:textId="77777777" w:rsidR="00E001A2" w:rsidRPr="00A21682" w:rsidRDefault="00E001A2" w:rsidP="00047C4E">
            <w:pPr>
              <w:pStyle w:val="TABLETEXT1"/>
              <w:rPr>
                <w:bCs w:val="0"/>
                <w:color w:val="auto"/>
                <w:szCs w:val="24"/>
                <w:lang w:val="en-US"/>
              </w:rPr>
            </w:pPr>
            <w:r>
              <w:rPr>
                <w:b w:val="0"/>
                <w:color w:val="auto"/>
                <w:szCs w:val="24"/>
                <w:lang w:val="en-US"/>
              </w:rPr>
              <w:t>Project Management</w:t>
            </w:r>
          </w:p>
        </w:tc>
        <w:tc>
          <w:tcPr>
            <w:tcW w:w="7206" w:type="dxa"/>
            <w:tcBorders>
              <w:right w:val="single" w:sz="4" w:space="0" w:color="auto"/>
            </w:tcBorders>
            <w:shd w:val="clear" w:color="auto" w:fill="auto"/>
          </w:tcPr>
          <w:p w14:paraId="6A2EBE69" w14:textId="7777777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 xml:space="preserve">Project Management’s role is central in orchestrating efforts across project team(s) and stakeholders throughout the MECM implementation. Project Management will develop and execute the stakeholder engagement plan, including: </w:t>
            </w:r>
          </w:p>
          <w:p w14:paraId="1E4BB28A"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Initiate the identification of potential stakeholders, internal and external to the project, who can influence or be impacted by the project</w:t>
            </w:r>
          </w:p>
          <w:p w14:paraId="590D1D4A"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Plan stakeholder alignment to project points of contact based on stakeholders’ interests</w:t>
            </w:r>
          </w:p>
          <w:p w14:paraId="672992D2" w14:textId="139AF99E"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Execute a clear communication plan that outlines the communication channels and methods used to engage stakeholders of varying governing bodies, as outlined in the Communications Management Plan (refer to Section 4)</w:t>
            </w:r>
          </w:p>
          <w:p w14:paraId="40F2748E"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Control stakeholder engagement activities to verify efficacy of the process and implement adjustments to processes, as needed</w:t>
            </w:r>
          </w:p>
          <w:p w14:paraId="306E4580" w14:textId="56B561B4"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Verify deliverables and provide communications according to the Communications Management Plan (refer to Section 4)</w:t>
            </w:r>
          </w:p>
        </w:tc>
      </w:tr>
      <w:tr w:rsidR="00716394" w:rsidRPr="00A21682" w14:paraId="4379BF60" w14:textId="77777777" w:rsidTr="004912D2">
        <w:trPr>
          <w:cantSplit/>
        </w:trPr>
        <w:tc>
          <w:tcPr>
            <w:cnfStyle w:val="001000000000" w:firstRow="0" w:lastRow="0" w:firstColumn="1" w:lastColumn="0" w:oddVBand="0" w:evenVBand="0" w:oddHBand="0" w:evenHBand="0" w:firstRowFirstColumn="0" w:firstRowLastColumn="0" w:lastRowFirstColumn="0" w:lastRowLastColumn="0"/>
            <w:tcW w:w="2154" w:type="dxa"/>
            <w:tcBorders>
              <w:left w:val="single" w:sz="4" w:space="0" w:color="auto"/>
            </w:tcBorders>
            <w:shd w:val="clear" w:color="auto" w:fill="FFFFFF" w:themeFill="background1"/>
          </w:tcPr>
          <w:p w14:paraId="2143F259" w14:textId="77777777" w:rsidR="00E001A2" w:rsidRPr="00A21682" w:rsidRDefault="00E001A2" w:rsidP="00047C4E">
            <w:pPr>
              <w:pStyle w:val="TABLETEXT1"/>
              <w:rPr>
                <w:bCs w:val="0"/>
                <w:color w:val="auto"/>
                <w:szCs w:val="24"/>
                <w:lang w:val="en-US"/>
              </w:rPr>
            </w:pPr>
            <w:r>
              <w:rPr>
                <w:b w:val="0"/>
                <w:color w:val="auto"/>
                <w:szCs w:val="24"/>
                <w:lang w:val="en-US"/>
              </w:rPr>
              <w:t>Business Analyst</w:t>
            </w:r>
          </w:p>
        </w:tc>
        <w:tc>
          <w:tcPr>
            <w:tcW w:w="7206" w:type="dxa"/>
            <w:tcBorders>
              <w:right w:val="single" w:sz="4" w:space="0" w:color="auto"/>
            </w:tcBorders>
            <w:shd w:val="clear" w:color="auto" w:fill="auto"/>
          </w:tcPr>
          <w:p w14:paraId="46B50EEF"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Business Analysts gather, document, and manage requirements representing various stakeholder groups affected by the MECM implementation. Business analysts will engage internal and appropriate external stakeholders to:</w:t>
            </w:r>
          </w:p>
          <w:p w14:paraId="2B0AAF0F"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Collect and document requirements in tandem with Business stakeholders</w:t>
            </w:r>
          </w:p>
          <w:p w14:paraId="53EA89D2"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Conduct requirements prioritization, and facilitate collaborative workshops with relevant Business and Technology stakeholders</w:t>
            </w:r>
          </w:p>
          <w:p w14:paraId="67B6200B" w14:textId="004A3948"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Drive decisions pertinent to requirements prioritization and iteration/bundle planning discussions</w:t>
            </w:r>
          </w:p>
          <w:p w14:paraId="50F82F45"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Collect feedback from stakeholders regarding project deliverables and requirements</w:t>
            </w:r>
          </w:p>
          <w:p w14:paraId="5C3A4BC6" w14:textId="225A738E"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Business Analysts help to deliver communications essential for informing project team(s) and stakeholders on project progress, risks, issues, and other items that impact the MECM implementation. Business Analysts follow standards outlined in the</w:t>
            </w:r>
            <w:r>
              <w:rPr>
                <w:i/>
              </w:rPr>
              <w:t xml:space="preserve"> </w:t>
            </w:r>
            <w:r>
              <w:rPr>
                <w:color w:val="auto"/>
              </w:rPr>
              <w:t>Communications Management Plan</w:t>
            </w:r>
            <w:r>
              <w:t xml:space="preserve"> (</w:t>
            </w:r>
            <w:r>
              <w:rPr>
                <w:color w:val="auto"/>
              </w:rPr>
              <w:t>refer to Section 4</w:t>
            </w:r>
            <w:r>
              <w:t>)</w:t>
            </w:r>
          </w:p>
        </w:tc>
      </w:tr>
      <w:bookmarkEnd w:id="4383"/>
      <w:tr w:rsidR="00716394" w:rsidRPr="00A21682" w14:paraId="40E2F632" w14:textId="77777777" w:rsidTr="004912D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54" w:type="dxa"/>
            <w:tcBorders>
              <w:left w:val="single" w:sz="4" w:space="0" w:color="auto"/>
            </w:tcBorders>
            <w:shd w:val="clear" w:color="auto" w:fill="FFFFFF" w:themeFill="background1"/>
          </w:tcPr>
          <w:p w14:paraId="30AF948D" w14:textId="77777777" w:rsidR="00E001A2" w:rsidRPr="00A21682" w:rsidRDefault="00E001A2" w:rsidP="00047C4E">
            <w:pPr>
              <w:pStyle w:val="TABLETEXT1"/>
              <w:rPr>
                <w:bCs w:val="0"/>
                <w:color w:val="auto"/>
                <w:szCs w:val="24"/>
                <w:lang w:val="en-US"/>
              </w:rPr>
            </w:pPr>
            <w:r>
              <w:rPr>
                <w:b w:val="0"/>
                <w:color w:val="auto"/>
                <w:szCs w:val="24"/>
                <w:lang w:val="en-US"/>
              </w:rPr>
              <w:lastRenderedPageBreak/>
              <w:t>Quality Assurance</w:t>
            </w:r>
          </w:p>
        </w:tc>
        <w:tc>
          <w:tcPr>
            <w:tcW w:w="7206" w:type="dxa"/>
            <w:tcBorders>
              <w:right w:val="single" w:sz="4" w:space="0" w:color="auto"/>
            </w:tcBorders>
            <w:shd w:val="clear" w:color="auto" w:fill="auto"/>
          </w:tcPr>
          <w:p w14:paraId="5AE2B46C" w14:textId="27E4213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The Quality Assurance (QA) Team helps verify and validate the MECM solution meets the requirements defined by various stakeholders during the Requirements phase. The QA Team engages internal and appropriate external stakeholders to:</w:t>
            </w:r>
          </w:p>
          <w:p w14:paraId="46306CD9"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Understand stakeholders’ expectations of requirements in collaboration with business analysts and product owners to verify that the requirements are clear, complete, and testable</w:t>
            </w:r>
          </w:p>
          <w:p w14:paraId="4ACCA3F6"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Socialize the test plan, objectives, and strategies in collaboration with project managers and relevant stakeholders</w:t>
            </w:r>
          </w:p>
          <w:p w14:paraId="27BAFA1F" w14:textId="7CE075B2"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In partnership with the Business team, conduct UAT and report UAT progress for each iteration/bundle</w:t>
            </w:r>
          </w:p>
          <w:p w14:paraId="4B1A445D" w14:textId="7777777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The QA Team also participates in regularly scheduled project communications to:</w:t>
            </w:r>
          </w:p>
          <w:p w14:paraId="49BD7A1A"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Proactively identify and communicate potential risks related to quality and functionality</w:t>
            </w:r>
          </w:p>
          <w:p w14:paraId="05021AE1"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Confirm that change management requests and outcomes are properly documented, tested, and shared with all relevant stakeholders</w:t>
            </w:r>
          </w:p>
          <w:p w14:paraId="3CCDDEA3" w14:textId="1DD20D14"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Review communications according to the Communications Management Plan (refer to Section 4)</w:t>
            </w:r>
          </w:p>
        </w:tc>
      </w:tr>
      <w:tr w:rsidR="00716394" w:rsidRPr="00A21682" w14:paraId="73E7ED9A" w14:textId="77777777" w:rsidTr="004912D2">
        <w:trPr>
          <w:cantSplit/>
        </w:trPr>
        <w:tc>
          <w:tcPr>
            <w:cnfStyle w:val="001000000000" w:firstRow="0" w:lastRow="0" w:firstColumn="1" w:lastColumn="0" w:oddVBand="0" w:evenVBand="0" w:oddHBand="0" w:evenHBand="0" w:firstRowFirstColumn="0" w:firstRowLastColumn="0" w:lastRowFirstColumn="0" w:lastRowLastColumn="0"/>
            <w:tcW w:w="2154" w:type="dxa"/>
            <w:tcBorders>
              <w:left w:val="single" w:sz="4" w:space="0" w:color="auto"/>
            </w:tcBorders>
            <w:shd w:val="clear" w:color="auto" w:fill="FFFFFF" w:themeFill="background1"/>
          </w:tcPr>
          <w:p w14:paraId="5E0BB3FA" w14:textId="77777777" w:rsidR="00E001A2" w:rsidRPr="00A21682" w:rsidRDefault="00E001A2" w:rsidP="00047C4E">
            <w:pPr>
              <w:pStyle w:val="TABLETEXT1"/>
              <w:rPr>
                <w:bCs w:val="0"/>
                <w:color w:val="auto"/>
                <w:szCs w:val="24"/>
                <w:lang w:val="en-US"/>
              </w:rPr>
            </w:pPr>
            <w:r>
              <w:rPr>
                <w:b w:val="0"/>
                <w:color w:val="auto"/>
                <w:szCs w:val="24"/>
                <w:lang w:val="en-US"/>
              </w:rPr>
              <w:lastRenderedPageBreak/>
              <w:t>Technology</w:t>
            </w:r>
          </w:p>
        </w:tc>
        <w:tc>
          <w:tcPr>
            <w:tcW w:w="7206" w:type="dxa"/>
            <w:tcBorders>
              <w:right w:val="single" w:sz="4" w:space="0" w:color="auto"/>
            </w:tcBorders>
            <w:shd w:val="clear" w:color="auto" w:fill="auto"/>
          </w:tcPr>
          <w:p w14:paraId="02047988"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The Technology Team translates stakeholder requirements into technical solutions and develops a solution to meet MECM solution standards. The Technology Team engages internal and appropriate external stakeholders to:</w:t>
            </w:r>
          </w:p>
          <w:p w14:paraId="00B7059E"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Thoroughly analyze and understand project requirements</w:t>
            </w:r>
          </w:p>
          <w:p w14:paraId="085F1C27" w14:textId="485095E0"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Provide feasibility assessments to help stakeholders make informed decisions about prioritization and scope of requirements for an iteration/bundle</w:t>
            </w:r>
          </w:p>
          <w:p w14:paraId="43C7AC8C"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Review and validate the proposed technical designs align with business objectives articulated by the Business Team</w:t>
            </w:r>
          </w:p>
          <w:p w14:paraId="5E336043" w14:textId="19BCEFB3"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Demonstrate a working solution to stakeholders, gather feedback, and incorporate it into subsequent iterations/bundles</w:t>
            </w:r>
          </w:p>
          <w:p w14:paraId="7400E1D9"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Address security and compliance requirements</w:t>
            </w:r>
          </w:p>
          <w:p w14:paraId="60E5372B"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lang w:val="en-US"/>
              </w:rPr>
            </w:pPr>
            <w:r>
              <w:rPr>
                <w:lang w:val="en-US"/>
              </w:rPr>
              <w:t>The Technology Team proactively communicates updates, risks, and dependencies related to the technical solution through the following actions:</w:t>
            </w:r>
          </w:p>
          <w:p w14:paraId="548257D8"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Share the results of feasibility assessments to inform decision making</w:t>
            </w:r>
          </w:p>
          <w:p w14:paraId="2770D08A"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Coordinate the review and validation of technical designs</w:t>
            </w:r>
          </w:p>
          <w:p w14:paraId="2DFCF428"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Facilitate iterative development working sessions by participating in sprint planning and review meeting</w:t>
            </w:r>
          </w:p>
          <w:p w14:paraId="5C2F7AF2"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Promote adherence to security and compliance regulations and standards</w:t>
            </w:r>
          </w:p>
          <w:p w14:paraId="248C7CA5"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Document technical implications of changes to stakeholders</w:t>
            </w:r>
          </w:p>
          <w:p w14:paraId="3C967A8B" w14:textId="77777777" w:rsidR="00E001A2" w:rsidRPr="00635C9B" w:rsidRDefault="00E001A2" w:rsidP="0031550A">
            <w:pPr>
              <w:pStyle w:val="BulletNEW"/>
              <w:cnfStyle w:val="000000000000" w:firstRow="0" w:lastRow="0" w:firstColumn="0" w:lastColumn="0" w:oddVBand="0" w:evenVBand="0" w:oddHBand="0" w:evenHBand="0" w:firstRowFirstColumn="0" w:firstRowLastColumn="0" w:lastRowFirstColumn="0" w:lastRowLastColumn="0"/>
            </w:pPr>
            <w:r>
              <w:t>Monitor and share updates on solution performance relative to goals</w:t>
            </w:r>
          </w:p>
        </w:tc>
      </w:tr>
      <w:tr w:rsidR="00716394" w:rsidRPr="00A21682" w14:paraId="4E95C4B5" w14:textId="77777777" w:rsidTr="004912D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54" w:type="dxa"/>
            <w:tcBorders>
              <w:left w:val="single" w:sz="4" w:space="0" w:color="auto"/>
            </w:tcBorders>
            <w:shd w:val="clear" w:color="auto" w:fill="FFFFFF" w:themeFill="background1"/>
          </w:tcPr>
          <w:p w14:paraId="2393153F" w14:textId="77777777" w:rsidR="00E001A2" w:rsidRPr="00A21682" w:rsidRDefault="00E001A2" w:rsidP="00047C4E">
            <w:pPr>
              <w:pStyle w:val="TABLETEXT1"/>
              <w:rPr>
                <w:b w:val="0"/>
                <w:color w:val="auto"/>
                <w:szCs w:val="24"/>
                <w:lang w:val="en-US"/>
              </w:rPr>
            </w:pPr>
            <w:r>
              <w:rPr>
                <w:b w:val="0"/>
                <w:color w:val="auto"/>
                <w:szCs w:val="24"/>
                <w:lang w:val="en-US"/>
              </w:rPr>
              <w:t>Business Team</w:t>
            </w:r>
          </w:p>
        </w:tc>
        <w:tc>
          <w:tcPr>
            <w:tcW w:w="7206" w:type="dxa"/>
            <w:tcBorders>
              <w:right w:val="single" w:sz="4" w:space="0" w:color="auto"/>
            </w:tcBorders>
            <w:shd w:val="clear" w:color="auto" w:fill="auto"/>
          </w:tcPr>
          <w:p w14:paraId="5CA2E5BB" w14:textId="447C1129"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The Business Team supports project track teams’ enterprise-level operational changes to processes impacted by the MECM implementation. The Business Team engages internal and appropriate external stakeholders to:</w:t>
            </w:r>
          </w:p>
          <w:p w14:paraId="70541A96"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Articulate the desired business outcomes and benefits expected from the solution</w:t>
            </w:r>
          </w:p>
          <w:p w14:paraId="658CDCA8"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Assess the impact(s) of change requests and facilitate informed decision making</w:t>
            </w:r>
          </w:p>
          <w:p w14:paraId="67FA1616"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Validate change requests align with business objectives and communicate those changes</w:t>
            </w:r>
          </w:p>
          <w:p w14:paraId="002E29E8" w14:textId="52822899" w:rsidR="00E001A2" w:rsidRPr="00635C9B" w:rsidRDefault="00122A86" w:rsidP="0031550A">
            <w:pPr>
              <w:pStyle w:val="BulletNEW"/>
              <w:cnfStyle w:val="000000100000" w:firstRow="0" w:lastRow="0" w:firstColumn="0" w:lastColumn="0" w:oddVBand="0" w:evenVBand="0" w:oddHBand="1" w:evenHBand="0" w:firstRowFirstColumn="0" w:firstRowLastColumn="0" w:lastRowFirstColumn="0" w:lastRowLastColumn="0"/>
            </w:pPr>
            <w:r>
              <w:t>Confirm that the solution remains focused on delivering value to all stakeholders</w:t>
            </w:r>
          </w:p>
          <w:p w14:paraId="060A4994"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Assess the impact of the solution on day-to-day operations and business objectives</w:t>
            </w:r>
          </w:p>
          <w:p w14:paraId="53B57142"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Communicate feedback from users on areas of improvement and optimization</w:t>
            </w:r>
          </w:p>
          <w:p w14:paraId="72C6C58E" w14:textId="77777777" w:rsidR="00E001A2" w:rsidRPr="00635C9B" w:rsidRDefault="00E001A2" w:rsidP="0031550A">
            <w:pPr>
              <w:pStyle w:val="BulletNEW"/>
              <w:cnfStyle w:val="000000100000" w:firstRow="0" w:lastRow="0" w:firstColumn="0" w:lastColumn="0" w:oddVBand="0" w:evenVBand="0" w:oddHBand="1" w:evenHBand="0" w:firstRowFirstColumn="0" w:firstRowLastColumn="0" w:lastRowFirstColumn="0" w:lastRowLastColumn="0"/>
            </w:pPr>
            <w:r>
              <w:t>Participate in resource allocation discussions to support project success</w:t>
            </w:r>
          </w:p>
        </w:tc>
      </w:tr>
      <w:tr w:rsidR="002F4E2D" w:rsidRPr="00A21682" w14:paraId="1158BB19" w14:textId="77777777" w:rsidTr="004912D2">
        <w:trPr>
          <w:cantSplit/>
        </w:trPr>
        <w:tc>
          <w:tcPr>
            <w:cnfStyle w:val="001000000000" w:firstRow="0" w:lastRow="0" w:firstColumn="1" w:lastColumn="0" w:oddVBand="0" w:evenVBand="0" w:oddHBand="0" w:evenHBand="0" w:firstRowFirstColumn="0" w:firstRowLastColumn="0" w:lastRowFirstColumn="0" w:lastRowLastColumn="0"/>
            <w:tcW w:w="2154" w:type="dxa"/>
            <w:tcBorders>
              <w:left w:val="single" w:sz="4" w:space="0" w:color="auto"/>
              <w:bottom w:val="single" w:sz="4" w:space="0" w:color="auto"/>
            </w:tcBorders>
            <w:shd w:val="clear" w:color="auto" w:fill="FFFFFF" w:themeFill="background1"/>
          </w:tcPr>
          <w:p w14:paraId="62A831CA" w14:textId="77777777" w:rsidR="00E001A2" w:rsidRPr="00A21682" w:rsidRDefault="00E001A2" w:rsidP="00047C4E">
            <w:pPr>
              <w:pStyle w:val="TABLETEXT1"/>
              <w:rPr>
                <w:bCs w:val="0"/>
                <w:color w:val="auto"/>
                <w:szCs w:val="24"/>
                <w:lang w:val="en-US"/>
              </w:rPr>
            </w:pPr>
            <w:r>
              <w:rPr>
                <w:b w:val="0"/>
                <w:color w:val="auto"/>
                <w:szCs w:val="24"/>
                <w:lang w:val="en-US"/>
              </w:rPr>
              <w:lastRenderedPageBreak/>
              <w:t>Third Parties and Trading Partners</w:t>
            </w:r>
          </w:p>
        </w:tc>
        <w:tc>
          <w:tcPr>
            <w:tcW w:w="7206" w:type="dxa"/>
            <w:tcBorders>
              <w:bottom w:val="single" w:sz="4" w:space="0" w:color="auto"/>
              <w:right w:val="single" w:sz="4" w:space="0" w:color="auto"/>
            </w:tcBorders>
            <w:shd w:val="clear" w:color="auto" w:fill="auto"/>
          </w:tcPr>
          <w:p w14:paraId="698AEAA5" w14:textId="77777777" w:rsidR="00E001A2" w:rsidRPr="00A21682" w:rsidRDefault="00E001A2" w:rsidP="007A5FD7">
            <w:pPr>
              <w:pStyle w:val="TABLETEXT1"/>
              <w:keepNext/>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As part of stakeholder engagement, DOH OHIP may require input from and collaboration with external third parties. Such groups include but not limited to eMedNY, Maximus, IES Core groups, and interface trading partners.</w:t>
            </w:r>
          </w:p>
        </w:tc>
      </w:tr>
    </w:tbl>
    <w:p w14:paraId="49D3C68C" w14:textId="1E20879F" w:rsidR="0008575D" w:rsidRPr="00A21682" w:rsidRDefault="0008575D" w:rsidP="0008575D">
      <w:pPr>
        <w:pStyle w:val="Caption"/>
        <w:rPr>
          <w:noProof w:val="0"/>
        </w:rPr>
      </w:pPr>
      <w:bookmarkStart w:id="4384" w:name="_Toc192875227"/>
      <w:bookmarkStart w:id="4385" w:name="_Toc15413298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4</w:t>
      </w:r>
      <w:r>
        <w:rPr>
          <w:noProof w:val="0"/>
        </w:rPr>
        <w:fldChar w:fldCharType="end"/>
      </w:r>
      <w:r>
        <w:rPr>
          <w:noProof w:val="0"/>
        </w:rPr>
        <w:t>: Stakeholder Engagement Roles and Responsibilities</w:t>
      </w:r>
      <w:bookmarkEnd w:id="4384"/>
    </w:p>
    <w:p w14:paraId="051AA096" w14:textId="77777777" w:rsidR="00E001A2" w:rsidRPr="00A21682" w:rsidRDefault="00E001A2">
      <w:pPr>
        <w:rPr>
          <w:rFonts w:ascii="Verdana" w:eastAsiaTheme="majorEastAsia" w:hAnsi="Verdana" w:cstheme="majorBidi"/>
          <w:b/>
          <w:sz w:val="18"/>
          <w:szCs w:val="26"/>
        </w:rPr>
      </w:pPr>
      <w:r>
        <w:rPr>
          <w:rFonts w:ascii="Verdana" w:eastAsiaTheme="majorEastAsia" w:hAnsi="Verdana" w:cstheme="majorBidi"/>
          <w:b/>
          <w:sz w:val="18"/>
          <w:szCs w:val="26"/>
        </w:rPr>
        <w:br w:type="page"/>
      </w:r>
    </w:p>
    <w:p w14:paraId="16D022AF" w14:textId="56228379" w:rsidR="00E001A2" w:rsidRPr="00A21682" w:rsidRDefault="00E001A2" w:rsidP="00B97366">
      <w:pPr>
        <w:pStyle w:val="NormalNEW"/>
        <w:rPr>
          <w:b/>
          <w:bCs/>
          <w:lang w:val="en-US"/>
        </w:rPr>
      </w:pPr>
      <w:r>
        <w:rPr>
          <w:b/>
          <w:bCs/>
          <w:lang w:val="en-US"/>
        </w:rPr>
        <w:lastRenderedPageBreak/>
        <w:t>Appendix C-3 Communications Management Plan Roles and Responsibilities</w:t>
      </w:r>
      <w:bookmarkEnd w:id="4385"/>
    </w:p>
    <w:p w14:paraId="7EB09C03" w14:textId="33501521" w:rsidR="0008482E" w:rsidRPr="00A21682" w:rsidRDefault="0008482E" w:rsidP="0008482E">
      <w:pPr>
        <w:pStyle w:val="NormalNEW"/>
        <w:rPr>
          <w:lang w:val="en-US"/>
        </w:rPr>
      </w:pPr>
      <w:r>
        <w:rPr>
          <w:lang w:val="en-US"/>
        </w:rPr>
        <w:t>The following table outlines the roles and responsibilities associated with the Section 4 Communications Management Plan:</w:t>
      </w:r>
    </w:p>
    <w:tbl>
      <w:tblPr>
        <w:tblStyle w:val="GridTable5Dark-Accent133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2880"/>
        <w:gridCol w:w="6480"/>
      </w:tblGrid>
      <w:tr w:rsidR="00716394" w:rsidRPr="00A21682" w14:paraId="3D6E0DAE" w14:textId="77777777" w:rsidTr="00FF05BD">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880" w:type="dxa"/>
            <w:tcBorders>
              <w:bottom w:val="single" w:sz="4" w:space="0" w:color="auto"/>
            </w:tcBorders>
            <w:shd w:val="clear" w:color="auto" w:fill="000000" w:themeFill="text1"/>
          </w:tcPr>
          <w:p w14:paraId="42B814A4" w14:textId="77777777" w:rsidR="00E001A2" w:rsidRPr="00A21682" w:rsidRDefault="00E001A2" w:rsidP="00047C4E">
            <w:pPr>
              <w:pStyle w:val="TABLEHEADINGNEW"/>
              <w:rPr>
                <w:b/>
                <w:bCs/>
              </w:rPr>
            </w:pPr>
            <w:r>
              <w:rPr>
                <w:b/>
                <w:bCs/>
              </w:rPr>
              <w:t>Stakeholder Group</w:t>
            </w:r>
          </w:p>
        </w:tc>
        <w:tc>
          <w:tcPr>
            <w:tcW w:w="6480" w:type="dxa"/>
            <w:tcBorders>
              <w:bottom w:val="single" w:sz="4" w:space="0" w:color="auto"/>
            </w:tcBorders>
            <w:shd w:val="clear" w:color="auto" w:fill="000000" w:themeFill="text1"/>
          </w:tcPr>
          <w:p w14:paraId="2AFCC068"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582F988B" w14:textId="77777777" w:rsidTr="00FF05BD">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880" w:type="dxa"/>
            <w:tcBorders>
              <w:left w:val="single" w:sz="4" w:space="0" w:color="auto"/>
            </w:tcBorders>
            <w:shd w:val="clear" w:color="auto" w:fill="FFFFFF" w:themeFill="background1"/>
          </w:tcPr>
          <w:p w14:paraId="420F9305"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Project Management (PMO)</w:t>
            </w:r>
          </w:p>
        </w:tc>
        <w:tc>
          <w:tcPr>
            <w:tcW w:w="6480" w:type="dxa"/>
            <w:shd w:val="clear" w:color="auto" w:fill="auto"/>
          </w:tcPr>
          <w:p w14:paraId="6A87F33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Draft and disseminate planned project-level communications pertaining to project status updates, meetings, deliverables and deliverable submissions, as well as unplanned project-level communications pertaining to general project announcements and updates</w:t>
            </w:r>
          </w:p>
          <w:p w14:paraId="7C8B75D9" w14:textId="07944EE0"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Coordinate with appropriate stakeholders to draft and review project-level communication requests originating from Track teams, Managerial Governance and/or Executive Steering Committee, and validate for accuracy, quality, and consistency within established Continuing Medicaid Eligibility Modernization standards</w:t>
            </w:r>
          </w:p>
          <w:p w14:paraId="0D350E5B"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Work with the appropriate governing body, Managerial Governance and/or Executive Steering Committee, to obtain approval for enterprise-level and project-level communications</w:t>
            </w:r>
          </w:p>
          <w:p w14:paraId="47746ABC"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rFonts w:cs="Arial"/>
                <w:szCs w:val="24"/>
              </w:rPr>
            </w:pPr>
            <w:r>
              <w:t>Disseminate enterprise-level and project-level communications to appropriate stakeholder groups</w:t>
            </w:r>
          </w:p>
        </w:tc>
      </w:tr>
      <w:tr w:rsidR="00716394" w:rsidRPr="00A21682" w14:paraId="5003257D" w14:textId="77777777" w:rsidTr="00FF05BD">
        <w:trPr>
          <w:cantSplit/>
        </w:trPr>
        <w:tc>
          <w:tcPr>
            <w:cnfStyle w:val="001000000000" w:firstRow="0" w:lastRow="0" w:firstColumn="1" w:lastColumn="0" w:oddVBand="0" w:evenVBand="0" w:oddHBand="0" w:evenHBand="0" w:firstRowFirstColumn="0" w:firstRowLastColumn="0" w:lastRowFirstColumn="0" w:lastRowLastColumn="0"/>
            <w:tcW w:w="2880" w:type="dxa"/>
            <w:tcBorders>
              <w:left w:val="single" w:sz="4" w:space="0" w:color="auto"/>
              <w:bottom w:val="single" w:sz="4" w:space="0" w:color="auto"/>
            </w:tcBorders>
            <w:shd w:val="clear" w:color="auto" w:fill="FFFFFF" w:themeFill="background1"/>
          </w:tcPr>
          <w:p w14:paraId="34FBFC11"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Stakeholder Groups</w:t>
            </w:r>
          </w:p>
        </w:tc>
        <w:tc>
          <w:tcPr>
            <w:tcW w:w="6480" w:type="dxa"/>
            <w:tcBorders>
              <w:bottom w:val="single" w:sz="4" w:space="0" w:color="auto"/>
            </w:tcBorders>
            <w:shd w:val="clear" w:color="auto" w:fill="auto"/>
          </w:tcPr>
          <w:p w14:paraId="4201DD69"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Coordinate with PMO to draft planned and unplanned project-level communications pertaining to project updates and general project announcements, as needed</w:t>
            </w:r>
          </w:p>
          <w:p w14:paraId="5C97D8B0" w14:textId="7EA7F182"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Work with PMO and appropriate stakeholders to review project-level communication requests and validate for accuracy, quality, and consistency within established Continuing Medicaid Eligibility Modernization standards</w:t>
            </w:r>
          </w:p>
          <w:p w14:paraId="4860C615"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Work with PMO and the appropriate governing body, Managerial Governance and/or Executive Steering Committee, to obtain approval for enterprise-level and project-level communications</w:t>
            </w:r>
          </w:p>
          <w:p w14:paraId="439BEDEB"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Disseminate enterprise-level and project-level communications to appropriate stakeholder groups</w:t>
            </w:r>
          </w:p>
        </w:tc>
      </w:tr>
    </w:tbl>
    <w:p w14:paraId="7443AD59" w14:textId="3614CA25" w:rsidR="001A292A" w:rsidRPr="00A21682" w:rsidRDefault="001A292A" w:rsidP="001A292A">
      <w:pPr>
        <w:pStyle w:val="Caption"/>
        <w:rPr>
          <w:noProof w:val="0"/>
        </w:rPr>
      </w:pPr>
      <w:bookmarkStart w:id="4386" w:name="_Toc19287522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5</w:t>
      </w:r>
      <w:r>
        <w:rPr>
          <w:noProof w:val="0"/>
        </w:rPr>
        <w:fldChar w:fldCharType="end"/>
      </w:r>
      <w:r>
        <w:rPr>
          <w:noProof w:val="0"/>
        </w:rPr>
        <w:t>: Communications Management Plan Roles and Responsibilities</w:t>
      </w:r>
      <w:bookmarkEnd w:id="4386"/>
    </w:p>
    <w:p w14:paraId="67708029" w14:textId="77777777" w:rsidR="00E001A2" w:rsidRPr="00A21682" w:rsidRDefault="00E001A2" w:rsidP="00E001A2">
      <w:pPr>
        <w:rPr>
          <w:rFonts w:ascii="Verdana" w:hAnsi="Verdana"/>
          <w:sz w:val="18"/>
        </w:rPr>
      </w:pPr>
      <w:r>
        <w:rPr>
          <w:rFonts w:ascii="Verdana" w:hAnsi="Verdana"/>
          <w:sz w:val="18"/>
        </w:rPr>
        <w:br w:type="page"/>
      </w:r>
    </w:p>
    <w:p w14:paraId="09107E8A" w14:textId="77777777" w:rsidR="00E001A2" w:rsidRPr="00A21682" w:rsidRDefault="00E001A2" w:rsidP="00B97366">
      <w:pPr>
        <w:pStyle w:val="NormalNEW"/>
        <w:rPr>
          <w:b/>
          <w:bCs/>
          <w:lang w:val="en-US"/>
        </w:rPr>
      </w:pPr>
      <w:bookmarkStart w:id="4387" w:name="_Toc154132988"/>
      <w:r>
        <w:rPr>
          <w:b/>
          <w:bCs/>
          <w:lang w:val="en-US"/>
        </w:rPr>
        <w:lastRenderedPageBreak/>
        <w:t>Appendix C-4 Deliverable Management Plan Roles and Responsibilities</w:t>
      </w:r>
      <w:bookmarkEnd w:id="4387"/>
    </w:p>
    <w:p w14:paraId="3A60BDCA" w14:textId="6F4D175C" w:rsidR="00E001A2" w:rsidRPr="00A21682" w:rsidRDefault="00E001A2" w:rsidP="00E001A2">
      <w:pPr>
        <w:pStyle w:val="NormalNEW"/>
        <w:rPr>
          <w:lang w:val="en-US"/>
        </w:rPr>
      </w:pPr>
      <w:r>
        <w:rPr>
          <w:lang w:val="en-US"/>
        </w:rPr>
        <w:t>The following table outlines the roles and responsibilities associated with the Section 5 Deliverable Management Plan:</w:t>
      </w:r>
    </w:p>
    <w:tbl>
      <w:tblPr>
        <w:tblStyle w:val="TableGrid-None111"/>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160"/>
        <w:gridCol w:w="7200"/>
      </w:tblGrid>
      <w:tr w:rsidR="00A37DE9" w:rsidRPr="00A21682" w14:paraId="4C74AF17" w14:textId="77777777" w:rsidTr="00816886">
        <w:trPr>
          <w:cnfStyle w:val="100000000000" w:firstRow="1" w:lastRow="0" w:firstColumn="0" w:lastColumn="0" w:oddVBand="0" w:evenVBand="0" w:oddHBand="0" w:evenHBand="0" w:firstRowFirstColumn="0" w:firstRowLastColumn="0" w:lastRowFirstColumn="0" w:lastRowLastColumn="0"/>
          <w:trHeight w:val="440"/>
        </w:trPr>
        <w:tc>
          <w:tcPr>
            <w:tcW w:w="2160" w:type="dxa"/>
            <w:tcBorders>
              <w:right w:val="single" w:sz="2" w:space="0" w:color="FFFFFF" w:themeColor="background1"/>
            </w:tcBorders>
          </w:tcPr>
          <w:p w14:paraId="2C5DBFAE" w14:textId="77777777" w:rsidR="00E001A2" w:rsidRPr="00A21682" w:rsidRDefault="00E001A2" w:rsidP="00047C4E">
            <w:pPr>
              <w:pStyle w:val="TABLETEXT1"/>
              <w:rPr>
                <w:rFonts w:cs="Arial Narrow"/>
                <w:szCs w:val="18"/>
                <w:lang w:val="en-US"/>
              </w:rPr>
            </w:pPr>
            <w:r>
              <w:rPr>
                <w:lang w:val="en-US"/>
              </w:rPr>
              <w:t>Stakeholder Group</w:t>
            </w:r>
          </w:p>
        </w:tc>
        <w:tc>
          <w:tcPr>
            <w:tcW w:w="7200" w:type="dxa"/>
            <w:tcBorders>
              <w:left w:val="single" w:sz="2" w:space="0" w:color="FFFFFF" w:themeColor="background1"/>
            </w:tcBorders>
          </w:tcPr>
          <w:p w14:paraId="238F5320" w14:textId="77777777" w:rsidR="00E001A2" w:rsidRPr="00A21682" w:rsidRDefault="00E001A2" w:rsidP="00047C4E">
            <w:pPr>
              <w:pStyle w:val="TABLETEXT1"/>
              <w:rPr>
                <w:rFonts w:cs="Arial Narrow"/>
                <w:szCs w:val="18"/>
                <w:lang w:val="en-US"/>
              </w:rPr>
            </w:pPr>
            <w:r>
              <w:rPr>
                <w:lang w:val="en-US"/>
              </w:rPr>
              <w:t>Responsibilities</w:t>
            </w:r>
          </w:p>
        </w:tc>
      </w:tr>
      <w:tr w:rsidR="00A37DE9" w:rsidRPr="00A21682" w14:paraId="4022E284" w14:textId="77777777" w:rsidTr="00047C4E">
        <w:tc>
          <w:tcPr>
            <w:tcW w:w="2160" w:type="dxa"/>
            <w:shd w:val="clear" w:color="auto" w:fill="FFFFFF" w:themeFill="background1"/>
          </w:tcPr>
          <w:p w14:paraId="336DF599" w14:textId="77777777" w:rsidR="00E001A2" w:rsidRPr="00A21682" w:rsidRDefault="00E001A2" w:rsidP="00047C4E">
            <w:pPr>
              <w:pStyle w:val="TABLETEXT1"/>
              <w:rPr>
                <w:rFonts w:cs="Arial"/>
                <w:szCs w:val="28"/>
                <w:lang w:val="en-US"/>
              </w:rPr>
            </w:pPr>
            <w:r>
              <w:rPr>
                <w:rFonts w:cs="Arial"/>
                <w:szCs w:val="28"/>
                <w:lang w:val="en-US"/>
              </w:rPr>
              <w:t xml:space="preserve">PMO </w:t>
            </w:r>
          </w:p>
        </w:tc>
        <w:tc>
          <w:tcPr>
            <w:tcW w:w="7200" w:type="dxa"/>
          </w:tcPr>
          <w:p w14:paraId="1C73CC2C" w14:textId="77777777" w:rsidR="00E001A2" w:rsidRPr="00635C9B" w:rsidRDefault="00E001A2" w:rsidP="00FF05BD">
            <w:pPr>
              <w:pStyle w:val="TABLEBULLETNEW"/>
            </w:pPr>
            <w:r>
              <w:t>Assist in preparation, review, and acceptance of Deliverable Expectation Documents (DEDs)</w:t>
            </w:r>
          </w:p>
          <w:p w14:paraId="216C6271" w14:textId="77777777" w:rsidR="00E001A2" w:rsidRPr="00635C9B" w:rsidRDefault="00E001A2" w:rsidP="00FF05BD">
            <w:pPr>
              <w:pStyle w:val="TABLEBULLETNEW"/>
            </w:pPr>
            <w:r>
              <w:t>Review and provide initial feedback on draft deliverables</w:t>
            </w:r>
          </w:p>
          <w:p w14:paraId="56095434" w14:textId="77777777" w:rsidR="00E001A2" w:rsidRPr="00635C9B" w:rsidRDefault="00E001A2" w:rsidP="00FF05BD">
            <w:pPr>
              <w:pStyle w:val="TABLEBULLETNEW"/>
            </w:pPr>
            <w:r>
              <w:t>Acknowledge receipt of deliverable packages and post to the project SharePoint site</w:t>
            </w:r>
          </w:p>
          <w:p w14:paraId="3EF02FD9" w14:textId="77777777" w:rsidR="00E001A2" w:rsidRPr="00635C9B" w:rsidRDefault="00E001A2" w:rsidP="00FF05BD">
            <w:pPr>
              <w:pStyle w:val="TABLEBULLETNEW"/>
            </w:pPr>
            <w:r>
              <w:t>Coordinate, manage, and monitor the review of deliverables and act as a central body for consolidation of comments by DOH OHIP staff</w:t>
            </w:r>
          </w:p>
          <w:p w14:paraId="1F687352" w14:textId="77777777" w:rsidR="00E001A2" w:rsidRPr="00635C9B" w:rsidRDefault="00E001A2" w:rsidP="00FF05BD">
            <w:pPr>
              <w:pStyle w:val="TABLEBULLETNEW"/>
            </w:pPr>
            <w:r>
              <w:t>Identify a review panel for each deliverable and coordinate the review process</w:t>
            </w:r>
          </w:p>
          <w:p w14:paraId="051CE251" w14:textId="77777777" w:rsidR="00E001A2" w:rsidRPr="00635C9B" w:rsidRDefault="00E001A2" w:rsidP="00FF05BD">
            <w:pPr>
              <w:pStyle w:val="TABLEBULLETNEW"/>
            </w:pPr>
            <w:r>
              <w:t>Coordinate and attend walkthroughs, if necessary</w:t>
            </w:r>
          </w:p>
        </w:tc>
      </w:tr>
      <w:tr w:rsidR="00A37DE9" w:rsidRPr="00A21682" w14:paraId="3F6B2126" w14:textId="77777777" w:rsidTr="00047C4E">
        <w:tc>
          <w:tcPr>
            <w:tcW w:w="2160" w:type="dxa"/>
            <w:shd w:val="clear" w:color="auto" w:fill="FFFFFF" w:themeFill="background1"/>
          </w:tcPr>
          <w:p w14:paraId="1558B86C" w14:textId="77777777" w:rsidR="00E001A2" w:rsidRPr="00A21682" w:rsidRDefault="00E001A2" w:rsidP="00047C4E">
            <w:pPr>
              <w:pStyle w:val="TABLETEXT1"/>
              <w:rPr>
                <w:rFonts w:cs="Arial"/>
                <w:szCs w:val="28"/>
                <w:lang w:val="en-US"/>
              </w:rPr>
            </w:pPr>
            <w:r>
              <w:rPr>
                <w:rFonts w:cs="Arial"/>
                <w:szCs w:val="28"/>
                <w:lang w:val="en-US"/>
              </w:rPr>
              <w:t>███████</w:t>
            </w:r>
          </w:p>
        </w:tc>
        <w:tc>
          <w:tcPr>
            <w:tcW w:w="7200" w:type="dxa"/>
          </w:tcPr>
          <w:p w14:paraId="07A7D23E" w14:textId="77777777" w:rsidR="00E001A2" w:rsidRPr="00635C9B" w:rsidRDefault="00E001A2" w:rsidP="00FF05BD">
            <w:pPr>
              <w:pStyle w:val="TABLEBULLETNEW"/>
            </w:pPr>
            <w:r>
              <w:t>Draft, submit and update DEDs as needed</w:t>
            </w:r>
          </w:p>
          <w:p w14:paraId="4C39412E" w14:textId="77777777" w:rsidR="00E001A2" w:rsidRPr="00635C9B" w:rsidRDefault="00E001A2" w:rsidP="00FF05BD">
            <w:pPr>
              <w:pStyle w:val="TABLEBULLETNEW"/>
            </w:pPr>
            <w:r>
              <w:t>Create draft deliverables</w:t>
            </w:r>
          </w:p>
          <w:p w14:paraId="4B866571" w14:textId="77777777" w:rsidR="00E001A2" w:rsidRPr="00635C9B" w:rsidRDefault="00E001A2" w:rsidP="00FF05BD">
            <w:pPr>
              <w:pStyle w:val="TABLEBULLETNEW"/>
            </w:pPr>
            <w:r>
              <w:t>Update and re-submit deliverables based on DOH OHIP feedback</w:t>
            </w:r>
          </w:p>
          <w:p w14:paraId="7DEE70D2" w14:textId="77777777" w:rsidR="00E001A2" w:rsidRPr="00635C9B" w:rsidRDefault="00E001A2" w:rsidP="00FF05BD">
            <w:pPr>
              <w:pStyle w:val="TABLEBULLETNEW"/>
            </w:pPr>
            <w:r>
              <w:t>Conduct walkthrough of deliverables with DOH OHIP, as needed</w:t>
            </w:r>
          </w:p>
        </w:tc>
      </w:tr>
      <w:tr w:rsidR="00A37DE9" w:rsidRPr="00A21682" w14:paraId="186C3432" w14:textId="77777777" w:rsidTr="00047C4E">
        <w:tc>
          <w:tcPr>
            <w:tcW w:w="2160" w:type="dxa"/>
            <w:shd w:val="clear" w:color="auto" w:fill="FFFFFF" w:themeFill="background1"/>
          </w:tcPr>
          <w:p w14:paraId="0BE38833" w14:textId="77777777" w:rsidR="00E001A2" w:rsidRPr="00A21682" w:rsidRDefault="00E001A2" w:rsidP="00047C4E">
            <w:pPr>
              <w:pStyle w:val="TABLETEXT1"/>
              <w:rPr>
                <w:rFonts w:cs="Arial"/>
                <w:szCs w:val="28"/>
                <w:lang w:val="en-US"/>
              </w:rPr>
            </w:pPr>
            <w:r>
              <w:rPr>
                <w:rFonts w:cs="Arial"/>
                <w:szCs w:val="28"/>
                <w:lang w:val="en-US"/>
              </w:rPr>
              <w:t>Deliverable Stakeholders</w:t>
            </w:r>
          </w:p>
        </w:tc>
        <w:tc>
          <w:tcPr>
            <w:tcW w:w="7200" w:type="dxa"/>
          </w:tcPr>
          <w:p w14:paraId="32ECB464" w14:textId="77777777" w:rsidR="00E001A2" w:rsidRPr="00635C9B" w:rsidRDefault="00E001A2" w:rsidP="00FF05BD">
            <w:pPr>
              <w:pStyle w:val="TABLEBULLETNEW"/>
            </w:pPr>
            <w:r>
              <w:t xml:space="preserve">Provide feedback on DEDs and deliverables </w:t>
            </w:r>
          </w:p>
          <w:p w14:paraId="3DD12C15" w14:textId="77777777" w:rsidR="00E001A2" w:rsidRPr="00635C9B" w:rsidRDefault="00E001A2" w:rsidP="00FF05BD">
            <w:pPr>
              <w:pStyle w:val="TABLEBULLETNEW"/>
            </w:pPr>
            <w:r>
              <w:t xml:space="preserve">Conduct walkthrough of DED and deliverables, as needed </w:t>
            </w:r>
          </w:p>
          <w:p w14:paraId="1C94ED9C" w14:textId="77777777" w:rsidR="00E001A2" w:rsidRPr="00635C9B" w:rsidRDefault="00E001A2" w:rsidP="00FF05BD">
            <w:pPr>
              <w:pStyle w:val="TABLEBULLETNEW"/>
            </w:pPr>
            <w:r>
              <w:t>Review submitted DEDs and deliverables for approval or additional comments</w:t>
            </w:r>
          </w:p>
        </w:tc>
      </w:tr>
    </w:tbl>
    <w:p w14:paraId="0A1B1053" w14:textId="3340917B" w:rsidR="00E001A2" w:rsidRPr="00A21682" w:rsidRDefault="0053698A" w:rsidP="00CA1794">
      <w:pPr>
        <w:pStyle w:val="Caption"/>
        <w:rPr>
          <w:noProof w:val="0"/>
        </w:rPr>
      </w:pPr>
      <w:bookmarkStart w:id="4388" w:name="_Toc192875229"/>
      <w:bookmarkStart w:id="4389" w:name="_Hlk17816462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6</w:t>
      </w:r>
      <w:r>
        <w:rPr>
          <w:noProof w:val="0"/>
        </w:rPr>
        <w:fldChar w:fldCharType="end"/>
      </w:r>
      <w:r>
        <w:rPr>
          <w:noProof w:val="0"/>
        </w:rPr>
        <w:t>: Deliverable Management Plan Roles and Responsibilities</w:t>
      </w:r>
      <w:bookmarkEnd w:id="4388"/>
    </w:p>
    <w:bookmarkEnd w:id="4389"/>
    <w:p w14:paraId="4B4DEF6F" w14:textId="77777777" w:rsidR="00E001A2" w:rsidRPr="00A21682" w:rsidRDefault="00E001A2" w:rsidP="00E001A2">
      <w:pPr>
        <w:rPr>
          <w:rFonts w:ascii="Verdana" w:hAnsi="Verdana"/>
          <w:sz w:val="18"/>
        </w:rPr>
      </w:pPr>
      <w:r>
        <w:rPr>
          <w:rFonts w:ascii="Verdana" w:hAnsi="Verdana"/>
          <w:sz w:val="18"/>
        </w:rPr>
        <w:br w:type="page"/>
      </w:r>
    </w:p>
    <w:p w14:paraId="4D9E8968" w14:textId="77777777" w:rsidR="00E001A2" w:rsidRPr="00A21682" w:rsidRDefault="00E001A2" w:rsidP="00B97366">
      <w:pPr>
        <w:pStyle w:val="NormalNEW"/>
        <w:rPr>
          <w:b/>
          <w:bCs/>
          <w:lang w:val="en-US"/>
        </w:rPr>
      </w:pPr>
      <w:bookmarkStart w:id="4390" w:name="_Toc154132989"/>
      <w:r>
        <w:rPr>
          <w:b/>
          <w:bCs/>
          <w:lang w:val="en-US"/>
        </w:rPr>
        <w:lastRenderedPageBreak/>
        <w:t>Appendix C-5 Budget Management Plan Roles and Responsibilities</w:t>
      </w:r>
      <w:bookmarkEnd w:id="4390"/>
    </w:p>
    <w:p w14:paraId="347935A9" w14:textId="619EB1AB" w:rsidR="0008482E" w:rsidRPr="00A21682" w:rsidRDefault="0008482E" w:rsidP="0008482E">
      <w:pPr>
        <w:pStyle w:val="NormalNEW"/>
        <w:rPr>
          <w:lang w:val="en-US"/>
        </w:rPr>
      </w:pPr>
      <w:r>
        <w:rPr>
          <w:lang w:val="en-US"/>
        </w:rPr>
        <w:t>The following table outlines the roles and responsibilities associated with the Section 6 Budget Management Plan:</w:t>
      </w:r>
    </w:p>
    <w:tbl>
      <w:tblPr>
        <w:tblStyle w:val="GridTable5Dark-Accent1331"/>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3473"/>
        <w:gridCol w:w="5887"/>
      </w:tblGrid>
      <w:tr w:rsidR="00716394" w:rsidRPr="00A21682" w14:paraId="4E7D9A51" w14:textId="77777777" w:rsidTr="007A5FD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auto"/>
            </w:tcBorders>
            <w:shd w:val="clear" w:color="auto" w:fill="000000" w:themeFill="text1"/>
          </w:tcPr>
          <w:p w14:paraId="616EDF79" w14:textId="77777777" w:rsidR="00E001A2" w:rsidRPr="00A21682" w:rsidRDefault="00E001A2" w:rsidP="00047C4E">
            <w:pPr>
              <w:pStyle w:val="TABLEHEADINGNEW"/>
              <w:rPr>
                <w:b/>
                <w:bCs/>
              </w:rPr>
            </w:pPr>
            <w:bookmarkStart w:id="4391" w:name="_Hlk154129554"/>
            <w:r>
              <w:rPr>
                <w:b/>
                <w:bCs/>
              </w:rPr>
              <w:t>Stakeholder Group</w:t>
            </w:r>
          </w:p>
        </w:tc>
        <w:tc>
          <w:tcPr>
            <w:tcW w:w="0" w:type="dxa"/>
            <w:tcBorders>
              <w:bottom w:val="single" w:sz="4" w:space="0" w:color="auto"/>
            </w:tcBorders>
            <w:shd w:val="clear" w:color="auto" w:fill="000000" w:themeFill="text1"/>
          </w:tcPr>
          <w:p w14:paraId="75801A4B"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0DB7DA19" w14:textId="77777777" w:rsidTr="007A5FD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shd w:val="clear" w:color="auto" w:fill="FFFFFF" w:themeFill="background1"/>
          </w:tcPr>
          <w:p w14:paraId="439604FE" w14:textId="77777777" w:rsidR="00E001A2" w:rsidRPr="00A21682" w:rsidRDefault="00E001A2" w:rsidP="00047C4E">
            <w:pPr>
              <w:pStyle w:val="TABLETEXT1"/>
              <w:rPr>
                <w:b w:val="0"/>
                <w:bCs w:val="0"/>
                <w:color w:val="000000" w:themeColor="text1"/>
                <w:szCs w:val="28"/>
                <w:lang w:val="en-US"/>
              </w:rPr>
            </w:pPr>
            <w:r>
              <w:rPr>
                <w:rFonts w:cs="Arial"/>
                <w:b w:val="0"/>
                <w:bCs w:val="0"/>
                <w:color w:val="000000" w:themeColor="text1"/>
                <w:szCs w:val="28"/>
                <w:lang w:val="en-US"/>
              </w:rPr>
              <w:t xml:space="preserve">███████ Leadership </w:t>
            </w:r>
          </w:p>
        </w:tc>
        <w:tc>
          <w:tcPr>
            <w:tcW w:w="0" w:type="dxa"/>
            <w:shd w:val="clear" w:color="auto" w:fill="auto"/>
          </w:tcPr>
          <w:p w14:paraId="6D4A6FD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 xml:space="preserve">Lead efforts to execute MSOW(s) and ISOW(s) </w:t>
            </w:r>
          </w:p>
          <w:p w14:paraId="5BB2918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Lead efforts to estimate that the initial budget is sufficient to deliver the scope outlined in the MSOW</w:t>
            </w:r>
          </w:p>
          <w:p w14:paraId="6C86E2C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rPr>
                <w:lang w:eastAsia="ko-KR"/>
              </w:rPr>
              <w:t xml:space="preserve">Provide budget updates via the Master ISOW Integrated Project Schedule </w:t>
            </w:r>
          </w:p>
        </w:tc>
      </w:tr>
      <w:bookmarkEnd w:id="4391"/>
      <w:tr w:rsidR="00716394" w:rsidRPr="00A21682" w14:paraId="5B99730E" w14:textId="77777777" w:rsidTr="007A5FD7">
        <w:trPr>
          <w:cantSplit/>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shd w:val="clear" w:color="auto" w:fill="FFFFFF" w:themeFill="background1"/>
          </w:tcPr>
          <w:p w14:paraId="61369BDD"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 PMO</w:t>
            </w:r>
          </w:p>
        </w:tc>
        <w:tc>
          <w:tcPr>
            <w:tcW w:w="0" w:type="dxa"/>
            <w:shd w:val="clear" w:color="auto" w:fill="auto"/>
          </w:tcPr>
          <w:p w14:paraId="070662A0"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Gather input from stakeholders on impacts that requests will have on design, technology, and business requirements</w:t>
            </w:r>
          </w:p>
          <w:p w14:paraId="1B0258D6"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Review, QA/QC, and submit deliverables to DOH OHIP</w:t>
            </w:r>
          </w:p>
          <w:p w14:paraId="4416D2DF"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Review and submit invoices to DOH OHIP</w:t>
            </w:r>
          </w:p>
          <w:p w14:paraId="3AA499A4"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xml:space="preserve">Responsible for managing the overall budget including budget revisions and subsequent impact </w:t>
            </w:r>
          </w:p>
          <w:p w14:paraId="57A7003E"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Provide forum for strategic discussions with the executive leadership to review business priorities/outcomes, set overall direction, and verify that resources are aligned accordingly</w:t>
            </w:r>
          </w:p>
          <w:p w14:paraId="3CC1384B"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Monitoring resource allocations to guard against potential overruns</w:t>
            </w:r>
          </w:p>
        </w:tc>
      </w:tr>
      <w:tr w:rsidR="00716394" w:rsidRPr="00A21682" w14:paraId="6C1BCE69" w14:textId="77777777" w:rsidTr="007A5FD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tcBorders>
            <w:shd w:val="clear" w:color="auto" w:fill="FFFFFF" w:themeFill="background1"/>
          </w:tcPr>
          <w:p w14:paraId="28DFC9D0"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 xml:space="preserve">DOH OHIP (3.1 Budget Allocation Process) </w:t>
            </w:r>
          </w:p>
          <w:p w14:paraId="2C4DEF5B"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Includes DOS PMO, MECM QA, DOS Technology, DOS Leadership, DOS Vendor Oversight, Business Operations</w:t>
            </w:r>
          </w:p>
        </w:tc>
        <w:tc>
          <w:tcPr>
            <w:tcW w:w="0" w:type="dxa"/>
            <w:shd w:val="clear" w:color="auto" w:fill="auto"/>
          </w:tcPr>
          <w:p w14:paraId="44E431C7"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Assess the impact to project budget of change requests and decide whether to approve the request</w:t>
            </w:r>
          </w:p>
          <w:p w14:paraId="01567038"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 xml:space="preserve">Review draft ISOW’s for alignment with DOH OHIP priorities and applicable expectations and regulations </w:t>
            </w:r>
          </w:p>
        </w:tc>
      </w:tr>
      <w:tr w:rsidR="00716394" w:rsidRPr="00A21682" w14:paraId="7F52C49A" w14:textId="77777777" w:rsidTr="007A5FD7">
        <w:trPr>
          <w:cantSplit/>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bottom w:val="single" w:sz="4" w:space="0" w:color="auto"/>
            </w:tcBorders>
            <w:shd w:val="clear" w:color="auto" w:fill="FFFFFF" w:themeFill="background1"/>
          </w:tcPr>
          <w:p w14:paraId="01CA8996"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DOH OHIP (3.2 Invoicing Process)</w:t>
            </w:r>
          </w:p>
          <w:p w14:paraId="520CECAC"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 xml:space="preserve">Includes MECM QA, DOS Leadership, DPS Vendor Oversight, DOS Finance Office, Business Operations </w:t>
            </w:r>
          </w:p>
        </w:tc>
        <w:tc>
          <w:tcPr>
            <w:tcW w:w="0" w:type="dxa"/>
            <w:shd w:val="clear" w:color="auto" w:fill="auto"/>
          </w:tcPr>
          <w:p w14:paraId="54E070A1"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xml:space="preserve">Review and approve project budget and invoices </w:t>
            </w:r>
          </w:p>
          <w:p w14:paraId="414DC1C8"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Monitor and manage changes to budget for compliance with contract</w:t>
            </w:r>
          </w:p>
          <w:p w14:paraId="5F0FE1B5" w14:textId="6F18044C"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rPr>
                <w:lang w:eastAsia="ko-KR"/>
              </w:rPr>
            </w:pPr>
            <w:r>
              <w:rPr>
                <w:lang w:eastAsia="ko-KR"/>
              </w:rPr>
              <w:t xml:space="preserve">Review Project Purchase Order to confirm that the project is fully funded. </w:t>
            </w:r>
          </w:p>
        </w:tc>
      </w:tr>
      <w:tr w:rsidR="00716394" w:rsidRPr="00A21682" w14:paraId="1455CF82" w14:textId="77777777" w:rsidTr="00CA1794">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bottom w:val="single" w:sz="4" w:space="0" w:color="auto"/>
            </w:tcBorders>
            <w:shd w:val="clear" w:color="auto" w:fill="FFFFFF" w:themeFill="background1"/>
          </w:tcPr>
          <w:p w14:paraId="254D3EB5"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MECM Quality Assurance (QA)</w:t>
            </w:r>
          </w:p>
        </w:tc>
        <w:tc>
          <w:tcPr>
            <w:tcW w:w="0" w:type="dxa"/>
            <w:shd w:val="clear" w:color="auto" w:fill="auto"/>
          </w:tcPr>
          <w:p w14:paraId="1F6B7BD9" w14:textId="63C77533"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 xml:space="preserve">Implement controls to help promote adherence to budget management policies and leading practices </w:t>
            </w:r>
          </w:p>
          <w:p w14:paraId="797B025B"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Complete QA activities of budget and invoice requests on behalf of DOH OHIP</w:t>
            </w:r>
          </w:p>
          <w:p w14:paraId="7F1644A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rPr>
                <w:lang w:eastAsia="ko-KR"/>
              </w:rPr>
              <w:t>Review deliverables prior to finalization</w:t>
            </w:r>
          </w:p>
        </w:tc>
      </w:tr>
    </w:tbl>
    <w:p w14:paraId="67AFBABB" w14:textId="0DFFAE76" w:rsidR="0053698A" w:rsidRPr="00A21682" w:rsidRDefault="0053698A">
      <w:pPr>
        <w:pStyle w:val="Caption"/>
        <w:rPr>
          <w:noProof w:val="0"/>
        </w:rPr>
      </w:pPr>
      <w:bookmarkStart w:id="4392" w:name="_Toc19287523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7</w:t>
      </w:r>
      <w:r>
        <w:rPr>
          <w:noProof w:val="0"/>
        </w:rPr>
        <w:fldChar w:fldCharType="end"/>
      </w:r>
      <w:r>
        <w:rPr>
          <w:noProof w:val="0"/>
        </w:rPr>
        <w:t>: Budget Management Plan Roles and Responsibilities</w:t>
      </w:r>
      <w:bookmarkEnd w:id="4392"/>
    </w:p>
    <w:p w14:paraId="0134ED2B" w14:textId="77777777" w:rsidR="00E001A2" w:rsidRPr="00A21682" w:rsidRDefault="00E001A2" w:rsidP="00E001A2">
      <w:pPr>
        <w:rPr>
          <w:rFonts w:ascii="Verdana" w:hAnsi="Verdana"/>
          <w:sz w:val="18"/>
        </w:rPr>
      </w:pPr>
      <w:r>
        <w:rPr>
          <w:rFonts w:ascii="Verdana" w:hAnsi="Verdana"/>
          <w:sz w:val="18"/>
        </w:rPr>
        <w:br w:type="page"/>
      </w:r>
    </w:p>
    <w:p w14:paraId="1EFEEE4B" w14:textId="77777777" w:rsidR="00E001A2" w:rsidRPr="00A21682" w:rsidRDefault="00E001A2" w:rsidP="00B97366">
      <w:pPr>
        <w:pStyle w:val="NormalNEW"/>
        <w:rPr>
          <w:b/>
          <w:bCs/>
          <w:lang w:val="en-US"/>
        </w:rPr>
      </w:pPr>
      <w:bookmarkStart w:id="4393" w:name="_Toc154132990"/>
      <w:r>
        <w:rPr>
          <w:b/>
          <w:bCs/>
          <w:lang w:val="en-US"/>
        </w:rPr>
        <w:lastRenderedPageBreak/>
        <w:t>Appendix C-6 Quality Management Plan Roles and Responsibilities</w:t>
      </w:r>
      <w:bookmarkEnd w:id="4393"/>
    </w:p>
    <w:p w14:paraId="34601886" w14:textId="34C70394" w:rsidR="0008482E" w:rsidRPr="00A21682" w:rsidRDefault="0008482E" w:rsidP="0008482E">
      <w:pPr>
        <w:pStyle w:val="NormalNEW"/>
        <w:rPr>
          <w:lang w:val="en-US"/>
        </w:rPr>
      </w:pPr>
      <w:r>
        <w:rPr>
          <w:lang w:val="en-US"/>
        </w:rPr>
        <w:t>The following table outlines the roles and responsibilities associated with the Section 7 Quality Management Plan:</w:t>
      </w:r>
    </w:p>
    <w:tbl>
      <w:tblPr>
        <w:tblStyle w:val="GridTable5Dark-Accent1331"/>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323"/>
        <w:gridCol w:w="7037"/>
      </w:tblGrid>
      <w:tr w:rsidR="002F4E2D" w:rsidRPr="00A21682" w14:paraId="74AD8407" w14:textId="77777777" w:rsidTr="00E9459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3" w:type="dxa"/>
            <w:tcBorders>
              <w:bottom w:val="single" w:sz="2" w:space="0" w:color="auto"/>
              <w:right w:val="single" w:sz="2" w:space="0" w:color="FFFFFF" w:themeColor="background1"/>
            </w:tcBorders>
            <w:shd w:val="clear" w:color="auto" w:fill="000000" w:themeFill="text1"/>
          </w:tcPr>
          <w:p w14:paraId="3A4A3C39" w14:textId="77777777" w:rsidR="00E001A2" w:rsidRPr="00A21682" w:rsidRDefault="00E001A2" w:rsidP="00047C4E">
            <w:pPr>
              <w:pStyle w:val="TABLEHEADINGNEW"/>
              <w:rPr>
                <w:b/>
                <w:bCs/>
              </w:rPr>
            </w:pPr>
            <w:r>
              <w:rPr>
                <w:b/>
                <w:bCs/>
              </w:rPr>
              <w:t>Stakeholder Group</w:t>
            </w:r>
          </w:p>
        </w:tc>
        <w:tc>
          <w:tcPr>
            <w:tcW w:w="7037" w:type="dxa"/>
            <w:tcBorders>
              <w:left w:val="single" w:sz="2" w:space="0" w:color="FFFFFF" w:themeColor="background1"/>
              <w:bottom w:val="single" w:sz="2" w:space="0" w:color="auto"/>
            </w:tcBorders>
            <w:shd w:val="clear" w:color="auto" w:fill="000000" w:themeFill="text1"/>
          </w:tcPr>
          <w:p w14:paraId="4CF52C33"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5CF6959D" w14:textId="77777777" w:rsidTr="00E94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3FAF0923" w14:textId="77777777" w:rsidR="00E001A2" w:rsidRPr="00A21682" w:rsidRDefault="00E001A2" w:rsidP="00047C4E">
            <w:pPr>
              <w:pStyle w:val="TABLETEXT1"/>
              <w:rPr>
                <w:rFonts w:cs="Arial"/>
                <w:b w:val="0"/>
                <w:bCs w:val="0"/>
                <w:color w:val="000000" w:themeColor="text1"/>
                <w:szCs w:val="24"/>
                <w:lang w:val="en-US"/>
              </w:rPr>
            </w:pPr>
            <w:r>
              <w:rPr>
                <w:b w:val="0"/>
                <w:bCs w:val="0"/>
                <w:color w:val="000000" w:themeColor="text1"/>
                <w:lang w:val="en-US"/>
              </w:rPr>
              <w:t>Project Management</w:t>
            </w:r>
          </w:p>
        </w:tc>
        <w:tc>
          <w:tcPr>
            <w:tcW w:w="7037" w:type="dxa"/>
            <w:shd w:val="clear" w:color="auto" w:fill="auto"/>
          </w:tcPr>
          <w:p w14:paraId="38FE62A6"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Project Management includes ███████ PMO and DOS PMO teams</w:t>
            </w:r>
          </w:p>
          <w:p w14:paraId="121B5977"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Review products and processes for quality and provide feedback, when necessary</w:t>
            </w:r>
          </w:p>
          <w:p w14:paraId="3E43F7E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Assist other stakeholders plan and schedule quality assurance reviews</w:t>
            </w:r>
          </w:p>
          <w:p w14:paraId="508B4D29"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Prepare for, and participate in, quality reviews, project reviews, and specialist support visits (where applicable)</w:t>
            </w:r>
          </w:p>
          <w:p w14:paraId="0B1C06B9"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Support in resolving quality issues by implementing action items from quality reviews, project reviews, and specialist support visits</w:t>
            </w:r>
          </w:p>
          <w:p w14:paraId="4D3A9F1A"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lang w:eastAsia="ko-KR"/>
              </w:rPr>
            </w:pPr>
            <w:r>
              <w:t>Oversee quality reports and assist in resolution of escalated issues</w:t>
            </w:r>
          </w:p>
        </w:tc>
      </w:tr>
      <w:tr w:rsidR="00716394" w:rsidRPr="00A21682" w14:paraId="1F55FD01" w14:textId="77777777" w:rsidTr="00E94590">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7AD69AD2"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Business Team/Stakeholder Group</w:t>
            </w:r>
          </w:p>
        </w:tc>
        <w:tc>
          <w:tcPr>
            <w:tcW w:w="7037" w:type="dxa"/>
            <w:shd w:val="clear" w:color="auto" w:fill="auto"/>
          </w:tcPr>
          <w:p w14:paraId="15FE74FC"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Business Teams and Stakeholder Groups represent particular project tracks on both ███████ and DOH OHIP teams</w:t>
            </w:r>
          </w:p>
          <w:p w14:paraId="5DDAA36A"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Bring experience-based insights to provide quality assurance, help identify areas for improvement, and recommend enhancements</w:t>
            </w:r>
          </w:p>
          <w:p w14:paraId="27BBF85E"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Prepare for, and participate in, quality reviews, project reviews, and specialist support visits (where applicable)</w:t>
            </w:r>
          </w:p>
          <w:p w14:paraId="71340656"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Implement action items resulting from quality reviews, project reviews, and specialist support visits</w:t>
            </w:r>
          </w:p>
          <w:p w14:paraId="73E4096D"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Identify potential risks that could impact project quality, assess their impact and probability, and develop mitigation plans</w:t>
            </w:r>
          </w:p>
          <w:p w14:paraId="0E4A81ED"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Identify inefficiencies, bottlenecks, and areas where quality issues may arise in business processes</w:t>
            </w:r>
          </w:p>
          <w:p w14:paraId="5B672727" w14:textId="38920D48" w:rsidR="00E001A2" w:rsidRPr="00635C9B" w:rsidRDefault="00122A86" w:rsidP="00FF05BD">
            <w:pPr>
              <w:pStyle w:val="TABLEBULLETNEW"/>
              <w:cnfStyle w:val="000000000000" w:firstRow="0" w:lastRow="0" w:firstColumn="0" w:lastColumn="0" w:oddVBand="0" w:evenVBand="0" w:oddHBand="0" w:evenHBand="0" w:firstRowFirstColumn="0" w:firstRowLastColumn="0" w:lastRowFirstColumn="0" w:lastRowLastColumn="0"/>
            </w:pPr>
            <w:r>
              <w:t xml:space="preserve">Help promote adherence to project quality standards across all work products </w:t>
            </w:r>
          </w:p>
        </w:tc>
      </w:tr>
      <w:tr w:rsidR="00716394" w:rsidRPr="00A21682" w14:paraId="417F0C05" w14:textId="77777777" w:rsidTr="00E94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40D7D02D"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MECM Quality Assurance (QA)</w:t>
            </w:r>
          </w:p>
        </w:tc>
        <w:tc>
          <w:tcPr>
            <w:tcW w:w="7037" w:type="dxa"/>
            <w:shd w:val="clear" w:color="auto" w:fill="auto"/>
          </w:tcPr>
          <w:p w14:paraId="325A2CC2"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QA includes members of ███████ and DOS PMO teams responsible for carrying out QA, in accordance with this QMP</w:t>
            </w:r>
          </w:p>
          <w:p w14:paraId="4873E338" w14:textId="3EDBD531"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Develop and maintain the QMP throughout project life cycle</w:t>
            </w:r>
          </w:p>
          <w:p w14:paraId="20E0C5E5"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Track all standards, associated verifications, and metrics</w:t>
            </w:r>
          </w:p>
          <w:p w14:paraId="6A14A0E7"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Bring experience-based insights to provide quality assurance, identify areas for improvement, and recommend enhancements</w:t>
            </w:r>
          </w:p>
          <w:p w14:paraId="346DBF65"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Drive the preparation for internal quality project reviews</w:t>
            </w:r>
          </w:p>
          <w:p w14:paraId="71545ABB" w14:textId="16866F4C"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Perform internal quality project reviews via verbal monthly and quarterly quality status reports and discuss the project review findings with Executive and Managerial Governance bodies</w:t>
            </w:r>
          </w:p>
          <w:p w14:paraId="4C29BE5B"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Support in resolving quality issues by implementing action items from quality reviews, project reviews, and specialist support visits</w:t>
            </w:r>
          </w:p>
          <w:p w14:paraId="78787DCD"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Track non-compliance issues to closure, and escalate them</w:t>
            </w:r>
          </w:p>
        </w:tc>
      </w:tr>
      <w:tr w:rsidR="00716394" w:rsidRPr="00A21682" w14:paraId="0ED0E6B5" w14:textId="77777777" w:rsidTr="00E94590">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41FD010B"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Action Item Identifier</w:t>
            </w:r>
          </w:p>
        </w:tc>
        <w:tc>
          <w:tcPr>
            <w:tcW w:w="7037" w:type="dxa"/>
            <w:shd w:val="clear" w:color="auto" w:fill="auto"/>
          </w:tcPr>
          <w:p w14:paraId="221DEC0C"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Individual from any team that identifies QA task</w:t>
            </w:r>
          </w:p>
          <w:p w14:paraId="70F55529"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Participates in analyzing AI and selecting AI Owner to complete the process</w:t>
            </w:r>
          </w:p>
        </w:tc>
      </w:tr>
      <w:tr w:rsidR="00716394" w:rsidRPr="00A21682" w14:paraId="1DD01061" w14:textId="77777777" w:rsidTr="00E94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7F2F54F0"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Action Item Owner</w:t>
            </w:r>
          </w:p>
        </w:tc>
        <w:tc>
          <w:tcPr>
            <w:tcW w:w="7037" w:type="dxa"/>
            <w:shd w:val="clear" w:color="auto" w:fill="auto"/>
          </w:tcPr>
          <w:p w14:paraId="55DA7B50"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Individual owner responsible for QA task</w:t>
            </w:r>
          </w:p>
          <w:p w14:paraId="39B99D48"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lastRenderedPageBreak/>
              <w:t>Bring experience-based insights to identify areas for improvement and carry out action item</w:t>
            </w:r>
          </w:p>
          <w:p w14:paraId="20D3983E"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Prepare for, and participate in, quality reviews, project reviews, and specialist support visits (where applicable)</w:t>
            </w:r>
          </w:p>
          <w:p w14:paraId="70844821"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Implement action items resulting from quality reviews, project reviews, and specialist support visits</w:t>
            </w:r>
          </w:p>
        </w:tc>
      </w:tr>
      <w:tr w:rsidR="00716394" w:rsidRPr="00A21682" w14:paraId="7C3CD37E" w14:textId="77777777" w:rsidTr="00E94590">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52110C6A"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DOS Leadership</w:t>
            </w:r>
          </w:p>
        </w:tc>
        <w:tc>
          <w:tcPr>
            <w:tcW w:w="7037" w:type="dxa"/>
            <w:shd w:val="clear" w:color="auto" w:fill="auto"/>
          </w:tcPr>
          <w:p w14:paraId="73161AAB"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Review, respond to, and approve MECM Transmittals</w:t>
            </w:r>
          </w:p>
          <w:p w14:paraId="3209FBFF"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Support MECM QA in the drafting and approval of response letters</w:t>
            </w:r>
          </w:p>
          <w:p w14:paraId="44153270"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Approve or reject recommendations from deliverable reviews</w:t>
            </w:r>
          </w:p>
        </w:tc>
      </w:tr>
      <w:tr w:rsidR="00716394" w:rsidRPr="00A21682" w14:paraId="5D27B4F7" w14:textId="77777777" w:rsidTr="00E94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448A7CB0"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MECM Business Area</w:t>
            </w:r>
          </w:p>
        </w:tc>
        <w:tc>
          <w:tcPr>
            <w:tcW w:w="7037" w:type="dxa"/>
            <w:shd w:val="clear" w:color="auto" w:fill="auto"/>
          </w:tcPr>
          <w:p w14:paraId="0FDE45C8"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Review documents and send comments if applicable</w:t>
            </w:r>
          </w:p>
        </w:tc>
      </w:tr>
      <w:tr w:rsidR="00716394" w:rsidRPr="00A21682" w14:paraId="473E572A" w14:textId="77777777" w:rsidTr="00E94590">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bottom w:val="single" w:sz="2" w:space="0" w:color="auto"/>
            </w:tcBorders>
            <w:shd w:val="clear" w:color="auto" w:fill="FFFFFF" w:themeFill="background1"/>
          </w:tcPr>
          <w:p w14:paraId="5756411E"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Decision Stakeholders</w:t>
            </w:r>
          </w:p>
        </w:tc>
        <w:tc>
          <w:tcPr>
            <w:tcW w:w="7037" w:type="dxa"/>
            <w:tcBorders>
              <w:bottom w:val="single" w:sz="2" w:space="0" w:color="auto"/>
            </w:tcBorders>
            <w:shd w:val="clear" w:color="auto" w:fill="auto"/>
          </w:tcPr>
          <w:p w14:paraId="230D107D"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Discuss an open item and come to a decision</w:t>
            </w:r>
          </w:p>
        </w:tc>
      </w:tr>
    </w:tbl>
    <w:p w14:paraId="3DA2B23C" w14:textId="17295227" w:rsidR="00E001A2" w:rsidRPr="00A21682" w:rsidRDefault="0053698A" w:rsidP="004A67D5">
      <w:pPr>
        <w:pStyle w:val="Caption"/>
        <w:rPr>
          <w:noProof w:val="0"/>
        </w:rPr>
      </w:pPr>
      <w:bookmarkStart w:id="4394" w:name="_Toc19287523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8</w:t>
      </w:r>
      <w:r>
        <w:rPr>
          <w:noProof w:val="0"/>
        </w:rPr>
        <w:fldChar w:fldCharType="end"/>
      </w:r>
      <w:r>
        <w:rPr>
          <w:noProof w:val="0"/>
        </w:rPr>
        <w:t>: Quality Management Plan Roles and Responsibilities</w:t>
      </w:r>
      <w:bookmarkEnd w:id="4394"/>
    </w:p>
    <w:p w14:paraId="259C88AE" w14:textId="77777777" w:rsidR="00E001A2" w:rsidRPr="00A21682" w:rsidRDefault="00E001A2" w:rsidP="00E001A2">
      <w:pPr>
        <w:rPr>
          <w:rFonts w:ascii="Verdana" w:hAnsi="Verdana"/>
          <w:sz w:val="18"/>
        </w:rPr>
      </w:pPr>
      <w:r>
        <w:rPr>
          <w:rFonts w:ascii="Verdana" w:hAnsi="Verdana"/>
          <w:sz w:val="18"/>
        </w:rPr>
        <w:br w:type="page"/>
      </w:r>
    </w:p>
    <w:p w14:paraId="01344FBC" w14:textId="77777777" w:rsidR="00E001A2" w:rsidRPr="00A21682" w:rsidRDefault="00E001A2" w:rsidP="00B97366">
      <w:pPr>
        <w:pStyle w:val="NormalNEW"/>
        <w:rPr>
          <w:b/>
          <w:bCs/>
          <w:lang w:val="en-US"/>
        </w:rPr>
      </w:pPr>
      <w:bookmarkStart w:id="4395" w:name="_Toc154132991"/>
      <w:r>
        <w:rPr>
          <w:b/>
          <w:bCs/>
          <w:lang w:val="en-US"/>
        </w:rPr>
        <w:lastRenderedPageBreak/>
        <w:t>Appendix C-7 Resource Management Plan Roles and Responsibilities</w:t>
      </w:r>
      <w:bookmarkEnd w:id="4395"/>
    </w:p>
    <w:p w14:paraId="0AE18ED9" w14:textId="63256327" w:rsidR="00E001A2" w:rsidRPr="00A21682" w:rsidRDefault="0008482E" w:rsidP="00A37DE9">
      <w:pPr>
        <w:pStyle w:val="NormalNEW"/>
        <w:rPr>
          <w:lang w:val="en-US"/>
        </w:rPr>
      </w:pPr>
      <w:r>
        <w:rPr>
          <w:lang w:val="en-US"/>
        </w:rPr>
        <w:t>The following table outlines the roles and responsibilities associated with the Section 8 Resource Management Plan:</w:t>
      </w:r>
    </w:p>
    <w:tbl>
      <w:tblPr>
        <w:tblStyle w:val="GridTable5Dark-Accent1331"/>
        <w:tblW w:w="9360" w:type="dxa"/>
        <w:tblInd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160"/>
        <w:gridCol w:w="7200"/>
      </w:tblGrid>
      <w:tr w:rsidR="002F4E2D" w:rsidRPr="00A21682" w14:paraId="58D2F8F4" w14:textId="77777777" w:rsidTr="00E94590">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60" w:type="dxa"/>
            <w:tcBorders>
              <w:bottom w:val="single" w:sz="2" w:space="0" w:color="auto"/>
              <w:right w:val="single" w:sz="2" w:space="0" w:color="FFFFFF" w:themeColor="background1"/>
            </w:tcBorders>
            <w:shd w:val="clear" w:color="auto" w:fill="000000" w:themeFill="text1"/>
          </w:tcPr>
          <w:p w14:paraId="0A31D9ED" w14:textId="77777777" w:rsidR="00E001A2" w:rsidRPr="00A21682" w:rsidRDefault="00E001A2" w:rsidP="00047C4E">
            <w:pPr>
              <w:pStyle w:val="TABLEHEADINGNEW"/>
              <w:rPr>
                <w:b/>
                <w:bCs/>
              </w:rPr>
            </w:pPr>
            <w:bookmarkStart w:id="4396" w:name="_Hlk154129966"/>
            <w:r>
              <w:rPr>
                <w:b/>
                <w:bCs/>
              </w:rPr>
              <w:t>Stakeholder Group</w:t>
            </w:r>
          </w:p>
        </w:tc>
        <w:tc>
          <w:tcPr>
            <w:tcW w:w="7200" w:type="dxa"/>
            <w:tcBorders>
              <w:left w:val="single" w:sz="2" w:space="0" w:color="FFFFFF" w:themeColor="background1"/>
              <w:bottom w:val="single" w:sz="2" w:space="0" w:color="auto"/>
            </w:tcBorders>
            <w:shd w:val="clear" w:color="auto" w:fill="000000" w:themeFill="text1"/>
          </w:tcPr>
          <w:p w14:paraId="35820A54"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4AEBB5E7" w14:textId="77777777" w:rsidTr="00E9459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30A58A93" w14:textId="1D09B99D" w:rsidR="00E001A2" w:rsidRPr="00A21682" w:rsidRDefault="00E001A2" w:rsidP="00047C4E">
            <w:pPr>
              <w:pStyle w:val="TABLETEXT1"/>
              <w:rPr>
                <w:b w:val="0"/>
                <w:bCs w:val="0"/>
                <w:color w:val="000000" w:themeColor="text1"/>
                <w:szCs w:val="28"/>
                <w:lang w:val="en-US"/>
              </w:rPr>
            </w:pPr>
            <w:r>
              <w:rPr>
                <w:rFonts w:cs="Arial"/>
                <w:b w:val="0"/>
                <w:bCs w:val="0"/>
                <w:color w:val="000000" w:themeColor="text1"/>
                <w:szCs w:val="28"/>
                <w:lang w:val="en-US"/>
              </w:rPr>
              <w:t>PMO</w:t>
            </w:r>
          </w:p>
        </w:tc>
        <w:tc>
          <w:tcPr>
            <w:tcW w:w="7200" w:type="dxa"/>
            <w:shd w:val="clear" w:color="auto" w:fill="auto"/>
          </w:tcPr>
          <w:p w14:paraId="59C1EC63" w14:textId="7777777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PMO leads the search and onboarding processes for project resources across all tracks. PMO identifies potential candidates for review by ███████ track leads and DOH OHIP Managerial Governance, if necessary. PMO then participates in offer discussions and provides new resources with the materials and tools needed to initiate work on the project.</w:t>
            </w:r>
          </w:p>
          <w:p w14:paraId="7F967AA3" w14:textId="7777777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lang w:val="en-US"/>
              </w:rPr>
            </w:pPr>
            <w:r>
              <w:rPr>
                <w:rFonts w:cs="Arial"/>
                <w:szCs w:val="24"/>
                <w:lang w:val="en-US"/>
              </w:rPr>
              <w:t>During the offboarding process, PMO is also responsible for removing resources from project materials, tools, and resources.</w:t>
            </w:r>
          </w:p>
        </w:tc>
      </w:tr>
      <w:bookmarkEnd w:id="4396"/>
      <w:tr w:rsidR="00716394" w:rsidRPr="00A21682" w14:paraId="05E4CA32" w14:textId="77777777" w:rsidTr="00E94590">
        <w:trPr>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4FAE2DF7"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Impacted Stakeholder Group(s)</w:t>
            </w:r>
          </w:p>
        </w:tc>
        <w:tc>
          <w:tcPr>
            <w:tcW w:w="7200" w:type="dxa"/>
            <w:shd w:val="clear" w:color="auto" w:fill="auto"/>
          </w:tcPr>
          <w:p w14:paraId="68264EC5"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Impacted Stakeholder Groups are project teams in need of resources. After identifying the resource need and developing a scope of work for the vacant role, Impacted Stakeholder Groups work with PMO to administer necessary reviews and approvals of potential candidates.</w:t>
            </w:r>
          </w:p>
          <w:p w14:paraId="20A8C6F1" w14:textId="469F19DD"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cs="Arial"/>
                <w:szCs w:val="24"/>
                <w:lang w:val="en-US"/>
              </w:rPr>
            </w:pPr>
            <w:r>
              <w:rPr>
                <w:rFonts w:cs="Arial"/>
                <w:szCs w:val="24"/>
                <w:lang w:val="en-US"/>
              </w:rPr>
              <w:t>Impacted Stakeholder Groups are also responsible for ongoing training and management of resources throughout the project life cycle.</w:t>
            </w:r>
          </w:p>
        </w:tc>
      </w:tr>
      <w:tr w:rsidR="00716394" w:rsidRPr="00A21682" w14:paraId="5B121CF3" w14:textId="77777777" w:rsidTr="00E9459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bottom w:val="single" w:sz="2" w:space="0" w:color="auto"/>
            </w:tcBorders>
            <w:shd w:val="clear" w:color="auto" w:fill="FFFFFF" w:themeFill="background1"/>
          </w:tcPr>
          <w:p w14:paraId="352D8DF2"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rPr>
              <w:t>Managerial Governance</w:t>
            </w:r>
          </w:p>
        </w:tc>
        <w:tc>
          <w:tcPr>
            <w:tcW w:w="7200" w:type="dxa"/>
            <w:tcBorders>
              <w:bottom w:val="single" w:sz="2" w:space="0" w:color="auto"/>
            </w:tcBorders>
            <w:shd w:val="clear" w:color="auto" w:fill="auto"/>
          </w:tcPr>
          <w:p w14:paraId="2FAB5614" w14:textId="77777777" w:rsidR="00E001A2" w:rsidRPr="00A21682" w:rsidRDefault="00E001A2" w:rsidP="007A5FD7">
            <w:pPr>
              <w:pStyle w:val="TABLETEXT1"/>
              <w:keepNext/>
              <w:cnfStyle w:val="000000100000" w:firstRow="0" w:lastRow="0" w:firstColumn="0" w:lastColumn="0" w:oddVBand="0" w:evenVBand="0" w:oddHBand="1" w:evenHBand="0" w:firstRowFirstColumn="0" w:firstRowLastColumn="0" w:lastRowFirstColumn="0" w:lastRowLastColumn="0"/>
              <w:rPr>
                <w:rFonts w:cs="Arial"/>
                <w:szCs w:val="24"/>
                <w:lang w:val="en-US"/>
              </w:rPr>
            </w:pPr>
            <w:r>
              <w:rPr>
                <w:rFonts w:cs="Arial"/>
                <w:szCs w:val="24"/>
                <w:lang w:val="en-US"/>
              </w:rPr>
              <w:t>When key personnel are transitioned on to the project, the MECM QA team will complete a credentialing review by reviewing the candidate’s resume against contract requirements and role qualifications. After MECM QA completes the credentialing review, it will make a recommendation to approve or reject to DOS Leadership. If DOS Leadership does not approve of the proposed candidate, ███████ PMO must re-initiate the search process.</w:t>
            </w:r>
          </w:p>
        </w:tc>
      </w:tr>
    </w:tbl>
    <w:p w14:paraId="3960B9B6" w14:textId="3FB3BBCC" w:rsidR="0053698A" w:rsidRPr="00A21682" w:rsidRDefault="0053698A">
      <w:pPr>
        <w:pStyle w:val="Caption"/>
        <w:rPr>
          <w:noProof w:val="0"/>
        </w:rPr>
      </w:pPr>
      <w:bookmarkStart w:id="4397" w:name="_Toc192875232"/>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9</w:t>
      </w:r>
      <w:r>
        <w:rPr>
          <w:noProof w:val="0"/>
        </w:rPr>
        <w:fldChar w:fldCharType="end"/>
      </w:r>
      <w:r>
        <w:rPr>
          <w:noProof w:val="0"/>
        </w:rPr>
        <w:t>: Resource Management Plan Roles and Responsibilities</w:t>
      </w:r>
      <w:bookmarkEnd w:id="4397"/>
    </w:p>
    <w:p w14:paraId="0FB0E38C" w14:textId="0755FF30" w:rsidR="00E001A2" w:rsidRPr="00A21682" w:rsidRDefault="0008482E" w:rsidP="00E001A2">
      <w:pPr>
        <w:rPr>
          <w:rFonts w:ascii="Verdana" w:hAnsi="Verdana"/>
          <w:sz w:val="18"/>
          <w:szCs w:val="18"/>
        </w:rPr>
      </w:pPr>
      <w:r>
        <w:rPr>
          <w:rFonts w:ascii="Verdana" w:hAnsi="Verdana"/>
          <w:sz w:val="18"/>
          <w:szCs w:val="18"/>
          <w:u w:color="000000" w:themeColor="text1"/>
          <w:lang w:eastAsia="ko-KR"/>
        </w:rPr>
        <w:t xml:space="preserve">If ███████ determines additional position(s) are necessary, ███████ will identify these positions and detail the services they are to provide to DOH OHIP. </w:t>
      </w:r>
      <w:r>
        <w:rPr>
          <w:rFonts w:ascii="Verdana" w:hAnsi="Verdana"/>
          <w:sz w:val="18"/>
          <w:szCs w:val="18"/>
        </w:rPr>
        <w:br w:type="page"/>
      </w:r>
    </w:p>
    <w:p w14:paraId="101636F2" w14:textId="049036AD" w:rsidR="00E001A2" w:rsidRPr="00A21682" w:rsidRDefault="00E001A2" w:rsidP="00B97366">
      <w:pPr>
        <w:pStyle w:val="NormalNEW"/>
        <w:rPr>
          <w:b/>
          <w:bCs/>
          <w:lang w:val="en-US"/>
        </w:rPr>
      </w:pPr>
      <w:bookmarkStart w:id="4398" w:name="_Toc154132992"/>
      <w:r>
        <w:rPr>
          <w:b/>
          <w:bCs/>
          <w:lang w:val="en-US"/>
        </w:rPr>
        <w:lastRenderedPageBreak/>
        <w:t>Appendix C-8 Project Controls Plan Roles and Responsibilities</w:t>
      </w:r>
      <w:bookmarkEnd w:id="4398"/>
    </w:p>
    <w:p w14:paraId="4CE518FB" w14:textId="1997093D" w:rsidR="0008482E" w:rsidRPr="00A21682" w:rsidRDefault="0008482E" w:rsidP="0008482E">
      <w:pPr>
        <w:pStyle w:val="NormalNEW"/>
        <w:rPr>
          <w:lang w:val="en-US"/>
        </w:rPr>
      </w:pPr>
      <w:r>
        <w:rPr>
          <w:lang w:val="en-US"/>
        </w:rPr>
        <w:t>The following table outlines the roles and responsibilities associated with the Section 9 Project Controls Plan:</w:t>
      </w:r>
    </w:p>
    <w:tbl>
      <w:tblPr>
        <w:tblStyle w:val="GridTable5Dark-Accent1331"/>
        <w:tblW w:w="936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2342"/>
        <w:gridCol w:w="7018"/>
      </w:tblGrid>
      <w:tr w:rsidR="00716394" w:rsidRPr="00A21682" w14:paraId="319B18A3" w14:textId="77777777" w:rsidTr="0032408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342" w:type="dxa"/>
            <w:tcBorders>
              <w:bottom w:val="single" w:sz="4" w:space="0" w:color="auto"/>
            </w:tcBorders>
            <w:shd w:val="clear" w:color="auto" w:fill="000000" w:themeFill="text1"/>
          </w:tcPr>
          <w:p w14:paraId="48B6C5EE" w14:textId="77777777" w:rsidR="00E001A2" w:rsidRPr="00A21682" w:rsidRDefault="00E001A2" w:rsidP="00047C4E">
            <w:pPr>
              <w:pStyle w:val="TABLEHEADINGNEW"/>
              <w:rPr>
                <w:b/>
                <w:bCs/>
              </w:rPr>
            </w:pPr>
            <w:r>
              <w:rPr>
                <w:b/>
                <w:bCs/>
              </w:rPr>
              <w:t>Stakeholder Group</w:t>
            </w:r>
          </w:p>
        </w:tc>
        <w:tc>
          <w:tcPr>
            <w:tcW w:w="7018" w:type="dxa"/>
            <w:tcBorders>
              <w:bottom w:val="single" w:sz="4" w:space="0" w:color="auto"/>
            </w:tcBorders>
            <w:shd w:val="clear" w:color="auto" w:fill="000000" w:themeFill="text1"/>
          </w:tcPr>
          <w:p w14:paraId="26D417A0"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1068BCFB" w14:textId="77777777" w:rsidTr="0032408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2" w:type="dxa"/>
            <w:tcBorders>
              <w:left w:val="single" w:sz="4" w:space="0" w:color="auto"/>
            </w:tcBorders>
            <w:shd w:val="clear" w:color="auto" w:fill="FFFFFF" w:themeFill="background1"/>
          </w:tcPr>
          <w:p w14:paraId="260CF1F1" w14:textId="77777777" w:rsidR="00E001A2" w:rsidRPr="00A21682" w:rsidRDefault="00E001A2" w:rsidP="00047C4E">
            <w:pPr>
              <w:pStyle w:val="TABLETEXT1"/>
              <w:rPr>
                <w:rFonts w:cs="Arial"/>
                <w:b w:val="0"/>
                <w:bCs w:val="0"/>
                <w:color w:val="000000" w:themeColor="text1"/>
                <w:szCs w:val="28"/>
                <w:lang w:val="en-US"/>
              </w:rPr>
            </w:pPr>
            <w:r>
              <w:rPr>
                <w:rFonts w:cs="Arial"/>
                <w:b w:val="0"/>
                <w:bCs w:val="0"/>
                <w:color w:val="000000" w:themeColor="text1"/>
                <w:szCs w:val="28"/>
                <w:lang w:val="en-US" w:eastAsia="ko-KR"/>
              </w:rPr>
              <w:t>Project Management</w:t>
            </w:r>
          </w:p>
        </w:tc>
        <w:tc>
          <w:tcPr>
            <w:tcW w:w="7018" w:type="dxa"/>
            <w:shd w:val="clear" w:color="auto" w:fill="auto"/>
          </w:tcPr>
          <w:p w14:paraId="59AA8463"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Maintain risk and issue reporting and monitoring in the ALM tool</w:t>
            </w:r>
          </w:p>
          <w:p w14:paraId="7DA5C1FF"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 xml:space="preserve">Collect risks and issues from stakeholder groups to log them in the ALM tool and include in PSR </w:t>
            </w:r>
          </w:p>
          <w:p w14:paraId="5B105363"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Support other stakeholder groups in logging risks and issues in the ALM tool and include high-priority risks and issues in the PSR</w:t>
            </w:r>
          </w:p>
          <w:p w14:paraId="1C5BF1A1"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Escalate risks and issues to executive leadership when needed</w:t>
            </w:r>
          </w:p>
          <w:p w14:paraId="0E518036"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Facilitate risk review sessions to validate new risks and RAID review sessions during Project Status meetings</w:t>
            </w:r>
          </w:p>
          <w:p w14:paraId="67B05F79"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Support the development and execution of risk responses, risk response plans and issue resolution plans</w:t>
            </w:r>
          </w:p>
          <w:p w14:paraId="744B8636"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rPr>
                <w:rFonts w:cs="Arial"/>
                <w:szCs w:val="24"/>
              </w:rPr>
            </w:pPr>
            <w:r>
              <w:t xml:space="preserve">Update risk and issue statuses in the ALM tool as steps toward resolution occur </w:t>
            </w:r>
          </w:p>
        </w:tc>
      </w:tr>
      <w:tr w:rsidR="00716394" w:rsidRPr="00A21682" w14:paraId="7FFF1479" w14:textId="77777777" w:rsidTr="00324088">
        <w:trPr>
          <w:cantSplit/>
        </w:trPr>
        <w:tc>
          <w:tcPr>
            <w:cnfStyle w:val="001000000000" w:firstRow="0" w:lastRow="0" w:firstColumn="1" w:lastColumn="0" w:oddVBand="0" w:evenVBand="0" w:oddHBand="0" w:evenHBand="0" w:firstRowFirstColumn="0" w:firstRowLastColumn="0" w:lastRowFirstColumn="0" w:lastRowLastColumn="0"/>
            <w:tcW w:w="2342" w:type="dxa"/>
            <w:tcBorders>
              <w:left w:val="single" w:sz="4" w:space="0" w:color="auto"/>
            </w:tcBorders>
            <w:shd w:val="clear" w:color="auto" w:fill="FFFFFF" w:themeFill="background1"/>
          </w:tcPr>
          <w:p w14:paraId="1D26AA4C" w14:textId="77777777" w:rsidR="00E001A2" w:rsidRPr="00A21682" w:rsidRDefault="00E001A2" w:rsidP="00047C4E">
            <w:pPr>
              <w:pStyle w:val="TABLETEXT1"/>
              <w:rPr>
                <w:rFonts w:cs="Arial"/>
                <w:color w:val="000000" w:themeColor="text1"/>
                <w:szCs w:val="28"/>
                <w:lang w:val="en-US" w:eastAsia="ko-KR"/>
              </w:rPr>
            </w:pPr>
            <w:r>
              <w:rPr>
                <w:rFonts w:cs="Arial"/>
                <w:b w:val="0"/>
                <w:bCs w:val="0"/>
                <w:color w:val="000000" w:themeColor="text1"/>
                <w:szCs w:val="28"/>
                <w:lang w:val="en-US" w:eastAsia="ko-KR"/>
              </w:rPr>
              <w:t>Risk Identifier</w:t>
            </w:r>
          </w:p>
        </w:tc>
        <w:tc>
          <w:tcPr>
            <w:tcW w:w="7018" w:type="dxa"/>
            <w:shd w:val="clear" w:color="auto" w:fill="auto"/>
          </w:tcPr>
          <w:p w14:paraId="6F5FF987"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Identify risks from activities, notify PMO of risks to include in PSR, and submit risks in the ALM tool</w:t>
            </w:r>
          </w:p>
          <w:p w14:paraId="4FF49AAA"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Participate in risk review sessions to validate new risks and determine their probability, impact, and severity</w:t>
            </w:r>
          </w:p>
          <w:p w14:paraId="75DE57E0"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Propose risk responses</w:t>
            </w:r>
          </w:p>
          <w:p w14:paraId="6DDE30B2"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Propose mitigation and solution approaches for risk response plans</w:t>
            </w:r>
          </w:p>
        </w:tc>
      </w:tr>
      <w:tr w:rsidR="00716394" w:rsidRPr="00A21682" w14:paraId="040640AA" w14:textId="77777777" w:rsidTr="00324088">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42" w:type="dxa"/>
            <w:tcBorders>
              <w:left w:val="single" w:sz="4" w:space="0" w:color="auto"/>
            </w:tcBorders>
            <w:shd w:val="clear" w:color="auto" w:fill="FFFFFF" w:themeFill="background1"/>
          </w:tcPr>
          <w:p w14:paraId="77C150E0" w14:textId="77777777" w:rsidR="00E001A2" w:rsidRPr="00A21682" w:rsidRDefault="00E001A2" w:rsidP="00047C4E">
            <w:pPr>
              <w:pStyle w:val="TABLETEXT1"/>
              <w:rPr>
                <w:rFonts w:cs="Arial"/>
                <w:color w:val="000000" w:themeColor="text1"/>
                <w:szCs w:val="28"/>
                <w:lang w:val="en-US" w:eastAsia="ko-KR"/>
              </w:rPr>
            </w:pPr>
            <w:r>
              <w:rPr>
                <w:rFonts w:cs="Arial"/>
                <w:b w:val="0"/>
                <w:bCs w:val="0"/>
                <w:color w:val="000000" w:themeColor="text1"/>
                <w:szCs w:val="28"/>
                <w:lang w:val="en-US"/>
              </w:rPr>
              <w:t>Risk/Issue Owner</w:t>
            </w:r>
          </w:p>
        </w:tc>
        <w:tc>
          <w:tcPr>
            <w:tcW w:w="7018" w:type="dxa"/>
            <w:shd w:val="clear" w:color="auto" w:fill="auto"/>
          </w:tcPr>
          <w:p w14:paraId="4E48A95F"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Participate in risk review sessions to validate new risks and determine their probability, impact, and severity</w:t>
            </w:r>
          </w:p>
          <w:p w14:paraId="54966F10"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Develop, socialize, and execute risk responses, risk response plans and issue resolution plans</w:t>
            </w:r>
          </w:p>
          <w:p w14:paraId="2A2F9294"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Define action items required to resolve risks and issues</w:t>
            </w:r>
          </w:p>
          <w:p w14:paraId="7E170277"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Assign action item owner and monitor risks and issues</w:t>
            </w:r>
          </w:p>
          <w:p w14:paraId="53C6931A"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Update risk and issue statuses in the ALM tool as steps toward resolution occur</w:t>
            </w:r>
          </w:p>
        </w:tc>
      </w:tr>
      <w:tr w:rsidR="00716394" w:rsidRPr="00A21682" w14:paraId="5F499BF2" w14:textId="77777777" w:rsidTr="00324088">
        <w:trPr>
          <w:cantSplit/>
        </w:trPr>
        <w:tc>
          <w:tcPr>
            <w:cnfStyle w:val="001000000000" w:firstRow="0" w:lastRow="0" w:firstColumn="1" w:lastColumn="0" w:oddVBand="0" w:evenVBand="0" w:oddHBand="0" w:evenHBand="0" w:firstRowFirstColumn="0" w:firstRowLastColumn="0" w:lastRowFirstColumn="0" w:lastRowLastColumn="0"/>
            <w:tcW w:w="2342" w:type="dxa"/>
            <w:tcBorders>
              <w:left w:val="single" w:sz="4" w:space="0" w:color="auto"/>
              <w:bottom w:val="single" w:sz="4" w:space="0" w:color="auto"/>
            </w:tcBorders>
            <w:shd w:val="clear" w:color="auto" w:fill="FFFFFF" w:themeFill="background1"/>
          </w:tcPr>
          <w:p w14:paraId="7EEB62AA" w14:textId="77777777" w:rsidR="00E001A2" w:rsidRPr="00A21682" w:rsidRDefault="00E001A2" w:rsidP="00047C4E">
            <w:pPr>
              <w:pStyle w:val="TABLETEXT1"/>
              <w:rPr>
                <w:rFonts w:cs="Arial"/>
                <w:color w:val="000000" w:themeColor="text1"/>
                <w:szCs w:val="28"/>
                <w:lang w:val="en-US"/>
              </w:rPr>
            </w:pPr>
            <w:r>
              <w:rPr>
                <w:rFonts w:cs="Arial"/>
                <w:b w:val="0"/>
                <w:bCs w:val="0"/>
                <w:color w:val="000000" w:themeColor="text1"/>
                <w:szCs w:val="28"/>
                <w:lang w:val="en-US"/>
              </w:rPr>
              <w:t>Risk/Issue Stakeholder(s)</w:t>
            </w:r>
          </w:p>
        </w:tc>
        <w:tc>
          <w:tcPr>
            <w:tcW w:w="7018" w:type="dxa"/>
            <w:tcBorders>
              <w:bottom w:val="single" w:sz="4" w:space="0" w:color="auto"/>
            </w:tcBorders>
            <w:shd w:val="clear" w:color="auto" w:fill="auto"/>
          </w:tcPr>
          <w:p w14:paraId="27351AB5"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Identify risks from activities, notify PMO of risks to include in PSR</w:t>
            </w:r>
          </w:p>
          <w:p w14:paraId="3B4E4A7A"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Develop, socialize, and execute risk responses, risk response plans and issue resolution plans</w:t>
            </w:r>
          </w:p>
          <w:p w14:paraId="458BF10D"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Define action items required to resolve risks and issues</w:t>
            </w:r>
          </w:p>
          <w:p w14:paraId="24AB6B8C" w14:textId="7777777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Monitor risk and issue resolutions</w:t>
            </w:r>
          </w:p>
        </w:tc>
      </w:tr>
    </w:tbl>
    <w:p w14:paraId="25F074B3" w14:textId="02CC7BC3" w:rsidR="00E001A2" w:rsidRPr="00A21682" w:rsidRDefault="00992405" w:rsidP="004A67D5">
      <w:pPr>
        <w:pStyle w:val="Caption"/>
        <w:rPr>
          <w:noProof w:val="0"/>
        </w:rPr>
      </w:pPr>
      <w:bookmarkStart w:id="4399" w:name="_Toc192875233"/>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10</w:t>
      </w:r>
      <w:r>
        <w:rPr>
          <w:noProof w:val="0"/>
        </w:rPr>
        <w:fldChar w:fldCharType="end"/>
      </w:r>
      <w:r>
        <w:rPr>
          <w:noProof w:val="0"/>
        </w:rPr>
        <w:t>: Project Controls Plan Roles and Responsibilities</w:t>
      </w:r>
      <w:bookmarkEnd w:id="4399"/>
    </w:p>
    <w:p w14:paraId="02CAC8E5" w14:textId="77777777" w:rsidR="00A37DE9" w:rsidRPr="00A21682" w:rsidRDefault="00A37DE9">
      <w:pPr>
        <w:rPr>
          <w:rFonts w:ascii="Verdana" w:eastAsiaTheme="majorEastAsia" w:hAnsi="Verdana" w:cstheme="majorBidi"/>
          <w:b/>
          <w:sz w:val="18"/>
          <w:szCs w:val="26"/>
        </w:rPr>
      </w:pPr>
      <w:bookmarkStart w:id="4400" w:name="_Toc154132993"/>
      <w:r>
        <w:rPr>
          <w:rFonts w:ascii="Verdana" w:eastAsiaTheme="majorEastAsia" w:hAnsi="Verdana" w:cstheme="majorBidi"/>
          <w:b/>
          <w:sz w:val="18"/>
          <w:szCs w:val="26"/>
        </w:rPr>
        <w:br w:type="page"/>
      </w:r>
    </w:p>
    <w:p w14:paraId="14B9AC14" w14:textId="5746FB76" w:rsidR="00E001A2" w:rsidRPr="00A21682" w:rsidRDefault="00E001A2" w:rsidP="00B97366">
      <w:pPr>
        <w:pStyle w:val="NormalNEW"/>
        <w:rPr>
          <w:b/>
          <w:bCs/>
          <w:lang w:val="en-US"/>
        </w:rPr>
      </w:pPr>
      <w:r>
        <w:rPr>
          <w:b/>
          <w:bCs/>
          <w:lang w:val="en-US"/>
        </w:rPr>
        <w:lastRenderedPageBreak/>
        <w:t>Appendix C-9 Integrated Change Control Process Roles and Responsibilities</w:t>
      </w:r>
      <w:bookmarkEnd w:id="4400"/>
    </w:p>
    <w:p w14:paraId="1F66B621" w14:textId="60DC12B6" w:rsidR="0008482E" w:rsidRPr="00A21682" w:rsidRDefault="0008482E" w:rsidP="00B97366">
      <w:pPr>
        <w:pStyle w:val="NormalNEW"/>
        <w:rPr>
          <w:lang w:val="en-US"/>
        </w:rPr>
      </w:pPr>
      <w:r>
        <w:rPr>
          <w:lang w:val="en-US"/>
        </w:rPr>
        <w:t>The following table outlines the roles and responsibilities associated with the Section 10 Integrated Change Control Process:</w:t>
      </w:r>
    </w:p>
    <w:tbl>
      <w:tblPr>
        <w:tblStyle w:val="GridTable5Dark-Accent1331"/>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58" w:type="dxa"/>
          <w:right w:w="58" w:type="dxa"/>
        </w:tblCellMar>
        <w:tblLook w:val="04A0" w:firstRow="1" w:lastRow="0" w:firstColumn="1" w:lastColumn="0" w:noHBand="0" w:noVBand="1"/>
      </w:tblPr>
      <w:tblGrid>
        <w:gridCol w:w="2323"/>
        <w:gridCol w:w="7037"/>
      </w:tblGrid>
      <w:tr w:rsidR="002F4E2D" w:rsidRPr="00A21682" w14:paraId="735413D6" w14:textId="77777777" w:rsidTr="00F91BE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323" w:type="dxa"/>
            <w:tcBorders>
              <w:bottom w:val="single" w:sz="2" w:space="0" w:color="auto"/>
              <w:right w:val="single" w:sz="2" w:space="0" w:color="FFFFFF" w:themeColor="background1"/>
            </w:tcBorders>
            <w:shd w:val="clear" w:color="auto" w:fill="000000" w:themeFill="text1"/>
          </w:tcPr>
          <w:p w14:paraId="758258DC" w14:textId="77777777" w:rsidR="00E001A2" w:rsidRPr="00A21682" w:rsidRDefault="00E001A2" w:rsidP="00047C4E">
            <w:pPr>
              <w:pStyle w:val="TABLEHEADINGNEW"/>
              <w:rPr>
                <w:b/>
                <w:bCs/>
              </w:rPr>
            </w:pPr>
            <w:bookmarkStart w:id="4401" w:name="_Hlk154130478"/>
            <w:r>
              <w:rPr>
                <w:b/>
                <w:bCs/>
              </w:rPr>
              <w:t>Stakeholder Group</w:t>
            </w:r>
          </w:p>
        </w:tc>
        <w:tc>
          <w:tcPr>
            <w:tcW w:w="7037" w:type="dxa"/>
            <w:tcBorders>
              <w:left w:val="single" w:sz="2" w:space="0" w:color="FFFFFF" w:themeColor="background1"/>
              <w:bottom w:val="single" w:sz="2" w:space="0" w:color="auto"/>
            </w:tcBorders>
            <w:shd w:val="clear" w:color="auto" w:fill="000000" w:themeFill="text1"/>
          </w:tcPr>
          <w:p w14:paraId="2497EC61"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2F4E2D" w:rsidRPr="00A21682" w14:paraId="1F058065" w14:textId="77777777" w:rsidTr="00F91BE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7B89E755" w14:textId="1C303982" w:rsidR="00E001A2" w:rsidRPr="00A21682" w:rsidRDefault="00E4646A" w:rsidP="00047C4E">
            <w:pPr>
              <w:pStyle w:val="TABLETEXT1"/>
              <w:rPr>
                <w:rFonts w:cs="Arial"/>
                <w:b w:val="0"/>
                <w:bCs w:val="0"/>
                <w:color w:val="000000" w:themeColor="text1"/>
                <w:szCs w:val="24"/>
                <w:lang w:val="en-US" w:eastAsia="ko-KR"/>
              </w:rPr>
            </w:pPr>
            <w:r>
              <w:rPr>
                <w:b w:val="0"/>
                <w:bCs w:val="0"/>
                <w:color w:val="000000" w:themeColor="text1"/>
                <w:szCs w:val="24"/>
                <w:lang w:val="en-US"/>
              </w:rPr>
              <w:t>CRB</w:t>
            </w:r>
          </w:p>
        </w:tc>
        <w:tc>
          <w:tcPr>
            <w:tcW w:w="7037" w:type="dxa"/>
            <w:shd w:val="clear" w:color="auto" w:fill="FFFFFF" w:themeFill="background1"/>
          </w:tcPr>
          <w:p w14:paraId="747CABFA" w14:textId="54390774"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Participates in CRB decision-making</w:t>
            </w:r>
          </w:p>
          <w:p w14:paraId="6DDE78A6"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Participates in project wave scope change decisions</w:t>
            </w:r>
          </w:p>
          <w:p w14:paraId="0AC768A0" w14:textId="53F6A045"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 xml:space="preserve">Provides approval for the implementation of CRs </w:t>
            </w:r>
          </w:p>
        </w:tc>
      </w:tr>
      <w:bookmarkEnd w:id="4401"/>
      <w:tr w:rsidR="002F4E2D" w:rsidRPr="00A21682" w14:paraId="314E86BE" w14:textId="61C75FA1" w:rsidTr="00F91BE7">
        <w:trPr>
          <w:cantSplit/>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311B53FF" w14:textId="659C3110" w:rsidR="00E001A2" w:rsidRPr="00A21682" w:rsidRDefault="00E001A2" w:rsidP="00047C4E">
            <w:pPr>
              <w:pStyle w:val="TABLETEXT1"/>
              <w:rPr>
                <w:b w:val="0"/>
                <w:bCs w:val="0"/>
                <w:color w:val="000000" w:themeColor="text1"/>
                <w:szCs w:val="24"/>
                <w:lang w:val="en-US"/>
              </w:rPr>
            </w:pPr>
            <w:r>
              <w:rPr>
                <w:b w:val="0"/>
                <w:bCs w:val="0"/>
                <w:color w:val="000000" w:themeColor="text1"/>
                <w:szCs w:val="24"/>
                <w:lang w:val="en-US"/>
              </w:rPr>
              <w:t>ARB</w:t>
            </w:r>
          </w:p>
        </w:tc>
        <w:tc>
          <w:tcPr>
            <w:tcW w:w="7037" w:type="dxa"/>
            <w:shd w:val="clear" w:color="auto" w:fill="FFFFFF" w:themeFill="background1"/>
          </w:tcPr>
          <w:p w14:paraId="0072250C" w14:textId="5C62D71C" w:rsidR="00E001A2" w:rsidRPr="00635C9B" w:rsidDel="006E267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Participates in ARB decision-making</w:t>
            </w:r>
          </w:p>
          <w:p w14:paraId="3603F4CF" w14:textId="6772C0AF" w:rsidR="00E001A2" w:rsidRPr="00635C9B" w:rsidDel="006E267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Participates in project wave scope change decisions</w:t>
            </w:r>
          </w:p>
          <w:p w14:paraId="59F89A91" w14:textId="4F5A2897" w:rsidR="00E001A2" w:rsidRPr="00635C9B" w:rsidRDefault="00E001A2" w:rsidP="00FF05BD">
            <w:pPr>
              <w:pStyle w:val="TABLEBULLETNEW"/>
              <w:cnfStyle w:val="000000000000" w:firstRow="0" w:lastRow="0" w:firstColumn="0" w:lastColumn="0" w:oddVBand="0" w:evenVBand="0" w:oddHBand="0" w:evenHBand="0" w:firstRowFirstColumn="0" w:firstRowLastColumn="0" w:lastRowFirstColumn="0" w:lastRowLastColumn="0"/>
            </w:pPr>
            <w:r>
              <w:t xml:space="preserve">Provides oversight and is consulted on changes impacting system architecture design and business continuity </w:t>
            </w:r>
          </w:p>
        </w:tc>
      </w:tr>
      <w:tr w:rsidR="002F4E2D" w:rsidRPr="00A21682" w14:paraId="596EF591" w14:textId="77777777" w:rsidTr="00F91BE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tcBorders>
            <w:shd w:val="clear" w:color="auto" w:fill="FFFFFF" w:themeFill="background1"/>
          </w:tcPr>
          <w:p w14:paraId="2C93E73D" w14:textId="77777777" w:rsidR="00E001A2" w:rsidRPr="00A21682" w:rsidRDefault="00E001A2" w:rsidP="00047C4E">
            <w:pPr>
              <w:pStyle w:val="TABLETEXT1"/>
              <w:rPr>
                <w:b w:val="0"/>
                <w:bCs w:val="0"/>
                <w:color w:val="000000" w:themeColor="text1"/>
                <w:szCs w:val="24"/>
                <w:lang w:val="en-US"/>
              </w:rPr>
            </w:pPr>
            <w:r>
              <w:rPr>
                <w:b w:val="0"/>
                <w:bCs w:val="0"/>
                <w:color w:val="000000" w:themeColor="text1"/>
                <w:szCs w:val="24"/>
                <w:lang w:val="en-US"/>
              </w:rPr>
              <w:t>PMO</w:t>
            </w:r>
          </w:p>
        </w:tc>
        <w:tc>
          <w:tcPr>
            <w:tcW w:w="7037" w:type="dxa"/>
            <w:shd w:val="clear" w:color="auto" w:fill="FFFFFF" w:themeFill="background1"/>
          </w:tcPr>
          <w:p w14:paraId="4A01AFAF" w14:textId="77777777" w:rsidR="006E267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Drives and maintains the overall CR process</w:t>
            </w:r>
          </w:p>
          <w:p w14:paraId="411ADC30" w14:textId="0214A4A3" w:rsidR="00E001A2" w:rsidRPr="00635C9B" w:rsidRDefault="006E267B" w:rsidP="00FF05BD">
            <w:pPr>
              <w:pStyle w:val="TABLEBULLETNEW"/>
              <w:cnfStyle w:val="000000100000" w:firstRow="0" w:lastRow="0" w:firstColumn="0" w:lastColumn="0" w:oddVBand="0" w:evenVBand="0" w:oddHBand="1" w:evenHBand="0" w:firstRowFirstColumn="0" w:firstRowLastColumn="0" w:lastRowFirstColumn="0" w:lastRowLastColumn="0"/>
            </w:pPr>
            <w:r>
              <w:t>This includes Deloitte and DOS PMOs</w:t>
            </w:r>
          </w:p>
          <w:p w14:paraId="3E7DECC9" w14:textId="354059A1"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Updates the master project work plan to implement approved CRs</w:t>
            </w:r>
          </w:p>
          <w:p w14:paraId="7FF1C291" w14:textId="6080CEBA"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Communicates the status of CRs to stakeholders</w:t>
            </w:r>
          </w:p>
          <w:p w14:paraId="78C235ED"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Serves as the primary liaison with project staff and project team</w:t>
            </w:r>
          </w:p>
          <w:p w14:paraId="4D9BABAD" w14:textId="20926700"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Manages communications related to CRs</w:t>
            </w:r>
          </w:p>
          <w:p w14:paraId="6815D8F2" w14:textId="77777777"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Participates in project wave scope change decisions</w:t>
            </w:r>
          </w:p>
          <w:p w14:paraId="2930B899" w14:textId="5B46DAFA"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 xml:space="preserve">Validates CRs and escalates CRs to CRB or ARB based on the nature of the CR </w:t>
            </w:r>
          </w:p>
          <w:p w14:paraId="4D2682A6" w14:textId="1300014D" w:rsidR="00E001A2" w:rsidRPr="00635C9B" w:rsidRDefault="00E001A2" w:rsidP="00FF05BD">
            <w:pPr>
              <w:pStyle w:val="TABLEBULLETNEW"/>
              <w:cnfStyle w:val="000000100000" w:firstRow="0" w:lastRow="0" w:firstColumn="0" w:lastColumn="0" w:oddVBand="0" w:evenVBand="0" w:oddHBand="1" w:evenHBand="0" w:firstRowFirstColumn="0" w:firstRowLastColumn="0" w:lastRowFirstColumn="0" w:lastRowLastColumn="0"/>
            </w:pPr>
            <w:r>
              <w:t xml:space="preserve">Presents CRs for discussion in the PSR as part of the Project status Meeting </w:t>
            </w:r>
          </w:p>
        </w:tc>
      </w:tr>
      <w:tr w:rsidR="002F4E2D" w:rsidRPr="00A21682" w14:paraId="03CFF28A" w14:textId="77777777" w:rsidTr="00F91BE7">
        <w:trPr>
          <w:cantSplit/>
        </w:trPr>
        <w:tc>
          <w:tcPr>
            <w:cnfStyle w:val="001000000000" w:firstRow="0" w:lastRow="0" w:firstColumn="1" w:lastColumn="0" w:oddVBand="0" w:evenVBand="0" w:oddHBand="0" w:evenHBand="0" w:firstRowFirstColumn="0" w:firstRowLastColumn="0" w:lastRowFirstColumn="0" w:lastRowLastColumn="0"/>
            <w:tcW w:w="2323" w:type="dxa"/>
            <w:tcBorders>
              <w:left w:val="single" w:sz="2" w:space="0" w:color="auto"/>
              <w:bottom w:val="single" w:sz="2" w:space="0" w:color="auto"/>
            </w:tcBorders>
            <w:shd w:val="clear" w:color="auto" w:fill="FFFFFF" w:themeFill="background1"/>
          </w:tcPr>
          <w:p w14:paraId="10CF9EA9" w14:textId="1189ECF1" w:rsidR="00F340FC" w:rsidRPr="00A21682" w:rsidRDefault="00F340FC" w:rsidP="00F340FC">
            <w:pPr>
              <w:pStyle w:val="TABLETEXT1"/>
              <w:rPr>
                <w:b w:val="0"/>
                <w:bCs w:val="0"/>
                <w:color w:val="000000" w:themeColor="text1"/>
                <w:szCs w:val="24"/>
                <w:lang w:val="en-US"/>
              </w:rPr>
            </w:pPr>
            <w:r>
              <w:rPr>
                <w:b w:val="0"/>
                <w:bCs w:val="0"/>
                <w:color w:val="000000" w:themeColor="text1"/>
                <w:szCs w:val="24"/>
                <w:lang w:val="en-US"/>
              </w:rPr>
              <w:t xml:space="preserve">███████ Tracks (Functional, Business, and Technical) and Stakeholders </w:t>
            </w:r>
          </w:p>
        </w:tc>
        <w:tc>
          <w:tcPr>
            <w:tcW w:w="7037" w:type="dxa"/>
            <w:tcBorders>
              <w:bottom w:val="single" w:sz="2" w:space="0" w:color="auto"/>
            </w:tcBorders>
            <w:shd w:val="clear" w:color="auto" w:fill="FFFFFF" w:themeFill="background1"/>
          </w:tcPr>
          <w:p w14:paraId="08066ADA" w14:textId="77777777" w:rsidR="00F340FC" w:rsidRPr="00635C9B" w:rsidRDefault="00F340FC" w:rsidP="00FF05BD">
            <w:pPr>
              <w:pStyle w:val="TABLEBULLETNEW"/>
              <w:cnfStyle w:val="000000000000" w:firstRow="0" w:lastRow="0" w:firstColumn="0" w:lastColumn="0" w:oddVBand="0" w:evenVBand="0" w:oddHBand="0" w:evenHBand="0" w:firstRowFirstColumn="0" w:firstRowLastColumn="0" w:lastRowFirstColumn="0" w:lastRowLastColumn="0"/>
            </w:pPr>
            <w:r>
              <w:t>Participates in project wave scope change decisions</w:t>
            </w:r>
          </w:p>
          <w:p w14:paraId="793DDC2C" w14:textId="77777777" w:rsidR="00F340FC" w:rsidRPr="00635C9B" w:rsidRDefault="00F340FC" w:rsidP="00FF05BD">
            <w:pPr>
              <w:pStyle w:val="TABLEBULLETNEW"/>
              <w:cnfStyle w:val="000000000000" w:firstRow="0" w:lastRow="0" w:firstColumn="0" w:lastColumn="0" w:oddVBand="0" w:evenVBand="0" w:oddHBand="0" w:evenHBand="0" w:firstRowFirstColumn="0" w:firstRowLastColumn="0" w:lastRowFirstColumn="0" w:lastRowLastColumn="0"/>
            </w:pPr>
            <w:r>
              <w:t>Analyzes change requests to determine impact</w:t>
            </w:r>
          </w:p>
          <w:p w14:paraId="55347FEA" w14:textId="77777777" w:rsidR="00F340FC" w:rsidRPr="00635C9B" w:rsidRDefault="00F340FC" w:rsidP="00FF05BD">
            <w:pPr>
              <w:pStyle w:val="TABLEBULLETNEW"/>
              <w:cnfStyle w:val="000000000000" w:firstRow="0" w:lastRow="0" w:firstColumn="0" w:lastColumn="0" w:oddVBand="0" w:evenVBand="0" w:oddHBand="0" w:evenHBand="0" w:firstRowFirstColumn="0" w:firstRowLastColumn="0" w:lastRowFirstColumn="0" w:lastRowLastColumn="0"/>
            </w:pPr>
            <w:r>
              <w:t>Provides input to change request impact assessments for specified field of expertise or track/workstream</w:t>
            </w:r>
          </w:p>
          <w:p w14:paraId="5A1C1EA1" w14:textId="77777777" w:rsidR="00F340FC" w:rsidRPr="00635C9B" w:rsidRDefault="00F340FC" w:rsidP="00FF05BD">
            <w:pPr>
              <w:pStyle w:val="TABLEBULLETNEW"/>
              <w:cnfStyle w:val="000000000000" w:firstRow="0" w:lastRow="0" w:firstColumn="0" w:lastColumn="0" w:oddVBand="0" w:evenVBand="0" w:oddHBand="0" w:evenHBand="0" w:firstRowFirstColumn="0" w:firstRowLastColumn="0" w:lastRowFirstColumn="0" w:lastRowLastColumn="0"/>
            </w:pPr>
            <w:r>
              <w:t xml:space="preserve">Provides recommendations on next steps for change requests for specified field of expertise or track/workstream </w:t>
            </w:r>
          </w:p>
        </w:tc>
      </w:tr>
    </w:tbl>
    <w:p w14:paraId="5B9848C3" w14:textId="620B0DFD" w:rsidR="00E001A2" w:rsidRPr="00A21682" w:rsidRDefault="00171DFD" w:rsidP="004A67D5">
      <w:pPr>
        <w:pStyle w:val="Caption"/>
        <w:rPr>
          <w:noProof w:val="0"/>
        </w:rPr>
      </w:pPr>
      <w:bookmarkStart w:id="4402" w:name="_Toc192875234"/>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11</w:t>
      </w:r>
      <w:r>
        <w:rPr>
          <w:noProof w:val="0"/>
        </w:rPr>
        <w:fldChar w:fldCharType="end"/>
      </w:r>
      <w:r>
        <w:rPr>
          <w:noProof w:val="0"/>
        </w:rPr>
        <w:t>: Integrated Change Control Process Roles and Responsibilities</w:t>
      </w:r>
      <w:bookmarkEnd w:id="4402"/>
    </w:p>
    <w:p w14:paraId="7C2C3641" w14:textId="77777777" w:rsidR="00E001A2" w:rsidRPr="00A21682" w:rsidRDefault="00E001A2" w:rsidP="00E001A2">
      <w:pPr>
        <w:rPr>
          <w:rFonts w:ascii="Verdana" w:hAnsi="Verdana"/>
          <w:sz w:val="18"/>
        </w:rPr>
      </w:pPr>
      <w:r>
        <w:rPr>
          <w:rFonts w:ascii="Verdana" w:hAnsi="Verdana"/>
          <w:sz w:val="18"/>
        </w:rPr>
        <w:br w:type="page"/>
      </w:r>
    </w:p>
    <w:p w14:paraId="472A5E83" w14:textId="2408F673" w:rsidR="00E001A2" w:rsidRPr="00A21682" w:rsidRDefault="00E001A2" w:rsidP="00B97366">
      <w:pPr>
        <w:pStyle w:val="NormalNEW"/>
        <w:rPr>
          <w:b/>
          <w:bCs/>
          <w:lang w:val="en-US"/>
        </w:rPr>
      </w:pPr>
      <w:bookmarkStart w:id="4403" w:name="_Toc154132994"/>
      <w:r>
        <w:rPr>
          <w:b/>
          <w:bCs/>
          <w:lang w:val="en-US"/>
        </w:rPr>
        <w:lastRenderedPageBreak/>
        <w:t>Appendix C-10 Schedule Management Plan Roles and Responsibilities</w:t>
      </w:r>
      <w:bookmarkEnd w:id="4403"/>
    </w:p>
    <w:p w14:paraId="06E3513A" w14:textId="270EB74A" w:rsidR="0008482E" w:rsidRPr="00A21682" w:rsidRDefault="0008482E" w:rsidP="00B97366">
      <w:pPr>
        <w:pStyle w:val="NormalNEW"/>
        <w:rPr>
          <w:lang w:val="en-US"/>
        </w:rPr>
      </w:pPr>
      <w:r>
        <w:rPr>
          <w:lang w:val="en-US"/>
        </w:rPr>
        <w:t>The following table outlines the roles and responsibilities associated with the Section 11 Schedule Management Plan:</w:t>
      </w:r>
    </w:p>
    <w:tbl>
      <w:tblPr>
        <w:tblStyle w:val="GridTable5Dark-Accent1331"/>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160"/>
        <w:gridCol w:w="7200"/>
      </w:tblGrid>
      <w:tr w:rsidR="002F4E2D" w:rsidRPr="00A21682" w14:paraId="3164F4D1" w14:textId="77777777" w:rsidTr="00F91BE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60" w:type="dxa"/>
            <w:tcBorders>
              <w:bottom w:val="single" w:sz="2" w:space="0" w:color="auto"/>
              <w:right w:val="single" w:sz="2" w:space="0" w:color="FFFFFF" w:themeColor="background1"/>
            </w:tcBorders>
            <w:shd w:val="clear" w:color="auto" w:fill="000000" w:themeFill="text1"/>
          </w:tcPr>
          <w:p w14:paraId="13B8B4E9" w14:textId="77777777" w:rsidR="00E001A2" w:rsidRPr="00A21682" w:rsidRDefault="00E001A2" w:rsidP="00047C4E">
            <w:pPr>
              <w:pStyle w:val="TABLEHEADINGNEW"/>
              <w:rPr>
                <w:b/>
                <w:bCs/>
              </w:rPr>
            </w:pPr>
            <w:r>
              <w:rPr>
                <w:b/>
                <w:bCs/>
              </w:rPr>
              <w:t>Stakeholder Group</w:t>
            </w:r>
          </w:p>
        </w:tc>
        <w:tc>
          <w:tcPr>
            <w:tcW w:w="7200" w:type="dxa"/>
            <w:tcBorders>
              <w:left w:val="single" w:sz="2" w:space="0" w:color="FFFFFF" w:themeColor="background1"/>
              <w:bottom w:val="single" w:sz="2" w:space="0" w:color="auto"/>
            </w:tcBorders>
            <w:shd w:val="clear" w:color="auto" w:fill="000000" w:themeFill="text1"/>
          </w:tcPr>
          <w:p w14:paraId="3000FFE0"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0F51E8A4" w14:textId="77777777" w:rsidTr="00F91BE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0910B17F" w14:textId="7545CEEE" w:rsidR="00E001A2" w:rsidRPr="00A21682" w:rsidRDefault="00E001A2" w:rsidP="00047C4E">
            <w:pPr>
              <w:pStyle w:val="TABLETEXT1"/>
              <w:rPr>
                <w:b w:val="0"/>
                <w:bCs w:val="0"/>
                <w:color w:val="000000" w:themeColor="text1"/>
                <w:szCs w:val="24"/>
                <w:lang w:val="en-US"/>
              </w:rPr>
            </w:pPr>
            <w:r>
              <w:rPr>
                <w:b w:val="0"/>
                <w:bCs w:val="0"/>
                <w:color w:val="000000" w:themeColor="text1"/>
                <w:lang w:val="en-US"/>
              </w:rPr>
              <w:t>PMO</w:t>
            </w:r>
          </w:p>
        </w:tc>
        <w:tc>
          <w:tcPr>
            <w:tcW w:w="7200" w:type="dxa"/>
            <w:shd w:val="clear" w:color="auto" w:fill="FFFFFF" w:themeFill="background1"/>
          </w:tcPr>
          <w:p w14:paraId="6076181F" w14:textId="271C70A5"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 xml:space="preserve">With input from Stakeholders, Managerial Governance, and Executive Governance, PMO is responsible for developing the Master ISOW Integrated Project Schedule based on the MSOW and estimates for future project Waves. </w:t>
            </w:r>
          </w:p>
          <w:p w14:paraId="5FEFD882" w14:textId="7A07FBB3"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szCs w:val="18"/>
                <w:lang w:val="en-US"/>
              </w:rPr>
            </w:pPr>
            <w:r>
              <w:rPr>
                <w:szCs w:val="18"/>
                <w:lang w:val="en-US"/>
              </w:rPr>
              <w:t>PMO is also responsible for working with Stakeholders and Managerial Governance on the Work Plan, which includes schedules, resources, dependencies, and constraints for deliverables. PMO then manages updates to the Work Plan throughout the project life cycle and participates in project decisions around schedule management.</w:t>
            </w:r>
          </w:p>
        </w:tc>
      </w:tr>
      <w:tr w:rsidR="00716394" w:rsidRPr="00A21682" w14:paraId="643D7750" w14:textId="77777777" w:rsidTr="00F91BE7">
        <w:trPr>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5456A741"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Stakeholders</w:t>
            </w:r>
          </w:p>
        </w:tc>
        <w:tc>
          <w:tcPr>
            <w:tcW w:w="7200" w:type="dxa"/>
            <w:shd w:val="clear" w:color="auto" w:fill="FFFFFF" w:themeFill="background1"/>
          </w:tcPr>
          <w:p w14:paraId="1B5B53FD" w14:textId="671E79FA"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 xml:space="preserve">Stakeholders contribute to the development of the Master ISOW Integrated Project Schedule and Work Plan. During </w:t>
            </w:r>
            <w:r>
              <w:rPr>
                <w:rFonts w:eastAsia="Calibri" w:cs="Arial"/>
                <w:i/>
                <w:iCs/>
                <w:color w:val="000000"/>
                <w:shd w:val="clear" w:color="auto" w:fill="FFFFFF"/>
                <w:lang w:val="en-US"/>
              </w:rPr>
              <w:t>Step #3 Monitor / Manage,</w:t>
            </w:r>
            <w:r>
              <w:rPr>
                <w:rFonts w:eastAsia="Calibri" w:cs="Arial"/>
                <w:iCs/>
                <w:color w:val="000000"/>
                <w:shd w:val="clear" w:color="auto" w:fill="FFFFFF"/>
                <w:lang w:val="en-US"/>
              </w:rPr>
              <w:t xml:space="preserve"> Stakeholders identify potential variances, Risks, and Issues throughout the project life cycle. </w:t>
            </w:r>
          </w:p>
          <w:p w14:paraId="5574285E" w14:textId="31676C94"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According to the Integrated Change Control Process (refer to Section 10), Stakeholders participate in Risk Management and Issue Resolution processes.</w:t>
            </w:r>
          </w:p>
        </w:tc>
      </w:tr>
      <w:tr w:rsidR="00716394" w:rsidRPr="00A21682" w14:paraId="0DBF9327" w14:textId="77777777" w:rsidTr="00F91BE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251717BF" w14:textId="77777777" w:rsidR="00E001A2" w:rsidRPr="00A21682" w:rsidRDefault="00E001A2" w:rsidP="00047C4E">
            <w:pPr>
              <w:pStyle w:val="TABLETEXT1"/>
              <w:rPr>
                <w:b w:val="0"/>
                <w:bCs w:val="0"/>
                <w:color w:val="000000" w:themeColor="text1"/>
                <w:lang w:val="en-US"/>
              </w:rPr>
            </w:pPr>
            <w:r>
              <w:rPr>
                <w:b w:val="0"/>
                <w:bCs w:val="0"/>
                <w:color w:val="000000" w:themeColor="text1"/>
                <w:lang w:val="en-US"/>
              </w:rPr>
              <w:t>Managerial Governance</w:t>
            </w:r>
          </w:p>
        </w:tc>
        <w:tc>
          <w:tcPr>
            <w:tcW w:w="7200" w:type="dxa"/>
            <w:shd w:val="clear" w:color="auto" w:fill="FFFFFF" w:themeFill="background1"/>
          </w:tcPr>
          <w:p w14:paraId="01F6D282" w14:textId="7777777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Managerial Governance provides critical guidance and project inputs during the creation of the Master ISOW Integrated Project Schedule and Work Plan at the beginning of the Wave.</w:t>
            </w:r>
          </w:p>
          <w:p w14:paraId="2C427CEE" w14:textId="6B36AE5A"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 xml:space="preserve">Throughout the project life cycle, Managerial Governance manages the Risk Management and Issue Resolution processes that arise during </w:t>
            </w:r>
            <w:r>
              <w:rPr>
                <w:rFonts w:eastAsia="Calibri" w:cs="Arial"/>
                <w:i/>
                <w:color w:val="000000"/>
                <w:shd w:val="clear" w:color="auto" w:fill="FFFFFF"/>
                <w:lang w:val="en-US"/>
              </w:rPr>
              <w:t>Step</w:t>
            </w:r>
            <w:r>
              <w:rPr>
                <w:rFonts w:eastAsia="Calibri" w:cs="Arial"/>
                <w:i/>
                <w:iCs/>
                <w:color w:val="000000"/>
                <w:shd w:val="clear" w:color="auto" w:fill="FFFFFF"/>
                <w:lang w:val="en-US"/>
              </w:rPr>
              <w:t xml:space="preserve"> #3 Monitor / Manage.</w:t>
            </w:r>
          </w:p>
        </w:tc>
      </w:tr>
      <w:tr w:rsidR="002F4E2D" w:rsidRPr="00A21682" w14:paraId="50C81095" w14:textId="77777777" w:rsidTr="00F91BE7">
        <w:trPr>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bottom w:val="single" w:sz="2" w:space="0" w:color="auto"/>
            </w:tcBorders>
            <w:shd w:val="clear" w:color="auto" w:fill="FFFFFF" w:themeFill="background1"/>
          </w:tcPr>
          <w:p w14:paraId="097CE6BC" w14:textId="091A2404" w:rsidR="00E001A2" w:rsidRPr="00A21682" w:rsidRDefault="00E001A2" w:rsidP="00047C4E">
            <w:pPr>
              <w:pStyle w:val="TABLETEXT1"/>
              <w:rPr>
                <w:b w:val="0"/>
                <w:bCs w:val="0"/>
                <w:color w:val="000000" w:themeColor="text1"/>
                <w:lang w:val="en-US"/>
              </w:rPr>
            </w:pPr>
            <w:r>
              <w:rPr>
                <w:b w:val="0"/>
                <w:bCs w:val="0"/>
                <w:color w:val="000000" w:themeColor="text1"/>
                <w:lang w:val="en-US"/>
              </w:rPr>
              <w:t>Executive Governance</w:t>
            </w:r>
          </w:p>
        </w:tc>
        <w:tc>
          <w:tcPr>
            <w:tcW w:w="7200" w:type="dxa"/>
            <w:tcBorders>
              <w:bottom w:val="single" w:sz="2" w:space="0" w:color="auto"/>
            </w:tcBorders>
            <w:shd w:val="clear" w:color="auto" w:fill="FFFFFF" w:themeFill="background1"/>
          </w:tcPr>
          <w:p w14:paraId="17AC6A2E" w14:textId="4AE45829"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Executive Governance, as the project sponsor and group responsible for determining project goals and objectives, guides the creation of the Master ISOW Integrated Project Schedule prior to the initiation of the Work Plan.</w:t>
            </w:r>
          </w:p>
          <w:p w14:paraId="4C721CCF" w14:textId="1F19DC9A" w:rsidR="00E001A2" w:rsidRPr="00A21682" w:rsidRDefault="00E001A2" w:rsidP="007A5FD7">
            <w:pPr>
              <w:pStyle w:val="TABLETEXT1"/>
              <w:keepNext/>
              <w:cnfStyle w:val="000000000000" w:firstRow="0" w:lastRow="0" w:firstColumn="0" w:lastColumn="0" w:oddVBand="0" w:evenVBand="0" w:oddHBand="0" w:evenHBand="0" w:firstRowFirstColumn="0" w:firstRowLastColumn="0" w:lastRowFirstColumn="0" w:lastRowLastColumn="0"/>
              <w:rPr>
                <w:rFonts w:eastAsia="Calibri" w:cs="Arial"/>
                <w:iCs/>
                <w:color w:val="000000"/>
                <w:shd w:val="clear" w:color="auto" w:fill="FFFFFF"/>
                <w:lang w:val="en-US"/>
              </w:rPr>
            </w:pPr>
            <w:r>
              <w:rPr>
                <w:rFonts w:eastAsia="Calibri" w:cs="Arial"/>
                <w:iCs/>
                <w:color w:val="000000"/>
                <w:shd w:val="clear" w:color="auto" w:fill="FFFFFF"/>
                <w:lang w:val="en-US"/>
              </w:rPr>
              <w:t>Executive Governance is then involved in any schedule-related items that get escalated during the Integrated Change Control Process (refer to Section 10) process.</w:t>
            </w:r>
          </w:p>
        </w:tc>
      </w:tr>
    </w:tbl>
    <w:p w14:paraId="263106BD" w14:textId="7DA3C67A" w:rsidR="00E001A2" w:rsidRPr="00A21682" w:rsidRDefault="00171DFD" w:rsidP="004A67D5">
      <w:pPr>
        <w:pStyle w:val="Caption"/>
        <w:rPr>
          <w:noProof w:val="0"/>
        </w:rPr>
      </w:pPr>
      <w:bookmarkStart w:id="4404" w:name="_Toc192875235"/>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12</w:t>
      </w:r>
      <w:r>
        <w:rPr>
          <w:noProof w:val="0"/>
        </w:rPr>
        <w:fldChar w:fldCharType="end"/>
      </w:r>
      <w:r>
        <w:rPr>
          <w:noProof w:val="0"/>
        </w:rPr>
        <w:t>: Schedule Management Plan Roles and Responsibilities</w:t>
      </w:r>
      <w:bookmarkEnd w:id="4404"/>
    </w:p>
    <w:p w14:paraId="41DC35A2" w14:textId="77777777" w:rsidR="00E001A2" w:rsidRPr="00A21682" w:rsidRDefault="00E001A2" w:rsidP="00E001A2">
      <w:pPr>
        <w:rPr>
          <w:rFonts w:ascii="Verdana" w:hAnsi="Verdana"/>
          <w:sz w:val="18"/>
        </w:rPr>
      </w:pPr>
      <w:r>
        <w:rPr>
          <w:rFonts w:ascii="Verdana" w:hAnsi="Verdana"/>
          <w:sz w:val="18"/>
        </w:rPr>
        <w:br w:type="page"/>
      </w:r>
    </w:p>
    <w:p w14:paraId="380271CD" w14:textId="77777777" w:rsidR="00E001A2" w:rsidRPr="00A21682" w:rsidRDefault="00E001A2" w:rsidP="00B97366">
      <w:pPr>
        <w:pStyle w:val="NormalNEW"/>
        <w:rPr>
          <w:b/>
          <w:bCs/>
          <w:lang w:val="en-US"/>
        </w:rPr>
      </w:pPr>
      <w:bookmarkStart w:id="4405" w:name="_Toc154132995"/>
      <w:r>
        <w:rPr>
          <w:b/>
          <w:bCs/>
          <w:lang w:val="en-US"/>
        </w:rPr>
        <w:lastRenderedPageBreak/>
        <w:t>Appendix C-11 Requirements Management Plan Roles and Responsibilities</w:t>
      </w:r>
      <w:bookmarkEnd w:id="4405"/>
    </w:p>
    <w:p w14:paraId="4A8F126C" w14:textId="04AF4DFA" w:rsidR="0008482E" w:rsidRPr="00A21682" w:rsidRDefault="0008482E" w:rsidP="0008482E">
      <w:pPr>
        <w:pStyle w:val="NormalNEW"/>
        <w:rPr>
          <w:lang w:val="en-US"/>
        </w:rPr>
      </w:pPr>
      <w:r>
        <w:rPr>
          <w:lang w:val="en-US"/>
        </w:rPr>
        <w:t>The following table outlines the roles and responsibilities associated with the Section 12 Requirements Management Plan:</w:t>
      </w:r>
    </w:p>
    <w:tbl>
      <w:tblPr>
        <w:tblStyle w:val="GridTable5Dark-Accent1331"/>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2160"/>
        <w:gridCol w:w="7200"/>
      </w:tblGrid>
      <w:tr w:rsidR="0014746A" w:rsidRPr="00A21682" w14:paraId="1C7E92C1" w14:textId="77777777" w:rsidTr="00F91BE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160" w:type="dxa"/>
            <w:tcBorders>
              <w:bottom w:val="single" w:sz="2" w:space="0" w:color="auto"/>
              <w:right w:val="single" w:sz="2" w:space="0" w:color="FFFFFF" w:themeColor="background1"/>
            </w:tcBorders>
            <w:shd w:val="clear" w:color="auto" w:fill="000000" w:themeFill="text1"/>
          </w:tcPr>
          <w:p w14:paraId="6085C7A6" w14:textId="77777777" w:rsidR="00E001A2" w:rsidRPr="00A21682" w:rsidRDefault="00E001A2" w:rsidP="00047C4E">
            <w:pPr>
              <w:pStyle w:val="TABLEHEADINGNEW"/>
              <w:rPr>
                <w:b/>
                <w:bCs/>
              </w:rPr>
            </w:pPr>
            <w:r>
              <w:rPr>
                <w:b/>
                <w:bCs/>
              </w:rPr>
              <w:t>Stakeholder Group</w:t>
            </w:r>
          </w:p>
        </w:tc>
        <w:tc>
          <w:tcPr>
            <w:tcW w:w="7200" w:type="dxa"/>
            <w:tcBorders>
              <w:left w:val="single" w:sz="2" w:space="0" w:color="FFFFFF" w:themeColor="background1"/>
              <w:bottom w:val="single" w:sz="2" w:space="0" w:color="auto"/>
            </w:tcBorders>
            <w:shd w:val="clear" w:color="auto" w:fill="000000" w:themeFill="text1"/>
          </w:tcPr>
          <w:p w14:paraId="0749278A" w14:textId="77777777" w:rsidR="00E001A2" w:rsidRPr="00A21682" w:rsidRDefault="00E001A2" w:rsidP="00047C4E">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Responsibilities</w:t>
            </w:r>
          </w:p>
        </w:tc>
      </w:tr>
      <w:tr w:rsidR="00716394" w:rsidRPr="00A21682" w14:paraId="0C901FC2" w14:textId="77777777" w:rsidTr="00F91BE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3ED0C3BD" w14:textId="77777777" w:rsidR="00E001A2" w:rsidRPr="00A21682" w:rsidRDefault="00E001A2" w:rsidP="00047C4E">
            <w:pPr>
              <w:pStyle w:val="TABLETEXT1"/>
              <w:rPr>
                <w:b w:val="0"/>
                <w:bCs w:val="0"/>
                <w:color w:val="000000" w:themeColor="text1"/>
                <w:szCs w:val="28"/>
                <w:lang w:val="en-US"/>
              </w:rPr>
            </w:pPr>
            <w:r>
              <w:rPr>
                <w:rFonts w:cs="Arial"/>
                <w:b w:val="0"/>
                <w:bCs w:val="0"/>
                <w:color w:val="000000" w:themeColor="text1"/>
                <w:szCs w:val="28"/>
                <w:lang w:val="en-US" w:eastAsia="ko-KR"/>
              </w:rPr>
              <w:t xml:space="preserve">Project Management </w:t>
            </w:r>
          </w:p>
        </w:tc>
        <w:tc>
          <w:tcPr>
            <w:tcW w:w="7200" w:type="dxa"/>
            <w:shd w:val="clear" w:color="auto" w:fill="auto"/>
          </w:tcPr>
          <w:p w14:paraId="69F20A64" w14:textId="046AEC56"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iCs/>
                <w:lang w:val="en-US"/>
              </w:rPr>
            </w:pPr>
            <w:r>
              <w:rPr>
                <w:iCs/>
                <w:lang w:val="en-US"/>
              </w:rPr>
              <w:t xml:space="preserve">During interim and planned Requirements Management Plan, Project Management is responsible for developing and maintaining the RTM in the requirements management tool. </w:t>
            </w:r>
          </w:p>
          <w:p w14:paraId="05858B47" w14:textId="77777777"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iCs/>
                <w:lang w:val="en-US"/>
              </w:rPr>
            </w:pPr>
            <w:r>
              <w:rPr>
                <w:iCs/>
                <w:lang w:val="en-US"/>
              </w:rPr>
              <w:t>During input collection, Project Management is responsible for collecting input documents from relevant stakeholder groups. If needed, Project Management can assist stakeholder groups to identify and collect documents.</w:t>
            </w:r>
          </w:p>
          <w:p w14:paraId="6F3CDA50" w14:textId="430185A2"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lang w:val="en-US"/>
              </w:rPr>
            </w:pPr>
            <w:r>
              <w:rPr>
                <w:iCs/>
                <w:lang w:val="en-US"/>
              </w:rPr>
              <w:t>If during the project life cycle, changes to the requirements are necessary, Project Management will manage the transition to the ICCP and participate in that program as needed.</w:t>
            </w:r>
          </w:p>
        </w:tc>
      </w:tr>
      <w:tr w:rsidR="00716394" w:rsidRPr="00A21682" w14:paraId="44DB85FD" w14:textId="77777777" w:rsidTr="00F91BE7">
        <w:trPr>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101F1026" w14:textId="77777777" w:rsidR="00E001A2" w:rsidRPr="00A21682" w:rsidRDefault="00E001A2" w:rsidP="00047C4E">
            <w:pPr>
              <w:pStyle w:val="TABLETEXT1"/>
              <w:rPr>
                <w:rFonts w:cs="Arial"/>
                <w:b w:val="0"/>
                <w:bCs w:val="0"/>
                <w:color w:val="000000" w:themeColor="text1"/>
                <w:szCs w:val="28"/>
                <w:lang w:val="en-US" w:eastAsia="ko-KR"/>
              </w:rPr>
            </w:pPr>
            <w:r>
              <w:rPr>
                <w:rFonts w:cs="Arial"/>
                <w:b w:val="0"/>
                <w:bCs w:val="0"/>
                <w:color w:val="000000" w:themeColor="text1"/>
                <w:szCs w:val="28"/>
                <w:lang w:val="en-US" w:eastAsia="ko-KR"/>
              </w:rPr>
              <w:t xml:space="preserve">Stakeholder Groups </w:t>
            </w:r>
          </w:p>
        </w:tc>
        <w:tc>
          <w:tcPr>
            <w:tcW w:w="7200" w:type="dxa"/>
            <w:shd w:val="clear" w:color="auto" w:fill="auto"/>
          </w:tcPr>
          <w:p w14:paraId="12BB3DE6" w14:textId="3EBE03FD"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iCs/>
                <w:lang w:val="en-US"/>
              </w:rPr>
            </w:pPr>
            <w:r>
              <w:rPr>
                <w:iCs/>
                <w:lang w:val="en-US"/>
              </w:rPr>
              <w:t>Relevant stakeholder groups identify input documents based on their activities, transmit input documents to Project Management, and submit updates to the RTM, or the ALM tool once it is established.</w:t>
            </w:r>
          </w:p>
          <w:p w14:paraId="34426DF5"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iCs/>
                <w:lang w:val="en-US"/>
              </w:rPr>
            </w:pPr>
            <w:r>
              <w:rPr>
                <w:iCs/>
                <w:lang w:val="en-US"/>
              </w:rPr>
              <w:t>Stakeholder groups participate in the development of the RTM and subsequent review sessions to validate requirements and determine their impact on timeline, budget, and schedule.</w:t>
            </w:r>
          </w:p>
          <w:p w14:paraId="73811BD4"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iCs/>
                <w:lang w:val="en-US"/>
              </w:rPr>
            </w:pPr>
            <w:r>
              <w:rPr>
                <w:iCs/>
                <w:lang w:val="en-US"/>
              </w:rPr>
              <w:t>Provide feedback on the RTM and incorporate feedback from other stakeholder groups.</w:t>
            </w:r>
          </w:p>
          <w:p w14:paraId="3B158D53" w14:textId="77777777" w:rsidR="00E001A2" w:rsidRPr="00A21682" w:rsidRDefault="00E001A2" w:rsidP="00047C4E">
            <w:pPr>
              <w:pStyle w:val="TABLETEXT1"/>
              <w:cnfStyle w:val="000000000000" w:firstRow="0" w:lastRow="0" w:firstColumn="0" w:lastColumn="0" w:oddVBand="0" w:evenVBand="0" w:oddHBand="0" w:evenHBand="0" w:firstRowFirstColumn="0" w:firstRowLastColumn="0" w:lastRowFirstColumn="0" w:lastRowLastColumn="0"/>
              <w:rPr>
                <w:iCs/>
                <w:lang w:val="en-US"/>
              </w:rPr>
            </w:pPr>
            <w:r>
              <w:rPr>
                <w:iCs/>
                <w:lang w:val="en-US"/>
              </w:rPr>
              <w:t>Participate in gap assessment to baseline requirements.</w:t>
            </w:r>
          </w:p>
        </w:tc>
      </w:tr>
      <w:tr w:rsidR="00716394" w:rsidRPr="00A21682" w14:paraId="1013C2AD" w14:textId="77777777" w:rsidTr="00F91BE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tcBorders>
            <w:shd w:val="clear" w:color="auto" w:fill="FFFFFF" w:themeFill="background1"/>
          </w:tcPr>
          <w:p w14:paraId="34B016C6" w14:textId="77777777" w:rsidR="00E001A2" w:rsidRPr="00A21682" w:rsidRDefault="00E001A2" w:rsidP="00047C4E">
            <w:pPr>
              <w:pStyle w:val="TABLETEXT1"/>
              <w:rPr>
                <w:rFonts w:cs="Arial"/>
                <w:b w:val="0"/>
                <w:bCs w:val="0"/>
                <w:color w:val="000000" w:themeColor="text1"/>
                <w:szCs w:val="28"/>
                <w:lang w:val="en-US" w:eastAsia="ko-KR"/>
              </w:rPr>
            </w:pPr>
            <w:r>
              <w:rPr>
                <w:rFonts w:cs="Arial"/>
                <w:b w:val="0"/>
                <w:bCs w:val="0"/>
                <w:color w:val="000000" w:themeColor="text1"/>
                <w:szCs w:val="28"/>
                <w:lang w:val="en-US" w:eastAsia="ko-KR"/>
              </w:rPr>
              <w:t>Managerial Governance</w:t>
            </w:r>
          </w:p>
        </w:tc>
        <w:tc>
          <w:tcPr>
            <w:tcW w:w="7200" w:type="dxa"/>
            <w:shd w:val="clear" w:color="auto" w:fill="auto"/>
          </w:tcPr>
          <w:p w14:paraId="626677EE" w14:textId="3040F18F" w:rsidR="00E001A2" w:rsidRPr="00A21682" w:rsidRDefault="00E001A2" w:rsidP="00047C4E">
            <w:pPr>
              <w:pStyle w:val="TABLETEXT1"/>
              <w:cnfStyle w:val="000000100000" w:firstRow="0" w:lastRow="0" w:firstColumn="0" w:lastColumn="0" w:oddVBand="0" w:evenVBand="0" w:oddHBand="1" w:evenHBand="0" w:firstRowFirstColumn="0" w:firstRowLastColumn="0" w:lastRowFirstColumn="0" w:lastRowLastColumn="0"/>
              <w:rPr>
                <w:iCs/>
                <w:lang w:val="en-US"/>
              </w:rPr>
            </w:pPr>
            <w:r>
              <w:rPr>
                <w:iCs/>
                <w:lang w:val="en-US"/>
              </w:rPr>
              <w:t>If during the project life cycle, changes to the requirements are necessary, Project Management will manage the transition to the ICCP, which requires participation and input from Managerial Governance.</w:t>
            </w:r>
          </w:p>
        </w:tc>
      </w:tr>
      <w:tr w:rsidR="00716394" w:rsidRPr="00A21682" w14:paraId="70E5393A" w14:textId="77777777" w:rsidTr="00F91BE7">
        <w:trPr>
          <w:cantSplit/>
        </w:trPr>
        <w:tc>
          <w:tcPr>
            <w:cnfStyle w:val="001000000000" w:firstRow="0" w:lastRow="0" w:firstColumn="1" w:lastColumn="0" w:oddVBand="0" w:evenVBand="0" w:oddHBand="0" w:evenHBand="0" w:firstRowFirstColumn="0" w:firstRowLastColumn="0" w:lastRowFirstColumn="0" w:lastRowLastColumn="0"/>
            <w:tcW w:w="2160" w:type="dxa"/>
            <w:tcBorders>
              <w:left w:val="single" w:sz="2" w:space="0" w:color="auto"/>
              <w:bottom w:val="single" w:sz="2" w:space="0" w:color="auto"/>
            </w:tcBorders>
            <w:shd w:val="clear" w:color="auto" w:fill="FFFFFF" w:themeFill="background1"/>
          </w:tcPr>
          <w:p w14:paraId="612018D3" w14:textId="0504C4D5" w:rsidR="00E001A2" w:rsidRPr="00A21682" w:rsidRDefault="00E001A2" w:rsidP="00047C4E">
            <w:pPr>
              <w:pStyle w:val="TABLETEXT1"/>
              <w:rPr>
                <w:rFonts w:cs="Arial"/>
                <w:b w:val="0"/>
                <w:bCs w:val="0"/>
                <w:color w:val="000000" w:themeColor="text1"/>
                <w:szCs w:val="28"/>
                <w:lang w:val="en-US" w:eastAsia="ko-KR"/>
              </w:rPr>
            </w:pPr>
            <w:r>
              <w:rPr>
                <w:rFonts w:cs="Arial"/>
                <w:b w:val="0"/>
                <w:bCs w:val="0"/>
                <w:color w:val="000000" w:themeColor="text1"/>
                <w:szCs w:val="28"/>
                <w:lang w:val="en-US" w:eastAsia="ko-KR"/>
              </w:rPr>
              <w:t>Executive Governance</w:t>
            </w:r>
          </w:p>
        </w:tc>
        <w:tc>
          <w:tcPr>
            <w:tcW w:w="7200" w:type="dxa"/>
            <w:tcBorders>
              <w:bottom w:val="single" w:sz="2" w:space="0" w:color="auto"/>
            </w:tcBorders>
            <w:shd w:val="clear" w:color="auto" w:fill="auto"/>
          </w:tcPr>
          <w:p w14:paraId="2765366A" w14:textId="23ED258D" w:rsidR="00E001A2" w:rsidRPr="00A21682" w:rsidRDefault="00E001A2" w:rsidP="007A5FD7">
            <w:pPr>
              <w:pStyle w:val="TABLETEXT1"/>
              <w:keepNext/>
              <w:cnfStyle w:val="000000000000" w:firstRow="0" w:lastRow="0" w:firstColumn="0" w:lastColumn="0" w:oddVBand="0" w:evenVBand="0" w:oddHBand="0" w:evenHBand="0" w:firstRowFirstColumn="0" w:firstRowLastColumn="0" w:lastRowFirstColumn="0" w:lastRowLastColumn="0"/>
              <w:rPr>
                <w:iCs/>
                <w:lang w:val="en-US"/>
              </w:rPr>
            </w:pPr>
            <w:r>
              <w:rPr>
                <w:iCs/>
                <w:lang w:val="en-US"/>
              </w:rPr>
              <w:t>If during the project life cycle, changes to the requirements are necessary, Project Management will manage the transition to the ICCP, which requires participation and input from Executive Governance if items are escalated accordingly.</w:t>
            </w:r>
          </w:p>
        </w:tc>
      </w:tr>
    </w:tbl>
    <w:p w14:paraId="705D11E1" w14:textId="6ED848F3" w:rsidR="00CF7CE7" w:rsidRPr="00A21682" w:rsidRDefault="003E2EB6" w:rsidP="00C56B6A">
      <w:pPr>
        <w:pStyle w:val="Caption"/>
        <w:rPr>
          <w:noProof w:val="0"/>
        </w:rPr>
      </w:pPr>
      <w:bookmarkStart w:id="4406" w:name="_Toc192875236"/>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13</w:t>
      </w:r>
      <w:r>
        <w:rPr>
          <w:noProof w:val="0"/>
        </w:rPr>
        <w:fldChar w:fldCharType="end"/>
      </w:r>
      <w:r>
        <w:rPr>
          <w:noProof w:val="0"/>
        </w:rPr>
        <w:t>: Requirements Management Plan Roles and Responsibilities</w:t>
      </w:r>
      <w:bookmarkEnd w:id="4406"/>
    </w:p>
    <w:p w14:paraId="23B05D01" w14:textId="45BC8972" w:rsidR="00015907" w:rsidRPr="00A21682" w:rsidRDefault="00015907">
      <w:pPr>
        <w:spacing w:after="160" w:line="259" w:lineRule="auto"/>
      </w:pPr>
      <w:r>
        <w:br w:type="page"/>
      </w:r>
    </w:p>
    <w:p w14:paraId="779F91A3" w14:textId="217FB2FE" w:rsidR="00976F02" w:rsidRPr="00A21682" w:rsidRDefault="00976F02" w:rsidP="00504A3B">
      <w:pPr>
        <w:pStyle w:val="Heading2"/>
      </w:pPr>
      <w:bookmarkStart w:id="4407" w:name="_Toc192875031"/>
      <w:bookmarkStart w:id="4408" w:name="_Toc185952932"/>
      <w:r>
        <w:lastRenderedPageBreak/>
        <w:t>Appendix D: ALM Tool Field Attributes and Workflows</w:t>
      </w:r>
      <w:bookmarkEnd w:id="4407"/>
      <w:r>
        <w:t xml:space="preserve"> </w:t>
      </w:r>
      <w:bookmarkEnd w:id="4408"/>
    </w:p>
    <w:p w14:paraId="3FA3073C" w14:textId="3910554D" w:rsidR="00976F02" w:rsidRPr="00A21682" w:rsidRDefault="00976F02" w:rsidP="00976F02">
      <w:pPr>
        <w:pStyle w:val="NormalNEW"/>
        <w:rPr>
          <w:lang w:val="en-US"/>
        </w:rPr>
      </w:pPr>
      <w:r>
        <w:rPr>
          <w:lang w:val="en-US"/>
        </w:rPr>
        <w:t>The following table outlines the various workflows associated with the Section 2.20.2 ALM Tool Workflows:</w:t>
      </w:r>
    </w:p>
    <w:tbl>
      <w:tblPr>
        <w:tblStyle w:val="GridTable5Dark-Accent1331"/>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3131"/>
        <w:gridCol w:w="6229"/>
      </w:tblGrid>
      <w:tr w:rsidR="00B65956" w:rsidRPr="00A21682" w14:paraId="6D278DD2" w14:textId="77777777" w:rsidTr="00FA63A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dxa"/>
            <w:tcBorders>
              <w:bottom w:val="single" w:sz="2" w:space="0" w:color="auto"/>
              <w:right w:val="single" w:sz="2" w:space="0" w:color="FFFFFF" w:themeColor="background1"/>
            </w:tcBorders>
            <w:shd w:val="clear" w:color="auto" w:fill="000000" w:themeFill="text1"/>
          </w:tcPr>
          <w:p w14:paraId="6C596DB9" w14:textId="6E7A9E94" w:rsidR="00976F02" w:rsidRPr="00A21682" w:rsidRDefault="001376E0" w:rsidP="00DB7E9D">
            <w:pPr>
              <w:pStyle w:val="TABLEHEADINGNEW"/>
              <w:rPr>
                <w:b/>
                <w:bCs/>
              </w:rPr>
            </w:pPr>
            <w:r>
              <w:rPr>
                <w:b/>
                <w:bCs/>
              </w:rPr>
              <w:t>Item</w:t>
            </w:r>
          </w:p>
        </w:tc>
        <w:tc>
          <w:tcPr>
            <w:tcW w:w="0" w:type="dxa"/>
            <w:tcBorders>
              <w:left w:val="single" w:sz="2" w:space="0" w:color="FFFFFF" w:themeColor="background1"/>
              <w:bottom w:val="single" w:sz="2" w:space="0" w:color="auto"/>
            </w:tcBorders>
            <w:shd w:val="clear" w:color="auto" w:fill="000000" w:themeFill="text1"/>
          </w:tcPr>
          <w:p w14:paraId="3DD345BF" w14:textId="217A6842" w:rsidR="00976F02" w:rsidRPr="00A21682" w:rsidRDefault="001376E0" w:rsidP="00DB7E9D">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Description</w:t>
            </w:r>
          </w:p>
        </w:tc>
      </w:tr>
      <w:tr w:rsidR="009A7CFD" w:rsidRPr="00A21682" w14:paraId="3BAAB09D" w14:textId="77777777" w:rsidTr="00F1666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131" w:type="dxa"/>
            <w:tcBorders>
              <w:left w:val="single" w:sz="2" w:space="0" w:color="auto"/>
              <w:bottom w:val="single" w:sz="4" w:space="0" w:color="auto"/>
            </w:tcBorders>
            <w:shd w:val="clear" w:color="auto" w:fill="FFFFFF" w:themeFill="background1"/>
          </w:tcPr>
          <w:p w14:paraId="21789E89" w14:textId="2ECC7436" w:rsidR="00976F02" w:rsidRPr="00A21682" w:rsidRDefault="006B4214" w:rsidP="00DB7E9D">
            <w:pPr>
              <w:pStyle w:val="TABLETEXT1"/>
              <w:rPr>
                <w:b w:val="0"/>
                <w:bCs w:val="0"/>
                <w:color w:val="000000" w:themeColor="text1"/>
                <w:szCs w:val="28"/>
                <w:lang w:val="en-US"/>
              </w:rPr>
            </w:pPr>
            <w:r>
              <w:rPr>
                <w:rFonts w:cs="Arial"/>
                <w:b w:val="0"/>
                <w:bCs w:val="0"/>
                <w:color w:val="000000" w:themeColor="text1"/>
                <w:szCs w:val="28"/>
                <w:lang w:val="en-US" w:eastAsia="ko-KR"/>
              </w:rPr>
              <w:t xml:space="preserve">ALM Tool Field Attributes and Workflows </w:t>
            </w:r>
          </w:p>
        </w:tc>
        <w:tc>
          <w:tcPr>
            <w:tcW w:w="6229" w:type="dxa"/>
            <w:shd w:val="clear" w:color="auto" w:fill="auto"/>
          </w:tcPr>
          <w:p w14:paraId="559120BE" w14:textId="6AD6EEDD" w:rsidR="00F16663" w:rsidRPr="00A21682" w:rsidRDefault="00F16663" w:rsidP="0068183D">
            <w:pPr>
              <w:pStyle w:val="NormalNEW"/>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The field attributes and corresponding workflows for various ticket types within the ALM tool are defined and continuously maintained in the ALM Tool User Guide and ALM Tool Reference Guide. Reference materials can be found here: </w:t>
            </w:r>
            <w:r>
              <w:rPr>
                <w:lang w:val="en-US" w:eastAsia="ko-KR"/>
              </w:rPr>
              <w:t>The ALM tool</w:t>
            </w:r>
            <w:r>
              <w:rPr>
                <w:u w:color="000000"/>
                <w:lang w:val="en-US" w:eastAsia="ko-KR"/>
              </w:rPr>
              <w:t xml:space="preserve"> </w:t>
            </w:r>
          </w:p>
          <w:p w14:paraId="4FFD0DCD" w14:textId="77777777" w:rsidR="00F16663" w:rsidRPr="00A21682" w:rsidRDefault="00F16663" w:rsidP="0068183D">
            <w:pPr>
              <w:pStyle w:val="NormalNEW"/>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A list of ALM Tool Workflows include the following: </w:t>
            </w:r>
          </w:p>
          <w:p w14:paraId="253E8F09" w14:textId="6FA1A7FF" w:rsidR="00F16663" w:rsidRPr="00A21682" w:rsidRDefault="00F16663"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lang w:val="en-US" w:eastAsia="ko-KR"/>
              </w:rPr>
            </w:pPr>
            <w:r>
              <w:rPr>
                <w:lang w:val="en-US" w:eastAsia="ko-KR"/>
              </w:rPr>
              <w:t xml:space="preserve">Design Workflow (Design Document, Design Component, Design Update, Document Update) </w:t>
            </w:r>
          </w:p>
          <w:p w14:paraId="15A1E190" w14:textId="77777777" w:rsidR="00015907" w:rsidRPr="00A21682" w:rsidRDefault="00015907"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Development Widget Workflow (Confirmed in the ALM tool)</w:t>
            </w:r>
          </w:p>
          <w:p w14:paraId="5990A688" w14:textId="77777777" w:rsidR="00F16663" w:rsidRPr="00A21682" w:rsidRDefault="00F16663"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Database Change Request (DBCR) Workflow (test environments only) </w:t>
            </w:r>
          </w:p>
          <w:p w14:paraId="75B0847D" w14:textId="77777777" w:rsidR="00015907" w:rsidRPr="00A21682" w:rsidRDefault="00015907"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Defect Incident Workflow (TBD)</w:t>
            </w:r>
          </w:p>
          <w:p w14:paraId="253134FC" w14:textId="77777777" w:rsidR="00F16663" w:rsidRPr="00A21682" w:rsidRDefault="00F16663"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Technology Operations (Tech Ops) Service Request Workflow (test environments only) </w:t>
            </w:r>
          </w:p>
          <w:p w14:paraId="551DCE91" w14:textId="77777777" w:rsidR="00F16663" w:rsidRPr="00A21682" w:rsidRDefault="00F16663"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PMO Service Request Workflow (TBD) </w:t>
            </w:r>
          </w:p>
          <w:p w14:paraId="2CAE150A" w14:textId="2AA50251" w:rsidR="00F16663" w:rsidRPr="00A21682" w:rsidRDefault="00F16663"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Change Request Workflow (reference Section 10 Integrated Change Control Process) </w:t>
            </w:r>
          </w:p>
          <w:p w14:paraId="559D7D11" w14:textId="571A72AC" w:rsidR="00F16663" w:rsidRPr="00A21682" w:rsidRDefault="00F16663" w:rsidP="00F73D43">
            <w:pPr>
              <w:pStyle w:val="NormalNEW"/>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 xml:space="preserve">Deliverable Management Workflow (Confirmed in the ALM tool) </w:t>
            </w:r>
          </w:p>
          <w:p w14:paraId="152EB38C" w14:textId="7BC1FDB7" w:rsidR="00C75A5F" w:rsidRPr="00A21682" w:rsidRDefault="00015907" w:rsidP="00F73D43">
            <w:pPr>
              <w:pStyle w:val="NormalNEW"/>
              <w:numPr>
                <w:ilvl w:val="0"/>
                <w:numId w:val="25"/>
              </w:numPr>
              <w:spacing w:before="60" w:after="60"/>
              <w:cnfStyle w:val="000000100000" w:firstRow="0" w:lastRow="0" w:firstColumn="0" w:lastColumn="0" w:oddVBand="0" w:evenVBand="0" w:oddHBand="1" w:evenHBand="0" w:firstRowFirstColumn="0" w:firstRowLastColumn="0" w:lastRowFirstColumn="0" w:lastRowLastColumn="0"/>
              <w:rPr>
                <w:u w:color="000000"/>
                <w:lang w:val="en-US" w:eastAsia="ko-KR"/>
              </w:rPr>
            </w:pPr>
            <w:r>
              <w:rPr>
                <w:u w:color="000000"/>
                <w:lang w:val="en-US" w:eastAsia="ko-KR"/>
              </w:rPr>
              <w:t>Requirements Workflow</w:t>
            </w:r>
          </w:p>
        </w:tc>
      </w:tr>
    </w:tbl>
    <w:p w14:paraId="6E33D507" w14:textId="66F16489" w:rsidR="00976F02" w:rsidRPr="00A21682" w:rsidRDefault="00976F02" w:rsidP="00C56B6A">
      <w:pPr>
        <w:pStyle w:val="Caption"/>
        <w:rPr>
          <w:noProof w:val="0"/>
        </w:rPr>
      </w:pPr>
      <w:bookmarkStart w:id="4409" w:name="_Toc192875237"/>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14</w:t>
      </w:r>
      <w:r>
        <w:rPr>
          <w:noProof w:val="0"/>
        </w:rPr>
        <w:fldChar w:fldCharType="end"/>
      </w:r>
      <w:r>
        <w:rPr>
          <w:noProof w:val="0"/>
        </w:rPr>
        <w:t>: ALM Tool Workflows</w:t>
      </w:r>
      <w:bookmarkEnd w:id="4409"/>
      <w:r>
        <w:rPr>
          <w:noProof w:val="0"/>
        </w:rPr>
        <w:t xml:space="preserve"> </w:t>
      </w:r>
    </w:p>
    <w:p w14:paraId="66A18A42" w14:textId="77777777" w:rsidR="00324088" w:rsidRPr="00A21682" w:rsidRDefault="00324088">
      <w:pPr>
        <w:spacing w:after="160" w:line="259" w:lineRule="auto"/>
        <w:rPr>
          <w:rFonts w:ascii="Verdana" w:eastAsiaTheme="majorEastAsia" w:hAnsi="Verdana" w:cstheme="majorBidi"/>
          <w:b/>
          <w:sz w:val="18"/>
          <w:szCs w:val="26"/>
        </w:rPr>
      </w:pPr>
      <w:r>
        <w:br w:type="page"/>
      </w:r>
    </w:p>
    <w:p w14:paraId="71F9DDC5" w14:textId="06491A2F" w:rsidR="00B640CC" w:rsidRPr="00A21682" w:rsidRDefault="00B640CC" w:rsidP="00A7144D">
      <w:pPr>
        <w:pStyle w:val="Heading2"/>
        <w:rPr>
          <w:bCs/>
        </w:rPr>
      </w:pPr>
      <w:bookmarkStart w:id="4410" w:name="_Toc192875032"/>
      <w:r>
        <w:lastRenderedPageBreak/>
        <w:t>Appendix</w:t>
      </w:r>
      <w:r>
        <w:rPr>
          <w:bCs/>
        </w:rPr>
        <w:t xml:space="preserve"> E: DED/Deliverable Quality Checklists</w:t>
      </w:r>
      <w:bookmarkEnd w:id="4410"/>
    </w:p>
    <w:p w14:paraId="1A163C04" w14:textId="4F34EBDE" w:rsidR="00056133" w:rsidRPr="00A21682" w:rsidRDefault="00056133" w:rsidP="00056133">
      <w:pPr>
        <w:pStyle w:val="NormalNEW"/>
        <w:rPr>
          <w:lang w:val="en-US"/>
        </w:rPr>
      </w:pPr>
      <w:r>
        <w:rPr>
          <w:lang w:val="en-US"/>
        </w:rPr>
        <w:t>The following table outlines the various quality checklists associated with the Section 7.6 DED Checklist and Section 7.7 Deliverable Quality Checklist:</w:t>
      </w:r>
    </w:p>
    <w:tbl>
      <w:tblPr>
        <w:tblStyle w:val="GridTable5Dark-Accent1331"/>
        <w:tblW w:w="9360" w:type="dxa"/>
        <w:tblInd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8" w:type="dxa"/>
          <w:right w:w="58" w:type="dxa"/>
        </w:tblCellMar>
        <w:tblLook w:val="04A0" w:firstRow="1" w:lastRow="0" w:firstColumn="1" w:lastColumn="0" w:noHBand="0" w:noVBand="1"/>
      </w:tblPr>
      <w:tblGrid>
        <w:gridCol w:w="3512"/>
        <w:gridCol w:w="5848"/>
      </w:tblGrid>
      <w:tr w:rsidR="002F4E2D" w:rsidRPr="00A21682" w14:paraId="78A99B09" w14:textId="77777777" w:rsidTr="00523B0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12" w:type="dxa"/>
            <w:tcBorders>
              <w:bottom w:val="single" w:sz="2" w:space="0" w:color="auto"/>
              <w:right w:val="single" w:sz="2" w:space="0" w:color="FFFFFF" w:themeColor="background1"/>
            </w:tcBorders>
            <w:shd w:val="clear" w:color="auto" w:fill="000000" w:themeFill="text1"/>
          </w:tcPr>
          <w:p w14:paraId="5D7841B0" w14:textId="77777777" w:rsidR="00056133" w:rsidRPr="00A21682" w:rsidRDefault="00056133" w:rsidP="00DB7E9D">
            <w:pPr>
              <w:pStyle w:val="TABLEHEADINGNEW"/>
              <w:rPr>
                <w:b/>
                <w:bCs/>
              </w:rPr>
            </w:pPr>
            <w:r>
              <w:rPr>
                <w:b/>
                <w:bCs/>
              </w:rPr>
              <w:t>Item</w:t>
            </w:r>
          </w:p>
        </w:tc>
        <w:tc>
          <w:tcPr>
            <w:tcW w:w="5848" w:type="dxa"/>
            <w:tcBorders>
              <w:left w:val="single" w:sz="2" w:space="0" w:color="FFFFFF" w:themeColor="background1"/>
              <w:bottom w:val="single" w:sz="2" w:space="0" w:color="auto"/>
            </w:tcBorders>
            <w:shd w:val="clear" w:color="auto" w:fill="000000" w:themeFill="text1"/>
          </w:tcPr>
          <w:p w14:paraId="697CED54" w14:textId="77777777" w:rsidR="00056133" w:rsidRPr="00A21682" w:rsidRDefault="00056133" w:rsidP="00DB7E9D">
            <w:pPr>
              <w:pStyle w:val="TABLEHEADINGNEW"/>
              <w:cnfStyle w:val="100000000000" w:firstRow="1" w:lastRow="0" w:firstColumn="0" w:lastColumn="0" w:oddVBand="0" w:evenVBand="0" w:oddHBand="0" w:evenHBand="0" w:firstRowFirstColumn="0" w:firstRowLastColumn="0" w:lastRowFirstColumn="0" w:lastRowLastColumn="0"/>
              <w:rPr>
                <w:b/>
                <w:bCs/>
              </w:rPr>
            </w:pPr>
            <w:r>
              <w:rPr>
                <w:b/>
                <w:bCs/>
              </w:rPr>
              <w:t>Description</w:t>
            </w:r>
          </w:p>
        </w:tc>
      </w:tr>
      <w:tr w:rsidR="00D77B69" w:rsidRPr="00A21682" w14:paraId="34CBA48B" w14:textId="77777777" w:rsidTr="00523B09">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512" w:type="dxa"/>
            <w:tcBorders>
              <w:left w:val="single" w:sz="2" w:space="0" w:color="auto"/>
              <w:bottom w:val="single" w:sz="2" w:space="0" w:color="auto"/>
            </w:tcBorders>
            <w:shd w:val="clear" w:color="auto" w:fill="FFFFFF" w:themeFill="background1"/>
          </w:tcPr>
          <w:p w14:paraId="53BF8E3C" w14:textId="77777777" w:rsidR="00056133" w:rsidRPr="00A21682" w:rsidRDefault="00056133" w:rsidP="00DB7E9D">
            <w:pPr>
              <w:pStyle w:val="TABLETEXT1"/>
              <w:rPr>
                <w:rFonts w:cs="Arial"/>
                <w:b w:val="0"/>
                <w:bCs w:val="0"/>
                <w:color w:val="000000" w:themeColor="text1"/>
                <w:szCs w:val="28"/>
                <w:lang w:val="en-US" w:eastAsia="ko-KR"/>
              </w:rPr>
            </w:pPr>
            <w:r>
              <w:rPr>
                <w:rFonts w:cs="Arial"/>
                <w:b w:val="0"/>
                <w:bCs w:val="0"/>
                <w:color w:val="000000" w:themeColor="text1"/>
                <w:szCs w:val="28"/>
                <w:lang w:val="en-US" w:eastAsia="ko-KR"/>
              </w:rPr>
              <w:t xml:space="preserve">DED Checklist </w:t>
            </w:r>
          </w:p>
        </w:tc>
        <w:tc>
          <w:tcPr>
            <w:tcW w:w="5848" w:type="dxa"/>
            <w:shd w:val="clear" w:color="auto" w:fill="auto"/>
          </w:tcPr>
          <w:p w14:paraId="76C06F6E" w14:textId="03ADAFE4" w:rsidR="00056133" w:rsidRPr="00A21682" w:rsidRDefault="00056133" w:rsidP="00E012C7">
            <w:pPr>
              <w:pStyle w:val="NormalNEW"/>
              <w:spacing w:before="60" w:after="60"/>
              <w:cnfStyle w:val="000000100000" w:firstRow="0" w:lastRow="0" w:firstColumn="0" w:lastColumn="0" w:oddVBand="0" w:evenVBand="0" w:oddHBand="1" w:evenHBand="0" w:firstRowFirstColumn="0" w:firstRowLastColumn="0" w:lastRowFirstColumn="0" w:lastRowLastColumn="0"/>
              <w:rPr>
                <w:lang w:val="en-US"/>
              </w:rPr>
            </w:pPr>
            <w:r>
              <w:rPr>
                <w:rStyle w:val="normaltextrun"/>
                <w:color w:val="000000"/>
                <w:szCs w:val="18"/>
                <w:shd w:val="clear" w:color="auto" w:fill="FFFFFF"/>
                <w:lang w:val="en-US"/>
              </w:rPr>
              <w:t xml:space="preserve">The DED checklist is used to verify the quality of the DEDs for the </w:t>
            </w:r>
            <w:r>
              <w:rPr>
                <w:u w:color="000000"/>
                <w:lang w:val="en-US"/>
              </w:rPr>
              <w:t xml:space="preserve">Continuing Medicaid Eligibility Modernization </w:t>
            </w:r>
            <w:r>
              <w:rPr>
                <w:rStyle w:val="normaltextrun"/>
                <w:color w:val="000000"/>
                <w:szCs w:val="18"/>
                <w:shd w:val="clear" w:color="auto" w:fill="FFFFFF"/>
                <w:lang w:val="en-US"/>
              </w:rPr>
              <w:t xml:space="preserve">project. The DED checklist is an evolving document and continuously refined. The latest version of the DED checklist can be found here: </w:t>
            </w:r>
            <w:r>
              <w:rPr>
                <w:rStyle w:val="normaltextrun"/>
                <w:rFonts w:cs="Segoe UI"/>
                <w:color w:val="0563C1"/>
                <w:szCs w:val="18"/>
                <w:u w:val="single"/>
                <w:shd w:val="clear" w:color="auto" w:fill="FFFFFF"/>
                <w:lang w:val="en-US"/>
              </w:rPr>
              <w:t>DED Checklist</w:t>
            </w:r>
            <w:r>
              <w:rPr>
                <w:rStyle w:val="eop"/>
                <w:color w:val="000000"/>
                <w:szCs w:val="18"/>
                <w:shd w:val="clear" w:color="auto" w:fill="FFFFFF"/>
                <w:lang w:val="en-US"/>
              </w:rPr>
              <w:t> </w:t>
            </w:r>
          </w:p>
        </w:tc>
      </w:tr>
      <w:tr w:rsidR="009A7CFD" w:rsidRPr="00A21682" w14:paraId="490B6A8F" w14:textId="77777777" w:rsidTr="00523B09">
        <w:trPr>
          <w:cantSplit/>
        </w:trPr>
        <w:tc>
          <w:tcPr>
            <w:cnfStyle w:val="001000000000" w:firstRow="0" w:lastRow="0" w:firstColumn="1" w:lastColumn="0" w:oddVBand="0" w:evenVBand="0" w:oddHBand="0" w:evenHBand="0" w:firstRowFirstColumn="0" w:firstRowLastColumn="0" w:lastRowFirstColumn="0" w:lastRowLastColumn="0"/>
            <w:tcW w:w="3512" w:type="dxa"/>
            <w:tcBorders>
              <w:left w:val="single" w:sz="2" w:space="0" w:color="auto"/>
              <w:bottom w:val="single" w:sz="4" w:space="0" w:color="auto"/>
            </w:tcBorders>
            <w:shd w:val="clear" w:color="auto" w:fill="FFFFFF" w:themeFill="background1"/>
          </w:tcPr>
          <w:p w14:paraId="7612E661" w14:textId="77777777" w:rsidR="00056133" w:rsidRPr="00A21682" w:rsidRDefault="00056133" w:rsidP="00DB7E9D">
            <w:pPr>
              <w:pStyle w:val="TABLETEXT1"/>
              <w:rPr>
                <w:rFonts w:cs="Arial"/>
                <w:b w:val="0"/>
                <w:bCs w:val="0"/>
                <w:color w:val="000000" w:themeColor="text1"/>
                <w:szCs w:val="28"/>
                <w:lang w:val="en-US" w:eastAsia="ko-KR"/>
              </w:rPr>
            </w:pPr>
            <w:r>
              <w:rPr>
                <w:rFonts w:cs="Arial"/>
                <w:b w:val="0"/>
                <w:bCs w:val="0"/>
                <w:color w:val="000000" w:themeColor="text1"/>
                <w:szCs w:val="28"/>
                <w:lang w:val="en-US" w:eastAsia="ko-KR"/>
              </w:rPr>
              <w:t>Deliverable Quality Checklist</w:t>
            </w:r>
          </w:p>
        </w:tc>
        <w:tc>
          <w:tcPr>
            <w:tcW w:w="5848" w:type="dxa"/>
            <w:shd w:val="clear" w:color="auto" w:fill="auto"/>
          </w:tcPr>
          <w:p w14:paraId="4E1CFC64" w14:textId="1D76BC97" w:rsidR="00056133" w:rsidRPr="00A21682" w:rsidRDefault="00AA0484" w:rsidP="00E012C7">
            <w:pPr>
              <w:pStyle w:val="NormalNEW"/>
              <w:spacing w:before="60" w:after="60"/>
              <w:cnfStyle w:val="000000000000" w:firstRow="0" w:lastRow="0" w:firstColumn="0" w:lastColumn="0" w:oddVBand="0" w:evenVBand="0" w:oddHBand="0" w:evenHBand="0" w:firstRowFirstColumn="0" w:firstRowLastColumn="0" w:lastRowFirstColumn="0" w:lastRowLastColumn="0"/>
              <w:rPr>
                <w:lang w:val="en-US"/>
              </w:rPr>
            </w:pPr>
            <w:r>
              <w:rPr>
                <w:rStyle w:val="normaltextrun"/>
                <w:color w:val="000000"/>
                <w:szCs w:val="18"/>
                <w:shd w:val="clear" w:color="auto" w:fill="FFFFFF"/>
                <w:lang w:val="en-US"/>
              </w:rPr>
              <w:t xml:space="preserve">The Deliverable checklist is used to verify the quality of the deliverables for the </w:t>
            </w:r>
            <w:r>
              <w:rPr>
                <w:u w:color="000000"/>
                <w:lang w:val="en-US"/>
              </w:rPr>
              <w:t xml:space="preserve">Continuing Medicaid Eligibility Modernization </w:t>
            </w:r>
            <w:r>
              <w:rPr>
                <w:rStyle w:val="normaltextrun"/>
                <w:color w:val="000000"/>
                <w:szCs w:val="18"/>
                <w:shd w:val="clear" w:color="auto" w:fill="FFFFFF"/>
                <w:lang w:val="en-US"/>
              </w:rPr>
              <w:t xml:space="preserve">project. The Deliverable checklist is an evolving document and continuously refined. The latest version of the Deliverable checklist can be found here: </w:t>
            </w:r>
            <w:r>
              <w:rPr>
                <w:rStyle w:val="normaltextrun"/>
                <w:rFonts w:cs="Segoe UI"/>
                <w:color w:val="0563C1"/>
                <w:szCs w:val="18"/>
                <w:u w:val="single"/>
                <w:shd w:val="clear" w:color="auto" w:fill="FFFFFF"/>
                <w:lang w:val="en-US"/>
              </w:rPr>
              <w:t>Deliverable Checklist</w:t>
            </w:r>
            <w:r>
              <w:rPr>
                <w:rStyle w:val="eop"/>
                <w:color w:val="000000"/>
                <w:szCs w:val="18"/>
                <w:shd w:val="clear" w:color="auto" w:fill="FFFFFF"/>
                <w:lang w:val="en-US"/>
              </w:rPr>
              <w:t> </w:t>
            </w:r>
          </w:p>
        </w:tc>
      </w:tr>
    </w:tbl>
    <w:p w14:paraId="68FC164A" w14:textId="61045826" w:rsidR="00E23473" w:rsidRPr="00A21682" w:rsidRDefault="00E23473" w:rsidP="00C56B6A">
      <w:pPr>
        <w:pStyle w:val="Caption"/>
        <w:rPr>
          <w:noProof w:val="0"/>
        </w:rPr>
      </w:pPr>
      <w:bookmarkStart w:id="4411" w:name="_Toc192875238"/>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15</w:t>
      </w:r>
      <w:r>
        <w:rPr>
          <w:noProof w:val="0"/>
        </w:rPr>
        <w:fldChar w:fldCharType="end"/>
      </w:r>
      <w:r>
        <w:rPr>
          <w:noProof w:val="0"/>
        </w:rPr>
        <w:t>: DED/Deliverable Quality Checklists</w:t>
      </w:r>
      <w:bookmarkEnd w:id="4411"/>
    </w:p>
    <w:p w14:paraId="7AA9E4C6" w14:textId="77777777" w:rsidR="00FE77E1" w:rsidRPr="00A21682" w:rsidRDefault="00FE77E1">
      <w:pPr>
        <w:spacing w:after="160" w:line="259" w:lineRule="auto"/>
        <w:rPr>
          <w:rFonts w:ascii="Verdana" w:eastAsiaTheme="majorEastAsia" w:hAnsi="Verdana" w:cstheme="majorBidi"/>
          <w:b/>
          <w:sz w:val="18"/>
          <w:szCs w:val="26"/>
        </w:rPr>
      </w:pPr>
      <w:r>
        <w:br w:type="page"/>
      </w:r>
    </w:p>
    <w:p w14:paraId="2292FE4E" w14:textId="417D3011" w:rsidR="00871E4A" w:rsidRPr="00A21682" w:rsidRDefault="00D86C84" w:rsidP="00871E4A">
      <w:pPr>
        <w:pStyle w:val="Heading2"/>
        <w:rPr>
          <w:bCs/>
        </w:rPr>
      </w:pPr>
      <w:bookmarkStart w:id="4412" w:name="_Toc192875033"/>
      <w:r>
        <w:lastRenderedPageBreak/>
        <w:t>Appendix</w:t>
      </w:r>
      <w:r>
        <w:rPr>
          <w:bCs/>
        </w:rPr>
        <w:t xml:space="preserve"> F: Best Practices for Writing Clear System Requirements</w:t>
      </w:r>
      <w:bookmarkEnd w:id="4412"/>
    </w:p>
    <w:p w14:paraId="7181C013" w14:textId="3B8226E7" w:rsidR="000A0B94" w:rsidRPr="00A21682" w:rsidRDefault="000A0B94" w:rsidP="00731700">
      <w:pPr>
        <w:pStyle w:val="NormalNEW"/>
      </w:pPr>
      <w:r>
        <w:t>The resource below serves as a comprehensive guide to assist in the development of clear and precise system requirements. It provides structured methodologies and best practices to capture necessary specifications accurately. A requirement may be connected to a process flow or a design document (i.e., FDDs or ICDs). The requirements are documented in Requirements Traceability Matrix (DEL-19).</w:t>
      </w:r>
    </w:p>
    <w:p w14:paraId="7FB4E57D" w14:textId="0C0915FE" w:rsidR="00EF5D50" w:rsidRPr="00A21682" w:rsidRDefault="00ED153B" w:rsidP="00731700">
      <w:pPr>
        <w:pStyle w:val="NormalNEW"/>
        <w:rPr>
          <w:lang w:val="en-US"/>
        </w:rPr>
      </w:pPr>
      <w:r>
        <w:rPr>
          <w:lang w:val="en-US"/>
        </w:rPr>
        <w:t>Access best practices for writing a requirement document via this link: Best Practices for Writing Clear System Requirements</w:t>
      </w:r>
    </w:p>
    <w:p w14:paraId="52C966AE" w14:textId="630E9529" w:rsidR="005A14FB" w:rsidRPr="00A21682" w:rsidRDefault="005A14FB" w:rsidP="00731700">
      <w:pPr>
        <w:pStyle w:val="NormalNEW"/>
        <w:rPr>
          <w:lang w:val="en-US"/>
        </w:rPr>
      </w:pPr>
      <w:r>
        <w:rPr>
          <w:lang w:val="en-US"/>
        </w:rPr>
        <w:t>As per the Centers for Medicare &amp; Medicaid Services (CMS) Requirements Writer’s Guide, below are references for writing good, thorough requirements. In general, a requirement should reflect the following characteristics.</w:t>
      </w:r>
    </w:p>
    <w:tbl>
      <w:tblPr>
        <w:tblStyle w:val="ProcessSteps4"/>
        <w:tblW w:w="93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8" w:type="dxa"/>
          <w:right w:w="58" w:type="dxa"/>
        </w:tblCellMar>
        <w:tblLook w:val="04A0" w:firstRow="1" w:lastRow="0" w:firstColumn="1" w:lastColumn="0" w:noHBand="0" w:noVBand="1"/>
      </w:tblPr>
      <w:tblGrid>
        <w:gridCol w:w="1525"/>
        <w:gridCol w:w="7832"/>
      </w:tblGrid>
      <w:tr w:rsidR="00FC08A4" w:rsidRPr="00A21682" w14:paraId="225C6ACD" w14:textId="77777777">
        <w:trPr>
          <w:cnfStyle w:val="100000000000" w:firstRow="1" w:lastRow="0" w:firstColumn="0" w:lastColumn="0" w:oddVBand="0" w:evenVBand="0" w:oddHBand="0" w:evenHBand="0" w:firstRowFirstColumn="0" w:firstRowLastColumn="0" w:lastRowFirstColumn="0" w:lastRowLastColumn="0"/>
          <w:trHeight w:val="20"/>
        </w:trPr>
        <w:tc>
          <w:tcPr>
            <w:tcW w:w="1525" w:type="dxa"/>
            <w:tcBorders>
              <w:right w:val="single" w:sz="2" w:space="0" w:color="FFFFFF" w:themeColor="background1"/>
            </w:tcBorders>
          </w:tcPr>
          <w:p w14:paraId="69B558D3" w14:textId="77777777" w:rsidR="00FC08A4" w:rsidRPr="00A21682" w:rsidRDefault="00FC08A4">
            <w:pPr>
              <w:pStyle w:val="TABLEHEADINGNEW"/>
              <w:rPr>
                <w:rFonts w:cstheme="majorHAnsi"/>
                <w:b/>
                <w:szCs w:val="18"/>
              </w:rPr>
            </w:pPr>
            <w:r>
              <w:rPr>
                <w:rFonts w:cstheme="majorHAnsi"/>
                <w:b/>
                <w:szCs w:val="18"/>
              </w:rPr>
              <w:t>Reference</w:t>
            </w:r>
          </w:p>
        </w:tc>
        <w:tc>
          <w:tcPr>
            <w:tcW w:w="7832" w:type="dxa"/>
            <w:tcBorders>
              <w:left w:val="single" w:sz="2" w:space="0" w:color="FFFFFF" w:themeColor="background1"/>
            </w:tcBorders>
          </w:tcPr>
          <w:p w14:paraId="6D1D914F" w14:textId="77777777" w:rsidR="00FC08A4" w:rsidRPr="00A21682" w:rsidRDefault="00FC08A4">
            <w:pPr>
              <w:pStyle w:val="TABLEHEADINGNEW"/>
              <w:rPr>
                <w:rFonts w:cstheme="majorHAnsi"/>
                <w:b/>
                <w:szCs w:val="18"/>
              </w:rPr>
            </w:pPr>
            <w:r>
              <w:rPr>
                <w:rFonts w:cstheme="majorHAnsi"/>
                <w:b/>
                <w:szCs w:val="18"/>
              </w:rPr>
              <w:t>Description</w:t>
            </w:r>
          </w:p>
        </w:tc>
      </w:tr>
      <w:tr w:rsidR="00FC08A4" w:rsidRPr="00A21682" w14:paraId="03905330" w14:textId="77777777">
        <w:trPr>
          <w:trHeight w:val="20"/>
        </w:trPr>
        <w:tc>
          <w:tcPr>
            <w:tcW w:w="1525" w:type="dxa"/>
          </w:tcPr>
          <w:p w14:paraId="4E7A11EA" w14:textId="77777777" w:rsidR="00FC08A4" w:rsidRPr="00A21682" w:rsidDel="002A736E" w:rsidRDefault="00FC08A4">
            <w:pPr>
              <w:pStyle w:val="TABLETEXT1"/>
              <w:rPr>
                <w:rFonts w:cstheme="majorHAnsi"/>
                <w:szCs w:val="18"/>
                <w:u w:color="000000" w:themeColor="text1"/>
                <w:lang w:val="en-US"/>
              </w:rPr>
            </w:pPr>
            <w:r>
              <w:rPr>
                <w:rFonts w:cstheme="majorHAnsi"/>
                <w:szCs w:val="18"/>
                <w:u w:color="000000" w:themeColor="text1"/>
                <w:lang w:val="en-US"/>
              </w:rPr>
              <w:t>Complete</w:t>
            </w:r>
          </w:p>
        </w:tc>
        <w:tc>
          <w:tcPr>
            <w:tcW w:w="7832" w:type="dxa"/>
          </w:tcPr>
          <w:p w14:paraId="3C0E16E0" w14:textId="77777777" w:rsidR="00FC08A4" w:rsidRPr="00A21682" w:rsidRDefault="00FC08A4">
            <w:pPr>
              <w:pStyle w:val="TABLETEXT1"/>
              <w:rPr>
                <w:rFonts w:cstheme="majorBidi"/>
                <w:lang w:val="en-US"/>
              </w:rPr>
            </w:pPr>
            <w:r>
              <w:rPr>
                <w:rFonts w:cstheme="majorBidi"/>
                <w:lang w:val="en-US"/>
              </w:rPr>
              <w:t>Fully describe the functionality to be delivered or the needs of the business.</w:t>
            </w:r>
          </w:p>
        </w:tc>
      </w:tr>
      <w:tr w:rsidR="00FC08A4" w:rsidRPr="00A21682" w14:paraId="3CE32610" w14:textId="77777777">
        <w:trPr>
          <w:trHeight w:val="20"/>
        </w:trPr>
        <w:tc>
          <w:tcPr>
            <w:tcW w:w="1525" w:type="dxa"/>
          </w:tcPr>
          <w:p w14:paraId="52D41AAC"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Unambiguous</w:t>
            </w:r>
          </w:p>
        </w:tc>
        <w:tc>
          <w:tcPr>
            <w:tcW w:w="7832" w:type="dxa"/>
          </w:tcPr>
          <w:p w14:paraId="2E102834"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Enables readers of a requirement statement to arrive at a single interpretation.</w:t>
            </w:r>
          </w:p>
        </w:tc>
      </w:tr>
      <w:tr w:rsidR="00FC08A4" w:rsidRPr="00A21682" w14:paraId="7E285134" w14:textId="77777777">
        <w:trPr>
          <w:trHeight w:val="20"/>
        </w:trPr>
        <w:tc>
          <w:tcPr>
            <w:tcW w:w="1525" w:type="dxa"/>
          </w:tcPr>
          <w:p w14:paraId="7137FF1D"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Consistent</w:t>
            </w:r>
          </w:p>
        </w:tc>
        <w:tc>
          <w:tcPr>
            <w:tcW w:w="7832" w:type="dxa"/>
          </w:tcPr>
          <w:p w14:paraId="0C42EA6F"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Requirements should not conflict with other requirements of the same type or with higher-level requirements.</w:t>
            </w:r>
          </w:p>
        </w:tc>
      </w:tr>
      <w:tr w:rsidR="00FC08A4" w:rsidRPr="00A21682" w14:paraId="29504894" w14:textId="77777777">
        <w:trPr>
          <w:trHeight w:val="20"/>
        </w:trPr>
        <w:tc>
          <w:tcPr>
            <w:tcW w:w="1525" w:type="dxa"/>
          </w:tcPr>
          <w:p w14:paraId="6BC03086"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Correct</w:t>
            </w:r>
          </w:p>
        </w:tc>
        <w:tc>
          <w:tcPr>
            <w:tcW w:w="7832" w:type="dxa"/>
          </w:tcPr>
          <w:p w14:paraId="47126F9A"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Accurately describe the functionality to be built.</w:t>
            </w:r>
          </w:p>
        </w:tc>
      </w:tr>
      <w:tr w:rsidR="00FC08A4" w:rsidRPr="00A21682" w14:paraId="00071C9E" w14:textId="77777777">
        <w:trPr>
          <w:trHeight w:val="20"/>
        </w:trPr>
        <w:tc>
          <w:tcPr>
            <w:tcW w:w="1525" w:type="dxa"/>
          </w:tcPr>
          <w:p w14:paraId="07FD233F"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Feasible</w:t>
            </w:r>
          </w:p>
        </w:tc>
        <w:tc>
          <w:tcPr>
            <w:tcW w:w="7832" w:type="dxa"/>
          </w:tcPr>
          <w:p w14:paraId="153DD452" w14:textId="77777777" w:rsidR="00FC08A4" w:rsidRPr="00A21682" w:rsidRDefault="00FC08A4">
            <w:pPr>
              <w:pStyle w:val="TABLETEXT1"/>
              <w:rPr>
                <w:rFonts w:cstheme="majorBidi"/>
                <w:lang w:val="en-US"/>
              </w:rPr>
            </w:pPr>
            <w:r>
              <w:rPr>
                <w:rFonts w:cstheme="majorBidi"/>
                <w:lang w:val="en-US"/>
              </w:rPr>
              <w:t>Can be implemented within the known capacities and limitations of the system and its operating environment.</w:t>
            </w:r>
          </w:p>
        </w:tc>
      </w:tr>
      <w:tr w:rsidR="00FC08A4" w:rsidRPr="00A21682" w14:paraId="3E27C993" w14:textId="77777777">
        <w:trPr>
          <w:trHeight w:val="20"/>
        </w:trPr>
        <w:tc>
          <w:tcPr>
            <w:tcW w:w="1525" w:type="dxa"/>
          </w:tcPr>
          <w:p w14:paraId="2BE1902C"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Necessary</w:t>
            </w:r>
          </w:p>
        </w:tc>
        <w:tc>
          <w:tcPr>
            <w:tcW w:w="7832" w:type="dxa"/>
          </w:tcPr>
          <w:p w14:paraId="0764B95D"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Documents a needed capability or one required to comply with an external system requirement or a standard.</w:t>
            </w:r>
          </w:p>
        </w:tc>
      </w:tr>
      <w:tr w:rsidR="00FC08A4" w:rsidRPr="00A21682" w14:paraId="0AB4652C" w14:textId="77777777">
        <w:trPr>
          <w:trHeight w:val="20"/>
        </w:trPr>
        <w:tc>
          <w:tcPr>
            <w:tcW w:w="1525" w:type="dxa"/>
          </w:tcPr>
          <w:p w14:paraId="176CED5D"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Prioritized</w:t>
            </w:r>
          </w:p>
        </w:tc>
        <w:tc>
          <w:tcPr>
            <w:tcW w:w="7832" w:type="dxa"/>
          </w:tcPr>
          <w:p w14:paraId="48DABDE9"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Is assigned an implementation priority (in the case of each functional requirement) to indicate how essential it is to the business.</w:t>
            </w:r>
          </w:p>
        </w:tc>
      </w:tr>
      <w:tr w:rsidR="00FC08A4" w:rsidRPr="00A21682" w14:paraId="20597884" w14:textId="77777777">
        <w:trPr>
          <w:trHeight w:val="20"/>
        </w:trPr>
        <w:tc>
          <w:tcPr>
            <w:tcW w:w="1525" w:type="dxa"/>
          </w:tcPr>
          <w:p w14:paraId="4599EE13"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Verifiable</w:t>
            </w:r>
          </w:p>
        </w:tc>
        <w:tc>
          <w:tcPr>
            <w:tcW w:w="7832" w:type="dxa"/>
          </w:tcPr>
          <w:p w14:paraId="3D4F255F"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Indicates through tests or other verification approaches, such as inspection or demonstration, that it implements the required action properly.</w:t>
            </w:r>
          </w:p>
        </w:tc>
      </w:tr>
      <w:tr w:rsidR="00FC08A4" w:rsidRPr="00A21682" w14:paraId="23D32836" w14:textId="77777777">
        <w:trPr>
          <w:trHeight w:val="20"/>
        </w:trPr>
        <w:tc>
          <w:tcPr>
            <w:tcW w:w="1525" w:type="dxa"/>
          </w:tcPr>
          <w:p w14:paraId="237132FA"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Testable</w:t>
            </w:r>
          </w:p>
        </w:tc>
        <w:tc>
          <w:tcPr>
            <w:tcW w:w="7832" w:type="dxa"/>
          </w:tcPr>
          <w:p w14:paraId="48BD5E30" w14:textId="77777777" w:rsidR="00FC08A4" w:rsidRPr="00A21682" w:rsidRDefault="00FC08A4">
            <w:pPr>
              <w:pStyle w:val="TABLETEXT1"/>
              <w:rPr>
                <w:rFonts w:cstheme="majorBidi"/>
                <w:lang w:val="en-US"/>
              </w:rPr>
            </w:pPr>
            <w:r>
              <w:rPr>
                <w:rFonts w:cstheme="majorBidi"/>
                <w:lang w:val="en-US"/>
              </w:rPr>
              <w:t>The requirements must be testable in the solution.</w:t>
            </w:r>
          </w:p>
        </w:tc>
      </w:tr>
      <w:tr w:rsidR="00FC08A4" w:rsidRPr="00A21682" w14:paraId="6A3FC173" w14:textId="77777777">
        <w:trPr>
          <w:trHeight w:val="20"/>
        </w:trPr>
        <w:tc>
          <w:tcPr>
            <w:tcW w:w="1525" w:type="dxa"/>
          </w:tcPr>
          <w:p w14:paraId="76BA721C"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Traceable</w:t>
            </w:r>
          </w:p>
        </w:tc>
        <w:tc>
          <w:tcPr>
            <w:tcW w:w="7832" w:type="dxa"/>
          </w:tcPr>
          <w:p w14:paraId="69B89BD9" w14:textId="77777777" w:rsidR="00FC08A4" w:rsidRPr="00A21682" w:rsidRDefault="00FC08A4">
            <w:pPr>
              <w:pStyle w:val="TABLETEXT1"/>
              <w:rPr>
                <w:rFonts w:cstheme="majorHAnsi"/>
                <w:szCs w:val="18"/>
                <w:u w:color="000000" w:themeColor="text1"/>
                <w:lang w:val="en-US"/>
              </w:rPr>
            </w:pPr>
            <w:r>
              <w:rPr>
                <w:rFonts w:cstheme="majorHAnsi"/>
                <w:szCs w:val="18"/>
                <w:u w:color="000000" w:themeColor="text1"/>
                <w:lang w:val="en-US"/>
              </w:rPr>
              <w:t>Can be linked backward to its origin and forward to the design elements.</w:t>
            </w:r>
          </w:p>
        </w:tc>
      </w:tr>
    </w:tbl>
    <w:p w14:paraId="62341218" w14:textId="03855509" w:rsidR="005A14FB" w:rsidRPr="00A21682" w:rsidRDefault="00561D1E" w:rsidP="00561D1E">
      <w:pPr>
        <w:pStyle w:val="Caption"/>
        <w:rPr>
          <w:noProof w:val="0"/>
        </w:rPr>
      </w:pPr>
      <w:bookmarkStart w:id="4413" w:name="_Toc192875239"/>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16</w:t>
      </w:r>
      <w:r>
        <w:rPr>
          <w:noProof w:val="0"/>
        </w:rPr>
        <w:fldChar w:fldCharType="end"/>
      </w:r>
      <w:r>
        <w:rPr>
          <w:noProof w:val="0"/>
        </w:rPr>
        <w:t>: Writing Style Guide and Quality</w:t>
      </w:r>
      <w:bookmarkEnd w:id="4413"/>
    </w:p>
    <w:p w14:paraId="4B22FFC6" w14:textId="77777777" w:rsidR="00867EA1" w:rsidRPr="00A21682" w:rsidRDefault="00867EA1" w:rsidP="00731700">
      <w:pPr>
        <w:pStyle w:val="NormalNEW"/>
        <w:rPr>
          <w:lang w:val="en-US"/>
        </w:rPr>
      </w:pPr>
      <w:r>
        <w:rPr>
          <w:lang w:val="en-US"/>
        </w:rPr>
        <w:t>Another reference for requirements is based on the Project Management Institute’s (PMI) Project Management Body of Knowledge (PMBOK®). Like the CMS standards above, a requirement should include the following criteria:</w:t>
      </w:r>
    </w:p>
    <w:tbl>
      <w:tblPr>
        <w:tblStyle w:val="TableGrid"/>
        <w:tblW w:w="0" w:type="auto"/>
        <w:tblLook w:val="04A0" w:firstRow="1" w:lastRow="0" w:firstColumn="1" w:lastColumn="0" w:noHBand="0" w:noVBand="1"/>
      </w:tblPr>
      <w:tblGrid>
        <w:gridCol w:w="2425"/>
        <w:gridCol w:w="6925"/>
      </w:tblGrid>
      <w:tr w:rsidR="00860C5B" w:rsidRPr="00A21682" w14:paraId="0CE1F99B" w14:textId="77777777" w:rsidTr="0062337F">
        <w:trPr>
          <w:tblHeader/>
        </w:trPr>
        <w:tc>
          <w:tcPr>
            <w:tcW w:w="2425" w:type="dxa"/>
            <w:tcBorders>
              <w:right w:val="single" w:sz="4" w:space="0" w:color="FFFFFF" w:themeColor="background1"/>
            </w:tcBorders>
            <w:shd w:val="clear" w:color="auto" w:fill="000000" w:themeFill="text1"/>
            <w:hideMark/>
          </w:tcPr>
          <w:p w14:paraId="205AD9AB" w14:textId="77777777" w:rsidR="00860C5B" w:rsidRPr="00A21682" w:rsidRDefault="00860C5B" w:rsidP="0062337F">
            <w:pPr>
              <w:pStyle w:val="TABLEHEADINGNEW"/>
              <w:keepNext w:val="0"/>
              <w:rPr>
                <w:rFonts w:cstheme="majorHAnsi"/>
                <w:color w:val="auto"/>
                <w:szCs w:val="18"/>
              </w:rPr>
            </w:pPr>
            <w:r>
              <w:rPr>
                <w:rFonts w:cstheme="majorHAnsi"/>
                <w:bCs w:val="0"/>
                <w:color w:val="auto"/>
                <w:szCs w:val="18"/>
              </w:rPr>
              <w:t>Criteria</w:t>
            </w:r>
          </w:p>
        </w:tc>
        <w:tc>
          <w:tcPr>
            <w:tcW w:w="6925" w:type="dxa"/>
            <w:tcBorders>
              <w:left w:val="single" w:sz="4" w:space="0" w:color="FFFFFF" w:themeColor="background1"/>
            </w:tcBorders>
            <w:shd w:val="clear" w:color="auto" w:fill="000000" w:themeFill="text1"/>
            <w:hideMark/>
          </w:tcPr>
          <w:p w14:paraId="585D430C" w14:textId="77777777" w:rsidR="00860C5B" w:rsidRPr="00A21682" w:rsidRDefault="00860C5B" w:rsidP="0062337F">
            <w:pPr>
              <w:pStyle w:val="TABLEHEADINGNEW"/>
              <w:keepNext w:val="0"/>
              <w:rPr>
                <w:rFonts w:cstheme="majorHAnsi"/>
                <w:color w:val="auto"/>
                <w:szCs w:val="18"/>
              </w:rPr>
            </w:pPr>
            <w:r>
              <w:rPr>
                <w:rFonts w:cstheme="majorHAnsi"/>
                <w:bCs w:val="0"/>
                <w:color w:val="auto"/>
                <w:szCs w:val="18"/>
              </w:rPr>
              <w:t>Description</w:t>
            </w:r>
          </w:p>
        </w:tc>
      </w:tr>
      <w:tr w:rsidR="00860C5B" w:rsidRPr="00A21682" w14:paraId="1B20FBDE" w14:textId="77777777">
        <w:tc>
          <w:tcPr>
            <w:tcW w:w="2425" w:type="dxa"/>
            <w:hideMark/>
          </w:tcPr>
          <w:p w14:paraId="54316568"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Clear and Concise</w:t>
            </w:r>
          </w:p>
        </w:tc>
        <w:tc>
          <w:tcPr>
            <w:tcW w:w="6925" w:type="dxa"/>
            <w:hideMark/>
          </w:tcPr>
          <w:p w14:paraId="060C262B"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Use precise and unambiguous language; write in simple, straightforward sentences.</w:t>
            </w:r>
          </w:p>
        </w:tc>
      </w:tr>
      <w:tr w:rsidR="00860C5B" w:rsidRPr="00A21682" w14:paraId="27392AD0" w14:textId="77777777">
        <w:tc>
          <w:tcPr>
            <w:tcW w:w="2425" w:type="dxa"/>
          </w:tcPr>
          <w:p w14:paraId="5B6B289F" w14:textId="77777777" w:rsidR="00860C5B" w:rsidRPr="00A21682" w:rsidRDefault="00860C5B" w:rsidP="0062337F">
            <w:pPr>
              <w:pStyle w:val="TABLEHEADINGNEW"/>
              <w:keepNext w:val="0"/>
              <w:rPr>
                <w:rFonts w:cstheme="majorHAnsi"/>
                <w:b w:val="0"/>
                <w:color w:val="auto"/>
                <w:szCs w:val="18"/>
              </w:rPr>
            </w:pPr>
            <w:r>
              <w:rPr>
                <w:rFonts w:cstheme="majorHAnsi"/>
                <w:b w:val="0"/>
                <w:color w:val="auto"/>
                <w:szCs w:val="18"/>
              </w:rPr>
              <w:t>Verifiable</w:t>
            </w:r>
          </w:p>
        </w:tc>
        <w:tc>
          <w:tcPr>
            <w:tcW w:w="6925" w:type="dxa"/>
          </w:tcPr>
          <w:p w14:paraId="390245B6" w14:textId="77777777" w:rsidR="00860C5B" w:rsidRPr="00A21682" w:rsidRDefault="00860C5B" w:rsidP="0062337F">
            <w:pPr>
              <w:pStyle w:val="TABLEHEADINGNEW"/>
              <w:keepNext w:val="0"/>
              <w:rPr>
                <w:rFonts w:cstheme="majorHAnsi"/>
                <w:b w:val="0"/>
                <w:color w:val="auto"/>
                <w:szCs w:val="18"/>
              </w:rPr>
            </w:pPr>
            <w:r>
              <w:rPr>
                <w:rFonts w:cstheme="majorHAnsi"/>
                <w:b w:val="0"/>
                <w:color w:val="auto"/>
                <w:szCs w:val="18"/>
              </w:rPr>
              <w:t>The requirement should be testable and have clearly defined acceptance criteria.</w:t>
            </w:r>
          </w:p>
        </w:tc>
      </w:tr>
      <w:tr w:rsidR="00860C5B" w:rsidRPr="00A21682" w14:paraId="1007E7C3" w14:textId="77777777">
        <w:tc>
          <w:tcPr>
            <w:tcW w:w="2425" w:type="dxa"/>
            <w:hideMark/>
          </w:tcPr>
          <w:p w14:paraId="572C4348"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Complete</w:t>
            </w:r>
          </w:p>
        </w:tc>
        <w:tc>
          <w:tcPr>
            <w:tcW w:w="6925" w:type="dxa"/>
            <w:hideMark/>
          </w:tcPr>
          <w:p w14:paraId="581DF334"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The requirement must fully describe the necessary functionality or characteristic and provide enough context.</w:t>
            </w:r>
          </w:p>
        </w:tc>
      </w:tr>
      <w:tr w:rsidR="00860C5B" w:rsidRPr="00A21682" w14:paraId="36D35382" w14:textId="77777777">
        <w:tc>
          <w:tcPr>
            <w:tcW w:w="2425" w:type="dxa"/>
            <w:hideMark/>
          </w:tcPr>
          <w:p w14:paraId="1A52DD76"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Consistent</w:t>
            </w:r>
          </w:p>
        </w:tc>
        <w:tc>
          <w:tcPr>
            <w:tcW w:w="6925" w:type="dxa"/>
            <w:hideMark/>
          </w:tcPr>
          <w:p w14:paraId="7806C57D"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Requirements should not conflict with each other or with higher-level business objectives; use consistent terminology.</w:t>
            </w:r>
          </w:p>
        </w:tc>
      </w:tr>
      <w:tr w:rsidR="00860C5B" w:rsidRPr="00A21682" w14:paraId="1B429F37" w14:textId="77777777">
        <w:tc>
          <w:tcPr>
            <w:tcW w:w="2425" w:type="dxa"/>
            <w:hideMark/>
          </w:tcPr>
          <w:p w14:paraId="643768E2"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Verifiable</w:t>
            </w:r>
          </w:p>
        </w:tc>
        <w:tc>
          <w:tcPr>
            <w:tcW w:w="6925" w:type="dxa"/>
            <w:hideMark/>
          </w:tcPr>
          <w:p w14:paraId="3CBF8AF5"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The requirement should be testable and have clearly defined acceptance criteria.</w:t>
            </w:r>
          </w:p>
        </w:tc>
      </w:tr>
      <w:tr w:rsidR="00860C5B" w:rsidRPr="00A21682" w14:paraId="222164B2" w14:textId="77777777">
        <w:tc>
          <w:tcPr>
            <w:tcW w:w="2425" w:type="dxa"/>
            <w:hideMark/>
          </w:tcPr>
          <w:p w14:paraId="65E2BC06"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lastRenderedPageBreak/>
              <w:t>Feasible</w:t>
            </w:r>
          </w:p>
        </w:tc>
        <w:tc>
          <w:tcPr>
            <w:tcW w:w="6925" w:type="dxa"/>
            <w:hideMark/>
          </w:tcPr>
          <w:p w14:paraId="4654111D"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The requirement must be realistically achievable within the project constraints.</w:t>
            </w:r>
          </w:p>
        </w:tc>
      </w:tr>
      <w:tr w:rsidR="00860C5B" w:rsidRPr="00A21682" w14:paraId="19A156E0" w14:textId="77777777">
        <w:tc>
          <w:tcPr>
            <w:tcW w:w="2425" w:type="dxa"/>
            <w:hideMark/>
          </w:tcPr>
          <w:p w14:paraId="7620CE5D"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Traceable</w:t>
            </w:r>
          </w:p>
        </w:tc>
        <w:tc>
          <w:tcPr>
            <w:tcW w:w="6925" w:type="dxa"/>
            <w:hideMark/>
          </w:tcPr>
          <w:p w14:paraId="6399AD7C" w14:textId="77777777" w:rsidR="00860C5B" w:rsidRPr="00A21682" w:rsidRDefault="00860C5B" w:rsidP="0062337F">
            <w:pPr>
              <w:pStyle w:val="TABLEHEADINGNEW"/>
              <w:keepNext w:val="0"/>
              <w:rPr>
                <w:rFonts w:cstheme="majorHAnsi"/>
                <w:color w:val="auto"/>
                <w:szCs w:val="18"/>
              </w:rPr>
            </w:pPr>
            <w:r>
              <w:rPr>
                <w:rFonts w:cstheme="majorHAnsi"/>
                <w:b w:val="0"/>
                <w:color w:val="auto"/>
                <w:szCs w:val="18"/>
              </w:rPr>
              <w:t>Assign a unique identifier to each requirement; document the origin and linkage to project objectives and deliverables.</w:t>
            </w:r>
          </w:p>
        </w:tc>
      </w:tr>
    </w:tbl>
    <w:p w14:paraId="0A15D187" w14:textId="45D7E26E" w:rsidR="00561D1E" w:rsidRPr="00A21682" w:rsidRDefault="00860C5B" w:rsidP="00A7144D">
      <w:pPr>
        <w:pStyle w:val="Caption"/>
        <w:rPr>
          <w:noProof w:val="0"/>
        </w:rPr>
      </w:pPr>
      <w:bookmarkStart w:id="4414" w:name="_Toc192875240"/>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17</w:t>
      </w:r>
      <w:r>
        <w:rPr>
          <w:noProof w:val="0"/>
        </w:rPr>
        <w:fldChar w:fldCharType="end"/>
      </w:r>
      <w:r>
        <w:rPr>
          <w:noProof w:val="0"/>
        </w:rPr>
        <w:t>: PMI PMBOK</w:t>
      </w:r>
      <w:r>
        <w:rPr>
          <w:noProof w:val="0"/>
          <w:vertAlign w:val="superscript"/>
        </w:rPr>
        <w:t>®</w:t>
      </w:r>
      <w:r>
        <w:rPr>
          <w:noProof w:val="0"/>
        </w:rPr>
        <w:t xml:space="preserve"> Requirements Criteria</w:t>
      </w:r>
      <w:bookmarkEnd w:id="4414"/>
    </w:p>
    <w:p w14:paraId="63FB7CA3" w14:textId="1D87F4A5" w:rsidR="00ED1A61" w:rsidRPr="00A21682" w:rsidRDefault="00E11D88" w:rsidP="00D245ED">
      <w:pPr>
        <w:pStyle w:val="NormalNEW"/>
        <w:rPr>
          <w:lang w:val="en-US"/>
        </w:rPr>
      </w:pPr>
      <w:r>
        <w:rPr>
          <w:lang w:val="en-US"/>
        </w:rPr>
        <w:t>Below is a table that includes an example of a generic requirement along with best practices for writing clear system requirements, as outlined by Centers for Medicare &amp; Medicaid Services (CMS) Requirements Writer’s Guide and Project Management Institute’s (PMI) Project Management Body of Knowledge (PMBOK®).</w:t>
      </w:r>
    </w:p>
    <w:tbl>
      <w:tblPr>
        <w:tblStyle w:val="TableGrid-None11"/>
        <w:tblW w:w="5000" w:type="pct"/>
        <w:tblLook w:val="04A0" w:firstRow="1" w:lastRow="0" w:firstColumn="1" w:lastColumn="0" w:noHBand="0" w:noVBand="1"/>
      </w:tblPr>
      <w:tblGrid>
        <w:gridCol w:w="4759"/>
        <w:gridCol w:w="4591"/>
      </w:tblGrid>
      <w:tr w:rsidR="00EA43BF" w:rsidRPr="00A21682" w14:paraId="27522C0F" w14:textId="77777777" w:rsidTr="00001419">
        <w:trPr>
          <w:cnfStyle w:val="100000000000" w:firstRow="1" w:lastRow="0" w:firstColumn="0" w:lastColumn="0" w:oddVBand="0" w:evenVBand="0" w:oddHBand="0" w:evenHBand="0" w:firstRowFirstColumn="0" w:firstRowLastColumn="0" w:lastRowFirstColumn="0" w:lastRowLastColumn="0"/>
        </w:trPr>
        <w:tc>
          <w:tcPr>
            <w:tcW w:w="2545" w:type="pct"/>
            <w:tcBorders>
              <w:right w:val="single" w:sz="4" w:space="0" w:color="FFFFFF" w:themeColor="background1"/>
            </w:tcBorders>
            <w:hideMark/>
          </w:tcPr>
          <w:p w14:paraId="31C90A26" w14:textId="77777777" w:rsidR="00F47E9F" w:rsidRPr="00A21682" w:rsidRDefault="00F47E9F">
            <w:pPr>
              <w:pStyle w:val="TABLEHEADINGNEW"/>
              <w:rPr>
                <w:rFonts w:cstheme="majorHAnsi"/>
                <w:b/>
                <w:color w:val="auto"/>
                <w:szCs w:val="18"/>
              </w:rPr>
            </w:pPr>
            <w:r>
              <w:rPr>
                <w:rFonts w:cstheme="majorHAnsi"/>
                <w:b/>
                <w:color w:val="auto"/>
                <w:szCs w:val="18"/>
              </w:rPr>
              <w:t>Requirement Example</w:t>
            </w:r>
          </w:p>
        </w:tc>
        <w:tc>
          <w:tcPr>
            <w:tcW w:w="2455" w:type="pct"/>
            <w:tcBorders>
              <w:left w:val="single" w:sz="4" w:space="0" w:color="FFFFFF" w:themeColor="background1"/>
            </w:tcBorders>
            <w:hideMark/>
          </w:tcPr>
          <w:p w14:paraId="089716CB" w14:textId="77777777" w:rsidR="00F47E9F" w:rsidRPr="00A21682" w:rsidRDefault="00F47E9F">
            <w:pPr>
              <w:pStyle w:val="TABLEHEADINGNEW"/>
              <w:rPr>
                <w:rFonts w:cstheme="majorHAnsi"/>
                <w:b/>
                <w:color w:val="auto"/>
                <w:szCs w:val="18"/>
              </w:rPr>
            </w:pPr>
            <w:r>
              <w:rPr>
                <w:rFonts w:cstheme="majorHAnsi"/>
                <w:b/>
                <w:color w:val="auto"/>
                <w:szCs w:val="18"/>
              </w:rPr>
              <w:t>Criteria Description</w:t>
            </w:r>
          </w:p>
        </w:tc>
      </w:tr>
      <w:tr w:rsidR="00F47E9F" w:rsidRPr="00A21682" w14:paraId="109D5DDD" w14:textId="77777777" w:rsidTr="00A7144D">
        <w:tc>
          <w:tcPr>
            <w:tcW w:w="2545" w:type="pct"/>
            <w:hideMark/>
          </w:tcPr>
          <w:p w14:paraId="16710BC6" w14:textId="77777777" w:rsidR="00F47E9F" w:rsidRPr="00A21682" w:rsidRDefault="00F47E9F">
            <w:pPr>
              <w:pStyle w:val="TABLEHEADINGNEW"/>
              <w:rPr>
                <w:rFonts w:cstheme="majorHAnsi"/>
                <w:b w:val="0"/>
                <w:color w:val="auto"/>
                <w:szCs w:val="18"/>
              </w:rPr>
            </w:pPr>
            <w:r>
              <w:rPr>
                <w:rFonts w:cstheme="majorHAnsi"/>
                <w:b w:val="0"/>
                <w:color w:val="auto"/>
                <w:szCs w:val="18"/>
              </w:rPr>
              <w:t>The system shall check if a spouse’s record was added during the current renewal.</w:t>
            </w:r>
          </w:p>
        </w:tc>
        <w:tc>
          <w:tcPr>
            <w:tcW w:w="2455" w:type="pct"/>
            <w:hideMark/>
          </w:tcPr>
          <w:p w14:paraId="09DD79FC" w14:textId="77777777" w:rsidR="00F47E9F" w:rsidRPr="00A21682" w:rsidRDefault="00F47E9F">
            <w:pPr>
              <w:pStyle w:val="TABLEHEADINGNEW"/>
              <w:rPr>
                <w:rFonts w:cstheme="majorHAnsi"/>
                <w:b w:val="0"/>
                <w:color w:val="auto"/>
                <w:szCs w:val="18"/>
              </w:rPr>
            </w:pPr>
            <w:r>
              <w:rPr>
                <w:rFonts w:cstheme="majorHAnsi"/>
                <w:b w:val="0"/>
                <w:color w:val="auto"/>
                <w:szCs w:val="18"/>
              </w:rPr>
              <w:t>This requirement specifies that the system must verify whether a spouse's record has been added during the renewal process. It is standalone, clear, concise, feasible, and testable.</w:t>
            </w:r>
          </w:p>
        </w:tc>
      </w:tr>
    </w:tbl>
    <w:p w14:paraId="69BEA6AA" w14:textId="0CA35AD9" w:rsidR="00F47E9F" w:rsidRPr="00A21682" w:rsidRDefault="00EB0EB2" w:rsidP="00A7144D">
      <w:pPr>
        <w:pStyle w:val="Caption"/>
        <w:rPr>
          <w:noProof w:val="0"/>
        </w:rPr>
      </w:pPr>
      <w:bookmarkStart w:id="4415" w:name="_Toc192875241"/>
      <w:r>
        <w:rPr>
          <w:noProof w:val="0"/>
        </w:rPr>
        <w:t xml:space="preserve">Table </w:t>
      </w:r>
      <w:r>
        <w:rPr>
          <w:noProof w:val="0"/>
        </w:rPr>
        <w:fldChar w:fldCharType="begin"/>
      </w:r>
      <w:r>
        <w:rPr>
          <w:noProof w:val="0"/>
        </w:rPr>
        <w:instrText xml:space="preserve"> STYLEREF 1 \s </w:instrText>
      </w:r>
      <w:r>
        <w:rPr>
          <w:noProof w:val="0"/>
        </w:rPr>
        <w:fldChar w:fldCharType="separate"/>
      </w:r>
      <w:r>
        <w:rPr>
          <w:noProof w:val="0"/>
        </w:rPr>
        <w:t>13</w:t>
      </w:r>
      <w:r>
        <w:rPr>
          <w:noProof w:val="0"/>
        </w:rPr>
        <w:fldChar w:fldCharType="end"/>
      </w:r>
      <w:r>
        <w:rPr>
          <w:noProof w:val="0"/>
        </w:rPr>
        <w:noBreakHyphen/>
      </w:r>
      <w:r>
        <w:rPr>
          <w:noProof w:val="0"/>
        </w:rPr>
        <w:fldChar w:fldCharType="begin"/>
      </w:r>
      <w:r>
        <w:rPr>
          <w:noProof w:val="0"/>
        </w:rPr>
        <w:instrText xml:space="preserve"> SEQ Table \* ARABIC \s 1 </w:instrText>
      </w:r>
      <w:r>
        <w:rPr>
          <w:noProof w:val="0"/>
        </w:rPr>
        <w:fldChar w:fldCharType="separate"/>
      </w:r>
      <w:r>
        <w:rPr>
          <w:noProof w:val="0"/>
        </w:rPr>
        <w:t>18</w:t>
      </w:r>
      <w:r>
        <w:rPr>
          <w:noProof w:val="0"/>
        </w:rPr>
        <w:fldChar w:fldCharType="end"/>
      </w:r>
      <w:r>
        <w:rPr>
          <w:noProof w:val="0"/>
        </w:rPr>
        <w:t>: Requirement Examples Based on CMS/PMBOK Guidelines</w:t>
      </w:r>
      <w:bookmarkEnd w:id="4415"/>
    </w:p>
    <w:p w14:paraId="7E9C2915" w14:textId="77777777" w:rsidR="00541255" w:rsidRPr="00A21682" w:rsidRDefault="00541255">
      <w:pPr>
        <w:spacing w:after="160" w:line="259" w:lineRule="auto"/>
        <w:rPr>
          <w:rFonts w:ascii="Verdana" w:eastAsiaTheme="majorEastAsia" w:hAnsi="Verdana" w:cstheme="majorBidi"/>
          <w:b/>
          <w:sz w:val="18"/>
          <w:szCs w:val="26"/>
        </w:rPr>
      </w:pPr>
      <w:r>
        <w:br w:type="page"/>
      </w:r>
    </w:p>
    <w:p w14:paraId="31A7F4CA" w14:textId="1890C31F" w:rsidR="00ED1A61" w:rsidRPr="00A21682" w:rsidRDefault="006E5A38" w:rsidP="006E5A38">
      <w:pPr>
        <w:pStyle w:val="Heading2"/>
        <w:rPr>
          <w:szCs w:val="18"/>
        </w:rPr>
      </w:pPr>
      <w:bookmarkStart w:id="4416" w:name="_Toc192875034"/>
      <w:r>
        <w:lastRenderedPageBreak/>
        <w:t>Appendix</w:t>
      </w:r>
      <w:r>
        <w:rPr>
          <w:szCs w:val="18"/>
        </w:rPr>
        <w:t xml:space="preserve"> G: Collaboration Process for DEDs/Deliverables</w:t>
      </w:r>
      <w:bookmarkEnd w:id="4416"/>
    </w:p>
    <w:p w14:paraId="63481B44" w14:textId="69DCB206" w:rsidR="007B6C0F" w:rsidRPr="00A21682" w:rsidRDefault="00B4310B" w:rsidP="007B6C0F">
      <w:pPr>
        <w:pStyle w:val="NormalNEW"/>
        <w:rPr>
          <w:lang w:val="en-US"/>
        </w:rPr>
      </w:pPr>
      <w:r>
        <w:rPr>
          <w:lang w:val="en-US"/>
        </w:rPr>
        <w:t>For the complete collaboration process for Non-Design and Design Documents, access the Collaboration Process via this link: DEDs/Deliverables Collaboration Process</w:t>
      </w:r>
    </w:p>
    <w:p w14:paraId="5A69037E" w14:textId="77777777" w:rsidR="00E20A10" w:rsidRPr="00A21682" w:rsidRDefault="00E20A10" w:rsidP="00A7144D">
      <w:pPr>
        <w:pStyle w:val="NYBodyText"/>
        <w:rPr>
          <w:lang w:val="en-US"/>
        </w:rPr>
      </w:pPr>
    </w:p>
    <w:p w14:paraId="7C43FF8E" w14:textId="6B5DBDF2" w:rsidR="00C540B0" w:rsidRPr="00A21682" w:rsidRDefault="00C540B0" w:rsidP="00C540B0">
      <w:pPr>
        <w:pStyle w:val="Heading2"/>
        <w:rPr>
          <w:szCs w:val="18"/>
        </w:rPr>
      </w:pPr>
      <w:bookmarkStart w:id="4417" w:name="_Toc192875035"/>
      <w:r>
        <w:t>Appendix</w:t>
      </w:r>
      <w:r>
        <w:rPr>
          <w:szCs w:val="18"/>
        </w:rPr>
        <w:t xml:space="preserve"> H: Design Document Storage on DOH SharePoint</w:t>
      </w:r>
      <w:bookmarkEnd w:id="4417"/>
    </w:p>
    <w:p w14:paraId="1D31CC55" w14:textId="4EB485CF" w:rsidR="00FD3D7A" w:rsidRPr="00A21682" w:rsidRDefault="00C540B0" w:rsidP="00FD3D7A">
      <w:pPr>
        <w:pStyle w:val="NormalNEW"/>
        <w:rPr>
          <w:lang w:val="en-US"/>
        </w:rPr>
      </w:pPr>
      <w:r>
        <w:rPr>
          <w:lang w:val="en-US"/>
        </w:rPr>
        <w:t>For the details regarding Design Document Storage locations and protocols, refer to the following link: Design Documentation Storage in DOH SharePoint</w:t>
      </w:r>
    </w:p>
    <w:p w14:paraId="78B608ED" w14:textId="77777777" w:rsidR="00EC174C" w:rsidRPr="00A21682" w:rsidRDefault="00EC174C" w:rsidP="00EC174C">
      <w:pPr>
        <w:pStyle w:val="NYBodyText"/>
        <w:rPr>
          <w:lang w:val="en-US"/>
        </w:rPr>
      </w:pPr>
    </w:p>
    <w:p w14:paraId="67EEF84B" w14:textId="4D95D4F1" w:rsidR="00ED1A61" w:rsidRPr="00A21682" w:rsidRDefault="00223A5D" w:rsidP="00223A5D">
      <w:pPr>
        <w:pStyle w:val="Heading2"/>
      </w:pPr>
      <w:bookmarkStart w:id="4418" w:name="_Toc192875036"/>
      <w:r>
        <w:t>Appendix I: Change Tracker for Modifying Deliverables Post Transmittal Approval</w:t>
      </w:r>
      <w:bookmarkEnd w:id="4418"/>
    </w:p>
    <w:p w14:paraId="47328994" w14:textId="2DC413D8" w:rsidR="00C34CF2" w:rsidRPr="00A21682" w:rsidRDefault="00C34CF2" w:rsidP="00C34CF2">
      <w:pPr>
        <w:pStyle w:val="NormalNEW"/>
        <w:rPr>
          <w:lang w:val="en-US"/>
        </w:rPr>
      </w:pPr>
      <w:r>
        <w:rPr>
          <w:lang w:val="en-US"/>
        </w:rPr>
        <w:t>For accessing the Change Tracker which is required when modifying deliverables post transmittal approval, refer to the following link: Deliverable Change Tracker</w:t>
      </w:r>
    </w:p>
    <w:p w14:paraId="20CF8324" w14:textId="77777777" w:rsidR="00A41779" w:rsidRPr="00A21682" w:rsidRDefault="00A41779" w:rsidP="00A41779">
      <w:pPr>
        <w:pStyle w:val="NYBodyText"/>
        <w:rPr>
          <w:lang w:val="en-US"/>
        </w:rPr>
      </w:pPr>
    </w:p>
    <w:p w14:paraId="5DA4F0B1" w14:textId="77777777" w:rsidR="008376AB" w:rsidRPr="00A21682" w:rsidRDefault="008376AB" w:rsidP="00E87281"/>
    <w:p w14:paraId="4E921B06" w14:textId="77777777" w:rsidR="00D75C61" w:rsidRPr="00A21682" w:rsidRDefault="00D75C61" w:rsidP="00E87281"/>
    <w:p w14:paraId="52FF9775" w14:textId="30BEC81D" w:rsidR="00D75C61" w:rsidRPr="00A21682" w:rsidRDefault="00D75C61"/>
    <w:sectPr w:rsidR="00D75C61" w:rsidRPr="00A21682" w:rsidSect="00FB4E23">
      <w:headerReference w:type="default" r:id="rId125"/>
      <w:footerReference w:type="default" r:id="rId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925F" w14:textId="77777777" w:rsidR="00A40AA5" w:rsidRDefault="00A40AA5" w:rsidP="00844B81">
      <w:r>
        <w:separator/>
      </w:r>
    </w:p>
  </w:endnote>
  <w:endnote w:type="continuationSeparator" w:id="0">
    <w:p w14:paraId="08BF319F" w14:textId="77777777" w:rsidR="00A40AA5" w:rsidRDefault="00A40AA5" w:rsidP="00844B81">
      <w:r>
        <w:continuationSeparator/>
      </w:r>
    </w:p>
  </w:endnote>
  <w:endnote w:type="continuationNotice" w:id="1">
    <w:p w14:paraId="76CF43EB" w14:textId="77777777" w:rsidR="00A40AA5" w:rsidRDefault="00A40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6DA91" w14:textId="31925F90" w:rsidR="006776D2" w:rsidRDefault="006776D2">
    <w:pPr>
      <w:pStyle w:val="Footer"/>
    </w:pPr>
  </w:p>
  <w:p w14:paraId="2CC2DFF5" w14:textId="77777777" w:rsidR="00A67AE3" w:rsidRDefault="00A67A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6E65" w14:textId="2528646D" w:rsidR="009B39EE" w:rsidRDefault="001B4D47">
    <w:pPr>
      <w:pStyle w:val="Footer"/>
    </w:pPr>
    <w:r>
      <w:rPr>
        <w:noProof/>
      </w:rPr>
      <mc:AlternateContent>
        <mc:Choice Requires="wps">
          <w:drawing>
            <wp:anchor distT="0" distB="0" distL="114300" distR="114300" simplePos="0" relativeHeight="251658247" behindDoc="0" locked="0" layoutInCell="1" allowOverlap="1" wp14:anchorId="37C14A13" wp14:editId="32437DB1">
              <wp:simplePos x="0" y="0"/>
              <wp:positionH relativeFrom="margin">
                <wp:align>center</wp:align>
              </wp:positionH>
              <wp:positionV relativeFrom="paragraph">
                <wp:posOffset>-114300</wp:posOffset>
              </wp:positionV>
              <wp:extent cx="6210300" cy="9525"/>
              <wp:effectExtent l="0" t="0" r="0" b="952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0300" cy="9525"/>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A1D48C" id="Straight Connector 74" o:spid="_x0000_s1026" style="position:absolute;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9pt" to="489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" strokecolor="#173654" strokeweight=".5pt">
              <v:stroke joinstyle="miter"/>
              <o:lock v:ext="edit" shapetype="f"/>
              <w10:wrap anchorx="margin"/>
            </v:line>
          </w:pict>
        </mc:Fallback>
      </mc:AlternateContent>
    </w:r>
    <w:r w:rsidR="00035CC5">
      <w:t xml:space="preserve">NY State DOH MECM System Project [Name of Deliverable Document] v. 0.0 </w:t>
    </w:r>
    <w:r w:rsidR="00035CC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4553" w14:textId="474FD508" w:rsidR="006776D2" w:rsidRDefault="006776D2">
    <w:pPr>
      <w:pStyle w:val="Footer"/>
    </w:pPr>
  </w:p>
  <w:p w14:paraId="311FAC7F" w14:textId="77777777" w:rsidR="00A67AE3" w:rsidRDefault="00A67AE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EA84" w14:textId="77777777" w:rsidR="00B00D8C" w:rsidRDefault="00B00D8C" w:rsidP="00DA67A4">
    <w:pPr>
      <w:pStyle w:val="Footer"/>
      <w:jc w:val="center"/>
    </w:pPr>
  </w:p>
  <w:p w14:paraId="699092A6" w14:textId="77777777" w:rsidR="006506CA" w:rsidRDefault="006506CA" w:rsidP="006506CA">
    <w:pPr>
      <w:pStyle w:val="Footer"/>
      <w:jc w:val="center"/>
    </w:pPr>
    <w:r>
      <w:rPr>
        <w:noProof/>
      </w:rPr>
      <mc:AlternateContent>
        <mc:Choice Requires="wps">
          <w:drawing>
            <wp:anchor distT="4294967295" distB="4294967295" distL="114300" distR="114300" simplePos="0" relativeHeight="251658266" behindDoc="0" locked="0" layoutInCell="1" allowOverlap="1" wp14:anchorId="6A56D959" wp14:editId="20DD0C84">
              <wp:simplePos x="0" y="0"/>
              <wp:positionH relativeFrom="margin">
                <wp:align>right</wp:align>
              </wp:positionH>
              <wp:positionV relativeFrom="paragraph">
                <wp:posOffset>65404</wp:posOffset>
              </wp:positionV>
              <wp:extent cx="5943600" cy="0"/>
              <wp:effectExtent l="0" t="0" r="0" b="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0B7D5BD" id="Straight Connector 69" o:spid="_x0000_s1026" style="position:absolute;z-index:25165826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sdt>
    <w:sdtPr>
      <w:id w:val="1258789841"/>
      <w:docPartObj>
        <w:docPartGallery w:val="Page Numbers (Bottom of Page)"/>
        <w:docPartUnique/>
      </w:docPartObj>
    </w:sdtPr>
    <w:sdtEndPr>
      <w:rPr>
        <w:noProof/>
      </w:rPr>
    </w:sdtEndPr>
    <w:sdtContent>
      <w:p w14:paraId="057EF523" w14:textId="45C107FA" w:rsidR="005661A3" w:rsidRDefault="005661A3" w:rsidP="005661A3">
        <w:pPr>
          <w:pStyle w:val="Footer"/>
          <w:jc w:val="center"/>
          <w:rPr>
            <w:noProof/>
          </w:rPr>
        </w:pPr>
      </w:p>
      <w:p w14:paraId="09E1A824" w14:textId="2C64238B" w:rsidR="00035CC5" w:rsidRDefault="00DA67A4">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158278"/>
      <w:docPartObj>
        <w:docPartGallery w:val="Page Numbers (Bottom of Page)"/>
        <w:docPartUnique/>
      </w:docPartObj>
    </w:sdtPr>
    <w:sdtEndPr>
      <w:rPr>
        <w:noProof/>
      </w:rPr>
    </w:sdtEndPr>
    <w:sdtContent>
      <w:p w14:paraId="5E3B2021" w14:textId="77777777" w:rsidR="00B00D8C" w:rsidRDefault="00B00D8C" w:rsidP="005661A3">
        <w:pPr>
          <w:pStyle w:val="Footer"/>
          <w:jc w:val="center"/>
        </w:pPr>
      </w:p>
      <w:p w14:paraId="6D5A4E1A" w14:textId="70B3560B" w:rsidR="00311028" w:rsidRDefault="00311028">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785589"/>
      <w:docPartObj>
        <w:docPartGallery w:val="Page Numbers (Bottom of Page)"/>
        <w:docPartUnique/>
      </w:docPartObj>
    </w:sdtPr>
    <w:sdtEndPr>
      <w:rPr>
        <w:noProof/>
      </w:rPr>
    </w:sdtEndPr>
    <w:sdtContent>
      <w:p w14:paraId="4A259DDD" w14:textId="77777777" w:rsidR="00B00D8C" w:rsidRDefault="00B00D8C" w:rsidP="005661A3">
        <w:pPr>
          <w:pStyle w:val="Footer"/>
          <w:jc w:val="center"/>
        </w:pPr>
      </w:p>
      <w:p w14:paraId="7DB24721" w14:textId="6441C4BE" w:rsidR="005661A3" w:rsidRDefault="001B4D47" w:rsidP="005661A3">
        <w:pPr>
          <w:pStyle w:val="Footer"/>
          <w:jc w:val="center"/>
        </w:pPr>
        <w:r>
          <w:rPr>
            <w:noProof/>
          </w:rPr>
          <mc:AlternateContent>
            <mc:Choice Requires="wps">
              <w:drawing>
                <wp:anchor distT="0" distB="0" distL="114300" distR="114300" simplePos="0" relativeHeight="251658242" behindDoc="0" locked="0" layoutInCell="1" allowOverlap="1" wp14:anchorId="7BCC0C29" wp14:editId="36C52742">
                  <wp:simplePos x="0" y="0"/>
                  <wp:positionH relativeFrom="margin">
                    <wp:align>left</wp:align>
                  </wp:positionH>
                  <wp:positionV relativeFrom="paragraph">
                    <wp:posOffset>63500</wp:posOffset>
                  </wp:positionV>
                  <wp:extent cx="6210300" cy="9525"/>
                  <wp:effectExtent l="0" t="0" r="0" b="952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0300" cy="9525"/>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6C2078" id="Straight Connector 67" o:spid="_x0000_s1026" style="position:absolute;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5pt" to="489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" strokecolor="#173654" strokeweight=".5pt">
                  <v:stroke joinstyle="miter"/>
                  <o:lock v:ext="edit" shapetype="f"/>
                  <w10:wrap anchorx="margin"/>
                </v:line>
              </w:pict>
            </mc:Fallback>
          </mc:AlternateContent>
        </w:r>
      </w:p>
      <w:p w14:paraId="7EC8279C" w14:textId="27A8636B" w:rsidR="005661A3" w:rsidRDefault="005661A3">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813093"/>
      <w:docPartObj>
        <w:docPartGallery w:val="Page Numbers (Bottom of Page)"/>
        <w:docPartUnique/>
      </w:docPartObj>
    </w:sdtPr>
    <w:sdtEndPr>
      <w:rPr>
        <w:noProof/>
      </w:rPr>
    </w:sdtEndPr>
    <w:sdtContent>
      <w:p w14:paraId="232AB84F" w14:textId="4A2931B6" w:rsidR="00B94EDE" w:rsidRDefault="00B94EDE" w:rsidP="00DA67A4">
        <w:pPr>
          <w:pStyle w:val="Footer"/>
          <w:jc w:val="center"/>
        </w:pPr>
      </w:p>
      <w:p w14:paraId="2F253279" w14:textId="77777777" w:rsidR="00B94EDE" w:rsidRDefault="00A40AA5">
        <w:pPr>
          <w:pStyle w:val="Footer"/>
          <w:jc w:val="right"/>
        </w:pPr>
      </w:p>
    </w:sdtContent>
  </w:sdt>
  <w:p w14:paraId="410E238C" w14:textId="77777777" w:rsidR="00B94EDE" w:rsidRDefault="00B94E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346584"/>
      <w:docPartObj>
        <w:docPartGallery w:val="Page Numbers (Bottom of Page)"/>
        <w:docPartUnique/>
      </w:docPartObj>
    </w:sdtPr>
    <w:sdtEndPr>
      <w:rPr>
        <w:noProof/>
      </w:rPr>
    </w:sdtEndPr>
    <w:sdtContent>
      <w:p w14:paraId="575ADFD1" w14:textId="77777777" w:rsidR="00B00D8C" w:rsidRDefault="00B00D8C" w:rsidP="00DA67A4">
        <w:pPr>
          <w:pStyle w:val="Footer"/>
          <w:jc w:val="center"/>
        </w:pPr>
      </w:p>
      <w:p w14:paraId="6AE658B9" w14:textId="6B50A871" w:rsidR="00B94EDE" w:rsidRDefault="00B94EDE">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77E7" w14:textId="77777777" w:rsidR="00B94394" w:rsidRDefault="00B94394" w:rsidP="00DA67A4">
    <w:pPr>
      <w:pStyle w:val="Footer"/>
      <w:jc w:val="center"/>
    </w:pPr>
  </w:p>
  <w:sdt>
    <w:sdtPr>
      <w:id w:val="-1273392646"/>
      <w:docPartObj>
        <w:docPartGallery w:val="Page Numbers (Bottom of Page)"/>
        <w:docPartUnique/>
      </w:docPartObj>
    </w:sdtPr>
    <w:sdtEndPr>
      <w:rPr>
        <w:noProof/>
      </w:rPr>
    </w:sdtEndPr>
    <w:sdtContent>
      <w:p w14:paraId="3EAAF7E8" w14:textId="1C49C090" w:rsidR="00B94394" w:rsidRDefault="00B94394" w:rsidP="000944BD">
        <w:pPr>
          <w:pStyle w:val="Footer"/>
          <w:jc w:val="center"/>
          <w:rPr>
            <w:noProof/>
          </w:rPr>
        </w:pPr>
      </w:p>
      <w:p w14:paraId="3FF54663" w14:textId="77777777" w:rsidR="00B94394" w:rsidRDefault="00B94394"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3F9A2C44" w14:textId="77777777" w:rsidR="00B94394" w:rsidRDefault="00A40AA5">
        <w:pPr>
          <w:pStyle w:val="Footer"/>
          <w:jc w:val="right"/>
        </w:pPr>
      </w:p>
    </w:sdtContent>
  </w:sdt>
  <w:p w14:paraId="18A1008D" w14:textId="77777777" w:rsidR="00B94394" w:rsidRDefault="00B9439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06D4" w14:textId="77777777" w:rsidR="00391720" w:rsidRDefault="00391720" w:rsidP="00DA67A4">
    <w:pPr>
      <w:pStyle w:val="Footer"/>
      <w:jc w:val="center"/>
    </w:pPr>
  </w:p>
  <w:sdt>
    <w:sdtPr>
      <w:id w:val="-1476514175"/>
      <w:docPartObj>
        <w:docPartGallery w:val="Page Numbers (Bottom of Page)"/>
        <w:docPartUnique/>
      </w:docPartObj>
    </w:sdtPr>
    <w:sdtEndPr>
      <w:rPr>
        <w:noProof/>
      </w:rPr>
    </w:sdtEndPr>
    <w:sdtContent>
      <w:p w14:paraId="470EB627" w14:textId="11ED22B9" w:rsidR="00391720" w:rsidRDefault="001B4D47" w:rsidP="00DA67A4">
        <w:pPr>
          <w:pStyle w:val="Footer"/>
          <w:jc w:val="center"/>
        </w:pPr>
        <w:r>
          <w:rPr>
            <w:noProof/>
          </w:rPr>
          <mc:AlternateContent>
            <mc:Choice Requires="wps">
              <w:drawing>
                <wp:anchor distT="4294967295" distB="4294967295" distL="114300" distR="114300" simplePos="0" relativeHeight="251658243" behindDoc="0" locked="0" layoutInCell="1" allowOverlap="1" wp14:anchorId="4BA62016" wp14:editId="447FE0A6">
                  <wp:simplePos x="0" y="0"/>
                  <wp:positionH relativeFrom="margin">
                    <wp:align>right</wp:align>
                  </wp:positionH>
                  <wp:positionV relativeFrom="paragraph">
                    <wp:posOffset>65404</wp:posOffset>
                  </wp:positionV>
                  <wp:extent cx="5943600" cy="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7FDDBAF" id="Straight Connector 55" o:spid="_x0000_s1026" style="position:absolute;z-index:251658243;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7EB06670" w14:textId="57C9342B" w:rsidR="00391720" w:rsidRDefault="00391720">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2B77" w14:textId="7A7A3874" w:rsidR="00BE06B3" w:rsidRDefault="00BE06B3" w:rsidP="00DA67A4">
    <w:pPr>
      <w:pStyle w:val="Footer"/>
      <w:jc w:val="center"/>
    </w:pPr>
  </w:p>
  <w:sdt>
    <w:sdtPr>
      <w:id w:val="-773792286"/>
      <w:docPartObj>
        <w:docPartGallery w:val="Page Numbers (Bottom of Page)"/>
        <w:docPartUnique/>
      </w:docPartObj>
    </w:sdtPr>
    <w:sdtEndPr>
      <w:rPr>
        <w:noProof/>
      </w:rPr>
    </w:sdtEndPr>
    <w:sdtContent>
      <w:p w14:paraId="35E83FD4" w14:textId="0413FEBE" w:rsidR="00BE06B3" w:rsidRDefault="00BE06B3" w:rsidP="00DA67A4">
        <w:pPr>
          <w:pStyle w:val="Footer"/>
          <w:jc w:val="center"/>
          <w:rPr>
            <w:noProof/>
          </w:rPr>
        </w:pPr>
      </w:p>
      <w:p w14:paraId="29E584DA" w14:textId="77777777" w:rsidR="00BE06B3" w:rsidRDefault="00BE06B3"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65267B0E" w14:textId="77777777" w:rsidR="00BE06B3" w:rsidRDefault="00A40AA5">
        <w:pPr>
          <w:pStyle w:val="Footer"/>
          <w:jc w:val="right"/>
        </w:pPr>
      </w:p>
    </w:sdtContent>
  </w:sdt>
  <w:p w14:paraId="104BBC74" w14:textId="77777777" w:rsidR="00BE06B3" w:rsidRDefault="00BE06B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265228"/>
      <w:docPartObj>
        <w:docPartGallery w:val="Page Numbers (Bottom of Page)"/>
        <w:docPartUnique/>
      </w:docPartObj>
    </w:sdtPr>
    <w:sdtEndPr>
      <w:rPr>
        <w:noProof/>
      </w:rPr>
    </w:sdtEndPr>
    <w:sdtContent>
      <w:p w14:paraId="669CADE1" w14:textId="18CC1516" w:rsidR="00F077F0" w:rsidRDefault="00F077F0" w:rsidP="00F077F0">
        <w:pPr>
          <w:pStyle w:val="Footer"/>
          <w:jc w:val="center"/>
        </w:pPr>
      </w:p>
      <w:p w14:paraId="23C79151" w14:textId="281750C8" w:rsidR="00F077F0" w:rsidRDefault="001B4D47" w:rsidP="00F077F0">
        <w:pPr>
          <w:pStyle w:val="Footer"/>
          <w:jc w:val="center"/>
        </w:pPr>
        <w:r>
          <w:rPr>
            <w:noProof/>
          </w:rPr>
          <mc:AlternateContent>
            <mc:Choice Requires="wps">
              <w:drawing>
                <wp:anchor distT="4294967295" distB="4294967295" distL="114300" distR="114300" simplePos="0" relativeHeight="251658264" behindDoc="0" locked="0" layoutInCell="1" allowOverlap="1" wp14:anchorId="7DBE6C71" wp14:editId="6180F65A">
                  <wp:simplePos x="0" y="0"/>
                  <wp:positionH relativeFrom="margin">
                    <wp:align>right</wp:align>
                  </wp:positionH>
                  <wp:positionV relativeFrom="paragraph">
                    <wp:posOffset>65404</wp:posOffset>
                  </wp:positionV>
                  <wp:extent cx="5943600" cy="0"/>
                  <wp:effectExtent l="0" t="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7E51A4C" id="Straight Connector 52" o:spid="_x0000_s1026" style="position:absolute;z-index:251658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66ABE0ED" w14:textId="43E7945C" w:rsidR="00E05B18" w:rsidRDefault="00E05B18">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787118"/>
      <w:docPartObj>
        <w:docPartGallery w:val="Page Numbers (Bottom of Page)"/>
        <w:docPartUnique/>
      </w:docPartObj>
    </w:sdtPr>
    <w:sdtEndPr>
      <w:rPr>
        <w:noProof/>
      </w:rPr>
    </w:sdtEndPr>
    <w:sdtContent>
      <w:p w14:paraId="77385E29" w14:textId="77777777" w:rsidR="00A5554E" w:rsidRDefault="00A5554E" w:rsidP="000832BF">
        <w:pPr>
          <w:pStyle w:val="Footer"/>
          <w:jc w:val="center"/>
        </w:pPr>
      </w:p>
      <w:p w14:paraId="488155A9" w14:textId="2F136FE0" w:rsidR="00A5554E" w:rsidRDefault="001B4D47" w:rsidP="000832BF">
        <w:pPr>
          <w:pStyle w:val="Footer"/>
          <w:jc w:val="center"/>
        </w:pPr>
        <w:r>
          <w:rPr>
            <w:noProof/>
          </w:rPr>
          <mc:AlternateContent>
            <mc:Choice Requires="wps">
              <w:drawing>
                <wp:anchor distT="4294967295" distB="4294967295" distL="114300" distR="114300" simplePos="0" relativeHeight="251658248" behindDoc="0" locked="0" layoutInCell="1" allowOverlap="1" wp14:anchorId="4B0804ED" wp14:editId="5D1A24EE">
                  <wp:simplePos x="0" y="0"/>
                  <wp:positionH relativeFrom="margin">
                    <wp:align>right</wp:align>
                  </wp:positionH>
                  <wp:positionV relativeFrom="paragraph">
                    <wp:posOffset>65404</wp:posOffset>
                  </wp:positionV>
                  <wp:extent cx="594360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E6511CA" id="Straight Connector 45" o:spid="_x0000_s1026" style="position:absolute;z-index:251658248;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45504C36" w14:textId="6538BCD7" w:rsidR="00A5554E" w:rsidRDefault="00A5554E">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614539"/>
      <w:docPartObj>
        <w:docPartGallery w:val="Page Numbers (Bottom of Page)"/>
        <w:docPartUnique/>
      </w:docPartObj>
    </w:sdtPr>
    <w:sdtEndPr>
      <w:rPr>
        <w:noProof/>
      </w:rPr>
    </w:sdtEndPr>
    <w:sdtContent>
      <w:p w14:paraId="78F4A11C" w14:textId="77777777" w:rsidR="006C7144" w:rsidRDefault="006C7144" w:rsidP="000832BF">
        <w:pPr>
          <w:pStyle w:val="Footer"/>
          <w:jc w:val="center"/>
        </w:pPr>
      </w:p>
      <w:p w14:paraId="5BD5A7A8" w14:textId="477375AE" w:rsidR="006C7144" w:rsidRDefault="001B4D47" w:rsidP="000832BF">
        <w:pPr>
          <w:pStyle w:val="Footer"/>
          <w:jc w:val="center"/>
        </w:pPr>
        <w:r>
          <w:rPr>
            <w:noProof/>
          </w:rPr>
          <mc:AlternateContent>
            <mc:Choice Requires="wps">
              <w:drawing>
                <wp:anchor distT="4294967295" distB="4294967295" distL="114300" distR="114300" simplePos="0" relativeHeight="251658251" behindDoc="0" locked="0" layoutInCell="1" allowOverlap="1" wp14:anchorId="6C5C754A" wp14:editId="02AD0CFB">
                  <wp:simplePos x="0" y="0"/>
                  <wp:positionH relativeFrom="margin">
                    <wp:align>right</wp:align>
                  </wp:positionH>
                  <wp:positionV relativeFrom="paragraph">
                    <wp:posOffset>65404</wp:posOffset>
                  </wp:positionV>
                  <wp:extent cx="5943600" cy="0"/>
                  <wp:effectExtent l="0" t="0" r="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C492705" id="Straight Connector 42" o:spid="_x0000_s1026" style="position:absolute;z-index:251658251;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2E8DB4DE" w14:textId="391C711C" w:rsidR="006C7144" w:rsidRDefault="006C7144" w:rsidP="000832BF">
        <w:pPr>
          <w:pStyle w:val="Footer"/>
          <w:jc w:val="center"/>
          <w:rPr>
            <w:noProof/>
          </w:rPr>
        </w:pPr>
      </w:p>
      <w:p w14:paraId="04A17512" w14:textId="795A8072" w:rsidR="006C7144" w:rsidRDefault="006C7144">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96711"/>
      <w:docPartObj>
        <w:docPartGallery w:val="Page Numbers (Bottom of Page)"/>
        <w:docPartUnique/>
      </w:docPartObj>
    </w:sdtPr>
    <w:sdtEndPr>
      <w:rPr>
        <w:noProof/>
      </w:rPr>
    </w:sdtEndPr>
    <w:sdtContent>
      <w:p w14:paraId="7D838DFD" w14:textId="77777777" w:rsidR="006C7144" w:rsidRDefault="006C7144" w:rsidP="000832BF">
        <w:pPr>
          <w:pStyle w:val="Footer"/>
          <w:jc w:val="center"/>
        </w:pPr>
      </w:p>
      <w:p w14:paraId="7115A268" w14:textId="49AD547D" w:rsidR="006C7144" w:rsidRDefault="006C7144" w:rsidP="006C7144">
        <w:pPr>
          <w:pStyle w:val="Footer"/>
          <w:jc w:val="center"/>
          <w:rPr>
            <w:noProof/>
          </w:rPr>
        </w:pPr>
      </w:p>
      <w:p w14:paraId="660461BF" w14:textId="77777777" w:rsidR="006C7144" w:rsidRDefault="006C7144"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5126C0DD" w14:textId="77777777" w:rsidR="006C7144" w:rsidRDefault="00A40AA5">
        <w:pPr>
          <w:pStyle w:val="Footer"/>
          <w:jc w:val="right"/>
        </w:pPr>
      </w:p>
    </w:sdtContent>
  </w:sdt>
  <w:p w14:paraId="56C1CE60" w14:textId="77777777" w:rsidR="006C7144" w:rsidRDefault="006C714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832756"/>
      <w:docPartObj>
        <w:docPartGallery w:val="Page Numbers (Bottom of Page)"/>
        <w:docPartUnique/>
      </w:docPartObj>
    </w:sdtPr>
    <w:sdtEndPr>
      <w:rPr>
        <w:noProof/>
      </w:rPr>
    </w:sdtEndPr>
    <w:sdtContent>
      <w:p w14:paraId="4DD7E956" w14:textId="77777777" w:rsidR="006C7144" w:rsidRDefault="006C7144" w:rsidP="000832BF">
        <w:pPr>
          <w:pStyle w:val="Footer"/>
          <w:jc w:val="center"/>
        </w:pPr>
      </w:p>
      <w:p w14:paraId="6F1F6560" w14:textId="11319735" w:rsidR="006C7144" w:rsidRDefault="001B4D47" w:rsidP="000832BF">
        <w:pPr>
          <w:pStyle w:val="Footer"/>
          <w:jc w:val="center"/>
        </w:pPr>
        <w:r>
          <w:rPr>
            <w:noProof/>
          </w:rPr>
          <mc:AlternateContent>
            <mc:Choice Requires="wps">
              <w:drawing>
                <wp:anchor distT="4294967295" distB="4294967295" distL="114300" distR="114300" simplePos="0" relativeHeight="251658249" behindDoc="0" locked="0" layoutInCell="1" allowOverlap="1" wp14:anchorId="5AEB9060" wp14:editId="515345E4">
                  <wp:simplePos x="0" y="0"/>
                  <wp:positionH relativeFrom="margin">
                    <wp:align>right</wp:align>
                  </wp:positionH>
                  <wp:positionV relativeFrom="paragraph">
                    <wp:posOffset>65404</wp:posOffset>
                  </wp:positionV>
                  <wp:extent cx="594360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DD9DB7" id="Straight Connector 39" o:spid="_x0000_s1026" style="position:absolute;z-index:251658249;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3EBBACDC" w14:textId="6B4E7709" w:rsidR="006C7144" w:rsidRDefault="006C7144">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344346"/>
      <w:docPartObj>
        <w:docPartGallery w:val="Page Numbers (Bottom of Page)"/>
        <w:docPartUnique/>
      </w:docPartObj>
    </w:sdtPr>
    <w:sdtEndPr>
      <w:rPr>
        <w:noProof/>
      </w:rPr>
    </w:sdtEndPr>
    <w:sdtContent>
      <w:p w14:paraId="37B233DC" w14:textId="3D4F6B93" w:rsidR="00733DFC" w:rsidRDefault="00733DFC" w:rsidP="00733DFC">
        <w:pPr>
          <w:pStyle w:val="Footer"/>
          <w:jc w:val="center"/>
          <w:rPr>
            <w:noProof/>
          </w:rPr>
        </w:pPr>
      </w:p>
      <w:p w14:paraId="4A7C5FF4" w14:textId="77777777" w:rsidR="00733DFC" w:rsidRDefault="00733DFC"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2079F619" w14:textId="77777777" w:rsidR="00733DFC" w:rsidRDefault="00A40AA5">
        <w:pPr>
          <w:pStyle w:val="Footer"/>
          <w:jc w:val="right"/>
        </w:pPr>
      </w:p>
    </w:sdtContent>
  </w:sdt>
  <w:p w14:paraId="01E2EA7D" w14:textId="77777777" w:rsidR="00733DFC" w:rsidRDefault="00733D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278362"/>
      <w:docPartObj>
        <w:docPartGallery w:val="Page Numbers (Bottom of Page)"/>
        <w:docPartUnique/>
      </w:docPartObj>
    </w:sdtPr>
    <w:sdtEndPr>
      <w:rPr>
        <w:noProof/>
      </w:rPr>
    </w:sdtEndPr>
    <w:sdtContent>
      <w:p w14:paraId="25CBA8DF" w14:textId="77777777" w:rsidR="00733DFC" w:rsidRDefault="00733DFC" w:rsidP="000832BF">
        <w:pPr>
          <w:pStyle w:val="Footer"/>
          <w:jc w:val="center"/>
        </w:pPr>
      </w:p>
      <w:p w14:paraId="111A431D" w14:textId="1EBA0B07" w:rsidR="00733DFC" w:rsidRDefault="001B4D47" w:rsidP="000832BF">
        <w:pPr>
          <w:pStyle w:val="Footer"/>
          <w:jc w:val="center"/>
        </w:pPr>
        <w:r>
          <w:rPr>
            <w:noProof/>
          </w:rPr>
          <mc:AlternateContent>
            <mc:Choice Requires="wps">
              <w:drawing>
                <wp:anchor distT="4294967295" distB="4294967295" distL="114300" distR="114300" simplePos="0" relativeHeight="251658254" behindDoc="0" locked="0" layoutInCell="1" allowOverlap="1" wp14:anchorId="35269910" wp14:editId="00A7786C">
                  <wp:simplePos x="0" y="0"/>
                  <wp:positionH relativeFrom="margin">
                    <wp:align>right</wp:align>
                  </wp:positionH>
                  <wp:positionV relativeFrom="paragraph">
                    <wp:posOffset>65404</wp:posOffset>
                  </wp:positionV>
                  <wp:extent cx="5943600"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66E8E3" id="Straight Connector 35" o:spid="_x0000_s1026" style="position:absolute;z-index:25165825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464B64B4" w14:textId="07E63E50" w:rsidR="00733DFC" w:rsidRDefault="00733DFC">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146139"/>
      <w:docPartObj>
        <w:docPartGallery w:val="Page Numbers (Bottom of Page)"/>
        <w:docPartUnique/>
      </w:docPartObj>
    </w:sdtPr>
    <w:sdtEndPr>
      <w:rPr>
        <w:noProof/>
      </w:rPr>
    </w:sdtEndPr>
    <w:sdtContent>
      <w:p w14:paraId="7DBD44F6" w14:textId="2C92450C" w:rsidR="00220764" w:rsidRDefault="00220764" w:rsidP="000B33B3">
        <w:pPr>
          <w:pStyle w:val="Footer"/>
          <w:jc w:val="center"/>
          <w:rPr>
            <w:noProof/>
          </w:rPr>
        </w:pPr>
      </w:p>
      <w:p w14:paraId="610B7B64" w14:textId="77777777" w:rsidR="00220764" w:rsidRDefault="00220764"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10898612" w14:textId="77777777" w:rsidR="00220764" w:rsidRDefault="00A40AA5">
        <w:pPr>
          <w:pStyle w:val="Footer"/>
          <w:jc w:val="right"/>
        </w:pPr>
      </w:p>
    </w:sdtContent>
  </w:sdt>
  <w:p w14:paraId="06E912BF" w14:textId="77777777" w:rsidR="00220764" w:rsidRDefault="0022076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48407"/>
      <w:docPartObj>
        <w:docPartGallery w:val="Page Numbers (Bottom of Page)"/>
        <w:docPartUnique/>
      </w:docPartObj>
    </w:sdtPr>
    <w:sdtEndPr>
      <w:rPr>
        <w:noProof/>
      </w:rPr>
    </w:sdtEndPr>
    <w:sdtContent>
      <w:p w14:paraId="281E75BC" w14:textId="77777777" w:rsidR="0092603C" w:rsidRDefault="0092603C" w:rsidP="000832BF">
        <w:pPr>
          <w:pStyle w:val="Footer"/>
          <w:jc w:val="center"/>
        </w:pPr>
      </w:p>
      <w:p w14:paraId="33977920" w14:textId="18188659" w:rsidR="0092603C" w:rsidRDefault="001B4D47" w:rsidP="000832BF">
        <w:pPr>
          <w:pStyle w:val="Footer"/>
          <w:jc w:val="center"/>
        </w:pPr>
        <w:r>
          <w:rPr>
            <w:noProof/>
          </w:rPr>
          <mc:AlternateContent>
            <mc:Choice Requires="wps">
              <w:drawing>
                <wp:anchor distT="4294967295" distB="4294967295" distL="114300" distR="114300" simplePos="0" relativeHeight="251658259" behindDoc="0" locked="0" layoutInCell="1" allowOverlap="1" wp14:anchorId="30DB2A69" wp14:editId="378A6D9E">
                  <wp:simplePos x="0" y="0"/>
                  <wp:positionH relativeFrom="margin">
                    <wp:align>right</wp:align>
                  </wp:positionH>
                  <wp:positionV relativeFrom="paragraph">
                    <wp:posOffset>65404</wp:posOffset>
                  </wp:positionV>
                  <wp:extent cx="5943600" cy="0"/>
                  <wp:effectExtent l="0" t="0" r="0" b="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916948A" id="Straight Connector 32" o:spid="_x0000_s1026" style="position:absolute;z-index:251658259;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1CCB6546" w14:textId="65BCC1AF" w:rsidR="0092603C" w:rsidRDefault="0092603C">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901750"/>
      <w:docPartObj>
        <w:docPartGallery w:val="Page Numbers (Bottom of Page)"/>
        <w:docPartUnique/>
      </w:docPartObj>
    </w:sdtPr>
    <w:sdtEndPr>
      <w:rPr>
        <w:noProof/>
      </w:rPr>
    </w:sdtEndPr>
    <w:sdtContent>
      <w:p w14:paraId="198ABBDE" w14:textId="77777777" w:rsidR="0092603C" w:rsidRDefault="0092603C" w:rsidP="000B33B3">
        <w:pPr>
          <w:pStyle w:val="Footer"/>
          <w:jc w:val="center"/>
          <w:rPr>
            <w:noProof/>
          </w:rPr>
        </w:pPr>
      </w:p>
      <w:p w14:paraId="7A55ED0A" w14:textId="77777777" w:rsidR="0092603C" w:rsidRDefault="0092603C"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4D739E14" w14:textId="77777777" w:rsidR="0092603C" w:rsidRDefault="00A40AA5">
        <w:pPr>
          <w:pStyle w:val="Footer"/>
          <w:jc w:val="right"/>
        </w:pPr>
      </w:p>
    </w:sdtContent>
  </w:sdt>
  <w:p w14:paraId="6784526F" w14:textId="77777777" w:rsidR="0092603C" w:rsidRDefault="0092603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050727"/>
      <w:docPartObj>
        <w:docPartGallery w:val="Page Numbers (Bottom of Page)"/>
        <w:docPartUnique/>
      </w:docPartObj>
    </w:sdtPr>
    <w:sdtEndPr>
      <w:rPr>
        <w:noProof/>
      </w:rPr>
    </w:sdtEndPr>
    <w:sdtContent>
      <w:p w14:paraId="411DBF25" w14:textId="77777777" w:rsidR="0092603C" w:rsidRDefault="0092603C" w:rsidP="000832BF">
        <w:pPr>
          <w:pStyle w:val="Footer"/>
          <w:jc w:val="center"/>
        </w:pPr>
      </w:p>
      <w:p w14:paraId="2D3AD40C" w14:textId="3F8C682A" w:rsidR="0092603C" w:rsidRDefault="001B4D47" w:rsidP="000832BF">
        <w:pPr>
          <w:pStyle w:val="Footer"/>
          <w:jc w:val="center"/>
        </w:pPr>
        <w:r>
          <w:rPr>
            <w:noProof/>
          </w:rPr>
          <mc:AlternateContent>
            <mc:Choice Requires="wps">
              <w:drawing>
                <wp:anchor distT="4294967295" distB="4294967295" distL="114300" distR="114300" simplePos="0" relativeHeight="251658262" behindDoc="0" locked="0" layoutInCell="1" allowOverlap="1" wp14:anchorId="48B26524" wp14:editId="11EA7AC4">
                  <wp:simplePos x="0" y="0"/>
                  <wp:positionH relativeFrom="margin">
                    <wp:align>right</wp:align>
                  </wp:positionH>
                  <wp:positionV relativeFrom="paragraph">
                    <wp:posOffset>65404</wp:posOffset>
                  </wp:positionV>
                  <wp:extent cx="5943600" cy="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9AC5B21" id="Straight Connector 29" o:spid="_x0000_s1026" style="position:absolute;z-index:251658262;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378347F9" w14:textId="3434E340" w:rsidR="0092603C" w:rsidRDefault="0092603C" w:rsidP="00B00D8C">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17314"/>
      <w:docPartObj>
        <w:docPartGallery w:val="Page Numbers (Bottom of Page)"/>
        <w:docPartUnique/>
      </w:docPartObj>
    </w:sdtPr>
    <w:sdtEndPr>
      <w:rPr>
        <w:noProof/>
      </w:rPr>
    </w:sdtEndPr>
    <w:sdtContent>
      <w:p w14:paraId="01A1467A" w14:textId="77777777" w:rsidR="0092603C" w:rsidRDefault="0092603C" w:rsidP="000B33B3">
        <w:pPr>
          <w:pStyle w:val="Footer"/>
          <w:jc w:val="center"/>
          <w:rPr>
            <w:noProof/>
          </w:rPr>
        </w:pPr>
      </w:p>
      <w:p w14:paraId="23195E56" w14:textId="77777777" w:rsidR="0092603C" w:rsidRDefault="0092603C"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1F44BC92" w14:textId="77777777" w:rsidR="0092603C" w:rsidRDefault="00A40AA5">
        <w:pPr>
          <w:pStyle w:val="Footer"/>
          <w:jc w:val="right"/>
        </w:pPr>
      </w:p>
    </w:sdtContent>
  </w:sdt>
  <w:p w14:paraId="2B02FC47" w14:textId="77777777" w:rsidR="0092603C" w:rsidRDefault="0092603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43331"/>
      <w:docPartObj>
        <w:docPartGallery w:val="Page Numbers (Bottom of Page)"/>
        <w:docPartUnique/>
      </w:docPartObj>
    </w:sdtPr>
    <w:sdtEndPr>
      <w:rPr>
        <w:noProof/>
      </w:rPr>
    </w:sdtEndPr>
    <w:sdtContent>
      <w:p w14:paraId="2F911352" w14:textId="77777777" w:rsidR="00CF7CE7" w:rsidRDefault="00CF7CE7" w:rsidP="000832BF">
        <w:pPr>
          <w:pStyle w:val="Footer"/>
          <w:jc w:val="center"/>
        </w:pPr>
      </w:p>
      <w:p w14:paraId="6B9EFB1E" w14:textId="213E892C" w:rsidR="00CF7CE7" w:rsidRDefault="001B4D47" w:rsidP="000832BF">
        <w:pPr>
          <w:pStyle w:val="Footer"/>
          <w:jc w:val="center"/>
        </w:pPr>
        <w:r>
          <w:rPr>
            <w:noProof/>
          </w:rPr>
          <mc:AlternateContent>
            <mc:Choice Requires="wps">
              <w:drawing>
                <wp:anchor distT="4294967295" distB="4294967295" distL="114300" distR="114300" simplePos="0" relativeHeight="251658257" behindDoc="0" locked="0" layoutInCell="1" allowOverlap="1" wp14:anchorId="6A497498" wp14:editId="76C8E3E2">
                  <wp:simplePos x="0" y="0"/>
                  <wp:positionH relativeFrom="margin">
                    <wp:align>right</wp:align>
                  </wp:positionH>
                  <wp:positionV relativeFrom="paragraph">
                    <wp:posOffset>65404</wp:posOffset>
                  </wp:positionV>
                  <wp:extent cx="5943600"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0A24CBE" id="Straight Connector 26" o:spid="_x0000_s1026" style="position:absolute;z-index:251658257;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494B07A6" w14:textId="7EE94AA3" w:rsidR="00CF7CE7" w:rsidRDefault="00CF7CE7">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0961"/>
      <w:docPartObj>
        <w:docPartGallery w:val="Page Numbers (Bottom of Page)"/>
        <w:docPartUnique/>
      </w:docPartObj>
    </w:sdtPr>
    <w:sdtEndPr>
      <w:rPr>
        <w:noProof/>
      </w:rPr>
    </w:sdtEndPr>
    <w:sdtContent>
      <w:p w14:paraId="3C1673E1" w14:textId="77777777" w:rsidR="00CF7CE7" w:rsidRDefault="00CF7CE7" w:rsidP="000B33B3">
        <w:pPr>
          <w:pStyle w:val="Footer"/>
          <w:jc w:val="center"/>
          <w:rPr>
            <w:noProof/>
          </w:rPr>
        </w:pPr>
      </w:p>
      <w:p w14:paraId="44684745" w14:textId="77777777" w:rsidR="00CF7CE7" w:rsidRDefault="00CF7CE7"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6F82F54F" w14:textId="77777777" w:rsidR="00CF7CE7" w:rsidRDefault="00A40AA5">
        <w:pPr>
          <w:pStyle w:val="Footer"/>
          <w:jc w:val="right"/>
        </w:pPr>
      </w:p>
    </w:sdtContent>
  </w:sdt>
  <w:p w14:paraId="0E09D056" w14:textId="77777777" w:rsidR="00CF7CE7" w:rsidRDefault="00CF7C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434135"/>
      <w:docPartObj>
        <w:docPartGallery w:val="Page Numbers (Bottom of Page)"/>
        <w:docPartUnique/>
      </w:docPartObj>
    </w:sdtPr>
    <w:sdtEndPr>
      <w:rPr>
        <w:noProof/>
      </w:rPr>
    </w:sdtEndPr>
    <w:sdtContent>
      <w:p w14:paraId="20DC1209" w14:textId="77777777" w:rsidR="00AC118E" w:rsidRDefault="00AC118E" w:rsidP="000832BF">
        <w:pPr>
          <w:pStyle w:val="Footer"/>
          <w:jc w:val="center"/>
        </w:pPr>
      </w:p>
      <w:p w14:paraId="35ACAC67" w14:textId="6186981E" w:rsidR="00AC118E" w:rsidRDefault="001B4D47" w:rsidP="000832BF">
        <w:pPr>
          <w:pStyle w:val="Footer"/>
          <w:jc w:val="center"/>
        </w:pPr>
        <w:r>
          <w:rPr>
            <w:noProof/>
          </w:rPr>
          <mc:AlternateContent>
            <mc:Choice Requires="wps">
              <w:drawing>
                <wp:anchor distT="4294967295" distB="4294967295" distL="114300" distR="114300" simplePos="0" relativeHeight="251658250" behindDoc="0" locked="0" layoutInCell="1" allowOverlap="1" wp14:anchorId="04294095" wp14:editId="7DD8FF6B">
                  <wp:simplePos x="0" y="0"/>
                  <wp:positionH relativeFrom="margin">
                    <wp:align>right</wp:align>
                  </wp:positionH>
                  <wp:positionV relativeFrom="paragraph">
                    <wp:posOffset>65404</wp:posOffset>
                  </wp:positionV>
                  <wp:extent cx="5943600"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A1FF95D" id="Straight Connector 23" o:spid="_x0000_s1026" style="position:absolute;z-index:25165825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7DD55B45" w14:textId="2E628FF9" w:rsidR="00AC118E" w:rsidRDefault="00AC118E">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938205"/>
      <w:docPartObj>
        <w:docPartGallery w:val="Page Numbers (Bottom of Page)"/>
        <w:docPartUnique/>
      </w:docPartObj>
    </w:sdtPr>
    <w:sdtEndPr>
      <w:rPr>
        <w:noProof/>
      </w:rPr>
    </w:sdtEndPr>
    <w:sdtContent>
      <w:p w14:paraId="5A0EE76C" w14:textId="77777777" w:rsidR="00AC118E" w:rsidRDefault="00AC118E" w:rsidP="000B33B3">
        <w:pPr>
          <w:pStyle w:val="Footer"/>
          <w:jc w:val="center"/>
          <w:rPr>
            <w:noProof/>
          </w:rPr>
        </w:pPr>
      </w:p>
      <w:p w14:paraId="08D10E87" w14:textId="77777777" w:rsidR="00AC118E" w:rsidRDefault="00AC118E" w:rsidP="00DA67A4">
        <w:pPr>
          <w:pStyle w:val="Footer"/>
          <w:jc w:val="right"/>
          <w:rPr>
            <w:noProof/>
          </w:rPr>
        </w:pPr>
        <w:r>
          <w:fldChar w:fldCharType="begin"/>
        </w:r>
        <w:r>
          <w:instrText xml:space="preserve"> PAGE   \* MERGEFORMAT </w:instrText>
        </w:r>
        <w:r>
          <w:fldChar w:fldCharType="separate"/>
        </w:r>
        <w:r>
          <w:t>i</w:t>
        </w:r>
        <w:r>
          <w:rPr>
            <w:noProof/>
          </w:rPr>
          <w:fldChar w:fldCharType="end"/>
        </w:r>
      </w:p>
      <w:p w14:paraId="0E5B3A33" w14:textId="753009EC" w:rsidR="00AC118E" w:rsidRDefault="00A40AA5" w:rsidP="00B00D8C">
        <w:pPr>
          <w:pStyle w:val="Footer"/>
          <w:jc w:val="right"/>
        </w:pP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270085"/>
      <w:docPartObj>
        <w:docPartGallery w:val="Page Numbers (Bottom of Page)"/>
        <w:docPartUnique/>
      </w:docPartObj>
    </w:sdtPr>
    <w:sdtEndPr>
      <w:rPr>
        <w:noProof/>
      </w:rPr>
    </w:sdtEndPr>
    <w:sdtContent>
      <w:p w14:paraId="31AC7C1B" w14:textId="77777777" w:rsidR="006506CA" w:rsidRDefault="006506CA" w:rsidP="006506CA">
        <w:pPr>
          <w:pStyle w:val="Footer"/>
          <w:jc w:val="center"/>
        </w:pPr>
        <w:r>
          <w:rPr>
            <w:noProof/>
          </w:rPr>
          <mc:AlternateContent>
            <mc:Choice Requires="wps">
              <w:drawing>
                <wp:anchor distT="4294967295" distB="4294967295" distL="114300" distR="114300" simplePos="0" relativeHeight="251658265" behindDoc="0" locked="0" layoutInCell="1" allowOverlap="1" wp14:anchorId="4A214E70" wp14:editId="7ACB0855">
                  <wp:simplePos x="0" y="0"/>
                  <wp:positionH relativeFrom="margin">
                    <wp:align>right</wp:align>
                  </wp:positionH>
                  <wp:positionV relativeFrom="paragraph">
                    <wp:posOffset>65404</wp:posOffset>
                  </wp:positionV>
                  <wp:extent cx="5943600" cy="0"/>
                  <wp:effectExtent l="0" t="0" r="0" b="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ln>
                            <a:solidFill>
                              <a:srgbClr val="17365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62466ED" id="Straight Connector 75" o:spid="_x0000_s1026" style="position:absolute;z-index:251658265;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6.8pt,5.15pt" to="884.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" strokecolor="#173654" strokeweight=".5pt">
                  <v:stroke joinstyle="miter"/>
                  <o:lock v:ext="edit" shapetype="f"/>
                  <w10:wrap anchorx="margin"/>
                </v:line>
              </w:pict>
            </mc:Fallback>
          </mc:AlternateContent>
        </w:r>
      </w:p>
      <w:p w14:paraId="68AF5C0B" w14:textId="7A10A89C" w:rsidR="00F0164F" w:rsidRDefault="00F0164F">
        <w:pPr>
          <w:pStyle w:val="Footer"/>
          <w:jc w:val="right"/>
        </w:pPr>
        <w:r>
          <w:fldChar w:fldCharType="begin"/>
        </w:r>
        <w:r>
          <w:instrText xml:space="preserve"> PAGE   \* MERGEFORMAT </w:instrText>
        </w:r>
        <w:r>
          <w:fldChar w:fldCharType="separate"/>
        </w:r>
        <w:r>
          <w:t>i</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18DAA" w14:textId="77777777" w:rsidR="00A40AA5" w:rsidRDefault="00A40AA5" w:rsidP="00844B81">
      <w:r>
        <w:separator/>
      </w:r>
    </w:p>
  </w:footnote>
  <w:footnote w:type="continuationSeparator" w:id="0">
    <w:p w14:paraId="1BFFB0FC" w14:textId="77777777" w:rsidR="00A40AA5" w:rsidRDefault="00A40AA5" w:rsidP="00844B81">
      <w:r>
        <w:continuationSeparator/>
      </w:r>
    </w:p>
  </w:footnote>
  <w:footnote w:type="continuationNotice" w:id="1">
    <w:p w14:paraId="0AF1E087" w14:textId="77777777" w:rsidR="00A40AA5" w:rsidRDefault="00A40A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75B0" w14:textId="4A09B0A7" w:rsidR="00F1154A" w:rsidRDefault="004D5F1C" w:rsidP="00F1154A">
    <w:pPr>
      <w:pStyle w:val="Header"/>
      <w:jc w:val="right"/>
    </w:pPr>
    <w:r>
      <w:rPr>
        <w:noProof/>
      </w:rPr>
      <w:drawing>
        <wp:inline distT="0" distB="0" distL="0" distR="0" wp14:anchorId="70CAD899" wp14:editId="30E44EEF">
          <wp:extent cx="1370965" cy="457200"/>
          <wp:effectExtent l="0" t="0" r="635" b="0"/>
          <wp:docPr id="5783163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1986600B" w14:textId="6549CCBD" w:rsidR="009B39EE" w:rsidRDefault="009B39EE" w:rsidP="009B39E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8053" w14:textId="55375FFD" w:rsidR="006776D2" w:rsidRDefault="004D5F1C" w:rsidP="00B82244">
    <w:pPr>
      <w:pStyle w:val="Header"/>
      <w:jc w:val="right"/>
    </w:pPr>
    <w:r>
      <w:rPr>
        <w:noProof/>
      </w:rPr>
      <w:drawing>
        <wp:inline distT="0" distB="0" distL="0" distR="0" wp14:anchorId="486A4985" wp14:editId="309360A3">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37A38BA6" w14:textId="59009923" w:rsidR="00A67AE3" w:rsidRDefault="00A67AE3" w:rsidP="00B82244">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9A6D" w14:textId="6D2B47C6" w:rsidR="00363AF1" w:rsidRDefault="001B4D47" w:rsidP="009B39EE">
    <w:pPr>
      <w:pStyle w:val="Header"/>
      <w:jc w:val="right"/>
    </w:pPr>
    <w:r>
      <w:rPr>
        <w:noProof/>
      </w:rPr>
      <mc:AlternateContent>
        <mc:Choice Requires="wps">
          <w:drawing>
            <wp:anchor distT="0" distB="0" distL="114300" distR="114300" simplePos="0" relativeHeight="251658241" behindDoc="0" locked="0" layoutInCell="1" allowOverlap="1" wp14:anchorId="17216693" wp14:editId="5DE2BB90">
              <wp:simplePos x="0" y="0"/>
              <wp:positionH relativeFrom="page">
                <wp:posOffset>-1252998</wp:posOffset>
              </wp:positionH>
              <wp:positionV relativeFrom="paragraph">
                <wp:posOffset>607080</wp:posOffset>
              </wp:positionV>
              <wp:extent cx="10240010" cy="7797833"/>
              <wp:effectExtent l="1905" t="0" r="10795" b="10795"/>
              <wp:wrapNone/>
              <wp:docPr id="71" name="Rectangl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240010" cy="7797833"/>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474032" id="Rectangle 71" o:spid="_x0000_s1026" style="position:absolute;margin-left:-98.65pt;margin-top:47.8pt;width:806.3pt;height:614pt;rotation:9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" fillcolor="#002d73" strokecolor="#1f3763 [1604]" strokeweight="1pt">
              <v:path arrowok="t"/>
              <o:lock v:ext="edit" aspectratio="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97C1" w14:textId="64D1C2C1" w:rsidR="003C4713" w:rsidRDefault="00615BF4" w:rsidP="00A7144D">
    <w:pPr>
      <w:pStyle w:val="Header"/>
      <w:ind w:left="720"/>
      <w:jc w:val="right"/>
    </w:pPr>
    <w:r>
      <w:rPr>
        <w:noProof/>
      </w:rPr>
      <w:drawing>
        <wp:inline distT="0" distB="0" distL="0" distR="0" wp14:anchorId="504F794F" wp14:editId="13EDAD55">
          <wp:extent cx="1370965" cy="457200"/>
          <wp:effectExtent l="0" t="0" r="635" b="0"/>
          <wp:docPr id="88528401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39232FC6" w14:textId="77777777" w:rsidR="003C4713" w:rsidRDefault="003C4713" w:rsidP="00A7144D">
    <w:pPr>
      <w:pStyle w:val="Header"/>
      <w:ind w:left="72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6BAE" w14:textId="5CBD1F04" w:rsidR="00C31D73" w:rsidRDefault="001B4D47">
    <w:pPr>
      <w:pStyle w:val="Header"/>
    </w:pPr>
    <w:r>
      <w:rPr>
        <w:noProof/>
      </w:rPr>
      <mc:AlternateContent>
        <mc:Choice Requires="wps">
          <w:drawing>
            <wp:anchor distT="0" distB="0" distL="114300" distR="114300" simplePos="0" relativeHeight="251658240" behindDoc="0" locked="0" layoutInCell="1" allowOverlap="1" wp14:anchorId="1E037D9E" wp14:editId="3C387B66">
              <wp:simplePos x="0" y="0"/>
              <wp:positionH relativeFrom="page">
                <wp:posOffset>-1172745</wp:posOffset>
              </wp:positionH>
              <wp:positionV relativeFrom="paragraph">
                <wp:posOffset>677792</wp:posOffset>
              </wp:positionV>
              <wp:extent cx="10100862" cy="7774103"/>
              <wp:effectExtent l="1270" t="0" r="16510" b="16510"/>
              <wp:wrapNone/>
              <wp:docPr id="66" name="Rectangl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100862" cy="7774103"/>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10B464" id="Rectangle 66" o:spid="_x0000_s1026" style="position:absolute;margin-left:-92.35pt;margin-top:53.35pt;width:795.35pt;height:612.1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" fillcolor="#002d73" strokecolor="#1f3763 [1604]" strokeweight="1pt">
              <v:path arrowok="t"/>
              <o:lock v:ext="edit" aspectratio="t"/>
              <w10:wrap anchorx="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1AD7" w14:textId="7CC07CEC" w:rsidR="00C31D73" w:rsidRDefault="00615BF4" w:rsidP="004E6773">
    <w:pPr>
      <w:pStyle w:val="Footer"/>
      <w:ind w:left="2160"/>
      <w:jc w:val="right"/>
    </w:pPr>
    <w:r>
      <w:rPr>
        <w:noProof/>
      </w:rPr>
      <w:drawing>
        <wp:inline distT="0" distB="0" distL="0" distR="0" wp14:anchorId="6DAA8E49" wp14:editId="43216587">
          <wp:extent cx="1370965" cy="457200"/>
          <wp:effectExtent l="0" t="0" r="635" b="0"/>
          <wp:docPr id="1776171410"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35EA2F42" w14:textId="77777777" w:rsidR="00C31D73" w:rsidRDefault="00C31D73" w:rsidP="004E6773">
    <w:pPr>
      <w:pStyle w:val="Footer"/>
      <w:ind w:left="216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C68A" w14:textId="00F1F9CB" w:rsidR="00055000" w:rsidRPr="00B94394" w:rsidRDefault="001B4D47" w:rsidP="00B94394">
    <w:pPr>
      <w:pStyle w:val="Header"/>
    </w:pPr>
    <w:r>
      <w:rPr>
        <w:noProof/>
      </w:rPr>
      <mc:AlternateContent>
        <mc:Choice Requires="wps">
          <w:drawing>
            <wp:anchor distT="0" distB="0" distL="114300" distR="114300" simplePos="0" relativeHeight="251658244" behindDoc="0" locked="0" layoutInCell="1" allowOverlap="1" wp14:anchorId="3D69301F" wp14:editId="62188FE3">
              <wp:simplePos x="0" y="0"/>
              <wp:positionH relativeFrom="page">
                <wp:posOffset>-1215089</wp:posOffset>
              </wp:positionH>
              <wp:positionV relativeFrom="paragraph">
                <wp:posOffset>722417</wp:posOffset>
              </wp:positionV>
              <wp:extent cx="10220960" cy="7817079"/>
              <wp:effectExtent l="0" t="1200150" r="0" b="1193800"/>
              <wp:wrapNone/>
              <wp:docPr id="63" name="Rectangl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220960" cy="7817079"/>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A394E3" id="Rectangle 63" o:spid="_x0000_s1026" style="position:absolute;margin-left:-95.7pt;margin-top:56.9pt;width:804.8pt;height:615.5pt;rotation:90;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" fillcolor="#002d73" strokecolor="#1f3763 [1604]" strokeweight="1pt">
              <v:path arrowok="t"/>
              <o:lock v:ext="edit" aspectratio="t"/>
              <w10:wrap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FDE9" w14:textId="08C448D3" w:rsidR="00391720" w:rsidRDefault="00615BF4" w:rsidP="00E4657F">
    <w:pPr>
      <w:pStyle w:val="Footer"/>
      <w:ind w:left="720"/>
      <w:jc w:val="right"/>
    </w:pPr>
    <w:r>
      <w:rPr>
        <w:noProof/>
      </w:rPr>
      <w:drawing>
        <wp:inline distT="0" distB="0" distL="0" distR="0" wp14:anchorId="6D2A72EF" wp14:editId="10882214">
          <wp:extent cx="1370965" cy="457200"/>
          <wp:effectExtent l="0" t="0" r="635" b="0"/>
          <wp:docPr id="1344055163"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5B00" w14:textId="36C2E39B" w:rsidR="008E37A4" w:rsidRDefault="001B4D47" w:rsidP="00EB6D7C">
    <w:pPr>
      <w:pStyle w:val="Footer"/>
      <w:jc w:val="center"/>
    </w:pPr>
    <w:r>
      <w:rPr>
        <w:noProof/>
      </w:rPr>
      <mc:AlternateContent>
        <mc:Choice Requires="wps">
          <w:drawing>
            <wp:anchor distT="0" distB="0" distL="114300" distR="114300" simplePos="0" relativeHeight="251658245" behindDoc="0" locked="0" layoutInCell="1" allowOverlap="1" wp14:anchorId="358085CB" wp14:editId="6354E994">
              <wp:simplePos x="0" y="0"/>
              <wp:positionH relativeFrom="page">
                <wp:posOffset>-1288436</wp:posOffset>
              </wp:positionH>
              <wp:positionV relativeFrom="paragraph">
                <wp:posOffset>518545</wp:posOffset>
              </wp:positionV>
              <wp:extent cx="10387644" cy="7841863"/>
              <wp:effectExtent l="0" t="3493" r="10478" b="10477"/>
              <wp:wrapNone/>
              <wp:docPr id="54" name="Rectangl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387644" cy="7841863"/>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2DA5CB" id="Rectangle 54" o:spid="_x0000_s1026" style="position:absolute;margin-left:-101.45pt;margin-top:40.85pt;width:817.9pt;height:617.45pt;rotation:90;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" fillcolor="#002d73" strokecolor="#1f3763 [1604]" strokeweight="1pt">
              <v:path arrowok="t"/>
              <o:lock v:ext="edit" aspectratio="t"/>
              <w10:wrap anchorx="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988C" w14:textId="0027966A" w:rsidR="00E05B18" w:rsidRDefault="00615BF4" w:rsidP="00A7144D">
    <w:pPr>
      <w:pStyle w:val="Header"/>
      <w:jc w:val="right"/>
    </w:pPr>
    <w:r>
      <w:rPr>
        <w:noProof/>
      </w:rPr>
      <w:drawing>
        <wp:inline distT="0" distB="0" distL="0" distR="0" wp14:anchorId="09C21E7A" wp14:editId="7717EA1D">
          <wp:extent cx="1370965" cy="457200"/>
          <wp:effectExtent l="0" t="0" r="635" b="0"/>
          <wp:docPr id="513686686"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71A16D90" w14:textId="77777777" w:rsidR="00E05B18" w:rsidRPr="00BB161D" w:rsidRDefault="00E05B18" w:rsidP="00A7144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DA4B" w14:textId="4B4F64A6" w:rsidR="0062081E" w:rsidRPr="00BB161D" w:rsidRDefault="001B4D47" w:rsidP="00BB161D">
    <w:pPr>
      <w:pStyle w:val="Header"/>
    </w:pPr>
    <w:r>
      <w:rPr>
        <w:noProof/>
      </w:rPr>
      <mc:AlternateContent>
        <mc:Choice Requires="wps">
          <w:drawing>
            <wp:anchor distT="0" distB="0" distL="114300" distR="114300" simplePos="0" relativeHeight="251658246" behindDoc="0" locked="0" layoutInCell="1" allowOverlap="1" wp14:anchorId="5A018155" wp14:editId="4B91C51B">
              <wp:simplePos x="0" y="0"/>
              <wp:positionH relativeFrom="page">
                <wp:posOffset>-1226973</wp:posOffset>
              </wp:positionH>
              <wp:positionV relativeFrom="paragraph">
                <wp:posOffset>748192</wp:posOffset>
              </wp:positionV>
              <wp:extent cx="10240010" cy="7816285"/>
              <wp:effectExtent l="0" t="7303" r="20638" b="20637"/>
              <wp:wrapNone/>
              <wp:docPr id="47" name="Rectangl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240010" cy="7816285"/>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A58DD4" id="Rectangle 47" o:spid="_x0000_s1026" style="position:absolute;margin-left:-96.6pt;margin-top:58.9pt;width:806.3pt;height:615.45pt;rotation:90;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" fillcolor="#002d73" strokecolor="#1f3763 [1604]" strokeweight="1pt">
              <v:path arrowok="t"/>
              <o:lock v:ext="edit" aspectratio="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B953" w14:textId="137407B0" w:rsidR="00A5554E" w:rsidRDefault="00615BF4" w:rsidP="00A7144D">
    <w:pPr>
      <w:pStyle w:val="Footer"/>
      <w:jc w:val="right"/>
    </w:pPr>
    <w:r>
      <w:rPr>
        <w:noProof/>
      </w:rPr>
      <w:drawing>
        <wp:inline distT="0" distB="0" distL="0" distR="0" wp14:anchorId="6557A84D" wp14:editId="6EE0891B">
          <wp:extent cx="1370965" cy="457200"/>
          <wp:effectExtent l="0" t="0" r="635" b="0"/>
          <wp:docPr id="1394243889"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1237518C" w14:textId="77777777" w:rsidR="00A5554E" w:rsidRDefault="00A5554E" w:rsidP="00A7144D">
    <w:pPr>
      <w:pStyle w:val="Foot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86E1" w14:textId="060FE70B" w:rsidR="006C7144" w:rsidRPr="006C7144" w:rsidRDefault="001B4D47" w:rsidP="006C7144">
    <w:pPr>
      <w:pStyle w:val="Header"/>
    </w:pPr>
    <w:r>
      <w:rPr>
        <w:noProof/>
      </w:rPr>
      <mc:AlternateContent>
        <mc:Choice Requires="wps">
          <w:drawing>
            <wp:anchor distT="0" distB="0" distL="114300" distR="114300" simplePos="0" relativeHeight="251658252" behindDoc="0" locked="0" layoutInCell="1" allowOverlap="1" wp14:anchorId="282729A0" wp14:editId="4266D3D2">
              <wp:simplePos x="0" y="0"/>
              <wp:positionH relativeFrom="page">
                <wp:posOffset>-1233368</wp:posOffset>
              </wp:positionH>
              <wp:positionV relativeFrom="paragraph">
                <wp:posOffset>594727</wp:posOffset>
              </wp:positionV>
              <wp:extent cx="10240010" cy="7752340"/>
              <wp:effectExtent l="5715" t="0" r="14605" b="14605"/>
              <wp:wrapNone/>
              <wp:docPr id="44" name="Rectangl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240010" cy="7752340"/>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B0B100" id="Rectangle 44" o:spid="_x0000_s1026" style="position:absolute;margin-left:-97.1pt;margin-top:46.85pt;width:806.3pt;height:610.4pt;rotation:90;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" fillcolor="#002d73" strokecolor="#1f3763 [1604]" strokeweight="1pt">
              <v:path arrowok="t"/>
              <o:lock v:ext="edit" aspectratio="t"/>
              <w10:wrap anchorx="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F497" w14:textId="66995D8B" w:rsidR="006C7144" w:rsidRDefault="00615BF4" w:rsidP="00A7144D">
    <w:pPr>
      <w:pStyle w:val="Footer"/>
      <w:jc w:val="right"/>
    </w:pPr>
    <w:r>
      <w:rPr>
        <w:noProof/>
      </w:rPr>
      <w:drawing>
        <wp:inline distT="0" distB="0" distL="0" distR="0" wp14:anchorId="24A692E9" wp14:editId="255EC053">
          <wp:extent cx="1370965" cy="457200"/>
          <wp:effectExtent l="0" t="0" r="635" b="0"/>
          <wp:docPr id="1638442227"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5B5C40CE" w14:textId="77777777" w:rsidR="006C7144" w:rsidRDefault="006C7144" w:rsidP="00A7144D">
    <w:pPr>
      <w:pStyle w:val="Foot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A154" w14:textId="4AE101B6" w:rsidR="006C7144" w:rsidRPr="006C7144" w:rsidRDefault="001B4D47" w:rsidP="006C7144">
    <w:pPr>
      <w:pStyle w:val="Header"/>
    </w:pPr>
    <w:r>
      <w:rPr>
        <w:noProof/>
      </w:rPr>
      <mc:AlternateContent>
        <mc:Choice Requires="wps">
          <w:drawing>
            <wp:anchor distT="0" distB="0" distL="114300" distR="114300" simplePos="0" relativeHeight="251658253" behindDoc="0" locked="0" layoutInCell="1" allowOverlap="1" wp14:anchorId="3399A3E1" wp14:editId="08CBADCD">
              <wp:simplePos x="0" y="0"/>
              <wp:positionH relativeFrom="margin">
                <wp:posOffset>-2172151</wp:posOffset>
              </wp:positionH>
              <wp:positionV relativeFrom="paragraph">
                <wp:posOffset>758742</wp:posOffset>
              </wp:positionV>
              <wp:extent cx="10287000" cy="7778534"/>
              <wp:effectExtent l="0" t="2858" r="16193" b="16192"/>
              <wp:wrapNone/>
              <wp:docPr id="41" name="Rectangl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287000" cy="7778534"/>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B79596" id="Rectangle 41" o:spid="_x0000_s1026" style="position:absolute;margin-left:-171.05pt;margin-top:59.75pt;width:810pt;height:612.5pt;rotation:90;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" fillcolor="#002d73" strokecolor="#1f3763 [1604]" strokeweight="1pt">
              <v:path arrowok="t"/>
              <o:lock v:ext="edit" aspectratio="t"/>
              <w10:wrap anchorx="margin"/>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74EB" w14:textId="4A13B4E0" w:rsidR="006C7144" w:rsidRDefault="00615BF4" w:rsidP="00A7144D">
    <w:pPr>
      <w:pStyle w:val="Footer"/>
      <w:jc w:val="right"/>
    </w:pPr>
    <w:r>
      <w:rPr>
        <w:noProof/>
      </w:rPr>
      <w:drawing>
        <wp:inline distT="0" distB="0" distL="0" distR="0" wp14:anchorId="710EC71E" wp14:editId="5EF9D09E">
          <wp:extent cx="1370965" cy="457200"/>
          <wp:effectExtent l="0" t="0" r="635" b="0"/>
          <wp:docPr id="1564252699"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6071E111" w14:textId="77777777" w:rsidR="006C7144" w:rsidRDefault="006C7144" w:rsidP="00A7144D">
    <w:pPr>
      <w:pStyle w:val="Foot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36A5" w14:textId="25E5815C" w:rsidR="00733DFC" w:rsidRPr="00733DFC" w:rsidRDefault="001B4D47" w:rsidP="00733DFC">
    <w:pPr>
      <w:pStyle w:val="Header"/>
    </w:pPr>
    <w:r>
      <w:rPr>
        <w:noProof/>
      </w:rPr>
      <mc:AlternateContent>
        <mc:Choice Requires="wps">
          <w:drawing>
            <wp:anchor distT="0" distB="0" distL="114300" distR="114300" simplePos="0" relativeHeight="251658255" behindDoc="0" locked="0" layoutInCell="1" allowOverlap="1" wp14:anchorId="6B55EAFD" wp14:editId="33C3691A">
              <wp:simplePos x="0" y="0"/>
              <wp:positionH relativeFrom="page">
                <wp:posOffset>-1218506</wp:posOffset>
              </wp:positionH>
              <wp:positionV relativeFrom="paragraph">
                <wp:posOffset>775721</wp:posOffset>
              </wp:positionV>
              <wp:extent cx="10240010" cy="7777426"/>
              <wp:effectExtent l="0" t="6668" r="21273" b="21272"/>
              <wp:wrapNone/>
              <wp:docPr id="38" name="Rectangl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0240010" cy="7777426"/>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AA062F" id="Rectangle 38" o:spid="_x0000_s1026" style="position:absolute;margin-left:-95.95pt;margin-top:61.1pt;width:806.3pt;height:612.4pt;rotation:90;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" fillcolor="#002d73" strokecolor="#1f3763 [1604]" strokeweight="1pt">
              <v:path arrowok="t"/>
              <o:lock v:ext="edit" aspectratio="t"/>
              <w10:wrap anchorx="page"/>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CDE6A" w14:textId="09CB2D97" w:rsidR="00733DFC" w:rsidRDefault="00615BF4" w:rsidP="00A7144D">
    <w:pPr>
      <w:pStyle w:val="Footer"/>
      <w:jc w:val="right"/>
    </w:pPr>
    <w:r>
      <w:rPr>
        <w:noProof/>
      </w:rPr>
      <w:drawing>
        <wp:inline distT="0" distB="0" distL="0" distR="0" wp14:anchorId="52A0B712" wp14:editId="7A9C16BC">
          <wp:extent cx="1370965" cy="457200"/>
          <wp:effectExtent l="0" t="0" r="635" b="0"/>
          <wp:docPr id="1069358630"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57331D6E" w14:textId="77777777" w:rsidR="00733DFC" w:rsidRDefault="00733DFC" w:rsidP="00A7144D">
    <w:pPr>
      <w:pStyle w:val="Footer"/>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0FD6" w14:textId="1AE3A65F" w:rsidR="00220764" w:rsidRPr="000B33B3" w:rsidRDefault="001B4D47" w:rsidP="000B33B3">
    <w:pPr>
      <w:pStyle w:val="Header"/>
    </w:pPr>
    <w:r>
      <w:rPr>
        <w:noProof/>
      </w:rPr>
      <mc:AlternateContent>
        <mc:Choice Requires="wps">
          <w:drawing>
            <wp:anchor distT="0" distB="0" distL="114300" distR="114300" simplePos="0" relativeHeight="251658256" behindDoc="0" locked="0" layoutInCell="1" allowOverlap="1" wp14:anchorId="39E618D9" wp14:editId="6AA3E82E">
              <wp:simplePos x="0" y="0"/>
              <wp:positionH relativeFrom="page">
                <wp:posOffset>-1676312</wp:posOffset>
              </wp:positionH>
              <wp:positionV relativeFrom="paragraph">
                <wp:posOffset>426682</wp:posOffset>
              </wp:positionV>
              <wp:extent cx="11130915" cy="7778384"/>
              <wp:effectExtent l="0" t="0" r="13335" b="13335"/>
              <wp:wrapNone/>
              <wp:docPr id="34"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1130915" cy="7778384"/>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C1790C" id="Rectangle 34" o:spid="_x0000_s1026" style="position:absolute;margin-left:-132pt;margin-top:33.6pt;width:876.45pt;height:612.45pt;rotation:90;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" fillcolor="#002d73" strokecolor="#1f3763 [1604]" strokeweight="1pt">
              <v:path arrowok="t"/>
              <o:lock v:ext="edit" aspectratio="t"/>
              <w10:wrap anchorx="page"/>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03135" w14:textId="01275831" w:rsidR="0092603C" w:rsidRDefault="00615BF4" w:rsidP="00A7144D">
    <w:pPr>
      <w:pStyle w:val="Footer"/>
      <w:jc w:val="right"/>
    </w:pPr>
    <w:r>
      <w:rPr>
        <w:noProof/>
      </w:rPr>
      <w:drawing>
        <wp:inline distT="0" distB="0" distL="0" distR="0" wp14:anchorId="5D6EF88F" wp14:editId="05427EF7">
          <wp:extent cx="1370965" cy="457200"/>
          <wp:effectExtent l="0" t="0" r="635" b="0"/>
          <wp:docPr id="1801952882"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77D6128E" w14:textId="77777777" w:rsidR="0092603C" w:rsidRDefault="0092603C" w:rsidP="00A7144D">
    <w:pPr>
      <w:pStyle w:val="Foot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BFA8" w14:textId="35349613" w:rsidR="0092603C" w:rsidRPr="000B33B3" w:rsidRDefault="001B4D47" w:rsidP="000B33B3">
    <w:pPr>
      <w:pStyle w:val="Header"/>
    </w:pPr>
    <w:r>
      <w:rPr>
        <w:noProof/>
      </w:rPr>
      <mc:AlternateContent>
        <mc:Choice Requires="wps">
          <w:drawing>
            <wp:anchor distT="0" distB="0" distL="114300" distR="114300" simplePos="0" relativeHeight="251658260" behindDoc="0" locked="0" layoutInCell="1" allowOverlap="1" wp14:anchorId="55FDA1D2" wp14:editId="549C11DA">
              <wp:simplePos x="0" y="0"/>
              <wp:positionH relativeFrom="page">
                <wp:posOffset>-1670375</wp:posOffset>
              </wp:positionH>
              <wp:positionV relativeFrom="paragraph">
                <wp:posOffset>420744</wp:posOffset>
              </wp:positionV>
              <wp:extent cx="11130915" cy="7790259"/>
              <wp:effectExtent l="0" t="6032" r="26352" b="26353"/>
              <wp:wrapNone/>
              <wp:docPr id="31" name="Rectangl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1130915" cy="7790259"/>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D4D4BED" id="Rectangle 31" o:spid="_x0000_s1026" style="position:absolute;margin-left:-131.55pt;margin-top:33.15pt;width:876.45pt;height:613.4pt;rotation:90;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" fillcolor="#002d73" strokecolor="#1f3763 [1604]" strokeweight="1pt">
              <v:path arrowok="t"/>
              <o:lock v:ext="edit" aspectratio="t"/>
              <w10:wrap anchorx="page"/>
            </v:rect>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C6B7" w14:textId="0AD2813E" w:rsidR="0092603C" w:rsidRDefault="00615BF4" w:rsidP="00E5447C">
    <w:pPr>
      <w:pStyle w:val="Footer"/>
      <w:jc w:val="right"/>
    </w:pPr>
    <w:r>
      <w:rPr>
        <w:noProof/>
      </w:rPr>
      <w:drawing>
        <wp:inline distT="0" distB="0" distL="0" distR="0" wp14:anchorId="48B4D42E" wp14:editId="5C3CCC70">
          <wp:extent cx="1370965" cy="457200"/>
          <wp:effectExtent l="0" t="0" r="635" b="0"/>
          <wp:docPr id="1842911036"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231632F4" w14:textId="77777777" w:rsidR="0092603C" w:rsidRDefault="0092603C" w:rsidP="00E5447C">
    <w:pPr>
      <w:pStyle w:val="Foot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E03D" w14:textId="14B5A3D6" w:rsidR="0092603C" w:rsidRPr="000B33B3" w:rsidRDefault="001B4D47" w:rsidP="000B33B3">
    <w:pPr>
      <w:pStyle w:val="Header"/>
    </w:pPr>
    <w:r>
      <w:rPr>
        <w:noProof/>
      </w:rPr>
      <mc:AlternateContent>
        <mc:Choice Requires="wps">
          <w:drawing>
            <wp:anchor distT="0" distB="0" distL="114300" distR="114300" simplePos="0" relativeHeight="251658263" behindDoc="0" locked="0" layoutInCell="1" allowOverlap="1" wp14:anchorId="48F9EC37" wp14:editId="6B745DDC">
              <wp:simplePos x="0" y="0"/>
              <wp:positionH relativeFrom="page">
                <wp:posOffset>-1679281</wp:posOffset>
              </wp:positionH>
              <wp:positionV relativeFrom="paragraph">
                <wp:posOffset>429651</wp:posOffset>
              </wp:positionV>
              <wp:extent cx="11130915" cy="7772446"/>
              <wp:effectExtent l="2858" t="0" r="16192" b="16193"/>
              <wp:wrapNone/>
              <wp:docPr id="28"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1130915" cy="7772446"/>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99B3CD" id="Rectangle 28" o:spid="_x0000_s1026" style="position:absolute;margin-left:-132.25pt;margin-top:33.85pt;width:876.45pt;height:612pt;rotation:90;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" fillcolor="#002d73" strokecolor="#1f3763 [1604]" strokeweight="1pt">
              <v:path arrowok="t"/>
              <o:lock v:ext="edit" aspectratio="t"/>
              <w10:wrap anchorx="page"/>
            </v:rect>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7E7DE" w14:textId="50FE970D" w:rsidR="00CF7CE7" w:rsidRDefault="00615BF4" w:rsidP="00E5447C">
    <w:pPr>
      <w:pStyle w:val="Footer"/>
      <w:jc w:val="right"/>
    </w:pPr>
    <w:r>
      <w:rPr>
        <w:noProof/>
      </w:rPr>
      <w:drawing>
        <wp:inline distT="0" distB="0" distL="0" distR="0" wp14:anchorId="51F5B772" wp14:editId="5A8B7591">
          <wp:extent cx="1370965" cy="457200"/>
          <wp:effectExtent l="0" t="0" r="635" b="0"/>
          <wp:docPr id="1159024282"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4370409B" w14:textId="77777777" w:rsidR="00CF7CE7" w:rsidRDefault="00CF7CE7" w:rsidP="00E5447C">
    <w:pPr>
      <w:pStyle w:val="Foot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2B6F" w14:textId="43DC21B8" w:rsidR="00CF7CE7" w:rsidRPr="000B33B3" w:rsidRDefault="001B4D47" w:rsidP="000B33B3">
    <w:pPr>
      <w:pStyle w:val="Header"/>
    </w:pPr>
    <w:r>
      <w:rPr>
        <w:noProof/>
      </w:rPr>
      <mc:AlternateContent>
        <mc:Choice Requires="wps">
          <w:drawing>
            <wp:anchor distT="0" distB="0" distL="114300" distR="114300" simplePos="0" relativeHeight="251658258" behindDoc="0" locked="0" layoutInCell="1" allowOverlap="1" wp14:anchorId="3B8D8265" wp14:editId="13DB5CBA">
              <wp:simplePos x="0" y="0"/>
              <wp:positionH relativeFrom="page">
                <wp:posOffset>-1670375</wp:posOffset>
              </wp:positionH>
              <wp:positionV relativeFrom="paragraph">
                <wp:posOffset>420744</wp:posOffset>
              </wp:positionV>
              <wp:extent cx="11130915" cy="7790259"/>
              <wp:effectExtent l="0" t="6032" r="26352" b="26353"/>
              <wp:wrapNone/>
              <wp:docPr id="25" name="Rectangl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1130915" cy="7790259"/>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9431A2" id="Rectangle 25" o:spid="_x0000_s1026" style="position:absolute;margin-left:-131.55pt;margin-top:33.15pt;width:876.45pt;height:613.4pt;rotation:90;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" fillcolor="#002d73" strokecolor="#1f3763 [1604]" strokeweight="1pt">
              <v:path arrowok="t"/>
              <o:lock v:ext="edit" aspectratio="t"/>
              <w10:wrap anchorx="page"/>
            </v:rect>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28F9" w14:textId="46A09BCB" w:rsidR="00AC118E" w:rsidRDefault="00615BF4" w:rsidP="00E5447C">
    <w:pPr>
      <w:pStyle w:val="Footer"/>
      <w:jc w:val="right"/>
    </w:pPr>
    <w:r>
      <w:rPr>
        <w:noProof/>
      </w:rPr>
      <w:drawing>
        <wp:inline distT="0" distB="0" distL="0" distR="0" wp14:anchorId="1A85830E" wp14:editId="0F016E6E">
          <wp:extent cx="1370965" cy="457200"/>
          <wp:effectExtent l="0" t="0" r="635" b="0"/>
          <wp:docPr id="352341657"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p w14:paraId="5C0EB333" w14:textId="77777777" w:rsidR="00AC118E" w:rsidRDefault="00AC118E" w:rsidP="00E5447C">
    <w:pPr>
      <w:pStyle w:val="Foote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92CC" w14:textId="39ACF4FD" w:rsidR="00AC118E" w:rsidRPr="000B33B3" w:rsidRDefault="006009F0" w:rsidP="000B33B3">
    <w:pPr>
      <w:pStyle w:val="Header"/>
    </w:pPr>
    <w:r>
      <w:rPr>
        <w:noProof/>
      </w:rPr>
      <mc:AlternateContent>
        <mc:Choice Requires="wps">
          <w:drawing>
            <wp:anchor distT="0" distB="0" distL="114300" distR="114300" simplePos="0" relativeHeight="251658261" behindDoc="0" locked="0" layoutInCell="1" allowOverlap="1" wp14:anchorId="3B3F6CB2" wp14:editId="4D433F50">
              <wp:simplePos x="0" y="0"/>
              <wp:positionH relativeFrom="page">
                <wp:posOffset>-1820604</wp:posOffset>
              </wp:positionH>
              <wp:positionV relativeFrom="paragraph">
                <wp:posOffset>102629</wp:posOffset>
              </wp:positionV>
              <wp:extent cx="11381760" cy="7784321"/>
              <wp:effectExtent l="8255" t="0" r="18415" b="18415"/>
              <wp:wrapNone/>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1381760" cy="7784321"/>
                      </a:xfrm>
                      <a:prstGeom prst="rect">
                        <a:avLst/>
                      </a:prstGeom>
                      <a:solidFill>
                        <a:srgbClr val="002D73"/>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A71D94" id="Rectangle 22" o:spid="_x0000_s1026" style="position:absolute;margin-left:-143.35pt;margin-top:8.1pt;width:896.2pt;height:612.95pt;rotation:90;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" fillcolor="#002d73" strokecolor="#1f3763 [1604]" strokeweight="1pt">
              <v:path arrowok="t"/>
              <o:lock v:ext="edit" aspectratio="t"/>
              <w10:wrap anchorx="page"/>
            </v:rect>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BE10" w14:textId="16AEED4A" w:rsidR="00663FED" w:rsidRDefault="00615BF4" w:rsidP="0097443C">
    <w:pPr>
      <w:pStyle w:val="Header"/>
      <w:jc w:val="right"/>
    </w:pPr>
    <w:r>
      <w:rPr>
        <w:noProof/>
      </w:rPr>
      <w:drawing>
        <wp:inline distT="0" distB="0" distL="0" distR="0" wp14:anchorId="4FD1FEC8" wp14:editId="462822C3">
          <wp:extent cx="1370965" cy="457200"/>
          <wp:effectExtent l="0" t="0" r="635" b="0"/>
          <wp:docPr id="1989268701"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A1AC662"/>
    <w:lvl w:ilvl="0">
      <w:start w:val="1"/>
      <w:numFmt w:val="bullet"/>
      <w:pStyle w:val="ListBullet2"/>
      <w:lvlText w:val="–"/>
      <w:lvlJc w:val="left"/>
      <w:pPr>
        <w:ind w:left="720" w:hanging="360"/>
      </w:pPr>
      <w:rPr>
        <w:rFonts w:ascii="Verdana" w:hAnsi="Verdana" w:hint="default"/>
      </w:rPr>
    </w:lvl>
  </w:abstractNum>
  <w:abstractNum w:abstractNumId="1" w15:restartNumberingAfterBreak="0">
    <w:nsid w:val="00264D32"/>
    <w:multiLevelType w:val="hybridMultilevel"/>
    <w:tmpl w:val="8E6E8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753B48"/>
    <w:multiLevelType w:val="hybridMultilevel"/>
    <w:tmpl w:val="C2CC86DE"/>
    <w:numStyleLink w:val="PMOStyle"/>
  </w:abstractNum>
  <w:abstractNum w:abstractNumId="3" w15:restartNumberingAfterBreak="0">
    <w:nsid w:val="018047AF"/>
    <w:multiLevelType w:val="hybridMultilevel"/>
    <w:tmpl w:val="A13C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254BFF"/>
    <w:multiLevelType w:val="hybridMultilevel"/>
    <w:tmpl w:val="6E94C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6C01B8"/>
    <w:multiLevelType w:val="hybridMultilevel"/>
    <w:tmpl w:val="893AF82E"/>
    <w:styleLink w:val="Style1"/>
    <w:lvl w:ilvl="0" w:tplc="563E1C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22458"/>
    <w:multiLevelType w:val="hybridMultilevel"/>
    <w:tmpl w:val="C47677D0"/>
    <w:lvl w:ilvl="0" w:tplc="D616A8A6">
      <w:start w:val="1"/>
      <w:numFmt w:val="bullet"/>
      <w:pStyle w:val="BulletNEW"/>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C464D7"/>
    <w:multiLevelType w:val="hybridMultilevel"/>
    <w:tmpl w:val="D6B477F0"/>
    <w:lvl w:ilvl="0" w:tplc="8F94AC80">
      <w:start w:val="1"/>
      <w:numFmt w:val="decimal"/>
      <w:lvlText w:val="%1."/>
      <w:lvlJc w:val="left"/>
      <w:pPr>
        <w:ind w:left="720" w:hanging="360"/>
      </w:pPr>
      <w:rPr>
        <w:rFonts w:ascii="Verdana" w:eastAsia="Verdana" w:hAnsi="Verdana" w:cs="Verdan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182C3B"/>
    <w:multiLevelType w:val="multilevel"/>
    <w:tmpl w:val="055E4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037095"/>
    <w:multiLevelType w:val="hybridMultilevel"/>
    <w:tmpl w:val="597A045A"/>
    <w:lvl w:ilvl="0" w:tplc="2A1017E2">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3C0FA4"/>
    <w:multiLevelType w:val="multilevel"/>
    <w:tmpl w:val="D1A2ADD6"/>
    <w:lvl w:ilvl="0">
      <w:start w:val="1"/>
      <w:numFmt w:val="decimal"/>
      <w:pStyle w:val="heading10"/>
      <w:lvlText w:val="%1."/>
      <w:lvlJc w:val="left"/>
      <w:rPr>
        <w:b w:val="0"/>
        <w:bCs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0"/>
      <w:lvlText w:val="%1.%2"/>
      <w:lvlJc w:val="left"/>
      <w:rPr>
        <w:rFonts w:ascii="Arial" w:hAnsi="Arial" w:cs="Arial" w:hint="default"/>
        <w:b w:val="0"/>
        <w:i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0"/>
      <w:lvlText w:val="%1.%2.%3"/>
      <w:lvlJc w:val="left"/>
      <w:rPr>
        <w:b w:val="0"/>
        <w:bCs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b w:val="0"/>
        <w:bCs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rPr>
        <w:rFonts w:ascii="Verdana" w:hAnsi="Verdana" w:cs="Times New Roman" w:hint="default"/>
        <w:b w:val="0"/>
        <w:i w:val="0"/>
        <w:caps w:val="0"/>
        <w:smallCaps w:val="0"/>
        <w:strike w:val="0"/>
        <w:dstrike w:val="0"/>
        <w:vanish w:val="0"/>
        <w:webHidden w:val="0"/>
        <w:color w:val="auto"/>
        <w:spacing w:val="0"/>
        <w:w w:val="100"/>
        <w:kern w:val="0"/>
        <w:position w:val="0"/>
        <w:sz w:val="20"/>
        <w:szCs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rPr>
        <w:rFonts w:ascii="Times New Roman" w:hAnsi="Times New Roman" w:cs="Times New Roman" w:hint="default"/>
        <w:b w:val="0"/>
        <w:i w:val="0"/>
        <w:caps w:val="0"/>
        <w:small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7722DCF"/>
    <w:multiLevelType w:val="hybridMultilevel"/>
    <w:tmpl w:val="DFD22DF4"/>
    <w:lvl w:ilvl="0" w:tplc="0EEA7870">
      <w:numFmt w:val="bullet"/>
      <w:lvlText w:val="•"/>
      <w:lvlJc w:val="left"/>
      <w:pPr>
        <w:ind w:left="36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6CF0A17C">
      <w:start w:val="1"/>
      <w:numFmt w:val="bullet"/>
      <w:pStyle w:val="TABLEHEADnig"/>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AF7AA7"/>
    <w:multiLevelType w:val="multilevel"/>
    <w:tmpl w:val="BF661CD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Verdana" w:hAnsi="Verdana" w:hint="default"/>
        <w:b/>
        <w:bCs/>
        <w:sz w:val="18"/>
        <w:szCs w:val="18"/>
      </w:rPr>
    </w:lvl>
    <w:lvl w:ilvl="3">
      <w:start w:val="1"/>
      <w:numFmt w:val="decimal"/>
      <w:pStyle w:val="Heading4"/>
      <w:lvlText w:val="%1.%2.%3.%4"/>
      <w:lvlJc w:val="left"/>
      <w:pPr>
        <w:ind w:left="419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230F2863"/>
    <w:multiLevelType w:val="hybridMultilevel"/>
    <w:tmpl w:val="2EB66780"/>
    <w:numStyleLink w:val="Style11"/>
  </w:abstractNum>
  <w:abstractNum w:abstractNumId="14" w15:restartNumberingAfterBreak="0">
    <w:nsid w:val="29392BB7"/>
    <w:multiLevelType w:val="hybridMultilevel"/>
    <w:tmpl w:val="AF12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F371F"/>
    <w:multiLevelType w:val="hybridMultilevel"/>
    <w:tmpl w:val="E3D4F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0B32A3"/>
    <w:multiLevelType w:val="hybridMultilevel"/>
    <w:tmpl w:val="F13C3B2C"/>
    <w:styleLink w:val="PMOStyle1"/>
    <w:lvl w:ilvl="0" w:tplc="A7305EF2">
      <w:start w:val="1"/>
      <w:numFmt w:val="decimal"/>
      <w:pStyle w:val="Heading21"/>
      <w:lvlText w:val="5.%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5680DAF"/>
    <w:multiLevelType w:val="hybridMultilevel"/>
    <w:tmpl w:val="4086E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0C2F97"/>
    <w:multiLevelType w:val="hybridMultilevel"/>
    <w:tmpl w:val="1472D3DE"/>
    <w:lvl w:ilvl="0" w:tplc="EBD6FFC0">
      <w:start w:val="1"/>
      <w:numFmt w:val="lowerLetter"/>
      <w:pStyle w:val="List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8B33CB"/>
    <w:multiLevelType w:val="hybridMultilevel"/>
    <w:tmpl w:val="B12A4CA6"/>
    <w:lvl w:ilvl="0" w:tplc="FF3EA3BE">
      <w:start w:val="1"/>
      <w:numFmt w:val="bullet"/>
      <w:pStyle w:val="SubBulletlistMainBodyTex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9E5704"/>
    <w:multiLevelType w:val="hybridMultilevel"/>
    <w:tmpl w:val="E8CA3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E033EF"/>
    <w:multiLevelType w:val="multilevel"/>
    <w:tmpl w:val="B61AACCE"/>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ED73AB"/>
    <w:multiLevelType w:val="hybridMultilevel"/>
    <w:tmpl w:val="893AF82E"/>
    <w:styleLink w:val="PMOStyle2"/>
    <w:lvl w:ilvl="0" w:tplc="563E1C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7C447C"/>
    <w:multiLevelType w:val="hybridMultilevel"/>
    <w:tmpl w:val="C2CC86DE"/>
    <w:styleLink w:val="PMOStyle"/>
    <w:lvl w:ilvl="0" w:tplc="C2CC86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9E4F66"/>
    <w:multiLevelType w:val="hybridMultilevel"/>
    <w:tmpl w:val="22440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9B7F21"/>
    <w:multiLevelType w:val="hybridMultilevel"/>
    <w:tmpl w:val="2EB66780"/>
    <w:styleLink w:val="Style11"/>
    <w:lvl w:ilvl="0" w:tplc="0CC2AA40">
      <w:start w:val="1"/>
      <w:numFmt w:val="bullet"/>
      <w:pStyle w:val="TABLEBULLETNEW"/>
      <w:lvlText w:val=""/>
      <w:lvlJc w:val="left"/>
      <w:pPr>
        <w:ind w:left="5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553AD3"/>
    <w:multiLevelType w:val="hybridMultilevel"/>
    <w:tmpl w:val="E63AE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1502DD"/>
    <w:multiLevelType w:val="hybridMultilevel"/>
    <w:tmpl w:val="3E12C586"/>
    <w:lvl w:ilvl="0" w:tplc="256AD932">
      <w:start w:val="1"/>
      <w:numFmt w:val="bullet"/>
      <w:pStyle w:val="Bullet"/>
      <w:lvlText w:val=""/>
      <w:lvlJc w:val="left"/>
      <w:pPr>
        <w:ind w:left="-28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28" w15:restartNumberingAfterBreak="0">
    <w:nsid w:val="5BDA119D"/>
    <w:multiLevelType w:val="multilevel"/>
    <w:tmpl w:val="938253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ESHeading5"/>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D991233"/>
    <w:multiLevelType w:val="multilevel"/>
    <w:tmpl w:val="7D48CFE2"/>
    <w:lvl w:ilvl="0">
      <w:start w:val="1"/>
      <w:numFmt w:val="none"/>
      <w:pStyle w:val="ESHeading1"/>
      <w:suff w:val="nothing"/>
      <w:lvlText w:val=""/>
      <w:lvlJc w:val="left"/>
      <w:pPr>
        <w:ind w:left="0" w:firstLine="0"/>
      </w:pPr>
      <w:rPr>
        <w:rFonts w:ascii="Arial" w:hAnsi="Arial" w:hint="default"/>
        <w:b w:val="0"/>
        <w:i w:val="0"/>
        <w:sz w:val="24"/>
      </w:rPr>
    </w:lvl>
    <w:lvl w:ilvl="1">
      <w:start w:val="1"/>
      <w:numFmt w:val="none"/>
      <w:pStyle w:val="ESHeading2"/>
      <w:suff w:val="nothing"/>
      <w:lvlText w:val=""/>
      <w:lvlJc w:val="left"/>
      <w:pPr>
        <w:ind w:left="0" w:firstLine="0"/>
      </w:pPr>
      <w:rPr>
        <w:rFonts w:ascii="Arial" w:hAnsi="Arial" w:hint="default"/>
        <w:b w:val="0"/>
        <w:i w:val="0"/>
        <w:sz w:val="24"/>
      </w:rPr>
    </w:lvl>
    <w:lvl w:ilvl="2">
      <w:start w:val="1"/>
      <w:numFmt w:val="none"/>
      <w:pStyle w:val="ESHeading3"/>
      <w:suff w:val="nothing"/>
      <w:lvlText w:val=""/>
      <w:lvlJc w:val="left"/>
      <w:pPr>
        <w:ind w:left="0" w:firstLine="0"/>
      </w:pPr>
      <w:rPr>
        <w:rFonts w:ascii="Arial" w:hAnsi="Arial" w:hint="default"/>
        <w:b w:val="0"/>
        <w:i w:val="0"/>
        <w:sz w:val="24"/>
      </w:rPr>
    </w:lvl>
    <w:lvl w:ilvl="3">
      <w:start w:val="1"/>
      <w:numFmt w:val="none"/>
      <w:pStyle w:val="ESHeading4"/>
      <w:suff w:val="nothing"/>
      <w:lvlText w:val=""/>
      <w:lvlJc w:val="left"/>
      <w:pPr>
        <w:ind w:left="0" w:firstLine="0"/>
      </w:pPr>
      <w:rPr>
        <w:rFonts w:ascii="Arial" w:hAnsi="Arial" w:hint="default"/>
        <w:b/>
        <w:i w:val="0"/>
        <w:caps w:val="0"/>
        <w:strike w:val="0"/>
        <w:dstrike w:val="0"/>
        <w:vanish w:val="0"/>
        <w:color w:val="000000"/>
        <w:sz w:val="24"/>
        <w:vertAlign w:val="baseline"/>
      </w:rPr>
    </w:lvl>
    <w:lvl w:ilvl="4">
      <w:start w:val="1"/>
      <w:numFmt w:val="none"/>
      <w:suff w:val="nothing"/>
      <w:lvlText w:val=""/>
      <w:lvlJc w:val="left"/>
      <w:pPr>
        <w:ind w:left="0" w:firstLine="0"/>
      </w:pPr>
      <w:rPr>
        <w:rFonts w:ascii="Arial" w:hAnsi="Arial" w:hint="default"/>
        <w:b/>
        <w:i w:val="0"/>
        <w:sz w:val="24"/>
      </w:rPr>
    </w:lvl>
    <w:lvl w:ilvl="5">
      <w:start w:val="1"/>
      <w:numFmt w:val="none"/>
      <w:pStyle w:val="ESHeading6"/>
      <w:suff w:val="nothing"/>
      <w:lvlText w:val=""/>
      <w:lvlJc w:val="left"/>
      <w:pPr>
        <w:ind w:left="0" w:firstLine="0"/>
      </w:pPr>
      <w:rPr>
        <w:rFonts w:ascii="Arial" w:hAnsi="Arial" w:hint="default"/>
        <w:b/>
        <w:i w:val="0"/>
        <w:sz w:val="24"/>
      </w:rPr>
    </w:lvl>
    <w:lvl w:ilvl="6">
      <w:start w:val="1"/>
      <w:numFmt w:val="none"/>
      <w:pStyle w:val="ESHeading7"/>
      <w:suff w:val="nothing"/>
      <w:lvlText w:val=""/>
      <w:lvlJc w:val="left"/>
      <w:pPr>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0" w15:restartNumberingAfterBreak="0">
    <w:nsid w:val="65D315BF"/>
    <w:multiLevelType w:val="multilevel"/>
    <w:tmpl w:val="97261D04"/>
    <w:styleLink w:val="PMOStyle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810" w:hanging="360"/>
      </w:pPr>
      <w:rPr>
        <w:rFonts w:hint="default"/>
      </w:rPr>
    </w:lvl>
    <w:lvl w:ilvl="3">
      <w:start w:val="1"/>
      <w:numFmt w:val="decimal"/>
      <w:lvlText w:val="%1.%2.%3.%4"/>
      <w:lvlJc w:val="left"/>
      <w:pPr>
        <w:ind w:left="99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8FD0740"/>
    <w:multiLevelType w:val="hybridMultilevel"/>
    <w:tmpl w:val="C2CC86DE"/>
    <w:numStyleLink w:val="PMOStyle"/>
  </w:abstractNum>
  <w:abstractNum w:abstractNumId="32" w15:restartNumberingAfterBreak="0">
    <w:nsid w:val="69A2F3F0"/>
    <w:multiLevelType w:val="hybridMultilevel"/>
    <w:tmpl w:val="EF1CA8D6"/>
    <w:lvl w:ilvl="0" w:tplc="9DF44948">
      <w:start w:val="1"/>
      <w:numFmt w:val="bullet"/>
      <w:lvlText w:val="·"/>
      <w:lvlJc w:val="left"/>
      <w:pPr>
        <w:ind w:left="720" w:hanging="360"/>
      </w:pPr>
      <w:rPr>
        <w:rFonts w:ascii="Symbol" w:hAnsi="Symbol" w:hint="default"/>
      </w:rPr>
    </w:lvl>
    <w:lvl w:ilvl="1" w:tplc="DA9066A4">
      <w:start w:val="1"/>
      <w:numFmt w:val="bullet"/>
      <w:lvlText w:val="o"/>
      <w:lvlJc w:val="left"/>
      <w:pPr>
        <w:ind w:left="1440" w:hanging="360"/>
      </w:pPr>
      <w:rPr>
        <w:rFonts w:ascii="Courier New" w:hAnsi="Courier New" w:hint="default"/>
      </w:rPr>
    </w:lvl>
    <w:lvl w:ilvl="2" w:tplc="0DCA70E6">
      <w:start w:val="1"/>
      <w:numFmt w:val="bullet"/>
      <w:lvlText w:val=""/>
      <w:lvlJc w:val="left"/>
      <w:pPr>
        <w:ind w:left="2160" w:hanging="360"/>
      </w:pPr>
      <w:rPr>
        <w:rFonts w:ascii="Wingdings" w:hAnsi="Wingdings" w:hint="default"/>
      </w:rPr>
    </w:lvl>
    <w:lvl w:ilvl="3" w:tplc="BE542E02">
      <w:start w:val="1"/>
      <w:numFmt w:val="bullet"/>
      <w:lvlText w:val=""/>
      <w:lvlJc w:val="left"/>
      <w:pPr>
        <w:ind w:left="2880" w:hanging="360"/>
      </w:pPr>
      <w:rPr>
        <w:rFonts w:ascii="Symbol" w:hAnsi="Symbol" w:hint="default"/>
      </w:rPr>
    </w:lvl>
    <w:lvl w:ilvl="4" w:tplc="8C840CD8">
      <w:start w:val="1"/>
      <w:numFmt w:val="bullet"/>
      <w:lvlText w:val="o"/>
      <w:lvlJc w:val="left"/>
      <w:pPr>
        <w:ind w:left="3600" w:hanging="360"/>
      </w:pPr>
      <w:rPr>
        <w:rFonts w:ascii="Courier New" w:hAnsi="Courier New" w:hint="default"/>
      </w:rPr>
    </w:lvl>
    <w:lvl w:ilvl="5" w:tplc="0C127850">
      <w:start w:val="1"/>
      <w:numFmt w:val="bullet"/>
      <w:lvlText w:val=""/>
      <w:lvlJc w:val="left"/>
      <w:pPr>
        <w:ind w:left="4320" w:hanging="360"/>
      </w:pPr>
      <w:rPr>
        <w:rFonts w:ascii="Wingdings" w:hAnsi="Wingdings" w:hint="default"/>
      </w:rPr>
    </w:lvl>
    <w:lvl w:ilvl="6" w:tplc="3A2ABA50">
      <w:start w:val="1"/>
      <w:numFmt w:val="bullet"/>
      <w:lvlText w:val=""/>
      <w:lvlJc w:val="left"/>
      <w:pPr>
        <w:ind w:left="5040" w:hanging="360"/>
      </w:pPr>
      <w:rPr>
        <w:rFonts w:ascii="Symbol" w:hAnsi="Symbol" w:hint="default"/>
      </w:rPr>
    </w:lvl>
    <w:lvl w:ilvl="7" w:tplc="1556FD34">
      <w:start w:val="1"/>
      <w:numFmt w:val="bullet"/>
      <w:lvlText w:val="o"/>
      <w:lvlJc w:val="left"/>
      <w:pPr>
        <w:ind w:left="5760" w:hanging="360"/>
      </w:pPr>
      <w:rPr>
        <w:rFonts w:ascii="Courier New" w:hAnsi="Courier New" w:hint="default"/>
      </w:rPr>
    </w:lvl>
    <w:lvl w:ilvl="8" w:tplc="7F30C8F4">
      <w:start w:val="1"/>
      <w:numFmt w:val="bullet"/>
      <w:lvlText w:val=""/>
      <w:lvlJc w:val="left"/>
      <w:pPr>
        <w:ind w:left="6480" w:hanging="360"/>
      </w:pPr>
      <w:rPr>
        <w:rFonts w:ascii="Wingdings" w:hAnsi="Wingdings" w:hint="default"/>
      </w:rPr>
    </w:lvl>
  </w:abstractNum>
  <w:abstractNum w:abstractNumId="33" w15:restartNumberingAfterBreak="0">
    <w:nsid w:val="69BB0826"/>
    <w:multiLevelType w:val="hybridMultilevel"/>
    <w:tmpl w:val="B0CC3356"/>
    <w:styleLink w:val="PMOStyle11"/>
    <w:lvl w:ilvl="0" w:tplc="9DF449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B249D7"/>
    <w:multiLevelType w:val="hybridMultilevel"/>
    <w:tmpl w:val="F820ACFC"/>
    <w:lvl w:ilvl="0" w:tplc="CDB06330">
      <w:start w:val="1"/>
      <w:numFmt w:val="bullet"/>
      <w:pStyle w:val="List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945681"/>
    <w:multiLevelType w:val="hybridMultilevel"/>
    <w:tmpl w:val="478C164E"/>
    <w:lvl w:ilvl="0" w:tplc="018C999A">
      <w:start w:val="1"/>
      <w:numFmt w:val="bullet"/>
      <w:pStyle w:val="TablePrimary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6" w15:restartNumberingAfterBreak="0">
    <w:nsid w:val="7F314AE9"/>
    <w:multiLevelType w:val="hybridMultilevel"/>
    <w:tmpl w:val="33C8E380"/>
    <w:lvl w:ilvl="0" w:tplc="54B2B82C">
      <w:start w:val="1"/>
      <w:numFmt w:val="bullet"/>
      <w:pStyle w:val="Tablesubbullet"/>
      <w:lvlText w:val="o"/>
      <w:lvlJc w:val="left"/>
      <w:pPr>
        <w:ind w:left="1008" w:hanging="360"/>
      </w:pPr>
      <w:rPr>
        <w:rFonts w:ascii="Courier New" w:hAnsi="Courier New" w:cs="Courier New"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873928992">
    <w:abstractNumId w:val="30"/>
  </w:num>
  <w:num w:numId="2" w16cid:durableId="1111053114">
    <w:abstractNumId w:val="9"/>
  </w:num>
  <w:num w:numId="3" w16cid:durableId="1431007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9537182">
    <w:abstractNumId w:val="29"/>
  </w:num>
  <w:num w:numId="5" w16cid:durableId="1749964166">
    <w:abstractNumId w:val="22"/>
  </w:num>
  <w:num w:numId="6" w16cid:durableId="71390949">
    <w:abstractNumId w:val="5"/>
  </w:num>
  <w:num w:numId="7" w16cid:durableId="106585894">
    <w:abstractNumId w:val="28"/>
  </w:num>
  <w:num w:numId="8" w16cid:durableId="130903991">
    <w:abstractNumId w:val="36"/>
  </w:num>
  <w:num w:numId="9" w16cid:durableId="440102482">
    <w:abstractNumId w:val="19"/>
  </w:num>
  <w:num w:numId="10" w16cid:durableId="1437408499">
    <w:abstractNumId w:val="35"/>
  </w:num>
  <w:num w:numId="11" w16cid:durableId="1419210326">
    <w:abstractNumId w:val="27"/>
  </w:num>
  <w:num w:numId="12" w16cid:durableId="1740714788">
    <w:abstractNumId w:val="16"/>
  </w:num>
  <w:num w:numId="13" w16cid:durableId="981037927">
    <w:abstractNumId w:val="25"/>
    <w:lvlOverride w:ilvl="0">
      <w:lvl w:ilvl="0" w:tplc="0CC2AA40">
        <w:start w:val="1"/>
        <w:numFmt w:val="bullet"/>
        <w:pStyle w:val="TABLEBULLETNEW"/>
        <w:lvlText w:val=""/>
        <w:lvlJc w:val="left"/>
        <w:pPr>
          <w:ind w:left="540" w:hanging="360"/>
        </w:pPr>
        <w:rPr>
          <w:rFonts w:ascii="Symbol" w:hAnsi="Symbol" w:hint="default"/>
          <w:strike w:val="0"/>
          <w:dstrike w:val="0"/>
          <w:sz w:val="18"/>
          <w:szCs w:val="18"/>
        </w:rPr>
      </w:lvl>
    </w:lvlOverride>
  </w:num>
  <w:num w:numId="14" w16cid:durableId="621691806">
    <w:abstractNumId w:val="11"/>
  </w:num>
  <w:num w:numId="15" w16cid:durableId="598955347">
    <w:abstractNumId w:val="23"/>
    <w:lvlOverride w:ilvl="0">
      <w:startOverride w:val="1"/>
    </w:lvlOverride>
  </w:num>
  <w:num w:numId="16" w16cid:durableId="873928245">
    <w:abstractNumId w:val="12"/>
  </w:num>
  <w:num w:numId="17" w16cid:durableId="24867537">
    <w:abstractNumId w:val="0"/>
  </w:num>
  <w:num w:numId="18" w16cid:durableId="1477524283">
    <w:abstractNumId w:val="8"/>
    <w:lvlOverride w:ilvl="0">
      <w:startOverride w:val="1"/>
    </w:lvlOverride>
  </w:num>
  <w:num w:numId="19" w16cid:durableId="345787338">
    <w:abstractNumId w:val="12"/>
  </w:num>
  <w:num w:numId="20" w16cid:durableId="71437247">
    <w:abstractNumId w:val="24"/>
  </w:num>
  <w:num w:numId="21" w16cid:durableId="547306">
    <w:abstractNumId w:val="18"/>
  </w:num>
  <w:num w:numId="22" w16cid:durableId="1881473600">
    <w:abstractNumId w:val="4"/>
  </w:num>
  <w:num w:numId="23" w16cid:durableId="1003974626">
    <w:abstractNumId w:val="7"/>
  </w:num>
  <w:num w:numId="24" w16cid:durableId="1972440068">
    <w:abstractNumId w:val="15"/>
  </w:num>
  <w:num w:numId="25" w16cid:durableId="1141380916">
    <w:abstractNumId w:val="26"/>
  </w:num>
  <w:num w:numId="26" w16cid:durableId="1010107334">
    <w:abstractNumId w:val="14"/>
  </w:num>
  <w:num w:numId="27" w16cid:durableId="1278030086">
    <w:abstractNumId w:val="20"/>
  </w:num>
  <w:num w:numId="28" w16cid:durableId="1846818625">
    <w:abstractNumId w:val="34"/>
  </w:num>
  <w:num w:numId="29" w16cid:durableId="1284922506">
    <w:abstractNumId w:val="32"/>
  </w:num>
  <w:num w:numId="30" w16cid:durableId="1074815372">
    <w:abstractNumId w:val="3"/>
  </w:num>
  <w:num w:numId="31" w16cid:durableId="1135610308">
    <w:abstractNumId w:val="21"/>
  </w:num>
  <w:num w:numId="32" w16cid:durableId="1071855134">
    <w:abstractNumId w:val="33"/>
  </w:num>
  <w:num w:numId="33" w16cid:durableId="1157918104">
    <w:abstractNumId w:val="23"/>
  </w:num>
  <w:num w:numId="34" w16cid:durableId="2078740822">
    <w:abstractNumId w:val="25"/>
  </w:num>
  <w:num w:numId="35" w16cid:durableId="1031414495">
    <w:abstractNumId w:val="1"/>
  </w:num>
  <w:num w:numId="36" w16cid:durableId="4719640">
    <w:abstractNumId w:val="13"/>
    <w:lvlOverride w:ilvl="0">
      <w:lvl w:ilvl="0" w:tplc="0618103C">
        <w:start w:val="1"/>
        <w:numFmt w:val="bullet"/>
        <w:pStyle w:val="TABLEBULLETNEW"/>
        <w:lvlText w:val=""/>
        <w:lvlJc w:val="left"/>
        <w:pPr>
          <w:ind w:left="540" w:hanging="360"/>
        </w:pPr>
        <w:rPr>
          <w:rFonts w:ascii="Symbol" w:hAnsi="Symbol" w:hint="default"/>
          <w:sz w:val="18"/>
          <w:szCs w:val="18"/>
        </w:rPr>
      </w:lvl>
    </w:lvlOverride>
  </w:num>
  <w:num w:numId="37" w16cid:durableId="1126583437">
    <w:abstractNumId w:val="17"/>
  </w:num>
  <w:num w:numId="38" w16cid:durableId="1008294127">
    <w:abstractNumId w:val="6"/>
  </w:num>
  <w:num w:numId="39" w16cid:durableId="2012221977">
    <w:abstractNumId w:val="2"/>
  </w:num>
  <w:num w:numId="40" w16cid:durableId="921791264">
    <w:abstractNumId w:val="3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88"/>
    <w:rsid w:val="00000008"/>
    <w:rsid w:val="0000026F"/>
    <w:rsid w:val="0000029B"/>
    <w:rsid w:val="00000B92"/>
    <w:rsid w:val="00000C1B"/>
    <w:rsid w:val="00000EBB"/>
    <w:rsid w:val="00000EC0"/>
    <w:rsid w:val="00000FF0"/>
    <w:rsid w:val="00001419"/>
    <w:rsid w:val="0000189C"/>
    <w:rsid w:val="000018B5"/>
    <w:rsid w:val="00001C29"/>
    <w:rsid w:val="00001C88"/>
    <w:rsid w:val="00002042"/>
    <w:rsid w:val="00002045"/>
    <w:rsid w:val="00002499"/>
    <w:rsid w:val="000024F4"/>
    <w:rsid w:val="000027DC"/>
    <w:rsid w:val="00002CCB"/>
    <w:rsid w:val="00002E38"/>
    <w:rsid w:val="00002E3C"/>
    <w:rsid w:val="00002ED0"/>
    <w:rsid w:val="0000304F"/>
    <w:rsid w:val="000030AA"/>
    <w:rsid w:val="000031F8"/>
    <w:rsid w:val="00003201"/>
    <w:rsid w:val="000035AC"/>
    <w:rsid w:val="000035AF"/>
    <w:rsid w:val="000037FA"/>
    <w:rsid w:val="00003BC2"/>
    <w:rsid w:val="00003D76"/>
    <w:rsid w:val="00003E81"/>
    <w:rsid w:val="0000401E"/>
    <w:rsid w:val="00004069"/>
    <w:rsid w:val="0000408D"/>
    <w:rsid w:val="00004133"/>
    <w:rsid w:val="000042A2"/>
    <w:rsid w:val="000042B6"/>
    <w:rsid w:val="00004376"/>
    <w:rsid w:val="00004533"/>
    <w:rsid w:val="000046E5"/>
    <w:rsid w:val="00004A52"/>
    <w:rsid w:val="00004A85"/>
    <w:rsid w:val="00004C65"/>
    <w:rsid w:val="00004F06"/>
    <w:rsid w:val="00004FB8"/>
    <w:rsid w:val="00005144"/>
    <w:rsid w:val="00005284"/>
    <w:rsid w:val="000053CE"/>
    <w:rsid w:val="00005524"/>
    <w:rsid w:val="00005578"/>
    <w:rsid w:val="0000563D"/>
    <w:rsid w:val="0000575D"/>
    <w:rsid w:val="00005AA1"/>
    <w:rsid w:val="00005B09"/>
    <w:rsid w:val="00005F3D"/>
    <w:rsid w:val="00005F7A"/>
    <w:rsid w:val="00005F97"/>
    <w:rsid w:val="0000610D"/>
    <w:rsid w:val="0000614A"/>
    <w:rsid w:val="00006258"/>
    <w:rsid w:val="0000630D"/>
    <w:rsid w:val="0000637B"/>
    <w:rsid w:val="000067A7"/>
    <w:rsid w:val="00006935"/>
    <w:rsid w:val="00006A38"/>
    <w:rsid w:val="00006B46"/>
    <w:rsid w:val="00006DCD"/>
    <w:rsid w:val="000070DE"/>
    <w:rsid w:val="0000712B"/>
    <w:rsid w:val="000077B6"/>
    <w:rsid w:val="000077F9"/>
    <w:rsid w:val="000078AB"/>
    <w:rsid w:val="000078C0"/>
    <w:rsid w:val="00007A51"/>
    <w:rsid w:val="00007A97"/>
    <w:rsid w:val="00007FCB"/>
    <w:rsid w:val="00010104"/>
    <w:rsid w:val="00010366"/>
    <w:rsid w:val="000106B9"/>
    <w:rsid w:val="000107A7"/>
    <w:rsid w:val="00010A5B"/>
    <w:rsid w:val="00010AD0"/>
    <w:rsid w:val="00010AFE"/>
    <w:rsid w:val="00010F2E"/>
    <w:rsid w:val="000112F6"/>
    <w:rsid w:val="00011317"/>
    <w:rsid w:val="000113DB"/>
    <w:rsid w:val="000114FA"/>
    <w:rsid w:val="000116C5"/>
    <w:rsid w:val="000116D3"/>
    <w:rsid w:val="000117C9"/>
    <w:rsid w:val="00011B9B"/>
    <w:rsid w:val="00011D60"/>
    <w:rsid w:val="00011ECA"/>
    <w:rsid w:val="00012023"/>
    <w:rsid w:val="000120EA"/>
    <w:rsid w:val="00012274"/>
    <w:rsid w:val="0001247A"/>
    <w:rsid w:val="00012497"/>
    <w:rsid w:val="00012575"/>
    <w:rsid w:val="00012A6C"/>
    <w:rsid w:val="00012BEC"/>
    <w:rsid w:val="00012D1A"/>
    <w:rsid w:val="0001303F"/>
    <w:rsid w:val="00013470"/>
    <w:rsid w:val="000134D0"/>
    <w:rsid w:val="000134E6"/>
    <w:rsid w:val="00013572"/>
    <w:rsid w:val="00013A5C"/>
    <w:rsid w:val="00013BB3"/>
    <w:rsid w:val="00013C75"/>
    <w:rsid w:val="000140BC"/>
    <w:rsid w:val="000140DC"/>
    <w:rsid w:val="00014178"/>
    <w:rsid w:val="0001437C"/>
    <w:rsid w:val="0001458B"/>
    <w:rsid w:val="00014948"/>
    <w:rsid w:val="00014A24"/>
    <w:rsid w:val="000150AD"/>
    <w:rsid w:val="00015173"/>
    <w:rsid w:val="000151F5"/>
    <w:rsid w:val="00015379"/>
    <w:rsid w:val="000156F3"/>
    <w:rsid w:val="00015907"/>
    <w:rsid w:val="000159D0"/>
    <w:rsid w:val="00015C13"/>
    <w:rsid w:val="00015C92"/>
    <w:rsid w:val="00015E1C"/>
    <w:rsid w:val="00015F0F"/>
    <w:rsid w:val="00015FD1"/>
    <w:rsid w:val="0001604A"/>
    <w:rsid w:val="0001609D"/>
    <w:rsid w:val="00016528"/>
    <w:rsid w:val="000165AD"/>
    <w:rsid w:val="000165D4"/>
    <w:rsid w:val="00016EFA"/>
    <w:rsid w:val="00017411"/>
    <w:rsid w:val="000176B2"/>
    <w:rsid w:val="0001791D"/>
    <w:rsid w:val="00017B94"/>
    <w:rsid w:val="00017BCD"/>
    <w:rsid w:val="00017BDA"/>
    <w:rsid w:val="00017DAB"/>
    <w:rsid w:val="00017E24"/>
    <w:rsid w:val="00017E86"/>
    <w:rsid w:val="00017EE1"/>
    <w:rsid w:val="00017F54"/>
    <w:rsid w:val="00017FAC"/>
    <w:rsid w:val="00020540"/>
    <w:rsid w:val="000206EA"/>
    <w:rsid w:val="00020790"/>
    <w:rsid w:val="00020AA0"/>
    <w:rsid w:val="00020C10"/>
    <w:rsid w:val="00020E5C"/>
    <w:rsid w:val="00020EDD"/>
    <w:rsid w:val="00021026"/>
    <w:rsid w:val="0002128D"/>
    <w:rsid w:val="0002148F"/>
    <w:rsid w:val="00021534"/>
    <w:rsid w:val="000215C2"/>
    <w:rsid w:val="0002177B"/>
    <w:rsid w:val="0002182E"/>
    <w:rsid w:val="00021917"/>
    <w:rsid w:val="00021C91"/>
    <w:rsid w:val="00021E72"/>
    <w:rsid w:val="00021FC6"/>
    <w:rsid w:val="0002202D"/>
    <w:rsid w:val="00022034"/>
    <w:rsid w:val="00022058"/>
    <w:rsid w:val="00022625"/>
    <w:rsid w:val="00022B21"/>
    <w:rsid w:val="00022FD2"/>
    <w:rsid w:val="00023114"/>
    <w:rsid w:val="000231B4"/>
    <w:rsid w:val="000231EF"/>
    <w:rsid w:val="00023249"/>
    <w:rsid w:val="000232C4"/>
    <w:rsid w:val="000232EB"/>
    <w:rsid w:val="00023344"/>
    <w:rsid w:val="0002353B"/>
    <w:rsid w:val="0002368D"/>
    <w:rsid w:val="000237E0"/>
    <w:rsid w:val="00023940"/>
    <w:rsid w:val="000239D1"/>
    <w:rsid w:val="00023C3B"/>
    <w:rsid w:val="00023D0D"/>
    <w:rsid w:val="00023E77"/>
    <w:rsid w:val="0002417F"/>
    <w:rsid w:val="000242A2"/>
    <w:rsid w:val="000243EC"/>
    <w:rsid w:val="000245CD"/>
    <w:rsid w:val="00024759"/>
    <w:rsid w:val="000248D2"/>
    <w:rsid w:val="00024923"/>
    <w:rsid w:val="00024B54"/>
    <w:rsid w:val="00024FC0"/>
    <w:rsid w:val="0002510C"/>
    <w:rsid w:val="0002563A"/>
    <w:rsid w:val="0002568A"/>
    <w:rsid w:val="0002570E"/>
    <w:rsid w:val="0002571E"/>
    <w:rsid w:val="00025908"/>
    <w:rsid w:val="0002592A"/>
    <w:rsid w:val="00025A95"/>
    <w:rsid w:val="00025A9E"/>
    <w:rsid w:val="00025DD3"/>
    <w:rsid w:val="00025EB8"/>
    <w:rsid w:val="00025EDF"/>
    <w:rsid w:val="00026003"/>
    <w:rsid w:val="0002632E"/>
    <w:rsid w:val="000264C3"/>
    <w:rsid w:val="000266B9"/>
    <w:rsid w:val="00026979"/>
    <w:rsid w:val="0002698A"/>
    <w:rsid w:val="00026993"/>
    <w:rsid w:val="00026A9F"/>
    <w:rsid w:val="00026D3E"/>
    <w:rsid w:val="00026EC8"/>
    <w:rsid w:val="00026F5E"/>
    <w:rsid w:val="00026FE6"/>
    <w:rsid w:val="00027170"/>
    <w:rsid w:val="000272DF"/>
    <w:rsid w:val="000272F1"/>
    <w:rsid w:val="00027311"/>
    <w:rsid w:val="0002741F"/>
    <w:rsid w:val="00027644"/>
    <w:rsid w:val="00027863"/>
    <w:rsid w:val="0002792E"/>
    <w:rsid w:val="0002795E"/>
    <w:rsid w:val="00027B78"/>
    <w:rsid w:val="00027F07"/>
    <w:rsid w:val="00030089"/>
    <w:rsid w:val="000300C8"/>
    <w:rsid w:val="0003012A"/>
    <w:rsid w:val="0003016C"/>
    <w:rsid w:val="000301D7"/>
    <w:rsid w:val="000303E8"/>
    <w:rsid w:val="0003049A"/>
    <w:rsid w:val="0003088C"/>
    <w:rsid w:val="00030A8E"/>
    <w:rsid w:val="00030B14"/>
    <w:rsid w:val="00030B35"/>
    <w:rsid w:val="00030E07"/>
    <w:rsid w:val="000311BD"/>
    <w:rsid w:val="000312E1"/>
    <w:rsid w:val="00031369"/>
    <w:rsid w:val="000318E4"/>
    <w:rsid w:val="00031AF6"/>
    <w:rsid w:val="00031C5C"/>
    <w:rsid w:val="00031D70"/>
    <w:rsid w:val="00031F04"/>
    <w:rsid w:val="00032003"/>
    <w:rsid w:val="000320E7"/>
    <w:rsid w:val="00032104"/>
    <w:rsid w:val="0003212A"/>
    <w:rsid w:val="0003239D"/>
    <w:rsid w:val="000324D4"/>
    <w:rsid w:val="0003278F"/>
    <w:rsid w:val="00032798"/>
    <w:rsid w:val="000328F5"/>
    <w:rsid w:val="000329B2"/>
    <w:rsid w:val="00032C04"/>
    <w:rsid w:val="00032E57"/>
    <w:rsid w:val="00032F09"/>
    <w:rsid w:val="00032F4E"/>
    <w:rsid w:val="0003300B"/>
    <w:rsid w:val="0003300F"/>
    <w:rsid w:val="000333AA"/>
    <w:rsid w:val="000333D2"/>
    <w:rsid w:val="000338B3"/>
    <w:rsid w:val="0003397E"/>
    <w:rsid w:val="00033BF6"/>
    <w:rsid w:val="00033E03"/>
    <w:rsid w:val="000340F7"/>
    <w:rsid w:val="00034278"/>
    <w:rsid w:val="00034932"/>
    <w:rsid w:val="00034D39"/>
    <w:rsid w:val="00034E23"/>
    <w:rsid w:val="00034E56"/>
    <w:rsid w:val="00035186"/>
    <w:rsid w:val="000351A0"/>
    <w:rsid w:val="00035260"/>
    <w:rsid w:val="00035268"/>
    <w:rsid w:val="0003526D"/>
    <w:rsid w:val="000353C8"/>
    <w:rsid w:val="00035455"/>
    <w:rsid w:val="0003546F"/>
    <w:rsid w:val="0003548D"/>
    <w:rsid w:val="00035673"/>
    <w:rsid w:val="00035CC5"/>
    <w:rsid w:val="00035DB4"/>
    <w:rsid w:val="00035E0D"/>
    <w:rsid w:val="00035FBF"/>
    <w:rsid w:val="000362AD"/>
    <w:rsid w:val="000363C4"/>
    <w:rsid w:val="000364EB"/>
    <w:rsid w:val="00036539"/>
    <w:rsid w:val="000366DB"/>
    <w:rsid w:val="00036AAB"/>
    <w:rsid w:val="00036B8A"/>
    <w:rsid w:val="00036C35"/>
    <w:rsid w:val="00036CB6"/>
    <w:rsid w:val="00036D3E"/>
    <w:rsid w:val="00037006"/>
    <w:rsid w:val="00037188"/>
    <w:rsid w:val="00037215"/>
    <w:rsid w:val="000372DB"/>
    <w:rsid w:val="00037434"/>
    <w:rsid w:val="00037454"/>
    <w:rsid w:val="000374D0"/>
    <w:rsid w:val="000377B4"/>
    <w:rsid w:val="000378D8"/>
    <w:rsid w:val="0003796E"/>
    <w:rsid w:val="00037B55"/>
    <w:rsid w:val="00037C42"/>
    <w:rsid w:val="00037E71"/>
    <w:rsid w:val="00040179"/>
    <w:rsid w:val="00040282"/>
    <w:rsid w:val="00040499"/>
    <w:rsid w:val="00040923"/>
    <w:rsid w:val="00040C7B"/>
    <w:rsid w:val="00040D01"/>
    <w:rsid w:val="00040D8D"/>
    <w:rsid w:val="00041418"/>
    <w:rsid w:val="0004153B"/>
    <w:rsid w:val="00041551"/>
    <w:rsid w:val="000415FD"/>
    <w:rsid w:val="00041638"/>
    <w:rsid w:val="00041A3F"/>
    <w:rsid w:val="00041C00"/>
    <w:rsid w:val="00041D73"/>
    <w:rsid w:val="00041E08"/>
    <w:rsid w:val="00042433"/>
    <w:rsid w:val="00042492"/>
    <w:rsid w:val="00042655"/>
    <w:rsid w:val="000428BB"/>
    <w:rsid w:val="000429DF"/>
    <w:rsid w:val="00042A23"/>
    <w:rsid w:val="00042CB1"/>
    <w:rsid w:val="00042D18"/>
    <w:rsid w:val="00042D52"/>
    <w:rsid w:val="00043181"/>
    <w:rsid w:val="0004320D"/>
    <w:rsid w:val="00043233"/>
    <w:rsid w:val="00043329"/>
    <w:rsid w:val="00043429"/>
    <w:rsid w:val="000436EF"/>
    <w:rsid w:val="00043CD0"/>
    <w:rsid w:val="00044422"/>
    <w:rsid w:val="0004456F"/>
    <w:rsid w:val="000446F1"/>
    <w:rsid w:val="00044737"/>
    <w:rsid w:val="0004495B"/>
    <w:rsid w:val="00044969"/>
    <w:rsid w:val="00044D13"/>
    <w:rsid w:val="00045132"/>
    <w:rsid w:val="000455AF"/>
    <w:rsid w:val="000458E9"/>
    <w:rsid w:val="000459ED"/>
    <w:rsid w:val="00045B4E"/>
    <w:rsid w:val="00045E1F"/>
    <w:rsid w:val="00045EE9"/>
    <w:rsid w:val="000460AA"/>
    <w:rsid w:val="000461AA"/>
    <w:rsid w:val="000463F3"/>
    <w:rsid w:val="000465A1"/>
    <w:rsid w:val="000468D4"/>
    <w:rsid w:val="00046A09"/>
    <w:rsid w:val="00046C07"/>
    <w:rsid w:val="00046C72"/>
    <w:rsid w:val="00046CB3"/>
    <w:rsid w:val="00046E9E"/>
    <w:rsid w:val="00046F33"/>
    <w:rsid w:val="000471E1"/>
    <w:rsid w:val="00047278"/>
    <w:rsid w:val="0004734F"/>
    <w:rsid w:val="00047389"/>
    <w:rsid w:val="00047566"/>
    <w:rsid w:val="00047709"/>
    <w:rsid w:val="00047793"/>
    <w:rsid w:val="00047A7B"/>
    <w:rsid w:val="00047AD2"/>
    <w:rsid w:val="00047C4E"/>
    <w:rsid w:val="0005051E"/>
    <w:rsid w:val="000505D9"/>
    <w:rsid w:val="000505FB"/>
    <w:rsid w:val="00050655"/>
    <w:rsid w:val="00050803"/>
    <w:rsid w:val="00050929"/>
    <w:rsid w:val="000509E0"/>
    <w:rsid w:val="00050AC0"/>
    <w:rsid w:val="00050EC3"/>
    <w:rsid w:val="00050ECF"/>
    <w:rsid w:val="00050F85"/>
    <w:rsid w:val="00051274"/>
    <w:rsid w:val="000514BC"/>
    <w:rsid w:val="00051581"/>
    <w:rsid w:val="0005183D"/>
    <w:rsid w:val="000518EA"/>
    <w:rsid w:val="00051BBA"/>
    <w:rsid w:val="0005215B"/>
    <w:rsid w:val="000521FC"/>
    <w:rsid w:val="000523AE"/>
    <w:rsid w:val="000527BE"/>
    <w:rsid w:val="00052828"/>
    <w:rsid w:val="00052C71"/>
    <w:rsid w:val="00052C9E"/>
    <w:rsid w:val="00052D13"/>
    <w:rsid w:val="000530D4"/>
    <w:rsid w:val="000531E9"/>
    <w:rsid w:val="00053275"/>
    <w:rsid w:val="000532CC"/>
    <w:rsid w:val="000532EE"/>
    <w:rsid w:val="0005341F"/>
    <w:rsid w:val="00053446"/>
    <w:rsid w:val="00053494"/>
    <w:rsid w:val="000536DF"/>
    <w:rsid w:val="0005379A"/>
    <w:rsid w:val="000538D2"/>
    <w:rsid w:val="00053ACA"/>
    <w:rsid w:val="00053ADC"/>
    <w:rsid w:val="00053BF5"/>
    <w:rsid w:val="00053D75"/>
    <w:rsid w:val="00053ED8"/>
    <w:rsid w:val="00054097"/>
    <w:rsid w:val="0005412C"/>
    <w:rsid w:val="00054515"/>
    <w:rsid w:val="0005484B"/>
    <w:rsid w:val="00054A9D"/>
    <w:rsid w:val="00054AED"/>
    <w:rsid w:val="00054C08"/>
    <w:rsid w:val="00054CAD"/>
    <w:rsid w:val="00054D60"/>
    <w:rsid w:val="00054F22"/>
    <w:rsid w:val="00055000"/>
    <w:rsid w:val="0005538D"/>
    <w:rsid w:val="00055415"/>
    <w:rsid w:val="000554A7"/>
    <w:rsid w:val="0005551C"/>
    <w:rsid w:val="000556BD"/>
    <w:rsid w:val="00055775"/>
    <w:rsid w:val="00055A0E"/>
    <w:rsid w:val="00055EC5"/>
    <w:rsid w:val="0005605B"/>
    <w:rsid w:val="00056133"/>
    <w:rsid w:val="00056217"/>
    <w:rsid w:val="00056301"/>
    <w:rsid w:val="000564D8"/>
    <w:rsid w:val="00056621"/>
    <w:rsid w:val="00056823"/>
    <w:rsid w:val="00056AA5"/>
    <w:rsid w:val="00056AB3"/>
    <w:rsid w:val="00056AB5"/>
    <w:rsid w:val="00056BDB"/>
    <w:rsid w:val="00056F68"/>
    <w:rsid w:val="00056F8A"/>
    <w:rsid w:val="00057342"/>
    <w:rsid w:val="000575A0"/>
    <w:rsid w:val="00057804"/>
    <w:rsid w:val="00057A79"/>
    <w:rsid w:val="00057C9F"/>
    <w:rsid w:val="000600E1"/>
    <w:rsid w:val="00060424"/>
    <w:rsid w:val="0006042B"/>
    <w:rsid w:val="0006045B"/>
    <w:rsid w:val="00060475"/>
    <w:rsid w:val="0006091E"/>
    <w:rsid w:val="0006094F"/>
    <w:rsid w:val="00060B9A"/>
    <w:rsid w:val="00060CEA"/>
    <w:rsid w:val="00060E25"/>
    <w:rsid w:val="00060ED5"/>
    <w:rsid w:val="00060F34"/>
    <w:rsid w:val="000611F5"/>
    <w:rsid w:val="0006122F"/>
    <w:rsid w:val="00061366"/>
    <w:rsid w:val="0006193D"/>
    <w:rsid w:val="00061B4A"/>
    <w:rsid w:val="00061B4D"/>
    <w:rsid w:val="00061F79"/>
    <w:rsid w:val="0006248F"/>
    <w:rsid w:val="000626E3"/>
    <w:rsid w:val="00062773"/>
    <w:rsid w:val="0006278B"/>
    <w:rsid w:val="0006278D"/>
    <w:rsid w:val="000628AF"/>
    <w:rsid w:val="000629DE"/>
    <w:rsid w:val="00062AE4"/>
    <w:rsid w:val="00062C4F"/>
    <w:rsid w:val="00062F19"/>
    <w:rsid w:val="0006302C"/>
    <w:rsid w:val="00063258"/>
    <w:rsid w:val="0006339D"/>
    <w:rsid w:val="0006357E"/>
    <w:rsid w:val="000635DC"/>
    <w:rsid w:val="000639E4"/>
    <w:rsid w:val="00063A65"/>
    <w:rsid w:val="00063FBB"/>
    <w:rsid w:val="00064250"/>
    <w:rsid w:val="00064388"/>
    <w:rsid w:val="0006456E"/>
    <w:rsid w:val="000647EB"/>
    <w:rsid w:val="00064A01"/>
    <w:rsid w:val="000651B8"/>
    <w:rsid w:val="00065556"/>
    <w:rsid w:val="000655B1"/>
    <w:rsid w:val="00065B52"/>
    <w:rsid w:val="00065B59"/>
    <w:rsid w:val="0006604C"/>
    <w:rsid w:val="0006610D"/>
    <w:rsid w:val="0006629A"/>
    <w:rsid w:val="000663BE"/>
    <w:rsid w:val="0006655E"/>
    <w:rsid w:val="000672F6"/>
    <w:rsid w:val="0006794F"/>
    <w:rsid w:val="00067C55"/>
    <w:rsid w:val="00067D8F"/>
    <w:rsid w:val="00067E6F"/>
    <w:rsid w:val="0007003F"/>
    <w:rsid w:val="0007012D"/>
    <w:rsid w:val="00070178"/>
    <w:rsid w:val="00070541"/>
    <w:rsid w:val="00070592"/>
    <w:rsid w:val="00070773"/>
    <w:rsid w:val="0007089B"/>
    <w:rsid w:val="00070A50"/>
    <w:rsid w:val="00070AE5"/>
    <w:rsid w:val="00070B73"/>
    <w:rsid w:val="00070D9F"/>
    <w:rsid w:val="00071032"/>
    <w:rsid w:val="00071154"/>
    <w:rsid w:val="000711A1"/>
    <w:rsid w:val="000712FF"/>
    <w:rsid w:val="00071311"/>
    <w:rsid w:val="00071394"/>
    <w:rsid w:val="00071523"/>
    <w:rsid w:val="00071539"/>
    <w:rsid w:val="000717F2"/>
    <w:rsid w:val="00071800"/>
    <w:rsid w:val="00071A49"/>
    <w:rsid w:val="00071A91"/>
    <w:rsid w:val="00071B41"/>
    <w:rsid w:val="00071C99"/>
    <w:rsid w:val="00071CCE"/>
    <w:rsid w:val="00071E88"/>
    <w:rsid w:val="00071F12"/>
    <w:rsid w:val="00071FFD"/>
    <w:rsid w:val="000720CD"/>
    <w:rsid w:val="000722C2"/>
    <w:rsid w:val="00072362"/>
    <w:rsid w:val="00072477"/>
    <w:rsid w:val="000724C7"/>
    <w:rsid w:val="000728E8"/>
    <w:rsid w:val="00072986"/>
    <w:rsid w:val="00072B60"/>
    <w:rsid w:val="00072C2E"/>
    <w:rsid w:val="000731E9"/>
    <w:rsid w:val="000738DD"/>
    <w:rsid w:val="00073BED"/>
    <w:rsid w:val="00073C03"/>
    <w:rsid w:val="00073D6F"/>
    <w:rsid w:val="00073F56"/>
    <w:rsid w:val="00073F66"/>
    <w:rsid w:val="000741C5"/>
    <w:rsid w:val="0007425B"/>
    <w:rsid w:val="00074844"/>
    <w:rsid w:val="000748A6"/>
    <w:rsid w:val="00074BA5"/>
    <w:rsid w:val="00074E41"/>
    <w:rsid w:val="00074FF6"/>
    <w:rsid w:val="00075075"/>
    <w:rsid w:val="00075570"/>
    <w:rsid w:val="000759DD"/>
    <w:rsid w:val="00075BD1"/>
    <w:rsid w:val="00075F84"/>
    <w:rsid w:val="00076022"/>
    <w:rsid w:val="00076442"/>
    <w:rsid w:val="000767EC"/>
    <w:rsid w:val="00076894"/>
    <w:rsid w:val="00076AD7"/>
    <w:rsid w:val="00076AED"/>
    <w:rsid w:val="00076C78"/>
    <w:rsid w:val="00076D75"/>
    <w:rsid w:val="00076E4C"/>
    <w:rsid w:val="00076F1D"/>
    <w:rsid w:val="00077058"/>
    <w:rsid w:val="0007709F"/>
    <w:rsid w:val="0007721B"/>
    <w:rsid w:val="0007733B"/>
    <w:rsid w:val="00077424"/>
    <w:rsid w:val="00077446"/>
    <w:rsid w:val="00077555"/>
    <w:rsid w:val="00077869"/>
    <w:rsid w:val="000779D4"/>
    <w:rsid w:val="00077A41"/>
    <w:rsid w:val="00077F3B"/>
    <w:rsid w:val="000801C9"/>
    <w:rsid w:val="000802BA"/>
    <w:rsid w:val="000803FF"/>
    <w:rsid w:val="000809B4"/>
    <w:rsid w:val="00080C30"/>
    <w:rsid w:val="00080C6F"/>
    <w:rsid w:val="00080DDD"/>
    <w:rsid w:val="00080E70"/>
    <w:rsid w:val="00080EFD"/>
    <w:rsid w:val="00081061"/>
    <w:rsid w:val="0008107B"/>
    <w:rsid w:val="00081136"/>
    <w:rsid w:val="000811E0"/>
    <w:rsid w:val="00081502"/>
    <w:rsid w:val="00081538"/>
    <w:rsid w:val="00081625"/>
    <w:rsid w:val="000820E5"/>
    <w:rsid w:val="0008221A"/>
    <w:rsid w:val="000823BE"/>
    <w:rsid w:val="000823FF"/>
    <w:rsid w:val="000824DD"/>
    <w:rsid w:val="00082574"/>
    <w:rsid w:val="00082664"/>
    <w:rsid w:val="00082892"/>
    <w:rsid w:val="00082D9B"/>
    <w:rsid w:val="00082EE6"/>
    <w:rsid w:val="00083245"/>
    <w:rsid w:val="000832BF"/>
    <w:rsid w:val="00083337"/>
    <w:rsid w:val="000836E7"/>
    <w:rsid w:val="000837AC"/>
    <w:rsid w:val="00083B63"/>
    <w:rsid w:val="00083FA6"/>
    <w:rsid w:val="000843F5"/>
    <w:rsid w:val="0008456A"/>
    <w:rsid w:val="000845E5"/>
    <w:rsid w:val="00084674"/>
    <w:rsid w:val="000847A1"/>
    <w:rsid w:val="0008482E"/>
    <w:rsid w:val="00084E95"/>
    <w:rsid w:val="00084EE0"/>
    <w:rsid w:val="00084F26"/>
    <w:rsid w:val="00084F77"/>
    <w:rsid w:val="00085115"/>
    <w:rsid w:val="00085331"/>
    <w:rsid w:val="0008533C"/>
    <w:rsid w:val="00085730"/>
    <w:rsid w:val="0008575D"/>
    <w:rsid w:val="000858D6"/>
    <w:rsid w:val="00085949"/>
    <w:rsid w:val="00085AAC"/>
    <w:rsid w:val="00085AC7"/>
    <w:rsid w:val="00085B7C"/>
    <w:rsid w:val="00085C29"/>
    <w:rsid w:val="00085D2B"/>
    <w:rsid w:val="00085D63"/>
    <w:rsid w:val="00085E28"/>
    <w:rsid w:val="00085E37"/>
    <w:rsid w:val="0008631B"/>
    <w:rsid w:val="0008652D"/>
    <w:rsid w:val="0008675B"/>
    <w:rsid w:val="0008681A"/>
    <w:rsid w:val="00086862"/>
    <w:rsid w:val="00086A15"/>
    <w:rsid w:val="00086C61"/>
    <w:rsid w:val="00086C7C"/>
    <w:rsid w:val="00086DE1"/>
    <w:rsid w:val="00086F39"/>
    <w:rsid w:val="000872B5"/>
    <w:rsid w:val="00087327"/>
    <w:rsid w:val="0008751F"/>
    <w:rsid w:val="0008773D"/>
    <w:rsid w:val="00087748"/>
    <w:rsid w:val="0008794D"/>
    <w:rsid w:val="00087CE4"/>
    <w:rsid w:val="00087CF2"/>
    <w:rsid w:val="00087FC9"/>
    <w:rsid w:val="000901A8"/>
    <w:rsid w:val="00090774"/>
    <w:rsid w:val="00090B95"/>
    <w:rsid w:val="00090C0A"/>
    <w:rsid w:val="00090D3A"/>
    <w:rsid w:val="00090F1D"/>
    <w:rsid w:val="00091001"/>
    <w:rsid w:val="00091098"/>
    <w:rsid w:val="000912F7"/>
    <w:rsid w:val="000914EB"/>
    <w:rsid w:val="0009154A"/>
    <w:rsid w:val="00091553"/>
    <w:rsid w:val="000915C7"/>
    <w:rsid w:val="00091690"/>
    <w:rsid w:val="00091699"/>
    <w:rsid w:val="0009170C"/>
    <w:rsid w:val="0009182A"/>
    <w:rsid w:val="00091A03"/>
    <w:rsid w:val="00091BEC"/>
    <w:rsid w:val="00091C39"/>
    <w:rsid w:val="00091D2E"/>
    <w:rsid w:val="00091DE6"/>
    <w:rsid w:val="00091EE0"/>
    <w:rsid w:val="00091F76"/>
    <w:rsid w:val="00092033"/>
    <w:rsid w:val="00092062"/>
    <w:rsid w:val="00092259"/>
    <w:rsid w:val="0009256F"/>
    <w:rsid w:val="000925F6"/>
    <w:rsid w:val="000926B0"/>
    <w:rsid w:val="000926BD"/>
    <w:rsid w:val="0009282E"/>
    <w:rsid w:val="00092972"/>
    <w:rsid w:val="00092A95"/>
    <w:rsid w:val="00092C18"/>
    <w:rsid w:val="00092C67"/>
    <w:rsid w:val="00092DDF"/>
    <w:rsid w:val="00092E25"/>
    <w:rsid w:val="00092EDE"/>
    <w:rsid w:val="00092F31"/>
    <w:rsid w:val="0009307E"/>
    <w:rsid w:val="000932AE"/>
    <w:rsid w:val="00093728"/>
    <w:rsid w:val="00093804"/>
    <w:rsid w:val="000939A8"/>
    <w:rsid w:val="000939C9"/>
    <w:rsid w:val="00093A0A"/>
    <w:rsid w:val="00093AC0"/>
    <w:rsid w:val="00093BA0"/>
    <w:rsid w:val="00093BE8"/>
    <w:rsid w:val="00093C58"/>
    <w:rsid w:val="00093C91"/>
    <w:rsid w:val="0009407F"/>
    <w:rsid w:val="000941D8"/>
    <w:rsid w:val="000944BD"/>
    <w:rsid w:val="0009469F"/>
    <w:rsid w:val="00094843"/>
    <w:rsid w:val="00094B5C"/>
    <w:rsid w:val="00094BB9"/>
    <w:rsid w:val="00094BED"/>
    <w:rsid w:val="00094D11"/>
    <w:rsid w:val="000950F5"/>
    <w:rsid w:val="0009510E"/>
    <w:rsid w:val="000952A7"/>
    <w:rsid w:val="00095A23"/>
    <w:rsid w:val="00095B16"/>
    <w:rsid w:val="00095B9F"/>
    <w:rsid w:val="00095C3D"/>
    <w:rsid w:val="00095E43"/>
    <w:rsid w:val="00095E4F"/>
    <w:rsid w:val="0009602C"/>
    <w:rsid w:val="0009609F"/>
    <w:rsid w:val="000960DE"/>
    <w:rsid w:val="00096730"/>
    <w:rsid w:val="00096939"/>
    <w:rsid w:val="00096C35"/>
    <w:rsid w:val="00096EA8"/>
    <w:rsid w:val="000970C6"/>
    <w:rsid w:val="0009713C"/>
    <w:rsid w:val="0009732B"/>
    <w:rsid w:val="00097416"/>
    <w:rsid w:val="000976BF"/>
    <w:rsid w:val="000977B4"/>
    <w:rsid w:val="00097B7E"/>
    <w:rsid w:val="00097CF7"/>
    <w:rsid w:val="00097FFB"/>
    <w:rsid w:val="000A016D"/>
    <w:rsid w:val="000A017D"/>
    <w:rsid w:val="000A0239"/>
    <w:rsid w:val="000A036B"/>
    <w:rsid w:val="000A0658"/>
    <w:rsid w:val="000A084C"/>
    <w:rsid w:val="000A08B5"/>
    <w:rsid w:val="000A0978"/>
    <w:rsid w:val="000A09E8"/>
    <w:rsid w:val="000A0AE7"/>
    <w:rsid w:val="000A0AFF"/>
    <w:rsid w:val="000A0B94"/>
    <w:rsid w:val="000A0CC8"/>
    <w:rsid w:val="000A0E30"/>
    <w:rsid w:val="000A1003"/>
    <w:rsid w:val="000A1115"/>
    <w:rsid w:val="000A112F"/>
    <w:rsid w:val="000A11E3"/>
    <w:rsid w:val="000A1276"/>
    <w:rsid w:val="000A1508"/>
    <w:rsid w:val="000A1548"/>
    <w:rsid w:val="000A19B1"/>
    <w:rsid w:val="000A1C37"/>
    <w:rsid w:val="000A1D00"/>
    <w:rsid w:val="000A1D26"/>
    <w:rsid w:val="000A1D65"/>
    <w:rsid w:val="000A1DD4"/>
    <w:rsid w:val="000A1FA6"/>
    <w:rsid w:val="000A2041"/>
    <w:rsid w:val="000A21E8"/>
    <w:rsid w:val="000A22B7"/>
    <w:rsid w:val="000A2380"/>
    <w:rsid w:val="000A23B7"/>
    <w:rsid w:val="000A240F"/>
    <w:rsid w:val="000A2695"/>
    <w:rsid w:val="000A2775"/>
    <w:rsid w:val="000A2B3A"/>
    <w:rsid w:val="000A2CED"/>
    <w:rsid w:val="000A2E21"/>
    <w:rsid w:val="000A2E4F"/>
    <w:rsid w:val="000A3446"/>
    <w:rsid w:val="000A3453"/>
    <w:rsid w:val="000A3836"/>
    <w:rsid w:val="000A3A49"/>
    <w:rsid w:val="000A3AC7"/>
    <w:rsid w:val="000A3B51"/>
    <w:rsid w:val="000A4122"/>
    <w:rsid w:val="000A4300"/>
    <w:rsid w:val="000A4590"/>
    <w:rsid w:val="000A48D8"/>
    <w:rsid w:val="000A4BD2"/>
    <w:rsid w:val="000A4CD2"/>
    <w:rsid w:val="000A5243"/>
    <w:rsid w:val="000A5398"/>
    <w:rsid w:val="000A545E"/>
    <w:rsid w:val="000A5AD7"/>
    <w:rsid w:val="000A5C1C"/>
    <w:rsid w:val="000A5F8F"/>
    <w:rsid w:val="000A6053"/>
    <w:rsid w:val="000A61D8"/>
    <w:rsid w:val="000A6419"/>
    <w:rsid w:val="000A6446"/>
    <w:rsid w:val="000A6574"/>
    <w:rsid w:val="000A66D8"/>
    <w:rsid w:val="000A6713"/>
    <w:rsid w:val="000A6731"/>
    <w:rsid w:val="000A67CB"/>
    <w:rsid w:val="000A69F2"/>
    <w:rsid w:val="000A6E48"/>
    <w:rsid w:val="000A6FEC"/>
    <w:rsid w:val="000A7058"/>
    <w:rsid w:val="000A70DA"/>
    <w:rsid w:val="000A7104"/>
    <w:rsid w:val="000A7237"/>
    <w:rsid w:val="000A72EA"/>
    <w:rsid w:val="000A7530"/>
    <w:rsid w:val="000A7699"/>
    <w:rsid w:val="000A78B2"/>
    <w:rsid w:val="000A7E91"/>
    <w:rsid w:val="000B0288"/>
    <w:rsid w:val="000B0364"/>
    <w:rsid w:val="000B05EC"/>
    <w:rsid w:val="000B0A4D"/>
    <w:rsid w:val="000B0AB5"/>
    <w:rsid w:val="000B1242"/>
    <w:rsid w:val="000B12D2"/>
    <w:rsid w:val="000B179C"/>
    <w:rsid w:val="000B1971"/>
    <w:rsid w:val="000B1D49"/>
    <w:rsid w:val="000B211E"/>
    <w:rsid w:val="000B21C8"/>
    <w:rsid w:val="000B234D"/>
    <w:rsid w:val="000B23EE"/>
    <w:rsid w:val="000B24D9"/>
    <w:rsid w:val="000B2697"/>
    <w:rsid w:val="000B269C"/>
    <w:rsid w:val="000B277D"/>
    <w:rsid w:val="000B27A0"/>
    <w:rsid w:val="000B295B"/>
    <w:rsid w:val="000B29F1"/>
    <w:rsid w:val="000B2DAB"/>
    <w:rsid w:val="000B2EAD"/>
    <w:rsid w:val="000B2F10"/>
    <w:rsid w:val="000B3081"/>
    <w:rsid w:val="000B30AF"/>
    <w:rsid w:val="000B30B5"/>
    <w:rsid w:val="000B30ED"/>
    <w:rsid w:val="000B31E7"/>
    <w:rsid w:val="000B31F5"/>
    <w:rsid w:val="000B33B3"/>
    <w:rsid w:val="000B3535"/>
    <w:rsid w:val="000B35B3"/>
    <w:rsid w:val="000B39D3"/>
    <w:rsid w:val="000B3A71"/>
    <w:rsid w:val="000B3CDC"/>
    <w:rsid w:val="000B3E09"/>
    <w:rsid w:val="000B4245"/>
    <w:rsid w:val="000B42CE"/>
    <w:rsid w:val="000B452F"/>
    <w:rsid w:val="000B4836"/>
    <w:rsid w:val="000B4A51"/>
    <w:rsid w:val="000B4CAA"/>
    <w:rsid w:val="000B4D40"/>
    <w:rsid w:val="000B4DFC"/>
    <w:rsid w:val="000B4E94"/>
    <w:rsid w:val="000B4EC9"/>
    <w:rsid w:val="000B5022"/>
    <w:rsid w:val="000B5092"/>
    <w:rsid w:val="000B5096"/>
    <w:rsid w:val="000B5143"/>
    <w:rsid w:val="000B52B9"/>
    <w:rsid w:val="000B5560"/>
    <w:rsid w:val="000B5709"/>
    <w:rsid w:val="000B5A25"/>
    <w:rsid w:val="000B5A9B"/>
    <w:rsid w:val="000B5B6A"/>
    <w:rsid w:val="000B5E48"/>
    <w:rsid w:val="000B5E5F"/>
    <w:rsid w:val="000B606A"/>
    <w:rsid w:val="000B629D"/>
    <w:rsid w:val="000B634E"/>
    <w:rsid w:val="000B667A"/>
    <w:rsid w:val="000B6740"/>
    <w:rsid w:val="000B6762"/>
    <w:rsid w:val="000B6795"/>
    <w:rsid w:val="000B69D1"/>
    <w:rsid w:val="000B6C8D"/>
    <w:rsid w:val="000B6FB4"/>
    <w:rsid w:val="000B71C2"/>
    <w:rsid w:val="000B726F"/>
    <w:rsid w:val="000B72C4"/>
    <w:rsid w:val="000B732A"/>
    <w:rsid w:val="000B7486"/>
    <w:rsid w:val="000B74B3"/>
    <w:rsid w:val="000B752B"/>
    <w:rsid w:val="000B7553"/>
    <w:rsid w:val="000B75E4"/>
    <w:rsid w:val="000B78C5"/>
    <w:rsid w:val="000B792A"/>
    <w:rsid w:val="000B7C65"/>
    <w:rsid w:val="000B7ED2"/>
    <w:rsid w:val="000B7F39"/>
    <w:rsid w:val="000B7F4E"/>
    <w:rsid w:val="000C01A9"/>
    <w:rsid w:val="000C0298"/>
    <w:rsid w:val="000C03FE"/>
    <w:rsid w:val="000C04E6"/>
    <w:rsid w:val="000C06F2"/>
    <w:rsid w:val="000C081A"/>
    <w:rsid w:val="000C0CE1"/>
    <w:rsid w:val="000C0E81"/>
    <w:rsid w:val="000C0EF0"/>
    <w:rsid w:val="000C0FD9"/>
    <w:rsid w:val="000C1182"/>
    <w:rsid w:val="000C123D"/>
    <w:rsid w:val="000C12FF"/>
    <w:rsid w:val="000C139C"/>
    <w:rsid w:val="000C16B3"/>
    <w:rsid w:val="000C191B"/>
    <w:rsid w:val="000C19D4"/>
    <w:rsid w:val="000C1A17"/>
    <w:rsid w:val="000C1A72"/>
    <w:rsid w:val="000C1B1F"/>
    <w:rsid w:val="000C1C8B"/>
    <w:rsid w:val="000C1F62"/>
    <w:rsid w:val="000C2007"/>
    <w:rsid w:val="000C2196"/>
    <w:rsid w:val="000C2224"/>
    <w:rsid w:val="000C2344"/>
    <w:rsid w:val="000C235D"/>
    <w:rsid w:val="000C23B0"/>
    <w:rsid w:val="000C24D9"/>
    <w:rsid w:val="000C25BC"/>
    <w:rsid w:val="000C2915"/>
    <w:rsid w:val="000C2A1E"/>
    <w:rsid w:val="000C2A38"/>
    <w:rsid w:val="000C2B0A"/>
    <w:rsid w:val="000C2B2A"/>
    <w:rsid w:val="000C2B46"/>
    <w:rsid w:val="000C2BC1"/>
    <w:rsid w:val="000C2BF2"/>
    <w:rsid w:val="000C2C3E"/>
    <w:rsid w:val="000C2E5F"/>
    <w:rsid w:val="000C31B6"/>
    <w:rsid w:val="000C337C"/>
    <w:rsid w:val="000C345B"/>
    <w:rsid w:val="000C349D"/>
    <w:rsid w:val="000C366D"/>
    <w:rsid w:val="000C3690"/>
    <w:rsid w:val="000C38DF"/>
    <w:rsid w:val="000C3A16"/>
    <w:rsid w:val="000C3A2C"/>
    <w:rsid w:val="000C4183"/>
    <w:rsid w:val="000C429E"/>
    <w:rsid w:val="000C43FE"/>
    <w:rsid w:val="000C4D3A"/>
    <w:rsid w:val="000C4FE2"/>
    <w:rsid w:val="000C50B4"/>
    <w:rsid w:val="000C51E6"/>
    <w:rsid w:val="000C5231"/>
    <w:rsid w:val="000C53B1"/>
    <w:rsid w:val="000C53FD"/>
    <w:rsid w:val="000C5562"/>
    <w:rsid w:val="000C55B9"/>
    <w:rsid w:val="000C55E5"/>
    <w:rsid w:val="000C5730"/>
    <w:rsid w:val="000C5748"/>
    <w:rsid w:val="000C5AF1"/>
    <w:rsid w:val="000C5CF3"/>
    <w:rsid w:val="000C608F"/>
    <w:rsid w:val="000C614E"/>
    <w:rsid w:val="000C65DA"/>
    <w:rsid w:val="000C6689"/>
    <w:rsid w:val="000C67CA"/>
    <w:rsid w:val="000C6851"/>
    <w:rsid w:val="000C689B"/>
    <w:rsid w:val="000C6919"/>
    <w:rsid w:val="000C693B"/>
    <w:rsid w:val="000C69D7"/>
    <w:rsid w:val="000C6F0F"/>
    <w:rsid w:val="000C701D"/>
    <w:rsid w:val="000C7023"/>
    <w:rsid w:val="000C7275"/>
    <w:rsid w:val="000C75C5"/>
    <w:rsid w:val="000C76DC"/>
    <w:rsid w:val="000C782D"/>
    <w:rsid w:val="000C78D0"/>
    <w:rsid w:val="000C7980"/>
    <w:rsid w:val="000C7A61"/>
    <w:rsid w:val="000C7B01"/>
    <w:rsid w:val="000C7E43"/>
    <w:rsid w:val="000D00B7"/>
    <w:rsid w:val="000D02F1"/>
    <w:rsid w:val="000D04A2"/>
    <w:rsid w:val="000D04A3"/>
    <w:rsid w:val="000D05FC"/>
    <w:rsid w:val="000D0692"/>
    <w:rsid w:val="000D06ED"/>
    <w:rsid w:val="000D07F6"/>
    <w:rsid w:val="000D08E7"/>
    <w:rsid w:val="000D091B"/>
    <w:rsid w:val="000D09FE"/>
    <w:rsid w:val="000D0ADC"/>
    <w:rsid w:val="000D0ECE"/>
    <w:rsid w:val="000D0F32"/>
    <w:rsid w:val="000D0FA0"/>
    <w:rsid w:val="000D12DF"/>
    <w:rsid w:val="000D13A6"/>
    <w:rsid w:val="000D142D"/>
    <w:rsid w:val="000D15F8"/>
    <w:rsid w:val="000D1672"/>
    <w:rsid w:val="000D16EA"/>
    <w:rsid w:val="000D17BC"/>
    <w:rsid w:val="000D1940"/>
    <w:rsid w:val="000D19D5"/>
    <w:rsid w:val="000D19DA"/>
    <w:rsid w:val="000D1ACC"/>
    <w:rsid w:val="000D1B01"/>
    <w:rsid w:val="000D1B32"/>
    <w:rsid w:val="000D1CB9"/>
    <w:rsid w:val="000D1E3F"/>
    <w:rsid w:val="000D1EB7"/>
    <w:rsid w:val="000D205E"/>
    <w:rsid w:val="000D2081"/>
    <w:rsid w:val="000D2376"/>
    <w:rsid w:val="000D2412"/>
    <w:rsid w:val="000D260F"/>
    <w:rsid w:val="000D2778"/>
    <w:rsid w:val="000D28A8"/>
    <w:rsid w:val="000D29D4"/>
    <w:rsid w:val="000D2EAD"/>
    <w:rsid w:val="000D3102"/>
    <w:rsid w:val="000D3290"/>
    <w:rsid w:val="000D33FA"/>
    <w:rsid w:val="000D35AB"/>
    <w:rsid w:val="000D376F"/>
    <w:rsid w:val="000D388D"/>
    <w:rsid w:val="000D3991"/>
    <w:rsid w:val="000D3A2C"/>
    <w:rsid w:val="000D3B37"/>
    <w:rsid w:val="000D3FAC"/>
    <w:rsid w:val="000D40E9"/>
    <w:rsid w:val="000D42A5"/>
    <w:rsid w:val="000D436B"/>
    <w:rsid w:val="000D4379"/>
    <w:rsid w:val="000D468A"/>
    <w:rsid w:val="000D46AB"/>
    <w:rsid w:val="000D46F8"/>
    <w:rsid w:val="000D485E"/>
    <w:rsid w:val="000D4A65"/>
    <w:rsid w:val="000D4DDF"/>
    <w:rsid w:val="000D5084"/>
    <w:rsid w:val="000D5732"/>
    <w:rsid w:val="000D585B"/>
    <w:rsid w:val="000D587E"/>
    <w:rsid w:val="000D592A"/>
    <w:rsid w:val="000D5AA5"/>
    <w:rsid w:val="000D5C6D"/>
    <w:rsid w:val="000D5D41"/>
    <w:rsid w:val="000D5F96"/>
    <w:rsid w:val="000D603F"/>
    <w:rsid w:val="000D61FB"/>
    <w:rsid w:val="000D654E"/>
    <w:rsid w:val="000D67C4"/>
    <w:rsid w:val="000D69C3"/>
    <w:rsid w:val="000D6CCC"/>
    <w:rsid w:val="000D6CCF"/>
    <w:rsid w:val="000D6D80"/>
    <w:rsid w:val="000D72A6"/>
    <w:rsid w:val="000D7799"/>
    <w:rsid w:val="000D78DC"/>
    <w:rsid w:val="000D78E7"/>
    <w:rsid w:val="000D7A1B"/>
    <w:rsid w:val="000D7A40"/>
    <w:rsid w:val="000D7ADF"/>
    <w:rsid w:val="000D7B8B"/>
    <w:rsid w:val="000D7B94"/>
    <w:rsid w:val="000D7CE0"/>
    <w:rsid w:val="000D7F15"/>
    <w:rsid w:val="000E0291"/>
    <w:rsid w:val="000E04C6"/>
    <w:rsid w:val="000E06FC"/>
    <w:rsid w:val="000E07A2"/>
    <w:rsid w:val="000E0AA8"/>
    <w:rsid w:val="000E0ABF"/>
    <w:rsid w:val="000E0BA9"/>
    <w:rsid w:val="000E0BBA"/>
    <w:rsid w:val="000E12F6"/>
    <w:rsid w:val="000E149A"/>
    <w:rsid w:val="000E161A"/>
    <w:rsid w:val="000E1670"/>
    <w:rsid w:val="000E1782"/>
    <w:rsid w:val="000E1AC7"/>
    <w:rsid w:val="000E2097"/>
    <w:rsid w:val="000E20AD"/>
    <w:rsid w:val="000E2AF4"/>
    <w:rsid w:val="000E2EA9"/>
    <w:rsid w:val="000E2FD6"/>
    <w:rsid w:val="000E3409"/>
    <w:rsid w:val="000E34EA"/>
    <w:rsid w:val="000E35FD"/>
    <w:rsid w:val="000E361F"/>
    <w:rsid w:val="000E3692"/>
    <w:rsid w:val="000E36B1"/>
    <w:rsid w:val="000E36DD"/>
    <w:rsid w:val="000E3721"/>
    <w:rsid w:val="000E3977"/>
    <w:rsid w:val="000E3DA6"/>
    <w:rsid w:val="000E3ED6"/>
    <w:rsid w:val="000E3F92"/>
    <w:rsid w:val="000E3FBC"/>
    <w:rsid w:val="000E403E"/>
    <w:rsid w:val="000E40A7"/>
    <w:rsid w:val="000E4266"/>
    <w:rsid w:val="000E431D"/>
    <w:rsid w:val="000E4666"/>
    <w:rsid w:val="000E4686"/>
    <w:rsid w:val="000E48EB"/>
    <w:rsid w:val="000E4A3E"/>
    <w:rsid w:val="000E4BA2"/>
    <w:rsid w:val="000E4D5F"/>
    <w:rsid w:val="000E4E31"/>
    <w:rsid w:val="000E4E94"/>
    <w:rsid w:val="000E5438"/>
    <w:rsid w:val="000E54DA"/>
    <w:rsid w:val="000E5638"/>
    <w:rsid w:val="000E56E9"/>
    <w:rsid w:val="000E56F0"/>
    <w:rsid w:val="000E58D5"/>
    <w:rsid w:val="000E5CB5"/>
    <w:rsid w:val="000E5D74"/>
    <w:rsid w:val="000E5D96"/>
    <w:rsid w:val="000E5F69"/>
    <w:rsid w:val="000E612E"/>
    <w:rsid w:val="000E626D"/>
    <w:rsid w:val="000E6333"/>
    <w:rsid w:val="000E6338"/>
    <w:rsid w:val="000E6657"/>
    <w:rsid w:val="000E6A7A"/>
    <w:rsid w:val="000E7376"/>
    <w:rsid w:val="000E747F"/>
    <w:rsid w:val="000E758A"/>
    <w:rsid w:val="000E7968"/>
    <w:rsid w:val="000E7CB6"/>
    <w:rsid w:val="000E7CE8"/>
    <w:rsid w:val="000E7E78"/>
    <w:rsid w:val="000E7FC9"/>
    <w:rsid w:val="000F02DC"/>
    <w:rsid w:val="000F033F"/>
    <w:rsid w:val="000F04BA"/>
    <w:rsid w:val="000F077B"/>
    <w:rsid w:val="000F0A11"/>
    <w:rsid w:val="000F0ACC"/>
    <w:rsid w:val="000F0B25"/>
    <w:rsid w:val="000F0C11"/>
    <w:rsid w:val="000F0C49"/>
    <w:rsid w:val="000F0E0A"/>
    <w:rsid w:val="000F0F17"/>
    <w:rsid w:val="000F0FD0"/>
    <w:rsid w:val="000F1389"/>
    <w:rsid w:val="000F13AE"/>
    <w:rsid w:val="000F13DA"/>
    <w:rsid w:val="000F146F"/>
    <w:rsid w:val="000F1657"/>
    <w:rsid w:val="000F1869"/>
    <w:rsid w:val="000F1C2E"/>
    <w:rsid w:val="000F1CE0"/>
    <w:rsid w:val="000F1EAB"/>
    <w:rsid w:val="000F1EF8"/>
    <w:rsid w:val="000F1F91"/>
    <w:rsid w:val="000F1FE0"/>
    <w:rsid w:val="000F2139"/>
    <w:rsid w:val="000F2389"/>
    <w:rsid w:val="000F23E5"/>
    <w:rsid w:val="000F27B8"/>
    <w:rsid w:val="000F28D8"/>
    <w:rsid w:val="000F2A3D"/>
    <w:rsid w:val="000F2BA3"/>
    <w:rsid w:val="000F2CCC"/>
    <w:rsid w:val="000F2F44"/>
    <w:rsid w:val="000F325E"/>
    <w:rsid w:val="000F3414"/>
    <w:rsid w:val="000F368F"/>
    <w:rsid w:val="000F3727"/>
    <w:rsid w:val="000F379C"/>
    <w:rsid w:val="000F383F"/>
    <w:rsid w:val="000F38B8"/>
    <w:rsid w:val="000F3BDA"/>
    <w:rsid w:val="000F3EDB"/>
    <w:rsid w:val="000F40AF"/>
    <w:rsid w:val="000F4210"/>
    <w:rsid w:val="000F42CD"/>
    <w:rsid w:val="000F4343"/>
    <w:rsid w:val="000F439D"/>
    <w:rsid w:val="000F44B4"/>
    <w:rsid w:val="000F4606"/>
    <w:rsid w:val="000F4635"/>
    <w:rsid w:val="000F465D"/>
    <w:rsid w:val="000F4789"/>
    <w:rsid w:val="000F47DE"/>
    <w:rsid w:val="000F489F"/>
    <w:rsid w:val="000F497D"/>
    <w:rsid w:val="000F4AA0"/>
    <w:rsid w:val="000F4CE5"/>
    <w:rsid w:val="000F4D01"/>
    <w:rsid w:val="000F4D2F"/>
    <w:rsid w:val="000F50FA"/>
    <w:rsid w:val="000F5326"/>
    <w:rsid w:val="000F554C"/>
    <w:rsid w:val="000F579F"/>
    <w:rsid w:val="000F5874"/>
    <w:rsid w:val="000F5D69"/>
    <w:rsid w:val="000F5F22"/>
    <w:rsid w:val="000F6203"/>
    <w:rsid w:val="000F63C9"/>
    <w:rsid w:val="000F660F"/>
    <w:rsid w:val="000F66F0"/>
    <w:rsid w:val="000F69BE"/>
    <w:rsid w:val="000F6B36"/>
    <w:rsid w:val="000F6D14"/>
    <w:rsid w:val="000F6D50"/>
    <w:rsid w:val="000F70FC"/>
    <w:rsid w:val="000F7397"/>
    <w:rsid w:val="000F73B1"/>
    <w:rsid w:val="000F73BE"/>
    <w:rsid w:val="000F7567"/>
    <w:rsid w:val="000F77CE"/>
    <w:rsid w:val="000F7B72"/>
    <w:rsid w:val="000F7C63"/>
    <w:rsid w:val="000F7D53"/>
    <w:rsid w:val="000F7F5E"/>
    <w:rsid w:val="000F7FEF"/>
    <w:rsid w:val="00100238"/>
    <w:rsid w:val="00100335"/>
    <w:rsid w:val="001003ED"/>
    <w:rsid w:val="001003FA"/>
    <w:rsid w:val="00100A8F"/>
    <w:rsid w:val="00100CED"/>
    <w:rsid w:val="00100CF3"/>
    <w:rsid w:val="00100D15"/>
    <w:rsid w:val="00100E5C"/>
    <w:rsid w:val="00101081"/>
    <w:rsid w:val="00101107"/>
    <w:rsid w:val="00101152"/>
    <w:rsid w:val="00101434"/>
    <w:rsid w:val="00101615"/>
    <w:rsid w:val="0010169E"/>
    <w:rsid w:val="001018AD"/>
    <w:rsid w:val="001018B1"/>
    <w:rsid w:val="00101B49"/>
    <w:rsid w:val="00101C1B"/>
    <w:rsid w:val="00101E1B"/>
    <w:rsid w:val="00101ED4"/>
    <w:rsid w:val="00102072"/>
    <w:rsid w:val="0010214F"/>
    <w:rsid w:val="0010223D"/>
    <w:rsid w:val="00102A72"/>
    <w:rsid w:val="00102CC1"/>
    <w:rsid w:val="00102D42"/>
    <w:rsid w:val="00102E6A"/>
    <w:rsid w:val="00102F94"/>
    <w:rsid w:val="00102F9C"/>
    <w:rsid w:val="001031A0"/>
    <w:rsid w:val="00103206"/>
    <w:rsid w:val="001032F2"/>
    <w:rsid w:val="001034CF"/>
    <w:rsid w:val="0010352A"/>
    <w:rsid w:val="00103577"/>
    <w:rsid w:val="00103832"/>
    <w:rsid w:val="00103A54"/>
    <w:rsid w:val="00103AFD"/>
    <w:rsid w:val="00103CF4"/>
    <w:rsid w:val="00103DFE"/>
    <w:rsid w:val="00103EC3"/>
    <w:rsid w:val="00104364"/>
    <w:rsid w:val="001045E0"/>
    <w:rsid w:val="001047B7"/>
    <w:rsid w:val="001047B8"/>
    <w:rsid w:val="00104821"/>
    <w:rsid w:val="001049B8"/>
    <w:rsid w:val="00104AEB"/>
    <w:rsid w:val="00104BB0"/>
    <w:rsid w:val="00104BDE"/>
    <w:rsid w:val="00104D74"/>
    <w:rsid w:val="00104D80"/>
    <w:rsid w:val="00105308"/>
    <w:rsid w:val="001053B7"/>
    <w:rsid w:val="0010558A"/>
    <w:rsid w:val="001059FF"/>
    <w:rsid w:val="00105B73"/>
    <w:rsid w:val="00105DAE"/>
    <w:rsid w:val="00105ED2"/>
    <w:rsid w:val="001060AD"/>
    <w:rsid w:val="001061E9"/>
    <w:rsid w:val="00106284"/>
    <w:rsid w:val="001065A0"/>
    <w:rsid w:val="001065A7"/>
    <w:rsid w:val="001066F3"/>
    <w:rsid w:val="001069A6"/>
    <w:rsid w:val="00106CC4"/>
    <w:rsid w:val="00106CC7"/>
    <w:rsid w:val="00106E2C"/>
    <w:rsid w:val="00107172"/>
    <w:rsid w:val="001072C7"/>
    <w:rsid w:val="00107352"/>
    <w:rsid w:val="00107610"/>
    <w:rsid w:val="0010786D"/>
    <w:rsid w:val="00107910"/>
    <w:rsid w:val="0010791F"/>
    <w:rsid w:val="00107A9C"/>
    <w:rsid w:val="00107BC1"/>
    <w:rsid w:val="00107DE1"/>
    <w:rsid w:val="00107F71"/>
    <w:rsid w:val="0011056E"/>
    <w:rsid w:val="0011093E"/>
    <w:rsid w:val="00110B4B"/>
    <w:rsid w:val="00110C72"/>
    <w:rsid w:val="00110D46"/>
    <w:rsid w:val="00110D9D"/>
    <w:rsid w:val="00110EEE"/>
    <w:rsid w:val="0011143C"/>
    <w:rsid w:val="001114FA"/>
    <w:rsid w:val="001117AE"/>
    <w:rsid w:val="0011187E"/>
    <w:rsid w:val="00111B98"/>
    <w:rsid w:val="00111BC2"/>
    <w:rsid w:val="00111C0A"/>
    <w:rsid w:val="00111E93"/>
    <w:rsid w:val="00111EE7"/>
    <w:rsid w:val="001120A8"/>
    <w:rsid w:val="0011215C"/>
    <w:rsid w:val="001122A8"/>
    <w:rsid w:val="00112379"/>
    <w:rsid w:val="0011237B"/>
    <w:rsid w:val="0011247D"/>
    <w:rsid w:val="001124DC"/>
    <w:rsid w:val="00112519"/>
    <w:rsid w:val="001127AA"/>
    <w:rsid w:val="001127FB"/>
    <w:rsid w:val="0011292D"/>
    <w:rsid w:val="00112DCE"/>
    <w:rsid w:val="00112EC5"/>
    <w:rsid w:val="00112F61"/>
    <w:rsid w:val="001135F5"/>
    <w:rsid w:val="00113614"/>
    <w:rsid w:val="0011372B"/>
    <w:rsid w:val="00113785"/>
    <w:rsid w:val="0011385D"/>
    <w:rsid w:val="0011391F"/>
    <w:rsid w:val="00113AD7"/>
    <w:rsid w:val="00113E48"/>
    <w:rsid w:val="00113EB9"/>
    <w:rsid w:val="00113F4C"/>
    <w:rsid w:val="00113F54"/>
    <w:rsid w:val="001140CD"/>
    <w:rsid w:val="001142C8"/>
    <w:rsid w:val="001144E4"/>
    <w:rsid w:val="001147CD"/>
    <w:rsid w:val="00114B77"/>
    <w:rsid w:val="00114B8B"/>
    <w:rsid w:val="0011500B"/>
    <w:rsid w:val="001150AF"/>
    <w:rsid w:val="00115267"/>
    <w:rsid w:val="001154E5"/>
    <w:rsid w:val="00115555"/>
    <w:rsid w:val="001155D0"/>
    <w:rsid w:val="001157F0"/>
    <w:rsid w:val="00115AC8"/>
    <w:rsid w:val="0011603E"/>
    <w:rsid w:val="001164C4"/>
    <w:rsid w:val="00116661"/>
    <w:rsid w:val="001168D6"/>
    <w:rsid w:val="00116E2C"/>
    <w:rsid w:val="00117142"/>
    <w:rsid w:val="001171AA"/>
    <w:rsid w:val="00117493"/>
    <w:rsid w:val="00117980"/>
    <w:rsid w:val="00117BDC"/>
    <w:rsid w:val="00117BF7"/>
    <w:rsid w:val="00120170"/>
    <w:rsid w:val="001201A3"/>
    <w:rsid w:val="001201CE"/>
    <w:rsid w:val="001203C4"/>
    <w:rsid w:val="001205CB"/>
    <w:rsid w:val="001208AD"/>
    <w:rsid w:val="001209AA"/>
    <w:rsid w:val="00120C36"/>
    <w:rsid w:val="00120E29"/>
    <w:rsid w:val="001212A1"/>
    <w:rsid w:val="00121308"/>
    <w:rsid w:val="0012161F"/>
    <w:rsid w:val="00121756"/>
    <w:rsid w:val="00121923"/>
    <w:rsid w:val="00121B72"/>
    <w:rsid w:val="00121F63"/>
    <w:rsid w:val="0012200A"/>
    <w:rsid w:val="0012206B"/>
    <w:rsid w:val="00122131"/>
    <w:rsid w:val="00122272"/>
    <w:rsid w:val="001222C5"/>
    <w:rsid w:val="00122762"/>
    <w:rsid w:val="00122A86"/>
    <w:rsid w:val="00122B0A"/>
    <w:rsid w:val="00122C57"/>
    <w:rsid w:val="00122E31"/>
    <w:rsid w:val="00122F1C"/>
    <w:rsid w:val="00122F29"/>
    <w:rsid w:val="00123001"/>
    <w:rsid w:val="001235F3"/>
    <w:rsid w:val="00123700"/>
    <w:rsid w:val="00123A94"/>
    <w:rsid w:val="00123C2E"/>
    <w:rsid w:val="00123D46"/>
    <w:rsid w:val="00123DB9"/>
    <w:rsid w:val="00124355"/>
    <w:rsid w:val="00124505"/>
    <w:rsid w:val="0012454E"/>
    <w:rsid w:val="00124A27"/>
    <w:rsid w:val="00124A6A"/>
    <w:rsid w:val="00124B49"/>
    <w:rsid w:val="00124B71"/>
    <w:rsid w:val="00124CB3"/>
    <w:rsid w:val="00124D3B"/>
    <w:rsid w:val="00124DC8"/>
    <w:rsid w:val="00124FA8"/>
    <w:rsid w:val="00125062"/>
    <w:rsid w:val="00125187"/>
    <w:rsid w:val="001251B3"/>
    <w:rsid w:val="001251D0"/>
    <w:rsid w:val="001253A3"/>
    <w:rsid w:val="00125690"/>
    <w:rsid w:val="001259DF"/>
    <w:rsid w:val="00125A29"/>
    <w:rsid w:val="00125B77"/>
    <w:rsid w:val="00125D8C"/>
    <w:rsid w:val="00125F1A"/>
    <w:rsid w:val="00125FEA"/>
    <w:rsid w:val="0012629B"/>
    <w:rsid w:val="001263B9"/>
    <w:rsid w:val="001266CA"/>
    <w:rsid w:val="00126BC8"/>
    <w:rsid w:val="00126D01"/>
    <w:rsid w:val="00126DC5"/>
    <w:rsid w:val="00126E93"/>
    <w:rsid w:val="00126E97"/>
    <w:rsid w:val="00127132"/>
    <w:rsid w:val="00127279"/>
    <w:rsid w:val="001272DF"/>
    <w:rsid w:val="00127460"/>
    <w:rsid w:val="00127596"/>
    <w:rsid w:val="00127783"/>
    <w:rsid w:val="001278D0"/>
    <w:rsid w:val="001278EC"/>
    <w:rsid w:val="0012791D"/>
    <w:rsid w:val="00127BC7"/>
    <w:rsid w:val="00127C54"/>
    <w:rsid w:val="00127D94"/>
    <w:rsid w:val="00127E57"/>
    <w:rsid w:val="00127FC8"/>
    <w:rsid w:val="001301E2"/>
    <w:rsid w:val="0013035E"/>
    <w:rsid w:val="001303E0"/>
    <w:rsid w:val="00130474"/>
    <w:rsid w:val="0013053D"/>
    <w:rsid w:val="001305CD"/>
    <w:rsid w:val="001307D5"/>
    <w:rsid w:val="00130A4A"/>
    <w:rsid w:val="00130FB9"/>
    <w:rsid w:val="0013156E"/>
    <w:rsid w:val="001318A9"/>
    <w:rsid w:val="00131C3C"/>
    <w:rsid w:val="00131D77"/>
    <w:rsid w:val="00131DD0"/>
    <w:rsid w:val="00131EC5"/>
    <w:rsid w:val="001322A4"/>
    <w:rsid w:val="001322B2"/>
    <w:rsid w:val="001322C7"/>
    <w:rsid w:val="001324BB"/>
    <w:rsid w:val="0013263F"/>
    <w:rsid w:val="00132737"/>
    <w:rsid w:val="001327E1"/>
    <w:rsid w:val="00132800"/>
    <w:rsid w:val="0013281E"/>
    <w:rsid w:val="00132FE4"/>
    <w:rsid w:val="00132FFC"/>
    <w:rsid w:val="0013304E"/>
    <w:rsid w:val="00133335"/>
    <w:rsid w:val="0013350E"/>
    <w:rsid w:val="00133593"/>
    <w:rsid w:val="00133713"/>
    <w:rsid w:val="00133757"/>
    <w:rsid w:val="00133AFC"/>
    <w:rsid w:val="00133BA4"/>
    <w:rsid w:val="00133BCF"/>
    <w:rsid w:val="00133BD1"/>
    <w:rsid w:val="00133C0A"/>
    <w:rsid w:val="00133C82"/>
    <w:rsid w:val="00133C95"/>
    <w:rsid w:val="00133DB7"/>
    <w:rsid w:val="00133EEF"/>
    <w:rsid w:val="00133FD1"/>
    <w:rsid w:val="00133FDC"/>
    <w:rsid w:val="00134079"/>
    <w:rsid w:val="00134399"/>
    <w:rsid w:val="001346E5"/>
    <w:rsid w:val="001347B5"/>
    <w:rsid w:val="00134B48"/>
    <w:rsid w:val="001352A1"/>
    <w:rsid w:val="00135377"/>
    <w:rsid w:val="001355C7"/>
    <w:rsid w:val="0013595F"/>
    <w:rsid w:val="00135E1F"/>
    <w:rsid w:val="00135E45"/>
    <w:rsid w:val="00135EE6"/>
    <w:rsid w:val="001363FE"/>
    <w:rsid w:val="001366A3"/>
    <w:rsid w:val="00136A44"/>
    <w:rsid w:val="00136B3E"/>
    <w:rsid w:val="00136C18"/>
    <w:rsid w:val="00136CD6"/>
    <w:rsid w:val="00137061"/>
    <w:rsid w:val="00137066"/>
    <w:rsid w:val="00137431"/>
    <w:rsid w:val="001375F4"/>
    <w:rsid w:val="0013763F"/>
    <w:rsid w:val="001376E0"/>
    <w:rsid w:val="001377B2"/>
    <w:rsid w:val="00137B4A"/>
    <w:rsid w:val="00137C6F"/>
    <w:rsid w:val="00137D06"/>
    <w:rsid w:val="00140064"/>
    <w:rsid w:val="00140239"/>
    <w:rsid w:val="0014046A"/>
    <w:rsid w:val="00140471"/>
    <w:rsid w:val="00140520"/>
    <w:rsid w:val="0014052B"/>
    <w:rsid w:val="00140594"/>
    <w:rsid w:val="00140835"/>
    <w:rsid w:val="0014095E"/>
    <w:rsid w:val="00140B15"/>
    <w:rsid w:val="00140B5B"/>
    <w:rsid w:val="00140B84"/>
    <w:rsid w:val="00140D8E"/>
    <w:rsid w:val="00141369"/>
    <w:rsid w:val="00141406"/>
    <w:rsid w:val="001414C3"/>
    <w:rsid w:val="00141620"/>
    <w:rsid w:val="00141676"/>
    <w:rsid w:val="0014183F"/>
    <w:rsid w:val="00141896"/>
    <w:rsid w:val="0014190F"/>
    <w:rsid w:val="001419D5"/>
    <w:rsid w:val="00141AA3"/>
    <w:rsid w:val="00141BB6"/>
    <w:rsid w:val="00141DFE"/>
    <w:rsid w:val="00141EBD"/>
    <w:rsid w:val="00141F5C"/>
    <w:rsid w:val="00141FC5"/>
    <w:rsid w:val="00142075"/>
    <w:rsid w:val="0014244F"/>
    <w:rsid w:val="001428D8"/>
    <w:rsid w:val="00142971"/>
    <w:rsid w:val="00142AE0"/>
    <w:rsid w:val="00142C73"/>
    <w:rsid w:val="00142DDC"/>
    <w:rsid w:val="0014325C"/>
    <w:rsid w:val="001432AA"/>
    <w:rsid w:val="0014337C"/>
    <w:rsid w:val="001436A6"/>
    <w:rsid w:val="00143ACE"/>
    <w:rsid w:val="00143AFC"/>
    <w:rsid w:val="00143C44"/>
    <w:rsid w:val="00143CC9"/>
    <w:rsid w:val="00143F99"/>
    <w:rsid w:val="00144007"/>
    <w:rsid w:val="00144173"/>
    <w:rsid w:val="00144229"/>
    <w:rsid w:val="001446F4"/>
    <w:rsid w:val="0014474F"/>
    <w:rsid w:val="00144946"/>
    <w:rsid w:val="00144A3A"/>
    <w:rsid w:val="00144A85"/>
    <w:rsid w:val="00144ADB"/>
    <w:rsid w:val="00144B3E"/>
    <w:rsid w:val="00144C28"/>
    <w:rsid w:val="00144E69"/>
    <w:rsid w:val="00144E92"/>
    <w:rsid w:val="00144FA6"/>
    <w:rsid w:val="001451B7"/>
    <w:rsid w:val="00145311"/>
    <w:rsid w:val="00145391"/>
    <w:rsid w:val="00145894"/>
    <w:rsid w:val="001458A6"/>
    <w:rsid w:val="00145A2E"/>
    <w:rsid w:val="00145AE8"/>
    <w:rsid w:val="00145EF8"/>
    <w:rsid w:val="00145FB1"/>
    <w:rsid w:val="001465E6"/>
    <w:rsid w:val="001467F8"/>
    <w:rsid w:val="00146806"/>
    <w:rsid w:val="00146C2C"/>
    <w:rsid w:val="00146C49"/>
    <w:rsid w:val="00146CD5"/>
    <w:rsid w:val="00146CDE"/>
    <w:rsid w:val="00147061"/>
    <w:rsid w:val="001472ED"/>
    <w:rsid w:val="0014732E"/>
    <w:rsid w:val="0014737E"/>
    <w:rsid w:val="0014746A"/>
    <w:rsid w:val="001476CD"/>
    <w:rsid w:val="00147715"/>
    <w:rsid w:val="00147898"/>
    <w:rsid w:val="0014795F"/>
    <w:rsid w:val="001479F4"/>
    <w:rsid w:val="00147B8D"/>
    <w:rsid w:val="00147CBB"/>
    <w:rsid w:val="00147CE4"/>
    <w:rsid w:val="00147DA6"/>
    <w:rsid w:val="00147EC3"/>
    <w:rsid w:val="00150234"/>
    <w:rsid w:val="00150598"/>
    <w:rsid w:val="00150879"/>
    <w:rsid w:val="0015093C"/>
    <w:rsid w:val="00150B83"/>
    <w:rsid w:val="00150BA0"/>
    <w:rsid w:val="00150CEA"/>
    <w:rsid w:val="00151167"/>
    <w:rsid w:val="00151187"/>
    <w:rsid w:val="001514DE"/>
    <w:rsid w:val="00151530"/>
    <w:rsid w:val="001515D1"/>
    <w:rsid w:val="001516C8"/>
    <w:rsid w:val="0015170F"/>
    <w:rsid w:val="00151978"/>
    <w:rsid w:val="001519CB"/>
    <w:rsid w:val="00151AE8"/>
    <w:rsid w:val="00151B47"/>
    <w:rsid w:val="00151B73"/>
    <w:rsid w:val="00151B77"/>
    <w:rsid w:val="00151D7F"/>
    <w:rsid w:val="00151F43"/>
    <w:rsid w:val="00151FDD"/>
    <w:rsid w:val="0015230D"/>
    <w:rsid w:val="0015235B"/>
    <w:rsid w:val="001524F8"/>
    <w:rsid w:val="00152682"/>
    <w:rsid w:val="00152867"/>
    <w:rsid w:val="001528C5"/>
    <w:rsid w:val="00152900"/>
    <w:rsid w:val="00152B4A"/>
    <w:rsid w:val="00152BFB"/>
    <w:rsid w:val="00152D0B"/>
    <w:rsid w:val="00152D29"/>
    <w:rsid w:val="00152D8A"/>
    <w:rsid w:val="00152E9A"/>
    <w:rsid w:val="00152FD3"/>
    <w:rsid w:val="00153270"/>
    <w:rsid w:val="001534C2"/>
    <w:rsid w:val="0015353C"/>
    <w:rsid w:val="0015399A"/>
    <w:rsid w:val="00153B8E"/>
    <w:rsid w:val="00153CA8"/>
    <w:rsid w:val="00153E2F"/>
    <w:rsid w:val="00154216"/>
    <w:rsid w:val="001542D4"/>
    <w:rsid w:val="00154652"/>
    <w:rsid w:val="001548B7"/>
    <w:rsid w:val="00154B82"/>
    <w:rsid w:val="00154CA9"/>
    <w:rsid w:val="00154CEC"/>
    <w:rsid w:val="00154E0E"/>
    <w:rsid w:val="00154E21"/>
    <w:rsid w:val="00154F03"/>
    <w:rsid w:val="001550A0"/>
    <w:rsid w:val="0015535A"/>
    <w:rsid w:val="0015560C"/>
    <w:rsid w:val="00155623"/>
    <w:rsid w:val="00155AA2"/>
    <w:rsid w:val="00155C94"/>
    <w:rsid w:val="00155FCD"/>
    <w:rsid w:val="00155FF0"/>
    <w:rsid w:val="0015639F"/>
    <w:rsid w:val="001564D4"/>
    <w:rsid w:val="001565E7"/>
    <w:rsid w:val="0015669B"/>
    <w:rsid w:val="001566F2"/>
    <w:rsid w:val="001569C1"/>
    <w:rsid w:val="00156AA6"/>
    <w:rsid w:val="00156B75"/>
    <w:rsid w:val="00156CAD"/>
    <w:rsid w:val="00156EC4"/>
    <w:rsid w:val="00156ECB"/>
    <w:rsid w:val="00156EF1"/>
    <w:rsid w:val="001570F5"/>
    <w:rsid w:val="00157186"/>
    <w:rsid w:val="0015745D"/>
    <w:rsid w:val="001577BE"/>
    <w:rsid w:val="001577F2"/>
    <w:rsid w:val="00157924"/>
    <w:rsid w:val="00157C42"/>
    <w:rsid w:val="00157CB4"/>
    <w:rsid w:val="00157E04"/>
    <w:rsid w:val="00157E1F"/>
    <w:rsid w:val="00157F29"/>
    <w:rsid w:val="0016013D"/>
    <w:rsid w:val="00160306"/>
    <w:rsid w:val="001603A3"/>
    <w:rsid w:val="001607BF"/>
    <w:rsid w:val="00160840"/>
    <w:rsid w:val="001610AB"/>
    <w:rsid w:val="00161101"/>
    <w:rsid w:val="001611C1"/>
    <w:rsid w:val="00161308"/>
    <w:rsid w:val="00161443"/>
    <w:rsid w:val="00161504"/>
    <w:rsid w:val="00161635"/>
    <w:rsid w:val="00161A57"/>
    <w:rsid w:val="00161B99"/>
    <w:rsid w:val="00161D02"/>
    <w:rsid w:val="00161E44"/>
    <w:rsid w:val="0016200A"/>
    <w:rsid w:val="00162074"/>
    <w:rsid w:val="0016211C"/>
    <w:rsid w:val="00162129"/>
    <w:rsid w:val="00162130"/>
    <w:rsid w:val="00162205"/>
    <w:rsid w:val="001622FE"/>
    <w:rsid w:val="001623CE"/>
    <w:rsid w:val="00162952"/>
    <w:rsid w:val="001629C3"/>
    <w:rsid w:val="00162A93"/>
    <w:rsid w:val="00162B9F"/>
    <w:rsid w:val="00162C36"/>
    <w:rsid w:val="00162DCC"/>
    <w:rsid w:val="001630F6"/>
    <w:rsid w:val="00163152"/>
    <w:rsid w:val="00163337"/>
    <w:rsid w:val="00163447"/>
    <w:rsid w:val="00163623"/>
    <w:rsid w:val="00163766"/>
    <w:rsid w:val="00163818"/>
    <w:rsid w:val="00163864"/>
    <w:rsid w:val="00163880"/>
    <w:rsid w:val="00163A14"/>
    <w:rsid w:val="00163B6E"/>
    <w:rsid w:val="00163DB2"/>
    <w:rsid w:val="001641B7"/>
    <w:rsid w:val="001643CF"/>
    <w:rsid w:val="0016446E"/>
    <w:rsid w:val="001644F9"/>
    <w:rsid w:val="00164A1C"/>
    <w:rsid w:val="00164BB6"/>
    <w:rsid w:val="00164D3E"/>
    <w:rsid w:val="00164D68"/>
    <w:rsid w:val="00164DD2"/>
    <w:rsid w:val="0016500D"/>
    <w:rsid w:val="00165057"/>
    <w:rsid w:val="001653AF"/>
    <w:rsid w:val="0016598A"/>
    <w:rsid w:val="00165997"/>
    <w:rsid w:val="00165A9A"/>
    <w:rsid w:val="00165B31"/>
    <w:rsid w:val="00165B52"/>
    <w:rsid w:val="00165D1F"/>
    <w:rsid w:val="00165ED3"/>
    <w:rsid w:val="00165FBD"/>
    <w:rsid w:val="00166054"/>
    <w:rsid w:val="00166216"/>
    <w:rsid w:val="0016629A"/>
    <w:rsid w:val="0016641E"/>
    <w:rsid w:val="00166895"/>
    <w:rsid w:val="00166A21"/>
    <w:rsid w:val="00166B76"/>
    <w:rsid w:val="00166D97"/>
    <w:rsid w:val="0016782F"/>
    <w:rsid w:val="0016785B"/>
    <w:rsid w:val="0016794F"/>
    <w:rsid w:val="00167BBA"/>
    <w:rsid w:val="00167C4E"/>
    <w:rsid w:val="00170228"/>
    <w:rsid w:val="001702F2"/>
    <w:rsid w:val="0017067D"/>
    <w:rsid w:val="001706BD"/>
    <w:rsid w:val="001708FC"/>
    <w:rsid w:val="0017097F"/>
    <w:rsid w:val="00170CC3"/>
    <w:rsid w:val="00170D5E"/>
    <w:rsid w:val="00171048"/>
    <w:rsid w:val="001713E4"/>
    <w:rsid w:val="001713FF"/>
    <w:rsid w:val="0017140C"/>
    <w:rsid w:val="0017149D"/>
    <w:rsid w:val="0017151E"/>
    <w:rsid w:val="0017179D"/>
    <w:rsid w:val="00171841"/>
    <w:rsid w:val="00171AA7"/>
    <w:rsid w:val="00171B80"/>
    <w:rsid w:val="00171C0A"/>
    <w:rsid w:val="00171DEA"/>
    <w:rsid w:val="00171DFD"/>
    <w:rsid w:val="00171E1A"/>
    <w:rsid w:val="00171EAB"/>
    <w:rsid w:val="00171ECB"/>
    <w:rsid w:val="00172011"/>
    <w:rsid w:val="001721EA"/>
    <w:rsid w:val="00172690"/>
    <w:rsid w:val="0017276A"/>
    <w:rsid w:val="00172A15"/>
    <w:rsid w:val="00172AA8"/>
    <w:rsid w:val="00172B23"/>
    <w:rsid w:val="001732CD"/>
    <w:rsid w:val="001732DA"/>
    <w:rsid w:val="00173515"/>
    <w:rsid w:val="00173589"/>
    <w:rsid w:val="0017358E"/>
    <w:rsid w:val="00173860"/>
    <w:rsid w:val="001739EC"/>
    <w:rsid w:val="00173CF1"/>
    <w:rsid w:val="0017416C"/>
    <w:rsid w:val="001741FE"/>
    <w:rsid w:val="00174305"/>
    <w:rsid w:val="00174312"/>
    <w:rsid w:val="00174424"/>
    <w:rsid w:val="0017461C"/>
    <w:rsid w:val="001746DB"/>
    <w:rsid w:val="00174C38"/>
    <w:rsid w:val="00174CE1"/>
    <w:rsid w:val="00174D7D"/>
    <w:rsid w:val="00174DA9"/>
    <w:rsid w:val="00174F10"/>
    <w:rsid w:val="00175056"/>
    <w:rsid w:val="0017560E"/>
    <w:rsid w:val="00175694"/>
    <w:rsid w:val="0017572D"/>
    <w:rsid w:val="001758E4"/>
    <w:rsid w:val="00175903"/>
    <w:rsid w:val="001759B8"/>
    <w:rsid w:val="00175B4C"/>
    <w:rsid w:val="00175BAC"/>
    <w:rsid w:val="00175C0E"/>
    <w:rsid w:val="00175CE6"/>
    <w:rsid w:val="0017612C"/>
    <w:rsid w:val="001762F8"/>
    <w:rsid w:val="00176408"/>
    <w:rsid w:val="00176413"/>
    <w:rsid w:val="00176435"/>
    <w:rsid w:val="001765EA"/>
    <w:rsid w:val="00176899"/>
    <w:rsid w:val="00176986"/>
    <w:rsid w:val="00176AAE"/>
    <w:rsid w:val="00176CBA"/>
    <w:rsid w:val="00176DE2"/>
    <w:rsid w:val="00176FCA"/>
    <w:rsid w:val="00177135"/>
    <w:rsid w:val="001772AA"/>
    <w:rsid w:val="00177306"/>
    <w:rsid w:val="00177583"/>
    <w:rsid w:val="001775BF"/>
    <w:rsid w:val="0017793A"/>
    <w:rsid w:val="00177947"/>
    <w:rsid w:val="00177A91"/>
    <w:rsid w:val="00177CDF"/>
    <w:rsid w:val="00177E97"/>
    <w:rsid w:val="00180106"/>
    <w:rsid w:val="00180171"/>
    <w:rsid w:val="00180195"/>
    <w:rsid w:val="00180381"/>
    <w:rsid w:val="00180645"/>
    <w:rsid w:val="00180683"/>
    <w:rsid w:val="001807D6"/>
    <w:rsid w:val="0018085F"/>
    <w:rsid w:val="001808CA"/>
    <w:rsid w:val="00180908"/>
    <w:rsid w:val="00180CBA"/>
    <w:rsid w:val="00180ED7"/>
    <w:rsid w:val="00180EED"/>
    <w:rsid w:val="00180F5F"/>
    <w:rsid w:val="00181257"/>
    <w:rsid w:val="00181334"/>
    <w:rsid w:val="0018168B"/>
    <w:rsid w:val="001818F2"/>
    <w:rsid w:val="00181B6A"/>
    <w:rsid w:val="00181D89"/>
    <w:rsid w:val="00181EB9"/>
    <w:rsid w:val="00181F00"/>
    <w:rsid w:val="00181F21"/>
    <w:rsid w:val="00181F7A"/>
    <w:rsid w:val="00182486"/>
    <w:rsid w:val="001824E3"/>
    <w:rsid w:val="00182F91"/>
    <w:rsid w:val="00183197"/>
    <w:rsid w:val="001833F6"/>
    <w:rsid w:val="0018356B"/>
    <w:rsid w:val="001835B7"/>
    <w:rsid w:val="001835BC"/>
    <w:rsid w:val="00183A8A"/>
    <w:rsid w:val="00183B4E"/>
    <w:rsid w:val="00183CF2"/>
    <w:rsid w:val="00183F8A"/>
    <w:rsid w:val="00183F9B"/>
    <w:rsid w:val="0018403A"/>
    <w:rsid w:val="001840E3"/>
    <w:rsid w:val="001841D9"/>
    <w:rsid w:val="001843F6"/>
    <w:rsid w:val="001844EB"/>
    <w:rsid w:val="001846ED"/>
    <w:rsid w:val="00184761"/>
    <w:rsid w:val="00184935"/>
    <w:rsid w:val="00184A06"/>
    <w:rsid w:val="00184A16"/>
    <w:rsid w:val="00184BFD"/>
    <w:rsid w:val="00184D50"/>
    <w:rsid w:val="00184DF1"/>
    <w:rsid w:val="00185272"/>
    <w:rsid w:val="001852A0"/>
    <w:rsid w:val="0018536C"/>
    <w:rsid w:val="00185C36"/>
    <w:rsid w:val="00185E4A"/>
    <w:rsid w:val="00185F90"/>
    <w:rsid w:val="00185FC7"/>
    <w:rsid w:val="001862FB"/>
    <w:rsid w:val="001865B7"/>
    <w:rsid w:val="001866DD"/>
    <w:rsid w:val="001866E1"/>
    <w:rsid w:val="00186A4E"/>
    <w:rsid w:val="00186F97"/>
    <w:rsid w:val="001871F3"/>
    <w:rsid w:val="0018750E"/>
    <w:rsid w:val="001875D1"/>
    <w:rsid w:val="0018794B"/>
    <w:rsid w:val="00187B69"/>
    <w:rsid w:val="00187D3F"/>
    <w:rsid w:val="00187D69"/>
    <w:rsid w:val="00187DA7"/>
    <w:rsid w:val="00187F0F"/>
    <w:rsid w:val="0019001F"/>
    <w:rsid w:val="001905A3"/>
    <w:rsid w:val="001905EB"/>
    <w:rsid w:val="00190A00"/>
    <w:rsid w:val="00190A4A"/>
    <w:rsid w:val="00190D53"/>
    <w:rsid w:val="00190E7C"/>
    <w:rsid w:val="001914D0"/>
    <w:rsid w:val="00191697"/>
    <w:rsid w:val="00191790"/>
    <w:rsid w:val="001917FC"/>
    <w:rsid w:val="00191B69"/>
    <w:rsid w:val="00191DA6"/>
    <w:rsid w:val="00191DFB"/>
    <w:rsid w:val="00191E95"/>
    <w:rsid w:val="00191F2D"/>
    <w:rsid w:val="001920B5"/>
    <w:rsid w:val="0019216B"/>
    <w:rsid w:val="00192234"/>
    <w:rsid w:val="0019229A"/>
    <w:rsid w:val="001925C6"/>
    <w:rsid w:val="00192743"/>
    <w:rsid w:val="00192C3B"/>
    <w:rsid w:val="00192FCF"/>
    <w:rsid w:val="00193017"/>
    <w:rsid w:val="001935B8"/>
    <w:rsid w:val="00193647"/>
    <w:rsid w:val="00193762"/>
    <w:rsid w:val="001937DA"/>
    <w:rsid w:val="00193840"/>
    <w:rsid w:val="00193995"/>
    <w:rsid w:val="00193B08"/>
    <w:rsid w:val="00193CCF"/>
    <w:rsid w:val="00193F09"/>
    <w:rsid w:val="00194030"/>
    <w:rsid w:val="00194178"/>
    <w:rsid w:val="001942A5"/>
    <w:rsid w:val="00194353"/>
    <w:rsid w:val="00194354"/>
    <w:rsid w:val="00194390"/>
    <w:rsid w:val="001947BA"/>
    <w:rsid w:val="00194929"/>
    <w:rsid w:val="001949CF"/>
    <w:rsid w:val="00194AF4"/>
    <w:rsid w:val="00194C39"/>
    <w:rsid w:val="00194D9D"/>
    <w:rsid w:val="0019502F"/>
    <w:rsid w:val="001957C6"/>
    <w:rsid w:val="00195845"/>
    <w:rsid w:val="00195994"/>
    <w:rsid w:val="00195A6E"/>
    <w:rsid w:val="00195AAA"/>
    <w:rsid w:val="00195B79"/>
    <w:rsid w:val="00195BC2"/>
    <w:rsid w:val="00195D2E"/>
    <w:rsid w:val="00195D7F"/>
    <w:rsid w:val="00196010"/>
    <w:rsid w:val="00196084"/>
    <w:rsid w:val="001962D7"/>
    <w:rsid w:val="001964BF"/>
    <w:rsid w:val="0019666A"/>
    <w:rsid w:val="0019670A"/>
    <w:rsid w:val="001967AE"/>
    <w:rsid w:val="00196838"/>
    <w:rsid w:val="00196C1F"/>
    <w:rsid w:val="00196CC2"/>
    <w:rsid w:val="00196D5F"/>
    <w:rsid w:val="00196F2E"/>
    <w:rsid w:val="00196FFF"/>
    <w:rsid w:val="00197063"/>
    <w:rsid w:val="001972F2"/>
    <w:rsid w:val="0019741C"/>
    <w:rsid w:val="00197577"/>
    <w:rsid w:val="001975A0"/>
    <w:rsid w:val="001977F1"/>
    <w:rsid w:val="00197A0F"/>
    <w:rsid w:val="00197B70"/>
    <w:rsid w:val="00197D17"/>
    <w:rsid w:val="00197DDA"/>
    <w:rsid w:val="001A01C1"/>
    <w:rsid w:val="001A05FC"/>
    <w:rsid w:val="001A0964"/>
    <w:rsid w:val="001A09FC"/>
    <w:rsid w:val="001A0A6A"/>
    <w:rsid w:val="001A0BFA"/>
    <w:rsid w:val="001A0CFA"/>
    <w:rsid w:val="001A0E7F"/>
    <w:rsid w:val="001A0F35"/>
    <w:rsid w:val="001A1250"/>
    <w:rsid w:val="001A1431"/>
    <w:rsid w:val="001A149F"/>
    <w:rsid w:val="001A162C"/>
    <w:rsid w:val="001A1A4B"/>
    <w:rsid w:val="001A1AB8"/>
    <w:rsid w:val="001A1B1C"/>
    <w:rsid w:val="001A1E76"/>
    <w:rsid w:val="001A1EC2"/>
    <w:rsid w:val="001A21EC"/>
    <w:rsid w:val="001A240B"/>
    <w:rsid w:val="001A241A"/>
    <w:rsid w:val="001A25F1"/>
    <w:rsid w:val="001A272F"/>
    <w:rsid w:val="001A27FE"/>
    <w:rsid w:val="001A28BF"/>
    <w:rsid w:val="001A292A"/>
    <w:rsid w:val="001A2E11"/>
    <w:rsid w:val="001A2E1B"/>
    <w:rsid w:val="001A2F07"/>
    <w:rsid w:val="001A3182"/>
    <w:rsid w:val="001A31D3"/>
    <w:rsid w:val="001A3254"/>
    <w:rsid w:val="001A35D3"/>
    <w:rsid w:val="001A35D8"/>
    <w:rsid w:val="001A371A"/>
    <w:rsid w:val="001A3B34"/>
    <w:rsid w:val="001A3BDC"/>
    <w:rsid w:val="001A3C29"/>
    <w:rsid w:val="001A4175"/>
    <w:rsid w:val="001A45F7"/>
    <w:rsid w:val="001A45FD"/>
    <w:rsid w:val="001A49AE"/>
    <w:rsid w:val="001A4A38"/>
    <w:rsid w:val="001A4AF6"/>
    <w:rsid w:val="001A539C"/>
    <w:rsid w:val="001A5712"/>
    <w:rsid w:val="001A576D"/>
    <w:rsid w:val="001A5EC7"/>
    <w:rsid w:val="001A6255"/>
    <w:rsid w:val="001A6401"/>
    <w:rsid w:val="001A641E"/>
    <w:rsid w:val="001A67BC"/>
    <w:rsid w:val="001A6918"/>
    <w:rsid w:val="001A6A49"/>
    <w:rsid w:val="001A6B0E"/>
    <w:rsid w:val="001A6B3B"/>
    <w:rsid w:val="001A6BD6"/>
    <w:rsid w:val="001A6D56"/>
    <w:rsid w:val="001A6F32"/>
    <w:rsid w:val="001A70DC"/>
    <w:rsid w:val="001A7443"/>
    <w:rsid w:val="001A78B3"/>
    <w:rsid w:val="001A7E36"/>
    <w:rsid w:val="001A7EAB"/>
    <w:rsid w:val="001A7F20"/>
    <w:rsid w:val="001A7F4A"/>
    <w:rsid w:val="001B0059"/>
    <w:rsid w:val="001B05D1"/>
    <w:rsid w:val="001B05EF"/>
    <w:rsid w:val="001B06E5"/>
    <w:rsid w:val="001B0715"/>
    <w:rsid w:val="001B080C"/>
    <w:rsid w:val="001B09BF"/>
    <w:rsid w:val="001B1011"/>
    <w:rsid w:val="001B105B"/>
    <w:rsid w:val="001B10F3"/>
    <w:rsid w:val="001B136A"/>
    <w:rsid w:val="001B16A6"/>
    <w:rsid w:val="001B193D"/>
    <w:rsid w:val="001B1F03"/>
    <w:rsid w:val="001B20DF"/>
    <w:rsid w:val="001B2407"/>
    <w:rsid w:val="001B2476"/>
    <w:rsid w:val="001B264E"/>
    <w:rsid w:val="001B2C69"/>
    <w:rsid w:val="001B2DAF"/>
    <w:rsid w:val="001B2E79"/>
    <w:rsid w:val="001B2F3F"/>
    <w:rsid w:val="001B307B"/>
    <w:rsid w:val="001B31C5"/>
    <w:rsid w:val="001B34AB"/>
    <w:rsid w:val="001B38BE"/>
    <w:rsid w:val="001B3B1D"/>
    <w:rsid w:val="001B3B4B"/>
    <w:rsid w:val="001B3B8C"/>
    <w:rsid w:val="001B3E53"/>
    <w:rsid w:val="001B3F0B"/>
    <w:rsid w:val="001B3F34"/>
    <w:rsid w:val="001B3F9B"/>
    <w:rsid w:val="001B409E"/>
    <w:rsid w:val="001B42B9"/>
    <w:rsid w:val="001B4489"/>
    <w:rsid w:val="001B490F"/>
    <w:rsid w:val="001B4A10"/>
    <w:rsid w:val="001B4ACF"/>
    <w:rsid w:val="001B4BD6"/>
    <w:rsid w:val="001B4C0C"/>
    <w:rsid w:val="001B4D47"/>
    <w:rsid w:val="001B4FC7"/>
    <w:rsid w:val="001B50F1"/>
    <w:rsid w:val="001B5361"/>
    <w:rsid w:val="001B54EA"/>
    <w:rsid w:val="001B591C"/>
    <w:rsid w:val="001B5DB8"/>
    <w:rsid w:val="001B5EA7"/>
    <w:rsid w:val="001B602D"/>
    <w:rsid w:val="001B60B1"/>
    <w:rsid w:val="001B649D"/>
    <w:rsid w:val="001B64CF"/>
    <w:rsid w:val="001B663F"/>
    <w:rsid w:val="001B66DA"/>
    <w:rsid w:val="001B6723"/>
    <w:rsid w:val="001B685F"/>
    <w:rsid w:val="001B6AD5"/>
    <w:rsid w:val="001B6C66"/>
    <w:rsid w:val="001B6C92"/>
    <w:rsid w:val="001B6E92"/>
    <w:rsid w:val="001B708C"/>
    <w:rsid w:val="001B715E"/>
    <w:rsid w:val="001B71BB"/>
    <w:rsid w:val="001B73EF"/>
    <w:rsid w:val="001B7613"/>
    <w:rsid w:val="001B7658"/>
    <w:rsid w:val="001B7725"/>
    <w:rsid w:val="001B7841"/>
    <w:rsid w:val="001B79E8"/>
    <w:rsid w:val="001B7C43"/>
    <w:rsid w:val="001B7D09"/>
    <w:rsid w:val="001B7E15"/>
    <w:rsid w:val="001B7F15"/>
    <w:rsid w:val="001C00CA"/>
    <w:rsid w:val="001C02A9"/>
    <w:rsid w:val="001C0372"/>
    <w:rsid w:val="001C054C"/>
    <w:rsid w:val="001C06B9"/>
    <w:rsid w:val="001C0711"/>
    <w:rsid w:val="001C0731"/>
    <w:rsid w:val="001C08B2"/>
    <w:rsid w:val="001C0965"/>
    <w:rsid w:val="001C0B3A"/>
    <w:rsid w:val="001C0DA1"/>
    <w:rsid w:val="001C0DFE"/>
    <w:rsid w:val="001C0E19"/>
    <w:rsid w:val="001C118E"/>
    <w:rsid w:val="001C11ED"/>
    <w:rsid w:val="001C14AC"/>
    <w:rsid w:val="001C16CA"/>
    <w:rsid w:val="001C17BF"/>
    <w:rsid w:val="001C1857"/>
    <w:rsid w:val="001C19D7"/>
    <w:rsid w:val="001C19E0"/>
    <w:rsid w:val="001C1C68"/>
    <w:rsid w:val="001C1E99"/>
    <w:rsid w:val="001C1EEA"/>
    <w:rsid w:val="001C21BE"/>
    <w:rsid w:val="001C226F"/>
    <w:rsid w:val="001C22C7"/>
    <w:rsid w:val="001C2469"/>
    <w:rsid w:val="001C24E3"/>
    <w:rsid w:val="001C2597"/>
    <w:rsid w:val="001C281D"/>
    <w:rsid w:val="001C2A45"/>
    <w:rsid w:val="001C2CF8"/>
    <w:rsid w:val="001C2DA6"/>
    <w:rsid w:val="001C2F13"/>
    <w:rsid w:val="001C2F7F"/>
    <w:rsid w:val="001C311F"/>
    <w:rsid w:val="001C31B4"/>
    <w:rsid w:val="001C330A"/>
    <w:rsid w:val="001C33D5"/>
    <w:rsid w:val="001C34CE"/>
    <w:rsid w:val="001C3513"/>
    <w:rsid w:val="001C384A"/>
    <w:rsid w:val="001C3998"/>
    <w:rsid w:val="001C3BF9"/>
    <w:rsid w:val="001C3CC7"/>
    <w:rsid w:val="001C3D73"/>
    <w:rsid w:val="001C3DE7"/>
    <w:rsid w:val="001C3DFD"/>
    <w:rsid w:val="001C4076"/>
    <w:rsid w:val="001C41D8"/>
    <w:rsid w:val="001C434A"/>
    <w:rsid w:val="001C44C9"/>
    <w:rsid w:val="001C4518"/>
    <w:rsid w:val="001C4581"/>
    <w:rsid w:val="001C4676"/>
    <w:rsid w:val="001C47EC"/>
    <w:rsid w:val="001C48D7"/>
    <w:rsid w:val="001C4A75"/>
    <w:rsid w:val="001C4AF5"/>
    <w:rsid w:val="001C4D78"/>
    <w:rsid w:val="001C4F91"/>
    <w:rsid w:val="001C4FB2"/>
    <w:rsid w:val="001C5087"/>
    <w:rsid w:val="001C508D"/>
    <w:rsid w:val="001C5341"/>
    <w:rsid w:val="001C55BD"/>
    <w:rsid w:val="001C57D0"/>
    <w:rsid w:val="001C5B2C"/>
    <w:rsid w:val="001C5C85"/>
    <w:rsid w:val="001C5D02"/>
    <w:rsid w:val="001C5D0A"/>
    <w:rsid w:val="001C5D7A"/>
    <w:rsid w:val="001C5D8A"/>
    <w:rsid w:val="001C5DD9"/>
    <w:rsid w:val="001C5E92"/>
    <w:rsid w:val="001C5F93"/>
    <w:rsid w:val="001C5FCC"/>
    <w:rsid w:val="001C603F"/>
    <w:rsid w:val="001C60D3"/>
    <w:rsid w:val="001C61FD"/>
    <w:rsid w:val="001C63A5"/>
    <w:rsid w:val="001C63B4"/>
    <w:rsid w:val="001C63CE"/>
    <w:rsid w:val="001C6900"/>
    <w:rsid w:val="001C6A97"/>
    <w:rsid w:val="001C6BE6"/>
    <w:rsid w:val="001C6DD7"/>
    <w:rsid w:val="001C6DE2"/>
    <w:rsid w:val="001C6FA3"/>
    <w:rsid w:val="001C7297"/>
    <w:rsid w:val="001C72CF"/>
    <w:rsid w:val="001C74E1"/>
    <w:rsid w:val="001C75E2"/>
    <w:rsid w:val="001C767A"/>
    <w:rsid w:val="001C7692"/>
    <w:rsid w:val="001C76E5"/>
    <w:rsid w:val="001C7A41"/>
    <w:rsid w:val="001C7AE0"/>
    <w:rsid w:val="001C7BC7"/>
    <w:rsid w:val="001C7CC1"/>
    <w:rsid w:val="001C7F89"/>
    <w:rsid w:val="001D0105"/>
    <w:rsid w:val="001D0152"/>
    <w:rsid w:val="001D018B"/>
    <w:rsid w:val="001D0262"/>
    <w:rsid w:val="001D02B3"/>
    <w:rsid w:val="001D02FA"/>
    <w:rsid w:val="001D03F2"/>
    <w:rsid w:val="001D058F"/>
    <w:rsid w:val="001D093B"/>
    <w:rsid w:val="001D0B8D"/>
    <w:rsid w:val="001D0E36"/>
    <w:rsid w:val="001D0F13"/>
    <w:rsid w:val="001D0F25"/>
    <w:rsid w:val="001D11F4"/>
    <w:rsid w:val="001D1235"/>
    <w:rsid w:val="001D12F5"/>
    <w:rsid w:val="001D1394"/>
    <w:rsid w:val="001D14F0"/>
    <w:rsid w:val="001D170E"/>
    <w:rsid w:val="001D1A0C"/>
    <w:rsid w:val="001D1A27"/>
    <w:rsid w:val="001D1C37"/>
    <w:rsid w:val="001D1D5A"/>
    <w:rsid w:val="001D1E44"/>
    <w:rsid w:val="001D1F85"/>
    <w:rsid w:val="001D2166"/>
    <w:rsid w:val="001D226E"/>
    <w:rsid w:val="001D23E4"/>
    <w:rsid w:val="001D2AF0"/>
    <w:rsid w:val="001D2E62"/>
    <w:rsid w:val="001D2FCE"/>
    <w:rsid w:val="001D31C5"/>
    <w:rsid w:val="001D3205"/>
    <w:rsid w:val="001D329E"/>
    <w:rsid w:val="001D32A6"/>
    <w:rsid w:val="001D348F"/>
    <w:rsid w:val="001D38AB"/>
    <w:rsid w:val="001D39A1"/>
    <w:rsid w:val="001D3A04"/>
    <w:rsid w:val="001D3CE1"/>
    <w:rsid w:val="001D3DBB"/>
    <w:rsid w:val="001D4299"/>
    <w:rsid w:val="001D44FA"/>
    <w:rsid w:val="001D4637"/>
    <w:rsid w:val="001D46D5"/>
    <w:rsid w:val="001D471D"/>
    <w:rsid w:val="001D481A"/>
    <w:rsid w:val="001D4AA3"/>
    <w:rsid w:val="001D4D31"/>
    <w:rsid w:val="001D52B3"/>
    <w:rsid w:val="001D5511"/>
    <w:rsid w:val="001D552A"/>
    <w:rsid w:val="001D552B"/>
    <w:rsid w:val="001D5573"/>
    <w:rsid w:val="001D5837"/>
    <w:rsid w:val="001D588F"/>
    <w:rsid w:val="001D5EFA"/>
    <w:rsid w:val="001D619E"/>
    <w:rsid w:val="001D62E2"/>
    <w:rsid w:val="001D649E"/>
    <w:rsid w:val="001D675D"/>
    <w:rsid w:val="001D6A06"/>
    <w:rsid w:val="001D6BCF"/>
    <w:rsid w:val="001D6D31"/>
    <w:rsid w:val="001D6D7E"/>
    <w:rsid w:val="001D6E90"/>
    <w:rsid w:val="001D6F29"/>
    <w:rsid w:val="001D7022"/>
    <w:rsid w:val="001D705F"/>
    <w:rsid w:val="001D7217"/>
    <w:rsid w:val="001D7287"/>
    <w:rsid w:val="001D7B34"/>
    <w:rsid w:val="001D7DB8"/>
    <w:rsid w:val="001D7F94"/>
    <w:rsid w:val="001D7FA6"/>
    <w:rsid w:val="001E01AE"/>
    <w:rsid w:val="001E01E7"/>
    <w:rsid w:val="001E0380"/>
    <w:rsid w:val="001E03E5"/>
    <w:rsid w:val="001E065D"/>
    <w:rsid w:val="001E066B"/>
    <w:rsid w:val="001E0938"/>
    <w:rsid w:val="001E09EF"/>
    <w:rsid w:val="001E0AE7"/>
    <w:rsid w:val="001E0DB5"/>
    <w:rsid w:val="001E0DBA"/>
    <w:rsid w:val="001E14FF"/>
    <w:rsid w:val="001E157B"/>
    <w:rsid w:val="001E15DF"/>
    <w:rsid w:val="001E1752"/>
    <w:rsid w:val="001E18C1"/>
    <w:rsid w:val="001E198C"/>
    <w:rsid w:val="001E1AB4"/>
    <w:rsid w:val="001E1B17"/>
    <w:rsid w:val="001E201D"/>
    <w:rsid w:val="001E239C"/>
    <w:rsid w:val="001E256D"/>
    <w:rsid w:val="001E26C9"/>
    <w:rsid w:val="001E289C"/>
    <w:rsid w:val="001E2C90"/>
    <w:rsid w:val="001E2D5D"/>
    <w:rsid w:val="001E2ECB"/>
    <w:rsid w:val="001E2EF8"/>
    <w:rsid w:val="001E3127"/>
    <w:rsid w:val="001E3468"/>
    <w:rsid w:val="001E34A1"/>
    <w:rsid w:val="001E39B7"/>
    <w:rsid w:val="001E3D74"/>
    <w:rsid w:val="001E3F50"/>
    <w:rsid w:val="001E3F9F"/>
    <w:rsid w:val="001E3FF7"/>
    <w:rsid w:val="001E41C0"/>
    <w:rsid w:val="001E42AF"/>
    <w:rsid w:val="001E4384"/>
    <w:rsid w:val="001E4452"/>
    <w:rsid w:val="001E45D9"/>
    <w:rsid w:val="001E4652"/>
    <w:rsid w:val="001E470F"/>
    <w:rsid w:val="001E4940"/>
    <w:rsid w:val="001E4A7D"/>
    <w:rsid w:val="001E4AAC"/>
    <w:rsid w:val="001E4E0D"/>
    <w:rsid w:val="001E4EF5"/>
    <w:rsid w:val="001E4F54"/>
    <w:rsid w:val="001E50CE"/>
    <w:rsid w:val="001E50EB"/>
    <w:rsid w:val="001E5369"/>
    <w:rsid w:val="001E53D6"/>
    <w:rsid w:val="001E5602"/>
    <w:rsid w:val="001E5617"/>
    <w:rsid w:val="001E57C8"/>
    <w:rsid w:val="001E5833"/>
    <w:rsid w:val="001E5AA3"/>
    <w:rsid w:val="001E60FC"/>
    <w:rsid w:val="001E61C4"/>
    <w:rsid w:val="001E61E3"/>
    <w:rsid w:val="001E6277"/>
    <w:rsid w:val="001E62CC"/>
    <w:rsid w:val="001E6434"/>
    <w:rsid w:val="001E6559"/>
    <w:rsid w:val="001E67B7"/>
    <w:rsid w:val="001E6A4D"/>
    <w:rsid w:val="001E6CAC"/>
    <w:rsid w:val="001E7153"/>
    <w:rsid w:val="001E7418"/>
    <w:rsid w:val="001E76C8"/>
    <w:rsid w:val="001E77A0"/>
    <w:rsid w:val="001E77DF"/>
    <w:rsid w:val="001E7821"/>
    <w:rsid w:val="001E7EC0"/>
    <w:rsid w:val="001F0057"/>
    <w:rsid w:val="001F012D"/>
    <w:rsid w:val="001F02C8"/>
    <w:rsid w:val="001F03EA"/>
    <w:rsid w:val="001F0525"/>
    <w:rsid w:val="001F05D4"/>
    <w:rsid w:val="001F06A0"/>
    <w:rsid w:val="001F07D7"/>
    <w:rsid w:val="001F089C"/>
    <w:rsid w:val="001F08FC"/>
    <w:rsid w:val="001F0996"/>
    <w:rsid w:val="001F0BE0"/>
    <w:rsid w:val="001F0C2A"/>
    <w:rsid w:val="001F0F43"/>
    <w:rsid w:val="001F102F"/>
    <w:rsid w:val="001F1041"/>
    <w:rsid w:val="001F133C"/>
    <w:rsid w:val="001F16BD"/>
    <w:rsid w:val="001F186F"/>
    <w:rsid w:val="001F19A4"/>
    <w:rsid w:val="001F1A25"/>
    <w:rsid w:val="001F1C8F"/>
    <w:rsid w:val="001F1FB5"/>
    <w:rsid w:val="001F1FD0"/>
    <w:rsid w:val="001F20F0"/>
    <w:rsid w:val="001F23BE"/>
    <w:rsid w:val="001F23D3"/>
    <w:rsid w:val="001F23DF"/>
    <w:rsid w:val="001F244E"/>
    <w:rsid w:val="001F257E"/>
    <w:rsid w:val="001F2657"/>
    <w:rsid w:val="001F279F"/>
    <w:rsid w:val="001F27E8"/>
    <w:rsid w:val="001F281E"/>
    <w:rsid w:val="001F2877"/>
    <w:rsid w:val="001F2BF3"/>
    <w:rsid w:val="001F2E8C"/>
    <w:rsid w:val="001F3255"/>
    <w:rsid w:val="001F3265"/>
    <w:rsid w:val="001F3298"/>
    <w:rsid w:val="001F33B3"/>
    <w:rsid w:val="001F33B4"/>
    <w:rsid w:val="001F3669"/>
    <w:rsid w:val="001F36FA"/>
    <w:rsid w:val="001F389A"/>
    <w:rsid w:val="001F38EB"/>
    <w:rsid w:val="001F3A5D"/>
    <w:rsid w:val="001F3BB8"/>
    <w:rsid w:val="001F3E5A"/>
    <w:rsid w:val="001F3FFD"/>
    <w:rsid w:val="001F4052"/>
    <w:rsid w:val="001F4264"/>
    <w:rsid w:val="001F4340"/>
    <w:rsid w:val="001F4434"/>
    <w:rsid w:val="001F4650"/>
    <w:rsid w:val="001F469A"/>
    <w:rsid w:val="001F4AAE"/>
    <w:rsid w:val="001F4B43"/>
    <w:rsid w:val="001F4D90"/>
    <w:rsid w:val="001F516E"/>
    <w:rsid w:val="001F51E6"/>
    <w:rsid w:val="001F5269"/>
    <w:rsid w:val="001F52D8"/>
    <w:rsid w:val="001F54CA"/>
    <w:rsid w:val="001F54DC"/>
    <w:rsid w:val="001F570D"/>
    <w:rsid w:val="001F5720"/>
    <w:rsid w:val="001F5734"/>
    <w:rsid w:val="001F5746"/>
    <w:rsid w:val="001F57AA"/>
    <w:rsid w:val="001F58A7"/>
    <w:rsid w:val="001F5B8D"/>
    <w:rsid w:val="001F5CF9"/>
    <w:rsid w:val="001F5D11"/>
    <w:rsid w:val="001F5E1C"/>
    <w:rsid w:val="001F5E26"/>
    <w:rsid w:val="001F6074"/>
    <w:rsid w:val="001F63AE"/>
    <w:rsid w:val="001F64ED"/>
    <w:rsid w:val="001F66AD"/>
    <w:rsid w:val="001F6781"/>
    <w:rsid w:val="001F68E1"/>
    <w:rsid w:val="001F6A8A"/>
    <w:rsid w:val="001F6AA2"/>
    <w:rsid w:val="001F6CD3"/>
    <w:rsid w:val="001F6E33"/>
    <w:rsid w:val="001F6FF9"/>
    <w:rsid w:val="001F712A"/>
    <w:rsid w:val="001F7209"/>
    <w:rsid w:val="001F75B1"/>
    <w:rsid w:val="001F77D8"/>
    <w:rsid w:val="001F781F"/>
    <w:rsid w:val="001F78C1"/>
    <w:rsid w:val="001F7A5E"/>
    <w:rsid w:val="001F7CA3"/>
    <w:rsid w:val="001F7D6E"/>
    <w:rsid w:val="002001B3"/>
    <w:rsid w:val="00200AA9"/>
    <w:rsid w:val="00200CC6"/>
    <w:rsid w:val="00200DD3"/>
    <w:rsid w:val="00200F3E"/>
    <w:rsid w:val="00200F85"/>
    <w:rsid w:val="002011D7"/>
    <w:rsid w:val="002015A4"/>
    <w:rsid w:val="00201626"/>
    <w:rsid w:val="00201682"/>
    <w:rsid w:val="00201C53"/>
    <w:rsid w:val="00201ED6"/>
    <w:rsid w:val="00201F4C"/>
    <w:rsid w:val="00201FAA"/>
    <w:rsid w:val="002021EF"/>
    <w:rsid w:val="002022BE"/>
    <w:rsid w:val="0020236B"/>
    <w:rsid w:val="0020239B"/>
    <w:rsid w:val="00202480"/>
    <w:rsid w:val="002024F5"/>
    <w:rsid w:val="00202586"/>
    <w:rsid w:val="002026C2"/>
    <w:rsid w:val="0020296A"/>
    <w:rsid w:val="00202A95"/>
    <w:rsid w:val="00202ABC"/>
    <w:rsid w:val="00203063"/>
    <w:rsid w:val="002030BF"/>
    <w:rsid w:val="002033DD"/>
    <w:rsid w:val="0020355A"/>
    <w:rsid w:val="00203775"/>
    <w:rsid w:val="00203858"/>
    <w:rsid w:val="0020394C"/>
    <w:rsid w:val="00203A85"/>
    <w:rsid w:val="00203B24"/>
    <w:rsid w:val="00203C9B"/>
    <w:rsid w:val="002041CB"/>
    <w:rsid w:val="002043D8"/>
    <w:rsid w:val="0020442A"/>
    <w:rsid w:val="0020445F"/>
    <w:rsid w:val="00204623"/>
    <w:rsid w:val="0020475A"/>
    <w:rsid w:val="00204772"/>
    <w:rsid w:val="00204988"/>
    <w:rsid w:val="00204DF0"/>
    <w:rsid w:val="00204E7E"/>
    <w:rsid w:val="00204EA0"/>
    <w:rsid w:val="0020543B"/>
    <w:rsid w:val="00205713"/>
    <w:rsid w:val="002057E3"/>
    <w:rsid w:val="00205BBE"/>
    <w:rsid w:val="00205C52"/>
    <w:rsid w:val="00205C8D"/>
    <w:rsid w:val="00205CA1"/>
    <w:rsid w:val="00205D11"/>
    <w:rsid w:val="00205D32"/>
    <w:rsid w:val="00205F93"/>
    <w:rsid w:val="00206142"/>
    <w:rsid w:val="00206261"/>
    <w:rsid w:val="00206287"/>
    <w:rsid w:val="0020686F"/>
    <w:rsid w:val="0020693A"/>
    <w:rsid w:val="00206CAB"/>
    <w:rsid w:val="00206CDB"/>
    <w:rsid w:val="00206DF4"/>
    <w:rsid w:val="00206E39"/>
    <w:rsid w:val="00206F0E"/>
    <w:rsid w:val="0020702C"/>
    <w:rsid w:val="0020722C"/>
    <w:rsid w:val="00207350"/>
    <w:rsid w:val="002073B2"/>
    <w:rsid w:val="002077EE"/>
    <w:rsid w:val="00207996"/>
    <w:rsid w:val="00207C06"/>
    <w:rsid w:val="00207C82"/>
    <w:rsid w:val="00207F9E"/>
    <w:rsid w:val="00210164"/>
    <w:rsid w:val="00210258"/>
    <w:rsid w:val="00210811"/>
    <w:rsid w:val="00210932"/>
    <w:rsid w:val="00210969"/>
    <w:rsid w:val="002109A0"/>
    <w:rsid w:val="00210AB6"/>
    <w:rsid w:val="00210B55"/>
    <w:rsid w:val="00210B92"/>
    <w:rsid w:val="00210C0B"/>
    <w:rsid w:val="00210E89"/>
    <w:rsid w:val="002111C0"/>
    <w:rsid w:val="00211455"/>
    <w:rsid w:val="002114DB"/>
    <w:rsid w:val="0021172A"/>
    <w:rsid w:val="00211751"/>
    <w:rsid w:val="002118AC"/>
    <w:rsid w:val="00211A26"/>
    <w:rsid w:val="00211B56"/>
    <w:rsid w:val="00211C3D"/>
    <w:rsid w:val="00211C56"/>
    <w:rsid w:val="00211D3D"/>
    <w:rsid w:val="00211D9A"/>
    <w:rsid w:val="00211ED4"/>
    <w:rsid w:val="00211EE1"/>
    <w:rsid w:val="00211F56"/>
    <w:rsid w:val="00212173"/>
    <w:rsid w:val="0021224A"/>
    <w:rsid w:val="0021232D"/>
    <w:rsid w:val="002127D9"/>
    <w:rsid w:val="00212BF7"/>
    <w:rsid w:val="00212E5A"/>
    <w:rsid w:val="00212EA7"/>
    <w:rsid w:val="00212FA8"/>
    <w:rsid w:val="0021322B"/>
    <w:rsid w:val="0021351C"/>
    <w:rsid w:val="002138B7"/>
    <w:rsid w:val="00213900"/>
    <w:rsid w:val="00213C1B"/>
    <w:rsid w:val="00213C89"/>
    <w:rsid w:val="00213D1E"/>
    <w:rsid w:val="00213EA6"/>
    <w:rsid w:val="002140CD"/>
    <w:rsid w:val="00214159"/>
    <w:rsid w:val="002144DB"/>
    <w:rsid w:val="00214635"/>
    <w:rsid w:val="0021475A"/>
    <w:rsid w:val="00214842"/>
    <w:rsid w:val="00214887"/>
    <w:rsid w:val="00214D2D"/>
    <w:rsid w:val="0021506E"/>
    <w:rsid w:val="0021510F"/>
    <w:rsid w:val="0021531E"/>
    <w:rsid w:val="00215420"/>
    <w:rsid w:val="002155B6"/>
    <w:rsid w:val="0021568C"/>
    <w:rsid w:val="00215711"/>
    <w:rsid w:val="00215786"/>
    <w:rsid w:val="00215980"/>
    <w:rsid w:val="00215A38"/>
    <w:rsid w:val="00215BEE"/>
    <w:rsid w:val="00215BF5"/>
    <w:rsid w:val="00215F88"/>
    <w:rsid w:val="00215FCF"/>
    <w:rsid w:val="0021635B"/>
    <w:rsid w:val="0021644F"/>
    <w:rsid w:val="0021689C"/>
    <w:rsid w:val="002168BD"/>
    <w:rsid w:val="00216A60"/>
    <w:rsid w:val="00216C98"/>
    <w:rsid w:val="00216E2B"/>
    <w:rsid w:val="0021709B"/>
    <w:rsid w:val="0021732F"/>
    <w:rsid w:val="0021743F"/>
    <w:rsid w:val="002174C6"/>
    <w:rsid w:val="002176E9"/>
    <w:rsid w:val="00217713"/>
    <w:rsid w:val="00217A36"/>
    <w:rsid w:val="00217A9E"/>
    <w:rsid w:val="00217F01"/>
    <w:rsid w:val="00217F52"/>
    <w:rsid w:val="00217F69"/>
    <w:rsid w:val="002203EB"/>
    <w:rsid w:val="00220764"/>
    <w:rsid w:val="00220C4B"/>
    <w:rsid w:val="00220CCD"/>
    <w:rsid w:val="00220CDE"/>
    <w:rsid w:val="00220E72"/>
    <w:rsid w:val="00221214"/>
    <w:rsid w:val="002212B9"/>
    <w:rsid w:val="0022144B"/>
    <w:rsid w:val="002214F4"/>
    <w:rsid w:val="002219AF"/>
    <w:rsid w:val="00221A67"/>
    <w:rsid w:val="00221CB9"/>
    <w:rsid w:val="00221D33"/>
    <w:rsid w:val="00221EB5"/>
    <w:rsid w:val="0022200C"/>
    <w:rsid w:val="00222195"/>
    <w:rsid w:val="00222440"/>
    <w:rsid w:val="002224C7"/>
    <w:rsid w:val="0022250B"/>
    <w:rsid w:val="00222687"/>
    <w:rsid w:val="002226DC"/>
    <w:rsid w:val="002227E4"/>
    <w:rsid w:val="00222884"/>
    <w:rsid w:val="00222EB8"/>
    <w:rsid w:val="00222F2A"/>
    <w:rsid w:val="002230B8"/>
    <w:rsid w:val="00223144"/>
    <w:rsid w:val="00223289"/>
    <w:rsid w:val="0022338A"/>
    <w:rsid w:val="0022381D"/>
    <w:rsid w:val="00223827"/>
    <w:rsid w:val="00223A5D"/>
    <w:rsid w:val="00223C4D"/>
    <w:rsid w:val="00223F06"/>
    <w:rsid w:val="00224338"/>
    <w:rsid w:val="0022433E"/>
    <w:rsid w:val="002243DA"/>
    <w:rsid w:val="00224424"/>
    <w:rsid w:val="002244BA"/>
    <w:rsid w:val="0022457B"/>
    <w:rsid w:val="00224B61"/>
    <w:rsid w:val="00224CA2"/>
    <w:rsid w:val="00224F95"/>
    <w:rsid w:val="0022543A"/>
    <w:rsid w:val="00225444"/>
    <w:rsid w:val="00225624"/>
    <w:rsid w:val="00225AFD"/>
    <w:rsid w:val="00225C09"/>
    <w:rsid w:val="00225C67"/>
    <w:rsid w:val="00225EB2"/>
    <w:rsid w:val="00225EFE"/>
    <w:rsid w:val="00226537"/>
    <w:rsid w:val="0022659F"/>
    <w:rsid w:val="002265B3"/>
    <w:rsid w:val="002265D2"/>
    <w:rsid w:val="002265E1"/>
    <w:rsid w:val="00226778"/>
    <w:rsid w:val="00226877"/>
    <w:rsid w:val="002269D1"/>
    <w:rsid w:val="00226C32"/>
    <w:rsid w:val="00226CF7"/>
    <w:rsid w:val="00226E13"/>
    <w:rsid w:val="00226FE7"/>
    <w:rsid w:val="00227060"/>
    <w:rsid w:val="002271AA"/>
    <w:rsid w:val="0022742F"/>
    <w:rsid w:val="0022753D"/>
    <w:rsid w:val="00227B40"/>
    <w:rsid w:val="00230209"/>
    <w:rsid w:val="0023045E"/>
    <w:rsid w:val="0023094B"/>
    <w:rsid w:val="00230A66"/>
    <w:rsid w:val="00230AA6"/>
    <w:rsid w:val="00230AB1"/>
    <w:rsid w:val="00230FBD"/>
    <w:rsid w:val="00231153"/>
    <w:rsid w:val="002311F9"/>
    <w:rsid w:val="00231274"/>
    <w:rsid w:val="002316DE"/>
    <w:rsid w:val="002316EA"/>
    <w:rsid w:val="00231AA1"/>
    <w:rsid w:val="00231AA2"/>
    <w:rsid w:val="00231DAE"/>
    <w:rsid w:val="00231E4C"/>
    <w:rsid w:val="00231FE9"/>
    <w:rsid w:val="00232045"/>
    <w:rsid w:val="002321E3"/>
    <w:rsid w:val="002322BF"/>
    <w:rsid w:val="002322F1"/>
    <w:rsid w:val="00232B9A"/>
    <w:rsid w:val="00232F7A"/>
    <w:rsid w:val="00233235"/>
    <w:rsid w:val="002332B8"/>
    <w:rsid w:val="00233307"/>
    <w:rsid w:val="0023336C"/>
    <w:rsid w:val="002333AE"/>
    <w:rsid w:val="0023342F"/>
    <w:rsid w:val="0023361F"/>
    <w:rsid w:val="002339AD"/>
    <w:rsid w:val="00233BDE"/>
    <w:rsid w:val="00233BF4"/>
    <w:rsid w:val="00233C49"/>
    <w:rsid w:val="00233D7E"/>
    <w:rsid w:val="00233EEB"/>
    <w:rsid w:val="00233F07"/>
    <w:rsid w:val="00233F41"/>
    <w:rsid w:val="00234017"/>
    <w:rsid w:val="00234164"/>
    <w:rsid w:val="002342ED"/>
    <w:rsid w:val="002345AA"/>
    <w:rsid w:val="00234697"/>
    <w:rsid w:val="0023471E"/>
    <w:rsid w:val="00234907"/>
    <w:rsid w:val="00234982"/>
    <w:rsid w:val="00234C82"/>
    <w:rsid w:val="00234C9D"/>
    <w:rsid w:val="00234D23"/>
    <w:rsid w:val="00234F05"/>
    <w:rsid w:val="00235039"/>
    <w:rsid w:val="002350B3"/>
    <w:rsid w:val="002351D8"/>
    <w:rsid w:val="002351F6"/>
    <w:rsid w:val="00235239"/>
    <w:rsid w:val="002352B1"/>
    <w:rsid w:val="0023553D"/>
    <w:rsid w:val="00235615"/>
    <w:rsid w:val="002358A3"/>
    <w:rsid w:val="0023593B"/>
    <w:rsid w:val="00235CD2"/>
    <w:rsid w:val="00235D65"/>
    <w:rsid w:val="00235E24"/>
    <w:rsid w:val="00235F68"/>
    <w:rsid w:val="002360E6"/>
    <w:rsid w:val="002361B5"/>
    <w:rsid w:val="00236270"/>
    <w:rsid w:val="00236352"/>
    <w:rsid w:val="00236394"/>
    <w:rsid w:val="002364C4"/>
    <w:rsid w:val="002367DE"/>
    <w:rsid w:val="002369A8"/>
    <w:rsid w:val="00236AB1"/>
    <w:rsid w:val="00236B5F"/>
    <w:rsid w:val="00236B78"/>
    <w:rsid w:val="00236C81"/>
    <w:rsid w:val="00236DAF"/>
    <w:rsid w:val="00236FDF"/>
    <w:rsid w:val="0023730A"/>
    <w:rsid w:val="0023741D"/>
    <w:rsid w:val="00237500"/>
    <w:rsid w:val="00237752"/>
    <w:rsid w:val="0023781A"/>
    <w:rsid w:val="00237908"/>
    <w:rsid w:val="00237DD5"/>
    <w:rsid w:val="00240359"/>
    <w:rsid w:val="00240368"/>
    <w:rsid w:val="0024041D"/>
    <w:rsid w:val="00240903"/>
    <w:rsid w:val="00240A24"/>
    <w:rsid w:val="00240A8C"/>
    <w:rsid w:val="00240BD8"/>
    <w:rsid w:val="00240C7B"/>
    <w:rsid w:val="00240E46"/>
    <w:rsid w:val="0024103E"/>
    <w:rsid w:val="00241066"/>
    <w:rsid w:val="00241578"/>
    <w:rsid w:val="002417CF"/>
    <w:rsid w:val="0024189A"/>
    <w:rsid w:val="00241C6D"/>
    <w:rsid w:val="00241D77"/>
    <w:rsid w:val="00241D80"/>
    <w:rsid w:val="00241EDF"/>
    <w:rsid w:val="00242143"/>
    <w:rsid w:val="00242283"/>
    <w:rsid w:val="0024232F"/>
    <w:rsid w:val="002423AE"/>
    <w:rsid w:val="002423BC"/>
    <w:rsid w:val="002424D0"/>
    <w:rsid w:val="00242808"/>
    <w:rsid w:val="002429F7"/>
    <w:rsid w:val="00242A8D"/>
    <w:rsid w:val="00242F06"/>
    <w:rsid w:val="00242F46"/>
    <w:rsid w:val="002433EF"/>
    <w:rsid w:val="002436B8"/>
    <w:rsid w:val="00243D95"/>
    <w:rsid w:val="00243DB7"/>
    <w:rsid w:val="00243E2E"/>
    <w:rsid w:val="00243EEA"/>
    <w:rsid w:val="00243FBF"/>
    <w:rsid w:val="00243FD9"/>
    <w:rsid w:val="00244521"/>
    <w:rsid w:val="00244744"/>
    <w:rsid w:val="00244AD3"/>
    <w:rsid w:val="00244CAD"/>
    <w:rsid w:val="00244F4E"/>
    <w:rsid w:val="00245492"/>
    <w:rsid w:val="002454C2"/>
    <w:rsid w:val="0024598A"/>
    <w:rsid w:val="002459EE"/>
    <w:rsid w:val="00245C75"/>
    <w:rsid w:val="00245F4E"/>
    <w:rsid w:val="00246082"/>
    <w:rsid w:val="0024617E"/>
    <w:rsid w:val="00246248"/>
    <w:rsid w:val="002462AA"/>
    <w:rsid w:val="002462CC"/>
    <w:rsid w:val="00246341"/>
    <w:rsid w:val="002463A9"/>
    <w:rsid w:val="00246467"/>
    <w:rsid w:val="0024656F"/>
    <w:rsid w:val="0024668B"/>
    <w:rsid w:val="00246692"/>
    <w:rsid w:val="00246761"/>
    <w:rsid w:val="00246762"/>
    <w:rsid w:val="00246954"/>
    <w:rsid w:val="00246B21"/>
    <w:rsid w:val="00246C4A"/>
    <w:rsid w:val="00247073"/>
    <w:rsid w:val="002470FC"/>
    <w:rsid w:val="0024783D"/>
    <w:rsid w:val="00247844"/>
    <w:rsid w:val="00247945"/>
    <w:rsid w:val="002479E6"/>
    <w:rsid w:val="00247B40"/>
    <w:rsid w:val="002500EC"/>
    <w:rsid w:val="002504CF"/>
    <w:rsid w:val="002506F9"/>
    <w:rsid w:val="002506FE"/>
    <w:rsid w:val="0025080E"/>
    <w:rsid w:val="00250B19"/>
    <w:rsid w:val="00250B54"/>
    <w:rsid w:val="0025106E"/>
    <w:rsid w:val="0025171D"/>
    <w:rsid w:val="00251920"/>
    <w:rsid w:val="00251983"/>
    <w:rsid w:val="002519E4"/>
    <w:rsid w:val="00251B59"/>
    <w:rsid w:val="00251CC6"/>
    <w:rsid w:val="00251DE6"/>
    <w:rsid w:val="00251E1C"/>
    <w:rsid w:val="0025208E"/>
    <w:rsid w:val="00252287"/>
    <w:rsid w:val="002526C5"/>
    <w:rsid w:val="002527AF"/>
    <w:rsid w:val="002527BE"/>
    <w:rsid w:val="00252A2F"/>
    <w:rsid w:val="00252ACB"/>
    <w:rsid w:val="00252D4F"/>
    <w:rsid w:val="00252DC2"/>
    <w:rsid w:val="00252F0D"/>
    <w:rsid w:val="00252F86"/>
    <w:rsid w:val="00253213"/>
    <w:rsid w:val="0025352B"/>
    <w:rsid w:val="0025362A"/>
    <w:rsid w:val="002537DF"/>
    <w:rsid w:val="0025385C"/>
    <w:rsid w:val="0025394F"/>
    <w:rsid w:val="00253D65"/>
    <w:rsid w:val="00253DAD"/>
    <w:rsid w:val="00253F81"/>
    <w:rsid w:val="00254041"/>
    <w:rsid w:val="00254067"/>
    <w:rsid w:val="002544A0"/>
    <w:rsid w:val="00254519"/>
    <w:rsid w:val="0025495F"/>
    <w:rsid w:val="00254A07"/>
    <w:rsid w:val="00254AF4"/>
    <w:rsid w:val="00254E6D"/>
    <w:rsid w:val="00254F6F"/>
    <w:rsid w:val="00254FA8"/>
    <w:rsid w:val="002553A6"/>
    <w:rsid w:val="00255411"/>
    <w:rsid w:val="00255488"/>
    <w:rsid w:val="0025588C"/>
    <w:rsid w:val="002558D4"/>
    <w:rsid w:val="00255C62"/>
    <w:rsid w:val="00255E78"/>
    <w:rsid w:val="00255E97"/>
    <w:rsid w:val="00255F60"/>
    <w:rsid w:val="00255F88"/>
    <w:rsid w:val="00256144"/>
    <w:rsid w:val="002561CE"/>
    <w:rsid w:val="002562F8"/>
    <w:rsid w:val="0025636F"/>
    <w:rsid w:val="002569D4"/>
    <w:rsid w:val="00256AB9"/>
    <w:rsid w:val="00256D67"/>
    <w:rsid w:val="00256E3B"/>
    <w:rsid w:val="00257033"/>
    <w:rsid w:val="00257306"/>
    <w:rsid w:val="00257601"/>
    <w:rsid w:val="00257951"/>
    <w:rsid w:val="00257952"/>
    <w:rsid w:val="002579A3"/>
    <w:rsid w:val="002579A6"/>
    <w:rsid w:val="002579E1"/>
    <w:rsid w:val="00257A81"/>
    <w:rsid w:val="00257A8B"/>
    <w:rsid w:val="00257B7E"/>
    <w:rsid w:val="00257B8F"/>
    <w:rsid w:val="00257E01"/>
    <w:rsid w:val="00257FE3"/>
    <w:rsid w:val="00260065"/>
    <w:rsid w:val="00260318"/>
    <w:rsid w:val="00260585"/>
    <w:rsid w:val="002605C7"/>
    <w:rsid w:val="002606DF"/>
    <w:rsid w:val="0026088D"/>
    <w:rsid w:val="00261117"/>
    <w:rsid w:val="00261212"/>
    <w:rsid w:val="002612E4"/>
    <w:rsid w:val="00261580"/>
    <w:rsid w:val="002615EE"/>
    <w:rsid w:val="002619A3"/>
    <w:rsid w:val="00261CC6"/>
    <w:rsid w:val="00261DC6"/>
    <w:rsid w:val="00261E3D"/>
    <w:rsid w:val="00261FDE"/>
    <w:rsid w:val="0026224A"/>
    <w:rsid w:val="00262398"/>
    <w:rsid w:val="002629CC"/>
    <w:rsid w:val="00262A4B"/>
    <w:rsid w:val="00262F5F"/>
    <w:rsid w:val="00262FCE"/>
    <w:rsid w:val="002630D2"/>
    <w:rsid w:val="00263312"/>
    <w:rsid w:val="002633A1"/>
    <w:rsid w:val="00263642"/>
    <w:rsid w:val="002636BC"/>
    <w:rsid w:val="0026393D"/>
    <w:rsid w:val="002640FC"/>
    <w:rsid w:val="00264277"/>
    <w:rsid w:val="00264377"/>
    <w:rsid w:val="002643AA"/>
    <w:rsid w:val="002643FA"/>
    <w:rsid w:val="00264A06"/>
    <w:rsid w:val="00264D17"/>
    <w:rsid w:val="00264E4B"/>
    <w:rsid w:val="00265138"/>
    <w:rsid w:val="00265430"/>
    <w:rsid w:val="00265739"/>
    <w:rsid w:val="00265C11"/>
    <w:rsid w:val="00265D6C"/>
    <w:rsid w:val="00265DB9"/>
    <w:rsid w:val="00265EDA"/>
    <w:rsid w:val="002660B6"/>
    <w:rsid w:val="002662E5"/>
    <w:rsid w:val="002663F0"/>
    <w:rsid w:val="00266553"/>
    <w:rsid w:val="002667F1"/>
    <w:rsid w:val="0026683C"/>
    <w:rsid w:val="00266A50"/>
    <w:rsid w:val="00266A94"/>
    <w:rsid w:val="00266B52"/>
    <w:rsid w:val="00266F53"/>
    <w:rsid w:val="002670CF"/>
    <w:rsid w:val="00267140"/>
    <w:rsid w:val="0026727A"/>
    <w:rsid w:val="0026786E"/>
    <w:rsid w:val="002679E5"/>
    <w:rsid w:val="00267C63"/>
    <w:rsid w:val="00267E23"/>
    <w:rsid w:val="00270144"/>
    <w:rsid w:val="00270176"/>
    <w:rsid w:val="002702CA"/>
    <w:rsid w:val="00270553"/>
    <w:rsid w:val="00270744"/>
    <w:rsid w:val="00270A00"/>
    <w:rsid w:val="00270A8D"/>
    <w:rsid w:val="00270B66"/>
    <w:rsid w:val="00270C2B"/>
    <w:rsid w:val="00270F17"/>
    <w:rsid w:val="00270F4E"/>
    <w:rsid w:val="00270FAB"/>
    <w:rsid w:val="002711B6"/>
    <w:rsid w:val="00271316"/>
    <w:rsid w:val="002718F0"/>
    <w:rsid w:val="00271B6E"/>
    <w:rsid w:val="00271D83"/>
    <w:rsid w:val="00271E5F"/>
    <w:rsid w:val="00272114"/>
    <w:rsid w:val="002721CB"/>
    <w:rsid w:val="002722A1"/>
    <w:rsid w:val="002722EA"/>
    <w:rsid w:val="0027236E"/>
    <w:rsid w:val="002726F8"/>
    <w:rsid w:val="00272722"/>
    <w:rsid w:val="002728B3"/>
    <w:rsid w:val="00272AAC"/>
    <w:rsid w:val="00272B73"/>
    <w:rsid w:val="00272C88"/>
    <w:rsid w:val="00272DEB"/>
    <w:rsid w:val="00272EC8"/>
    <w:rsid w:val="00273116"/>
    <w:rsid w:val="0027357C"/>
    <w:rsid w:val="00273680"/>
    <w:rsid w:val="00273952"/>
    <w:rsid w:val="00273D5A"/>
    <w:rsid w:val="00274022"/>
    <w:rsid w:val="00274119"/>
    <w:rsid w:val="0027425E"/>
    <w:rsid w:val="00274557"/>
    <w:rsid w:val="0027479C"/>
    <w:rsid w:val="00274982"/>
    <w:rsid w:val="00274A47"/>
    <w:rsid w:val="00274A5C"/>
    <w:rsid w:val="00274E69"/>
    <w:rsid w:val="002752A2"/>
    <w:rsid w:val="002753F6"/>
    <w:rsid w:val="002754CF"/>
    <w:rsid w:val="0027591D"/>
    <w:rsid w:val="00275B6E"/>
    <w:rsid w:val="00275C51"/>
    <w:rsid w:val="00275DEB"/>
    <w:rsid w:val="00275DF1"/>
    <w:rsid w:val="00275F48"/>
    <w:rsid w:val="0027606D"/>
    <w:rsid w:val="002761D9"/>
    <w:rsid w:val="0027621D"/>
    <w:rsid w:val="0027626B"/>
    <w:rsid w:val="00276583"/>
    <w:rsid w:val="00276650"/>
    <w:rsid w:val="00276666"/>
    <w:rsid w:val="002767FA"/>
    <w:rsid w:val="0027687E"/>
    <w:rsid w:val="00276966"/>
    <w:rsid w:val="002769E1"/>
    <w:rsid w:val="00276A1F"/>
    <w:rsid w:val="00276B27"/>
    <w:rsid w:val="00276C8A"/>
    <w:rsid w:val="00276C9C"/>
    <w:rsid w:val="00276D89"/>
    <w:rsid w:val="00276F48"/>
    <w:rsid w:val="00276F68"/>
    <w:rsid w:val="00277006"/>
    <w:rsid w:val="00277206"/>
    <w:rsid w:val="0027725B"/>
    <w:rsid w:val="0027740A"/>
    <w:rsid w:val="0027746F"/>
    <w:rsid w:val="0027748D"/>
    <w:rsid w:val="002777CB"/>
    <w:rsid w:val="0027795C"/>
    <w:rsid w:val="00277B13"/>
    <w:rsid w:val="00280134"/>
    <w:rsid w:val="00280381"/>
    <w:rsid w:val="00280482"/>
    <w:rsid w:val="0028069D"/>
    <w:rsid w:val="00280803"/>
    <w:rsid w:val="00280994"/>
    <w:rsid w:val="00280B3E"/>
    <w:rsid w:val="00280B76"/>
    <w:rsid w:val="00280DF6"/>
    <w:rsid w:val="00281031"/>
    <w:rsid w:val="002810C4"/>
    <w:rsid w:val="002810FE"/>
    <w:rsid w:val="0028116A"/>
    <w:rsid w:val="002811C4"/>
    <w:rsid w:val="00281262"/>
    <w:rsid w:val="00281297"/>
    <w:rsid w:val="0028130C"/>
    <w:rsid w:val="0028135D"/>
    <w:rsid w:val="002813E5"/>
    <w:rsid w:val="00281430"/>
    <w:rsid w:val="002816AC"/>
    <w:rsid w:val="0028177F"/>
    <w:rsid w:val="00281B7F"/>
    <w:rsid w:val="00282356"/>
    <w:rsid w:val="00282684"/>
    <w:rsid w:val="0028288D"/>
    <w:rsid w:val="00282C16"/>
    <w:rsid w:val="00283038"/>
    <w:rsid w:val="002832E5"/>
    <w:rsid w:val="002832EF"/>
    <w:rsid w:val="0028333D"/>
    <w:rsid w:val="0028341A"/>
    <w:rsid w:val="002834A9"/>
    <w:rsid w:val="002834EA"/>
    <w:rsid w:val="00283615"/>
    <w:rsid w:val="0028362B"/>
    <w:rsid w:val="002838F2"/>
    <w:rsid w:val="0028391C"/>
    <w:rsid w:val="00283A6E"/>
    <w:rsid w:val="00283AA5"/>
    <w:rsid w:val="00283B39"/>
    <w:rsid w:val="00283E44"/>
    <w:rsid w:val="00283EB0"/>
    <w:rsid w:val="00283FB8"/>
    <w:rsid w:val="00283FCB"/>
    <w:rsid w:val="00283FEB"/>
    <w:rsid w:val="00284049"/>
    <w:rsid w:val="00284193"/>
    <w:rsid w:val="00284209"/>
    <w:rsid w:val="00284513"/>
    <w:rsid w:val="00284BC0"/>
    <w:rsid w:val="00284C29"/>
    <w:rsid w:val="00284EC9"/>
    <w:rsid w:val="00284ECA"/>
    <w:rsid w:val="00285166"/>
    <w:rsid w:val="0028534B"/>
    <w:rsid w:val="00285804"/>
    <w:rsid w:val="00285884"/>
    <w:rsid w:val="0028588E"/>
    <w:rsid w:val="002859F8"/>
    <w:rsid w:val="00285B39"/>
    <w:rsid w:val="00285EB7"/>
    <w:rsid w:val="002860D4"/>
    <w:rsid w:val="002861E1"/>
    <w:rsid w:val="00286238"/>
    <w:rsid w:val="002862E0"/>
    <w:rsid w:val="00286345"/>
    <w:rsid w:val="002865AF"/>
    <w:rsid w:val="00286705"/>
    <w:rsid w:val="00286753"/>
    <w:rsid w:val="002869BF"/>
    <w:rsid w:val="00286A69"/>
    <w:rsid w:val="00286B13"/>
    <w:rsid w:val="00286C0F"/>
    <w:rsid w:val="00286F46"/>
    <w:rsid w:val="00286FDD"/>
    <w:rsid w:val="0028729E"/>
    <w:rsid w:val="00287379"/>
    <w:rsid w:val="002874C2"/>
    <w:rsid w:val="002875C4"/>
    <w:rsid w:val="00287836"/>
    <w:rsid w:val="00287E21"/>
    <w:rsid w:val="00287EF7"/>
    <w:rsid w:val="0029021B"/>
    <w:rsid w:val="002902E0"/>
    <w:rsid w:val="00290360"/>
    <w:rsid w:val="002903FD"/>
    <w:rsid w:val="002904FC"/>
    <w:rsid w:val="002908A1"/>
    <w:rsid w:val="0029094F"/>
    <w:rsid w:val="00290ADB"/>
    <w:rsid w:val="00290AFB"/>
    <w:rsid w:val="00290E18"/>
    <w:rsid w:val="00290EF3"/>
    <w:rsid w:val="00290F52"/>
    <w:rsid w:val="00290F7C"/>
    <w:rsid w:val="00290F8E"/>
    <w:rsid w:val="00291174"/>
    <w:rsid w:val="00291211"/>
    <w:rsid w:val="00291428"/>
    <w:rsid w:val="002914C2"/>
    <w:rsid w:val="00291519"/>
    <w:rsid w:val="002915B8"/>
    <w:rsid w:val="0029161B"/>
    <w:rsid w:val="002916E0"/>
    <w:rsid w:val="00291BA6"/>
    <w:rsid w:val="00291CD3"/>
    <w:rsid w:val="00291CD4"/>
    <w:rsid w:val="00291E19"/>
    <w:rsid w:val="00291F59"/>
    <w:rsid w:val="00291F7F"/>
    <w:rsid w:val="002921A3"/>
    <w:rsid w:val="0029220E"/>
    <w:rsid w:val="00292469"/>
    <w:rsid w:val="00292535"/>
    <w:rsid w:val="00292591"/>
    <w:rsid w:val="0029270D"/>
    <w:rsid w:val="002928D2"/>
    <w:rsid w:val="00292AAE"/>
    <w:rsid w:val="00292B12"/>
    <w:rsid w:val="00292C5B"/>
    <w:rsid w:val="00292D74"/>
    <w:rsid w:val="00292F90"/>
    <w:rsid w:val="00292FC3"/>
    <w:rsid w:val="00292FF9"/>
    <w:rsid w:val="002931C5"/>
    <w:rsid w:val="00293253"/>
    <w:rsid w:val="002936A5"/>
    <w:rsid w:val="0029398D"/>
    <w:rsid w:val="002939AF"/>
    <w:rsid w:val="00293AF9"/>
    <w:rsid w:val="00293DFD"/>
    <w:rsid w:val="00293E21"/>
    <w:rsid w:val="002941C0"/>
    <w:rsid w:val="002943EE"/>
    <w:rsid w:val="002943F0"/>
    <w:rsid w:val="002946E3"/>
    <w:rsid w:val="00294C90"/>
    <w:rsid w:val="002950F9"/>
    <w:rsid w:val="00295201"/>
    <w:rsid w:val="0029520E"/>
    <w:rsid w:val="00295341"/>
    <w:rsid w:val="00295903"/>
    <w:rsid w:val="00295C2A"/>
    <w:rsid w:val="00295D32"/>
    <w:rsid w:val="00295D6B"/>
    <w:rsid w:val="00295E6F"/>
    <w:rsid w:val="00295EDB"/>
    <w:rsid w:val="00295FB0"/>
    <w:rsid w:val="00296287"/>
    <w:rsid w:val="0029633E"/>
    <w:rsid w:val="00296603"/>
    <w:rsid w:val="0029662A"/>
    <w:rsid w:val="00296728"/>
    <w:rsid w:val="00296BE7"/>
    <w:rsid w:val="00296C25"/>
    <w:rsid w:val="00296DBB"/>
    <w:rsid w:val="00296F0F"/>
    <w:rsid w:val="00296F21"/>
    <w:rsid w:val="00296FED"/>
    <w:rsid w:val="00297136"/>
    <w:rsid w:val="0029784C"/>
    <w:rsid w:val="002978E4"/>
    <w:rsid w:val="002979FC"/>
    <w:rsid w:val="00297A3E"/>
    <w:rsid w:val="00297D65"/>
    <w:rsid w:val="00297D78"/>
    <w:rsid w:val="00297DD4"/>
    <w:rsid w:val="00297E87"/>
    <w:rsid w:val="002A034B"/>
    <w:rsid w:val="002A05BF"/>
    <w:rsid w:val="002A07BC"/>
    <w:rsid w:val="002A081C"/>
    <w:rsid w:val="002A0972"/>
    <w:rsid w:val="002A09B2"/>
    <w:rsid w:val="002A09F2"/>
    <w:rsid w:val="002A0FF5"/>
    <w:rsid w:val="002A109A"/>
    <w:rsid w:val="002A1168"/>
    <w:rsid w:val="002A12A5"/>
    <w:rsid w:val="002A1434"/>
    <w:rsid w:val="002A14DA"/>
    <w:rsid w:val="002A15F0"/>
    <w:rsid w:val="002A18F6"/>
    <w:rsid w:val="002A1985"/>
    <w:rsid w:val="002A1C2D"/>
    <w:rsid w:val="002A2028"/>
    <w:rsid w:val="002A2320"/>
    <w:rsid w:val="002A2379"/>
    <w:rsid w:val="002A2566"/>
    <w:rsid w:val="002A29D8"/>
    <w:rsid w:val="002A2A42"/>
    <w:rsid w:val="002A2B21"/>
    <w:rsid w:val="002A2BF7"/>
    <w:rsid w:val="002A2C60"/>
    <w:rsid w:val="002A2D31"/>
    <w:rsid w:val="002A2E09"/>
    <w:rsid w:val="002A2FFF"/>
    <w:rsid w:val="002A3419"/>
    <w:rsid w:val="002A34D1"/>
    <w:rsid w:val="002A3926"/>
    <w:rsid w:val="002A3A9F"/>
    <w:rsid w:val="002A3F47"/>
    <w:rsid w:val="002A402C"/>
    <w:rsid w:val="002A40D8"/>
    <w:rsid w:val="002A4107"/>
    <w:rsid w:val="002A419D"/>
    <w:rsid w:val="002A420E"/>
    <w:rsid w:val="002A429B"/>
    <w:rsid w:val="002A439A"/>
    <w:rsid w:val="002A457C"/>
    <w:rsid w:val="002A49B7"/>
    <w:rsid w:val="002A4AD6"/>
    <w:rsid w:val="002A4C79"/>
    <w:rsid w:val="002A4E0F"/>
    <w:rsid w:val="002A4E8D"/>
    <w:rsid w:val="002A50B0"/>
    <w:rsid w:val="002A51E9"/>
    <w:rsid w:val="002A5222"/>
    <w:rsid w:val="002A546C"/>
    <w:rsid w:val="002A5679"/>
    <w:rsid w:val="002A5873"/>
    <w:rsid w:val="002A5A8B"/>
    <w:rsid w:val="002A5AA2"/>
    <w:rsid w:val="002A5AF4"/>
    <w:rsid w:val="002A5C5B"/>
    <w:rsid w:val="002A5CCF"/>
    <w:rsid w:val="002A62F4"/>
    <w:rsid w:val="002A636A"/>
    <w:rsid w:val="002A656E"/>
    <w:rsid w:val="002A676F"/>
    <w:rsid w:val="002A67A9"/>
    <w:rsid w:val="002A6A7D"/>
    <w:rsid w:val="002A6DDB"/>
    <w:rsid w:val="002A6E64"/>
    <w:rsid w:val="002A7334"/>
    <w:rsid w:val="002A7651"/>
    <w:rsid w:val="002A76A0"/>
    <w:rsid w:val="002A77E5"/>
    <w:rsid w:val="002A784D"/>
    <w:rsid w:val="002A78EF"/>
    <w:rsid w:val="002A7A1D"/>
    <w:rsid w:val="002A7E4D"/>
    <w:rsid w:val="002A7F34"/>
    <w:rsid w:val="002A7FED"/>
    <w:rsid w:val="002B0139"/>
    <w:rsid w:val="002B01D8"/>
    <w:rsid w:val="002B027A"/>
    <w:rsid w:val="002B04EF"/>
    <w:rsid w:val="002B050C"/>
    <w:rsid w:val="002B0601"/>
    <w:rsid w:val="002B0630"/>
    <w:rsid w:val="002B076B"/>
    <w:rsid w:val="002B0914"/>
    <w:rsid w:val="002B0A07"/>
    <w:rsid w:val="002B0BBF"/>
    <w:rsid w:val="002B0D8C"/>
    <w:rsid w:val="002B0E59"/>
    <w:rsid w:val="002B0E5F"/>
    <w:rsid w:val="002B0EC2"/>
    <w:rsid w:val="002B1077"/>
    <w:rsid w:val="002B10BD"/>
    <w:rsid w:val="002B11AC"/>
    <w:rsid w:val="002B127E"/>
    <w:rsid w:val="002B17E8"/>
    <w:rsid w:val="002B1841"/>
    <w:rsid w:val="002B18E6"/>
    <w:rsid w:val="002B1919"/>
    <w:rsid w:val="002B193D"/>
    <w:rsid w:val="002B1A91"/>
    <w:rsid w:val="002B1AAB"/>
    <w:rsid w:val="002B1B1B"/>
    <w:rsid w:val="002B1B22"/>
    <w:rsid w:val="002B1D70"/>
    <w:rsid w:val="002B1DFD"/>
    <w:rsid w:val="002B1E80"/>
    <w:rsid w:val="002B1EE8"/>
    <w:rsid w:val="002B1F9C"/>
    <w:rsid w:val="002B2077"/>
    <w:rsid w:val="002B2094"/>
    <w:rsid w:val="002B240F"/>
    <w:rsid w:val="002B2519"/>
    <w:rsid w:val="002B2663"/>
    <w:rsid w:val="002B28AD"/>
    <w:rsid w:val="002B294E"/>
    <w:rsid w:val="002B2A44"/>
    <w:rsid w:val="002B2C82"/>
    <w:rsid w:val="002B2DE1"/>
    <w:rsid w:val="002B2E49"/>
    <w:rsid w:val="002B2E4D"/>
    <w:rsid w:val="002B2F6A"/>
    <w:rsid w:val="002B30C6"/>
    <w:rsid w:val="002B30FF"/>
    <w:rsid w:val="002B34A3"/>
    <w:rsid w:val="002B34F1"/>
    <w:rsid w:val="002B3675"/>
    <w:rsid w:val="002B3693"/>
    <w:rsid w:val="002B36FE"/>
    <w:rsid w:val="002B3809"/>
    <w:rsid w:val="002B3B4E"/>
    <w:rsid w:val="002B3BF9"/>
    <w:rsid w:val="002B3C31"/>
    <w:rsid w:val="002B3CAB"/>
    <w:rsid w:val="002B3CDD"/>
    <w:rsid w:val="002B42B5"/>
    <w:rsid w:val="002B4375"/>
    <w:rsid w:val="002B471B"/>
    <w:rsid w:val="002B47A8"/>
    <w:rsid w:val="002B47EA"/>
    <w:rsid w:val="002B4931"/>
    <w:rsid w:val="002B495F"/>
    <w:rsid w:val="002B4B84"/>
    <w:rsid w:val="002B4C59"/>
    <w:rsid w:val="002B4E94"/>
    <w:rsid w:val="002B4F3E"/>
    <w:rsid w:val="002B4F98"/>
    <w:rsid w:val="002B524D"/>
    <w:rsid w:val="002B5275"/>
    <w:rsid w:val="002B59DB"/>
    <w:rsid w:val="002B5B72"/>
    <w:rsid w:val="002B5BB3"/>
    <w:rsid w:val="002B5D1C"/>
    <w:rsid w:val="002B5F62"/>
    <w:rsid w:val="002B6007"/>
    <w:rsid w:val="002B6035"/>
    <w:rsid w:val="002B62A2"/>
    <w:rsid w:val="002B668A"/>
    <w:rsid w:val="002B68D5"/>
    <w:rsid w:val="002B6DAD"/>
    <w:rsid w:val="002B6DB6"/>
    <w:rsid w:val="002B6DBC"/>
    <w:rsid w:val="002B6DBD"/>
    <w:rsid w:val="002B718F"/>
    <w:rsid w:val="002B7403"/>
    <w:rsid w:val="002B7744"/>
    <w:rsid w:val="002B790F"/>
    <w:rsid w:val="002B7937"/>
    <w:rsid w:val="002B7A96"/>
    <w:rsid w:val="002B7B97"/>
    <w:rsid w:val="002B7C69"/>
    <w:rsid w:val="002B7F9E"/>
    <w:rsid w:val="002C04EB"/>
    <w:rsid w:val="002C09DC"/>
    <w:rsid w:val="002C0B61"/>
    <w:rsid w:val="002C0C09"/>
    <w:rsid w:val="002C0D9A"/>
    <w:rsid w:val="002C0DE3"/>
    <w:rsid w:val="002C0EEC"/>
    <w:rsid w:val="002C10AA"/>
    <w:rsid w:val="002C11C7"/>
    <w:rsid w:val="002C1342"/>
    <w:rsid w:val="002C1424"/>
    <w:rsid w:val="002C159A"/>
    <w:rsid w:val="002C15C2"/>
    <w:rsid w:val="002C15FB"/>
    <w:rsid w:val="002C19D5"/>
    <w:rsid w:val="002C1A48"/>
    <w:rsid w:val="002C1B17"/>
    <w:rsid w:val="002C1BAE"/>
    <w:rsid w:val="002C213D"/>
    <w:rsid w:val="002C21DB"/>
    <w:rsid w:val="002C227D"/>
    <w:rsid w:val="002C232B"/>
    <w:rsid w:val="002C23FF"/>
    <w:rsid w:val="002C2789"/>
    <w:rsid w:val="002C290E"/>
    <w:rsid w:val="002C2AD6"/>
    <w:rsid w:val="002C2C7B"/>
    <w:rsid w:val="002C2E84"/>
    <w:rsid w:val="002C2EDF"/>
    <w:rsid w:val="002C2F84"/>
    <w:rsid w:val="002C32DE"/>
    <w:rsid w:val="002C32F1"/>
    <w:rsid w:val="002C32FC"/>
    <w:rsid w:val="002C34B8"/>
    <w:rsid w:val="002C34BC"/>
    <w:rsid w:val="002C3534"/>
    <w:rsid w:val="002C357D"/>
    <w:rsid w:val="002C3584"/>
    <w:rsid w:val="002C3598"/>
    <w:rsid w:val="002C3A8F"/>
    <w:rsid w:val="002C415B"/>
    <w:rsid w:val="002C4342"/>
    <w:rsid w:val="002C46E4"/>
    <w:rsid w:val="002C46FB"/>
    <w:rsid w:val="002C4793"/>
    <w:rsid w:val="002C4870"/>
    <w:rsid w:val="002C48DB"/>
    <w:rsid w:val="002C4BC8"/>
    <w:rsid w:val="002C4E47"/>
    <w:rsid w:val="002C4FCB"/>
    <w:rsid w:val="002C524C"/>
    <w:rsid w:val="002C5266"/>
    <w:rsid w:val="002C52CE"/>
    <w:rsid w:val="002C5314"/>
    <w:rsid w:val="002C5542"/>
    <w:rsid w:val="002C55E3"/>
    <w:rsid w:val="002C5700"/>
    <w:rsid w:val="002C5B6C"/>
    <w:rsid w:val="002C5BA7"/>
    <w:rsid w:val="002C5CD1"/>
    <w:rsid w:val="002C5CDE"/>
    <w:rsid w:val="002C5FB3"/>
    <w:rsid w:val="002C60D7"/>
    <w:rsid w:val="002C61CC"/>
    <w:rsid w:val="002C693D"/>
    <w:rsid w:val="002C6964"/>
    <w:rsid w:val="002C6DFF"/>
    <w:rsid w:val="002C71A0"/>
    <w:rsid w:val="002C7374"/>
    <w:rsid w:val="002C74C8"/>
    <w:rsid w:val="002C7595"/>
    <w:rsid w:val="002C77A0"/>
    <w:rsid w:val="002C78FE"/>
    <w:rsid w:val="002C7E52"/>
    <w:rsid w:val="002D023D"/>
    <w:rsid w:val="002D09AD"/>
    <w:rsid w:val="002D0C0F"/>
    <w:rsid w:val="002D0E6B"/>
    <w:rsid w:val="002D108B"/>
    <w:rsid w:val="002D114F"/>
    <w:rsid w:val="002D1202"/>
    <w:rsid w:val="002D14BA"/>
    <w:rsid w:val="002D184A"/>
    <w:rsid w:val="002D184C"/>
    <w:rsid w:val="002D19EB"/>
    <w:rsid w:val="002D1A54"/>
    <w:rsid w:val="002D1B61"/>
    <w:rsid w:val="002D1FD0"/>
    <w:rsid w:val="002D231F"/>
    <w:rsid w:val="002D246F"/>
    <w:rsid w:val="002D24CA"/>
    <w:rsid w:val="002D2574"/>
    <w:rsid w:val="002D26BD"/>
    <w:rsid w:val="002D26CD"/>
    <w:rsid w:val="002D2871"/>
    <w:rsid w:val="002D2A51"/>
    <w:rsid w:val="002D2C2F"/>
    <w:rsid w:val="002D2C77"/>
    <w:rsid w:val="002D2E5D"/>
    <w:rsid w:val="002D31C0"/>
    <w:rsid w:val="002D31FD"/>
    <w:rsid w:val="002D3331"/>
    <w:rsid w:val="002D3382"/>
    <w:rsid w:val="002D37BB"/>
    <w:rsid w:val="002D3879"/>
    <w:rsid w:val="002D3B3A"/>
    <w:rsid w:val="002D3B77"/>
    <w:rsid w:val="002D3BF3"/>
    <w:rsid w:val="002D3E0E"/>
    <w:rsid w:val="002D3E8A"/>
    <w:rsid w:val="002D3F31"/>
    <w:rsid w:val="002D41B9"/>
    <w:rsid w:val="002D41E9"/>
    <w:rsid w:val="002D42C3"/>
    <w:rsid w:val="002D439B"/>
    <w:rsid w:val="002D4403"/>
    <w:rsid w:val="002D45A6"/>
    <w:rsid w:val="002D498C"/>
    <w:rsid w:val="002D4C91"/>
    <w:rsid w:val="002D500A"/>
    <w:rsid w:val="002D50E0"/>
    <w:rsid w:val="002D5156"/>
    <w:rsid w:val="002D5449"/>
    <w:rsid w:val="002D5495"/>
    <w:rsid w:val="002D5750"/>
    <w:rsid w:val="002D5768"/>
    <w:rsid w:val="002D57C0"/>
    <w:rsid w:val="002D5832"/>
    <w:rsid w:val="002D5874"/>
    <w:rsid w:val="002D5960"/>
    <w:rsid w:val="002D5B57"/>
    <w:rsid w:val="002D5CD5"/>
    <w:rsid w:val="002D5DCE"/>
    <w:rsid w:val="002D605D"/>
    <w:rsid w:val="002D60B6"/>
    <w:rsid w:val="002D60C3"/>
    <w:rsid w:val="002D60EF"/>
    <w:rsid w:val="002D62A2"/>
    <w:rsid w:val="002D680A"/>
    <w:rsid w:val="002D6968"/>
    <w:rsid w:val="002D6A3E"/>
    <w:rsid w:val="002D6B69"/>
    <w:rsid w:val="002D6BE2"/>
    <w:rsid w:val="002D6C16"/>
    <w:rsid w:val="002D6CBC"/>
    <w:rsid w:val="002D713C"/>
    <w:rsid w:val="002D7219"/>
    <w:rsid w:val="002D7307"/>
    <w:rsid w:val="002D7920"/>
    <w:rsid w:val="002D7A1B"/>
    <w:rsid w:val="002D7C1C"/>
    <w:rsid w:val="002D7C71"/>
    <w:rsid w:val="002D7E90"/>
    <w:rsid w:val="002D7F9C"/>
    <w:rsid w:val="002E003B"/>
    <w:rsid w:val="002E0057"/>
    <w:rsid w:val="002E01B5"/>
    <w:rsid w:val="002E01F0"/>
    <w:rsid w:val="002E0266"/>
    <w:rsid w:val="002E0320"/>
    <w:rsid w:val="002E0581"/>
    <w:rsid w:val="002E05CA"/>
    <w:rsid w:val="002E06D2"/>
    <w:rsid w:val="002E073D"/>
    <w:rsid w:val="002E083B"/>
    <w:rsid w:val="002E0BAA"/>
    <w:rsid w:val="002E0BED"/>
    <w:rsid w:val="002E108D"/>
    <w:rsid w:val="002E1519"/>
    <w:rsid w:val="002E1B11"/>
    <w:rsid w:val="002E1BE5"/>
    <w:rsid w:val="002E1C81"/>
    <w:rsid w:val="002E1CC4"/>
    <w:rsid w:val="002E26FD"/>
    <w:rsid w:val="002E275B"/>
    <w:rsid w:val="002E29D3"/>
    <w:rsid w:val="002E2BCF"/>
    <w:rsid w:val="002E2BE1"/>
    <w:rsid w:val="002E2D17"/>
    <w:rsid w:val="002E2D87"/>
    <w:rsid w:val="002E2E6A"/>
    <w:rsid w:val="002E2F20"/>
    <w:rsid w:val="002E2F8F"/>
    <w:rsid w:val="002E2FD3"/>
    <w:rsid w:val="002E3093"/>
    <w:rsid w:val="002E3210"/>
    <w:rsid w:val="002E33D3"/>
    <w:rsid w:val="002E35AC"/>
    <w:rsid w:val="002E35DD"/>
    <w:rsid w:val="002E3660"/>
    <w:rsid w:val="002E367D"/>
    <w:rsid w:val="002E38B0"/>
    <w:rsid w:val="002E38EA"/>
    <w:rsid w:val="002E3A42"/>
    <w:rsid w:val="002E3B79"/>
    <w:rsid w:val="002E3B9A"/>
    <w:rsid w:val="002E3BBB"/>
    <w:rsid w:val="002E3CDC"/>
    <w:rsid w:val="002E3FDD"/>
    <w:rsid w:val="002E4263"/>
    <w:rsid w:val="002E431D"/>
    <w:rsid w:val="002E495F"/>
    <w:rsid w:val="002E4968"/>
    <w:rsid w:val="002E49D5"/>
    <w:rsid w:val="002E4A8F"/>
    <w:rsid w:val="002E4D70"/>
    <w:rsid w:val="002E4E7F"/>
    <w:rsid w:val="002E4FAC"/>
    <w:rsid w:val="002E56E8"/>
    <w:rsid w:val="002E586F"/>
    <w:rsid w:val="002E5C95"/>
    <w:rsid w:val="002E5CE7"/>
    <w:rsid w:val="002E6086"/>
    <w:rsid w:val="002E621C"/>
    <w:rsid w:val="002E626A"/>
    <w:rsid w:val="002E6392"/>
    <w:rsid w:val="002E6625"/>
    <w:rsid w:val="002E6642"/>
    <w:rsid w:val="002E66FA"/>
    <w:rsid w:val="002E683D"/>
    <w:rsid w:val="002E696E"/>
    <w:rsid w:val="002E6C7F"/>
    <w:rsid w:val="002E6D2F"/>
    <w:rsid w:val="002E6D97"/>
    <w:rsid w:val="002E6E95"/>
    <w:rsid w:val="002E704B"/>
    <w:rsid w:val="002E705C"/>
    <w:rsid w:val="002E70AD"/>
    <w:rsid w:val="002E7164"/>
    <w:rsid w:val="002E71CF"/>
    <w:rsid w:val="002E7477"/>
    <w:rsid w:val="002E7681"/>
    <w:rsid w:val="002E776A"/>
    <w:rsid w:val="002E7A1C"/>
    <w:rsid w:val="002E7A1F"/>
    <w:rsid w:val="002E7DE8"/>
    <w:rsid w:val="002F0127"/>
    <w:rsid w:val="002F0144"/>
    <w:rsid w:val="002F05D5"/>
    <w:rsid w:val="002F075D"/>
    <w:rsid w:val="002F091E"/>
    <w:rsid w:val="002F0A64"/>
    <w:rsid w:val="002F0DAF"/>
    <w:rsid w:val="002F1017"/>
    <w:rsid w:val="002F111E"/>
    <w:rsid w:val="002F124B"/>
    <w:rsid w:val="002F1972"/>
    <w:rsid w:val="002F1B18"/>
    <w:rsid w:val="002F1C31"/>
    <w:rsid w:val="002F1C4C"/>
    <w:rsid w:val="002F1EEA"/>
    <w:rsid w:val="002F1F45"/>
    <w:rsid w:val="002F2042"/>
    <w:rsid w:val="002F20DC"/>
    <w:rsid w:val="002F26FC"/>
    <w:rsid w:val="002F27E0"/>
    <w:rsid w:val="002F2993"/>
    <w:rsid w:val="002F2A12"/>
    <w:rsid w:val="002F2B8F"/>
    <w:rsid w:val="002F2CD0"/>
    <w:rsid w:val="002F2F61"/>
    <w:rsid w:val="002F3710"/>
    <w:rsid w:val="002F37E6"/>
    <w:rsid w:val="002F3B4A"/>
    <w:rsid w:val="002F3F27"/>
    <w:rsid w:val="002F3F5C"/>
    <w:rsid w:val="002F3F6A"/>
    <w:rsid w:val="002F407D"/>
    <w:rsid w:val="002F41A5"/>
    <w:rsid w:val="002F45AB"/>
    <w:rsid w:val="002F4675"/>
    <w:rsid w:val="002F49AF"/>
    <w:rsid w:val="002F4D1A"/>
    <w:rsid w:val="002F4D6C"/>
    <w:rsid w:val="002F4E2D"/>
    <w:rsid w:val="002F564B"/>
    <w:rsid w:val="002F5BBE"/>
    <w:rsid w:val="002F5D4F"/>
    <w:rsid w:val="002F5F7B"/>
    <w:rsid w:val="002F60BB"/>
    <w:rsid w:val="002F6169"/>
    <w:rsid w:val="002F6407"/>
    <w:rsid w:val="002F6575"/>
    <w:rsid w:val="002F67B5"/>
    <w:rsid w:val="002F67D7"/>
    <w:rsid w:val="002F68A7"/>
    <w:rsid w:val="002F6D09"/>
    <w:rsid w:val="002F6D72"/>
    <w:rsid w:val="002F6E3E"/>
    <w:rsid w:val="002F6ECA"/>
    <w:rsid w:val="002F6F39"/>
    <w:rsid w:val="002F6F7B"/>
    <w:rsid w:val="002F7577"/>
    <w:rsid w:val="002F7A47"/>
    <w:rsid w:val="002F7A9F"/>
    <w:rsid w:val="002F7F51"/>
    <w:rsid w:val="00300011"/>
    <w:rsid w:val="0030008D"/>
    <w:rsid w:val="003000CA"/>
    <w:rsid w:val="00300109"/>
    <w:rsid w:val="00300145"/>
    <w:rsid w:val="003001DD"/>
    <w:rsid w:val="00300420"/>
    <w:rsid w:val="003009BB"/>
    <w:rsid w:val="00300A20"/>
    <w:rsid w:val="00300E29"/>
    <w:rsid w:val="003013A8"/>
    <w:rsid w:val="0030174B"/>
    <w:rsid w:val="00301780"/>
    <w:rsid w:val="00301796"/>
    <w:rsid w:val="003017D2"/>
    <w:rsid w:val="00301826"/>
    <w:rsid w:val="003018CD"/>
    <w:rsid w:val="00301A1D"/>
    <w:rsid w:val="00301A68"/>
    <w:rsid w:val="00301B49"/>
    <w:rsid w:val="00301E62"/>
    <w:rsid w:val="00302287"/>
    <w:rsid w:val="0030257B"/>
    <w:rsid w:val="00302585"/>
    <w:rsid w:val="003025B8"/>
    <w:rsid w:val="003025E8"/>
    <w:rsid w:val="003027A0"/>
    <w:rsid w:val="0030295E"/>
    <w:rsid w:val="00302C9D"/>
    <w:rsid w:val="00302D6B"/>
    <w:rsid w:val="00302DB2"/>
    <w:rsid w:val="00302EBF"/>
    <w:rsid w:val="00302FD5"/>
    <w:rsid w:val="00302FDD"/>
    <w:rsid w:val="003033B0"/>
    <w:rsid w:val="0030346F"/>
    <w:rsid w:val="003034F5"/>
    <w:rsid w:val="0030355F"/>
    <w:rsid w:val="0030356F"/>
    <w:rsid w:val="00303648"/>
    <w:rsid w:val="0030374E"/>
    <w:rsid w:val="00303837"/>
    <w:rsid w:val="00303A24"/>
    <w:rsid w:val="00303D87"/>
    <w:rsid w:val="00304174"/>
    <w:rsid w:val="003044AD"/>
    <w:rsid w:val="0030479A"/>
    <w:rsid w:val="0030483E"/>
    <w:rsid w:val="00304933"/>
    <w:rsid w:val="00304994"/>
    <w:rsid w:val="00304A81"/>
    <w:rsid w:val="00304ADF"/>
    <w:rsid w:val="00304AF1"/>
    <w:rsid w:val="00304BC3"/>
    <w:rsid w:val="00304C29"/>
    <w:rsid w:val="00304F14"/>
    <w:rsid w:val="00304F3D"/>
    <w:rsid w:val="00304F4D"/>
    <w:rsid w:val="00305136"/>
    <w:rsid w:val="003052AF"/>
    <w:rsid w:val="003052C9"/>
    <w:rsid w:val="003052F8"/>
    <w:rsid w:val="00305402"/>
    <w:rsid w:val="003054B3"/>
    <w:rsid w:val="00305639"/>
    <w:rsid w:val="0030567A"/>
    <w:rsid w:val="0030569A"/>
    <w:rsid w:val="003056A6"/>
    <w:rsid w:val="0030596E"/>
    <w:rsid w:val="003059E2"/>
    <w:rsid w:val="00305BD9"/>
    <w:rsid w:val="00305CF4"/>
    <w:rsid w:val="00305D0C"/>
    <w:rsid w:val="00305E7D"/>
    <w:rsid w:val="00305ED8"/>
    <w:rsid w:val="00305F07"/>
    <w:rsid w:val="00305F4E"/>
    <w:rsid w:val="00306134"/>
    <w:rsid w:val="00306180"/>
    <w:rsid w:val="00306221"/>
    <w:rsid w:val="003062AF"/>
    <w:rsid w:val="003062B5"/>
    <w:rsid w:val="003063CB"/>
    <w:rsid w:val="003064DA"/>
    <w:rsid w:val="003067C9"/>
    <w:rsid w:val="00306977"/>
    <w:rsid w:val="00306B4F"/>
    <w:rsid w:val="00306E1C"/>
    <w:rsid w:val="00307299"/>
    <w:rsid w:val="0030747C"/>
    <w:rsid w:val="00307D3F"/>
    <w:rsid w:val="00307F99"/>
    <w:rsid w:val="003100F7"/>
    <w:rsid w:val="0031061E"/>
    <w:rsid w:val="00310755"/>
    <w:rsid w:val="00310792"/>
    <w:rsid w:val="00310994"/>
    <w:rsid w:val="00310A35"/>
    <w:rsid w:val="00310B0D"/>
    <w:rsid w:val="00310CC5"/>
    <w:rsid w:val="00311028"/>
    <w:rsid w:val="003110D3"/>
    <w:rsid w:val="00311272"/>
    <w:rsid w:val="003112AB"/>
    <w:rsid w:val="0031139E"/>
    <w:rsid w:val="0031142F"/>
    <w:rsid w:val="0031184A"/>
    <w:rsid w:val="00311A06"/>
    <w:rsid w:val="00311A19"/>
    <w:rsid w:val="00311A24"/>
    <w:rsid w:val="00311B6B"/>
    <w:rsid w:val="00311B91"/>
    <w:rsid w:val="00311C2C"/>
    <w:rsid w:val="00312105"/>
    <w:rsid w:val="003125D1"/>
    <w:rsid w:val="00312612"/>
    <w:rsid w:val="00312625"/>
    <w:rsid w:val="00312789"/>
    <w:rsid w:val="00312AB6"/>
    <w:rsid w:val="00312DB0"/>
    <w:rsid w:val="00312DB7"/>
    <w:rsid w:val="00312DE3"/>
    <w:rsid w:val="00312FE1"/>
    <w:rsid w:val="00313101"/>
    <w:rsid w:val="00313469"/>
    <w:rsid w:val="00313559"/>
    <w:rsid w:val="003136C6"/>
    <w:rsid w:val="003136D9"/>
    <w:rsid w:val="00313751"/>
    <w:rsid w:val="00313761"/>
    <w:rsid w:val="0031377E"/>
    <w:rsid w:val="0031381D"/>
    <w:rsid w:val="00313872"/>
    <w:rsid w:val="0031389F"/>
    <w:rsid w:val="00313916"/>
    <w:rsid w:val="0031391C"/>
    <w:rsid w:val="003141DB"/>
    <w:rsid w:val="0031428B"/>
    <w:rsid w:val="0031432B"/>
    <w:rsid w:val="0031452A"/>
    <w:rsid w:val="003145B6"/>
    <w:rsid w:val="00314845"/>
    <w:rsid w:val="003148C7"/>
    <w:rsid w:val="0031490E"/>
    <w:rsid w:val="0031493A"/>
    <w:rsid w:val="00314A38"/>
    <w:rsid w:val="00314B46"/>
    <w:rsid w:val="00314DF7"/>
    <w:rsid w:val="00314EAA"/>
    <w:rsid w:val="003151B6"/>
    <w:rsid w:val="0031534C"/>
    <w:rsid w:val="0031550A"/>
    <w:rsid w:val="003155A6"/>
    <w:rsid w:val="003155CE"/>
    <w:rsid w:val="003157A3"/>
    <w:rsid w:val="00315C26"/>
    <w:rsid w:val="00315D1B"/>
    <w:rsid w:val="0031613F"/>
    <w:rsid w:val="003163D2"/>
    <w:rsid w:val="0031668F"/>
    <w:rsid w:val="00316A1D"/>
    <w:rsid w:val="00316AF4"/>
    <w:rsid w:val="00316C36"/>
    <w:rsid w:val="00316CA9"/>
    <w:rsid w:val="00316CD0"/>
    <w:rsid w:val="00316CDC"/>
    <w:rsid w:val="00316E26"/>
    <w:rsid w:val="00316E9D"/>
    <w:rsid w:val="00316EAA"/>
    <w:rsid w:val="00317226"/>
    <w:rsid w:val="00317701"/>
    <w:rsid w:val="003178ED"/>
    <w:rsid w:val="003178FB"/>
    <w:rsid w:val="003179BD"/>
    <w:rsid w:val="00320207"/>
    <w:rsid w:val="00320391"/>
    <w:rsid w:val="0032040A"/>
    <w:rsid w:val="00320623"/>
    <w:rsid w:val="003208A8"/>
    <w:rsid w:val="003209A2"/>
    <w:rsid w:val="00320BF2"/>
    <w:rsid w:val="00320C3C"/>
    <w:rsid w:val="00320E76"/>
    <w:rsid w:val="003214A4"/>
    <w:rsid w:val="003214B2"/>
    <w:rsid w:val="003214DF"/>
    <w:rsid w:val="003214E2"/>
    <w:rsid w:val="00321548"/>
    <w:rsid w:val="00321690"/>
    <w:rsid w:val="00321848"/>
    <w:rsid w:val="0032192D"/>
    <w:rsid w:val="003219E3"/>
    <w:rsid w:val="00321B7F"/>
    <w:rsid w:val="00322028"/>
    <w:rsid w:val="003220E6"/>
    <w:rsid w:val="003221AA"/>
    <w:rsid w:val="00322559"/>
    <w:rsid w:val="00322758"/>
    <w:rsid w:val="0032287F"/>
    <w:rsid w:val="00322959"/>
    <w:rsid w:val="003229A1"/>
    <w:rsid w:val="00322AFE"/>
    <w:rsid w:val="00322E0D"/>
    <w:rsid w:val="003233F1"/>
    <w:rsid w:val="0032363E"/>
    <w:rsid w:val="00323707"/>
    <w:rsid w:val="00323A04"/>
    <w:rsid w:val="00323D23"/>
    <w:rsid w:val="00323D53"/>
    <w:rsid w:val="00323DBF"/>
    <w:rsid w:val="00323E44"/>
    <w:rsid w:val="00323ECD"/>
    <w:rsid w:val="00323F2F"/>
    <w:rsid w:val="00324088"/>
    <w:rsid w:val="003242C2"/>
    <w:rsid w:val="00324315"/>
    <w:rsid w:val="003244D8"/>
    <w:rsid w:val="00324856"/>
    <w:rsid w:val="00324DAC"/>
    <w:rsid w:val="00324E3C"/>
    <w:rsid w:val="00324F35"/>
    <w:rsid w:val="0032505A"/>
    <w:rsid w:val="0032544C"/>
    <w:rsid w:val="00325467"/>
    <w:rsid w:val="003255C5"/>
    <w:rsid w:val="0032582C"/>
    <w:rsid w:val="00325A43"/>
    <w:rsid w:val="00325B29"/>
    <w:rsid w:val="00325C59"/>
    <w:rsid w:val="00325E6C"/>
    <w:rsid w:val="00325ED1"/>
    <w:rsid w:val="00325F80"/>
    <w:rsid w:val="00325FEC"/>
    <w:rsid w:val="00326202"/>
    <w:rsid w:val="00326378"/>
    <w:rsid w:val="003266F3"/>
    <w:rsid w:val="00326894"/>
    <w:rsid w:val="003269BA"/>
    <w:rsid w:val="00326B07"/>
    <w:rsid w:val="00326C60"/>
    <w:rsid w:val="00326E33"/>
    <w:rsid w:val="00326E75"/>
    <w:rsid w:val="00326F53"/>
    <w:rsid w:val="0032707B"/>
    <w:rsid w:val="003271A7"/>
    <w:rsid w:val="003271D7"/>
    <w:rsid w:val="00327222"/>
    <w:rsid w:val="00327262"/>
    <w:rsid w:val="00327269"/>
    <w:rsid w:val="003273A1"/>
    <w:rsid w:val="00327867"/>
    <w:rsid w:val="00327B47"/>
    <w:rsid w:val="003300C4"/>
    <w:rsid w:val="003300E1"/>
    <w:rsid w:val="003301FE"/>
    <w:rsid w:val="0033024C"/>
    <w:rsid w:val="003307B7"/>
    <w:rsid w:val="00330873"/>
    <w:rsid w:val="00330910"/>
    <w:rsid w:val="00330D2C"/>
    <w:rsid w:val="00330E24"/>
    <w:rsid w:val="00330F6F"/>
    <w:rsid w:val="003311A7"/>
    <w:rsid w:val="00331207"/>
    <w:rsid w:val="00331478"/>
    <w:rsid w:val="00331608"/>
    <w:rsid w:val="00331661"/>
    <w:rsid w:val="0033176E"/>
    <w:rsid w:val="00331784"/>
    <w:rsid w:val="00331958"/>
    <w:rsid w:val="00331A55"/>
    <w:rsid w:val="00331B05"/>
    <w:rsid w:val="00331F81"/>
    <w:rsid w:val="00332336"/>
    <w:rsid w:val="003323D9"/>
    <w:rsid w:val="003323DC"/>
    <w:rsid w:val="00332A3A"/>
    <w:rsid w:val="00332A77"/>
    <w:rsid w:val="00332CD0"/>
    <w:rsid w:val="00332EC4"/>
    <w:rsid w:val="00332F52"/>
    <w:rsid w:val="00332FA8"/>
    <w:rsid w:val="003332B7"/>
    <w:rsid w:val="003332CA"/>
    <w:rsid w:val="003332DD"/>
    <w:rsid w:val="00333678"/>
    <w:rsid w:val="003336D3"/>
    <w:rsid w:val="003336DE"/>
    <w:rsid w:val="0033370C"/>
    <w:rsid w:val="00333719"/>
    <w:rsid w:val="00333837"/>
    <w:rsid w:val="00333886"/>
    <w:rsid w:val="00333900"/>
    <w:rsid w:val="00333938"/>
    <w:rsid w:val="00333AA8"/>
    <w:rsid w:val="00333DB1"/>
    <w:rsid w:val="00333E8F"/>
    <w:rsid w:val="00333E91"/>
    <w:rsid w:val="00334174"/>
    <w:rsid w:val="0033426A"/>
    <w:rsid w:val="0033437E"/>
    <w:rsid w:val="00334557"/>
    <w:rsid w:val="00334AA9"/>
    <w:rsid w:val="00334B3E"/>
    <w:rsid w:val="00334C07"/>
    <w:rsid w:val="00334C0A"/>
    <w:rsid w:val="00334E3D"/>
    <w:rsid w:val="00334EE5"/>
    <w:rsid w:val="00334F2E"/>
    <w:rsid w:val="00335081"/>
    <w:rsid w:val="003350BB"/>
    <w:rsid w:val="0033521D"/>
    <w:rsid w:val="003354B9"/>
    <w:rsid w:val="003354CF"/>
    <w:rsid w:val="00335595"/>
    <w:rsid w:val="0033562E"/>
    <w:rsid w:val="003357A0"/>
    <w:rsid w:val="00335A7C"/>
    <w:rsid w:val="00335ABC"/>
    <w:rsid w:val="00335AFC"/>
    <w:rsid w:val="00335B07"/>
    <w:rsid w:val="00335B9E"/>
    <w:rsid w:val="00335CFB"/>
    <w:rsid w:val="00335E07"/>
    <w:rsid w:val="00335E98"/>
    <w:rsid w:val="00335FA8"/>
    <w:rsid w:val="00336091"/>
    <w:rsid w:val="003360C6"/>
    <w:rsid w:val="00336376"/>
    <w:rsid w:val="00336518"/>
    <w:rsid w:val="00336583"/>
    <w:rsid w:val="00336598"/>
    <w:rsid w:val="00336705"/>
    <w:rsid w:val="00336817"/>
    <w:rsid w:val="00336A59"/>
    <w:rsid w:val="00336D4B"/>
    <w:rsid w:val="00337186"/>
    <w:rsid w:val="00337288"/>
    <w:rsid w:val="003373F2"/>
    <w:rsid w:val="00337487"/>
    <w:rsid w:val="003374EA"/>
    <w:rsid w:val="0033752D"/>
    <w:rsid w:val="003375FD"/>
    <w:rsid w:val="00337669"/>
    <w:rsid w:val="0033780E"/>
    <w:rsid w:val="003378C6"/>
    <w:rsid w:val="00337944"/>
    <w:rsid w:val="00337D01"/>
    <w:rsid w:val="00340218"/>
    <w:rsid w:val="00340306"/>
    <w:rsid w:val="00340480"/>
    <w:rsid w:val="003406D2"/>
    <w:rsid w:val="00340AAC"/>
    <w:rsid w:val="00340AEA"/>
    <w:rsid w:val="00340B7E"/>
    <w:rsid w:val="00340CC8"/>
    <w:rsid w:val="00340CE5"/>
    <w:rsid w:val="00341012"/>
    <w:rsid w:val="003413CF"/>
    <w:rsid w:val="00341AB9"/>
    <w:rsid w:val="00341CF1"/>
    <w:rsid w:val="00341D81"/>
    <w:rsid w:val="00341E96"/>
    <w:rsid w:val="00341ECE"/>
    <w:rsid w:val="00341F54"/>
    <w:rsid w:val="00341F8A"/>
    <w:rsid w:val="003423F8"/>
    <w:rsid w:val="003426C1"/>
    <w:rsid w:val="00342783"/>
    <w:rsid w:val="003428A0"/>
    <w:rsid w:val="0034294B"/>
    <w:rsid w:val="00342F5A"/>
    <w:rsid w:val="00343251"/>
    <w:rsid w:val="0034332E"/>
    <w:rsid w:val="0034339E"/>
    <w:rsid w:val="003435F0"/>
    <w:rsid w:val="00343622"/>
    <w:rsid w:val="00343665"/>
    <w:rsid w:val="0034398B"/>
    <w:rsid w:val="00343B98"/>
    <w:rsid w:val="00343E0D"/>
    <w:rsid w:val="003440BA"/>
    <w:rsid w:val="00344319"/>
    <w:rsid w:val="003448E1"/>
    <w:rsid w:val="0034497F"/>
    <w:rsid w:val="00344A40"/>
    <w:rsid w:val="00344A81"/>
    <w:rsid w:val="00344E4D"/>
    <w:rsid w:val="0034505E"/>
    <w:rsid w:val="0034517E"/>
    <w:rsid w:val="0034575E"/>
    <w:rsid w:val="00345859"/>
    <w:rsid w:val="00345AC2"/>
    <w:rsid w:val="00345B42"/>
    <w:rsid w:val="00345B57"/>
    <w:rsid w:val="00345B5E"/>
    <w:rsid w:val="00345C57"/>
    <w:rsid w:val="00345D80"/>
    <w:rsid w:val="00345ECC"/>
    <w:rsid w:val="003463F3"/>
    <w:rsid w:val="00346443"/>
    <w:rsid w:val="00346500"/>
    <w:rsid w:val="00346671"/>
    <w:rsid w:val="00346889"/>
    <w:rsid w:val="003468A0"/>
    <w:rsid w:val="003469FD"/>
    <w:rsid w:val="00346A38"/>
    <w:rsid w:val="00346A46"/>
    <w:rsid w:val="00346B59"/>
    <w:rsid w:val="00346D4C"/>
    <w:rsid w:val="003472FC"/>
    <w:rsid w:val="0034758A"/>
    <w:rsid w:val="00347652"/>
    <w:rsid w:val="003477E0"/>
    <w:rsid w:val="00347B8A"/>
    <w:rsid w:val="00347C72"/>
    <w:rsid w:val="00347C9E"/>
    <w:rsid w:val="00347D8F"/>
    <w:rsid w:val="00347F3F"/>
    <w:rsid w:val="003503E8"/>
    <w:rsid w:val="0035072C"/>
    <w:rsid w:val="0035074A"/>
    <w:rsid w:val="003507D6"/>
    <w:rsid w:val="00350810"/>
    <w:rsid w:val="00350C1D"/>
    <w:rsid w:val="00350CA5"/>
    <w:rsid w:val="00350EAA"/>
    <w:rsid w:val="0035102D"/>
    <w:rsid w:val="00351366"/>
    <w:rsid w:val="00351420"/>
    <w:rsid w:val="003514E0"/>
    <w:rsid w:val="00351853"/>
    <w:rsid w:val="00351AF8"/>
    <w:rsid w:val="00351B0E"/>
    <w:rsid w:val="00351DFD"/>
    <w:rsid w:val="00351EE2"/>
    <w:rsid w:val="0035255F"/>
    <w:rsid w:val="003525DF"/>
    <w:rsid w:val="003528CD"/>
    <w:rsid w:val="00352E70"/>
    <w:rsid w:val="0035303A"/>
    <w:rsid w:val="003533BF"/>
    <w:rsid w:val="003534AF"/>
    <w:rsid w:val="0035355A"/>
    <w:rsid w:val="0035377B"/>
    <w:rsid w:val="003538F8"/>
    <w:rsid w:val="00353F89"/>
    <w:rsid w:val="00354047"/>
    <w:rsid w:val="003542E2"/>
    <w:rsid w:val="00354323"/>
    <w:rsid w:val="0035434F"/>
    <w:rsid w:val="0035437C"/>
    <w:rsid w:val="003543A0"/>
    <w:rsid w:val="003547E6"/>
    <w:rsid w:val="00354869"/>
    <w:rsid w:val="00354A45"/>
    <w:rsid w:val="00354AD6"/>
    <w:rsid w:val="00354C3F"/>
    <w:rsid w:val="00354CC9"/>
    <w:rsid w:val="00354CF4"/>
    <w:rsid w:val="00354F0F"/>
    <w:rsid w:val="00354F77"/>
    <w:rsid w:val="00354FEE"/>
    <w:rsid w:val="0035507C"/>
    <w:rsid w:val="0035510E"/>
    <w:rsid w:val="003553C1"/>
    <w:rsid w:val="00355619"/>
    <w:rsid w:val="003556A5"/>
    <w:rsid w:val="00355703"/>
    <w:rsid w:val="003557F5"/>
    <w:rsid w:val="00355C98"/>
    <w:rsid w:val="003561DD"/>
    <w:rsid w:val="0035634D"/>
    <w:rsid w:val="0035635F"/>
    <w:rsid w:val="00356442"/>
    <w:rsid w:val="003564D1"/>
    <w:rsid w:val="00356522"/>
    <w:rsid w:val="00356609"/>
    <w:rsid w:val="003567E8"/>
    <w:rsid w:val="00356B6A"/>
    <w:rsid w:val="00356DBF"/>
    <w:rsid w:val="00356FAC"/>
    <w:rsid w:val="0035715F"/>
    <w:rsid w:val="00357220"/>
    <w:rsid w:val="00357583"/>
    <w:rsid w:val="003577EB"/>
    <w:rsid w:val="0035783B"/>
    <w:rsid w:val="00357A64"/>
    <w:rsid w:val="00357D63"/>
    <w:rsid w:val="00357FA1"/>
    <w:rsid w:val="0036001A"/>
    <w:rsid w:val="0036013A"/>
    <w:rsid w:val="003601F4"/>
    <w:rsid w:val="00360301"/>
    <w:rsid w:val="00360375"/>
    <w:rsid w:val="00360519"/>
    <w:rsid w:val="003609E1"/>
    <w:rsid w:val="00360A82"/>
    <w:rsid w:val="00360ADE"/>
    <w:rsid w:val="00360CE6"/>
    <w:rsid w:val="00360E02"/>
    <w:rsid w:val="00360E04"/>
    <w:rsid w:val="00360E25"/>
    <w:rsid w:val="00360F0C"/>
    <w:rsid w:val="003610B0"/>
    <w:rsid w:val="003610DC"/>
    <w:rsid w:val="003611C8"/>
    <w:rsid w:val="003611ED"/>
    <w:rsid w:val="003612E6"/>
    <w:rsid w:val="00361329"/>
    <w:rsid w:val="00361561"/>
    <w:rsid w:val="00361B5A"/>
    <w:rsid w:val="00361B86"/>
    <w:rsid w:val="00361C87"/>
    <w:rsid w:val="00361DF3"/>
    <w:rsid w:val="00361EBA"/>
    <w:rsid w:val="00362090"/>
    <w:rsid w:val="003620BA"/>
    <w:rsid w:val="00362104"/>
    <w:rsid w:val="00362156"/>
    <w:rsid w:val="00362232"/>
    <w:rsid w:val="00362401"/>
    <w:rsid w:val="003626C5"/>
    <w:rsid w:val="003629C3"/>
    <w:rsid w:val="003629FC"/>
    <w:rsid w:val="00362ED7"/>
    <w:rsid w:val="00362EF7"/>
    <w:rsid w:val="00363093"/>
    <w:rsid w:val="003630AB"/>
    <w:rsid w:val="0036337E"/>
    <w:rsid w:val="00363469"/>
    <w:rsid w:val="0036369B"/>
    <w:rsid w:val="00363AF1"/>
    <w:rsid w:val="00363DC4"/>
    <w:rsid w:val="00363F45"/>
    <w:rsid w:val="00363FAA"/>
    <w:rsid w:val="00363FD2"/>
    <w:rsid w:val="0036419F"/>
    <w:rsid w:val="0036423B"/>
    <w:rsid w:val="00364250"/>
    <w:rsid w:val="00364269"/>
    <w:rsid w:val="0036444C"/>
    <w:rsid w:val="003644EA"/>
    <w:rsid w:val="00364514"/>
    <w:rsid w:val="003645AE"/>
    <w:rsid w:val="00364629"/>
    <w:rsid w:val="003649CC"/>
    <w:rsid w:val="00364AD8"/>
    <w:rsid w:val="00364E90"/>
    <w:rsid w:val="00364F41"/>
    <w:rsid w:val="003653D0"/>
    <w:rsid w:val="003655D8"/>
    <w:rsid w:val="00365AAD"/>
    <w:rsid w:val="00365B9D"/>
    <w:rsid w:val="00365C9E"/>
    <w:rsid w:val="00365D19"/>
    <w:rsid w:val="003661D6"/>
    <w:rsid w:val="00366248"/>
    <w:rsid w:val="003663B8"/>
    <w:rsid w:val="003664CE"/>
    <w:rsid w:val="00366501"/>
    <w:rsid w:val="003665D4"/>
    <w:rsid w:val="003665EA"/>
    <w:rsid w:val="0036672D"/>
    <w:rsid w:val="0036681A"/>
    <w:rsid w:val="00366AF4"/>
    <w:rsid w:val="00366B1B"/>
    <w:rsid w:val="00366C3F"/>
    <w:rsid w:val="00366D1A"/>
    <w:rsid w:val="00366FFE"/>
    <w:rsid w:val="003671E6"/>
    <w:rsid w:val="0036748B"/>
    <w:rsid w:val="003677B5"/>
    <w:rsid w:val="003679DD"/>
    <w:rsid w:val="00367A42"/>
    <w:rsid w:val="00367B36"/>
    <w:rsid w:val="00367B70"/>
    <w:rsid w:val="00367BA3"/>
    <w:rsid w:val="00367C4F"/>
    <w:rsid w:val="00367F16"/>
    <w:rsid w:val="00370098"/>
    <w:rsid w:val="003701BA"/>
    <w:rsid w:val="0037039B"/>
    <w:rsid w:val="00370554"/>
    <w:rsid w:val="00370650"/>
    <w:rsid w:val="0037067C"/>
    <w:rsid w:val="00370889"/>
    <w:rsid w:val="00370B0E"/>
    <w:rsid w:val="00370D24"/>
    <w:rsid w:val="003714BC"/>
    <w:rsid w:val="00371955"/>
    <w:rsid w:val="00371BD7"/>
    <w:rsid w:val="00371D2C"/>
    <w:rsid w:val="00371E84"/>
    <w:rsid w:val="00371F8C"/>
    <w:rsid w:val="00371FB3"/>
    <w:rsid w:val="00372030"/>
    <w:rsid w:val="00372046"/>
    <w:rsid w:val="0037210C"/>
    <w:rsid w:val="0037218E"/>
    <w:rsid w:val="003721DD"/>
    <w:rsid w:val="00372452"/>
    <w:rsid w:val="0037245C"/>
    <w:rsid w:val="00372661"/>
    <w:rsid w:val="00372850"/>
    <w:rsid w:val="00372A3E"/>
    <w:rsid w:val="00372D9F"/>
    <w:rsid w:val="00372E4E"/>
    <w:rsid w:val="00372E76"/>
    <w:rsid w:val="00372E83"/>
    <w:rsid w:val="00372F09"/>
    <w:rsid w:val="0037301D"/>
    <w:rsid w:val="00373159"/>
    <w:rsid w:val="003731E6"/>
    <w:rsid w:val="003732F7"/>
    <w:rsid w:val="003733F7"/>
    <w:rsid w:val="0037350C"/>
    <w:rsid w:val="003735AC"/>
    <w:rsid w:val="00373656"/>
    <w:rsid w:val="00373765"/>
    <w:rsid w:val="00373773"/>
    <w:rsid w:val="003737AE"/>
    <w:rsid w:val="00373AC9"/>
    <w:rsid w:val="00373C41"/>
    <w:rsid w:val="00373CB8"/>
    <w:rsid w:val="00373D4D"/>
    <w:rsid w:val="00374317"/>
    <w:rsid w:val="0037448A"/>
    <w:rsid w:val="003744EF"/>
    <w:rsid w:val="00374566"/>
    <w:rsid w:val="0037464B"/>
    <w:rsid w:val="00374882"/>
    <w:rsid w:val="003748BA"/>
    <w:rsid w:val="00374975"/>
    <w:rsid w:val="00374A00"/>
    <w:rsid w:val="00374CB6"/>
    <w:rsid w:val="00374D54"/>
    <w:rsid w:val="00374EDD"/>
    <w:rsid w:val="00374F71"/>
    <w:rsid w:val="00374FA0"/>
    <w:rsid w:val="00375137"/>
    <w:rsid w:val="0037518A"/>
    <w:rsid w:val="003755B8"/>
    <w:rsid w:val="00375670"/>
    <w:rsid w:val="003756E9"/>
    <w:rsid w:val="003759C9"/>
    <w:rsid w:val="00375A9E"/>
    <w:rsid w:val="00375AD1"/>
    <w:rsid w:val="00375B2D"/>
    <w:rsid w:val="00375B30"/>
    <w:rsid w:val="00375BBB"/>
    <w:rsid w:val="00375E3D"/>
    <w:rsid w:val="0037618E"/>
    <w:rsid w:val="0037619B"/>
    <w:rsid w:val="00376480"/>
    <w:rsid w:val="003765BC"/>
    <w:rsid w:val="0037663F"/>
    <w:rsid w:val="0037680B"/>
    <w:rsid w:val="00376880"/>
    <w:rsid w:val="00376945"/>
    <w:rsid w:val="003769D0"/>
    <w:rsid w:val="00376A1E"/>
    <w:rsid w:val="00376CD4"/>
    <w:rsid w:val="00376CDD"/>
    <w:rsid w:val="0037706D"/>
    <w:rsid w:val="003771FA"/>
    <w:rsid w:val="0037736F"/>
    <w:rsid w:val="00377489"/>
    <w:rsid w:val="003775A7"/>
    <w:rsid w:val="0037760A"/>
    <w:rsid w:val="0037770A"/>
    <w:rsid w:val="00377A85"/>
    <w:rsid w:val="00377BAF"/>
    <w:rsid w:val="00377BCF"/>
    <w:rsid w:val="00377F8F"/>
    <w:rsid w:val="00377FB4"/>
    <w:rsid w:val="0038002E"/>
    <w:rsid w:val="00380353"/>
    <w:rsid w:val="003809DD"/>
    <w:rsid w:val="003809F9"/>
    <w:rsid w:val="00380A7E"/>
    <w:rsid w:val="00380B97"/>
    <w:rsid w:val="00380FAF"/>
    <w:rsid w:val="00381114"/>
    <w:rsid w:val="00381125"/>
    <w:rsid w:val="00381188"/>
    <w:rsid w:val="003811DC"/>
    <w:rsid w:val="003811EB"/>
    <w:rsid w:val="003812C1"/>
    <w:rsid w:val="003818F5"/>
    <w:rsid w:val="00381B18"/>
    <w:rsid w:val="00381EF1"/>
    <w:rsid w:val="00381F51"/>
    <w:rsid w:val="0038219F"/>
    <w:rsid w:val="003824B1"/>
    <w:rsid w:val="00382553"/>
    <w:rsid w:val="00382556"/>
    <w:rsid w:val="00382591"/>
    <w:rsid w:val="003826C4"/>
    <w:rsid w:val="0038279A"/>
    <w:rsid w:val="00382A6F"/>
    <w:rsid w:val="00382CDB"/>
    <w:rsid w:val="00382F57"/>
    <w:rsid w:val="00382F80"/>
    <w:rsid w:val="00382FE1"/>
    <w:rsid w:val="00383368"/>
    <w:rsid w:val="00383409"/>
    <w:rsid w:val="00383541"/>
    <w:rsid w:val="00383682"/>
    <w:rsid w:val="0038373E"/>
    <w:rsid w:val="0038386D"/>
    <w:rsid w:val="00383B20"/>
    <w:rsid w:val="00383BC3"/>
    <w:rsid w:val="00383ED3"/>
    <w:rsid w:val="00383F55"/>
    <w:rsid w:val="003840DE"/>
    <w:rsid w:val="00384325"/>
    <w:rsid w:val="00384459"/>
    <w:rsid w:val="003845D0"/>
    <w:rsid w:val="003847E8"/>
    <w:rsid w:val="00384951"/>
    <w:rsid w:val="00384A33"/>
    <w:rsid w:val="00384A7B"/>
    <w:rsid w:val="00384A86"/>
    <w:rsid w:val="00384BBF"/>
    <w:rsid w:val="00384C48"/>
    <w:rsid w:val="00384C7B"/>
    <w:rsid w:val="00384CD5"/>
    <w:rsid w:val="00384F0E"/>
    <w:rsid w:val="00384F72"/>
    <w:rsid w:val="00385383"/>
    <w:rsid w:val="00385709"/>
    <w:rsid w:val="00385776"/>
    <w:rsid w:val="003857A5"/>
    <w:rsid w:val="00385A56"/>
    <w:rsid w:val="00385C15"/>
    <w:rsid w:val="00385C70"/>
    <w:rsid w:val="00385CCD"/>
    <w:rsid w:val="00385DA2"/>
    <w:rsid w:val="00385FC7"/>
    <w:rsid w:val="003863A3"/>
    <w:rsid w:val="00386638"/>
    <w:rsid w:val="0038672A"/>
    <w:rsid w:val="00386803"/>
    <w:rsid w:val="00386A3B"/>
    <w:rsid w:val="00386ADF"/>
    <w:rsid w:val="003874EE"/>
    <w:rsid w:val="003876E1"/>
    <w:rsid w:val="003877E1"/>
    <w:rsid w:val="00387B8E"/>
    <w:rsid w:val="00387C9D"/>
    <w:rsid w:val="00387DE4"/>
    <w:rsid w:val="00390040"/>
    <w:rsid w:val="003901FB"/>
    <w:rsid w:val="00390385"/>
    <w:rsid w:val="003903EE"/>
    <w:rsid w:val="0039045A"/>
    <w:rsid w:val="00390498"/>
    <w:rsid w:val="00390572"/>
    <w:rsid w:val="003905D0"/>
    <w:rsid w:val="0039074F"/>
    <w:rsid w:val="0039076B"/>
    <w:rsid w:val="00390841"/>
    <w:rsid w:val="00390AE8"/>
    <w:rsid w:val="00390B03"/>
    <w:rsid w:val="00390D14"/>
    <w:rsid w:val="00390DC6"/>
    <w:rsid w:val="00390EFB"/>
    <w:rsid w:val="00391115"/>
    <w:rsid w:val="00391337"/>
    <w:rsid w:val="00391366"/>
    <w:rsid w:val="003914A3"/>
    <w:rsid w:val="00391720"/>
    <w:rsid w:val="00391A1A"/>
    <w:rsid w:val="00391A79"/>
    <w:rsid w:val="00391D07"/>
    <w:rsid w:val="00391D6F"/>
    <w:rsid w:val="00391F4E"/>
    <w:rsid w:val="0039210B"/>
    <w:rsid w:val="00392464"/>
    <w:rsid w:val="003925E9"/>
    <w:rsid w:val="00392A69"/>
    <w:rsid w:val="00392CE4"/>
    <w:rsid w:val="003934D6"/>
    <w:rsid w:val="0039351C"/>
    <w:rsid w:val="003935A4"/>
    <w:rsid w:val="00393630"/>
    <w:rsid w:val="003938D1"/>
    <w:rsid w:val="00393A07"/>
    <w:rsid w:val="00393B78"/>
    <w:rsid w:val="00393C96"/>
    <w:rsid w:val="00393DEE"/>
    <w:rsid w:val="00393E01"/>
    <w:rsid w:val="00393E63"/>
    <w:rsid w:val="00393FEA"/>
    <w:rsid w:val="00394195"/>
    <w:rsid w:val="003941A5"/>
    <w:rsid w:val="00394276"/>
    <w:rsid w:val="00394513"/>
    <w:rsid w:val="00394530"/>
    <w:rsid w:val="003945C4"/>
    <w:rsid w:val="003945DC"/>
    <w:rsid w:val="00394A09"/>
    <w:rsid w:val="00394BEC"/>
    <w:rsid w:val="00394C44"/>
    <w:rsid w:val="00394D59"/>
    <w:rsid w:val="00394D87"/>
    <w:rsid w:val="00394F33"/>
    <w:rsid w:val="003952E6"/>
    <w:rsid w:val="00395315"/>
    <w:rsid w:val="0039546F"/>
    <w:rsid w:val="003954D5"/>
    <w:rsid w:val="00395555"/>
    <w:rsid w:val="0039567C"/>
    <w:rsid w:val="003956EB"/>
    <w:rsid w:val="00395AAA"/>
    <w:rsid w:val="00395B41"/>
    <w:rsid w:val="00395D26"/>
    <w:rsid w:val="00395D41"/>
    <w:rsid w:val="00395DC0"/>
    <w:rsid w:val="00395F3A"/>
    <w:rsid w:val="00395F74"/>
    <w:rsid w:val="0039608A"/>
    <w:rsid w:val="003961DE"/>
    <w:rsid w:val="003961F0"/>
    <w:rsid w:val="003963F1"/>
    <w:rsid w:val="003965D4"/>
    <w:rsid w:val="003968FA"/>
    <w:rsid w:val="00396960"/>
    <w:rsid w:val="00396C3F"/>
    <w:rsid w:val="00396C7D"/>
    <w:rsid w:val="00396E91"/>
    <w:rsid w:val="0039707C"/>
    <w:rsid w:val="003971C9"/>
    <w:rsid w:val="0039763E"/>
    <w:rsid w:val="00397817"/>
    <w:rsid w:val="00397C73"/>
    <w:rsid w:val="00397D87"/>
    <w:rsid w:val="00397DC5"/>
    <w:rsid w:val="00397E06"/>
    <w:rsid w:val="003A0313"/>
    <w:rsid w:val="003A0366"/>
    <w:rsid w:val="003A045E"/>
    <w:rsid w:val="003A05CF"/>
    <w:rsid w:val="003A072C"/>
    <w:rsid w:val="003A09B3"/>
    <w:rsid w:val="003A0A21"/>
    <w:rsid w:val="003A0A42"/>
    <w:rsid w:val="003A0E77"/>
    <w:rsid w:val="003A10A9"/>
    <w:rsid w:val="003A15DB"/>
    <w:rsid w:val="003A16EC"/>
    <w:rsid w:val="003A1DDC"/>
    <w:rsid w:val="003A1E30"/>
    <w:rsid w:val="003A1F97"/>
    <w:rsid w:val="003A2600"/>
    <w:rsid w:val="003A2C5F"/>
    <w:rsid w:val="003A2C63"/>
    <w:rsid w:val="003A2F21"/>
    <w:rsid w:val="003A31BA"/>
    <w:rsid w:val="003A32D4"/>
    <w:rsid w:val="003A3679"/>
    <w:rsid w:val="003A3A91"/>
    <w:rsid w:val="003A3B3D"/>
    <w:rsid w:val="003A3CB1"/>
    <w:rsid w:val="003A440E"/>
    <w:rsid w:val="003A4495"/>
    <w:rsid w:val="003A451A"/>
    <w:rsid w:val="003A451B"/>
    <w:rsid w:val="003A45A0"/>
    <w:rsid w:val="003A45D3"/>
    <w:rsid w:val="003A472F"/>
    <w:rsid w:val="003A479F"/>
    <w:rsid w:val="003A489A"/>
    <w:rsid w:val="003A48DB"/>
    <w:rsid w:val="003A4BE7"/>
    <w:rsid w:val="003A4F31"/>
    <w:rsid w:val="003A5068"/>
    <w:rsid w:val="003A5339"/>
    <w:rsid w:val="003A534D"/>
    <w:rsid w:val="003A56D6"/>
    <w:rsid w:val="003A586D"/>
    <w:rsid w:val="003A5A76"/>
    <w:rsid w:val="003A5F00"/>
    <w:rsid w:val="003A5F1C"/>
    <w:rsid w:val="003A5F21"/>
    <w:rsid w:val="003A5F2B"/>
    <w:rsid w:val="003A5F73"/>
    <w:rsid w:val="003A60B0"/>
    <w:rsid w:val="003A613C"/>
    <w:rsid w:val="003A6196"/>
    <w:rsid w:val="003A6284"/>
    <w:rsid w:val="003A62CC"/>
    <w:rsid w:val="003A6309"/>
    <w:rsid w:val="003A6424"/>
    <w:rsid w:val="003A6532"/>
    <w:rsid w:val="003A655B"/>
    <w:rsid w:val="003A663B"/>
    <w:rsid w:val="003A6985"/>
    <w:rsid w:val="003A69FD"/>
    <w:rsid w:val="003A6A68"/>
    <w:rsid w:val="003A6AE2"/>
    <w:rsid w:val="003A6B40"/>
    <w:rsid w:val="003A6E85"/>
    <w:rsid w:val="003A6EB0"/>
    <w:rsid w:val="003A6F11"/>
    <w:rsid w:val="003A732A"/>
    <w:rsid w:val="003A7474"/>
    <w:rsid w:val="003A7745"/>
    <w:rsid w:val="003A784A"/>
    <w:rsid w:val="003A78FB"/>
    <w:rsid w:val="003A7C7F"/>
    <w:rsid w:val="003A7FDE"/>
    <w:rsid w:val="003B026F"/>
    <w:rsid w:val="003B04E6"/>
    <w:rsid w:val="003B077B"/>
    <w:rsid w:val="003B07B8"/>
    <w:rsid w:val="003B087C"/>
    <w:rsid w:val="003B0A87"/>
    <w:rsid w:val="003B0B0E"/>
    <w:rsid w:val="003B0D46"/>
    <w:rsid w:val="003B0D6B"/>
    <w:rsid w:val="003B0E68"/>
    <w:rsid w:val="003B0EF8"/>
    <w:rsid w:val="003B0F11"/>
    <w:rsid w:val="003B0F44"/>
    <w:rsid w:val="003B0F8C"/>
    <w:rsid w:val="003B10BE"/>
    <w:rsid w:val="003B1177"/>
    <w:rsid w:val="003B132F"/>
    <w:rsid w:val="003B137B"/>
    <w:rsid w:val="003B15B2"/>
    <w:rsid w:val="003B15DC"/>
    <w:rsid w:val="003B1739"/>
    <w:rsid w:val="003B176A"/>
    <w:rsid w:val="003B1772"/>
    <w:rsid w:val="003B17C7"/>
    <w:rsid w:val="003B1872"/>
    <w:rsid w:val="003B1AD7"/>
    <w:rsid w:val="003B1DA7"/>
    <w:rsid w:val="003B1E10"/>
    <w:rsid w:val="003B1E1A"/>
    <w:rsid w:val="003B1FBB"/>
    <w:rsid w:val="003B21BB"/>
    <w:rsid w:val="003B237E"/>
    <w:rsid w:val="003B2935"/>
    <w:rsid w:val="003B2994"/>
    <w:rsid w:val="003B29C7"/>
    <w:rsid w:val="003B2BE7"/>
    <w:rsid w:val="003B2D3C"/>
    <w:rsid w:val="003B3059"/>
    <w:rsid w:val="003B333A"/>
    <w:rsid w:val="003B36C8"/>
    <w:rsid w:val="003B36D5"/>
    <w:rsid w:val="003B3853"/>
    <w:rsid w:val="003B3B35"/>
    <w:rsid w:val="003B3CB5"/>
    <w:rsid w:val="003B3CE0"/>
    <w:rsid w:val="003B3CF5"/>
    <w:rsid w:val="003B3D90"/>
    <w:rsid w:val="003B4252"/>
    <w:rsid w:val="003B4775"/>
    <w:rsid w:val="003B4782"/>
    <w:rsid w:val="003B4839"/>
    <w:rsid w:val="003B49D5"/>
    <w:rsid w:val="003B4B3A"/>
    <w:rsid w:val="003B4BB5"/>
    <w:rsid w:val="003B4BBB"/>
    <w:rsid w:val="003B4CE0"/>
    <w:rsid w:val="003B4FC1"/>
    <w:rsid w:val="003B4FC4"/>
    <w:rsid w:val="003B528E"/>
    <w:rsid w:val="003B5359"/>
    <w:rsid w:val="003B5362"/>
    <w:rsid w:val="003B56E7"/>
    <w:rsid w:val="003B589F"/>
    <w:rsid w:val="003B59AB"/>
    <w:rsid w:val="003B5AF4"/>
    <w:rsid w:val="003B5BEB"/>
    <w:rsid w:val="003B5E6A"/>
    <w:rsid w:val="003B5F3F"/>
    <w:rsid w:val="003B5F9C"/>
    <w:rsid w:val="003B6478"/>
    <w:rsid w:val="003B653C"/>
    <w:rsid w:val="003B6583"/>
    <w:rsid w:val="003B65AB"/>
    <w:rsid w:val="003B6736"/>
    <w:rsid w:val="003B67FF"/>
    <w:rsid w:val="003B6881"/>
    <w:rsid w:val="003B68D0"/>
    <w:rsid w:val="003B6923"/>
    <w:rsid w:val="003B6B0C"/>
    <w:rsid w:val="003B6B5E"/>
    <w:rsid w:val="003B6CEB"/>
    <w:rsid w:val="003B6F1D"/>
    <w:rsid w:val="003B6F2F"/>
    <w:rsid w:val="003B710E"/>
    <w:rsid w:val="003B7218"/>
    <w:rsid w:val="003B7374"/>
    <w:rsid w:val="003B7797"/>
    <w:rsid w:val="003B78E6"/>
    <w:rsid w:val="003B7BA3"/>
    <w:rsid w:val="003B7C8A"/>
    <w:rsid w:val="003B7EE9"/>
    <w:rsid w:val="003C00E9"/>
    <w:rsid w:val="003C0250"/>
    <w:rsid w:val="003C031D"/>
    <w:rsid w:val="003C0334"/>
    <w:rsid w:val="003C03F7"/>
    <w:rsid w:val="003C0528"/>
    <w:rsid w:val="003C0579"/>
    <w:rsid w:val="003C057A"/>
    <w:rsid w:val="003C06FF"/>
    <w:rsid w:val="003C0733"/>
    <w:rsid w:val="003C092E"/>
    <w:rsid w:val="003C0976"/>
    <w:rsid w:val="003C0A1B"/>
    <w:rsid w:val="003C0B1D"/>
    <w:rsid w:val="003C0CC5"/>
    <w:rsid w:val="003C0F53"/>
    <w:rsid w:val="003C0FB3"/>
    <w:rsid w:val="003C1023"/>
    <w:rsid w:val="003C1250"/>
    <w:rsid w:val="003C169C"/>
    <w:rsid w:val="003C16EB"/>
    <w:rsid w:val="003C1811"/>
    <w:rsid w:val="003C1813"/>
    <w:rsid w:val="003C1993"/>
    <w:rsid w:val="003C1AED"/>
    <w:rsid w:val="003C1D57"/>
    <w:rsid w:val="003C20BF"/>
    <w:rsid w:val="003C2245"/>
    <w:rsid w:val="003C2258"/>
    <w:rsid w:val="003C228B"/>
    <w:rsid w:val="003C2321"/>
    <w:rsid w:val="003C2334"/>
    <w:rsid w:val="003C24E9"/>
    <w:rsid w:val="003C263B"/>
    <w:rsid w:val="003C2646"/>
    <w:rsid w:val="003C28F4"/>
    <w:rsid w:val="003C2AB8"/>
    <w:rsid w:val="003C2BBD"/>
    <w:rsid w:val="003C2BEF"/>
    <w:rsid w:val="003C2C43"/>
    <w:rsid w:val="003C2C87"/>
    <w:rsid w:val="003C2CAC"/>
    <w:rsid w:val="003C2E0A"/>
    <w:rsid w:val="003C2E7D"/>
    <w:rsid w:val="003C307B"/>
    <w:rsid w:val="003C3127"/>
    <w:rsid w:val="003C340C"/>
    <w:rsid w:val="003C343E"/>
    <w:rsid w:val="003C3514"/>
    <w:rsid w:val="003C3571"/>
    <w:rsid w:val="003C357E"/>
    <w:rsid w:val="003C364A"/>
    <w:rsid w:val="003C3721"/>
    <w:rsid w:val="003C3987"/>
    <w:rsid w:val="003C3A8B"/>
    <w:rsid w:val="003C3D40"/>
    <w:rsid w:val="003C3D5B"/>
    <w:rsid w:val="003C3D64"/>
    <w:rsid w:val="003C3DB0"/>
    <w:rsid w:val="003C3F4F"/>
    <w:rsid w:val="003C3FA3"/>
    <w:rsid w:val="003C40A1"/>
    <w:rsid w:val="003C43EC"/>
    <w:rsid w:val="003C4670"/>
    <w:rsid w:val="003C4713"/>
    <w:rsid w:val="003C4912"/>
    <w:rsid w:val="003C49C0"/>
    <w:rsid w:val="003C4B23"/>
    <w:rsid w:val="003C4EB6"/>
    <w:rsid w:val="003C4F7B"/>
    <w:rsid w:val="003C4FD4"/>
    <w:rsid w:val="003C50B6"/>
    <w:rsid w:val="003C50C7"/>
    <w:rsid w:val="003C5126"/>
    <w:rsid w:val="003C5156"/>
    <w:rsid w:val="003C5244"/>
    <w:rsid w:val="003C53FE"/>
    <w:rsid w:val="003C55B2"/>
    <w:rsid w:val="003C5751"/>
    <w:rsid w:val="003C5A14"/>
    <w:rsid w:val="003C5D30"/>
    <w:rsid w:val="003C5D5E"/>
    <w:rsid w:val="003C616E"/>
    <w:rsid w:val="003C6647"/>
    <w:rsid w:val="003C67D2"/>
    <w:rsid w:val="003C6B6B"/>
    <w:rsid w:val="003C6C3B"/>
    <w:rsid w:val="003C6CE4"/>
    <w:rsid w:val="003C6E45"/>
    <w:rsid w:val="003C6E92"/>
    <w:rsid w:val="003C6EBB"/>
    <w:rsid w:val="003C7107"/>
    <w:rsid w:val="003C737C"/>
    <w:rsid w:val="003C7758"/>
    <w:rsid w:val="003C7A8B"/>
    <w:rsid w:val="003C7FBC"/>
    <w:rsid w:val="003D037A"/>
    <w:rsid w:val="003D03FC"/>
    <w:rsid w:val="003D042A"/>
    <w:rsid w:val="003D0733"/>
    <w:rsid w:val="003D0780"/>
    <w:rsid w:val="003D0850"/>
    <w:rsid w:val="003D08F6"/>
    <w:rsid w:val="003D098B"/>
    <w:rsid w:val="003D0A1F"/>
    <w:rsid w:val="003D0AE8"/>
    <w:rsid w:val="003D0E7A"/>
    <w:rsid w:val="003D0E81"/>
    <w:rsid w:val="003D1017"/>
    <w:rsid w:val="003D10BB"/>
    <w:rsid w:val="003D1397"/>
    <w:rsid w:val="003D1594"/>
    <w:rsid w:val="003D1A4E"/>
    <w:rsid w:val="003D1A7F"/>
    <w:rsid w:val="003D1B4E"/>
    <w:rsid w:val="003D1CD2"/>
    <w:rsid w:val="003D1D62"/>
    <w:rsid w:val="003D2062"/>
    <w:rsid w:val="003D2222"/>
    <w:rsid w:val="003D225C"/>
    <w:rsid w:val="003D22E9"/>
    <w:rsid w:val="003D23DA"/>
    <w:rsid w:val="003D245E"/>
    <w:rsid w:val="003D281E"/>
    <w:rsid w:val="003D2845"/>
    <w:rsid w:val="003D285A"/>
    <w:rsid w:val="003D28A7"/>
    <w:rsid w:val="003D2A05"/>
    <w:rsid w:val="003D2AA9"/>
    <w:rsid w:val="003D2C4A"/>
    <w:rsid w:val="003D2CE3"/>
    <w:rsid w:val="003D2D5F"/>
    <w:rsid w:val="003D31A5"/>
    <w:rsid w:val="003D3329"/>
    <w:rsid w:val="003D3A06"/>
    <w:rsid w:val="003D3BAE"/>
    <w:rsid w:val="003D3BF2"/>
    <w:rsid w:val="003D3C90"/>
    <w:rsid w:val="003D3D1F"/>
    <w:rsid w:val="003D3D94"/>
    <w:rsid w:val="003D3F0D"/>
    <w:rsid w:val="003D3F39"/>
    <w:rsid w:val="003D4313"/>
    <w:rsid w:val="003D4325"/>
    <w:rsid w:val="003D44D2"/>
    <w:rsid w:val="003D4592"/>
    <w:rsid w:val="003D4618"/>
    <w:rsid w:val="003D4636"/>
    <w:rsid w:val="003D4750"/>
    <w:rsid w:val="003D4765"/>
    <w:rsid w:val="003D4BCA"/>
    <w:rsid w:val="003D4EE8"/>
    <w:rsid w:val="003D519F"/>
    <w:rsid w:val="003D51CA"/>
    <w:rsid w:val="003D53C8"/>
    <w:rsid w:val="003D55DE"/>
    <w:rsid w:val="003D59F0"/>
    <w:rsid w:val="003D5AD4"/>
    <w:rsid w:val="003D5AEC"/>
    <w:rsid w:val="003D5C81"/>
    <w:rsid w:val="003D60D5"/>
    <w:rsid w:val="003D611E"/>
    <w:rsid w:val="003D61A9"/>
    <w:rsid w:val="003D62F3"/>
    <w:rsid w:val="003D6452"/>
    <w:rsid w:val="003D6555"/>
    <w:rsid w:val="003D656F"/>
    <w:rsid w:val="003D6A1E"/>
    <w:rsid w:val="003D6BF7"/>
    <w:rsid w:val="003D70CF"/>
    <w:rsid w:val="003D712D"/>
    <w:rsid w:val="003D713D"/>
    <w:rsid w:val="003D7162"/>
    <w:rsid w:val="003D7480"/>
    <w:rsid w:val="003D76BA"/>
    <w:rsid w:val="003D777D"/>
    <w:rsid w:val="003D7957"/>
    <w:rsid w:val="003D799A"/>
    <w:rsid w:val="003D7A93"/>
    <w:rsid w:val="003D7C14"/>
    <w:rsid w:val="003D7FDA"/>
    <w:rsid w:val="003E037E"/>
    <w:rsid w:val="003E06B6"/>
    <w:rsid w:val="003E094C"/>
    <w:rsid w:val="003E0956"/>
    <w:rsid w:val="003E0B43"/>
    <w:rsid w:val="003E0BE0"/>
    <w:rsid w:val="003E1173"/>
    <w:rsid w:val="003E1321"/>
    <w:rsid w:val="003E167A"/>
    <w:rsid w:val="003E18D7"/>
    <w:rsid w:val="003E199C"/>
    <w:rsid w:val="003E1DCB"/>
    <w:rsid w:val="003E1E2F"/>
    <w:rsid w:val="003E21BC"/>
    <w:rsid w:val="003E25B0"/>
    <w:rsid w:val="003E2741"/>
    <w:rsid w:val="003E2774"/>
    <w:rsid w:val="003E2851"/>
    <w:rsid w:val="003E285E"/>
    <w:rsid w:val="003E2CE4"/>
    <w:rsid w:val="003E2DAE"/>
    <w:rsid w:val="003E2EB6"/>
    <w:rsid w:val="003E2FF8"/>
    <w:rsid w:val="003E3071"/>
    <w:rsid w:val="003E3095"/>
    <w:rsid w:val="003E34AD"/>
    <w:rsid w:val="003E34E9"/>
    <w:rsid w:val="003E350A"/>
    <w:rsid w:val="003E35D9"/>
    <w:rsid w:val="003E37B3"/>
    <w:rsid w:val="003E3A5B"/>
    <w:rsid w:val="003E3DAB"/>
    <w:rsid w:val="003E43D6"/>
    <w:rsid w:val="003E44BE"/>
    <w:rsid w:val="003E4500"/>
    <w:rsid w:val="003E4558"/>
    <w:rsid w:val="003E461B"/>
    <w:rsid w:val="003E463F"/>
    <w:rsid w:val="003E4675"/>
    <w:rsid w:val="003E47CD"/>
    <w:rsid w:val="003E4D60"/>
    <w:rsid w:val="003E4DE8"/>
    <w:rsid w:val="003E4F0D"/>
    <w:rsid w:val="003E5055"/>
    <w:rsid w:val="003E51AC"/>
    <w:rsid w:val="003E53A1"/>
    <w:rsid w:val="003E53D0"/>
    <w:rsid w:val="003E53FC"/>
    <w:rsid w:val="003E5486"/>
    <w:rsid w:val="003E556F"/>
    <w:rsid w:val="003E55E4"/>
    <w:rsid w:val="003E59AC"/>
    <w:rsid w:val="003E5B70"/>
    <w:rsid w:val="003E5C5C"/>
    <w:rsid w:val="003E5D42"/>
    <w:rsid w:val="003E5E09"/>
    <w:rsid w:val="003E62BF"/>
    <w:rsid w:val="003E6536"/>
    <w:rsid w:val="003E680F"/>
    <w:rsid w:val="003E68F8"/>
    <w:rsid w:val="003E6AB7"/>
    <w:rsid w:val="003E6BD4"/>
    <w:rsid w:val="003E6D12"/>
    <w:rsid w:val="003E6E13"/>
    <w:rsid w:val="003E6EFA"/>
    <w:rsid w:val="003E7116"/>
    <w:rsid w:val="003E719C"/>
    <w:rsid w:val="003E7230"/>
    <w:rsid w:val="003E750D"/>
    <w:rsid w:val="003E7878"/>
    <w:rsid w:val="003E789D"/>
    <w:rsid w:val="003E790C"/>
    <w:rsid w:val="003E7938"/>
    <w:rsid w:val="003E79B4"/>
    <w:rsid w:val="003E7ECA"/>
    <w:rsid w:val="003F000B"/>
    <w:rsid w:val="003F027A"/>
    <w:rsid w:val="003F028F"/>
    <w:rsid w:val="003F0298"/>
    <w:rsid w:val="003F03A9"/>
    <w:rsid w:val="003F0492"/>
    <w:rsid w:val="003F04CA"/>
    <w:rsid w:val="003F0641"/>
    <w:rsid w:val="003F0712"/>
    <w:rsid w:val="003F0909"/>
    <w:rsid w:val="003F0AB1"/>
    <w:rsid w:val="003F0C9F"/>
    <w:rsid w:val="003F0E26"/>
    <w:rsid w:val="003F102D"/>
    <w:rsid w:val="003F166E"/>
    <w:rsid w:val="003F16A9"/>
    <w:rsid w:val="003F18DE"/>
    <w:rsid w:val="003F198C"/>
    <w:rsid w:val="003F1C55"/>
    <w:rsid w:val="003F1D7D"/>
    <w:rsid w:val="003F1D90"/>
    <w:rsid w:val="003F2030"/>
    <w:rsid w:val="003F2703"/>
    <w:rsid w:val="003F2751"/>
    <w:rsid w:val="003F27A6"/>
    <w:rsid w:val="003F27E2"/>
    <w:rsid w:val="003F2924"/>
    <w:rsid w:val="003F2ADC"/>
    <w:rsid w:val="003F2C21"/>
    <w:rsid w:val="003F2CFC"/>
    <w:rsid w:val="003F2EC0"/>
    <w:rsid w:val="003F3040"/>
    <w:rsid w:val="003F327C"/>
    <w:rsid w:val="003F3357"/>
    <w:rsid w:val="003F380F"/>
    <w:rsid w:val="003F3917"/>
    <w:rsid w:val="003F3AEA"/>
    <w:rsid w:val="003F3DAE"/>
    <w:rsid w:val="003F3F2B"/>
    <w:rsid w:val="003F4117"/>
    <w:rsid w:val="003F423E"/>
    <w:rsid w:val="003F43EF"/>
    <w:rsid w:val="003F4467"/>
    <w:rsid w:val="003F485D"/>
    <w:rsid w:val="003F486E"/>
    <w:rsid w:val="003F48C2"/>
    <w:rsid w:val="003F4975"/>
    <w:rsid w:val="003F4CE6"/>
    <w:rsid w:val="003F50E7"/>
    <w:rsid w:val="003F519B"/>
    <w:rsid w:val="003F5628"/>
    <w:rsid w:val="003F5645"/>
    <w:rsid w:val="003F597A"/>
    <w:rsid w:val="003F5B8A"/>
    <w:rsid w:val="003F5E46"/>
    <w:rsid w:val="003F5E9E"/>
    <w:rsid w:val="003F5ECB"/>
    <w:rsid w:val="003F5FA5"/>
    <w:rsid w:val="003F5FE6"/>
    <w:rsid w:val="003F6080"/>
    <w:rsid w:val="003F62A5"/>
    <w:rsid w:val="003F6398"/>
    <w:rsid w:val="003F6411"/>
    <w:rsid w:val="003F6635"/>
    <w:rsid w:val="003F6877"/>
    <w:rsid w:val="003F6994"/>
    <w:rsid w:val="003F6A27"/>
    <w:rsid w:val="003F6AEA"/>
    <w:rsid w:val="003F6B94"/>
    <w:rsid w:val="003F6CBD"/>
    <w:rsid w:val="003F7176"/>
    <w:rsid w:val="003F71F5"/>
    <w:rsid w:val="003F7655"/>
    <w:rsid w:val="003F7706"/>
    <w:rsid w:val="003F7C9A"/>
    <w:rsid w:val="003F7CA8"/>
    <w:rsid w:val="003F7E5B"/>
    <w:rsid w:val="003F7FEF"/>
    <w:rsid w:val="00400010"/>
    <w:rsid w:val="004001A8"/>
    <w:rsid w:val="004001C6"/>
    <w:rsid w:val="004001E6"/>
    <w:rsid w:val="004001F2"/>
    <w:rsid w:val="00400327"/>
    <w:rsid w:val="0040036F"/>
    <w:rsid w:val="00400389"/>
    <w:rsid w:val="0040065F"/>
    <w:rsid w:val="0040070F"/>
    <w:rsid w:val="004008E0"/>
    <w:rsid w:val="004008F5"/>
    <w:rsid w:val="00400B71"/>
    <w:rsid w:val="00400D14"/>
    <w:rsid w:val="0040110A"/>
    <w:rsid w:val="00401437"/>
    <w:rsid w:val="004017F7"/>
    <w:rsid w:val="004018D3"/>
    <w:rsid w:val="00401A4D"/>
    <w:rsid w:val="00401DD6"/>
    <w:rsid w:val="00401E6A"/>
    <w:rsid w:val="00401EB4"/>
    <w:rsid w:val="00401FAF"/>
    <w:rsid w:val="00402000"/>
    <w:rsid w:val="00402037"/>
    <w:rsid w:val="00402533"/>
    <w:rsid w:val="0040266C"/>
    <w:rsid w:val="004029BB"/>
    <w:rsid w:val="00402AC3"/>
    <w:rsid w:val="00402B8C"/>
    <w:rsid w:val="00402E3C"/>
    <w:rsid w:val="00402EEA"/>
    <w:rsid w:val="00402EFA"/>
    <w:rsid w:val="0040302A"/>
    <w:rsid w:val="004030C9"/>
    <w:rsid w:val="0040351C"/>
    <w:rsid w:val="00403676"/>
    <w:rsid w:val="00403758"/>
    <w:rsid w:val="0040378E"/>
    <w:rsid w:val="004038A3"/>
    <w:rsid w:val="00403BDB"/>
    <w:rsid w:val="00403CF4"/>
    <w:rsid w:val="00403E94"/>
    <w:rsid w:val="00403EB5"/>
    <w:rsid w:val="004041FA"/>
    <w:rsid w:val="004044F8"/>
    <w:rsid w:val="004046BE"/>
    <w:rsid w:val="004047F0"/>
    <w:rsid w:val="00404911"/>
    <w:rsid w:val="00404925"/>
    <w:rsid w:val="00405220"/>
    <w:rsid w:val="00405311"/>
    <w:rsid w:val="0040556A"/>
    <w:rsid w:val="004055AB"/>
    <w:rsid w:val="00405881"/>
    <w:rsid w:val="004059F6"/>
    <w:rsid w:val="00405C07"/>
    <w:rsid w:val="00405C33"/>
    <w:rsid w:val="00405D03"/>
    <w:rsid w:val="00405E92"/>
    <w:rsid w:val="00405F4C"/>
    <w:rsid w:val="00406058"/>
    <w:rsid w:val="0040618C"/>
    <w:rsid w:val="004061AF"/>
    <w:rsid w:val="0040622F"/>
    <w:rsid w:val="004063E4"/>
    <w:rsid w:val="00406418"/>
    <w:rsid w:val="00406526"/>
    <w:rsid w:val="004066DE"/>
    <w:rsid w:val="004067A4"/>
    <w:rsid w:val="004069C0"/>
    <w:rsid w:val="00406A74"/>
    <w:rsid w:val="00406C27"/>
    <w:rsid w:val="00406C4E"/>
    <w:rsid w:val="00406CF3"/>
    <w:rsid w:val="00406D58"/>
    <w:rsid w:val="00407080"/>
    <w:rsid w:val="00407177"/>
    <w:rsid w:val="00407322"/>
    <w:rsid w:val="0040734E"/>
    <w:rsid w:val="0040748D"/>
    <w:rsid w:val="004074D5"/>
    <w:rsid w:val="00407884"/>
    <w:rsid w:val="00407A5B"/>
    <w:rsid w:val="00407B1E"/>
    <w:rsid w:val="00407BE0"/>
    <w:rsid w:val="00407D08"/>
    <w:rsid w:val="00410069"/>
    <w:rsid w:val="004102EE"/>
    <w:rsid w:val="0041062B"/>
    <w:rsid w:val="0041082D"/>
    <w:rsid w:val="00410895"/>
    <w:rsid w:val="00410BB0"/>
    <w:rsid w:val="00411140"/>
    <w:rsid w:val="00411258"/>
    <w:rsid w:val="0041125B"/>
    <w:rsid w:val="004114AE"/>
    <w:rsid w:val="00411667"/>
    <w:rsid w:val="004119CC"/>
    <w:rsid w:val="00411A12"/>
    <w:rsid w:val="00411A20"/>
    <w:rsid w:val="00411AAD"/>
    <w:rsid w:val="00411B89"/>
    <w:rsid w:val="00411C0A"/>
    <w:rsid w:val="004124BF"/>
    <w:rsid w:val="004124D7"/>
    <w:rsid w:val="00412554"/>
    <w:rsid w:val="004125CF"/>
    <w:rsid w:val="0041277F"/>
    <w:rsid w:val="004127A2"/>
    <w:rsid w:val="004128B0"/>
    <w:rsid w:val="00412A25"/>
    <w:rsid w:val="00412AE3"/>
    <w:rsid w:val="00412C02"/>
    <w:rsid w:val="00412CAE"/>
    <w:rsid w:val="00412CB8"/>
    <w:rsid w:val="00412D64"/>
    <w:rsid w:val="00412EA0"/>
    <w:rsid w:val="0041306B"/>
    <w:rsid w:val="00413086"/>
    <w:rsid w:val="004130FC"/>
    <w:rsid w:val="0041310B"/>
    <w:rsid w:val="00413162"/>
    <w:rsid w:val="004133D9"/>
    <w:rsid w:val="00413434"/>
    <w:rsid w:val="00413562"/>
    <w:rsid w:val="0041357D"/>
    <w:rsid w:val="0041362C"/>
    <w:rsid w:val="00413735"/>
    <w:rsid w:val="00413A06"/>
    <w:rsid w:val="00413A7B"/>
    <w:rsid w:val="00413B03"/>
    <w:rsid w:val="00413B95"/>
    <w:rsid w:val="00413E24"/>
    <w:rsid w:val="00413E4E"/>
    <w:rsid w:val="00413E5B"/>
    <w:rsid w:val="00413EC3"/>
    <w:rsid w:val="00413ECC"/>
    <w:rsid w:val="00413F4E"/>
    <w:rsid w:val="004143DC"/>
    <w:rsid w:val="004143F2"/>
    <w:rsid w:val="00414575"/>
    <w:rsid w:val="0041468F"/>
    <w:rsid w:val="00414787"/>
    <w:rsid w:val="00414811"/>
    <w:rsid w:val="00414910"/>
    <w:rsid w:val="00414969"/>
    <w:rsid w:val="004149F8"/>
    <w:rsid w:val="00414B08"/>
    <w:rsid w:val="00414B27"/>
    <w:rsid w:val="00414BE6"/>
    <w:rsid w:val="00414CA5"/>
    <w:rsid w:val="004150F9"/>
    <w:rsid w:val="004151B0"/>
    <w:rsid w:val="004155DE"/>
    <w:rsid w:val="0041565C"/>
    <w:rsid w:val="00415667"/>
    <w:rsid w:val="00415A8F"/>
    <w:rsid w:val="00415C64"/>
    <w:rsid w:val="00415D2A"/>
    <w:rsid w:val="00415DF5"/>
    <w:rsid w:val="0041623C"/>
    <w:rsid w:val="00416343"/>
    <w:rsid w:val="00416602"/>
    <w:rsid w:val="00416BC3"/>
    <w:rsid w:val="00416DC8"/>
    <w:rsid w:val="00416EAD"/>
    <w:rsid w:val="00416F7E"/>
    <w:rsid w:val="0041723B"/>
    <w:rsid w:val="00417392"/>
    <w:rsid w:val="004173BA"/>
    <w:rsid w:val="004174A5"/>
    <w:rsid w:val="0041758B"/>
    <w:rsid w:val="00417631"/>
    <w:rsid w:val="00417936"/>
    <w:rsid w:val="004179A1"/>
    <w:rsid w:val="00417AF1"/>
    <w:rsid w:val="00417EB7"/>
    <w:rsid w:val="00420104"/>
    <w:rsid w:val="004201CF"/>
    <w:rsid w:val="00420254"/>
    <w:rsid w:val="00420338"/>
    <w:rsid w:val="00420429"/>
    <w:rsid w:val="0042078C"/>
    <w:rsid w:val="00420794"/>
    <w:rsid w:val="00420D6F"/>
    <w:rsid w:val="00420EA0"/>
    <w:rsid w:val="00420F55"/>
    <w:rsid w:val="00420F6A"/>
    <w:rsid w:val="00421444"/>
    <w:rsid w:val="00421B9F"/>
    <w:rsid w:val="00421C23"/>
    <w:rsid w:val="00421E54"/>
    <w:rsid w:val="00421F13"/>
    <w:rsid w:val="004222B1"/>
    <w:rsid w:val="00422618"/>
    <w:rsid w:val="004227AF"/>
    <w:rsid w:val="0042288C"/>
    <w:rsid w:val="00422963"/>
    <w:rsid w:val="00422A3E"/>
    <w:rsid w:val="00422A85"/>
    <w:rsid w:val="00422AB6"/>
    <w:rsid w:val="00422B97"/>
    <w:rsid w:val="00422C37"/>
    <w:rsid w:val="00422C3F"/>
    <w:rsid w:val="00422D41"/>
    <w:rsid w:val="00422E64"/>
    <w:rsid w:val="00422F3F"/>
    <w:rsid w:val="00423207"/>
    <w:rsid w:val="004232DB"/>
    <w:rsid w:val="00423573"/>
    <w:rsid w:val="004237CF"/>
    <w:rsid w:val="00423BC0"/>
    <w:rsid w:val="00423EBC"/>
    <w:rsid w:val="00424094"/>
    <w:rsid w:val="0042414A"/>
    <w:rsid w:val="00424208"/>
    <w:rsid w:val="004242F4"/>
    <w:rsid w:val="00424444"/>
    <w:rsid w:val="004246A6"/>
    <w:rsid w:val="004249B9"/>
    <w:rsid w:val="00424AA6"/>
    <w:rsid w:val="00424CBE"/>
    <w:rsid w:val="00424D19"/>
    <w:rsid w:val="00424DE9"/>
    <w:rsid w:val="00424FDA"/>
    <w:rsid w:val="0042511E"/>
    <w:rsid w:val="00425272"/>
    <w:rsid w:val="004252BF"/>
    <w:rsid w:val="004253B4"/>
    <w:rsid w:val="0042549C"/>
    <w:rsid w:val="00425681"/>
    <w:rsid w:val="0042582A"/>
    <w:rsid w:val="00425845"/>
    <w:rsid w:val="004259D7"/>
    <w:rsid w:val="00425A36"/>
    <w:rsid w:val="00425B46"/>
    <w:rsid w:val="004262F9"/>
    <w:rsid w:val="00426330"/>
    <w:rsid w:val="004265EB"/>
    <w:rsid w:val="00426770"/>
    <w:rsid w:val="00426A34"/>
    <w:rsid w:val="00426B29"/>
    <w:rsid w:val="00426C10"/>
    <w:rsid w:val="00426D8C"/>
    <w:rsid w:val="00427133"/>
    <w:rsid w:val="0042720E"/>
    <w:rsid w:val="00427353"/>
    <w:rsid w:val="00427630"/>
    <w:rsid w:val="004276C6"/>
    <w:rsid w:val="004278C3"/>
    <w:rsid w:val="00427AE8"/>
    <w:rsid w:val="00427BA4"/>
    <w:rsid w:val="00427CF2"/>
    <w:rsid w:val="00427D3D"/>
    <w:rsid w:val="00427E35"/>
    <w:rsid w:val="00427FD4"/>
    <w:rsid w:val="004300E5"/>
    <w:rsid w:val="004301BD"/>
    <w:rsid w:val="004303AD"/>
    <w:rsid w:val="0043066E"/>
    <w:rsid w:val="0043087B"/>
    <w:rsid w:val="004309B3"/>
    <w:rsid w:val="004309CF"/>
    <w:rsid w:val="00430AD7"/>
    <w:rsid w:val="00430BB3"/>
    <w:rsid w:val="00430BFC"/>
    <w:rsid w:val="00430CBB"/>
    <w:rsid w:val="00431182"/>
    <w:rsid w:val="00431384"/>
    <w:rsid w:val="00431390"/>
    <w:rsid w:val="00431635"/>
    <w:rsid w:val="0043174F"/>
    <w:rsid w:val="0043191E"/>
    <w:rsid w:val="00431C8F"/>
    <w:rsid w:val="00431D2B"/>
    <w:rsid w:val="00431DEF"/>
    <w:rsid w:val="00431E6B"/>
    <w:rsid w:val="00432164"/>
    <w:rsid w:val="0043240B"/>
    <w:rsid w:val="0043257E"/>
    <w:rsid w:val="004329AB"/>
    <w:rsid w:val="00432C2F"/>
    <w:rsid w:val="00432EFB"/>
    <w:rsid w:val="00432F07"/>
    <w:rsid w:val="00432F0E"/>
    <w:rsid w:val="0043332B"/>
    <w:rsid w:val="004333DE"/>
    <w:rsid w:val="0043345D"/>
    <w:rsid w:val="00433556"/>
    <w:rsid w:val="004338A9"/>
    <w:rsid w:val="004338DF"/>
    <w:rsid w:val="0043395D"/>
    <w:rsid w:val="004339BE"/>
    <w:rsid w:val="00433BF2"/>
    <w:rsid w:val="00433C27"/>
    <w:rsid w:val="00433C37"/>
    <w:rsid w:val="00433CB5"/>
    <w:rsid w:val="00433CFB"/>
    <w:rsid w:val="00433D3F"/>
    <w:rsid w:val="00433DA1"/>
    <w:rsid w:val="00433E04"/>
    <w:rsid w:val="00433E1B"/>
    <w:rsid w:val="00433F84"/>
    <w:rsid w:val="00434087"/>
    <w:rsid w:val="004341D1"/>
    <w:rsid w:val="004344A5"/>
    <w:rsid w:val="004344B5"/>
    <w:rsid w:val="004345B7"/>
    <w:rsid w:val="00434786"/>
    <w:rsid w:val="00434839"/>
    <w:rsid w:val="0043485E"/>
    <w:rsid w:val="00434AEC"/>
    <w:rsid w:val="00434C3D"/>
    <w:rsid w:val="00434E1B"/>
    <w:rsid w:val="00434EA0"/>
    <w:rsid w:val="00434F4E"/>
    <w:rsid w:val="004350DB"/>
    <w:rsid w:val="00435275"/>
    <w:rsid w:val="00435333"/>
    <w:rsid w:val="004353F1"/>
    <w:rsid w:val="004355D3"/>
    <w:rsid w:val="00435754"/>
    <w:rsid w:val="00435904"/>
    <w:rsid w:val="00435B41"/>
    <w:rsid w:val="00435B48"/>
    <w:rsid w:val="00436024"/>
    <w:rsid w:val="004366E1"/>
    <w:rsid w:val="00436751"/>
    <w:rsid w:val="004367F6"/>
    <w:rsid w:val="004368EC"/>
    <w:rsid w:val="0043691F"/>
    <w:rsid w:val="004369BB"/>
    <w:rsid w:val="004369C4"/>
    <w:rsid w:val="004369DD"/>
    <w:rsid w:val="00437009"/>
    <w:rsid w:val="004373B7"/>
    <w:rsid w:val="004376E0"/>
    <w:rsid w:val="004377EC"/>
    <w:rsid w:val="0043797A"/>
    <w:rsid w:val="00437B1E"/>
    <w:rsid w:val="00437DDE"/>
    <w:rsid w:val="00437E5D"/>
    <w:rsid w:val="00437EF3"/>
    <w:rsid w:val="00437FAB"/>
    <w:rsid w:val="004400CA"/>
    <w:rsid w:val="00440628"/>
    <w:rsid w:val="0044062B"/>
    <w:rsid w:val="00440676"/>
    <w:rsid w:val="00440679"/>
    <w:rsid w:val="00440690"/>
    <w:rsid w:val="00440C47"/>
    <w:rsid w:val="00440DB8"/>
    <w:rsid w:val="00440E16"/>
    <w:rsid w:val="00440EB6"/>
    <w:rsid w:val="004414F9"/>
    <w:rsid w:val="0044163A"/>
    <w:rsid w:val="0044163B"/>
    <w:rsid w:val="004416CF"/>
    <w:rsid w:val="004416EF"/>
    <w:rsid w:val="004418B3"/>
    <w:rsid w:val="00441B51"/>
    <w:rsid w:val="00441BED"/>
    <w:rsid w:val="00441CC8"/>
    <w:rsid w:val="00441D23"/>
    <w:rsid w:val="00441D8B"/>
    <w:rsid w:val="00441DB5"/>
    <w:rsid w:val="00441F67"/>
    <w:rsid w:val="00442031"/>
    <w:rsid w:val="004423BC"/>
    <w:rsid w:val="004427AB"/>
    <w:rsid w:val="004429B2"/>
    <w:rsid w:val="00442D17"/>
    <w:rsid w:val="00442F13"/>
    <w:rsid w:val="00443213"/>
    <w:rsid w:val="0044329B"/>
    <w:rsid w:val="004433C2"/>
    <w:rsid w:val="004437E0"/>
    <w:rsid w:val="004438D8"/>
    <w:rsid w:val="004439E9"/>
    <w:rsid w:val="004439FC"/>
    <w:rsid w:val="00443C4A"/>
    <w:rsid w:val="00443CFE"/>
    <w:rsid w:val="00443DAB"/>
    <w:rsid w:val="00444088"/>
    <w:rsid w:val="004443B7"/>
    <w:rsid w:val="004443EE"/>
    <w:rsid w:val="0044451C"/>
    <w:rsid w:val="00444574"/>
    <w:rsid w:val="0044466D"/>
    <w:rsid w:val="0044468B"/>
    <w:rsid w:val="0044484A"/>
    <w:rsid w:val="004448DE"/>
    <w:rsid w:val="00444A45"/>
    <w:rsid w:val="00444E9C"/>
    <w:rsid w:val="00444EC0"/>
    <w:rsid w:val="00444EDC"/>
    <w:rsid w:val="00444EFF"/>
    <w:rsid w:val="00444F24"/>
    <w:rsid w:val="00444F45"/>
    <w:rsid w:val="00444FDB"/>
    <w:rsid w:val="004451F1"/>
    <w:rsid w:val="00445250"/>
    <w:rsid w:val="00445454"/>
    <w:rsid w:val="0044589A"/>
    <w:rsid w:val="00445B6E"/>
    <w:rsid w:val="00445CA3"/>
    <w:rsid w:val="00445CE8"/>
    <w:rsid w:val="00445F99"/>
    <w:rsid w:val="004461F6"/>
    <w:rsid w:val="004463EA"/>
    <w:rsid w:val="00446424"/>
    <w:rsid w:val="0044684F"/>
    <w:rsid w:val="00446AEA"/>
    <w:rsid w:val="00446D58"/>
    <w:rsid w:val="00446FC4"/>
    <w:rsid w:val="00447099"/>
    <w:rsid w:val="0044711D"/>
    <w:rsid w:val="00447272"/>
    <w:rsid w:val="004472C1"/>
    <w:rsid w:val="004472F2"/>
    <w:rsid w:val="0044754F"/>
    <w:rsid w:val="0044755E"/>
    <w:rsid w:val="0044769E"/>
    <w:rsid w:val="00447A36"/>
    <w:rsid w:val="00447B7D"/>
    <w:rsid w:val="00447BC1"/>
    <w:rsid w:val="00447CEE"/>
    <w:rsid w:val="00450173"/>
    <w:rsid w:val="00450461"/>
    <w:rsid w:val="00450C39"/>
    <w:rsid w:val="00450E31"/>
    <w:rsid w:val="00450EEA"/>
    <w:rsid w:val="00451016"/>
    <w:rsid w:val="0045105D"/>
    <w:rsid w:val="00451088"/>
    <w:rsid w:val="00451130"/>
    <w:rsid w:val="00451214"/>
    <w:rsid w:val="004512A9"/>
    <w:rsid w:val="004512CD"/>
    <w:rsid w:val="0045135E"/>
    <w:rsid w:val="00451360"/>
    <w:rsid w:val="00451394"/>
    <w:rsid w:val="00451466"/>
    <w:rsid w:val="0045158C"/>
    <w:rsid w:val="00451592"/>
    <w:rsid w:val="00451608"/>
    <w:rsid w:val="00451616"/>
    <w:rsid w:val="004516E9"/>
    <w:rsid w:val="00451748"/>
    <w:rsid w:val="004518F4"/>
    <w:rsid w:val="00451B7A"/>
    <w:rsid w:val="00451BAE"/>
    <w:rsid w:val="00451F10"/>
    <w:rsid w:val="00452128"/>
    <w:rsid w:val="00452425"/>
    <w:rsid w:val="004527CD"/>
    <w:rsid w:val="004527D0"/>
    <w:rsid w:val="004528C3"/>
    <w:rsid w:val="00452930"/>
    <w:rsid w:val="00452AEF"/>
    <w:rsid w:val="00452B44"/>
    <w:rsid w:val="00452D31"/>
    <w:rsid w:val="004531A5"/>
    <w:rsid w:val="004532EA"/>
    <w:rsid w:val="004533F9"/>
    <w:rsid w:val="00453473"/>
    <w:rsid w:val="004535D1"/>
    <w:rsid w:val="004537AF"/>
    <w:rsid w:val="004537DD"/>
    <w:rsid w:val="00453983"/>
    <w:rsid w:val="00453C4B"/>
    <w:rsid w:val="00453DEC"/>
    <w:rsid w:val="00453F37"/>
    <w:rsid w:val="004545EC"/>
    <w:rsid w:val="004546DC"/>
    <w:rsid w:val="004547B4"/>
    <w:rsid w:val="004547E9"/>
    <w:rsid w:val="0045498D"/>
    <w:rsid w:val="00454A8B"/>
    <w:rsid w:val="00455102"/>
    <w:rsid w:val="0045512A"/>
    <w:rsid w:val="004552BB"/>
    <w:rsid w:val="0045531F"/>
    <w:rsid w:val="00455332"/>
    <w:rsid w:val="00455350"/>
    <w:rsid w:val="0045562D"/>
    <w:rsid w:val="00455815"/>
    <w:rsid w:val="0045589E"/>
    <w:rsid w:val="004558F0"/>
    <w:rsid w:val="004559F7"/>
    <w:rsid w:val="00455BD2"/>
    <w:rsid w:val="00455BD9"/>
    <w:rsid w:val="00455C6A"/>
    <w:rsid w:val="00455C7F"/>
    <w:rsid w:val="00455C81"/>
    <w:rsid w:val="00455CE4"/>
    <w:rsid w:val="00455F3B"/>
    <w:rsid w:val="00455F9B"/>
    <w:rsid w:val="00456105"/>
    <w:rsid w:val="004563EC"/>
    <w:rsid w:val="004563FF"/>
    <w:rsid w:val="00456480"/>
    <w:rsid w:val="00456698"/>
    <w:rsid w:val="00456751"/>
    <w:rsid w:val="0045688B"/>
    <w:rsid w:val="00456CFC"/>
    <w:rsid w:val="00457122"/>
    <w:rsid w:val="004574C7"/>
    <w:rsid w:val="0045759E"/>
    <w:rsid w:val="00457632"/>
    <w:rsid w:val="004576BE"/>
    <w:rsid w:val="004577CA"/>
    <w:rsid w:val="00457868"/>
    <w:rsid w:val="0045792F"/>
    <w:rsid w:val="00457C53"/>
    <w:rsid w:val="00457DE6"/>
    <w:rsid w:val="0046007F"/>
    <w:rsid w:val="0046011F"/>
    <w:rsid w:val="00460332"/>
    <w:rsid w:val="00460354"/>
    <w:rsid w:val="004603B4"/>
    <w:rsid w:val="0046057B"/>
    <w:rsid w:val="004606FB"/>
    <w:rsid w:val="00460A8B"/>
    <w:rsid w:val="00460E4F"/>
    <w:rsid w:val="00460E96"/>
    <w:rsid w:val="00460EEB"/>
    <w:rsid w:val="00460F30"/>
    <w:rsid w:val="00461114"/>
    <w:rsid w:val="00461126"/>
    <w:rsid w:val="004611B1"/>
    <w:rsid w:val="0046139E"/>
    <w:rsid w:val="00461465"/>
    <w:rsid w:val="004615AD"/>
    <w:rsid w:val="00461637"/>
    <w:rsid w:val="00461849"/>
    <w:rsid w:val="00461CEB"/>
    <w:rsid w:val="00461E97"/>
    <w:rsid w:val="00461F9C"/>
    <w:rsid w:val="0046217E"/>
    <w:rsid w:val="00462204"/>
    <w:rsid w:val="004624F1"/>
    <w:rsid w:val="00462551"/>
    <w:rsid w:val="004628F1"/>
    <w:rsid w:val="00462918"/>
    <w:rsid w:val="00462973"/>
    <w:rsid w:val="00462CC1"/>
    <w:rsid w:val="00462DC4"/>
    <w:rsid w:val="004630A8"/>
    <w:rsid w:val="00463109"/>
    <w:rsid w:val="0046313C"/>
    <w:rsid w:val="004632C5"/>
    <w:rsid w:val="004633BB"/>
    <w:rsid w:val="004633BF"/>
    <w:rsid w:val="00463432"/>
    <w:rsid w:val="004634B2"/>
    <w:rsid w:val="004635D6"/>
    <w:rsid w:val="00463825"/>
    <w:rsid w:val="0046397A"/>
    <w:rsid w:val="00463999"/>
    <w:rsid w:val="00463A60"/>
    <w:rsid w:val="00463BBD"/>
    <w:rsid w:val="00463C9E"/>
    <w:rsid w:val="00463CFA"/>
    <w:rsid w:val="00463D16"/>
    <w:rsid w:val="00463D44"/>
    <w:rsid w:val="00463E2B"/>
    <w:rsid w:val="00463E31"/>
    <w:rsid w:val="00463F6F"/>
    <w:rsid w:val="00464116"/>
    <w:rsid w:val="004641D8"/>
    <w:rsid w:val="0046430A"/>
    <w:rsid w:val="00464365"/>
    <w:rsid w:val="004644A3"/>
    <w:rsid w:val="0046477E"/>
    <w:rsid w:val="00464A9C"/>
    <w:rsid w:val="00464AE5"/>
    <w:rsid w:val="00464B60"/>
    <w:rsid w:val="00464BBA"/>
    <w:rsid w:val="00464C35"/>
    <w:rsid w:val="00464D7D"/>
    <w:rsid w:val="00464DC2"/>
    <w:rsid w:val="00464E18"/>
    <w:rsid w:val="00465017"/>
    <w:rsid w:val="0046503F"/>
    <w:rsid w:val="0046507D"/>
    <w:rsid w:val="00465123"/>
    <w:rsid w:val="0046514E"/>
    <w:rsid w:val="004653E1"/>
    <w:rsid w:val="0046552A"/>
    <w:rsid w:val="00465643"/>
    <w:rsid w:val="00465A03"/>
    <w:rsid w:val="00465C6E"/>
    <w:rsid w:val="00466227"/>
    <w:rsid w:val="004663AB"/>
    <w:rsid w:val="00466479"/>
    <w:rsid w:val="0046697C"/>
    <w:rsid w:val="00466A3C"/>
    <w:rsid w:val="00466A4F"/>
    <w:rsid w:val="00466D76"/>
    <w:rsid w:val="0046708B"/>
    <w:rsid w:val="004670F8"/>
    <w:rsid w:val="00467225"/>
    <w:rsid w:val="00467376"/>
    <w:rsid w:val="004673C9"/>
    <w:rsid w:val="004674C6"/>
    <w:rsid w:val="00467505"/>
    <w:rsid w:val="0046761D"/>
    <w:rsid w:val="00467892"/>
    <w:rsid w:val="00467938"/>
    <w:rsid w:val="00467A84"/>
    <w:rsid w:val="00467BBC"/>
    <w:rsid w:val="00467C6E"/>
    <w:rsid w:val="00467D59"/>
    <w:rsid w:val="00470143"/>
    <w:rsid w:val="004701FC"/>
    <w:rsid w:val="00470652"/>
    <w:rsid w:val="004706EE"/>
    <w:rsid w:val="004706F4"/>
    <w:rsid w:val="00470753"/>
    <w:rsid w:val="0047084F"/>
    <w:rsid w:val="0047087D"/>
    <w:rsid w:val="004708CA"/>
    <w:rsid w:val="00470BEF"/>
    <w:rsid w:val="00471014"/>
    <w:rsid w:val="004711C2"/>
    <w:rsid w:val="00471211"/>
    <w:rsid w:val="004712F7"/>
    <w:rsid w:val="00471697"/>
    <w:rsid w:val="00471BE5"/>
    <w:rsid w:val="00471C0A"/>
    <w:rsid w:val="00471C77"/>
    <w:rsid w:val="00471DC2"/>
    <w:rsid w:val="00471E0D"/>
    <w:rsid w:val="00471F12"/>
    <w:rsid w:val="0047210D"/>
    <w:rsid w:val="004723D1"/>
    <w:rsid w:val="004723E3"/>
    <w:rsid w:val="00472B02"/>
    <w:rsid w:val="004730F9"/>
    <w:rsid w:val="00473131"/>
    <w:rsid w:val="00473194"/>
    <w:rsid w:val="00473247"/>
    <w:rsid w:val="00473437"/>
    <w:rsid w:val="00473458"/>
    <w:rsid w:val="0047346F"/>
    <w:rsid w:val="0047378A"/>
    <w:rsid w:val="004738E4"/>
    <w:rsid w:val="00473BC7"/>
    <w:rsid w:val="00473C05"/>
    <w:rsid w:val="0047405C"/>
    <w:rsid w:val="004741A8"/>
    <w:rsid w:val="004741F7"/>
    <w:rsid w:val="004743F7"/>
    <w:rsid w:val="0047471B"/>
    <w:rsid w:val="004747CA"/>
    <w:rsid w:val="004747FE"/>
    <w:rsid w:val="0047483D"/>
    <w:rsid w:val="004748D4"/>
    <w:rsid w:val="004749B7"/>
    <w:rsid w:val="00474C02"/>
    <w:rsid w:val="00474E27"/>
    <w:rsid w:val="00474EC9"/>
    <w:rsid w:val="0047518D"/>
    <w:rsid w:val="00475239"/>
    <w:rsid w:val="00475279"/>
    <w:rsid w:val="004753EC"/>
    <w:rsid w:val="004756C2"/>
    <w:rsid w:val="0047582A"/>
    <w:rsid w:val="004758F0"/>
    <w:rsid w:val="004759C7"/>
    <w:rsid w:val="004759C8"/>
    <w:rsid w:val="00475A11"/>
    <w:rsid w:val="00475B22"/>
    <w:rsid w:val="00475E59"/>
    <w:rsid w:val="00475E60"/>
    <w:rsid w:val="00475E8A"/>
    <w:rsid w:val="00475EBF"/>
    <w:rsid w:val="00476183"/>
    <w:rsid w:val="004763F8"/>
    <w:rsid w:val="0047643D"/>
    <w:rsid w:val="00476829"/>
    <w:rsid w:val="00476910"/>
    <w:rsid w:val="00476B40"/>
    <w:rsid w:val="00476D48"/>
    <w:rsid w:val="00476D6C"/>
    <w:rsid w:val="00476E18"/>
    <w:rsid w:val="00476F2C"/>
    <w:rsid w:val="00476FCE"/>
    <w:rsid w:val="00477047"/>
    <w:rsid w:val="004771BF"/>
    <w:rsid w:val="00477290"/>
    <w:rsid w:val="00477320"/>
    <w:rsid w:val="004776BC"/>
    <w:rsid w:val="004779C6"/>
    <w:rsid w:val="00477A9D"/>
    <w:rsid w:val="00477B1B"/>
    <w:rsid w:val="00477C69"/>
    <w:rsid w:val="00477CBB"/>
    <w:rsid w:val="00477F13"/>
    <w:rsid w:val="004801B3"/>
    <w:rsid w:val="004804DE"/>
    <w:rsid w:val="004806F7"/>
    <w:rsid w:val="00480745"/>
    <w:rsid w:val="00480A94"/>
    <w:rsid w:val="00480A97"/>
    <w:rsid w:val="00480D13"/>
    <w:rsid w:val="00480E7D"/>
    <w:rsid w:val="00480EBC"/>
    <w:rsid w:val="004810EF"/>
    <w:rsid w:val="0048121B"/>
    <w:rsid w:val="0048122B"/>
    <w:rsid w:val="00481441"/>
    <w:rsid w:val="00481532"/>
    <w:rsid w:val="004815D7"/>
    <w:rsid w:val="00481673"/>
    <w:rsid w:val="0048189D"/>
    <w:rsid w:val="00481B05"/>
    <w:rsid w:val="00481BFC"/>
    <w:rsid w:val="00481C4D"/>
    <w:rsid w:val="00481D85"/>
    <w:rsid w:val="00481EDC"/>
    <w:rsid w:val="00482188"/>
    <w:rsid w:val="004821BC"/>
    <w:rsid w:val="004824F2"/>
    <w:rsid w:val="0048252D"/>
    <w:rsid w:val="00482678"/>
    <w:rsid w:val="0048288A"/>
    <w:rsid w:val="00482A5A"/>
    <w:rsid w:val="00482EC1"/>
    <w:rsid w:val="00482F4B"/>
    <w:rsid w:val="00482FBB"/>
    <w:rsid w:val="00483046"/>
    <w:rsid w:val="0048306E"/>
    <w:rsid w:val="00483143"/>
    <w:rsid w:val="004831EF"/>
    <w:rsid w:val="00483499"/>
    <w:rsid w:val="004834D7"/>
    <w:rsid w:val="004836C8"/>
    <w:rsid w:val="00483749"/>
    <w:rsid w:val="00483DFF"/>
    <w:rsid w:val="004842FA"/>
    <w:rsid w:val="0048433E"/>
    <w:rsid w:val="00484743"/>
    <w:rsid w:val="004847C6"/>
    <w:rsid w:val="00484920"/>
    <w:rsid w:val="00484B81"/>
    <w:rsid w:val="00484DBB"/>
    <w:rsid w:val="00484DE7"/>
    <w:rsid w:val="00485088"/>
    <w:rsid w:val="004850C9"/>
    <w:rsid w:val="004851A3"/>
    <w:rsid w:val="0048529A"/>
    <w:rsid w:val="004854C5"/>
    <w:rsid w:val="004855E6"/>
    <w:rsid w:val="00485856"/>
    <w:rsid w:val="00485E47"/>
    <w:rsid w:val="00485ED2"/>
    <w:rsid w:val="00485F34"/>
    <w:rsid w:val="0048603B"/>
    <w:rsid w:val="0048649C"/>
    <w:rsid w:val="00486598"/>
    <w:rsid w:val="004867B2"/>
    <w:rsid w:val="0048684C"/>
    <w:rsid w:val="00486E31"/>
    <w:rsid w:val="00487130"/>
    <w:rsid w:val="004876A4"/>
    <w:rsid w:val="00487770"/>
    <w:rsid w:val="0048779D"/>
    <w:rsid w:val="004878D4"/>
    <w:rsid w:val="00487BE5"/>
    <w:rsid w:val="00487C4C"/>
    <w:rsid w:val="00487D10"/>
    <w:rsid w:val="00487E73"/>
    <w:rsid w:val="00487FF3"/>
    <w:rsid w:val="00490250"/>
    <w:rsid w:val="00490548"/>
    <w:rsid w:val="004909C2"/>
    <w:rsid w:val="00490E94"/>
    <w:rsid w:val="004910CC"/>
    <w:rsid w:val="004911E2"/>
    <w:rsid w:val="004912D2"/>
    <w:rsid w:val="004912E4"/>
    <w:rsid w:val="004914AD"/>
    <w:rsid w:val="00491752"/>
    <w:rsid w:val="004917C3"/>
    <w:rsid w:val="00491871"/>
    <w:rsid w:val="00491A7C"/>
    <w:rsid w:val="00491AA0"/>
    <w:rsid w:val="00491AF7"/>
    <w:rsid w:val="00491BAE"/>
    <w:rsid w:val="00491BF4"/>
    <w:rsid w:val="00491C08"/>
    <w:rsid w:val="00492054"/>
    <w:rsid w:val="004925B8"/>
    <w:rsid w:val="0049283B"/>
    <w:rsid w:val="00492C0B"/>
    <w:rsid w:val="00492C12"/>
    <w:rsid w:val="00492E0A"/>
    <w:rsid w:val="00492E0F"/>
    <w:rsid w:val="00492E3C"/>
    <w:rsid w:val="00492F4D"/>
    <w:rsid w:val="00493040"/>
    <w:rsid w:val="00493197"/>
    <w:rsid w:val="004932CA"/>
    <w:rsid w:val="004933FB"/>
    <w:rsid w:val="0049353B"/>
    <w:rsid w:val="0049371C"/>
    <w:rsid w:val="004939FA"/>
    <w:rsid w:val="00493A63"/>
    <w:rsid w:val="00493A97"/>
    <w:rsid w:val="00493F91"/>
    <w:rsid w:val="00494225"/>
    <w:rsid w:val="0049450E"/>
    <w:rsid w:val="00494561"/>
    <w:rsid w:val="00494719"/>
    <w:rsid w:val="0049494A"/>
    <w:rsid w:val="00494B05"/>
    <w:rsid w:val="00494BFD"/>
    <w:rsid w:val="00494C42"/>
    <w:rsid w:val="00494D03"/>
    <w:rsid w:val="00494E8F"/>
    <w:rsid w:val="0049511B"/>
    <w:rsid w:val="0049519E"/>
    <w:rsid w:val="004952CD"/>
    <w:rsid w:val="00495434"/>
    <w:rsid w:val="004957BB"/>
    <w:rsid w:val="004958AE"/>
    <w:rsid w:val="00495953"/>
    <w:rsid w:val="0049595E"/>
    <w:rsid w:val="004959CA"/>
    <w:rsid w:val="00495A18"/>
    <w:rsid w:val="00495AF9"/>
    <w:rsid w:val="00495F29"/>
    <w:rsid w:val="004960B0"/>
    <w:rsid w:val="004960CC"/>
    <w:rsid w:val="004961AC"/>
    <w:rsid w:val="004963AD"/>
    <w:rsid w:val="0049640C"/>
    <w:rsid w:val="00496470"/>
    <w:rsid w:val="00496582"/>
    <w:rsid w:val="00496633"/>
    <w:rsid w:val="004966F1"/>
    <w:rsid w:val="00496749"/>
    <w:rsid w:val="00496AA5"/>
    <w:rsid w:val="00496B30"/>
    <w:rsid w:val="00496E33"/>
    <w:rsid w:val="00496F1E"/>
    <w:rsid w:val="00496F2A"/>
    <w:rsid w:val="0049725F"/>
    <w:rsid w:val="00497284"/>
    <w:rsid w:val="00497315"/>
    <w:rsid w:val="004973E3"/>
    <w:rsid w:val="0049748B"/>
    <w:rsid w:val="004974DE"/>
    <w:rsid w:val="004978D1"/>
    <w:rsid w:val="00497BE1"/>
    <w:rsid w:val="00497E6D"/>
    <w:rsid w:val="00497F14"/>
    <w:rsid w:val="004A0145"/>
    <w:rsid w:val="004A0518"/>
    <w:rsid w:val="004A06D6"/>
    <w:rsid w:val="004A0801"/>
    <w:rsid w:val="004A0963"/>
    <w:rsid w:val="004A0B76"/>
    <w:rsid w:val="004A0B93"/>
    <w:rsid w:val="004A0C84"/>
    <w:rsid w:val="004A0ED7"/>
    <w:rsid w:val="004A13A4"/>
    <w:rsid w:val="004A13C7"/>
    <w:rsid w:val="004A13E7"/>
    <w:rsid w:val="004A14CF"/>
    <w:rsid w:val="004A17B2"/>
    <w:rsid w:val="004A18E0"/>
    <w:rsid w:val="004A19F0"/>
    <w:rsid w:val="004A1B0C"/>
    <w:rsid w:val="004A1B94"/>
    <w:rsid w:val="004A1BE2"/>
    <w:rsid w:val="004A1C0F"/>
    <w:rsid w:val="004A1C53"/>
    <w:rsid w:val="004A1D0D"/>
    <w:rsid w:val="004A1D11"/>
    <w:rsid w:val="004A1D2C"/>
    <w:rsid w:val="004A1E02"/>
    <w:rsid w:val="004A1F8E"/>
    <w:rsid w:val="004A2085"/>
    <w:rsid w:val="004A2124"/>
    <w:rsid w:val="004A2272"/>
    <w:rsid w:val="004A2456"/>
    <w:rsid w:val="004A27D4"/>
    <w:rsid w:val="004A2849"/>
    <w:rsid w:val="004A28BB"/>
    <w:rsid w:val="004A2B6C"/>
    <w:rsid w:val="004A2BA7"/>
    <w:rsid w:val="004A2CBF"/>
    <w:rsid w:val="004A2E29"/>
    <w:rsid w:val="004A2EA2"/>
    <w:rsid w:val="004A2F54"/>
    <w:rsid w:val="004A31D1"/>
    <w:rsid w:val="004A3479"/>
    <w:rsid w:val="004A34B7"/>
    <w:rsid w:val="004A35AE"/>
    <w:rsid w:val="004A3693"/>
    <w:rsid w:val="004A3A00"/>
    <w:rsid w:val="004A3A5A"/>
    <w:rsid w:val="004A3CBF"/>
    <w:rsid w:val="004A3D1C"/>
    <w:rsid w:val="004A3F53"/>
    <w:rsid w:val="004A3F97"/>
    <w:rsid w:val="004A4084"/>
    <w:rsid w:val="004A408F"/>
    <w:rsid w:val="004A440A"/>
    <w:rsid w:val="004A443D"/>
    <w:rsid w:val="004A44DD"/>
    <w:rsid w:val="004A4611"/>
    <w:rsid w:val="004A485A"/>
    <w:rsid w:val="004A4B9F"/>
    <w:rsid w:val="004A4C6B"/>
    <w:rsid w:val="004A4E55"/>
    <w:rsid w:val="004A4E58"/>
    <w:rsid w:val="004A4EDC"/>
    <w:rsid w:val="004A50E6"/>
    <w:rsid w:val="004A52D3"/>
    <w:rsid w:val="004A53FC"/>
    <w:rsid w:val="004A5409"/>
    <w:rsid w:val="004A5A16"/>
    <w:rsid w:val="004A5B16"/>
    <w:rsid w:val="004A5B6C"/>
    <w:rsid w:val="004A5BC6"/>
    <w:rsid w:val="004A5C55"/>
    <w:rsid w:val="004A5E94"/>
    <w:rsid w:val="004A5F4F"/>
    <w:rsid w:val="004A61A9"/>
    <w:rsid w:val="004A61BA"/>
    <w:rsid w:val="004A62DA"/>
    <w:rsid w:val="004A6615"/>
    <w:rsid w:val="004A67D5"/>
    <w:rsid w:val="004A68A2"/>
    <w:rsid w:val="004A68A8"/>
    <w:rsid w:val="004A68F5"/>
    <w:rsid w:val="004A6B45"/>
    <w:rsid w:val="004A6B69"/>
    <w:rsid w:val="004A6C0A"/>
    <w:rsid w:val="004A6C3B"/>
    <w:rsid w:val="004A6CBD"/>
    <w:rsid w:val="004A6E7A"/>
    <w:rsid w:val="004A6E95"/>
    <w:rsid w:val="004A7278"/>
    <w:rsid w:val="004A7511"/>
    <w:rsid w:val="004A7519"/>
    <w:rsid w:val="004A7C76"/>
    <w:rsid w:val="004A7C94"/>
    <w:rsid w:val="004A7DA6"/>
    <w:rsid w:val="004A7F78"/>
    <w:rsid w:val="004A7FBA"/>
    <w:rsid w:val="004A7FF2"/>
    <w:rsid w:val="004B0463"/>
    <w:rsid w:val="004B07D9"/>
    <w:rsid w:val="004B0820"/>
    <w:rsid w:val="004B0D90"/>
    <w:rsid w:val="004B0F1B"/>
    <w:rsid w:val="004B0F83"/>
    <w:rsid w:val="004B113A"/>
    <w:rsid w:val="004B1211"/>
    <w:rsid w:val="004B124B"/>
    <w:rsid w:val="004B13BA"/>
    <w:rsid w:val="004B13CB"/>
    <w:rsid w:val="004B1505"/>
    <w:rsid w:val="004B163C"/>
    <w:rsid w:val="004B1A6B"/>
    <w:rsid w:val="004B1A9E"/>
    <w:rsid w:val="004B1D28"/>
    <w:rsid w:val="004B1D75"/>
    <w:rsid w:val="004B1FE9"/>
    <w:rsid w:val="004B2084"/>
    <w:rsid w:val="004B220C"/>
    <w:rsid w:val="004B2219"/>
    <w:rsid w:val="004B2289"/>
    <w:rsid w:val="004B22D9"/>
    <w:rsid w:val="004B236F"/>
    <w:rsid w:val="004B26FC"/>
    <w:rsid w:val="004B2749"/>
    <w:rsid w:val="004B29E2"/>
    <w:rsid w:val="004B2A38"/>
    <w:rsid w:val="004B2C32"/>
    <w:rsid w:val="004B2FAE"/>
    <w:rsid w:val="004B30C9"/>
    <w:rsid w:val="004B336C"/>
    <w:rsid w:val="004B354F"/>
    <w:rsid w:val="004B35B3"/>
    <w:rsid w:val="004B3789"/>
    <w:rsid w:val="004B39E6"/>
    <w:rsid w:val="004B39E7"/>
    <w:rsid w:val="004B3A8B"/>
    <w:rsid w:val="004B3AB4"/>
    <w:rsid w:val="004B3AEB"/>
    <w:rsid w:val="004B3B02"/>
    <w:rsid w:val="004B3BBA"/>
    <w:rsid w:val="004B3D94"/>
    <w:rsid w:val="004B40B6"/>
    <w:rsid w:val="004B40FA"/>
    <w:rsid w:val="004B4153"/>
    <w:rsid w:val="004B41E6"/>
    <w:rsid w:val="004B4538"/>
    <w:rsid w:val="004B482A"/>
    <w:rsid w:val="004B4BFC"/>
    <w:rsid w:val="004B4CAC"/>
    <w:rsid w:val="004B4DD4"/>
    <w:rsid w:val="004B4E2F"/>
    <w:rsid w:val="004B5240"/>
    <w:rsid w:val="004B5351"/>
    <w:rsid w:val="004B5397"/>
    <w:rsid w:val="004B5407"/>
    <w:rsid w:val="004B569E"/>
    <w:rsid w:val="004B5848"/>
    <w:rsid w:val="004B58D1"/>
    <w:rsid w:val="004B5C0B"/>
    <w:rsid w:val="004B5CA8"/>
    <w:rsid w:val="004B5CE4"/>
    <w:rsid w:val="004B5F0A"/>
    <w:rsid w:val="004B5F0E"/>
    <w:rsid w:val="004B5FEC"/>
    <w:rsid w:val="004B6113"/>
    <w:rsid w:val="004B62BD"/>
    <w:rsid w:val="004B63A9"/>
    <w:rsid w:val="004B6418"/>
    <w:rsid w:val="004B658A"/>
    <w:rsid w:val="004B6680"/>
    <w:rsid w:val="004B66E6"/>
    <w:rsid w:val="004B66F2"/>
    <w:rsid w:val="004B673B"/>
    <w:rsid w:val="004B68E7"/>
    <w:rsid w:val="004B6901"/>
    <w:rsid w:val="004B6993"/>
    <w:rsid w:val="004B69A2"/>
    <w:rsid w:val="004B69E5"/>
    <w:rsid w:val="004B6A40"/>
    <w:rsid w:val="004B6A7D"/>
    <w:rsid w:val="004B6AD7"/>
    <w:rsid w:val="004B6B39"/>
    <w:rsid w:val="004B6D15"/>
    <w:rsid w:val="004B6E27"/>
    <w:rsid w:val="004B6F5F"/>
    <w:rsid w:val="004B707F"/>
    <w:rsid w:val="004B7260"/>
    <w:rsid w:val="004B7362"/>
    <w:rsid w:val="004B75FD"/>
    <w:rsid w:val="004B770B"/>
    <w:rsid w:val="004B776F"/>
    <w:rsid w:val="004B7A33"/>
    <w:rsid w:val="004B7C1B"/>
    <w:rsid w:val="004B7F29"/>
    <w:rsid w:val="004B7FBC"/>
    <w:rsid w:val="004C0188"/>
    <w:rsid w:val="004C05F6"/>
    <w:rsid w:val="004C061C"/>
    <w:rsid w:val="004C086A"/>
    <w:rsid w:val="004C0ABC"/>
    <w:rsid w:val="004C0F71"/>
    <w:rsid w:val="004C0FF9"/>
    <w:rsid w:val="004C116D"/>
    <w:rsid w:val="004C127F"/>
    <w:rsid w:val="004C1312"/>
    <w:rsid w:val="004C1499"/>
    <w:rsid w:val="004C163B"/>
    <w:rsid w:val="004C1661"/>
    <w:rsid w:val="004C16F4"/>
    <w:rsid w:val="004C16F7"/>
    <w:rsid w:val="004C1798"/>
    <w:rsid w:val="004C183D"/>
    <w:rsid w:val="004C19AD"/>
    <w:rsid w:val="004C19D0"/>
    <w:rsid w:val="004C1ABA"/>
    <w:rsid w:val="004C1CD4"/>
    <w:rsid w:val="004C1DEE"/>
    <w:rsid w:val="004C20C7"/>
    <w:rsid w:val="004C20F2"/>
    <w:rsid w:val="004C2563"/>
    <w:rsid w:val="004C2831"/>
    <w:rsid w:val="004C2833"/>
    <w:rsid w:val="004C2838"/>
    <w:rsid w:val="004C2940"/>
    <w:rsid w:val="004C2A16"/>
    <w:rsid w:val="004C2A40"/>
    <w:rsid w:val="004C2D0D"/>
    <w:rsid w:val="004C2DB1"/>
    <w:rsid w:val="004C2DFC"/>
    <w:rsid w:val="004C31F5"/>
    <w:rsid w:val="004C3232"/>
    <w:rsid w:val="004C3E8F"/>
    <w:rsid w:val="004C4202"/>
    <w:rsid w:val="004C437B"/>
    <w:rsid w:val="004C449E"/>
    <w:rsid w:val="004C45CE"/>
    <w:rsid w:val="004C478A"/>
    <w:rsid w:val="004C4893"/>
    <w:rsid w:val="004C4AA2"/>
    <w:rsid w:val="004C4BE9"/>
    <w:rsid w:val="004C4C12"/>
    <w:rsid w:val="004C4D21"/>
    <w:rsid w:val="004C4DF7"/>
    <w:rsid w:val="004C50D6"/>
    <w:rsid w:val="004C50FB"/>
    <w:rsid w:val="004C51E0"/>
    <w:rsid w:val="004C52A5"/>
    <w:rsid w:val="004C52F2"/>
    <w:rsid w:val="004C5572"/>
    <w:rsid w:val="004C563B"/>
    <w:rsid w:val="004C5725"/>
    <w:rsid w:val="004C58FA"/>
    <w:rsid w:val="004C5C3E"/>
    <w:rsid w:val="004C5D4E"/>
    <w:rsid w:val="004C5DCA"/>
    <w:rsid w:val="004C5E3A"/>
    <w:rsid w:val="004C5E9A"/>
    <w:rsid w:val="004C6039"/>
    <w:rsid w:val="004C603C"/>
    <w:rsid w:val="004C6548"/>
    <w:rsid w:val="004C6682"/>
    <w:rsid w:val="004C66D1"/>
    <w:rsid w:val="004C67E6"/>
    <w:rsid w:val="004C6B1B"/>
    <w:rsid w:val="004C6E4E"/>
    <w:rsid w:val="004C6EBD"/>
    <w:rsid w:val="004C6EE0"/>
    <w:rsid w:val="004C706E"/>
    <w:rsid w:val="004C71D0"/>
    <w:rsid w:val="004C7292"/>
    <w:rsid w:val="004C7396"/>
    <w:rsid w:val="004C7848"/>
    <w:rsid w:val="004C7895"/>
    <w:rsid w:val="004C799A"/>
    <w:rsid w:val="004C79EE"/>
    <w:rsid w:val="004C7A6C"/>
    <w:rsid w:val="004C7BCC"/>
    <w:rsid w:val="004C7C15"/>
    <w:rsid w:val="004C7D30"/>
    <w:rsid w:val="004C7DAB"/>
    <w:rsid w:val="004C7F0D"/>
    <w:rsid w:val="004D00D7"/>
    <w:rsid w:val="004D0108"/>
    <w:rsid w:val="004D0181"/>
    <w:rsid w:val="004D0233"/>
    <w:rsid w:val="004D070E"/>
    <w:rsid w:val="004D0718"/>
    <w:rsid w:val="004D0806"/>
    <w:rsid w:val="004D0A16"/>
    <w:rsid w:val="004D0AA7"/>
    <w:rsid w:val="004D0B93"/>
    <w:rsid w:val="004D0BD4"/>
    <w:rsid w:val="004D0C2E"/>
    <w:rsid w:val="004D0D0B"/>
    <w:rsid w:val="004D0D64"/>
    <w:rsid w:val="004D12F1"/>
    <w:rsid w:val="004D141A"/>
    <w:rsid w:val="004D14C9"/>
    <w:rsid w:val="004D16DC"/>
    <w:rsid w:val="004D1975"/>
    <w:rsid w:val="004D19B4"/>
    <w:rsid w:val="004D1AE5"/>
    <w:rsid w:val="004D227D"/>
    <w:rsid w:val="004D2281"/>
    <w:rsid w:val="004D22F0"/>
    <w:rsid w:val="004D2371"/>
    <w:rsid w:val="004D2532"/>
    <w:rsid w:val="004D292F"/>
    <w:rsid w:val="004D2972"/>
    <w:rsid w:val="004D299A"/>
    <w:rsid w:val="004D29DA"/>
    <w:rsid w:val="004D29E5"/>
    <w:rsid w:val="004D2ABE"/>
    <w:rsid w:val="004D2CAF"/>
    <w:rsid w:val="004D2E58"/>
    <w:rsid w:val="004D2EC9"/>
    <w:rsid w:val="004D321B"/>
    <w:rsid w:val="004D3325"/>
    <w:rsid w:val="004D34CC"/>
    <w:rsid w:val="004D3875"/>
    <w:rsid w:val="004D3A4E"/>
    <w:rsid w:val="004D3B9B"/>
    <w:rsid w:val="004D3BA5"/>
    <w:rsid w:val="004D3C07"/>
    <w:rsid w:val="004D3F2B"/>
    <w:rsid w:val="004D3FA1"/>
    <w:rsid w:val="004D40BE"/>
    <w:rsid w:val="004D41D9"/>
    <w:rsid w:val="004D4270"/>
    <w:rsid w:val="004D4275"/>
    <w:rsid w:val="004D4593"/>
    <w:rsid w:val="004D47F4"/>
    <w:rsid w:val="004D4B9E"/>
    <w:rsid w:val="004D4C70"/>
    <w:rsid w:val="004D5172"/>
    <w:rsid w:val="004D5536"/>
    <w:rsid w:val="004D5730"/>
    <w:rsid w:val="004D58A3"/>
    <w:rsid w:val="004D59D8"/>
    <w:rsid w:val="004D5A4B"/>
    <w:rsid w:val="004D5C46"/>
    <w:rsid w:val="004D5D49"/>
    <w:rsid w:val="004D5F1C"/>
    <w:rsid w:val="004D60A3"/>
    <w:rsid w:val="004D69BA"/>
    <w:rsid w:val="004D6AE1"/>
    <w:rsid w:val="004D6AE4"/>
    <w:rsid w:val="004D6C76"/>
    <w:rsid w:val="004D6E5E"/>
    <w:rsid w:val="004D6FE8"/>
    <w:rsid w:val="004D74D5"/>
    <w:rsid w:val="004D769B"/>
    <w:rsid w:val="004D7ECB"/>
    <w:rsid w:val="004E0007"/>
    <w:rsid w:val="004E0156"/>
    <w:rsid w:val="004E01B7"/>
    <w:rsid w:val="004E01E5"/>
    <w:rsid w:val="004E0205"/>
    <w:rsid w:val="004E0224"/>
    <w:rsid w:val="004E04C4"/>
    <w:rsid w:val="004E04C5"/>
    <w:rsid w:val="004E069E"/>
    <w:rsid w:val="004E072A"/>
    <w:rsid w:val="004E078B"/>
    <w:rsid w:val="004E0A72"/>
    <w:rsid w:val="004E0A8D"/>
    <w:rsid w:val="004E0CDD"/>
    <w:rsid w:val="004E0D15"/>
    <w:rsid w:val="004E0EDB"/>
    <w:rsid w:val="004E1106"/>
    <w:rsid w:val="004E11BE"/>
    <w:rsid w:val="004E13F7"/>
    <w:rsid w:val="004E1633"/>
    <w:rsid w:val="004E1891"/>
    <w:rsid w:val="004E190F"/>
    <w:rsid w:val="004E191F"/>
    <w:rsid w:val="004E19DA"/>
    <w:rsid w:val="004E1B9B"/>
    <w:rsid w:val="004E1C8F"/>
    <w:rsid w:val="004E1DA4"/>
    <w:rsid w:val="004E21CE"/>
    <w:rsid w:val="004E22C9"/>
    <w:rsid w:val="004E2396"/>
    <w:rsid w:val="004E2843"/>
    <w:rsid w:val="004E28FE"/>
    <w:rsid w:val="004E2A25"/>
    <w:rsid w:val="004E2AA7"/>
    <w:rsid w:val="004E2B35"/>
    <w:rsid w:val="004E2C2F"/>
    <w:rsid w:val="004E2F47"/>
    <w:rsid w:val="004E3153"/>
    <w:rsid w:val="004E319F"/>
    <w:rsid w:val="004E320C"/>
    <w:rsid w:val="004E32B1"/>
    <w:rsid w:val="004E34D7"/>
    <w:rsid w:val="004E34E2"/>
    <w:rsid w:val="004E3510"/>
    <w:rsid w:val="004E35B2"/>
    <w:rsid w:val="004E3634"/>
    <w:rsid w:val="004E3672"/>
    <w:rsid w:val="004E3747"/>
    <w:rsid w:val="004E3885"/>
    <w:rsid w:val="004E3896"/>
    <w:rsid w:val="004E3915"/>
    <w:rsid w:val="004E3A0D"/>
    <w:rsid w:val="004E3A8F"/>
    <w:rsid w:val="004E3FEB"/>
    <w:rsid w:val="004E409C"/>
    <w:rsid w:val="004E4644"/>
    <w:rsid w:val="004E4A23"/>
    <w:rsid w:val="004E4AED"/>
    <w:rsid w:val="004E504F"/>
    <w:rsid w:val="004E51A8"/>
    <w:rsid w:val="004E53D5"/>
    <w:rsid w:val="004E5574"/>
    <w:rsid w:val="004E5586"/>
    <w:rsid w:val="004E563A"/>
    <w:rsid w:val="004E5AE1"/>
    <w:rsid w:val="004E5B3F"/>
    <w:rsid w:val="004E5C6D"/>
    <w:rsid w:val="004E5CDC"/>
    <w:rsid w:val="004E5CEF"/>
    <w:rsid w:val="004E60C6"/>
    <w:rsid w:val="004E638C"/>
    <w:rsid w:val="004E66C4"/>
    <w:rsid w:val="004E6773"/>
    <w:rsid w:val="004E6A15"/>
    <w:rsid w:val="004E6B98"/>
    <w:rsid w:val="004E6BF6"/>
    <w:rsid w:val="004E70C9"/>
    <w:rsid w:val="004E7103"/>
    <w:rsid w:val="004E7253"/>
    <w:rsid w:val="004E7256"/>
    <w:rsid w:val="004E7449"/>
    <w:rsid w:val="004E7829"/>
    <w:rsid w:val="004E7D46"/>
    <w:rsid w:val="004E7FD6"/>
    <w:rsid w:val="004F0094"/>
    <w:rsid w:val="004F011B"/>
    <w:rsid w:val="004F01DD"/>
    <w:rsid w:val="004F028C"/>
    <w:rsid w:val="004F047B"/>
    <w:rsid w:val="004F05C0"/>
    <w:rsid w:val="004F07C1"/>
    <w:rsid w:val="004F086F"/>
    <w:rsid w:val="004F0937"/>
    <w:rsid w:val="004F0A8C"/>
    <w:rsid w:val="004F0B23"/>
    <w:rsid w:val="004F0B33"/>
    <w:rsid w:val="004F0BD9"/>
    <w:rsid w:val="004F11DE"/>
    <w:rsid w:val="004F12BB"/>
    <w:rsid w:val="004F131A"/>
    <w:rsid w:val="004F1335"/>
    <w:rsid w:val="004F13F8"/>
    <w:rsid w:val="004F163B"/>
    <w:rsid w:val="004F164E"/>
    <w:rsid w:val="004F1771"/>
    <w:rsid w:val="004F17CA"/>
    <w:rsid w:val="004F193E"/>
    <w:rsid w:val="004F19BE"/>
    <w:rsid w:val="004F19EF"/>
    <w:rsid w:val="004F1A30"/>
    <w:rsid w:val="004F1B47"/>
    <w:rsid w:val="004F1B8F"/>
    <w:rsid w:val="004F1D54"/>
    <w:rsid w:val="004F1F51"/>
    <w:rsid w:val="004F1FA0"/>
    <w:rsid w:val="004F200D"/>
    <w:rsid w:val="004F201E"/>
    <w:rsid w:val="004F2133"/>
    <w:rsid w:val="004F220B"/>
    <w:rsid w:val="004F2373"/>
    <w:rsid w:val="004F24C0"/>
    <w:rsid w:val="004F2A01"/>
    <w:rsid w:val="004F2D04"/>
    <w:rsid w:val="004F2D99"/>
    <w:rsid w:val="004F2E06"/>
    <w:rsid w:val="004F3015"/>
    <w:rsid w:val="004F3687"/>
    <w:rsid w:val="004F388D"/>
    <w:rsid w:val="004F3B56"/>
    <w:rsid w:val="004F3B5B"/>
    <w:rsid w:val="004F3DB2"/>
    <w:rsid w:val="004F3DCD"/>
    <w:rsid w:val="004F3DD4"/>
    <w:rsid w:val="004F3F2E"/>
    <w:rsid w:val="004F42CD"/>
    <w:rsid w:val="004F44DD"/>
    <w:rsid w:val="004F4552"/>
    <w:rsid w:val="004F4597"/>
    <w:rsid w:val="004F48BF"/>
    <w:rsid w:val="004F48C7"/>
    <w:rsid w:val="004F4D44"/>
    <w:rsid w:val="004F4E72"/>
    <w:rsid w:val="004F503A"/>
    <w:rsid w:val="004F54BD"/>
    <w:rsid w:val="004F5858"/>
    <w:rsid w:val="004F5920"/>
    <w:rsid w:val="004F5A04"/>
    <w:rsid w:val="004F5A61"/>
    <w:rsid w:val="004F5DA8"/>
    <w:rsid w:val="004F5EFD"/>
    <w:rsid w:val="004F6134"/>
    <w:rsid w:val="004F6242"/>
    <w:rsid w:val="004F640E"/>
    <w:rsid w:val="004F665F"/>
    <w:rsid w:val="004F67E2"/>
    <w:rsid w:val="004F68D2"/>
    <w:rsid w:val="004F6A6E"/>
    <w:rsid w:val="004F6D23"/>
    <w:rsid w:val="004F6FF6"/>
    <w:rsid w:val="004F7066"/>
    <w:rsid w:val="004F730E"/>
    <w:rsid w:val="004F73F9"/>
    <w:rsid w:val="004F7568"/>
    <w:rsid w:val="004F7793"/>
    <w:rsid w:val="004F7856"/>
    <w:rsid w:val="004F786E"/>
    <w:rsid w:val="00500034"/>
    <w:rsid w:val="005001BD"/>
    <w:rsid w:val="0050044A"/>
    <w:rsid w:val="005005E7"/>
    <w:rsid w:val="00500823"/>
    <w:rsid w:val="0050082D"/>
    <w:rsid w:val="005008A4"/>
    <w:rsid w:val="005009BC"/>
    <w:rsid w:val="00500C5E"/>
    <w:rsid w:val="00500CAA"/>
    <w:rsid w:val="00500CC1"/>
    <w:rsid w:val="00500D32"/>
    <w:rsid w:val="00500D70"/>
    <w:rsid w:val="005010C5"/>
    <w:rsid w:val="0050125E"/>
    <w:rsid w:val="005013C9"/>
    <w:rsid w:val="0050150F"/>
    <w:rsid w:val="005015D8"/>
    <w:rsid w:val="00501951"/>
    <w:rsid w:val="00501B2D"/>
    <w:rsid w:val="00501DE1"/>
    <w:rsid w:val="005022B0"/>
    <w:rsid w:val="0050257F"/>
    <w:rsid w:val="0050272B"/>
    <w:rsid w:val="00502866"/>
    <w:rsid w:val="0050297A"/>
    <w:rsid w:val="00502B6E"/>
    <w:rsid w:val="00502D0E"/>
    <w:rsid w:val="00502E8E"/>
    <w:rsid w:val="00503080"/>
    <w:rsid w:val="005030D4"/>
    <w:rsid w:val="0050330E"/>
    <w:rsid w:val="0050335C"/>
    <w:rsid w:val="0050345B"/>
    <w:rsid w:val="00503524"/>
    <w:rsid w:val="005035AE"/>
    <w:rsid w:val="0050381F"/>
    <w:rsid w:val="00503926"/>
    <w:rsid w:val="0050399F"/>
    <w:rsid w:val="00503A76"/>
    <w:rsid w:val="00503B3D"/>
    <w:rsid w:val="00503B65"/>
    <w:rsid w:val="00503B9E"/>
    <w:rsid w:val="00503BD2"/>
    <w:rsid w:val="00503CF3"/>
    <w:rsid w:val="00503F92"/>
    <w:rsid w:val="005040EC"/>
    <w:rsid w:val="005040F1"/>
    <w:rsid w:val="00504127"/>
    <w:rsid w:val="00504265"/>
    <w:rsid w:val="005042EF"/>
    <w:rsid w:val="005043D8"/>
    <w:rsid w:val="00504689"/>
    <w:rsid w:val="00504839"/>
    <w:rsid w:val="00504A3B"/>
    <w:rsid w:val="00504AE5"/>
    <w:rsid w:val="00504B76"/>
    <w:rsid w:val="00504C33"/>
    <w:rsid w:val="00504D24"/>
    <w:rsid w:val="00504E00"/>
    <w:rsid w:val="00504E0E"/>
    <w:rsid w:val="00504F78"/>
    <w:rsid w:val="005051BA"/>
    <w:rsid w:val="005051E4"/>
    <w:rsid w:val="0050531A"/>
    <w:rsid w:val="0050543C"/>
    <w:rsid w:val="00505969"/>
    <w:rsid w:val="00505AA7"/>
    <w:rsid w:val="00505B81"/>
    <w:rsid w:val="00505C1B"/>
    <w:rsid w:val="00505E2D"/>
    <w:rsid w:val="00505FDA"/>
    <w:rsid w:val="0050606D"/>
    <w:rsid w:val="00506302"/>
    <w:rsid w:val="00506470"/>
    <w:rsid w:val="00506640"/>
    <w:rsid w:val="0050698A"/>
    <w:rsid w:val="00506B74"/>
    <w:rsid w:val="00506E7D"/>
    <w:rsid w:val="0050721A"/>
    <w:rsid w:val="005078C4"/>
    <w:rsid w:val="00507A19"/>
    <w:rsid w:val="00507AA3"/>
    <w:rsid w:val="00507B0A"/>
    <w:rsid w:val="00507D1D"/>
    <w:rsid w:val="00507E75"/>
    <w:rsid w:val="0051001F"/>
    <w:rsid w:val="00510048"/>
    <w:rsid w:val="005101C3"/>
    <w:rsid w:val="00510626"/>
    <w:rsid w:val="00510681"/>
    <w:rsid w:val="00510720"/>
    <w:rsid w:val="00510850"/>
    <w:rsid w:val="00510CA7"/>
    <w:rsid w:val="00510ED1"/>
    <w:rsid w:val="005111CE"/>
    <w:rsid w:val="005111F8"/>
    <w:rsid w:val="0051151E"/>
    <w:rsid w:val="00511839"/>
    <w:rsid w:val="005118EA"/>
    <w:rsid w:val="00511AE6"/>
    <w:rsid w:val="00511B56"/>
    <w:rsid w:val="00511D18"/>
    <w:rsid w:val="00511F2E"/>
    <w:rsid w:val="0051225F"/>
    <w:rsid w:val="005122A6"/>
    <w:rsid w:val="0051252C"/>
    <w:rsid w:val="00512550"/>
    <w:rsid w:val="005126C0"/>
    <w:rsid w:val="00512714"/>
    <w:rsid w:val="00512722"/>
    <w:rsid w:val="005127A0"/>
    <w:rsid w:val="005127EC"/>
    <w:rsid w:val="005129D2"/>
    <w:rsid w:val="00512E39"/>
    <w:rsid w:val="005131B0"/>
    <w:rsid w:val="005133E7"/>
    <w:rsid w:val="005135A4"/>
    <w:rsid w:val="00513A49"/>
    <w:rsid w:val="00513AF8"/>
    <w:rsid w:val="00513B0B"/>
    <w:rsid w:val="00513B48"/>
    <w:rsid w:val="00513B72"/>
    <w:rsid w:val="00513D5E"/>
    <w:rsid w:val="00513D9F"/>
    <w:rsid w:val="00513EF3"/>
    <w:rsid w:val="00514070"/>
    <w:rsid w:val="005142FA"/>
    <w:rsid w:val="005144E4"/>
    <w:rsid w:val="005144F4"/>
    <w:rsid w:val="00514E30"/>
    <w:rsid w:val="0051515D"/>
    <w:rsid w:val="0051521B"/>
    <w:rsid w:val="005155AB"/>
    <w:rsid w:val="0051565E"/>
    <w:rsid w:val="0051577A"/>
    <w:rsid w:val="00515B96"/>
    <w:rsid w:val="00515BB7"/>
    <w:rsid w:val="00515BF1"/>
    <w:rsid w:val="00515C54"/>
    <w:rsid w:val="00515C69"/>
    <w:rsid w:val="00516352"/>
    <w:rsid w:val="00516509"/>
    <w:rsid w:val="0051682A"/>
    <w:rsid w:val="00516844"/>
    <w:rsid w:val="00516A87"/>
    <w:rsid w:val="00516CED"/>
    <w:rsid w:val="00516FEE"/>
    <w:rsid w:val="005173B5"/>
    <w:rsid w:val="005173D1"/>
    <w:rsid w:val="005174A8"/>
    <w:rsid w:val="005175B6"/>
    <w:rsid w:val="005179BE"/>
    <w:rsid w:val="00517A87"/>
    <w:rsid w:val="00517AD2"/>
    <w:rsid w:val="00517B32"/>
    <w:rsid w:val="00517D41"/>
    <w:rsid w:val="00520248"/>
    <w:rsid w:val="00520290"/>
    <w:rsid w:val="00520A19"/>
    <w:rsid w:val="00520AE1"/>
    <w:rsid w:val="00520BD0"/>
    <w:rsid w:val="00520BFA"/>
    <w:rsid w:val="00520C90"/>
    <w:rsid w:val="00520DEE"/>
    <w:rsid w:val="005211CA"/>
    <w:rsid w:val="00521266"/>
    <w:rsid w:val="005212AA"/>
    <w:rsid w:val="0052145F"/>
    <w:rsid w:val="0052160D"/>
    <w:rsid w:val="0052168F"/>
    <w:rsid w:val="0052171B"/>
    <w:rsid w:val="005219F3"/>
    <w:rsid w:val="00521B92"/>
    <w:rsid w:val="00521C1C"/>
    <w:rsid w:val="00521C49"/>
    <w:rsid w:val="00521DE6"/>
    <w:rsid w:val="00521E75"/>
    <w:rsid w:val="00521FC2"/>
    <w:rsid w:val="00521FF9"/>
    <w:rsid w:val="00522129"/>
    <w:rsid w:val="005223AA"/>
    <w:rsid w:val="005224C3"/>
    <w:rsid w:val="0052299D"/>
    <w:rsid w:val="00522A6D"/>
    <w:rsid w:val="00522BF0"/>
    <w:rsid w:val="00522C5F"/>
    <w:rsid w:val="00522D0E"/>
    <w:rsid w:val="0052304A"/>
    <w:rsid w:val="0052317F"/>
    <w:rsid w:val="005233AB"/>
    <w:rsid w:val="00523725"/>
    <w:rsid w:val="00523ACB"/>
    <w:rsid w:val="00523AF2"/>
    <w:rsid w:val="00523B09"/>
    <w:rsid w:val="00523B2D"/>
    <w:rsid w:val="00523B93"/>
    <w:rsid w:val="00523BB1"/>
    <w:rsid w:val="00523BF6"/>
    <w:rsid w:val="00523E1D"/>
    <w:rsid w:val="00523EA4"/>
    <w:rsid w:val="00523F7D"/>
    <w:rsid w:val="00523F97"/>
    <w:rsid w:val="00524083"/>
    <w:rsid w:val="005240AA"/>
    <w:rsid w:val="00524293"/>
    <w:rsid w:val="00524968"/>
    <w:rsid w:val="005249B4"/>
    <w:rsid w:val="00524C61"/>
    <w:rsid w:val="00524C70"/>
    <w:rsid w:val="00524D39"/>
    <w:rsid w:val="00525125"/>
    <w:rsid w:val="005251A7"/>
    <w:rsid w:val="00525243"/>
    <w:rsid w:val="00525339"/>
    <w:rsid w:val="00525A10"/>
    <w:rsid w:val="00525CC1"/>
    <w:rsid w:val="00525D7A"/>
    <w:rsid w:val="00525D9F"/>
    <w:rsid w:val="00525E2E"/>
    <w:rsid w:val="00526032"/>
    <w:rsid w:val="00526483"/>
    <w:rsid w:val="005269EC"/>
    <w:rsid w:val="005269FF"/>
    <w:rsid w:val="00526A2F"/>
    <w:rsid w:val="00526C7A"/>
    <w:rsid w:val="00526D95"/>
    <w:rsid w:val="00526DDF"/>
    <w:rsid w:val="00526E2F"/>
    <w:rsid w:val="00527114"/>
    <w:rsid w:val="005273EB"/>
    <w:rsid w:val="0052747A"/>
    <w:rsid w:val="00527592"/>
    <w:rsid w:val="0052764A"/>
    <w:rsid w:val="005276E9"/>
    <w:rsid w:val="00527EF4"/>
    <w:rsid w:val="00530079"/>
    <w:rsid w:val="0053040F"/>
    <w:rsid w:val="005305E4"/>
    <w:rsid w:val="005306E1"/>
    <w:rsid w:val="0053089B"/>
    <w:rsid w:val="005308D6"/>
    <w:rsid w:val="005309D6"/>
    <w:rsid w:val="00530A88"/>
    <w:rsid w:val="0053109D"/>
    <w:rsid w:val="0053122E"/>
    <w:rsid w:val="00531280"/>
    <w:rsid w:val="00531339"/>
    <w:rsid w:val="00531348"/>
    <w:rsid w:val="005313C4"/>
    <w:rsid w:val="00531455"/>
    <w:rsid w:val="00531548"/>
    <w:rsid w:val="00531717"/>
    <w:rsid w:val="00531852"/>
    <w:rsid w:val="00531999"/>
    <w:rsid w:val="00531A19"/>
    <w:rsid w:val="00531C27"/>
    <w:rsid w:val="005320C5"/>
    <w:rsid w:val="0053228C"/>
    <w:rsid w:val="00532397"/>
    <w:rsid w:val="0053268E"/>
    <w:rsid w:val="005326BD"/>
    <w:rsid w:val="00532C84"/>
    <w:rsid w:val="00532C9F"/>
    <w:rsid w:val="00532CA4"/>
    <w:rsid w:val="005331D9"/>
    <w:rsid w:val="005333E1"/>
    <w:rsid w:val="00533407"/>
    <w:rsid w:val="0053345D"/>
    <w:rsid w:val="0053347A"/>
    <w:rsid w:val="005336D7"/>
    <w:rsid w:val="00533935"/>
    <w:rsid w:val="0053393F"/>
    <w:rsid w:val="005339D6"/>
    <w:rsid w:val="0053403A"/>
    <w:rsid w:val="0053408A"/>
    <w:rsid w:val="005341C9"/>
    <w:rsid w:val="005342F0"/>
    <w:rsid w:val="0053435C"/>
    <w:rsid w:val="0053451A"/>
    <w:rsid w:val="0053481C"/>
    <w:rsid w:val="00534828"/>
    <w:rsid w:val="005349E3"/>
    <w:rsid w:val="00534C65"/>
    <w:rsid w:val="00534C89"/>
    <w:rsid w:val="00534E2E"/>
    <w:rsid w:val="00535004"/>
    <w:rsid w:val="00535101"/>
    <w:rsid w:val="00535148"/>
    <w:rsid w:val="00535164"/>
    <w:rsid w:val="005352AC"/>
    <w:rsid w:val="00535584"/>
    <w:rsid w:val="005359A2"/>
    <w:rsid w:val="005359C9"/>
    <w:rsid w:val="00535AB7"/>
    <w:rsid w:val="00535D2A"/>
    <w:rsid w:val="00535E87"/>
    <w:rsid w:val="00535FEE"/>
    <w:rsid w:val="0053601B"/>
    <w:rsid w:val="005360CE"/>
    <w:rsid w:val="005366C6"/>
    <w:rsid w:val="005367A6"/>
    <w:rsid w:val="0053698A"/>
    <w:rsid w:val="00536D35"/>
    <w:rsid w:val="00536E0C"/>
    <w:rsid w:val="00536E5C"/>
    <w:rsid w:val="00536EB9"/>
    <w:rsid w:val="005373A6"/>
    <w:rsid w:val="005374D2"/>
    <w:rsid w:val="00537612"/>
    <w:rsid w:val="005378D3"/>
    <w:rsid w:val="00537C01"/>
    <w:rsid w:val="00537DA1"/>
    <w:rsid w:val="00537E8D"/>
    <w:rsid w:val="00537FAE"/>
    <w:rsid w:val="00540004"/>
    <w:rsid w:val="0054029A"/>
    <w:rsid w:val="00540874"/>
    <w:rsid w:val="005408C6"/>
    <w:rsid w:val="00540AD8"/>
    <w:rsid w:val="00540D10"/>
    <w:rsid w:val="00540DC1"/>
    <w:rsid w:val="00540E95"/>
    <w:rsid w:val="0054103D"/>
    <w:rsid w:val="00541255"/>
    <w:rsid w:val="00541917"/>
    <w:rsid w:val="00541A49"/>
    <w:rsid w:val="00541B2E"/>
    <w:rsid w:val="00541B7A"/>
    <w:rsid w:val="00541CD6"/>
    <w:rsid w:val="00541D40"/>
    <w:rsid w:val="00541E7D"/>
    <w:rsid w:val="00541FC2"/>
    <w:rsid w:val="005423A2"/>
    <w:rsid w:val="0054276A"/>
    <w:rsid w:val="00542974"/>
    <w:rsid w:val="00542993"/>
    <w:rsid w:val="00542D20"/>
    <w:rsid w:val="00542F64"/>
    <w:rsid w:val="00542FFC"/>
    <w:rsid w:val="0054307D"/>
    <w:rsid w:val="0054327E"/>
    <w:rsid w:val="005432DC"/>
    <w:rsid w:val="0054336A"/>
    <w:rsid w:val="0054339E"/>
    <w:rsid w:val="005433BF"/>
    <w:rsid w:val="005433F6"/>
    <w:rsid w:val="00543450"/>
    <w:rsid w:val="005435E8"/>
    <w:rsid w:val="005436C6"/>
    <w:rsid w:val="00543A59"/>
    <w:rsid w:val="00543A96"/>
    <w:rsid w:val="00543E18"/>
    <w:rsid w:val="00544016"/>
    <w:rsid w:val="0054405B"/>
    <w:rsid w:val="005440E8"/>
    <w:rsid w:val="005445DF"/>
    <w:rsid w:val="00544827"/>
    <w:rsid w:val="005448CB"/>
    <w:rsid w:val="005448F9"/>
    <w:rsid w:val="00544CF7"/>
    <w:rsid w:val="00544F24"/>
    <w:rsid w:val="00545103"/>
    <w:rsid w:val="00545476"/>
    <w:rsid w:val="0054552D"/>
    <w:rsid w:val="00545866"/>
    <w:rsid w:val="005458EF"/>
    <w:rsid w:val="00545937"/>
    <w:rsid w:val="00545AC4"/>
    <w:rsid w:val="00545D41"/>
    <w:rsid w:val="0054652D"/>
    <w:rsid w:val="00546574"/>
    <w:rsid w:val="0054659B"/>
    <w:rsid w:val="005466FC"/>
    <w:rsid w:val="00546834"/>
    <w:rsid w:val="0054695C"/>
    <w:rsid w:val="00546AE5"/>
    <w:rsid w:val="00546C64"/>
    <w:rsid w:val="00546CCA"/>
    <w:rsid w:val="00546E80"/>
    <w:rsid w:val="00546EE8"/>
    <w:rsid w:val="005470E4"/>
    <w:rsid w:val="00547134"/>
    <w:rsid w:val="005474AB"/>
    <w:rsid w:val="00547575"/>
    <w:rsid w:val="00547722"/>
    <w:rsid w:val="0054776F"/>
    <w:rsid w:val="005477D0"/>
    <w:rsid w:val="00547BFA"/>
    <w:rsid w:val="00547E27"/>
    <w:rsid w:val="005500CF"/>
    <w:rsid w:val="00550597"/>
    <w:rsid w:val="005506A8"/>
    <w:rsid w:val="00550754"/>
    <w:rsid w:val="005507AE"/>
    <w:rsid w:val="00550812"/>
    <w:rsid w:val="00550949"/>
    <w:rsid w:val="00550961"/>
    <w:rsid w:val="00550B12"/>
    <w:rsid w:val="00550B21"/>
    <w:rsid w:val="00550DC5"/>
    <w:rsid w:val="005512B0"/>
    <w:rsid w:val="005513CD"/>
    <w:rsid w:val="00551626"/>
    <w:rsid w:val="00551881"/>
    <w:rsid w:val="00551883"/>
    <w:rsid w:val="00551958"/>
    <w:rsid w:val="00551C8D"/>
    <w:rsid w:val="00551DE6"/>
    <w:rsid w:val="00552022"/>
    <w:rsid w:val="0055225C"/>
    <w:rsid w:val="00552385"/>
    <w:rsid w:val="005526E7"/>
    <w:rsid w:val="0055286F"/>
    <w:rsid w:val="00552A85"/>
    <w:rsid w:val="00552AF5"/>
    <w:rsid w:val="00552D04"/>
    <w:rsid w:val="00552D43"/>
    <w:rsid w:val="00552DB2"/>
    <w:rsid w:val="00552DBB"/>
    <w:rsid w:val="00552DE4"/>
    <w:rsid w:val="00553039"/>
    <w:rsid w:val="00553083"/>
    <w:rsid w:val="0055311F"/>
    <w:rsid w:val="0055314F"/>
    <w:rsid w:val="0055318D"/>
    <w:rsid w:val="00553378"/>
    <w:rsid w:val="0055362E"/>
    <w:rsid w:val="0055363F"/>
    <w:rsid w:val="00553906"/>
    <w:rsid w:val="00553925"/>
    <w:rsid w:val="00553A5C"/>
    <w:rsid w:val="00553AB4"/>
    <w:rsid w:val="00553F03"/>
    <w:rsid w:val="00553FE0"/>
    <w:rsid w:val="005541FF"/>
    <w:rsid w:val="00554262"/>
    <w:rsid w:val="005543F9"/>
    <w:rsid w:val="00554772"/>
    <w:rsid w:val="0055484D"/>
    <w:rsid w:val="00554D45"/>
    <w:rsid w:val="00554D7A"/>
    <w:rsid w:val="00554DEA"/>
    <w:rsid w:val="00554F3C"/>
    <w:rsid w:val="005550E8"/>
    <w:rsid w:val="005550EC"/>
    <w:rsid w:val="005550FD"/>
    <w:rsid w:val="00555223"/>
    <w:rsid w:val="00555494"/>
    <w:rsid w:val="00555534"/>
    <w:rsid w:val="005559FB"/>
    <w:rsid w:val="00555A3E"/>
    <w:rsid w:val="00555B1D"/>
    <w:rsid w:val="00555B2E"/>
    <w:rsid w:val="00555B60"/>
    <w:rsid w:val="00555D9E"/>
    <w:rsid w:val="00555DCA"/>
    <w:rsid w:val="00555E4F"/>
    <w:rsid w:val="00555F0D"/>
    <w:rsid w:val="005560F0"/>
    <w:rsid w:val="00556580"/>
    <w:rsid w:val="005565D2"/>
    <w:rsid w:val="00556636"/>
    <w:rsid w:val="005569DB"/>
    <w:rsid w:val="00556A5E"/>
    <w:rsid w:val="00556A73"/>
    <w:rsid w:val="00556BA3"/>
    <w:rsid w:val="00556C1E"/>
    <w:rsid w:val="00556DD4"/>
    <w:rsid w:val="0055701E"/>
    <w:rsid w:val="00557107"/>
    <w:rsid w:val="005574B7"/>
    <w:rsid w:val="00557722"/>
    <w:rsid w:val="00557A83"/>
    <w:rsid w:val="00557AD3"/>
    <w:rsid w:val="00557B06"/>
    <w:rsid w:val="00557B70"/>
    <w:rsid w:val="00557C89"/>
    <w:rsid w:val="00557E19"/>
    <w:rsid w:val="00557E6F"/>
    <w:rsid w:val="00557F35"/>
    <w:rsid w:val="00560043"/>
    <w:rsid w:val="0056005D"/>
    <w:rsid w:val="0056015D"/>
    <w:rsid w:val="005601A5"/>
    <w:rsid w:val="0056027A"/>
    <w:rsid w:val="005602B0"/>
    <w:rsid w:val="00560352"/>
    <w:rsid w:val="005608C6"/>
    <w:rsid w:val="00560936"/>
    <w:rsid w:val="00560AED"/>
    <w:rsid w:val="00560C7E"/>
    <w:rsid w:val="00560EB8"/>
    <w:rsid w:val="00560F2B"/>
    <w:rsid w:val="00561028"/>
    <w:rsid w:val="00561095"/>
    <w:rsid w:val="00561326"/>
    <w:rsid w:val="00561372"/>
    <w:rsid w:val="00561836"/>
    <w:rsid w:val="0056184F"/>
    <w:rsid w:val="00561A0E"/>
    <w:rsid w:val="00561D1E"/>
    <w:rsid w:val="00561D75"/>
    <w:rsid w:val="00561ECA"/>
    <w:rsid w:val="00561FF4"/>
    <w:rsid w:val="0056208A"/>
    <w:rsid w:val="005620DF"/>
    <w:rsid w:val="0056217E"/>
    <w:rsid w:val="00562238"/>
    <w:rsid w:val="00562312"/>
    <w:rsid w:val="00562818"/>
    <w:rsid w:val="00562850"/>
    <w:rsid w:val="00562A2C"/>
    <w:rsid w:val="00562AA9"/>
    <w:rsid w:val="00562B41"/>
    <w:rsid w:val="00562BA5"/>
    <w:rsid w:val="00562F6C"/>
    <w:rsid w:val="00563057"/>
    <w:rsid w:val="0056310A"/>
    <w:rsid w:val="00563972"/>
    <w:rsid w:val="00563B3B"/>
    <w:rsid w:val="00563D5F"/>
    <w:rsid w:val="00563E79"/>
    <w:rsid w:val="00563EA2"/>
    <w:rsid w:val="005640F1"/>
    <w:rsid w:val="005641E3"/>
    <w:rsid w:val="00564303"/>
    <w:rsid w:val="005644F4"/>
    <w:rsid w:val="00564775"/>
    <w:rsid w:val="00564C2D"/>
    <w:rsid w:val="00564E02"/>
    <w:rsid w:val="00564EB1"/>
    <w:rsid w:val="00564F5B"/>
    <w:rsid w:val="005650BC"/>
    <w:rsid w:val="00565138"/>
    <w:rsid w:val="00565278"/>
    <w:rsid w:val="00565286"/>
    <w:rsid w:val="005652F3"/>
    <w:rsid w:val="00565356"/>
    <w:rsid w:val="00565A5C"/>
    <w:rsid w:val="00565B4F"/>
    <w:rsid w:val="00565BDB"/>
    <w:rsid w:val="00565C80"/>
    <w:rsid w:val="00565DFA"/>
    <w:rsid w:val="005661A3"/>
    <w:rsid w:val="005663F2"/>
    <w:rsid w:val="005664CA"/>
    <w:rsid w:val="005666B0"/>
    <w:rsid w:val="005669C5"/>
    <w:rsid w:val="00566BA4"/>
    <w:rsid w:val="00566D1A"/>
    <w:rsid w:val="00566E1C"/>
    <w:rsid w:val="00566E70"/>
    <w:rsid w:val="00567176"/>
    <w:rsid w:val="005671E4"/>
    <w:rsid w:val="005673F8"/>
    <w:rsid w:val="00567452"/>
    <w:rsid w:val="0056769A"/>
    <w:rsid w:val="005677D4"/>
    <w:rsid w:val="00567978"/>
    <w:rsid w:val="00567E65"/>
    <w:rsid w:val="005700A2"/>
    <w:rsid w:val="0057014C"/>
    <w:rsid w:val="00570380"/>
    <w:rsid w:val="005706F1"/>
    <w:rsid w:val="00570BDF"/>
    <w:rsid w:val="00570D4E"/>
    <w:rsid w:val="00570F3F"/>
    <w:rsid w:val="005710E4"/>
    <w:rsid w:val="005712F8"/>
    <w:rsid w:val="005714E1"/>
    <w:rsid w:val="0057153A"/>
    <w:rsid w:val="0057163D"/>
    <w:rsid w:val="00571A45"/>
    <w:rsid w:val="00571B61"/>
    <w:rsid w:val="00571E1E"/>
    <w:rsid w:val="00571EE9"/>
    <w:rsid w:val="00572435"/>
    <w:rsid w:val="00572477"/>
    <w:rsid w:val="005726E7"/>
    <w:rsid w:val="005729E3"/>
    <w:rsid w:val="00572CD6"/>
    <w:rsid w:val="00572E7B"/>
    <w:rsid w:val="00572EBA"/>
    <w:rsid w:val="00573392"/>
    <w:rsid w:val="005734F2"/>
    <w:rsid w:val="005736C7"/>
    <w:rsid w:val="005736DA"/>
    <w:rsid w:val="005736F5"/>
    <w:rsid w:val="00573756"/>
    <w:rsid w:val="00573773"/>
    <w:rsid w:val="00573818"/>
    <w:rsid w:val="0057385C"/>
    <w:rsid w:val="00573B37"/>
    <w:rsid w:val="00573B7A"/>
    <w:rsid w:val="00573F2C"/>
    <w:rsid w:val="00573F4C"/>
    <w:rsid w:val="00574153"/>
    <w:rsid w:val="005741AA"/>
    <w:rsid w:val="00574495"/>
    <w:rsid w:val="005745E2"/>
    <w:rsid w:val="00574964"/>
    <w:rsid w:val="00574A5B"/>
    <w:rsid w:val="00574A73"/>
    <w:rsid w:val="00574AB8"/>
    <w:rsid w:val="00574B87"/>
    <w:rsid w:val="00574CF1"/>
    <w:rsid w:val="00574E3F"/>
    <w:rsid w:val="00574F41"/>
    <w:rsid w:val="00574F82"/>
    <w:rsid w:val="00575258"/>
    <w:rsid w:val="005752E4"/>
    <w:rsid w:val="00575523"/>
    <w:rsid w:val="00575564"/>
    <w:rsid w:val="00575613"/>
    <w:rsid w:val="00575693"/>
    <w:rsid w:val="00575750"/>
    <w:rsid w:val="005759F8"/>
    <w:rsid w:val="00575AE7"/>
    <w:rsid w:val="00575BC9"/>
    <w:rsid w:val="00575DC5"/>
    <w:rsid w:val="005761EE"/>
    <w:rsid w:val="00576241"/>
    <w:rsid w:val="00576409"/>
    <w:rsid w:val="00576702"/>
    <w:rsid w:val="00576766"/>
    <w:rsid w:val="005768BB"/>
    <w:rsid w:val="0057693A"/>
    <w:rsid w:val="00576B6D"/>
    <w:rsid w:val="00576E49"/>
    <w:rsid w:val="00576E7A"/>
    <w:rsid w:val="00576EE0"/>
    <w:rsid w:val="0057702A"/>
    <w:rsid w:val="00577064"/>
    <w:rsid w:val="005771DF"/>
    <w:rsid w:val="005772C2"/>
    <w:rsid w:val="0057732A"/>
    <w:rsid w:val="0057753C"/>
    <w:rsid w:val="0057754F"/>
    <w:rsid w:val="00577604"/>
    <w:rsid w:val="005776CA"/>
    <w:rsid w:val="005778A8"/>
    <w:rsid w:val="00577906"/>
    <w:rsid w:val="005779D8"/>
    <w:rsid w:val="00577A3A"/>
    <w:rsid w:val="00577AC2"/>
    <w:rsid w:val="00577CCC"/>
    <w:rsid w:val="00577F57"/>
    <w:rsid w:val="00580120"/>
    <w:rsid w:val="005802D9"/>
    <w:rsid w:val="00580363"/>
    <w:rsid w:val="00580486"/>
    <w:rsid w:val="005804F8"/>
    <w:rsid w:val="0058055D"/>
    <w:rsid w:val="0058066B"/>
    <w:rsid w:val="00580810"/>
    <w:rsid w:val="00580A98"/>
    <w:rsid w:val="00580B28"/>
    <w:rsid w:val="00580D35"/>
    <w:rsid w:val="00580F74"/>
    <w:rsid w:val="00580FA0"/>
    <w:rsid w:val="005812E2"/>
    <w:rsid w:val="005813AE"/>
    <w:rsid w:val="00581766"/>
    <w:rsid w:val="005818BA"/>
    <w:rsid w:val="005818E1"/>
    <w:rsid w:val="0058190F"/>
    <w:rsid w:val="00581979"/>
    <w:rsid w:val="00581AF7"/>
    <w:rsid w:val="00581E56"/>
    <w:rsid w:val="00581F3E"/>
    <w:rsid w:val="00581F5F"/>
    <w:rsid w:val="00581FB8"/>
    <w:rsid w:val="00581FB9"/>
    <w:rsid w:val="00582029"/>
    <w:rsid w:val="005821C7"/>
    <w:rsid w:val="005822D9"/>
    <w:rsid w:val="00582320"/>
    <w:rsid w:val="0058237F"/>
    <w:rsid w:val="005823CA"/>
    <w:rsid w:val="00582649"/>
    <w:rsid w:val="005827A5"/>
    <w:rsid w:val="005827B3"/>
    <w:rsid w:val="005827F2"/>
    <w:rsid w:val="005828CE"/>
    <w:rsid w:val="00582C5C"/>
    <w:rsid w:val="00582C79"/>
    <w:rsid w:val="00582EA4"/>
    <w:rsid w:val="00583164"/>
    <w:rsid w:val="00583169"/>
    <w:rsid w:val="005833B3"/>
    <w:rsid w:val="00583628"/>
    <w:rsid w:val="00583658"/>
    <w:rsid w:val="0058398F"/>
    <w:rsid w:val="00583D5E"/>
    <w:rsid w:val="00583F4A"/>
    <w:rsid w:val="005842ED"/>
    <w:rsid w:val="00584496"/>
    <w:rsid w:val="00584644"/>
    <w:rsid w:val="0058474B"/>
    <w:rsid w:val="00584A3C"/>
    <w:rsid w:val="00584AD0"/>
    <w:rsid w:val="00584C45"/>
    <w:rsid w:val="00584C97"/>
    <w:rsid w:val="00584CBC"/>
    <w:rsid w:val="005850C7"/>
    <w:rsid w:val="00585133"/>
    <w:rsid w:val="005852B7"/>
    <w:rsid w:val="005852ED"/>
    <w:rsid w:val="005853EF"/>
    <w:rsid w:val="005855A5"/>
    <w:rsid w:val="005856B4"/>
    <w:rsid w:val="005856C5"/>
    <w:rsid w:val="005857F1"/>
    <w:rsid w:val="00585821"/>
    <w:rsid w:val="005859A7"/>
    <w:rsid w:val="005859AC"/>
    <w:rsid w:val="00585ACD"/>
    <w:rsid w:val="00585AE7"/>
    <w:rsid w:val="00585BCD"/>
    <w:rsid w:val="00585DA8"/>
    <w:rsid w:val="00585DC1"/>
    <w:rsid w:val="00585EB8"/>
    <w:rsid w:val="00585EF7"/>
    <w:rsid w:val="00586030"/>
    <w:rsid w:val="005861E2"/>
    <w:rsid w:val="00586223"/>
    <w:rsid w:val="00586266"/>
    <w:rsid w:val="0058660A"/>
    <w:rsid w:val="0058666B"/>
    <w:rsid w:val="005866EC"/>
    <w:rsid w:val="0058674D"/>
    <w:rsid w:val="005867B1"/>
    <w:rsid w:val="005867C0"/>
    <w:rsid w:val="0058693E"/>
    <w:rsid w:val="00586988"/>
    <w:rsid w:val="00586B42"/>
    <w:rsid w:val="00586D4C"/>
    <w:rsid w:val="00587050"/>
    <w:rsid w:val="005871E9"/>
    <w:rsid w:val="00587588"/>
    <w:rsid w:val="005876EE"/>
    <w:rsid w:val="005877AF"/>
    <w:rsid w:val="005878E9"/>
    <w:rsid w:val="005878F5"/>
    <w:rsid w:val="00587971"/>
    <w:rsid w:val="00587B90"/>
    <w:rsid w:val="00587B91"/>
    <w:rsid w:val="00587BD9"/>
    <w:rsid w:val="00587D94"/>
    <w:rsid w:val="00587FBF"/>
    <w:rsid w:val="00590030"/>
    <w:rsid w:val="005900F9"/>
    <w:rsid w:val="00590151"/>
    <w:rsid w:val="0059026A"/>
    <w:rsid w:val="00590273"/>
    <w:rsid w:val="00590472"/>
    <w:rsid w:val="0059075C"/>
    <w:rsid w:val="00590AFF"/>
    <w:rsid w:val="00590B3D"/>
    <w:rsid w:val="00590BCC"/>
    <w:rsid w:val="00590DA8"/>
    <w:rsid w:val="005910EF"/>
    <w:rsid w:val="005911DA"/>
    <w:rsid w:val="005913AF"/>
    <w:rsid w:val="005914FC"/>
    <w:rsid w:val="00591617"/>
    <w:rsid w:val="00591946"/>
    <w:rsid w:val="00591A3C"/>
    <w:rsid w:val="00591C5D"/>
    <w:rsid w:val="00591E04"/>
    <w:rsid w:val="005921BD"/>
    <w:rsid w:val="005924B5"/>
    <w:rsid w:val="00592529"/>
    <w:rsid w:val="00592952"/>
    <w:rsid w:val="00592A95"/>
    <w:rsid w:val="00592AE2"/>
    <w:rsid w:val="00592E27"/>
    <w:rsid w:val="00592E8C"/>
    <w:rsid w:val="00593233"/>
    <w:rsid w:val="0059379C"/>
    <w:rsid w:val="005937E9"/>
    <w:rsid w:val="005939E6"/>
    <w:rsid w:val="00593CFB"/>
    <w:rsid w:val="00594030"/>
    <w:rsid w:val="00594137"/>
    <w:rsid w:val="005943C8"/>
    <w:rsid w:val="005945C3"/>
    <w:rsid w:val="005945E0"/>
    <w:rsid w:val="005946DD"/>
    <w:rsid w:val="0059473B"/>
    <w:rsid w:val="0059479A"/>
    <w:rsid w:val="0059486F"/>
    <w:rsid w:val="00594A0D"/>
    <w:rsid w:val="00594AEF"/>
    <w:rsid w:val="00594D2B"/>
    <w:rsid w:val="00594D65"/>
    <w:rsid w:val="00595013"/>
    <w:rsid w:val="00595150"/>
    <w:rsid w:val="00595255"/>
    <w:rsid w:val="00595317"/>
    <w:rsid w:val="0059580B"/>
    <w:rsid w:val="005958B4"/>
    <w:rsid w:val="00595AD1"/>
    <w:rsid w:val="00595D26"/>
    <w:rsid w:val="00595D38"/>
    <w:rsid w:val="00595E4E"/>
    <w:rsid w:val="00595ECD"/>
    <w:rsid w:val="00595FD3"/>
    <w:rsid w:val="005962C2"/>
    <w:rsid w:val="005962DB"/>
    <w:rsid w:val="00596308"/>
    <w:rsid w:val="00596453"/>
    <w:rsid w:val="005965C7"/>
    <w:rsid w:val="00596647"/>
    <w:rsid w:val="00596712"/>
    <w:rsid w:val="005968D7"/>
    <w:rsid w:val="00596A34"/>
    <w:rsid w:val="00596B0B"/>
    <w:rsid w:val="00596EF2"/>
    <w:rsid w:val="00597256"/>
    <w:rsid w:val="005972AB"/>
    <w:rsid w:val="005975D4"/>
    <w:rsid w:val="00597870"/>
    <w:rsid w:val="00597D40"/>
    <w:rsid w:val="00597D8B"/>
    <w:rsid w:val="00597F14"/>
    <w:rsid w:val="005A00CE"/>
    <w:rsid w:val="005A01C4"/>
    <w:rsid w:val="005A021C"/>
    <w:rsid w:val="005A063D"/>
    <w:rsid w:val="005A0770"/>
    <w:rsid w:val="005A07CA"/>
    <w:rsid w:val="005A09E6"/>
    <w:rsid w:val="005A0A2E"/>
    <w:rsid w:val="005A118B"/>
    <w:rsid w:val="005A1343"/>
    <w:rsid w:val="005A1356"/>
    <w:rsid w:val="005A14FB"/>
    <w:rsid w:val="005A19C6"/>
    <w:rsid w:val="005A1A84"/>
    <w:rsid w:val="005A1CBB"/>
    <w:rsid w:val="005A1D09"/>
    <w:rsid w:val="005A1DB3"/>
    <w:rsid w:val="005A20E9"/>
    <w:rsid w:val="005A2335"/>
    <w:rsid w:val="005A2482"/>
    <w:rsid w:val="005A2484"/>
    <w:rsid w:val="005A2903"/>
    <w:rsid w:val="005A2EAA"/>
    <w:rsid w:val="005A2F6F"/>
    <w:rsid w:val="005A3060"/>
    <w:rsid w:val="005A3119"/>
    <w:rsid w:val="005A31E2"/>
    <w:rsid w:val="005A3218"/>
    <w:rsid w:val="005A34AD"/>
    <w:rsid w:val="005A34D3"/>
    <w:rsid w:val="005A3531"/>
    <w:rsid w:val="005A35BE"/>
    <w:rsid w:val="005A36B7"/>
    <w:rsid w:val="005A3974"/>
    <w:rsid w:val="005A3977"/>
    <w:rsid w:val="005A39A7"/>
    <w:rsid w:val="005A3C6A"/>
    <w:rsid w:val="005A3CFD"/>
    <w:rsid w:val="005A3F7C"/>
    <w:rsid w:val="005A3FCA"/>
    <w:rsid w:val="005A3FE7"/>
    <w:rsid w:val="005A447C"/>
    <w:rsid w:val="005A44F1"/>
    <w:rsid w:val="005A4547"/>
    <w:rsid w:val="005A47AE"/>
    <w:rsid w:val="005A4869"/>
    <w:rsid w:val="005A48DC"/>
    <w:rsid w:val="005A49D2"/>
    <w:rsid w:val="005A49EE"/>
    <w:rsid w:val="005A4A3C"/>
    <w:rsid w:val="005A4A65"/>
    <w:rsid w:val="005A4A6B"/>
    <w:rsid w:val="005A4B9E"/>
    <w:rsid w:val="005A4FC8"/>
    <w:rsid w:val="005A50B0"/>
    <w:rsid w:val="005A5251"/>
    <w:rsid w:val="005A54DC"/>
    <w:rsid w:val="005A5554"/>
    <w:rsid w:val="005A57B5"/>
    <w:rsid w:val="005A5A15"/>
    <w:rsid w:val="005A5B5D"/>
    <w:rsid w:val="005A5C7B"/>
    <w:rsid w:val="005A5E6F"/>
    <w:rsid w:val="005A5E90"/>
    <w:rsid w:val="005A5FC0"/>
    <w:rsid w:val="005A6035"/>
    <w:rsid w:val="005A61E4"/>
    <w:rsid w:val="005A61FA"/>
    <w:rsid w:val="005A6271"/>
    <w:rsid w:val="005A6718"/>
    <w:rsid w:val="005A672B"/>
    <w:rsid w:val="005A6844"/>
    <w:rsid w:val="005A6EB9"/>
    <w:rsid w:val="005A702E"/>
    <w:rsid w:val="005A710B"/>
    <w:rsid w:val="005A7298"/>
    <w:rsid w:val="005A7403"/>
    <w:rsid w:val="005A7610"/>
    <w:rsid w:val="005A77F3"/>
    <w:rsid w:val="005A79AF"/>
    <w:rsid w:val="005A7B0A"/>
    <w:rsid w:val="005A7DFE"/>
    <w:rsid w:val="005A7E90"/>
    <w:rsid w:val="005A7FB8"/>
    <w:rsid w:val="005B031B"/>
    <w:rsid w:val="005B0598"/>
    <w:rsid w:val="005B05EC"/>
    <w:rsid w:val="005B076C"/>
    <w:rsid w:val="005B0829"/>
    <w:rsid w:val="005B09E0"/>
    <w:rsid w:val="005B0A2F"/>
    <w:rsid w:val="005B0A8E"/>
    <w:rsid w:val="005B0BE7"/>
    <w:rsid w:val="005B0CBB"/>
    <w:rsid w:val="005B0D9E"/>
    <w:rsid w:val="005B0F6D"/>
    <w:rsid w:val="005B1087"/>
    <w:rsid w:val="005B10BC"/>
    <w:rsid w:val="005B11D3"/>
    <w:rsid w:val="005B11F6"/>
    <w:rsid w:val="005B123A"/>
    <w:rsid w:val="005B15EF"/>
    <w:rsid w:val="005B18C2"/>
    <w:rsid w:val="005B19A4"/>
    <w:rsid w:val="005B1AB9"/>
    <w:rsid w:val="005B1B9A"/>
    <w:rsid w:val="005B1BD6"/>
    <w:rsid w:val="005B1C4E"/>
    <w:rsid w:val="005B1C95"/>
    <w:rsid w:val="005B1EC4"/>
    <w:rsid w:val="005B1F3C"/>
    <w:rsid w:val="005B1FD6"/>
    <w:rsid w:val="005B209D"/>
    <w:rsid w:val="005B240B"/>
    <w:rsid w:val="005B2752"/>
    <w:rsid w:val="005B2971"/>
    <w:rsid w:val="005B2C31"/>
    <w:rsid w:val="005B2CC8"/>
    <w:rsid w:val="005B2E35"/>
    <w:rsid w:val="005B3054"/>
    <w:rsid w:val="005B3111"/>
    <w:rsid w:val="005B3456"/>
    <w:rsid w:val="005B36DC"/>
    <w:rsid w:val="005B3913"/>
    <w:rsid w:val="005B393B"/>
    <w:rsid w:val="005B3DAD"/>
    <w:rsid w:val="005B40F1"/>
    <w:rsid w:val="005B4173"/>
    <w:rsid w:val="005B4314"/>
    <w:rsid w:val="005B43FC"/>
    <w:rsid w:val="005B4534"/>
    <w:rsid w:val="005B461F"/>
    <w:rsid w:val="005B46AC"/>
    <w:rsid w:val="005B47AC"/>
    <w:rsid w:val="005B4A58"/>
    <w:rsid w:val="005B4A66"/>
    <w:rsid w:val="005B4A77"/>
    <w:rsid w:val="005B4D00"/>
    <w:rsid w:val="005B4E92"/>
    <w:rsid w:val="005B5182"/>
    <w:rsid w:val="005B51D1"/>
    <w:rsid w:val="005B524E"/>
    <w:rsid w:val="005B54E4"/>
    <w:rsid w:val="005B55B7"/>
    <w:rsid w:val="005B55CC"/>
    <w:rsid w:val="005B56B1"/>
    <w:rsid w:val="005B5925"/>
    <w:rsid w:val="005B5B23"/>
    <w:rsid w:val="005B5C37"/>
    <w:rsid w:val="005B5C4B"/>
    <w:rsid w:val="005B5DB6"/>
    <w:rsid w:val="005B5EFA"/>
    <w:rsid w:val="005B600E"/>
    <w:rsid w:val="005B6011"/>
    <w:rsid w:val="005B60EB"/>
    <w:rsid w:val="005B6158"/>
    <w:rsid w:val="005B6232"/>
    <w:rsid w:val="005B62B6"/>
    <w:rsid w:val="005B64BF"/>
    <w:rsid w:val="005B655F"/>
    <w:rsid w:val="005B6576"/>
    <w:rsid w:val="005B6583"/>
    <w:rsid w:val="005B65C4"/>
    <w:rsid w:val="005B663A"/>
    <w:rsid w:val="005B66DB"/>
    <w:rsid w:val="005B681E"/>
    <w:rsid w:val="005B68AC"/>
    <w:rsid w:val="005B69AA"/>
    <w:rsid w:val="005B6AA6"/>
    <w:rsid w:val="005B6CC9"/>
    <w:rsid w:val="005B6E57"/>
    <w:rsid w:val="005B70C4"/>
    <w:rsid w:val="005B7150"/>
    <w:rsid w:val="005B7158"/>
    <w:rsid w:val="005B7178"/>
    <w:rsid w:val="005B71A1"/>
    <w:rsid w:val="005B71AE"/>
    <w:rsid w:val="005B72A5"/>
    <w:rsid w:val="005B73DF"/>
    <w:rsid w:val="005B7461"/>
    <w:rsid w:val="005B788D"/>
    <w:rsid w:val="005B7958"/>
    <w:rsid w:val="005B7B09"/>
    <w:rsid w:val="005C0008"/>
    <w:rsid w:val="005C03F9"/>
    <w:rsid w:val="005C0859"/>
    <w:rsid w:val="005C0C29"/>
    <w:rsid w:val="005C0DF0"/>
    <w:rsid w:val="005C0E34"/>
    <w:rsid w:val="005C0EB7"/>
    <w:rsid w:val="005C0ECE"/>
    <w:rsid w:val="005C0ED4"/>
    <w:rsid w:val="005C0F0B"/>
    <w:rsid w:val="005C10AE"/>
    <w:rsid w:val="005C1209"/>
    <w:rsid w:val="005C137F"/>
    <w:rsid w:val="005C14C0"/>
    <w:rsid w:val="005C1745"/>
    <w:rsid w:val="005C185A"/>
    <w:rsid w:val="005C1C14"/>
    <w:rsid w:val="005C1D38"/>
    <w:rsid w:val="005C1E6C"/>
    <w:rsid w:val="005C1F94"/>
    <w:rsid w:val="005C20C5"/>
    <w:rsid w:val="005C2273"/>
    <w:rsid w:val="005C22FE"/>
    <w:rsid w:val="005C2314"/>
    <w:rsid w:val="005C2418"/>
    <w:rsid w:val="005C24CD"/>
    <w:rsid w:val="005C2800"/>
    <w:rsid w:val="005C2819"/>
    <w:rsid w:val="005C2839"/>
    <w:rsid w:val="005C2944"/>
    <w:rsid w:val="005C2967"/>
    <w:rsid w:val="005C2DB6"/>
    <w:rsid w:val="005C2EDD"/>
    <w:rsid w:val="005C32E7"/>
    <w:rsid w:val="005C3387"/>
    <w:rsid w:val="005C33D4"/>
    <w:rsid w:val="005C3485"/>
    <w:rsid w:val="005C350E"/>
    <w:rsid w:val="005C3541"/>
    <w:rsid w:val="005C3607"/>
    <w:rsid w:val="005C374E"/>
    <w:rsid w:val="005C391F"/>
    <w:rsid w:val="005C39CC"/>
    <w:rsid w:val="005C3B44"/>
    <w:rsid w:val="005C3BC6"/>
    <w:rsid w:val="005C3C6C"/>
    <w:rsid w:val="005C3CFC"/>
    <w:rsid w:val="005C3D4D"/>
    <w:rsid w:val="005C3EF7"/>
    <w:rsid w:val="005C465A"/>
    <w:rsid w:val="005C46D8"/>
    <w:rsid w:val="005C46F5"/>
    <w:rsid w:val="005C472B"/>
    <w:rsid w:val="005C48A9"/>
    <w:rsid w:val="005C49A4"/>
    <w:rsid w:val="005C4E1D"/>
    <w:rsid w:val="005C4ED7"/>
    <w:rsid w:val="005C527D"/>
    <w:rsid w:val="005C5500"/>
    <w:rsid w:val="005C5747"/>
    <w:rsid w:val="005C5976"/>
    <w:rsid w:val="005C5A42"/>
    <w:rsid w:val="005C5AED"/>
    <w:rsid w:val="005C5B6D"/>
    <w:rsid w:val="005C5C5D"/>
    <w:rsid w:val="005C5DF3"/>
    <w:rsid w:val="005C5E1B"/>
    <w:rsid w:val="005C5F01"/>
    <w:rsid w:val="005C5FA0"/>
    <w:rsid w:val="005C5FD3"/>
    <w:rsid w:val="005C616D"/>
    <w:rsid w:val="005C64C8"/>
    <w:rsid w:val="005C650B"/>
    <w:rsid w:val="005C6807"/>
    <w:rsid w:val="005C6A0F"/>
    <w:rsid w:val="005C6B28"/>
    <w:rsid w:val="005C6D29"/>
    <w:rsid w:val="005C7021"/>
    <w:rsid w:val="005C72CE"/>
    <w:rsid w:val="005C7384"/>
    <w:rsid w:val="005C73A7"/>
    <w:rsid w:val="005C755C"/>
    <w:rsid w:val="005C7617"/>
    <w:rsid w:val="005C79DE"/>
    <w:rsid w:val="005C7EEE"/>
    <w:rsid w:val="005D010A"/>
    <w:rsid w:val="005D017B"/>
    <w:rsid w:val="005D0252"/>
    <w:rsid w:val="005D0410"/>
    <w:rsid w:val="005D04DB"/>
    <w:rsid w:val="005D056B"/>
    <w:rsid w:val="005D0BB4"/>
    <w:rsid w:val="005D0DA6"/>
    <w:rsid w:val="005D1039"/>
    <w:rsid w:val="005D10EF"/>
    <w:rsid w:val="005D130E"/>
    <w:rsid w:val="005D133D"/>
    <w:rsid w:val="005D1471"/>
    <w:rsid w:val="005D14FA"/>
    <w:rsid w:val="005D154B"/>
    <w:rsid w:val="005D1607"/>
    <w:rsid w:val="005D1654"/>
    <w:rsid w:val="005D16E5"/>
    <w:rsid w:val="005D1842"/>
    <w:rsid w:val="005D1EC6"/>
    <w:rsid w:val="005D2155"/>
    <w:rsid w:val="005D22A2"/>
    <w:rsid w:val="005D231B"/>
    <w:rsid w:val="005D24F5"/>
    <w:rsid w:val="005D263D"/>
    <w:rsid w:val="005D2682"/>
    <w:rsid w:val="005D2862"/>
    <w:rsid w:val="005D2960"/>
    <w:rsid w:val="005D2ABD"/>
    <w:rsid w:val="005D2E07"/>
    <w:rsid w:val="005D3045"/>
    <w:rsid w:val="005D3322"/>
    <w:rsid w:val="005D3342"/>
    <w:rsid w:val="005D3406"/>
    <w:rsid w:val="005D366D"/>
    <w:rsid w:val="005D38A7"/>
    <w:rsid w:val="005D3937"/>
    <w:rsid w:val="005D3A4A"/>
    <w:rsid w:val="005D3A94"/>
    <w:rsid w:val="005D3B01"/>
    <w:rsid w:val="005D3D04"/>
    <w:rsid w:val="005D3D53"/>
    <w:rsid w:val="005D3E35"/>
    <w:rsid w:val="005D3F0C"/>
    <w:rsid w:val="005D41EE"/>
    <w:rsid w:val="005D4252"/>
    <w:rsid w:val="005D4383"/>
    <w:rsid w:val="005D4548"/>
    <w:rsid w:val="005D4573"/>
    <w:rsid w:val="005D45C6"/>
    <w:rsid w:val="005D45D9"/>
    <w:rsid w:val="005D4C78"/>
    <w:rsid w:val="005D50C8"/>
    <w:rsid w:val="005D5537"/>
    <w:rsid w:val="005D55A7"/>
    <w:rsid w:val="005D5779"/>
    <w:rsid w:val="005D57B4"/>
    <w:rsid w:val="005D5859"/>
    <w:rsid w:val="005D594E"/>
    <w:rsid w:val="005D5A5E"/>
    <w:rsid w:val="005D5D06"/>
    <w:rsid w:val="005D5DEA"/>
    <w:rsid w:val="005D5FDA"/>
    <w:rsid w:val="005D604A"/>
    <w:rsid w:val="005D6236"/>
    <w:rsid w:val="005D637F"/>
    <w:rsid w:val="005D6614"/>
    <w:rsid w:val="005D66D7"/>
    <w:rsid w:val="005D66E6"/>
    <w:rsid w:val="005D678D"/>
    <w:rsid w:val="005D6AA8"/>
    <w:rsid w:val="005D704D"/>
    <w:rsid w:val="005D70BF"/>
    <w:rsid w:val="005D7304"/>
    <w:rsid w:val="005D73F4"/>
    <w:rsid w:val="005D7573"/>
    <w:rsid w:val="005D776D"/>
    <w:rsid w:val="005D78BB"/>
    <w:rsid w:val="005D78ED"/>
    <w:rsid w:val="005D79FB"/>
    <w:rsid w:val="005D7A8F"/>
    <w:rsid w:val="005D7B51"/>
    <w:rsid w:val="005D7EAB"/>
    <w:rsid w:val="005D7F1F"/>
    <w:rsid w:val="005E00B9"/>
    <w:rsid w:val="005E0125"/>
    <w:rsid w:val="005E06FE"/>
    <w:rsid w:val="005E0806"/>
    <w:rsid w:val="005E0964"/>
    <w:rsid w:val="005E0A8A"/>
    <w:rsid w:val="005E0ADE"/>
    <w:rsid w:val="005E0D26"/>
    <w:rsid w:val="005E0F13"/>
    <w:rsid w:val="005E1051"/>
    <w:rsid w:val="005E130D"/>
    <w:rsid w:val="005E13C5"/>
    <w:rsid w:val="005E15AC"/>
    <w:rsid w:val="005E175F"/>
    <w:rsid w:val="005E1895"/>
    <w:rsid w:val="005E18E6"/>
    <w:rsid w:val="005E19E0"/>
    <w:rsid w:val="005E1B70"/>
    <w:rsid w:val="005E1C7B"/>
    <w:rsid w:val="005E1D7A"/>
    <w:rsid w:val="005E1F8E"/>
    <w:rsid w:val="005E1F94"/>
    <w:rsid w:val="005E202D"/>
    <w:rsid w:val="005E206C"/>
    <w:rsid w:val="005E20F4"/>
    <w:rsid w:val="005E2246"/>
    <w:rsid w:val="005E23C4"/>
    <w:rsid w:val="005E271A"/>
    <w:rsid w:val="005E2729"/>
    <w:rsid w:val="005E27CE"/>
    <w:rsid w:val="005E2825"/>
    <w:rsid w:val="005E2904"/>
    <w:rsid w:val="005E2EB2"/>
    <w:rsid w:val="005E3089"/>
    <w:rsid w:val="005E310A"/>
    <w:rsid w:val="005E340E"/>
    <w:rsid w:val="005E3591"/>
    <w:rsid w:val="005E3653"/>
    <w:rsid w:val="005E3A16"/>
    <w:rsid w:val="005E4070"/>
    <w:rsid w:val="005E4160"/>
    <w:rsid w:val="005E416E"/>
    <w:rsid w:val="005E41C5"/>
    <w:rsid w:val="005E4230"/>
    <w:rsid w:val="005E4406"/>
    <w:rsid w:val="005E444E"/>
    <w:rsid w:val="005E456C"/>
    <w:rsid w:val="005E4765"/>
    <w:rsid w:val="005E47BE"/>
    <w:rsid w:val="005E495C"/>
    <w:rsid w:val="005E4B00"/>
    <w:rsid w:val="005E4D79"/>
    <w:rsid w:val="005E51D6"/>
    <w:rsid w:val="005E523C"/>
    <w:rsid w:val="005E5258"/>
    <w:rsid w:val="005E5478"/>
    <w:rsid w:val="005E56A0"/>
    <w:rsid w:val="005E570F"/>
    <w:rsid w:val="005E5717"/>
    <w:rsid w:val="005E5853"/>
    <w:rsid w:val="005E5991"/>
    <w:rsid w:val="005E59F8"/>
    <w:rsid w:val="005E5BBF"/>
    <w:rsid w:val="005E5D24"/>
    <w:rsid w:val="005E5EDE"/>
    <w:rsid w:val="005E5FBB"/>
    <w:rsid w:val="005E620D"/>
    <w:rsid w:val="005E6261"/>
    <w:rsid w:val="005E635E"/>
    <w:rsid w:val="005E6519"/>
    <w:rsid w:val="005E65E2"/>
    <w:rsid w:val="005E67CE"/>
    <w:rsid w:val="005E6A04"/>
    <w:rsid w:val="005E6ABF"/>
    <w:rsid w:val="005E6B05"/>
    <w:rsid w:val="005E700F"/>
    <w:rsid w:val="005E7330"/>
    <w:rsid w:val="005E74D4"/>
    <w:rsid w:val="005E789A"/>
    <w:rsid w:val="005E7B1C"/>
    <w:rsid w:val="005F02B6"/>
    <w:rsid w:val="005F0309"/>
    <w:rsid w:val="005F03EC"/>
    <w:rsid w:val="005F0B76"/>
    <w:rsid w:val="005F0C1B"/>
    <w:rsid w:val="005F0C45"/>
    <w:rsid w:val="005F0C8D"/>
    <w:rsid w:val="005F0DE7"/>
    <w:rsid w:val="005F0EE1"/>
    <w:rsid w:val="005F0FC6"/>
    <w:rsid w:val="005F0FCC"/>
    <w:rsid w:val="005F1019"/>
    <w:rsid w:val="005F1138"/>
    <w:rsid w:val="005F143B"/>
    <w:rsid w:val="005F1521"/>
    <w:rsid w:val="005F166F"/>
    <w:rsid w:val="005F1762"/>
    <w:rsid w:val="005F19DB"/>
    <w:rsid w:val="005F1A5E"/>
    <w:rsid w:val="005F1FE6"/>
    <w:rsid w:val="005F224D"/>
    <w:rsid w:val="005F2423"/>
    <w:rsid w:val="005F27EA"/>
    <w:rsid w:val="005F2ED9"/>
    <w:rsid w:val="005F31DE"/>
    <w:rsid w:val="005F31EF"/>
    <w:rsid w:val="005F36B5"/>
    <w:rsid w:val="005F36F2"/>
    <w:rsid w:val="005F37FD"/>
    <w:rsid w:val="005F395F"/>
    <w:rsid w:val="005F3B40"/>
    <w:rsid w:val="005F4251"/>
    <w:rsid w:val="005F437E"/>
    <w:rsid w:val="005F46ED"/>
    <w:rsid w:val="005F4833"/>
    <w:rsid w:val="005F4907"/>
    <w:rsid w:val="005F4988"/>
    <w:rsid w:val="005F4B3C"/>
    <w:rsid w:val="005F4C14"/>
    <w:rsid w:val="005F4D40"/>
    <w:rsid w:val="005F4D43"/>
    <w:rsid w:val="005F4FC2"/>
    <w:rsid w:val="005F524C"/>
    <w:rsid w:val="005F5434"/>
    <w:rsid w:val="005F5666"/>
    <w:rsid w:val="005F5744"/>
    <w:rsid w:val="005F5884"/>
    <w:rsid w:val="005F58DC"/>
    <w:rsid w:val="005F5949"/>
    <w:rsid w:val="005F5A1F"/>
    <w:rsid w:val="005F5C5D"/>
    <w:rsid w:val="005F5D64"/>
    <w:rsid w:val="005F5EE3"/>
    <w:rsid w:val="005F5F29"/>
    <w:rsid w:val="005F60C9"/>
    <w:rsid w:val="005F61B7"/>
    <w:rsid w:val="005F6309"/>
    <w:rsid w:val="005F662E"/>
    <w:rsid w:val="005F67E8"/>
    <w:rsid w:val="005F68C0"/>
    <w:rsid w:val="005F6991"/>
    <w:rsid w:val="005F6E68"/>
    <w:rsid w:val="005F70FB"/>
    <w:rsid w:val="005F727C"/>
    <w:rsid w:val="005F7293"/>
    <w:rsid w:val="005F7446"/>
    <w:rsid w:val="005F7449"/>
    <w:rsid w:val="005F749B"/>
    <w:rsid w:val="005F7822"/>
    <w:rsid w:val="005F7866"/>
    <w:rsid w:val="005F791F"/>
    <w:rsid w:val="005F798A"/>
    <w:rsid w:val="005F7999"/>
    <w:rsid w:val="005F7A38"/>
    <w:rsid w:val="005F7B0D"/>
    <w:rsid w:val="005F7BE1"/>
    <w:rsid w:val="005F7C73"/>
    <w:rsid w:val="005F7DE0"/>
    <w:rsid w:val="005F7F82"/>
    <w:rsid w:val="00600458"/>
    <w:rsid w:val="006008BF"/>
    <w:rsid w:val="006009F0"/>
    <w:rsid w:val="00600F5E"/>
    <w:rsid w:val="00600F77"/>
    <w:rsid w:val="0060106F"/>
    <w:rsid w:val="00601676"/>
    <w:rsid w:val="00601681"/>
    <w:rsid w:val="00601951"/>
    <w:rsid w:val="006019E7"/>
    <w:rsid w:val="00601A00"/>
    <w:rsid w:val="00601A79"/>
    <w:rsid w:val="00601B9A"/>
    <w:rsid w:val="00601BD5"/>
    <w:rsid w:val="00601DC1"/>
    <w:rsid w:val="00601DEB"/>
    <w:rsid w:val="00601E9D"/>
    <w:rsid w:val="006020B3"/>
    <w:rsid w:val="006021A2"/>
    <w:rsid w:val="0060220F"/>
    <w:rsid w:val="00602563"/>
    <w:rsid w:val="00602624"/>
    <w:rsid w:val="00602A3E"/>
    <w:rsid w:val="00602B8F"/>
    <w:rsid w:val="00602BF4"/>
    <w:rsid w:val="00602C68"/>
    <w:rsid w:val="00602E91"/>
    <w:rsid w:val="0060310F"/>
    <w:rsid w:val="006034E0"/>
    <w:rsid w:val="00603583"/>
    <w:rsid w:val="0060367B"/>
    <w:rsid w:val="00603839"/>
    <w:rsid w:val="006038A9"/>
    <w:rsid w:val="00603979"/>
    <w:rsid w:val="00603A46"/>
    <w:rsid w:val="00603B44"/>
    <w:rsid w:val="00603F8C"/>
    <w:rsid w:val="0060403E"/>
    <w:rsid w:val="00604047"/>
    <w:rsid w:val="0060413B"/>
    <w:rsid w:val="00604301"/>
    <w:rsid w:val="006045EF"/>
    <w:rsid w:val="006049BF"/>
    <w:rsid w:val="00604A80"/>
    <w:rsid w:val="00604B33"/>
    <w:rsid w:val="00604C0C"/>
    <w:rsid w:val="00604DAC"/>
    <w:rsid w:val="00604EFC"/>
    <w:rsid w:val="006050E2"/>
    <w:rsid w:val="006051C6"/>
    <w:rsid w:val="0060543F"/>
    <w:rsid w:val="00605576"/>
    <w:rsid w:val="006055FB"/>
    <w:rsid w:val="0060577D"/>
    <w:rsid w:val="0060582E"/>
    <w:rsid w:val="0060593A"/>
    <w:rsid w:val="006059CC"/>
    <w:rsid w:val="00605CA6"/>
    <w:rsid w:val="00606256"/>
    <w:rsid w:val="006064D4"/>
    <w:rsid w:val="00606558"/>
    <w:rsid w:val="00606677"/>
    <w:rsid w:val="0060673C"/>
    <w:rsid w:val="006067EE"/>
    <w:rsid w:val="00606808"/>
    <w:rsid w:val="0060697B"/>
    <w:rsid w:val="00606A91"/>
    <w:rsid w:val="00606A92"/>
    <w:rsid w:val="00606B09"/>
    <w:rsid w:val="00606B4B"/>
    <w:rsid w:val="00606BC1"/>
    <w:rsid w:val="00606EEA"/>
    <w:rsid w:val="006074D6"/>
    <w:rsid w:val="00607523"/>
    <w:rsid w:val="0060755A"/>
    <w:rsid w:val="006075E3"/>
    <w:rsid w:val="00607945"/>
    <w:rsid w:val="00607B62"/>
    <w:rsid w:val="00607C82"/>
    <w:rsid w:val="00607C8C"/>
    <w:rsid w:val="00607E41"/>
    <w:rsid w:val="00607E87"/>
    <w:rsid w:val="006108E9"/>
    <w:rsid w:val="0061090C"/>
    <w:rsid w:val="0061093B"/>
    <w:rsid w:val="0061094E"/>
    <w:rsid w:val="00610A4C"/>
    <w:rsid w:val="00610F3B"/>
    <w:rsid w:val="006110E1"/>
    <w:rsid w:val="006112A5"/>
    <w:rsid w:val="006112EB"/>
    <w:rsid w:val="00611340"/>
    <w:rsid w:val="0061148B"/>
    <w:rsid w:val="006114B0"/>
    <w:rsid w:val="006116D4"/>
    <w:rsid w:val="0061171D"/>
    <w:rsid w:val="00611948"/>
    <w:rsid w:val="00611977"/>
    <w:rsid w:val="006119B2"/>
    <w:rsid w:val="00611C22"/>
    <w:rsid w:val="00611E19"/>
    <w:rsid w:val="00611F48"/>
    <w:rsid w:val="006120A9"/>
    <w:rsid w:val="00612158"/>
    <w:rsid w:val="0061218A"/>
    <w:rsid w:val="00612199"/>
    <w:rsid w:val="006122BA"/>
    <w:rsid w:val="006123A0"/>
    <w:rsid w:val="006123CE"/>
    <w:rsid w:val="006125DB"/>
    <w:rsid w:val="00612739"/>
    <w:rsid w:val="00612877"/>
    <w:rsid w:val="006128A2"/>
    <w:rsid w:val="00612AA2"/>
    <w:rsid w:val="00612BF7"/>
    <w:rsid w:val="00612DAE"/>
    <w:rsid w:val="00612E7E"/>
    <w:rsid w:val="0061318E"/>
    <w:rsid w:val="006131E4"/>
    <w:rsid w:val="006133BF"/>
    <w:rsid w:val="00613697"/>
    <w:rsid w:val="00613B2D"/>
    <w:rsid w:val="00613CA1"/>
    <w:rsid w:val="00613D47"/>
    <w:rsid w:val="00613D74"/>
    <w:rsid w:val="00613D8F"/>
    <w:rsid w:val="00613DE5"/>
    <w:rsid w:val="00613E1D"/>
    <w:rsid w:val="00613F2F"/>
    <w:rsid w:val="00614242"/>
    <w:rsid w:val="006143B8"/>
    <w:rsid w:val="006144E2"/>
    <w:rsid w:val="00614706"/>
    <w:rsid w:val="00614815"/>
    <w:rsid w:val="006148F7"/>
    <w:rsid w:val="00614997"/>
    <w:rsid w:val="00614A90"/>
    <w:rsid w:val="00614D29"/>
    <w:rsid w:val="00614E72"/>
    <w:rsid w:val="00614EF9"/>
    <w:rsid w:val="00614F15"/>
    <w:rsid w:val="006153FC"/>
    <w:rsid w:val="0061545A"/>
    <w:rsid w:val="00615498"/>
    <w:rsid w:val="0061550C"/>
    <w:rsid w:val="00615B25"/>
    <w:rsid w:val="00615BBE"/>
    <w:rsid w:val="00615BEB"/>
    <w:rsid w:val="00615BF4"/>
    <w:rsid w:val="00615C40"/>
    <w:rsid w:val="0061628B"/>
    <w:rsid w:val="006162B8"/>
    <w:rsid w:val="006162DF"/>
    <w:rsid w:val="0061641B"/>
    <w:rsid w:val="006164A4"/>
    <w:rsid w:val="006166CF"/>
    <w:rsid w:val="0061678D"/>
    <w:rsid w:val="006168AB"/>
    <w:rsid w:val="00616984"/>
    <w:rsid w:val="00616A46"/>
    <w:rsid w:val="00616AA6"/>
    <w:rsid w:val="00616B6E"/>
    <w:rsid w:val="00616B76"/>
    <w:rsid w:val="00616CB2"/>
    <w:rsid w:val="00616CEC"/>
    <w:rsid w:val="00617243"/>
    <w:rsid w:val="0061732F"/>
    <w:rsid w:val="006174B2"/>
    <w:rsid w:val="00617511"/>
    <w:rsid w:val="0061761C"/>
    <w:rsid w:val="00617848"/>
    <w:rsid w:val="006178E1"/>
    <w:rsid w:val="00617A74"/>
    <w:rsid w:val="00617FB7"/>
    <w:rsid w:val="00620085"/>
    <w:rsid w:val="00620241"/>
    <w:rsid w:val="0062035F"/>
    <w:rsid w:val="006204BB"/>
    <w:rsid w:val="0062054D"/>
    <w:rsid w:val="00620561"/>
    <w:rsid w:val="00620632"/>
    <w:rsid w:val="00620637"/>
    <w:rsid w:val="0062081E"/>
    <w:rsid w:val="006208C1"/>
    <w:rsid w:val="00620CB9"/>
    <w:rsid w:val="00620F07"/>
    <w:rsid w:val="00620FA3"/>
    <w:rsid w:val="0062103F"/>
    <w:rsid w:val="00621096"/>
    <w:rsid w:val="006210EB"/>
    <w:rsid w:val="0062132B"/>
    <w:rsid w:val="00621339"/>
    <w:rsid w:val="006213F0"/>
    <w:rsid w:val="00621477"/>
    <w:rsid w:val="006216C5"/>
    <w:rsid w:val="006217B3"/>
    <w:rsid w:val="00621A71"/>
    <w:rsid w:val="00621B33"/>
    <w:rsid w:val="00621C3A"/>
    <w:rsid w:val="00621C89"/>
    <w:rsid w:val="00622214"/>
    <w:rsid w:val="006223E6"/>
    <w:rsid w:val="006224CC"/>
    <w:rsid w:val="006225B2"/>
    <w:rsid w:val="006227E5"/>
    <w:rsid w:val="006228CA"/>
    <w:rsid w:val="0062296C"/>
    <w:rsid w:val="00622A9F"/>
    <w:rsid w:val="00622B0C"/>
    <w:rsid w:val="00622D2D"/>
    <w:rsid w:val="00622E66"/>
    <w:rsid w:val="00622FD4"/>
    <w:rsid w:val="006231D5"/>
    <w:rsid w:val="006231D8"/>
    <w:rsid w:val="006232B2"/>
    <w:rsid w:val="006232E5"/>
    <w:rsid w:val="0062337F"/>
    <w:rsid w:val="006233D7"/>
    <w:rsid w:val="0062376D"/>
    <w:rsid w:val="00623790"/>
    <w:rsid w:val="006239C4"/>
    <w:rsid w:val="00623A1B"/>
    <w:rsid w:val="00623BFD"/>
    <w:rsid w:val="00623E01"/>
    <w:rsid w:val="00623E29"/>
    <w:rsid w:val="00623FB4"/>
    <w:rsid w:val="006240A5"/>
    <w:rsid w:val="006240B7"/>
    <w:rsid w:val="00624121"/>
    <w:rsid w:val="00624306"/>
    <w:rsid w:val="0062436E"/>
    <w:rsid w:val="006243E8"/>
    <w:rsid w:val="0062471C"/>
    <w:rsid w:val="00624748"/>
    <w:rsid w:val="00624B13"/>
    <w:rsid w:val="00624B69"/>
    <w:rsid w:val="00624CA4"/>
    <w:rsid w:val="00624CD4"/>
    <w:rsid w:val="00624DE5"/>
    <w:rsid w:val="00624F1B"/>
    <w:rsid w:val="00624F68"/>
    <w:rsid w:val="006251ED"/>
    <w:rsid w:val="00625392"/>
    <w:rsid w:val="00625403"/>
    <w:rsid w:val="00625588"/>
    <w:rsid w:val="0062560E"/>
    <w:rsid w:val="00625699"/>
    <w:rsid w:val="00625807"/>
    <w:rsid w:val="00625A57"/>
    <w:rsid w:val="00625A5B"/>
    <w:rsid w:val="00625AA7"/>
    <w:rsid w:val="00625AD2"/>
    <w:rsid w:val="00625C64"/>
    <w:rsid w:val="00625D07"/>
    <w:rsid w:val="00625D58"/>
    <w:rsid w:val="00625DD7"/>
    <w:rsid w:val="00625DFA"/>
    <w:rsid w:val="00625F81"/>
    <w:rsid w:val="00625FED"/>
    <w:rsid w:val="00626200"/>
    <w:rsid w:val="00626424"/>
    <w:rsid w:val="0062671F"/>
    <w:rsid w:val="006268FA"/>
    <w:rsid w:val="00626A04"/>
    <w:rsid w:val="00626AC7"/>
    <w:rsid w:val="00626B0E"/>
    <w:rsid w:val="00626D6B"/>
    <w:rsid w:val="00626EAB"/>
    <w:rsid w:val="00627046"/>
    <w:rsid w:val="00627260"/>
    <w:rsid w:val="0062764B"/>
    <w:rsid w:val="0062772D"/>
    <w:rsid w:val="00627799"/>
    <w:rsid w:val="006277AE"/>
    <w:rsid w:val="00627824"/>
    <w:rsid w:val="0062784E"/>
    <w:rsid w:val="006278D6"/>
    <w:rsid w:val="00627E3F"/>
    <w:rsid w:val="00627EDF"/>
    <w:rsid w:val="00627FE1"/>
    <w:rsid w:val="00630094"/>
    <w:rsid w:val="00630181"/>
    <w:rsid w:val="0063034E"/>
    <w:rsid w:val="006304AC"/>
    <w:rsid w:val="006309C4"/>
    <w:rsid w:val="00630EF1"/>
    <w:rsid w:val="0063110A"/>
    <w:rsid w:val="006313CF"/>
    <w:rsid w:val="0063164C"/>
    <w:rsid w:val="00631683"/>
    <w:rsid w:val="006316F0"/>
    <w:rsid w:val="0063170C"/>
    <w:rsid w:val="00631AB2"/>
    <w:rsid w:val="00632020"/>
    <w:rsid w:val="00632152"/>
    <w:rsid w:val="0063218B"/>
    <w:rsid w:val="006323EE"/>
    <w:rsid w:val="00632670"/>
    <w:rsid w:val="00632681"/>
    <w:rsid w:val="00632719"/>
    <w:rsid w:val="006328ED"/>
    <w:rsid w:val="00632907"/>
    <w:rsid w:val="00632A1F"/>
    <w:rsid w:val="00632B54"/>
    <w:rsid w:val="00632BC8"/>
    <w:rsid w:val="00632C93"/>
    <w:rsid w:val="00632D81"/>
    <w:rsid w:val="00632F56"/>
    <w:rsid w:val="0063332B"/>
    <w:rsid w:val="00633363"/>
    <w:rsid w:val="006333EF"/>
    <w:rsid w:val="00633699"/>
    <w:rsid w:val="006336BD"/>
    <w:rsid w:val="006338D6"/>
    <w:rsid w:val="00633965"/>
    <w:rsid w:val="00633B24"/>
    <w:rsid w:val="00633B74"/>
    <w:rsid w:val="00633F06"/>
    <w:rsid w:val="00633F55"/>
    <w:rsid w:val="00634142"/>
    <w:rsid w:val="006341D8"/>
    <w:rsid w:val="006341EB"/>
    <w:rsid w:val="00634836"/>
    <w:rsid w:val="00634842"/>
    <w:rsid w:val="00634A34"/>
    <w:rsid w:val="00634F9F"/>
    <w:rsid w:val="0063506F"/>
    <w:rsid w:val="006350CA"/>
    <w:rsid w:val="006351C9"/>
    <w:rsid w:val="006351EF"/>
    <w:rsid w:val="0063534A"/>
    <w:rsid w:val="006354AF"/>
    <w:rsid w:val="00635519"/>
    <w:rsid w:val="006359C0"/>
    <w:rsid w:val="00635A7B"/>
    <w:rsid w:val="00635C61"/>
    <w:rsid w:val="00635C9B"/>
    <w:rsid w:val="00635FAA"/>
    <w:rsid w:val="0063609A"/>
    <w:rsid w:val="00636364"/>
    <w:rsid w:val="00636777"/>
    <w:rsid w:val="006367C5"/>
    <w:rsid w:val="0063682B"/>
    <w:rsid w:val="00636982"/>
    <w:rsid w:val="00636F99"/>
    <w:rsid w:val="00637204"/>
    <w:rsid w:val="006372F8"/>
    <w:rsid w:val="0063736E"/>
    <w:rsid w:val="0063746F"/>
    <w:rsid w:val="00637562"/>
    <w:rsid w:val="00637626"/>
    <w:rsid w:val="00637694"/>
    <w:rsid w:val="00637706"/>
    <w:rsid w:val="0063775D"/>
    <w:rsid w:val="0063781F"/>
    <w:rsid w:val="006379B9"/>
    <w:rsid w:val="00637B26"/>
    <w:rsid w:val="00637D54"/>
    <w:rsid w:val="00637E0D"/>
    <w:rsid w:val="00637E61"/>
    <w:rsid w:val="00637FDA"/>
    <w:rsid w:val="00640128"/>
    <w:rsid w:val="006403CD"/>
    <w:rsid w:val="006404CA"/>
    <w:rsid w:val="0064061E"/>
    <w:rsid w:val="006406A1"/>
    <w:rsid w:val="00640726"/>
    <w:rsid w:val="00640C00"/>
    <w:rsid w:val="00640FDD"/>
    <w:rsid w:val="00641112"/>
    <w:rsid w:val="00641C76"/>
    <w:rsid w:val="00641D0D"/>
    <w:rsid w:val="00641E03"/>
    <w:rsid w:val="00641E56"/>
    <w:rsid w:val="00641E5E"/>
    <w:rsid w:val="0064212A"/>
    <w:rsid w:val="00642314"/>
    <w:rsid w:val="0064234C"/>
    <w:rsid w:val="006427FA"/>
    <w:rsid w:val="0064293F"/>
    <w:rsid w:val="00642C66"/>
    <w:rsid w:val="00642C6D"/>
    <w:rsid w:val="00642EAF"/>
    <w:rsid w:val="00642F46"/>
    <w:rsid w:val="00642F51"/>
    <w:rsid w:val="00643163"/>
    <w:rsid w:val="00643269"/>
    <w:rsid w:val="006432E8"/>
    <w:rsid w:val="00643766"/>
    <w:rsid w:val="006437DE"/>
    <w:rsid w:val="006437E9"/>
    <w:rsid w:val="00643802"/>
    <w:rsid w:val="006439B7"/>
    <w:rsid w:val="00643A82"/>
    <w:rsid w:val="00643BA7"/>
    <w:rsid w:val="00643C2D"/>
    <w:rsid w:val="00643C73"/>
    <w:rsid w:val="00643D75"/>
    <w:rsid w:val="00643E6E"/>
    <w:rsid w:val="00644003"/>
    <w:rsid w:val="00644256"/>
    <w:rsid w:val="00644482"/>
    <w:rsid w:val="0064464C"/>
    <w:rsid w:val="006447C2"/>
    <w:rsid w:val="0064490E"/>
    <w:rsid w:val="00645534"/>
    <w:rsid w:val="0064562C"/>
    <w:rsid w:val="006457B1"/>
    <w:rsid w:val="006457E8"/>
    <w:rsid w:val="006458C3"/>
    <w:rsid w:val="006459A6"/>
    <w:rsid w:val="00645B96"/>
    <w:rsid w:val="00645E50"/>
    <w:rsid w:val="00645E75"/>
    <w:rsid w:val="00645E85"/>
    <w:rsid w:val="00646072"/>
    <w:rsid w:val="00646193"/>
    <w:rsid w:val="00646613"/>
    <w:rsid w:val="00646845"/>
    <w:rsid w:val="00646C34"/>
    <w:rsid w:val="00646F28"/>
    <w:rsid w:val="0064718C"/>
    <w:rsid w:val="006471FC"/>
    <w:rsid w:val="0064721A"/>
    <w:rsid w:val="00647308"/>
    <w:rsid w:val="006473E9"/>
    <w:rsid w:val="0064769C"/>
    <w:rsid w:val="00647904"/>
    <w:rsid w:val="00647957"/>
    <w:rsid w:val="00647A03"/>
    <w:rsid w:val="00647ABE"/>
    <w:rsid w:val="00647B34"/>
    <w:rsid w:val="00647CDA"/>
    <w:rsid w:val="0065005F"/>
    <w:rsid w:val="006501AB"/>
    <w:rsid w:val="0065059B"/>
    <w:rsid w:val="006506CA"/>
    <w:rsid w:val="0065071A"/>
    <w:rsid w:val="006507E6"/>
    <w:rsid w:val="006509BA"/>
    <w:rsid w:val="00650AB7"/>
    <w:rsid w:val="006510AA"/>
    <w:rsid w:val="00651166"/>
    <w:rsid w:val="0065118B"/>
    <w:rsid w:val="00651229"/>
    <w:rsid w:val="00651263"/>
    <w:rsid w:val="00651432"/>
    <w:rsid w:val="006515A2"/>
    <w:rsid w:val="00651708"/>
    <w:rsid w:val="0065184E"/>
    <w:rsid w:val="006518B6"/>
    <w:rsid w:val="00651B9E"/>
    <w:rsid w:val="00651CB7"/>
    <w:rsid w:val="00651FB4"/>
    <w:rsid w:val="006523D3"/>
    <w:rsid w:val="006527E0"/>
    <w:rsid w:val="00652C61"/>
    <w:rsid w:val="00652E45"/>
    <w:rsid w:val="00652F3D"/>
    <w:rsid w:val="0065309B"/>
    <w:rsid w:val="00653180"/>
    <w:rsid w:val="00653233"/>
    <w:rsid w:val="006532B6"/>
    <w:rsid w:val="00653460"/>
    <w:rsid w:val="0065356D"/>
    <w:rsid w:val="006535B7"/>
    <w:rsid w:val="0065364D"/>
    <w:rsid w:val="006536CF"/>
    <w:rsid w:val="00653D5F"/>
    <w:rsid w:val="00653EAD"/>
    <w:rsid w:val="00653FB1"/>
    <w:rsid w:val="00653FE2"/>
    <w:rsid w:val="006540A4"/>
    <w:rsid w:val="006540EF"/>
    <w:rsid w:val="006540F7"/>
    <w:rsid w:val="006541B7"/>
    <w:rsid w:val="006541C9"/>
    <w:rsid w:val="00654789"/>
    <w:rsid w:val="00654792"/>
    <w:rsid w:val="006547BC"/>
    <w:rsid w:val="006549E4"/>
    <w:rsid w:val="00654C99"/>
    <w:rsid w:val="00654CB9"/>
    <w:rsid w:val="00654D5C"/>
    <w:rsid w:val="00654E4C"/>
    <w:rsid w:val="00655382"/>
    <w:rsid w:val="0065543E"/>
    <w:rsid w:val="00655453"/>
    <w:rsid w:val="0065557D"/>
    <w:rsid w:val="00655817"/>
    <w:rsid w:val="00655869"/>
    <w:rsid w:val="00655AB6"/>
    <w:rsid w:val="00655AE0"/>
    <w:rsid w:val="00655D53"/>
    <w:rsid w:val="00655F35"/>
    <w:rsid w:val="00656054"/>
    <w:rsid w:val="0065616A"/>
    <w:rsid w:val="006561D6"/>
    <w:rsid w:val="00656219"/>
    <w:rsid w:val="0065627B"/>
    <w:rsid w:val="00656331"/>
    <w:rsid w:val="0065639D"/>
    <w:rsid w:val="00656660"/>
    <w:rsid w:val="006566D2"/>
    <w:rsid w:val="0065677E"/>
    <w:rsid w:val="00656785"/>
    <w:rsid w:val="006568A2"/>
    <w:rsid w:val="0065694E"/>
    <w:rsid w:val="00656974"/>
    <w:rsid w:val="00656B14"/>
    <w:rsid w:val="00657006"/>
    <w:rsid w:val="0065700A"/>
    <w:rsid w:val="0065702C"/>
    <w:rsid w:val="00657040"/>
    <w:rsid w:val="0065705B"/>
    <w:rsid w:val="006571E7"/>
    <w:rsid w:val="0065720A"/>
    <w:rsid w:val="00657409"/>
    <w:rsid w:val="00657660"/>
    <w:rsid w:val="00657E92"/>
    <w:rsid w:val="00657F5C"/>
    <w:rsid w:val="006605A4"/>
    <w:rsid w:val="006607C1"/>
    <w:rsid w:val="00660B27"/>
    <w:rsid w:val="00660B67"/>
    <w:rsid w:val="00660B78"/>
    <w:rsid w:val="00660C90"/>
    <w:rsid w:val="00660D32"/>
    <w:rsid w:val="00660D8A"/>
    <w:rsid w:val="006610F2"/>
    <w:rsid w:val="00661165"/>
    <w:rsid w:val="00661691"/>
    <w:rsid w:val="00661722"/>
    <w:rsid w:val="006618F6"/>
    <w:rsid w:val="00661A63"/>
    <w:rsid w:val="00661A8B"/>
    <w:rsid w:val="00661EFE"/>
    <w:rsid w:val="0066208A"/>
    <w:rsid w:val="006622E5"/>
    <w:rsid w:val="006623C8"/>
    <w:rsid w:val="00662526"/>
    <w:rsid w:val="0066259E"/>
    <w:rsid w:val="006625DF"/>
    <w:rsid w:val="006628B5"/>
    <w:rsid w:val="0066299C"/>
    <w:rsid w:val="00662AEF"/>
    <w:rsid w:val="00662EB0"/>
    <w:rsid w:val="00662FAE"/>
    <w:rsid w:val="0066311C"/>
    <w:rsid w:val="00663546"/>
    <w:rsid w:val="00663875"/>
    <w:rsid w:val="006638AF"/>
    <w:rsid w:val="00663940"/>
    <w:rsid w:val="00663BCB"/>
    <w:rsid w:val="00663C37"/>
    <w:rsid w:val="00663CE2"/>
    <w:rsid w:val="00663E1B"/>
    <w:rsid w:val="00663E6D"/>
    <w:rsid w:val="00663F7E"/>
    <w:rsid w:val="00663FED"/>
    <w:rsid w:val="006644E3"/>
    <w:rsid w:val="006647F1"/>
    <w:rsid w:val="006648E1"/>
    <w:rsid w:val="00664AD3"/>
    <w:rsid w:val="00664DA0"/>
    <w:rsid w:val="00664E3B"/>
    <w:rsid w:val="00664F07"/>
    <w:rsid w:val="00664F31"/>
    <w:rsid w:val="006650EE"/>
    <w:rsid w:val="006653C0"/>
    <w:rsid w:val="0066543E"/>
    <w:rsid w:val="006655C9"/>
    <w:rsid w:val="006656CB"/>
    <w:rsid w:val="006657A4"/>
    <w:rsid w:val="0066582D"/>
    <w:rsid w:val="006658D7"/>
    <w:rsid w:val="00665933"/>
    <w:rsid w:val="00665BDF"/>
    <w:rsid w:val="00665FC6"/>
    <w:rsid w:val="00666014"/>
    <w:rsid w:val="00666069"/>
    <w:rsid w:val="00666090"/>
    <w:rsid w:val="00666278"/>
    <w:rsid w:val="00666383"/>
    <w:rsid w:val="00666650"/>
    <w:rsid w:val="00666B2D"/>
    <w:rsid w:val="00666C60"/>
    <w:rsid w:val="00666EB2"/>
    <w:rsid w:val="006670A2"/>
    <w:rsid w:val="00667415"/>
    <w:rsid w:val="00667558"/>
    <w:rsid w:val="006675C8"/>
    <w:rsid w:val="00667676"/>
    <w:rsid w:val="006676AE"/>
    <w:rsid w:val="00667783"/>
    <w:rsid w:val="0066784F"/>
    <w:rsid w:val="00667890"/>
    <w:rsid w:val="006678EB"/>
    <w:rsid w:val="00667A51"/>
    <w:rsid w:val="00667B64"/>
    <w:rsid w:val="00667D3B"/>
    <w:rsid w:val="00667E70"/>
    <w:rsid w:val="00667EBE"/>
    <w:rsid w:val="00667F5B"/>
    <w:rsid w:val="0067009D"/>
    <w:rsid w:val="00670160"/>
    <w:rsid w:val="00670236"/>
    <w:rsid w:val="006703B7"/>
    <w:rsid w:val="00670434"/>
    <w:rsid w:val="0067044D"/>
    <w:rsid w:val="0067063A"/>
    <w:rsid w:val="006706AA"/>
    <w:rsid w:val="006706D5"/>
    <w:rsid w:val="006706F0"/>
    <w:rsid w:val="00670830"/>
    <w:rsid w:val="0067092E"/>
    <w:rsid w:val="006709F4"/>
    <w:rsid w:val="00670B63"/>
    <w:rsid w:val="00670D9A"/>
    <w:rsid w:val="00670E86"/>
    <w:rsid w:val="00670F79"/>
    <w:rsid w:val="00670F91"/>
    <w:rsid w:val="00671356"/>
    <w:rsid w:val="006715B7"/>
    <w:rsid w:val="0067175E"/>
    <w:rsid w:val="00671AE7"/>
    <w:rsid w:val="006722BE"/>
    <w:rsid w:val="006723B1"/>
    <w:rsid w:val="006723B8"/>
    <w:rsid w:val="0067248A"/>
    <w:rsid w:val="00672626"/>
    <w:rsid w:val="006728B5"/>
    <w:rsid w:val="00672BE1"/>
    <w:rsid w:val="00672C37"/>
    <w:rsid w:val="00672E45"/>
    <w:rsid w:val="00672EF3"/>
    <w:rsid w:val="00672FD4"/>
    <w:rsid w:val="006731EF"/>
    <w:rsid w:val="006733DD"/>
    <w:rsid w:val="006735E6"/>
    <w:rsid w:val="006739FF"/>
    <w:rsid w:val="00673A41"/>
    <w:rsid w:val="00673A92"/>
    <w:rsid w:val="00673AB6"/>
    <w:rsid w:val="00673BDF"/>
    <w:rsid w:val="00673C5E"/>
    <w:rsid w:val="00673F90"/>
    <w:rsid w:val="00674130"/>
    <w:rsid w:val="006741C6"/>
    <w:rsid w:val="006741E7"/>
    <w:rsid w:val="00674564"/>
    <w:rsid w:val="0067464B"/>
    <w:rsid w:val="00674681"/>
    <w:rsid w:val="0067471A"/>
    <w:rsid w:val="0067492C"/>
    <w:rsid w:val="00674C2B"/>
    <w:rsid w:val="00674D7B"/>
    <w:rsid w:val="00674D91"/>
    <w:rsid w:val="00674E93"/>
    <w:rsid w:val="00674EE9"/>
    <w:rsid w:val="00674F5B"/>
    <w:rsid w:val="006750D3"/>
    <w:rsid w:val="00675117"/>
    <w:rsid w:val="00675563"/>
    <w:rsid w:val="006755DA"/>
    <w:rsid w:val="006755FC"/>
    <w:rsid w:val="006757B4"/>
    <w:rsid w:val="006759ED"/>
    <w:rsid w:val="00675B42"/>
    <w:rsid w:val="00675D44"/>
    <w:rsid w:val="00675E20"/>
    <w:rsid w:val="00675F3C"/>
    <w:rsid w:val="00676037"/>
    <w:rsid w:val="0067609C"/>
    <w:rsid w:val="006760B0"/>
    <w:rsid w:val="00676363"/>
    <w:rsid w:val="006763B6"/>
    <w:rsid w:val="00676501"/>
    <w:rsid w:val="00676526"/>
    <w:rsid w:val="00676537"/>
    <w:rsid w:val="006766EA"/>
    <w:rsid w:val="0067685C"/>
    <w:rsid w:val="006769E8"/>
    <w:rsid w:val="00676B12"/>
    <w:rsid w:val="00676B1F"/>
    <w:rsid w:val="00676F59"/>
    <w:rsid w:val="006770A9"/>
    <w:rsid w:val="006770C2"/>
    <w:rsid w:val="006772AA"/>
    <w:rsid w:val="00677365"/>
    <w:rsid w:val="006773E4"/>
    <w:rsid w:val="006776D2"/>
    <w:rsid w:val="00677750"/>
    <w:rsid w:val="0067792F"/>
    <w:rsid w:val="00677DE3"/>
    <w:rsid w:val="00677EDF"/>
    <w:rsid w:val="006804BB"/>
    <w:rsid w:val="006805E9"/>
    <w:rsid w:val="006805F4"/>
    <w:rsid w:val="0068062E"/>
    <w:rsid w:val="00680801"/>
    <w:rsid w:val="00680BB6"/>
    <w:rsid w:val="00680BC5"/>
    <w:rsid w:val="00680C95"/>
    <w:rsid w:val="00681428"/>
    <w:rsid w:val="00681448"/>
    <w:rsid w:val="0068183D"/>
    <w:rsid w:val="006818F2"/>
    <w:rsid w:val="00681A1E"/>
    <w:rsid w:val="00681A3E"/>
    <w:rsid w:val="00681C68"/>
    <w:rsid w:val="00681D44"/>
    <w:rsid w:val="00682134"/>
    <w:rsid w:val="006829B2"/>
    <w:rsid w:val="00682A06"/>
    <w:rsid w:val="00682DC8"/>
    <w:rsid w:val="00682FF4"/>
    <w:rsid w:val="00683006"/>
    <w:rsid w:val="00683167"/>
    <w:rsid w:val="006832C2"/>
    <w:rsid w:val="006833B7"/>
    <w:rsid w:val="0068371C"/>
    <w:rsid w:val="00683851"/>
    <w:rsid w:val="006839E5"/>
    <w:rsid w:val="00683B9C"/>
    <w:rsid w:val="00683CA5"/>
    <w:rsid w:val="00683DFA"/>
    <w:rsid w:val="00683F59"/>
    <w:rsid w:val="00684048"/>
    <w:rsid w:val="006840C9"/>
    <w:rsid w:val="006840FA"/>
    <w:rsid w:val="0068442C"/>
    <w:rsid w:val="006846CA"/>
    <w:rsid w:val="006848A5"/>
    <w:rsid w:val="006848F3"/>
    <w:rsid w:val="00684928"/>
    <w:rsid w:val="00685132"/>
    <w:rsid w:val="0068515F"/>
    <w:rsid w:val="00685234"/>
    <w:rsid w:val="00685465"/>
    <w:rsid w:val="00685506"/>
    <w:rsid w:val="0068566D"/>
    <w:rsid w:val="006856B7"/>
    <w:rsid w:val="00685BA9"/>
    <w:rsid w:val="00685C1B"/>
    <w:rsid w:val="00685C2A"/>
    <w:rsid w:val="00685D28"/>
    <w:rsid w:val="00686131"/>
    <w:rsid w:val="0068631F"/>
    <w:rsid w:val="00686384"/>
    <w:rsid w:val="00686385"/>
    <w:rsid w:val="006863D9"/>
    <w:rsid w:val="006863F9"/>
    <w:rsid w:val="0068640C"/>
    <w:rsid w:val="00686776"/>
    <w:rsid w:val="0068695F"/>
    <w:rsid w:val="0068702C"/>
    <w:rsid w:val="00687361"/>
    <w:rsid w:val="006873D6"/>
    <w:rsid w:val="006876E2"/>
    <w:rsid w:val="00687764"/>
    <w:rsid w:val="006879B4"/>
    <w:rsid w:val="00687EBA"/>
    <w:rsid w:val="00687EF1"/>
    <w:rsid w:val="00690087"/>
    <w:rsid w:val="006900F9"/>
    <w:rsid w:val="006902C0"/>
    <w:rsid w:val="0069032E"/>
    <w:rsid w:val="00690460"/>
    <w:rsid w:val="006904C2"/>
    <w:rsid w:val="006905CC"/>
    <w:rsid w:val="006905FC"/>
    <w:rsid w:val="00690680"/>
    <w:rsid w:val="00690A75"/>
    <w:rsid w:val="00690DB0"/>
    <w:rsid w:val="00691163"/>
    <w:rsid w:val="00691399"/>
    <w:rsid w:val="006915D1"/>
    <w:rsid w:val="006916A6"/>
    <w:rsid w:val="006917A7"/>
    <w:rsid w:val="00691A16"/>
    <w:rsid w:val="00691E43"/>
    <w:rsid w:val="00691F20"/>
    <w:rsid w:val="00692082"/>
    <w:rsid w:val="00692127"/>
    <w:rsid w:val="0069223D"/>
    <w:rsid w:val="00692391"/>
    <w:rsid w:val="00692411"/>
    <w:rsid w:val="00692605"/>
    <w:rsid w:val="00692663"/>
    <w:rsid w:val="00692701"/>
    <w:rsid w:val="006928A2"/>
    <w:rsid w:val="006928AD"/>
    <w:rsid w:val="006929C0"/>
    <w:rsid w:val="006929F3"/>
    <w:rsid w:val="00692C58"/>
    <w:rsid w:val="00692F69"/>
    <w:rsid w:val="00692FBE"/>
    <w:rsid w:val="0069305D"/>
    <w:rsid w:val="00693065"/>
    <w:rsid w:val="0069306C"/>
    <w:rsid w:val="006930E7"/>
    <w:rsid w:val="006931FD"/>
    <w:rsid w:val="0069350D"/>
    <w:rsid w:val="006936C1"/>
    <w:rsid w:val="00693854"/>
    <w:rsid w:val="006938A0"/>
    <w:rsid w:val="006939C7"/>
    <w:rsid w:val="00693A78"/>
    <w:rsid w:val="00693C4E"/>
    <w:rsid w:val="00693C9C"/>
    <w:rsid w:val="00693D91"/>
    <w:rsid w:val="0069401F"/>
    <w:rsid w:val="00694069"/>
    <w:rsid w:val="006940BB"/>
    <w:rsid w:val="00694138"/>
    <w:rsid w:val="0069439F"/>
    <w:rsid w:val="006943B4"/>
    <w:rsid w:val="006944D0"/>
    <w:rsid w:val="006944D9"/>
    <w:rsid w:val="00694852"/>
    <w:rsid w:val="00694A8F"/>
    <w:rsid w:val="00694AE5"/>
    <w:rsid w:val="00694AF2"/>
    <w:rsid w:val="00694C0A"/>
    <w:rsid w:val="00694C13"/>
    <w:rsid w:val="00694C31"/>
    <w:rsid w:val="00694C42"/>
    <w:rsid w:val="00694C9D"/>
    <w:rsid w:val="00694EAE"/>
    <w:rsid w:val="00694FC5"/>
    <w:rsid w:val="00694FE6"/>
    <w:rsid w:val="00695481"/>
    <w:rsid w:val="006955E5"/>
    <w:rsid w:val="006956B1"/>
    <w:rsid w:val="0069582E"/>
    <w:rsid w:val="00695AE5"/>
    <w:rsid w:val="00695E94"/>
    <w:rsid w:val="00695F7E"/>
    <w:rsid w:val="00696568"/>
    <w:rsid w:val="00696646"/>
    <w:rsid w:val="00696E8F"/>
    <w:rsid w:val="006973A0"/>
    <w:rsid w:val="006974BE"/>
    <w:rsid w:val="006976C5"/>
    <w:rsid w:val="00697D55"/>
    <w:rsid w:val="00697EDA"/>
    <w:rsid w:val="006A0096"/>
    <w:rsid w:val="006A0316"/>
    <w:rsid w:val="006A0336"/>
    <w:rsid w:val="006A037E"/>
    <w:rsid w:val="006A04D5"/>
    <w:rsid w:val="006A075B"/>
    <w:rsid w:val="006A07E2"/>
    <w:rsid w:val="006A0860"/>
    <w:rsid w:val="006A0996"/>
    <w:rsid w:val="006A0EC1"/>
    <w:rsid w:val="006A0F4A"/>
    <w:rsid w:val="006A107E"/>
    <w:rsid w:val="006A125C"/>
    <w:rsid w:val="006A12D9"/>
    <w:rsid w:val="006A13B2"/>
    <w:rsid w:val="006A1465"/>
    <w:rsid w:val="006A16C6"/>
    <w:rsid w:val="006A1AC6"/>
    <w:rsid w:val="006A1C27"/>
    <w:rsid w:val="006A1C9F"/>
    <w:rsid w:val="006A2007"/>
    <w:rsid w:val="006A2045"/>
    <w:rsid w:val="006A2115"/>
    <w:rsid w:val="006A2136"/>
    <w:rsid w:val="006A2450"/>
    <w:rsid w:val="006A248C"/>
    <w:rsid w:val="006A24CC"/>
    <w:rsid w:val="006A2600"/>
    <w:rsid w:val="006A266D"/>
    <w:rsid w:val="006A272C"/>
    <w:rsid w:val="006A2731"/>
    <w:rsid w:val="006A273F"/>
    <w:rsid w:val="006A2853"/>
    <w:rsid w:val="006A2DB0"/>
    <w:rsid w:val="006A2DC6"/>
    <w:rsid w:val="006A3020"/>
    <w:rsid w:val="006A32BE"/>
    <w:rsid w:val="006A339C"/>
    <w:rsid w:val="006A38AB"/>
    <w:rsid w:val="006A38C5"/>
    <w:rsid w:val="006A3906"/>
    <w:rsid w:val="006A3C6A"/>
    <w:rsid w:val="006A3E92"/>
    <w:rsid w:val="006A3EDF"/>
    <w:rsid w:val="006A3F96"/>
    <w:rsid w:val="006A405D"/>
    <w:rsid w:val="006A40D8"/>
    <w:rsid w:val="006A435E"/>
    <w:rsid w:val="006A453D"/>
    <w:rsid w:val="006A4878"/>
    <w:rsid w:val="006A48FC"/>
    <w:rsid w:val="006A4C30"/>
    <w:rsid w:val="006A4C43"/>
    <w:rsid w:val="006A4C80"/>
    <w:rsid w:val="006A4E2D"/>
    <w:rsid w:val="006A4E88"/>
    <w:rsid w:val="006A4FC5"/>
    <w:rsid w:val="006A512C"/>
    <w:rsid w:val="006A5289"/>
    <w:rsid w:val="006A52C2"/>
    <w:rsid w:val="006A53B7"/>
    <w:rsid w:val="006A5623"/>
    <w:rsid w:val="006A586F"/>
    <w:rsid w:val="006A5C29"/>
    <w:rsid w:val="006A5CDD"/>
    <w:rsid w:val="006A6457"/>
    <w:rsid w:val="006A6518"/>
    <w:rsid w:val="006A67A4"/>
    <w:rsid w:val="006A6F78"/>
    <w:rsid w:val="006A6FF3"/>
    <w:rsid w:val="006A717B"/>
    <w:rsid w:val="006A71EF"/>
    <w:rsid w:val="006A71F6"/>
    <w:rsid w:val="006A720F"/>
    <w:rsid w:val="006A73AA"/>
    <w:rsid w:val="006A742C"/>
    <w:rsid w:val="006A77FC"/>
    <w:rsid w:val="006A7A07"/>
    <w:rsid w:val="006A7AAD"/>
    <w:rsid w:val="006A7AC0"/>
    <w:rsid w:val="006A7CFD"/>
    <w:rsid w:val="006B0012"/>
    <w:rsid w:val="006B0090"/>
    <w:rsid w:val="006B030E"/>
    <w:rsid w:val="006B03D4"/>
    <w:rsid w:val="006B03F3"/>
    <w:rsid w:val="006B0AB1"/>
    <w:rsid w:val="006B0CC8"/>
    <w:rsid w:val="006B0CCF"/>
    <w:rsid w:val="006B103E"/>
    <w:rsid w:val="006B13A2"/>
    <w:rsid w:val="006B1607"/>
    <w:rsid w:val="006B1608"/>
    <w:rsid w:val="006B19C4"/>
    <w:rsid w:val="006B1D8D"/>
    <w:rsid w:val="006B1E0C"/>
    <w:rsid w:val="006B2049"/>
    <w:rsid w:val="006B222E"/>
    <w:rsid w:val="006B225C"/>
    <w:rsid w:val="006B22E3"/>
    <w:rsid w:val="006B2310"/>
    <w:rsid w:val="006B2318"/>
    <w:rsid w:val="006B236F"/>
    <w:rsid w:val="006B23DF"/>
    <w:rsid w:val="006B24D1"/>
    <w:rsid w:val="006B255B"/>
    <w:rsid w:val="006B2579"/>
    <w:rsid w:val="006B257A"/>
    <w:rsid w:val="006B26B7"/>
    <w:rsid w:val="006B273F"/>
    <w:rsid w:val="006B2B69"/>
    <w:rsid w:val="006B2E86"/>
    <w:rsid w:val="006B2F2E"/>
    <w:rsid w:val="006B3278"/>
    <w:rsid w:val="006B343D"/>
    <w:rsid w:val="006B3454"/>
    <w:rsid w:val="006B383C"/>
    <w:rsid w:val="006B384C"/>
    <w:rsid w:val="006B396F"/>
    <w:rsid w:val="006B39B7"/>
    <w:rsid w:val="006B3E68"/>
    <w:rsid w:val="006B401C"/>
    <w:rsid w:val="006B40D3"/>
    <w:rsid w:val="006B41F2"/>
    <w:rsid w:val="006B4214"/>
    <w:rsid w:val="006B4261"/>
    <w:rsid w:val="006B4356"/>
    <w:rsid w:val="006B43F8"/>
    <w:rsid w:val="006B440C"/>
    <w:rsid w:val="006B49C7"/>
    <w:rsid w:val="006B4DB7"/>
    <w:rsid w:val="006B4FB6"/>
    <w:rsid w:val="006B5093"/>
    <w:rsid w:val="006B50A6"/>
    <w:rsid w:val="006B50F6"/>
    <w:rsid w:val="006B52AA"/>
    <w:rsid w:val="006B52B2"/>
    <w:rsid w:val="006B5869"/>
    <w:rsid w:val="006B58C5"/>
    <w:rsid w:val="006B5E73"/>
    <w:rsid w:val="006B5EAA"/>
    <w:rsid w:val="006B62F4"/>
    <w:rsid w:val="006B6366"/>
    <w:rsid w:val="006B645C"/>
    <w:rsid w:val="006B65AC"/>
    <w:rsid w:val="006B65B4"/>
    <w:rsid w:val="006B6622"/>
    <w:rsid w:val="006B66EF"/>
    <w:rsid w:val="006B69A3"/>
    <w:rsid w:val="006B6ACD"/>
    <w:rsid w:val="006B6AE2"/>
    <w:rsid w:val="006B6BCD"/>
    <w:rsid w:val="006B6DC2"/>
    <w:rsid w:val="006B6ED1"/>
    <w:rsid w:val="006B6F3D"/>
    <w:rsid w:val="006B7091"/>
    <w:rsid w:val="006B7714"/>
    <w:rsid w:val="006B78CE"/>
    <w:rsid w:val="006B7BA9"/>
    <w:rsid w:val="006B7DBD"/>
    <w:rsid w:val="006C0089"/>
    <w:rsid w:val="006C0179"/>
    <w:rsid w:val="006C0487"/>
    <w:rsid w:val="006C06D4"/>
    <w:rsid w:val="006C06DA"/>
    <w:rsid w:val="006C06E7"/>
    <w:rsid w:val="006C0891"/>
    <w:rsid w:val="006C0981"/>
    <w:rsid w:val="006C0A6F"/>
    <w:rsid w:val="006C0B4E"/>
    <w:rsid w:val="006C0BDC"/>
    <w:rsid w:val="006C0E6C"/>
    <w:rsid w:val="006C13D5"/>
    <w:rsid w:val="006C155C"/>
    <w:rsid w:val="006C15B6"/>
    <w:rsid w:val="006C15DD"/>
    <w:rsid w:val="006C162E"/>
    <w:rsid w:val="006C189F"/>
    <w:rsid w:val="006C18AE"/>
    <w:rsid w:val="006C1C89"/>
    <w:rsid w:val="006C1FE8"/>
    <w:rsid w:val="006C256D"/>
    <w:rsid w:val="006C280A"/>
    <w:rsid w:val="006C2838"/>
    <w:rsid w:val="006C2929"/>
    <w:rsid w:val="006C2C85"/>
    <w:rsid w:val="006C2EE4"/>
    <w:rsid w:val="006C356E"/>
    <w:rsid w:val="006C36DA"/>
    <w:rsid w:val="006C3AFE"/>
    <w:rsid w:val="006C3D89"/>
    <w:rsid w:val="006C3EA9"/>
    <w:rsid w:val="006C4037"/>
    <w:rsid w:val="006C4046"/>
    <w:rsid w:val="006C4334"/>
    <w:rsid w:val="006C439B"/>
    <w:rsid w:val="006C4473"/>
    <w:rsid w:val="006C48F4"/>
    <w:rsid w:val="006C4D16"/>
    <w:rsid w:val="006C51DC"/>
    <w:rsid w:val="006C532C"/>
    <w:rsid w:val="006C5674"/>
    <w:rsid w:val="006C5A1B"/>
    <w:rsid w:val="006C5A1C"/>
    <w:rsid w:val="006C6444"/>
    <w:rsid w:val="006C678C"/>
    <w:rsid w:val="006C67D8"/>
    <w:rsid w:val="006C68AD"/>
    <w:rsid w:val="006C6BF9"/>
    <w:rsid w:val="006C70FB"/>
    <w:rsid w:val="006C7134"/>
    <w:rsid w:val="006C7144"/>
    <w:rsid w:val="006C7311"/>
    <w:rsid w:val="006C7479"/>
    <w:rsid w:val="006C7658"/>
    <w:rsid w:val="006C7CD2"/>
    <w:rsid w:val="006C7CF4"/>
    <w:rsid w:val="006C7D60"/>
    <w:rsid w:val="006C7DFC"/>
    <w:rsid w:val="006D003A"/>
    <w:rsid w:val="006D00A4"/>
    <w:rsid w:val="006D015F"/>
    <w:rsid w:val="006D021D"/>
    <w:rsid w:val="006D02E4"/>
    <w:rsid w:val="006D0392"/>
    <w:rsid w:val="006D0461"/>
    <w:rsid w:val="006D050B"/>
    <w:rsid w:val="006D059B"/>
    <w:rsid w:val="006D064C"/>
    <w:rsid w:val="006D0800"/>
    <w:rsid w:val="006D0850"/>
    <w:rsid w:val="006D08B6"/>
    <w:rsid w:val="006D08C3"/>
    <w:rsid w:val="006D0A80"/>
    <w:rsid w:val="006D0C5E"/>
    <w:rsid w:val="006D0DA5"/>
    <w:rsid w:val="006D0E2B"/>
    <w:rsid w:val="006D0EAE"/>
    <w:rsid w:val="006D0F7D"/>
    <w:rsid w:val="006D157B"/>
    <w:rsid w:val="006D15CC"/>
    <w:rsid w:val="006D191C"/>
    <w:rsid w:val="006D191E"/>
    <w:rsid w:val="006D1A88"/>
    <w:rsid w:val="006D1F0C"/>
    <w:rsid w:val="006D1FED"/>
    <w:rsid w:val="006D2615"/>
    <w:rsid w:val="006D275C"/>
    <w:rsid w:val="006D29F2"/>
    <w:rsid w:val="006D2AB8"/>
    <w:rsid w:val="006D2D94"/>
    <w:rsid w:val="006D2DD7"/>
    <w:rsid w:val="006D2E41"/>
    <w:rsid w:val="006D323B"/>
    <w:rsid w:val="006D330C"/>
    <w:rsid w:val="006D33B3"/>
    <w:rsid w:val="006D34AE"/>
    <w:rsid w:val="006D3531"/>
    <w:rsid w:val="006D3592"/>
    <w:rsid w:val="006D35A0"/>
    <w:rsid w:val="006D35F7"/>
    <w:rsid w:val="006D36AA"/>
    <w:rsid w:val="006D36CF"/>
    <w:rsid w:val="006D396F"/>
    <w:rsid w:val="006D3A18"/>
    <w:rsid w:val="006D3AE4"/>
    <w:rsid w:val="006D3B23"/>
    <w:rsid w:val="006D3C2B"/>
    <w:rsid w:val="006D3CE7"/>
    <w:rsid w:val="006D3FE6"/>
    <w:rsid w:val="006D4045"/>
    <w:rsid w:val="006D414A"/>
    <w:rsid w:val="006D41D6"/>
    <w:rsid w:val="006D44E2"/>
    <w:rsid w:val="006D47D0"/>
    <w:rsid w:val="006D4AD3"/>
    <w:rsid w:val="006D4B44"/>
    <w:rsid w:val="006D4B69"/>
    <w:rsid w:val="006D4FDF"/>
    <w:rsid w:val="006D50E8"/>
    <w:rsid w:val="006D5160"/>
    <w:rsid w:val="006D5208"/>
    <w:rsid w:val="006D536E"/>
    <w:rsid w:val="006D5380"/>
    <w:rsid w:val="006D5779"/>
    <w:rsid w:val="006D5ABC"/>
    <w:rsid w:val="006D5D3B"/>
    <w:rsid w:val="006D5E28"/>
    <w:rsid w:val="006D5E4B"/>
    <w:rsid w:val="006D5F7F"/>
    <w:rsid w:val="006D5FCD"/>
    <w:rsid w:val="006D6161"/>
    <w:rsid w:val="006D62B0"/>
    <w:rsid w:val="006D64C4"/>
    <w:rsid w:val="006D6699"/>
    <w:rsid w:val="006D6710"/>
    <w:rsid w:val="006D6809"/>
    <w:rsid w:val="006D685C"/>
    <w:rsid w:val="006D695A"/>
    <w:rsid w:val="006D69B0"/>
    <w:rsid w:val="006D69F0"/>
    <w:rsid w:val="006D6AA3"/>
    <w:rsid w:val="006D6B90"/>
    <w:rsid w:val="006D6E45"/>
    <w:rsid w:val="006D6EF1"/>
    <w:rsid w:val="006D7048"/>
    <w:rsid w:val="006D7557"/>
    <w:rsid w:val="006D7576"/>
    <w:rsid w:val="006D75A6"/>
    <w:rsid w:val="006D7AF9"/>
    <w:rsid w:val="006D7B37"/>
    <w:rsid w:val="006D7C50"/>
    <w:rsid w:val="006D7C9C"/>
    <w:rsid w:val="006D7E61"/>
    <w:rsid w:val="006D7EE1"/>
    <w:rsid w:val="006D7F95"/>
    <w:rsid w:val="006E0050"/>
    <w:rsid w:val="006E0243"/>
    <w:rsid w:val="006E02B6"/>
    <w:rsid w:val="006E06C2"/>
    <w:rsid w:val="006E0872"/>
    <w:rsid w:val="006E0881"/>
    <w:rsid w:val="006E0C31"/>
    <w:rsid w:val="006E0CB7"/>
    <w:rsid w:val="006E0DBC"/>
    <w:rsid w:val="006E0FFD"/>
    <w:rsid w:val="006E1076"/>
    <w:rsid w:val="006E1245"/>
    <w:rsid w:val="006E1393"/>
    <w:rsid w:val="006E1442"/>
    <w:rsid w:val="006E1493"/>
    <w:rsid w:val="006E16C2"/>
    <w:rsid w:val="006E16FB"/>
    <w:rsid w:val="006E1AAD"/>
    <w:rsid w:val="006E1D1A"/>
    <w:rsid w:val="006E1EB1"/>
    <w:rsid w:val="006E2024"/>
    <w:rsid w:val="006E2061"/>
    <w:rsid w:val="006E2169"/>
    <w:rsid w:val="006E2269"/>
    <w:rsid w:val="006E228D"/>
    <w:rsid w:val="006E252C"/>
    <w:rsid w:val="006E2534"/>
    <w:rsid w:val="006E2537"/>
    <w:rsid w:val="006E267B"/>
    <w:rsid w:val="006E2891"/>
    <w:rsid w:val="006E2BDA"/>
    <w:rsid w:val="006E2DC8"/>
    <w:rsid w:val="006E2F16"/>
    <w:rsid w:val="006E2F57"/>
    <w:rsid w:val="006E2F66"/>
    <w:rsid w:val="006E31F2"/>
    <w:rsid w:val="006E3796"/>
    <w:rsid w:val="006E3C1A"/>
    <w:rsid w:val="006E4234"/>
    <w:rsid w:val="006E4286"/>
    <w:rsid w:val="006E462F"/>
    <w:rsid w:val="006E488A"/>
    <w:rsid w:val="006E4FA7"/>
    <w:rsid w:val="006E51AD"/>
    <w:rsid w:val="006E5239"/>
    <w:rsid w:val="006E529A"/>
    <w:rsid w:val="006E52FE"/>
    <w:rsid w:val="006E55BD"/>
    <w:rsid w:val="006E566D"/>
    <w:rsid w:val="006E59D6"/>
    <w:rsid w:val="006E5A38"/>
    <w:rsid w:val="006E5CB5"/>
    <w:rsid w:val="006E5E1E"/>
    <w:rsid w:val="006E5F81"/>
    <w:rsid w:val="006E60BA"/>
    <w:rsid w:val="006E6167"/>
    <w:rsid w:val="006E6482"/>
    <w:rsid w:val="006E6574"/>
    <w:rsid w:val="006E6588"/>
    <w:rsid w:val="006E662D"/>
    <w:rsid w:val="006E66AA"/>
    <w:rsid w:val="006E66DD"/>
    <w:rsid w:val="006E68C4"/>
    <w:rsid w:val="006E6911"/>
    <w:rsid w:val="006E6A33"/>
    <w:rsid w:val="006E6B8D"/>
    <w:rsid w:val="006E6C5C"/>
    <w:rsid w:val="006E6E85"/>
    <w:rsid w:val="006E6FBE"/>
    <w:rsid w:val="006E6FD9"/>
    <w:rsid w:val="006E71F2"/>
    <w:rsid w:val="006E726E"/>
    <w:rsid w:val="006E72AB"/>
    <w:rsid w:val="006E74CA"/>
    <w:rsid w:val="006E7571"/>
    <w:rsid w:val="006E7872"/>
    <w:rsid w:val="006E7CFA"/>
    <w:rsid w:val="006E7D55"/>
    <w:rsid w:val="006E7E27"/>
    <w:rsid w:val="006E7E49"/>
    <w:rsid w:val="006E7E88"/>
    <w:rsid w:val="006E7FDB"/>
    <w:rsid w:val="006F00C1"/>
    <w:rsid w:val="006F01B2"/>
    <w:rsid w:val="006F0292"/>
    <w:rsid w:val="006F0660"/>
    <w:rsid w:val="006F08A5"/>
    <w:rsid w:val="006F09FC"/>
    <w:rsid w:val="006F0A1F"/>
    <w:rsid w:val="006F0CC4"/>
    <w:rsid w:val="006F0D3F"/>
    <w:rsid w:val="006F0E90"/>
    <w:rsid w:val="006F0ED0"/>
    <w:rsid w:val="006F0FC2"/>
    <w:rsid w:val="006F11DF"/>
    <w:rsid w:val="006F14E4"/>
    <w:rsid w:val="006F1808"/>
    <w:rsid w:val="006F187A"/>
    <w:rsid w:val="006F18A0"/>
    <w:rsid w:val="006F19D8"/>
    <w:rsid w:val="006F1AA4"/>
    <w:rsid w:val="006F1BE5"/>
    <w:rsid w:val="006F1CA4"/>
    <w:rsid w:val="006F209B"/>
    <w:rsid w:val="006F23F7"/>
    <w:rsid w:val="006F2423"/>
    <w:rsid w:val="006F2A2A"/>
    <w:rsid w:val="006F2A74"/>
    <w:rsid w:val="006F2CB0"/>
    <w:rsid w:val="006F2D00"/>
    <w:rsid w:val="006F3068"/>
    <w:rsid w:val="006F312D"/>
    <w:rsid w:val="006F34A4"/>
    <w:rsid w:val="006F3716"/>
    <w:rsid w:val="006F390A"/>
    <w:rsid w:val="006F3BA4"/>
    <w:rsid w:val="006F3C36"/>
    <w:rsid w:val="006F408B"/>
    <w:rsid w:val="006F4454"/>
    <w:rsid w:val="006F45EE"/>
    <w:rsid w:val="006F4698"/>
    <w:rsid w:val="006F47D7"/>
    <w:rsid w:val="006F4992"/>
    <w:rsid w:val="006F4A08"/>
    <w:rsid w:val="006F4A77"/>
    <w:rsid w:val="006F4B1C"/>
    <w:rsid w:val="006F4BF4"/>
    <w:rsid w:val="006F4C4B"/>
    <w:rsid w:val="006F4CEA"/>
    <w:rsid w:val="006F4D48"/>
    <w:rsid w:val="006F4E1C"/>
    <w:rsid w:val="006F4FA1"/>
    <w:rsid w:val="006F5060"/>
    <w:rsid w:val="006F54EC"/>
    <w:rsid w:val="006F54FB"/>
    <w:rsid w:val="006F5575"/>
    <w:rsid w:val="006F57B5"/>
    <w:rsid w:val="006F582E"/>
    <w:rsid w:val="006F5A3E"/>
    <w:rsid w:val="006F5C2C"/>
    <w:rsid w:val="006F677B"/>
    <w:rsid w:val="006F6967"/>
    <w:rsid w:val="006F6F9C"/>
    <w:rsid w:val="006F6FC3"/>
    <w:rsid w:val="006F70C4"/>
    <w:rsid w:val="006F7196"/>
    <w:rsid w:val="006F71C2"/>
    <w:rsid w:val="006F751B"/>
    <w:rsid w:val="006F76BC"/>
    <w:rsid w:val="007002E4"/>
    <w:rsid w:val="0070046E"/>
    <w:rsid w:val="00700487"/>
    <w:rsid w:val="0070066E"/>
    <w:rsid w:val="0070078C"/>
    <w:rsid w:val="00700891"/>
    <w:rsid w:val="007008DC"/>
    <w:rsid w:val="00700962"/>
    <w:rsid w:val="00700CEE"/>
    <w:rsid w:val="00700D31"/>
    <w:rsid w:val="00700DF1"/>
    <w:rsid w:val="00700E14"/>
    <w:rsid w:val="0070107A"/>
    <w:rsid w:val="0070110A"/>
    <w:rsid w:val="00701219"/>
    <w:rsid w:val="0070141F"/>
    <w:rsid w:val="00701678"/>
    <w:rsid w:val="00701862"/>
    <w:rsid w:val="00701968"/>
    <w:rsid w:val="0070199C"/>
    <w:rsid w:val="00701BDB"/>
    <w:rsid w:val="00701E26"/>
    <w:rsid w:val="00701E94"/>
    <w:rsid w:val="00701ECC"/>
    <w:rsid w:val="00701EE3"/>
    <w:rsid w:val="00701FD5"/>
    <w:rsid w:val="00702198"/>
    <w:rsid w:val="0070247E"/>
    <w:rsid w:val="00702489"/>
    <w:rsid w:val="00702627"/>
    <w:rsid w:val="00702666"/>
    <w:rsid w:val="00702725"/>
    <w:rsid w:val="007028BE"/>
    <w:rsid w:val="00703027"/>
    <w:rsid w:val="007030C2"/>
    <w:rsid w:val="007031FF"/>
    <w:rsid w:val="00703205"/>
    <w:rsid w:val="00703324"/>
    <w:rsid w:val="00703351"/>
    <w:rsid w:val="00703447"/>
    <w:rsid w:val="007034BB"/>
    <w:rsid w:val="00703896"/>
    <w:rsid w:val="007039AD"/>
    <w:rsid w:val="00703B20"/>
    <w:rsid w:val="00703DFB"/>
    <w:rsid w:val="00703E6D"/>
    <w:rsid w:val="00703FC8"/>
    <w:rsid w:val="007040F1"/>
    <w:rsid w:val="0070430B"/>
    <w:rsid w:val="00704354"/>
    <w:rsid w:val="00704390"/>
    <w:rsid w:val="0070443E"/>
    <w:rsid w:val="00704616"/>
    <w:rsid w:val="00704622"/>
    <w:rsid w:val="00704740"/>
    <w:rsid w:val="007049EA"/>
    <w:rsid w:val="00704A24"/>
    <w:rsid w:val="00704A9C"/>
    <w:rsid w:val="00704C65"/>
    <w:rsid w:val="0070509D"/>
    <w:rsid w:val="007051AE"/>
    <w:rsid w:val="00705697"/>
    <w:rsid w:val="00705858"/>
    <w:rsid w:val="007059D6"/>
    <w:rsid w:val="007059F8"/>
    <w:rsid w:val="00705A4D"/>
    <w:rsid w:val="00705A6B"/>
    <w:rsid w:val="00705A83"/>
    <w:rsid w:val="00705EEE"/>
    <w:rsid w:val="00705F4C"/>
    <w:rsid w:val="007061A1"/>
    <w:rsid w:val="00706212"/>
    <w:rsid w:val="007062A9"/>
    <w:rsid w:val="00706362"/>
    <w:rsid w:val="007063C7"/>
    <w:rsid w:val="007066E1"/>
    <w:rsid w:val="00706B31"/>
    <w:rsid w:val="00706CE9"/>
    <w:rsid w:val="00706DB3"/>
    <w:rsid w:val="00706F8A"/>
    <w:rsid w:val="007072E7"/>
    <w:rsid w:val="007073BC"/>
    <w:rsid w:val="0070746E"/>
    <w:rsid w:val="00707839"/>
    <w:rsid w:val="007078C5"/>
    <w:rsid w:val="0070793F"/>
    <w:rsid w:val="00707972"/>
    <w:rsid w:val="00707C6F"/>
    <w:rsid w:val="00710149"/>
    <w:rsid w:val="007101A2"/>
    <w:rsid w:val="0071020F"/>
    <w:rsid w:val="00710502"/>
    <w:rsid w:val="00710524"/>
    <w:rsid w:val="007105FA"/>
    <w:rsid w:val="00710BED"/>
    <w:rsid w:val="00710BFE"/>
    <w:rsid w:val="00710C51"/>
    <w:rsid w:val="00710E85"/>
    <w:rsid w:val="007113EE"/>
    <w:rsid w:val="0071165B"/>
    <w:rsid w:val="007116B4"/>
    <w:rsid w:val="007118B6"/>
    <w:rsid w:val="007118E2"/>
    <w:rsid w:val="0071205E"/>
    <w:rsid w:val="00712089"/>
    <w:rsid w:val="0071211C"/>
    <w:rsid w:val="0071225C"/>
    <w:rsid w:val="00712969"/>
    <w:rsid w:val="00712AC2"/>
    <w:rsid w:val="00712AFA"/>
    <w:rsid w:val="00712D18"/>
    <w:rsid w:val="00712F03"/>
    <w:rsid w:val="007130D9"/>
    <w:rsid w:val="007134E9"/>
    <w:rsid w:val="00713775"/>
    <w:rsid w:val="007137D6"/>
    <w:rsid w:val="00713A47"/>
    <w:rsid w:val="00713AA6"/>
    <w:rsid w:val="00713B1E"/>
    <w:rsid w:val="00713B29"/>
    <w:rsid w:val="00713B60"/>
    <w:rsid w:val="00713D91"/>
    <w:rsid w:val="00713FB5"/>
    <w:rsid w:val="00713FD5"/>
    <w:rsid w:val="007140A3"/>
    <w:rsid w:val="00714177"/>
    <w:rsid w:val="007142FC"/>
    <w:rsid w:val="00714778"/>
    <w:rsid w:val="007147B0"/>
    <w:rsid w:val="007149C2"/>
    <w:rsid w:val="00714BD0"/>
    <w:rsid w:val="00714C35"/>
    <w:rsid w:val="00714D42"/>
    <w:rsid w:val="00714EF9"/>
    <w:rsid w:val="0071507F"/>
    <w:rsid w:val="007150CF"/>
    <w:rsid w:val="00715757"/>
    <w:rsid w:val="00715849"/>
    <w:rsid w:val="007159C1"/>
    <w:rsid w:val="00715C5F"/>
    <w:rsid w:val="00715EAF"/>
    <w:rsid w:val="007162BE"/>
    <w:rsid w:val="0071634D"/>
    <w:rsid w:val="00716362"/>
    <w:rsid w:val="00716394"/>
    <w:rsid w:val="00716916"/>
    <w:rsid w:val="00716AAF"/>
    <w:rsid w:val="00716C46"/>
    <w:rsid w:val="00716FCB"/>
    <w:rsid w:val="00717123"/>
    <w:rsid w:val="007175C8"/>
    <w:rsid w:val="00717769"/>
    <w:rsid w:val="00717A7F"/>
    <w:rsid w:val="00717ADF"/>
    <w:rsid w:val="00717C17"/>
    <w:rsid w:val="00717E75"/>
    <w:rsid w:val="00717FE1"/>
    <w:rsid w:val="00720220"/>
    <w:rsid w:val="007204F2"/>
    <w:rsid w:val="007204F9"/>
    <w:rsid w:val="00720909"/>
    <w:rsid w:val="00720D1E"/>
    <w:rsid w:val="00720FB8"/>
    <w:rsid w:val="007210A3"/>
    <w:rsid w:val="0072153A"/>
    <w:rsid w:val="007216B4"/>
    <w:rsid w:val="0072174A"/>
    <w:rsid w:val="00721784"/>
    <w:rsid w:val="007217A0"/>
    <w:rsid w:val="007217FD"/>
    <w:rsid w:val="007218A3"/>
    <w:rsid w:val="007218B6"/>
    <w:rsid w:val="00721B80"/>
    <w:rsid w:val="00721C66"/>
    <w:rsid w:val="00721C70"/>
    <w:rsid w:val="00721CFD"/>
    <w:rsid w:val="00721D3C"/>
    <w:rsid w:val="00721D90"/>
    <w:rsid w:val="0072202C"/>
    <w:rsid w:val="0072245F"/>
    <w:rsid w:val="00722769"/>
    <w:rsid w:val="00722BC3"/>
    <w:rsid w:val="00722E60"/>
    <w:rsid w:val="00723089"/>
    <w:rsid w:val="00723180"/>
    <w:rsid w:val="007235B5"/>
    <w:rsid w:val="007235CD"/>
    <w:rsid w:val="0072366E"/>
    <w:rsid w:val="00723687"/>
    <w:rsid w:val="00723922"/>
    <w:rsid w:val="0072394C"/>
    <w:rsid w:val="007239AE"/>
    <w:rsid w:val="00723A41"/>
    <w:rsid w:val="00723AF7"/>
    <w:rsid w:val="00723CAD"/>
    <w:rsid w:val="00723EB1"/>
    <w:rsid w:val="0072426B"/>
    <w:rsid w:val="00724376"/>
    <w:rsid w:val="007243C8"/>
    <w:rsid w:val="007244F1"/>
    <w:rsid w:val="00724874"/>
    <w:rsid w:val="00724B4A"/>
    <w:rsid w:val="00724DAC"/>
    <w:rsid w:val="00724E56"/>
    <w:rsid w:val="00724FE7"/>
    <w:rsid w:val="007253C8"/>
    <w:rsid w:val="00725459"/>
    <w:rsid w:val="0072559F"/>
    <w:rsid w:val="00725812"/>
    <w:rsid w:val="007258C9"/>
    <w:rsid w:val="0072591E"/>
    <w:rsid w:val="0072595D"/>
    <w:rsid w:val="00725A49"/>
    <w:rsid w:val="00725B95"/>
    <w:rsid w:val="00725EA2"/>
    <w:rsid w:val="007260DD"/>
    <w:rsid w:val="007261F8"/>
    <w:rsid w:val="0072639D"/>
    <w:rsid w:val="0072650F"/>
    <w:rsid w:val="00726977"/>
    <w:rsid w:val="007269FA"/>
    <w:rsid w:val="00726E49"/>
    <w:rsid w:val="0072700E"/>
    <w:rsid w:val="00727020"/>
    <w:rsid w:val="00727451"/>
    <w:rsid w:val="0072755E"/>
    <w:rsid w:val="0072790D"/>
    <w:rsid w:val="00727BC7"/>
    <w:rsid w:val="00727DDD"/>
    <w:rsid w:val="00727E9B"/>
    <w:rsid w:val="00727FDA"/>
    <w:rsid w:val="00730009"/>
    <w:rsid w:val="007302A0"/>
    <w:rsid w:val="00730774"/>
    <w:rsid w:val="007308D6"/>
    <w:rsid w:val="007308EC"/>
    <w:rsid w:val="00730AEB"/>
    <w:rsid w:val="00730E60"/>
    <w:rsid w:val="007311F6"/>
    <w:rsid w:val="00731431"/>
    <w:rsid w:val="00731657"/>
    <w:rsid w:val="00731700"/>
    <w:rsid w:val="00731B56"/>
    <w:rsid w:val="00731B61"/>
    <w:rsid w:val="00731C6D"/>
    <w:rsid w:val="00731CCF"/>
    <w:rsid w:val="00731D28"/>
    <w:rsid w:val="00731EF1"/>
    <w:rsid w:val="00731FF7"/>
    <w:rsid w:val="00732072"/>
    <w:rsid w:val="00732217"/>
    <w:rsid w:val="007322CD"/>
    <w:rsid w:val="007323D6"/>
    <w:rsid w:val="007327F0"/>
    <w:rsid w:val="00732B21"/>
    <w:rsid w:val="00732BBE"/>
    <w:rsid w:val="00732E29"/>
    <w:rsid w:val="0073301C"/>
    <w:rsid w:val="0073306E"/>
    <w:rsid w:val="00733346"/>
    <w:rsid w:val="007333AC"/>
    <w:rsid w:val="0073348B"/>
    <w:rsid w:val="007334F5"/>
    <w:rsid w:val="007335B5"/>
    <w:rsid w:val="0073399B"/>
    <w:rsid w:val="007339B8"/>
    <w:rsid w:val="00733AF5"/>
    <w:rsid w:val="00733B9A"/>
    <w:rsid w:val="00733D88"/>
    <w:rsid w:val="00733DFC"/>
    <w:rsid w:val="0073409E"/>
    <w:rsid w:val="007340EF"/>
    <w:rsid w:val="0073416D"/>
    <w:rsid w:val="00734214"/>
    <w:rsid w:val="007342FD"/>
    <w:rsid w:val="0073444E"/>
    <w:rsid w:val="00734527"/>
    <w:rsid w:val="00734553"/>
    <w:rsid w:val="00734718"/>
    <w:rsid w:val="007348B2"/>
    <w:rsid w:val="0073496D"/>
    <w:rsid w:val="007349DD"/>
    <w:rsid w:val="00734BDB"/>
    <w:rsid w:val="00734E33"/>
    <w:rsid w:val="007350BE"/>
    <w:rsid w:val="007352DB"/>
    <w:rsid w:val="007353A4"/>
    <w:rsid w:val="00735418"/>
    <w:rsid w:val="00735431"/>
    <w:rsid w:val="00735ADC"/>
    <w:rsid w:val="00735B6A"/>
    <w:rsid w:val="00735C51"/>
    <w:rsid w:val="00735C97"/>
    <w:rsid w:val="00735D25"/>
    <w:rsid w:val="00735E63"/>
    <w:rsid w:val="00735EB8"/>
    <w:rsid w:val="0073616B"/>
    <w:rsid w:val="00736222"/>
    <w:rsid w:val="007362D7"/>
    <w:rsid w:val="00736647"/>
    <w:rsid w:val="0073669F"/>
    <w:rsid w:val="00736747"/>
    <w:rsid w:val="007368FD"/>
    <w:rsid w:val="00736A50"/>
    <w:rsid w:val="00736C66"/>
    <w:rsid w:val="00736CBC"/>
    <w:rsid w:val="00736E66"/>
    <w:rsid w:val="00737017"/>
    <w:rsid w:val="00737077"/>
    <w:rsid w:val="007370BF"/>
    <w:rsid w:val="007372AE"/>
    <w:rsid w:val="007377B9"/>
    <w:rsid w:val="00737888"/>
    <w:rsid w:val="00737920"/>
    <w:rsid w:val="00737B12"/>
    <w:rsid w:val="00737DCF"/>
    <w:rsid w:val="00740112"/>
    <w:rsid w:val="0074022B"/>
    <w:rsid w:val="007402ED"/>
    <w:rsid w:val="00740653"/>
    <w:rsid w:val="0074073D"/>
    <w:rsid w:val="00740BC0"/>
    <w:rsid w:val="00740CBA"/>
    <w:rsid w:val="00740CD9"/>
    <w:rsid w:val="00740F3E"/>
    <w:rsid w:val="0074102D"/>
    <w:rsid w:val="007416A9"/>
    <w:rsid w:val="007417BE"/>
    <w:rsid w:val="007419A3"/>
    <w:rsid w:val="00741BE0"/>
    <w:rsid w:val="00741C44"/>
    <w:rsid w:val="00741D1B"/>
    <w:rsid w:val="00741E0F"/>
    <w:rsid w:val="00741E39"/>
    <w:rsid w:val="00741ED3"/>
    <w:rsid w:val="00741FCF"/>
    <w:rsid w:val="0074216F"/>
    <w:rsid w:val="00742214"/>
    <w:rsid w:val="00742238"/>
    <w:rsid w:val="007423C2"/>
    <w:rsid w:val="00742617"/>
    <w:rsid w:val="00742714"/>
    <w:rsid w:val="007427D9"/>
    <w:rsid w:val="00742A34"/>
    <w:rsid w:val="00742A7D"/>
    <w:rsid w:val="00742CF4"/>
    <w:rsid w:val="00742E29"/>
    <w:rsid w:val="00743046"/>
    <w:rsid w:val="0074306C"/>
    <w:rsid w:val="0074366F"/>
    <w:rsid w:val="007436ED"/>
    <w:rsid w:val="00743AF1"/>
    <w:rsid w:val="00743BA0"/>
    <w:rsid w:val="00743D25"/>
    <w:rsid w:val="0074401C"/>
    <w:rsid w:val="007440D6"/>
    <w:rsid w:val="007441AF"/>
    <w:rsid w:val="00744231"/>
    <w:rsid w:val="0074443E"/>
    <w:rsid w:val="00744462"/>
    <w:rsid w:val="007444DF"/>
    <w:rsid w:val="007446B4"/>
    <w:rsid w:val="007449F5"/>
    <w:rsid w:val="00744D68"/>
    <w:rsid w:val="00744F3C"/>
    <w:rsid w:val="00744F92"/>
    <w:rsid w:val="00745265"/>
    <w:rsid w:val="007452B9"/>
    <w:rsid w:val="007452BA"/>
    <w:rsid w:val="007452C5"/>
    <w:rsid w:val="007454CD"/>
    <w:rsid w:val="00745602"/>
    <w:rsid w:val="0074565F"/>
    <w:rsid w:val="00745718"/>
    <w:rsid w:val="00745791"/>
    <w:rsid w:val="00745DE6"/>
    <w:rsid w:val="00745DE9"/>
    <w:rsid w:val="00745EC6"/>
    <w:rsid w:val="00745F16"/>
    <w:rsid w:val="007461AB"/>
    <w:rsid w:val="0074636E"/>
    <w:rsid w:val="00746585"/>
    <w:rsid w:val="00746674"/>
    <w:rsid w:val="00746840"/>
    <w:rsid w:val="0074688D"/>
    <w:rsid w:val="007468A5"/>
    <w:rsid w:val="0074695C"/>
    <w:rsid w:val="00746AEB"/>
    <w:rsid w:val="00746D48"/>
    <w:rsid w:val="00746DED"/>
    <w:rsid w:val="00747057"/>
    <w:rsid w:val="007471DD"/>
    <w:rsid w:val="00747328"/>
    <w:rsid w:val="00747339"/>
    <w:rsid w:val="0074734D"/>
    <w:rsid w:val="007479E5"/>
    <w:rsid w:val="00747C56"/>
    <w:rsid w:val="007502B8"/>
    <w:rsid w:val="00750422"/>
    <w:rsid w:val="0075060E"/>
    <w:rsid w:val="007509AC"/>
    <w:rsid w:val="00750B39"/>
    <w:rsid w:val="00750BDD"/>
    <w:rsid w:val="00750CB3"/>
    <w:rsid w:val="00750F79"/>
    <w:rsid w:val="00750FAC"/>
    <w:rsid w:val="007513C0"/>
    <w:rsid w:val="00751404"/>
    <w:rsid w:val="007514C6"/>
    <w:rsid w:val="007514C8"/>
    <w:rsid w:val="007515B8"/>
    <w:rsid w:val="00751A68"/>
    <w:rsid w:val="00751CFC"/>
    <w:rsid w:val="00751FB3"/>
    <w:rsid w:val="00752086"/>
    <w:rsid w:val="007524BE"/>
    <w:rsid w:val="007524CE"/>
    <w:rsid w:val="00752553"/>
    <w:rsid w:val="007525A1"/>
    <w:rsid w:val="0075281B"/>
    <w:rsid w:val="007528D7"/>
    <w:rsid w:val="00752AE2"/>
    <w:rsid w:val="00752DE5"/>
    <w:rsid w:val="00752E0D"/>
    <w:rsid w:val="00752E16"/>
    <w:rsid w:val="00753068"/>
    <w:rsid w:val="007532C3"/>
    <w:rsid w:val="007533C3"/>
    <w:rsid w:val="00753421"/>
    <w:rsid w:val="00753754"/>
    <w:rsid w:val="00753768"/>
    <w:rsid w:val="00753905"/>
    <w:rsid w:val="0075390C"/>
    <w:rsid w:val="00753B00"/>
    <w:rsid w:val="00754095"/>
    <w:rsid w:val="0075409A"/>
    <w:rsid w:val="00754198"/>
    <w:rsid w:val="00754593"/>
    <w:rsid w:val="0075460B"/>
    <w:rsid w:val="007548B1"/>
    <w:rsid w:val="00754E0B"/>
    <w:rsid w:val="00754FC0"/>
    <w:rsid w:val="00755039"/>
    <w:rsid w:val="007555F2"/>
    <w:rsid w:val="00755635"/>
    <w:rsid w:val="0075565A"/>
    <w:rsid w:val="007557A6"/>
    <w:rsid w:val="00755E0D"/>
    <w:rsid w:val="00755F3D"/>
    <w:rsid w:val="00756188"/>
    <w:rsid w:val="0075620C"/>
    <w:rsid w:val="00756270"/>
    <w:rsid w:val="00756285"/>
    <w:rsid w:val="00756334"/>
    <w:rsid w:val="00756335"/>
    <w:rsid w:val="007563EF"/>
    <w:rsid w:val="0075647D"/>
    <w:rsid w:val="0075653D"/>
    <w:rsid w:val="007565AF"/>
    <w:rsid w:val="00756603"/>
    <w:rsid w:val="0075670A"/>
    <w:rsid w:val="007568D8"/>
    <w:rsid w:val="00756935"/>
    <w:rsid w:val="00756A5A"/>
    <w:rsid w:val="00756BB5"/>
    <w:rsid w:val="00756BFD"/>
    <w:rsid w:val="00756E4F"/>
    <w:rsid w:val="00756E8F"/>
    <w:rsid w:val="00756F64"/>
    <w:rsid w:val="00757855"/>
    <w:rsid w:val="007601DE"/>
    <w:rsid w:val="007602A3"/>
    <w:rsid w:val="00760573"/>
    <w:rsid w:val="007607D0"/>
    <w:rsid w:val="00760816"/>
    <w:rsid w:val="00760840"/>
    <w:rsid w:val="00760974"/>
    <w:rsid w:val="00760ABA"/>
    <w:rsid w:val="00761018"/>
    <w:rsid w:val="007611B6"/>
    <w:rsid w:val="00761C85"/>
    <w:rsid w:val="00761DDD"/>
    <w:rsid w:val="00762186"/>
    <w:rsid w:val="007624AD"/>
    <w:rsid w:val="007625B2"/>
    <w:rsid w:val="00762600"/>
    <w:rsid w:val="007628C9"/>
    <w:rsid w:val="007629B6"/>
    <w:rsid w:val="007629ED"/>
    <w:rsid w:val="00762A8B"/>
    <w:rsid w:val="00762B85"/>
    <w:rsid w:val="00762C4F"/>
    <w:rsid w:val="00762DFD"/>
    <w:rsid w:val="00762E53"/>
    <w:rsid w:val="007635F2"/>
    <w:rsid w:val="00763604"/>
    <w:rsid w:val="007638C3"/>
    <w:rsid w:val="00763B68"/>
    <w:rsid w:val="00763BE3"/>
    <w:rsid w:val="00763D31"/>
    <w:rsid w:val="00763D78"/>
    <w:rsid w:val="00763E62"/>
    <w:rsid w:val="0076402B"/>
    <w:rsid w:val="007640CD"/>
    <w:rsid w:val="00764322"/>
    <w:rsid w:val="007643E7"/>
    <w:rsid w:val="00764554"/>
    <w:rsid w:val="00764665"/>
    <w:rsid w:val="00764712"/>
    <w:rsid w:val="0076485D"/>
    <w:rsid w:val="0076489B"/>
    <w:rsid w:val="007650B4"/>
    <w:rsid w:val="00765346"/>
    <w:rsid w:val="00765471"/>
    <w:rsid w:val="0076553D"/>
    <w:rsid w:val="00765807"/>
    <w:rsid w:val="0076580C"/>
    <w:rsid w:val="007659B1"/>
    <w:rsid w:val="00765C8E"/>
    <w:rsid w:val="00765E82"/>
    <w:rsid w:val="00765F42"/>
    <w:rsid w:val="00766170"/>
    <w:rsid w:val="0076619E"/>
    <w:rsid w:val="00766367"/>
    <w:rsid w:val="00766428"/>
    <w:rsid w:val="007664E4"/>
    <w:rsid w:val="007667CA"/>
    <w:rsid w:val="00766895"/>
    <w:rsid w:val="00766B4E"/>
    <w:rsid w:val="00766BE1"/>
    <w:rsid w:val="00766CA7"/>
    <w:rsid w:val="00767256"/>
    <w:rsid w:val="0076768B"/>
    <w:rsid w:val="00767804"/>
    <w:rsid w:val="007679EF"/>
    <w:rsid w:val="00767B45"/>
    <w:rsid w:val="00767B67"/>
    <w:rsid w:val="00767D1B"/>
    <w:rsid w:val="00767E34"/>
    <w:rsid w:val="00767F30"/>
    <w:rsid w:val="00770708"/>
    <w:rsid w:val="007709D6"/>
    <w:rsid w:val="00770A46"/>
    <w:rsid w:val="00770B0A"/>
    <w:rsid w:val="00770BCB"/>
    <w:rsid w:val="00770D30"/>
    <w:rsid w:val="00770DB1"/>
    <w:rsid w:val="00771174"/>
    <w:rsid w:val="0077128C"/>
    <w:rsid w:val="0077148D"/>
    <w:rsid w:val="007714E3"/>
    <w:rsid w:val="0077179F"/>
    <w:rsid w:val="0077184E"/>
    <w:rsid w:val="0077188F"/>
    <w:rsid w:val="00771991"/>
    <w:rsid w:val="00771B52"/>
    <w:rsid w:val="00771CAA"/>
    <w:rsid w:val="00771CD4"/>
    <w:rsid w:val="00771CF2"/>
    <w:rsid w:val="00771E2F"/>
    <w:rsid w:val="00771E55"/>
    <w:rsid w:val="00771EC4"/>
    <w:rsid w:val="0077228A"/>
    <w:rsid w:val="007722A9"/>
    <w:rsid w:val="0077249C"/>
    <w:rsid w:val="007725D7"/>
    <w:rsid w:val="007726CA"/>
    <w:rsid w:val="007729D7"/>
    <w:rsid w:val="00772B31"/>
    <w:rsid w:val="00772CF7"/>
    <w:rsid w:val="00772F87"/>
    <w:rsid w:val="00773158"/>
    <w:rsid w:val="007731A8"/>
    <w:rsid w:val="007731C0"/>
    <w:rsid w:val="007732D3"/>
    <w:rsid w:val="00773735"/>
    <w:rsid w:val="00773838"/>
    <w:rsid w:val="00773840"/>
    <w:rsid w:val="00773899"/>
    <w:rsid w:val="007739E9"/>
    <w:rsid w:val="00773CDB"/>
    <w:rsid w:val="0077422B"/>
    <w:rsid w:val="007742A7"/>
    <w:rsid w:val="00774348"/>
    <w:rsid w:val="0077481E"/>
    <w:rsid w:val="007748F8"/>
    <w:rsid w:val="00774E9A"/>
    <w:rsid w:val="00774F14"/>
    <w:rsid w:val="00774F36"/>
    <w:rsid w:val="00775143"/>
    <w:rsid w:val="00775292"/>
    <w:rsid w:val="007752C9"/>
    <w:rsid w:val="0077533F"/>
    <w:rsid w:val="007753A9"/>
    <w:rsid w:val="00775409"/>
    <w:rsid w:val="0077561B"/>
    <w:rsid w:val="0077573B"/>
    <w:rsid w:val="0077574D"/>
    <w:rsid w:val="0077577F"/>
    <w:rsid w:val="00775875"/>
    <w:rsid w:val="0077592E"/>
    <w:rsid w:val="00775A00"/>
    <w:rsid w:val="00775BE2"/>
    <w:rsid w:val="00775C16"/>
    <w:rsid w:val="00775C3A"/>
    <w:rsid w:val="00775F74"/>
    <w:rsid w:val="007761D7"/>
    <w:rsid w:val="00776454"/>
    <w:rsid w:val="007764C7"/>
    <w:rsid w:val="0077663C"/>
    <w:rsid w:val="00776972"/>
    <w:rsid w:val="007769CA"/>
    <w:rsid w:val="00776AE8"/>
    <w:rsid w:val="00776BBC"/>
    <w:rsid w:val="00776D94"/>
    <w:rsid w:val="00776E6D"/>
    <w:rsid w:val="007772F0"/>
    <w:rsid w:val="00777505"/>
    <w:rsid w:val="007775C7"/>
    <w:rsid w:val="007775FA"/>
    <w:rsid w:val="0077787D"/>
    <w:rsid w:val="00777880"/>
    <w:rsid w:val="007778C8"/>
    <w:rsid w:val="00777B59"/>
    <w:rsid w:val="00780060"/>
    <w:rsid w:val="007800F8"/>
    <w:rsid w:val="007802AE"/>
    <w:rsid w:val="00780310"/>
    <w:rsid w:val="00780313"/>
    <w:rsid w:val="007803A6"/>
    <w:rsid w:val="007804CB"/>
    <w:rsid w:val="007806BF"/>
    <w:rsid w:val="00780771"/>
    <w:rsid w:val="00780903"/>
    <w:rsid w:val="00780935"/>
    <w:rsid w:val="00780B57"/>
    <w:rsid w:val="00780B9E"/>
    <w:rsid w:val="00780BFC"/>
    <w:rsid w:val="00780D86"/>
    <w:rsid w:val="00780DC1"/>
    <w:rsid w:val="007810DF"/>
    <w:rsid w:val="00781146"/>
    <w:rsid w:val="007813B5"/>
    <w:rsid w:val="007815E3"/>
    <w:rsid w:val="007817F3"/>
    <w:rsid w:val="0078189A"/>
    <w:rsid w:val="007819A6"/>
    <w:rsid w:val="00781AB0"/>
    <w:rsid w:val="00781CA5"/>
    <w:rsid w:val="00781DFF"/>
    <w:rsid w:val="00781E44"/>
    <w:rsid w:val="00781FE1"/>
    <w:rsid w:val="007823F1"/>
    <w:rsid w:val="0078254B"/>
    <w:rsid w:val="00782601"/>
    <w:rsid w:val="00782799"/>
    <w:rsid w:val="00782805"/>
    <w:rsid w:val="00782941"/>
    <w:rsid w:val="00782B34"/>
    <w:rsid w:val="00782C92"/>
    <w:rsid w:val="00782D70"/>
    <w:rsid w:val="00783030"/>
    <w:rsid w:val="0078342B"/>
    <w:rsid w:val="007834DC"/>
    <w:rsid w:val="0078375F"/>
    <w:rsid w:val="007837B4"/>
    <w:rsid w:val="00783884"/>
    <w:rsid w:val="00783979"/>
    <w:rsid w:val="00783B94"/>
    <w:rsid w:val="00783C23"/>
    <w:rsid w:val="0078452B"/>
    <w:rsid w:val="007847D1"/>
    <w:rsid w:val="007847DB"/>
    <w:rsid w:val="00784AC6"/>
    <w:rsid w:val="00784B5E"/>
    <w:rsid w:val="00784B7A"/>
    <w:rsid w:val="00784B95"/>
    <w:rsid w:val="00784BC3"/>
    <w:rsid w:val="00784C90"/>
    <w:rsid w:val="00784EF2"/>
    <w:rsid w:val="00785031"/>
    <w:rsid w:val="007851B3"/>
    <w:rsid w:val="0078530D"/>
    <w:rsid w:val="00785459"/>
    <w:rsid w:val="007854EC"/>
    <w:rsid w:val="00785630"/>
    <w:rsid w:val="0078563F"/>
    <w:rsid w:val="007856EE"/>
    <w:rsid w:val="00785747"/>
    <w:rsid w:val="007859BC"/>
    <w:rsid w:val="00785A00"/>
    <w:rsid w:val="00785A53"/>
    <w:rsid w:val="00785C57"/>
    <w:rsid w:val="0078616C"/>
    <w:rsid w:val="007861EF"/>
    <w:rsid w:val="00786393"/>
    <w:rsid w:val="007863D8"/>
    <w:rsid w:val="007865B2"/>
    <w:rsid w:val="00786661"/>
    <w:rsid w:val="00786D11"/>
    <w:rsid w:val="00786EC3"/>
    <w:rsid w:val="00787087"/>
    <w:rsid w:val="007870AF"/>
    <w:rsid w:val="007871B9"/>
    <w:rsid w:val="0078742E"/>
    <w:rsid w:val="00787573"/>
    <w:rsid w:val="007875DE"/>
    <w:rsid w:val="00787641"/>
    <w:rsid w:val="007879DB"/>
    <w:rsid w:val="00787ECD"/>
    <w:rsid w:val="00787FDB"/>
    <w:rsid w:val="007900BE"/>
    <w:rsid w:val="00790285"/>
    <w:rsid w:val="00790787"/>
    <w:rsid w:val="007907C1"/>
    <w:rsid w:val="0079087B"/>
    <w:rsid w:val="007909B2"/>
    <w:rsid w:val="007909D7"/>
    <w:rsid w:val="00790CAE"/>
    <w:rsid w:val="00790E4E"/>
    <w:rsid w:val="00790F8D"/>
    <w:rsid w:val="00791020"/>
    <w:rsid w:val="007912AF"/>
    <w:rsid w:val="00791872"/>
    <w:rsid w:val="007918F5"/>
    <w:rsid w:val="00791940"/>
    <w:rsid w:val="00791B63"/>
    <w:rsid w:val="00791C4C"/>
    <w:rsid w:val="00791C50"/>
    <w:rsid w:val="00791C82"/>
    <w:rsid w:val="007920B8"/>
    <w:rsid w:val="00792112"/>
    <w:rsid w:val="00792218"/>
    <w:rsid w:val="00792450"/>
    <w:rsid w:val="00792A95"/>
    <w:rsid w:val="007930DB"/>
    <w:rsid w:val="0079328B"/>
    <w:rsid w:val="00793316"/>
    <w:rsid w:val="0079347F"/>
    <w:rsid w:val="007934BA"/>
    <w:rsid w:val="007936ED"/>
    <w:rsid w:val="0079384E"/>
    <w:rsid w:val="00793A01"/>
    <w:rsid w:val="007940C2"/>
    <w:rsid w:val="007941A4"/>
    <w:rsid w:val="007948B9"/>
    <w:rsid w:val="00794ABC"/>
    <w:rsid w:val="00794B33"/>
    <w:rsid w:val="0079502B"/>
    <w:rsid w:val="00795557"/>
    <w:rsid w:val="0079560C"/>
    <w:rsid w:val="0079573A"/>
    <w:rsid w:val="00795777"/>
    <w:rsid w:val="007958EF"/>
    <w:rsid w:val="00795C8B"/>
    <w:rsid w:val="00795D62"/>
    <w:rsid w:val="00795D88"/>
    <w:rsid w:val="0079609E"/>
    <w:rsid w:val="00796159"/>
    <w:rsid w:val="0079661B"/>
    <w:rsid w:val="00796695"/>
    <w:rsid w:val="007967C9"/>
    <w:rsid w:val="0079744D"/>
    <w:rsid w:val="007977A6"/>
    <w:rsid w:val="0079792E"/>
    <w:rsid w:val="00797936"/>
    <w:rsid w:val="00797A45"/>
    <w:rsid w:val="00797BEC"/>
    <w:rsid w:val="00797CA8"/>
    <w:rsid w:val="00797E4E"/>
    <w:rsid w:val="00797E66"/>
    <w:rsid w:val="007A0124"/>
    <w:rsid w:val="007A0138"/>
    <w:rsid w:val="007A024A"/>
    <w:rsid w:val="007A0255"/>
    <w:rsid w:val="007A0581"/>
    <w:rsid w:val="007A05D4"/>
    <w:rsid w:val="007A0661"/>
    <w:rsid w:val="007A068A"/>
    <w:rsid w:val="007A0743"/>
    <w:rsid w:val="007A0820"/>
    <w:rsid w:val="007A0937"/>
    <w:rsid w:val="007A09C0"/>
    <w:rsid w:val="007A0C99"/>
    <w:rsid w:val="007A0DBD"/>
    <w:rsid w:val="007A0EF4"/>
    <w:rsid w:val="007A10B4"/>
    <w:rsid w:val="007A1158"/>
    <w:rsid w:val="007A123B"/>
    <w:rsid w:val="007A14F9"/>
    <w:rsid w:val="007A17E1"/>
    <w:rsid w:val="007A1ACE"/>
    <w:rsid w:val="007A1B08"/>
    <w:rsid w:val="007A1C41"/>
    <w:rsid w:val="007A1CC5"/>
    <w:rsid w:val="007A1FFA"/>
    <w:rsid w:val="007A201D"/>
    <w:rsid w:val="007A232C"/>
    <w:rsid w:val="007A27E0"/>
    <w:rsid w:val="007A29DB"/>
    <w:rsid w:val="007A29F8"/>
    <w:rsid w:val="007A2A3E"/>
    <w:rsid w:val="007A2AF2"/>
    <w:rsid w:val="007A2BCA"/>
    <w:rsid w:val="007A2D2D"/>
    <w:rsid w:val="007A30EB"/>
    <w:rsid w:val="007A329F"/>
    <w:rsid w:val="007A3564"/>
    <w:rsid w:val="007A3D71"/>
    <w:rsid w:val="007A40F2"/>
    <w:rsid w:val="007A415D"/>
    <w:rsid w:val="007A4381"/>
    <w:rsid w:val="007A45AA"/>
    <w:rsid w:val="007A4752"/>
    <w:rsid w:val="007A486D"/>
    <w:rsid w:val="007A4B25"/>
    <w:rsid w:val="007A4D18"/>
    <w:rsid w:val="007A4D89"/>
    <w:rsid w:val="007A506A"/>
    <w:rsid w:val="007A50BD"/>
    <w:rsid w:val="007A511D"/>
    <w:rsid w:val="007A546E"/>
    <w:rsid w:val="007A5602"/>
    <w:rsid w:val="007A5616"/>
    <w:rsid w:val="007A5995"/>
    <w:rsid w:val="007A59CF"/>
    <w:rsid w:val="007A5E68"/>
    <w:rsid w:val="007A5E8B"/>
    <w:rsid w:val="007A5FD7"/>
    <w:rsid w:val="007A6329"/>
    <w:rsid w:val="007A651D"/>
    <w:rsid w:val="007A66B4"/>
    <w:rsid w:val="007A66C0"/>
    <w:rsid w:val="007A66D9"/>
    <w:rsid w:val="007A6748"/>
    <w:rsid w:val="007A682A"/>
    <w:rsid w:val="007A6846"/>
    <w:rsid w:val="007A69BC"/>
    <w:rsid w:val="007A6A14"/>
    <w:rsid w:val="007A6D7F"/>
    <w:rsid w:val="007A7239"/>
    <w:rsid w:val="007A7341"/>
    <w:rsid w:val="007A737C"/>
    <w:rsid w:val="007A73C4"/>
    <w:rsid w:val="007A74C3"/>
    <w:rsid w:val="007A7542"/>
    <w:rsid w:val="007A759E"/>
    <w:rsid w:val="007A75FC"/>
    <w:rsid w:val="007A7722"/>
    <w:rsid w:val="007A798A"/>
    <w:rsid w:val="007A79F7"/>
    <w:rsid w:val="007A7C3C"/>
    <w:rsid w:val="007A7D8A"/>
    <w:rsid w:val="007A7E19"/>
    <w:rsid w:val="007A7E5B"/>
    <w:rsid w:val="007B001F"/>
    <w:rsid w:val="007B00A8"/>
    <w:rsid w:val="007B00B4"/>
    <w:rsid w:val="007B0118"/>
    <w:rsid w:val="007B0138"/>
    <w:rsid w:val="007B0419"/>
    <w:rsid w:val="007B0509"/>
    <w:rsid w:val="007B0542"/>
    <w:rsid w:val="007B085F"/>
    <w:rsid w:val="007B08B1"/>
    <w:rsid w:val="007B0CF6"/>
    <w:rsid w:val="007B0D92"/>
    <w:rsid w:val="007B0FBC"/>
    <w:rsid w:val="007B10F9"/>
    <w:rsid w:val="007B1199"/>
    <w:rsid w:val="007B13EF"/>
    <w:rsid w:val="007B1469"/>
    <w:rsid w:val="007B16B5"/>
    <w:rsid w:val="007B16FC"/>
    <w:rsid w:val="007B17FA"/>
    <w:rsid w:val="007B1901"/>
    <w:rsid w:val="007B1943"/>
    <w:rsid w:val="007B19B8"/>
    <w:rsid w:val="007B1C27"/>
    <w:rsid w:val="007B249A"/>
    <w:rsid w:val="007B24E0"/>
    <w:rsid w:val="007B25B6"/>
    <w:rsid w:val="007B278E"/>
    <w:rsid w:val="007B2914"/>
    <w:rsid w:val="007B2A26"/>
    <w:rsid w:val="007B2B5E"/>
    <w:rsid w:val="007B2C30"/>
    <w:rsid w:val="007B2DDF"/>
    <w:rsid w:val="007B2EE3"/>
    <w:rsid w:val="007B30A7"/>
    <w:rsid w:val="007B32EA"/>
    <w:rsid w:val="007B3683"/>
    <w:rsid w:val="007B3704"/>
    <w:rsid w:val="007B37CA"/>
    <w:rsid w:val="007B38F9"/>
    <w:rsid w:val="007B3E61"/>
    <w:rsid w:val="007B3FC8"/>
    <w:rsid w:val="007B4232"/>
    <w:rsid w:val="007B4A33"/>
    <w:rsid w:val="007B4B1F"/>
    <w:rsid w:val="007B519B"/>
    <w:rsid w:val="007B51CD"/>
    <w:rsid w:val="007B55CF"/>
    <w:rsid w:val="007B572A"/>
    <w:rsid w:val="007B58AC"/>
    <w:rsid w:val="007B59DC"/>
    <w:rsid w:val="007B5A7D"/>
    <w:rsid w:val="007B5ED8"/>
    <w:rsid w:val="007B6519"/>
    <w:rsid w:val="007B652C"/>
    <w:rsid w:val="007B6931"/>
    <w:rsid w:val="007B6997"/>
    <w:rsid w:val="007B6AED"/>
    <w:rsid w:val="007B6B66"/>
    <w:rsid w:val="007B6C0F"/>
    <w:rsid w:val="007B6C65"/>
    <w:rsid w:val="007B6D46"/>
    <w:rsid w:val="007B6EFE"/>
    <w:rsid w:val="007B70B1"/>
    <w:rsid w:val="007B71AE"/>
    <w:rsid w:val="007B7248"/>
    <w:rsid w:val="007B74A5"/>
    <w:rsid w:val="007B7CDE"/>
    <w:rsid w:val="007B7E02"/>
    <w:rsid w:val="007C00A0"/>
    <w:rsid w:val="007C015C"/>
    <w:rsid w:val="007C02A8"/>
    <w:rsid w:val="007C0A2C"/>
    <w:rsid w:val="007C0B60"/>
    <w:rsid w:val="007C0BD1"/>
    <w:rsid w:val="007C0DED"/>
    <w:rsid w:val="007C100F"/>
    <w:rsid w:val="007C127A"/>
    <w:rsid w:val="007C13B7"/>
    <w:rsid w:val="007C14D8"/>
    <w:rsid w:val="007C1670"/>
    <w:rsid w:val="007C1756"/>
    <w:rsid w:val="007C1769"/>
    <w:rsid w:val="007C18A9"/>
    <w:rsid w:val="007C1948"/>
    <w:rsid w:val="007C19A8"/>
    <w:rsid w:val="007C1BE7"/>
    <w:rsid w:val="007C216A"/>
    <w:rsid w:val="007C23BE"/>
    <w:rsid w:val="007C240F"/>
    <w:rsid w:val="007C24DB"/>
    <w:rsid w:val="007C26AD"/>
    <w:rsid w:val="007C294C"/>
    <w:rsid w:val="007C2A93"/>
    <w:rsid w:val="007C2C45"/>
    <w:rsid w:val="007C2C8B"/>
    <w:rsid w:val="007C3400"/>
    <w:rsid w:val="007C3509"/>
    <w:rsid w:val="007C3815"/>
    <w:rsid w:val="007C38C9"/>
    <w:rsid w:val="007C3BE5"/>
    <w:rsid w:val="007C3F6C"/>
    <w:rsid w:val="007C3FA2"/>
    <w:rsid w:val="007C41AD"/>
    <w:rsid w:val="007C4266"/>
    <w:rsid w:val="007C428B"/>
    <w:rsid w:val="007C432B"/>
    <w:rsid w:val="007C4457"/>
    <w:rsid w:val="007C44A6"/>
    <w:rsid w:val="007C4547"/>
    <w:rsid w:val="007C458E"/>
    <w:rsid w:val="007C46FD"/>
    <w:rsid w:val="007C492C"/>
    <w:rsid w:val="007C4B12"/>
    <w:rsid w:val="007C4C63"/>
    <w:rsid w:val="007C4CF8"/>
    <w:rsid w:val="007C4E2F"/>
    <w:rsid w:val="007C4F92"/>
    <w:rsid w:val="007C5009"/>
    <w:rsid w:val="007C5120"/>
    <w:rsid w:val="007C5329"/>
    <w:rsid w:val="007C53A8"/>
    <w:rsid w:val="007C53DF"/>
    <w:rsid w:val="007C585B"/>
    <w:rsid w:val="007C5889"/>
    <w:rsid w:val="007C58CF"/>
    <w:rsid w:val="007C5A9C"/>
    <w:rsid w:val="007C5CCA"/>
    <w:rsid w:val="007C5E3F"/>
    <w:rsid w:val="007C5F06"/>
    <w:rsid w:val="007C6025"/>
    <w:rsid w:val="007C602D"/>
    <w:rsid w:val="007C60D4"/>
    <w:rsid w:val="007C62CE"/>
    <w:rsid w:val="007C646E"/>
    <w:rsid w:val="007C64A4"/>
    <w:rsid w:val="007C6503"/>
    <w:rsid w:val="007C6530"/>
    <w:rsid w:val="007C6633"/>
    <w:rsid w:val="007C680B"/>
    <w:rsid w:val="007C6864"/>
    <w:rsid w:val="007C6AAA"/>
    <w:rsid w:val="007C6D7B"/>
    <w:rsid w:val="007C6E6B"/>
    <w:rsid w:val="007C6E6D"/>
    <w:rsid w:val="007C70C3"/>
    <w:rsid w:val="007C711C"/>
    <w:rsid w:val="007C7327"/>
    <w:rsid w:val="007C7365"/>
    <w:rsid w:val="007C73D8"/>
    <w:rsid w:val="007C73F9"/>
    <w:rsid w:val="007C74F7"/>
    <w:rsid w:val="007C750F"/>
    <w:rsid w:val="007C752B"/>
    <w:rsid w:val="007C7789"/>
    <w:rsid w:val="007C7D9E"/>
    <w:rsid w:val="007C7DD6"/>
    <w:rsid w:val="007D012D"/>
    <w:rsid w:val="007D0575"/>
    <w:rsid w:val="007D05FF"/>
    <w:rsid w:val="007D07EC"/>
    <w:rsid w:val="007D0860"/>
    <w:rsid w:val="007D0E50"/>
    <w:rsid w:val="007D0EF6"/>
    <w:rsid w:val="007D10E1"/>
    <w:rsid w:val="007D1383"/>
    <w:rsid w:val="007D15B8"/>
    <w:rsid w:val="007D19B4"/>
    <w:rsid w:val="007D1C34"/>
    <w:rsid w:val="007D1FD8"/>
    <w:rsid w:val="007D2083"/>
    <w:rsid w:val="007D2118"/>
    <w:rsid w:val="007D279F"/>
    <w:rsid w:val="007D291D"/>
    <w:rsid w:val="007D2B98"/>
    <w:rsid w:val="007D2BBE"/>
    <w:rsid w:val="007D2D85"/>
    <w:rsid w:val="007D2DFE"/>
    <w:rsid w:val="007D2FEA"/>
    <w:rsid w:val="007D3052"/>
    <w:rsid w:val="007D3172"/>
    <w:rsid w:val="007D31AD"/>
    <w:rsid w:val="007D31D8"/>
    <w:rsid w:val="007D34BD"/>
    <w:rsid w:val="007D3528"/>
    <w:rsid w:val="007D38A4"/>
    <w:rsid w:val="007D38FB"/>
    <w:rsid w:val="007D39CA"/>
    <w:rsid w:val="007D3DC9"/>
    <w:rsid w:val="007D3E92"/>
    <w:rsid w:val="007D3FA3"/>
    <w:rsid w:val="007D45BA"/>
    <w:rsid w:val="007D4985"/>
    <w:rsid w:val="007D4C31"/>
    <w:rsid w:val="007D4C7D"/>
    <w:rsid w:val="007D4DFE"/>
    <w:rsid w:val="007D4FBC"/>
    <w:rsid w:val="007D5411"/>
    <w:rsid w:val="007D5572"/>
    <w:rsid w:val="007D57E9"/>
    <w:rsid w:val="007D5914"/>
    <w:rsid w:val="007D59EA"/>
    <w:rsid w:val="007D5A9C"/>
    <w:rsid w:val="007D5CB6"/>
    <w:rsid w:val="007D5D56"/>
    <w:rsid w:val="007D5EA8"/>
    <w:rsid w:val="007D5FC7"/>
    <w:rsid w:val="007D605D"/>
    <w:rsid w:val="007D6332"/>
    <w:rsid w:val="007D64BA"/>
    <w:rsid w:val="007D6509"/>
    <w:rsid w:val="007D6887"/>
    <w:rsid w:val="007D6998"/>
    <w:rsid w:val="007D6A87"/>
    <w:rsid w:val="007D6AA1"/>
    <w:rsid w:val="007D6C1B"/>
    <w:rsid w:val="007D6DDF"/>
    <w:rsid w:val="007D6EEE"/>
    <w:rsid w:val="007D702D"/>
    <w:rsid w:val="007D7084"/>
    <w:rsid w:val="007D70AE"/>
    <w:rsid w:val="007D7194"/>
    <w:rsid w:val="007D747C"/>
    <w:rsid w:val="007D74EE"/>
    <w:rsid w:val="007D7ACA"/>
    <w:rsid w:val="007D7E72"/>
    <w:rsid w:val="007D7F07"/>
    <w:rsid w:val="007D7F0E"/>
    <w:rsid w:val="007E0066"/>
    <w:rsid w:val="007E0246"/>
    <w:rsid w:val="007E0647"/>
    <w:rsid w:val="007E086F"/>
    <w:rsid w:val="007E096C"/>
    <w:rsid w:val="007E0A88"/>
    <w:rsid w:val="007E0B2C"/>
    <w:rsid w:val="007E0EFB"/>
    <w:rsid w:val="007E0F15"/>
    <w:rsid w:val="007E12D8"/>
    <w:rsid w:val="007E1678"/>
    <w:rsid w:val="007E1884"/>
    <w:rsid w:val="007E189B"/>
    <w:rsid w:val="007E19AA"/>
    <w:rsid w:val="007E1C1F"/>
    <w:rsid w:val="007E2137"/>
    <w:rsid w:val="007E2169"/>
    <w:rsid w:val="007E21C0"/>
    <w:rsid w:val="007E23D0"/>
    <w:rsid w:val="007E2412"/>
    <w:rsid w:val="007E2418"/>
    <w:rsid w:val="007E24EE"/>
    <w:rsid w:val="007E272D"/>
    <w:rsid w:val="007E276B"/>
    <w:rsid w:val="007E29FF"/>
    <w:rsid w:val="007E2A40"/>
    <w:rsid w:val="007E2CE5"/>
    <w:rsid w:val="007E2D4C"/>
    <w:rsid w:val="007E30C2"/>
    <w:rsid w:val="007E32E4"/>
    <w:rsid w:val="007E349B"/>
    <w:rsid w:val="007E3714"/>
    <w:rsid w:val="007E379D"/>
    <w:rsid w:val="007E38EF"/>
    <w:rsid w:val="007E398A"/>
    <w:rsid w:val="007E39B0"/>
    <w:rsid w:val="007E3B89"/>
    <w:rsid w:val="007E3BE9"/>
    <w:rsid w:val="007E3E23"/>
    <w:rsid w:val="007E3E31"/>
    <w:rsid w:val="007E40DA"/>
    <w:rsid w:val="007E41CC"/>
    <w:rsid w:val="007E421B"/>
    <w:rsid w:val="007E4399"/>
    <w:rsid w:val="007E45FA"/>
    <w:rsid w:val="007E47E9"/>
    <w:rsid w:val="007E4805"/>
    <w:rsid w:val="007E4854"/>
    <w:rsid w:val="007E4AF5"/>
    <w:rsid w:val="007E4B03"/>
    <w:rsid w:val="007E4BEC"/>
    <w:rsid w:val="007E4D89"/>
    <w:rsid w:val="007E4E3C"/>
    <w:rsid w:val="007E4E97"/>
    <w:rsid w:val="007E5383"/>
    <w:rsid w:val="007E553A"/>
    <w:rsid w:val="007E5591"/>
    <w:rsid w:val="007E56C7"/>
    <w:rsid w:val="007E5879"/>
    <w:rsid w:val="007E5DC3"/>
    <w:rsid w:val="007E5EBD"/>
    <w:rsid w:val="007E5F49"/>
    <w:rsid w:val="007E5F5A"/>
    <w:rsid w:val="007E5FE4"/>
    <w:rsid w:val="007E6385"/>
    <w:rsid w:val="007E6849"/>
    <w:rsid w:val="007E6916"/>
    <w:rsid w:val="007E6984"/>
    <w:rsid w:val="007E6AC5"/>
    <w:rsid w:val="007E72CC"/>
    <w:rsid w:val="007E73A1"/>
    <w:rsid w:val="007E73ED"/>
    <w:rsid w:val="007E7536"/>
    <w:rsid w:val="007E75D9"/>
    <w:rsid w:val="007E76FC"/>
    <w:rsid w:val="007E780A"/>
    <w:rsid w:val="007E7816"/>
    <w:rsid w:val="007E789D"/>
    <w:rsid w:val="007E7A0E"/>
    <w:rsid w:val="007E7E93"/>
    <w:rsid w:val="007F00FA"/>
    <w:rsid w:val="007F01DA"/>
    <w:rsid w:val="007F01FF"/>
    <w:rsid w:val="007F0274"/>
    <w:rsid w:val="007F037C"/>
    <w:rsid w:val="007F0638"/>
    <w:rsid w:val="007F0800"/>
    <w:rsid w:val="007F0928"/>
    <w:rsid w:val="007F0C69"/>
    <w:rsid w:val="007F0CDA"/>
    <w:rsid w:val="007F0F94"/>
    <w:rsid w:val="007F1002"/>
    <w:rsid w:val="007F1087"/>
    <w:rsid w:val="007F11B5"/>
    <w:rsid w:val="007F12A3"/>
    <w:rsid w:val="007F1405"/>
    <w:rsid w:val="007F142D"/>
    <w:rsid w:val="007F1498"/>
    <w:rsid w:val="007F168A"/>
    <w:rsid w:val="007F1A54"/>
    <w:rsid w:val="007F1A79"/>
    <w:rsid w:val="007F1D7B"/>
    <w:rsid w:val="007F2099"/>
    <w:rsid w:val="007F21CB"/>
    <w:rsid w:val="007F24E6"/>
    <w:rsid w:val="007F272B"/>
    <w:rsid w:val="007F291D"/>
    <w:rsid w:val="007F2A1B"/>
    <w:rsid w:val="007F2C64"/>
    <w:rsid w:val="007F2F64"/>
    <w:rsid w:val="007F30AA"/>
    <w:rsid w:val="007F3138"/>
    <w:rsid w:val="007F32FC"/>
    <w:rsid w:val="007F34ED"/>
    <w:rsid w:val="007F3522"/>
    <w:rsid w:val="007F3894"/>
    <w:rsid w:val="007F38D8"/>
    <w:rsid w:val="007F3BD0"/>
    <w:rsid w:val="007F40F6"/>
    <w:rsid w:val="007F4117"/>
    <w:rsid w:val="007F475B"/>
    <w:rsid w:val="007F47C9"/>
    <w:rsid w:val="007F485C"/>
    <w:rsid w:val="007F4908"/>
    <w:rsid w:val="007F4D89"/>
    <w:rsid w:val="007F4E64"/>
    <w:rsid w:val="007F4F68"/>
    <w:rsid w:val="007F5197"/>
    <w:rsid w:val="007F5307"/>
    <w:rsid w:val="007F559C"/>
    <w:rsid w:val="007F55C6"/>
    <w:rsid w:val="007F575F"/>
    <w:rsid w:val="007F5A7D"/>
    <w:rsid w:val="007F5C3F"/>
    <w:rsid w:val="007F609F"/>
    <w:rsid w:val="007F614E"/>
    <w:rsid w:val="007F656F"/>
    <w:rsid w:val="007F664C"/>
    <w:rsid w:val="007F67E6"/>
    <w:rsid w:val="007F6837"/>
    <w:rsid w:val="007F68B4"/>
    <w:rsid w:val="007F6983"/>
    <w:rsid w:val="007F6A65"/>
    <w:rsid w:val="007F727B"/>
    <w:rsid w:val="007F73DA"/>
    <w:rsid w:val="007F77C4"/>
    <w:rsid w:val="007F7CF0"/>
    <w:rsid w:val="007F7CF5"/>
    <w:rsid w:val="007F7E8A"/>
    <w:rsid w:val="00800075"/>
    <w:rsid w:val="0080022D"/>
    <w:rsid w:val="008003AA"/>
    <w:rsid w:val="00800544"/>
    <w:rsid w:val="00800756"/>
    <w:rsid w:val="00800852"/>
    <w:rsid w:val="008008EF"/>
    <w:rsid w:val="00800AF0"/>
    <w:rsid w:val="00800B58"/>
    <w:rsid w:val="00801157"/>
    <w:rsid w:val="0080119B"/>
    <w:rsid w:val="0080127A"/>
    <w:rsid w:val="00801605"/>
    <w:rsid w:val="00801D2F"/>
    <w:rsid w:val="00801F1B"/>
    <w:rsid w:val="008021D1"/>
    <w:rsid w:val="00802383"/>
    <w:rsid w:val="008024C3"/>
    <w:rsid w:val="00802604"/>
    <w:rsid w:val="00802724"/>
    <w:rsid w:val="00802967"/>
    <w:rsid w:val="00802B1D"/>
    <w:rsid w:val="00802C89"/>
    <w:rsid w:val="00802D06"/>
    <w:rsid w:val="00802DE8"/>
    <w:rsid w:val="00802E39"/>
    <w:rsid w:val="00802E80"/>
    <w:rsid w:val="008031C9"/>
    <w:rsid w:val="008031EB"/>
    <w:rsid w:val="00803483"/>
    <w:rsid w:val="008037DD"/>
    <w:rsid w:val="008038F1"/>
    <w:rsid w:val="00803954"/>
    <w:rsid w:val="00803CDD"/>
    <w:rsid w:val="00803D2A"/>
    <w:rsid w:val="00803D91"/>
    <w:rsid w:val="00803E18"/>
    <w:rsid w:val="00803F47"/>
    <w:rsid w:val="0080412F"/>
    <w:rsid w:val="0080423C"/>
    <w:rsid w:val="00804487"/>
    <w:rsid w:val="008044F4"/>
    <w:rsid w:val="00804534"/>
    <w:rsid w:val="0080464D"/>
    <w:rsid w:val="00804749"/>
    <w:rsid w:val="008048EC"/>
    <w:rsid w:val="00804A63"/>
    <w:rsid w:val="00804C8B"/>
    <w:rsid w:val="00804D49"/>
    <w:rsid w:val="00804D6F"/>
    <w:rsid w:val="008050B4"/>
    <w:rsid w:val="0080525D"/>
    <w:rsid w:val="00805416"/>
    <w:rsid w:val="008054F6"/>
    <w:rsid w:val="008055B6"/>
    <w:rsid w:val="0080563F"/>
    <w:rsid w:val="00805793"/>
    <w:rsid w:val="0080583D"/>
    <w:rsid w:val="008058BD"/>
    <w:rsid w:val="008058C5"/>
    <w:rsid w:val="008058FF"/>
    <w:rsid w:val="00805FCE"/>
    <w:rsid w:val="0080609A"/>
    <w:rsid w:val="00806232"/>
    <w:rsid w:val="00806471"/>
    <w:rsid w:val="008067EC"/>
    <w:rsid w:val="00806A31"/>
    <w:rsid w:val="00806B3F"/>
    <w:rsid w:val="00806BB4"/>
    <w:rsid w:val="00806C31"/>
    <w:rsid w:val="00806C62"/>
    <w:rsid w:val="00806C6E"/>
    <w:rsid w:val="00806D31"/>
    <w:rsid w:val="00807AE8"/>
    <w:rsid w:val="00807B42"/>
    <w:rsid w:val="00807D40"/>
    <w:rsid w:val="008100E8"/>
    <w:rsid w:val="00810241"/>
    <w:rsid w:val="0081025A"/>
    <w:rsid w:val="0081027E"/>
    <w:rsid w:val="00810292"/>
    <w:rsid w:val="008102EF"/>
    <w:rsid w:val="0081038E"/>
    <w:rsid w:val="0081052A"/>
    <w:rsid w:val="00810568"/>
    <w:rsid w:val="008107BD"/>
    <w:rsid w:val="008109F9"/>
    <w:rsid w:val="00810B20"/>
    <w:rsid w:val="00810F46"/>
    <w:rsid w:val="00811356"/>
    <w:rsid w:val="008113D4"/>
    <w:rsid w:val="00811A30"/>
    <w:rsid w:val="00811B43"/>
    <w:rsid w:val="00811BDB"/>
    <w:rsid w:val="00811C2E"/>
    <w:rsid w:val="00812265"/>
    <w:rsid w:val="008125F5"/>
    <w:rsid w:val="00812774"/>
    <w:rsid w:val="00812828"/>
    <w:rsid w:val="00812835"/>
    <w:rsid w:val="0081295A"/>
    <w:rsid w:val="0081295E"/>
    <w:rsid w:val="00812ADD"/>
    <w:rsid w:val="00812AEA"/>
    <w:rsid w:val="00813196"/>
    <w:rsid w:val="008133D6"/>
    <w:rsid w:val="008135EB"/>
    <w:rsid w:val="0081376E"/>
    <w:rsid w:val="008138CB"/>
    <w:rsid w:val="00813F90"/>
    <w:rsid w:val="00813FF4"/>
    <w:rsid w:val="00814430"/>
    <w:rsid w:val="00814A4C"/>
    <w:rsid w:val="00814AE1"/>
    <w:rsid w:val="00814F4F"/>
    <w:rsid w:val="00814F84"/>
    <w:rsid w:val="00814FB1"/>
    <w:rsid w:val="00815218"/>
    <w:rsid w:val="008157AA"/>
    <w:rsid w:val="00815A0F"/>
    <w:rsid w:val="00815EDF"/>
    <w:rsid w:val="00815EE5"/>
    <w:rsid w:val="0081601A"/>
    <w:rsid w:val="008160DB"/>
    <w:rsid w:val="0081614B"/>
    <w:rsid w:val="008161C4"/>
    <w:rsid w:val="00816317"/>
    <w:rsid w:val="00816401"/>
    <w:rsid w:val="0081642C"/>
    <w:rsid w:val="0081665A"/>
    <w:rsid w:val="008167D0"/>
    <w:rsid w:val="00816886"/>
    <w:rsid w:val="0081692E"/>
    <w:rsid w:val="00816B42"/>
    <w:rsid w:val="008170EC"/>
    <w:rsid w:val="00817242"/>
    <w:rsid w:val="00817345"/>
    <w:rsid w:val="00817655"/>
    <w:rsid w:val="00817973"/>
    <w:rsid w:val="00817E37"/>
    <w:rsid w:val="00820095"/>
    <w:rsid w:val="008200A2"/>
    <w:rsid w:val="008200FA"/>
    <w:rsid w:val="00820101"/>
    <w:rsid w:val="00820275"/>
    <w:rsid w:val="008203B0"/>
    <w:rsid w:val="00820416"/>
    <w:rsid w:val="00820471"/>
    <w:rsid w:val="008204DA"/>
    <w:rsid w:val="008206F7"/>
    <w:rsid w:val="00820A14"/>
    <w:rsid w:val="00820A54"/>
    <w:rsid w:val="00820D02"/>
    <w:rsid w:val="00820D07"/>
    <w:rsid w:val="008216B6"/>
    <w:rsid w:val="008218F4"/>
    <w:rsid w:val="008219F7"/>
    <w:rsid w:val="00821A08"/>
    <w:rsid w:val="00821B33"/>
    <w:rsid w:val="00821B40"/>
    <w:rsid w:val="00821C8A"/>
    <w:rsid w:val="00821DA0"/>
    <w:rsid w:val="00821F84"/>
    <w:rsid w:val="0082219E"/>
    <w:rsid w:val="00822391"/>
    <w:rsid w:val="00822433"/>
    <w:rsid w:val="00822577"/>
    <w:rsid w:val="00822580"/>
    <w:rsid w:val="00822589"/>
    <w:rsid w:val="008225D7"/>
    <w:rsid w:val="00822903"/>
    <w:rsid w:val="008229AE"/>
    <w:rsid w:val="00822AF8"/>
    <w:rsid w:val="00822F2B"/>
    <w:rsid w:val="00822F2D"/>
    <w:rsid w:val="008230DD"/>
    <w:rsid w:val="0082311D"/>
    <w:rsid w:val="00823223"/>
    <w:rsid w:val="008232B4"/>
    <w:rsid w:val="00823328"/>
    <w:rsid w:val="00823388"/>
    <w:rsid w:val="008234A7"/>
    <w:rsid w:val="00823522"/>
    <w:rsid w:val="0082357E"/>
    <w:rsid w:val="00823593"/>
    <w:rsid w:val="008237FE"/>
    <w:rsid w:val="00823A16"/>
    <w:rsid w:val="00823AB7"/>
    <w:rsid w:val="00823B8E"/>
    <w:rsid w:val="00823C1B"/>
    <w:rsid w:val="00823D6B"/>
    <w:rsid w:val="00823E4B"/>
    <w:rsid w:val="00824040"/>
    <w:rsid w:val="008240C7"/>
    <w:rsid w:val="00824102"/>
    <w:rsid w:val="00824142"/>
    <w:rsid w:val="008241AF"/>
    <w:rsid w:val="00824680"/>
    <w:rsid w:val="00824A26"/>
    <w:rsid w:val="00824E91"/>
    <w:rsid w:val="00825068"/>
    <w:rsid w:val="008250C7"/>
    <w:rsid w:val="008252CD"/>
    <w:rsid w:val="00825498"/>
    <w:rsid w:val="0082576A"/>
    <w:rsid w:val="00825A7F"/>
    <w:rsid w:val="00825C18"/>
    <w:rsid w:val="00825EDD"/>
    <w:rsid w:val="00826024"/>
    <w:rsid w:val="008260E1"/>
    <w:rsid w:val="008260F2"/>
    <w:rsid w:val="00826169"/>
    <w:rsid w:val="0082621E"/>
    <w:rsid w:val="008267C0"/>
    <w:rsid w:val="00826B35"/>
    <w:rsid w:val="00826B6C"/>
    <w:rsid w:val="00826D39"/>
    <w:rsid w:val="00826EB0"/>
    <w:rsid w:val="00827056"/>
    <w:rsid w:val="008272C4"/>
    <w:rsid w:val="008274EE"/>
    <w:rsid w:val="0082763D"/>
    <w:rsid w:val="00827723"/>
    <w:rsid w:val="0082775F"/>
    <w:rsid w:val="00827911"/>
    <w:rsid w:val="00827CC7"/>
    <w:rsid w:val="00827D6A"/>
    <w:rsid w:val="00830158"/>
    <w:rsid w:val="008301ED"/>
    <w:rsid w:val="00830574"/>
    <w:rsid w:val="0083085C"/>
    <w:rsid w:val="008308D6"/>
    <w:rsid w:val="00830A6A"/>
    <w:rsid w:val="00830AC3"/>
    <w:rsid w:val="00830B24"/>
    <w:rsid w:val="00830C69"/>
    <w:rsid w:val="00830CEE"/>
    <w:rsid w:val="00830D12"/>
    <w:rsid w:val="00830D28"/>
    <w:rsid w:val="008313B9"/>
    <w:rsid w:val="00831962"/>
    <w:rsid w:val="008319C5"/>
    <w:rsid w:val="00831AB1"/>
    <w:rsid w:val="00831AF5"/>
    <w:rsid w:val="00831B65"/>
    <w:rsid w:val="00831C97"/>
    <w:rsid w:val="00831CAF"/>
    <w:rsid w:val="00831D96"/>
    <w:rsid w:val="00832037"/>
    <w:rsid w:val="008320F6"/>
    <w:rsid w:val="00832280"/>
    <w:rsid w:val="008322E0"/>
    <w:rsid w:val="00832325"/>
    <w:rsid w:val="0083235D"/>
    <w:rsid w:val="00832464"/>
    <w:rsid w:val="008324E5"/>
    <w:rsid w:val="0083260C"/>
    <w:rsid w:val="0083263C"/>
    <w:rsid w:val="008326CE"/>
    <w:rsid w:val="008326D2"/>
    <w:rsid w:val="00832808"/>
    <w:rsid w:val="00832870"/>
    <w:rsid w:val="008328A0"/>
    <w:rsid w:val="00832CBE"/>
    <w:rsid w:val="00832E38"/>
    <w:rsid w:val="00832EB5"/>
    <w:rsid w:val="008330F4"/>
    <w:rsid w:val="00833135"/>
    <w:rsid w:val="0083317E"/>
    <w:rsid w:val="0083347B"/>
    <w:rsid w:val="00833536"/>
    <w:rsid w:val="0083361E"/>
    <w:rsid w:val="008337B5"/>
    <w:rsid w:val="0083395F"/>
    <w:rsid w:val="008339BF"/>
    <w:rsid w:val="00833AE6"/>
    <w:rsid w:val="00833C17"/>
    <w:rsid w:val="00833D0F"/>
    <w:rsid w:val="00833D3F"/>
    <w:rsid w:val="008342E9"/>
    <w:rsid w:val="008344A4"/>
    <w:rsid w:val="0083461C"/>
    <w:rsid w:val="008349F6"/>
    <w:rsid w:val="00834A07"/>
    <w:rsid w:val="00834A21"/>
    <w:rsid w:val="00834A82"/>
    <w:rsid w:val="00834B07"/>
    <w:rsid w:val="00834B48"/>
    <w:rsid w:val="00834BCE"/>
    <w:rsid w:val="00834D34"/>
    <w:rsid w:val="00834D6B"/>
    <w:rsid w:val="00834D7E"/>
    <w:rsid w:val="008351C6"/>
    <w:rsid w:val="008352BB"/>
    <w:rsid w:val="00835A95"/>
    <w:rsid w:val="008361DB"/>
    <w:rsid w:val="008362CE"/>
    <w:rsid w:val="00836375"/>
    <w:rsid w:val="0083637D"/>
    <w:rsid w:val="008363DD"/>
    <w:rsid w:val="008366F4"/>
    <w:rsid w:val="00836B4E"/>
    <w:rsid w:val="00836B64"/>
    <w:rsid w:val="00836B9E"/>
    <w:rsid w:val="00836E1A"/>
    <w:rsid w:val="00836FC4"/>
    <w:rsid w:val="00837183"/>
    <w:rsid w:val="008372ED"/>
    <w:rsid w:val="008374E2"/>
    <w:rsid w:val="00837658"/>
    <w:rsid w:val="008376AB"/>
    <w:rsid w:val="008379D6"/>
    <w:rsid w:val="00837AF9"/>
    <w:rsid w:val="00837BC1"/>
    <w:rsid w:val="00837DA1"/>
    <w:rsid w:val="00837EB1"/>
    <w:rsid w:val="00837EC7"/>
    <w:rsid w:val="00837F93"/>
    <w:rsid w:val="00837FB6"/>
    <w:rsid w:val="0084014E"/>
    <w:rsid w:val="0084015B"/>
    <w:rsid w:val="008404B3"/>
    <w:rsid w:val="00840524"/>
    <w:rsid w:val="008405B1"/>
    <w:rsid w:val="00840641"/>
    <w:rsid w:val="0084091F"/>
    <w:rsid w:val="0084097C"/>
    <w:rsid w:val="00840A5D"/>
    <w:rsid w:val="00840D39"/>
    <w:rsid w:val="00840DCC"/>
    <w:rsid w:val="00840F0E"/>
    <w:rsid w:val="0084126F"/>
    <w:rsid w:val="00841301"/>
    <w:rsid w:val="008413DA"/>
    <w:rsid w:val="008413DC"/>
    <w:rsid w:val="00841530"/>
    <w:rsid w:val="008415FA"/>
    <w:rsid w:val="008417C3"/>
    <w:rsid w:val="00841840"/>
    <w:rsid w:val="00841A11"/>
    <w:rsid w:val="00841B52"/>
    <w:rsid w:val="00841CD1"/>
    <w:rsid w:val="00841EED"/>
    <w:rsid w:val="00841F7E"/>
    <w:rsid w:val="00842040"/>
    <w:rsid w:val="008422F1"/>
    <w:rsid w:val="008423C4"/>
    <w:rsid w:val="008425EE"/>
    <w:rsid w:val="008426B5"/>
    <w:rsid w:val="008427B4"/>
    <w:rsid w:val="008429C3"/>
    <w:rsid w:val="00842B12"/>
    <w:rsid w:val="00842BE0"/>
    <w:rsid w:val="00842E1A"/>
    <w:rsid w:val="008430DD"/>
    <w:rsid w:val="008431C7"/>
    <w:rsid w:val="008434B2"/>
    <w:rsid w:val="00843978"/>
    <w:rsid w:val="00843A13"/>
    <w:rsid w:val="00843CEC"/>
    <w:rsid w:val="00843F6C"/>
    <w:rsid w:val="00844007"/>
    <w:rsid w:val="0084414D"/>
    <w:rsid w:val="0084420D"/>
    <w:rsid w:val="0084471D"/>
    <w:rsid w:val="00844A3F"/>
    <w:rsid w:val="00844B81"/>
    <w:rsid w:val="00844C6F"/>
    <w:rsid w:val="00845042"/>
    <w:rsid w:val="0084528F"/>
    <w:rsid w:val="008452C6"/>
    <w:rsid w:val="00845538"/>
    <w:rsid w:val="00845650"/>
    <w:rsid w:val="0084575D"/>
    <w:rsid w:val="008459A8"/>
    <w:rsid w:val="008459AE"/>
    <w:rsid w:val="00845A7F"/>
    <w:rsid w:val="00845CD3"/>
    <w:rsid w:val="00845D1A"/>
    <w:rsid w:val="00845FF7"/>
    <w:rsid w:val="00846330"/>
    <w:rsid w:val="00846647"/>
    <w:rsid w:val="008466EE"/>
    <w:rsid w:val="00846924"/>
    <w:rsid w:val="00846A10"/>
    <w:rsid w:val="00846A91"/>
    <w:rsid w:val="00846AEC"/>
    <w:rsid w:val="00846AEF"/>
    <w:rsid w:val="00846B34"/>
    <w:rsid w:val="00846FBE"/>
    <w:rsid w:val="008471FA"/>
    <w:rsid w:val="00847A48"/>
    <w:rsid w:val="00847D10"/>
    <w:rsid w:val="00847D4E"/>
    <w:rsid w:val="0085008E"/>
    <w:rsid w:val="00850220"/>
    <w:rsid w:val="008502D2"/>
    <w:rsid w:val="00850469"/>
    <w:rsid w:val="008507DD"/>
    <w:rsid w:val="0085098F"/>
    <w:rsid w:val="00850AFC"/>
    <w:rsid w:val="0085108A"/>
    <w:rsid w:val="008510B1"/>
    <w:rsid w:val="00851165"/>
    <w:rsid w:val="0085118A"/>
    <w:rsid w:val="00851317"/>
    <w:rsid w:val="00851458"/>
    <w:rsid w:val="0085149E"/>
    <w:rsid w:val="008514D3"/>
    <w:rsid w:val="008514E4"/>
    <w:rsid w:val="00851695"/>
    <w:rsid w:val="00851886"/>
    <w:rsid w:val="00851987"/>
    <w:rsid w:val="00851CDF"/>
    <w:rsid w:val="00851E6B"/>
    <w:rsid w:val="00851E92"/>
    <w:rsid w:val="008521BE"/>
    <w:rsid w:val="00852391"/>
    <w:rsid w:val="00852460"/>
    <w:rsid w:val="008525BA"/>
    <w:rsid w:val="00852978"/>
    <w:rsid w:val="00852AD5"/>
    <w:rsid w:val="00852AF3"/>
    <w:rsid w:val="00852BA6"/>
    <w:rsid w:val="00852E75"/>
    <w:rsid w:val="00852EA4"/>
    <w:rsid w:val="00852F9A"/>
    <w:rsid w:val="008530EC"/>
    <w:rsid w:val="008533EA"/>
    <w:rsid w:val="00853693"/>
    <w:rsid w:val="0085377E"/>
    <w:rsid w:val="00853825"/>
    <w:rsid w:val="008538F0"/>
    <w:rsid w:val="00853EF6"/>
    <w:rsid w:val="00853F30"/>
    <w:rsid w:val="00854399"/>
    <w:rsid w:val="0085460F"/>
    <w:rsid w:val="00854769"/>
    <w:rsid w:val="00854784"/>
    <w:rsid w:val="0085487B"/>
    <w:rsid w:val="00854999"/>
    <w:rsid w:val="00854A8B"/>
    <w:rsid w:val="00854A91"/>
    <w:rsid w:val="00854B9C"/>
    <w:rsid w:val="00854D75"/>
    <w:rsid w:val="00854FFC"/>
    <w:rsid w:val="00855070"/>
    <w:rsid w:val="00855105"/>
    <w:rsid w:val="0085514B"/>
    <w:rsid w:val="00855401"/>
    <w:rsid w:val="008554BF"/>
    <w:rsid w:val="00855605"/>
    <w:rsid w:val="0085586B"/>
    <w:rsid w:val="0085596B"/>
    <w:rsid w:val="00855B76"/>
    <w:rsid w:val="00855C72"/>
    <w:rsid w:val="00855D7A"/>
    <w:rsid w:val="00855DCF"/>
    <w:rsid w:val="00855E82"/>
    <w:rsid w:val="00855F7D"/>
    <w:rsid w:val="00856431"/>
    <w:rsid w:val="0085654A"/>
    <w:rsid w:val="008565A3"/>
    <w:rsid w:val="0085687E"/>
    <w:rsid w:val="008568E9"/>
    <w:rsid w:val="00856AE1"/>
    <w:rsid w:val="00856B6A"/>
    <w:rsid w:val="00856FD7"/>
    <w:rsid w:val="008570C2"/>
    <w:rsid w:val="00857711"/>
    <w:rsid w:val="00857BB1"/>
    <w:rsid w:val="00857EAC"/>
    <w:rsid w:val="00857EFE"/>
    <w:rsid w:val="00860BDD"/>
    <w:rsid w:val="00860C5B"/>
    <w:rsid w:val="00860FAE"/>
    <w:rsid w:val="00860FF7"/>
    <w:rsid w:val="0086113B"/>
    <w:rsid w:val="00861231"/>
    <w:rsid w:val="00861379"/>
    <w:rsid w:val="008615DB"/>
    <w:rsid w:val="00861851"/>
    <w:rsid w:val="008618BE"/>
    <w:rsid w:val="00861C3A"/>
    <w:rsid w:val="00861CF2"/>
    <w:rsid w:val="00861E1C"/>
    <w:rsid w:val="0086219A"/>
    <w:rsid w:val="00862239"/>
    <w:rsid w:val="00862296"/>
    <w:rsid w:val="0086245D"/>
    <w:rsid w:val="0086276F"/>
    <w:rsid w:val="00862938"/>
    <w:rsid w:val="00862B3F"/>
    <w:rsid w:val="00862B86"/>
    <w:rsid w:val="00862ED8"/>
    <w:rsid w:val="0086309A"/>
    <w:rsid w:val="00863249"/>
    <w:rsid w:val="00863344"/>
    <w:rsid w:val="00863519"/>
    <w:rsid w:val="0086365C"/>
    <w:rsid w:val="00863926"/>
    <w:rsid w:val="0086399C"/>
    <w:rsid w:val="00863A96"/>
    <w:rsid w:val="00863B63"/>
    <w:rsid w:val="00863BCB"/>
    <w:rsid w:val="00863CA7"/>
    <w:rsid w:val="00863DBD"/>
    <w:rsid w:val="00863E7E"/>
    <w:rsid w:val="00863F15"/>
    <w:rsid w:val="008642C0"/>
    <w:rsid w:val="00864390"/>
    <w:rsid w:val="00864570"/>
    <w:rsid w:val="00864731"/>
    <w:rsid w:val="008647F2"/>
    <w:rsid w:val="0086486B"/>
    <w:rsid w:val="00864951"/>
    <w:rsid w:val="00864CED"/>
    <w:rsid w:val="00864D00"/>
    <w:rsid w:val="00864EEC"/>
    <w:rsid w:val="00865247"/>
    <w:rsid w:val="008653E9"/>
    <w:rsid w:val="00865566"/>
    <w:rsid w:val="0086569C"/>
    <w:rsid w:val="00865817"/>
    <w:rsid w:val="008658F5"/>
    <w:rsid w:val="00865CCA"/>
    <w:rsid w:val="00865D6D"/>
    <w:rsid w:val="00865E40"/>
    <w:rsid w:val="008660D9"/>
    <w:rsid w:val="00866118"/>
    <w:rsid w:val="008661CC"/>
    <w:rsid w:val="008661E1"/>
    <w:rsid w:val="0086633B"/>
    <w:rsid w:val="00866364"/>
    <w:rsid w:val="00866372"/>
    <w:rsid w:val="00866538"/>
    <w:rsid w:val="00866565"/>
    <w:rsid w:val="008665EC"/>
    <w:rsid w:val="00866921"/>
    <w:rsid w:val="00866C0D"/>
    <w:rsid w:val="00866DBC"/>
    <w:rsid w:val="008671D4"/>
    <w:rsid w:val="00867369"/>
    <w:rsid w:val="008674D7"/>
    <w:rsid w:val="008674DC"/>
    <w:rsid w:val="008674E2"/>
    <w:rsid w:val="008675C9"/>
    <w:rsid w:val="00867625"/>
    <w:rsid w:val="00867699"/>
    <w:rsid w:val="008676A4"/>
    <w:rsid w:val="00867752"/>
    <w:rsid w:val="008677D1"/>
    <w:rsid w:val="00867928"/>
    <w:rsid w:val="00867B69"/>
    <w:rsid w:val="00867C20"/>
    <w:rsid w:val="00867D3F"/>
    <w:rsid w:val="00867D65"/>
    <w:rsid w:val="00867D90"/>
    <w:rsid w:val="00867DAD"/>
    <w:rsid w:val="00867EA1"/>
    <w:rsid w:val="00867F13"/>
    <w:rsid w:val="0087001A"/>
    <w:rsid w:val="00870326"/>
    <w:rsid w:val="00870463"/>
    <w:rsid w:val="008704B4"/>
    <w:rsid w:val="00870531"/>
    <w:rsid w:val="00870610"/>
    <w:rsid w:val="008707F5"/>
    <w:rsid w:val="00870ABB"/>
    <w:rsid w:val="00870E92"/>
    <w:rsid w:val="00870EE2"/>
    <w:rsid w:val="00871271"/>
    <w:rsid w:val="00871380"/>
    <w:rsid w:val="00871575"/>
    <w:rsid w:val="008715E2"/>
    <w:rsid w:val="00871A60"/>
    <w:rsid w:val="00871A80"/>
    <w:rsid w:val="00871DD3"/>
    <w:rsid w:val="00871E4A"/>
    <w:rsid w:val="00872171"/>
    <w:rsid w:val="008723F9"/>
    <w:rsid w:val="0087274F"/>
    <w:rsid w:val="008727F2"/>
    <w:rsid w:val="0087289D"/>
    <w:rsid w:val="008728FB"/>
    <w:rsid w:val="00872C37"/>
    <w:rsid w:val="00872C44"/>
    <w:rsid w:val="00872DC6"/>
    <w:rsid w:val="008730FB"/>
    <w:rsid w:val="0087314E"/>
    <w:rsid w:val="008732A3"/>
    <w:rsid w:val="008733C4"/>
    <w:rsid w:val="008736F1"/>
    <w:rsid w:val="0087373E"/>
    <w:rsid w:val="00873901"/>
    <w:rsid w:val="008739CA"/>
    <w:rsid w:val="00873BDF"/>
    <w:rsid w:val="00873C87"/>
    <w:rsid w:val="00873C9A"/>
    <w:rsid w:val="00873D11"/>
    <w:rsid w:val="00873D9B"/>
    <w:rsid w:val="00873EAF"/>
    <w:rsid w:val="0087422D"/>
    <w:rsid w:val="00874231"/>
    <w:rsid w:val="008742A3"/>
    <w:rsid w:val="00874384"/>
    <w:rsid w:val="008743DA"/>
    <w:rsid w:val="008748C6"/>
    <w:rsid w:val="00874902"/>
    <w:rsid w:val="00874934"/>
    <w:rsid w:val="00874973"/>
    <w:rsid w:val="00874A0C"/>
    <w:rsid w:val="00874A60"/>
    <w:rsid w:val="00874A64"/>
    <w:rsid w:val="00874F20"/>
    <w:rsid w:val="00875114"/>
    <w:rsid w:val="0087529C"/>
    <w:rsid w:val="008753B8"/>
    <w:rsid w:val="00875462"/>
    <w:rsid w:val="00875551"/>
    <w:rsid w:val="00875563"/>
    <w:rsid w:val="008755C7"/>
    <w:rsid w:val="008758A5"/>
    <w:rsid w:val="008758C8"/>
    <w:rsid w:val="00875ADD"/>
    <w:rsid w:val="00875B31"/>
    <w:rsid w:val="00875CA2"/>
    <w:rsid w:val="00875D6E"/>
    <w:rsid w:val="00875E03"/>
    <w:rsid w:val="00875F2B"/>
    <w:rsid w:val="00875F39"/>
    <w:rsid w:val="0087602E"/>
    <w:rsid w:val="00876284"/>
    <w:rsid w:val="00876514"/>
    <w:rsid w:val="0087656B"/>
    <w:rsid w:val="008768DF"/>
    <w:rsid w:val="008769CC"/>
    <w:rsid w:val="00876D71"/>
    <w:rsid w:val="00876E72"/>
    <w:rsid w:val="00876E95"/>
    <w:rsid w:val="00876F5D"/>
    <w:rsid w:val="00876FDE"/>
    <w:rsid w:val="0087706D"/>
    <w:rsid w:val="008770C4"/>
    <w:rsid w:val="00877250"/>
    <w:rsid w:val="00877354"/>
    <w:rsid w:val="0087737F"/>
    <w:rsid w:val="00877410"/>
    <w:rsid w:val="00877645"/>
    <w:rsid w:val="0087764F"/>
    <w:rsid w:val="008777DA"/>
    <w:rsid w:val="00877D48"/>
    <w:rsid w:val="00880058"/>
    <w:rsid w:val="008800AC"/>
    <w:rsid w:val="008804EB"/>
    <w:rsid w:val="00880586"/>
    <w:rsid w:val="00880687"/>
    <w:rsid w:val="008808CB"/>
    <w:rsid w:val="00880AB2"/>
    <w:rsid w:val="00880B01"/>
    <w:rsid w:val="00880BF2"/>
    <w:rsid w:val="00880D70"/>
    <w:rsid w:val="00880F66"/>
    <w:rsid w:val="00881118"/>
    <w:rsid w:val="0088133C"/>
    <w:rsid w:val="00881379"/>
    <w:rsid w:val="008817A6"/>
    <w:rsid w:val="008817E4"/>
    <w:rsid w:val="008817FA"/>
    <w:rsid w:val="00881871"/>
    <w:rsid w:val="008819FD"/>
    <w:rsid w:val="00881EEB"/>
    <w:rsid w:val="008822FE"/>
    <w:rsid w:val="0088260A"/>
    <w:rsid w:val="0088278B"/>
    <w:rsid w:val="008827CB"/>
    <w:rsid w:val="0088297C"/>
    <w:rsid w:val="00882A3B"/>
    <w:rsid w:val="00882A82"/>
    <w:rsid w:val="00882B45"/>
    <w:rsid w:val="00882FBC"/>
    <w:rsid w:val="008830FE"/>
    <w:rsid w:val="00883390"/>
    <w:rsid w:val="00883415"/>
    <w:rsid w:val="00883566"/>
    <w:rsid w:val="00883842"/>
    <w:rsid w:val="00883AA5"/>
    <w:rsid w:val="00883C2A"/>
    <w:rsid w:val="00883D68"/>
    <w:rsid w:val="00883E29"/>
    <w:rsid w:val="00884019"/>
    <w:rsid w:val="008846FB"/>
    <w:rsid w:val="00884825"/>
    <w:rsid w:val="008849CA"/>
    <w:rsid w:val="00884A6A"/>
    <w:rsid w:val="00884A6F"/>
    <w:rsid w:val="00884B7F"/>
    <w:rsid w:val="00884C34"/>
    <w:rsid w:val="00884E78"/>
    <w:rsid w:val="00884FB4"/>
    <w:rsid w:val="00885212"/>
    <w:rsid w:val="00885309"/>
    <w:rsid w:val="00885353"/>
    <w:rsid w:val="008856C1"/>
    <w:rsid w:val="00885729"/>
    <w:rsid w:val="0088574F"/>
    <w:rsid w:val="008858CF"/>
    <w:rsid w:val="008858ED"/>
    <w:rsid w:val="00885A81"/>
    <w:rsid w:val="00885B31"/>
    <w:rsid w:val="00885C2F"/>
    <w:rsid w:val="0088621D"/>
    <w:rsid w:val="00886390"/>
    <w:rsid w:val="0088651F"/>
    <w:rsid w:val="008869C9"/>
    <w:rsid w:val="00886AF4"/>
    <w:rsid w:val="00886AF9"/>
    <w:rsid w:val="00886BC2"/>
    <w:rsid w:val="00886C59"/>
    <w:rsid w:val="00886F34"/>
    <w:rsid w:val="00887078"/>
    <w:rsid w:val="008870CB"/>
    <w:rsid w:val="00887314"/>
    <w:rsid w:val="00887333"/>
    <w:rsid w:val="008875CE"/>
    <w:rsid w:val="00887A27"/>
    <w:rsid w:val="00887AD2"/>
    <w:rsid w:val="00887B3D"/>
    <w:rsid w:val="00887B53"/>
    <w:rsid w:val="00887BC1"/>
    <w:rsid w:val="00887C3F"/>
    <w:rsid w:val="00887D83"/>
    <w:rsid w:val="00887EB7"/>
    <w:rsid w:val="008902A1"/>
    <w:rsid w:val="00890387"/>
    <w:rsid w:val="00890473"/>
    <w:rsid w:val="0089058E"/>
    <w:rsid w:val="0089077E"/>
    <w:rsid w:val="008907E0"/>
    <w:rsid w:val="00890FB4"/>
    <w:rsid w:val="00891422"/>
    <w:rsid w:val="0089143F"/>
    <w:rsid w:val="0089147E"/>
    <w:rsid w:val="008914BC"/>
    <w:rsid w:val="008914EB"/>
    <w:rsid w:val="008914F0"/>
    <w:rsid w:val="0089168E"/>
    <w:rsid w:val="008917E0"/>
    <w:rsid w:val="00891AF1"/>
    <w:rsid w:val="00891AFB"/>
    <w:rsid w:val="00891B41"/>
    <w:rsid w:val="00891D1F"/>
    <w:rsid w:val="00891DF3"/>
    <w:rsid w:val="00891FE0"/>
    <w:rsid w:val="008924A8"/>
    <w:rsid w:val="0089265F"/>
    <w:rsid w:val="00892B27"/>
    <w:rsid w:val="00892B28"/>
    <w:rsid w:val="00892BA6"/>
    <w:rsid w:val="00892E3D"/>
    <w:rsid w:val="00892FD8"/>
    <w:rsid w:val="0089304C"/>
    <w:rsid w:val="0089310B"/>
    <w:rsid w:val="00893349"/>
    <w:rsid w:val="0089337F"/>
    <w:rsid w:val="00893429"/>
    <w:rsid w:val="0089345E"/>
    <w:rsid w:val="0089352C"/>
    <w:rsid w:val="00893575"/>
    <w:rsid w:val="008935A1"/>
    <w:rsid w:val="00893751"/>
    <w:rsid w:val="00893861"/>
    <w:rsid w:val="008939A5"/>
    <w:rsid w:val="00893A4D"/>
    <w:rsid w:val="00893AAA"/>
    <w:rsid w:val="00893C90"/>
    <w:rsid w:val="00893DDC"/>
    <w:rsid w:val="00893E89"/>
    <w:rsid w:val="008941F1"/>
    <w:rsid w:val="0089440D"/>
    <w:rsid w:val="00894720"/>
    <w:rsid w:val="00894B65"/>
    <w:rsid w:val="00894E32"/>
    <w:rsid w:val="00894EE8"/>
    <w:rsid w:val="00895013"/>
    <w:rsid w:val="008952B1"/>
    <w:rsid w:val="008955B5"/>
    <w:rsid w:val="008955DC"/>
    <w:rsid w:val="008957A0"/>
    <w:rsid w:val="00895913"/>
    <w:rsid w:val="00895A97"/>
    <w:rsid w:val="00895C09"/>
    <w:rsid w:val="00895E29"/>
    <w:rsid w:val="008960FC"/>
    <w:rsid w:val="00896166"/>
    <w:rsid w:val="0089670F"/>
    <w:rsid w:val="00896ADC"/>
    <w:rsid w:val="00896ED6"/>
    <w:rsid w:val="00896FB3"/>
    <w:rsid w:val="008970FD"/>
    <w:rsid w:val="008971E2"/>
    <w:rsid w:val="008976DB"/>
    <w:rsid w:val="0089772B"/>
    <w:rsid w:val="00897735"/>
    <w:rsid w:val="0089793F"/>
    <w:rsid w:val="00897950"/>
    <w:rsid w:val="00897A4D"/>
    <w:rsid w:val="00897D43"/>
    <w:rsid w:val="00897F53"/>
    <w:rsid w:val="008A005C"/>
    <w:rsid w:val="008A01C2"/>
    <w:rsid w:val="008A0261"/>
    <w:rsid w:val="008A04E2"/>
    <w:rsid w:val="008A0588"/>
    <w:rsid w:val="008A05F6"/>
    <w:rsid w:val="008A0C0A"/>
    <w:rsid w:val="008A0C3B"/>
    <w:rsid w:val="008A0F87"/>
    <w:rsid w:val="008A0FF4"/>
    <w:rsid w:val="008A1190"/>
    <w:rsid w:val="008A1200"/>
    <w:rsid w:val="008A1309"/>
    <w:rsid w:val="008A16D9"/>
    <w:rsid w:val="008A1AD1"/>
    <w:rsid w:val="008A1B4B"/>
    <w:rsid w:val="008A1C00"/>
    <w:rsid w:val="008A1C9B"/>
    <w:rsid w:val="008A1D22"/>
    <w:rsid w:val="008A1DD5"/>
    <w:rsid w:val="008A1E0B"/>
    <w:rsid w:val="008A258D"/>
    <w:rsid w:val="008A2859"/>
    <w:rsid w:val="008A2A10"/>
    <w:rsid w:val="008A2C5F"/>
    <w:rsid w:val="008A2CC1"/>
    <w:rsid w:val="008A2E7A"/>
    <w:rsid w:val="008A3349"/>
    <w:rsid w:val="008A344A"/>
    <w:rsid w:val="008A3785"/>
    <w:rsid w:val="008A39A1"/>
    <w:rsid w:val="008A41B7"/>
    <w:rsid w:val="008A4336"/>
    <w:rsid w:val="008A4459"/>
    <w:rsid w:val="008A47B4"/>
    <w:rsid w:val="008A4889"/>
    <w:rsid w:val="008A4A13"/>
    <w:rsid w:val="008A4AD1"/>
    <w:rsid w:val="008A4BE6"/>
    <w:rsid w:val="008A559A"/>
    <w:rsid w:val="008A55C5"/>
    <w:rsid w:val="008A563D"/>
    <w:rsid w:val="008A5A0B"/>
    <w:rsid w:val="008A5CDC"/>
    <w:rsid w:val="008A5DD5"/>
    <w:rsid w:val="008A5F71"/>
    <w:rsid w:val="008A6091"/>
    <w:rsid w:val="008A6263"/>
    <w:rsid w:val="008A67EB"/>
    <w:rsid w:val="008A6A10"/>
    <w:rsid w:val="008A6A39"/>
    <w:rsid w:val="008A6B74"/>
    <w:rsid w:val="008A6C85"/>
    <w:rsid w:val="008A7000"/>
    <w:rsid w:val="008A7802"/>
    <w:rsid w:val="008A7A95"/>
    <w:rsid w:val="008A7DB8"/>
    <w:rsid w:val="008B001B"/>
    <w:rsid w:val="008B00C4"/>
    <w:rsid w:val="008B0552"/>
    <w:rsid w:val="008B0587"/>
    <w:rsid w:val="008B0629"/>
    <w:rsid w:val="008B0A28"/>
    <w:rsid w:val="008B0C2A"/>
    <w:rsid w:val="008B0EF9"/>
    <w:rsid w:val="008B1472"/>
    <w:rsid w:val="008B1625"/>
    <w:rsid w:val="008B1722"/>
    <w:rsid w:val="008B17DF"/>
    <w:rsid w:val="008B1A46"/>
    <w:rsid w:val="008B1A7F"/>
    <w:rsid w:val="008B1BDA"/>
    <w:rsid w:val="008B1DCA"/>
    <w:rsid w:val="008B1F0B"/>
    <w:rsid w:val="008B2529"/>
    <w:rsid w:val="008B2A14"/>
    <w:rsid w:val="008B3060"/>
    <w:rsid w:val="008B3283"/>
    <w:rsid w:val="008B32FC"/>
    <w:rsid w:val="008B332D"/>
    <w:rsid w:val="008B3BAF"/>
    <w:rsid w:val="008B3C08"/>
    <w:rsid w:val="008B3CC3"/>
    <w:rsid w:val="008B3F72"/>
    <w:rsid w:val="008B3FC4"/>
    <w:rsid w:val="008B3FDA"/>
    <w:rsid w:val="008B43E2"/>
    <w:rsid w:val="008B44D1"/>
    <w:rsid w:val="008B451E"/>
    <w:rsid w:val="008B45B6"/>
    <w:rsid w:val="008B45CA"/>
    <w:rsid w:val="008B47AC"/>
    <w:rsid w:val="008B4D96"/>
    <w:rsid w:val="008B50BA"/>
    <w:rsid w:val="008B51B8"/>
    <w:rsid w:val="008B5390"/>
    <w:rsid w:val="008B54EC"/>
    <w:rsid w:val="008B5807"/>
    <w:rsid w:val="008B5870"/>
    <w:rsid w:val="008B595B"/>
    <w:rsid w:val="008B5968"/>
    <w:rsid w:val="008B5C14"/>
    <w:rsid w:val="008B5F2E"/>
    <w:rsid w:val="008B65BE"/>
    <w:rsid w:val="008B673D"/>
    <w:rsid w:val="008B67C3"/>
    <w:rsid w:val="008B6956"/>
    <w:rsid w:val="008B6A1D"/>
    <w:rsid w:val="008B6ABD"/>
    <w:rsid w:val="008B6EE3"/>
    <w:rsid w:val="008B707A"/>
    <w:rsid w:val="008B70E4"/>
    <w:rsid w:val="008B713E"/>
    <w:rsid w:val="008B732E"/>
    <w:rsid w:val="008B78D7"/>
    <w:rsid w:val="008B7D4D"/>
    <w:rsid w:val="008B7D75"/>
    <w:rsid w:val="008B7E65"/>
    <w:rsid w:val="008B7F1B"/>
    <w:rsid w:val="008C005F"/>
    <w:rsid w:val="008C0080"/>
    <w:rsid w:val="008C0276"/>
    <w:rsid w:val="008C0348"/>
    <w:rsid w:val="008C03B8"/>
    <w:rsid w:val="008C03CD"/>
    <w:rsid w:val="008C0431"/>
    <w:rsid w:val="008C0481"/>
    <w:rsid w:val="008C04F1"/>
    <w:rsid w:val="008C05C8"/>
    <w:rsid w:val="008C0A1D"/>
    <w:rsid w:val="008C0B8F"/>
    <w:rsid w:val="008C0CE0"/>
    <w:rsid w:val="008C0E57"/>
    <w:rsid w:val="008C0FA7"/>
    <w:rsid w:val="008C1028"/>
    <w:rsid w:val="008C12A5"/>
    <w:rsid w:val="008C130A"/>
    <w:rsid w:val="008C14A9"/>
    <w:rsid w:val="008C15EF"/>
    <w:rsid w:val="008C1817"/>
    <w:rsid w:val="008C1B1E"/>
    <w:rsid w:val="008C1B8D"/>
    <w:rsid w:val="008C1BC3"/>
    <w:rsid w:val="008C1C4E"/>
    <w:rsid w:val="008C1EB9"/>
    <w:rsid w:val="008C1F13"/>
    <w:rsid w:val="008C1F6F"/>
    <w:rsid w:val="008C2086"/>
    <w:rsid w:val="008C2092"/>
    <w:rsid w:val="008C23F3"/>
    <w:rsid w:val="008C2401"/>
    <w:rsid w:val="008C243B"/>
    <w:rsid w:val="008C2670"/>
    <w:rsid w:val="008C27B0"/>
    <w:rsid w:val="008C286B"/>
    <w:rsid w:val="008C28CD"/>
    <w:rsid w:val="008C2A31"/>
    <w:rsid w:val="008C2CC0"/>
    <w:rsid w:val="008C2F84"/>
    <w:rsid w:val="008C303B"/>
    <w:rsid w:val="008C30BF"/>
    <w:rsid w:val="008C3138"/>
    <w:rsid w:val="008C32ED"/>
    <w:rsid w:val="008C339C"/>
    <w:rsid w:val="008C33EA"/>
    <w:rsid w:val="008C34E9"/>
    <w:rsid w:val="008C35A8"/>
    <w:rsid w:val="008C3722"/>
    <w:rsid w:val="008C382E"/>
    <w:rsid w:val="008C391D"/>
    <w:rsid w:val="008C394A"/>
    <w:rsid w:val="008C3A19"/>
    <w:rsid w:val="008C3A4A"/>
    <w:rsid w:val="008C3BB4"/>
    <w:rsid w:val="008C3BBC"/>
    <w:rsid w:val="008C41B6"/>
    <w:rsid w:val="008C425B"/>
    <w:rsid w:val="008C4356"/>
    <w:rsid w:val="008C44BD"/>
    <w:rsid w:val="008C4520"/>
    <w:rsid w:val="008C4534"/>
    <w:rsid w:val="008C459B"/>
    <w:rsid w:val="008C4934"/>
    <w:rsid w:val="008C4981"/>
    <w:rsid w:val="008C49A7"/>
    <w:rsid w:val="008C4AA5"/>
    <w:rsid w:val="008C4AA9"/>
    <w:rsid w:val="008C4C8A"/>
    <w:rsid w:val="008C531C"/>
    <w:rsid w:val="008C531E"/>
    <w:rsid w:val="008C53A8"/>
    <w:rsid w:val="008C5462"/>
    <w:rsid w:val="008C558D"/>
    <w:rsid w:val="008C5653"/>
    <w:rsid w:val="008C568B"/>
    <w:rsid w:val="008C56FB"/>
    <w:rsid w:val="008C57B0"/>
    <w:rsid w:val="008C586B"/>
    <w:rsid w:val="008C5987"/>
    <w:rsid w:val="008C5C3C"/>
    <w:rsid w:val="008C5CF4"/>
    <w:rsid w:val="008C5D09"/>
    <w:rsid w:val="008C6013"/>
    <w:rsid w:val="008C6439"/>
    <w:rsid w:val="008C6529"/>
    <w:rsid w:val="008C6882"/>
    <w:rsid w:val="008C68DF"/>
    <w:rsid w:val="008C695D"/>
    <w:rsid w:val="008C6CA5"/>
    <w:rsid w:val="008C6DBC"/>
    <w:rsid w:val="008C712F"/>
    <w:rsid w:val="008C75D1"/>
    <w:rsid w:val="008C772F"/>
    <w:rsid w:val="008C79E4"/>
    <w:rsid w:val="008C7CF3"/>
    <w:rsid w:val="008C7D00"/>
    <w:rsid w:val="008C7E85"/>
    <w:rsid w:val="008C7F84"/>
    <w:rsid w:val="008D0218"/>
    <w:rsid w:val="008D02DB"/>
    <w:rsid w:val="008D033A"/>
    <w:rsid w:val="008D037A"/>
    <w:rsid w:val="008D0460"/>
    <w:rsid w:val="008D0472"/>
    <w:rsid w:val="008D0480"/>
    <w:rsid w:val="008D051B"/>
    <w:rsid w:val="008D0568"/>
    <w:rsid w:val="008D084B"/>
    <w:rsid w:val="008D0985"/>
    <w:rsid w:val="008D0BEB"/>
    <w:rsid w:val="008D0C43"/>
    <w:rsid w:val="008D13CA"/>
    <w:rsid w:val="008D18A2"/>
    <w:rsid w:val="008D1A0F"/>
    <w:rsid w:val="008D1A5F"/>
    <w:rsid w:val="008D1D0C"/>
    <w:rsid w:val="008D1D39"/>
    <w:rsid w:val="008D1FDF"/>
    <w:rsid w:val="008D20CA"/>
    <w:rsid w:val="008D21D7"/>
    <w:rsid w:val="008D2555"/>
    <w:rsid w:val="008D27E2"/>
    <w:rsid w:val="008D2855"/>
    <w:rsid w:val="008D28A5"/>
    <w:rsid w:val="008D296D"/>
    <w:rsid w:val="008D29EC"/>
    <w:rsid w:val="008D2B4C"/>
    <w:rsid w:val="008D2CE1"/>
    <w:rsid w:val="008D2DBC"/>
    <w:rsid w:val="008D2E39"/>
    <w:rsid w:val="008D30BB"/>
    <w:rsid w:val="008D3169"/>
    <w:rsid w:val="008D32DC"/>
    <w:rsid w:val="008D3388"/>
    <w:rsid w:val="008D368A"/>
    <w:rsid w:val="008D38EA"/>
    <w:rsid w:val="008D3A55"/>
    <w:rsid w:val="008D3ACD"/>
    <w:rsid w:val="008D3D1C"/>
    <w:rsid w:val="008D4010"/>
    <w:rsid w:val="008D41AD"/>
    <w:rsid w:val="008D41D8"/>
    <w:rsid w:val="008D4466"/>
    <w:rsid w:val="008D44BA"/>
    <w:rsid w:val="008D4635"/>
    <w:rsid w:val="008D46CE"/>
    <w:rsid w:val="008D470B"/>
    <w:rsid w:val="008D4877"/>
    <w:rsid w:val="008D49FD"/>
    <w:rsid w:val="008D4D12"/>
    <w:rsid w:val="008D4ED8"/>
    <w:rsid w:val="008D4F15"/>
    <w:rsid w:val="008D51A2"/>
    <w:rsid w:val="008D55B8"/>
    <w:rsid w:val="008D5683"/>
    <w:rsid w:val="008D56E8"/>
    <w:rsid w:val="008D5747"/>
    <w:rsid w:val="008D5757"/>
    <w:rsid w:val="008D576A"/>
    <w:rsid w:val="008D578B"/>
    <w:rsid w:val="008D5894"/>
    <w:rsid w:val="008D59CB"/>
    <w:rsid w:val="008D5A30"/>
    <w:rsid w:val="008D5A63"/>
    <w:rsid w:val="008D5AEE"/>
    <w:rsid w:val="008D5BD5"/>
    <w:rsid w:val="008D5C0A"/>
    <w:rsid w:val="008D5C78"/>
    <w:rsid w:val="008D5D81"/>
    <w:rsid w:val="008D5E0A"/>
    <w:rsid w:val="008D5EDB"/>
    <w:rsid w:val="008D60C3"/>
    <w:rsid w:val="008D6344"/>
    <w:rsid w:val="008D63A3"/>
    <w:rsid w:val="008D64C8"/>
    <w:rsid w:val="008D6756"/>
    <w:rsid w:val="008D6799"/>
    <w:rsid w:val="008D6A6A"/>
    <w:rsid w:val="008D6D75"/>
    <w:rsid w:val="008D7070"/>
    <w:rsid w:val="008D7253"/>
    <w:rsid w:val="008D76DF"/>
    <w:rsid w:val="008D7740"/>
    <w:rsid w:val="008D77D4"/>
    <w:rsid w:val="008D7B6B"/>
    <w:rsid w:val="008D7D00"/>
    <w:rsid w:val="008E0000"/>
    <w:rsid w:val="008E011A"/>
    <w:rsid w:val="008E03FF"/>
    <w:rsid w:val="008E073B"/>
    <w:rsid w:val="008E0B2C"/>
    <w:rsid w:val="008E0B89"/>
    <w:rsid w:val="008E0C3A"/>
    <w:rsid w:val="008E0C44"/>
    <w:rsid w:val="008E0CAE"/>
    <w:rsid w:val="008E0E60"/>
    <w:rsid w:val="008E118B"/>
    <w:rsid w:val="008E1778"/>
    <w:rsid w:val="008E1827"/>
    <w:rsid w:val="008E182C"/>
    <w:rsid w:val="008E187B"/>
    <w:rsid w:val="008E19BD"/>
    <w:rsid w:val="008E1B06"/>
    <w:rsid w:val="008E1B4C"/>
    <w:rsid w:val="008E1B7B"/>
    <w:rsid w:val="008E1B91"/>
    <w:rsid w:val="008E1BEF"/>
    <w:rsid w:val="008E1F35"/>
    <w:rsid w:val="008E1FD5"/>
    <w:rsid w:val="008E20AE"/>
    <w:rsid w:val="008E20B8"/>
    <w:rsid w:val="008E2436"/>
    <w:rsid w:val="008E2461"/>
    <w:rsid w:val="008E26F3"/>
    <w:rsid w:val="008E2702"/>
    <w:rsid w:val="008E280E"/>
    <w:rsid w:val="008E29D2"/>
    <w:rsid w:val="008E2A4E"/>
    <w:rsid w:val="008E2C7F"/>
    <w:rsid w:val="008E2CFC"/>
    <w:rsid w:val="008E2D85"/>
    <w:rsid w:val="008E2DF2"/>
    <w:rsid w:val="008E2F7B"/>
    <w:rsid w:val="008E3063"/>
    <w:rsid w:val="008E3137"/>
    <w:rsid w:val="008E3289"/>
    <w:rsid w:val="008E3364"/>
    <w:rsid w:val="008E34CD"/>
    <w:rsid w:val="008E34ED"/>
    <w:rsid w:val="008E370F"/>
    <w:rsid w:val="008E37A4"/>
    <w:rsid w:val="008E39DD"/>
    <w:rsid w:val="008E3B7C"/>
    <w:rsid w:val="008E3D94"/>
    <w:rsid w:val="008E3DE8"/>
    <w:rsid w:val="008E3E28"/>
    <w:rsid w:val="008E3E3A"/>
    <w:rsid w:val="008E3E51"/>
    <w:rsid w:val="008E3EEC"/>
    <w:rsid w:val="008E3F57"/>
    <w:rsid w:val="008E421C"/>
    <w:rsid w:val="008E43B5"/>
    <w:rsid w:val="008E44B8"/>
    <w:rsid w:val="008E44D4"/>
    <w:rsid w:val="008E450B"/>
    <w:rsid w:val="008E4627"/>
    <w:rsid w:val="008E4692"/>
    <w:rsid w:val="008E4933"/>
    <w:rsid w:val="008E499A"/>
    <w:rsid w:val="008E49C5"/>
    <w:rsid w:val="008E49EB"/>
    <w:rsid w:val="008E4A35"/>
    <w:rsid w:val="008E4AE4"/>
    <w:rsid w:val="008E5035"/>
    <w:rsid w:val="008E51C1"/>
    <w:rsid w:val="008E5260"/>
    <w:rsid w:val="008E52FD"/>
    <w:rsid w:val="008E5312"/>
    <w:rsid w:val="008E53D6"/>
    <w:rsid w:val="008E56A6"/>
    <w:rsid w:val="008E584C"/>
    <w:rsid w:val="008E5C78"/>
    <w:rsid w:val="008E5D1C"/>
    <w:rsid w:val="008E5F81"/>
    <w:rsid w:val="008E640A"/>
    <w:rsid w:val="008E64C4"/>
    <w:rsid w:val="008E6781"/>
    <w:rsid w:val="008E67D3"/>
    <w:rsid w:val="008E69B9"/>
    <w:rsid w:val="008E69F6"/>
    <w:rsid w:val="008E6CB4"/>
    <w:rsid w:val="008E6D70"/>
    <w:rsid w:val="008E6E53"/>
    <w:rsid w:val="008E7291"/>
    <w:rsid w:val="008E72C3"/>
    <w:rsid w:val="008E7327"/>
    <w:rsid w:val="008E7399"/>
    <w:rsid w:val="008E74EA"/>
    <w:rsid w:val="008E794F"/>
    <w:rsid w:val="008E7FC7"/>
    <w:rsid w:val="008F0035"/>
    <w:rsid w:val="008F01B1"/>
    <w:rsid w:val="008F01D8"/>
    <w:rsid w:val="008F0374"/>
    <w:rsid w:val="008F044D"/>
    <w:rsid w:val="008F0835"/>
    <w:rsid w:val="008F0C6D"/>
    <w:rsid w:val="008F0D7D"/>
    <w:rsid w:val="008F0DA4"/>
    <w:rsid w:val="008F0E24"/>
    <w:rsid w:val="008F1051"/>
    <w:rsid w:val="008F10BF"/>
    <w:rsid w:val="008F116E"/>
    <w:rsid w:val="008F126A"/>
    <w:rsid w:val="008F1320"/>
    <w:rsid w:val="008F134A"/>
    <w:rsid w:val="008F144D"/>
    <w:rsid w:val="008F14AE"/>
    <w:rsid w:val="008F14CD"/>
    <w:rsid w:val="008F152C"/>
    <w:rsid w:val="008F165B"/>
    <w:rsid w:val="008F16C2"/>
    <w:rsid w:val="008F16DF"/>
    <w:rsid w:val="008F1774"/>
    <w:rsid w:val="008F1B20"/>
    <w:rsid w:val="008F1BB1"/>
    <w:rsid w:val="008F1C73"/>
    <w:rsid w:val="008F1EDA"/>
    <w:rsid w:val="008F1FCA"/>
    <w:rsid w:val="008F20AF"/>
    <w:rsid w:val="008F22EE"/>
    <w:rsid w:val="008F2668"/>
    <w:rsid w:val="008F2759"/>
    <w:rsid w:val="008F28C7"/>
    <w:rsid w:val="008F2ABE"/>
    <w:rsid w:val="008F2D9B"/>
    <w:rsid w:val="008F2F21"/>
    <w:rsid w:val="008F2FF5"/>
    <w:rsid w:val="008F3143"/>
    <w:rsid w:val="008F32CF"/>
    <w:rsid w:val="008F38FA"/>
    <w:rsid w:val="008F3909"/>
    <w:rsid w:val="008F3AAB"/>
    <w:rsid w:val="008F3B3C"/>
    <w:rsid w:val="008F3F75"/>
    <w:rsid w:val="008F41FB"/>
    <w:rsid w:val="008F4293"/>
    <w:rsid w:val="008F4426"/>
    <w:rsid w:val="008F443E"/>
    <w:rsid w:val="008F448B"/>
    <w:rsid w:val="008F453E"/>
    <w:rsid w:val="008F46BC"/>
    <w:rsid w:val="008F493D"/>
    <w:rsid w:val="008F4B27"/>
    <w:rsid w:val="008F4BC7"/>
    <w:rsid w:val="008F4CDA"/>
    <w:rsid w:val="008F5088"/>
    <w:rsid w:val="008F50F0"/>
    <w:rsid w:val="008F5329"/>
    <w:rsid w:val="008F54C6"/>
    <w:rsid w:val="008F55E0"/>
    <w:rsid w:val="008F5751"/>
    <w:rsid w:val="008F5AA3"/>
    <w:rsid w:val="008F5DC3"/>
    <w:rsid w:val="008F5E2E"/>
    <w:rsid w:val="008F5E39"/>
    <w:rsid w:val="008F6032"/>
    <w:rsid w:val="008F60C1"/>
    <w:rsid w:val="008F60DD"/>
    <w:rsid w:val="008F637B"/>
    <w:rsid w:val="008F679C"/>
    <w:rsid w:val="008F6A7C"/>
    <w:rsid w:val="008F6C19"/>
    <w:rsid w:val="008F6D3D"/>
    <w:rsid w:val="008F6E0D"/>
    <w:rsid w:val="008F6EEB"/>
    <w:rsid w:val="008F7385"/>
    <w:rsid w:val="008F73B0"/>
    <w:rsid w:val="008F74B1"/>
    <w:rsid w:val="008F76F2"/>
    <w:rsid w:val="008F797E"/>
    <w:rsid w:val="00900813"/>
    <w:rsid w:val="00900965"/>
    <w:rsid w:val="00900974"/>
    <w:rsid w:val="009009C8"/>
    <w:rsid w:val="00900ABE"/>
    <w:rsid w:val="00900AC4"/>
    <w:rsid w:val="00900C0C"/>
    <w:rsid w:val="00900C38"/>
    <w:rsid w:val="00900D8D"/>
    <w:rsid w:val="00900DA9"/>
    <w:rsid w:val="00900EC4"/>
    <w:rsid w:val="009015C9"/>
    <w:rsid w:val="0090160F"/>
    <w:rsid w:val="00901A57"/>
    <w:rsid w:val="00901BC1"/>
    <w:rsid w:val="00901BC6"/>
    <w:rsid w:val="00901C33"/>
    <w:rsid w:val="00901D0E"/>
    <w:rsid w:val="00901DF9"/>
    <w:rsid w:val="00901E6E"/>
    <w:rsid w:val="00901FED"/>
    <w:rsid w:val="0090204F"/>
    <w:rsid w:val="0090240E"/>
    <w:rsid w:val="009026B5"/>
    <w:rsid w:val="0090292F"/>
    <w:rsid w:val="00902A82"/>
    <w:rsid w:val="00902CBD"/>
    <w:rsid w:val="00902EB2"/>
    <w:rsid w:val="00903036"/>
    <w:rsid w:val="00903077"/>
    <w:rsid w:val="0090310F"/>
    <w:rsid w:val="009031EE"/>
    <w:rsid w:val="009032E3"/>
    <w:rsid w:val="0090363A"/>
    <w:rsid w:val="00903826"/>
    <w:rsid w:val="00903C83"/>
    <w:rsid w:val="00903C95"/>
    <w:rsid w:val="00903FAA"/>
    <w:rsid w:val="00903FE0"/>
    <w:rsid w:val="00904152"/>
    <w:rsid w:val="009043D4"/>
    <w:rsid w:val="00904434"/>
    <w:rsid w:val="009044A7"/>
    <w:rsid w:val="009044F3"/>
    <w:rsid w:val="009045F0"/>
    <w:rsid w:val="00904748"/>
    <w:rsid w:val="00904804"/>
    <w:rsid w:val="00904E72"/>
    <w:rsid w:val="00905042"/>
    <w:rsid w:val="00905371"/>
    <w:rsid w:val="0090544E"/>
    <w:rsid w:val="00905474"/>
    <w:rsid w:val="009054E8"/>
    <w:rsid w:val="0090581F"/>
    <w:rsid w:val="00905B57"/>
    <w:rsid w:val="00905D0D"/>
    <w:rsid w:val="00905E47"/>
    <w:rsid w:val="009060DF"/>
    <w:rsid w:val="009060E8"/>
    <w:rsid w:val="00906226"/>
    <w:rsid w:val="009063EA"/>
    <w:rsid w:val="0090652B"/>
    <w:rsid w:val="00906566"/>
    <w:rsid w:val="009065C8"/>
    <w:rsid w:val="009066D8"/>
    <w:rsid w:val="009067A9"/>
    <w:rsid w:val="00906AC1"/>
    <w:rsid w:val="00906B47"/>
    <w:rsid w:val="00906CE8"/>
    <w:rsid w:val="00906FE7"/>
    <w:rsid w:val="00907122"/>
    <w:rsid w:val="00907146"/>
    <w:rsid w:val="00907947"/>
    <w:rsid w:val="00907A82"/>
    <w:rsid w:val="00907AB7"/>
    <w:rsid w:val="00907D41"/>
    <w:rsid w:val="00907EAB"/>
    <w:rsid w:val="009103E3"/>
    <w:rsid w:val="009105E4"/>
    <w:rsid w:val="0091060D"/>
    <w:rsid w:val="00910627"/>
    <w:rsid w:val="00910692"/>
    <w:rsid w:val="00910756"/>
    <w:rsid w:val="00910AEB"/>
    <w:rsid w:val="00910C2A"/>
    <w:rsid w:val="00910CA6"/>
    <w:rsid w:val="00910E6B"/>
    <w:rsid w:val="00910F70"/>
    <w:rsid w:val="00911154"/>
    <w:rsid w:val="009111BE"/>
    <w:rsid w:val="00911381"/>
    <w:rsid w:val="009115A6"/>
    <w:rsid w:val="009118FD"/>
    <w:rsid w:val="00911A4E"/>
    <w:rsid w:val="00911E6E"/>
    <w:rsid w:val="00911E95"/>
    <w:rsid w:val="0091201A"/>
    <w:rsid w:val="009121E6"/>
    <w:rsid w:val="0091243D"/>
    <w:rsid w:val="00912478"/>
    <w:rsid w:val="00912492"/>
    <w:rsid w:val="009124D0"/>
    <w:rsid w:val="00912568"/>
    <w:rsid w:val="009125BB"/>
    <w:rsid w:val="00912A19"/>
    <w:rsid w:val="00912A75"/>
    <w:rsid w:val="00912ADE"/>
    <w:rsid w:val="00912BE2"/>
    <w:rsid w:val="00912DA2"/>
    <w:rsid w:val="00912FCE"/>
    <w:rsid w:val="00912FE2"/>
    <w:rsid w:val="0091301C"/>
    <w:rsid w:val="00913106"/>
    <w:rsid w:val="00913475"/>
    <w:rsid w:val="009135BA"/>
    <w:rsid w:val="0091361F"/>
    <w:rsid w:val="00913DEE"/>
    <w:rsid w:val="00914344"/>
    <w:rsid w:val="009143EC"/>
    <w:rsid w:val="00914604"/>
    <w:rsid w:val="009147DE"/>
    <w:rsid w:val="00914AD0"/>
    <w:rsid w:val="00914C18"/>
    <w:rsid w:val="00914DC3"/>
    <w:rsid w:val="00914E75"/>
    <w:rsid w:val="00914EA6"/>
    <w:rsid w:val="00914F8E"/>
    <w:rsid w:val="00914FFD"/>
    <w:rsid w:val="0091501D"/>
    <w:rsid w:val="009151CE"/>
    <w:rsid w:val="00915293"/>
    <w:rsid w:val="009152DF"/>
    <w:rsid w:val="009156C3"/>
    <w:rsid w:val="009156C7"/>
    <w:rsid w:val="0091596C"/>
    <w:rsid w:val="00915ECD"/>
    <w:rsid w:val="00915F0D"/>
    <w:rsid w:val="00915F42"/>
    <w:rsid w:val="0091612C"/>
    <w:rsid w:val="00916280"/>
    <w:rsid w:val="00916331"/>
    <w:rsid w:val="00916861"/>
    <w:rsid w:val="00916E49"/>
    <w:rsid w:val="00916EB1"/>
    <w:rsid w:val="00916EBC"/>
    <w:rsid w:val="00916F90"/>
    <w:rsid w:val="009170B1"/>
    <w:rsid w:val="009171C3"/>
    <w:rsid w:val="00917390"/>
    <w:rsid w:val="009173EE"/>
    <w:rsid w:val="009173FB"/>
    <w:rsid w:val="00917546"/>
    <w:rsid w:val="009175D4"/>
    <w:rsid w:val="0091791E"/>
    <w:rsid w:val="00917CBC"/>
    <w:rsid w:val="00917D42"/>
    <w:rsid w:val="00917E78"/>
    <w:rsid w:val="00917F2E"/>
    <w:rsid w:val="00917F8A"/>
    <w:rsid w:val="00917F8E"/>
    <w:rsid w:val="009200AD"/>
    <w:rsid w:val="009201C1"/>
    <w:rsid w:val="009203F1"/>
    <w:rsid w:val="00920534"/>
    <w:rsid w:val="0092055A"/>
    <w:rsid w:val="009209EB"/>
    <w:rsid w:val="00920AB1"/>
    <w:rsid w:val="00920D36"/>
    <w:rsid w:val="00920E09"/>
    <w:rsid w:val="00921139"/>
    <w:rsid w:val="00921219"/>
    <w:rsid w:val="00921377"/>
    <w:rsid w:val="00921388"/>
    <w:rsid w:val="009214A3"/>
    <w:rsid w:val="0092172A"/>
    <w:rsid w:val="0092183A"/>
    <w:rsid w:val="0092194E"/>
    <w:rsid w:val="00921AEC"/>
    <w:rsid w:val="00921B15"/>
    <w:rsid w:val="00921C90"/>
    <w:rsid w:val="00921ED5"/>
    <w:rsid w:val="00921FCC"/>
    <w:rsid w:val="009221DD"/>
    <w:rsid w:val="0092226F"/>
    <w:rsid w:val="0092240A"/>
    <w:rsid w:val="0092258C"/>
    <w:rsid w:val="00922601"/>
    <w:rsid w:val="009227FD"/>
    <w:rsid w:val="00922BA9"/>
    <w:rsid w:val="00922BB7"/>
    <w:rsid w:val="00922C7A"/>
    <w:rsid w:val="00922F10"/>
    <w:rsid w:val="0092307D"/>
    <w:rsid w:val="0092316E"/>
    <w:rsid w:val="0092347A"/>
    <w:rsid w:val="009239C0"/>
    <w:rsid w:val="00923B16"/>
    <w:rsid w:val="00923B7A"/>
    <w:rsid w:val="00923CF6"/>
    <w:rsid w:val="00923FF1"/>
    <w:rsid w:val="009240D5"/>
    <w:rsid w:val="0092413E"/>
    <w:rsid w:val="00924163"/>
    <w:rsid w:val="0092418B"/>
    <w:rsid w:val="009242E9"/>
    <w:rsid w:val="00924403"/>
    <w:rsid w:val="0092444E"/>
    <w:rsid w:val="00924694"/>
    <w:rsid w:val="00924A3F"/>
    <w:rsid w:val="00924C3F"/>
    <w:rsid w:val="00924CB8"/>
    <w:rsid w:val="00924D5F"/>
    <w:rsid w:val="00924EC8"/>
    <w:rsid w:val="00924EED"/>
    <w:rsid w:val="00924FF2"/>
    <w:rsid w:val="009253B2"/>
    <w:rsid w:val="009255B2"/>
    <w:rsid w:val="0092561B"/>
    <w:rsid w:val="00925783"/>
    <w:rsid w:val="009259E0"/>
    <w:rsid w:val="00925A46"/>
    <w:rsid w:val="00925C3A"/>
    <w:rsid w:val="00925F07"/>
    <w:rsid w:val="0092603C"/>
    <w:rsid w:val="009260B0"/>
    <w:rsid w:val="0092614A"/>
    <w:rsid w:val="00926408"/>
    <w:rsid w:val="0092650B"/>
    <w:rsid w:val="00926BF1"/>
    <w:rsid w:val="00926CDA"/>
    <w:rsid w:val="00926EC2"/>
    <w:rsid w:val="00926F23"/>
    <w:rsid w:val="00926FC8"/>
    <w:rsid w:val="00927484"/>
    <w:rsid w:val="009276DD"/>
    <w:rsid w:val="00927701"/>
    <w:rsid w:val="00927734"/>
    <w:rsid w:val="00927760"/>
    <w:rsid w:val="0092777B"/>
    <w:rsid w:val="0092780E"/>
    <w:rsid w:val="009279B3"/>
    <w:rsid w:val="00927C9A"/>
    <w:rsid w:val="00927FD8"/>
    <w:rsid w:val="0093008B"/>
    <w:rsid w:val="00930575"/>
    <w:rsid w:val="00930911"/>
    <w:rsid w:val="00930A83"/>
    <w:rsid w:val="00930C39"/>
    <w:rsid w:val="00930D54"/>
    <w:rsid w:val="00930DF8"/>
    <w:rsid w:val="00930E6E"/>
    <w:rsid w:val="00930FD3"/>
    <w:rsid w:val="009310FE"/>
    <w:rsid w:val="00931176"/>
    <w:rsid w:val="009312DC"/>
    <w:rsid w:val="0093153E"/>
    <w:rsid w:val="00931541"/>
    <w:rsid w:val="00931741"/>
    <w:rsid w:val="00931775"/>
    <w:rsid w:val="00931813"/>
    <w:rsid w:val="00931925"/>
    <w:rsid w:val="0093192A"/>
    <w:rsid w:val="00931AA4"/>
    <w:rsid w:val="009322AA"/>
    <w:rsid w:val="0093232B"/>
    <w:rsid w:val="009324E1"/>
    <w:rsid w:val="00932729"/>
    <w:rsid w:val="009327C9"/>
    <w:rsid w:val="00932876"/>
    <w:rsid w:val="009328F0"/>
    <w:rsid w:val="009329A2"/>
    <w:rsid w:val="00932B84"/>
    <w:rsid w:val="00932BD4"/>
    <w:rsid w:val="00932C76"/>
    <w:rsid w:val="00932D76"/>
    <w:rsid w:val="0093307D"/>
    <w:rsid w:val="0093313A"/>
    <w:rsid w:val="0093333C"/>
    <w:rsid w:val="0093350B"/>
    <w:rsid w:val="009336A1"/>
    <w:rsid w:val="00933932"/>
    <w:rsid w:val="00933BC7"/>
    <w:rsid w:val="00933E50"/>
    <w:rsid w:val="009341BF"/>
    <w:rsid w:val="009341F9"/>
    <w:rsid w:val="0093432D"/>
    <w:rsid w:val="0093433C"/>
    <w:rsid w:val="00934360"/>
    <w:rsid w:val="0093469B"/>
    <w:rsid w:val="009348AF"/>
    <w:rsid w:val="0093490A"/>
    <w:rsid w:val="00934972"/>
    <w:rsid w:val="00934FC5"/>
    <w:rsid w:val="0093529C"/>
    <w:rsid w:val="0093535A"/>
    <w:rsid w:val="0093544D"/>
    <w:rsid w:val="00935BC3"/>
    <w:rsid w:val="00935CD3"/>
    <w:rsid w:val="00936166"/>
    <w:rsid w:val="00936197"/>
    <w:rsid w:val="00936229"/>
    <w:rsid w:val="0093626F"/>
    <w:rsid w:val="0093641C"/>
    <w:rsid w:val="00936549"/>
    <w:rsid w:val="00936878"/>
    <w:rsid w:val="00936CA3"/>
    <w:rsid w:val="00936CC8"/>
    <w:rsid w:val="00936DD7"/>
    <w:rsid w:val="00936DE3"/>
    <w:rsid w:val="00936F34"/>
    <w:rsid w:val="00936F43"/>
    <w:rsid w:val="00937024"/>
    <w:rsid w:val="009370EE"/>
    <w:rsid w:val="009373AF"/>
    <w:rsid w:val="009375EE"/>
    <w:rsid w:val="0093767B"/>
    <w:rsid w:val="00937A1E"/>
    <w:rsid w:val="00937AC3"/>
    <w:rsid w:val="0094004C"/>
    <w:rsid w:val="009406D1"/>
    <w:rsid w:val="009407F0"/>
    <w:rsid w:val="00940966"/>
    <w:rsid w:val="00940B99"/>
    <w:rsid w:val="00940D46"/>
    <w:rsid w:val="00940EDC"/>
    <w:rsid w:val="00940EF2"/>
    <w:rsid w:val="00940FDD"/>
    <w:rsid w:val="00940FF4"/>
    <w:rsid w:val="0094128A"/>
    <w:rsid w:val="00941431"/>
    <w:rsid w:val="0094144D"/>
    <w:rsid w:val="00941769"/>
    <w:rsid w:val="009418B3"/>
    <w:rsid w:val="00942020"/>
    <w:rsid w:val="009421F4"/>
    <w:rsid w:val="00942461"/>
    <w:rsid w:val="0094256B"/>
    <w:rsid w:val="00942591"/>
    <w:rsid w:val="009429C2"/>
    <w:rsid w:val="00942A1B"/>
    <w:rsid w:val="00942B32"/>
    <w:rsid w:val="00942BE9"/>
    <w:rsid w:val="00942C22"/>
    <w:rsid w:val="0094307D"/>
    <w:rsid w:val="0094319A"/>
    <w:rsid w:val="009431E5"/>
    <w:rsid w:val="00943247"/>
    <w:rsid w:val="009432B4"/>
    <w:rsid w:val="00943511"/>
    <w:rsid w:val="00943600"/>
    <w:rsid w:val="0094370B"/>
    <w:rsid w:val="0094395A"/>
    <w:rsid w:val="009439DC"/>
    <w:rsid w:val="009439F4"/>
    <w:rsid w:val="00943BB8"/>
    <w:rsid w:val="00943C44"/>
    <w:rsid w:val="00943C56"/>
    <w:rsid w:val="00943CA6"/>
    <w:rsid w:val="00943DE4"/>
    <w:rsid w:val="00943E8B"/>
    <w:rsid w:val="00943FAD"/>
    <w:rsid w:val="00944035"/>
    <w:rsid w:val="00944064"/>
    <w:rsid w:val="0094406E"/>
    <w:rsid w:val="0094419B"/>
    <w:rsid w:val="0094493B"/>
    <w:rsid w:val="00944A97"/>
    <w:rsid w:val="00944B85"/>
    <w:rsid w:val="00944B8A"/>
    <w:rsid w:val="00944DFC"/>
    <w:rsid w:val="00944F08"/>
    <w:rsid w:val="00945003"/>
    <w:rsid w:val="0094515E"/>
    <w:rsid w:val="009451FF"/>
    <w:rsid w:val="0094523B"/>
    <w:rsid w:val="0094541D"/>
    <w:rsid w:val="00945579"/>
    <w:rsid w:val="00945599"/>
    <w:rsid w:val="009455B7"/>
    <w:rsid w:val="0094563F"/>
    <w:rsid w:val="00945E88"/>
    <w:rsid w:val="00946005"/>
    <w:rsid w:val="0094609F"/>
    <w:rsid w:val="009460DC"/>
    <w:rsid w:val="0094623D"/>
    <w:rsid w:val="0094679E"/>
    <w:rsid w:val="009468A8"/>
    <w:rsid w:val="00946CE4"/>
    <w:rsid w:val="00946D36"/>
    <w:rsid w:val="00946D5A"/>
    <w:rsid w:val="00946F1B"/>
    <w:rsid w:val="00946FA7"/>
    <w:rsid w:val="009471F4"/>
    <w:rsid w:val="0094739F"/>
    <w:rsid w:val="00947505"/>
    <w:rsid w:val="009476EE"/>
    <w:rsid w:val="00947723"/>
    <w:rsid w:val="00947774"/>
    <w:rsid w:val="00947931"/>
    <w:rsid w:val="00947C22"/>
    <w:rsid w:val="00947D0D"/>
    <w:rsid w:val="00947D20"/>
    <w:rsid w:val="00947D9C"/>
    <w:rsid w:val="00947DE6"/>
    <w:rsid w:val="00947E44"/>
    <w:rsid w:val="00947E54"/>
    <w:rsid w:val="00947FBB"/>
    <w:rsid w:val="00950054"/>
    <w:rsid w:val="00950071"/>
    <w:rsid w:val="009503F9"/>
    <w:rsid w:val="00950528"/>
    <w:rsid w:val="0095055E"/>
    <w:rsid w:val="009505A3"/>
    <w:rsid w:val="0095060B"/>
    <w:rsid w:val="00950672"/>
    <w:rsid w:val="009508E8"/>
    <w:rsid w:val="00950915"/>
    <w:rsid w:val="009509FC"/>
    <w:rsid w:val="00950B66"/>
    <w:rsid w:val="00950B6E"/>
    <w:rsid w:val="00950B90"/>
    <w:rsid w:val="00950C06"/>
    <w:rsid w:val="00950DDB"/>
    <w:rsid w:val="00950DE1"/>
    <w:rsid w:val="00950E30"/>
    <w:rsid w:val="0095105C"/>
    <w:rsid w:val="009510FD"/>
    <w:rsid w:val="0095124F"/>
    <w:rsid w:val="009518D6"/>
    <w:rsid w:val="009519E2"/>
    <w:rsid w:val="00951A65"/>
    <w:rsid w:val="00951CC4"/>
    <w:rsid w:val="00951CE6"/>
    <w:rsid w:val="00951D02"/>
    <w:rsid w:val="00951E98"/>
    <w:rsid w:val="009520DC"/>
    <w:rsid w:val="00952119"/>
    <w:rsid w:val="0095220C"/>
    <w:rsid w:val="0095227B"/>
    <w:rsid w:val="0095230C"/>
    <w:rsid w:val="009523B3"/>
    <w:rsid w:val="009523C7"/>
    <w:rsid w:val="00952801"/>
    <w:rsid w:val="00952C2A"/>
    <w:rsid w:val="00952C52"/>
    <w:rsid w:val="00952C5C"/>
    <w:rsid w:val="00952C5F"/>
    <w:rsid w:val="00952D86"/>
    <w:rsid w:val="00952EB9"/>
    <w:rsid w:val="00952FA0"/>
    <w:rsid w:val="00953035"/>
    <w:rsid w:val="0095333C"/>
    <w:rsid w:val="009533A5"/>
    <w:rsid w:val="00953411"/>
    <w:rsid w:val="00953562"/>
    <w:rsid w:val="009536AA"/>
    <w:rsid w:val="009536B9"/>
    <w:rsid w:val="00953946"/>
    <w:rsid w:val="00953A15"/>
    <w:rsid w:val="00953EFD"/>
    <w:rsid w:val="00954002"/>
    <w:rsid w:val="00954705"/>
    <w:rsid w:val="009548D0"/>
    <w:rsid w:val="00954C9F"/>
    <w:rsid w:val="00954CDE"/>
    <w:rsid w:val="00954D06"/>
    <w:rsid w:val="00954D57"/>
    <w:rsid w:val="00954E5C"/>
    <w:rsid w:val="00954EE7"/>
    <w:rsid w:val="00954F17"/>
    <w:rsid w:val="00954FD6"/>
    <w:rsid w:val="00954FDA"/>
    <w:rsid w:val="00955428"/>
    <w:rsid w:val="00955447"/>
    <w:rsid w:val="00955495"/>
    <w:rsid w:val="00955710"/>
    <w:rsid w:val="00955862"/>
    <w:rsid w:val="00955CD6"/>
    <w:rsid w:val="00955FEF"/>
    <w:rsid w:val="00956162"/>
    <w:rsid w:val="009564A4"/>
    <w:rsid w:val="009565B5"/>
    <w:rsid w:val="00956777"/>
    <w:rsid w:val="009567FD"/>
    <w:rsid w:val="00956A09"/>
    <w:rsid w:val="00956C52"/>
    <w:rsid w:val="0095705B"/>
    <w:rsid w:val="009573DB"/>
    <w:rsid w:val="00957450"/>
    <w:rsid w:val="00957453"/>
    <w:rsid w:val="00957551"/>
    <w:rsid w:val="009575E3"/>
    <w:rsid w:val="00957644"/>
    <w:rsid w:val="0095789E"/>
    <w:rsid w:val="009578C3"/>
    <w:rsid w:val="00957942"/>
    <w:rsid w:val="00957B0C"/>
    <w:rsid w:val="00957B7E"/>
    <w:rsid w:val="00957D0E"/>
    <w:rsid w:val="00957F19"/>
    <w:rsid w:val="0096009D"/>
    <w:rsid w:val="009601AB"/>
    <w:rsid w:val="0096045E"/>
    <w:rsid w:val="00960686"/>
    <w:rsid w:val="00960839"/>
    <w:rsid w:val="00960A2A"/>
    <w:rsid w:val="00960AA6"/>
    <w:rsid w:val="00960DC0"/>
    <w:rsid w:val="00960FA6"/>
    <w:rsid w:val="00960FF2"/>
    <w:rsid w:val="009611EE"/>
    <w:rsid w:val="009611EF"/>
    <w:rsid w:val="00961227"/>
    <w:rsid w:val="009613BC"/>
    <w:rsid w:val="009614B4"/>
    <w:rsid w:val="009618E4"/>
    <w:rsid w:val="009618FB"/>
    <w:rsid w:val="00961B77"/>
    <w:rsid w:val="00961C4F"/>
    <w:rsid w:val="00961DF4"/>
    <w:rsid w:val="00962061"/>
    <w:rsid w:val="00962958"/>
    <w:rsid w:val="00962B60"/>
    <w:rsid w:val="00962BAE"/>
    <w:rsid w:val="00963172"/>
    <w:rsid w:val="00963213"/>
    <w:rsid w:val="009632E2"/>
    <w:rsid w:val="009634BF"/>
    <w:rsid w:val="00963505"/>
    <w:rsid w:val="00963725"/>
    <w:rsid w:val="00963922"/>
    <w:rsid w:val="0096396C"/>
    <w:rsid w:val="00963EA4"/>
    <w:rsid w:val="00964040"/>
    <w:rsid w:val="0096425F"/>
    <w:rsid w:val="0096436A"/>
    <w:rsid w:val="009644F0"/>
    <w:rsid w:val="009645F7"/>
    <w:rsid w:val="009645FF"/>
    <w:rsid w:val="00964827"/>
    <w:rsid w:val="00964AB4"/>
    <w:rsid w:val="00964CD3"/>
    <w:rsid w:val="00964EA6"/>
    <w:rsid w:val="00965061"/>
    <w:rsid w:val="0096510F"/>
    <w:rsid w:val="00965232"/>
    <w:rsid w:val="0096546E"/>
    <w:rsid w:val="00965555"/>
    <w:rsid w:val="009659AE"/>
    <w:rsid w:val="00965A05"/>
    <w:rsid w:val="00965A46"/>
    <w:rsid w:val="00965BAC"/>
    <w:rsid w:val="00965C76"/>
    <w:rsid w:val="00965D3D"/>
    <w:rsid w:val="00965EB5"/>
    <w:rsid w:val="00965F5F"/>
    <w:rsid w:val="00966264"/>
    <w:rsid w:val="0096627B"/>
    <w:rsid w:val="00966367"/>
    <w:rsid w:val="00966560"/>
    <w:rsid w:val="009668B2"/>
    <w:rsid w:val="00966C33"/>
    <w:rsid w:val="00966D91"/>
    <w:rsid w:val="00967046"/>
    <w:rsid w:val="00967495"/>
    <w:rsid w:val="0096762D"/>
    <w:rsid w:val="009676EB"/>
    <w:rsid w:val="00967729"/>
    <w:rsid w:val="00967751"/>
    <w:rsid w:val="0096778B"/>
    <w:rsid w:val="00967996"/>
    <w:rsid w:val="00967A0E"/>
    <w:rsid w:val="00967BB3"/>
    <w:rsid w:val="00967BBF"/>
    <w:rsid w:val="00967E6F"/>
    <w:rsid w:val="0097045B"/>
    <w:rsid w:val="00970592"/>
    <w:rsid w:val="009705EB"/>
    <w:rsid w:val="00970727"/>
    <w:rsid w:val="00970880"/>
    <w:rsid w:val="00970996"/>
    <w:rsid w:val="00970B91"/>
    <w:rsid w:val="00970CC6"/>
    <w:rsid w:val="00970E25"/>
    <w:rsid w:val="00970F04"/>
    <w:rsid w:val="00971303"/>
    <w:rsid w:val="00971350"/>
    <w:rsid w:val="009713F1"/>
    <w:rsid w:val="0097150A"/>
    <w:rsid w:val="00971694"/>
    <w:rsid w:val="009719F7"/>
    <w:rsid w:val="00971AE2"/>
    <w:rsid w:val="00971B3D"/>
    <w:rsid w:val="00971CED"/>
    <w:rsid w:val="009720DC"/>
    <w:rsid w:val="009724AC"/>
    <w:rsid w:val="0097254D"/>
    <w:rsid w:val="009726B3"/>
    <w:rsid w:val="009729D2"/>
    <w:rsid w:val="00972B55"/>
    <w:rsid w:val="00972F2A"/>
    <w:rsid w:val="009730BD"/>
    <w:rsid w:val="0097319F"/>
    <w:rsid w:val="00973226"/>
    <w:rsid w:val="0097330B"/>
    <w:rsid w:val="00973AD3"/>
    <w:rsid w:val="00973CBC"/>
    <w:rsid w:val="009740FB"/>
    <w:rsid w:val="009741DD"/>
    <w:rsid w:val="0097443C"/>
    <w:rsid w:val="00974703"/>
    <w:rsid w:val="00974912"/>
    <w:rsid w:val="00974B85"/>
    <w:rsid w:val="00974C1E"/>
    <w:rsid w:val="00974D12"/>
    <w:rsid w:val="00974D2A"/>
    <w:rsid w:val="009750D3"/>
    <w:rsid w:val="009751B5"/>
    <w:rsid w:val="009751E0"/>
    <w:rsid w:val="009752E1"/>
    <w:rsid w:val="00975612"/>
    <w:rsid w:val="0097580E"/>
    <w:rsid w:val="00975A09"/>
    <w:rsid w:val="00975E2A"/>
    <w:rsid w:val="00975E6F"/>
    <w:rsid w:val="00975F26"/>
    <w:rsid w:val="009763A4"/>
    <w:rsid w:val="00976462"/>
    <w:rsid w:val="0097668E"/>
    <w:rsid w:val="00976C4D"/>
    <w:rsid w:val="00976DB4"/>
    <w:rsid w:val="00976EA2"/>
    <w:rsid w:val="00976ECA"/>
    <w:rsid w:val="00976F02"/>
    <w:rsid w:val="0097713E"/>
    <w:rsid w:val="0097723C"/>
    <w:rsid w:val="00977373"/>
    <w:rsid w:val="0097741C"/>
    <w:rsid w:val="00977468"/>
    <w:rsid w:val="00977492"/>
    <w:rsid w:val="009776D2"/>
    <w:rsid w:val="0097786F"/>
    <w:rsid w:val="00977B75"/>
    <w:rsid w:val="00977C7F"/>
    <w:rsid w:val="00977EC1"/>
    <w:rsid w:val="009801F7"/>
    <w:rsid w:val="009802EB"/>
    <w:rsid w:val="0098084A"/>
    <w:rsid w:val="00980B8D"/>
    <w:rsid w:val="00980BD7"/>
    <w:rsid w:val="00981016"/>
    <w:rsid w:val="009810BF"/>
    <w:rsid w:val="009812C4"/>
    <w:rsid w:val="00981385"/>
    <w:rsid w:val="009813C8"/>
    <w:rsid w:val="009814C4"/>
    <w:rsid w:val="009816FB"/>
    <w:rsid w:val="009817C0"/>
    <w:rsid w:val="009817C6"/>
    <w:rsid w:val="0098184F"/>
    <w:rsid w:val="009819B2"/>
    <w:rsid w:val="00981A49"/>
    <w:rsid w:val="00981BB5"/>
    <w:rsid w:val="00981F78"/>
    <w:rsid w:val="00982555"/>
    <w:rsid w:val="00982825"/>
    <w:rsid w:val="0098292C"/>
    <w:rsid w:val="009829E1"/>
    <w:rsid w:val="00982A3B"/>
    <w:rsid w:val="00982AAE"/>
    <w:rsid w:val="00982B20"/>
    <w:rsid w:val="00982B39"/>
    <w:rsid w:val="00982DAC"/>
    <w:rsid w:val="00982DE0"/>
    <w:rsid w:val="00982F2A"/>
    <w:rsid w:val="0098328E"/>
    <w:rsid w:val="00983467"/>
    <w:rsid w:val="009836FC"/>
    <w:rsid w:val="00983BC2"/>
    <w:rsid w:val="00983BE5"/>
    <w:rsid w:val="00983C2C"/>
    <w:rsid w:val="00983C4A"/>
    <w:rsid w:val="00983F3C"/>
    <w:rsid w:val="00984149"/>
    <w:rsid w:val="009843FA"/>
    <w:rsid w:val="0098477C"/>
    <w:rsid w:val="009849FD"/>
    <w:rsid w:val="00984A12"/>
    <w:rsid w:val="00984D1C"/>
    <w:rsid w:val="00984DDE"/>
    <w:rsid w:val="00984E0C"/>
    <w:rsid w:val="00984F8D"/>
    <w:rsid w:val="00985010"/>
    <w:rsid w:val="0098526D"/>
    <w:rsid w:val="00985338"/>
    <w:rsid w:val="00985379"/>
    <w:rsid w:val="009855AD"/>
    <w:rsid w:val="009856B2"/>
    <w:rsid w:val="0098577E"/>
    <w:rsid w:val="00985BAC"/>
    <w:rsid w:val="00985C86"/>
    <w:rsid w:val="00985CBD"/>
    <w:rsid w:val="00985D0E"/>
    <w:rsid w:val="00985D52"/>
    <w:rsid w:val="00985F74"/>
    <w:rsid w:val="00985FA9"/>
    <w:rsid w:val="00985FB4"/>
    <w:rsid w:val="0098606A"/>
    <w:rsid w:val="009861BA"/>
    <w:rsid w:val="0098624D"/>
    <w:rsid w:val="00986335"/>
    <w:rsid w:val="009863BE"/>
    <w:rsid w:val="00986599"/>
    <w:rsid w:val="0098669A"/>
    <w:rsid w:val="00987121"/>
    <w:rsid w:val="00987179"/>
    <w:rsid w:val="0098718A"/>
    <w:rsid w:val="009871E7"/>
    <w:rsid w:val="00987205"/>
    <w:rsid w:val="00987346"/>
    <w:rsid w:val="00987528"/>
    <w:rsid w:val="0098755B"/>
    <w:rsid w:val="00987689"/>
    <w:rsid w:val="0098783B"/>
    <w:rsid w:val="00987879"/>
    <w:rsid w:val="009878C0"/>
    <w:rsid w:val="00987AC8"/>
    <w:rsid w:val="00987BDD"/>
    <w:rsid w:val="00987C0C"/>
    <w:rsid w:val="00987C31"/>
    <w:rsid w:val="00987C97"/>
    <w:rsid w:val="00987E76"/>
    <w:rsid w:val="00990090"/>
    <w:rsid w:val="009900A2"/>
    <w:rsid w:val="00990247"/>
    <w:rsid w:val="00990387"/>
    <w:rsid w:val="009903A9"/>
    <w:rsid w:val="0099068A"/>
    <w:rsid w:val="009909BB"/>
    <w:rsid w:val="00990AAB"/>
    <w:rsid w:val="00990E20"/>
    <w:rsid w:val="009911AE"/>
    <w:rsid w:val="00991485"/>
    <w:rsid w:val="00991701"/>
    <w:rsid w:val="0099180B"/>
    <w:rsid w:val="0099192B"/>
    <w:rsid w:val="00991B38"/>
    <w:rsid w:val="00991BAC"/>
    <w:rsid w:val="00991DA4"/>
    <w:rsid w:val="009920E1"/>
    <w:rsid w:val="00992203"/>
    <w:rsid w:val="00992283"/>
    <w:rsid w:val="0099231B"/>
    <w:rsid w:val="009923ED"/>
    <w:rsid w:val="00992405"/>
    <w:rsid w:val="0099240B"/>
    <w:rsid w:val="00992567"/>
    <w:rsid w:val="009926D3"/>
    <w:rsid w:val="00992882"/>
    <w:rsid w:val="00992B19"/>
    <w:rsid w:val="00992E3D"/>
    <w:rsid w:val="00992F1D"/>
    <w:rsid w:val="00992F62"/>
    <w:rsid w:val="00992FB0"/>
    <w:rsid w:val="009930CC"/>
    <w:rsid w:val="00993203"/>
    <w:rsid w:val="009932BC"/>
    <w:rsid w:val="009933F0"/>
    <w:rsid w:val="009934A9"/>
    <w:rsid w:val="009936B3"/>
    <w:rsid w:val="009939C0"/>
    <w:rsid w:val="00993C61"/>
    <w:rsid w:val="00993D39"/>
    <w:rsid w:val="00993DC2"/>
    <w:rsid w:val="00993DDD"/>
    <w:rsid w:val="009947CD"/>
    <w:rsid w:val="00994948"/>
    <w:rsid w:val="00994DC2"/>
    <w:rsid w:val="009951B7"/>
    <w:rsid w:val="009955E1"/>
    <w:rsid w:val="0099585F"/>
    <w:rsid w:val="009958FD"/>
    <w:rsid w:val="009959F0"/>
    <w:rsid w:val="00995AD7"/>
    <w:rsid w:val="00995BE2"/>
    <w:rsid w:val="00995CAF"/>
    <w:rsid w:val="0099607C"/>
    <w:rsid w:val="0099609A"/>
    <w:rsid w:val="00996180"/>
    <w:rsid w:val="00996248"/>
    <w:rsid w:val="009964B7"/>
    <w:rsid w:val="00996C1F"/>
    <w:rsid w:val="00996C98"/>
    <w:rsid w:val="009971DD"/>
    <w:rsid w:val="00997720"/>
    <w:rsid w:val="0099784F"/>
    <w:rsid w:val="00997A22"/>
    <w:rsid w:val="00997CB7"/>
    <w:rsid w:val="00997D88"/>
    <w:rsid w:val="00997EB1"/>
    <w:rsid w:val="00997EF2"/>
    <w:rsid w:val="009A0204"/>
    <w:rsid w:val="009A0704"/>
    <w:rsid w:val="009A084A"/>
    <w:rsid w:val="009A0949"/>
    <w:rsid w:val="009A0B4C"/>
    <w:rsid w:val="009A0E18"/>
    <w:rsid w:val="009A0ED6"/>
    <w:rsid w:val="009A1035"/>
    <w:rsid w:val="009A10B6"/>
    <w:rsid w:val="009A1387"/>
    <w:rsid w:val="009A1389"/>
    <w:rsid w:val="009A1935"/>
    <w:rsid w:val="009A1DCE"/>
    <w:rsid w:val="009A1FED"/>
    <w:rsid w:val="009A2182"/>
    <w:rsid w:val="009A2418"/>
    <w:rsid w:val="009A2615"/>
    <w:rsid w:val="009A29A4"/>
    <w:rsid w:val="009A2B42"/>
    <w:rsid w:val="009A2E91"/>
    <w:rsid w:val="009A2EA8"/>
    <w:rsid w:val="009A30EA"/>
    <w:rsid w:val="009A3185"/>
    <w:rsid w:val="009A37C4"/>
    <w:rsid w:val="009A3AF7"/>
    <w:rsid w:val="009A3B03"/>
    <w:rsid w:val="009A3B68"/>
    <w:rsid w:val="009A3E0C"/>
    <w:rsid w:val="009A3E77"/>
    <w:rsid w:val="009A3EAB"/>
    <w:rsid w:val="009A3F6F"/>
    <w:rsid w:val="009A3F9D"/>
    <w:rsid w:val="009A468C"/>
    <w:rsid w:val="009A4757"/>
    <w:rsid w:val="009A4863"/>
    <w:rsid w:val="009A4B63"/>
    <w:rsid w:val="009A4B74"/>
    <w:rsid w:val="009A4BA8"/>
    <w:rsid w:val="009A4EBB"/>
    <w:rsid w:val="009A4ECD"/>
    <w:rsid w:val="009A4EE6"/>
    <w:rsid w:val="009A4EFB"/>
    <w:rsid w:val="009A4F98"/>
    <w:rsid w:val="009A5179"/>
    <w:rsid w:val="009A527F"/>
    <w:rsid w:val="009A54D9"/>
    <w:rsid w:val="009A555A"/>
    <w:rsid w:val="009A5608"/>
    <w:rsid w:val="009A5789"/>
    <w:rsid w:val="009A5840"/>
    <w:rsid w:val="009A590F"/>
    <w:rsid w:val="009A59D1"/>
    <w:rsid w:val="009A5A8F"/>
    <w:rsid w:val="009A5B05"/>
    <w:rsid w:val="009A5B4E"/>
    <w:rsid w:val="009A5F1E"/>
    <w:rsid w:val="009A6141"/>
    <w:rsid w:val="009A6415"/>
    <w:rsid w:val="009A64AF"/>
    <w:rsid w:val="009A65F7"/>
    <w:rsid w:val="009A6628"/>
    <w:rsid w:val="009A6864"/>
    <w:rsid w:val="009A69CD"/>
    <w:rsid w:val="009A6A07"/>
    <w:rsid w:val="009A6C79"/>
    <w:rsid w:val="009A6D1B"/>
    <w:rsid w:val="009A6E38"/>
    <w:rsid w:val="009A6F82"/>
    <w:rsid w:val="009A7038"/>
    <w:rsid w:val="009A71C5"/>
    <w:rsid w:val="009A7232"/>
    <w:rsid w:val="009A723C"/>
    <w:rsid w:val="009A7257"/>
    <w:rsid w:val="009A746A"/>
    <w:rsid w:val="009A7584"/>
    <w:rsid w:val="009A765B"/>
    <w:rsid w:val="009A7B02"/>
    <w:rsid w:val="009A7BC3"/>
    <w:rsid w:val="009A7CFD"/>
    <w:rsid w:val="009A7DCA"/>
    <w:rsid w:val="009B0009"/>
    <w:rsid w:val="009B0162"/>
    <w:rsid w:val="009B0448"/>
    <w:rsid w:val="009B04B3"/>
    <w:rsid w:val="009B051F"/>
    <w:rsid w:val="009B07A0"/>
    <w:rsid w:val="009B0B91"/>
    <w:rsid w:val="009B0EBC"/>
    <w:rsid w:val="009B0FDD"/>
    <w:rsid w:val="009B1283"/>
    <w:rsid w:val="009B14CE"/>
    <w:rsid w:val="009B15B7"/>
    <w:rsid w:val="009B176C"/>
    <w:rsid w:val="009B17AE"/>
    <w:rsid w:val="009B1B35"/>
    <w:rsid w:val="009B1B67"/>
    <w:rsid w:val="009B1EF8"/>
    <w:rsid w:val="009B1FCD"/>
    <w:rsid w:val="009B236A"/>
    <w:rsid w:val="009B2481"/>
    <w:rsid w:val="009B24AA"/>
    <w:rsid w:val="009B25A0"/>
    <w:rsid w:val="009B27B8"/>
    <w:rsid w:val="009B2820"/>
    <w:rsid w:val="009B28E0"/>
    <w:rsid w:val="009B2A03"/>
    <w:rsid w:val="009B2AED"/>
    <w:rsid w:val="009B2C00"/>
    <w:rsid w:val="009B2E12"/>
    <w:rsid w:val="009B2FDE"/>
    <w:rsid w:val="009B3038"/>
    <w:rsid w:val="009B31BF"/>
    <w:rsid w:val="009B3623"/>
    <w:rsid w:val="009B37FA"/>
    <w:rsid w:val="009B39B7"/>
    <w:rsid w:val="009B39E0"/>
    <w:rsid w:val="009B39EE"/>
    <w:rsid w:val="009B3B6A"/>
    <w:rsid w:val="009B3B85"/>
    <w:rsid w:val="009B3B9C"/>
    <w:rsid w:val="009B3ED5"/>
    <w:rsid w:val="009B4176"/>
    <w:rsid w:val="009B439E"/>
    <w:rsid w:val="009B4401"/>
    <w:rsid w:val="009B47CE"/>
    <w:rsid w:val="009B4841"/>
    <w:rsid w:val="009B4843"/>
    <w:rsid w:val="009B4872"/>
    <w:rsid w:val="009B4C1A"/>
    <w:rsid w:val="009B4E23"/>
    <w:rsid w:val="009B53E5"/>
    <w:rsid w:val="009B5523"/>
    <w:rsid w:val="009B5532"/>
    <w:rsid w:val="009B5592"/>
    <w:rsid w:val="009B568A"/>
    <w:rsid w:val="009B56CA"/>
    <w:rsid w:val="009B59DF"/>
    <w:rsid w:val="009B5A33"/>
    <w:rsid w:val="009B5CCC"/>
    <w:rsid w:val="009B5D2C"/>
    <w:rsid w:val="009B5D8E"/>
    <w:rsid w:val="009B5DDC"/>
    <w:rsid w:val="009B5DF2"/>
    <w:rsid w:val="009B5E41"/>
    <w:rsid w:val="009B5EAC"/>
    <w:rsid w:val="009B5FC8"/>
    <w:rsid w:val="009B63E1"/>
    <w:rsid w:val="009B64D7"/>
    <w:rsid w:val="009B657F"/>
    <w:rsid w:val="009B6647"/>
    <w:rsid w:val="009B69EA"/>
    <w:rsid w:val="009B6B8B"/>
    <w:rsid w:val="009B6DC7"/>
    <w:rsid w:val="009B6DD0"/>
    <w:rsid w:val="009B6F98"/>
    <w:rsid w:val="009B6FFA"/>
    <w:rsid w:val="009B7319"/>
    <w:rsid w:val="009B7346"/>
    <w:rsid w:val="009B740B"/>
    <w:rsid w:val="009B74E9"/>
    <w:rsid w:val="009B7650"/>
    <w:rsid w:val="009B7718"/>
    <w:rsid w:val="009B775A"/>
    <w:rsid w:val="009B78E1"/>
    <w:rsid w:val="009B78E8"/>
    <w:rsid w:val="009B7C23"/>
    <w:rsid w:val="009B7CED"/>
    <w:rsid w:val="009B7E55"/>
    <w:rsid w:val="009C0027"/>
    <w:rsid w:val="009C002F"/>
    <w:rsid w:val="009C0085"/>
    <w:rsid w:val="009C00A6"/>
    <w:rsid w:val="009C03E0"/>
    <w:rsid w:val="009C04BD"/>
    <w:rsid w:val="009C0796"/>
    <w:rsid w:val="009C079F"/>
    <w:rsid w:val="009C07F4"/>
    <w:rsid w:val="009C0A03"/>
    <w:rsid w:val="009C0A15"/>
    <w:rsid w:val="009C0D6E"/>
    <w:rsid w:val="009C0DE2"/>
    <w:rsid w:val="009C0F1C"/>
    <w:rsid w:val="009C134B"/>
    <w:rsid w:val="009C15A5"/>
    <w:rsid w:val="009C165B"/>
    <w:rsid w:val="009C1A7A"/>
    <w:rsid w:val="009C1BFD"/>
    <w:rsid w:val="009C1CFF"/>
    <w:rsid w:val="009C1D2D"/>
    <w:rsid w:val="009C1F42"/>
    <w:rsid w:val="009C20DA"/>
    <w:rsid w:val="009C236F"/>
    <w:rsid w:val="009C26CA"/>
    <w:rsid w:val="009C2A0A"/>
    <w:rsid w:val="009C2BDC"/>
    <w:rsid w:val="009C2C0D"/>
    <w:rsid w:val="009C2C9E"/>
    <w:rsid w:val="009C2D0E"/>
    <w:rsid w:val="009C2FE5"/>
    <w:rsid w:val="009C30C4"/>
    <w:rsid w:val="009C31EB"/>
    <w:rsid w:val="009C32A1"/>
    <w:rsid w:val="009C32D8"/>
    <w:rsid w:val="009C33BD"/>
    <w:rsid w:val="009C3466"/>
    <w:rsid w:val="009C3607"/>
    <w:rsid w:val="009C3612"/>
    <w:rsid w:val="009C42E3"/>
    <w:rsid w:val="009C4311"/>
    <w:rsid w:val="009C4431"/>
    <w:rsid w:val="009C4494"/>
    <w:rsid w:val="009C45B5"/>
    <w:rsid w:val="009C4682"/>
    <w:rsid w:val="009C4717"/>
    <w:rsid w:val="009C48E3"/>
    <w:rsid w:val="009C4A00"/>
    <w:rsid w:val="009C4AC4"/>
    <w:rsid w:val="009C4ACF"/>
    <w:rsid w:val="009C5020"/>
    <w:rsid w:val="009C523B"/>
    <w:rsid w:val="009C539B"/>
    <w:rsid w:val="009C5419"/>
    <w:rsid w:val="009C5532"/>
    <w:rsid w:val="009C5556"/>
    <w:rsid w:val="009C5587"/>
    <w:rsid w:val="009C55C6"/>
    <w:rsid w:val="009C55F8"/>
    <w:rsid w:val="009C56B7"/>
    <w:rsid w:val="009C5764"/>
    <w:rsid w:val="009C57C3"/>
    <w:rsid w:val="009C5996"/>
    <w:rsid w:val="009C5AD1"/>
    <w:rsid w:val="009C5B9C"/>
    <w:rsid w:val="009C5D0B"/>
    <w:rsid w:val="009C5FA6"/>
    <w:rsid w:val="009C5FB0"/>
    <w:rsid w:val="009C601C"/>
    <w:rsid w:val="009C63AB"/>
    <w:rsid w:val="009C64B6"/>
    <w:rsid w:val="009C6516"/>
    <w:rsid w:val="009C6687"/>
    <w:rsid w:val="009C671A"/>
    <w:rsid w:val="009C681E"/>
    <w:rsid w:val="009C6C37"/>
    <w:rsid w:val="009C6D4A"/>
    <w:rsid w:val="009C6F17"/>
    <w:rsid w:val="009C7109"/>
    <w:rsid w:val="009C7140"/>
    <w:rsid w:val="009C7777"/>
    <w:rsid w:val="009C7A2A"/>
    <w:rsid w:val="009C7D3B"/>
    <w:rsid w:val="009C7F0E"/>
    <w:rsid w:val="009C7F7B"/>
    <w:rsid w:val="009D02F9"/>
    <w:rsid w:val="009D0459"/>
    <w:rsid w:val="009D0771"/>
    <w:rsid w:val="009D081E"/>
    <w:rsid w:val="009D09D3"/>
    <w:rsid w:val="009D0D36"/>
    <w:rsid w:val="009D0E4D"/>
    <w:rsid w:val="009D0EAE"/>
    <w:rsid w:val="009D0F94"/>
    <w:rsid w:val="009D108F"/>
    <w:rsid w:val="009D1265"/>
    <w:rsid w:val="009D1372"/>
    <w:rsid w:val="009D166E"/>
    <w:rsid w:val="009D1936"/>
    <w:rsid w:val="009D1B0F"/>
    <w:rsid w:val="009D1B30"/>
    <w:rsid w:val="009D1D8F"/>
    <w:rsid w:val="009D21D7"/>
    <w:rsid w:val="009D21E9"/>
    <w:rsid w:val="009D224D"/>
    <w:rsid w:val="009D2270"/>
    <w:rsid w:val="009D274F"/>
    <w:rsid w:val="009D2B51"/>
    <w:rsid w:val="009D2B5C"/>
    <w:rsid w:val="009D2B9F"/>
    <w:rsid w:val="009D2C41"/>
    <w:rsid w:val="009D2DB2"/>
    <w:rsid w:val="009D2F49"/>
    <w:rsid w:val="009D3024"/>
    <w:rsid w:val="009D3045"/>
    <w:rsid w:val="009D31AF"/>
    <w:rsid w:val="009D335D"/>
    <w:rsid w:val="009D338E"/>
    <w:rsid w:val="009D33A4"/>
    <w:rsid w:val="009D3545"/>
    <w:rsid w:val="009D36F7"/>
    <w:rsid w:val="009D373C"/>
    <w:rsid w:val="009D3869"/>
    <w:rsid w:val="009D3F72"/>
    <w:rsid w:val="009D41EC"/>
    <w:rsid w:val="009D4380"/>
    <w:rsid w:val="009D43BE"/>
    <w:rsid w:val="009D4592"/>
    <w:rsid w:val="009D48B3"/>
    <w:rsid w:val="009D49B5"/>
    <w:rsid w:val="009D4ACC"/>
    <w:rsid w:val="009D4AF7"/>
    <w:rsid w:val="009D4CD1"/>
    <w:rsid w:val="009D4CEB"/>
    <w:rsid w:val="009D4D8E"/>
    <w:rsid w:val="009D4E66"/>
    <w:rsid w:val="009D4E97"/>
    <w:rsid w:val="009D5048"/>
    <w:rsid w:val="009D509A"/>
    <w:rsid w:val="009D52EF"/>
    <w:rsid w:val="009D5375"/>
    <w:rsid w:val="009D54B7"/>
    <w:rsid w:val="009D55BC"/>
    <w:rsid w:val="009D55DD"/>
    <w:rsid w:val="009D58AB"/>
    <w:rsid w:val="009D59CC"/>
    <w:rsid w:val="009D5B81"/>
    <w:rsid w:val="009D5CD1"/>
    <w:rsid w:val="009D5EAC"/>
    <w:rsid w:val="009D5F4E"/>
    <w:rsid w:val="009D617A"/>
    <w:rsid w:val="009D61C9"/>
    <w:rsid w:val="009D62D0"/>
    <w:rsid w:val="009D633A"/>
    <w:rsid w:val="009D66A5"/>
    <w:rsid w:val="009D66D8"/>
    <w:rsid w:val="009D6787"/>
    <w:rsid w:val="009D69E5"/>
    <w:rsid w:val="009D6A8D"/>
    <w:rsid w:val="009D6E1F"/>
    <w:rsid w:val="009D6EA3"/>
    <w:rsid w:val="009D7009"/>
    <w:rsid w:val="009D708A"/>
    <w:rsid w:val="009D70C7"/>
    <w:rsid w:val="009D73B5"/>
    <w:rsid w:val="009D754D"/>
    <w:rsid w:val="009D762F"/>
    <w:rsid w:val="009D764A"/>
    <w:rsid w:val="009D7674"/>
    <w:rsid w:val="009D76F1"/>
    <w:rsid w:val="009D797C"/>
    <w:rsid w:val="009D7BAD"/>
    <w:rsid w:val="009D7C8B"/>
    <w:rsid w:val="009D7D4A"/>
    <w:rsid w:val="009D7D9B"/>
    <w:rsid w:val="009E022E"/>
    <w:rsid w:val="009E0233"/>
    <w:rsid w:val="009E0296"/>
    <w:rsid w:val="009E02F7"/>
    <w:rsid w:val="009E032F"/>
    <w:rsid w:val="009E0378"/>
    <w:rsid w:val="009E06F0"/>
    <w:rsid w:val="009E07B5"/>
    <w:rsid w:val="009E0846"/>
    <w:rsid w:val="009E09AF"/>
    <w:rsid w:val="009E0BA2"/>
    <w:rsid w:val="009E0C74"/>
    <w:rsid w:val="009E0CA6"/>
    <w:rsid w:val="009E1010"/>
    <w:rsid w:val="009E1062"/>
    <w:rsid w:val="009E130F"/>
    <w:rsid w:val="009E1866"/>
    <w:rsid w:val="009E190E"/>
    <w:rsid w:val="009E1CE5"/>
    <w:rsid w:val="009E1D49"/>
    <w:rsid w:val="009E208F"/>
    <w:rsid w:val="009E22E1"/>
    <w:rsid w:val="009E2357"/>
    <w:rsid w:val="009E271D"/>
    <w:rsid w:val="009E272E"/>
    <w:rsid w:val="009E2928"/>
    <w:rsid w:val="009E2CDC"/>
    <w:rsid w:val="009E2E26"/>
    <w:rsid w:val="009E3327"/>
    <w:rsid w:val="009E3465"/>
    <w:rsid w:val="009E3592"/>
    <w:rsid w:val="009E3605"/>
    <w:rsid w:val="009E3811"/>
    <w:rsid w:val="009E38F8"/>
    <w:rsid w:val="009E3D60"/>
    <w:rsid w:val="009E416C"/>
    <w:rsid w:val="009E4241"/>
    <w:rsid w:val="009E42C6"/>
    <w:rsid w:val="009E43C4"/>
    <w:rsid w:val="009E4514"/>
    <w:rsid w:val="009E476B"/>
    <w:rsid w:val="009E4A11"/>
    <w:rsid w:val="009E4AA4"/>
    <w:rsid w:val="009E4FCA"/>
    <w:rsid w:val="009E5303"/>
    <w:rsid w:val="009E5430"/>
    <w:rsid w:val="009E55EA"/>
    <w:rsid w:val="009E56C2"/>
    <w:rsid w:val="009E5814"/>
    <w:rsid w:val="009E5917"/>
    <w:rsid w:val="009E59D5"/>
    <w:rsid w:val="009E5CF4"/>
    <w:rsid w:val="009E5D1C"/>
    <w:rsid w:val="009E5DB9"/>
    <w:rsid w:val="009E6048"/>
    <w:rsid w:val="009E6081"/>
    <w:rsid w:val="009E6180"/>
    <w:rsid w:val="009E61B7"/>
    <w:rsid w:val="009E64AA"/>
    <w:rsid w:val="009E667E"/>
    <w:rsid w:val="009E6699"/>
    <w:rsid w:val="009E6867"/>
    <w:rsid w:val="009E6868"/>
    <w:rsid w:val="009E6885"/>
    <w:rsid w:val="009E6930"/>
    <w:rsid w:val="009E6CF5"/>
    <w:rsid w:val="009E6D39"/>
    <w:rsid w:val="009E6D58"/>
    <w:rsid w:val="009E6F03"/>
    <w:rsid w:val="009E6F9C"/>
    <w:rsid w:val="009E6FA6"/>
    <w:rsid w:val="009E6FBF"/>
    <w:rsid w:val="009E739D"/>
    <w:rsid w:val="009E741A"/>
    <w:rsid w:val="009E74E2"/>
    <w:rsid w:val="009E755B"/>
    <w:rsid w:val="009E759E"/>
    <w:rsid w:val="009E75C9"/>
    <w:rsid w:val="009E787E"/>
    <w:rsid w:val="009E7904"/>
    <w:rsid w:val="009E7971"/>
    <w:rsid w:val="009E79BF"/>
    <w:rsid w:val="009E79D4"/>
    <w:rsid w:val="009E7C2A"/>
    <w:rsid w:val="009E7F41"/>
    <w:rsid w:val="009F008A"/>
    <w:rsid w:val="009F01B3"/>
    <w:rsid w:val="009F02A6"/>
    <w:rsid w:val="009F0381"/>
    <w:rsid w:val="009F0407"/>
    <w:rsid w:val="009F04A7"/>
    <w:rsid w:val="009F080D"/>
    <w:rsid w:val="009F082C"/>
    <w:rsid w:val="009F087C"/>
    <w:rsid w:val="009F08C9"/>
    <w:rsid w:val="009F0998"/>
    <w:rsid w:val="009F0BCB"/>
    <w:rsid w:val="009F0C94"/>
    <w:rsid w:val="009F0DE2"/>
    <w:rsid w:val="009F0EEA"/>
    <w:rsid w:val="009F1025"/>
    <w:rsid w:val="009F117A"/>
    <w:rsid w:val="009F1306"/>
    <w:rsid w:val="009F1336"/>
    <w:rsid w:val="009F1447"/>
    <w:rsid w:val="009F14F4"/>
    <w:rsid w:val="009F159D"/>
    <w:rsid w:val="009F1872"/>
    <w:rsid w:val="009F1906"/>
    <w:rsid w:val="009F1AFE"/>
    <w:rsid w:val="009F1B2A"/>
    <w:rsid w:val="009F1E35"/>
    <w:rsid w:val="009F1E61"/>
    <w:rsid w:val="009F1EB6"/>
    <w:rsid w:val="009F1ECE"/>
    <w:rsid w:val="009F1FCC"/>
    <w:rsid w:val="009F2148"/>
    <w:rsid w:val="009F2198"/>
    <w:rsid w:val="009F2642"/>
    <w:rsid w:val="009F26B3"/>
    <w:rsid w:val="009F27D2"/>
    <w:rsid w:val="009F2A61"/>
    <w:rsid w:val="009F2AF6"/>
    <w:rsid w:val="009F2FCB"/>
    <w:rsid w:val="009F32B7"/>
    <w:rsid w:val="009F3338"/>
    <w:rsid w:val="009F335B"/>
    <w:rsid w:val="009F3397"/>
    <w:rsid w:val="009F35E9"/>
    <w:rsid w:val="009F3671"/>
    <w:rsid w:val="009F3861"/>
    <w:rsid w:val="009F3943"/>
    <w:rsid w:val="009F3A3C"/>
    <w:rsid w:val="009F3A60"/>
    <w:rsid w:val="009F3B23"/>
    <w:rsid w:val="009F3DA3"/>
    <w:rsid w:val="009F3EAA"/>
    <w:rsid w:val="009F42B2"/>
    <w:rsid w:val="009F4338"/>
    <w:rsid w:val="009F44E6"/>
    <w:rsid w:val="009F47C2"/>
    <w:rsid w:val="009F480F"/>
    <w:rsid w:val="009F4999"/>
    <w:rsid w:val="009F4A94"/>
    <w:rsid w:val="009F4AAF"/>
    <w:rsid w:val="009F4AB6"/>
    <w:rsid w:val="009F4D67"/>
    <w:rsid w:val="009F4F55"/>
    <w:rsid w:val="009F50B1"/>
    <w:rsid w:val="009F510D"/>
    <w:rsid w:val="009F52E6"/>
    <w:rsid w:val="009F5514"/>
    <w:rsid w:val="009F5528"/>
    <w:rsid w:val="009F58AE"/>
    <w:rsid w:val="009F58B9"/>
    <w:rsid w:val="009F58E1"/>
    <w:rsid w:val="009F5919"/>
    <w:rsid w:val="009F59AC"/>
    <w:rsid w:val="009F5A9B"/>
    <w:rsid w:val="009F5E35"/>
    <w:rsid w:val="009F5E69"/>
    <w:rsid w:val="009F5EB3"/>
    <w:rsid w:val="009F6479"/>
    <w:rsid w:val="009F6545"/>
    <w:rsid w:val="009F6584"/>
    <w:rsid w:val="009F67F7"/>
    <w:rsid w:val="009F685C"/>
    <w:rsid w:val="009F6AD3"/>
    <w:rsid w:val="009F6CB4"/>
    <w:rsid w:val="009F6D0D"/>
    <w:rsid w:val="009F6F8E"/>
    <w:rsid w:val="009F70A4"/>
    <w:rsid w:val="009F70B6"/>
    <w:rsid w:val="009F70F9"/>
    <w:rsid w:val="009F723B"/>
    <w:rsid w:val="009F77FF"/>
    <w:rsid w:val="009F782C"/>
    <w:rsid w:val="009F786D"/>
    <w:rsid w:val="009F7985"/>
    <w:rsid w:val="00A00156"/>
    <w:rsid w:val="00A00161"/>
    <w:rsid w:val="00A00281"/>
    <w:rsid w:val="00A0030C"/>
    <w:rsid w:val="00A003BF"/>
    <w:rsid w:val="00A005C0"/>
    <w:rsid w:val="00A00768"/>
    <w:rsid w:val="00A00AF0"/>
    <w:rsid w:val="00A00BD0"/>
    <w:rsid w:val="00A00E26"/>
    <w:rsid w:val="00A0104B"/>
    <w:rsid w:val="00A01257"/>
    <w:rsid w:val="00A0139F"/>
    <w:rsid w:val="00A013ED"/>
    <w:rsid w:val="00A01892"/>
    <w:rsid w:val="00A01961"/>
    <w:rsid w:val="00A019E7"/>
    <w:rsid w:val="00A01BBE"/>
    <w:rsid w:val="00A01BCD"/>
    <w:rsid w:val="00A01CB5"/>
    <w:rsid w:val="00A01DC7"/>
    <w:rsid w:val="00A01DEA"/>
    <w:rsid w:val="00A01E19"/>
    <w:rsid w:val="00A01E22"/>
    <w:rsid w:val="00A01FA3"/>
    <w:rsid w:val="00A02092"/>
    <w:rsid w:val="00A0212C"/>
    <w:rsid w:val="00A02362"/>
    <w:rsid w:val="00A02407"/>
    <w:rsid w:val="00A024E3"/>
    <w:rsid w:val="00A02719"/>
    <w:rsid w:val="00A0287F"/>
    <w:rsid w:val="00A02985"/>
    <w:rsid w:val="00A029F5"/>
    <w:rsid w:val="00A02B1F"/>
    <w:rsid w:val="00A02BC9"/>
    <w:rsid w:val="00A02BCB"/>
    <w:rsid w:val="00A02C13"/>
    <w:rsid w:val="00A02C50"/>
    <w:rsid w:val="00A02DC2"/>
    <w:rsid w:val="00A033B2"/>
    <w:rsid w:val="00A034DC"/>
    <w:rsid w:val="00A03872"/>
    <w:rsid w:val="00A0387F"/>
    <w:rsid w:val="00A038C1"/>
    <w:rsid w:val="00A0390D"/>
    <w:rsid w:val="00A03AE6"/>
    <w:rsid w:val="00A03F31"/>
    <w:rsid w:val="00A03F78"/>
    <w:rsid w:val="00A045A2"/>
    <w:rsid w:val="00A04708"/>
    <w:rsid w:val="00A0488B"/>
    <w:rsid w:val="00A04948"/>
    <w:rsid w:val="00A04EC9"/>
    <w:rsid w:val="00A052FF"/>
    <w:rsid w:val="00A05396"/>
    <w:rsid w:val="00A053AA"/>
    <w:rsid w:val="00A053DB"/>
    <w:rsid w:val="00A053FB"/>
    <w:rsid w:val="00A05F04"/>
    <w:rsid w:val="00A05F22"/>
    <w:rsid w:val="00A05FD4"/>
    <w:rsid w:val="00A06030"/>
    <w:rsid w:val="00A06056"/>
    <w:rsid w:val="00A061CF"/>
    <w:rsid w:val="00A06387"/>
    <w:rsid w:val="00A0686E"/>
    <w:rsid w:val="00A069F4"/>
    <w:rsid w:val="00A07016"/>
    <w:rsid w:val="00A070A8"/>
    <w:rsid w:val="00A0712D"/>
    <w:rsid w:val="00A072C6"/>
    <w:rsid w:val="00A072D1"/>
    <w:rsid w:val="00A07337"/>
    <w:rsid w:val="00A074E2"/>
    <w:rsid w:val="00A07515"/>
    <w:rsid w:val="00A078D0"/>
    <w:rsid w:val="00A078FD"/>
    <w:rsid w:val="00A07A91"/>
    <w:rsid w:val="00A07C86"/>
    <w:rsid w:val="00A07D8A"/>
    <w:rsid w:val="00A1006E"/>
    <w:rsid w:val="00A10140"/>
    <w:rsid w:val="00A10158"/>
    <w:rsid w:val="00A1017C"/>
    <w:rsid w:val="00A1029E"/>
    <w:rsid w:val="00A1048F"/>
    <w:rsid w:val="00A104B5"/>
    <w:rsid w:val="00A1076A"/>
    <w:rsid w:val="00A10968"/>
    <w:rsid w:val="00A10A2B"/>
    <w:rsid w:val="00A10A42"/>
    <w:rsid w:val="00A10A8D"/>
    <w:rsid w:val="00A10AC4"/>
    <w:rsid w:val="00A10BD4"/>
    <w:rsid w:val="00A10CD4"/>
    <w:rsid w:val="00A10CD8"/>
    <w:rsid w:val="00A10E71"/>
    <w:rsid w:val="00A10EB9"/>
    <w:rsid w:val="00A10F64"/>
    <w:rsid w:val="00A10FB2"/>
    <w:rsid w:val="00A11100"/>
    <w:rsid w:val="00A11184"/>
    <w:rsid w:val="00A11189"/>
    <w:rsid w:val="00A11223"/>
    <w:rsid w:val="00A1137C"/>
    <w:rsid w:val="00A11421"/>
    <w:rsid w:val="00A11632"/>
    <w:rsid w:val="00A11718"/>
    <w:rsid w:val="00A1188B"/>
    <w:rsid w:val="00A118F1"/>
    <w:rsid w:val="00A11A70"/>
    <w:rsid w:val="00A11AA8"/>
    <w:rsid w:val="00A11B97"/>
    <w:rsid w:val="00A11C37"/>
    <w:rsid w:val="00A11C9A"/>
    <w:rsid w:val="00A11D62"/>
    <w:rsid w:val="00A11F19"/>
    <w:rsid w:val="00A11FFF"/>
    <w:rsid w:val="00A1220C"/>
    <w:rsid w:val="00A12383"/>
    <w:rsid w:val="00A124A9"/>
    <w:rsid w:val="00A1260E"/>
    <w:rsid w:val="00A12673"/>
    <w:rsid w:val="00A12692"/>
    <w:rsid w:val="00A12859"/>
    <w:rsid w:val="00A1299E"/>
    <w:rsid w:val="00A12AE9"/>
    <w:rsid w:val="00A12BE6"/>
    <w:rsid w:val="00A12DB0"/>
    <w:rsid w:val="00A12F48"/>
    <w:rsid w:val="00A13232"/>
    <w:rsid w:val="00A135E4"/>
    <w:rsid w:val="00A136FC"/>
    <w:rsid w:val="00A137FA"/>
    <w:rsid w:val="00A13A18"/>
    <w:rsid w:val="00A13DFB"/>
    <w:rsid w:val="00A13FCB"/>
    <w:rsid w:val="00A13FF5"/>
    <w:rsid w:val="00A141CC"/>
    <w:rsid w:val="00A14356"/>
    <w:rsid w:val="00A14601"/>
    <w:rsid w:val="00A1476C"/>
    <w:rsid w:val="00A147ED"/>
    <w:rsid w:val="00A1480E"/>
    <w:rsid w:val="00A14836"/>
    <w:rsid w:val="00A14ACC"/>
    <w:rsid w:val="00A14F04"/>
    <w:rsid w:val="00A14FDC"/>
    <w:rsid w:val="00A14FF8"/>
    <w:rsid w:val="00A1520A"/>
    <w:rsid w:val="00A152D7"/>
    <w:rsid w:val="00A154F1"/>
    <w:rsid w:val="00A154F2"/>
    <w:rsid w:val="00A15520"/>
    <w:rsid w:val="00A15559"/>
    <w:rsid w:val="00A1576E"/>
    <w:rsid w:val="00A15808"/>
    <w:rsid w:val="00A159D7"/>
    <w:rsid w:val="00A15A36"/>
    <w:rsid w:val="00A15D66"/>
    <w:rsid w:val="00A15EEC"/>
    <w:rsid w:val="00A1660C"/>
    <w:rsid w:val="00A1681B"/>
    <w:rsid w:val="00A16882"/>
    <w:rsid w:val="00A16A60"/>
    <w:rsid w:val="00A16B2B"/>
    <w:rsid w:val="00A16DC5"/>
    <w:rsid w:val="00A16F2A"/>
    <w:rsid w:val="00A16FFB"/>
    <w:rsid w:val="00A17395"/>
    <w:rsid w:val="00A1744E"/>
    <w:rsid w:val="00A17473"/>
    <w:rsid w:val="00A1788F"/>
    <w:rsid w:val="00A17C2A"/>
    <w:rsid w:val="00A17EB7"/>
    <w:rsid w:val="00A17EC6"/>
    <w:rsid w:val="00A20019"/>
    <w:rsid w:val="00A200BD"/>
    <w:rsid w:val="00A203F1"/>
    <w:rsid w:val="00A2040E"/>
    <w:rsid w:val="00A20556"/>
    <w:rsid w:val="00A206DE"/>
    <w:rsid w:val="00A2080D"/>
    <w:rsid w:val="00A20875"/>
    <w:rsid w:val="00A2091F"/>
    <w:rsid w:val="00A209EB"/>
    <w:rsid w:val="00A20A39"/>
    <w:rsid w:val="00A20D51"/>
    <w:rsid w:val="00A20ED9"/>
    <w:rsid w:val="00A20FB1"/>
    <w:rsid w:val="00A21680"/>
    <w:rsid w:val="00A21682"/>
    <w:rsid w:val="00A21711"/>
    <w:rsid w:val="00A21742"/>
    <w:rsid w:val="00A21784"/>
    <w:rsid w:val="00A219EF"/>
    <w:rsid w:val="00A21C7D"/>
    <w:rsid w:val="00A21EB6"/>
    <w:rsid w:val="00A21F02"/>
    <w:rsid w:val="00A2205F"/>
    <w:rsid w:val="00A221A3"/>
    <w:rsid w:val="00A223D9"/>
    <w:rsid w:val="00A2258B"/>
    <w:rsid w:val="00A2261B"/>
    <w:rsid w:val="00A2264A"/>
    <w:rsid w:val="00A22654"/>
    <w:rsid w:val="00A22809"/>
    <w:rsid w:val="00A228E1"/>
    <w:rsid w:val="00A22908"/>
    <w:rsid w:val="00A229CD"/>
    <w:rsid w:val="00A22DF8"/>
    <w:rsid w:val="00A22F99"/>
    <w:rsid w:val="00A22FD6"/>
    <w:rsid w:val="00A22FDF"/>
    <w:rsid w:val="00A23417"/>
    <w:rsid w:val="00A238E4"/>
    <w:rsid w:val="00A23A6E"/>
    <w:rsid w:val="00A23D6C"/>
    <w:rsid w:val="00A23F25"/>
    <w:rsid w:val="00A240CE"/>
    <w:rsid w:val="00A2452E"/>
    <w:rsid w:val="00A2458D"/>
    <w:rsid w:val="00A24698"/>
    <w:rsid w:val="00A2479F"/>
    <w:rsid w:val="00A2480D"/>
    <w:rsid w:val="00A2493E"/>
    <w:rsid w:val="00A24A06"/>
    <w:rsid w:val="00A24B46"/>
    <w:rsid w:val="00A24C0F"/>
    <w:rsid w:val="00A24D3D"/>
    <w:rsid w:val="00A2534C"/>
    <w:rsid w:val="00A254CE"/>
    <w:rsid w:val="00A25748"/>
    <w:rsid w:val="00A25752"/>
    <w:rsid w:val="00A257B5"/>
    <w:rsid w:val="00A259F0"/>
    <w:rsid w:val="00A25A2E"/>
    <w:rsid w:val="00A25AA9"/>
    <w:rsid w:val="00A25D04"/>
    <w:rsid w:val="00A26095"/>
    <w:rsid w:val="00A2620E"/>
    <w:rsid w:val="00A264D3"/>
    <w:rsid w:val="00A265B8"/>
    <w:rsid w:val="00A265C6"/>
    <w:rsid w:val="00A26684"/>
    <w:rsid w:val="00A26A80"/>
    <w:rsid w:val="00A26B6C"/>
    <w:rsid w:val="00A26BCA"/>
    <w:rsid w:val="00A26E63"/>
    <w:rsid w:val="00A2705B"/>
    <w:rsid w:val="00A2713F"/>
    <w:rsid w:val="00A27164"/>
    <w:rsid w:val="00A27311"/>
    <w:rsid w:val="00A27382"/>
    <w:rsid w:val="00A273A8"/>
    <w:rsid w:val="00A276C5"/>
    <w:rsid w:val="00A27AE8"/>
    <w:rsid w:val="00A27C4B"/>
    <w:rsid w:val="00A27C61"/>
    <w:rsid w:val="00A27E61"/>
    <w:rsid w:val="00A27F93"/>
    <w:rsid w:val="00A30399"/>
    <w:rsid w:val="00A304C7"/>
    <w:rsid w:val="00A308C4"/>
    <w:rsid w:val="00A30B35"/>
    <w:rsid w:val="00A30D88"/>
    <w:rsid w:val="00A31374"/>
    <w:rsid w:val="00A313D9"/>
    <w:rsid w:val="00A31670"/>
    <w:rsid w:val="00A31941"/>
    <w:rsid w:val="00A31BA2"/>
    <w:rsid w:val="00A31CC1"/>
    <w:rsid w:val="00A31D5D"/>
    <w:rsid w:val="00A31DFF"/>
    <w:rsid w:val="00A31F55"/>
    <w:rsid w:val="00A326D3"/>
    <w:rsid w:val="00A3276B"/>
    <w:rsid w:val="00A32DBB"/>
    <w:rsid w:val="00A330CD"/>
    <w:rsid w:val="00A33219"/>
    <w:rsid w:val="00A3327B"/>
    <w:rsid w:val="00A333EF"/>
    <w:rsid w:val="00A334EF"/>
    <w:rsid w:val="00A33811"/>
    <w:rsid w:val="00A33A48"/>
    <w:rsid w:val="00A34085"/>
    <w:rsid w:val="00A341AD"/>
    <w:rsid w:val="00A3422E"/>
    <w:rsid w:val="00A342D6"/>
    <w:rsid w:val="00A345F9"/>
    <w:rsid w:val="00A3462B"/>
    <w:rsid w:val="00A347E3"/>
    <w:rsid w:val="00A347F6"/>
    <w:rsid w:val="00A3488A"/>
    <w:rsid w:val="00A3496F"/>
    <w:rsid w:val="00A3502C"/>
    <w:rsid w:val="00A3508F"/>
    <w:rsid w:val="00A350C7"/>
    <w:rsid w:val="00A350FA"/>
    <w:rsid w:val="00A35978"/>
    <w:rsid w:val="00A359E6"/>
    <w:rsid w:val="00A359EA"/>
    <w:rsid w:val="00A35A06"/>
    <w:rsid w:val="00A35A20"/>
    <w:rsid w:val="00A35B2B"/>
    <w:rsid w:val="00A35B5F"/>
    <w:rsid w:val="00A35CCA"/>
    <w:rsid w:val="00A35F70"/>
    <w:rsid w:val="00A361DB"/>
    <w:rsid w:val="00A363FD"/>
    <w:rsid w:val="00A3644C"/>
    <w:rsid w:val="00A36E10"/>
    <w:rsid w:val="00A370A4"/>
    <w:rsid w:val="00A371B6"/>
    <w:rsid w:val="00A374AB"/>
    <w:rsid w:val="00A37512"/>
    <w:rsid w:val="00A37712"/>
    <w:rsid w:val="00A377C9"/>
    <w:rsid w:val="00A37843"/>
    <w:rsid w:val="00A379B4"/>
    <w:rsid w:val="00A37DE9"/>
    <w:rsid w:val="00A37E01"/>
    <w:rsid w:val="00A37E73"/>
    <w:rsid w:val="00A37F03"/>
    <w:rsid w:val="00A37F38"/>
    <w:rsid w:val="00A40104"/>
    <w:rsid w:val="00A40113"/>
    <w:rsid w:val="00A402D3"/>
    <w:rsid w:val="00A404DF"/>
    <w:rsid w:val="00A408C7"/>
    <w:rsid w:val="00A40AA5"/>
    <w:rsid w:val="00A40AD2"/>
    <w:rsid w:val="00A40BA5"/>
    <w:rsid w:val="00A40C28"/>
    <w:rsid w:val="00A40C8F"/>
    <w:rsid w:val="00A40D91"/>
    <w:rsid w:val="00A40E99"/>
    <w:rsid w:val="00A41045"/>
    <w:rsid w:val="00A41072"/>
    <w:rsid w:val="00A4109B"/>
    <w:rsid w:val="00A41178"/>
    <w:rsid w:val="00A413D6"/>
    <w:rsid w:val="00A4162C"/>
    <w:rsid w:val="00A416F8"/>
    <w:rsid w:val="00A41779"/>
    <w:rsid w:val="00A4193F"/>
    <w:rsid w:val="00A41BE1"/>
    <w:rsid w:val="00A41C23"/>
    <w:rsid w:val="00A41F73"/>
    <w:rsid w:val="00A41F8A"/>
    <w:rsid w:val="00A422AD"/>
    <w:rsid w:val="00A4235A"/>
    <w:rsid w:val="00A426F3"/>
    <w:rsid w:val="00A42745"/>
    <w:rsid w:val="00A428AA"/>
    <w:rsid w:val="00A42A2A"/>
    <w:rsid w:val="00A42C47"/>
    <w:rsid w:val="00A42DC6"/>
    <w:rsid w:val="00A42E60"/>
    <w:rsid w:val="00A42E65"/>
    <w:rsid w:val="00A42EB8"/>
    <w:rsid w:val="00A42EE5"/>
    <w:rsid w:val="00A4302B"/>
    <w:rsid w:val="00A43122"/>
    <w:rsid w:val="00A4322D"/>
    <w:rsid w:val="00A4331F"/>
    <w:rsid w:val="00A433D6"/>
    <w:rsid w:val="00A43B69"/>
    <w:rsid w:val="00A43D7C"/>
    <w:rsid w:val="00A43E44"/>
    <w:rsid w:val="00A440D4"/>
    <w:rsid w:val="00A440EE"/>
    <w:rsid w:val="00A44103"/>
    <w:rsid w:val="00A441B8"/>
    <w:rsid w:val="00A441F8"/>
    <w:rsid w:val="00A445BC"/>
    <w:rsid w:val="00A4495F"/>
    <w:rsid w:val="00A44E81"/>
    <w:rsid w:val="00A45129"/>
    <w:rsid w:val="00A4577E"/>
    <w:rsid w:val="00A458BA"/>
    <w:rsid w:val="00A459DA"/>
    <w:rsid w:val="00A45A2A"/>
    <w:rsid w:val="00A45B15"/>
    <w:rsid w:val="00A45C91"/>
    <w:rsid w:val="00A45D50"/>
    <w:rsid w:val="00A45E23"/>
    <w:rsid w:val="00A45EF8"/>
    <w:rsid w:val="00A46107"/>
    <w:rsid w:val="00A46192"/>
    <w:rsid w:val="00A462F2"/>
    <w:rsid w:val="00A463CE"/>
    <w:rsid w:val="00A4654B"/>
    <w:rsid w:val="00A4657D"/>
    <w:rsid w:val="00A466CB"/>
    <w:rsid w:val="00A467D9"/>
    <w:rsid w:val="00A4693E"/>
    <w:rsid w:val="00A46F27"/>
    <w:rsid w:val="00A4716D"/>
    <w:rsid w:val="00A47178"/>
    <w:rsid w:val="00A471C7"/>
    <w:rsid w:val="00A47418"/>
    <w:rsid w:val="00A474FF"/>
    <w:rsid w:val="00A47602"/>
    <w:rsid w:val="00A47789"/>
    <w:rsid w:val="00A47988"/>
    <w:rsid w:val="00A47A7A"/>
    <w:rsid w:val="00A47B73"/>
    <w:rsid w:val="00A47D1E"/>
    <w:rsid w:val="00A47D30"/>
    <w:rsid w:val="00A47D63"/>
    <w:rsid w:val="00A47F0C"/>
    <w:rsid w:val="00A50005"/>
    <w:rsid w:val="00A5020F"/>
    <w:rsid w:val="00A503F8"/>
    <w:rsid w:val="00A50580"/>
    <w:rsid w:val="00A50650"/>
    <w:rsid w:val="00A5090E"/>
    <w:rsid w:val="00A50973"/>
    <w:rsid w:val="00A50E2E"/>
    <w:rsid w:val="00A50F6F"/>
    <w:rsid w:val="00A50FBC"/>
    <w:rsid w:val="00A510D2"/>
    <w:rsid w:val="00A51251"/>
    <w:rsid w:val="00A513E3"/>
    <w:rsid w:val="00A514F4"/>
    <w:rsid w:val="00A5166B"/>
    <w:rsid w:val="00A51BFC"/>
    <w:rsid w:val="00A52184"/>
    <w:rsid w:val="00A522FA"/>
    <w:rsid w:val="00A5271B"/>
    <w:rsid w:val="00A52820"/>
    <w:rsid w:val="00A5288D"/>
    <w:rsid w:val="00A52988"/>
    <w:rsid w:val="00A52CC6"/>
    <w:rsid w:val="00A52D1F"/>
    <w:rsid w:val="00A52D52"/>
    <w:rsid w:val="00A52EB2"/>
    <w:rsid w:val="00A52EC6"/>
    <w:rsid w:val="00A52F36"/>
    <w:rsid w:val="00A53563"/>
    <w:rsid w:val="00A53A95"/>
    <w:rsid w:val="00A53C67"/>
    <w:rsid w:val="00A53D29"/>
    <w:rsid w:val="00A53E69"/>
    <w:rsid w:val="00A53FDD"/>
    <w:rsid w:val="00A5401E"/>
    <w:rsid w:val="00A542EF"/>
    <w:rsid w:val="00A546C2"/>
    <w:rsid w:val="00A549B6"/>
    <w:rsid w:val="00A54CA7"/>
    <w:rsid w:val="00A54D20"/>
    <w:rsid w:val="00A54D30"/>
    <w:rsid w:val="00A54E53"/>
    <w:rsid w:val="00A54EEE"/>
    <w:rsid w:val="00A550D1"/>
    <w:rsid w:val="00A552E3"/>
    <w:rsid w:val="00A55314"/>
    <w:rsid w:val="00A5554E"/>
    <w:rsid w:val="00A55ABC"/>
    <w:rsid w:val="00A55B1B"/>
    <w:rsid w:val="00A55C54"/>
    <w:rsid w:val="00A560F9"/>
    <w:rsid w:val="00A563AB"/>
    <w:rsid w:val="00A564CF"/>
    <w:rsid w:val="00A56520"/>
    <w:rsid w:val="00A56600"/>
    <w:rsid w:val="00A56602"/>
    <w:rsid w:val="00A5662E"/>
    <w:rsid w:val="00A566EE"/>
    <w:rsid w:val="00A567D3"/>
    <w:rsid w:val="00A56ACD"/>
    <w:rsid w:val="00A56CA4"/>
    <w:rsid w:val="00A56E74"/>
    <w:rsid w:val="00A56F06"/>
    <w:rsid w:val="00A570ED"/>
    <w:rsid w:val="00A57195"/>
    <w:rsid w:val="00A572F0"/>
    <w:rsid w:val="00A572F3"/>
    <w:rsid w:val="00A57741"/>
    <w:rsid w:val="00A57796"/>
    <w:rsid w:val="00A579D3"/>
    <w:rsid w:val="00A579DF"/>
    <w:rsid w:val="00A579E1"/>
    <w:rsid w:val="00A57B9C"/>
    <w:rsid w:val="00A60197"/>
    <w:rsid w:val="00A601B8"/>
    <w:rsid w:val="00A60299"/>
    <w:rsid w:val="00A604FA"/>
    <w:rsid w:val="00A605C2"/>
    <w:rsid w:val="00A605E1"/>
    <w:rsid w:val="00A608D1"/>
    <w:rsid w:val="00A6096D"/>
    <w:rsid w:val="00A60978"/>
    <w:rsid w:val="00A609AF"/>
    <w:rsid w:val="00A60D9B"/>
    <w:rsid w:val="00A60E14"/>
    <w:rsid w:val="00A60FC2"/>
    <w:rsid w:val="00A61152"/>
    <w:rsid w:val="00A6129A"/>
    <w:rsid w:val="00A61912"/>
    <w:rsid w:val="00A6191D"/>
    <w:rsid w:val="00A619B7"/>
    <w:rsid w:val="00A61A17"/>
    <w:rsid w:val="00A61A87"/>
    <w:rsid w:val="00A61D7E"/>
    <w:rsid w:val="00A61DFA"/>
    <w:rsid w:val="00A61F42"/>
    <w:rsid w:val="00A624FD"/>
    <w:rsid w:val="00A62AE1"/>
    <w:rsid w:val="00A62C50"/>
    <w:rsid w:val="00A63110"/>
    <w:rsid w:val="00A6313E"/>
    <w:rsid w:val="00A633B3"/>
    <w:rsid w:val="00A6341C"/>
    <w:rsid w:val="00A63455"/>
    <w:rsid w:val="00A63586"/>
    <w:rsid w:val="00A63644"/>
    <w:rsid w:val="00A638B4"/>
    <w:rsid w:val="00A63979"/>
    <w:rsid w:val="00A63A01"/>
    <w:rsid w:val="00A63DAA"/>
    <w:rsid w:val="00A64076"/>
    <w:rsid w:val="00A64089"/>
    <w:rsid w:val="00A640E2"/>
    <w:rsid w:val="00A6441E"/>
    <w:rsid w:val="00A644D7"/>
    <w:rsid w:val="00A6464B"/>
    <w:rsid w:val="00A647E4"/>
    <w:rsid w:val="00A64B49"/>
    <w:rsid w:val="00A64BB0"/>
    <w:rsid w:val="00A64BF6"/>
    <w:rsid w:val="00A64FFC"/>
    <w:rsid w:val="00A65353"/>
    <w:rsid w:val="00A6545D"/>
    <w:rsid w:val="00A65493"/>
    <w:rsid w:val="00A6553A"/>
    <w:rsid w:val="00A655FA"/>
    <w:rsid w:val="00A65876"/>
    <w:rsid w:val="00A6597C"/>
    <w:rsid w:val="00A65A66"/>
    <w:rsid w:val="00A65A8E"/>
    <w:rsid w:val="00A65B1C"/>
    <w:rsid w:val="00A65BA4"/>
    <w:rsid w:val="00A65BB7"/>
    <w:rsid w:val="00A65BF2"/>
    <w:rsid w:val="00A65E2D"/>
    <w:rsid w:val="00A65FA9"/>
    <w:rsid w:val="00A661B0"/>
    <w:rsid w:val="00A66215"/>
    <w:rsid w:val="00A66235"/>
    <w:rsid w:val="00A663DB"/>
    <w:rsid w:val="00A66664"/>
    <w:rsid w:val="00A66ECA"/>
    <w:rsid w:val="00A6702A"/>
    <w:rsid w:val="00A6713A"/>
    <w:rsid w:val="00A67145"/>
    <w:rsid w:val="00A67380"/>
    <w:rsid w:val="00A6745E"/>
    <w:rsid w:val="00A67509"/>
    <w:rsid w:val="00A6751D"/>
    <w:rsid w:val="00A677F9"/>
    <w:rsid w:val="00A679E4"/>
    <w:rsid w:val="00A67AE1"/>
    <w:rsid w:val="00A67AE3"/>
    <w:rsid w:val="00A67E2D"/>
    <w:rsid w:val="00A67EC5"/>
    <w:rsid w:val="00A700C7"/>
    <w:rsid w:val="00A701E1"/>
    <w:rsid w:val="00A70311"/>
    <w:rsid w:val="00A704E0"/>
    <w:rsid w:val="00A70522"/>
    <w:rsid w:val="00A7069C"/>
    <w:rsid w:val="00A706F5"/>
    <w:rsid w:val="00A707F7"/>
    <w:rsid w:val="00A7095F"/>
    <w:rsid w:val="00A70A7A"/>
    <w:rsid w:val="00A70B6C"/>
    <w:rsid w:val="00A70C32"/>
    <w:rsid w:val="00A7144D"/>
    <w:rsid w:val="00A715EB"/>
    <w:rsid w:val="00A7172D"/>
    <w:rsid w:val="00A71837"/>
    <w:rsid w:val="00A71845"/>
    <w:rsid w:val="00A71930"/>
    <w:rsid w:val="00A71A6C"/>
    <w:rsid w:val="00A71AF8"/>
    <w:rsid w:val="00A71C3A"/>
    <w:rsid w:val="00A71CD5"/>
    <w:rsid w:val="00A7213D"/>
    <w:rsid w:val="00A7259F"/>
    <w:rsid w:val="00A725FB"/>
    <w:rsid w:val="00A7260C"/>
    <w:rsid w:val="00A72D06"/>
    <w:rsid w:val="00A72E0A"/>
    <w:rsid w:val="00A72E25"/>
    <w:rsid w:val="00A72E58"/>
    <w:rsid w:val="00A730C8"/>
    <w:rsid w:val="00A730E5"/>
    <w:rsid w:val="00A732E7"/>
    <w:rsid w:val="00A734F7"/>
    <w:rsid w:val="00A735B3"/>
    <w:rsid w:val="00A73C76"/>
    <w:rsid w:val="00A73D55"/>
    <w:rsid w:val="00A73E20"/>
    <w:rsid w:val="00A73FB4"/>
    <w:rsid w:val="00A74013"/>
    <w:rsid w:val="00A7424E"/>
    <w:rsid w:val="00A7425B"/>
    <w:rsid w:val="00A74350"/>
    <w:rsid w:val="00A74413"/>
    <w:rsid w:val="00A7459D"/>
    <w:rsid w:val="00A74993"/>
    <w:rsid w:val="00A74E3F"/>
    <w:rsid w:val="00A74E74"/>
    <w:rsid w:val="00A75042"/>
    <w:rsid w:val="00A752DB"/>
    <w:rsid w:val="00A753BD"/>
    <w:rsid w:val="00A755F1"/>
    <w:rsid w:val="00A75693"/>
    <w:rsid w:val="00A7569D"/>
    <w:rsid w:val="00A758F8"/>
    <w:rsid w:val="00A75B84"/>
    <w:rsid w:val="00A7650F"/>
    <w:rsid w:val="00A76A5C"/>
    <w:rsid w:val="00A76BB0"/>
    <w:rsid w:val="00A76BC0"/>
    <w:rsid w:val="00A76C5B"/>
    <w:rsid w:val="00A76D5D"/>
    <w:rsid w:val="00A76DC4"/>
    <w:rsid w:val="00A76E76"/>
    <w:rsid w:val="00A771F1"/>
    <w:rsid w:val="00A77247"/>
    <w:rsid w:val="00A77414"/>
    <w:rsid w:val="00A77496"/>
    <w:rsid w:val="00A77D18"/>
    <w:rsid w:val="00A8003E"/>
    <w:rsid w:val="00A80237"/>
    <w:rsid w:val="00A803B7"/>
    <w:rsid w:val="00A805BB"/>
    <w:rsid w:val="00A80697"/>
    <w:rsid w:val="00A80972"/>
    <w:rsid w:val="00A80D59"/>
    <w:rsid w:val="00A8107E"/>
    <w:rsid w:val="00A812B8"/>
    <w:rsid w:val="00A813DB"/>
    <w:rsid w:val="00A81893"/>
    <w:rsid w:val="00A81992"/>
    <w:rsid w:val="00A81BEE"/>
    <w:rsid w:val="00A81C5E"/>
    <w:rsid w:val="00A81D91"/>
    <w:rsid w:val="00A82242"/>
    <w:rsid w:val="00A823D9"/>
    <w:rsid w:val="00A824DB"/>
    <w:rsid w:val="00A825B6"/>
    <w:rsid w:val="00A825B7"/>
    <w:rsid w:val="00A8289C"/>
    <w:rsid w:val="00A82A5F"/>
    <w:rsid w:val="00A82DE4"/>
    <w:rsid w:val="00A8304C"/>
    <w:rsid w:val="00A833CC"/>
    <w:rsid w:val="00A8345C"/>
    <w:rsid w:val="00A834AE"/>
    <w:rsid w:val="00A837D4"/>
    <w:rsid w:val="00A838EA"/>
    <w:rsid w:val="00A8394B"/>
    <w:rsid w:val="00A83AC2"/>
    <w:rsid w:val="00A83DA8"/>
    <w:rsid w:val="00A83E0F"/>
    <w:rsid w:val="00A83E90"/>
    <w:rsid w:val="00A83EDA"/>
    <w:rsid w:val="00A84156"/>
    <w:rsid w:val="00A84454"/>
    <w:rsid w:val="00A84549"/>
    <w:rsid w:val="00A84AD9"/>
    <w:rsid w:val="00A84C28"/>
    <w:rsid w:val="00A84D3C"/>
    <w:rsid w:val="00A84E22"/>
    <w:rsid w:val="00A84F52"/>
    <w:rsid w:val="00A85029"/>
    <w:rsid w:val="00A858FC"/>
    <w:rsid w:val="00A85982"/>
    <w:rsid w:val="00A85C7B"/>
    <w:rsid w:val="00A85D0D"/>
    <w:rsid w:val="00A85DD3"/>
    <w:rsid w:val="00A85F24"/>
    <w:rsid w:val="00A85F6B"/>
    <w:rsid w:val="00A8610F"/>
    <w:rsid w:val="00A861DC"/>
    <w:rsid w:val="00A8630E"/>
    <w:rsid w:val="00A863A9"/>
    <w:rsid w:val="00A8645A"/>
    <w:rsid w:val="00A86480"/>
    <w:rsid w:val="00A864B8"/>
    <w:rsid w:val="00A867CE"/>
    <w:rsid w:val="00A869FD"/>
    <w:rsid w:val="00A86D85"/>
    <w:rsid w:val="00A86EA1"/>
    <w:rsid w:val="00A870FB"/>
    <w:rsid w:val="00A87404"/>
    <w:rsid w:val="00A87439"/>
    <w:rsid w:val="00A874AF"/>
    <w:rsid w:val="00A8761C"/>
    <w:rsid w:val="00A877BC"/>
    <w:rsid w:val="00A90092"/>
    <w:rsid w:val="00A90097"/>
    <w:rsid w:val="00A90259"/>
    <w:rsid w:val="00A904B1"/>
    <w:rsid w:val="00A907F5"/>
    <w:rsid w:val="00A90A16"/>
    <w:rsid w:val="00A90B4B"/>
    <w:rsid w:val="00A90B75"/>
    <w:rsid w:val="00A90C6A"/>
    <w:rsid w:val="00A90C6E"/>
    <w:rsid w:val="00A90CB6"/>
    <w:rsid w:val="00A90D09"/>
    <w:rsid w:val="00A90D32"/>
    <w:rsid w:val="00A90F8D"/>
    <w:rsid w:val="00A910EA"/>
    <w:rsid w:val="00A9126D"/>
    <w:rsid w:val="00A91485"/>
    <w:rsid w:val="00A91A37"/>
    <w:rsid w:val="00A91B98"/>
    <w:rsid w:val="00A91C30"/>
    <w:rsid w:val="00A91CFA"/>
    <w:rsid w:val="00A91D1B"/>
    <w:rsid w:val="00A91D3D"/>
    <w:rsid w:val="00A91DC5"/>
    <w:rsid w:val="00A91F24"/>
    <w:rsid w:val="00A92048"/>
    <w:rsid w:val="00A92120"/>
    <w:rsid w:val="00A921A9"/>
    <w:rsid w:val="00A921B9"/>
    <w:rsid w:val="00A9228D"/>
    <w:rsid w:val="00A923E0"/>
    <w:rsid w:val="00A92408"/>
    <w:rsid w:val="00A9259C"/>
    <w:rsid w:val="00A92626"/>
    <w:rsid w:val="00A92924"/>
    <w:rsid w:val="00A92986"/>
    <w:rsid w:val="00A92B10"/>
    <w:rsid w:val="00A92DF9"/>
    <w:rsid w:val="00A93103"/>
    <w:rsid w:val="00A931D4"/>
    <w:rsid w:val="00A9324E"/>
    <w:rsid w:val="00A93351"/>
    <w:rsid w:val="00A93563"/>
    <w:rsid w:val="00A935D5"/>
    <w:rsid w:val="00A93621"/>
    <w:rsid w:val="00A93751"/>
    <w:rsid w:val="00A93970"/>
    <w:rsid w:val="00A93A34"/>
    <w:rsid w:val="00A93CB2"/>
    <w:rsid w:val="00A93F51"/>
    <w:rsid w:val="00A94126"/>
    <w:rsid w:val="00A9456A"/>
    <w:rsid w:val="00A94668"/>
    <w:rsid w:val="00A94765"/>
    <w:rsid w:val="00A948A0"/>
    <w:rsid w:val="00A949A2"/>
    <w:rsid w:val="00A94BA8"/>
    <w:rsid w:val="00A94BE3"/>
    <w:rsid w:val="00A94C9F"/>
    <w:rsid w:val="00A94D8A"/>
    <w:rsid w:val="00A9503A"/>
    <w:rsid w:val="00A951FA"/>
    <w:rsid w:val="00A95445"/>
    <w:rsid w:val="00A95480"/>
    <w:rsid w:val="00A957A8"/>
    <w:rsid w:val="00A95AC6"/>
    <w:rsid w:val="00A95B6D"/>
    <w:rsid w:val="00A964D6"/>
    <w:rsid w:val="00A968C8"/>
    <w:rsid w:val="00A968E6"/>
    <w:rsid w:val="00A96933"/>
    <w:rsid w:val="00A9699E"/>
    <w:rsid w:val="00A969A0"/>
    <w:rsid w:val="00A969D0"/>
    <w:rsid w:val="00A96AD3"/>
    <w:rsid w:val="00A96DE6"/>
    <w:rsid w:val="00A9704C"/>
    <w:rsid w:val="00A97379"/>
    <w:rsid w:val="00A9752F"/>
    <w:rsid w:val="00A976EE"/>
    <w:rsid w:val="00A9783A"/>
    <w:rsid w:val="00A9791B"/>
    <w:rsid w:val="00A979D1"/>
    <w:rsid w:val="00A97B62"/>
    <w:rsid w:val="00A97BB6"/>
    <w:rsid w:val="00A97E1A"/>
    <w:rsid w:val="00A97E67"/>
    <w:rsid w:val="00AA0095"/>
    <w:rsid w:val="00AA0484"/>
    <w:rsid w:val="00AA04CF"/>
    <w:rsid w:val="00AA04F4"/>
    <w:rsid w:val="00AA0826"/>
    <w:rsid w:val="00AA084C"/>
    <w:rsid w:val="00AA09DA"/>
    <w:rsid w:val="00AA0FDE"/>
    <w:rsid w:val="00AA145E"/>
    <w:rsid w:val="00AA1482"/>
    <w:rsid w:val="00AA156A"/>
    <w:rsid w:val="00AA17C6"/>
    <w:rsid w:val="00AA1A2E"/>
    <w:rsid w:val="00AA1A57"/>
    <w:rsid w:val="00AA1B65"/>
    <w:rsid w:val="00AA1EAB"/>
    <w:rsid w:val="00AA2090"/>
    <w:rsid w:val="00AA21A0"/>
    <w:rsid w:val="00AA24E7"/>
    <w:rsid w:val="00AA24F0"/>
    <w:rsid w:val="00AA2506"/>
    <w:rsid w:val="00AA27AC"/>
    <w:rsid w:val="00AA2A50"/>
    <w:rsid w:val="00AA2ADA"/>
    <w:rsid w:val="00AA2C71"/>
    <w:rsid w:val="00AA2DC8"/>
    <w:rsid w:val="00AA2EB7"/>
    <w:rsid w:val="00AA30BD"/>
    <w:rsid w:val="00AA3230"/>
    <w:rsid w:val="00AA3290"/>
    <w:rsid w:val="00AA3900"/>
    <w:rsid w:val="00AA3D4F"/>
    <w:rsid w:val="00AA3DE0"/>
    <w:rsid w:val="00AA3E42"/>
    <w:rsid w:val="00AA4201"/>
    <w:rsid w:val="00AA4253"/>
    <w:rsid w:val="00AA4269"/>
    <w:rsid w:val="00AA4460"/>
    <w:rsid w:val="00AA4823"/>
    <w:rsid w:val="00AA4992"/>
    <w:rsid w:val="00AA4B71"/>
    <w:rsid w:val="00AA4FBD"/>
    <w:rsid w:val="00AA4FC3"/>
    <w:rsid w:val="00AA4FCF"/>
    <w:rsid w:val="00AA5134"/>
    <w:rsid w:val="00AA5516"/>
    <w:rsid w:val="00AA569E"/>
    <w:rsid w:val="00AA5762"/>
    <w:rsid w:val="00AA5B0E"/>
    <w:rsid w:val="00AA5CB9"/>
    <w:rsid w:val="00AA5EEB"/>
    <w:rsid w:val="00AA5FE8"/>
    <w:rsid w:val="00AA5FFD"/>
    <w:rsid w:val="00AA620D"/>
    <w:rsid w:val="00AA63E6"/>
    <w:rsid w:val="00AA64EA"/>
    <w:rsid w:val="00AA65E2"/>
    <w:rsid w:val="00AA6713"/>
    <w:rsid w:val="00AA6791"/>
    <w:rsid w:val="00AA699F"/>
    <w:rsid w:val="00AA6B72"/>
    <w:rsid w:val="00AA6B74"/>
    <w:rsid w:val="00AA6B9F"/>
    <w:rsid w:val="00AA6CCF"/>
    <w:rsid w:val="00AA6D3C"/>
    <w:rsid w:val="00AA6EC8"/>
    <w:rsid w:val="00AA6ED3"/>
    <w:rsid w:val="00AA6F2F"/>
    <w:rsid w:val="00AA6F74"/>
    <w:rsid w:val="00AA6FEC"/>
    <w:rsid w:val="00AA718B"/>
    <w:rsid w:val="00AA7276"/>
    <w:rsid w:val="00AA7927"/>
    <w:rsid w:val="00AA7AD6"/>
    <w:rsid w:val="00AA7B74"/>
    <w:rsid w:val="00AA7DA1"/>
    <w:rsid w:val="00AB0167"/>
    <w:rsid w:val="00AB035E"/>
    <w:rsid w:val="00AB0419"/>
    <w:rsid w:val="00AB056F"/>
    <w:rsid w:val="00AB0CA2"/>
    <w:rsid w:val="00AB0EC4"/>
    <w:rsid w:val="00AB12D6"/>
    <w:rsid w:val="00AB1364"/>
    <w:rsid w:val="00AB136A"/>
    <w:rsid w:val="00AB1488"/>
    <w:rsid w:val="00AB1492"/>
    <w:rsid w:val="00AB17CB"/>
    <w:rsid w:val="00AB17E0"/>
    <w:rsid w:val="00AB1895"/>
    <w:rsid w:val="00AB195A"/>
    <w:rsid w:val="00AB1982"/>
    <w:rsid w:val="00AB19FB"/>
    <w:rsid w:val="00AB1DED"/>
    <w:rsid w:val="00AB1EAE"/>
    <w:rsid w:val="00AB1FF2"/>
    <w:rsid w:val="00AB20BA"/>
    <w:rsid w:val="00AB2196"/>
    <w:rsid w:val="00AB21F3"/>
    <w:rsid w:val="00AB2525"/>
    <w:rsid w:val="00AB2610"/>
    <w:rsid w:val="00AB2D6F"/>
    <w:rsid w:val="00AB2D7B"/>
    <w:rsid w:val="00AB2E98"/>
    <w:rsid w:val="00AB2ECB"/>
    <w:rsid w:val="00AB2FB6"/>
    <w:rsid w:val="00AB30E3"/>
    <w:rsid w:val="00AB33B6"/>
    <w:rsid w:val="00AB3471"/>
    <w:rsid w:val="00AB35C5"/>
    <w:rsid w:val="00AB3635"/>
    <w:rsid w:val="00AB369B"/>
    <w:rsid w:val="00AB38D2"/>
    <w:rsid w:val="00AB3AA8"/>
    <w:rsid w:val="00AB3BDA"/>
    <w:rsid w:val="00AB3BDC"/>
    <w:rsid w:val="00AB3CB9"/>
    <w:rsid w:val="00AB3F04"/>
    <w:rsid w:val="00AB3F4D"/>
    <w:rsid w:val="00AB3F81"/>
    <w:rsid w:val="00AB4408"/>
    <w:rsid w:val="00AB4478"/>
    <w:rsid w:val="00AB45D3"/>
    <w:rsid w:val="00AB4913"/>
    <w:rsid w:val="00AB4AF6"/>
    <w:rsid w:val="00AB4B12"/>
    <w:rsid w:val="00AB4D0F"/>
    <w:rsid w:val="00AB4E2E"/>
    <w:rsid w:val="00AB4E7A"/>
    <w:rsid w:val="00AB4EED"/>
    <w:rsid w:val="00AB530B"/>
    <w:rsid w:val="00AB547E"/>
    <w:rsid w:val="00AB5499"/>
    <w:rsid w:val="00AB55F3"/>
    <w:rsid w:val="00AB5722"/>
    <w:rsid w:val="00AB62EC"/>
    <w:rsid w:val="00AB6455"/>
    <w:rsid w:val="00AB698C"/>
    <w:rsid w:val="00AB699A"/>
    <w:rsid w:val="00AB6D51"/>
    <w:rsid w:val="00AB7128"/>
    <w:rsid w:val="00AB752B"/>
    <w:rsid w:val="00AB758B"/>
    <w:rsid w:val="00AB7595"/>
    <w:rsid w:val="00AB75C2"/>
    <w:rsid w:val="00AB75D5"/>
    <w:rsid w:val="00AB76A8"/>
    <w:rsid w:val="00AB78AE"/>
    <w:rsid w:val="00AB78C3"/>
    <w:rsid w:val="00AB78D6"/>
    <w:rsid w:val="00AB797B"/>
    <w:rsid w:val="00AB79EC"/>
    <w:rsid w:val="00AB7B11"/>
    <w:rsid w:val="00AB7B72"/>
    <w:rsid w:val="00AB7BE8"/>
    <w:rsid w:val="00AB7CB7"/>
    <w:rsid w:val="00AC015D"/>
    <w:rsid w:val="00AC02C3"/>
    <w:rsid w:val="00AC04A7"/>
    <w:rsid w:val="00AC0562"/>
    <w:rsid w:val="00AC0613"/>
    <w:rsid w:val="00AC0764"/>
    <w:rsid w:val="00AC09F4"/>
    <w:rsid w:val="00AC0B82"/>
    <w:rsid w:val="00AC0E90"/>
    <w:rsid w:val="00AC0EFD"/>
    <w:rsid w:val="00AC1060"/>
    <w:rsid w:val="00AC1124"/>
    <w:rsid w:val="00AC1154"/>
    <w:rsid w:val="00AC118E"/>
    <w:rsid w:val="00AC11FD"/>
    <w:rsid w:val="00AC1350"/>
    <w:rsid w:val="00AC15FC"/>
    <w:rsid w:val="00AC19F5"/>
    <w:rsid w:val="00AC1C0E"/>
    <w:rsid w:val="00AC1E12"/>
    <w:rsid w:val="00AC2052"/>
    <w:rsid w:val="00AC253D"/>
    <w:rsid w:val="00AC28C6"/>
    <w:rsid w:val="00AC28DB"/>
    <w:rsid w:val="00AC2D15"/>
    <w:rsid w:val="00AC2E1D"/>
    <w:rsid w:val="00AC30BF"/>
    <w:rsid w:val="00AC3194"/>
    <w:rsid w:val="00AC324F"/>
    <w:rsid w:val="00AC32BA"/>
    <w:rsid w:val="00AC3535"/>
    <w:rsid w:val="00AC381D"/>
    <w:rsid w:val="00AC3827"/>
    <w:rsid w:val="00AC38F2"/>
    <w:rsid w:val="00AC38FA"/>
    <w:rsid w:val="00AC3F29"/>
    <w:rsid w:val="00AC42DA"/>
    <w:rsid w:val="00AC46DE"/>
    <w:rsid w:val="00AC47A6"/>
    <w:rsid w:val="00AC4C98"/>
    <w:rsid w:val="00AC514B"/>
    <w:rsid w:val="00AC51DD"/>
    <w:rsid w:val="00AC5337"/>
    <w:rsid w:val="00AC5546"/>
    <w:rsid w:val="00AC57CC"/>
    <w:rsid w:val="00AC57D6"/>
    <w:rsid w:val="00AC5833"/>
    <w:rsid w:val="00AC5887"/>
    <w:rsid w:val="00AC592D"/>
    <w:rsid w:val="00AC596A"/>
    <w:rsid w:val="00AC59F3"/>
    <w:rsid w:val="00AC5AE8"/>
    <w:rsid w:val="00AC5B11"/>
    <w:rsid w:val="00AC5D48"/>
    <w:rsid w:val="00AC5D66"/>
    <w:rsid w:val="00AC5ED9"/>
    <w:rsid w:val="00AC612B"/>
    <w:rsid w:val="00AC6277"/>
    <w:rsid w:val="00AC6304"/>
    <w:rsid w:val="00AC63C1"/>
    <w:rsid w:val="00AC65C4"/>
    <w:rsid w:val="00AC67E9"/>
    <w:rsid w:val="00AC6DA6"/>
    <w:rsid w:val="00AC6E38"/>
    <w:rsid w:val="00AC6EE6"/>
    <w:rsid w:val="00AC6EED"/>
    <w:rsid w:val="00AC7058"/>
    <w:rsid w:val="00AC7298"/>
    <w:rsid w:val="00AC72E8"/>
    <w:rsid w:val="00AC7329"/>
    <w:rsid w:val="00AC738B"/>
    <w:rsid w:val="00AC73F1"/>
    <w:rsid w:val="00AC7958"/>
    <w:rsid w:val="00AC7B59"/>
    <w:rsid w:val="00AC7C3B"/>
    <w:rsid w:val="00AC7D86"/>
    <w:rsid w:val="00AD00F2"/>
    <w:rsid w:val="00AD0200"/>
    <w:rsid w:val="00AD0329"/>
    <w:rsid w:val="00AD041C"/>
    <w:rsid w:val="00AD07DC"/>
    <w:rsid w:val="00AD09BC"/>
    <w:rsid w:val="00AD0BDD"/>
    <w:rsid w:val="00AD0E0B"/>
    <w:rsid w:val="00AD0E93"/>
    <w:rsid w:val="00AD0FD0"/>
    <w:rsid w:val="00AD1026"/>
    <w:rsid w:val="00AD120C"/>
    <w:rsid w:val="00AD13CF"/>
    <w:rsid w:val="00AD1441"/>
    <w:rsid w:val="00AD166E"/>
    <w:rsid w:val="00AD17E2"/>
    <w:rsid w:val="00AD1956"/>
    <w:rsid w:val="00AD19A0"/>
    <w:rsid w:val="00AD1AE8"/>
    <w:rsid w:val="00AD1B12"/>
    <w:rsid w:val="00AD1B5E"/>
    <w:rsid w:val="00AD1D10"/>
    <w:rsid w:val="00AD1D60"/>
    <w:rsid w:val="00AD1D63"/>
    <w:rsid w:val="00AD1DFC"/>
    <w:rsid w:val="00AD2404"/>
    <w:rsid w:val="00AD256F"/>
    <w:rsid w:val="00AD2666"/>
    <w:rsid w:val="00AD269B"/>
    <w:rsid w:val="00AD275C"/>
    <w:rsid w:val="00AD2936"/>
    <w:rsid w:val="00AD2AF0"/>
    <w:rsid w:val="00AD2C4F"/>
    <w:rsid w:val="00AD2CE9"/>
    <w:rsid w:val="00AD2D51"/>
    <w:rsid w:val="00AD2E85"/>
    <w:rsid w:val="00AD2FDC"/>
    <w:rsid w:val="00AD3082"/>
    <w:rsid w:val="00AD31E1"/>
    <w:rsid w:val="00AD34B9"/>
    <w:rsid w:val="00AD352D"/>
    <w:rsid w:val="00AD3712"/>
    <w:rsid w:val="00AD372F"/>
    <w:rsid w:val="00AD3731"/>
    <w:rsid w:val="00AD38C8"/>
    <w:rsid w:val="00AD3948"/>
    <w:rsid w:val="00AD3C13"/>
    <w:rsid w:val="00AD3CB2"/>
    <w:rsid w:val="00AD3E90"/>
    <w:rsid w:val="00AD3EE5"/>
    <w:rsid w:val="00AD3F0C"/>
    <w:rsid w:val="00AD40C4"/>
    <w:rsid w:val="00AD412E"/>
    <w:rsid w:val="00AD44D1"/>
    <w:rsid w:val="00AD4B1C"/>
    <w:rsid w:val="00AD4B78"/>
    <w:rsid w:val="00AD4BDE"/>
    <w:rsid w:val="00AD523E"/>
    <w:rsid w:val="00AD55C8"/>
    <w:rsid w:val="00AD5610"/>
    <w:rsid w:val="00AD563A"/>
    <w:rsid w:val="00AD5BAB"/>
    <w:rsid w:val="00AD5BFC"/>
    <w:rsid w:val="00AD5C4C"/>
    <w:rsid w:val="00AD5CFF"/>
    <w:rsid w:val="00AD627A"/>
    <w:rsid w:val="00AD630A"/>
    <w:rsid w:val="00AD633D"/>
    <w:rsid w:val="00AD690F"/>
    <w:rsid w:val="00AD6930"/>
    <w:rsid w:val="00AD69BE"/>
    <w:rsid w:val="00AD6ACB"/>
    <w:rsid w:val="00AD6B3D"/>
    <w:rsid w:val="00AD6B41"/>
    <w:rsid w:val="00AD7053"/>
    <w:rsid w:val="00AD7300"/>
    <w:rsid w:val="00AD76D1"/>
    <w:rsid w:val="00AD77EC"/>
    <w:rsid w:val="00AD792F"/>
    <w:rsid w:val="00AD7B32"/>
    <w:rsid w:val="00AD7D5B"/>
    <w:rsid w:val="00AD7D98"/>
    <w:rsid w:val="00AD7E35"/>
    <w:rsid w:val="00AD7E6A"/>
    <w:rsid w:val="00AD7F40"/>
    <w:rsid w:val="00AD7FCE"/>
    <w:rsid w:val="00AD7FFB"/>
    <w:rsid w:val="00AE00A1"/>
    <w:rsid w:val="00AE0102"/>
    <w:rsid w:val="00AE0184"/>
    <w:rsid w:val="00AE02B4"/>
    <w:rsid w:val="00AE03C3"/>
    <w:rsid w:val="00AE068C"/>
    <w:rsid w:val="00AE0C34"/>
    <w:rsid w:val="00AE0D29"/>
    <w:rsid w:val="00AE0DCF"/>
    <w:rsid w:val="00AE0DED"/>
    <w:rsid w:val="00AE0EE7"/>
    <w:rsid w:val="00AE0F3E"/>
    <w:rsid w:val="00AE0FCA"/>
    <w:rsid w:val="00AE1052"/>
    <w:rsid w:val="00AE1303"/>
    <w:rsid w:val="00AE1709"/>
    <w:rsid w:val="00AE1895"/>
    <w:rsid w:val="00AE1A20"/>
    <w:rsid w:val="00AE1B48"/>
    <w:rsid w:val="00AE1FA5"/>
    <w:rsid w:val="00AE2138"/>
    <w:rsid w:val="00AE2192"/>
    <w:rsid w:val="00AE263C"/>
    <w:rsid w:val="00AE2710"/>
    <w:rsid w:val="00AE273A"/>
    <w:rsid w:val="00AE2934"/>
    <w:rsid w:val="00AE2943"/>
    <w:rsid w:val="00AE2A18"/>
    <w:rsid w:val="00AE2CFA"/>
    <w:rsid w:val="00AE2E46"/>
    <w:rsid w:val="00AE31E6"/>
    <w:rsid w:val="00AE33DA"/>
    <w:rsid w:val="00AE341E"/>
    <w:rsid w:val="00AE3870"/>
    <w:rsid w:val="00AE39E8"/>
    <w:rsid w:val="00AE3DA1"/>
    <w:rsid w:val="00AE3DA3"/>
    <w:rsid w:val="00AE3E34"/>
    <w:rsid w:val="00AE3FFC"/>
    <w:rsid w:val="00AE4080"/>
    <w:rsid w:val="00AE429A"/>
    <w:rsid w:val="00AE438E"/>
    <w:rsid w:val="00AE439B"/>
    <w:rsid w:val="00AE43B4"/>
    <w:rsid w:val="00AE4462"/>
    <w:rsid w:val="00AE45A2"/>
    <w:rsid w:val="00AE4641"/>
    <w:rsid w:val="00AE479D"/>
    <w:rsid w:val="00AE47C9"/>
    <w:rsid w:val="00AE48C4"/>
    <w:rsid w:val="00AE48EE"/>
    <w:rsid w:val="00AE4995"/>
    <w:rsid w:val="00AE499E"/>
    <w:rsid w:val="00AE4AF0"/>
    <w:rsid w:val="00AE4F32"/>
    <w:rsid w:val="00AE50F3"/>
    <w:rsid w:val="00AE529B"/>
    <w:rsid w:val="00AE544D"/>
    <w:rsid w:val="00AE558F"/>
    <w:rsid w:val="00AE56BC"/>
    <w:rsid w:val="00AE5963"/>
    <w:rsid w:val="00AE59D3"/>
    <w:rsid w:val="00AE5A45"/>
    <w:rsid w:val="00AE5CCC"/>
    <w:rsid w:val="00AE5D1F"/>
    <w:rsid w:val="00AE5D77"/>
    <w:rsid w:val="00AE5DD9"/>
    <w:rsid w:val="00AE5DE7"/>
    <w:rsid w:val="00AE5E56"/>
    <w:rsid w:val="00AE5EB1"/>
    <w:rsid w:val="00AE6707"/>
    <w:rsid w:val="00AE67BB"/>
    <w:rsid w:val="00AE6B91"/>
    <w:rsid w:val="00AE6BB3"/>
    <w:rsid w:val="00AE6FE9"/>
    <w:rsid w:val="00AE7030"/>
    <w:rsid w:val="00AE740E"/>
    <w:rsid w:val="00AE7418"/>
    <w:rsid w:val="00AE75A8"/>
    <w:rsid w:val="00AE7670"/>
    <w:rsid w:val="00AE795E"/>
    <w:rsid w:val="00AE7EF3"/>
    <w:rsid w:val="00AE7F78"/>
    <w:rsid w:val="00AF0091"/>
    <w:rsid w:val="00AF00DD"/>
    <w:rsid w:val="00AF0265"/>
    <w:rsid w:val="00AF027A"/>
    <w:rsid w:val="00AF02D3"/>
    <w:rsid w:val="00AF0329"/>
    <w:rsid w:val="00AF054C"/>
    <w:rsid w:val="00AF059C"/>
    <w:rsid w:val="00AF07C1"/>
    <w:rsid w:val="00AF0A12"/>
    <w:rsid w:val="00AF0CFD"/>
    <w:rsid w:val="00AF0D7A"/>
    <w:rsid w:val="00AF0E78"/>
    <w:rsid w:val="00AF0F96"/>
    <w:rsid w:val="00AF0FBF"/>
    <w:rsid w:val="00AF120C"/>
    <w:rsid w:val="00AF1241"/>
    <w:rsid w:val="00AF1395"/>
    <w:rsid w:val="00AF139F"/>
    <w:rsid w:val="00AF1478"/>
    <w:rsid w:val="00AF1498"/>
    <w:rsid w:val="00AF1AA8"/>
    <w:rsid w:val="00AF1C82"/>
    <w:rsid w:val="00AF1EC4"/>
    <w:rsid w:val="00AF28CB"/>
    <w:rsid w:val="00AF2979"/>
    <w:rsid w:val="00AF2A22"/>
    <w:rsid w:val="00AF2B8F"/>
    <w:rsid w:val="00AF313A"/>
    <w:rsid w:val="00AF3308"/>
    <w:rsid w:val="00AF3315"/>
    <w:rsid w:val="00AF340A"/>
    <w:rsid w:val="00AF348D"/>
    <w:rsid w:val="00AF353F"/>
    <w:rsid w:val="00AF36EB"/>
    <w:rsid w:val="00AF3778"/>
    <w:rsid w:val="00AF3A61"/>
    <w:rsid w:val="00AF3C1A"/>
    <w:rsid w:val="00AF3CE7"/>
    <w:rsid w:val="00AF3E09"/>
    <w:rsid w:val="00AF3F71"/>
    <w:rsid w:val="00AF4059"/>
    <w:rsid w:val="00AF419B"/>
    <w:rsid w:val="00AF44FD"/>
    <w:rsid w:val="00AF48A7"/>
    <w:rsid w:val="00AF4901"/>
    <w:rsid w:val="00AF4BDA"/>
    <w:rsid w:val="00AF524C"/>
    <w:rsid w:val="00AF5877"/>
    <w:rsid w:val="00AF5B95"/>
    <w:rsid w:val="00AF5CAA"/>
    <w:rsid w:val="00AF5D10"/>
    <w:rsid w:val="00AF5F83"/>
    <w:rsid w:val="00AF5F93"/>
    <w:rsid w:val="00AF6016"/>
    <w:rsid w:val="00AF608C"/>
    <w:rsid w:val="00AF6296"/>
    <w:rsid w:val="00AF665A"/>
    <w:rsid w:val="00AF6845"/>
    <w:rsid w:val="00AF6983"/>
    <w:rsid w:val="00AF6A4F"/>
    <w:rsid w:val="00AF6AFD"/>
    <w:rsid w:val="00AF6C52"/>
    <w:rsid w:val="00AF6F6D"/>
    <w:rsid w:val="00AF728C"/>
    <w:rsid w:val="00AF7473"/>
    <w:rsid w:val="00AF7536"/>
    <w:rsid w:val="00AF763D"/>
    <w:rsid w:val="00AF7769"/>
    <w:rsid w:val="00AF7776"/>
    <w:rsid w:val="00AF7873"/>
    <w:rsid w:val="00AF7931"/>
    <w:rsid w:val="00AF7AC5"/>
    <w:rsid w:val="00AF7B4F"/>
    <w:rsid w:val="00AF7E63"/>
    <w:rsid w:val="00B00045"/>
    <w:rsid w:val="00B000D8"/>
    <w:rsid w:val="00B0014D"/>
    <w:rsid w:val="00B00365"/>
    <w:rsid w:val="00B0068F"/>
    <w:rsid w:val="00B00697"/>
    <w:rsid w:val="00B009D0"/>
    <w:rsid w:val="00B00A61"/>
    <w:rsid w:val="00B00D8C"/>
    <w:rsid w:val="00B00DF7"/>
    <w:rsid w:val="00B01007"/>
    <w:rsid w:val="00B013F0"/>
    <w:rsid w:val="00B01447"/>
    <w:rsid w:val="00B017B8"/>
    <w:rsid w:val="00B01826"/>
    <w:rsid w:val="00B01993"/>
    <w:rsid w:val="00B01A7A"/>
    <w:rsid w:val="00B01C4E"/>
    <w:rsid w:val="00B01E73"/>
    <w:rsid w:val="00B01ECE"/>
    <w:rsid w:val="00B02173"/>
    <w:rsid w:val="00B022B1"/>
    <w:rsid w:val="00B02472"/>
    <w:rsid w:val="00B02501"/>
    <w:rsid w:val="00B02532"/>
    <w:rsid w:val="00B02609"/>
    <w:rsid w:val="00B02A1A"/>
    <w:rsid w:val="00B02A42"/>
    <w:rsid w:val="00B02B10"/>
    <w:rsid w:val="00B02E3D"/>
    <w:rsid w:val="00B031D0"/>
    <w:rsid w:val="00B032E1"/>
    <w:rsid w:val="00B0359A"/>
    <w:rsid w:val="00B035E4"/>
    <w:rsid w:val="00B0374B"/>
    <w:rsid w:val="00B03959"/>
    <w:rsid w:val="00B03A41"/>
    <w:rsid w:val="00B03BF2"/>
    <w:rsid w:val="00B03C05"/>
    <w:rsid w:val="00B03C6D"/>
    <w:rsid w:val="00B03E79"/>
    <w:rsid w:val="00B04121"/>
    <w:rsid w:val="00B04354"/>
    <w:rsid w:val="00B049CD"/>
    <w:rsid w:val="00B04CC1"/>
    <w:rsid w:val="00B04CD8"/>
    <w:rsid w:val="00B04D4B"/>
    <w:rsid w:val="00B05049"/>
    <w:rsid w:val="00B050C9"/>
    <w:rsid w:val="00B050F5"/>
    <w:rsid w:val="00B05100"/>
    <w:rsid w:val="00B0549E"/>
    <w:rsid w:val="00B05562"/>
    <w:rsid w:val="00B0579D"/>
    <w:rsid w:val="00B059B3"/>
    <w:rsid w:val="00B05B83"/>
    <w:rsid w:val="00B05C8E"/>
    <w:rsid w:val="00B05E7F"/>
    <w:rsid w:val="00B05E90"/>
    <w:rsid w:val="00B05F52"/>
    <w:rsid w:val="00B06092"/>
    <w:rsid w:val="00B06188"/>
    <w:rsid w:val="00B062E3"/>
    <w:rsid w:val="00B06322"/>
    <w:rsid w:val="00B064C0"/>
    <w:rsid w:val="00B06506"/>
    <w:rsid w:val="00B06740"/>
    <w:rsid w:val="00B06821"/>
    <w:rsid w:val="00B068E1"/>
    <w:rsid w:val="00B0692B"/>
    <w:rsid w:val="00B06C8F"/>
    <w:rsid w:val="00B06F7A"/>
    <w:rsid w:val="00B06F9B"/>
    <w:rsid w:val="00B071C4"/>
    <w:rsid w:val="00B072A0"/>
    <w:rsid w:val="00B072F1"/>
    <w:rsid w:val="00B07333"/>
    <w:rsid w:val="00B0738E"/>
    <w:rsid w:val="00B07403"/>
    <w:rsid w:val="00B07411"/>
    <w:rsid w:val="00B0745C"/>
    <w:rsid w:val="00B0771B"/>
    <w:rsid w:val="00B0790D"/>
    <w:rsid w:val="00B07A5E"/>
    <w:rsid w:val="00B07AB1"/>
    <w:rsid w:val="00B07B02"/>
    <w:rsid w:val="00B07B5E"/>
    <w:rsid w:val="00B07DC2"/>
    <w:rsid w:val="00B07EBB"/>
    <w:rsid w:val="00B07EF0"/>
    <w:rsid w:val="00B10044"/>
    <w:rsid w:val="00B100A1"/>
    <w:rsid w:val="00B1019B"/>
    <w:rsid w:val="00B10245"/>
    <w:rsid w:val="00B102A4"/>
    <w:rsid w:val="00B1042F"/>
    <w:rsid w:val="00B104FA"/>
    <w:rsid w:val="00B1053B"/>
    <w:rsid w:val="00B10824"/>
    <w:rsid w:val="00B10837"/>
    <w:rsid w:val="00B10951"/>
    <w:rsid w:val="00B1097E"/>
    <w:rsid w:val="00B1103C"/>
    <w:rsid w:val="00B1126D"/>
    <w:rsid w:val="00B113FB"/>
    <w:rsid w:val="00B1153E"/>
    <w:rsid w:val="00B1157F"/>
    <w:rsid w:val="00B1159A"/>
    <w:rsid w:val="00B11673"/>
    <w:rsid w:val="00B117E6"/>
    <w:rsid w:val="00B1186C"/>
    <w:rsid w:val="00B119DA"/>
    <w:rsid w:val="00B11D4B"/>
    <w:rsid w:val="00B11D69"/>
    <w:rsid w:val="00B11DE9"/>
    <w:rsid w:val="00B11F4C"/>
    <w:rsid w:val="00B12182"/>
    <w:rsid w:val="00B12321"/>
    <w:rsid w:val="00B12455"/>
    <w:rsid w:val="00B124F6"/>
    <w:rsid w:val="00B1250B"/>
    <w:rsid w:val="00B1267C"/>
    <w:rsid w:val="00B126D3"/>
    <w:rsid w:val="00B12BE0"/>
    <w:rsid w:val="00B12C0C"/>
    <w:rsid w:val="00B12E81"/>
    <w:rsid w:val="00B12EDA"/>
    <w:rsid w:val="00B12F3E"/>
    <w:rsid w:val="00B12FDB"/>
    <w:rsid w:val="00B13002"/>
    <w:rsid w:val="00B130BE"/>
    <w:rsid w:val="00B13385"/>
    <w:rsid w:val="00B13445"/>
    <w:rsid w:val="00B13648"/>
    <w:rsid w:val="00B13682"/>
    <w:rsid w:val="00B1371B"/>
    <w:rsid w:val="00B139BE"/>
    <w:rsid w:val="00B13AB6"/>
    <w:rsid w:val="00B13AC5"/>
    <w:rsid w:val="00B13DBC"/>
    <w:rsid w:val="00B13E78"/>
    <w:rsid w:val="00B13F82"/>
    <w:rsid w:val="00B14317"/>
    <w:rsid w:val="00B145AA"/>
    <w:rsid w:val="00B146A3"/>
    <w:rsid w:val="00B14728"/>
    <w:rsid w:val="00B1474F"/>
    <w:rsid w:val="00B1485C"/>
    <w:rsid w:val="00B14A72"/>
    <w:rsid w:val="00B15219"/>
    <w:rsid w:val="00B1540D"/>
    <w:rsid w:val="00B1540F"/>
    <w:rsid w:val="00B1565F"/>
    <w:rsid w:val="00B15680"/>
    <w:rsid w:val="00B156CD"/>
    <w:rsid w:val="00B157AF"/>
    <w:rsid w:val="00B15AA8"/>
    <w:rsid w:val="00B15AAA"/>
    <w:rsid w:val="00B15AB6"/>
    <w:rsid w:val="00B15C71"/>
    <w:rsid w:val="00B161D5"/>
    <w:rsid w:val="00B1654F"/>
    <w:rsid w:val="00B1680F"/>
    <w:rsid w:val="00B169A2"/>
    <w:rsid w:val="00B169F5"/>
    <w:rsid w:val="00B16D59"/>
    <w:rsid w:val="00B170C9"/>
    <w:rsid w:val="00B17522"/>
    <w:rsid w:val="00B175CB"/>
    <w:rsid w:val="00B177CC"/>
    <w:rsid w:val="00B178CD"/>
    <w:rsid w:val="00B178CE"/>
    <w:rsid w:val="00B179DB"/>
    <w:rsid w:val="00B179E6"/>
    <w:rsid w:val="00B17D8C"/>
    <w:rsid w:val="00B17E3D"/>
    <w:rsid w:val="00B20085"/>
    <w:rsid w:val="00B205FD"/>
    <w:rsid w:val="00B2066C"/>
    <w:rsid w:val="00B206C8"/>
    <w:rsid w:val="00B208C9"/>
    <w:rsid w:val="00B20AC0"/>
    <w:rsid w:val="00B20B34"/>
    <w:rsid w:val="00B20DD8"/>
    <w:rsid w:val="00B21180"/>
    <w:rsid w:val="00B211D3"/>
    <w:rsid w:val="00B2120D"/>
    <w:rsid w:val="00B214B7"/>
    <w:rsid w:val="00B21568"/>
    <w:rsid w:val="00B21771"/>
    <w:rsid w:val="00B21F54"/>
    <w:rsid w:val="00B21F99"/>
    <w:rsid w:val="00B22056"/>
    <w:rsid w:val="00B22512"/>
    <w:rsid w:val="00B226F7"/>
    <w:rsid w:val="00B22762"/>
    <w:rsid w:val="00B228C3"/>
    <w:rsid w:val="00B22EB0"/>
    <w:rsid w:val="00B22FBC"/>
    <w:rsid w:val="00B22FFA"/>
    <w:rsid w:val="00B2301A"/>
    <w:rsid w:val="00B230B0"/>
    <w:rsid w:val="00B23286"/>
    <w:rsid w:val="00B232D6"/>
    <w:rsid w:val="00B2338F"/>
    <w:rsid w:val="00B234A9"/>
    <w:rsid w:val="00B237EC"/>
    <w:rsid w:val="00B238EC"/>
    <w:rsid w:val="00B2390D"/>
    <w:rsid w:val="00B23A4F"/>
    <w:rsid w:val="00B23C16"/>
    <w:rsid w:val="00B23CCE"/>
    <w:rsid w:val="00B23DE4"/>
    <w:rsid w:val="00B24097"/>
    <w:rsid w:val="00B24129"/>
    <w:rsid w:val="00B24230"/>
    <w:rsid w:val="00B2431E"/>
    <w:rsid w:val="00B24334"/>
    <w:rsid w:val="00B24597"/>
    <w:rsid w:val="00B245A2"/>
    <w:rsid w:val="00B2471A"/>
    <w:rsid w:val="00B2475D"/>
    <w:rsid w:val="00B24782"/>
    <w:rsid w:val="00B24A46"/>
    <w:rsid w:val="00B24CC2"/>
    <w:rsid w:val="00B24DC8"/>
    <w:rsid w:val="00B24E48"/>
    <w:rsid w:val="00B24EBB"/>
    <w:rsid w:val="00B2500B"/>
    <w:rsid w:val="00B25090"/>
    <w:rsid w:val="00B2520F"/>
    <w:rsid w:val="00B25342"/>
    <w:rsid w:val="00B253EC"/>
    <w:rsid w:val="00B2556B"/>
    <w:rsid w:val="00B25655"/>
    <w:rsid w:val="00B256A6"/>
    <w:rsid w:val="00B258C1"/>
    <w:rsid w:val="00B258EA"/>
    <w:rsid w:val="00B25D35"/>
    <w:rsid w:val="00B25E8E"/>
    <w:rsid w:val="00B25E9A"/>
    <w:rsid w:val="00B25ED5"/>
    <w:rsid w:val="00B25EDD"/>
    <w:rsid w:val="00B25EE2"/>
    <w:rsid w:val="00B25F45"/>
    <w:rsid w:val="00B260C3"/>
    <w:rsid w:val="00B26356"/>
    <w:rsid w:val="00B26521"/>
    <w:rsid w:val="00B2652F"/>
    <w:rsid w:val="00B265A3"/>
    <w:rsid w:val="00B2675D"/>
    <w:rsid w:val="00B267F0"/>
    <w:rsid w:val="00B2687A"/>
    <w:rsid w:val="00B268F2"/>
    <w:rsid w:val="00B26ABB"/>
    <w:rsid w:val="00B26E1F"/>
    <w:rsid w:val="00B26F8A"/>
    <w:rsid w:val="00B26FE6"/>
    <w:rsid w:val="00B27412"/>
    <w:rsid w:val="00B27464"/>
    <w:rsid w:val="00B2779C"/>
    <w:rsid w:val="00B27955"/>
    <w:rsid w:val="00B279AA"/>
    <w:rsid w:val="00B27D72"/>
    <w:rsid w:val="00B27F38"/>
    <w:rsid w:val="00B27FEF"/>
    <w:rsid w:val="00B300A0"/>
    <w:rsid w:val="00B300E7"/>
    <w:rsid w:val="00B301A3"/>
    <w:rsid w:val="00B30266"/>
    <w:rsid w:val="00B30300"/>
    <w:rsid w:val="00B30387"/>
    <w:rsid w:val="00B30455"/>
    <w:rsid w:val="00B305D7"/>
    <w:rsid w:val="00B30739"/>
    <w:rsid w:val="00B307E7"/>
    <w:rsid w:val="00B3097B"/>
    <w:rsid w:val="00B30A44"/>
    <w:rsid w:val="00B30ABE"/>
    <w:rsid w:val="00B30B55"/>
    <w:rsid w:val="00B30D02"/>
    <w:rsid w:val="00B30EDB"/>
    <w:rsid w:val="00B311A9"/>
    <w:rsid w:val="00B31232"/>
    <w:rsid w:val="00B31249"/>
    <w:rsid w:val="00B31464"/>
    <w:rsid w:val="00B3149D"/>
    <w:rsid w:val="00B31C10"/>
    <w:rsid w:val="00B31D64"/>
    <w:rsid w:val="00B31FB6"/>
    <w:rsid w:val="00B31FE2"/>
    <w:rsid w:val="00B32037"/>
    <w:rsid w:val="00B320EA"/>
    <w:rsid w:val="00B327C8"/>
    <w:rsid w:val="00B3281C"/>
    <w:rsid w:val="00B328D5"/>
    <w:rsid w:val="00B32D04"/>
    <w:rsid w:val="00B32D39"/>
    <w:rsid w:val="00B3316A"/>
    <w:rsid w:val="00B333CC"/>
    <w:rsid w:val="00B33451"/>
    <w:rsid w:val="00B33794"/>
    <w:rsid w:val="00B337D7"/>
    <w:rsid w:val="00B339B2"/>
    <w:rsid w:val="00B33FAB"/>
    <w:rsid w:val="00B34153"/>
    <w:rsid w:val="00B3445E"/>
    <w:rsid w:val="00B34715"/>
    <w:rsid w:val="00B3474B"/>
    <w:rsid w:val="00B34832"/>
    <w:rsid w:val="00B348CB"/>
    <w:rsid w:val="00B3526D"/>
    <w:rsid w:val="00B353A9"/>
    <w:rsid w:val="00B353F5"/>
    <w:rsid w:val="00B35543"/>
    <w:rsid w:val="00B355A7"/>
    <w:rsid w:val="00B35AD9"/>
    <w:rsid w:val="00B35B3A"/>
    <w:rsid w:val="00B35CA8"/>
    <w:rsid w:val="00B35D3B"/>
    <w:rsid w:val="00B3648B"/>
    <w:rsid w:val="00B364B2"/>
    <w:rsid w:val="00B36527"/>
    <w:rsid w:val="00B36753"/>
    <w:rsid w:val="00B36785"/>
    <w:rsid w:val="00B3681A"/>
    <w:rsid w:val="00B3687B"/>
    <w:rsid w:val="00B36936"/>
    <w:rsid w:val="00B36981"/>
    <w:rsid w:val="00B36BFC"/>
    <w:rsid w:val="00B36ECB"/>
    <w:rsid w:val="00B371DC"/>
    <w:rsid w:val="00B37468"/>
    <w:rsid w:val="00B37511"/>
    <w:rsid w:val="00B37564"/>
    <w:rsid w:val="00B376A7"/>
    <w:rsid w:val="00B37999"/>
    <w:rsid w:val="00B37C69"/>
    <w:rsid w:val="00B37E73"/>
    <w:rsid w:val="00B40048"/>
    <w:rsid w:val="00B40118"/>
    <w:rsid w:val="00B40349"/>
    <w:rsid w:val="00B40387"/>
    <w:rsid w:val="00B40419"/>
    <w:rsid w:val="00B40545"/>
    <w:rsid w:val="00B40626"/>
    <w:rsid w:val="00B40A01"/>
    <w:rsid w:val="00B40CFC"/>
    <w:rsid w:val="00B40D2E"/>
    <w:rsid w:val="00B40DAD"/>
    <w:rsid w:val="00B4107C"/>
    <w:rsid w:val="00B4112D"/>
    <w:rsid w:val="00B411EE"/>
    <w:rsid w:val="00B41464"/>
    <w:rsid w:val="00B41641"/>
    <w:rsid w:val="00B4165F"/>
    <w:rsid w:val="00B416CE"/>
    <w:rsid w:val="00B41799"/>
    <w:rsid w:val="00B417D6"/>
    <w:rsid w:val="00B419F4"/>
    <w:rsid w:val="00B41E37"/>
    <w:rsid w:val="00B4206F"/>
    <w:rsid w:val="00B422D1"/>
    <w:rsid w:val="00B423C1"/>
    <w:rsid w:val="00B4268C"/>
    <w:rsid w:val="00B426C9"/>
    <w:rsid w:val="00B42880"/>
    <w:rsid w:val="00B42D1F"/>
    <w:rsid w:val="00B430BA"/>
    <w:rsid w:val="00B430F0"/>
    <w:rsid w:val="00B4310B"/>
    <w:rsid w:val="00B43774"/>
    <w:rsid w:val="00B437D1"/>
    <w:rsid w:val="00B43AB4"/>
    <w:rsid w:val="00B43B28"/>
    <w:rsid w:val="00B43BD1"/>
    <w:rsid w:val="00B43C4C"/>
    <w:rsid w:val="00B43D52"/>
    <w:rsid w:val="00B43E19"/>
    <w:rsid w:val="00B43F30"/>
    <w:rsid w:val="00B44550"/>
    <w:rsid w:val="00B44794"/>
    <w:rsid w:val="00B44A71"/>
    <w:rsid w:val="00B44E1E"/>
    <w:rsid w:val="00B44E69"/>
    <w:rsid w:val="00B44EB4"/>
    <w:rsid w:val="00B44F5D"/>
    <w:rsid w:val="00B44FBF"/>
    <w:rsid w:val="00B45147"/>
    <w:rsid w:val="00B451B2"/>
    <w:rsid w:val="00B453C8"/>
    <w:rsid w:val="00B45488"/>
    <w:rsid w:val="00B4586F"/>
    <w:rsid w:val="00B45C2D"/>
    <w:rsid w:val="00B45C65"/>
    <w:rsid w:val="00B45CB0"/>
    <w:rsid w:val="00B45D60"/>
    <w:rsid w:val="00B45EDD"/>
    <w:rsid w:val="00B45FFF"/>
    <w:rsid w:val="00B4626F"/>
    <w:rsid w:val="00B46424"/>
    <w:rsid w:val="00B46481"/>
    <w:rsid w:val="00B466DA"/>
    <w:rsid w:val="00B468C7"/>
    <w:rsid w:val="00B46A72"/>
    <w:rsid w:val="00B46B13"/>
    <w:rsid w:val="00B46BF7"/>
    <w:rsid w:val="00B46EFE"/>
    <w:rsid w:val="00B47156"/>
    <w:rsid w:val="00B473AC"/>
    <w:rsid w:val="00B474CF"/>
    <w:rsid w:val="00B474EE"/>
    <w:rsid w:val="00B4750C"/>
    <w:rsid w:val="00B4797F"/>
    <w:rsid w:val="00B479D4"/>
    <w:rsid w:val="00B47BF8"/>
    <w:rsid w:val="00B47CAC"/>
    <w:rsid w:val="00B50197"/>
    <w:rsid w:val="00B5020B"/>
    <w:rsid w:val="00B50338"/>
    <w:rsid w:val="00B50659"/>
    <w:rsid w:val="00B506A2"/>
    <w:rsid w:val="00B50D28"/>
    <w:rsid w:val="00B5101C"/>
    <w:rsid w:val="00B5105F"/>
    <w:rsid w:val="00B51061"/>
    <w:rsid w:val="00B5122C"/>
    <w:rsid w:val="00B512DE"/>
    <w:rsid w:val="00B5133C"/>
    <w:rsid w:val="00B51356"/>
    <w:rsid w:val="00B513E6"/>
    <w:rsid w:val="00B513E8"/>
    <w:rsid w:val="00B514F7"/>
    <w:rsid w:val="00B51604"/>
    <w:rsid w:val="00B51B5D"/>
    <w:rsid w:val="00B51CE4"/>
    <w:rsid w:val="00B51D9A"/>
    <w:rsid w:val="00B51EBF"/>
    <w:rsid w:val="00B51F16"/>
    <w:rsid w:val="00B51F5F"/>
    <w:rsid w:val="00B521AA"/>
    <w:rsid w:val="00B52334"/>
    <w:rsid w:val="00B52670"/>
    <w:rsid w:val="00B52684"/>
    <w:rsid w:val="00B5272D"/>
    <w:rsid w:val="00B52734"/>
    <w:rsid w:val="00B52769"/>
    <w:rsid w:val="00B527A9"/>
    <w:rsid w:val="00B5293F"/>
    <w:rsid w:val="00B529EE"/>
    <w:rsid w:val="00B52B10"/>
    <w:rsid w:val="00B52DA9"/>
    <w:rsid w:val="00B52EAF"/>
    <w:rsid w:val="00B52EE7"/>
    <w:rsid w:val="00B52FB4"/>
    <w:rsid w:val="00B5302C"/>
    <w:rsid w:val="00B530F6"/>
    <w:rsid w:val="00B5322A"/>
    <w:rsid w:val="00B5362C"/>
    <w:rsid w:val="00B5363A"/>
    <w:rsid w:val="00B537AD"/>
    <w:rsid w:val="00B53818"/>
    <w:rsid w:val="00B53ADB"/>
    <w:rsid w:val="00B53EE5"/>
    <w:rsid w:val="00B54031"/>
    <w:rsid w:val="00B540A5"/>
    <w:rsid w:val="00B54337"/>
    <w:rsid w:val="00B5435A"/>
    <w:rsid w:val="00B54392"/>
    <w:rsid w:val="00B543D0"/>
    <w:rsid w:val="00B54797"/>
    <w:rsid w:val="00B5491B"/>
    <w:rsid w:val="00B5493D"/>
    <w:rsid w:val="00B55077"/>
    <w:rsid w:val="00B550D7"/>
    <w:rsid w:val="00B55190"/>
    <w:rsid w:val="00B5530D"/>
    <w:rsid w:val="00B554B5"/>
    <w:rsid w:val="00B5590B"/>
    <w:rsid w:val="00B55AE1"/>
    <w:rsid w:val="00B55D2E"/>
    <w:rsid w:val="00B55D31"/>
    <w:rsid w:val="00B56080"/>
    <w:rsid w:val="00B5609C"/>
    <w:rsid w:val="00B565B9"/>
    <w:rsid w:val="00B56773"/>
    <w:rsid w:val="00B5680C"/>
    <w:rsid w:val="00B569EC"/>
    <w:rsid w:val="00B56CEA"/>
    <w:rsid w:val="00B56EB9"/>
    <w:rsid w:val="00B56F33"/>
    <w:rsid w:val="00B56F49"/>
    <w:rsid w:val="00B5705C"/>
    <w:rsid w:val="00B5722E"/>
    <w:rsid w:val="00B5726D"/>
    <w:rsid w:val="00B574C5"/>
    <w:rsid w:val="00B578D5"/>
    <w:rsid w:val="00B57BA0"/>
    <w:rsid w:val="00B57CB0"/>
    <w:rsid w:val="00B57D47"/>
    <w:rsid w:val="00B57DF1"/>
    <w:rsid w:val="00B57E45"/>
    <w:rsid w:val="00B57EF9"/>
    <w:rsid w:val="00B57F18"/>
    <w:rsid w:val="00B6012C"/>
    <w:rsid w:val="00B60293"/>
    <w:rsid w:val="00B60477"/>
    <w:rsid w:val="00B60884"/>
    <w:rsid w:val="00B60902"/>
    <w:rsid w:val="00B60F45"/>
    <w:rsid w:val="00B60F71"/>
    <w:rsid w:val="00B61264"/>
    <w:rsid w:val="00B61347"/>
    <w:rsid w:val="00B616D9"/>
    <w:rsid w:val="00B61854"/>
    <w:rsid w:val="00B61E8B"/>
    <w:rsid w:val="00B61F49"/>
    <w:rsid w:val="00B621A9"/>
    <w:rsid w:val="00B62230"/>
    <w:rsid w:val="00B62308"/>
    <w:rsid w:val="00B6238E"/>
    <w:rsid w:val="00B624EB"/>
    <w:rsid w:val="00B624EE"/>
    <w:rsid w:val="00B62A67"/>
    <w:rsid w:val="00B62ADC"/>
    <w:rsid w:val="00B62B49"/>
    <w:rsid w:val="00B62CB4"/>
    <w:rsid w:val="00B62FDA"/>
    <w:rsid w:val="00B63000"/>
    <w:rsid w:val="00B63149"/>
    <w:rsid w:val="00B6349F"/>
    <w:rsid w:val="00B63544"/>
    <w:rsid w:val="00B63661"/>
    <w:rsid w:val="00B63734"/>
    <w:rsid w:val="00B6393B"/>
    <w:rsid w:val="00B639D5"/>
    <w:rsid w:val="00B63A8F"/>
    <w:rsid w:val="00B63B16"/>
    <w:rsid w:val="00B63EF3"/>
    <w:rsid w:val="00B640CC"/>
    <w:rsid w:val="00B641E2"/>
    <w:rsid w:val="00B6421F"/>
    <w:rsid w:val="00B642EA"/>
    <w:rsid w:val="00B64506"/>
    <w:rsid w:val="00B6457C"/>
    <w:rsid w:val="00B645E3"/>
    <w:rsid w:val="00B6460B"/>
    <w:rsid w:val="00B64953"/>
    <w:rsid w:val="00B64AAA"/>
    <w:rsid w:val="00B64BBD"/>
    <w:rsid w:val="00B64BF7"/>
    <w:rsid w:val="00B64E70"/>
    <w:rsid w:val="00B64E9C"/>
    <w:rsid w:val="00B64F3E"/>
    <w:rsid w:val="00B64F59"/>
    <w:rsid w:val="00B64FC4"/>
    <w:rsid w:val="00B651C9"/>
    <w:rsid w:val="00B652AD"/>
    <w:rsid w:val="00B65328"/>
    <w:rsid w:val="00B655F6"/>
    <w:rsid w:val="00B65635"/>
    <w:rsid w:val="00B657B0"/>
    <w:rsid w:val="00B6583F"/>
    <w:rsid w:val="00B65918"/>
    <w:rsid w:val="00B65956"/>
    <w:rsid w:val="00B65980"/>
    <w:rsid w:val="00B65C91"/>
    <w:rsid w:val="00B65CBB"/>
    <w:rsid w:val="00B65D1B"/>
    <w:rsid w:val="00B65D72"/>
    <w:rsid w:val="00B65D9A"/>
    <w:rsid w:val="00B65E6C"/>
    <w:rsid w:val="00B65FCB"/>
    <w:rsid w:val="00B66191"/>
    <w:rsid w:val="00B66319"/>
    <w:rsid w:val="00B6663F"/>
    <w:rsid w:val="00B669EF"/>
    <w:rsid w:val="00B66A42"/>
    <w:rsid w:val="00B66D8D"/>
    <w:rsid w:val="00B66DC0"/>
    <w:rsid w:val="00B66F8F"/>
    <w:rsid w:val="00B672FD"/>
    <w:rsid w:val="00B6733E"/>
    <w:rsid w:val="00B67448"/>
    <w:rsid w:val="00B67591"/>
    <w:rsid w:val="00B675B2"/>
    <w:rsid w:val="00B675E7"/>
    <w:rsid w:val="00B679A0"/>
    <w:rsid w:val="00B67BE1"/>
    <w:rsid w:val="00B67CE7"/>
    <w:rsid w:val="00B67DB5"/>
    <w:rsid w:val="00B67EA3"/>
    <w:rsid w:val="00B67F30"/>
    <w:rsid w:val="00B67F5C"/>
    <w:rsid w:val="00B70097"/>
    <w:rsid w:val="00B700B9"/>
    <w:rsid w:val="00B70296"/>
    <w:rsid w:val="00B7029A"/>
    <w:rsid w:val="00B7034E"/>
    <w:rsid w:val="00B704C8"/>
    <w:rsid w:val="00B70521"/>
    <w:rsid w:val="00B707C1"/>
    <w:rsid w:val="00B70B6A"/>
    <w:rsid w:val="00B70D71"/>
    <w:rsid w:val="00B70EE4"/>
    <w:rsid w:val="00B70FD2"/>
    <w:rsid w:val="00B71002"/>
    <w:rsid w:val="00B710D4"/>
    <w:rsid w:val="00B71114"/>
    <w:rsid w:val="00B712CD"/>
    <w:rsid w:val="00B71343"/>
    <w:rsid w:val="00B7154E"/>
    <w:rsid w:val="00B71AB1"/>
    <w:rsid w:val="00B71CEE"/>
    <w:rsid w:val="00B71E33"/>
    <w:rsid w:val="00B71E3D"/>
    <w:rsid w:val="00B71E51"/>
    <w:rsid w:val="00B71ED4"/>
    <w:rsid w:val="00B71F4B"/>
    <w:rsid w:val="00B7210C"/>
    <w:rsid w:val="00B72158"/>
    <w:rsid w:val="00B72164"/>
    <w:rsid w:val="00B72207"/>
    <w:rsid w:val="00B72209"/>
    <w:rsid w:val="00B722A9"/>
    <w:rsid w:val="00B72383"/>
    <w:rsid w:val="00B72426"/>
    <w:rsid w:val="00B725CF"/>
    <w:rsid w:val="00B725E2"/>
    <w:rsid w:val="00B727C2"/>
    <w:rsid w:val="00B72951"/>
    <w:rsid w:val="00B72A66"/>
    <w:rsid w:val="00B72B9B"/>
    <w:rsid w:val="00B72BE5"/>
    <w:rsid w:val="00B72C28"/>
    <w:rsid w:val="00B72D75"/>
    <w:rsid w:val="00B72EF1"/>
    <w:rsid w:val="00B72F64"/>
    <w:rsid w:val="00B72F7F"/>
    <w:rsid w:val="00B72FDF"/>
    <w:rsid w:val="00B730ED"/>
    <w:rsid w:val="00B73481"/>
    <w:rsid w:val="00B73599"/>
    <w:rsid w:val="00B735A0"/>
    <w:rsid w:val="00B735D4"/>
    <w:rsid w:val="00B7360A"/>
    <w:rsid w:val="00B73A7D"/>
    <w:rsid w:val="00B73C19"/>
    <w:rsid w:val="00B73E6E"/>
    <w:rsid w:val="00B74003"/>
    <w:rsid w:val="00B7407C"/>
    <w:rsid w:val="00B7410C"/>
    <w:rsid w:val="00B742F4"/>
    <w:rsid w:val="00B74370"/>
    <w:rsid w:val="00B74639"/>
    <w:rsid w:val="00B7493B"/>
    <w:rsid w:val="00B74C9A"/>
    <w:rsid w:val="00B74F0B"/>
    <w:rsid w:val="00B75032"/>
    <w:rsid w:val="00B750A8"/>
    <w:rsid w:val="00B75245"/>
    <w:rsid w:val="00B75356"/>
    <w:rsid w:val="00B75BA1"/>
    <w:rsid w:val="00B766FD"/>
    <w:rsid w:val="00B76AB3"/>
    <w:rsid w:val="00B76B06"/>
    <w:rsid w:val="00B76B61"/>
    <w:rsid w:val="00B76BB3"/>
    <w:rsid w:val="00B76CDB"/>
    <w:rsid w:val="00B775B5"/>
    <w:rsid w:val="00B775C9"/>
    <w:rsid w:val="00B77A11"/>
    <w:rsid w:val="00B77B56"/>
    <w:rsid w:val="00B77B91"/>
    <w:rsid w:val="00B77BE2"/>
    <w:rsid w:val="00B77E40"/>
    <w:rsid w:val="00B80078"/>
    <w:rsid w:val="00B8036D"/>
    <w:rsid w:val="00B80430"/>
    <w:rsid w:val="00B8043C"/>
    <w:rsid w:val="00B805D6"/>
    <w:rsid w:val="00B808E8"/>
    <w:rsid w:val="00B80996"/>
    <w:rsid w:val="00B80ABD"/>
    <w:rsid w:val="00B80BA6"/>
    <w:rsid w:val="00B80D41"/>
    <w:rsid w:val="00B80DE7"/>
    <w:rsid w:val="00B80E9F"/>
    <w:rsid w:val="00B80F91"/>
    <w:rsid w:val="00B8124A"/>
    <w:rsid w:val="00B81339"/>
    <w:rsid w:val="00B813B9"/>
    <w:rsid w:val="00B8140A"/>
    <w:rsid w:val="00B81532"/>
    <w:rsid w:val="00B81847"/>
    <w:rsid w:val="00B81960"/>
    <w:rsid w:val="00B81A69"/>
    <w:rsid w:val="00B81C7F"/>
    <w:rsid w:val="00B81D16"/>
    <w:rsid w:val="00B81DD1"/>
    <w:rsid w:val="00B81F83"/>
    <w:rsid w:val="00B82244"/>
    <w:rsid w:val="00B82464"/>
    <w:rsid w:val="00B82581"/>
    <w:rsid w:val="00B828CA"/>
    <w:rsid w:val="00B8295E"/>
    <w:rsid w:val="00B82DCA"/>
    <w:rsid w:val="00B82F7F"/>
    <w:rsid w:val="00B82FA6"/>
    <w:rsid w:val="00B82FAB"/>
    <w:rsid w:val="00B83036"/>
    <w:rsid w:val="00B83056"/>
    <w:rsid w:val="00B8306D"/>
    <w:rsid w:val="00B830A4"/>
    <w:rsid w:val="00B83439"/>
    <w:rsid w:val="00B835DD"/>
    <w:rsid w:val="00B8368D"/>
    <w:rsid w:val="00B8398F"/>
    <w:rsid w:val="00B839E4"/>
    <w:rsid w:val="00B83A5F"/>
    <w:rsid w:val="00B83D26"/>
    <w:rsid w:val="00B83D61"/>
    <w:rsid w:val="00B83EFD"/>
    <w:rsid w:val="00B83F11"/>
    <w:rsid w:val="00B84057"/>
    <w:rsid w:val="00B840C5"/>
    <w:rsid w:val="00B8427D"/>
    <w:rsid w:val="00B84600"/>
    <w:rsid w:val="00B84672"/>
    <w:rsid w:val="00B8475F"/>
    <w:rsid w:val="00B847D0"/>
    <w:rsid w:val="00B84827"/>
    <w:rsid w:val="00B84874"/>
    <w:rsid w:val="00B84A73"/>
    <w:rsid w:val="00B84C1E"/>
    <w:rsid w:val="00B84C24"/>
    <w:rsid w:val="00B84C5C"/>
    <w:rsid w:val="00B84D4A"/>
    <w:rsid w:val="00B84E42"/>
    <w:rsid w:val="00B84FEA"/>
    <w:rsid w:val="00B84FF5"/>
    <w:rsid w:val="00B85116"/>
    <w:rsid w:val="00B8516A"/>
    <w:rsid w:val="00B8566F"/>
    <w:rsid w:val="00B859DE"/>
    <w:rsid w:val="00B859E5"/>
    <w:rsid w:val="00B860D6"/>
    <w:rsid w:val="00B86407"/>
    <w:rsid w:val="00B86647"/>
    <w:rsid w:val="00B8674B"/>
    <w:rsid w:val="00B86C29"/>
    <w:rsid w:val="00B86E8B"/>
    <w:rsid w:val="00B86EA5"/>
    <w:rsid w:val="00B87407"/>
    <w:rsid w:val="00B87545"/>
    <w:rsid w:val="00B87811"/>
    <w:rsid w:val="00B878D9"/>
    <w:rsid w:val="00B87920"/>
    <w:rsid w:val="00B879E9"/>
    <w:rsid w:val="00B87CA7"/>
    <w:rsid w:val="00B87F37"/>
    <w:rsid w:val="00B900AA"/>
    <w:rsid w:val="00B90135"/>
    <w:rsid w:val="00B90471"/>
    <w:rsid w:val="00B90922"/>
    <w:rsid w:val="00B90B6A"/>
    <w:rsid w:val="00B90BB5"/>
    <w:rsid w:val="00B90BC8"/>
    <w:rsid w:val="00B90BDF"/>
    <w:rsid w:val="00B90C4D"/>
    <w:rsid w:val="00B90C66"/>
    <w:rsid w:val="00B90D64"/>
    <w:rsid w:val="00B90E46"/>
    <w:rsid w:val="00B90E79"/>
    <w:rsid w:val="00B90F37"/>
    <w:rsid w:val="00B911E8"/>
    <w:rsid w:val="00B913B1"/>
    <w:rsid w:val="00B915A5"/>
    <w:rsid w:val="00B91660"/>
    <w:rsid w:val="00B91F1E"/>
    <w:rsid w:val="00B92005"/>
    <w:rsid w:val="00B921C7"/>
    <w:rsid w:val="00B92287"/>
    <w:rsid w:val="00B925D2"/>
    <w:rsid w:val="00B92725"/>
    <w:rsid w:val="00B9282C"/>
    <w:rsid w:val="00B92E9D"/>
    <w:rsid w:val="00B92FB0"/>
    <w:rsid w:val="00B93078"/>
    <w:rsid w:val="00B931D8"/>
    <w:rsid w:val="00B934F2"/>
    <w:rsid w:val="00B93527"/>
    <w:rsid w:val="00B93559"/>
    <w:rsid w:val="00B935C1"/>
    <w:rsid w:val="00B9375D"/>
    <w:rsid w:val="00B937D4"/>
    <w:rsid w:val="00B93A20"/>
    <w:rsid w:val="00B93D8B"/>
    <w:rsid w:val="00B93FFE"/>
    <w:rsid w:val="00B94394"/>
    <w:rsid w:val="00B9439A"/>
    <w:rsid w:val="00B94454"/>
    <w:rsid w:val="00B94834"/>
    <w:rsid w:val="00B948A4"/>
    <w:rsid w:val="00B94A35"/>
    <w:rsid w:val="00B94B34"/>
    <w:rsid w:val="00B94C48"/>
    <w:rsid w:val="00B94EDA"/>
    <w:rsid w:val="00B94EDE"/>
    <w:rsid w:val="00B95108"/>
    <w:rsid w:val="00B951A4"/>
    <w:rsid w:val="00B95322"/>
    <w:rsid w:val="00B956DE"/>
    <w:rsid w:val="00B95A8C"/>
    <w:rsid w:val="00B95C08"/>
    <w:rsid w:val="00B95E24"/>
    <w:rsid w:val="00B9607D"/>
    <w:rsid w:val="00B96200"/>
    <w:rsid w:val="00B96229"/>
    <w:rsid w:val="00B963B2"/>
    <w:rsid w:val="00B964DA"/>
    <w:rsid w:val="00B96570"/>
    <w:rsid w:val="00B96C81"/>
    <w:rsid w:val="00B97062"/>
    <w:rsid w:val="00B970FB"/>
    <w:rsid w:val="00B97253"/>
    <w:rsid w:val="00B97366"/>
    <w:rsid w:val="00B9737E"/>
    <w:rsid w:val="00B9753D"/>
    <w:rsid w:val="00B97569"/>
    <w:rsid w:val="00B978A7"/>
    <w:rsid w:val="00B978E0"/>
    <w:rsid w:val="00B979C2"/>
    <w:rsid w:val="00B97A87"/>
    <w:rsid w:val="00B97D6F"/>
    <w:rsid w:val="00B97DA9"/>
    <w:rsid w:val="00BA00C5"/>
    <w:rsid w:val="00BA016F"/>
    <w:rsid w:val="00BA01D0"/>
    <w:rsid w:val="00BA093A"/>
    <w:rsid w:val="00BA0A06"/>
    <w:rsid w:val="00BA0A1F"/>
    <w:rsid w:val="00BA0BD4"/>
    <w:rsid w:val="00BA0FDB"/>
    <w:rsid w:val="00BA0FF4"/>
    <w:rsid w:val="00BA11B7"/>
    <w:rsid w:val="00BA11E2"/>
    <w:rsid w:val="00BA1450"/>
    <w:rsid w:val="00BA1719"/>
    <w:rsid w:val="00BA191D"/>
    <w:rsid w:val="00BA199E"/>
    <w:rsid w:val="00BA19C3"/>
    <w:rsid w:val="00BA1B46"/>
    <w:rsid w:val="00BA1D31"/>
    <w:rsid w:val="00BA212F"/>
    <w:rsid w:val="00BA219F"/>
    <w:rsid w:val="00BA2229"/>
    <w:rsid w:val="00BA2290"/>
    <w:rsid w:val="00BA22E1"/>
    <w:rsid w:val="00BA2348"/>
    <w:rsid w:val="00BA2686"/>
    <w:rsid w:val="00BA291E"/>
    <w:rsid w:val="00BA2AD7"/>
    <w:rsid w:val="00BA2B1D"/>
    <w:rsid w:val="00BA2DB2"/>
    <w:rsid w:val="00BA2DF1"/>
    <w:rsid w:val="00BA2ED2"/>
    <w:rsid w:val="00BA2EE9"/>
    <w:rsid w:val="00BA3117"/>
    <w:rsid w:val="00BA3137"/>
    <w:rsid w:val="00BA3236"/>
    <w:rsid w:val="00BA3599"/>
    <w:rsid w:val="00BA35DF"/>
    <w:rsid w:val="00BA3693"/>
    <w:rsid w:val="00BA389E"/>
    <w:rsid w:val="00BA3A92"/>
    <w:rsid w:val="00BA3C34"/>
    <w:rsid w:val="00BA3DA6"/>
    <w:rsid w:val="00BA3F6B"/>
    <w:rsid w:val="00BA4139"/>
    <w:rsid w:val="00BA418A"/>
    <w:rsid w:val="00BA4268"/>
    <w:rsid w:val="00BA430D"/>
    <w:rsid w:val="00BA439F"/>
    <w:rsid w:val="00BA440D"/>
    <w:rsid w:val="00BA4656"/>
    <w:rsid w:val="00BA47DB"/>
    <w:rsid w:val="00BA4860"/>
    <w:rsid w:val="00BA4A6A"/>
    <w:rsid w:val="00BA4A99"/>
    <w:rsid w:val="00BA4B63"/>
    <w:rsid w:val="00BA4BCF"/>
    <w:rsid w:val="00BA4C9A"/>
    <w:rsid w:val="00BA4CFA"/>
    <w:rsid w:val="00BA4FA5"/>
    <w:rsid w:val="00BA50B6"/>
    <w:rsid w:val="00BA5144"/>
    <w:rsid w:val="00BA5300"/>
    <w:rsid w:val="00BA5418"/>
    <w:rsid w:val="00BA589E"/>
    <w:rsid w:val="00BA59F7"/>
    <w:rsid w:val="00BA5B52"/>
    <w:rsid w:val="00BA5C20"/>
    <w:rsid w:val="00BA5C22"/>
    <w:rsid w:val="00BA5D2A"/>
    <w:rsid w:val="00BA6086"/>
    <w:rsid w:val="00BA62FC"/>
    <w:rsid w:val="00BA6893"/>
    <w:rsid w:val="00BA6B8B"/>
    <w:rsid w:val="00BA6EAC"/>
    <w:rsid w:val="00BA6ED1"/>
    <w:rsid w:val="00BA71F8"/>
    <w:rsid w:val="00BA7297"/>
    <w:rsid w:val="00BA74D3"/>
    <w:rsid w:val="00BA798D"/>
    <w:rsid w:val="00BA7A82"/>
    <w:rsid w:val="00BA7B9C"/>
    <w:rsid w:val="00BA7BB9"/>
    <w:rsid w:val="00BA7CE4"/>
    <w:rsid w:val="00BA7DB9"/>
    <w:rsid w:val="00BB0095"/>
    <w:rsid w:val="00BB00DE"/>
    <w:rsid w:val="00BB02AA"/>
    <w:rsid w:val="00BB04EE"/>
    <w:rsid w:val="00BB07ED"/>
    <w:rsid w:val="00BB0876"/>
    <w:rsid w:val="00BB09FA"/>
    <w:rsid w:val="00BB0C06"/>
    <w:rsid w:val="00BB11E7"/>
    <w:rsid w:val="00BB1282"/>
    <w:rsid w:val="00BB14E9"/>
    <w:rsid w:val="00BB161D"/>
    <w:rsid w:val="00BB19B3"/>
    <w:rsid w:val="00BB1CCA"/>
    <w:rsid w:val="00BB1D18"/>
    <w:rsid w:val="00BB1E3B"/>
    <w:rsid w:val="00BB1EBF"/>
    <w:rsid w:val="00BB1FB6"/>
    <w:rsid w:val="00BB2012"/>
    <w:rsid w:val="00BB20AE"/>
    <w:rsid w:val="00BB210E"/>
    <w:rsid w:val="00BB2175"/>
    <w:rsid w:val="00BB2325"/>
    <w:rsid w:val="00BB2495"/>
    <w:rsid w:val="00BB25A0"/>
    <w:rsid w:val="00BB2661"/>
    <w:rsid w:val="00BB2731"/>
    <w:rsid w:val="00BB281A"/>
    <w:rsid w:val="00BB2900"/>
    <w:rsid w:val="00BB295F"/>
    <w:rsid w:val="00BB2D8E"/>
    <w:rsid w:val="00BB2DBB"/>
    <w:rsid w:val="00BB30A1"/>
    <w:rsid w:val="00BB3196"/>
    <w:rsid w:val="00BB339F"/>
    <w:rsid w:val="00BB343F"/>
    <w:rsid w:val="00BB3450"/>
    <w:rsid w:val="00BB3517"/>
    <w:rsid w:val="00BB376B"/>
    <w:rsid w:val="00BB3C2A"/>
    <w:rsid w:val="00BB3F3B"/>
    <w:rsid w:val="00BB3F51"/>
    <w:rsid w:val="00BB3FCA"/>
    <w:rsid w:val="00BB4361"/>
    <w:rsid w:val="00BB4C0A"/>
    <w:rsid w:val="00BB4E42"/>
    <w:rsid w:val="00BB5275"/>
    <w:rsid w:val="00BB5458"/>
    <w:rsid w:val="00BB55DB"/>
    <w:rsid w:val="00BB56D5"/>
    <w:rsid w:val="00BB591D"/>
    <w:rsid w:val="00BB5969"/>
    <w:rsid w:val="00BB5A44"/>
    <w:rsid w:val="00BB5B09"/>
    <w:rsid w:val="00BB5C8E"/>
    <w:rsid w:val="00BB5E63"/>
    <w:rsid w:val="00BB5F4B"/>
    <w:rsid w:val="00BB6264"/>
    <w:rsid w:val="00BB631B"/>
    <w:rsid w:val="00BB64A5"/>
    <w:rsid w:val="00BB65B9"/>
    <w:rsid w:val="00BB6CC4"/>
    <w:rsid w:val="00BB6CEA"/>
    <w:rsid w:val="00BB6E25"/>
    <w:rsid w:val="00BB6F45"/>
    <w:rsid w:val="00BB6FD1"/>
    <w:rsid w:val="00BB7053"/>
    <w:rsid w:val="00BB733A"/>
    <w:rsid w:val="00BB73B2"/>
    <w:rsid w:val="00BB75B4"/>
    <w:rsid w:val="00BB77A2"/>
    <w:rsid w:val="00BB77B1"/>
    <w:rsid w:val="00BB7A6F"/>
    <w:rsid w:val="00BB7BB4"/>
    <w:rsid w:val="00BB7C71"/>
    <w:rsid w:val="00BB7CB2"/>
    <w:rsid w:val="00BB7E5D"/>
    <w:rsid w:val="00BC0033"/>
    <w:rsid w:val="00BC0137"/>
    <w:rsid w:val="00BC01C0"/>
    <w:rsid w:val="00BC01FC"/>
    <w:rsid w:val="00BC0353"/>
    <w:rsid w:val="00BC0601"/>
    <w:rsid w:val="00BC0685"/>
    <w:rsid w:val="00BC0970"/>
    <w:rsid w:val="00BC0B9E"/>
    <w:rsid w:val="00BC0E85"/>
    <w:rsid w:val="00BC1023"/>
    <w:rsid w:val="00BC10F0"/>
    <w:rsid w:val="00BC119B"/>
    <w:rsid w:val="00BC13CF"/>
    <w:rsid w:val="00BC166D"/>
    <w:rsid w:val="00BC1A38"/>
    <w:rsid w:val="00BC1B80"/>
    <w:rsid w:val="00BC1DA4"/>
    <w:rsid w:val="00BC1E71"/>
    <w:rsid w:val="00BC1EB3"/>
    <w:rsid w:val="00BC2018"/>
    <w:rsid w:val="00BC2275"/>
    <w:rsid w:val="00BC2538"/>
    <w:rsid w:val="00BC255B"/>
    <w:rsid w:val="00BC270C"/>
    <w:rsid w:val="00BC2736"/>
    <w:rsid w:val="00BC2999"/>
    <w:rsid w:val="00BC2AAF"/>
    <w:rsid w:val="00BC2BD2"/>
    <w:rsid w:val="00BC2D7E"/>
    <w:rsid w:val="00BC2E77"/>
    <w:rsid w:val="00BC325C"/>
    <w:rsid w:val="00BC35CE"/>
    <w:rsid w:val="00BC35DB"/>
    <w:rsid w:val="00BC37EB"/>
    <w:rsid w:val="00BC382D"/>
    <w:rsid w:val="00BC3A77"/>
    <w:rsid w:val="00BC3AA9"/>
    <w:rsid w:val="00BC3B76"/>
    <w:rsid w:val="00BC415A"/>
    <w:rsid w:val="00BC4190"/>
    <w:rsid w:val="00BC46C5"/>
    <w:rsid w:val="00BC4781"/>
    <w:rsid w:val="00BC4844"/>
    <w:rsid w:val="00BC4D87"/>
    <w:rsid w:val="00BC4FF9"/>
    <w:rsid w:val="00BC5410"/>
    <w:rsid w:val="00BC55F9"/>
    <w:rsid w:val="00BC587E"/>
    <w:rsid w:val="00BC5891"/>
    <w:rsid w:val="00BC5CE0"/>
    <w:rsid w:val="00BC5D1B"/>
    <w:rsid w:val="00BC5D58"/>
    <w:rsid w:val="00BC5E04"/>
    <w:rsid w:val="00BC5E62"/>
    <w:rsid w:val="00BC5F37"/>
    <w:rsid w:val="00BC6258"/>
    <w:rsid w:val="00BC62FA"/>
    <w:rsid w:val="00BC630B"/>
    <w:rsid w:val="00BC648C"/>
    <w:rsid w:val="00BC64F4"/>
    <w:rsid w:val="00BC6570"/>
    <w:rsid w:val="00BC661C"/>
    <w:rsid w:val="00BC6CCD"/>
    <w:rsid w:val="00BC6E3F"/>
    <w:rsid w:val="00BC6F5D"/>
    <w:rsid w:val="00BC7086"/>
    <w:rsid w:val="00BC74E1"/>
    <w:rsid w:val="00BC74E9"/>
    <w:rsid w:val="00BC754E"/>
    <w:rsid w:val="00BC766C"/>
    <w:rsid w:val="00BC779D"/>
    <w:rsid w:val="00BC77FD"/>
    <w:rsid w:val="00BC7C14"/>
    <w:rsid w:val="00BC7C26"/>
    <w:rsid w:val="00BC7C5E"/>
    <w:rsid w:val="00BC7D30"/>
    <w:rsid w:val="00BC7DE8"/>
    <w:rsid w:val="00BC7E56"/>
    <w:rsid w:val="00BC7F30"/>
    <w:rsid w:val="00BD048D"/>
    <w:rsid w:val="00BD0759"/>
    <w:rsid w:val="00BD087B"/>
    <w:rsid w:val="00BD08B4"/>
    <w:rsid w:val="00BD08E2"/>
    <w:rsid w:val="00BD0A26"/>
    <w:rsid w:val="00BD0C9A"/>
    <w:rsid w:val="00BD0D26"/>
    <w:rsid w:val="00BD0DC6"/>
    <w:rsid w:val="00BD0E3D"/>
    <w:rsid w:val="00BD1111"/>
    <w:rsid w:val="00BD1614"/>
    <w:rsid w:val="00BD1B5B"/>
    <w:rsid w:val="00BD1B98"/>
    <w:rsid w:val="00BD1CBB"/>
    <w:rsid w:val="00BD2171"/>
    <w:rsid w:val="00BD21D6"/>
    <w:rsid w:val="00BD225F"/>
    <w:rsid w:val="00BD25F8"/>
    <w:rsid w:val="00BD2AB2"/>
    <w:rsid w:val="00BD31B2"/>
    <w:rsid w:val="00BD34C8"/>
    <w:rsid w:val="00BD36D8"/>
    <w:rsid w:val="00BD38CA"/>
    <w:rsid w:val="00BD3B64"/>
    <w:rsid w:val="00BD3BD0"/>
    <w:rsid w:val="00BD3C35"/>
    <w:rsid w:val="00BD3D12"/>
    <w:rsid w:val="00BD3EEA"/>
    <w:rsid w:val="00BD3F4D"/>
    <w:rsid w:val="00BD3FA1"/>
    <w:rsid w:val="00BD45DB"/>
    <w:rsid w:val="00BD4782"/>
    <w:rsid w:val="00BD493B"/>
    <w:rsid w:val="00BD4AF8"/>
    <w:rsid w:val="00BD4E98"/>
    <w:rsid w:val="00BD50C8"/>
    <w:rsid w:val="00BD50E2"/>
    <w:rsid w:val="00BD5115"/>
    <w:rsid w:val="00BD514E"/>
    <w:rsid w:val="00BD540B"/>
    <w:rsid w:val="00BD54B6"/>
    <w:rsid w:val="00BD55EB"/>
    <w:rsid w:val="00BD560A"/>
    <w:rsid w:val="00BD5637"/>
    <w:rsid w:val="00BD5681"/>
    <w:rsid w:val="00BD56C7"/>
    <w:rsid w:val="00BD56D9"/>
    <w:rsid w:val="00BD5743"/>
    <w:rsid w:val="00BD57E2"/>
    <w:rsid w:val="00BD5982"/>
    <w:rsid w:val="00BD5A1A"/>
    <w:rsid w:val="00BD5A33"/>
    <w:rsid w:val="00BD5B61"/>
    <w:rsid w:val="00BD5C12"/>
    <w:rsid w:val="00BD5E08"/>
    <w:rsid w:val="00BD5ED9"/>
    <w:rsid w:val="00BD5F6F"/>
    <w:rsid w:val="00BD5F86"/>
    <w:rsid w:val="00BD5F8A"/>
    <w:rsid w:val="00BD60DD"/>
    <w:rsid w:val="00BD6102"/>
    <w:rsid w:val="00BD61A8"/>
    <w:rsid w:val="00BD637B"/>
    <w:rsid w:val="00BD6603"/>
    <w:rsid w:val="00BD6953"/>
    <w:rsid w:val="00BD6A99"/>
    <w:rsid w:val="00BD6D93"/>
    <w:rsid w:val="00BD6E63"/>
    <w:rsid w:val="00BD7171"/>
    <w:rsid w:val="00BD7232"/>
    <w:rsid w:val="00BD7289"/>
    <w:rsid w:val="00BD7549"/>
    <w:rsid w:val="00BD7702"/>
    <w:rsid w:val="00BD7726"/>
    <w:rsid w:val="00BD7730"/>
    <w:rsid w:val="00BD79E1"/>
    <w:rsid w:val="00BD7A47"/>
    <w:rsid w:val="00BD7ADC"/>
    <w:rsid w:val="00BD7B65"/>
    <w:rsid w:val="00BD7BA4"/>
    <w:rsid w:val="00BD7BF3"/>
    <w:rsid w:val="00BD7BF7"/>
    <w:rsid w:val="00BD7CC6"/>
    <w:rsid w:val="00BD7DBC"/>
    <w:rsid w:val="00BD7F1F"/>
    <w:rsid w:val="00BE0350"/>
    <w:rsid w:val="00BE0419"/>
    <w:rsid w:val="00BE050F"/>
    <w:rsid w:val="00BE06B3"/>
    <w:rsid w:val="00BE09D8"/>
    <w:rsid w:val="00BE0AFC"/>
    <w:rsid w:val="00BE0E07"/>
    <w:rsid w:val="00BE1009"/>
    <w:rsid w:val="00BE1074"/>
    <w:rsid w:val="00BE1472"/>
    <w:rsid w:val="00BE14AD"/>
    <w:rsid w:val="00BE15E4"/>
    <w:rsid w:val="00BE1615"/>
    <w:rsid w:val="00BE1751"/>
    <w:rsid w:val="00BE176D"/>
    <w:rsid w:val="00BE17F3"/>
    <w:rsid w:val="00BE1A48"/>
    <w:rsid w:val="00BE1E18"/>
    <w:rsid w:val="00BE1E65"/>
    <w:rsid w:val="00BE1F14"/>
    <w:rsid w:val="00BE2128"/>
    <w:rsid w:val="00BE21E3"/>
    <w:rsid w:val="00BE23C9"/>
    <w:rsid w:val="00BE2448"/>
    <w:rsid w:val="00BE27DA"/>
    <w:rsid w:val="00BE2AC8"/>
    <w:rsid w:val="00BE2EED"/>
    <w:rsid w:val="00BE32D1"/>
    <w:rsid w:val="00BE3403"/>
    <w:rsid w:val="00BE3970"/>
    <w:rsid w:val="00BE39C6"/>
    <w:rsid w:val="00BE3D95"/>
    <w:rsid w:val="00BE4233"/>
    <w:rsid w:val="00BE429C"/>
    <w:rsid w:val="00BE42B2"/>
    <w:rsid w:val="00BE46F2"/>
    <w:rsid w:val="00BE473C"/>
    <w:rsid w:val="00BE4856"/>
    <w:rsid w:val="00BE49DB"/>
    <w:rsid w:val="00BE4A0A"/>
    <w:rsid w:val="00BE4A80"/>
    <w:rsid w:val="00BE4BFD"/>
    <w:rsid w:val="00BE4C28"/>
    <w:rsid w:val="00BE4FC6"/>
    <w:rsid w:val="00BE51D2"/>
    <w:rsid w:val="00BE5738"/>
    <w:rsid w:val="00BE5A8A"/>
    <w:rsid w:val="00BE5E2D"/>
    <w:rsid w:val="00BE5E97"/>
    <w:rsid w:val="00BE601B"/>
    <w:rsid w:val="00BE63E7"/>
    <w:rsid w:val="00BE66B2"/>
    <w:rsid w:val="00BE6962"/>
    <w:rsid w:val="00BE69D9"/>
    <w:rsid w:val="00BE6D7B"/>
    <w:rsid w:val="00BE6FF5"/>
    <w:rsid w:val="00BE707B"/>
    <w:rsid w:val="00BE71B2"/>
    <w:rsid w:val="00BE7217"/>
    <w:rsid w:val="00BE73D3"/>
    <w:rsid w:val="00BE758D"/>
    <w:rsid w:val="00BE758E"/>
    <w:rsid w:val="00BE7720"/>
    <w:rsid w:val="00BE7795"/>
    <w:rsid w:val="00BE78DB"/>
    <w:rsid w:val="00BE798B"/>
    <w:rsid w:val="00BE7CF5"/>
    <w:rsid w:val="00BE7F43"/>
    <w:rsid w:val="00BF0055"/>
    <w:rsid w:val="00BF021C"/>
    <w:rsid w:val="00BF024C"/>
    <w:rsid w:val="00BF02CF"/>
    <w:rsid w:val="00BF0337"/>
    <w:rsid w:val="00BF063B"/>
    <w:rsid w:val="00BF075A"/>
    <w:rsid w:val="00BF075D"/>
    <w:rsid w:val="00BF07C3"/>
    <w:rsid w:val="00BF07C8"/>
    <w:rsid w:val="00BF0D39"/>
    <w:rsid w:val="00BF0D70"/>
    <w:rsid w:val="00BF1227"/>
    <w:rsid w:val="00BF15F1"/>
    <w:rsid w:val="00BF1617"/>
    <w:rsid w:val="00BF171D"/>
    <w:rsid w:val="00BF1748"/>
    <w:rsid w:val="00BF17C5"/>
    <w:rsid w:val="00BF1863"/>
    <w:rsid w:val="00BF1A4A"/>
    <w:rsid w:val="00BF1C17"/>
    <w:rsid w:val="00BF1C57"/>
    <w:rsid w:val="00BF1C8C"/>
    <w:rsid w:val="00BF1EB8"/>
    <w:rsid w:val="00BF1F07"/>
    <w:rsid w:val="00BF21D2"/>
    <w:rsid w:val="00BF21E7"/>
    <w:rsid w:val="00BF2282"/>
    <w:rsid w:val="00BF22DE"/>
    <w:rsid w:val="00BF2578"/>
    <w:rsid w:val="00BF25FC"/>
    <w:rsid w:val="00BF2955"/>
    <w:rsid w:val="00BF2A2E"/>
    <w:rsid w:val="00BF2E55"/>
    <w:rsid w:val="00BF2F4D"/>
    <w:rsid w:val="00BF3113"/>
    <w:rsid w:val="00BF3202"/>
    <w:rsid w:val="00BF324A"/>
    <w:rsid w:val="00BF3479"/>
    <w:rsid w:val="00BF36C3"/>
    <w:rsid w:val="00BF3B34"/>
    <w:rsid w:val="00BF3B3C"/>
    <w:rsid w:val="00BF3B4C"/>
    <w:rsid w:val="00BF3CE7"/>
    <w:rsid w:val="00BF3DF4"/>
    <w:rsid w:val="00BF40A4"/>
    <w:rsid w:val="00BF410F"/>
    <w:rsid w:val="00BF4425"/>
    <w:rsid w:val="00BF4A4D"/>
    <w:rsid w:val="00BF4CF4"/>
    <w:rsid w:val="00BF4D52"/>
    <w:rsid w:val="00BF4D5C"/>
    <w:rsid w:val="00BF5011"/>
    <w:rsid w:val="00BF516E"/>
    <w:rsid w:val="00BF52CE"/>
    <w:rsid w:val="00BF569B"/>
    <w:rsid w:val="00BF56C1"/>
    <w:rsid w:val="00BF5766"/>
    <w:rsid w:val="00BF59C4"/>
    <w:rsid w:val="00BF5D90"/>
    <w:rsid w:val="00BF626A"/>
    <w:rsid w:val="00BF6453"/>
    <w:rsid w:val="00BF64E1"/>
    <w:rsid w:val="00BF6683"/>
    <w:rsid w:val="00BF683D"/>
    <w:rsid w:val="00BF6AA5"/>
    <w:rsid w:val="00BF6C43"/>
    <w:rsid w:val="00BF6C95"/>
    <w:rsid w:val="00BF6F72"/>
    <w:rsid w:val="00BF7025"/>
    <w:rsid w:val="00BF70DB"/>
    <w:rsid w:val="00BF719A"/>
    <w:rsid w:val="00BF7340"/>
    <w:rsid w:val="00BF76CD"/>
    <w:rsid w:val="00BF772B"/>
    <w:rsid w:val="00BF788D"/>
    <w:rsid w:val="00BF7AC0"/>
    <w:rsid w:val="00BF7CDF"/>
    <w:rsid w:val="00BF7E74"/>
    <w:rsid w:val="00C0033B"/>
    <w:rsid w:val="00C004A3"/>
    <w:rsid w:val="00C005BF"/>
    <w:rsid w:val="00C00769"/>
    <w:rsid w:val="00C00974"/>
    <w:rsid w:val="00C00A29"/>
    <w:rsid w:val="00C00C16"/>
    <w:rsid w:val="00C00C6F"/>
    <w:rsid w:val="00C00C8C"/>
    <w:rsid w:val="00C00E8D"/>
    <w:rsid w:val="00C00EF3"/>
    <w:rsid w:val="00C0107D"/>
    <w:rsid w:val="00C010A0"/>
    <w:rsid w:val="00C0119E"/>
    <w:rsid w:val="00C011F4"/>
    <w:rsid w:val="00C01223"/>
    <w:rsid w:val="00C012CC"/>
    <w:rsid w:val="00C016B4"/>
    <w:rsid w:val="00C0174B"/>
    <w:rsid w:val="00C0194B"/>
    <w:rsid w:val="00C020BB"/>
    <w:rsid w:val="00C0210B"/>
    <w:rsid w:val="00C0240E"/>
    <w:rsid w:val="00C025BF"/>
    <w:rsid w:val="00C02636"/>
    <w:rsid w:val="00C02767"/>
    <w:rsid w:val="00C0289B"/>
    <w:rsid w:val="00C02A27"/>
    <w:rsid w:val="00C02C35"/>
    <w:rsid w:val="00C02D12"/>
    <w:rsid w:val="00C02FB9"/>
    <w:rsid w:val="00C03019"/>
    <w:rsid w:val="00C0319B"/>
    <w:rsid w:val="00C031F3"/>
    <w:rsid w:val="00C03281"/>
    <w:rsid w:val="00C034F5"/>
    <w:rsid w:val="00C03538"/>
    <w:rsid w:val="00C0365C"/>
    <w:rsid w:val="00C036D6"/>
    <w:rsid w:val="00C038D1"/>
    <w:rsid w:val="00C03B12"/>
    <w:rsid w:val="00C03C9B"/>
    <w:rsid w:val="00C03D70"/>
    <w:rsid w:val="00C03F06"/>
    <w:rsid w:val="00C03F4B"/>
    <w:rsid w:val="00C042D4"/>
    <w:rsid w:val="00C04673"/>
    <w:rsid w:val="00C04934"/>
    <w:rsid w:val="00C04953"/>
    <w:rsid w:val="00C049BA"/>
    <w:rsid w:val="00C04CFB"/>
    <w:rsid w:val="00C04DA4"/>
    <w:rsid w:val="00C052CF"/>
    <w:rsid w:val="00C0530C"/>
    <w:rsid w:val="00C05540"/>
    <w:rsid w:val="00C05690"/>
    <w:rsid w:val="00C056D8"/>
    <w:rsid w:val="00C0599E"/>
    <w:rsid w:val="00C05A14"/>
    <w:rsid w:val="00C05C39"/>
    <w:rsid w:val="00C05F87"/>
    <w:rsid w:val="00C0600F"/>
    <w:rsid w:val="00C060BE"/>
    <w:rsid w:val="00C06223"/>
    <w:rsid w:val="00C062F9"/>
    <w:rsid w:val="00C06490"/>
    <w:rsid w:val="00C0655F"/>
    <w:rsid w:val="00C0688E"/>
    <w:rsid w:val="00C06953"/>
    <w:rsid w:val="00C06A8D"/>
    <w:rsid w:val="00C06AB6"/>
    <w:rsid w:val="00C06B79"/>
    <w:rsid w:val="00C06E5A"/>
    <w:rsid w:val="00C06E85"/>
    <w:rsid w:val="00C06EC5"/>
    <w:rsid w:val="00C07214"/>
    <w:rsid w:val="00C07B98"/>
    <w:rsid w:val="00C07BE7"/>
    <w:rsid w:val="00C07BED"/>
    <w:rsid w:val="00C100B3"/>
    <w:rsid w:val="00C102F4"/>
    <w:rsid w:val="00C10555"/>
    <w:rsid w:val="00C106DE"/>
    <w:rsid w:val="00C10704"/>
    <w:rsid w:val="00C107A5"/>
    <w:rsid w:val="00C109B8"/>
    <w:rsid w:val="00C10BEF"/>
    <w:rsid w:val="00C10EF6"/>
    <w:rsid w:val="00C110E0"/>
    <w:rsid w:val="00C114CE"/>
    <w:rsid w:val="00C116EB"/>
    <w:rsid w:val="00C117FD"/>
    <w:rsid w:val="00C1189E"/>
    <w:rsid w:val="00C118C3"/>
    <w:rsid w:val="00C11AF8"/>
    <w:rsid w:val="00C11DC8"/>
    <w:rsid w:val="00C120C2"/>
    <w:rsid w:val="00C1228A"/>
    <w:rsid w:val="00C124DB"/>
    <w:rsid w:val="00C13110"/>
    <w:rsid w:val="00C13302"/>
    <w:rsid w:val="00C1337D"/>
    <w:rsid w:val="00C136B8"/>
    <w:rsid w:val="00C1370D"/>
    <w:rsid w:val="00C13792"/>
    <w:rsid w:val="00C13951"/>
    <w:rsid w:val="00C13977"/>
    <w:rsid w:val="00C13A59"/>
    <w:rsid w:val="00C13B5E"/>
    <w:rsid w:val="00C13F3B"/>
    <w:rsid w:val="00C1435D"/>
    <w:rsid w:val="00C14467"/>
    <w:rsid w:val="00C144F4"/>
    <w:rsid w:val="00C14669"/>
    <w:rsid w:val="00C14949"/>
    <w:rsid w:val="00C14A93"/>
    <w:rsid w:val="00C14B10"/>
    <w:rsid w:val="00C14C80"/>
    <w:rsid w:val="00C14CC5"/>
    <w:rsid w:val="00C14DC3"/>
    <w:rsid w:val="00C150C9"/>
    <w:rsid w:val="00C150F5"/>
    <w:rsid w:val="00C1513B"/>
    <w:rsid w:val="00C15345"/>
    <w:rsid w:val="00C15366"/>
    <w:rsid w:val="00C153CB"/>
    <w:rsid w:val="00C15485"/>
    <w:rsid w:val="00C15AC5"/>
    <w:rsid w:val="00C15BA5"/>
    <w:rsid w:val="00C160E1"/>
    <w:rsid w:val="00C1614B"/>
    <w:rsid w:val="00C1622E"/>
    <w:rsid w:val="00C16402"/>
    <w:rsid w:val="00C165AB"/>
    <w:rsid w:val="00C1660A"/>
    <w:rsid w:val="00C168EB"/>
    <w:rsid w:val="00C16C89"/>
    <w:rsid w:val="00C16D77"/>
    <w:rsid w:val="00C16D93"/>
    <w:rsid w:val="00C17283"/>
    <w:rsid w:val="00C176B9"/>
    <w:rsid w:val="00C17BBC"/>
    <w:rsid w:val="00C17CE1"/>
    <w:rsid w:val="00C17D78"/>
    <w:rsid w:val="00C17E42"/>
    <w:rsid w:val="00C17F20"/>
    <w:rsid w:val="00C17F2B"/>
    <w:rsid w:val="00C17F55"/>
    <w:rsid w:val="00C20097"/>
    <w:rsid w:val="00C20229"/>
    <w:rsid w:val="00C20335"/>
    <w:rsid w:val="00C20364"/>
    <w:rsid w:val="00C20983"/>
    <w:rsid w:val="00C20AD7"/>
    <w:rsid w:val="00C21073"/>
    <w:rsid w:val="00C2109B"/>
    <w:rsid w:val="00C215E4"/>
    <w:rsid w:val="00C219B9"/>
    <w:rsid w:val="00C219E3"/>
    <w:rsid w:val="00C21B47"/>
    <w:rsid w:val="00C21C86"/>
    <w:rsid w:val="00C21F77"/>
    <w:rsid w:val="00C2204C"/>
    <w:rsid w:val="00C22516"/>
    <w:rsid w:val="00C225A1"/>
    <w:rsid w:val="00C22618"/>
    <w:rsid w:val="00C22635"/>
    <w:rsid w:val="00C22714"/>
    <w:rsid w:val="00C22741"/>
    <w:rsid w:val="00C22E64"/>
    <w:rsid w:val="00C22F87"/>
    <w:rsid w:val="00C23043"/>
    <w:rsid w:val="00C2352E"/>
    <w:rsid w:val="00C2396D"/>
    <w:rsid w:val="00C23AF2"/>
    <w:rsid w:val="00C23D0C"/>
    <w:rsid w:val="00C23E39"/>
    <w:rsid w:val="00C23E82"/>
    <w:rsid w:val="00C23F00"/>
    <w:rsid w:val="00C23F45"/>
    <w:rsid w:val="00C24081"/>
    <w:rsid w:val="00C24543"/>
    <w:rsid w:val="00C24682"/>
    <w:rsid w:val="00C247BF"/>
    <w:rsid w:val="00C24892"/>
    <w:rsid w:val="00C2490F"/>
    <w:rsid w:val="00C24A85"/>
    <w:rsid w:val="00C24BB3"/>
    <w:rsid w:val="00C24C33"/>
    <w:rsid w:val="00C24DBC"/>
    <w:rsid w:val="00C24ED8"/>
    <w:rsid w:val="00C2525B"/>
    <w:rsid w:val="00C253F0"/>
    <w:rsid w:val="00C254E4"/>
    <w:rsid w:val="00C255A4"/>
    <w:rsid w:val="00C25677"/>
    <w:rsid w:val="00C25940"/>
    <w:rsid w:val="00C2599B"/>
    <w:rsid w:val="00C25B3B"/>
    <w:rsid w:val="00C25B84"/>
    <w:rsid w:val="00C25BA9"/>
    <w:rsid w:val="00C25C19"/>
    <w:rsid w:val="00C25C5C"/>
    <w:rsid w:val="00C25CEC"/>
    <w:rsid w:val="00C25D03"/>
    <w:rsid w:val="00C2606D"/>
    <w:rsid w:val="00C262E9"/>
    <w:rsid w:val="00C26395"/>
    <w:rsid w:val="00C263BE"/>
    <w:rsid w:val="00C26438"/>
    <w:rsid w:val="00C26455"/>
    <w:rsid w:val="00C2692C"/>
    <w:rsid w:val="00C269F0"/>
    <w:rsid w:val="00C26A71"/>
    <w:rsid w:val="00C26DAD"/>
    <w:rsid w:val="00C26F71"/>
    <w:rsid w:val="00C2708D"/>
    <w:rsid w:val="00C272F2"/>
    <w:rsid w:val="00C27300"/>
    <w:rsid w:val="00C2735A"/>
    <w:rsid w:val="00C27397"/>
    <w:rsid w:val="00C2750A"/>
    <w:rsid w:val="00C2770C"/>
    <w:rsid w:val="00C27890"/>
    <w:rsid w:val="00C30102"/>
    <w:rsid w:val="00C304A1"/>
    <w:rsid w:val="00C305B0"/>
    <w:rsid w:val="00C306D3"/>
    <w:rsid w:val="00C307A3"/>
    <w:rsid w:val="00C309DA"/>
    <w:rsid w:val="00C30A2F"/>
    <w:rsid w:val="00C30BA1"/>
    <w:rsid w:val="00C30D04"/>
    <w:rsid w:val="00C30F65"/>
    <w:rsid w:val="00C31064"/>
    <w:rsid w:val="00C3107D"/>
    <w:rsid w:val="00C31159"/>
    <w:rsid w:val="00C312CA"/>
    <w:rsid w:val="00C31467"/>
    <w:rsid w:val="00C314BE"/>
    <w:rsid w:val="00C31662"/>
    <w:rsid w:val="00C31975"/>
    <w:rsid w:val="00C31A30"/>
    <w:rsid w:val="00C31D00"/>
    <w:rsid w:val="00C31D73"/>
    <w:rsid w:val="00C31E7F"/>
    <w:rsid w:val="00C31EE2"/>
    <w:rsid w:val="00C31F24"/>
    <w:rsid w:val="00C32121"/>
    <w:rsid w:val="00C32321"/>
    <w:rsid w:val="00C3248A"/>
    <w:rsid w:val="00C32505"/>
    <w:rsid w:val="00C3272A"/>
    <w:rsid w:val="00C32847"/>
    <w:rsid w:val="00C32B26"/>
    <w:rsid w:val="00C32BAE"/>
    <w:rsid w:val="00C32BDE"/>
    <w:rsid w:val="00C32CB0"/>
    <w:rsid w:val="00C32DB8"/>
    <w:rsid w:val="00C32EB0"/>
    <w:rsid w:val="00C32EB7"/>
    <w:rsid w:val="00C32EC0"/>
    <w:rsid w:val="00C32F1F"/>
    <w:rsid w:val="00C332C6"/>
    <w:rsid w:val="00C337E2"/>
    <w:rsid w:val="00C33867"/>
    <w:rsid w:val="00C33B30"/>
    <w:rsid w:val="00C33BAC"/>
    <w:rsid w:val="00C33BB9"/>
    <w:rsid w:val="00C33C9F"/>
    <w:rsid w:val="00C33CE1"/>
    <w:rsid w:val="00C33D1B"/>
    <w:rsid w:val="00C33EB9"/>
    <w:rsid w:val="00C33EFB"/>
    <w:rsid w:val="00C34165"/>
    <w:rsid w:val="00C3426D"/>
    <w:rsid w:val="00C34326"/>
    <w:rsid w:val="00C345D4"/>
    <w:rsid w:val="00C347E7"/>
    <w:rsid w:val="00C34CF2"/>
    <w:rsid w:val="00C34D34"/>
    <w:rsid w:val="00C34E70"/>
    <w:rsid w:val="00C34EAF"/>
    <w:rsid w:val="00C34F9B"/>
    <w:rsid w:val="00C34FFC"/>
    <w:rsid w:val="00C354B7"/>
    <w:rsid w:val="00C35572"/>
    <w:rsid w:val="00C357DF"/>
    <w:rsid w:val="00C35F09"/>
    <w:rsid w:val="00C35FD2"/>
    <w:rsid w:val="00C360E9"/>
    <w:rsid w:val="00C363F7"/>
    <w:rsid w:val="00C363F9"/>
    <w:rsid w:val="00C3672E"/>
    <w:rsid w:val="00C369A1"/>
    <w:rsid w:val="00C36AF5"/>
    <w:rsid w:val="00C36B5C"/>
    <w:rsid w:val="00C36DFE"/>
    <w:rsid w:val="00C36E6E"/>
    <w:rsid w:val="00C36E97"/>
    <w:rsid w:val="00C36F57"/>
    <w:rsid w:val="00C37063"/>
    <w:rsid w:val="00C370F0"/>
    <w:rsid w:val="00C3716A"/>
    <w:rsid w:val="00C37332"/>
    <w:rsid w:val="00C37413"/>
    <w:rsid w:val="00C37416"/>
    <w:rsid w:val="00C375DB"/>
    <w:rsid w:val="00C37618"/>
    <w:rsid w:val="00C376B4"/>
    <w:rsid w:val="00C3785E"/>
    <w:rsid w:val="00C379A5"/>
    <w:rsid w:val="00C37D25"/>
    <w:rsid w:val="00C37D48"/>
    <w:rsid w:val="00C37F48"/>
    <w:rsid w:val="00C400AC"/>
    <w:rsid w:val="00C40476"/>
    <w:rsid w:val="00C40569"/>
    <w:rsid w:val="00C40719"/>
    <w:rsid w:val="00C40F9C"/>
    <w:rsid w:val="00C40FB3"/>
    <w:rsid w:val="00C40FB7"/>
    <w:rsid w:val="00C41197"/>
    <w:rsid w:val="00C41284"/>
    <w:rsid w:val="00C416A5"/>
    <w:rsid w:val="00C41911"/>
    <w:rsid w:val="00C41E4D"/>
    <w:rsid w:val="00C41E62"/>
    <w:rsid w:val="00C41F30"/>
    <w:rsid w:val="00C420D3"/>
    <w:rsid w:val="00C4215B"/>
    <w:rsid w:val="00C42659"/>
    <w:rsid w:val="00C42C4C"/>
    <w:rsid w:val="00C42EF5"/>
    <w:rsid w:val="00C42F5E"/>
    <w:rsid w:val="00C42FDD"/>
    <w:rsid w:val="00C430A7"/>
    <w:rsid w:val="00C43129"/>
    <w:rsid w:val="00C43247"/>
    <w:rsid w:val="00C437E6"/>
    <w:rsid w:val="00C4384F"/>
    <w:rsid w:val="00C438F5"/>
    <w:rsid w:val="00C439A5"/>
    <w:rsid w:val="00C43CCE"/>
    <w:rsid w:val="00C43F0E"/>
    <w:rsid w:val="00C44135"/>
    <w:rsid w:val="00C44325"/>
    <w:rsid w:val="00C44349"/>
    <w:rsid w:val="00C443ED"/>
    <w:rsid w:val="00C443F1"/>
    <w:rsid w:val="00C44458"/>
    <w:rsid w:val="00C446DA"/>
    <w:rsid w:val="00C4471A"/>
    <w:rsid w:val="00C447F4"/>
    <w:rsid w:val="00C4498A"/>
    <w:rsid w:val="00C44BDF"/>
    <w:rsid w:val="00C44EAA"/>
    <w:rsid w:val="00C44ED1"/>
    <w:rsid w:val="00C44F3F"/>
    <w:rsid w:val="00C450F1"/>
    <w:rsid w:val="00C4510E"/>
    <w:rsid w:val="00C452C2"/>
    <w:rsid w:val="00C45302"/>
    <w:rsid w:val="00C4539F"/>
    <w:rsid w:val="00C45580"/>
    <w:rsid w:val="00C45904"/>
    <w:rsid w:val="00C459FA"/>
    <w:rsid w:val="00C45A3C"/>
    <w:rsid w:val="00C45ED1"/>
    <w:rsid w:val="00C4645D"/>
    <w:rsid w:val="00C465F6"/>
    <w:rsid w:val="00C46688"/>
    <w:rsid w:val="00C466F8"/>
    <w:rsid w:val="00C467F6"/>
    <w:rsid w:val="00C4689A"/>
    <w:rsid w:val="00C46B6B"/>
    <w:rsid w:val="00C46B9B"/>
    <w:rsid w:val="00C46C04"/>
    <w:rsid w:val="00C46C0B"/>
    <w:rsid w:val="00C46DAD"/>
    <w:rsid w:val="00C46E67"/>
    <w:rsid w:val="00C46F60"/>
    <w:rsid w:val="00C46F81"/>
    <w:rsid w:val="00C4719D"/>
    <w:rsid w:val="00C471FB"/>
    <w:rsid w:val="00C4724F"/>
    <w:rsid w:val="00C474FB"/>
    <w:rsid w:val="00C47605"/>
    <w:rsid w:val="00C477D3"/>
    <w:rsid w:val="00C47AF4"/>
    <w:rsid w:val="00C47B72"/>
    <w:rsid w:val="00C47E91"/>
    <w:rsid w:val="00C500A2"/>
    <w:rsid w:val="00C501F2"/>
    <w:rsid w:val="00C502C1"/>
    <w:rsid w:val="00C504E6"/>
    <w:rsid w:val="00C50654"/>
    <w:rsid w:val="00C506A8"/>
    <w:rsid w:val="00C50705"/>
    <w:rsid w:val="00C50747"/>
    <w:rsid w:val="00C50914"/>
    <w:rsid w:val="00C50BA4"/>
    <w:rsid w:val="00C50D0A"/>
    <w:rsid w:val="00C50DCF"/>
    <w:rsid w:val="00C51156"/>
    <w:rsid w:val="00C51212"/>
    <w:rsid w:val="00C5142A"/>
    <w:rsid w:val="00C51705"/>
    <w:rsid w:val="00C517E3"/>
    <w:rsid w:val="00C51A1A"/>
    <w:rsid w:val="00C51D97"/>
    <w:rsid w:val="00C51F41"/>
    <w:rsid w:val="00C52347"/>
    <w:rsid w:val="00C52371"/>
    <w:rsid w:val="00C5237C"/>
    <w:rsid w:val="00C528E3"/>
    <w:rsid w:val="00C52BA2"/>
    <w:rsid w:val="00C52C1F"/>
    <w:rsid w:val="00C52F29"/>
    <w:rsid w:val="00C5312E"/>
    <w:rsid w:val="00C53175"/>
    <w:rsid w:val="00C53344"/>
    <w:rsid w:val="00C535F7"/>
    <w:rsid w:val="00C5366B"/>
    <w:rsid w:val="00C53786"/>
    <w:rsid w:val="00C53C0A"/>
    <w:rsid w:val="00C53C48"/>
    <w:rsid w:val="00C53D6D"/>
    <w:rsid w:val="00C53DDB"/>
    <w:rsid w:val="00C53F5E"/>
    <w:rsid w:val="00C53FAC"/>
    <w:rsid w:val="00C540B0"/>
    <w:rsid w:val="00C540D0"/>
    <w:rsid w:val="00C54177"/>
    <w:rsid w:val="00C5465E"/>
    <w:rsid w:val="00C548B5"/>
    <w:rsid w:val="00C54AF5"/>
    <w:rsid w:val="00C54C79"/>
    <w:rsid w:val="00C54D01"/>
    <w:rsid w:val="00C550FC"/>
    <w:rsid w:val="00C5516F"/>
    <w:rsid w:val="00C55328"/>
    <w:rsid w:val="00C55495"/>
    <w:rsid w:val="00C55542"/>
    <w:rsid w:val="00C557E3"/>
    <w:rsid w:val="00C557E7"/>
    <w:rsid w:val="00C557FC"/>
    <w:rsid w:val="00C559B7"/>
    <w:rsid w:val="00C559DE"/>
    <w:rsid w:val="00C55A68"/>
    <w:rsid w:val="00C55C59"/>
    <w:rsid w:val="00C55CFF"/>
    <w:rsid w:val="00C55E7F"/>
    <w:rsid w:val="00C561CE"/>
    <w:rsid w:val="00C56252"/>
    <w:rsid w:val="00C56411"/>
    <w:rsid w:val="00C5642C"/>
    <w:rsid w:val="00C5652C"/>
    <w:rsid w:val="00C56752"/>
    <w:rsid w:val="00C56761"/>
    <w:rsid w:val="00C56966"/>
    <w:rsid w:val="00C56AA5"/>
    <w:rsid w:val="00C56B6A"/>
    <w:rsid w:val="00C56EF1"/>
    <w:rsid w:val="00C56F1C"/>
    <w:rsid w:val="00C570D1"/>
    <w:rsid w:val="00C575C7"/>
    <w:rsid w:val="00C5776D"/>
    <w:rsid w:val="00C578C2"/>
    <w:rsid w:val="00C57919"/>
    <w:rsid w:val="00C5799D"/>
    <w:rsid w:val="00C579A4"/>
    <w:rsid w:val="00C57AB1"/>
    <w:rsid w:val="00C57F2E"/>
    <w:rsid w:val="00C6045B"/>
    <w:rsid w:val="00C60A6E"/>
    <w:rsid w:val="00C60F1C"/>
    <w:rsid w:val="00C614E3"/>
    <w:rsid w:val="00C61773"/>
    <w:rsid w:val="00C6178F"/>
    <w:rsid w:val="00C61871"/>
    <w:rsid w:val="00C61D06"/>
    <w:rsid w:val="00C61DEC"/>
    <w:rsid w:val="00C62064"/>
    <w:rsid w:val="00C6215C"/>
    <w:rsid w:val="00C6260A"/>
    <w:rsid w:val="00C626F9"/>
    <w:rsid w:val="00C62813"/>
    <w:rsid w:val="00C62859"/>
    <w:rsid w:val="00C62DC7"/>
    <w:rsid w:val="00C63044"/>
    <w:rsid w:val="00C6319B"/>
    <w:rsid w:val="00C634A8"/>
    <w:rsid w:val="00C634F1"/>
    <w:rsid w:val="00C6361B"/>
    <w:rsid w:val="00C638D6"/>
    <w:rsid w:val="00C6398D"/>
    <w:rsid w:val="00C63A02"/>
    <w:rsid w:val="00C63B43"/>
    <w:rsid w:val="00C63D1B"/>
    <w:rsid w:val="00C63E9C"/>
    <w:rsid w:val="00C6435A"/>
    <w:rsid w:val="00C6473E"/>
    <w:rsid w:val="00C64B3D"/>
    <w:rsid w:val="00C64C4A"/>
    <w:rsid w:val="00C64E2E"/>
    <w:rsid w:val="00C64FBC"/>
    <w:rsid w:val="00C6500B"/>
    <w:rsid w:val="00C65054"/>
    <w:rsid w:val="00C65174"/>
    <w:rsid w:val="00C6520C"/>
    <w:rsid w:val="00C652B2"/>
    <w:rsid w:val="00C6537A"/>
    <w:rsid w:val="00C65502"/>
    <w:rsid w:val="00C656C3"/>
    <w:rsid w:val="00C6575B"/>
    <w:rsid w:val="00C65B78"/>
    <w:rsid w:val="00C65EA2"/>
    <w:rsid w:val="00C66026"/>
    <w:rsid w:val="00C66276"/>
    <w:rsid w:val="00C66333"/>
    <w:rsid w:val="00C663B4"/>
    <w:rsid w:val="00C6661E"/>
    <w:rsid w:val="00C669DF"/>
    <w:rsid w:val="00C66A8B"/>
    <w:rsid w:val="00C66A9C"/>
    <w:rsid w:val="00C66F74"/>
    <w:rsid w:val="00C6716B"/>
    <w:rsid w:val="00C675FA"/>
    <w:rsid w:val="00C67790"/>
    <w:rsid w:val="00C677B3"/>
    <w:rsid w:val="00C6781F"/>
    <w:rsid w:val="00C67827"/>
    <w:rsid w:val="00C6785E"/>
    <w:rsid w:val="00C67865"/>
    <w:rsid w:val="00C67ABF"/>
    <w:rsid w:val="00C67B13"/>
    <w:rsid w:val="00C67C10"/>
    <w:rsid w:val="00C67F15"/>
    <w:rsid w:val="00C70113"/>
    <w:rsid w:val="00C70275"/>
    <w:rsid w:val="00C7047B"/>
    <w:rsid w:val="00C7051A"/>
    <w:rsid w:val="00C70572"/>
    <w:rsid w:val="00C705A7"/>
    <w:rsid w:val="00C705B9"/>
    <w:rsid w:val="00C70D4A"/>
    <w:rsid w:val="00C70DA9"/>
    <w:rsid w:val="00C71222"/>
    <w:rsid w:val="00C7123B"/>
    <w:rsid w:val="00C712D2"/>
    <w:rsid w:val="00C71383"/>
    <w:rsid w:val="00C7139C"/>
    <w:rsid w:val="00C715C6"/>
    <w:rsid w:val="00C716AE"/>
    <w:rsid w:val="00C71931"/>
    <w:rsid w:val="00C72177"/>
    <w:rsid w:val="00C72199"/>
    <w:rsid w:val="00C7225A"/>
    <w:rsid w:val="00C72279"/>
    <w:rsid w:val="00C724E1"/>
    <w:rsid w:val="00C7250F"/>
    <w:rsid w:val="00C7253B"/>
    <w:rsid w:val="00C72593"/>
    <w:rsid w:val="00C7261A"/>
    <w:rsid w:val="00C7287B"/>
    <w:rsid w:val="00C729DB"/>
    <w:rsid w:val="00C72B70"/>
    <w:rsid w:val="00C72D00"/>
    <w:rsid w:val="00C72E2D"/>
    <w:rsid w:val="00C73029"/>
    <w:rsid w:val="00C7322B"/>
    <w:rsid w:val="00C73245"/>
    <w:rsid w:val="00C7345D"/>
    <w:rsid w:val="00C7370B"/>
    <w:rsid w:val="00C73BA7"/>
    <w:rsid w:val="00C73D60"/>
    <w:rsid w:val="00C73D61"/>
    <w:rsid w:val="00C7412E"/>
    <w:rsid w:val="00C74162"/>
    <w:rsid w:val="00C74245"/>
    <w:rsid w:val="00C743C8"/>
    <w:rsid w:val="00C743E0"/>
    <w:rsid w:val="00C74902"/>
    <w:rsid w:val="00C74D44"/>
    <w:rsid w:val="00C74D58"/>
    <w:rsid w:val="00C74D5F"/>
    <w:rsid w:val="00C74DF1"/>
    <w:rsid w:val="00C74F77"/>
    <w:rsid w:val="00C75284"/>
    <w:rsid w:val="00C753FE"/>
    <w:rsid w:val="00C75454"/>
    <w:rsid w:val="00C75575"/>
    <w:rsid w:val="00C755F1"/>
    <w:rsid w:val="00C756ED"/>
    <w:rsid w:val="00C75731"/>
    <w:rsid w:val="00C758A3"/>
    <w:rsid w:val="00C758B0"/>
    <w:rsid w:val="00C7598F"/>
    <w:rsid w:val="00C75A5F"/>
    <w:rsid w:val="00C75C96"/>
    <w:rsid w:val="00C75D4C"/>
    <w:rsid w:val="00C75D87"/>
    <w:rsid w:val="00C75E8E"/>
    <w:rsid w:val="00C75FAB"/>
    <w:rsid w:val="00C75FF2"/>
    <w:rsid w:val="00C764C2"/>
    <w:rsid w:val="00C764C6"/>
    <w:rsid w:val="00C76534"/>
    <w:rsid w:val="00C76CBB"/>
    <w:rsid w:val="00C7704A"/>
    <w:rsid w:val="00C770C3"/>
    <w:rsid w:val="00C770EE"/>
    <w:rsid w:val="00C77316"/>
    <w:rsid w:val="00C7736A"/>
    <w:rsid w:val="00C77466"/>
    <w:rsid w:val="00C77AFF"/>
    <w:rsid w:val="00C77CA6"/>
    <w:rsid w:val="00C77E98"/>
    <w:rsid w:val="00C77F11"/>
    <w:rsid w:val="00C80066"/>
    <w:rsid w:val="00C80188"/>
    <w:rsid w:val="00C8025A"/>
    <w:rsid w:val="00C803B3"/>
    <w:rsid w:val="00C8040E"/>
    <w:rsid w:val="00C8045D"/>
    <w:rsid w:val="00C80519"/>
    <w:rsid w:val="00C80A93"/>
    <w:rsid w:val="00C80BC0"/>
    <w:rsid w:val="00C80EBF"/>
    <w:rsid w:val="00C81078"/>
    <w:rsid w:val="00C8131D"/>
    <w:rsid w:val="00C81414"/>
    <w:rsid w:val="00C814EF"/>
    <w:rsid w:val="00C8166F"/>
    <w:rsid w:val="00C81B58"/>
    <w:rsid w:val="00C81C37"/>
    <w:rsid w:val="00C81D25"/>
    <w:rsid w:val="00C81D83"/>
    <w:rsid w:val="00C8207B"/>
    <w:rsid w:val="00C82243"/>
    <w:rsid w:val="00C8290A"/>
    <w:rsid w:val="00C82C59"/>
    <w:rsid w:val="00C82E29"/>
    <w:rsid w:val="00C83056"/>
    <w:rsid w:val="00C8313F"/>
    <w:rsid w:val="00C8317A"/>
    <w:rsid w:val="00C8367A"/>
    <w:rsid w:val="00C8374E"/>
    <w:rsid w:val="00C83A09"/>
    <w:rsid w:val="00C83B79"/>
    <w:rsid w:val="00C83DCA"/>
    <w:rsid w:val="00C83E60"/>
    <w:rsid w:val="00C83E89"/>
    <w:rsid w:val="00C83F7B"/>
    <w:rsid w:val="00C843B0"/>
    <w:rsid w:val="00C8442B"/>
    <w:rsid w:val="00C8449F"/>
    <w:rsid w:val="00C846C3"/>
    <w:rsid w:val="00C8491C"/>
    <w:rsid w:val="00C84A9A"/>
    <w:rsid w:val="00C84BFA"/>
    <w:rsid w:val="00C84D23"/>
    <w:rsid w:val="00C84D41"/>
    <w:rsid w:val="00C84DF5"/>
    <w:rsid w:val="00C84F9F"/>
    <w:rsid w:val="00C851C7"/>
    <w:rsid w:val="00C853C6"/>
    <w:rsid w:val="00C85434"/>
    <w:rsid w:val="00C854A5"/>
    <w:rsid w:val="00C85541"/>
    <w:rsid w:val="00C857A7"/>
    <w:rsid w:val="00C857E9"/>
    <w:rsid w:val="00C85B77"/>
    <w:rsid w:val="00C85DBC"/>
    <w:rsid w:val="00C85DF0"/>
    <w:rsid w:val="00C85E33"/>
    <w:rsid w:val="00C85F01"/>
    <w:rsid w:val="00C86061"/>
    <w:rsid w:val="00C860AA"/>
    <w:rsid w:val="00C86411"/>
    <w:rsid w:val="00C864A4"/>
    <w:rsid w:val="00C86638"/>
    <w:rsid w:val="00C86741"/>
    <w:rsid w:val="00C867D5"/>
    <w:rsid w:val="00C86893"/>
    <w:rsid w:val="00C86940"/>
    <w:rsid w:val="00C86B70"/>
    <w:rsid w:val="00C86E60"/>
    <w:rsid w:val="00C87359"/>
    <w:rsid w:val="00C873F9"/>
    <w:rsid w:val="00C876D6"/>
    <w:rsid w:val="00C87716"/>
    <w:rsid w:val="00C87791"/>
    <w:rsid w:val="00C87887"/>
    <w:rsid w:val="00C878DE"/>
    <w:rsid w:val="00C87905"/>
    <w:rsid w:val="00C879EA"/>
    <w:rsid w:val="00C87B1B"/>
    <w:rsid w:val="00C87BDB"/>
    <w:rsid w:val="00C87CC3"/>
    <w:rsid w:val="00C87D20"/>
    <w:rsid w:val="00C87E0D"/>
    <w:rsid w:val="00C87EFB"/>
    <w:rsid w:val="00C9002F"/>
    <w:rsid w:val="00C90047"/>
    <w:rsid w:val="00C900B5"/>
    <w:rsid w:val="00C90186"/>
    <w:rsid w:val="00C905A6"/>
    <w:rsid w:val="00C906C3"/>
    <w:rsid w:val="00C90793"/>
    <w:rsid w:val="00C9099A"/>
    <w:rsid w:val="00C90D51"/>
    <w:rsid w:val="00C90DA3"/>
    <w:rsid w:val="00C90DAF"/>
    <w:rsid w:val="00C90F08"/>
    <w:rsid w:val="00C90FF6"/>
    <w:rsid w:val="00C9105E"/>
    <w:rsid w:val="00C911C9"/>
    <w:rsid w:val="00C91234"/>
    <w:rsid w:val="00C913F0"/>
    <w:rsid w:val="00C91499"/>
    <w:rsid w:val="00C9152A"/>
    <w:rsid w:val="00C91538"/>
    <w:rsid w:val="00C91895"/>
    <w:rsid w:val="00C91929"/>
    <w:rsid w:val="00C9197F"/>
    <w:rsid w:val="00C91BB7"/>
    <w:rsid w:val="00C91C20"/>
    <w:rsid w:val="00C91EA3"/>
    <w:rsid w:val="00C91FD5"/>
    <w:rsid w:val="00C91FE0"/>
    <w:rsid w:val="00C921A2"/>
    <w:rsid w:val="00C921DE"/>
    <w:rsid w:val="00C92267"/>
    <w:rsid w:val="00C923CB"/>
    <w:rsid w:val="00C92415"/>
    <w:rsid w:val="00C924D7"/>
    <w:rsid w:val="00C928FB"/>
    <w:rsid w:val="00C92C1C"/>
    <w:rsid w:val="00C92CCA"/>
    <w:rsid w:val="00C92D53"/>
    <w:rsid w:val="00C92EA6"/>
    <w:rsid w:val="00C92F68"/>
    <w:rsid w:val="00C92FC6"/>
    <w:rsid w:val="00C92FF5"/>
    <w:rsid w:val="00C93081"/>
    <w:rsid w:val="00C93438"/>
    <w:rsid w:val="00C9353C"/>
    <w:rsid w:val="00C93772"/>
    <w:rsid w:val="00C93935"/>
    <w:rsid w:val="00C93BB3"/>
    <w:rsid w:val="00C93CDB"/>
    <w:rsid w:val="00C9400C"/>
    <w:rsid w:val="00C9425C"/>
    <w:rsid w:val="00C94321"/>
    <w:rsid w:val="00C943B3"/>
    <w:rsid w:val="00C9463F"/>
    <w:rsid w:val="00C94B93"/>
    <w:rsid w:val="00C9516C"/>
    <w:rsid w:val="00C9517A"/>
    <w:rsid w:val="00C951DA"/>
    <w:rsid w:val="00C951E8"/>
    <w:rsid w:val="00C9537A"/>
    <w:rsid w:val="00C95488"/>
    <w:rsid w:val="00C95596"/>
    <w:rsid w:val="00C955C8"/>
    <w:rsid w:val="00C95768"/>
    <w:rsid w:val="00C958C0"/>
    <w:rsid w:val="00C95C1B"/>
    <w:rsid w:val="00C95C6F"/>
    <w:rsid w:val="00C95D41"/>
    <w:rsid w:val="00C96708"/>
    <w:rsid w:val="00C968EF"/>
    <w:rsid w:val="00C96A3F"/>
    <w:rsid w:val="00C96B17"/>
    <w:rsid w:val="00C96C1E"/>
    <w:rsid w:val="00C96D68"/>
    <w:rsid w:val="00C97727"/>
    <w:rsid w:val="00C977F9"/>
    <w:rsid w:val="00C97A96"/>
    <w:rsid w:val="00C97DBD"/>
    <w:rsid w:val="00C97F53"/>
    <w:rsid w:val="00CA04C9"/>
    <w:rsid w:val="00CA0504"/>
    <w:rsid w:val="00CA055B"/>
    <w:rsid w:val="00CA0866"/>
    <w:rsid w:val="00CA0878"/>
    <w:rsid w:val="00CA08A1"/>
    <w:rsid w:val="00CA0B20"/>
    <w:rsid w:val="00CA0CA7"/>
    <w:rsid w:val="00CA0CB1"/>
    <w:rsid w:val="00CA0EF5"/>
    <w:rsid w:val="00CA100D"/>
    <w:rsid w:val="00CA101E"/>
    <w:rsid w:val="00CA10EA"/>
    <w:rsid w:val="00CA1132"/>
    <w:rsid w:val="00CA1236"/>
    <w:rsid w:val="00CA1331"/>
    <w:rsid w:val="00CA1375"/>
    <w:rsid w:val="00CA13F5"/>
    <w:rsid w:val="00CA1416"/>
    <w:rsid w:val="00CA152B"/>
    <w:rsid w:val="00CA155D"/>
    <w:rsid w:val="00CA158E"/>
    <w:rsid w:val="00CA15AB"/>
    <w:rsid w:val="00CA1706"/>
    <w:rsid w:val="00CA1794"/>
    <w:rsid w:val="00CA1857"/>
    <w:rsid w:val="00CA1859"/>
    <w:rsid w:val="00CA1B2B"/>
    <w:rsid w:val="00CA1B36"/>
    <w:rsid w:val="00CA1B91"/>
    <w:rsid w:val="00CA1DC8"/>
    <w:rsid w:val="00CA23AB"/>
    <w:rsid w:val="00CA278A"/>
    <w:rsid w:val="00CA2931"/>
    <w:rsid w:val="00CA29DE"/>
    <w:rsid w:val="00CA2AB5"/>
    <w:rsid w:val="00CA2C1B"/>
    <w:rsid w:val="00CA2CC6"/>
    <w:rsid w:val="00CA2CCD"/>
    <w:rsid w:val="00CA2DA3"/>
    <w:rsid w:val="00CA2EF7"/>
    <w:rsid w:val="00CA3251"/>
    <w:rsid w:val="00CA328F"/>
    <w:rsid w:val="00CA32E3"/>
    <w:rsid w:val="00CA32E7"/>
    <w:rsid w:val="00CA3335"/>
    <w:rsid w:val="00CA34B3"/>
    <w:rsid w:val="00CA35B4"/>
    <w:rsid w:val="00CA36A0"/>
    <w:rsid w:val="00CA377B"/>
    <w:rsid w:val="00CA39B4"/>
    <w:rsid w:val="00CA39B5"/>
    <w:rsid w:val="00CA39F8"/>
    <w:rsid w:val="00CA3B79"/>
    <w:rsid w:val="00CA3C63"/>
    <w:rsid w:val="00CA3E56"/>
    <w:rsid w:val="00CA3E65"/>
    <w:rsid w:val="00CA3FB6"/>
    <w:rsid w:val="00CA42CB"/>
    <w:rsid w:val="00CA438D"/>
    <w:rsid w:val="00CA4434"/>
    <w:rsid w:val="00CA45A0"/>
    <w:rsid w:val="00CA460B"/>
    <w:rsid w:val="00CA4689"/>
    <w:rsid w:val="00CA4700"/>
    <w:rsid w:val="00CA49ED"/>
    <w:rsid w:val="00CA4B64"/>
    <w:rsid w:val="00CA4BFD"/>
    <w:rsid w:val="00CA4D0B"/>
    <w:rsid w:val="00CA4D56"/>
    <w:rsid w:val="00CA4E1A"/>
    <w:rsid w:val="00CA4F97"/>
    <w:rsid w:val="00CA4FB5"/>
    <w:rsid w:val="00CA52A5"/>
    <w:rsid w:val="00CA5351"/>
    <w:rsid w:val="00CA54A7"/>
    <w:rsid w:val="00CA57BF"/>
    <w:rsid w:val="00CA5D26"/>
    <w:rsid w:val="00CA5DFA"/>
    <w:rsid w:val="00CA5EA6"/>
    <w:rsid w:val="00CA6041"/>
    <w:rsid w:val="00CA666C"/>
    <w:rsid w:val="00CA67A9"/>
    <w:rsid w:val="00CA699A"/>
    <w:rsid w:val="00CA6A2A"/>
    <w:rsid w:val="00CA7331"/>
    <w:rsid w:val="00CA77CE"/>
    <w:rsid w:val="00CA7909"/>
    <w:rsid w:val="00CA7D7B"/>
    <w:rsid w:val="00CA7E4D"/>
    <w:rsid w:val="00CA7F17"/>
    <w:rsid w:val="00CA7F5C"/>
    <w:rsid w:val="00CA7FBF"/>
    <w:rsid w:val="00CB00A2"/>
    <w:rsid w:val="00CB0165"/>
    <w:rsid w:val="00CB019D"/>
    <w:rsid w:val="00CB0296"/>
    <w:rsid w:val="00CB0482"/>
    <w:rsid w:val="00CB049E"/>
    <w:rsid w:val="00CB07B4"/>
    <w:rsid w:val="00CB08ED"/>
    <w:rsid w:val="00CB0990"/>
    <w:rsid w:val="00CB0D91"/>
    <w:rsid w:val="00CB0F3F"/>
    <w:rsid w:val="00CB13D3"/>
    <w:rsid w:val="00CB14DC"/>
    <w:rsid w:val="00CB1521"/>
    <w:rsid w:val="00CB18A9"/>
    <w:rsid w:val="00CB1B29"/>
    <w:rsid w:val="00CB1BF4"/>
    <w:rsid w:val="00CB1D8B"/>
    <w:rsid w:val="00CB2038"/>
    <w:rsid w:val="00CB20F0"/>
    <w:rsid w:val="00CB2190"/>
    <w:rsid w:val="00CB219D"/>
    <w:rsid w:val="00CB2242"/>
    <w:rsid w:val="00CB2650"/>
    <w:rsid w:val="00CB2999"/>
    <w:rsid w:val="00CB29E6"/>
    <w:rsid w:val="00CB2AC2"/>
    <w:rsid w:val="00CB2B25"/>
    <w:rsid w:val="00CB2CD3"/>
    <w:rsid w:val="00CB2E4C"/>
    <w:rsid w:val="00CB2EC2"/>
    <w:rsid w:val="00CB30E3"/>
    <w:rsid w:val="00CB3229"/>
    <w:rsid w:val="00CB3314"/>
    <w:rsid w:val="00CB367E"/>
    <w:rsid w:val="00CB373C"/>
    <w:rsid w:val="00CB3906"/>
    <w:rsid w:val="00CB3963"/>
    <w:rsid w:val="00CB3AC4"/>
    <w:rsid w:val="00CB3CD9"/>
    <w:rsid w:val="00CB3DC7"/>
    <w:rsid w:val="00CB3DE8"/>
    <w:rsid w:val="00CB4499"/>
    <w:rsid w:val="00CB4992"/>
    <w:rsid w:val="00CB4A65"/>
    <w:rsid w:val="00CB4DF3"/>
    <w:rsid w:val="00CB52B5"/>
    <w:rsid w:val="00CB52D3"/>
    <w:rsid w:val="00CB548D"/>
    <w:rsid w:val="00CB553E"/>
    <w:rsid w:val="00CB55CE"/>
    <w:rsid w:val="00CB5607"/>
    <w:rsid w:val="00CB5725"/>
    <w:rsid w:val="00CB5A4B"/>
    <w:rsid w:val="00CB5B05"/>
    <w:rsid w:val="00CB5BDA"/>
    <w:rsid w:val="00CB5BFA"/>
    <w:rsid w:val="00CB5CC9"/>
    <w:rsid w:val="00CB6098"/>
    <w:rsid w:val="00CB62F1"/>
    <w:rsid w:val="00CB636A"/>
    <w:rsid w:val="00CB650E"/>
    <w:rsid w:val="00CB665C"/>
    <w:rsid w:val="00CB677F"/>
    <w:rsid w:val="00CB67E3"/>
    <w:rsid w:val="00CB6947"/>
    <w:rsid w:val="00CB6B2E"/>
    <w:rsid w:val="00CB6BDC"/>
    <w:rsid w:val="00CB6BF9"/>
    <w:rsid w:val="00CB6DD3"/>
    <w:rsid w:val="00CB6F7D"/>
    <w:rsid w:val="00CB72CE"/>
    <w:rsid w:val="00CB7335"/>
    <w:rsid w:val="00CB7390"/>
    <w:rsid w:val="00CB73C9"/>
    <w:rsid w:val="00CB7732"/>
    <w:rsid w:val="00CB7798"/>
    <w:rsid w:val="00CB7799"/>
    <w:rsid w:val="00CB77E1"/>
    <w:rsid w:val="00CB789E"/>
    <w:rsid w:val="00CB78D9"/>
    <w:rsid w:val="00CB7A1A"/>
    <w:rsid w:val="00CB7BD2"/>
    <w:rsid w:val="00CB7D3D"/>
    <w:rsid w:val="00CC0138"/>
    <w:rsid w:val="00CC0492"/>
    <w:rsid w:val="00CC0B36"/>
    <w:rsid w:val="00CC0B7A"/>
    <w:rsid w:val="00CC0B86"/>
    <w:rsid w:val="00CC0C07"/>
    <w:rsid w:val="00CC102A"/>
    <w:rsid w:val="00CC121C"/>
    <w:rsid w:val="00CC12F0"/>
    <w:rsid w:val="00CC1AE8"/>
    <w:rsid w:val="00CC1B0B"/>
    <w:rsid w:val="00CC1B3E"/>
    <w:rsid w:val="00CC1B75"/>
    <w:rsid w:val="00CC1C72"/>
    <w:rsid w:val="00CC1F0D"/>
    <w:rsid w:val="00CC207E"/>
    <w:rsid w:val="00CC229B"/>
    <w:rsid w:val="00CC247C"/>
    <w:rsid w:val="00CC253B"/>
    <w:rsid w:val="00CC2575"/>
    <w:rsid w:val="00CC2845"/>
    <w:rsid w:val="00CC2919"/>
    <w:rsid w:val="00CC293A"/>
    <w:rsid w:val="00CC29F3"/>
    <w:rsid w:val="00CC2A11"/>
    <w:rsid w:val="00CC2A69"/>
    <w:rsid w:val="00CC2B70"/>
    <w:rsid w:val="00CC2CD9"/>
    <w:rsid w:val="00CC306A"/>
    <w:rsid w:val="00CC33BE"/>
    <w:rsid w:val="00CC33C2"/>
    <w:rsid w:val="00CC3738"/>
    <w:rsid w:val="00CC375E"/>
    <w:rsid w:val="00CC38B5"/>
    <w:rsid w:val="00CC3F30"/>
    <w:rsid w:val="00CC40A4"/>
    <w:rsid w:val="00CC4115"/>
    <w:rsid w:val="00CC4274"/>
    <w:rsid w:val="00CC435B"/>
    <w:rsid w:val="00CC43B3"/>
    <w:rsid w:val="00CC446A"/>
    <w:rsid w:val="00CC44D1"/>
    <w:rsid w:val="00CC44DD"/>
    <w:rsid w:val="00CC45BC"/>
    <w:rsid w:val="00CC46ED"/>
    <w:rsid w:val="00CC47C7"/>
    <w:rsid w:val="00CC47E9"/>
    <w:rsid w:val="00CC4805"/>
    <w:rsid w:val="00CC48C9"/>
    <w:rsid w:val="00CC48D9"/>
    <w:rsid w:val="00CC49DB"/>
    <w:rsid w:val="00CC4A67"/>
    <w:rsid w:val="00CC4B6A"/>
    <w:rsid w:val="00CC4E1B"/>
    <w:rsid w:val="00CC50F7"/>
    <w:rsid w:val="00CC518A"/>
    <w:rsid w:val="00CC5342"/>
    <w:rsid w:val="00CC55FF"/>
    <w:rsid w:val="00CC56CB"/>
    <w:rsid w:val="00CC5879"/>
    <w:rsid w:val="00CC5A5E"/>
    <w:rsid w:val="00CC5A8C"/>
    <w:rsid w:val="00CC5C06"/>
    <w:rsid w:val="00CC5C94"/>
    <w:rsid w:val="00CC5D96"/>
    <w:rsid w:val="00CC5EAC"/>
    <w:rsid w:val="00CC5F14"/>
    <w:rsid w:val="00CC60FB"/>
    <w:rsid w:val="00CC64BB"/>
    <w:rsid w:val="00CC6AAC"/>
    <w:rsid w:val="00CC6B8C"/>
    <w:rsid w:val="00CC715C"/>
    <w:rsid w:val="00CC7448"/>
    <w:rsid w:val="00CC761E"/>
    <w:rsid w:val="00CC776A"/>
    <w:rsid w:val="00CC77F6"/>
    <w:rsid w:val="00CC7A4A"/>
    <w:rsid w:val="00CC7A5B"/>
    <w:rsid w:val="00CC7B21"/>
    <w:rsid w:val="00CC7B31"/>
    <w:rsid w:val="00CC7D16"/>
    <w:rsid w:val="00CD02EF"/>
    <w:rsid w:val="00CD038B"/>
    <w:rsid w:val="00CD0800"/>
    <w:rsid w:val="00CD08D9"/>
    <w:rsid w:val="00CD0AC2"/>
    <w:rsid w:val="00CD0BDE"/>
    <w:rsid w:val="00CD0DC4"/>
    <w:rsid w:val="00CD0F24"/>
    <w:rsid w:val="00CD1759"/>
    <w:rsid w:val="00CD17BD"/>
    <w:rsid w:val="00CD19AD"/>
    <w:rsid w:val="00CD1AE4"/>
    <w:rsid w:val="00CD1BA2"/>
    <w:rsid w:val="00CD1BEC"/>
    <w:rsid w:val="00CD1C46"/>
    <w:rsid w:val="00CD1C55"/>
    <w:rsid w:val="00CD1E99"/>
    <w:rsid w:val="00CD1F98"/>
    <w:rsid w:val="00CD2008"/>
    <w:rsid w:val="00CD20D0"/>
    <w:rsid w:val="00CD210C"/>
    <w:rsid w:val="00CD2172"/>
    <w:rsid w:val="00CD23EE"/>
    <w:rsid w:val="00CD249E"/>
    <w:rsid w:val="00CD2643"/>
    <w:rsid w:val="00CD2A03"/>
    <w:rsid w:val="00CD2A83"/>
    <w:rsid w:val="00CD2F3B"/>
    <w:rsid w:val="00CD303A"/>
    <w:rsid w:val="00CD3069"/>
    <w:rsid w:val="00CD3078"/>
    <w:rsid w:val="00CD31BF"/>
    <w:rsid w:val="00CD33A6"/>
    <w:rsid w:val="00CD369B"/>
    <w:rsid w:val="00CD36CB"/>
    <w:rsid w:val="00CD37A5"/>
    <w:rsid w:val="00CD3A88"/>
    <w:rsid w:val="00CD3AB3"/>
    <w:rsid w:val="00CD3AF1"/>
    <w:rsid w:val="00CD3AF9"/>
    <w:rsid w:val="00CD3DA3"/>
    <w:rsid w:val="00CD3DCD"/>
    <w:rsid w:val="00CD3F43"/>
    <w:rsid w:val="00CD42A8"/>
    <w:rsid w:val="00CD42F4"/>
    <w:rsid w:val="00CD4465"/>
    <w:rsid w:val="00CD44BF"/>
    <w:rsid w:val="00CD45F7"/>
    <w:rsid w:val="00CD4AAF"/>
    <w:rsid w:val="00CD50DE"/>
    <w:rsid w:val="00CD53CF"/>
    <w:rsid w:val="00CD53FC"/>
    <w:rsid w:val="00CD543F"/>
    <w:rsid w:val="00CD5513"/>
    <w:rsid w:val="00CD56E6"/>
    <w:rsid w:val="00CD5823"/>
    <w:rsid w:val="00CD585F"/>
    <w:rsid w:val="00CD58E3"/>
    <w:rsid w:val="00CD5930"/>
    <w:rsid w:val="00CD5B8D"/>
    <w:rsid w:val="00CD5CE8"/>
    <w:rsid w:val="00CD612D"/>
    <w:rsid w:val="00CD62C7"/>
    <w:rsid w:val="00CD63F2"/>
    <w:rsid w:val="00CD6619"/>
    <w:rsid w:val="00CD6675"/>
    <w:rsid w:val="00CD66C2"/>
    <w:rsid w:val="00CD6799"/>
    <w:rsid w:val="00CD6866"/>
    <w:rsid w:val="00CD68F5"/>
    <w:rsid w:val="00CD6AD8"/>
    <w:rsid w:val="00CD6B78"/>
    <w:rsid w:val="00CD6C1D"/>
    <w:rsid w:val="00CD6D04"/>
    <w:rsid w:val="00CD72E2"/>
    <w:rsid w:val="00CD742D"/>
    <w:rsid w:val="00CD7727"/>
    <w:rsid w:val="00CD776B"/>
    <w:rsid w:val="00CD7944"/>
    <w:rsid w:val="00CD7A65"/>
    <w:rsid w:val="00CD7B04"/>
    <w:rsid w:val="00CD7B36"/>
    <w:rsid w:val="00CD7B67"/>
    <w:rsid w:val="00CD7C35"/>
    <w:rsid w:val="00CD7C6B"/>
    <w:rsid w:val="00CD7CB6"/>
    <w:rsid w:val="00CD7D68"/>
    <w:rsid w:val="00CD7FDB"/>
    <w:rsid w:val="00CE005B"/>
    <w:rsid w:val="00CE01BF"/>
    <w:rsid w:val="00CE027F"/>
    <w:rsid w:val="00CE02E7"/>
    <w:rsid w:val="00CE04E2"/>
    <w:rsid w:val="00CE064E"/>
    <w:rsid w:val="00CE07EB"/>
    <w:rsid w:val="00CE08A0"/>
    <w:rsid w:val="00CE0919"/>
    <w:rsid w:val="00CE0946"/>
    <w:rsid w:val="00CE0AFF"/>
    <w:rsid w:val="00CE0BEE"/>
    <w:rsid w:val="00CE0E17"/>
    <w:rsid w:val="00CE0E3F"/>
    <w:rsid w:val="00CE0F5C"/>
    <w:rsid w:val="00CE1005"/>
    <w:rsid w:val="00CE1028"/>
    <w:rsid w:val="00CE10E9"/>
    <w:rsid w:val="00CE11EE"/>
    <w:rsid w:val="00CE11F3"/>
    <w:rsid w:val="00CE12F6"/>
    <w:rsid w:val="00CE1697"/>
    <w:rsid w:val="00CE17F9"/>
    <w:rsid w:val="00CE187F"/>
    <w:rsid w:val="00CE1911"/>
    <w:rsid w:val="00CE1AC0"/>
    <w:rsid w:val="00CE1BE2"/>
    <w:rsid w:val="00CE1CCB"/>
    <w:rsid w:val="00CE1D48"/>
    <w:rsid w:val="00CE1D74"/>
    <w:rsid w:val="00CE1EF5"/>
    <w:rsid w:val="00CE1F6F"/>
    <w:rsid w:val="00CE1F97"/>
    <w:rsid w:val="00CE1FAC"/>
    <w:rsid w:val="00CE1FB8"/>
    <w:rsid w:val="00CE1FBE"/>
    <w:rsid w:val="00CE209A"/>
    <w:rsid w:val="00CE20F4"/>
    <w:rsid w:val="00CE2513"/>
    <w:rsid w:val="00CE2578"/>
    <w:rsid w:val="00CE260E"/>
    <w:rsid w:val="00CE26E0"/>
    <w:rsid w:val="00CE2704"/>
    <w:rsid w:val="00CE29B8"/>
    <w:rsid w:val="00CE2C4F"/>
    <w:rsid w:val="00CE2F44"/>
    <w:rsid w:val="00CE2F73"/>
    <w:rsid w:val="00CE36D8"/>
    <w:rsid w:val="00CE36E1"/>
    <w:rsid w:val="00CE36EF"/>
    <w:rsid w:val="00CE370F"/>
    <w:rsid w:val="00CE3786"/>
    <w:rsid w:val="00CE395A"/>
    <w:rsid w:val="00CE3A79"/>
    <w:rsid w:val="00CE3B52"/>
    <w:rsid w:val="00CE3D6E"/>
    <w:rsid w:val="00CE3DAD"/>
    <w:rsid w:val="00CE3DC1"/>
    <w:rsid w:val="00CE3E33"/>
    <w:rsid w:val="00CE40D2"/>
    <w:rsid w:val="00CE4242"/>
    <w:rsid w:val="00CE43F5"/>
    <w:rsid w:val="00CE4728"/>
    <w:rsid w:val="00CE472A"/>
    <w:rsid w:val="00CE477D"/>
    <w:rsid w:val="00CE4936"/>
    <w:rsid w:val="00CE4984"/>
    <w:rsid w:val="00CE4AC1"/>
    <w:rsid w:val="00CE4AF6"/>
    <w:rsid w:val="00CE4B30"/>
    <w:rsid w:val="00CE4D13"/>
    <w:rsid w:val="00CE4D7E"/>
    <w:rsid w:val="00CE4E9E"/>
    <w:rsid w:val="00CE4EB3"/>
    <w:rsid w:val="00CE557C"/>
    <w:rsid w:val="00CE56FE"/>
    <w:rsid w:val="00CE5A00"/>
    <w:rsid w:val="00CE5AFA"/>
    <w:rsid w:val="00CE5F94"/>
    <w:rsid w:val="00CE6034"/>
    <w:rsid w:val="00CE612E"/>
    <w:rsid w:val="00CE6403"/>
    <w:rsid w:val="00CE6419"/>
    <w:rsid w:val="00CE6472"/>
    <w:rsid w:val="00CE64FF"/>
    <w:rsid w:val="00CE6732"/>
    <w:rsid w:val="00CE6844"/>
    <w:rsid w:val="00CE68C9"/>
    <w:rsid w:val="00CE6916"/>
    <w:rsid w:val="00CE6948"/>
    <w:rsid w:val="00CE6AC0"/>
    <w:rsid w:val="00CE6BD6"/>
    <w:rsid w:val="00CE6DB8"/>
    <w:rsid w:val="00CE6F52"/>
    <w:rsid w:val="00CE7471"/>
    <w:rsid w:val="00CE785F"/>
    <w:rsid w:val="00CE79C4"/>
    <w:rsid w:val="00CE7C14"/>
    <w:rsid w:val="00CE7C8A"/>
    <w:rsid w:val="00CE7D1C"/>
    <w:rsid w:val="00CE7D55"/>
    <w:rsid w:val="00CE7E4F"/>
    <w:rsid w:val="00CE7E96"/>
    <w:rsid w:val="00CF0016"/>
    <w:rsid w:val="00CF010F"/>
    <w:rsid w:val="00CF019B"/>
    <w:rsid w:val="00CF0376"/>
    <w:rsid w:val="00CF03DB"/>
    <w:rsid w:val="00CF0430"/>
    <w:rsid w:val="00CF0763"/>
    <w:rsid w:val="00CF0AFD"/>
    <w:rsid w:val="00CF0B03"/>
    <w:rsid w:val="00CF0D64"/>
    <w:rsid w:val="00CF0D85"/>
    <w:rsid w:val="00CF0EC7"/>
    <w:rsid w:val="00CF103B"/>
    <w:rsid w:val="00CF1211"/>
    <w:rsid w:val="00CF12C7"/>
    <w:rsid w:val="00CF1356"/>
    <w:rsid w:val="00CF16AE"/>
    <w:rsid w:val="00CF16C4"/>
    <w:rsid w:val="00CF182B"/>
    <w:rsid w:val="00CF1838"/>
    <w:rsid w:val="00CF1C24"/>
    <w:rsid w:val="00CF1C4E"/>
    <w:rsid w:val="00CF1D14"/>
    <w:rsid w:val="00CF1FB3"/>
    <w:rsid w:val="00CF2015"/>
    <w:rsid w:val="00CF21A5"/>
    <w:rsid w:val="00CF21E9"/>
    <w:rsid w:val="00CF255A"/>
    <w:rsid w:val="00CF2672"/>
    <w:rsid w:val="00CF2735"/>
    <w:rsid w:val="00CF2982"/>
    <w:rsid w:val="00CF2A37"/>
    <w:rsid w:val="00CF2DAC"/>
    <w:rsid w:val="00CF2E0A"/>
    <w:rsid w:val="00CF2FAF"/>
    <w:rsid w:val="00CF304A"/>
    <w:rsid w:val="00CF3070"/>
    <w:rsid w:val="00CF3182"/>
    <w:rsid w:val="00CF31A3"/>
    <w:rsid w:val="00CF32EB"/>
    <w:rsid w:val="00CF359C"/>
    <w:rsid w:val="00CF37F3"/>
    <w:rsid w:val="00CF3844"/>
    <w:rsid w:val="00CF3CE7"/>
    <w:rsid w:val="00CF3D04"/>
    <w:rsid w:val="00CF3D39"/>
    <w:rsid w:val="00CF3E12"/>
    <w:rsid w:val="00CF4174"/>
    <w:rsid w:val="00CF43CC"/>
    <w:rsid w:val="00CF46BE"/>
    <w:rsid w:val="00CF46DC"/>
    <w:rsid w:val="00CF47B7"/>
    <w:rsid w:val="00CF4B83"/>
    <w:rsid w:val="00CF4D0F"/>
    <w:rsid w:val="00CF4D55"/>
    <w:rsid w:val="00CF4E08"/>
    <w:rsid w:val="00CF4EAD"/>
    <w:rsid w:val="00CF5210"/>
    <w:rsid w:val="00CF52CC"/>
    <w:rsid w:val="00CF5329"/>
    <w:rsid w:val="00CF54AA"/>
    <w:rsid w:val="00CF55A6"/>
    <w:rsid w:val="00CF564B"/>
    <w:rsid w:val="00CF58D1"/>
    <w:rsid w:val="00CF5999"/>
    <w:rsid w:val="00CF5A02"/>
    <w:rsid w:val="00CF5BEE"/>
    <w:rsid w:val="00CF5E83"/>
    <w:rsid w:val="00CF6015"/>
    <w:rsid w:val="00CF60B2"/>
    <w:rsid w:val="00CF616C"/>
    <w:rsid w:val="00CF62B8"/>
    <w:rsid w:val="00CF65C8"/>
    <w:rsid w:val="00CF67E8"/>
    <w:rsid w:val="00CF691E"/>
    <w:rsid w:val="00CF6E42"/>
    <w:rsid w:val="00CF6ECB"/>
    <w:rsid w:val="00CF700D"/>
    <w:rsid w:val="00CF709C"/>
    <w:rsid w:val="00CF7170"/>
    <w:rsid w:val="00CF72D3"/>
    <w:rsid w:val="00CF74B3"/>
    <w:rsid w:val="00CF758D"/>
    <w:rsid w:val="00CF7879"/>
    <w:rsid w:val="00CF7CE7"/>
    <w:rsid w:val="00CF7D1A"/>
    <w:rsid w:val="00CF7F04"/>
    <w:rsid w:val="00CF7F59"/>
    <w:rsid w:val="00D00152"/>
    <w:rsid w:val="00D001EE"/>
    <w:rsid w:val="00D0024B"/>
    <w:rsid w:val="00D003D9"/>
    <w:rsid w:val="00D00449"/>
    <w:rsid w:val="00D004F5"/>
    <w:rsid w:val="00D00540"/>
    <w:rsid w:val="00D006A0"/>
    <w:rsid w:val="00D006D0"/>
    <w:rsid w:val="00D007F3"/>
    <w:rsid w:val="00D00A37"/>
    <w:rsid w:val="00D00DBB"/>
    <w:rsid w:val="00D01158"/>
    <w:rsid w:val="00D0117E"/>
    <w:rsid w:val="00D014D3"/>
    <w:rsid w:val="00D015EA"/>
    <w:rsid w:val="00D01BC0"/>
    <w:rsid w:val="00D01C9F"/>
    <w:rsid w:val="00D01E66"/>
    <w:rsid w:val="00D01F57"/>
    <w:rsid w:val="00D02128"/>
    <w:rsid w:val="00D022B8"/>
    <w:rsid w:val="00D0245F"/>
    <w:rsid w:val="00D025FD"/>
    <w:rsid w:val="00D02801"/>
    <w:rsid w:val="00D02932"/>
    <w:rsid w:val="00D02A6B"/>
    <w:rsid w:val="00D02B18"/>
    <w:rsid w:val="00D02D42"/>
    <w:rsid w:val="00D02F13"/>
    <w:rsid w:val="00D02F19"/>
    <w:rsid w:val="00D02F99"/>
    <w:rsid w:val="00D03189"/>
    <w:rsid w:val="00D03351"/>
    <w:rsid w:val="00D03442"/>
    <w:rsid w:val="00D0357E"/>
    <w:rsid w:val="00D035AD"/>
    <w:rsid w:val="00D035ED"/>
    <w:rsid w:val="00D03982"/>
    <w:rsid w:val="00D03AB5"/>
    <w:rsid w:val="00D03C8A"/>
    <w:rsid w:val="00D03E47"/>
    <w:rsid w:val="00D044E6"/>
    <w:rsid w:val="00D045BE"/>
    <w:rsid w:val="00D04777"/>
    <w:rsid w:val="00D0484B"/>
    <w:rsid w:val="00D04AA3"/>
    <w:rsid w:val="00D04B5C"/>
    <w:rsid w:val="00D04D59"/>
    <w:rsid w:val="00D04D6B"/>
    <w:rsid w:val="00D04DAF"/>
    <w:rsid w:val="00D05235"/>
    <w:rsid w:val="00D05394"/>
    <w:rsid w:val="00D05529"/>
    <w:rsid w:val="00D05688"/>
    <w:rsid w:val="00D056BC"/>
    <w:rsid w:val="00D056C9"/>
    <w:rsid w:val="00D05856"/>
    <w:rsid w:val="00D0593C"/>
    <w:rsid w:val="00D059DE"/>
    <w:rsid w:val="00D059F0"/>
    <w:rsid w:val="00D05B3C"/>
    <w:rsid w:val="00D05BB7"/>
    <w:rsid w:val="00D05BBD"/>
    <w:rsid w:val="00D05C43"/>
    <w:rsid w:val="00D05D0E"/>
    <w:rsid w:val="00D05D1A"/>
    <w:rsid w:val="00D05DD1"/>
    <w:rsid w:val="00D05E6D"/>
    <w:rsid w:val="00D060EE"/>
    <w:rsid w:val="00D061B0"/>
    <w:rsid w:val="00D06201"/>
    <w:rsid w:val="00D06432"/>
    <w:rsid w:val="00D0665A"/>
    <w:rsid w:val="00D06935"/>
    <w:rsid w:val="00D06B0E"/>
    <w:rsid w:val="00D06BAB"/>
    <w:rsid w:val="00D06C10"/>
    <w:rsid w:val="00D06C82"/>
    <w:rsid w:val="00D06F72"/>
    <w:rsid w:val="00D070A8"/>
    <w:rsid w:val="00D07129"/>
    <w:rsid w:val="00D072E4"/>
    <w:rsid w:val="00D07381"/>
    <w:rsid w:val="00D0745D"/>
    <w:rsid w:val="00D078FC"/>
    <w:rsid w:val="00D0799D"/>
    <w:rsid w:val="00D07A76"/>
    <w:rsid w:val="00D07BA3"/>
    <w:rsid w:val="00D07CEB"/>
    <w:rsid w:val="00D07DDD"/>
    <w:rsid w:val="00D07E9F"/>
    <w:rsid w:val="00D07FB8"/>
    <w:rsid w:val="00D101B0"/>
    <w:rsid w:val="00D10242"/>
    <w:rsid w:val="00D10381"/>
    <w:rsid w:val="00D10547"/>
    <w:rsid w:val="00D106A9"/>
    <w:rsid w:val="00D1075B"/>
    <w:rsid w:val="00D10811"/>
    <w:rsid w:val="00D11121"/>
    <w:rsid w:val="00D11129"/>
    <w:rsid w:val="00D111CB"/>
    <w:rsid w:val="00D11269"/>
    <w:rsid w:val="00D1157A"/>
    <w:rsid w:val="00D11667"/>
    <w:rsid w:val="00D1171E"/>
    <w:rsid w:val="00D11A88"/>
    <w:rsid w:val="00D11BDA"/>
    <w:rsid w:val="00D11C6F"/>
    <w:rsid w:val="00D11D3E"/>
    <w:rsid w:val="00D11DDE"/>
    <w:rsid w:val="00D11FE6"/>
    <w:rsid w:val="00D121BA"/>
    <w:rsid w:val="00D12343"/>
    <w:rsid w:val="00D12558"/>
    <w:rsid w:val="00D126B4"/>
    <w:rsid w:val="00D1272F"/>
    <w:rsid w:val="00D12820"/>
    <w:rsid w:val="00D12A29"/>
    <w:rsid w:val="00D12C9E"/>
    <w:rsid w:val="00D12CEE"/>
    <w:rsid w:val="00D12D47"/>
    <w:rsid w:val="00D12E1C"/>
    <w:rsid w:val="00D12F57"/>
    <w:rsid w:val="00D1335E"/>
    <w:rsid w:val="00D133E9"/>
    <w:rsid w:val="00D13531"/>
    <w:rsid w:val="00D13597"/>
    <w:rsid w:val="00D13610"/>
    <w:rsid w:val="00D13B87"/>
    <w:rsid w:val="00D13CC5"/>
    <w:rsid w:val="00D13D70"/>
    <w:rsid w:val="00D14275"/>
    <w:rsid w:val="00D14500"/>
    <w:rsid w:val="00D147A1"/>
    <w:rsid w:val="00D1488B"/>
    <w:rsid w:val="00D14947"/>
    <w:rsid w:val="00D149FA"/>
    <w:rsid w:val="00D14A42"/>
    <w:rsid w:val="00D14A70"/>
    <w:rsid w:val="00D14B28"/>
    <w:rsid w:val="00D14B98"/>
    <w:rsid w:val="00D14C14"/>
    <w:rsid w:val="00D14D5B"/>
    <w:rsid w:val="00D14F3A"/>
    <w:rsid w:val="00D155DB"/>
    <w:rsid w:val="00D156DF"/>
    <w:rsid w:val="00D15AD0"/>
    <w:rsid w:val="00D15AE3"/>
    <w:rsid w:val="00D15B7B"/>
    <w:rsid w:val="00D15D2E"/>
    <w:rsid w:val="00D15DEF"/>
    <w:rsid w:val="00D15E3E"/>
    <w:rsid w:val="00D15F51"/>
    <w:rsid w:val="00D16413"/>
    <w:rsid w:val="00D16509"/>
    <w:rsid w:val="00D16866"/>
    <w:rsid w:val="00D16DE9"/>
    <w:rsid w:val="00D1705A"/>
    <w:rsid w:val="00D1707C"/>
    <w:rsid w:val="00D1735A"/>
    <w:rsid w:val="00D1739D"/>
    <w:rsid w:val="00D174A0"/>
    <w:rsid w:val="00D1768F"/>
    <w:rsid w:val="00D1778D"/>
    <w:rsid w:val="00D1792A"/>
    <w:rsid w:val="00D179BD"/>
    <w:rsid w:val="00D17A11"/>
    <w:rsid w:val="00D17D61"/>
    <w:rsid w:val="00D17E94"/>
    <w:rsid w:val="00D17EEA"/>
    <w:rsid w:val="00D17EED"/>
    <w:rsid w:val="00D17FB9"/>
    <w:rsid w:val="00D200EF"/>
    <w:rsid w:val="00D202AA"/>
    <w:rsid w:val="00D20554"/>
    <w:rsid w:val="00D205A9"/>
    <w:rsid w:val="00D206D4"/>
    <w:rsid w:val="00D20806"/>
    <w:rsid w:val="00D2083F"/>
    <w:rsid w:val="00D209F0"/>
    <w:rsid w:val="00D20B72"/>
    <w:rsid w:val="00D20BCC"/>
    <w:rsid w:val="00D20E09"/>
    <w:rsid w:val="00D21264"/>
    <w:rsid w:val="00D212AE"/>
    <w:rsid w:val="00D213ED"/>
    <w:rsid w:val="00D21489"/>
    <w:rsid w:val="00D2175E"/>
    <w:rsid w:val="00D21819"/>
    <w:rsid w:val="00D21974"/>
    <w:rsid w:val="00D21D23"/>
    <w:rsid w:val="00D21E36"/>
    <w:rsid w:val="00D21F6C"/>
    <w:rsid w:val="00D21FA6"/>
    <w:rsid w:val="00D22149"/>
    <w:rsid w:val="00D2236C"/>
    <w:rsid w:val="00D223DA"/>
    <w:rsid w:val="00D2242A"/>
    <w:rsid w:val="00D225C6"/>
    <w:rsid w:val="00D225D8"/>
    <w:rsid w:val="00D2287F"/>
    <w:rsid w:val="00D22A6C"/>
    <w:rsid w:val="00D230CA"/>
    <w:rsid w:val="00D234B9"/>
    <w:rsid w:val="00D2352D"/>
    <w:rsid w:val="00D23AC2"/>
    <w:rsid w:val="00D23B7C"/>
    <w:rsid w:val="00D23D09"/>
    <w:rsid w:val="00D2400A"/>
    <w:rsid w:val="00D241A8"/>
    <w:rsid w:val="00D241F2"/>
    <w:rsid w:val="00D2427D"/>
    <w:rsid w:val="00D24589"/>
    <w:rsid w:val="00D245ED"/>
    <w:rsid w:val="00D2479D"/>
    <w:rsid w:val="00D24B78"/>
    <w:rsid w:val="00D24B9C"/>
    <w:rsid w:val="00D24CBB"/>
    <w:rsid w:val="00D24DC7"/>
    <w:rsid w:val="00D25188"/>
    <w:rsid w:val="00D2524A"/>
    <w:rsid w:val="00D2551F"/>
    <w:rsid w:val="00D2559F"/>
    <w:rsid w:val="00D259EE"/>
    <w:rsid w:val="00D25A7B"/>
    <w:rsid w:val="00D25B04"/>
    <w:rsid w:val="00D25BC7"/>
    <w:rsid w:val="00D2604C"/>
    <w:rsid w:val="00D2609D"/>
    <w:rsid w:val="00D26217"/>
    <w:rsid w:val="00D2635E"/>
    <w:rsid w:val="00D268F2"/>
    <w:rsid w:val="00D2694C"/>
    <w:rsid w:val="00D26ACD"/>
    <w:rsid w:val="00D26C3D"/>
    <w:rsid w:val="00D26CAE"/>
    <w:rsid w:val="00D26CFA"/>
    <w:rsid w:val="00D2718C"/>
    <w:rsid w:val="00D274AB"/>
    <w:rsid w:val="00D277E6"/>
    <w:rsid w:val="00D277ED"/>
    <w:rsid w:val="00D278EE"/>
    <w:rsid w:val="00D27A88"/>
    <w:rsid w:val="00D27ACF"/>
    <w:rsid w:val="00D27F0F"/>
    <w:rsid w:val="00D300A5"/>
    <w:rsid w:val="00D300BA"/>
    <w:rsid w:val="00D30126"/>
    <w:rsid w:val="00D302CB"/>
    <w:rsid w:val="00D30303"/>
    <w:rsid w:val="00D30331"/>
    <w:rsid w:val="00D30471"/>
    <w:rsid w:val="00D304D5"/>
    <w:rsid w:val="00D3056F"/>
    <w:rsid w:val="00D3058F"/>
    <w:rsid w:val="00D306F9"/>
    <w:rsid w:val="00D308DE"/>
    <w:rsid w:val="00D30954"/>
    <w:rsid w:val="00D30C17"/>
    <w:rsid w:val="00D30D2B"/>
    <w:rsid w:val="00D311EC"/>
    <w:rsid w:val="00D31254"/>
    <w:rsid w:val="00D3150E"/>
    <w:rsid w:val="00D3159D"/>
    <w:rsid w:val="00D317B0"/>
    <w:rsid w:val="00D3180A"/>
    <w:rsid w:val="00D31865"/>
    <w:rsid w:val="00D31866"/>
    <w:rsid w:val="00D319E9"/>
    <w:rsid w:val="00D31A3D"/>
    <w:rsid w:val="00D31AB2"/>
    <w:rsid w:val="00D31E7D"/>
    <w:rsid w:val="00D31ED9"/>
    <w:rsid w:val="00D320E2"/>
    <w:rsid w:val="00D3298D"/>
    <w:rsid w:val="00D32EE5"/>
    <w:rsid w:val="00D32FFE"/>
    <w:rsid w:val="00D3314F"/>
    <w:rsid w:val="00D33551"/>
    <w:rsid w:val="00D3355B"/>
    <w:rsid w:val="00D3355E"/>
    <w:rsid w:val="00D338AC"/>
    <w:rsid w:val="00D338B8"/>
    <w:rsid w:val="00D338BC"/>
    <w:rsid w:val="00D338DC"/>
    <w:rsid w:val="00D339C2"/>
    <w:rsid w:val="00D33A5C"/>
    <w:rsid w:val="00D33AC0"/>
    <w:rsid w:val="00D33BE7"/>
    <w:rsid w:val="00D33C97"/>
    <w:rsid w:val="00D33F6C"/>
    <w:rsid w:val="00D34029"/>
    <w:rsid w:val="00D3408F"/>
    <w:rsid w:val="00D343FF"/>
    <w:rsid w:val="00D3458A"/>
    <w:rsid w:val="00D34871"/>
    <w:rsid w:val="00D34B0E"/>
    <w:rsid w:val="00D3531B"/>
    <w:rsid w:val="00D354D1"/>
    <w:rsid w:val="00D35528"/>
    <w:rsid w:val="00D35609"/>
    <w:rsid w:val="00D356EA"/>
    <w:rsid w:val="00D3594F"/>
    <w:rsid w:val="00D35AA2"/>
    <w:rsid w:val="00D35F4D"/>
    <w:rsid w:val="00D35FD4"/>
    <w:rsid w:val="00D361F0"/>
    <w:rsid w:val="00D36202"/>
    <w:rsid w:val="00D3635B"/>
    <w:rsid w:val="00D36490"/>
    <w:rsid w:val="00D36505"/>
    <w:rsid w:val="00D3655C"/>
    <w:rsid w:val="00D366F2"/>
    <w:rsid w:val="00D3682C"/>
    <w:rsid w:val="00D36882"/>
    <w:rsid w:val="00D36AAB"/>
    <w:rsid w:val="00D36B84"/>
    <w:rsid w:val="00D36E0E"/>
    <w:rsid w:val="00D36E16"/>
    <w:rsid w:val="00D36FB7"/>
    <w:rsid w:val="00D371C5"/>
    <w:rsid w:val="00D37362"/>
    <w:rsid w:val="00D37659"/>
    <w:rsid w:val="00D3778D"/>
    <w:rsid w:val="00D377FD"/>
    <w:rsid w:val="00D379B4"/>
    <w:rsid w:val="00D37EE9"/>
    <w:rsid w:val="00D40010"/>
    <w:rsid w:val="00D40031"/>
    <w:rsid w:val="00D40147"/>
    <w:rsid w:val="00D402B9"/>
    <w:rsid w:val="00D40547"/>
    <w:rsid w:val="00D409D0"/>
    <w:rsid w:val="00D40FB4"/>
    <w:rsid w:val="00D4102C"/>
    <w:rsid w:val="00D4116F"/>
    <w:rsid w:val="00D41192"/>
    <w:rsid w:val="00D415B7"/>
    <w:rsid w:val="00D41635"/>
    <w:rsid w:val="00D4163B"/>
    <w:rsid w:val="00D417D5"/>
    <w:rsid w:val="00D41895"/>
    <w:rsid w:val="00D419AE"/>
    <w:rsid w:val="00D41A64"/>
    <w:rsid w:val="00D41BC3"/>
    <w:rsid w:val="00D41CCB"/>
    <w:rsid w:val="00D42121"/>
    <w:rsid w:val="00D42269"/>
    <w:rsid w:val="00D42616"/>
    <w:rsid w:val="00D42736"/>
    <w:rsid w:val="00D4273F"/>
    <w:rsid w:val="00D4276C"/>
    <w:rsid w:val="00D42824"/>
    <w:rsid w:val="00D42912"/>
    <w:rsid w:val="00D42C02"/>
    <w:rsid w:val="00D42C89"/>
    <w:rsid w:val="00D42CE7"/>
    <w:rsid w:val="00D42DCB"/>
    <w:rsid w:val="00D42E51"/>
    <w:rsid w:val="00D42E5A"/>
    <w:rsid w:val="00D431FB"/>
    <w:rsid w:val="00D43284"/>
    <w:rsid w:val="00D436D7"/>
    <w:rsid w:val="00D43752"/>
    <w:rsid w:val="00D4375C"/>
    <w:rsid w:val="00D437BD"/>
    <w:rsid w:val="00D437E0"/>
    <w:rsid w:val="00D43DC8"/>
    <w:rsid w:val="00D441B2"/>
    <w:rsid w:val="00D443AE"/>
    <w:rsid w:val="00D443C1"/>
    <w:rsid w:val="00D443E8"/>
    <w:rsid w:val="00D44497"/>
    <w:rsid w:val="00D448ED"/>
    <w:rsid w:val="00D44A83"/>
    <w:rsid w:val="00D44BDE"/>
    <w:rsid w:val="00D44C36"/>
    <w:rsid w:val="00D44CA5"/>
    <w:rsid w:val="00D44D12"/>
    <w:rsid w:val="00D44DF8"/>
    <w:rsid w:val="00D44DFA"/>
    <w:rsid w:val="00D44E73"/>
    <w:rsid w:val="00D44EDC"/>
    <w:rsid w:val="00D44F0C"/>
    <w:rsid w:val="00D453B8"/>
    <w:rsid w:val="00D455E4"/>
    <w:rsid w:val="00D458AB"/>
    <w:rsid w:val="00D45CD4"/>
    <w:rsid w:val="00D45CF8"/>
    <w:rsid w:val="00D45F9F"/>
    <w:rsid w:val="00D461DB"/>
    <w:rsid w:val="00D46290"/>
    <w:rsid w:val="00D463DC"/>
    <w:rsid w:val="00D46434"/>
    <w:rsid w:val="00D464B9"/>
    <w:rsid w:val="00D465E0"/>
    <w:rsid w:val="00D466CA"/>
    <w:rsid w:val="00D467BD"/>
    <w:rsid w:val="00D46BCD"/>
    <w:rsid w:val="00D46EC5"/>
    <w:rsid w:val="00D46F82"/>
    <w:rsid w:val="00D4721C"/>
    <w:rsid w:val="00D472D9"/>
    <w:rsid w:val="00D47446"/>
    <w:rsid w:val="00D474C7"/>
    <w:rsid w:val="00D476C5"/>
    <w:rsid w:val="00D47881"/>
    <w:rsid w:val="00D479DF"/>
    <w:rsid w:val="00D47AB0"/>
    <w:rsid w:val="00D47C8E"/>
    <w:rsid w:val="00D47DC6"/>
    <w:rsid w:val="00D47F8C"/>
    <w:rsid w:val="00D5000C"/>
    <w:rsid w:val="00D506E4"/>
    <w:rsid w:val="00D5081A"/>
    <w:rsid w:val="00D50825"/>
    <w:rsid w:val="00D5085A"/>
    <w:rsid w:val="00D50912"/>
    <w:rsid w:val="00D50AE7"/>
    <w:rsid w:val="00D50C23"/>
    <w:rsid w:val="00D51089"/>
    <w:rsid w:val="00D512DA"/>
    <w:rsid w:val="00D51403"/>
    <w:rsid w:val="00D514CD"/>
    <w:rsid w:val="00D5157F"/>
    <w:rsid w:val="00D517F0"/>
    <w:rsid w:val="00D51D93"/>
    <w:rsid w:val="00D51E40"/>
    <w:rsid w:val="00D51E67"/>
    <w:rsid w:val="00D51FB4"/>
    <w:rsid w:val="00D5210E"/>
    <w:rsid w:val="00D52183"/>
    <w:rsid w:val="00D521FE"/>
    <w:rsid w:val="00D52474"/>
    <w:rsid w:val="00D52BF1"/>
    <w:rsid w:val="00D52C19"/>
    <w:rsid w:val="00D52D04"/>
    <w:rsid w:val="00D52E81"/>
    <w:rsid w:val="00D534F4"/>
    <w:rsid w:val="00D536E2"/>
    <w:rsid w:val="00D538D7"/>
    <w:rsid w:val="00D5394F"/>
    <w:rsid w:val="00D5399E"/>
    <w:rsid w:val="00D53C6B"/>
    <w:rsid w:val="00D53D50"/>
    <w:rsid w:val="00D53DFB"/>
    <w:rsid w:val="00D53E10"/>
    <w:rsid w:val="00D54069"/>
    <w:rsid w:val="00D5410D"/>
    <w:rsid w:val="00D54227"/>
    <w:rsid w:val="00D5446E"/>
    <w:rsid w:val="00D545AB"/>
    <w:rsid w:val="00D54602"/>
    <w:rsid w:val="00D54A88"/>
    <w:rsid w:val="00D54FD1"/>
    <w:rsid w:val="00D5509C"/>
    <w:rsid w:val="00D55635"/>
    <w:rsid w:val="00D55636"/>
    <w:rsid w:val="00D556B9"/>
    <w:rsid w:val="00D559F0"/>
    <w:rsid w:val="00D55B45"/>
    <w:rsid w:val="00D55C88"/>
    <w:rsid w:val="00D55D24"/>
    <w:rsid w:val="00D56260"/>
    <w:rsid w:val="00D56315"/>
    <w:rsid w:val="00D5659F"/>
    <w:rsid w:val="00D56C23"/>
    <w:rsid w:val="00D56DDE"/>
    <w:rsid w:val="00D56F87"/>
    <w:rsid w:val="00D56F9E"/>
    <w:rsid w:val="00D570B6"/>
    <w:rsid w:val="00D57135"/>
    <w:rsid w:val="00D5716F"/>
    <w:rsid w:val="00D5743B"/>
    <w:rsid w:val="00D57994"/>
    <w:rsid w:val="00D57D20"/>
    <w:rsid w:val="00D57E01"/>
    <w:rsid w:val="00D60075"/>
    <w:rsid w:val="00D60236"/>
    <w:rsid w:val="00D602D2"/>
    <w:rsid w:val="00D6065F"/>
    <w:rsid w:val="00D60753"/>
    <w:rsid w:val="00D60916"/>
    <w:rsid w:val="00D60939"/>
    <w:rsid w:val="00D60D72"/>
    <w:rsid w:val="00D60F1F"/>
    <w:rsid w:val="00D60FB5"/>
    <w:rsid w:val="00D61196"/>
    <w:rsid w:val="00D6147D"/>
    <w:rsid w:val="00D6153C"/>
    <w:rsid w:val="00D61542"/>
    <w:rsid w:val="00D61821"/>
    <w:rsid w:val="00D61A22"/>
    <w:rsid w:val="00D61DC7"/>
    <w:rsid w:val="00D6209A"/>
    <w:rsid w:val="00D62181"/>
    <w:rsid w:val="00D62344"/>
    <w:rsid w:val="00D6254D"/>
    <w:rsid w:val="00D62597"/>
    <w:rsid w:val="00D6280D"/>
    <w:rsid w:val="00D6285F"/>
    <w:rsid w:val="00D6291B"/>
    <w:rsid w:val="00D62986"/>
    <w:rsid w:val="00D62A59"/>
    <w:rsid w:val="00D62A76"/>
    <w:rsid w:val="00D62ADE"/>
    <w:rsid w:val="00D62D59"/>
    <w:rsid w:val="00D62E53"/>
    <w:rsid w:val="00D62F14"/>
    <w:rsid w:val="00D62FB3"/>
    <w:rsid w:val="00D630C7"/>
    <w:rsid w:val="00D630E4"/>
    <w:rsid w:val="00D631BE"/>
    <w:rsid w:val="00D63203"/>
    <w:rsid w:val="00D6325B"/>
    <w:rsid w:val="00D63268"/>
    <w:rsid w:val="00D6353F"/>
    <w:rsid w:val="00D63605"/>
    <w:rsid w:val="00D63C4C"/>
    <w:rsid w:val="00D63D6E"/>
    <w:rsid w:val="00D63D7F"/>
    <w:rsid w:val="00D63D8C"/>
    <w:rsid w:val="00D6433E"/>
    <w:rsid w:val="00D645FB"/>
    <w:rsid w:val="00D6483A"/>
    <w:rsid w:val="00D64970"/>
    <w:rsid w:val="00D64CB5"/>
    <w:rsid w:val="00D64CB8"/>
    <w:rsid w:val="00D64E29"/>
    <w:rsid w:val="00D64ED2"/>
    <w:rsid w:val="00D64F58"/>
    <w:rsid w:val="00D65173"/>
    <w:rsid w:val="00D65240"/>
    <w:rsid w:val="00D6538A"/>
    <w:rsid w:val="00D655AF"/>
    <w:rsid w:val="00D6563C"/>
    <w:rsid w:val="00D65787"/>
    <w:rsid w:val="00D65973"/>
    <w:rsid w:val="00D65D80"/>
    <w:rsid w:val="00D65FE0"/>
    <w:rsid w:val="00D6668D"/>
    <w:rsid w:val="00D6671C"/>
    <w:rsid w:val="00D66947"/>
    <w:rsid w:val="00D6699D"/>
    <w:rsid w:val="00D66CD7"/>
    <w:rsid w:val="00D66D35"/>
    <w:rsid w:val="00D66D78"/>
    <w:rsid w:val="00D66D81"/>
    <w:rsid w:val="00D66F45"/>
    <w:rsid w:val="00D67152"/>
    <w:rsid w:val="00D67186"/>
    <w:rsid w:val="00D67257"/>
    <w:rsid w:val="00D67413"/>
    <w:rsid w:val="00D67784"/>
    <w:rsid w:val="00D677D4"/>
    <w:rsid w:val="00D67913"/>
    <w:rsid w:val="00D67915"/>
    <w:rsid w:val="00D67F59"/>
    <w:rsid w:val="00D700DC"/>
    <w:rsid w:val="00D7011F"/>
    <w:rsid w:val="00D7056A"/>
    <w:rsid w:val="00D70728"/>
    <w:rsid w:val="00D709A3"/>
    <w:rsid w:val="00D70A68"/>
    <w:rsid w:val="00D70C12"/>
    <w:rsid w:val="00D70E15"/>
    <w:rsid w:val="00D70E82"/>
    <w:rsid w:val="00D70F1D"/>
    <w:rsid w:val="00D7113F"/>
    <w:rsid w:val="00D711E5"/>
    <w:rsid w:val="00D71223"/>
    <w:rsid w:val="00D717EE"/>
    <w:rsid w:val="00D71990"/>
    <w:rsid w:val="00D71A0E"/>
    <w:rsid w:val="00D71D3A"/>
    <w:rsid w:val="00D71DD5"/>
    <w:rsid w:val="00D71DE9"/>
    <w:rsid w:val="00D72121"/>
    <w:rsid w:val="00D723B9"/>
    <w:rsid w:val="00D7244B"/>
    <w:rsid w:val="00D7253C"/>
    <w:rsid w:val="00D72738"/>
    <w:rsid w:val="00D72DF3"/>
    <w:rsid w:val="00D7305A"/>
    <w:rsid w:val="00D731D4"/>
    <w:rsid w:val="00D736E3"/>
    <w:rsid w:val="00D736F3"/>
    <w:rsid w:val="00D737D5"/>
    <w:rsid w:val="00D7389F"/>
    <w:rsid w:val="00D73AA6"/>
    <w:rsid w:val="00D73CF2"/>
    <w:rsid w:val="00D73EEE"/>
    <w:rsid w:val="00D73F42"/>
    <w:rsid w:val="00D73F5F"/>
    <w:rsid w:val="00D74024"/>
    <w:rsid w:val="00D741B2"/>
    <w:rsid w:val="00D7433C"/>
    <w:rsid w:val="00D74845"/>
    <w:rsid w:val="00D7488E"/>
    <w:rsid w:val="00D7497A"/>
    <w:rsid w:val="00D7498F"/>
    <w:rsid w:val="00D74A99"/>
    <w:rsid w:val="00D74D65"/>
    <w:rsid w:val="00D75077"/>
    <w:rsid w:val="00D75142"/>
    <w:rsid w:val="00D7521F"/>
    <w:rsid w:val="00D752CB"/>
    <w:rsid w:val="00D752DF"/>
    <w:rsid w:val="00D753E3"/>
    <w:rsid w:val="00D754FA"/>
    <w:rsid w:val="00D75A2A"/>
    <w:rsid w:val="00D75C61"/>
    <w:rsid w:val="00D75C6E"/>
    <w:rsid w:val="00D75F07"/>
    <w:rsid w:val="00D76082"/>
    <w:rsid w:val="00D760F5"/>
    <w:rsid w:val="00D76164"/>
    <w:rsid w:val="00D761A8"/>
    <w:rsid w:val="00D76264"/>
    <w:rsid w:val="00D76295"/>
    <w:rsid w:val="00D76324"/>
    <w:rsid w:val="00D763CD"/>
    <w:rsid w:val="00D76743"/>
    <w:rsid w:val="00D7680A"/>
    <w:rsid w:val="00D768FA"/>
    <w:rsid w:val="00D76904"/>
    <w:rsid w:val="00D769FA"/>
    <w:rsid w:val="00D76B40"/>
    <w:rsid w:val="00D76CB8"/>
    <w:rsid w:val="00D76CF9"/>
    <w:rsid w:val="00D76EEF"/>
    <w:rsid w:val="00D76F58"/>
    <w:rsid w:val="00D76FA7"/>
    <w:rsid w:val="00D77024"/>
    <w:rsid w:val="00D771C5"/>
    <w:rsid w:val="00D77489"/>
    <w:rsid w:val="00D774B1"/>
    <w:rsid w:val="00D77520"/>
    <w:rsid w:val="00D7771D"/>
    <w:rsid w:val="00D77B69"/>
    <w:rsid w:val="00D77BF3"/>
    <w:rsid w:val="00D77D36"/>
    <w:rsid w:val="00D77F51"/>
    <w:rsid w:val="00D77F62"/>
    <w:rsid w:val="00D77FB7"/>
    <w:rsid w:val="00D8001E"/>
    <w:rsid w:val="00D80023"/>
    <w:rsid w:val="00D80030"/>
    <w:rsid w:val="00D8012B"/>
    <w:rsid w:val="00D804F3"/>
    <w:rsid w:val="00D808FE"/>
    <w:rsid w:val="00D809B5"/>
    <w:rsid w:val="00D809F2"/>
    <w:rsid w:val="00D80B10"/>
    <w:rsid w:val="00D80D40"/>
    <w:rsid w:val="00D80DE4"/>
    <w:rsid w:val="00D80FBB"/>
    <w:rsid w:val="00D8101E"/>
    <w:rsid w:val="00D811E0"/>
    <w:rsid w:val="00D81607"/>
    <w:rsid w:val="00D8178C"/>
    <w:rsid w:val="00D81826"/>
    <w:rsid w:val="00D818D3"/>
    <w:rsid w:val="00D81A3D"/>
    <w:rsid w:val="00D81BA3"/>
    <w:rsid w:val="00D81C56"/>
    <w:rsid w:val="00D81E34"/>
    <w:rsid w:val="00D81FCA"/>
    <w:rsid w:val="00D82041"/>
    <w:rsid w:val="00D82064"/>
    <w:rsid w:val="00D8206D"/>
    <w:rsid w:val="00D822FF"/>
    <w:rsid w:val="00D82303"/>
    <w:rsid w:val="00D8238D"/>
    <w:rsid w:val="00D8240B"/>
    <w:rsid w:val="00D82499"/>
    <w:rsid w:val="00D824AC"/>
    <w:rsid w:val="00D82504"/>
    <w:rsid w:val="00D825C8"/>
    <w:rsid w:val="00D82670"/>
    <w:rsid w:val="00D82A33"/>
    <w:rsid w:val="00D82BB4"/>
    <w:rsid w:val="00D82BF6"/>
    <w:rsid w:val="00D82D87"/>
    <w:rsid w:val="00D82E00"/>
    <w:rsid w:val="00D82FD4"/>
    <w:rsid w:val="00D82FF9"/>
    <w:rsid w:val="00D83196"/>
    <w:rsid w:val="00D8333B"/>
    <w:rsid w:val="00D833C9"/>
    <w:rsid w:val="00D83510"/>
    <w:rsid w:val="00D8368C"/>
    <w:rsid w:val="00D838B4"/>
    <w:rsid w:val="00D838F8"/>
    <w:rsid w:val="00D83916"/>
    <w:rsid w:val="00D83AE3"/>
    <w:rsid w:val="00D83EDD"/>
    <w:rsid w:val="00D84103"/>
    <w:rsid w:val="00D8440A"/>
    <w:rsid w:val="00D8458B"/>
    <w:rsid w:val="00D84679"/>
    <w:rsid w:val="00D84763"/>
    <w:rsid w:val="00D84B7B"/>
    <w:rsid w:val="00D84C9B"/>
    <w:rsid w:val="00D84F30"/>
    <w:rsid w:val="00D850D6"/>
    <w:rsid w:val="00D85140"/>
    <w:rsid w:val="00D85268"/>
    <w:rsid w:val="00D853C7"/>
    <w:rsid w:val="00D85424"/>
    <w:rsid w:val="00D8547A"/>
    <w:rsid w:val="00D8563C"/>
    <w:rsid w:val="00D858D3"/>
    <w:rsid w:val="00D85943"/>
    <w:rsid w:val="00D8598F"/>
    <w:rsid w:val="00D85E90"/>
    <w:rsid w:val="00D85FD5"/>
    <w:rsid w:val="00D86129"/>
    <w:rsid w:val="00D861BD"/>
    <w:rsid w:val="00D86203"/>
    <w:rsid w:val="00D86266"/>
    <w:rsid w:val="00D86278"/>
    <w:rsid w:val="00D86313"/>
    <w:rsid w:val="00D86B1D"/>
    <w:rsid w:val="00D86C11"/>
    <w:rsid w:val="00D86C84"/>
    <w:rsid w:val="00D86DD6"/>
    <w:rsid w:val="00D86E09"/>
    <w:rsid w:val="00D86EAE"/>
    <w:rsid w:val="00D86ED4"/>
    <w:rsid w:val="00D86F02"/>
    <w:rsid w:val="00D87066"/>
    <w:rsid w:val="00D871BA"/>
    <w:rsid w:val="00D873DD"/>
    <w:rsid w:val="00D8741B"/>
    <w:rsid w:val="00D87441"/>
    <w:rsid w:val="00D874EE"/>
    <w:rsid w:val="00D87611"/>
    <w:rsid w:val="00D878C5"/>
    <w:rsid w:val="00D87A70"/>
    <w:rsid w:val="00D87AA3"/>
    <w:rsid w:val="00D87B91"/>
    <w:rsid w:val="00D87E84"/>
    <w:rsid w:val="00D87EFA"/>
    <w:rsid w:val="00D87FB1"/>
    <w:rsid w:val="00D87FE0"/>
    <w:rsid w:val="00D902D0"/>
    <w:rsid w:val="00D9038B"/>
    <w:rsid w:val="00D90479"/>
    <w:rsid w:val="00D904AE"/>
    <w:rsid w:val="00D90896"/>
    <w:rsid w:val="00D90B3C"/>
    <w:rsid w:val="00D90CD1"/>
    <w:rsid w:val="00D90D78"/>
    <w:rsid w:val="00D90E03"/>
    <w:rsid w:val="00D90EE4"/>
    <w:rsid w:val="00D914AD"/>
    <w:rsid w:val="00D9169A"/>
    <w:rsid w:val="00D91E41"/>
    <w:rsid w:val="00D9224D"/>
    <w:rsid w:val="00D92523"/>
    <w:rsid w:val="00D926B4"/>
    <w:rsid w:val="00D92746"/>
    <w:rsid w:val="00D927D1"/>
    <w:rsid w:val="00D92B41"/>
    <w:rsid w:val="00D92DE2"/>
    <w:rsid w:val="00D92E7D"/>
    <w:rsid w:val="00D93069"/>
    <w:rsid w:val="00D93145"/>
    <w:rsid w:val="00D932C1"/>
    <w:rsid w:val="00D933AA"/>
    <w:rsid w:val="00D9340E"/>
    <w:rsid w:val="00D93428"/>
    <w:rsid w:val="00D9355F"/>
    <w:rsid w:val="00D9374F"/>
    <w:rsid w:val="00D9385D"/>
    <w:rsid w:val="00D93A88"/>
    <w:rsid w:val="00D93C04"/>
    <w:rsid w:val="00D93CA0"/>
    <w:rsid w:val="00D93FAD"/>
    <w:rsid w:val="00D94006"/>
    <w:rsid w:val="00D94090"/>
    <w:rsid w:val="00D9424A"/>
    <w:rsid w:val="00D9436C"/>
    <w:rsid w:val="00D943CE"/>
    <w:rsid w:val="00D9446B"/>
    <w:rsid w:val="00D94553"/>
    <w:rsid w:val="00D94747"/>
    <w:rsid w:val="00D948C6"/>
    <w:rsid w:val="00D948E4"/>
    <w:rsid w:val="00D94A33"/>
    <w:rsid w:val="00D94AB1"/>
    <w:rsid w:val="00D94ADE"/>
    <w:rsid w:val="00D94B3B"/>
    <w:rsid w:val="00D94D4B"/>
    <w:rsid w:val="00D94DA9"/>
    <w:rsid w:val="00D950BA"/>
    <w:rsid w:val="00D95107"/>
    <w:rsid w:val="00D952F2"/>
    <w:rsid w:val="00D95360"/>
    <w:rsid w:val="00D9542B"/>
    <w:rsid w:val="00D957F5"/>
    <w:rsid w:val="00D958EA"/>
    <w:rsid w:val="00D9594E"/>
    <w:rsid w:val="00D95B9D"/>
    <w:rsid w:val="00D95BC6"/>
    <w:rsid w:val="00D95DA2"/>
    <w:rsid w:val="00D95ED7"/>
    <w:rsid w:val="00D95F0D"/>
    <w:rsid w:val="00D9609E"/>
    <w:rsid w:val="00D9638D"/>
    <w:rsid w:val="00D9659B"/>
    <w:rsid w:val="00D968E8"/>
    <w:rsid w:val="00D96A6A"/>
    <w:rsid w:val="00D96A79"/>
    <w:rsid w:val="00D96B1C"/>
    <w:rsid w:val="00D96B3E"/>
    <w:rsid w:val="00D96B8F"/>
    <w:rsid w:val="00D96CD6"/>
    <w:rsid w:val="00D96CE6"/>
    <w:rsid w:val="00D96E39"/>
    <w:rsid w:val="00D96F36"/>
    <w:rsid w:val="00D97166"/>
    <w:rsid w:val="00D97298"/>
    <w:rsid w:val="00D9731C"/>
    <w:rsid w:val="00D97CB9"/>
    <w:rsid w:val="00DA00C5"/>
    <w:rsid w:val="00DA0167"/>
    <w:rsid w:val="00DA02CB"/>
    <w:rsid w:val="00DA0369"/>
    <w:rsid w:val="00DA053A"/>
    <w:rsid w:val="00DA065E"/>
    <w:rsid w:val="00DA0B57"/>
    <w:rsid w:val="00DA0E99"/>
    <w:rsid w:val="00DA105D"/>
    <w:rsid w:val="00DA1075"/>
    <w:rsid w:val="00DA10A6"/>
    <w:rsid w:val="00DA125B"/>
    <w:rsid w:val="00DA12C7"/>
    <w:rsid w:val="00DA1348"/>
    <w:rsid w:val="00DA13FA"/>
    <w:rsid w:val="00DA1413"/>
    <w:rsid w:val="00DA1833"/>
    <w:rsid w:val="00DA1A00"/>
    <w:rsid w:val="00DA1BBD"/>
    <w:rsid w:val="00DA1CA5"/>
    <w:rsid w:val="00DA2202"/>
    <w:rsid w:val="00DA2404"/>
    <w:rsid w:val="00DA2545"/>
    <w:rsid w:val="00DA26A3"/>
    <w:rsid w:val="00DA2D25"/>
    <w:rsid w:val="00DA2DC2"/>
    <w:rsid w:val="00DA2DD7"/>
    <w:rsid w:val="00DA311A"/>
    <w:rsid w:val="00DA321B"/>
    <w:rsid w:val="00DA34FE"/>
    <w:rsid w:val="00DA35CC"/>
    <w:rsid w:val="00DA36F3"/>
    <w:rsid w:val="00DA36F4"/>
    <w:rsid w:val="00DA37E0"/>
    <w:rsid w:val="00DA391A"/>
    <w:rsid w:val="00DA3A65"/>
    <w:rsid w:val="00DA3B39"/>
    <w:rsid w:val="00DA3B81"/>
    <w:rsid w:val="00DA3DC7"/>
    <w:rsid w:val="00DA3E15"/>
    <w:rsid w:val="00DA3E5B"/>
    <w:rsid w:val="00DA3E7E"/>
    <w:rsid w:val="00DA410F"/>
    <w:rsid w:val="00DA4367"/>
    <w:rsid w:val="00DA43A8"/>
    <w:rsid w:val="00DA43F4"/>
    <w:rsid w:val="00DA44C2"/>
    <w:rsid w:val="00DA459E"/>
    <w:rsid w:val="00DA45F1"/>
    <w:rsid w:val="00DA479E"/>
    <w:rsid w:val="00DA49B3"/>
    <w:rsid w:val="00DA4A65"/>
    <w:rsid w:val="00DA4BEF"/>
    <w:rsid w:val="00DA4D5F"/>
    <w:rsid w:val="00DA4F49"/>
    <w:rsid w:val="00DA501F"/>
    <w:rsid w:val="00DA54A0"/>
    <w:rsid w:val="00DA56B3"/>
    <w:rsid w:val="00DA56BB"/>
    <w:rsid w:val="00DA58DA"/>
    <w:rsid w:val="00DA5CAD"/>
    <w:rsid w:val="00DA5FD5"/>
    <w:rsid w:val="00DA5FDC"/>
    <w:rsid w:val="00DA619F"/>
    <w:rsid w:val="00DA6266"/>
    <w:rsid w:val="00DA6317"/>
    <w:rsid w:val="00DA67A4"/>
    <w:rsid w:val="00DA67D0"/>
    <w:rsid w:val="00DA6B4D"/>
    <w:rsid w:val="00DA6EC0"/>
    <w:rsid w:val="00DA6F70"/>
    <w:rsid w:val="00DA7057"/>
    <w:rsid w:val="00DA72A4"/>
    <w:rsid w:val="00DA74E8"/>
    <w:rsid w:val="00DA7834"/>
    <w:rsid w:val="00DA7987"/>
    <w:rsid w:val="00DA7B3C"/>
    <w:rsid w:val="00DA7CA4"/>
    <w:rsid w:val="00DA7F14"/>
    <w:rsid w:val="00DB05C0"/>
    <w:rsid w:val="00DB0691"/>
    <w:rsid w:val="00DB086C"/>
    <w:rsid w:val="00DB087B"/>
    <w:rsid w:val="00DB08E4"/>
    <w:rsid w:val="00DB09CB"/>
    <w:rsid w:val="00DB0AA7"/>
    <w:rsid w:val="00DB0B15"/>
    <w:rsid w:val="00DB0BB7"/>
    <w:rsid w:val="00DB0BBC"/>
    <w:rsid w:val="00DB0FEF"/>
    <w:rsid w:val="00DB1020"/>
    <w:rsid w:val="00DB10B8"/>
    <w:rsid w:val="00DB10D3"/>
    <w:rsid w:val="00DB11BB"/>
    <w:rsid w:val="00DB1203"/>
    <w:rsid w:val="00DB124A"/>
    <w:rsid w:val="00DB1282"/>
    <w:rsid w:val="00DB128C"/>
    <w:rsid w:val="00DB12FD"/>
    <w:rsid w:val="00DB1391"/>
    <w:rsid w:val="00DB1668"/>
    <w:rsid w:val="00DB17D1"/>
    <w:rsid w:val="00DB17F8"/>
    <w:rsid w:val="00DB18D0"/>
    <w:rsid w:val="00DB1EFE"/>
    <w:rsid w:val="00DB20B7"/>
    <w:rsid w:val="00DB2159"/>
    <w:rsid w:val="00DB216F"/>
    <w:rsid w:val="00DB24B9"/>
    <w:rsid w:val="00DB2656"/>
    <w:rsid w:val="00DB26DC"/>
    <w:rsid w:val="00DB2951"/>
    <w:rsid w:val="00DB2978"/>
    <w:rsid w:val="00DB2B5D"/>
    <w:rsid w:val="00DB2C4D"/>
    <w:rsid w:val="00DB2E2B"/>
    <w:rsid w:val="00DB2E90"/>
    <w:rsid w:val="00DB2EA6"/>
    <w:rsid w:val="00DB2FA5"/>
    <w:rsid w:val="00DB2FD6"/>
    <w:rsid w:val="00DB3313"/>
    <w:rsid w:val="00DB3516"/>
    <w:rsid w:val="00DB35AF"/>
    <w:rsid w:val="00DB3638"/>
    <w:rsid w:val="00DB3829"/>
    <w:rsid w:val="00DB382C"/>
    <w:rsid w:val="00DB3A28"/>
    <w:rsid w:val="00DB3A58"/>
    <w:rsid w:val="00DB3B76"/>
    <w:rsid w:val="00DB40D5"/>
    <w:rsid w:val="00DB4234"/>
    <w:rsid w:val="00DB4398"/>
    <w:rsid w:val="00DB43FE"/>
    <w:rsid w:val="00DB453E"/>
    <w:rsid w:val="00DB4642"/>
    <w:rsid w:val="00DB473A"/>
    <w:rsid w:val="00DB481D"/>
    <w:rsid w:val="00DB4A32"/>
    <w:rsid w:val="00DB4C24"/>
    <w:rsid w:val="00DB4CCB"/>
    <w:rsid w:val="00DB4CDD"/>
    <w:rsid w:val="00DB4D5A"/>
    <w:rsid w:val="00DB4DD4"/>
    <w:rsid w:val="00DB5204"/>
    <w:rsid w:val="00DB530C"/>
    <w:rsid w:val="00DB5348"/>
    <w:rsid w:val="00DB553E"/>
    <w:rsid w:val="00DB555D"/>
    <w:rsid w:val="00DB56F1"/>
    <w:rsid w:val="00DB57E1"/>
    <w:rsid w:val="00DB5859"/>
    <w:rsid w:val="00DB5C30"/>
    <w:rsid w:val="00DB5D54"/>
    <w:rsid w:val="00DB6146"/>
    <w:rsid w:val="00DB6341"/>
    <w:rsid w:val="00DB6574"/>
    <w:rsid w:val="00DB66FF"/>
    <w:rsid w:val="00DB6ADE"/>
    <w:rsid w:val="00DB6B45"/>
    <w:rsid w:val="00DB6C06"/>
    <w:rsid w:val="00DB6C6E"/>
    <w:rsid w:val="00DB6D23"/>
    <w:rsid w:val="00DB6D60"/>
    <w:rsid w:val="00DB6FCE"/>
    <w:rsid w:val="00DB7185"/>
    <w:rsid w:val="00DB7198"/>
    <w:rsid w:val="00DB7269"/>
    <w:rsid w:val="00DB7406"/>
    <w:rsid w:val="00DB74B9"/>
    <w:rsid w:val="00DB7906"/>
    <w:rsid w:val="00DB79DF"/>
    <w:rsid w:val="00DB7BCC"/>
    <w:rsid w:val="00DB7BDC"/>
    <w:rsid w:val="00DB7C27"/>
    <w:rsid w:val="00DB7E9D"/>
    <w:rsid w:val="00DB7EBB"/>
    <w:rsid w:val="00DB7F82"/>
    <w:rsid w:val="00DB7FFA"/>
    <w:rsid w:val="00DC003E"/>
    <w:rsid w:val="00DC00EF"/>
    <w:rsid w:val="00DC0213"/>
    <w:rsid w:val="00DC0237"/>
    <w:rsid w:val="00DC0314"/>
    <w:rsid w:val="00DC0319"/>
    <w:rsid w:val="00DC0422"/>
    <w:rsid w:val="00DC0516"/>
    <w:rsid w:val="00DC0692"/>
    <w:rsid w:val="00DC09A7"/>
    <w:rsid w:val="00DC0A9E"/>
    <w:rsid w:val="00DC0DE7"/>
    <w:rsid w:val="00DC0E18"/>
    <w:rsid w:val="00DC0F01"/>
    <w:rsid w:val="00DC1131"/>
    <w:rsid w:val="00DC16F9"/>
    <w:rsid w:val="00DC184E"/>
    <w:rsid w:val="00DC1DB3"/>
    <w:rsid w:val="00DC1F5F"/>
    <w:rsid w:val="00DC1F8A"/>
    <w:rsid w:val="00DC20DE"/>
    <w:rsid w:val="00DC20F8"/>
    <w:rsid w:val="00DC214E"/>
    <w:rsid w:val="00DC217B"/>
    <w:rsid w:val="00DC238E"/>
    <w:rsid w:val="00DC24F0"/>
    <w:rsid w:val="00DC2687"/>
    <w:rsid w:val="00DC278B"/>
    <w:rsid w:val="00DC27E9"/>
    <w:rsid w:val="00DC2A68"/>
    <w:rsid w:val="00DC2CC8"/>
    <w:rsid w:val="00DC2F9E"/>
    <w:rsid w:val="00DC308D"/>
    <w:rsid w:val="00DC31A9"/>
    <w:rsid w:val="00DC32CC"/>
    <w:rsid w:val="00DC332C"/>
    <w:rsid w:val="00DC350B"/>
    <w:rsid w:val="00DC3523"/>
    <w:rsid w:val="00DC35EF"/>
    <w:rsid w:val="00DC3649"/>
    <w:rsid w:val="00DC3C98"/>
    <w:rsid w:val="00DC4069"/>
    <w:rsid w:val="00DC4302"/>
    <w:rsid w:val="00DC4520"/>
    <w:rsid w:val="00DC4622"/>
    <w:rsid w:val="00DC47F9"/>
    <w:rsid w:val="00DC4B0A"/>
    <w:rsid w:val="00DC4C1B"/>
    <w:rsid w:val="00DC52F9"/>
    <w:rsid w:val="00DC5382"/>
    <w:rsid w:val="00DC5424"/>
    <w:rsid w:val="00DC5512"/>
    <w:rsid w:val="00DC562D"/>
    <w:rsid w:val="00DC570E"/>
    <w:rsid w:val="00DC5723"/>
    <w:rsid w:val="00DC590C"/>
    <w:rsid w:val="00DC597B"/>
    <w:rsid w:val="00DC5CF4"/>
    <w:rsid w:val="00DC5DAF"/>
    <w:rsid w:val="00DC5FED"/>
    <w:rsid w:val="00DC60D4"/>
    <w:rsid w:val="00DC60E8"/>
    <w:rsid w:val="00DC61DC"/>
    <w:rsid w:val="00DC6740"/>
    <w:rsid w:val="00DC6C2F"/>
    <w:rsid w:val="00DC6D15"/>
    <w:rsid w:val="00DC6E37"/>
    <w:rsid w:val="00DC6E4E"/>
    <w:rsid w:val="00DC6E78"/>
    <w:rsid w:val="00DC72D3"/>
    <w:rsid w:val="00DC7316"/>
    <w:rsid w:val="00DC735C"/>
    <w:rsid w:val="00DC75B0"/>
    <w:rsid w:val="00DC78B0"/>
    <w:rsid w:val="00DC78D5"/>
    <w:rsid w:val="00DC7B44"/>
    <w:rsid w:val="00DD0016"/>
    <w:rsid w:val="00DD005A"/>
    <w:rsid w:val="00DD0322"/>
    <w:rsid w:val="00DD03B1"/>
    <w:rsid w:val="00DD0450"/>
    <w:rsid w:val="00DD04BB"/>
    <w:rsid w:val="00DD086B"/>
    <w:rsid w:val="00DD0BC9"/>
    <w:rsid w:val="00DD0BE7"/>
    <w:rsid w:val="00DD1133"/>
    <w:rsid w:val="00DD11B0"/>
    <w:rsid w:val="00DD12D4"/>
    <w:rsid w:val="00DD133B"/>
    <w:rsid w:val="00DD13DC"/>
    <w:rsid w:val="00DD1889"/>
    <w:rsid w:val="00DD1A8D"/>
    <w:rsid w:val="00DD1AA4"/>
    <w:rsid w:val="00DD1C9C"/>
    <w:rsid w:val="00DD1D16"/>
    <w:rsid w:val="00DD2078"/>
    <w:rsid w:val="00DD22B1"/>
    <w:rsid w:val="00DD25EE"/>
    <w:rsid w:val="00DD2805"/>
    <w:rsid w:val="00DD2826"/>
    <w:rsid w:val="00DD2ADD"/>
    <w:rsid w:val="00DD2CED"/>
    <w:rsid w:val="00DD2FD0"/>
    <w:rsid w:val="00DD30EE"/>
    <w:rsid w:val="00DD3193"/>
    <w:rsid w:val="00DD329C"/>
    <w:rsid w:val="00DD33B0"/>
    <w:rsid w:val="00DD379A"/>
    <w:rsid w:val="00DD3818"/>
    <w:rsid w:val="00DD38A8"/>
    <w:rsid w:val="00DD39C0"/>
    <w:rsid w:val="00DD3DEC"/>
    <w:rsid w:val="00DD4351"/>
    <w:rsid w:val="00DD43CC"/>
    <w:rsid w:val="00DD4513"/>
    <w:rsid w:val="00DD4548"/>
    <w:rsid w:val="00DD4573"/>
    <w:rsid w:val="00DD466F"/>
    <w:rsid w:val="00DD4682"/>
    <w:rsid w:val="00DD4701"/>
    <w:rsid w:val="00DD4EE2"/>
    <w:rsid w:val="00DD53BE"/>
    <w:rsid w:val="00DD58A1"/>
    <w:rsid w:val="00DD58B8"/>
    <w:rsid w:val="00DD5920"/>
    <w:rsid w:val="00DD5BBA"/>
    <w:rsid w:val="00DD5F3E"/>
    <w:rsid w:val="00DD619F"/>
    <w:rsid w:val="00DD622D"/>
    <w:rsid w:val="00DD66BA"/>
    <w:rsid w:val="00DD684A"/>
    <w:rsid w:val="00DD6AE9"/>
    <w:rsid w:val="00DD6B66"/>
    <w:rsid w:val="00DD6BFA"/>
    <w:rsid w:val="00DD6C28"/>
    <w:rsid w:val="00DD6E6C"/>
    <w:rsid w:val="00DD70F0"/>
    <w:rsid w:val="00DD7120"/>
    <w:rsid w:val="00DD7227"/>
    <w:rsid w:val="00DD743F"/>
    <w:rsid w:val="00DD751D"/>
    <w:rsid w:val="00DD7529"/>
    <w:rsid w:val="00DD7722"/>
    <w:rsid w:val="00DD7780"/>
    <w:rsid w:val="00DD7A1A"/>
    <w:rsid w:val="00DD7B85"/>
    <w:rsid w:val="00DD7BBD"/>
    <w:rsid w:val="00DD7FC2"/>
    <w:rsid w:val="00DE0182"/>
    <w:rsid w:val="00DE0234"/>
    <w:rsid w:val="00DE0315"/>
    <w:rsid w:val="00DE03E6"/>
    <w:rsid w:val="00DE0922"/>
    <w:rsid w:val="00DE09FE"/>
    <w:rsid w:val="00DE0BCB"/>
    <w:rsid w:val="00DE0FC6"/>
    <w:rsid w:val="00DE16BF"/>
    <w:rsid w:val="00DE16E0"/>
    <w:rsid w:val="00DE17E1"/>
    <w:rsid w:val="00DE1D6C"/>
    <w:rsid w:val="00DE1D83"/>
    <w:rsid w:val="00DE1DA8"/>
    <w:rsid w:val="00DE1EC1"/>
    <w:rsid w:val="00DE216C"/>
    <w:rsid w:val="00DE2266"/>
    <w:rsid w:val="00DE2550"/>
    <w:rsid w:val="00DE25A9"/>
    <w:rsid w:val="00DE2688"/>
    <w:rsid w:val="00DE26C8"/>
    <w:rsid w:val="00DE2990"/>
    <w:rsid w:val="00DE2B60"/>
    <w:rsid w:val="00DE2D7A"/>
    <w:rsid w:val="00DE2F59"/>
    <w:rsid w:val="00DE3235"/>
    <w:rsid w:val="00DE336E"/>
    <w:rsid w:val="00DE3486"/>
    <w:rsid w:val="00DE38CF"/>
    <w:rsid w:val="00DE38E1"/>
    <w:rsid w:val="00DE3B02"/>
    <w:rsid w:val="00DE3D51"/>
    <w:rsid w:val="00DE3D8A"/>
    <w:rsid w:val="00DE3F06"/>
    <w:rsid w:val="00DE42F5"/>
    <w:rsid w:val="00DE48DE"/>
    <w:rsid w:val="00DE4B0B"/>
    <w:rsid w:val="00DE4D1B"/>
    <w:rsid w:val="00DE5107"/>
    <w:rsid w:val="00DE522B"/>
    <w:rsid w:val="00DE5373"/>
    <w:rsid w:val="00DE537A"/>
    <w:rsid w:val="00DE5471"/>
    <w:rsid w:val="00DE54BF"/>
    <w:rsid w:val="00DE5562"/>
    <w:rsid w:val="00DE5BDD"/>
    <w:rsid w:val="00DE5D1C"/>
    <w:rsid w:val="00DE630F"/>
    <w:rsid w:val="00DE6407"/>
    <w:rsid w:val="00DE64A9"/>
    <w:rsid w:val="00DE67BC"/>
    <w:rsid w:val="00DE67CF"/>
    <w:rsid w:val="00DE6AA6"/>
    <w:rsid w:val="00DE6E32"/>
    <w:rsid w:val="00DE6FDD"/>
    <w:rsid w:val="00DE7317"/>
    <w:rsid w:val="00DE737E"/>
    <w:rsid w:val="00DE74FF"/>
    <w:rsid w:val="00DE7760"/>
    <w:rsid w:val="00DE7771"/>
    <w:rsid w:val="00DE7788"/>
    <w:rsid w:val="00DE78AC"/>
    <w:rsid w:val="00DE790E"/>
    <w:rsid w:val="00DE79A2"/>
    <w:rsid w:val="00DE7A0F"/>
    <w:rsid w:val="00DE7A46"/>
    <w:rsid w:val="00DE7A73"/>
    <w:rsid w:val="00DE7DB5"/>
    <w:rsid w:val="00DE7FFA"/>
    <w:rsid w:val="00DF0031"/>
    <w:rsid w:val="00DF0045"/>
    <w:rsid w:val="00DF011E"/>
    <w:rsid w:val="00DF03C5"/>
    <w:rsid w:val="00DF0412"/>
    <w:rsid w:val="00DF0420"/>
    <w:rsid w:val="00DF05C8"/>
    <w:rsid w:val="00DF09B3"/>
    <w:rsid w:val="00DF0C8B"/>
    <w:rsid w:val="00DF0CB4"/>
    <w:rsid w:val="00DF0D11"/>
    <w:rsid w:val="00DF0D8E"/>
    <w:rsid w:val="00DF0E18"/>
    <w:rsid w:val="00DF1444"/>
    <w:rsid w:val="00DF1494"/>
    <w:rsid w:val="00DF154B"/>
    <w:rsid w:val="00DF1555"/>
    <w:rsid w:val="00DF15A5"/>
    <w:rsid w:val="00DF1757"/>
    <w:rsid w:val="00DF1786"/>
    <w:rsid w:val="00DF18BC"/>
    <w:rsid w:val="00DF190E"/>
    <w:rsid w:val="00DF1B3B"/>
    <w:rsid w:val="00DF2449"/>
    <w:rsid w:val="00DF25A5"/>
    <w:rsid w:val="00DF26C8"/>
    <w:rsid w:val="00DF2751"/>
    <w:rsid w:val="00DF280E"/>
    <w:rsid w:val="00DF28C2"/>
    <w:rsid w:val="00DF28F7"/>
    <w:rsid w:val="00DF2A3A"/>
    <w:rsid w:val="00DF2B2D"/>
    <w:rsid w:val="00DF2BDD"/>
    <w:rsid w:val="00DF2C29"/>
    <w:rsid w:val="00DF2CC9"/>
    <w:rsid w:val="00DF2D6A"/>
    <w:rsid w:val="00DF2F3A"/>
    <w:rsid w:val="00DF3154"/>
    <w:rsid w:val="00DF38CE"/>
    <w:rsid w:val="00DF38D0"/>
    <w:rsid w:val="00DF3A62"/>
    <w:rsid w:val="00DF3C15"/>
    <w:rsid w:val="00DF3D0C"/>
    <w:rsid w:val="00DF3D4B"/>
    <w:rsid w:val="00DF448B"/>
    <w:rsid w:val="00DF45D1"/>
    <w:rsid w:val="00DF4769"/>
    <w:rsid w:val="00DF497B"/>
    <w:rsid w:val="00DF4A58"/>
    <w:rsid w:val="00DF4E58"/>
    <w:rsid w:val="00DF519B"/>
    <w:rsid w:val="00DF5375"/>
    <w:rsid w:val="00DF5382"/>
    <w:rsid w:val="00DF54D7"/>
    <w:rsid w:val="00DF5502"/>
    <w:rsid w:val="00DF562F"/>
    <w:rsid w:val="00DF56C8"/>
    <w:rsid w:val="00DF5808"/>
    <w:rsid w:val="00DF589E"/>
    <w:rsid w:val="00DF5A39"/>
    <w:rsid w:val="00DF60FE"/>
    <w:rsid w:val="00DF618D"/>
    <w:rsid w:val="00DF6254"/>
    <w:rsid w:val="00DF6294"/>
    <w:rsid w:val="00DF651C"/>
    <w:rsid w:val="00DF6A6E"/>
    <w:rsid w:val="00DF6D90"/>
    <w:rsid w:val="00DF7197"/>
    <w:rsid w:val="00DF726C"/>
    <w:rsid w:val="00DF7584"/>
    <w:rsid w:val="00DF75E2"/>
    <w:rsid w:val="00DF7610"/>
    <w:rsid w:val="00DF7866"/>
    <w:rsid w:val="00DF787B"/>
    <w:rsid w:val="00DF78AC"/>
    <w:rsid w:val="00DF7947"/>
    <w:rsid w:val="00DF7C74"/>
    <w:rsid w:val="00DF7CFD"/>
    <w:rsid w:val="00E0011D"/>
    <w:rsid w:val="00E001A2"/>
    <w:rsid w:val="00E004C8"/>
    <w:rsid w:val="00E004F3"/>
    <w:rsid w:val="00E0051A"/>
    <w:rsid w:val="00E007C8"/>
    <w:rsid w:val="00E007FF"/>
    <w:rsid w:val="00E00A84"/>
    <w:rsid w:val="00E00B10"/>
    <w:rsid w:val="00E00BAA"/>
    <w:rsid w:val="00E00F26"/>
    <w:rsid w:val="00E0104B"/>
    <w:rsid w:val="00E01126"/>
    <w:rsid w:val="00E012C7"/>
    <w:rsid w:val="00E012D1"/>
    <w:rsid w:val="00E0145E"/>
    <w:rsid w:val="00E0145F"/>
    <w:rsid w:val="00E014ED"/>
    <w:rsid w:val="00E0158B"/>
    <w:rsid w:val="00E01604"/>
    <w:rsid w:val="00E0173C"/>
    <w:rsid w:val="00E019C4"/>
    <w:rsid w:val="00E01BFC"/>
    <w:rsid w:val="00E01ECC"/>
    <w:rsid w:val="00E020DC"/>
    <w:rsid w:val="00E02196"/>
    <w:rsid w:val="00E028FA"/>
    <w:rsid w:val="00E02AAE"/>
    <w:rsid w:val="00E02B03"/>
    <w:rsid w:val="00E02C2A"/>
    <w:rsid w:val="00E02FAC"/>
    <w:rsid w:val="00E03036"/>
    <w:rsid w:val="00E032BF"/>
    <w:rsid w:val="00E035CB"/>
    <w:rsid w:val="00E035E4"/>
    <w:rsid w:val="00E03667"/>
    <w:rsid w:val="00E03765"/>
    <w:rsid w:val="00E038FE"/>
    <w:rsid w:val="00E03A56"/>
    <w:rsid w:val="00E03B5F"/>
    <w:rsid w:val="00E03C26"/>
    <w:rsid w:val="00E03D42"/>
    <w:rsid w:val="00E03F6B"/>
    <w:rsid w:val="00E040CC"/>
    <w:rsid w:val="00E040FC"/>
    <w:rsid w:val="00E043FE"/>
    <w:rsid w:val="00E0459B"/>
    <w:rsid w:val="00E04692"/>
    <w:rsid w:val="00E04784"/>
    <w:rsid w:val="00E04873"/>
    <w:rsid w:val="00E04876"/>
    <w:rsid w:val="00E048F0"/>
    <w:rsid w:val="00E04A91"/>
    <w:rsid w:val="00E04B7E"/>
    <w:rsid w:val="00E04DE4"/>
    <w:rsid w:val="00E04EB9"/>
    <w:rsid w:val="00E04FF5"/>
    <w:rsid w:val="00E053DE"/>
    <w:rsid w:val="00E05560"/>
    <w:rsid w:val="00E056EC"/>
    <w:rsid w:val="00E05AC7"/>
    <w:rsid w:val="00E05B18"/>
    <w:rsid w:val="00E05B75"/>
    <w:rsid w:val="00E05C5A"/>
    <w:rsid w:val="00E05CB9"/>
    <w:rsid w:val="00E05D1E"/>
    <w:rsid w:val="00E06279"/>
    <w:rsid w:val="00E062A3"/>
    <w:rsid w:val="00E06341"/>
    <w:rsid w:val="00E063BB"/>
    <w:rsid w:val="00E064A0"/>
    <w:rsid w:val="00E064F4"/>
    <w:rsid w:val="00E0670E"/>
    <w:rsid w:val="00E06740"/>
    <w:rsid w:val="00E0690D"/>
    <w:rsid w:val="00E06B57"/>
    <w:rsid w:val="00E06C6B"/>
    <w:rsid w:val="00E06D47"/>
    <w:rsid w:val="00E06F58"/>
    <w:rsid w:val="00E071F6"/>
    <w:rsid w:val="00E072BD"/>
    <w:rsid w:val="00E0732D"/>
    <w:rsid w:val="00E07400"/>
    <w:rsid w:val="00E07794"/>
    <w:rsid w:val="00E0779E"/>
    <w:rsid w:val="00E077A5"/>
    <w:rsid w:val="00E07907"/>
    <w:rsid w:val="00E079E6"/>
    <w:rsid w:val="00E07B6E"/>
    <w:rsid w:val="00E07C11"/>
    <w:rsid w:val="00E07CAF"/>
    <w:rsid w:val="00E102AC"/>
    <w:rsid w:val="00E1035A"/>
    <w:rsid w:val="00E10547"/>
    <w:rsid w:val="00E10644"/>
    <w:rsid w:val="00E10685"/>
    <w:rsid w:val="00E10945"/>
    <w:rsid w:val="00E10989"/>
    <w:rsid w:val="00E109AD"/>
    <w:rsid w:val="00E10A45"/>
    <w:rsid w:val="00E10BB1"/>
    <w:rsid w:val="00E10BE9"/>
    <w:rsid w:val="00E10C89"/>
    <w:rsid w:val="00E10CBA"/>
    <w:rsid w:val="00E10CDA"/>
    <w:rsid w:val="00E10E9C"/>
    <w:rsid w:val="00E10FD5"/>
    <w:rsid w:val="00E110BE"/>
    <w:rsid w:val="00E11322"/>
    <w:rsid w:val="00E114DA"/>
    <w:rsid w:val="00E114FA"/>
    <w:rsid w:val="00E1152F"/>
    <w:rsid w:val="00E1154A"/>
    <w:rsid w:val="00E115D4"/>
    <w:rsid w:val="00E116E1"/>
    <w:rsid w:val="00E11879"/>
    <w:rsid w:val="00E11BFD"/>
    <w:rsid w:val="00E11CD1"/>
    <w:rsid w:val="00E11D88"/>
    <w:rsid w:val="00E11E15"/>
    <w:rsid w:val="00E11FA1"/>
    <w:rsid w:val="00E12066"/>
    <w:rsid w:val="00E12096"/>
    <w:rsid w:val="00E12613"/>
    <w:rsid w:val="00E12769"/>
    <w:rsid w:val="00E12835"/>
    <w:rsid w:val="00E1294A"/>
    <w:rsid w:val="00E12B00"/>
    <w:rsid w:val="00E12BFA"/>
    <w:rsid w:val="00E12C0D"/>
    <w:rsid w:val="00E12D44"/>
    <w:rsid w:val="00E12E60"/>
    <w:rsid w:val="00E12F74"/>
    <w:rsid w:val="00E13006"/>
    <w:rsid w:val="00E1303E"/>
    <w:rsid w:val="00E13082"/>
    <w:rsid w:val="00E13128"/>
    <w:rsid w:val="00E1314A"/>
    <w:rsid w:val="00E1330B"/>
    <w:rsid w:val="00E134BE"/>
    <w:rsid w:val="00E1381E"/>
    <w:rsid w:val="00E138F1"/>
    <w:rsid w:val="00E139A0"/>
    <w:rsid w:val="00E13A17"/>
    <w:rsid w:val="00E13A1A"/>
    <w:rsid w:val="00E13B6B"/>
    <w:rsid w:val="00E13D1B"/>
    <w:rsid w:val="00E13D66"/>
    <w:rsid w:val="00E13FF6"/>
    <w:rsid w:val="00E14435"/>
    <w:rsid w:val="00E14499"/>
    <w:rsid w:val="00E14897"/>
    <w:rsid w:val="00E14A17"/>
    <w:rsid w:val="00E14A90"/>
    <w:rsid w:val="00E14C87"/>
    <w:rsid w:val="00E14EC1"/>
    <w:rsid w:val="00E15112"/>
    <w:rsid w:val="00E15244"/>
    <w:rsid w:val="00E15501"/>
    <w:rsid w:val="00E15791"/>
    <w:rsid w:val="00E15A5E"/>
    <w:rsid w:val="00E16118"/>
    <w:rsid w:val="00E1666A"/>
    <w:rsid w:val="00E16B98"/>
    <w:rsid w:val="00E16E45"/>
    <w:rsid w:val="00E172B0"/>
    <w:rsid w:val="00E17437"/>
    <w:rsid w:val="00E17641"/>
    <w:rsid w:val="00E17682"/>
    <w:rsid w:val="00E17A45"/>
    <w:rsid w:val="00E17A8F"/>
    <w:rsid w:val="00E17ACF"/>
    <w:rsid w:val="00E17B6F"/>
    <w:rsid w:val="00E17E9F"/>
    <w:rsid w:val="00E17EAA"/>
    <w:rsid w:val="00E20005"/>
    <w:rsid w:val="00E205F1"/>
    <w:rsid w:val="00E2061C"/>
    <w:rsid w:val="00E20706"/>
    <w:rsid w:val="00E20740"/>
    <w:rsid w:val="00E20773"/>
    <w:rsid w:val="00E2080E"/>
    <w:rsid w:val="00E20A10"/>
    <w:rsid w:val="00E20A64"/>
    <w:rsid w:val="00E20BFD"/>
    <w:rsid w:val="00E20C04"/>
    <w:rsid w:val="00E20EAF"/>
    <w:rsid w:val="00E20F87"/>
    <w:rsid w:val="00E21260"/>
    <w:rsid w:val="00E2129F"/>
    <w:rsid w:val="00E212D5"/>
    <w:rsid w:val="00E21479"/>
    <w:rsid w:val="00E21512"/>
    <w:rsid w:val="00E21589"/>
    <w:rsid w:val="00E2158D"/>
    <w:rsid w:val="00E21675"/>
    <w:rsid w:val="00E21885"/>
    <w:rsid w:val="00E219B6"/>
    <w:rsid w:val="00E21AFD"/>
    <w:rsid w:val="00E21B00"/>
    <w:rsid w:val="00E21FB6"/>
    <w:rsid w:val="00E223E8"/>
    <w:rsid w:val="00E2248F"/>
    <w:rsid w:val="00E227B8"/>
    <w:rsid w:val="00E228BA"/>
    <w:rsid w:val="00E22A4B"/>
    <w:rsid w:val="00E22A7D"/>
    <w:rsid w:val="00E22C6A"/>
    <w:rsid w:val="00E22C98"/>
    <w:rsid w:val="00E22CFD"/>
    <w:rsid w:val="00E22D6C"/>
    <w:rsid w:val="00E22DA8"/>
    <w:rsid w:val="00E22E2F"/>
    <w:rsid w:val="00E22E41"/>
    <w:rsid w:val="00E230BF"/>
    <w:rsid w:val="00E2339F"/>
    <w:rsid w:val="00E233C0"/>
    <w:rsid w:val="00E23473"/>
    <w:rsid w:val="00E23495"/>
    <w:rsid w:val="00E2361D"/>
    <w:rsid w:val="00E23713"/>
    <w:rsid w:val="00E2379A"/>
    <w:rsid w:val="00E23D7E"/>
    <w:rsid w:val="00E23E08"/>
    <w:rsid w:val="00E23F6A"/>
    <w:rsid w:val="00E2403D"/>
    <w:rsid w:val="00E2408E"/>
    <w:rsid w:val="00E24117"/>
    <w:rsid w:val="00E2412C"/>
    <w:rsid w:val="00E24143"/>
    <w:rsid w:val="00E24243"/>
    <w:rsid w:val="00E2440C"/>
    <w:rsid w:val="00E24503"/>
    <w:rsid w:val="00E248DB"/>
    <w:rsid w:val="00E24923"/>
    <w:rsid w:val="00E249E5"/>
    <w:rsid w:val="00E24B07"/>
    <w:rsid w:val="00E24B35"/>
    <w:rsid w:val="00E24C2E"/>
    <w:rsid w:val="00E24DBF"/>
    <w:rsid w:val="00E24E2E"/>
    <w:rsid w:val="00E253B0"/>
    <w:rsid w:val="00E253F6"/>
    <w:rsid w:val="00E257CF"/>
    <w:rsid w:val="00E2592A"/>
    <w:rsid w:val="00E25A76"/>
    <w:rsid w:val="00E25D0F"/>
    <w:rsid w:val="00E25EA5"/>
    <w:rsid w:val="00E26205"/>
    <w:rsid w:val="00E264D5"/>
    <w:rsid w:val="00E265AA"/>
    <w:rsid w:val="00E27516"/>
    <w:rsid w:val="00E27648"/>
    <w:rsid w:val="00E27790"/>
    <w:rsid w:val="00E277A6"/>
    <w:rsid w:val="00E278D4"/>
    <w:rsid w:val="00E27AF7"/>
    <w:rsid w:val="00E27BC3"/>
    <w:rsid w:val="00E27D3C"/>
    <w:rsid w:val="00E3029A"/>
    <w:rsid w:val="00E302B8"/>
    <w:rsid w:val="00E30333"/>
    <w:rsid w:val="00E304F4"/>
    <w:rsid w:val="00E30626"/>
    <w:rsid w:val="00E3064F"/>
    <w:rsid w:val="00E3084F"/>
    <w:rsid w:val="00E30D61"/>
    <w:rsid w:val="00E30ED1"/>
    <w:rsid w:val="00E31061"/>
    <w:rsid w:val="00E3107E"/>
    <w:rsid w:val="00E311C4"/>
    <w:rsid w:val="00E312E1"/>
    <w:rsid w:val="00E31323"/>
    <w:rsid w:val="00E31495"/>
    <w:rsid w:val="00E3151B"/>
    <w:rsid w:val="00E315E2"/>
    <w:rsid w:val="00E316B5"/>
    <w:rsid w:val="00E318AF"/>
    <w:rsid w:val="00E31D0F"/>
    <w:rsid w:val="00E31DC3"/>
    <w:rsid w:val="00E32221"/>
    <w:rsid w:val="00E3274D"/>
    <w:rsid w:val="00E32769"/>
    <w:rsid w:val="00E327AE"/>
    <w:rsid w:val="00E328D8"/>
    <w:rsid w:val="00E32933"/>
    <w:rsid w:val="00E32A23"/>
    <w:rsid w:val="00E32C87"/>
    <w:rsid w:val="00E32C95"/>
    <w:rsid w:val="00E330BB"/>
    <w:rsid w:val="00E332D1"/>
    <w:rsid w:val="00E335C3"/>
    <w:rsid w:val="00E335D3"/>
    <w:rsid w:val="00E335EE"/>
    <w:rsid w:val="00E33638"/>
    <w:rsid w:val="00E3374C"/>
    <w:rsid w:val="00E33991"/>
    <w:rsid w:val="00E33B93"/>
    <w:rsid w:val="00E33D11"/>
    <w:rsid w:val="00E33D6B"/>
    <w:rsid w:val="00E3417C"/>
    <w:rsid w:val="00E341B7"/>
    <w:rsid w:val="00E341C8"/>
    <w:rsid w:val="00E34256"/>
    <w:rsid w:val="00E3436D"/>
    <w:rsid w:val="00E34554"/>
    <w:rsid w:val="00E34616"/>
    <w:rsid w:val="00E3499E"/>
    <w:rsid w:val="00E349ED"/>
    <w:rsid w:val="00E34A0F"/>
    <w:rsid w:val="00E34ACF"/>
    <w:rsid w:val="00E34BE6"/>
    <w:rsid w:val="00E34D54"/>
    <w:rsid w:val="00E34E0F"/>
    <w:rsid w:val="00E34E15"/>
    <w:rsid w:val="00E35180"/>
    <w:rsid w:val="00E352FC"/>
    <w:rsid w:val="00E35377"/>
    <w:rsid w:val="00E355A9"/>
    <w:rsid w:val="00E35736"/>
    <w:rsid w:val="00E35796"/>
    <w:rsid w:val="00E35BA5"/>
    <w:rsid w:val="00E35D4C"/>
    <w:rsid w:val="00E35E0C"/>
    <w:rsid w:val="00E35ED0"/>
    <w:rsid w:val="00E36178"/>
    <w:rsid w:val="00E361F1"/>
    <w:rsid w:val="00E3620A"/>
    <w:rsid w:val="00E36392"/>
    <w:rsid w:val="00E363A6"/>
    <w:rsid w:val="00E3667F"/>
    <w:rsid w:val="00E366A2"/>
    <w:rsid w:val="00E366EB"/>
    <w:rsid w:val="00E367FF"/>
    <w:rsid w:val="00E368ED"/>
    <w:rsid w:val="00E36BA3"/>
    <w:rsid w:val="00E36D51"/>
    <w:rsid w:val="00E36FDC"/>
    <w:rsid w:val="00E36FED"/>
    <w:rsid w:val="00E37078"/>
    <w:rsid w:val="00E3733A"/>
    <w:rsid w:val="00E3736E"/>
    <w:rsid w:val="00E3763A"/>
    <w:rsid w:val="00E376C6"/>
    <w:rsid w:val="00E378A7"/>
    <w:rsid w:val="00E378BB"/>
    <w:rsid w:val="00E37E81"/>
    <w:rsid w:val="00E40087"/>
    <w:rsid w:val="00E40095"/>
    <w:rsid w:val="00E40170"/>
    <w:rsid w:val="00E403C8"/>
    <w:rsid w:val="00E4068A"/>
    <w:rsid w:val="00E407C3"/>
    <w:rsid w:val="00E4092E"/>
    <w:rsid w:val="00E40B38"/>
    <w:rsid w:val="00E40CFA"/>
    <w:rsid w:val="00E40FA1"/>
    <w:rsid w:val="00E41263"/>
    <w:rsid w:val="00E41501"/>
    <w:rsid w:val="00E4161B"/>
    <w:rsid w:val="00E41C24"/>
    <w:rsid w:val="00E41CB0"/>
    <w:rsid w:val="00E41CF6"/>
    <w:rsid w:val="00E42199"/>
    <w:rsid w:val="00E421EF"/>
    <w:rsid w:val="00E42259"/>
    <w:rsid w:val="00E423D1"/>
    <w:rsid w:val="00E4266D"/>
    <w:rsid w:val="00E4267D"/>
    <w:rsid w:val="00E4269A"/>
    <w:rsid w:val="00E4280D"/>
    <w:rsid w:val="00E42C89"/>
    <w:rsid w:val="00E43137"/>
    <w:rsid w:val="00E433B9"/>
    <w:rsid w:val="00E4359B"/>
    <w:rsid w:val="00E43900"/>
    <w:rsid w:val="00E43A54"/>
    <w:rsid w:val="00E43AD3"/>
    <w:rsid w:val="00E43AD8"/>
    <w:rsid w:val="00E43CA3"/>
    <w:rsid w:val="00E43D9D"/>
    <w:rsid w:val="00E43F98"/>
    <w:rsid w:val="00E440ED"/>
    <w:rsid w:val="00E443A5"/>
    <w:rsid w:val="00E4442C"/>
    <w:rsid w:val="00E445D3"/>
    <w:rsid w:val="00E446DC"/>
    <w:rsid w:val="00E446FC"/>
    <w:rsid w:val="00E4480F"/>
    <w:rsid w:val="00E4491E"/>
    <w:rsid w:val="00E4495F"/>
    <w:rsid w:val="00E44D3A"/>
    <w:rsid w:val="00E44DA5"/>
    <w:rsid w:val="00E44F15"/>
    <w:rsid w:val="00E450D1"/>
    <w:rsid w:val="00E450DB"/>
    <w:rsid w:val="00E4513C"/>
    <w:rsid w:val="00E45197"/>
    <w:rsid w:val="00E4548D"/>
    <w:rsid w:val="00E45620"/>
    <w:rsid w:val="00E457CA"/>
    <w:rsid w:val="00E45D9E"/>
    <w:rsid w:val="00E45EA2"/>
    <w:rsid w:val="00E45F2B"/>
    <w:rsid w:val="00E45F89"/>
    <w:rsid w:val="00E4603D"/>
    <w:rsid w:val="00E46128"/>
    <w:rsid w:val="00E463C3"/>
    <w:rsid w:val="00E4646A"/>
    <w:rsid w:val="00E4657F"/>
    <w:rsid w:val="00E466BA"/>
    <w:rsid w:val="00E466DE"/>
    <w:rsid w:val="00E4670B"/>
    <w:rsid w:val="00E46799"/>
    <w:rsid w:val="00E470FA"/>
    <w:rsid w:val="00E47219"/>
    <w:rsid w:val="00E475B4"/>
    <w:rsid w:val="00E47641"/>
    <w:rsid w:val="00E478FE"/>
    <w:rsid w:val="00E47BEB"/>
    <w:rsid w:val="00E5007C"/>
    <w:rsid w:val="00E500FB"/>
    <w:rsid w:val="00E501F3"/>
    <w:rsid w:val="00E50447"/>
    <w:rsid w:val="00E505BD"/>
    <w:rsid w:val="00E505E0"/>
    <w:rsid w:val="00E505F6"/>
    <w:rsid w:val="00E50628"/>
    <w:rsid w:val="00E50986"/>
    <w:rsid w:val="00E50996"/>
    <w:rsid w:val="00E50B08"/>
    <w:rsid w:val="00E50C9D"/>
    <w:rsid w:val="00E50D06"/>
    <w:rsid w:val="00E50EC7"/>
    <w:rsid w:val="00E51259"/>
    <w:rsid w:val="00E51402"/>
    <w:rsid w:val="00E51F52"/>
    <w:rsid w:val="00E52053"/>
    <w:rsid w:val="00E52128"/>
    <w:rsid w:val="00E5220B"/>
    <w:rsid w:val="00E5289D"/>
    <w:rsid w:val="00E529D1"/>
    <w:rsid w:val="00E52C3E"/>
    <w:rsid w:val="00E52C83"/>
    <w:rsid w:val="00E52CB8"/>
    <w:rsid w:val="00E52D7A"/>
    <w:rsid w:val="00E530A6"/>
    <w:rsid w:val="00E530C8"/>
    <w:rsid w:val="00E53289"/>
    <w:rsid w:val="00E5329A"/>
    <w:rsid w:val="00E532CA"/>
    <w:rsid w:val="00E5346C"/>
    <w:rsid w:val="00E53488"/>
    <w:rsid w:val="00E537DB"/>
    <w:rsid w:val="00E5389D"/>
    <w:rsid w:val="00E53A1C"/>
    <w:rsid w:val="00E53CEF"/>
    <w:rsid w:val="00E53E59"/>
    <w:rsid w:val="00E53EAE"/>
    <w:rsid w:val="00E5447C"/>
    <w:rsid w:val="00E54526"/>
    <w:rsid w:val="00E546EC"/>
    <w:rsid w:val="00E546F4"/>
    <w:rsid w:val="00E547BE"/>
    <w:rsid w:val="00E5508E"/>
    <w:rsid w:val="00E55116"/>
    <w:rsid w:val="00E551A8"/>
    <w:rsid w:val="00E552EB"/>
    <w:rsid w:val="00E5568F"/>
    <w:rsid w:val="00E55690"/>
    <w:rsid w:val="00E556C5"/>
    <w:rsid w:val="00E55805"/>
    <w:rsid w:val="00E5598C"/>
    <w:rsid w:val="00E55BFB"/>
    <w:rsid w:val="00E55C53"/>
    <w:rsid w:val="00E55FA7"/>
    <w:rsid w:val="00E5600B"/>
    <w:rsid w:val="00E56055"/>
    <w:rsid w:val="00E560A8"/>
    <w:rsid w:val="00E561C8"/>
    <w:rsid w:val="00E563D1"/>
    <w:rsid w:val="00E56440"/>
    <w:rsid w:val="00E564A0"/>
    <w:rsid w:val="00E56B78"/>
    <w:rsid w:val="00E56B7F"/>
    <w:rsid w:val="00E56B93"/>
    <w:rsid w:val="00E56E0E"/>
    <w:rsid w:val="00E56E77"/>
    <w:rsid w:val="00E57428"/>
    <w:rsid w:val="00E5797E"/>
    <w:rsid w:val="00E57A6E"/>
    <w:rsid w:val="00E57B0C"/>
    <w:rsid w:val="00E57BE6"/>
    <w:rsid w:val="00E57BE9"/>
    <w:rsid w:val="00E57FAB"/>
    <w:rsid w:val="00E60396"/>
    <w:rsid w:val="00E6056D"/>
    <w:rsid w:val="00E60638"/>
    <w:rsid w:val="00E60694"/>
    <w:rsid w:val="00E608AD"/>
    <w:rsid w:val="00E60995"/>
    <w:rsid w:val="00E60E80"/>
    <w:rsid w:val="00E60EB2"/>
    <w:rsid w:val="00E6100A"/>
    <w:rsid w:val="00E6114E"/>
    <w:rsid w:val="00E61161"/>
    <w:rsid w:val="00E6140A"/>
    <w:rsid w:val="00E6166E"/>
    <w:rsid w:val="00E616B1"/>
    <w:rsid w:val="00E618E8"/>
    <w:rsid w:val="00E61A76"/>
    <w:rsid w:val="00E61AAD"/>
    <w:rsid w:val="00E61ACB"/>
    <w:rsid w:val="00E61CED"/>
    <w:rsid w:val="00E62000"/>
    <w:rsid w:val="00E6205E"/>
    <w:rsid w:val="00E62187"/>
    <w:rsid w:val="00E62191"/>
    <w:rsid w:val="00E62331"/>
    <w:rsid w:val="00E625FA"/>
    <w:rsid w:val="00E62606"/>
    <w:rsid w:val="00E62675"/>
    <w:rsid w:val="00E627A8"/>
    <w:rsid w:val="00E627BC"/>
    <w:rsid w:val="00E62B87"/>
    <w:rsid w:val="00E62D27"/>
    <w:rsid w:val="00E62DF8"/>
    <w:rsid w:val="00E62F1C"/>
    <w:rsid w:val="00E63056"/>
    <w:rsid w:val="00E630B1"/>
    <w:rsid w:val="00E63762"/>
    <w:rsid w:val="00E6376D"/>
    <w:rsid w:val="00E63795"/>
    <w:rsid w:val="00E63AB3"/>
    <w:rsid w:val="00E63B32"/>
    <w:rsid w:val="00E63C52"/>
    <w:rsid w:val="00E63C89"/>
    <w:rsid w:val="00E63FB8"/>
    <w:rsid w:val="00E63FC8"/>
    <w:rsid w:val="00E64291"/>
    <w:rsid w:val="00E643CF"/>
    <w:rsid w:val="00E645AB"/>
    <w:rsid w:val="00E6461C"/>
    <w:rsid w:val="00E64A0A"/>
    <w:rsid w:val="00E64CCE"/>
    <w:rsid w:val="00E64D85"/>
    <w:rsid w:val="00E64E31"/>
    <w:rsid w:val="00E64E56"/>
    <w:rsid w:val="00E64F98"/>
    <w:rsid w:val="00E64F9A"/>
    <w:rsid w:val="00E65234"/>
    <w:rsid w:val="00E6527E"/>
    <w:rsid w:val="00E652FE"/>
    <w:rsid w:val="00E653F7"/>
    <w:rsid w:val="00E65468"/>
    <w:rsid w:val="00E655DB"/>
    <w:rsid w:val="00E6592D"/>
    <w:rsid w:val="00E659F8"/>
    <w:rsid w:val="00E65D43"/>
    <w:rsid w:val="00E65D6D"/>
    <w:rsid w:val="00E65E80"/>
    <w:rsid w:val="00E6601B"/>
    <w:rsid w:val="00E6610E"/>
    <w:rsid w:val="00E66308"/>
    <w:rsid w:val="00E6638B"/>
    <w:rsid w:val="00E66764"/>
    <w:rsid w:val="00E66788"/>
    <w:rsid w:val="00E66A1C"/>
    <w:rsid w:val="00E66B14"/>
    <w:rsid w:val="00E66B79"/>
    <w:rsid w:val="00E66C73"/>
    <w:rsid w:val="00E66CE4"/>
    <w:rsid w:val="00E6720E"/>
    <w:rsid w:val="00E672CB"/>
    <w:rsid w:val="00E67A04"/>
    <w:rsid w:val="00E67B04"/>
    <w:rsid w:val="00E67D71"/>
    <w:rsid w:val="00E67D99"/>
    <w:rsid w:val="00E67EF9"/>
    <w:rsid w:val="00E67F59"/>
    <w:rsid w:val="00E67FB6"/>
    <w:rsid w:val="00E70376"/>
    <w:rsid w:val="00E704E6"/>
    <w:rsid w:val="00E70849"/>
    <w:rsid w:val="00E70F29"/>
    <w:rsid w:val="00E70FEA"/>
    <w:rsid w:val="00E71008"/>
    <w:rsid w:val="00E711FA"/>
    <w:rsid w:val="00E71286"/>
    <w:rsid w:val="00E7128B"/>
    <w:rsid w:val="00E712C3"/>
    <w:rsid w:val="00E71657"/>
    <w:rsid w:val="00E71B55"/>
    <w:rsid w:val="00E71C01"/>
    <w:rsid w:val="00E71D2C"/>
    <w:rsid w:val="00E71F40"/>
    <w:rsid w:val="00E71F95"/>
    <w:rsid w:val="00E71F9B"/>
    <w:rsid w:val="00E720A3"/>
    <w:rsid w:val="00E720F4"/>
    <w:rsid w:val="00E721B1"/>
    <w:rsid w:val="00E721B8"/>
    <w:rsid w:val="00E722AD"/>
    <w:rsid w:val="00E7242A"/>
    <w:rsid w:val="00E726CE"/>
    <w:rsid w:val="00E72910"/>
    <w:rsid w:val="00E729AA"/>
    <w:rsid w:val="00E72AD8"/>
    <w:rsid w:val="00E72D9E"/>
    <w:rsid w:val="00E72F8F"/>
    <w:rsid w:val="00E72FF3"/>
    <w:rsid w:val="00E7307A"/>
    <w:rsid w:val="00E7312B"/>
    <w:rsid w:val="00E732A7"/>
    <w:rsid w:val="00E73759"/>
    <w:rsid w:val="00E7376A"/>
    <w:rsid w:val="00E73986"/>
    <w:rsid w:val="00E73B63"/>
    <w:rsid w:val="00E73EDF"/>
    <w:rsid w:val="00E7408E"/>
    <w:rsid w:val="00E74173"/>
    <w:rsid w:val="00E74201"/>
    <w:rsid w:val="00E7452F"/>
    <w:rsid w:val="00E7496C"/>
    <w:rsid w:val="00E749DB"/>
    <w:rsid w:val="00E74A65"/>
    <w:rsid w:val="00E74B25"/>
    <w:rsid w:val="00E74D5A"/>
    <w:rsid w:val="00E752A0"/>
    <w:rsid w:val="00E752FD"/>
    <w:rsid w:val="00E754B1"/>
    <w:rsid w:val="00E75633"/>
    <w:rsid w:val="00E757FD"/>
    <w:rsid w:val="00E75822"/>
    <w:rsid w:val="00E7592E"/>
    <w:rsid w:val="00E75A61"/>
    <w:rsid w:val="00E75E5F"/>
    <w:rsid w:val="00E75E9B"/>
    <w:rsid w:val="00E75FAE"/>
    <w:rsid w:val="00E7606E"/>
    <w:rsid w:val="00E762B4"/>
    <w:rsid w:val="00E76309"/>
    <w:rsid w:val="00E76444"/>
    <w:rsid w:val="00E765DA"/>
    <w:rsid w:val="00E76767"/>
    <w:rsid w:val="00E76A02"/>
    <w:rsid w:val="00E76A6E"/>
    <w:rsid w:val="00E76AD8"/>
    <w:rsid w:val="00E76B5D"/>
    <w:rsid w:val="00E76D4B"/>
    <w:rsid w:val="00E76E16"/>
    <w:rsid w:val="00E77435"/>
    <w:rsid w:val="00E774D6"/>
    <w:rsid w:val="00E776F9"/>
    <w:rsid w:val="00E7782F"/>
    <w:rsid w:val="00E778DB"/>
    <w:rsid w:val="00E77D8A"/>
    <w:rsid w:val="00E80068"/>
    <w:rsid w:val="00E80346"/>
    <w:rsid w:val="00E80686"/>
    <w:rsid w:val="00E80746"/>
    <w:rsid w:val="00E809FA"/>
    <w:rsid w:val="00E80ACD"/>
    <w:rsid w:val="00E80B03"/>
    <w:rsid w:val="00E80CAF"/>
    <w:rsid w:val="00E80D2A"/>
    <w:rsid w:val="00E81062"/>
    <w:rsid w:val="00E81230"/>
    <w:rsid w:val="00E812A8"/>
    <w:rsid w:val="00E81ADB"/>
    <w:rsid w:val="00E81AEC"/>
    <w:rsid w:val="00E81B2A"/>
    <w:rsid w:val="00E81BE3"/>
    <w:rsid w:val="00E81DE9"/>
    <w:rsid w:val="00E821B5"/>
    <w:rsid w:val="00E8221E"/>
    <w:rsid w:val="00E822B8"/>
    <w:rsid w:val="00E82602"/>
    <w:rsid w:val="00E827BF"/>
    <w:rsid w:val="00E82978"/>
    <w:rsid w:val="00E82A4A"/>
    <w:rsid w:val="00E82D21"/>
    <w:rsid w:val="00E82E20"/>
    <w:rsid w:val="00E82EE7"/>
    <w:rsid w:val="00E8324A"/>
    <w:rsid w:val="00E833B5"/>
    <w:rsid w:val="00E8344B"/>
    <w:rsid w:val="00E834B3"/>
    <w:rsid w:val="00E83611"/>
    <w:rsid w:val="00E83880"/>
    <w:rsid w:val="00E83B6E"/>
    <w:rsid w:val="00E83CC3"/>
    <w:rsid w:val="00E83E8D"/>
    <w:rsid w:val="00E84255"/>
    <w:rsid w:val="00E84583"/>
    <w:rsid w:val="00E846EC"/>
    <w:rsid w:val="00E849C2"/>
    <w:rsid w:val="00E84BD5"/>
    <w:rsid w:val="00E84C68"/>
    <w:rsid w:val="00E84DDF"/>
    <w:rsid w:val="00E84FDC"/>
    <w:rsid w:val="00E85436"/>
    <w:rsid w:val="00E85482"/>
    <w:rsid w:val="00E855F2"/>
    <w:rsid w:val="00E85817"/>
    <w:rsid w:val="00E858DF"/>
    <w:rsid w:val="00E858EF"/>
    <w:rsid w:val="00E85D51"/>
    <w:rsid w:val="00E86062"/>
    <w:rsid w:val="00E863D1"/>
    <w:rsid w:val="00E8645E"/>
    <w:rsid w:val="00E86735"/>
    <w:rsid w:val="00E86920"/>
    <w:rsid w:val="00E86A7B"/>
    <w:rsid w:val="00E86AEB"/>
    <w:rsid w:val="00E86D44"/>
    <w:rsid w:val="00E86D58"/>
    <w:rsid w:val="00E86ED2"/>
    <w:rsid w:val="00E86EDF"/>
    <w:rsid w:val="00E87281"/>
    <w:rsid w:val="00E872B6"/>
    <w:rsid w:val="00E875FD"/>
    <w:rsid w:val="00E87CA4"/>
    <w:rsid w:val="00E9001F"/>
    <w:rsid w:val="00E90185"/>
    <w:rsid w:val="00E9032B"/>
    <w:rsid w:val="00E904C7"/>
    <w:rsid w:val="00E907A3"/>
    <w:rsid w:val="00E90805"/>
    <w:rsid w:val="00E90A9F"/>
    <w:rsid w:val="00E90AC1"/>
    <w:rsid w:val="00E90C49"/>
    <w:rsid w:val="00E90DD5"/>
    <w:rsid w:val="00E90EEB"/>
    <w:rsid w:val="00E9102C"/>
    <w:rsid w:val="00E910D6"/>
    <w:rsid w:val="00E9159F"/>
    <w:rsid w:val="00E91BAF"/>
    <w:rsid w:val="00E91E4C"/>
    <w:rsid w:val="00E920AD"/>
    <w:rsid w:val="00E92129"/>
    <w:rsid w:val="00E92239"/>
    <w:rsid w:val="00E92240"/>
    <w:rsid w:val="00E922D1"/>
    <w:rsid w:val="00E922E3"/>
    <w:rsid w:val="00E92334"/>
    <w:rsid w:val="00E92725"/>
    <w:rsid w:val="00E92A9A"/>
    <w:rsid w:val="00E92C18"/>
    <w:rsid w:val="00E92C4D"/>
    <w:rsid w:val="00E92C92"/>
    <w:rsid w:val="00E92D64"/>
    <w:rsid w:val="00E92E27"/>
    <w:rsid w:val="00E92E82"/>
    <w:rsid w:val="00E92E9B"/>
    <w:rsid w:val="00E92F84"/>
    <w:rsid w:val="00E930E1"/>
    <w:rsid w:val="00E931C4"/>
    <w:rsid w:val="00E9343E"/>
    <w:rsid w:val="00E934F2"/>
    <w:rsid w:val="00E93514"/>
    <w:rsid w:val="00E935A6"/>
    <w:rsid w:val="00E936A4"/>
    <w:rsid w:val="00E937E4"/>
    <w:rsid w:val="00E938D7"/>
    <w:rsid w:val="00E93B9A"/>
    <w:rsid w:val="00E93BC2"/>
    <w:rsid w:val="00E94119"/>
    <w:rsid w:val="00E94590"/>
    <w:rsid w:val="00E94A3A"/>
    <w:rsid w:val="00E94C75"/>
    <w:rsid w:val="00E94DA3"/>
    <w:rsid w:val="00E94E64"/>
    <w:rsid w:val="00E95073"/>
    <w:rsid w:val="00E95194"/>
    <w:rsid w:val="00E95260"/>
    <w:rsid w:val="00E954A4"/>
    <w:rsid w:val="00E95607"/>
    <w:rsid w:val="00E95738"/>
    <w:rsid w:val="00E95A47"/>
    <w:rsid w:val="00E95A5E"/>
    <w:rsid w:val="00E95CC2"/>
    <w:rsid w:val="00E95CF6"/>
    <w:rsid w:val="00E95F1B"/>
    <w:rsid w:val="00E9628D"/>
    <w:rsid w:val="00E963C9"/>
    <w:rsid w:val="00E963F3"/>
    <w:rsid w:val="00E9666B"/>
    <w:rsid w:val="00E96C02"/>
    <w:rsid w:val="00E96C0A"/>
    <w:rsid w:val="00E96C68"/>
    <w:rsid w:val="00E96CFF"/>
    <w:rsid w:val="00E96DFF"/>
    <w:rsid w:val="00E96E85"/>
    <w:rsid w:val="00E96FE7"/>
    <w:rsid w:val="00E97345"/>
    <w:rsid w:val="00E973BA"/>
    <w:rsid w:val="00E973FD"/>
    <w:rsid w:val="00E97637"/>
    <w:rsid w:val="00E976A0"/>
    <w:rsid w:val="00E97841"/>
    <w:rsid w:val="00E97874"/>
    <w:rsid w:val="00E97912"/>
    <w:rsid w:val="00E97C49"/>
    <w:rsid w:val="00E97F1A"/>
    <w:rsid w:val="00EA0098"/>
    <w:rsid w:val="00EA0279"/>
    <w:rsid w:val="00EA02CB"/>
    <w:rsid w:val="00EA0390"/>
    <w:rsid w:val="00EA07E9"/>
    <w:rsid w:val="00EA095C"/>
    <w:rsid w:val="00EA0AB4"/>
    <w:rsid w:val="00EA0B75"/>
    <w:rsid w:val="00EA0BBF"/>
    <w:rsid w:val="00EA0D92"/>
    <w:rsid w:val="00EA0F7F"/>
    <w:rsid w:val="00EA1099"/>
    <w:rsid w:val="00EA11BB"/>
    <w:rsid w:val="00EA1255"/>
    <w:rsid w:val="00EA127A"/>
    <w:rsid w:val="00EA1304"/>
    <w:rsid w:val="00EA13E1"/>
    <w:rsid w:val="00EA152E"/>
    <w:rsid w:val="00EA17FC"/>
    <w:rsid w:val="00EA1959"/>
    <w:rsid w:val="00EA1A59"/>
    <w:rsid w:val="00EA1BFD"/>
    <w:rsid w:val="00EA1D5D"/>
    <w:rsid w:val="00EA2367"/>
    <w:rsid w:val="00EA23CD"/>
    <w:rsid w:val="00EA27D8"/>
    <w:rsid w:val="00EA296F"/>
    <w:rsid w:val="00EA2AE5"/>
    <w:rsid w:val="00EA30F2"/>
    <w:rsid w:val="00EA31D1"/>
    <w:rsid w:val="00EA31D7"/>
    <w:rsid w:val="00EA3334"/>
    <w:rsid w:val="00EA3386"/>
    <w:rsid w:val="00EA359C"/>
    <w:rsid w:val="00EA376A"/>
    <w:rsid w:val="00EA37A5"/>
    <w:rsid w:val="00EA3997"/>
    <w:rsid w:val="00EA39D0"/>
    <w:rsid w:val="00EA39EB"/>
    <w:rsid w:val="00EA3C37"/>
    <w:rsid w:val="00EA3C58"/>
    <w:rsid w:val="00EA3C72"/>
    <w:rsid w:val="00EA3FAA"/>
    <w:rsid w:val="00EA43BF"/>
    <w:rsid w:val="00EA44D7"/>
    <w:rsid w:val="00EA4652"/>
    <w:rsid w:val="00EA477E"/>
    <w:rsid w:val="00EA4996"/>
    <w:rsid w:val="00EA4B3C"/>
    <w:rsid w:val="00EA4C78"/>
    <w:rsid w:val="00EA4CE1"/>
    <w:rsid w:val="00EA4DA0"/>
    <w:rsid w:val="00EA5022"/>
    <w:rsid w:val="00EA53FA"/>
    <w:rsid w:val="00EA5433"/>
    <w:rsid w:val="00EA5486"/>
    <w:rsid w:val="00EA54CF"/>
    <w:rsid w:val="00EA5576"/>
    <w:rsid w:val="00EA570F"/>
    <w:rsid w:val="00EA5791"/>
    <w:rsid w:val="00EA585B"/>
    <w:rsid w:val="00EA5A25"/>
    <w:rsid w:val="00EA5CEE"/>
    <w:rsid w:val="00EA5E14"/>
    <w:rsid w:val="00EA5EA5"/>
    <w:rsid w:val="00EA5F9F"/>
    <w:rsid w:val="00EA5FD2"/>
    <w:rsid w:val="00EA60B1"/>
    <w:rsid w:val="00EA619E"/>
    <w:rsid w:val="00EA654A"/>
    <w:rsid w:val="00EA66FB"/>
    <w:rsid w:val="00EA6772"/>
    <w:rsid w:val="00EA699C"/>
    <w:rsid w:val="00EA69B0"/>
    <w:rsid w:val="00EA6B74"/>
    <w:rsid w:val="00EA6CA3"/>
    <w:rsid w:val="00EA6D1F"/>
    <w:rsid w:val="00EA6D65"/>
    <w:rsid w:val="00EA6F15"/>
    <w:rsid w:val="00EA7148"/>
    <w:rsid w:val="00EA760F"/>
    <w:rsid w:val="00EA76C1"/>
    <w:rsid w:val="00EA78C4"/>
    <w:rsid w:val="00EA7988"/>
    <w:rsid w:val="00EA7A02"/>
    <w:rsid w:val="00EA7A2E"/>
    <w:rsid w:val="00EA7C0E"/>
    <w:rsid w:val="00EB00CC"/>
    <w:rsid w:val="00EB00E2"/>
    <w:rsid w:val="00EB0243"/>
    <w:rsid w:val="00EB07EF"/>
    <w:rsid w:val="00EB0880"/>
    <w:rsid w:val="00EB0CEB"/>
    <w:rsid w:val="00EB0D25"/>
    <w:rsid w:val="00EB0DED"/>
    <w:rsid w:val="00EB0EB2"/>
    <w:rsid w:val="00EB0EF4"/>
    <w:rsid w:val="00EB0F24"/>
    <w:rsid w:val="00EB13FF"/>
    <w:rsid w:val="00EB15B5"/>
    <w:rsid w:val="00EB1C35"/>
    <w:rsid w:val="00EB1DB1"/>
    <w:rsid w:val="00EB2160"/>
    <w:rsid w:val="00EB223C"/>
    <w:rsid w:val="00EB2286"/>
    <w:rsid w:val="00EB22D4"/>
    <w:rsid w:val="00EB2343"/>
    <w:rsid w:val="00EB23D7"/>
    <w:rsid w:val="00EB248B"/>
    <w:rsid w:val="00EB24F6"/>
    <w:rsid w:val="00EB2658"/>
    <w:rsid w:val="00EB2B1A"/>
    <w:rsid w:val="00EB2B3E"/>
    <w:rsid w:val="00EB2B61"/>
    <w:rsid w:val="00EB2CDE"/>
    <w:rsid w:val="00EB2E89"/>
    <w:rsid w:val="00EB3082"/>
    <w:rsid w:val="00EB30D2"/>
    <w:rsid w:val="00EB35E3"/>
    <w:rsid w:val="00EB37A7"/>
    <w:rsid w:val="00EB3A35"/>
    <w:rsid w:val="00EB3C33"/>
    <w:rsid w:val="00EB40D4"/>
    <w:rsid w:val="00EB4193"/>
    <w:rsid w:val="00EB48FF"/>
    <w:rsid w:val="00EB4ABE"/>
    <w:rsid w:val="00EB4EB3"/>
    <w:rsid w:val="00EB4ECD"/>
    <w:rsid w:val="00EB4ECF"/>
    <w:rsid w:val="00EB4EDE"/>
    <w:rsid w:val="00EB4F1E"/>
    <w:rsid w:val="00EB4F22"/>
    <w:rsid w:val="00EB5062"/>
    <w:rsid w:val="00EB509C"/>
    <w:rsid w:val="00EB51B3"/>
    <w:rsid w:val="00EB5224"/>
    <w:rsid w:val="00EB547E"/>
    <w:rsid w:val="00EB563E"/>
    <w:rsid w:val="00EB57A6"/>
    <w:rsid w:val="00EB596D"/>
    <w:rsid w:val="00EB5972"/>
    <w:rsid w:val="00EB5A7F"/>
    <w:rsid w:val="00EB5E69"/>
    <w:rsid w:val="00EB5F63"/>
    <w:rsid w:val="00EB625B"/>
    <w:rsid w:val="00EB635C"/>
    <w:rsid w:val="00EB6692"/>
    <w:rsid w:val="00EB695C"/>
    <w:rsid w:val="00EB6D7C"/>
    <w:rsid w:val="00EB719C"/>
    <w:rsid w:val="00EB7642"/>
    <w:rsid w:val="00EB76F7"/>
    <w:rsid w:val="00EB7765"/>
    <w:rsid w:val="00EB78B1"/>
    <w:rsid w:val="00EB7C35"/>
    <w:rsid w:val="00EB7D27"/>
    <w:rsid w:val="00EB7E4E"/>
    <w:rsid w:val="00EB7F79"/>
    <w:rsid w:val="00EC009E"/>
    <w:rsid w:val="00EC02B6"/>
    <w:rsid w:val="00EC036F"/>
    <w:rsid w:val="00EC0518"/>
    <w:rsid w:val="00EC077A"/>
    <w:rsid w:val="00EC079B"/>
    <w:rsid w:val="00EC0989"/>
    <w:rsid w:val="00EC0B83"/>
    <w:rsid w:val="00EC0BCF"/>
    <w:rsid w:val="00EC0BD3"/>
    <w:rsid w:val="00EC0CCD"/>
    <w:rsid w:val="00EC0F6E"/>
    <w:rsid w:val="00EC0F9D"/>
    <w:rsid w:val="00EC10E2"/>
    <w:rsid w:val="00EC13B9"/>
    <w:rsid w:val="00EC13E0"/>
    <w:rsid w:val="00EC141C"/>
    <w:rsid w:val="00EC1588"/>
    <w:rsid w:val="00EC15C8"/>
    <w:rsid w:val="00EC174C"/>
    <w:rsid w:val="00EC1838"/>
    <w:rsid w:val="00EC19A7"/>
    <w:rsid w:val="00EC1F57"/>
    <w:rsid w:val="00EC23C8"/>
    <w:rsid w:val="00EC2417"/>
    <w:rsid w:val="00EC2533"/>
    <w:rsid w:val="00EC28BE"/>
    <w:rsid w:val="00EC28C8"/>
    <w:rsid w:val="00EC2990"/>
    <w:rsid w:val="00EC2E27"/>
    <w:rsid w:val="00EC2F3F"/>
    <w:rsid w:val="00EC30D1"/>
    <w:rsid w:val="00EC30D9"/>
    <w:rsid w:val="00EC3115"/>
    <w:rsid w:val="00EC31A5"/>
    <w:rsid w:val="00EC329C"/>
    <w:rsid w:val="00EC35CA"/>
    <w:rsid w:val="00EC360B"/>
    <w:rsid w:val="00EC365B"/>
    <w:rsid w:val="00EC37A8"/>
    <w:rsid w:val="00EC380B"/>
    <w:rsid w:val="00EC3AAD"/>
    <w:rsid w:val="00EC3D52"/>
    <w:rsid w:val="00EC3EA3"/>
    <w:rsid w:val="00EC40E0"/>
    <w:rsid w:val="00EC413C"/>
    <w:rsid w:val="00EC425D"/>
    <w:rsid w:val="00EC426D"/>
    <w:rsid w:val="00EC451E"/>
    <w:rsid w:val="00EC45CB"/>
    <w:rsid w:val="00EC45DE"/>
    <w:rsid w:val="00EC4600"/>
    <w:rsid w:val="00EC4755"/>
    <w:rsid w:val="00EC4811"/>
    <w:rsid w:val="00EC494C"/>
    <w:rsid w:val="00EC4960"/>
    <w:rsid w:val="00EC4B30"/>
    <w:rsid w:val="00EC4C44"/>
    <w:rsid w:val="00EC4D4C"/>
    <w:rsid w:val="00EC4DF1"/>
    <w:rsid w:val="00EC4E07"/>
    <w:rsid w:val="00EC505D"/>
    <w:rsid w:val="00EC510D"/>
    <w:rsid w:val="00EC53A4"/>
    <w:rsid w:val="00EC5444"/>
    <w:rsid w:val="00EC5514"/>
    <w:rsid w:val="00EC5594"/>
    <w:rsid w:val="00EC5595"/>
    <w:rsid w:val="00EC5738"/>
    <w:rsid w:val="00EC58BA"/>
    <w:rsid w:val="00EC5907"/>
    <w:rsid w:val="00EC5925"/>
    <w:rsid w:val="00EC5BFC"/>
    <w:rsid w:val="00EC5E71"/>
    <w:rsid w:val="00EC5EBA"/>
    <w:rsid w:val="00EC6179"/>
    <w:rsid w:val="00EC6405"/>
    <w:rsid w:val="00EC65D9"/>
    <w:rsid w:val="00EC6644"/>
    <w:rsid w:val="00EC68CC"/>
    <w:rsid w:val="00EC6A30"/>
    <w:rsid w:val="00EC6D10"/>
    <w:rsid w:val="00EC6F6B"/>
    <w:rsid w:val="00EC7000"/>
    <w:rsid w:val="00EC71F3"/>
    <w:rsid w:val="00EC7236"/>
    <w:rsid w:val="00EC72CE"/>
    <w:rsid w:val="00EC736D"/>
    <w:rsid w:val="00EC7604"/>
    <w:rsid w:val="00EC765B"/>
    <w:rsid w:val="00EC76A9"/>
    <w:rsid w:val="00EC771D"/>
    <w:rsid w:val="00EC77D7"/>
    <w:rsid w:val="00EC780F"/>
    <w:rsid w:val="00EC7833"/>
    <w:rsid w:val="00EC789D"/>
    <w:rsid w:val="00EC7B89"/>
    <w:rsid w:val="00EC7F59"/>
    <w:rsid w:val="00ED03A9"/>
    <w:rsid w:val="00ED0421"/>
    <w:rsid w:val="00ED0490"/>
    <w:rsid w:val="00ED0869"/>
    <w:rsid w:val="00ED0B89"/>
    <w:rsid w:val="00ED0C21"/>
    <w:rsid w:val="00ED0DC9"/>
    <w:rsid w:val="00ED0F0C"/>
    <w:rsid w:val="00ED0F6F"/>
    <w:rsid w:val="00ED101C"/>
    <w:rsid w:val="00ED1150"/>
    <w:rsid w:val="00ED153B"/>
    <w:rsid w:val="00ED1A61"/>
    <w:rsid w:val="00ED1AE5"/>
    <w:rsid w:val="00ED1B0D"/>
    <w:rsid w:val="00ED1E8C"/>
    <w:rsid w:val="00ED1EB4"/>
    <w:rsid w:val="00ED22F5"/>
    <w:rsid w:val="00ED2597"/>
    <w:rsid w:val="00ED26B7"/>
    <w:rsid w:val="00ED28FA"/>
    <w:rsid w:val="00ED292C"/>
    <w:rsid w:val="00ED2C01"/>
    <w:rsid w:val="00ED2CF5"/>
    <w:rsid w:val="00ED2F03"/>
    <w:rsid w:val="00ED2F2A"/>
    <w:rsid w:val="00ED3581"/>
    <w:rsid w:val="00ED394E"/>
    <w:rsid w:val="00ED3AA9"/>
    <w:rsid w:val="00ED3E22"/>
    <w:rsid w:val="00ED3E7E"/>
    <w:rsid w:val="00ED40D7"/>
    <w:rsid w:val="00ED43CB"/>
    <w:rsid w:val="00ED43F3"/>
    <w:rsid w:val="00ED478D"/>
    <w:rsid w:val="00ED48DA"/>
    <w:rsid w:val="00ED4D3B"/>
    <w:rsid w:val="00ED4F96"/>
    <w:rsid w:val="00ED5100"/>
    <w:rsid w:val="00ED5462"/>
    <w:rsid w:val="00ED5521"/>
    <w:rsid w:val="00ED558B"/>
    <w:rsid w:val="00ED5838"/>
    <w:rsid w:val="00ED5B5A"/>
    <w:rsid w:val="00ED5C46"/>
    <w:rsid w:val="00ED5E07"/>
    <w:rsid w:val="00ED5F0D"/>
    <w:rsid w:val="00ED6395"/>
    <w:rsid w:val="00ED64F5"/>
    <w:rsid w:val="00ED6572"/>
    <w:rsid w:val="00ED6778"/>
    <w:rsid w:val="00ED67B3"/>
    <w:rsid w:val="00ED6811"/>
    <w:rsid w:val="00ED6A1E"/>
    <w:rsid w:val="00ED6BD9"/>
    <w:rsid w:val="00ED6D18"/>
    <w:rsid w:val="00ED6E71"/>
    <w:rsid w:val="00ED70C7"/>
    <w:rsid w:val="00ED71E3"/>
    <w:rsid w:val="00ED71F0"/>
    <w:rsid w:val="00ED75FC"/>
    <w:rsid w:val="00ED7839"/>
    <w:rsid w:val="00ED7A02"/>
    <w:rsid w:val="00ED7AD8"/>
    <w:rsid w:val="00ED7C7A"/>
    <w:rsid w:val="00EE009C"/>
    <w:rsid w:val="00EE00EB"/>
    <w:rsid w:val="00EE02FD"/>
    <w:rsid w:val="00EE031F"/>
    <w:rsid w:val="00EE04F3"/>
    <w:rsid w:val="00EE0620"/>
    <w:rsid w:val="00EE0642"/>
    <w:rsid w:val="00EE07E6"/>
    <w:rsid w:val="00EE0911"/>
    <w:rsid w:val="00EE09EF"/>
    <w:rsid w:val="00EE0CFA"/>
    <w:rsid w:val="00EE0E49"/>
    <w:rsid w:val="00EE0EAD"/>
    <w:rsid w:val="00EE0EBF"/>
    <w:rsid w:val="00EE0F59"/>
    <w:rsid w:val="00EE1052"/>
    <w:rsid w:val="00EE129E"/>
    <w:rsid w:val="00EE148A"/>
    <w:rsid w:val="00EE1540"/>
    <w:rsid w:val="00EE15C6"/>
    <w:rsid w:val="00EE162B"/>
    <w:rsid w:val="00EE1C6D"/>
    <w:rsid w:val="00EE1CEF"/>
    <w:rsid w:val="00EE23DC"/>
    <w:rsid w:val="00EE241E"/>
    <w:rsid w:val="00EE26D8"/>
    <w:rsid w:val="00EE2968"/>
    <w:rsid w:val="00EE2CB0"/>
    <w:rsid w:val="00EE2D6D"/>
    <w:rsid w:val="00EE2F5F"/>
    <w:rsid w:val="00EE2F7E"/>
    <w:rsid w:val="00EE31E2"/>
    <w:rsid w:val="00EE365E"/>
    <w:rsid w:val="00EE36F8"/>
    <w:rsid w:val="00EE3A3E"/>
    <w:rsid w:val="00EE3A41"/>
    <w:rsid w:val="00EE3ADD"/>
    <w:rsid w:val="00EE3BA4"/>
    <w:rsid w:val="00EE3D75"/>
    <w:rsid w:val="00EE3EC9"/>
    <w:rsid w:val="00EE3F08"/>
    <w:rsid w:val="00EE3FA1"/>
    <w:rsid w:val="00EE41BE"/>
    <w:rsid w:val="00EE429C"/>
    <w:rsid w:val="00EE4442"/>
    <w:rsid w:val="00EE44AE"/>
    <w:rsid w:val="00EE45C4"/>
    <w:rsid w:val="00EE463F"/>
    <w:rsid w:val="00EE4B97"/>
    <w:rsid w:val="00EE4C2E"/>
    <w:rsid w:val="00EE4DC3"/>
    <w:rsid w:val="00EE500E"/>
    <w:rsid w:val="00EE54EB"/>
    <w:rsid w:val="00EE5694"/>
    <w:rsid w:val="00EE56CD"/>
    <w:rsid w:val="00EE5867"/>
    <w:rsid w:val="00EE6117"/>
    <w:rsid w:val="00EE624E"/>
    <w:rsid w:val="00EE62E1"/>
    <w:rsid w:val="00EE631E"/>
    <w:rsid w:val="00EE6324"/>
    <w:rsid w:val="00EE6463"/>
    <w:rsid w:val="00EE64B4"/>
    <w:rsid w:val="00EE68F6"/>
    <w:rsid w:val="00EE691B"/>
    <w:rsid w:val="00EE6928"/>
    <w:rsid w:val="00EE6A38"/>
    <w:rsid w:val="00EE6CF2"/>
    <w:rsid w:val="00EE7295"/>
    <w:rsid w:val="00EE7309"/>
    <w:rsid w:val="00EE749D"/>
    <w:rsid w:val="00EE7716"/>
    <w:rsid w:val="00EE780F"/>
    <w:rsid w:val="00EE7A28"/>
    <w:rsid w:val="00EE7CCA"/>
    <w:rsid w:val="00EE7D12"/>
    <w:rsid w:val="00EE7E20"/>
    <w:rsid w:val="00EE7EF2"/>
    <w:rsid w:val="00EE7FC2"/>
    <w:rsid w:val="00EF0094"/>
    <w:rsid w:val="00EF0106"/>
    <w:rsid w:val="00EF020E"/>
    <w:rsid w:val="00EF024E"/>
    <w:rsid w:val="00EF03D7"/>
    <w:rsid w:val="00EF0496"/>
    <w:rsid w:val="00EF069F"/>
    <w:rsid w:val="00EF078F"/>
    <w:rsid w:val="00EF07D2"/>
    <w:rsid w:val="00EF08C7"/>
    <w:rsid w:val="00EF0BB4"/>
    <w:rsid w:val="00EF10DB"/>
    <w:rsid w:val="00EF12DB"/>
    <w:rsid w:val="00EF13E1"/>
    <w:rsid w:val="00EF15B2"/>
    <w:rsid w:val="00EF1610"/>
    <w:rsid w:val="00EF19CA"/>
    <w:rsid w:val="00EF19E1"/>
    <w:rsid w:val="00EF1A26"/>
    <w:rsid w:val="00EF1AB3"/>
    <w:rsid w:val="00EF1DD5"/>
    <w:rsid w:val="00EF222D"/>
    <w:rsid w:val="00EF2479"/>
    <w:rsid w:val="00EF25EC"/>
    <w:rsid w:val="00EF291D"/>
    <w:rsid w:val="00EF2A08"/>
    <w:rsid w:val="00EF2DC6"/>
    <w:rsid w:val="00EF2DF4"/>
    <w:rsid w:val="00EF2E5C"/>
    <w:rsid w:val="00EF2EFF"/>
    <w:rsid w:val="00EF3025"/>
    <w:rsid w:val="00EF308B"/>
    <w:rsid w:val="00EF31EF"/>
    <w:rsid w:val="00EF3298"/>
    <w:rsid w:val="00EF32E2"/>
    <w:rsid w:val="00EF3405"/>
    <w:rsid w:val="00EF3548"/>
    <w:rsid w:val="00EF35E1"/>
    <w:rsid w:val="00EF365B"/>
    <w:rsid w:val="00EF371E"/>
    <w:rsid w:val="00EF3AEE"/>
    <w:rsid w:val="00EF3B76"/>
    <w:rsid w:val="00EF3D67"/>
    <w:rsid w:val="00EF3E33"/>
    <w:rsid w:val="00EF40A5"/>
    <w:rsid w:val="00EF4201"/>
    <w:rsid w:val="00EF443D"/>
    <w:rsid w:val="00EF4957"/>
    <w:rsid w:val="00EF4AC0"/>
    <w:rsid w:val="00EF4B9F"/>
    <w:rsid w:val="00EF4DD4"/>
    <w:rsid w:val="00EF4EE1"/>
    <w:rsid w:val="00EF51AD"/>
    <w:rsid w:val="00EF53BE"/>
    <w:rsid w:val="00EF547D"/>
    <w:rsid w:val="00EF54B8"/>
    <w:rsid w:val="00EF56AD"/>
    <w:rsid w:val="00EF5709"/>
    <w:rsid w:val="00EF5784"/>
    <w:rsid w:val="00EF583F"/>
    <w:rsid w:val="00EF5BE8"/>
    <w:rsid w:val="00EF5D50"/>
    <w:rsid w:val="00EF5D88"/>
    <w:rsid w:val="00EF5E77"/>
    <w:rsid w:val="00EF5ED6"/>
    <w:rsid w:val="00EF5EF1"/>
    <w:rsid w:val="00EF5FB8"/>
    <w:rsid w:val="00EF61FD"/>
    <w:rsid w:val="00EF64EC"/>
    <w:rsid w:val="00EF681A"/>
    <w:rsid w:val="00EF6D87"/>
    <w:rsid w:val="00EF6DF8"/>
    <w:rsid w:val="00EF6F15"/>
    <w:rsid w:val="00EF6F79"/>
    <w:rsid w:val="00EF703C"/>
    <w:rsid w:val="00EF719B"/>
    <w:rsid w:val="00EF72B4"/>
    <w:rsid w:val="00EF72DA"/>
    <w:rsid w:val="00EF743A"/>
    <w:rsid w:val="00EF74D0"/>
    <w:rsid w:val="00EF7A53"/>
    <w:rsid w:val="00EF7BE9"/>
    <w:rsid w:val="00EF7E3E"/>
    <w:rsid w:val="00EF7E55"/>
    <w:rsid w:val="00EF7F40"/>
    <w:rsid w:val="00EF7F46"/>
    <w:rsid w:val="00EF7F92"/>
    <w:rsid w:val="00F00134"/>
    <w:rsid w:val="00F00229"/>
    <w:rsid w:val="00F0024B"/>
    <w:rsid w:val="00F005C4"/>
    <w:rsid w:val="00F00901"/>
    <w:rsid w:val="00F009F1"/>
    <w:rsid w:val="00F00C1A"/>
    <w:rsid w:val="00F00C82"/>
    <w:rsid w:val="00F011C5"/>
    <w:rsid w:val="00F01338"/>
    <w:rsid w:val="00F01585"/>
    <w:rsid w:val="00F015CE"/>
    <w:rsid w:val="00F0164F"/>
    <w:rsid w:val="00F016A4"/>
    <w:rsid w:val="00F0189F"/>
    <w:rsid w:val="00F019B5"/>
    <w:rsid w:val="00F01C8F"/>
    <w:rsid w:val="00F01F4D"/>
    <w:rsid w:val="00F01F84"/>
    <w:rsid w:val="00F02010"/>
    <w:rsid w:val="00F021A0"/>
    <w:rsid w:val="00F0228F"/>
    <w:rsid w:val="00F0243E"/>
    <w:rsid w:val="00F024FD"/>
    <w:rsid w:val="00F02532"/>
    <w:rsid w:val="00F025C4"/>
    <w:rsid w:val="00F025ED"/>
    <w:rsid w:val="00F02631"/>
    <w:rsid w:val="00F02855"/>
    <w:rsid w:val="00F02989"/>
    <w:rsid w:val="00F02B4D"/>
    <w:rsid w:val="00F02DFE"/>
    <w:rsid w:val="00F02F9B"/>
    <w:rsid w:val="00F03431"/>
    <w:rsid w:val="00F03629"/>
    <w:rsid w:val="00F03675"/>
    <w:rsid w:val="00F03701"/>
    <w:rsid w:val="00F03720"/>
    <w:rsid w:val="00F03A55"/>
    <w:rsid w:val="00F03D41"/>
    <w:rsid w:val="00F03DF8"/>
    <w:rsid w:val="00F03F51"/>
    <w:rsid w:val="00F03F99"/>
    <w:rsid w:val="00F040F2"/>
    <w:rsid w:val="00F0416E"/>
    <w:rsid w:val="00F041CF"/>
    <w:rsid w:val="00F04278"/>
    <w:rsid w:val="00F04422"/>
    <w:rsid w:val="00F044E2"/>
    <w:rsid w:val="00F046AE"/>
    <w:rsid w:val="00F04E86"/>
    <w:rsid w:val="00F04EDA"/>
    <w:rsid w:val="00F04F52"/>
    <w:rsid w:val="00F052F8"/>
    <w:rsid w:val="00F05300"/>
    <w:rsid w:val="00F05366"/>
    <w:rsid w:val="00F054E1"/>
    <w:rsid w:val="00F0562D"/>
    <w:rsid w:val="00F05829"/>
    <w:rsid w:val="00F05A78"/>
    <w:rsid w:val="00F05D0B"/>
    <w:rsid w:val="00F05D5C"/>
    <w:rsid w:val="00F060E2"/>
    <w:rsid w:val="00F06104"/>
    <w:rsid w:val="00F06160"/>
    <w:rsid w:val="00F061A2"/>
    <w:rsid w:val="00F062B6"/>
    <w:rsid w:val="00F0632F"/>
    <w:rsid w:val="00F06330"/>
    <w:rsid w:val="00F063F2"/>
    <w:rsid w:val="00F0651B"/>
    <w:rsid w:val="00F065AF"/>
    <w:rsid w:val="00F069B0"/>
    <w:rsid w:val="00F069E8"/>
    <w:rsid w:val="00F06A82"/>
    <w:rsid w:val="00F06B50"/>
    <w:rsid w:val="00F06CC7"/>
    <w:rsid w:val="00F06CC9"/>
    <w:rsid w:val="00F06E6D"/>
    <w:rsid w:val="00F06F6A"/>
    <w:rsid w:val="00F070C8"/>
    <w:rsid w:val="00F071B6"/>
    <w:rsid w:val="00F0740E"/>
    <w:rsid w:val="00F0752A"/>
    <w:rsid w:val="00F077F0"/>
    <w:rsid w:val="00F07828"/>
    <w:rsid w:val="00F07CCE"/>
    <w:rsid w:val="00F07DDD"/>
    <w:rsid w:val="00F07ED9"/>
    <w:rsid w:val="00F10005"/>
    <w:rsid w:val="00F101BC"/>
    <w:rsid w:val="00F10305"/>
    <w:rsid w:val="00F10400"/>
    <w:rsid w:val="00F1070B"/>
    <w:rsid w:val="00F10747"/>
    <w:rsid w:val="00F107A8"/>
    <w:rsid w:val="00F107CB"/>
    <w:rsid w:val="00F10862"/>
    <w:rsid w:val="00F10A37"/>
    <w:rsid w:val="00F10C1A"/>
    <w:rsid w:val="00F10C2D"/>
    <w:rsid w:val="00F10D70"/>
    <w:rsid w:val="00F10F6F"/>
    <w:rsid w:val="00F1113D"/>
    <w:rsid w:val="00F1120B"/>
    <w:rsid w:val="00F11516"/>
    <w:rsid w:val="00F1154A"/>
    <w:rsid w:val="00F1166B"/>
    <w:rsid w:val="00F1194A"/>
    <w:rsid w:val="00F11AB7"/>
    <w:rsid w:val="00F11D00"/>
    <w:rsid w:val="00F11EE7"/>
    <w:rsid w:val="00F120F6"/>
    <w:rsid w:val="00F1255D"/>
    <w:rsid w:val="00F125B3"/>
    <w:rsid w:val="00F1290E"/>
    <w:rsid w:val="00F12CA3"/>
    <w:rsid w:val="00F12DE8"/>
    <w:rsid w:val="00F13713"/>
    <w:rsid w:val="00F13962"/>
    <w:rsid w:val="00F13B5E"/>
    <w:rsid w:val="00F13B98"/>
    <w:rsid w:val="00F13DAD"/>
    <w:rsid w:val="00F13E57"/>
    <w:rsid w:val="00F13E6E"/>
    <w:rsid w:val="00F13EE2"/>
    <w:rsid w:val="00F13F42"/>
    <w:rsid w:val="00F13F7D"/>
    <w:rsid w:val="00F14254"/>
    <w:rsid w:val="00F147A6"/>
    <w:rsid w:val="00F14942"/>
    <w:rsid w:val="00F14951"/>
    <w:rsid w:val="00F1495D"/>
    <w:rsid w:val="00F14AD3"/>
    <w:rsid w:val="00F14B14"/>
    <w:rsid w:val="00F14C44"/>
    <w:rsid w:val="00F14E0A"/>
    <w:rsid w:val="00F14E88"/>
    <w:rsid w:val="00F14F5A"/>
    <w:rsid w:val="00F14F9C"/>
    <w:rsid w:val="00F15031"/>
    <w:rsid w:val="00F1556B"/>
    <w:rsid w:val="00F15582"/>
    <w:rsid w:val="00F157AB"/>
    <w:rsid w:val="00F1582E"/>
    <w:rsid w:val="00F1585A"/>
    <w:rsid w:val="00F158FF"/>
    <w:rsid w:val="00F15903"/>
    <w:rsid w:val="00F159B4"/>
    <w:rsid w:val="00F15ACC"/>
    <w:rsid w:val="00F15ACE"/>
    <w:rsid w:val="00F15CD0"/>
    <w:rsid w:val="00F160D8"/>
    <w:rsid w:val="00F160E0"/>
    <w:rsid w:val="00F1637E"/>
    <w:rsid w:val="00F16663"/>
    <w:rsid w:val="00F16696"/>
    <w:rsid w:val="00F16BEF"/>
    <w:rsid w:val="00F16C23"/>
    <w:rsid w:val="00F170A3"/>
    <w:rsid w:val="00F172DC"/>
    <w:rsid w:val="00F17346"/>
    <w:rsid w:val="00F173B5"/>
    <w:rsid w:val="00F177AC"/>
    <w:rsid w:val="00F17895"/>
    <w:rsid w:val="00F179D1"/>
    <w:rsid w:val="00F17AE5"/>
    <w:rsid w:val="00F17B28"/>
    <w:rsid w:val="00F17E59"/>
    <w:rsid w:val="00F200C4"/>
    <w:rsid w:val="00F200E6"/>
    <w:rsid w:val="00F20116"/>
    <w:rsid w:val="00F2038A"/>
    <w:rsid w:val="00F208E0"/>
    <w:rsid w:val="00F20CFD"/>
    <w:rsid w:val="00F20DD2"/>
    <w:rsid w:val="00F20F8B"/>
    <w:rsid w:val="00F20FAA"/>
    <w:rsid w:val="00F2111A"/>
    <w:rsid w:val="00F21313"/>
    <w:rsid w:val="00F21327"/>
    <w:rsid w:val="00F214A6"/>
    <w:rsid w:val="00F214C6"/>
    <w:rsid w:val="00F217B3"/>
    <w:rsid w:val="00F217BB"/>
    <w:rsid w:val="00F217C5"/>
    <w:rsid w:val="00F21940"/>
    <w:rsid w:val="00F2197B"/>
    <w:rsid w:val="00F21A58"/>
    <w:rsid w:val="00F21CF9"/>
    <w:rsid w:val="00F2200F"/>
    <w:rsid w:val="00F22462"/>
    <w:rsid w:val="00F224BF"/>
    <w:rsid w:val="00F224D2"/>
    <w:rsid w:val="00F22739"/>
    <w:rsid w:val="00F227E0"/>
    <w:rsid w:val="00F22B1D"/>
    <w:rsid w:val="00F22B7A"/>
    <w:rsid w:val="00F22BCE"/>
    <w:rsid w:val="00F22FA8"/>
    <w:rsid w:val="00F23036"/>
    <w:rsid w:val="00F23215"/>
    <w:rsid w:val="00F23305"/>
    <w:rsid w:val="00F23528"/>
    <w:rsid w:val="00F237EE"/>
    <w:rsid w:val="00F239C4"/>
    <w:rsid w:val="00F24060"/>
    <w:rsid w:val="00F24268"/>
    <w:rsid w:val="00F2429A"/>
    <w:rsid w:val="00F24444"/>
    <w:rsid w:val="00F2453A"/>
    <w:rsid w:val="00F24671"/>
    <w:rsid w:val="00F24862"/>
    <w:rsid w:val="00F24877"/>
    <w:rsid w:val="00F251BB"/>
    <w:rsid w:val="00F25240"/>
    <w:rsid w:val="00F255D8"/>
    <w:rsid w:val="00F259C2"/>
    <w:rsid w:val="00F25A14"/>
    <w:rsid w:val="00F25D02"/>
    <w:rsid w:val="00F26122"/>
    <w:rsid w:val="00F26782"/>
    <w:rsid w:val="00F26B97"/>
    <w:rsid w:val="00F26DFB"/>
    <w:rsid w:val="00F26E64"/>
    <w:rsid w:val="00F27053"/>
    <w:rsid w:val="00F272A4"/>
    <w:rsid w:val="00F2736F"/>
    <w:rsid w:val="00F274B9"/>
    <w:rsid w:val="00F275C7"/>
    <w:rsid w:val="00F27BE0"/>
    <w:rsid w:val="00F27C5D"/>
    <w:rsid w:val="00F27DA2"/>
    <w:rsid w:val="00F27E48"/>
    <w:rsid w:val="00F3003C"/>
    <w:rsid w:val="00F30148"/>
    <w:rsid w:val="00F3025E"/>
    <w:rsid w:val="00F3034F"/>
    <w:rsid w:val="00F30730"/>
    <w:rsid w:val="00F307DE"/>
    <w:rsid w:val="00F30978"/>
    <w:rsid w:val="00F30E1D"/>
    <w:rsid w:val="00F30EE5"/>
    <w:rsid w:val="00F31011"/>
    <w:rsid w:val="00F31021"/>
    <w:rsid w:val="00F311EF"/>
    <w:rsid w:val="00F3185A"/>
    <w:rsid w:val="00F31CE4"/>
    <w:rsid w:val="00F31FC4"/>
    <w:rsid w:val="00F322D7"/>
    <w:rsid w:val="00F32566"/>
    <w:rsid w:val="00F32829"/>
    <w:rsid w:val="00F329B6"/>
    <w:rsid w:val="00F332D5"/>
    <w:rsid w:val="00F3333D"/>
    <w:rsid w:val="00F335DF"/>
    <w:rsid w:val="00F337AA"/>
    <w:rsid w:val="00F33A46"/>
    <w:rsid w:val="00F33A80"/>
    <w:rsid w:val="00F33C39"/>
    <w:rsid w:val="00F33DDF"/>
    <w:rsid w:val="00F33E71"/>
    <w:rsid w:val="00F340FC"/>
    <w:rsid w:val="00F34484"/>
    <w:rsid w:val="00F345B0"/>
    <w:rsid w:val="00F345B6"/>
    <w:rsid w:val="00F34774"/>
    <w:rsid w:val="00F34804"/>
    <w:rsid w:val="00F34A2F"/>
    <w:rsid w:val="00F34A49"/>
    <w:rsid w:val="00F34E54"/>
    <w:rsid w:val="00F34E5E"/>
    <w:rsid w:val="00F34E9F"/>
    <w:rsid w:val="00F34F16"/>
    <w:rsid w:val="00F3510B"/>
    <w:rsid w:val="00F35222"/>
    <w:rsid w:val="00F352A3"/>
    <w:rsid w:val="00F353F4"/>
    <w:rsid w:val="00F35677"/>
    <w:rsid w:val="00F356E9"/>
    <w:rsid w:val="00F3573D"/>
    <w:rsid w:val="00F3579B"/>
    <w:rsid w:val="00F3587C"/>
    <w:rsid w:val="00F358C6"/>
    <w:rsid w:val="00F359F5"/>
    <w:rsid w:val="00F35A65"/>
    <w:rsid w:val="00F35B30"/>
    <w:rsid w:val="00F35CD6"/>
    <w:rsid w:val="00F35CEA"/>
    <w:rsid w:val="00F35D35"/>
    <w:rsid w:val="00F35F85"/>
    <w:rsid w:val="00F36072"/>
    <w:rsid w:val="00F3628C"/>
    <w:rsid w:val="00F36405"/>
    <w:rsid w:val="00F366C6"/>
    <w:rsid w:val="00F3694F"/>
    <w:rsid w:val="00F36E27"/>
    <w:rsid w:val="00F36F34"/>
    <w:rsid w:val="00F36F36"/>
    <w:rsid w:val="00F36F61"/>
    <w:rsid w:val="00F36FDE"/>
    <w:rsid w:val="00F37167"/>
    <w:rsid w:val="00F37450"/>
    <w:rsid w:val="00F37905"/>
    <w:rsid w:val="00F379AB"/>
    <w:rsid w:val="00F37A28"/>
    <w:rsid w:val="00F37B02"/>
    <w:rsid w:val="00F37B69"/>
    <w:rsid w:val="00F37E31"/>
    <w:rsid w:val="00F40040"/>
    <w:rsid w:val="00F4005A"/>
    <w:rsid w:val="00F4013E"/>
    <w:rsid w:val="00F4021D"/>
    <w:rsid w:val="00F40368"/>
    <w:rsid w:val="00F40409"/>
    <w:rsid w:val="00F405F4"/>
    <w:rsid w:val="00F4061E"/>
    <w:rsid w:val="00F406A7"/>
    <w:rsid w:val="00F40705"/>
    <w:rsid w:val="00F4077E"/>
    <w:rsid w:val="00F40C0F"/>
    <w:rsid w:val="00F40DF1"/>
    <w:rsid w:val="00F40E8A"/>
    <w:rsid w:val="00F40EFB"/>
    <w:rsid w:val="00F4101A"/>
    <w:rsid w:val="00F41026"/>
    <w:rsid w:val="00F4105A"/>
    <w:rsid w:val="00F41125"/>
    <w:rsid w:val="00F4112C"/>
    <w:rsid w:val="00F4192B"/>
    <w:rsid w:val="00F41D40"/>
    <w:rsid w:val="00F421A5"/>
    <w:rsid w:val="00F422EF"/>
    <w:rsid w:val="00F42478"/>
    <w:rsid w:val="00F428A6"/>
    <w:rsid w:val="00F429F1"/>
    <w:rsid w:val="00F429F8"/>
    <w:rsid w:val="00F42AD5"/>
    <w:rsid w:val="00F42FA1"/>
    <w:rsid w:val="00F4312F"/>
    <w:rsid w:val="00F4319C"/>
    <w:rsid w:val="00F43459"/>
    <w:rsid w:val="00F43474"/>
    <w:rsid w:val="00F43569"/>
    <w:rsid w:val="00F4358A"/>
    <w:rsid w:val="00F4381F"/>
    <w:rsid w:val="00F43A4A"/>
    <w:rsid w:val="00F43B2F"/>
    <w:rsid w:val="00F44170"/>
    <w:rsid w:val="00F4443B"/>
    <w:rsid w:val="00F444C0"/>
    <w:rsid w:val="00F4470C"/>
    <w:rsid w:val="00F448BF"/>
    <w:rsid w:val="00F449B0"/>
    <w:rsid w:val="00F44EEC"/>
    <w:rsid w:val="00F45145"/>
    <w:rsid w:val="00F45517"/>
    <w:rsid w:val="00F456B1"/>
    <w:rsid w:val="00F456E4"/>
    <w:rsid w:val="00F4575A"/>
    <w:rsid w:val="00F4581E"/>
    <w:rsid w:val="00F45CC9"/>
    <w:rsid w:val="00F45DE4"/>
    <w:rsid w:val="00F45F48"/>
    <w:rsid w:val="00F45F6B"/>
    <w:rsid w:val="00F46548"/>
    <w:rsid w:val="00F46BC6"/>
    <w:rsid w:val="00F46BCB"/>
    <w:rsid w:val="00F46C56"/>
    <w:rsid w:val="00F46EA6"/>
    <w:rsid w:val="00F46F97"/>
    <w:rsid w:val="00F47089"/>
    <w:rsid w:val="00F470F8"/>
    <w:rsid w:val="00F47124"/>
    <w:rsid w:val="00F47151"/>
    <w:rsid w:val="00F4718B"/>
    <w:rsid w:val="00F471A4"/>
    <w:rsid w:val="00F4722A"/>
    <w:rsid w:val="00F473D6"/>
    <w:rsid w:val="00F47531"/>
    <w:rsid w:val="00F476FD"/>
    <w:rsid w:val="00F4777C"/>
    <w:rsid w:val="00F477CB"/>
    <w:rsid w:val="00F47B8D"/>
    <w:rsid w:val="00F47BE9"/>
    <w:rsid w:val="00F47D1C"/>
    <w:rsid w:val="00F47D3F"/>
    <w:rsid w:val="00F47E0B"/>
    <w:rsid w:val="00F47E23"/>
    <w:rsid w:val="00F47E9F"/>
    <w:rsid w:val="00F50548"/>
    <w:rsid w:val="00F50727"/>
    <w:rsid w:val="00F5086A"/>
    <w:rsid w:val="00F50925"/>
    <w:rsid w:val="00F50B9E"/>
    <w:rsid w:val="00F50C7B"/>
    <w:rsid w:val="00F50D6E"/>
    <w:rsid w:val="00F50F71"/>
    <w:rsid w:val="00F51059"/>
    <w:rsid w:val="00F510D0"/>
    <w:rsid w:val="00F51303"/>
    <w:rsid w:val="00F5134A"/>
    <w:rsid w:val="00F513E5"/>
    <w:rsid w:val="00F514B4"/>
    <w:rsid w:val="00F51604"/>
    <w:rsid w:val="00F518F0"/>
    <w:rsid w:val="00F5194A"/>
    <w:rsid w:val="00F51A50"/>
    <w:rsid w:val="00F51B03"/>
    <w:rsid w:val="00F51DA3"/>
    <w:rsid w:val="00F51ECD"/>
    <w:rsid w:val="00F52490"/>
    <w:rsid w:val="00F52593"/>
    <w:rsid w:val="00F527C0"/>
    <w:rsid w:val="00F527CA"/>
    <w:rsid w:val="00F52A8E"/>
    <w:rsid w:val="00F52BF8"/>
    <w:rsid w:val="00F52EA8"/>
    <w:rsid w:val="00F53177"/>
    <w:rsid w:val="00F532F0"/>
    <w:rsid w:val="00F5351A"/>
    <w:rsid w:val="00F53A19"/>
    <w:rsid w:val="00F53D3F"/>
    <w:rsid w:val="00F53D88"/>
    <w:rsid w:val="00F53EA3"/>
    <w:rsid w:val="00F53FED"/>
    <w:rsid w:val="00F540B8"/>
    <w:rsid w:val="00F54186"/>
    <w:rsid w:val="00F54644"/>
    <w:rsid w:val="00F547AA"/>
    <w:rsid w:val="00F54819"/>
    <w:rsid w:val="00F54E34"/>
    <w:rsid w:val="00F54EFC"/>
    <w:rsid w:val="00F550A0"/>
    <w:rsid w:val="00F55343"/>
    <w:rsid w:val="00F553CB"/>
    <w:rsid w:val="00F55451"/>
    <w:rsid w:val="00F554A0"/>
    <w:rsid w:val="00F557CD"/>
    <w:rsid w:val="00F557FB"/>
    <w:rsid w:val="00F558EC"/>
    <w:rsid w:val="00F55A2C"/>
    <w:rsid w:val="00F55B5D"/>
    <w:rsid w:val="00F55C89"/>
    <w:rsid w:val="00F55ECE"/>
    <w:rsid w:val="00F562F8"/>
    <w:rsid w:val="00F56300"/>
    <w:rsid w:val="00F564DA"/>
    <w:rsid w:val="00F5672A"/>
    <w:rsid w:val="00F567C9"/>
    <w:rsid w:val="00F56905"/>
    <w:rsid w:val="00F56979"/>
    <w:rsid w:val="00F56ADB"/>
    <w:rsid w:val="00F56C71"/>
    <w:rsid w:val="00F56E42"/>
    <w:rsid w:val="00F56F08"/>
    <w:rsid w:val="00F56F4B"/>
    <w:rsid w:val="00F57002"/>
    <w:rsid w:val="00F570C6"/>
    <w:rsid w:val="00F57235"/>
    <w:rsid w:val="00F57401"/>
    <w:rsid w:val="00F57578"/>
    <w:rsid w:val="00F575EF"/>
    <w:rsid w:val="00F57968"/>
    <w:rsid w:val="00F579E5"/>
    <w:rsid w:val="00F57A02"/>
    <w:rsid w:val="00F57A2A"/>
    <w:rsid w:val="00F57C11"/>
    <w:rsid w:val="00F57E30"/>
    <w:rsid w:val="00F60066"/>
    <w:rsid w:val="00F60121"/>
    <w:rsid w:val="00F6018F"/>
    <w:rsid w:val="00F60390"/>
    <w:rsid w:val="00F6060A"/>
    <w:rsid w:val="00F60625"/>
    <w:rsid w:val="00F607C4"/>
    <w:rsid w:val="00F60BEC"/>
    <w:rsid w:val="00F61291"/>
    <w:rsid w:val="00F61361"/>
    <w:rsid w:val="00F613A5"/>
    <w:rsid w:val="00F61426"/>
    <w:rsid w:val="00F61787"/>
    <w:rsid w:val="00F618B9"/>
    <w:rsid w:val="00F6192C"/>
    <w:rsid w:val="00F61D64"/>
    <w:rsid w:val="00F61DFD"/>
    <w:rsid w:val="00F61F24"/>
    <w:rsid w:val="00F62487"/>
    <w:rsid w:val="00F625F0"/>
    <w:rsid w:val="00F62956"/>
    <w:rsid w:val="00F62AED"/>
    <w:rsid w:val="00F62B8C"/>
    <w:rsid w:val="00F62BB0"/>
    <w:rsid w:val="00F62D54"/>
    <w:rsid w:val="00F62DE6"/>
    <w:rsid w:val="00F63157"/>
    <w:rsid w:val="00F631AA"/>
    <w:rsid w:val="00F633C1"/>
    <w:rsid w:val="00F633F5"/>
    <w:rsid w:val="00F63720"/>
    <w:rsid w:val="00F6398E"/>
    <w:rsid w:val="00F639AA"/>
    <w:rsid w:val="00F639FD"/>
    <w:rsid w:val="00F63B01"/>
    <w:rsid w:val="00F63D3A"/>
    <w:rsid w:val="00F63E03"/>
    <w:rsid w:val="00F6402A"/>
    <w:rsid w:val="00F642D2"/>
    <w:rsid w:val="00F643F2"/>
    <w:rsid w:val="00F644EA"/>
    <w:rsid w:val="00F64821"/>
    <w:rsid w:val="00F64837"/>
    <w:rsid w:val="00F6491B"/>
    <w:rsid w:val="00F64A91"/>
    <w:rsid w:val="00F64B65"/>
    <w:rsid w:val="00F64BA7"/>
    <w:rsid w:val="00F64D54"/>
    <w:rsid w:val="00F65264"/>
    <w:rsid w:val="00F654EF"/>
    <w:rsid w:val="00F65659"/>
    <w:rsid w:val="00F656E2"/>
    <w:rsid w:val="00F6585C"/>
    <w:rsid w:val="00F6586E"/>
    <w:rsid w:val="00F65D3F"/>
    <w:rsid w:val="00F65DAB"/>
    <w:rsid w:val="00F6616A"/>
    <w:rsid w:val="00F6618F"/>
    <w:rsid w:val="00F6627E"/>
    <w:rsid w:val="00F666C5"/>
    <w:rsid w:val="00F66703"/>
    <w:rsid w:val="00F66B34"/>
    <w:rsid w:val="00F66DE0"/>
    <w:rsid w:val="00F66EC6"/>
    <w:rsid w:val="00F673C5"/>
    <w:rsid w:val="00F67590"/>
    <w:rsid w:val="00F6774D"/>
    <w:rsid w:val="00F67811"/>
    <w:rsid w:val="00F678D7"/>
    <w:rsid w:val="00F67E6E"/>
    <w:rsid w:val="00F67F8F"/>
    <w:rsid w:val="00F70108"/>
    <w:rsid w:val="00F70288"/>
    <w:rsid w:val="00F70473"/>
    <w:rsid w:val="00F7053E"/>
    <w:rsid w:val="00F70694"/>
    <w:rsid w:val="00F706CF"/>
    <w:rsid w:val="00F707EC"/>
    <w:rsid w:val="00F70893"/>
    <w:rsid w:val="00F70B45"/>
    <w:rsid w:val="00F70C72"/>
    <w:rsid w:val="00F70CB9"/>
    <w:rsid w:val="00F70DC3"/>
    <w:rsid w:val="00F710FF"/>
    <w:rsid w:val="00F7111A"/>
    <w:rsid w:val="00F71254"/>
    <w:rsid w:val="00F713A3"/>
    <w:rsid w:val="00F714B3"/>
    <w:rsid w:val="00F71665"/>
    <w:rsid w:val="00F718F7"/>
    <w:rsid w:val="00F71ACD"/>
    <w:rsid w:val="00F71AF2"/>
    <w:rsid w:val="00F71CF0"/>
    <w:rsid w:val="00F71D91"/>
    <w:rsid w:val="00F71EE8"/>
    <w:rsid w:val="00F720EE"/>
    <w:rsid w:val="00F721FF"/>
    <w:rsid w:val="00F72262"/>
    <w:rsid w:val="00F723FF"/>
    <w:rsid w:val="00F72415"/>
    <w:rsid w:val="00F72426"/>
    <w:rsid w:val="00F7263C"/>
    <w:rsid w:val="00F7263D"/>
    <w:rsid w:val="00F72843"/>
    <w:rsid w:val="00F72A52"/>
    <w:rsid w:val="00F72CC4"/>
    <w:rsid w:val="00F730A0"/>
    <w:rsid w:val="00F73235"/>
    <w:rsid w:val="00F73257"/>
    <w:rsid w:val="00F732BA"/>
    <w:rsid w:val="00F733FD"/>
    <w:rsid w:val="00F734C7"/>
    <w:rsid w:val="00F7350B"/>
    <w:rsid w:val="00F73614"/>
    <w:rsid w:val="00F7373D"/>
    <w:rsid w:val="00F7378B"/>
    <w:rsid w:val="00F739A1"/>
    <w:rsid w:val="00F73D43"/>
    <w:rsid w:val="00F742A1"/>
    <w:rsid w:val="00F742E5"/>
    <w:rsid w:val="00F742F5"/>
    <w:rsid w:val="00F74390"/>
    <w:rsid w:val="00F743F3"/>
    <w:rsid w:val="00F74852"/>
    <w:rsid w:val="00F748B1"/>
    <w:rsid w:val="00F74959"/>
    <w:rsid w:val="00F74A81"/>
    <w:rsid w:val="00F74ACA"/>
    <w:rsid w:val="00F74FC4"/>
    <w:rsid w:val="00F7517E"/>
    <w:rsid w:val="00F7543B"/>
    <w:rsid w:val="00F754A0"/>
    <w:rsid w:val="00F7591C"/>
    <w:rsid w:val="00F759D2"/>
    <w:rsid w:val="00F75A00"/>
    <w:rsid w:val="00F75B46"/>
    <w:rsid w:val="00F76128"/>
    <w:rsid w:val="00F76366"/>
    <w:rsid w:val="00F76372"/>
    <w:rsid w:val="00F7641A"/>
    <w:rsid w:val="00F764ED"/>
    <w:rsid w:val="00F767CF"/>
    <w:rsid w:val="00F7683B"/>
    <w:rsid w:val="00F76BA5"/>
    <w:rsid w:val="00F76E44"/>
    <w:rsid w:val="00F772B1"/>
    <w:rsid w:val="00F77559"/>
    <w:rsid w:val="00F77593"/>
    <w:rsid w:val="00F77781"/>
    <w:rsid w:val="00F7784A"/>
    <w:rsid w:val="00F7799A"/>
    <w:rsid w:val="00F77D3D"/>
    <w:rsid w:val="00F77FCF"/>
    <w:rsid w:val="00F80041"/>
    <w:rsid w:val="00F8069B"/>
    <w:rsid w:val="00F806C7"/>
    <w:rsid w:val="00F807B4"/>
    <w:rsid w:val="00F80802"/>
    <w:rsid w:val="00F8084A"/>
    <w:rsid w:val="00F809EB"/>
    <w:rsid w:val="00F80A4B"/>
    <w:rsid w:val="00F80C15"/>
    <w:rsid w:val="00F80C52"/>
    <w:rsid w:val="00F80D31"/>
    <w:rsid w:val="00F80DD0"/>
    <w:rsid w:val="00F80F46"/>
    <w:rsid w:val="00F80F86"/>
    <w:rsid w:val="00F80F98"/>
    <w:rsid w:val="00F80FCA"/>
    <w:rsid w:val="00F80FFB"/>
    <w:rsid w:val="00F813D1"/>
    <w:rsid w:val="00F8154D"/>
    <w:rsid w:val="00F816A6"/>
    <w:rsid w:val="00F81849"/>
    <w:rsid w:val="00F81B69"/>
    <w:rsid w:val="00F82000"/>
    <w:rsid w:val="00F820BD"/>
    <w:rsid w:val="00F821EB"/>
    <w:rsid w:val="00F82520"/>
    <w:rsid w:val="00F827CC"/>
    <w:rsid w:val="00F8282C"/>
    <w:rsid w:val="00F82A0E"/>
    <w:rsid w:val="00F82ABE"/>
    <w:rsid w:val="00F82C77"/>
    <w:rsid w:val="00F82E71"/>
    <w:rsid w:val="00F83010"/>
    <w:rsid w:val="00F83574"/>
    <w:rsid w:val="00F835F4"/>
    <w:rsid w:val="00F83D66"/>
    <w:rsid w:val="00F83E61"/>
    <w:rsid w:val="00F83EE9"/>
    <w:rsid w:val="00F84111"/>
    <w:rsid w:val="00F84290"/>
    <w:rsid w:val="00F843A4"/>
    <w:rsid w:val="00F846FE"/>
    <w:rsid w:val="00F847EB"/>
    <w:rsid w:val="00F847F2"/>
    <w:rsid w:val="00F84D0F"/>
    <w:rsid w:val="00F84DEC"/>
    <w:rsid w:val="00F850A2"/>
    <w:rsid w:val="00F85150"/>
    <w:rsid w:val="00F85195"/>
    <w:rsid w:val="00F852AA"/>
    <w:rsid w:val="00F855DD"/>
    <w:rsid w:val="00F85855"/>
    <w:rsid w:val="00F85A35"/>
    <w:rsid w:val="00F85DD4"/>
    <w:rsid w:val="00F85E53"/>
    <w:rsid w:val="00F85E7E"/>
    <w:rsid w:val="00F85EC9"/>
    <w:rsid w:val="00F85F2A"/>
    <w:rsid w:val="00F85FC9"/>
    <w:rsid w:val="00F86806"/>
    <w:rsid w:val="00F86FEB"/>
    <w:rsid w:val="00F87039"/>
    <w:rsid w:val="00F87270"/>
    <w:rsid w:val="00F87711"/>
    <w:rsid w:val="00F879A5"/>
    <w:rsid w:val="00F87B85"/>
    <w:rsid w:val="00F87C59"/>
    <w:rsid w:val="00F87CF1"/>
    <w:rsid w:val="00F87CFA"/>
    <w:rsid w:val="00F87E13"/>
    <w:rsid w:val="00F87E6A"/>
    <w:rsid w:val="00F9037D"/>
    <w:rsid w:val="00F90471"/>
    <w:rsid w:val="00F90890"/>
    <w:rsid w:val="00F90ABF"/>
    <w:rsid w:val="00F90CBC"/>
    <w:rsid w:val="00F90DF5"/>
    <w:rsid w:val="00F90EB1"/>
    <w:rsid w:val="00F910AD"/>
    <w:rsid w:val="00F910B8"/>
    <w:rsid w:val="00F910D1"/>
    <w:rsid w:val="00F910D9"/>
    <w:rsid w:val="00F91741"/>
    <w:rsid w:val="00F91771"/>
    <w:rsid w:val="00F918E9"/>
    <w:rsid w:val="00F91BE7"/>
    <w:rsid w:val="00F91F43"/>
    <w:rsid w:val="00F9218F"/>
    <w:rsid w:val="00F9222E"/>
    <w:rsid w:val="00F92444"/>
    <w:rsid w:val="00F92492"/>
    <w:rsid w:val="00F9272B"/>
    <w:rsid w:val="00F928DC"/>
    <w:rsid w:val="00F92B29"/>
    <w:rsid w:val="00F92B7C"/>
    <w:rsid w:val="00F92DD5"/>
    <w:rsid w:val="00F9329A"/>
    <w:rsid w:val="00F935AC"/>
    <w:rsid w:val="00F937E2"/>
    <w:rsid w:val="00F938B8"/>
    <w:rsid w:val="00F938EA"/>
    <w:rsid w:val="00F9392D"/>
    <w:rsid w:val="00F93941"/>
    <w:rsid w:val="00F9394E"/>
    <w:rsid w:val="00F93BB0"/>
    <w:rsid w:val="00F93CF7"/>
    <w:rsid w:val="00F93D63"/>
    <w:rsid w:val="00F93DDC"/>
    <w:rsid w:val="00F93E08"/>
    <w:rsid w:val="00F941BC"/>
    <w:rsid w:val="00F9425D"/>
    <w:rsid w:val="00F9439B"/>
    <w:rsid w:val="00F943A4"/>
    <w:rsid w:val="00F945D9"/>
    <w:rsid w:val="00F947F6"/>
    <w:rsid w:val="00F94899"/>
    <w:rsid w:val="00F94921"/>
    <w:rsid w:val="00F949C9"/>
    <w:rsid w:val="00F94B51"/>
    <w:rsid w:val="00F94CAB"/>
    <w:rsid w:val="00F9516F"/>
    <w:rsid w:val="00F956AE"/>
    <w:rsid w:val="00F956D9"/>
    <w:rsid w:val="00F95847"/>
    <w:rsid w:val="00F95883"/>
    <w:rsid w:val="00F95B57"/>
    <w:rsid w:val="00F95BB6"/>
    <w:rsid w:val="00F95C13"/>
    <w:rsid w:val="00F95C48"/>
    <w:rsid w:val="00F95DFA"/>
    <w:rsid w:val="00F95DFB"/>
    <w:rsid w:val="00F95EB3"/>
    <w:rsid w:val="00F95EBC"/>
    <w:rsid w:val="00F9632A"/>
    <w:rsid w:val="00F963BD"/>
    <w:rsid w:val="00F96423"/>
    <w:rsid w:val="00F9643C"/>
    <w:rsid w:val="00F96625"/>
    <w:rsid w:val="00F9679C"/>
    <w:rsid w:val="00F96A91"/>
    <w:rsid w:val="00F96ABD"/>
    <w:rsid w:val="00F96BEC"/>
    <w:rsid w:val="00F96CDB"/>
    <w:rsid w:val="00F96DFB"/>
    <w:rsid w:val="00F96F6F"/>
    <w:rsid w:val="00F96FDA"/>
    <w:rsid w:val="00F9718A"/>
    <w:rsid w:val="00F971E7"/>
    <w:rsid w:val="00F97456"/>
    <w:rsid w:val="00F9791F"/>
    <w:rsid w:val="00F97CB9"/>
    <w:rsid w:val="00F97D25"/>
    <w:rsid w:val="00F97FB5"/>
    <w:rsid w:val="00FA04DD"/>
    <w:rsid w:val="00FA056F"/>
    <w:rsid w:val="00FA06DC"/>
    <w:rsid w:val="00FA0BD5"/>
    <w:rsid w:val="00FA0C90"/>
    <w:rsid w:val="00FA0CAA"/>
    <w:rsid w:val="00FA0D52"/>
    <w:rsid w:val="00FA1009"/>
    <w:rsid w:val="00FA10D6"/>
    <w:rsid w:val="00FA1151"/>
    <w:rsid w:val="00FA136B"/>
    <w:rsid w:val="00FA1376"/>
    <w:rsid w:val="00FA1526"/>
    <w:rsid w:val="00FA1591"/>
    <w:rsid w:val="00FA1B60"/>
    <w:rsid w:val="00FA1DA8"/>
    <w:rsid w:val="00FA21B0"/>
    <w:rsid w:val="00FA2302"/>
    <w:rsid w:val="00FA2576"/>
    <w:rsid w:val="00FA2592"/>
    <w:rsid w:val="00FA25C7"/>
    <w:rsid w:val="00FA2796"/>
    <w:rsid w:val="00FA2997"/>
    <w:rsid w:val="00FA299B"/>
    <w:rsid w:val="00FA29ED"/>
    <w:rsid w:val="00FA2B1C"/>
    <w:rsid w:val="00FA32EA"/>
    <w:rsid w:val="00FA336C"/>
    <w:rsid w:val="00FA35DA"/>
    <w:rsid w:val="00FA3750"/>
    <w:rsid w:val="00FA3766"/>
    <w:rsid w:val="00FA3854"/>
    <w:rsid w:val="00FA38C6"/>
    <w:rsid w:val="00FA3B46"/>
    <w:rsid w:val="00FA3DD3"/>
    <w:rsid w:val="00FA401D"/>
    <w:rsid w:val="00FA4037"/>
    <w:rsid w:val="00FA4465"/>
    <w:rsid w:val="00FA4570"/>
    <w:rsid w:val="00FA4701"/>
    <w:rsid w:val="00FA5047"/>
    <w:rsid w:val="00FA508C"/>
    <w:rsid w:val="00FA5162"/>
    <w:rsid w:val="00FA516F"/>
    <w:rsid w:val="00FA5174"/>
    <w:rsid w:val="00FA5553"/>
    <w:rsid w:val="00FA55D2"/>
    <w:rsid w:val="00FA5640"/>
    <w:rsid w:val="00FA597A"/>
    <w:rsid w:val="00FA599C"/>
    <w:rsid w:val="00FA59BB"/>
    <w:rsid w:val="00FA5A08"/>
    <w:rsid w:val="00FA5B54"/>
    <w:rsid w:val="00FA5BC6"/>
    <w:rsid w:val="00FA5CD0"/>
    <w:rsid w:val="00FA5D34"/>
    <w:rsid w:val="00FA5F89"/>
    <w:rsid w:val="00FA6127"/>
    <w:rsid w:val="00FA63A4"/>
    <w:rsid w:val="00FA6570"/>
    <w:rsid w:val="00FA6588"/>
    <w:rsid w:val="00FA6862"/>
    <w:rsid w:val="00FA68CD"/>
    <w:rsid w:val="00FA69AB"/>
    <w:rsid w:val="00FA69AD"/>
    <w:rsid w:val="00FA6AAF"/>
    <w:rsid w:val="00FA6D8D"/>
    <w:rsid w:val="00FA6E42"/>
    <w:rsid w:val="00FA7076"/>
    <w:rsid w:val="00FA70DE"/>
    <w:rsid w:val="00FA725C"/>
    <w:rsid w:val="00FA7393"/>
    <w:rsid w:val="00FA7424"/>
    <w:rsid w:val="00FA7542"/>
    <w:rsid w:val="00FA76A6"/>
    <w:rsid w:val="00FA785C"/>
    <w:rsid w:val="00FA7952"/>
    <w:rsid w:val="00FA7A7E"/>
    <w:rsid w:val="00FA7D14"/>
    <w:rsid w:val="00FA7D59"/>
    <w:rsid w:val="00FA7DC8"/>
    <w:rsid w:val="00FA7E91"/>
    <w:rsid w:val="00FA7F10"/>
    <w:rsid w:val="00FA7F23"/>
    <w:rsid w:val="00FB0128"/>
    <w:rsid w:val="00FB01BE"/>
    <w:rsid w:val="00FB05AC"/>
    <w:rsid w:val="00FB05FD"/>
    <w:rsid w:val="00FB0600"/>
    <w:rsid w:val="00FB080D"/>
    <w:rsid w:val="00FB0868"/>
    <w:rsid w:val="00FB0A18"/>
    <w:rsid w:val="00FB0AA3"/>
    <w:rsid w:val="00FB0AE0"/>
    <w:rsid w:val="00FB0ED6"/>
    <w:rsid w:val="00FB10A5"/>
    <w:rsid w:val="00FB122F"/>
    <w:rsid w:val="00FB128D"/>
    <w:rsid w:val="00FB12D1"/>
    <w:rsid w:val="00FB13D1"/>
    <w:rsid w:val="00FB1510"/>
    <w:rsid w:val="00FB16AE"/>
    <w:rsid w:val="00FB1715"/>
    <w:rsid w:val="00FB17DA"/>
    <w:rsid w:val="00FB1AE3"/>
    <w:rsid w:val="00FB1ED8"/>
    <w:rsid w:val="00FB1F2A"/>
    <w:rsid w:val="00FB1FC0"/>
    <w:rsid w:val="00FB2062"/>
    <w:rsid w:val="00FB2185"/>
    <w:rsid w:val="00FB236C"/>
    <w:rsid w:val="00FB24A3"/>
    <w:rsid w:val="00FB2703"/>
    <w:rsid w:val="00FB2C17"/>
    <w:rsid w:val="00FB2DAA"/>
    <w:rsid w:val="00FB2E7A"/>
    <w:rsid w:val="00FB3120"/>
    <w:rsid w:val="00FB312B"/>
    <w:rsid w:val="00FB318F"/>
    <w:rsid w:val="00FB31BD"/>
    <w:rsid w:val="00FB32A5"/>
    <w:rsid w:val="00FB34BA"/>
    <w:rsid w:val="00FB353E"/>
    <w:rsid w:val="00FB37A0"/>
    <w:rsid w:val="00FB3801"/>
    <w:rsid w:val="00FB3B30"/>
    <w:rsid w:val="00FB3BCE"/>
    <w:rsid w:val="00FB3C6A"/>
    <w:rsid w:val="00FB3D33"/>
    <w:rsid w:val="00FB407F"/>
    <w:rsid w:val="00FB4430"/>
    <w:rsid w:val="00FB4560"/>
    <w:rsid w:val="00FB45CF"/>
    <w:rsid w:val="00FB46AA"/>
    <w:rsid w:val="00FB479C"/>
    <w:rsid w:val="00FB483F"/>
    <w:rsid w:val="00FB4903"/>
    <w:rsid w:val="00FB49A4"/>
    <w:rsid w:val="00FB4A25"/>
    <w:rsid w:val="00FB4A79"/>
    <w:rsid w:val="00FB4AB6"/>
    <w:rsid w:val="00FB4D2F"/>
    <w:rsid w:val="00FB4DBF"/>
    <w:rsid w:val="00FB4E23"/>
    <w:rsid w:val="00FB4E34"/>
    <w:rsid w:val="00FB4E99"/>
    <w:rsid w:val="00FB5055"/>
    <w:rsid w:val="00FB5244"/>
    <w:rsid w:val="00FB53E0"/>
    <w:rsid w:val="00FB55A0"/>
    <w:rsid w:val="00FB55CE"/>
    <w:rsid w:val="00FB574F"/>
    <w:rsid w:val="00FB581A"/>
    <w:rsid w:val="00FB5947"/>
    <w:rsid w:val="00FB5978"/>
    <w:rsid w:val="00FB5A43"/>
    <w:rsid w:val="00FB5A88"/>
    <w:rsid w:val="00FB5B10"/>
    <w:rsid w:val="00FB5BEC"/>
    <w:rsid w:val="00FB5D50"/>
    <w:rsid w:val="00FB5FF9"/>
    <w:rsid w:val="00FB6063"/>
    <w:rsid w:val="00FB6154"/>
    <w:rsid w:val="00FB6475"/>
    <w:rsid w:val="00FB6990"/>
    <w:rsid w:val="00FB6BC9"/>
    <w:rsid w:val="00FB6C60"/>
    <w:rsid w:val="00FB6CB7"/>
    <w:rsid w:val="00FB6EB3"/>
    <w:rsid w:val="00FB707B"/>
    <w:rsid w:val="00FB70D7"/>
    <w:rsid w:val="00FB7AD9"/>
    <w:rsid w:val="00FB7AE4"/>
    <w:rsid w:val="00FB7DA2"/>
    <w:rsid w:val="00FB7E2D"/>
    <w:rsid w:val="00FB7F22"/>
    <w:rsid w:val="00FC01CD"/>
    <w:rsid w:val="00FC03AD"/>
    <w:rsid w:val="00FC05F4"/>
    <w:rsid w:val="00FC06BB"/>
    <w:rsid w:val="00FC0708"/>
    <w:rsid w:val="00FC08A4"/>
    <w:rsid w:val="00FC0B42"/>
    <w:rsid w:val="00FC0CB9"/>
    <w:rsid w:val="00FC0DC1"/>
    <w:rsid w:val="00FC111D"/>
    <w:rsid w:val="00FC13F2"/>
    <w:rsid w:val="00FC1427"/>
    <w:rsid w:val="00FC14BE"/>
    <w:rsid w:val="00FC15C1"/>
    <w:rsid w:val="00FC160B"/>
    <w:rsid w:val="00FC16A9"/>
    <w:rsid w:val="00FC17DE"/>
    <w:rsid w:val="00FC1C40"/>
    <w:rsid w:val="00FC1E45"/>
    <w:rsid w:val="00FC1E96"/>
    <w:rsid w:val="00FC206F"/>
    <w:rsid w:val="00FC2145"/>
    <w:rsid w:val="00FC2438"/>
    <w:rsid w:val="00FC2499"/>
    <w:rsid w:val="00FC2542"/>
    <w:rsid w:val="00FC28F2"/>
    <w:rsid w:val="00FC2CDD"/>
    <w:rsid w:val="00FC2D43"/>
    <w:rsid w:val="00FC310E"/>
    <w:rsid w:val="00FC32BA"/>
    <w:rsid w:val="00FC3618"/>
    <w:rsid w:val="00FC378A"/>
    <w:rsid w:val="00FC3903"/>
    <w:rsid w:val="00FC39BA"/>
    <w:rsid w:val="00FC3B98"/>
    <w:rsid w:val="00FC3BD3"/>
    <w:rsid w:val="00FC3E58"/>
    <w:rsid w:val="00FC3E9D"/>
    <w:rsid w:val="00FC3F17"/>
    <w:rsid w:val="00FC3F24"/>
    <w:rsid w:val="00FC407C"/>
    <w:rsid w:val="00FC4202"/>
    <w:rsid w:val="00FC4284"/>
    <w:rsid w:val="00FC4575"/>
    <w:rsid w:val="00FC45C8"/>
    <w:rsid w:val="00FC4643"/>
    <w:rsid w:val="00FC48C3"/>
    <w:rsid w:val="00FC4C5B"/>
    <w:rsid w:val="00FC4D0A"/>
    <w:rsid w:val="00FC4D2A"/>
    <w:rsid w:val="00FC4DBC"/>
    <w:rsid w:val="00FC4E86"/>
    <w:rsid w:val="00FC4F3C"/>
    <w:rsid w:val="00FC50F3"/>
    <w:rsid w:val="00FC53AF"/>
    <w:rsid w:val="00FC54AD"/>
    <w:rsid w:val="00FC55C5"/>
    <w:rsid w:val="00FC5648"/>
    <w:rsid w:val="00FC56BD"/>
    <w:rsid w:val="00FC56E5"/>
    <w:rsid w:val="00FC5890"/>
    <w:rsid w:val="00FC58A8"/>
    <w:rsid w:val="00FC5906"/>
    <w:rsid w:val="00FC5966"/>
    <w:rsid w:val="00FC5A54"/>
    <w:rsid w:val="00FC5BD3"/>
    <w:rsid w:val="00FC5F0F"/>
    <w:rsid w:val="00FC607C"/>
    <w:rsid w:val="00FC625A"/>
    <w:rsid w:val="00FC65D1"/>
    <w:rsid w:val="00FC6761"/>
    <w:rsid w:val="00FC6836"/>
    <w:rsid w:val="00FC6873"/>
    <w:rsid w:val="00FC6B33"/>
    <w:rsid w:val="00FC6D3D"/>
    <w:rsid w:val="00FC6F32"/>
    <w:rsid w:val="00FC719C"/>
    <w:rsid w:val="00FC71A0"/>
    <w:rsid w:val="00FC7401"/>
    <w:rsid w:val="00FC740A"/>
    <w:rsid w:val="00FC75EE"/>
    <w:rsid w:val="00FC791A"/>
    <w:rsid w:val="00FC7EAB"/>
    <w:rsid w:val="00FC7EDA"/>
    <w:rsid w:val="00FC7FCF"/>
    <w:rsid w:val="00FD0744"/>
    <w:rsid w:val="00FD07CE"/>
    <w:rsid w:val="00FD07E1"/>
    <w:rsid w:val="00FD0A5C"/>
    <w:rsid w:val="00FD0ADC"/>
    <w:rsid w:val="00FD0C35"/>
    <w:rsid w:val="00FD0C5E"/>
    <w:rsid w:val="00FD106B"/>
    <w:rsid w:val="00FD11AF"/>
    <w:rsid w:val="00FD131C"/>
    <w:rsid w:val="00FD16B9"/>
    <w:rsid w:val="00FD17D7"/>
    <w:rsid w:val="00FD18BC"/>
    <w:rsid w:val="00FD1925"/>
    <w:rsid w:val="00FD1A50"/>
    <w:rsid w:val="00FD1EF4"/>
    <w:rsid w:val="00FD1F4F"/>
    <w:rsid w:val="00FD209C"/>
    <w:rsid w:val="00FD21C7"/>
    <w:rsid w:val="00FD2592"/>
    <w:rsid w:val="00FD28A1"/>
    <w:rsid w:val="00FD29A1"/>
    <w:rsid w:val="00FD2B04"/>
    <w:rsid w:val="00FD2FB6"/>
    <w:rsid w:val="00FD3132"/>
    <w:rsid w:val="00FD319E"/>
    <w:rsid w:val="00FD31A3"/>
    <w:rsid w:val="00FD31B5"/>
    <w:rsid w:val="00FD33B0"/>
    <w:rsid w:val="00FD35DF"/>
    <w:rsid w:val="00FD3892"/>
    <w:rsid w:val="00FD3966"/>
    <w:rsid w:val="00FD3B16"/>
    <w:rsid w:val="00FD3B69"/>
    <w:rsid w:val="00FD3D7A"/>
    <w:rsid w:val="00FD3E57"/>
    <w:rsid w:val="00FD407D"/>
    <w:rsid w:val="00FD4161"/>
    <w:rsid w:val="00FD41D2"/>
    <w:rsid w:val="00FD41F8"/>
    <w:rsid w:val="00FD425F"/>
    <w:rsid w:val="00FD4283"/>
    <w:rsid w:val="00FD4302"/>
    <w:rsid w:val="00FD44BF"/>
    <w:rsid w:val="00FD4546"/>
    <w:rsid w:val="00FD4A19"/>
    <w:rsid w:val="00FD4CFA"/>
    <w:rsid w:val="00FD4EE2"/>
    <w:rsid w:val="00FD4FA5"/>
    <w:rsid w:val="00FD4FFB"/>
    <w:rsid w:val="00FD5660"/>
    <w:rsid w:val="00FD5730"/>
    <w:rsid w:val="00FD59B3"/>
    <w:rsid w:val="00FD5A42"/>
    <w:rsid w:val="00FD5B20"/>
    <w:rsid w:val="00FD5BBA"/>
    <w:rsid w:val="00FD5C93"/>
    <w:rsid w:val="00FD5E99"/>
    <w:rsid w:val="00FD60B2"/>
    <w:rsid w:val="00FD61A0"/>
    <w:rsid w:val="00FD62CA"/>
    <w:rsid w:val="00FD66C1"/>
    <w:rsid w:val="00FD681F"/>
    <w:rsid w:val="00FD6A4D"/>
    <w:rsid w:val="00FD6A5A"/>
    <w:rsid w:val="00FD6AD4"/>
    <w:rsid w:val="00FD6AE8"/>
    <w:rsid w:val="00FD6D80"/>
    <w:rsid w:val="00FD6DA9"/>
    <w:rsid w:val="00FD6DF3"/>
    <w:rsid w:val="00FD6F3A"/>
    <w:rsid w:val="00FD6F60"/>
    <w:rsid w:val="00FD7355"/>
    <w:rsid w:val="00FD76B8"/>
    <w:rsid w:val="00FD7990"/>
    <w:rsid w:val="00FD7C2D"/>
    <w:rsid w:val="00FD7EC5"/>
    <w:rsid w:val="00FE0103"/>
    <w:rsid w:val="00FE016B"/>
    <w:rsid w:val="00FE04DE"/>
    <w:rsid w:val="00FE0661"/>
    <w:rsid w:val="00FE07D5"/>
    <w:rsid w:val="00FE093C"/>
    <w:rsid w:val="00FE0B02"/>
    <w:rsid w:val="00FE0DC6"/>
    <w:rsid w:val="00FE0E8D"/>
    <w:rsid w:val="00FE0F8E"/>
    <w:rsid w:val="00FE11BD"/>
    <w:rsid w:val="00FE16A1"/>
    <w:rsid w:val="00FE1874"/>
    <w:rsid w:val="00FE18DA"/>
    <w:rsid w:val="00FE1A74"/>
    <w:rsid w:val="00FE1BAD"/>
    <w:rsid w:val="00FE1BDE"/>
    <w:rsid w:val="00FE2020"/>
    <w:rsid w:val="00FE2060"/>
    <w:rsid w:val="00FE2258"/>
    <w:rsid w:val="00FE22A5"/>
    <w:rsid w:val="00FE2535"/>
    <w:rsid w:val="00FE256B"/>
    <w:rsid w:val="00FE2A07"/>
    <w:rsid w:val="00FE34BA"/>
    <w:rsid w:val="00FE365B"/>
    <w:rsid w:val="00FE369B"/>
    <w:rsid w:val="00FE38AE"/>
    <w:rsid w:val="00FE38C8"/>
    <w:rsid w:val="00FE3A30"/>
    <w:rsid w:val="00FE3ACD"/>
    <w:rsid w:val="00FE3B6C"/>
    <w:rsid w:val="00FE3D23"/>
    <w:rsid w:val="00FE3D7C"/>
    <w:rsid w:val="00FE3DFD"/>
    <w:rsid w:val="00FE3E1A"/>
    <w:rsid w:val="00FE3FFE"/>
    <w:rsid w:val="00FE404C"/>
    <w:rsid w:val="00FE40E1"/>
    <w:rsid w:val="00FE4174"/>
    <w:rsid w:val="00FE43BD"/>
    <w:rsid w:val="00FE444D"/>
    <w:rsid w:val="00FE4588"/>
    <w:rsid w:val="00FE4CC8"/>
    <w:rsid w:val="00FE4CD4"/>
    <w:rsid w:val="00FE50EA"/>
    <w:rsid w:val="00FE529E"/>
    <w:rsid w:val="00FE5367"/>
    <w:rsid w:val="00FE53AF"/>
    <w:rsid w:val="00FE55A8"/>
    <w:rsid w:val="00FE55D6"/>
    <w:rsid w:val="00FE575F"/>
    <w:rsid w:val="00FE5878"/>
    <w:rsid w:val="00FE58B2"/>
    <w:rsid w:val="00FE5ABF"/>
    <w:rsid w:val="00FE5B5B"/>
    <w:rsid w:val="00FE5BE6"/>
    <w:rsid w:val="00FE5BEB"/>
    <w:rsid w:val="00FE5D7B"/>
    <w:rsid w:val="00FE5F2E"/>
    <w:rsid w:val="00FE61AF"/>
    <w:rsid w:val="00FE6647"/>
    <w:rsid w:val="00FE665B"/>
    <w:rsid w:val="00FE672B"/>
    <w:rsid w:val="00FE691F"/>
    <w:rsid w:val="00FE698D"/>
    <w:rsid w:val="00FE6B70"/>
    <w:rsid w:val="00FE6BAA"/>
    <w:rsid w:val="00FE6D98"/>
    <w:rsid w:val="00FE6E9D"/>
    <w:rsid w:val="00FE6F61"/>
    <w:rsid w:val="00FE7053"/>
    <w:rsid w:val="00FE7365"/>
    <w:rsid w:val="00FE736C"/>
    <w:rsid w:val="00FE77E1"/>
    <w:rsid w:val="00FE784D"/>
    <w:rsid w:val="00FE7AE8"/>
    <w:rsid w:val="00FE7BF6"/>
    <w:rsid w:val="00FE7CC5"/>
    <w:rsid w:val="00FE7CD5"/>
    <w:rsid w:val="00FE7E22"/>
    <w:rsid w:val="00FE7FF8"/>
    <w:rsid w:val="00FF026E"/>
    <w:rsid w:val="00FF0393"/>
    <w:rsid w:val="00FF0494"/>
    <w:rsid w:val="00FF049F"/>
    <w:rsid w:val="00FF05BD"/>
    <w:rsid w:val="00FF05FA"/>
    <w:rsid w:val="00FF067A"/>
    <w:rsid w:val="00FF0807"/>
    <w:rsid w:val="00FF094A"/>
    <w:rsid w:val="00FF0D36"/>
    <w:rsid w:val="00FF0DC3"/>
    <w:rsid w:val="00FF0DF4"/>
    <w:rsid w:val="00FF0F1C"/>
    <w:rsid w:val="00FF0F35"/>
    <w:rsid w:val="00FF0FF3"/>
    <w:rsid w:val="00FF11B6"/>
    <w:rsid w:val="00FF129D"/>
    <w:rsid w:val="00FF150B"/>
    <w:rsid w:val="00FF15FF"/>
    <w:rsid w:val="00FF1628"/>
    <w:rsid w:val="00FF194F"/>
    <w:rsid w:val="00FF19D1"/>
    <w:rsid w:val="00FF1C90"/>
    <w:rsid w:val="00FF1CE7"/>
    <w:rsid w:val="00FF1E95"/>
    <w:rsid w:val="00FF2075"/>
    <w:rsid w:val="00FF22AA"/>
    <w:rsid w:val="00FF249E"/>
    <w:rsid w:val="00FF267D"/>
    <w:rsid w:val="00FF26A2"/>
    <w:rsid w:val="00FF26E4"/>
    <w:rsid w:val="00FF26F7"/>
    <w:rsid w:val="00FF270E"/>
    <w:rsid w:val="00FF277B"/>
    <w:rsid w:val="00FF2A44"/>
    <w:rsid w:val="00FF2DF5"/>
    <w:rsid w:val="00FF2E47"/>
    <w:rsid w:val="00FF2FA3"/>
    <w:rsid w:val="00FF2FE5"/>
    <w:rsid w:val="00FF3056"/>
    <w:rsid w:val="00FF30EC"/>
    <w:rsid w:val="00FF315F"/>
    <w:rsid w:val="00FF3339"/>
    <w:rsid w:val="00FF335C"/>
    <w:rsid w:val="00FF3506"/>
    <w:rsid w:val="00FF35A0"/>
    <w:rsid w:val="00FF365E"/>
    <w:rsid w:val="00FF370C"/>
    <w:rsid w:val="00FF3829"/>
    <w:rsid w:val="00FF382B"/>
    <w:rsid w:val="00FF38DC"/>
    <w:rsid w:val="00FF39BD"/>
    <w:rsid w:val="00FF39C6"/>
    <w:rsid w:val="00FF3CCC"/>
    <w:rsid w:val="00FF3D5C"/>
    <w:rsid w:val="00FF3EC1"/>
    <w:rsid w:val="00FF42F0"/>
    <w:rsid w:val="00FF43A6"/>
    <w:rsid w:val="00FF4451"/>
    <w:rsid w:val="00FF4640"/>
    <w:rsid w:val="00FF477F"/>
    <w:rsid w:val="00FF4A82"/>
    <w:rsid w:val="00FF4C45"/>
    <w:rsid w:val="00FF4CE1"/>
    <w:rsid w:val="00FF4E78"/>
    <w:rsid w:val="00FF505B"/>
    <w:rsid w:val="00FF524C"/>
    <w:rsid w:val="00FF5432"/>
    <w:rsid w:val="00FF55E8"/>
    <w:rsid w:val="00FF5770"/>
    <w:rsid w:val="00FF5929"/>
    <w:rsid w:val="00FF5937"/>
    <w:rsid w:val="00FF593E"/>
    <w:rsid w:val="00FF5974"/>
    <w:rsid w:val="00FF5CB1"/>
    <w:rsid w:val="00FF5E7D"/>
    <w:rsid w:val="00FF6448"/>
    <w:rsid w:val="00FF6790"/>
    <w:rsid w:val="00FF67A0"/>
    <w:rsid w:val="00FF6D3D"/>
    <w:rsid w:val="00FF6E20"/>
    <w:rsid w:val="00FF6E39"/>
    <w:rsid w:val="00FF6F52"/>
    <w:rsid w:val="00FF6FA8"/>
    <w:rsid w:val="00FF6FBF"/>
    <w:rsid w:val="00FF720A"/>
    <w:rsid w:val="00FF7616"/>
    <w:rsid w:val="00FF7747"/>
    <w:rsid w:val="00FF789A"/>
    <w:rsid w:val="00FF78CB"/>
    <w:rsid w:val="00FF7967"/>
    <w:rsid w:val="00FF7C63"/>
    <w:rsid w:val="00FF7E83"/>
    <w:rsid w:val="00FF7F9D"/>
    <w:rsid w:val="0311EFBA"/>
    <w:rsid w:val="03E782B6"/>
    <w:rsid w:val="041068E2"/>
    <w:rsid w:val="0463AF83"/>
    <w:rsid w:val="04C1FF8E"/>
    <w:rsid w:val="04FC21E2"/>
    <w:rsid w:val="05BE1635"/>
    <w:rsid w:val="06BF616F"/>
    <w:rsid w:val="06C430D2"/>
    <w:rsid w:val="0B444273"/>
    <w:rsid w:val="0C2E507B"/>
    <w:rsid w:val="0C57FD57"/>
    <w:rsid w:val="0D07F3B7"/>
    <w:rsid w:val="0DAC99C1"/>
    <w:rsid w:val="0F7E70C5"/>
    <w:rsid w:val="0F9333AF"/>
    <w:rsid w:val="0FA31CDB"/>
    <w:rsid w:val="0FBC1E4A"/>
    <w:rsid w:val="0FCBFF0C"/>
    <w:rsid w:val="159E6A93"/>
    <w:rsid w:val="17042406"/>
    <w:rsid w:val="17957D86"/>
    <w:rsid w:val="17E9B0CA"/>
    <w:rsid w:val="1869FA27"/>
    <w:rsid w:val="18923495"/>
    <w:rsid w:val="1C3FE02B"/>
    <w:rsid w:val="1E38C1C9"/>
    <w:rsid w:val="1E4669B1"/>
    <w:rsid w:val="1E99F485"/>
    <w:rsid w:val="1F8E08A4"/>
    <w:rsid w:val="1FFAEF66"/>
    <w:rsid w:val="20872CFF"/>
    <w:rsid w:val="22259402"/>
    <w:rsid w:val="22728D55"/>
    <w:rsid w:val="22AB85D1"/>
    <w:rsid w:val="22BC4B2E"/>
    <w:rsid w:val="26392CB0"/>
    <w:rsid w:val="26903D3F"/>
    <w:rsid w:val="288E80AE"/>
    <w:rsid w:val="28F27418"/>
    <w:rsid w:val="291BE7A3"/>
    <w:rsid w:val="29A829BF"/>
    <w:rsid w:val="2A2EF1B0"/>
    <w:rsid w:val="2B053586"/>
    <w:rsid w:val="2B76B6B5"/>
    <w:rsid w:val="2C4039B4"/>
    <w:rsid w:val="2F9B40A0"/>
    <w:rsid w:val="32E44E31"/>
    <w:rsid w:val="33F050A7"/>
    <w:rsid w:val="3434CE0F"/>
    <w:rsid w:val="3551478D"/>
    <w:rsid w:val="361E3916"/>
    <w:rsid w:val="3674CD85"/>
    <w:rsid w:val="36EBA4AF"/>
    <w:rsid w:val="3808D4FC"/>
    <w:rsid w:val="38263671"/>
    <w:rsid w:val="39C67F37"/>
    <w:rsid w:val="3A9676EC"/>
    <w:rsid w:val="3AEEA44E"/>
    <w:rsid w:val="3B0EF6BB"/>
    <w:rsid w:val="3B7FA10B"/>
    <w:rsid w:val="3C216F7E"/>
    <w:rsid w:val="3C80C1BC"/>
    <w:rsid w:val="3CC2D2CB"/>
    <w:rsid w:val="3D462D73"/>
    <w:rsid w:val="3DCDA4B0"/>
    <w:rsid w:val="3E88C512"/>
    <w:rsid w:val="3F383E84"/>
    <w:rsid w:val="3F706764"/>
    <w:rsid w:val="3FD012F7"/>
    <w:rsid w:val="40E4A897"/>
    <w:rsid w:val="421EFDC4"/>
    <w:rsid w:val="42615165"/>
    <w:rsid w:val="42F35625"/>
    <w:rsid w:val="438A627E"/>
    <w:rsid w:val="43BE7048"/>
    <w:rsid w:val="43E655E9"/>
    <w:rsid w:val="44A5EFD2"/>
    <w:rsid w:val="4764B7DC"/>
    <w:rsid w:val="485F8634"/>
    <w:rsid w:val="48A2F66D"/>
    <w:rsid w:val="48B53238"/>
    <w:rsid w:val="490F9EC3"/>
    <w:rsid w:val="492E7EA4"/>
    <w:rsid w:val="4A646D02"/>
    <w:rsid w:val="4AC886F6"/>
    <w:rsid w:val="4B59D986"/>
    <w:rsid w:val="4C873AF0"/>
    <w:rsid w:val="4D3BBB0C"/>
    <w:rsid w:val="4E2110F1"/>
    <w:rsid w:val="4E7D91FB"/>
    <w:rsid w:val="4F2C1DFD"/>
    <w:rsid w:val="4FF3DD11"/>
    <w:rsid w:val="52EA201B"/>
    <w:rsid w:val="535E2018"/>
    <w:rsid w:val="5535D5A5"/>
    <w:rsid w:val="55930555"/>
    <w:rsid w:val="5644A308"/>
    <w:rsid w:val="58E3B9D9"/>
    <w:rsid w:val="59538E3A"/>
    <w:rsid w:val="599BB610"/>
    <w:rsid w:val="59DACB3D"/>
    <w:rsid w:val="5B05DF3F"/>
    <w:rsid w:val="5C5675CA"/>
    <w:rsid w:val="5CD7869F"/>
    <w:rsid w:val="5D3CE559"/>
    <w:rsid w:val="6039674C"/>
    <w:rsid w:val="61C8066A"/>
    <w:rsid w:val="623DAAAB"/>
    <w:rsid w:val="629F1F78"/>
    <w:rsid w:val="62DDA6B7"/>
    <w:rsid w:val="6311C68D"/>
    <w:rsid w:val="63263B30"/>
    <w:rsid w:val="63D367F8"/>
    <w:rsid w:val="64B44D72"/>
    <w:rsid w:val="64C22B3D"/>
    <w:rsid w:val="6587EA71"/>
    <w:rsid w:val="664F788D"/>
    <w:rsid w:val="67AE9352"/>
    <w:rsid w:val="67F8F6C3"/>
    <w:rsid w:val="68D7839E"/>
    <w:rsid w:val="6CA715AC"/>
    <w:rsid w:val="6D775EEA"/>
    <w:rsid w:val="6DECEF74"/>
    <w:rsid w:val="701EAB0C"/>
    <w:rsid w:val="71B42DBF"/>
    <w:rsid w:val="732CBFB6"/>
    <w:rsid w:val="73715264"/>
    <w:rsid w:val="77F3A700"/>
    <w:rsid w:val="785328F9"/>
    <w:rsid w:val="7AED75DB"/>
    <w:rsid w:val="7BF867F2"/>
    <w:rsid w:val="7CE4DD16"/>
    <w:rsid w:val="7CE9440A"/>
    <w:rsid w:val="7D474987"/>
    <w:rsid w:val="7F64FE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EA1C6"/>
  <w15:docId w15:val="{61AD7A5D-D0F4-44CB-8BF5-28CF5F07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B48"/>
    <w:pPr>
      <w:spacing w:after="0" w:line="240" w:lineRule="auto"/>
    </w:pPr>
    <w:rPr>
      <w:rFonts w:ascii="Calibri" w:hAnsi="Calibri" w:cs="Calibri"/>
    </w:rPr>
  </w:style>
  <w:style w:type="paragraph" w:styleId="Heading1">
    <w:name w:val="heading 1"/>
    <w:next w:val="NYBodyText"/>
    <w:link w:val="Heading1Char"/>
    <w:uiPriority w:val="12"/>
    <w:qFormat/>
    <w:rsid w:val="00960839"/>
    <w:pPr>
      <w:keepNext/>
      <w:keepLines/>
      <w:numPr>
        <w:numId w:val="16"/>
      </w:numPr>
      <w:spacing w:before="240" w:after="120" w:line="240" w:lineRule="atLeast"/>
      <w:outlineLvl w:val="0"/>
    </w:pPr>
    <w:rPr>
      <w:rFonts w:ascii="Verdana" w:eastAsiaTheme="majorEastAsia" w:hAnsi="Verdana" w:cstheme="majorBidi"/>
      <w:b/>
      <w:sz w:val="18"/>
      <w:szCs w:val="32"/>
    </w:rPr>
  </w:style>
  <w:style w:type="paragraph" w:styleId="Heading2">
    <w:name w:val="heading 2"/>
    <w:basedOn w:val="Heading1"/>
    <w:next w:val="NYBodyText"/>
    <w:link w:val="Heading2Char"/>
    <w:uiPriority w:val="13"/>
    <w:unhideWhenUsed/>
    <w:qFormat/>
    <w:rsid w:val="00960839"/>
    <w:pPr>
      <w:numPr>
        <w:ilvl w:val="1"/>
      </w:numPr>
      <w:outlineLvl w:val="1"/>
    </w:pPr>
    <w:rPr>
      <w:szCs w:val="26"/>
    </w:rPr>
  </w:style>
  <w:style w:type="paragraph" w:styleId="Heading3">
    <w:name w:val="heading 3"/>
    <w:basedOn w:val="Heading1"/>
    <w:next w:val="NYBodyText"/>
    <w:link w:val="Heading3Char"/>
    <w:uiPriority w:val="9"/>
    <w:unhideWhenUsed/>
    <w:qFormat/>
    <w:rsid w:val="004C2833"/>
    <w:pPr>
      <w:numPr>
        <w:ilvl w:val="2"/>
      </w:numPr>
      <w:spacing w:before="40"/>
      <w:outlineLvl w:val="2"/>
    </w:pPr>
  </w:style>
  <w:style w:type="paragraph" w:styleId="Heading4">
    <w:name w:val="heading 4"/>
    <w:basedOn w:val="Heading1"/>
    <w:next w:val="NYBodyText"/>
    <w:link w:val="Heading4Char"/>
    <w:uiPriority w:val="9"/>
    <w:unhideWhenUsed/>
    <w:qFormat/>
    <w:rsid w:val="00367B36"/>
    <w:pPr>
      <w:numPr>
        <w:ilvl w:val="3"/>
      </w:numPr>
      <w:spacing w:before="40"/>
      <w:ind w:left="900" w:hanging="900"/>
      <w:outlineLvl w:val="3"/>
    </w:pPr>
    <w:rPr>
      <w:u w:color="000000"/>
      <w:shd w:val="clear" w:color="auto" w:fill="FFFFFF"/>
    </w:rPr>
  </w:style>
  <w:style w:type="paragraph" w:styleId="Heading5">
    <w:name w:val="heading 5"/>
    <w:basedOn w:val="Heading1"/>
    <w:next w:val="NYBodyText"/>
    <w:link w:val="Heading5Char"/>
    <w:uiPriority w:val="9"/>
    <w:unhideWhenUsed/>
    <w:qFormat/>
    <w:rsid w:val="003B0B0E"/>
    <w:pPr>
      <w:numPr>
        <w:ilvl w:val="4"/>
      </w:numPr>
      <w:outlineLvl w:val="4"/>
    </w:pPr>
  </w:style>
  <w:style w:type="paragraph" w:styleId="Heading6">
    <w:name w:val="heading 6"/>
    <w:next w:val="Normal"/>
    <w:link w:val="Heading6Char"/>
    <w:uiPriority w:val="9"/>
    <w:unhideWhenUsed/>
    <w:qFormat/>
    <w:rsid w:val="000C2344"/>
    <w:pPr>
      <w:keepNext/>
      <w:framePr w:hSpace="187" w:vSpace="187" w:wrap="notBeside" w:vAnchor="text" w:hAnchor="text" w:y="1"/>
      <w:numPr>
        <w:ilvl w:val="5"/>
        <w:numId w:val="19"/>
      </w:numPr>
      <w:snapToGrid w:val="0"/>
      <w:spacing w:before="60" w:after="120" w:line="240" w:lineRule="auto"/>
      <w:outlineLvl w:val="5"/>
    </w:pPr>
    <w:rPr>
      <w:rFonts w:ascii="Arial" w:eastAsia="Times New Roman" w:hAnsi="Arial" w:cs="Times New Roman"/>
      <w:i/>
      <w:color w:val="000000" w:themeColor="text1"/>
      <w:sz w:val="18"/>
      <w:szCs w:val="20"/>
      <w:u w:color="000000" w:themeColor="text1"/>
    </w:rPr>
  </w:style>
  <w:style w:type="paragraph" w:styleId="Heading7">
    <w:name w:val="heading 7"/>
    <w:next w:val="Normal"/>
    <w:link w:val="Heading7Char"/>
    <w:uiPriority w:val="9"/>
    <w:unhideWhenUsed/>
    <w:qFormat/>
    <w:rsid w:val="000C2344"/>
    <w:pPr>
      <w:keepNext/>
      <w:numPr>
        <w:ilvl w:val="6"/>
        <w:numId w:val="19"/>
      </w:numPr>
      <w:snapToGrid w:val="0"/>
      <w:spacing w:before="60" w:after="120" w:line="240" w:lineRule="auto"/>
      <w:outlineLvl w:val="6"/>
    </w:pPr>
    <w:rPr>
      <w:rFonts w:ascii="Arial" w:eastAsia="Times New Roman" w:hAnsi="Arial" w:cs="Times New Roman"/>
      <w:i/>
      <w:color w:val="000000"/>
      <w:sz w:val="18"/>
      <w:szCs w:val="20"/>
      <w:u w:color="000000" w:themeColor="text1"/>
    </w:rPr>
  </w:style>
  <w:style w:type="paragraph" w:styleId="Heading8">
    <w:name w:val="heading 8"/>
    <w:next w:val="Normal"/>
    <w:link w:val="Heading8Char"/>
    <w:uiPriority w:val="9"/>
    <w:semiHidden/>
    <w:unhideWhenUsed/>
    <w:qFormat/>
    <w:rsid w:val="000C2344"/>
    <w:pPr>
      <w:keepNext/>
      <w:numPr>
        <w:ilvl w:val="7"/>
        <w:numId w:val="19"/>
      </w:numPr>
      <w:spacing w:before="60" w:after="120" w:line="240" w:lineRule="auto"/>
      <w:outlineLvl w:val="7"/>
    </w:pPr>
    <w:rPr>
      <w:rFonts w:ascii="Arial" w:eastAsia="Times New Roman" w:hAnsi="Arial" w:cs="Times New Roman"/>
      <w:i/>
      <w:color w:val="000000" w:themeColor="text1"/>
      <w:sz w:val="18"/>
      <w:szCs w:val="20"/>
      <w:u w:color="000000" w:themeColor="text1"/>
    </w:rPr>
  </w:style>
  <w:style w:type="paragraph" w:styleId="Heading9">
    <w:name w:val="heading 9"/>
    <w:next w:val="Normal"/>
    <w:link w:val="Heading9Char"/>
    <w:uiPriority w:val="9"/>
    <w:semiHidden/>
    <w:unhideWhenUsed/>
    <w:qFormat/>
    <w:rsid w:val="000C2344"/>
    <w:pPr>
      <w:keepNext/>
      <w:numPr>
        <w:ilvl w:val="8"/>
        <w:numId w:val="19"/>
      </w:numPr>
      <w:spacing w:before="60" w:after="120" w:line="240" w:lineRule="auto"/>
      <w:outlineLvl w:val="8"/>
    </w:pPr>
    <w:rPr>
      <w:rFonts w:ascii="Arial" w:eastAsia="Times New Roman" w:hAnsi="Arial" w:cs="Times New Roman"/>
      <w:i/>
      <w:color w:val="FFFFFF"/>
      <w:sz w:val="18"/>
      <w:szCs w:val="20"/>
      <w:u w:color="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entName">
    <w:name w:val="Client Name"/>
    <w:basedOn w:val="Normal"/>
    <w:qFormat/>
    <w:rsid w:val="00C4724F"/>
    <w:pPr>
      <w:spacing w:after="160" w:line="259" w:lineRule="auto"/>
    </w:pPr>
    <w:rPr>
      <w:rFonts w:ascii="Verdana" w:hAnsi="Verdana" w:cstheme="minorBidi"/>
      <w:b/>
      <w:color w:val="173654"/>
      <w:sz w:val="36"/>
    </w:rPr>
  </w:style>
  <w:style w:type="paragraph" w:customStyle="1" w:styleId="Deliverable">
    <w:name w:val="Deliverable"/>
    <w:basedOn w:val="Normal"/>
    <w:qFormat/>
    <w:rsid w:val="00C0530C"/>
    <w:pPr>
      <w:spacing w:after="160" w:line="259" w:lineRule="auto"/>
    </w:pPr>
    <w:rPr>
      <w:rFonts w:ascii="Verdana" w:hAnsi="Verdana" w:cstheme="minorBidi"/>
      <w:b/>
      <w:color w:val="173654"/>
      <w:sz w:val="36"/>
    </w:rPr>
  </w:style>
  <w:style w:type="paragraph" w:customStyle="1" w:styleId="MonthDateYearVersion">
    <w:name w:val="Month Date Year Version"/>
    <w:basedOn w:val="Normal"/>
    <w:qFormat/>
    <w:rsid w:val="00A16882"/>
    <w:pPr>
      <w:spacing w:after="160" w:line="259" w:lineRule="auto"/>
    </w:pPr>
    <w:rPr>
      <w:rFonts w:ascii="Verdana" w:hAnsi="Verdana" w:cstheme="minorBidi"/>
      <w:sz w:val="36"/>
    </w:rPr>
  </w:style>
  <w:style w:type="paragraph" w:styleId="Header">
    <w:name w:val="header"/>
    <w:aliases w:val="Table of Contents,Figures Header"/>
    <w:basedOn w:val="Normal"/>
    <w:link w:val="HeaderChar"/>
    <w:unhideWhenUsed/>
    <w:rsid w:val="009B39EE"/>
    <w:pPr>
      <w:tabs>
        <w:tab w:val="center" w:pos="4680"/>
        <w:tab w:val="right" w:pos="9360"/>
      </w:tabs>
    </w:pPr>
    <w:rPr>
      <w:rFonts w:asciiTheme="minorHAnsi" w:hAnsiTheme="minorHAnsi" w:cstheme="minorBidi"/>
    </w:rPr>
  </w:style>
  <w:style w:type="character" w:customStyle="1" w:styleId="HeaderChar">
    <w:name w:val="Header Char"/>
    <w:aliases w:val="Table of Contents Char,Figures Header Char"/>
    <w:basedOn w:val="DefaultParagraphFont"/>
    <w:link w:val="Header"/>
    <w:rsid w:val="009B39EE"/>
  </w:style>
  <w:style w:type="paragraph" w:styleId="Footer">
    <w:name w:val="footer"/>
    <w:basedOn w:val="Normal"/>
    <w:link w:val="FooterChar"/>
    <w:uiPriority w:val="99"/>
    <w:unhideWhenUsed/>
    <w:rsid w:val="009B39EE"/>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9B39EE"/>
  </w:style>
  <w:style w:type="paragraph" w:customStyle="1" w:styleId="NonEnumeratedMainHeader">
    <w:name w:val="Non Enumerated Main Header"/>
    <w:basedOn w:val="Normal"/>
    <w:next w:val="Normal"/>
    <w:qFormat/>
    <w:rsid w:val="004F2D04"/>
    <w:pPr>
      <w:spacing w:after="160" w:line="259" w:lineRule="auto"/>
    </w:pPr>
    <w:rPr>
      <w:rFonts w:ascii="Verdana" w:hAnsi="Verdana" w:cstheme="minorBidi"/>
      <w:b/>
      <w:sz w:val="24"/>
    </w:rPr>
  </w:style>
  <w:style w:type="paragraph" w:customStyle="1" w:styleId="DCTableHeader">
    <w:name w:val="DC Table Header"/>
    <w:basedOn w:val="Normal"/>
    <w:next w:val="Normal"/>
    <w:qFormat/>
    <w:rsid w:val="00621339"/>
    <w:pPr>
      <w:spacing w:after="160" w:line="259" w:lineRule="auto"/>
    </w:pPr>
    <w:rPr>
      <w:rFonts w:ascii="Verdana" w:hAnsi="Verdana" w:cstheme="minorBidi"/>
      <w:b/>
      <w:sz w:val="20"/>
    </w:rPr>
  </w:style>
  <w:style w:type="table" w:customStyle="1" w:styleId="TableGrid1">
    <w:name w:val="Table Grid1"/>
    <w:basedOn w:val="TableNormal"/>
    <w:next w:val="TableGrid"/>
    <w:uiPriority w:val="59"/>
    <w:rsid w:val="00621339"/>
    <w:pPr>
      <w:spacing w:after="0" w:line="240" w:lineRule="auto"/>
    </w:pPr>
    <w:rPr>
      <w:sz w:val="18"/>
      <w:szCs w:val="18"/>
      <w:lang w:val="en-GB"/>
    </w:rPr>
    <w:tblPr/>
  </w:style>
  <w:style w:type="character" w:styleId="CommentReference">
    <w:name w:val="annotation reference"/>
    <w:basedOn w:val="DefaultParagraphFont"/>
    <w:rsid w:val="00621339"/>
    <w:rPr>
      <w:sz w:val="16"/>
      <w:szCs w:val="16"/>
    </w:rPr>
  </w:style>
  <w:style w:type="paragraph" w:styleId="CommentText">
    <w:name w:val="annotation text"/>
    <w:basedOn w:val="Normal"/>
    <w:link w:val="CommentTextChar"/>
    <w:rsid w:val="00621339"/>
    <w:pPr>
      <w:spacing w:before="120"/>
    </w:pPr>
    <w:rPr>
      <w:rFonts w:ascii="Verdana" w:hAnsi="Verdana" w:cstheme="minorBidi"/>
      <w:sz w:val="18"/>
      <w:szCs w:val="20"/>
      <w:lang w:val="en-GB"/>
    </w:rPr>
  </w:style>
  <w:style w:type="character" w:customStyle="1" w:styleId="CommentTextChar">
    <w:name w:val="Comment Text Char"/>
    <w:basedOn w:val="DefaultParagraphFont"/>
    <w:link w:val="CommentText"/>
    <w:rsid w:val="00621339"/>
    <w:rPr>
      <w:rFonts w:ascii="Verdana" w:hAnsi="Verdana"/>
      <w:sz w:val="18"/>
      <w:szCs w:val="20"/>
      <w:lang w:val="en-GB"/>
    </w:rPr>
  </w:style>
  <w:style w:type="paragraph" w:customStyle="1" w:styleId="Tabletext">
    <w:name w:val="Table text"/>
    <w:basedOn w:val="Normal"/>
    <w:uiPriority w:val="1"/>
    <w:qFormat/>
    <w:rsid w:val="00442031"/>
    <w:pPr>
      <w:widowControl w:val="0"/>
      <w:spacing w:before="120" w:after="120" w:line="240" w:lineRule="atLeast"/>
    </w:pPr>
    <w:rPr>
      <w:rFonts w:ascii="Verdana" w:eastAsia="Times New Roman" w:hAnsi="Verdana" w:cs="Arial"/>
      <w:sz w:val="18"/>
      <w:szCs w:val="24"/>
    </w:rPr>
  </w:style>
  <w:style w:type="table" w:styleId="TableGrid">
    <w:name w:val="Table Grid"/>
    <w:aliases w:val="Table Grid WDS,Table Definitions Grid,Table Grid - None"/>
    <w:basedOn w:val="TableNormal"/>
    <w:uiPriority w:val="39"/>
    <w:rsid w:val="00621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1">
    <w:name w:val="Tablehead1"/>
    <w:basedOn w:val="Normal"/>
    <w:next w:val="Normal"/>
    <w:autoRedefine/>
    <w:qFormat/>
    <w:rsid w:val="00621339"/>
    <w:pPr>
      <w:keepNext/>
      <w:spacing w:before="60" w:after="60"/>
    </w:pPr>
    <w:rPr>
      <w:rFonts w:ascii="Verdana" w:eastAsia="Times New Roman" w:hAnsi="Verdana" w:cs="Times New Roman"/>
      <w:b/>
      <w:bCs/>
      <w:color w:val="FFFFFF" w:themeColor="background1"/>
      <w:sz w:val="18"/>
      <w:szCs w:val="20"/>
      <w:lang w:val="en-GB"/>
    </w:rPr>
  </w:style>
  <w:style w:type="paragraph" w:customStyle="1" w:styleId="NYBodyText">
    <w:name w:val="NY Body Text"/>
    <w:basedOn w:val="Normal"/>
    <w:autoRedefine/>
    <w:qFormat/>
    <w:rsid w:val="00B81339"/>
    <w:pPr>
      <w:spacing w:before="120" w:after="120" w:line="240" w:lineRule="atLeast"/>
    </w:pPr>
    <w:rPr>
      <w:rFonts w:ascii="Verdana" w:hAnsi="Verdana" w:cstheme="minorBidi"/>
      <w:sz w:val="18"/>
      <w:shd w:val="clear" w:color="auto" w:fill="FFFFFF"/>
      <w:lang w:val="en-GB"/>
    </w:rPr>
  </w:style>
  <w:style w:type="character" w:customStyle="1" w:styleId="Heading1Char">
    <w:name w:val="Heading 1 Char"/>
    <w:basedOn w:val="DefaultParagraphFont"/>
    <w:link w:val="Heading1"/>
    <w:uiPriority w:val="12"/>
    <w:rsid w:val="005A1DB3"/>
    <w:rPr>
      <w:rFonts w:ascii="Verdana" w:eastAsiaTheme="majorEastAsia" w:hAnsi="Verdana" w:cstheme="majorBidi"/>
      <w:b/>
      <w:sz w:val="18"/>
      <w:szCs w:val="32"/>
    </w:rPr>
  </w:style>
  <w:style w:type="character" w:customStyle="1" w:styleId="Heading2Char">
    <w:name w:val="Heading 2 Char"/>
    <w:basedOn w:val="DefaultParagraphFont"/>
    <w:link w:val="Heading2"/>
    <w:uiPriority w:val="13"/>
    <w:rsid w:val="00EC0BCF"/>
    <w:rPr>
      <w:rFonts w:ascii="Verdana" w:eastAsiaTheme="majorEastAsia" w:hAnsi="Verdana" w:cstheme="majorBidi"/>
      <w:b/>
      <w:sz w:val="18"/>
      <w:szCs w:val="26"/>
    </w:rPr>
  </w:style>
  <w:style w:type="character" w:customStyle="1" w:styleId="Heading3Char">
    <w:name w:val="Heading 3 Char"/>
    <w:basedOn w:val="DefaultParagraphFont"/>
    <w:link w:val="Heading3"/>
    <w:uiPriority w:val="9"/>
    <w:rsid w:val="005A1DB3"/>
    <w:rPr>
      <w:rFonts w:ascii="Verdana" w:eastAsiaTheme="majorEastAsia" w:hAnsi="Verdana" w:cstheme="majorBidi"/>
      <w:b/>
      <w:sz w:val="18"/>
      <w:szCs w:val="32"/>
    </w:rPr>
  </w:style>
  <w:style w:type="character" w:customStyle="1" w:styleId="Heading4Char">
    <w:name w:val="Heading 4 Char"/>
    <w:basedOn w:val="DefaultParagraphFont"/>
    <w:link w:val="Heading4"/>
    <w:uiPriority w:val="9"/>
    <w:rsid w:val="00367B36"/>
    <w:rPr>
      <w:rFonts w:ascii="Verdana" w:eastAsiaTheme="majorEastAsia" w:hAnsi="Verdana" w:cstheme="majorBidi"/>
      <w:b/>
      <w:sz w:val="18"/>
      <w:szCs w:val="32"/>
      <w:u w:color="000000"/>
    </w:rPr>
  </w:style>
  <w:style w:type="character" w:customStyle="1" w:styleId="Heading5Char">
    <w:name w:val="Heading 5 Char"/>
    <w:basedOn w:val="DefaultParagraphFont"/>
    <w:link w:val="Heading5"/>
    <w:uiPriority w:val="9"/>
    <w:rsid w:val="005A1DB3"/>
    <w:rPr>
      <w:rFonts w:ascii="Verdana" w:eastAsiaTheme="majorEastAsia" w:hAnsi="Verdana" w:cstheme="majorBidi"/>
      <w:b/>
      <w:sz w:val="18"/>
      <w:szCs w:val="32"/>
    </w:rPr>
  </w:style>
  <w:style w:type="paragraph" w:styleId="TOC1">
    <w:name w:val="toc 1"/>
    <w:aliases w:val="TOC Body Header"/>
    <w:basedOn w:val="Normal"/>
    <w:next w:val="Normal"/>
    <w:autoRedefine/>
    <w:uiPriority w:val="39"/>
    <w:unhideWhenUsed/>
    <w:rsid w:val="00ED1AE5"/>
    <w:pPr>
      <w:tabs>
        <w:tab w:val="right" w:leader="dot" w:pos="9350"/>
      </w:tabs>
      <w:spacing w:before="120" w:after="120" w:line="240" w:lineRule="atLeast"/>
      <w:ind w:left="432" w:hanging="432"/>
    </w:pPr>
    <w:rPr>
      <w:rFonts w:ascii="Verdana" w:hAnsi="Verdana" w:cstheme="minorBidi"/>
      <w:b/>
      <w:noProof/>
      <w:sz w:val="18"/>
    </w:rPr>
  </w:style>
  <w:style w:type="paragraph" w:styleId="TOC2">
    <w:name w:val="toc 2"/>
    <w:aliases w:val="TOC,Body Text Subsections"/>
    <w:basedOn w:val="Normal"/>
    <w:next w:val="Normal"/>
    <w:autoRedefine/>
    <w:uiPriority w:val="39"/>
    <w:unhideWhenUsed/>
    <w:qFormat/>
    <w:rsid w:val="008374E2"/>
    <w:pPr>
      <w:tabs>
        <w:tab w:val="left" w:pos="1320"/>
        <w:tab w:val="right" w:leader="dot" w:pos="9350"/>
      </w:tabs>
      <w:spacing w:before="120" w:after="120" w:line="240" w:lineRule="atLeast"/>
      <w:ind w:left="821" w:hanging="634"/>
    </w:pPr>
    <w:rPr>
      <w:rFonts w:ascii="Verdana" w:hAnsi="Verdana" w:cstheme="minorBidi"/>
      <w:b/>
      <w:noProof/>
      <w:sz w:val="18"/>
      <w:lang w:val="en-GB"/>
    </w:rPr>
  </w:style>
  <w:style w:type="paragraph" w:styleId="TOC3">
    <w:name w:val="toc 3"/>
    <w:basedOn w:val="Normal"/>
    <w:next w:val="Normal"/>
    <w:autoRedefine/>
    <w:uiPriority w:val="39"/>
    <w:unhideWhenUsed/>
    <w:qFormat/>
    <w:rsid w:val="00ED1AE5"/>
    <w:pPr>
      <w:tabs>
        <w:tab w:val="left" w:pos="1440"/>
        <w:tab w:val="left" w:pos="1710"/>
        <w:tab w:val="right" w:leader="dot" w:pos="9350"/>
      </w:tabs>
      <w:spacing w:before="120" w:after="120" w:line="240" w:lineRule="atLeast"/>
      <w:ind w:left="1238" w:hanging="864"/>
    </w:pPr>
    <w:rPr>
      <w:rFonts w:ascii="Verdana" w:eastAsiaTheme="minorEastAsia" w:hAnsi="Verdana" w:cstheme="minorBidi"/>
      <w:noProof/>
      <w:kern w:val="2"/>
      <w:sz w:val="18"/>
      <w14:ligatures w14:val="standardContextual"/>
    </w:rPr>
  </w:style>
  <w:style w:type="paragraph" w:styleId="TOC4">
    <w:name w:val="toc 4"/>
    <w:basedOn w:val="Normal"/>
    <w:next w:val="Normal"/>
    <w:autoRedefine/>
    <w:uiPriority w:val="39"/>
    <w:unhideWhenUsed/>
    <w:rsid w:val="0043174F"/>
    <w:pPr>
      <w:tabs>
        <w:tab w:val="left" w:pos="2592"/>
        <w:tab w:val="right" w:leader="dot" w:pos="9350"/>
      </w:tabs>
      <w:spacing w:before="120" w:after="120" w:line="240" w:lineRule="atLeast"/>
      <w:ind w:left="1613" w:hanging="1008"/>
    </w:pPr>
    <w:rPr>
      <w:rFonts w:ascii="Verdana" w:hAnsi="Verdana" w:cstheme="minorBidi"/>
      <w:sz w:val="18"/>
    </w:rPr>
  </w:style>
  <w:style w:type="paragraph" w:styleId="TOC5">
    <w:name w:val="toc 5"/>
    <w:basedOn w:val="Normal"/>
    <w:next w:val="Normal"/>
    <w:autoRedefine/>
    <w:uiPriority w:val="39"/>
    <w:unhideWhenUsed/>
    <w:rsid w:val="00F4777C"/>
    <w:pPr>
      <w:spacing w:before="120" w:line="259" w:lineRule="auto"/>
      <w:ind w:left="878"/>
    </w:pPr>
    <w:rPr>
      <w:rFonts w:ascii="Verdana" w:hAnsi="Verdana" w:cstheme="minorBidi"/>
      <w:sz w:val="18"/>
    </w:rPr>
  </w:style>
  <w:style w:type="paragraph" w:customStyle="1" w:styleId="MainBodyText">
    <w:name w:val="Main Body Text"/>
    <w:basedOn w:val="Normal"/>
    <w:link w:val="MainBodyTextChar"/>
    <w:autoRedefine/>
    <w:qFormat/>
    <w:rsid w:val="003A48DB"/>
    <w:pPr>
      <w:spacing w:before="120" w:after="120" w:line="240" w:lineRule="atLeast"/>
      <w:ind w:left="450"/>
    </w:pPr>
    <w:rPr>
      <w:rFonts w:ascii="Verdana" w:hAnsi="Verdana" w:cstheme="minorBidi"/>
      <w:sz w:val="18"/>
      <w:szCs w:val="18"/>
      <w:lang w:val="en-GB"/>
    </w:rPr>
  </w:style>
  <w:style w:type="character" w:customStyle="1" w:styleId="MainBodyTextChar">
    <w:name w:val="Main Body Text Char"/>
    <w:basedOn w:val="DefaultParagraphFont"/>
    <w:link w:val="MainBodyText"/>
    <w:rsid w:val="003A48DB"/>
    <w:rPr>
      <w:rFonts w:ascii="Verdana" w:hAnsi="Verdana"/>
      <w:sz w:val="18"/>
      <w:szCs w:val="18"/>
      <w:lang w:val="en-GB"/>
    </w:rPr>
  </w:style>
  <w:style w:type="paragraph" w:customStyle="1" w:styleId="NYCaption">
    <w:name w:val="NY Caption"/>
    <w:aliases w:val="Table Caption"/>
    <w:basedOn w:val="NYBodyText"/>
    <w:qFormat/>
    <w:rsid w:val="003301FE"/>
    <w:rPr>
      <w:i/>
      <w:color w:val="44546A"/>
    </w:rPr>
  </w:style>
  <w:style w:type="paragraph" w:styleId="Caption">
    <w:name w:val="caption"/>
    <w:aliases w:val="D_Figure title"/>
    <w:basedOn w:val="Normal"/>
    <w:next w:val="Normal"/>
    <w:link w:val="CaptionChar"/>
    <w:unhideWhenUsed/>
    <w:qFormat/>
    <w:rsid w:val="00C66333"/>
    <w:pPr>
      <w:spacing w:before="60" w:after="200"/>
      <w:jc w:val="center"/>
    </w:pPr>
    <w:rPr>
      <w:rFonts w:ascii="Verdana" w:hAnsi="Verdana" w:cstheme="minorBidi"/>
      <w:b/>
      <w:iCs/>
      <w:noProof/>
      <w:sz w:val="18"/>
      <w:szCs w:val="18"/>
      <w:u w:color="000000"/>
    </w:rPr>
  </w:style>
  <w:style w:type="paragraph" w:styleId="TableofFigures">
    <w:name w:val="table of figures"/>
    <w:aliases w:val="Body Header"/>
    <w:basedOn w:val="Normal"/>
    <w:next w:val="Normal"/>
    <w:uiPriority w:val="99"/>
    <w:unhideWhenUsed/>
    <w:qFormat/>
    <w:rsid w:val="00982AAE"/>
    <w:pPr>
      <w:tabs>
        <w:tab w:val="right" w:leader="dot" w:pos="9350"/>
      </w:tabs>
      <w:spacing w:before="120" w:line="259" w:lineRule="auto"/>
    </w:pPr>
    <w:rPr>
      <w:rFonts w:ascii="Verdana" w:hAnsi="Verdana" w:cstheme="minorBidi"/>
      <w:sz w:val="18"/>
    </w:rPr>
  </w:style>
  <w:style w:type="character" w:styleId="Hyperlink">
    <w:name w:val="Hyperlink"/>
    <w:basedOn w:val="DefaultParagraphFont"/>
    <w:uiPriority w:val="99"/>
    <w:unhideWhenUsed/>
    <w:rsid w:val="00AA3230"/>
    <w:rPr>
      <w:color w:val="0563C1" w:themeColor="hyperlink"/>
      <w:u w:val="single"/>
    </w:rPr>
  </w:style>
  <w:style w:type="paragraph" w:customStyle="1" w:styleId="BulletList">
    <w:name w:val="Bullet List"/>
    <w:aliases w:val="in Main Body Text"/>
    <w:basedOn w:val="MainBodyText"/>
    <w:autoRedefine/>
    <w:rsid w:val="00E76A02"/>
    <w:pPr>
      <w:numPr>
        <w:numId w:val="2"/>
      </w:numPr>
    </w:pPr>
  </w:style>
  <w:style w:type="table" w:customStyle="1" w:styleId="ProcessSteps">
    <w:name w:val="Process Steps"/>
    <w:basedOn w:val="TableNormal"/>
    <w:uiPriority w:val="99"/>
    <w:rsid w:val="002C2C7B"/>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paragraph" w:styleId="Revision">
    <w:name w:val="Revision"/>
    <w:hidden/>
    <w:uiPriority w:val="99"/>
    <w:semiHidden/>
    <w:rsid w:val="00750CB3"/>
    <w:pPr>
      <w:spacing w:after="0" w:line="240" w:lineRule="auto"/>
    </w:pPr>
  </w:style>
  <w:style w:type="character" w:customStyle="1" w:styleId="Heading6Char">
    <w:name w:val="Heading 6 Char"/>
    <w:basedOn w:val="DefaultParagraphFont"/>
    <w:link w:val="Heading6"/>
    <w:uiPriority w:val="9"/>
    <w:rsid w:val="000C2344"/>
    <w:rPr>
      <w:rFonts w:ascii="Arial" w:eastAsia="Times New Roman" w:hAnsi="Arial" w:cs="Times New Roman"/>
      <w:i/>
      <w:color w:val="000000" w:themeColor="text1"/>
      <w:sz w:val="18"/>
      <w:szCs w:val="20"/>
      <w:u w:color="000000" w:themeColor="text1"/>
    </w:rPr>
  </w:style>
  <w:style w:type="character" w:customStyle="1" w:styleId="Heading7Char">
    <w:name w:val="Heading 7 Char"/>
    <w:basedOn w:val="DefaultParagraphFont"/>
    <w:link w:val="Heading7"/>
    <w:uiPriority w:val="9"/>
    <w:rsid w:val="000C2344"/>
    <w:rPr>
      <w:rFonts w:ascii="Arial" w:eastAsia="Times New Roman" w:hAnsi="Arial" w:cs="Times New Roman"/>
      <w:i/>
      <w:color w:val="000000"/>
      <w:sz w:val="18"/>
      <w:szCs w:val="20"/>
      <w:u w:color="000000" w:themeColor="text1"/>
    </w:rPr>
  </w:style>
  <w:style w:type="character" w:customStyle="1" w:styleId="Heading8Char">
    <w:name w:val="Heading 8 Char"/>
    <w:basedOn w:val="DefaultParagraphFont"/>
    <w:link w:val="Heading8"/>
    <w:uiPriority w:val="9"/>
    <w:semiHidden/>
    <w:rsid w:val="000C2344"/>
    <w:rPr>
      <w:rFonts w:ascii="Arial" w:eastAsia="Times New Roman" w:hAnsi="Arial" w:cs="Times New Roman"/>
      <w:i/>
      <w:color w:val="000000" w:themeColor="text1"/>
      <w:sz w:val="18"/>
      <w:szCs w:val="20"/>
      <w:u w:color="000000" w:themeColor="text1"/>
    </w:rPr>
  </w:style>
  <w:style w:type="character" w:customStyle="1" w:styleId="Heading9Char">
    <w:name w:val="Heading 9 Char"/>
    <w:basedOn w:val="DefaultParagraphFont"/>
    <w:link w:val="Heading9"/>
    <w:uiPriority w:val="9"/>
    <w:semiHidden/>
    <w:rsid w:val="000C2344"/>
    <w:rPr>
      <w:rFonts w:ascii="Arial" w:eastAsia="Times New Roman" w:hAnsi="Arial" w:cs="Times New Roman"/>
      <w:i/>
      <w:color w:val="FFFFFF"/>
      <w:sz w:val="18"/>
      <w:szCs w:val="20"/>
      <w:u w:color="000000" w:themeColor="text1"/>
    </w:rPr>
  </w:style>
  <w:style w:type="paragraph" w:styleId="BodyText">
    <w:name w:val="Body Text"/>
    <w:basedOn w:val="Normal"/>
    <w:link w:val="BodyTextChar"/>
    <w:uiPriority w:val="99"/>
    <w:rsid w:val="000C2344"/>
    <w:pPr>
      <w:jc w:val="both"/>
    </w:pPr>
    <w:rPr>
      <w:rFonts w:ascii="Tahoma" w:eastAsia="Times New Roman" w:hAnsi="Tahoma" w:cs="Tahoma"/>
      <w:i/>
      <w:iCs/>
      <w:color w:val="000000" w:themeColor="text1"/>
      <w:sz w:val="20"/>
      <w:szCs w:val="20"/>
      <w:u w:color="000000" w:themeColor="text1"/>
    </w:rPr>
  </w:style>
  <w:style w:type="character" w:customStyle="1" w:styleId="BodyTextChar">
    <w:name w:val="Body Text Char"/>
    <w:basedOn w:val="DefaultParagraphFont"/>
    <w:link w:val="BodyText"/>
    <w:uiPriority w:val="99"/>
    <w:rsid w:val="000C2344"/>
    <w:rPr>
      <w:rFonts w:ascii="Tahoma" w:eastAsia="Times New Roman" w:hAnsi="Tahoma" w:cs="Tahoma"/>
      <w:i/>
      <w:iCs/>
      <w:color w:val="000000" w:themeColor="text1"/>
      <w:sz w:val="20"/>
      <w:szCs w:val="20"/>
      <w:u w:color="000000" w:themeColor="text1"/>
    </w:rPr>
  </w:style>
  <w:style w:type="paragraph" w:styleId="BodyText3">
    <w:name w:val="Body Text 3"/>
    <w:basedOn w:val="Normal"/>
    <w:link w:val="BodyText3Char"/>
    <w:semiHidden/>
    <w:rsid w:val="000C2344"/>
    <w:pPr>
      <w:jc w:val="center"/>
    </w:pPr>
    <w:rPr>
      <w:rFonts w:ascii="Tahoma" w:eastAsia="Times New Roman" w:hAnsi="Tahoma" w:cs="Tahoma"/>
      <w:b/>
      <w:bCs/>
      <w:color w:val="000000" w:themeColor="text1"/>
      <w:sz w:val="20"/>
      <w:szCs w:val="20"/>
      <w:u w:color="000000" w:themeColor="text1"/>
    </w:rPr>
  </w:style>
  <w:style w:type="character" w:customStyle="1" w:styleId="BodyText3Char">
    <w:name w:val="Body Text 3 Char"/>
    <w:basedOn w:val="DefaultParagraphFont"/>
    <w:link w:val="BodyText3"/>
    <w:semiHidden/>
    <w:rsid w:val="000C2344"/>
    <w:rPr>
      <w:rFonts w:ascii="Tahoma" w:eastAsia="Times New Roman" w:hAnsi="Tahoma" w:cs="Tahoma"/>
      <w:b/>
      <w:bCs/>
      <w:color w:val="000000" w:themeColor="text1"/>
      <w:sz w:val="20"/>
      <w:szCs w:val="20"/>
      <w:u w:color="000000" w:themeColor="text1"/>
    </w:rPr>
  </w:style>
  <w:style w:type="character" w:styleId="PageNumber">
    <w:name w:val="page number"/>
    <w:basedOn w:val="DefaultParagraphFont"/>
    <w:semiHidden/>
    <w:rsid w:val="000C2344"/>
  </w:style>
  <w:style w:type="paragraph" w:styleId="BodyText2">
    <w:name w:val="Body Text 2"/>
    <w:basedOn w:val="Normal"/>
    <w:link w:val="BodyText2Char"/>
    <w:semiHidden/>
    <w:rsid w:val="000C2344"/>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i/>
      <w:iCs/>
      <w:color w:val="000000" w:themeColor="text1"/>
      <w:sz w:val="20"/>
      <w:szCs w:val="20"/>
      <w:u w:color="000000" w:themeColor="text1"/>
    </w:rPr>
  </w:style>
  <w:style w:type="character" w:customStyle="1" w:styleId="BodyText2Char">
    <w:name w:val="Body Text 2 Char"/>
    <w:basedOn w:val="DefaultParagraphFont"/>
    <w:link w:val="BodyText2"/>
    <w:semiHidden/>
    <w:rsid w:val="000C2344"/>
    <w:rPr>
      <w:rFonts w:ascii="Arial" w:eastAsia="Times New Roman" w:hAnsi="Arial" w:cs="Times New Roman"/>
      <w:i/>
      <w:iCs/>
      <w:color w:val="000000" w:themeColor="text1"/>
      <w:sz w:val="20"/>
      <w:szCs w:val="20"/>
      <w:u w:color="000000" w:themeColor="text1"/>
    </w:rPr>
  </w:style>
  <w:style w:type="paragraph" w:styleId="BodyTextIndent">
    <w:name w:val="Body Text Indent"/>
    <w:basedOn w:val="Normal"/>
    <w:link w:val="BodyTextIndentChar"/>
    <w:semiHidden/>
    <w:rsid w:val="000C2344"/>
    <w:pPr>
      <w:tabs>
        <w:tab w:val="left" w:pos="2028"/>
        <w:tab w:val="left" w:pos="4908"/>
        <w:tab w:val="left" w:pos="6948"/>
      </w:tabs>
      <w:spacing w:before="120"/>
      <w:ind w:left="-72"/>
      <w:jc w:val="both"/>
    </w:pPr>
    <w:rPr>
      <w:rFonts w:ascii="Tahoma" w:eastAsia="Times New Roman" w:hAnsi="Tahoma" w:cs="Tahoma"/>
      <w:b/>
      <w:bCs/>
      <w:color w:val="000000" w:themeColor="text1"/>
      <w:sz w:val="20"/>
      <w:szCs w:val="20"/>
      <w:u w:color="000000" w:themeColor="text1"/>
    </w:rPr>
  </w:style>
  <w:style w:type="character" w:customStyle="1" w:styleId="BodyTextIndentChar">
    <w:name w:val="Body Text Indent Char"/>
    <w:basedOn w:val="DefaultParagraphFont"/>
    <w:link w:val="BodyTextIndent"/>
    <w:semiHidden/>
    <w:rsid w:val="000C2344"/>
    <w:rPr>
      <w:rFonts w:ascii="Tahoma" w:eastAsia="Times New Roman" w:hAnsi="Tahoma" w:cs="Tahoma"/>
      <w:b/>
      <w:bCs/>
      <w:color w:val="000000" w:themeColor="text1"/>
      <w:sz w:val="20"/>
      <w:szCs w:val="20"/>
      <w:u w:color="000000" w:themeColor="text1"/>
    </w:rPr>
  </w:style>
  <w:style w:type="paragraph" w:styleId="BalloonText">
    <w:name w:val="Balloon Text"/>
    <w:basedOn w:val="Normal"/>
    <w:link w:val="BalloonTextChar"/>
    <w:uiPriority w:val="99"/>
    <w:unhideWhenUsed/>
    <w:rsid w:val="000C2344"/>
    <w:pPr>
      <w:jc w:val="both"/>
    </w:pPr>
    <w:rPr>
      <w:rFonts w:ascii="Tahoma" w:eastAsia="Times New Roman" w:hAnsi="Tahoma" w:cs="Tahoma"/>
      <w:color w:val="000000" w:themeColor="text1"/>
      <w:sz w:val="16"/>
      <w:szCs w:val="16"/>
      <w:u w:color="000000" w:themeColor="text1"/>
    </w:rPr>
  </w:style>
  <w:style w:type="character" w:customStyle="1" w:styleId="BalloonTextChar">
    <w:name w:val="Balloon Text Char"/>
    <w:basedOn w:val="DefaultParagraphFont"/>
    <w:link w:val="BalloonText"/>
    <w:uiPriority w:val="99"/>
    <w:rsid w:val="000C2344"/>
    <w:rPr>
      <w:rFonts w:ascii="Tahoma" w:eastAsia="Times New Roman" w:hAnsi="Tahoma" w:cs="Tahoma"/>
      <w:color w:val="000000" w:themeColor="text1"/>
      <w:sz w:val="16"/>
      <w:szCs w:val="16"/>
      <w:u w:color="000000" w:themeColor="text1"/>
    </w:rPr>
  </w:style>
  <w:style w:type="paragraph" w:customStyle="1" w:styleId="FooterEven">
    <w:name w:val="Footer Even"/>
    <w:basedOn w:val="Normal"/>
    <w:qFormat/>
    <w:rsid w:val="000C2344"/>
    <w:pPr>
      <w:pBdr>
        <w:top w:val="single" w:sz="4" w:space="1" w:color="4F81BD"/>
      </w:pBdr>
      <w:spacing w:after="180" w:line="264" w:lineRule="auto"/>
      <w:jc w:val="both"/>
    </w:pPr>
    <w:rPr>
      <w:rFonts w:eastAsia="Calibri" w:cs="Times New Roman"/>
      <w:color w:val="1F497D"/>
      <w:sz w:val="20"/>
      <w:szCs w:val="20"/>
      <w:u w:color="000000" w:themeColor="text1"/>
      <w:lang w:eastAsia="ja-JP"/>
    </w:rPr>
  </w:style>
  <w:style w:type="table" w:customStyle="1" w:styleId="Calendar3">
    <w:name w:val="Calendar 3"/>
    <w:basedOn w:val="TableNormal"/>
    <w:uiPriority w:val="99"/>
    <w:qFormat/>
    <w:rsid w:val="000C2344"/>
    <w:pPr>
      <w:spacing w:after="0" w:line="240" w:lineRule="auto"/>
      <w:jc w:val="right"/>
    </w:pPr>
    <w:rPr>
      <w:rFonts w:ascii="Cambria" w:eastAsia="MS Mincho" w:hAnsi="Cambria" w:cs="Arial"/>
      <w:color w:val="000000"/>
      <w:szCs w:val="20"/>
      <w:u w:color="000000" w:themeColor="text1"/>
      <w:lang w:eastAsia="ja-JP"/>
    </w:rPr>
    <w:tblPr/>
    <w:tblStylePr w:type="firstRow">
      <w:pPr>
        <w:wordWrap/>
        <w:jc w:val="right"/>
      </w:pPr>
      <w:rPr>
        <w:color w:val="4F81BD"/>
        <w:sz w:val="44"/>
      </w:rPr>
    </w:tblStylePr>
    <w:tblStylePr w:type="firstCol">
      <w:rPr>
        <w:color w:val="4F81BD"/>
      </w:rPr>
    </w:tblStylePr>
    <w:tblStylePr w:type="lastCol">
      <w:rPr>
        <w:color w:val="4F81BD"/>
      </w:rPr>
    </w:tblStylePr>
  </w:style>
  <w:style w:type="table" w:styleId="LightShading-Accent2">
    <w:name w:val="Light Shading Accent 2"/>
    <w:basedOn w:val="TableNormal"/>
    <w:uiPriority w:val="60"/>
    <w:rsid w:val="000C2344"/>
    <w:pPr>
      <w:spacing w:after="0" w:line="240" w:lineRule="auto"/>
    </w:pPr>
    <w:rPr>
      <w:rFonts w:ascii="Arial" w:eastAsia="Times New Roman" w:hAnsi="Arial" w:cs="Times New Roman"/>
      <w:color w:val="943634"/>
      <w:sz w:val="20"/>
      <w:szCs w:val="20"/>
      <w:u w:color="000000" w:themeColor="text1"/>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0C2344"/>
    <w:pPr>
      <w:spacing w:after="0" w:line="240" w:lineRule="auto"/>
    </w:pPr>
    <w:rPr>
      <w:rFonts w:ascii="Arial" w:eastAsia="Times New Roman" w:hAnsi="Arial" w:cs="Times New Roman"/>
      <w:color w:val="76923C"/>
      <w:sz w:val="20"/>
      <w:szCs w:val="20"/>
      <w:u w:color="000000" w:themeColor="text1"/>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
    <w:name w:val="Light Shading"/>
    <w:basedOn w:val="TableNormal"/>
    <w:uiPriority w:val="60"/>
    <w:rsid w:val="000C2344"/>
    <w:pPr>
      <w:spacing w:after="0" w:line="240" w:lineRule="auto"/>
    </w:pPr>
    <w:rPr>
      <w:rFonts w:ascii="Arial" w:eastAsia="Times New Roman" w:hAnsi="Arial" w:cs="Times New Roman"/>
      <w:color w:val="000000"/>
      <w:sz w:val="20"/>
      <w:szCs w:val="20"/>
      <w:u w:color="000000" w:themeColor="text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aliases w:val="Use Case List Paragraph,b1,Bullet for no #'s,B1,List Paragraph1"/>
    <w:basedOn w:val="Normal"/>
    <w:link w:val="ListParagraphChar"/>
    <w:uiPriority w:val="34"/>
    <w:qFormat/>
    <w:rsid w:val="000C2344"/>
    <w:pPr>
      <w:contextualSpacing/>
    </w:pPr>
    <w:rPr>
      <w:rFonts w:ascii="Arial" w:eastAsia="Times New Roman" w:hAnsi="Arial" w:cs="Arial"/>
      <w:color w:val="000000" w:themeColor="text1"/>
      <w:sz w:val="20"/>
      <w:szCs w:val="20"/>
      <w:u w:color="000000" w:themeColor="text1"/>
    </w:rPr>
  </w:style>
  <w:style w:type="character" w:customStyle="1" w:styleId="ListParagraphChar">
    <w:name w:val="List Paragraph Char"/>
    <w:aliases w:val="Use Case List Paragraph Char,b1 Char,Bullet for no #'s Char,B1 Char,List Paragraph1 Char"/>
    <w:link w:val="ListParagraph"/>
    <w:uiPriority w:val="34"/>
    <w:locked/>
    <w:rsid w:val="000C2344"/>
    <w:rPr>
      <w:rFonts w:ascii="Arial" w:eastAsia="Times New Roman" w:hAnsi="Arial" w:cs="Arial"/>
      <w:color w:val="000000" w:themeColor="text1"/>
      <w:sz w:val="20"/>
      <w:szCs w:val="20"/>
      <w:u w:color="000000" w:themeColor="text1"/>
    </w:rPr>
  </w:style>
  <w:style w:type="character" w:customStyle="1" w:styleId="unbalanced-text">
    <w:name w:val="unbalanced-text"/>
    <w:basedOn w:val="DefaultParagraphFont"/>
    <w:rsid w:val="000C2344"/>
  </w:style>
  <w:style w:type="paragraph" w:styleId="CommentSubject">
    <w:name w:val="annotation subject"/>
    <w:basedOn w:val="CommentText"/>
    <w:next w:val="CommentText"/>
    <w:link w:val="CommentSubjectChar"/>
    <w:uiPriority w:val="99"/>
    <w:semiHidden/>
    <w:unhideWhenUsed/>
    <w:rsid w:val="000C2344"/>
    <w:pPr>
      <w:spacing w:before="0"/>
      <w:jc w:val="both"/>
    </w:pPr>
    <w:rPr>
      <w:rFonts w:ascii="Arial" w:eastAsia="Times New Roman" w:hAnsi="Arial" w:cs="Times New Roman"/>
      <w:b/>
      <w:bCs/>
      <w:color w:val="000000" w:themeColor="text1"/>
      <w:sz w:val="20"/>
      <w:u w:color="000000" w:themeColor="text1"/>
      <w:lang w:val="en-US"/>
    </w:rPr>
  </w:style>
  <w:style w:type="character" w:customStyle="1" w:styleId="CommentSubjectChar">
    <w:name w:val="Comment Subject Char"/>
    <w:basedOn w:val="CommentTextChar"/>
    <w:link w:val="CommentSubject"/>
    <w:uiPriority w:val="99"/>
    <w:semiHidden/>
    <w:rsid w:val="000C2344"/>
    <w:rPr>
      <w:rFonts w:ascii="Arial" w:eastAsia="Times New Roman" w:hAnsi="Arial" w:cs="Times New Roman"/>
      <w:b/>
      <w:bCs/>
      <w:color w:val="000000" w:themeColor="text1"/>
      <w:sz w:val="20"/>
      <w:szCs w:val="20"/>
      <w:u w:color="000000" w:themeColor="text1"/>
      <w:lang w:val="en-GB"/>
    </w:rPr>
  </w:style>
  <w:style w:type="character" w:customStyle="1" w:styleId="Body1Char1">
    <w:name w:val="*Body 1 Char1"/>
    <w:link w:val="Body1"/>
    <w:locked/>
    <w:rsid w:val="000C2344"/>
    <w:rPr>
      <w:sz w:val="18"/>
      <w:lang w:val="x-none" w:eastAsia="x-none"/>
    </w:rPr>
  </w:style>
  <w:style w:type="paragraph" w:customStyle="1" w:styleId="Body1">
    <w:name w:val="*Body 1"/>
    <w:basedOn w:val="Normal"/>
    <w:link w:val="Body1Char1"/>
    <w:rsid w:val="000C2344"/>
    <w:pPr>
      <w:spacing w:after="180" w:line="240" w:lineRule="exact"/>
      <w:jc w:val="both"/>
    </w:pPr>
    <w:rPr>
      <w:rFonts w:asciiTheme="minorHAnsi" w:hAnsiTheme="minorHAnsi" w:cstheme="minorBidi"/>
      <w:sz w:val="18"/>
      <w:lang w:val="x-none" w:eastAsia="x-none"/>
    </w:rPr>
  </w:style>
  <w:style w:type="character" w:customStyle="1" w:styleId="Heading1Char0">
    <w:name w:val="*Heading 1 Char"/>
    <w:link w:val="heading10"/>
    <w:locked/>
    <w:rsid w:val="000C2344"/>
    <w:rPr>
      <w:rFonts w:ascii="Verdana" w:hAnsi="Verdana"/>
      <w:sz w:val="26"/>
      <w:szCs w:val="26"/>
      <w:lang w:val="x-none" w:eastAsia="x-none"/>
    </w:rPr>
  </w:style>
  <w:style w:type="paragraph" w:customStyle="1" w:styleId="heading10">
    <w:name w:val="heading 10"/>
    <w:basedOn w:val="Body1"/>
    <w:next w:val="Body1"/>
    <w:link w:val="Heading1Char0"/>
    <w:rsid w:val="000C2344"/>
    <w:pPr>
      <w:keepNext/>
      <w:numPr>
        <w:numId w:val="3"/>
      </w:numPr>
      <w:spacing w:before="240" w:after="240"/>
    </w:pPr>
    <w:rPr>
      <w:rFonts w:ascii="Verdana" w:hAnsi="Verdana"/>
      <w:sz w:val="26"/>
      <w:szCs w:val="26"/>
    </w:rPr>
  </w:style>
  <w:style w:type="paragraph" w:customStyle="1" w:styleId="heading20">
    <w:name w:val="heading 20"/>
    <w:basedOn w:val="Body1"/>
    <w:rsid w:val="000C2344"/>
    <w:pPr>
      <w:keepNext/>
      <w:numPr>
        <w:ilvl w:val="1"/>
        <w:numId w:val="3"/>
      </w:numPr>
      <w:tabs>
        <w:tab w:val="num" w:pos="360"/>
      </w:tabs>
      <w:spacing w:before="120" w:after="240"/>
      <w:ind w:left="720" w:hanging="360"/>
      <w:outlineLvl w:val="1"/>
    </w:pPr>
    <w:rPr>
      <w:i/>
      <w:color w:val="000000"/>
      <w:sz w:val="26"/>
      <w:szCs w:val="30"/>
    </w:rPr>
  </w:style>
  <w:style w:type="paragraph" w:customStyle="1" w:styleId="heading30">
    <w:name w:val="heading 30"/>
    <w:basedOn w:val="Body1"/>
    <w:next w:val="Body1"/>
    <w:rsid w:val="000C2344"/>
    <w:pPr>
      <w:keepNext/>
      <w:numPr>
        <w:ilvl w:val="2"/>
        <w:numId w:val="3"/>
      </w:numPr>
      <w:tabs>
        <w:tab w:val="num" w:pos="360"/>
        <w:tab w:val="num" w:pos="1800"/>
      </w:tabs>
      <w:spacing w:before="120" w:after="120"/>
      <w:ind w:left="810" w:hanging="360"/>
      <w:outlineLvl w:val="2"/>
    </w:pPr>
    <w:rPr>
      <w:sz w:val="22"/>
    </w:rPr>
  </w:style>
  <w:style w:type="character" w:customStyle="1" w:styleId="KeaneBodyCharChar">
    <w:name w:val="Keane Body Char Char"/>
    <w:link w:val="KBodytext"/>
    <w:uiPriority w:val="99"/>
    <w:locked/>
    <w:rsid w:val="000C2344"/>
    <w:rPr>
      <w:sz w:val="24"/>
      <w:szCs w:val="24"/>
    </w:rPr>
  </w:style>
  <w:style w:type="paragraph" w:customStyle="1" w:styleId="KBodytext">
    <w:name w:val="KBody_text"/>
    <w:aliases w:val="bt,KBody_Text,Body_Text,kea_bt,Paragraph_Text,Keane Body,AMBody Text,mo_bt,KResumeBody_text"/>
    <w:link w:val="KeaneBodyCharChar"/>
    <w:uiPriority w:val="99"/>
    <w:rsid w:val="000C2344"/>
    <w:pPr>
      <w:spacing w:before="120" w:after="120" w:line="240" w:lineRule="auto"/>
    </w:pPr>
    <w:rPr>
      <w:sz w:val="24"/>
      <w:szCs w:val="24"/>
    </w:rPr>
  </w:style>
  <w:style w:type="character" w:customStyle="1" w:styleId="0CSBodyTextChar">
    <w:name w:val="0CS Body Text Char"/>
    <w:link w:val="0CSBodyText"/>
    <w:locked/>
    <w:rsid w:val="000C2344"/>
  </w:style>
  <w:style w:type="paragraph" w:customStyle="1" w:styleId="0CSBodyText">
    <w:name w:val="0CS Body Text"/>
    <w:link w:val="0CSBodyTextChar"/>
    <w:rsid w:val="000C2344"/>
    <w:pPr>
      <w:spacing w:before="160" w:line="300" w:lineRule="exact"/>
    </w:pPr>
  </w:style>
  <w:style w:type="paragraph" w:styleId="TOCHeading">
    <w:name w:val="TOC Heading"/>
    <w:aliases w:val="TOC Tables Heading"/>
    <w:basedOn w:val="Heading1"/>
    <w:next w:val="Normal"/>
    <w:uiPriority w:val="39"/>
    <w:unhideWhenUsed/>
    <w:qFormat/>
    <w:rsid w:val="000C2344"/>
    <w:pPr>
      <w:numPr>
        <w:numId w:val="0"/>
      </w:numPr>
      <w:tabs>
        <w:tab w:val="left" w:pos="720"/>
      </w:tabs>
      <w:spacing w:before="120"/>
      <w:jc w:val="both"/>
      <w:outlineLvl w:val="9"/>
    </w:pPr>
    <w:rPr>
      <w:rFonts w:asciiTheme="majorHAnsi" w:hAnsiTheme="majorHAnsi"/>
      <w:i/>
      <w:color w:val="2F5496" w:themeColor="accent1" w:themeShade="BF"/>
      <w:sz w:val="32"/>
      <w:u w:color="000000" w:themeColor="text1"/>
    </w:rPr>
  </w:style>
  <w:style w:type="paragraph" w:customStyle="1" w:styleId="Variable">
    <w:name w:val="Variable"/>
    <w:basedOn w:val="Normal"/>
    <w:link w:val="VariableChar"/>
    <w:qFormat/>
    <w:rsid w:val="000C2344"/>
    <w:pPr>
      <w:jc w:val="both"/>
    </w:pPr>
    <w:rPr>
      <w:rFonts w:ascii="Arial" w:eastAsia="Times New Roman" w:hAnsi="Arial" w:cs="Times New Roman"/>
      <w:i/>
      <w:color w:val="002060"/>
      <w:sz w:val="20"/>
      <w:szCs w:val="20"/>
      <w:u w:color="000000" w:themeColor="text1"/>
    </w:rPr>
  </w:style>
  <w:style w:type="character" w:customStyle="1" w:styleId="VariableChar">
    <w:name w:val="Variable Char"/>
    <w:basedOn w:val="DefaultParagraphFont"/>
    <w:link w:val="Variable"/>
    <w:rsid w:val="000C2344"/>
    <w:rPr>
      <w:rFonts w:ascii="Arial" w:eastAsia="Times New Roman" w:hAnsi="Arial" w:cs="Times New Roman"/>
      <w:i/>
      <w:color w:val="002060"/>
      <w:sz w:val="20"/>
      <w:szCs w:val="20"/>
      <w:u w:color="000000" w:themeColor="text1"/>
    </w:rPr>
  </w:style>
  <w:style w:type="paragraph" w:customStyle="1" w:styleId="pmotableheader">
    <w:name w:val="pmo_table_header"/>
    <w:basedOn w:val="Normal"/>
    <w:next w:val="Normal"/>
    <w:link w:val="pmotableheaderChar"/>
    <w:rsid w:val="000C2344"/>
    <w:rPr>
      <w:rFonts w:ascii="Arial" w:eastAsia="Times New Roman" w:hAnsi="Arial" w:cs="Times New Roman"/>
      <w:b/>
      <w:color w:val="000000" w:themeColor="text1"/>
      <w:sz w:val="24"/>
      <w:szCs w:val="20"/>
      <w:u w:color="000000" w:themeColor="text1"/>
    </w:rPr>
  </w:style>
  <w:style w:type="character" w:customStyle="1" w:styleId="pmotableheaderChar">
    <w:name w:val="pmo_table_header Char"/>
    <w:link w:val="pmotableheader"/>
    <w:rsid w:val="000C2344"/>
    <w:rPr>
      <w:rFonts w:ascii="Arial" w:eastAsia="Times New Roman" w:hAnsi="Arial" w:cs="Times New Roman"/>
      <w:b/>
      <w:color w:val="000000" w:themeColor="text1"/>
      <w:sz w:val="24"/>
      <w:szCs w:val="20"/>
      <w:u w:color="000000" w:themeColor="text1"/>
    </w:rPr>
  </w:style>
  <w:style w:type="paragraph" w:styleId="FootnoteText">
    <w:name w:val="footnote text"/>
    <w:basedOn w:val="Normal"/>
    <w:link w:val="FootnoteTextChar"/>
    <w:unhideWhenUsed/>
    <w:rsid w:val="000C2344"/>
    <w:pPr>
      <w:jc w:val="both"/>
    </w:pPr>
    <w:rPr>
      <w:rFonts w:ascii="Arial" w:eastAsia="Times New Roman" w:hAnsi="Arial" w:cs="Times New Roman"/>
      <w:color w:val="000000" w:themeColor="text1"/>
      <w:sz w:val="20"/>
      <w:szCs w:val="20"/>
      <w:u w:color="000000" w:themeColor="text1"/>
    </w:rPr>
  </w:style>
  <w:style w:type="character" w:customStyle="1" w:styleId="FootnoteTextChar">
    <w:name w:val="Footnote Text Char"/>
    <w:basedOn w:val="DefaultParagraphFont"/>
    <w:link w:val="FootnoteText"/>
    <w:rsid w:val="000C2344"/>
    <w:rPr>
      <w:rFonts w:ascii="Arial" w:eastAsia="Times New Roman" w:hAnsi="Arial" w:cs="Times New Roman"/>
      <w:color w:val="000000" w:themeColor="text1"/>
      <w:sz w:val="20"/>
      <w:szCs w:val="20"/>
      <w:u w:color="000000" w:themeColor="text1"/>
    </w:rPr>
  </w:style>
  <w:style w:type="character" w:styleId="FootnoteReference">
    <w:name w:val="footnote reference"/>
    <w:basedOn w:val="DefaultParagraphFont"/>
    <w:unhideWhenUsed/>
    <w:rsid w:val="000C2344"/>
    <w:rPr>
      <w:vertAlign w:val="superscript"/>
    </w:rPr>
  </w:style>
  <w:style w:type="character" w:styleId="UnresolvedMention">
    <w:name w:val="Unresolved Mention"/>
    <w:basedOn w:val="DefaultParagraphFont"/>
    <w:uiPriority w:val="99"/>
    <w:unhideWhenUsed/>
    <w:rsid w:val="000C2344"/>
    <w:rPr>
      <w:color w:val="605E5C"/>
      <w:shd w:val="clear" w:color="auto" w:fill="E1DFDD"/>
    </w:rPr>
  </w:style>
  <w:style w:type="table" w:styleId="MediumGrid3">
    <w:name w:val="Medium Grid 3"/>
    <w:basedOn w:val="TableNormal"/>
    <w:uiPriority w:val="69"/>
    <w:rsid w:val="000C2344"/>
    <w:pPr>
      <w:spacing w:after="0" w:line="240" w:lineRule="auto"/>
    </w:pPr>
    <w:rPr>
      <w:szCs w:val="20"/>
      <w:u w:color="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pmotableheader2">
    <w:name w:val="pmo_table_header2"/>
    <w:basedOn w:val="pmotableheader"/>
    <w:next w:val="Normal"/>
    <w:rsid w:val="000C2344"/>
    <w:rPr>
      <w:color w:val="auto"/>
      <w:sz w:val="20"/>
      <w:szCs w:val="24"/>
    </w:rPr>
  </w:style>
  <w:style w:type="paragraph" w:customStyle="1" w:styleId="RegularText">
    <w:name w:val="Regular Text"/>
    <w:basedOn w:val="PlainText"/>
    <w:link w:val="RegularTextChar"/>
    <w:rsid w:val="000C2344"/>
    <w:pPr>
      <w:spacing w:line="288" w:lineRule="auto"/>
      <w:jc w:val="left"/>
    </w:pPr>
    <w:rPr>
      <w:rFonts w:ascii="Arial" w:hAnsi="Arial" w:cs="Courier New"/>
      <w:color w:val="333333"/>
      <w:sz w:val="20"/>
      <w:szCs w:val="20"/>
    </w:rPr>
  </w:style>
  <w:style w:type="paragraph" w:styleId="PlainText">
    <w:name w:val="Plain Text"/>
    <w:basedOn w:val="Normal"/>
    <w:link w:val="PlainTextChar"/>
    <w:uiPriority w:val="99"/>
    <w:semiHidden/>
    <w:unhideWhenUsed/>
    <w:rsid w:val="000C2344"/>
    <w:pPr>
      <w:jc w:val="both"/>
    </w:pPr>
    <w:rPr>
      <w:rFonts w:ascii="Consolas" w:eastAsia="Times New Roman" w:hAnsi="Consolas" w:cs="Times New Roman"/>
      <w:color w:val="000000" w:themeColor="text1"/>
      <w:sz w:val="21"/>
      <w:szCs w:val="21"/>
      <w:u w:color="000000" w:themeColor="text1"/>
    </w:rPr>
  </w:style>
  <w:style w:type="character" w:customStyle="1" w:styleId="PlainTextChar">
    <w:name w:val="Plain Text Char"/>
    <w:basedOn w:val="DefaultParagraphFont"/>
    <w:link w:val="PlainText"/>
    <w:uiPriority w:val="99"/>
    <w:semiHidden/>
    <w:rsid w:val="000C2344"/>
    <w:rPr>
      <w:rFonts w:ascii="Consolas" w:eastAsia="Times New Roman" w:hAnsi="Consolas" w:cs="Times New Roman"/>
      <w:color w:val="000000" w:themeColor="text1"/>
      <w:sz w:val="21"/>
      <w:szCs w:val="21"/>
      <w:u w:color="000000" w:themeColor="text1"/>
    </w:rPr>
  </w:style>
  <w:style w:type="character" w:customStyle="1" w:styleId="RegularTextChar">
    <w:name w:val="Regular Text Char"/>
    <w:link w:val="RegularText"/>
    <w:rsid w:val="000C2344"/>
    <w:rPr>
      <w:rFonts w:ascii="Arial" w:eastAsia="Times New Roman" w:hAnsi="Arial" w:cs="Courier New"/>
      <w:color w:val="333333"/>
      <w:sz w:val="20"/>
      <w:szCs w:val="20"/>
      <w:u w:color="000000" w:themeColor="text1"/>
    </w:rPr>
  </w:style>
  <w:style w:type="paragraph" w:customStyle="1" w:styleId="ESHeading1">
    <w:name w:val="ESHeading 1"/>
    <w:rsid w:val="000C2344"/>
    <w:pPr>
      <w:keepNext/>
      <w:numPr>
        <w:numId w:val="4"/>
      </w:numPr>
      <w:tabs>
        <w:tab w:val="num" w:pos="360"/>
      </w:tabs>
      <w:spacing w:after="280" w:line="400" w:lineRule="exact"/>
      <w:jc w:val="center"/>
      <w:outlineLvl w:val="0"/>
    </w:pPr>
    <w:rPr>
      <w:rFonts w:ascii="Times New Roman" w:eastAsia="Times New Roman" w:hAnsi="Times New Roman" w:cs="Times New Roman"/>
      <w:b/>
      <w:color w:val="0000FF"/>
      <w:sz w:val="36"/>
      <w:szCs w:val="20"/>
      <w:u w:color="000000" w:themeColor="text1"/>
    </w:rPr>
  </w:style>
  <w:style w:type="paragraph" w:customStyle="1" w:styleId="ESHeading2">
    <w:name w:val="ESHeading 2"/>
    <w:next w:val="Normal"/>
    <w:rsid w:val="000C2344"/>
    <w:pPr>
      <w:keepNext/>
      <w:numPr>
        <w:ilvl w:val="1"/>
        <w:numId w:val="4"/>
      </w:numPr>
      <w:tabs>
        <w:tab w:val="num" w:pos="360"/>
      </w:tabs>
      <w:spacing w:before="300" w:after="100" w:line="240" w:lineRule="auto"/>
      <w:outlineLvl w:val="1"/>
    </w:pPr>
    <w:rPr>
      <w:rFonts w:ascii="Times New Roman" w:eastAsia="Times New Roman" w:hAnsi="Times New Roman" w:cs="Times New Roman"/>
      <w:b/>
      <w:color w:val="0000FF"/>
      <w:sz w:val="32"/>
      <w:szCs w:val="20"/>
      <w:u w:color="000000" w:themeColor="text1"/>
    </w:rPr>
  </w:style>
  <w:style w:type="paragraph" w:customStyle="1" w:styleId="ESHeading3">
    <w:name w:val="ESHeading 3"/>
    <w:next w:val="Normal"/>
    <w:rsid w:val="000C2344"/>
    <w:pPr>
      <w:keepNext/>
      <w:numPr>
        <w:ilvl w:val="2"/>
        <w:numId w:val="4"/>
      </w:numPr>
      <w:tabs>
        <w:tab w:val="num" w:pos="360"/>
      </w:tabs>
      <w:spacing w:before="240" w:after="80" w:line="240" w:lineRule="auto"/>
      <w:outlineLvl w:val="2"/>
    </w:pPr>
    <w:rPr>
      <w:rFonts w:ascii="Times New Roman" w:eastAsia="Times New Roman" w:hAnsi="Times New Roman" w:cs="Times New Roman"/>
      <w:b/>
      <w:color w:val="0000FF"/>
      <w:sz w:val="28"/>
      <w:szCs w:val="28"/>
      <w:u w:color="000000" w:themeColor="text1"/>
    </w:rPr>
  </w:style>
  <w:style w:type="paragraph" w:customStyle="1" w:styleId="ESHeading4">
    <w:name w:val="ESHeading 4"/>
    <w:next w:val="Normal"/>
    <w:rsid w:val="000C2344"/>
    <w:pPr>
      <w:keepNext/>
      <w:numPr>
        <w:ilvl w:val="3"/>
        <w:numId w:val="4"/>
      </w:numPr>
      <w:tabs>
        <w:tab w:val="num" w:pos="360"/>
      </w:tabs>
      <w:spacing w:before="120" w:after="120" w:line="240" w:lineRule="auto"/>
      <w:outlineLvl w:val="3"/>
    </w:pPr>
    <w:rPr>
      <w:rFonts w:ascii="Arial Narrow" w:eastAsia="Times New Roman" w:hAnsi="Arial Narrow" w:cs="Times New Roman"/>
      <w:b/>
      <w:color w:val="0000FF"/>
      <w:sz w:val="26"/>
      <w:szCs w:val="26"/>
      <w:u w:color="000000" w:themeColor="text1"/>
    </w:rPr>
  </w:style>
  <w:style w:type="paragraph" w:customStyle="1" w:styleId="ESHeading5">
    <w:name w:val="ESHeading 5"/>
    <w:basedOn w:val="Normal"/>
    <w:rsid w:val="006955E5"/>
    <w:pPr>
      <w:numPr>
        <w:ilvl w:val="2"/>
        <w:numId w:val="7"/>
      </w:numPr>
      <w:spacing w:after="160" w:line="259" w:lineRule="auto"/>
    </w:pPr>
    <w:rPr>
      <w:rFonts w:ascii="Verdana" w:hAnsi="Verdana" w:cstheme="minorBidi"/>
      <w:b/>
      <w:sz w:val="18"/>
      <w:lang w:val="en-GB"/>
    </w:rPr>
  </w:style>
  <w:style w:type="paragraph" w:customStyle="1" w:styleId="ESHeading6">
    <w:name w:val="ESHeading 6"/>
    <w:rsid w:val="000C2344"/>
    <w:pPr>
      <w:keepNext/>
      <w:numPr>
        <w:ilvl w:val="5"/>
        <w:numId w:val="4"/>
      </w:numPr>
      <w:tabs>
        <w:tab w:val="num" w:pos="360"/>
      </w:tabs>
      <w:spacing w:before="120" w:after="0" w:line="240" w:lineRule="auto"/>
    </w:pPr>
    <w:rPr>
      <w:rFonts w:ascii="Arial Narrow" w:eastAsia="Times New Roman" w:hAnsi="Arial Narrow" w:cs="Times New Roman"/>
      <w:sz w:val="24"/>
      <w:szCs w:val="20"/>
      <w:u w:color="000000" w:themeColor="text1"/>
    </w:rPr>
  </w:style>
  <w:style w:type="paragraph" w:customStyle="1" w:styleId="ESHeading7">
    <w:name w:val="ESHeading 7"/>
    <w:rsid w:val="000C2344"/>
    <w:pPr>
      <w:numPr>
        <w:ilvl w:val="6"/>
        <w:numId w:val="4"/>
      </w:numPr>
      <w:tabs>
        <w:tab w:val="num" w:pos="360"/>
      </w:tabs>
      <w:spacing w:after="0" w:line="240" w:lineRule="auto"/>
    </w:pPr>
    <w:rPr>
      <w:rFonts w:ascii="Arial Narrow" w:eastAsia="Times New Roman" w:hAnsi="Arial Narrow" w:cs="Times New Roman"/>
      <w:sz w:val="24"/>
      <w:szCs w:val="20"/>
      <w:u w:color="000000" w:themeColor="text1"/>
    </w:rPr>
  </w:style>
  <w:style w:type="paragraph" w:customStyle="1" w:styleId="TableColumnHeading">
    <w:name w:val="TableColumnHeading"/>
    <w:next w:val="Normal"/>
    <w:autoRedefine/>
    <w:rsid w:val="000C2344"/>
    <w:pPr>
      <w:spacing w:before="60" w:after="60" w:line="240" w:lineRule="auto"/>
    </w:pPr>
    <w:rPr>
      <w:rFonts w:ascii="Arial" w:eastAsia="Times New Roman" w:hAnsi="Arial" w:cs="Times New Roman"/>
      <w:b/>
      <w:color w:val="FFFFFF" w:themeColor="background1"/>
      <w:szCs w:val="20"/>
      <w:u w:color="000000" w:themeColor="text1"/>
    </w:rPr>
  </w:style>
  <w:style w:type="character" w:customStyle="1" w:styleId="CaptionChar">
    <w:name w:val="Caption Char"/>
    <w:aliases w:val="D_Figure title Char"/>
    <w:basedOn w:val="DefaultParagraphFont"/>
    <w:link w:val="Caption"/>
    <w:locked/>
    <w:rsid w:val="00B56CEA"/>
    <w:rPr>
      <w:rFonts w:ascii="Verdana" w:hAnsi="Verdana"/>
      <w:b/>
      <w:iCs/>
      <w:noProof/>
      <w:sz w:val="18"/>
      <w:szCs w:val="18"/>
      <w:u w:color="000000"/>
    </w:rPr>
  </w:style>
  <w:style w:type="paragraph" w:customStyle="1" w:styleId="StyleInfoBlueArialLeftLeft0">
    <w:name w:val="Style InfoBlue + Arial Left Left:  0&quot;"/>
    <w:basedOn w:val="Normal"/>
    <w:rsid w:val="000C2344"/>
    <w:pPr>
      <w:widowControl w:val="0"/>
      <w:spacing w:after="240" w:line="240" w:lineRule="atLeast"/>
    </w:pPr>
    <w:rPr>
      <w:rFonts w:ascii="Arial" w:eastAsia="Times New Roman" w:hAnsi="Arial" w:cs="Times New Roman"/>
      <w:i/>
      <w:iCs/>
      <w:color w:val="0000FF"/>
      <w:sz w:val="24"/>
      <w:szCs w:val="20"/>
      <w:u w:color="000000" w:themeColor="text1"/>
    </w:rPr>
  </w:style>
  <w:style w:type="paragraph" w:customStyle="1" w:styleId="StyleHeading1Orange">
    <w:name w:val="Style Heading 1 + Orange"/>
    <w:basedOn w:val="Heading1"/>
    <w:next w:val="Heading2"/>
    <w:rsid w:val="000C2344"/>
    <w:pPr>
      <w:keepLines w:val="0"/>
      <w:numPr>
        <w:numId w:val="0"/>
      </w:numPr>
      <w:tabs>
        <w:tab w:val="num" w:pos="360"/>
      </w:tabs>
      <w:spacing w:after="60" w:line="240" w:lineRule="auto"/>
      <w:ind w:left="360" w:hanging="360"/>
    </w:pPr>
    <w:rPr>
      <w:rFonts w:ascii="Arial" w:eastAsia="Times New Roman" w:hAnsi="Arial" w:cs="Arial"/>
      <w:bCs/>
      <w:color w:val="FF6600"/>
      <w:kern w:val="32"/>
      <w:sz w:val="32"/>
      <w:u w:color="000000" w:themeColor="text1"/>
    </w:rPr>
  </w:style>
  <w:style w:type="table" w:styleId="GridTable5Dark-Accent1">
    <w:name w:val="Grid Table 5 Dark Accent 1"/>
    <w:basedOn w:val="TableNormal"/>
    <w:uiPriority w:val="50"/>
    <w:rsid w:val="000C2344"/>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Spacing">
    <w:name w:val="No Spacing"/>
    <w:link w:val="NoSpacingChar"/>
    <w:uiPriority w:val="1"/>
    <w:qFormat/>
    <w:rsid w:val="000C2344"/>
    <w:pPr>
      <w:spacing w:after="0" w:line="240" w:lineRule="auto"/>
    </w:pPr>
    <w:rPr>
      <w:rFonts w:eastAsiaTheme="minorEastAsia"/>
      <w:szCs w:val="20"/>
      <w:u w:color="000000" w:themeColor="text1"/>
    </w:rPr>
  </w:style>
  <w:style w:type="character" w:customStyle="1" w:styleId="NoSpacingChar">
    <w:name w:val="No Spacing Char"/>
    <w:basedOn w:val="DefaultParagraphFont"/>
    <w:link w:val="NoSpacing"/>
    <w:uiPriority w:val="1"/>
    <w:rsid w:val="000C2344"/>
    <w:rPr>
      <w:rFonts w:eastAsiaTheme="minorEastAsia"/>
      <w:szCs w:val="20"/>
      <w:u w:color="000000" w:themeColor="text1"/>
    </w:rPr>
  </w:style>
  <w:style w:type="paragraph" w:styleId="EndnoteText">
    <w:name w:val="endnote text"/>
    <w:basedOn w:val="Normal"/>
    <w:link w:val="EndnoteTextChar"/>
    <w:uiPriority w:val="99"/>
    <w:semiHidden/>
    <w:unhideWhenUsed/>
    <w:rsid w:val="000C2344"/>
    <w:pPr>
      <w:jc w:val="both"/>
    </w:pPr>
    <w:rPr>
      <w:rFonts w:ascii="Arial" w:eastAsia="Times New Roman" w:hAnsi="Arial" w:cs="Times New Roman"/>
      <w:color w:val="000000" w:themeColor="text1"/>
      <w:sz w:val="20"/>
      <w:szCs w:val="20"/>
      <w:u w:color="000000" w:themeColor="text1"/>
    </w:rPr>
  </w:style>
  <w:style w:type="character" w:customStyle="1" w:styleId="EndnoteTextChar">
    <w:name w:val="Endnote Text Char"/>
    <w:basedOn w:val="DefaultParagraphFont"/>
    <w:link w:val="EndnoteText"/>
    <w:uiPriority w:val="99"/>
    <w:semiHidden/>
    <w:rsid w:val="000C2344"/>
    <w:rPr>
      <w:rFonts w:ascii="Arial" w:eastAsia="Times New Roman" w:hAnsi="Arial" w:cs="Times New Roman"/>
      <w:color w:val="000000" w:themeColor="text1"/>
      <w:sz w:val="20"/>
      <w:szCs w:val="20"/>
      <w:u w:color="000000" w:themeColor="text1"/>
    </w:rPr>
  </w:style>
  <w:style w:type="character" w:styleId="EndnoteReference">
    <w:name w:val="endnote reference"/>
    <w:basedOn w:val="DefaultParagraphFont"/>
    <w:uiPriority w:val="99"/>
    <w:semiHidden/>
    <w:unhideWhenUsed/>
    <w:rsid w:val="000C2344"/>
    <w:rPr>
      <w:vertAlign w:val="superscript"/>
    </w:rPr>
  </w:style>
  <w:style w:type="character" w:styleId="FollowedHyperlink">
    <w:name w:val="FollowedHyperlink"/>
    <w:basedOn w:val="DefaultParagraphFont"/>
    <w:uiPriority w:val="99"/>
    <w:semiHidden/>
    <w:unhideWhenUsed/>
    <w:rsid w:val="000C2344"/>
    <w:rPr>
      <w:color w:val="954F72" w:themeColor="followedHyperlink"/>
      <w:u w:val="single"/>
    </w:rPr>
  </w:style>
  <w:style w:type="table" w:customStyle="1" w:styleId="GridTable5Dark-Accent11">
    <w:name w:val="Grid Table 5 Dark - Accent 11"/>
    <w:basedOn w:val="TableNormal"/>
    <w:next w:val="GridTable5Dark-Accent1"/>
    <w:uiPriority w:val="50"/>
    <w:rsid w:val="000C2344"/>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
    <w:name w:val="Grid Table 5 Dark - Accent 13"/>
    <w:basedOn w:val="TableNormal"/>
    <w:next w:val="GridTable5Dark-Accent1"/>
    <w:uiPriority w:val="50"/>
    <w:rsid w:val="000C2344"/>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paragraph">
    <w:name w:val="paragraph"/>
    <w:basedOn w:val="Normal"/>
    <w:rsid w:val="000C2344"/>
    <w:pPr>
      <w:spacing w:before="100" w:beforeAutospacing="1" w:after="100" w:afterAutospacing="1"/>
    </w:pPr>
    <w:rPr>
      <w:rFonts w:ascii="Times New Roman" w:eastAsia="Times New Roman" w:hAnsi="Times New Roman" w:cs="Times New Roman"/>
      <w:sz w:val="24"/>
      <w:szCs w:val="24"/>
      <w:u w:color="000000" w:themeColor="text1"/>
    </w:rPr>
  </w:style>
  <w:style w:type="character" w:customStyle="1" w:styleId="normaltextrun">
    <w:name w:val="normaltextrun"/>
    <w:basedOn w:val="DefaultParagraphFont"/>
    <w:rsid w:val="000C2344"/>
  </w:style>
  <w:style w:type="character" w:customStyle="1" w:styleId="eop">
    <w:name w:val="eop"/>
    <w:basedOn w:val="DefaultParagraphFont"/>
    <w:rsid w:val="000C2344"/>
  </w:style>
  <w:style w:type="character" w:styleId="Mention">
    <w:name w:val="Mention"/>
    <w:basedOn w:val="DefaultParagraphFont"/>
    <w:uiPriority w:val="99"/>
    <w:unhideWhenUsed/>
    <w:rsid w:val="000C2344"/>
    <w:rPr>
      <w:color w:val="2B579A"/>
      <w:shd w:val="clear" w:color="auto" w:fill="E1DFDD"/>
    </w:rPr>
  </w:style>
  <w:style w:type="character" w:customStyle="1" w:styleId="ui-provider">
    <w:name w:val="ui-provider"/>
    <w:basedOn w:val="DefaultParagraphFont"/>
    <w:rsid w:val="000C2344"/>
  </w:style>
  <w:style w:type="paragraph" w:styleId="NormalWeb">
    <w:name w:val="Normal (Web)"/>
    <w:basedOn w:val="Normal"/>
    <w:uiPriority w:val="99"/>
    <w:unhideWhenUsed/>
    <w:rsid w:val="000C2344"/>
    <w:pPr>
      <w:spacing w:before="100" w:beforeAutospacing="1" w:after="100" w:afterAutospacing="1"/>
    </w:pPr>
    <w:rPr>
      <w:rFonts w:ascii="Times New Roman" w:eastAsia="Times New Roman" w:hAnsi="Times New Roman" w:cs="Times New Roman"/>
      <w:sz w:val="24"/>
      <w:szCs w:val="24"/>
      <w:u w:color="000000" w:themeColor="text1"/>
    </w:rPr>
  </w:style>
  <w:style w:type="paragraph" w:customStyle="1" w:styleId="Bullet1">
    <w:name w:val="Bullet 1"/>
    <w:basedOn w:val="ListParagraph"/>
    <w:autoRedefine/>
    <w:qFormat/>
    <w:rsid w:val="000C2344"/>
    <w:pPr>
      <w:ind w:left="181" w:hanging="173"/>
    </w:pPr>
  </w:style>
  <w:style w:type="paragraph" w:styleId="ListBullet">
    <w:name w:val="List Bullet"/>
    <w:basedOn w:val="Normal"/>
    <w:autoRedefine/>
    <w:semiHidden/>
    <w:rsid w:val="00313916"/>
    <w:pPr>
      <w:numPr>
        <w:numId w:val="28"/>
      </w:numPr>
    </w:pPr>
    <w:rPr>
      <w:rFonts w:ascii="Arial" w:eastAsia="Times" w:hAnsi="Arial" w:cs="Times New Roman"/>
      <w:color w:val="000000"/>
      <w:sz w:val="20"/>
      <w:szCs w:val="20"/>
      <w:u w:color="000000" w:themeColor="text1"/>
    </w:rPr>
  </w:style>
  <w:style w:type="paragraph" w:customStyle="1" w:styleId="Body">
    <w:name w:val="Body"/>
    <w:basedOn w:val="NYBodyText"/>
    <w:link w:val="BodyChar"/>
    <w:qFormat/>
    <w:rsid w:val="006E31F2"/>
    <w:pPr>
      <w:spacing w:after="240" w:line="240" w:lineRule="auto"/>
      <w:jc w:val="both"/>
      <w:textAlignment w:val="baseline"/>
    </w:pPr>
    <w:rPr>
      <w:rFonts w:eastAsia="Times New Roman" w:cs="Times New Roman"/>
      <w:szCs w:val="24"/>
      <w:u w:color="000000" w:themeColor="text1"/>
      <w:lang w:eastAsia="ko-KR"/>
    </w:rPr>
  </w:style>
  <w:style w:type="character" w:customStyle="1" w:styleId="BodyChar">
    <w:name w:val="Body Char"/>
    <w:aliases w:val="Table of Figures Char,Body Header Char"/>
    <w:basedOn w:val="DefaultParagraphFont"/>
    <w:link w:val="Body"/>
    <w:rsid w:val="006E31F2"/>
    <w:rPr>
      <w:rFonts w:ascii="Verdana" w:eastAsia="Times New Roman" w:hAnsi="Verdana" w:cs="Times New Roman"/>
      <w:sz w:val="18"/>
      <w:szCs w:val="24"/>
      <w:u w:color="000000" w:themeColor="text1"/>
      <w:lang w:val="en-GB" w:eastAsia="ko-KR"/>
    </w:rPr>
  </w:style>
  <w:style w:type="character" w:styleId="Strong">
    <w:name w:val="Strong"/>
    <w:basedOn w:val="DefaultParagraphFont"/>
    <w:uiPriority w:val="22"/>
    <w:qFormat/>
    <w:rsid w:val="000C2344"/>
    <w:rPr>
      <w:b/>
      <w:bCs/>
    </w:rPr>
  </w:style>
  <w:style w:type="paragraph" w:customStyle="1" w:styleId="Bodycopy">
    <w:name w:val="Body copy"/>
    <w:link w:val="BodycopyChar"/>
    <w:uiPriority w:val="99"/>
    <w:qFormat/>
    <w:rsid w:val="000C2344"/>
    <w:pPr>
      <w:suppressAutoHyphens/>
      <w:spacing w:after="240" w:line="260" w:lineRule="atLeast"/>
    </w:pPr>
    <w:rPr>
      <w:rFonts w:ascii="Arial" w:eastAsia="Times" w:hAnsi="Arial" w:cs="Times New Roman"/>
      <w:color w:val="000000"/>
      <w:sz w:val="19"/>
      <w:szCs w:val="20"/>
      <w:u w:color="000000" w:themeColor="text1"/>
    </w:rPr>
  </w:style>
  <w:style w:type="character" w:customStyle="1" w:styleId="BodycopyChar">
    <w:name w:val="Body copy Char"/>
    <w:link w:val="Bodycopy"/>
    <w:uiPriority w:val="99"/>
    <w:rsid w:val="000C2344"/>
    <w:rPr>
      <w:rFonts w:ascii="Arial" w:eastAsia="Times" w:hAnsi="Arial" w:cs="Times New Roman"/>
      <w:color w:val="000000"/>
      <w:sz w:val="19"/>
      <w:szCs w:val="20"/>
      <w:u w:color="000000" w:themeColor="text1"/>
    </w:rPr>
  </w:style>
  <w:style w:type="paragraph" w:customStyle="1" w:styleId="Heading40">
    <w:name w:val="Heading 4.0"/>
    <w:basedOn w:val="Body1"/>
    <w:next w:val="Body1"/>
    <w:rsid w:val="000C2344"/>
    <w:pPr>
      <w:keepNext/>
      <w:tabs>
        <w:tab w:val="num" w:pos="360"/>
      </w:tabs>
      <w:spacing w:after="240"/>
      <w:outlineLvl w:val="3"/>
    </w:pPr>
    <w:rPr>
      <w:b/>
      <w:sz w:val="20"/>
    </w:rPr>
  </w:style>
  <w:style w:type="table" w:customStyle="1" w:styleId="GridTable5Dark-Accent131">
    <w:name w:val="Grid Table 5 Dark - Accent 131"/>
    <w:basedOn w:val="TableNormal"/>
    <w:next w:val="GridTable5Dark-Accent1"/>
    <w:uiPriority w:val="50"/>
    <w:rsid w:val="000C2344"/>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2">
    <w:name w:val="Grid Table 5 Dark - Accent 132"/>
    <w:basedOn w:val="TableNormal"/>
    <w:next w:val="GridTable5Dark-Accent1"/>
    <w:uiPriority w:val="50"/>
    <w:rsid w:val="000C2344"/>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21">
    <w:name w:val="Grid Table 5 Dark - Accent 1321"/>
    <w:basedOn w:val="TableNormal"/>
    <w:next w:val="GridTable5Dark-Accent1"/>
    <w:uiPriority w:val="50"/>
    <w:rsid w:val="000C2344"/>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11">
    <w:name w:val="Table Grid11"/>
    <w:basedOn w:val="TableNormal"/>
    <w:next w:val="TableGrid"/>
    <w:uiPriority w:val="39"/>
    <w:rsid w:val="000C2344"/>
    <w:pPr>
      <w:spacing w:after="0" w:line="240" w:lineRule="auto"/>
    </w:pPr>
    <w:rPr>
      <w:rFonts w:ascii="Calibri" w:eastAsia="Calibri" w:hAnsi="Calibri" w:cs="Calibri"/>
      <w:sz w:val="20"/>
      <w:szCs w:val="20"/>
      <w:u w:color="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ndhit">
    <w:name w:val="findhit"/>
    <w:basedOn w:val="DefaultParagraphFont"/>
    <w:rsid w:val="000C2344"/>
  </w:style>
  <w:style w:type="numbering" w:customStyle="1" w:styleId="Style1">
    <w:name w:val="Style1"/>
    <w:uiPriority w:val="99"/>
    <w:rsid w:val="000C2344"/>
    <w:pPr>
      <w:numPr>
        <w:numId w:val="6"/>
      </w:numPr>
    </w:pPr>
  </w:style>
  <w:style w:type="paragraph" w:styleId="TOC6">
    <w:name w:val="toc 6"/>
    <w:basedOn w:val="Normal"/>
    <w:next w:val="Normal"/>
    <w:autoRedefine/>
    <w:uiPriority w:val="39"/>
    <w:unhideWhenUsed/>
    <w:rsid w:val="000C2344"/>
    <w:pPr>
      <w:spacing w:after="100" w:line="259" w:lineRule="auto"/>
      <w:ind w:left="1100"/>
    </w:pPr>
    <w:rPr>
      <w:rFonts w:asciiTheme="minorHAnsi" w:eastAsiaTheme="minorEastAsia" w:hAnsiTheme="minorHAnsi" w:cstheme="minorBidi"/>
      <w:u w:color="000000" w:themeColor="text1"/>
    </w:rPr>
  </w:style>
  <w:style w:type="paragraph" w:styleId="TOC7">
    <w:name w:val="toc 7"/>
    <w:basedOn w:val="Normal"/>
    <w:next w:val="Normal"/>
    <w:autoRedefine/>
    <w:uiPriority w:val="39"/>
    <w:unhideWhenUsed/>
    <w:rsid w:val="000C2344"/>
    <w:pPr>
      <w:spacing w:after="100" w:line="259" w:lineRule="auto"/>
      <w:ind w:left="1320"/>
    </w:pPr>
    <w:rPr>
      <w:rFonts w:asciiTheme="minorHAnsi" w:eastAsiaTheme="minorEastAsia" w:hAnsiTheme="minorHAnsi" w:cstheme="minorBidi"/>
      <w:u w:color="000000" w:themeColor="text1"/>
    </w:rPr>
  </w:style>
  <w:style w:type="paragraph" w:styleId="TOC8">
    <w:name w:val="toc 8"/>
    <w:basedOn w:val="Normal"/>
    <w:next w:val="Normal"/>
    <w:autoRedefine/>
    <w:uiPriority w:val="39"/>
    <w:unhideWhenUsed/>
    <w:rsid w:val="000C2344"/>
    <w:pPr>
      <w:spacing w:after="100" w:line="259" w:lineRule="auto"/>
      <w:ind w:left="1540"/>
    </w:pPr>
    <w:rPr>
      <w:rFonts w:asciiTheme="minorHAnsi" w:eastAsiaTheme="minorEastAsia" w:hAnsiTheme="minorHAnsi" w:cstheme="minorBidi"/>
      <w:u w:color="000000" w:themeColor="text1"/>
    </w:rPr>
  </w:style>
  <w:style w:type="paragraph" w:styleId="TOC9">
    <w:name w:val="toc 9"/>
    <w:basedOn w:val="Normal"/>
    <w:next w:val="Normal"/>
    <w:autoRedefine/>
    <w:uiPriority w:val="39"/>
    <w:unhideWhenUsed/>
    <w:rsid w:val="000C2344"/>
    <w:pPr>
      <w:spacing w:after="100" w:line="259" w:lineRule="auto"/>
      <w:ind w:left="1760"/>
    </w:pPr>
    <w:rPr>
      <w:rFonts w:asciiTheme="minorHAnsi" w:eastAsiaTheme="minorEastAsia" w:hAnsiTheme="minorHAnsi" w:cstheme="minorBidi"/>
      <w:u w:color="000000" w:themeColor="text1"/>
    </w:rPr>
  </w:style>
  <w:style w:type="paragraph" w:customStyle="1" w:styleId="msonormal0">
    <w:name w:val="msonormal"/>
    <w:basedOn w:val="Normal"/>
    <w:rsid w:val="00A3488A"/>
    <w:pPr>
      <w:spacing w:before="100" w:beforeAutospacing="1" w:after="100" w:afterAutospacing="1"/>
    </w:pPr>
    <w:rPr>
      <w:rFonts w:ascii="Times New Roman" w:eastAsia="Times New Roman" w:hAnsi="Times New Roman" w:cs="Times New Roman"/>
      <w:sz w:val="24"/>
      <w:szCs w:val="24"/>
    </w:rPr>
  </w:style>
  <w:style w:type="paragraph" w:customStyle="1" w:styleId="outlineelement">
    <w:name w:val="outlineelement"/>
    <w:basedOn w:val="Normal"/>
    <w:rsid w:val="00A3488A"/>
    <w:pPr>
      <w:spacing w:before="100" w:beforeAutospacing="1" w:after="100" w:afterAutospacing="1"/>
    </w:pPr>
    <w:rPr>
      <w:rFonts w:ascii="Times New Roman" w:eastAsia="Times New Roman" w:hAnsi="Times New Roman" w:cs="Times New Roman"/>
      <w:sz w:val="24"/>
      <w:szCs w:val="24"/>
    </w:rPr>
  </w:style>
  <w:style w:type="character" w:customStyle="1" w:styleId="textrun">
    <w:name w:val="textrun"/>
    <w:basedOn w:val="DefaultParagraphFont"/>
    <w:rsid w:val="00A3488A"/>
  </w:style>
  <w:style w:type="character" w:customStyle="1" w:styleId="wacimagecontainer">
    <w:name w:val="wacimagecontainer"/>
    <w:basedOn w:val="DefaultParagraphFont"/>
    <w:rsid w:val="00A3488A"/>
  </w:style>
  <w:style w:type="character" w:customStyle="1" w:styleId="wacimageborder">
    <w:name w:val="wacimageborder"/>
    <w:basedOn w:val="DefaultParagraphFont"/>
    <w:rsid w:val="00A3488A"/>
  </w:style>
  <w:style w:type="character" w:customStyle="1" w:styleId="fieldrange">
    <w:name w:val="fieldrange"/>
    <w:basedOn w:val="DefaultParagraphFont"/>
    <w:rsid w:val="00A3488A"/>
  </w:style>
  <w:style w:type="character" w:customStyle="1" w:styleId="linebreakblob">
    <w:name w:val="linebreakblob"/>
    <w:basedOn w:val="DefaultParagraphFont"/>
    <w:rsid w:val="00A3488A"/>
  </w:style>
  <w:style w:type="character" w:customStyle="1" w:styleId="scxw89875822">
    <w:name w:val="scxw89875822"/>
    <w:basedOn w:val="DefaultParagraphFont"/>
    <w:rsid w:val="00A3488A"/>
  </w:style>
  <w:style w:type="character" w:customStyle="1" w:styleId="pagebreakblob">
    <w:name w:val="pagebreakblob"/>
    <w:basedOn w:val="DefaultParagraphFont"/>
    <w:rsid w:val="00A3488A"/>
  </w:style>
  <w:style w:type="character" w:customStyle="1" w:styleId="pagebreakborderspan">
    <w:name w:val="pagebreakborderspan"/>
    <w:basedOn w:val="DefaultParagraphFont"/>
    <w:rsid w:val="00A3488A"/>
  </w:style>
  <w:style w:type="character" w:customStyle="1" w:styleId="pagebreaktextspan">
    <w:name w:val="pagebreaktextspan"/>
    <w:basedOn w:val="DefaultParagraphFont"/>
    <w:rsid w:val="00A3488A"/>
  </w:style>
  <w:style w:type="paragraph" w:customStyle="1" w:styleId="TOCDeliverable">
    <w:name w:val="TOC. Deliverable"/>
    <w:basedOn w:val="TableofFigures"/>
    <w:rsid w:val="00032F4E"/>
    <w:pPr>
      <w:widowControl w:val="0"/>
      <w:spacing w:after="120" w:line="240" w:lineRule="atLeast"/>
    </w:pPr>
    <w:rPr>
      <w:noProof/>
      <w:szCs w:val="18"/>
      <w:lang w:val="en-GB"/>
    </w:rPr>
  </w:style>
  <w:style w:type="table" w:customStyle="1" w:styleId="DEDTable">
    <w:name w:val="DED Table"/>
    <w:basedOn w:val="TableGrid4"/>
    <w:uiPriority w:val="99"/>
    <w:rsid w:val="00032F4E"/>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32F4E"/>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styleId="PlaceholderText">
    <w:name w:val="Placeholder Text"/>
    <w:basedOn w:val="DefaultParagraphFont"/>
    <w:uiPriority w:val="99"/>
    <w:semiHidden/>
    <w:rsid w:val="00032F4E"/>
    <w:rPr>
      <w:color w:val="808080"/>
    </w:rPr>
  </w:style>
  <w:style w:type="paragraph" w:customStyle="1" w:styleId="TableBodycopy">
    <w:name w:val="Table Body copy"/>
    <w:basedOn w:val="MainBodyText"/>
    <w:link w:val="TableBodycopyChar"/>
    <w:uiPriority w:val="99"/>
    <w:rsid w:val="00032F4E"/>
    <w:pPr>
      <w:widowControl w:val="0"/>
      <w:spacing w:before="0"/>
      <w:ind w:left="0"/>
      <w:jc w:val="both"/>
    </w:pPr>
    <w:rPr>
      <w:rFonts w:eastAsia="Times" w:cs="Times New Roman"/>
      <w:color w:val="000000" w:themeColor="text1"/>
      <w:szCs w:val="22"/>
      <w:u w:color="000000" w:themeColor="text1"/>
      <w:lang w:val="en-US"/>
    </w:rPr>
  </w:style>
  <w:style w:type="character" w:customStyle="1" w:styleId="TableBodycopyChar">
    <w:name w:val="Table Body copy Char"/>
    <w:basedOn w:val="DefaultParagraphFont"/>
    <w:link w:val="TableBodycopy"/>
    <w:uiPriority w:val="99"/>
    <w:rsid w:val="00032F4E"/>
    <w:rPr>
      <w:rFonts w:ascii="Verdana" w:eastAsia="Times" w:hAnsi="Verdana" w:cs="Times New Roman"/>
      <w:color w:val="000000" w:themeColor="text1"/>
      <w:sz w:val="18"/>
      <w:u w:color="000000" w:themeColor="text1"/>
    </w:rPr>
  </w:style>
  <w:style w:type="numbering" w:customStyle="1" w:styleId="PMOStyle">
    <w:name w:val="PMO Style"/>
    <w:uiPriority w:val="99"/>
    <w:rsid w:val="00032F4E"/>
    <w:pPr>
      <w:numPr>
        <w:numId w:val="33"/>
      </w:numPr>
    </w:pPr>
  </w:style>
  <w:style w:type="paragraph" w:customStyle="1" w:styleId="NameofProject">
    <w:name w:val="Name of Project"/>
    <w:basedOn w:val="Normal"/>
    <w:qFormat/>
    <w:rsid w:val="00032F4E"/>
    <w:pPr>
      <w:spacing w:before="120"/>
      <w:jc w:val="center"/>
    </w:pPr>
    <w:rPr>
      <w:rFonts w:ascii="Verdana" w:hAnsi="Verdana" w:cstheme="minorBidi"/>
      <w:b/>
      <w:color w:val="173654"/>
      <w:sz w:val="36"/>
      <w:szCs w:val="18"/>
      <w:lang w:val="en-GB"/>
    </w:rPr>
  </w:style>
  <w:style w:type="paragraph" w:customStyle="1" w:styleId="TablePrimaryBullet">
    <w:name w:val="Table Primary Bullet"/>
    <w:basedOn w:val="TableBodycopy"/>
    <w:autoRedefine/>
    <w:qFormat/>
    <w:rsid w:val="00032F4E"/>
    <w:pPr>
      <w:numPr>
        <w:numId w:val="10"/>
      </w:numPr>
      <w:spacing w:after="80"/>
      <w:ind w:left="360"/>
      <w:jc w:val="left"/>
    </w:pPr>
  </w:style>
  <w:style w:type="paragraph" w:customStyle="1" w:styleId="Tablesubbullet">
    <w:name w:val="Table sub bullet"/>
    <w:basedOn w:val="TableBodycopy"/>
    <w:autoRedefine/>
    <w:qFormat/>
    <w:rsid w:val="00032F4E"/>
    <w:pPr>
      <w:numPr>
        <w:numId w:val="8"/>
      </w:numPr>
      <w:spacing w:after="0"/>
      <w:jc w:val="left"/>
    </w:pPr>
    <w:rPr>
      <w:lang w:eastAsia="ja-JP"/>
    </w:rPr>
  </w:style>
  <w:style w:type="paragraph" w:customStyle="1" w:styleId="DocumentControlInformationHeader">
    <w:name w:val="Document Control Information Header"/>
    <w:basedOn w:val="Normal"/>
    <w:autoRedefine/>
    <w:qFormat/>
    <w:rsid w:val="00032F4E"/>
    <w:pPr>
      <w:spacing w:before="120"/>
    </w:pPr>
    <w:rPr>
      <w:rFonts w:ascii="Verdana" w:hAnsi="Verdana" w:cs="Arial"/>
      <w:b/>
      <w:bCs/>
      <w:sz w:val="24"/>
      <w:szCs w:val="24"/>
      <w:lang w:val="en-GB"/>
    </w:rPr>
  </w:style>
  <w:style w:type="paragraph" w:customStyle="1" w:styleId="DCTableHeaders">
    <w:name w:val="DC Table Headers"/>
    <w:basedOn w:val="Normal"/>
    <w:autoRedefine/>
    <w:qFormat/>
    <w:rsid w:val="00032F4E"/>
    <w:pPr>
      <w:spacing w:before="120" w:after="120"/>
      <w:jc w:val="center"/>
    </w:pPr>
    <w:rPr>
      <w:rFonts w:ascii="Verdana" w:hAnsi="Verdana" w:cs="Arial"/>
      <w:i/>
      <w:iCs/>
      <w:color w:val="44546A"/>
      <w:sz w:val="18"/>
      <w:szCs w:val="20"/>
      <w:lang w:val="en-GB"/>
    </w:rPr>
  </w:style>
  <w:style w:type="character" w:styleId="Emphasis">
    <w:name w:val="Emphasis"/>
    <w:basedOn w:val="DefaultParagraphFont"/>
    <w:uiPriority w:val="20"/>
    <w:qFormat/>
    <w:rsid w:val="00032F4E"/>
    <w:rPr>
      <w:i/>
      <w:iCs/>
    </w:rPr>
  </w:style>
  <w:style w:type="paragraph" w:customStyle="1" w:styleId="TableText0">
    <w:name w:val="Table Text"/>
    <w:basedOn w:val="Normal"/>
    <w:link w:val="TableTextChar"/>
    <w:qFormat/>
    <w:rsid w:val="00032F4E"/>
    <w:pPr>
      <w:spacing w:before="60" w:after="60" w:line="240" w:lineRule="atLeast"/>
    </w:pPr>
    <w:rPr>
      <w:rFonts w:ascii="Verdana" w:eastAsia="Calibri" w:hAnsi="Verdana" w:cs="Times New Roman"/>
      <w:sz w:val="18"/>
      <w:szCs w:val="18"/>
      <w:u w:color="000000" w:themeColor="text1"/>
      <w:lang w:val="en-GB"/>
    </w:rPr>
  </w:style>
  <w:style w:type="character" w:customStyle="1" w:styleId="TableTextChar">
    <w:name w:val="Table Text Char"/>
    <w:link w:val="TableText0"/>
    <w:rsid w:val="00032F4E"/>
    <w:rPr>
      <w:rFonts w:ascii="Verdana" w:eastAsia="Calibri" w:hAnsi="Verdana" w:cs="Times New Roman"/>
      <w:sz w:val="18"/>
      <w:szCs w:val="18"/>
      <w:u w:color="000000" w:themeColor="text1"/>
      <w:lang w:val="en-GB"/>
    </w:rPr>
  </w:style>
  <w:style w:type="paragraph" w:customStyle="1" w:styleId="Documenttitle">
    <w:name w:val="Document title"/>
    <w:link w:val="DocumenttitleChar"/>
    <w:qFormat/>
    <w:rsid w:val="00032F4E"/>
    <w:pPr>
      <w:spacing w:after="240" w:line="240" w:lineRule="auto"/>
      <w:jc w:val="center"/>
    </w:pPr>
    <w:rPr>
      <w:rFonts w:asciiTheme="majorHAnsi" w:eastAsiaTheme="majorEastAsia" w:hAnsiTheme="majorHAnsi" w:cstheme="majorBidi"/>
      <w:b/>
      <w:bCs/>
      <w:sz w:val="36"/>
      <w:szCs w:val="28"/>
      <w:lang w:val="en-GB"/>
    </w:rPr>
  </w:style>
  <w:style w:type="character" w:customStyle="1" w:styleId="DocumenttitleChar">
    <w:name w:val="Document title Char"/>
    <w:basedOn w:val="DefaultParagraphFont"/>
    <w:link w:val="Documenttitle"/>
    <w:rsid w:val="00032F4E"/>
    <w:rPr>
      <w:rFonts w:asciiTheme="majorHAnsi" w:eastAsiaTheme="majorEastAsia" w:hAnsiTheme="majorHAnsi" w:cstheme="majorBidi"/>
      <w:b/>
      <w:bCs/>
      <w:sz w:val="36"/>
      <w:szCs w:val="28"/>
      <w:lang w:val="en-GB"/>
    </w:rPr>
  </w:style>
  <w:style w:type="paragraph" w:customStyle="1" w:styleId="TableFirstColumnBold">
    <w:name w:val="Table First Column Bold"/>
    <w:basedOn w:val="Tablehead1"/>
    <w:rsid w:val="00032F4E"/>
    <w:pPr>
      <w:widowControl w:val="0"/>
    </w:pPr>
    <w:rPr>
      <w:b w:val="0"/>
      <w:color w:val="000000" w:themeColor="text1"/>
      <w:u w:color="000000" w:themeColor="text1"/>
    </w:rPr>
  </w:style>
  <w:style w:type="paragraph" w:customStyle="1" w:styleId="TableDividersCenteredBold">
    <w:name w:val="Table Dividers Centered Bold"/>
    <w:basedOn w:val="TableFirstColumnBold"/>
    <w:rsid w:val="00032F4E"/>
  </w:style>
  <w:style w:type="paragraph" w:customStyle="1" w:styleId="NumberedListMainBody">
    <w:name w:val="Numbered List Main Body"/>
    <w:basedOn w:val="BulletList"/>
    <w:rsid w:val="00032F4E"/>
    <w:pPr>
      <w:widowControl w:val="0"/>
      <w:numPr>
        <w:numId w:val="0"/>
      </w:numPr>
      <w:ind w:left="720" w:hanging="360"/>
    </w:pPr>
  </w:style>
  <w:style w:type="paragraph" w:customStyle="1" w:styleId="SubBulletlistMainBodyText">
    <w:name w:val="Sub Bullet list Main Body Text"/>
    <w:basedOn w:val="BulletList"/>
    <w:rsid w:val="00170CC3"/>
    <w:pPr>
      <w:widowControl w:val="0"/>
      <w:numPr>
        <w:numId w:val="9"/>
      </w:numPr>
      <w:ind w:left="1080"/>
    </w:pPr>
    <w:rPr>
      <w:lang w:eastAsia="ko-KR"/>
    </w:rPr>
  </w:style>
  <w:style w:type="table" w:customStyle="1" w:styleId="TableGrid-None2">
    <w:name w:val="Table Grid - None2"/>
    <w:basedOn w:val="TableNormal"/>
    <w:next w:val="TableGrid"/>
    <w:uiPriority w:val="59"/>
    <w:rsid w:val="00032F4E"/>
    <w:pPr>
      <w:spacing w:after="0" w:line="240" w:lineRule="auto"/>
    </w:pPr>
    <w:rPr>
      <w:sz w:val="18"/>
      <w:szCs w:val="18"/>
      <w:lang w:val="en-GB"/>
    </w:rPr>
    <w:tblPr/>
  </w:style>
  <w:style w:type="table" w:customStyle="1" w:styleId="TableGrid13">
    <w:name w:val="Table Grid13"/>
    <w:basedOn w:val="TableNormal"/>
    <w:uiPriority w:val="59"/>
    <w:rsid w:val="00032F4E"/>
    <w:pPr>
      <w:widowControl w:val="0"/>
      <w:spacing w:after="0" w:line="240" w:lineRule="auto"/>
    </w:pPr>
    <w:rPr>
      <w:rFonts w:ascii="Verdana" w:hAnsi="Verdana"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43" w:type="dxa"/>
        <w:left w:w="43" w:type="dxa"/>
        <w:bottom w:w="43" w:type="dxa"/>
        <w:right w:w="43" w:type="dxa"/>
      </w:tcMar>
    </w:tcPr>
    <w:tblStylePr w:type="firstRow">
      <w:pPr>
        <w:wordWrap/>
        <w:jc w:val="center"/>
      </w:pPr>
      <w:rPr>
        <w:rFonts w:ascii="Verdana" w:hAnsi="Verdana"/>
        <w:b/>
        <w:i w:val="0"/>
        <w:color w:val="FFFFFF" w:themeColor="background1"/>
        <w:sz w:val="20"/>
      </w:rPr>
      <w:tblPr/>
      <w:tcPr>
        <w:shd w:val="clear" w:color="auto" w:fill="000000" w:themeFill="text1"/>
      </w:tcPr>
    </w:tblStylePr>
  </w:style>
  <w:style w:type="paragraph" w:customStyle="1" w:styleId="TOCDeliveable">
    <w:name w:val="TOC. Deliveable"/>
    <w:basedOn w:val="TableofFigures"/>
    <w:rsid w:val="00351B0E"/>
    <w:pPr>
      <w:widowControl w:val="0"/>
      <w:spacing w:after="120" w:line="240" w:lineRule="atLeast"/>
    </w:pPr>
    <w:rPr>
      <w:rFonts w:cs="Arial Narrow"/>
      <w:noProof/>
      <w:szCs w:val="18"/>
      <w:lang w:val="en-GB"/>
    </w:rPr>
  </w:style>
  <w:style w:type="paragraph" w:customStyle="1" w:styleId="TableStakeholdersAlignment">
    <w:name w:val="Table Stakeholders Alignment"/>
    <w:basedOn w:val="TableFirstColumnBold"/>
    <w:rsid w:val="00351B0E"/>
    <w:pPr>
      <w:keepNext w:val="0"/>
      <w:spacing w:before="0" w:after="0" w:line="280" w:lineRule="atLeast"/>
      <w:contextualSpacing/>
    </w:pPr>
    <w:rPr>
      <w:rFonts w:eastAsiaTheme="majorEastAsia" w:cs="Arial"/>
      <w:b/>
      <w:bCs w:val="0"/>
      <w:szCs w:val="24"/>
      <w:lang w:val="en-US"/>
    </w:rPr>
  </w:style>
  <w:style w:type="table" w:customStyle="1" w:styleId="TableGrid12">
    <w:name w:val="Table Grid12"/>
    <w:basedOn w:val="TableNormal"/>
    <w:uiPriority w:val="59"/>
    <w:rsid w:val="00351B0E"/>
    <w:pPr>
      <w:widowControl w:val="0"/>
      <w:spacing w:after="0" w:line="240" w:lineRule="auto"/>
    </w:pPr>
    <w:rPr>
      <w:rFonts w:ascii="Verdana" w:hAnsi="Verdana"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43" w:type="dxa"/>
        <w:left w:w="43" w:type="dxa"/>
        <w:bottom w:w="43" w:type="dxa"/>
        <w:right w:w="43" w:type="dxa"/>
      </w:tcMar>
    </w:tcPr>
    <w:tblStylePr w:type="firstRow">
      <w:pPr>
        <w:wordWrap/>
        <w:jc w:val="center"/>
      </w:pPr>
      <w:rPr>
        <w:rFonts w:ascii="Verdana" w:hAnsi="Verdana"/>
        <w:b/>
        <w:i w:val="0"/>
        <w:color w:val="FFFFFF"/>
        <w:sz w:val="20"/>
      </w:rPr>
      <w:tblPr/>
      <w:tcPr>
        <w:shd w:val="clear" w:color="auto" w:fill="000000"/>
      </w:tcPr>
    </w:tblStylePr>
  </w:style>
  <w:style w:type="paragraph" w:customStyle="1" w:styleId="Bullet">
    <w:name w:val="Bullet"/>
    <w:basedOn w:val="BodyText"/>
    <w:uiPriority w:val="1"/>
    <w:qFormat/>
    <w:rsid w:val="00351B0E"/>
    <w:pPr>
      <w:widowControl w:val="0"/>
      <w:numPr>
        <w:numId w:val="11"/>
      </w:numPr>
      <w:tabs>
        <w:tab w:val="left" w:pos="1199"/>
        <w:tab w:val="left" w:pos="1200"/>
      </w:tabs>
      <w:spacing w:after="200"/>
      <w:jc w:val="left"/>
    </w:pPr>
    <w:rPr>
      <w:rFonts w:ascii="Arial" w:hAnsi="Arial" w:cs="Arial"/>
      <w:i w:val="0"/>
      <w:iCs w:val="0"/>
      <w:color w:val="auto"/>
      <w:spacing w:val="-1"/>
      <w:sz w:val="24"/>
      <w:szCs w:val="24"/>
    </w:rPr>
  </w:style>
  <w:style w:type="table" w:customStyle="1" w:styleId="TableGrid-None1">
    <w:name w:val="Table Grid - None1"/>
    <w:basedOn w:val="TableNormal"/>
    <w:next w:val="TableGrid"/>
    <w:uiPriority w:val="59"/>
    <w:rsid w:val="00351B0E"/>
    <w:pPr>
      <w:spacing w:after="0" w:line="240" w:lineRule="auto"/>
    </w:pPr>
    <w:rPr>
      <w:sz w:val="18"/>
      <w:szCs w:val="18"/>
      <w:lang w:val="en-GB"/>
    </w:rPr>
    <w:tblPr/>
  </w:style>
  <w:style w:type="table" w:customStyle="1" w:styleId="TableGrid-None3">
    <w:name w:val="Table Grid - None3"/>
    <w:basedOn w:val="TableNormal"/>
    <w:next w:val="TableGrid"/>
    <w:uiPriority w:val="59"/>
    <w:rsid w:val="00351B0E"/>
    <w:pPr>
      <w:spacing w:after="0" w:line="240" w:lineRule="auto"/>
    </w:pPr>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None4">
    <w:name w:val="Table Grid - None4"/>
    <w:basedOn w:val="TableNormal"/>
    <w:next w:val="TableGrid"/>
    <w:uiPriority w:val="59"/>
    <w:rsid w:val="00351B0E"/>
    <w:pPr>
      <w:spacing w:after="0" w:line="240" w:lineRule="auto"/>
    </w:pPr>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None5">
    <w:name w:val="Table Grid - None5"/>
    <w:basedOn w:val="ProcessSteps"/>
    <w:next w:val="TableGrid"/>
    <w:uiPriority w:val="59"/>
    <w:rsid w:val="00351B0E"/>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20"/>
      </w:rPr>
      <w:tblPr/>
      <w:trPr>
        <w:tblHeader/>
      </w:trPr>
      <w:tcPr>
        <w:shd w:val="clear" w:color="auto" w:fill="000000" w:themeFill="text1"/>
      </w:tcPr>
    </w:tblStylePr>
  </w:style>
  <w:style w:type="paragraph" w:customStyle="1" w:styleId="TableFirstcolumnCentered">
    <w:name w:val="Table First column Centered"/>
    <w:basedOn w:val="Tablehead1"/>
    <w:rsid w:val="00351B0E"/>
    <w:pPr>
      <w:widowControl w:val="0"/>
      <w:jc w:val="center"/>
    </w:pPr>
    <w:rPr>
      <w:rFonts w:eastAsiaTheme="minorEastAsia"/>
      <w:b w:val="0"/>
      <w:bCs w:val="0"/>
      <w:color w:val="000000" w:themeColor="text1"/>
      <w:u w:color="000000" w:themeColor="text1"/>
    </w:rPr>
  </w:style>
  <w:style w:type="paragraph" w:customStyle="1" w:styleId="TableTextItalic">
    <w:name w:val="Table Text Italic"/>
    <w:basedOn w:val="Normal"/>
    <w:rsid w:val="00351B0E"/>
    <w:pPr>
      <w:spacing w:before="120"/>
    </w:pPr>
    <w:rPr>
      <w:rFonts w:ascii="Verdana" w:hAnsi="Verdana" w:cstheme="minorBidi"/>
      <w:i/>
      <w:color w:val="000000" w:themeColor="text1"/>
      <w:sz w:val="18"/>
      <w:szCs w:val="18"/>
      <w:lang w:val="en-GB"/>
    </w:rPr>
  </w:style>
  <w:style w:type="paragraph" w:customStyle="1" w:styleId="Heading21">
    <w:name w:val="Heading2.1"/>
    <w:basedOn w:val="Heading1"/>
    <w:rsid w:val="00351B0E"/>
    <w:pPr>
      <w:numPr>
        <w:numId w:val="12"/>
      </w:numPr>
      <w:spacing w:before="120" w:line="240" w:lineRule="auto"/>
    </w:pPr>
    <w:rPr>
      <w:bCs/>
      <w:noProof/>
      <w:szCs w:val="28"/>
      <w:lang w:val="en-GB"/>
    </w:rPr>
  </w:style>
  <w:style w:type="table" w:styleId="GridTable4">
    <w:name w:val="Grid Table 4"/>
    <w:basedOn w:val="TableNormal"/>
    <w:uiPriority w:val="49"/>
    <w:rsid w:val="008960F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None6">
    <w:name w:val="Table Grid - None6"/>
    <w:basedOn w:val="TableNormal"/>
    <w:next w:val="TableGrid"/>
    <w:uiPriority w:val="59"/>
    <w:rsid w:val="00A81D91"/>
    <w:pPr>
      <w:spacing w:after="0" w:line="240" w:lineRule="auto"/>
    </w:pPr>
    <w:rPr>
      <w:sz w:val="18"/>
      <w:szCs w:val="18"/>
      <w:lang w:val="en-GB"/>
    </w:rPr>
    <w:tblPr/>
  </w:style>
  <w:style w:type="table" w:customStyle="1" w:styleId="DEDTable1">
    <w:name w:val="DED Table1"/>
    <w:basedOn w:val="TableGrid4"/>
    <w:uiPriority w:val="99"/>
    <w:rsid w:val="00A81D91"/>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A81D91"/>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4">
    <w:name w:val="Table Grid14"/>
    <w:basedOn w:val="TableNormal"/>
    <w:next w:val="TableGrid"/>
    <w:uiPriority w:val="39"/>
    <w:rsid w:val="00A81D91"/>
    <w:pPr>
      <w:spacing w:after="0" w:line="240" w:lineRule="auto"/>
    </w:pPr>
    <w:rPr>
      <w:sz w:val="18"/>
      <w:szCs w:val="18"/>
      <w:lang w:val="en-GB"/>
    </w:rPr>
    <w:tblPr/>
  </w:style>
  <w:style w:type="table" w:customStyle="1" w:styleId="ProcessSteps1">
    <w:name w:val="Process Steps1"/>
    <w:basedOn w:val="TableNormal"/>
    <w:uiPriority w:val="99"/>
    <w:rsid w:val="00A81D91"/>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numbering" w:customStyle="1" w:styleId="PMOStyle1">
    <w:name w:val="PMO Style1"/>
    <w:uiPriority w:val="99"/>
    <w:rsid w:val="00A81D91"/>
    <w:pPr>
      <w:numPr>
        <w:numId w:val="12"/>
      </w:numPr>
    </w:pPr>
  </w:style>
  <w:style w:type="table" w:customStyle="1" w:styleId="TableGrid-None11">
    <w:name w:val="Table Grid - None11"/>
    <w:basedOn w:val="ProcessSteps"/>
    <w:next w:val="TableGrid"/>
    <w:uiPriority w:val="39"/>
    <w:rsid w:val="00A81D91"/>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None21">
    <w:name w:val="Table Grid - None21"/>
    <w:basedOn w:val="TableNormal"/>
    <w:next w:val="TableGrid"/>
    <w:uiPriority w:val="59"/>
    <w:rsid w:val="00A81D91"/>
    <w:pPr>
      <w:spacing w:after="0" w:line="240" w:lineRule="auto"/>
    </w:pPr>
    <w:rPr>
      <w:sz w:val="18"/>
      <w:szCs w:val="18"/>
      <w:lang w:val="en-GB"/>
    </w:rPr>
    <w:tblPr/>
  </w:style>
  <w:style w:type="table" w:customStyle="1" w:styleId="TableGrid131">
    <w:name w:val="Table Grid131"/>
    <w:basedOn w:val="TableNormal"/>
    <w:uiPriority w:val="59"/>
    <w:rsid w:val="00A81D91"/>
    <w:pPr>
      <w:widowControl w:val="0"/>
      <w:spacing w:after="0" w:line="240" w:lineRule="auto"/>
    </w:pPr>
    <w:rPr>
      <w:rFonts w:ascii="Verdana" w:hAnsi="Verdana"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43" w:type="dxa"/>
        <w:left w:w="43" w:type="dxa"/>
        <w:bottom w:w="43" w:type="dxa"/>
        <w:right w:w="43" w:type="dxa"/>
      </w:tcMar>
    </w:tcPr>
    <w:tblStylePr w:type="firstRow">
      <w:pPr>
        <w:wordWrap/>
        <w:jc w:val="center"/>
      </w:pPr>
      <w:rPr>
        <w:rFonts w:ascii="Verdana" w:hAnsi="Verdana"/>
        <w:b/>
        <w:i w:val="0"/>
        <w:color w:val="FFFFFF" w:themeColor="background1"/>
        <w:sz w:val="20"/>
      </w:rPr>
      <w:tblPr/>
      <w:tcPr>
        <w:shd w:val="clear" w:color="auto" w:fill="000000" w:themeFill="text1"/>
      </w:tcPr>
    </w:tblStylePr>
  </w:style>
  <w:style w:type="table" w:customStyle="1" w:styleId="TableGrid-None22">
    <w:name w:val="Table Grid - None22"/>
    <w:basedOn w:val="TableNormal"/>
    <w:next w:val="TableGrid"/>
    <w:uiPriority w:val="59"/>
    <w:rsid w:val="005C0E34"/>
    <w:pPr>
      <w:spacing w:after="0" w:line="240" w:lineRule="auto"/>
    </w:pPr>
    <w:rPr>
      <w:sz w:val="18"/>
      <w:szCs w:val="18"/>
      <w:lang w:val="en-GB"/>
    </w:rPr>
    <w:tblPr/>
  </w:style>
  <w:style w:type="table" w:customStyle="1" w:styleId="GridTable5Dark-Accent133">
    <w:name w:val="Grid Table 5 Dark - Accent 133"/>
    <w:basedOn w:val="TableNormal"/>
    <w:next w:val="GridTable5Dark-Accent1"/>
    <w:uiPriority w:val="50"/>
    <w:rsid w:val="005C0E34"/>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
    <w:name w:val="Table Grid2"/>
    <w:basedOn w:val="TableNormal"/>
    <w:next w:val="TableGrid"/>
    <w:uiPriority w:val="39"/>
    <w:rsid w:val="00B55190"/>
    <w:pPr>
      <w:spacing w:after="0" w:line="240" w:lineRule="auto"/>
    </w:pPr>
    <w:rPr>
      <w:sz w:val="18"/>
      <w:szCs w:val="18"/>
      <w:lang w:val="en-GB"/>
    </w:rPr>
    <w:tblPr/>
  </w:style>
  <w:style w:type="table" w:customStyle="1" w:styleId="TableGrid-None7">
    <w:name w:val="Table Grid - None7"/>
    <w:basedOn w:val="TableNormal"/>
    <w:next w:val="TableGrid"/>
    <w:uiPriority w:val="59"/>
    <w:rsid w:val="00E90A9F"/>
    <w:pPr>
      <w:spacing w:after="0" w:line="240" w:lineRule="auto"/>
    </w:pPr>
    <w:rPr>
      <w:sz w:val="18"/>
      <w:szCs w:val="18"/>
      <w:lang w:val="en-GB"/>
    </w:rPr>
    <w:tblPr/>
  </w:style>
  <w:style w:type="table" w:customStyle="1" w:styleId="DEDTable2">
    <w:name w:val="DED Table2"/>
    <w:basedOn w:val="TableGrid4"/>
    <w:uiPriority w:val="99"/>
    <w:rsid w:val="00E90A9F"/>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unhideWhenUsed/>
    <w:rsid w:val="00E90A9F"/>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5">
    <w:name w:val="Table Grid15"/>
    <w:basedOn w:val="TableNormal"/>
    <w:next w:val="TableGrid"/>
    <w:uiPriority w:val="59"/>
    <w:rsid w:val="00E90A9F"/>
    <w:pPr>
      <w:spacing w:after="0" w:line="240" w:lineRule="auto"/>
    </w:pPr>
    <w:rPr>
      <w:sz w:val="18"/>
      <w:szCs w:val="18"/>
      <w:lang w:val="en-GB"/>
    </w:rPr>
    <w:tblPr/>
  </w:style>
  <w:style w:type="table" w:customStyle="1" w:styleId="ProcessSteps2">
    <w:name w:val="Process Steps2"/>
    <w:basedOn w:val="TableNormal"/>
    <w:uiPriority w:val="99"/>
    <w:rsid w:val="00E90A9F"/>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numbering" w:customStyle="1" w:styleId="PMOStyle2">
    <w:name w:val="PMO Style2"/>
    <w:uiPriority w:val="99"/>
    <w:rsid w:val="00E90A9F"/>
    <w:pPr>
      <w:numPr>
        <w:numId w:val="5"/>
      </w:numPr>
    </w:pPr>
  </w:style>
  <w:style w:type="paragraph" w:customStyle="1" w:styleId="BodyText0">
    <w:name w:val="Body/Text"/>
    <w:basedOn w:val="Normal"/>
    <w:link w:val="BodyTextChar0"/>
    <w:uiPriority w:val="6"/>
    <w:qFormat/>
    <w:rsid w:val="00E90A9F"/>
    <w:pPr>
      <w:spacing w:before="120" w:line="240" w:lineRule="atLeast"/>
    </w:pPr>
    <w:rPr>
      <w:rFonts w:ascii="Verdana" w:hAnsi="Verdana" w:cstheme="minorBidi"/>
      <w:sz w:val="20"/>
      <w:szCs w:val="18"/>
      <w:lang w:val="en-GB"/>
    </w:rPr>
  </w:style>
  <w:style w:type="character" w:customStyle="1" w:styleId="BodyTextChar0">
    <w:name w:val="Body/Text Char"/>
    <w:basedOn w:val="DefaultParagraphFont"/>
    <w:link w:val="BodyText0"/>
    <w:uiPriority w:val="6"/>
    <w:rsid w:val="00E90A9F"/>
    <w:rPr>
      <w:rFonts w:ascii="Verdana" w:hAnsi="Verdana"/>
      <w:sz w:val="20"/>
      <w:szCs w:val="18"/>
      <w:lang w:val="en-GB"/>
    </w:rPr>
  </w:style>
  <w:style w:type="paragraph" w:customStyle="1" w:styleId="TableBodyText">
    <w:name w:val="Table Body Text"/>
    <w:basedOn w:val="BodyText0"/>
    <w:link w:val="TableBodyTextChar"/>
    <w:uiPriority w:val="11"/>
    <w:qFormat/>
    <w:rsid w:val="00E90A9F"/>
    <w:pPr>
      <w:spacing w:before="0" w:after="120" w:line="240" w:lineRule="auto"/>
    </w:pPr>
    <w:rPr>
      <w:rFonts w:eastAsia="Times" w:cs="Times New Roman"/>
      <w:color w:val="000000" w:themeColor="text1"/>
      <w:szCs w:val="22"/>
      <w:u w:color="000000" w:themeColor="text1"/>
      <w:lang w:val="en-US"/>
    </w:rPr>
  </w:style>
  <w:style w:type="character" w:customStyle="1" w:styleId="TableBodyTextChar">
    <w:name w:val="Table Body Text Char"/>
    <w:basedOn w:val="DefaultParagraphFont"/>
    <w:link w:val="TableBodyText"/>
    <w:uiPriority w:val="11"/>
    <w:rsid w:val="00E90A9F"/>
    <w:rPr>
      <w:rFonts w:ascii="Verdana" w:eastAsia="Times" w:hAnsi="Verdana" w:cs="Times New Roman"/>
      <w:color w:val="000000" w:themeColor="text1"/>
      <w:sz w:val="20"/>
      <w:u w:color="000000" w:themeColor="text1"/>
    </w:rPr>
  </w:style>
  <w:style w:type="paragraph" w:customStyle="1" w:styleId="TableHeaders">
    <w:name w:val="Table Headers"/>
    <w:basedOn w:val="Normal"/>
    <w:next w:val="BodyText0"/>
    <w:autoRedefine/>
    <w:uiPriority w:val="8"/>
    <w:qFormat/>
    <w:rsid w:val="00E90A9F"/>
    <w:pPr>
      <w:keepNext/>
      <w:spacing w:before="60" w:after="60"/>
    </w:pPr>
    <w:rPr>
      <w:rFonts w:ascii="Verdana" w:eastAsia="Times New Roman" w:hAnsi="Verdana" w:cs="Times New Roman"/>
      <w:b/>
      <w:bCs/>
      <w:color w:val="FFFFFF" w:themeColor="background1"/>
      <w:sz w:val="20"/>
      <w:szCs w:val="20"/>
      <w:lang w:val="en-GB"/>
    </w:rPr>
  </w:style>
  <w:style w:type="table" w:customStyle="1" w:styleId="TableGridLight1">
    <w:name w:val="Table Grid Light1"/>
    <w:basedOn w:val="TableNormal"/>
    <w:next w:val="TableGridLight"/>
    <w:uiPriority w:val="40"/>
    <w:rsid w:val="00E90A9F"/>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E90A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PTableTitle">
    <w:name w:val="CP Table Title"/>
    <w:basedOn w:val="Normal"/>
    <w:link w:val="CPTableTitleChar"/>
    <w:autoRedefine/>
    <w:qFormat/>
    <w:rsid w:val="000D3B37"/>
    <w:pPr>
      <w:spacing w:line="280" w:lineRule="atLeast"/>
      <w:jc w:val="center"/>
    </w:pPr>
    <w:rPr>
      <w:rFonts w:ascii="Verdana" w:hAnsi="Verdana"/>
      <w:b/>
      <w:bCs/>
      <w:sz w:val="18"/>
      <w:szCs w:val="18"/>
    </w:rPr>
  </w:style>
  <w:style w:type="character" w:customStyle="1" w:styleId="CPTableTitleChar">
    <w:name w:val="CP Table Title Char"/>
    <w:basedOn w:val="DefaultParagraphFont"/>
    <w:link w:val="CPTableTitle"/>
    <w:rsid w:val="000D3B37"/>
    <w:rPr>
      <w:rFonts w:ascii="Verdana" w:hAnsi="Verdana" w:cs="Calibri"/>
      <w:b/>
      <w:bCs/>
      <w:sz w:val="18"/>
      <w:szCs w:val="18"/>
    </w:rPr>
  </w:style>
  <w:style w:type="table" w:customStyle="1" w:styleId="GridTable5Dark-Accent134">
    <w:name w:val="Grid Table 5 Dark - Accent 134"/>
    <w:basedOn w:val="TableNormal"/>
    <w:next w:val="GridTable5Dark-Accent1"/>
    <w:uiPriority w:val="50"/>
    <w:rsid w:val="00E90A9F"/>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2">
    <w:name w:val="Grid Table 5 Dark - Accent 12"/>
    <w:basedOn w:val="TableNormal"/>
    <w:next w:val="GridTable5Dark-Accent1"/>
    <w:uiPriority w:val="50"/>
    <w:rsid w:val="00E90A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TableFirstcolumnBold0">
    <w:name w:val="Table First column Bold"/>
    <w:basedOn w:val="Tabletext"/>
    <w:rsid w:val="00E90A9F"/>
    <w:pPr>
      <w:spacing w:before="0" w:line="280" w:lineRule="atLeast"/>
    </w:pPr>
    <w:rPr>
      <w:rFonts w:cs="Times New Roman"/>
      <w:b/>
      <w:bCs/>
      <w:color w:val="000000" w:themeColor="text1"/>
      <w:szCs w:val="20"/>
      <w:u w:color="000000" w:themeColor="text1"/>
    </w:rPr>
  </w:style>
  <w:style w:type="paragraph" w:styleId="Subtitle">
    <w:name w:val="Subtitle"/>
    <w:basedOn w:val="Normal"/>
    <w:next w:val="Normal"/>
    <w:link w:val="SubtitleChar"/>
    <w:uiPriority w:val="11"/>
    <w:qFormat/>
    <w:rsid w:val="000A7E91"/>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A7E91"/>
    <w:rPr>
      <w:rFonts w:eastAsiaTheme="minorEastAsia"/>
      <w:color w:val="5A5A5A" w:themeColor="text1" w:themeTint="A5"/>
      <w:spacing w:val="15"/>
    </w:rPr>
  </w:style>
  <w:style w:type="table" w:customStyle="1" w:styleId="ProcessSteps3">
    <w:name w:val="Process Steps3"/>
    <w:basedOn w:val="TableNormal"/>
    <w:uiPriority w:val="99"/>
    <w:rsid w:val="00B92E9D"/>
    <w:pPr>
      <w:spacing w:after="0" w:line="240" w:lineRule="auto"/>
    </w:pPr>
    <w:tblPr/>
    <w:trPr>
      <w:cantSplit/>
    </w:trPr>
    <w:tblStylePr w:type="firstRow">
      <w:rPr>
        <w:rFonts w:asciiTheme="majorHAnsi" w:hAnsiTheme="majorHAnsi"/>
        <w:b/>
        <w:i w:val="0"/>
        <w:color w:val="auto"/>
        <w:sz w:val="17"/>
      </w:rPr>
      <w:tblPr/>
      <w:trPr>
        <w:tblHeader/>
      </w:trPr>
      <w:tcPr>
        <w:shd w:val="clear" w:color="auto" w:fill="000000" w:themeFill="text1"/>
      </w:tcPr>
    </w:tblStylePr>
    <w:tblStylePr w:type="lastRow">
      <w:rPr>
        <w:b/>
        <w:bCs/>
        <w:color w:val="auto"/>
      </w:rPr>
    </w:tblStylePr>
    <w:tblStylePr w:type="firstCol">
      <w:rPr>
        <w:rFonts w:asciiTheme="minorHAnsi" w:hAnsiTheme="minorHAnsi"/>
        <w:b/>
        <w:sz w:val="18"/>
      </w:rPr>
    </w:tblStylePr>
    <w:tblStylePr w:type="lastCol">
      <w:rPr>
        <w:b/>
        <w:bCs/>
        <w:color w:val="auto"/>
      </w:rPr>
    </w:tblStylePr>
  </w:style>
  <w:style w:type="table" w:customStyle="1" w:styleId="ProcessSteps11">
    <w:name w:val="Process Steps11"/>
    <w:basedOn w:val="TableNormal"/>
    <w:uiPriority w:val="99"/>
    <w:rsid w:val="00B92E9D"/>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ProcessSteps4">
    <w:name w:val="Process Steps4"/>
    <w:basedOn w:val="TableNormal"/>
    <w:uiPriority w:val="99"/>
    <w:rsid w:val="00B55190"/>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GridTable5Dark-Accent135">
    <w:name w:val="Grid Table 5 Dark - Accent 135"/>
    <w:basedOn w:val="TableNormal"/>
    <w:next w:val="GridTable5Dark-Accent1"/>
    <w:uiPriority w:val="50"/>
    <w:rsid w:val="00B55190"/>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None12">
    <w:name w:val="Table Grid - None12"/>
    <w:basedOn w:val="ProcessSteps"/>
    <w:next w:val="TableGrid"/>
    <w:uiPriority w:val="39"/>
    <w:rsid w:val="00B55190"/>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auto"/>
        <w:sz w:val="20"/>
      </w:rPr>
      <w:tblPr/>
      <w:trPr>
        <w:tblHeader/>
      </w:trPr>
      <w:tcPr>
        <w:shd w:val="clear" w:color="auto" w:fill="000000" w:themeFill="text1"/>
      </w:tcPr>
    </w:tblStylePr>
    <w:tblStylePr w:type="lastRow">
      <w:rPr>
        <w:b/>
        <w:bCs/>
        <w:color w:val="auto"/>
      </w:rPr>
    </w:tblStylePr>
    <w:tblStylePr w:type="lastCol">
      <w:rPr>
        <w:b/>
        <w:bCs/>
        <w:color w:val="auto"/>
      </w:rPr>
    </w:tblStylePr>
  </w:style>
  <w:style w:type="table" w:customStyle="1" w:styleId="TableGrid-None8">
    <w:name w:val="Table Grid - None8"/>
    <w:basedOn w:val="TableNormal"/>
    <w:next w:val="TableGrid"/>
    <w:uiPriority w:val="59"/>
    <w:rsid w:val="005B461F"/>
    <w:pPr>
      <w:spacing w:after="0" w:line="240" w:lineRule="auto"/>
    </w:pPr>
    <w:rPr>
      <w:sz w:val="18"/>
      <w:szCs w:val="18"/>
      <w:lang w:val="en-GB"/>
    </w:rPr>
    <w:tblPr/>
  </w:style>
  <w:style w:type="table" w:customStyle="1" w:styleId="GridTable5Dark-Accent136">
    <w:name w:val="Grid Table 5 Dark - Accent 136"/>
    <w:basedOn w:val="TableNormal"/>
    <w:next w:val="GridTable5Dark-Accent1"/>
    <w:uiPriority w:val="50"/>
    <w:rsid w:val="005B461F"/>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4">
    <w:name w:val="Grid Table 5 Dark - Accent 14"/>
    <w:basedOn w:val="TableNormal"/>
    <w:next w:val="GridTable5Dark-Accent1"/>
    <w:uiPriority w:val="50"/>
    <w:rsid w:val="005B461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None13">
    <w:name w:val="Table Grid - None13"/>
    <w:basedOn w:val="ProcessSteps"/>
    <w:next w:val="TableGrid"/>
    <w:uiPriority w:val="39"/>
    <w:rsid w:val="005A710B"/>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21">
    <w:name w:val="Table Grid21"/>
    <w:basedOn w:val="TableNormal"/>
    <w:next w:val="TableGrid"/>
    <w:uiPriority w:val="39"/>
    <w:rsid w:val="00396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B75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5E4"/>
    <w:rPr>
      <w:rFonts w:asciiTheme="majorHAnsi" w:eastAsiaTheme="majorEastAsia" w:hAnsiTheme="majorHAnsi" w:cstheme="majorBidi"/>
      <w:spacing w:val="-10"/>
      <w:kern w:val="28"/>
      <w:sz w:val="56"/>
      <w:szCs w:val="56"/>
    </w:rPr>
  </w:style>
  <w:style w:type="paragraph" w:customStyle="1" w:styleId="NormalNEW">
    <w:name w:val="Normal (NEW)"/>
    <w:basedOn w:val="Normal"/>
    <w:qFormat/>
    <w:rsid w:val="00154CEC"/>
    <w:pPr>
      <w:spacing w:before="120" w:after="120" w:line="240" w:lineRule="atLeast"/>
    </w:pPr>
    <w:rPr>
      <w:rFonts w:ascii="Verdana" w:eastAsia="Verdana" w:hAnsi="Verdana" w:cs="Verdana"/>
      <w:sz w:val="18"/>
      <w:szCs w:val="20"/>
      <w:lang w:val="en-GB"/>
    </w:rPr>
  </w:style>
  <w:style w:type="character" w:customStyle="1" w:styleId="scxw150750321">
    <w:name w:val="scxw150750321"/>
    <w:basedOn w:val="DefaultParagraphFont"/>
    <w:rsid w:val="00CF0430"/>
  </w:style>
  <w:style w:type="character" w:customStyle="1" w:styleId="wacimageplaceholder">
    <w:name w:val="wacimageplaceholder"/>
    <w:basedOn w:val="DefaultParagraphFont"/>
    <w:rsid w:val="00CF0430"/>
  </w:style>
  <w:style w:type="character" w:customStyle="1" w:styleId="wacimageplaceholderfiller">
    <w:name w:val="wacimageplaceholderfiller"/>
    <w:basedOn w:val="DefaultParagraphFont"/>
    <w:rsid w:val="00CF0430"/>
  </w:style>
  <w:style w:type="character" w:customStyle="1" w:styleId="wacerror">
    <w:name w:val="wacerror"/>
    <w:basedOn w:val="DefaultParagraphFont"/>
    <w:rsid w:val="00CF0430"/>
  </w:style>
  <w:style w:type="character" w:customStyle="1" w:styleId="wacimagegroupcontainer">
    <w:name w:val="wacimagegroupcontainer"/>
    <w:basedOn w:val="DefaultParagraphFont"/>
    <w:rsid w:val="00CF0430"/>
  </w:style>
  <w:style w:type="paragraph" w:customStyle="1" w:styleId="BulletNEW">
    <w:name w:val="Bullet (NEW)"/>
    <w:basedOn w:val="ListParagraph"/>
    <w:qFormat/>
    <w:rsid w:val="00313101"/>
    <w:pPr>
      <w:numPr>
        <w:numId w:val="38"/>
      </w:numPr>
      <w:spacing w:before="120" w:after="120" w:line="240" w:lineRule="atLeast"/>
      <w:contextualSpacing w:val="0"/>
    </w:pPr>
    <w:rPr>
      <w:rFonts w:ascii="Verdana" w:eastAsia="Calibri" w:hAnsi="Verdana" w:cs="Arial Narrow"/>
      <w:sz w:val="18"/>
      <w:szCs w:val="18"/>
      <w:lang w:val="en-GB"/>
    </w:rPr>
  </w:style>
  <w:style w:type="paragraph" w:customStyle="1" w:styleId="TABLEHEADINGNEW">
    <w:name w:val="TABLE HEADING (NEW)"/>
    <w:basedOn w:val="Normal"/>
    <w:qFormat/>
    <w:rsid w:val="00944B85"/>
    <w:pPr>
      <w:keepNext/>
      <w:spacing w:before="60" w:after="60"/>
    </w:pPr>
    <w:rPr>
      <w:rFonts w:ascii="Verdana" w:eastAsia="Times New Roman" w:hAnsi="Verdana" w:cs="Times New Roman"/>
      <w:b/>
      <w:bCs/>
      <w:color w:val="FFFFFF" w:themeColor="background1"/>
      <w:sz w:val="18"/>
      <w:u w:color="000000" w:themeColor="text1"/>
    </w:rPr>
  </w:style>
  <w:style w:type="paragraph" w:customStyle="1" w:styleId="TABLEBULLETNEW">
    <w:name w:val="TABLE BULLET (NEW)"/>
    <w:basedOn w:val="BulletNEW"/>
    <w:qFormat/>
    <w:rsid w:val="00EB0880"/>
    <w:pPr>
      <w:numPr>
        <w:numId w:val="36"/>
      </w:numPr>
      <w:spacing w:before="60" w:after="60"/>
      <w:ind w:left="331" w:hanging="259"/>
    </w:pPr>
    <w:rPr>
      <w:u w:color="000000"/>
      <w:lang w:val="en-US"/>
    </w:rPr>
  </w:style>
  <w:style w:type="paragraph" w:customStyle="1" w:styleId="TABLETEXT1">
    <w:name w:val="TABLE TEXT"/>
    <w:basedOn w:val="NormalNEW"/>
    <w:qFormat/>
    <w:rsid w:val="000F4789"/>
    <w:pPr>
      <w:spacing w:before="60" w:after="60"/>
    </w:pPr>
  </w:style>
  <w:style w:type="table" w:customStyle="1" w:styleId="TableGrid3">
    <w:name w:val="Table Grid3"/>
    <w:basedOn w:val="TableNormal"/>
    <w:next w:val="TableGrid"/>
    <w:uiPriority w:val="39"/>
    <w:rsid w:val="00C5516F"/>
    <w:pPr>
      <w:spacing w:after="0" w:line="240" w:lineRule="auto"/>
    </w:pPr>
    <w:rPr>
      <w:rFonts w:ascii="Arial" w:eastAsia="Times New Roman" w:hAnsi="Arial" w:cs="Times New Roman"/>
      <w:color w:val="000000"/>
      <w:sz w:val="20"/>
      <w:szCs w:val="20"/>
      <w:u w:color="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31">
    <w:name w:val="Calendar 31"/>
    <w:basedOn w:val="TableNormal"/>
    <w:uiPriority w:val="99"/>
    <w:qFormat/>
    <w:rsid w:val="00C5516F"/>
    <w:pPr>
      <w:spacing w:after="0" w:line="240" w:lineRule="auto"/>
      <w:jc w:val="right"/>
    </w:pPr>
    <w:rPr>
      <w:rFonts w:ascii="Cambria" w:eastAsia="MS Mincho" w:hAnsi="Cambria" w:cs="Arial"/>
      <w:color w:val="000000"/>
      <w:szCs w:val="20"/>
      <w:u w:color="000000"/>
      <w:lang w:eastAsia="ja-JP"/>
    </w:rPr>
    <w:tblPr/>
    <w:tblStylePr w:type="firstRow">
      <w:pPr>
        <w:wordWrap/>
        <w:jc w:val="right"/>
      </w:pPr>
      <w:rPr>
        <w:color w:val="4F81BD"/>
        <w:sz w:val="44"/>
      </w:rPr>
    </w:tblStylePr>
    <w:tblStylePr w:type="firstCol">
      <w:rPr>
        <w:color w:val="4F81BD"/>
      </w:rPr>
    </w:tblStylePr>
    <w:tblStylePr w:type="lastCol">
      <w:rPr>
        <w:color w:val="4F81BD"/>
      </w:rPr>
    </w:tblStylePr>
  </w:style>
  <w:style w:type="table" w:customStyle="1" w:styleId="LightShading-Accent21">
    <w:name w:val="Light Shading - Accent 21"/>
    <w:basedOn w:val="TableNormal"/>
    <w:next w:val="LightShading-Accent2"/>
    <w:uiPriority w:val="60"/>
    <w:rsid w:val="00C5516F"/>
    <w:pPr>
      <w:spacing w:after="0" w:line="240" w:lineRule="auto"/>
    </w:pPr>
    <w:rPr>
      <w:rFonts w:ascii="Arial" w:eastAsia="Times New Roman" w:hAnsi="Arial" w:cs="Times New Roman"/>
      <w:color w:val="943634"/>
      <w:sz w:val="20"/>
      <w:szCs w:val="20"/>
      <w:u w:color="00000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C5516F"/>
    <w:pPr>
      <w:spacing w:after="0" w:line="240" w:lineRule="auto"/>
    </w:pPr>
    <w:rPr>
      <w:rFonts w:ascii="Arial" w:eastAsia="Times New Roman" w:hAnsi="Arial" w:cs="Times New Roman"/>
      <w:color w:val="76923C"/>
      <w:sz w:val="20"/>
      <w:szCs w:val="20"/>
      <w:u w:color="00000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1">
    <w:name w:val="Light Shading1"/>
    <w:basedOn w:val="TableNormal"/>
    <w:next w:val="LightShading"/>
    <w:uiPriority w:val="6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
    <w:name w:val="Medium Grid 31"/>
    <w:basedOn w:val="TableNormal"/>
    <w:next w:val="MediumGrid3"/>
    <w:uiPriority w:val="69"/>
    <w:rsid w:val="00C5516F"/>
    <w:pPr>
      <w:spacing w:after="0" w:line="240" w:lineRule="auto"/>
    </w:pPr>
    <w:rPr>
      <w:szCs w:val="20"/>
      <w:u w:color="00000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dTable5Dark-Accent15">
    <w:name w:val="Grid Table 5 Dark - Accent 15"/>
    <w:basedOn w:val="TableNormal"/>
    <w:next w:val="GridTable5Dark-Accent1"/>
    <w:uiPriority w:val="5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11">
    <w:name w:val="Grid Table 5 Dark - Accent 111"/>
    <w:basedOn w:val="TableNormal"/>
    <w:next w:val="GridTable5Dark-Accent1"/>
    <w:uiPriority w:val="5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7">
    <w:name w:val="Grid Table 5 Dark - Accent 137"/>
    <w:basedOn w:val="TableNormal"/>
    <w:next w:val="GridTable5Dark-Accent1"/>
    <w:uiPriority w:val="5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16">
    <w:name w:val="Table Grid16"/>
    <w:basedOn w:val="TableNormal"/>
    <w:next w:val="TableGrid"/>
    <w:uiPriority w:val="39"/>
    <w:rsid w:val="00C5516F"/>
    <w:pPr>
      <w:spacing w:after="0" w:line="240" w:lineRule="auto"/>
    </w:pPr>
    <w:rPr>
      <w:rFonts w:ascii="Calibri" w:eastAsia="Calibri" w:hAnsi="Calibri" w:cs="Arial"/>
      <w:sz w:val="18"/>
      <w:szCs w:val="18"/>
      <w:u w:color="000000"/>
      <w:lang w:val="en-GB"/>
    </w:rPr>
    <w:tblPr/>
  </w:style>
  <w:style w:type="table" w:customStyle="1" w:styleId="GridTable5Dark-Accent1311">
    <w:name w:val="Grid Table 5 Dark - Accent 1311"/>
    <w:basedOn w:val="TableNormal"/>
    <w:next w:val="GridTable5Dark-Accent1"/>
    <w:uiPriority w:val="5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22">
    <w:name w:val="Grid Table 5 Dark - Accent 1322"/>
    <w:basedOn w:val="TableNormal"/>
    <w:next w:val="GridTable5Dark-Accent1"/>
    <w:uiPriority w:val="5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211">
    <w:name w:val="Grid Table 5 Dark - Accent 13211"/>
    <w:basedOn w:val="TableNormal"/>
    <w:next w:val="GridTable5Dark-Accent1"/>
    <w:uiPriority w:val="50"/>
    <w:rsid w:val="00C5516F"/>
    <w:pPr>
      <w:spacing w:after="0" w:line="240" w:lineRule="auto"/>
    </w:pPr>
    <w:rPr>
      <w:rFonts w:ascii="Arial" w:eastAsia="Times New Roman" w:hAnsi="Arial" w:cs="Times New Roman"/>
      <w:color w:val="000000"/>
      <w:sz w:val="20"/>
      <w:szCs w:val="20"/>
      <w:u w:color="00000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111">
    <w:name w:val="Table Grid111"/>
    <w:basedOn w:val="TableNormal"/>
    <w:next w:val="TableGrid"/>
    <w:uiPriority w:val="39"/>
    <w:rsid w:val="00C5516F"/>
    <w:pPr>
      <w:spacing w:after="0" w:line="240" w:lineRule="auto"/>
    </w:pPr>
    <w:rPr>
      <w:rFonts w:ascii="Calibri" w:eastAsia="Calibri" w:hAnsi="Calibri" w:cs="Calibri"/>
      <w:sz w:val="20"/>
      <w:szCs w:val="20"/>
      <w:u w:color="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C5516F"/>
    <w:pPr>
      <w:numPr>
        <w:numId w:val="34"/>
      </w:numPr>
    </w:pPr>
  </w:style>
  <w:style w:type="paragraph" w:customStyle="1" w:styleId="TABLEHEADINGl">
    <w:name w:val="TABLE HEADINGl"/>
    <w:basedOn w:val="Normal"/>
    <w:rsid w:val="00F421A5"/>
    <w:pPr>
      <w:keepNext/>
      <w:jc w:val="center"/>
      <w:textAlignment w:val="baseline"/>
    </w:pPr>
    <w:rPr>
      <w:rFonts w:ascii="Arial" w:eastAsia="Times New Roman" w:hAnsi="Arial" w:cs="Arial"/>
      <w:b/>
      <w:color w:val="FFFFFF"/>
      <w:sz w:val="20"/>
      <w:szCs w:val="20"/>
      <w:u w:color="000000"/>
    </w:rPr>
  </w:style>
  <w:style w:type="paragraph" w:customStyle="1" w:styleId="TABLEHEDAING">
    <w:name w:val="TABLE HEDAING"/>
    <w:basedOn w:val="Normal"/>
    <w:rsid w:val="004B4DD4"/>
    <w:pPr>
      <w:keepNext/>
      <w:jc w:val="center"/>
      <w:textAlignment w:val="baseline"/>
    </w:pPr>
    <w:rPr>
      <w:rFonts w:ascii="Arial" w:eastAsia="Times New Roman" w:hAnsi="Arial" w:cs="Arial"/>
      <w:b/>
      <w:color w:val="FFFFFF"/>
      <w:sz w:val="20"/>
      <w:szCs w:val="20"/>
      <w:u w:color="000000"/>
    </w:rPr>
  </w:style>
  <w:style w:type="paragraph" w:customStyle="1" w:styleId="TABLEHEADnig">
    <w:name w:val="TABLE HEADnig"/>
    <w:basedOn w:val="Normal"/>
    <w:rsid w:val="00D64F58"/>
    <w:pPr>
      <w:keepNext/>
      <w:numPr>
        <w:ilvl w:val="2"/>
        <w:numId w:val="14"/>
      </w:numPr>
      <w:tabs>
        <w:tab w:val="left" w:pos="720"/>
      </w:tabs>
      <w:spacing w:before="240"/>
      <w:ind w:left="990"/>
      <w:jc w:val="both"/>
      <w:outlineLvl w:val="2"/>
    </w:pPr>
    <w:rPr>
      <w:rFonts w:ascii="Arial" w:eastAsia="MS Gothic" w:hAnsi="Arial" w:cs="Times New Roman"/>
      <w:b/>
      <w:color w:val="000000"/>
      <w:sz w:val="20"/>
      <w:szCs w:val="20"/>
      <w:u w:color="000000"/>
    </w:rPr>
  </w:style>
  <w:style w:type="paragraph" w:customStyle="1" w:styleId="TABLEext">
    <w:name w:val="TABLE ext"/>
    <w:basedOn w:val="TABLEBULLETNEW"/>
    <w:rsid w:val="000B0364"/>
    <w:pPr>
      <w:framePr w:hSpace="180" w:wrap="around" w:vAnchor="text" w:hAnchor="text" w:x="-95" w:y="34"/>
      <w:suppressOverlap/>
    </w:pPr>
    <w:rPr>
      <w:b/>
      <w:bCs/>
    </w:rPr>
  </w:style>
  <w:style w:type="table" w:customStyle="1" w:styleId="TableGrid17">
    <w:name w:val="Table Grid17"/>
    <w:basedOn w:val="TableNormal"/>
    <w:next w:val="TableGrid"/>
    <w:uiPriority w:val="39"/>
    <w:rsid w:val="00E001A2"/>
    <w:pPr>
      <w:spacing w:after="0" w:line="240" w:lineRule="auto"/>
    </w:pPr>
    <w:rPr>
      <w:sz w:val="18"/>
      <w:szCs w:val="18"/>
      <w:lang w:val="en-GB"/>
    </w:rPr>
    <w:tblPr/>
  </w:style>
  <w:style w:type="table" w:customStyle="1" w:styleId="TableGrid-None9">
    <w:name w:val="Table Grid - None9"/>
    <w:basedOn w:val="TableNormal"/>
    <w:next w:val="TableGrid"/>
    <w:uiPriority w:val="39"/>
    <w:rsid w:val="00AB0EC4"/>
    <w:pPr>
      <w:spacing w:after="0" w:line="240" w:lineRule="auto"/>
    </w:pPr>
    <w:rPr>
      <w:sz w:val="18"/>
      <w:szCs w:val="18"/>
      <w:lang w:val="en-GB"/>
    </w:rPr>
    <w:tblPr/>
  </w:style>
  <w:style w:type="numbering" w:customStyle="1" w:styleId="PMOStyle4">
    <w:name w:val="PMO Style4"/>
    <w:uiPriority w:val="99"/>
    <w:rsid w:val="00AB0EC4"/>
    <w:pPr>
      <w:numPr>
        <w:numId w:val="1"/>
      </w:numPr>
    </w:pPr>
  </w:style>
  <w:style w:type="table" w:customStyle="1" w:styleId="GridTable5Dark-Accent138">
    <w:name w:val="Grid Table 5 Dark - Accent 138"/>
    <w:basedOn w:val="TableNormal"/>
    <w:next w:val="GridTable5Dark-Accent1"/>
    <w:uiPriority w:val="50"/>
    <w:rsid w:val="00AB0EC4"/>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6">
    <w:name w:val="Grid Table 5 Dark - Accent 16"/>
    <w:basedOn w:val="TableNormal"/>
    <w:next w:val="GridTable5Dark-Accent1"/>
    <w:uiPriority w:val="50"/>
    <w:rsid w:val="00AB0E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ListBullet2">
    <w:name w:val="List Bullet 2"/>
    <w:basedOn w:val="Normal"/>
    <w:uiPriority w:val="99"/>
    <w:qFormat/>
    <w:rsid w:val="00595D26"/>
    <w:pPr>
      <w:numPr>
        <w:numId w:val="17"/>
      </w:numPr>
      <w:spacing w:after="240" w:line="240" w:lineRule="atLeast"/>
      <w:ind w:left="1080"/>
      <w:contextualSpacing/>
    </w:pPr>
    <w:rPr>
      <w:rFonts w:ascii="Verdana" w:hAnsi="Verdana" w:cstheme="minorBidi"/>
      <w:sz w:val="18"/>
      <w:szCs w:val="20"/>
      <w:lang w:val="en-CA"/>
    </w:rPr>
  </w:style>
  <w:style w:type="paragraph" w:customStyle="1" w:styleId="TABLEHEADINGs">
    <w:name w:val="TABLE HEADINGs"/>
    <w:basedOn w:val="Normal"/>
    <w:rsid w:val="00FD1EF4"/>
    <w:pPr>
      <w:widowControl w:val="0"/>
      <w:spacing w:after="120" w:line="240" w:lineRule="atLeast"/>
      <w:contextualSpacing/>
    </w:pPr>
    <w:rPr>
      <w:rFonts w:ascii="Verdana" w:eastAsia="Times New Roman" w:hAnsi="Verdana" w:cs="Arial"/>
      <w:b/>
      <w:color w:val="FFFFFF" w:themeColor="background1"/>
      <w:sz w:val="18"/>
      <w:szCs w:val="24"/>
      <w:u w:color="000000" w:themeColor="text1"/>
    </w:rPr>
  </w:style>
  <w:style w:type="table" w:customStyle="1" w:styleId="TableGrid-None10">
    <w:name w:val="Table Grid - None10"/>
    <w:basedOn w:val="TableNormal"/>
    <w:next w:val="TableGrid"/>
    <w:uiPriority w:val="39"/>
    <w:rsid w:val="00E00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cessSteps5">
    <w:name w:val="Process Steps5"/>
    <w:basedOn w:val="TableNormal"/>
    <w:uiPriority w:val="99"/>
    <w:rsid w:val="00E001A2"/>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Calendar32">
    <w:name w:val="Calendar 32"/>
    <w:basedOn w:val="TableNormal"/>
    <w:uiPriority w:val="99"/>
    <w:qFormat/>
    <w:rsid w:val="00E001A2"/>
    <w:pPr>
      <w:spacing w:after="0" w:line="240" w:lineRule="auto"/>
      <w:jc w:val="right"/>
    </w:pPr>
    <w:rPr>
      <w:rFonts w:ascii="Cambria" w:eastAsia="MS Mincho" w:hAnsi="Cambria" w:cs="Arial"/>
      <w:color w:val="000000"/>
      <w:szCs w:val="20"/>
      <w:u w:color="000000" w:themeColor="text1"/>
      <w:lang w:eastAsia="ja-JP"/>
    </w:rPr>
    <w:tblPr/>
    <w:tblStylePr w:type="firstRow">
      <w:pPr>
        <w:wordWrap/>
        <w:jc w:val="right"/>
      </w:pPr>
      <w:rPr>
        <w:color w:val="4F81BD"/>
        <w:sz w:val="44"/>
      </w:rPr>
    </w:tblStylePr>
    <w:tblStylePr w:type="firstCol">
      <w:rPr>
        <w:color w:val="4F81BD"/>
      </w:rPr>
    </w:tblStylePr>
    <w:tblStylePr w:type="lastCol">
      <w:rPr>
        <w:color w:val="4F81BD"/>
      </w:rPr>
    </w:tblStylePr>
  </w:style>
  <w:style w:type="table" w:customStyle="1" w:styleId="LightShading-Accent22">
    <w:name w:val="Light Shading - Accent 22"/>
    <w:basedOn w:val="TableNormal"/>
    <w:next w:val="LightShading-Accent2"/>
    <w:uiPriority w:val="60"/>
    <w:rsid w:val="00E001A2"/>
    <w:pPr>
      <w:spacing w:after="0" w:line="240" w:lineRule="auto"/>
    </w:pPr>
    <w:rPr>
      <w:rFonts w:ascii="Arial" w:eastAsia="Times New Roman" w:hAnsi="Arial" w:cs="Times New Roman"/>
      <w:color w:val="943634"/>
      <w:sz w:val="20"/>
      <w:szCs w:val="20"/>
      <w:u w:color="000000" w:themeColor="text1"/>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rsid w:val="00E001A2"/>
    <w:pPr>
      <w:spacing w:after="0" w:line="240" w:lineRule="auto"/>
    </w:pPr>
    <w:rPr>
      <w:rFonts w:ascii="Arial" w:eastAsia="Times New Roman" w:hAnsi="Arial" w:cs="Times New Roman"/>
      <w:color w:val="76923C"/>
      <w:sz w:val="20"/>
      <w:szCs w:val="20"/>
      <w:u w:color="000000" w:themeColor="text1"/>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2">
    <w:name w:val="Light Shading2"/>
    <w:basedOn w:val="TableNormal"/>
    <w:next w:val="LightShading"/>
    <w:uiPriority w:val="60"/>
    <w:rsid w:val="00E001A2"/>
    <w:pPr>
      <w:spacing w:after="0" w:line="240" w:lineRule="auto"/>
    </w:pPr>
    <w:rPr>
      <w:rFonts w:ascii="Arial" w:eastAsia="Times New Roman" w:hAnsi="Arial" w:cs="Times New Roman"/>
      <w:color w:val="000000"/>
      <w:sz w:val="20"/>
      <w:szCs w:val="20"/>
      <w:u w:color="000000" w:themeColor="text1"/>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2">
    <w:name w:val="Medium Grid 32"/>
    <w:basedOn w:val="TableNormal"/>
    <w:next w:val="MediumGrid3"/>
    <w:uiPriority w:val="69"/>
    <w:rsid w:val="00E001A2"/>
    <w:pPr>
      <w:spacing w:after="0" w:line="240" w:lineRule="auto"/>
    </w:pPr>
    <w:rPr>
      <w:szCs w:val="20"/>
      <w:u w:color="000000" w:themeColor="text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GridTable5Dark-Accent17">
    <w:name w:val="Grid Table 5 Dark - Accent 17"/>
    <w:basedOn w:val="TableNormal"/>
    <w:next w:val="GridTable5Dark-Accent1"/>
    <w:uiPriority w:val="50"/>
    <w:rsid w:val="00E001A2"/>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112">
    <w:name w:val="Grid Table 5 Dark - Accent 112"/>
    <w:basedOn w:val="TableNormal"/>
    <w:next w:val="GridTable5Dark-Accent1"/>
    <w:uiPriority w:val="50"/>
    <w:rsid w:val="00E001A2"/>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9">
    <w:name w:val="Grid Table 5 Dark - Accent 139"/>
    <w:basedOn w:val="TableNormal"/>
    <w:next w:val="GridTable5Dark-Accent1"/>
    <w:uiPriority w:val="50"/>
    <w:rsid w:val="00E001A2"/>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12">
    <w:name w:val="Grid Table 5 Dark - Accent 1312"/>
    <w:basedOn w:val="TableNormal"/>
    <w:next w:val="GridTable5Dark-Accent1"/>
    <w:uiPriority w:val="50"/>
    <w:rsid w:val="00E001A2"/>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23">
    <w:name w:val="Grid Table 5 Dark - Accent 1323"/>
    <w:basedOn w:val="TableNormal"/>
    <w:next w:val="GridTable5Dark-Accent1"/>
    <w:uiPriority w:val="50"/>
    <w:rsid w:val="00E001A2"/>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3212">
    <w:name w:val="Grid Table 5 Dark - Accent 13212"/>
    <w:basedOn w:val="TableNormal"/>
    <w:next w:val="GridTable5Dark-Accent1"/>
    <w:uiPriority w:val="50"/>
    <w:rsid w:val="00E001A2"/>
    <w:pPr>
      <w:spacing w:after="0" w:line="240" w:lineRule="auto"/>
    </w:pPr>
    <w:rPr>
      <w:rFonts w:ascii="Arial" w:eastAsia="Times New Roman" w:hAnsi="Arial" w:cs="Times New Roman"/>
      <w:color w:val="000000" w:themeColor="text1"/>
      <w:sz w:val="20"/>
      <w:szCs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112">
    <w:name w:val="Table Grid112"/>
    <w:basedOn w:val="TableNormal"/>
    <w:next w:val="TableGrid"/>
    <w:uiPriority w:val="39"/>
    <w:rsid w:val="00E001A2"/>
    <w:pPr>
      <w:spacing w:after="0" w:line="240" w:lineRule="auto"/>
    </w:pPr>
    <w:rPr>
      <w:rFonts w:ascii="Calibri" w:eastAsia="Calibri" w:hAnsi="Calibri" w:cs="Calibri"/>
      <w:sz w:val="20"/>
      <w:szCs w:val="20"/>
      <w:u w:color="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DTable3">
    <w:name w:val="DED Table3"/>
    <w:basedOn w:val="TableGrid4"/>
    <w:uiPriority w:val="99"/>
    <w:rsid w:val="00E001A2"/>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customStyle="1" w:styleId="TableGrid43">
    <w:name w:val="Table Grid 43"/>
    <w:basedOn w:val="TableNormal"/>
    <w:next w:val="TableGrid4"/>
    <w:uiPriority w:val="99"/>
    <w:semiHidden/>
    <w:unhideWhenUsed/>
    <w:rsid w:val="00E001A2"/>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None23">
    <w:name w:val="Table Grid - None23"/>
    <w:basedOn w:val="TableNormal"/>
    <w:next w:val="TableGrid"/>
    <w:uiPriority w:val="59"/>
    <w:rsid w:val="00E001A2"/>
    <w:pPr>
      <w:spacing w:after="0" w:line="240" w:lineRule="auto"/>
    </w:pPr>
    <w:rPr>
      <w:sz w:val="18"/>
      <w:szCs w:val="18"/>
      <w:lang w:val="en-GB"/>
    </w:rPr>
    <w:tblPr/>
  </w:style>
  <w:style w:type="table" w:customStyle="1" w:styleId="TableGrid132">
    <w:name w:val="Table Grid132"/>
    <w:basedOn w:val="TableNormal"/>
    <w:uiPriority w:val="59"/>
    <w:rsid w:val="00E001A2"/>
    <w:pPr>
      <w:widowControl w:val="0"/>
      <w:spacing w:after="0" w:line="240" w:lineRule="auto"/>
    </w:pPr>
    <w:rPr>
      <w:rFonts w:ascii="Verdana" w:hAnsi="Verdana"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43" w:type="dxa"/>
        <w:left w:w="43" w:type="dxa"/>
        <w:bottom w:w="43" w:type="dxa"/>
        <w:right w:w="43" w:type="dxa"/>
      </w:tcMar>
    </w:tcPr>
    <w:tblStylePr w:type="firstRow">
      <w:pPr>
        <w:wordWrap/>
        <w:jc w:val="center"/>
      </w:pPr>
      <w:rPr>
        <w:rFonts w:ascii="Verdana" w:hAnsi="Verdana"/>
        <w:b/>
        <w:i w:val="0"/>
        <w:color w:val="FFFFFF" w:themeColor="background1"/>
        <w:sz w:val="20"/>
      </w:rPr>
      <w:tblPr/>
      <w:tcPr>
        <w:shd w:val="clear" w:color="auto" w:fill="000000" w:themeFill="text1"/>
      </w:tcPr>
    </w:tblStylePr>
  </w:style>
  <w:style w:type="table" w:customStyle="1" w:styleId="TableGrid121">
    <w:name w:val="Table Grid121"/>
    <w:basedOn w:val="TableNormal"/>
    <w:uiPriority w:val="59"/>
    <w:rsid w:val="00E001A2"/>
    <w:pPr>
      <w:widowControl w:val="0"/>
      <w:spacing w:after="0" w:line="240" w:lineRule="auto"/>
    </w:pPr>
    <w:rPr>
      <w:rFonts w:ascii="Verdana" w:hAnsi="Verdana"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43" w:type="dxa"/>
        <w:left w:w="43" w:type="dxa"/>
        <w:bottom w:w="43" w:type="dxa"/>
        <w:right w:w="43" w:type="dxa"/>
      </w:tcMar>
    </w:tcPr>
    <w:tblStylePr w:type="firstRow">
      <w:pPr>
        <w:wordWrap/>
        <w:jc w:val="center"/>
      </w:pPr>
      <w:rPr>
        <w:rFonts w:ascii="Verdana" w:hAnsi="Verdana"/>
        <w:b/>
        <w:i w:val="0"/>
        <w:color w:val="FFFFFF"/>
        <w:sz w:val="20"/>
      </w:rPr>
      <w:tblPr/>
      <w:tcPr>
        <w:shd w:val="clear" w:color="auto" w:fill="000000"/>
      </w:tcPr>
    </w:tblStylePr>
  </w:style>
  <w:style w:type="table" w:customStyle="1" w:styleId="TableGrid-None14">
    <w:name w:val="Table Grid - None14"/>
    <w:basedOn w:val="TableNormal"/>
    <w:next w:val="TableGrid"/>
    <w:uiPriority w:val="59"/>
    <w:rsid w:val="00E001A2"/>
    <w:pPr>
      <w:spacing w:after="0" w:line="240" w:lineRule="auto"/>
    </w:pPr>
    <w:rPr>
      <w:sz w:val="18"/>
      <w:szCs w:val="18"/>
      <w:lang w:val="en-GB"/>
    </w:rPr>
    <w:tblPr/>
  </w:style>
  <w:style w:type="table" w:customStyle="1" w:styleId="TableGrid-None31">
    <w:name w:val="Table Grid - None31"/>
    <w:basedOn w:val="TableNormal"/>
    <w:next w:val="TableGrid"/>
    <w:uiPriority w:val="59"/>
    <w:rsid w:val="00E001A2"/>
    <w:pPr>
      <w:spacing w:after="0" w:line="240" w:lineRule="auto"/>
    </w:pPr>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None41">
    <w:name w:val="Table Grid - None41"/>
    <w:basedOn w:val="TableNormal"/>
    <w:next w:val="TableGrid"/>
    <w:uiPriority w:val="59"/>
    <w:rsid w:val="00E001A2"/>
    <w:pPr>
      <w:spacing w:after="0" w:line="240" w:lineRule="auto"/>
    </w:pPr>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None51">
    <w:name w:val="Table Grid - None51"/>
    <w:basedOn w:val="ProcessSteps"/>
    <w:next w:val="TableGrid"/>
    <w:uiPriority w:val="59"/>
    <w:rsid w:val="00E001A2"/>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GridTable41">
    <w:name w:val="Grid Table 41"/>
    <w:basedOn w:val="TableNormal"/>
    <w:next w:val="GridTable4"/>
    <w:uiPriority w:val="49"/>
    <w:rsid w:val="00E001A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None61">
    <w:name w:val="Table Grid - None61"/>
    <w:basedOn w:val="TableNormal"/>
    <w:next w:val="TableGrid"/>
    <w:uiPriority w:val="59"/>
    <w:rsid w:val="00E001A2"/>
    <w:pPr>
      <w:spacing w:after="0" w:line="240" w:lineRule="auto"/>
    </w:pPr>
    <w:rPr>
      <w:sz w:val="18"/>
      <w:szCs w:val="18"/>
      <w:lang w:val="en-GB"/>
    </w:rPr>
    <w:tblPr/>
  </w:style>
  <w:style w:type="table" w:customStyle="1" w:styleId="DEDTable11">
    <w:name w:val="DED Table11"/>
    <w:basedOn w:val="TableGrid4"/>
    <w:uiPriority w:val="99"/>
    <w:rsid w:val="00E001A2"/>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customStyle="1" w:styleId="TableGrid411">
    <w:name w:val="Table Grid 411"/>
    <w:basedOn w:val="TableNormal"/>
    <w:next w:val="TableGrid4"/>
    <w:uiPriority w:val="99"/>
    <w:semiHidden/>
    <w:unhideWhenUsed/>
    <w:rsid w:val="00E001A2"/>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41">
    <w:name w:val="Table Grid141"/>
    <w:basedOn w:val="TableNormal"/>
    <w:next w:val="TableGrid"/>
    <w:uiPriority w:val="39"/>
    <w:rsid w:val="00E001A2"/>
    <w:pPr>
      <w:spacing w:after="0" w:line="240" w:lineRule="auto"/>
    </w:pPr>
    <w:rPr>
      <w:sz w:val="18"/>
      <w:szCs w:val="18"/>
      <w:lang w:val="en-GB"/>
    </w:rPr>
    <w:tblPr/>
  </w:style>
  <w:style w:type="table" w:customStyle="1" w:styleId="ProcessSteps12">
    <w:name w:val="Process Steps12"/>
    <w:basedOn w:val="TableNormal"/>
    <w:uiPriority w:val="99"/>
    <w:rsid w:val="00E001A2"/>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numbering" w:customStyle="1" w:styleId="PMOStyle11">
    <w:name w:val="PMO Style11"/>
    <w:uiPriority w:val="99"/>
    <w:rsid w:val="00E001A2"/>
    <w:pPr>
      <w:numPr>
        <w:numId w:val="32"/>
      </w:numPr>
    </w:pPr>
  </w:style>
  <w:style w:type="table" w:customStyle="1" w:styleId="TableGrid-None111">
    <w:name w:val="Table Grid - None111"/>
    <w:basedOn w:val="ProcessSteps"/>
    <w:next w:val="TableGrid"/>
    <w:uiPriority w:val="39"/>
    <w:rsid w:val="00E001A2"/>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None211">
    <w:name w:val="Table Grid - None211"/>
    <w:basedOn w:val="TableNormal"/>
    <w:next w:val="TableGrid"/>
    <w:uiPriority w:val="59"/>
    <w:rsid w:val="00E001A2"/>
    <w:pPr>
      <w:spacing w:after="0" w:line="240" w:lineRule="auto"/>
    </w:pPr>
    <w:rPr>
      <w:sz w:val="18"/>
      <w:szCs w:val="18"/>
      <w:lang w:val="en-GB"/>
    </w:rPr>
    <w:tblPr/>
  </w:style>
  <w:style w:type="table" w:customStyle="1" w:styleId="TableGrid1311">
    <w:name w:val="Table Grid1311"/>
    <w:basedOn w:val="TableNormal"/>
    <w:uiPriority w:val="59"/>
    <w:rsid w:val="00E001A2"/>
    <w:pPr>
      <w:widowControl w:val="0"/>
      <w:spacing w:after="0" w:line="240" w:lineRule="auto"/>
    </w:pPr>
    <w:rPr>
      <w:rFonts w:ascii="Verdana" w:hAnsi="Verdana"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43" w:type="dxa"/>
        <w:left w:w="43" w:type="dxa"/>
        <w:bottom w:w="43" w:type="dxa"/>
        <w:right w:w="43" w:type="dxa"/>
      </w:tcMar>
    </w:tcPr>
    <w:tblStylePr w:type="firstRow">
      <w:pPr>
        <w:wordWrap/>
        <w:jc w:val="center"/>
      </w:pPr>
      <w:rPr>
        <w:rFonts w:ascii="Verdana" w:hAnsi="Verdana"/>
        <w:b/>
        <w:i w:val="0"/>
        <w:color w:val="FFFFFF" w:themeColor="background1"/>
        <w:sz w:val="20"/>
      </w:rPr>
      <w:tblPr/>
      <w:tcPr>
        <w:shd w:val="clear" w:color="auto" w:fill="000000" w:themeFill="text1"/>
      </w:tcPr>
    </w:tblStylePr>
  </w:style>
  <w:style w:type="table" w:customStyle="1" w:styleId="TableGrid-None221">
    <w:name w:val="Table Grid - None221"/>
    <w:basedOn w:val="TableNormal"/>
    <w:next w:val="TableGrid"/>
    <w:uiPriority w:val="59"/>
    <w:rsid w:val="00E001A2"/>
    <w:pPr>
      <w:spacing w:after="0" w:line="240" w:lineRule="auto"/>
    </w:pPr>
    <w:rPr>
      <w:sz w:val="18"/>
      <w:szCs w:val="18"/>
      <w:lang w:val="en-GB"/>
    </w:rPr>
    <w:tblPr/>
  </w:style>
  <w:style w:type="table" w:customStyle="1" w:styleId="GridTable5Dark-Accent1331">
    <w:name w:val="Grid Table 5 Dark - Accent 1331"/>
    <w:basedOn w:val="TableNormal"/>
    <w:next w:val="GridTable5Dark-Accent1"/>
    <w:uiPriority w:val="50"/>
    <w:rsid w:val="00E001A2"/>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2">
    <w:name w:val="Table Grid22"/>
    <w:basedOn w:val="TableNormal"/>
    <w:next w:val="TableGrid"/>
    <w:uiPriority w:val="39"/>
    <w:rsid w:val="00E001A2"/>
    <w:pPr>
      <w:spacing w:after="0" w:line="240" w:lineRule="auto"/>
    </w:pPr>
    <w:rPr>
      <w:sz w:val="18"/>
      <w:szCs w:val="18"/>
      <w:lang w:val="en-GB"/>
    </w:rPr>
    <w:tblPr/>
  </w:style>
  <w:style w:type="table" w:customStyle="1" w:styleId="TableGrid-None71">
    <w:name w:val="Table Grid - None71"/>
    <w:basedOn w:val="TableNormal"/>
    <w:next w:val="TableGrid"/>
    <w:uiPriority w:val="59"/>
    <w:rsid w:val="00E001A2"/>
    <w:pPr>
      <w:spacing w:after="0" w:line="240" w:lineRule="auto"/>
    </w:pPr>
    <w:rPr>
      <w:sz w:val="18"/>
      <w:szCs w:val="18"/>
      <w:lang w:val="en-GB"/>
    </w:rPr>
    <w:tblPr/>
  </w:style>
  <w:style w:type="table" w:customStyle="1" w:styleId="DEDTable21">
    <w:name w:val="DED Table21"/>
    <w:basedOn w:val="TableGrid4"/>
    <w:uiPriority w:val="99"/>
    <w:rsid w:val="00E001A2"/>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table" w:customStyle="1" w:styleId="TableGrid421">
    <w:name w:val="Table Grid 421"/>
    <w:basedOn w:val="TableNormal"/>
    <w:next w:val="TableGrid4"/>
    <w:uiPriority w:val="99"/>
    <w:semiHidden/>
    <w:unhideWhenUsed/>
    <w:rsid w:val="00E001A2"/>
    <w:pPr>
      <w:spacing w:before="120" w:after="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151">
    <w:name w:val="Table Grid151"/>
    <w:basedOn w:val="TableNormal"/>
    <w:next w:val="TableGrid"/>
    <w:uiPriority w:val="59"/>
    <w:rsid w:val="00E001A2"/>
    <w:pPr>
      <w:spacing w:after="0" w:line="240" w:lineRule="auto"/>
    </w:pPr>
    <w:rPr>
      <w:sz w:val="18"/>
      <w:szCs w:val="18"/>
      <w:lang w:val="en-GB"/>
    </w:rPr>
    <w:tblPr/>
  </w:style>
  <w:style w:type="table" w:customStyle="1" w:styleId="ProcessSteps21">
    <w:name w:val="Process Steps21"/>
    <w:basedOn w:val="TableNormal"/>
    <w:uiPriority w:val="99"/>
    <w:rsid w:val="00E001A2"/>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Light11">
    <w:name w:val="Table Grid Light11"/>
    <w:basedOn w:val="TableNormal"/>
    <w:next w:val="TableGridLight"/>
    <w:uiPriority w:val="40"/>
    <w:rsid w:val="00E001A2"/>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E001A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5Dark-Accent1341">
    <w:name w:val="Grid Table 5 Dark - Accent 1341"/>
    <w:basedOn w:val="TableNormal"/>
    <w:next w:val="GridTable5Dark-Accent1"/>
    <w:uiPriority w:val="50"/>
    <w:rsid w:val="00E001A2"/>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21">
    <w:name w:val="Grid Table 5 Dark - Accent 121"/>
    <w:basedOn w:val="TableNormal"/>
    <w:next w:val="GridTable5Dark-Accent1"/>
    <w:uiPriority w:val="50"/>
    <w:rsid w:val="00E001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ProcessSteps31">
    <w:name w:val="Process Steps31"/>
    <w:basedOn w:val="TableNormal"/>
    <w:uiPriority w:val="99"/>
    <w:rsid w:val="00E001A2"/>
    <w:pPr>
      <w:spacing w:after="0" w:line="240" w:lineRule="auto"/>
    </w:pPr>
    <w:tblPr/>
    <w:trPr>
      <w:cantSplit/>
    </w:trPr>
    <w:tblStylePr w:type="firstRow">
      <w:rPr>
        <w:rFonts w:asciiTheme="majorHAnsi" w:hAnsiTheme="majorHAnsi"/>
        <w:b/>
        <w:i w:val="0"/>
        <w:color w:val="auto"/>
        <w:sz w:val="17"/>
      </w:rPr>
      <w:tblPr/>
      <w:trPr>
        <w:tblHeader/>
      </w:trPr>
      <w:tcPr>
        <w:shd w:val="clear" w:color="auto" w:fill="000000" w:themeFill="text1"/>
      </w:tcPr>
    </w:tblStylePr>
    <w:tblStylePr w:type="lastRow">
      <w:rPr>
        <w:b/>
        <w:bCs/>
        <w:color w:val="auto"/>
      </w:rPr>
    </w:tblStylePr>
    <w:tblStylePr w:type="firstCol">
      <w:rPr>
        <w:rFonts w:asciiTheme="minorHAnsi" w:hAnsiTheme="minorHAnsi"/>
        <w:b/>
        <w:sz w:val="18"/>
      </w:rPr>
    </w:tblStylePr>
    <w:tblStylePr w:type="lastCol">
      <w:rPr>
        <w:b/>
        <w:bCs/>
        <w:color w:val="auto"/>
      </w:rPr>
    </w:tblStylePr>
  </w:style>
  <w:style w:type="table" w:customStyle="1" w:styleId="ProcessSteps111">
    <w:name w:val="Process Steps111"/>
    <w:basedOn w:val="TableNormal"/>
    <w:uiPriority w:val="99"/>
    <w:rsid w:val="00E001A2"/>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ProcessSteps41">
    <w:name w:val="Process Steps41"/>
    <w:basedOn w:val="TableNormal"/>
    <w:uiPriority w:val="99"/>
    <w:rsid w:val="00E001A2"/>
    <w:pPr>
      <w:spacing w:after="0" w:line="240" w:lineRule="auto"/>
    </w:pPr>
    <w:tblPr/>
    <w:trPr>
      <w:cantSplit/>
    </w:tr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GridTable5Dark-Accent1351">
    <w:name w:val="Grid Table 5 Dark - Accent 1351"/>
    <w:basedOn w:val="TableNormal"/>
    <w:next w:val="GridTable5Dark-Accent1"/>
    <w:uiPriority w:val="50"/>
    <w:rsid w:val="00E001A2"/>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None121">
    <w:name w:val="Table Grid - None121"/>
    <w:basedOn w:val="ProcessSteps"/>
    <w:next w:val="TableGrid"/>
    <w:uiPriority w:val="39"/>
    <w:rsid w:val="00E001A2"/>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auto"/>
        <w:sz w:val="20"/>
      </w:rPr>
      <w:tblPr/>
      <w:trPr>
        <w:tblHeader/>
      </w:trPr>
      <w:tcPr>
        <w:shd w:val="clear" w:color="auto" w:fill="000000" w:themeFill="text1"/>
      </w:tcPr>
    </w:tblStylePr>
    <w:tblStylePr w:type="lastRow">
      <w:rPr>
        <w:b/>
        <w:bCs/>
        <w:color w:val="auto"/>
      </w:rPr>
    </w:tblStylePr>
    <w:tblStylePr w:type="lastCol">
      <w:rPr>
        <w:b/>
        <w:bCs/>
        <w:color w:val="auto"/>
      </w:rPr>
    </w:tblStylePr>
  </w:style>
  <w:style w:type="table" w:customStyle="1" w:styleId="TableGrid-None81">
    <w:name w:val="Table Grid - None81"/>
    <w:basedOn w:val="TableNormal"/>
    <w:next w:val="TableGrid"/>
    <w:uiPriority w:val="59"/>
    <w:rsid w:val="00E001A2"/>
    <w:pPr>
      <w:spacing w:after="0" w:line="240" w:lineRule="auto"/>
    </w:pPr>
    <w:rPr>
      <w:sz w:val="18"/>
      <w:szCs w:val="18"/>
      <w:lang w:val="en-GB"/>
    </w:rPr>
    <w:tblPr/>
  </w:style>
  <w:style w:type="table" w:customStyle="1" w:styleId="GridTable5Dark-Accent1361">
    <w:name w:val="Grid Table 5 Dark - Accent 1361"/>
    <w:basedOn w:val="TableNormal"/>
    <w:next w:val="GridTable5Dark-Accent1"/>
    <w:uiPriority w:val="50"/>
    <w:rsid w:val="00E001A2"/>
    <w:pPr>
      <w:spacing w:after="0" w:line="240" w:lineRule="auto"/>
    </w:pPr>
    <w:rPr>
      <w:rFonts w:ascii="Arial" w:eastAsia="Times New Roman" w:hAnsi="Arial" w:cs="Times New Roman"/>
      <w:color w:val="000000" w:themeColor="text1"/>
      <w:sz w:val="20"/>
      <w:u w:color="000000" w:themeColor="text1"/>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41">
    <w:name w:val="Grid Table 5 Dark - Accent 141"/>
    <w:basedOn w:val="TableNormal"/>
    <w:next w:val="GridTable5Dark-Accent1"/>
    <w:uiPriority w:val="50"/>
    <w:rsid w:val="00E001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None131">
    <w:name w:val="Table Grid - None131"/>
    <w:basedOn w:val="ProcessSteps"/>
    <w:next w:val="TableGrid"/>
    <w:uiPriority w:val="39"/>
    <w:rsid w:val="00E001A2"/>
    <w:rPr>
      <w:rFonts w:ascii="Arial" w:eastAsia="Times New Roman" w:hAnsi="Arial" w:cs="Times New Roman"/>
      <w:color w:val="000000" w:themeColor="text1"/>
      <w:sz w:val="20"/>
      <w:szCs w:val="20"/>
      <w:u w:color="000000" w:themeColor="text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sz w:val="20"/>
      </w:rPr>
      <w:tblPr/>
      <w:trPr>
        <w:tblHeader/>
      </w:trPr>
      <w:tcPr>
        <w:shd w:val="clear" w:color="auto" w:fill="000000" w:themeFill="text1"/>
      </w:tcPr>
    </w:tblStylePr>
  </w:style>
  <w:style w:type="table" w:customStyle="1" w:styleId="TableGrid211">
    <w:name w:val="Table Grid211"/>
    <w:basedOn w:val="TableNormal"/>
    <w:next w:val="TableGrid"/>
    <w:uiPriority w:val="39"/>
    <w:rsid w:val="00E00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NEW"/>
    <w:qFormat/>
    <w:rsid w:val="00B97366"/>
    <w:pPr>
      <w:keepNext/>
    </w:pPr>
    <w:rPr>
      <w:b/>
      <w:bCs/>
    </w:rPr>
  </w:style>
  <w:style w:type="paragraph" w:customStyle="1" w:styleId="Heading1nonumber">
    <w:name w:val="Heading 1 (no number)"/>
    <w:basedOn w:val="Heading1"/>
    <w:qFormat/>
    <w:rsid w:val="005D4573"/>
    <w:pPr>
      <w:numPr>
        <w:numId w:val="0"/>
      </w:numPr>
      <w:ind w:left="360" w:hanging="360"/>
    </w:pPr>
  </w:style>
  <w:style w:type="paragraph" w:customStyle="1" w:styleId="pf0">
    <w:name w:val="pf0"/>
    <w:basedOn w:val="Normal"/>
    <w:rsid w:val="008C1BC3"/>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8C1BC3"/>
    <w:rPr>
      <w:rFonts w:ascii="Segoe UI" w:hAnsi="Segoe UI" w:cs="Segoe UI" w:hint="default"/>
      <w:sz w:val="16"/>
      <w:szCs w:val="16"/>
    </w:rPr>
  </w:style>
  <w:style w:type="table" w:customStyle="1" w:styleId="TableStyleCustom1">
    <w:name w:val="Table Style Custom 1"/>
    <w:basedOn w:val="TableGrid4"/>
    <w:uiPriority w:val="99"/>
    <w:rsid w:val="00CE1FBE"/>
    <w:pPr>
      <w:spacing w:before="60" w:after="60" w:line="240" w:lineRule="auto"/>
    </w:pPr>
    <w:rPr>
      <w:rFonts w:ascii="Verdana" w:hAnsi="Verdana"/>
      <w:sz w:val="18"/>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paragraph" w:styleId="List2">
    <w:name w:val="List 2"/>
    <w:basedOn w:val="Bodycopy"/>
    <w:autoRedefine/>
    <w:semiHidden/>
    <w:qFormat/>
    <w:rsid w:val="00F1154A"/>
    <w:pPr>
      <w:numPr>
        <w:numId w:val="21"/>
      </w:numPr>
      <w:suppressAutoHyphens w:val="0"/>
      <w:spacing w:before="120" w:after="0" w:line="240" w:lineRule="atLeast"/>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2716">
      <w:bodyDiv w:val="1"/>
      <w:marLeft w:val="0"/>
      <w:marRight w:val="0"/>
      <w:marTop w:val="0"/>
      <w:marBottom w:val="0"/>
      <w:divBdr>
        <w:top w:val="none" w:sz="0" w:space="0" w:color="auto"/>
        <w:left w:val="none" w:sz="0" w:space="0" w:color="auto"/>
        <w:bottom w:val="none" w:sz="0" w:space="0" w:color="auto"/>
        <w:right w:val="none" w:sz="0" w:space="0" w:color="auto"/>
      </w:divBdr>
      <w:divsChild>
        <w:div w:id="85352308">
          <w:marLeft w:val="835"/>
          <w:marRight w:val="0"/>
          <w:marTop w:val="0"/>
          <w:marBottom w:val="0"/>
          <w:divBdr>
            <w:top w:val="none" w:sz="0" w:space="0" w:color="auto"/>
            <w:left w:val="none" w:sz="0" w:space="0" w:color="auto"/>
            <w:bottom w:val="none" w:sz="0" w:space="0" w:color="auto"/>
            <w:right w:val="none" w:sz="0" w:space="0" w:color="auto"/>
          </w:divBdr>
        </w:div>
      </w:divsChild>
    </w:div>
    <w:div w:id="20936739">
      <w:bodyDiv w:val="1"/>
      <w:marLeft w:val="0"/>
      <w:marRight w:val="0"/>
      <w:marTop w:val="0"/>
      <w:marBottom w:val="0"/>
      <w:divBdr>
        <w:top w:val="none" w:sz="0" w:space="0" w:color="auto"/>
        <w:left w:val="none" w:sz="0" w:space="0" w:color="auto"/>
        <w:bottom w:val="none" w:sz="0" w:space="0" w:color="auto"/>
        <w:right w:val="none" w:sz="0" w:space="0" w:color="auto"/>
      </w:divBdr>
    </w:div>
    <w:div w:id="25255664">
      <w:bodyDiv w:val="1"/>
      <w:marLeft w:val="0"/>
      <w:marRight w:val="0"/>
      <w:marTop w:val="0"/>
      <w:marBottom w:val="0"/>
      <w:divBdr>
        <w:top w:val="none" w:sz="0" w:space="0" w:color="auto"/>
        <w:left w:val="none" w:sz="0" w:space="0" w:color="auto"/>
        <w:bottom w:val="none" w:sz="0" w:space="0" w:color="auto"/>
        <w:right w:val="none" w:sz="0" w:space="0" w:color="auto"/>
      </w:divBdr>
      <w:divsChild>
        <w:div w:id="17699190">
          <w:marLeft w:val="0"/>
          <w:marRight w:val="0"/>
          <w:marTop w:val="0"/>
          <w:marBottom w:val="0"/>
          <w:divBdr>
            <w:top w:val="none" w:sz="0" w:space="0" w:color="auto"/>
            <w:left w:val="none" w:sz="0" w:space="0" w:color="auto"/>
            <w:bottom w:val="none" w:sz="0" w:space="0" w:color="auto"/>
            <w:right w:val="none" w:sz="0" w:space="0" w:color="auto"/>
          </w:divBdr>
          <w:divsChild>
            <w:div w:id="96486624">
              <w:marLeft w:val="0"/>
              <w:marRight w:val="0"/>
              <w:marTop w:val="0"/>
              <w:marBottom w:val="0"/>
              <w:divBdr>
                <w:top w:val="none" w:sz="0" w:space="0" w:color="auto"/>
                <w:left w:val="none" w:sz="0" w:space="0" w:color="auto"/>
                <w:bottom w:val="none" w:sz="0" w:space="0" w:color="auto"/>
                <w:right w:val="none" w:sz="0" w:space="0" w:color="auto"/>
              </w:divBdr>
            </w:div>
            <w:div w:id="126895320">
              <w:marLeft w:val="0"/>
              <w:marRight w:val="0"/>
              <w:marTop w:val="0"/>
              <w:marBottom w:val="0"/>
              <w:divBdr>
                <w:top w:val="none" w:sz="0" w:space="0" w:color="auto"/>
                <w:left w:val="none" w:sz="0" w:space="0" w:color="auto"/>
                <w:bottom w:val="none" w:sz="0" w:space="0" w:color="auto"/>
                <w:right w:val="none" w:sz="0" w:space="0" w:color="auto"/>
              </w:divBdr>
            </w:div>
            <w:div w:id="194075425">
              <w:marLeft w:val="0"/>
              <w:marRight w:val="0"/>
              <w:marTop w:val="0"/>
              <w:marBottom w:val="0"/>
              <w:divBdr>
                <w:top w:val="none" w:sz="0" w:space="0" w:color="auto"/>
                <w:left w:val="none" w:sz="0" w:space="0" w:color="auto"/>
                <w:bottom w:val="none" w:sz="0" w:space="0" w:color="auto"/>
                <w:right w:val="none" w:sz="0" w:space="0" w:color="auto"/>
              </w:divBdr>
            </w:div>
            <w:div w:id="260992111">
              <w:marLeft w:val="0"/>
              <w:marRight w:val="0"/>
              <w:marTop w:val="0"/>
              <w:marBottom w:val="0"/>
              <w:divBdr>
                <w:top w:val="none" w:sz="0" w:space="0" w:color="auto"/>
                <w:left w:val="none" w:sz="0" w:space="0" w:color="auto"/>
                <w:bottom w:val="none" w:sz="0" w:space="0" w:color="auto"/>
                <w:right w:val="none" w:sz="0" w:space="0" w:color="auto"/>
              </w:divBdr>
            </w:div>
            <w:div w:id="355623820">
              <w:marLeft w:val="0"/>
              <w:marRight w:val="0"/>
              <w:marTop w:val="0"/>
              <w:marBottom w:val="0"/>
              <w:divBdr>
                <w:top w:val="none" w:sz="0" w:space="0" w:color="auto"/>
                <w:left w:val="none" w:sz="0" w:space="0" w:color="auto"/>
                <w:bottom w:val="none" w:sz="0" w:space="0" w:color="auto"/>
                <w:right w:val="none" w:sz="0" w:space="0" w:color="auto"/>
              </w:divBdr>
            </w:div>
            <w:div w:id="433211205">
              <w:marLeft w:val="0"/>
              <w:marRight w:val="0"/>
              <w:marTop w:val="0"/>
              <w:marBottom w:val="0"/>
              <w:divBdr>
                <w:top w:val="none" w:sz="0" w:space="0" w:color="auto"/>
                <w:left w:val="none" w:sz="0" w:space="0" w:color="auto"/>
                <w:bottom w:val="none" w:sz="0" w:space="0" w:color="auto"/>
                <w:right w:val="none" w:sz="0" w:space="0" w:color="auto"/>
              </w:divBdr>
            </w:div>
            <w:div w:id="644235024">
              <w:marLeft w:val="0"/>
              <w:marRight w:val="0"/>
              <w:marTop w:val="0"/>
              <w:marBottom w:val="0"/>
              <w:divBdr>
                <w:top w:val="none" w:sz="0" w:space="0" w:color="auto"/>
                <w:left w:val="none" w:sz="0" w:space="0" w:color="auto"/>
                <w:bottom w:val="none" w:sz="0" w:space="0" w:color="auto"/>
                <w:right w:val="none" w:sz="0" w:space="0" w:color="auto"/>
              </w:divBdr>
            </w:div>
            <w:div w:id="1161576342">
              <w:marLeft w:val="0"/>
              <w:marRight w:val="0"/>
              <w:marTop w:val="0"/>
              <w:marBottom w:val="0"/>
              <w:divBdr>
                <w:top w:val="none" w:sz="0" w:space="0" w:color="auto"/>
                <w:left w:val="none" w:sz="0" w:space="0" w:color="auto"/>
                <w:bottom w:val="none" w:sz="0" w:space="0" w:color="auto"/>
                <w:right w:val="none" w:sz="0" w:space="0" w:color="auto"/>
              </w:divBdr>
            </w:div>
            <w:div w:id="1346058595">
              <w:marLeft w:val="0"/>
              <w:marRight w:val="0"/>
              <w:marTop w:val="0"/>
              <w:marBottom w:val="0"/>
              <w:divBdr>
                <w:top w:val="none" w:sz="0" w:space="0" w:color="auto"/>
                <w:left w:val="none" w:sz="0" w:space="0" w:color="auto"/>
                <w:bottom w:val="none" w:sz="0" w:space="0" w:color="auto"/>
                <w:right w:val="none" w:sz="0" w:space="0" w:color="auto"/>
              </w:divBdr>
            </w:div>
            <w:div w:id="1561014048">
              <w:marLeft w:val="0"/>
              <w:marRight w:val="0"/>
              <w:marTop w:val="0"/>
              <w:marBottom w:val="0"/>
              <w:divBdr>
                <w:top w:val="none" w:sz="0" w:space="0" w:color="auto"/>
                <w:left w:val="none" w:sz="0" w:space="0" w:color="auto"/>
                <w:bottom w:val="none" w:sz="0" w:space="0" w:color="auto"/>
                <w:right w:val="none" w:sz="0" w:space="0" w:color="auto"/>
              </w:divBdr>
            </w:div>
            <w:div w:id="1929121248">
              <w:marLeft w:val="0"/>
              <w:marRight w:val="0"/>
              <w:marTop w:val="0"/>
              <w:marBottom w:val="0"/>
              <w:divBdr>
                <w:top w:val="none" w:sz="0" w:space="0" w:color="auto"/>
                <w:left w:val="none" w:sz="0" w:space="0" w:color="auto"/>
                <w:bottom w:val="none" w:sz="0" w:space="0" w:color="auto"/>
                <w:right w:val="none" w:sz="0" w:space="0" w:color="auto"/>
              </w:divBdr>
            </w:div>
          </w:divsChild>
        </w:div>
        <w:div w:id="29570277">
          <w:marLeft w:val="0"/>
          <w:marRight w:val="0"/>
          <w:marTop w:val="0"/>
          <w:marBottom w:val="0"/>
          <w:divBdr>
            <w:top w:val="none" w:sz="0" w:space="0" w:color="auto"/>
            <w:left w:val="none" w:sz="0" w:space="0" w:color="auto"/>
            <w:bottom w:val="none" w:sz="0" w:space="0" w:color="auto"/>
            <w:right w:val="none" w:sz="0" w:space="0" w:color="auto"/>
          </w:divBdr>
          <w:divsChild>
            <w:div w:id="186023156">
              <w:marLeft w:val="0"/>
              <w:marRight w:val="0"/>
              <w:marTop w:val="0"/>
              <w:marBottom w:val="0"/>
              <w:divBdr>
                <w:top w:val="none" w:sz="0" w:space="0" w:color="auto"/>
                <w:left w:val="none" w:sz="0" w:space="0" w:color="auto"/>
                <w:bottom w:val="none" w:sz="0" w:space="0" w:color="auto"/>
                <w:right w:val="none" w:sz="0" w:space="0" w:color="auto"/>
              </w:divBdr>
            </w:div>
            <w:div w:id="679157536">
              <w:marLeft w:val="0"/>
              <w:marRight w:val="0"/>
              <w:marTop w:val="0"/>
              <w:marBottom w:val="0"/>
              <w:divBdr>
                <w:top w:val="none" w:sz="0" w:space="0" w:color="auto"/>
                <w:left w:val="none" w:sz="0" w:space="0" w:color="auto"/>
                <w:bottom w:val="none" w:sz="0" w:space="0" w:color="auto"/>
                <w:right w:val="none" w:sz="0" w:space="0" w:color="auto"/>
              </w:divBdr>
            </w:div>
            <w:div w:id="770668558">
              <w:marLeft w:val="0"/>
              <w:marRight w:val="0"/>
              <w:marTop w:val="0"/>
              <w:marBottom w:val="0"/>
              <w:divBdr>
                <w:top w:val="none" w:sz="0" w:space="0" w:color="auto"/>
                <w:left w:val="none" w:sz="0" w:space="0" w:color="auto"/>
                <w:bottom w:val="none" w:sz="0" w:space="0" w:color="auto"/>
                <w:right w:val="none" w:sz="0" w:space="0" w:color="auto"/>
              </w:divBdr>
            </w:div>
            <w:div w:id="1142962927">
              <w:marLeft w:val="0"/>
              <w:marRight w:val="0"/>
              <w:marTop w:val="0"/>
              <w:marBottom w:val="0"/>
              <w:divBdr>
                <w:top w:val="none" w:sz="0" w:space="0" w:color="auto"/>
                <w:left w:val="none" w:sz="0" w:space="0" w:color="auto"/>
                <w:bottom w:val="none" w:sz="0" w:space="0" w:color="auto"/>
                <w:right w:val="none" w:sz="0" w:space="0" w:color="auto"/>
              </w:divBdr>
            </w:div>
            <w:div w:id="1744066983">
              <w:marLeft w:val="0"/>
              <w:marRight w:val="0"/>
              <w:marTop w:val="0"/>
              <w:marBottom w:val="0"/>
              <w:divBdr>
                <w:top w:val="none" w:sz="0" w:space="0" w:color="auto"/>
                <w:left w:val="none" w:sz="0" w:space="0" w:color="auto"/>
                <w:bottom w:val="none" w:sz="0" w:space="0" w:color="auto"/>
                <w:right w:val="none" w:sz="0" w:space="0" w:color="auto"/>
              </w:divBdr>
            </w:div>
          </w:divsChild>
        </w:div>
        <w:div w:id="35665380">
          <w:marLeft w:val="0"/>
          <w:marRight w:val="0"/>
          <w:marTop w:val="0"/>
          <w:marBottom w:val="0"/>
          <w:divBdr>
            <w:top w:val="none" w:sz="0" w:space="0" w:color="auto"/>
            <w:left w:val="none" w:sz="0" w:space="0" w:color="auto"/>
            <w:bottom w:val="none" w:sz="0" w:space="0" w:color="auto"/>
            <w:right w:val="none" w:sz="0" w:space="0" w:color="auto"/>
          </w:divBdr>
        </w:div>
        <w:div w:id="49305167">
          <w:marLeft w:val="0"/>
          <w:marRight w:val="0"/>
          <w:marTop w:val="0"/>
          <w:marBottom w:val="0"/>
          <w:divBdr>
            <w:top w:val="none" w:sz="0" w:space="0" w:color="auto"/>
            <w:left w:val="none" w:sz="0" w:space="0" w:color="auto"/>
            <w:bottom w:val="none" w:sz="0" w:space="0" w:color="auto"/>
            <w:right w:val="none" w:sz="0" w:space="0" w:color="auto"/>
          </w:divBdr>
        </w:div>
        <w:div w:id="58405091">
          <w:marLeft w:val="0"/>
          <w:marRight w:val="0"/>
          <w:marTop w:val="0"/>
          <w:marBottom w:val="0"/>
          <w:divBdr>
            <w:top w:val="none" w:sz="0" w:space="0" w:color="auto"/>
            <w:left w:val="none" w:sz="0" w:space="0" w:color="auto"/>
            <w:bottom w:val="none" w:sz="0" w:space="0" w:color="auto"/>
            <w:right w:val="none" w:sz="0" w:space="0" w:color="auto"/>
          </w:divBdr>
          <w:divsChild>
            <w:div w:id="167139514">
              <w:marLeft w:val="-75"/>
              <w:marRight w:val="0"/>
              <w:marTop w:val="30"/>
              <w:marBottom w:val="30"/>
              <w:divBdr>
                <w:top w:val="none" w:sz="0" w:space="0" w:color="auto"/>
                <w:left w:val="none" w:sz="0" w:space="0" w:color="auto"/>
                <w:bottom w:val="none" w:sz="0" w:space="0" w:color="auto"/>
                <w:right w:val="none" w:sz="0" w:space="0" w:color="auto"/>
              </w:divBdr>
              <w:divsChild>
                <w:div w:id="8603825">
                  <w:marLeft w:val="0"/>
                  <w:marRight w:val="0"/>
                  <w:marTop w:val="0"/>
                  <w:marBottom w:val="0"/>
                  <w:divBdr>
                    <w:top w:val="none" w:sz="0" w:space="0" w:color="auto"/>
                    <w:left w:val="none" w:sz="0" w:space="0" w:color="auto"/>
                    <w:bottom w:val="none" w:sz="0" w:space="0" w:color="auto"/>
                    <w:right w:val="none" w:sz="0" w:space="0" w:color="auto"/>
                  </w:divBdr>
                  <w:divsChild>
                    <w:div w:id="493647423">
                      <w:marLeft w:val="0"/>
                      <w:marRight w:val="0"/>
                      <w:marTop w:val="0"/>
                      <w:marBottom w:val="0"/>
                      <w:divBdr>
                        <w:top w:val="none" w:sz="0" w:space="0" w:color="auto"/>
                        <w:left w:val="none" w:sz="0" w:space="0" w:color="auto"/>
                        <w:bottom w:val="none" w:sz="0" w:space="0" w:color="auto"/>
                        <w:right w:val="none" w:sz="0" w:space="0" w:color="auto"/>
                      </w:divBdr>
                    </w:div>
                  </w:divsChild>
                </w:div>
                <w:div w:id="55905751">
                  <w:marLeft w:val="0"/>
                  <w:marRight w:val="0"/>
                  <w:marTop w:val="0"/>
                  <w:marBottom w:val="0"/>
                  <w:divBdr>
                    <w:top w:val="none" w:sz="0" w:space="0" w:color="auto"/>
                    <w:left w:val="none" w:sz="0" w:space="0" w:color="auto"/>
                    <w:bottom w:val="none" w:sz="0" w:space="0" w:color="auto"/>
                    <w:right w:val="none" w:sz="0" w:space="0" w:color="auto"/>
                  </w:divBdr>
                  <w:divsChild>
                    <w:div w:id="1818374614">
                      <w:marLeft w:val="0"/>
                      <w:marRight w:val="0"/>
                      <w:marTop w:val="0"/>
                      <w:marBottom w:val="0"/>
                      <w:divBdr>
                        <w:top w:val="none" w:sz="0" w:space="0" w:color="auto"/>
                        <w:left w:val="none" w:sz="0" w:space="0" w:color="auto"/>
                        <w:bottom w:val="none" w:sz="0" w:space="0" w:color="auto"/>
                        <w:right w:val="none" w:sz="0" w:space="0" w:color="auto"/>
                      </w:divBdr>
                    </w:div>
                  </w:divsChild>
                </w:div>
                <w:div w:id="73626825">
                  <w:marLeft w:val="0"/>
                  <w:marRight w:val="0"/>
                  <w:marTop w:val="0"/>
                  <w:marBottom w:val="0"/>
                  <w:divBdr>
                    <w:top w:val="none" w:sz="0" w:space="0" w:color="auto"/>
                    <w:left w:val="none" w:sz="0" w:space="0" w:color="auto"/>
                    <w:bottom w:val="none" w:sz="0" w:space="0" w:color="auto"/>
                    <w:right w:val="none" w:sz="0" w:space="0" w:color="auto"/>
                  </w:divBdr>
                  <w:divsChild>
                    <w:div w:id="530192773">
                      <w:marLeft w:val="0"/>
                      <w:marRight w:val="0"/>
                      <w:marTop w:val="0"/>
                      <w:marBottom w:val="0"/>
                      <w:divBdr>
                        <w:top w:val="none" w:sz="0" w:space="0" w:color="auto"/>
                        <w:left w:val="none" w:sz="0" w:space="0" w:color="auto"/>
                        <w:bottom w:val="none" w:sz="0" w:space="0" w:color="auto"/>
                        <w:right w:val="none" w:sz="0" w:space="0" w:color="auto"/>
                      </w:divBdr>
                    </w:div>
                  </w:divsChild>
                </w:div>
                <w:div w:id="112527868">
                  <w:marLeft w:val="0"/>
                  <w:marRight w:val="0"/>
                  <w:marTop w:val="0"/>
                  <w:marBottom w:val="0"/>
                  <w:divBdr>
                    <w:top w:val="none" w:sz="0" w:space="0" w:color="auto"/>
                    <w:left w:val="none" w:sz="0" w:space="0" w:color="auto"/>
                    <w:bottom w:val="none" w:sz="0" w:space="0" w:color="auto"/>
                    <w:right w:val="none" w:sz="0" w:space="0" w:color="auto"/>
                  </w:divBdr>
                  <w:divsChild>
                    <w:div w:id="1602906663">
                      <w:marLeft w:val="0"/>
                      <w:marRight w:val="0"/>
                      <w:marTop w:val="0"/>
                      <w:marBottom w:val="0"/>
                      <w:divBdr>
                        <w:top w:val="none" w:sz="0" w:space="0" w:color="auto"/>
                        <w:left w:val="none" w:sz="0" w:space="0" w:color="auto"/>
                        <w:bottom w:val="none" w:sz="0" w:space="0" w:color="auto"/>
                        <w:right w:val="none" w:sz="0" w:space="0" w:color="auto"/>
                      </w:divBdr>
                    </w:div>
                  </w:divsChild>
                </w:div>
                <w:div w:id="127285322">
                  <w:marLeft w:val="0"/>
                  <w:marRight w:val="0"/>
                  <w:marTop w:val="0"/>
                  <w:marBottom w:val="0"/>
                  <w:divBdr>
                    <w:top w:val="none" w:sz="0" w:space="0" w:color="auto"/>
                    <w:left w:val="none" w:sz="0" w:space="0" w:color="auto"/>
                    <w:bottom w:val="none" w:sz="0" w:space="0" w:color="auto"/>
                    <w:right w:val="none" w:sz="0" w:space="0" w:color="auto"/>
                  </w:divBdr>
                  <w:divsChild>
                    <w:div w:id="2102676539">
                      <w:marLeft w:val="0"/>
                      <w:marRight w:val="0"/>
                      <w:marTop w:val="0"/>
                      <w:marBottom w:val="0"/>
                      <w:divBdr>
                        <w:top w:val="none" w:sz="0" w:space="0" w:color="auto"/>
                        <w:left w:val="none" w:sz="0" w:space="0" w:color="auto"/>
                        <w:bottom w:val="none" w:sz="0" w:space="0" w:color="auto"/>
                        <w:right w:val="none" w:sz="0" w:space="0" w:color="auto"/>
                      </w:divBdr>
                    </w:div>
                  </w:divsChild>
                </w:div>
                <w:div w:id="199588723">
                  <w:marLeft w:val="0"/>
                  <w:marRight w:val="0"/>
                  <w:marTop w:val="0"/>
                  <w:marBottom w:val="0"/>
                  <w:divBdr>
                    <w:top w:val="none" w:sz="0" w:space="0" w:color="auto"/>
                    <w:left w:val="none" w:sz="0" w:space="0" w:color="auto"/>
                    <w:bottom w:val="none" w:sz="0" w:space="0" w:color="auto"/>
                    <w:right w:val="none" w:sz="0" w:space="0" w:color="auto"/>
                  </w:divBdr>
                  <w:divsChild>
                    <w:div w:id="1079130296">
                      <w:marLeft w:val="0"/>
                      <w:marRight w:val="0"/>
                      <w:marTop w:val="0"/>
                      <w:marBottom w:val="0"/>
                      <w:divBdr>
                        <w:top w:val="none" w:sz="0" w:space="0" w:color="auto"/>
                        <w:left w:val="none" w:sz="0" w:space="0" w:color="auto"/>
                        <w:bottom w:val="none" w:sz="0" w:space="0" w:color="auto"/>
                        <w:right w:val="none" w:sz="0" w:space="0" w:color="auto"/>
                      </w:divBdr>
                    </w:div>
                  </w:divsChild>
                </w:div>
                <w:div w:id="326056432">
                  <w:marLeft w:val="0"/>
                  <w:marRight w:val="0"/>
                  <w:marTop w:val="0"/>
                  <w:marBottom w:val="0"/>
                  <w:divBdr>
                    <w:top w:val="none" w:sz="0" w:space="0" w:color="auto"/>
                    <w:left w:val="none" w:sz="0" w:space="0" w:color="auto"/>
                    <w:bottom w:val="none" w:sz="0" w:space="0" w:color="auto"/>
                    <w:right w:val="none" w:sz="0" w:space="0" w:color="auto"/>
                  </w:divBdr>
                  <w:divsChild>
                    <w:div w:id="1052147708">
                      <w:marLeft w:val="0"/>
                      <w:marRight w:val="0"/>
                      <w:marTop w:val="0"/>
                      <w:marBottom w:val="0"/>
                      <w:divBdr>
                        <w:top w:val="none" w:sz="0" w:space="0" w:color="auto"/>
                        <w:left w:val="none" w:sz="0" w:space="0" w:color="auto"/>
                        <w:bottom w:val="none" w:sz="0" w:space="0" w:color="auto"/>
                        <w:right w:val="none" w:sz="0" w:space="0" w:color="auto"/>
                      </w:divBdr>
                    </w:div>
                  </w:divsChild>
                </w:div>
                <w:div w:id="340668068">
                  <w:marLeft w:val="0"/>
                  <w:marRight w:val="0"/>
                  <w:marTop w:val="0"/>
                  <w:marBottom w:val="0"/>
                  <w:divBdr>
                    <w:top w:val="none" w:sz="0" w:space="0" w:color="auto"/>
                    <w:left w:val="none" w:sz="0" w:space="0" w:color="auto"/>
                    <w:bottom w:val="none" w:sz="0" w:space="0" w:color="auto"/>
                    <w:right w:val="none" w:sz="0" w:space="0" w:color="auto"/>
                  </w:divBdr>
                  <w:divsChild>
                    <w:div w:id="1934820853">
                      <w:marLeft w:val="0"/>
                      <w:marRight w:val="0"/>
                      <w:marTop w:val="0"/>
                      <w:marBottom w:val="0"/>
                      <w:divBdr>
                        <w:top w:val="none" w:sz="0" w:space="0" w:color="auto"/>
                        <w:left w:val="none" w:sz="0" w:space="0" w:color="auto"/>
                        <w:bottom w:val="none" w:sz="0" w:space="0" w:color="auto"/>
                        <w:right w:val="none" w:sz="0" w:space="0" w:color="auto"/>
                      </w:divBdr>
                    </w:div>
                  </w:divsChild>
                </w:div>
                <w:div w:id="445974029">
                  <w:marLeft w:val="0"/>
                  <w:marRight w:val="0"/>
                  <w:marTop w:val="0"/>
                  <w:marBottom w:val="0"/>
                  <w:divBdr>
                    <w:top w:val="none" w:sz="0" w:space="0" w:color="auto"/>
                    <w:left w:val="none" w:sz="0" w:space="0" w:color="auto"/>
                    <w:bottom w:val="none" w:sz="0" w:space="0" w:color="auto"/>
                    <w:right w:val="none" w:sz="0" w:space="0" w:color="auto"/>
                  </w:divBdr>
                  <w:divsChild>
                    <w:div w:id="1805078117">
                      <w:marLeft w:val="0"/>
                      <w:marRight w:val="0"/>
                      <w:marTop w:val="0"/>
                      <w:marBottom w:val="0"/>
                      <w:divBdr>
                        <w:top w:val="none" w:sz="0" w:space="0" w:color="auto"/>
                        <w:left w:val="none" w:sz="0" w:space="0" w:color="auto"/>
                        <w:bottom w:val="none" w:sz="0" w:space="0" w:color="auto"/>
                        <w:right w:val="none" w:sz="0" w:space="0" w:color="auto"/>
                      </w:divBdr>
                    </w:div>
                  </w:divsChild>
                </w:div>
                <w:div w:id="540165673">
                  <w:marLeft w:val="0"/>
                  <w:marRight w:val="0"/>
                  <w:marTop w:val="0"/>
                  <w:marBottom w:val="0"/>
                  <w:divBdr>
                    <w:top w:val="none" w:sz="0" w:space="0" w:color="auto"/>
                    <w:left w:val="none" w:sz="0" w:space="0" w:color="auto"/>
                    <w:bottom w:val="none" w:sz="0" w:space="0" w:color="auto"/>
                    <w:right w:val="none" w:sz="0" w:space="0" w:color="auto"/>
                  </w:divBdr>
                  <w:divsChild>
                    <w:div w:id="614017358">
                      <w:marLeft w:val="0"/>
                      <w:marRight w:val="0"/>
                      <w:marTop w:val="0"/>
                      <w:marBottom w:val="0"/>
                      <w:divBdr>
                        <w:top w:val="none" w:sz="0" w:space="0" w:color="auto"/>
                        <w:left w:val="none" w:sz="0" w:space="0" w:color="auto"/>
                        <w:bottom w:val="none" w:sz="0" w:space="0" w:color="auto"/>
                        <w:right w:val="none" w:sz="0" w:space="0" w:color="auto"/>
                      </w:divBdr>
                    </w:div>
                  </w:divsChild>
                </w:div>
                <w:div w:id="643701039">
                  <w:marLeft w:val="0"/>
                  <w:marRight w:val="0"/>
                  <w:marTop w:val="0"/>
                  <w:marBottom w:val="0"/>
                  <w:divBdr>
                    <w:top w:val="none" w:sz="0" w:space="0" w:color="auto"/>
                    <w:left w:val="none" w:sz="0" w:space="0" w:color="auto"/>
                    <w:bottom w:val="none" w:sz="0" w:space="0" w:color="auto"/>
                    <w:right w:val="none" w:sz="0" w:space="0" w:color="auto"/>
                  </w:divBdr>
                  <w:divsChild>
                    <w:div w:id="1600529138">
                      <w:marLeft w:val="0"/>
                      <w:marRight w:val="0"/>
                      <w:marTop w:val="0"/>
                      <w:marBottom w:val="0"/>
                      <w:divBdr>
                        <w:top w:val="none" w:sz="0" w:space="0" w:color="auto"/>
                        <w:left w:val="none" w:sz="0" w:space="0" w:color="auto"/>
                        <w:bottom w:val="none" w:sz="0" w:space="0" w:color="auto"/>
                        <w:right w:val="none" w:sz="0" w:space="0" w:color="auto"/>
                      </w:divBdr>
                    </w:div>
                  </w:divsChild>
                </w:div>
                <w:div w:id="690109184">
                  <w:marLeft w:val="0"/>
                  <w:marRight w:val="0"/>
                  <w:marTop w:val="0"/>
                  <w:marBottom w:val="0"/>
                  <w:divBdr>
                    <w:top w:val="none" w:sz="0" w:space="0" w:color="auto"/>
                    <w:left w:val="none" w:sz="0" w:space="0" w:color="auto"/>
                    <w:bottom w:val="none" w:sz="0" w:space="0" w:color="auto"/>
                    <w:right w:val="none" w:sz="0" w:space="0" w:color="auto"/>
                  </w:divBdr>
                  <w:divsChild>
                    <w:div w:id="1041251433">
                      <w:marLeft w:val="0"/>
                      <w:marRight w:val="0"/>
                      <w:marTop w:val="0"/>
                      <w:marBottom w:val="0"/>
                      <w:divBdr>
                        <w:top w:val="none" w:sz="0" w:space="0" w:color="auto"/>
                        <w:left w:val="none" w:sz="0" w:space="0" w:color="auto"/>
                        <w:bottom w:val="none" w:sz="0" w:space="0" w:color="auto"/>
                        <w:right w:val="none" w:sz="0" w:space="0" w:color="auto"/>
                      </w:divBdr>
                    </w:div>
                  </w:divsChild>
                </w:div>
                <w:div w:id="709262107">
                  <w:marLeft w:val="0"/>
                  <w:marRight w:val="0"/>
                  <w:marTop w:val="0"/>
                  <w:marBottom w:val="0"/>
                  <w:divBdr>
                    <w:top w:val="none" w:sz="0" w:space="0" w:color="auto"/>
                    <w:left w:val="none" w:sz="0" w:space="0" w:color="auto"/>
                    <w:bottom w:val="none" w:sz="0" w:space="0" w:color="auto"/>
                    <w:right w:val="none" w:sz="0" w:space="0" w:color="auto"/>
                  </w:divBdr>
                  <w:divsChild>
                    <w:div w:id="553126907">
                      <w:marLeft w:val="0"/>
                      <w:marRight w:val="0"/>
                      <w:marTop w:val="0"/>
                      <w:marBottom w:val="0"/>
                      <w:divBdr>
                        <w:top w:val="none" w:sz="0" w:space="0" w:color="auto"/>
                        <w:left w:val="none" w:sz="0" w:space="0" w:color="auto"/>
                        <w:bottom w:val="none" w:sz="0" w:space="0" w:color="auto"/>
                        <w:right w:val="none" w:sz="0" w:space="0" w:color="auto"/>
                      </w:divBdr>
                    </w:div>
                  </w:divsChild>
                </w:div>
                <w:div w:id="818426213">
                  <w:marLeft w:val="0"/>
                  <w:marRight w:val="0"/>
                  <w:marTop w:val="0"/>
                  <w:marBottom w:val="0"/>
                  <w:divBdr>
                    <w:top w:val="none" w:sz="0" w:space="0" w:color="auto"/>
                    <w:left w:val="none" w:sz="0" w:space="0" w:color="auto"/>
                    <w:bottom w:val="none" w:sz="0" w:space="0" w:color="auto"/>
                    <w:right w:val="none" w:sz="0" w:space="0" w:color="auto"/>
                  </w:divBdr>
                  <w:divsChild>
                    <w:div w:id="1845436700">
                      <w:marLeft w:val="0"/>
                      <w:marRight w:val="0"/>
                      <w:marTop w:val="0"/>
                      <w:marBottom w:val="0"/>
                      <w:divBdr>
                        <w:top w:val="none" w:sz="0" w:space="0" w:color="auto"/>
                        <w:left w:val="none" w:sz="0" w:space="0" w:color="auto"/>
                        <w:bottom w:val="none" w:sz="0" w:space="0" w:color="auto"/>
                        <w:right w:val="none" w:sz="0" w:space="0" w:color="auto"/>
                      </w:divBdr>
                    </w:div>
                  </w:divsChild>
                </w:div>
                <w:div w:id="828599262">
                  <w:marLeft w:val="0"/>
                  <w:marRight w:val="0"/>
                  <w:marTop w:val="0"/>
                  <w:marBottom w:val="0"/>
                  <w:divBdr>
                    <w:top w:val="none" w:sz="0" w:space="0" w:color="auto"/>
                    <w:left w:val="none" w:sz="0" w:space="0" w:color="auto"/>
                    <w:bottom w:val="none" w:sz="0" w:space="0" w:color="auto"/>
                    <w:right w:val="none" w:sz="0" w:space="0" w:color="auto"/>
                  </w:divBdr>
                  <w:divsChild>
                    <w:div w:id="494340488">
                      <w:marLeft w:val="0"/>
                      <w:marRight w:val="0"/>
                      <w:marTop w:val="0"/>
                      <w:marBottom w:val="0"/>
                      <w:divBdr>
                        <w:top w:val="none" w:sz="0" w:space="0" w:color="auto"/>
                        <w:left w:val="none" w:sz="0" w:space="0" w:color="auto"/>
                        <w:bottom w:val="none" w:sz="0" w:space="0" w:color="auto"/>
                        <w:right w:val="none" w:sz="0" w:space="0" w:color="auto"/>
                      </w:divBdr>
                    </w:div>
                  </w:divsChild>
                </w:div>
                <w:div w:id="845676645">
                  <w:marLeft w:val="0"/>
                  <w:marRight w:val="0"/>
                  <w:marTop w:val="0"/>
                  <w:marBottom w:val="0"/>
                  <w:divBdr>
                    <w:top w:val="none" w:sz="0" w:space="0" w:color="auto"/>
                    <w:left w:val="none" w:sz="0" w:space="0" w:color="auto"/>
                    <w:bottom w:val="none" w:sz="0" w:space="0" w:color="auto"/>
                    <w:right w:val="none" w:sz="0" w:space="0" w:color="auto"/>
                  </w:divBdr>
                  <w:divsChild>
                    <w:div w:id="1378777865">
                      <w:marLeft w:val="0"/>
                      <w:marRight w:val="0"/>
                      <w:marTop w:val="0"/>
                      <w:marBottom w:val="0"/>
                      <w:divBdr>
                        <w:top w:val="none" w:sz="0" w:space="0" w:color="auto"/>
                        <w:left w:val="none" w:sz="0" w:space="0" w:color="auto"/>
                        <w:bottom w:val="none" w:sz="0" w:space="0" w:color="auto"/>
                        <w:right w:val="none" w:sz="0" w:space="0" w:color="auto"/>
                      </w:divBdr>
                    </w:div>
                  </w:divsChild>
                </w:div>
                <w:div w:id="878014174">
                  <w:marLeft w:val="0"/>
                  <w:marRight w:val="0"/>
                  <w:marTop w:val="0"/>
                  <w:marBottom w:val="0"/>
                  <w:divBdr>
                    <w:top w:val="none" w:sz="0" w:space="0" w:color="auto"/>
                    <w:left w:val="none" w:sz="0" w:space="0" w:color="auto"/>
                    <w:bottom w:val="none" w:sz="0" w:space="0" w:color="auto"/>
                    <w:right w:val="none" w:sz="0" w:space="0" w:color="auto"/>
                  </w:divBdr>
                  <w:divsChild>
                    <w:div w:id="1337726035">
                      <w:marLeft w:val="0"/>
                      <w:marRight w:val="0"/>
                      <w:marTop w:val="0"/>
                      <w:marBottom w:val="0"/>
                      <w:divBdr>
                        <w:top w:val="none" w:sz="0" w:space="0" w:color="auto"/>
                        <w:left w:val="none" w:sz="0" w:space="0" w:color="auto"/>
                        <w:bottom w:val="none" w:sz="0" w:space="0" w:color="auto"/>
                        <w:right w:val="none" w:sz="0" w:space="0" w:color="auto"/>
                      </w:divBdr>
                    </w:div>
                  </w:divsChild>
                </w:div>
                <w:div w:id="893392710">
                  <w:marLeft w:val="0"/>
                  <w:marRight w:val="0"/>
                  <w:marTop w:val="0"/>
                  <w:marBottom w:val="0"/>
                  <w:divBdr>
                    <w:top w:val="none" w:sz="0" w:space="0" w:color="auto"/>
                    <w:left w:val="none" w:sz="0" w:space="0" w:color="auto"/>
                    <w:bottom w:val="none" w:sz="0" w:space="0" w:color="auto"/>
                    <w:right w:val="none" w:sz="0" w:space="0" w:color="auto"/>
                  </w:divBdr>
                  <w:divsChild>
                    <w:div w:id="1000232173">
                      <w:marLeft w:val="0"/>
                      <w:marRight w:val="0"/>
                      <w:marTop w:val="0"/>
                      <w:marBottom w:val="0"/>
                      <w:divBdr>
                        <w:top w:val="none" w:sz="0" w:space="0" w:color="auto"/>
                        <w:left w:val="none" w:sz="0" w:space="0" w:color="auto"/>
                        <w:bottom w:val="none" w:sz="0" w:space="0" w:color="auto"/>
                        <w:right w:val="none" w:sz="0" w:space="0" w:color="auto"/>
                      </w:divBdr>
                    </w:div>
                  </w:divsChild>
                </w:div>
                <w:div w:id="1006707481">
                  <w:marLeft w:val="0"/>
                  <w:marRight w:val="0"/>
                  <w:marTop w:val="0"/>
                  <w:marBottom w:val="0"/>
                  <w:divBdr>
                    <w:top w:val="none" w:sz="0" w:space="0" w:color="auto"/>
                    <w:left w:val="none" w:sz="0" w:space="0" w:color="auto"/>
                    <w:bottom w:val="none" w:sz="0" w:space="0" w:color="auto"/>
                    <w:right w:val="none" w:sz="0" w:space="0" w:color="auto"/>
                  </w:divBdr>
                  <w:divsChild>
                    <w:div w:id="716662819">
                      <w:marLeft w:val="0"/>
                      <w:marRight w:val="0"/>
                      <w:marTop w:val="0"/>
                      <w:marBottom w:val="0"/>
                      <w:divBdr>
                        <w:top w:val="none" w:sz="0" w:space="0" w:color="auto"/>
                        <w:left w:val="none" w:sz="0" w:space="0" w:color="auto"/>
                        <w:bottom w:val="none" w:sz="0" w:space="0" w:color="auto"/>
                        <w:right w:val="none" w:sz="0" w:space="0" w:color="auto"/>
                      </w:divBdr>
                    </w:div>
                  </w:divsChild>
                </w:div>
                <w:div w:id="1022778333">
                  <w:marLeft w:val="0"/>
                  <w:marRight w:val="0"/>
                  <w:marTop w:val="0"/>
                  <w:marBottom w:val="0"/>
                  <w:divBdr>
                    <w:top w:val="none" w:sz="0" w:space="0" w:color="auto"/>
                    <w:left w:val="none" w:sz="0" w:space="0" w:color="auto"/>
                    <w:bottom w:val="none" w:sz="0" w:space="0" w:color="auto"/>
                    <w:right w:val="none" w:sz="0" w:space="0" w:color="auto"/>
                  </w:divBdr>
                  <w:divsChild>
                    <w:div w:id="589318708">
                      <w:marLeft w:val="0"/>
                      <w:marRight w:val="0"/>
                      <w:marTop w:val="0"/>
                      <w:marBottom w:val="0"/>
                      <w:divBdr>
                        <w:top w:val="none" w:sz="0" w:space="0" w:color="auto"/>
                        <w:left w:val="none" w:sz="0" w:space="0" w:color="auto"/>
                        <w:bottom w:val="none" w:sz="0" w:space="0" w:color="auto"/>
                        <w:right w:val="none" w:sz="0" w:space="0" w:color="auto"/>
                      </w:divBdr>
                    </w:div>
                  </w:divsChild>
                </w:div>
                <w:div w:id="1094979765">
                  <w:marLeft w:val="0"/>
                  <w:marRight w:val="0"/>
                  <w:marTop w:val="0"/>
                  <w:marBottom w:val="0"/>
                  <w:divBdr>
                    <w:top w:val="none" w:sz="0" w:space="0" w:color="auto"/>
                    <w:left w:val="none" w:sz="0" w:space="0" w:color="auto"/>
                    <w:bottom w:val="none" w:sz="0" w:space="0" w:color="auto"/>
                    <w:right w:val="none" w:sz="0" w:space="0" w:color="auto"/>
                  </w:divBdr>
                  <w:divsChild>
                    <w:div w:id="1000160108">
                      <w:marLeft w:val="0"/>
                      <w:marRight w:val="0"/>
                      <w:marTop w:val="0"/>
                      <w:marBottom w:val="0"/>
                      <w:divBdr>
                        <w:top w:val="none" w:sz="0" w:space="0" w:color="auto"/>
                        <w:left w:val="none" w:sz="0" w:space="0" w:color="auto"/>
                        <w:bottom w:val="none" w:sz="0" w:space="0" w:color="auto"/>
                        <w:right w:val="none" w:sz="0" w:space="0" w:color="auto"/>
                      </w:divBdr>
                    </w:div>
                  </w:divsChild>
                </w:div>
                <w:div w:id="1225069120">
                  <w:marLeft w:val="0"/>
                  <w:marRight w:val="0"/>
                  <w:marTop w:val="0"/>
                  <w:marBottom w:val="0"/>
                  <w:divBdr>
                    <w:top w:val="none" w:sz="0" w:space="0" w:color="auto"/>
                    <w:left w:val="none" w:sz="0" w:space="0" w:color="auto"/>
                    <w:bottom w:val="none" w:sz="0" w:space="0" w:color="auto"/>
                    <w:right w:val="none" w:sz="0" w:space="0" w:color="auto"/>
                  </w:divBdr>
                  <w:divsChild>
                    <w:div w:id="1424063418">
                      <w:marLeft w:val="0"/>
                      <w:marRight w:val="0"/>
                      <w:marTop w:val="0"/>
                      <w:marBottom w:val="0"/>
                      <w:divBdr>
                        <w:top w:val="none" w:sz="0" w:space="0" w:color="auto"/>
                        <w:left w:val="none" w:sz="0" w:space="0" w:color="auto"/>
                        <w:bottom w:val="none" w:sz="0" w:space="0" w:color="auto"/>
                        <w:right w:val="none" w:sz="0" w:space="0" w:color="auto"/>
                      </w:divBdr>
                    </w:div>
                  </w:divsChild>
                </w:div>
                <w:div w:id="1233850296">
                  <w:marLeft w:val="0"/>
                  <w:marRight w:val="0"/>
                  <w:marTop w:val="0"/>
                  <w:marBottom w:val="0"/>
                  <w:divBdr>
                    <w:top w:val="none" w:sz="0" w:space="0" w:color="auto"/>
                    <w:left w:val="none" w:sz="0" w:space="0" w:color="auto"/>
                    <w:bottom w:val="none" w:sz="0" w:space="0" w:color="auto"/>
                    <w:right w:val="none" w:sz="0" w:space="0" w:color="auto"/>
                  </w:divBdr>
                  <w:divsChild>
                    <w:div w:id="402338451">
                      <w:marLeft w:val="0"/>
                      <w:marRight w:val="0"/>
                      <w:marTop w:val="0"/>
                      <w:marBottom w:val="0"/>
                      <w:divBdr>
                        <w:top w:val="none" w:sz="0" w:space="0" w:color="auto"/>
                        <w:left w:val="none" w:sz="0" w:space="0" w:color="auto"/>
                        <w:bottom w:val="none" w:sz="0" w:space="0" w:color="auto"/>
                        <w:right w:val="none" w:sz="0" w:space="0" w:color="auto"/>
                      </w:divBdr>
                    </w:div>
                  </w:divsChild>
                </w:div>
                <w:div w:id="1279145129">
                  <w:marLeft w:val="0"/>
                  <w:marRight w:val="0"/>
                  <w:marTop w:val="0"/>
                  <w:marBottom w:val="0"/>
                  <w:divBdr>
                    <w:top w:val="none" w:sz="0" w:space="0" w:color="auto"/>
                    <w:left w:val="none" w:sz="0" w:space="0" w:color="auto"/>
                    <w:bottom w:val="none" w:sz="0" w:space="0" w:color="auto"/>
                    <w:right w:val="none" w:sz="0" w:space="0" w:color="auto"/>
                  </w:divBdr>
                  <w:divsChild>
                    <w:div w:id="1401052715">
                      <w:marLeft w:val="0"/>
                      <w:marRight w:val="0"/>
                      <w:marTop w:val="0"/>
                      <w:marBottom w:val="0"/>
                      <w:divBdr>
                        <w:top w:val="none" w:sz="0" w:space="0" w:color="auto"/>
                        <w:left w:val="none" w:sz="0" w:space="0" w:color="auto"/>
                        <w:bottom w:val="none" w:sz="0" w:space="0" w:color="auto"/>
                        <w:right w:val="none" w:sz="0" w:space="0" w:color="auto"/>
                      </w:divBdr>
                    </w:div>
                  </w:divsChild>
                </w:div>
                <w:div w:id="1305744567">
                  <w:marLeft w:val="0"/>
                  <w:marRight w:val="0"/>
                  <w:marTop w:val="0"/>
                  <w:marBottom w:val="0"/>
                  <w:divBdr>
                    <w:top w:val="none" w:sz="0" w:space="0" w:color="auto"/>
                    <w:left w:val="none" w:sz="0" w:space="0" w:color="auto"/>
                    <w:bottom w:val="none" w:sz="0" w:space="0" w:color="auto"/>
                    <w:right w:val="none" w:sz="0" w:space="0" w:color="auto"/>
                  </w:divBdr>
                  <w:divsChild>
                    <w:div w:id="252980566">
                      <w:marLeft w:val="0"/>
                      <w:marRight w:val="0"/>
                      <w:marTop w:val="0"/>
                      <w:marBottom w:val="0"/>
                      <w:divBdr>
                        <w:top w:val="none" w:sz="0" w:space="0" w:color="auto"/>
                        <w:left w:val="none" w:sz="0" w:space="0" w:color="auto"/>
                        <w:bottom w:val="none" w:sz="0" w:space="0" w:color="auto"/>
                        <w:right w:val="none" w:sz="0" w:space="0" w:color="auto"/>
                      </w:divBdr>
                    </w:div>
                  </w:divsChild>
                </w:div>
                <w:div w:id="1319458911">
                  <w:marLeft w:val="0"/>
                  <w:marRight w:val="0"/>
                  <w:marTop w:val="0"/>
                  <w:marBottom w:val="0"/>
                  <w:divBdr>
                    <w:top w:val="none" w:sz="0" w:space="0" w:color="auto"/>
                    <w:left w:val="none" w:sz="0" w:space="0" w:color="auto"/>
                    <w:bottom w:val="none" w:sz="0" w:space="0" w:color="auto"/>
                    <w:right w:val="none" w:sz="0" w:space="0" w:color="auto"/>
                  </w:divBdr>
                  <w:divsChild>
                    <w:div w:id="956065010">
                      <w:marLeft w:val="0"/>
                      <w:marRight w:val="0"/>
                      <w:marTop w:val="0"/>
                      <w:marBottom w:val="0"/>
                      <w:divBdr>
                        <w:top w:val="none" w:sz="0" w:space="0" w:color="auto"/>
                        <w:left w:val="none" w:sz="0" w:space="0" w:color="auto"/>
                        <w:bottom w:val="none" w:sz="0" w:space="0" w:color="auto"/>
                        <w:right w:val="none" w:sz="0" w:space="0" w:color="auto"/>
                      </w:divBdr>
                    </w:div>
                  </w:divsChild>
                </w:div>
                <w:div w:id="1321687892">
                  <w:marLeft w:val="0"/>
                  <w:marRight w:val="0"/>
                  <w:marTop w:val="0"/>
                  <w:marBottom w:val="0"/>
                  <w:divBdr>
                    <w:top w:val="none" w:sz="0" w:space="0" w:color="auto"/>
                    <w:left w:val="none" w:sz="0" w:space="0" w:color="auto"/>
                    <w:bottom w:val="none" w:sz="0" w:space="0" w:color="auto"/>
                    <w:right w:val="none" w:sz="0" w:space="0" w:color="auto"/>
                  </w:divBdr>
                  <w:divsChild>
                    <w:div w:id="1117943678">
                      <w:marLeft w:val="0"/>
                      <w:marRight w:val="0"/>
                      <w:marTop w:val="0"/>
                      <w:marBottom w:val="0"/>
                      <w:divBdr>
                        <w:top w:val="none" w:sz="0" w:space="0" w:color="auto"/>
                        <w:left w:val="none" w:sz="0" w:space="0" w:color="auto"/>
                        <w:bottom w:val="none" w:sz="0" w:space="0" w:color="auto"/>
                        <w:right w:val="none" w:sz="0" w:space="0" w:color="auto"/>
                      </w:divBdr>
                    </w:div>
                  </w:divsChild>
                </w:div>
                <w:div w:id="1326055802">
                  <w:marLeft w:val="0"/>
                  <w:marRight w:val="0"/>
                  <w:marTop w:val="0"/>
                  <w:marBottom w:val="0"/>
                  <w:divBdr>
                    <w:top w:val="none" w:sz="0" w:space="0" w:color="auto"/>
                    <w:left w:val="none" w:sz="0" w:space="0" w:color="auto"/>
                    <w:bottom w:val="none" w:sz="0" w:space="0" w:color="auto"/>
                    <w:right w:val="none" w:sz="0" w:space="0" w:color="auto"/>
                  </w:divBdr>
                  <w:divsChild>
                    <w:div w:id="556284704">
                      <w:marLeft w:val="0"/>
                      <w:marRight w:val="0"/>
                      <w:marTop w:val="0"/>
                      <w:marBottom w:val="0"/>
                      <w:divBdr>
                        <w:top w:val="none" w:sz="0" w:space="0" w:color="auto"/>
                        <w:left w:val="none" w:sz="0" w:space="0" w:color="auto"/>
                        <w:bottom w:val="none" w:sz="0" w:space="0" w:color="auto"/>
                        <w:right w:val="none" w:sz="0" w:space="0" w:color="auto"/>
                      </w:divBdr>
                    </w:div>
                  </w:divsChild>
                </w:div>
                <w:div w:id="1330912782">
                  <w:marLeft w:val="0"/>
                  <w:marRight w:val="0"/>
                  <w:marTop w:val="0"/>
                  <w:marBottom w:val="0"/>
                  <w:divBdr>
                    <w:top w:val="none" w:sz="0" w:space="0" w:color="auto"/>
                    <w:left w:val="none" w:sz="0" w:space="0" w:color="auto"/>
                    <w:bottom w:val="none" w:sz="0" w:space="0" w:color="auto"/>
                    <w:right w:val="none" w:sz="0" w:space="0" w:color="auto"/>
                  </w:divBdr>
                  <w:divsChild>
                    <w:div w:id="1624844913">
                      <w:marLeft w:val="0"/>
                      <w:marRight w:val="0"/>
                      <w:marTop w:val="0"/>
                      <w:marBottom w:val="0"/>
                      <w:divBdr>
                        <w:top w:val="none" w:sz="0" w:space="0" w:color="auto"/>
                        <w:left w:val="none" w:sz="0" w:space="0" w:color="auto"/>
                        <w:bottom w:val="none" w:sz="0" w:space="0" w:color="auto"/>
                        <w:right w:val="none" w:sz="0" w:space="0" w:color="auto"/>
                      </w:divBdr>
                    </w:div>
                  </w:divsChild>
                </w:div>
                <w:div w:id="1531457949">
                  <w:marLeft w:val="0"/>
                  <w:marRight w:val="0"/>
                  <w:marTop w:val="0"/>
                  <w:marBottom w:val="0"/>
                  <w:divBdr>
                    <w:top w:val="none" w:sz="0" w:space="0" w:color="auto"/>
                    <w:left w:val="none" w:sz="0" w:space="0" w:color="auto"/>
                    <w:bottom w:val="none" w:sz="0" w:space="0" w:color="auto"/>
                    <w:right w:val="none" w:sz="0" w:space="0" w:color="auto"/>
                  </w:divBdr>
                  <w:divsChild>
                    <w:div w:id="1890922024">
                      <w:marLeft w:val="0"/>
                      <w:marRight w:val="0"/>
                      <w:marTop w:val="0"/>
                      <w:marBottom w:val="0"/>
                      <w:divBdr>
                        <w:top w:val="none" w:sz="0" w:space="0" w:color="auto"/>
                        <w:left w:val="none" w:sz="0" w:space="0" w:color="auto"/>
                        <w:bottom w:val="none" w:sz="0" w:space="0" w:color="auto"/>
                        <w:right w:val="none" w:sz="0" w:space="0" w:color="auto"/>
                      </w:divBdr>
                    </w:div>
                  </w:divsChild>
                </w:div>
                <w:div w:id="1536312647">
                  <w:marLeft w:val="0"/>
                  <w:marRight w:val="0"/>
                  <w:marTop w:val="0"/>
                  <w:marBottom w:val="0"/>
                  <w:divBdr>
                    <w:top w:val="none" w:sz="0" w:space="0" w:color="auto"/>
                    <w:left w:val="none" w:sz="0" w:space="0" w:color="auto"/>
                    <w:bottom w:val="none" w:sz="0" w:space="0" w:color="auto"/>
                    <w:right w:val="none" w:sz="0" w:space="0" w:color="auto"/>
                  </w:divBdr>
                  <w:divsChild>
                    <w:div w:id="1395197101">
                      <w:marLeft w:val="0"/>
                      <w:marRight w:val="0"/>
                      <w:marTop w:val="0"/>
                      <w:marBottom w:val="0"/>
                      <w:divBdr>
                        <w:top w:val="none" w:sz="0" w:space="0" w:color="auto"/>
                        <w:left w:val="none" w:sz="0" w:space="0" w:color="auto"/>
                        <w:bottom w:val="none" w:sz="0" w:space="0" w:color="auto"/>
                        <w:right w:val="none" w:sz="0" w:space="0" w:color="auto"/>
                      </w:divBdr>
                    </w:div>
                  </w:divsChild>
                </w:div>
                <w:div w:id="1622684695">
                  <w:marLeft w:val="0"/>
                  <w:marRight w:val="0"/>
                  <w:marTop w:val="0"/>
                  <w:marBottom w:val="0"/>
                  <w:divBdr>
                    <w:top w:val="none" w:sz="0" w:space="0" w:color="auto"/>
                    <w:left w:val="none" w:sz="0" w:space="0" w:color="auto"/>
                    <w:bottom w:val="none" w:sz="0" w:space="0" w:color="auto"/>
                    <w:right w:val="none" w:sz="0" w:space="0" w:color="auto"/>
                  </w:divBdr>
                  <w:divsChild>
                    <w:div w:id="1587376335">
                      <w:marLeft w:val="0"/>
                      <w:marRight w:val="0"/>
                      <w:marTop w:val="0"/>
                      <w:marBottom w:val="0"/>
                      <w:divBdr>
                        <w:top w:val="none" w:sz="0" w:space="0" w:color="auto"/>
                        <w:left w:val="none" w:sz="0" w:space="0" w:color="auto"/>
                        <w:bottom w:val="none" w:sz="0" w:space="0" w:color="auto"/>
                        <w:right w:val="none" w:sz="0" w:space="0" w:color="auto"/>
                      </w:divBdr>
                    </w:div>
                  </w:divsChild>
                </w:div>
                <w:div w:id="1656296819">
                  <w:marLeft w:val="0"/>
                  <w:marRight w:val="0"/>
                  <w:marTop w:val="0"/>
                  <w:marBottom w:val="0"/>
                  <w:divBdr>
                    <w:top w:val="none" w:sz="0" w:space="0" w:color="auto"/>
                    <w:left w:val="none" w:sz="0" w:space="0" w:color="auto"/>
                    <w:bottom w:val="none" w:sz="0" w:space="0" w:color="auto"/>
                    <w:right w:val="none" w:sz="0" w:space="0" w:color="auto"/>
                  </w:divBdr>
                  <w:divsChild>
                    <w:div w:id="1838496478">
                      <w:marLeft w:val="0"/>
                      <w:marRight w:val="0"/>
                      <w:marTop w:val="0"/>
                      <w:marBottom w:val="0"/>
                      <w:divBdr>
                        <w:top w:val="none" w:sz="0" w:space="0" w:color="auto"/>
                        <w:left w:val="none" w:sz="0" w:space="0" w:color="auto"/>
                        <w:bottom w:val="none" w:sz="0" w:space="0" w:color="auto"/>
                        <w:right w:val="none" w:sz="0" w:space="0" w:color="auto"/>
                      </w:divBdr>
                    </w:div>
                  </w:divsChild>
                </w:div>
                <w:div w:id="1810976599">
                  <w:marLeft w:val="0"/>
                  <w:marRight w:val="0"/>
                  <w:marTop w:val="0"/>
                  <w:marBottom w:val="0"/>
                  <w:divBdr>
                    <w:top w:val="none" w:sz="0" w:space="0" w:color="auto"/>
                    <w:left w:val="none" w:sz="0" w:space="0" w:color="auto"/>
                    <w:bottom w:val="none" w:sz="0" w:space="0" w:color="auto"/>
                    <w:right w:val="none" w:sz="0" w:space="0" w:color="auto"/>
                  </w:divBdr>
                  <w:divsChild>
                    <w:div w:id="1305164290">
                      <w:marLeft w:val="0"/>
                      <w:marRight w:val="0"/>
                      <w:marTop w:val="0"/>
                      <w:marBottom w:val="0"/>
                      <w:divBdr>
                        <w:top w:val="none" w:sz="0" w:space="0" w:color="auto"/>
                        <w:left w:val="none" w:sz="0" w:space="0" w:color="auto"/>
                        <w:bottom w:val="none" w:sz="0" w:space="0" w:color="auto"/>
                        <w:right w:val="none" w:sz="0" w:space="0" w:color="auto"/>
                      </w:divBdr>
                    </w:div>
                  </w:divsChild>
                </w:div>
                <w:div w:id="1831215397">
                  <w:marLeft w:val="0"/>
                  <w:marRight w:val="0"/>
                  <w:marTop w:val="0"/>
                  <w:marBottom w:val="0"/>
                  <w:divBdr>
                    <w:top w:val="none" w:sz="0" w:space="0" w:color="auto"/>
                    <w:left w:val="none" w:sz="0" w:space="0" w:color="auto"/>
                    <w:bottom w:val="none" w:sz="0" w:space="0" w:color="auto"/>
                    <w:right w:val="none" w:sz="0" w:space="0" w:color="auto"/>
                  </w:divBdr>
                  <w:divsChild>
                    <w:div w:id="185605408">
                      <w:marLeft w:val="0"/>
                      <w:marRight w:val="0"/>
                      <w:marTop w:val="0"/>
                      <w:marBottom w:val="0"/>
                      <w:divBdr>
                        <w:top w:val="none" w:sz="0" w:space="0" w:color="auto"/>
                        <w:left w:val="none" w:sz="0" w:space="0" w:color="auto"/>
                        <w:bottom w:val="none" w:sz="0" w:space="0" w:color="auto"/>
                        <w:right w:val="none" w:sz="0" w:space="0" w:color="auto"/>
                      </w:divBdr>
                    </w:div>
                  </w:divsChild>
                </w:div>
                <w:div w:id="1988167014">
                  <w:marLeft w:val="0"/>
                  <w:marRight w:val="0"/>
                  <w:marTop w:val="0"/>
                  <w:marBottom w:val="0"/>
                  <w:divBdr>
                    <w:top w:val="none" w:sz="0" w:space="0" w:color="auto"/>
                    <w:left w:val="none" w:sz="0" w:space="0" w:color="auto"/>
                    <w:bottom w:val="none" w:sz="0" w:space="0" w:color="auto"/>
                    <w:right w:val="none" w:sz="0" w:space="0" w:color="auto"/>
                  </w:divBdr>
                  <w:divsChild>
                    <w:div w:id="1960532264">
                      <w:marLeft w:val="0"/>
                      <w:marRight w:val="0"/>
                      <w:marTop w:val="0"/>
                      <w:marBottom w:val="0"/>
                      <w:divBdr>
                        <w:top w:val="none" w:sz="0" w:space="0" w:color="auto"/>
                        <w:left w:val="none" w:sz="0" w:space="0" w:color="auto"/>
                        <w:bottom w:val="none" w:sz="0" w:space="0" w:color="auto"/>
                        <w:right w:val="none" w:sz="0" w:space="0" w:color="auto"/>
                      </w:divBdr>
                    </w:div>
                  </w:divsChild>
                </w:div>
                <w:div w:id="2014843112">
                  <w:marLeft w:val="0"/>
                  <w:marRight w:val="0"/>
                  <w:marTop w:val="0"/>
                  <w:marBottom w:val="0"/>
                  <w:divBdr>
                    <w:top w:val="none" w:sz="0" w:space="0" w:color="auto"/>
                    <w:left w:val="none" w:sz="0" w:space="0" w:color="auto"/>
                    <w:bottom w:val="none" w:sz="0" w:space="0" w:color="auto"/>
                    <w:right w:val="none" w:sz="0" w:space="0" w:color="auto"/>
                  </w:divBdr>
                  <w:divsChild>
                    <w:div w:id="2052604412">
                      <w:marLeft w:val="0"/>
                      <w:marRight w:val="0"/>
                      <w:marTop w:val="0"/>
                      <w:marBottom w:val="0"/>
                      <w:divBdr>
                        <w:top w:val="none" w:sz="0" w:space="0" w:color="auto"/>
                        <w:left w:val="none" w:sz="0" w:space="0" w:color="auto"/>
                        <w:bottom w:val="none" w:sz="0" w:space="0" w:color="auto"/>
                        <w:right w:val="none" w:sz="0" w:space="0" w:color="auto"/>
                      </w:divBdr>
                    </w:div>
                  </w:divsChild>
                </w:div>
                <w:div w:id="2042245793">
                  <w:marLeft w:val="0"/>
                  <w:marRight w:val="0"/>
                  <w:marTop w:val="0"/>
                  <w:marBottom w:val="0"/>
                  <w:divBdr>
                    <w:top w:val="none" w:sz="0" w:space="0" w:color="auto"/>
                    <w:left w:val="none" w:sz="0" w:space="0" w:color="auto"/>
                    <w:bottom w:val="none" w:sz="0" w:space="0" w:color="auto"/>
                    <w:right w:val="none" w:sz="0" w:space="0" w:color="auto"/>
                  </w:divBdr>
                  <w:divsChild>
                    <w:div w:id="1519272017">
                      <w:marLeft w:val="0"/>
                      <w:marRight w:val="0"/>
                      <w:marTop w:val="0"/>
                      <w:marBottom w:val="0"/>
                      <w:divBdr>
                        <w:top w:val="none" w:sz="0" w:space="0" w:color="auto"/>
                        <w:left w:val="none" w:sz="0" w:space="0" w:color="auto"/>
                        <w:bottom w:val="none" w:sz="0" w:space="0" w:color="auto"/>
                        <w:right w:val="none" w:sz="0" w:space="0" w:color="auto"/>
                      </w:divBdr>
                    </w:div>
                  </w:divsChild>
                </w:div>
                <w:div w:id="2047559720">
                  <w:marLeft w:val="0"/>
                  <w:marRight w:val="0"/>
                  <w:marTop w:val="0"/>
                  <w:marBottom w:val="0"/>
                  <w:divBdr>
                    <w:top w:val="none" w:sz="0" w:space="0" w:color="auto"/>
                    <w:left w:val="none" w:sz="0" w:space="0" w:color="auto"/>
                    <w:bottom w:val="none" w:sz="0" w:space="0" w:color="auto"/>
                    <w:right w:val="none" w:sz="0" w:space="0" w:color="auto"/>
                  </w:divBdr>
                  <w:divsChild>
                    <w:div w:id="1591769159">
                      <w:marLeft w:val="0"/>
                      <w:marRight w:val="0"/>
                      <w:marTop w:val="0"/>
                      <w:marBottom w:val="0"/>
                      <w:divBdr>
                        <w:top w:val="none" w:sz="0" w:space="0" w:color="auto"/>
                        <w:left w:val="none" w:sz="0" w:space="0" w:color="auto"/>
                        <w:bottom w:val="none" w:sz="0" w:space="0" w:color="auto"/>
                        <w:right w:val="none" w:sz="0" w:space="0" w:color="auto"/>
                      </w:divBdr>
                    </w:div>
                  </w:divsChild>
                </w:div>
                <w:div w:id="2063404675">
                  <w:marLeft w:val="0"/>
                  <w:marRight w:val="0"/>
                  <w:marTop w:val="0"/>
                  <w:marBottom w:val="0"/>
                  <w:divBdr>
                    <w:top w:val="none" w:sz="0" w:space="0" w:color="auto"/>
                    <w:left w:val="none" w:sz="0" w:space="0" w:color="auto"/>
                    <w:bottom w:val="none" w:sz="0" w:space="0" w:color="auto"/>
                    <w:right w:val="none" w:sz="0" w:space="0" w:color="auto"/>
                  </w:divBdr>
                  <w:divsChild>
                    <w:div w:id="1538159984">
                      <w:marLeft w:val="0"/>
                      <w:marRight w:val="0"/>
                      <w:marTop w:val="0"/>
                      <w:marBottom w:val="0"/>
                      <w:divBdr>
                        <w:top w:val="none" w:sz="0" w:space="0" w:color="auto"/>
                        <w:left w:val="none" w:sz="0" w:space="0" w:color="auto"/>
                        <w:bottom w:val="none" w:sz="0" w:space="0" w:color="auto"/>
                        <w:right w:val="none" w:sz="0" w:space="0" w:color="auto"/>
                      </w:divBdr>
                    </w:div>
                  </w:divsChild>
                </w:div>
                <w:div w:id="2088726112">
                  <w:marLeft w:val="0"/>
                  <w:marRight w:val="0"/>
                  <w:marTop w:val="0"/>
                  <w:marBottom w:val="0"/>
                  <w:divBdr>
                    <w:top w:val="none" w:sz="0" w:space="0" w:color="auto"/>
                    <w:left w:val="none" w:sz="0" w:space="0" w:color="auto"/>
                    <w:bottom w:val="none" w:sz="0" w:space="0" w:color="auto"/>
                    <w:right w:val="none" w:sz="0" w:space="0" w:color="auto"/>
                  </w:divBdr>
                  <w:divsChild>
                    <w:div w:id="288556025">
                      <w:marLeft w:val="0"/>
                      <w:marRight w:val="0"/>
                      <w:marTop w:val="0"/>
                      <w:marBottom w:val="0"/>
                      <w:divBdr>
                        <w:top w:val="none" w:sz="0" w:space="0" w:color="auto"/>
                        <w:left w:val="none" w:sz="0" w:space="0" w:color="auto"/>
                        <w:bottom w:val="none" w:sz="0" w:space="0" w:color="auto"/>
                        <w:right w:val="none" w:sz="0" w:space="0" w:color="auto"/>
                      </w:divBdr>
                    </w:div>
                  </w:divsChild>
                </w:div>
                <w:div w:id="2095710635">
                  <w:marLeft w:val="0"/>
                  <w:marRight w:val="0"/>
                  <w:marTop w:val="0"/>
                  <w:marBottom w:val="0"/>
                  <w:divBdr>
                    <w:top w:val="none" w:sz="0" w:space="0" w:color="auto"/>
                    <w:left w:val="none" w:sz="0" w:space="0" w:color="auto"/>
                    <w:bottom w:val="none" w:sz="0" w:space="0" w:color="auto"/>
                    <w:right w:val="none" w:sz="0" w:space="0" w:color="auto"/>
                  </w:divBdr>
                  <w:divsChild>
                    <w:div w:id="1820146018">
                      <w:marLeft w:val="0"/>
                      <w:marRight w:val="0"/>
                      <w:marTop w:val="0"/>
                      <w:marBottom w:val="0"/>
                      <w:divBdr>
                        <w:top w:val="none" w:sz="0" w:space="0" w:color="auto"/>
                        <w:left w:val="none" w:sz="0" w:space="0" w:color="auto"/>
                        <w:bottom w:val="none" w:sz="0" w:space="0" w:color="auto"/>
                        <w:right w:val="none" w:sz="0" w:space="0" w:color="auto"/>
                      </w:divBdr>
                    </w:div>
                  </w:divsChild>
                </w:div>
                <w:div w:id="2108429741">
                  <w:marLeft w:val="0"/>
                  <w:marRight w:val="0"/>
                  <w:marTop w:val="0"/>
                  <w:marBottom w:val="0"/>
                  <w:divBdr>
                    <w:top w:val="none" w:sz="0" w:space="0" w:color="auto"/>
                    <w:left w:val="none" w:sz="0" w:space="0" w:color="auto"/>
                    <w:bottom w:val="none" w:sz="0" w:space="0" w:color="auto"/>
                    <w:right w:val="none" w:sz="0" w:space="0" w:color="auto"/>
                  </w:divBdr>
                  <w:divsChild>
                    <w:div w:id="1485584791">
                      <w:marLeft w:val="0"/>
                      <w:marRight w:val="0"/>
                      <w:marTop w:val="0"/>
                      <w:marBottom w:val="0"/>
                      <w:divBdr>
                        <w:top w:val="none" w:sz="0" w:space="0" w:color="auto"/>
                        <w:left w:val="none" w:sz="0" w:space="0" w:color="auto"/>
                        <w:bottom w:val="none" w:sz="0" w:space="0" w:color="auto"/>
                        <w:right w:val="none" w:sz="0" w:space="0" w:color="auto"/>
                      </w:divBdr>
                    </w:div>
                  </w:divsChild>
                </w:div>
                <w:div w:id="2114547424">
                  <w:marLeft w:val="0"/>
                  <w:marRight w:val="0"/>
                  <w:marTop w:val="0"/>
                  <w:marBottom w:val="0"/>
                  <w:divBdr>
                    <w:top w:val="none" w:sz="0" w:space="0" w:color="auto"/>
                    <w:left w:val="none" w:sz="0" w:space="0" w:color="auto"/>
                    <w:bottom w:val="none" w:sz="0" w:space="0" w:color="auto"/>
                    <w:right w:val="none" w:sz="0" w:space="0" w:color="auto"/>
                  </w:divBdr>
                  <w:divsChild>
                    <w:div w:id="11997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5323">
          <w:marLeft w:val="0"/>
          <w:marRight w:val="0"/>
          <w:marTop w:val="0"/>
          <w:marBottom w:val="0"/>
          <w:divBdr>
            <w:top w:val="none" w:sz="0" w:space="0" w:color="auto"/>
            <w:left w:val="none" w:sz="0" w:space="0" w:color="auto"/>
            <w:bottom w:val="none" w:sz="0" w:space="0" w:color="auto"/>
            <w:right w:val="none" w:sz="0" w:space="0" w:color="auto"/>
          </w:divBdr>
        </w:div>
        <w:div w:id="70125210">
          <w:marLeft w:val="0"/>
          <w:marRight w:val="0"/>
          <w:marTop w:val="0"/>
          <w:marBottom w:val="0"/>
          <w:divBdr>
            <w:top w:val="none" w:sz="0" w:space="0" w:color="auto"/>
            <w:left w:val="none" w:sz="0" w:space="0" w:color="auto"/>
            <w:bottom w:val="none" w:sz="0" w:space="0" w:color="auto"/>
            <w:right w:val="none" w:sz="0" w:space="0" w:color="auto"/>
          </w:divBdr>
        </w:div>
        <w:div w:id="74979620">
          <w:marLeft w:val="0"/>
          <w:marRight w:val="0"/>
          <w:marTop w:val="0"/>
          <w:marBottom w:val="0"/>
          <w:divBdr>
            <w:top w:val="none" w:sz="0" w:space="0" w:color="auto"/>
            <w:left w:val="none" w:sz="0" w:space="0" w:color="auto"/>
            <w:bottom w:val="none" w:sz="0" w:space="0" w:color="auto"/>
            <w:right w:val="none" w:sz="0" w:space="0" w:color="auto"/>
          </w:divBdr>
          <w:divsChild>
            <w:div w:id="1716466481">
              <w:marLeft w:val="-75"/>
              <w:marRight w:val="0"/>
              <w:marTop w:val="30"/>
              <w:marBottom w:val="30"/>
              <w:divBdr>
                <w:top w:val="none" w:sz="0" w:space="0" w:color="auto"/>
                <w:left w:val="none" w:sz="0" w:space="0" w:color="auto"/>
                <w:bottom w:val="none" w:sz="0" w:space="0" w:color="auto"/>
                <w:right w:val="none" w:sz="0" w:space="0" w:color="auto"/>
              </w:divBdr>
              <w:divsChild>
                <w:div w:id="274754782">
                  <w:marLeft w:val="0"/>
                  <w:marRight w:val="0"/>
                  <w:marTop w:val="0"/>
                  <w:marBottom w:val="0"/>
                  <w:divBdr>
                    <w:top w:val="none" w:sz="0" w:space="0" w:color="auto"/>
                    <w:left w:val="none" w:sz="0" w:space="0" w:color="auto"/>
                    <w:bottom w:val="none" w:sz="0" w:space="0" w:color="auto"/>
                    <w:right w:val="none" w:sz="0" w:space="0" w:color="auto"/>
                  </w:divBdr>
                  <w:divsChild>
                    <w:div w:id="495191261">
                      <w:marLeft w:val="0"/>
                      <w:marRight w:val="0"/>
                      <w:marTop w:val="0"/>
                      <w:marBottom w:val="0"/>
                      <w:divBdr>
                        <w:top w:val="none" w:sz="0" w:space="0" w:color="auto"/>
                        <w:left w:val="none" w:sz="0" w:space="0" w:color="auto"/>
                        <w:bottom w:val="none" w:sz="0" w:space="0" w:color="auto"/>
                        <w:right w:val="none" w:sz="0" w:space="0" w:color="auto"/>
                      </w:divBdr>
                    </w:div>
                  </w:divsChild>
                </w:div>
                <w:div w:id="813525059">
                  <w:marLeft w:val="0"/>
                  <w:marRight w:val="0"/>
                  <w:marTop w:val="0"/>
                  <w:marBottom w:val="0"/>
                  <w:divBdr>
                    <w:top w:val="none" w:sz="0" w:space="0" w:color="auto"/>
                    <w:left w:val="none" w:sz="0" w:space="0" w:color="auto"/>
                    <w:bottom w:val="none" w:sz="0" w:space="0" w:color="auto"/>
                    <w:right w:val="none" w:sz="0" w:space="0" w:color="auto"/>
                  </w:divBdr>
                  <w:divsChild>
                    <w:div w:id="464740043">
                      <w:marLeft w:val="0"/>
                      <w:marRight w:val="0"/>
                      <w:marTop w:val="0"/>
                      <w:marBottom w:val="0"/>
                      <w:divBdr>
                        <w:top w:val="none" w:sz="0" w:space="0" w:color="auto"/>
                        <w:left w:val="none" w:sz="0" w:space="0" w:color="auto"/>
                        <w:bottom w:val="none" w:sz="0" w:space="0" w:color="auto"/>
                        <w:right w:val="none" w:sz="0" w:space="0" w:color="auto"/>
                      </w:divBdr>
                    </w:div>
                  </w:divsChild>
                </w:div>
                <w:div w:id="1045980580">
                  <w:marLeft w:val="0"/>
                  <w:marRight w:val="0"/>
                  <w:marTop w:val="0"/>
                  <w:marBottom w:val="0"/>
                  <w:divBdr>
                    <w:top w:val="none" w:sz="0" w:space="0" w:color="auto"/>
                    <w:left w:val="none" w:sz="0" w:space="0" w:color="auto"/>
                    <w:bottom w:val="none" w:sz="0" w:space="0" w:color="auto"/>
                    <w:right w:val="none" w:sz="0" w:space="0" w:color="auto"/>
                  </w:divBdr>
                  <w:divsChild>
                    <w:div w:id="1477333406">
                      <w:marLeft w:val="0"/>
                      <w:marRight w:val="0"/>
                      <w:marTop w:val="0"/>
                      <w:marBottom w:val="0"/>
                      <w:divBdr>
                        <w:top w:val="none" w:sz="0" w:space="0" w:color="auto"/>
                        <w:left w:val="none" w:sz="0" w:space="0" w:color="auto"/>
                        <w:bottom w:val="none" w:sz="0" w:space="0" w:color="auto"/>
                        <w:right w:val="none" w:sz="0" w:space="0" w:color="auto"/>
                      </w:divBdr>
                    </w:div>
                  </w:divsChild>
                </w:div>
                <w:div w:id="1938752556">
                  <w:marLeft w:val="0"/>
                  <w:marRight w:val="0"/>
                  <w:marTop w:val="0"/>
                  <w:marBottom w:val="0"/>
                  <w:divBdr>
                    <w:top w:val="none" w:sz="0" w:space="0" w:color="auto"/>
                    <w:left w:val="none" w:sz="0" w:space="0" w:color="auto"/>
                    <w:bottom w:val="none" w:sz="0" w:space="0" w:color="auto"/>
                    <w:right w:val="none" w:sz="0" w:space="0" w:color="auto"/>
                  </w:divBdr>
                  <w:divsChild>
                    <w:div w:id="490634171">
                      <w:marLeft w:val="0"/>
                      <w:marRight w:val="0"/>
                      <w:marTop w:val="0"/>
                      <w:marBottom w:val="0"/>
                      <w:divBdr>
                        <w:top w:val="none" w:sz="0" w:space="0" w:color="auto"/>
                        <w:left w:val="none" w:sz="0" w:space="0" w:color="auto"/>
                        <w:bottom w:val="none" w:sz="0" w:space="0" w:color="auto"/>
                        <w:right w:val="none" w:sz="0" w:space="0" w:color="auto"/>
                      </w:divBdr>
                    </w:div>
                  </w:divsChild>
                </w:div>
                <w:div w:id="1971284463">
                  <w:marLeft w:val="0"/>
                  <w:marRight w:val="0"/>
                  <w:marTop w:val="0"/>
                  <w:marBottom w:val="0"/>
                  <w:divBdr>
                    <w:top w:val="none" w:sz="0" w:space="0" w:color="auto"/>
                    <w:left w:val="none" w:sz="0" w:space="0" w:color="auto"/>
                    <w:bottom w:val="none" w:sz="0" w:space="0" w:color="auto"/>
                    <w:right w:val="none" w:sz="0" w:space="0" w:color="auto"/>
                  </w:divBdr>
                  <w:divsChild>
                    <w:div w:id="2003004510">
                      <w:marLeft w:val="0"/>
                      <w:marRight w:val="0"/>
                      <w:marTop w:val="0"/>
                      <w:marBottom w:val="0"/>
                      <w:divBdr>
                        <w:top w:val="none" w:sz="0" w:space="0" w:color="auto"/>
                        <w:left w:val="none" w:sz="0" w:space="0" w:color="auto"/>
                        <w:bottom w:val="none" w:sz="0" w:space="0" w:color="auto"/>
                        <w:right w:val="none" w:sz="0" w:space="0" w:color="auto"/>
                      </w:divBdr>
                    </w:div>
                  </w:divsChild>
                </w:div>
                <w:div w:id="2131584377">
                  <w:marLeft w:val="0"/>
                  <w:marRight w:val="0"/>
                  <w:marTop w:val="0"/>
                  <w:marBottom w:val="0"/>
                  <w:divBdr>
                    <w:top w:val="none" w:sz="0" w:space="0" w:color="auto"/>
                    <w:left w:val="none" w:sz="0" w:space="0" w:color="auto"/>
                    <w:bottom w:val="none" w:sz="0" w:space="0" w:color="auto"/>
                    <w:right w:val="none" w:sz="0" w:space="0" w:color="auto"/>
                  </w:divBdr>
                  <w:divsChild>
                    <w:div w:id="193273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65102">
          <w:marLeft w:val="0"/>
          <w:marRight w:val="0"/>
          <w:marTop w:val="0"/>
          <w:marBottom w:val="0"/>
          <w:divBdr>
            <w:top w:val="none" w:sz="0" w:space="0" w:color="auto"/>
            <w:left w:val="none" w:sz="0" w:space="0" w:color="auto"/>
            <w:bottom w:val="none" w:sz="0" w:space="0" w:color="auto"/>
            <w:right w:val="none" w:sz="0" w:space="0" w:color="auto"/>
          </w:divBdr>
        </w:div>
        <w:div w:id="83918494">
          <w:marLeft w:val="0"/>
          <w:marRight w:val="0"/>
          <w:marTop w:val="0"/>
          <w:marBottom w:val="0"/>
          <w:divBdr>
            <w:top w:val="none" w:sz="0" w:space="0" w:color="auto"/>
            <w:left w:val="none" w:sz="0" w:space="0" w:color="auto"/>
            <w:bottom w:val="none" w:sz="0" w:space="0" w:color="auto"/>
            <w:right w:val="none" w:sz="0" w:space="0" w:color="auto"/>
          </w:divBdr>
          <w:divsChild>
            <w:div w:id="741874580">
              <w:marLeft w:val="-75"/>
              <w:marRight w:val="0"/>
              <w:marTop w:val="30"/>
              <w:marBottom w:val="30"/>
              <w:divBdr>
                <w:top w:val="none" w:sz="0" w:space="0" w:color="auto"/>
                <w:left w:val="none" w:sz="0" w:space="0" w:color="auto"/>
                <w:bottom w:val="none" w:sz="0" w:space="0" w:color="auto"/>
                <w:right w:val="none" w:sz="0" w:space="0" w:color="auto"/>
              </w:divBdr>
              <w:divsChild>
                <w:div w:id="217935162">
                  <w:marLeft w:val="0"/>
                  <w:marRight w:val="0"/>
                  <w:marTop w:val="0"/>
                  <w:marBottom w:val="0"/>
                  <w:divBdr>
                    <w:top w:val="none" w:sz="0" w:space="0" w:color="auto"/>
                    <w:left w:val="none" w:sz="0" w:space="0" w:color="auto"/>
                    <w:bottom w:val="none" w:sz="0" w:space="0" w:color="auto"/>
                    <w:right w:val="none" w:sz="0" w:space="0" w:color="auto"/>
                  </w:divBdr>
                  <w:divsChild>
                    <w:div w:id="1685012648">
                      <w:marLeft w:val="0"/>
                      <w:marRight w:val="0"/>
                      <w:marTop w:val="0"/>
                      <w:marBottom w:val="0"/>
                      <w:divBdr>
                        <w:top w:val="none" w:sz="0" w:space="0" w:color="auto"/>
                        <w:left w:val="none" w:sz="0" w:space="0" w:color="auto"/>
                        <w:bottom w:val="none" w:sz="0" w:space="0" w:color="auto"/>
                        <w:right w:val="none" w:sz="0" w:space="0" w:color="auto"/>
                      </w:divBdr>
                    </w:div>
                  </w:divsChild>
                </w:div>
                <w:div w:id="239293658">
                  <w:marLeft w:val="0"/>
                  <w:marRight w:val="0"/>
                  <w:marTop w:val="0"/>
                  <w:marBottom w:val="0"/>
                  <w:divBdr>
                    <w:top w:val="none" w:sz="0" w:space="0" w:color="auto"/>
                    <w:left w:val="none" w:sz="0" w:space="0" w:color="auto"/>
                    <w:bottom w:val="none" w:sz="0" w:space="0" w:color="auto"/>
                    <w:right w:val="none" w:sz="0" w:space="0" w:color="auto"/>
                  </w:divBdr>
                  <w:divsChild>
                    <w:div w:id="1806577888">
                      <w:marLeft w:val="0"/>
                      <w:marRight w:val="0"/>
                      <w:marTop w:val="0"/>
                      <w:marBottom w:val="0"/>
                      <w:divBdr>
                        <w:top w:val="none" w:sz="0" w:space="0" w:color="auto"/>
                        <w:left w:val="none" w:sz="0" w:space="0" w:color="auto"/>
                        <w:bottom w:val="none" w:sz="0" w:space="0" w:color="auto"/>
                        <w:right w:val="none" w:sz="0" w:space="0" w:color="auto"/>
                      </w:divBdr>
                    </w:div>
                  </w:divsChild>
                </w:div>
                <w:div w:id="286548700">
                  <w:marLeft w:val="0"/>
                  <w:marRight w:val="0"/>
                  <w:marTop w:val="0"/>
                  <w:marBottom w:val="0"/>
                  <w:divBdr>
                    <w:top w:val="none" w:sz="0" w:space="0" w:color="auto"/>
                    <w:left w:val="none" w:sz="0" w:space="0" w:color="auto"/>
                    <w:bottom w:val="none" w:sz="0" w:space="0" w:color="auto"/>
                    <w:right w:val="none" w:sz="0" w:space="0" w:color="auto"/>
                  </w:divBdr>
                  <w:divsChild>
                    <w:div w:id="1198203353">
                      <w:marLeft w:val="0"/>
                      <w:marRight w:val="0"/>
                      <w:marTop w:val="0"/>
                      <w:marBottom w:val="0"/>
                      <w:divBdr>
                        <w:top w:val="none" w:sz="0" w:space="0" w:color="auto"/>
                        <w:left w:val="none" w:sz="0" w:space="0" w:color="auto"/>
                        <w:bottom w:val="none" w:sz="0" w:space="0" w:color="auto"/>
                        <w:right w:val="none" w:sz="0" w:space="0" w:color="auto"/>
                      </w:divBdr>
                    </w:div>
                  </w:divsChild>
                </w:div>
                <w:div w:id="543256485">
                  <w:marLeft w:val="0"/>
                  <w:marRight w:val="0"/>
                  <w:marTop w:val="0"/>
                  <w:marBottom w:val="0"/>
                  <w:divBdr>
                    <w:top w:val="none" w:sz="0" w:space="0" w:color="auto"/>
                    <w:left w:val="none" w:sz="0" w:space="0" w:color="auto"/>
                    <w:bottom w:val="none" w:sz="0" w:space="0" w:color="auto"/>
                    <w:right w:val="none" w:sz="0" w:space="0" w:color="auto"/>
                  </w:divBdr>
                  <w:divsChild>
                    <w:div w:id="1726297766">
                      <w:marLeft w:val="0"/>
                      <w:marRight w:val="0"/>
                      <w:marTop w:val="0"/>
                      <w:marBottom w:val="0"/>
                      <w:divBdr>
                        <w:top w:val="none" w:sz="0" w:space="0" w:color="auto"/>
                        <w:left w:val="none" w:sz="0" w:space="0" w:color="auto"/>
                        <w:bottom w:val="none" w:sz="0" w:space="0" w:color="auto"/>
                        <w:right w:val="none" w:sz="0" w:space="0" w:color="auto"/>
                      </w:divBdr>
                    </w:div>
                  </w:divsChild>
                </w:div>
                <w:div w:id="683290537">
                  <w:marLeft w:val="0"/>
                  <w:marRight w:val="0"/>
                  <w:marTop w:val="0"/>
                  <w:marBottom w:val="0"/>
                  <w:divBdr>
                    <w:top w:val="none" w:sz="0" w:space="0" w:color="auto"/>
                    <w:left w:val="none" w:sz="0" w:space="0" w:color="auto"/>
                    <w:bottom w:val="none" w:sz="0" w:space="0" w:color="auto"/>
                    <w:right w:val="none" w:sz="0" w:space="0" w:color="auto"/>
                  </w:divBdr>
                  <w:divsChild>
                    <w:div w:id="427694663">
                      <w:marLeft w:val="0"/>
                      <w:marRight w:val="0"/>
                      <w:marTop w:val="0"/>
                      <w:marBottom w:val="0"/>
                      <w:divBdr>
                        <w:top w:val="none" w:sz="0" w:space="0" w:color="auto"/>
                        <w:left w:val="none" w:sz="0" w:space="0" w:color="auto"/>
                        <w:bottom w:val="none" w:sz="0" w:space="0" w:color="auto"/>
                        <w:right w:val="none" w:sz="0" w:space="0" w:color="auto"/>
                      </w:divBdr>
                    </w:div>
                  </w:divsChild>
                </w:div>
                <w:div w:id="878129725">
                  <w:marLeft w:val="0"/>
                  <w:marRight w:val="0"/>
                  <w:marTop w:val="0"/>
                  <w:marBottom w:val="0"/>
                  <w:divBdr>
                    <w:top w:val="none" w:sz="0" w:space="0" w:color="auto"/>
                    <w:left w:val="none" w:sz="0" w:space="0" w:color="auto"/>
                    <w:bottom w:val="none" w:sz="0" w:space="0" w:color="auto"/>
                    <w:right w:val="none" w:sz="0" w:space="0" w:color="auto"/>
                  </w:divBdr>
                  <w:divsChild>
                    <w:div w:id="646056962">
                      <w:marLeft w:val="0"/>
                      <w:marRight w:val="0"/>
                      <w:marTop w:val="0"/>
                      <w:marBottom w:val="0"/>
                      <w:divBdr>
                        <w:top w:val="none" w:sz="0" w:space="0" w:color="auto"/>
                        <w:left w:val="none" w:sz="0" w:space="0" w:color="auto"/>
                        <w:bottom w:val="none" w:sz="0" w:space="0" w:color="auto"/>
                        <w:right w:val="none" w:sz="0" w:space="0" w:color="auto"/>
                      </w:divBdr>
                    </w:div>
                  </w:divsChild>
                </w:div>
                <w:div w:id="881333496">
                  <w:marLeft w:val="0"/>
                  <w:marRight w:val="0"/>
                  <w:marTop w:val="0"/>
                  <w:marBottom w:val="0"/>
                  <w:divBdr>
                    <w:top w:val="none" w:sz="0" w:space="0" w:color="auto"/>
                    <w:left w:val="none" w:sz="0" w:space="0" w:color="auto"/>
                    <w:bottom w:val="none" w:sz="0" w:space="0" w:color="auto"/>
                    <w:right w:val="none" w:sz="0" w:space="0" w:color="auto"/>
                  </w:divBdr>
                  <w:divsChild>
                    <w:div w:id="75563176">
                      <w:marLeft w:val="0"/>
                      <w:marRight w:val="0"/>
                      <w:marTop w:val="0"/>
                      <w:marBottom w:val="0"/>
                      <w:divBdr>
                        <w:top w:val="none" w:sz="0" w:space="0" w:color="auto"/>
                        <w:left w:val="none" w:sz="0" w:space="0" w:color="auto"/>
                        <w:bottom w:val="none" w:sz="0" w:space="0" w:color="auto"/>
                        <w:right w:val="none" w:sz="0" w:space="0" w:color="auto"/>
                      </w:divBdr>
                    </w:div>
                  </w:divsChild>
                </w:div>
                <w:div w:id="1465540067">
                  <w:marLeft w:val="0"/>
                  <w:marRight w:val="0"/>
                  <w:marTop w:val="0"/>
                  <w:marBottom w:val="0"/>
                  <w:divBdr>
                    <w:top w:val="none" w:sz="0" w:space="0" w:color="auto"/>
                    <w:left w:val="none" w:sz="0" w:space="0" w:color="auto"/>
                    <w:bottom w:val="none" w:sz="0" w:space="0" w:color="auto"/>
                    <w:right w:val="none" w:sz="0" w:space="0" w:color="auto"/>
                  </w:divBdr>
                  <w:divsChild>
                    <w:div w:id="64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9879">
          <w:marLeft w:val="0"/>
          <w:marRight w:val="0"/>
          <w:marTop w:val="0"/>
          <w:marBottom w:val="0"/>
          <w:divBdr>
            <w:top w:val="none" w:sz="0" w:space="0" w:color="auto"/>
            <w:left w:val="none" w:sz="0" w:space="0" w:color="auto"/>
            <w:bottom w:val="none" w:sz="0" w:space="0" w:color="auto"/>
            <w:right w:val="none" w:sz="0" w:space="0" w:color="auto"/>
          </w:divBdr>
          <w:divsChild>
            <w:div w:id="1007171314">
              <w:marLeft w:val="-75"/>
              <w:marRight w:val="0"/>
              <w:marTop w:val="30"/>
              <w:marBottom w:val="30"/>
              <w:divBdr>
                <w:top w:val="none" w:sz="0" w:space="0" w:color="auto"/>
                <w:left w:val="none" w:sz="0" w:space="0" w:color="auto"/>
                <w:bottom w:val="none" w:sz="0" w:space="0" w:color="auto"/>
                <w:right w:val="none" w:sz="0" w:space="0" w:color="auto"/>
              </w:divBdr>
              <w:divsChild>
                <w:div w:id="21786815">
                  <w:marLeft w:val="0"/>
                  <w:marRight w:val="0"/>
                  <w:marTop w:val="0"/>
                  <w:marBottom w:val="0"/>
                  <w:divBdr>
                    <w:top w:val="none" w:sz="0" w:space="0" w:color="auto"/>
                    <w:left w:val="none" w:sz="0" w:space="0" w:color="auto"/>
                    <w:bottom w:val="none" w:sz="0" w:space="0" w:color="auto"/>
                    <w:right w:val="none" w:sz="0" w:space="0" w:color="auto"/>
                  </w:divBdr>
                  <w:divsChild>
                    <w:div w:id="1396202586">
                      <w:marLeft w:val="0"/>
                      <w:marRight w:val="0"/>
                      <w:marTop w:val="0"/>
                      <w:marBottom w:val="0"/>
                      <w:divBdr>
                        <w:top w:val="none" w:sz="0" w:space="0" w:color="auto"/>
                        <w:left w:val="none" w:sz="0" w:space="0" w:color="auto"/>
                        <w:bottom w:val="none" w:sz="0" w:space="0" w:color="auto"/>
                        <w:right w:val="none" w:sz="0" w:space="0" w:color="auto"/>
                      </w:divBdr>
                    </w:div>
                  </w:divsChild>
                </w:div>
                <w:div w:id="44647850">
                  <w:marLeft w:val="0"/>
                  <w:marRight w:val="0"/>
                  <w:marTop w:val="0"/>
                  <w:marBottom w:val="0"/>
                  <w:divBdr>
                    <w:top w:val="none" w:sz="0" w:space="0" w:color="auto"/>
                    <w:left w:val="none" w:sz="0" w:space="0" w:color="auto"/>
                    <w:bottom w:val="none" w:sz="0" w:space="0" w:color="auto"/>
                    <w:right w:val="none" w:sz="0" w:space="0" w:color="auto"/>
                  </w:divBdr>
                  <w:divsChild>
                    <w:div w:id="1990205048">
                      <w:marLeft w:val="0"/>
                      <w:marRight w:val="0"/>
                      <w:marTop w:val="0"/>
                      <w:marBottom w:val="0"/>
                      <w:divBdr>
                        <w:top w:val="none" w:sz="0" w:space="0" w:color="auto"/>
                        <w:left w:val="none" w:sz="0" w:space="0" w:color="auto"/>
                        <w:bottom w:val="none" w:sz="0" w:space="0" w:color="auto"/>
                        <w:right w:val="none" w:sz="0" w:space="0" w:color="auto"/>
                      </w:divBdr>
                    </w:div>
                  </w:divsChild>
                </w:div>
                <w:div w:id="68700447">
                  <w:marLeft w:val="0"/>
                  <w:marRight w:val="0"/>
                  <w:marTop w:val="0"/>
                  <w:marBottom w:val="0"/>
                  <w:divBdr>
                    <w:top w:val="none" w:sz="0" w:space="0" w:color="auto"/>
                    <w:left w:val="none" w:sz="0" w:space="0" w:color="auto"/>
                    <w:bottom w:val="none" w:sz="0" w:space="0" w:color="auto"/>
                    <w:right w:val="none" w:sz="0" w:space="0" w:color="auto"/>
                  </w:divBdr>
                  <w:divsChild>
                    <w:div w:id="42677722">
                      <w:marLeft w:val="0"/>
                      <w:marRight w:val="0"/>
                      <w:marTop w:val="0"/>
                      <w:marBottom w:val="0"/>
                      <w:divBdr>
                        <w:top w:val="none" w:sz="0" w:space="0" w:color="auto"/>
                        <w:left w:val="none" w:sz="0" w:space="0" w:color="auto"/>
                        <w:bottom w:val="none" w:sz="0" w:space="0" w:color="auto"/>
                        <w:right w:val="none" w:sz="0" w:space="0" w:color="auto"/>
                      </w:divBdr>
                    </w:div>
                  </w:divsChild>
                </w:div>
                <w:div w:id="69278815">
                  <w:marLeft w:val="0"/>
                  <w:marRight w:val="0"/>
                  <w:marTop w:val="0"/>
                  <w:marBottom w:val="0"/>
                  <w:divBdr>
                    <w:top w:val="none" w:sz="0" w:space="0" w:color="auto"/>
                    <w:left w:val="none" w:sz="0" w:space="0" w:color="auto"/>
                    <w:bottom w:val="none" w:sz="0" w:space="0" w:color="auto"/>
                    <w:right w:val="none" w:sz="0" w:space="0" w:color="auto"/>
                  </w:divBdr>
                  <w:divsChild>
                    <w:div w:id="226259275">
                      <w:marLeft w:val="0"/>
                      <w:marRight w:val="0"/>
                      <w:marTop w:val="0"/>
                      <w:marBottom w:val="0"/>
                      <w:divBdr>
                        <w:top w:val="none" w:sz="0" w:space="0" w:color="auto"/>
                        <w:left w:val="none" w:sz="0" w:space="0" w:color="auto"/>
                        <w:bottom w:val="none" w:sz="0" w:space="0" w:color="auto"/>
                        <w:right w:val="none" w:sz="0" w:space="0" w:color="auto"/>
                      </w:divBdr>
                    </w:div>
                  </w:divsChild>
                </w:div>
                <w:div w:id="152570778">
                  <w:marLeft w:val="0"/>
                  <w:marRight w:val="0"/>
                  <w:marTop w:val="0"/>
                  <w:marBottom w:val="0"/>
                  <w:divBdr>
                    <w:top w:val="none" w:sz="0" w:space="0" w:color="auto"/>
                    <w:left w:val="none" w:sz="0" w:space="0" w:color="auto"/>
                    <w:bottom w:val="none" w:sz="0" w:space="0" w:color="auto"/>
                    <w:right w:val="none" w:sz="0" w:space="0" w:color="auto"/>
                  </w:divBdr>
                  <w:divsChild>
                    <w:div w:id="294215176">
                      <w:marLeft w:val="0"/>
                      <w:marRight w:val="0"/>
                      <w:marTop w:val="0"/>
                      <w:marBottom w:val="0"/>
                      <w:divBdr>
                        <w:top w:val="none" w:sz="0" w:space="0" w:color="auto"/>
                        <w:left w:val="none" w:sz="0" w:space="0" w:color="auto"/>
                        <w:bottom w:val="none" w:sz="0" w:space="0" w:color="auto"/>
                        <w:right w:val="none" w:sz="0" w:space="0" w:color="auto"/>
                      </w:divBdr>
                    </w:div>
                  </w:divsChild>
                </w:div>
                <w:div w:id="159589148">
                  <w:marLeft w:val="0"/>
                  <w:marRight w:val="0"/>
                  <w:marTop w:val="0"/>
                  <w:marBottom w:val="0"/>
                  <w:divBdr>
                    <w:top w:val="none" w:sz="0" w:space="0" w:color="auto"/>
                    <w:left w:val="none" w:sz="0" w:space="0" w:color="auto"/>
                    <w:bottom w:val="none" w:sz="0" w:space="0" w:color="auto"/>
                    <w:right w:val="none" w:sz="0" w:space="0" w:color="auto"/>
                  </w:divBdr>
                  <w:divsChild>
                    <w:div w:id="1823883719">
                      <w:marLeft w:val="0"/>
                      <w:marRight w:val="0"/>
                      <w:marTop w:val="0"/>
                      <w:marBottom w:val="0"/>
                      <w:divBdr>
                        <w:top w:val="none" w:sz="0" w:space="0" w:color="auto"/>
                        <w:left w:val="none" w:sz="0" w:space="0" w:color="auto"/>
                        <w:bottom w:val="none" w:sz="0" w:space="0" w:color="auto"/>
                        <w:right w:val="none" w:sz="0" w:space="0" w:color="auto"/>
                      </w:divBdr>
                    </w:div>
                  </w:divsChild>
                </w:div>
                <w:div w:id="181018353">
                  <w:marLeft w:val="0"/>
                  <w:marRight w:val="0"/>
                  <w:marTop w:val="0"/>
                  <w:marBottom w:val="0"/>
                  <w:divBdr>
                    <w:top w:val="none" w:sz="0" w:space="0" w:color="auto"/>
                    <w:left w:val="none" w:sz="0" w:space="0" w:color="auto"/>
                    <w:bottom w:val="none" w:sz="0" w:space="0" w:color="auto"/>
                    <w:right w:val="none" w:sz="0" w:space="0" w:color="auto"/>
                  </w:divBdr>
                  <w:divsChild>
                    <w:div w:id="1706249939">
                      <w:marLeft w:val="0"/>
                      <w:marRight w:val="0"/>
                      <w:marTop w:val="0"/>
                      <w:marBottom w:val="0"/>
                      <w:divBdr>
                        <w:top w:val="none" w:sz="0" w:space="0" w:color="auto"/>
                        <w:left w:val="none" w:sz="0" w:space="0" w:color="auto"/>
                        <w:bottom w:val="none" w:sz="0" w:space="0" w:color="auto"/>
                        <w:right w:val="none" w:sz="0" w:space="0" w:color="auto"/>
                      </w:divBdr>
                    </w:div>
                  </w:divsChild>
                </w:div>
                <w:div w:id="204565336">
                  <w:marLeft w:val="0"/>
                  <w:marRight w:val="0"/>
                  <w:marTop w:val="0"/>
                  <w:marBottom w:val="0"/>
                  <w:divBdr>
                    <w:top w:val="none" w:sz="0" w:space="0" w:color="auto"/>
                    <w:left w:val="none" w:sz="0" w:space="0" w:color="auto"/>
                    <w:bottom w:val="none" w:sz="0" w:space="0" w:color="auto"/>
                    <w:right w:val="none" w:sz="0" w:space="0" w:color="auto"/>
                  </w:divBdr>
                  <w:divsChild>
                    <w:div w:id="1881702049">
                      <w:marLeft w:val="0"/>
                      <w:marRight w:val="0"/>
                      <w:marTop w:val="0"/>
                      <w:marBottom w:val="0"/>
                      <w:divBdr>
                        <w:top w:val="none" w:sz="0" w:space="0" w:color="auto"/>
                        <w:left w:val="none" w:sz="0" w:space="0" w:color="auto"/>
                        <w:bottom w:val="none" w:sz="0" w:space="0" w:color="auto"/>
                        <w:right w:val="none" w:sz="0" w:space="0" w:color="auto"/>
                      </w:divBdr>
                    </w:div>
                  </w:divsChild>
                </w:div>
                <w:div w:id="244846879">
                  <w:marLeft w:val="0"/>
                  <w:marRight w:val="0"/>
                  <w:marTop w:val="0"/>
                  <w:marBottom w:val="0"/>
                  <w:divBdr>
                    <w:top w:val="none" w:sz="0" w:space="0" w:color="auto"/>
                    <w:left w:val="none" w:sz="0" w:space="0" w:color="auto"/>
                    <w:bottom w:val="none" w:sz="0" w:space="0" w:color="auto"/>
                    <w:right w:val="none" w:sz="0" w:space="0" w:color="auto"/>
                  </w:divBdr>
                  <w:divsChild>
                    <w:div w:id="973292676">
                      <w:marLeft w:val="0"/>
                      <w:marRight w:val="0"/>
                      <w:marTop w:val="0"/>
                      <w:marBottom w:val="0"/>
                      <w:divBdr>
                        <w:top w:val="none" w:sz="0" w:space="0" w:color="auto"/>
                        <w:left w:val="none" w:sz="0" w:space="0" w:color="auto"/>
                        <w:bottom w:val="none" w:sz="0" w:space="0" w:color="auto"/>
                        <w:right w:val="none" w:sz="0" w:space="0" w:color="auto"/>
                      </w:divBdr>
                    </w:div>
                  </w:divsChild>
                </w:div>
                <w:div w:id="267322608">
                  <w:marLeft w:val="0"/>
                  <w:marRight w:val="0"/>
                  <w:marTop w:val="0"/>
                  <w:marBottom w:val="0"/>
                  <w:divBdr>
                    <w:top w:val="none" w:sz="0" w:space="0" w:color="auto"/>
                    <w:left w:val="none" w:sz="0" w:space="0" w:color="auto"/>
                    <w:bottom w:val="none" w:sz="0" w:space="0" w:color="auto"/>
                    <w:right w:val="none" w:sz="0" w:space="0" w:color="auto"/>
                  </w:divBdr>
                  <w:divsChild>
                    <w:div w:id="2010059461">
                      <w:marLeft w:val="0"/>
                      <w:marRight w:val="0"/>
                      <w:marTop w:val="0"/>
                      <w:marBottom w:val="0"/>
                      <w:divBdr>
                        <w:top w:val="none" w:sz="0" w:space="0" w:color="auto"/>
                        <w:left w:val="none" w:sz="0" w:space="0" w:color="auto"/>
                        <w:bottom w:val="none" w:sz="0" w:space="0" w:color="auto"/>
                        <w:right w:val="none" w:sz="0" w:space="0" w:color="auto"/>
                      </w:divBdr>
                    </w:div>
                  </w:divsChild>
                </w:div>
                <w:div w:id="278797818">
                  <w:marLeft w:val="0"/>
                  <w:marRight w:val="0"/>
                  <w:marTop w:val="0"/>
                  <w:marBottom w:val="0"/>
                  <w:divBdr>
                    <w:top w:val="none" w:sz="0" w:space="0" w:color="auto"/>
                    <w:left w:val="none" w:sz="0" w:space="0" w:color="auto"/>
                    <w:bottom w:val="none" w:sz="0" w:space="0" w:color="auto"/>
                    <w:right w:val="none" w:sz="0" w:space="0" w:color="auto"/>
                  </w:divBdr>
                  <w:divsChild>
                    <w:div w:id="1361666092">
                      <w:marLeft w:val="0"/>
                      <w:marRight w:val="0"/>
                      <w:marTop w:val="0"/>
                      <w:marBottom w:val="0"/>
                      <w:divBdr>
                        <w:top w:val="none" w:sz="0" w:space="0" w:color="auto"/>
                        <w:left w:val="none" w:sz="0" w:space="0" w:color="auto"/>
                        <w:bottom w:val="none" w:sz="0" w:space="0" w:color="auto"/>
                        <w:right w:val="none" w:sz="0" w:space="0" w:color="auto"/>
                      </w:divBdr>
                    </w:div>
                  </w:divsChild>
                </w:div>
                <w:div w:id="294486007">
                  <w:marLeft w:val="0"/>
                  <w:marRight w:val="0"/>
                  <w:marTop w:val="0"/>
                  <w:marBottom w:val="0"/>
                  <w:divBdr>
                    <w:top w:val="none" w:sz="0" w:space="0" w:color="auto"/>
                    <w:left w:val="none" w:sz="0" w:space="0" w:color="auto"/>
                    <w:bottom w:val="none" w:sz="0" w:space="0" w:color="auto"/>
                    <w:right w:val="none" w:sz="0" w:space="0" w:color="auto"/>
                  </w:divBdr>
                  <w:divsChild>
                    <w:div w:id="770472215">
                      <w:marLeft w:val="0"/>
                      <w:marRight w:val="0"/>
                      <w:marTop w:val="0"/>
                      <w:marBottom w:val="0"/>
                      <w:divBdr>
                        <w:top w:val="none" w:sz="0" w:space="0" w:color="auto"/>
                        <w:left w:val="none" w:sz="0" w:space="0" w:color="auto"/>
                        <w:bottom w:val="none" w:sz="0" w:space="0" w:color="auto"/>
                        <w:right w:val="none" w:sz="0" w:space="0" w:color="auto"/>
                      </w:divBdr>
                    </w:div>
                  </w:divsChild>
                </w:div>
                <w:div w:id="318996292">
                  <w:marLeft w:val="0"/>
                  <w:marRight w:val="0"/>
                  <w:marTop w:val="0"/>
                  <w:marBottom w:val="0"/>
                  <w:divBdr>
                    <w:top w:val="none" w:sz="0" w:space="0" w:color="auto"/>
                    <w:left w:val="none" w:sz="0" w:space="0" w:color="auto"/>
                    <w:bottom w:val="none" w:sz="0" w:space="0" w:color="auto"/>
                    <w:right w:val="none" w:sz="0" w:space="0" w:color="auto"/>
                  </w:divBdr>
                  <w:divsChild>
                    <w:div w:id="1555775426">
                      <w:marLeft w:val="0"/>
                      <w:marRight w:val="0"/>
                      <w:marTop w:val="0"/>
                      <w:marBottom w:val="0"/>
                      <w:divBdr>
                        <w:top w:val="none" w:sz="0" w:space="0" w:color="auto"/>
                        <w:left w:val="none" w:sz="0" w:space="0" w:color="auto"/>
                        <w:bottom w:val="none" w:sz="0" w:space="0" w:color="auto"/>
                        <w:right w:val="none" w:sz="0" w:space="0" w:color="auto"/>
                      </w:divBdr>
                    </w:div>
                  </w:divsChild>
                </w:div>
                <w:div w:id="328675289">
                  <w:marLeft w:val="0"/>
                  <w:marRight w:val="0"/>
                  <w:marTop w:val="0"/>
                  <w:marBottom w:val="0"/>
                  <w:divBdr>
                    <w:top w:val="none" w:sz="0" w:space="0" w:color="auto"/>
                    <w:left w:val="none" w:sz="0" w:space="0" w:color="auto"/>
                    <w:bottom w:val="none" w:sz="0" w:space="0" w:color="auto"/>
                    <w:right w:val="none" w:sz="0" w:space="0" w:color="auto"/>
                  </w:divBdr>
                  <w:divsChild>
                    <w:div w:id="44380484">
                      <w:marLeft w:val="0"/>
                      <w:marRight w:val="0"/>
                      <w:marTop w:val="0"/>
                      <w:marBottom w:val="0"/>
                      <w:divBdr>
                        <w:top w:val="none" w:sz="0" w:space="0" w:color="auto"/>
                        <w:left w:val="none" w:sz="0" w:space="0" w:color="auto"/>
                        <w:bottom w:val="none" w:sz="0" w:space="0" w:color="auto"/>
                        <w:right w:val="none" w:sz="0" w:space="0" w:color="auto"/>
                      </w:divBdr>
                    </w:div>
                  </w:divsChild>
                </w:div>
                <w:div w:id="329598920">
                  <w:marLeft w:val="0"/>
                  <w:marRight w:val="0"/>
                  <w:marTop w:val="0"/>
                  <w:marBottom w:val="0"/>
                  <w:divBdr>
                    <w:top w:val="none" w:sz="0" w:space="0" w:color="auto"/>
                    <w:left w:val="none" w:sz="0" w:space="0" w:color="auto"/>
                    <w:bottom w:val="none" w:sz="0" w:space="0" w:color="auto"/>
                    <w:right w:val="none" w:sz="0" w:space="0" w:color="auto"/>
                  </w:divBdr>
                  <w:divsChild>
                    <w:div w:id="2001470061">
                      <w:marLeft w:val="0"/>
                      <w:marRight w:val="0"/>
                      <w:marTop w:val="0"/>
                      <w:marBottom w:val="0"/>
                      <w:divBdr>
                        <w:top w:val="none" w:sz="0" w:space="0" w:color="auto"/>
                        <w:left w:val="none" w:sz="0" w:space="0" w:color="auto"/>
                        <w:bottom w:val="none" w:sz="0" w:space="0" w:color="auto"/>
                        <w:right w:val="none" w:sz="0" w:space="0" w:color="auto"/>
                      </w:divBdr>
                    </w:div>
                  </w:divsChild>
                </w:div>
                <w:div w:id="358244469">
                  <w:marLeft w:val="0"/>
                  <w:marRight w:val="0"/>
                  <w:marTop w:val="0"/>
                  <w:marBottom w:val="0"/>
                  <w:divBdr>
                    <w:top w:val="none" w:sz="0" w:space="0" w:color="auto"/>
                    <w:left w:val="none" w:sz="0" w:space="0" w:color="auto"/>
                    <w:bottom w:val="none" w:sz="0" w:space="0" w:color="auto"/>
                    <w:right w:val="none" w:sz="0" w:space="0" w:color="auto"/>
                  </w:divBdr>
                  <w:divsChild>
                    <w:div w:id="59794283">
                      <w:marLeft w:val="0"/>
                      <w:marRight w:val="0"/>
                      <w:marTop w:val="0"/>
                      <w:marBottom w:val="0"/>
                      <w:divBdr>
                        <w:top w:val="none" w:sz="0" w:space="0" w:color="auto"/>
                        <w:left w:val="none" w:sz="0" w:space="0" w:color="auto"/>
                        <w:bottom w:val="none" w:sz="0" w:space="0" w:color="auto"/>
                        <w:right w:val="none" w:sz="0" w:space="0" w:color="auto"/>
                      </w:divBdr>
                    </w:div>
                  </w:divsChild>
                </w:div>
                <w:div w:id="368381755">
                  <w:marLeft w:val="0"/>
                  <w:marRight w:val="0"/>
                  <w:marTop w:val="0"/>
                  <w:marBottom w:val="0"/>
                  <w:divBdr>
                    <w:top w:val="none" w:sz="0" w:space="0" w:color="auto"/>
                    <w:left w:val="none" w:sz="0" w:space="0" w:color="auto"/>
                    <w:bottom w:val="none" w:sz="0" w:space="0" w:color="auto"/>
                    <w:right w:val="none" w:sz="0" w:space="0" w:color="auto"/>
                  </w:divBdr>
                  <w:divsChild>
                    <w:div w:id="226843545">
                      <w:marLeft w:val="0"/>
                      <w:marRight w:val="0"/>
                      <w:marTop w:val="0"/>
                      <w:marBottom w:val="0"/>
                      <w:divBdr>
                        <w:top w:val="none" w:sz="0" w:space="0" w:color="auto"/>
                        <w:left w:val="none" w:sz="0" w:space="0" w:color="auto"/>
                        <w:bottom w:val="none" w:sz="0" w:space="0" w:color="auto"/>
                        <w:right w:val="none" w:sz="0" w:space="0" w:color="auto"/>
                      </w:divBdr>
                    </w:div>
                  </w:divsChild>
                </w:div>
                <w:div w:id="381444359">
                  <w:marLeft w:val="0"/>
                  <w:marRight w:val="0"/>
                  <w:marTop w:val="0"/>
                  <w:marBottom w:val="0"/>
                  <w:divBdr>
                    <w:top w:val="none" w:sz="0" w:space="0" w:color="auto"/>
                    <w:left w:val="none" w:sz="0" w:space="0" w:color="auto"/>
                    <w:bottom w:val="none" w:sz="0" w:space="0" w:color="auto"/>
                    <w:right w:val="none" w:sz="0" w:space="0" w:color="auto"/>
                  </w:divBdr>
                  <w:divsChild>
                    <w:div w:id="2099865147">
                      <w:marLeft w:val="0"/>
                      <w:marRight w:val="0"/>
                      <w:marTop w:val="0"/>
                      <w:marBottom w:val="0"/>
                      <w:divBdr>
                        <w:top w:val="none" w:sz="0" w:space="0" w:color="auto"/>
                        <w:left w:val="none" w:sz="0" w:space="0" w:color="auto"/>
                        <w:bottom w:val="none" w:sz="0" w:space="0" w:color="auto"/>
                        <w:right w:val="none" w:sz="0" w:space="0" w:color="auto"/>
                      </w:divBdr>
                    </w:div>
                  </w:divsChild>
                </w:div>
                <w:div w:id="393430907">
                  <w:marLeft w:val="0"/>
                  <w:marRight w:val="0"/>
                  <w:marTop w:val="0"/>
                  <w:marBottom w:val="0"/>
                  <w:divBdr>
                    <w:top w:val="none" w:sz="0" w:space="0" w:color="auto"/>
                    <w:left w:val="none" w:sz="0" w:space="0" w:color="auto"/>
                    <w:bottom w:val="none" w:sz="0" w:space="0" w:color="auto"/>
                    <w:right w:val="none" w:sz="0" w:space="0" w:color="auto"/>
                  </w:divBdr>
                  <w:divsChild>
                    <w:div w:id="1541360619">
                      <w:marLeft w:val="0"/>
                      <w:marRight w:val="0"/>
                      <w:marTop w:val="0"/>
                      <w:marBottom w:val="0"/>
                      <w:divBdr>
                        <w:top w:val="none" w:sz="0" w:space="0" w:color="auto"/>
                        <w:left w:val="none" w:sz="0" w:space="0" w:color="auto"/>
                        <w:bottom w:val="none" w:sz="0" w:space="0" w:color="auto"/>
                        <w:right w:val="none" w:sz="0" w:space="0" w:color="auto"/>
                      </w:divBdr>
                    </w:div>
                  </w:divsChild>
                </w:div>
                <w:div w:id="424882553">
                  <w:marLeft w:val="0"/>
                  <w:marRight w:val="0"/>
                  <w:marTop w:val="0"/>
                  <w:marBottom w:val="0"/>
                  <w:divBdr>
                    <w:top w:val="none" w:sz="0" w:space="0" w:color="auto"/>
                    <w:left w:val="none" w:sz="0" w:space="0" w:color="auto"/>
                    <w:bottom w:val="none" w:sz="0" w:space="0" w:color="auto"/>
                    <w:right w:val="none" w:sz="0" w:space="0" w:color="auto"/>
                  </w:divBdr>
                  <w:divsChild>
                    <w:div w:id="1266379110">
                      <w:marLeft w:val="0"/>
                      <w:marRight w:val="0"/>
                      <w:marTop w:val="0"/>
                      <w:marBottom w:val="0"/>
                      <w:divBdr>
                        <w:top w:val="none" w:sz="0" w:space="0" w:color="auto"/>
                        <w:left w:val="none" w:sz="0" w:space="0" w:color="auto"/>
                        <w:bottom w:val="none" w:sz="0" w:space="0" w:color="auto"/>
                        <w:right w:val="none" w:sz="0" w:space="0" w:color="auto"/>
                      </w:divBdr>
                    </w:div>
                  </w:divsChild>
                </w:div>
                <w:div w:id="448860220">
                  <w:marLeft w:val="0"/>
                  <w:marRight w:val="0"/>
                  <w:marTop w:val="0"/>
                  <w:marBottom w:val="0"/>
                  <w:divBdr>
                    <w:top w:val="none" w:sz="0" w:space="0" w:color="auto"/>
                    <w:left w:val="none" w:sz="0" w:space="0" w:color="auto"/>
                    <w:bottom w:val="none" w:sz="0" w:space="0" w:color="auto"/>
                    <w:right w:val="none" w:sz="0" w:space="0" w:color="auto"/>
                  </w:divBdr>
                  <w:divsChild>
                    <w:div w:id="567421932">
                      <w:marLeft w:val="0"/>
                      <w:marRight w:val="0"/>
                      <w:marTop w:val="0"/>
                      <w:marBottom w:val="0"/>
                      <w:divBdr>
                        <w:top w:val="none" w:sz="0" w:space="0" w:color="auto"/>
                        <w:left w:val="none" w:sz="0" w:space="0" w:color="auto"/>
                        <w:bottom w:val="none" w:sz="0" w:space="0" w:color="auto"/>
                        <w:right w:val="none" w:sz="0" w:space="0" w:color="auto"/>
                      </w:divBdr>
                    </w:div>
                  </w:divsChild>
                </w:div>
                <w:div w:id="461578270">
                  <w:marLeft w:val="0"/>
                  <w:marRight w:val="0"/>
                  <w:marTop w:val="0"/>
                  <w:marBottom w:val="0"/>
                  <w:divBdr>
                    <w:top w:val="none" w:sz="0" w:space="0" w:color="auto"/>
                    <w:left w:val="none" w:sz="0" w:space="0" w:color="auto"/>
                    <w:bottom w:val="none" w:sz="0" w:space="0" w:color="auto"/>
                    <w:right w:val="none" w:sz="0" w:space="0" w:color="auto"/>
                  </w:divBdr>
                  <w:divsChild>
                    <w:div w:id="359429396">
                      <w:marLeft w:val="0"/>
                      <w:marRight w:val="0"/>
                      <w:marTop w:val="0"/>
                      <w:marBottom w:val="0"/>
                      <w:divBdr>
                        <w:top w:val="none" w:sz="0" w:space="0" w:color="auto"/>
                        <w:left w:val="none" w:sz="0" w:space="0" w:color="auto"/>
                        <w:bottom w:val="none" w:sz="0" w:space="0" w:color="auto"/>
                        <w:right w:val="none" w:sz="0" w:space="0" w:color="auto"/>
                      </w:divBdr>
                    </w:div>
                  </w:divsChild>
                </w:div>
                <w:div w:id="466823973">
                  <w:marLeft w:val="0"/>
                  <w:marRight w:val="0"/>
                  <w:marTop w:val="0"/>
                  <w:marBottom w:val="0"/>
                  <w:divBdr>
                    <w:top w:val="none" w:sz="0" w:space="0" w:color="auto"/>
                    <w:left w:val="none" w:sz="0" w:space="0" w:color="auto"/>
                    <w:bottom w:val="none" w:sz="0" w:space="0" w:color="auto"/>
                    <w:right w:val="none" w:sz="0" w:space="0" w:color="auto"/>
                  </w:divBdr>
                  <w:divsChild>
                    <w:div w:id="791556337">
                      <w:marLeft w:val="0"/>
                      <w:marRight w:val="0"/>
                      <w:marTop w:val="0"/>
                      <w:marBottom w:val="0"/>
                      <w:divBdr>
                        <w:top w:val="none" w:sz="0" w:space="0" w:color="auto"/>
                        <w:left w:val="none" w:sz="0" w:space="0" w:color="auto"/>
                        <w:bottom w:val="none" w:sz="0" w:space="0" w:color="auto"/>
                        <w:right w:val="none" w:sz="0" w:space="0" w:color="auto"/>
                      </w:divBdr>
                    </w:div>
                  </w:divsChild>
                </w:div>
                <w:div w:id="476066711">
                  <w:marLeft w:val="0"/>
                  <w:marRight w:val="0"/>
                  <w:marTop w:val="0"/>
                  <w:marBottom w:val="0"/>
                  <w:divBdr>
                    <w:top w:val="none" w:sz="0" w:space="0" w:color="auto"/>
                    <w:left w:val="none" w:sz="0" w:space="0" w:color="auto"/>
                    <w:bottom w:val="none" w:sz="0" w:space="0" w:color="auto"/>
                    <w:right w:val="none" w:sz="0" w:space="0" w:color="auto"/>
                  </w:divBdr>
                  <w:divsChild>
                    <w:div w:id="1755273173">
                      <w:marLeft w:val="0"/>
                      <w:marRight w:val="0"/>
                      <w:marTop w:val="0"/>
                      <w:marBottom w:val="0"/>
                      <w:divBdr>
                        <w:top w:val="none" w:sz="0" w:space="0" w:color="auto"/>
                        <w:left w:val="none" w:sz="0" w:space="0" w:color="auto"/>
                        <w:bottom w:val="none" w:sz="0" w:space="0" w:color="auto"/>
                        <w:right w:val="none" w:sz="0" w:space="0" w:color="auto"/>
                      </w:divBdr>
                    </w:div>
                  </w:divsChild>
                </w:div>
                <w:div w:id="476993235">
                  <w:marLeft w:val="0"/>
                  <w:marRight w:val="0"/>
                  <w:marTop w:val="0"/>
                  <w:marBottom w:val="0"/>
                  <w:divBdr>
                    <w:top w:val="none" w:sz="0" w:space="0" w:color="auto"/>
                    <w:left w:val="none" w:sz="0" w:space="0" w:color="auto"/>
                    <w:bottom w:val="none" w:sz="0" w:space="0" w:color="auto"/>
                    <w:right w:val="none" w:sz="0" w:space="0" w:color="auto"/>
                  </w:divBdr>
                  <w:divsChild>
                    <w:div w:id="1321032901">
                      <w:marLeft w:val="0"/>
                      <w:marRight w:val="0"/>
                      <w:marTop w:val="0"/>
                      <w:marBottom w:val="0"/>
                      <w:divBdr>
                        <w:top w:val="none" w:sz="0" w:space="0" w:color="auto"/>
                        <w:left w:val="none" w:sz="0" w:space="0" w:color="auto"/>
                        <w:bottom w:val="none" w:sz="0" w:space="0" w:color="auto"/>
                        <w:right w:val="none" w:sz="0" w:space="0" w:color="auto"/>
                      </w:divBdr>
                    </w:div>
                  </w:divsChild>
                </w:div>
                <w:div w:id="492380750">
                  <w:marLeft w:val="0"/>
                  <w:marRight w:val="0"/>
                  <w:marTop w:val="0"/>
                  <w:marBottom w:val="0"/>
                  <w:divBdr>
                    <w:top w:val="none" w:sz="0" w:space="0" w:color="auto"/>
                    <w:left w:val="none" w:sz="0" w:space="0" w:color="auto"/>
                    <w:bottom w:val="none" w:sz="0" w:space="0" w:color="auto"/>
                    <w:right w:val="none" w:sz="0" w:space="0" w:color="auto"/>
                  </w:divBdr>
                  <w:divsChild>
                    <w:div w:id="1821773115">
                      <w:marLeft w:val="0"/>
                      <w:marRight w:val="0"/>
                      <w:marTop w:val="0"/>
                      <w:marBottom w:val="0"/>
                      <w:divBdr>
                        <w:top w:val="none" w:sz="0" w:space="0" w:color="auto"/>
                        <w:left w:val="none" w:sz="0" w:space="0" w:color="auto"/>
                        <w:bottom w:val="none" w:sz="0" w:space="0" w:color="auto"/>
                        <w:right w:val="none" w:sz="0" w:space="0" w:color="auto"/>
                      </w:divBdr>
                    </w:div>
                  </w:divsChild>
                </w:div>
                <w:div w:id="545527204">
                  <w:marLeft w:val="0"/>
                  <w:marRight w:val="0"/>
                  <w:marTop w:val="0"/>
                  <w:marBottom w:val="0"/>
                  <w:divBdr>
                    <w:top w:val="none" w:sz="0" w:space="0" w:color="auto"/>
                    <w:left w:val="none" w:sz="0" w:space="0" w:color="auto"/>
                    <w:bottom w:val="none" w:sz="0" w:space="0" w:color="auto"/>
                    <w:right w:val="none" w:sz="0" w:space="0" w:color="auto"/>
                  </w:divBdr>
                  <w:divsChild>
                    <w:div w:id="1375226843">
                      <w:marLeft w:val="0"/>
                      <w:marRight w:val="0"/>
                      <w:marTop w:val="0"/>
                      <w:marBottom w:val="0"/>
                      <w:divBdr>
                        <w:top w:val="none" w:sz="0" w:space="0" w:color="auto"/>
                        <w:left w:val="none" w:sz="0" w:space="0" w:color="auto"/>
                        <w:bottom w:val="none" w:sz="0" w:space="0" w:color="auto"/>
                        <w:right w:val="none" w:sz="0" w:space="0" w:color="auto"/>
                      </w:divBdr>
                    </w:div>
                  </w:divsChild>
                </w:div>
                <w:div w:id="553977131">
                  <w:marLeft w:val="0"/>
                  <w:marRight w:val="0"/>
                  <w:marTop w:val="0"/>
                  <w:marBottom w:val="0"/>
                  <w:divBdr>
                    <w:top w:val="none" w:sz="0" w:space="0" w:color="auto"/>
                    <w:left w:val="none" w:sz="0" w:space="0" w:color="auto"/>
                    <w:bottom w:val="none" w:sz="0" w:space="0" w:color="auto"/>
                    <w:right w:val="none" w:sz="0" w:space="0" w:color="auto"/>
                  </w:divBdr>
                  <w:divsChild>
                    <w:div w:id="1588033135">
                      <w:marLeft w:val="0"/>
                      <w:marRight w:val="0"/>
                      <w:marTop w:val="0"/>
                      <w:marBottom w:val="0"/>
                      <w:divBdr>
                        <w:top w:val="none" w:sz="0" w:space="0" w:color="auto"/>
                        <w:left w:val="none" w:sz="0" w:space="0" w:color="auto"/>
                        <w:bottom w:val="none" w:sz="0" w:space="0" w:color="auto"/>
                        <w:right w:val="none" w:sz="0" w:space="0" w:color="auto"/>
                      </w:divBdr>
                    </w:div>
                  </w:divsChild>
                </w:div>
                <w:div w:id="595789508">
                  <w:marLeft w:val="0"/>
                  <w:marRight w:val="0"/>
                  <w:marTop w:val="0"/>
                  <w:marBottom w:val="0"/>
                  <w:divBdr>
                    <w:top w:val="none" w:sz="0" w:space="0" w:color="auto"/>
                    <w:left w:val="none" w:sz="0" w:space="0" w:color="auto"/>
                    <w:bottom w:val="none" w:sz="0" w:space="0" w:color="auto"/>
                    <w:right w:val="none" w:sz="0" w:space="0" w:color="auto"/>
                  </w:divBdr>
                  <w:divsChild>
                    <w:div w:id="321978856">
                      <w:marLeft w:val="0"/>
                      <w:marRight w:val="0"/>
                      <w:marTop w:val="0"/>
                      <w:marBottom w:val="0"/>
                      <w:divBdr>
                        <w:top w:val="none" w:sz="0" w:space="0" w:color="auto"/>
                        <w:left w:val="none" w:sz="0" w:space="0" w:color="auto"/>
                        <w:bottom w:val="none" w:sz="0" w:space="0" w:color="auto"/>
                        <w:right w:val="none" w:sz="0" w:space="0" w:color="auto"/>
                      </w:divBdr>
                    </w:div>
                  </w:divsChild>
                </w:div>
                <w:div w:id="612906827">
                  <w:marLeft w:val="0"/>
                  <w:marRight w:val="0"/>
                  <w:marTop w:val="0"/>
                  <w:marBottom w:val="0"/>
                  <w:divBdr>
                    <w:top w:val="none" w:sz="0" w:space="0" w:color="auto"/>
                    <w:left w:val="none" w:sz="0" w:space="0" w:color="auto"/>
                    <w:bottom w:val="none" w:sz="0" w:space="0" w:color="auto"/>
                    <w:right w:val="none" w:sz="0" w:space="0" w:color="auto"/>
                  </w:divBdr>
                  <w:divsChild>
                    <w:div w:id="1567456192">
                      <w:marLeft w:val="0"/>
                      <w:marRight w:val="0"/>
                      <w:marTop w:val="0"/>
                      <w:marBottom w:val="0"/>
                      <w:divBdr>
                        <w:top w:val="none" w:sz="0" w:space="0" w:color="auto"/>
                        <w:left w:val="none" w:sz="0" w:space="0" w:color="auto"/>
                        <w:bottom w:val="none" w:sz="0" w:space="0" w:color="auto"/>
                        <w:right w:val="none" w:sz="0" w:space="0" w:color="auto"/>
                      </w:divBdr>
                    </w:div>
                  </w:divsChild>
                </w:div>
                <w:div w:id="658116968">
                  <w:marLeft w:val="0"/>
                  <w:marRight w:val="0"/>
                  <w:marTop w:val="0"/>
                  <w:marBottom w:val="0"/>
                  <w:divBdr>
                    <w:top w:val="none" w:sz="0" w:space="0" w:color="auto"/>
                    <w:left w:val="none" w:sz="0" w:space="0" w:color="auto"/>
                    <w:bottom w:val="none" w:sz="0" w:space="0" w:color="auto"/>
                    <w:right w:val="none" w:sz="0" w:space="0" w:color="auto"/>
                  </w:divBdr>
                  <w:divsChild>
                    <w:div w:id="1391340031">
                      <w:marLeft w:val="0"/>
                      <w:marRight w:val="0"/>
                      <w:marTop w:val="0"/>
                      <w:marBottom w:val="0"/>
                      <w:divBdr>
                        <w:top w:val="none" w:sz="0" w:space="0" w:color="auto"/>
                        <w:left w:val="none" w:sz="0" w:space="0" w:color="auto"/>
                        <w:bottom w:val="none" w:sz="0" w:space="0" w:color="auto"/>
                        <w:right w:val="none" w:sz="0" w:space="0" w:color="auto"/>
                      </w:divBdr>
                    </w:div>
                  </w:divsChild>
                </w:div>
                <w:div w:id="665937071">
                  <w:marLeft w:val="0"/>
                  <w:marRight w:val="0"/>
                  <w:marTop w:val="0"/>
                  <w:marBottom w:val="0"/>
                  <w:divBdr>
                    <w:top w:val="none" w:sz="0" w:space="0" w:color="auto"/>
                    <w:left w:val="none" w:sz="0" w:space="0" w:color="auto"/>
                    <w:bottom w:val="none" w:sz="0" w:space="0" w:color="auto"/>
                    <w:right w:val="none" w:sz="0" w:space="0" w:color="auto"/>
                  </w:divBdr>
                  <w:divsChild>
                    <w:div w:id="1797600711">
                      <w:marLeft w:val="0"/>
                      <w:marRight w:val="0"/>
                      <w:marTop w:val="0"/>
                      <w:marBottom w:val="0"/>
                      <w:divBdr>
                        <w:top w:val="none" w:sz="0" w:space="0" w:color="auto"/>
                        <w:left w:val="none" w:sz="0" w:space="0" w:color="auto"/>
                        <w:bottom w:val="none" w:sz="0" w:space="0" w:color="auto"/>
                        <w:right w:val="none" w:sz="0" w:space="0" w:color="auto"/>
                      </w:divBdr>
                    </w:div>
                  </w:divsChild>
                </w:div>
                <w:div w:id="699400907">
                  <w:marLeft w:val="0"/>
                  <w:marRight w:val="0"/>
                  <w:marTop w:val="0"/>
                  <w:marBottom w:val="0"/>
                  <w:divBdr>
                    <w:top w:val="none" w:sz="0" w:space="0" w:color="auto"/>
                    <w:left w:val="none" w:sz="0" w:space="0" w:color="auto"/>
                    <w:bottom w:val="none" w:sz="0" w:space="0" w:color="auto"/>
                    <w:right w:val="none" w:sz="0" w:space="0" w:color="auto"/>
                  </w:divBdr>
                  <w:divsChild>
                    <w:div w:id="1673800751">
                      <w:marLeft w:val="0"/>
                      <w:marRight w:val="0"/>
                      <w:marTop w:val="0"/>
                      <w:marBottom w:val="0"/>
                      <w:divBdr>
                        <w:top w:val="none" w:sz="0" w:space="0" w:color="auto"/>
                        <w:left w:val="none" w:sz="0" w:space="0" w:color="auto"/>
                        <w:bottom w:val="none" w:sz="0" w:space="0" w:color="auto"/>
                        <w:right w:val="none" w:sz="0" w:space="0" w:color="auto"/>
                      </w:divBdr>
                    </w:div>
                  </w:divsChild>
                </w:div>
                <w:div w:id="732504605">
                  <w:marLeft w:val="0"/>
                  <w:marRight w:val="0"/>
                  <w:marTop w:val="0"/>
                  <w:marBottom w:val="0"/>
                  <w:divBdr>
                    <w:top w:val="none" w:sz="0" w:space="0" w:color="auto"/>
                    <w:left w:val="none" w:sz="0" w:space="0" w:color="auto"/>
                    <w:bottom w:val="none" w:sz="0" w:space="0" w:color="auto"/>
                    <w:right w:val="none" w:sz="0" w:space="0" w:color="auto"/>
                  </w:divBdr>
                  <w:divsChild>
                    <w:div w:id="518159697">
                      <w:marLeft w:val="0"/>
                      <w:marRight w:val="0"/>
                      <w:marTop w:val="0"/>
                      <w:marBottom w:val="0"/>
                      <w:divBdr>
                        <w:top w:val="none" w:sz="0" w:space="0" w:color="auto"/>
                        <w:left w:val="none" w:sz="0" w:space="0" w:color="auto"/>
                        <w:bottom w:val="none" w:sz="0" w:space="0" w:color="auto"/>
                        <w:right w:val="none" w:sz="0" w:space="0" w:color="auto"/>
                      </w:divBdr>
                    </w:div>
                  </w:divsChild>
                </w:div>
                <w:div w:id="738673315">
                  <w:marLeft w:val="0"/>
                  <w:marRight w:val="0"/>
                  <w:marTop w:val="0"/>
                  <w:marBottom w:val="0"/>
                  <w:divBdr>
                    <w:top w:val="none" w:sz="0" w:space="0" w:color="auto"/>
                    <w:left w:val="none" w:sz="0" w:space="0" w:color="auto"/>
                    <w:bottom w:val="none" w:sz="0" w:space="0" w:color="auto"/>
                    <w:right w:val="none" w:sz="0" w:space="0" w:color="auto"/>
                  </w:divBdr>
                  <w:divsChild>
                    <w:div w:id="483396960">
                      <w:marLeft w:val="0"/>
                      <w:marRight w:val="0"/>
                      <w:marTop w:val="0"/>
                      <w:marBottom w:val="0"/>
                      <w:divBdr>
                        <w:top w:val="none" w:sz="0" w:space="0" w:color="auto"/>
                        <w:left w:val="none" w:sz="0" w:space="0" w:color="auto"/>
                        <w:bottom w:val="none" w:sz="0" w:space="0" w:color="auto"/>
                        <w:right w:val="none" w:sz="0" w:space="0" w:color="auto"/>
                      </w:divBdr>
                    </w:div>
                  </w:divsChild>
                </w:div>
                <w:div w:id="742333068">
                  <w:marLeft w:val="0"/>
                  <w:marRight w:val="0"/>
                  <w:marTop w:val="0"/>
                  <w:marBottom w:val="0"/>
                  <w:divBdr>
                    <w:top w:val="none" w:sz="0" w:space="0" w:color="auto"/>
                    <w:left w:val="none" w:sz="0" w:space="0" w:color="auto"/>
                    <w:bottom w:val="none" w:sz="0" w:space="0" w:color="auto"/>
                    <w:right w:val="none" w:sz="0" w:space="0" w:color="auto"/>
                  </w:divBdr>
                  <w:divsChild>
                    <w:div w:id="1072393195">
                      <w:marLeft w:val="0"/>
                      <w:marRight w:val="0"/>
                      <w:marTop w:val="0"/>
                      <w:marBottom w:val="0"/>
                      <w:divBdr>
                        <w:top w:val="none" w:sz="0" w:space="0" w:color="auto"/>
                        <w:left w:val="none" w:sz="0" w:space="0" w:color="auto"/>
                        <w:bottom w:val="none" w:sz="0" w:space="0" w:color="auto"/>
                        <w:right w:val="none" w:sz="0" w:space="0" w:color="auto"/>
                      </w:divBdr>
                    </w:div>
                    <w:div w:id="1471171851">
                      <w:marLeft w:val="0"/>
                      <w:marRight w:val="0"/>
                      <w:marTop w:val="0"/>
                      <w:marBottom w:val="0"/>
                      <w:divBdr>
                        <w:top w:val="none" w:sz="0" w:space="0" w:color="auto"/>
                        <w:left w:val="none" w:sz="0" w:space="0" w:color="auto"/>
                        <w:bottom w:val="none" w:sz="0" w:space="0" w:color="auto"/>
                        <w:right w:val="none" w:sz="0" w:space="0" w:color="auto"/>
                      </w:divBdr>
                    </w:div>
                    <w:div w:id="1774857508">
                      <w:marLeft w:val="0"/>
                      <w:marRight w:val="0"/>
                      <w:marTop w:val="0"/>
                      <w:marBottom w:val="0"/>
                      <w:divBdr>
                        <w:top w:val="none" w:sz="0" w:space="0" w:color="auto"/>
                        <w:left w:val="none" w:sz="0" w:space="0" w:color="auto"/>
                        <w:bottom w:val="none" w:sz="0" w:space="0" w:color="auto"/>
                        <w:right w:val="none" w:sz="0" w:space="0" w:color="auto"/>
                      </w:divBdr>
                    </w:div>
                  </w:divsChild>
                </w:div>
                <w:div w:id="760373308">
                  <w:marLeft w:val="0"/>
                  <w:marRight w:val="0"/>
                  <w:marTop w:val="0"/>
                  <w:marBottom w:val="0"/>
                  <w:divBdr>
                    <w:top w:val="none" w:sz="0" w:space="0" w:color="auto"/>
                    <w:left w:val="none" w:sz="0" w:space="0" w:color="auto"/>
                    <w:bottom w:val="none" w:sz="0" w:space="0" w:color="auto"/>
                    <w:right w:val="none" w:sz="0" w:space="0" w:color="auto"/>
                  </w:divBdr>
                  <w:divsChild>
                    <w:div w:id="1263954893">
                      <w:marLeft w:val="0"/>
                      <w:marRight w:val="0"/>
                      <w:marTop w:val="0"/>
                      <w:marBottom w:val="0"/>
                      <w:divBdr>
                        <w:top w:val="none" w:sz="0" w:space="0" w:color="auto"/>
                        <w:left w:val="none" w:sz="0" w:space="0" w:color="auto"/>
                        <w:bottom w:val="none" w:sz="0" w:space="0" w:color="auto"/>
                        <w:right w:val="none" w:sz="0" w:space="0" w:color="auto"/>
                      </w:divBdr>
                    </w:div>
                  </w:divsChild>
                </w:div>
                <w:div w:id="763384043">
                  <w:marLeft w:val="0"/>
                  <w:marRight w:val="0"/>
                  <w:marTop w:val="0"/>
                  <w:marBottom w:val="0"/>
                  <w:divBdr>
                    <w:top w:val="none" w:sz="0" w:space="0" w:color="auto"/>
                    <w:left w:val="none" w:sz="0" w:space="0" w:color="auto"/>
                    <w:bottom w:val="none" w:sz="0" w:space="0" w:color="auto"/>
                    <w:right w:val="none" w:sz="0" w:space="0" w:color="auto"/>
                  </w:divBdr>
                  <w:divsChild>
                    <w:div w:id="1269895160">
                      <w:marLeft w:val="0"/>
                      <w:marRight w:val="0"/>
                      <w:marTop w:val="0"/>
                      <w:marBottom w:val="0"/>
                      <w:divBdr>
                        <w:top w:val="none" w:sz="0" w:space="0" w:color="auto"/>
                        <w:left w:val="none" w:sz="0" w:space="0" w:color="auto"/>
                        <w:bottom w:val="none" w:sz="0" w:space="0" w:color="auto"/>
                        <w:right w:val="none" w:sz="0" w:space="0" w:color="auto"/>
                      </w:divBdr>
                    </w:div>
                  </w:divsChild>
                </w:div>
                <w:div w:id="768046679">
                  <w:marLeft w:val="0"/>
                  <w:marRight w:val="0"/>
                  <w:marTop w:val="0"/>
                  <w:marBottom w:val="0"/>
                  <w:divBdr>
                    <w:top w:val="none" w:sz="0" w:space="0" w:color="auto"/>
                    <w:left w:val="none" w:sz="0" w:space="0" w:color="auto"/>
                    <w:bottom w:val="none" w:sz="0" w:space="0" w:color="auto"/>
                    <w:right w:val="none" w:sz="0" w:space="0" w:color="auto"/>
                  </w:divBdr>
                  <w:divsChild>
                    <w:div w:id="1886480926">
                      <w:marLeft w:val="0"/>
                      <w:marRight w:val="0"/>
                      <w:marTop w:val="0"/>
                      <w:marBottom w:val="0"/>
                      <w:divBdr>
                        <w:top w:val="none" w:sz="0" w:space="0" w:color="auto"/>
                        <w:left w:val="none" w:sz="0" w:space="0" w:color="auto"/>
                        <w:bottom w:val="none" w:sz="0" w:space="0" w:color="auto"/>
                        <w:right w:val="none" w:sz="0" w:space="0" w:color="auto"/>
                      </w:divBdr>
                    </w:div>
                  </w:divsChild>
                </w:div>
                <w:div w:id="797987193">
                  <w:marLeft w:val="0"/>
                  <w:marRight w:val="0"/>
                  <w:marTop w:val="0"/>
                  <w:marBottom w:val="0"/>
                  <w:divBdr>
                    <w:top w:val="none" w:sz="0" w:space="0" w:color="auto"/>
                    <w:left w:val="none" w:sz="0" w:space="0" w:color="auto"/>
                    <w:bottom w:val="none" w:sz="0" w:space="0" w:color="auto"/>
                    <w:right w:val="none" w:sz="0" w:space="0" w:color="auto"/>
                  </w:divBdr>
                  <w:divsChild>
                    <w:div w:id="924412603">
                      <w:marLeft w:val="0"/>
                      <w:marRight w:val="0"/>
                      <w:marTop w:val="0"/>
                      <w:marBottom w:val="0"/>
                      <w:divBdr>
                        <w:top w:val="none" w:sz="0" w:space="0" w:color="auto"/>
                        <w:left w:val="none" w:sz="0" w:space="0" w:color="auto"/>
                        <w:bottom w:val="none" w:sz="0" w:space="0" w:color="auto"/>
                        <w:right w:val="none" w:sz="0" w:space="0" w:color="auto"/>
                      </w:divBdr>
                    </w:div>
                  </w:divsChild>
                </w:div>
                <w:div w:id="818420464">
                  <w:marLeft w:val="0"/>
                  <w:marRight w:val="0"/>
                  <w:marTop w:val="0"/>
                  <w:marBottom w:val="0"/>
                  <w:divBdr>
                    <w:top w:val="none" w:sz="0" w:space="0" w:color="auto"/>
                    <w:left w:val="none" w:sz="0" w:space="0" w:color="auto"/>
                    <w:bottom w:val="none" w:sz="0" w:space="0" w:color="auto"/>
                    <w:right w:val="none" w:sz="0" w:space="0" w:color="auto"/>
                  </w:divBdr>
                  <w:divsChild>
                    <w:div w:id="1242057064">
                      <w:marLeft w:val="0"/>
                      <w:marRight w:val="0"/>
                      <w:marTop w:val="0"/>
                      <w:marBottom w:val="0"/>
                      <w:divBdr>
                        <w:top w:val="none" w:sz="0" w:space="0" w:color="auto"/>
                        <w:left w:val="none" w:sz="0" w:space="0" w:color="auto"/>
                        <w:bottom w:val="none" w:sz="0" w:space="0" w:color="auto"/>
                        <w:right w:val="none" w:sz="0" w:space="0" w:color="auto"/>
                      </w:divBdr>
                    </w:div>
                  </w:divsChild>
                </w:div>
                <w:div w:id="820930520">
                  <w:marLeft w:val="0"/>
                  <w:marRight w:val="0"/>
                  <w:marTop w:val="0"/>
                  <w:marBottom w:val="0"/>
                  <w:divBdr>
                    <w:top w:val="none" w:sz="0" w:space="0" w:color="auto"/>
                    <w:left w:val="none" w:sz="0" w:space="0" w:color="auto"/>
                    <w:bottom w:val="none" w:sz="0" w:space="0" w:color="auto"/>
                    <w:right w:val="none" w:sz="0" w:space="0" w:color="auto"/>
                  </w:divBdr>
                  <w:divsChild>
                    <w:div w:id="1925912669">
                      <w:marLeft w:val="0"/>
                      <w:marRight w:val="0"/>
                      <w:marTop w:val="0"/>
                      <w:marBottom w:val="0"/>
                      <w:divBdr>
                        <w:top w:val="none" w:sz="0" w:space="0" w:color="auto"/>
                        <w:left w:val="none" w:sz="0" w:space="0" w:color="auto"/>
                        <w:bottom w:val="none" w:sz="0" w:space="0" w:color="auto"/>
                        <w:right w:val="none" w:sz="0" w:space="0" w:color="auto"/>
                      </w:divBdr>
                    </w:div>
                  </w:divsChild>
                </w:div>
                <w:div w:id="844176612">
                  <w:marLeft w:val="0"/>
                  <w:marRight w:val="0"/>
                  <w:marTop w:val="0"/>
                  <w:marBottom w:val="0"/>
                  <w:divBdr>
                    <w:top w:val="none" w:sz="0" w:space="0" w:color="auto"/>
                    <w:left w:val="none" w:sz="0" w:space="0" w:color="auto"/>
                    <w:bottom w:val="none" w:sz="0" w:space="0" w:color="auto"/>
                    <w:right w:val="none" w:sz="0" w:space="0" w:color="auto"/>
                  </w:divBdr>
                  <w:divsChild>
                    <w:div w:id="790905992">
                      <w:marLeft w:val="0"/>
                      <w:marRight w:val="0"/>
                      <w:marTop w:val="0"/>
                      <w:marBottom w:val="0"/>
                      <w:divBdr>
                        <w:top w:val="none" w:sz="0" w:space="0" w:color="auto"/>
                        <w:left w:val="none" w:sz="0" w:space="0" w:color="auto"/>
                        <w:bottom w:val="none" w:sz="0" w:space="0" w:color="auto"/>
                        <w:right w:val="none" w:sz="0" w:space="0" w:color="auto"/>
                      </w:divBdr>
                    </w:div>
                  </w:divsChild>
                </w:div>
                <w:div w:id="846364124">
                  <w:marLeft w:val="0"/>
                  <w:marRight w:val="0"/>
                  <w:marTop w:val="0"/>
                  <w:marBottom w:val="0"/>
                  <w:divBdr>
                    <w:top w:val="none" w:sz="0" w:space="0" w:color="auto"/>
                    <w:left w:val="none" w:sz="0" w:space="0" w:color="auto"/>
                    <w:bottom w:val="none" w:sz="0" w:space="0" w:color="auto"/>
                    <w:right w:val="none" w:sz="0" w:space="0" w:color="auto"/>
                  </w:divBdr>
                  <w:divsChild>
                    <w:div w:id="736704077">
                      <w:marLeft w:val="0"/>
                      <w:marRight w:val="0"/>
                      <w:marTop w:val="0"/>
                      <w:marBottom w:val="0"/>
                      <w:divBdr>
                        <w:top w:val="none" w:sz="0" w:space="0" w:color="auto"/>
                        <w:left w:val="none" w:sz="0" w:space="0" w:color="auto"/>
                        <w:bottom w:val="none" w:sz="0" w:space="0" w:color="auto"/>
                        <w:right w:val="none" w:sz="0" w:space="0" w:color="auto"/>
                      </w:divBdr>
                    </w:div>
                  </w:divsChild>
                </w:div>
                <w:div w:id="869564242">
                  <w:marLeft w:val="0"/>
                  <w:marRight w:val="0"/>
                  <w:marTop w:val="0"/>
                  <w:marBottom w:val="0"/>
                  <w:divBdr>
                    <w:top w:val="none" w:sz="0" w:space="0" w:color="auto"/>
                    <w:left w:val="none" w:sz="0" w:space="0" w:color="auto"/>
                    <w:bottom w:val="none" w:sz="0" w:space="0" w:color="auto"/>
                    <w:right w:val="none" w:sz="0" w:space="0" w:color="auto"/>
                  </w:divBdr>
                  <w:divsChild>
                    <w:div w:id="1663893699">
                      <w:marLeft w:val="0"/>
                      <w:marRight w:val="0"/>
                      <w:marTop w:val="0"/>
                      <w:marBottom w:val="0"/>
                      <w:divBdr>
                        <w:top w:val="none" w:sz="0" w:space="0" w:color="auto"/>
                        <w:left w:val="none" w:sz="0" w:space="0" w:color="auto"/>
                        <w:bottom w:val="none" w:sz="0" w:space="0" w:color="auto"/>
                        <w:right w:val="none" w:sz="0" w:space="0" w:color="auto"/>
                      </w:divBdr>
                    </w:div>
                  </w:divsChild>
                </w:div>
                <w:div w:id="959996151">
                  <w:marLeft w:val="0"/>
                  <w:marRight w:val="0"/>
                  <w:marTop w:val="0"/>
                  <w:marBottom w:val="0"/>
                  <w:divBdr>
                    <w:top w:val="none" w:sz="0" w:space="0" w:color="auto"/>
                    <w:left w:val="none" w:sz="0" w:space="0" w:color="auto"/>
                    <w:bottom w:val="none" w:sz="0" w:space="0" w:color="auto"/>
                    <w:right w:val="none" w:sz="0" w:space="0" w:color="auto"/>
                  </w:divBdr>
                  <w:divsChild>
                    <w:div w:id="1113788545">
                      <w:marLeft w:val="0"/>
                      <w:marRight w:val="0"/>
                      <w:marTop w:val="0"/>
                      <w:marBottom w:val="0"/>
                      <w:divBdr>
                        <w:top w:val="none" w:sz="0" w:space="0" w:color="auto"/>
                        <w:left w:val="none" w:sz="0" w:space="0" w:color="auto"/>
                        <w:bottom w:val="none" w:sz="0" w:space="0" w:color="auto"/>
                        <w:right w:val="none" w:sz="0" w:space="0" w:color="auto"/>
                      </w:divBdr>
                    </w:div>
                  </w:divsChild>
                </w:div>
                <w:div w:id="960959894">
                  <w:marLeft w:val="0"/>
                  <w:marRight w:val="0"/>
                  <w:marTop w:val="0"/>
                  <w:marBottom w:val="0"/>
                  <w:divBdr>
                    <w:top w:val="none" w:sz="0" w:space="0" w:color="auto"/>
                    <w:left w:val="none" w:sz="0" w:space="0" w:color="auto"/>
                    <w:bottom w:val="none" w:sz="0" w:space="0" w:color="auto"/>
                    <w:right w:val="none" w:sz="0" w:space="0" w:color="auto"/>
                  </w:divBdr>
                  <w:divsChild>
                    <w:div w:id="1016231792">
                      <w:marLeft w:val="0"/>
                      <w:marRight w:val="0"/>
                      <w:marTop w:val="0"/>
                      <w:marBottom w:val="0"/>
                      <w:divBdr>
                        <w:top w:val="none" w:sz="0" w:space="0" w:color="auto"/>
                        <w:left w:val="none" w:sz="0" w:space="0" w:color="auto"/>
                        <w:bottom w:val="none" w:sz="0" w:space="0" w:color="auto"/>
                        <w:right w:val="none" w:sz="0" w:space="0" w:color="auto"/>
                      </w:divBdr>
                    </w:div>
                  </w:divsChild>
                </w:div>
                <w:div w:id="994070954">
                  <w:marLeft w:val="0"/>
                  <w:marRight w:val="0"/>
                  <w:marTop w:val="0"/>
                  <w:marBottom w:val="0"/>
                  <w:divBdr>
                    <w:top w:val="none" w:sz="0" w:space="0" w:color="auto"/>
                    <w:left w:val="none" w:sz="0" w:space="0" w:color="auto"/>
                    <w:bottom w:val="none" w:sz="0" w:space="0" w:color="auto"/>
                    <w:right w:val="none" w:sz="0" w:space="0" w:color="auto"/>
                  </w:divBdr>
                  <w:divsChild>
                    <w:div w:id="1892692333">
                      <w:marLeft w:val="0"/>
                      <w:marRight w:val="0"/>
                      <w:marTop w:val="0"/>
                      <w:marBottom w:val="0"/>
                      <w:divBdr>
                        <w:top w:val="none" w:sz="0" w:space="0" w:color="auto"/>
                        <w:left w:val="none" w:sz="0" w:space="0" w:color="auto"/>
                        <w:bottom w:val="none" w:sz="0" w:space="0" w:color="auto"/>
                        <w:right w:val="none" w:sz="0" w:space="0" w:color="auto"/>
                      </w:divBdr>
                    </w:div>
                  </w:divsChild>
                </w:div>
                <w:div w:id="998775677">
                  <w:marLeft w:val="0"/>
                  <w:marRight w:val="0"/>
                  <w:marTop w:val="0"/>
                  <w:marBottom w:val="0"/>
                  <w:divBdr>
                    <w:top w:val="none" w:sz="0" w:space="0" w:color="auto"/>
                    <w:left w:val="none" w:sz="0" w:space="0" w:color="auto"/>
                    <w:bottom w:val="none" w:sz="0" w:space="0" w:color="auto"/>
                    <w:right w:val="none" w:sz="0" w:space="0" w:color="auto"/>
                  </w:divBdr>
                  <w:divsChild>
                    <w:div w:id="1293054909">
                      <w:marLeft w:val="0"/>
                      <w:marRight w:val="0"/>
                      <w:marTop w:val="0"/>
                      <w:marBottom w:val="0"/>
                      <w:divBdr>
                        <w:top w:val="none" w:sz="0" w:space="0" w:color="auto"/>
                        <w:left w:val="none" w:sz="0" w:space="0" w:color="auto"/>
                        <w:bottom w:val="none" w:sz="0" w:space="0" w:color="auto"/>
                        <w:right w:val="none" w:sz="0" w:space="0" w:color="auto"/>
                      </w:divBdr>
                    </w:div>
                  </w:divsChild>
                </w:div>
                <w:div w:id="1021662932">
                  <w:marLeft w:val="0"/>
                  <w:marRight w:val="0"/>
                  <w:marTop w:val="0"/>
                  <w:marBottom w:val="0"/>
                  <w:divBdr>
                    <w:top w:val="none" w:sz="0" w:space="0" w:color="auto"/>
                    <w:left w:val="none" w:sz="0" w:space="0" w:color="auto"/>
                    <w:bottom w:val="none" w:sz="0" w:space="0" w:color="auto"/>
                    <w:right w:val="none" w:sz="0" w:space="0" w:color="auto"/>
                  </w:divBdr>
                  <w:divsChild>
                    <w:div w:id="1634289217">
                      <w:marLeft w:val="0"/>
                      <w:marRight w:val="0"/>
                      <w:marTop w:val="0"/>
                      <w:marBottom w:val="0"/>
                      <w:divBdr>
                        <w:top w:val="none" w:sz="0" w:space="0" w:color="auto"/>
                        <w:left w:val="none" w:sz="0" w:space="0" w:color="auto"/>
                        <w:bottom w:val="none" w:sz="0" w:space="0" w:color="auto"/>
                        <w:right w:val="none" w:sz="0" w:space="0" w:color="auto"/>
                      </w:divBdr>
                    </w:div>
                  </w:divsChild>
                </w:div>
                <w:div w:id="1039235369">
                  <w:marLeft w:val="0"/>
                  <w:marRight w:val="0"/>
                  <w:marTop w:val="0"/>
                  <w:marBottom w:val="0"/>
                  <w:divBdr>
                    <w:top w:val="none" w:sz="0" w:space="0" w:color="auto"/>
                    <w:left w:val="none" w:sz="0" w:space="0" w:color="auto"/>
                    <w:bottom w:val="none" w:sz="0" w:space="0" w:color="auto"/>
                    <w:right w:val="none" w:sz="0" w:space="0" w:color="auto"/>
                  </w:divBdr>
                  <w:divsChild>
                    <w:div w:id="1131632631">
                      <w:marLeft w:val="0"/>
                      <w:marRight w:val="0"/>
                      <w:marTop w:val="0"/>
                      <w:marBottom w:val="0"/>
                      <w:divBdr>
                        <w:top w:val="none" w:sz="0" w:space="0" w:color="auto"/>
                        <w:left w:val="none" w:sz="0" w:space="0" w:color="auto"/>
                        <w:bottom w:val="none" w:sz="0" w:space="0" w:color="auto"/>
                        <w:right w:val="none" w:sz="0" w:space="0" w:color="auto"/>
                      </w:divBdr>
                    </w:div>
                  </w:divsChild>
                </w:div>
                <w:div w:id="1057163871">
                  <w:marLeft w:val="0"/>
                  <w:marRight w:val="0"/>
                  <w:marTop w:val="0"/>
                  <w:marBottom w:val="0"/>
                  <w:divBdr>
                    <w:top w:val="none" w:sz="0" w:space="0" w:color="auto"/>
                    <w:left w:val="none" w:sz="0" w:space="0" w:color="auto"/>
                    <w:bottom w:val="none" w:sz="0" w:space="0" w:color="auto"/>
                    <w:right w:val="none" w:sz="0" w:space="0" w:color="auto"/>
                  </w:divBdr>
                  <w:divsChild>
                    <w:div w:id="35936083">
                      <w:marLeft w:val="0"/>
                      <w:marRight w:val="0"/>
                      <w:marTop w:val="0"/>
                      <w:marBottom w:val="0"/>
                      <w:divBdr>
                        <w:top w:val="none" w:sz="0" w:space="0" w:color="auto"/>
                        <w:left w:val="none" w:sz="0" w:space="0" w:color="auto"/>
                        <w:bottom w:val="none" w:sz="0" w:space="0" w:color="auto"/>
                        <w:right w:val="none" w:sz="0" w:space="0" w:color="auto"/>
                      </w:divBdr>
                    </w:div>
                  </w:divsChild>
                </w:div>
                <w:div w:id="1150173404">
                  <w:marLeft w:val="0"/>
                  <w:marRight w:val="0"/>
                  <w:marTop w:val="0"/>
                  <w:marBottom w:val="0"/>
                  <w:divBdr>
                    <w:top w:val="none" w:sz="0" w:space="0" w:color="auto"/>
                    <w:left w:val="none" w:sz="0" w:space="0" w:color="auto"/>
                    <w:bottom w:val="none" w:sz="0" w:space="0" w:color="auto"/>
                    <w:right w:val="none" w:sz="0" w:space="0" w:color="auto"/>
                  </w:divBdr>
                  <w:divsChild>
                    <w:div w:id="444539081">
                      <w:marLeft w:val="0"/>
                      <w:marRight w:val="0"/>
                      <w:marTop w:val="0"/>
                      <w:marBottom w:val="0"/>
                      <w:divBdr>
                        <w:top w:val="none" w:sz="0" w:space="0" w:color="auto"/>
                        <w:left w:val="none" w:sz="0" w:space="0" w:color="auto"/>
                        <w:bottom w:val="none" w:sz="0" w:space="0" w:color="auto"/>
                        <w:right w:val="none" w:sz="0" w:space="0" w:color="auto"/>
                      </w:divBdr>
                    </w:div>
                  </w:divsChild>
                </w:div>
                <w:div w:id="1182746599">
                  <w:marLeft w:val="0"/>
                  <w:marRight w:val="0"/>
                  <w:marTop w:val="0"/>
                  <w:marBottom w:val="0"/>
                  <w:divBdr>
                    <w:top w:val="none" w:sz="0" w:space="0" w:color="auto"/>
                    <w:left w:val="none" w:sz="0" w:space="0" w:color="auto"/>
                    <w:bottom w:val="none" w:sz="0" w:space="0" w:color="auto"/>
                    <w:right w:val="none" w:sz="0" w:space="0" w:color="auto"/>
                  </w:divBdr>
                  <w:divsChild>
                    <w:div w:id="478501980">
                      <w:marLeft w:val="0"/>
                      <w:marRight w:val="0"/>
                      <w:marTop w:val="0"/>
                      <w:marBottom w:val="0"/>
                      <w:divBdr>
                        <w:top w:val="none" w:sz="0" w:space="0" w:color="auto"/>
                        <w:left w:val="none" w:sz="0" w:space="0" w:color="auto"/>
                        <w:bottom w:val="none" w:sz="0" w:space="0" w:color="auto"/>
                        <w:right w:val="none" w:sz="0" w:space="0" w:color="auto"/>
                      </w:divBdr>
                    </w:div>
                  </w:divsChild>
                </w:div>
                <w:div w:id="1206060798">
                  <w:marLeft w:val="0"/>
                  <w:marRight w:val="0"/>
                  <w:marTop w:val="0"/>
                  <w:marBottom w:val="0"/>
                  <w:divBdr>
                    <w:top w:val="none" w:sz="0" w:space="0" w:color="auto"/>
                    <w:left w:val="none" w:sz="0" w:space="0" w:color="auto"/>
                    <w:bottom w:val="none" w:sz="0" w:space="0" w:color="auto"/>
                    <w:right w:val="none" w:sz="0" w:space="0" w:color="auto"/>
                  </w:divBdr>
                  <w:divsChild>
                    <w:div w:id="983394914">
                      <w:marLeft w:val="0"/>
                      <w:marRight w:val="0"/>
                      <w:marTop w:val="0"/>
                      <w:marBottom w:val="0"/>
                      <w:divBdr>
                        <w:top w:val="none" w:sz="0" w:space="0" w:color="auto"/>
                        <w:left w:val="none" w:sz="0" w:space="0" w:color="auto"/>
                        <w:bottom w:val="none" w:sz="0" w:space="0" w:color="auto"/>
                        <w:right w:val="none" w:sz="0" w:space="0" w:color="auto"/>
                      </w:divBdr>
                    </w:div>
                  </w:divsChild>
                </w:div>
                <w:div w:id="1232081100">
                  <w:marLeft w:val="0"/>
                  <w:marRight w:val="0"/>
                  <w:marTop w:val="0"/>
                  <w:marBottom w:val="0"/>
                  <w:divBdr>
                    <w:top w:val="none" w:sz="0" w:space="0" w:color="auto"/>
                    <w:left w:val="none" w:sz="0" w:space="0" w:color="auto"/>
                    <w:bottom w:val="none" w:sz="0" w:space="0" w:color="auto"/>
                    <w:right w:val="none" w:sz="0" w:space="0" w:color="auto"/>
                  </w:divBdr>
                  <w:divsChild>
                    <w:div w:id="1636258353">
                      <w:marLeft w:val="0"/>
                      <w:marRight w:val="0"/>
                      <w:marTop w:val="0"/>
                      <w:marBottom w:val="0"/>
                      <w:divBdr>
                        <w:top w:val="none" w:sz="0" w:space="0" w:color="auto"/>
                        <w:left w:val="none" w:sz="0" w:space="0" w:color="auto"/>
                        <w:bottom w:val="none" w:sz="0" w:space="0" w:color="auto"/>
                        <w:right w:val="none" w:sz="0" w:space="0" w:color="auto"/>
                      </w:divBdr>
                    </w:div>
                  </w:divsChild>
                </w:div>
                <w:div w:id="1248881813">
                  <w:marLeft w:val="0"/>
                  <w:marRight w:val="0"/>
                  <w:marTop w:val="0"/>
                  <w:marBottom w:val="0"/>
                  <w:divBdr>
                    <w:top w:val="none" w:sz="0" w:space="0" w:color="auto"/>
                    <w:left w:val="none" w:sz="0" w:space="0" w:color="auto"/>
                    <w:bottom w:val="none" w:sz="0" w:space="0" w:color="auto"/>
                    <w:right w:val="none" w:sz="0" w:space="0" w:color="auto"/>
                  </w:divBdr>
                  <w:divsChild>
                    <w:div w:id="853305246">
                      <w:marLeft w:val="0"/>
                      <w:marRight w:val="0"/>
                      <w:marTop w:val="0"/>
                      <w:marBottom w:val="0"/>
                      <w:divBdr>
                        <w:top w:val="none" w:sz="0" w:space="0" w:color="auto"/>
                        <w:left w:val="none" w:sz="0" w:space="0" w:color="auto"/>
                        <w:bottom w:val="none" w:sz="0" w:space="0" w:color="auto"/>
                        <w:right w:val="none" w:sz="0" w:space="0" w:color="auto"/>
                      </w:divBdr>
                    </w:div>
                  </w:divsChild>
                </w:div>
                <w:div w:id="1256211738">
                  <w:marLeft w:val="0"/>
                  <w:marRight w:val="0"/>
                  <w:marTop w:val="0"/>
                  <w:marBottom w:val="0"/>
                  <w:divBdr>
                    <w:top w:val="none" w:sz="0" w:space="0" w:color="auto"/>
                    <w:left w:val="none" w:sz="0" w:space="0" w:color="auto"/>
                    <w:bottom w:val="none" w:sz="0" w:space="0" w:color="auto"/>
                    <w:right w:val="none" w:sz="0" w:space="0" w:color="auto"/>
                  </w:divBdr>
                  <w:divsChild>
                    <w:div w:id="300110455">
                      <w:marLeft w:val="0"/>
                      <w:marRight w:val="0"/>
                      <w:marTop w:val="0"/>
                      <w:marBottom w:val="0"/>
                      <w:divBdr>
                        <w:top w:val="none" w:sz="0" w:space="0" w:color="auto"/>
                        <w:left w:val="none" w:sz="0" w:space="0" w:color="auto"/>
                        <w:bottom w:val="none" w:sz="0" w:space="0" w:color="auto"/>
                        <w:right w:val="none" w:sz="0" w:space="0" w:color="auto"/>
                      </w:divBdr>
                    </w:div>
                  </w:divsChild>
                </w:div>
                <w:div w:id="1256982729">
                  <w:marLeft w:val="0"/>
                  <w:marRight w:val="0"/>
                  <w:marTop w:val="0"/>
                  <w:marBottom w:val="0"/>
                  <w:divBdr>
                    <w:top w:val="none" w:sz="0" w:space="0" w:color="auto"/>
                    <w:left w:val="none" w:sz="0" w:space="0" w:color="auto"/>
                    <w:bottom w:val="none" w:sz="0" w:space="0" w:color="auto"/>
                    <w:right w:val="none" w:sz="0" w:space="0" w:color="auto"/>
                  </w:divBdr>
                  <w:divsChild>
                    <w:div w:id="424346526">
                      <w:marLeft w:val="0"/>
                      <w:marRight w:val="0"/>
                      <w:marTop w:val="0"/>
                      <w:marBottom w:val="0"/>
                      <w:divBdr>
                        <w:top w:val="none" w:sz="0" w:space="0" w:color="auto"/>
                        <w:left w:val="none" w:sz="0" w:space="0" w:color="auto"/>
                        <w:bottom w:val="none" w:sz="0" w:space="0" w:color="auto"/>
                        <w:right w:val="none" w:sz="0" w:space="0" w:color="auto"/>
                      </w:divBdr>
                    </w:div>
                  </w:divsChild>
                </w:div>
                <w:div w:id="1258708380">
                  <w:marLeft w:val="0"/>
                  <w:marRight w:val="0"/>
                  <w:marTop w:val="0"/>
                  <w:marBottom w:val="0"/>
                  <w:divBdr>
                    <w:top w:val="none" w:sz="0" w:space="0" w:color="auto"/>
                    <w:left w:val="none" w:sz="0" w:space="0" w:color="auto"/>
                    <w:bottom w:val="none" w:sz="0" w:space="0" w:color="auto"/>
                    <w:right w:val="none" w:sz="0" w:space="0" w:color="auto"/>
                  </w:divBdr>
                  <w:divsChild>
                    <w:div w:id="458695084">
                      <w:marLeft w:val="0"/>
                      <w:marRight w:val="0"/>
                      <w:marTop w:val="0"/>
                      <w:marBottom w:val="0"/>
                      <w:divBdr>
                        <w:top w:val="none" w:sz="0" w:space="0" w:color="auto"/>
                        <w:left w:val="none" w:sz="0" w:space="0" w:color="auto"/>
                        <w:bottom w:val="none" w:sz="0" w:space="0" w:color="auto"/>
                        <w:right w:val="none" w:sz="0" w:space="0" w:color="auto"/>
                      </w:divBdr>
                    </w:div>
                  </w:divsChild>
                </w:div>
                <w:div w:id="1264803592">
                  <w:marLeft w:val="0"/>
                  <w:marRight w:val="0"/>
                  <w:marTop w:val="0"/>
                  <w:marBottom w:val="0"/>
                  <w:divBdr>
                    <w:top w:val="none" w:sz="0" w:space="0" w:color="auto"/>
                    <w:left w:val="none" w:sz="0" w:space="0" w:color="auto"/>
                    <w:bottom w:val="none" w:sz="0" w:space="0" w:color="auto"/>
                    <w:right w:val="none" w:sz="0" w:space="0" w:color="auto"/>
                  </w:divBdr>
                  <w:divsChild>
                    <w:div w:id="99642511">
                      <w:marLeft w:val="0"/>
                      <w:marRight w:val="0"/>
                      <w:marTop w:val="0"/>
                      <w:marBottom w:val="0"/>
                      <w:divBdr>
                        <w:top w:val="none" w:sz="0" w:space="0" w:color="auto"/>
                        <w:left w:val="none" w:sz="0" w:space="0" w:color="auto"/>
                        <w:bottom w:val="none" w:sz="0" w:space="0" w:color="auto"/>
                        <w:right w:val="none" w:sz="0" w:space="0" w:color="auto"/>
                      </w:divBdr>
                    </w:div>
                  </w:divsChild>
                </w:div>
                <w:div w:id="1271932244">
                  <w:marLeft w:val="0"/>
                  <w:marRight w:val="0"/>
                  <w:marTop w:val="0"/>
                  <w:marBottom w:val="0"/>
                  <w:divBdr>
                    <w:top w:val="none" w:sz="0" w:space="0" w:color="auto"/>
                    <w:left w:val="none" w:sz="0" w:space="0" w:color="auto"/>
                    <w:bottom w:val="none" w:sz="0" w:space="0" w:color="auto"/>
                    <w:right w:val="none" w:sz="0" w:space="0" w:color="auto"/>
                  </w:divBdr>
                  <w:divsChild>
                    <w:div w:id="1476332507">
                      <w:marLeft w:val="0"/>
                      <w:marRight w:val="0"/>
                      <w:marTop w:val="0"/>
                      <w:marBottom w:val="0"/>
                      <w:divBdr>
                        <w:top w:val="none" w:sz="0" w:space="0" w:color="auto"/>
                        <w:left w:val="none" w:sz="0" w:space="0" w:color="auto"/>
                        <w:bottom w:val="none" w:sz="0" w:space="0" w:color="auto"/>
                        <w:right w:val="none" w:sz="0" w:space="0" w:color="auto"/>
                      </w:divBdr>
                    </w:div>
                  </w:divsChild>
                </w:div>
                <w:div w:id="1275795494">
                  <w:marLeft w:val="0"/>
                  <w:marRight w:val="0"/>
                  <w:marTop w:val="0"/>
                  <w:marBottom w:val="0"/>
                  <w:divBdr>
                    <w:top w:val="none" w:sz="0" w:space="0" w:color="auto"/>
                    <w:left w:val="none" w:sz="0" w:space="0" w:color="auto"/>
                    <w:bottom w:val="none" w:sz="0" w:space="0" w:color="auto"/>
                    <w:right w:val="none" w:sz="0" w:space="0" w:color="auto"/>
                  </w:divBdr>
                  <w:divsChild>
                    <w:div w:id="839125435">
                      <w:marLeft w:val="0"/>
                      <w:marRight w:val="0"/>
                      <w:marTop w:val="0"/>
                      <w:marBottom w:val="0"/>
                      <w:divBdr>
                        <w:top w:val="none" w:sz="0" w:space="0" w:color="auto"/>
                        <w:left w:val="none" w:sz="0" w:space="0" w:color="auto"/>
                        <w:bottom w:val="none" w:sz="0" w:space="0" w:color="auto"/>
                        <w:right w:val="none" w:sz="0" w:space="0" w:color="auto"/>
                      </w:divBdr>
                    </w:div>
                  </w:divsChild>
                </w:div>
                <w:div w:id="1276131922">
                  <w:marLeft w:val="0"/>
                  <w:marRight w:val="0"/>
                  <w:marTop w:val="0"/>
                  <w:marBottom w:val="0"/>
                  <w:divBdr>
                    <w:top w:val="none" w:sz="0" w:space="0" w:color="auto"/>
                    <w:left w:val="none" w:sz="0" w:space="0" w:color="auto"/>
                    <w:bottom w:val="none" w:sz="0" w:space="0" w:color="auto"/>
                    <w:right w:val="none" w:sz="0" w:space="0" w:color="auto"/>
                  </w:divBdr>
                  <w:divsChild>
                    <w:div w:id="87779384">
                      <w:marLeft w:val="0"/>
                      <w:marRight w:val="0"/>
                      <w:marTop w:val="0"/>
                      <w:marBottom w:val="0"/>
                      <w:divBdr>
                        <w:top w:val="none" w:sz="0" w:space="0" w:color="auto"/>
                        <w:left w:val="none" w:sz="0" w:space="0" w:color="auto"/>
                        <w:bottom w:val="none" w:sz="0" w:space="0" w:color="auto"/>
                        <w:right w:val="none" w:sz="0" w:space="0" w:color="auto"/>
                      </w:divBdr>
                    </w:div>
                  </w:divsChild>
                </w:div>
                <w:div w:id="1304120309">
                  <w:marLeft w:val="0"/>
                  <w:marRight w:val="0"/>
                  <w:marTop w:val="0"/>
                  <w:marBottom w:val="0"/>
                  <w:divBdr>
                    <w:top w:val="none" w:sz="0" w:space="0" w:color="auto"/>
                    <w:left w:val="none" w:sz="0" w:space="0" w:color="auto"/>
                    <w:bottom w:val="none" w:sz="0" w:space="0" w:color="auto"/>
                    <w:right w:val="none" w:sz="0" w:space="0" w:color="auto"/>
                  </w:divBdr>
                  <w:divsChild>
                    <w:div w:id="371001860">
                      <w:marLeft w:val="0"/>
                      <w:marRight w:val="0"/>
                      <w:marTop w:val="0"/>
                      <w:marBottom w:val="0"/>
                      <w:divBdr>
                        <w:top w:val="none" w:sz="0" w:space="0" w:color="auto"/>
                        <w:left w:val="none" w:sz="0" w:space="0" w:color="auto"/>
                        <w:bottom w:val="none" w:sz="0" w:space="0" w:color="auto"/>
                        <w:right w:val="none" w:sz="0" w:space="0" w:color="auto"/>
                      </w:divBdr>
                    </w:div>
                  </w:divsChild>
                </w:div>
                <w:div w:id="1310130694">
                  <w:marLeft w:val="0"/>
                  <w:marRight w:val="0"/>
                  <w:marTop w:val="0"/>
                  <w:marBottom w:val="0"/>
                  <w:divBdr>
                    <w:top w:val="none" w:sz="0" w:space="0" w:color="auto"/>
                    <w:left w:val="none" w:sz="0" w:space="0" w:color="auto"/>
                    <w:bottom w:val="none" w:sz="0" w:space="0" w:color="auto"/>
                    <w:right w:val="none" w:sz="0" w:space="0" w:color="auto"/>
                  </w:divBdr>
                  <w:divsChild>
                    <w:div w:id="1811827049">
                      <w:marLeft w:val="0"/>
                      <w:marRight w:val="0"/>
                      <w:marTop w:val="0"/>
                      <w:marBottom w:val="0"/>
                      <w:divBdr>
                        <w:top w:val="none" w:sz="0" w:space="0" w:color="auto"/>
                        <w:left w:val="none" w:sz="0" w:space="0" w:color="auto"/>
                        <w:bottom w:val="none" w:sz="0" w:space="0" w:color="auto"/>
                        <w:right w:val="none" w:sz="0" w:space="0" w:color="auto"/>
                      </w:divBdr>
                    </w:div>
                  </w:divsChild>
                </w:div>
                <w:div w:id="1332754822">
                  <w:marLeft w:val="0"/>
                  <w:marRight w:val="0"/>
                  <w:marTop w:val="0"/>
                  <w:marBottom w:val="0"/>
                  <w:divBdr>
                    <w:top w:val="none" w:sz="0" w:space="0" w:color="auto"/>
                    <w:left w:val="none" w:sz="0" w:space="0" w:color="auto"/>
                    <w:bottom w:val="none" w:sz="0" w:space="0" w:color="auto"/>
                    <w:right w:val="none" w:sz="0" w:space="0" w:color="auto"/>
                  </w:divBdr>
                  <w:divsChild>
                    <w:div w:id="727647474">
                      <w:marLeft w:val="0"/>
                      <w:marRight w:val="0"/>
                      <w:marTop w:val="0"/>
                      <w:marBottom w:val="0"/>
                      <w:divBdr>
                        <w:top w:val="none" w:sz="0" w:space="0" w:color="auto"/>
                        <w:left w:val="none" w:sz="0" w:space="0" w:color="auto"/>
                        <w:bottom w:val="none" w:sz="0" w:space="0" w:color="auto"/>
                        <w:right w:val="none" w:sz="0" w:space="0" w:color="auto"/>
                      </w:divBdr>
                    </w:div>
                  </w:divsChild>
                </w:div>
                <w:div w:id="1336883655">
                  <w:marLeft w:val="0"/>
                  <w:marRight w:val="0"/>
                  <w:marTop w:val="0"/>
                  <w:marBottom w:val="0"/>
                  <w:divBdr>
                    <w:top w:val="none" w:sz="0" w:space="0" w:color="auto"/>
                    <w:left w:val="none" w:sz="0" w:space="0" w:color="auto"/>
                    <w:bottom w:val="none" w:sz="0" w:space="0" w:color="auto"/>
                    <w:right w:val="none" w:sz="0" w:space="0" w:color="auto"/>
                  </w:divBdr>
                  <w:divsChild>
                    <w:div w:id="118620302">
                      <w:marLeft w:val="0"/>
                      <w:marRight w:val="0"/>
                      <w:marTop w:val="0"/>
                      <w:marBottom w:val="0"/>
                      <w:divBdr>
                        <w:top w:val="none" w:sz="0" w:space="0" w:color="auto"/>
                        <w:left w:val="none" w:sz="0" w:space="0" w:color="auto"/>
                        <w:bottom w:val="none" w:sz="0" w:space="0" w:color="auto"/>
                        <w:right w:val="none" w:sz="0" w:space="0" w:color="auto"/>
                      </w:divBdr>
                    </w:div>
                  </w:divsChild>
                </w:div>
                <w:div w:id="1362899351">
                  <w:marLeft w:val="0"/>
                  <w:marRight w:val="0"/>
                  <w:marTop w:val="0"/>
                  <w:marBottom w:val="0"/>
                  <w:divBdr>
                    <w:top w:val="none" w:sz="0" w:space="0" w:color="auto"/>
                    <w:left w:val="none" w:sz="0" w:space="0" w:color="auto"/>
                    <w:bottom w:val="none" w:sz="0" w:space="0" w:color="auto"/>
                    <w:right w:val="none" w:sz="0" w:space="0" w:color="auto"/>
                  </w:divBdr>
                  <w:divsChild>
                    <w:div w:id="835923012">
                      <w:marLeft w:val="0"/>
                      <w:marRight w:val="0"/>
                      <w:marTop w:val="0"/>
                      <w:marBottom w:val="0"/>
                      <w:divBdr>
                        <w:top w:val="none" w:sz="0" w:space="0" w:color="auto"/>
                        <w:left w:val="none" w:sz="0" w:space="0" w:color="auto"/>
                        <w:bottom w:val="none" w:sz="0" w:space="0" w:color="auto"/>
                        <w:right w:val="none" w:sz="0" w:space="0" w:color="auto"/>
                      </w:divBdr>
                    </w:div>
                  </w:divsChild>
                </w:div>
                <w:div w:id="1405034103">
                  <w:marLeft w:val="0"/>
                  <w:marRight w:val="0"/>
                  <w:marTop w:val="0"/>
                  <w:marBottom w:val="0"/>
                  <w:divBdr>
                    <w:top w:val="none" w:sz="0" w:space="0" w:color="auto"/>
                    <w:left w:val="none" w:sz="0" w:space="0" w:color="auto"/>
                    <w:bottom w:val="none" w:sz="0" w:space="0" w:color="auto"/>
                    <w:right w:val="none" w:sz="0" w:space="0" w:color="auto"/>
                  </w:divBdr>
                  <w:divsChild>
                    <w:div w:id="758212584">
                      <w:marLeft w:val="0"/>
                      <w:marRight w:val="0"/>
                      <w:marTop w:val="0"/>
                      <w:marBottom w:val="0"/>
                      <w:divBdr>
                        <w:top w:val="none" w:sz="0" w:space="0" w:color="auto"/>
                        <w:left w:val="none" w:sz="0" w:space="0" w:color="auto"/>
                        <w:bottom w:val="none" w:sz="0" w:space="0" w:color="auto"/>
                        <w:right w:val="none" w:sz="0" w:space="0" w:color="auto"/>
                      </w:divBdr>
                    </w:div>
                  </w:divsChild>
                </w:div>
                <w:div w:id="1435399849">
                  <w:marLeft w:val="0"/>
                  <w:marRight w:val="0"/>
                  <w:marTop w:val="0"/>
                  <w:marBottom w:val="0"/>
                  <w:divBdr>
                    <w:top w:val="none" w:sz="0" w:space="0" w:color="auto"/>
                    <w:left w:val="none" w:sz="0" w:space="0" w:color="auto"/>
                    <w:bottom w:val="none" w:sz="0" w:space="0" w:color="auto"/>
                    <w:right w:val="none" w:sz="0" w:space="0" w:color="auto"/>
                  </w:divBdr>
                  <w:divsChild>
                    <w:div w:id="272251657">
                      <w:marLeft w:val="0"/>
                      <w:marRight w:val="0"/>
                      <w:marTop w:val="0"/>
                      <w:marBottom w:val="0"/>
                      <w:divBdr>
                        <w:top w:val="none" w:sz="0" w:space="0" w:color="auto"/>
                        <w:left w:val="none" w:sz="0" w:space="0" w:color="auto"/>
                        <w:bottom w:val="none" w:sz="0" w:space="0" w:color="auto"/>
                        <w:right w:val="none" w:sz="0" w:space="0" w:color="auto"/>
                      </w:divBdr>
                    </w:div>
                  </w:divsChild>
                </w:div>
                <w:div w:id="1447235279">
                  <w:marLeft w:val="0"/>
                  <w:marRight w:val="0"/>
                  <w:marTop w:val="0"/>
                  <w:marBottom w:val="0"/>
                  <w:divBdr>
                    <w:top w:val="none" w:sz="0" w:space="0" w:color="auto"/>
                    <w:left w:val="none" w:sz="0" w:space="0" w:color="auto"/>
                    <w:bottom w:val="none" w:sz="0" w:space="0" w:color="auto"/>
                    <w:right w:val="none" w:sz="0" w:space="0" w:color="auto"/>
                  </w:divBdr>
                  <w:divsChild>
                    <w:div w:id="753085749">
                      <w:marLeft w:val="0"/>
                      <w:marRight w:val="0"/>
                      <w:marTop w:val="0"/>
                      <w:marBottom w:val="0"/>
                      <w:divBdr>
                        <w:top w:val="none" w:sz="0" w:space="0" w:color="auto"/>
                        <w:left w:val="none" w:sz="0" w:space="0" w:color="auto"/>
                        <w:bottom w:val="none" w:sz="0" w:space="0" w:color="auto"/>
                        <w:right w:val="none" w:sz="0" w:space="0" w:color="auto"/>
                      </w:divBdr>
                    </w:div>
                  </w:divsChild>
                </w:div>
                <w:div w:id="1452280789">
                  <w:marLeft w:val="0"/>
                  <w:marRight w:val="0"/>
                  <w:marTop w:val="0"/>
                  <w:marBottom w:val="0"/>
                  <w:divBdr>
                    <w:top w:val="none" w:sz="0" w:space="0" w:color="auto"/>
                    <w:left w:val="none" w:sz="0" w:space="0" w:color="auto"/>
                    <w:bottom w:val="none" w:sz="0" w:space="0" w:color="auto"/>
                    <w:right w:val="none" w:sz="0" w:space="0" w:color="auto"/>
                  </w:divBdr>
                  <w:divsChild>
                    <w:div w:id="1169710592">
                      <w:marLeft w:val="0"/>
                      <w:marRight w:val="0"/>
                      <w:marTop w:val="0"/>
                      <w:marBottom w:val="0"/>
                      <w:divBdr>
                        <w:top w:val="none" w:sz="0" w:space="0" w:color="auto"/>
                        <w:left w:val="none" w:sz="0" w:space="0" w:color="auto"/>
                        <w:bottom w:val="none" w:sz="0" w:space="0" w:color="auto"/>
                        <w:right w:val="none" w:sz="0" w:space="0" w:color="auto"/>
                      </w:divBdr>
                    </w:div>
                  </w:divsChild>
                </w:div>
                <w:div w:id="1510292231">
                  <w:marLeft w:val="0"/>
                  <w:marRight w:val="0"/>
                  <w:marTop w:val="0"/>
                  <w:marBottom w:val="0"/>
                  <w:divBdr>
                    <w:top w:val="none" w:sz="0" w:space="0" w:color="auto"/>
                    <w:left w:val="none" w:sz="0" w:space="0" w:color="auto"/>
                    <w:bottom w:val="none" w:sz="0" w:space="0" w:color="auto"/>
                    <w:right w:val="none" w:sz="0" w:space="0" w:color="auto"/>
                  </w:divBdr>
                  <w:divsChild>
                    <w:div w:id="202791718">
                      <w:marLeft w:val="0"/>
                      <w:marRight w:val="0"/>
                      <w:marTop w:val="0"/>
                      <w:marBottom w:val="0"/>
                      <w:divBdr>
                        <w:top w:val="none" w:sz="0" w:space="0" w:color="auto"/>
                        <w:left w:val="none" w:sz="0" w:space="0" w:color="auto"/>
                        <w:bottom w:val="none" w:sz="0" w:space="0" w:color="auto"/>
                        <w:right w:val="none" w:sz="0" w:space="0" w:color="auto"/>
                      </w:divBdr>
                    </w:div>
                  </w:divsChild>
                </w:div>
                <w:div w:id="1521317705">
                  <w:marLeft w:val="0"/>
                  <w:marRight w:val="0"/>
                  <w:marTop w:val="0"/>
                  <w:marBottom w:val="0"/>
                  <w:divBdr>
                    <w:top w:val="none" w:sz="0" w:space="0" w:color="auto"/>
                    <w:left w:val="none" w:sz="0" w:space="0" w:color="auto"/>
                    <w:bottom w:val="none" w:sz="0" w:space="0" w:color="auto"/>
                    <w:right w:val="none" w:sz="0" w:space="0" w:color="auto"/>
                  </w:divBdr>
                  <w:divsChild>
                    <w:div w:id="169563248">
                      <w:marLeft w:val="0"/>
                      <w:marRight w:val="0"/>
                      <w:marTop w:val="0"/>
                      <w:marBottom w:val="0"/>
                      <w:divBdr>
                        <w:top w:val="none" w:sz="0" w:space="0" w:color="auto"/>
                        <w:left w:val="none" w:sz="0" w:space="0" w:color="auto"/>
                        <w:bottom w:val="none" w:sz="0" w:space="0" w:color="auto"/>
                        <w:right w:val="none" w:sz="0" w:space="0" w:color="auto"/>
                      </w:divBdr>
                    </w:div>
                  </w:divsChild>
                </w:div>
                <w:div w:id="1573002880">
                  <w:marLeft w:val="0"/>
                  <w:marRight w:val="0"/>
                  <w:marTop w:val="0"/>
                  <w:marBottom w:val="0"/>
                  <w:divBdr>
                    <w:top w:val="none" w:sz="0" w:space="0" w:color="auto"/>
                    <w:left w:val="none" w:sz="0" w:space="0" w:color="auto"/>
                    <w:bottom w:val="none" w:sz="0" w:space="0" w:color="auto"/>
                    <w:right w:val="none" w:sz="0" w:space="0" w:color="auto"/>
                  </w:divBdr>
                  <w:divsChild>
                    <w:div w:id="1992244754">
                      <w:marLeft w:val="0"/>
                      <w:marRight w:val="0"/>
                      <w:marTop w:val="0"/>
                      <w:marBottom w:val="0"/>
                      <w:divBdr>
                        <w:top w:val="none" w:sz="0" w:space="0" w:color="auto"/>
                        <w:left w:val="none" w:sz="0" w:space="0" w:color="auto"/>
                        <w:bottom w:val="none" w:sz="0" w:space="0" w:color="auto"/>
                        <w:right w:val="none" w:sz="0" w:space="0" w:color="auto"/>
                      </w:divBdr>
                    </w:div>
                  </w:divsChild>
                </w:div>
                <w:div w:id="1582789342">
                  <w:marLeft w:val="0"/>
                  <w:marRight w:val="0"/>
                  <w:marTop w:val="0"/>
                  <w:marBottom w:val="0"/>
                  <w:divBdr>
                    <w:top w:val="none" w:sz="0" w:space="0" w:color="auto"/>
                    <w:left w:val="none" w:sz="0" w:space="0" w:color="auto"/>
                    <w:bottom w:val="none" w:sz="0" w:space="0" w:color="auto"/>
                    <w:right w:val="none" w:sz="0" w:space="0" w:color="auto"/>
                  </w:divBdr>
                  <w:divsChild>
                    <w:div w:id="121270776">
                      <w:marLeft w:val="0"/>
                      <w:marRight w:val="0"/>
                      <w:marTop w:val="0"/>
                      <w:marBottom w:val="0"/>
                      <w:divBdr>
                        <w:top w:val="none" w:sz="0" w:space="0" w:color="auto"/>
                        <w:left w:val="none" w:sz="0" w:space="0" w:color="auto"/>
                        <w:bottom w:val="none" w:sz="0" w:space="0" w:color="auto"/>
                        <w:right w:val="none" w:sz="0" w:space="0" w:color="auto"/>
                      </w:divBdr>
                    </w:div>
                  </w:divsChild>
                </w:div>
                <w:div w:id="1597783089">
                  <w:marLeft w:val="0"/>
                  <w:marRight w:val="0"/>
                  <w:marTop w:val="0"/>
                  <w:marBottom w:val="0"/>
                  <w:divBdr>
                    <w:top w:val="none" w:sz="0" w:space="0" w:color="auto"/>
                    <w:left w:val="none" w:sz="0" w:space="0" w:color="auto"/>
                    <w:bottom w:val="none" w:sz="0" w:space="0" w:color="auto"/>
                    <w:right w:val="none" w:sz="0" w:space="0" w:color="auto"/>
                  </w:divBdr>
                  <w:divsChild>
                    <w:div w:id="794711082">
                      <w:marLeft w:val="0"/>
                      <w:marRight w:val="0"/>
                      <w:marTop w:val="0"/>
                      <w:marBottom w:val="0"/>
                      <w:divBdr>
                        <w:top w:val="none" w:sz="0" w:space="0" w:color="auto"/>
                        <w:left w:val="none" w:sz="0" w:space="0" w:color="auto"/>
                        <w:bottom w:val="none" w:sz="0" w:space="0" w:color="auto"/>
                        <w:right w:val="none" w:sz="0" w:space="0" w:color="auto"/>
                      </w:divBdr>
                    </w:div>
                  </w:divsChild>
                </w:div>
                <w:div w:id="1616012796">
                  <w:marLeft w:val="0"/>
                  <w:marRight w:val="0"/>
                  <w:marTop w:val="0"/>
                  <w:marBottom w:val="0"/>
                  <w:divBdr>
                    <w:top w:val="none" w:sz="0" w:space="0" w:color="auto"/>
                    <w:left w:val="none" w:sz="0" w:space="0" w:color="auto"/>
                    <w:bottom w:val="none" w:sz="0" w:space="0" w:color="auto"/>
                    <w:right w:val="none" w:sz="0" w:space="0" w:color="auto"/>
                  </w:divBdr>
                  <w:divsChild>
                    <w:div w:id="1480612542">
                      <w:marLeft w:val="0"/>
                      <w:marRight w:val="0"/>
                      <w:marTop w:val="0"/>
                      <w:marBottom w:val="0"/>
                      <w:divBdr>
                        <w:top w:val="none" w:sz="0" w:space="0" w:color="auto"/>
                        <w:left w:val="none" w:sz="0" w:space="0" w:color="auto"/>
                        <w:bottom w:val="none" w:sz="0" w:space="0" w:color="auto"/>
                        <w:right w:val="none" w:sz="0" w:space="0" w:color="auto"/>
                      </w:divBdr>
                    </w:div>
                  </w:divsChild>
                </w:div>
                <w:div w:id="1628777367">
                  <w:marLeft w:val="0"/>
                  <w:marRight w:val="0"/>
                  <w:marTop w:val="0"/>
                  <w:marBottom w:val="0"/>
                  <w:divBdr>
                    <w:top w:val="none" w:sz="0" w:space="0" w:color="auto"/>
                    <w:left w:val="none" w:sz="0" w:space="0" w:color="auto"/>
                    <w:bottom w:val="none" w:sz="0" w:space="0" w:color="auto"/>
                    <w:right w:val="none" w:sz="0" w:space="0" w:color="auto"/>
                  </w:divBdr>
                  <w:divsChild>
                    <w:div w:id="2112237200">
                      <w:marLeft w:val="0"/>
                      <w:marRight w:val="0"/>
                      <w:marTop w:val="0"/>
                      <w:marBottom w:val="0"/>
                      <w:divBdr>
                        <w:top w:val="none" w:sz="0" w:space="0" w:color="auto"/>
                        <w:left w:val="none" w:sz="0" w:space="0" w:color="auto"/>
                        <w:bottom w:val="none" w:sz="0" w:space="0" w:color="auto"/>
                        <w:right w:val="none" w:sz="0" w:space="0" w:color="auto"/>
                      </w:divBdr>
                    </w:div>
                  </w:divsChild>
                </w:div>
                <w:div w:id="1638416259">
                  <w:marLeft w:val="0"/>
                  <w:marRight w:val="0"/>
                  <w:marTop w:val="0"/>
                  <w:marBottom w:val="0"/>
                  <w:divBdr>
                    <w:top w:val="none" w:sz="0" w:space="0" w:color="auto"/>
                    <w:left w:val="none" w:sz="0" w:space="0" w:color="auto"/>
                    <w:bottom w:val="none" w:sz="0" w:space="0" w:color="auto"/>
                    <w:right w:val="none" w:sz="0" w:space="0" w:color="auto"/>
                  </w:divBdr>
                  <w:divsChild>
                    <w:div w:id="104229888">
                      <w:marLeft w:val="0"/>
                      <w:marRight w:val="0"/>
                      <w:marTop w:val="0"/>
                      <w:marBottom w:val="0"/>
                      <w:divBdr>
                        <w:top w:val="none" w:sz="0" w:space="0" w:color="auto"/>
                        <w:left w:val="none" w:sz="0" w:space="0" w:color="auto"/>
                        <w:bottom w:val="none" w:sz="0" w:space="0" w:color="auto"/>
                        <w:right w:val="none" w:sz="0" w:space="0" w:color="auto"/>
                      </w:divBdr>
                    </w:div>
                  </w:divsChild>
                </w:div>
                <w:div w:id="1655068636">
                  <w:marLeft w:val="0"/>
                  <w:marRight w:val="0"/>
                  <w:marTop w:val="0"/>
                  <w:marBottom w:val="0"/>
                  <w:divBdr>
                    <w:top w:val="none" w:sz="0" w:space="0" w:color="auto"/>
                    <w:left w:val="none" w:sz="0" w:space="0" w:color="auto"/>
                    <w:bottom w:val="none" w:sz="0" w:space="0" w:color="auto"/>
                    <w:right w:val="none" w:sz="0" w:space="0" w:color="auto"/>
                  </w:divBdr>
                  <w:divsChild>
                    <w:div w:id="2050717437">
                      <w:marLeft w:val="0"/>
                      <w:marRight w:val="0"/>
                      <w:marTop w:val="0"/>
                      <w:marBottom w:val="0"/>
                      <w:divBdr>
                        <w:top w:val="none" w:sz="0" w:space="0" w:color="auto"/>
                        <w:left w:val="none" w:sz="0" w:space="0" w:color="auto"/>
                        <w:bottom w:val="none" w:sz="0" w:space="0" w:color="auto"/>
                        <w:right w:val="none" w:sz="0" w:space="0" w:color="auto"/>
                      </w:divBdr>
                    </w:div>
                  </w:divsChild>
                </w:div>
                <w:div w:id="1684210253">
                  <w:marLeft w:val="0"/>
                  <w:marRight w:val="0"/>
                  <w:marTop w:val="0"/>
                  <w:marBottom w:val="0"/>
                  <w:divBdr>
                    <w:top w:val="none" w:sz="0" w:space="0" w:color="auto"/>
                    <w:left w:val="none" w:sz="0" w:space="0" w:color="auto"/>
                    <w:bottom w:val="none" w:sz="0" w:space="0" w:color="auto"/>
                    <w:right w:val="none" w:sz="0" w:space="0" w:color="auto"/>
                  </w:divBdr>
                  <w:divsChild>
                    <w:div w:id="1479685300">
                      <w:marLeft w:val="0"/>
                      <w:marRight w:val="0"/>
                      <w:marTop w:val="0"/>
                      <w:marBottom w:val="0"/>
                      <w:divBdr>
                        <w:top w:val="none" w:sz="0" w:space="0" w:color="auto"/>
                        <w:left w:val="none" w:sz="0" w:space="0" w:color="auto"/>
                        <w:bottom w:val="none" w:sz="0" w:space="0" w:color="auto"/>
                        <w:right w:val="none" w:sz="0" w:space="0" w:color="auto"/>
                      </w:divBdr>
                    </w:div>
                  </w:divsChild>
                </w:div>
                <w:div w:id="1685325605">
                  <w:marLeft w:val="0"/>
                  <w:marRight w:val="0"/>
                  <w:marTop w:val="0"/>
                  <w:marBottom w:val="0"/>
                  <w:divBdr>
                    <w:top w:val="none" w:sz="0" w:space="0" w:color="auto"/>
                    <w:left w:val="none" w:sz="0" w:space="0" w:color="auto"/>
                    <w:bottom w:val="none" w:sz="0" w:space="0" w:color="auto"/>
                    <w:right w:val="none" w:sz="0" w:space="0" w:color="auto"/>
                  </w:divBdr>
                  <w:divsChild>
                    <w:div w:id="919170785">
                      <w:marLeft w:val="0"/>
                      <w:marRight w:val="0"/>
                      <w:marTop w:val="0"/>
                      <w:marBottom w:val="0"/>
                      <w:divBdr>
                        <w:top w:val="none" w:sz="0" w:space="0" w:color="auto"/>
                        <w:left w:val="none" w:sz="0" w:space="0" w:color="auto"/>
                        <w:bottom w:val="none" w:sz="0" w:space="0" w:color="auto"/>
                        <w:right w:val="none" w:sz="0" w:space="0" w:color="auto"/>
                      </w:divBdr>
                    </w:div>
                  </w:divsChild>
                </w:div>
                <w:div w:id="1709641530">
                  <w:marLeft w:val="0"/>
                  <w:marRight w:val="0"/>
                  <w:marTop w:val="0"/>
                  <w:marBottom w:val="0"/>
                  <w:divBdr>
                    <w:top w:val="none" w:sz="0" w:space="0" w:color="auto"/>
                    <w:left w:val="none" w:sz="0" w:space="0" w:color="auto"/>
                    <w:bottom w:val="none" w:sz="0" w:space="0" w:color="auto"/>
                    <w:right w:val="none" w:sz="0" w:space="0" w:color="auto"/>
                  </w:divBdr>
                  <w:divsChild>
                    <w:div w:id="92634300">
                      <w:marLeft w:val="0"/>
                      <w:marRight w:val="0"/>
                      <w:marTop w:val="0"/>
                      <w:marBottom w:val="0"/>
                      <w:divBdr>
                        <w:top w:val="none" w:sz="0" w:space="0" w:color="auto"/>
                        <w:left w:val="none" w:sz="0" w:space="0" w:color="auto"/>
                        <w:bottom w:val="none" w:sz="0" w:space="0" w:color="auto"/>
                        <w:right w:val="none" w:sz="0" w:space="0" w:color="auto"/>
                      </w:divBdr>
                    </w:div>
                  </w:divsChild>
                </w:div>
                <w:div w:id="1716156526">
                  <w:marLeft w:val="0"/>
                  <w:marRight w:val="0"/>
                  <w:marTop w:val="0"/>
                  <w:marBottom w:val="0"/>
                  <w:divBdr>
                    <w:top w:val="none" w:sz="0" w:space="0" w:color="auto"/>
                    <w:left w:val="none" w:sz="0" w:space="0" w:color="auto"/>
                    <w:bottom w:val="none" w:sz="0" w:space="0" w:color="auto"/>
                    <w:right w:val="none" w:sz="0" w:space="0" w:color="auto"/>
                  </w:divBdr>
                  <w:divsChild>
                    <w:div w:id="794979375">
                      <w:marLeft w:val="0"/>
                      <w:marRight w:val="0"/>
                      <w:marTop w:val="0"/>
                      <w:marBottom w:val="0"/>
                      <w:divBdr>
                        <w:top w:val="none" w:sz="0" w:space="0" w:color="auto"/>
                        <w:left w:val="none" w:sz="0" w:space="0" w:color="auto"/>
                        <w:bottom w:val="none" w:sz="0" w:space="0" w:color="auto"/>
                        <w:right w:val="none" w:sz="0" w:space="0" w:color="auto"/>
                      </w:divBdr>
                    </w:div>
                  </w:divsChild>
                </w:div>
                <w:div w:id="1717387964">
                  <w:marLeft w:val="0"/>
                  <w:marRight w:val="0"/>
                  <w:marTop w:val="0"/>
                  <w:marBottom w:val="0"/>
                  <w:divBdr>
                    <w:top w:val="none" w:sz="0" w:space="0" w:color="auto"/>
                    <w:left w:val="none" w:sz="0" w:space="0" w:color="auto"/>
                    <w:bottom w:val="none" w:sz="0" w:space="0" w:color="auto"/>
                    <w:right w:val="none" w:sz="0" w:space="0" w:color="auto"/>
                  </w:divBdr>
                  <w:divsChild>
                    <w:div w:id="1730810700">
                      <w:marLeft w:val="0"/>
                      <w:marRight w:val="0"/>
                      <w:marTop w:val="0"/>
                      <w:marBottom w:val="0"/>
                      <w:divBdr>
                        <w:top w:val="none" w:sz="0" w:space="0" w:color="auto"/>
                        <w:left w:val="none" w:sz="0" w:space="0" w:color="auto"/>
                        <w:bottom w:val="none" w:sz="0" w:space="0" w:color="auto"/>
                        <w:right w:val="none" w:sz="0" w:space="0" w:color="auto"/>
                      </w:divBdr>
                    </w:div>
                  </w:divsChild>
                </w:div>
                <w:div w:id="1762526660">
                  <w:marLeft w:val="0"/>
                  <w:marRight w:val="0"/>
                  <w:marTop w:val="0"/>
                  <w:marBottom w:val="0"/>
                  <w:divBdr>
                    <w:top w:val="none" w:sz="0" w:space="0" w:color="auto"/>
                    <w:left w:val="none" w:sz="0" w:space="0" w:color="auto"/>
                    <w:bottom w:val="none" w:sz="0" w:space="0" w:color="auto"/>
                    <w:right w:val="none" w:sz="0" w:space="0" w:color="auto"/>
                  </w:divBdr>
                  <w:divsChild>
                    <w:div w:id="1110970115">
                      <w:marLeft w:val="0"/>
                      <w:marRight w:val="0"/>
                      <w:marTop w:val="0"/>
                      <w:marBottom w:val="0"/>
                      <w:divBdr>
                        <w:top w:val="none" w:sz="0" w:space="0" w:color="auto"/>
                        <w:left w:val="none" w:sz="0" w:space="0" w:color="auto"/>
                        <w:bottom w:val="none" w:sz="0" w:space="0" w:color="auto"/>
                        <w:right w:val="none" w:sz="0" w:space="0" w:color="auto"/>
                      </w:divBdr>
                    </w:div>
                  </w:divsChild>
                </w:div>
                <w:div w:id="1773476716">
                  <w:marLeft w:val="0"/>
                  <w:marRight w:val="0"/>
                  <w:marTop w:val="0"/>
                  <w:marBottom w:val="0"/>
                  <w:divBdr>
                    <w:top w:val="none" w:sz="0" w:space="0" w:color="auto"/>
                    <w:left w:val="none" w:sz="0" w:space="0" w:color="auto"/>
                    <w:bottom w:val="none" w:sz="0" w:space="0" w:color="auto"/>
                    <w:right w:val="none" w:sz="0" w:space="0" w:color="auto"/>
                  </w:divBdr>
                  <w:divsChild>
                    <w:div w:id="1366248983">
                      <w:marLeft w:val="0"/>
                      <w:marRight w:val="0"/>
                      <w:marTop w:val="0"/>
                      <w:marBottom w:val="0"/>
                      <w:divBdr>
                        <w:top w:val="none" w:sz="0" w:space="0" w:color="auto"/>
                        <w:left w:val="none" w:sz="0" w:space="0" w:color="auto"/>
                        <w:bottom w:val="none" w:sz="0" w:space="0" w:color="auto"/>
                        <w:right w:val="none" w:sz="0" w:space="0" w:color="auto"/>
                      </w:divBdr>
                    </w:div>
                  </w:divsChild>
                </w:div>
                <w:div w:id="1777556789">
                  <w:marLeft w:val="0"/>
                  <w:marRight w:val="0"/>
                  <w:marTop w:val="0"/>
                  <w:marBottom w:val="0"/>
                  <w:divBdr>
                    <w:top w:val="none" w:sz="0" w:space="0" w:color="auto"/>
                    <w:left w:val="none" w:sz="0" w:space="0" w:color="auto"/>
                    <w:bottom w:val="none" w:sz="0" w:space="0" w:color="auto"/>
                    <w:right w:val="none" w:sz="0" w:space="0" w:color="auto"/>
                  </w:divBdr>
                  <w:divsChild>
                    <w:div w:id="73473506">
                      <w:marLeft w:val="0"/>
                      <w:marRight w:val="0"/>
                      <w:marTop w:val="0"/>
                      <w:marBottom w:val="0"/>
                      <w:divBdr>
                        <w:top w:val="none" w:sz="0" w:space="0" w:color="auto"/>
                        <w:left w:val="none" w:sz="0" w:space="0" w:color="auto"/>
                        <w:bottom w:val="none" w:sz="0" w:space="0" w:color="auto"/>
                        <w:right w:val="none" w:sz="0" w:space="0" w:color="auto"/>
                      </w:divBdr>
                    </w:div>
                  </w:divsChild>
                </w:div>
                <w:div w:id="1782917194">
                  <w:marLeft w:val="0"/>
                  <w:marRight w:val="0"/>
                  <w:marTop w:val="0"/>
                  <w:marBottom w:val="0"/>
                  <w:divBdr>
                    <w:top w:val="none" w:sz="0" w:space="0" w:color="auto"/>
                    <w:left w:val="none" w:sz="0" w:space="0" w:color="auto"/>
                    <w:bottom w:val="none" w:sz="0" w:space="0" w:color="auto"/>
                    <w:right w:val="none" w:sz="0" w:space="0" w:color="auto"/>
                  </w:divBdr>
                  <w:divsChild>
                    <w:div w:id="1491604411">
                      <w:marLeft w:val="0"/>
                      <w:marRight w:val="0"/>
                      <w:marTop w:val="0"/>
                      <w:marBottom w:val="0"/>
                      <w:divBdr>
                        <w:top w:val="none" w:sz="0" w:space="0" w:color="auto"/>
                        <w:left w:val="none" w:sz="0" w:space="0" w:color="auto"/>
                        <w:bottom w:val="none" w:sz="0" w:space="0" w:color="auto"/>
                        <w:right w:val="none" w:sz="0" w:space="0" w:color="auto"/>
                      </w:divBdr>
                    </w:div>
                  </w:divsChild>
                </w:div>
                <w:div w:id="1799491947">
                  <w:marLeft w:val="0"/>
                  <w:marRight w:val="0"/>
                  <w:marTop w:val="0"/>
                  <w:marBottom w:val="0"/>
                  <w:divBdr>
                    <w:top w:val="none" w:sz="0" w:space="0" w:color="auto"/>
                    <w:left w:val="none" w:sz="0" w:space="0" w:color="auto"/>
                    <w:bottom w:val="none" w:sz="0" w:space="0" w:color="auto"/>
                    <w:right w:val="none" w:sz="0" w:space="0" w:color="auto"/>
                  </w:divBdr>
                  <w:divsChild>
                    <w:div w:id="645207758">
                      <w:marLeft w:val="0"/>
                      <w:marRight w:val="0"/>
                      <w:marTop w:val="0"/>
                      <w:marBottom w:val="0"/>
                      <w:divBdr>
                        <w:top w:val="none" w:sz="0" w:space="0" w:color="auto"/>
                        <w:left w:val="none" w:sz="0" w:space="0" w:color="auto"/>
                        <w:bottom w:val="none" w:sz="0" w:space="0" w:color="auto"/>
                        <w:right w:val="none" w:sz="0" w:space="0" w:color="auto"/>
                      </w:divBdr>
                    </w:div>
                  </w:divsChild>
                </w:div>
                <w:div w:id="1801531559">
                  <w:marLeft w:val="0"/>
                  <w:marRight w:val="0"/>
                  <w:marTop w:val="0"/>
                  <w:marBottom w:val="0"/>
                  <w:divBdr>
                    <w:top w:val="none" w:sz="0" w:space="0" w:color="auto"/>
                    <w:left w:val="none" w:sz="0" w:space="0" w:color="auto"/>
                    <w:bottom w:val="none" w:sz="0" w:space="0" w:color="auto"/>
                    <w:right w:val="none" w:sz="0" w:space="0" w:color="auto"/>
                  </w:divBdr>
                  <w:divsChild>
                    <w:div w:id="1890607917">
                      <w:marLeft w:val="0"/>
                      <w:marRight w:val="0"/>
                      <w:marTop w:val="0"/>
                      <w:marBottom w:val="0"/>
                      <w:divBdr>
                        <w:top w:val="none" w:sz="0" w:space="0" w:color="auto"/>
                        <w:left w:val="none" w:sz="0" w:space="0" w:color="auto"/>
                        <w:bottom w:val="none" w:sz="0" w:space="0" w:color="auto"/>
                        <w:right w:val="none" w:sz="0" w:space="0" w:color="auto"/>
                      </w:divBdr>
                    </w:div>
                  </w:divsChild>
                </w:div>
                <w:div w:id="1836871018">
                  <w:marLeft w:val="0"/>
                  <w:marRight w:val="0"/>
                  <w:marTop w:val="0"/>
                  <w:marBottom w:val="0"/>
                  <w:divBdr>
                    <w:top w:val="none" w:sz="0" w:space="0" w:color="auto"/>
                    <w:left w:val="none" w:sz="0" w:space="0" w:color="auto"/>
                    <w:bottom w:val="none" w:sz="0" w:space="0" w:color="auto"/>
                    <w:right w:val="none" w:sz="0" w:space="0" w:color="auto"/>
                  </w:divBdr>
                  <w:divsChild>
                    <w:div w:id="1685672798">
                      <w:marLeft w:val="0"/>
                      <w:marRight w:val="0"/>
                      <w:marTop w:val="0"/>
                      <w:marBottom w:val="0"/>
                      <w:divBdr>
                        <w:top w:val="none" w:sz="0" w:space="0" w:color="auto"/>
                        <w:left w:val="none" w:sz="0" w:space="0" w:color="auto"/>
                        <w:bottom w:val="none" w:sz="0" w:space="0" w:color="auto"/>
                        <w:right w:val="none" w:sz="0" w:space="0" w:color="auto"/>
                      </w:divBdr>
                    </w:div>
                  </w:divsChild>
                </w:div>
                <w:div w:id="1838575295">
                  <w:marLeft w:val="0"/>
                  <w:marRight w:val="0"/>
                  <w:marTop w:val="0"/>
                  <w:marBottom w:val="0"/>
                  <w:divBdr>
                    <w:top w:val="none" w:sz="0" w:space="0" w:color="auto"/>
                    <w:left w:val="none" w:sz="0" w:space="0" w:color="auto"/>
                    <w:bottom w:val="none" w:sz="0" w:space="0" w:color="auto"/>
                    <w:right w:val="none" w:sz="0" w:space="0" w:color="auto"/>
                  </w:divBdr>
                  <w:divsChild>
                    <w:div w:id="1365985845">
                      <w:marLeft w:val="0"/>
                      <w:marRight w:val="0"/>
                      <w:marTop w:val="0"/>
                      <w:marBottom w:val="0"/>
                      <w:divBdr>
                        <w:top w:val="none" w:sz="0" w:space="0" w:color="auto"/>
                        <w:left w:val="none" w:sz="0" w:space="0" w:color="auto"/>
                        <w:bottom w:val="none" w:sz="0" w:space="0" w:color="auto"/>
                        <w:right w:val="none" w:sz="0" w:space="0" w:color="auto"/>
                      </w:divBdr>
                    </w:div>
                  </w:divsChild>
                </w:div>
                <w:div w:id="1860700527">
                  <w:marLeft w:val="0"/>
                  <w:marRight w:val="0"/>
                  <w:marTop w:val="0"/>
                  <w:marBottom w:val="0"/>
                  <w:divBdr>
                    <w:top w:val="none" w:sz="0" w:space="0" w:color="auto"/>
                    <w:left w:val="none" w:sz="0" w:space="0" w:color="auto"/>
                    <w:bottom w:val="none" w:sz="0" w:space="0" w:color="auto"/>
                    <w:right w:val="none" w:sz="0" w:space="0" w:color="auto"/>
                  </w:divBdr>
                  <w:divsChild>
                    <w:div w:id="375936736">
                      <w:marLeft w:val="0"/>
                      <w:marRight w:val="0"/>
                      <w:marTop w:val="0"/>
                      <w:marBottom w:val="0"/>
                      <w:divBdr>
                        <w:top w:val="none" w:sz="0" w:space="0" w:color="auto"/>
                        <w:left w:val="none" w:sz="0" w:space="0" w:color="auto"/>
                        <w:bottom w:val="none" w:sz="0" w:space="0" w:color="auto"/>
                        <w:right w:val="none" w:sz="0" w:space="0" w:color="auto"/>
                      </w:divBdr>
                    </w:div>
                  </w:divsChild>
                </w:div>
                <w:div w:id="1889100068">
                  <w:marLeft w:val="0"/>
                  <w:marRight w:val="0"/>
                  <w:marTop w:val="0"/>
                  <w:marBottom w:val="0"/>
                  <w:divBdr>
                    <w:top w:val="none" w:sz="0" w:space="0" w:color="auto"/>
                    <w:left w:val="none" w:sz="0" w:space="0" w:color="auto"/>
                    <w:bottom w:val="none" w:sz="0" w:space="0" w:color="auto"/>
                    <w:right w:val="none" w:sz="0" w:space="0" w:color="auto"/>
                  </w:divBdr>
                  <w:divsChild>
                    <w:div w:id="1453939825">
                      <w:marLeft w:val="0"/>
                      <w:marRight w:val="0"/>
                      <w:marTop w:val="0"/>
                      <w:marBottom w:val="0"/>
                      <w:divBdr>
                        <w:top w:val="none" w:sz="0" w:space="0" w:color="auto"/>
                        <w:left w:val="none" w:sz="0" w:space="0" w:color="auto"/>
                        <w:bottom w:val="none" w:sz="0" w:space="0" w:color="auto"/>
                        <w:right w:val="none" w:sz="0" w:space="0" w:color="auto"/>
                      </w:divBdr>
                    </w:div>
                  </w:divsChild>
                </w:div>
                <w:div w:id="1903909270">
                  <w:marLeft w:val="0"/>
                  <w:marRight w:val="0"/>
                  <w:marTop w:val="0"/>
                  <w:marBottom w:val="0"/>
                  <w:divBdr>
                    <w:top w:val="none" w:sz="0" w:space="0" w:color="auto"/>
                    <w:left w:val="none" w:sz="0" w:space="0" w:color="auto"/>
                    <w:bottom w:val="none" w:sz="0" w:space="0" w:color="auto"/>
                    <w:right w:val="none" w:sz="0" w:space="0" w:color="auto"/>
                  </w:divBdr>
                  <w:divsChild>
                    <w:div w:id="735131354">
                      <w:marLeft w:val="0"/>
                      <w:marRight w:val="0"/>
                      <w:marTop w:val="0"/>
                      <w:marBottom w:val="0"/>
                      <w:divBdr>
                        <w:top w:val="none" w:sz="0" w:space="0" w:color="auto"/>
                        <w:left w:val="none" w:sz="0" w:space="0" w:color="auto"/>
                        <w:bottom w:val="none" w:sz="0" w:space="0" w:color="auto"/>
                        <w:right w:val="none" w:sz="0" w:space="0" w:color="auto"/>
                      </w:divBdr>
                    </w:div>
                  </w:divsChild>
                </w:div>
                <w:div w:id="1923568451">
                  <w:marLeft w:val="0"/>
                  <w:marRight w:val="0"/>
                  <w:marTop w:val="0"/>
                  <w:marBottom w:val="0"/>
                  <w:divBdr>
                    <w:top w:val="none" w:sz="0" w:space="0" w:color="auto"/>
                    <w:left w:val="none" w:sz="0" w:space="0" w:color="auto"/>
                    <w:bottom w:val="none" w:sz="0" w:space="0" w:color="auto"/>
                    <w:right w:val="none" w:sz="0" w:space="0" w:color="auto"/>
                  </w:divBdr>
                  <w:divsChild>
                    <w:div w:id="948781584">
                      <w:marLeft w:val="0"/>
                      <w:marRight w:val="0"/>
                      <w:marTop w:val="0"/>
                      <w:marBottom w:val="0"/>
                      <w:divBdr>
                        <w:top w:val="none" w:sz="0" w:space="0" w:color="auto"/>
                        <w:left w:val="none" w:sz="0" w:space="0" w:color="auto"/>
                        <w:bottom w:val="none" w:sz="0" w:space="0" w:color="auto"/>
                        <w:right w:val="none" w:sz="0" w:space="0" w:color="auto"/>
                      </w:divBdr>
                    </w:div>
                  </w:divsChild>
                </w:div>
                <w:div w:id="1937594358">
                  <w:marLeft w:val="0"/>
                  <w:marRight w:val="0"/>
                  <w:marTop w:val="0"/>
                  <w:marBottom w:val="0"/>
                  <w:divBdr>
                    <w:top w:val="none" w:sz="0" w:space="0" w:color="auto"/>
                    <w:left w:val="none" w:sz="0" w:space="0" w:color="auto"/>
                    <w:bottom w:val="none" w:sz="0" w:space="0" w:color="auto"/>
                    <w:right w:val="none" w:sz="0" w:space="0" w:color="auto"/>
                  </w:divBdr>
                  <w:divsChild>
                    <w:div w:id="1242182576">
                      <w:marLeft w:val="0"/>
                      <w:marRight w:val="0"/>
                      <w:marTop w:val="0"/>
                      <w:marBottom w:val="0"/>
                      <w:divBdr>
                        <w:top w:val="none" w:sz="0" w:space="0" w:color="auto"/>
                        <w:left w:val="none" w:sz="0" w:space="0" w:color="auto"/>
                        <w:bottom w:val="none" w:sz="0" w:space="0" w:color="auto"/>
                        <w:right w:val="none" w:sz="0" w:space="0" w:color="auto"/>
                      </w:divBdr>
                    </w:div>
                  </w:divsChild>
                </w:div>
                <w:div w:id="1945187817">
                  <w:marLeft w:val="0"/>
                  <w:marRight w:val="0"/>
                  <w:marTop w:val="0"/>
                  <w:marBottom w:val="0"/>
                  <w:divBdr>
                    <w:top w:val="none" w:sz="0" w:space="0" w:color="auto"/>
                    <w:left w:val="none" w:sz="0" w:space="0" w:color="auto"/>
                    <w:bottom w:val="none" w:sz="0" w:space="0" w:color="auto"/>
                    <w:right w:val="none" w:sz="0" w:space="0" w:color="auto"/>
                  </w:divBdr>
                  <w:divsChild>
                    <w:div w:id="130251634">
                      <w:marLeft w:val="0"/>
                      <w:marRight w:val="0"/>
                      <w:marTop w:val="0"/>
                      <w:marBottom w:val="0"/>
                      <w:divBdr>
                        <w:top w:val="none" w:sz="0" w:space="0" w:color="auto"/>
                        <w:left w:val="none" w:sz="0" w:space="0" w:color="auto"/>
                        <w:bottom w:val="none" w:sz="0" w:space="0" w:color="auto"/>
                        <w:right w:val="none" w:sz="0" w:space="0" w:color="auto"/>
                      </w:divBdr>
                    </w:div>
                  </w:divsChild>
                </w:div>
                <w:div w:id="1969703113">
                  <w:marLeft w:val="0"/>
                  <w:marRight w:val="0"/>
                  <w:marTop w:val="0"/>
                  <w:marBottom w:val="0"/>
                  <w:divBdr>
                    <w:top w:val="none" w:sz="0" w:space="0" w:color="auto"/>
                    <w:left w:val="none" w:sz="0" w:space="0" w:color="auto"/>
                    <w:bottom w:val="none" w:sz="0" w:space="0" w:color="auto"/>
                    <w:right w:val="none" w:sz="0" w:space="0" w:color="auto"/>
                  </w:divBdr>
                  <w:divsChild>
                    <w:div w:id="1150560752">
                      <w:marLeft w:val="0"/>
                      <w:marRight w:val="0"/>
                      <w:marTop w:val="0"/>
                      <w:marBottom w:val="0"/>
                      <w:divBdr>
                        <w:top w:val="none" w:sz="0" w:space="0" w:color="auto"/>
                        <w:left w:val="none" w:sz="0" w:space="0" w:color="auto"/>
                        <w:bottom w:val="none" w:sz="0" w:space="0" w:color="auto"/>
                        <w:right w:val="none" w:sz="0" w:space="0" w:color="auto"/>
                      </w:divBdr>
                    </w:div>
                  </w:divsChild>
                </w:div>
                <w:div w:id="1985772921">
                  <w:marLeft w:val="0"/>
                  <w:marRight w:val="0"/>
                  <w:marTop w:val="0"/>
                  <w:marBottom w:val="0"/>
                  <w:divBdr>
                    <w:top w:val="none" w:sz="0" w:space="0" w:color="auto"/>
                    <w:left w:val="none" w:sz="0" w:space="0" w:color="auto"/>
                    <w:bottom w:val="none" w:sz="0" w:space="0" w:color="auto"/>
                    <w:right w:val="none" w:sz="0" w:space="0" w:color="auto"/>
                  </w:divBdr>
                  <w:divsChild>
                    <w:div w:id="1394238437">
                      <w:marLeft w:val="0"/>
                      <w:marRight w:val="0"/>
                      <w:marTop w:val="0"/>
                      <w:marBottom w:val="0"/>
                      <w:divBdr>
                        <w:top w:val="none" w:sz="0" w:space="0" w:color="auto"/>
                        <w:left w:val="none" w:sz="0" w:space="0" w:color="auto"/>
                        <w:bottom w:val="none" w:sz="0" w:space="0" w:color="auto"/>
                        <w:right w:val="none" w:sz="0" w:space="0" w:color="auto"/>
                      </w:divBdr>
                    </w:div>
                  </w:divsChild>
                </w:div>
                <w:div w:id="2006587290">
                  <w:marLeft w:val="0"/>
                  <w:marRight w:val="0"/>
                  <w:marTop w:val="0"/>
                  <w:marBottom w:val="0"/>
                  <w:divBdr>
                    <w:top w:val="none" w:sz="0" w:space="0" w:color="auto"/>
                    <w:left w:val="none" w:sz="0" w:space="0" w:color="auto"/>
                    <w:bottom w:val="none" w:sz="0" w:space="0" w:color="auto"/>
                    <w:right w:val="none" w:sz="0" w:space="0" w:color="auto"/>
                  </w:divBdr>
                  <w:divsChild>
                    <w:div w:id="1965915908">
                      <w:marLeft w:val="0"/>
                      <w:marRight w:val="0"/>
                      <w:marTop w:val="0"/>
                      <w:marBottom w:val="0"/>
                      <w:divBdr>
                        <w:top w:val="none" w:sz="0" w:space="0" w:color="auto"/>
                        <w:left w:val="none" w:sz="0" w:space="0" w:color="auto"/>
                        <w:bottom w:val="none" w:sz="0" w:space="0" w:color="auto"/>
                        <w:right w:val="none" w:sz="0" w:space="0" w:color="auto"/>
                      </w:divBdr>
                    </w:div>
                  </w:divsChild>
                </w:div>
                <w:div w:id="2016347477">
                  <w:marLeft w:val="0"/>
                  <w:marRight w:val="0"/>
                  <w:marTop w:val="0"/>
                  <w:marBottom w:val="0"/>
                  <w:divBdr>
                    <w:top w:val="none" w:sz="0" w:space="0" w:color="auto"/>
                    <w:left w:val="none" w:sz="0" w:space="0" w:color="auto"/>
                    <w:bottom w:val="none" w:sz="0" w:space="0" w:color="auto"/>
                    <w:right w:val="none" w:sz="0" w:space="0" w:color="auto"/>
                  </w:divBdr>
                  <w:divsChild>
                    <w:div w:id="660280585">
                      <w:marLeft w:val="0"/>
                      <w:marRight w:val="0"/>
                      <w:marTop w:val="0"/>
                      <w:marBottom w:val="0"/>
                      <w:divBdr>
                        <w:top w:val="none" w:sz="0" w:space="0" w:color="auto"/>
                        <w:left w:val="none" w:sz="0" w:space="0" w:color="auto"/>
                        <w:bottom w:val="none" w:sz="0" w:space="0" w:color="auto"/>
                        <w:right w:val="none" w:sz="0" w:space="0" w:color="auto"/>
                      </w:divBdr>
                    </w:div>
                  </w:divsChild>
                </w:div>
                <w:div w:id="2017342948">
                  <w:marLeft w:val="0"/>
                  <w:marRight w:val="0"/>
                  <w:marTop w:val="0"/>
                  <w:marBottom w:val="0"/>
                  <w:divBdr>
                    <w:top w:val="none" w:sz="0" w:space="0" w:color="auto"/>
                    <w:left w:val="none" w:sz="0" w:space="0" w:color="auto"/>
                    <w:bottom w:val="none" w:sz="0" w:space="0" w:color="auto"/>
                    <w:right w:val="none" w:sz="0" w:space="0" w:color="auto"/>
                  </w:divBdr>
                  <w:divsChild>
                    <w:div w:id="536898010">
                      <w:marLeft w:val="0"/>
                      <w:marRight w:val="0"/>
                      <w:marTop w:val="0"/>
                      <w:marBottom w:val="0"/>
                      <w:divBdr>
                        <w:top w:val="none" w:sz="0" w:space="0" w:color="auto"/>
                        <w:left w:val="none" w:sz="0" w:space="0" w:color="auto"/>
                        <w:bottom w:val="none" w:sz="0" w:space="0" w:color="auto"/>
                        <w:right w:val="none" w:sz="0" w:space="0" w:color="auto"/>
                      </w:divBdr>
                    </w:div>
                  </w:divsChild>
                </w:div>
                <w:div w:id="2024164274">
                  <w:marLeft w:val="0"/>
                  <w:marRight w:val="0"/>
                  <w:marTop w:val="0"/>
                  <w:marBottom w:val="0"/>
                  <w:divBdr>
                    <w:top w:val="none" w:sz="0" w:space="0" w:color="auto"/>
                    <w:left w:val="none" w:sz="0" w:space="0" w:color="auto"/>
                    <w:bottom w:val="none" w:sz="0" w:space="0" w:color="auto"/>
                    <w:right w:val="none" w:sz="0" w:space="0" w:color="auto"/>
                  </w:divBdr>
                  <w:divsChild>
                    <w:div w:id="430201452">
                      <w:marLeft w:val="0"/>
                      <w:marRight w:val="0"/>
                      <w:marTop w:val="0"/>
                      <w:marBottom w:val="0"/>
                      <w:divBdr>
                        <w:top w:val="none" w:sz="0" w:space="0" w:color="auto"/>
                        <w:left w:val="none" w:sz="0" w:space="0" w:color="auto"/>
                        <w:bottom w:val="none" w:sz="0" w:space="0" w:color="auto"/>
                        <w:right w:val="none" w:sz="0" w:space="0" w:color="auto"/>
                      </w:divBdr>
                    </w:div>
                  </w:divsChild>
                </w:div>
                <w:div w:id="2045905870">
                  <w:marLeft w:val="0"/>
                  <w:marRight w:val="0"/>
                  <w:marTop w:val="0"/>
                  <w:marBottom w:val="0"/>
                  <w:divBdr>
                    <w:top w:val="none" w:sz="0" w:space="0" w:color="auto"/>
                    <w:left w:val="none" w:sz="0" w:space="0" w:color="auto"/>
                    <w:bottom w:val="none" w:sz="0" w:space="0" w:color="auto"/>
                    <w:right w:val="none" w:sz="0" w:space="0" w:color="auto"/>
                  </w:divBdr>
                  <w:divsChild>
                    <w:div w:id="901721661">
                      <w:marLeft w:val="0"/>
                      <w:marRight w:val="0"/>
                      <w:marTop w:val="0"/>
                      <w:marBottom w:val="0"/>
                      <w:divBdr>
                        <w:top w:val="none" w:sz="0" w:space="0" w:color="auto"/>
                        <w:left w:val="none" w:sz="0" w:space="0" w:color="auto"/>
                        <w:bottom w:val="none" w:sz="0" w:space="0" w:color="auto"/>
                        <w:right w:val="none" w:sz="0" w:space="0" w:color="auto"/>
                      </w:divBdr>
                    </w:div>
                  </w:divsChild>
                </w:div>
                <w:div w:id="2053264815">
                  <w:marLeft w:val="0"/>
                  <w:marRight w:val="0"/>
                  <w:marTop w:val="0"/>
                  <w:marBottom w:val="0"/>
                  <w:divBdr>
                    <w:top w:val="none" w:sz="0" w:space="0" w:color="auto"/>
                    <w:left w:val="none" w:sz="0" w:space="0" w:color="auto"/>
                    <w:bottom w:val="none" w:sz="0" w:space="0" w:color="auto"/>
                    <w:right w:val="none" w:sz="0" w:space="0" w:color="auto"/>
                  </w:divBdr>
                  <w:divsChild>
                    <w:div w:id="1378814796">
                      <w:marLeft w:val="0"/>
                      <w:marRight w:val="0"/>
                      <w:marTop w:val="0"/>
                      <w:marBottom w:val="0"/>
                      <w:divBdr>
                        <w:top w:val="none" w:sz="0" w:space="0" w:color="auto"/>
                        <w:left w:val="none" w:sz="0" w:space="0" w:color="auto"/>
                        <w:bottom w:val="none" w:sz="0" w:space="0" w:color="auto"/>
                        <w:right w:val="none" w:sz="0" w:space="0" w:color="auto"/>
                      </w:divBdr>
                    </w:div>
                  </w:divsChild>
                </w:div>
                <w:div w:id="2060788466">
                  <w:marLeft w:val="0"/>
                  <w:marRight w:val="0"/>
                  <w:marTop w:val="0"/>
                  <w:marBottom w:val="0"/>
                  <w:divBdr>
                    <w:top w:val="none" w:sz="0" w:space="0" w:color="auto"/>
                    <w:left w:val="none" w:sz="0" w:space="0" w:color="auto"/>
                    <w:bottom w:val="none" w:sz="0" w:space="0" w:color="auto"/>
                    <w:right w:val="none" w:sz="0" w:space="0" w:color="auto"/>
                  </w:divBdr>
                  <w:divsChild>
                    <w:div w:id="1749420666">
                      <w:marLeft w:val="0"/>
                      <w:marRight w:val="0"/>
                      <w:marTop w:val="0"/>
                      <w:marBottom w:val="0"/>
                      <w:divBdr>
                        <w:top w:val="none" w:sz="0" w:space="0" w:color="auto"/>
                        <w:left w:val="none" w:sz="0" w:space="0" w:color="auto"/>
                        <w:bottom w:val="none" w:sz="0" w:space="0" w:color="auto"/>
                        <w:right w:val="none" w:sz="0" w:space="0" w:color="auto"/>
                      </w:divBdr>
                    </w:div>
                  </w:divsChild>
                </w:div>
                <w:div w:id="2081366983">
                  <w:marLeft w:val="0"/>
                  <w:marRight w:val="0"/>
                  <w:marTop w:val="0"/>
                  <w:marBottom w:val="0"/>
                  <w:divBdr>
                    <w:top w:val="none" w:sz="0" w:space="0" w:color="auto"/>
                    <w:left w:val="none" w:sz="0" w:space="0" w:color="auto"/>
                    <w:bottom w:val="none" w:sz="0" w:space="0" w:color="auto"/>
                    <w:right w:val="none" w:sz="0" w:space="0" w:color="auto"/>
                  </w:divBdr>
                  <w:divsChild>
                    <w:div w:id="1994480469">
                      <w:marLeft w:val="0"/>
                      <w:marRight w:val="0"/>
                      <w:marTop w:val="0"/>
                      <w:marBottom w:val="0"/>
                      <w:divBdr>
                        <w:top w:val="none" w:sz="0" w:space="0" w:color="auto"/>
                        <w:left w:val="none" w:sz="0" w:space="0" w:color="auto"/>
                        <w:bottom w:val="none" w:sz="0" w:space="0" w:color="auto"/>
                        <w:right w:val="none" w:sz="0" w:space="0" w:color="auto"/>
                      </w:divBdr>
                    </w:div>
                  </w:divsChild>
                </w:div>
                <w:div w:id="2098095508">
                  <w:marLeft w:val="0"/>
                  <w:marRight w:val="0"/>
                  <w:marTop w:val="0"/>
                  <w:marBottom w:val="0"/>
                  <w:divBdr>
                    <w:top w:val="none" w:sz="0" w:space="0" w:color="auto"/>
                    <w:left w:val="none" w:sz="0" w:space="0" w:color="auto"/>
                    <w:bottom w:val="none" w:sz="0" w:space="0" w:color="auto"/>
                    <w:right w:val="none" w:sz="0" w:space="0" w:color="auto"/>
                  </w:divBdr>
                  <w:divsChild>
                    <w:div w:id="1858619173">
                      <w:marLeft w:val="0"/>
                      <w:marRight w:val="0"/>
                      <w:marTop w:val="0"/>
                      <w:marBottom w:val="0"/>
                      <w:divBdr>
                        <w:top w:val="none" w:sz="0" w:space="0" w:color="auto"/>
                        <w:left w:val="none" w:sz="0" w:space="0" w:color="auto"/>
                        <w:bottom w:val="none" w:sz="0" w:space="0" w:color="auto"/>
                        <w:right w:val="none" w:sz="0" w:space="0" w:color="auto"/>
                      </w:divBdr>
                    </w:div>
                  </w:divsChild>
                </w:div>
                <w:div w:id="2146854290">
                  <w:marLeft w:val="0"/>
                  <w:marRight w:val="0"/>
                  <w:marTop w:val="0"/>
                  <w:marBottom w:val="0"/>
                  <w:divBdr>
                    <w:top w:val="none" w:sz="0" w:space="0" w:color="auto"/>
                    <w:left w:val="none" w:sz="0" w:space="0" w:color="auto"/>
                    <w:bottom w:val="none" w:sz="0" w:space="0" w:color="auto"/>
                    <w:right w:val="none" w:sz="0" w:space="0" w:color="auto"/>
                  </w:divBdr>
                  <w:divsChild>
                    <w:div w:id="1799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9240">
          <w:marLeft w:val="0"/>
          <w:marRight w:val="0"/>
          <w:marTop w:val="0"/>
          <w:marBottom w:val="0"/>
          <w:divBdr>
            <w:top w:val="none" w:sz="0" w:space="0" w:color="auto"/>
            <w:left w:val="none" w:sz="0" w:space="0" w:color="auto"/>
            <w:bottom w:val="none" w:sz="0" w:space="0" w:color="auto"/>
            <w:right w:val="none" w:sz="0" w:space="0" w:color="auto"/>
          </w:divBdr>
        </w:div>
        <w:div w:id="132218621">
          <w:marLeft w:val="0"/>
          <w:marRight w:val="0"/>
          <w:marTop w:val="0"/>
          <w:marBottom w:val="0"/>
          <w:divBdr>
            <w:top w:val="none" w:sz="0" w:space="0" w:color="auto"/>
            <w:left w:val="none" w:sz="0" w:space="0" w:color="auto"/>
            <w:bottom w:val="none" w:sz="0" w:space="0" w:color="auto"/>
            <w:right w:val="none" w:sz="0" w:space="0" w:color="auto"/>
          </w:divBdr>
          <w:divsChild>
            <w:div w:id="277765317">
              <w:marLeft w:val="-75"/>
              <w:marRight w:val="0"/>
              <w:marTop w:val="30"/>
              <w:marBottom w:val="30"/>
              <w:divBdr>
                <w:top w:val="none" w:sz="0" w:space="0" w:color="auto"/>
                <w:left w:val="none" w:sz="0" w:space="0" w:color="auto"/>
                <w:bottom w:val="none" w:sz="0" w:space="0" w:color="auto"/>
                <w:right w:val="none" w:sz="0" w:space="0" w:color="auto"/>
              </w:divBdr>
              <w:divsChild>
                <w:div w:id="17045712">
                  <w:marLeft w:val="0"/>
                  <w:marRight w:val="0"/>
                  <w:marTop w:val="0"/>
                  <w:marBottom w:val="0"/>
                  <w:divBdr>
                    <w:top w:val="none" w:sz="0" w:space="0" w:color="auto"/>
                    <w:left w:val="none" w:sz="0" w:space="0" w:color="auto"/>
                    <w:bottom w:val="none" w:sz="0" w:space="0" w:color="auto"/>
                    <w:right w:val="none" w:sz="0" w:space="0" w:color="auto"/>
                  </w:divBdr>
                  <w:divsChild>
                    <w:div w:id="1993292601">
                      <w:marLeft w:val="0"/>
                      <w:marRight w:val="0"/>
                      <w:marTop w:val="0"/>
                      <w:marBottom w:val="0"/>
                      <w:divBdr>
                        <w:top w:val="none" w:sz="0" w:space="0" w:color="auto"/>
                        <w:left w:val="none" w:sz="0" w:space="0" w:color="auto"/>
                        <w:bottom w:val="none" w:sz="0" w:space="0" w:color="auto"/>
                        <w:right w:val="none" w:sz="0" w:space="0" w:color="auto"/>
                      </w:divBdr>
                    </w:div>
                  </w:divsChild>
                </w:div>
                <w:div w:id="158666027">
                  <w:marLeft w:val="0"/>
                  <w:marRight w:val="0"/>
                  <w:marTop w:val="0"/>
                  <w:marBottom w:val="0"/>
                  <w:divBdr>
                    <w:top w:val="none" w:sz="0" w:space="0" w:color="auto"/>
                    <w:left w:val="none" w:sz="0" w:space="0" w:color="auto"/>
                    <w:bottom w:val="none" w:sz="0" w:space="0" w:color="auto"/>
                    <w:right w:val="none" w:sz="0" w:space="0" w:color="auto"/>
                  </w:divBdr>
                  <w:divsChild>
                    <w:div w:id="1377849830">
                      <w:marLeft w:val="0"/>
                      <w:marRight w:val="0"/>
                      <w:marTop w:val="0"/>
                      <w:marBottom w:val="0"/>
                      <w:divBdr>
                        <w:top w:val="none" w:sz="0" w:space="0" w:color="auto"/>
                        <w:left w:val="none" w:sz="0" w:space="0" w:color="auto"/>
                        <w:bottom w:val="none" w:sz="0" w:space="0" w:color="auto"/>
                        <w:right w:val="none" w:sz="0" w:space="0" w:color="auto"/>
                      </w:divBdr>
                    </w:div>
                  </w:divsChild>
                </w:div>
                <w:div w:id="185294294">
                  <w:marLeft w:val="0"/>
                  <w:marRight w:val="0"/>
                  <w:marTop w:val="0"/>
                  <w:marBottom w:val="0"/>
                  <w:divBdr>
                    <w:top w:val="none" w:sz="0" w:space="0" w:color="auto"/>
                    <w:left w:val="none" w:sz="0" w:space="0" w:color="auto"/>
                    <w:bottom w:val="none" w:sz="0" w:space="0" w:color="auto"/>
                    <w:right w:val="none" w:sz="0" w:space="0" w:color="auto"/>
                  </w:divBdr>
                  <w:divsChild>
                    <w:div w:id="368725364">
                      <w:marLeft w:val="0"/>
                      <w:marRight w:val="0"/>
                      <w:marTop w:val="0"/>
                      <w:marBottom w:val="0"/>
                      <w:divBdr>
                        <w:top w:val="none" w:sz="0" w:space="0" w:color="auto"/>
                        <w:left w:val="none" w:sz="0" w:space="0" w:color="auto"/>
                        <w:bottom w:val="none" w:sz="0" w:space="0" w:color="auto"/>
                        <w:right w:val="none" w:sz="0" w:space="0" w:color="auto"/>
                      </w:divBdr>
                    </w:div>
                  </w:divsChild>
                </w:div>
                <w:div w:id="235095770">
                  <w:marLeft w:val="0"/>
                  <w:marRight w:val="0"/>
                  <w:marTop w:val="0"/>
                  <w:marBottom w:val="0"/>
                  <w:divBdr>
                    <w:top w:val="none" w:sz="0" w:space="0" w:color="auto"/>
                    <w:left w:val="none" w:sz="0" w:space="0" w:color="auto"/>
                    <w:bottom w:val="none" w:sz="0" w:space="0" w:color="auto"/>
                    <w:right w:val="none" w:sz="0" w:space="0" w:color="auto"/>
                  </w:divBdr>
                  <w:divsChild>
                    <w:div w:id="1407726753">
                      <w:marLeft w:val="0"/>
                      <w:marRight w:val="0"/>
                      <w:marTop w:val="0"/>
                      <w:marBottom w:val="0"/>
                      <w:divBdr>
                        <w:top w:val="none" w:sz="0" w:space="0" w:color="auto"/>
                        <w:left w:val="none" w:sz="0" w:space="0" w:color="auto"/>
                        <w:bottom w:val="none" w:sz="0" w:space="0" w:color="auto"/>
                        <w:right w:val="none" w:sz="0" w:space="0" w:color="auto"/>
                      </w:divBdr>
                    </w:div>
                  </w:divsChild>
                </w:div>
                <w:div w:id="248733341">
                  <w:marLeft w:val="0"/>
                  <w:marRight w:val="0"/>
                  <w:marTop w:val="0"/>
                  <w:marBottom w:val="0"/>
                  <w:divBdr>
                    <w:top w:val="none" w:sz="0" w:space="0" w:color="auto"/>
                    <w:left w:val="none" w:sz="0" w:space="0" w:color="auto"/>
                    <w:bottom w:val="none" w:sz="0" w:space="0" w:color="auto"/>
                    <w:right w:val="none" w:sz="0" w:space="0" w:color="auto"/>
                  </w:divBdr>
                  <w:divsChild>
                    <w:div w:id="1350914875">
                      <w:marLeft w:val="0"/>
                      <w:marRight w:val="0"/>
                      <w:marTop w:val="0"/>
                      <w:marBottom w:val="0"/>
                      <w:divBdr>
                        <w:top w:val="none" w:sz="0" w:space="0" w:color="auto"/>
                        <w:left w:val="none" w:sz="0" w:space="0" w:color="auto"/>
                        <w:bottom w:val="none" w:sz="0" w:space="0" w:color="auto"/>
                        <w:right w:val="none" w:sz="0" w:space="0" w:color="auto"/>
                      </w:divBdr>
                    </w:div>
                  </w:divsChild>
                </w:div>
                <w:div w:id="257060121">
                  <w:marLeft w:val="0"/>
                  <w:marRight w:val="0"/>
                  <w:marTop w:val="0"/>
                  <w:marBottom w:val="0"/>
                  <w:divBdr>
                    <w:top w:val="none" w:sz="0" w:space="0" w:color="auto"/>
                    <w:left w:val="none" w:sz="0" w:space="0" w:color="auto"/>
                    <w:bottom w:val="none" w:sz="0" w:space="0" w:color="auto"/>
                    <w:right w:val="none" w:sz="0" w:space="0" w:color="auto"/>
                  </w:divBdr>
                  <w:divsChild>
                    <w:div w:id="28651871">
                      <w:marLeft w:val="0"/>
                      <w:marRight w:val="0"/>
                      <w:marTop w:val="0"/>
                      <w:marBottom w:val="0"/>
                      <w:divBdr>
                        <w:top w:val="none" w:sz="0" w:space="0" w:color="auto"/>
                        <w:left w:val="none" w:sz="0" w:space="0" w:color="auto"/>
                        <w:bottom w:val="none" w:sz="0" w:space="0" w:color="auto"/>
                        <w:right w:val="none" w:sz="0" w:space="0" w:color="auto"/>
                      </w:divBdr>
                    </w:div>
                  </w:divsChild>
                </w:div>
                <w:div w:id="259457389">
                  <w:marLeft w:val="0"/>
                  <w:marRight w:val="0"/>
                  <w:marTop w:val="0"/>
                  <w:marBottom w:val="0"/>
                  <w:divBdr>
                    <w:top w:val="none" w:sz="0" w:space="0" w:color="auto"/>
                    <w:left w:val="none" w:sz="0" w:space="0" w:color="auto"/>
                    <w:bottom w:val="none" w:sz="0" w:space="0" w:color="auto"/>
                    <w:right w:val="none" w:sz="0" w:space="0" w:color="auto"/>
                  </w:divBdr>
                  <w:divsChild>
                    <w:div w:id="219708692">
                      <w:marLeft w:val="0"/>
                      <w:marRight w:val="0"/>
                      <w:marTop w:val="0"/>
                      <w:marBottom w:val="0"/>
                      <w:divBdr>
                        <w:top w:val="none" w:sz="0" w:space="0" w:color="auto"/>
                        <w:left w:val="none" w:sz="0" w:space="0" w:color="auto"/>
                        <w:bottom w:val="none" w:sz="0" w:space="0" w:color="auto"/>
                        <w:right w:val="none" w:sz="0" w:space="0" w:color="auto"/>
                      </w:divBdr>
                    </w:div>
                  </w:divsChild>
                </w:div>
                <w:div w:id="276915638">
                  <w:marLeft w:val="0"/>
                  <w:marRight w:val="0"/>
                  <w:marTop w:val="0"/>
                  <w:marBottom w:val="0"/>
                  <w:divBdr>
                    <w:top w:val="none" w:sz="0" w:space="0" w:color="auto"/>
                    <w:left w:val="none" w:sz="0" w:space="0" w:color="auto"/>
                    <w:bottom w:val="none" w:sz="0" w:space="0" w:color="auto"/>
                    <w:right w:val="none" w:sz="0" w:space="0" w:color="auto"/>
                  </w:divBdr>
                  <w:divsChild>
                    <w:div w:id="1394085295">
                      <w:marLeft w:val="0"/>
                      <w:marRight w:val="0"/>
                      <w:marTop w:val="0"/>
                      <w:marBottom w:val="0"/>
                      <w:divBdr>
                        <w:top w:val="none" w:sz="0" w:space="0" w:color="auto"/>
                        <w:left w:val="none" w:sz="0" w:space="0" w:color="auto"/>
                        <w:bottom w:val="none" w:sz="0" w:space="0" w:color="auto"/>
                        <w:right w:val="none" w:sz="0" w:space="0" w:color="auto"/>
                      </w:divBdr>
                    </w:div>
                  </w:divsChild>
                </w:div>
                <w:div w:id="284434741">
                  <w:marLeft w:val="0"/>
                  <w:marRight w:val="0"/>
                  <w:marTop w:val="0"/>
                  <w:marBottom w:val="0"/>
                  <w:divBdr>
                    <w:top w:val="none" w:sz="0" w:space="0" w:color="auto"/>
                    <w:left w:val="none" w:sz="0" w:space="0" w:color="auto"/>
                    <w:bottom w:val="none" w:sz="0" w:space="0" w:color="auto"/>
                    <w:right w:val="none" w:sz="0" w:space="0" w:color="auto"/>
                  </w:divBdr>
                  <w:divsChild>
                    <w:div w:id="864757183">
                      <w:marLeft w:val="0"/>
                      <w:marRight w:val="0"/>
                      <w:marTop w:val="0"/>
                      <w:marBottom w:val="0"/>
                      <w:divBdr>
                        <w:top w:val="none" w:sz="0" w:space="0" w:color="auto"/>
                        <w:left w:val="none" w:sz="0" w:space="0" w:color="auto"/>
                        <w:bottom w:val="none" w:sz="0" w:space="0" w:color="auto"/>
                        <w:right w:val="none" w:sz="0" w:space="0" w:color="auto"/>
                      </w:divBdr>
                    </w:div>
                  </w:divsChild>
                </w:div>
                <w:div w:id="294261807">
                  <w:marLeft w:val="0"/>
                  <w:marRight w:val="0"/>
                  <w:marTop w:val="0"/>
                  <w:marBottom w:val="0"/>
                  <w:divBdr>
                    <w:top w:val="none" w:sz="0" w:space="0" w:color="auto"/>
                    <w:left w:val="none" w:sz="0" w:space="0" w:color="auto"/>
                    <w:bottom w:val="none" w:sz="0" w:space="0" w:color="auto"/>
                    <w:right w:val="none" w:sz="0" w:space="0" w:color="auto"/>
                  </w:divBdr>
                  <w:divsChild>
                    <w:div w:id="1562984006">
                      <w:marLeft w:val="0"/>
                      <w:marRight w:val="0"/>
                      <w:marTop w:val="0"/>
                      <w:marBottom w:val="0"/>
                      <w:divBdr>
                        <w:top w:val="none" w:sz="0" w:space="0" w:color="auto"/>
                        <w:left w:val="none" w:sz="0" w:space="0" w:color="auto"/>
                        <w:bottom w:val="none" w:sz="0" w:space="0" w:color="auto"/>
                        <w:right w:val="none" w:sz="0" w:space="0" w:color="auto"/>
                      </w:divBdr>
                    </w:div>
                  </w:divsChild>
                </w:div>
                <w:div w:id="324935947">
                  <w:marLeft w:val="0"/>
                  <w:marRight w:val="0"/>
                  <w:marTop w:val="0"/>
                  <w:marBottom w:val="0"/>
                  <w:divBdr>
                    <w:top w:val="none" w:sz="0" w:space="0" w:color="auto"/>
                    <w:left w:val="none" w:sz="0" w:space="0" w:color="auto"/>
                    <w:bottom w:val="none" w:sz="0" w:space="0" w:color="auto"/>
                    <w:right w:val="none" w:sz="0" w:space="0" w:color="auto"/>
                  </w:divBdr>
                  <w:divsChild>
                    <w:div w:id="1850292238">
                      <w:marLeft w:val="0"/>
                      <w:marRight w:val="0"/>
                      <w:marTop w:val="0"/>
                      <w:marBottom w:val="0"/>
                      <w:divBdr>
                        <w:top w:val="none" w:sz="0" w:space="0" w:color="auto"/>
                        <w:left w:val="none" w:sz="0" w:space="0" w:color="auto"/>
                        <w:bottom w:val="none" w:sz="0" w:space="0" w:color="auto"/>
                        <w:right w:val="none" w:sz="0" w:space="0" w:color="auto"/>
                      </w:divBdr>
                    </w:div>
                  </w:divsChild>
                </w:div>
                <w:div w:id="400372946">
                  <w:marLeft w:val="0"/>
                  <w:marRight w:val="0"/>
                  <w:marTop w:val="0"/>
                  <w:marBottom w:val="0"/>
                  <w:divBdr>
                    <w:top w:val="none" w:sz="0" w:space="0" w:color="auto"/>
                    <w:left w:val="none" w:sz="0" w:space="0" w:color="auto"/>
                    <w:bottom w:val="none" w:sz="0" w:space="0" w:color="auto"/>
                    <w:right w:val="none" w:sz="0" w:space="0" w:color="auto"/>
                  </w:divBdr>
                  <w:divsChild>
                    <w:div w:id="283997927">
                      <w:marLeft w:val="0"/>
                      <w:marRight w:val="0"/>
                      <w:marTop w:val="0"/>
                      <w:marBottom w:val="0"/>
                      <w:divBdr>
                        <w:top w:val="none" w:sz="0" w:space="0" w:color="auto"/>
                        <w:left w:val="none" w:sz="0" w:space="0" w:color="auto"/>
                        <w:bottom w:val="none" w:sz="0" w:space="0" w:color="auto"/>
                        <w:right w:val="none" w:sz="0" w:space="0" w:color="auto"/>
                      </w:divBdr>
                    </w:div>
                  </w:divsChild>
                </w:div>
                <w:div w:id="500854925">
                  <w:marLeft w:val="0"/>
                  <w:marRight w:val="0"/>
                  <w:marTop w:val="0"/>
                  <w:marBottom w:val="0"/>
                  <w:divBdr>
                    <w:top w:val="none" w:sz="0" w:space="0" w:color="auto"/>
                    <w:left w:val="none" w:sz="0" w:space="0" w:color="auto"/>
                    <w:bottom w:val="none" w:sz="0" w:space="0" w:color="auto"/>
                    <w:right w:val="none" w:sz="0" w:space="0" w:color="auto"/>
                  </w:divBdr>
                  <w:divsChild>
                    <w:div w:id="653336202">
                      <w:marLeft w:val="0"/>
                      <w:marRight w:val="0"/>
                      <w:marTop w:val="0"/>
                      <w:marBottom w:val="0"/>
                      <w:divBdr>
                        <w:top w:val="none" w:sz="0" w:space="0" w:color="auto"/>
                        <w:left w:val="none" w:sz="0" w:space="0" w:color="auto"/>
                        <w:bottom w:val="none" w:sz="0" w:space="0" w:color="auto"/>
                        <w:right w:val="none" w:sz="0" w:space="0" w:color="auto"/>
                      </w:divBdr>
                    </w:div>
                  </w:divsChild>
                </w:div>
                <w:div w:id="545601517">
                  <w:marLeft w:val="0"/>
                  <w:marRight w:val="0"/>
                  <w:marTop w:val="0"/>
                  <w:marBottom w:val="0"/>
                  <w:divBdr>
                    <w:top w:val="none" w:sz="0" w:space="0" w:color="auto"/>
                    <w:left w:val="none" w:sz="0" w:space="0" w:color="auto"/>
                    <w:bottom w:val="none" w:sz="0" w:space="0" w:color="auto"/>
                    <w:right w:val="none" w:sz="0" w:space="0" w:color="auto"/>
                  </w:divBdr>
                  <w:divsChild>
                    <w:div w:id="88427126">
                      <w:marLeft w:val="0"/>
                      <w:marRight w:val="0"/>
                      <w:marTop w:val="0"/>
                      <w:marBottom w:val="0"/>
                      <w:divBdr>
                        <w:top w:val="none" w:sz="0" w:space="0" w:color="auto"/>
                        <w:left w:val="none" w:sz="0" w:space="0" w:color="auto"/>
                        <w:bottom w:val="none" w:sz="0" w:space="0" w:color="auto"/>
                        <w:right w:val="none" w:sz="0" w:space="0" w:color="auto"/>
                      </w:divBdr>
                    </w:div>
                  </w:divsChild>
                </w:div>
                <w:div w:id="699471726">
                  <w:marLeft w:val="0"/>
                  <w:marRight w:val="0"/>
                  <w:marTop w:val="0"/>
                  <w:marBottom w:val="0"/>
                  <w:divBdr>
                    <w:top w:val="none" w:sz="0" w:space="0" w:color="auto"/>
                    <w:left w:val="none" w:sz="0" w:space="0" w:color="auto"/>
                    <w:bottom w:val="none" w:sz="0" w:space="0" w:color="auto"/>
                    <w:right w:val="none" w:sz="0" w:space="0" w:color="auto"/>
                  </w:divBdr>
                  <w:divsChild>
                    <w:div w:id="2106346152">
                      <w:marLeft w:val="0"/>
                      <w:marRight w:val="0"/>
                      <w:marTop w:val="0"/>
                      <w:marBottom w:val="0"/>
                      <w:divBdr>
                        <w:top w:val="none" w:sz="0" w:space="0" w:color="auto"/>
                        <w:left w:val="none" w:sz="0" w:space="0" w:color="auto"/>
                        <w:bottom w:val="none" w:sz="0" w:space="0" w:color="auto"/>
                        <w:right w:val="none" w:sz="0" w:space="0" w:color="auto"/>
                      </w:divBdr>
                    </w:div>
                  </w:divsChild>
                </w:div>
                <w:div w:id="739987276">
                  <w:marLeft w:val="0"/>
                  <w:marRight w:val="0"/>
                  <w:marTop w:val="0"/>
                  <w:marBottom w:val="0"/>
                  <w:divBdr>
                    <w:top w:val="none" w:sz="0" w:space="0" w:color="auto"/>
                    <w:left w:val="none" w:sz="0" w:space="0" w:color="auto"/>
                    <w:bottom w:val="none" w:sz="0" w:space="0" w:color="auto"/>
                    <w:right w:val="none" w:sz="0" w:space="0" w:color="auto"/>
                  </w:divBdr>
                  <w:divsChild>
                    <w:div w:id="1963919719">
                      <w:marLeft w:val="0"/>
                      <w:marRight w:val="0"/>
                      <w:marTop w:val="0"/>
                      <w:marBottom w:val="0"/>
                      <w:divBdr>
                        <w:top w:val="none" w:sz="0" w:space="0" w:color="auto"/>
                        <w:left w:val="none" w:sz="0" w:space="0" w:color="auto"/>
                        <w:bottom w:val="none" w:sz="0" w:space="0" w:color="auto"/>
                        <w:right w:val="none" w:sz="0" w:space="0" w:color="auto"/>
                      </w:divBdr>
                    </w:div>
                  </w:divsChild>
                </w:div>
                <w:div w:id="756176462">
                  <w:marLeft w:val="0"/>
                  <w:marRight w:val="0"/>
                  <w:marTop w:val="0"/>
                  <w:marBottom w:val="0"/>
                  <w:divBdr>
                    <w:top w:val="none" w:sz="0" w:space="0" w:color="auto"/>
                    <w:left w:val="none" w:sz="0" w:space="0" w:color="auto"/>
                    <w:bottom w:val="none" w:sz="0" w:space="0" w:color="auto"/>
                    <w:right w:val="none" w:sz="0" w:space="0" w:color="auto"/>
                  </w:divBdr>
                  <w:divsChild>
                    <w:div w:id="1470436641">
                      <w:marLeft w:val="0"/>
                      <w:marRight w:val="0"/>
                      <w:marTop w:val="0"/>
                      <w:marBottom w:val="0"/>
                      <w:divBdr>
                        <w:top w:val="none" w:sz="0" w:space="0" w:color="auto"/>
                        <w:left w:val="none" w:sz="0" w:space="0" w:color="auto"/>
                        <w:bottom w:val="none" w:sz="0" w:space="0" w:color="auto"/>
                        <w:right w:val="none" w:sz="0" w:space="0" w:color="auto"/>
                      </w:divBdr>
                    </w:div>
                  </w:divsChild>
                </w:div>
                <w:div w:id="769011138">
                  <w:marLeft w:val="0"/>
                  <w:marRight w:val="0"/>
                  <w:marTop w:val="0"/>
                  <w:marBottom w:val="0"/>
                  <w:divBdr>
                    <w:top w:val="none" w:sz="0" w:space="0" w:color="auto"/>
                    <w:left w:val="none" w:sz="0" w:space="0" w:color="auto"/>
                    <w:bottom w:val="none" w:sz="0" w:space="0" w:color="auto"/>
                    <w:right w:val="none" w:sz="0" w:space="0" w:color="auto"/>
                  </w:divBdr>
                  <w:divsChild>
                    <w:div w:id="221329109">
                      <w:marLeft w:val="0"/>
                      <w:marRight w:val="0"/>
                      <w:marTop w:val="0"/>
                      <w:marBottom w:val="0"/>
                      <w:divBdr>
                        <w:top w:val="none" w:sz="0" w:space="0" w:color="auto"/>
                        <w:left w:val="none" w:sz="0" w:space="0" w:color="auto"/>
                        <w:bottom w:val="none" w:sz="0" w:space="0" w:color="auto"/>
                        <w:right w:val="none" w:sz="0" w:space="0" w:color="auto"/>
                      </w:divBdr>
                    </w:div>
                  </w:divsChild>
                </w:div>
                <w:div w:id="929200448">
                  <w:marLeft w:val="0"/>
                  <w:marRight w:val="0"/>
                  <w:marTop w:val="0"/>
                  <w:marBottom w:val="0"/>
                  <w:divBdr>
                    <w:top w:val="none" w:sz="0" w:space="0" w:color="auto"/>
                    <w:left w:val="none" w:sz="0" w:space="0" w:color="auto"/>
                    <w:bottom w:val="none" w:sz="0" w:space="0" w:color="auto"/>
                    <w:right w:val="none" w:sz="0" w:space="0" w:color="auto"/>
                  </w:divBdr>
                  <w:divsChild>
                    <w:div w:id="1588154345">
                      <w:marLeft w:val="0"/>
                      <w:marRight w:val="0"/>
                      <w:marTop w:val="0"/>
                      <w:marBottom w:val="0"/>
                      <w:divBdr>
                        <w:top w:val="none" w:sz="0" w:space="0" w:color="auto"/>
                        <w:left w:val="none" w:sz="0" w:space="0" w:color="auto"/>
                        <w:bottom w:val="none" w:sz="0" w:space="0" w:color="auto"/>
                        <w:right w:val="none" w:sz="0" w:space="0" w:color="auto"/>
                      </w:divBdr>
                    </w:div>
                  </w:divsChild>
                </w:div>
                <w:div w:id="984744403">
                  <w:marLeft w:val="0"/>
                  <w:marRight w:val="0"/>
                  <w:marTop w:val="0"/>
                  <w:marBottom w:val="0"/>
                  <w:divBdr>
                    <w:top w:val="none" w:sz="0" w:space="0" w:color="auto"/>
                    <w:left w:val="none" w:sz="0" w:space="0" w:color="auto"/>
                    <w:bottom w:val="none" w:sz="0" w:space="0" w:color="auto"/>
                    <w:right w:val="none" w:sz="0" w:space="0" w:color="auto"/>
                  </w:divBdr>
                  <w:divsChild>
                    <w:div w:id="288711128">
                      <w:marLeft w:val="0"/>
                      <w:marRight w:val="0"/>
                      <w:marTop w:val="0"/>
                      <w:marBottom w:val="0"/>
                      <w:divBdr>
                        <w:top w:val="none" w:sz="0" w:space="0" w:color="auto"/>
                        <w:left w:val="none" w:sz="0" w:space="0" w:color="auto"/>
                        <w:bottom w:val="none" w:sz="0" w:space="0" w:color="auto"/>
                        <w:right w:val="none" w:sz="0" w:space="0" w:color="auto"/>
                      </w:divBdr>
                    </w:div>
                  </w:divsChild>
                </w:div>
                <w:div w:id="1273825056">
                  <w:marLeft w:val="0"/>
                  <w:marRight w:val="0"/>
                  <w:marTop w:val="0"/>
                  <w:marBottom w:val="0"/>
                  <w:divBdr>
                    <w:top w:val="none" w:sz="0" w:space="0" w:color="auto"/>
                    <w:left w:val="none" w:sz="0" w:space="0" w:color="auto"/>
                    <w:bottom w:val="none" w:sz="0" w:space="0" w:color="auto"/>
                    <w:right w:val="none" w:sz="0" w:space="0" w:color="auto"/>
                  </w:divBdr>
                  <w:divsChild>
                    <w:div w:id="1364860698">
                      <w:marLeft w:val="0"/>
                      <w:marRight w:val="0"/>
                      <w:marTop w:val="0"/>
                      <w:marBottom w:val="0"/>
                      <w:divBdr>
                        <w:top w:val="none" w:sz="0" w:space="0" w:color="auto"/>
                        <w:left w:val="none" w:sz="0" w:space="0" w:color="auto"/>
                        <w:bottom w:val="none" w:sz="0" w:space="0" w:color="auto"/>
                        <w:right w:val="none" w:sz="0" w:space="0" w:color="auto"/>
                      </w:divBdr>
                    </w:div>
                  </w:divsChild>
                </w:div>
                <w:div w:id="1294025443">
                  <w:marLeft w:val="0"/>
                  <w:marRight w:val="0"/>
                  <w:marTop w:val="0"/>
                  <w:marBottom w:val="0"/>
                  <w:divBdr>
                    <w:top w:val="none" w:sz="0" w:space="0" w:color="auto"/>
                    <w:left w:val="none" w:sz="0" w:space="0" w:color="auto"/>
                    <w:bottom w:val="none" w:sz="0" w:space="0" w:color="auto"/>
                    <w:right w:val="none" w:sz="0" w:space="0" w:color="auto"/>
                  </w:divBdr>
                  <w:divsChild>
                    <w:div w:id="885139451">
                      <w:marLeft w:val="0"/>
                      <w:marRight w:val="0"/>
                      <w:marTop w:val="0"/>
                      <w:marBottom w:val="0"/>
                      <w:divBdr>
                        <w:top w:val="none" w:sz="0" w:space="0" w:color="auto"/>
                        <w:left w:val="none" w:sz="0" w:space="0" w:color="auto"/>
                        <w:bottom w:val="none" w:sz="0" w:space="0" w:color="auto"/>
                        <w:right w:val="none" w:sz="0" w:space="0" w:color="auto"/>
                      </w:divBdr>
                    </w:div>
                  </w:divsChild>
                </w:div>
                <w:div w:id="1308046303">
                  <w:marLeft w:val="0"/>
                  <w:marRight w:val="0"/>
                  <w:marTop w:val="0"/>
                  <w:marBottom w:val="0"/>
                  <w:divBdr>
                    <w:top w:val="none" w:sz="0" w:space="0" w:color="auto"/>
                    <w:left w:val="none" w:sz="0" w:space="0" w:color="auto"/>
                    <w:bottom w:val="none" w:sz="0" w:space="0" w:color="auto"/>
                    <w:right w:val="none" w:sz="0" w:space="0" w:color="auto"/>
                  </w:divBdr>
                  <w:divsChild>
                    <w:div w:id="545875610">
                      <w:marLeft w:val="0"/>
                      <w:marRight w:val="0"/>
                      <w:marTop w:val="0"/>
                      <w:marBottom w:val="0"/>
                      <w:divBdr>
                        <w:top w:val="none" w:sz="0" w:space="0" w:color="auto"/>
                        <w:left w:val="none" w:sz="0" w:space="0" w:color="auto"/>
                        <w:bottom w:val="none" w:sz="0" w:space="0" w:color="auto"/>
                        <w:right w:val="none" w:sz="0" w:space="0" w:color="auto"/>
                      </w:divBdr>
                    </w:div>
                  </w:divsChild>
                </w:div>
                <w:div w:id="1584797246">
                  <w:marLeft w:val="0"/>
                  <w:marRight w:val="0"/>
                  <w:marTop w:val="0"/>
                  <w:marBottom w:val="0"/>
                  <w:divBdr>
                    <w:top w:val="none" w:sz="0" w:space="0" w:color="auto"/>
                    <w:left w:val="none" w:sz="0" w:space="0" w:color="auto"/>
                    <w:bottom w:val="none" w:sz="0" w:space="0" w:color="auto"/>
                    <w:right w:val="none" w:sz="0" w:space="0" w:color="auto"/>
                  </w:divBdr>
                  <w:divsChild>
                    <w:div w:id="108159148">
                      <w:marLeft w:val="0"/>
                      <w:marRight w:val="0"/>
                      <w:marTop w:val="0"/>
                      <w:marBottom w:val="0"/>
                      <w:divBdr>
                        <w:top w:val="none" w:sz="0" w:space="0" w:color="auto"/>
                        <w:left w:val="none" w:sz="0" w:space="0" w:color="auto"/>
                        <w:bottom w:val="none" w:sz="0" w:space="0" w:color="auto"/>
                        <w:right w:val="none" w:sz="0" w:space="0" w:color="auto"/>
                      </w:divBdr>
                    </w:div>
                  </w:divsChild>
                </w:div>
                <w:div w:id="1604873212">
                  <w:marLeft w:val="0"/>
                  <w:marRight w:val="0"/>
                  <w:marTop w:val="0"/>
                  <w:marBottom w:val="0"/>
                  <w:divBdr>
                    <w:top w:val="none" w:sz="0" w:space="0" w:color="auto"/>
                    <w:left w:val="none" w:sz="0" w:space="0" w:color="auto"/>
                    <w:bottom w:val="none" w:sz="0" w:space="0" w:color="auto"/>
                    <w:right w:val="none" w:sz="0" w:space="0" w:color="auto"/>
                  </w:divBdr>
                  <w:divsChild>
                    <w:div w:id="1165125351">
                      <w:marLeft w:val="0"/>
                      <w:marRight w:val="0"/>
                      <w:marTop w:val="0"/>
                      <w:marBottom w:val="0"/>
                      <w:divBdr>
                        <w:top w:val="none" w:sz="0" w:space="0" w:color="auto"/>
                        <w:left w:val="none" w:sz="0" w:space="0" w:color="auto"/>
                        <w:bottom w:val="none" w:sz="0" w:space="0" w:color="auto"/>
                        <w:right w:val="none" w:sz="0" w:space="0" w:color="auto"/>
                      </w:divBdr>
                    </w:div>
                  </w:divsChild>
                </w:div>
                <w:div w:id="1734310037">
                  <w:marLeft w:val="0"/>
                  <w:marRight w:val="0"/>
                  <w:marTop w:val="0"/>
                  <w:marBottom w:val="0"/>
                  <w:divBdr>
                    <w:top w:val="none" w:sz="0" w:space="0" w:color="auto"/>
                    <w:left w:val="none" w:sz="0" w:space="0" w:color="auto"/>
                    <w:bottom w:val="none" w:sz="0" w:space="0" w:color="auto"/>
                    <w:right w:val="none" w:sz="0" w:space="0" w:color="auto"/>
                  </w:divBdr>
                  <w:divsChild>
                    <w:div w:id="1488354772">
                      <w:marLeft w:val="0"/>
                      <w:marRight w:val="0"/>
                      <w:marTop w:val="0"/>
                      <w:marBottom w:val="0"/>
                      <w:divBdr>
                        <w:top w:val="none" w:sz="0" w:space="0" w:color="auto"/>
                        <w:left w:val="none" w:sz="0" w:space="0" w:color="auto"/>
                        <w:bottom w:val="none" w:sz="0" w:space="0" w:color="auto"/>
                        <w:right w:val="none" w:sz="0" w:space="0" w:color="auto"/>
                      </w:divBdr>
                    </w:div>
                  </w:divsChild>
                </w:div>
                <w:div w:id="1756627546">
                  <w:marLeft w:val="0"/>
                  <w:marRight w:val="0"/>
                  <w:marTop w:val="0"/>
                  <w:marBottom w:val="0"/>
                  <w:divBdr>
                    <w:top w:val="none" w:sz="0" w:space="0" w:color="auto"/>
                    <w:left w:val="none" w:sz="0" w:space="0" w:color="auto"/>
                    <w:bottom w:val="none" w:sz="0" w:space="0" w:color="auto"/>
                    <w:right w:val="none" w:sz="0" w:space="0" w:color="auto"/>
                  </w:divBdr>
                  <w:divsChild>
                    <w:div w:id="2133592150">
                      <w:marLeft w:val="0"/>
                      <w:marRight w:val="0"/>
                      <w:marTop w:val="0"/>
                      <w:marBottom w:val="0"/>
                      <w:divBdr>
                        <w:top w:val="none" w:sz="0" w:space="0" w:color="auto"/>
                        <w:left w:val="none" w:sz="0" w:space="0" w:color="auto"/>
                        <w:bottom w:val="none" w:sz="0" w:space="0" w:color="auto"/>
                        <w:right w:val="none" w:sz="0" w:space="0" w:color="auto"/>
                      </w:divBdr>
                    </w:div>
                  </w:divsChild>
                </w:div>
                <w:div w:id="1779174179">
                  <w:marLeft w:val="0"/>
                  <w:marRight w:val="0"/>
                  <w:marTop w:val="0"/>
                  <w:marBottom w:val="0"/>
                  <w:divBdr>
                    <w:top w:val="none" w:sz="0" w:space="0" w:color="auto"/>
                    <w:left w:val="none" w:sz="0" w:space="0" w:color="auto"/>
                    <w:bottom w:val="none" w:sz="0" w:space="0" w:color="auto"/>
                    <w:right w:val="none" w:sz="0" w:space="0" w:color="auto"/>
                  </w:divBdr>
                  <w:divsChild>
                    <w:div w:id="1497695812">
                      <w:marLeft w:val="0"/>
                      <w:marRight w:val="0"/>
                      <w:marTop w:val="0"/>
                      <w:marBottom w:val="0"/>
                      <w:divBdr>
                        <w:top w:val="none" w:sz="0" w:space="0" w:color="auto"/>
                        <w:left w:val="none" w:sz="0" w:space="0" w:color="auto"/>
                        <w:bottom w:val="none" w:sz="0" w:space="0" w:color="auto"/>
                        <w:right w:val="none" w:sz="0" w:space="0" w:color="auto"/>
                      </w:divBdr>
                    </w:div>
                  </w:divsChild>
                </w:div>
                <w:div w:id="1811750913">
                  <w:marLeft w:val="0"/>
                  <w:marRight w:val="0"/>
                  <w:marTop w:val="0"/>
                  <w:marBottom w:val="0"/>
                  <w:divBdr>
                    <w:top w:val="none" w:sz="0" w:space="0" w:color="auto"/>
                    <w:left w:val="none" w:sz="0" w:space="0" w:color="auto"/>
                    <w:bottom w:val="none" w:sz="0" w:space="0" w:color="auto"/>
                    <w:right w:val="none" w:sz="0" w:space="0" w:color="auto"/>
                  </w:divBdr>
                  <w:divsChild>
                    <w:div w:id="2052924465">
                      <w:marLeft w:val="0"/>
                      <w:marRight w:val="0"/>
                      <w:marTop w:val="0"/>
                      <w:marBottom w:val="0"/>
                      <w:divBdr>
                        <w:top w:val="none" w:sz="0" w:space="0" w:color="auto"/>
                        <w:left w:val="none" w:sz="0" w:space="0" w:color="auto"/>
                        <w:bottom w:val="none" w:sz="0" w:space="0" w:color="auto"/>
                        <w:right w:val="none" w:sz="0" w:space="0" w:color="auto"/>
                      </w:divBdr>
                    </w:div>
                  </w:divsChild>
                </w:div>
                <w:div w:id="1862669760">
                  <w:marLeft w:val="0"/>
                  <w:marRight w:val="0"/>
                  <w:marTop w:val="0"/>
                  <w:marBottom w:val="0"/>
                  <w:divBdr>
                    <w:top w:val="none" w:sz="0" w:space="0" w:color="auto"/>
                    <w:left w:val="none" w:sz="0" w:space="0" w:color="auto"/>
                    <w:bottom w:val="none" w:sz="0" w:space="0" w:color="auto"/>
                    <w:right w:val="none" w:sz="0" w:space="0" w:color="auto"/>
                  </w:divBdr>
                  <w:divsChild>
                    <w:div w:id="1624461224">
                      <w:marLeft w:val="0"/>
                      <w:marRight w:val="0"/>
                      <w:marTop w:val="0"/>
                      <w:marBottom w:val="0"/>
                      <w:divBdr>
                        <w:top w:val="none" w:sz="0" w:space="0" w:color="auto"/>
                        <w:left w:val="none" w:sz="0" w:space="0" w:color="auto"/>
                        <w:bottom w:val="none" w:sz="0" w:space="0" w:color="auto"/>
                        <w:right w:val="none" w:sz="0" w:space="0" w:color="auto"/>
                      </w:divBdr>
                    </w:div>
                  </w:divsChild>
                </w:div>
                <w:div w:id="2144888471">
                  <w:marLeft w:val="0"/>
                  <w:marRight w:val="0"/>
                  <w:marTop w:val="0"/>
                  <w:marBottom w:val="0"/>
                  <w:divBdr>
                    <w:top w:val="none" w:sz="0" w:space="0" w:color="auto"/>
                    <w:left w:val="none" w:sz="0" w:space="0" w:color="auto"/>
                    <w:bottom w:val="none" w:sz="0" w:space="0" w:color="auto"/>
                    <w:right w:val="none" w:sz="0" w:space="0" w:color="auto"/>
                  </w:divBdr>
                  <w:divsChild>
                    <w:div w:id="2093239538">
                      <w:marLeft w:val="0"/>
                      <w:marRight w:val="0"/>
                      <w:marTop w:val="0"/>
                      <w:marBottom w:val="0"/>
                      <w:divBdr>
                        <w:top w:val="none" w:sz="0" w:space="0" w:color="auto"/>
                        <w:left w:val="none" w:sz="0" w:space="0" w:color="auto"/>
                        <w:bottom w:val="none" w:sz="0" w:space="0" w:color="auto"/>
                        <w:right w:val="none" w:sz="0" w:space="0" w:color="auto"/>
                      </w:divBdr>
                    </w:div>
                  </w:divsChild>
                </w:div>
                <w:div w:id="2145466404">
                  <w:marLeft w:val="0"/>
                  <w:marRight w:val="0"/>
                  <w:marTop w:val="0"/>
                  <w:marBottom w:val="0"/>
                  <w:divBdr>
                    <w:top w:val="none" w:sz="0" w:space="0" w:color="auto"/>
                    <w:left w:val="none" w:sz="0" w:space="0" w:color="auto"/>
                    <w:bottom w:val="none" w:sz="0" w:space="0" w:color="auto"/>
                    <w:right w:val="none" w:sz="0" w:space="0" w:color="auto"/>
                  </w:divBdr>
                  <w:divsChild>
                    <w:div w:id="180514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1122">
          <w:marLeft w:val="0"/>
          <w:marRight w:val="0"/>
          <w:marTop w:val="0"/>
          <w:marBottom w:val="0"/>
          <w:divBdr>
            <w:top w:val="none" w:sz="0" w:space="0" w:color="auto"/>
            <w:left w:val="none" w:sz="0" w:space="0" w:color="auto"/>
            <w:bottom w:val="none" w:sz="0" w:space="0" w:color="auto"/>
            <w:right w:val="none" w:sz="0" w:space="0" w:color="auto"/>
          </w:divBdr>
          <w:divsChild>
            <w:div w:id="1221360198">
              <w:marLeft w:val="-75"/>
              <w:marRight w:val="0"/>
              <w:marTop w:val="30"/>
              <w:marBottom w:val="30"/>
              <w:divBdr>
                <w:top w:val="none" w:sz="0" w:space="0" w:color="auto"/>
                <w:left w:val="none" w:sz="0" w:space="0" w:color="auto"/>
                <w:bottom w:val="none" w:sz="0" w:space="0" w:color="auto"/>
                <w:right w:val="none" w:sz="0" w:space="0" w:color="auto"/>
              </w:divBdr>
              <w:divsChild>
                <w:div w:id="12263825">
                  <w:marLeft w:val="0"/>
                  <w:marRight w:val="0"/>
                  <w:marTop w:val="0"/>
                  <w:marBottom w:val="0"/>
                  <w:divBdr>
                    <w:top w:val="none" w:sz="0" w:space="0" w:color="auto"/>
                    <w:left w:val="none" w:sz="0" w:space="0" w:color="auto"/>
                    <w:bottom w:val="none" w:sz="0" w:space="0" w:color="auto"/>
                    <w:right w:val="none" w:sz="0" w:space="0" w:color="auto"/>
                  </w:divBdr>
                  <w:divsChild>
                    <w:div w:id="18746188">
                      <w:marLeft w:val="0"/>
                      <w:marRight w:val="0"/>
                      <w:marTop w:val="0"/>
                      <w:marBottom w:val="0"/>
                      <w:divBdr>
                        <w:top w:val="none" w:sz="0" w:space="0" w:color="auto"/>
                        <w:left w:val="none" w:sz="0" w:space="0" w:color="auto"/>
                        <w:bottom w:val="none" w:sz="0" w:space="0" w:color="auto"/>
                        <w:right w:val="none" w:sz="0" w:space="0" w:color="auto"/>
                      </w:divBdr>
                    </w:div>
                  </w:divsChild>
                </w:div>
                <w:div w:id="58214808">
                  <w:marLeft w:val="0"/>
                  <w:marRight w:val="0"/>
                  <w:marTop w:val="0"/>
                  <w:marBottom w:val="0"/>
                  <w:divBdr>
                    <w:top w:val="none" w:sz="0" w:space="0" w:color="auto"/>
                    <w:left w:val="none" w:sz="0" w:space="0" w:color="auto"/>
                    <w:bottom w:val="none" w:sz="0" w:space="0" w:color="auto"/>
                    <w:right w:val="none" w:sz="0" w:space="0" w:color="auto"/>
                  </w:divBdr>
                  <w:divsChild>
                    <w:div w:id="1807309130">
                      <w:marLeft w:val="0"/>
                      <w:marRight w:val="0"/>
                      <w:marTop w:val="0"/>
                      <w:marBottom w:val="0"/>
                      <w:divBdr>
                        <w:top w:val="none" w:sz="0" w:space="0" w:color="auto"/>
                        <w:left w:val="none" w:sz="0" w:space="0" w:color="auto"/>
                        <w:bottom w:val="none" w:sz="0" w:space="0" w:color="auto"/>
                        <w:right w:val="none" w:sz="0" w:space="0" w:color="auto"/>
                      </w:divBdr>
                    </w:div>
                  </w:divsChild>
                </w:div>
                <w:div w:id="65304316">
                  <w:marLeft w:val="0"/>
                  <w:marRight w:val="0"/>
                  <w:marTop w:val="0"/>
                  <w:marBottom w:val="0"/>
                  <w:divBdr>
                    <w:top w:val="none" w:sz="0" w:space="0" w:color="auto"/>
                    <w:left w:val="none" w:sz="0" w:space="0" w:color="auto"/>
                    <w:bottom w:val="none" w:sz="0" w:space="0" w:color="auto"/>
                    <w:right w:val="none" w:sz="0" w:space="0" w:color="auto"/>
                  </w:divBdr>
                  <w:divsChild>
                    <w:div w:id="685517183">
                      <w:marLeft w:val="0"/>
                      <w:marRight w:val="0"/>
                      <w:marTop w:val="0"/>
                      <w:marBottom w:val="0"/>
                      <w:divBdr>
                        <w:top w:val="none" w:sz="0" w:space="0" w:color="auto"/>
                        <w:left w:val="none" w:sz="0" w:space="0" w:color="auto"/>
                        <w:bottom w:val="none" w:sz="0" w:space="0" w:color="auto"/>
                        <w:right w:val="none" w:sz="0" w:space="0" w:color="auto"/>
                      </w:divBdr>
                    </w:div>
                  </w:divsChild>
                </w:div>
                <w:div w:id="80182289">
                  <w:marLeft w:val="0"/>
                  <w:marRight w:val="0"/>
                  <w:marTop w:val="0"/>
                  <w:marBottom w:val="0"/>
                  <w:divBdr>
                    <w:top w:val="none" w:sz="0" w:space="0" w:color="auto"/>
                    <w:left w:val="none" w:sz="0" w:space="0" w:color="auto"/>
                    <w:bottom w:val="none" w:sz="0" w:space="0" w:color="auto"/>
                    <w:right w:val="none" w:sz="0" w:space="0" w:color="auto"/>
                  </w:divBdr>
                  <w:divsChild>
                    <w:div w:id="459616299">
                      <w:marLeft w:val="0"/>
                      <w:marRight w:val="0"/>
                      <w:marTop w:val="0"/>
                      <w:marBottom w:val="0"/>
                      <w:divBdr>
                        <w:top w:val="none" w:sz="0" w:space="0" w:color="auto"/>
                        <w:left w:val="none" w:sz="0" w:space="0" w:color="auto"/>
                        <w:bottom w:val="none" w:sz="0" w:space="0" w:color="auto"/>
                        <w:right w:val="none" w:sz="0" w:space="0" w:color="auto"/>
                      </w:divBdr>
                    </w:div>
                  </w:divsChild>
                </w:div>
                <w:div w:id="85736204">
                  <w:marLeft w:val="0"/>
                  <w:marRight w:val="0"/>
                  <w:marTop w:val="0"/>
                  <w:marBottom w:val="0"/>
                  <w:divBdr>
                    <w:top w:val="none" w:sz="0" w:space="0" w:color="auto"/>
                    <w:left w:val="none" w:sz="0" w:space="0" w:color="auto"/>
                    <w:bottom w:val="none" w:sz="0" w:space="0" w:color="auto"/>
                    <w:right w:val="none" w:sz="0" w:space="0" w:color="auto"/>
                  </w:divBdr>
                  <w:divsChild>
                    <w:div w:id="394549574">
                      <w:marLeft w:val="0"/>
                      <w:marRight w:val="0"/>
                      <w:marTop w:val="0"/>
                      <w:marBottom w:val="0"/>
                      <w:divBdr>
                        <w:top w:val="none" w:sz="0" w:space="0" w:color="auto"/>
                        <w:left w:val="none" w:sz="0" w:space="0" w:color="auto"/>
                        <w:bottom w:val="none" w:sz="0" w:space="0" w:color="auto"/>
                        <w:right w:val="none" w:sz="0" w:space="0" w:color="auto"/>
                      </w:divBdr>
                    </w:div>
                  </w:divsChild>
                </w:div>
                <w:div w:id="185559372">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 w:id="188763666">
                  <w:marLeft w:val="0"/>
                  <w:marRight w:val="0"/>
                  <w:marTop w:val="0"/>
                  <w:marBottom w:val="0"/>
                  <w:divBdr>
                    <w:top w:val="none" w:sz="0" w:space="0" w:color="auto"/>
                    <w:left w:val="none" w:sz="0" w:space="0" w:color="auto"/>
                    <w:bottom w:val="none" w:sz="0" w:space="0" w:color="auto"/>
                    <w:right w:val="none" w:sz="0" w:space="0" w:color="auto"/>
                  </w:divBdr>
                  <w:divsChild>
                    <w:div w:id="1062412911">
                      <w:marLeft w:val="0"/>
                      <w:marRight w:val="0"/>
                      <w:marTop w:val="0"/>
                      <w:marBottom w:val="0"/>
                      <w:divBdr>
                        <w:top w:val="none" w:sz="0" w:space="0" w:color="auto"/>
                        <w:left w:val="none" w:sz="0" w:space="0" w:color="auto"/>
                        <w:bottom w:val="none" w:sz="0" w:space="0" w:color="auto"/>
                        <w:right w:val="none" w:sz="0" w:space="0" w:color="auto"/>
                      </w:divBdr>
                    </w:div>
                  </w:divsChild>
                </w:div>
                <w:div w:id="277490948">
                  <w:marLeft w:val="0"/>
                  <w:marRight w:val="0"/>
                  <w:marTop w:val="0"/>
                  <w:marBottom w:val="0"/>
                  <w:divBdr>
                    <w:top w:val="none" w:sz="0" w:space="0" w:color="auto"/>
                    <w:left w:val="none" w:sz="0" w:space="0" w:color="auto"/>
                    <w:bottom w:val="none" w:sz="0" w:space="0" w:color="auto"/>
                    <w:right w:val="none" w:sz="0" w:space="0" w:color="auto"/>
                  </w:divBdr>
                  <w:divsChild>
                    <w:div w:id="606620861">
                      <w:marLeft w:val="0"/>
                      <w:marRight w:val="0"/>
                      <w:marTop w:val="0"/>
                      <w:marBottom w:val="0"/>
                      <w:divBdr>
                        <w:top w:val="none" w:sz="0" w:space="0" w:color="auto"/>
                        <w:left w:val="none" w:sz="0" w:space="0" w:color="auto"/>
                        <w:bottom w:val="none" w:sz="0" w:space="0" w:color="auto"/>
                        <w:right w:val="none" w:sz="0" w:space="0" w:color="auto"/>
                      </w:divBdr>
                    </w:div>
                  </w:divsChild>
                </w:div>
                <w:div w:id="280770382">
                  <w:marLeft w:val="0"/>
                  <w:marRight w:val="0"/>
                  <w:marTop w:val="0"/>
                  <w:marBottom w:val="0"/>
                  <w:divBdr>
                    <w:top w:val="none" w:sz="0" w:space="0" w:color="auto"/>
                    <w:left w:val="none" w:sz="0" w:space="0" w:color="auto"/>
                    <w:bottom w:val="none" w:sz="0" w:space="0" w:color="auto"/>
                    <w:right w:val="none" w:sz="0" w:space="0" w:color="auto"/>
                  </w:divBdr>
                  <w:divsChild>
                    <w:div w:id="262491469">
                      <w:marLeft w:val="0"/>
                      <w:marRight w:val="0"/>
                      <w:marTop w:val="0"/>
                      <w:marBottom w:val="0"/>
                      <w:divBdr>
                        <w:top w:val="none" w:sz="0" w:space="0" w:color="auto"/>
                        <w:left w:val="none" w:sz="0" w:space="0" w:color="auto"/>
                        <w:bottom w:val="none" w:sz="0" w:space="0" w:color="auto"/>
                        <w:right w:val="none" w:sz="0" w:space="0" w:color="auto"/>
                      </w:divBdr>
                    </w:div>
                  </w:divsChild>
                </w:div>
                <w:div w:id="313219687">
                  <w:marLeft w:val="0"/>
                  <w:marRight w:val="0"/>
                  <w:marTop w:val="0"/>
                  <w:marBottom w:val="0"/>
                  <w:divBdr>
                    <w:top w:val="none" w:sz="0" w:space="0" w:color="auto"/>
                    <w:left w:val="none" w:sz="0" w:space="0" w:color="auto"/>
                    <w:bottom w:val="none" w:sz="0" w:space="0" w:color="auto"/>
                    <w:right w:val="none" w:sz="0" w:space="0" w:color="auto"/>
                  </w:divBdr>
                  <w:divsChild>
                    <w:div w:id="799490950">
                      <w:marLeft w:val="0"/>
                      <w:marRight w:val="0"/>
                      <w:marTop w:val="0"/>
                      <w:marBottom w:val="0"/>
                      <w:divBdr>
                        <w:top w:val="none" w:sz="0" w:space="0" w:color="auto"/>
                        <w:left w:val="none" w:sz="0" w:space="0" w:color="auto"/>
                        <w:bottom w:val="none" w:sz="0" w:space="0" w:color="auto"/>
                        <w:right w:val="none" w:sz="0" w:space="0" w:color="auto"/>
                      </w:divBdr>
                    </w:div>
                  </w:divsChild>
                </w:div>
                <w:div w:id="381293482">
                  <w:marLeft w:val="0"/>
                  <w:marRight w:val="0"/>
                  <w:marTop w:val="0"/>
                  <w:marBottom w:val="0"/>
                  <w:divBdr>
                    <w:top w:val="none" w:sz="0" w:space="0" w:color="auto"/>
                    <w:left w:val="none" w:sz="0" w:space="0" w:color="auto"/>
                    <w:bottom w:val="none" w:sz="0" w:space="0" w:color="auto"/>
                    <w:right w:val="none" w:sz="0" w:space="0" w:color="auto"/>
                  </w:divBdr>
                  <w:divsChild>
                    <w:div w:id="1623800556">
                      <w:marLeft w:val="0"/>
                      <w:marRight w:val="0"/>
                      <w:marTop w:val="0"/>
                      <w:marBottom w:val="0"/>
                      <w:divBdr>
                        <w:top w:val="none" w:sz="0" w:space="0" w:color="auto"/>
                        <w:left w:val="none" w:sz="0" w:space="0" w:color="auto"/>
                        <w:bottom w:val="none" w:sz="0" w:space="0" w:color="auto"/>
                        <w:right w:val="none" w:sz="0" w:space="0" w:color="auto"/>
                      </w:divBdr>
                    </w:div>
                  </w:divsChild>
                </w:div>
                <w:div w:id="479812922">
                  <w:marLeft w:val="0"/>
                  <w:marRight w:val="0"/>
                  <w:marTop w:val="0"/>
                  <w:marBottom w:val="0"/>
                  <w:divBdr>
                    <w:top w:val="none" w:sz="0" w:space="0" w:color="auto"/>
                    <w:left w:val="none" w:sz="0" w:space="0" w:color="auto"/>
                    <w:bottom w:val="none" w:sz="0" w:space="0" w:color="auto"/>
                    <w:right w:val="none" w:sz="0" w:space="0" w:color="auto"/>
                  </w:divBdr>
                  <w:divsChild>
                    <w:div w:id="482545976">
                      <w:marLeft w:val="0"/>
                      <w:marRight w:val="0"/>
                      <w:marTop w:val="0"/>
                      <w:marBottom w:val="0"/>
                      <w:divBdr>
                        <w:top w:val="none" w:sz="0" w:space="0" w:color="auto"/>
                        <w:left w:val="none" w:sz="0" w:space="0" w:color="auto"/>
                        <w:bottom w:val="none" w:sz="0" w:space="0" w:color="auto"/>
                        <w:right w:val="none" w:sz="0" w:space="0" w:color="auto"/>
                      </w:divBdr>
                    </w:div>
                  </w:divsChild>
                </w:div>
                <w:div w:id="490565177">
                  <w:marLeft w:val="0"/>
                  <w:marRight w:val="0"/>
                  <w:marTop w:val="0"/>
                  <w:marBottom w:val="0"/>
                  <w:divBdr>
                    <w:top w:val="none" w:sz="0" w:space="0" w:color="auto"/>
                    <w:left w:val="none" w:sz="0" w:space="0" w:color="auto"/>
                    <w:bottom w:val="none" w:sz="0" w:space="0" w:color="auto"/>
                    <w:right w:val="none" w:sz="0" w:space="0" w:color="auto"/>
                  </w:divBdr>
                  <w:divsChild>
                    <w:div w:id="1453011155">
                      <w:marLeft w:val="0"/>
                      <w:marRight w:val="0"/>
                      <w:marTop w:val="0"/>
                      <w:marBottom w:val="0"/>
                      <w:divBdr>
                        <w:top w:val="none" w:sz="0" w:space="0" w:color="auto"/>
                        <w:left w:val="none" w:sz="0" w:space="0" w:color="auto"/>
                        <w:bottom w:val="none" w:sz="0" w:space="0" w:color="auto"/>
                        <w:right w:val="none" w:sz="0" w:space="0" w:color="auto"/>
                      </w:divBdr>
                    </w:div>
                  </w:divsChild>
                </w:div>
                <w:div w:id="556013618">
                  <w:marLeft w:val="0"/>
                  <w:marRight w:val="0"/>
                  <w:marTop w:val="0"/>
                  <w:marBottom w:val="0"/>
                  <w:divBdr>
                    <w:top w:val="none" w:sz="0" w:space="0" w:color="auto"/>
                    <w:left w:val="none" w:sz="0" w:space="0" w:color="auto"/>
                    <w:bottom w:val="none" w:sz="0" w:space="0" w:color="auto"/>
                    <w:right w:val="none" w:sz="0" w:space="0" w:color="auto"/>
                  </w:divBdr>
                  <w:divsChild>
                    <w:div w:id="2014992958">
                      <w:marLeft w:val="0"/>
                      <w:marRight w:val="0"/>
                      <w:marTop w:val="0"/>
                      <w:marBottom w:val="0"/>
                      <w:divBdr>
                        <w:top w:val="none" w:sz="0" w:space="0" w:color="auto"/>
                        <w:left w:val="none" w:sz="0" w:space="0" w:color="auto"/>
                        <w:bottom w:val="none" w:sz="0" w:space="0" w:color="auto"/>
                        <w:right w:val="none" w:sz="0" w:space="0" w:color="auto"/>
                      </w:divBdr>
                    </w:div>
                  </w:divsChild>
                </w:div>
                <w:div w:id="563101172">
                  <w:marLeft w:val="0"/>
                  <w:marRight w:val="0"/>
                  <w:marTop w:val="0"/>
                  <w:marBottom w:val="0"/>
                  <w:divBdr>
                    <w:top w:val="none" w:sz="0" w:space="0" w:color="auto"/>
                    <w:left w:val="none" w:sz="0" w:space="0" w:color="auto"/>
                    <w:bottom w:val="none" w:sz="0" w:space="0" w:color="auto"/>
                    <w:right w:val="none" w:sz="0" w:space="0" w:color="auto"/>
                  </w:divBdr>
                  <w:divsChild>
                    <w:div w:id="1401368377">
                      <w:marLeft w:val="0"/>
                      <w:marRight w:val="0"/>
                      <w:marTop w:val="0"/>
                      <w:marBottom w:val="0"/>
                      <w:divBdr>
                        <w:top w:val="none" w:sz="0" w:space="0" w:color="auto"/>
                        <w:left w:val="none" w:sz="0" w:space="0" w:color="auto"/>
                        <w:bottom w:val="none" w:sz="0" w:space="0" w:color="auto"/>
                        <w:right w:val="none" w:sz="0" w:space="0" w:color="auto"/>
                      </w:divBdr>
                    </w:div>
                  </w:divsChild>
                </w:div>
                <w:div w:id="566189737">
                  <w:marLeft w:val="0"/>
                  <w:marRight w:val="0"/>
                  <w:marTop w:val="0"/>
                  <w:marBottom w:val="0"/>
                  <w:divBdr>
                    <w:top w:val="none" w:sz="0" w:space="0" w:color="auto"/>
                    <w:left w:val="none" w:sz="0" w:space="0" w:color="auto"/>
                    <w:bottom w:val="none" w:sz="0" w:space="0" w:color="auto"/>
                    <w:right w:val="none" w:sz="0" w:space="0" w:color="auto"/>
                  </w:divBdr>
                  <w:divsChild>
                    <w:div w:id="845904702">
                      <w:marLeft w:val="0"/>
                      <w:marRight w:val="0"/>
                      <w:marTop w:val="0"/>
                      <w:marBottom w:val="0"/>
                      <w:divBdr>
                        <w:top w:val="none" w:sz="0" w:space="0" w:color="auto"/>
                        <w:left w:val="none" w:sz="0" w:space="0" w:color="auto"/>
                        <w:bottom w:val="none" w:sz="0" w:space="0" w:color="auto"/>
                        <w:right w:val="none" w:sz="0" w:space="0" w:color="auto"/>
                      </w:divBdr>
                    </w:div>
                  </w:divsChild>
                </w:div>
                <w:div w:id="586353104">
                  <w:marLeft w:val="0"/>
                  <w:marRight w:val="0"/>
                  <w:marTop w:val="0"/>
                  <w:marBottom w:val="0"/>
                  <w:divBdr>
                    <w:top w:val="none" w:sz="0" w:space="0" w:color="auto"/>
                    <w:left w:val="none" w:sz="0" w:space="0" w:color="auto"/>
                    <w:bottom w:val="none" w:sz="0" w:space="0" w:color="auto"/>
                    <w:right w:val="none" w:sz="0" w:space="0" w:color="auto"/>
                  </w:divBdr>
                  <w:divsChild>
                    <w:div w:id="1086342396">
                      <w:marLeft w:val="0"/>
                      <w:marRight w:val="0"/>
                      <w:marTop w:val="0"/>
                      <w:marBottom w:val="0"/>
                      <w:divBdr>
                        <w:top w:val="none" w:sz="0" w:space="0" w:color="auto"/>
                        <w:left w:val="none" w:sz="0" w:space="0" w:color="auto"/>
                        <w:bottom w:val="none" w:sz="0" w:space="0" w:color="auto"/>
                        <w:right w:val="none" w:sz="0" w:space="0" w:color="auto"/>
                      </w:divBdr>
                    </w:div>
                  </w:divsChild>
                </w:div>
                <w:div w:id="586614726">
                  <w:marLeft w:val="0"/>
                  <w:marRight w:val="0"/>
                  <w:marTop w:val="0"/>
                  <w:marBottom w:val="0"/>
                  <w:divBdr>
                    <w:top w:val="none" w:sz="0" w:space="0" w:color="auto"/>
                    <w:left w:val="none" w:sz="0" w:space="0" w:color="auto"/>
                    <w:bottom w:val="none" w:sz="0" w:space="0" w:color="auto"/>
                    <w:right w:val="none" w:sz="0" w:space="0" w:color="auto"/>
                  </w:divBdr>
                  <w:divsChild>
                    <w:div w:id="1058669642">
                      <w:marLeft w:val="0"/>
                      <w:marRight w:val="0"/>
                      <w:marTop w:val="0"/>
                      <w:marBottom w:val="0"/>
                      <w:divBdr>
                        <w:top w:val="none" w:sz="0" w:space="0" w:color="auto"/>
                        <w:left w:val="none" w:sz="0" w:space="0" w:color="auto"/>
                        <w:bottom w:val="none" w:sz="0" w:space="0" w:color="auto"/>
                        <w:right w:val="none" w:sz="0" w:space="0" w:color="auto"/>
                      </w:divBdr>
                    </w:div>
                  </w:divsChild>
                </w:div>
                <w:div w:id="655107352">
                  <w:marLeft w:val="0"/>
                  <w:marRight w:val="0"/>
                  <w:marTop w:val="0"/>
                  <w:marBottom w:val="0"/>
                  <w:divBdr>
                    <w:top w:val="none" w:sz="0" w:space="0" w:color="auto"/>
                    <w:left w:val="none" w:sz="0" w:space="0" w:color="auto"/>
                    <w:bottom w:val="none" w:sz="0" w:space="0" w:color="auto"/>
                    <w:right w:val="none" w:sz="0" w:space="0" w:color="auto"/>
                  </w:divBdr>
                  <w:divsChild>
                    <w:div w:id="354767246">
                      <w:marLeft w:val="0"/>
                      <w:marRight w:val="0"/>
                      <w:marTop w:val="0"/>
                      <w:marBottom w:val="0"/>
                      <w:divBdr>
                        <w:top w:val="none" w:sz="0" w:space="0" w:color="auto"/>
                        <w:left w:val="none" w:sz="0" w:space="0" w:color="auto"/>
                        <w:bottom w:val="none" w:sz="0" w:space="0" w:color="auto"/>
                        <w:right w:val="none" w:sz="0" w:space="0" w:color="auto"/>
                      </w:divBdr>
                    </w:div>
                    <w:div w:id="1347556164">
                      <w:marLeft w:val="0"/>
                      <w:marRight w:val="0"/>
                      <w:marTop w:val="0"/>
                      <w:marBottom w:val="0"/>
                      <w:divBdr>
                        <w:top w:val="none" w:sz="0" w:space="0" w:color="auto"/>
                        <w:left w:val="none" w:sz="0" w:space="0" w:color="auto"/>
                        <w:bottom w:val="none" w:sz="0" w:space="0" w:color="auto"/>
                        <w:right w:val="none" w:sz="0" w:space="0" w:color="auto"/>
                      </w:divBdr>
                    </w:div>
                  </w:divsChild>
                </w:div>
                <w:div w:id="674067199">
                  <w:marLeft w:val="0"/>
                  <w:marRight w:val="0"/>
                  <w:marTop w:val="0"/>
                  <w:marBottom w:val="0"/>
                  <w:divBdr>
                    <w:top w:val="none" w:sz="0" w:space="0" w:color="auto"/>
                    <w:left w:val="none" w:sz="0" w:space="0" w:color="auto"/>
                    <w:bottom w:val="none" w:sz="0" w:space="0" w:color="auto"/>
                    <w:right w:val="none" w:sz="0" w:space="0" w:color="auto"/>
                  </w:divBdr>
                  <w:divsChild>
                    <w:div w:id="449014008">
                      <w:marLeft w:val="0"/>
                      <w:marRight w:val="0"/>
                      <w:marTop w:val="0"/>
                      <w:marBottom w:val="0"/>
                      <w:divBdr>
                        <w:top w:val="none" w:sz="0" w:space="0" w:color="auto"/>
                        <w:left w:val="none" w:sz="0" w:space="0" w:color="auto"/>
                        <w:bottom w:val="none" w:sz="0" w:space="0" w:color="auto"/>
                        <w:right w:val="none" w:sz="0" w:space="0" w:color="auto"/>
                      </w:divBdr>
                    </w:div>
                  </w:divsChild>
                </w:div>
                <w:div w:id="739013625">
                  <w:marLeft w:val="0"/>
                  <w:marRight w:val="0"/>
                  <w:marTop w:val="0"/>
                  <w:marBottom w:val="0"/>
                  <w:divBdr>
                    <w:top w:val="none" w:sz="0" w:space="0" w:color="auto"/>
                    <w:left w:val="none" w:sz="0" w:space="0" w:color="auto"/>
                    <w:bottom w:val="none" w:sz="0" w:space="0" w:color="auto"/>
                    <w:right w:val="none" w:sz="0" w:space="0" w:color="auto"/>
                  </w:divBdr>
                  <w:divsChild>
                    <w:div w:id="166408707">
                      <w:marLeft w:val="0"/>
                      <w:marRight w:val="0"/>
                      <w:marTop w:val="0"/>
                      <w:marBottom w:val="0"/>
                      <w:divBdr>
                        <w:top w:val="none" w:sz="0" w:space="0" w:color="auto"/>
                        <w:left w:val="none" w:sz="0" w:space="0" w:color="auto"/>
                        <w:bottom w:val="none" w:sz="0" w:space="0" w:color="auto"/>
                        <w:right w:val="none" w:sz="0" w:space="0" w:color="auto"/>
                      </w:divBdr>
                    </w:div>
                  </w:divsChild>
                </w:div>
                <w:div w:id="813527530">
                  <w:marLeft w:val="0"/>
                  <w:marRight w:val="0"/>
                  <w:marTop w:val="0"/>
                  <w:marBottom w:val="0"/>
                  <w:divBdr>
                    <w:top w:val="none" w:sz="0" w:space="0" w:color="auto"/>
                    <w:left w:val="none" w:sz="0" w:space="0" w:color="auto"/>
                    <w:bottom w:val="none" w:sz="0" w:space="0" w:color="auto"/>
                    <w:right w:val="none" w:sz="0" w:space="0" w:color="auto"/>
                  </w:divBdr>
                  <w:divsChild>
                    <w:div w:id="894269937">
                      <w:marLeft w:val="0"/>
                      <w:marRight w:val="0"/>
                      <w:marTop w:val="0"/>
                      <w:marBottom w:val="0"/>
                      <w:divBdr>
                        <w:top w:val="none" w:sz="0" w:space="0" w:color="auto"/>
                        <w:left w:val="none" w:sz="0" w:space="0" w:color="auto"/>
                        <w:bottom w:val="none" w:sz="0" w:space="0" w:color="auto"/>
                        <w:right w:val="none" w:sz="0" w:space="0" w:color="auto"/>
                      </w:divBdr>
                    </w:div>
                  </w:divsChild>
                </w:div>
                <w:div w:id="815801177">
                  <w:marLeft w:val="0"/>
                  <w:marRight w:val="0"/>
                  <w:marTop w:val="0"/>
                  <w:marBottom w:val="0"/>
                  <w:divBdr>
                    <w:top w:val="none" w:sz="0" w:space="0" w:color="auto"/>
                    <w:left w:val="none" w:sz="0" w:space="0" w:color="auto"/>
                    <w:bottom w:val="none" w:sz="0" w:space="0" w:color="auto"/>
                    <w:right w:val="none" w:sz="0" w:space="0" w:color="auto"/>
                  </w:divBdr>
                  <w:divsChild>
                    <w:div w:id="511073838">
                      <w:marLeft w:val="0"/>
                      <w:marRight w:val="0"/>
                      <w:marTop w:val="0"/>
                      <w:marBottom w:val="0"/>
                      <w:divBdr>
                        <w:top w:val="none" w:sz="0" w:space="0" w:color="auto"/>
                        <w:left w:val="none" w:sz="0" w:space="0" w:color="auto"/>
                        <w:bottom w:val="none" w:sz="0" w:space="0" w:color="auto"/>
                        <w:right w:val="none" w:sz="0" w:space="0" w:color="auto"/>
                      </w:divBdr>
                    </w:div>
                  </w:divsChild>
                </w:div>
                <w:div w:id="827785405">
                  <w:marLeft w:val="0"/>
                  <w:marRight w:val="0"/>
                  <w:marTop w:val="0"/>
                  <w:marBottom w:val="0"/>
                  <w:divBdr>
                    <w:top w:val="none" w:sz="0" w:space="0" w:color="auto"/>
                    <w:left w:val="none" w:sz="0" w:space="0" w:color="auto"/>
                    <w:bottom w:val="none" w:sz="0" w:space="0" w:color="auto"/>
                    <w:right w:val="none" w:sz="0" w:space="0" w:color="auto"/>
                  </w:divBdr>
                  <w:divsChild>
                    <w:div w:id="218715360">
                      <w:marLeft w:val="0"/>
                      <w:marRight w:val="0"/>
                      <w:marTop w:val="0"/>
                      <w:marBottom w:val="0"/>
                      <w:divBdr>
                        <w:top w:val="none" w:sz="0" w:space="0" w:color="auto"/>
                        <w:left w:val="none" w:sz="0" w:space="0" w:color="auto"/>
                        <w:bottom w:val="none" w:sz="0" w:space="0" w:color="auto"/>
                        <w:right w:val="none" w:sz="0" w:space="0" w:color="auto"/>
                      </w:divBdr>
                    </w:div>
                  </w:divsChild>
                </w:div>
                <w:div w:id="837816527">
                  <w:marLeft w:val="0"/>
                  <w:marRight w:val="0"/>
                  <w:marTop w:val="0"/>
                  <w:marBottom w:val="0"/>
                  <w:divBdr>
                    <w:top w:val="none" w:sz="0" w:space="0" w:color="auto"/>
                    <w:left w:val="none" w:sz="0" w:space="0" w:color="auto"/>
                    <w:bottom w:val="none" w:sz="0" w:space="0" w:color="auto"/>
                    <w:right w:val="none" w:sz="0" w:space="0" w:color="auto"/>
                  </w:divBdr>
                  <w:divsChild>
                    <w:div w:id="582641045">
                      <w:marLeft w:val="0"/>
                      <w:marRight w:val="0"/>
                      <w:marTop w:val="0"/>
                      <w:marBottom w:val="0"/>
                      <w:divBdr>
                        <w:top w:val="none" w:sz="0" w:space="0" w:color="auto"/>
                        <w:left w:val="none" w:sz="0" w:space="0" w:color="auto"/>
                        <w:bottom w:val="none" w:sz="0" w:space="0" w:color="auto"/>
                        <w:right w:val="none" w:sz="0" w:space="0" w:color="auto"/>
                      </w:divBdr>
                    </w:div>
                  </w:divsChild>
                </w:div>
                <w:div w:id="858588966">
                  <w:marLeft w:val="0"/>
                  <w:marRight w:val="0"/>
                  <w:marTop w:val="0"/>
                  <w:marBottom w:val="0"/>
                  <w:divBdr>
                    <w:top w:val="none" w:sz="0" w:space="0" w:color="auto"/>
                    <w:left w:val="none" w:sz="0" w:space="0" w:color="auto"/>
                    <w:bottom w:val="none" w:sz="0" w:space="0" w:color="auto"/>
                    <w:right w:val="none" w:sz="0" w:space="0" w:color="auto"/>
                  </w:divBdr>
                  <w:divsChild>
                    <w:div w:id="1570001130">
                      <w:marLeft w:val="0"/>
                      <w:marRight w:val="0"/>
                      <w:marTop w:val="0"/>
                      <w:marBottom w:val="0"/>
                      <w:divBdr>
                        <w:top w:val="none" w:sz="0" w:space="0" w:color="auto"/>
                        <w:left w:val="none" w:sz="0" w:space="0" w:color="auto"/>
                        <w:bottom w:val="none" w:sz="0" w:space="0" w:color="auto"/>
                        <w:right w:val="none" w:sz="0" w:space="0" w:color="auto"/>
                      </w:divBdr>
                    </w:div>
                  </w:divsChild>
                </w:div>
                <w:div w:id="867988146">
                  <w:marLeft w:val="0"/>
                  <w:marRight w:val="0"/>
                  <w:marTop w:val="0"/>
                  <w:marBottom w:val="0"/>
                  <w:divBdr>
                    <w:top w:val="none" w:sz="0" w:space="0" w:color="auto"/>
                    <w:left w:val="none" w:sz="0" w:space="0" w:color="auto"/>
                    <w:bottom w:val="none" w:sz="0" w:space="0" w:color="auto"/>
                    <w:right w:val="none" w:sz="0" w:space="0" w:color="auto"/>
                  </w:divBdr>
                  <w:divsChild>
                    <w:div w:id="1132868509">
                      <w:marLeft w:val="0"/>
                      <w:marRight w:val="0"/>
                      <w:marTop w:val="0"/>
                      <w:marBottom w:val="0"/>
                      <w:divBdr>
                        <w:top w:val="none" w:sz="0" w:space="0" w:color="auto"/>
                        <w:left w:val="none" w:sz="0" w:space="0" w:color="auto"/>
                        <w:bottom w:val="none" w:sz="0" w:space="0" w:color="auto"/>
                        <w:right w:val="none" w:sz="0" w:space="0" w:color="auto"/>
                      </w:divBdr>
                    </w:div>
                  </w:divsChild>
                </w:div>
                <w:div w:id="872234999">
                  <w:marLeft w:val="0"/>
                  <w:marRight w:val="0"/>
                  <w:marTop w:val="0"/>
                  <w:marBottom w:val="0"/>
                  <w:divBdr>
                    <w:top w:val="none" w:sz="0" w:space="0" w:color="auto"/>
                    <w:left w:val="none" w:sz="0" w:space="0" w:color="auto"/>
                    <w:bottom w:val="none" w:sz="0" w:space="0" w:color="auto"/>
                    <w:right w:val="none" w:sz="0" w:space="0" w:color="auto"/>
                  </w:divBdr>
                  <w:divsChild>
                    <w:div w:id="1486123668">
                      <w:marLeft w:val="0"/>
                      <w:marRight w:val="0"/>
                      <w:marTop w:val="0"/>
                      <w:marBottom w:val="0"/>
                      <w:divBdr>
                        <w:top w:val="none" w:sz="0" w:space="0" w:color="auto"/>
                        <w:left w:val="none" w:sz="0" w:space="0" w:color="auto"/>
                        <w:bottom w:val="none" w:sz="0" w:space="0" w:color="auto"/>
                        <w:right w:val="none" w:sz="0" w:space="0" w:color="auto"/>
                      </w:divBdr>
                    </w:div>
                  </w:divsChild>
                </w:div>
                <w:div w:id="897788666">
                  <w:marLeft w:val="0"/>
                  <w:marRight w:val="0"/>
                  <w:marTop w:val="0"/>
                  <w:marBottom w:val="0"/>
                  <w:divBdr>
                    <w:top w:val="none" w:sz="0" w:space="0" w:color="auto"/>
                    <w:left w:val="none" w:sz="0" w:space="0" w:color="auto"/>
                    <w:bottom w:val="none" w:sz="0" w:space="0" w:color="auto"/>
                    <w:right w:val="none" w:sz="0" w:space="0" w:color="auto"/>
                  </w:divBdr>
                  <w:divsChild>
                    <w:div w:id="2127894414">
                      <w:marLeft w:val="0"/>
                      <w:marRight w:val="0"/>
                      <w:marTop w:val="0"/>
                      <w:marBottom w:val="0"/>
                      <w:divBdr>
                        <w:top w:val="none" w:sz="0" w:space="0" w:color="auto"/>
                        <w:left w:val="none" w:sz="0" w:space="0" w:color="auto"/>
                        <w:bottom w:val="none" w:sz="0" w:space="0" w:color="auto"/>
                        <w:right w:val="none" w:sz="0" w:space="0" w:color="auto"/>
                      </w:divBdr>
                    </w:div>
                  </w:divsChild>
                </w:div>
                <w:div w:id="913244390">
                  <w:marLeft w:val="0"/>
                  <w:marRight w:val="0"/>
                  <w:marTop w:val="0"/>
                  <w:marBottom w:val="0"/>
                  <w:divBdr>
                    <w:top w:val="none" w:sz="0" w:space="0" w:color="auto"/>
                    <w:left w:val="none" w:sz="0" w:space="0" w:color="auto"/>
                    <w:bottom w:val="none" w:sz="0" w:space="0" w:color="auto"/>
                    <w:right w:val="none" w:sz="0" w:space="0" w:color="auto"/>
                  </w:divBdr>
                  <w:divsChild>
                    <w:div w:id="922448021">
                      <w:marLeft w:val="0"/>
                      <w:marRight w:val="0"/>
                      <w:marTop w:val="0"/>
                      <w:marBottom w:val="0"/>
                      <w:divBdr>
                        <w:top w:val="none" w:sz="0" w:space="0" w:color="auto"/>
                        <w:left w:val="none" w:sz="0" w:space="0" w:color="auto"/>
                        <w:bottom w:val="none" w:sz="0" w:space="0" w:color="auto"/>
                        <w:right w:val="none" w:sz="0" w:space="0" w:color="auto"/>
                      </w:divBdr>
                    </w:div>
                  </w:divsChild>
                </w:div>
                <w:div w:id="917130760">
                  <w:marLeft w:val="0"/>
                  <w:marRight w:val="0"/>
                  <w:marTop w:val="0"/>
                  <w:marBottom w:val="0"/>
                  <w:divBdr>
                    <w:top w:val="none" w:sz="0" w:space="0" w:color="auto"/>
                    <w:left w:val="none" w:sz="0" w:space="0" w:color="auto"/>
                    <w:bottom w:val="none" w:sz="0" w:space="0" w:color="auto"/>
                    <w:right w:val="none" w:sz="0" w:space="0" w:color="auto"/>
                  </w:divBdr>
                  <w:divsChild>
                    <w:div w:id="45490760">
                      <w:marLeft w:val="0"/>
                      <w:marRight w:val="0"/>
                      <w:marTop w:val="0"/>
                      <w:marBottom w:val="0"/>
                      <w:divBdr>
                        <w:top w:val="none" w:sz="0" w:space="0" w:color="auto"/>
                        <w:left w:val="none" w:sz="0" w:space="0" w:color="auto"/>
                        <w:bottom w:val="none" w:sz="0" w:space="0" w:color="auto"/>
                        <w:right w:val="none" w:sz="0" w:space="0" w:color="auto"/>
                      </w:divBdr>
                    </w:div>
                  </w:divsChild>
                </w:div>
                <w:div w:id="935406770">
                  <w:marLeft w:val="0"/>
                  <w:marRight w:val="0"/>
                  <w:marTop w:val="0"/>
                  <w:marBottom w:val="0"/>
                  <w:divBdr>
                    <w:top w:val="none" w:sz="0" w:space="0" w:color="auto"/>
                    <w:left w:val="none" w:sz="0" w:space="0" w:color="auto"/>
                    <w:bottom w:val="none" w:sz="0" w:space="0" w:color="auto"/>
                    <w:right w:val="none" w:sz="0" w:space="0" w:color="auto"/>
                  </w:divBdr>
                  <w:divsChild>
                    <w:div w:id="1532838688">
                      <w:marLeft w:val="0"/>
                      <w:marRight w:val="0"/>
                      <w:marTop w:val="0"/>
                      <w:marBottom w:val="0"/>
                      <w:divBdr>
                        <w:top w:val="none" w:sz="0" w:space="0" w:color="auto"/>
                        <w:left w:val="none" w:sz="0" w:space="0" w:color="auto"/>
                        <w:bottom w:val="none" w:sz="0" w:space="0" w:color="auto"/>
                        <w:right w:val="none" w:sz="0" w:space="0" w:color="auto"/>
                      </w:divBdr>
                    </w:div>
                  </w:divsChild>
                </w:div>
                <w:div w:id="957218866">
                  <w:marLeft w:val="0"/>
                  <w:marRight w:val="0"/>
                  <w:marTop w:val="0"/>
                  <w:marBottom w:val="0"/>
                  <w:divBdr>
                    <w:top w:val="none" w:sz="0" w:space="0" w:color="auto"/>
                    <w:left w:val="none" w:sz="0" w:space="0" w:color="auto"/>
                    <w:bottom w:val="none" w:sz="0" w:space="0" w:color="auto"/>
                    <w:right w:val="none" w:sz="0" w:space="0" w:color="auto"/>
                  </w:divBdr>
                  <w:divsChild>
                    <w:div w:id="477184186">
                      <w:marLeft w:val="0"/>
                      <w:marRight w:val="0"/>
                      <w:marTop w:val="0"/>
                      <w:marBottom w:val="0"/>
                      <w:divBdr>
                        <w:top w:val="none" w:sz="0" w:space="0" w:color="auto"/>
                        <w:left w:val="none" w:sz="0" w:space="0" w:color="auto"/>
                        <w:bottom w:val="none" w:sz="0" w:space="0" w:color="auto"/>
                        <w:right w:val="none" w:sz="0" w:space="0" w:color="auto"/>
                      </w:divBdr>
                    </w:div>
                  </w:divsChild>
                </w:div>
                <w:div w:id="984625787">
                  <w:marLeft w:val="0"/>
                  <w:marRight w:val="0"/>
                  <w:marTop w:val="0"/>
                  <w:marBottom w:val="0"/>
                  <w:divBdr>
                    <w:top w:val="none" w:sz="0" w:space="0" w:color="auto"/>
                    <w:left w:val="none" w:sz="0" w:space="0" w:color="auto"/>
                    <w:bottom w:val="none" w:sz="0" w:space="0" w:color="auto"/>
                    <w:right w:val="none" w:sz="0" w:space="0" w:color="auto"/>
                  </w:divBdr>
                  <w:divsChild>
                    <w:div w:id="794326736">
                      <w:marLeft w:val="0"/>
                      <w:marRight w:val="0"/>
                      <w:marTop w:val="0"/>
                      <w:marBottom w:val="0"/>
                      <w:divBdr>
                        <w:top w:val="none" w:sz="0" w:space="0" w:color="auto"/>
                        <w:left w:val="none" w:sz="0" w:space="0" w:color="auto"/>
                        <w:bottom w:val="none" w:sz="0" w:space="0" w:color="auto"/>
                        <w:right w:val="none" w:sz="0" w:space="0" w:color="auto"/>
                      </w:divBdr>
                    </w:div>
                  </w:divsChild>
                </w:div>
                <w:div w:id="997270277">
                  <w:marLeft w:val="0"/>
                  <w:marRight w:val="0"/>
                  <w:marTop w:val="0"/>
                  <w:marBottom w:val="0"/>
                  <w:divBdr>
                    <w:top w:val="none" w:sz="0" w:space="0" w:color="auto"/>
                    <w:left w:val="none" w:sz="0" w:space="0" w:color="auto"/>
                    <w:bottom w:val="none" w:sz="0" w:space="0" w:color="auto"/>
                    <w:right w:val="none" w:sz="0" w:space="0" w:color="auto"/>
                  </w:divBdr>
                  <w:divsChild>
                    <w:div w:id="113066577">
                      <w:marLeft w:val="0"/>
                      <w:marRight w:val="0"/>
                      <w:marTop w:val="0"/>
                      <w:marBottom w:val="0"/>
                      <w:divBdr>
                        <w:top w:val="none" w:sz="0" w:space="0" w:color="auto"/>
                        <w:left w:val="none" w:sz="0" w:space="0" w:color="auto"/>
                        <w:bottom w:val="none" w:sz="0" w:space="0" w:color="auto"/>
                        <w:right w:val="none" w:sz="0" w:space="0" w:color="auto"/>
                      </w:divBdr>
                    </w:div>
                  </w:divsChild>
                </w:div>
                <w:div w:id="998734894">
                  <w:marLeft w:val="0"/>
                  <w:marRight w:val="0"/>
                  <w:marTop w:val="0"/>
                  <w:marBottom w:val="0"/>
                  <w:divBdr>
                    <w:top w:val="none" w:sz="0" w:space="0" w:color="auto"/>
                    <w:left w:val="none" w:sz="0" w:space="0" w:color="auto"/>
                    <w:bottom w:val="none" w:sz="0" w:space="0" w:color="auto"/>
                    <w:right w:val="none" w:sz="0" w:space="0" w:color="auto"/>
                  </w:divBdr>
                  <w:divsChild>
                    <w:div w:id="2099477541">
                      <w:marLeft w:val="0"/>
                      <w:marRight w:val="0"/>
                      <w:marTop w:val="0"/>
                      <w:marBottom w:val="0"/>
                      <w:divBdr>
                        <w:top w:val="none" w:sz="0" w:space="0" w:color="auto"/>
                        <w:left w:val="none" w:sz="0" w:space="0" w:color="auto"/>
                        <w:bottom w:val="none" w:sz="0" w:space="0" w:color="auto"/>
                        <w:right w:val="none" w:sz="0" w:space="0" w:color="auto"/>
                      </w:divBdr>
                    </w:div>
                  </w:divsChild>
                </w:div>
                <w:div w:id="1015499815">
                  <w:marLeft w:val="0"/>
                  <w:marRight w:val="0"/>
                  <w:marTop w:val="0"/>
                  <w:marBottom w:val="0"/>
                  <w:divBdr>
                    <w:top w:val="none" w:sz="0" w:space="0" w:color="auto"/>
                    <w:left w:val="none" w:sz="0" w:space="0" w:color="auto"/>
                    <w:bottom w:val="none" w:sz="0" w:space="0" w:color="auto"/>
                    <w:right w:val="none" w:sz="0" w:space="0" w:color="auto"/>
                  </w:divBdr>
                  <w:divsChild>
                    <w:div w:id="1637953768">
                      <w:marLeft w:val="0"/>
                      <w:marRight w:val="0"/>
                      <w:marTop w:val="0"/>
                      <w:marBottom w:val="0"/>
                      <w:divBdr>
                        <w:top w:val="none" w:sz="0" w:space="0" w:color="auto"/>
                        <w:left w:val="none" w:sz="0" w:space="0" w:color="auto"/>
                        <w:bottom w:val="none" w:sz="0" w:space="0" w:color="auto"/>
                        <w:right w:val="none" w:sz="0" w:space="0" w:color="auto"/>
                      </w:divBdr>
                    </w:div>
                  </w:divsChild>
                </w:div>
                <w:div w:id="1050112331">
                  <w:marLeft w:val="0"/>
                  <w:marRight w:val="0"/>
                  <w:marTop w:val="0"/>
                  <w:marBottom w:val="0"/>
                  <w:divBdr>
                    <w:top w:val="none" w:sz="0" w:space="0" w:color="auto"/>
                    <w:left w:val="none" w:sz="0" w:space="0" w:color="auto"/>
                    <w:bottom w:val="none" w:sz="0" w:space="0" w:color="auto"/>
                    <w:right w:val="none" w:sz="0" w:space="0" w:color="auto"/>
                  </w:divBdr>
                  <w:divsChild>
                    <w:div w:id="892077708">
                      <w:marLeft w:val="0"/>
                      <w:marRight w:val="0"/>
                      <w:marTop w:val="0"/>
                      <w:marBottom w:val="0"/>
                      <w:divBdr>
                        <w:top w:val="none" w:sz="0" w:space="0" w:color="auto"/>
                        <w:left w:val="none" w:sz="0" w:space="0" w:color="auto"/>
                        <w:bottom w:val="none" w:sz="0" w:space="0" w:color="auto"/>
                        <w:right w:val="none" w:sz="0" w:space="0" w:color="auto"/>
                      </w:divBdr>
                    </w:div>
                  </w:divsChild>
                </w:div>
                <w:div w:id="1075593367">
                  <w:marLeft w:val="0"/>
                  <w:marRight w:val="0"/>
                  <w:marTop w:val="0"/>
                  <w:marBottom w:val="0"/>
                  <w:divBdr>
                    <w:top w:val="none" w:sz="0" w:space="0" w:color="auto"/>
                    <w:left w:val="none" w:sz="0" w:space="0" w:color="auto"/>
                    <w:bottom w:val="none" w:sz="0" w:space="0" w:color="auto"/>
                    <w:right w:val="none" w:sz="0" w:space="0" w:color="auto"/>
                  </w:divBdr>
                  <w:divsChild>
                    <w:div w:id="210726718">
                      <w:marLeft w:val="0"/>
                      <w:marRight w:val="0"/>
                      <w:marTop w:val="0"/>
                      <w:marBottom w:val="0"/>
                      <w:divBdr>
                        <w:top w:val="none" w:sz="0" w:space="0" w:color="auto"/>
                        <w:left w:val="none" w:sz="0" w:space="0" w:color="auto"/>
                        <w:bottom w:val="none" w:sz="0" w:space="0" w:color="auto"/>
                        <w:right w:val="none" w:sz="0" w:space="0" w:color="auto"/>
                      </w:divBdr>
                    </w:div>
                  </w:divsChild>
                </w:div>
                <w:div w:id="1100028824">
                  <w:marLeft w:val="0"/>
                  <w:marRight w:val="0"/>
                  <w:marTop w:val="0"/>
                  <w:marBottom w:val="0"/>
                  <w:divBdr>
                    <w:top w:val="none" w:sz="0" w:space="0" w:color="auto"/>
                    <w:left w:val="none" w:sz="0" w:space="0" w:color="auto"/>
                    <w:bottom w:val="none" w:sz="0" w:space="0" w:color="auto"/>
                    <w:right w:val="none" w:sz="0" w:space="0" w:color="auto"/>
                  </w:divBdr>
                  <w:divsChild>
                    <w:div w:id="1027408631">
                      <w:marLeft w:val="0"/>
                      <w:marRight w:val="0"/>
                      <w:marTop w:val="0"/>
                      <w:marBottom w:val="0"/>
                      <w:divBdr>
                        <w:top w:val="none" w:sz="0" w:space="0" w:color="auto"/>
                        <w:left w:val="none" w:sz="0" w:space="0" w:color="auto"/>
                        <w:bottom w:val="none" w:sz="0" w:space="0" w:color="auto"/>
                        <w:right w:val="none" w:sz="0" w:space="0" w:color="auto"/>
                      </w:divBdr>
                    </w:div>
                  </w:divsChild>
                </w:div>
                <w:div w:id="1115711982">
                  <w:marLeft w:val="0"/>
                  <w:marRight w:val="0"/>
                  <w:marTop w:val="0"/>
                  <w:marBottom w:val="0"/>
                  <w:divBdr>
                    <w:top w:val="none" w:sz="0" w:space="0" w:color="auto"/>
                    <w:left w:val="none" w:sz="0" w:space="0" w:color="auto"/>
                    <w:bottom w:val="none" w:sz="0" w:space="0" w:color="auto"/>
                    <w:right w:val="none" w:sz="0" w:space="0" w:color="auto"/>
                  </w:divBdr>
                  <w:divsChild>
                    <w:div w:id="1955752008">
                      <w:marLeft w:val="0"/>
                      <w:marRight w:val="0"/>
                      <w:marTop w:val="0"/>
                      <w:marBottom w:val="0"/>
                      <w:divBdr>
                        <w:top w:val="none" w:sz="0" w:space="0" w:color="auto"/>
                        <w:left w:val="none" w:sz="0" w:space="0" w:color="auto"/>
                        <w:bottom w:val="none" w:sz="0" w:space="0" w:color="auto"/>
                        <w:right w:val="none" w:sz="0" w:space="0" w:color="auto"/>
                      </w:divBdr>
                    </w:div>
                  </w:divsChild>
                </w:div>
                <w:div w:id="1153260024">
                  <w:marLeft w:val="0"/>
                  <w:marRight w:val="0"/>
                  <w:marTop w:val="0"/>
                  <w:marBottom w:val="0"/>
                  <w:divBdr>
                    <w:top w:val="none" w:sz="0" w:space="0" w:color="auto"/>
                    <w:left w:val="none" w:sz="0" w:space="0" w:color="auto"/>
                    <w:bottom w:val="none" w:sz="0" w:space="0" w:color="auto"/>
                    <w:right w:val="none" w:sz="0" w:space="0" w:color="auto"/>
                  </w:divBdr>
                  <w:divsChild>
                    <w:div w:id="1128741951">
                      <w:marLeft w:val="0"/>
                      <w:marRight w:val="0"/>
                      <w:marTop w:val="0"/>
                      <w:marBottom w:val="0"/>
                      <w:divBdr>
                        <w:top w:val="none" w:sz="0" w:space="0" w:color="auto"/>
                        <w:left w:val="none" w:sz="0" w:space="0" w:color="auto"/>
                        <w:bottom w:val="none" w:sz="0" w:space="0" w:color="auto"/>
                        <w:right w:val="none" w:sz="0" w:space="0" w:color="auto"/>
                      </w:divBdr>
                    </w:div>
                  </w:divsChild>
                </w:div>
                <w:div w:id="1238398417">
                  <w:marLeft w:val="0"/>
                  <w:marRight w:val="0"/>
                  <w:marTop w:val="0"/>
                  <w:marBottom w:val="0"/>
                  <w:divBdr>
                    <w:top w:val="none" w:sz="0" w:space="0" w:color="auto"/>
                    <w:left w:val="none" w:sz="0" w:space="0" w:color="auto"/>
                    <w:bottom w:val="none" w:sz="0" w:space="0" w:color="auto"/>
                    <w:right w:val="none" w:sz="0" w:space="0" w:color="auto"/>
                  </w:divBdr>
                  <w:divsChild>
                    <w:div w:id="129245905">
                      <w:marLeft w:val="0"/>
                      <w:marRight w:val="0"/>
                      <w:marTop w:val="0"/>
                      <w:marBottom w:val="0"/>
                      <w:divBdr>
                        <w:top w:val="none" w:sz="0" w:space="0" w:color="auto"/>
                        <w:left w:val="none" w:sz="0" w:space="0" w:color="auto"/>
                        <w:bottom w:val="none" w:sz="0" w:space="0" w:color="auto"/>
                        <w:right w:val="none" w:sz="0" w:space="0" w:color="auto"/>
                      </w:divBdr>
                    </w:div>
                  </w:divsChild>
                </w:div>
                <w:div w:id="1253975117">
                  <w:marLeft w:val="0"/>
                  <w:marRight w:val="0"/>
                  <w:marTop w:val="0"/>
                  <w:marBottom w:val="0"/>
                  <w:divBdr>
                    <w:top w:val="none" w:sz="0" w:space="0" w:color="auto"/>
                    <w:left w:val="none" w:sz="0" w:space="0" w:color="auto"/>
                    <w:bottom w:val="none" w:sz="0" w:space="0" w:color="auto"/>
                    <w:right w:val="none" w:sz="0" w:space="0" w:color="auto"/>
                  </w:divBdr>
                  <w:divsChild>
                    <w:div w:id="1961179245">
                      <w:marLeft w:val="0"/>
                      <w:marRight w:val="0"/>
                      <w:marTop w:val="0"/>
                      <w:marBottom w:val="0"/>
                      <w:divBdr>
                        <w:top w:val="none" w:sz="0" w:space="0" w:color="auto"/>
                        <w:left w:val="none" w:sz="0" w:space="0" w:color="auto"/>
                        <w:bottom w:val="none" w:sz="0" w:space="0" w:color="auto"/>
                        <w:right w:val="none" w:sz="0" w:space="0" w:color="auto"/>
                      </w:divBdr>
                    </w:div>
                  </w:divsChild>
                </w:div>
                <w:div w:id="1269435591">
                  <w:marLeft w:val="0"/>
                  <w:marRight w:val="0"/>
                  <w:marTop w:val="0"/>
                  <w:marBottom w:val="0"/>
                  <w:divBdr>
                    <w:top w:val="none" w:sz="0" w:space="0" w:color="auto"/>
                    <w:left w:val="none" w:sz="0" w:space="0" w:color="auto"/>
                    <w:bottom w:val="none" w:sz="0" w:space="0" w:color="auto"/>
                    <w:right w:val="none" w:sz="0" w:space="0" w:color="auto"/>
                  </w:divBdr>
                  <w:divsChild>
                    <w:div w:id="1800882073">
                      <w:marLeft w:val="0"/>
                      <w:marRight w:val="0"/>
                      <w:marTop w:val="0"/>
                      <w:marBottom w:val="0"/>
                      <w:divBdr>
                        <w:top w:val="none" w:sz="0" w:space="0" w:color="auto"/>
                        <w:left w:val="none" w:sz="0" w:space="0" w:color="auto"/>
                        <w:bottom w:val="none" w:sz="0" w:space="0" w:color="auto"/>
                        <w:right w:val="none" w:sz="0" w:space="0" w:color="auto"/>
                      </w:divBdr>
                    </w:div>
                  </w:divsChild>
                </w:div>
                <w:div w:id="1278441606">
                  <w:marLeft w:val="0"/>
                  <w:marRight w:val="0"/>
                  <w:marTop w:val="0"/>
                  <w:marBottom w:val="0"/>
                  <w:divBdr>
                    <w:top w:val="none" w:sz="0" w:space="0" w:color="auto"/>
                    <w:left w:val="none" w:sz="0" w:space="0" w:color="auto"/>
                    <w:bottom w:val="none" w:sz="0" w:space="0" w:color="auto"/>
                    <w:right w:val="none" w:sz="0" w:space="0" w:color="auto"/>
                  </w:divBdr>
                  <w:divsChild>
                    <w:div w:id="704333354">
                      <w:marLeft w:val="0"/>
                      <w:marRight w:val="0"/>
                      <w:marTop w:val="0"/>
                      <w:marBottom w:val="0"/>
                      <w:divBdr>
                        <w:top w:val="none" w:sz="0" w:space="0" w:color="auto"/>
                        <w:left w:val="none" w:sz="0" w:space="0" w:color="auto"/>
                        <w:bottom w:val="none" w:sz="0" w:space="0" w:color="auto"/>
                        <w:right w:val="none" w:sz="0" w:space="0" w:color="auto"/>
                      </w:divBdr>
                    </w:div>
                  </w:divsChild>
                </w:div>
                <w:div w:id="1285845519">
                  <w:marLeft w:val="0"/>
                  <w:marRight w:val="0"/>
                  <w:marTop w:val="0"/>
                  <w:marBottom w:val="0"/>
                  <w:divBdr>
                    <w:top w:val="none" w:sz="0" w:space="0" w:color="auto"/>
                    <w:left w:val="none" w:sz="0" w:space="0" w:color="auto"/>
                    <w:bottom w:val="none" w:sz="0" w:space="0" w:color="auto"/>
                    <w:right w:val="none" w:sz="0" w:space="0" w:color="auto"/>
                  </w:divBdr>
                  <w:divsChild>
                    <w:div w:id="1303726981">
                      <w:marLeft w:val="0"/>
                      <w:marRight w:val="0"/>
                      <w:marTop w:val="0"/>
                      <w:marBottom w:val="0"/>
                      <w:divBdr>
                        <w:top w:val="none" w:sz="0" w:space="0" w:color="auto"/>
                        <w:left w:val="none" w:sz="0" w:space="0" w:color="auto"/>
                        <w:bottom w:val="none" w:sz="0" w:space="0" w:color="auto"/>
                        <w:right w:val="none" w:sz="0" w:space="0" w:color="auto"/>
                      </w:divBdr>
                    </w:div>
                  </w:divsChild>
                </w:div>
                <w:div w:id="1331561352">
                  <w:marLeft w:val="0"/>
                  <w:marRight w:val="0"/>
                  <w:marTop w:val="0"/>
                  <w:marBottom w:val="0"/>
                  <w:divBdr>
                    <w:top w:val="none" w:sz="0" w:space="0" w:color="auto"/>
                    <w:left w:val="none" w:sz="0" w:space="0" w:color="auto"/>
                    <w:bottom w:val="none" w:sz="0" w:space="0" w:color="auto"/>
                    <w:right w:val="none" w:sz="0" w:space="0" w:color="auto"/>
                  </w:divBdr>
                  <w:divsChild>
                    <w:div w:id="852261178">
                      <w:marLeft w:val="0"/>
                      <w:marRight w:val="0"/>
                      <w:marTop w:val="0"/>
                      <w:marBottom w:val="0"/>
                      <w:divBdr>
                        <w:top w:val="none" w:sz="0" w:space="0" w:color="auto"/>
                        <w:left w:val="none" w:sz="0" w:space="0" w:color="auto"/>
                        <w:bottom w:val="none" w:sz="0" w:space="0" w:color="auto"/>
                        <w:right w:val="none" w:sz="0" w:space="0" w:color="auto"/>
                      </w:divBdr>
                    </w:div>
                  </w:divsChild>
                </w:div>
                <w:div w:id="1341858488">
                  <w:marLeft w:val="0"/>
                  <w:marRight w:val="0"/>
                  <w:marTop w:val="0"/>
                  <w:marBottom w:val="0"/>
                  <w:divBdr>
                    <w:top w:val="none" w:sz="0" w:space="0" w:color="auto"/>
                    <w:left w:val="none" w:sz="0" w:space="0" w:color="auto"/>
                    <w:bottom w:val="none" w:sz="0" w:space="0" w:color="auto"/>
                    <w:right w:val="none" w:sz="0" w:space="0" w:color="auto"/>
                  </w:divBdr>
                  <w:divsChild>
                    <w:div w:id="149061576">
                      <w:marLeft w:val="0"/>
                      <w:marRight w:val="0"/>
                      <w:marTop w:val="0"/>
                      <w:marBottom w:val="0"/>
                      <w:divBdr>
                        <w:top w:val="none" w:sz="0" w:space="0" w:color="auto"/>
                        <w:left w:val="none" w:sz="0" w:space="0" w:color="auto"/>
                        <w:bottom w:val="none" w:sz="0" w:space="0" w:color="auto"/>
                        <w:right w:val="none" w:sz="0" w:space="0" w:color="auto"/>
                      </w:divBdr>
                    </w:div>
                  </w:divsChild>
                </w:div>
                <w:div w:id="1351881432">
                  <w:marLeft w:val="0"/>
                  <w:marRight w:val="0"/>
                  <w:marTop w:val="0"/>
                  <w:marBottom w:val="0"/>
                  <w:divBdr>
                    <w:top w:val="none" w:sz="0" w:space="0" w:color="auto"/>
                    <w:left w:val="none" w:sz="0" w:space="0" w:color="auto"/>
                    <w:bottom w:val="none" w:sz="0" w:space="0" w:color="auto"/>
                    <w:right w:val="none" w:sz="0" w:space="0" w:color="auto"/>
                  </w:divBdr>
                  <w:divsChild>
                    <w:div w:id="238832631">
                      <w:marLeft w:val="0"/>
                      <w:marRight w:val="0"/>
                      <w:marTop w:val="0"/>
                      <w:marBottom w:val="0"/>
                      <w:divBdr>
                        <w:top w:val="none" w:sz="0" w:space="0" w:color="auto"/>
                        <w:left w:val="none" w:sz="0" w:space="0" w:color="auto"/>
                        <w:bottom w:val="none" w:sz="0" w:space="0" w:color="auto"/>
                        <w:right w:val="none" w:sz="0" w:space="0" w:color="auto"/>
                      </w:divBdr>
                    </w:div>
                  </w:divsChild>
                </w:div>
                <w:div w:id="1360863039">
                  <w:marLeft w:val="0"/>
                  <w:marRight w:val="0"/>
                  <w:marTop w:val="0"/>
                  <w:marBottom w:val="0"/>
                  <w:divBdr>
                    <w:top w:val="none" w:sz="0" w:space="0" w:color="auto"/>
                    <w:left w:val="none" w:sz="0" w:space="0" w:color="auto"/>
                    <w:bottom w:val="none" w:sz="0" w:space="0" w:color="auto"/>
                    <w:right w:val="none" w:sz="0" w:space="0" w:color="auto"/>
                  </w:divBdr>
                  <w:divsChild>
                    <w:div w:id="82069068">
                      <w:marLeft w:val="0"/>
                      <w:marRight w:val="0"/>
                      <w:marTop w:val="0"/>
                      <w:marBottom w:val="0"/>
                      <w:divBdr>
                        <w:top w:val="none" w:sz="0" w:space="0" w:color="auto"/>
                        <w:left w:val="none" w:sz="0" w:space="0" w:color="auto"/>
                        <w:bottom w:val="none" w:sz="0" w:space="0" w:color="auto"/>
                        <w:right w:val="none" w:sz="0" w:space="0" w:color="auto"/>
                      </w:divBdr>
                    </w:div>
                    <w:div w:id="649868144">
                      <w:marLeft w:val="0"/>
                      <w:marRight w:val="0"/>
                      <w:marTop w:val="0"/>
                      <w:marBottom w:val="0"/>
                      <w:divBdr>
                        <w:top w:val="none" w:sz="0" w:space="0" w:color="auto"/>
                        <w:left w:val="none" w:sz="0" w:space="0" w:color="auto"/>
                        <w:bottom w:val="none" w:sz="0" w:space="0" w:color="auto"/>
                        <w:right w:val="none" w:sz="0" w:space="0" w:color="auto"/>
                      </w:divBdr>
                    </w:div>
                    <w:div w:id="725645196">
                      <w:marLeft w:val="0"/>
                      <w:marRight w:val="0"/>
                      <w:marTop w:val="0"/>
                      <w:marBottom w:val="0"/>
                      <w:divBdr>
                        <w:top w:val="none" w:sz="0" w:space="0" w:color="auto"/>
                        <w:left w:val="none" w:sz="0" w:space="0" w:color="auto"/>
                        <w:bottom w:val="none" w:sz="0" w:space="0" w:color="auto"/>
                        <w:right w:val="none" w:sz="0" w:space="0" w:color="auto"/>
                      </w:divBdr>
                    </w:div>
                    <w:div w:id="840201424">
                      <w:marLeft w:val="0"/>
                      <w:marRight w:val="0"/>
                      <w:marTop w:val="0"/>
                      <w:marBottom w:val="0"/>
                      <w:divBdr>
                        <w:top w:val="none" w:sz="0" w:space="0" w:color="auto"/>
                        <w:left w:val="none" w:sz="0" w:space="0" w:color="auto"/>
                        <w:bottom w:val="none" w:sz="0" w:space="0" w:color="auto"/>
                        <w:right w:val="none" w:sz="0" w:space="0" w:color="auto"/>
                      </w:divBdr>
                    </w:div>
                    <w:div w:id="1880779563">
                      <w:marLeft w:val="0"/>
                      <w:marRight w:val="0"/>
                      <w:marTop w:val="0"/>
                      <w:marBottom w:val="0"/>
                      <w:divBdr>
                        <w:top w:val="none" w:sz="0" w:space="0" w:color="auto"/>
                        <w:left w:val="none" w:sz="0" w:space="0" w:color="auto"/>
                        <w:bottom w:val="none" w:sz="0" w:space="0" w:color="auto"/>
                        <w:right w:val="none" w:sz="0" w:space="0" w:color="auto"/>
                      </w:divBdr>
                    </w:div>
                  </w:divsChild>
                </w:div>
                <w:div w:id="1401322236">
                  <w:marLeft w:val="0"/>
                  <w:marRight w:val="0"/>
                  <w:marTop w:val="0"/>
                  <w:marBottom w:val="0"/>
                  <w:divBdr>
                    <w:top w:val="none" w:sz="0" w:space="0" w:color="auto"/>
                    <w:left w:val="none" w:sz="0" w:space="0" w:color="auto"/>
                    <w:bottom w:val="none" w:sz="0" w:space="0" w:color="auto"/>
                    <w:right w:val="none" w:sz="0" w:space="0" w:color="auto"/>
                  </w:divBdr>
                  <w:divsChild>
                    <w:div w:id="228460850">
                      <w:marLeft w:val="0"/>
                      <w:marRight w:val="0"/>
                      <w:marTop w:val="0"/>
                      <w:marBottom w:val="0"/>
                      <w:divBdr>
                        <w:top w:val="none" w:sz="0" w:space="0" w:color="auto"/>
                        <w:left w:val="none" w:sz="0" w:space="0" w:color="auto"/>
                        <w:bottom w:val="none" w:sz="0" w:space="0" w:color="auto"/>
                        <w:right w:val="none" w:sz="0" w:space="0" w:color="auto"/>
                      </w:divBdr>
                    </w:div>
                  </w:divsChild>
                </w:div>
                <w:div w:id="1416439139">
                  <w:marLeft w:val="0"/>
                  <w:marRight w:val="0"/>
                  <w:marTop w:val="0"/>
                  <w:marBottom w:val="0"/>
                  <w:divBdr>
                    <w:top w:val="none" w:sz="0" w:space="0" w:color="auto"/>
                    <w:left w:val="none" w:sz="0" w:space="0" w:color="auto"/>
                    <w:bottom w:val="none" w:sz="0" w:space="0" w:color="auto"/>
                    <w:right w:val="none" w:sz="0" w:space="0" w:color="auto"/>
                  </w:divBdr>
                  <w:divsChild>
                    <w:div w:id="2058508727">
                      <w:marLeft w:val="0"/>
                      <w:marRight w:val="0"/>
                      <w:marTop w:val="0"/>
                      <w:marBottom w:val="0"/>
                      <w:divBdr>
                        <w:top w:val="none" w:sz="0" w:space="0" w:color="auto"/>
                        <w:left w:val="none" w:sz="0" w:space="0" w:color="auto"/>
                        <w:bottom w:val="none" w:sz="0" w:space="0" w:color="auto"/>
                        <w:right w:val="none" w:sz="0" w:space="0" w:color="auto"/>
                      </w:divBdr>
                    </w:div>
                  </w:divsChild>
                </w:div>
                <w:div w:id="1435595250">
                  <w:marLeft w:val="0"/>
                  <w:marRight w:val="0"/>
                  <w:marTop w:val="0"/>
                  <w:marBottom w:val="0"/>
                  <w:divBdr>
                    <w:top w:val="none" w:sz="0" w:space="0" w:color="auto"/>
                    <w:left w:val="none" w:sz="0" w:space="0" w:color="auto"/>
                    <w:bottom w:val="none" w:sz="0" w:space="0" w:color="auto"/>
                    <w:right w:val="none" w:sz="0" w:space="0" w:color="auto"/>
                  </w:divBdr>
                  <w:divsChild>
                    <w:div w:id="1689522556">
                      <w:marLeft w:val="0"/>
                      <w:marRight w:val="0"/>
                      <w:marTop w:val="0"/>
                      <w:marBottom w:val="0"/>
                      <w:divBdr>
                        <w:top w:val="none" w:sz="0" w:space="0" w:color="auto"/>
                        <w:left w:val="none" w:sz="0" w:space="0" w:color="auto"/>
                        <w:bottom w:val="none" w:sz="0" w:space="0" w:color="auto"/>
                        <w:right w:val="none" w:sz="0" w:space="0" w:color="auto"/>
                      </w:divBdr>
                    </w:div>
                  </w:divsChild>
                </w:div>
                <w:div w:id="1452169600">
                  <w:marLeft w:val="0"/>
                  <w:marRight w:val="0"/>
                  <w:marTop w:val="0"/>
                  <w:marBottom w:val="0"/>
                  <w:divBdr>
                    <w:top w:val="none" w:sz="0" w:space="0" w:color="auto"/>
                    <w:left w:val="none" w:sz="0" w:space="0" w:color="auto"/>
                    <w:bottom w:val="none" w:sz="0" w:space="0" w:color="auto"/>
                    <w:right w:val="none" w:sz="0" w:space="0" w:color="auto"/>
                  </w:divBdr>
                  <w:divsChild>
                    <w:div w:id="1107584463">
                      <w:marLeft w:val="0"/>
                      <w:marRight w:val="0"/>
                      <w:marTop w:val="0"/>
                      <w:marBottom w:val="0"/>
                      <w:divBdr>
                        <w:top w:val="none" w:sz="0" w:space="0" w:color="auto"/>
                        <w:left w:val="none" w:sz="0" w:space="0" w:color="auto"/>
                        <w:bottom w:val="none" w:sz="0" w:space="0" w:color="auto"/>
                        <w:right w:val="none" w:sz="0" w:space="0" w:color="auto"/>
                      </w:divBdr>
                    </w:div>
                  </w:divsChild>
                </w:div>
                <w:div w:id="1476532407">
                  <w:marLeft w:val="0"/>
                  <w:marRight w:val="0"/>
                  <w:marTop w:val="0"/>
                  <w:marBottom w:val="0"/>
                  <w:divBdr>
                    <w:top w:val="none" w:sz="0" w:space="0" w:color="auto"/>
                    <w:left w:val="none" w:sz="0" w:space="0" w:color="auto"/>
                    <w:bottom w:val="none" w:sz="0" w:space="0" w:color="auto"/>
                    <w:right w:val="none" w:sz="0" w:space="0" w:color="auto"/>
                  </w:divBdr>
                  <w:divsChild>
                    <w:div w:id="670450905">
                      <w:marLeft w:val="0"/>
                      <w:marRight w:val="0"/>
                      <w:marTop w:val="0"/>
                      <w:marBottom w:val="0"/>
                      <w:divBdr>
                        <w:top w:val="none" w:sz="0" w:space="0" w:color="auto"/>
                        <w:left w:val="none" w:sz="0" w:space="0" w:color="auto"/>
                        <w:bottom w:val="none" w:sz="0" w:space="0" w:color="auto"/>
                        <w:right w:val="none" w:sz="0" w:space="0" w:color="auto"/>
                      </w:divBdr>
                    </w:div>
                  </w:divsChild>
                </w:div>
                <w:div w:id="1481381824">
                  <w:marLeft w:val="0"/>
                  <w:marRight w:val="0"/>
                  <w:marTop w:val="0"/>
                  <w:marBottom w:val="0"/>
                  <w:divBdr>
                    <w:top w:val="none" w:sz="0" w:space="0" w:color="auto"/>
                    <w:left w:val="none" w:sz="0" w:space="0" w:color="auto"/>
                    <w:bottom w:val="none" w:sz="0" w:space="0" w:color="auto"/>
                    <w:right w:val="none" w:sz="0" w:space="0" w:color="auto"/>
                  </w:divBdr>
                  <w:divsChild>
                    <w:div w:id="1226187120">
                      <w:marLeft w:val="0"/>
                      <w:marRight w:val="0"/>
                      <w:marTop w:val="0"/>
                      <w:marBottom w:val="0"/>
                      <w:divBdr>
                        <w:top w:val="none" w:sz="0" w:space="0" w:color="auto"/>
                        <w:left w:val="none" w:sz="0" w:space="0" w:color="auto"/>
                        <w:bottom w:val="none" w:sz="0" w:space="0" w:color="auto"/>
                        <w:right w:val="none" w:sz="0" w:space="0" w:color="auto"/>
                      </w:divBdr>
                    </w:div>
                  </w:divsChild>
                </w:div>
                <w:div w:id="1483548814">
                  <w:marLeft w:val="0"/>
                  <w:marRight w:val="0"/>
                  <w:marTop w:val="0"/>
                  <w:marBottom w:val="0"/>
                  <w:divBdr>
                    <w:top w:val="none" w:sz="0" w:space="0" w:color="auto"/>
                    <w:left w:val="none" w:sz="0" w:space="0" w:color="auto"/>
                    <w:bottom w:val="none" w:sz="0" w:space="0" w:color="auto"/>
                    <w:right w:val="none" w:sz="0" w:space="0" w:color="auto"/>
                  </w:divBdr>
                  <w:divsChild>
                    <w:div w:id="235631466">
                      <w:marLeft w:val="0"/>
                      <w:marRight w:val="0"/>
                      <w:marTop w:val="0"/>
                      <w:marBottom w:val="0"/>
                      <w:divBdr>
                        <w:top w:val="none" w:sz="0" w:space="0" w:color="auto"/>
                        <w:left w:val="none" w:sz="0" w:space="0" w:color="auto"/>
                        <w:bottom w:val="none" w:sz="0" w:space="0" w:color="auto"/>
                        <w:right w:val="none" w:sz="0" w:space="0" w:color="auto"/>
                      </w:divBdr>
                    </w:div>
                  </w:divsChild>
                </w:div>
                <w:div w:id="1517574082">
                  <w:marLeft w:val="0"/>
                  <w:marRight w:val="0"/>
                  <w:marTop w:val="0"/>
                  <w:marBottom w:val="0"/>
                  <w:divBdr>
                    <w:top w:val="none" w:sz="0" w:space="0" w:color="auto"/>
                    <w:left w:val="none" w:sz="0" w:space="0" w:color="auto"/>
                    <w:bottom w:val="none" w:sz="0" w:space="0" w:color="auto"/>
                    <w:right w:val="none" w:sz="0" w:space="0" w:color="auto"/>
                  </w:divBdr>
                  <w:divsChild>
                    <w:div w:id="1429814198">
                      <w:marLeft w:val="0"/>
                      <w:marRight w:val="0"/>
                      <w:marTop w:val="0"/>
                      <w:marBottom w:val="0"/>
                      <w:divBdr>
                        <w:top w:val="none" w:sz="0" w:space="0" w:color="auto"/>
                        <w:left w:val="none" w:sz="0" w:space="0" w:color="auto"/>
                        <w:bottom w:val="none" w:sz="0" w:space="0" w:color="auto"/>
                        <w:right w:val="none" w:sz="0" w:space="0" w:color="auto"/>
                      </w:divBdr>
                    </w:div>
                  </w:divsChild>
                </w:div>
                <w:div w:id="1549798868">
                  <w:marLeft w:val="0"/>
                  <w:marRight w:val="0"/>
                  <w:marTop w:val="0"/>
                  <w:marBottom w:val="0"/>
                  <w:divBdr>
                    <w:top w:val="none" w:sz="0" w:space="0" w:color="auto"/>
                    <w:left w:val="none" w:sz="0" w:space="0" w:color="auto"/>
                    <w:bottom w:val="none" w:sz="0" w:space="0" w:color="auto"/>
                    <w:right w:val="none" w:sz="0" w:space="0" w:color="auto"/>
                  </w:divBdr>
                  <w:divsChild>
                    <w:div w:id="997614975">
                      <w:marLeft w:val="0"/>
                      <w:marRight w:val="0"/>
                      <w:marTop w:val="0"/>
                      <w:marBottom w:val="0"/>
                      <w:divBdr>
                        <w:top w:val="none" w:sz="0" w:space="0" w:color="auto"/>
                        <w:left w:val="none" w:sz="0" w:space="0" w:color="auto"/>
                        <w:bottom w:val="none" w:sz="0" w:space="0" w:color="auto"/>
                        <w:right w:val="none" w:sz="0" w:space="0" w:color="auto"/>
                      </w:divBdr>
                    </w:div>
                  </w:divsChild>
                </w:div>
                <w:div w:id="1564096207">
                  <w:marLeft w:val="0"/>
                  <w:marRight w:val="0"/>
                  <w:marTop w:val="0"/>
                  <w:marBottom w:val="0"/>
                  <w:divBdr>
                    <w:top w:val="none" w:sz="0" w:space="0" w:color="auto"/>
                    <w:left w:val="none" w:sz="0" w:space="0" w:color="auto"/>
                    <w:bottom w:val="none" w:sz="0" w:space="0" w:color="auto"/>
                    <w:right w:val="none" w:sz="0" w:space="0" w:color="auto"/>
                  </w:divBdr>
                  <w:divsChild>
                    <w:div w:id="1868568640">
                      <w:marLeft w:val="0"/>
                      <w:marRight w:val="0"/>
                      <w:marTop w:val="0"/>
                      <w:marBottom w:val="0"/>
                      <w:divBdr>
                        <w:top w:val="none" w:sz="0" w:space="0" w:color="auto"/>
                        <w:left w:val="none" w:sz="0" w:space="0" w:color="auto"/>
                        <w:bottom w:val="none" w:sz="0" w:space="0" w:color="auto"/>
                        <w:right w:val="none" w:sz="0" w:space="0" w:color="auto"/>
                      </w:divBdr>
                    </w:div>
                  </w:divsChild>
                </w:div>
                <w:div w:id="1602033039">
                  <w:marLeft w:val="0"/>
                  <w:marRight w:val="0"/>
                  <w:marTop w:val="0"/>
                  <w:marBottom w:val="0"/>
                  <w:divBdr>
                    <w:top w:val="none" w:sz="0" w:space="0" w:color="auto"/>
                    <w:left w:val="none" w:sz="0" w:space="0" w:color="auto"/>
                    <w:bottom w:val="none" w:sz="0" w:space="0" w:color="auto"/>
                    <w:right w:val="none" w:sz="0" w:space="0" w:color="auto"/>
                  </w:divBdr>
                  <w:divsChild>
                    <w:div w:id="456532840">
                      <w:marLeft w:val="0"/>
                      <w:marRight w:val="0"/>
                      <w:marTop w:val="0"/>
                      <w:marBottom w:val="0"/>
                      <w:divBdr>
                        <w:top w:val="none" w:sz="0" w:space="0" w:color="auto"/>
                        <w:left w:val="none" w:sz="0" w:space="0" w:color="auto"/>
                        <w:bottom w:val="none" w:sz="0" w:space="0" w:color="auto"/>
                        <w:right w:val="none" w:sz="0" w:space="0" w:color="auto"/>
                      </w:divBdr>
                    </w:div>
                  </w:divsChild>
                </w:div>
                <w:div w:id="1666785508">
                  <w:marLeft w:val="0"/>
                  <w:marRight w:val="0"/>
                  <w:marTop w:val="0"/>
                  <w:marBottom w:val="0"/>
                  <w:divBdr>
                    <w:top w:val="none" w:sz="0" w:space="0" w:color="auto"/>
                    <w:left w:val="none" w:sz="0" w:space="0" w:color="auto"/>
                    <w:bottom w:val="none" w:sz="0" w:space="0" w:color="auto"/>
                    <w:right w:val="none" w:sz="0" w:space="0" w:color="auto"/>
                  </w:divBdr>
                  <w:divsChild>
                    <w:div w:id="1031809386">
                      <w:marLeft w:val="0"/>
                      <w:marRight w:val="0"/>
                      <w:marTop w:val="0"/>
                      <w:marBottom w:val="0"/>
                      <w:divBdr>
                        <w:top w:val="none" w:sz="0" w:space="0" w:color="auto"/>
                        <w:left w:val="none" w:sz="0" w:space="0" w:color="auto"/>
                        <w:bottom w:val="none" w:sz="0" w:space="0" w:color="auto"/>
                        <w:right w:val="none" w:sz="0" w:space="0" w:color="auto"/>
                      </w:divBdr>
                    </w:div>
                  </w:divsChild>
                </w:div>
                <w:div w:id="1676034482">
                  <w:marLeft w:val="0"/>
                  <w:marRight w:val="0"/>
                  <w:marTop w:val="0"/>
                  <w:marBottom w:val="0"/>
                  <w:divBdr>
                    <w:top w:val="none" w:sz="0" w:space="0" w:color="auto"/>
                    <w:left w:val="none" w:sz="0" w:space="0" w:color="auto"/>
                    <w:bottom w:val="none" w:sz="0" w:space="0" w:color="auto"/>
                    <w:right w:val="none" w:sz="0" w:space="0" w:color="auto"/>
                  </w:divBdr>
                  <w:divsChild>
                    <w:div w:id="1022821542">
                      <w:marLeft w:val="0"/>
                      <w:marRight w:val="0"/>
                      <w:marTop w:val="0"/>
                      <w:marBottom w:val="0"/>
                      <w:divBdr>
                        <w:top w:val="none" w:sz="0" w:space="0" w:color="auto"/>
                        <w:left w:val="none" w:sz="0" w:space="0" w:color="auto"/>
                        <w:bottom w:val="none" w:sz="0" w:space="0" w:color="auto"/>
                        <w:right w:val="none" w:sz="0" w:space="0" w:color="auto"/>
                      </w:divBdr>
                    </w:div>
                  </w:divsChild>
                </w:div>
                <w:div w:id="1683898821">
                  <w:marLeft w:val="0"/>
                  <w:marRight w:val="0"/>
                  <w:marTop w:val="0"/>
                  <w:marBottom w:val="0"/>
                  <w:divBdr>
                    <w:top w:val="none" w:sz="0" w:space="0" w:color="auto"/>
                    <w:left w:val="none" w:sz="0" w:space="0" w:color="auto"/>
                    <w:bottom w:val="none" w:sz="0" w:space="0" w:color="auto"/>
                    <w:right w:val="none" w:sz="0" w:space="0" w:color="auto"/>
                  </w:divBdr>
                  <w:divsChild>
                    <w:div w:id="1046682338">
                      <w:marLeft w:val="0"/>
                      <w:marRight w:val="0"/>
                      <w:marTop w:val="0"/>
                      <w:marBottom w:val="0"/>
                      <w:divBdr>
                        <w:top w:val="none" w:sz="0" w:space="0" w:color="auto"/>
                        <w:left w:val="none" w:sz="0" w:space="0" w:color="auto"/>
                        <w:bottom w:val="none" w:sz="0" w:space="0" w:color="auto"/>
                        <w:right w:val="none" w:sz="0" w:space="0" w:color="auto"/>
                      </w:divBdr>
                    </w:div>
                  </w:divsChild>
                </w:div>
                <w:div w:id="1724866301">
                  <w:marLeft w:val="0"/>
                  <w:marRight w:val="0"/>
                  <w:marTop w:val="0"/>
                  <w:marBottom w:val="0"/>
                  <w:divBdr>
                    <w:top w:val="none" w:sz="0" w:space="0" w:color="auto"/>
                    <w:left w:val="none" w:sz="0" w:space="0" w:color="auto"/>
                    <w:bottom w:val="none" w:sz="0" w:space="0" w:color="auto"/>
                    <w:right w:val="none" w:sz="0" w:space="0" w:color="auto"/>
                  </w:divBdr>
                  <w:divsChild>
                    <w:div w:id="600644679">
                      <w:marLeft w:val="0"/>
                      <w:marRight w:val="0"/>
                      <w:marTop w:val="0"/>
                      <w:marBottom w:val="0"/>
                      <w:divBdr>
                        <w:top w:val="none" w:sz="0" w:space="0" w:color="auto"/>
                        <w:left w:val="none" w:sz="0" w:space="0" w:color="auto"/>
                        <w:bottom w:val="none" w:sz="0" w:space="0" w:color="auto"/>
                        <w:right w:val="none" w:sz="0" w:space="0" w:color="auto"/>
                      </w:divBdr>
                    </w:div>
                  </w:divsChild>
                </w:div>
                <w:div w:id="1728843846">
                  <w:marLeft w:val="0"/>
                  <w:marRight w:val="0"/>
                  <w:marTop w:val="0"/>
                  <w:marBottom w:val="0"/>
                  <w:divBdr>
                    <w:top w:val="none" w:sz="0" w:space="0" w:color="auto"/>
                    <w:left w:val="none" w:sz="0" w:space="0" w:color="auto"/>
                    <w:bottom w:val="none" w:sz="0" w:space="0" w:color="auto"/>
                    <w:right w:val="none" w:sz="0" w:space="0" w:color="auto"/>
                  </w:divBdr>
                  <w:divsChild>
                    <w:div w:id="2070570384">
                      <w:marLeft w:val="0"/>
                      <w:marRight w:val="0"/>
                      <w:marTop w:val="0"/>
                      <w:marBottom w:val="0"/>
                      <w:divBdr>
                        <w:top w:val="none" w:sz="0" w:space="0" w:color="auto"/>
                        <w:left w:val="none" w:sz="0" w:space="0" w:color="auto"/>
                        <w:bottom w:val="none" w:sz="0" w:space="0" w:color="auto"/>
                        <w:right w:val="none" w:sz="0" w:space="0" w:color="auto"/>
                      </w:divBdr>
                    </w:div>
                  </w:divsChild>
                </w:div>
                <w:div w:id="1758286229">
                  <w:marLeft w:val="0"/>
                  <w:marRight w:val="0"/>
                  <w:marTop w:val="0"/>
                  <w:marBottom w:val="0"/>
                  <w:divBdr>
                    <w:top w:val="none" w:sz="0" w:space="0" w:color="auto"/>
                    <w:left w:val="none" w:sz="0" w:space="0" w:color="auto"/>
                    <w:bottom w:val="none" w:sz="0" w:space="0" w:color="auto"/>
                    <w:right w:val="none" w:sz="0" w:space="0" w:color="auto"/>
                  </w:divBdr>
                  <w:divsChild>
                    <w:div w:id="1433434840">
                      <w:marLeft w:val="0"/>
                      <w:marRight w:val="0"/>
                      <w:marTop w:val="0"/>
                      <w:marBottom w:val="0"/>
                      <w:divBdr>
                        <w:top w:val="none" w:sz="0" w:space="0" w:color="auto"/>
                        <w:left w:val="none" w:sz="0" w:space="0" w:color="auto"/>
                        <w:bottom w:val="none" w:sz="0" w:space="0" w:color="auto"/>
                        <w:right w:val="none" w:sz="0" w:space="0" w:color="auto"/>
                      </w:divBdr>
                    </w:div>
                  </w:divsChild>
                </w:div>
                <w:div w:id="1830440178">
                  <w:marLeft w:val="0"/>
                  <w:marRight w:val="0"/>
                  <w:marTop w:val="0"/>
                  <w:marBottom w:val="0"/>
                  <w:divBdr>
                    <w:top w:val="none" w:sz="0" w:space="0" w:color="auto"/>
                    <w:left w:val="none" w:sz="0" w:space="0" w:color="auto"/>
                    <w:bottom w:val="none" w:sz="0" w:space="0" w:color="auto"/>
                    <w:right w:val="none" w:sz="0" w:space="0" w:color="auto"/>
                  </w:divBdr>
                  <w:divsChild>
                    <w:div w:id="915701511">
                      <w:marLeft w:val="0"/>
                      <w:marRight w:val="0"/>
                      <w:marTop w:val="0"/>
                      <w:marBottom w:val="0"/>
                      <w:divBdr>
                        <w:top w:val="none" w:sz="0" w:space="0" w:color="auto"/>
                        <w:left w:val="none" w:sz="0" w:space="0" w:color="auto"/>
                        <w:bottom w:val="none" w:sz="0" w:space="0" w:color="auto"/>
                        <w:right w:val="none" w:sz="0" w:space="0" w:color="auto"/>
                      </w:divBdr>
                    </w:div>
                  </w:divsChild>
                </w:div>
                <w:div w:id="1839804843">
                  <w:marLeft w:val="0"/>
                  <w:marRight w:val="0"/>
                  <w:marTop w:val="0"/>
                  <w:marBottom w:val="0"/>
                  <w:divBdr>
                    <w:top w:val="none" w:sz="0" w:space="0" w:color="auto"/>
                    <w:left w:val="none" w:sz="0" w:space="0" w:color="auto"/>
                    <w:bottom w:val="none" w:sz="0" w:space="0" w:color="auto"/>
                    <w:right w:val="none" w:sz="0" w:space="0" w:color="auto"/>
                  </w:divBdr>
                  <w:divsChild>
                    <w:div w:id="1402558183">
                      <w:marLeft w:val="0"/>
                      <w:marRight w:val="0"/>
                      <w:marTop w:val="0"/>
                      <w:marBottom w:val="0"/>
                      <w:divBdr>
                        <w:top w:val="none" w:sz="0" w:space="0" w:color="auto"/>
                        <w:left w:val="none" w:sz="0" w:space="0" w:color="auto"/>
                        <w:bottom w:val="none" w:sz="0" w:space="0" w:color="auto"/>
                        <w:right w:val="none" w:sz="0" w:space="0" w:color="auto"/>
                      </w:divBdr>
                    </w:div>
                  </w:divsChild>
                </w:div>
                <w:div w:id="1868253899">
                  <w:marLeft w:val="0"/>
                  <w:marRight w:val="0"/>
                  <w:marTop w:val="0"/>
                  <w:marBottom w:val="0"/>
                  <w:divBdr>
                    <w:top w:val="none" w:sz="0" w:space="0" w:color="auto"/>
                    <w:left w:val="none" w:sz="0" w:space="0" w:color="auto"/>
                    <w:bottom w:val="none" w:sz="0" w:space="0" w:color="auto"/>
                    <w:right w:val="none" w:sz="0" w:space="0" w:color="auto"/>
                  </w:divBdr>
                  <w:divsChild>
                    <w:div w:id="63113406">
                      <w:marLeft w:val="0"/>
                      <w:marRight w:val="0"/>
                      <w:marTop w:val="0"/>
                      <w:marBottom w:val="0"/>
                      <w:divBdr>
                        <w:top w:val="none" w:sz="0" w:space="0" w:color="auto"/>
                        <w:left w:val="none" w:sz="0" w:space="0" w:color="auto"/>
                        <w:bottom w:val="none" w:sz="0" w:space="0" w:color="auto"/>
                        <w:right w:val="none" w:sz="0" w:space="0" w:color="auto"/>
                      </w:divBdr>
                    </w:div>
                  </w:divsChild>
                </w:div>
                <w:div w:id="1882207931">
                  <w:marLeft w:val="0"/>
                  <w:marRight w:val="0"/>
                  <w:marTop w:val="0"/>
                  <w:marBottom w:val="0"/>
                  <w:divBdr>
                    <w:top w:val="none" w:sz="0" w:space="0" w:color="auto"/>
                    <w:left w:val="none" w:sz="0" w:space="0" w:color="auto"/>
                    <w:bottom w:val="none" w:sz="0" w:space="0" w:color="auto"/>
                    <w:right w:val="none" w:sz="0" w:space="0" w:color="auto"/>
                  </w:divBdr>
                  <w:divsChild>
                    <w:div w:id="342434448">
                      <w:marLeft w:val="0"/>
                      <w:marRight w:val="0"/>
                      <w:marTop w:val="0"/>
                      <w:marBottom w:val="0"/>
                      <w:divBdr>
                        <w:top w:val="none" w:sz="0" w:space="0" w:color="auto"/>
                        <w:left w:val="none" w:sz="0" w:space="0" w:color="auto"/>
                        <w:bottom w:val="none" w:sz="0" w:space="0" w:color="auto"/>
                        <w:right w:val="none" w:sz="0" w:space="0" w:color="auto"/>
                      </w:divBdr>
                    </w:div>
                  </w:divsChild>
                </w:div>
                <w:div w:id="1922131554">
                  <w:marLeft w:val="0"/>
                  <w:marRight w:val="0"/>
                  <w:marTop w:val="0"/>
                  <w:marBottom w:val="0"/>
                  <w:divBdr>
                    <w:top w:val="none" w:sz="0" w:space="0" w:color="auto"/>
                    <w:left w:val="none" w:sz="0" w:space="0" w:color="auto"/>
                    <w:bottom w:val="none" w:sz="0" w:space="0" w:color="auto"/>
                    <w:right w:val="none" w:sz="0" w:space="0" w:color="auto"/>
                  </w:divBdr>
                  <w:divsChild>
                    <w:div w:id="2080009747">
                      <w:marLeft w:val="0"/>
                      <w:marRight w:val="0"/>
                      <w:marTop w:val="0"/>
                      <w:marBottom w:val="0"/>
                      <w:divBdr>
                        <w:top w:val="none" w:sz="0" w:space="0" w:color="auto"/>
                        <w:left w:val="none" w:sz="0" w:space="0" w:color="auto"/>
                        <w:bottom w:val="none" w:sz="0" w:space="0" w:color="auto"/>
                        <w:right w:val="none" w:sz="0" w:space="0" w:color="auto"/>
                      </w:divBdr>
                    </w:div>
                  </w:divsChild>
                </w:div>
                <w:div w:id="1929457024">
                  <w:marLeft w:val="0"/>
                  <w:marRight w:val="0"/>
                  <w:marTop w:val="0"/>
                  <w:marBottom w:val="0"/>
                  <w:divBdr>
                    <w:top w:val="none" w:sz="0" w:space="0" w:color="auto"/>
                    <w:left w:val="none" w:sz="0" w:space="0" w:color="auto"/>
                    <w:bottom w:val="none" w:sz="0" w:space="0" w:color="auto"/>
                    <w:right w:val="none" w:sz="0" w:space="0" w:color="auto"/>
                  </w:divBdr>
                  <w:divsChild>
                    <w:div w:id="1734424463">
                      <w:marLeft w:val="0"/>
                      <w:marRight w:val="0"/>
                      <w:marTop w:val="0"/>
                      <w:marBottom w:val="0"/>
                      <w:divBdr>
                        <w:top w:val="none" w:sz="0" w:space="0" w:color="auto"/>
                        <w:left w:val="none" w:sz="0" w:space="0" w:color="auto"/>
                        <w:bottom w:val="none" w:sz="0" w:space="0" w:color="auto"/>
                        <w:right w:val="none" w:sz="0" w:space="0" w:color="auto"/>
                      </w:divBdr>
                    </w:div>
                  </w:divsChild>
                </w:div>
                <w:div w:id="1945261392">
                  <w:marLeft w:val="0"/>
                  <w:marRight w:val="0"/>
                  <w:marTop w:val="0"/>
                  <w:marBottom w:val="0"/>
                  <w:divBdr>
                    <w:top w:val="none" w:sz="0" w:space="0" w:color="auto"/>
                    <w:left w:val="none" w:sz="0" w:space="0" w:color="auto"/>
                    <w:bottom w:val="none" w:sz="0" w:space="0" w:color="auto"/>
                    <w:right w:val="none" w:sz="0" w:space="0" w:color="auto"/>
                  </w:divBdr>
                  <w:divsChild>
                    <w:div w:id="1844006143">
                      <w:marLeft w:val="0"/>
                      <w:marRight w:val="0"/>
                      <w:marTop w:val="0"/>
                      <w:marBottom w:val="0"/>
                      <w:divBdr>
                        <w:top w:val="none" w:sz="0" w:space="0" w:color="auto"/>
                        <w:left w:val="none" w:sz="0" w:space="0" w:color="auto"/>
                        <w:bottom w:val="none" w:sz="0" w:space="0" w:color="auto"/>
                        <w:right w:val="none" w:sz="0" w:space="0" w:color="auto"/>
                      </w:divBdr>
                    </w:div>
                  </w:divsChild>
                </w:div>
                <w:div w:id="1952777410">
                  <w:marLeft w:val="0"/>
                  <w:marRight w:val="0"/>
                  <w:marTop w:val="0"/>
                  <w:marBottom w:val="0"/>
                  <w:divBdr>
                    <w:top w:val="none" w:sz="0" w:space="0" w:color="auto"/>
                    <w:left w:val="none" w:sz="0" w:space="0" w:color="auto"/>
                    <w:bottom w:val="none" w:sz="0" w:space="0" w:color="auto"/>
                    <w:right w:val="none" w:sz="0" w:space="0" w:color="auto"/>
                  </w:divBdr>
                  <w:divsChild>
                    <w:div w:id="1988778717">
                      <w:marLeft w:val="0"/>
                      <w:marRight w:val="0"/>
                      <w:marTop w:val="0"/>
                      <w:marBottom w:val="0"/>
                      <w:divBdr>
                        <w:top w:val="none" w:sz="0" w:space="0" w:color="auto"/>
                        <w:left w:val="none" w:sz="0" w:space="0" w:color="auto"/>
                        <w:bottom w:val="none" w:sz="0" w:space="0" w:color="auto"/>
                        <w:right w:val="none" w:sz="0" w:space="0" w:color="auto"/>
                      </w:divBdr>
                    </w:div>
                  </w:divsChild>
                </w:div>
                <w:div w:id="1954942077">
                  <w:marLeft w:val="0"/>
                  <w:marRight w:val="0"/>
                  <w:marTop w:val="0"/>
                  <w:marBottom w:val="0"/>
                  <w:divBdr>
                    <w:top w:val="none" w:sz="0" w:space="0" w:color="auto"/>
                    <w:left w:val="none" w:sz="0" w:space="0" w:color="auto"/>
                    <w:bottom w:val="none" w:sz="0" w:space="0" w:color="auto"/>
                    <w:right w:val="none" w:sz="0" w:space="0" w:color="auto"/>
                  </w:divBdr>
                  <w:divsChild>
                    <w:div w:id="45616505">
                      <w:marLeft w:val="0"/>
                      <w:marRight w:val="0"/>
                      <w:marTop w:val="0"/>
                      <w:marBottom w:val="0"/>
                      <w:divBdr>
                        <w:top w:val="none" w:sz="0" w:space="0" w:color="auto"/>
                        <w:left w:val="none" w:sz="0" w:space="0" w:color="auto"/>
                        <w:bottom w:val="none" w:sz="0" w:space="0" w:color="auto"/>
                        <w:right w:val="none" w:sz="0" w:space="0" w:color="auto"/>
                      </w:divBdr>
                    </w:div>
                  </w:divsChild>
                </w:div>
                <w:div w:id="1981106133">
                  <w:marLeft w:val="0"/>
                  <w:marRight w:val="0"/>
                  <w:marTop w:val="0"/>
                  <w:marBottom w:val="0"/>
                  <w:divBdr>
                    <w:top w:val="none" w:sz="0" w:space="0" w:color="auto"/>
                    <w:left w:val="none" w:sz="0" w:space="0" w:color="auto"/>
                    <w:bottom w:val="none" w:sz="0" w:space="0" w:color="auto"/>
                    <w:right w:val="none" w:sz="0" w:space="0" w:color="auto"/>
                  </w:divBdr>
                  <w:divsChild>
                    <w:div w:id="1514800872">
                      <w:marLeft w:val="0"/>
                      <w:marRight w:val="0"/>
                      <w:marTop w:val="0"/>
                      <w:marBottom w:val="0"/>
                      <w:divBdr>
                        <w:top w:val="none" w:sz="0" w:space="0" w:color="auto"/>
                        <w:left w:val="none" w:sz="0" w:space="0" w:color="auto"/>
                        <w:bottom w:val="none" w:sz="0" w:space="0" w:color="auto"/>
                        <w:right w:val="none" w:sz="0" w:space="0" w:color="auto"/>
                      </w:divBdr>
                    </w:div>
                  </w:divsChild>
                </w:div>
                <w:div w:id="1985115670">
                  <w:marLeft w:val="0"/>
                  <w:marRight w:val="0"/>
                  <w:marTop w:val="0"/>
                  <w:marBottom w:val="0"/>
                  <w:divBdr>
                    <w:top w:val="none" w:sz="0" w:space="0" w:color="auto"/>
                    <w:left w:val="none" w:sz="0" w:space="0" w:color="auto"/>
                    <w:bottom w:val="none" w:sz="0" w:space="0" w:color="auto"/>
                    <w:right w:val="none" w:sz="0" w:space="0" w:color="auto"/>
                  </w:divBdr>
                  <w:divsChild>
                    <w:div w:id="984620928">
                      <w:marLeft w:val="0"/>
                      <w:marRight w:val="0"/>
                      <w:marTop w:val="0"/>
                      <w:marBottom w:val="0"/>
                      <w:divBdr>
                        <w:top w:val="none" w:sz="0" w:space="0" w:color="auto"/>
                        <w:left w:val="none" w:sz="0" w:space="0" w:color="auto"/>
                        <w:bottom w:val="none" w:sz="0" w:space="0" w:color="auto"/>
                        <w:right w:val="none" w:sz="0" w:space="0" w:color="auto"/>
                      </w:divBdr>
                    </w:div>
                  </w:divsChild>
                </w:div>
                <w:div w:id="1996568852">
                  <w:marLeft w:val="0"/>
                  <w:marRight w:val="0"/>
                  <w:marTop w:val="0"/>
                  <w:marBottom w:val="0"/>
                  <w:divBdr>
                    <w:top w:val="none" w:sz="0" w:space="0" w:color="auto"/>
                    <w:left w:val="none" w:sz="0" w:space="0" w:color="auto"/>
                    <w:bottom w:val="none" w:sz="0" w:space="0" w:color="auto"/>
                    <w:right w:val="none" w:sz="0" w:space="0" w:color="auto"/>
                  </w:divBdr>
                  <w:divsChild>
                    <w:div w:id="260455999">
                      <w:marLeft w:val="0"/>
                      <w:marRight w:val="0"/>
                      <w:marTop w:val="0"/>
                      <w:marBottom w:val="0"/>
                      <w:divBdr>
                        <w:top w:val="none" w:sz="0" w:space="0" w:color="auto"/>
                        <w:left w:val="none" w:sz="0" w:space="0" w:color="auto"/>
                        <w:bottom w:val="none" w:sz="0" w:space="0" w:color="auto"/>
                        <w:right w:val="none" w:sz="0" w:space="0" w:color="auto"/>
                      </w:divBdr>
                    </w:div>
                    <w:div w:id="407118076">
                      <w:marLeft w:val="0"/>
                      <w:marRight w:val="0"/>
                      <w:marTop w:val="0"/>
                      <w:marBottom w:val="0"/>
                      <w:divBdr>
                        <w:top w:val="none" w:sz="0" w:space="0" w:color="auto"/>
                        <w:left w:val="none" w:sz="0" w:space="0" w:color="auto"/>
                        <w:bottom w:val="none" w:sz="0" w:space="0" w:color="auto"/>
                        <w:right w:val="none" w:sz="0" w:space="0" w:color="auto"/>
                      </w:divBdr>
                    </w:div>
                    <w:div w:id="500777952">
                      <w:marLeft w:val="0"/>
                      <w:marRight w:val="0"/>
                      <w:marTop w:val="0"/>
                      <w:marBottom w:val="0"/>
                      <w:divBdr>
                        <w:top w:val="none" w:sz="0" w:space="0" w:color="auto"/>
                        <w:left w:val="none" w:sz="0" w:space="0" w:color="auto"/>
                        <w:bottom w:val="none" w:sz="0" w:space="0" w:color="auto"/>
                        <w:right w:val="none" w:sz="0" w:space="0" w:color="auto"/>
                      </w:divBdr>
                    </w:div>
                    <w:div w:id="1057900916">
                      <w:marLeft w:val="0"/>
                      <w:marRight w:val="0"/>
                      <w:marTop w:val="0"/>
                      <w:marBottom w:val="0"/>
                      <w:divBdr>
                        <w:top w:val="none" w:sz="0" w:space="0" w:color="auto"/>
                        <w:left w:val="none" w:sz="0" w:space="0" w:color="auto"/>
                        <w:bottom w:val="none" w:sz="0" w:space="0" w:color="auto"/>
                        <w:right w:val="none" w:sz="0" w:space="0" w:color="auto"/>
                      </w:divBdr>
                    </w:div>
                    <w:div w:id="1168181099">
                      <w:marLeft w:val="0"/>
                      <w:marRight w:val="0"/>
                      <w:marTop w:val="0"/>
                      <w:marBottom w:val="0"/>
                      <w:divBdr>
                        <w:top w:val="none" w:sz="0" w:space="0" w:color="auto"/>
                        <w:left w:val="none" w:sz="0" w:space="0" w:color="auto"/>
                        <w:bottom w:val="none" w:sz="0" w:space="0" w:color="auto"/>
                        <w:right w:val="none" w:sz="0" w:space="0" w:color="auto"/>
                      </w:divBdr>
                    </w:div>
                  </w:divsChild>
                </w:div>
                <w:div w:id="1999990313">
                  <w:marLeft w:val="0"/>
                  <w:marRight w:val="0"/>
                  <w:marTop w:val="0"/>
                  <w:marBottom w:val="0"/>
                  <w:divBdr>
                    <w:top w:val="none" w:sz="0" w:space="0" w:color="auto"/>
                    <w:left w:val="none" w:sz="0" w:space="0" w:color="auto"/>
                    <w:bottom w:val="none" w:sz="0" w:space="0" w:color="auto"/>
                    <w:right w:val="none" w:sz="0" w:space="0" w:color="auto"/>
                  </w:divBdr>
                  <w:divsChild>
                    <w:div w:id="166213359">
                      <w:marLeft w:val="0"/>
                      <w:marRight w:val="0"/>
                      <w:marTop w:val="0"/>
                      <w:marBottom w:val="0"/>
                      <w:divBdr>
                        <w:top w:val="none" w:sz="0" w:space="0" w:color="auto"/>
                        <w:left w:val="none" w:sz="0" w:space="0" w:color="auto"/>
                        <w:bottom w:val="none" w:sz="0" w:space="0" w:color="auto"/>
                        <w:right w:val="none" w:sz="0" w:space="0" w:color="auto"/>
                      </w:divBdr>
                    </w:div>
                  </w:divsChild>
                </w:div>
                <w:div w:id="2005433165">
                  <w:marLeft w:val="0"/>
                  <w:marRight w:val="0"/>
                  <w:marTop w:val="0"/>
                  <w:marBottom w:val="0"/>
                  <w:divBdr>
                    <w:top w:val="none" w:sz="0" w:space="0" w:color="auto"/>
                    <w:left w:val="none" w:sz="0" w:space="0" w:color="auto"/>
                    <w:bottom w:val="none" w:sz="0" w:space="0" w:color="auto"/>
                    <w:right w:val="none" w:sz="0" w:space="0" w:color="auto"/>
                  </w:divBdr>
                  <w:divsChild>
                    <w:div w:id="1597864668">
                      <w:marLeft w:val="0"/>
                      <w:marRight w:val="0"/>
                      <w:marTop w:val="0"/>
                      <w:marBottom w:val="0"/>
                      <w:divBdr>
                        <w:top w:val="none" w:sz="0" w:space="0" w:color="auto"/>
                        <w:left w:val="none" w:sz="0" w:space="0" w:color="auto"/>
                        <w:bottom w:val="none" w:sz="0" w:space="0" w:color="auto"/>
                        <w:right w:val="none" w:sz="0" w:space="0" w:color="auto"/>
                      </w:divBdr>
                    </w:div>
                  </w:divsChild>
                </w:div>
                <w:div w:id="2012443814">
                  <w:marLeft w:val="0"/>
                  <w:marRight w:val="0"/>
                  <w:marTop w:val="0"/>
                  <w:marBottom w:val="0"/>
                  <w:divBdr>
                    <w:top w:val="none" w:sz="0" w:space="0" w:color="auto"/>
                    <w:left w:val="none" w:sz="0" w:space="0" w:color="auto"/>
                    <w:bottom w:val="none" w:sz="0" w:space="0" w:color="auto"/>
                    <w:right w:val="none" w:sz="0" w:space="0" w:color="auto"/>
                  </w:divBdr>
                  <w:divsChild>
                    <w:div w:id="1665013344">
                      <w:marLeft w:val="0"/>
                      <w:marRight w:val="0"/>
                      <w:marTop w:val="0"/>
                      <w:marBottom w:val="0"/>
                      <w:divBdr>
                        <w:top w:val="none" w:sz="0" w:space="0" w:color="auto"/>
                        <w:left w:val="none" w:sz="0" w:space="0" w:color="auto"/>
                        <w:bottom w:val="none" w:sz="0" w:space="0" w:color="auto"/>
                        <w:right w:val="none" w:sz="0" w:space="0" w:color="auto"/>
                      </w:divBdr>
                    </w:div>
                  </w:divsChild>
                </w:div>
                <w:div w:id="2014142549">
                  <w:marLeft w:val="0"/>
                  <w:marRight w:val="0"/>
                  <w:marTop w:val="0"/>
                  <w:marBottom w:val="0"/>
                  <w:divBdr>
                    <w:top w:val="none" w:sz="0" w:space="0" w:color="auto"/>
                    <w:left w:val="none" w:sz="0" w:space="0" w:color="auto"/>
                    <w:bottom w:val="none" w:sz="0" w:space="0" w:color="auto"/>
                    <w:right w:val="none" w:sz="0" w:space="0" w:color="auto"/>
                  </w:divBdr>
                  <w:divsChild>
                    <w:div w:id="77097517">
                      <w:marLeft w:val="0"/>
                      <w:marRight w:val="0"/>
                      <w:marTop w:val="0"/>
                      <w:marBottom w:val="0"/>
                      <w:divBdr>
                        <w:top w:val="none" w:sz="0" w:space="0" w:color="auto"/>
                        <w:left w:val="none" w:sz="0" w:space="0" w:color="auto"/>
                        <w:bottom w:val="none" w:sz="0" w:space="0" w:color="auto"/>
                        <w:right w:val="none" w:sz="0" w:space="0" w:color="auto"/>
                      </w:divBdr>
                    </w:div>
                  </w:divsChild>
                </w:div>
                <w:div w:id="2051303422">
                  <w:marLeft w:val="0"/>
                  <w:marRight w:val="0"/>
                  <w:marTop w:val="0"/>
                  <w:marBottom w:val="0"/>
                  <w:divBdr>
                    <w:top w:val="none" w:sz="0" w:space="0" w:color="auto"/>
                    <w:left w:val="none" w:sz="0" w:space="0" w:color="auto"/>
                    <w:bottom w:val="none" w:sz="0" w:space="0" w:color="auto"/>
                    <w:right w:val="none" w:sz="0" w:space="0" w:color="auto"/>
                  </w:divBdr>
                  <w:divsChild>
                    <w:div w:id="5156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79383">
          <w:marLeft w:val="0"/>
          <w:marRight w:val="0"/>
          <w:marTop w:val="0"/>
          <w:marBottom w:val="0"/>
          <w:divBdr>
            <w:top w:val="none" w:sz="0" w:space="0" w:color="auto"/>
            <w:left w:val="none" w:sz="0" w:space="0" w:color="auto"/>
            <w:bottom w:val="none" w:sz="0" w:space="0" w:color="auto"/>
            <w:right w:val="none" w:sz="0" w:space="0" w:color="auto"/>
          </w:divBdr>
        </w:div>
        <w:div w:id="143355924">
          <w:marLeft w:val="0"/>
          <w:marRight w:val="0"/>
          <w:marTop w:val="0"/>
          <w:marBottom w:val="0"/>
          <w:divBdr>
            <w:top w:val="none" w:sz="0" w:space="0" w:color="auto"/>
            <w:left w:val="none" w:sz="0" w:space="0" w:color="auto"/>
            <w:bottom w:val="none" w:sz="0" w:space="0" w:color="auto"/>
            <w:right w:val="none" w:sz="0" w:space="0" w:color="auto"/>
          </w:divBdr>
          <w:divsChild>
            <w:div w:id="1352336501">
              <w:marLeft w:val="-75"/>
              <w:marRight w:val="0"/>
              <w:marTop w:val="30"/>
              <w:marBottom w:val="30"/>
              <w:divBdr>
                <w:top w:val="none" w:sz="0" w:space="0" w:color="auto"/>
                <w:left w:val="none" w:sz="0" w:space="0" w:color="auto"/>
                <w:bottom w:val="none" w:sz="0" w:space="0" w:color="auto"/>
                <w:right w:val="none" w:sz="0" w:space="0" w:color="auto"/>
              </w:divBdr>
              <w:divsChild>
                <w:div w:id="140315782">
                  <w:marLeft w:val="0"/>
                  <w:marRight w:val="0"/>
                  <w:marTop w:val="0"/>
                  <w:marBottom w:val="0"/>
                  <w:divBdr>
                    <w:top w:val="none" w:sz="0" w:space="0" w:color="auto"/>
                    <w:left w:val="none" w:sz="0" w:space="0" w:color="auto"/>
                    <w:bottom w:val="none" w:sz="0" w:space="0" w:color="auto"/>
                    <w:right w:val="none" w:sz="0" w:space="0" w:color="auto"/>
                  </w:divBdr>
                  <w:divsChild>
                    <w:div w:id="2145196437">
                      <w:marLeft w:val="0"/>
                      <w:marRight w:val="0"/>
                      <w:marTop w:val="0"/>
                      <w:marBottom w:val="0"/>
                      <w:divBdr>
                        <w:top w:val="none" w:sz="0" w:space="0" w:color="auto"/>
                        <w:left w:val="none" w:sz="0" w:space="0" w:color="auto"/>
                        <w:bottom w:val="none" w:sz="0" w:space="0" w:color="auto"/>
                        <w:right w:val="none" w:sz="0" w:space="0" w:color="auto"/>
                      </w:divBdr>
                    </w:div>
                  </w:divsChild>
                </w:div>
                <w:div w:id="212234897">
                  <w:marLeft w:val="0"/>
                  <w:marRight w:val="0"/>
                  <w:marTop w:val="0"/>
                  <w:marBottom w:val="0"/>
                  <w:divBdr>
                    <w:top w:val="none" w:sz="0" w:space="0" w:color="auto"/>
                    <w:left w:val="none" w:sz="0" w:space="0" w:color="auto"/>
                    <w:bottom w:val="none" w:sz="0" w:space="0" w:color="auto"/>
                    <w:right w:val="none" w:sz="0" w:space="0" w:color="auto"/>
                  </w:divBdr>
                  <w:divsChild>
                    <w:div w:id="598025729">
                      <w:marLeft w:val="0"/>
                      <w:marRight w:val="0"/>
                      <w:marTop w:val="0"/>
                      <w:marBottom w:val="0"/>
                      <w:divBdr>
                        <w:top w:val="none" w:sz="0" w:space="0" w:color="auto"/>
                        <w:left w:val="none" w:sz="0" w:space="0" w:color="auto"/>
                        <w:bottom w:val="none" w:sz="0" w:space="0" w:color="auto"/>
                        <w:right w:val="none" w:sz="0" w:space="0" w:color="auto"/>
                      </w:divBdr>
                    </w:div>
                  </w:divsChild>
                </w:div>
                <w:div w:id="265504093">
                  <w:marLeft w:val="0"/>
                  <w:marRight w:val="0"/>
                  <w:marTop w:val="0"/>
                  <w:marBottom w:val="0"/>
                  <w:divBdr>
                    <w:top w:val="none" w:sz="0" w:space="0" w:color="auto"/>
                    <w:left w:val="none" w:sz="0" w:space="0" w:color="auto"/>
                    <w:bottom w:val="none" w:sz="0" w:space="0" w:color="auto"/>
                    <w:right w:val="none" w:sz="0" w:space="0" w:color="auto"/>
                  </w:divBdr>
                  <w:divsChild>
                    <w:div w:id="2009406973">
                      <w:marLeft w:val="0"/>
                      <w:marRight w:val="0"/>
                      <w:marTop w:val="0"/>
                      <w:marBottom w:val="0"/>
                      <w:divBdr>
                        <w:top w:val="none" w:sz="0" w:space="0" w:color="auto"/>
                        <w:left w:val="none" w:sz="0" w:space="0" w:color="auto"/>
                        <w:bottom w:val="none" w:sz="0" w:space="0" w:color="auto"/>
                        <w:right w:val="none" w:sz="0" w:space="0" w:color="auto"/>
                      </w:divBdr>
                    </w:div>
                  </w:divsChild>
                </w:div>
                <w:div w:id="465779367">
                  <w:marLeft w:val="0"/>
                  <w:marRight w:val="0"/>
                  <w:marTop w:val="0"/>
                  <w:marBottom w:val="0"/>
                  <w:divBdr>
                    <w:top w:val="none" w:sz="0" w:space="0" w:color="auto"/>
                    <w:left w:val="none" w:sz="0" w:space="0" w:color="auto"/>
                    <w:bottom w:val="none" w:sz="0" w:space="0" w:color="auto"/>
                    <w:right w:val="none" w:sz="0" w:space="0" w:color="auto"/>
                  </w:divBdr>
                  <w:divsChild>
                    <w:div w:id="550969003">
                      <w:marLeft w:val="0"/>
                      <w:marRight w:val="0"/>
                      <w:marTop w:val="0"/>
                      <w:marBottom w:val="0"/>
                      <w:divBdr>
                        <w:top w:val="none" w:sz="0" w:space="0" w:color="auto"/>
                        <w:left w:val="none" w:sz="0" w:space="0" w:color="auto"/>
                        <w:bottom w:val="none" w:sz="0" w:space="0" w:color="auto"/>
                        <w:right w:val="none" w:sz="0" w:space="0" w:color="auto"/>
                      </w:divBdr>
                    </w:div>
                  </w:divsChild>
                </w:div>
                <w:div w:id="501358337">
                  <w:marLeft w:val="0"/>
                  <w:marRight w:val="0"/>
                  <w:marTop w:val="0"/>
                  <w:marBottom w:val="0"/>
                  <w:divBdr>
                    <w:top w:val="none" w:sz="0" w:space="0" w:color="auto"/>
                    <w:left w:val="none" w:sz="0" w:space="0" w:color="auto"/>
                    <w:bottom w:val="none" w:sz="0" w:space="0" w:color="auto"/>
                    <w:right w:val="none" w:sz="0" w:space="0" w:color="auto"/>
                  </w:divBdr>
                  <w:divsChild>
                    <w:div w:id="346954828">
                      <w:marLeft w:val="0"/>
                      <w:marRight w:val="0"/>
                      <w:marTop w:val="0"/>
                      <w:marBottom w:val="0"/>
                      <w:divBdr>
                        <w:top w:val="none" w:sz="0" w:space="0" w:color="auto"/>
                        <w:left w:val="none" w:sz="0" w:space="0" w:color="auto"/>
                        <w:bottom w:val="none" w:sz="0" w:space="0" w:color="auto"/>
                        <w:right w:val="none" w:sz="0" w:space="0" w:color="auto"/>
                      </w:divBdr>
                    </w:div>
                  </w:divsChild>
                </w:div>
                <w:div w:id="561908995">
                  <w:marLeft w:val="0"/>
                  <w:marRight w:val="0"/>
                  <w:marTop w:val="0"/>
                  <w:marBottom w:val="0"/>
                  <w:divBdr>
                    <w:top w:val="none" w:sz="0" w:space="0" w:color="auto"/>
                    <w:left w:val="none" w:sz="0" w:space="0" w:color="auto"/>
                    <w:bottom w:val="none" w:sz="0" w:space="0" w:color="auto"/>
                    <w:right w:val="none" w:sz="0" w:space="0" w:color="auto"/>
                  </w:divBdr>
                  <w:divsChild>
                    <w:div w:id="568148520">
                      <w:marLeft w:val="0"/>
                      <w:marRight w:val="0"/>
                      <w:marTop w:val="0"/>
                      <w:marBottom w:val="0"/>
                      <w:divBdr>
                        <w:top w:val="none" w:sz="0" w:space="0" w:color="auto"/>
                        <w:left w:val="none" w:sz="0" w:space="0" w:color="auto"/>
                        <w:bottom w:val="none" w:sz="0" w:space="0" w:color="auto"/>
                        <w:right w:val="none" w:sz="0" w:space="0" w:color="auto"/>
                      </w:divBdr>
                    </w:div>
                  </w:divsChild>
                </w:div>
                <w:div w:id="606933026">
                  <w:marLeft w:val="0"/>
                  <w:marRight w:val="0"/>
                  <w:marTop w:val="0"/>
                  <w:marBottom w:val="0"/>
                  <w:divBdr>
                    <w:top w:val="none" w:sz="0" w:space="0" w:color="auto"/>
                    <w:left w:val="none" w:sz="0" w:space="0" w:color="auto"/>
                    <w:bottom w:val="none" w:sz="0" w:space="0" w:color="auto"/>
                    <w:right w:val="none" w:sz="0" w:space="0" w:color="auto"/>
                  </w:divBdr>
                  <w:divsChild>
                    <w:div w:id="1454593848">
                      <w:marLeft w:val="0"/>
                      <w:marRight w:val="0"/>
                      <w:marTop w:val="0"/>
                      <w:marBottom w:val="0"/>
                      <w:divBdr>
                        <w:top w:val="none" w:sz="0" w:space="0" w:color="auto"/>
                        <w:left w:val="none" w:sz="0" w:space="0" w:color="auto"/>
                        <w:bottom w:val="none" w:sz="0" w:space="0" w:color="auto"/>
                        <w:right w:val="none" w:sz="0" w:space="0" w:color="auto"/>
                      </w:divBdr>
                    </w:div>
                  </w:divsChild>
                </w:div>
                <w:div w:id="645276846">
                  <w:marLeft w:val="0"/>
                  <w:marRight w:val="0"/>
                  <w:marTop w:val="0"/>
                  <w:marBottom w:val="0"/>
                  <w:divBdr>
                    <w:top w:val="none" w:sz="0" w:space="0" w:color="auto"/>
                    <w:left w:val="none" w:sz="0" w:space="0" w:color="auto"/>
                    <w:bottom w:val="none" w:sz="0" w:space="0" w:color="auto"/>
                    <w:right w:val="none" w:sz="0" w:space="0" w:color="auto"/>
                  </w:divBdr>
                  <w:divsChild>
                    <w:div w:id="1437558809">
                      <w:marLeft w:val="0"/>
                      <w:marRight w:val="0"/>
                      <w:marTop w:val="0"/>
                      <w:marBottom w:val="0"/>
                      <w:divBdr>
                        <w:top w:val="none" w:sz="0" w:space="0" w:color="auto"/>
                        <w:left w:val="none" w:sz="0" w:space="0" w:color="auto"/>
                        <w:bottom w:val="none" w:sz="0" w:space="0" w:color="auto"/>
                        <w:right w:val="none" w:sz="0" w:space="0" w:color="auto"/>
                      </w:divBdr>
                    </w:div>
                  </w:divsChild>
                </w:div>
                <w:div w:id="791633714">
                  <w:marLeft w:val="0"/>
                  <w:marRight w:val="0"/>
                  <w:marTop w:val="0"/>
                  <w:marBottom w:val="0"/>
                  <w:divBdr>
                    <w:top w:val="none" w:sz="0" w:space="0" w:color="auto"/>
                    <w:left w:val="none" w:sz="0" w:space="0" w:color="auto"/>
                    <w:bottom w:val="none" w:sz="0" w:space="0" w:color="auto"/>
                    <w:right w:val="none" w:sz="0" w:space="0" w:color="auto"/>
                  </w:divBdr>
                  <w:divsChild>
                    <w:div w:id="2113434450">
                      <w:marLeft w:val="0"/>
                      <w:marRight w:val="0"/>
                      <w:marTop w:val="0"/>
                      <w:marBottom w:val="0"/>
                      <w:divBdr>
                        <w:top w:val="none" w:sz="0" w:space="0" w:color="auto"/>
                        <w:left w:val="none" w:sz="0" w:space="0" w:color="auto"/>
                        <w:bottom w:val="none" w:sz="0" w:space="0" w:color="auto"/>
                        <w:right w:val="none" w:sz="0" w:space="0" w:color="auto"/>
                      </w:divBdr>
                    </w:div>
                  </w:divsChild>
                </w:div>
                <w:div w:id="820388316">
                  <w:marLeft w:val="0"/>
                  <w:marRight w:val="0"/>
                  <w:marTop w:val="0"/>
                  <w:marBottom w:val="0"/>
                  <w:divBdr>
                    <w:top w:val="none" w:sz="0" w:space="0" w:color="auto"/>
                    <w:left w:val="none" w:sz="0" w:space="0" w:color="auto"/>
                    <w:bottom w:val="none" w:sz="0" w:space="0" w:color="auto"/>
                    <w:right w:val="none" w:sz="0" w:space="0" w:color="auto"/>
                  </w:divBdr>
                  <w:divsChild>
                    <w:div w:id="366763629">
                      <w:marLeft w:val="0"/>
                      <w:marRight w:val="0"/>
                      <w:marTop w:val="0"/>
                      <w:marBottom w:val="0"/>
                      <w:divBdr>
                        <w:top w:val="none" w:sz="0" w:space="0" w:color="auto"/>
                        <w:left w:val="none" w:sz="0" w:space="0" w:color="auto"/>
                        <w:bottom w:val="none" w:sz="0" w:space="0" w:color="auto"/>
                        <w:right w:val="none" w:sz="0" w:space="0" w:color="auto"/>
                      </w:divBdr>
                    </w:div>
                  </w:divsChild>
                </w:div>
                <w:div w:id="877739520">
                  <w:marLeft w:val="0"/>
                  <w:marRight w:val="0"/>
                  <w:marTop w:val="0"/>
                  <w:marBottom w:val="0"/>
                  <w:divBdr>
                    <w:top w:val="none" w:sz="0" w:space="0" w:color="auto"/>
                    <w:left w:val="none" w:sz="0" w:space="0" w:color="auto"/>
                    <w:bottom w:val="none" w:sz="0" w:space="0" w:color="auto"/>
                    <w:right w:val="none" w:sz="0" w:space="0" w:color="auto"/>
                  </w:divBdr>
                  <w:divsChild>
                    <w:div w:id="1084884667">
                      <w:marLeft w:val="0"/>
                      <w:marRight w:val="0"/>
                      <w:marTop w:val="0"/>
                      <w:marBottom w:val="0"/>
                      <w:divBdr>
                        <w:top w:val="none" w:sz="0" w:space="0" w:color="auto"/>
                        <w:left w:val="none" w:sz="0" w:space="0" w:color="auto"/>
                        <w:bottom w:val="none" w:sz="0" w:space="0" w:color="auto"/>
                        <w:right w:val="none" w:sz="0" w:space="0" w:color="auto"/>
                      </w:divBdr>
                    </w:div>
                  </w:divsChild>
                </w:div>
                <w:div w:id="1007052296">
                  <w:marLeft w:val="0"/>
                  <w:marRight w:val="0"/>
                  <w:marTop w:val="0"/>
                  <w:marBottom w:val="0"/>
                  <w:divBdr>
                    <w:top w:val="none" w:sz="0" w:space="0" w:color="auto"/>
                    <w:left w:val="none" w:sz="0" w:space="0" w:color="auto"/>
                    <w:bottom w:val="none" w:sz="0" w:space="0" w:color="auto"/>
                    <w:right w:val="none" w:sz="0" w:space="0" w:color="auto"/>
                  </w:divBdr>
                  <w:divsChild>
                    <w:div w:id="142890011">
                      <w:marLeft w:val="0"/>
                      <w:marRight w:val="0"/>
                      <w:marTop w:val="0"/>
                      <w:marBottom w:val="0"/>
                      <w:divBdr>
                        <w:top w:val="none" w:sz="0" w:space="0" w:color="auto"/>
                        <w:left w:val="none" w:sz="0" w:space="0" w:color="auto"/>
                        <w:bottom w:val="none" w:sz="0" w:space="0" w:color="auto"/>
                        <w:right w:val="none" w:sz="0" w:space="0" w:color="auto"/>
                      </w:divBdr>
                    </w:div>
                  </w:divsChild>
                </w:div>
                <w:div w:id="1065029318">
                  <w:marLeft w:val="0"/>
                  <w:marRight w:val="0"/>
                  <w:marTop w:val="0"/>
                  <w:marBottom w:val="0"/>
                  <w:divBdr>
                    <w:top w:val="none" w:sz="0" w:space="0" w:color="auto"/>
                    <w:left w:val="none" w:sz="0" w:space="0" w:color="auto"/>
                    <w:bottom w:val="none" w:sz="0" w:space="0" w:color="auto"/>
                    <w:right w:val="none" w:sz="0" w:space="0" w:color="auto"/>
                  </w:divBdr>
                  <w:divsChild>
                    <w:div w:id="1450857526">
                      <w:marLeft w:val="0"/>
                      <w:marRight w:val="0"/>
                      <w:marTop w:val="0"/>
                      <w:marBottom w:val="0"/>
                      <w:divBdr>
                        <w:top w:val="none" w:sz="0" w:space="0" w:color="auto"/>
                        <w:left w:val="none" w:sz="0" w:space="0" w:color="auto"/>
                        <w:bottom w:val="none" w:sz="0" w:space="0" w:color="auto"/>
                        <w:right w:val="none" w:sz="0" w:space="0" w:color="auto"/>
                      </w:divBdr>
                    </w:div>
                  </w:divsChild>
                </w:div>
                <w:div w:id="1071081913">
                  <w:marLeft w:val="0"/>
                  <w:marRight w:val="0"/>
                  <w:marTop w:val="0"/>
                  <w:marBottom w:val="0"/>
                  <w:divBdr>
                    <w:top w:val="none" w:sz="0" w:space="0" w:color="auto"/>
                    <w:left w:val="none" w:sz="0" w:space="0" w:color="auto"/>
                    <w:bottom w:val="none" w:sz="0" w:space="0" w:color="auto"/>
                    <w:right w:val="none" w:sz="0" w:space="0" w:color="auto"/>
                  </w:divBdr>
                  <w:divsChild>
                    <w:div w:id="1109084657">
                      <w:marLeft w:val="0"/>
                      <w:marRight w:val="0"/>
                      <w:marTop w:val="0"/>
                      <w:marBottom w:val="0"/>
                      <w:divBdr>
                        <w:top w:val="none" w:sz="0" w:space="0" w:color="auto"/>
                        <w:left w:val="none" w:sz="0" w:space="0" w:color="auto"/>
                        <w:bottom w:val="none" w:sz="0" w:space="0" w:color="auto"/>
                        <w:right w:val="none" w:sz="0" w:space="0" w:color="auto"/>
                      </w:divBdr>
                    </w:div>
                  </w:divsChild>
                </w:div>
                <w:div w:id="1127815514">
                  <w:marLeft w:val="0"/>
                  <w:marRight w:val="0"/>
                  <w:marTop w:val="0"/>
                  <w:marBottom w:val="0"/>
                  <w:divBdr>
                    <w:top w:val="none" w:sz="0" w:space="0" w:color="auto"/>
                    <w:left w:val="none" w:sz="0" w:space="0" w:color="auto"/>
                    <w:bottom w:val="none" w:sz="0" w:space="0" w:color="auto"/>
                    <w:right w:val="none" w:sz="0" w:space="0" w:color="auto"/>
                  </w:divBdr>
                  <w:divsChild>
                    <w:div w:id="1105155723">
                      <w:marLeft w:val="0"/>
                      <w:marRight w:val="0"/>
                      <w:marTop w:val="0"/>
                      <w:marBottom w:val="0"/>
                      <w:divBdr>
                        <w:top w:val="none" w:sz="0" w:space="0" w:color="auto"/>
                        <w:left w:val="none" w:sz="0" w:space="0" w:color="auto"/>
                        <w:bottom w:val="none" w:sz="0" w:space="0" w:color="auto"/>
                        <w:right w:val="none" w:sz="0" w:space="0" w:color="auto"/>
                      </w:divBdr>
                    </w:div>
                  </w:divsChild>
                </w:div>
                <w:div w:id="1245601380">
                  <w:marLeft w:val="0"/>
                  <w:marRight w:val="0"/>
                  <w:marTop w:val="0"/>
                  <w:marBottom w:val="0"/>
                  <w:divBdr>
                    <w:top w:val="none" w:sz="0" w:space="0" w:color="auto"/>
                    <w:left w:val="none" w:sz="0" w:space="0" w:color="auto"/>
                    <w:bottom w:val="none" w:sz="0" w:space="0" w:color="auto"/>
                    <w:right w:val="none" w:sz="0" w:space="0" w:color="auto"/>
                  </w:divBdr>
                  <w:divsChild>
                    <w:div w:id="38364129">
                      <w:marLeft w:val="0"/>
                      <w:marRight w:val="0"/>
                      <w:marTop w:val="0"/>
                      <w:marBottom w:val="0"/>
                      <w:divBdr>
                        <w:top w:val="none" w:sz="0" w:space="0" w:color="auto"/>
                        <w:left w:val="none" w:sz="0" w:space="0" w:color="auto"/>
                        <w:bottom w:val="none" w:sz="0" w:space="0" w:color="auto"/>
                        <w:right w:val="none" w:sz="0" w:space="0" w:color="auto"/>
                      </w:divBdr>
                    </w:div>
                  </w:divsChild>
                </w:div>
                <w:div w:id="1292514934">
                  <w:marLeft w:val="0"/>
                  <w:marRight w:val="0"/>
                  <w:marTop w:val="0"/>
                  <w:marBottom w:val="0"/>
                  <w:divBdr>
                    <w:top w:val="none" w:sz="0" w:space="0" w:color="auto"/>
                    <w:left w:val="none" w:sz="0" w:space="0" w:color="auto"/>
                    <w:bottom w:val="none" w:sz="0" w:space="0" w:color="auto"/>
                    <w:right w:val="none" w:sz="0" w:space="0" w:color="auto"/>
                  </w:divBdr>
                  <w:divsChild>
                    <w:div w:id="239218450">
                      <w:marLeft w:val="0"/>
                      <w:marRight w:val="0"/>
                      <w:marTop w:val="0"/>
                      <w:marBottom w:val="0"/>
                      <w:divBdr>
                        <w:top w:val="none" w:sz="0" w:space="0" w:color="auto"/>
                        <w:left w:val="none" w:sz="0" w:space="0" w:color="auto"/>
                        <w:bottom w:val="none" w:sz="0" w:space="0" w:color="auto"/>
                        <w:right w:val="none" w:sz="0" w:space="0" w:color="auto"/>
                      </w:divBdr>
                    </w:div>
                  </w:divsChild>
                </w:div>
                <w:div w:id="1440296174">
                  <w:marLeft w:val="0"/>
                  <w:marRight w:val="0"/>
                  <w:marTop w:val="0"/>
                  <w:marBottom w:val="0"/>
                  <w:divBdr>
                    <w:top w:val="none" w:sz="0" w:space="0" w:color="auto"/>
                    <w:left w:val="none" w:sz="0" w:space="0" w:color="auto"/>
                    <w:bottom w:val="none" w:sz="0" w:space="0" w:color="auto"/>
                    <w:right w:val="none" w:sz="0" w:space="0" w:color="auto"/>
                  </w:divBdr>
                  <w:divsChild>
                    <w:div w:id="1200320685">
                      <w:marLeft w:val="0"/>
                      <w:marRight w:val="0"/>
                      <w:marTop w:val="0"/>
                      <w:marBottom w:val="0"/>
                      <w:divBdr>
                        <w:top w:val="none" w:sz="0" w:space="0" w:color="auto"/>
                        <w:left w:val="none" w:sz="0" w:space="0" w:color="auto"/>
                        <w:bottom w:val="none" w:sz="0" w:space="0" w:color="auto"/>
                        <w:right w:val="none" w:sz="0" w:space="0" w:color="auto"/>
                      </w:divBdr>
                    </w:div>
                  </w:divsChild>
                </w:div>
                <w:div w:id="1457799464">
                  <w:marLeft w:val="0"/>
                  <w:marRight w:val="0"/>
                  <w:marTop w:val="0"/>
                  <w:marBottom w:val="0"/>
                  <w:divBdr>
                    <w:top w:val="none" w:sz="0" w:space="0" w:color="auto"/>
                    <w:left w:val="none" w:sz="0" w:space="0" w:color="auto"/>
                    <w:bottom w:val="none" w:sz="0" w:space="0" w:color="auto"/>
                    <w:right w:val="none" w:sz="0" w:space="0" w:color="auto"/>
                  </w:divBdr>
                  <w:divsChild>
                    <w:div w:id="573973072">
                      <w:marLeft w:val="0"/>
                      <w:marRight w:val="0"/>
                      <w:marTop w:val="0"/>
                      <w:marBottom w:val="0"/>
                      <w:divBdr>
                        <w:top w:val="none" w:sz="0" w:space="0" w:color="auto"/>
                        <w:left w:val="none" w:sz="0" w:space="0" w:color="auto"/>
                        <w:bottom w:val="none" w:sz="0" w:space="0" w:color="auto"/>
                        <w:right w:val="none" w:sz="0" w:space="0" w:color="auto"/>
                      </w:divBdr>
                    </w:div>
                  </w:divsChild>
                </w:div>
                <w:div w:id="1531526198">
                  <w:marLeft w:val="0"/>
                  <w:marRight w:val="0"/>
                  <w:marTop w:val="0"/>
                  <w:marBottom w:val="0"/>
                  <w:divBdr>
                    <w:top w:val="none" w:sz="0" w:space="0" w:color="auto"/>
                    <w:left w:val="none" w:sz="0" w:space="0" w:color="auto"/>
                    <w:bottom w:val="none" w:sz="0" w:space="0" w:color="auto"/>
                    <w:right w:val="none" w:sz="0" w:space="0" w:color="auto"/>
                  </w:divBdr>
                  <w:divsChild>
                    <w:div w:id="316617137">
                      <w:marLeft w:val="0"/>
                      <w:marRight w:val="0"/>
                      <w:marTop w:val="0"/>
                      <w:marBottom w:val="0"/>
                      <w:divBdr>
                        <w:top w:val="none" w:sz="0" w:space="0" w:color="auto"/>
                        <w:left w:val="none" w:sz="0" w:space="0" w:color="auto"/>
                        <w:bottom w:val="none" w:sz="0" w:space="0" w:color="auto"/>
                        <w:right w:val="none" w:sz="0" w:space="0" w:color="auto"/>
                      </w:divBdr>
                    </w:div>
                  </w:divsChild>
                </w:div>
                <w:div w:id="1562129461">
                  <w:marLeft w:val="0"/>
                  <w:marRight w:val="0"/>
                  <w:marTop w:val="0"/>
                  <w:marBottom w:val="0"/>
                  <w:divBdr>
                    <w:top w:val="none" w:sz="0" w:space="0" w:color="auto"/>
                    <w:left w:val="none" w:sz="0" w:space="0" w:color="auto"/>
                    <w:bottom w:val="none" w:sz="0" w:space="0" w:color="auto"/>
                    <w:right w:val="none" w:sz="0" w:space="0" w:color="auto"/>
                  </w:divBdr>
                  <w:divsChild>
                    <w:div w:id="2003853821">
                      <w:marLeft w:val="0"/>
                      <w:marRight w:val="0"/>
                      <w:marTop w:val="0"/>
                      <w:marBottom w:val="0"/>
                      <w:divBdr>
                        <w:top w:val="none" w:sz="0" w:space="0" w:color="auto"/>
                        <w:left w:val="none" w:sz="0" w:space="0" w:color="auto"/>
                        <w:bottom w:val="none" w:sz="0" w:space="0" w:color="auto"/>
                        <w:right w:val="none" w:sz="0" w:space="0" w:color="auto"/>
                      </w:divBdr>
                    </w:div>
                  </w:divsChild>
                </w:div>
                <w:div w:id="1765953523">
                  <w:marLeft w:val="0"/>
                  <w:marRight w:val="0"/>
                  <w:marTop w:val="0"/>
                  <w:marBottom w:val="0"/>
                  <w:divBdr>
                    <w:top w:val="none" w:sz="0" w:space="0" w:color="auto"/>
                    <w:left w:val="none" w:sz="0" w:space="0" w:color="auto"/>
                    <w:bottom w:val="none" w:sz="0" w:space="0" w:color="auto"/>
                    <w:right w:val="none" w:sz="0" w:space="0" w:color="auto"/>
                  </w:divBdr>
                  <w:divsChild>
                    <w:div w:id="333536365">
                      <w:marLeft w:val="0"/>
                      <w:marRight w:val="0"/>
                      <w:marTop w:val="0"/>
                      <w:marBottom w:val="0"/>
                      <w:divBdr>
                        <w:top w:val="none" w:sz="0" w:space="0" w:color="auto"/>
                        <w:left w:val="none" w:sz="0" w:space="0" w:color="auto"/>
                        <w:bottom w:val="none" w:sz="0" w:space="0" w:color="auto"/>
                        <w:right w:val="none" w:sz="0" w:space="0" w:color="auto"/>
                      </w:divBdr>
                    </w:div>
                  </w:divsChild>
                </w:div>
                <w:div w:id="2060274489">
                  <w:marLeft w:val="0"/>
                  <w:marRight w:val="0"/>
                  <w:marTop w:val="0"/>
                  <w:marBottom w:val="0"/>
                  <w:divBdr>
                    <w:top w:val="none" w:sz="0" w:space="0" w:color="auto"/>
                    <w:left w:val="none" w:sz="0" w:space="0" w:color="auto"/>
                    <w:bottom w:val="none" w:sz="0" w:space="0" w:color="auto"/>
                    <w:right w:val="none" w:sz="0" w:space="0" w:color="auto"/>
                  </w:divBdr>
                  <w:divsChild>
                    <w:div w:id="1673488898">
                      <w:marLeft w:val="0"/>
                      <w:marRight w:val="0"/>
                      <w:marTop w:val="0"/>
                      <w:marBottom w:val="0"/>
                      <w:divBdr>
                        <w:top w:val="none" w:sz="0" w:space="0" w:color="auto"/>
                        <w:left w:val="none" w:sz="0" w:space="0" w:color="auto"/>
                        <w:bottom w:val="none" w:sz="0" w:space="0" w:color="auto"/>
                        <w:right w:val="none" w:sz="0" w:space="0" w:color="auto"/>
                      </w:divBdr>
                    </w:div>
                  </w:divsChild>
                </w:div>
                <w:div w:id="2065711861">
                  <w:marLeft w:val="0"/>
                  <w:marRight w:val="0"/>
                  <w:marTop w:val="0"/>
                  <w:marBottom w:val="0"/>
                  <w:divBdr>
                    <w:top w:val="none" w:sz="0" w:space="0" w:color="auto"/>
                    <w:left w:val="none" w:sz="0" w:space="0" w:color="auto"/>
                    <w:bottom w:val="none" w:sz="0" w:space="0" w:color="auto"/>
                    <w:right w:val="none" w:sz="0" w:space="0" w:color="auto"/>
                  </w:divBdr>
                  <w:divsChild>
                    <w:div w:id="1131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6267">
          <w:marLeft w:val="0"/>
          <w:marRight w:val="0"/>
          <w:marTop w:val="0"/>
          <w:marBottom w:val="0"/>
          <w:divBdr>
            <w:top w:val="none" w:sz="0" w:space="0" w:color="auto"/>
            <w:left w:val="none" w:sz="0" w:space="0" w:color="auto"/>
            <w:bottom w:val="none" w:sz="0" w:space="0" w:color="auto"/>
            <w:right w:val="none" w:sz="0" w:space="0" w:color="auto"/>
          </w:divBdr>
        </w:div>
        <w:div w:id="155385963">
          <w:marLeft w:val="0"/>
          <w:marRight w:val="0"/>
          <w:marTop w:val="0"/>
          <w:marBottom w:val="0"/>
          <w:divBdr>
            <w:top w:val="none" w:sz="0" w:space="0" w:color="auto"/>
            <w:left w:val="none" w:sz="0" w:space="0" w:color="auto"/>
            <w:bottom w:val="none" w:sz="0" w:space="0" w:color="auto"/>
            <w:right w:val="none" w:sz="0" w:space="0" w:color="auto"/>
          </w:divBdr>
        </w:div>
        <w:div w:id="157313543">
          <w:marLeft w:val="0"/>
          <w:marRight w:val="0"/>
          <w:marTop w:val="0"/>
          <w:marBottom w:val="0"/>
          <w:divBdr>
            <w:top w:val="none" w:sz="0" w:space="0" w:color="auto"/>
            <w:left w:val="none" w:sz="0" w:space="0" w:color="auto"/>
            <w:bottom w:val="none" w:sz="0" w:space="0" w:color="auto"/>
            <w:right w:val="none" w:sz="0" w:space="0" w:color="auto"/>
          </w:divBdr>
          <w:divsChild>
            <w:div w:id="301034832">
              <w:marLeft w:val="0"/>
              <w:marRight w:val="0"/>
              <w:marTop w:val="0"/>
              <w:marBottom w:val="0"/>
              <w:divBdr>
                <w:top w:val="none" w:sz="0" w:space="0" w:color="auto"/>
                <w:left w:val="none" w:sz="0" w:space="0" w:color="auto"/>
                <w:bottom w:val="none" w:sz="0" w:space="0" w:color="auto"/>
                <w:right w:val="none" w:sz="0" w:space="0" w:color="auto"/>
              </w:divBdr>
            </w:div>
            <w:div w:id="776949269">
              <w:marLeft w:val="0"/>
              <w:marRight w:val="0"/>
              <w:marTop w:val="0"/>
              <w:marBottom w:val="0"/>
              <w:divBdr>
                <w:top w:val="none" w:sz="0" w:space="0" w:color="auto"/>
                <w:left w:val="none" w:sz="0" w:space="0" w:color="auto"/>
                <w:bottom w:val="none" w:sz="0" w:space="0" w:color="auto"/>
                <w:right w:val="none" w:sz="0" w:space="0" w:color="auto"/>
              </w:divBdr>
            </w:div>
            <w:div w:id="1646274640">
              <w:marLeft w:val="0"/>
              <w:marRight w:val="0"/>
              <w:marTop w:val="0"/>
              <w:marBottom w:val="0"/>
              <w:divBdr>
                <w:top w:val="none" w:sz="0" w:space="0" w:color="auto"/>
                <w:left w:val="none" w:sz="0" w:space="0" w:color="auto"/>
                <w:bottom w:val="none" w:sz="0" w:space="0" w:color="auto"/>
                <w:right w:val="none" w:sz="0" w:space="0" w:color="auto"/>
              </w:divBdr>
            </w:div>
            <w:div w:id="1825707385">
              <w:marLeft w:val="0"/>
              <w:marRight w:val="0"/>
              <w:marTop w:val="0"/>
              <w:marBottom w:val="0"/>
              <w:divBdr>
                <w:top w:val="none" w:sz="0" w:space="0" w:color="auto"/>
                <w:left w:val="none" w:sz="0" w:space="0" w:color="auto"/>
                <w:bottom w:val="none" w:sz="0" w:space="0" w:color="auto"/>
                <w:right w:val="none" w:sz="0" w:space="0" w:color="auto"/>
              </w:divBdr>
            </w:div>
            <w:div w:id="1992366521">
              <w:marLeft w:val="0"/>
              <w:marRight w:val="0"/>
              <w:marTop w:val="0"/>
              <w:marBottom w:val="0"/>
              <w:divBdr>
                <w:top w:val="none" w:sz="0" w:space="0" w:color="auto"/>
                <w:left w:val="none" w:sz="0" w:space="0" w:color="auto"/>
                <w:bottom w:val="none" w:sz="0" w:space="0" w:color="auto"/>
                <w:right w:val="none" w:sz="0" w:space="0" w:color="auto"/>
              </w:divBdr>
            </w:div>
          </w:divsChild>
        </w:div>
        <w:div w:id="162402857">
          <w:marLeft w:val="0"/>
          <w:marRight w:val="0"/>
          <w:marTop w:val="0"/>
          <w:marBottom w:val="0"/>
          <w:divBdr>
            <w:top w:val="none" w:sz="0" w:space="0" w:color="auto"/>
            <w:left w:val="none" w:sz="0" w:space="0" w:color="auto"/>
            <w:bottom w:val="none" w:sz="0" w:space="0" w:color="auto"/>
            <w:right w:val="none" w:sz="0" w:space="0" w:color="auto"/>
          </w:divBdr>
        </w:div>
        <w:div w:id="185410051">
          <w:marLeft w:val="0"/>
          <w:marRight w:val="0"/>
          <w:marTop w:val="0"/>
          <w:marBottom w:val="0"/>
          <w:divBdr>
            <w:top w:val="none" w:sz="0" w:space="0" w:color="auto"/>
            <w:left w:val="none" w:sz="0" w:space="0" w:color="auto"/>
            <w:bottom w:val="none" w:sz="0" w:space="0" w:color="auto"/>
            <w:right w:val="none" w:sz="0" w:space="0" w:color="auto"/>
          </w:divBdr>
          <w:divsChild>
            <w:div w:id="341906368">
              <w:marLeft w:val="0"/>
              <w:marRight w:val="0"/>
              <w:marTop w:val="0"/>
              <w:marBottom w:val="0"/>
              <w:divBdr>
                <w:top w:val="none" w:sz="0" w:space="0" w:color="auto"/>
                <w:left w:val="none" w:sz="0" w:space="0" w:color="auto"/>
                <w:bottom w:val="none" w:sz="0" w:space="0" w:color="auto"/>
                <w:right w:val="none" w:sz="0" w:space="0" w:color="auto"/>
              </w:divBdr>
            </w:div>
            <w:div w:id="876115062">
              <w:marLeft w:val="0"/>
              <w:marRight w:val="0"/>
              <w:marTop w:val="0"/>
              <w:marBottom w:val="0"/>
              <w:divBdr>
                <w:top w:val="none" w:sz="0" w:space="0" w:color="auto"/>
                <w:left w:val="none" w:sz="0" w:space="0" w:color="auto"/>
                <w:bottom w:val="none" w:sz="0" w:space="0" w:color="auto"/>
                <w:right w:val="none" w:sz="0" w:space="0" w:color="auto"/>
              </w:divBdr>
            </w:div>
            <w:div w:id="1580360010">
              <w:marLeft w:val="0"/>
              <w:marRight w:val="0"/>
              <w:marTop w:val="0"/>
              <w:marBottom w:val="0"/>
              <w:divBdr>
                <w:top w:val="none" w:sz="0" w:space="0" w:color="auto"/>
                <w:left w:val="none" w:sz="0" w:space="0" w:color="auto"/>
                <w:bottom w:val="none" w:sz="0" w:space="0" w:color="auto"/>
                <w:right w:val="none" w:sz="0" w:space="0" w:color="auto"/>
              </w:divBdr>
            </w:div>
          </w:divsChild>
        </w:div>
        <w:div w:id="198978653">
          <w:marLeft w:val="0"/>
          <w:marRight w:val="0"/>
          <w:marTop w:val="0"/>
          <w:marBottom w:val="0"/>
          <w:divBdr>
            <w:top w:val="none" w:sz="0" w:space="0" w:color="auto"/>
            <w:left w:val="none" w:sz="0" w:space="0" w:color="auto"/>
            <w:bottom w:val="none" w:sz="0" w:space="0" w:color="auto"/>
            <w:right w:val="none" w:sz="0" w:space="0" w:color="auto"/>
          </w:divBdr>
          <w:divsChild>
            <w:div w:id="783311913">
              <w:marLeft w:val="-75"/>
              <w:marRight w:val="0"/>
              <w:marTop w:val="30"/>
              <w:marBottom w:val="30"/>
              <w:divBdr>
                <w:top w:val="none" w:sz="0" w:space="0" w:color="auto"/>
                <w:left w:val="none" w:sz="0" w:space="0" w:color="auto"/>
                <w:bottom w:val="none" w:sz="0" w:space="0" w:color="auto"/>
                <w:right w:val="none" w:sz="0" w:space="0" w:color="auto"/>
              </w:divBdr>
              <w:divsChild>
                <w:div w:id="184100652">
                  <w:marLeft w:val="0"/>
                  <w:marRight w:val="0"/>
                  <w:marTop w:val="0"/>
                  <w:marBottom w:val="0"/>
                  <w:divBdr>
                    <w:top w:val="none" w:sz="0" w:space="0" w:color="auto"/>
                    <w:left w:val="none" w:sz="0" w:space="0" w:color="auto"/>
                    <w:bottom w:val="none" w:sz="0" w:space="0" w:color="auto"/>
                    <w:right w:val="none" w:sz="0" w:space="0" w:color="auto"/>
                  </w:divBdr>
                  <w:divsChild>
                    <w:div w:id="1046949638">
                      <w:marLeft w:val="0"/>
                      <w:marRight w:val="0"/>
                      <w:marTop w:val="0"/>
                      <w:marBottom w:val="0"/>
                      <w:divBdr>
                        <w:top w:val="none" w:sz="0" w:space="0" w:color="auto"/>
                        <w:left w:val="none" w:sz="0" w:space="0" w:color="auto"/>
                        <w:bottom w:val="none" w:sz="0" w:space="0" w:color="auto"/>
                        <w:right w:val="none" w:sz="0" w:space="0" w:color="auto"/>
                      </w:divBdr>
                    </w:div>
                  </w:divsChild>
                </w:div>
                <w:div w:id="440220767">
                  <w:marLeft w:val="0"/>
                  <w:marRight w:val="0"/>
                  <w:marTop w:val="0"/>
                  <w:marBottom w:val="0"/>
                  <w:divBdr>
                    <w:top w:val="none" w:sz="0" w:space="0" w:color="auto"/>
                    <w:left w:val="none" w:sz="0" w:space="0" w:color="auto"/>
                    <w:bottom w:val="none" w:sz="0" w:space="0" w:color="auto"/>
                    <w:right w:val="none" w:sz="0" w:space="0" w:color="auto"/>
                  </w:divBdr>
                  <w:divsChild>
                    <w:div w:id="2128041157">
                      <w:marLeft w:val="0"/>
                      <w:marRight w:val="0"/>
                      <w:marTop w:val="0"/>
                      <w:marBottom w:val="0"/>
                      <w:divBdr>
                        <w:top w:val="none" w:sz="0" w:space="0" w:color="auto"/>
                        <w:left w:val="none" w:sz="0" w:space="0" w:color="auto"/>
                        <w:bottom w:val="none" w:sz="0" w:space="0" w:color="auto"/>
                        <w:right w:val="none" w:sz="0" w:space="0" w:color="auto"/>
                      </w:divBdr>
                    </w:div>
                  </w:divsChild>
                </w:div>
                <w:div w:id="453141352">
                  <w:marLeft w:val="0"/>
                  <w:marRight w:val="0"/>
                  <w:marTop w:val="0"/>
                  <w:marBottom w:val="0"/>
                  <w:divBdr>
                    <w:top w:val="none" w:sz="0" w:space="0" w:color="auto"/>
                    <w:left w:val="none" w:sz="0" w:space="0" w:color="auto"/>
                    <w:bottom w:val="none" w:sz="0" w:space="0" w:color="auto"/>
                    <w:right w:val="none" w:sz="0" w:space="0" w:color="auto"/>
                  </w:divBdr>
                  <w:divsChild>
                    <w:div w:id="12271351">
                      <w:marLeft w:val="0"/>
                      <w:marRight w:val="0"/>
                      <w:marTop w:val="0"/>
                      <w:marBottom w:val="0"/>
                      <w:divBdr>
                        <w:top w:val="none" w:sz="0" w:space="0" w:color="auto"/>
                        <w:left w:val="none" w:sz="0" w:space="0" w:color="auto"/>
                        <w:bottom w:val="none" w:sz="0" w:space="0" w:color="auto"/>
                        <w:right w:val="none" w:sz="0" w:space="0" w:color="auto"/>
                      </w:divBdr>
                    </w:div>
                  </w:divsChild>
                </w:div>
                <w:div w:id="532764569">
                  <w:marLeft w:val="0"/>
                  <w:marRight w:val="0"/>
                  <w:marTop w:val="0"/>
                  <w:marBottom w:val="0"/>
                  <w:divBdr>
                    <w:top w:val="none" w:sz="0" w:space="0" w:color="auto"/>
                    <w:left w:val="none" w:sz="0" w:space="0" w:color="auto"/>
                    <w:bottom w:val="none" w:sz="0" w:space="0" w:color="auto"/>
                    <w:right w:val="none" w:sz="0" w:space="0" w:color="auto"/>
                  </w:divBdr>
                  <w:divsChild>
                    <w:div w:id="184053051">
                      <w:marLeft w:val="0"/>
                      <w:marRight w:val="0"/>
                      <w:marTop w:val="0"/>
                      <w:marBottom w:val="0"/>
                      <w:divBdr>
                        <w:top w:val="none" w:sz="0" w:space="0" w:color="auto"/>
                        <w:left w:val="none" w:sz="0" w:space="0" w:color="auto"/>
                        <w:bottom w:val="none" w:sz="0" w:space="0" w:color="auto"/>
                        <w:right w:val="none" w:sz="0" w:space="0" w:color="auto"/>
                      </w:divBdr>
                    </w:div>
                  </w:divsChild>
                </w:div>
                <w:div w:id="540244097">
                  <w:marLeft w:val="0"/>
                  <w:marRight w:val="0"/>
                  <w:marTop w:val="0"/>
                  <w:marBottom w:val="0"/>
                  <w:divBdr>
                    <w:top w:val="none" w:sz="0" w:space="0" w:color="auto"/>
                    <w:left w:val="none" w:sz="0" w:space="0" w:color="auto"/>
                    <w:bottom w:val="none" w:sz="0" w:space="0" w:color="auto"/>
                    <w:right w:val="none" w:sz="0" w:space="0" w:color="auto"/>
                  </w:divBdr>
                  <w:divsChild>
                    <w:div w:id="1299529416">
                      <w:marLeft w:val="0"/>
                      <w:marRight w:val="0"/>
                      <w:marTop w:val="0"/>
                      <w:marBottom w:val="0"/>
                      <w:divBdr>
                        <w:top w:val="none" w:sz="0" w:space="0" w:color="auto"/>
                        <w:left w:val="none" w:sz="0" w:space="0" w:color="auto"/>
                        <w:bottom w:val="none" w:sz="0" w:space="0" w:color="auto"/>
                        <w:right w:val="none" w:sz="0" w:space="0" w:color="auto"/>
                      </w:divBdr>
                    </w:div>
                  </w:divsChild>
                </w:div>
                <w:div w:id="552931322">
                  <w:marLeft w:val="0"/>
                  <w:marRight w:val="0"/>
                  <w:marTop w:val="0"/>
                  <w:marBottom w:val="0"/>
                  <w:divBdr>
                    <w:top w:val="none" w:sz="0" w:space="0" w:color="auto"/>
                    <w:left w:val="none" w:sz="0" w:space="0" w:color="auto"/>
                    <w:bottom w:val="none" w:sz="0" w:space="0" w:color="auto"/>
                    <w:right w:val="none" w:sz="0" w:space="0" w:color="auto"/>
                  </w:divBdr>
                  <w:divsChild>
                    <w:div w:id="1054696079">
                      <w:marLeft w:val="0"/>
                      <w:marRight w:val="0"/>
                      <w:marTop w:val="0"/>
                      <w:marBottom w:val="0"/>
                      <w:divBdr>
                        <w:top w:val="none" w:sz="0" w:space="0" w:color="auto"/>
                        <w:left w:val="none" w:sz="0" w:space="0" w:color="auto"/>
                        <w:bottom w:val="none" w:sz="0" w:space="0" w:color="auto"/>
                        <w:right w:val="none" w:sz="0" w:space="0" w:color="auto"/>
                      </w:divBdr>
                    </w:div>
                  </w:divsChild>
                </w:div>
                <w:div w:id="576987253">
                  <w:marLeft w:val="0"/>
                  <w:marRight w:val="0"/>
                  <w:marTop w:val="0"/>
                  <w:marBottom w:val="0"/>
                  <w:divBdr>
                    <w:top w:val="none" w:sz="0" w:space="0" w:color="auto"/>
                    <w:left w:val="none" w:sz="0" w:space="0" w:color="auto"/>
                    <w:bottom w:val="none" w:sz="0" w:space="0" w:color="auto"/>
                    <w:right w:val="none" w:sz="0" w:space="0" w:color="auto"/>
                  </w:divBdr>
                  <w:divsChild>
                    <w:div w:id="589318737">
                      <w:marLeft w:val="0"/>
                      <w:marRight w:val="0"/>
                      <w:marTop w:val="0"/>
                      <w:marBottom w:val="0"/>
                      <w:divBdr>
                        <w:top w:val="none" w:sz="0" w:space="0" w:color="auto"/>
                        <w:left w:val="none" w:sz="0" w:space="0" w:color="auto"/>
                        <w:bottom w:val="none" w:sz="0" w:space="0" w:color="auto"/>
                        <w:right w:val="none" w:sz="0" w:space="0" w:color="auto"/>
                      </w:divBdr>
                    </w:div>
                  </w:divsChild>
                </w:div>
                <w:div w:id="586885675">
                  <w:marLeft w:val="0"/>
                  <w:marRight w:val="0"/>
                  <w:marTop w:val="0"/>
                  <w:marBottom w:val="0"/>
                  <w:divBdr>
                    <w:top w:val="none" w:sz="0" w:space="0" w:color="auto"/>
                    <w:left w:val="none" w:sz="0" w:space="0" w:color="auto"/>
                    <w:bottom w:val="none" w:sz="0" w:space="0" w:color="auto"/>
                    <w:right w:val="none" w:sz="0" w:space="0" w:color="auto"/>
                  </w:divBdr>
                  <w:divsChild>
                    <w:div w:id="1883056732">
                      <w:marLeft w:val="0"/>
                      <w:marRight w:val="0"/>
                      <w:marTop w:val="0"/>
                      <w:marBottom w:val="0"/>
                      <w:divBdr>
                        <w:top w:val="none" w:sz="0" w:space="0" w:color="auto"/>
                        <w:left w:val="none" w:sz="0" w:space="0" w:color="auto"/>
                        <w:bottom w:val="none" w:sz="0" w:space="0" w:color="auto"/>
                        <w:right w:val="none" w:sz="0" w:space="0" w:color="auto"/>
                      </w:divBdr>
                    </w:div>
                  </w:divsChild>
                </w:div>
                <w:div w:id="617951199">
                  <w:marLeft w:val="0"/>
                  <w:marRight w:val="0"/>
                  <w:marTop w:val="0"/>
                  <w:marBottom w:val="0"/>
                  <w:divBdr>
                    <w:top w:val="none" w:sz="0" w:space="0" w:color="auto"/>
                    <w:left w:val="none" w:sz="0" w:space="0" w:color="auto"/>
                    <w:bottom w:val="none" w:sz="0" w:space="0" w:color="auto"/>
                    <w:right w:val="none" w:sz="0" w:space="0" w:color="auto"/>
                  </w:divBdr>
                  <w:divsChild>
                    <w:div w:id="622074262">
                      <w:marLeft w:val="0"/>
                      <w:marRight w:val="0"/>
                      <w:marTop w:val="0"/>
                      <w:marBottom w:val="0"/>
                      <w:divBdr>
                        <w:top w:val="none" w:sz="0" w:space="0" w:color="auto"/>
                        <w:left w:val="none" w:sz="0" w:space="0" w:color="auto"/>
                        <w:bottom w:val="none" w:sz="0" w:space="0" w:color="auto"/>
                        <w:right w:val="none" w:sz="0" w:space="0" w:color="auto"/>
                      </w:divBdr>
                    </w:div>
                  </w:divsChild>
                </w:div>
                <w:div w:id="721828779">
                  <w:marLeft w:val="0"/>
                  <w:marRight w:val="0"/>
                  <w:marTop w:val="0"/>
                  <w:marBottom w:val="0"/>
                  <w:divBdr>
                    <w:top w:val="none" w:sz="0" w:space="0" w:color="auto"/>
                    <w:left w:val="none" w:sz="0" w:space="0" w:color="auto"/>
                    <w:bottom w:val="none" w:sz="0" w:space="0" w:color="auto"/>
                    <w:right w:val="none" w:sz="0" w:space="0" w:color="auto"/>
                  </w:divBdr>
                  <w:divsChild>
                    <w:div w:id="1299065523">
                      <w:marLeft w:val="0"/>
                      <w:marRight w:val="0"/>
                      <w:marTop w:val="0"/>
                      <w:marBottom w:val="0"/>
                      <w:divBdr>
                        <w:top w:val="none" w:sz="0" w:space="0" w:color="auto"/>
                        <w:left w:val="none" w:sz="0" w:space="0" w:color="auto"/>
                        <w:bottom w:val="none" w:sz="0" w:space="0" w:color="auto"/>
                        <w:right w:val="none" w:sz="0" w:space="0" w:color="auto"/>
                      </w:divBdr>
                    </w:div>
                  </w:divsChild>
                </w:div>
                <w:div w:id="752705863">
                  <w:marLeft w:val="0"/>
                  <w:marRight w:val="0"/>
                  <w:marTop w:val="0"/>
                  <w:marBottom w:val="0"/>
                  <w:divBdr>
                    <w:top w:val="none" w:sz="0" w:space="0" w:color="auto"/>
                    <w:left w:val="none" w:sz="0" w:space="0" w:color="auto"/>
                    <w:bottom w:val="none" w:sz="0" w:space="0" w:color="auto"/>
                    <w:right w:val="none" w:sz="0" w:space="0" w:color="auto"/>
                  </w:divBdr>
                  <w:divsChild>
                    <w:div w:id="1504202719">
                      <w:marLeft w:val="0"/>
                      <w:marRight w:val="0"/>
                      <w:marTop w:val="0"/>
                      <w:marBottom w:val="0"/>
                      <w:divBdr>
                        <w:top w:val="none" w:sz="0" w:space="0" w:color="auto"/>
                        <w:left w:val="none" w:sz="0" w:space="0" w:color="auto"/>
                        <w:bottom w:val="none" w:sz="0" w:space="0" w:color="auto"/>
                        <w:right w:val="none" w:sz="0" w:space="0" w:color="auto"/>
                      </w:divBdr>
                    </w:div>
                    <w:div w:id="1868255243">
                      <w:marLeft w:val="0"/>
                      <w:marRight w:val="0"/>
                      <w:marTop w:val="0"/>
                      <w:marBottom w:val="0"/>
                      <w:divBdr>
                        <w:top w:val="none" w:sz="0" w:space="0" w:color="auto"/>
                        <w:left w:val="none" w:sz="0" w:space="0" w:color="auto"/>
                        <w:bottom w:val="none" w:sz="0" w:space="0" w:color="auto"/>
                        <w:right w:val="none" w:sz="0" w:space="0" w:color="auto"/>
                      </w:divBdr>
                    </w:div>
                  </w:divsChild>
                </w:div>
                <w:div w:id="915675615">
                  <w:marLeft w:val="0"/>
                  <w:marRight w:val="0"/>
                  <w:marTop w:val="0"/>
                  <w:marBottom w:val="0"/>
                  <w:divBdr>
                    <w:top w:val="none" w:sz="0" w:space="0" w:color="auto"/>
                    <w:left w:val="none" w:sz="0" w:space="0" w:color="auto"/>
                    <w:bottom w:val="none" w:sz="0" w:space="0" w:color="auto"/>
                    <w:right w:val="none" w:sz="0" w:space="0" w:color="auto"/>
                  </w:divBdr>
                  <w:divsChild>
                    <w:div w:id="186144805">
                      <w:marLeft w:val="0"/>
                      <w:marRight w:val="0"/>
                      <w:marTop w:val="0"/>
                      <w:marBottom w:val="0"/>
                      <w:divBdr>
                        <w:top w:val="none" w:sz="0" w:space="0" w:color="auto"/>
                        <w:left w:val="none" w:sz="0" w:space="0" w:color="auto"/>
                        <w:bottom w:val="none" w:sz="0" w:space="0" w:color="auto"/>
                        <w:right w:val="none" w:sz="0" w:space="0" w:color="auto"/>
                      </w:divBdr>
                    </w:div>
                  </w:divsChild>
                </w:div>
                <w:div w:id="1070889080">
                  <w:marLeft w:val="0"/>
                  <w:marRight w:val="0"/>
                  <w:marTop w:val="0"/>
                  <w:marBottom w:val="0"/>
                  <w:divBdr>
                    <w:top w:val="none" w:sz="0" w:space="0" w:color="auto"/>
                    <w:left w:val="none" w:sz="0" w:space="0" w:color="auto"/>
                    <w:bottom w:val="none" w:sz="0" w:space="0" w:color="auto"/>
                    <w:right w:val="none" w:sz="0" w:space="0" w:color="auto"/>
                  </w:divBdr>
                  <w:divsChild>
                    <w:div w:id="34426583">
                      <w:marLeft w:val="0"/>
                      <w:marRight w:val="0"/>
                      <w:marTop w:val="0"/>
                      <w:marBottom w:val="0"/>
                      <w:divBdr>
                        <w:top w:val="none" w:sz="0" w:space="0" w:color="auto"/>
                        <w:left w:val="none" w:sz="0" w:space="0" w:color="auto"/>
                        <w:bottom w:val="none" w:sz="0" w:space="0" w:color="auto"/>
                        <w:right w:val="none" w:sz="0" w:space="0" w:color="auto"/>
                      </w:divBdr>
                    </w:div>
                  </w:divsChild>
                </w:div>
                <w:div w:id="1096360779">
                  <w:marLeft w:val="0"/>
                  <w:marRight w:val="0"/>
                  <w:marTop w:val="0"/>
                  <w:marBottom w:val="0"/>
                  <w:divBdr>
                    <w:top w:val="none" w:sz="0" w:space="0" w:color="auto"/>
                    <w:left w:val="none" w:sz="0" w:space="0" w:color="auto"/>
                    <w:bottom w:val="none" w:sz="0" w:space="0" w:color="auto"/>
                    <w:right w:val="none" w:sz="0" w:space="0" w:color="auto"/>
                  </w:divBdr>
                  <w:divsChild>
                    <w:div w:id="1643341666">
                      <w:marLeft w:val="0"/>
                      <w:marRight w:val="0"/>
                      <w:marTop w:val="0"/>
                      <w:marBottom w:val="0"/>
                      <w:divBdr>
                        <w:top w:val="none" w:sz="0" w:space="0" w:color="auto"/>
                        <w:left w:val="none" w:sz="0" w:space="0" w:color="auto"/>
                        <w:bottom w:val="none" w:sz="0" w:space="0" w:color="auto"/>
                        <w:right w:val="none" w:sz="0" w:space="0" w:color="auto"/>
                      </w:divBdr>
                    </w:div>
                  </w:divsChild>
                </w:div>
                <w:div w:id="1132600693">
                  <w:marLeft w:val="0"/>
                  <w:marRight w:val="0"/>
                  <w:marTop w:val="0"/>
                  <w:marBottom w:val="0"/>
                  <w:divBdr>
                    <w:top w:val="none" w:sz="0" w:space="0" w:color="auto"/>
                    <w:left w:val="none" w:sz="0" w:space="0" w:color="auto"/>
                    <w:bottom w:val="none" w:sz="0" w:space="0" w:color="auto"/>
                    <w:right w:val="none" w:sz="0" w:space="0" w:color="auto"/>
                  </w:divBdr>
                  <w:divsChild>
                    <w:div w:id="79182140">
                      <w:marLeft w:val="0"/>
                      <w:marRight w:val="0"/>
                      <w:marTop w:val="0"/>
                      <w:marBottom w:val="0"/>
                      <w:divBdr>
                        <w:top w:val="none" w:sz="0" w:space="0" w:color="auto"/>
                        <w:left w:val="none" w:sz="0" w:space="0" w:color="auto"/>
                        <w:bottom w:val="none" w:sz="0" w:space="0" w:color="auto"/>
                        <w:right w:val="none" w:sz="0" w:space="0" w:color="auto"/>
                      </w:divBdr>
                    </w:div>
                  </w:divsChild>
                </w:div>
                <w:div w:id="1151209861">
                  <w:marLeft w:val="0"/>
                  <w:marRight w:val="0"/>
                  <w:marTop w:val="0"/>
                  <w:marBottom w:val="0"/>
                  <w:divBdr>
                    <w:top w:val="none" w:sz="0" w:space="0" w:color="auto"/>
                    <w:left w:val="none" w:sz="0" w:space="0" w:color="auto"/>
                    <w:bottom w:val="none" w:sz="0" w:space="0" w:color="auto"/>
                    <w:right w:val="none" w:sz="0" w:space="0" w:color="auto"/>
                  </w:divBdr>
                  <w:divsChild>
                    <w:div w:id="722487633">
                      <w:marLeft w:val="0"/>
                      <w:marRight w:val="0"/>
                      <w:marTop w:val="0"/>
                      <w:marBottom w:val="0"/>
                      <w:divBdr>
                        <w:top w:val="none" w:sz="0" w:space="0" w:color="auto"/>
                        <w:left w:val="none" w:sz="0" w:space="0" w:color="auto"/>
                        <w:bottom w:val="none" w:sz="0" w:space="0" w:color="auto"/>
                        <w:right w:val="none" w:sz="0" w:space="0" w:color="auto"/>
                      </w:divBdr>
                    </w:div>
                  </w:divsChild>
                </w:div>
                <w:div w:id="1242181854">
                  <w:marLeft w:val="0"/>
                  <w:marRight w:val="0"/>
                  <w:marTop w:val="0"/>
                  <w:marBottom w:val="0"/>
                  <w:divBdr>
                    <w:top w:val="none" w:sz="0" w:space="0" w:color="auto"/>
                    <w:left w:val="none" w:sz="0" w:space="0" w:color="auto"/>
                    <w:bottom w:val="none" w:sz="0" w:space="0" w:color="auto"/>
                    <w:right w:val="none" w:sz="0" w:space="0" w:color="auto"/>
                  </w:divBdr>
                  <w:divsChild>
                    <w:div w:id="1344480314">
                      <w:marLeft w:val="0"/>
                      <w:marRight w:val="0"/>
                      <w:marTop w:val="0"/>
                      <w:marBottom w:val="0"/>
                      <w:divBdr>
                        <w:top w:val="none" w:sz="0" w:space="0" w:color="auto"/>
                        <w:left w:val="none" w:sz="0" w:space="0" w:color="auto"/>
                        <w:bottom w:val="none" w:sz="0" w:space="0" w:color="auto"/>
                        <w:right w:val="none" w:sz="0" w:space="0" w:color="auto"/>
                      </w:divBdr>
                    </w:div>
                  </w:divsChild>
                </w:div>
                <w:div w:id="1323462268">
                  <w:marLeft w:val="0"/>
                  <w:marRight w:val="0"/>
                  <w:marTop w:val="0"/>
                  <w:marBottom w:val="0"/>
                  <w:divBdr>
                    <w:top w:val="none" w:sz="0" w:space="0" w:color="auto"/>
                    <w:left w:val="none" w:sz="0" w:space="0" w:color="auto"/>
                    <w:bottom w:val="none" w:sz="0" w:space="0" w:color="auto"/>
                    <w:right w:val="none" w:sz="0" w:space="0" w:color="auto"/>
                  </w:divBdr>
                  <w:divsChild>
                    <w:div w:id="165830431">
                      <w:marLeft w:val="0"/>
                      <w:marRight w:val="0"/>
                      <w:marTop w:val="0"/>
                      <w:marBottom w:val="0"/>
                      <w:divBdr>
                        <w:top w:val="none" w:sz="0" w:space="0" w:color="auto"/>
                        <w:left w:val="none" w:sz="0" w:space="0" w:color="auto"/>
                        <w:bottom w:val="none" w:sz="0" w:space="0" w:color="auto"/>
                        <w:right w:val="none" w:sz="0" w:space="0" w:color="auto"/>
                      </w:divBdr>
                    </w:div>
                  </w:divsChild>
                </w:div>
                <w:div w:id="1420369091">
                  <w:marLeft w:val="0"/>
                  <w:marRight w:val="0"/>
                  <w:marTop w:val="0"/>
                  <w:marBottom w:val="0"/>
                  <w:divBdr>
                    <w:top w:val="none" w:sz="0" w:space="0" w:color="auto"/>
                    <w:left w:val="none" w:sz="0" w:space="0" w:color="auto"/>
                    <w:bottom w:val="none" w:sz="0" w:space="0" w:color="auto"/>
                    <w:right w:val="none" w:sz="0" w:space="0" w:color="auto"/>
                  </w:divBdr>
                  <w:divsChild>
                    <w:div w:id="1813255465">
                      <w:marLeft w:val="0"/>
                      <w:marRight w:val="0"/>
                      <w:marTop w:val="0"/>
                      <w:marBottom w:val="0"/>
                      <w:divBdr>
                        <w:top w:val="none" w:sz="0" w:space="0" w:color="auto"/>
                        <w:left w:val="none" w:sz="0" w:space="0" w:color="auto"/>
                        <w:bottom w:val="none" w:sz="0" w:space="0" w:color="auto"/>
                        <w:right w:val="none" w:sz="0" w:space="0" w:color="auto"/>
                      </w:divBdr>
                    </w:div>
                  </w:divsChild>
                </w:div>
                <w:div w:id="1464076745">
                  <w:marLeft w:val="0"/>
                  <w:marRight w:val="0"/>
                  <w:marTop w:val="0"/>
                  <w:marBottom w:val="0"/>
                  <w:divBdr>
                    <w:top w:val="none" w:sz="0" w:space="0" w:color="auto"/>
                    <w:left w:val="none" w:sz="0" w:space="0" w:color="auto"/>
                    <w:bottom w:val="none" w:sz="0" w:space="0" w:color="auto"/>
                    <w:right w:val="none" w:sz="0" w:space="0" w:color="auto"/>
                  </w:divBdr>
                  <w:divsChild>
                    <w:div w:id="1812558051">
                      <w:marLeft w:val="0"/>
                      <w:marRight w:val="0"/>
                      <w:marTop w:val="0"/>
                      <w:marBottom w:val="0"/>
                      <w:divBdr>
                        <w:top w:val="none" w:sz="0" w:space="0" w:color="auto"/>
                        <w:left w:val="none" w:sz="0" w:space="0" w:color="auto"/>
                        <w:bottom w:val="none" w:sz="0" w:space="0" w:color="auto"/>
                        <w:right w:val="none" w:sz="0" w:space="0" w:color="auto"/>
                      </w:divBdr>
                    </w:div>
                  </w:divsChild>
                </w:div>
                <w:div w:id="1863128639">
                  <w:marLeft w:val="0"/>
                  <w:marRight w:val="0"/>
                  <w:marTop w:val="0"/>
                  <w:marBottom w:val="0"/>
                  <w:divBdr>
                    <w:top w:val="none" w:sz="0" w:space="0" w:color="auto"/>
                    <w:left w:val="none" w:sz="0" w:space="0" w:color="auto"/>
                    <w:bottom w:val="none" w:sz="0" w:space="0" w:color="auto"/>
                    <w:right w:val="none" w:sz="0" w:space="0" w:color="auto"/>
                  </w:divBdr>
                  <w:divsChild>
                    <w:div w:id="794248763">
                      <w:marLeft w:val="0"/>
                      <w:marRight w:val="0"/>
                      <w:marTop w:val="0"/>
                      <w:marBottom w:val="0"/>
                      <w:divBdr>
                        <w:top w:val="none" w:sz="0" w:space="0" w:color="auto"/>
                        <w:left w:val="none" w:sz="0" w:space="0" w:color="auto"/>
                        <w:bottom w:val="none" w:sz="0" w:space="0" w:color="auto"/>
                        <w:right w:val="none" w:sz="0" w:space="0" w:color="auto"/>
                      </w:divBdr>
                    </w:div>
                  </w:divsChild>
                </w:div>
                <w:div w:id="1976525982">
                  <w:marLeft w:val="0"/>
                  <w:marRight w:val="0"/>
                  <w:marTop w:val="0"/>
                  <w:marBottom w:val="0"/>
                  <w:divBdr>
                    <w:top w:val="none" w:sz="0" w:space="0" w:color="auto"/>
                    <w:left w:val="none" w:sz="0" w:space="0" w:color="auto"/>
                    <w:bottom w:val="none" w:sz="0" w:space="0" w:color="auto"/>
                    <w:right w:val="none" w:sz="0" w:space="0" w:color="auto"/>
                  </w:divBdr>
                  <w:divsChild>
                    <w:div w:id="1592814426">
                      <w:marLeft w:val="0"/>
                      <w:marRight w:val="0"/>
                      <w:marTop w:val="0"/>
                      <w:marBottom w:val="0"/>
                      <w:divBdr>
                        <w:top w:val="none" w:sz="0" w:space="0" w:color="auto"/>
                        <w:left w:val="none" w:sz="0" w:space="0" w:color="auto"/>
                        <w:bottom w:val="none" w:sz="0" w:space="0" w:color="auto"/>
                        <w:right w:val="none" w:sz="0" w:space="0" w:color="auto"/>
                      </w:divBdr>
                    </w:div>
                  </w:divsChild>
                </w:div>
                <w:div w:id="1987007088">
                  <w:marLeft w:val="0"/>
                  <w:marRight w:val="0"/>
                  <w:marTop w:val="0"/>
                  <w:marBottom w:val="0"/>
                  <w:divBdr>
                    <w:top w:val="none" w:sz="0" w:space="0" w:color="auto"/>
                    <w:left w:val="none" w:sz="0" w:space="0" w:color="auto"/>
                    <w:bottom w:val="none" w:sz="0" w:space="0" w:color="auto"/>
                    <w:right w:val="none" w:sz="0" w:space="0" w:color="auto"/>
                  </w:divBdr>
                  <w:divsChild>
                    <w:div w:id="655299058">
                      <w:marLeft w:val="0"/>
                      <w:marRight w:val="0"/>
                      <w:marTop w:val="0"/>
                      <w:marBottom w:val="0"/>
                      <w:divBdr>
                        <w:top w:val="none" w:sz="0" w:space="0" w:color="auto"/>
                        <w:left w:val="none" w:sz="0" w:space="0" w:color="auto"/>
                        <w:bottom w:val="none" w:sz="0" w:space="0" w:color="auto"/>
                        <w:right w:val="none" w:sz="0" w:space="0" w:color="auto"/>
                      </w:divBdr>
                    </w:div>
                  </w:divsChild>
                </w:div>
                <w:div w:id="2079479177">
                  <w:marLeft w:val="0"/>
                  <w:marRight w:val="0"/>
                  <w:marTop w:val="0"/>
                  <w:marBottom w:val="0"/>
                  <w:divBdr>
                    <w:top w:val="none" w:sz="0" w:space="0" w:color="auto"/>
                    <w:left w:val="none" w:sz="0" w:space="0" w:color="auto"/>
                    <w:bottom w:val="none" w:sz="0" w:space="0" w:color="auto"/>
                    <w:right w:val="none" w:sz="0" w:space="0" w:color="auto"/>
                  </w:divBdr>
                  <w:divsChild>
                    <w:div w:id="1360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1254">
          <w:marLeft w:val="0"/>
          <w:marRight w:val="0"/>
          <w:marTop w:val="0"/>
          <w:marBottom w:val="0"/>
          <w:divBdr>
            <w:top w:val="none" w:sz="0" w:space="0" w:color="auto"/>
            <w:left w:val="none" w:sz="0" w:space="0" w:color="auto"/>
            <w:bottom w:val="none" w:sz="0" w:space="0" w:color="auto"/>
            <w:right w:val="none" w:sz="0" w:space="0" w:color="auto"/>
          </w:divBdr>
          <w:divsChild>
            <w:div w:id="477914303">
              <w:marLeft w:val="-75"/>
              <w:marRight w:val="0"/>
              <w:marTop w:val="30"/>
              <w:marBottom w:val="30"/>
              <w:divBdr>
                <w:top w:val="none" w:sz="0" w:space="0" w:color="auto"/>
                <w:left w:val="none" w:sz="0" w:space="0" w:color="auto"/>
                <w:bottom w:val="none" w:sz="0" w:space="0" w:color="auto"/>
                <w:right w:val="none" w:sz="0" w:space="0" w:color="auto"/>
              </w:divBdr>
              <w:divsChild>
                <w:div w:id="18356292">
                  <w:marLeft w:val="0"/>
                  <w:marRight w:val="0"/>
                  <w:marTop w:val="0"/>
                  <w:marBottom w:val="0"/>
                  <w:divBdr>
                    <w:top w:val="none" w:sz="0" w:space="0" w:color="auto"/>
                    <w:left w:val="none" w:sz="0" w:space="0" w:color="auto"/>
                    <w:bottom w:val="none" w:sz="0" w:space="0" w:color="auto"/>
                    <w:right w:val="none" w:sz="0" w:space="0" w:color="auto"/>
                  </w:divBdr>
                  <w:divsChild>
                    <w:div w:id="1768454996">
                      <w:marLeft w:val="0"/>
                      <w:marRight w:val="0"/>
                      <w:marTop w:val="0"/>
                      <w:marBottom w:val="0"/>
                      <w:divBdr>
                        <w:top w:val="none" w:sz="0" w:space="0" w:color="auto"/>
                        <w:left w:val="none" w:sz="0" w:space="0" w:color="auto"/>
                        <w:bottom w:val="none" w:sz="0" w:space="0" w:color="auto"/>
                        <w:right w:val="none" w:sz="0" w:space="0" w:color="auto"/>
                      </w:divBdr>
                    </w:div>
                  </w:divsChild>
                </w:div>
                <w:div w:id="19211042">
                  <w:marLeft w:val="0"/>
                  <w:marRight w:val="0"/>
                  <w:marTop w:val="0"/>
                  <w:marBottom w:val="0"/>
                  <w:divBdr>
                    <w:top w:val="none" w:sz="0" w:space="0" w:color="auto"/>
                    <w:left w:val="none" w:sz="0" w:space="0" w:color="auto"/>
                    <w:bottom w:val="none" w:sz="0" w:space="0" w:color="auto"/>
                    <w:right w:val="none" w:sz="0" w:space="0" w:color="auto"/>
                  </w:divBdr>
                  <w:divsChild>
                    <w:div w:id="1059209104">
                      <w:marLeft w:val="0"/>
                      <w:marRight w:val="0"/>
                      <w:marTop w:val="0"/>
                      <w:marBottom w:val="0"/>
                      <w:divBdr>
                        <w:top w:val="none" w:sz="0" w:space="0" w:color="auto"/>
                        <w:left w:val="none" w:sz="0" w:space="0" w:color="auto"/>
                        <w:bottom w:val="none" w:sz="0" w:space="0" w:color="auto"/>
                        <w:right w:val="none" w:sz="0" w:space="0" w:color="auto"/>
                      </w:divBdr>
                    </w:div>
                  </w:divsChild>
                </w:div>
                <w:div w:id="44530694">
                  <w:marLeft w:val="0"/>
                  <w:marRight w:val="0"/>
                  <w:marTop w:val="0"/>
                  <w:marBottom w:val="0"/>
                  <w:divBdr>
                    <w:top w:val="none" w:sz="0" w:space="0" w:color="auto"/>
                    <w:left w:val="none" w:sz="0" w:space="0" w:color="auto"/>
                    <w:bottom w:val="none" w:sz="0" w:space="0" w:color="auto"/>
                    <w:right w:val="none" w:sz="0" w:space="0" w:color="auto"/>
                  </w:divBdr>
                  <w:divsChild>
                    <w:div w:id="282612528">
                      <w:marLeft w:val="0"/>
                      <w:marRight w:val="0"/>
                      <w:marTop w:val="0"/>
                      <w:marBottom w:val="0"/>
                      <w:divBdr>
                        <w:top w:val="none" w:sz="0" w:space="0" w:color="auto"/>
                        <w:left w:val="none" w:sz="0" w:space="0" w:color="auto"/>
                        <w:bottom w:val="none" w:sz="0" w:space="0" w:color="auto"/>
                        <w:right w:val="none" w:sz="0" w:space="0" w:color="auto"/>
                      </w:divBdr>
                    </w:div>
                  </w:divsChild>
                </w:div>
                <w:div w:id="71128185">
                  <w:marLeft w:val="0"/>
                  <w:marRight w:val="0"/>
                  <w:marTop w:val="0"/>
                  <w:marBottom w:val="0"/>
                  <w:divBdr>
                    <w:top w:val="none" w:sz="0" w:space="0" w:color="auto"/>
                    <w:left w:val="none" w:sz="0" w:space="0" w:color="auto"/>
                    <w:bottom w:val="none" w:sz="0" w:space="0" w:color="auto"/>
                    <w:right w:val="none" w:sz="0" w:space="0" w:color="auto"/>
                  </w:divBdr>
                  <w:divsChild>
                    <w:div w:id="1655063787">
                      <w:marLeft w:val="0"/>
                      <w:marRight w:val="0"/>
                      <w:marTop w:val="0"/>
                      <w:marBottom w:val="0"/>
                      <w:divBdr>
                        <w:top w:val="none" w:sz="0" w:space="0" w:color="auto"/>
                        <w:left w:val="none" w:sz="0" w:space="0" w:color="auto"/>
                        <w:bottom w:val="none" w:sz="0" w:space="0" w:color="auto"/>
                        <w:right w:val="none" w:sz="0" w:space="0" w:color="auto"/>
                      </w:divBdr>
                    </w:div>
                  </w:divsChild>
                </w:div>
                <w:div w:id="72556007">
                  <w:marLeft w:val="0"/>
                  <w:marRight w:val="0"/>
                  <w:marTop w:val="0"/>
                  <w:marBottom w:val="0"/>
                  <w:divBdr>
                    <w:top w:val="none" w:sz="0" w:space="0" w:color="auto"/>
                    <w:left w:val="none" w:sz="0" w:space="0" w:color="auto"/>
                    <w:bottom w:val="none" w:sz="0" w:space="0" w:color="auto"/>
                    <w:right w:val="none" w:sz="0" w:space="0" w:color="auto"/>
                  </w:divBdr>
                  <w:divsChild>
                    <w:div w:id="112212549">
                      <w:marLeft w:val="0"/>
                      <w:marRight w:val="0"/>
                      <w:marTop w:val="0"/>
                      <w:marBottom w:val="0"/>
                      <w:divBdr>
                        <w:top w:val="none" w:sz="0" w:space="0" w:color="auto"/>
                        <w:left w:val="none" w:sz="0" w:space="0" w:color="auto"/>
                        <w:bottom w:val="none" w:sz="0" w:space="0" w:color="auto"/>
                        <w:right w:val="none" w:sz="0" w:space="0" w:color="auto"/>
                      </w:divBdr>
                    </w:div>
                  </w:divsChild>
                </w:div>
                <w:div w:id="74520379">
                  <w:marLeft w:val="0"/>
                  <w:marRight w:val="0"/>
                  <w:marTop w:val="0"/>
                  <w:marBottom w:val="0"/>
                  <w:divBdr>
                    <w:top w:val="none" w:sz="0" w:space="0" w:color="auto"/>
                    <w:left w:val="none" w:sz="0" w:space="0" w:color="auto"/>
                    <w:bottom w:val="none" w:sz="0" w:space="0" w:color="auto"/>
                    <w:right w:val="none" w:sz="0" w:space="0" w:color="auto"/>
                  </w:divBdr>
                  <w:divsChild>
                    <w:div w:id="698093699">
                      <w:marLeft w:val="0"/>
                      <w:marRight w:val="0"/>
                      <w:marTop w:val="0"/>
                      <w:marBottom w:val="0"/>
                      <w:divBdr>
                        <w:top w:val="none" w:sz="0" w:space="0" w:color="auto"/>
                        <w:left w:val="none" w:sz="0" w:space="0" w:color="auto"/>
                        <w:bottom w:val="none" w:sz="0" w:space="0" w:color="auto"/>
                        <w:right w:val="none" w:sz="0" w:space="0" w:color="auto"/>
                      </w:divBdr>
                    </w:div>
                  </w:divsChild>
                </w:div>
                <w:div w:id="85423862">
                  <w:marLeft w:val="0"/>
                  <w:marRight w:val="0"/>
                  <w:marTop w:val="0"/>
                  <w:marBottom w:val="0"/>
                  <w:divBdr>
                    <w:top w:val="none" w:sz="0" w:space="0" w:color="auto"/>
                    <w:left w:val="none" w:sz="0" w:space="0" w:color="auto"/>
                    <w:bottom w:val="none" w:sz="0" w:space="0" w:color="auto"/>
                    <w:right w:val="none" w:sz="0" w:space="0" w:color="auto"/>
                  </w:divBdr>
                  <w:divsChild>
                    <w:div w:id="430200561">
                      <w:marLeft w:val="0"/>
                      <w:marRight w:val="0"/>
                      <w:marTop w:val="0"/>
                      <w:marBottom w:val="0"/>
                      <w:divBdr>
                        <w:top w:val="none" w:sz="0" w:space="0" w:color="auto"/>
                        <w:left w:val="none" w:sz="0" w:space="0" w:color="auto"/>
                        <w:bottom w:val="none" w:sz="0" w:space="0" w:color="auto"/>
                        <w:right w:val="none" w:sz="0" w:space="0" w:color="auto"/>
                      </w:divBdr>
                    </w:div>
                  </w:divsChild>
                </w:div>
                <w:div w:id="87626162">
                  <w:marLeft w:val="0"/>
                  <w:marRight w:val="0"/>
                  <w:marTop w:val="0"/>
                  <w:marBottom w:val="0"/>
                  <w:divBdr>
                    <w:top w:val="none" w:sz="0" w:space="0" w:color="auto"/>
                    <w:left w:val="none" w:sz="0" w:space="0" w:color="auto"/>
                    <w:bottom w:val="none" w:sz="0" w:space="0" w:color="auto"/>
                    <w:right w:val="none" w:sz="0" w:space="0" w:color="auto"/>
                  </w:divBdr>
                  <w:divsChild>
                    <w:div w:id="1278873241">
                      <w:marLeft w:val="0"/>
                      <w:marRight w:val="0"/>
                      <w:marTop w:val="0"/>
                      <w:marBottom w:val="0"/>
                      <w:divBdr>
                        <w:top w:val="none" w:sz="0" w:space="0" w:color="auto"/>
                        <w:left w:val="none" w:sz="0" w:space="0" w:color="auto"/>
                        <w:bottom w:val="none" w:sz="0" w:space="0" w:color="auto"/>
                        <w:right w:val="none" w:sz="0" w:space="0" w:color="auto"/>
                      </w:divBdr>
                    </w:div>
                  </w:divsChild>
                </w:div>
                <w:div w:id="99955983">
                  <w:marLeft w:val="0"/>
                  <w:marRight w:val="0"/>
                  <w:marTop w:val="0"/>
                  <w:marBottom w:val="0"/>
                  <w:divBdr>
                    <w:top w:val="none" w:sz="0" w:space="0" w:color="auto"/>
                    <w:left w:val="none" w:sz="0" w:space="0" w:color="auto"/>
                    <w:bottom w:val="none" w:sz="0" w:space="0" w:color="auto"/>
                    <w:right w:val="none" w:sz="0" w:space="0" w:color="auto"/>
                  </w:divBdr>
                  <w:divsChild>
                    <w:div w:id="546186860">
                      <w:marLeft w:val="0"/>
                      <w:marRight w:val="0"/>
                      <w:marTop w:val="0"/>
                      <w:marBottom w:val="0"/>
                      <w:divBdr>
                        <w:top w:val="none" w:sz="0" w:space="0" w:color="auto"/>
                        <w:left w:val="none" w:sz="0" w:space="0" w:color="auto"/>
                        <w:bottom w:val="none" w:sz="0" w:space="0" w:color="auto"/>
                        <w:right w:val="none" w:sz="0" w:space="0" w:color="auto"/>
                      </w:divBdr>
                    </w:div>
                  </w:divsChild>
                </w:div>
                <w:div w:id="127817948">
                  <w:marLeft w:val="0"/>
                  <w:marRight w:val="0"/>
                  <w:marTop w:val="0"/>
                  <w:marBottom w:val="0"/>
                  <w:divBdr>
                    <w:top w:val="none" w:sz="0" w:space="0" w:color="auto"/>
                    <w:left w:val="none" w:sz="0" w:space="0" w:color="auto"/>
                    <w:bottom w:val="none" w:sz="0" w:space="0" w:color="auto"/>
                    <w:right w:val="none" w:sz="0" w:space="0" w:color="auto"/>
                  </w:divBdr>
                  <w:divsChild>
                    <w:div w:id="1690255281">
                      <w:marLeft w:val="0"/>
                      <w:marRight w:val="0"/>
                      <w:marTop w:val="0"/>
                      <w:marBottom w:val="0"/>
                      <w:divBdr>
                        <w:top w:val="none" w:sz="0" w:space="0" w:color="auto"/>
                        <w:left w:val="none" w:sz="0" w:space="0" w:color="auto"/>
                        <w:bottom w:val="none" w:sz="0" w:space="0" w:color="auto"/>
                        <w:right w:val="none" w:sz="0" w:space="0" w:color="auto"/>
                      </w:divBdr>
                    </w:div>
                  </w:divsChild>
                </w:div>
                <w:div w:id="132599320">
                  <w:marLeft w:val="0"/>
                  <w:marRight w:val="0"/>
                  <w:marTop w:val="0"/>
                  <w:marBottom w:val="0"/>
                  <w:divBdr>
                    <w:top w:val="none" w:sz="0" w:space="0" w:color="auto"/>
                    <w:left w:val="none" w:sz="0" w:space="0" w:color="auto"/>
                    <w:bottom w:val="none" w:sz="0" w:space="0" w:color="auto"/>
                    <w:right w:val="none" w:sz="0" w:space="0" w:color="auto"/>
                  </w:divBdr>
                  <w:divsChild>
                    <w:div w:id="1008288753">
                      <w:marLeft w:val="0"/>
                      <w:marRight w:val="0"/>
                      <w:marTop w:val="0"/>
                      <w:marBottom w:val="0"/>
                      <w:divBdr>
                        <w:top w:val="none" w:sz="0" w:space="0" w:color="auto"/>
                        <w:left w:val="none" w:sz="0" w:space="0" w:color="auto"/>
                        <w:bottom w:val="none" w:sz="0" w:space="0" w:color="auto"/>
                        <w:right w:val="none" w:sz="0" w:space="0" w:color="auto"/>
                      </w:divBdr>
                    </w:div>
                  </w:divsChild>
                </w:div>
                <w:div w:id="137721916">
                  <w:marLeft w:val="0"/>
                  <w:marRight w:val="0"/>
                  <w:marTop w:val="0"/>
                  <w:marBottom w:val="0"/>
                  <w:divBdr>
                    <w:top w:val="none" w:sz="0" w:space="0" w:color="auto"/>
                    <w:left w:val="none" w:sz="0" w:space="0" w:color="auto"/>
                    <w:bottom w:val="none" w:sz="0" w:space="0" w:color="auto"/>
                    <w:right w:val="none" w:sz="0" w:space="0" w:color="auto"/>
                  </w:divBdr>
                  <w:divsChild>
                    <w:div w:id="970478114">
                      <w:marLeft w:val="0"/>
                      <w:marRight w:val="0"/>
                      <w:marTop w:val="0"/>
                      <w:marBottom w:val="0"/>
                      <w:divBdr>
                        <w:top w:val="none" w:sz="0" w:space="0" w:color="auto"/>
                        <w:left w:val="none" w:sz="0" w:space="0" w:color="auto"/>
                        <w:bottom w:val="none" w:sz="0" w:space="0" w:color="auto"/>
                        <w:right w:val="none" w:sz="0" w:space="0" w:color="auto"/>
                      </w:divBdr>
                    </w:div>
                  </w:divsChild>
                </w:div>
                <w:div w:id="160781272">
                  <w:marLeft w:val="0"/>
                  <w:marRight w:val="0"/>
                  <w:marTop w:val="0"/>
                  <w:marBottom w:val="0"/>
                  <w:divBdr>
                    <w:top w:val="none" w:sz="0" w:space="0" w:color="auto"/>
                    <w:left w:val="none" w:sz="0" w:space="0" w:color="auto"/>
                    <w:bottom w:val="none" w:sz="0" w:space="0" w:color="auto"/>
                    <w:right w:val="none" w:sz="0" w:space="0" w:color="auto"/>
                  </w:divBdr>
                  <w:divsChild>
                    <w:div w:id="1639339031">
                      <w:marLeft w:val="0"/>
                      <w:marRight w:val="0"/>
                      <w:marTop w:val="0"/>
                      <w:marBottom w:val="0"/>
                      <w:divBdr>
                        <w:top w:val="none" w:sz="0" w:space="0" w:color="auto"/>
                        <w:left w:val="none" w:sz="0" w:space="0" w:color="auto"/>
                        <w:bottom w:val="none" w:sz="0" w:space="0" w:color="auto"/>
                        <w:right w:val="none" w:sz="0" w:space="0" w:color="auto"/>
                      </w:divBdr>
                    </w:div>
                  </w:divsChild>
                </w:div>
                <w:div w:id="192621365">
                  <w:marLeft w:val="0"/>
                  <w:marRight w:val="0"/>
                  <w:marTop w:val="0"/>
                  <w:marBottom w:val="0"/>
                  <w:divBdr>
                    <w:top w:val="none" w:sz="0" w:space="0" w:color="auto"/>
                    <w:left w:val="none" w:sz="0" w:space="0" w:color="auto"/>
                    <w:bottom w:val="none" w:sz="0" w:space="0" w:color="auto"/>
                    <w:right w:val="none" w:sz="0" w:space="0" w:color="auto"/>
                  </w:divBdr>
                  <w:divsChild>
                    <w:div w:id="310525999">
                      <w:marLeft w:val="0"/>
                      <w:marRight w:val="0"/>
                      <w:marTop w:val="0"/>
                      <w:marBottom w:val="0"/>
                      <w:divBdr>
                        <w:top w:val="none" w:sz="0" w:space="0" w:color="auto"/>
                        <w:left w:val="none" w:sz="0" w:space="0" w:color="auto"/>
                        <w:bottom w:val="none" w:sz="0" w:space="0" w:color="auto"/>
                        <w:right w:val="none" w:sz="0" w:space="0" w:color="auto"/>
                      </w:divBdr>
                    </w:div>
                    <w:div w:id="936523286">
                      <w:marLeft w:val="0"/>
                      <w:marRight w:val="0"/>
                      <w:marTop w:val="0"/>
                      <w:marBottom w:val="0"/>
                      <w:divBdr>
                        <w:top w:val="none" w:sz="0" w:space="0" w:color="auto"/>
                        <w:left w:val="none" w:sz="0" w:space="0" w:color="auto"/>
                        <w:bottom w:val="none" w:sz="0" w:space="0" w:color="auto"/>
                        <w:right w:val="none" w:sz="0" w:space="0" w:color="auto"/>
                      </w:divBdr>
                    </w:div>
                    <w:div w:id="1651246919">
                      <w:marLeft w:val="0"/>
                      <w:marRight w:val="0"/>
                      <w:marTop w:val="0"/>
                      <w:marBottom w:val="0"/>
                      <w:divBdr>
                        <w:top w:val="none" w:sz="0" w:space="0" w:color="auto"/>
                        <w:left w:val="none" w:sz="0" w:space="0" w:color="auto"/>
                        <w:bottom w:val="none" w:sz="0" w:space="0" w:color="auto"/>
                        <w:right w:val="none" w:sz="0" w:space="0" w:color="auto"/>
                      </w:divBdr>
                    </w:div>
                    <w:div w:id="1678539536">
                      <w:marLeft w:val="0"/>
                      <w:marRight w:val="0"/>
                      <w:marTop w:val="0"/>
                      <w:marBottom w:val="0"/>
                      <w:divBdr>
                        <w:top w:val="none" w:sz="0" w:space="0" w:color="auto"/>
                        <w:left w:val="none" w:sz="0" w:space="0" w:color="auto"/>
                        <w:bottom w:val="none" w:sz="0" w:space="0" w:color="auto"/>
                        <w:right w:val="none" w:sz="0" w:space="0" w:color="auto"/>
                      </w:divBdr>
                    </w:div>
                    <w:div w:id="2012249868">
                      <w:marLeft w:val="0"/>
                      <w:marRight w:val="0"/>
                      <w:marTop w:val="0"/>
                      <w:marBottom w:val="0"/>
                      <w:divBdr>
                        <w:top w:val="none" w:sz="0" w:space="0" w:color="auto"/>
                        <w:left w:val="none" w:sz="0" w:space="0" w:color="auto"/>
                        <w:bottom w:val="none" w:sz="0" w:space="0" w:color="auto"/>
                        <w:right w:val="none" w:sz="0" w:space="0" w:color="auto"/>
                      </w:divBdr>
                    </w:div>
                  </w:divsChild>
                </w:div>
                <w:div w:id="211238353">
                  <w:marLeft w:val="0"/>
                  <w:marRight w:val="0"/>
                  <w:marTop w:val="0"/>
                  <w:marBottom w:val="0"/>
                  <w:divBdr>
                    <w:top w:val="none" w:sz="0" w:space="0" w:color="auto"/>
                    <w:left w:val="none" w:sz="0" w:space="0" w:color="auto"/>
                    <w:bottom w:val="none" w:sz="0" w:space="0" w:color="auto"/>
                    <w:right w:val="none" w:sz="0" w:space="0" w:color="auto"/>
                  </w:divBdr>
                  <w:divsChild>
                    <w:div w:id="1863785271">
                      <w:marLeft w:val="0"/>
                      <w:marRight w:val="0"/>
                      <w:marTop w:val="0"/>
                      <w:marBottom w:val="0"/>
                      <w:divBdr>
                        <w:top w:val="none" w:sz="0" w:space="0" w:color="auto"/>
                        <w:left w:val="none" w:sz="0" w:space="0" w:color="auto"/>
                        <w:bottom w:val="none" w:sz="0" w:space="0" w:color="auto"/>
                        <w:right w:val="none" w:sz="0" w:space="0" w:color="auto"/>
                      </w:divBdr>
                    </w:div>
                  </w:divsChild>
                </w:div>
                <w:div w:id="218903905">
                  <w:marLeft w:val="0"/>
                  <w:marRight w:val="0"/>
                  <w:marTop w:val="0"/>
                  <w:marBottom w:val="0"/>
                  <w:divBdr>
                    <w:top w:val="none" w:sz="0" w:space="0" w:color="auto"/>
                    <w:left w:val="none" w:sz="0" w:space="0" w:color="auto"/>
                    <w:bottom w:val="none" w:sz="0" w:space="0" w:color="auto"/>
                    <w:right w:val="none" w:sz="0" w:space="0" w:color="auto"/>
                  </w:divBdr>
                  <w:divsChild>
                    <w:div w:id="733165015">
                      <w:marLeft w:val="0"/>
                      <w:marRight w:val="0"/>
                      <w:marTop w:val="0"/>
                      <w:marBottom w:val="0"/>
                      <w:divBdr>
                        <w:top w:val="none" w:sz="0" w:space="0" w:color="auto"/>
                        <w:left w:val="none" w:sz="0" w:space="0" w:color="auto"/>
                        <w:bottom w:val="none" w:sz="0" w:space="0" w:color="auto"/>
                        <w:right w:val="none" w:sz="0" w:space="0" w:color="auto"/>
                      </w:divBdr>
                    </w:div>
                  </w:divsChild>
                </w:div>
                <w:div w:id="228930303">
                  <w:marLeft w:val="0"/>
                  <w:marRight w:val="0"/>
                  <w:marTop w:val="0"/>
                  <w:marBottom w:val="0"/>
                  <w:divBdr>
                    <w:top w:val="none" w:sz="0" w:space="0" w:color="auto"/>
                    <w:left w:val="none" w:sz="0" w:space="0" w:color="auto"/>
                    <w:bottom w:val="none" w:sz="0" w:space="0" w:color="auto"/>
                    <w:right w:val="none" w:sz="0" w:space="0" w:color="auto"/>
                  </w:divBdr>
                  <w:divsChild>
                    <w:div w:id="210072354">
                      <w:marLeft w:val="0"/>
                      <w:marRight w:val="0"/>
                      <w:marTop w:val="0"/>
                      <w:marBottom w:val="0"/>
                      <w:divBdr>
                        <w:top w:val="none" w:sz="0" w:space="0" w:color="auto"/>
                        <w:left w:val="none" w:sz="0" w:space="0" w:color="auto"/>
                        <w:bottom w:val="none" w:sz="0" w:space="0" w:color="auto"/>
                        <w:right w:val="none" w:sz="0" w:space="0" w:color="auto"/>
                      </w:divBdr>
                    </w:div>
                  </w:divsChild>
                </w:div>
                <w:div w:id="235164517">
                  <w:marLeft w:val="0"/>
                  <w:marRight w:val="0"/>
                  <w:marTop w:val="0"/>
                  <w:marBottom w:val="0"/>
                  <w:divBdr>
                    <w:top w:val="none" w:sz="0" w:space="0" w:color="auto"/>
                    <w:left w:val="none" w:sz="0" w:space="0" w:color="auto"/>
                    <w:bottom w:val="none" w:sz="0" w:space="0" w:color="auto"/>
                    <w:right w:val="none" w:sz="0" w:space="0" w:color="auto"/>
                  </w:divBdr>
                  <w:divsChild>
                    <w:div w:id="1648319268">
                      <w:marLeft w:val="0"/>
                      <w:marRight w:val="0"/>
                      <w:marTop w:val="0"/>
                      <w:marBottom w:val="0"/>
                      <w:divBdr>
                        <w:top w:val="none" w:sz="0" w:space="0" w:color="auto"/>
                        <w:left w:val="none" w:sz="0" w:space="0" w:color="auto"/>
                        <w:bottom w:val="none" w:sz="0" w:space="0" w:color="auto"/>
                        <w:right w:val="none" w:sz="0" w:space="0" w:color="auto"/>
                      </w:divBdr>
                    </w:div>
                  </w:divsChild>
                </w:div>
                <w:div w:id="247346290">
                  <w:marLeft w:val="0"/>
                  <w:marRight w:val="0"/>
                  <w:marTop w:val="0"/>
                  <w:marBottom w:val="0"/>
                  <w:divBdr>
                    <w:top w:val="none" w:sz="0" w:space="0" w:color="auto"/>
                    <w:left w:val="none" w:sz="0" w:space="0" w:color="auto"/>
                    <w:bottom w:val="none" w:sz="0" w:space="0" w:color="auto"/>
                    <w:right w:val="none" w:sz="0" w:space="0" w:color="auto"/>
                  </w:divBdr>
                  <w:divsChild>
                    <w:div w:id="2063794700">
                      <w:marLeft w:val="0"/>
                      <w:marRight w:val="0"/>
                      <w:marTop w:val="0"/>
                      <w:marBottom w:val="0"/>
                      <w:divBdr>
                        <w:top w:val="none" w:sz="0" w:space="0" w:color="auto"/>
                        <w:left w:val="none" w:sz="0" w:space="0" w:color="auto"/>
                        <w:bottom w:val="none" w:sz="0" w:space="0" w:color="auto"/>
                        <w:right w:val="none" w:sz="0" w:space="0" w:color="auto"/>
                      </w:divBdr>
                    </w:div>
                  </w:divsChild>
                </w:div>
                <w:div w:id="266889380">
                  <w:marLeft w:val="0"/>
                  <w:marRight w:val="0"/>
                  <w:marTop w:val="0"/>
                  <w:marBottom w:val="0"/>
                  <w:divBdr>
                    <w:top w:val="none" w:sz="0" w:space="0" w:color="auto"/>
                    <w:left w:val="none" w:sz="0" w:space="0" w:color="auto"/>
                    <w:bottom w:val="none" w:sz="0" w:space="0" w:color="auto"/>
                    <w:right w:val="none" w:sz="0" w:space="0" w:color="auto"/>
                  </w:divBdr>
                  <w:divsChild>
                    <w:div w:id="717625853">
                      <w:marLeft w:val="0"/>
                      <w:marRight w:val="0"/>
                      <w:marTop w:val="0"/>
                      <w:marBottom w:val="0"/>
                      <w:divBdr>
                        <w:top w:val="none" w:sz="0" w:space="0" w:color="auto"/>
                        <w:left w:val="none" w:sz="0" w:space="0" w:color="auto"/>
                        <w:bottom w:val="none" w:sz="0" w:space="0" w:color="auto"/>
                        <w:right w:val="none" w:sz="0" w:space="0" w:color="auto"/>
                      </w:divBdr>
                    </w:div>
                  </w:divsChild>
                </w:div>
                <w:div w:id="270748913">
                  <w:marLeft w:val="0"/>
                  <w:marRight w:val="0"/>
                  <w:marTop w:val="0"/>
                  <w:marBottom w:val="0"/>
                  <w:divBdr>
                    <w:top w:val="none" w:sz="0" w:space="0" w:color="auto"/>
                    <w:left w:val="none" w:sz="0" w:space="0" w:color="auto"/>
                    <w:bottom w:val="none" w:sz="0" w:space="0" w:color="auto"/>
                    <w:right w:val="none" w:sz="0" w:space="0" w:color="auto"/>
                  </w:divBdr>
                  <w:divsChild>
                    <w:div w:id="1044015055">
                      <w:marLeft w:val="0"/>
                      <w:marRight w:val="0"/>
                      <w:marTop w:val="0"/>
                      <w:marBottom w:val="0"/>
                      <w:divBdr>
                        <w:top w:val="none" w:sz="0" w:space="0" w:color="auto"/>
                        <w:left w:val="none" w:sz="0" w:space="0" w:color="auto"/>
                        <w:bottom w:val="none" w:sz="0" w:space="0" w:color="auto"/>
                        <w:right w:val="none" w:sz="0" w:space="0" w:color="auto"/>
                      </w:divBdr>
                    </w:div>
                  </w:divsChild>
                </w:div>
                <w:div w:id="346835430">
                  <w:marLeft w:val="0"/>
                  <w:marRight w:val="0"/>
                  <w:marTop w:val="0"/>
                  <w:marBottom w:val="0"/>
                  <w:divBdr>
                    <w:top w:val="none" w:sz="0" w:space="0" w:color="auto"/>
                    <w:left w:val="none" w:sz="0" w:space="0" w:color="auto"/>
                    <w:bottom w:val="none" w:sz="0" w:space="0" w:color="auto"/>
                    <w:right w:val="none" w:sz="0" w:space="0" w:color="auto"/>
                  </w:divBdr>
                  <w:divsChild>
                    <w:div w:id="323700965">
                      <w:marLeft w:val="0"/>
                      <w:marRight w:val="0"/>
                      <w:marTop w:val="0"/>
                      <w:marBottom w:val="0"/>
                      <w:divBdr>
                        <w:top w:val="none" w:sz="0" w:space="0" w:color="auto"/>
                        <w:left w:val="none" w:sz="0" w:space="0" w:color="auto"/>
                        <w:bottom w:val="none" w:sz="0" w:space="0" w:color="auto"/>
                        <w:right w:val="none" w:sz="0" w:space="0" w:color="auto"/>
                      </w:divBdr>
                    </w:div>
                  </w:divsChild>
                </w:div>
                <w:div w:id="364256013">
                  <w:marLeft w:val="0"/>
                  <w:marRight w:val="0"/>
                  <w:marTop w:val="0"/>
                  <w:marBottom w:val="0"/>
                  <w:divBdr>
                    <w:top w:val="none" w:sz="0" w:space="0" w:color="auto"/>
                    <w:left w:val="none" w:sz="0" w:space="0" w:color="auto"/>
                    <w:bottom w:val="none" w:sz="0" w:space="0" w:color="auto"/>
                    <w:right w:val="none" w:sz="0" w:space="0" w:color="auto"/>
                  </w:divBdr>
                  <w:divsChild>
                    <w:div w:id="1178734483">
                      <w:marLeft w:val="0"/>
                      <w:marRight w:val="0"/>
                      <w:marTop w:val="0"/>
                      <w:marBottom w:val="0"/>
                      <w:divBdr>
                        <w:top w:val="none" w:sz="0" w:space="0" w:color="auto"/>
                        <w:left w:val="none" w:sz="0" w:space="0" w:color="auto"/>
                        <w:bottom w:val="none" w:sz="0" w:space="0" w:color="auto"/>
                        <w:right w:val="none" w:sz="0" w:space="0" w:color="auto"/>
                      </w:divBdr>
                    </w:div>
                  </w:divsChild>
                </w:div>
                <w:div w:id="377514271">
                  <w:marLeft w:val="0"/>
                  <w:marRight w:val="0"/>
                  <w:marTop w:val="0"/>
                  <w:marBottom w:val="0"/>
                  <w:divBdr>
                    <w:top w:val="none" w:sz="0" w:space="0" w:color="auto"/>
                    <w:left w:val="none" w:sz="0" w:space="0" w:color="auto"/>
                    <w:bottom w:val="none" w:sz="0" w:space="0" w:color="auto"/>
                    <w:right w:val="none" w:sz="0" w:space="0" w:color="auto"/>
                  </w:divBdr>
                  <w:divsChild>
                    <w:div w:id="334765622">
                      <w:marLeft w:val="0"/>
                      <w:marRight w:val="0"/>
                      <w:marTop w:val="0"/>
                      <w:marBottom w:val="0"/>
                      <w:divBdr>
                        <w:top w:val="none" w:sz="0" w:space="0" w:color="auto"/>
                        <w:left w:val="none" w:sz="0" w:space="0" w:color="auto"/>
                        <w:bottom w:val="none" w:sz="0" w:space="0" w:color="auto"/>
                        <w:right w:val="none" w:sz="0" w:space="0" w:color="auto"/>
                      </w:divBdr>
                    </w:div>
                  </w:divsChild>
                </w:div>
                <w:div w:id="383254761">
                  <w:marLeft w:val="0"/>
                  <w:marRight w:val="0"/>
                  <w:marTop w:val="0"/>
                  <w:marBottom w:val="0"/>
                  <w:divBdr>
                    <w:top w:val="none" w:sz="0" w:space="0" w:color="auto"/>
                    <w:left w:val="none" w:sz="0" w:space="0" w:color="auto"/>
                    <w:bottom w:val="none" w:sz="0" w:space="0" w:color="auto"/>
                    <w:right w:val="none" w:sz="0" w:space="0" w:color="auto"/>
                  </w:divBdr>
                  <w:divsChild>
                    <w:div w:id="1977449454">
                      <w:marLeft w:val="0"/>
                      <w:marRight w:val="0"/>
                      <w:marTop w:val="0"/>
                      <w:marBottom w:val="0"/>
                      <w:divBdr>
                        <w:top w:val="none" w:sz="0" w:space="0" w:color="auto"/>
                        <w:left w:val="none" w:sz="0" w:space="0" w:color="auto"/>
                        <w:bottom w:val="none" w:sz="0" w:space="0" w:color="auto"/>
                        <w:right w:val="none" w:sz="0" w:space="0" w:color="auto"/>
                      </w:divBdr>
                    </w:div>
                  </w:divsChild>
                </w:div>
                <w:div w:id="393771363">
                  <w:marLeft w:val="0"/>
                  <w:marRight w:val="0"/>
                  <w:marTop w:val="0"/>
                  <w:marBottom w:val="0"/>
                  <w:divBdr>
                    <w:top w:val="none" w:sz="0" w:space="0" w:color="auto"/>
                    <w:left w:val="none" w:sz="0" w:space="0" w:color="auto"/>
                    <w:bottom w:val="none" w:sz="0" w:space="0" w:color="auto"/>
                    <w:right w:val="none" w:sz="0" w:space="0" w:color="auto"/>
                  </w:divBdr>
                  <w:divsChild>
                    <w:div w:id="1365255198">
                      <w:marLeft w:val="0"/>
                      <w:marRight w:val="0"/>
                      <w:marTop w:val="0"/>
                      <w:marBottom w:val="0"/>
                      <w:divBdr>
                        <w:top w:val="none" w:sz="0" w:space="0" w:color="auto"/>
                        <w:left w:val="none" w:sz="0" w:space="0" w:color="auto"/>
                        <w:bottom w:val="none" w:sz="0" w:space="0" w:color="auto"/>
                        <w:right w:val="none" w:sz="0" w:space="0" w:color="auto"/>
                      </w:divBdr>
                    </w:div>
                  </w:divsChild>
                </w:div>
                <w:div w:id="394746107">
                  <w:marLeft w:val="0"/>
                  <w:marRight w:val="0"/>
                  <w:marTop w:val="0"/>
                  <w:marBottom w:val="0"/>
                  <w:divBdr>
                    <w:top w:val="none" w:sz="0" w:space="0" w:color="auto"/>
                    <w:left w:val="none" w:sz="0" w:space="0" w:color="auto"/>
                    <w:bottom w:val="none" w:sz="0" w:space="0" w:color="auto"/>
                    <w:right w:val="none" w:sz="0" w:space="0" w:color="auto"/>
                  </w:divBdr>
                  <w:divsChild>
                    <w:div w:id="312489216">
                      <w:marLeft w:val="0"/>
                      <w:marRight w:val="0"/>
                      <w:marTop w:val="0"/>
                      <w:marBottom w:val="0"/>
                      <w:divBdr>
                        <w:top w:val="none" w:sz="0" w:space="0" w:color="auto"/>
                        <w:left w:val="none" w:sz="0" w:space="0" w:color="auto"/>
                        <w:bottom w:val="none" w:sz="0" w:space="0" w:color="auto"/>
                        <w:right w:val="none" w:sz="0" w:space="0" w:color="auto"/>
                      </w:divBdr>
                    </w:div>
                    <w:div w:id="774517264">
                      <w:marLeft w:val="0"/>
                      <w:marRight w:val="0"/>
                      <w:marTop w:val="0"/>
                      <w:marBottom w:val="0"/>
                      <w:divBdr>
                        <w:top w:val="none" w:sz="0" w:space="0" w:color="auto"/>
                        <w:left w:val="none" w:sz="0" w:space="0" w:color="auto"/>
                        <w:bottom w:val="none" w:sz="0" w:space="0" w:color="auto"/>
                        <w:right w:val="none" w:sz="0" w:space="0" w:color="auto"/>
                      </w:divBdr>
                    </w:div>
                    <w:div w:id="1653754846">
                      <w:marLeft w:val="0"/>
                      <w:marRight w:val="0"/>
                      <w:marTop w:val="0"/>
                      <w:marBottom w:val="0"/>
                      <w:divBdr>
                        <w:top w:val="none" w:sz="0" w:space="0" w:color="auto"/>
                        <w:left w:val="none" w:sz="0" w:space="0" w:color="auto"/>
                        <w:bottom w:val="none" w:sz="0" w:space="0" w:color="auto"/>
                        <w:right w:val="none" w:sz="0" w:space="0" w:color="auto"/>
                      </w:divBdr>
                    </w:div>
                    <w:div w:id="1924217493">
                      <w:marLeft w:val="0"/>
                      <w:marRight w:val="0"/>
                      <w:marTop w:val="0"/>
                      <w:marBottom w:val="0"/>
                      <w:divBdr>
                        <w:top w:val="none" w:sz="0" w:space="0" w:color="auto"/>
                        <w:left w:val="none" w:sz="0" w:space="0" w:color="auto"/>
                        <w:bottom w:val="none" w:sz="0" w:space="0" w:color="auto"/>
                        <w:right w:val="none" w:sz="0" w:space="0" w:color="auto"/>
                      </w:divBdr>
                    </w:div>
                    <w:div w:id="2053461090">
                      <w:marLeft w:val="0"/>
                      <w:marRight w:val="0"/>
                      <w:marTop w:val="0"/>
                      <w:marBottom w:val="0"/>
                      <w:divBdr>
                        <w:top w:val="none" w:sz="0" w:space="0" w:color="auto"/>
                        <w:left w:val="none" w:sz="0" w:space="0" w:color="auto"/>
                        <w:bottom w:val="none" w:sz="0" w:space="0" w:color="auto"/>
                        <w:right w:val="none" w:sz="0" w:space="0" w:color="auto"/>
                      </w:divBdr>
                    </w:div>
                  </w:divsChild>
                </w:div>
                <w:div w:id="398481546">
                  <w:marLeft w:val="0"/>
                  <w:marRight w:val="0"/>
                  <w:marTop w:val="0"/>
                  <w:marBottom w:val="0"/>
                  <w:divBdr>
                    <w:top w:val="none" w:sz="0" w:space="0" w:color="auto"/>
                    <w:left w:val="none" w:sz="0" w:space="0" w:color="auto"/>
                    <w:bottom w:val="none" w:sz="0" w:space="0" w:color="auto"/>
                    <w:right w:val="none" w:sz="0" w:space="0" w:color="auto"/>
                  </w:divBdr>
                  <w:divsChild>
                    <w:div w:id="1607494144">
                      <w:marLeft w:val="0"/>
                      <w:marRight w:val="0"/>
                      <w:marTop w:val="0"/>
                      <w:marBottom w:val="0"/>
                      <w:divBdr>
                        <w:top w:val="none" w:sz="0" w:space="0" w:color="auto"/>
                        <w:left w:val="none" w:sz="0" w:space="0" w:color="auto"/>
                        <w:bottom w:val="none" w:sz="0" w:space="0" w:color="auto"/>
                        <w:right w:val="none" w:sz="0" w:space="0" w:color="auto"/>
                      </w:divBdr>
                    </w:div>
                  </w:divsChild>
                </w:div>
                <w:div w:id="414284474">
                  <w:marLeft w:val="0"/>
                  <w:marRight w:val="0"/>
                  <w:marTop w:val="0"/>
                  <w:marBottom w:val="0"/>
                  <w:divBdr>
                    <w:top w:val="none" w:sz="0" w:space="0" w:color="auto"/>
                    <w:left w:val="none" w:sz="0" w:space="0" w:color="auto"/>
                    <w:bottom w:val="none" w:sz="0" w:space="0" w:color="auto"/>
                    <w:right w:val="none" w:sz="0" w:space="0" w:color="auto"/>
                  </w:divBdr>
                  <w:divsChild>
                    <w:div w:id="1598711532">
                      <w:marLeft w:val="0"/>
                      <w:marRight w:val="0"/>
                      <w:marTop w:val="0"/>
                      <w:marBottom w:val="0"/>
                      <w:divBdr>
                        <w:top w:val="none" w:sz="0" w:space="0" w:color="auto"/>
                        <w:left w:val="none" w:sz="0" w:space="0" w:color="auto"/>
                        <w:bottom w:val="none" w:sz="0" w:space="0" w:color="auto"/>
                        <w:right w:val="none" w:sz="0" w:space="0" w:color="auto"/>
                      </w:divBdr>
                    </w:div>
                  </w:divsChild>
                </w:div>
                <w:div w:id="431172818">
                  <w:marLeft w:val="0"/>
                  <w:marRight w:val="0"/>
                  <w:marTop w:val="0"/>
                  <w:marBottom w:val="0"/>
                  <w:divBdr>
                    <w:top w:val="none" w:sz="0" w:space="0" w:color="auto"/>
                    <w:left w:val="none" w:sz="0" w:space="0" w:color="auto"/>
                    <w:bottom w:val="none" w:sz="0" w:space="0" w:color="auto"/>
                    <w:right w:val="none" w:sz="0" w:space="0" w:color="auto"/>
                  </w:divBdr>
                  <w:divsChild>
                    <w:div w:id="1166632761">
                      <w:marLeft w:val="0"/>
                      <w:marRight w:val="0"/>
                      <w:marTop w:val="0"/>
                      <w:marBottom w:val="0"/>
                      <w:divBdr>
                        <w:top w:val="none" w:sz="0" w:space="0" w:color="auto"/>
                        <w:left w:val="none" w:sz="0" w:space="0" w:color="auto"/>
                        <w:bottom w:val="none" w:sz="0" w:space="0" w:color="auto"/>
                        <w:right w:val="none" w:sz="0" w:space="0" w:color="auto"/>
                      </w:divBdr>
                    </w:div>
                  </w:divsChild>
                </w:div>
                <w:div w:id="443622388">
                  <w:marLeft w:val="0"/>
                  <w:marRight w:val="0"/>
                  <w:marTop w:val="0"/>
                  <w:marBottom w:val="0"/>
                  <w:divBdr>
                    <w:top w:val="none" w:sz="0" w:space="0" w:color="auto"/>
                    <w:left w:val="none" w:sz="0" w:space="0" w:color="auto"/>
                    <w:bottom w:val="none" w:sz="0" w:space="0" w:color="auto"/>
                    <w:right w:val="none" w:sz="0" w:space="0" w:color="auto"/>
                  </w:divBdr>
                  <w:divsChild>
                    <w:div w:id="559905458">
                      <w:marLeft w:val="0"/>
                      <w:marRight w:val="0"/>
                      <w:marTop w:val="0"/>
                      <w:marBottom w:val="0"/>
                      <w:divBdr>
                        <w:top w:val="none" w:sz="0" w:space="0" w:color="auto"/>
                        <w:left w:val="none" w:sz="0" w:space="0" w:color="auto"/>
                        <w:bottom w:val="none" w:sz="0" w:space="0" w:color="auto"/>
                        <w:right w:val="none" w:sz="0" w:space="0" w:color="auto"/>
                      </w:divBdr>
                    </w:div>
                  </w:divsChild>
                </w:div>
                <w:div w:id="447166608">
                  <w:marLeft w:val="0"/>
                  <w:marRight w:val="0"/>
                  <w:marTop w:val="0"/>
                  <w:marBottom w:val="0"/>
                  <w:divBdr>
                    <w:top w:val="none" w:sz="0" w:space="0" w:color="auto"/>
                    <w:left w:val="none" w:sz="0" w:space="0" w:color="auto"/>
                    <w:bottom w:val="none" w:sz="0" w:space="0" w:color="auto"/>
                    <w:right w:val="none" w:sz="0" w:space="0" w:color="auto"/>
                  </w:divBdr>
                  <w:divsChild>
                    <w:div w:id="238171587">
                      <w:marLeft w:val="0"/>
                      <w:marRight w:val="0"/>
                      <w:marTop w:val="0"/>
                      <w:marBottom w:val="0"/>
                      <w:divBdr>
                        <w:top w:val="none" w:sz="0" w:space="0" w:color="auto"/>
                        <w:left w:val="none" w:sz="0" w:space="0" w:color="auto"/>
                        <w:bottom w:val="none" w:sz="0" w:space="0" w:color="auto"/>
                        <w:right w:val="none" w:sz="0" w:space="0" w:color="auto"/>
                      </w:divBdr>
                    </w:div>
                  </w:divsChild>
                </w:div>
                <w:div w:id="449474481">
                  <w:marLeft w:val="0"/>
                  <w:marRight w:val="0"/>
                  <w:marTop w:val="0"/>
                  <w:marBottom w:val="0"/>
                  <w:divBdr>
                    <w:top w:val="none" w:sz="0" w:space="0" w:color="auto"/>
                    <w:left w:val="none" w:sz="0" w:space="0" w:color="auto"/>
                    <w:bottom w:val="none" w:sz="0" w:space="0" w:color="auto"/>
                    <w:right w:val="none" w:sz="0" w:space="0" w:color="auto"/>
                  </w:divBdr>
                  <w:divsChild>
                    <w:div w:id="388917606">
                      <w:marLeft w:val="0"/>
                      <w:marRight w:val="0"/>
                      <w:marTop w:val="0"/>
                      <w:marBottom w:val="0"/>
                      <w:divBdr>
                        <w:top w:val="none" w:sz="0" w:space="0" w:color="auto"/>
                        <w:left w:val="none" w:sz="0" w:space="0" w:color="auto"/>
                        <w:bottom w:val="none" w:sz="0" w:space="0" w:color="auto"/>
                        <w:right w:val="none" w:sz="0" w:space="0" w:color="auto"/>
                      </w:divBdr>
                    </w:div>
                  </w:divsChild>
                </w:div>
                <w:div w:id="450326144">
                  <w:marLeft w:val="0"/>
                  <w:marRight w:val="0"/>
                  <w:marTop w:val="0"/>
                  <w:marBottom w:val="0"/>
                  <w:divBdr>
                    <w:top w:val="none" w:sz="0" w:space="0" w:color="auto"/>
                    <w:left w:val="none" w:sz="0" w:space="0" w:color="auto"/>
                    <w:bottom w:val="none" w:sz="0" w:space="0" w:color="auto"/>
                    <w:right w:val="none" w:sz="0" w:space="0" w:color="auto"/>
                  </w:divBdr>
                  <w:divsChild>
                    <w:div w:id="812984874">
                      <w:marLeft w:val="0"/>
                      <w:marRight w:val="0"/>
                      <w:marTop w:val="0"/>
                      <w:marBottom w:val="0"/>
                      <w:divBdr>
                        <w:top w:val="none" w:sz="0" w:space="0" w:color="auto"/>
                        <w:left w:val="none" w:sz="0" w:space="0" w:color="auto"/>
                        <w:bottom w:val="none" w:sz="0" w:space="0" w:color="auto"/>
                        <w:right w:val="none" w:sz="0" w:space="0" w:color="auto"/>
                      </w:divBdr>
                    </w:div>
                  </w:divsChild>
                </w:div>
                <w:div w:id="496385616">
                  <w:marLeft w:val="0"/>
                  <w:marRight w:val="0"/>
                  <w:marTop w:val="0"/>
                  <w:marBottom w:val="0"/>
                  <w:divBdr>
                    <w:top w:val="none" w:sz="0" w:space="0" w:color="auto"/>
                    <w:left w:val="none" w:sz="0" w:space="0" w:color="auto"/>
                    <w:bottom w:val="none" w:sz="0" w:space="0" w:color="auto"/>
                    <w:right w:val="none" w:sz="0" w:space="0" w:color="auto"/>
                  </w:divBdr>
                  <w:divsChild>
                    <w:div w:id="363945768">
                      <w:marLeft w:val="0"/>
                      <w:marRight w:val="0"/>
                      <w:marTop w:val="0"/>
                      <w:marBottom w:val="0"/>
                      <w:divBdr>
                        <w:top w:val="none" w:sz="0" w:space="0" w:color="auto"/>
                        <w:left w:val="none" w:sz="0" w:space="0" w:color="auto"/>
                        <w:bottom w:val="none" w:sz="0" w:space="0" w:color="auto"/>
                        <w:right w:val="none" w:sz="0" w:space="0" w:color="auto"/>
                      </w:divBdr>
                    </w:div>
                  </w:divsChild>
                </w:div>
                <w:div w:id="496582590">
                  <w:marLeft w:val="0"/>
                  <w:marRight w:val="0"/>
                  <w:marTop w:val="0"/>
                  <w:marBottom w:val="0"/>
                  <w:divBdr>
                    <w:top w:val="none" w:sz="0" w:space="0" w:color="auto"/>
                    <w:left w:val="none" w:sz="0" w:space="0" w:color="auto"/>
                    <w:bottom w:val="none" w:sz="0" w:space="0" w:color="auto"/>
                    <w:right w:val="none" w:sz="0" w:space="0" w:color="auto"/>
                  </w:divBdr>
                  <w:divsChild>
                    <w:div w:id="69083312">
                      <w:marLeft w:val="0"/>
                      <w:marRight w:val="0"/>
                      <w:marTop w:val="0"/>
                      <w:marBottom w:val="0"/>
                      <w:divBdr>
                        <w:top w:val="none" w:sz="0" w:space="0" w:color="auto"/>
                        <w:left w:val="none" w:sz="0" w:space="0" w:color="auto"/>
                        <w:bottom w:val="none" w:sz="0" w:space="0" w:color="auto"/>
                        <w:right w:val="none" w:sz="0" w:space="0" w:color="auto"/>
                      </w:divBdr>
                    </w:div>
                  </w:divsChild>
                </w:div>
                <w:div w:id="514733364">
                  <w:marLeft w:val="0"/>
                  <w:marRight w:val="0"/>
                  <w:marTop w:val="0"/>
                  <w:marBottom w:val="0"/>
                  <w:divBdr>
                    <w:top w:val="none" w:sz="0" w:space="0" w:color="auto"/>
                    <w:left w:val="none" w:sz="0" w:space="0" w:color="auto"/>
                    <w:bottom w:val="none" w:sz="0" w:space="0" w:color="auto"/>
                    <w:right w:val="none" w:sz="0" w:space="0" w:color="auto"/>
                  </w:divBdr>
                  <w:divsChild>
                    <w:div w:id="1151482218">
                      <w:marLeft w:val="0"/>
                      <w:marRight w:val="0"/>
                      <w:marTop w:val="0"/>
                      <w:marBottom w:val="0"/>
                      <w:divBdr>
                        <w:top w:val="none" w:sz="0" w:space="0" w:color="auto"/>
                        <w:left w:val="none" w:sz="0" w:space="0" w:color="auto"/>
                        <w:bottom w:val="none" w:sz="0" w:space="0" w:color="auto"/>
                        <w:right w:val="none" w:sz="0" w:space="0" w:color="auto"/>
                      </w:divBdr>
                    </w:div>
                  </w:divsChild>
                </w:div>
                <w:div w:id="527333725">
                  <w:marLeft w:val="0"/>
                  <w:marRight w:val="0"/>
                  <w:marTop w:val="0"/>
                  <w:marBottom w:val="0"/>
                  <w:divBdr>
                    <w:top w:val="none" w:sz="0" w:space="0" w:color="auto"/>
                    <w:left w:val="none" w:sz="0" w:space="0" w:color="auto"/>
                    <w:bottom w:val="none" w:sz="0" w:space="0" w:color="auto"/>
                    <w:right w:val="none" w:sz="0" w:space="0" w:color="auto"/>
                  </w:divBdr>
                  <w:divsChild>
                    <w:div w:id="1440026863">
                      <w:marLeft w:val="0"/>
                      <w:marRight w:val="0"/>
                      <w:marTop w:val="0"/>
                      <w:marBottom w:val="0"/>
                      <w:divBdr>
                        <w:top w:val="none" w:sz="0" w:space="0" w:color="auto"/>
                        <w:left w:val="none" w:sz="0" w:space="0" w:color="auto"/>
                        <w:bottom w:val="none" w:sz="0" w:space="0" w:color="auto"/>
                        <w:right w:val="none" w:sz="0" w:space="0" w:color="auto"/>
                      </w:divBdr>
                    </w:div>
                  </w:divsChild>
                </w:div>
                <w:div w:id="535191903">
                  <w:marLeft w:val="0"/>
                  <w:marRight w:val="0"/>
                  <w:marTop w:val="0"/>
                  <w:marBottom w:val="0"/>
                  <w:divBdr>
                    <w:top w:val="none" w:sz="0" w:space="0" w:color="auto"/>
                    <w:left w:val="none" w:sz="0" w:space="0" w:color="auto"/>
                    <w:bottom w:val="none" w:sz="0" w:space="0" w:color="auto"/>
                    <w:right w:val="none" w:sz="0" w:space="0" w:color="auto"/>
                  </w:divBdr>
                  <w:divsChild>
                    <w:div w:id="273750112">
                      <w:marLeft w:val="0"/>
                      <w:marRight w:val="0"/>
                      <w:marTop w:val="0"/>
                      <w:marBottom w:val="0"/>
                      <w:divBdr>
                        <w:top w:val="none" w:sz="0" w:space="0" w:color="auto"/>
                        <w:left w:val="none" w:sz="0" w:space="0" w:color="auto"/>
                        <w:bottom w:val="none" w:sz="0" w:space="0" w:color="auto"/>
                        <w:right w:val="none" w:sz="0" w:space="0" w:color="auto"/>
                      </w:divBdr>
                    </w:div>
                  </w:divsChild>
                </w:div>
                <w:div w:id="608859544">
                  <w:marLeft w:val="0"/>
                  <w:marRight w:val="0"/>
                  <w:marTop w:val="0"/>
                  <w:marBottom w:val="0"/>
                  <w:divBdr>
                    <w:top w:val="none" w:sz="0" w:space="0" w:color="auto"/>
                    <w:left w:val="none" w:sz="0" w:space="0" w:color="auto"/>
                    <w:bottom w:val="none" w:sz="0" w:space="0" w:color="auto"/>
                    <w:right w:val="none" w:sz="0" w:space="0" w:color="auto"/>
                  </w:divBdr>
                  <w:divsChild>
                    <w:div w:id="622538568">
                      <w:marLeft w:val="0"/>
                      <w:marRight w:val="0"/>
                      <w:marTop w:val="0"/>
                      <w:marBottom w:val="0"/>
                      <w:divBdr>
                        <w:top w:val="none" w:sz="0" w:space="0" w:color="auto"/>
                        <w:left w:val="none" w:sz="0" w:space="0" w:color="auto"/>
                        <w:bottom w:val="none" w:sz="0" w:space="0" w:color="auto"/>
                        <w:right w:val="none" w:sz="0" w:space="0" w:color="auto"/>
                      </w:divBdr>
                    </w:div>
                    <w:div w:id="1687974724">
                      <w:marLeft w:val="0"/>
                      <w:marRight w:val="0"/>
                      <w:marTop w:val="0"/>
                      <w:marBottom w:val="0"/>
                      <w:divBdr>
                        <w:top w:val="none" w:sz="0" w:space="0" w:color="auto"/>
                        <w:left w:val="none" w:sz="0" w:space="0" w:color="auto"/>
                        <w:bottom w:val="none" w:sz="0" w:space="0" w:color="auto"/>
                        <w:right w:val="none" w:sz="0" w:space="0" w:color="auto"/>
                      </w:divBdr>
                    </w:div>
                  </w:divsChild>
                </w:div>
                <w:div w:id="610286409">
                  <w:marLeft w:val="0"/>
                  <w:marRight w:val="0"/>
                  <w:marTop w:val="0"/>
                  <w:marBottom w:val="0"/>
                  <w:divBdr>
                    <w:top w:val="none" w:sz="0" w:space="0" w:color="auto"/>
                    <w:left w:val="none" w:sz="0" w:space="0" w:color="auto"/>
                    <w:bottom w:val="none" w:sz="0" w:space="0" w:color="auto"/>
                    <w:right w:val="none" w:sz="0" w:space="0" w:color="auto"/>
                  </w:divBdr>
                  <w:divsChild>
                    <w:div w:id="1514954503">
                      <w:marLeft w:val="0"/>
                      <w:marRight w:val="0"/>
                      <w:marTop w:val="0"/>
                      <w:marBottom w:val="0"/>
                      <w:divBdr>
                        <w:top w:val="none" w:sz="0" w:space="0" w:color="auto"/>
                        <w:left w:val="none" w:sz="0" w:space="0" w:color="auto"/>
                        <w:bottom w:val="none" w:sz="0" w:space="0" w:color="auto"/>
                        <w:right w:val="none" w:sz="0" w:space="0" w:color="auto"/>
                      </w:divBdr>
                    </w:div>
                  </w:divsChild>
                </w:div>
                <w:div w:id="624389292">
                  <w:marLeft w:val="0"/>
                  <w:marRight w:val="0"/>
                  <w:marTop w:val="0"/>
                  <w:marBottom w:val="0"/>
                  <w:divBdr>
                    <w:top w:val="none" w:sz="0" w:space="0" w:color="auto"/>
                    <w:left w:val="none" w:sz="0" w:space="0" w:color="auto"/>
                    <w:bottom w:val="none" w:sz="0" w:space="0" w:color="auto"/>
                    <w:right w:val="none" w:sz="0" w:space="0" w:color="auto"/>
                  </w:divBdr>
                  <w:divsChild>
                    <w:div w:id="864516162">
                      <w:marLeft w:val="0"/>
                      <w:marRight w:val="0"/>
                      <w:marTop w:val="0"/>
                      <w:marBottom w:val="0"/>
                      <w:divBdr>
                        <w:top w:val="none" w:sz="0" w:space="0" w:color="auto"/>
                        <w:left w:val="none" w:sz="0" w:space="0" w:color="auto"/>
                        <w:bottom w:val="none" w:sz="0" w:space="0" w:color="auto"/>
                        <w:right w:val="none" w:sz="0" w:space="0" w:color="auto"/>
                      </w:divBdr>
                    </w:div>
                  </w:divsChild>
                </w:div>
                <w:div w:id="651834384">
                  <w:marLeft w:val="0"/>
                  <w:marRight w:val="0"/>
                  <w:marTop w:val="0"/>
                  <w:marBottom w:val="0"/>
                  <w:divBdr>
                    <w:top w:val="none" w:sz="0" w:space="0" w:color="auto"/>
                    <w:left w:val="none" w:sz="0" w:space="0" w:color="auto"/>
                    <w:bottom w:val="none" w:sz="0" w:space="0" w:color="auto"/>
                    <w:right w:val="none" w:sz="0" w:space="0" w:color="auto"/>
                  </w:divBdr>
                  <w:divsChild>
                    <w:div w:id="332420219">
                      <w:marLeft w:val="0"/>
                      <w:marRight w:val="0"/>
                      <w:marTop w:val="0"/>
                      <w:marBottom w:val="0"/>
                      <w:divBdr>
                        <w:top w:val="none" w:sz="0" w:space="0" w:color="auto"/>
                        <w:left w:val="none" w:sz="0" w:space="0" w:color="auto"/>
                        <w:bottom w:val="none" w:sz="0" w:space="0" w:color="auto"/>
                        <w:right w:val="none" w:sz="0" w:space="0" w:color="auto"/>
                      </w:divBdr>
                    </w:div>
                  </w:divsChild>
                </w:div>
                <w:div w:id="669455318">
                  <w:marLeft w:val="0"/>
                  <w:marRight w:val="0"/>
                  <w:marTop w:val="0"/>
                  <w:marBottom w:val="0"/>
                  <w:divBdr>
                    <w:top w:val="none" w:sz="0" w:space="0" w:color="auto"/>
                    <w:left w:val="none" w:sz="0" w:space="0" w:color="auto"/>
                    <w:bottom w:val="none" w:sz="0" w:space="0" w:color="auto"/>
                    <w:right w:val="none" w:sz="0" w:space="0" w:color="auto"/>
                  </w:divBdr>
                  <w:divsChild>
                    <w:div w:id="677997727">
                      <w:marLeft w:val="0"/>
                      <w:marRight w:val="0"/>
                      <w:marTop w:val="0"/>
                      <w:marBottom w:val="0"/>
                      <w:divBdr>
                        <w:top w:val="none" w:sz="0" w:space="0" w:color="auto"/>
                        <w:left w:val="none" w:sz="0" w:space="0" w:color="auto"/>
                        <w:bottom w:val="none" w:sz="0" w:space="0" w:color="auto"/>
                        <w:right w:val="none" w:sz="0" w:space="0" w:color="auto"/>
                      </w:divBdr>
                    </w:div>
                  </w:divsChild>
                </w:div>
                <w:div w:id="674957271">
                  <w:marLeft w:val="0"/>
                  <w:marRight w:val="0"/>
                  <w:marTop w:val="0"/>
                  <w:marBottom w:val="0"/>
                  <w:divBdr>
                    <w:top w:val="none" w:sz="0" w:space="0" w:color="auto"/>
                    <w:left w:val="none" w:sz="0" w:space="0" w:color="auto"/>
                    <w:bottom w:val="none" w:sz="0" w:space="0" w:color="auto"/>
                    <w:right w:val="none" w:sz="0" w:space="0" w:color="auto"/>
                  </w:divBdr>
                  <w:divsChild>
                    <w:div w:id="62608814">
                      <w:marLeft w:val="0"/>
                      <w:marRight w:val="0"/>
                      <w:marTop w:val="0"/>
                      <w:marBottom w:val="0"/>
                      <w:divBdr>
                        <w:top w:val="none" w:sz="0" w:space="0" w:color="auto"/>
                        <w:left w:val="none" w:sz="0" w:space="0" w:color="auto"/>
                        <w:bottom w:val="none" w:sz="0" w:space="0" w:color="auto"/>
                        <w:right w:val="none" w:sz="0" w:space="0" w:color="auto"/>
                      </w:divBdr>
                    </w:div>
                  </w:divsChild>
                </w:div>
                <w:div w:id="683753287">
                  <w:marLeft w:val="0"/>
                  <w:marRight w:val="0"/>
                  <w:marTop w:val="0"/>
                  <w:marBottom w:val="0"/>
                  <w:divBdr>
                    <w:top w:val="none" w:sz="0" w:space="0" w:color="auto"/>
                    <w:left w:val="none" w:sz="0" w:space="0" w:color="auto"/>
                    <w:bottom w:val="none" w:sz="0" w:space="0" w:color="auto"/>
                    <w:right w:val="none" w:sz="0" w:space="0" w:color="auto"/>
                  </w:divBdr>
                  <w:divsChild>
                    <w:div w:id="2145388525">
                      <w:marLeft w:val="0"/>
                      <w:marRight w:val="0"/>
                      <w:marTop w:val="0"/>
                      <w:marBottom w:val="0"/>
                      <w:divBdr>
                        <w:top w:val="none" w:sz="0" w:space="0" w:color="auto"/>
                        <w:left w:val="none" w:sz="0" w:space="0" w:color="auto"/>
                        <w:bottom w:val="none" w:sz="0" w:space="0" w:color="auto"/>
                        <w:right w:val="none" w:sz="0" w:space="0" w:color="auto"/>
                      </w:divBdr>
                    </w:div>
                  </w:divsChild>
                </w:div>
                <w:div w:id="684939903">
                  <w:marLeft w:val="0"/>
                  <w:marRight w:val="0"/>
                  <w:marTop w:val="0"/>
                  <w:marBottom w:val="0"/>
                  <w:divBdr>
                    <w:top w:val="none" w:sz="0" w:space="0" w:color="auto"/>
                    <w:left w:val="none" w:sz="0" w:space="0" w:color="auto"/>
                    <w:bottom w:val="none" w:sz="0" w:space="0" w:color="auto"/>
                    <w:right w:val="none" w:sz="0" w:space="0" w:color="auto"/>
                  </w:divBdr>
                  <w:divsChild>
                    <w:div w:id="2133092610">
                      <w:marLeft w:val="0"/>
                      <w:marRight w:val="0"/>
                      <w:marTop w:val="0"/>
                      <w:marBottom w:val="0"/>
                      <w:divBdr>
                        <w:top w:val="none" w:sz="0" w:space="0" w:color="auto"/>
                        <w:left w:val="none" w:sz="0" w:space="0" w:color="auto"/>
                        <w:bottom w:val="none" w:sz="0" w:space="0" w:color="auto"/>
                        <w:right w:val="none" w:sz="0" w:space="0" w:color="auto"/>
                      </w:divBdr>
                    </w:div>
                  </w:divsChild>
                </w:div>
                <w:div w:id="689532270">
                  <w:marLeft w:val="0"/>
                  <w:marRight w:val="0"/>
                  <w:marTop w:val="0"/>
                  <w:marBottom w:val="0"/>
                  <w:divBdr>
                    <w:top w:val="none" w:sz="0" w:space="0" w:color="auto"/>
                    <w:left w:val="none" w:sz="0" w:space="0" w:color="auto"/>
                    <w:bottom w:val="none" w:sz="0" w:space="0" w:color="auto"/>
                    <w:right w:val="none" w:sz="0" w:space="0" w:color="auto"/>
                  </w:divBdr>
                  <w:divsChild>
                    <w:div w:id="129834120">
                      <w:marLeft w:val="0"/>
                      <w:marRight w:val="0"/>
                      <w:marTop w:val="0"/>
                      <w:marBottom w:val="0"/>
                      <w:divBdr>
                        <w:top w:val="none" w:sz="0" w:space="0" w:color="auto"/>
                        <w:left w:val="none" w:sz="0" w:space="0" w:color="auto"/>
                        <w:bottom w:val="none" w:sz="0" w:space="0" w:color="auto"/>
                        <w:right w:val="none" w:sz="0" w:space="0" w:color="auto"/>
                      </w:divBdr>
                    </w:div>
                  </w:divsChild>
                </w:div>
                <w:div w:id="696931639">
                  <w:marLeft w:val="0"/>
                  <w:marRight w:val="0"/>
                  <w:marTop w:val="0"/>
                  <w:marBottom w:val="0"/>
                  <w:divBdr>
                    <w:top w:val="none" w:sz="0" w:space="0" w:color="auto"/>
                    <w:left w:val="none" w:sz="0" w:space="0" w:color="auto"/>
                    <w:bottom w:val="none" w:sz="0" w:space="0" w:color="auto"/>
                    <w:right w:val="none" w:sz="0" w:space="0" w:color="auto"/>
                  </w:divBdr>
                  <w:divsChild>
                    <w:div w:id="827786952">
                      <w:marLeft w:val="0"/>
                      <w:marRight w:val="0"/>
                      <w:marTop w:val="0"/>
                      <w:marBottom w:val="0"/>
                      <w:divBdr>
                        <w:top w:val="none" w:sz="0" w:space="0" w:color="auto"/>
                        <w:left w:val="none" w:sz="0" w:space="0" w:color="auto"/>
                        <w:bottom w:val="none" w:sz="0" w:space="0" w:color="auto"/>
                        <w:right w:val="none" w:sz="0" w:space="0" w:color="auto"/>
                      </w:divBdr>
                    </w:div>
                  </w:divsChild>
                </w:div>
                <w:div w:id="710111134">
                  <w:marLeft w:val="0"/>
                  <w:marRight w:val="0"/>
                  <w:marTop w:val="0"/>
                  <w:marBottom w:val="0"/>
                  <w:divBdr>
                    <w:top w:val="none" w:sz="0" w:space="0" w:color="auto"/>
                    <w:left w:val="none" w:sz="0" w:space="0" w:color="auto"/>
                    <w:bottom w:val="none" w:sz="0" w:space="0" w:color="auto"/>
                    <w:right w:val="none" w:sz="0" w:space="0" w:color="auto"/>
                  </w:divBdr>
                  <w:divsChild>
                    <w:div w:id="1117529111">
                      <w:marLeft w:val="0"/>
                      <w:marRight w:val="0"/>
                      <w:marTop w:val="0"/>
                      <w:marBottom w:val="0"/>
                      <w:divBdr>
                        <w:top w:val="none" w:sz="0" w:space="0" w:color="auto"/>
                        <w:left w:val="none" w:sz="0" w:space="0" w:color="auto"/>
                        <w:bottom w:val="none" w:sz="0" w:space="0" w:color="auto"/>
                        <w:right w:val="none" w:sz="0" w:space="0" w:color="auto"/>
                      </w:divBdr>
                    </w:div>
                  </w:divsChild>
                </w:div>
                <w:div w:id="717555622">
                  <w:marLeft w:val="0"/>
                  <w:marRight w:val="0"/>
                  <w:marTop w:val="0"/>
                  <w:marBottom w:val="0"/>
                  <w:divBdr>
                    <w:top w:val="none" w:sz="0" w:space="0" w:color="auto"/>
                    <w:left w:val="none" w:sz="0" w:space="0" w:color="auto"/>
                    <w:bottom w:val="none" w:sz="0" w:space="0" w:color="auto"/>
                    <w:right w:val="none" w:sz="0" w:space="0" w:color="auto"/>
                  </w:divBdr>
                  <w:divsChild>
                    <w:div w:id="1480340982">
                      <w:marLeft w:val="0"/>
                      <w:marRight w:val="0"/>
                      <w:marTop w:val="0"/>
                      <w:marBottom w:val="0"/>
                      <w:divBdr>
                        <w:top w:val="none" w:sz="0" w:space="0" w:color="auto"/>
                        <w:left w:val="none" w:sz="0" w:space="0" w:color="auto"/>
                        <w:bottom w:val="none" w:sz="0" w:space="0" w:color="auto"/>
                        <w:right w:val="none" w:sz="0" w:space="0" w:color="auto"/>
                      </w:divBdr>
                    </w:div>
                  </w:divsChild>
                </w:div>
                <w:div w:id="730885447">
                  <w:marLeft w:val="0"/>
                  <w:marRight w:val="0"/>
                  <w:marTop w:val="0"/>
                  <w:marBottom w:val="0"/>
                  <w:divBdr>
                    <w:top w:val="none" w:sz="0" w:space="0" w:color="auto"/>
                    <w:left w:val="none" w:sz="0" w:space="0" w:color="auto"/>
                    <w:bottom w:val="none" w:sz="0" w:space="0" w:color="auto"/>
                    <w:right w:val="none" w:sz="0" w:space="0" w:color="auto"/>
                  </w:divBdr>
                  <w:divsChild>
                    <w:div w:id="66540901">
                      <w:marLeft w:val="0"/>
                      <w:marRight w:val="0"/>
                      <w:marTop w:val="0"/>
                      <w:marBottom w:val="0"/>
                      <w:divBdr>
                        <w:top w:val="none" w:sz="0" w:space="0" w:color="auto"/>
                        <w:left w:val="none" w:sz="0" w:space="0" w:color="auto"/>
                        <w:bottom w:val="none" w:sz="0" w:space="0" w:color="auto"/>
                        <w:right w:val="none" w:sz="0" w:space="0" w:color="auto"/>
                      </w:divBdr>
                    </w:div>
                  </w:divsChild>
                </w:div>
                <w:div w:id="736440450">
                  <w:marLeft w:val="0"/>
                  <w:marRight w:val="0"/>
                  <w:marTop w:val="0"/>
                  <w:marBottom w:val="0"/>
                  <w:divBdr>
                    <w:top w:val="none" w:sz="0" w:space="0" w:color="auto"/>
                    <w:left w:val="none" w:sz="0" w:space="0" w:color="auto"/>
                    <w:bottom w:val="none" w:sz="0" w:space="0" w:color="auto"/>
                    <w:right w:val="none" w:sz="0" w:space="0" w:color="auto"/>
                  </w:divBdr>
                  <w:divsChild>
                    <w:div w:id="661281406">
                      <w:marLeft w:val="0"/>
                      <w:marRight w:val="0"/>
                      <w:marTop w:val="0"/>
                      <w:marBottom w:val="0"/>
                      <w:divBdr>
                        <w:top w:val="none" w:sz="0" w:space="0" w:color="auto"/>
                        <w:left w:val="none" w:sz="0" w:space="0" w:color="auto"/>
                        <w:bottom w:val="none" w:sz="0" w:space="0" w:color="auto"/>
                        <w:right w:val="none" w:sz="0" w:space="0" w:color="auto"/>
                      </w:divBdr>
                    </w:div>
                  </w:divsChild>
                </w:div>
                <w:div w:id="777532708">
                  <w:marLeft w:val="0"/>
                  <w:marRight w:val="0"/>
                  <w:marTop w:val="0"/>
                  <w:marBottom w:val="0"/>
                  <w:divBdr>
                    <w:top w:val="none" w:sz="0" w:space="0" w:color="auto"/>
                    <w:left w:val="none" w:sz="0" w:space="0" w:color="auto"/>
                    <w:bottom w:val="none" w:sz="0" w:space="0" w:color="auto"/>
                    <w:right w:val="none" w:sz="0" w:space="0" w:color="auto"/>
                  </w:divBdr>
                  <w:divsChild>
                    <w:div w:id="1939369633">
                      <w:marLeft w:val="0"/>
                      <w:marRight w:val="0"/>
                      <w:marTop w:val="0"/>
                      <w:marBottom w:val="0"/>
                      <w:divBdr>
                        <w:top w:val="none" w:sz="0" w:space="0" w:color="auto"/>
                        <w:left w:val="none" w:sz="0" w:space="0" w:color="auto"/>
                        <w:bottom w:val="none" w:sz="0" w:space="0" w:color="auto"/>
                        <w:right w:val="none" w:sz="0" w:space="0" w:color="auto"/>
                      </w:divBdr>
                    </w:div>
                  </w:divsChild>
                </w:div>
                <w:div w:id="784689775">
                  <w:marLeft w:val="0"/>
                  <w:marRight w:val="0"/>
                  <w:marTop w:val="0"/>
                  <w:marBottom w:val="0"/>
                  <w:divBdr>
                    <w:top w:val="none" w:sz="0" w:space="0" w:color="auto"/>
                    <w:left w:val="none" w:sz="0" w:space="0" w:color="auto"/>
                    <w:bottom w:val="none" w:sz="0" w:space="0" w:color="auto"/>
                    <w:right w:val="none" w:sz="0" w:space="0" w:color="auto"/>
                  </w:divBdr>
                  <w:divsChild>
                    <w:div w:id="2139563585">
                      <w:marLeft w:val="0"/>
                      <w:marRight w:val="0"/>
                      <w:marTop w:val="0"/>
                      <w:marBottom w:val="0"/>
                      <w:divBdr>
                        <w:top w:val="none" w:sz="0" w:space="0" w:color="auto"/>
                        <w:left w:val="none" w:sz="0" w:space="0" w:color="auto"/>
                        <w:bottom w:val="none" w:sz="0" w:space="0" w:color="auto"/>
                        <w:right w:val="none" w:sz="0" w:space="0" w:color="auto"/>
                      </w:divBdr>
                    </w:div>
                  </w:divsChild>
                </w:div>
                <w:div w:id="786197997">
                  <w:marLeft w:val="0"/>
                  <w:marRight w:val="0"/>
                  <w:marTop w:val="0"/>
                  <w:marBottom w:val="0"/>
                  <w:divBdr>
                    <w:top w:val="none" w:sz="0" w:space="0" w:color="auto"/>
                    <w:left w:val="none" w:sz="0" w:space="0" w:color="auto"/>
                    <w:bottom w:val="none" w:sz="0" w:space="0" w:color="auto"/>
                    <w:right w:val="none" w:sz="0" w:space="0" w:color="auto"/>
                  </w:divBdr>
                  <w:divsChild>
                    <w:div w:id="144666793">
                      <w:marLeft w:val="0"/>
                      <w:marRight w:val="0"/>
                      <w:marTop w:val="0"/>
                      <w:marBottom w:val="0"/>
                      <w:divBdr>
                        <w:top w:val="none" w:sz="0" w:space="0" w:color="auto"/>
                        <w:left w:val="none" w:sz="0" w:space="0" w:color="auto"/>
                        <w:bottom w:val="none" w:sz="0" w:space="0" w:color="auto"/>
                        <w:right w:val="none" w:sz="0" w:space="0" w:color="auto"/>
                      </w:divBdr>
                    </w:div>
                  </w:divsChild>
                </w:div>
                <w:div w:id="793016720">
                  <w:marLeft w:val="0"/>
                  <w:marRight w:val="0"/>
                  <w:marTop w:val="0"/>
                  <w:marBottom w:val="0"/>
                  <w:divBdr>
                    <w:top w:val="none" w:sz="0" w:space="0" w:color="auto"/>
                    <w:left w:val="none" w:sz="0" w:space="0" w:color="auto"/>
                    <w:bottom w:val="none" w:sz="0" w:space="0" w:color="auto"/>
                    <w:right w:val="none" w:sz="0" w:space="0" w:color="auto"/>
                  </w:divBdr>
                  <w:divsChild>
                    <w:div w:id="1852060420">
                      <w:marLeft w:val="0"/>
                      <w:marRight w:val="0"/>
                      <w:marTop w:val="0"/>
                      <w:marBottom w:val="0"/>
                      <w:divBdr>
                        <w:top w:val="none" w:sz="0" w:space="0" w:color="auto"/>
                        <w:left w:val="none" w:sz="0" w:space="0" w:color="auto"/>
                        <w:bottom w:val="none" w:sz="0" w:space="0" w:color="auto"/>
                        <w:right w:val="none" w:sz="0" w:space="0" w:color="auto"/>
                      </w:divBdr>
                    </w:div>
                  </w:divsChild>
                </w:div>
                <w:div w:id="804660129">
                  <w:marLeft w:val="0"/>
                  <w:marRight w:val="0"/>
                  <w:marTop w:val="0"/>
                  <w:marBottom w:val="0"/>
                  <w:divBdr>
                    <w:top w:val="none" w:sz="0" w:space="0" w:color="auto"/>
                    <w:left w:val="none" w:sz="0" w:space="0" w:color="auto"/>
                    <w:bottom w:val="none" w:sz="0" w:space="0" w:color="auto"/>
                    <w:right w:val="none" w:sz="0" w:space="0" w:color="auto"/>
                  </w:divBdr>
                  <w:divsChild>
                    <w:div w:id="1610313143">
                      <w:marLeft w:val="0"/>
                      <w:marRight w:val="0"/>
                      <w:marTop w:val="0"/>
                      <w:marBottom w:val="0"/>
                      <w:divBdr>
                        <w:top w:val="none" w:sz="0" w:space="0" w:color="auto"/>
                        <w:left w:val="none" w:sz="0" w:space="0" w:color="auto"/>
                        <w:bottom w:val="none" w:sz="0" w:space="0" w:color="auto"/>
                        <w:right w:val="none" w:sz="0" w:space="0" w:color="auto"/>
                      </w:divBdr>
                    </w:div>
                  </w:divsChild>
                </w:div>
                <w:div w:id="816148917">
                  <w:marLeft w:val="0"/>
                  <w:marRight w:val="0"/>
                  <w:marTop w:val="0"/>
                  <w:marBottom w:val="0"/>
                  <w:divBdr>
                    <w:top w:val="none" w:sz="0" w:space="0" w:color="auto"/>
                    <w:left w:val="none" w:sz="0" w:space="0" w:color="auto"/>
                    <w:bottom w:val="none" w:sz="0" w:space="0" w:color="auto"/>
                    <w:right w:val="none" w:sz="0" w:space="0" w:color="auto"/>
                  </w:divBdr>
                  <w:divsChild>
                    <w:div w:id="326397224">
                      <w:marLeft w:val="0"/>
                      <w:marRight w:val="0"/>
                      <w:marTop w:val="0"/>
                      <w:marBottom w:val="0"/>
                      <w:divBdr>
                        <w:top w:val="none" w:sz="0" w:space="0" w:color="auto"/>
                        <w:left w:val="none" w:sz="0" w:space="0" w:color="auto"/>
                        <w:bottom w:val="none" w:sz="0" w:space="0" w:color="auto"/>
                        <w:right w:val="none" w:sz="0" w:space="0" w:color="auto"/>
                      </w:divBdr>
                    </w:div>
                  </w:divsChild>
                </w:div>
                <w:div w:id="829710204">
                  <w:marLeft w:val="0"/>
                  <w:marRight w:val="0"/>
                  <w:marTop w:val="0"/>
                  <w:marBottom w:val="0"/>
                  <w:divBdr>
                    <w:top w:val="none" w:sz="0" w:space="0" w:color="auto"/>
                    <w:left w:val="none" w:sz="0" w:space="0" w:color="auto"/>
                    <w:bottom w:val="none" w:sz="0" w:space="0" w:color="auto"/>
                    <w:right w:val="none" w:sz="0" w:space="0" w:color="auto"/>
                  </w:divBdr>
                  <w:divsChild>
                    <w:div w:id="929850159">
                      <w:marLeft w:val="0"/>
                      <w:marRight w:val="0"/>
                      <w:marTop w:val="0"/>
                      <w:marBottom w:val="0"/>
                      <w:divBdr>
                        <w:top w:val="none" w:sz="0" w:space="0" w:color="auto"/>
                        <w:left w:val="none" w:sz="0" w:space="0" w:color="auto"/>
                        <w:bottom w:val="none" w:sz="0" w:space="0" w:color="auto"/>
                        <w:right w:val="none" w:sz="0" w:space="0" w:color="auto"/>
                      </w:divBdr>
                    </w:div>
                  </w:divsChild>
                </w:div>
                <w:div w:id="834148756">
                  <w:marLeft w:val="0"/>
                  <w:marRight w:val="0"/>
                  <w:marTop w:val="0"/>
                  <w:marBottom w:val="0"/>
                  <w:divBdr>
                    <w:top w:val="none" w:sz="0" w:space="0" w:color="auto"/>
                    <w:left w:val="none" w:sz="0" w:space="0" w:color="auto"/>
                    <w:bottom w:val="none" w:sz="0" w:space="0" w:color="auto"/>
                    <w:right w:val="none" w:sz="0" w:space="0" w:color="auto"/>
                  </w:divBdr>
                  <w:divsChild>
                    <w:div w:id="1782339765">
                      <w:marLeft w:val="0"/>
                      <w:marRight w:val="0"/>
                      <w:marTop w:val="0"/>
                      <w:marBottom w:val="0"/>
                      <w:divBdr>
                        <w:top w:val="none" w:sz="0" w:space="0" w:color="auto"/>
                        <w:left w:val="none" w:sz="0" w:space="0" w:color="auto"/>
                        <w:bottom w:val="none" w:sz="0" w:space="0" w:color="auto"/>
                        <w:right w:val="none" w:sz="0" w:space="0" w:color="auto"/>
                      </w:divBdr>
                    </w:div>
                  </w:divsChild>
                </w:div>
                <w:div w:id="852105797">
                  <w:marLeft w:val="0"/>
                  <w:marRight w:val="0"/>
                  <w:marTop w:val="0"/>
                  <w:marBottom w:val="0"/>
                  <w:divBdr>
                    <w:top w:val="none" w:sz="0" w:space="0" w:color="auto"/>
                    <w:left w:val="none" w:sz="0" w:space="0" w:color="auto"/>
                    <w:bottom w:val="none" w:sz="0" w:space="0" w:color="auto"/>
                    <w:right w:val="none" w:sz="0" w:space="0" w:color="auto"/>
                  </w:divBdr>
                  <w:divsChild>
                    <w:div w:id="615452604">
                      <w:marLeft w:val="0"/>
                      <w:marRight w:val="0"/>
                      <w:marTop w:val="0"/>
                      <w:marBottom w:val="0"/>
                      <w:divBdr>
                        <w:top w:val="none" w:sz="0" w:space="0" w:color="auto"/>
                        <w:left w:val="none" w:sz="0" w:space="0" w:color="auto"/>
                        <w:bottom w:val="none" w:sz="0" w:space="0" w:color="auto"/>
                        <w:right w:val="none" w:sz="0" w:space="0" w:color="auto"/>
                      </w:divBdr>
                    </w:div>
                  </w:divsChild>
                </w:div>
                <w:div w:id="857893582">
                  <w:marLeft w:val="0"/>
                  <w:marRight w:val="0"/>
                  <w:marTop w:val="0"/>
                  <w:marBottom w:val="0"/>
                  <w:divBdr>
                    <w:top w:val="none" w:sz="0" w:space="0" w:color="auto"/>
                    <w:left w:val="none" w:sz="0" w:space="0" w:color="auto"/>
                    <w:bottom w:val="none" w:sz="0" w:space="0" w:color="auto"/>
                    <w:right w:val="none" w:sz="0" w:space="0" w:color="auto"/>
                  </w:divBdr>
                  <w:divsChild>
                    <w:div w:id="476191557">
                      <w:marLeft w:val="0"/>
                      <w:marRight w:val="0"/>
                      <w:marTop w:val="0"/>
                      <w:marBottom w:val="0"/>
                      <w:divBdr>
                        <w:top w:val="none" w:sz="0" w:space="0" w:color="auto"/>
                        <w:left w:val="none" w:sz="0" w:space="0" w:color="auto"/>
                        <w:bottom w:val="none" w:sz="0" w:space="0" w:color="auto"/>
                        <w:right w:val="none" w:sz="0" w:space="0" w:color="auto"/>
                      </w:divBdr>
                    </w:div>
                  </w:divsChild>
                </w:div>
                <w:div w:id="867646154">
                  <w:marLeft w:val="0"/>
                  <w:marRight w:val="0"/>
                  <w:marTop w:val="0"/>
                  <w:marBottom w:val="0"/>
                  <w:divBdr>
                    <w:top w:val="none" w:sz="0" w:space="0" w:color="auto"/>
                    <w:left w:val="none" w:sz="0" w:space="0" w:color="auto"/>
                    <w:bottom w:val="none" w:sz="0" w:space="0" w:color="auto"/>
                    <w:right w:val="none" w:sz="0" w:space="0" w:color="auto"/>
                  </w:divBdr>
                  <w:divsChild>
                    <w:div w:id="1067417243">
                      <w:marLeft w:val="0"/>
                      <w:marRight w:val="0"/>
                      <w:marTop w:val="0"/>
                      <w:marBottom w:val="0"/>
                      <w:divBdr>
                        <w:top w:val="none" w:sz="0" w:space="0" w:color="auto"/>
                        <w:left w:val="none" w:sz="0" w:space="0" w:color="auto"/>
                        <w:bottom w:val="none" w:sz="0" w:space="0" w:color="auto"/>
                        <w:right w:val="none" w:sz="0" w:space="0" w:color="auto"/>
                      </w:divBdr>
                    </w:div>
                  </w:divsChild>
                </w:div>
                <w:div w:id="878317008">
                  <w:marLeft w:val="0"/>
                  <w:marRight w:val="0"/>
                  <w:marTop w:val="0"/>
                  <w:marBottom w:val="0"/>
                  <w:divBdr>
                    <w:top w:val="none" w:sz="0" w:space="0" w:color="auto"/>
                    <w:left w:val="none" w:sz="0" w:space="0" w:color="auto"/>
                    <w:bottom w:val="none" w:sz="0" w:space="0" w:color="auto"/>
                    <w:right w:val="none" w:sz="0" w:space="0" w:color="auto"/>
                  </w:divBdr>
                  <w:divsChild>
                    <w:div w:id="1066534517">
                      <w:marLeft w:val="0"/>
                      <w:marRight w:val="0"/>
                      <w:marTop w:val="0"/>
                      <w:marBottom w:val="0"/>
                      <w:divBdr>
                        <w:top w:val="none" w:sz="0" w:space="0" w:color="auto"/>
                        <w:left w:val="none" w:sz="0" w:space="0" w:color="auto"/>
                        <w:bottom w:val="none" w:sz="0" w:space="0" w:color="auto"/>
                        <w:right w:val="none" w:sz="0" w:space="0" w:color="auto"/>
                      </w:divBdr>
                    </w:div>
                  </w:divsChild>
                </w:div>
                <w:div w:id="882251382">
                  <w:marLeft w:val="0"/>
                  <w:marRight w:val="0"/>
                  <w:marTop w:val="0"/>
                  <w:marBottom w:val="0"/>
                  <w:divBdr>
                    <w:top w:val="none" w:sz="0" w:space="0" w:color="auto"/>
                    <w:left w:val="none" w:sz="0" w:space="0" w:color="auto"/>
                    <w:bottom w:val="none" w:sz="0" w:space="0" w:color="auto"/>
                    <w:right w:val="none" w:sz="0" w:space="0" w:color="auto"/>
                  </w:divBdr>
                  <w:divsChild>
                    <w:div w:id="936254908">
                      <w:marLeft w:val="0"/>
                      <w:marRight w:val="0"/>
                      <w:marTop w:val="0"/>
                      <w:marBottom w:val="0"/>
                      <w:divBdr>
                        <w:top w:val="none" w:sz="0" w:space="0" w:color="auto"/>
                        <w:left w:val="none" w:sz="0" w:space="0" w:color="auto"/>
                        <w:bottom w:val="none" w:sz="0" w:space="0" w:color="auto"/>
                        <w:right w:val="none" w:sz="0" w:space="0" w:color="auto"/>
                      </w:divBdr>
                    </w:div>
                  </w:divsChild>
                </w:div>
                <w:div w:id="897592964">
                  <w:marLeft w:val="0"/>
                  <w:marRight w:val="0"/>
                  <w:marTop w:val="0"/>
                  <w:marBottom w:val="0"/>
                  <w:divBdr>
                    <w:top w:val="none" w:sz="0" w:space="0" w:color="auto"/>
                    <w:left w:val="none" w:sz="0" w:space="0" w:color="auto"/>
                    <w:bottom w:val="none" w:sz="0" w:space="0" w:color="auto"/>
                    <w:right w:val="none" w:sz="0" w:space="0" w:color="auto"/>
                  </w:divBdr>
                  <w:divsChild>
                    <w:div w:id="1655332095">
                      <w:marLeft w:val="0"/>
                      <w:marRight w:val="0"/>
                      <w:marTop w:val="0"/>
                      <w:marBottom w:val="0"/>
                      <w:divBdr>
                        <w:top w:val="none" w:sz="0" w:space="0" w:color="auto"/>
                        <w:left w:val="none" w:sz="0" w:space="0" w:color="auto"/>
                        <w:bottom w:val="none" w:sz="0" w:space="0" w:color="auto"/>
                        <w:right w:val="none" w:sz="0" w:space="0" w:color="auto"/>
                      </w:divBdr>
                    </w:div>
                  </w:divsChild>
                </w:div>
                <w:div w:id="907109654">
                  <w:marLeft w:val="0"/>
                  <w:marRight w:val="0"/>
                  <w:marTop w:val="0"/>
                  <w:marBottom w:val="0"/>
                  <w:divBdr>
                    <w:top w:val="none" w:sz="0" w:space="0" w:color="auto"/>
                    <w:left w:val="none" w:sz="0" w:space="0" w:color="auto"/>
                    <w:bottom w:val="none" w:sz="0" w:space="0" w:color="auto"/>
                    <w:right w:val="none" w:sz="0" w:space="0" w:color="auto"/>
                  </w:divBdr>
                  <w:divsChild>
                    <w:div w:id="175466581">
                      <w:marLeft w:val="0"/>
                      <w:marRight w:val="0"/>
                      <w:marTop w:val="0"/>
                      <w:marBottom w:val="0"/>
                      <w:divBdr>
                        <w:top w:val="none" w:sz="0" w:space="0" w:color="auto"/>
                        <w:left w:val="none" w:sz="0" w:space="0" w:color="auto"/>
                        <w:bottom w:val="none" w:sz="0" w:space="0" w:color="auto"/>
                        <w:right w:val="none" w:sz="0" w:space="0" w:color="auto"/>
                      </w:divBdr>
                    </w:div>
                    <w:div w:id="703754239">
                      <w:marLeft w:val="0"/>
                      <w:marRight w:val="0"/>
                      <w:marTop w:val="0"/>
                      <w:marBottom w:val="0"/>
                      <w:divBdr>
                        <w:top w:val="none" w:sz="0" w:space="0" w:color="auto"/>
                        <w:left w:val="none" w:sz="0" w:space="0" w:color="auto"/>
                        <w:bottom w:val="none" w:sz="0" w:space="0" w:color="auto"/>
                        <w:right w:val="none" w:sz="0" w:space="0" w:color="auto"/>
                      </w:divBdr>
                    </w:div>
                    <w:div w:id="1063335670">
                      <w:marLeft w:val="0"/>
                      <w:marRight w:val="0"/>
                      <w:marTop w:val="0"/>
                      <w:marBottom w:val="0"/>
                      <w:divBdr>
                        <w:top w:val="none" w:sz="0" w:space="0" w:color="auto"/>
                        <w:left w:val="none" w:sz="0" w:space="0" w:color="auto"/>
                        <w:bottom w:val="none" w:sz="0" w:space="0" w:color="auto"/>
                        <w:right w:val="none" w:sz="0" w:space="0" w:color="auto"/>
                      </w:divBdr>
                    </w:div>
                    <w:div w:id="1753895944">
                      <w:marLeft w:val="0"/>
                      <w:marRight w:val="0"/>
                      <w:marTop w:val="0"/>
                      <w:marBottom w:val="0"/>
                      <w:divBdr>
                        <w:top w:val="none" w:sz="0" w:space="0" w:color="auto"/>
                        <w:left w:val="none" w:sz="0" w:space="0" w:color="auto"/>
                        <w:bottom w:val="none" w:sz="0" w:space="0" w:color="auto"/>
                        <w:right w:val="none" w:sz="0" w:space="0" w:color="auto"/>
                      </w:divBdr>
                    </w:div>
                    <w:div w:id="1790315293">
                      <w:marLeft w:val="0"/>
                      <w:marRight w:val="0"/>
                      <w:marTop w:val="0"/>
                      <w:marBottom w:val="0"/>
                      <w:divBdr>
                        <w:top w:val="none" w:sz="0" w:space="0" w:color="auto"/>
                        <w:left w:val="none" w:sz="0" w:space="0" w:color="auto"/>
                        <w:bottom w:val="none" w:sz="0" w:space="0" w:color="auto"/>
                        <w:right w:val="none" w:sz="0" w:space="0" w:color="auto"/>
                      </w:divBdr>
                    </w:div>
                  </w:divsChild>
                </w:div>
                <w:div w:id="915238732">
                  <w:marLeft w:val="0"/>
                  <w:marRight w:val="0"/>
                  <w:marTop w:val="0"/>
                  <w:marBottom w:val="0"/>
                  <w:divBdr>
                    <w:top w:val="none" w:sz="0" w:space="0" w:color="auto"/>
                    <w:left w:val="none" w:sz="0" w:space="0" w:color="auto"/>
                    <w:bottom w:val="none" w:sz="0" w:space="0" w:color="auto"/>
                    <w:right w:val="none" w:sz="0" w:space="0" w:color="auto"/>
                  </w:divBdr>
                  <w:divsChild>
                    <w:div w:id="517740597">
                      <w:marLeft w:val="0"/>
                      <w:marRight w:val="0"/>
                      <w:marTop w:val="0"/>
                      <w:marBottom w:val="0"/>
                      <w:divBdr>
                        <w:top w:val="none" w:sz="0" w:space="0" w:color="auto"/>
                        <w:left w:val="none" w:sz="0" w:space="0" w:color="auto"/>
                        <w:bottom w:val="none" w:sz="0" w:space="0" w:color="auto"/>
                        <w:right w:val="none" w:sz="0" w:space="0" w:color="auto"/>
                      </w:divBdr>
                    </w:div>
                  </w:divsChild>
                </w:div>
                <w:div w:id="949355949">
                  <w:marLeft w:val="0"/>
                  <w:marRight w:val="0"/>
                  <w:marTop w:val="0"/>
                  <w:marBottom w:val="0"/>
                  <w:divBdr>
                    <w:top w:val="none" w:sz="0" w:space="0" w:color="auto"/>
                    <w:left w:val="none" w:sz="0" w:space="0" w:color="auto"/>
                    <w:bottom w:val="none" w:sz="0" w:space="0" w:color="auto"/>
                    <w:right w:val="none" w:sz="0" w:space="0" w:color="auto"/>
                  </w:divBdr>
                  <w:divsChild>
                    <w:div w:id="1245071984">
                      <w:marLeft w:val="0"/>
                      <w:marRight w:val="0"/>
                      <w:marTop w:val="0"/>
                      <w:marBottom w:val="0"/>
                      <w:divBdr>
                        <w:top w:val="none" w:sz="0" w:space="0" w:color="auto"/>
                        <w:left w:val="none" w:sz="0" w:space="0" w:color="auto"/>
                        <w:bottom w:val="none" w:sz="0" w:space="0" w:color="auto"/>
                        <w:right w:val="none" w:sz="0" w:space="0" w:color="auto"/>
                      </w:divBdr>
                    </w:div>
                  </w:divsChild>
                </w:div>
                <w:div w:id="951938108">
                  <w:marLeft w:val="0"/>
                  <w:marRight w:val="0"/>
                  <w:marTop w:val="0"/>
                  <w:marBottom w:val="0"/>
                  <w:divBdr>
                    <w:top w:val="none" w:sz="0" w:space="0" w:color="auto"/>
                    <w:left w:val="none" w:sz="0" w:space="0" w:color="auto"/>
                    <w:bottom w:val="none" w:sz="0" w:space="0" w:color="auto"/>
                    <w:right w:val="none" w:sz="0" w:space="0" w:color="auto"/>
                  </w:divBdr>
                  <w:divsChild>
                    <w:div w:id="1967809137">
                      <w:marLeft w:val="0"/>
                      <w:marRight w:val="0"/>
                      <w:marTop w:val="0"/>
                      <w:marBottom w:val="0"/>
                      <w:divBdr>
                        <w:top w:val="none" w:sz="0" w:space="0" w:color="auto"/>
                        <w:left w:val="none" w:sz="0" w:space="0" w:color="auto"/>
                        <w:bottom w:val="none" w:sz="0" w:space="0" w:color="auto"/>
                        <w:right w:val="none" w:sz="0" w:space="0" w:color="auto"/>
                      </w:divBdr>
                    </w:div>
                  </w:divsChild>
                </w:div>
                <w:div w:id="992444400">
                  <w:marLeft w:val="0"/>
                  <w:marRight w:val="0"/>
                  <w:marTop w:val="0"/>
                  <w:marBottom w:val="0"/>
                  <w:divBdr>
                    <w:top w:val="none" w:sz="0" w:space="0" w:color="auto"/>
                    <w:left w:val="none" w:sz="0" w:space="0" w:color="auto"/>
                    <w:bottom w:val="none" w:sz="0" w:space="0" w:color="auto"/>
                    <w:right w:val="none" w:sz="0" w:space="0" w:color="auto"/>
                  </w:divBdr>
                  <w:divsChild>
                    <w:div w:id="577907163">
                      <w:marLeft w:val="0"/>
                      <w:marRight w:val="0"/>
                      <w:marTop w:val="0"/>
                      <w:marBottom w:val="0"/>
                      <w:divBdr>
                        <w:top w:val="none" w:sz="0" w:space="0" w:color="auto"/>
                        <w:left w:val="none" w:sz="0" w:space="0" w:color="auto"/>
                        <w:bottom w:val="none" w:sz="0" w:space="0" w:color="auto"/>
                        <w:right w:val="none" w:sz="0" w:space="0" w:color="auto"/>
                      </w:divBdr>
                    </w:div>
                  </w:divsChild>
                </w:div>
                <w:div w:id="997927596">
                  <w:marLeft w:val="0"/>
                  <w:marRight w:val="0"/>
                  <w:marTop w:val="0"/>
                  <w:marBottom w:val="0"/>
                  <w:divBdr>
                    <w:top w:val="none" w:sz="0" w:space="0" w:color="auto"/>
                    <w:left w:val="none" w:sz="0" w:space="0" w:color="auto"/>
                    <w:bottom w:val="none" w:sz="0" w:space="0" w:color="auto"/>
                    <w:right w:val="none" w:sz="0" w:space="0" w:color="auto"/>
                  </w:divBdr>
                  <w:divsChild>
                    <w:div w:id="1948928617">
                      <w:marLeft w:val="0"/>
                      <w:marRight w:val="0"/>
                      <w:marTop w:val="0"/>
                      <w:marBottom w:val="0"/>
                      <w:divBdr>
                        <w:top w:val="none" w:sz="0" w:space="0" w:color="auto"/>
                        <w:left w:val="none" w:sz="0" w:space="0" w:color="auto"/>
                        <w:bottom w:val="none" w:sz="0" w:space="0" w:color="auto"/>
                        <w:right w:val="none" w:sz="0" w:space="0" w:color="auto"/>
                      </w:divBdr>
                    </w:div>
                  </w:divsChild>
                </w:div>
                <w:div w:id="1006133099">
                  <w:marLeft w:val="0"/>
                  <w:marRight w:val="0"/>
                  <w:marTop w:val="0"/>
                  <w:marBottom w:val="0"/>
                  <w:divBdr>
                    <w:top w:val="none" w:sz="0" w:space="0" w:color="auto"/>
                    <w:left w:val="none" w:sz="0" w:space="0" w:color="auto"/>
                    <w:bottom w:val="none" w:sz="0" w:space="0" w:color="auto"/>
                    <w:right w:val="none" w:sz="0" w:space="0" w:color="auto"/>
                  </w:divBdr>
                  <w:divsChild>
                    <w:div w:id="956057978">
                      <w:marLeft w:val="0"/>
                      <w:marRight w:val="0"/>
                      <w:marTop w:val="0"/>
                      <w:marBottom w:val="0"/>
                      <w:divBdr>
                        <w:top w:val="none" w:sz="0" w:space="0" w:color="auto"/>
                        <w:left w:val="none" w:sz="0" w:space="0" w:color="auto"/>
                        <w:bottom w:val="none" w:sz="0" w:space="0" w:color="auto"/>
                        <w:right w:val="none" w:sz="0" w:space="0" w:color="auto"/>
                      </w:divBdr>
                    </w:div>
                    <w:div w:id="1675298885">
                      <w:marLeft w:val="0"/>
                      <w:marRight w:val="0"/>
                      <w:marTop w:val="0"/>
                      <w:marBottom w:val="0"/>
                      <w:divBdr>
                        <w:top w:val="none" w:sz="0" w:space="0" w:color="auto"/>
                        <w:left w:val="none" w:sz="0" w:space="0" w:color="auto"/>
                        <w:bottom w:val="none" w:sz="0" w:space="0" w:color="auto"/>
                        <w:right w:val="none" w:sz="0" w:space="0" w:color="auto"/>
                      </w:divBdr>
                    </w:div>
                  </w:divsChild>
                </w:div>
                <w:div w:id="1035615271">
                  <w:marLeft w:val="0"/>
                  <w:marRight w:val="0"/>
                  <w:marTop w:val="0"/>
                  <w:marBottom w:val="0"/>
                  <w:divBdr>
                    <w:top w:val="none" w:sz="0" w:space="0" w:color="auto"/>
                    <w:left w:val="none" w:sz="0" w:space="0" w:color="auto"/>
                    <w:bottom w:val="none" w:sz="0" w:space="0" w:color="auto"/>
                    <w:right w:val="none" w:sz="0" w:space="0" w:color="auto"/>
                  </w:divBdr>
                  <w:divsChild>
                    <w:div w:id="1221676052">
                      <w:marLeft w:val="0"/>
                      <w:marRight w:val="0"/>
                      <w:marTop w:val="0"/>
                      <w:marBottom w:val="0"/>
                      <w:divBdr>
                        <w:top w:val="none" w:sz="0" w:space="0" w:color="auto"/>
                        <w:left w:val="none" w:sz="0" w:space="0" w:color="auto"/>
                        <w:bottom w:val="none" w:sz="0" w:space="0" w:color="auto"/>
                        <w:right w:val="none" w:sz="0" w:space="0" w:color="auto"/>
                      </w:divBdr>
                    </w:div>
                  </w:divsChild>
                </w:div>
                <w:div w:id="1038896202">
                  <w:marLeft w:val="0"/>
                  <w:marRight w:val="0"/>
                  <w:marTop w:val="0"/>
                  <w:marBottom w:val="0"/>
                  <w:divBdr>
                    <w:top w:val="none" w:sz="0" w:space="0" w:color="auto"/>
                    <w:left w:val="none" w:sz="0" w:space="0" w:color="auto"/>
                    <w:bottom w:val="none" w:sz="0" w:space="0" w:color="auto"/>
                    <w:right w:val="none" w:sz="0" w:space="0" w:color="auto"/>
                  </w:divBdr>
                  <w:divsChild>
                    <w:div w:id="1680541428">
                      <w:marLeft w:val="0"/>
                      <w:marRight w:val="0"/>
                      <w:marTop w:val="0"/>
                      <w:marBottom w:val="0"/>
                      <w:divBdr>
                        <w:top w:val="none" w:sz="0" w:space="0" w:color="auto"/>
                        <w:left w:val="none" w:sz="0" w:space="0" w:color="auto"/>
                        <w:bottom w:val="none" w:sz="0" w:space="0" w:color="auto"/>
                        <w:right w:val="none" w:sz="0" w:space="0" w:color="auto"/>
                      </w:divBdr>
                    </w:div>
                  </w:divsChild>
                </w:div>
                <w:div w:id="1062483322">
                  <w:marLeft w:val="0"/>
                  <w:marRight w:val="0"/>
                  <w:marTop w:val="0"/>
                  <w:marBottom w:val="0"/>
                  <w:divBdr>
                    <w:top w:val="none" w:sz="0" w:space="0" w:color="auto"/>
                    <w:left w:val="none" w:sz="0" w:space="0" w:color="auto"/>
                    <w:bottom w:val="none" w:sz="0" w:space="0" w:color="auto"/>
                    <w:right w:val="none" w:sz="0" w:space="0" w:color="auto"/>
                  </w:divBdr>
                  <w:divsChild>
                    <w:div w:id="707070111">
                      <w:marLeft w:val="0"/>
                      <w:marRight w:val="0"/>
                      <w:marTop w:val="0"/>
                      <w:marBottom w:val="0"/>
                      <w:divBdr>
                        <w:top w:val="none" w:sz="0" w:space="0" w:color="auto"/>
                        <w:left w:val="none" w:sz="0" w:space="0" w:color="auto"/>
                        <w:bottom w:val="none" w:sz="0" w:space="0" w:color="auto"/>
                        <w:right w:val="none" w:sz="0" w:space="0" w:color="auto"/>
                      </w:divBdr>
                    </w:div>
                  </w:divsChild>
                </w:div>
                <w:div w:id="1066685151">
                  <w:marLeft w:val="0"/>
                  <w:marRight w:val="0"/>
                  <w:marTop w:val="0"/>
                  <w:marBottom w:val="0"/>
                  <w:divBdr>
                    <w:top w:val="none" w:sz="0" w:space="0" w:color="auto"/>
                    <w:left w:val="none" w:sz="0" w:space="0" w:color="auto"/>
                    <w:bottom w:val="none" w:sz="0" w:space="0" w:color="auto"/>
                    <w:right w:val="none" w:sz="0" w:space="0" w:color="auto"/>
                  </w:divBdr>
                  <w:divsChild>
                    <w:div w:id="735977626">
                      <w:marLeft w:val="0"/>
                      <w:marRight w:val="0"/>
                      <w:marTop w:val="0"/>
                      <w:marBottom w:val="0"/>
                      <w:divBdr>
                        <w:top w:val="none" w:sz="0" w:space="0" w:color="auto"/>
                        <w:left w:val="none" w:sz="0" w:space="0" w:color="auto"/>
                        <w:bottom w:val="none" w:sz="0" w:space="0" w:color="auto"/>
                        <w:right w:val="none" w:sz="0" w:space="0" w:color="auto"/>
                      </w:divBdr>
                    </w:div>
                  </w:divsChild>
                </w:div>
                <w:div w:id="1067460279">
                  <w:marLeft w:val="0"/>
                  <w:marRight w:val="0"/>
                  <w:marTop w:val="0"/>
                  <w:marBottom w:val="0"/>
                  <w:divBdr>
                    <w:top w:val="none" w:sz="0" w:space="0" w:color="auto"/>
                    <w:left w:val="none" w:sz="0" w:space="0" w:color="auto"/>
                    <w:bottom w:val="none" w:sz="0" w:space="0" w:color="auto"/>
                    <w:right w:val="none" w:sz="0" w:space="0" w:color="auto"/>
                  </w:divBdr>
                  <w:divsChild>
                    <w:div w:id="790056657">
                      <w:marLeft w:val="0"/>
                      <w:marRight w:val="0"/>
                      <w:marTop w:val="0"/>
                      <w:marBottom w:val="0"/>
                      <w:divBdr>
                        <w:top w:val="none" w:sz="0" w:space="0" w:color="auto"/>
                        <w:left w:val="none" w:sz="0" w:space="0" w:color="auto"/>
                        <w:bottom w:val="none" w:sz="0" w:space="0" w:color="auto"/>
                        <w:right w:val="none" w:sz="0" w:space="0" w:color="auto"/>
                      </w:divBdr>
                    </w:div>
                  </w:divsChild>
                </w:div>
                <w:div w:id="1090850500">
                  <w:marLeft w:val="0"/>
                  <w:marRight w:val="0"/>
                  <w:marTop w:val="0"/>
                  <w:marBottom w:val="0"/>
                  <w:divBdr>
                    <w:top w:val="none" w:sz="0" w:space="0" w:color="auto"/>
                    <w:left w:val="none" w:sz="0" w:space="0" w:color="auto"/>
                    <w:bottom w:val="none" w:sz="0" w:space="0" w:color="auto"/>
                    <w:right w:val="none" w:sz="0" w:space="0" w:color="auto"/>
                  </w:divBdr>
                  <w:divsChild>
                    <w:div w:id="769009209">
                      <w:marLeft w:val="0"/>
                      <w:marRight w:val="0"/>
                      <w:marTop w:val="0"/>
                      <w:marBottom w:val="0"/>
                      <w:divBdr>
                        <w:top w:val="none" w:sz="0" w:space="0" w:color="auto"/>
                        <w:left w:val="none" w:sz="0" w:space="0" w:color="auto"/>
                        <w:bottom w:val="none" w:sz="0" w:space="0" w:color="auto"/>
                        <w:right w:val="none" w:sz="0" w:space="0" w:color="auto"/>
                      </w:divBdr>
                    </w:div>
                    <w:div w:id="1009210082">
                      <w:marLeft w:val="0"/>
                      <w:marRight w:val="0"/>
                      <w:marTop w:val="0"/>
                      <w:marBottom w:val="0"/>
                      <w:divBdr>
                        <w:top w:val="none" w:sz="0" w:space="0" w:color="auto"/>
                        <w:left w:val="none" w:sz="0" w:space="0" w:color="auto"/>
                        <w:bottom w:val="none" w:sz="0" w:space="0" w:color="auto"/>
                        <w:right w:val="none" w:sz="0" w:space="0" w:color="auto"/>
                      </w:divBdr>
                    </w:div>
                    <w:div w:id="1336810920">
                      <w:marLeft w:val="0"/>
                      <w:marRight w:val="0"/>
                      <w:marTop w:val="0"/>
                      <w:marBottom w:val="0"/>
                      <w:divBdr>
                        <w:top w:val="none" w:sz="0" w:space="0" w:color="auto"/>
                        <w:left w:val="none" w:sz="0" w:space="0" w:color="auto"/>
                        <w:bottom w:val="none" w:sz="0" w:space="0" w:color="auto"/>
                        <w:right w:val="none" w:sz="0" w:space="0" w:color="auto"/>
                      </w:divBdr>
                    </w:div>
                    <w:div w:id="1507014467">
                      <w:marLeft w:val="0"/>
                      <w:marRight w:val="0"/>
                      <w:marTop w:val="0"/>
                      <w:marBottom w:val="0"/>
                      <w:divBdr>
                        <w:top w:val="none" w:sz="0" w:space="0" w:color="auto"/>
                        <w:left w:val="none" w:sz="0" w:space="0" w:color="auto"/>
                        <w:bottom w:val="none" w:sz="0" w:space="0" w:color="auto"/>
                        <w:right w:val="none" w:sz="0" w:space="0" w:color="auto"/>
                      </w:divBdr>
                    </w:div>
                    <w:div w:id="2060400778">
                      <w:marLeft w:val="0"/>
                      <w:marRight w:val="0"/>
                      <w:marTop w:val="0"/>
                      <w:marBottom w:val="0"/>
                      <w:divBdr>
                        <w:top w:val="none" w:sz="0" w:space="0" w:color="auto"/>
                        <w:left w:val="none" w:sz="0" w:space="0" w:color="auto"/>
                        <w:bottom w:val="none" w:sz="0" w:space="0" w:color="auto"/>
                        <w:right w:val="none" w:sz="0" w:space="0" w:color="auto"/>
                      </w:divBdr>
                    </w:div>
                  </w:divsChild>
                </w:div>
                <w:div w:id="1098675752">
                  <w:marLeft w:val="0"/>
                  <w:marRight w:val="0"/>
                  <w:marTop w:val="0"/>
                  <w:marBottom w:val="0"/>
                  <w:divBdr>
                    <w:top w:val="none" w:sz="0" w:space="0" w:color="auto"/>
                    <w:left w:val="none" w:sz="0" w:space="0" w:color="auto"/>
                    <w:bottom w:val="none" w:sz="0" w:space="0" w:color="auto"/>
                    <w:right w:val="none" w:sz="0" w:space="0" w:color="auto"/>
                  </w:divBdr>
                  <w:divsChild>
                    <w:div w:id="578100464">
                      <w:marLeft w:val="0"/>
                      <w:marRight w:val="0"/>
                      <w:marTop w:val="0"/>
                      <w:marBottom w:val="0"/>
                      <w:divBdr>
                        <w:top w:val="none" w:sz="0" w:space="0" w:color="auto"/>
                        <w:left w:val="none" w:sz="0" w:space="0" w:color="auto"/>
                        <w:bottom w:val="none" w:sz="0" w:space="0" w:color="auto"/>
                        <w:right w:val="none" w:sz="0" w:space="0" w:color="auto"/>
                      </w:divBdr>
                    </w:div>
                  </w:divsChild>
                </w:div>
                <w:div w:id="1108357176">
                  <w:marLeft w:val="0"/>
                  <w:marRight w:val="0"/>
                  <w:marTop w:val="0"/>
                  <w:marBottom w:val="0"/>
                  <w:divBdr>
                    <w:top w:val="none" w:sz="0" w:space="0" w:color="auto"/>
                    <w:left w:val="none" w:sz="0" w:space="0" w:color="auto"/>
                    <w:bottom w:val="none" w:sz="0" w:space="0" w:color="auto"/>
                    <w:right w:val="none" w:sz="0" w:space="0" w:color="auto"/>
                  </w:divBdr>
                  <w:divsChild>
                    <w:div w:id="995114507">
                      <w:marLeft w:val="0"/>
                      <w:marRight w:val="0"/>
                      <w:marTop w:val="0"/>
                      <w:marBottom w:val="0"/>
                      <w:divBdr>
                        <w:top w:val="none" w:sz="0" w:space="0" w:color="auto"/>
                        <w:left w:val="none" w:sz="0" w:space="0" w:color="auto"/>
                        <w:bottom w:val="none" w:sz="0" w:space="0" w:color="auto"/>
                        <w:right w:val="none" w:sz="0" w:space="0" w:color="auto"/>
                      </w:divBdr>
                    </w:div>
                  </w:divsChild>
                </w:div>
                <w:div w:id="1118066256">
                  <w:marLeft w:val="0"/>
                  <w:marRight w:val="0"/>
                  <w:marTop w:val="0"/>
                  <w:marBottom w:val="0"/>
                  <w:divBdr>
                    <w:top w:val="none" w:sz="0" w:space="0" w:color="auto"/>
                    <w:left w:val="none" w:sz="0" w:space="0" w:color="auto"/>
                    <w:bottom w:val="none" w:sz="0" w:space="0" w:color="auto"/>
                    <w:right w:val="none" w:sz="0" w:space="0" w:color="auto"/>
                  </w:divBdr>
                  <w:divsChild>
                    <w:div w:id="381174307">
                      <w:marLeft w:val="0"/>
                      <w:marRight w:val="0"/>
                      <w:marTop w:val="0"/>
                      <w:marBottom w:val="0"/>
                      <w:divBdr>
                        <w:top w:val="none" w:sz="0" w:space="0" w:color="auto"/>
                        <w:left w:val="none" w:sz="0" w:space="0" w:color="auto"/>
                        <w:bottom w:val="none" w:sz="0" w:space="0" w:color="auto"/>
                        <w:right w:val="none" w:sz="0" w:space="0" w:color="auto"/>
                      </w:divBdr>
                    </w:div>
                  </w:divsChild>
                </w:div>
                <w:div w:id="1118986497">
                  <w:marLeft w:val="0"/>
                  <w:marRight w:val="0"/>
                  <w:marTop w:val="0"/>
                  <w:marBottom w:val="0"/>
                  <w:divBdr>
                    <w:top w:val="none" w:sz="0" w:space="0" w:color="auto"/>
                    <w:left w:val="none" w:sz="0" w:space="0" w:color="auto"/>
                    <w:bottom w:val="none" w:sz="0" w:space="0" w:color="auto"/>
                    <w:right w:val="none" w:sz="0" w:space="0" w:color="auto"/>
                  </w:divBdr>
                  <w:divsChild>
                    <w:div w:id="993069999">
                      <w:marLeft w:val="0"/>
                      <w:marRight w:val="0"/>
                      <w:marTop w:val="0"/>
                      <w:marBottom w:val="0"/>
                      <w:divBdr>
                        <w:top w:val="none" w:sz="0" w:space="0" w:color="auto"/>
                        <w:left w:val="none" w:sz="0" w:space="0" w:color="auto"/>
                        <w:bottom w:val="none" w:sz="0" w:space="0" w:color="auto"/>
                        <w:right w:val="none" w:sz="0" w:space="0" w:color="auto"/>
                      </w:divBdr>
                    </w:div>
                  </w:divsChild>
                </w:div>
                <w:div w:id="1120075809">
                  <w:marLeft w:val="0"/>
                  <w:marRight w:val="0"/>
                  <w:marTop w:val="0"/>
                  <w:marBottom w:val="0"/>
                  <w:divBdr>
                    <w:top w:val="none" w:sz="0" w:space="0" w:color="auto"/>
                    <w:left w:val="none" w:sz="0" w:space="0" w:color="auto"/>
                    <w:bottom w:val="none" w:sz="0" w:space="0" w:color="auto"/>
                    <w:right w:val="none" w:sz="0" w:space="0" w:color="auto"/>
                  </w:divBdr>
                  <w:divsChild>
                    <w:div w:id="372731382">
                      <w:marLeft w:val="0"/>
                      <w:marRight w:val="0"/>
                      <w:marTop w:val="0"/>
                      <w:marBottom w:val="0"/>
                      <w:divBdr>
                        <w:top w:val="none" w:sz="0" w:space="0" w:color="auto"/>
                        <w:left w:val="none" w:sz="0" w:space="0" w:color="auto"/>
                        <w:bottom w:val="none" w:sz="0" w:space="0" w:color="auto"/>
                        <w:right w:val="none" w:sz="0" w:space="0" w:color="auto"/>
                      </w:divBdr>
                    </w:div>
                    <w:div w:id="374625031">
                      <w:marLeft w:val="0"/>
                      <w:marRight w:val="0"/>
                      <w:marTop w:val="0"/>
                      <w:marBottom w:val="0"/>
                      <w:divBdr>
                        <w:top w:val="none" w:sz="0" w:space="0" w:color="auto"/>
                        <w:left w:val="none" w:sz="0" w:space="0" w:color="auto"/>
                        <w:bottom w:val="none" w:sz="0" w:space="0" w:color="auto"/>
                        <w:right w:val="none" w:sz="0" w:space="0" w:color="auto"/>
                      </w:divBdr>
                    </w:div>
                  </w:divsChild>
                </w:div>
                <w:div w:id="1121075845">
                  <w:marLeft w:val="0"/>
                  <w:marRight w:val="0"/>
                  <w:marTop w:val="0"/>
                  <w:marBottom w:val="0"/>
                  <w:divBdr>
                    <w:top w:val="none" w:sz="0" w:space="0" w:color="auto"/>
                    <w:left w:val="none" w:sz="0" w:space="0" w:color="auto"/>
                    <w:bottom w:val="none" w:sz="0" w:space="0" w:color="auto"/>
                    <w:right w:val="none" w:sz="0" w:space="0" w:color="auto"/>
                  </w:divBdr>
                  <w:divsChild>
                    <w:div w:id="255333379">
                      <w:marLeft w:val="0"/>
                      <w:marRight w:val="0"/>
                      <w:marTop w:val="0"/>
                      <w:marBottom w:val="0"/>
                      <w:divBdr>
                        <w:top w:val="none" w:sz="0" w:space="0" w:color="auto"/>
                        <w:left w:val="none" w:sz="0" w:space="0" w:color="auto"/>
                        <w:bottom w:val="none" w:sz="0" w:space="0" w:color="auto"/>
                        <w:right w:val="none" w:sz="0" w:space="0" w:color="auto"/>
                      </w:divBdr>
                    </w:div>
                  </w:divsChild>
                </w:div>
                <w:div w:id="1130589211">
                  <w:marLeft w:val="0"/>
                  <w:marRight w:val="0"/>
                  <w:marTop w:val="0"/>
                  <w:marBottom w:val="0"/>
                  <w:divBdr>
                    <w:top w:val="none" w:sz="0" w:space="0" w:color="auto"/>
                    <w:left w:val="none" w:sz="0" w:space="0" w:color="auto"/>
                    <w:bottom w:val="none" w:sz="0" w:space="0" w:color="auto"/>
                    <w:right w:val="none" w:sz="0" w:space="0" w:color="auto"/>
                  </w:divBdr>
                  <w:divsChild>
                    <w:div w:id="585069081">
                      <w:marLeft w:val="0"/>
                      <w:marRight w:val="0"/>
                      <w:marTop w:val="0"/>
                      <w:marBottom w:val="0"/>
                      <w:divBdr>
                        <w:top w:val="none" w:sz="0" w:space="0" w:color="auto"/>
                        <w:left w:val="none" w:sz="0" w:space="0" w:color="auto"/>
                        <w:bottom w:val="none" w:sz="0" w:space="0" w:color="auto"/>
                        <w:right w:val="none" w:sz="0" w:space="0" w:color="auto"/>
                      </w:divBdr>
                    </w:div>
                  </w:divsChild>
                </w:div>
                <w:div w:id="1134055028">
                  <w:marLeft w:val="0"/>
                  <w:marRight w:val="0"/>
                  <w:marTop w:val="0"/>
                  <w:marBottom w:val="0"/>
                  <w:divBdr>
                    <w:top w:val="none" w:sz="0" w:space="0" w:color="auto"/>
                    <w:left w:val="none" w:sz="0" w:space="0" w:color="auto"/>
                    <w:bottom w:val="none" w:sz="0" w:space="0" w:color="auto"/>
                    <w:right w:val="none" w:sz="0" w:space="0" w:color="auto"/>
                  </w:divBdr>
                  <w:divsChild>
                    <w:div w:id="2057387921">
                      <w:marLeft w:val="0"/>
                      <w:marRight w:val="0"/>
                      <w:marTop w:val="0"/>
                      <w:marBottom w:val="0"/>
                      <w:divBdr>
                        <w:top w:val="none" w:sz="0" w:space="0" w:color="auto"/>
                        <w:left w:val="none" w:sz="0" w:space="0" w:color="auto"/>
                        <w:bottom w:val="none" w:sz="0" w:space="0" w:color="auto"/>
                        <w:right w:val="none" w:sz="0" w:space="0" w:color="auto"/>
                      </w:divBdr>
                    </w:div>
                  </w:divsChild>
                </w:div>
                <w:div w:id="1166482091">
                  <w:marLeft w:val="0"/>
                  <w:marRight w:val="0"/>
                  <w:marTop w:val="0"/>
                  <w:marBottom w:val="0"/>
                  <w:divBdr>
                    <w:top w:val="none" w:sz="0" w:space="0" w:color="auto"/>
                    <w:left w:val="none" w:sz="0" w:space="0" w:color="auto"/>
                    <w:bottom w:val="none" w:sz="0" w:space="0" w:color="auto"/>
                    <w:right w:val="none" w:sz="0" w:space="0" w:color="auto"/>
                  </w:divBdr>
                  <w:divsChild>
                    <w:div w:id="1078551461">
                      <w:marLeft w:val="0"/>
                      <w:marRight w:val="0"/>
                      <w:marTop w:val="0"/>
                      <w:marBottom w:val="0"/>
                      <w:divBdr>
                        <w:top w:val="none" w:sz="0" w:space="0" w:color="auto"/>
                        <w:left w:val="none" w:sz="0" w:space="0" w:color="auto"/>
                        <w:bottom w:val="none" w:sz="0" w:space="0" w:color="auto"/>
                        <w:right w:val="none" w:sz="0" w:space="0" w:color="auto"/>
                      </w:divBdr>
                    </w:div>
                  </w:divsChild>
                </w:div>
                <w:div w:id="1168252116">
                  <w:marLeft w:val="0"/>
                  <w:marRight w:val="0"/>
                  <w:marTop w:val="0"/>
                  <w:marBottom w:val="0"/>
                  <w:divBdr>
                    <w:top w:val="none" w:sz="0" w:space="0" w:color="auto"/>
                    <w:left w:val="none" w:sz="0" w:space="0" w:color="auto"/>
                    <w:bottom w:val="none" w:sz="0" w:space="0" w:color="auto"/>
                    <w:right w:val="none" w:sz="0" w:space="0" w:color="auto"/>
                  </w:divBdr>
                  <w:divsChild>
                    <w:div w:id="797145825">
                      <w:marLeft w:val="0"/>
                      <w:marRight w:val="0"/>
                      <w:marTop w:val="0"/>
                      <w:marBottom w:val="0"/>
                      <w:divBdr>
                        <w:top w:val="none" w:sz="0" w:space="0" w:color="auto"/>
                        <w:left w:val="none" w:sz="0" w:space="0" w:color="auto"/>
                        <w:bottom w:val="none" w:sz="0" w:space="0" w:color="auto"/>
                        <w:right w:val="none" w:sz="0" w:space="0" w:color="auto"/>
                      </w:divBdr>
                    </w:div>
                  </w:divsChild>
                </w:div>
                <w:div w:id="1173182873">
                  <w:marLeft w:val="0"/>
                  <w:marRight w:val="0"/>
                  <w:marTop w:val="0"/>
                  <w:marBottom w:val="0"/>
                  <w:divBdr>
                    <w:top w:val="none" w:sz="0" w:space="0" w:color="auto"/>
                    <w:left w:val="none" w:sz="0" w:space="0" w:color="auto"/>
                    <w:bottom w:val="none" w:sz="0" w:space="0" w:color="auto"/>
                    <w:right w:val="none" w:sz="0" w:space="0" w:color="auto"/>
                  </w:divBdr>
                  <w:divsChild>
                    <w:div w:id="1778871345">
                      <w:marLeft w:val="0"/>
                      <w:marRight w:val="0"/>
                      <w:marTop w:val="0"/>
                      <w:marBottom w:val="0"/>
                      <w:divBdr>
                        <w:top w:val="none" w:sz="0" w:space="0" w:color="auto"/>
                        <w:left w:val="none" w:sz="0" w:space="0" w:color="auto"/>
                        <w:bottom w:val="none" w:sz="0" w:space="0" w:color="auto"/>
                        <w:right w:val="none" w:sz="0" w:space="0" w:color="auto"/>
                      </w:divBdr>
                    </w:div>
                  </w:divsChild>
                </w:div>
                <w:div w:id="1173570870">
                  <w:marLeft w:val="0"/>
                  <w:marRight w:val="0"/>
                  <w:marTop w:val="0"/>
                  <w:marBottom w:val="0"/>
                  <w:divBdr>
                    <w:top w:val="none" w:sz="0" w:space="0" w:color="auto"/>
                    <w:left w:val="none" w:sz="0" w:space="0" w:color="auto"/>
                    <w:bottom w:val="none" w:sz="0" w:space="0" w:color="auto"/>
                    <w:right w:val="none" w:sz="0" w:space="0" w:color="auto"/>
                  </w:divBdr>
                  <w:divsChild>
                    <w:div w:id="1312951075">
                      <w:marLeft w:val="0"/>
                      <w:marRight w:val="0"/>
                      <w:marTop w:val="0"/>
                      <w:marBottom w:val="0"/>
                      <w:divBdr>
                        <w:top w:val="none" w:sz="0" w:space="0" w:color="auto"/>
                        <w:left w:val="none" w:sz="0" w:space="0" w:color="auto"/>
                        <w:bottom w:val="none" w:sz="0" w:space="0" w:color="auto"/>
                        <w:right w:val="none" w:sz="0" w:space="0" w:color="auto"/>
                      </w:divBdr>
                    </w:div>
                  </w:divsChild>
                </w:div>
                <w:div w:id="1174874880">
                  <w:marLeft w:val="0"/>
                  <w:marRight w:val="0"/>
                  <w:marTop w:val="0"/>
                  <w:marBottom w:val="0"/>
                  <w:divBdr>
                    <w:top w:val="none" w:sz="0" w:space="0" w:color="auto"/>
                    <w:left w:val="none" w:sz="0" w:space="0" w:color="auto"/>
                    <w:bottom w:val="none" w:sz="0" w:space="0" w:color="auto"/>
                    <w:right w:val="none" w:sz="0" w:space="0" w:color="auto"/>
                  </w:divBdr>
                  <w:divsChild>
                    <w:div w:id="838886102">
                      <w:marLeft w:val="0"/>
                      <w:marRight w:val="0"/>
                      <w:marTop w:val="0"/>
                      <w:marBottom w:val="0"/>
                      <w:divBdr>
                        <w:top w:val="none" w:sz="0" w:space="0" w:color="auto"/>
                        <w:left w:val="none" w:sz="0" w:space="0" w:color="auto"/>
                        <w:bottom w:val="none" w:sz="0" w:space="0" w:color="auto"/>
                        <w:right w:val="none" w:sz="0" w:space="0" w:color="auto"/>
                      </w:divBdr>
                    </w:div>
                  </w:divsChild>
                </w:div>
                <w:div w:id="1182205715">
                  <w:marLeft w:val="0"/>
                  <w:marRight w:val="0"/>
                  <w:marTop w:val="0"/>
                  <w:marBottom w:val="0"/>
                  <w:divBdr>
                    <w:top w:val="none" w:sz="0" w:space="0" w:color="auto"/>
                    <w:left w:val="none" w:sz="0" w:space="0" w:color="auto"/>
                    <w:bottom w:val="none" w:sz="0" w:space="0" w:color="auto"/>
                    <w:right w:val="none" w:sz="0" w:space="0" w:color="auto"/>
                  </w:divBdr>
                  <w:divsChild>
                    <w:div w:id="668215300">
                      <w:marLeft w:val="0"/>
                      <w:marRight w:val="0"/>
                      <w:marTop w:val="0"/>
                      <w:marBottom w:val="0"/>
                      <w:divBdr>
                        <w:top w:val="none" w:sz="0" w:space="0" w:color="auto"/>
                        <w:left w:val="none" w:sz="0" w:space="0" w:color="auto"/>
                        <w:bottom w:val="none" w:sz="0" w:space="0" w:color="auto"/>
                        <w:right w:val="none" w:sz="0" w:space="0" w:color="auto"/>
                      </w:divBdr>
                    </w:div>
                  </w:divsChild>
                </w:div>
                <w:div w:id="1204709840">
                  <w:marLeft w:val="0"/>
                  <w:marRight w:val="0"/>
                  <w:marTop w:val="0"/>
                  <w:marBottom w:val="0"/>
                  <w:divBdr>
                    <w:top w:val="none" w:sz="0" w:space="0" w:color="auto"/>
                    <w:left w:val="none" w:sz="0" w:space="0" w:color="auto"/>
                    <w:bottom w:val="none" w:sz="0" w:space="0" w:color="auto"/>
                    <w:right w:val="none" w:sz="0" w:space="0" w:color="auto"/>
                  </w:divBdr>
                  <w:divsChild>
                    <w:div w:id="1651250096">
                      <w:marLeft w:val="0"/>
                      <w:marRight w:val="0"/>
                      <w:marTop w:val="0"/>
                      <w:marBottom w:val="0"/>
                      <w:divBdr>
                        <w:top w:val="none" w:sz="0" w:space="0" w:color="auto"/>
                        <w:left w:val="none" w:sz="0" w:space="0" w:color="auto"/>
                        <w:bottom w:val="none" w:sz="0" w:space="0" w:color="auto"/>
                        <w:right w:val="none" w:sz="0" w:space="0" w:color="auto"/>
                      </w:divBdr>
                    </w:div>
                  </w:divsChild>
                </w:div>
                <w:div w:id="1216314187">
                  <w:marLeft w:val="0"/>
                  <w:marRight w:val="0"/>
                  <w:marTop w:val="0"/>
                  <w:marBottom w:val="0"/>
                  <w:divBdr>
                    <w:top w:val="none" w:sz="0" w:space="0" w:color="auto"/>
                    <w:left w:val="none" w:sz="0" w:space="0" w:color="auto"/>
                    <w:bottom w:val="none" w:sz="0" w:space="0" w:color="auto"/>
                    <w:right w:val="none" w:sz="0" w:space="0" w:color="auto"/>
                  </w:divBdr>
                  <w:divsChild>
                    <w:div w:id="459030594">
                      <w:marLeft w:val="0"/>
                      <w:marRight w:val="0"/>
                      <w:marTop w:val="0"/>
                      <w:marBottom w:val="0"/>
                      <w:divBdr>
                        <w:top w:val="none" w:sz="0" w:space="0" w:color="auto"/>
                        <w:left w:val="none" w:sz="0" w:space="0" w:color="auto"/>
                        <w:bottom w:val="none" w:sz="0" w:space="0" w:color="auto"/>
                        <w:right w:val="none" w:sz="0" w:space="0" w:color="auto"/>
                      </w:divBdr>
                    </w:div>
                  </w:divsChild>
                </w:div>
                <w:div w:id="1221092159">
                  <w:marLeft w:val="0"/>
                  <w:marRight w:val="0"/>
                  <w:marTop w:val="0"/>
                  <w:marBottom w:val="0"/>
                  <w:divBdr>
                    <w:top w:val="none" w:sz="0" w:space="0" w:color="auto"/>
                    <w:left w:val="none" w:sz="0" w:space="0" w:color="auto"/>
                    <w:bottom w:val="none" w:sz="0" w:space="0" w:color="auto"/>
                    <w:right w:val="none" w:sz="0" w:space="0" w:color="auto"/>
                  </w:divBdr>
                  <w:divsChild>
                    <w:div w:id="88166241">
                      <w:marLeft w:val="0"/>
                      <w:marRight w:val="0"/>
                      <w:marTop w:val="0"/>
                      <w:marBottom w:val="0"/>
                      <w:divBdr>
                        <w:top w:val="none" w:sz="0" w:space="0" w:color="auto"/>
                        <w:left w:val="none" w:sz="0" w:space="0" w:color="auto"/>
                        <w:bottom w:val="none" w:sz="0" w:space="0" w:color="auto"/>
                        <w:right w:val="none" w:sz="0" w:space="0" w:color="auto"/>
                      </w:divBdr>
                    </w:div>
                  </w:divsChild>
                </w:div>
                <w:div w:id="1258564008">
                  <w:marLeft w:val="0"/>
                  <w:marRight w:val="0"/>
                  <w:marTop w:val="0"/>
                  <w:marBottom w:val="0"/>
                  <w:divBdr>
                    <w:top w:val="none" w:sz="0" w:space="0" w:color="auto"/>
                    <w:left w:val="none" w:sz="0" w:space="0" w:color="auto"/>
                    <w:bottom w:val="none" w:sz="0" w:space="0" w:color="auto"/>
                    <w:right w:val="none" w:sz="0" w:space="0" w:color="auto"/>
                  </w:divBdr>
                  <w:divsChild>
                    <w:div w:id="184516592">
                      <w:marLeft w:val="0"/>
                      <w:marRight w:val="0"/>
                      <w:marTop w:val="0"/>
                      <w:marBottom w:val="0"/>
                      <w:divBdr>
                        <w:top w:val="none" w:sz="0" w:space="0" w:color="auto"/>
                        <w:left w:val="none" w:sz="0" w:space="0" w:color="auto"/>
                        <w:bottom w:val="none" w:sz="0" w:space="0" w:color="auto"/>
                        <w:right w:val="none" w:sz="0" w:space="0" w:color="auto"/>
                      </w:divBdr>
                    </w:div>
                  </w:divsChild>
                </w:div>
                <w:div w:id="1262029067">
                  <w:marLeft w:val="0"/>
                  <w:marRight w:val="0"/>
                  <w:marTop w:val="0"/>
                  <w:marBottom w:val="0"/>
                  <w:divBdr>
                    <w:top w:val="none" w:sz="0" w:space="0" w:color="auto"/>
                    <w:left w:val="none" w:sz="0" w:space="0" w:color="auto"/>
                    <w:bottom w:val="none" w:sz="0" w:space="0" w:color="auto"/>
                    <w:right w:val="none" w:sz="0" w:space="0" w:color="auto"/>
                  </w:divBdr>
                  <w:divsChild>
                    <w:div w:id="1764372295">
                      <w:marLeft w:val="0"/>
                      <w:marRight w:val="0"/>
                      <w:marTop w:val="0"/>
                      <w:marBottom w:val="0"/>
                      <w:divBdr>
                        <w:top w:val="none" w:sz="0" w:space="0" w:color="auto"/>
                        <w:left w:val="none" w:sz="0" w:space="0" w:color="auto"/>
                        <w:bottom w:val="none" w:sz="0" w:space="0" w:color="auto"/>
                        <w:right w:val="none" w:sz="0" w:space="0" w:color="auto"/>
                      </w:divBdr>
                    </w:div>
                  </w:divsChild>
                </w:div>
                <w:div w:id="1268269673">
                  <w:marLeft w:val="0"/>
                  <w:marRight w:val="0"/>
                  <w:marTop w:val="0"/>
                  <w:marBottom w:val="0"/>
                  <w:divBdr>
                    <w:top w:val="none" w:sz="0" w:space="0" w:color="auto"/>
                    <w:left w:val="none" w:sz="0" w:space="0" w:color="auto"/>
                    <w:bottom w:val="none" w:sz="0" w:space="0" w:color="auto"/>
                    <w:right w:val="none" w:sz="0" w:space="0" w:color="auto"/>
                  </w:divBdr>
                  <w:divsChild>
                    <w:div w:id="572589765">
                      <w:marLeft w:val="0"/>
                      <w:marRight w:val="0"/>
                      <w:marTop w:val="0"/>
                      <w:marBottom w:val="0"/>
                      <w:divBdr>
                        <w:top w:val="none" w:sz="0" w:space="0" w:color="auto"/>
                        <w:left w:val="none" w:sz="0" w:space="0" w:color="auto"/>
                        <w:bottom w:val="none" w:sz="0" w:space="0" w:color="auto"/>
                        <w:right w:val="none" w:sz="0" w:space="0" w:color="auto"/>
                      </w:divBdr>
                    </w:div>
                  </w:divsChild>
                </w:div>
                <w:div w:id="1276861441">
                  <w:marLeft w:val="0"/>
                  <w:marRight w:val="0"/>
                  <w:marTop w:val="0"/>
                  <w:marBottom w:val="0"/>
                  <w:divBdr>
                    <w:top w:val="none" w:sz="0" w:space="0" w:color="auto"/>
                    <w:left w:val="none" w:sz="0" w:space="0" w:color="auto"/>
                    <w:bottom w:val="none" w:sz="0" w:space="0" w:color="auto"/>
                    <w:right w:val="none" w:sz="0" w:space="0" w:color="auto"/>
                  </w:divBdr>
                  <w:divsChild>
                    <w:div w:id="1183397784">
                      <w:marLeft w:val="0"/>
                      <w:marRight w:val="0"/>
                      <w:marTop w:val="0"/>
                      <w:marBottom w:val="0"/>
                      <w:divBdr>
                        <w:top w:val="none" w:sz="0" w:space="0" w:color="auto"/>
                        <w:left w:val="none" w:sz="0" w:space="0" w:color="auto"/>
                        <w:bottom w:val="none" w:sz="0" w:space="0" w:color="auto"/>
                        <w:right w:val="none" w:sz="0" w:space="0" w:color="auto"/>
                      </w:divBdr>
                    </w:div>
                  </w:divsChild>
                </w:div>
                <w:div w:id="1283347683">
                  <w:marLeft w:val="0"/>
                  <w:marRight w:val="0"/>
                  <w:marTop w:val="0"/>
                  <w:marBottom w:val="0"/>
                  <w:divBdr>
                    <w:top w:val="none" w:sz="0" w:space="0" w:color="auto"/>
                    <w:left w:val="none" w:sz="0" w:space="0" w:color="auto"/>
                    <w:bottom w:val="none" w:sz="0" w:space="0" w:color="auto"/>
                    <w:right w:val="none" w:sz="0" w:space="0" w:color="auto"/>
                  </w:divBdr>
                  <w:divsChild>
                    <w:div w:id="1713111732">
                      <w:marLeft w:val="0"/>
                      <w:marRight w:val="0"/>
                      <w:marTop w:val="0"/>
                      <w:marBottom w:val="0"/>
                      <w:divBdr>
                        <w:top w:val="none" w:sz="0" w:space="0" w:color="auto"/>
                        <w:left w:val="none" w:sz="0" w:space="0" w:color="auto"/>
                        <w:bottom w:val="none" w:sz="0" w:space="0" w:color="auto"/>
                        <w:right w:val="none" w:sz="0" w:space="0" w:color="auto"/>
                      </w:divBdr>
                    </w:div>
                  </w:divsChild>
                </w:div>
                <w:div w:id="1285773609">
                  <w:marLeft w:val="0"/>
                  <w:marRight w:val="0"/>
                  <w:marTop w:val="0"/>
                  <w:marBottom w:val="0"/>
                  <w:divBdr>
                    <w:top w:val="none" w:sz="0" w:space="0" w:color="auto"/>
                    <w:left w:val="none" w:sz="0" w:space="0" w:color="auto"/>
                    <w:bottom w:val="none" w:sz="0" w:space="0" w:color="auto"/>
                    <w:right w:val="none" w:sz="0" w:space="0" w:color="auto"/>
                  </w:divBdr>
                  <w:divsChild>
                    <w:div w:id="326132081">
                      <w:marLeft w:val="0"/>
                      <w:marRight w:val="0"/>
                      <w:marTop w:val="0"/>
                      <w:marBottom w:val="0"/>
                      <w:divBdr>
                        <w:top w:val="none" w:sz="0" w:space="0" w:color="auto"/>
                        <w:left w:val="none" w:sz="0" w:space="0" w:color="auto"/>
                        <w:bottom w:val="none" w:sz="0" w:space="0" w:color="auto"/>
                        <w:right w:val="none" w:sz="0" w:space="0" w:color="auto"/>
                      </w:divBdr>
                    </w:div>
                  </w:divsChild>
                </w:div>
                <w:div w:id="1317956072">
                  <w:marLeft w:val="0"/>
                  <w:marRight w:val="0"/>
                  <w:marTop w:val="0"/>
                  <w:marBottom w:val="0"/>
                  <w:divBdr>
                    <w:top w:val="none" w:sz="0" w:space="0" w:color="auto"/>
                    <w:left w:val="none" w:sz="0" w:space="0" w:color="auto"/>
                    <w:bottom w:val="none" w:sz="0" w:space="0" w:color="auto"/>
                    <w:right w:val="none" w:sz="0" w:space="0" w:color="auto"/>
                  </w:divBdr>
                  <w:divsChild>
                    <w:div w:id="1067608794">
                      <w:marLeft w:val="0"/>
                      <w:marRight w:val="0"/>
                      <w:marTop w:val="0"/>
                      <w:marBottom w:val="0"/>
                      <w:divBdr>
                        <w:top w:val="none" w:sz="0" w:space="0" w:color="auto"/>
                        <w:left w:val="none" w:sz="0" w:space="0" w:color="auto"/>
                        <w:bottom w:val="none" w:sz="0" w:space="0" w:color="auto"/>
                        <w:right w:val="none" w:sz="0" w:space="0" w:color="auto"/>
                      </w:divBdr>
                    </w:div>
                  </w:divsChild>
                </w:div>
                <w:div w:id="1325165416">
                  <w:marLeft w:val="0"/>
                  <w:marRight w:val="0"/>
                  <w:marTop w:val="0"/>
                  <w:marBottom w:val="0"/>
                  <w:divBdr>
                    <w:top w:val="none" w:sz="0" w:space="0" w:color="auto"/>
                    <w:left w:val="none" w:sz="0" w:space="0" w:color="auto"/>
                    <w:bottom w:val="none" w:sz="0" w:space="0" w:color="auto"/>
                    <w:right w:val="none" w:sz="0" w:space="0" w:color="auto"/>
                  </w:divBdr>
                  <w:divsChild>
                    <w:div w:id="1410076832">
                      <w:marLeft w:val="0"/>
                      <w:marRight w:val="0"/>
                      <w:marTop w:val="0"/>
                      <w:marBottom w:val="0"/>
                      <w:divBdr>
                        <w:top w:val="none" w:sz="0" w:space="0" w:color="auto"/>
                        <w:left w:val="none" w:sz="0" w:space="0" w:color="auto"/>
                        <w:bottom w:val="none" w:sz="0" w:space="0" w:color="auto"/>
                        <w:right w:val="none" w:sz="0" w:space="0" w:color="auto"/>
                      </w:divBdr>
                    </w:div>
                  </w:divsChild>
                </w:div>
                <w:div w:id="1332369047">
                  <w:marLeft w:val="0"/>
                  <w:marRight w:val="0"/>
                  <w:marTop w:val="0"/>
                  <w:marBottom w:val="0"/>
                  <w:divBdr>
                    <w:top w:val="none" w:sz="0" w:space="0" w:color="auto"/>
                    <w:left w:val="none" w:sz="0" w:space="0" w:color="auto"/>
                    <w:bottom w:val="none" w:sz="0" w:space="0" w:color="auto"/>
                    <w:right w:val="none" w:sz="0" w:space="0" w:color="auto"/>
                  </w:divBdr>
                  <w:divsChild>
                    <w:div w:id="222912140">
                      <w:marLeft w:val="0"/>
                      <w:marRight w:val="0"/>
                      <w:marTop w:val="0"/>
                      <w:marBottom w:val="0"/>
                      <w:divBdr>
                        <w:top w:val="none" w:sz="0" w:space="0" w:color="auto"/>
                        <w:left w:val="none" w:sz="0" w:space="0" w:color="auto"/>
                        <w:bottom w:val="none" w:sz="0" w:space="0" w:color="auto"/>
                        <w:right w:val="none" w:sz="0" w:space="0" w:color="auto"/>
                      </w:divBdr>
                    </w:div>
                  </w:divsChild>
                </w:div>
                <w:div w:id="1339306034">
                  <w:marLeft w:val="0"/>
                  <w:marRight w:val="0"/>
                  <w:marTop w:val="0"/>
                  <w:marBottom w:val="0"/>
                  <w:divBdr>
                    <w:top w:val="none" w:sz="0" w:space="0" w:color="auto"/>
                    <w:left w:val="none" w:sz="0" w:space="0" w:color="auto"/>
                    <w:bottom w:val="none" w:sz="0" w:space="0" w:color="auto"/>
                    <w:right w:val="none" w:sz="0" w:space="0" w:color="auto"/>
                  </w:divBdr>
                  <w:divsChild>
                    <w:div w:id="1377974662">
                      <w:marLeft w:val="0"/>
                      <w:marRight w:val="0"/>
                      <w:marTop w:val="0"/>
                      <w:marBottom w:val="0"/>
                      <w:divBdr>
                        <w:top w:val="none" w:sz="0" w:space="0" w:color="auto"/>
                        <w:left w:val="none" w:sz="0" w:space="0" w:color="auto"/>
                        <w:bottom w:val="none" w:sz="0" w:space="0" w:color="auto"/>
                        <w:right w:val="none" w:sz="0" w:space="0" w:color="auto"/>
                      </w:divBdr>
                    </w:div>
                  </w:divsChild>
                </w:div>
                <w:div w:id="1350525846">
                  <w:marLeft w:val="0"/>
                  <w:marRight w:val="0"/>
                  <w:marTop w:val="0"/>
                  <w:marBottom w:val="0"/>
                  <w:divBdr>
                    <w:top w:val="none" w:sz="0" w:space="0" w:color="auto"/>
                    <w:left w:val="none" w:sz="0" w:space="0" w:color="auto"/>
                    <w:bottom w:val="none" w:sz="0" w:space="0" w:color="auto"/>
                    <w:right w:val="none" w:sz="0" w:space="0" w:color="auto"/>
                  </w:divBdr>
                  <w:divsChild>
                    <w:div w:id="1254359416">
                      <w:marLeft w:val="0"/>
                      <w:marRight w:val="0"/>
                      <w:marTop w:val="0"/>
                      <w:marBottom w:val="0"/>
                      <w:divBdr>
                        <w:top w:val="none" w:sz="0" w:space="0" w:color="auto"/>
                        <w:left w:val="none" w:sz="0" w:space="0" w:color="auto"/>
                        <w:bottom w:val="none" w:sz="0" w:space="0" w:color="auto"/>
                        <w:right w:val="none" w:sz="0" w:space="0" w:color="auto"/>
                      </w:divBdr>
                    </w:div>
                  </w:divsChild>
                </w:div>
                <w:div w:id="1351637059">
                  <w:marLeft w:val="0"/>
                  <w:marRight w:val="0"/>
                  <w:marTop w:val="0"/>
                  <w:marBottom w:val="0"/>
                  <w:divBdr>
                    <w:top w:val="none" w:sz="0" w:space="0" w:color="auto"/>
                    <w:left w:val="none" w:sz="0" w:space="0" w:color="auto"/>
                    <w:bottom w:val="none" w:sz="0" w:space="0" w:color="auto"/>
                    <w:right w:val="none" w:sz="0" w:space="0" w:color="auto"/>
                  </w:divBdr>
                  <w:divsChild>
                    <w:div w:id="1961574149">
                      <w:marLeft w:val="0"/>
                      <w:marRight w:val="0"/>
                      <w:marTop w:val="0"/>
                      <w:marBottom w:val="0"/>
                      <w:divBdr>
                        <w:top w:val="none" w:sz="0" w:space="0" w:color="auto"/>
                        <w:left w:val="none" w:sz="0" w:space="0" w:color="auto"/>
                        <w:bottom w:val="none" w:sz="0" w:space="0" w:color="auto"/>
                        <w:right w:val="none" w:sz="0" w:space="0" w:color="auto"/>
                      </w:divBdr>
                    </w:div>
                  </w:divsChild>
                </w:div>
                <w:div w:id="1385979612">
                  <w:marLeft w:val="0"/>
                  <w:marRight w:val="0"/>
                  <w:marTop w:val="0"/>
                  <w:marBottom w:val="0"/>
                  <w:divBdr>
                    <w:top w:val="none" w:sz="0" w:space="0" w:color="auto"/>
                    <w:left w:val="none" w:sz="0" w:space="0" w:color="auto"/>
                    <w:bottom w:val="none" w:sz="0" w:space="0" w:color="auto"/>
                    <w:right w:val="none" w:sz="0" w:space="0" w:color="auto"/>
                  </w:divBdr>
                  <w:divsChild>
                    <w:div w:id="1291470168">
                      <w:marLeft w:val="0"/>
                      <w:marRight w:val="0"/>
                      <w:marTop w:val="0"/>
                      <w:marBottom w:val="0"/>
                      <w:divBdr>
                        <w:top w:val="none" w:sz="0" w:space="0" w:color="auto"/>
                        <w:left w:val="none" w:sz="0" w:space="0" w:color="auto"/>
                        <w:bottom w:val="none" w:sz="0" w:space="0" w:color="auto"/>
                        <w:right w:val="none" w:sz="0" w:space="0" w:color="auto"/>
                      </w:divBdr>
                    </w:div>
                  </w:divsChild>
                </w:div>
                <w:div w:id="1396734599">
                  <w:marLeft w:val="0"/>
                  <w:marRight w:val="0"/>
                  <w:marTop w:val="0"/>
                  <w:marBottom w:val="0"/>
                  <w:divBdr>
                    <w:top w:val="none" w:sz="0" w:space="0" w:color="auto"/>
                    <w:left w:val="none" w:sz="0" w:space="0" w:color="auto"/>
                    <w:bottom w:val="none" w:sz="0" w:space="0" w:color="auto"/>
                    <w:right w:val="none" w:sz="0" w:space="0" w:color="auto"/>
                  </w:divBdr>
                  <w:divsChild>
                    <w:div w:id="544567486">
                      <w:marLeft w:val="0"/>
                      <w:marRight w:val="0"/>
                      <w:marTop w:val="0"/>
                      <w:marBottom w:val="0"/>
                      <w:divBdr>
                        <w:top w:val="none" w:sz="0" w:space="0" w:color="auto"/>
                        <w:left w:val="none" w:sz="0" w:space="0" w:color="auto"/>
                        <w:bottom w:val="none" w:sz="0" w:space="0" w:color="auto"/>
                        <w:right w:val="none" w:sz="0" w:space="0" w:color="auto"/>
                      </w:divBdr>
                    </w:div>
                  </w:divsChild>
                </w:div>
                <w:div w:id="1397825241">
                  <w:marLeft w:val="0"/>
                  <w:marRight w:val="0"/>
                  <w:marTop w:val="0"/>
                  <w:marBottom w:val="0"/>
                  <w:divBdr>
                    <w:top w:val="none" w:sz="0" w:space="0" w:color="auto"/>
                    <w:left w:val="none" w:sz="0" w:space="0" w:color="auto"/>
                    <w:bottom w:val="none" w:sz="0" w:space="0" w:color="auto"/>
                    <w:right w:val="none" w:sz="0" w:space="0" w:color="auto"/>
                  </w:divBdr>
                  <w:divsChild>
                    <w:div w:id="1970280919">
                      <w:marLeft w:val="0"/>
                      <w:marRight w:val="0"/>
                      <w:marTop w:val="0"/>
                      <w:marBottom w:val="0"/>
                      <w:divBdr>
                        <w:top w:val="none" w:sz="0" w:space="0" w:color="auto"/>
                        <w:left w:val="none" w:sz="0" w:space="0" w:color="auto"/>
                        <w:bottom w:val="none" w:sz="0" w:space="0" w:color="auto"/>
                        <w:right w:val="none" w:sz="0" w:space="0" w:color="auto"/>
                      </w:divBdr>
                    </w:div>
                  </w:divsChild>
                </w:div>
                <w:div w:id="1419599886">
                  <w:marLeft w:val="0"/>
                  <w:marRight w:val="0"/>
                  <w:marTop w:val="0"/>
                  <w:marBottom w:val="0"/>
                  <w:divBdr>
                    <w:top w:val="none" w:sz="0" w:space="0" w:color="auto"/>
                    <w:left w:val="none" w:sz="0" w:space="0" w:color="auto"/>
                    <w:bottom w:val="none" w:sz="0" w:space="0" w:color="auto"/>
                    <w:right w:val="none" w:sz="0" w:space="0" w:color="auto"/>
                  </w:divBdr>
                  <w:divsChild>
                    <w:div w:id="1385449145">
                      <w:marLeft w:val="0"/>
                      <w:marRight w:val="0"/>
                      <w:marTop w:val="0"/>
                      <w:marBottom w:val="0"/>
                      <w:divBdr>
                        <w:top w:val="none" w:sz="0" w:space="0" w:color="auto"/>
                        <w:left w:val="none" w:sz="0" w:space="0" w:color="auto"/>
                        <w:bottom w:val="none" w:sz="0" w:space="0" w:color="auto"/>
                        <w:right w:val="none" w:sz="0" w:space="0" w:color="auto"/>
                      </w:divBdr>
                    </w:div>
                  </w:divsChild>
                </w:div>
                <w:div w:id="1428497827">
                  <w:marLeft w:val="0"/>
                  <w:marRight w:val="0"/>
                  <w:marTop w:val="0"/>
                  <w:marBottom w:val="0"/>
                  <w:divBdr>
                    <w:top w:val="none" w:sz="0" w:space="0" w:color="auto"/>
                    <w:left w:val="none" w:sz="0" w:space="0" w:color="auto"/>
                    <w:bottom w:val="none" w:sz="0" w:space="0" w:color="auto"/>
                    <w:right w:val="none" w:sz="0" w:space="0" w:color="auto"/>
                  </w:divBdr>
                  <w:divsChild>
                    <w:div w:id="756096281">
                      <w:marLeft w:val="0"/>
                      <w:marRight w:val="0"/>
                      <w:marTop w:val="0"/>
                      <w:marBottom w:val="0"/>
                      <w:divBdr>
                        <w:top w:val="none" w:sz="0" w:space="0" w:color="auto"/>
                        <w:left w:val="none" w:sz="0" w:space="0" w:color="auto"/>
                        <w:bottom w:val="none" w:sz="0" w:space="0" w:color="auto"/>
                        <w:right w:val="none" w:sz="0" w:space="0" w:color="auto"/>
                      </w:divBdr>
                    </w:div>
                  </w:divsChild>
                </w:div>
                <w:div w:id="1435905738">
                  <w:marLeft w:val="0"/>
                  <w:marRight w:val="0"/>
                  <w:marTop w:val="0"/>
                  <w:marBottom w:val="0"/>
                  <w:divBdr>
                    <w:top w:val="none" w:sz="0" w:space="0" w:color="auto"/>
                    <w:left w:val="none" w:sz="0" w:space="0" w:color="auto"/>
                    <w:bottom w:val="none" w:sz="0" w:space="0" w:color="auto"/>
                    <w:right w:val="none" w:sz="0" w:space="0" w:color="auto"/>
                  </w:divBdr>
                  <w:divsChild>
                    <w:div w:id="329522420">
                      <w:marLeft w:val="0"/>
                      <w:marRight w:val="0"/>
                      <w:marTop w:val="0"/>
                      <w:marBottom w:val="0"/>
                      <w:divBdr>
                        <w:top w:val="none" w:sz="0" w:space="0" w:color="auto"/>
                        <w:left w:val="none" w:sz="0" w:space="0" w:color="auto"/>
                        <w:bottom w:val="none" w:sz="0" w:space="0" w:color="auto"/>
                        <w:right w:val="none" w:sz="0" w:space="0" w:color="auto"/>
                      </w:divBdr>
                    </w:div>
                  </w:divsChild>
                </w:div>
                <w:div w:id="1445272644">
                  <w:marLeft w:val="0"/>
                  <w:marRight w:val="0"/>
                  <w:marTop w:val="0"/>
                  <w:marBottom w:val="0"/>
                  <w:divBdr>
                    <w:top w:val="none" w:sz="0" w:space="0" w:color="auto"/>
                    <w:left w:val="none" w:sz="0" w:space="0" w:color="auto"/>
                    <w:bottom w:val="none" w:sz="0" w:space="0" w:color="auto"/>
                    <w:right w:val="none" w:sz="0" w:space="0" w:color="auto"/>
                  </w:divBdr>
                  <w:divsChild>
                    <w:div w:id="1377050845">
                      <w:marLeft w:val="0"/>
                      <w:marRight w:val="0"/>
                      <w:marTop w:val="0"/>
                      <w:marBottom w:val="0"/>
                      <w:divBdr>
                        <w:top w:val="none" w:sz="0" w:space="0" w:color="auto"/>
                        <w:left w:val="none" w:sz="0" w:space="0" w:color="auto"/>
                        <w:bottom w:val="none" w:sz="0" w:space="0" w:color="auto"/>
                        <w:right w:val="none" w:sz="0" w:space="0" w:color="auto"/>
                      </w:divBdr>
                    </w:div>
                  </w:divsChild>
                </w:div>
                <w:div w:id="1466773403">
                  <w:marLeft w:val="0"/>
                  <w:marRight w:val="0"/>
                  <w:marTop w:val="0"/>
                  <w:marBottom w:val="0"/>
                  <w:divBdr>
                    <w:top w:val="none" w:sz="0" w:space="0" w:color="auto"/>
                    <w:left w:val="none" w:sz="0" w:space="0" w:color="auto"/>
                    <w:bottom w:val="none" w:sz="0" w:space="0" w:color="auto"/>
                    <w:right w:val="none" w:sz="0" w:space="0" w:color="auto"/>
                  </w:divBdr>
                  <w:divsChild>
                    <w:div w:id="1056978623">
                      <w:marLeft w:val="0"/>
                      <w:marRight w:val="0"/>
                      <w:marTop w:val="0"/>
                      <w:marBottom w:val="0"/>
                      <w:divBdr>
                        <w:top w:val="none" w:sz="0" w:space="0" w:color="auto"/>
                        <w:left w:val="none" w:sz="0" w:space="0" w:color="auto"/>
                        <w:bottom w:val="none" w:sz="0" w:space="0" w:color="auto"/>
                        <w:right w:val="none" w:sz="0" w:space="0" w:color="auto"/>
                      </w:divBdr>
                    </w:div>
                  </w:divsChild>
                </w:div>
                <w:div w:id="1468157920">
                  <w:marLeft w:val="0"/>
                  <w:marRight w:val="0"/>
                  <w:marTop w:val="0"/>
                  <w:marBottom w:val="0"/>
                  <w:divBdr>
                    <w:top w:val="none" w:sz="0" w:space="0" w:color="auto"/>
                    <w:left w:val="none" w:sz="0" w:space="0" w:color="auto"/>
                    <w:bottom w:val="none" w:sz="0" w:space="0" w:color="auto"/>
                    <w:right w:val="none" w:sz="0" w:space="0" w:color="auto"/>
                  </w:divBdr>
                  <w:divsChild>
                    <w:div w:id="916596544">
                      <w:marLeft w:val="0"/>
                      <w:marRight w:val="0"/>
                      <w:marTop w:val="0"/>
                      <w:marBottom w:val="0"/>
                      <w:divBdr>
                        <w:top w:val="none" w:sz="0" w:space="0" w:color="auto"/>
                        <w:left w:val="none" w:sz="0" w:space="0" w:color="auto"/>
                        <w:bottom w:val="none" w:sz="0" w:space="0" w:color="auto"/>
                        <w:right w:val="none" w:sz="0" w:space="0" w:color="auto"/>
                      </w:divBdr>
                    </w:div>
                  </w:divsChild>
                </w:div>
                <w:div w:id="1481461100">
                  <w:marLeft w:val="0"/>
                  <w:marRight w:val="0"/>
                  <w:marTop w:val="0"/>
                  <w:marBottom w:val="0"/>
                  <w:divBdr>
                    <w:top w:val="none" w:sz="0" w:space="0" w:color="auto"/>
                    <w:left w:val="none" w:sz="0" w:space="0" w:color="auto"/>
                    <w:bottom w:val="none" w:sz="0" w:space="0" w:color="auto"/>
                    <w:right w:val="none" w:sz="0" w:space="0" w:color="auto"/>
                  </w:divBdr>
                  <w:divsChild>
                    <w:div w:id="1140342737">
                      <w:marLeft w:val="0"/>
                      <w:marRight w:val="0"/>
                      <w:marTop w:val="0"/>
                      <w:marBottom w:val="0"/>
                      <w:divBdr>
                        <w:top w:val="none" w:sz="0" w:space="0" w:color="auto"/>
                        <w:left w:val="none" w:sz="0" w:space="0" w:color="auto"/>
                        <w:bottom w:val="none" w:sz="0" w:space="0" w:color="auto"/>
                        <w:right w:val="none" w:sz="0" w:space="0" w:color="auto"/>
                      </w:divBdr>
                    </w:div>
                  </w:divsChild>
                </w:div>
                <w:div w:id="1517575970">
                  <w:marLeft w:val="0"/>
                  <w:marRight w:val="0"/>
                  <w:marTop w:val="0"/>
                  <w:marBottom w:val="0"/>
                  <w:divBdr>
                    <w:top w:val="none" w:sz="0" w:space="0" w:color="auto"/>
                    <w:left w:val="none" w:sz="0" w:space="0" w:color="auto"/>
                    <w:bottom w:val="none" w:sz="0" w:space="0" w:color="auto"/>
                    <w:right w:val="none" w:sz="0" w:space="0" w:color="auto"/>
                  </w:divBdr>
                  <w:divsChild>
                    <w:div w:id="647515110">
                      <w:marLeft w:val="0"/>
                      <w:marRight w:val="0"/>
                      <w:marTop w:val="0"/>
                      <w:marBottom w:val="0"/>
                      <w:divBdr>
                        <w:top w:val="none" w:sz="0" w:space="0" w:color="auto"/>
                        <w:left w:val="none" w:sz="0" w:space="0" w:color="auto"/>
                        <w:bottom w:val="none" w:sz="0" w:space="0" w:color="auto"/>
                        <w:right w:val="none" w:sz="0" w:space="0" w:color="auto"/>
                      </w:divBdr>
                    </w:div>
                    <w:div w:id="1657763572">
                      <w:marLeft w:val="0"/>
                      <w:marRight w:val="0"/>
                      <w:marTop w:val="0"/>
                      <w:marBottom w:val="0"/>
                      <w:divBdr>
                        <w:top w:val="none" w:sz="0" w:space="0" w:color="auto"/>
                        <w:left w:val="none" w:sz="0" w:space="0" w:color="auto"/>
                        <w:bottom w:val="none" w:sz="0" w:space="0" w:color="auto"/>
                        <w:right w:val="none" w:sz="0" w:space="0" w:color="auto"/>
                      </w:divBdr>
                    </w:div>
                  </w:divsChild>
                </w:div>
                <w:div w:id="1520001023">
                  <w:marLeft w:val="0"/>
                  <w:marRight w:val="0"/>
                  <w:marTop w:val="0"/>
                  <w:marBottom w:val="0"/>
                  <w:divBdr>
                    <w:top w:val="none" w:sz="0" w:space="0" w:color="auto"/>
                    <w:left w:val="none" w:sz="0" w:space="0" w:color="auto"/>
                    <w:bottom w:val="none" w:sz="0" w:space="0" w:color="auto"/>
                    <w:right w:val="none" w:sz="0" w:space="0" w:color="auto"/>
                  </w:divBdr>
                  <w:divsChild>
                    <w:div w:id="1544292355">
                      <w:marLeft w:val="0"/>
                      <w:marRight w:val="0"/>
                      <w:marTop w:val="0"/>
                      <w:marBottom w:val="0"/>
                      <w:divBdr>
                        <w:top w:val="none" w:sz="0" w:space="0" w:color="auto"/>
                        <w:left w:val="none" w:sz="0" w:space="0" w:color="auto"/>
                        <w:bottom w:val="none" w:sz="0" w:space="0" w:color="auto"/>
                        <w:right w:val="none" w:sz="0" w:space="0" w:color="auto"/>
                      </w:divBdr>
                    </w:div>
                  </w:divsChild>
                </w:div>
                <w:div w:id="1530870163">
                  <w:marLeft w:val="0"/>
                  <w:marRight w:val="0"/>
                  <w:marTop w:val="0"/>
                  <w:marBottom w:val="0"/>
                  <w:divBdr>
                    <w:top w:val="none" w:sz="0" w:space="0" w:color="auto"/>
                    <w:left w:val="none" w:sz="0" w:space="0" w:color="auto"/>
                    <w:bottom w:val="none" w:sz="0" w:space="0" w:color="auto"/>
                    <w:right w:val="none" w:sz="0" w:space="0" w:color="auto"/>
                  </w:divBdr>
                  <w:divsChild>
                    <w:div w:id="314263659">
                      <w:marLeft w:val="0"/>
                      <w:marRight w:val="0"/>
                      <w:marTop w:val="0"/>
                      <w:marBottom w:val="0"/>
                      <w:divBdr>
                        <w:top w:val="none" w:sz="0" w:space="0" w:color="auto"/>
                        <w:left w:val="none" w:sz="0" w:space="0" w:color="auto"/>
                        <w:bottom w:val="none" w:sz="0" w:space="0" w:color="auto"/>
                        <w:right w:val="none" w:sz="0" w:space="0" w:color="auto"/>
                      </w:divBdr>
                    </w:div>
                  </w:divsChild>
                </w:div>
                <w:div w:id="1547569122">
                  <w:marLeft w:val="0"/>
                  <w:marRight w:val="0"/>
                  <w:marTop w:val="0"/>
                  <w:marBottom w:val="0"/>
                  <w:divBdr>
                    <w:top w:val="none" w:sz="0" w:space="0" w:color="auto"/>
                    <w:left w:val="none" w:sz="0" w:space="0" w:color="auto"/>
                    <w:bottom w:val="none" w:sz="0" w:space="0" w:color="auto"/>
                    <w:right w:val="none" w:sz="0" w:space="0" w:color="auto"/>
                  </w:divBdr>
                  <w:divsChild>
                    <w:div w:id="375081531">
                      <w:marLeft w:val="0"/>
                      <w:marRight w:val="0"/>
                      <w:marTop w:val="0"/>
                      <w:marBottom w:val="0"/>
                      <w:divBdr>
                        <w:top w:val="none" w:sz="0" w:space="0" w:color="auto"/>
                        <w:left w:val="none" w:sz="0" w:space="0" w:color="auto"/>
                        <w:bottom w:val="none" w:sz="0" w:space="0" w:color="auto"/>
                        <w:right w:val="none" w:sz="0" w:space="0" w:color="auto"/>
                      </w:divBdr>
                    </w:div>
                  </w:divsChild>
                </w:div>
                <w:div w:id="1579634654">
                  <w:marLeft w:val="0"/>
                  <w:marRight w:val="0"/>
                  <w:marTop w:val="0"/>
                  <w:marBottom w:val="0"/>
                  <w:divBdr>
                    <w:top w:val="none" w:sz="0" w:space="0" w:color="auto"/>
                    <w:left w:val="none" w:sz="0" w:space="0" w:color="auto"/>
                    <w:bottom w:val="none" w:sz="0" w:space="0" w:color="auto"/>
                    <w:right w:val="none" w:sz="0" w:space="0" w:color="auto"/>
                  </w:divBdr>
                  <w:divsChild>
                    <w:div w:id="1046754277">
                      <w:marLeft w:val="0"/>
                      <w:marRight w:val="0"/>
                      <w:marTop w:val="0"/>
                      <w:marBottom w:val="0"/>
                      <w:divBdr>
                        <w:top w:val="none" w:sz="0" w:space="0" w:color="auto"/>
                        <w:left w:val="none" w:sz="0" w:space="0" w:color="auto"/>
                        <w:bottom w:val="none" w:sz="0" w:space="0" w:color="auto"/>
                        <w:right w:val="none" w:sz="0" w:space="0" w:color="auto"/>
                      </w:divBdr>
                    </w:div>
                  </w:divsChild>
                </w:div>
                <w:div w:id="1580016127">
                  <w:marLeft w:val="0"/>
                  <w:marRight w:val="0"/>
                  <w:marTop w:val="0"/>
                  <w:marBottom w:val="0"/>
                  <w:divBdr>
                    <w:top w:val="none" w:sz="0" w:space="0" w:color="auto"/>
                    <w:left w:val="none" w:sz="0" w:space="0" w:color="auto"/>
                    <w:bottom w:val="none" w:sz="0" w:space="0" w:color="auto"/>
                    <w:right w:val="none" w:sz="0" w:space="0" w:color="auto"/>
                  </w:divBdr>
                  <w:divsChild>
                    <w:div w:id="608127707">
                      <w:marLeft w:val="0"/>
                      <w:marRight w:val="0"/>
                      <w:marTop w:val="0"/>
                      <w:marBottom w:val="0"/>
                      <w:divBdr>
                        <w:top w:val="none" w:sz="0" w:space="0" w:color="auto"/>
                        <w:left w:val="none" w:sz="0" w:space="0" w:color="auto"/>
                        <w:bottom w:val="none" w:sz="0" w:space="0" w:color="auto"/>
                        <w:right w:val="none" w:sz="0" w:space="0" w:color="auto"/>
                      </w:divBdr>
                    </w:div>
                  </w:divsChild>
                </w:div>
                <w:div w:id="1580142041">
                  <w:marLeft w:val="0"/>
                  <w:marRight w:val="0"/>
                  <w:marTop w:val="0"/>
                  <w:marBottom w:val="0"/>
                  <w:divBdr>
                    <w:top w:val="none" w:sz="0" w:space="0" w:color="auto"/>
                    <w:left w:val="none" w:sz="0" w:space="0" w:color="auto"/>
                    <w:bottom w:val="none" w:sz="0" w:space="0" w:color="auto"/>
                    <w:right w:val="none" w:sz="0" w:space="0" w:color="auto"/>
                  </w:divBdr>
                  <w:divsChild>
                    <w:div w:id="2132049274">
                      <w:marLeft w:val="0"/>
                      <w:marRight w:val="0"/>
                      <w:marTop w:val="0"/>
                      <w:marBottom w:val="0"/>
                      <w:divBdr>
                        <w:top w:val="none" w:sz="0" w:space="0" w:color="auto"/>
                        <w:left w:val="none" w:sz="0" w:space="0" w:color="auto"/>
                        <w:bottom w:val="none" w:sz="0" w:space="0" w:color="auto"/>
                        <w:right w:val="none" w:sz="0" w:space="0" w:color="auto"/>
                      </w:divBdr>
                    </w:div>
                  </w:divsChild>
                </w:div>
                <w:div w:id="1588921915">
                  <w:marLeft w:val="0"/>
                  <w:marRight w:val="0"/>
                  <w:marTop w:val="0"/>
                  <w:marBottom w:val="0"/>
                  <w:divBdr>
                    <w:top w:val="none" w:sz="0" w:space="0" w:color="auto"/>
                    <w:left w:val="none" w:sz="0" w:space="0" w:color="auto"/>
                    <w:bottom w:val="none" w:sz="0" w:space="0" w:color="auto"/>
                    <w:right w:val="none" w:sz="0" w:space="0" w:color="auto"/>
                  </w:divBdr>
                  <w:divsChild>
                    <w:div w:id="853229124">
                      <w:marLeft w:val="0"/>
                      <w:marRight w:val="0"/>
                      <w:marTop w:val="0"/>
                      <w:marBottom w:val="0"/>
                      <w:divBdr>
                        <w:top w:val="none" w:sz="0" w:space="0" w:color="auto"/>
                        <w:left w:val="none" w:sz="0" w:space="0" w:color="auto"/>
                        <w:bottom w:val="none" w:sz="0" w:space="0" w:color="auto"/>
                        <w:right w:val="none" w:sz="0" w:space="0" w:color="auto"/>
                      </w:divBdr>
                    </w:div>
                  </w:divsChild>
                </w:div>
                <w:div w:id="1591547606">
                  <w:marLeft w:val="0"/>
                  <w:marRight w:val="0"/>
                  <w:marTop w:val="0"/>
                  <w:marBottom w:val="0"/>
                  <w:divBdr>
                    <w:top w:val="none" w:sz="0" w:space="0" w:color="auto"/>
                    <w:left w:val="none" w:sz="0" w:space="0" w:color="auto"/>
                    <w:bottom w:val="none" w:sz="0" w:space="0" w:color="auto"/>
                    <w:right w:val="none" w:sz="0" w:space="0" w:color="auto"/>
                  </w:divBdr>
                  <w:divsChild>
                    <w:div w:id="1776712782">
                      <w:marLeft w:val="0"/>
                      <w:marRight w:val="0"/>
                      <w:marTop w:val="0"/>
                      <w:marBottom w:val="0"/>
                      <w:divBdr>
                        <w:top w:val="none" w:sz="0" w:space="0" w:color="auto"/>
                        <w:left w:val="none" w:sz="0" w:space="0" w:color="auto"/>
                        <w:bottom w:val="none" w:sz="0" w:space="0" w:color="auto"/>
                        <w:right w:val="none" w:sz="0" w:space="0" w:color="auto"/>
                      </w:divBdr>
                    </w:div>
                  </w:divsChild>
                </w:div>
                <w:div w:id="1593511962">
                  <w:marLeft w:val="0"/>
                  <w:marRight w:val="0"/>
                  <w:marTop w:val="0"/>
                  <w:marBottom w:val="0"/>
                  <w:divBdr>
                    <w:top w:val="none" w:sz="0" w:space="0" w:color="auto"/>
                    <w:left w:val="none" w:sz="0" w:space="0" w:color="auto"/>
                    <w:bottom w:val="none" w:sz="0" w:space="0" w:color="auto"/>
                    <w:right w:val="none" w:sz="0" w:space="0" w:color="auto"/>
                  </w:divBdr>
                  <w:divsChild>
                    <w:div w:id="1658413882">
                      <w:marLeft w:val="0"/>
                      <w:marRight w:val="0"/>
                      <w:marTop w:val="0"/>
                      <w:marBottom w:val="0"/>
                      <w:divBdr>
                        <w:top w:val="none" w:sz="0" w:space="0" w:color="auto"/>
                        <w:left w:val="none" w:sz="0" w:space="0" w:color="auto"/>
                        <w:bottom w:val="none" w:sz="0" w:space="0" w:color="auto"/>
                        <w:right w:val="none" w:sz="0" w:space="0" w:color="auto"/>
                      </w:divBdr>
                    </w:div>
                  </w:divsChild>
                </w:div>
                <w:div w:id="1597129936">
                  <w:marLeft w:val="0"/>
                  <w:marRight w:val="0"/>
                  <w:marTop w:val="0"/>
                  <w:marBottom w:val="0"/>
                  <w:divBdr>
                    <w:top w:val="none" w:sz="0" w:space="0" w:color="auto"/>
                    <w:left w:val="none" w:sz="0" w:space="0" w:color="auto"/>
                    <w:bottom w:val="none" w:sz="0" w:space="0" w:color="auto"/>
                    <w:right w:val="none" w:sz="0" w:space="0" w:color="auto"/>
                  </w:divBdr>
                  <w:divsChild>
                    <w:div w:id="85007948">
                      <w:marLeft w:val="0"/>
                      <w:marRight w:val="0"/>
                      <w:marTop w:val="0"/>
                      <w:marBottom w:val="0"/>
                      <w:divBdr>
                        <w:top w:val="none" w:sz="0" w:space="0" w:color="auto"/>
                        <w:left w:val="none" w:sz="0" w:space="0" w:color="auto"/>
                        <w:bottom w:val="none" w:sz="0" w:space="0" w:color="auto"/>
                        <w:right w:val="none" w:sz="0" w:space="0" w:color="auto"/>
                      </w:divBdr>
                    </w:div>
                  </w:divsChild>
                </w:div>
                <w:div w:id="1604654059">
                  <w:marLeft w:val="0"/>
                  <w:marRight w:val="0"/>
                  <w:marTop w:val="0"/>
                  <w:marBottom w:val="0"/>
                  <w:divBdr>
                    <w:top w:val="none" w:sz="0" w:space="0" w:color="auto"/>
                    <w:left w:val="none" w:sz="0" w:space="0" w:color="auto"/>
                    <w:bottom w:val="none" w:sz="0" w:space="0" w:color="auto"/>
                    <w:right w:val="none" w:sz="0" w:space="0" w:color="auto"/>
                  </w:divBdr>
                  <w:divsChild>
                    <w:div w:id="86077768">
                      <w:marLeft w:val="0"/>
                      <w:marRight w:val="0"/>
                      <w:marTop w:val="0"/>
                      <w:marBottom w:val="0"/>
                      <w:divBdr>
                        <w:top w:val="none" w:sz="0" w:space="0" w:color="auto"/>
                        <w:left w:val="none" w:sz="0" w:space="0" w:color="auto"/>
                        <w:bottom w:val="none" w:sz="0" w:space="0" w:color="auto"/>
                        <w:right w:val="none" w:sz="0" w:space="0" w:color="auto"/>
                      </w:divBdr>
                    </w:div>
                    <w:div w:id="266350279">
                      <w:marLeft w:val="0"/>
                      <w:marRight w:val="0"/>
                      <w:marTop w:val="0"/>
                      <w:marBottom w:val="0"/>
                      <w:divBdr>
                        <w:top w:val="none" w:sz="0" w:space="0" w:color="auto"/>
                        <w:left w:val="none" w:sz="0" w:space="0" w:color="auto"/>
                        <w:bottom w:val="none" w:sz="0" w:space="0" w:color="auto"/>
                        <w:right w:val="none" w:sz="0" w:space="0" w:color="auto"/>
                      </w:divBdr>
                    </w:div>
                    <w:div w:id="388264884">
                      <w:marLeft w:val="0"/>
                      <w:marRight w:val="0"/>
                      <w:marTop w:val="0"/>
                      <w:marBottom w:val="0"/>
                      <w:divBdr>
                        <w:top w:val="none" w:sz="0" w:space="0" w:color="auto"/>
                        <w:left w:val="none" w:sz="0" w:space="0" w:color="auto"/>
                        <w:bottom w:val="none" w:sz="0" w:space="0" w:color="auto"/>
                        <w:right w:val="none" w:sz="0" w:space="0" w:color="auto"/>
                      </w:divBdr>
                    </w:div>
                    <w:div w:id="392048074">
                      <w:marLeft w:val="0"/>
                      <w:marRight w:val="0"/>
                      <w:marTop w:val="0"/>
                      <w:marBottom w:val="0"/>
                      <w:divBdr>
                        <w:top w:val="none" w:sz="0" w:space="0" w:color="auto"/>
                        <w:left w:val="none" w:sz="0" w:space="0" w:color="auto"/>
                        <w:bottom w:val="none" w:sz="0" w:space="0" w:color="auto"/>
                        <w:right w:val="none" w:sz="0" w:space="0" w:color="auto"/>
                      </w:divBdr>
                    </w:div>
                    <w:div w:id="859204577">
                      <w:marLeft w:val="0"/>
                      <w:marRight w:val="0"/>
                      <w:marTop w:val="0"/>
                      <w:marBottom w:val="0"/>
                      <w:divBdr>
                        <w:top w:val="none" w:sz="0" w:space="0" w:color="auto"/>
                        <w:left w:val="none" w:sz="0" w:space="0" w:color="auto"/>
                        <w:bottom w:val="none" w:sz="0" w:space="0" w:color="auto"/>
                        <w:right w:val="none" w:sz="0" w:space="0" w:color="auto"/>
                      </w:divBdr>
                    </w:div>
                  </w:divsChild>
                </w:div>
                <w:div w:id="1605073281">
                  <w:marLeft w:val="0"/>
                  <w:marRight w:val="0"/>
                  <w:marTop w:val="0"/>
                  <w:marBottom w:val="0"/>
                  <w:divBdr>
                    <w:top w:val="none" w:sz="0" w:space="0" w:color="auto"/>
                    <w:left w:val="none" w:sz="0" w:space="0" w:color="auto"/>
                    <w:bottom w:val="none" w:sz="0" w:space="0" w:color="auto"/>
                    <w:right w:val="none" w:sz="0" w:space="0" w:color="auto"/>
                  </w:divBdr>
                  <w:divsChild>
                    <w:div w:id="2029943829">
                      <w:marLeft w:val="0"/>
                      <w:marRight w:val="0"/>
                      <w:marTop w:val="0"/>
                      <w:marBottom w:val="0"/>
                      <w:divBdr>
                        <w:top w:val="none" w:sz="0" w:space="0" w:color="auto"/>
                        <w:left w:val="none" w:sz="0" w:space="0" w:color="auto"/>
                        <w:bottom w:val="none" w:sz="0" w:space="0" w:color="auto"/>
                        <w:right w:val="none" w:sz="0" w:space="0" w:color="auto"/>
                      </w:divBdr>
                    </w:div>
                  </w:divsChild>
                </w:div>
                <w:div w:id="1609316555">
                  <w:marLeft w:val="0"/>
                  <w:marRight w:val="0"/>
                  <w:marTop w:val="0"/>
                  <w:marBottom w:val="0"/>
                  <w:divBdr>
                    <w:top w:val="none" w:sz="0" w:space="0" w:color="auto"/>
                    <w:left w:val="none" w:sz="0" w:space="0" w:color="auto"/>
                    <w:bottom w:val="none" w:sz="0" w:space="0" w:color="auto"/>
                    <w:right w:val="none" w:sz="0" w:space="0" w:color="auto"/>
                  </w:divBdr>
                  <w:divsChild>
                    <w:div w:id="469136671">
                      <w:marLeft w:val="0"/>
                      <w:marRight w:val="0"/>
                      <w:marTop w:val="0"/>
                      <w:marBottom w:val="0"/>
                      <w:divBdr>
                        <w:top w:val="none" w:sz="0" w:space="0" w:color="auto"/>
                        <w:left w:val="none" w:sz="0" w:space="0" w:color="auto"/>
                        <w:bottom w:val="none" w:sz="0" w:space="0" w:color="auto"/>
                        <w:right w:val="none" w:sz="0" w:space="0" w:color="auto"/>
                      </w:divBdr>
                    </w:div>
                  </w:divsChild>
                </w:div>
                <w:div w:id="1612083113">
                  <w:marLeft w:val="0"/>
                  <w:marRight w:val="0"/>
                  <w:marTop w:val="0"/>
                  <w:marBottom w:val="0"/>
                  <w:divBdr>
                    <w:top w:val="none" w:sz="0" w:space="0" w:color="auto"/>
                    <w:left w:val="none" w:sz="0" w:space="0" w:color="auto"/>
                    <w:bottom w:val="none" w:sz="0" w:space="0" w:color="auto"/>
                    <w:right w:val="none" w:sz="0" w:space="0" w:color="auto"/>
                  </w:divBdr>
                  <w:divsChild>
                    <w:div w:id="1946882238">
                      <w:marLeft w:val="0"/>
                      <w:marRight w:val="0"/>
                      <w:marTop w:val="0"/>
                      <w:marBottom w:val="0"/>
                      <w:divBdr>
                        <w:top w:val="none" w:sz="0" w:space="0" w:color="auto"/>
                        <w:left w:val="none" w:sz="0" w:space="0" w:color="auto"/>
                        <w:bottom w:val="none" w:sz="0" w:space="0" w:color="auto"/>
                        <w:right w:val="none" w:sz="0" w:space="0" w:color="auto"/>
                      </w:divBdr>
                    </w:div>
                  </w:divsChild>
                </w:div>
                <w:div w:id="1623489207">
                  <w:marLeft w:val="0"/>
                  <w:marRight w:val="0"/>
                  <w:marTop w:val="0"/>
                  <w:marBottom w:val="0"/>
                  <w:divBdr>
                    <w:top w:val="none" w:sz="0" w:space="0" w:color="auto"/>
                    <w:left w:val="none" w:sz="0" w:space="0" w:color="auto"/>
                    <w:bottom w:val="none" w:sz="0" w:space="0" w:color="auto"/>
                    <w:right w:val="none" w:sz="0" w:space="0" w:color="auto"/>
                  </w:divBdr>
                  <w:divsChild>
                    <w:div w:id="63263879">
                      <w:marLeft w:val="0"/>
                      <w:marRight w:val="0"/>
                      <w:marTop w:val="0"/>
                      <w:marBottom w:val="0"/>
                      <w:divBdr>
                        <w:top w:val="none" w:sz="0" w:space="0" w:color="auto"/>
                        <w:left w:val="none" w:sz="0" w:space="0" w:color="auto"/>
                        <w:bottom w:val="none" w:sz="0" w:space="0" w:color="auto"/>
                        <w:right w:val="none" w:sz="0" w:space="0" w:color="auto"/>
                      </w:divBdr>
                    </w:div>
                  </w:divsChild>
                </w:div>
                <w:div w:id="1633291097">
                  <w:marLeft w:val="0"/>
                  <w:marRight w:val="0"/>
                  <w:marTop w:val="0"/>
                  <w:marBottom w:val="0"/>
                  <w:divBdr>
                    <w:top w:val="none" w:sz="0" w:space="0" w:color="auto"/>
                    <w:left w:val="none" w:sz="0" w:space="0" w:color="auto"/>
                    <w:bottom w:val="none" w:sz="0" w:space="0" w:color="auto"/>
                    <w:right w:val="none" w:sz="0" w:space="0" w:color="auto"/>
                  </w:divBdr>
                  <w:divsChild>
                    <w:div w:id="1229877515">
                      <w:marLeft w:val="0"/>
                      <w:marRight w:val="0"/>
                      <w:marTop w:val="0"/>
                      <w:marBottom w:val="0"/>
                      <w:divBdr>
                        <w:top w:val="none" w:sz="0" w:space="0" w:color="auto"/>
                        <w:left w:val="none" w:sz="0" w:space="0" w:color="auto"/>
                        <w:bottom w:val="none" w:sz="0" w:space="0" w:color="auto"/>
                        <w:right w:val="none" w:sz="0" w:space="0" w:color="auto"/>
                      </w:divBdr>
                    </w:div>
                  </w:divsChild>
                </w:div>
                <w:div w:id="1634946822">
                  <w:marLeft w:val="0"/>
                  <w:marRight w:val="0"/>
                  <w:marTop w:val="0"/>
                  <w:marBottom w:val="0"/>
                  <w:divBdr>
                    <w:top w:val="none" w:sz="0" w:space="0" w:color="auto"/>
                    <w:left w:val="none" w:sz="0" w:space="0" w:color="auto"/>
                    <w:bottom w:val="none" w:sz="0" w:space="0" w:color="auto"/>
                    <w:right w:val="none" w:sz="0" w:space="0" w:color="auto"/>
                  </w:divBdr>
                  <w:divsChild>
                    <w:div w:id="214316358">
                      <w:marLeft w:val="0"/>
                      <w:marRight w:val="0"/>
                      <w:marTop w:val="0"/>
                      <w:marBottom w:val="0"/>
                      <w:divBdr>
                        <w:top w:val="none" w:sz="0" w:space="0" w:color="auto"/>
                        <w:left w:val="none" w:sz="0" w:space="0" w:color="auto"/>
                        <w:bottom w:val="none" w:sz="0" w:space="0" w:color="auto"/>
                        <w:right w:val="none" w:sz="0" w:space="0" w:color="auto"/>
                      </w:divBdr>
                    </w:div>
                  </w:divsChild>
                </w:div>
                <w:div w:id="1653363513">
                  <w:marLeft w:val="0"/>
                  <w:marRight w:val="0"/>
                  <w:marTop w:val="0"/>
                  <w:marBottom w:val="0"/>
                  <w:divBdr>
                    <w:top w:val="none" w:sz="0" w:space="0" w:color="auto"/>
                    <w:left w:val="none" w:sz="0" w:space="0" w:color="auto"/>
                    <w:bottom w:val="none" w:sz="0" w:space="0" w:color="auto"/>
                    <w:right w:val="none" w:sz="0" w:space="0" w:color="auto"/>
                  </w:divBdr>
                  <w:divsChild>
                    <w:div w:id="1490367034">
                      <w:marLeft w:val="0"/>
                      <w:marRight w:val="0"/>
                      <w:marTop w:val="0"/>
                      <w:marBottom w:val="0"/>
                      <w:divBdr>
                        <w:top w:val="none" w:sz="0" w:space="0" w:color="auto"/>
                        <w:left w:val="none" w:sz="0" w:space="0" w:color="auto"/>
                        <w:bottom w:val="none" w:sz="0" w:space="0" w:color="auto"/>
                        <w:right w:val="none" w:sz="0" w:space="0" w:color="auto"/>
                      </w:divBdr>
                    </w:div>
                  </w:divsChild>
                </w:div>
                <w:div w:id="1678850874">
                  <w:marLeft w:val="0"/>
                  <w:marRight w:val="0"/>
                  <w:marTop w:val="0"/>
                  <w:marBottom w:val="0"/>
                  <w:divBdr>
                    <w:top w:val="none" w:sz="0" w:space="0" w:color="auto"/>
                    <w:left w:val="none" w:sz="0" w:space="0" w:color="auto"/>
                    <w:bottom w:val="none" w:sz="0" w:space="0" w:color="auto"/>
                    <w:right w:val="none" w:sz="0" w:space="0" w:color="auto"/>
                  </w:divBdr>
                  <w:divsChild>
                    <w:div w:id="270285053">
                      <w:marLeft w:val="0"/>
                      <w:marRight w:val="0"/>
                      <w:marTop w:val="0"/>
                      <w:marBottom w:val="0"/>
                      <w:divBdr>
                        <w:top w:val="none" w:sz="0" w:space="0" w:color="auto"/>
                        <w:left w:val="none" w:sz="0" w:space="0" w:color="auto"/>
                        <w:bottom w:val="none" w:sz="0" w:space="0" w:color="auto"/>
                        <w:right w:val="none" w:sz="0" w:space="0" w:color="auto"/>
                      </w:divBdr>
                    </w:div>
                  </w:divsChild>
                </w:div>
                <w:div w:id="1680430730">
                  <w:marLeft w:val="0"/>
                  <w:marRight w:val="0"/>
                  <w:marTop w:val="0"/>
                  <w:marBottom w:val="0"/>
                  <w:divBdr>
                    <w:top w:val="none" w:sz="0" w:space="0" w:color="auto"/>
                    <w:left w:val="none" w:sz="0" w:space="0" w:color="auto"/>
                    <w:bottom w:val="none" w:sz="0" w:space="0" w:color="auto"/>
                    <w:right w:val="none" w:sz="0" w:space="0" w:color="auto"/>
                  </w:divBdr>
                  <w:divsChild>
                    <w:div w:id="1948004788">
                      <w:marLeft w:val="0"/>
                      <w:marRight w:val="0"/>
                      <w:marTop w:val="0"/>
                      <w:marBottom w:val="0"/>
                      <w:divBdr>
                        <w:top w:val="none" w:sz="0" w:space="0" w:color="auto"/>
                        <w:left w:val="none" w:sz="0" w:space="0" w:color="auto"/>
                        <w:bottom w:val="none" w:sz="0" w:space="0" w:color="auto"/>
                        <w:right w:val="none" w:sz="0" w:space="0" w:color="auto"/>
                      </w:divBdr>
                    </w:div>
                  </w:divsChild>
                </w:div>
                <w:div w:id="1693070351">
                  <w:marLeft w:val="0"/>
                  <w:marRight w:val="0"/>
                  <w:marTop w:val="0"/>
                  <w:marBottom w:val="0"/>
                  <w:divBdr>
                    <w:top w:val="none" w:sz="0" w:space="0" w:color="auto"/>
                    <w:left w:val="none" w:sz="0" w:space="0" w:color="auto"/>
                    <w:bottom w:val="none" w:sz="0" w:space="0" w:color="auto"/>
                    <w:right w:val="none" w:sz="0" w:space="0" w:color="auto"/>
                  </w:divBdr>
                  <w:divsChild>
                    <w:div w:id="406345897">
                      <w:marLeft w:val="0"/>
                      <w:marRight w:val="0"/>
                      <w:marTop w:val="0"/>
                      <w:marBottom w:val="0"/>
                      <w:divBdr>
                        <w:top w:val="none" w:sz="0" w:space="0" w:color="auto"/>
                        <w:left w:val="none" w:sz="0" w:space="0" w:color="auto"/>
                        <w:bottom w:val="none" w:sz="0" w:space="0" w:color="auto"/>
                        <w:right w:val="none" w:sz="0" w:space="0" w:color="auto"/>
                      </w:divBdr>
                    </w:div>
                  </w:divsChild>
                </w:div>
                <w:div w:id="1711806089">
                  <w:marLeft w:val="0"/>
                  <w:marRight w:val="0"/>
                  <w:marTop w:val="0"/>
                  <w:marBottom w:val="0"/>
                  <w:divBdr>
                    <w:top w:val="none" w:sz="0" w:space="0" w:color="auto"/>
                    <w:left w:val="none" w:sz="0" w:space="0" w:color="auto"/>
                    <w:bottom w:val="none" w:sz="0" w:space="0" w:color="auto"/>
                    <w:right w:val="none" w:sz="0" w:space="0" w:color="auto"/>
                  </w:divBdr>
                  <w:divsChild>
                    <w:div w:id="617833428">
                      <w:marLeft w:val="0"/>
                      <w:marRight w:val="0"/>
                      <w:marTop w:val="0"/>
                      <w:marBottom w:val="0"/>
                      <w:divBdr>
                        <w:top w:val="none" w:sz="0" w:space="0" w:color="auto"/>
                        <w:left w:val="none" w:sz="0" w:space="0" w:color="auto"/>
                        <w:bottom w:val="none" w:sz="0" w:space="0" w:color="auto"/>
                        <w:right w:val="none" w:sz="0" w:space="0" w:color="auto"/>
                      </w:divBdr>
                    </w:div>
                  </w:divsChild>
                </w:div>
                <w:div w:id="1720937629">
                  <w:marLeft w:val="0"/>
                  <w:marRight w:val="0"/>
                  <w:marTop w:val="0"/>
                  <w:marBottom w:val="0"/>
                  <w:divBdr>
                    <w:top w:val="none" w:sz="0" w:space="0" w:color="auto"/>
                    <w:left w:val="none" w:sz="0" w:space="0" w:color="auto"/>
                    <w:bottom w:val="none" w:sz="0" w:space="0" w:color="auto"/>
                    <w:right w:val="none" w:sz="0" w:space="0" w:color="auto"/>
                  </w:divBdr>
                  <w:divsChild>
                    <w:div w:id="47728094">
                      <w:marLeft w:val="0"/>
                      <w:marRight w:val="0"/>
                      <w:marTop w:val="0"/>
                      <w:marBottom w:val="0"/>
                      <w:divBdr>
                        <w:top w:val="none" w:sz="0" w:space="0" w:color="auto"/>
                        <w:left w:val="none" w:sz="0" w:space="0" w:color="auto"/>
                        <w:bottom w:val="none" w:sz="0" w:space="0" w:color="auto"/>
                        <w:right w:val="none" w:sz="0" w:space="0" w:color="auto"/>
                      </w:divBdr>
                    </w:div>
                  </w:divsChild>
                </w:div>
                <w:div w:id="1725369762">
                  <w:marLeft w:val="0"/>
                  <w:marRight w:val="0"/>
                  <w:marTop w:val="0"/>
                  <w:marBottom w:val="0"/>
                  <w:divBdr>
                    <w:top w:val="none" w:sz="0" w:space="0" w:color="auto"/>
                    <w:left w:val="none" w:sz="0" w:space="0" w:color="auto"/>
                    <w:bottom w:val="none" w:sz="0" w:space="0" w:color="auto"/>
                    <w:right w:val="none" w:sz="0" w:space="0" w:color="auto"/>
                  </w:divBdr>
                  <w:divsChild>
                    <w:div w:id="793594858">
                      <w:marLeft w:val="0"/>
                      <w:marRight w:val="0"/>
                      <w:marTop w:val="0"/>
                      <w:marBottom w:val="0"/>
                      <w:divBdr>
                        <w:top w:val="none" w:sz="0" w:space="0" w:color="auto"/>
                        <w:left w:val="none" w:sz="0" w:space="0" w:color="auto"/>
                        <w:bottom w:val="none" w:sz="0" w:space="0" w:color="auto"/>
                        <w:right w:val="none" w:sz="0" w:space="0" w:color="auto"/>
                      </w:divBdr>
                    </w:div>
                  </w:divsChild>
                </w:div>
                <w:div w:id="1737514556">
                  <w:marLeft w:val="0"/>
                  <w:marRight w:val="0"/>
                  <w:marTop w:val="0"/>
                  <w:marBottom w:val="0"/>
                  <w:divBdr>
                    <w:top w:val="none" w:sz="0" w:space="0" w:color="auto"/>
                    <w:left w:val="none" w:sz="0" w:space="0" w:color="auto"/>
                    <w:bottom w:val="none" w:sz="0" w:space="0" w:color="auto"/>
                    <w:right w:val="none" w:sz="0" w:space="0" w:color="auto"/>
                  </w:divBdr>
                  <w:divsChild>
                    <w:div w:id="764688087">
                      <w:marLeft w:val="0"/>
                      <w:marRight w:val="0"/>
                      <w:marTop w:val="0"/>
                      <w:marBottom w:val="0"/>
                      <w:divBdr>
                        <w:top w:val="none" w:sz="0" w:space="0" w:color="auto"/>
                        <w:left w:val="none" w:sz="0" w:space="0" w:color="auto"/>
                        <w:bottom w:val="none" w:sz="0" w:space="0" w:color="auto"/>
                        <w:right w:val="none" w:sz="0" w:space="0" w:color="auto"/>
                      </w:divBdr>
                    </w:div>
                    <w:div w:id="1051686457">
                      <w:marLeft w:val="0"/>
                      <w:marRight w:val="0"/>
                      <w:marTop w:val="0"/>
                      <w:marBottom w:val="0"/>
                      <w:divBdr>
                        <w:top w:val="none" w:sz="0" w:space="0" w:color="auto"/>
                        <w:left w:val="none" w:sz="0" w:space="0" w:color="auto"/>
                        <w:bottom w:val="none" w:sz="0" w:space="0" w:color="auto"/>
                        <w:right w:val="none" w:sz="0" w:space="0" w:color="auto"/>
                      </w:divBdr>
                    </w:div>
                    <w:div w:id="1258951237">
                      <w:marLeft w:val="0"/>
                      <w:marRight w:val="0"/>
                      <w:marTop w:val="0"/>
                      <w:marBottom w:val="0"/>
                      <w:divBdr>
                        <w:top w:val="none" w:sz="0" w:space="0" w:color="auto"/>
                        <w:left w:val="none" w:sz="0" w:space="0" w:color="auto"/>
                        <w:bottom w:val="none" w:sz="0" w:space="0" w:color="auto"/>
                        <w:right w:val="none" w:sz="0" w:space="0" w:color="auto"/>
                      </w:divBdr>
                    </w:div>
                    <w:div w:id="1841774150">
                      <w:marLeft w:val="0"/>
                      <w:marRight w:val="0"/>
                      <w:marTop w:val="0"/>
                      <w:marBottom w:val="0"/>
                      <w:divBdr>
                        <w:top w:val="none" w:sz="0" w:space="0" w:color="auto"/>
                        <w:left w:val="none" w:sz="0" w:space="0" w:color="auto"/>
                        <w:bottom w:val="none" w:sz="0" w:space="0" w:color="auto"/>
                        <w:right w:val="none" w:sz="0" w:space="0" w:color="auto"/>
                      </w:divBdr>
                    </w:div>
                    <w:div w:id="1986665529">
                      <w:marLeft w:val="0"/>
                      <w:marRight w:val="0"/>
                      <w:marTop w:val="0"/>
                      <w:marBottom w:val="0"/>
                      <w:divBdr>
                        <w:top w:val="none" w:sz="0" w:space="0" w:color="auto"/>
                        <w:left w:val="none" w:sz="0" w:space="0" w:color="auto"/>
                        <w:bottom w:val="none" w:sz="0" w:space="0" w:color="auto"/>
                        <w:right w:val="none" w:sz="0" w:space="0" w:color="auto"/>
                      </w:divBdr>
                    </w:div>
                  </w:divsChild>
                </w:div>
                <w:div w:id="1743942230">
                  <w:marLeft w:val="0"/>
                  <w:marRight w:val="0"/>
                  <w:marTop w:val="0"/>
                  <w:marBottom w:val="0"/>
                  <w:divBdr>
                    <w:top w:val="none" w:sz="0" w:space="0" w:color="auto"/>
                    <w:left w:val="none" w:sz="0" w:space="0" w:color="auto"/>
                    <w:bottom w:val="none" w:sz="0" w:space="0" w:color="auto"/>
                    <w:right w:val="none" w:sz="0" w:space="0" w:color="auto"/>
                  </w:divBdr>
                  <w:divsChild>
                    <w:div w:id="1663465376">
                      <w:marLeft w:val="0"/>
                      <w:marRight w:val="0"/>
                      <w:marTop w:val="0"/>
                      <w:marBottom w:val="0"/>
                      <w:divBdr>
                        <w:top w:val="none" w:sz="0" w:space="0" w:color="auto"/>
                        <w:left w:val="none" w:sz="0" w:space="0" w:color="auto"/>
                        <w:bottom w:val="none" w:sz="0" w:space="0" w:color="auto"/>
                        <w:right w:val="none" w:sz="0" w:space="0" w:color="auto"/>
                      </w:divBdr>
                    </w:div>
                  </w:divsChild>
                </w:div>
                <w:div w:id="1747417462">
                  <w:marLeft w:val="0"/>
                  <w:marRight w:val="0"/>
                  <w:marTop w:val="0"/>
                  <w:marBottom w:val="0"/>
                  <w:divBdr>
                    <w:top w:val="none" w:sz="0" w:space="0" w:color="auto"/>
                    <w:left w:val="none" w:sz="0" w:space="0" w:color="auto"/>
                    <w:bottom w:val="none" w:sz="0" w:space="0" w:color="auto"/>
                    <w:right w:val="none" w:sz="0" w:space="0" w:color="auto"/>
                  </w:divBdr>
                  <w:divsChild>
                    <w:div w:id="1491025013">
                      <w:marLeft w:val="0"/>
                      <w:marRight w:val="0"/>
                      <w:marTop w:val="0"/>
                      <w:marBottom w:val="0"/>
                      <w:divBdr>
                        <w:top w:val="none" w:sz="0" w:space="0" w:color="auto"/>
                        <w:left w:val="none" w:sz="0" w:space="0" w:color="auto"/>
                        <w:bottom w:val="none" w:sz="0" w:space="0" w:color="auto"/>
                        <w:right w:val="none" w:sz="0" w:space="0" w:color="auto"/>
                      </w:divBdr>
                    </w:div>
                  </w:divsChild>
                </w:div>
                <w:div w:id="1763259896">
                  <w:marLeft w:val="0"/>
                  <w:marRight w:val="0"/>
                  <w:marTop w:val="0"/>
                  <w:marBottom w:val="0"/>
                  <w:divBdr>
                    <w:top w:val="none" w:sz="0" w:space="0" w:color="auto"/>
                    <w:left w:val="none" w:sz="0" w:space="0" w:color="auto"/>
                    <w:bottom w:val="none" w:sz="0" w:space="0" w:color="auto"/>
                    <w:right w:val="none" w:sz="0" w:space="0" w:color="auto"/>
                  </w:divBdr>
                  <w:divsChild>
                    <w:div w:id="1984773961">
                      <w:marLeft w:val="0"/>
                      <w:marRight w:val="0"/>
                      <w:marTop w:val="0"/>
                      <w:marBottom w:val="0"/>
                      <w:divBdr>
                        <w:top w:val="none" w:sz="0" w:space="0" w:color="auto"/>
                        <w:left w:val="none" w:sz="0" w:space="0" w:color="auto"/>
                        <w:bottom w:val="none" w:sz="0" w:space="0" w:color="auto"/>
                        <w:right w:val="none" w:sz="0" w:space="0" w:color="auto"/>
                      </w:divBdr>
                    </w:div>
                  </w:divsChild>
                </w:div>
                <w:div w:id="1780485509">
                  <w:marLeft w:val="0"/>
                  <w:marRight w:val="0"/>
                  <w:marTop w:val="0"/>
                  <w:marBottom w:val="0"/>
                  <w:divBdr>
                    <w:top w:val="none" w:sz="0" w:space="0" w:color="auto"/>
                    <w:left w:val="none" w:sz="0" w:space="0" w:color="auto"/>
                    <w:bottom w:val="none" w:sz="0" w:space="0" w:color="auto"/>
                    <w:right w:val="none" w:sz="0" w:space="0" w:color="auto"/>
                  </w:divBdr>
                  <w:divsChild>
                    <w:div w:id="576015385">
                      <w:marLeft w:val="0"/>
                      <w:marRight w:val="0"/>
                      <w:marTop w:val="0"/>
                      <w:marBottom w:val="0"/>
                      <w:divBdr>
                        <w:top w:val="none" w:sz="0" w:space="0" w:color="auto"/>
                        <w:left w:val="none" w:sz="0" w:space="0" w:color="auto"/>
                        <w:bottom w:val="none" w:sz="0" w:space="0" w:color="auto"/>
                        <w:right w:val="none" w:sz="0" w:space="0" w:color="auto"/>
                      </w:divBdr>
                    </w:div>
                  </w:divsChild>
                </w:div>
                <w:div w:id="1818106158">
                  <w:marLeft w:val="0"/>
                  <w:marRight w:val="0"/>
                  <w:marTop w:val="0"/>
                  <w:marBottom w:val="0"/>
                  <w:divBdr>
                    <w:top w:val="none" w:sz="0" w:space="0" w:color="auto"/>
                    <w:left w:val="none" w:sz="0" w:space="0" w:color="auto"/>
                    <w:bottom w:val="none" w:sz="0" w:space="0" w:color="auto"/>
                    <w:right w:val="none" w:sz="0" w:space="0" w:color="auto"/>
                  </w:divBdr>
                  <w:divsChild>
                    <w:div w:id="733965137">
                      <w:marLeft w:val="0"/>
                      <w:marRight w:val="0"/>
                      <w:marTop w:val="0"/>
                      <w:marBottom w:val="0"/>
                      <w:divBdr>
                        <w:top w:val="none" w:sz="0" w:space="0" w:color="auto"/>
                        <w:left w:val="none" w:sz="0" w:space="0" w:color="auto"/>
                        <w:bottom w:val="none" w:sz="0" w:space="0" w:color="auto"/>
                        <w:right w:val="none" w:sz="0" w:space="0" w:color="auto"/>
                      </w:divBdr>
                    </w:div>
                    <w:div w:id="1023022364">
                      <w:marLeft w:val="0"/>
                      <w:marRight w:val="0"/>
                      <w:marTop w:val="0"/>
                      <w:marBottom w:val="0"/>
                      <w:divBdr>
                        <w:top w:val="none" w:sz="0" w:space="0" w:color="auto"/>
                        <w:left w:val="none" w:sz="0" w:space="0" w:color="auto"/>
                        <w:bottom w:val="none" w:sz="0" w:space="0" w:color="auto"/>
                        <w:right w:val="none" w:sz="0" w:space="0" w:color="auto"/>
                      </w:divBdr>
                    </w:div>
                  </w:divsChild>
                </w:div>
                <w:div w:id="1823736621">
                  <w:marLeft w:val="0"/>
                  <w:marRight w:val="0"/>
                  <w:marTop w:val="0"/>
                  <w:marBottom w:val="0"/>
                  <w:divBdr>
                    <w:top w:val="none" w:sz="0" w:space="0" w:color="auto"/>
                    <w:left w:val="none" w:sz="0" w:space="0" w:color="auto"/>
                    <w:bottom w:val="none" w:sz="0" w:space="0" w:color="auto"/>
                    <w:right w:val="none" w:sz="0" w:space="0" w:color="auto"/>
                  </w:divBdr>
                  <w:divsChild>
                    <w:div w:id="1265649248">
                      <w:marLeft w:val="0"/>
                      <w:marRight w:val="0"/>
                      <w:marTop w:val="0"/>
                      <w:marBottom w:val="0"/>
                      <w:divBdr>
                        <w:top w:val="none" w:sz="0" w:space="0" w:color="auto"/>
                        <w:left w:val="none" w:sz="0" w:space="0" w:color="auto"/>
                        <w:bottom w:val="none" w:sz="0" w:space="0" w:color="auto"/>
                        <w:right w:val="none" w:sz="0" w:space="0" w:color="auto"/>
                      </w:divBdr>
                    </w:div>
                  </w:divsChild>
                </w:div>
                <w:div w:id="1846355276">
                  <w:marLeft w:val="0"/>
                  <w:marRight w:val="0"/>
                  <w:marTop w:val="0"/>
                  <w:marBottom w:val="0"/>
                  <w:divBdr>
                    <w:top w:val="none" w:sz="0" w:space="0" w:color="auto"/>
                    <w:left w:val="none" w:sz="0" w:space="0" w:color="auto"/>
                    <w:bottom w:val="none" w:sz="0" w:space="0" w:color="auto"/>
                    <w:right w:val="none" w:sz="0" w:space="0" w:color="auto"/>
                  </w:divBdr>
                  <w:divsChild>
                    <w:div w:id="1356616752">
                      <w:marLeft w:val="0"/>
                      <w:marRight w:val="0"/>
                      <w:marTop w:val="0"/>
                      <w:marBottom w:val="0"/>
                      <w:divBdr>
                        <w:top w:val="none" w:sz="0" w:space="0" w:color="auto"/>
                        <w:left w:val="none" w:sz="0" w:space="0" w:color="auto"/>
                        <w:bottom w:val="none" w:sz="0" w:space="0" w:color="auto"/>
                        <w:right w:val="none" w:sz="0" w:space="0" w:color="auto"/>
                      </w:divBdr>
                    </w:div>
                    <w:div w:id="1509639836">
                      <w:marLeft w:val="0"/>
                      <w:marRight w:val="0"/>
                      <w:marTop w:val="0"/>
                      <w:marBottom w:val="0"/>
                      <w:divBdr>
                        <w:top w:val="none" w:sz="0" w:space="0" w:color="auto"/>
                        <w:left w:val="none" w:sz="0" w:space="0" w:color="auto"/>
                        <w:bottom w:val="none" w:sz="0" w:space="0" w:color="auto"/>
                        <w:right w:val="none" w:sz="0" w:space="0" w:color="auto"/>
                      </w:divBdr>
                    </w:div>
                  </w:divsChild>
                </w:div>
                <w:div w:id="1851334114">
                  <w:marLeft w:val="0"/>
                  <w:marRight w:val="0"/>
                  <w:marTop w:val="0"/>
                  <w:marBottom w:val="0"/>
                  <w:divBdr>
                    <w:top w:val="none" w:sz="0" w:space="0" w:color="auto"/>
                    <w:left w:val="none" w:sz="0" w:space="0" w:color="auto"/>
                    <w:bottom w:val="none" w:sz="0" w:space="0" w:color="auto"/>
                    <w:right w:val="none" w:sz="0" w:space="0" w:color="auto"/>
                  </w:divBdr>
                  <w:divsChild>
                    <w:div w:id="404886452">
                      <w:marLeft w:val="0"/>
                      <w:marRight w:val="0"/>
                      <w:marTop w:val="0"/>
                      <w:marBottom w:val="0"/>
                      <w:divBdr>
                        <w:top w:val="none" w:sz="0" w:space="0" w:color="auto"/>
                        <w:left w:val="none" w:sz="0" w:space="0" w:color="auto"/>
                        <w:bottom w:val="none" w:sz="0" w:space="0" w:color="auto"/>
                        <w:right w:val="none" w:sz="0" w:space="0" w:color="auto"/>
                      </w:divBdr>
                    </w:div>
                  </w:divsChild>
                </w:div>
                <w:div w:id="1862350821">
                  <w:marLeft w:val="0"/>
                  <w:marRight w:val="0"/>
                  <w:marTop w:val="0"/>
                  <w:marBottom w:val="0"/>
                  <w:divBdr>
                    <w:top w:val="none" w:sz="0" w:space="0" w:color="auto"/>
                    <w:left w:val="none" w:sz="0" w:space="0" w:color="auto"/>
                    <w:bottom w:val="none" w:sz="0" w:space="0" w:color="auto"/>
                    <w:right w:val="none" w:sz="0" w:space="0" w:color="auto"/>
                  </w:divBdr>
                  <w:divsChild>
                    <w:div w:id="1694182709">
                      <w:marLeft w:val="0"/>
                      <w:marRight w:val="0"/>
                      <w:marTop w:val="0"/>
                      <w:marBottom w:val="0"/>
                      <w:divBdr>
                        <w:top w:val="none" w:sz="0" w:space="0" w:color="auto"/>
                        <w:left w:val="none" w:sz="0" w:space="0" w:color="auto"/>
                        <w:bottom w:val="none" w:sz="0" w:space="0" w:color="auto"/>
                        <w:right w:val="none" w:sz="0" w:space="0" w:color="auto"/>
                      </w:divBdr>
                    </w:div>
                  </w:divsChild>
                </w:div>
                <w:div w:id="1872764731">
                  <w:marLeft w:val="0"/>
                  <w:marRight w:val="0"/>
                  <w:marTop w:val="0"/>
                  <w:marBottom w:val="0"/>
                  <w:divBdr>
                    <w:top w:val="none" w:sz="0" w:space="0" w:color="auto"/>
                    <w:left w:val="none" w:sz="0" w:space="0" w:color="auto"/>
                    <w:bottom w:val="none" w:sz="0" w:space="0" w:color="auto"/>
                    <w:right w:val="none" w:sz="0" w:space="0" w:color="auto"/>
                  </w:divBdr>
                  <w:divsChild>
                    <w:div w:id="2127187980">
                      <w:marLeft w:val="0"/>
                      <w:marRight w:val="0"/>
                      <w:marTop w:val="0"/>
                      <w:marBottom w:val="0"/>
                      <w:divBdr>
                        <w:top w:val="none" w:sz="0" w:space="0" w:color="auto"/>
                        <w:left w:val="none" w:sz="0" w:space="0" w:color="auto"/>
                        <w:bottom w:val="none" w:sz="0" w:space="0" w:color="auto"/>
                        <w:right w:val="none" w:sz="0" w:space="0" w:color="auto"/>
                      </w:divBdr>
                    </w:div>
                  </w:divsChild>
                </w:div>
                <w:div w:id="1875842302">
                  <w:marLeft w:val="0"/>
                  <w:marRight w:val="0"/>
                  <w:marTop w:val="0"/>
                  <w:marBottom w:val="0"/>
                  <w:divBdr>
                    <w:top w:val="none" w:sz="0" w:space="0" w:color="auto"/>
                    <w:left w:val="none" w:sz="0" w:space="0" w:color="auto"/>
                    <w:bottom w:val="none" w:sz="0" w:space="0" w:color="auto"/>
                    <w:right w:val="none" w:sz="0" w:space="0" w:color="auto"/>
                  </w:divBdr>
                  <w:divsChild>
                    <w:div w:id="1221985747">
                      <w:marLeft w:val="0"/>
                      <w:marRight w:val="0"/>
                      <w:marTop w:val="0"/>
                      <w:marBottom w:val="0"/>
                      <w:divBdr>
                        <w:top w:val="none" w:sz="0" w:space="0" w:color="auto"/>
                        <w:left w:val="none" w:sz="0" w:space="0" w:color="auto"/>
                        <w:bottom w:val="none" w:sz="0" w:space="0" w:color="auto"/>
                        <w:right w:val="none" w:sz="0" w:space="0" w:color="auto"/>
                      </w:divBdr>
                    </w:div>
                  </w:divsChild>
                </w:div>
                <w:div w:id="1877423064">
                  <w:marLeft w:val="0"/>
                  <w:marRight w:val="0"/>
                  <w:marTop w:val="0"/>
                  <w:marBottom w:val="0"/>
                  <w:divBdr>
                    <w:top w:val="none" w:sz="0" w:space="0" w:color="auto"/>
                    <w:left w:val="none" w:sz="0" w:space="0" w:color="auto"/>
                    <w:bottom w:val="none" w:sz="0" w:space="0" w:color="auto"/>
                    <w:right w:val="none" w:sz="0" w:space="0" w:color="auto"/>
                  </w:divBdr>
                  <w:divsChild>
                    <w:div w:id="1514689735">
                      <w:marLeft w:val="0"/>
                      <w:marRight w:val="0"/>
                      <w:marTop w:val="0"/>
                      <w:marBottom w:val="0"/>
                      <w:divBdr>
                        <w:top w:val="none" w:sz="0" w:space="0" w:color="auto"/>
                        <w:left w:val="none" w:sz="0" w:space="0" w:color="auto"/>
                        <w:bottom w:val="none" w:sz="0" w:space="0" w:color="auto"/>
                        <w:right w:val="none" w:sz="0" w:space="0" w:color="auto"/>
                      </w:divBdr>
                    </w:div>
                  </w:divsChild>
                </w:div>
                <w:div w:id="1878345960">
                  <w:marLeft w:val="0"/>
                  <w:marRight w:val="0"/>
                  <w:marTop w:val="0"/>
                  <w:marBottom w:val="0"/>
                  <w:divBdr>
                    <w:top w:val="none" w:sz="0" w:space="0" w:color="auto"/>
                    <w:left w:val="none" w:sz="0" w:space="0" w:color="auto"/>
                    <w:bottom w:val="none" w:sz="0" w:space="0" w:color="auto"/>
                    <w:right w:val="none" w:sz="0" w:space="0" w:color="auto"/>
                  </w:divBdr>
                  <w:divsChild>
                    <w:div w:id="1388142218">
                      <w:marLeft w:val="0"/>
                      <w:marRight w:val="0"/>
                      <w:marTop w:val="0"/>
                      <w:marBottom w:val="0"/>
                      <w:divBdr>
                        <w:top w:val="none" w:sz="0" w:space="0" w:color="auto"/>
                        <w:left w:val="none" w:sz="0" w:space="0" w:color="auto"/>
                        <w:bottom w:val="none" w:sz="0" w:space="0" w:color="auto"/>
                        <w:right w:val="none" w:sz="0" w:space="0" w:color="auto"/>
                      </w:divBdr>
                    </w:div>
                  </w:divsChild>
                </w:div>
                <w:div w:id="1881047028">
                  <w:marLeft w:val="0"/>
                  <w:marRight w:val="0"/>
                  <w:marTop w:val="0"/>
                  <w:marBottom w:val="0"/>
                  <w:divBdr>
                    <w:top w:val="none" w:sz="0" w:space="0" w:color="auto"/>
                    <w:left w:val="none" w:sz="0" w:space="0" w:color="auto"/>
                    <w:bottom w:val="none" w:sz="0" w:space="0" w:color="auto"/>
                    <w:right w:val="none" w:sz="0" w:space="0" w:color="auto"/>
                  </w:divBdr>
                  <w:divsChild>
                    <w:div w:id="1481072256">
                      <w:marLeft w:val="0"/>
                      <w:marRight w:val="0"/>
                      <w:marTop w:val="0"/>
                      <w:marBottom w:val="0"/>
                      <w:divBdr>
                        <w:top w:val="none" w:sz="0" w:space="0" w:color="auto"/>
                        <w:left w:val="none" w:sz="0" w:space="0" w:color="auto"/>
                        <w:bottom w:val="none" w:sz="0" w:space="0" w:color="auto"/>
                        <w:right w:val="none" w:sz="0" w:space="0" w:color="auto"/>
                      </w:divBdr>
                    </w:div>
                  </w:divsChild>
                </w:div>
                <w:div w:id="1895432900">
                  <w:marLeft w:val="0"/>
                  <w:marRight w:val="0"/>
                  <w:marTop w:val="0"/>
                  <w:marBottom w:val="0"/>
                  <w:divBdr>
                    <w:top w:val="none" w:sz="0" w:space="0" w:color="auto"/>
                    <w:left w:val="none" w:sz="0" w:space="0" w:color="auto"/>
                    <w:bottom w:val="none" w:sz="0" w:space="0" w:color="auto"/>
                    <w:right w:val="none" w:sz="0" w:space="0" w:color="auto"/>
                  </w:divBdr>
                  <w:divsChild>
                    <w:div w:id="6946959">
                      <w:marLeft w:val="0"/>
                      <w:marRight w:val="0"/>
                      <w:marTop w:val="0"/>
                      <w:marBottom w:val="0"/>
                      <w:divBdr>
                        <w:top w:val="none" w:sz="0" w:space="0" w:color="auto"/>
                        <w:left w:val="none" w:sz="0" w:space="0" w:color="auto"/>
                        <w:bottom w:val="none" w:sz="0" w:space="0" w:color="auto"/>
                        <w:right w:val="none" w:sz="0" w:space="0" w:color="auto"/>
                      </w:divBdr>
                    </w:div>
                  </w:divsChild>
                </w:div>
                <w:div w:id="1895964083">
                  <w:marLeft w:val="0"/>
                  <w:marRight w:val="0"/>
                  <w:marTop w:val="0"/>
                  <w:marBottom w:val="0"/>
                  <w:divBdr>
                    <w:top w:val="none" w:sz="0" w:space="0" w:color="auto"/>
                    <w:left w:val="none" w:sz="0" w:space="0" w:color="auto"/>
                    <w:bottom w:val="none" w:sz="0" w:space="0" w:color="auto"/>
                    <w:right w:val="none" w:sz="0" w:space="0" w:color="auto"/>
                  </w:divBdr>
                  <w:divsChild>
                    <w:div w:id="975836268">
                      <w:marLeft w:val="0"/>
                      <w:marRight w:val="0"/>
                      <w:marTop w:val="0"/>
                      <w:marBottom w:val="0"/>
                      <w:divBdr>
                        <w:top w:val="none" w:sz="0" w:space="0" w:color="auto"/>
                        <w:left w:val="none" w:sz="0" w:space="0" w:color="auto"/>
                        <w:bottom w:val="none" w:sz="0" w:space="0" w:color="auto"/>
                        <w:right w:val="none" w:sz="0" w:space="0" w:color="auto"/>
                      </w:divBdr>
                    </w:div>
                  </w:divsChild>
                </w:div>
                <w:div w:id="1915970778">
                  <w:marLeft w:val="0"/>
                  <w:marRight w:val="0"/>
                  <w:marTop w:val="0"/>
                  <w:marBottom w:val="0"/>
                  <w:divBdr>
                    <w:top w:val="none" w:sz="0" w:space="0" w:color="auto"/>
                    <w:left w:val="none" w:sz="0" w:space="0" w:color="auto"/>
                    <w:bottom w:val="none" w:sz="0" w:space="0" w:color="auto"/>
                    <w:right w:val="none" w:sz="0" w:space="0" w:color="auto"/>
                  </w:divBdr>
                  <w:divsChild>
                    <w:div w:id="488517588">
                      <w:marLeft w:val="0"/>
                      <w:marRight w:val="0"/>
                      <w:marTop w:val="0"/>
                      <w:marBottom w:val="0"/>
                      <w:divBdr>
                        <w:top w:val="none" w:sz="0" w:space="0" w:color="auto"/>
                        <w:left w:val="none" w:sz="0" w:space="0" w:color="auto"/>
                        <w:bottom w:val="none" w:sz="0" w:space="0" w:color="auto"/>
                        <w:right w:val="none" w:sz="0" w:space="0" w:color="auto"/>
                      </w:divBdr>
                    </w:div>
                    <w:div w:id="1920171895">
                      <w:marLeft w:val="0"/>
                      <w:marRight w:val="0"/>
                      <w:marTop w:val="0"/>
                      <w:marBottom w:val="0"/>
                      <w:divBdr>
                        <w:top w:val="none" w:sz="0" w:space="0" w:color="auto"/>
                        <w:left w:val="none" w:sz="0" w:space="0" w:color="auto"/>
                        <w:bottom w:val="none" w:sz="0" w:space="0" w:color="auto"/>
                        <w:right w:val="none" w:sz="0" w:space="0" w:color="auto"/>
                      </w:divBdr>
                    </w:div>
                  </w:divsChild>
                </w:div>
                <w:div w:id="1920628103">
                  <w:marLeft w:val="0"/>
                  <w:marRight w:val="0"/>
                  <w:marTop w:val="0"/>
                  <w:marBottom w:val="0"/>
                  <w:divBdr>
                    <w:top w:val="none" w:sz="0" w:space="0" w:color="auto"/>
                    <w:left w:val="none" w:sz="0" w:space="0" w:color="auto"/>
                    <w:bottom w:val="none" w:sz="0" w:space="0" w:color="auto"/>
                    <w:right w:val="none" w:sz="0" w:space="0" w:color="auto"/>
                  </w:divBdr>
                  <w:divsChild>
                    <w:div w:id="1863494">
                      <w:marLeft w:val="0"/>
                      <w:marRight w:val="0"/>
                      <w:marTop w:val="0"/>
                      <w:marBottom w:val="0"/>
                      <w:divBdr>
                        <w:top w:val="none" w:sz="0" w:space="0" w:color="auto"/>
                        <w:left w:val="none" w:sz="0" w:space="0" w:color="auto"/>
                        <w:bottom w:val="none" w:sz="0" w:space="0" w:color="auto"/>
                        <w:right w:val="none" w:sz="0" w:space="0" w:color="auto"/>
                      </w:divBdr>
                    </w:div>
                  </w:divsChild>
                </w:div>
                <w:div w:id="1920946634">
                  <w:marLeft w:val="0"/>
                  <w:marRight w:val="0"/>
                  <w:marTop w:val="0"/>
                  <w:marBottom w:val="0"/>
                  <w:divBdr>
                    <w:top w:val="none" w:sz="0" w:space="0" w:color="auto"/>
                    <w:left w:val="none" w:sz="0" w:space="0" w:color="auto"/>
                    <w:bottom w:val="none" w:sz="0" w:space="0" w:color="auto"/>
                    <w:right w:val="none" w:sz="0" w:space="0" w:color="auto"/>
                  </w:divBdr>
                  <w:divsChild>
                    <w:div w:id="245043075">
                      <w:marLeft w:val="0"/>
                      <w:marRight w:val="0"/>
                      <w:marTop w:val="0"/>
                      <w:marBottom w:val="0"/>
                      <w:divBdr>
                        <w:top w:val="none" w:sz="0" w:space="0" w:color="auto"/>
                        <w:left w:val="none" w:sz="0" w:space="0" w:color="auto"/>
                        <w:bottom w:val="none" w:sz="0" w:space="0" w:color="auto"/>
                        <w:right w:val="none" w:sz="0" w:space="0" w:color="auto"/>
                      </w:divBdr>
                    </w:div>
                    <w:div w:id="669717849">
                      <w:marLeft w:val="0"/>
                      <w:marRight w:val="0"/>
                      <w:marTop w:val="0"/>
                      <w:marBottom w:val="0"/>
                      <w:divBdr>
                        <w:top w:val="none" w:sz="0" w:space="0" w:color="auto"/>
                        <w:left w:val="none" w:sz="0" w:space="0" w:color="auto"/>
                        <w:bottom w:val="none" w:sz="0" w:space="0" w:color="auto"/>
                        <w:right w:val="none" w:sz="0" w:space="0" w:color="auto"/>
                      </w:divBdr>
                    </w:div>
                    <w:div w:id="1869367507">
                      <w:marLeft w:val="0"/>
                      <w:marRight w:val="0"/>
                      <w:marTop w:val="0"/>
                      <w:marBottom w:val="0"/>
                      <w:divBdr>
                        <w:top w:val="none" w:sz="0" w:space="0" w:color="auto"/>
                        <w:left w:val="none" w:sz="0" w:space="0" w:color="auto"/>
                        <w:bottom w:val="none" w:sz="0" w:space="0" w:color="auto"/>
                        <w:right w:val="none" w:sz="0" w:space="0" w:color="auto"/>
                      </w:divBdr>
                    </w:div>
                  </w:divsChild>
                </w:div>
                <w:div w:id="1938978533">
                  <w:marLeft w:val="0"/>
                  <w:marRight w:val="0"/>
                  <w:marTop w:val="0"/>
                  <w:marBottom w:val="0"/>
                  <w:divBdr>
                    <w:top w:val="none" w:sz="0" w:space="0" w:color="auto"/>
                    <w:left w:val="none" w:sz="0" w:space="0" w:color="auto"/>
                    <w:bottom w:val="none" w:sz="0" w:space="0" w:color="auto"/>
                    <w:right w:val="none" w:sz="0" w:space="0" w:color="auto"/>
                  </w:divBdr>
                  <w:divsChild>
                    <w:div w:id="1470971241">
                      <w:marLeft w:val="0"/>
                      <w:marRight w:val="0"/>
                      <w:marTop w:val="0"/>
                      <w:marBottom w:val="0"/>
                      <w:divBdr>
                        <w:top w:val="none" w:sz="0" w:space="0" w:color="auto"/>
                        <w:left w:val="none" w:sz="0" w:space="0" w:color="auto"/>
                        <w:bottom w:val="none" w:sz="0" w:space="0" w:color="auto"/>
                        <w:right w:val="none" w:sz="0" w:space="0" w:color="auto"/>
                      </w:divBdr>
                    </w:div>
                  </w:divsChild>
                </w:div>
                <w:div w:id="1942639754">
                  <w:marLeft w:val="0"/>
                  <w:marRight w:val="0"/>
                  <w:marTop w:val="0"/>
                  <w:marBottom w:val="0"/>
                  <w:divBdr>
                    <w:top w:val="none" w:sz="0" w:space="0" w:color="auto"/>
                    <w:left w:val="none" w:sz="0" w:space="0" w:color="auto"/>
                    <w:bottom w:val="none" w:sz="0" w:space="0" w:color="auto"/>
                    <w:right w:val="none" w:sz="0" w:space="0" w:color="auto"/>
                  </w:divBdr>
                  <w:divsChild>
                    <w:div w:id="1909340714">
                      <w:marLeft w:val="0"/>
                      <w:marRight w:val="0"/>
                      <w:marTop w:val="0"/>
                      <w:marBottom w:val="0"/>
                      <w:divBdr>
                        <w:top w:val="none" w:sz="0" w:space="0" w:color="auto"/>
                        <w:left w:val="none" w:sz="0" w:space="0" w:color="auto"/>
                        <w:bottom w:val="none" w:sz="0" w:space="0" w:color="auto"/>
                        <w:right w:val="none" w:sz="0" w:space="0" w:color="auto"/>
                      </w:divBdr>
                    </w:div>
                  </w:divsChild>
                </w:div>
                <w:div w:id="1978296402">
                  <w:marLeft w:val="0"/>
                  <w:marRight w:val="0"/>
                  <w:marTop w:val="0"/>
                  <w:marBottom w:val="0"/>
                  <w:divBdr>
                    <w:top w:val="none" w:sz="0" w:space="0" w:color="auto"/>
                    <w:left w:val="none" w:sz="0" w:space="0" w:color="auto"/>
                    <w:bottom w:val="none" w:sz="0" w:space="0" w:color="auto"/>
                    <w:right w:val="none" w:sz="0" w:space="0" w:color="auto"/>
                  </w:divBdr>
                  <w:divsChild>
                    <w:div w:id="1931161256">
                      <w:marLeft w:val="0"/>
                      <w:marRight w:val="0"/>
                      <w:marTop w:val="0"/>
                      <w:marBottom w:val="0"/>
                      <w:divBdr>
                        <w:top w:val="none" w:sz="0" w:space="0" w:color="auto"/>
                        <w:left w:val="none" w:sz="0" w:space="0" w:color="auto"/>
                        <w:bottom w:val="none" w:sz="0" w:space="0" w:color="auto"/>
                        <w:right w:val="none" w:sz="0" w:space="0" w:color="auto"/>
                      </w:divBdr>
                    </w:div>
                  </w:divsChild>
                </w:div>
                <w:div w:id="1998456730">
                  <w:marLeft w:val="0"/>
                  <w:marRight w:val="0"/>
                  <w:marTop w:val="0"/>
                  <w:marBottom w:val="0"/>
                  <w:divBdr>
                    <w:top w:val="none" w:sz="0" w:space="0" w:color="auto"/>
                    <w:left w:val="none" w:sz="0" w:space="0" w:color="auto"/>
                    <w:bottom w:val="none" w:sz="0" w:space="0" w:color="auto"/>
                    <w:right w:val="none" w:sz="0" w:space="0" w:color="auto"/>
                  </w:divBdr>
                  <w:divsChild>
                    <w:div w:id="1272858295">
                      <w:marLeft w:val="0"/>
                      <w:marRight w:val="0"/>
                      <w:marTop w:val="0"/>
                      <w:marBottom w:val="0"/>
                      <w:divBdr>
                        <w:top w:val="none" w:sz="0" w:space="0" w:color="auto"/>
                        <w:left w:val="none" w:sz="0" w:space="0" w:color="auto"/>
                        <w:bottom w:val="none" w:sz="0" w:space="0" w:color="auto"/>
                        <w:right w:val="none" w:sz="0" w:space="0" w:color="auto"/>
                      </w:divBdr>
                    </w:div>
                  </w:divsChild>
                </w:div>
                <w:div w:id="2004627364">
                  <w:marLeft w:val="0"/>
                  <w:marRight w:val="0"/>
                  <w:marTop w:val="0"/>
                  <w:marBottom w:val="0"/>
                  <w:divBdr>
                    <w:top w:val="none" w:sz="0" w:space="0" w:color="auto"/>
                    <w:left w:val="none" w:sz="0" w:space="0" w:color="auto"/>
                    <w:bottom w:val="none" w:sz="0" w:space="0" w:color="auto"/>
                    <w:right w:val="none" w:sz="0" w:space="0" w:color="auto"/>
                  </w:divBdr>
                  <w:divsChild>
                    <w:div w:id="880284216">
                      <w:marLeft w:val="0"/>
                      <w:marRight w:val="0"/>
                      <w:marTop w:val="0"/>
                      <w:marBottom w:val="0"/>
                      <w:divBdr>
                        <w:top w:val="none" w:sz="0" w:space="0" w:color="auto"/>
                        <w:left w:val="none" w:sz="0" w:space="0" w:color="auto"/>
                        <w:bottom w:val="none" w:sz="0" w:space="0" w:color="auto"/>
                        <w:right w:val="none" w:sz="0" w:space="0" w:color="auto"/>
                      </w:divBdr>
                    </w:div>
                  </w:divsChild>
                </w:div>
                <w:div w:id="2005820454">
                  <w:marLeft w:val="0"/>
                  <w:marRight w:val="0"/>
                  <w:marTop w:val="0"/>
                  <w:marBottom w:val="0"/>
                  <w:divBdr>
                    <w:top w:val="none" w:sz="0" w:space="0" w:color="auto"/>
                    <w:left w:val="none" w:sz="0" w:space="0" w:color="auto"/>
                    <w:bottom w:val="none" w:sz="0" w:space="0" w:color="auto"/>
                    <w:right w:val="none" w:sz="0" w:space="0" w:color="auto"/>
                  </w:divBdr>
                  <w:divsChild>
                    <w:div w:id="1789085804">
                      <w:marLeft w:val="0"/>
                      <w:marRight w:val="0"/>
                      <w:marTop w:val="0"/>
                      <w:marBottom w:val="0"/>
                      <w:divBdr>
                        <w:top w:val="none" w:sz="0" w:space="0" w:color="auto"/>
                        <w:left w:val="none" w:sz="0" w:space="0" w:color="auto"/>
                        <w:bottom w:val="none" w:sz="0" w:space="0" w:color="auto"/>
                        <w:right w:val="none" w:sz="0" w:space="0" w:color="auto"/>
                      </w:divBdr>
                    </w:div>
                  </w:divsChild>
                </w:div>
                <w:div w:id="2008557592">
                  <w:marLeft w:val="0"/>
                  <w:marRight w:val="0"/>
                  <w:marTop w:val="0"/>
                  <w:marBottom w:val="0"/>
                  <w:divBdr>
                    <w:top w:val="none" w:sz="0" w:space="0" w:color="auto"/>
                    <w:left w:val="none" w:sz="0" w:space="0" w:color="auto"/>
                    <w:bottom w:val="none" w:sz="0" w:space="0" w:color="auto"/>
                    <w:right w:val="none" w:sz="0" w:space="0" w:color="auto"/>
                  </w:divBdr>
                  <w:divsChild>
                    <w:div w:id="132842055">
                      <w:marLeft w:val="0"/>
                      <w:marRight w:val="0"/>
                      <w:marTop w:val="0"/>
                      <w:marBottom w:val="0"/>
                      <w:divBdr>
                        <w:top w:val="none" w:sz="0" w:space="0" w:color="auto"/>
                        <w:left w:val="none" w:sz="0" w:space="0" w:color="auto"/>
                        <w:bottom w:val="none" w:sz="0" w:space="0" w:color="auto"/>
                        <w:right w:val="none" w:sz="0" w:space="0" w:color="auto"/>
                      </w:divBdr>
                    </w:div>
                  </w:divsChild>
                </w:div>
                <w:div w:id="2012950347">
                  <w:marLeft w:val="0"/>
                  <w:marRight w:val="0"/>
                  <w:marTop w:val="0"/>
                  <w:marBottom w:val="0"/>
                  <w:divBdr>
                    <w:top w:val="none" w:sz="0" w:space="0" w:color="auto"/>
                    <w:left w:val="none" w:sz="0" w:space="0" w:color="auto"/>
                    <w:bottom w:val="none" w:sz="0" w:space="0" w:color="auto"/>
                    <w:right w:val="none" w:sz="0" w:space="0" w:color="auto"/>
                  </w:divBdr>
                  <w:divsChild>
                    <w:div w:id="1465847852">
                      <w:marLeft w:val="0"/>
                      <w:marRight w:val="0"/>
                      <w:marTop w:val="0"/>
                      <w:marBottom w:val="0"/>
                      <w:divBdr>
                        <w:top w:val="none" w:sz="0" w:space="0" w:color="auto"/>
                        <w:left w:val="none" w:sz="0" w:space="0" w:color="auto"/>
                        <w:bottom w:val="none" w:sz="0" w:space="0" w:color="auto"/>
                        <w:right w:val="none" w:sz="0" w:space="0" w:color="auto"/>
                      </w:divBdr>
                    </w:div>
                  </w:divsChild>
                </w:div>
                <w:div w:id="2013799693">
                  <w:marLeft w:val="0"/>
                  <w:marRight w:val="0"/>
                  <w:marTop w:val="0"/>
                  <w:marBottom w:val="0"/>
                  <w:divBdr>
                    <w:top w:val="none" w:sz="0" w:space="0" w:color="auto"/>
                    <w:left w:val="none" w:sz="0" w:space="0" w:color="auto"/>
                    <w:bottom w:val="none" w:sz="0" w:space="0" w:color="auto"/>
                    <w:right w:val="none" w:sz="0" w:space="0" w:color="auto"/>
                  </w:divBdr>
                  <w:divsChild>
                    <w:div w:id="962419037">
                      <w:marLeft w:val="0"/>
                      <w:marRight w:val="0"/>
                      <w:marTop w:val="0"/>
                      <w:marBottom w:val="0"/>
                      <w:divBdr>
                        <w:top w:val="none" w:sz="0" w:space="0" w:color="auto"/>
                        <w:left w:val="none" w:sz="0" w:space="0" w:color="auto"/>
                        <w:bottom w:val="none" w:sz="0" w:space="0" w:color="auto"/>
                        <w:right w:val="none" w:sz="0" w:space="0" w:color="auto"/>
                      </w:divBdr>
                    </w:div>
                  </w:divsChild>
                </w:div>
                <w:div w:id="2018266828">
                  <w:marLeft w:val="0"/>
                  <w:marRight w:val="0"/>
                  <w:marTop w:val="0"/>
                  <w:marBottom w:val="0"/>
                  <w:divBdr>
                    <w:top w:val="none" w:sz="0" w:space="0" w:color="auto"/>
                    <w:left w:val="none" w:sz="0" w:space="0" w:color="auto"/>
                    <w:bottom w:val="none" w:sz="0" w:space="0" w:color="auto"/>
                    <w:right w:val="none" w:sz="0" w:space="0" w:color="auto"/>
                  </w:divBdr>
                  <w:divsChild>
                    <w:div w:id="1877738496">
                      <w:marLeft w:val="0"/>
                      <w:marRight w:val="0"/>
                      <w:marTop w:val="0"/>
                      <w:marBottom w:val="0"/>
                      <w:divBdr>
                        <w:top w:val="none" w:sz="0" w:space="0" w:color="auto"/>
                        <w:left w:val="none" w:sz="0" w:space="0" w:color="auto"/>
                        <w:bottom w:val="none" w:sz="0" w:space="0" w:color="auto"/>
                        <w:right w:val="none" w:sz="0" w:space="0" w:color="auto"/>
                      </w:divBdr>
                    </w:div>
                  </w:divsChild>
                </w:div>
                <w:div w:id="2019769953">
                  <w:marLeft w:val="0"/>
                  <w:marRight w:val="0"/>
                  <w:marTop w:val="0"/>
                  <w:marBottom w:val="0"/>
                  <w:divBdr>
                    <w:top w:val="none" w:sz="0" w:space="0" w:color="auto"/>
                    <w:left w:val="none" w:sz="0" w:space="0" w:color="auto"/>
                    <w:bottom w:val="none" w:sz="0" w:space="0" w:color="auto"/>
                    <w:right w:val="none" w:sz="0" w:space="0" w:color="auto"/>
                  </w:divBdr>
                  <w:divsChild>
                    <w:div w:id="1762796993">
                      <w:marLeft w:val="0"/>
                      <w:marRight w:val="0"/>
                      <w:marTop w:val="0"/>
                      <w:marBottom w:val="0"/>
                      <w:divBdr>
                        <w:top w:val="none" w:sz="0" w:space="0" w:color="auto"/>
                        <w:left w:val="none" w:sz="0" w:space="0" w:color="auto"/>
                        <w:bottom w:val="none" w:sz="0" w:space="0" w:color="auto"/>
                        <w:right w:val="none" w:sz="0" w:space="0" w:color="auto"/>
                      </w:divBdr>
                    </w:div>
                  </w:divsChild>
                </w:div>
                <w:div w:id="2032491498">
                  <w:marLeft w:val="0"/>
                  <w:marRight w:val="0"/>
                  <w:marTop w:val="0"/>
                  <w:marBottom w:val="0"/>
                  <w:divBdr>
                    <w:top w:val="none" w:sz="0" w:space="0" w:color="auto"/>
                    <w:left w:val="none" w:sz="0" w:space="0" w:color="auto"/>
                    <w:bottom w:val="none" w:sz="0" w:space="0" w:color="auto"/>
                    <w:right w:val="none" w:sz="0" w:space="0" w:color="auto"/>
                  </w:divBdr>
                  <w:divsChild>
                    <w:div w:id="189807303">
                      <w:marLeft w:val="0"/>
                      <w:marRight w:val="0"/>
                      <w:marTop w:val="0"/>
                      <w:marBottom w:val="0"/>
                      <w:divBdr>
                        <w:top w:val="none" w:sz="0" w:space="0" w:color="auto"/>
                        <w:left w:val="none" w:sz="0" w:space="0" w:color="auto"/>
                        <w:bottom w:val="none" w:sz="0" w:space="0" w:color="auto"/>
                        <w:right w:val="none" w:sz="0" w:space="0" w:color="auto"/>
                      </w:divBdr>
                    </w:div>
                  </w:divsChild>
                </w:div>
                <w:div w:id="2042395745">
                  <w:marLeft w:val="0"/>
                  <w:marRight w:val="0"/>
                  <w:marTop w:val="0"/>
                  <w:marBottom w:val="0"/>
                  <w:divBdr>
                    <w:top w:val="none" w:sz="0" w:space="0" w:color="auto"/>
                    <w:left w:val="none" w:sz="0" w:space="0" w:color="auto"/>
                    <w:bottom w:val="none" w:sz="0" w:space="0" w:color="auto"/>
                    <w:right w:val="none" w:sz="0" w:space="0" w:color="auto"/>
                  </w:divBdr>
                  <w:divsChild>
                    <w:div w:id="354888950">
                      <w:marLeft w:val="0"/>
                      <w:marRight w:val="0"/>
                      <w:marTop w:val="0"/>
                      <w:marBottom w:val="0"/>
                      <w:divBdr>
                        <w:top w:val="none" w:sz="0" w:space="0" w:color="auto"/>
                        <w:left w:val="none" w:sz="0" w:space="0" w:color="auto"/>
                        <w:bottom w:val="none" w:sz="0" w:space="0" w:color="auto"/>
                        <w:right w:val="none" w:sz="0" w:space="0" w:color="auto"/>
                      </w:divBdr>
                    </w:div>
                  </w:divsChild>
                </w:div>
                <w:div w:id="2105682527">
                  <w:marLeft w:val="0"/>
                  <w:marRight w:val="0"/>
                  <w:marTop w:val="0"/>
                  <w:marBottom w:val="0"/>
                  <w:divBdr>
                    <w:top w:val="none" w:sz="0" w:space="0" w:color="auto"/>
                    <w:left w:val="none" w:sz="0" w:space="0" w:color="auto"/>
                    <w:bottom w:val="none" w:sz="0" w:space="0" w:color="auto"/>
                    <w:right w:val="none" w:sz="0" w:space="0" w:color="auto"/>
                  </w:divBdr>
                  <w:divsChild>
                    <w:div w:id="354427629">
                      <w:marLeft w:val="0"/>
                      <w:marRight w:val="0"/>
                      <w:marTop w:val="0"/>
                      <w:marBottom w:val="0"/>
                      <w:divBdr>
                        <w:top w:val="none" w:sz="0" w:space="0" w:color="auto"/>
                        <w:left w:val="none" w:sz="0" w:space="0" w:color="auto"/>
                        <w:bottom w:val="none" w:sz="0" w:space="0" w:color="auto"/>
                        <w:right w:val="none" w:sz="0" w:space="0" w:color="auto"/>
                      </w:divBdr>
                    </w:div>
                  </w:divsChild>
                </w:div>
                <w:div w:id="2130317490">
                  <w:marLeft w:val="0"/>
                  <w:marRight w:val="0"/>
                  <w:marTop w:val="0"/>
                  <w:marBottom w:val="0"/>
                  <w:divBdr>
                    <w:top w:val="none" w:sz="0" w:space="0" w:color="auto"/>
                    <w:left w:val="none" w:sz="0" w:space="0" w:color="auto"/>
                    <w:bottom w:val="none" w:sz="0" w:space="0" w:color="auto"/>
                    <w:right w:val="none" w:sz="0" w:space="0" w:color="auto"/>
                  </w:divBdr>
                  <w:divsChild>
                    <w:div w:id="2050716153">
                      <w:marLeft w:val="0"/>
                      <w:marRight w:val="0"/>
                      <w:marTop w:val="0"/>
                      <w:marBottom w:val="0"/>
                      <w:divBdr>
                        <w:top w:val="none" w:sz="0" w:space="0" w:color="auto"/>
                        <w:left w:val="none" w:sz="0" w:space="0" w:color="auto"/>
                        <w:bottom w:val="none" w:sz="0" w:space="0" w:color="auto"/>
                        <w:right w:val="none" w:sz="0" w:space="0" w:color="auto"/>
                      </w:divBdr>
                    </w:div>
                  </w:divsChild>
                </w:div>
                <w:div w:id="2138525526">
                  <w:marLeft w:val="0"/>
                  <w:marRight w:val="0"/>
                  <w:marTop w:val="0"/>
                  <w:marBottom w:val="0"/>
                  <w:divBdr>
                    <w:top w:val="none" w:sz="0" w:space="0" w:color="auto"/>
                    <w:left w:val="none" w:sz="0" w:space="0" w:color="auto"/>
                    <w:bottom w:val="none" w:sz="0" w:space="0" w:color="auto"/>
                    <w:right w:val="none" w:sz="0" w:space="0" w:color="auto"/>
                  </w:divBdr>
                  <w:divsChild>
                    <w:div w:id="256252419">
                      <w:marLeft w:val="0"/>
                      <w:marRight w:val="0"/>
                      <w:marTop w:val="0"/>
                      <w:marBottom w:val="0"/>
                      <w:divBdr>
                        <w:top w:val="none" w:sz="0" w:space="0" w:color="auto"/>
                        <w:left w:val="none" w:sz="0" w:space="0" w:color="auto"/>
                        <w:bottom w:val="none" w:sz="0" w:space="0" w:color="auto"/>
                        <w:right w:val="none" w:sz="0" w:space="0" w:color="auto"/>
                      </w:divBdr>
                    </w:div>
                  </w:divsChild>
                </w:div>
                <w:div w:id="2147353579">
                  <w:marLeft w:val="0"/>
                  <w:marRight w:val="0"/>
                  <w:marTop w:val="0"/>
                  <w:marBottom w:val="0"/>
                  <w:divBdr>
                    <w:top w:val="none" w:sz="0" w:space="0" w:color="auto"/>
                    <w:left w:val="none" w:sz="0" w:space="0" w:color="auto"/>
                    <w:bottom w:val="none" w:sz="0" w:space="0" w:color="auto"/>
                    <w:right w:val="none" w:sz="0" w:space="0" w:color="auto"/>
                  </w:divBdr>
                  <w:divsChild>
                    <w:div w:id="32467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0264">
          <w:marLeft w:val="0"/>
          <w:marRight w:val="0"/>
          <w:marTop w:val="0"/>
          <w:marBottom w:val="0"/>
          <w:divBdr>
            <w:top w:val="none" w:sz="0" w:space="0" w:color="auto"/>
            <w:left w:val="none" w:sz="0" w:space="0" w:color="auto"/>
            <w:bottom w:val="none" w:sz="0" w:space="0" w:color="auto"/>
            <w:right w:val="none" w:sz="0" w:space="0" w:color="auto"/>
          </w:divBdr>
          <w:divsChild>
            <w:div w:id="1700162808">
              <w:marLeft w:val="-75"/>
              <w:marRight w:val="0"/>
              <w:marTop w:val="30"/>
              <w:marBottom w:val="30"/>
              <w:divBdr>
                <w:top w:val="none" w:sz="0" w:space="0" w:color="auto"/>
                <w:left w:val="none" w:sz="0" w:space="0" w:color="auto"/>
                <w:bottom w:val="none" w:sz="0" w:space="0" w:color="auto"/>
                <w:right w:val="none" w:sz="0" w:space="0" w:color="auto"/>
              </w:divBdr>
              <w:divsChild>
                <w:div w:id="108091200">
                  <w:marLeft w:val="0"/>
                  <w:marRight w:val="0"/>
                  <w:marTop w:val="0"/>
                  <w:marBottom w:val="0"/>
                  <w:divBdr>
                    <w:top w:val="none" w:sz="0" w:space="0" w:color="auto"/>
                    <w:left w:val="none" w:sz="0" w:space="0" w:color="auto"/>
                    <w:bottom w:val="none" w:sz="0" w:space="0" w:color="auto"/>
                    <w:right w:val="none" w:sz="0" w:space="0" w:color="auto"/>
                  </w:divBdr>
                  <w:divsChild>
                    <w:div w:id="1185292701">
                      <w:marLeft w:val="0"/>
                      <w:marRight w:val="0"/>
                      <w:marTop w:val="0"/>
                      <w:marBottom w:val="0"/>
                      <w:divBdr>
                        <w:top w:val="none" w:sz="0" w:space="0" w:color="auto"/>
                        <w:left w:val="none" w:sz="0" w:space="0" w:color="auto"/>
                        <w:bottom w:val="none" w:sz="0" w:space="0" w:color="auto"/>
                        <w:right w:val="none" w:sz="0" w:space="0" w:color="auto"/>
                      </w:divBdr>
                    </w:div>
                  </w:divsChild>
                </w:div>
                <w:div w:id="263734132">
                  <w:marLeft w:val="0"/>
                  <w:marRight w:val="0"/>
                  <w:marTop w:val="0"/>
                  <w:marBottom w:val="0"/>
                  <w:divBdr>
                    <w:top w:val="none" w:sz="0" w:space="0" w:color="auto"/>
                    <w:left w:val="none" w:sz="0" w:space="0" w:color="auto"/>
                    <w:bottom w:val="none" w:sz="0" w:space="0" w:color="auto"/>
                    <w:right w:val="none" w:sz="0" w:space="0" w:color="auto"/>
                  </w:divBdr>
                  <w:divsChild>
                    <w:div w:id="1963417984">
                      <w:marLeft w:val="0"/>
                      <w:marRight w:val="0"/>
                      <w:marTop w:val="0"/>
                      <w:marBottom w:val="0"/>
                      <w:divBdr>
                        <w:top w:val="none" w:sz="0" w:space="0" w:color="auto"/>
                        <w:left w:val="none" w:sz="0" w:space="0" w:color="auto"/>
                        <w:bottom w:val="none" w:sz="0" w:space="0" w:color="auto"/>
                        <w:right w:val="none" w:sz="0" w:space="0" w:color="auto"/>
                      </w:divBdr>
                    </w:div>
                  </w:divsChild>
                </w:div>
                <w:div w:id="657534577">
                  <w:marLeft w:val="0"/>
                  <w:marRight w:val="0"/>
                  <w:marTop w:val="0"/>
                  <w:marBottom w:val="0"/>
                  <w:divBdr>
                    <w:top w:val="none" w:sz="0" w:space="0" w:color="auto"/>
                    <w:left w:val="none" w:sz="0" w:space="0" w:color="auto"/>
                    <w:bottom w:val="none" w:sz="0" w:space="0" w:color="auto"/>
                    <w:right w:val="none" w:sz="0" w:space="0" w:color="auto"/>
                  </w:divBdr>
                  <w:divsChild>
                    <w:div w:id="1902326972">
                      <w:marLeft w:val="0"/>
                      <w:marRight w:val="0"/>
                      <w:marTop w:val="0"/>
                      <w:marBottom w:val="0"/>
                      <w:divBdr>
                        <w:top w:val="none" w:sz="0" w:space="0" w:color="auto"/>
                        <w:left w:val="none" w:sz="0" w:space="0" w:color="auto"/>
                        <w:bottom w:val="none" w:sz="0" w:space="0" w:color="auto"/>
                        <w:right w:val="none" w:sz="0" w:space="0" w:color="auto"/>
                      </w:divBdr>
                    </w:div>
                  </w:divsChild>
                </w:div>
                <w:div w:id="747654202">
                  <w:marLeft w:val="0"/>
                  <w:marRight w:val="0"/>
                  <w:marTop w:val="0"/>
                  <w:marBottom w:val="0"/>
                  <w:divBdr>
                    <w:top w:val="none" w:sz="0" w:space="0" w:color="auto"/>
                    <w:left w:val="none" w:sz="0" w:space="0" w:color="auto"/>
                    <w:bottom w:val="none" w:sz="0" w:space="0" w:color="auto"/>
                    <w:right w:val="none" w:sz="0" w:space="0" w:color="auto"/>
                  </w:divBdr>
                  <w:divsChild>
                    <w:div w:id="1632395112">
                      <w:marLeft w:val="0"/>
                      <w:marRight w:val="0"/>
                      <w:marTop w:val="0"/>
                      <w:marBottom w:val="0"/>
                      <w:divBdr>
                        <w:top w:val="none" w:sz="0" w:space="0" w:color="auto"/>
                        <w:left w:val="none" w:sz="0" w:space="0" w:color="auto"/>
                        <w:bottom w:val="none" w:sz="0" w:space="0" w:color="auto"/>
                        <w:right w:val="none" w:sz="0" w:space="0" w:color="auto"/>
                      </w:divBdr>
                    </w:div>
                  </w:divsChild>
                </w:div>
                <w:div w:id="947271441">
                  <w:marLeft w:val="0"/>
                  <w:marRight w:val="0"/>
                  <w:marTop w:val="0"/>
                  <w:marBottom w:val="0"/>
                  <w:divBdr>
                    <w:top w:val="none" w:sz="0" w:space="0" w:color="auto"/>
                    <w:left w:val="none" w:sz="0" w:space="0" w:color="auto"/>
                    <w:bottom w:val="none" w:sz="0" w:space="0" w:color="auto"/>
                    <w:right w:val="none" w:sz="0" w:space="0" w:color="auto"/>
                  </w:divBdr>
                  <w:divsChild>
                    <w:div w:id="963117594">
                      <w:marLeft w:val="0"/>
                      <w:marRight w:val="0"/>
                      <w:marTop w:val="0"/>
                      <w:marBottom w:val="0"/>
                      <w:divBdr>
                        <w:top w:val="none" w:sz="0" w:space="0" w:color="auto"/>
                        <w:left w:val="none" w:sz="0" w:space="0" w:color="auto"/>
                        <w:bottom w:val="none" w:sz="0" w:space="0" w:color="auto"/>
                        <w:right w:val="none" w:sz="0" w:space="0" w:color="auto"/>
                      </w:divBdr>
                    </w:div>
                  </w:divsChild>
                </w:div>
                <w:div w:id="1043748186">
                  <w:marLeft w:val="0"/>
                  <w:marRight w:val="0"/>
                  <w:marTop w:val="0"/>
                  <w:marBottom w:val="0"/>
                  <w:divBdr>
                    <w:top w:val="none" w:sz="0" w:space="0" w:color="auto"/>
                    <w:left w:val="none" w:sz="0" w:space="0" w:color="auto"/>
                    <w:bottom w:val="none" w:sz="0" w:space="0" w:color="auto"/>
                    <w:right w:val="none" w:sz="0" w:space="0" w:color="auto"/>
                  </w:divBdr>
                  <w:divsChild>
                    <w:div w:id="1754619175">
                      <w:marLeft w:val="0"/>
                      <w:marRight w:val="0"/>
                      <w:marTop w:val="0"/>
                      <w:marBottom w:val="0"/>
                      <w:divBdr>
                        <w:top w:val="none" w:sz="0" w:space="0" w:color="auto"/>
                        <w:left w:val="none" w:sz="0" w:space="0" w:color="auto"/>
                        <w:bottom w:val="none" w:sz="0" w:space="0" w:color="auto"/>
                        <w:right w:val="none" w:sz="0" w:space="0" w:color="auto"/>
                      </w:divBdr>
                    </w:div>
                  </w:divsChild>
                </w:div>
                <w:div w:id="1067727341">
                  <w:marLeft w:val="0"/>
                  <w:marRight w:val="0"/>
                  <w:marTop w:val="0"/>
                  <w:marBottom w:val="0"/>
                  <w:divBdr>
                    <w:top w:val="none" w:sz="0" w:space="0" w:color="auto"/>
                    <w:left w:val="none" w:sz="0" w:space="0" w:color="auto"/>
                    <w:bottom w:val="none" w:sz="0" w:space="0" w:color="auto"/>
                    <w:right w:val="none" w:sz="0" w:space="0" w:color="auto"/>
                  </w:divBdr>
                  <w:divsChild>
                    <w:div w:id="1180893592">
                      <w:marLeft w:val="0"/>
                      <w:marRight w:val="0"/>
                      <w:marTop w:val="0"/>
                      <w:marBottom w:val="0"/>
                      <w:divBdr>
                        <w:top w:val="none" w:sz="0" w:space="0" w:color="auto"/>
                        <w:left w:val="none" w:sz="0" w:space="0" w:color="auto"/>
                        <w:bottom w:val="none" w:sz="0" w:space="0" w:color="auto"/>
                        <w:right w:val="none" w:sz="0" w:space="0" w:color="auto"/>
                      </w:divBdr>
                    </w:div>
                  </w:divsChild>
                </w:div>
                <w:div w:id="1534997704">
                  <w:marLeft w:val="0"/>
                  <w:marRight w:val="0"/>
                  <w:marTop w:val="0"/>
                  <w:marBottom w:val="0"/>
                  <w:divBdr>
                    <w:top w:val="none" w:sz="0" w:space="0" w:color="auto"/>
                    <w:left w:val="none" w:sz="0" w:space="0" w:color="auto"/>
                    <w:bottom w:val="none" w:sz="0" w:space="0" w:color="auto"/>
                    <w:right w:val="none" w:sz="0" w:space="0" w:color="auto"/>
                  </w:divBdr>
                  <w:divsChild>
                    <w:div w:id="513037153">
                      <w:marLeft w:val="0"/>
                      <w:marRight w:val="0"/>
                      <w:marTop w:val="0"/>
                      <w:marBottom w:val="0"/>
                      <w:divBdr>
                        <w:top w:val="none" w:sz="0" w:space="0" w:color="auto"/>
                        <w:left w:val="none" w:sz="0" w:space="0" w:color="auto"/>
                        <w:bottom w:val="none" w:sz="0" w:space="0" w:color="auto"/>
                        <w:right w:val="none" w:sz="0" w:space="0" w:color="auto"/>
                      </w:divBdr>
                    </w:div>
                  </w:divsChild>
                </w:div>
                <w:div w:id="1550797465">
                  <w:marLeft w:val="0"/>
                  <w:marRight w:val="0"/>
                  <w:marTop w:val="0"/>
                  <w:marBottom w:val="0"/>
                  <w:divBdr>
                    <w:top w:val="none" w:sz="0" w:space="0" w:color="auto"/>
                    <w:left w:val="none" w:sz="0" w:space="0" w:color="auto"/>
                    <w:bottom w:val="none" w:sz="0" w:space="0" w:color="auto"/>
                    <w:right w:val="none" w:sz="0" w:space="0" w:color="auto"/>
                  </w:divBdr>
                  <w:divsChild>
                    <w:div w:id="1381517980">
                      <w:marLeft w:val="0"/>
                      <w:marRight w:val="0"/>
                      <w:marTop w:val="0"/>
                      <w:marBottom w:val="0"/>
                      <w:divBdr>
                        <w:top w:val="none" w:sz="0" w:space="0" w:color="auto"/>
                        <w:left w:val="none" w:sz="0" w:space="0" w:color="auto"/>
                        <w:bottom w:val="none" w:sz="0" w:space="0" w:color="auto"/>
                        <w:right w:val="none" w:sz="0" w:space="0" w:color="auto"/>
                      </w:divBdr>
                    </w:div>
                  </w:divsChild>
                </w:div>
                <w:div w:id="1635404502">
                  <w:marLeft w:val="0"/>
                  <w:marRight w:val="0"/>
                  <w:marTop w:val="0"/>
                  <w:marBottom w:val="0"/>
                  <w:divBdr>
                    <w:top w:val="none" w:sz="0" w:space="0" w:color="auto"/>
                    <w:left w:val="none" w:sz="0" w:space="0" w:color="auto"/>
                    <w:bottom w:val="none" w:sz="0" w:space="0" w:color="auto"/>
                    <w:right w:val="none" w:sz="0" w:space="0" w:color="auto"/>
                  </w:divBdr>
                  <w:divsChild>
                    <w:div w:id="1906526222">
                      <w:marLeft w:val="0"/>
                      <w:marRight w:val="0"/>
                      <w:marTop w:val="0"/>
                      <w:marBottom w:val="0"/>
                      <w:divBdr>
                        <w:top w:val="none" w:sz="0" w:space="0" w:color="auto"/>
                        <w:left w:val="none" w:sz="0" w:space="0" w:color="auto"/>
                        <w:bottom w:val="none" w:sz="0" w:space="0" w:color="auto"/>
                        <w:right w:val="none" w:sz="0" w:space="0" w:color="auto"/>
                      </w:divBdr>
                    </w:div>
                  </w:divsChild>
                </w:div>
                <w:div w:id="1960640997">
                  <w:marLeft w:val="0"/>
                  <w:marRight w:val="0"/>
                  <w:marTop w:val="0"/>
                  <w:marBottom w:val="0"/>
                  <w:divBdr>
                    <w:top w:val="none" w:sz="0" w:space="0" w:color="auto"/>
                    <w:left w:val="none" w:sz="0" w:space="0" w:color="auto"/>
                    <w:bottom w:val="none" w:sz="0" w:space="0" w:color="auto"/>
                    <w:right w:val="none" w:sz="0" w:space="0" w:color="auto"/>
                  </w:divBdr>
                  <w:divsChild>
                    <w:div w:id="1133206551">
                      <w:marLeft w:val="0"/>
                      <w:marRight w:val="0"/>
                      <w:marTop w:val="0"/>
                      <w:marBottom w:val="0"/>
                      <w:divBdr>
                        <w:top w:val="none" w:sz="0" w:space="0" w:color="auto"/>
                        <w:left w:val="none" w:sz="0" w:space="0" w:color="auto"/>
                        <w:bottom w:val="none" w:sz="0" w:space="0" w:color="auto"/>
                        <w:right w:val="none" w:sz="0" w:space="0" w:color="auto"/>
                      </w:divBdr>
                    </w:div>
                  </w:divsChild>
                </w:div>
                <w:div w:id="2030793674">
                  <w:marLeft w:val="0"/>
                  <w:marRight w:val="0"/>
                  <w:marTop w:val="0"/>
                  <w:marBottom w:val="0"/>
                  <w:divBdr>
                    <w:top w:val="none" w:sz="0" w:space="0" w:color="auto"/>
                    <w:left w:val="none" w:sz="0" w:space="0" w:color="auto"/>
                    <w:bottom w:val="none" w:sz="0" w:space="0" w:color="auto"/>
                    <w:right w:val="none" w:sz="0" w:space="0" w:color="auto"/>
                  </w:divBdr>
                  <w:divsChild>
                    <w:div w:id="148609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780">
          <w:marLeft w:val="0"/>
          <w:marRight w:val="0"/>
          <w:marTop w:val="0"/>
          <w:marBottom w:val="0"/>
          <w:divBdr>
            <w:top w:val="none" w:sz="0" w:space="0" w:color="auto"/>
            <w:left w:val="none" w:sz="0" w:space="0" w:color="auto"/>
            <w:bottom w:val="none" w:sz="0" w:space="0" w:color="auto"/>
            <w:right w:val="none" w:sz="0" w:space="0" w:color="auto"/>
          </w:divBdr>
          <w:divsChild>
            <w:div w:id="486165559">
              <w:marLeft w:val="0"/>
              <w:marRight w:val="0"/>
              <w:marTop w:val="0"/>
              <w:marBottom w:val="0"/>
              <w:divBdr>
                <w:top w:val="none" w:sz="0" w:space="0" w:color="auto"/>
                <w:left w:val="none" w:sz="0" w:space="0" w:color="auto"/>
                <w:bottom w:val="none" w:sz="0" w:space="0" w:color="auto"/>
                <w:right w:val="none" w:sz="0" w:space="0" w:color="auto"/>
              </w:divBdr>
            </w:div>
            <w:div w:id="589047893">
              <w:marLeft w:val="0"/>
              <w:marRight w:val="0"/>
              <w:marTop w:val="0"/>
              <w:marBottom w:val="0"/>
              <w:divBdr>
                <w:top w:val="none" w:sz="0" w:space="0" w:color="auto"/>
                <w:left w:val="none" w:sz="0" w:space="0" w:color="auto"/>
                <w:bottom w:val="none" w:sz="0" w:space="0" w:color="auto"/>
                <w:right w:val="none" w:sz="0" w:space="0" w:color="auto"/>
              </w:divBdr>
            </w:div>
            <w:div w:id="1335650335">
              <w:marLeft w:val="0"/>
              <w:marRight w:val="0"/>
              <w:marTop w:val="0"/>
              <w:marBottom w:val="0"/>
              <w:divBdr>
                <w:top w:val="none" w:sz="0" w:space="0" w:color="auto"/>
                <w:left w:val="none" w:sz="0" w:space="0" w:color="auto"/>
                <w:bottom w:val="none" w:sz="0" w:space="0" w:color="auto"/>
                <w:right w:val="none" w:sz="0" w:space="0" w:color="auto"/>
              </w:divBdr>
            </w:div>
            <w:div w:id="1739281828">
              <w:marLeft w:val="0"/>
              <w:marRight w:val="0"/>
              <w:marTop w:val="0"/>
              <w:marBottom w:val="0"/>
              <w:divBdr>
                <w:top w:val="none" w:sz="0" w:space="0" w:color="auto"/>
                <w:left w:val="none" w:sz="0" w:space="0" w:color="auto"/>
                <w:bottom w:val="none" w:sz="0" w:space="0" w:color="auto"/>
                <w:right w:val="none" w:sz="0" w:space="0" w:color="auto"/>
              </w:divBdr>
            </w:div>
            <w:div w:id="2135370642">
              <w:marLeft w:val="0"/>
              <w:marRight w:val="0"/>
              <w:marTop w:val="0"/>
              <w:marBottom w:val="0"/>
              <w:divBdr>
                <w:top w:val="none" w:sz="0" w:space="0" w:color="auto"/>
                <w:left w:val="none" w:sz="0" w:space="0" w:color="auto"/>
                <w:bottom w:val="none" w:sz="0" w:space="0" w:color="auto"/>
                <w:right w:val="none" w:sz="0" w:space="0" w:color="auto"/>
              </w:divBdr>
            </w:div>
          </w:divsChild>
        </w:div>
        <w:div w:id="215899629">
          <w:marLeft w:val="0"/>
          <w:marRight w:val="0"/>
          <w:marTop w:val="0"/>
          <w:marBottom w:val="0"/>
          <w:divBdr>
            <w:top w:val="none" w:sz="0" w:space="0" w:color="auto"/>
            <w:left w:val="none" w:sz="0" w:space="0" w:color="auto"/>
            <w:bottom w:val="none" w:sz="0" w:space="0" w:color="auto"/>
            <w:right w:val="none" w:sz="0" w:space="0" w:color="auto"/>
          </w:divBdr>
        </w:div>
        <w:div w:id="230384615">
          <w:marLeft w:val="0"/>
          <w:marRight w:val="0"/>
          <w:marTop w:val="0"/>
          <w:marBottom w:val="0"/>
          <w:divBdr>
            <w:top w:val="none" w:sz="0" w:space="0" w:color="auto"/>
            <w:left w:val="none" w:sz="0" w:space="0" w:color="auto"/>
            <w:bottom w:val="none" w:sz="0" w:space="0" w:color="auto"/>
            <w:right w:val="none" w:sz="0" w:space="0" w:color="auto"/>
          </w:divBdr>
        </w:div>
        <w:div w:id="231699010">
          <w:marLeft w:val="0"/>
          <w:marRight w:val="0"/>
          <w:marTop w:val="0"/>
          <w:marBottom w:val="0"/>
          <w:divBdr>
            <w:top w:val="none" w:sz="0" w:space="0" w:color="auto"/>
            <w:left w:val="none" w:sz="0" w:space="0" w:color="auto"/>
            <w:bottom w:val="none" w:sz="0" w:space="0" w:color="auto"/>
            <w:right w:val="none" w:sz="0" w:space="0" w:color="auto"/>
          </w:divBdr>
          <w:divsChild>
            <w:div w:id="320037209">
              <w:marLeft w:val="0"/>
              <w:marRight w:val="0"/>
              <w:marTop w:val="0"/>
              <w:marBottom w:val="0"/>
              <w:divBdr>
                <w:top w:val="none" w:sz="0" w:space="0" w:color="auto"/>
                <w:left w:val="none" w:sz="0" w:space="0" w:color="auto"/>
                <w:bottom w:val="none" w:sz="0" w:space="0" w:color="auto"/>
                <w:right w:val="none" w:sz="0" w:space="0" w:color="auto"/>
              </w:divBdr>
            </w:div>
            <w:div w:id="879124808">
              <w:marLeft w:val="0"/>
              <w:marRight w:val="0"/>
              <w:marTop w:val="0"/>
              <w:marBottom w:val="0"/>
              <w:divBdr>
                <w:top w:val="none" w:sz="0" w:space="0" w:color="auto"/>
                <w:left w:val="none" w:sz="0" w:space="0" w:color="auto"/>
                <w:bottom w:val="none" w:sz="0" w:space="0" w:color="auto"/>
                <w:right w:val="none" w:sz="0" w:space="0" w:color="auto"/>
              </w:divBdr>
            </w:div>
            <w:div w:id="921715714">
              <w:marLeft w:val="0"/>
              <w:marRight w:val="0"/>
              <w:marTop w:val="0"/>
              <w:marBottom w:val="0"/>
              <w:divBdr>
                <w:top w:val="none" w:sz="0" w:space="0" w:color="auto"/>
                <w:left w:val="none" w:sz="0" w:space="0" w:color="auto"/>
                <w:bottom w:val="none" w:sz="0" w:space="0" w:color="auto"/>
                <w:right w:val="none" w:sz="0" w:space="0" w:color="auto"/>
              </w:divBdr>
            </w:div>
            <w:div w:id="1054351835">
              <w:marLeft w:val="0"/>
              <w:marRight w:val="0"/>
              <w:marTop w:val="0"/>
              <w:marBottom w:val="0"/>
              <w:divBdr>
                <w:top w:val="none" w:sz="0" w:space="0" w:color="auto"/>
                <w:left w:val="none" w:sz="0" w:space="0" w:color="auto"/>
                <w:bottom w:val="none" w:sz="0" w:space="0" w:color="auto"/>
                <w:right w:val="none" w:sz="0" w:space="0" w:color="auto"/>
              </w:divBdr>
            </w:div>
            <w:div w:id="1081567493">
              <w:marLeft w:val="0"/>
              <w:marRight w:val="0"/>
              <w:marTop w:val="0"/>
              <w:marBottom w:val="0"/>
              <w:divBdr>
                <w:top w:val="none" w:sz="0" w:space="0" w:color="auto"/>
                <w:left w:val="none" w:sz="0" w:space="0" w:color="auto"/>
                <w:bottom w:val="none" w:sz="0" w:space="0" w:color="auto"/>
                <w:right w:val="none" w:sz="0" w:space="0" w:color="auto"/>
              </w:divBdr>
            </w:div>
            <w:div w:id="1247762737">
              <w:marLeft w:val="0"/>
              <w:marRight w:val="0"/>
              <w:marTop w:val="0"/>
              <w:marBottom w:val="0"/>
              <w:divBdr>
                <w:top w:val="none" w:sz="0" w:space="0" w:color="auto"/>
                <w:left w:val="none" w:sz="0" w:space="0" w:color="auto"/>
                <w:bottom w:val="none" w:sz="0" w:space="0" w:color="auto"/>
                <w:right w:val="none" w:sz="0" w:space="0" w:color="auto"/>
              </w:divBdr>
            </w:div>
            <w:div w:id="1598323670">
              <w:marLeft w:val="0"/>
              <w:marRight w:val="0"/>
              <w:marTop w:val="0"/>
              <w:marBottom w:val="0"/>
              <w:divBdr>
                <w:top w:val="none" w:sz="0" w:space="0" w:color="auto"/>
                <w:left w:val="none" w:sz="0" w:space="0" w:color="auto"/>
                <w:bottom w:val="none" w:sz="0" w:space="0" w:color="auto"/>
                <w:right w:val="none" w:sz="0" w:space="0" w:color="auto"/>
              </w:divBdr>
            </w:div>
            <w:div w:id="1688407956">
              <w:marLeft w:val="0"/>
              <w:marRight w:val="0"/>
              <w:marTop w:val="0"/>
              <w:marBottom w:val="0"/>
              <w:divBdr>
                <w:top w:val="none" w:sz="0" w:space="0" w:color="auto"/>
                <w:left w:val="none" w:sz="0" w:space="0" w:color="auto"/>
                <w:bottom w:val="none" w:sz="0" w:space="0" w:color="auto"/>
                <w:right w:val="none" w:sz="0" w:space="0" w:color="auto"/>
              </w:divBdr>
            </w:div>
            <w:div w:id="1921986917">
              <w:marLeft w:val="0"/>
              <w:marRight w:val="0"/>
              <w:marTop w:val="0"/>
              <w:marBottom w:val="0"/>
              <w:divBdr>
                <w:top w:val="none" w:sz="0" w:space="0" w:color="auto"/>
                <w:left w:val="none" w:sz="0" w:space="0" w:color="auto"/>
                <w:bottom w:val="none" w:sz="0" w:space="0" w:color="auto"/>
                <w:right w:val="none" w:sz="0" w:space="0" w:color="auto"/>
              </w:divBdr>
            </w:div>
          </w:divsChild>
        </w:div>
        <w:div w:id="233778802">
          <w:marLeft w:val="0"/>
          <w:marRight w:val="0"/>
          <w:marTop w:val="0"/>
          <w:marBottom w:val="0"/>
          <w:divBdr>
            <w:top w:val="none" w:sz="0" w:space="0" w:color="auto"/>
            <w:left w:val="none" w:sz="0" w:space="0" w:color="auto"/>
            <w:bottom w:val="none" w:sz="0" w:space="0" w:color="auto"/>
            <w:right w:val="none" w:sz="0" w:space="0" w:color="auto"/>
          </w:divBdr>
          <w:divsChild>
            <w:div w:id="834689134">
              <w:marLeft w:val="-75"/>
              <w:marRight w:val="0"/>
              <w:marTop w:val="30"/>
              <w:marBottom w:val="30"/>
              <w:divBdr>
                <w:top w:val="none" w:sz="0" w:space="0" w:color="auto"/>
                <w:left w:val="none" w:sz="0" w:space="0" w:color="auto"/>
                <w:bottom w:val="none" w:sz="0" w:space="0" w:color="auto"/>
                <w:right w:val="none" w:sz="0" w:space="0" w:color="auto"/>
              </w:divBdr>
              <w:divsChild>
                <w:div w:id="2318229">
                  <w:marLeft w:val="0"/>
                  <w:marRight w:val="0"/>
                  <w:marTop w:val="0"/>
                  <w:marBottom w:val="0"/>
                  <w:divBdr>
                    <w:top w:val="none" w:sz="0" w:space="0" w:color="auto"/>
                    <w:left w:val="none" w:sz="0" w:space="0" w:color="auto"/>
                    <w:bottom w:val="none" w:sz="0" w:space="0" w:color="auto"/>
                    <w:right w:val="none" w:sz="0" w:space="0" w:color="auto"/>
                  </w:divBdr>
                  <w:divsChild>
                    <w:div w:id="331227665">
                      <w:marLeft w:val="0"/>
                      <w:marRight w:val="0"/>
                      <w:marTop w:val="0"/>
                      <w:marBottom w:val="0"/>
                      <w:divBdr>
                        <w:top w:val="none" w:sz="0" w:space="0" w:color="auto"/>
                        <w:left w:val="none" w:sz="0" w:space="0" w:color="auto"/>
                        <w:bottom w:val="none" w:sz="0" w:space="0" w:color="auto"/>
                        <w:right w:val="none" w:sz="0" w:space="0" w:color="auto"/>
                      </w:divBdr>
                    </w:div>
                  </w:divsChild>
                </w:div>
                <w:div w:id="102579672">
                  <w:marLeft w:val="0"/>
                  <w:marRight w:val="0"/>
                  <w:marTop w:val="0"/>
                  <w:marBottom w:val="0"/>
                  <w:divBdr>
                    <w:top w:val="none" w:sz="0" w:space="0" w:color="auto"/>
                    <w:left w:val="none" w:sz="0" w:space="0" w:color="auto"/>
                    <w:bottom w:val="none" w:sz="0" w:space="0" w:color="auto"/>
                    <w:right w:val="none" w:sz="0" w:space="0" w:color="auto"/>
                  </w:divBdr>
                  <w:divsChild>
                    <w:div w:id="1378241218">
                      <w:marLeft w:val="0"/>
                      <w:marRight w:val="0"/>
                      <w:marTop w:val="0"/>
                      <w:marBottom w:val="0"/>
                      <w:divBdr>
                        <w:top w:val="none" w:sz="0" w:space="0" w:color="auto"/>
                        <w:left w:val="none" w:sz="0" w:space="0" w:color="auto"/>
                        <w:bottom w:val="none" w:sz="0" w:space="0" w:color="auto"/>
                        <w:right w:val="none" w:sz="0" w:space="0" w:color="auto"/>
                      </w:divBdr>
                    </w:div>
                  </w:divsChild>
                </w:div>
                <w:div w:id="374165313">
                  <w:marLeft w:val="0"/>
                  <w:marRight w:val="0"/>
                  <w:marTop w:val="0"/>
                  <w:marBottom w:val="0"/>
                  <w:divBdr>
                    <w:top w:val="none" w:sz="0" w:space="0" w:color="auto"/>
                    <w:left w:val="none" w:sz="0" w:space="0" w:color="auto"/>
                    <w:bottom w:val="none" w:sz="0" w:space="0" w:color="auto"/>
                    <w:right w:val="none" w:sz="0" w:space="0" w:color="auto"/>
                  </w:divBdr>
                  <w:divsChild>
                    <w:div w:id="100800974">
                      <w:marLeft w:val="0"/>
                      <w:marRight w:val="0"/>
                      <w:marTop w:val="0"/>
                      <w:marBottom w:val="0"/>
                      <w:divBdr>
                        <w:top w:val="none" w:sz="0" w:space="0" w:color="auto"/>
                        <w:left w:val="none" w:sz="0" w:space="0" w:color="auto"/>
                        <w:bottom w:val="none" w:sz="0" w:space="0" w:color="auto"/>
                        <w:right w:val="none" w:sz="0" w:space="0" w:color="auto"/>
                      </w:divBdr>
                    </w:div>
                  </w:divsChild>
                </w:div>
                <w:div w:id="504319989">
                  <w:marLeft w:val="0"/>
                  <w:marRight w:val="0"/>
                  <w:marTop w:val="0"/>
                  <w:marBottom w:val="0"/>
                  <w:divBdr>
                    <w:top w:val="none" w:sz="0" w:space="0" w:color="auto"/>
                    <w:left w:val="none" w:sz="0" w:space="0" w:color="auto"/>
                    <w:bottom w:val="none" w:sz="0" w:space="0" w:color="auto"/>
                    <w:right w:val="none" w:sz="0" w:space="0" w:color="auto"/>
                  </w:divBdr>
                  <w:divsChild>
                    <w:div w:id="1165589643">
                      <w:marLeft w:val="0"/>
                      <w:marRight w:val="0"/>
                      <w:marTop w:val="0"/>
                      <w:marBottom w:val="0"/>
                      <w:divBdr>
                        <w:top w:val="none" w:sz="0" w:space="0" w:color="auto"/>
                        <w:left w:val="none" w:sz="0" w:space="0" w:color="auto"/>
                        <w:bottom w:val="none" w:sz="0" w:space="0" w:color="auto"/>
                        <w:right w:val="none" w:sz="0" w:space="0" w:color="auto"/>
                      </w:divBdr>
                    </w:div>
                  </w:divsChild>
                </w:div>
                <w:div w:id="518931273">
                  <w:marLeft w:val="0"/>
                  <w:marRight w:val="0"/>
                  <w:marTop w:val="0"/>
                  <w:marBottom w:val="0"/>
                  <w:divBdr>
                    <w:top w:val="none" w:sz="0" w:space="0" w:color="auto"/>
                    <w:left w:val="none" w:sz="0" w:space="0" w:color="auto"/>
                    <w:bottom w:val="none" w:sz="0" w:space="0" w:color="auto"/>
                    <w:right w:val="none" w:sz="0" w:space="0" w:color="auto"/>
                  </w:divBdr>
                  <w:divsChild>
                    <w:div w:id="1640307958">
                      <w:marLeft w:val="0"/>
                      <w:marRight w:val="0"/>
                      <w:marTop w:val="0"/>
                      <w:marBottom w:val="0"/>
                      <w:divBdr>
                        <w:top w:val="none" w:sz="0" w:space="0" w:color="auto"/>
                        <w:left w:val="none" w:sz="0" w:space="0" w:color="auto"/>
                        <w:bottom w:val="none" w:sz="0" w:space="0" w:color="auto"/>
                        <w:right w:val="none" w:sz="0" w:space="0" w:color="auto"/>
                      </w:divBdr>
                    </w:div>
                  </w:divsChild>
                </w:div>
                <w:div w:id="775637238">
                  <w:marLeft w:val="0"/>
                  <w:marRight w:val="0"/>
                  <w:marTop w:val="0"/>
                  <w:marBottom w:val="0"/>
                  <w:divBdr>
                    <w:top w:val="none" w:sz="0" w:space="0" w:color="auto"/>
                    <w:left w:val="none" w:sz="0" w:space="0" w:color="auto"/>
                    <w:bottom w:val="none" w:sz="0" w:space="0" w:color="auto"/>
                    <w:right w:val="none" w:sz="0" w:space="0" w:color="auto"/>
                  </w:divBdr>
                  <w:divsChild>
                    <w:div w:id="384135761">
                      <w:marLeft w:val="0"/>
                      <w:marRight w:val="0"/>
                      <w:marTop w:val="0"/>
                      <w:marBottom w:val="0"/>
                      <w:divBdr>
                        <w:top w:val="none" w:sz="0" w:space="0" w:color="auto"/>
                        <w:left w:val="none" w:sz="0" w:space="0" w:color="auto"/>
                        <w:bottom w:val="none" w:sz="0" w:space="0" w:color="auto"/>
                        <w:right w:val="none" w:sz="0" w:space="0" w:color="auto"/>
                      </w:divBdr>
                    </w:div>
                  </w:divsChild>
                </w:div>
                <w:div w:id="1001741832">
                  <w:marLeft w:val="0"/>
                  <w:marRight w:val="0"/>
                  <w:marTop w:val="0"/>
                  <w:marBottom w:val="0"/>
                  <w:divBdr>
                    <w:top w:val="none" w:sz="0" w:space="0" w:color="auto"/>
                    <w:left w:val="none" w:sz="0" w:space="0" w:color="auto"/>
                    <w:bottom w:val="none" w:sz="0" w:space="0" w:color="auto"/>
                    <w:right w:val="none" w:sz="0" w:space="0" w:color="auto"/>
                  </w:divBdr>
                  <w:divsChild>
                    <w:div w:id="550919389">
                      <w:marLeft w:val="0"/>
                      <w:marRight w:val="0"/>
                      <w:marTop w:val="0"/>
                      <w:marBottom w:val="0"/>
                      <w:divBdr>
                        <w:top w:val="none" w:sz="0" w:space="0" w:color="auto"/>
                        <w:left w:val="none" w:sz="0" w:space="0" w:color="auto"/>
                        <w:bottom w:val="none" w:sz="0" w:space="0" w:color="auto"/>
                        <w:right w:val="none" w:sz="0" w:space="0" w:color="auto"/>
                      </w:divBdr>
                    </w:div>
                  </w:divsChild>
                </w:div>
                <w:div w:id="1594048085">
                  <w:marLeft w:val="0"/>
                  <w:marRight w:val="0"/>
                  <w:marTop w:val="0"/>
                  <w:marBottom w:val="0"/>
                  <w:divBdr>
                    <w:top w:val="none" w:sz="0" w:space="0" w:color="auto"/>
                    <w:left w:val="none" w:sz="0" w:space="0" w:color="auto"/>
                    <w:bottom w:val="none" w:sz="0" w:space="0" w:color="auto"/>
                    <w:right w:val="none" w:sz="0" w:space="0" w:color="auto"/>
                  </w:divBdr>
                  <w:divsChild>
                    <w:div w:id="84230891">
                      <w:marLeft w:val="0"/>
                      <w:marRight w:val="0"/>
                      <w:marTop w:val="0"/>
                      <w:marBottom w:val="0"/>
                      <w:divBdr>
                        <w:top w:val="none" w:sz="0" w:space="0" w:color="auto"/>
                        <w:left w:val="none" w:sz="0" w:space="0" w:color="auto"/>
                        <w:bottom w:val="none" w:sz="0" w:space="0" w:color="auto"/>
                        <w:right w:val="none" w:sz="0" w:space="0" w:color="auto"/>
                      </w:divBdr>
                    </w:div>
                  </w:divsChild>
                </w:div>
                <w:div w:id="1785539320">
                  <w:marLeft w:val="0"/>
                  <w:marRight w:val="0"/>
                  <w:marTop w:val="0"/>
                  <w:marBottom w:val="0"/>
                  <w:divBdr>
                    <w:top w:val="none" w:sz="0" w:space="0" w:color="auto"/>
                    <w:left w:val="none" w:sz="0" w:space="0" w:color="auto"/>
                    <w:bottom w:val="none" w:sz="0" w:space="0" w:color="auto"/>
                    <w:right w:val="none" w:sz="0" w:space="0" w:color="auto"/>
                  </w:divBdr>
                  <w:divsChild>
                    <w:div w:id="1455323124">
                      <w:marLeft w:val="0"/>
                      <w:marRight w:val="0"/>
                      <w:marTop w:val="0"/>
                      <w:marBottom w:val="0"/>
                      <w:divBdr>
                        <w:top w:val="none" w:sz="0" w:space="0" w:color="auto"/>
                        <w:left w:val="none" w:sz="0" w:space="0" w:color="auto"/>
                        <w:bottom w:val="none" w:sz="0" w:space="0" w:color="auto"/>
                        <w:right w:val="none" w:sz="0" w:space="0" w:color="auto"/>
                      </w:divBdr>
                    </w:div>
                  </w:divsChild>
                </w:div>
                <w:div w:id="1788085689">
                  <w:marLeft w:val="0"/>
                  <w:marRight w:val="0"/>
                  <w:marTop w:val="0"/>
                  <w:marBottom w:val="0"/>
                  <w:divBdr>
                    <w:top w:val="none" w:sz="0" w:space="0" w:color="auto"/>
                    <w:left w:val="none" w:sz="0" w:space="0" w:color="auto"/>
                    <w:bottom w:val="none" w:sz="0" w:space="0" w:color="auto"/>
                    <w:right w:val="none" w:sz="0" w:space="0" w:color="auto"/>
                  </w:divBdr>
                  <w:divsChild>
                    <w:div w:id="1793204509">
                      <w:marLeft w:val="0"/>
                      <w:marRight w:val="0"/>
                      <w:marTop w:val="0"/>
                      <w:marBottom w:val="0"/>
                      <w:divBdr>
                        <w:top w:val="none" w:sz="0" w:space="0" w:color="auto"/>
                        <w:left w:val="none" w:sz="0" w:space="0" w:color="auto"/>
                        <w:bottom w:val="none" w:sz="0" w:space="0" w:color="auto"/>
                        <w:right w:val="none" w:sz="0" w:space="0" w:color="auto"/>
                      </w:divBdr>
                    </w:div>
                  </w:divsChild>
                </w:div>
                <w:div w:id="1796605368">
                  <w:marLeft w:val="0"/>
                  <w:marRight w:val="0"/>
                  <w:marTop w:val="0"/>
                  <w:marBottom w:val="0"/>
                  <w:divBdr>
                    <w:top w:val="none" w:sz="0" w:space="0" w:color="auto"/>
                    <w:left w:val="none" w:sz="0" w:space="0" w:color="auto"/>
                    <w:bottom w:val="none" w:sz="0" w:space="0" w:color="auto"/>
                    <w:right w:val="none" w:sz="0" w:space="0" w:color="auto"/>
                  </w:divBdr>
                  <w:divsChild>
                    <w:div w:id="331563435">
                      <w:marLeft w:val="0"/>
                      <w:marRight w:val="0"/>
                      <w:marTop w:val="0"/>
                      <w:marBottom w:val="0"/>
                      <w:divBdr>
                        <w:top w:val="none" w:sz="0" w:space="0" w:color="auto"/>
                        <w:left w:val="none" w:sz="0" w:space="0" w:color="auto"/>
                        <w:bottom w:val="none" w:sz="0" w:space="0" w:color="auto"/>
                        <w:right w:val="none" w:sz="0" w:space="0" w:color="auto"/>
                      </w:divBdr>
                    </w:div>
                  </w:divsChild>
                </w:div>
                <w:div w:id="1797986414">
                  <w:marLeft w:val="0"/>
                  <w:marRight w:val="0"/>
                  <w:marTop w:val="0"/>
                  <w:marBottom w:val="0"/>
                  <w:divBdr>
                    <w:top w:val="none" w:sz="0" w:space="0" w:color="auto"/>
                    <w:left w:val="none" w:sz="0" w:space="0" w:color="auto"/>
                    <w:bottom w:val="none" w:sz="0" w:space="0" w:color="auto"/>
                    <w:right w:val="none" w:sz="0" w:space="0" w:color="auto"/>
                  </w:divBdr>
                  <w:divsChild>
                    <w:div w:id="313921690">
                      <w:marLeft w:val="0"/>
                      <w:marRight w:val="0"/>
                      <w:marTop w:val="0"/>
                      <w:marBottom w:val="0"/>
                      <w:divBdr>
                        <w:top w:val="none" w:sz="0" w:space="0" w:color="auto"/>
                        <w:left w:val="none" w:sz="0" w:space="0" w:color="auto"/>
                        <w:bottom w:val="none" w:sz="0" w:space="0" w:color="auto"/>
                        <w:right w:val="none" w:sz="0" w:space="0" w:color="auto"/>
                      </w:divBdr>
                    </w:div>
                  </w:divsChild>
                </w:div>
                <w:div w:id="1832066431">
                  <w:marLeft w:val="0"/>
                  <w:marRight w:val="0"/>
                  <w:marTop w:val="0"/>
                  <w:marBottom w:val="0"/>
                  <w:divBdr>
                    <w:top w:val="none" w:sz="0" w:space="0" w:color="auto"/>
                    <w:left w:val="none" w:sz="0" w:space="0" w:color="auto"/>
                    <w:bottom w:val="none" w:sz="0" w:space="0" w:color="auto"/>
                    <w:right w:val="none" w:sz="0" w:space="0" w:color="auto"/>
                  </w:divBdr>
                  <w:divsChild>
                    <w:div w:id="2044014011">
                      <w:marLeft w:val="0"/>
                      <w:marRight w:val="0"/>
                      <w:marTop w:val="0"/>
                      <w:marBottom w:val="0"/>
                      <w:divBdr>
                        <w:top w:val="none" w:sz="0" w:space="0" w:color="auto"/>
                        <w:left w:val="none" w:sz="0" w:space="0" w:color="auto"/>
                        <w:bottom w:val="none" w:sz="0" w:space="0" w:color="auto"/>
                        <w:right w:val="none" w:sz="0" w:space="0" w:color="auto"/>
                      </w:divBdr>
                    </w:div>
                  </w:divsChild>
                </w:div>
                <w:div w:id="1959411035">
                  <w:marLeft w:val="0"/>
                  <w:marRight w:val="0"/>
                  <w:marTop w:val="0"/>
                  <w:marBottom w:val="0"/>
                  <w:divBdr>
                    <w:top w:val="none" w:sz="0" w:space="0" w:color="auto"/>
                    <w:left w:val="none" w:sz="0" w:space="0" w:color="auto"/>
                    <w:bottom w:val="none" w:sz="0" w:space="0" w:color="auto"/>
                    <w:right w:val="none" w:sz="0" w:space="0" w:color="auto"/>
                  </w:divBdr>
                  <w:divsChild>
                    <w:div w:id="192421670">
                      <w:marLeft w:val="0"/>
                      <w:marRight w:val="0"/>
                      <w:marTop w:val="0"/>
                      <w:marBottom w:val="0"/>
                      <w:divBdr>
                        <w:top w:val="none" w:sz="0" w:space="0" w:color="auto"/>
                        <w:left w:val="none" w:sz="0" w:space="0" w:color="auto"/>
                        <w:bottom w:val="none" w:sz="0" w:space="0" w:color="auto"/>
                        <w:right w:val="none" w:sz="0" w:space="0" w:color="auto"/>
                      </w:divBdr>
                    </w:div>
                  </w:divsChild>
                </w:div>
                <w:div w:id="2131241457">
                  <w:marLeft w:val="0"/>
                  <w:marRight w:val="0"/>
                  <w:marTop w:val="0"/>
                  <w:marBottom w:val="0"/>
                  <w:divBdr>
                    <w:top w:val="none" w:sz="0" w:space="0" w:color="auto"/>
                    <w:left w:val="none" w:sz="0" w:space="0" w:color="auto"/>
                    <w:bottom w:val="none" w:sz="0" w:space="0" w:color="auto"/>
                    <w:right w:val="none" w:sz="0" w:space="0" w:color="auto"/>
                  </w:divBdr>
                  <w:divsChild>
                    <w:div w:id="2806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653095">
          <w:marLeft w:val="0"/>
          <w:marRight w:val="0"/>
          <w:marTop w:val="0"/>
          <w:marBottom w:val="0"/>
          <w:divBdr>
            <w:top w:val="none" w:sz="0" w:space="0" w:color="auto"/>
            <w:left w:val="none" w:sz="0" w:space="0" w:color="auto"/>
            <w:bottom w:val="none" w:sz="0" w:space="0" w:color="auto"/>
            <w:right w:val="none" w:sz="0" w:space="0" w:color="auto"/>
          </w:divBdr>
          <w:divsChild>
            <w:div w:id="98916990">
              <w:marLeft w:val="0"/>
              <w:marRight w:val="0"/>
              <w:marTop w:val="0"/>
              <w:marBottom w:val="0"/>
              <w:divBdr>
                <w:top w:val="none" w:sz="0" w:space="0" w:color="auto"/>
                <w:left w:val="none" w:sz="0" w:space="0" w:color="auto"/>
                <w:bottom w:val="none" w:sz="0" w:space="0" w:color="auto"/>
                <w:right w:val="none" w:sz="0" w:space="0" w:color="auto"/>
              </w:divBdr>
            </w:div>
            <w:div w:id="307132341">
              <w:marLeft w:val="0"/>
              <w:marRight w:val="0"/>
              <w:marTop w:val="0"/>
              <w:marBottom w:val="0"/>
              <w:divBdr>
                <w:top w:val="none" w:sz="0" w:space="0" w:color="auto"/>
                <w:left w:val="none" w:sz="0" w:space="0" w:color="auto"/>
                <w:bottom w:val="none" w:sz="0" w:space="0" w:color="auto"/>
                <w:right w:val="none" w:sz="0" w:space="0" w:color="auto"/>
              </w:divBdr>
            </w:div>
            <w:div w:id="457991257">
              <w:marLeft w:val="0"/>
              <w:marRight w:val="0"/>
              <w:marTop w:val="0"/>
              <w:marBottom w:val="0"/>
              <w:divBdr>
                <w:top w:val="none" w:sz="0" w:space="0" w:color="auto"/>
                <w:left w:val="none" w:sz="0" w:space="0" w:color="auto"/>
                <w:bottom w:val="none" w:sz="0" w:space="0" w:color="auto"/>
                <w:right w:val="none" w:sz="0" w:space="0" w:color="auto"/>
              </w:divBdr>
            </w:div>
            <w:div w:id="482163046">
              <w:marLeft w:val="0"/>
              <w:marRight w:val="0"/>
              <w:marTop w:val="0"/>
              <w:marBottom w:val="0"/>
              <w:divBdr>
                <w:top w:val="none" w:sz="0" w:space="0" w:color="auto"/>
                <w:left w:val="none" w:sz="0" w:space="0" w:color="auto"/>
                <w:bottom w:val="none" w:sz="0" w:space="0" w:color="auto"/>
                <w:right w:val="none" w:sz="0" w:space="0" w:color="auto"/>
              </w:divBdr>
            </w:div>
            <w:div w:id="494616714">
              <w:marLeft w:val="0"/>
              <w:marRight w:val="0"/>
              <w:marTop w:val="0"/>
              <w:marBottom w:val="0"/>
              <w:divBdr>
                <w:top w:val="none" w:sz="0" w:space="0" w:color="auto"/>
                <w:left w:val="none" w:sz="0" w:space="0" w:color="auto"/>
                <w:bottom w:val="none" w:sz="0" w:space="0" w:color="auto"/>
                <w:right w:val="none" w:sz="0" w:space="0" w:color="auto"/>
              </w:divBdr>
            </w:div>
            <w:div w:id="943264567">
              <w:marLeft w:val="0"/>
              <w:marRight w:val="0"/>
              <w:marTop w:val="0"/>
              <w:marBottom w:val="0"/>
              <w:divBdr>
                <w:top w:val="none" w:sz="0" w:space="0" w:color="auto"/>
                <w:left w:val="none" w:sz="0" w:space="0" w:color="auto"/>
                <w:bottom w:val="none" w:sz="0" w:space="0" w:color="auto"/>
                <w:right w:val="none" w:sz="0" w:space="0" w:color="auto"/>
              </w:divBdr>
            </w:div>
            <w:div w:id="969628593">
              <w:marLeft w:val="0"/>
              <w:marRight w:val="0"/>
              <w:marTop w:val="0"/>
              <w:marBottom w:val="0"/>
              <w:divBdr>
                <w:top w:val="none" w:sz="0" w:space="0" w:color="auto"/>
                <w:left w:val="none" w:sz="0" w:space="0" w:color="auto"/>
                <w:bottom w:val="none" w:sz="0" w:space="0" w:color="auto"/>
                <w:right w:val="none" w:sz="0" w:space="0" w:color="auto"/>
              </w:divBdr>
            </w:div>
            <w:div w:id="1003168343">
              <w:marLeft w:val="0"/>
              <w:marRight w:val="0"/>
              <w:marTop w:val="0"/>
              <w:marBottom w:val="0"/>
              <w:divBdr>
                <w:top w:val="none" w:sz="0" w:space="0" w:color="auto"/>
                <w:left w:val="none" w:sz="0" w:space="0" w:color="auto"/>
                <w:bottom w:val="none" w:sz="0" w:space="0" w:color="auto"/>
                <w:right w:val="none" w:sz="0" w:space="0" w:color="auto"/>
              </w:divBdr>
            </w:div>
            <w:div w:id="1070537929">
              <w:marLeft w:val="0"/>
              <w:marRight w:val="0"/>
              <w:marTop w:val="0"/>
              <w:marBottom w:val="0"/>
              <w:divBdr>
                <w:top w:val="none" w:sz="0" w:space="0" w:color="auto"/>
                <w:left w:val="none" w:sz="0" w:space="0" w:color="auto"/>
                <w:bottom w:val="none" w:sz="0" w:space="0" w:color="auto"/>
                <w:right w:val="none" w:sz="0" w:space="0" w:color="auto"/>
              </w:divBdr>
            </w:div>
            <w:div w:id="1205483261">
              <w:marLeft w:val="0"/>
              <w:marRight w:val="0"/>
              <w:marTop w:val="0"/>
              <w:marBottom w:val="0"/>
              <w:divBdr>
                <w:top w:val="none" w:sz="0" w:space="0" w:color="auto"/>
                <w:left w:val="none" w:sz="0" w:space="0" w:color="auto"/>
                <w:bottom w:val="none" w:sz="0" w:space="0" w:color="auto"/>
                <w:right w:val="none" w:sz="0" w:space="0" w:color="auto"/>
              </w:divBdr>
            </w:div>
            <w:div w:id="1389647672">
              <w:marLeft w:val="0"/>
              <w:marRight w:val="0"/>
              <w:marTop w:val="0"/>
              <w:marBottom w:val="0"/>
              <w:divBdr>
                <w:top w:val="none" w:sz="0" w:space="0" w:color="auto"/>
                <w:left w:val="none" w:sz="0" w:space="0" w:color="auto"/>
                <w:bottom w:val="none" w:sz="0" w:space="0" w:color="auto"/>
                <w:right w:val="none" w:sz="0" w:space="0" w:color="auto"/>
              </w:divBdr>
            </w:div>
            <w:div w:id="1599635093">
              <w:marLeft w:val="0"/>
              <w:marRight w:val="0"/>
              <w:marTop w:val="0"/>
              <w:marBottom w:val="0"/>
              <w:divBdr>
                <w:top w:val="none" w:sz="0" w:space="0" w:color="auto"/>
                <w:left w:val="none" w:sz="0" w:space="0" w:color="auto"/>
                <w:bottom w:val="none" w:sz="0" w:space="0" w:color="auto"/>
                <w:right w:val="none" w:sz="0" w:space="0" w:color="auto"/>
              </w:divBdr>
            </w:div>
          </w:divsChild>
        </w:div>
        <w:div w:id="253828544">
          <w:marLeft w:val="0"/>
          <w:marRight w:val="0"/>
          <w:marTop w:val="0"/>
          <w:marBottom w:val="0"/>
          <w:divBdr>
            <w:top w:val="none" w:sz="0" w:space="0" w:color="auto"/>
            <w:left w:val="none" w:sz="0" w:space="0" w:color="auto"/>
            <w:bottom w:val="none" w:sz="0" w:space="0" w:color="auto"/>
            <w:right w:val="none" w:sz="0" w:space="0" w:color="auto"/>
          </w:divBdr>
          <w:divsChild>
            <w:div w:id="1840849703">
              <w:marLeft w:val="-75"/>
              <w:marRight w:val="0"/>
              <w:marTop w:val="30"/>
              <w:marBottom w:val="30"/>
              <w:divBdr>
                <w:top w:val="none" w:sz="0" w:space="0" w:color="auto"/>
                <w:left w:val="none" w:sz="0" w:space="0" w:color="auto"/>
                <w:bottom w:val="none" w:sz="0" w:space="0" w:color="auto"/>
                <w:right w:val="none" w:sz="0" w:space="0" w:color="auto"/>
              </w:divBdr>
              <w:divsChild>
                <w:div w:id="114832798">
                  <w:marLeft w:val="0"/>
                  <w:marRight w:val="0"/>
                  <w:marTop w:val="0"/>
                  <w:marBottom w:val="0"/>
                  <w:divBdr>
                    <w:top w:val="none" w:sz="0" w:space="0" w:color="auto"/>
                    <w:left w:val="none" w:sz="0" w:space="0" w:color="auto"/>
                    <w:bottom w:val="none" w:sz="0" w:space="0" w:color="auto"/>
                    <w:right w:val="none" w:sz="0" w:space="0" w:color="auto"/>
                  </w:divBdr>
                  <w:divsChild>
                    <w:div w:id="1463229439">
                      <w:marLeft w:val="0"/>
                      <w:marRight w:val="0"/>
                      <w:marTop w:val="0"/>
                      <w:marBottom w:val="0"/>
                      <w:divBdr>
                        <w:top w:val="none" w:sz="0" w:space="0" w:color="auto"/>
                        <w:left w:val="none" w:sz="0" w:space="0" w:color="auto"/>
                        <w:bottom w:val="none" w:sz="0" w:space="0" w:color="auto"/>
                        <w:right w:val="none" w:sz="0" w:space="0" w:color="auto"/>
                      </w:divBdr>
                    </w:div>
                  </w:divsChild>
                </w:div>
                <w:div w:id="451944268">
                  <w:marLeft w:val="0"/>
                  <w:marRight w:val="0"/>
                  <w:marTop w:val="0"/>
                  <w:marBottom w:val="0"/>
                  <w:divBdr>
                    <w:top w:val="none" w:sz="0" w:space="0" w:color="auto"/>
                    <w:left w:val="none" w:sz="0" w:space="0" w:color="auto"/>
                    <w:bottom w:val="none" w:sz="0" w:space="0" w:color="auto"/>
                    <w:right w:val="none" w:sz="0" w:space="0" w:color="auto"/>
                  </w:divBdr>
                  <w:divsChild>
                    <w:div w:id="14159930">
                      <w:marLeft w:val="0"/>
                      <w:marRight w:val="0"/>
                      <w:marTop w:val="0"/>
                      <w:marBottom w:val="0"/>
                      <w:divBdr>
                        <w:top w:val="none" w:sz="0" w:space="0" w:color="auto"/>
                        <w:left w:val="none" w:sz="0" w:space="0" w:color="auto"/>
                        <w:bottom w:val="none" w:sz="0" w:space="0" w:color="auto"/>
                        <w:right w:val="none" w:sz="0" w:space="0" w:color="auto"/>
                      </w:divBdr>
                    </w:div>
                  </w:divsChild>
                </w:div>
                <w:div w:id="505361158">
                  <w:marLeft w:val="0"/>
                  <w:marRight w:val="0"/>
                  <w:marTop w:val="0"/>
                  <w:marBottom w:val="0"/>
                  <w:divBdr>
                    <w:top w:val="none" w:sz="0" w:space="0" w:color="auto"/>
                    <w:left w:val="none" w:sz="0" w:space="0" w:color="auto"/>
                    <w:bottom w:val="none" w:sz="0" w:space="0" w:color="auto"/>
                    <w:right w:val="none" w:sz="0" w:space="0" w:color="auto"/>
                  </w:divBdr>
                  <w:divsChild>
                    <w:div w:id="1063872079">
                      <w:marLeft w:val="0"/>
                      <w:marRight w:val="0"/>
                      <w:marTop w:val="0"/>
                      <w:marBottom w:val="0"/>
                      <w:divBdr>
                        <w:top w:val="none" w:sz="0" w:space="0" w:color="auto"/>
                        <w:left w:val="none" w:sz="0" w:space="0" w:color="auto"/>
                        <w:bottom w:val="none" w:sz="0" w:space="0" w:color="auto"/>
                        <w:right w:val="none" w:sz="0" w:space="0" w:color="auto"/>
                      </w:divBdr>
                    </w:div>
                  </w:divsChild>
                </w:div>
                <w:div w:id="510729922">
                  <w:marLeft w:val="0"/>
                  <w:marRight w:val="0"/>
                  <w:marTop w:val="0"/>
                  <w:marBottom w:val="0"/>
                  <w:divBdr>
                    <w:top w:val="none" w:sz="0" w:space="0" w:color="auto"/>
                    <w:left w:val="none" w:sz="0" w:space="0" w:color="auto"/>
                    <w:bottom w:val="none" w:sz="0" w:space="0" w:color="auto"/>
                    <w:right w:val="none" w:sz="0" w:space="0" w:color="auto"/>
                  </w:divBdr>
                  <w:divsChild>
                    <w:div w:id="2009207930">
                      <w:marLeft w:val="0"/>
                      <w:marRight w:val="0"/>
                      <w:marTop w:val="0"/>
                      <w:marBottom w:val="0"/>
                      <w:divBdr>
                        <w:top w:val="none" w:sz="0" w:space="0" w:color="auto"/>
                        <w:left w:val="none" w:sz="0" w:space="0" w:color="auto"/>
                        <w:bottom w:val="none" w:sz="0" w:space="0" w:color="auto"/>
                        <w:right w:val="none" w:sz="0" w:space="0" w:color="auto"/>
                      </w:divBdr>
                    </w:div>
                  </w:divsChild>
                </w:div>
                <w:div w:id="763653718">
                  <w:marLeft w:val="0"/>
                  <w:marRight w:val="0"/>
                  <w:marTop w:val="0"/>
                  <w:marBottom w:val="0"/>
                  <w:divBdr>
                    <w:top w:val="none" w:sz="0" w:space="0" w:color="auto"/>
                    <w:left w:val="none" w:sz="0" w:space="0" w:color="auto"/>
                    <w:bottom w:val="none" w:sz="0" w:space="0" w:color="auto"/>
                    <w:right w:val="none" w:sz="0" w:space="0" w:color="auto"/>
                  </w:divBdr>
                  <w:divsChild>
                    <w:div w:id="1610043142">
                      <w:marLeft w:val="0"/>
                      <w:marRight w:val="0"/>
                      <w:marTop w:val="0"/>
                      <w:marBottom w:val="0"/>
                      <w:divBdr>
                        <w:top w:val="none" w:sz="0" w:space="0" w:color="auto"/>
                        <w:left w:val="none" w:sz="0" w:space="0" w:color="auto"/>
                        <w:bottom w:val="none" w:sz="0" w:space="0" w:color="auto"/>
                        <w:right w:val="none" w:sz="0" w:space="0" w:color="auto"/>
                      </w:divBdr>
                    </w:div>
                  </w:divsChild>
                </w:div>
                <w:div w:id="868100943">
                  <w:marLeft w:val="0"/>
                  <w:marRight w:val="0"/>
                  <w:marTop w:val="0"/>
                  <w:marBottom w:val="0"/>
                  <w:divBdr>
                    <w:top w:val="none" w:sz="0" w:space="0" w:color="auto"/>
                    <w:left w:val="none" w:sz="0" w:space="0" w:color="auto"/>
                    <w:bottom w:val="none" w:sz="0" w:space="0" w:color="auto"/>
                    <w:right w:val="none" w:sz="0" w:space="0" w:color="auto"/>
                  </w:divBdr>
                  <w:divsChild>
                    <w:div w:id="183400441">
                      <w:marLeft w:val="0"/>
                      <w:marRight w:val="0"/>
                      <w:marTop w:val="0"/>
                      <w:marBottom w:val="0"/>
                      <w:divBdr>
                        <w:top w:val="none" w:sz="0" w:space="0" w:color="auto"/>
                        <w:left w:val="none" w:sz="0" w:space="0" w:color="auto"/>
                        <w:bottom w:val="none" w:sz="0" w:space="0" w:color="auto"/>
                        <w:right w:val="none" w:sz="0" w:space="0" w:color="auto"/>
                      </w:divBdr>
                    </w:div>
                  </w:divsChild>
                </w:div>
                <w:div w:id="875462113">
                  <w:marLeft w:val="0"/>
                  <w:marRight w:val="0"/>
                  <w:marTop w:val="0"/>
                  <w:marBottom w:val="0"/>
                  <w:divBdr>
                    <w:top w:val="none" w:sz="0" w:space="0" w:color="auto"/>
                    <w:left w:val="none" w:sz="0" w:space="0" w:color="auto"/>
                    <w:bottom w:val="none" w:sz="0" w:space="0" w:color="auto"/>
                    <w:right w:val="none" w:sz="0" w:space="0" w:color="auto"/>
                  </w:divBdr>
                  <w:divsChild>
                    <w:div w:id="1971128182">
                      <w:marLeft w:val="0"/>
                      <w:marRight w:val="0"/>
                      <w:marTop w:val="0"/>
                      <w:marBottom w:val="0"/>
                      <w:divBdr>
                        <w:top w:val="none" w:sz="0" w:space="0" w:color="auto"/>
                        <w:left w:val="none" w:sz="0" w:space="0" w:color="auto"/>
                        <w:bottom w:val="none" w:sz="0" w:space="0" w:color="auto"/>
                        <w:right w:val="none" w:sz="0" w:space="0" w:color="auto"/>
                      </w:divBdr>
                    </w:div>
                  </w:divsChild>
                </w:div>
                <w:div w:id="1034691375">
                  <w:marLeft w:val="0"/>
                  <w:marRight w:val="0"/>
                  <w:marTop w:val="0"/>
                  <w:marBottom w:val="0"/>
                  <w:divBdr>
                    <w:top w:val="none" w:sz="0" w:space="0" w:color="auto"/>
                    <w:left w:val="none" w:sz="0" w:space="0" w:color="auto"/>
                    <w:bottom w:val="none" w:sz="0" w:space="0" w:color="auto"/>
                    <w:right w:val="none" w:sz="0" w:space="0" w:color="auto"/>
                  </w:divBdr>
                  <w:divsChild>
                    <w:div w:id="1285889141">
                      <w:marLeft w:val="0"/>
                      <w:marRight w:val="0"/>
                      <w:marTop w:val="0"/>
                      <w:marBottom w:val="0"/>
                      <w:divBdr>
                        <w:top w:val="none" w:sz="0" w:space="0" w:color="auto"/>
                        <w:left w:val="none" w:sz="0" w:space="0" w:color="auto"/>
                        <w:bottom w:val="none" w:sz="0" w:space="0" w:color="auto"/>
                        <w:right w:val="none" w:sz="0" w:space="0" w:color="auto"/>
                      </w:divBdr>
                    </w:div>
                  </w:divsChild>
                </w:div>
                <w:div w:id="1087072862">
                  <w:marLeft w:val="0"/>
                  <w:marRight w:val="0"/>
                  <w:marTop w:val="0"/>
                  <w:marBottom w:val="0"/>
                  <w:divBdr>
                    <w:top w:val="none" w:sz="0" w:space="0" w:color="auto"/>
                    <w:left w:val="none" w:sz="0" w:space="0" w:color="auto"/>
                    <w:bottom w:val="none" w:sz="0" w:space="0" w:color="auto"/>
                    <w:right w:val="none" w:sz="0" w:space="0" w:color="auto"/>
                  </w:divBdr>
                  <w:divsChild>
                    <w:div w:id="1466003922">
                      <w:marLeft w:val="0"/>
                      <w:marRight w:val="0"/>
                      <w:marTop w:val="0"/>
                      <w:marBottom w:val="0"/>
                      <w:divBdr>
                        <w:top w:val="none" w:sz="0" w:space="0" w:color="auto"/>
                        <w:left w:val="none" w:sz="0" w:space="0" w:color="auto"/>
                        <w:bottom w:val="none" w:sz="0" w:space="0" w:color="auto"/>
                        <w:right w:val="none" w:sz="0" w:space="0" w:color="auto"/>
                      </w:divBdr>
                    </w:div>
                  </w:divsChild>
                </w:div>
                <w:div w:id="1096512070">
                  <w:marLeft w:val="0"/>
                  <w:marRight w:val="0"/>
                  <w:marTop w:val="0"/>
                  <w:marBottom w:val="0"/>
                  <w:divBdr>
                    <w:top w:val="none" w:sz="0" w:space="0" w:color="auto"/>
                    <w:left w:val="none" w:sz="0" w:space="0" w:color="auto"/>
                    <w:bottom w:val="none" w:sz="0" w:space="0" w:color="auto"/>
                    <w:right w:val="none" w:sz="0" w:space="0" w:color="auto"/>
                  </w:divBdr>
                  <w:divsChild>
                    <w:div w:id="1469980085">
                      <w:marLeft w:val="0"/>
                      <w:marRight w:val="0"/>
                      <w:marTop w:val="0"/>
                      <w:marBottom w:val="0"/>
                      <w:divBdr>
                        <w:top w:val="none" w:sz="0" w:space="0" w:color="auto"/>
                        <w:left w:val="none" w:sz="0" w:space="0" w:color="auto"/>
                        <w:bottom w:val="none" w:sz="0" w:space="0" w:color="auto"/>
                        <w:right w:val="none" w:sz="0" w:space="0" w:color="auto"/>
                      </w:divBdr>
                    </w:div>
                  </w:divsChild>
                </w:div>
                <w:div w:id="1161390529">
                  <w:marLeft w:val="0"/>
                  <w:marRight w:val="0"/>
                  <w:marTop w:val="0"/>
                  <w:marBottom w:val="0"/>
                  <w:divBdr>
                    <w:top w:val="none" w:sz="0" w:space="0" w:color="auto"/>
                    <w:left w:val="none" w:sz="0" w:space="0" w:color="auto"/>
                    <w:bottom w:val="none" w:sz="0" w:space="0" w:color="auto"/>
                    <w:right w:val="none" w:sz="0" w:space="0" w:color="auto"/>
                  </w:divBdr>
                  <w:divsChild>
                    <w:div w:id="1731077131">
                      <w:marLeft w:val="0"/>
                      <w:marRight w:val="0"/>
                      <w:marTop w:val="0"/>
                      <w:marBottom w:val="0"/>
                      <w:divBdr>
                        <w:top w:val="none" w:sz="0" w:space="0" w:color="auto"/>
                        <w:left w:val="none" w:sz="0" w:space="0" w:color="auto"/>
                        <w:bottom w:val="none" w:sz="0" w:space="0" w:color="auto"/>
                        <w:right w:val="none" w:sz="0" w:space="0" w:color="auto"/>
                      </w:divBdr>
                    </w:div>
                  </w:divsChild>
                </w:div>
                <w:div w:id="1286237241">
                  <w:marLeft w:val="0"/>
                  <w:marRight w:val="0"/>
                  <w:marTop w:val="0"/>
                  <w:marBottom w:val="0"/>
                  <w:divBdr>
                    <w:top w:val="none" w:sz="0" w:space="0" w:color="auto"/>
                    <w:left w:val="none" w:sz="0" w:space="0" w:color="auto"/>
                    <w:bottom w:val="none" w:sz="0" w:space="0" w:color="auto"/>
                    <w:right w:val="none" w:sz="0" w:space="0" w:color="auto"/>
                  </w:divBdr>
                  <w:divsChild>
                    <w:div w:id="2090274612">
                      <w:marLeft w:val="0"/>
                      <w:marRight w:val="0"/>
                      <w:marTop w:val="0"/>
                      <w:marBottom w:val="0"/>
                      <w:divBdr>
                        <w:top w:val="none" w:sz="0" w:space="0" w:color="auto"/>
                        <w:left w:val="none" w:sz="0" w:space="0" w:color="auto"/>
                        <w:bottom w:val="none" w:sz="0" w:space="0" w:color="auto"/>
                        <w:right w:val="none" w:sz="0" w:space="0" w:color="auto"/>
                      </w:divBdr>
                    </w:div>
                  </w:divsChild>
                </w:div>
                <w:div w:id="1343124391">
                  <w:marLeft w:val="0"/>
                  <w:marRight w:val="0"/>
                  <w:marTop w:val="0"/>
                  <w:marBottom w:val="0"/>
                  <w:divBdr>
                    <w:top w:val="none" w:sz="0" w:space="0" w:color="auto"/>
                    <w:left w:val="none" w:sz="0" w:space="0" w:color="auto"/>
                    <w:bottom w:val="none" w:sz="0" w:space="0" w:color="auto"/>
                    <w:right w:val="none" w:sz="0" w:space="0" w:color="auto"/>
                  </w:divBdr>
                  <w:divsChild>
                    <w:div w:id="2101490443">
                      <w:marLeft w:val="0"/>
                      <w:marRight w:val="0"/>
                      <w:marTop w:val="0"/>
                      <w:marBottom w:val="0"/>
                      <w:divBdr>
                        <w:top w:val="none" w:sz="0" w:space="0" w:color="auto"/>
                        <w:left w:val="none" w:sz="0" w:space="0" w:color="auto"/>
                        <w:bottom w:val="none" w:sz="0" w:space="0" w:color="auto"/>
                        <w:right w:val="none" w:sz="0" w:space="0" w:color="auto"/>
                      </w:divBdr>
                    </w:div>
                  </w:divsChild>
                </w:div>
                <w:div w:id="1428043255">
                  <w:marLeft w:val="0"/>
                  <w:marRight w:val="0"/>
                  <w:marTop w:val="0"/>
                  <w:marBottom w:val="0"/>
                  <w:divBdr>
                    <w:top w:val="none" w:sz="0" w:space="0" w:color="auto"/>
                    <w:left w:val="none" w:sz="0" w:space="0" w:color="auto"/>
                    <w:bottom w:val="none" w:sz="0" w:space="0" w:color="auto"/>
                    <w:right w:val="none" w:sz="0" w:space="0" w:color="auto"/>
                  </w:divBdr>
                  <w:divsChild>
                    <w:div w:id="1327780919">
                      <w:marLeft w:val="0"/>
                      <w:marRight w:val="0"/>
                      <w:marTop w:val="0"/>
                      <w:marBottom w:val="0"/>
                      <w:divBdr>
                        <w:top w:val="none" w:sz="0" w:space="0" w:color="auto"/>
                        <w:left w:val="none" w:sz="0" w:space="0" w:color="auto"/>
                        <w:bottom w:val="none" w:sz="0" w:space="0" w:color="auto"/>
                        <w:right w:val="none" w:sz="0" w:space="0" w:color="auto"/>
                      </w:divBdr>
                    </w:div>
                  </w:divsChild>
                </w:div>
                <w:div w:id="1428768693">
                  <w:marLeft w:val="0"/>
                  <w:marRight w:val="0"/>
                  <w:marTop w:val="0"/>
                  <w:marBottom w:val="0"/>
                  <w:divBdr>
                    <w:top w:val="none" w:sz="0" w:space="0" w:color="auto"/>
                    <w:left w:val="none" w:sz="0" w:space="0" w:color="auto"/>
                    <w:bottom w:val="none" w:sz="0" w:space="0" w:color="auto"/>
                    <w:right w:val="none" w:sz="0" w:space="0" w:color="auto"/>
                  </w:divBdr>
                  <w:divsChild>
                    <w:div w:id="1735083482">
                      <w:marLeft w:val="0"/>
                      <w:marRight w:val="0"/>
                      <w:marTop w:val="0"/>
                      <w:marBottom w:val="0"/>
                      <w:divBdr>
                        <w:top w:val="none" w:sz="0" w:space="0" w:color="auto"/>
                        <w:left w:val="none" w:sz="0" w:space="0" w:color="auto"/>
                        <w:bottom w:val="none" w:sz="0" w:space="0" w:color="auto"/>
                        <w:right w:val="none" w:sz="0" w:space="0" w:color="auto"/>
                      </w:divBdr>
                    </w:div>
                  </w:divsChild>
                </w:div>
                <w:div w:id="1480612516">
                  <w:marLeft w:val="0"/>
                  <w:marRight w:val="0"/>
                  <w:marTop w:val="0"/>
                  <w:marBottom w:val="0"/>
                  <w:divBdr>
                    <w:top w:val="none" w:sz="0" w:space="0" w:color="auto"/>
                    <w:left w:val="none" w:sz="0" w:space="0" w:color="auto"/>
                    <w:bottom w:val="none" w:sz="0" w:space="0" w:color="auto"/>
                    <w:right w:val="none" w:sz="0" w:space="0" w:color="auto"/>
                  </w:divBdr>
                  <w:divsChild>
                    <w:div w:id="50005838">
                      <w:marLeft w:val="0"/>
                      <w:marRight w:val="0"/>
                      <w:marTop w:val="0"/>
                      <w:marBottom w:val="0"/>
                      <w:divBdr>
                        <w:top w:val="none" w:sz="0" w:space="0" w:color="auto"/>
                        <w:left w:val="none" w:sz="0" w:space="0" w:color="auto"/>
                        <w:bottom w:val="none" w:sz="0" w:space="0" w:color="auto"/>
                        <w:right w:val="none" w:sz="0" w:space="0" w:color="auto"/>
                      </w:divBdr>
                    </w:div>
                  </w:divsChild>
                </w:div>
                <w:div w:id="1482961696">
                  <w:marLeft w:val="0"/>
                  <w:marRight w:val="0"/>
                  <w:marTop w:val="0"/>
                  <w:marBottom w:val="0"/>
                  <w:divBdr>
                    <w:top w:val="none" w:sz="0" w:space="0" w:color="auto"/>
                    <w:left w:val="none" w:sz="0" w:space="0" w:color="auto"/>
                    <w:bottom w:val="none" w:sz="0" w:space="0" w:color="auto"/>
                    <w:right w:val="none" w:sz="0" w:space="0" w:color="auto"/>
                  </w:divBdr>
                  <w:divsChild>
                    <w:div w:id="609971757">
                      <w:marLeft w:val="0"/>
                      <w:marRight w:val="0"/>
                      <w:marTop w:val="0"/>
                      <w:marBottom w:val="0"/>
                      <w:divBdr>
                        <w:top w:val="none" w:sz="0" w:space="0" w:color="auto"/>
                        <w:left w:val="none" w:sz="0" w:space="0" w:color="auto"/>
                        <w:bottom w:val="none" w:sz="0" w:space="0" w:color="auto"/>
                        <w:right w:val="none" w:sz="0" w:space="0" w:color="auto"/>
                      </w:divBdr>
                    </w:div>
                  </w:divsChild>
                </w:div>
                <w:div w:id="1612281341">
                  <w:marLeft w:val="0"/>
                  <w:marRight w:val="0"/>
                  <w:marTop w:val="0"/>
                  <w:marBottom w:val="0"/>
                  <w:divBdr>
                    <w:top w:val="none" w:sz="0" w:space="0" w:color="auto"/>
                    <w:left w:val="none" w:sz="0" w:space="0" w:color="auto"/>
                    <w:bottom w:val="none" w:sz="0" w:space="0" w:color="auto"/>
                    <w:right w:val="none" w:sz="0" w:space="0" w:color="auto"/>
                  </w:divBdr>
                  <w:divsChild>
                    <w:div w:id="1941794749">
                      <w:marLeft w:val="0"/>
                      <w:marRight w:val="0"/>
                      <w:marTop w:val="0"/>
                      <w:marBottom w:val="0"/>
                      <w:divBdr>
                        <w:top w:val="none" w:sz="0" w:space="0" w:color="auto"/>
                        <w:left w:val="none" w:sz="0" w:space="0" w:color="auto"/>
                        <w:bottom w:val="none" w:sz="0" w:space="0" w:color="auto"/>
                        <w:right w:val="none" w:sz="0" w:space="0" w:color="auto"/>
                      </w:divBdr>
                    </w:div>
                  </w:divsChild>
                </w:div>
                <w:div w:id="1712998597">
                  <w:marLeft w:val="0"/>
                  <w:marRight w:val="0"/>
                  <w:marTop w:val="0"/>
                  <w:marBottom w:val="0"/>
                  <w:divBdr>
                    <w:top w:val="none" w:sz="0" w:space="0" w:color="auto"/>
                    <w:left w:val="none" w:sz="0" w:space="0" w:color="auto"/>
                    <w:bottom w:val="none" w:sz="0" w:space="0" w:color="auto"/>
                    <w:right w:val="none" w:sz="0" w:space="0" w:color="auto"/>
                  </w:divBdr>
                  <w:divsChild>
                    <w:div w:id="1957329888">
                      <w:marLeft w:val="0"/>
                      <w:marRight w:val="0"/>
                      <w:marTop w:val="0"/>
                      <w:marBottom w:val="0"/>
                      <w:divBdr>
                        <w:top w:val="none" w:sz="0" w:space="0" w:color="auto"/>
                        <w:left w:val="none" w:sz="0" w:space="0" w:color="auto"/>
                        <w:bottom w:val="none" w:sz="0" w:space="0" w:color="auto"/>
                        <w:right w:val="none" w:sz="0" w:space="0" w:color="auto"/>
                      </w:divBdr>
                    </w:div>
                  </w:divsChild>
                </w:div>
                <w:div w:id="1865485566">
                  <w:marLeft w:val="0"/>
                  <w:marRight w:val="0"/>
                  <w:marTop w:val="0"/>
                  <w:marBottom w:val="0"/>
                  <w:divBdr>
                    <w:top w:val="none" w:sz="0" w:space="0" w:color="auto"/>
                    <w:left w:val="none" w:sz="0" w:space="0" w:color="auto"/>
                    <w:bottom w:val="none" w:sz="0" w:space="0" w:color="auto"/>
                    <w:right w:val="none" w:sz="0" w:space="0" w:color="auto"/>
                  </w:divBdr>
                  <w:divsChild>
                    <w:div w:id="10953783">
                      <w:marLeft w:val="0"/>
                      <w:marRight w:val="0"/>
                      <w:marTop w:val="0"/>
                      <w:marBottom w:val="0"/>
                      <w:divBdr>
                        <w:top w:val="none" w:sz="0" w:space="0" w:color="auto"/>
                        <w:left w:val="none" w:sz="0" w:space="0" w:color="auto"/>
                        <w:bottom w:val="none" w:sz="0" w:space="0" w:color="auto"/>
                        <w:right w:val="none" w:sz="0" w:space="0" w:color="auto"/>
                      </w:divBdr>
                    </w:div>
                  </w:divsChild>
                </w:div>
                <w:div w:id="1894467336">
                  <w:marLeft w:val="0"/>
                  <w:marRight w:val="0"/>
                  <w:marTop w:val="0"/>
                  <w:marBottom w:val="0"/>
                  <w:divBdr>
                    <w:top w:val="none" w:sz="0" w:space="0" w:color="auto"/>
                    <w:left w:val="none" w:sz="0" w:space="0" w:color="auto"/>
                    <w:bottom w:val="none" w:sz="0" w:space="0" w:color="auto"/>
                    <w:right w:val="none" w:sz="0" w:space="0" w:color="auto"/>
                  </w:divBdr>
                  <w:divsChild>
                    <w:div w:id="1416241284">
                      <w:marLeft w:val="0"/>
                      <w:marRight w:val="0"/>
                      <w:marTop w:val="0"/>
                      <w:marBottom w:val="0"/>
                      <w:divBdr>
                        <w:top w:val="none" w:sz="0" w:space="0" w:color="auto"/>
                        <w:left w:val="none" w:sz="0" w:space="0" w:color="auto"/>
                        <w:bottom w:val="none" w:sz="0" w:space="0" w:color="auto"/>
                        <w:right w:val="none" w:sz="0" w:space="0" w:color="auto"/>
                      </w:divBdr>
                    </w:div>
                  </w:divsChild>
                </w:div>
                <w:div w:id="1952124338">
                  <w:marLeft w:val="0"/>
                  <w:marRight w:val="0"/>
                  <w:marTop w:val="0"/>
                  <w:marBottom w:val="0"/>
                  <w:divBdr>
                    <w:top w:val="none" w:sz="0" w:space="0" w:color="auto"/>
                    <w:left w:val="none" w:sz="0" w:space="0" w:color="auto"/>
                    <w:bottom w:val="none" w:sz="0" w:space="0" w:color="auto"/>
                    <w:right w:val="none" w:sz="0" w:space="0" w:color="auto"/>
                  </w:divBdr>
                  <w:divsChild>
                    <w:div w:id="68115135">
                      <w:marLeft w:val="0"/>
                      <w:marRight w:val="0"/>
                      <w:marTop w:val="0"/>
                      <w:marBottom w:val="0"/>
                      <w:divBdr>
                        <w:top w:val="none" w:sz="0" w:space="0" w:color="auto"/>
                        <w:left w:val="none" w:sz="0" w:space="0" w:color="auto"/>
                        <w:bottom w:val="none" w:sz="0" w:space="0" w:color="auto"/>
                        <w:right w:val="none" w:sz="0" w:space="0" w:color="auto"/>
                      </w:divBdr>
                    </w:div>
                  </w:divsChild>
                </w:div>
                <w:div w:id="1988708734">
                  <w:marLeft w:val="0"/>
                  <w:marRight w:val="0"/>
                  <w:marTop w:val="0"/>
                  <w:marBottom w:val="0"/>
                  <w:divBdr>
                    <w:top w:val="none" w:sz="0" w:space="0" w:color="auto"/>
                    <w:left w:val="none" w:sz="0" w:space="0" w:color="auto"/>
                    <w:bottom w:val="none" w:sz="0" w:space="0" w:color="auto"/>
                    <w:right w:val="none" w:sz="0" w:space="0" w:color="auto"/>
                  </w:divBdr>
                  <w:divsChild>
                    <w:div w:id="50231231">
                      <w:marLeft w:val="0"/>
                      <w:marRight w:val="0"/>
                      <w:marTop w:val="0"/>
                      <w:marBottom w:val="0"/>
                      <w:divBdr>
                        <w:top w:val="none" w:sz="0" w:space="0" w:color="auto"/>
                        <w:left w:val="none" w:sz="0" w:space="0" w:color="auto"/>
                        <w:bottom w:val="none" w:sz="0" w:space="0" w:color="auto"/>
                        <w:right w:val="none" w:sz="0" w:space="0" w:color="auto"/>
                      </w:divBdr>
                    </w:div>
                  </w:divsChild>
                </w:div>
                <w:div w:id="2139952089">
                  <w:marLeft w:val="0"/>
                  <w:marRight w:val="0"/>
                  <w:marTop w:val="0"/>
                  <w:marBottom w:val="0"/>
                  <w:divBdr>
                    <w:top w:val="none" w:sz="0" w:space="0" w:color="auto"/>
                    <w:left w:val="none" w:sz="0" w:space="0" w:color="auto"/>
                    <w:bottom w:val="none" w:sz="0" w:space="0" w:color="auto"/>
                    <w:right w:val="none" w:sz="0" w:space="0" w:color="auto"/>
                  </w:divBdr>
                  <w:divsChild>
                    <w:div w:id="17873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217621">
          <w:marLeft w:val="0"/>
          <w:marRight w:val="0"/>
          <w:marTop w:val="0"/>
          <w:marBottom w:val="0"/>
          <w:divBdr>
            <w:top w:val="none" w:sz="0" w:space="0" w:color="auto"/>
            <w:left w:val="none" w:sz="0" w:space="0" w:color="auto"/>
            <w:bottom w:val="none" w:sz="0" w:space="0" w:color="auto"/>
            <w:right w:val="none" w:sz="0" w:space="0" w:color="auto"/>
          </w:divBdr>
          <w:divsChild>
            <w:div w:id="306977484">
              <w:marLeft w:val="0"/>
              <w:marRight w:val="0"/>
              <w:marTop w:val="0"/>
              <w:marBottom w:val="0"/>
              <w:divBdr>
                <w:top w:val="none" w:sz="0" w:space="0" w:color="auto"/>
                <w:left w:val="none" w:sz="0" w:space="0" w:color="auto"/>
                <w:bottom w:val="none" w:sz="0" w:space="0" w:color="auto"/>
                <w:right w:val="none" w:sz="0" w:space="0" w:color="auto"/>
              </w:divBdr>
            </w:div>
            <w:div w:id="514468191">
              <w:marLeft w:val="0"/>
              <w:marRight w:val="0"/>
              <w:marTop w:val="0"/>
              <w:marBottom w:val="0"/>
              <w:divBdr>
                <w:top w:val="none" w:sz="0" w:space="0" w:color="auto"/>
                <w:left w:val="none" w:sz="0" w:space="0" w:color="auto"/>
                <w:bottom w:val="none" w:sz="0" w:space="0" w:color="auto"/>
                <w:right w:val="none" w:sz="0" w:space="0" w:color="auto"/>
              </w:divBdr>
            </w:div>
            <w:div w:id="655184372">
              <w:marLeft w:val="0"/>
              <w:marRight w:val="0"/>
              <w:marTop w:val="0"/>
              <w:marBottom w:val="0"/>
              <w:divBdr>
                <w:top w:val="none" w:sz="0" w:space="0" w:color="auto"/>
                <w:left w:val="none" w:sz="0" w:space="0" w:color="auto"/>
                <w:bottom w:val="none" w:sz="0" w:space="0" w:color="auto"/>
                <w:right w:val="none" w:sz="0" w:space="0" w:color="auto"/>
              </w:divBdr>
            </w:div>
            <w:div w:id="965701879">
              <w:marLeft w:val="0"/>
              <w:marRight w:val="0"/>
              <w:marTop w:val="0"/>
              <w:marBottom w:val="0"/>
              <w:divBdr>
                <w:top w:val="none" w:sz="0" w:space="0" w:color="auto"/>
                <w:left w:val="none" w:sz="0" w:space="0" w:color="auto"/>
                <w:bottom w:val="none" w:sz="0" w:space="0" w:color="auto"/>
                <w:right w:val="none" w:sz="0" w:space="0" w:color="auto"/>
              </w:divBdr>
            </w:div>
            <w:div w:id="1157191901">
              <w:marLeft w:val="0"/>
              <w:marRight w:val="0"/>
              <w:marTop w:val="0"/>
              <w:marBottom w:val="0"/>
              <w:divBdr>
                <w:top w:val="none" w:sz="0" w:space="0" w:color="auto"/>
                <w:left w:val="none" w:sz="0" w:space="0" w:color="auto"/>
                <w:bottom w:val="none" w:sz="0" w:space="0" w:color="auto"/>
                <w:right w:val="none" w:sz="0" w:space="0" w:color="auto"/>
              </w:divBdr>
            </w:div>
            <w:div w:id="1226405390">
              <w:marLeft w:val="0"/>
              <w:marRight w:val="0"/>
              <w:marTop w:val="0"/>
              <w:marBottom w:val="0"/>
              <w:divBdr>
                <w:top w:val="none" w:sz="0" w:space="0" w:color="auto"/>
                <w:left w:val="none" w:sz="0" w:space="0" w:color="auto"/>
                <w:bottom w:val="none" w:sz="0" w:space="0" w:color="auto"/>
                <w:right w:val="none" w:sz="0" w:space="0" w:color="auto"/>
              </w:divBdr>
            </w:div>
            <w:div w:id="1385907688">
              <w:marLeft w:val="0"/>
              <w:marRight w:val="0"/>
              <w:marTop w:val="0"/>
              <w:marBottom w:val="0"/>
              <w:divBdr>
                <w:top w:val="none" w:sz="0" w:space="0" w:color="auto"/>
                <w:left w:val="none" w:sz="0" w:space="0" w:color="auto"/>
                <w:bottom w:val="none" w:sz="0" w:space="0" w:color="auto"/>
                <w:right w:val="none" w:sz="0" w:space="0" w:color="auto"/>
              </w:divBdr>
            </w:div>
            <w:div w:id="1807040054">
              <w:marLeft w:val="0"/>
              <w:marRight w:val="0"/>
              <w:marTop w:val="0"/>
              <w:marBottom w:val="0"/>
              <w:divBdr>
                <w:top w:val="none" w:sz="0" w:space="0" w:color="auto"/>
                <w:left w:val="none" w:sz="0" w:space="0" w:color="auto"/>
                <w:bottom w:val="none" w:sz="0" w:space="0" w:color="auto"/>
                <w:right w:val="none" w:sz="0" w:space="0" w:color="auto"/>
              </w:divBdr>
            </w:div>
            <w:div w:id="1902249736">
              <w:marLeft w:val="0"/>
              <w:marRight w:val="0"/>
              <w:marTop w:val="0"/>
              <w:marBottom w:val="0"/>
              <w:divBdr>
                <w:top w:val="none" w:sz="0" w:space="0" w:color="auto"/>
                <w:left w:val="none" w:sz="0" w:space="0" w:color="auto"/>
                <w:bottom w:val="none" w:sz="0" w:space="0" w:color="auto"/>
                <w:right w:val="none" w:sz="0" w:space="0" w:color="auto"/>
              </w:divBdr>
            </w:div>
          </w:divsChild>
        </w:div>
        <w:div w:id="256594377">
          <w:marLeft w:val="0"/>
          <w:marRight w:val="0"/>
          <w:marTop w:val="0"/>
          <w:marBottom w:val="0"/>
          <w:divBdr>
            <w:top w:val="none" w:sz="0" w:space="0" w:color="auto"/>
            <w:left w:val="none" w:sz="0" w:space="0" w:color="auto"/>
            <w:bottom w:val="none" w:sz="0" w:space="0" w:color="auto"/>
            <w:right w:val="none" w:sz="0" w:space="0" w:color="auto"/>
          </w:divBdr>
        </w:div>
        <w:div w:id="265619036">
          <w:marLeft w:val="0"/>
          <w:marRight w:val="0"/>
          <w:marTop w:val="0"/>
          <w:marBottom w:val="0"/>
          <w:divBdr>
            <w:top w:val="none" w:sz="0" w:space="0" w:color="auto"/>
            <w:left w:val="none" w:sz="0" w:space="0" w:color="auto"/>
            <w:bottom w:val="none" w:sz="0" w:space="0" w:color="auto"/>
            <w:right w:val="none" w:sz="0" w:space="0" w:color="auto"/>
          </w:divBdr>
          <w:divsChild>
            <w:div w:id="1337608307">
              <w:marLeft w:val="-75"/>
              <w:marRight w:val="0"/>
              <w:marTop w:val="30"/>
              <w:marBottom w:val="30"/>
              <w:divBdr>
                <w:top w:val="none" w:sz="0" w:space="0" w:color="auto"/>
                <w:left w:val="none" w:sz="0" w:space="0" w:color="auto"/>
                <w:bottom w:val="none" w:sz="0" w:space="0" w:color="auto"/>
                <w:right w:val="none" w:sz="0" w:space="0" w:color="auto"/>
              </w:divBdr>
              <w:divsChild>
                <w:div w:id="8023214">
                  <w:marLeft w:val="0"/>
                  <w:marRight w:val="0"/>
                  <w:marTop w:val="0"/>
                  <w:marBottom w:val="0"/>
                  <w:divBdr>
                    <w:top w:val="none" w:sz="0" w:space="0" w:color="auto"/>
                    <w:left w:val="none" w:sz="0" w:space="0" w:color="auto"/>
                    <w:bottom w:val="none" w:sz="0" w:space="0" w:color="auto"/>
                    <w:right w:val="none" w:sz="0" w:space="0" w:color="auto"/>
                  </w:divBdr>
                  <w:divsChild>
                    <w:div w:id="484397672">
                      <w:marLeft w:val="0"/>
                      <w:marRight w:val="0"/>
                      <w:marTop w:val="0"/>
                      <w:marBottom w:val="0"/>
                      <w:divBdr>
                        <w:top w:val="none" w:sz="0" w:space="0" w:color="auto"/>
                        <w:left w:val="none" w:sz="0" w:space="0" w:color="auto"/>
                        <w:bottom w:val="none" w:sz="0" w:space="0" w:color="auto"/>
                        <w:right w:val="none" w:sz="0" w:space="0" w:color="auto"/>
                      </w:divBdr>
                    </w:div>
                  </w:divsChild>
                </w:div>
                <w:div w:id="181674229">
                  <w:marLeft w:val="0"/>
                  <w:marRight w:val="0"/>
                  <w:marTop w:val="0"/>
                  <w:marBottom w:val="0"/>
                  <w:divBdr>
                    <w:top w:val="none" w:sz="0" w:space="0" w:color="auto"/>
                    <w:left w:val="none" w:sz="0" w:space="0" w:color="auto"/>
                    <w:bottom w:val="none" w:sz="0" w:space="0" w:color="auto"/>
                    <w:right w:val="none" w:sz="0" w:space="0" w:color="auto"/>
                  </w:divBdr>
                  <w:divsChild>
                    <w:div w:id="1375688553">
                      <w:marLeft w:val="0"/>
                      <w:marRight w:val="0"/>
                      <w:marTop w:val="0"/>
                      <w:marBottom w:val="0"/>
                      <w:divBdr>
                        <w:top w:val="none" w:sz="0" w:space="0" w:color="auto"/>
                        <w:left w:val="none" w:sz="0" w:space="0" w:color="auto"/>
                        <w:bottom w:val="none" w:sz="0" w:space="0" w:color="auto"/>
                        <w:right w:val="none" w:sz="0" w:space="0" w:color="auto"/>
                      </w:divBdr>
                    </w:div>
                  </w:divsChild>
                </w:div>
                <w:div w:id="267588257">
                  <w:marLeft w:val="0"/>
                  <w:marRight w:val="0"/>
                  <w:marTop w:val="0"/>
                  <w:marBottom w:val="0"/>
                  <w:divBdr>
                    <w:top w:val="none" w:sz="0" w:space="0" w:color="auto"/>
                    <w:left w:val="none" w:sz="0" w:space="0" w:color="auto"/>
                    <w:bottom w:val="none" w:sz="0" w:space="0" w:color="auto"/>
                    <w:right w:val="none" w:sz="0" w:space="0" w:color="auto"/>
                  </w:divBdr>
                  <w:divsChild>
                    <w:div w:id="1274091061">
                      <w:marLeft w:val="0"/>
                      <w:marRight w:val="0"/>
                      <w:marTop w:val="0"/>
                      <w:marBottom w:val="0"/>
                      <w:divBdr>
                        <w:top w:val="none" w:sz="0" w:space="0" w:color="auto"/>
                        <w:left w:val="none" w:sz="0" w:space="0" w:color="auto"/>
                        <w:bottom w:val="none" w:sz="0" w:space="0" w:color="auto"/>
                        <w:right w:val="none" w:sz="0" w:space="0" w:color="auto"/>
                      </w:divBdr>
                    </w:div>
                  </w:divsChild>
                </w:div>
                <w:div w:id="414088007">
                  <w:marLeft w:val="0"/>
                  <w:marRight w:val="0"/>
                  <w:marTop w:val="0"/>
                  <w:marBottom w:val="0"/>
                  <w:divBdr>
                    <w:top w:val="none" w:sz="0" w:space="0" w:color="auto"/>
                    <w:left w:val="none" w:sz="0" w:space="0" w:color="auto"/>
                    <w:bottom w:val="none" w:sz="0" w:space="0" w:color="auto"/>
                    <w:right w:val="none" w:sz="0" w:space="0" w:color="auto"/>
                  </w:divBdr>
                  <w:divsChild>
                    <w:div w:id="2143232860">
                      <w:marLeft w:val="0"/>
                      <w:marRight w:val="0"/>
                      <w:marTop w:val="0"/>
                      <w:marBottom w:val="0"/>
                      <w:divBdr>
                        <w:top w:val="none" w:sz="0" w:space="0" w:color="auto"/>
                        <w:left w:val="none" w:sz="0" w:space="0" w:color="auto"/>
                        <w:bottom w:val="none" w:sz="0" w:space="0" w:color="auto"/>
                        <w:right w:val="none" w:sz="0" w:space="0" w:color="auto"/>
                      </w:divBdr>
                    </w:div>
                  </w:divsChild>
                </w:div>
                <w:div w:id="631207022">
                  <w:marLeft w:val="0"/>
                  <w:marRight w:val="0"/>
                  <w:marTop w:val="0"/>
                  <w:marBottom w:val="0"/>
                  <w:divBdr>
                    <w:top w:val="none" w:sz="0" w:space="0" w:color="auto"/>
                    <w:left w:val="none" w:sz="0" w:space="0" w:color="auto"/>
                    <w:bottom w:val="none" w:sz="0" w:space="0" w:color="auto"/>
                    <w:right w:val="none" w:sz="0" w:space="0" w:color="auto"/>
                  </w:divBdr>
                  <w:divsChild>
                    <w:div w:id="933712516">
                      <w:marLeft w:val="0"/>
                      <w:marRight w:val="0"/>
                      <w:marTop w:val="0"/>
                      <w:marBottom w:val="0"/>
                      <w:divBdr>
                        <w:top w:val="none" w:sz="0" w:space="0" w:color="auto"/>
                        <w:left w:val="none" w:sz="0" w:space="0" w:color="auto"/>
                        <w:bottom w:val="none" w:sz="0" w:space="0" w:color="auto"/>
                        <w:right w:val="none" w:sz="0" w:space="0" w:color="auto"/>
                      </w:divBdr>
                    </w:div>
                  </w:divsChild>
                </w:div>
                <w:div w:id="819856492">
                  <w:marLeft w:val="0"/>
                  <w:marRight w:val="0"/>
                  <w:marTop w:val="0"/>
                  <w:marBottom w:val="0"/>
                  <w:divBdr>
                    <w:top w:val="none" w:sz="0" w:space="0" w:color="auto"/>
                    <w:left w:val="none" w:sz="0" w:space="0" w:color="auto"/>
                    <w:bottom w:val="none" w:sz="0" w:space="0" w:color="auto"/>
                    <w:right w:val="none" w:sz="0" w:space="0" w:color="auto"/>
                  </w:divBdr>
                  <w:divsChild>
                    <w:div w:id="443499176">
                      <w:marLeft w:val="0"/>
                      <w:marRight w:val="0"/>
                      <w:marTop w:val="0"/>
                      <w:marBottom w:val="0"/>
                      <w:divBdr>
                        <w:top w:val="none" w:sz="0" w:space="0" w:color="auto"/>
                        <w:left w:val="none" w:sz="0" w:space="0" w:color="auto"/>
                        <w:bottom w:val="none" w:sz="0" w:space="0" w:color="auto"/>
                        <w:right w:val="none" w:sz="0" w:space="0" w:color="auto"/>
                      </w:divBdr>
                    </w:div>
                  </w:divsChild>
                </w:div>
                <w:div w:id="935214165">
                  <w:marLeft w:val="0"/>
                  <w:marRight w:val="0"/>
                  <w:marTop w:val="0"/>
                  <w:marBottom w:val="0"/>
                  <w:divBdr>
                    <w:top w:val="none" w:sz="0" w:space="0" w:color="auto"/>
                    <w:left w:val="none" w:sz="0" w:space="0" w:color="auto"/>
                    <w:bottom w:val="none" w:sz="0" w:space="0" w:color="auto"/>
                    <w:right w:val="none" w:sz="0" w:space="0" w:color="auto"/>
                  </w:divBdr>
                  <w:divsChild>
                    <w:div w:id="989790683">
                      <w:marLeft w:val="0"/>
                      <w:marRight w:val="0"/>
                      <w:marTop w:val="0"/>
                      <w:marBottom w:val="0"/>
                      <w:divBdr>
                        <w:top w:val="none" w:sz="0" w:space="0" w:color="auto"/>
                        <w:left w:val="none" w:sz="0" w:space="0" w:color="auto"/>
                        <w:bottom w:val="none" w:sz="0" w:space="0" w:color="auto"/>
                        <w:right w:val="none" w:sz="0" w:space="0" w:color="auto"/>
                      </w:divBdr>
                    </w:div>
                  </w:divsChild>
                </w:div>
                <w:div w:id="1534540565">
                  <w:marLeft w:val="0"/>
                  <w:marRight w:val="0"/>
                  <w:marTop w:val="0"/>
                  <w:marBottom w:val="0"/>
                  <w:divBdr>
                    <w:top w:val="none" w:sz="0" w:space="0" w:color="auto"/>
                    <w:left w:val="none" w:sz="0" w:space="0" w:color="auto"/>
                    <w:bottom w:val="none" w:sz="0" w:space="0" w:color="auto"/>
                    <w:right w:val="none" w:sz="0" w:space="0" w:color="auto"/>
                  </w:divBdr>
                  <w:divsChild>
                    <w:div w:id="1492989024">
                      <w:marLeft w:val="0"/>
                      <w:marRight w:val="0"/>
                      <w:marTop w:val="0"/>
                      <w:marBottom w:val="0"/>
                      <w:divBdr>
                        <w:top w:val="none" w:sz="0" w:space="0" w:color="auto"/>
                        <w:left w:val="none" w:sz="0" w:space="0" w:color="auto"/>
                        <w:bottom w:val="none" w:sz="0" w:space="0" w:color="auto"/>
                        <w:right w:val="none" w:sz="0" w:space="0" w:color="auto"/>
                      </w:divBdr>
                    </w:div>
                  </w:divsChild>
                </w:div>
                <w:div w:id="1736318082">
                  <w:marLeft w:val="0"/>
                  <w:marRight w:val="0"/>
                  <w:marTop w:val="0"/>
                  <w:marBottom w:val="0"/>
                  <w:divBdr>
                    <w:top w:val="none" w:sz="0" w:space="0" w:color="auto"/>
                    <w:left w:val="none" w:sz="0" w:space="0" w:color="auto"/>
                    <w:bottom w:val="none" w:sz="0" w:space="0" w:color="auto"/>
                    <w:right w:val="none" w:sz="0" w:space="0" w:color="auto"/>
                  </w:divBdr>
                  <w:divsChild>
                    <w:div w:id="299117887">
                      <w:marLeft w:val="0"/>
                      <w:marRight w:val="0"/>
                      <w:marTop w:val="0"/>
                      <w:marBottom w:val="0"/>
                      <w:divBdr>
                        <w:top w:val="none" w:sz="0" w:space="0" w:color="auto"/>
                        <w:left w:val="none" w:sz="0" w:space="0" w:color="auto"/>
                        <w:bottom w:val="none" w:sz="0" w:space="0" w:color="auto"/>
                        <w:right w:val="none" w:sz="0" w:space="0" w:color="auto"/>
                      </w:divBdr>
                    </w:div>
                  </w:divsChild>
                </w:div>
                <w:div w:id="1741172689">
                  <w:marLeft w:val="0"/>
                  <w:marRight w:val="0"/>
                  <w:marTop w:val="0"/>
                  <w:marBottom w:val="0"/>
                  <w:divBdr>
                    <w:top w:val="none" w:sz="0" w:space="0" w:color="auto"/>
                    <w:left w:val="none" w:sz="0" w:space="0" w:color="auto"/>
                    <w:bottom w:val="none" w:sz="0" w:space="0" w:color="auto"/>
                    <w:right w:val="none" w:sz="0" w:space="0" w:color="auto"/>
                  </w:divBdr>
                  <w:divsChild>
                    <w:div w:id="1850097217">
                      <w:marLeft w:val="0"/>
                      <w:marRight w:val="0"/>
                      <w:marTop w:val="0"/>
                      <w:marBottom w:val="0"/>
                      <w:divBdr>
                        <w:top w:val="none" w:sz="0" w:space="0" w:color="auto"/>
                        <w:left w:val="none" w:sz="0" w:space="0" w:color="auto"/>
                        <w:bottom w:val="none" w:sz="0" w:space="0" w:color="auto"/>
                        <w:right w:val="none" w:sz="0" w:space="0" w:color="auto"/>
                      </w:divBdr>
                    </w:div>
                  </w:divsChild>
                </w:div>
                <w:div w:id="1823349085">
                  <w:marLeft w:val="0"/>
                  <w:marRight w:val="0"/>
                  <w:marTop w:val="0"/>
                  <w:marBottom w:val="0"/>
                  <w:divBdr>
                    <w:top w:val="none" w:sz="0" w:space="0" w:color="auto"/>
                    <w:left w:val="none" w:sz="0" w:space="0" w:color="auto"/>
                    <w:bottom w:val="none" w:sz="0" w:space="0" w:color="auto"/>
                    <w:right w:val="none" w:sz="0" w:space="0" w:color="auto"/>
                  </w:divBdr>
                  <w:divsChild>
                    <w:div w:id="2003195095">
                      <w:marLeft w:val="0"/>
                      <w:marRight w:val="0"/>
                      <w:marTop w:val="0"/>
                      <w:marBottom w:val="0"/>
                      <w:divBdr>
                        <w:top w:val="none" w:sz="0" w:space="0" w:color="auto"/>
                        <w:left w:val="none" w:sz="0" w:space="0" w:color="auto"/>
                        <w:bottom w:val="none" w:sz="0" w:space="0" w:color="auto"/>
                        <w:right w:val="none" w:sz="0" w:space="0" w:color="auto"/>
                      </w:divBdr>
                    </w:div>
                  </w:divsChild>
                </w:div>
                <w:div w:id="1979067789">
                  <w:marLeft w:val="0"/>
                  <w:marRight w:val="0"/>
                  <w:marTop w:val="0"/>
                  <w:marBottom w:val="0"/>
                  <w:divBdr>
                    <w:top w:val="none" w:sz="0" w:space="0" w:color="auto"/>
                    <w:left w:val="none" w:sz="0" w:space="0" w:color="auto"/>
                    <w:bottom w:val="none" w:sz="0" w:space="0" w:color="auto"/>
                    <w:right w:val="none" w:sz="0" w:space="0" w:color="auto"/>
                  </w:divBdr>
                  <w:divsChild>
                    <w:div w:id="379331583">
                      <w:marLeft w:val="0"/>
                      <w:marRight w:val="0"/>
                      <w:marTop w:val="0"/>
                      <w:marBottom w:val="0"/>
                      <w:divBdr>
                        <w:top w:val="none" w:sz="0" w:space="0" w:color="auto"/>
                        <w:left w:val="none" w:sz="0" w:space="0" w:color="auto"/>
                        <w:bottom w:val="none" w:sz="0" w:space="0" w:color="auto"/>
                        <w:right w:val="none" w:sz="0" w:space="0" w:color="auto"/>
                      </w:divBdr>
                    </w:div>
                  </w:divsChild>
                </w:div>
                <w:div w:id="2106074303">
                  <w:marLeft w:val="0"/>
                  <w:marRight w:val="0"/>
                  <w:marTop w:val="0"/>
                  <w:marBottom w:val="0"/>
                  <w:divBdr>
                    <w:top w:val="none" w:sz="0" w:space="0" w:color="auto"/>
                    <w:left w:val="none" w:sz="0" w:space="0" w:color="auto"/>
                    <w:bottom w:val="none" w:sz="0" w:space="0" w:color="auto"/>
                    <w:right w:val="none" w:sz="0" w:space="0" w:color="auto"/>
                  </w:divBdr>
                  <w:divsChild>
                    <w:div w:id="1235240604">
                      <w:marLeft w:val="0"/>
                      <w:marRight w:val="0"/>
                      <w:marTop w:val="0"/>
                      <w:marBottom w:val="0"/>
                      <w:divBdr>
                        <w:top w:val="none" w:sz="0" w:space="0" w:color="auto"/>
                        <w:left w:val="none" w:sz="0" w:space="0" w:color="auto"/>
                        <w:bottom w:val="none" w:sz="0" w:space="0" w:color="auto"/>
                        <w:right w:val="none" w:sz="0" w:space="0" w:color="auto"/>
                      </w:divBdr>
                    </w:div>
                  </w:divsChild>
                </w:div>
                <w:div w:id="2129348650">
                  <w:marLeft w:val="0"/>
                  <w:marRight w:val="0"/>
                  <w:marTop w:val="0"/>
                  <w:marBottom w:val="0"/>
                  <w:divBdr>
                    <w:top w:val="none" w:sz="0" w:space="0" w:color="auto"/>
                    <w:left w:val="none" w:sz="0" w:space="0" w:color="auto"/>
                    <w:bottom w:val="none" w:sz="0" w:space="0" w:color="auto"/>
                    <w:right w:val="none" w:sz="0" w:space="0" w:color="auto"/>
                  </w:divBdr>
                  <w:divsChild>
                    <w:div w:id="180559717">
                      <w:marLeft w:val="0"/>
                      <w:marRight w:val="0"/>
                      <w:marTop w:val="0"/>
                      <w:marBottom w:val="0"/>
                      <w:divBdr>
                        <w:top w:val="none" w:sz="0" w:space="0" w:color="auto"/>
                        <w:left w:val="none" w:sz="0" w:space="0" w:color="auto"/>
                        <w:bottom w:val="none" w:sz="0" w:space="0" w:color="auto"/>
                        <w:right w:val="none" w:sz="0" w:space="0" w:color="auto"/>
                      </w:divBdr>
                    </w:div>
                  </w:divsChild>
                </w:div>
                <w:div w:id="2138639256">
                  <w:marLeft w:val="0"/>
                  <w:marRight w:val="0"/>
                  <w:marTop w:val="0"/>
                  <w:marBottom w:val="0"/>
                  <w:divBdr>
                    <w:top w:val="none" w:sz="0" w:space="0" w:color="auto"/>
                    <w:left w:val="none" w:sz="0" w:space="0" w:color="auto"/>
                    <w:bottom w:val="none" w:sz="0" w:space="0" w:color="auto"/>
                    <w:right w:val="none" w:sz="0" w:space="0" w:color="auto"/>
                  </w:divBdr>
                  <w:divsChild>
                    <w:div w:id="9097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095554">
          <w:marLeft w:val="0"/>
          <w:marRight w:val="0"/>
          <w:marTop w:val="0"/>
          <w:marBottom w:val="0"/>
          <w:divBdr>
            <w:top w:val="none" w:sz="0" w:space="0" w:color="auto"/>
            <w:left w:val="none" w:sz="0" w:space="0" w:color="auto"/>
            <w:bottom w:val="none" w:sz="0" w:space="0" w:color="auto"/>
            <w:right w:val="none" w:sz="0" w:space="0" w:color="auto"/>
          </w:divBdr>
        </w:div>
        <w:div w:id="280000047">
          <w:marLeft w:val="0"/>
          <w:marRight w:val="0"/>
          <w:marTop w:val="0"/>
          <w:marBottom w:val="0"/>
          <w:divBdr>
            <w:top w:val="none" w:sz="0" w:space="0" w:color="auto"/>
            <w:left w:val="none" w:sz="0" w:space="0" w:color="auto"/>
            <w:bottom w:val="none" w:sz="0" w:space="0" w:color="auto"/>
            <w:right w:val="none" w:sz="0" w:space="0" w:color="auto"/>
          </w:divBdr>
          <w:divsChild>
            <w:div w:id="506748120">
              <w:marLeft w:val="0"/>
              <w:marRight w:val="0"/>
              <w:marTop w:val="0"/>
              <w:marBottom w:val="0"/>
              <w:divBdr>
                <w:top w:val="none" w:sz="0" w:space="0" w:color="auto"/>
                <w:left w:val="none" w:sz="0" w:space="0" w:color="auto"/>
                <w:bottom w:val="none" w:sz="0" w:space="0" w:color="auto"/>
                <w:right w:val="none" w:sz="0" w:space="0" w:color="auto"/>
              </w:divBdr>
            </w:div>
            <w:div w:id="964191329">
              <w:marLeft w:val="0"/>
              <w:marRight w:val="0"/>
              <w:marTop w:val="0"/>
              <w:marBottom w:val="0"/>
              <w:divBdr>
                <w:top w:val="none" w:sz="0" w:space="0" w:color="auto"/>
                <w:left w:val="none" w:sz="0" w:space="0" w:color="auto"/>
                <w:bottom w:val="none" w:sz="0" w:space="0" w:color="auto"/>
                <w:right w:val="none" w:sz="0" w:space="0" w:color="auto"/>
              </w:divBdr>
            </w:div>
            <w:div w:id="1299647574">
              <w:marLeft w:val="0"/>
              <w:marRight w:val="0"/>
              <w:marTop w:val="0"/>
              <w:marBottom w:val="0"/>
              <w:divBdr>
                <w:top w:val="none" w:sz="0" w:space="0" w:color="auto"/>
                <w:left w:val="none" w:sz="0" w:space="0" w:color="auto"/>
                <w:bottom w:val="none" w:sz="0" w:space="0" w:color="auto"/>
                <w:right w:val="none" w:sz="0" w:space="0" w:color="auto"/>
              </w:divBdr>
            </w:div>
            <w:div w:id="1317415325">
              <w:marLeft w:val="0"/>
              <w:marRight w:val="0"/>
              <w:marTop w:val="0"/>
              <w:marBottom w:val="0"/>
              <w:divBdr>
                <w:top w:val="none" w:sz="0" w:space="0" w:color="auto"/>
                <w:left w:val="none" w:sz="0" w:space="0" w:color="auto"/>
                <w:bottom w:val="none" w:sz="0" w:space="0" w:color="auto"/>
                <w:right w:val="none" w:sz="0" w:space="0" w:color="auto"/>
              </w:divBdr>
            </w:div>
            <w:div w:id="1527594112">
              <w:marLeft w:val="0"/>
              <w:marRight w:val="0"/>
              <w:marTop w:val="0"/>
              <w:marBottom w:val="0"/>
              <w:divBdr>
                <w:top w:val="none" w:sz="0" w:space="0" w:color="auto"/>
                <w:left w:val="none" w:sz="0" w:space="0" w:color="auto"/>
                <w:bottom w:val="none" w:sz="0" w:space="0" w:color="auto"/>
                <w:right w:val="none" w:sz="0" w:space="0" w:color="auto"/>
              </w:divBdr>
            </w:div>
            <w:div w:id="1985503376">
              <w:marLeft w:val="0"/>
              <w:marRight w:val="0"/>
              <w:marTop w:val="0"/>
              <w:marBottom w:val="0"/>
              <w:divBdr>
                <w:top w:val="none" w:sz="0" w:space="0" w:color="auto"/>
                <w:left w:val="none" w:sz="0" w:space="0" w:color="auto"/>
                <w:bottom w:val="none" w:sz="0" w:space="0" w:color="auto"/>
                <w:right w:val="none" w:sz="0" w:space="0" w:color="auto"/>
              </w:divBdr>
            </w:div>
          </w:divsChild>
        </w:div>
        <w:div w:id="281228888">
          <w:marLeft w:val="0"/>
          <w:marRight w:val="0"/>
          <w:marTop w:val="0"/>
          <w:marBottom w:val="0"/>
          <w:divBdr>
            <w:top w:val="none" w:sz="0" w:space="0" w:color="auto"/>
            <w:left w:val="none" w:sz="0" w:space="0" w:color="auto"/>
            <w:bottom w:val="none" w:sz="0" w:space="0" w:color="auto"/>
            <w:right w:val="none" w:sz="0" w:space="0" w:color="auto"/>
          </w:divBdr>
        </w:div>
        <w:div w:id="289096510">
          <w:marLeft w:val="0"/>
          <w:marRight w:val="0"/>
          <w:marTop w:val="0"/>
          <w:marBottom w:val="0"/>
          <w:divBdr>
            <w:top w:val="none" w:sz="0" w:space="0" w:color="auto"/>
            <w:left w:val="none" w:sz="0" w:space="0" w:color="auto"/>
            <w:bottom w:val="none" w:sz="0" w:space="0" w:color="auto"/>
            <w:right w:val="none" w:sz="0" w:space="0" w:color="auto"/>
          </w:divBdr>
          <w:divsChild>
            <w:div w:id="1997416748">
              <w:marLeft w:val="-75"/>
              <w:marRight w:val="0"/>
              <w:marTop w:val="30"/>
              <w:marBottom w:val="3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
                  </w:divsChild>
                </w:div>
                <w:div w:id="424109957">
                  <w:marLeft w:val="0"/>
                  <w:marRight w:val="0"/>
                  <w:marTop w:val="0"/>
                  <w:marBottom w:val="0"/>
                  <w:divBdr>
                    <w:top w:val="none" w:sz="0" w:space="0" w:color="auto"/>
                    <w:left w:val="none" w:sz="0" w:space="0" w:color="auto"/>
                    <w:bottom w:val="none" w:sz="0" w:space="0" w:color="auto"/>
                    <w:right w:val="none" w:sz="0" w:space="0" w:color="auto"/>
                  </w:divBdr>
                  <w:divsChild>
                    <w:div w:id="1065683856">
                      <w:marLeft w:val="0"/>
                      <w:marRight w:val="0"/>
                      <w:marTop w:val="0"/>
                      <w:marBottom w:val="0"/>
                      <w:divBdr>
                        <w:top w:val="none" w:sz="0" w:space="0" w:color="auto"/>
                        <w:left w:val="none" w:sz="0" w:space="0" w:color="auto"/>
                        <w:bottom w:val="none" w:sz="0" w:space="0" w:color="auto"/>
                        <w:right w:val="none" w:sz="0" w:space="0" w:color="auto"/>
                      </w:divBdr>
                    </w:div>
                  </w:divsChild>
                </w:div>
                <w:div w:id="440760975">
                  <w:marLeft w:val="0"/>
                  <w:marRight w:val="0"/>
                  <w:marTop w:val="0"/>
                  <w:marBottom w:val="0"/>
                  <w:divBdr>
                    <w:top w:val="none" w:sz="0" w:space="0" w:color="auto"/>
                    <w:left w:val="none" w:sz="0" w:space="0" w:color="auto"/>
                    <w:bottom w:val="none" w:sz="0" w:space="0" w:color="auto"/>
                    <w:right w:val="none" w:sz="0" w:space="0" w:color="auto"/>
                  </w:divBdr>
                  <w:divsChild>
                    <w:div w:id="1111510155">
                      <w:marLeft w:val="0"/>
                      <w:marRight w:val="0"/>
                      <w:marTop w:val="0"/>
                      <w:marBottom w:val="0"/>
                      <w:divBdr>
                        <w:top w:val="none" w:sz="0" w:space="0" w:color="auto"/>
                        <w:left w:val="none" w:sz="0" w:space="0" w:color="auto"/>
                        <w:bottom w:val="none" w:sz="0" w:space="0" w:color="auto"/>
                        <w:right w:val="none" w:sz="0" w:space="0" w:color="auto"/>
                      </w:divBdr>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 w:id="1000960212">
                  <w:marLeft w:val="0"/>
                  <w:marRight w:val="0"/>
                  <w:marTop w:val="0"/>
                  <w:marBottom w:val="0"/>
                  <w:divBdr>
                    <w:top w:val="none" w:sz="0" w:space="0" w:color="auto"/>
                    <w:left w:val="none" w:sz="0" w:space="0" w:color="auto"/>
                    <w:bottom w:val="none" w:sz="0" w:space="0" w:color="auto"/>
                    <w:right w:val="none" w:sz="0" w:space="0" w:color="auto"/>
                  </w:divBdr>
                  <w:divsChild>
                    <w:div w:id="1968582274">
                      <w:marLeft w:val="0"/>
                      <w:marRight w:val="0"/>
                      <w:marTop w:val="0"/>
                      <w:marBottom w:val="0"/>
                      <w:divBdr>
                        <w:top w:val="none" w:sz="0" w:space="0" w:color="auto"/>
                        <w:left w:val="none" w:sz="0" w:space="0" w:color="auto"/>
                        <w:bottom w:val="none" w:sz="0" w:space="0" w:color="auto"/>
                        <w:right w:val="none" w:sz="0" w:space="0" w:color="auto"/>
                      </w:divBdr>
                    </w:div>
                  </w:divsChild>
                </w:div>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sChild>
                    <w:div w:id="892236820">
                      <w:marLeft w:val="0"/>
                      <w:marRight w:val="0"/>
                      <w:marTop w:val="0"/>
                      <w:marBottom w:val="0"/>
                      <w:divBdr>
                        <w:top w:val="none" w:sz="0" w:space="0" w:color="auto"/>
                        <w:left w:val="none" w:sz="0" w:space="0" w:color="auto"/>
                        <w:bottom w:val="none" w:sz="0" w:space="0" w:color="auto"/>
                        <w:right w:val="none" w:sz="0" w:space="0" w:color="auto"/>
                      </w:divBdr>
                    </w:div>
                  </w:divsChild>
                </w:div>
                <w:div w:id="1523126518">
                  <w:marLeft w:val="0"/>
                  <w:marRight w:val="0"/>
                  <w:marTop w:val="0"/>
                  <w:marBottom w:val="0"/>
                  <w:divBdr>
                    <w:top w:val="none" w:sz="0" w:space="0" w:color="auto"/>
                    <w:left w:val="none" w:sz="0" w:space="0" w:color="auto"/>
                    <w:bottom w:val="none" w:sz="0" w:space="0" w:color="auto"/>
                    <w:right w:val="none" w:sz="0" w:space="0" w:color="auto"/>
                  </w:divBdr>
                  <w:divsChild>
                    <w:div w:id="329062761">
                      <w:marLeft w:val="0"/>
                      <w:marRight w:val="0"/>
                      <w:marTop w:val="0"/>
                      <w:marBottom w:val="0"/>
                      <w:divBdr>
                        <w:top w:val="none" w:sz="0" w:space="0" w:color="auto"/>
                        <w:left w:val="none" w:sz="0" w:space="0" w:color="auto"/>
                        <w:bottom w:val="none" w:sz="0" w:space="0" w:color="auto"/>
                        <w:right w:val="none" w:sz="0" w:space="0" w:color="auto"/>
                      </w:divBdr>
                    </w:div>
                  </w:divsChild>
                </w:div>
                <w:div w:id="1568489335">
                  <w:marLeft w:val="0"/>
                  <w:marRight w:val="0"/>
                  <w:marTop w:val="0"/>
                  <w:marBottom w:val="0"/>
                  <w:divBdr>
                    <w:top w:val="none" w:sz="0" w:space="0" w:color="auto"/>
                    <w:left w:val="none" w:sz="0" w:space="0" w:color="auto"/>
                    <w:bottom w:val="none" w:sz="0" w:space="0" w:color="auto"/>
                    <w:right w:val="none" w:sz="0" w:space="0" w:color="auto"/>
                  </w:divBdr>
                  <w:divsChild>
                    <w:div w:id="21391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726952">
          <w:marLeft w:val="0"/>
          <w:marRight w:val="0"/>
          <w:marTop w:val="0"/>
          <w:marBottom w:val="0"/>
          <w:divBdr>
            <w:top w:val="none" w:sz="0" w:space="0" w:color="auto"/>
            <w:left w:val="none" w:sz="0" w:space="0" w:color="auto"/>
            <w:bottom w:val="none" w:sz="0" w:space="0" w:color="auto"/>
            <w:right w:val="none" w:sz="0" w:space="0" w:color="auto"/>
          </w:divBdr>
        </w:div>
        <w:div w:id="300616392">
          <w:marLeft w:val="0"/>
          <w:marRight w:val="0"/>
          <w:marTop w:val="0"/>
          <w:marBottom w:val="0"/>
          <w:divBdr>
            <w:top w:val="none" w:sz="0" w:space="0" w:color="auto"/>
            <w:left w:val="none" w:sz="0" w:space="0" w:color="auto"/>
            <w:bottom w:val="none" w:sz="0" w:space="0" w:color="auto"/>
            <w:right w:val="none" w:sz="0" w:space="0" w:color="auto"/>
          </w:divBdr>
          <w:divsChild>
            <w:div w:id="1254700229">
              <w:marLeft w:val="0"/>
              <w:marRight w:val="0"/>
              <w:marTop w:val="0"/>
              <w:marBottom w:val="0"/>
              <w:divBdr>
                <w:top w:val="none" w:sz="0" w:space="0" w:color="auto"/>
                <w:left w:val="none" w:sz="0" w:space="0" w:color="auto"/>
                <w:bottom w:val="none" w:sz="0" w:space="0" w:color="auto"/>
                <w:right w:val="none" w:sz="0" w:space="0" w:color="auto"/>
              </w:divBdr>
            </w:div>
          </w:divsChild>
        </w:div>
        <w:div w:id="300695542">
          <w:marLeft w:val="0"/>
          <w:marRight w:val="0"/>
          <w:marTop w:val="0"/>
          <w:marBottom w:val="0"/>
          <w:divBdr>
            <w:top w:val="none" w:sz="0" w:space="0" w:color="auto"/>
            <w:left w:val="none" w:sz="0" w:space="0" w:color="auto"/>
            <w:bottom w:val="none" w:sz="0" w:space="0" w:color="auto"/>
            <w:right w:val="none" w:sz="0" w:space="0" w:color="auto"/>
          </w:divBdr>
          <w:divsChild>
            <w:div w:id="1200051710">
              <w:marLeft w:val="-75"/>
              <w:marRight w:val="0"/>
              <w:marTop w:val="30"/>
              <w:marBottom w:val="30"/>
              <w:divBdr>
                <w:top w:val="none" w:sz="0" w:space="0" w:color="auto"/>
                <w:left w:val="none" w:sz="0" w:space="0" w:color="auto"/>
                <w:bottom w:val="none" w:sz="0" w:space="0" w:color="auto"/>
                <w:right w:val="none" w:sz="0" w:space="0" w:color="auto"/>
              </w:divBdr>
              <w:divsChild>
                <w:div w:id="180970015">
                  <w:marLeft w:val="0"/>
                  <w:marRight w:val="0"/>
                  <w:marTop w:val="0"/>
                  <w:marBottom w:val="0"/>
                  <w:divBdr>
                    <w:top w:val="none" w:sz="0" w:space="0" w:color="auto"/>
                    <w:left w:val="none" w:sz="0" w:space="0" w:color="auto"/>
                    <w:bottom w:val="none" w:sz="0" w:space="0" w:color="auto"/>
                    <w:right w:val="none" w:sz="0" w:space="0" w:color="auto"/>
                  </w:divBdr>
                  <w:divsChild>
                    <w:div w:id="487599447">
                      <w:marLeft w:val="0"/>
                      <w:marRight w:val="0"/>
                      <w:marTop w:val="0"/>
                      <w:marBottom w:val="0"/>
                      <w:divBdr>
                        <w:top w:val="none" w:sz="0" w:space="0" w:color="auto"/>
                        <w:left w:val="none" w:sz="0" w:space="0" w:color="auto"/>
                        <w:bottom w:val="none" w:sz="0" w:space="0" w:color="auto"/>
                        <w:right w:val="none" w:sz="0" w:space="0" w:color="auto"/>
                      </w:divBdr>
                    </w:div>
                  </w:divsChild>
                </w:div>
                <w:div w:id="194468210">
                  <w:marLeft w:val="0"/>
                  <w:marRight w:val="0"/>
                  <w:marTop w:val="0"/>
                  <w:marBottom w:val="0"/>
                  <w:divBdr>
                    <w:top w:val="none" w:sz="0" w:space="0" w:color="auto"/>
                    <w:left w:val="none" w:sz="0" w:space="0" w:color="auto"/>
                    <w:bottom w:val="none" w:sz="0" w:space="0" w:color="auto"/>
                    <w:right w:val="none" w:sz="0" w:space="0" w:color="auto"/>
                  </w:divBdr>
                  <w:divsChild>
                    <w:div w:id="1450860474">
                      <w:marLeft w:val="0"/>
                      <w:marRight w:val="0"/>
                      <w:marTop w:val="0"/>
                      <w:marBottom w:val="0"/>
                      <w:divBdr>
                        <w:top w:val="none" w:sz="0" w:space="0" w:color="auto"/>
                        <w:left w:val="none" w:sz="0" w:space="0" w:color="auto"/>
                        <w:bottom w:val="none" w:sz="0" w:space="0" w:color="auto"/>
                        <w:right w:val="none" w:sz="0" w:space="0" w:color="auto"/>
                      </w:divBdr>
                    </w:div>
                  </w:divsChild>
                </w:div>
                <w:div w:id="501357194">
                  <w:marLeft w:val="0"/>
                  <w:marRight w:val="0"/>
                  <w:marTop w:val="0"/>
                  <w:marBottom w:val="0"/>
                  <w:divBdr>
                    <w:top w:val="none" w:sz="0" w:space="0" w:color="auto"/>
                    <w:left w:val="none" w:sz="0" w:space="0" w:color="auto"/>
                    <w:bottom w:val="none" w:sz="0" w:space="0" w:color="auto"/>
                    <w:right w:val="none" w:sz="0" w:space="0" w:color="auto"/>
                  </w:divBdr>
                  <w:divsChild>
                    <w:div w:id="101731908">
                      <w:marLeft w:val="0"/>
                      <w:marRight w:val="0"/>
                      <w:marTop w:val="0"/>
                      <w:marBottom w:val="0"/>
                      <w:divBdr>
                        <w:top w:val="none" w:sz="0" w:space="0" w:color="auto"/>
                        <w:left w:val="none" w:sz="0" w:space="0" w:color="auto"/>
                        <w:bottom w:val="none" w:sz="0" w:space="0" w:color="auto"/>
                        <w:right w:val="none" w:sz="0" w:space="0" w:color="auto"/>
                      </w:divBdr>
                    </w:div>
                  </w:divsChild>
                </w:div>
                <w:div w:id="852763184">
                  <w:marLeft w:val="0"/>
                  <w:marRight w:val="0"/>
                  <w:marTop w:val="0"/>
                  <w:marBottom w:val="0"/>
                  <w:divBdr>
                    <w:top w:val="none" w:sz="0" w:space="0" w:color="auto"/>
                    <w:left w:val="none" w:sz="0" w:space="0" w:color="auto"/>
                    <w:bottom w:val="none" w:sz="0" w:space="0" w:color="auto"/>
                    <w:right w:val="none" w:sz="0" w:space="0" w:color="auto"/>
                  </w:divBdr>
                  <w:divsChild>
                    <w:div w:id="99298805">
                      <w:marLeft w:val="0"/>
                      <w:marRight w:val="0"/>
                      <w:marTop w:val="0"/>
                      <w:marBottom w:val="0"/>
                      <w:divBdr>
                        <w:top w:val="none" w:sz="0" w:space="0" w:color="auto"/>
                        <w:left w:val="none" w:sz="0" w:space="0" w:color="auto"/>
                        <w:bottom w:val="none" w:sz="0" w:space="0" w:color="auto"/>
                        <w:right w:val="none" w:sz="0" w:space="0" w:color="auto"/>
                      </w:divBdr>
                    </w:div>
                  </w:divsChild>
                </w:div>
                <w:div w:id="923805318">
                  <w:marLeft w:val="0"/>
                  <w:marRight w:val="0"/>
                  <w:marTop w:val="0"/>
                  <w:marBottom w:val="0"/>
                  <w:divBdr>
                    <w:top w:val="none" w:sz="0" w:space="0" w:color="auto"/>
                    <w:left w:val="none" w:sz="0" w:space="0" w:color="auto"/>
                    <w:bottom w:val="none" w:sz="0" w:space="0" w:color="auto"/>
                    <w:right w:val="none" w:sz="0" w:space="0" w:color="auto"/>
                  </w:divBdr>
                  <w:divsChild>
                    <w:div w:id="1828596817">
                      <w:marLeft w:val="0"/>
                      <w:marRight w:val="0"/>
                      <w:marTop w:val="0"/>
                      <w:marBottom w:val="0"/>
                      <w:divBdr>
                        <w:top w:val="none" w:sz="0" w:space="0" w:color="auto"/>
                        <w:left w:val="none" w:sz="0" w:space="0" w:color="auto"/>
                        <w:bottom w:val="none" w:sz="0" w:space="0" w:color="auto"/>
                        <w:right w:val="none" w:sz="0" w:space="0" w:color="auto"/>
                      </w:divBdr>
                    </w:div>
                  </w:divsChild>
                </w:div>
                <w:div w:id="1217354577">
                  <w:marLeft w:val="0"/>
                  <w:marRight w:val="0"/>
                  <w:marTop w:val="0"/>
                  <w:marBottom w:val="0"/>
                  <w:divBdr>
                    <w:top w:val="none" w:sz="0" w:space="0" w:color="auto"/>
                    <w:left w:val="none" w:sz="0" w:space="0" w:color="auto"/>
                    <w:bottom w:val="none" w:sz="0" w:space="0" w:color="auto"/>
                    <w:right w:val="none" w:sz="0" w:space="0" w:color="auto"/>
                  </w:divBdr>
                  <w:divsChild>
                    <w:div w:id="170798015">
                      <w:marLeft w:val="0"/>
                      <w:marRight w:val="0"/>
                      <w:marTop w:val="0"/>
                      <w:marBottom w:val="0"/>
                      <w:divBdr>
                        <w:top w:val="none" w:sz="0" w:space="0" w:color="auto"/>
                        <w:left w:val="none" w:sz="0" w:space="0" w:color="auto"/>
                        <w:bottom w:val="none" w:sz="0" w:space="0" w:color="auto"/>
                        <w:right w:val="none" w:sz="0" w:space="0" w:color="auto"/>
                      </w:divBdr>
                    </w:div>
                  </w:divsChild>
                </w:div>
                <w:div w:id="1263030599">
                  <w:marLeft w:val="0"/>
                  <w:marRight w:val="0"/>
                  <w:marTop w:val="0"/>
                  <w:marBottom w:val="0"/>
                  <w:divBdr>
                    <w:top w:val="none" w:sz="0" w:space="0" w:color="auto"/>
                    <w:left w:val="none" w:sz="0" w:space="0" w:color="auto"/>
                    <w:bottom w:val="none" w:sz="0" w:space="0" w:color="auto"/>
                    <w:right w:val="none" w:sz="0" w:space="0" w:color="auto"/>
                  </w:divBdr>
                  <w:divsChild>
                    <w:div w:id="2106994443">
                      <w:marLeft w:val="0"/>
                      <w:marRight w:val="0"/>
                      <w:marTop w:val="0"/>
                      <w:marBottom w:val="0"/>
                      <w:divBdr>
                        <w:top w:val="none" w:sz="0" w:space="0" w:color="auto"/>
                        <w:left w:val="none" w:sz="0" w:space="0" w:color="auto"/>
                        <w:bottom w:val="none" w:sz="0" w:space="0" w:color="auto"/>
                        <w:right w:val="none" w:sz="0" w:space="0" w:color="auto"/>
                      </w:divBdr>
                    </w:div>
                  </w:divsChild>
                </w:div>
                <w:div w:id="1332031024">
                  <w:marLeft w:val="0"/>
                  <w:marRight w:val="0"/>
                  <w:marTop w:val="0"/>
                  <w:marBottom w:val="0"/>
                  <w:divBdr>
                    <w:top w:val="none" w:sz="0" w:space="0" w:color="auto"/>
                    <w:left w:val="none" w:sz="0" w:space="0" w:color="auto"/>
                    <w:bottom w:val="none" w:sz="0" w:space="0" w:color="auto"/>
                    <w:right w:val="none" w:sz="0" w:space="0" w:color="auto"/>
                  </w:divBdr>
                  <w:divsChild>
                    <w:div w:id="1872841201">
                      <w:marLeft w:val="0"/>
                      <w:marRight w:val="0"/>
                      <w:marTop w:val="0"/>
                      <w:marBottom w:val="0"/>
                      <w:divBdr>
                        <w:top w:val="none" w:sz="0" w:space="0" w:color="auto"/>
                        <w:left w:val="none" w:sz="0" w:space="0" w:color="auto"/>
                        <w:bottom w:val="none" w:sz="0" w:space="0" w:color="auto"/>
                        <w:right w:val="none" w:sz="0" w:space="0" w:color="auto"/>
                      </w:divBdr>
                    </w:div>
                  </w:divsChild>
                </w:div>
                <w:div w:id="1594047783">
                  <w:marLeft w:val="0"/>
                  <w:marRight w:val="0"/>
                  <w:marTop w:val="0"/>
                  <w:marBottom w:val="0"/>
                  <w:divBdr>
                    <w:top w:val="none" w:sz="0" w:space="0" w:color="auto"/>
                    <w:left w:val="none" w:sz="0" w:space="0" w:color="auto"/>
                    <w:bottom w:val="none" w:sz="0" w:space="0" w:color="auto"/>
                    <w:right w:val="none" w:sz="0" w:space="0" w:color="auto"/>
                  </w:divBdr>
                  <w:divsChild>
                    <w:div w:id="56826340">
                      <w:marLeft w:val="0"/>
                      <w:marRight w:val="0"/>
                      <w:marTop w:val="0"/>
                      <w:marBottom w:val="0"/>
                      <w:divBdr>
                        <w:top w:val="none" w:sz="0" w:space="0" w:color="auto"/>
                        <w:left w:val="none" w:sz="0" w:space="0" w:color="auto"/>
                        <w:bottom w:val="none" w:sz="0" w:space="0" w:color="auto"/>
                        <w:right w:val="none" w:sz="0" w:space="0" w:color="auto"/>
                      </w:divBdr>
                    </w:div>
                  </w:divsChild>
                </w:div>
                <w:div w:id="1612518391">
                  <w:marLeft w:val="0"/>
                  <w:marRight w:val="0"/>
                  <w:marTop w:val="0"/>
                  <w:marBottom w:val="0"/>
                  <w:divBdr>
                    <w:top w:val="none" w:sz="0" w:space="0" w:color="auto"/>
                    <w:left w:val="none" w:sz="0" w:space="0" w:color="auto"/>
                    <w:bottom w:val="none" w:sz="0" w:space="0" w:color="auto"/>
                    <w:right w:val="none" w:sz="0" w:space="0" w:color="auto"/>
                  </w:divBdr>
                  <w:divsChild>
                    <w:div w:id="1769083074">
                      <w:marLeft w:val="0"/>
                      <w:marRight w:val="0"/>
                      <w:marTop w:val="0"/>
                      <w:marBottom w:val="0"/>
                      <w:divBdr>
                        <w:top w:val="none" w:sz="0" w:space="0" w:color="auto"/>
                        <w:left w:val="none" w:sz="0" w:space="0" w:color="auto"/>
                        <w:bottom w:val="none" w:sz="0" w:space="0" w:color="auto"/>
                        <w:right w:val="none" w:sz="0" w:space="0" w:color="auto"/>
                      </w:divBdr>
                    </w:div>
                  </w:divsChild>
                </w:div>
                <w:div w:id="1750420783">
                  <w:marLeft w:val="0"/>
                  <w:marRight w:val="0"/>
                  <w:marTop w:val="0"/>
                  <w:marBottom w:val="0"/>
                  <w:divBdr>
                    <w:top w:val="none" w:sz="0" w:space="0" w:color="auto"/>
                    <w:left w:val="none" w:sz="0" w:space="0" w:color="auto"/>
                    <w:bottom w:val="none" w:sz="0" w:space="0" w:color="auto"/>
                    <w:right w:val="none" w:sz="0" w:space="0" w:color="auto"/>
                  </w:divBdr>
                  <w:divsChild>
                    <w:div w:id="1736778544">
                      <w:marLeft w:val="0"/>
                      <w:marRight w:val="0"/>
                      <w:marTop w:val="0"/>
                      <w:marBottom w:val="0"/>
                      <w:divBdr>
                        <w:top w:val="none" w:sz="0" w:space="0" w:color="auto"/>
                        <w:left w:val="none" w:sz="0" w:space="0" w:color="auto"/>
                        <w:bottom w:val="none" w:sz="0" w:space="0" w:color="auto"/>
                        <w:right w:val="none" w:sz="0" w:space="0" w:color="auto"/>
                      </w:divBdr>
                    </w:div>
                  </w:divsChild>
                </w:div>
                <w:div w:id="1770539083">
                  <w:marLeft w:val="0"/>
                  <w:marRight w:val="0"/>
                  <w:marTop w:val="0"/>
                  <w:marBottom w:val="0"/>
                  <w:divBdr>
                    <w:top w:val="none" w:sz="0" w:space="0" w:color="auto"/>
                    <w:left w:val="none" w:sz="0" w:space="0" w:color="auto"/>
                    <w:bottom w:val="none" w:sz="0" w:space="0" w:color="auto"/>
                    <w:right w:val="none" w:sz="0" w:space="0" w:color="auto"/>
                  </w:divBdr>
                  <w:divsChild>
                    <w:div w:id="4955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82401">
          <w:marLeft w:val="0"/>
          <w:marRight w:val="0"/>
          <w:marTop w:val="0"/>
          <w:marBottom w:val="0"/>
          <w:divBdr>
            <w:top w:val="none" w:sz="0" w:space="0" w:color="auto"/>
            <w:left w:val="none" w:sz="0" w:space="0" w:color="auto"/>
            <w:bottom w:val="none" w:sz="0" w:space="0" w:color="auto"/>
            <w:right w:val="none" w:sz="0" w:space="0" w:color="auto"/>
          </w:divBdr>
          <w:divsChild>
            <w:div w:id="683558493">
              <w:marLeft w:val="0"/>
              <w:marRight w:val="0"/>
              <w:marTop w:val="0"/>
              <w:marBottom w:val="0"/>
              <w:divBdr>
                <w:top w:val="none" w:sz="0" w:space="0" w:color="auto"/>
                <w:left w:val="none" w:sz="0" w:space="0" w:color="auto"/>
                <w:bottom w:val="none" w:sz="0" w:space="0" w:color="auto"/>
                <w:right w:val="none" w:sz="0" w:space="0" w:color="auto"/>
              </w:divBdr>
            </w:div>
            <w:div w:id="767893196">
              <w:marLeft w:val="0"/>
              <w:marRight w:val="0"/>
              <w:marTop w:val="0"/>
              <w:marBottom w:val="0"/>
              <w:divBdr>
                <w:top w:val="none" w:sz="0" w:space="0" w:color="auto"/>
                <w:left w:val="none" w:sz="0" w:space="0" w:color="auto"/>
                <w:bottom w:val="none" w:sz="0" w:space="0" w:color="auto"/>
                <w:right w:val="none" w:sz="0" w:space="0" w:color="auto"/>
              </w:divBdr>
            </w:div>
            <w:div w:id="1032264140">
              <w:marLeft w:val="0"/>
              <w:marRight w:val="0"/>
              <w:marTop w:val="0"/>
              <w:marBottom w:val="0"/>
              <w:divBdr>
                <w:top w:val="none" w:sz="0" w:space="0" w:color="auto"/>
                <w:left w:val="none" w:sz="0" w:space="0" w:color="auto"/>
                <w:bottom w:val="none" w:sz="0" w:space="0" w:color="auto"/>
                <w:right w:val="none" w:sz="0" w:space="0" w:color="auto"/>
              </w:divBdr>
            </w:div>
            <w:div w:id="2049646051">
              <w:marLeft w:val="0"/>
              <w:marRight w:val="0"/>
              <w:marTop w:val="0"/>
              <w:marBottom w:val="0"/>
              <w:divBdr>
                <w:top w:val="none" w:sz="0" w:space="0" w:color="auto"/>
                <w:left w:val="none" w:sz="0" w:space="0" w:color="auto"/>
                <w:bottom w:val="none" w:sz="0" w:space="0" w:color="auto"/>
                <w:right w:val="none" w:sz="0" w:space="0" w:color="auto"/>
              </w:divBdr>
            </w:div>
          </w:divsChild>
        </w:div>
        <w:div w:id="334571070">
          <w:marLeft w:val="0"/>
          <w:marRight w:val="0"/>
          <w:marTop w:val="0"/>
          <w:marBottom w:val="0"/>
          <w:divBdr>
            <w:top w:val="none" w:sz="0" w:space="0" w:color="auto"/>
            <w:left w:val="none" w:sz="0" w:space="0" w:color="auto"/>
            <w:bottom w:val="none" w:sz="0" w:space="0" w:color="auto"/>
            <w:right w:val="none" w:sz="0" w:space="0" w:color="auto"/>
          </w:divBdr>
        </w:div>
        <w:div w:id="336075984">
          <w:marLeft w:val="0"/>
          <w:marRight w:val="0"/>
          <w:marTop w:val="0"/>
          <w:marBottom w:val="0"/>
          <w:divBdr>
            <w:top w:val="none" w:sz="0" w:space="0" w:color="auto"/>
            <w:left w:val="none" w:sz="0" w:space="0" w:color="auto"/>
            <w:bottom w:val="none" w:sz="0" w:space="0" w:color="auto"/>
            <w:right w:val="none" w:sz="0" w:space="0" w:color="auto"/>
          </w:divBdr>
          <w:divsChild>
            <w:div w:id="1365791960">
              <w:marLeft w:val="-75"/>
              <w:marRight w:val="0"/>
              <w:marTop w:val="30"/>
              <w:marBottom w:val="30"/>
              <w:divBdr>
                <w:top w:val="none" w:sz="0" w:space="0" w:color="auto"/>
                <w:left w:val="none" w:sz="0" w:space="0" w:color="auto"/>
                <w:bottom w:val="none" w:sz="0" w:space="0" w:color="auto"/>
                <w:right w:val="none" w:sz="0" w:space="0" w:color="auto"/>
              </w:divBdr>
              <w:divsChild>
                <w:div w:id="160656477">
                  <w:marLeft w:val="0"/>
                  <w:marRight w:val="0"/>
                  <w:marTop w:val="0"/>
                  <w:marBottom w:val="0"/>
                  <w:divBdr>
                    <w:top w:val="none" w:sz="0" w:space="0" w:color="auto"/>
                    <w:left w:val="none" w:sz="0" w:space="0" w:color="auto"/>
                    <w:bottom w:val="none" w:sz="0" w:space="0" w:color="auto"/>
                    <w:right w:val="none" w:sz="0" w:space="0" w:color="auto"/>
                  </w:divBdr>
                  <w:divsChild>
                    <w:div w:id="1375353840">
                      <w:marLeft w:val="0"/>
                      <w:marRight w:val="0"/>
                      <w:marTop w:val="0"/>
                      <w:marBottom w:val="0"/>
                      <w:divBdr>
                        <w:top w:val="none" w:sz="0" w:space="0" w:color="auto"/>
                        <w:left w:val="none" w:sz="0" w:space="0" w:color="auto"/>
                        <w:bottom w:val="none" w:sz="0" w:space="0" w:color="auto"/>
                        <w:right w:val="none" w:sz="0" w:space="0" w:color="auto"/>
                      </w:divBdr>
                    </w:div>
                  </w:divsChild>
                </w:div>
                <w:div w:id="310713064">
                  <w:marLeft w:val="0"/>
                  <w:marRight w:val="0"/>
                  <w:marTop w:val="0"/>
                  <w:marBottom w:val="0"/>
                  <w:divBdr>
                    <w:top w:val="none" w:sz="0" w:space="0" w:color="auto"/>
                    <w:left w:val="none" w:sz="0" w:space="0" w:color="auto"/>
                    <w:bottom w:val="none" w:sz="0" w:space="0" w:color="auto"/>
                    <w:right w:val="none" w:sz="0" w:space="0" w:color="auto"/>
                  </w:divBdr>
                  <w:divsChild>
                    <w:div w:id="808790082">
                      <w:marLeft w:val="0"/>
                      <w:marRight w:val="0"/>
                      <w:marTop w:val="0"/>
                      <w:marBottom w:val="0"/>
                      <w:divBdr>
                        <w:top w:val="none" w:sz="0" w:space="0" w:color="auto"/>
                        <w:left w:val="none" w:sz="0" w:space="0" w:color="auto"/>
                        <w:bottom w:val="none" w:sz="0" w:space="0" w:color="auto"/>
                        <w:right w:val="none" w:sz="0" w:space="0" w:color="auto"/>
                      </w:divBdr>
                    </w:div>
                  </w:divsChild>
                </w:div>
                <w:div w:id="1257058209">
                  <w:marLeft w:val="0"/>
                  <w:marRight w:val="0"/>
                  <w:marTop w:val="0"/>
                  <w:marBottom w:val="0"/>
                  <w:divBdr>
                    <w:top w:val="none" w:sz="0" w:space="0" w:color="auto"/>
                    <w:left w:val="none" w:sz="0" w:space="0" w:color="auto"/>
                    <w:bottom w:val="none" w:sz="0" w:space="0" w:color="auto"/>
                    <w:right w:val="none" w:sz="0" w:space="0" w:color="auto"/>
                  </w:divBdr>
                  <w:divsChild>
                    <w:div w:id="1586066135">
                      <w:marLeft w:val="0"/>
                      <w:marRight w:val="0"/>
                      <w:marTop w:val="0"/>
                      <w:marBottom w:val="0"/>
                      <w:divBdr>
                        <w:top w:val="none" w:sz="0" w:space="0" w:color="auto"/>
                        <w:left w:val="none" w:sz="0" w:space="0" w:color="auto"/>
                        <w:bottom w:val="none" w:sz="0" w:space="0" w:color="auto"/>
                        <w:right w:val="none" w:sz="0" w:space="0" w:color="auto"/>
                      </w:divBdr>
                    </w:div>
                  </w:divsChild>
                </w:div>
                <w:div w:id="1483233246">
                  <w:marLeft w:val="0"/>
                  <w:marRight w:val="0"/>
                  <w:marTop w:val="0"/>
                  <w:marBottom w:val="0"/>
                  <w:divBdr>
                    <w:top w:val="none" w:sz="0" w:space="0" w:color="auto"/>
                    <w:left w:val="none" w:sz="0" w:space="0" w:color="auto"/>
                    <w:bottom w:val="none" w:sz="0" w:space="0" w:color="auto"/>
                    <w:right w:val="none" w:sz="0" w:space="0" w:color="auto"/>
                  </w:divBdr>
                  <w:divsChild>
                    <w:div w:id="499349381">
                      <w:marLeft w:val="0"/>
                      <w:marRight w:val="0"/>
                      <w:marTop w:val="0"/>
                      <w:marBottom w:val="0"/>
                      <w:divBdr>
                        <w:top w:val="none" w:sz="0" w:space="0" w:color="auto"/>
                        <w:left w:val="none" w:sz="0" w:space="0" w:color="auto"/>
                        <w:bottom w:val="none" w:sz="0" w:space="0" w:color="auto"/>
                        <w:right w:val="none" w:sz="0" w:space="0" w:color="auto"/>
                      </w:divBdr>
                    </w:div>
                  </w:divsChild>
                </w:div>
                <w:div w:id="1514757859">
                  <w:marLeft w:val="0"/>
                  <w:marRight w:val="0"/>
                  <w:marTop w:val="0"/>
                  <w:marBottom w:val="0"/>
                  <w:divBdr>
                    <w:top w:val="none" w:sz="0" w:space="0" w:color="auto"/>
                    <w:left w:val="none" w:sz="0" w:space="0" w:color="auto"/>
                    <w:bottom w:val="none" w:sz="0" w:space="0" w:color="auto"/>
                    <w:right w:val="none" w:sz="0" w:space="0" w:color="auto"/>
                  </w:divBdr>
                  <w:divsChild>
                    <w:div w:id="1648168937">
                      <w:marLeft w:val="0"/>
                      <w:marRight w:val="0"/>
                      <w:marTop w:val="0"/>
                      <w:marBottom w:val="0"/>
                      <w:divBdr>
                        <w:top w:val="none" w:sz="0" w:space="0" w:color="auto"/>
                        <w:left w:val="none" w:sz="0" w:space="0" w:color="auto"/>
                        <w:bottom w:val="none" w:sz="0" w:space="0" w:color="auto"/>
                        <w:right w:val="none" w:sz="0" w:space="0" w:color="auto"/>
                      </w:divBdr>
                    </w:div>
                  </w:divsChild>
                </w:div>
                <w:div w:id="1521969517">
                  <w:marLeft w:val="0"/>
                  <w:marRight w:val="0"/>
                  <w:marTop w:val="0"/>
                  <w:marBottom w:val="0"/>
                  <w:divBdr>
                    <w:top w:val="none" w:sz="0" w:space="0" w:color="auto"/>
                    <w:left w:val="none" w:sz="0" w:space="0" w:color="auto"/>
                    <w:bottom w:val="none" w:sz="0" w:space="0" w:color="auto"/>
                    <w:right w:val="none" w:sz="0" w:space="0" w:color="auto"/>
                  </w:divBdr>
                  <w:divsChild>
                    <w:div w:id="2089377994">
                      <w:marLeft w:val="0"/>
                      <w:marRight w:val="0"/>
                      <w:marTop w:val="0"/>
                      <w:marBottom w:val="0"/>
                      <w:divBdr>
                        <w:top w:val="none" w:sz="0" w:space="0" w:color="auto"/>
                        <w:left w:val="none" w:sz="0" w:space="0" w:color="auto"/>
                        <w:bottom w:val="none" w:sz="0" w:space="0" w:color="auto"/>
                        <w:right w:val="none" w:sz="0" w:space="0" w:color="auto"/>
                      </w:divBdr>
                    </w:div>
                  </w:divsChild>
                </w:div>
                <w:div w:id="1606376033">
                  <w:marLeft w:val="0"/>
                  <w:marRight w:val="0"/>
                  <w:marTop w:val="0"/>
                  <w:marBottom w:val="0"/>
                  <w:divBdr>
                    <w:top w:val="none" w:sz="0" w:space="0" w:color="auto"/>
                    <w:left w:val="none" w:sz="0" w:space="0" w:color="auto"/>
                    <w:bottom w:val="none" w:sz="0" w:space="0" w:color="auto"/>
                    <w:right w:val="none" w:sz="0" w:space="0" w:color="auto"/>
                  </w:divBdr>
                  <w:divsChild>
                    <w:div w:id="76098275">
                      <w:marLeft w:val="0"/>
                      <w:marRight w:val="0"/>
                      <w:marTop w:val="0"/>
                      <w:marBottom w:val="0"/>
                      <w:divBdr>
                        <w:top w:val="none" w:sz="0" w:space="0" w:color="auto"/>
                        <w:left w:val="none" w:sz="0" w:space="0" w:color="auto"/>
                        <w:bottom w:val="none" w:sz="0" w:space="0" w:color="auto"/>
                        <w:right w:val="none" w:sz="0" w:space="0" w:color="auto"/>
                      </w:divBdr>
                    </w:div>
                  </w:divsChild>
                </w:div>
                <w:div w:id="1659847203">
                  <w:marLeft w:val="0"/>
                  <w:marRight w:val="0"/>
                  <w:marTop w:val="0"/>
                  <w:marBottom w:val="0"/>
                  <w:divBdr>
                    <w:top w:val="none" w:sz="0" w:space="0" w:color="auto"/>
                    <w:left w:val="none" w:sz="0" w:space="0" w:color="auto"/>
                    <w:bottom w:val="none" w:sz="0" w:space="0" w:color="auto"/>
                    <w:right w:val="none" w:sz="0" w:space="0" w:color="auto"/>
                  </w:divBdr>
                  <w:divsChild>
                    <w:div w:id="1988392053">
                      <w:marLeft w:val="0"/>
                      <w:marRight w:val="0"/>
                      <w:marTop w:val="0"/>
                      <w:marBottom w:val="0"/>
                      <w:divBdr>
                        <w:top w:val="none" w:sz="0" w:space="0" w:color="auto"/>
                        <w:left w:val="none" w:sz="0" w:space="0" w:color="auto"/>
                        <w:bottom w:val="none" w:sz="0" w:space="0" w:color="auto"/>
                        <w:right w:val="none" w:sz="0" w:space="0" w:color="auto"/>
                      </w:divBdr>
                    </w:div>
                  </w:divsChild>
                </w:div>
                <w:div w:id="1669862198">
                  <w:marLeft w:val="0"/>
                  <w:marRight w:val="0"/>
                  <w:marTop w:val="0"/>
                  <w:marBottom w:val="0"/>
                  <w:divBdr>
                    <w:top w:val="none" w:sz="0" w:space="0" w:color="auto"/>
                    <w:left w:val="none" w:sz="0" w:space="0" w:color="auto"/>
                    <w:bottom w:val="none" w:sz="0" w:space="0" w:color="auto"/>
                    <w:right w:val="none" w:sz="0" w:space="0" w:color="auto"/>
                  </w:divBdr>
                  <w:divsChild>
                    <w:div w:id="1165242584">
                      <w:marLeft w:val="0"/>
                      <w:marRight w:val="0"/>
                      <w:marTop w:val="0"/>
                      <w:marBottom w:val="0"/>
                      <w:divBdr>
                        <w:top w:val="none" w:sz="0" w:space="0" w:color="auto"/>
                        <w:left w:val="none" w:sz="0" w:space="0" w:color="auto"/>
                        <w:bottom w:val="none" w:sz="0" w:space="0" w:color="auto"/>
                        <w:right w:val="none" w:sz="0" w:space="0" w:color="auto"/>
                      </w:divBdr>
                    </w:div>
                  </w:divsChild>
                </w:div>
                <w:div w:id="1674600413">
                  <w:marLeft w:val="0"/>
                  <w:marRight w:val="0"/>
                  <w:marTop w:val="0"/>
                  <w:marBottom w:val="0"/>
                  <w:divBdr>
                    <w:top w:val="none" w:sz="0" w:space="0" w:color="auto"/>
                    <w:left w:val="none" w:sz="0" w:space="0" w:color="auto"/>
                    <w:bottom w:val="none" w:sz="0" w:space="0" w:color="auto"/>
                    <w:right w:val="none" w:sz="0" w:space="0" w:color="auto"/>
                  </w:divBdr>
                  <w:divsChild>
                    <w:div w:id="532504288">
                      <w:marLeft w:val="0"/>
                      <w:marRight w:val="0"/>
                      <w:marTop w:val="0"/>
                      <w:marBottom w:val="0"/>
                      <w:divBdr>
                        <w:top w:val="none" w:sz="0" w:space="0" w:color="auto"/>
                        <w:left w:val="none" w:sz="0" w:space="0" w:color="auto"/>
                        <w:bottom w:val="none" w:sz="0" w:space="0" w:color="auto"/>
                        <w:right w:val="none" w:sz="0" w:space="0" w:color="auto"/>
                      </w:divBdr>
                    </w:div>
                  </w:divsChild>
                </w:div>
                <w:div w:id="1680541803">
                  <w:marLeft w:val="0"/>
                  <w:marRight w:val="0"/>
                  <w:marTop w:val="0"/>
                  <w:marBottom w:val="0"/>
                  <w:divBdr>
                    <w:top w:val="none" w:sz="0" w:space="0" w:color="auto"/>
                    <w:left w:val="none" w:sz="0" w:space="0" w:color="auto"/>
                    <w:bottom w:val="none" w:sz="0" w:space="0" w:color="auto"/>
                    <w:right w:val="none" w:sz="0" w:space="0" w:color="auto"/>
                  </w:divBdr>
                  <w:divsChild>
                    <w:div w:id="1441299504">
                      <w:marLeft w:val="0"/>
                      <w:marRight w:val="0"/>
                      <w:marTop w:val="0"/>
                      <w:marBottom w:val="0"/>
                      <w:divBdr>
                        <w:top w:val="none" w:sz="0" w:space="0" w:color="auto"/>
                        <w:left w:val="none" w:sz="0" w:space="0" w:color="auto"/>
                        <w:bottom w:val="none" w:sz="0" w:space="0" w:color="auto"/>
                        <w:right w:val="none" w:sz="0" w:space="0" w:color="auto"/>
                      </w:divBdr>
                    </w:div>
                  </w:divsChild>
                </w:div>
                <w:div w:id="1742563773">
                  <w:marLeft w:val="0"/>
                  <w:marRight w:val="0"/>
                  <w:marTop w:val="0"/>
                  <w:marBottom w:val="0"/>
                  <w:divBdr>
                    <w:top w:val="none" w:sz="0" w:space="0" w:color="auto"/>
                    <w:left w:val="none" w:sz="0" w:space="0" w:color="auto"/>
                    <w:bottom w:val="none" w:sz="0" w:space="0" w:color="auto"/>
                    <w:right w:val="none" w:sz="0" w:space="0" w:color="auto"/>
                  </w:divBdr>
                  <w:divsChild>
                    <w:div w:id="1560361977">
                      <w:marLeft w:val="0"/>
                      <w:marRight w:val="0"/>
                      <w:marTop w:val="0"/>
                      <w:marBottom w:val="0"/>
                      <w:divBdr>
                        <w:top w:val="none" w:sz="0" w:space="0" w:color="auto"/>
                        <w:left w:val="none" w:sz="0" w:space="0" w:color="auto"/>
                        <w:bottom w:val="none" w:sz="0" w:space="0" w:color="auto"/>
                        <w:right w:val="none" w:sz="0" w:space="0" w:color="auto"/>
                      </w:divBdr>
                    </w:div>
                  </w:divsChild>
                </w:div>
                <w:div w:id="1751806985">
                  <w:marLeft w:val="0"/>
                  <w:marRight w:val="0"/>
                  <w:marTop w:val="0"/>
                  <w:marBottom w:val="0"/>
                  <w:divBdr>
                    <w:top w:val="none" w:sz="0" w:space="0" w:color="auto"/>
                    <w:left w:val="none" w:sz="0" w:space="0" w:color="auto"/>
                    <w:bottom w:val="none" w:sz="0" w:space="0" w:color="auto"/>
                    <w:right w:val="none" w:sz="0" w:space="0" w:color="auto"/>
                  </w:divBdr>
                  <w:divsChild>
                    <w:div w:id="1341466069">
                      <w:marLeft w:val="0"/>
                      <w:marRight w:val="0"/>
                      <w:marTop w:val="0"/>
                      <w:marBottom w:val="0"/>
                      <w:divBdr>
                        <w:top w:val="none" w:sz="0" w:space="0" w:color="auto"/>
                        <w:left w:val="none" w:sz="0" w:space="0" w:color="auto"/>
                        <w:bottom w:val="none" w:sz="0" w:space="0" w:color="auto"/>
                        <w:right w:val="none" w:sz="0" w:space="0" w:color="auto"/>
                      </w:divBdr>
                    </w:div>
                  </w:divsChild>
                </w:div>
                <w:div w:id="1863854315">
                  <w:marLeft w:val="0"/>
                  <w:marRight w:val="0"/>
                  <w:marTop w:val="0"/>
                  <w:marBottom w:val="0"/>
                  <w:divBdr>
                    <w:top w:val="none" w:sz="0" w:space="0" w:color="auto"/>
                    <w:left w:val="none" w:sz="0" w:space="0" w:color="auto"/>
                    <w:bottom w:val="none" w:sz="0" w:space="0" w:color="auto"/>
                    <w:right w:val="none" w:sz="0" w:space="0" w:color="auto"/>
                  </w:divBdr>
                  <w:divsChild>
                    <w:div w:id="1377659380">
                      <w:marLeft w:val="0"/>
                      <w:marRight w:val="0"/>
                      <w:marTop w:val="0"/>
                      <w:marBottom w:val="0"/>
                      <w:divBdr>
                        <w:top w:val="none" w:sz="0" w:space="0" w:color="auto"/>
                        <w:left w:val="none" w:sz="0" w:space="0" w:color="auto"/>
                        <w:bottom w:val="none" w:sz="0" w:space="0" w:color="auto"/>
                        <w:right w:val="none" w:sz="0" w:space="0" w:color="auto"/>
                      </w:divBdr>
                    </w:div>
                  </w:divsChild>
                </w:div>
                <w:div w:id="2060401502">
                  <w:marLeft w:val="0"/>
                  <w:marRight w:val="0"/>
                  <w:marTop w:val="0"/>
                  <w:marBottom w:val="0"/>
                  <w:divBdr>
                    <w:top w:val="none" w:sz="0" w:space="0" w:color="auto"/>
                    <w:left w:val="none" w:sz="0" w:space="0" w:color="auto"/>
                    <w:bottom w:val="none" w:sz="0" w:space="0" w:color="auto"/>
                    <w:right w:val="none" w:sz="0" w:space="0" w:color="auto"/>
                  </w:divBdr>
                  <w:divsChild>
                    <w:div w:id="59540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4724">
          <w:marLeft w:val="0"/>
          <w:marRight w:val="0"/>
          <w:marTop w:val="0"/>
          <w:marBottom w:val="0"/>
          <w:divBdr>
            <w:top w:val="none" w:sz="0" w:space="0" w:color="auto"/>
            <w:left w:val="none" w:sz="0" w:space="0" w:color="auto"/>
            <w:bottom w:val="none" w:sz="0" w:space="0" w:color="auto"/>
            <w:right w:val="none" w:sz="0" w:space="0" w:color="auto"/>
          </w:divBdr>
          <w:divsChild>
            <w:div w:id="96097970">
              <w:marLeft w:val="0"/>
              <w:marRight w:val="0"/>
              <w:marTop w:val="0"/>
              <w:marBottom w:val="0"/>
              <w:divBdr>
                <w:top w:val="none" w:sz="0" w:space="0" w:color="auto"/>
                <w:left w:val="none" w:sz="0" w:space="0" w:color="auto"/>
                <w:bottom w:val="none" w:sz="0" w:space="0" w:color="auto"/>
                <w:right w:val="none" w:sz="0" w:space="0" w:color="auto"/>
              </w:divBdr>
            </w:div>
            <w:div w:id="296108302">
              <w:marLeft w:val="0"/>
              <w:marRight w:val="0"/>
              <w:marTop w:val="0"/>
              <w:marBottom w:val="0"/>
              <w:divBdr>
                <w:top w:val="none" w:sz="0" w:space="0" w:color="auto"/>
                <w:left w:val="none" w:sz="0" w:space="0" w:color="auto"/>
                <w:bottom w:val="none" w:sz="0" w:space="0" w:color="auto"/>
                <w:right w:val="none" w:sz="0" w:space="0" w:color="auto"/>
              </w:divBdr>
            </w:div>
            <w:div w:id="678653649">
              <w:marLeft w:val="0"/>
              <w:marRight w:val="0"/>
              <w:marTop w:val="0"/>
              <w:marBottom w:val="0"/>
              <w:divBdr>
                <w:top w:val="none" w:sz="0" w:space="0" w:color="auto"/>
                <w:left w:val="none" w:sz="0" w:space="0" w:color="auto"/>
                <w:bottom w:val="none" w:sz="0" w:space="0" w:color="auto"/>
                <w:right w:val="none" w:sz="0" w:space="0" w:color="auto"/>
              </w:divBdr>
            </w:div>
            <w:div w:id="757411415">
              <w:marLeft w:val="0"/>
              <w:marRight w:val="0"/>
              <w:marTop w:val="0"/>
              <w:marBottom w:val="0"/>
              <w:divBdr>
                <w:top w:val="none" w:sz="0" w:space="0" w:color="auto"/>
                <w:left w:val="none" w:sz="0" w:space="0" w:color="auto"/>
                <w:bottom w:val="none" w:sz="0" w:space="0" w:color="auto"/>
                <w:right w:val="none" w:sz="0" w:space="0" w:color="auto"/>
              </w:divBdr>
            </w:div>
            <w:div w:id="1002197302">
              <w:marLeft w:val="0"/>
              <w:marRight w:val="0"/>
              <w:marTop w:val="0"/>
              <w:marBottom w:val="0"/>
              <w:divBdr>
                <w:top w:val="none" w:sz="0" w:space="0" w:color="auto"/>
                <w:left w:val="none" w:sz="0" w:space="0" w:color="auto"/>
                <w:bottom w:val="none" w:sz="0" w:space="0" w:color="auto"/>
                <w:right w:val="none" w:sz="0" w:space="0" w:color="auto"/>
              </w:divBdr>
            </w:div>
            <w:div w:id="1144734278">
              <w:marLeft w:val="0"/>
              <w:marRight w:val="0"/>
              <w:marTop w:val="0"/>
              <w:marBottom w:val="0"/>
              <w:divBdr>
                <w:top w:val="none" w:sz="0" w:space="0" w:color="auto"/>
                <w:left w:val="none" w:sz="0" w:space="0" w:color="auto"/>
                <w:bottom w:val="none" w:sz="0" w:space="0" w:color="auto"/>
                <w:right w:val="none" w:sz="0" w:space="0" w:color="auto"/>
              </w:divBdr>
            </w:div>
            <w:div w:id="1302072886">
              <w:marLeft w:val="0"/>
              <w:marRight w:val="0"/>
              <w:marTop w:val="0"/>
              <w:marBottom w:val="0"/>
              <w:divBdr>
                <w:top w:val="none" w:sz="0" w:space="0" w:color="auto"/>
                <w:left w:val="none" w:sz="0" w:space="0" w:color="auto"/>
                <w:bottom w:val="none" w:sz="0" w:space="0" w:color="auto"/>
                <w:right w:val="none" w:sz="0" w:space="0" w:color="auto"/>
              </w:divBdr>
            </w:div>
            <w:div w:id="1320233370">
              <w:marLeft w:val="0"/>
              <w:marRight w:val="0"/>
              <w:marTop w:val="0"/>
              <w:marBottom w:val="0"/>
              <w:divBdr>
                <w:top w:val="none" w:sz="0" w:space="0" w:color="auto"/>
                <w:left w:val="none" w:sz="0" w:space="0" w:color="auto"/>
                <w:bottom w:val="none" w:sz="0" w:space="0" w:color="auto"/>
                <w:right w:val="none" w:sz="0" w:space="0" w:color="auto"/>
              </w:divBdr>
            </w:div>
            <w:div w:id="1324893754">
              <w:marLeft w:val="0"/>
              <w:marRight w:val="0"/>
              <w:marTop w:val="0"/>
              <w:marBottom w:val="0"/>
              <w:divBdr>
                <w:top w:val="none" w:sz="0" w:space="0" w:color="auto"/>
                <w:left w:val="none" w:sz="0" w:space="0" w:color="auto"/>
                <w:bottom w:val="none" w:sz="0" w:space="0" w:color="auto"/>
                <w:right w:val="none" w:sz="0" w:space="0" w:color="auto"/>
              </w:divBdr>
            </w:div>
            <w:div w:id="1407457490">
              <w:marLeft w:val="0"/>
              <w:marRight w:val="0"/>
              <w:marTop w:val="0"/>
              <w:marBottom w:val="0"/>
              <w:divBdr>
                <w:top w:val="none" w:sz="0" w:space="0" w:color="auto"/>
                <w:left w:val="none" w:sz="0" w:space="0" w:color="auto"/>
                <w:bottom w:val="none" w:sz="0" w:space="0" w:color="auto"/>
                <w:right w:val="none" w:sz="0" w:space="0" w:color="auto"/>
              </w:divBdr>
            </w:div>
            <w:div w:id="1709602858">
              <w:marLeft w:val="0"/>
              <w:marRight w:val="0"/>
              <w:marTop w:val="0"/>
              <w:marBottom w:val="0"/>
              <w:divBdr>
                <w:top w:val="none" w:sz="0" w:space="0" w:color="auto"/>
                <w:left w:val="none" w:sz="0" w:space="0" w:color="auto"/>
                <w:bottom w:val="none" w:sz="0" w:space="0" w:color="auto"/>
                <w:right w:val="none" w:sz="0" w:space="0" w:color="auto"/>
              </w:divBdr>
            </w:div>
            <w:div w:id="1810705566">
              <w:marLeft w:val="0"/>
              <w:marRight w:val="0"/>
              <w:marTop w:val="0"/>
              <w:marBottom w:val="0"/>
              <w:divBdr>
                <w:top w:val="none" w:sz="0" w:space="0" w:color="auto"/>
                <w:left w:val="none" w:sz="0" w:space="0" w:color="auto"/>
                <w:bottom w:val="none" w:sz="0" w:space="0" w:color="auto"/>
                <w:right w:val="none" w:sz="0" w:space="0" w:color="auto"/>
              </w:divBdr>
            </w:div>
          </w:divsChild>
        </w:div>
        <w:div w:id="343552665">
          <w:marLeft w:val="0"/>
          <w:marRight w:val="0"/>
          <w:marTop w:val="0"/>
          <w:marBottom w:val="0"/>
          <w:divBdr>
            <w:top w:val="none" w:sz="0" w:space="0" w:color="auto"/>
            <w:left w:val="none" w:sz="0" w:space="0" w:color="auto"/>
            <w:bottom w:val="none" w:sz="0" w:space="0" w:color="auto"/>
            <w:right w:val="none" w:sz="0" w:space="0" w:color="auto"/>
          </w:divBdr>
          <w:divsChild>
            <w:div w:id="21591310">
              <w:marLeft w:val="0"/>
              <w:marRight w:val="0"/>
              <w:marTop w:val="0"/>
              <w:marBottom w:val="0"/>
              <w:divBdr>
                <w:top w:val="none" w:sz="0" w:space="0" w:color="auto"/>
                <w:left w:val="none" w:sz="0" w:space="0" w:color="auto"/>
                <w:bottom w:val="none" w:sz="0" w:space="0" w:color="auto"/>
                <w:right w:val="none" w:sz="0" w:space="0" w:color="auto"/>
              </w:divBdr>
            </w:div>
            <w:div w:id="112138518">
              <w:marLeft w:val="0"/>
              <w:marRight w:val="0"/>
              <w:marTop w:val="0"/>
              <w:marBottom w:val="0"/>
              <w:divBdr>
                <w:top w:val="none" w:sz="0" w:space="0" w:color="auto"/>
                <w:left w:val="none" w:sz="0" w:space="0" w:color="auto"/>
                <w:bottom w:val="none" w:sz="0" w:space="0" w:color="auto"/>
                <w:right w:val="none" w:sz="0" w:space="0" w:color="auto"/>
              </w:divBdr>
            </w:div>
            <w:div w:id="139270712">
              <w:marLeft w:val="0"/>
              <w:marRight w:val="0"/>
              <w:marTop w:val="0"/>
              <w:marBottom w:val="0"/>
              <w:divBdr>
                <w:top w:val="none" w:sz="0" w:space="0" w:color="auto"/>
                <w:left w:val="none" w:sz="0" w:space="0" w:color="auto"/>
                <w:bottom w:val="none" w:sz="0" w:space="0" w:color="auto"/>
                <w:right w:val="none" w:sz="0" w:space="0" w:color="auto"/>
              </w:divBdr>
            </w:div>
            <w:div w:id="235553504">
              <w:marLeft w:val="0"/>
              <w:marRight w:val="0"/>
              <w:marTop w:val="0"/>
              <w:marBottom w:val="0"/>
              <w:divBdr>
                <w:top w:val="none" w:sz="0" w:space="0" w:color="auto"/>
                <w:left w:val="none" w:sz="0" w:space="0" w:color="auto"/>
                <w:bottom w:val="none" w:sz="0" w:space="0" w:color="auto"/>
                <w:right w:val="none" w:sz="0" w:space="0" w:color="auto"/>
              </w:divBdr>
            </w:div>
            <w:div w:id="291253294">
              <w:marLeft w:val="0"/>
              <w:marRight w:val="0"/>
              <w:marTop w:val="0"/>
              <w:marBottom w:val="0"/>
              <w:divBdr>
                <w:top w:val="none" w:sz="0" w:space="0" w:color="auto"/>
                <w:left w:val="none" w:sz="0" w:space="0" w:color="auto"/>
                <w:bottom w:val="none" w:sz="0" w:space="0" w:color="auto"/>
                <w:right w:val="none" w:sz="0" w:space="0" w:color="auto"/>
              </w:divBdr>
            </w:div>
            <w:div w:id="446587866">
              <w:marLeft w:val="0"/>
              <w:marRight w:val="0"/>
              <w:marTop w:val="0"/>
              <w:marBottom w:val="0"/>
              <w:divBdr>
                <w:top w:val="none" w:sz="0" w:space="0" w:color="auto"/>
                <w:left w:val="none" w:sz="0" w:space="0" w:color="auto"/>
                <w:bottom w:val="none" w:sz="0" w:space="0" w:color="auto"/>
                <w:right w:val="none" w:sz="0" w:space="0" w:color="auto"/>
              </w:divBdr>
            </w:div>
            <w:div w:id="827869869">
              <w:marLeft w:val="0"/>
              <w:marRight w:val="0"/>
              <w:marTop w:val="0"/>
              <w:marBottom w:val="0"/>
              <w:divBdr>
                <w:top w:val="none" w:sz="0" w:space="0" w:color="auto"/>
                <w:left w:val="none" w:sz="0" w:space="0" w:color="auto"/>
                <w:bottom w:val="none" w:sz="0" w:space="0" w:color="auto"/>
                <w:right w:val="none" w:sz="0" w:space="0" w:color="auto"/>
              </w:divBdr>
            </w:div>
            <w:div w:id="929704405">
              <w:marLeft w:val="0"/>
              <w:marRight w:val="0"/>
              <w:marTop w:val="0"/>
              <w:marBottom w:val="0"/>
              <w:divBdr>
                <w:top w:val="none" w:sz="0" w:space="0" w:color="auto"/>
                <w:left w:val="none" w:sz="0" w:space="0" w:color="auto"/>
                <w:bottom w:val="none" w:sz="0" w:space="0" w:color="auto"/>
                <w:right w:val="none" w:sz="0" w:space="0" w:color="auto"/>
              </w:divBdr>
            </w:div>
            <w:div w:id="1374231734">
              <w:marLeft w:val="0"/>
              <w:marRight w:val="0"/>
              <w:marTop w:val="0"/>
              <w:marBottom w:val="0"/>
              <w:divBdr>
                <w:top w:val="none" w:sz="0" w:space="0" w:color="auto"/>
                <w:left w:val="none" w:sz="0" w:space="0" w:color="auto"/>
                <w:bottom w:val="none" w:sz="0" w:space="0" w:color="auto"/>
                <w:right w:val="none" w:sz="0" w:space="0" w:color="auto"/>
              </w:divBdr>
            </w:div>
            <w:div w:id="1418549738">
              <w:marLeft w:val="0"/>
              <w:marRight w:val="0"/>
              <w:marTop w:val="0"/>
              <w:marBottom w:val="0"/>
              <w:divBdr>
                <w:top w:val="none" w:sz="0" w:space="0" w:color="auto"/>
                <w:left w:val="none" w:sz="0" w:space="0" w:color="auto"/>
                <w:bottom w:val="none" w:sz="0" w:space="0" w:color="auto"/>
                <w:right w:val="none" w:sz="0" w:space="0" w:color="auto"/>
              </w:divBdr>
            </w:div>
            <w:div w:id="1496022440">
              <w:marLeft w:val="0"/>
              <w:marRight w:val="0"/>
              <w:marTop w:val="0"/>
              <w:marBottom w:val="0"/>
              <w:divBdr>
                <w:top w:val="none" w:sz="0" w:space="0" w:color="auto"/>
                <w:left w:val="none" w:sz="0" w:space="0" w:color="auto"/>
                <w:bottom w:val="none" w:sz="0" w:space="0" w:color="auto"/>
                <w:right w:val="none" w:sz="0" w:space="0" w:color="auto"/>
              </w:divBdr>
            </w:div>
            <w:div w:id="1874997608">
              <w:marLeft w:val="0"/>
              <w:marRight w:val="0"/>
              <w:marTop w:val="0"/>
              <w:marBottom w:val="0"/>
              <w:divBdr>
                <w:top w:val="none" w:sz="0" w:space="0" w:color="auto"/>
                <w:left w:val="none" w:sz="0" w:space="0" w:color="auto"/>
                <w:bottom w:val="none" w:sz="0" w:space="0" w:color="auto"/>
                <w:right w:val="none" w:sz="0" w:space="0" w:color="auto"/>
              </w:divBdr>
            </w:div>
            <w:div w:id="1888298322">
              <w:marLeft w:val="0"/>
              <w:marRight w:val="0"/>
              <w:marTop w:val="0"/>
              <w:marBottom w:val="0"/>
              <w:divBdr>
                <w:top w:val="none" w:sz="0" w:space="0" w:color="auto"/>
                <w:left w:val="none" w:sz="0" w:space="0" w:color="auto"/>
                <w:bottom w:val="none" w:sz="0" w:space="0" w:color="auto"/>
                <w:right w:val="none" w:sz="0" w:space="0" w:color="auto"/>
              </w:divBdr>
            </w:div>
            <w:div w:id="1918204316">
              <w:marLeft w:val="0"/>
              <w:marRight w:val="0"/>
              <w:marTop w:val="0"/>
              <w:marBottom w:val="0"/>
              <w:divBdr>
                <w:top w:val="none" w:sz="0" w:space="0" w:color="auto"/>
                <w:left w:val="none" w:sz="0" w:space="0" w:color="auto"/>
                <w:bottom w:val="none" w:sz="0" w:space="0" w:color="auto"/>
                <w:right w:val="none" w:sz="0" w:space="0" w:color="auto"/>
              </w:divBdr>
            </w:div>
          </w:divsChild>
        </w:div>
        <w:div w:id="343899117">
          <w:marLeft w:val="0"/>
          <w:marRight w:val="0"/>
          <w:marTop w:val="0"/>
          <w:marBottom w:val="0"/>
          <w:divBdr>
            <w:top w:val="none" w:sz="0" w:space="0" w:color="auto"/>
            <w:left w:val="none" w:sz="0" w:space="0" w:color="auto"/>
            <w:bottom w:val="none" w:sz="0" w:space="0" w:color="auto"/>
            <w:right w:val="none" w:sz="0" w:space="0" w:color="auto"/>
          </w:divBdr>
          <w:divsChild>
            <w:div w:id="362749207">
              <w:marLeft w:val="-75"/>
              <w:marRight w:val="0"/>
              <w:marTop w:val="30"/>
              <w:marBottom w:val="30"/>
              <w:divBdr>
                <w:top w:val="none" w:sz="0" w:space="0" w:color="auto"/>
                <w:left w:val="none" w:sz="0" w:space="0" w:color="auto"/>
                <w:bottom w:val="none" w:sz="0" w:space="0" w:color="auto"/>
                <w:right w:val="none" w:sz="0" w:space="0" w:color="auto"/>
              </w:divBdr>
              <w:divsChild>
                <w:div w:id="484931027">
                  <w:marLeft w:val="0"/>
                  <w:marRight w:val="0"/>
                  <w:marTop w:val="0"/>
                  <w:marBottom w:val="0"/>
                  <w:divBdr>
                    <w:top w:val="none" w:sz="0" w:space="0" w:color="auto"/>
                    <w:left w:val="none" w:sz="0" w:space="0" w:color="auto"/>
                    <w:bottom w:val="none" w:sz="0" w:space="0" w:color="auto"/>
                    <w:right w:val="none" w:sz="0" w:space="0" w:color="auto"/>
                  </w:divBdr>
                  <w:divsChild>
                    <w:div w:id="1659338351">
                      <w:marLeft w:val="0"/>
                      <w:marRight w:val="0"/>
                      <w:marTop w:val="0"/>
                      <w:marBottom w:val="0"/>
                      <w:divBdr>
                        <w:top w:val="none" w:sz="0" w:space="0" w:color="auto"/>
                        <w:left w:val="none" w:sz="0" w:space="0" w:color="auto"/>
                        <w:bottom w:val="none" w:sz="0" w:space="0" w:color="auto"/>
                        <w:right w:val="none" w:sz="0" w:space="0" w:color="auto"/>
                      </w:divBdr>
                    </w:div>
                  </w:divsChild>
                </w:div>
                <w:div w:id="860555730">
                  <w:marLeft w:val="0"/>
                  <w:marRight w:val="0"/>
                  <w:marTop w:val="0"/>
                  <w:marBottom w:val="0"/>
                  <w:divBdr>
                    <w:top w:val="none" w:sz="0" w:space="0" w:color="auto"/>
                    <w:left w:val="none" w:sz="0" w:space="0" w:color="auto"/>
                    <w:bottom w:val="none" w:sz="0" w:space="0" w:color="auto"/>
                    <w:right w:val="none" w:sz="0" w:space="0" w:color="auto"/>
                  </w:divBdr>
                  <w:divsChild>
                    <w:div w:id="516697232">
                      <w:marLeft w:val="0"/>
                      <w:marRight w:val="0"/>
                      <w:marTop w:val="0"/>
                      <w:marBottom w:val="0"/>
                      <w:divBdr>
                        <w:top w:val="none" w:sz="0" w:space="0" w:color="auto"/>
                        <w:left w:val="none" w:sz="0" w:space="0" w:color="auto"/>
                        <w:bottom w:val="none" w:sz="0" w:space="0" w:color="auto"/>
                        <w:right w:val="none" w:sz="0" w:space="0" w:color="auto"/>
                      </w:divBdr>
                    </w:div>
                  </w:divsChild>
                </w:div>
                <w:div w:id="1003094403">
                  <w:marLeft w:val="0"/>
                  <w:marRight w:val="0"/>
                  <w:marTop w:val="0"/>
                  <w:marBottom w:val="0"/>
                  <w:divBdr>
                    <w:top w:val="none" w:sz="0" w:space="0" w:color="auto"/>
                    <w:left w:val="none" w:sz="0" w:space="0" w:color="auto"/>
                    <w:bottom w:val="none" w:sz="0" w:space="0" w:color="auto"/>
                    <w:right w:val="none" w:sz="0" w:space="0" w:color="auto"/>
                  </w:divBdr>
                  <w:divsChild>
                    <w:div w:id="1729065967">
                      <w:marLeft w:val="0"/>
                      <w:marRight w:val="0"/>
                      <w:marTop w:val="0"/>
                      <w:marBottom w:val="0"/>
                      <w:divBdr>
                        <w:top w:val="none" w:sz="0" w:space="0" w:color="auto"/>
                        <w:left w:val="none" w:sz="0" w:space="0" w:color="auto"/>
                        <w:bottom w:val="none" w:sz="0" w:space="0" w:color="auto"/>
                        <w:right w:val="none" w:sz="0" w:space="0" w:color="auto"/>
                      </w:divBdr>
                    </w:div>
                  </w:divsChild>
                </w:div>
                <w:div w:id="1056011839">
                  <w:marLeft w:val="0"/>
                  <w:marRight w:val="0"/>
                  <w:marTop w:val="0"/>
                  <w:marBottom w:val="0"/>
                  <w:divBdr>
                    <w:top w:val="none" w:sz="0" w:space="0" w:color="auto"/>
                    <w:left w:val="none" w:sz="0" w:space="0" w:color="auto"/>
                    <w:bottom w:val="none" w:sz="0" w:space="0" w:color="auto"/>
                    <w:right w:val="none" w:sz="0" w:space="0" w:color="auto"/>
                  </w:divBdr>
                  <w:divsChild>
                    <w:div w:id="1485051961">
                      <w:marLeft w:val="0"/>
                      <w:marRight w:val="0"/>
                      <w:marTop w:val="0"/>
                      <w:marBottom w:val="0"/>
                      <w:divBdr>
                        <w:top w:val="none" w:sz="0" w:space="0" w:color="auto"/>
                        <w:left w:val="none" w:sz="0" w:space="0" w:color="auto"/>
                        <w:bottom w:val="none" w:sz="0" w:space="0" w:color="auto"/>
                        <w:right w:val="none" w:sz="0" w:space="0" w:color="auto"/>
                      </w:divBdr>
                    </w:div>
                  </w:divsChild>
                </w:div>
                <w:div w:id="1119420622">
                  <w:marLeft w:val="0"/>
                  <w:marRight w:val="0"/>
                  <w:marTop w:val="0"/>
                  <w:marBottom w:val="0"/>
                  <w:divBdr>
                    <w:top w:val="none" w:sz="0" w:space="0" w:color="auto"/>
                    <w:left w:val="none" w:sz="0" w:space="0" w:color="auto"/>
                    <w:bottom w:val="none" w:sz="0" w:space="0" w:color="auto"/>
                    <w:right w:val="none" w:sz="0" w:space="0" w:color="auto"/>
                  </w:divBdr>
                  <w:divsChild>
                    <w:div w:id="1195191948">
                      <w:marLeft w:val="0"/>
                      <w:marRight w:val="0"/>
                      <w:marTop w:val="0"/>
                      <w:marBottom w:val="0"/>
                      <w:divBdr>
                        <w:top w:val="none" w:sz="0" w:space="0" w:color="auto"/>
                        <w:left w:val="none" w:sz="0" w:space="0" w:color="auto"/>
                        <w:bottom w:val="none" w:sz="0" w:space="0" w:color="auto"/>
                        <w:right w:val="none" w:sz="0" w:space="0" w:color="auto"/>
                      </w:divBdr>
                    </w:div>
                  </w:divsChild>
                </w:div>
                <w:div w:id="1248155400">
                  <w:marLeft w:val="0"/>
                  <w:marRight w:val="0"/>
                  <w:marTop w:val="0"/>
                  <w:marBottom w:val="0"/>
                  <w:divBdr>
                    <w:top w:val="none" w:sz="0" w:space="0" w:color="auto"/>
                    <w:left w:val="none" w:sz="0" w:space="0" w:color="auto"/>
                    <w:bottom w:val="none" w:sz="0" w:space="0" w:color="auto"/>
                    <w:right w:val="none" w:sz="0" w:space="0" w:color="auto"/>
                  </w:divBdr>
                  <w:divsChild>
                    <w:div w:id="1451631877">
                      <w:marLeft w:val="0"/>
                      <w:marRight w:val="0"/>
                      <w:marTop w:val="0"/>
                      <w:marBottom w:val="0"/>
                      <w:divBdr>
                        <w:top w:val="none" w:sz="0" w:space="0" w:color="auto"/>
                        <w:left w:val="none" w:sz="0" w:space="0" w:color="auto"/>
                        <w:bottom w:val="none" w:sz="0" w:space="0" w:color="auto"/>
                        <w:right w:val="none" w:sz="0" w:space="0" w:color="auto"/>
                      </w:divBdr>
                    </w:div>
                  </w:divsChild>
                </w:div>
                <w:div w:id="1351183943">
                  <w:marLeft w:val="0"/>
                  <w:marRight w:val="0"/>
                  <w:marTop w:val="0"/>
                  <w:marBottom w:val="0"/>
                  <w:divBdr>
                    <w:top w:val="none" w:sz="0" w:space="0" w:color="auto"/>
                    <w:left w:val="none" w:sz="0" w:space="0" w:color="auto"/>
                    <w:bottom w:val="none" w:sz="0" w:space="0" w:color="auto"/>
                    <w:right w:val="none" w:sz="0" w:space="0" w:color="auto"/>
                  </w:divBdr>
                  <w:divsChild>
                    <w:div w:id="2009863592">
                      <w:marLeft w:val="0"/>
                      <w:marRight w:val="0"/>
                      <w:marTop w:val="0"/>
                      <w:marBottom w:val="0"/>
                      <w:divBdr>
                        <w:top w:val="none" w:sz="0" w:space="0" w:color="auto"/>
                        <w:left w:val="none" w:sz="0" w:space="0" w:color="auto"/>
                        <w:bottom w:val="none" w:sz="0" w:space="0" w:color="auto"/>
                        <w:right w:val="none" w:sz="0" w:space="0" w:color="auto"/>
                      </w:divBdr>
                    </w:div>
                  </w:divsChild>
                </w:div>
                <w:div w:id="1398166780">
                  <w:marLeft w:val="0"/>
                  <w:marRight w:val="0"/>
                  <w:marTop w:val="0"/>
                  <w:marBottom w:val="0"/>
                  <w:divBdr>
                    <w:top w:val="none" w:sz="0" w:space="0" w:color="auto"/>
                    <w:left w:val="none" w:sz="0" w:space="0" w:color="auto"/>
                    <w:bottom w:val="none" w:sz="0" w:space="0" w:color="auto"/>
                    <w:right w:val="none" w:sz="0" w:space="0" w:color="auto"/>
                  </w:divBdr>
                  <w:divsChild>
                    <w:div w:id="2047871863">
                      <w:marLeft w:val="0"/>
                      <w:marRight w:val="0"/>
                      <w:marTop w:val="0"/>
                      <w:marBottom w:val="0"/>
                      <w:divBdr>
                        <w:top w:val="none" w:sz="0" w:space="0" w:color="auto"/>
                        <w:left w:val="none" w:sz="0" w:space="0" w:color="auto"/>
                        <w:bottom w:val="none" w:sz="0" w:space="0" w:color="auto"/>
                        <w:right w:val="none" w:sz="0" w:space="0" w:color="auto"/>
                      </w:divBdr>
                    </w:div>
                  </w:divsChild>
                </w:div>
                <w:div w:id="1406563669">
                  <w:marLeft w:val="0"/>
                  <w:marRight w:val="0"/>
                  <w:marTop w:val="0"/>
                  <w:marBottom w:val="0"/>
                  <w:divBdr>
                    <w:top w:val="none" w:sz="0" w:space="0" w:color="auto"/>
                    <w:left w:val="none" w:sz="0" w:space="0" w:color="auto"/>
                    <w:bottom w:val="none" w:sz="0" w:space="0" w:color="auto"/>
                    <w:right w:val="none" w:sz="0" w:space="0" w:color="auto"/>
                  </w:divBdr>
                  <w:divsChild>
                    <w:div w:id="1005132167">
                      <w:marLeft w:val="0"/>
                      <w:marRight w:val="0"/>
                      <w:marTop w:val="0"/>
                      <w:marBottom w:val="0"/>
                      <w:divBdr>
                        <w:top w:val="none" w:sz="0" w:space="0" w:color="auto"/>
                        <w:left w:val="none" w:sz="0" w:space="0" w:color="auto"/>
                        <w:bottom w:val="none" w:sz="0" w:space="0" w:color="auto"/>
                        <w:right w:val="none" w:sz="0" w:space="0" w:color="auto"/>
                      </w:divBdr>
                    </w:div>
                  </w:divsChild>
                </w:div>
                <w:div w:id="1434666744">
                  <w:marLeft w:val="0"/>
                  <w:marRight w:val="0"/>
                  <w:marTop w:val="0"/>
                  <w:marBottom w:val="0"/>
                  <w:divBdr>
                    <w:top w:val="none" w:sz="0" w:space="0" w:color="auto"/>
                    <w:left w:val="none" w:sz="0" w:space="0" w:color="auto"/>
                    <w:bottom w:val="none" w:sz="0" w:space="0" w:color="auto"/>
                    <w:right w:val="none" w:sz="0" w:space="0" w:color="auto"/>
                  </w:divBdr>
                  <w:divsChild>
                    <w:div w:id="946037762">
                      <w:marLeft w:val="0"/>
                      <w:marRight w:val="0"/>
                      <w:marTop w:val="0"/>
                      <w:marBottom w:val="0"/>
                      <w:divBdr>
                        <w:top w:val="none" w:sz="0" w:space="0" w:color="auto"/>
                        <w:left w:val="none" w:sz="0" w:space="0" w:color="auto"/>
                        <w:bottom w:val="none" w:sz="0" w:space="0" w:color="auto"/>
                        <w:right w:val="none" w:sz="0" w:space="0" w:color="auto"/>
                      </w:divBdr>
                    </w:div>
                  </w:divsChild>
                </w:div>
                <w:div w:id="1767185662">
                  <w:marLeft w:val="0"/>
                  <w:marRight w:val="0"/>
                  <w:marTop w:val="0"/>
                  <w:marBottom w:val="0"/>
                  <w:divBdr>
                    <w:top w:val="none" w:sz="0" w:space="0" w:color="auto"/>
                    <w:left w:val="none" w:sz="0" w:space="0" w:color="auto"/>
                    <w:bottom w:val="none" w:sz="0" w:space="0" w:color="auto"/>
                    <w:right w:val="none" w:sz="0" w:space="0" w:color="auto"/>
                  </w:divBdr>
                  <w:divsChild>
                    <w:div w:id="459616382">
                      <w:marLeft w:val="0"/>
                      <w:marRight w:val="0"/>
                      <w:marTop w:val="0"/>
                      <w:marBottom w:val="0"/>
                      <w:divBdr>
                        <w:top w:val="none" w:sz="0" w:space="0" w:color="auto"/>
                        <w:left w:val="none" w:sz="0" w:space="0" w:color="auto"/>
                        <w:bottom w:val="none" w:sz="0" w:space="0" w:color="auto"/>
                        <w:right w:val="none" w:sz="0" w:space="0" w:color="auto"/>
                      </w:divBdr>
                    </w:div>
                  </w:divsChild>
                </w:div>
                <w:div w:id="1867719091">
                  <w:marLeft w:val="0"/>
                  <w:marRight w:val="0"/>
                  <w:marTop w:val="0"/>
                  <w:marBottom w:val="0"/>
                  <w:divBdr>
                    <w:top w:val="none" w:sz="0" w:space="0" w:color="auto"/>
                    <w:left w:val="none" w:sz="0" w:space="0" w:color="auto"/>
                    <w:bottom w:val="none" w:sz="0" w:space="0" w:color="auto"/>
                    <w:right w:val="none" w:sz="0" w:space="0" w:color="auto"/>
                  </w:divBdr>
                  <w:divsChild>
                    <w:div w:id="127848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74030">
          <w:marLeft w:val="0"/>
          <w:marRight w:val="0"/>
          <w:marTop w:val="0"/>
          <w:marBottom w:val="0"/>
          <w:divBdr>
            <w:top w:val="none" w:sz="0" w:space="0" w:color="auto"/>
            <w:left w:val="none" w:sz="0" w:space="0" w:color="auto"/>
            <w:bottom w:val="none" w:sz="0" w:space="0" w:color="auto"/>
            <w:right w:val="none" w:sz="0" w:space="0" w:color="auto"/>
          </w:divBdr>
          <w:divsChild>
            <w:div w:id="459959694">
              <w:marLeft w:val="0"/>
              <w:marRight w:val="0"/>
              <w:marTop w:val="0"/>
              <w:marBottom w:val="0"/>
              <w:divBdr>
                <w:top w:val="none" w:sz="0" w:space="0" w:color="auto"/>
                <w:left w:val="none" w:sz="0" w:space="0" w:color="auto"/>
                <w:bottom w:val="none" w:sz="0" w:space="0" w:color="auto"/>
                <w:right w:val="none" w:sz="0" w:space="0" w:color="auto"/>
              </w:divBdr>
            </w:div>
            <w:div w:id="957175456">
              <w:marLeft w:val="0"/>
              <w:marRight w:val="0"/>
              <w:marTop w:val="0"/>
              <w:marBottom w:val="0"/>
              <w:divBdr>
                <w:top w:val="none" w:sz="0" w:space="0" w:color="auto"/>
                <w:left w:val="none" w:sz="0" w:space="0" w:color="auto"/>
                <w:bottom w:val="none" w:sz="0" w:space="0" w:color="auto"/>
                <w:right w:val="none" w:sz="0" w:space="0" w:color="auto"/>
              </w:divBdr>
            </w:div>
            <w:div w:id="1192648217">
              <w:marLeft w:val="0"/>
              <w:marRight w:val="0"/>
              <w:marTop w:val="0"/>
              <w:marBottom w:val="0"/>
              <w:divBdr>
                <w:top w:val="none" w:sz="0" w:space="0" w:color="auto"/>
                <w:left w:val="none" w:sz="0" w:space="0" w:color="auto"/>
                <w:bottom w:val="none" w:sz="0" w:space="0" w:color="auto"/>
                <w:right w:val="none" w:sz="0" w:space="0" w:color="auto"/>
              </w:divBdr>
            </w:div>
            <w:div w:id="1938437067">
              <w:marLeft w:val="0"/>
              <w:marRight w:val="0"/>
              <w:marTop w:val="0"/>
              <w:marBottom w:val="0"/>
              <w:divBdr>
                <w:top w:val="none" w:sz="0" w:space="0" w:color="auto"/>
                <w:left w:val="none" w:sz="0" w:space="0" w:color="auto"/>
                <w:bottom w:val="none" w:sz="0" w:space="0" w:color="auto"/>
                <w:right w:val="none" w:sz="0" w:space="0" w:color="auto"/>
              </w:divBdr>
            </w:div>
            <w:div w:id="1977056543">
              <w:marLeft w:val="0"/>
              <w:marRight w:val="0"/>
              <w:marTop w:val="0"/>
              <w:marBottom w:val="0"/>
              <w:divBdr>
                <w:top w:val="none" w:sz="0" w:space="0" w:color="auto"/>
                <w:left w:val="none" w:sz="0" w:space="0" w:color="auto"/>
                <w:bottom w:val="none" w:sz="0" w:space="0" w:color="auto"/>
                <w:right w:val="none" w:sz="0" w:space="0" w:color="auto"/>
              </w:divBdr>
            </w:div>
          </w:divsChild>
        </w:div>
        <w:div w:id="360327322">
          <w:marLeft w:val="0"/>
          <w:marRight w:val="0"/>
          <w:marTop w:val="0"/>
          <w:marBottom w:val="0"/>
          <w:divBdr>
            <w:top w:val="none" w:sz="0" w:space="0" w:color="auto"/>
            <w:left w:val="none" w:sz="0" w:space="0" w:color="auto"/>
            <w:bottom w:val="none" w:sz="0" w:space="0" w:color="auto"/>
            <w:right w:val="none" w:sz="0" w:space="0" w:color="auto"/>
          </w:divBdr>
        </w:div>
        <w:div w:id="371148128">
          <w:marLeft w:val="0"/>
          <w:marRight w:val="0"/>
          <w:marTop w:val="0"/>
          <w:marBottom w:val="0"/>
          <w:divBdr>
            <w:top w:val="none" w:sz="0" w:space="0" w:color="auto"/>
            <w:left w:val="none" w:sz="0" w:space="0" w:color="auto"/>
            <w:bottom w:val="none" w:sz="0" w:space="0" w:color="auto"/>
            <w:right w:val="none" w:sz="0" w:space="0" w:color="auto"/>
          </w:divBdr>
          <w:divsChild>
            <w:div w:id="1278633768">
              <w:marLeft w:val="-75"/>
              <w:marRight w:val="0"/>
              <w:marTop w:val="30"/>
              <w:marBottom w:val="30"/>
              <w:divBdr>
                <w:top w:val="none" w:sz="0" w:space="0" w:color="auto"/>
                <w:left w:val="none" w:sz="0" w:space="0" w:color="auto"/>
                <w:bottom w:val="none" w:sz="0" w:space="0" w:color="auto"/>
                <w:right w:val="none" w:sz="0" w:space="0" w:color="auto"/>
              </w:divBdr>
              <w:divsChild>
                <w:div w:id="15275495">
                  <w:marLeft w:val="0"/>
                  <w:marRight w:val="0"/>
                  <w:marTop w:val="0"/>
                  <w:marBottom w:val="0"/>
                  <w:divBdr>
                    <w:top w:val="none" w:sz="0" w:space="0" w:color="auto"/>
                    <w:left w:val="none" w:sz="0" w:space="0" w:color="auto"/>
                    <w:bottom w:val="none" w:sz="0" w:space="0" w:color="auto"/>
                    <w:right w:val="none" w:sz="0" w:space="0" w:color="auto"/>
                  </w:divBdr>
                  <w:divsChild>
                    <w:div w:id="2066560774">
                      <w:marLeft w:val="0"/>
                      <w:marRight w:val="0"/>
                      <w:marTop w:val="0"/>
                      <w:marBottom w:val="0"/>
                      <w:divBdr>
                        <w:top w:val="none" w:sz="0" w:space="0" w:color="auto"/>
                        <w:left w:val="none" w:sz="0" w:space="0" w:color="auto"/>
                        <w:bottom w:val="none" w:sz="0" w:space="0" w:color="auto"/>
                        <w:right w:val="none" w:sz="0" w:space="0" w:color="auto"/>
                      </w:divBdr>
                    </w:div>
                  </w:divsChild>
                </w:div>
                <w:div w:id="67922542">
                  <w:marLeft w:val="0"/>
                  <w:marRight w:val="0"/>
                  <w:marTop w:val="0"/>
                  <w:marBottom w:val="0"/>
                  <w:divBdr>
                    <w:top w:val="none" w:sz="0" w:space="0" w:color="auto"/>
                    <w:left w:val="none" w:sz="0" w:space="0" w:color="auto"/>
                    <w:bottom w:val="none" w:sz="0" w:space="0" w:color="auto"/>
                    <w:right w:val="none" w:sz="0" w:space="0" w:color="auto"/>
                  </w:divBdr>
                  <w:divsChild>
                    <w:div w:id="749813070">
                      <w:marLeft w:val="0"/>
                      <w:marRight w:val="0"/>
                      <w:marTop w:val="0"/>
                      <w:marBottom w:val="0"/>
                      <w:divBdr>
                        <w:top w:val="none" w:sz="0" w:space="0" w:color="auto"/>
                        <w:left w:val="none" w:sz="0" w:space="0" w:color="auto"/>
                        <w:bottom w:val="none" w:sz="0" w:space="0" w:color="auto"/>
                        <w:right w:val="none" w:sz="0" w:space="0" w:color="auto"/>
                      </w:divBdr>
                    </w:div>
                  </w:divsChild>
                </w:div>
                <w:div w:id="79759996">
                  <w:marLeft w:val="0"/>
                  <w:marRight w:val="0"/>
                  <w:marTop w:val="0"/>
                  <w:marBottom w:val="0"/>
                  <w:divBdr>
                    <w:top w:val="none" w:sz="0" w:space="0" w:color="auto"/>
                    <w:left w:val="none" w:sz="0" w:space="0" w:color="auto"/>
                    <w:bottom w:val="none" w:sz="0" w:space="0" w:color="auto"/>
                    <w:right w:val="none" w:sz="0" w:space="0" w:color="auto"/>
                  </w:divBdr>
                  <w:divsChild>
                    <w:div w:id="1299337448">
                      <w:marLeft w:val="0"/>
                      <w:marRight w:val="0"/>
                      <w:marTop w:val="0"/>
                      <w:marBottom w:val="0"/>
                      <w:divBdr>
                        <w:top w:val="none" w:sz="0" w:space="0" w:color="auto"/>
                        <w:left w:val="none" w:sz="0" w:space="0" w:color="auto"/>
                        <w:bottom w:val="none" w:sz="0" w:space="0" w:color="auto"/>
                        <w:right w:val="none" w:sz="0" w:space="0" w:color="auto"/>
                      </w:divBdr>
                    </w:div>
                  </w:divsChild>
                </w:div>
                <w:div w:id="196699109">
                  <w:marLeft w:val="0"/>
                  <w:marRight w:val="0"/>
                  <w:marTop w:val="0"/>
                  <w:marBottom w:val="0"/>
                  <w:divBdr>
                    <w:top w:val="none" w:sz="0" w:space="0" w:color="auto"/>
                    <w:left w:val="none" w:sz="0" w:space="0" w:color="auto"/>
                    <w:bottom w:val="none" w:sz="0" w:space="0" w:color="auto"/>
                    <w:right w:val="none" w:sz="0" w:space="0" w:color="auto"/>
                  </w:divBdr>
                  <w:divsChild>
                    <w:div w:id="1540898554">
                      <w:marLeft w:val="0"/>
                      <w:marRight w:val="0"/>
                      <w:marTop w:val="0"/>
                      <w:marBottom w:val="0"/>
                      <w:divBdr>
                        <w:top w:val="none" w:sz="0" w:space="0" w:color="auto"/>
                        <w:left w:val="none" w:sz="0" w:space="0" w:color="auto"/>
                        <w:bottom w:val="none" w:sz="0" w:space="0" w:color="auto"/>
                        <w:right w:val="none" w:sz="0" w:space="0" w:color="auto"/>
                      </w:divBdr>
                    </w:div>
                  </w:divsChild>
                </w:div>
                <w:div w:id="274797861">
                  <w:marLeft w:val="0"/>
                  <w:marRight w:val="0"/>
                  <w:marTop w:val="0"/>
                  <w:marBottom w:val="0"/>
                  <w:divBdr>
                    <w:top w:val="none" w:sz="0" w:space="0" w:color="auto"/>
                    <w:left w:val="none" w:sz="0" w:space="0" w:color="auto"/>
                    <w:bottom w:val="none" w:sz="0" w:space="0" w:color="auto"/>
                    <w:right w:val="none" w:sz="0" w:space="0" w:color="auto"/>
                  </w:divBdr>
                  <w:divsChild>
                    <w:div w:id="520776338">
                      <w:marLeft w:val="0"/>
                      <w:marRight w:val="0"/>
                      <w:marTop w:val="0"/>
                      <w:marBottom w:val="0"/>
                      <w:divBdr>
                        <w:top w:val="none" w:sz="0" w:space="0" w:color="auto"/>
                        <w:left w:val="none" w:sz="0" w:space="0" w:color="auto"/>
                        <w:bottom w:val="none" w:sz="0" w:space="0" w:color="auto"/>
                        <w:right w:val="none" w:sz="0" w:space="0" w:color="auto"/>
                      </w:divBdr>
                    </w:div>
                  </w:divsChild>
                </w:div>
                <w:div w:id="280960475">
                  <w:marLeft w:val="0"/>
                  <w:marRight w:val="0"/>
                  <w:marTop w:val="0"/>
                  <w:marBottom w:val="0"/>
                  <w:divBdr>
                    <w:top w:val="none" w:sz="0" w:space="0" w:color="auto"/>
                    <w:left w:val="none" w:sz="0" w:space="0" w:color="auto"/>
                    <w:bottom w:val="none" w:sz="0" w:space="0" w:color="auto"/>
                    <w:right w:val="none" w:sz="0" w:space="0" w:color="auto"/>
                  </w:divBdr>
                  <w:divsChild>
                    <w:div w:id="929778533">
                      <w:marLeft w:val="0"/>
                      <w:marRight w:val="0"/>
                      <w:marTop w:val="0"/>
                      <w:marBottom w:val="0"/>
                      <w:divBdr>
                        <w:top w:val="none" w:sz="0" w:space="0" w:color="auto"/>
                        <w:left w:val="none" w:sz="0" w:space="0" w:color="auto"/>
                        <w:bottom w:val="none" w:sz="0" w:space="0" w:color="auto"/>
                        <w:right w:val="none" w:sz="0" w:space="0" w:color="auto"/>
                      </w:divBdr>
                    </w:div>
                  </w:divsChild>
                </w:div>
                <w:div w:id="449082631">
                  <w:marLeft w:val="0"/>
                  <w:marRight w:val="0"/>
                  <w:marTop w:val="0"/>
                  <w:marBottom w:val="0"/>
                  <w:divBdr>
                    <w:top w:val="none" w:sz="0" w:space="0" w:color="auto"/>
                    <w:left w:val="none" w:sz="0" w:space="0" w:color="auto"/>
                    <w:bottom w:val="none" w:sz="0" w:space="0" w:color="auto"/>
                    <w:right w:val="none" w:sz="0" w:space="0" w:color="auto"/>
                  </w:divBdr>
                  <w:divsChild>
                    <w:div w:id="622537061">
                      <w:marLeft w:val="0"/>
                      <w:marRight w:val="0"/>
                      <w:marTop w:val="0"/>
                      <w:marBottom w:val="0"/>
                      <w:divBdr>
                        <w:top w:val="none" w:sz="0" w:space="0" w:color="auto"/>
                        <w:left w:val="none" w:sz="0" w:space="0" w:color="auto"/>
                        <w:bottom w:val="none" w:sz="0" w:space="0" w:color="auto"/>
                        <w:right w:val="none" w:sz="0" w:space="0" w:color="auto"/>
                      </w:divBdr>
                    </w:div>
                  </w:divsChild>
                </w:div>
                <w:div w:id="657268085">
                  <w:marLeft w:val="0"/>
                  <w:marRight w:val="0"/>
                  <w:marTop w:val="0"/>
                  <w:marBottom w:val="0"/>
                  <w:divBdr>
                    <w:top w:val="none" w:sz="0" w:space="0" w:color="auto"/>
                    <w:left w:val="none" w:sz="0" w:space="0" w:color="auto"/>
                    <w:bottom w:val="none" w:sz="0" w:space="0" w:color="auto"/>
                    <w:right w:val="none" w:sz="0" w:space="0" w:color="auto"/>
                  </w:divBdr>
                  <w:divsChild>
                    <w:div w:id="1258446469">
                      <w:marLeft w:val="0"/>
                      <w:marRight w:val="0"/>
                      <w:marTop w:val="0"/>
                      <w:marBottom w:val="0"/>
                      <w:divBdr>
                        <w:top w:val="none" w:sz="0" w:space="0" w:color="auto"/>
                        <w:left w:val="none" w:sz="0" w:space="0" w:color="auto"/>
                        <w:bottom w:val="none" w:sz="0" w:space="0" w:color="auto"/>
                        <w:right w:val="none" w:sz="0" w:space="0" w:color="auto"/>
                      </w:divBdr>
                    </w:div>
                  </w:divsChild>
                </w:div>
                <w:div w:id="686907970">
                  <w:marLeft w:val="0"/>
                  <w:marRight w:val="0"/>
                  <w:marTop w:val="0"/>
                  <w:marBottom w:val="0"/>
                  <w:divBdr>
                    <w:top w:val="none" w:sz="0" w:space="0" w:color="auto"/>
                    <w:left w:val="none" w:sz="0" w:space="0" w:color="auto"/>
                    <w:bottom w:val="none" w:sz="0" w:space="0" w:color="auto"/>
                    <w:right w:val="none" w:sz="0" w:space="0" w:color="auto"/>
                  </w:divBdr>
                  <w:divsChild>
                    <w:div w:id="491724690">
                      <w:marLeft w:val="0"/>
                      <w:marRight w:val="0"/>
                      <w:marTop w:val="0"/>
                      <w:marBottom w:val="0"/>
                      <w:divBdr>
                        <w:top w:val="none" w:sz="0" w:space="0" w:color="auto"/>
                        <w:left w:val="none" w:sz="0" w:space="0" w:color="auto"/>
                        <w:bottom w:val="none" w:sz="0" w:space="0" w:color="auto"/>
                        <w:right w:val="none" w:sz="0" w:space="0" w:color="auto"/>
                      </w:divBdr>
                    </w:div>
                  </w:divsChild>
                </w:div>
                <w:div w:id="694697974">
                  <w:marLeft w:val="0"/>
                  <w:marRight w:val="0"/>
                  <w:marTop w:val="0"/>
                  <w:marBottom w:val="0"/>
                  <w:divBdr>
                    <w:top w:val="none" w:sz="0" w:space="0" w:color="auto"/>
                    <w:left w:val="none" w:sz="0" w:space="0" w:color="auto"/>
                    <w:bottom w:val="none" w:sz="0" w:space="0" w:color="auto"/>
                    <w:right w:val="none" w:sz="0" w:space="0" w:color="auto"/>
                  </w:divBdr>
                  <w:divsChild>
                    <w:div w:id="851992403">
                      <w:marLeft w:val="0"/>
                      <w:marRight w:val="0"/>
                      <w:marTop w:val="0"/>
                      <w:marBottom w:val="0"/>
                      <w:divBdr>
                        <w:top w:val="none" w:sz="0" w:space="0" w:color="auto"/>
                        <w:left w:val="none" w:sz="0" w:space="0" w:color="auto"/>
                        <w:bottom w:val="none" w:sz="0" w:space="0" w:color="auto"/>
                        <w:right w:val="none" w:sz="0" w:space="0" w:color="auto"/>
                      </w:divBdr>
                    </w:div>
                  </w:divsChild>
                </w:div>
                <w:div w:id="811950473">
                  <w:marLeft w:val="0"/>
                  <w:marRight w:val="0"/>
                  <w:marTop w:val="0"/>
                  <w:marBottom w:val="0"/>
                  <w:divBdr>
                    <w:top w:val="none" w:sz="0" w:space="0" w:color="auto"/>
                    <w:left w:val="none" w:sz="0" w:space="0" w:color="auto"/>
                    <w:bottom w:val="none" w:sz="0" w:space="0" w:color="auto"/>
                    <w:right w:val="none" w:sz="0" w:space="0" w:color="auto"/>
                  </w:divBdr>
                  <w:divsChild>
                    <w:div w:id="149367208">
                      <w:marLeft w:val="0"/>
                      <w:marRight w:val="0"/>
                      <w:marTop w:val="0"/>
                      <w:marBottom w:val="0"/>
                      <w:divBdr>
                        <w:top w:val="none" w:sz="0" w:space="0" w:color="auto"/>
                        <w:left w:val="none" w:sz="0" w:space="0" w:color="auto"/>
                        <w:bottom w:val="none" w:sz="0" w:space="0" w:color="auto"/>
                        <w:right w:val="none" w:sz="0" w:space="0" w:color="auto"/>
                      </w:divBdr>
                    </w:div>
                  </w:divsChild>
                </w:div>
                <w:div w:id="897518515">
                  <w:marLeft w:val="0"/>
                  <w:marRight w:val="0"/>
                  <w:marTop w:val="0"/>
                  <w:marBottom w:val="0"/>
                  <w:divBdr>
                    <w:top w:val="none" w:sz="0" w:space="0" w:color="auto"/>
                    <w:left w:val="none" w:sz="0" w:space="0" w:color="auto"/>
                    <w:bottom w:val="none" w:sz="0" w:space="0" w:color="auto"/>
                    <w:right w:val="none" w:sz="0" w:space="0" w:color="auto"/>
                  </w:divBdr>
                  <w:divsChild>
                    <w:div w:id="873005901">
                      <w:marLeft w:val="0"/>
                      <w:marRight w:val="0"/>
                      <w:marTop w:val="0"/>
                      <w:marBottom w:val="0"/>
                      <w:divBdr>
                        <w:top w:val="none" w:sz="0" w:space="0" w:color="auto"/>
                        <w:left w:val="none" w:sz="0" w:space="0" w:color="auto"/>
                        <w:bottom w:val="none" w:sz="0" w:space="0" w:color="auto"/>
                        <w:right w:val="none" w:sz="0" w:space="0" w:color="auto"/>
                      </w:divBdr>
                    </w:div>
                  </w:divsChild>
                </w:div>
                <w:div w:id="923956609">
                  <w:marLeft w:val="0"/>
                  <w:marRight w:val="0"/>
                  <w:marTop w:val="0"/>
                  <w:marBottom w:val="0"/>
                  <w:divBdr>
                    <w:top w:val="none" w:sz="0" w:space="0" w:color="auto"/>
                    <w:left w:val="none" w:sz="0" w:space="0" w:color="auto"/>
                    <w:bottom w:val="none" w:sz="0" w:space="0" w:color="auto"/>
                    <w:right w:val="none" w:sz="0" w:space="0" w:color="auto"/>
                  </w:divBdr>
                  <w:divsChild>
                    <w:div w:id="633830387">
                      <w:marLeft w:val="0"/>
                      <w:marRight w:val="0"/>
                      <w:marTop w:val="0"/>
                      <w:marBottom w:val="0"/>
                      <w:divBdr>
                        <w:top w:val="none" w:sz="0" w:space="0" w:color="auto"/>
                        <w:left w:val="none" w:sz="0" w:space="0" w:color="auto"/>
                        <w:bottom w:val="none" w:sz="0" w:space="0" w:color="auto"/>
                        <w:right w:val="none" w:sz="0" w:space="0" w:color="auto"/>
                      </w:divBdr>
                    </w:div>
                  </w:divsChild>
                </w:div>
                <w:div w:id="1005284807">
                  <w:marLeft w:val="0"/>
                  <w:marRight w:val="0"/>
                  <w:marTop w:val="0"/>
                  <w:marBottom w:val="0"/>
                  <w:divBdr>
                    <w:top w:val="none" w:sz="0" w:space="0" w:color="auto"/>
                    <w:left w:val="none" w:sz="0" w:space="0" w:color="auto"/>
                    <w:bottom w:val="none" w:sz="0" w:space="0" w:color="auto"/>
                    <w:right w:val="none" w:sz="0" w:space="0" w:color="auto"/>
                  </w:divBdr>
                  <w:divsChild>
                    <w:div w:id="1051420888">
                      <w:marLeft w:val="0"/>
                      <w:marRight w:val="0"/>
                      <w:marTop w:val="0"/>
                      <w:marBottom w:val="0"/>
                      <w:divBdr>
                        <w:top w:val="none" w:sz="0" w:space="0" w:color="auto"/>
                        <w:left w:val="none" w:sz="0" w:space="0" w:color="auto"/>
                        <w:bottom w:val="none" w:sz="0" w:space="0" w:color="auto"/>
                        <w:right w:val="none" w:sz="0" w:space="0" w:color="auto"/>
                      </w:divBdr>
                    </w:div>
                  </w:divsChild>
                </w:div>
                <w:div w:id="1054814762">
                  <w:marLeft w:val="0"/>
                  <w:marRight w:val="0"/>
                  <w:marTop w:val="0"/>
                  <w:marBottom w:val="0"/>
                  <w:divBdr>
                    <w:top w:val="none" w:sz="0" w:space="0" w:color="auto"/>
                    <w:left w:val="none" w:sz="0" w:space="0" w:color="auto"/>
                    <w:bottom w:val="none" w:sz="0" w:space="0" w:color="auto"/>
                    <w:right w:val="none" w:sz="0" w:space="0" w:color="auto"/>
                  </w:divBdr>
                  <w:divsChild>
                    <w:div w:id="1370960341">
                      <w:marLeft w:val="0"/>
                      <w:marRight w:val="0"/>
                      <w:marTop w:val="0"/>
                      <w:marBottom w:val="0"/>
                      <w:divBdr>
                        <w:top w:val="none" w:sz="0" w:space="0" w:color="auto"/>
                        <w:left w:val="none" w:sz="0" w:space="0" w:color="auto"/>
                        <w:bottom w:val="none" w:sz="0" w:space="0" w:color="auto"/>
                        <w:right w:val="none" w:sz="0" w:space="0" w:color="auto"/>
                      </w:divBdr>
                    </w:div>
                  </w:divsChild>
                </w:div>
                <w:div w:id="1135096787">
                  <w:marLeft w:val="0"/>
                  <w:marRight w:val="0"/>
                  <w:marTop w:val="0"/>
                  <w:marBottom w:val="0"/>
                  <w:divBdr>
                    <w:top w:val="none" w:sz="0" w:space="0" w:color="auto"/>
                    <w:left w:val="none" w:sz="0" w:space="0" w:color="auto"/>
                    <w:bottom w:val="none" w:sz="0" w:space="0" w:color="auto"/>
                    <w:right w:val="none" w:sz="0" w:space="0" w:color="auto"/>
                  </w:divBdr>
                  <w:divsChild>
                    <w:div w:id="1732387944">
                      <w:marLeft w:val="0"/>
                      <w:marRight w:val="0"/>
                      <w:marTop w:val="0"/>
                      <w:marBottom w:val="0"/>
                      <w:divBdr>
                        <w:top w:val="none" w:sz="0" w:space="0" w:color="auto"/>
                        <w:left w:val="none" w:sz="0" w:space="0" w:color="auto"/>
                        <w:bottom w:val="none" w:sz="0" w:space="0" w:color="auto"/>
                        <w:right w:val="none" w:sz="0" w:space="0" w:color="auto"/>
                      </w:divBdr>
                    </w:div>
                  </w:divsChild>
                </w:div>
                <w:div w:id="1138690351">
                  <w:marLeft w:val="0"/>
                  <w:marRight w:val="0"/>
                  <w:marTop w:val="0"/>
                  <w:marBottom w:val="0"/>
                  <w:divBdr>
                    <w:top w:val="none" w:sz="0" w:space="0" w:color="auto"/>
                    <w:left w:val="none" w:sz="0" w:space="0" w:color="auto"/>
                    <w:bottom w:val="none" w:sz="0" w:space="0" w:color="auto"/>
                    <w:right w:val="none" w:sz="0" w:space="0" w:color="auto"/>
                  </w:divBdr>
                  <w:divsChild>
                    <w:div w:id="1826698255">
                      <w:marLeft w:val="0"/>
                      <w:marRight w:val="0"/>
                      <w:marTop w:val="0"/>
                      <w:marBottom w:val="0"/>
                      <w:divBdr>
                        <w:top w:val="none" w:sz="0" w:space="0" w:color="auto"/>
                        <w:left w:val="none" w:sz="0" w:space="0" w:color="auto"/>
                        <w:bottom w:val="none" w:sz="0" w:space="0" w:color="auto"/>
                        <w:right w:val="none" w:sz="0" w:space="0" w:color="auto"/>
                      </w:divBdr>
                    </w:div>
                  </w:divsChild>
                </w:div>
                <w:div w:id="1234506476">
                  <w:marLeft w:val="0"/>
                  <w:marRight w:val="0"/>
                  <w:marTop w:val="0"/>
                  <w:marBottom w:val="0"/>
                  <w:divBdr>
                    <w:top w:val="none" w:sz="0" w:space="0" w:color="auto"/>
                    <w:left w:val="none" w:sz="0" w:space="0" w:color="auto"/>
                    <w:bottom w:val="none" w:sz="0" w:space="0" w:color="auto"/>
                    <w:right w:val="none" w:sz="0" w:space="0" w:color="auto"/>
                  </w:divBdr>
                  <w:divsChild>
                    <w:div w:id="1588877267">
                      <w:marLeft w:val="0"/>
                      <w:marRight w:val="0"/>
                      <w:marTop w:val="0"/>
                      <w:marBottom w:val="0"/>
                      <w:divBdr>
                        <w:top w:val="none" w:sz="0" w:space="0" w:color="auto"/>
                        <w:left w:val="none" w:sz="0" w:space="0" w:color="auto"/>
                        <w:bottom w:val="none" w:sz="0" w:space="0" w:color="auto"/>
                        <w:right w:val="none" w:sz="0" w:space="0" w:color="auto"/>
                      </w:divBdr>
                    </w:div>
                  </w:divsChild>
                </w:div>
                <w:div w:id="1251963499">
                  <w:marLeft w:val="0"/>
                  <w:marRight w:val="0"/>
                  <w:marTop w:val="0"/>
                  <w:marBottom w:val="0"/>
                  <w:divBdr>
                    <w:top w:val="none" w:sz="0" w:space="0" w:color="auto"/>
                    <w:left w:val="none" w:sz="0" w:space="0" w:color="auto"/>
                    <w:bottom w:val="none" w:sz="0" w:space="0" w:color="auto"/>
                    <w:right w:val="none" w:sz="0" w:space="0" w:color="auto"/>
                  </w:divBdr>
                  <w:divsChild>
                    <w:div w:id="1601453122">
                      <w:marLeft w:val="0"/>
                      <w:marRight w:val="0"/>
                      <w:marTop w:val="0"/>
                      <w:marBottom w:val="0"/>
                      <w:divBdr>
                        <w:top w:val="none" w:sz="0" w:space="0" w:color="auto"/>
                        <w:left w:val="none" w:sz="0" w:space="0" w:color="auto"/>
                        <w:bottom w:val="none" w:sz="0" w:space="0" w:color="auto"/>
                        <w:right w:val="none" w:sz="0" w:space="0" w:color="auto"/>
                      </w:divBdr>
                    </w:div>
                  </w:divsChild>
                </w:div>
                <w:div w:id="1284965091">
                  <w:marLeft w:val="0"/>
                  <w:marRight w:val="0"/>
                  <w:marTop w:val="0"/>
                  <w:marBottom w:val="0"/>
                  <w:divBdr>
                    <w:top w:val="none" w:sz="0" w:space="0" w:color="auto"/>
                    <w:left w:val="none" w:sz="0" w:space="0" w:color="auto"/>
                    <w:bottom w:val="none" w:sz="0" w:space="0" w:color="auto"/>
                    <w:right w:val="none" w:sz="0" w:space="0" w:color="auto"/>
                  </w:divBdr>
                  <w:divsChild>
                    <w:div w:id="1726374938">
                      <w:marLeft w:val="0"/>
                      <w:marRight w:val="0"/>
                      <w:marTop w:val="0"/>
                      <w:marBottom w:val="0"/>
                      <w:divBdr>
                        <w:top w:val="none" w:sz="0" w:space="0" w:color="auto"/>
                        <w:left w:val="none" w:sz="0" w:space="0" w:color="auto"/>
                        <w:bottom w:val="none" w:sz="0" w:space="0" w:color="auto"/>
                        <w:right w:val="none" w:sz="0" w:space="0" w:color="auto"/>
                      </w:divBdr>
                    </w:div>
                  </w:divsChild>
                </w:div>
                <w:div w:id="1331562883">
                  <w:marLeft w:val="0"/>
                  <w:marRight w:val="0"/>
                  <w:marTop w:val="0"/>
                  <w:marBottom w:val="0"/>
                  <w:divBdr>
                    <w:top w:val="none" w:sz="0" w:space="0" w:color="auto"/>
                    <w:left w:val="none" w:sz="0" w:space="0" w:color="auto"/>
                    <w:bottom w:val="none" w:sz="0" w:space="0" w:color="auto"/>
                    <w:right w:val="none" w:sz="0" w:space="0" w:color="auto"/>
                  </w:divBdr>
                  <w:divsChild>
                    <w:div w:id="595603468">
                      <w:marLeft w:val="0"/>
                      <w:marRight w:val="0"/>
                      <w:marTop w:val="0"/>
                      <w:marBottom w:val="0"/>
                      <w:divBdr>
                        <w:top w:val="none" w:sz="0" w:space="0" w:color="auto"/>
                        <w:left w:val="none" w:sz="0" w:space="0" w:color="auto"/>
                        <w:bottom w:val="none" w:sz="0" w:space="0" w:color="auto"/>
                        <w:right w:val="none" w:sz="0" w:space="0" w:color="auto"/>
                      </w:divBdr>
                    </w:div>
                  </w:divsChild>
                </w:div>
                <w:div w:id="1360353199">
                  <w:marLeft w:val="0"/>
                  <w:marRight w:val="0"/>
                  <w:marTop w:val="0"/>
                  <w:marBottom w:val="0"/>
                  <w:divBdr>
                    <w:top w:val="none" w:sz="0" w:space="0" w:color="auto"/>
                    <w:left w:val="none" w:sz="0" w:space="0" w:color="auto"/>
                    <w:bottom w:val="none" w:sz="0" w:space="0" w:color="auto"/>
                    <w:right w:val="none" w:sz="0" w:space="0" w:color="auto"/>
                  </w:divBdr>
                  <w:divsChild>
                    <w:div w:id="113062948">
                      <w:marLeft w:val="0"/>
                      <w:marRight w:val="0"/>
                      <w:marTop w:val="0"/>
                      <w:marBottom w:val="0"/>
                      <w:divBdr>
                        <w:top w:val="none" w:sz="0" w:space="0" w:color="auto"/>
                        <w:left w:val="none" w:sz="0" w:space="0" w:color="auto"/>
                        <w:bottom w:val="none" w:sz="0" w:space="0" w:color="auto"/>
                        <w:right w:val="none" w:sz="0" w:space="0" w:color="auto"/>
                      </w:divBdr>
                    </w:div>
                  </w:divsChild>
                </w:div>
                <w:div w:id="1608462246">
                  <w:marLeft w:val="0"/>
                  <w:marRight w:val="0"/>
                  <w:marTop w:val="0"/>
                  <w:marBottom w:val="0"/>
                  <w:divBdr>
                    <w:top w:val="none" w:sz="0" w:space="0" w:color="auto"/>
                    <w:left w:val="none" w:sz="0" w:space="0" w:color="auto"/>
                    <w:bottom w:val="none" w:sz="0" w:space="0" w:color="auto"/>
                    <w:right w:val="none" w:sz="0" w:space="0" w:color="auto"/>
                  </w:divBdr>
                  <w:divsChild>
                    <w:div w:id="816992150">
                      <w:marLeft w:val="0"/>
                      <w:marRight w:val="0"/>
                      <w:marTop w:val="0"/>
                      <w:marBottom w:val="0"/>
                      <w:divBdr>
                        <w:top w:val="none" w:sz="0" w:space="0" w:color="auto"/>
                        <w:left w:val="none" w:sz="0" w:space="0" w:color="auto"/>
                        <w:bottom w:val="none" w:sz="0" w:space="0" w:color="auto"/>
                        <w:right w:val="none" w:sz="0" w:space="0" w:color="auto"/>
                      </w:divBdr>
                    </w:div>
                  </w:divsChild>
                </w:div>
                <w:div w:id="1663778406">
                  <w:marLeft w:val="0"/>
                  <w:marRight w:val="0"/>
                  <w:marTop w:val="0"/>
                  <w:marBottom w:val="0"/>
                  <w:divBdr>
                    <w:top w:val="none" w:sz="0" w:space="0" w:color="auto"/>
                    <w:left w:val="none" w:sz="0" w:space="0" w:color="auto"/>
                    <w:bottom w:val="none" w:sz="0" w:space="0" w:color="auto"/>
                    <w:right w:val="none" w:sz="0" w:space="0" w:color="auto"/>
                  </w:divBdr>
                  <w:divsChild>
                    <w:div w:id="530186473">
                      <w:marLeft w:val="0"/>
                      <w:marRight w:val="0"/>
                      <w:marTop w:val="0"/>
                      <w:marBottom w:val="0"/>
                      <w:divBdr>
                        <w:top w:val="none" w:sz="0" w:space="0" w:color="auto"/>
                        <w:left w:val="none" w:sz="0" w:space="0" w:color="auto"/>
                        <w:bottom w:val="none" w:sz="0" w:space="0" w:color="auto"/>
                        <w:right w:val="none" w:sz="0" w:space="0" w:color="auto"/>
                      </w:divBdr>
                    </w:div>
                  </w:divsChild>
                </w:div>
                <w:div w:id="1770084736">
                  <w:marLeft w:val="0"/>
                  <w:marRight w:val="0"/>
                  <w:marTop w:val="0"/>
                  <w:marBottom w:val="0"/>
                  <w:divBdr>
                    <w:top w:val="none" w:sz="0" w:space="0" w:color="auto"/>
                    <w:left w:val="none" w:sz="0" w:space="0" w:color="auto"/>
                    <w:bottom w:val="none" w:sz="0" w:space="0" w:color="auto"/>
                    <w:right w:val="none" w:sz="0" w:space="0" w:color="auto"/>
                  </w:divBdr>
                  <w:divsChild>
                    <w:div w:id="289363146">
                      <w:marLeft w:val="0"/>
                      <w:marRight w:val="0"/>
                      <w:marTop w:val="0"/>
                      <w:marBottom w:val="0"/>
                      <w:divBdr>
                        <w:top w:val="none" w:sz="0" w:space="0" w:color="auto"/>
                        <w:left w:val="none" w:sz="0" w:space="0" w:color="auto"/>
                        <w:bottom w:val="none" w:sz="0" w:space="0" w:color="auto"/>
                        <w:right w:val="none" w:sz="0" w:space="0" w:color="auto"/>
                      </w:divBdr>
                    </w:div>
                  </w:divsChild>
                </w:div>
                <w:div w:id="1815953724">
                  <w:marLeft w:val="0"/>
                  <w:marRight w:val="0"/>
                  <w:marTop w:val="0"/>
                  <w:marBottom w:val="0"/>
                  <w:divBdr>
                    <w:top w:val="none" w:sz="0" w:space="0" w:color="auto"/>
                    <w:left w:val="none" w:sz="0" w:space="0" w:color="auto"/>
                    <w:bottom w:val="none" w:sz="0" w:space="0" w:color="auto"/>
                    <w:right w:val="none" w:sz="0" w:space="0" w:color="auto"/>
                  </w:divBdr>
                  <w:divsChild>
                    <w:div w:id="1371881426">
                      <w:marLeft w:val="0"/>
                      <w:marRight w:val="0"/>
                      <w:marTop w:val="0"/>
                      <w:marBottom w:val="0"/>
                      <w:divBdr>
                        <w:top w:val="none" w:sz="0" w:space="0" w:color="auto"/>
                        <w:left w:val="none" w:sz="0" w:space="0" w:color="auto"/>
                        <w:bottom w:val="none" w:sz="0" w:space="0" w:color="auto"/>
                        <w:right w:val="none" w:sz="0" w:space="0" w:color="auto"/>
                      </w:divBdr>
                    </w:div>
                  </w:divsChild>
                </w:div>
                <w:div w:id="1934701700">
                  <w:marLeft w:val="0"/>
                  <w:marRight w:val="0"/>
                  <w:marTop w:val="0"/>
                  <w:marBottom w:val="0"/>
                  <w:divBdr>
                    <w:top w:val="none" w:sz="0" w:space="0" w:color="auto"/>
                    <w:left w:val="none" w:sz="0" w:space="0" w:color="auto"/>
                    <w:bottom w:val="none" w:sz="0" w:space="0" w:color="auto"/>
                    <w:right w:val="none" w:sz="0" w:space="0" w:color="auto"/>
                  </w:divBdr>
                  <w:divsChild>
                    <w:div w:id="32271787">
                      <w:marLeft w:val="0"/>
                      <w:marRight w:val="0"/>
                      <w:marTop w:val="0"/>
                      <w:marBottom w:val="0"/>
                      <w:divBdr>
                        <w:top w:val="none" w:sz="0" w:space="0" w:color="auto"/>
                        <w:left w:val="none" w:sz="0" w:space="0" w:color="auto"/>
                        <w:bottom w:val="none" w:sz="0" w:space="0" w:color="auto"/>
                        <w:right w:val="none" w:sz="0" w:space="0" w:color="auto"/>
                      </w:divBdr>
                    </w:div>
                  </w:divsChild>
                </w:div>
                <w:div w:id="2061129016">
                  <w:marLeft w:val="0"/>
                  <w:marRight w:val="0"/>
                  <w:marTop w:val="0"/>
                  <w:marBottom w:val="0"/>
                  <w:divBdr>
                    <w:top w:val="none" w:sz="0" w:space="0" w:color="auto"/>
                    <w:left w:val="none" w:sz="0" w:space="0" w:color="auto"/>
                    <w:bottom w:val="none" w:sz="0" w:space="0" w:color="auto"/>
                    <w:right w:val="none" w:sz="0" w:space="0" w:color="auto"/>
                  </w:divBdr>
                  <w:divsChild>
                    <w:div w:id="16978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432220">
          <w:marLeft w:val="0"/>
          <w:marRight w:val="0"/>
          <w:marTop w:val="0"/>
          <w:marBottom w:val="0"/>
          <w:divBdr>
            <w:top w:val="none" w:sz="0" w:space="0" w:color="auto"/>
            <w:left w:val="none" w:sz="0" w:space="0" w:color="auto"/>
            <w:bottom w:val="none" w:sz="0" w:space="0" w:color="auto"/>
            <w:right w:val="none" w:sz="0" w:space="0" w:color="auto"/>
          </w:divBdr>
          <w:divsChild>
            <w:div w:id="179856256">
              <w:marLeft w:val="0"/>
              <w:marRight w:val="0"/>
              <w:marTop w:val="0"/>
              <w:marBottom w:val="0"/>
              <w:divBdr>
                <w:top w:val="none" w:sz="0" w:space="0" w:color="auto"/>
                <w:left w:val="none" w:sz="0" w:space="0" w:color="auto"/>
                <w:bottom w:val="none" w:sz="0" w:space="0" w:color="auto"/>
                <w:right w:val="none" w:sz="0" w:space="0" w:color="auto"/>
              </w:divBdr>
            </w:div>
            <w:div w:id="298583320">
              <w:marLeft w:val="0"/>
              <w:marRight w:val="0"/>
              <w:marTop w:val="0"/>
              <w:marBottom w:val="0"/>
              <w:divBdr>
                <w:top w:val="none" w:sz="0" w:space="0" w:color="auto"/>
                <w:left w:val="none" w:sz="0" w:space="0" w:color="auto"/>
                <w:bottom w:val="none" w:sz="0" w:space="0" w:color="auto"/>
                <w:right w:val="none" w:sz="0" w:space="0" w:color="auto"/>
              </w:divBdr>
            </w:div>
            <w:div w:id="485129281">
              <w:marLeft w:val="0"/>
              <w:marRight w:val="0"/>
              <w:marTop w:val="0"/>
              <w:marBottom w:val="0"/>
              <w:divBdr>
                <w:top w:val="none" w:sz="0" w:space="0" w:color="auto"/>
                <w:left w:val="none" w:sz="0" w:space="0" w:color="auto"/>
                <w:bottom w:val="none" w:sz="0" w:space="0" w:color="auto"/>
                <w:right w:val="none" w:sz="0" w:space="0" w:color="auto"/>
              </w:divBdr>
            </w:div>
            <w:div w:id="813569651">
              <w:marLeft w:val="0"/>
              <w:marRight w:val="0"/>
              <w:marTop w:val="0"/>
              <w:marBottom w:val="0"/>
              <w:divBdr>
                <w:top w:val="none" w:sz="0" w:space="0" w:color="auto"/>
                <w:left w:val="none" w:sz="0" w:space="0" w:color="auto"/>
                <w:bottom w:val="none" w:sz="0" w:space="0" w:color="auto"/>
                <w:right w:val="none" w:sz="0" w:space="0" w:color="auto"/>
              </w:divBdr>
            </w:div>
            <w:div w:id="838077026">
              <w:marLeft w:val="0"/>
              <w:marRight w:val="0"/>
              <w:marTop w:val="0"/>
              <w:marBottom w:val="0"/>
              <w:divBdr>
                <w:top w:val="none" w:sz="0" w:space="0" w:color="auto"/>
                <w:left w:val="none" w:sz="0" w:space="0" w:color="auto"/>
                <w:bottom w:val="none" w:sz="0" w:space="0" w:color="auto"/>
                <w:right w:val="none" w:sz="0" w:space="0" w:color="auto"/>
              </w:divBdr>
            </w:div>
            <w:div w:id="1123620468">
              <w:marLeft w:val="0"/>
              <w:marRight w:val="0"/>
              <w:marTop w:val="0"/>
              <w:marBottom w:val="0"/>
              <w:divBdr>
                <w:top w:val="none" w:sz="0" w:space="0" w:color="auto"/>
                <w:left w:val="none" w:sz="0" w:space="0" w:color="auto"/>
                <w:bottom w:val="none" w:sz="0" w:space="0" w:color="auto"/>
                <w:right w:val="none" w:sz="0" w:space="0" w:color="auto"/>
              </w:divBdr>
            </w:div>
            <w:div w:id="1142502864">
              <w:marLeft w:val="0"/>
              <w:marRight w:val="0"/>
              <w:marTop w:val="0"/>
              <w:marBottom w:val="0"/>
              <w:divBdr>
                <w:top w:val="none" w:sz="0" w:space="0" w:color="auto"/>
                <w:left w:val="none" w:sz="0" w:space="0" w:color="auto"/>
                <w:bottom w:val="none" w:sz="0" w:space="0" w:color="auto"/>
                <w:right w:val="none" w:sz="0" w:space="0" w:color="auto"/>
              </w:divBdr>
            </w:div>
            <w:div w:id="1240170223">
              <w:marLeft w:val="0"/>
              <w:marRight w:val="0"/>
              <w:marTop w:val="0"/>
              <w:marBottom w:val="0"/>
              <w:divBdr>
                <w:top w:val="none" w:sz="0" w:space="0" w:color="auto"/>
                <w:left w:val="none" w:sz="0" w:space="0" w:color="auto"/>
                <w:bottom w:val="none" w:sz="0" w:space="0" w:color="auto"/>
                <w:right w:val="none" w:sz="0" w:space="0" w:color="auto"/>
              </w:divBdr>
            </w:div>
            <w:div w:id="1460608626">
              <w:marLeft w:val="0"/>
              <w:marRight w:val="0"/>
              <w:marTop w:val="0"/>
              <w:marBottom w:val="0"/>
              <w:divBdr>
                <w:top w:val="none" w:sz="0" w:space="0" w:color="auto"/>
                <w:left w:val="none" w:sz="0" w:space="0" w:color="auto"/>
                <w:bottom w:val="none" w:sz="0" w:space="0" w:color="auto"/>
                <w:right w:val="none" w:sz="0" w:space="0" w:color="auto"/>
              </w:divBdr>
            </w:div>
            <w:div w:id="1525705389">
              <w:marLeft w:val="0"/>
              <w:marRight w:val="0"/>
              <w:marTop w:val="0"/>
              <w:marBottom w:val="0"/>
              <w:divBdr>
                <w:top w:val="none" w:sz="0" w:space="0" w:color="auto"/>
                <w:left w:val="none" w:sz="0" w:space="0" w:color="auto"/>
                <w:bottom w:val="none" w:sz="0" w:space="0" w:color="auto"/>
                <w:right w:val="none" w:sz="0" w:space="0" w:color="auto"/>
              </w:divBdr>
            </w:div>
            <w:div w:id="1556620299">
              <w:marLeft w:val="0"/>
              <w:marRight w:val="0"/>
              <w:marTop w:val="0"/>
              <w:marBottom w:val="0"/>
              <w:divBdr>
                <w:top w:val="none" w:sz="0" w:space="0" w:color="auto"/>
                <w:left w:val="none" w:sz="0" w:space="0" w:color="auto"/>
                <w:bottom w:val="none" w:sz="0" w:space="0" w:color="auto"/>
                <w:right w:val="none" w:sz="0" w:space="0" w:color="auto"/>
              </w:divBdr>
            </w:div>
            <w:div w:id="2073959741">
              <w:marLeft w:val="0"/>
              <w:marRight w:val="0"/>
              <w:marTop w:val="0"/>
              <w:marBottom w:val="0"/>
              <w:divBdr>
                <w:top w:val="none" w:sz="0" w:space="0" w:color="auto"/>
                <w:left w:val="none" w:sz="0" w:space="0" w:color="auto"/>
                <w:bottom w:val="none" w:sz="0" w:space="0" w:color="auto"/>
                <w:right w:val="none" w:sz="0" w:space="0" w:color="auto"/>
              </w:divBdr>
            </w:div>
          </w:divsChild>
        </w:div>
        <w:div w:id="421343902">
          <w:marLeft w:val="0"/>
          <w:marRight w:val="0"/>
          <w:marTop w:val="0"/>
          <w:marBottom w:val="0"/>
          <w:divBdr>
            <w:top w:val="none" w:sz="0" w:space="0" w:color="auto"/>
            <w:left w:val="none" w:sz="0" w:space="0" w:color="auto"/>
            <w:bottom w:val="none" w:sz="0" w:space="0" w:color="auto"/>
            <w:right w:val="none" w:sz="0" w:space="0" w:color="auto"/>
          </w:divBdr>
          <w:divsChild>
            <w:div w:id="221798415">
              <w:marLeft w:val="0"/>
              <w:marRight w:val="0"/>
              <w:marTop w:val="0"/>
              <w:marBottom w:val="0"/>
              <w:divBdr>
                <w:top w:val="none" w:sz="0" w:space="0" w:color="auto"/>
                <w:left w:val="none" w:sz="0" w:space="0" w:color="auto"/>
                <w:bottom w:val="none" w:sz="0" w:space="0" w:color="auto"/>
                <w:right w:val="none" w:sz="0" w:space="0" w:color="auto"/>
              </w:divBdr>
            </w:div>
            <w:div w:id="250088215">
              <w:marLeft w:val="0"/>
              <w:marRight w:val="0"/>
              <w:marTop w:val="0"/>
              <w:marBottom w:val="0"/>
              <w:divBdr>
                <w:top w:val="none" w:sz="0" w:space="0" w:color="auto"/>
                <w:left w:val="none" w:sz="0" w:space="0" w:color="auto"/>
                <w:bottom w:val="none" w:sz="0" w:space="0" w:color="auto"/>
                <w:right w:val="none" w:sz="0" w:space="0" w:color="auto"/>
              </w:divBdr>
            </w:div>
            <w:div w:id="434132783">
              <w:marLeft w:val="0"/>
              <w:marRight w:val="0"/>
              <w:marTop w:val="0"/>
              <w:marBottom w:val="0"/>
              <w:divBdr>
                <w:top w:val="none" w:sz="0" w:space="0" w:color="auto"/>
                <w:left w:val="none" w:sz="0" w:space="0" w:color="auto"/>
                <w:bottom w:val="none" w:sz="0" w:space="0" w:color="auto"/>
                <w:right w:val="none" w:sz="0" w:space="0" w:color="auto"/>
              </w:divBdr>
            </w:div>
            <w:div w:id="815416818">
              <w:marLeft w:val="0"/>
              <w:marRight w:val="0"/>
              <w:marTop w:val="0"/>
              <w:marBottom w:val="0"/>
              <w:divBdr>
                <w:top w:val="none" w:sz="0" w:space="0" w:color="auto"/>
                <w:left w:val="none" w:sz="0" w:space="0" w:color="auto"/>
                <w:bottom w:val="none" w:sz="0" w:space="0" w:color="auto"/>
                <w:right w:val="none" w:sz="0" w:space="0" w:color="auto"/>
              </w:divBdr>
            </w:div>
            <w:div w:id="868375034">
              <w:marLeft w:val="0"/>
              <w:marRight w:val="0"/>
              <w:marTop w:val="0"/>
              <w:marBottom w:val="0"/>
              <w:divBdr>
                <w:top w:val="none" w:sz="0" w:space="0" w:color="auto"/>
                <w:left w:val="none" w:sz="0" w:space="0" w:color="auto"/>
                <w:bottom w:val="none" w:sz="0" w:space="0" w:color="auto"/>
                <w:right w:val="none" w:sz="0" w:space="0" w:color="auto"/>
              </w:divBdr>
            </w:div>
            <w:div w:id="1026981130">
              <w:marLeft w:val="0"/>
              <w:marRight w:val="0"/>
              <w:marTop w:val="0"/>
              <w:marBottom w:val="0"/>
              <w:divBdr>
                <w:top w:val="none" w:sz="0" w:space="0" w:color="auto"/>
                <w:left w:val="none" w:sz="0" w:space="0" w:color="auto"/>
                <w:bottom w:val="none" w:sz="0" w:space="0" w:color="auto"/>
                <w:right w:val="none" w:sz="0" w:space="0" w:color="auto"/>
              </w:divBdr>
            </w:div>
            <w:div w:id="1323851294">
              <w:marLeft w:val="0"/>
              <w:marRight w:val="0"/>
              <w:marTop w:val="0"/>
              <w:marBottom w:val="0"/>
              <w:divBdr>
                <w:top w:val="none" w:sz="0" w:space="0" w:color="auto"/>
                <w:left w:val="none" w:sz="0" w:space="0" w:color="auto"/>
                <w:bottom w:val="none" w:sz="0" w:space="0" w:color="auto"/>
                <w:right w:val="none" w:sz="0" w:space="0" w:color="auto"/>
              </w:divBdr>
            </w:div>
            <w:div w:id="1339389805">
              <w:marLeft w:val="0"/>
              <w:marRight w:val="0"/>
              <w:marTop w:val="0"/>
              <w:marBottom w:val="0"/>
              <w:divBdr>
                <w:top w:val="none" w:sz="0" w:space="0" w:color="auto"/>
                <w:left w:val="none" w:sz="0" w:space="0" w:color="auto"/>
                <w:bottom w:val="none" w:sz="0" w:space="0" w:color="auto"/>
                <w:right w:val="none" w:sz="0" w:space="0" w:color="auto"/>
              </w:divBdr>
            </w:div>
            <w:div w:id="1348553860">
              <w:marLeft w:val="0"/>
              <w:marRight w:val="0"/>
              <w:marTop w:val="0"/>
              <w:marBottom w:val="0"/>
              <w:divBdr>
                <w:top w:val="none" w:sz="0" w:space="0" w:color="auto"/>
                <w:left w:val="none" w:sz="0" w:space="0" w:color="auto"/>
                <w:bottom w:val="none" w:sz="0" w:space="0" w:color="auto"/>
                <w:right w:val="none" w:sz="0" w:space="0" w:color="auto"/>
              </w:divBdr>
            </w:div>
            <w:div w:id="1740787826">
              <w:marLeft w:val="0"/>
              <w:marRight w:val="0"/>
              <w:marTop w:val="0"/>
              <w:marBottom w:val="0"/>
              <w:divBdr>
                <w:top w:val="none" w:sz="0" w:space="0" w:color="auto"/>
                <w:left w:val="none" w:sz="0" w:space="0" w:color="auto"/>
                <w:bottom w:val="none" w:sz="0" w:space="0" w:color="auto"/>
                <w:right w:val="none" w:sz="0" w:space="0" w:color="auto"/>
              </w:divBdr>
            </w:div>
            <w:div w:id="2122069232">
              <w:marLeft w:val="0"/>
              <w:marRight w:val="0"/>
              <w:marTop w:val="0"/>
              <w:marBottom w:val="0"/>
              <w:divBdr>
                <w:top w:val="none" w:sz="0" w:space="0" w:color="auto"/>
                <w:left w:val="none" w:sz="0" w:space="0" w:color="auto"/>
                <w:bottom w:val="none" w:sz="0" w:space="0" w:color="auto"/>
                <w:right w:val="none" w:sz="0" w:space="0" w:color="auto"/>
              </w:divBdr>
            </w:div>
          </w:divsChild>
        </w:div>
        <w:div w:id="424307003">
          <w:marLeft w:val="0"/>
          <w:marRight w:val="0"/>
          <w:marTop w:val="0"/>
          <w:marBottom w:val="0"/>
          <w:divBdr>
            <w:top w:val="none" w:sz="0" w:space="0" w:color="auto"/>
            <w:left w:val="none" w:sz="0" w:space="0" w:color="auto"/>
            <w:bottom w:val="none" w:sz="0" w:space="0" w:color="auto"/>
            <w:right w:val="none" w:sz="0" w:space="0" w:color="auto"/>
          </w:divBdr>
          <w:divsChild>
            <w:div w:id="163327166">
              <w:marLeft w:val="-75"/>
              <w:marRight w:val="0"/>
              <w:marTop w:val="30"/>
              <w:marBottom w:val="30"/>
              <w:divBdr>
                <w:top w:val="none" w:sz="0" w:space="0" w:color="auto"/>
                <w:left w:val="none" w:sz="0" w:space="0" w:color="auto"/>
                <w:bottom w:val="none" w:sz="0" w:space="0" w:color="auto"/>
                <w:right w:val="none" w:sz="0" w:space="0" w:color="auto"/>
              </w:divBdr>
              <w:divsChild>
                <w:div w:id="114299811">
                  <w:marLeft w:val="0"/>
                  <w:marRight w:val="0"/>
                  <w:marTop w:val="0"/>
                  <w:marBottom w:val="0"/>
                  <w:divBdr>
                    <w:top w:val="none" w:sz="0" w:space="0" w:color="auto"/>
                    <w:left w:val="none" w:sz="0" w:space="0" w:color="auto"/>
                    <w:bottom w:val="none" w:sz="0" w:space="0" w:color="auto"/>
                    <w:right w:val="none" w:sz="0" w:space="0" w:color="auto"/>
                  </w:divBdr>
                  <w:divsChild>
                    <w:div w:id="609892529">
                      <w:marLeft w:val="0"/>
                      <w:marRight w:val="0"/>
                      <w:marTop w:val="0"/>
                      <w:marBottom w:val="0"/>
                      <w:divBdr>
                        <w:top w:val="none" w:sz="0" w:space="0" w:color="auto"/>
                        <w:left w:val="none" w:sz="0" w:space="0" w:color="auto"/>
                        <w:bottom w:val="none" w:sz="0" w:space="0" w:color="auto"/>
                        <w:right w:val="none" w:sz="0" w:space="0" w:color="auto"/>
                      </w:divBdr>
                    </w:div>
                  </w:divsChild>
                </w:div>
                <w:div w:id="131364154">
                  <w:marLeft w:val="0"/>
                  <w:marRight w:val="0"/>
                  <w:marTop w:val="0"/>
                  <w:marBottom w:val="0"/>
                  <w:divBdr>
                    <w:top w:val="none" w:sz="0" w:space="0" w:color="auto"/>
                    <w:left w:val="none" w:sz="0" w:space="0" w:color="auto"/>
                    <w:bottom w:val="none" w:sz="0" w:space="0" w:color="auto"/>
                    <w:right w:val="none" w:sz="0" w:space="0" w:color="auto"/>
                  </w:divBdr>
                  <w:divsChild>
                    <w:div w:id="1745837873">
                      <w:marLeft w:val="0"/>
                      <w:marRight w:val="0"/>
                      <w:marTop w:val="0"/>
                      <w:marBottom w:val="0"/>
                      <w:divBdr>
                        <w:top w:val="none" w:sz="0" w:space="0" w:color="auto"/>
                        <w:left w:val="none" w:sz="0" w:space="0" w:color="auto"/>
                        <w:bottom w:val="none" w:sz="0" w:space="0" w:color="auto"/>
                        <w:right w:val="none" w:sz="0" w:space="0" w:color="auto"/>
                      </w:divBdr>
                    </w:div>
                  </w:divsChild>
                </w:div>
                <w:div w:id="143006570">
                  <w:marLeft w:val="0"/>
                  <w:marRight w:val="0"/>
                  <w:marTop w:val="0"/>
                  <w:marBottom w:val="0"/>
                  <w:divBdr>
                    <w:top w:val="none" w:sz="0" w:space="0" w:color="auto"/>
                    <w:left w:val="none" w:sz="0" w:space="0" w:color="auto"/>
                    <w:bottom w:val="none" w:sz="0" w:space="0" w:color="auto"/>
                    <w:right w:val="none" w:sz="0" w:space="0" w:color="auto"/>
                  </w:divBdr>
                  <w:divsChild>
                    <w:div w:id="6181467">
                      <w:marLeft w:val="0"/>
                      <w:marRight w:val="0"/>
                      <w:marTop w:val="0"/>
                      <w:marBottom w:val="0"/>
                      <w:divBdr>
                        <w:top w:val="none" w:sz="0" w:space="0" w:color="auto"/>
                        <w:left w:val="none" w:sz="0" w:space="0" w:color="auto"/>
                        <w:bottom w:val="none" w:sz="0" w:space="0" w:color="auto"/>
                        <w:right w:val="none" w:sz="0" w:space="0" w:color="auto"/>
                      </w:divBdr>
                    </w:div>
                  </w:divsChild>
                </w:div>
                <w:div w:id="347341951">
                  <w:marLeft w:val="0"/>
                  <w:marRight w:val="0"/>
                  <w:marTop w:val="0"/>
                  <w:marBottom w:val="0"/>
                  <w:divBdr>
                    <w:top w:val="none" w:sz="0" w:space="0" w:color="auto"/>
                    <w:left w:val="none" w:sz="0" w:space="0" w:color="auto"/>
                    <w:bottom w:val="none" w:sz="0" w:space="0" w:color="auto"/>
                    <w:right w:val="none" w:sz="0" w:space="0" w:color="auto"/>
                  </w:divBdr>
                  <w:divsChild>
                    <w:div w:id="1630239910">
                      <w:marLeft w:val="0"/>
                      <w:marRight w:val="0"/>
                      <w:marTop w:val="0"/>
                      <w:marBottom w:val="0"/>
                      <w:divBdr>
                        <w:top w:val="none" w:sz="0" w:space="0" w:color="auto"/>
                        <w:left w:val="none" w:sz="0" w:space="0" w:color="auto"/>
                        <w:bottom w:val="none" w:sz="0" w:space="0" w:color="auto"/>
                        <w:right w:val="none" w:sz="0" w:space="0" w:color="auto"/>
                      </w:divBdr>
                    </w:div>
                  </w:divsChild>
                </w:div>
                <w:div w:id="427316576">
                  <w:marLeft w:val="0"/>
                  <w:marRight w:val="0"/>
                  <w:marTop w:val="0"/>
                  <w:marBottom w:val="0"/>
                  <w:divBdr>
                    <w:top w:val="none" w:sz="0" w:space="0" w:color="auto"/>
                    <w:left w:val="none" w:sz="0" w:space="0" w:color="auto"/>
                    <w:bottom w:val="none" w:sz="0" w:space="0" w:color="auto"/>
                    <w:right w:val="none" w:sz="0" w:space="0" w:color="auto"/>
                  </w:divBdr>
                  <w:divsChild>
                    <w:div w:id="1249580681">
                      <w:marLeft w:val="0"/>
                      <w:marRight w:val="0"/>
                      <w:marTop w:val="0"/>
                      <w:marBottom w:val="0"/>
                      <w:divBdr>
                        <w:top w:val="none" w:sz="0" w:space="0" w:color="auto"/>
                        <w:left w:val="none" w:sz="0" w:space="0" w:color="auto"/>
                        <w:bottom w:val="none" w:sz="0" w:space="0" w:color="auto"/>
                        <w:right w:val="none" w:sz="0" w:space="0" w:color="auto"/>
                      </w:divBdr>
                    </w:div>
                  </w:divsChild>
                </w:div>
                <w:div w:id="576210662">
                  <w:marLeft w:val="0"/>
                  <w:marRight w:val="0"/>
                  <w:marTop w:val="0"/>
                  <w:marBottom w:val="0"/>
                  <w:divBdr>
                    <w:top w:val="none" w:sz="0" w:space="0" w:color="auto"/>
                    <w:left w:val="none" w:sz="0" w:space="0" w:color="auto"/>
                    <w:bottom w:val="none" w:sz="0" w:space="0" w:color="auto"/>
                    <w:right w:val="none" w:sz="0" w:space="0" w:color="auto"/>
                  </w:divBdr>
                  <w:divsChild>
                    <w:div w:id="1654872064">
                      <w:marLeft w:val="0"/>
                      <w:marRight w:val="0"/>
                      <w:marTop w:val="0"/>
                      <w:marBottom w:val="0"/>
                      <w:divBdr>
                        <w:top w:val="none" w:sz="0" w:space="0" w:color="auto"/>
                        <w:left w:val="none" w:sz="0" w:space="0" w:color="auto"/>
                        <w:bottom w:val="none" w:sz="0" w:space="0" w:color="auto"/>
                        <w:right w:val="none" w:sz="0" w:space="0" w:color="auto"/>
                      </w:divBdr>
                    </w:div>
                  </w:divsChild>
                </w:div>
                <w:div w:id="749498360">
                  <w:marLeft w:val="0"/>
                  <w:marRight w:val="0"/>
                  <w:marTop w:val="0"/>
                  <w:marBottom w:val="0"/>
                  <w:divBdr>
                    <w:top w:val="none" w:sz="0" w:space="0" w:color="auto"/>
                    <w:left w:val="none" w:sz="0" w:space="0" w:color="auto"/>
                    <w:bottom w:val="none" w:sz="0" w:space="0" w:color="auto"/>
                    <w:right w:val="none" w:sz="0" w:space="0" w:color="auto"/>
                  </w:divBdr>
                  <w:divsChild>
                    <w:div w:id="133716159">
                      <w:marLeft w:val="0"/>
                      <w:marRight w:val="0"/>
                      <w:marTop w:val="0"/>
                      <w:marBottom w:val="0"/>
                      <w:divBdr>
                        <w:top w:val="none" w:sz="0" w:space="0" w:color="auto"/>
                        <w:left w:val="none" w:sz="0" w:space="0" w:color="auto"/>
                        <w:bottom w:val="none" w:sz="0" w:space="0" w:color="auto"/>
                        <w:right w:val="none" w:sz="0" w:space="0" w:color="auto"/>
                      </w:divBdr>
                    </w:div>
                  </w:divsChild>
                </w:div>
                <w:div w:id="807089823">
                  <w:marLeft w:val="0"/>
                  <w:marRight w:val="0"/>
                  <w:marTop w:val="0"/>
                  <w:marBottom w:val="0"/>
                  <w:divBdr>
                    <w:top w:val="none" w:sz="0" w:space="0" w:color="auto"/>
                    <w:left w:val="none" w:sz="0" w:space="0" w:color="auto"/>
                    <w:bottom w:val="none" w:sz="0" w:space="0" w:color="auto"/>
                    <w:right w:val="none" w:sz="0" w:space="0" w:color="auto"/>
                  </w:divBdr>
                  <w:divsChild>
                    <w:div w:id="1596094710">
                      <w:marLeft w:val="0"/>
                      <w:marRight w:val="0"/>
                      <w:marTop w:val="0"/>
                      <w:marBottom w:val="0"/>
                      <w:divBdr>
                        <w:top w:val="none" w:sz="0" w:space="0" w:color="auto"/>
                        <w:left w:val="none" w:sz="0" w:space="0" w:color="auto"/>
                        <w:bottom w:val="none" w:sz="0" w:space="0" w:color="auto"/>
                        <w:right w:val="none" w:sz="0" w:space="0" w:color="auto"/>
                      </w:divBdr>
                    </w:div>
                  </w:divsChild>
                </w:div>
                <w:div w:id="1227182198">
                  <w:marLeft w:val="0"/>
                  <w:marRight w:val="0"/>
                  <w:marTop w:val="0"/>
                  <w:marBottom w:val="0"/>
                  <w:divBdr>
                    <w:top w:val="none" w:sz="0" w:space="0" w:color="auto"/>
                    <w:left w:val="none" w:sz="0" w:space="0" w:color="auto"/>
                    <w:bottom w:val="none" w:sz="0" w:space="0" w:color="auto"/>
                    <w:right w:val="none" w:sz="0" w:space="0" w:color="auto"/>
                  </w:divBdr>
                  <w:divsChild>
                    <w:div w:id="482115425">
                      <w:marLeft w:val="0"/>
                      <w:marRight w:val="0"/>
                      <w:marTop w:val="0"/>
                      <w:marBottom w:val="0"/>
                      <w:divBdr>
                        <w:top w:val="none" w:sz="0" w:space="0" w:color="auto"/>
                        <w:left w:val="none" w:sz="0" w:space="0" w:color="auto"/>
                        <w:bottom w:val="none" w:sz="0" w:space="0" w:color="auto"/>
                        <w:right w:val="none" w:sz="0" w:space="0" w:color="auto"/>
                      </w:divBdr>
                    </w:div>
                  </w:divsChild>
                </w:div>
                <w:div w:id="1445539592">
                  <w:marLeft w:val="0"/>
                  <w:marRight w:val="0"/>
                  <w:marTop w:val="0"/>
                  <w:marBottom w:val="0"/>
                  <w:divBdr>
                    <w:top w:val="none" w:sz="0" w:space="0" w:color="auto"/>
                    <w:left w:val="none" w:sz="0" w:space="0" w:color="auto"/>
                    <w:bottom w:val="none" w:sz="0" w:space="0" w:color="auto"/>
                    <w:right w:val="none" w:sz="0" w:space="0" w:color="auto"/>
                  </w:divBdr>
                  <w:divsChild>
                    <w:div w:id="1294022619">
                      <w:marLeft w:val="0"/>
                      <w:marRight w:val="0"/>
                      <w:marTop w:val="0"/>
                      <w:marBottom w:val="0"/>
                      <w:divBdr>
                        <w:top w:val="none" w:sz="0" w:space="0" w:color="auto"/>
                        <w:left w:val="none" w:sz="0" w:space="0" w:color="auto"/>
                        <w:bottom w:val="none" w:sz="0" w:space="0" w:color="auto"/>
                        <w:right w:val="none" w:sz="0" w:space="0" w:color="auto"/>
                      </w:divBdr>
                    </w:div>
                  </w:divsChild>
                </w:div>
                <w:div w:id="1683435988">
                  <w:marLeft w:val="0"/>
                  <w:marRight w:val="0"/>
                  <w:marTop w:val="0"/>
                  <w:marBottom w:val="0"/>
                  <w:divBdr>
                    <w:top w:val="none" w:sz="0" w:space="0" w:color="auto"/>
                    <w:left w:val="none" w:sz="0" w:space="0" w:color="auto"/>
                    <w:bottom w:val="none" w:sz="0" w:space="0" w:color="auto"/>
                    <w:right w:val="none" w:sz="0" w:space="0" w:color="auto"/>
                  </w:divBdr>
                  <w:divsChild>
                    <w:div w:id="157187550">
                      <w:marLeft w:val="0"/>
                      <w:marRight w:val="0"/>
                      <w:marTop w:val="0"/>
                      <w:marBottom w:val="0"/>
                      <w:divBdr>
                        <w:top w:val="none" w:sz="0" w:space="0" w:color="auto"/>
                        <w:left w:val="none" w:sz="0" w:space="0" w:color="auto"/>
                        <w:bottom w:val="none" w:sz="0" w:space="0" w:color="auto"/>
                        <w:right w:val="none" w:sz="0" w:space="0" w:color="auto"/>
                      </w:divBdr>
                    </w:div>
                  </w:divsChild>
                </w:div>
                <w:div w:id="2080013415">
                  <w:marLeft w:val="0"/>
                  <w:marRight w:val="0"/>
                  <w:marTop w:val="0"/>
                  <w:marBottom w:val="0"/>
                  <w:divBdr>
                    <w:top w:val="none" w:sz="0" w:space="0" w:color="auto"/>
                    <w:left w:val="none" w:sz="0" w:space="0" w:color="auto"/>
                    <w:bottom w:val="none" w:sz="0" w:space="0" w:color="auto"/>
                    <w:right w:val="none" w:sz="0" w:space="0" w:color="auto"/>
                  </w:divBdr>
                  <w:divsChild>
                    <w:div w:id="68394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2402">
          <w:marLeft w:val="0"/>
          <w:marRight w:val="0"/>
          <w:marTop w:val="0"/>
          <w:marBottom w:val="0"/>
          <w:divBdr>
            <w:top w:val="none" w:sz="0" w:space="0" w:color="auto"/>
            <w:left w:val="none" w:sz="0" w:space="0" w:color="auto"/>
            <w:bottom w:val="none" w:sz="0" w:space="0" w:color="auto"/>
            <w:right w:val="none" w:sz="0" w:space="0" w:color="auto"/>
          </w:divBdr>
          <w:divsChild>
            <w:div w:id="2136631204">
              <w:marLeft w:val="-75"/>
              <w:marRight w:val="0"/>
              <w:marTop w:val="30"/>
              <w:marBottom w:val="30"/>
              <w:divBdr>
                <w:top w:val="none" w:sz="0" w:space="0" w:color="auto"/>
                <w:left w:val="none" w:sz="0" w:space="0" w:color="auto"/>
                <w:bottom w:val="none" w:sz="0" w:space="0" w:color="auto"/>
                <w:right w:val="none" w:sz="0" w:space="0" w:color="auto"/>
              </w:divBdr>
              <w:divsChild>
                <w:div w:id="321272912">
                  <w:marLeft w:val="0"/>
                  <w:marRight w:val="0"/>
                  <w:marTop w:val="0"/>
                  <w:marBottom w:val="0"/>
                  <w:divBdr>
                    <w:top w:val="none" w:sz="0" w:space="0" w:color="auto"/>
                    <w:left w:val="none" w:sz="0" w:space="0" w:color="auto"/>
                    <w:bottom w:val="none" w:sz="0" w:space="0" w:color="auto"/>
                    <w:right w:val="none" w:sz="0" w:space="0" w:color="auto"/>
                  </w:divBdr>
                  <w:divsChild>
                    <w:div w:id="1704939222">
                      <w:marLeft w:val="0"/>
                      <w:marRight w:val="0"/>
                      <w:marTop w:val="0"/>
                      <w:marBottom w:val="0"/>
                      <w:divBdr>
                        <w:top w:val="none" w:sz="0" w:space="0" w:color="auto"/>
                        <w:left w:val="none" w:sz="0" w:space="0" w:color="auto"/>
                        <w:bottom w:val="none" w:sz="0" w:space="0" w:color="auto"/>
                        <w:right w:val="none" w:sz="0" w:space="0" w:color="auto"/>
                      </w:divBdr>
                    </w:div>
                  </w:divsChild>
                </w:div>
                <w:div w:id="1176114719">
                  <w:marLeft w:val="0"/>
                  <w:marRight w:val="0"/>
                  <w:marTop w:val="0"/>
                  <w:marBottom w:val="0"/>
                  <w:divBdr>
                    <w:top w:val="none" w:sz="0" w:space="0" w:color="auto"/>
                    <w:left w:val="none" w:sz="0" w:space="0" w:color="auto"/>
                    <w:bottom w:val="none" w:sz="0" w:space="0" w:color="auto"/>
                    <w:right w:val="none" w:sz="0" w:space="0" w:color="auto"/>
                  </w:divBdr>
                  <w:divsChild>
                    <w:div w:id="880631957">
                      <w:marLeft w:val="0"/>
                      <w:marRight w:val="0"/>
                      <w:marTop w:val="0"/>
                      <w:marBottom w:val="0"/>
                      <w:divBdr>
                        <w:top w:val="none" w:sz="0" w:space="0" w:color="auto"/>
                        <w:left w:val="none" w:sz="0" w:space="0" w:color="auto"/>
                        <w:bottom w:val="none" w:sz="0" w:space="0" w:color="auto"/>
                        <w:right w:val="none" w:sz="0" w:space="0" w:color="auto"/>
                      </w:divBdr>
                    </w:div>
                  </w:divsChild>
                </w:div>
                <w:div w:id="1345589552">
                  <w:marLeft w:val="0"/>
                  <w:marRight w:val="0"/>
                  <w:marTop w:val="0"/>
                  <w:marBottom w:val="0"/>
                  <w:divBdr>
                    <w:top w:val="none" w:sz="0" w:space="0" w:color="auto"/>
                    <w:left w:val="none" w:sz="0" w:space="0" w:color="auto"/>
                    <w:bottom w:val="none" w:sz="0" w:space="0" w:color="auto"/>
                    <w:right w:val="none" w:sz="0" w:space="0" w:color="auto"/>
                  </w:divBdr>
                  <w:divsChild>
                    <w:div w:id="1351375166">
                      <w:marLeft w:val="0"/>
                      <w:marRight w:val="0"/>
                      <w:marTop w:val="0"/>
                      <w:marBottom w:val="0"/>
                      <w:divBdr>
                        <w:top w:val="none" w:sz="0" w:space="0" w:color="auto"/>
                        <w:left w:val="none" w:sz="0" w:space="0" w:color="auto"/>
                        <w:bottom w:val="none" w:sz="0" w:space="0" w:color="auto"/>
                        <w:right w:val="none" w:sz="0" w:space="0" w:color="auto"/>
                      </w:divBdr>
                    </w:div>
                  </w:divsChild>
                </w:div>
                <w:div w:id="1674607164">
                  <w:marLeft w:val="0"/>
                  <w:marRight w:val="0"/>
                  <w:marTop w:val="0"/>
                  <w:marBottom w:val="0"/>
                  <w:divBdr>
                    <w:top w:val="none" w:sz="0" w:space="0" w:color="auto"/>
                    <w:left w:val="none" w:sz="0" w:space="0" w:color="auto"/>
                    <w:bottom w:val="none" w:sz="0" w:space="0" w:color="auto"/>
                    <w:right w:val="none" w:sz="0" w:space="0" w:color="auto"/>
                  </w:divBdr>
                  <w:divsChild>
                    <w:div w:id="1073429421">
                      <w:marLeft w:val="0"/>
                      <w:marRight w:val="0"/>
                      <w:marTop w:val="0"/>
                      <w:marBottom w:val="0"/>
                      <w:divBdr>
                        <w:top w:val="none" w:sz="0" w:space="0" w:color="auto"/>
                        <w:left w:val="none" w:sz="0" w:space="0" w:color="auto"/>
                        <w:bottom w:val="none" w:sz="0" w:space="0" w:color="auto"/>
                        <w:right w:val="none" w:sz="0" w:space="0" w:color="auto"/>
                      </w:divBdr>
                    </w:div>
                  </w:divsChild>
                </w:div>
                <w:div w:id="1718159537">
                  <w:marLeft w:val="0"/>
                  <w:marRight w:val="0"/>
                  <w:marTop w:val="0"/>
                  <w:marBottom w:val="0"/>
                  <w:divBdr>
                    <w:top w:val="none" w:sz="0" w:space="0" w:color="auto"/>
                    <w:left w:val="none" w:sz="0" w:space="0" w:color="auto"/>
                    <w:bottom w:val="none" w:sz="0" w:space="0" w:color="auto"/>
                    <w:right w:val="none" w:sz="0" w:space="0" w:color="auto"/>
                  </w:divBdr>
                  <w:divsChild>
                    <w:div w:id="1936404039">
                      <w:marLeft w:val="0"/>
                      <w:marRight w:val="0"/>
                      <w:marTop w:val="0"/>
                      <w:marBottom w:val="0"/>
                      <w:divBdr>
                        <w:top w:val="none" w:sz="0" w:space="0" w:color="auto"/>
                        <w:left w:val="none" w:sz="0" w:space="0" w:color="auto"/>
                        <w:bottom w:val="none" w:sz="0" w:space="0" w:color="auto"/>
                        <w:right w:val="none" w:sz="0" w:space="0" w:color="auto"/>
                      </w:divBdr>
                    </w:div>
                  </w:divsChild>
                </w:div>
                <w:div w:id="1852404429">
                  <w:marLeft w:val="0"/>
                  <w:marRight w:val="0"/>
                  <w:marTop w:val="0"/>
                  <w:marBottom w:val="0"/>
                  <w:divBdr>
                    <w:top w:val="none" w:sz="0" w:space="0" w:color="auto"/>
                    <w:left w:val="none" w:sz="0" w:space="0" w:color="auto"/>
                    <w:bottom w:val="none" w:sz="0" w:space="0" w:color="auto"/>
                    <w:right w:val="none" w:sz="0" w:space="0" w:color="auto"/>
                  </w:divBdr>
                  <w:divsChild>
                    <w:div w:id="150578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200592">
          <w:marLeft w:val="0"/>
          <w:marRight w:val="0"/>
          <w:marTop w:val="0"/>
          <w:marBottom w:val="0"/>
          <w:divBdr>
            <w:top w:val="none" w:sz="0" w:space="0" w:color="auto"/>
            <w:left w:val="none" w:sz="0" w:space="0" w:color="auto"/>
            <w:bottom w:val="none" w:sz="0" w:space="0" w:color="auto"/>
            <w:right w:val="none" w:sz="0" w:space="0" w:color="auto"/>
          </w:divBdr>
          <w:divsChild>
            <w:div w:id="2095934602">
              <w:marLeft w:val="-75"/>
              <w:marRight w:val="0"/>
              <w:marTop w:val="30"/>
              <w:marBottom w:val="30"/>
              <w:divBdr>
                <w:top w:val="none" w:sz="0" w:space="0" w:color="auto"/>
                <w:left w:val="none" w:sz="0" w:space="0" w:color="auto"/>
                <w:bottom w:val="none" w:sz="0" w:space="0" w:color="auto"/>
                <w:right w:val="none" w:sz="0" w:space="0" w:color="auto"/>
              </w:divBdr>
              <w:divsChild>
                <w:div w:id="97220058">
                  <w:marLeft w:val="0"/>
                  <w:marRight w:val="0"/>
                  <w:marTop w:val="0"/>
                  <w:marBottom w:val="0"/>
                  <w:divBdr>
                    <w:top w:val="none" w:sz="0" w:space="0" w:color="auto"/>
                    <w:left w:val="none" w:sz="0" w:space="0" w:color="auto"/>
                    <w:bottom w:val="none" w:sz="0" w:space="0" w:color="auto"/>
                    <w:right w:val="none" w:sz="0" w:space="0" w:color="auto"/>
                  </w:divBdr>
                  <w:divsChild>
                    <w:div w:id="1305818379">
                      <w:marLeft w:val="0"/>
                      <w:marRight w:val="0"/>
                      <w:marTop w:val="0"/>
                      <w:marBottom w:val="0"/>
                      <w:divBdr>
                        <w:top w:val="none" w:sz="0" w:space="0" w:color="auto"/>
                        <w:left w:val="none" w:sz="0" w:space="0" w:color="auto"/>
                        <w:bottom w:val="none" w:sz="0" w:space="0" w:color="auto"/>
                        <w:right w:val="none" w:sz="0" w:space="0" w:color="auto"/>
                      </w:divBdr>
                    </w:div>
                  </w:divsChild>
                </w:div>
                <w:div w:id="759789020">
                  <w:marLeft w:val="0"/>
                  <w:marRight w:val="0"/>
                  <w:marTop w:val="0"/>
                  <w:marBottom w:val="0"/>
                  <w:divBdr>
                    <w:top w:val="none" w:sz="0" w:space="0" w:color="auto"/>
                    <w:left w:val="none" w:sz="0" w:space="0" w:color="auto"/>
                    <w:bottom w:val="none" w:sz="0" w:space="0" w:color="auto"/>
                    <w:right w:val="none" w:sz="0" w:space="0" w:color="auto"/>
                  </w:divBdr>
                  <w:divsChild>
                    <w:div w:id="1697996087">
                      <w:marLeft w:val="0"/>
                      <w:marRight w:val="0"/>
                      <w:marTop w:val="0"/>
                      <w:marBottom w:val="0"/>
                      <w:divBdr>
                        <w:top w:val="none" w:sz="0" w:space="0" w:color="auto"/>
                        <w:left w:val="none" w:sz="0" w:space="0" w:color="auto"/>
                        <w:bottom w:val="none" w:sz="0" w:space="0" w:color="auto"/>
                        <w:right w:val="none" w:sz="0" w:space="0" w:color="auto"/>
                      </w:divBdr>
                    </w:div>
                  </w:divsChild>
                </w:div>
                <w:div w:id="886918053">
                  <w:marLeft w:val="0"/>
                  <w:marRight w:val="0"/>
                  <w:marTop w:val="0"/>
                  <w:marBottom w:val="0"/>
                  <w:divBdr>
                    <w:top w:val="none" w:sz="0" w:space="0" w:color="auto"/>
                    <w:left w:val="none" w:sz="0" w:space="0" w:color="auto"/>
                    <w:bottom w:val="none" w:sz="0" w:space="0" w:color="auto"/>
                    <w:right w:val="none" w:sz="0" w:space="0" w:color="auto"/>
                  </w:divBdr>
                  <w:divsChild>
                    <w:div w:id="893346908">
                      <w:marLeft w:val="0"/>
                      <w:marRight w:val="0"/>
                      <w:marTop w:val="0"/>
                      <w:marBottom w:val="0"/>
                      <w:divBdr>
                        <w:top w:val="none" w:sz="0" w:space="0" w:color="auto"/>
                        <w:left w:val="none" w:sz="0" w:space="0" w:color="auto"/>
                        <w:bottom w:val="none" w:sz="0" w:space="0" w:color="auto"/>
                        <w:right w:val="none" w:sz="0" w:space="0" w:color="auto"/>
                      </w:divBdr>
                    </w:div>
                  </w:divsChild>
                </w:div>
                <w:div w:id="1983269928">
                  <w:marLeft w:val="0"/>
                  <w:marRight w:val="0"/>
                  <w:marTop w:val="0"/>
                  <w:marBottom w:val="0"/>
                  <w:divBdr>
                    <w:top w:val="none" w:sz="0" w:space="0" w:color="auto"/>
                    <w:left w:val="none" w:sz="0" w:space="0" w:color="auto"/>
                    <w:bottom w:val="none" w:sz="0" w:space="0" w:color="auto"/>
                    <w:right w:val="none" w:sz="0" w:space="0" w:color="auto"/>
                  </w:divBdr>
                  <w:divsChild>
                    <w:div w:id="1622110773">
                      <w:marLeft w:val="0"/>
                      <w:marRight w:val="0"/>
                      <w:marTop w:val="0"/>
                      <w:marBottom w:val="0"/>
                      <w:divBdr>
                        <w:top w:val="none" w:sz="0" w:space="0" w:color="auto"/>
                        <w:left w:val="none" w:sz="0" w:space="0" w:color="auto"/>
                        <w:bottom w:val="none" w:sz="0" w:space="0" w:color="auto"/>
                        <w:right w:val="none" w:sz="0" w:space="0" w:color="auto"/>
                      </w:divBdr>
                    </w:div>
                    <w:div w:id="1783497804">
                      <w:marLeft w:val="0"/>
                      <w:marRight w:val="0"/>
                      <w:marTop w:val="0"/>
                      <w:marBottom w:val="0"/>
                      <w:divBdr>
                        <w:top w:val="none" w:sz="0" w:space="0" w:color="auto"/>
                        <w:left w:val="none" w:sz="0" w:space="0" w:color="auto"/>
                        <w:bottom w:val="none" w:sz="0" w:space="0" w:color="auto"/>
                        <w:right w:val="none" w:sz="0" w:space="0" w:color="auto"/>
                      </w:divBdr>
                    </w:div>
                  </w:divsChild>
                </w:div>
                <w:div w:id="2069037969">
                  <w:marLeft w:val="0"/>
                  <w:marRight w:val="0"/>
                  <w:marTop w:val="0"/>
                  <w:marBottom w:val="0"/>
                  <w:divBdr>
                    <w:top w:val="none" w:sz="0" w:space="0" w:color="auto"/>
                    <w:left w:val="none" w:sz="0" w:space="0" w:color="auto"/>
                    <w:bottom w:val="none" w:sz="0" w:space="0" w:color="auto"/>
                    <w:right w:val="none" w:sz="0" w:space="0" w:color="auto"/>
                  </w:divBdr>
                  <w:divsChild>
                    <w:div w:id="6951497">
                      <w:marLeft w:val="0"/>
                      <w:marRight w:val="0"/>
                      <w:marTop w:val="0"/>
                      <w:marBottom w:val="0"/>
                      <w:divBdr>
                        <w:top w:val="none" w:sz="0" w:space="0" w:color="auto"/>
                        <w:left w:val="none" w:sz="0" w:space="0" w:color="auto"/>
                        <w:bottom w:val="none" w:sz="0" w:space="0" w:color="auto"/>
                        <w:right w:val="none" w:sz="0" w:space="0" w:color="auto"/>
                      </w:divBdr>
                    </w:div>
                  </w:divsChild>
                </w:div>
                <w:div w:id="2098165146">
                  <w:marLeft w:val="0"/>
                  <w:marRight w:val="0"/>
                  <w:marTop w:val="0"/>
                  <w:marBottom w:val="0"/>
                  <w:divBdr>
                    <w:top w:val="none" w:sz="0" w:space="0" w:color="auto"/>
                    <w:left w:val="none" w:sz="0" w:space="0" w:color="auto"/>
                    <w:bottom w:val="none" w:sz="0" w:space="0" w:color="auto"/>
                    <w:right w:val="none" w:sz="0" w:space="0" w:color="auto"/>
                  </w:divBdr>
                  <w:divsChild>
                    <w:div w:id="64049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244458">
          <w:marLeft w:val="0"/>
          <w:marRight w:val="0"/>
          <w:marTop w:val="0"/>
          <w:marBottom w:val="0"/>
          <w:divBdr>
            <w:top w:val="none" w:sz="0" w:space="0" w:color="auto"/>
            <w:left w:val="none" w:sz="0" w:space="0" w:color="auto"/>
            <w:bottom w:val="none" w:sz="0" w:space="0" w:color="auto"/>
            <w:right w:val="none" w:sz="0" w:space="0" w:color="auto"/>
          </w:divBdr>
          <w:divsChild>
            <w:div w:id="404568132">
              <w:marLeft w:val="-75"/>
              <w:marRight w:val="0"/>
              <w:marTop w:val="30"/>
              <w:marBottom w:val="30"/>
              <w:divBdr>
                <w:top w:val="none" w:sz="0" w:space="0" w:color="auto"/>
                <w:left w:val="none" w:sz="0" w:space="0" w:color="auto"/>
                <w:bottom w:val="none" w:sz="0" w:space="0" w:color="auto"/>
                <w:right w:val="none" w:sz="0" w:space="0" w:color="auto"/>
              </w:divBdr>
              <w:divsChild>
                <w:div w:id="300110874">
                  <w:marLeft w:val="0"/>
                  <w:marRight w:val="0"/>
                  <w:marTop w:val="0"/>
                  <w:marBottom w:val="0"/>
                  <w:divBdr>
                    <w:top w:val="none" w:sz="0" w:space="0" w:color="auto"/>
                    <w:left w:val="none" w:sz="0" w:space="0" w:color="auto"/>
                    <w:bottom w:val="none" w:sz="0" w:space="0" w:color="auto"/>
                    <w:right w:val="none" w:sz="0" w:space="0" w:color="auto"/>
                  </w:divBdr>
                  <w:divsChild>
                    <w:div w:id="1578788191">
                      <w:marLeft w:val="0"/>
                      <w:marRight w:val="0"/>
                      <w:marTop w:val="0"/>
                      <w:marBottom w:val="0"/>
                      <w:divBdr>
                        <w:top w:val="none" w:sz="0" w:space="0" w:color="auto"/>
                        <w:left w:val="none" w:sz="0" w:space="0" w:color="auto"/>
                        <w:bottom w:val="none" w:sz="0" w:space="0" w:color="auto"/>
                        <w:right w:val="none" w:sz="0" w:space="0" w:color="auto"/>
                      </w:divBdr>
                    </w:div>
                  </w:divsChild>
                </w:div>
                <w:div w:id="578293564">
                  <w:marLeft w:val="0"/>
                  <w:marRight w:val="0"/>
                  <w:marTop w:val="0"/>
                  <w:marBottom w:val="0"/>
                  <w:divBdr>
                    <w:top w:val="none" w:sz="0" w:space="0" w:color="auto"/>
                    <w:left w:val="none" w:sz="0" w:space="0" w:color="auto"/>
                    <w:bottom w:val="none" w:sz="0" w:space="0" w:color="auto"/>
                    <w:right w:val="none" w:sz="0" w:space="0" w:color="auto"/>
                  </w:divBdr>
                  <w:divsChild>
                    <w:div w:id="1454981385">
                      <w:marLeft w:val="0"/>
                      <w:marRight w:val="0"/>
                      <w:marTop w:val="0"/>
                      <w:marBottom w:val="0"/>
                      <w:divBdr>
                        <w:top w:val="none" w:sz="0" w:space="0" w:color="auto"/>
                        <w:left w:val="none" w:sz="0" w:space="0" w:color="auto"/>
                        <w:bottom w:val="none" w:sz="0" w:space="0" w:color="auto"/>
                        <w:right w:val="none" w:sz="0" w:space="0" w:color="auto"/>
                      </w:divBdr>
                    </w:div>
                  </w:divsChild>
                </w:div>
                <w:div w:id="781998598">
                  <w:marLeft w:val="0"/>
                  <w:marRight w:val="0"/>
                  <w:marTop w:val="0"/>
                  <w:marBottom w:val="0"/>
                  <w:divBdr>
                    <w:top w:val="none" w:sz="0" w:space="0" w:color="auto"/>
                    <w:left w:val="none" w:sz="0" w:space="0" w:color="auto"/>
                    <w:bottom w:val="none" w:sz="0" w:space="0" w:color="auto"/>
                    <w:right w:val="none" w:sz="0" w:space="0" w:color="auto"/>
                  </w:divBdr>
                  <w:divsChild>
                    <w:div w:id="1935358234">
                      <w:marLeft w:val="0"/>
                      <w:marRight w:val="0"/>
                      <w:marTop w:val="0"/>
                      <w:marBottom w:val="0"/>
                      <w:divBdr>
                        <w:top w:val="none" w:sz="0" w:space="0" w:color="auto"/>
                        <w:left w:val="none" w:sz="0" w:space="0" w:color="auto"/>
                        <w:bottom w:val="none" w:sz="0" w:space="0" w:color="auto"/>
                        <w:right w:val="none" w:sz="0" w:space="0" w:color="auto"/>
                      </w:divBdr>
                    </w:div>
                  </w:divsChild>
                </w:div>
                <w:div w:id="916745146">
                  <w:marLeft w:val="0"/>
                  <w:marRight w:val="0"/>
                  <w:marTop w:val="0"/>
                  <w:marBottom w:val="0"/>
                  <w:divBdr>
                    <w:top w:val="none" w:sz="0" w:space="0" w:color="auto"/>
                    <w:left w:val="none" w:sz="0" w:space="0" w:color="auto"/>
                    <w:bottom w:val="none" w:sz="0" w:space="0" w:color="auto"/>
                    <w:right w:val="none" w:sz="0" w:space="0" w:color="auto"/>
                  </w:divBdr>
                  <w:divsChild>
                    <w:div w:id="685401520">
                      <w:marLeft w:val="0"/>
                      <w:marRight w:val="0"/>
                      <w:marTop w:val="0"/>
                      <w:marBottom w:val="0"/>
                      <w:divBdr>
                        <w:top w:val="none" w:sz="0" w:space="0" w:color="auto"/>
                        <w:left w:val="none" w:sz="0" w:space="0" w:color="auto"/>
                        <w:bottom w:val="none" w:sz="0" w:space="0" w:color="auto"/>
                        <w:right w:val="none" w:sz="0" w:space="0" w:color="auto"/>
                      </w:divBdr>
                    </w:div>
                  </w:divsChild>
                </w:div>
                <w:div w:id="989555252">
                  <w:marLeft w:val="0"/>
                  <w:marRight w:val="0"/>
                  <w:marTop w:val="0"/>
                  <w:marBottom w:val="0"/>
                  <w:divBdr>
                    <w:top w:val="none" w:sz="0" w:space="0" w:color="auto"/>
                    <w:left w:val="none" w:sz="0" w:space="0" w:color="auto"/>
                    <w:bottom w:val="none" w:sz="0" w:space="0" w:color="auto"/>
                    <w:right w:val="none" w:sz="0" w:space="0" w:color="auto"/>
                  </w:divBdr>
                  <w:divsChild>
                    <w:div w:id="1718813881">
                      <w:marLeft w:val="0"/>
                      <w:marRight w:val="0"/>
                      <w:marTop w:val="0"/>
                      <w:marBottom w:val="0"/>
                      <w:divBdr>
                        <w:top w:val="none" w:sz="0" w:space="0" w:color="auto"/>
                        <w:left w:val="none" w:sz="0" w:space="0" w:color="auto"/>
                        <w:bottom w:val="none" w:sz="0" w:space="0" w:color="auto"/>
                        <w:right w:val="none" w:sz="0" w:space="0" w:color="auto"/>
                      </w:divBdr>
                    </w:div>
                  </w:divsChild>
                </w:div>
                <w:div w:id="1080297842">
                  <w:marLeft w:val="0"/>
                  <w:marRight w:val="0"/>
                  <w:marTop w:val="0"/>
                  <w:marBottom w:val="0"/>
                  <w:divBdr>
                    <w:top w:val="none" w:sz="0" w:space="0" w:color="auto"/>
                    <w:left w:val="none" w:sz="0" w:space="0" w:color="auto"/>
                    <w:bottom w:val="none" w:sz="0" w:space="0" w:color="auto"/>
                    <w:right w:val="none" w:sz="0" w:space="0" w:color="auto"/>
                  </w:divBdr>
                  <w:divsChild>
                    <w:div w:id="1549226545">
                      <w:marLeft w:val="0"/>
                      <w:marRight w:val="0"/>
                      <w:marTop w:val="0"/>
                      <w:marBottom w:val="0"/>
                      <w:divBdr>
                        <w:top w:val="none" w:sz="0" w:space="0" w:color="auto"/>
                        <w:left w:val="none" w:sz="0" w:space="0" w:color="auto"/>
                        <w:bottom w:val="none" w:sz="0" w:space="0" w:color="auto"/>
                        <w:right w:val="none" w:sz="0" w:space="0" w:color="auto"/>
                      </w:divBdr>
                    </w:div>
                  </w:divsChild>
                </w:div>
                <w:div w:id="1111973858">
                  <w:marLeft w:val="0"/>
                  <w:marRight w:val="0"/>
                  <w:marTop w:val="0"/>
                  <w:marBottom w:val="0"/>
                  <w:divBdr>
                    <w:top w:val="none" w:sz="0" w:space="0" w:color="auto"/>
                    <w:left w:val="none" w:sz="0" w:space="0" w:color="auto"/>
                    <w:bottom w:val="none" w:sz="0" w:space="0" w:color="auto"/>
                    <w:right w:val="none" w:sz="0" w:space="0" w:color="auto"/>
                  </w:divBdr>
                  <w:divsChild>
                    <w:div w:id="2019386577">
                      <w:marLeft w:val="0"/>
                      <w:marRight w:val="0"/>
                      <w:marTop w:val="0"/>
                      <w:marBottom w:val="0"/>
                      <w:divBdr>
                        <w:top w:val="none" w:sz="0" w:space="0" w:color="auto"/>
                        <w:left w:val="none" w:sz="0" w:space="0" w:color="auto"/>
                        <w:bottom w:val="none" w:sz="0" w:space="0" w:color="auto"/>
                        <w:right w:val="none" w:sz="0" w:space="0" w:color="auto"/>
                      </w:divBdr>
                    </w:div>
                  </w:divsChild>
                </w:div>
                <w:div w:id="1263606582">
                  <w:marLeft w:val="0"/>
                  <w:marRight w:val="0"/>
                  <w:marTop w:val="0"/>
                  <w:marBottom w:val="0"/>
                  <w:divBdr>
                    <w:top w:val="none" w:sz="0" w:space="0" w:color="auto"/>
                    <w:left w:val="none" w:sz="0" w:space="0" w:color="auto"/>
                    <w:bottom w:val="none" w:sz="0" w:space="0" w:color="auto"/>
                    <w:right w:val="none" w:sz="0" w:space="0" w:color="auto"/>
                  </w:divBdr>
                  <w:divsChild>
                    <w:div w:id="1620263626">
                      <w:marLeft w:val="0"/>
                      <w:marRight w:val="0"/>
                      <w:marTop w:val="0"/>
                      <w:marBottom w:val="0"/>
                      <w:divBdr>
                        <w:top w:val="none" w:sz="0" w:space="0" w:color="auto"/>
                        <w:left w:val="none" w:sz="0" w:space="0" w:color="auto"/>
                        <w:bottom w:val="none" w:sz="0" w:space="0" w:color="auto"/>
                        <w:right w:val="none" w:sz="0" w:space="0" w:color="auto"/>
                      </w:divBdr>
                    </w:div>
                  </w:divsChild>
                </w:div>
                <w:div w:id="1612323302">
                  <w:marLeft w:val="0"/>
                  <w:marRight w:val="0"/>
                  <w:marTop w:val="0"/>
                  <w:marBottom w:val="0"/>
                  <w:divBdr>
                    <w:top w:val="none" w:sz="0" w:space="0" w:color="auto"/>
                    <w:left w:val="none" w:sz="0" w:space="0" w:color="auto"/>
                    <w:bottom w:val="none" w:sz="0" w:space="0" w:color="auto"/>
                    <w:right w:val="none" w:sz="0" w:space="0" w:color="auto"/>
                  </w:divBdr>
                  <w:divsChild>
                    <w:div w:id="195783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90874">
          <w:marLeft w:val="0"/>
          <w:marRight w:val="0"/>
          <w:marTop w:val="0"/>
          <w:marBottom w:val="0"/>
          <w:divBdr>
            <w:top w:val="none" w:sz="0" w:space="0" w:color="auto"/>
            <w:left w:val="none" w:sz="0" w:space="0" w:color="auto"/>
            <w:bottom w:val="none" w:sz="0" w:space="0" w:color="auto"/>
            <w:right w:val="none" w:sz="0" w:space="0" w:color="auto"/>
          </w:divBdr>
          <w:divsChild>
            <w:div w:id="1710938">
              <w:marLeft w:val="0"/>
              <w:marRight w:val="0"/>
              <w:marTop w:val="0"/>
              <w:marBottom w:val="0"/>
              <w:divBdr>
                <w:top w:val="none" w:sz="0" w:space="0" w:color="auto"/>
                <w:left w:val="none" w:sz="0" w:space="0" w:color="auto"/>
                <w:bottom w:val="none" w:sz="0" w:space="0" w:color="auto"/>
                <w:right w:val="none" w:sz="0" w:space="0" w:color="auto"/>
              </w:divBdr>
            </w:div>
            <w:div w:id="223220408">
              <w:marLeft w:val="0"/>
              <w:marRight w:val="0"/>
              <w:marTop w:val="0"/>
              <w:marBottom w:val="0"/>
              <w:divBdr>
                <w:top w:val="none" w:sz="0" w:space="0" w:color="auto"/>
                <w:left w:val="none" w:sz="0" w:space="0" w:color="auto"/>
                <w:bottom w:val="none" w:sz="0" w:space="0" w:color="auto"/>
                <w:right w:val="none" w:sz="0" w:space="0" w:color="auto"/>
              </w:divBdr>
            </w:div>
            <w:div w:id="354502059">
              <w:marLeft w:val="0"/>
              <w:marRight w:val="0"/>
              <w:marTop w:val="0"/>
              <w:marBottom w:val="0"/>
              <w:divBdr>
                <w:top w:val="none" w:sz="0" w:space="0" w:color="auto"/>
                <w:left w:val="none" w:sz="0" w:space="0" w:color="auto"/>
                <w:bottom w:val="none" w:sz="0" w:space="0" w:color="auto"/>
                <w:right w:val="none" w:sz="0" w:space="0" w:color="auto"/>
              </w:divBdr>
            </w:div>
            <w:div w:id="660810546">
              <w:marLeft w:val="0"/>
              <w:marRight w:val="0"/>
              <w:marTop w:val="0"/>
              <w:marBottom w:val="0"/>
              <w:divBdr>
                <w:top w:val="none" w:sz="0" w:space="0" w:color="auto"/>
                <w:left w:val="none" w:sz="0" w:space="0" w:color="auto"/>
                <w:bottom w:val="none" w:sz="0" w:space="0" w:color="auto"/>
                <w:right w:val="none" w:sz="0" w:space="0" w:color="auto"/>
              </w:divBdr>
            </w:div>
            <w:div w:id="746850346">
              <w:marLeft w:val="0"/>
              <w:marRight w:val="0"/>
              <w:marTop w:val="0"/>
              <w:marBottom w:val="0"/>
              <w:divBdr>
                <w:top w:val="none" w:sz="0" w:space="0" w:color="auto"/>
                <w:left w:val="none" w:sz="0" w:space="0" w:color="auto"/>
                <w:bottom w:val="none" w:sz="0" w:space="0" w:color="auto"/>
                <w:right w:val="none" w:sz="0" w:space="0" w:color="auto"/>
              </w:divBdr>
            </w:div>
            <w:div w:id="886070613">
              <w:marLeft w:val="0"/>
              <w:marRight w:val="0"/>
              <w:marTop w:val="0"/>
              <w:marBottom w:val="0"/>
              <w:divBdr>
                <w:top w:val="none" w:sz="0" w:space="0" w:color="auto"/>
                <w:left w:val="none" w:sz="0" w:space="0" w:color="auto"/>
                <w:bottom w:val="none" w:sz="0" w:space="0" w:color="auto"/>
                <w:right w:val="none" w:sz="0" w:space="0" w:color="auto"/>
              </w:divBdr>
            </w:div>
            <w:div w:id="1103499926">
              <w:marLeft w:val="0"/>
              <w:marRight w:val="0"/>
              <w:marTop w:val="0"/>
              <w:marBottom w:val="0"/>
              <w:divBdr>
                <w:top w:val="none" w:sz="0" w:space="0" w:color="auto"/>
                <w:left w:val="none" w:sz="0" w:space="0" w:color="auto"/>
                <w:bottom w:val="none" w:sz="0" w:space="0" w:color="auto"/>
                <w:right w:val="none" w:sz="0" w:space="0" w:color="auto"/>
              </w:divBdr>
            </w:div>
            <w:div w:id="1331179716">
              <w:marLeft w:val="0"/>
              <w:marRight w:val="0"/>
              <w:marTop w:val="0"/>
              <w:marBottom w:val="0"/>
              <w:divBdr>
                <w:top w:val="none" w:sz="0" w:space="0" w:color="auto"/>
                <w:left w:val="none" w:sz="0" w:space="0" w:color="auto"/>
                <w:bottom w:val="none" w:sz="0" w:space="0" w:color="auto"/>
                <w:right w:val="none" w:sz="0" w:space="0" w:color="auto"/>
              </w:divBdr>
            </w:div>
            <w:div w:id="1577279325">
              <w:marLeft w:val="0"/>
              <w:marRight w:val="0"/>
              <w:marTop w:val="0"/>
              <w:marBottom w:val="0"/>
              <w:divBdr>
                <w:top w:val="none" w:sz="0" w:space="0" w:color="auto"/>
                <w:left w:val="none" w:sz="0" w:space="0" w:color="auto"/>
                <w:bottom w:val="none" w:sz="0" w:space="0" w:color="auto"/>
                <w:right w:val="none" w:sz="0" w:space="0" w:color="auto"/>
              </w:divBdr>
            </w:div>
            <w:div w:id="1796295008">
              <w:marLeft w:val="0"/>
              <w:marRight w:val="0"/>
              <w:marTop w:val="0"/>
              <w:marBottom w:val="0"/>
              <w:divBdr>
                <w:top w:val="none" w:sz="0" w:space="0" w:color="auto"/>
                <w:left w:val="none" w:sz="0" w:space="0" w:color="auto"/>
                <w:bottom w:val="none" w:sz="0" w:space="0" w:color="auto"/>
                <w:right w:val="none" w:sz="0" w:space="0" w:color="auto"/>
              </w:divBdr>
            </w:div>
            <w:div w:id="2056272660">
              <w:marLeft w:val="0"/>
              <w:marRight w:val="0"/>
              <w:marTop w:val="0"/>
              <w:marBottom w:val="0"/>
              <w:divBdr>
                <w:top w:val="none" w:sz="0" w:space="0" w:color="auto"/>
                <w:left w:val="none" w:sz="0" w:space="0" w:color="auto"/>
                <w:bottom w:val="none" w:sz="0" w:space="0" w:color="auto"/>
                <w:right w:val="none" w:sz="0" w:space="0" w:color="auto"/>
              </w:divBdr>
            </w:div>
          </w:divsChild>
        </w:div>
        <w:div w:id="453644834">
          <w:marLeft w:val="0"/>
          <w:marRight w:val="0"/>
          <w:marTop w:val="0"/>
          <w:marBottom w:val="0"/>
          <w:divBdr>
            <w:top w:val="none" w:sz="0" w:space="0" w:color="auto"/>
            <w:left w:val="none" w:sz="0" w:space="0" w:color="auto"/>
            <w:bottom w:val="none" w:sz="0" w:space="0" w:color="auto"/>
            <w:right w:val="none" w:sz="0" w:space="0" w:color="auto"/>
          </w:divBdr>
        </w:div>
        <w:div w:id="460270603">
          <w:marLeft w:val="0"/>
          <w:marRight w:val="0"/>
          <w:marTop w:val="0"/>
          <w:marBottom w:val="0"/>
          <w:divBdr>
            <w:top w:val="none" w:sz="0" w:space="0" w:color="auto"/>
            <w:left w:val="none" w:sz="0" w:space="0" w:color="auto"/>
            <w:bottom w:val="none" w:sz="0" w:space="0" w:color="auto"/>
            <w:right w:val="none" w:sz="0" w:space="0" w:color="auto"/>
          </w:divBdr>
        </w:div>
        <w:div w:id="466244784">
          <w:marLeft w:val="0"/>
          <w:marRight w:val="0"/>
          <w:marTop w:val="0"/>
          <w:marBottom w:val="0"/>
          <w:divBdr>
            <w:top w:val="none" w:sz="0" w:space="0" w:color="auto"/>
            <w:left w:val="none" w:sz="0" w:space="0" w:color="auto"/>
            <w:bottom w:val="none" w:sz="0" w:space="0" w:color="auto"/>
            <w:right w:val="none" w:sz="0" w:space="0" w:color="auto"/>
          </w:divBdr>
          <w:divsChild>
            <w:div w:id="2142530385">
              <w:marLeft w:val="0"/>
              <w:marRight w:val="0"/>
              <w:marTop w:val="0"/>
              <w:marBottom w:val="0"/>
              <w:divBdr>
                <w:top w:val="none" w:sz="0" w:space="0" w:color="auto"/>
                <w:left w:val="none" w:sz="0" w:space="0" w:color="auto"/>
                <w:bottom w:val="none" w:sz="0" w:space="0" w:color="auto"/>
                <w:right w:val="none" w:sz="0" w:space="0" w:color="auto"/>
              </w:divBdr>
            </w:div>
          </w:divsChild>
        </w:div>
        <w:div w:id="471871975">
          <w:marLeft w:val="0"/>
          <w:marRight w:val="0"/>
          <w:marTop w:val="0"/>
          <w:marBottom w:val="0"/>
          <w:divBdr>
            <w:top w:val="none" w:sz="0" w:space="0" w:color="auto"/>
            <w:left w:val="none" w:sz="0" w:space="0" w:color="auto"/>
            <w:bottom w:val="none" w:sz="0" w:space="0" w:color="auto"/>
            <w:right w:val="none" w:sz="0" w:space="0" w:color="auto"/>
          </w:divBdr>
        </w:div>
        <w:div w:id="473109290">
          <w:marLeft w:val="0"/>
          <w:marRight w:val="0"/>
          <w:marTop w:val="0"/>
          <w:marBottom w:val="0"/>
          <w:divBdr>
            <w:top w:val="none" w:sz="0" w:space="0" w:color="auto"/>
            <w:left w:val="none" w:sz="0" w:space="0" w:color="auto"/>
            <w:bottom w:val="none" w:sz="0" w:space="0" w:color="auto"/>
            <w:right w:val="none" w:sz="0" w:space="0" w:color="auto"/>
          </w:divBdr>
          <w:divsChild>
            <w:div w:id="2081324198">
              <w:marLeft w:val="-75"/>
              <w:marRight w:val="0"/>
              <w:marTop w:val="30"/>
              <w:marBottom w:val="30"/>
              <w:divBdr>
                <w:top w:val="none" w:sz="0" w:space="0" w:color="auto"/>
                <w:left w:val="none" w:sz="0" w:space="0" w:color="auto"/>
                <w:bottom w:val="none" w:sz="0" w:space="0" w:color="auto"/>
                <w:right w:val="none" w:sz="0" w:space="0" w:color="auto"/>
              </w:divBdr>
              <w:divsChild>
                <w:div w:id="29452104">
                  <w:marLeft w:val="0"/>
                  <w:marRight w:val="0"/>
                  <w:marTop w:val="0"/>
                  <w:marBottom w:val="0"/>
                  <w:divBdr>
                    <w:top w:val="none" w:sz="0" w:space="0" w:color="auto"/>
                    <w:left w:val="none" w:sz="0" w:space="0" w:color="auto"/>
                    <w:bottom w:val="none" w:sz="0" w:space="0" w:color="auto"/>
                    <w:right w:val="none" w:sz="0" w:space="0" w:color="auto"/>
                  </w:divBdr>
                  <w:divsChild>
                    <w:div w:id="35279144">
                      <w:marLeft w:val="0"/>
                      <w:marRight w:val="0"/>
                      <w:marTop w:val="0"/>
                      <w:marBottom w:val="0"/>
                      <w:divBdr>
                        <w:top w:val="none" w:sz="0" w:space="0" w:color="auto"/>
                        <w:left w:val="none" w:sz="0" w:space="0" w:color="auto"/>
                        <w:bottom w:val="none" w:sz="0" w:space="0" w:color="auto"/>
                        <w:right w:val="none" w:sz="0" w:space="0" w:color="auto"/>
                      </w:divBdr>
                    </w:div>
                    <w:div w:id="52629251">
                      <w:marLeft w:val="0"/>
                      <w:marRight w:val="0"/>
                      <w:marTop w:val="0"/>
                      <w:marBottom w:val="0"/>
                      <w:divBdr>
                        <w:top w:val="none" w:sz="0" w:space="0" w:color="auto"/>
                        <w:left w:val="none" w:sz="0" w:space="0" w:color="auto"/>
                        <w:bottom w:val="none" w:sz="0" w:space="0" w:color="auto"/>
                        <w:right w:val="none" w:sz="0" w:space="0" w:color="auto"/>
                      </w:divBdr>
                    </w:div>
                  </w:divsChild>
                </w:div>
                <w:div w:id="79983597">
                  <w:marLeft w:val="0"/>
                  <w:marRight w:val="0"/>
                  <w:marTop w:val="0"/>
                  <w:marBottom w:val="0"/>
                  <w:divBdr>
                    <w:top w:val="none" w:sz="0" w:space="0" w:color="auto"/>
                    <w:left w:val="none" w:sz="0" w:space="0" w:color="auto"/>
                    <w:bottom w:val="none" w:sz="0" w:space="0" w:color="auto"/>
                    <w:right w:val="none" w:sz="0" w:space="0" w:color="auto"/>
                  </w:divBdr>
                  <w:divsChild>
                    <w:div w:id="1539053399">
                      <w:marLeft w:val="0"/>
                      <w:marRight w:val="0"/>
                      <w:marTop w:val="0"/>
                      <w:marBottom w:val="0"/>
                      <w:divBdr>
                        <w:top w:val="none" w:sz="0" w:space="0" w:color="auto"/>
                        <w:left w:val="none" w:sz="0" w:space="0" w:color="auto"/>
                        <w:bottom w:val="none" w:sz="0" w:space="0" w:color="auto"/>
                        <w:right w:val="none" w:sz="0" w:space="0" w:color="auto"/>
                      </w:divBdr>
                    </w:div>
                  </w:divsChild>
                </w:div>
                <w:div w:id="118378497">
                  <w:marLeft w:val="0"/>
                  <w:marRight w:val="0"/>
                  <w:marTop w:val="0"/>
                  <w:marBottom w:val="0"/>
                  <w:divBdr>
                    <w:top w:val="none" w:sz="0" w:space="0" w:color="auto"/>
                    <w:left w:val="none" w:sz="0" w:space="0" w:color="auto"/>
                    <w:bottom w:val="none" w:sz="0" w:space="0" w:color="auto"/>
                    <w:right w:val="none" w:sz="0" w:space="0" w:color="auto"/>
                  </w:divBdr>
                  <w:divsChild>
                    <w:div w:id="621888287">
                      <w:marLeft w:val="0"/>
                      <w:marRight w:val="0"/>
                      <w:marTop w:val="0"/>
                      <w:marBottom w:val="0"/>
                      <w:divBdr>
                        <w:top w:val="none" w:sz="0" w:space="0" w:color="auto"/>
                        <w:left w:val="none" w:sz="0" w:space="0" w:color="auto"/>
                        <w:bottom w:val="none" w:sz="0" w:space="0" w:color="auto"/>
                        <w:right w:val="none" w:sz="0" w:space="0" w:color="auto"/>
                      </w:divBdr>
                    </w:div>
                  </w:divsChild>
                </w:div>
                <w:div w:id="143788152">
                  <w:marLeft w:val="0"/>
                  <w:marRight w:val="0"/>
                  <w:marTop w:val="0"/>
                  <w:marBottom w:val="0"/>
                  <w:divBdr>
                    <w:top w:val="none" w:sz="0" w:space="0" w:color="auto"/>
                    <w:left w:val="none" w:sz="0" w:space="0" w:color="auto"/>
                    <w:bottom w:val="none" w:sz="0" w:space="0" w:color="auto"/>
                    <w:right w:val="none" w:sz="0" w:space="0" w:color="auto"/>
                  </w:divBdr>
                  <w:divsChild>
                    <w:div w:id="845360672">
                      <w:marLeft w:val="0"/>
                      <w:marRight w:val="0"/>
                      <w:marTop w:val="0"/>
                      <w:marBottom w:val="0"/>
                      <w:divBdr>
                        <w:top w:val="none" w:sz="0" w:space="0" w:color="auto"/>
                        <w:left w:val="none" w:sz="0" w:space="0" w:color="auto"/>
                        <w:bottom w:val="none" w:sz="0" w:space="0" w:color="auto"/>
                        <w:right w:val="none" w:sz="0" w:space="0" w:color="auto"/>
                      </w:divBdr>
                    </w:div>
                  </w:divsChild>
                </w:div>
                <w:div w:id="175462517">
                  <w:marLeft w:val="0"/>
                  <w:marRight w:val="0"/>
                  <w:marTop w:val="0"/>
                  <w:marBottom w:val="0"/>
                  <w:divBdr>
                    <w:top w:val="none" w:sz="0" w:space="0" w:color="auto"/>
                    <w:left w:val="none" w:sz="0" w:space="0" w:color="auto"/>
                    <w:bottom w:val="none" w:sz="0" w:space="0" w:color="auto"/>
                    <w:right w:val="none" w:sz="0" w:space="0" w:color="auto"/>
                  </w:divBdr>
                  <w:divsChild>
                    <w:div w:id="440615637">
                      <w:marLeft w:val="0"/>
                      <w:marRight w:val="0"/>
                      <w:marTop w:val="0"/>
                      <w:marBottom w:val="0"/>
                      <w:divBdr>
                        <w:top w:val="none" w:sz="0" w:space="0" w:color="auto"/>
                        <w:left w:val="none" w:sz="0" w:space="0" w:color="auto"/>
                        <w:bottom w:val="none" w:sz="0" w:space="0" w:color="auto"/>
                        <w:right w:val="none" w:sz="0" w:space="0" w:color="auto"/>
                      </w:divBdr>
                    </w:div>
                    <w:div w:id="1831673879">
                      <w:marLeft w:val="0"/>
                      <w:marRight w:val="0"/>
                      <w:marTop w:val="0"/>
                      <w:marBottom w:val="0"/>
                      <w:divBdr>
                        <w:top w:val="none" w:sz="0" w:space="0" w:color="auto"/>
                        <w:left w:val="none" w:sz="0" w:space="0" w:color="auto"/>
                        <w:bottom w:val="none" w:sz="0" w:space="0" w:color="auto"/>
                        <w:right w:val="none" w:sz="0" w:space="0" w:color="auto"/>
                      </w:divBdr>
                    </w:div>
                    <w:div w:id="2038849212">
                      <w:marLeft w:val="0"/>
                      <w:marRight w:val="0"/>
                      <w:marTop w:val="0"/>
                      <w:marBottom w:val="0"/>
                      <w:divBdr>
                        <w:top w:val="none" w:sz="0" w:space="0" w:color="auto"/>
                        <w:left w:val="none" w:sz="0" w:space="0" w:color="auto"/>
                        <w:bottom w:val="none" w:sz="0" w:space="0" w:color="auto"/>
                        <w:right w:val="none" w:sz="0" w:space="0" w:color="auto"/>
                      </w:divBdr>
                    </w:div>
                  </w:divsChild>
                </w:div>
                <w:div w:id="306321357">
                  <w:marLeft w:val="0"/>
                  <w:marRight w:val="0"/>
                  <w:marTop w:val="0"/>
                  <w:marBottom w:val="0"/>
                  <w:divBdr>
                    <w:top w:val="none" w:sz="0" w:space="0" w:color="auto"/>
                    <w:left w:val="none" w:sz="0" w:space="0" w:color="auto"/>
                    <w:bottom w:val="none" w:sz="0" w:space="0" w:color="auto"/>
                    <w:right w:val="none" w:sz="0" w:space="0" w:color="auto"/>
                  </w:divBdr>
                  <w:divsChild>
                    <w:div w:id="1839613257">
                      <w:marLeft w:val="0"/>
                      <w:marRight w:val="0"/>
                      <w:marTop w:val="0"/>
                      <w:marBottom w:val="0"/>
                      <w:divBdr>
                        <w:top w:val="none" w:sz="0" w:space="0" w:color="auto"/>
                        <w:left w:val="none" w:sz="0" w:space="0" w:color="auto"/>
                        <w:bottom w:val="none" w:sz="0" w:space="0" w:color="auto"/>
                        <w:right w:val="none" w:sz="0" w:space="0" w:color="auto"/>
                      </w:divBdr>
                    </w:div>
                  </w:divsChild>
                </w:div>
                <w:div w:id="397166731">
                  <w:marLeft w:val="0"/>
                  <w:marRight w:val="0"/>
                  <w:marTop w:val="0"/>
                  <w:marBottom w:val="0"/>
                  <w:divBdr>
                    <w:top w:val="none" w:sz="0" w:space="0" w:color="auto"/>
                    <w:left w:val="none" w:sz="0" w:space="0" w:color="auto"/>
                    <w:bottom w:val="none" w:sz="0" w:space="0" w:color="auto"/>
                    <w:right w:val="none" w:sz="0" w:space="0" w:color="auto"/>
                  </w:divBdr>
                  <w:divsChild>
                    <w:div w:id="784230054">
                      <w:marLeft w:val="0"/>
                      <w:marRight w:val="0"/>
                      <w:marTop w:val="0"/>
                      <w:marBottom w:val="0"/>
                      <w:divBdr>
                        <w:top w:val="none" w:sz="0" w:space="0" w:color="auto"/>
                        <w:left w:val="none" w:sz="0" w:space="0" w:color="auto"/>
                        <w:bottom w:val="none" w:sz="0" w:space="0" w:color="auto"/>
                        <w:right w:val="none" w:sz="0" w:space="0" w:color="auto"/>
                      </w:divBdr>
                    </w:div>
                  </w:divsChild>
                </w:div>
                <w:div w:id="450982655">
                  <w:marLeft w:val="0"/>
                  <w:marRight w:val="0"/>
                  <w:marTop w:val="0"/>
                  <w:marBottom w:val="0"/>
                  <w:divBdr>
                    <w:top w:val="none" w:sz="0" w:space="0" w:color="auto"/>
                    <w:left w:val="none" w:sz="0" w:space="0" w:color="auto"/>
                    <w:bottom w:val="none" w:sz="0" w:space="0" w:color="auto"/>
                    <w:right w:val="none" w:sz="0" w:space="0" w:color="auto"/>
                  </w:divBdr>
                  <w:divsChild>
                    <w:div w:id="143550168">
                      <w:marLeft w:val="0"/>
                      <w:marRight w:val="0"/>
                      <w:marTop w:val="0"/>
                      <w:marBottom w:val="0"/>
                      <w:divBdr>
                        <w:top w:val="none" w:sz="0" w:space="0" w:color="auto"/>
                        <w:left w:val="none" w:sz="0" w:space="0" w:color="auto"/>
                        <w:bottom w:val="none" w:sz="0" w:space="0" w:color="auto"/>
                        <w:right w:val="none" w:sz="0" w:space="0" w:color="auto"/>
                      </w:divBdr>
                    </w:div>
                  </w:divsChild>
                </w:div>
                <w:div w:id="496188929">
                  <w:marLeft w:val="0"/>
                  <w:marRight w:val="0"/>
                  <w:marTop w:val="0"/>
                  <w:marBottom w:val="0"/>
                  <w:divBdr>
                    <w:top w:val="none" w:sz="0" w:space="0" w:color="auto"/>
                    <w:left w:val="none" w:sz="0" w:space="0" w:color="auto"/>
                    <w:bottom w:val="none" w:sz="0" w:space="0" w:color="auto"/>
                    <w:right w:val="none" w:sz="0" w:space="0" w:color="auto"/>
                  </w:divBdr>
                  <w:divsChild>
                    <w:div w:id="1701471590">
                      <w:marLeft w:val="0"/>
                      <w:marRight w:val="0"/>
                      <w:marTop w:val="0"/>
                      <w:marBottom w:val="0"/>
                      <w:divBdr>
                        <w:top w:val="none" w:sz="0" w:space="0" w:color="auto"/>
                        <w:left w:val="none" w:sz="0" w:space="0" w:color="auto"/>
                        <w:bottom w:val="none" w:sz="0" w:space="0" w:color="auto"/>
                        <w:right w:val="none" w:sz="0" w:space="0" w:color="auto"/>
                      </w:divBdr>
                    </w:div>
                  </w:divsChild>
                </w:div>
                <w:div w:id="596251331">
                  <w:marLeft w:val="0"/>
                  <w:marRight w:val="0"/>
                  <w:marTop w:val="0"/>
                  <w:marBottom w:val="0"/>
                  <w:divBdr>
                    <w:top w:val="none" w:sz="0" w:space="0" w:color="auto"/>
                    <w:left w:val="none" w:sz="0" w:space="0" w:color="auto"/>
                    <w:bottom w:val="none" w:sz="0" w:space="0" w:color="auto"/>
                    <w:right w:val="none" w:sz="0" w:space="0" w:color="auto"/>
                  </w:divBdr>
                  <w:divsChild>
                    <w:div w:id="1657681211">
                      <w:marLeft w:val="0"/>
                      <w:marRight w:val="0"/>
                      <w:marTop w:val="0"/>
                      <w:marBottom w:val="0"/>
                      <w:divBdr>
                        <w:top w:val="none" w:sz="0" w:space="0" w:color="auto"/>
                        <w:left w:val="none" w:sz="0" w:space="0" w:color="auto"/>
                        <w:bottom w:val="none" w:sz="0" w:space="0" w:color="auto"/>
                        <w:right w:val="none" w:sz="0" w:space="0" w:color="auto"/>
                      </w:divBdr>
                    </w:div>
                    <w:div w:id="1673605896">
                      <w:marLeft w:val="0"/>
                      <w:marRight w:val="0"/>
                      <w:marTop w:val="0"/>
                      <w:marBottom w:val="0"/>
                      <w:divBdr>
                        <w:top w:val="none" w:sz="0" w:space="0" w:color="auto"/>
                        <w:left w:val="none" w:sz="0" w:space="0" w:color="auto"/>
                        <w:bottom w:val="none" w:sz="0" w:space="0" w:color="auto"/>
                        <w:right w:val="none" w:sz="0" w:space="0" w:color="auto"/>
                      </w:divBdr>
                    </w:div>
                  </w:divsChild>
                </w:div>
                <w:div w:id="609823254">
                  <w:marLeft w:val="0"/>
                  <w:marRight w:val="0"/>
                  <w:marTop w:val="0"/>
                  <w:marBottom w:val="0"/>
                  <w:divBdr>
                    <w:top w:val="none" w:sz="0" w:space="0" w:color="auto"/>
                    <w:left w:val="none" w:sz="0" w:space="0" w:color="auto"/>
                    <w:bottom w:val="none" w:sz="0" w:space="0" w:color="auto"/>
                    <w:right w:val="none" w:sz="0" w:space="0" w:color="auto"/>
                  </w:divBdr>
                  <w:divsChild>
                    <w:div w:id="1323856314">
                      <w:marLeft w:val="0"/>
                      <w:marRight w:val="0"/>
                      <w:marTop w:val="0"/>
                      <w:marBottom w:val="0"/>
                      <w:divBdr>
                        <w:top w:val="none" w:sz="0" w:space="0" w:color="auto"/>
                        <w:left w:val="none" w:sz="0" w:space="0" w:color="auto"/>
                        <w:bottom w:val="none" w:sz="0" w:space="0" w:color="auto"/>
                        <w:right w:val="none" w:sz="0" w:space="0" w:color="auto"/>
                      </w:divBdr>
                    </w:div>
                  </w:divsChild>
                </w:div>
                <w:div w:id="656761023">
                  <w:marLeft w:val="0"/>
                  <w:marRight w:val="0"/>
                  <w:marTop w:val="0"/>
                  <w:marBottom w:val="0"/>
                  <w:divBdr>
                    <w:top w:val="none" w:sz="0" w:space="0" w:color="auto"/>
                    <w:left w:val="none" w:sz="0" w:space="0" w:color="auto"/>
                    <w:bottom w:val="none" w:sz="0" w:space="0" w:color="auto"/>
                    <w:right w:val="none" w:sz="0" w:space="0" w:color="auto"/>
                  </w:divBdr>
                  <w:divsChild>
                    <w:div w:id="911044407">
                      <w:marLeft w:val="0"/>
                      <w:marRight w:val="0"/>
                      <w:marTop w:val="0"/>
                      <w:marBottom w:val="0"/>
                      <w:divBdr>
                        <w:top w:val="none" w:sz="0" w:space="0" w:color="auto"/>
                        <w:left w:val="none" w:sz="0" w:space="0" w:color="auto"/>
                        <w:bottom w:val="none" w:sz="0" w:space="0" w:color="auto"/>
                        <w:right w:val="none" w:sz="0" w:space="0" w:color="auto"/>
                      </w:divBdr>
                    </w:div>
                  </w:divsChild>
                </w:div>
                <w:div w:id="676225174">
                  <w:marLeft w:val="0"/>
                  <w:marRight w:val="0"/>
                  <w:marTop w:val="0"/>
                  <w:marBottom w:val="0"/>
                  <w:divBdr>
                    <w:top w:val="none" w:sz="0" w:space="0" w:color="auto"/>
                    <w:left w:val="none" w:sz="0" w:space="0" w:color="auto"/>
                    <w:bottom w:val="none" w:sz="0" w:space="0" w:color="auto"/>
                    <w:right w:val="none" w:sz="0" w:space="0" w:color="auto"/>
                  </w:divBdr>
                  <w:divsChild>
                    <w:div w:id="1408263490">
                      <w:marLeft w:val="0"/>
                      <w:marRight w:val="0"/>
                      <w:marTop w:val="0"/>
                      <w:marBottom w:val="0"/>
                      <w:divBdr>
                        <w:top w:val="none" w:sz="0" w:space="0" w:color="auto"/>
                        <w:left w:val="none" w:sz="0" w:space="0" w:color="auto"/>
                        <w:bottom w:val="none" w:sz="0" w:space="0" w:color="auto"/>
                        <w:right w:val="none" w:sz="0" w:space="0" w:color="auto"/>
                      </w:divBdr>
                    </w:div>
                  </w:divsChild>
                </w:div>
                <w:div w:id="684750052">
                  <w:marLeft w:val="0"/>
                  <w:marRight w:val="0"/>
                  <w:marTop w:val="0"/>
                  <w:marBottom w:val="0"/>
                  <w:divBdr>
                    <w:top w:val="none" w:sz="0" w:space="0" w:color="auto"/>
                    <w:left w:val="none" w:sz="0" w:space="0" w:color="auto"/>
                    <w:bottom w:val="none" w:sz="0" w:space="0" w:color="auto"/>
                    <w:right w:val="none" w:sz="0" w:space="0" w:color="auto"/>
                  </w:divBdr>
                  <w:divsChild>
                    <w:div w:id="1462528582">
                      <w:marLeft w:val="0"/>
                      <w:marRight w:val="0"/>
                      <w:marTop w:val="0"/>
                      <w:marBottom w:val="0"/>
                      <w:divBdr>
                        <w:top w:val="none" w:sz="0" w:space="0" w:color="auto"/>
                        <w:left w:val="none" w:sz="0" w:space="0" w:color="auto"/>
                        <w:bottom w:val="none" w:sz="0" w:space="0" w:color="auto"/>
                        <w:right w:val="none" w:sz="0" w:space="0" w:color="auto"/>
                      </w:divBdr>
                    </w:div>
                  </w:divsChild>
                </w:div>
                <w:div w:id="696583525">
                  <w:marLeft w:val="0"/>
                  <w:marRight w:val="0"/>
                  <w:marTop w:val="0"/>
                  <w:marBottom w:val="0"/>
                  <w:divBdr>
                    <w:top w:val="none" w:sz="0" w:space="0" w:color="auto"/>
                    <w:left w:val="none" w:sz="0" w:space="0" w:color="auto"/>
                    <w:bottom w:val="none" w:sz="0" w:space="0" w:color="auto"/>
                    <w:right w:val="none" w:sz="0" w:space="0" w:color="auto"/>
                  </w:divBdr>
                  <w:divsChild>
                    <w:div w:id="1800756562">
                      <w:marLeft w:val="0"/>
                      <w:marRight w:val="0"/>
                      <w:marTop w:val="0"/>
                      <w:marBottom w:val="0"/>
                      <w:divBdr>
                        <w:top w:val="none" w:sz="0" w:space="0" w:color="auto"/>
                        <w:left w:val="none" w:sz="0" w:space="0" w:color="auto"/>
                        <w:bottom w:val="none" w:sz="0" w:space="0" w:color="auto"/>
                        <w:right w:val="none" w:sz="0" w:space="0" w:color="auto"/>
                      </w:divBdr>
                    </w:div>
                  </w:divsChild>
                </w:div>
                <w:div w:id="708454028">
                  <w:marLeft w:val="0"/>
                  <w:marRight w:val="0"/>
                  <w:marTop w:val="0"/>
                  <w:marBottom w:val="0"/>
                  <w:divBdr>
                    <w:top w:val="none" w:sz="0" w:space="0" w:color="auto"/>
                    <w:left w:val="none" w:sz="0" w:space="0" w:color="auto"/>
                    <w:bottom w:val="none" w:sz="0" w:space="0" w:color="auto"/>
                    <w:right w:val="none" w:sz="0" w:space="0" w:color="auto"/>
                  </w:divBdr>
                  <w:divsChild>
                    <w:div w:id="2011716916">
                      <w:marLeft w:val="0"/>
                      <w:marRight w:val="0"/>
                      <w:marTop w:val="0"/>
                      <w:marBottom w:val="0"/>
                      <w:divBdr>
                        <w:top w:val="none" w:sz="0" w:space="0" w:color="auto"/>
                        <w:left w:val="none" w:sz="0" w:space="0" w:color="auto"/>
                        <w:bottom w:val="none" w:sz="0" w:space="0" w:color="auto"/>
                        <w:right w:val="none" w:sz="0" w:space="0" w:color="auto"/>
                      </w:divBdr>
                    </w:div>
                  </w:divsChild>
                </w:div>
                <w:div w:id="739518492">
                  <w:marLeft w:val="0"/>
                  <w:marRight w:val="0"/>
                  <w:marTop w:val="0"/>
                  <w:marBottom w:val="0"/>
                  <w:divBdr>
                    <w:top w:val="none" w:sz="0" w:space="0" w:color="auto"/>
                    <w:left w:val="none" w:sz="0" w:space="0" w:color="auto"/>
                    <w:bottom w:val="none" w:sz="0" w:space="0" w:color="auto"/>
                    <w:right w:val="none" w:sz="0" w:space="0" w:color="auto"/>
                  </w:divBdr>
                  <w:divsChild>
                    <w:div w:id="1763723740">
                      <w:marLeft w:val="0"/>
                      <w:marRight w:val="0"/>
                      <w:marTop w:val="0"/>
                      <w:marBottom w:val="0"/>
                      <w:divBdr>
                        <w:top w:val="none" w:sz="0" w:space="0" w:color="auto"/>
                        <w:left w:val="none" w:sz="0" w:space="0" w:color="auto"/>
                        <w:bottom w:val="none" w:sz="0" w:space="0" w:color="auto"/>
                        <w:right w:val="none" w:sz="0" w:space="0" w:color="auto"/>
                      </w:divBdr>
                    </w:div>
                  </w:divsChild>
                </w:div>
                <w:div w:id="852887435">
                  <w:marLeft w:val="0"/>
                  <w:marRight w:val="0"/>
                  <w:marTop w:val="0"/>
                  <w:marBottom w:val="0"/>
                  <w:divBdr>
                    <w:top w:val="none" w:sz="0" w:space="0" w:color="auto"/>
                    <w:left w:val="none" w:sz="0" w:space="0" w:color="auto"/>
                    <w:bottom w:val="none" w:sz="0" w:space="0" w:color="auto"/>
                    <w:right w:val="none" w:sz="0" w:space="0" w:color="auto"/>
                  </w:divBdr>
                  <w:divsChild>
                    <w:div w:id="507594872">
                      <w:marLeft w:val="0"/>
                      <w:marRight w:val="0"/>
                      <w:marTop w:val="0"/>
                      <w:marBottom w:val="0"/>
                      <w:divBdr>
                        <w:top w:val="none" w:sz="0" w:space="0" w:color="auto"/>
                        <w:left w:val="none" w:sz="0" w:space="0" w:color="auto"/>
                        <w:bottom w:val="none" w:sz="0" w:space="0" w:color="auto"/>
                        <w:right w:val="none" w:sz="0" w:space="0" w:color="auto"/>
                      </w:divBdr>
                    </w:div>
                  </w:divsChild>
                </w:div>
                <w:div w:id="855388160">
                  <w:marLeft w:val="0"/>
                  <w:marRight w:val="0"/>
                  <w:marTop w:val="0"/>
                  <w:marBottom w:val="0"/>
                  <w:divBdr>
                    <w:top w:val="none" w:sz="0" w:space="0" w:color="auto"/>
                    <w:left w:val="none" w:sz="0" w:space="0" w:color="auto"/>
                    <w:bottom w:val="none" w:sz="0" w:space="0" w:color="auto"/>
                    <w:right w:val="none" w:sz="0" w:space="0" w:color="auto"/>
                  </w:divBdr>
                  <w:divsChild>
                    <w:div w:id="155730273">
                      <w:marLeft w:val="0"/>
                      <w:marRight w:val="0"/>
                      <w:marTop w:val="0"/>
                      <w:marBottom w:val="0"/>
                      <w:divBdr>
                        <w:top w:val="none" w:sz="0" w:space="0" w:color="auto"/>
                        <w:left w:val="none" w:sz="0" w:space="0" w:color="auto"/>
                        <w:bottom w:val="none" w:sz="0" w:space="0" w:color="auto"/>
                        <w:right w:val="none" w:sz="0" w:space="0" w:color="auto"/>
                      </w:divBdr>
                    </w:div>
                  </w:divsChild>
                </w:div>
                <w:div w:id="879514330">
                  <w:marLeft w:val="0"/>
                  <w:marRight w:val="0"/>
                  <w:marTop w:val="0"/>
                  <w:marBottom w:val="0"/>
                  <w:divBdr>
                    <w:top w:val="none" w:sz="0" w:space="0" w:color="auto"/>
                    <w:left w:val="none" w:sz="0" w:space="0" w:color="auto"/>
                    <w:bottom w:val="none" w:sz="0" w:space="0" w:color="auto"/>
                    <w:right w:val="none" w:sz="0" w:space="0" w:color="auto"/>
                  </w:divBdr>
                  <w:divsChild>
                    <w:div w:id="975988214">
                      <w:marLeft w:val="0"/>
                      <w:marRight w:val="0"/>
                      <w:marTop w:val="0"/>
                      <w:marBottom w:val="0"/>
                      <w:divBdr>
                        <w:top w:val="none" w:sz="0" w:space="0" w:color="auto"/>
                        <w:left w:val="none" w:sz="0" w:space="0" w:color="auto"/>
                        <w:bottom w:val="none" w:sz="0" w:space="0" w:color="auto"/>
                        <w:right w:val="none" w:sz="0" w:space="0" w:color="auto"/>
                      </w:divBdr>
                    </w:div>
                  </w:divsChild>
                </w:div>
                <w:div w:id="925648291">
                  <w:marLeft w:val="0"/>
                  <w:marRight w:val="0"/>
                  <w:marTop w:val="0"/>
                  <w:marBottom w:val="0"/>
                  <w:divBdr>
                    <w:top w:val="none" w:sz="0" w:space="0" w:color="auto"/>
                    <w:left w:val="none" w:sz="0" w:space="0" w:color="auto"/>
                    <w:bottom w:val="none" w:sz="0" w:space="0" w:color="auto"/>
                    <w:right w:val="none" w:sz="0" w:space="0" w:color="auto"/>
                  </w:divBdr>
                  <w:divsChild>
                    <w:div w:id="626668556">
                      <w:marLeft w:val="0"/>
                      <w:marRight w:val="0"/>
                      <w:marTop w:val="0"/>
                      <w:marBottom w:val="0"/>
                      <w:divBdr>
                        <w:top w:val="none" w:sz="0" w:space="0" w:color="auto"/>
                        <w:left w:val="none" w:sz="0" w:space="0" w:color="auto"/>
                        <w:bottom w:val="none" w:sz="0" w:space="0" w:color="auto"/>
                        <w:right w:val="none" w:sz="0" w:space="0" w:color="auto"/>
                      </w:divBdr>
                    </w:div>
                    <w:div w:id="1708485971">
                      <w:marLeft w:val="0"/>
                      <w:marRight w:val="0"/>
                      <w:marTop w:val="0"/>
                      <w:marBottom w:val="0"/>
                      <w:divBdr>
                        <w:top w:val="none" w:sz="0" w:space="0" w:color="auto"/>
                        <w:left w:val="none" w:sz="0" w:space="0" w:color="auto"/>
                        <w:bottom w:val="none" w:sz="0" w:space="0" w:color="auto"/>
                        <w:right w:val="none" w:sz="0" w:space="0" w:color="auto"/>
                      </w:divBdr>
                    </w:div>
                  </w:divsChild>
                </w:div>
                <w:div w:id="930357296">
                  <w:marLeft w:val="0"/>
                  <w:marRight w:val="0"/>
                  <w:marTop w:val="0"/>
                  <w:marBottom w:val="0"/>
                  <w:divBdr>
                    <w:top w:val="none" w:sz="0" w:space="0" w:color="auto"/>
                    <w:left w:val="none" w:sz="0" w:space="0" w:color="auto"/>
                    <w:bottom w:val="none" w:sz="0" w:space="0" w:color="auto"/>
                    <w:right w:val="none" w:sz="0" w:space="0" w:color="auto"/>
                  </w:divBdr>
                  <w:divsChild>
                    <w:div w:id="13503483">
                      <w:marLeft w:val="0"/>
                      <w:marRight w:val="0"/>
                      <w:marTop w:val="0"/>
                      <w:marBottom w:val="0"/>
                      <w:divBdr>
                        <w:top w:val="none" w:sz="0" w:space="0" w:color="auto"/>
                        <w:left w:val="none" w:sz="0" w:space="0" w:color="auto"/>
                        <w:bottom w:val="none" w:sz="0" w:space="0" w:color="auto"/>
                        <w:right w:val="none" w:sz="0" w:space="0" w:color="auto"/>
                      </w:divBdr>
                    </w:div>
                  </w:divsChild>
                </w:div>
                <w:div w:id="950358104">
                  <w:marLeft w:val="0"/>
                  <w:marRight w:val="0"/>
                  <w:marTop w:val="0"/>
                  <w:marBottom w:val="0"/>
                  <w:divBdr>
                    <w:top w:val="none" w:sz="0" w:space="0" w:color="auto"/>
                    <w:left w:val="none" w:sz="0" w:space="0" w:color="auto"/>
                    <w:bottom w:val="none" w:sz="0" w:space="0" w:color="auto"/>
                    <w:right w:val="none" w:sz="0" w:space="0" w:color="auto"/>
                  </w:divBdr>
                  <w:divsChild>
                    <w:div w:id="1219586544">
                      <w:marLeft w:val="0"/>
                      <w:marRight w:val="0"/>
                      <w:marTop w:val="0"/>
                      <w:marBottom w:val="0"/>
                      <w:divBdr>
                        <w:top w:val="none" w:sz="0" w:space="0" w:color="auto"/>
                        <w:left w:val="none" w:sz="0" w:space="0" w:color="auto"/>
                        <w:bottom w:val="none" w:sz="0" w:space="0" w:color="auto"/>
                        <w:right w:val="none" w:sz="0" w:space="0" w:color="auto"/>
                      </w:divBdr>
                    </w:div>
                  </w:divsChild>
                </w:div>
                <w:div w:id="954364934">
                  <w:marLeft w:val="0"/>
                  <w:marRight w:val="0"/>
                  <w:marTop w:val="0"/>
                  <w:marBottom w:val="0"/>
                  <w:divBdr>
                    <w:top w:val="none" w:sz="0" w:space="0" w:color="auto"/>
                    <w:left w:val="none" w:sz="0" w:space="0" w:color="auto"/>
                    <w:bottom w:val="none" w:sz="0" w:space="0" w:color="auto"/>
                    <w:right w:val="none" w:sz="0" w:space="0" w:color="auto"/>
                  </w:divBdr>
                  <w:divsChild>
                    <w:div w:id="587273919">
                      <w:marLeft w:val="0"/>
                      <w:marRight w:val="0"/>
                      <w:marTop w:val="0"/>
                      <w:marBottom w:val="0"/>
                      <w:divBdr>
                        <w:top w:val="none" w:sz="0" w:space="0" w:color="auto"/>
                        <w:left w:val="none" w:sz="0" w:space="0" w:color="auto"/>
                        <w:bottom w:val="none" w:sz="0" w:space="0" w:color="auto"/>
                        <w:right w:val="none" w:sz="0" w:space="0" w:color="auto"/>
                      </w:divBdr>
                    </w:div>
                    <w:div w:id="1830945116">
                      <w:marLeft w:val="0"/>
                      <w:marRight w:val="0"/>
                      <w:marTop w:val="0"/>
                      <w:marBottom w:val="0"/>
                      <w:divBdr>
                        <w:top w:val="none" w:sz="0" w:space="0" w:color="auto"/>
                        <w:left w:val="none" w:sz="0" w:space="0" w:color="auto"/>
                        <w:bottom w:val="none" w:sz="0" w:space="0" w:color="auto"/>
                        <w:right w:val="none" w:sz="0" w:space="0" w:color="auto"/>
                      </w:divBdr>
                    </w:div>
                  </w:divsChild>
                </w:div>
                <w:div w:id="966203767">
                  <w:marLeft w:val="0"/>
                  <w:marRight w:val="0"/>
                  <w:marTop w:val="0"/>
                  <w:marBottom w:val="0"/>
                  <w:divBdr>
                    <w:top w:val="none" w:sz="0" w:space="0" w:color="auto"/>
                    <w:left w:val="none" w:sz="0" w:space="0" w:color="auto"/>
                    <w:bottom w:val="none" w:sz="0" w:space="0" w:color="auto"/>
                    <w:right w:val="none" w:sz="0" w:space="0" w:color="auto"/>
                  </w:divBdr>
                  <w:divsChild>
                    <w:div w:id="1224757649">
                      <w:marLeft w:val="0"/>
                      <w:marRight w:val="0"/>
                      <w:marTop w:val="0"/>
                      <w:marBottom w:val="0"/>
                      <w:divBdr>
                        <w:top w:val="none" w:sz="0" w:space="0" w:color="auto"/>
                        <w:left w:val="none" w:sz="0" w:space="0" w:color="auto"/>
                        <w:bottom w:val="none" w:sz="0" w:space="0" w:color="auto"/>
                        <w:right w:val="none" w:sz="0" w:space="0" w:color="auto"/>
                      </w:divBdr>
                    </w:div>
                  </w:divsChild>
                </w:div>
                <w:div w:id="1033120337">
                  <w:marLeft w:val="0"/>
                  <w:marRight w:val="0"/>
                  <w:marTop w:val="0"/>
                  <w:marBottom w:val="0"/>
                  <w:divBdr>
                    <w:top w:val="none" w:sz="0" w:space="0" w:color="auto"/>
                    <w:left w:val="none" w:sz="0" w:space="0" w:color="auto"/>
                    <w:bottom w:val="none" w:sz="0" w:space="0" w:color="auto"/>
                    <w:right w:val="none" w:sz="0" w:space="0" w:color="auto"/>
                  </w:divBdr>
                  <w:divsChild>
                    <w:div w:id="795486256">
                      <w:marLeft w:val="0"/>
                      <w:marRight w:val="0"/>
                      <w:marTop w:val="0"/>
                      <w:marBottom w:val="0"/>
                      <w:divBdr>
                        <w:top w:val="none" w:sz="0" w:space="0" w:color="auto"/>
                        <w:left w:val="none" w:sz="0" w:space="0" w:color="auto"/>
                        <w:bottom w:val="none" w:sz="0" w:space="0" w:color="auto"/>
                        <w:right w:val="none" w:sz="0" w:space="0" w:color="auto"/>
                      </w:divBdr>
                    </w:div>
                  </w:divsChild>
                </w:div>
                <w:div w:id="1141462859">
                  <w:marLeft w:val="0"/>
                  <w:marRight w:val="0"/>
                  <w:marTop w:val="0"/>
                  <w:marBottom w:val="0"/>
                  <w:divBdr>
                    <w:top w:val="none" w:sz="0" w:space="0" w:color="auto"/>
                    <w:left w:val="none" w:sz="0" w:space="0" w:color="auto"/>
                    <w:bottom w:val="none" w:sz="0" w:space="0" w:color="auto"/>
                    <w:right w:val="none" w:sz="0" w:space="0" w:color="auto"/>
                  </w:divBdr>
                  <w:divsChild>
                    <w:div w:id="1486437625">
                      <w:marLeft w:val="0"/>
                      <w:marRight w:val="0"/>
                      <w:marTop w:val="0"/>
                      <w:marBottom w:val="0"/>
                      <w:divBdr>
                        <w:top w:val="none" w:sz="0" w:space="0" w:color="auto"/>
                        <w:left w:val="none" w:sz="0" w:space="0" w:color="auto"/>
                        <w:bottom w:val="none" w:sz="0" w:space="0" w:color="auto"/>
                        <w:right w:val="none" w:sz="0" w:space="0" w:color="auto"/>
                      </w:divBdr>
                    </w:div>
                  </w:divsChild>
                </w:div>
                <w:div w:id="1171524312">
                  <w:marLeft w:val="0"/>
                  <w:marRight w:val="0"/>
                  <w:marTop w:val="0"/>
                  <w:marBottom w:val="0"/>
                  <w:divBdr>
                    <w:top w:val="none" w:sz="0" w:space="0" w:color="auto"/>
                    <w:left w:val="none" w:sz="0" w:space="0" w:color="auto"/>
                    <w:bottom w:val="none" w:sz="0" w:space="0" w:color="auto"/>
                    <w:right w:val="none" w:sz="0" w:space="0" w:color="auto"/>
                  </w:divBdr>
                  <w:divsChild>
                    <w:div w:id="2011329202">
                      <w:marLeft w:val="0"/>
                      <w:marRight w:val="0"/>
                      <w:marTop w:val="0"/>
                      <w:marBottom w:val="0"/>
                      <w:divBdr>
                        <w:top w:val="none" w:sz="0" w:space="0" w:color="auto"/>
                        <w:left w:val="none" w:sz="0" w:space="0" w:color="auto"/>
                        <w:bottom w:val="none" w:sz="0" w:space="0" w:color="auto"/>
                        <w:right w:val="none" w:sz="0" w:space="0" w:color="auto"/>
                      </w:divBdr>
                    </w:div>
                  </w:divsChild>
                </w:div>
                <w:div w:id="1255167732">
                  <w:marLeft w:val="0"/>
                  <w:marRight w:val="0"/>
                  <w:marTop w:val="0"/>
                  <w:marBottom w:val="0"/>
                  <w:divBdr>
                    <w:top w:val="none" w:sz="0" w:space="0" w:color="auto"/>
                    <w:left w:val="none" w:sz="0" w:space="0" w:color="auto"/>
                    <w:bottom w:val="none" w:sz="0" w:space="0" w:color="auto"/>
                    <w:right w:val="none" w:sz="0" w:space="0" w:color="auto"/>
                  </w:divBdr>
                  <w:divsChild>
                    <w:div w:id="1923097251">
                      <w:marLeft w:val="0"/>
                      <w:marRight w:val="0"/>
                      <w:marTop w:val="0"/>
                      <w:marBottom w:val="0"/>
                      <w:divBdr>
                        <w:top w:val="none" w:sz="0" w:space="0" w:color="auto"/>
                        <w:left w:val="none" w:sz="0" w:space="0" w:color="auto"/>
                        <w:bottom w:val="none" w:sz="0" w:space="0" w:color="auto"/>
                        <w:right w:val="none" w:sz="0" w:space="0" w:color="auto"/>
                      </w:divBdr>
                    </w:div>
                  </w:divsChild>
                </w:div>
                <w:div w:id="1261835325">
                  <w:marLeft w:val="0"/>
                  <w:marRight w:val="0"/>
                  <w:marTop w:val="0"/>
                  <w:marBottom w:val="0"/>
                  <w:divBdr>
                    <w:top w:val="none" w:sz="0" w:space="0" w:color="auto"/>
                    <w:left w:val="none" w:sz="0" w:space="0" w:color="auto"/>
                    <w:bottom w:val="none" w:sz="0" w:space="0" w:color="auto"/>
                    <w:right w:val="none" w:sz="0" w:space="0" w:color="auto"/>
                  </w:divBdr>
                  <w:divsChild>
                    <w:div w:id="1678263139">
                      <w:marLeft w:val="0"/>
                      <w:marRight w:val="0"/>
                      <w:marTop w:val="0"/>
                      <w:marBottom w:val="0"/>
                      <w:divBdr>
                        <w:top w:val="none" w:sz="0" w:space="0" w:color="auto"/>
                        <w:left w:val="none" w:sz="0" w:space="0" w:color="auto"/>
                        <w:bottom w:val="none" w:sz="0" w:space="0" w:color="auto"/>
                        <w:right w:val="none" w:sz="0" w:space="0" w:color="auto"/>
                      </w:divBdr>
                    </w:div>
                  </w:divsChild>
                </w:div>
                <w:div w:id="1304309783">
                  <w:marLeft w:val="0"/>
                  <w:marRight w:val="0"/>
                  <w:marTop w:val="0"/>
                  <w:marBottom w:val="0"/>
                  <w:divBdr>
                    <w:top w:val="none" w:sz="0" w:space="0" w:color="auto"/>
                    <w:left w:val="none" w:sz="0" w:space="0" w:color="auto"/>
                    <w:bottom w:val="none" w:sz="0" w:space="0" w:color="auto"/>
                    <w:right w:val="none" w:sz="0" w:space="0" w:color="auto"/>
                  </w:divBdr>
                  <w:divsChild>
                    <w:div w:id="674503374">
                      <w:marLeft w:val="0"/>
                      <w:marRight w:val="0"/>
                      <w:marTop w:val="0"/>
                      <w:marBottom w:val="0"/>
                      <w:divBdr>
                        <w:top w:val="none" w:sz="0" w:space="0" w:color="auto"/>
                        <w:left w:val="none" w:sz="0" w:space="0" w:color="auto"/>
                        <w:bottom w:val="none" w:sz="0" w:space="0" w:color="auto"/>
                        <w:right w:val="none" w:sz="0" w:space="0" w:color="auto"/>
                      </w:divBdr>
                    </w:div>
                  </w:divsChild>
                </w:div>
                <w:div w:id="1331103355">
                  <w:marLeft w:val="0"/>
                  <w:marRight w:val="0"/>
                  <w:marTop w:val="0"/>
                  <w:marBottom w:val="0"/>
                  <w:divBdr>
                    <w:top w:val="none" w:sz="0" w:space="0" w:color="auto"/>
                    <w:left w:val="none" w:sz="0" w:space="0" w:color="auto"/>
                    <w:bottom w:val="none" w:sz="0" w:space="0" w:color="auto"/>
                    <w:right w:val="none" w:sz="0" w:space="0" w:color="auto"/>
                  </w:divBdr>
                  <w:divsChild>
                    <w:div w:id="772701318">
                      <w:marLeft w:val="0"/>
                      <w:marRight w:val="0"/>
                      <w:marTop w:val="0"/>
                      <w:marBottom w:val="0"/>
                      <w:divBdr>
                        <w:top w:val="none" w:sz="0" w:space="0" w:color="auto"/>
                        <w:left w:val="none" w:sz="0" w:space="0" w:color="auto"/>
                        <w:bottom w:val="none" w:sz="0" w:space="0" w:color="auto"/>
                        <w:right w:val="none" w:sz="0" w:space="0" w:color="auto"/>
                      </w:divBdr>
                    </w:div>
                  </w:divsChild>
                </w:div>
                <w:div w:id="1340501698">
                  <w:marLeft w:val="0"/>
                  <w:marRight w:val="0"/>
                  <w:marTop w:val="0"/>
                  <w:marBottom w:val="0"/>
                  <w:divBdr>
                    <w:top w:val="none" w:sz="0" w:space="0" w:color="auto"/>
                    <w:left w:val="none" w:sz="0" w:space="0" w:color="auto"/>
                    <w:bottom w:val="none" w:sz="0" w:space="0" w:color="auto"/>
                    <w:right w:val="none" w:sz="0" w:space="0" w:color="auto"/>
                  </w:divBdr>
                  <w:divsChild>
                    <w:div w:id="277566051">
                      <w:marLeft w:val="0"/>
                      <w:marRight w:val="0"/>
                      <w:marTop w:val="0"/>
                      <w:marBottom w:val="0"/>
                      <w:divBdr>
                        <w:top w:val="none" w:sz="0" w:space="0" w:color="auto"/>
                        <w:left w:val="none" w:sz="0" w:space="0" w:color="auto"/>
                        <w:bottom w:val="none" w:sz="0" w:space="0" w:color="auto"/>
                        <w:right w:val="none" w:sz="0" w:space="0" w:color="auto"/>
                      </w:divBdr>
                    </w:div>
                  </w:divsChild>
                </w:div>
                <w:div w:id="1424302043">
                  <w:marLeft w:val="0"/>
                  <w:marRight w:val="0"/>
                  <w:marTop w:val="0"/>
                  <w:marBottom w:val="0"/>
                  <w:divBdr>
                    <w:top w:val="none" w:sz="0" w:space="0" w:color="auto"/>
                    <w:left w:val="none" w:sz="0" w:space="0" w:color="auto"/>
                    <w:bottom w:val="none" w:sz="0" w:space="0" w:color="auto"/>
                    <w:right w:val="none" w:sz="0" w:space="0" w:color="auto"/>
                  </w:divBdr>
                  <w:divsChild>
                    <w:div w:id="1517884096">
                      <w:marLeft w:val="0"/>
                      <w:marRight w:val="0"/>
                      <w:marTop w:val="0"/>
                      <w:marBottom w:val="0"/>
                      <w:divBdr>
                        <w:top w:val="none" w:sz="0" w:space="0" w:color="auto"/>
                        <w:left w:val="none" w:sz="0" w:space="0" w:color="auto"/>
                        <w:bottom w:val="none" w:sz="0" w:space="0" w:color="auto"/>
                        <w:right w:val="none" w:sz="0" w:space="0" w:color="auto"/>
                      </w:divBdr>
                    </w:div>
                  </w:divsChild>
                </w:div>
                <w:div w:id="1483886947">
                  <w:marLeft w:val="0"/>
                  <w:marRight w:val="0"/>
                  <w:marTop w:val="0"/>
                  <w:marBottom w:val="0"/>
                  <w:divBdr>
                    <w:top w:val="none" w:sz="0" w:space="0" w:color="auto"/>
                    <w:left w:val="none" w:sz="0" w:space="0" w:color="auto"/>
                    <w:bottom w:val="none" w:sz="0" w:space="0" w:color="auto"/>
                    <w:right w:val="none" w:sz="0" w:space="0" w:color="auto"/>
                  </w:divBdr>
                  <w:divsChild>
                    <w:div w:id="1178613903">
                      <w:marLeft w:val="0"/>
                      <w:marRight w:val="0"/>
                      <w:marTop w:val="0"/>
                      <w:marBottom w:val="0"/>
                      <w:divBdr>
                        <w:top w:val="none" w:sz="0" w:space="0" w:color="auto"/>
                        <w:left w:val="none" w:sz="0" w:space="0" w:color="auto"/>
                        <w:bottom w:val="none" w:sz="0" w:space="0" w:color="auto"/>
                        <w:right w:val="none" w:sz="0" w:space="0" w:color="auto"/>
                      </w:divBdr>
                    </w:div>
                  </w:divsChild>
                </w:div>
                <w:div w:id="1505969309">
                  <w:marLeft w:val="0"/>
                  <w:marRight w:val="0"/>
                  <w:marTop w:val="0"/>
                  <w:marBottom w:val="0"/>
                  <w:divBdr>
                    <w:top w:val="none" w:sz="0" w:space="0" w:color="auto"/>
                    <w:left w:val="none" w:sz="0" w:space="0" w:color="auto"/>
                    <w:bottom w:val="none" w:sz="0" w:space="0" w:color="auto"/>
                    <w:right w:val="none" w:sz="0" w:space="0" w:color="auto"/>
                  </w:divBdr>
                  <w:divsChild>
                    <w:div w:id="1541237970">
                      <w:marLeft w:val="0"/>
                      <w:marRight w:val="0"/>
                      <w:marTop w:val="0"/>
                      <w:marBottom w:val="0"/>
                      <w:divBdr>
                        <w:top w:val="none" w:sz="0" w:space="0" w:color="auto"/>
                        <w:left w:val="none" w:sz="0" w:space="0" w:color="auto"/>
                        <w:bottom w:val="none" w:sz="0" w:space="0" w:color="auto"/>
                        <w:right w:val="none" w:sz="0" w:space="0" w:color="auto"/>
                      </w:divBdr>
                    </w:div>
                  </w:divsChild>
                </w:div>
                <w:div w:id="1611547461">
                  <w:marLeft w:val="0"/>
                  <w:marRight w:val="0"/>
                  <w:marTop w:val="0"/>
                  <w:marBottom w:val="0"/>
                  <w:divBdr>
                    <w:top w:val="none" w:sz="0" w:space="0" w:color="auto"/>
                    <w:left w:val="none" w:sz="0" w:space="0" w:color="auto"/>
                    <w:bottom w:val="none" w:sz="0" w:space="0" w:color="auto"/>
                    <w:right w:val="none" w:sz="0" w:space="0" w:color="auto"/>
                  </w:divBdr>
                  <w:divsChild>
                    <w:div w:id="1762675580">
                      <w:marLeft w:val="0"/>
                      <w:marRight w:val="0"/>
                      <w:marTop w:val="0"/>
                      <w:marBottom w:val="0"/>
                      <w:divBdr>
                        <w:top w:val="none" w:sz="0" w:space="0" w:color="auto"/>
                        <w:left w:val="none" w:sz="0" w:space="0" w:color="auto"/>
                        <w:bottom w:val="none" w:sz="0" w:space="0" w:color="auto"/>
                        <w:right w:val="none" w:sz="0" w:space="0" w:color="auto"/>
                      </w:divBdr>
                    </w:div>
                  </w:divsChild>
                </w:div>
                <w:div w:id="1713580421">
                  <w:marLeft w:val="0"/>
                  <w:marRight w:val="0"/>
                  <w:marTop w:val="0"/>
                  <w:marBottom w:val="0"/>
                  <w:divBdr>
                    <w:top w:val="none" w:sz="0" w:space="0" w:color="auto"/>
                    <w:left w:val="none" w:sz="0" w:space="0" w:color="auto"/>
                    <w:bottom w:val="none" w:sz="0" w:space="0" w:color="auto"/>
                    <w:right w:val="none" w:sz="0" w:space="0" w:color="auto"/>
                  </w:divBdr>
                  <w:divsChild>
                    <w:div w:id="2090806551">
                      <w:marLeft w:val="0"/>
                      <w:marRight w:val="0"/>
                      <w:marTop w:val="0"/>
                      <w:marBottom w:val="0"/>
                      <w:divBdr>
                        <w:top w:val="none" w:sz="0" w:space="0" w:color="auto"/>
                        <w:left w:val="none" w:sz="0" w:space="0" w:color="auto"/>
                        <w:bottom w:val="none" w:sz="0" w:space="0" w:color="auto"/>
                        <w:right w:val="none" w:sz="0" w:space="0" w:color="auto"/>
                      </w:divBdr>
                    </w:div>
                  </w:divsChild>
                </w:div>
                <w:div w:id="1745299648">
                  <w:marLeft w:val="0"/>
                  <w:marRight w:val="0"/>
                  <w:marTop w:val="0"/>
                  <w:marBottom w:val="0"/>
                  <w:divBdr>
                    <w:top w:val="none" w:sz="0" w:space="0" w:color="auto"/>
                    <w:left w:val="none" w:sz="0" w:space="0" w:color="auto"/>
                    <w:bottom w:val="none" w:sz="0" w:space="0" w:color="auto"/>
                    <w:right w:val="none" w:sz="0" w:space="0" w:color="auto"/>
                  </w:divBdr>
                  <w:divsChild>
                    <w:div w:id="797642962">
                      <w:marLeft w:val="0"/>
                      <w:marRight w:val="0"/>
                      <w:marTop w:val="0"/>
                      <w:marBottom w:val="0"/>
                      <w:divBdr>
                        <w:top w:val="none" w:sz="0" w:space="0" w:color="auto"/>
                        <w:left w:val="none" w:sz="0" w:space="0" w:color="auto"/>
                        <w:bottom w:val="none" w:sz="0" w:space="0" w:color="auto"/>
                        <w:right w:val="none" w:sz="0" w:space="0" w:color="auto"/>
                      </w:divBdr>
                    </w:div>
                  </w:divsChild>
                </w:div>
                <w:div w:id="1782527782">
                  <w:marLeft w:val="0"/>
                  <w:marRight w:val="0"/>
                  <w:marTop w:val="0"/>
                  <w:marBottom w:val="0"/>
                  <w:divBdr>
                    <w:top w:val="none" w:sz="0" w:space="0" w:color="auto"/>
                    <w:left w:val="none" w:sz="0" w:space="0" w:color="auto"/>
                    <w:bottom w:val="none" w:sz="0" w:space="0" w:color="auto"/>
                    <w:right w:val="none" w:sz="0" w:space="0" w:color="auto"/>
                  </w:divBdr>
                  <w:divsChild>
                    <w:div w:id="1503427619">
                      <w:marLeft w:val="0"/>
                      <w:marRight w:val="0"/>
                      <w:marTop w:val="0"/>
                      <w:marBottom w:val="0"/>
                      <w:divBdr>
                        <w:top w:val="none" w:sz="0" w:space="0" w:color="auto"/>
                        <w:left w:val="none" w:sz="0" w:space="0" w:color="auto"/>
                        <w:bottom w:val="none" w:sz="0" w:space="0" w:color="auto"/>
                        <w:right w:val="none" w:sz="0" w:space="0" w:color="auto"/>
                      </w:divBdr>
                    </w:div>
                  </w:divsChild>
                </w:div>
                <w:div w:id="1801415177">
                  <w:marLeft w:val="0"/>
                  <w:marRight w:val="0"/>
                  <w:marTop w:val="0"/>
                  <w:marBottom w:val="0"/>
                  <w:divBdr>
                    <w:top w:val="none" w:sz="0" w:space="0" w:color="auto"/>
                    <w:left w:val="none" w:sz="0" w:space="0" w:color="auto"/>
                    <w:bottom w:val="none" w:sz="0" w:space="0" w:color="auto"/>
                    <w:right w:val="none" w:sz="0" w:space="0" w:color="auto"/>
                  </w:divBdr>
                  <w:divsChild>
                    <w:div w:id="1572735873">
                      <w:marLeft w:val="0"/>
                      <w:marRight w:val="0"/>
                      <w:marTop w:val="0"/>
                      <w:marBottom w:val="0"/>
                      <w:divBdr>
                        <w:top w:val="none" w:sz="0" w:space="0" w:color="auto"/>
                        <w:left w:val="none" w:sz="0" w:space="0" w:color="auto"/>
                        <w:bottom w:val="none" w:sz="0" w:space="0" w:color="auto"/>
                        <w:right w:val="none" w:sz="0" w:space="0" w:color="auto"/>
                      </w:divBdr>
                    </w:div>
                  </w:divsChild>
                </w:div>
                <w:div w:id="1859538868">
                  <w:marLeft w:val="0"/>
                  <w:marRight w:val="0"/>
                  <w:marTop w:val="0"/>
                  <w:marBottom w:val="0"/>
                  <w:divBdr>
                    <w:top w:val="none" w:sz="0" w:space="0" w:color="auto"/>
                    <w:left w:val="none" w:sz="0" w:space="0" w:color="auto"/>
                    <w:bottom w:val="none" w:sz="0" w:space="0" w:color="auto"/>
                    <w:right w:val="none" w:sz="0" w:space="0" w:color="auto"/>
                  </w:divBdr>
                  <w:divsChild>
                    <w:div w:id="1342470412">
                      <w:marLeft w:val="0"/>
                      <w:marRight w:val="0"/>
                      <w:marTop w:val="0"/>
                      <w:marBottom w:val="0"/>
                      <w:divBdr>
                        <w:top w:val="none" w:sz="0" w:space="0" w:color="auto"/>
                        <w:left w:val="none" w:sz="0" w:space="0" w:color="auto"/>
                        <w:bottom w:val="none" w:sz="0" w:space="0" w:color="auto"/>
                        <w:right w:val="none" w:sz="0" w:space="0" w:color="auto"/>
                      </w:divBdr>
                    </w:div>
                  </w:divsChild>
                </w:div>
                <w:div w:id="1917670939">
                  <w:marLeft w:val="0"/>
                  <w:marRight w:val="0"/>
                  <w:marTop w:val="0"/>
                  <w:marBottom w:val="0"/>
                  <w:divBdr>
                    <w:top w:val="none" w:sz="0" w:space="0" w:color="auto"/>
                    <w:left w:val="none" w:sz="0" w:space="0" w:color="auto"/>
                    <w:bottom w:val="none" w:sz="0" w:space="0" w:color="auto"/>
                    <w:right w:val="none" w:sz="0" w:space="0" w:color="auto"/>
                  </w:divBdr>
                  <w:divsChild>
                    <w:div w:id="344092619">
                      <w:marLeft w:val="0"/>
                      <w:marRight w:val="0"/>
                      <w:marTop w:val="0"/>
                      <w:marBottom w:val="0"/>
                      <w:divBdr>
                        <w:top w:val="none" w:sz="0" w:space="0" w:color="auto"/>
                        <w:left w:val="none" w:sz="0" w:space="0" w:color="auto"/>
                        <w:bottom w:val="none" w:sz="0" w:space="0" w:color="auto"/>
                        <w:right w:val="none" w:sz="0" w:space="0" w:color="auto"/>
                      </w:divBdr>
                    </w:div>
                    <w:div w:id="1446384885">
                      <w:marLeft w:val="0"/>
                      <w:marRight w:val="0"/>
                      <w:marTop w:val="0"/>
                      <w:marBottom w:val="0"/>
                      <w:divBdr>
                        <w:top w:val="none" w:sz="0" w:space="0" w:color="auto"/>
                        <w:left w:val="none" w:sz="0" w:space="0" w:color="auto"/>
                        <w:bottom w:val="none" w:sz="0" w:space="0" w:color="auto"/>
                        <w:right w:val="none" w:sz="0" w:space="0" w:color="auto"/>
                      </w:divBdr>
                    </w:div>
                  </w:divsChild>
                </w:div>
                <w:div w:id="1971208549">
                  <w:marLeft w:val="0"/>
                  <w:marRight w:val="0"/>
                  <w:marTop w:val="0"/>
                  <w:marBottom w:val="0"/>
                  <w:divBdr>
                    <w:top w:val="none" w:sz="0" w:space="0" w:color="auto"/>
                    <w:left w:val="none" w:sz="0" w:space="0" w:color="auto"/>
                    <w:bottom w:val="none" w:sz="0" w:space="0" w:color="auto"/>
                    <w:right w:val="none" w:sz="0" w:space="0" w:color="auto"/>
                  </w:divBdr>
                  <w:divsChild>
                    <w:div w:id="88501235">
                      <w:marLeft w:val="0"/>
                      <w:marRight w:val="0"/>
                      <w:marTop w:val="0"/>
                      <w:marBottom w:val="0"/>
                      <w:divBdr>
                        <w:top w:val="none" w:sz="0" w:space="0" w:color="auto"/>
                        <w:left w:val="none" w:sz="0" w:space="0" w:color="auto"/>
                        <w:bottom w:val="none" w:sz="0" w:space="0" w:color="auto"/>
                        <w:right w:val="none" w:sz="0" w:space="0" w:color="auto"/>
                      </w:divBdr>
                    </w:div>
                  </w:divsChild>
                </w:div>
                <w:div w:id="2004434182">
                  <w:marLeft w:val="0"/>
                  <w:marRight w:val="0"/>
                  <w:marTop w:val="0"/>
                  <w:marBottom w:val="0"/>
                  <w:divBdr>
                    <w:top w:val="none" w:sz="0" w:space="0" w:color="auto"/>
                    <w:left w:val="none" w:sz="0" w:space="0" w:color="auto"/>
                    <w:bottom w:val="none" w:sz="0" w:space="0" w:color="auto"/>
                    <w:right w:val="none" w:sz="0" w:space="0" w:color="auto"/>
                  </w:divBdr>
                  <w:divsChild>
                    <w:div w:id="1123157449">
                      <w:marLeft w:val="0"/>
                      <w:marRight w:val="0"/>
                      <w:marTop w:val="0"/>
                      <w:marBottom w:val="0"/>
                      <w:divBdr>
                        <w:top w:val="none" w:sz="0" w:space="0" w:color="auto"/>
                        <w:left w:val="none" w:sz="0" w:space="0" w:color="auto"/>
                        <w:bottom w:val="none" w:sz="0" w:space="0" w:color="auto"/>
                        <w:right w:val="none" w:sz="0" w:space="0" w:color="auto"/>
                      </w:divBdr>
                    </w:div>
                  </w:divsChild>
                </w:div>
                <w:div w:id="2044480562">
                  <w:marLeft w:val="0"/>
                  <w:marRight w:val="0"/>
                  <w:marTop w:val="0"/>
                  <w:marBottom w:val="0"/>
                  <w:divBdr>
                    <w:top w:val="none" w:sz="0" w:space="0" w:color="auto"/>
                    <w:left w:val="none" w:sz="0" w:space="0" w:color="auto"/>
                    <w:bottom w:val="none" w:sz="0" w:space="0" w:color="auto"/>
                    <w:right w:val="none" w:sz="0" w:space="0" w:color="auto"/>
                  </w:divBdr>
                  <w:divsChild>
                    <w:div w:id="64838128">
                      <w:marLeft w:val="0"/>
                      <w:marRight w:val="0"/>
                      <w:marTop w:val="0"/>
                      <w:marBottom w:val="0"/>
                      <w:divBdr>
                        <w:top w:val="none" w:sz="0" w:space="0" w:color="auto"/>
                        <w:left w:val="none" w:sz="0" w:space="0" w:color="auto"/>
                        <w:bottom w:val="none" w:sz="0" w:space="0" w:color="auto"/>
                        <w:right w:val="none" w:sz="0" w:space="0" w:color="auto"/>
                      </w:divBdr>
                    </w:div>
                  </w:divsChild>
                </w:div>
                <w:div w:id="2053073333">
                  <w:marLeft w:val="0"/>
                  <w:marRight w:val="0"/>
                  <w:marTop w:val="0"/>
                  <w:marBottom w:val="0"/>
                  <w:divBdr>
                    <w:top w:val="none" w:sz="0" w:space="0" w:color="auto"/>
                    <w:left w:val="none" w:sz="0" w:space="0" w:color="auto"/>
                    <w:bottom w:val="none" w:sz="0" w:space="0" w:color="auto"/>
                    <w:right w:val="none" w:sz="0" w:space="0" w:color="auto"/>
                  </w:divBdr>
                  <w:divsChild>
                    <w:div w:id="101340209">
                      <w:marLeft w:val="0"/>
                      <w:marRight w:val="0"/>
                      <w:marTop w:val="0"/>
                      <w:marBottom w:val="0"/>
                      <w:divBdr>
                        <w:top w:val="none" w:sz="0" w:space="0" w:color="auto"/>
                        <w:left w:val="none" w:sz="0" w:space="0" w:color="auto"/>
                        <w:bottom w:val="none" w:sz="0" w:space="0" w:color="auto"/>
                        <w:right w:val="none" w:sz="0" w:space="0" w:color="auto"/>
                      </w:divBdr>
                    </w:div>
                  </w:divsChild>
                </w:div>
                <w:div w:id="2100329654">
                  <w:marLeft w:val="0"/>
                  <w:marRight w:val="0"/>
                  <w:marTop w:val="0"/>
                  <w:marBottom w:val="0"/>
                  <w:divBdr>
                    <w:top w:val="none" w:sz="0" w:space="0" w:color="auto"/>
                    <w:left w:val="none" w:sz="0" w:space="0" w:color="auto"/>
                    <w:bottom w:val="none" w:sz="0" w:space="0" w:color="auto"/>
                    <w:right w:val="none" w:sz="0" w:space="0" w:color="auto"/>
                  </w:divBdr>
                  <w:divsChild>
                    <w:div w:id="3830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723657">
          <w:marLeft w:val="0"/>
          <w:marRight w:val="0"/>
          <w:marTop w:val="0"/>
          <w:marBottom w:val="0"/>
          <w:divBdr>
            <w:top w:val="none" w:sz="0" w:space="0" w:color="auto"/>
            <w:left w:val="none" w:sz="0" w:space="0" w:color="auto"/>
            <w:bottom w:val="none" w:sz="0" w:space="0" w:color="auto"/>
            <w:right w:val="none" w:sz="0" w:space="0" w:color="auto"/>
          </w:divBdr>
          <w:divsChild>
            <w:div w:id="694622290">
              <w:marLeft w:val="0"/>
              <w:marRight w:val="0"/>
              <w:marTop w:val="0"/>
              <w:marBottom w:val="0"/>
              <w:divBdr>
                <w:top w:val="none" w:sz="0" w:space="0" w:color="auto"/>
                <w:left w:val="none" w:sz="0" w:space="0" w:color="auto"/>
                <w:bottom w:val="none" w:sz="0" w:space="0" w:color="auto"/>
                <w:right w:val="none" w:sz="0" w:space="0" w:color="auto"/>
              </w:divBdr>
            </w:div>
          </w:divsChild>
        </w:div>
        <w:div w:id="480851585">
          <w:marLeft w:val="0"/>
          <w:marRight w:val="0"/>
          <w:marTop w:val="0"/>
          <w:marBottom w:val="0"/>
          <w:divBdr>
            <w:top w:val="none" w:sz="0" w:space="0" w:color="auto"/>
            <w:left w:val="none" w:sz="0" w:space="0" w:color="auto"/>
            <w:bottom w:val="none" w:sz="0" w:space="0" w:color="auto"/>
            <w:right w:val="none" w:sz="0" w:space="0" w:color="auto"/>
          </w:divBdr>
          <w:divsChild>
            <w:div w:id="221213960">
              <w:marLeft w:val="0"/>
              <w:marRight w:val="0"/>
              <w:marTop w:val="0"/>
              <w:marBottom w:val="0"/>
              <w:divBdr>
                <w:top w:val="none" w:sz="0" w:space="0" w:color="auto"/>
                <w:left w:val="none" w:sz="0" w:space="0" w:color="auto"/>
                <w:bottom w:val="none" w:sz="0" w:space="0" w:color="auto"/>
                <w:right w:val="none" w:sz="0" w:space="0" w:color="auto"/>
              </w:divBdr>
            </w:div>
            <w:div w:id="519927711">
              <w:marLeft w:val="0"/>
              <w:marRight w:val="0"/>
              <w:marTop w:val="0"/>
              <w:marBottom w:val="0"/>
              <w:divBdr>
                <w:top w:val="none" w:sz="0" w:space="0" w:color="auto"/>
                <w:left w:val="none" w:sz="0" w:space="0" w:color="auto"/>
                <w:bottom w:val="none" w:sz="0" w:space="0" w:color="auto"/>
                <w:right w:val="none" w:sz="0" w:space="0" w:color="auto"/>
              </w:divBdr>
            </w:div>
            <w:div w:id="556824093">
              <w:marLeft w:val="0"/>
              <w:marRight w:val="0"/>
              <w:marTop w:val="0"/>
              <w:marBottom w:val="0"/>
              <w:divBdr>
                <w:top w:val="none" w:sz="0" w:space="0" w:color="auto"/>
                <w:left w:val="none" w:sz="0" w:space="0" w:color="auto"/>
                <w:bottom w:val="none" w:sz="0" w:space="0" w:color="auto"/>
                <w:right w:val="none" w:sz="0" w:space="0" w:color="auto"/>
              </w:divBdr>
            </w:div>
            <w:div w:id="1123964516">
              <w:marLeft w:val="0"/>
              <w:marRight w:val="0"/>
              <w:marTop w:val="0"/>
              <w:marBottom w:val="0"/>
              <w:divBdr>
                <w:top w:val="none" w:sz="0" w:space="0" w:color="auto"/>
                <w:left w:val="none" w:sz="0" w:space="0" w:color="auto"/>
                <w:bottom w:val="none" w:sz="0" w:space="0" w:color="auto"/>
                <w:right w:val="none" w:sz="0" w:space="0" w:color="auto"/>
              </w:divBdr>
            </w:div>
            <w:div w:id="1308822572">
              <w:marLeft w:val="0"/>
              <w:marRight w:val="0"/>
              <w:marTop w:val="0"/>
              <w:marBottom w:val="0"/>
              <w:divBdr>
                <w:top w:val="none" w:sz="0" w:space="0" w:color="auto"/>
                <w:left w:val="none" w:sz="0" w:space="0" w:color="auto"/>
                <w:bottom w:val="none" w:sz="0" w:space="0" w:color="auto"/>
                <w:right w:val="none" w:sz="0" w:space="0" w:color="auto"/>
              </w:divBdr>
            </w:div>
            <w:div w:id="1378818342">
              <w:marLeft w:val="0"/>
              <w:marRight w:val="0"/>
              <w:marTop w:val="0"/>
              <w:marBottom w:val="0"/>
              <w:divBdr>
                <w:top w:val="none" w:sz="0" w:space="0" w:color="auto"/>
                <w:left w:val="none" w:sz="0" w:space="0" w:color="auto"/>
                <w:bottom w:val="none" w:sz="0" w:space="0" w:color="auto"/>
                <w:right w:val="none" w:sz="0" w:space="0" w:color="auto"/>
              </w:divBdr>
            </w:div>
            <w:div w:id="1454785548">
              <w:marLeft w:val="0"/>
              <w:marRight w:val="0"/>
              <w:marTop w:val="0"/>
              <w:marBottom w:val="0"/>
              <w:divBdr>
                <w:top w:val="none" w:sz="0" w:space="0" w:color="auto"/>
                <w:left w:val="none" w:sz="0" w:space="0" w:color="auto"/>
                <w:bottom w:val="none" w:sz="0" w:space="0" w:color="auto"/>
                <w:right w:val="none" w:sz="0" w:space="0" w:color="auto"/>
              </w:divBdr>
            </w:div>
            <w:div w:id="1574773285">
              <w:marLeft w:val="0"/>
              <w:marRight w:val="0"/>
              <w:marTop w:val="0"/>
              <w:marBottom w:val="0"/>
              <w:divBdr>
                <w:top w:val="none" w:sz="0" w:space="0" w:color="auto"/>
                <w:left w:val="none" w:sz="0" w:space="0" w:color="auto"/>
                <w:bottom w:val="none" w:sz="0" w:space="0" w:color="auto"/>
                <w:right w:val="none" w:sz="0" w:space="0" w:color="auto"/>
              </w:divBdr>
            </w:div>
            <w:div w:id="1640450939">
              <w:marLeft w:val="0"/>
              <w:marRight w:val="0"/>
              <w:marTop w:val="0"/>
              <w:marBottom w:val="0"/>
              <w:divBdr>
                <w:top w:val="none" w:sz="0" w:space="0" w:color="auto"/>
                <w:left w:val="none" w:sz="0" w:space="0" w:color="auto"/>
                <w:bottom w:val="none" w:sz="0" w:space="0" w:color="auto"/>
                <w:right w:val="none" w:sz="0" w:space="0" w:color="auto"/>
              </w:divBdr>
            </w:div>
            <w:div w:id="1806659482">
              <w:marLeft w:val="0"/>
              <w:marRight w:val="0"/>
              <w:marTop w:val="0"/>
              <w:marBottom w:val="0"/>
              <w:divBdr>
                <w:top w:val="none" w:sz="0" w:space="0" w:color="auto"/>
                <w:left w:val="none" w:sz="0" w:space="0" w:color="auto"/>
                <w:bottom w:val="none" w:sz="0" w:space="0" w:color="auto"/>
                <w:right w:val="none" w:sz="0" w:space="0" w:color="auto"/>
              </w:divBdr>
            </w:div>
          </w:divsChild>
        </w:div>
        <w:div w:id="483205269">
          <w:marLeft w:val="0"/>
          <w:marRight w:val="0"/>
          <w:marTop w:val="0"/>
          <w:marBottom w:val="0"/>
          <w:divBdr>
            <w:top w:val="none" w:sz="0" w:space="0" w:color="auto"/>
            <w:left w:val="none" w:sz="0" w:space="0" w:color="auto"/>
            <w:bottom w:val="none" w:sz="0" w:space="0" w:color="auto"/>
            <w:right w:val="none" w:sz="0" w:space="0" w:color="auto"/>
          </w:divBdr>
        </w:div>
        <w:div w:id="485435187">
          <w:marLeft w:val="0"/>
          <w:marRight w:val="0"/>
          <w:marTop w:val="0"/>
          <w:marBottom w:val="0"/>
          <w:divBdr>
            <w:top w:val="none" w:sz="0" w:space="0" w:color="auto"/>
            <w:left w:val="none" w:sz="0" w:space="0" w:color="auto"/>
            <w:bottom w:val="none" w:sz="0" w:space="0" w:color="auto"/>
            <w:right w:val="none" w:sz="0" w:space="0" w:color="auto"/>
          </w:divBdr>
          <w:divsChild>
            <w:div w:id="694962385">
              <w:marLeft w:val="-75"/>
              <w:marRight w:val="0"/>
              <w:marTop w:val="30"/>
              <w:marBottom w:val="30"/>
              <w:divBdr>
                <w:top w:val="none" w:sz="0" w:space="0" w:color="auto"/>
                <w:left w:val="none" w:sz="0" w:space="0" w:color="auto"/>
                <w:bottom w:val="none" w:sz="0" w:space="0" w:color="auto"/>
                <w:right w:val="none" w:sz="0" w:space="0" w:color="auto"/>
              </w:divBdr>
              <w:divsChild>
                <w:div w:id="198665183">
                  <w:marLeft w:val="0"/>
                  <w:marRight w:val="0"/>
                  <w:marTop w:val="0"/>
                  <w:marBottom w:val="0"/>
                  <w:divBdr>
                    <w:top w:val="none" w:sz="0" w:space="0" w:color="auto"/>
                    <w:left w:val="none" w:sz="0" w:space="0" w:color="auto"/>
                    <w:bottom w:val="none" w:sz="0" w:space="0" w:color="auto"/>
                    <w:right w:val="none" w:sz="0" w:space="0" w:color="auto"/>
                  </w:divBdr>
                  <w:divsChild>
                    <w:div w:id="1229850581">
                      <w:marLeft w:val="0"/>
                      <w:marRight w:val="0"/>
                      <w:marTop w:val="0"/>
                      <w:marBottom w:val="0"/>
                      <w:divBdr>
                        <w:top w:val="none" w:sz="0" w:space="0" w:color="auto"/>
                        <w:left w:val="none" w:sz="0" w:space="0" w:color="auto"/>
                        <w:bottom w:val="none" w:sz="0" w:space="0" w:color="auto"/>
                        <w:right w:val="none" w:sz="0" w:space="0" w:color="auto"/>
                      </w:divBdr>
                    </w:div>
                  </w:divsChild>
                </w:div>
                <w:div w:id="426996947">
                  <w:marLeft w:val="0"/>
                  <w:marRight w:val="0"/>
                  <w:marTop w:val="0"/>
                  <w:marBottom w:val="0"/>
                  <w:divBdr>
                    <w:top w:val="none" w:sz="0" w:space="0" w:color="auto"/>
                    <w:left w:val="none" w:sz="0" w:space="0" w:color="auto"/>
                    <w:bottom w:val="none" w:sz="0" w:space="0" w:color="auto"/>
                    <w:right w:val="none" w:sz="0" w:space="0" w:color="auto"/>
                  </w:divBdr>
                  <w:divsChild>
                    <w:div w:id="72050896">
                      <w:marLeft w:val="0"/>
                      <w:marRight w:val="0"/>
                      <w:marTop w:val="0"/>
                      <w:marBottom w:val="0"/>
                      <w:divBdr>
                        <w:top w:val="none" w:sz="0" w:space="0" w:color="auto"/>
                        <w:left w:val="none" w:sz="0" w:space="0" w:color="auto"/>
                        <w:bottom w:val="none" w:sz="0" w:space="0" w:color="auto"/>
                        <w:right w:val="none" w:sz="0" w:space="0" w:color="auto"/>
                      </w:divBdr>
                    </w:div>
                  </w:divsChild>
                </w:div>
                <w:div w:id="579172324">
                  <w:marLeft w:val="0"/>
                  <w:marRight w:val="0"/>
                  <w:marTop w:val="0"/>
                  <w:marBottom w:val="0"/>
                  <w:divBdr>
                    <w:top w:val="none" w:sz="0" w:space="0" w:color="auto"/>
                    <w:left w:val="none" w:sz="0" w:space="0" w:color="auto"/>
                    <w:bottom w:val="none" w:sz="0" w:space="0" w:color="auto"/>
                    <w:right w:val="none" w:sz="0" w:space="0" w:color="auto"/>
                  </w:divBdr>
                  <w:divsChild>
                    <w:div w:id="2118522635">
                      <w:marLeft w:val="0"/>
                      <w:marRight w:val="0"/>
                      <w:marTop w:val="0"/>
                      <w:marBottom w:val="0"/>
                      <w:divBdr>
                        <w:top w:val="none" w:sz="0" w:space="0" w:color="auto"/>
                        <w:left w:val="none" w:sz="0" w:space="0" w:color="auto"/>
                        <w:bottom w:val="none" w:sz="0" w:space="0" w:color="auto"/>
                        <w:right w:val="none" w:sz="0" w:space="0" w:color="auto"/>
                      </w:divBdr>
                    </w:div>
                  </w:divsChild>
                </w:div>
                <w:div w:id="642662079">
                  <w:marLeft w:val="0"/>
                  <w:marRight w:val="0"/>
                  <w:marTop w:val="0"/>
                  <w:marBottom w:val="0"/>
                  <w:divBdr>
                    <w:top w:val="none" w:sz="0" w:space="0" w:color="auto"/>
                    <w:left w:val="none" w:sz="0" w:space="0" w:color="auto"/>
                    <w:bottom w:val="none" w:sz="0" w:space="0" w:color="auto"/>
                    <w:right w:val="none" w:sz="0" w:space="0" w:color="auto"/>
                  </w:divBdr>
                  <w:divsChild>
                    <w:div w:id="89132704">
                      <w:marLeft w:val="0"/>
                      <w:marRight w:val="0"/>
                      <w:marTop w:val="0"/>
                      <w:marBottom w:val="0"/>
                      <w:divBdr>
                        <w:top w:val="none" w:sz="0" w:space="0" w:color="auto"/>
                        <w:left w:val="none" w:sz="0" w:space="0" w:color="auto"/>
                        <w:bottom w:val="none" w:sz="0" w:space="0" w:color="auto"/>
                        <w:right w:val="none" w:sz="0" w:space="0" w:color="auto"/>
                      </w:divBdr>
                    </w:div>
                  </w:divsChild>
                </w:div>
                <w:div w:id="932936680">
                  <w:marLeft w:val="0"/>
                  <w:marRight w:val="0"/>
                  <w:marTop w:val="0"/>
                  <w:marBottom w:val="0"/>
                  <w:divBdr>
                    <w:top w:val="none" w:sz="0" w:space="0" w:color="auto"/>
                    <w:left w:val="none" w:sz="0" w:space="0" w:color="auto"/>
                    <w:bottom w:val="none" w:sz="0" w:space="0" w:color="auto"/>
                    <w:right w:val="none" w:sz="0" w:space="0" w:color="auto"/>
                  </w:divBdr>
                  <w:divsChild>
                    <w:div w:id="2109425320">
                      <w:marLeft w:val="0"/>
                      <w:marRight w:val="0"/>
                      <w:marTop w:val="0"/>
                      <w:marBottom w:val="0"/>
                      <w:divBdr>
                        <w:top w:val="none" w:sz="0" w:space="0" w:color="auto"/>
                        <w:left w:val="none" w:sz="0" w:space="0" w:color="auto"/>
                        <w:bottom w:val="none" w:sz="0" w:space="0" w:color="auto"/>
                        <w:right w:val="none" w:sz="0" w:space="0" w:color="auto"/>
                      </w:divBdr>
                    </w:div>
                  </w:divsChild>
                </w:div>
                <w:div w:id="1181361345">
                  <w:marLeft w:val="0"/>
                  <w:marRight w:val="0"/>
                  <w:marTop w:val="0"/>
                  <w:marBottom w:val="0"/>
                  <w:divBdr>
                    <w:top w:val="none" w:sz="0" w:space="0" w:color="auto"/>
                    <w:left w:val="none" w:sz="0" w:space="0" w:color="auto"/>
                    <w:bottom w:val="none" w:sz="0" w:space="0" w:color="auto"/>
                    <w:right w:val="none" w:sz="0" w:space="0" w:color="auto"/>
                  </w:divBdr>
                  <w:divsChild>
                    <w:div w:id="124075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89441">
          <w:marLeft w:val="0"/>
          <w:marRight w:val="0"/>
          <w:marTop w:val="0"/>
          <w:marBottom w:val="0"/>
          <w:divBdr>
            <w:top w:val="none" w:sz="0" w:space="0" w:color="auto"/>
            <w:left w:val="none" w:sz="0" w:space="0" w:color="auto"/>
            <w:bottom w:val="none" w:sz="0" w:space="0" w:color="auto"/>
            <w:right w:val="none" w:sz="0" w:space="0" w:color="auto"/>
          </w:divBdr>
          <w:divsChild>
            <w:div w:id="433865693">
              <w:marLeft w:val="-75"/>
              <w:marRight w:val="0"/>
              <w:marTop w:val="30"/>
              <w:marBottom w:val="30"/>
              <w:divBdr>
                <w:top w:val="none" w:sz="0" w:space="0" w:color="auto"/>
                <w:left w:val="none" w:sz="0" w:space="0" w:color="auto"/>
                <w:bottom w:val="none" w:sz="0" w:space="0" w:color="auto"/>
                <w:right w:val="none" w:sz="0" w:space="0" w:color="auto"/>
              </w:divBdr>
              <w:divsChild>
                <w:div w:id="362563239">
                  <w:marLeft w:val="0"/>
                  <w:marRight w:val="0"/>
                  <w:marTop w:val="0"/>
                  <w:marBottom w:val="0"/>
                  <w:divBdr>
                    <w:top w:val="none" w:sz="0" w:space="0" w:color="auto"/>
                    <w:left w:val="none" w:sz="0" w:space="0" w:color="auto"/>
                    <w:bottom w:val="none" w:sz="0" w:space="0" w:color="auto"/>
                    <w:right w:val="none" w:sz="0" w:space="0" w:color="auto"/>
                  </w:divBdr>
                  <w:divsChild>
                    <w:div w:id="591204527">
                      <w:marLeft w:val="0"/>
                      <w:marRight w:val="0"/>
                      <w:marTop w:val="0"/>
                      <w:marBottom w:val="0"/>
                      <w:divBdr>
                        <w:top w:val="none" w:sz="0" w:space="0" w:color="auto"/>
                        <w:left w:val="none" w:sz="0" w:space="0" w:color="auto"/>
                        <w:bottom w:val="none" w:sz="0" w:space="0" w:color="auto"/>
                        <w:right w:val="none" w:sz="0" w:space="0" w:color="auto"/>
                      </w:divBdr>
                    </w:div>
                  </w:divsChild>
                </w:div>
                <w:div w:id="508300923">
                  <w:marLeft w:val="0"/>
                  <w:marRight w:val="0"/>
                  <w:marTop w:val="0"/>
                  <w:marBottom w:val="0"/>
                  <w:divBdr>
                    <w:top w:val="none" w:sz="0" w:space="0" w:color="auto"/>
                    <w:left w:val="none" w:sz="0" w:space="0" w:color="auto"/>
                    <w:bottom w:val="none" w:sz="0" w:space="0" w:color="auto"/>
                    <w:right w:val="none" w:sz="0" w:space="0" w:color="auto"/>
                  </w:divBdr>
                  <w:divsChild>
                    <w:div w:id="620889022">
                      <w:marLeft w:val="0"/>
                      <w:marRight w:val="0"/>
                      <w:marTop w:val="0"/>
                      <w:marBottom w:val="0"/>
                      <w:divBdr>
                        <w:top w:val="none" w:sz="0" w:space="0" w:color="auto"/>
                        <w:left w:val="none" w:sz="0" w:space="0" w:color="auto"/>
                        <w:bottom w:val="none" w:sz="0" w:space="0" w:color="auto"/>
                        <w:right w:val="none" w:sz="0" w:space="0" w:color="auto"/>
                      </w:divBdr>
                    </w:div>
                  </w:divsChild>
                </w:div>
                <w:div w:id="600839833">
                  <w:marLeft w:val="0"/>
                  <w:marRight w:val="0"/>
                  <w:marTop w:val="0"/>
                  <w:marBottom w:val="0"/>
                  <w:divBdr>
                    <w:top w:val="none" w:sz="0" w:space="0" w:color="auto"/>
                    <w:left w:val="none" w:sz="0" w:space="0" w:color="auto"/>
                    <w:bottom w:val="none" w:sz="0" w:space="0" w:color="auto"/>
                    <w:right w:val="none" w:sz="0" w:space="0" w:color="auto"/>
                  </w:divBdr>
                  <w:divsChild>
                    <w:div w:id="777455904">
                      <w:marLeft w:val="0"/>
                      <w:marRight w:val="0"/>
                      <w:marTop w:val="0"/>
                      <w:marBottom w:val="0"/>
                      <w:divBdr>
                        <w:top w:val="none" w:sz="0" w:space="0" w:color="auto"/>
                        <w:left w:val="none" w:sz="0" w:space="0" w:color="auto"/>
                        <w:bottom w:val="none" w:sz="0" w:space="0" w:color="auto"/>
                        <w:right w:val="none" w:sz="0" w:space="0" w:color="auto"/>
                      </w:divBdr>
                    </w:div>
                  </w:divsChild>
                </w:div>
                <w:div w:id="995648896">
                  <w:marLeft w:val="0"/>
                  <w:marRight w:val="0"/>
                  <w:marTop w:val="0"/>
                  <w:marBottom w:val="0"/>
                  <w:divBdr>
                    <w:top w:val="none" w:sz="0" w:space="0" w:color="auto"/>
                    <w:left w:val="none" w:sz="0" w:space="0" w:color="auto"/>
                    <w:bottom w:val="none" w:sz="0" w:space="0" w:color="auto"/>
                    <w:right w:val="none" w:sz="0" w:space="0" w:color="auto"/>
                  </w:divBdr>
                  <w:divsChild>
                    <w:div w:id="1175923700">
                      <w:marLeft w:val="0"/>
                      <w:marRight w:val="0"/>
                      <w:marTop w:val="0"/>
                      <w:marBottom w:val="0"/>
                      <w:divBdr>
                        <w:top w:val="none" w:sz="0" w:space="0" w:color="auto"/>
                        <w:left w:val="none" w:sz="0" w:space="0" w:color="auto"/>
                        <w:bottom w:val="none" w:sz="0" w:space="0" w:color="auto"/>
                        <w:right w:val="none" w:sz="0" w:space="0" w:color="auto"/>
                      </w:divBdr>
                    </w:div>
                  </w:divsChild>
                </w:div>
                <w:div w:id="1479689629">
                  <w:marLeft w:val="0"/>
                  <w:marRight w:val="0"/>
                  <w:marTop w:val="0"/>
                  <w:marBottom w:val="0"/>
                  <w:divBdr>
                    <w:top w:val="none" w:sz="0" w:space="0" w:color="auto"/>
                    <w:left w:val="none" w:sz="0" w:space="0" w:color="auto"/>
                    <w:bottom w:val="none" w:sz="0" w:space="0" w:color="auto"/>
                    <w:right w:val="none" w:sz="0" w:space="0" w:color="auto"/>
                  </w:divBdr>
                  <w:divsChild>
                    <w:div w:id="48382926">
                      <w:marLeft w:val="0"/>
                      <w:marRight w:val="0"/>
                      <w:marTop w:val="0"/>
                      <w:marBottom w:val="0"/>
                      <w:divBdr>
                        <w:top w:val="none" w:sz="0" w:space="0" w:color="auto"/>
                        <w:left w:val="none" w:sz="0" w:space="0" w:color="auto"/>
                        <w:bottom w:val="none" w:sz="0" w:space="0" w:color="auto"/>
                        <w:right w:val="none" w:sz="0" w:space="0" w:color="auto"/>
                      </w:divBdr>
                    </w:div>
                  </w:divsChild>
                </w:div>
                <w:div w:id="1946690780">
                  <w:marLeft w:val="0"/>
                  <w:marRight w:val="0"/>
                  <w:marTop w:val="0"/>
                  <w:marBottom w:val="0"/>
                  <w:divBdr>
                    <w:top w:val="none" w:sz="0" w:space="0" w:color="auto"/>
                    <w:left w:val="none" w:sz="0" w:space="0" w:color="auto"/>
                    <w:bottom w:val="none" w:sz="0" w:space="0" w:color="auto"/>
                    <w:right w:val="none" w:sz="0" w:space="0" w:color="auto"/>
                  </w:divBdr>
                  <w:divsChild>
                    <w:div w:id="34709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201869">
          <w:marLeft w:val="0"/>
          <w:marRight w:val="0"/>
          <w:marTop w:val="0"/>
          <w:marBottom w:val="0"/>
          <w:divBdr>
            <w:top w:val="none" w:sz="0" w:space="0" w:color="auto"/>
            <w:left w:val="none" w:sz="0" w:space="0" w:color="auto"/>
            <w:bottom w:val="none" w:sz="0" w:space="0" w:color="auto"/>
            <w:right w:val="none" w:sz="0" w:space="0" w:color="auto"/>
          </w:divBdr>
          <w:divsChild>
            <w:div w:id="481626783">
              <w:marLeft w:val="0"/>
              <w:marRight w:val="0"/>
              <w:marTop w:val="0"/>
              <w:marBottom w:val="0"/>
              <w:divBdr>
                <w:top w:val="none" w:sz="0" w:space="0" w:color="auto"/>
                <w:left w:val="none" w:sz="0" w:space="0" w:color="auto"/>
                <w:bottom w:val="none" w:sz="0" w:space="0" w:color="auto"/>
                <w:right w:val="none" w:sz="0" w:space="0" w:color="auto"/>
              </w:divBdr>
            </w:div>
            <w:div w:id="637417112">
              <w:marLeft w:val="0"/>
              <w:marRight w:val="0"/>
              <w:marTop w:val="0"/>
              <w:marBottom w:val="0"/>
              <w:divBdr>
                <w:top w:val="none" w:sz="0" w:space="0" w:color="auto"/>
                <w:left w:val="none" w:sz="0" w:space="0" w:color="auto"/>
                <w:bottom w:val="none" w:sz="0" w:space="0" w:color="auto"/>
                <w:right w:val="none" w:sz="0" w:space="0" w:color="auto"/>
              </w:divBdr>
            </w:div>
            <w:div w:id="819808443">
              <w:marLeft w:val="0"/>
              <w:marRight w:val="0"/>
              <w:marTop w:val="0"/>
              <w:marBottom w:val="0"/>
              <w:divBdr>
                <w:top w:val="none" w:sz="0" w:space="0" w:color="auto"/>
                <w:left w:val="none" w:sz="0" w:space="0" w:color="auto"/>
                <w:bottom w:val="none" w:sz="0" w:space="0" w:color="auto"/>
                <w:right w:val="none" w:sz="0" w:space="0" w:color="auto"/>
              </w:divBdr>
            </w:div>
            <w:div w:id="999163028">
              <w:marLeft w:val="0"/>
              <w:marRight w:val="0"/>
              <w:marTop w:val="0"/>
              <w:marBottom w:val="0"/>
              <w:divBdr>
                <w:top w:val="none" w:sz="0" w:space="0" w:color="auto"/>
                <w:left w:val="none" w:sz="0" w:space="0" w:color="auto"/>
                <w:bottom w:val="none" w:sz="0" w:space="0" w:color="auto"/>
                <w:right w:val="none" w:sz="0" w:space="0" w:color="auto"/>
              </w:divBdr>
            </w:div>
            <w:div w:id="1150101510">
              <w:marLeft w:val="0"/>
              <w:marRight w:val="0"/>
              <w:marTop w:val="0"/>
              <w:marBottom w:val="0"/>
              <w:divBdr>
                <w:top w:val="none" w:sz="0" w:space="0" w:color="auto"/>
                <w:left w:val="none" w:sz="0" w:space="0" w:color="auto"/>
                <w:bottom w:val="none" w:sz="0" w:space="0" w:color="auto"/>
                <w:right w:val="none" w:sz="0" w:space="0" w:color="auto"/>
              </w:divBdr>
            </w:div>
            <w:div w:id="1563251338">
              <w:marLeft w:val="0"/>
              <w:marRight w:val="0"/>
              <w:marTop w:val="0"/>
              <w:marBottom w:val="0"/>
              <w:divBdr>
                <w:top w:val="none" w:sz="0" w:space="0" w:color="auto"/>
                <w:left w:val="none" w:sz="0" w:space="0" w:color="auto"/>
                <w:bottom w:val="none" w:sz="0" w:space="0" w:color="auto"/>
                <w:right w:val="none" w:sz="0" w:space="0" w:color="auto"/>
              </w:divBdr>
            </w:div>
            <w:div w:id="1600213155">
              <w:marLeft w:val="0"/>
              <w:marRight w:val="0"/>
              <w:marTop w:val="0"/>
              <w:marBottom w:val="0"/>
              <w:divBdr>
                <w:top w:val="none" w:sz="0" w:space="0" w:color="auto"/>
                <w:left w:val="none" w:sz="0" w:space="0" w:color="auto"/>
                <w:bottom w:val="none" w:sz="0" w:space="0" w:color="auto"/>
                <w:right w:val="none" w:sz="0" w:space="0" w:color="auto"/>
              </w:divBdr>
            </w:div>
            <w:div w:id="1860389204">
              <w:marLeft w:val="0"/>
              <w:marRight w:val="0"/>
              <w:marTop w:val="0"/>
              <w:marBottom w:val="0"/>
              <w:divBdr>
                <w:top w:val="none" w:sz="0" w:space="0" w:color="auto"/>
                <w:left w:val="none" w:sz="0" w:space="0" w:color="auto"/>
                <w:bottom w:val="none" w:sz="0" w:space="0" w:color="auto"/>
                <w:right w:val="none" w:sz="0" w:space="0" w:color="auto"/>
              </w:divBdr>
            </w:div>
            <w:div w:id="1929540881">
              <w:marLeft w:val="0"/>
              <w:marRight w:val="0"/>
              <w:marTop w:val="0"/>
              <w:marBottom w:val="0"/>
              <w:divBdr>
                <w:top w:val="none" w:sz="0" w:space="0" w:color="auto"/>
                <w:left w:val="none" w:sz="0" w:space="0" w:color="auto"/>
                <w:bottom w:val="none" w:sz="0" w:space="0" w:color="auto"/>
                <w:right w:val="none" w:sz="0" w:space="0" w:color="auto"/>
              </w:divBdr>
            </w:div>
            <w:div w:id="1969819548">
              <w:marLeft w:val="0"/>
              <w:marRight w:val="0"/>
              <w:marTop w:val="0"/>
              <w:marBottom w:val="0"/>
              <w:divBdr>
                <w:top w:val="none" w:sz="0" w:space="0" w:color="auto"/>
                <w:left w:val="none" w:sz="0" w:space="0" w:color="auto"/>
                <w:bottom w:val="none" w:sz="0" w:space="0" w:color="auto"/>
                <w:right w:val="none" w:sz="0" w:space="0" w:color="auto"/>
              </w:divBdr>
            </w:div>
            <w:div w:id="2021078072">
              <w:marLeft w:val="0"/>
              <w:marRight w:val="0"/>
              <w:marTop w:val="0"/>
              <w:marBottom w:val="0"/>
              <w:divBdr>
                <w:top w:val="none" w:sz="0" w:space="0" w:color="auto"/>
                <w:left w:val="none" w:sz="0" w:space="0" w:color="auto"/>
                <w:bottom w:val="none" w:sz="0" w:space="0" w:color="auto"/>
                <w:right w:val="none" w:sz="0" w:space="0" w:color="auto"/>
              </w:divBdr>
            </w:div>
          </w:divsChild>
        </w:div>
        <w:div w:id="506166952">
          <w:marLeft w:val="0"/>
          <w:marRight w:val="0"/>
          <w:marTop w:val="0"/>
          <w:marBottom w:val="0"/>
          <w:divBdr>
            <w:top w:val="none" w:sz="0" w:space="0" w:color="auto"/>
            <w:left w:val="none" w:sz="0" w:space="0" w:color="auto"/>
            <w:bottom w:val="none" w:sz="0" w:space="0" w:color="auto"/>
            <w:right w:val="none" w:sz="0" w:space="0" w:color="auto"/>
          </w:divBdr>
          <w:divsChild>
            <w:div w:id="915014166">
              <w:marLeft w:val="-75"/>
              <w:marRight w:val="0"/>
              <w:marTop w:val="30"/>
              <w:marBottom w:val="30"/>
              <w:divBdr>
                <w:top w:val="none" w:sz="0" w:space="0" w:color="auto"/>
                <w:left w:val="none" w:sz="0" w:space="0" w:color="auto"/>
                <w:bottom w:val="none" w:sz="0" w:space="0" w:color="auto"/>
                <w:right w:val="none" w:sz="0" w:space="0" w:color="auto"/>
              </w:divBdr>
              <w:divsChild>
                <w:div w:id="77795029">
                  <w:marLeft w:val="0"/>
                  <w:marRight w:val="0"/>
                  <w:marTop w:val="0"/>
                  <w:marBottom w:val="0"/>
                  <w:divBdr>
                    <w:top w:val="none" w:sz="0" w:space="0" w:color="auto"/>
                    <w:left w:val="none" w:sz="0" w:space="0" w:color="auto"/>
                    <w:bottom w:val="none" w:sz="0" w:space="0" w:color="auto"/>
                    <w:right w:val="none" w:sz="0" w:space="0" w:color="auto"/>
                  </w:divBdr>
                  <w:divsChild>
                    <w:div w:id="1136222325">
                      <w:marLeft w:val="0"/>
                      <w:marRight w:val="0"/>
                      <w:marTop w:val="0"/>
                      <w:marBottom w:val="0"/>
                      <w:divBdr>
                        <w:top w:val="none" w:sz="0" w:space="0" w:color="auto"/>
                        <w:left w:val="none" w:sz="0" w:space="0" w:color="auto"/>
                        <w:bottom w:val="none" w:sz="0" w:space="0" w:color="auto"/>
                        <w:right w:val="none" w:sz="0" w:space="0" w:color="auto"/>
                      </w:divBdr>
                    </w:div>
                  </w:divsChild>
                </w:div>
                <w:div w:id="232280546">
                  <w:marLeft w:val="0"/>
                  <w:marRight w:val="0"/>
                  <w:marTop w:val="0"/>
                  <w:marBottom w:val="0"/>
                  <w:divBdr>
                    <w:top w:val="none" w:sz="0" w:space="0" w:color="auto"/>
                    <w:left w:val="none" w:sz="0" w:space="0" w:color="auto"/>
                    <w:bottom w:val="none" w:sz="0" w:space="0" w:color="auto"/>
                    <w:right w:val="none" w:sz="0" w:space="0" w:color="auto"/>
                  </w:divBdr>
                  <w:divsChild>
                    <w:div w:id="1451432578">
                      <w:marLeft w:val="0"/>
                      <w:marRight w:val="0"/>
                      <w:marTop w:val="0"/>
                      <w:marBottom w:val="0"/>
                      <w:divBdr>
                        <w:top w:val="none" w:sz="0" w:space="0" w:color="auto"/>
                        <w:left w:val="none" w:sz="0" w:space="0" w:color="auto"/>
                        <w:bottom w:val="none" w:sz="0" w:space="0" w:color="auto"/>
                        <w:right w:val="none" w:sz="0" w:space="0" w:color="auto"/>
                      </w:divBdr>
                    </w:div>
                  </w:divsChild>
                </w:div>
                <w:div w:id="258409696">
                  <w:marLeft w:val="0"/>
                  <w:marRight w:val="0"/>
                  <w:marTop w:val="0"/>
                  <w:marBottom w:val="0"/>
                  <w:divBdr>
                    <w:top w:val="none" w:sz="0" w:space="0" w:color="auto"/>
                    <w:left w:val="none" w:sz="0" w:space="0" w:color="auto"/>
                    <w:bottom w:val="none" w:sz="0" w:space="0" w:color="auto"/>
                    <w:right w:val="none" w:sz="0" w:space="0" w:color="auto"/>
                  </w:divBdr>
                  <w:divsChild>
                    <w:div w:id="1451169997">
                      <w:marLeft w:val="0"/>
                      <w:marRight w:val="0"/>
                      <w:marTop w:val="0"/>
                      <w:marBottom w:val="0"/>
                      <w:divBdr>
                        <w:top w:val="none" w:sz="0" w:space="0" w:color="auto"/>
                        <w:left w:val="none" w:sz="0" w:space="0" w:color="auto"/>
                        <w:bottom w:val="none" w:sz="0" w:space="0" w:color="auto"/>
                        <w:right w:val="none" w:sz="0" w:space="0" w:color="auto"/>
                      </w:divBdr>
                    </w:div>
                  </w:divsChild>
                </w:div>
                <w:div w:id="283464322">
                  <w:marLeft w:val="0"/>
                  <w:marRight w:val="0"/>
                  <w:marTop w:val="0"/>
                  <w:marBottom w:val="0"/>
                  <w:divBdr>
                    <w:top w:val="none" w:sz="0" w:space="0" w:color="auto"/>
                    <w:left w:val="none" w:sz="0" w:space="0" w:color="auto"/>
                    <w:bottom w:val="none" w:sz="0" w:space="0" w:color="auto"/>
                    <w:right w:val="none" w:sz="0" w:space="0" w:color="auto"/>
                  </w:divBdr>
                  <w:divsChild>
                    <w:div w:id="152644421">
                      <w:marLeft w:val="0"/>
                      <w:marRight w:val="0"/>
                      <w:marTop w:val="0"/>
                      <w:marBottom w:val="0"/>
                      <w:divBdr>
                        <w:top w:val="none" w:sz="0" w:space="0" w:color="auto"/>
                        <w:left w:val="none" w:sz="0" w:space="0" w:color="auto"/>
                        <w:bottom w:val="none" w:sz="0" w:space="0" w:color="auto"/>
                        <w:right w:val="none" w:sz="0" w:space="0" w:color="auto"/>
                      </w:divBdr>
                    </w:div>
                  </w:divsChild>
                </w:div>
                <w:div w:id="539712416">
                  <w:marLeft w:val="0"/>
                  <w:marRight w:val="0"/>
                  <w:marTop w:val="0"/>
                  <w:marBottom w:val="0"/>
                  <w:divBdr>
                    <w:top w:val="none" w:sz="0" w:space="0" w:color="auto"/>
                    <w:left w:val="none" w:sz="0" w:space="0" w:color="auto"/>
                    <w:bottom w:val="none" w:sz="0" w:space="0" w:color="auto"/>
                    <w:right w:val="none" w:sz="0" w:space="0" w:color="auto"/>
                  </w:divBdr>
                  <w:divsChild>
                    <w:div w:id="1449739640">
                      <w:marLeft w:val="0"/>
                      <w:marRight w:val="0"/>
                      <w:marTop w:val="0"/>
                      <w:marBottom w:val="0"/>
                      <w:divBdr>
                        <w:top w:val="none" w:sz="0" w:space="0" w:color="auto"/>
                        <w:left w:val="none" w:sz="0" w:space="0" w:color="auto"/>
                        <w:bottom w:val="none" w:sz="0" w:space="0" w:color="auto"/>
                        <w:right w:val="none" w:sz="0" w:space="0" w:color="auto"/>
                      </w:divBdr>
                    </w:div>
                  </w:divsChild>
                </w:div>
                <w:div w:id="711079883">
                  <w:marLeft w:val="0"/>
                  <w:marRight w:val="0"/>
                  <w:marTop w:val="0"/>
                  <w:marBottom w:val="0"/>
                  <w:divBdr>
                    <w:top w:val="none" w:sz="0" w:space="0" w:color="auto"/>
                    <w:left w:val="none" w:sz="0" w:space="0" w:color="auto"/>
                    <w:bottom w:val="none" w:sz="0" w:space="0" w:color="auto"/>
                    <w:right w:val="none" w:sz="0" w:space="0" w:color="auto"/>
                  </w:divBdr>
                  <w:divsChild>
                    <w:div w:id="1368070160">
                      <w:marLeft w:val="0"/>
                      <w:marRight w:val="0"/>
                      <w:marTop w:val="0"/>
                      <w:marBottom w:val="0"/>
                      <w:divBdr>
                        <w:top w:val="none" w:sz="0" w:space="0" w:color="auto"/>
                        <w:left w:val="none" w:sz="0" w:space="0" w:color="auto"/>
                        <w:bottom w:val="none" w:sz="0" w:space="0" w:color="auto"/>
                        <w:right w:val="none" w:sz="0" w:space="0" w:color="auto"/>
                      </w:divBdr>
                    </w:div>
                  </w:divsChild>
                </w:div>
                <w:div w:id="780338858">
                  <w:marLeft w:val="0"/>
                  <w:marRight w:val="0"/>
                  <w:marTop w:val="0"/>
                  <w:marBottom w:val="0"/>
                  <w:divBdr>
                    <w:top w:val="none" w:sz="0" w:space="0" w:color="auto"/>
                    <w:left w:val="none" w:sz="0" w:space="0" w:color="auto"/>
                    <w:bottom w:val="none" w:sz="0" w:space="0" w:color="auto"/>
                    <w:right w:val="none" w:sz="0" w:space="0" w:color="auto"/>
                  </w:divBdr>
                  <w:divsChild>
                    <w:div w:id="1654874310">
                      <w:marLeft w:val="0"/>
                      <w:marRight w:val="0"/>
                      <w:marTop w:val="0"/>
                      <w:marBottom w:val="0"/>
                      <w:divBdr>
                        <w:top w:val="none" w:sz="0" w:space="0" w:color="auto"/>
                        <w:left w:val="none" w:sz="0" w:space="0" w:color="auto"/>
                        <w:bottom w:val="none" w:sz="0" w:space="0" w:color="auto"/>
                        <w:right w:val="none" w:sz="0" w:space="0" w:color="auto"/>
                      </w:divBdr>
                    </w:div>
                  </w:divsChild>
                </w:div>
                <w:div w:id="784663666">
                  <w:marLeft w:val="0"/>
                  <w:marRight w:val="0"/>
                  <w:marTop w:val="0"/>
                  <w:marBottom w:val="0"/>
                  <w:divBdr>
                    <w:top w:val="none" w:sz="0" w:space="0" w:color="auto"/>
                    <w:left w:val="none" w:sz="0" w:space="0" w:color="auto"/>
                    <w:bottom w:val="none" w:sz="0" w:space="0" w:color="auto"/>
                    <w:right w:val="none" w:sz="0" w:space="0" w:color="auto"/>
                  </w:divBdr>
                  <w:divsChild>
                    <w:div w:id="1334380162">
                      <w:marLeft w:val="0"/>
                      <w:marRight w:val="0"/>
                      <w:marTop w:val="0"/>
                      <w:marBottom w:val="0"/>
                      <w:divBdr>
                        <w:top w:val="none" w:sz="0" w:space="0" w:color="auto"/>
                        <w:left w:val="none" w:sz="0" w:space="0" w:color="auto"/>
                        <w:bottom w:val="none" w:sz="0" w:space="0" w:color="auto"/>
                        <w:right w:val="none" w:sz="0" w:space="0" w:color="auto"/>
                      </w:divBdr>
                    </w:div>
                  </w:divsChild>
                </w:div>
                <w:div w:id="813720598">
                  <w:marLeft w:val="0"/>
                  <w:marRight w:val="0"/>
                  <w:marTop w:val="0"/>
                  <w:marBottom w:val="0"/>
                  <w:divBdr>
                    <w:top w:val="none" w:sz="0" w:space="0" w:color="auto"/>
                    <w:left w:val="none" w:sz="0" w:space="0" w:color="auto"/>
                    <w:bottom w:val="none" w:sz="0" w:space="0" w:color="auto"/>
                    <w:right w:val="none" w:sz="0" w:space="0" w:color="auto"/>
                  </w:divBdr>
                  <w:divsChild>
                    <w:div w:id="1470244247">
                      <w:marLeft w:val="0"/>
                      <w:marRight w:val="0"/>
                      <w:marTop w:val="0"/>
                      <w:marBottom w:val="0"/>
                      <w:divBdr>
                        <w:top w:val="none" w:sz="0" w:space="0" w:color="auto"/>
                        <w:left w:val="none" w:sz="0" w:space="0" w:color="auto"/>
                        <w:bottom w:val="none" w:sz="0" w:space="0" w:color="auto"/>
                        <w:right w:val="none" w:sz="0" w:space="0" w:color="auto"/>
                      </w:divBdr>
                    </w:div>
                  </w:divsChild>
                </w:div>
                <w:div w:id="860515357">
                  <w:marLeft w:val="0"/>
                  <w:marRight w:val="0"/>
                  <w:marTop w:val="0"/>
                  <w:marBottom w:val="0"/>
                  <w:divBdr>
                    <w:top w:val="none" w:sz="0" w:space="0" w:color="auto"/>
                    <w:left w:val="none" w:sz="0" w:space="0" w:color="auto"/>
                    <w:bottom w:val="none" w:sz="0" w:space="0" w:color="auto"/>
                    <w:right w:val="none" w:sz="0" w:space="0" w:color="auto"/>
                  </w:divBdr>
                  <w:divsChild>
                    <w:div w:id="390034461">
                      <w:marLeft w:val="0"/>
                      <w:marRight w:val="0"/>
                      <w:marTop w:val="0"/>
                      <w:marBottom w:val="0"/>
                      <w:divBdr>
                        <w:top w:val="none" w:sz="0" w:space="0" w:color="auto"/>
                        <w:left w:val="none" w:sz="0" w:space="0" w:color="auto"/>
                        <w:bottom w:val="none" w:sz="0" w:space="0" w:color="auto"/>
                        <w:right w:val="none" w:sz="0" w:space="0" w:color="auto"/>
                      </w:divBdr>
                    </w:div>
                  </w:divsChild>
                </w:div>
                <w:div w:id="868101999">
                  <w:marLeft w:val="0"/>
                  <w:marRight w:val="0"/>
                  <w:marTop w:val="0"/>
                  <w:marBottom w:val="0"/>
                  <w:divBdr>
                    <w:top w:val="none" w:sz="0" w:space="0" w:color="auto"/>
                    <w:left w:val="none" w:sz="0" w:space="0" w:color="auto"/>
                    <w:bottom w:val="none" w:sz="0" w:space="0" w:color="auto"/>
                    <w:right w:val="none" w:sz="0" w:space="0" w:color="auto"/>
                  </w:divBdr>
                  <w:divsChild>
                    <w:div w:id="133111291">
                      <w:marLeft w:val="0"/>
                      <w:marRight w:val="0"/>
                      <w:marTop w:val="0"/>
                      <w:marBottom w:val="0"/>
                      <w:divBdr>
                        <w:top w:val="none" w:sz="0" w:space="0" w:color="auto"/>
                        <w:left w:val="none" w:sz="0" w:space="0" w:color="auto"/>
                        <w:bottom w:val="none" w:sz="0" w:space="0" w:color="auto"/>
                        <w:right w:val="none" w:sz="0" w:space="0" w:color="auto"/>
                      </w:divBdr>
                    </w:div>
                  </w:divsChild>
                </w:div>
                <w:div w:id="909074764">
                  <w:marLeft w:val="0"/>
                  <w:marRight w:val="0"/>
                  <w:marTop w:val="0"/>
                  <w:marBottom w:val="0"/>
                  <w:divBdr>
                    <w:top w:val="none" w:sz="0" w:space="0" w:color="auto"/>
                    <w:left w:val="none" w:sz="0" w:space="0" w:color="auto"/>
                    <w:bottom w:val="none" w:sz="0" w:space="0" w:color="auto"/>
                    <w:right w:val="none" w:sz="0" w:space="0" w:color="auto"/>
                  </w:divBdr>
                  <w:divsChild>
                    <w:div w:id="1443498012">
                      <w:marLeft w:val="0"/>
                      <w:marRight w:val="0"/>
                      <w:marTop w:val="0"/>
                      <w:marBottom w:val="0"/>
                      <w:divBdr>
                        <w:top w:val="none" w:sz="0" w:space="0" w:color="auto"/>
                        <w:left w:val="none" w:sz="0" w:space="0" w:color="auto"/>
                        <w:bottom w:val="none" w:sz="0" w:space="0" w:color="auto"/>
                        <w:right w:val="none" w:sz="0" w:space="0" w:color="auto"/>
                      </w:divBdr>
                    </w:div>
                  </w:divsChild>
                </w:div>
                <w:div w:id="922421140">
                  <w:marLeft w:val="0"/>
                  <w:marRight w:val="0"/>
                  <w:marTop w:val="0"/>
                  <w:marBottom w:val="0"/>
                  <w:divBdr>
                    <w:top w:val="none" w:sz="0" w:space="0" w:color="auto"/>
                    <w:left w:val="none" w:sz="0" w:space="0" w:color="auto"/>
                    <w:bottom w:val="none" w:sz="0" w:space="0" w:color="auto"/>
                    <w:right w:val="none" w:sz="0" w:space="0" w:color="auto"/>
                  </w:divBdr>
                  <w:divsChild>
                    <w:div w:id="150216240">
                      <w:marLeft w:val="0"/>
                      <w:marRight w:val="0"/>
                      <w:marTop w:val="0"/>
                      <w:marBottom w:val="0"/>
                      <w:divBdr>
                        <w:top w:val="none" w:sz="0" w:space="0" w:color="auto"/>
                        <w:left w:val="none" w:sz="0" w:space="0" w:color="auto"/>
                        <w:bottom w:val="none" w:sz="0" w:space="0" w:color="auto"/>
                        <w:right w:val="none" w:sz="0" w:space="0" w:color="auto"/>
                      </w:divBdr>
                    </w:div>
                  </w:divsChild>
                </w:div>
                <w:div w:id="981619087">
                  <w:marLeft w:val="0"/>
                  <w:marRight w:val="0"/>
                  <w:marTop w:val="0"/>
                  <w:marBottom w:val="0"/>
                  <w:divBdr>
                    <w:top w:val="none" w:sz="0" w:space="0" w:color="auto"/>
                    <w:left w:val="none" w:sz="0" w:space="0" w:color="auto"/>
                    <w:bottom w:val="none" w:sz="0" w:space="0" w:color="auto"/>
                    <w:right w:val="none" w:sz="0" w:space="0" w:color="auto"/>
                  </w:divBdr>
                  <w:divsChild>
                    <w:div w:id="842622865">
                      <w:marLeft w:val="0"/>
                      <w:marRight w:val="0"/>
                      <w:marTop w:val="0"/>
                      <w:marBottom w:val="0"/>
                      <w:divBdr>
                        <w:top w:val="none" w:sz="0" w:space="0" w:color="auto"/>
                        <w:left w:val="none" w:sz="0" w:space="0" w:color="auto"/>
                        <w:bottom w:val="none" w:sz="0" w:space="0" w:color="auto"/>
                        <w:right w:val="none" w:sz="0" w:space="0" w:color="auto"/>
                      </w:divBdr>
                    </w:div>
                  </w:divsChild>
                </w:div>
                <w:div w:id="1047988645">
                  <w:marLeft w:val="0"/>
                  <w:marRight w:val="0"/>
                  <w:marTop w:val="0"/>
                  <w:marBottom w:val="0"/>
                  <w:divBdr>
                    <w:top w:val="none" w:sz="0" w:space="0" w:color="auto"/>
                    <w:left w:val="none" w:sz="0" w:space="0" w:color="auto"/>
                    <w:bottom w:val="none" w:sz="0" w:space="0" w:color="auto"/>
                    <w:right w:val="none" w:sz="0" w:space="0" w:color="auto"/>
                  </w:divBdr>
                  <w:divsChild>
                    <w:div w:id="1939093232">
                      <w:marLeft w:val="0"/>
                      <w:marRight w:val="0"/>
                      <w:marTop w:val="0"/>
                      <w:marBottom w:val="0"/>
                      <w:divBdr>
                        <w:top w:val="none" w:sz="0" w:space="0" w:color="auto"/>
                        <w:left w:val="none" w:sz="0" w:space="0" w:color="auto"/>
                        <w:bottom w:val="none" w:sz="0" w:space="0" w:color="auto"/>
                        <w:right w:val="none" w:sz="0" w:space="0" w:color="auto"/>
                      </w:divBdr>
                    </w:div>
                  </w:divsChild>
                </w:div>
                <w:div w:id="1068267254">
                  <w:marLeft w:val="0"/>
                  <w:marRight w:val="0"/>
                  <w:marTop w:val="0"/>
                  <w:marBottom w:val="0"/>
                  <w:divBdr>
                    <w:top w:val="none" w:sz="0" w:space="0" w:color="auto"/>
                    <w:left w:val="none" w:sz="0" w:space="0" w:color="auto"/>
                    <w:bottom w:val="none" w:sz="0" w:space="0" w:color="auto"/>
                    <w:right w:val="none" w:sz="0" w:space="0" w:color="auto"/>
                  </w:divBdr>
                  <w:divsChild>
                    <w:div w:id="783617320">
                      <w:marLeft w:val="0"/>
                      <w:marRight w:val="0"/>
                      <w:marTop w:val="0"/>
                      <w:marBottom w:val="0"/>
                      <w:divBdr>
                        <w:top w:val="none" w:sz="0" w:space="0" w:color="auto"/>
                        <w:left w:val="none" w:sz="0" w:space="0" w:color="auto"/>
                        <w:bottom w:val="none" w:sz="0" w:space="0" w:color="auto"/>
                        <w:right w:val="none" w:sz="0" w:space="0" w:color="auto"/>
                      </w:divBdr>
                    </w:div>
                  </w:divsChild>
                </w:div>
                <w:div w:id="1178814746">
                  <w:marLeft w:val="0"/>
                  <w:marRight w:val="0"/>
                  <w:marTop w:val="0"/>
                  <w:marBottom w:val="0"/>
                  <w:divBdr>
                    <w:top w:val="none" w:sz="0" w:space="0" w:color="auto"/>
                    <w:left w:val="none" w:sz="0" w:space="0" w:color="auto"/>
                    <w:bottom w:val="none" w:sz="0" w:space="0" w:color="auto"/>
                    <w:right w:val="none" w:sz="0" w:space="0" w:color="auto"/>
                  </w:divBdr>
                  <w:divsChild>
                    <w:div w:id="955450086">
                      <w:marLeft w:val="0"/>
                      <w:marRight w:val="0"/>
                      <w:marTop w:val="0"/>
                      <w:marBottom w:val="0"/>
                      <w:divBdr>
                        <w:top w:val="none" w:sz="0" w:space="0" w:color="auto"/>
                        <w:left w:val="none" w:sz="0" w:space="0" w:color="auto"/>
                        <w:bottom w:val="none" w:sz="0" w:space="0" w:color="auto"/>
                        <w:right w:val="none" w:sz="0" w:space="0" w:color="auto"/>
                      </w:divBdr>
                    </w:div>
                  </w:divsChild>
                </w:div>
                <w:div w:id="1204174148">
                  <w:marLeft w:val="0"/>
                  <w:marRight w:val="0"/>
                  <w:marTop w:val="0"/>
                  <w:marBottom w:val="0"/>
                  <w:divBdr>
                    <w:top w:val="none" w:sz="0" w:space="0" w:color="auto"/>
                    <w:left w:val="none" w:sz="0" w:space="0" w:color="auto"/>
                    <w:bottom w:val="none" w:sz="0" w:space="0" w:color="auto"/>
                    <w:right w:val="none" w:sz="0" w:space="0" w:color="auto"/>
                  </w:divBdr>
                  <w:divsChild>
                    <w:div w:id="2047291380">
                      <w:marLeft w:val="0"/>
                      <w:marRight w:val="0"/>
                      <w:marTop w:val="0"/>
                      <w:marBottom w:val="0"/>
                      <w:divBdr>
                        <w:top w:val="none" w:sz="0" w:space="0" w:color="auto"/>
                        <w:left w:val="none" w:sz="0" w:space="0" w:color="auto"/>
                        <w:bottom w:val="none" w:sz="0" w:space="0" w:color="auto"/>
                        <w:right w:val="none" w:sz="0" w:space="0" w:color="auto"/>
                      </w:divBdr>
                    </w:div>
                  </w:divsChild>
                </w:div>
                <w:div w:id="1237397705">
                  <w:marLeft w:val="0"/>
                  <w:marRight w:val="0"/>
                  <w:marTop w:val="0"/>
                  <w:marBottom w:val="0"/>
                  <w:divBdr>
                    <w:top w:val="none" w:sz="0" w:space="0" w:color="auto"/>
                    <w:left w:val="none" w:sz="0" w:space="0" w:color="auto"/>
                    <w:bottom w:val="none" w:sz="0" w:space="0" w:color="auto"/>
                    <w:right w:val="none" w:sz="0" w:space="0" w:color="auto"/>
                  </w:divBdr>
                  <w:divsChild>
                    <w:div w:id="1276060933">
                      <w:marLeft w:val="0"/>
                      <w:marRight w:val="0"/>
                      <w:marTop w:val="0"/>
                      <w:marBottom w:val="0"/>
                      <w:divBdr>
                        <w:top w:val="none" w:sz="0" w:space="0" w:color="auto"/>
                        <w:left w:val="none" w:sz="0" w:space="0" w:color="auto"/>
                        <w:bottom w:val="none" w:sz="0" w:space="0" w:color="auto"/>
                        <w:right w:val="none" w:sz="0" w:space="0" w:color="auto"/>
                      </w:divBdr>
                    </w:div>
                  </w:divsChild>
                </w:div>
                <w:div w:id="1308240656">
                  <w:marLeft w:val="0"/>
                  <w:marRight w:val="0"/>
                  <w:marTop w:val="0"/>
                  <w:marBottom w:val="0"/>
                  <w:divBdr>
                    <w:top w:val="none" w:sz="0" w:space="0" w:color="auto"/>
                    <w:left w:val="none" w:sz="0" w:space="0" w:color="auto"/>
                    <w:bottom w:val="none" w:sz="0" w:space="0" w:color="auto"/>
                    <w:right w:val="none" w:sz="0" w:space="0" w:color="auto"/>
                  </w:divBdr>
                  <w:divsChild>
                    <w:div w:id="149644010">
                      <w:marLeft w:val="0"/>
                      <w:marRight w:val="0"/>
                      <w:marTop w:val="0"/>
                      <w:marBottom w:val="0"/>
                      <w:divBdr>
                        <w:top w:val="none" w:sz="0" w:space="0" w:color="auto"/>
                        <w:left w:val="none" w:sz="0" w:space="0" w:color="auto"/>
                        <w:bottom w:val="none" w:sz="0" w:space="0" w:color="auto"/>
                        <w:right w:val="none" w:sz="0" w:space="0" w:color="auto"/>
                      </w:divBdr>
                    </w:div>
                  </w:divsChild>
                </w:div>
                <w:div w:id="1308778870">
                  <w:marLeft w:val="0"/>
                  <w:marRight w:val="0"/>
                  <w:marTop w:val="0"/>
                  <w:marBottom w:val="0"/>
                  <w:divBdr>
                    <w:top w:val="none" w:sz="0" w:space="0" w:color="auto"/>
                    <w:left w:val="none" w:sz="0" w:space="0" w:color="auto"/>
                    <w:bottom w:val="none" w:sz="0" w:space="0" w:color="auto"/>
                    <w:right w:val="none" w:sz="0" w:space="0" w:color="auto"/>
                  </w:divBdr>
                  <w:divsChild>
                    <w:div w:id="188570172">
                      <w:marLeft w:val="0"/>
                      <w:marRight w:val="0"/>
                      <w:marTop w:val="0"/>
                      <w:marBottom w:val="0"/>
                      <w:divBdr>
                        <w:top w:val="none" w:sz="0" w:space="0" w:color="auto"/>
                        <w:left w:val="none" w:sz="0" w:space="0" w:color="auto"/>
                        <w:bottom w:val="none" w:sz="0" w:space="0" w:color="auto"/>
                        <w:right w:val="none" w:sz="0" w:space="0" w:color="auto"/>
                      </w:divBdr>
                    </w:div>
                  </w:divsChild>
                </w:div>
                <w:div w:id="1323240875">
                  <w:marLeft w:val="0"/>
                  <w:marRight w:val="0"/>
                  <w:marTop w:val="0"/>
                  <w:marBottom w:val="0"/>
                  <w:divBdr>
                    <w:top w:val="none" w:sz="0" w:space="0" w:color="auto"/>
                    <w:left w:val="none" w:sz="0" w:space="0" w:color="auto"/>
                    <w:bottom w:val="none" w:sz="0" w:space="0" w:color="auto"/>
                    <w:right w:val="none" w:sz="0" w:space="0" w:color="auto"/>
                  </w:divBdr>
                  <w:divsChild>
                    <w:div w:id="1782677335">
                      <w:marLeft w:val="0"/>
                      <w:marRight w:val="0"/>
                      <w:marTop w:val="0"/>
                      <w:marBottom w:val="0"/>
                      <w:divBdr>
                        <w:top w:val="none" w:sz="0" w:space="0" w:color="auto"/>
                        <w:left w:val="none" w:sz="0" w:space="0" w:color="auto"/>
                        <w:bottom w:val="none" w:sz="0" w:space="0" w:color="auto"/>
                        <w:right w:val="none" w:sz="0" w:space="0" w:color="auto"/>
                      </w:divBdr>
                    </w:div>
                  </w:divsChild>
                </w:div>
                <w:div w:id="1358191205">
                  <w:marLeft w:val="0"/>
                  <w:marRight w:val="0"/>
                  <w:marTop w:val="0"/>
                  <w:marBottom w:val="0"/>
                  <w:divBdr>
                    <w:top w:val="none" w:sz="0" w:space="0" w:color="auto"/>
                    <w:left w:val="none" w:sz="0" w:space="0" w:color="auto"/>
                    <w:bottom w:val="none" w:sz="0" w:space="0" w:color="auto"/>
                    <w:right w:val="none" w:sz="0" w:space="0" w:color="auto"/>
                  </w:divBdr>
                  <w:divsChild>
                    <w:div w:id="803498994">
                      <w:marLeft w:val="0"/>
                      <w:marRight w:val="0"/>
                      <w:marTop w:val="0"/>
                      <w:marBottom w:val="0"/>
                      <w:divBdr>
                        <w:top w:val="none" w:sz="0" w:space="0" w:color="auto"/>
                        <w:left w:val="none" w:sz="0" w:space="0" w:color="auto"/>
                        <w:bottom w:val="none" w:sz="0" w:space="0" w:color="auto"/>
                        <w:right w:val="none" w:sz="0" w:space="0" w:color="auto"/>
                      </w:divBdr>
                    </w:div>
                  </w:divsChild>
                </w:div>
                <w:div w:id="1435321298">
                  <w:marLeft w:val="0"/>
                  <w:marRight w:val="0"/>
                  <w:marTop w:val="0"/>
                  <w:marBottom w:val="0"/>
                  <w:divBdr>
                    <w:top w:val="none" w:sz="0" w:space="0" w:color="auto"/>
                    <w:left w:val="none" w:sz="0" w:space="0" w:color="auto"/>
                    <w:bottom w:val="none" w:sz="0" w:space="0" w:color="auto"/>
                    <w:right w:val="none" w:sz="0" w:space="0" w:color="auto"/>
                  </w:divBdr>
                  <w:divsChild>
                    <w:div w:id="751009743">
                      <w:marLeft w:val="0"/>
                      <w:marRight w:val="0"/>
                      <w:marTop w:val="0"/>
                      <w:marBottom w:val="0"/>
                      <w:divBdr>
                        <w:top w:val="none" w:sz="0" w:space="0" w:color="auto"/>
                        <w:left w:val="none" w:sz="0" w:space="0" w:color="auto"/>
                        <w:bottom w:val="none" w:sz="0" w:space="0" w:color="auto"/>
                        <w:right w:val="none" w:sz="0" w:space="0" w:color="auto"/>
                      </w:divBdr>
                    </w:div>
                  </w:divsChild>
                </w:div>
                <w:div w:id="1447772875">
                  <w:marLeft w:val="0"/>
                  <w:marRight w:val="0"/>
                  <w:marTop w:val="0"/>
                  <w:marBottom w:val="0"/>
                  <w:divBdr>
                    <w:top w:val="none" w:sz="0" w:space="0" w:color="auto"/>
                    <w:left w:val="none" w:sz="0" w:space="0" w:color="auto"/>
                    <w:bottom w:val="none" w:sz="0" w:space="0" w:color="auto"/>
                    <w:right w:val="none" w:sz="0" w:space="0" w:color="auto"/>
                  </w:divBdr>
                  <w:divsChild>
                    <w:div w:id="1950816573">
                      <w:marLeft w:val="0"/>
                      <w:marRight w:val="0"/>
                      <w:marTop w:val="0"/>
                      <w:marBottom w:val="0"/>
                      <w:divBdr>
                        <w:top w:val="none" w:sz="0" w:space="0" w:color="auto"/>
                        <w:left w:val="none" w:sz="0" w:space="0" w:color="auto"/>
                        <w:bottom w:val="none" w:sz="0" w:space="0" w:color="auto"/>
                        <w:right w:val="none" w:sz="0" w:space="0" w:color="auto"/>
                      </w:divBdr>
                    </w:div>
                  </w:divsChild>
                </w:div>
                <w:div w:id="1456413518">
                  <w:marLeft w:val="0"/>
                  <w:marRight w:val="0"/>
                  <w:marTop w:val="0"/>
                  <w:marBottom w:val="0"/>
                  <w:divBdr>
                    <w:top w:val="none" w:sz="0" w:space="0" w:color="auto"/>
                    <w:left w:val="none" w:sz="0" w:space="0" w:color="auto"/>
                    <w:bottom w:val="none" w:sz="0" w:space="0" w:color="auto"/>
                    <w:right w:val="none" w:sz="0" w:space="0" w:color="auto"/>
                  </w:divBdr>
                  <w:divsChild>
                    <w:div w:id="1844589240">
                      <w:marLeft w:val="0"/>
                      <w:marRight w:val="0"/>
                      <w:marTop w:val="0"/>
                      <w:marBottom w:val="0"/>
                      <w:divBdr>
                        <w:top w:val="none" w:sz="0" w:space="0" w:color="auto"/>
                        <w:left w:val="none" w:sz="0" w:space="0" w:color="auto"/>
                        <w:bottom w:val="none" w:sz="0" w:space="0" w:color="auto"/>
                        <w:right w:val="none" w:sz="0" w:space="0" w:color="auto"/>
                      </w:divBdr>
                    </w:div>
                  </w:divsChild>
                </w:div>
                <w:div w:id="1488014604">
                  <w:marLeft w:val="0"/>
                  <w:marRight w:val="0"/>
                  <w:marTop w:val="0"/>
                  <w:marBottom w:val="0"/>
                  <w:divBdr>
                    <w:top w:val="none" w:sz="0" w:space="0" w:color="auto"/>
                    <w:left w:val="none" w:sz="0" w:space="0" w:color="auto"/>
                    <w:bottom w:val="none" w:sz="0" w:space="0" w:color="auto"/>
                    <w:right w:val="none" w:sz="0" w:space="0" w:color="auto"/>
                  </w:divBdr>
                  <w:divsChild>
                    <w:div w:id="922446307">
                      <w:marLeft w:val="0"/>
                      <w:marRight w:val="0"/>
                      <w:marTop w:val="0"/>
                      <w:marBottom w:val="0"/>
                      <w:divBdr>
                        <w:top w:val="none" w:sz="0" w:space="0" w:color="auto"/>
                        <w:left w:val="none" w:sz="0" w:space="0" w:color="auto"/>
                        <w:bottom w:val="none" w:sz="0" w:space="0" w:color="auto"/>
                        <w:right w:val="none" w:sz="0" w:space="0" w:color="auto"/>
                      </w:divBdr>
                    </w:div>
                  </w:divsChild>
                </w:div>
                <w:div w:id="1504202935">
                  <w:marLeft w:val="0"/>
                  <w:marRight w:val="0"/>
                  <w:marTop w:val="0"/>
                  <w:marBottom w:val="0"/>
                  <w:divBdr>
                    <w:top w:val="none" w:sz="0" w:space="0" w:color="auto"/>
                    <w:left w:val="none" w:sz="0" w:space="0" w:color="auto"/>
                    <w:bottom w:val="none" w:sz="0" w:space="0" w:color="auto"/>
                    <w:right w:val="none" w:sz="0" w:space="0" w:color="auto"/>
                  </w:divBdr>
                  <w:divsChild>
                    <w:div w:id="135996281">
                      <w:marLeft w:val="0"/>
                      <w:marRight w:val="0"/>
                      <w:marTop w:val="0"/>
                      <w:marBottom w:val="0"/>
                      <w:divBdr>
                        <w:top w:val="none" w:sz="0" w:space="0" w:color="auto"/>
                        <w:left w:val="none" w:sz="0" w:space="0" w:color="auto"/>
                        <w:bottom w:val="none" w:sz="0" w:space="0" w:color="auto"/>
                        <w:right w:val="none" w:sz="0" w:space="0" w:color="auto"/>
                      </w:divBdr>
                    </w:div>
                  </w:divsChild>
                </w:div>
                <w:div w:id="1506087763">
                  <w:marLeft w:val="0"/>
                  <w:marRight w:val="0"/>
                  <w:marTop w:val="0"/>
                  <w:marBottom w:val="0"/>
                  <w:divBdr>
                    <w:top w:val="none" w:sz="0" w:space="0" w:color="auto"/>
                    <w:left w:val="none" w:sz="0" w:space="0" w:color="auto"/>
                    <w:bottom w:val="none" w:sz="0" w:space="0" w:color="auto"/>
                    <w:right w:val="none" w:sz="0" w:space="0" w:color="auto"/>
                  </w:divBdr>
                  <w:divsChild>
                    <w:div w:id="1822236299">
                      <w:marLeft w:val="0"/>
                      <w:marRight w:val="0"/>
                      <w:marTop w:val="0"/>
                      <w:marBottom w:val="0"/>
                      <w:divBdr>
                        <w:top w:val="none" w:sz="0" w:space="0" w:color="auto"/>
                        <w:left w:val="none" w:sz="0" w:space="0" w:color="auto"/>
                        <w:bottom w:val="none" w:sz="0" w:space="0" w:color="auto"/>
                        <w:right w:val="none" w:sz="0" w:space="0" w:color="auto"/>
                      </w:divBdr>
                    </w:div>
                  </w:divsChild>
                </w:div>
                <w:div w:id="1589117173">
                  <w:marLeft w:val="0"/>
                  <w:marRight w:val="0"/>
                  <w:marTop w:val="0"/>
                  <w:marBottom w:val="0"/>
                  <w:divBdr>
                    <w:top w:val="none" w:sz="0" w:space="0" w:color="auto"/>
                    <w:left w:val="none" w:sz="0" w:space="0" w:color="auto"/>
                    <w:bottom w:val="none" w:sz="0" w:space="0" w:color="auto"/>
                    <w:right w:val="none" w:sz="0" w:space="0" w:color="auto"/>
                  </w:divBdr>
                  <w:divsChild>
                    <w:div w:id="1900094082">
                      <w:marLeft w:val="0"/>
                      <w:marRight w:val="0"/>
                      <w:marTop w:val="0"/>
                      <w:marBottom w:val="0"/>
                      <w:divBdr>
                        <w:top w:val="none" w:sz="0" w:space="0" w:color="auto"/>
                        <w:left w:val="none" w:sz="0" w:space="0" w:color="auto"/>
                        <w:bottom w:val="none" w:sz="0" w:space="0" w:color="auto"/>
                        <w:right w:val="none" w:sz="0" w:space="0" w:color="auto"/>
                      </w:divBdr>
                    </w:div>
                  </w:divsChild>
                </w:div>
                <w:div w:id="1601908384">
                  <w:marLeft w:val="0"/>
                  <w:marRight w:val="0"/>
                  <w:marTop w:val="0"/>
                  <w:marBottom w:val="0"/>
                  <w:divBdr>
                    <w:top w:val="none" w:sz="0" w:space="0" w:color="auto"/>
                    <w:left w:val="none" w:sz="0" w:space="0" w:color="auto"/>
                    <w:bottom w:val="none" w:sz="0" w:space="0" w:color="auto"/>
                    <w:right w:val="none" w:sz="0" w:space="0" w:color="auto"/>
                  </w:divBdr>
                  <w:divsChild>
                    <w:div w:id="1923104064">
                      <w:marLeft w:val="0"/>
                      <w:marRight w:val="0"/>
                      <w:marTop w:val="0"/>
                      <w:marBottom w:val="0"/>
                      <w:divBdr>
                        <w:top w:val="none" w:sz="0" w:space="0" w:color="auto"/>
                        <w:left w:val="none" w:sz="0" w:space="0" w:color="auto"/>
                        <w:bottom w:val="none" w:sz="0" w:space="0" w:color="auto"/>
                        <w:right w:val="none" w:sz="0" w:space="0" w:color="auto"/>
                      </w:divBdr>
                    </w:div>
                  </w:divsChild>
                </w:div>
                <w:div w:id="1612317555">
                  <w:marLeft w:val="0"/>
                  <w:marRight w:val="0"/>
                  <w:marTop w:val="0"/>
                  <w:marBottom w:val="0"/>
                  <w:divBdr>
                    <w:top w:val="none" w:sz="0" w:space="0" w:color="auto"/>
                    <w:left w:val="none" w:sz="0" w:space="0" w:color="auto"/>
                    <w:bottom w:val="none" w:sz="0" w:space="0" w:color="auto"/>
                    <w:right w:val="none" w:sz="0" w:space="0" w:color="auto"/>
                  </w:divBdr>
                  <w:divsChild>
                    <w:div w:id="476650357">
                      <w:marLeft w:val="0"/>
                      <w:marRight w:val="0"/>
                      <w:marTop w:val="0"/>
                      <w:marBottom w:val="0"/>
                      <w:divBdr>
                        <w:top w:val="none" w:sz="0" w:space="0" w:color="auto"/>
                        <w:left w:val="none" w:sz="0" w:space="0" w:color="auto"/>
                        <w:bottom w:val="none" w:sz="0" w:space="0" w:color="auto"/>
                        <w:right w:val="none" w:sz="0" w:space="0" w:color="auto"/>
                      </w:divBdr>
                    </w:div>
                  </w:divsChild>
                </w:div>
                <w:div w:id="1625311058">
                  <w:marLeft w:val="0"/>
                  <w:marRight w:val="0"/>
                  <w:marTop w:val="0"/>
                  <w:marBottom w:val="0"/>
                  <w:divBdr>
                    <w:top w:val="none" w:sz="0" w:space="0" w:color="auto"/>
                    <w:left w:val="none" w:sz="0" w:space="0" w:color="auto"/>
                    <w:bottom w:val="none" w:sz="0" w:space="0" w:color="auto"/>
                    <w:right w:val="none" w:sz="0" w:space="0" w:color="auto"/>
                  </w:divBdr>
                  <w:divsChild>
                    <w:div w:id="566652448">
                      <w:marLeft w:val="0"/>
                      <w:marRight w:val="0"/>
                      <w:marTop w:val="0"/>
                      <w:marBottom w:val="0"/>
                      <w:divBdr>
                        <w:top w:val="none" w:sz="0" w:space="0" w:color="auto"/>
                        <w:left w:val="none" w:sz="0" w:space="0" w:color="auto"/>
                        <w:bottom w:val="none" w:sz="0" w:space="0" w:color="auto"/>
                        <w:right w:val="none" w:sz="0" w:space="0" w:color="auto"/>
                      </w:divBdr>
                    </w:div>
                  </w:divsChild>
                </w:div>
                <w:div w:id="1648391259">
                  <w:marLeft w:val="0"/>
                  <w:marRight w:val="0"/>
                  <w:marTop w:val="0"/>
                  <w:marBottom w:val="0"/>
                  <w:divBdr>
                    <w:top w:val="none" w:sz="0" w:space="0" w:color="auto"/>
                    <w:left w:val="none" w:sz="0" w:space="0" w:color="auto"/>
                    <w:bottom w:val="none" w:sz="0" w:space="0" w:color="auto"/>
                    <w:right w:val="none" w:sz="0" w:space="0" w:color="auto"/>
                  </w:divBdr>
                  <w:divsChild>
                    <w:div w:id="1928417969">
                      <w:marLeft w:val="0"/>
                      <w:marRight w:val="0"/>
                      <w:marTop w:val="0"/>
                      <w:marBottom w:val="0"/>
                      <w:divBdr>
                        <w:top w:val="none" w:sz="0" w:space="0" w:color="auto"/>
                        <w:left w:val="none" w:sz="0" w:space="0" w:color="auto"/>
                        <w:bottom w:val="none" w:sz="0" w:space="0" w:color="auto"/>
                        <w:right w:val="none" w:sz="0" w:space="0" w:color="auto"/>
                      </w:divBdr>
                    </w:div>
                  </w:divsChild>
                </w:div>
                <w:div w:id="1655647640">
                  <w:marLeft w:val="0"/>
                  <w:marRight w:val="0"/>
                  <w:marTop w:val="0"/>
                  <w:marBottom w:val="0"/>
                  <w:divBdr>
                    <w:top w:val="none" w:sz="0" w:space="0" w:color="auto"/>
                    <w:left w:val="none" w:sz="0" w:space="0" w:color="auto"/>
                    <w:bottom w:val="none" w:sz="0" w:space="0" w:color="auto"/>
                    <w:right w:val="none" w:sz="0" w:space="0" w:color="auto"/>
                  </w:divBdr>
                  <w:divsChild>
                    <w:div w:id="1617523769">
                      <w:marLeft w:val="0"/>
                      <w:marRight w:val="0"/>
                      <w:marTop w:val="0"/>
                      <w:marBottom w:val="0"/>
                      <w:divBdr>
                        <w:top w:val="none" w:sz="0" w:space="0" w:color="auto"/>
                        <w:left w:val="none" w:sz="0" w:space="0" w:color="auto"/>
                        <w:bottom w:val="none" w:sz="0" w:space="0" w:color="auto"/>
                        <w:right w:val="none" w:sz="0" w:space="0" w:color="auto"/>
                      </w:divBdr>
                    </w:div>
                  </w:divsChild>
                </w:div>
                <w:div w:id="1703825022">
                  <w:marLeft w:val="0"/>
                  <w:marRight w:val="0"/>
                  <w:marTop w:val="0"/>
                  <w:marBottom w:val="0"/>
                  <w:divBdr>
                    <w:top w:val="none" w:sz="0" w:space="0" w:color="auto"/>
                    <w:left w:val="none" w:sz="0" w:space="0" w:color="auto"/>
                    <w:bottom w:val="none" w:sz="0" w:space="0" w:color="auto"/>
                    <w:right w:val="none" w:sz="0" w:space="0" w:color="auto"/>
                  </w:divBdr>
                  <w:divsChild>
                    <w:div w:id="803891317">
                      <w:marLeft w:val="0"/>
                      <w:marRight w:val="0"/>
                      <w:marTop w:val="0"/>
                      <w:marBottom w:val="0"/>
                      <w:divBdr>
                        <w:top w:val="none" w:sz="0" w:space="0" w:color="auto"/>
                        <w:left w:val="none" w:sz="0" w:space="0" w:color="auto"/>
                        <w:bottom w:val="none" w:sz="0" w:space="0" w:color="auto"/>
                        <w:right w:val="none" w:sz="0" w:space="0" w:color="auto"/>
                      </w:divBdr>
                    </w:div>
                  </w:divsChild>
                </w:div>
                <w:div w:id="1732071891">
                  <w:marLeft w:val="0"/>
                  <w:marRight w:val="0"/>
                  <w:marTop w:val="0"/>
                  <w:marBottom w:val="0"/>
                  <w:divBdr>
                    <w:top w:val="none" w:sz="0" w:space="0" w:color="auto"/>
                    <w:left w:val="none" w:sz="0" w:space="0" w:color="auto"/>
                    <w:bottom w:val="none" w:sz="0" w:space="0" w:color="auto"/>
                    <w:right w:val="none" w:sz="0" w:space="0" w:color="auto"/>
                  </w:divBdr>
                  <w:divsChild>
                    <w:div w:id="1282223960">
                      <w:marLeft w:val="0"/>
                      <w:marRight w:val="0"/>
                      <w:marTop w:val="0"/>
                      <w:marBottom w:val="0"/>
                      <w:divBdr>
                        <w:top w:val="none" w:sz="0" w:space="0" w:color="auto"/>
                        <w:left w:val="none" w:sz="0" w:space="0" w:color="auto"/>
                        <w:bottom w:val="none" w:sz="0" w:space="0" w:color="auto"/>
                        <w:right w:val="none" w:sz="0" w:space="0" w:color="auto"/>
                      </w:divBdr>
                    </w:div>
                  </w:divsChild>
                </w:div>
                <w:div w:id="1844127064">
                  <w:marLeft w:val="0"/>
                  <w:marRight w:val="0"/>
                  <w:marTop w:val="0"/>
                  <w:marBottom w:val="0"/>
                  <w:divBdr>
                    <w:top w:val="none" w:sz="0" w:space="0" w:color="auto"/>
                    <w:left w:val="none" w:sz="0" w:space="0" w:color="auto"/>
                    <w:bottom w:val="none" w:sz="0" w:space="0" w:color="auto"/>
                    <w:right w:val="none" w:sz="0" w:space="0" w:color="auto"/>
                  </w:divBdr>
                  <w:divsChild>
                    <w:div w:id="2051294679">
                      <w:marLeft w:val="0"/>
                      <w:marRight w:val="0"/>
                      <w:marTop w:val="0"/>
                      <w:marBottom w:val="0"/>
                      <w:divBdr>
                        <w:top w:val="none" w:sz="0" w:space="0" w:color="auto"/>
                        <w:left w:val="none" w:sz="0" w:space="0" w:color="auto"/>
                        <w:bottom w:val="none" w:sz="0" w:space="0" w:color="auto"/>
                        <w:right w:val="none" w:sz="0" w:space="0" w:color="auto"/>
                      </w:divBdr>
                    </w:div>
                  </w:divsChild>
                </w:div>
                <w:div w:id="1844465865">
                  <w:marLeft w:val="0"/>
                  <w:marRight w:val="0"/>
                  <w:marTop w:val="0"/>
                  <w:marBottom w:val="0"/>
                  <w:divBdr>
                    <w:top w:val="none" w:sz="0" w:space="0" w:color="auto"/>
                    <w:left w:val="none" w:sz="0" w:space="0" w:color="auto"/>
                    <w:bottom w:val="none" w:sz="0" w:space="0" w:color="auto"/>
                    <w:right w:val="none" w:sz="0" w:space="0" w:color="auto"/>
                  </w:divBdr>
                  <w:divsChild>
                    <w:div w:id="1538277073">
                      <w:marLeft w:val="0"/>
                      <w:marRight w:val="0"/>
                      <w:marTop w:val="0"/>
                      <w:marBottom w:val="0"/>
                      <w:divBdr>
                        <w:top w:val="none" w:sz="0" w:space="0" w:color="auto"/>
                        <w:left w:val="none" w:sz="0" w:space="0" w:color="auto"/>
                        <w:bottom w:val="none" w:sz="0" w:space="0" w:color="auto"/>
                        <w:right w:val="none" w:sz="0" w:space="0" w:color="auto"/>
                      </w:divBdr>
                    </w:div>
                  </w:divsChild>
                </w:div>
                <w:div w:id="1931426687">
                  <w:marLeft w:val="0"/>
                  <w:marRight w:val="0"/>
                  <w:marTop w:val="0"/>
                  <w:marBottom w:val="0"/>
                  <w:divBdr>
                    <w:top w:val="none" w:sz="0" w:space="0" w:color="auto"/>
                    <w:left w:val="none" w:sz="0" w:space="0" w:color="auto"/>
                    <w:bottom w:val="none" w:sz="0" w:space="0" w:color="auto"/>
                    <w:right w:val="none" w:sz="0" w:space="0" w:color="auto"/>
                  </w:divBdr>
                  <w:divsChild>
                    <w:div w:id="316764871">
                      <w:marLeft w:val="0"/>
                      <w:marRight w:val="0"/>
                      <w:marTop w:val="0"/>
                      <w:marBottom w:val="0"/>
                      <w:divBdr>
                        <w:top w:val="none" w:sz="0" w:space="0" w:color="auto"/>
                        <w:left w:val="none" w:sz="0" w:space="0" w:color="auto"/>
                        <w:bottom w:val="none" w:sz="0" w:space="0" w:color="auto"/>
                        <w:right w:val="none" w:sz="0" w:space="0" w:color="auto"/>
                      </w:divBdr>
                    </w:div>
                  </w:divsChild>
                </w:div>
                <w:div w:id="1940215404">
                  <w:marLeft w:val="0"/>
                  <w:marRight w:val="0"/>
                  <w:marTop w:val="0"/>
                  <w:marBottom w:val="0"/>
                  <w:divBdr>
                    <w:top w:val="none" w:sz="0" w:space="0" w:color="auto"/>
                    <w:left w:val="none" w:sz="0" w:space="0" w:color="auto"/>
                    <w:bottom w:val="none" w:sz="0" w:space="0" w:color="auto"/>
                    <w:right w:val="none" w:sz="0" w:space="0" w:color="auto"/>
                  </w:divBdr>
                  <w:divsChild>
                    <w:div w:id="1333870062">
                      <w:marLeft w:val="0"/>
                      <w:marRight w:val="0"/>
                      <w:marTop w:val="0"/>
                      <w:marBottom w:val="0"/>
                      <w:divBdr>
                        <w:top w:val="none" w:sz="0" w:space="0" w:color="auto"/>
                        <w:left w:val="none" w:sz="0" w:space="0" w:color="auto"/>
                        <w:bottom w:val="none" w:sz="0" w:space="0" w:color="auto"/>
                        <w:right w:val="none" w:sz="0" w:space="0" w:color="auto"/>
                      </w:divBdr>
                    </w:div>
                  </w:divsChild>
                </w:div>
                <w:div w:id="1981182372">
                  <w:marLeft w:val="0"/>
                  <w:marRight w:val="0"/>
                  <w:marTop w:val="0"/>
                  <w:marBottom w:val="0"/>
                  <w:divBdr>
                    <w:top w:val="none" w:sz="0" w:space="0" w:color="auto"/>
                    <w:left w:val="none" w:sz="0" w:space="0" w:color="auto"/>
                    <w:bottom w:val="none" w:sz="0" w:space="0" w:color="auto"/>
                    <w:right w:val="none" w:sz="0" w:space="0" w:color="auto"/>
                  </w:divBdr>
                  <w:divsChild>
                    <w:div w:id="178740290">
                      <w:marLeft w:val="0"/>
                      <w:marRight w:val="0"/>
                      <w:marTop w:val="0"/>
                      <w:marBottom w:val="0"/>
                      <w:divBdr>
                        <w:top w:val="none" w:sz="0" w:space="0" w:color="auto"/>
                        <w:left w:val="none" w:sz="0" w:space="0" w:color="auto"/>
                        <w:bottom w:val="none" w:sz="0" w:space="0" w:color="auto"/>
                        <w:right w:val="none" w:sz="0" w:space="0" w:color="auto"/>
                      </w:divBdr>
                    </w:div>
                  </w:divsChild>
                </w:div>
                <w:div w:id="1985236960">
                  <w:marLeft w:val="0"/>
                  <w:marRight w:val="0"/>
                  <w:marTop w:val="0"/>
                  <w:marBottom w:val="0"/>
                  <w:divBdr>
                    <w:top w:val="none" w:sz="0" w:space="0" w:color="auto"/>
                    <w:left w:val="none" w:sz="0" w:space="0" w:color="auto"/>
                    <w:bottom w:val="none" w:sz="0" w:space="0" w:color="auto"/>
                    <w:right w:val="none" w:sz="0" w:space="0" w:color="auto"/>
                  </w:divBdr>
                  <w:divsChild>
                    <w:div w:id="692079074">
                      <w:marLeft w:val="0"/>
                      <w:marRight w:val="0"/>
                      <w:marTop w:val="0"/>
                      <w:marBottom w:val="0"/>
                      <w:divBdr>
                        <w:top w:val="none" w:sz="0" w:space="0" w:color="auto"/>
                        <w:left w:val="none" w:sz="0" w:space="0" w:color="auto"/>
                        <w:bottom w:val="none" w:sz="0" w:space="0" w:color="auto"/>
                        <w:right w:val="none" w:sz="0" w:space="0" w:color="auto"/>
                      </w:divBdr>
                    </w:div>
                  </w:divsChild>
                </w:div>
                <w:div w:id="1994218115">
                  <w:marLeft w:val="0"/>
                  <w:marRight w:val="0"/>
                  <w:marTop w:val="0"/>
                  <w:marBottom w:val="0"/>
                  <w:divBdr>
                    <w:top w:val="none" w:sz="0" w:space="0" w:color="auto"/>
                    <w:left w:val="none" w:sz="0" w:space="0" w:color="auto"/>
                    <w:bottom w:val="none" w:sz="0" w:space="0" w:color="auto"/>
                    <w:right w:val="none" w:sz="0" w:space="0" w:color="auto"/>
                  </w:divBdr>
                  <w:divsChild>
                    <w:div w:id="377516206">
                      <w:marLeft w:val="0"/>
                      <w:marRight w:val="0"/>
                      <w:marTop w:val="0"/>
                      <w:marBottom w:val="0"/>
                      <w:divBdr>
                        <w:top w:val="none" w:sz="0" w:space="0" w:color="auto"/>
                        <w:left w:val="none" w:sz="0" w:space="0" w:color="auto"/>
                        <w:bottom w:val="none" w:sz="0" w:space="0" w:color="auto"/>
                        <w:right w:val="none" w:sz="0" w:space="0" w:color="auto"/>
                      </w:divBdr>
                    </w:div>
                  </w:divsChild>
                </w:div>
                <w:div w:id="2050688664">
                  <w:marLeft w:val="0"/>
                  <w:marRight w:val="0"/>
                  <w:marTop w:val="0"/>
                  <w:marBottom w:val="0"/>
                  <w:divBdr>
                    <w:top w:val="none" w:sz="0" w:space="0" w:color="auto"/>
                    <w:left w:val="none" w:sz="0" w:space="0" w:color="auto"/>
                    <w:bottom w:val="none" w:sz="0" w:space="0" w:color="auto"/>
                    <w:right w:val="none" w:sz="0" w:space="0" w:color="auto"/>
                  </w:divBdr>
                  <w:divsChild>
                    <w:div w:id="602879436">
                      <w:marLeft w:val="0"/>
                      <w:marRight w:val="0"/>
                      <w:marTop w:val="0"/>
                      <w:marBottom w:val="0"/>
                      <w:divBdr>
                        <w:top w:val="none" w:sz="0" w:space="0" w:color="auto"/>
                        <w:left w:val="none" w:sz="0" w:space="0" w:color="auto"/>
                        <w:bottom w:val="none" w:sz="0" w:space="0" w:color="auto"/>
                        <w:right w:val="none" w:sz="0" w:space="0" w:color="auto"/>
                      </w:divBdr>
                    </w:div>
                  </w:divsChild>
                </w:div>
                <w:div w:id="2099980052">
                  <w:marLeft w:val="0"/>
                  <w:marRight w:val="0"/>
                  <w:marTop w:val="0"/>
                  <w:marBottom w:val="0"/>
                  <w:divBdr>
                    <w:top w:val="none" w:sz="0" w:space="0" w:color="auto"/>
                    <w:left w:val="none" w:sz="0" w:space="0" w:color="auto"/>
                    <w:bottom w:val="none" w:sz="0" w:space="0" w:color="auto"/>
                    <w:right w:val="none" w:sz="0" w:space="0" w:color="auto"/>
                  </w:divBdr>
                  <w:divsChild>
                    <w:div w:id="16911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452689">
          <w:marLeft w:val="0"/>
          <w:marRight w:val="0"/>
          <w:marTop w:val="0"/>
          <w:marBottom w:val="0"/>
          <w:divBdr>
            <w:top w:val="none" w:sz="0" w:space="0" w:color="auto"/>
            <w:left w:val="none" w:sz="0" w:space="0" w:color="auto"/>
            <w:bottom w:val="none" w:sz="0" w:space="0" w:color="auto"/>
            <w:right w:val="none" w:sz="0" w:space="0" w:color="auto"/>
          </w:divBdr>
          <w:divsChild>
            <w:div w:id="1007288337">
              <w:marLeft w:val="-75"/>
              <w:marRight w:val="0"/>
              <w:marTop w:val="30"/>
              <w:marBottom w:val="30"/>
              <w:divBdr>
                <w:top w:val="none" w:sz="0" w:space="0" w:color="auto"/>
                <w:left w:val="none" w:sz="0" w:space="0" w:color="auto"/>
                <w:bottom w:val="none" w:sz="0" w:space="0" w:color="auto"/>
                <w:right w:val="none" w:sz="0" w:space="0" w:color="auto"/>
              </w:divBdr>
              <w:divsChild>
                <w:div w:id="166091469">
                  <w:marLeft w:val="0"/>
                  <w:marRight w:val="0"/>
                  <w:marTop w:val="0"/>
                  <w:marBottom w:val="0"/>
                  <w:divBdr>
                    <w:top w:val="none" w:sz="0" w:space="0" w:color="auto"/>
                    <w:left w:val="none" w:sz="0" w:space="0" w:color="auto"/>
                    <w:bottom w:val="none" w:sz="0" w:space="0" w:color="auto"/>
                    <w:right w:val="none" w:sz="0" w:space="0" w:color="auto"/>
                  </w:divBdr>
                  <w:divsChild>
                    <w:div w:id="1186792815">
                      <w:marLeft w:val="0"/>
                      <w:marRight w:val="0"/>
                      <w:marTop w:val="0"/>
                      <w:marBottom w:val="0"/>
                      <w:divBdr>
                        <w:top w:val="none" w:sz="0" w:space="0" w:color="auto"/>
                        <w:left w:val="none" w:sz="0" w:space="0" w:color="auto"/>
                        <w:bottom w:val="none" w:sz="0" w:space="0" w:color="auto"/>
                        <w:right w:val="none" w:sz="0" w:space="0" w:color="auto"/>
                      </w:divBdr>
                    </w:div>
                  </w:divsChild>
                </w:div>
                <w:div w:id="251744610">
                  <w:marLeft w:val="0"/>
                  <w:marRight w:val="0"/>
                  <w:marTop w:val="0"/>
                  <w:marBottom w:val="0"/>
                  <w:divBdr>
                    <w:top w:val="none" w:sz="0" w:space="0" w:color="auto"/>
                    <w:left w:val="none" w:sz="0" w:space="0" w:color="auto"/>
                    <w:bottom w:val="none" w:sz="0" w:space="0" w:color="auto"/>
                    <w:right w:val="none" w:sz="0" w:space="0" w:color="auto"/>
                  </w:divBdr>
                  <w:divsChild>
                    <w:div w:id="542909833">
                      <w:marLeft w:val="0"/>
                      <w:marRight w:val="0"/>
                      <w:marTop w:val="0"/>
                      <w:marBottom w:val="0"/>
                      <w:divBdr>
                        <w:top w:val="none" w:sz="0" w:space="0" w:color="auto"/>
                        <w:left w:val="none" w:sz="0" w:space="0" w:color="auto"/>
                        <w:bottom w:val="none" w:sz="0" w:space="0" w:color="auto"/>
                        <w:right w:val="none" w:sz="0" w:space="0" w:color="auto"/>
                      </w:divBdr>
                    </w:div>
                  </w:divsChild>
                </w:div>
                <w:div w:id="394090251">
                  <w:marLeft w:val="0"/>
                  <w:marRight w:val="0"/>
                  <w:marTop w:val="0"/>
                  <w:marBottom w:val="0"/>
                  <w:divBdr>
                    <w:top w:val="none" w:sz="0" w:space="0" w:color="auto"/>
                    <w:left w:val="none" w:sz="0" w:space="0" w:color="auto"/>
                    <w:bottom w:val="none" w:sz="0" w:space="0" w:color="auto"/>
                    <w:right w:val="none" w:sz="0" w:space="0" w:color="auto"/>
                  </w:divBdr>
                  <w:divsChild>
                    <w:div w:id="335158138">
                      <w:marLeft w:val="0"/>
                      <w:marRight w:val="0"/>
                      <w:marTop w:val="0"/>
                      <w:marBottom w:val="0"/>
                      <w:divBdr>
                        <w:top w:val="none" w:sz="0" w:space="0" w:color="auto"/>
                        <w:left w:val="none" w:sz="0" w:space="0" w:color="auto"/>
                        <w:bottom w:val="none" w:sz="0" w:space="0" w:color="auto"/>
                        <w:right w:val="none" w:sz="0" w:space="0" w:color="auto"/>
                      </w:divBdr>
                    </w:div>
                  </w:divsChild>
                </w:div>
                <w:div w:id="420950987">
                  <w:marLeft w:val="0"/>
                  <w:marRight w:val="0"/>
                  <w:marTop w:val="0"/>
                  <w:marBottom w:val="0"/>
                  <w:divBdr>
                    <w:top w:val="none" w:sz="0" w:space="0" w:color="auto"/>
                    <w:left w:val="none" w:sz="0" w:space="0" w:color="auto"/>
                    <w:bottom w:val="none" w:sz="0" w:space="0" w:color="auto"/>
                    <w:right w:val="none" w:sz="0" w:space="0" w:color="auto"/>
                  </w:divBdr>
                  <w:divsChild>
                    <w:div w:id="530269189">
                      <w:marLeft w:val="0"/>
                      <w:marRight w:val="0"/>
                      <w:marTop w:val="0"/>
                      <w:marBottom w:val="0"/>
                      <w:divBdr>
                        <w:top w:val="none" w:sz="0" w:space="0" w:color="auto"/>
                        <w:left w:val="none" w:sz="0" w:space="0" w:color="auto"/>
                        <w:bottom w:val="none" w:sz="0" w:space="0" w:color="auto"/>
                        <w:right w:val="none" w:sz="0" w:space="0" w:color="auto"/>
                      </w:divBdr>
                    </w:div>
                  </w:divsChild>
                </w:div>
                <w:div w:id="437142909">
                  <w:marLeft w:val="0"/>
                  <w:marRight w:val="0"/>
                  <w:marTop w:val="0"/>
                  <w:marBottom w:val="0"/>
                  <w:divBdr>
                    <w:top w:val="none" w:sz="0" w:space="0" w:color="auto"/>
                    <w:left w:val="none" w:sz="0" w:space="0" w:color="auto"/>
                    <w:bottom w:val="none" w:sz="0" w:space="0" w:color="auto"/>
                    <w:right w:val="none" w:sz="0" w:space="0" w:color="auto"/>
                  </w:divBdr>
                  <w:divsChild>
                    <w:div w:id="1230767272">
                      <w:marLeft w:val="0"/>
                      <w:marRight w:val="0"/>
                      <w:marTop w:val="0"/>
                      <w:marBottom w:val="0"/>
                      <w:divBdr>
                        <w:top w:val="none" w:sz="0" w:space="0" w:color="auto"/>
                        <w:left w:val="none" w:sz="0" w:space="0" w:color="auto"/>
                        <w:bottom w:val="none" w:sz="0" w:space="0" w:color="auto"/>
                        <w:right w:val="none" w:sz="0" w:space="0" w:color="auto"/>
                      </w:divBdr>
                    </w:div>
                  </w:divsChild>
                </w:div>
                <w:div w:id="641429286">
                  <w:marLeft w:val="0"/>
                  <w:marRight w:val="0"/>
                  <w:marTop w:val="0"/>
                  <w:marBottom w:val="0"/>
                  <w:divBdr>
                    <w:top w:val="none" w:sz="0" w:space="0" w:color="auto"/>
                    <w:left w:val="none" w:sz="0" w:space="0" w:color="auto"/>
                    <w:bottom w:val="none" w:sz="0" w:space="0" w:color="auto"/>
                    <w:right w:val="none" w:sz="0" w:space="0" w:color="auto"/>
                  </w:divBdr>
                  <w:divsChild>
                    <w:div w:id="1959338781">
                      <w:marLeft w:val="0"/>
                      <w:marRight w:val="0"/>
                      <w:marTop w:val="0"/>
                      <w:marBottom w:val="0"/>
                      <w:divBdr>
                        <w:top w:val="none" w:sz="0" w:space="0" w:color="auto"/>
                        <w:left w:val="none" w:sz="0" w:space="0" w:color="auto"/>
                        <w:bottom w:val="none" w:sz="0" w:space="0" w:color="auto"/>
                        <w:right w:val="none" w:sz="0" w:space="0" w:color="auto"/>
                      </w:divBdr>
                    </w:div>
                  </w:divsChild>
                </w:div>
                <w:div w:id="888885761">
                  <w:marLeft w:val="0"/>
                  <w:marRight w:val="0"/>
                  <w:marTop w:val="0"/>
                  <w:marBottom w:val="0"/>
                  <w:divBdr>
                    <w:top w:val="none" w:sz="0" w:space="0" w:color="auto"/>
                    <w:left w:val="none" w:sz="0" w:space="0" w:color="auto"/>
                    <w:bottom w:val="none" w:sz="0" w:space="0" w:color="auto"/>
                    <w:right w:val="none" w:sz="0" w:space="0" w:color="auto"/>
                  </w:divBdr>
                  <w:divsChild>
                    <w:div w:id="828666939">
                      <w:marLeft w:val="0"/>
                      <w:marRight w:val="0"/>
                      <w:marTop w:val="0"/>
                      <w:marBottom w:val="0"/>
                      <w:divBdr>
                        <w:top w:val="none" w:sz="0" w:space="0" w:color="auto"/>
                        <w:left w:val="none" w:sz="0" w:space="0" w:color="auto"/>
                        <w:bottom w:val="none" w:sz="0" w:space="0" w:color="auto"/>
                        <w:right w:val="none" w:sz="0" w:space="0" w:color="auto"/>
                      </w:divBdr>
                    </w:div>
                  </w:divsChild>
                </w:div>
                <w:div w:id="1008755080">
                  <w:marLeft w:val="0"/>
                  <w:marRight w:val="0"/>
                  <w:marTop w:val="0"/>
                  <w:marBottom w:val="0"/>
                  <w:divBdr>
                    <w:top w:val="none" w:sz="0" w:space="0" w:color="auto"/>
                    <w:left w:val="none" w:sz="0" w:space="0" w:color="auto"/>
                    <w:bottom w:val="none" w:sz="0" w:space="0" w:color="auto"/>
                    <w:right w:val="none" w:sz="0" w:space="0" w:color="auto"/>
                  </w:divBdr>
                  <w:divsChild>
                    <w:div w:id="173032778">
                      <w:marLeft w:val="0"/>
                      <w:marRight w:val="0"/>
                      <w:marTop w:val="0"/>
                      <w:marBottom w:val="0"/>
                      <w:divBdr>
                        <w:top w:val="none" w:sz="0" w:space="0" w:color="auto"/>
                        <w:left w:val="none" w:sz="0" w:space="0" w:color="auto"/>
                        <w:bottom w:val="none" w:sz="0" w:space="0" w:color="auto"/>
                        <w:right w:val="none" w:sz="0" w:space="0" w:color="auto"/>
                      </w:divBdr>
                    </w:div>
                  </w:divsChild>
                </w:div>
                <w:div w:id="1347244703">
                  <w:marLeft w:val="0"/>
                  <w:marRight w:val="0"/>
                  <w:marTop w:val="0"/>
                  <w:marBottom w:val="0"/>
                  <w:divBdr>
                    <w:top w:val="none" w:sz="0" w:space="0" w:color="auto"/>
                    <w:left w:val="none" w:sz="0" w:space="0" w:color="auto"/>
                    <w:bottom w:val="none" w:sz="0" w:space="0" w:color="auto"/>
                    <w:right w:val="none" w:sz="0" w:space="0" w:color="auto"/>
                  </w:divBdr>
                  <w:divsChild>
                    <w:div w:id="1035615535">
                      <w:marLeft w:val="0"/>
                      <w:marRight w:val="0"/>
                      <w:marTop w:val="0"/>
                      <w:marBottom w:val="0"/>
                      <w:divBdr>
                        <w:top w:val="none" w:sz="0" w:space="0" w:color="auto"/>
                        <w:left w:val="none" w:sz="0" w:space="0" w:color="auto"/>
                        <w:bottom w:val="none" w:sz="0" w:space="0" w:color="auto"/>
                        <w:right w:val="none" w:sz="0" w:space="0" w:color="auto"/>
                      </w:divBdr>
                    </w:div>
                  </w:divsChild>
                </w:div>
                <w:div w:id="1438980991">
                  <w:marLeft w:val="0"/>
                  <w:marRight w:val="0"/>
                  <w:marTop w:val="0"/>
                  <w:marBottom w:val="0"/>
                  <w:divBdr>
                    <w:top w:val="none" w:sz="0" w:space="0" w:color="auto"/>
                    <w:left w:val="none" w:sz="0" w:space="0" w:color="auto"/>
                    <w:bottom w:val="none" w:sz="0" w:space="0" w:color="auto"/>
                    <w:right w:val="none" w:sz="0" w:space="0" w:color="auto"/>
                  </w:divBdr>
                  <w:divsChild>
                    <w:div w:id="1062289171">
                      <w:marLeft w:val="0"/>
                      <w:marRight w:val="0"/>
                      <w:marTop w:val="0"/>
                      <w:marBottom w:val="0"/>
                      <w:divBdr>
                        <w:top w:val="none" w:sz="0" w:space="0" w:color="auto"/>
                        <w:left w:val="none" w:sz="0" w:space="0" w:color="auto"/>
                        <w:bottom w:val="none" w:sz="0" w:space="0" w:color="auto"/>
                        <w:right w:val="none" w:sz="0" w:space="0" w:color="auto"/>
                      </w:divBdr>
                    </w:div>
                  </w:divsChild>
                </w:div>
                <w:div w:id="2074157303">
                  <w:marLeft w:val="0"/>
                  <w:marRight w:val="0"/>
                  <w:marTop w:val="0"/>
                  <w:marBottom w:val="0"/>
                  <w:divBdr>
                    <w:top w:val="none" w:sz="0" w:space="0" w:color="auto"/>
                    <w:left w:val="none" w:sz="0" w:space="0" w:color="auto"/>
                    <w:bottom w:val="none" w:sz="0" w:space="0" w:color="auto"/>
                    <w:right w:val="none" w:sz="0" w:space="0" w:color="auto"/>
                  </w:divBdr>
                  <w:divsChild>
                    <w:div w:id="1545754974">
                      <w:marLeft w:val="0"/>
                      <w:marRight w:val="0"/>
                      <w:marTop w:val="0"/>
                      <w:marBottom w:val="0"/>
                      <w:divBdr>
                        <w:top w:val="none" w:sz="0" w:space="0" w:color="auto"/>
                        <w:left w:val="none" w:sz="0" w:space="0" w:color="auto"/>
                        <w:bottom w:val="none" w:sz="0" w:space="0" w:color="auto"/>
                        <w:right w:val="none" w:sz="0" w:space="0" w:color="auto"/>
                      </w:divBdr>
                    </w:div>
                  </w:divsChild>
                </w:div>
                <w:div w:id="2075203754">
                  <w:marLeft w:val="0"/>
                  <w:marRight w:val="0"/>
                  <w:marTop w:val="0"/>
                  <w:marBottom w:val="0"/>
                  <w:divBdr>
                    <w:top w:val="none" w:sz="0" w:space="0" w:color="auto"/>
                    <w:left w:val="none" w:sz="0" w:space="0" w:color="auto"/>
                    <w:bottom w:val="none" w:sz="0" w:space="0" w:color="auto"/>
                    <w:right w:val="none" w:sz="0" w:space="0" w:color="auto"/>
                  </w:divBdr>
                  <w:divsChild>
                    <w:div w:id="40903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66053">
          <w:marLeft w:val="0"/>
          <w:marRight w:val="0"/>
          <w:marTop w:val="0"/>
          <w:marBottom w:val="0"/>
          <w:divBdr>
            <w:top w:val="none" w:sz="0" w:space="0" w:color="auto"/>
            <w:left w:val="none" w:sz="0" w:space="0" w:color="auto"/>
            <w:bottom w:val="none" w:sz="0" w:space="0" w:color="auto"/>
            <w:right w:val="none" w:sz="0" w:space="0" w:color="auto"/>
          </w:divBdr>
          <w:divsChild>
            <w:div w:id="1596744898">
              <w:marLeft w:val="-75"/>
              <w:marRight w:val="0"/>
              <w:marTop w:val="30"/>
              <w:marBottom w:val="30"/>
              <w:divBdr>
                <w:top w:val="none" w:sz="0" w:space="0" w:color="auto"/>
                <w:left w:val="none" w:sz="0" w:space="0" w:color="auto"/>
                <w:bottom w:val="none" w:sz="0" w:space="0" w:color="auto"/>
                <w:right w:val="none" w:sz="0" w:space="0" w:color="auto"/>
              </w:divBdr>
              <w:divsChild>
                <w:div w:id="27492255">
                  <w:marLeft w:val="0"/>
                  <w:marRight w:val="0"/>
                  <w:marTop w:val="0"/>
                  <w:marBottom w:val="0"/>
                  <w:divBdr>
                    <w:top w:val="none" w:sz="0" w:space="0" w:color="auto"/>
                    <w:left w:val="none" w:sz="0" w:space="0" w:color="auto"/>
                    <w:bottom w:val="none" w:sz="0" w:space="0" w:color="auto"/>
                    <w:right w:val="none" w:sz="0" w:space="0" w:color="auto"/>
                  </w:divBdr>
                  <w:divsChild>
                    <w:div w:id="1283414890">
                      <w:marLeft w:val="0"/>
                      <w:marRight w:val="0"/>
                      <w:marTop w:val="0"/>
                      <w:marBottom w:val="0"/>
                      <w:divBdr>
                        <w:top w:val="none" w:sz="0" w:space="0" w:color="auto"/>
                        <w:left w:val="none" w:sz="0" w:space="0" w:color="auto"/>
                        <w:bottom w:val="none" w:sz="0" w:space="0" w:color="auto"/>
                        <w:right w:val="none" w:sz="0" w:space="0" w:color="auto"/>
                      </w:divBdr>
                    </w:div>
                  </w:divsChild>
                </w:div>
                <w:div w:id="40329055">
                  <w:marLeft w:val="0"/>
                  <w:marRight w:val="0"/>
                  <w:marTop w:val="0"/>
                  <w:marBottom w:val="0"/>
                  <w:divBdr>
                    <w:top w:val="none" w:sz="0" w:space="0" w:color="auto"/>
                    <w:left w:val="none" w:sz="0" w:space="0" w:color="auto"/>
                    <w:bottom w:val="none" w:sz="0" w:space="0" w:color="auto"/>
                    <w:right w:val="none" w:sz="0" w:space="0" w:color="auto"/>
                  </w:divBdr>
                  <w:divsChild>
                    <w:div w:id="759722045">
                      <w:marLeft w:val="0"/>
                      <w:marRight w:val="0"/>
                      <w:marTop w:val="0"/>
                      <w:marBottom w:val="0"/>
                      <w:divBdr>
                        <w:top w:val="none" w:sz="0" w:space="0" w:color="auto"/>
                        <w:left w:val="none" w:sz="0" w:space="0" w:color="auto"/>
                        <w:bottom w:val="none" w:sz="0" w:space="0" w:color="auto"/>
                        <w:right w:val="none" w:sz="0" w:space="0" w:color="auto"/>
                      </w:divBdr>
                    </w:div>
                  </w:divsChild>
                </w:div>
                <w:div w:id="104424373">
                  <w:marLeft w:val="0"/>
                  <w:marRight w:val="0"/>
                  <w:marTop w:val="0"/>
                  <w:marBottom w:val="0"/>
                  <w:divBdr>
                    <w:top w:val="none" w:sz="0" w:space="0" w:color="auto"/>
                    <w:left w:val="none" w:sz="0" w:space="0" w:color="auto"/>
                    <w:bottom w:val="none" w:sz="0" w:space="0" w:color="auto"/>
                    <w:right w:val="none" w:sz="0" w:space="0" w:color="auto"/>
                  </w:divBdr>
                  <w:divsChild>
                    <w:div w:id="1583486484">
                      <w:marLeft w:val="0"/>
                      <w:marRight w:val="0"/>
                      <w:marTop w:val="0"/>
                      <w:marBottom w:val="0"/>
                      <w:divBdr>
                        <w:top w:val="none" w:sz="0" w:space="0" w:color="auto"/>
                        <w:left w:val="none" w:sz="0" w:space="0" w:color="auto"/>
                        <w:bottom w:val="none" w:sz="0" w:space="0" w:color="auto"/>
                        <w:right w:val="none" w:sz="0" w:space="0" w:color="auto"/>
                      </w:divBdr>
                    </w:div>
                  </w:divsChild>
                </w:div>
                <w:div w:id="105467274">
                  <w:marLeft w:val="0"/>
                  <w:marRight w:val="0"/>
                  <w:marTop w:val="0"/>
                  <w:marBottom w:val="0"/>
                  <w:divBdr>
                    <w:top w:val="none" w:sz="0" w:space="0" w:color="auto"/>
                    <w:left w:val="none" w:sz="0" w:space="0" w:color="auto"/>
                    <w:bottom w:val="none" w:sz="0" w:space="0" w:color="auto"/>
                    <w:right w:val="none" w:sz="0" w:space="0" w:color="auto"/>
                  </w:divBdr>
                  <w:divsChild>
                    <w:div w:id="1974754577">
                      <w:marLeft w:val="0"/>
                      <w:marRight w:val="0"/>
                      <w:marTop w:val="0"/>
                      <w:marBottom w:val="0"/>
                      <w:divBdr>
                        <w:top w:val="none" w:sz="0" w:space="0" w:color="auto"/>
                        <w:left w:val="none" w:sz="0" w:space="0" w:color="auto"/>
                        <w:bottom w:val="none" w:sz="0" w:space="0" w:color="auto"/>
                        <w:right w:val="none" w:sz="0" w:space="0" w:color="auto"/>
                      </w:divBdr>
                    </w:div>
                  </w:divsChild>
                </w:div>
                <w:div w:id="166216787">
                  <w:marLeft w:val="0"/>
                  <w:marRight w:val="0"/>
                  <w:marTop w:val="0"/>
                  <w:marBottom w:val="0"/>
                  <w:divBdr>
                    <w:top w:val="none" w:sz="0" w:space="0" w:color="auto"/>
                    <w:left w:val="none" w:sz="0" w:space="0" w:color="auto"/>
                    <w:bottom w:val="none" w:sz="0" w:space="0" w:color="auto"/>
                    <w:right w:val="none" w:sz="0" w:space="0" w:color="auto"/>
                  </w:divBdr>
                  <w:divsChild>
                    <w:div w:id="912927897">
                      <w:marLeft w:val="0"/>
                      <w:marRight w:val="0"/>
                      <w:marTop w:val="0"/>
                      <w:marBottom w:val="0"/>
                      <w:divBdr>
                        <w:top w:val="none" w:sz="0" w:space="0" w:color="auto"/>
                        <w:left w:val="none" w:sz="0" w:space="0" w:color="auto"/>
                        <w:bottom w:val="none" w:sz="0" w:space="0" w:color="auto"/>
                        <w:right w:val="none" w:sz="0" w:space="0" w:color="auto"/>
                      </w:divBdr>
                    </w:div>
                  </w:divsChild>
                </w:div>
                <w:div w:id="261766033">
                  <w:marLeft w:val="0"/>
                  <w:marRight w:val="0"/>
                  <w:marTop w:val="0"/>
                  <w:marBottom w:val="0"/>
                  <w:divBdr>
                    <w:top w:val="none" w:sz="0" w:space="0" w:color="auto"/>
                    <w:left w:val="none" w:sz="0" w:space="0" w:color="auto"/>
                    <w:bottom w:val="none" w:sz="0" w:space="0" w:color="auto"/>
                    <w:right w:val="none" w:sz="0" w:space="0" w:color="auto"/>
                  </w:divBdr>
                  <w:divsChild>
                    <w:div w:id="1677464431">
                      <w:marLeft w:val="0"/>
                      <w:marRight w:val="0"/>
                      <w:marTop w:val="0"/>
                      <w:marBottom w:val="0"/>
                      <w:divBdr>
                        <w:top w:val="none" w:sz="0" w:space="0" w:color="auto"/>
                        <w:left w:val="none" w:sz="0" w:space="0" w:color="auto"/>
                        <w:bottom w:val="none" w:sz="0" w:space="0" w:color="auto"/>
                        <w:right w:val="none" w:sz="0" w:space="0" w:color="auto"/>
                      </w:divBdr>
                    </w:div>
                  </w:divsChild>
                </w:div>
                <w:div w:id="297029738">
                  <w:marLeft w:val="0"/>
                  <w:marRight w:val="0"/>
                  <w:marTop w:val="0"/>
                  <w:marBottom w:val="0"/>
                  <w:divBdr>
                    <w:top w:val="none" w:sz="0" w:space="0" w:color="auto"/>
                    <w:left w:val="none" w:sz="0" w:space="0" w:color="auto"/>
                    <w:bottom w:val="none" w:sz="0" w:space="0" w:color="auto"/>
                    <w:right w:val="none" w:sz="0" w:space="0" w:color="auto"/>
                  </w:divBdr>
                  <w:divsChild>
                    <w:div w:id="5715956">
                      <w:marLeft w:val="0"/>
                      <w:marRight w:val="0"/>
                      <w:marTop w:val="0"/>
                      <w:marBottom w:val="0"/>
                      <w:divBdr>
                        <w:top w:val="none" w:sz="0" w:space="0" w:color="auto"/>
                        <w:left w:val="none" w:sz="0" w:space="0" w:color="auto"/>
                        <w:bottom w:val="none" w:sz="0" w:space="0" w:color="auto"/>
                        <w:right w:val="none" w:sz="0" w:space="0" w:color="auto"/>
                      </w:divBdr>
                    </w:div>
                  </w:divsChild>
                </w:div>
                <w:div w:id="299501227">
                  <w:marLeft w:val="0"/>
                  <w:marRight w:val="0"/>
                  <w:marTop w:val="0"/>
                  <w:marBottom w:val="0"/>
                  <w:divBdr>
                    <w:top w:val="none" w:sz="0" w:space="0" w:color="auto"/>
                    <w:left w:val="none" w:sz="0" w:space="0" w:color="auto"/>
                    <w:bottom w:val="none" w:sz="0" w:space="0" w:color="auto"/>
                    <w:right w:val="none" w:sz="0" w:space="0" w:color="auto"/>
                  </w:divBdr>
                  <w:divsChild>
                    <w:div w:id="487094141">
                      <w:marLeft w:val="0"/>
                      <w:marRight w:val="0"/>
                      <w:marTop w:val="0"/>
                      <w:marBottom w:val="0"/>
                      <w:divBdr>
                        <w:top w:val="none" w:sz="0" w:space="0" w:color="auto"/>
                        <w:left w:val="none" w:sz="0" w:space="0" w:color="auto"/>
                        <w:bottom w:val="none" w:sz="0" w:space="0" w:color="auto"/>
                        <w:right w:val="none" w:sz="0" w:space="0" w:color="auto"/>
                      </w:divBdr>
                    </w:div>
                  </w:divsChild>
                </w:div>
                <w:div w:id="337273864">
                  <w:marLeft w:val="0"/>
                  <w:marRight w:val="0"/>
                  <w:marTop w:val="0"/>
                  <w:marBottom w:val="0"/>
                  <w:divBdr>
                    <w:top w:val="none" w:sz="0" w:space="0" w:color="auto"/>
                    <w:left w:val="none" w:sz="0" w:space="0" w:color="auto"/>
                    <w:bottom w:val="none" w:sz="0" w:space="0" w:color="auto"/>
                    <w:right w:val="none" w:sz="0" w:space="0" w:color="auto"/>
                  </w:divBdr>
                  <w:divsChild>
                    <w:div w:id="1263879510">
                      <w:marLeft w:val="0"/>
                      <w:marRight w:val="0"/>
                      <w:marTop w:val="0"/>
                      <w:marBottom w:val="0"/>
                      <w:divBdr>
                        <w:top w:val="none" w:sz="0" w:space="0" w:color="auto"/>
                        <w:left w:val="none" w:sz="0" w:space="0" w:color="auto"/>
                        <w:bottom w:val="none" w:sz="0" w:space="0" w:color="auto"/>
                        <w:right w:val="none" w:sz="0" w:space="0" w:color="auto"/>
                      </w:divBdr>
                    </w:div>
                  </w:divsChild>
                </w:div>
                <w:div w:id="362169171">
                  <w:marLeft w:val="0"/>
                  <w:marRight w:val="0"/>
                  <w:marTop w:val="0"/>
                  <w:marBottom w:val="0"/>
                  <w:divBdr>
                    <w:top w:val="none" w:sz="0" w:space="0" w:color="auto"/>
                    <w:left w:val="none" w:sz="0" w:space="0" w:color="auto"/>
                    <w:bottom w:val="none" w:sz="0" w:space="0" w:color="auto"/>
                    <w:right w:val="none" w:sz="0" w:space="0" w:color="auto"/>
                  </w:divBdr>
                  <w:divsChild>
                    <w:div w:id="692994271">
                      <w:marLeft w:val="0"/>
                      <w:marRight w:val="0"/>
                      <w:marTop w:val="0"/>
                      <w:marBottom w:val="0"/>
                      <w:divBdr>
                        <w:top w:val="none" w:sz="0" w:space="0" w:color="auto"/>
                        <w:left w:val="none" w:sz="0" w:space="0" w:color="auto"/>
                        <w:bottom w:val="none" w:sz="0" w:space="0" w:color="auto"/>
                        <w:right w:val="none" w:sz="0" w:space="0" w:color="auto"/>
                      </w:divBdr>
                    </w:div>
                    <w:div w:id="937714782">
                      <w:marLeft w:val="0"/>
                      <w:marRight w:val="0"/>
                      <w:marTop w:val="0"/>
                      <w:marBottom w:val="0"/>
                      <w:divBdr>
                        <w:top w:val="none" w:sz="0" w:space="0" w:color="auto"/>
                        <w:left w:val="none" w:sz="0" w:space="0" w:color="auto"/>
                        <w:bottom w:val="none" w:sz="0" w:space="0" w:color="auto"/>
                        <w:right w:val="none" w:sz="0" w:space="0" w:color="auto"/>
                      </w:divBdr>
                    </w:div>
                  </w:divsChild>
                </w:div>
                <w:div w:id="405223946">
                  <w:marLeft w:val="0"/>
                  <w:marRight w:val="0"/>
                  <w:marTop w:val="0"/>
                  <w:marBottom w:val="0"/>
                  <w:divBdr>
                    <w:top w:val="none" w:sz="0" w:space="0" w:color="auto"/>
                    <w:left w:val="none" w:sz="0" w:space="0" w:color="auto"/>
                    <w:bottom w:val="none" w:sz="0" w:space="0" w:color="auto"/>
                    <w:right w:val="none" w:sz="0" w:space="0" w:color="auto"/>
                  </w:divBdr>
                  <w:divsChild>
                    <w:div w:id="1179850327">
                      <w:marLeft w:val="0"/>
                      <w:marRight w:val="0"/>
                      <w:marTop w:val="0"/>
                      <w:marBottom w:val="0"/>
                      <w:divBdr>
                        <w:top w:val="none" w:sz="0" w:space="0" w:color="auto"/>
                        <w:left w:val="none" w:sz="0" w:space="0" w:color="auto"/>
                        <w:bottom w:val="none" w:sz="0" w:space="0" w:color="auto"/>
                        <w:right w:val="none" w:sz="0" w:space="0" w:color="auto"/>
                      </w:divBdr>
                    </w:div>
                  </w:divsChild>
                </w:div>
                <w:div w:id="407843508">
                  <w:marLeft w:val="0"/>
                  <w:marRight w:val="0"/>
                  <w:marTop w:val="0"/>
                  <w:marBottom w:val="0"/>
                  <w:divBdr>
                    <w:top w:val="none" w:sz="0" w:space="0" w:color="auto"/>
                    <w:left w:val="none" w:sz="0" w:space="0" w:color="auto"/>
                    <w:bottom w:val="none" w:sz="0" w:space="0" w:color="auto"/>
                    <w:right w:val="none" w:sz="0" w:space="0" w:color="auto"/>
                  </w:divBdr>
                  <w:divsChild>
                    <w:div w:id="878778440">
                      <w:marLeft w:val="0"/>
                      <w:marRight w:val="0"/>
                      <w:marTop w:val="0"/>
                      <w:marBottom w:val="0"/>
                      <w:divBdr>
                        <w:top w:val="none" w:sz="0" w:space="0" w:color="auto"/>
                        <w:left w:val="none" w:sz="0" w:space="0" w:color="auto"/>
                        <w:bottom w:val="none" w:sz="0" w:space="0" w:color="auto"/>
                        <w:right w:val="none" w:sz="0" w:space="0" w:color="auto"/>
                      </w:divBdr>
                    </w:div>
                    <w:div w:id="966088711">
                      <w:marLeft w:val="0"/>
                      <w:marRight w:val="0"/>
                      <w:marTop w:val="0"/>
                      <w:marBottom w:val="0"/>
                      <w:divBdr>
                        <w:top w:val="none" w:sz="0" w:space="0" w:color="auto"/>
                        <w:left w:val="none" w:sz="0" w:space="0" w:color="auto"/>
                        <w:bottom w:val="none" w:sz="0" w:space="0" w:color="auto"/>
                        <w:right w:val="none" w:sz="0" w:space="0" w:color="auto"/>
                      </w:divBdr>
                    </w:div>
                  </w:divsChild>
                </w:div>
                <w:div w:id="414058759">
                  <w:marLeft w:val="0"/>
                  <w:marRight w:val="0"/>
                  <w:marTop w:val="0"/>
                  <w:marBottom w:val="0"/>
                  <w:divBdr>
                    <w:top w:val="none" w:sz="0" w:space="0" w:color="auto"/>
                    <w:left w:val="none" w:sz="0" w:space="0" w:color="auto"/>
                    <w:bottom w:val="none" w:sz="0" w:space="0" w:color="auto"/>
                    <w:right w:val="none" w:sz="0" w:space="0" w:color="auto"/>
                  </w:divBdr>
                  <w:divsChild>
                    <w:div w:id="1847747321">
                      <w:marLeft w:val="0"/>
                      <w:marRight w:val="0"/>
                      <w:marTop w:val="0"/>
                      <w:marBottom w:val="0"/>
                      <w:divBdr>
                        <w:top w:val="none" w:sz="0" w:space="0" w:color="auto"/>
                        <w:left w:val="none" w:sz="0" w:space="0" w:color="auto"/>
                        <w:bottom w:val="none" w:sz="0" w:space="0" w:color="auto"/>
                        <w:right w:val="none" w:sz="0" w:space="0" w:color="auto"/>
                      </w:divBdr>
                    </w:div>
                  </w:divsChild>
                </w:div>
                <w:div w:id="443354171">
                  <w:marLeft w:val="0"/>
                  <w:marRight w:val="0"/>
                  <w:marTop w:val="0"/>
                  <w:marBottom w:val="0"/>
                  <w:divBdr>
                    <w:top w:val="none" w:sz="0" w:space="0" w:color="auto"/>
                    <w:left w:val="none" w:sz="0" w:space="0" w:color="auto"/>
                    <w:bottom w:val="none" w:sz="0" w:space="0" w:color="auto"/>
                    <w:right w:val="none" w:sz="0" w:space="0" w:color="auto"/>
                  </w:divBdr>
                  <w:divsChild>
                    <w:div w:id="2037346459">
                      <w:marLeft w:val="0"/>
                      <w:marRight w:val="0"/>
                      <w:marTop w:val="0"/>
                      <w:marBottom w:val="0"/>
                      <w:divBdr>
                        <w:top w:val="none" w:sz="0" w:space="0" w:color="auto"/>
                        <w:left w:val="none" w:sz="0" w:space="0" w:color="auto"/>
                        <w:bottom w:val="none" w:sz="0" w:space="0" w:color="auto"/>
                        <w:right w:val="none" w:sz="0" w:space="0" w:color="auto"/>
                      </w:divBdr>
                    </w:div>
                  </w:divsChild>
                </w:div>
                <w:div w:id="456721997">
                  <w:marLeft w:val="0"/>
                  <w:marRight w:val="0"/>
                  <w:marTop w:val="0"/>
                  <w:marBottom w:val="0"/>
                  <w:divBdr>
                    <w:top w:val="none" w:sz="0" w:space="0" w:color="auto"/>
                    <w:left w:val="none" w:sz="0" w:space="0" w:color="auto"/>
                    <w:bottom w:val="none" w:sz="0" w:space="0" w:color="auto"/>
                    <w:right w:val="none" w:sz="0" w:space="0" w:color="auto"/>
                  </w:divBdr>
                  <w:divsChild>
                    <w:div w:id="337464926">
                      <w:marLeft w:val="0"/>
                      <w:marRight w:val="0"/>
                      <w:marTop w:val="0"/>
                      <w:marBottom w:val="0"/>
                      <w:divBdr>
                        <w:top w:val="none" w:sz="0" w:space="0" w:color="auto"/>
                        <w:left w:val="none" w:sz="0" w:space="0" w:color="auto"/>
                        <w:bottom w:val="none" w:sz="0" w:space="0" w:color="auto"/>
                        <w:right w:val="none" w:sz="0" w:space="0" w:color="auto"/>
                      </w:divBdr>
                    </w:div>
                  </w:divsChild>
                </w:div>
                <w:div w:id="487672077">
                  <w:marLeft w:val="0"/>
                  <w:marRight w:val="0"/>
                  <w:marTop w:val="0"/>
                  <w:marBottom w:val="0"/>
                  <w:divBdr>
                    <w:top w:val="none" w:sz="0" w:space="0" w:color="auto"/>
                    <w:left w:val="none" w:sz="0" w:space="0" w:color="auto"/>
                    <w:bottom w:val="none" w:sz="0" w:space="0" w:color="auto"/>
                    <w:right w:val="none" w:sz="0" w:space="0" w:color="auto"/>
                  </w:divBdr>
                  <w:divsChild>
                    <w:div w:id="202523053">
                      <w:marLeft w:val="0"/>
                      <w:marRight w:val="0"/>
                      <w:marTop w:val="0"/>
                      <w:marBottom w:val="0"/>
                      <w:divBdr>
                        <w:top w:val="none" w:sz="0" w:space="0" w:color="auto"/>
                        <w:left w:val="none" w:sz="0" w:space="0" w:color="auto"/>
                        <w:bottom w:val="none" w:sz="0" w:space="0" w:color="auto"/>
                        <w:right w:val="none" w:sz="0" w:space="0" w:color="auto"/>
                      </w:divBdr>
                    </w:div>
                    <w:div w:id="658576079">
                      <w:marLeft w:val="0"/>
                      <w:marRight w:val="0"/>
                      <w:marTop w:val="0"/>
                      <w:marBottom w:val="0"/>
                      <w:divBdr>
                        <w:top w:val="none" w:sz="0" w:space="0" w:color="auto"/>
                        <w:left w:val="none" w:sz="0" w:space="0" w:color="auto"/>
                        <w:bottom w:val="none" w:sz="0" w:space="0" w:color="auto"/>
                        <w:right w:val="none" w:sz="0" w:space="0" w:color="auto"/>
                      </w:divBdr>
                    </w:div>
                  </w:divsChild>
                </w:div>
                <w:div w:id="501049639">
                  <w:marLeft w:val="0"/>
                  <w:marRight w:val="0"/>
                  <w:marTop w:val="0"/>
                  <w:marBottom w:val="0"/>
                  <w:divBdr>
                    <w:top w:val="none" w:sz="0" w:space="0" w:color="auto"/>
                    <w:left w:val="none" w:sz="0" w:space="0" w:color="auto"/>
                    <w:bottom w:val="none" w:sz="0" w:space="0" w:color="auto"/>
                    <w:right w:val="none" w:sz="0" w:space="0" w:color="auto"/>
                  </w:divBdr>
                  <w:divsChild>
                    <w:div w:id="542525135">
                      <w:marLeft w:val="0"/>
                      <w:marRight w:val="0"/>
                      <w:marTop w:val="0"/>
                      <w:marBottom w:val="0"/>
                      <w:divBdr>
                        <w:top w:val="none" w:sz="0" w:space="0" w:color="auto"/>
                        <w:left w:val="none" w:sz="0" w:space="0" w:color="auto"/>
                        <w:bottom w:val="none" w:sz="0" w:space="0" w:color="auto"/>
                        <w:right w:val="none" w:sz="0" w:space="0" w:color="auto"/>
                      </w:divBdr>
                    </w:div>
                  </w:divsChild>
                </w:div>
                <w:div w:id="511066243">
                  <w:marLeft w:val="0"/>
                  <w:marRight w:val="0"/>
                  <w:marTop w:val="0"/>
                  <w:marBottom w:val="0"/>
                  <w:divBdr>
                    <w:top w:val="none" w:sz="0" w:space="0" w:color="auto"/>
                    <w:left w:val="none" w:sz="0" w:space="0" w:color="auto"/>
                    <w:bottom w:val="none" w:sz="0" w:space="0" w:color="auto"/>
                    <w:right w:val="none" w:sz="0" w:space="0" w:color="auto"/>
                  </w:divBdr>
                  <w:divsChild>
                    <w:div w:id="1968585835">
                      <w:marLeft w:val="0"/>
                      <w:marRight w:val="0"/>
                      <w:marTop w:val="0"/>
                      <w:marBottom w:val="0"/>
                      <w:divBdr>
                        <w:top w:val="none" w:sz="0" w:space="0" w:color="auto"/>
                        <w:left w:val="none" w:sz="0" w:space="0" w:color="auto"/>
                        <w:bottom w:val="none" w:sz="0" w:space="0" w:color="auto"/>
                        <w:right w:val="none" w:sz="0" w:space="0" w:color="auto"/>
                      </w:divBdr>
                    </w:div>
                    <w:div w:id="2086997731">
                      <w:marLeft w:val="0"/>
                      <w:marRight w:val="0"/>
                      <w:marTop w:val="0"/>
                      <w:marBottom w:val="0"/>
                      <w:divBdr>
                        <w:top w:val="none" w:sz="0" w:space="0" w:color="auto"/>
                        <w:left w:val="none" w:sz="0" w:space="0" w:color="auto"/>
                        <w:bottom w:val="none" w:sz="0" w:space="0" w:color="auto"/>
                        <w:right w:val="none" w:sz="0" w:space="0" w:color="auto"/>
                      </w:divBdr>
                    </w:div>
                  </w:divsChild>
                </w:div>
                <w:div w:id="537814260">
                  <w:marLeft w:val="0"/>
                  <w:marRight w:val="0"/>
                  <w:marTop w:val="0"/>
                  <w:marBottom w:val="0"/>
                  <w:divBdr>
                    <w:top w:val="none" w:sz="0" w:space="0" w:color="auto"/>
                    <w:left w:val="none" w:sz="0" w:space="0" w:color="auto"/>
                    <w:bottom w:val="none" w:sz="0" w:space="0" w:color="auto"/>
                    <w:right w:val="none" w:sz="0" w:space="0" w:color="auto"/>
                  </w:divBdr>
                  <w:divsChild>
                    <w:div w:id="36123502">
                      <w:marLeft w:val="0"/>
                      <w:marRight w:val="0"/>
                      <w:marTop w:val="0"/>
                      <w:marBottom w:val="0"/>
                      <w:divBdr>
                        <w:top w:val="none" w:sz="0" w:space="0" w:color="auto"/>
                        <w:left w:val="none" w:sz="0" w:space="0" w:color="auto"/>
                        <w:bottom w:val="none" w:sz="0" w:space="0" w:color="auto"/>
                        <w:right w:val="none" w:sz="0" w:space="0" w:color="auto"/>
                      </w:divBdr>
                    </w:div>
                  </w:divsChild>
                </w:div>
                <w:div w:id="543760123">
                  <w:marLeft w:val="0"/>
                  <w:marRight w:val="0"/>
                  <w:marTop w:val="0"/>
                  <w:marBottom w:val="0"/>
                  <w:divBdr>
                    <w:top w:val="none" w:sz="0" w:space="0" w:color="auto"/>
                    <w:left w:val="none" w:sz="0" w:space="0" w:color="auto"/>
                    <w:bottom w:val="none" w:sz="0" w:space="0" w:color="auto"/>
                    <w:right w:val="none" w:sz="0" w:space="0" w:color="auto"/>
                  </w:divBdr>
                  <w:divsChild>
                    <w:div w:id="1128624150">
                      <w:marLeft w:val="0"/>
                      <w:marRight w:val="0"/>
                      <w:marTop w:val="0"/>
                      <w:marBottom w:val="0"/>
                      <w:divBdr>
                        <w:top w:val="none" w:sz="0" w:space="0" w:color="auto"/>
                        <w:left w:val="none" w:sz="0" w:space="0" w:color="auto"/>
                        <w:bottom w:val="none" w:sz="0" w:space="0" w:color="auto"/>
                        <w:right w:val="none" w:sz="0" w:space="0" w:color="auto"/>
                      </w:divBdr>
                    </w:div>
                  </w:divsChild>
                </w:div>
                <w:div w:id="573127152">
                  <w:marLeft w:val="0"/>
                  <w:marRight w:val="0"/>
                  <w:marTop w:val="0"/>
                  <w:marBottom w:val="0"/>
                  <w:divBdr>
                    <w:top w:val="none" w:sz="0" w:space="0" w:color="auto"/>
                    <w:left w:val="none" w:sz="0" w:space="0" w:color="auto"/>
                    <w:bottom w:val="none" w:sz="0" w:space="0" w:color="auto"/>
                    <w:right w:val="none" w:sz="0" w:space="0" w:color="auto"/>
                  </w:divBdr>
                  <w:divsChild>
                    <w:div w:id="1009598249">
                      <w:marLeft w:val="0"/>
                      <w:marRight w:val="0"/>
                      <w:marTop w:val="0"/>
                      <w:marBottom w:val="0"/>
                      <w:divBdr>
                        <w:top w:val="none" w:sz="0" w:space="0" w:color="auto"/>
                        <w:left w:val="none" w:sz="0" w:space="0" w:color="auto"/>
                        <w:bottom w:val="none" w:sz="0" w:space="0" w:color="auto"/>
                        <w:right w:val="none" w:sz="0" w:space="0" w:color="auto"/>
                      </w:divBdr>
                    </w:div>
                  </w:divsChild>
                </w:div>
                <w:div w:id="579144977">
                  <w:marLeft w:val="0"/>
                  <w:marRight w:val="0"/>
                  <w:marTop w:val="0"/>
                  <w:marBottom w:val="0"/>
                  <w:divBdr>
                    <w:top w:val="none" w:sz="0" w:space="0" w:color="auto"/>
                    <w:left w:val="none" w:sz="0" w:space="0" w:color="auto"/>
                    <w:bottom w:val="none" w:sz="0" w:space="0" w:color="auto"/>
                    <w:right w:val="none" w:sz="0" w:space="0" w:color="auto"/>
                  </w:divBdr>
                  <w:divsChild>
                    <w:div w:id="1780223378">
                      <w:marLeft w:val="0"/>
                      <w:marRight w:val="0"/>
                      <w:marTop w:val="0"/>
                      <w:marBottom w:val="0"/>
                      <w:divBdr>
                        <w:top w:val="none" w:sz="0" w:space="0" w:color="auto"/>
                        <w:left w:val="none" w:sz="0" w:space="0" w:color="auto"/>
                        <w:bottom w:val="none" w:sz="0" w:space="0" w:color="auto"/>
                        <w:right w:val="none" w:sz="0" w:space="0" w:color="auto"/>
                      </w:divBdr>
                    </w:div>
                  </w:divsChild>
                </w:div>
                <w:div w:id="627471330">
                  <w:marLeft w:val="0"/>
                  <w:marRight w:val="0"/>
                  <w:marTop w:val="0"/>
                  <w:marBottom w:val="0"/>
                  <w:divBdr>
                    <w:top w:val="none" w:sz="0" w:space="0" w:color="auto"/>
                    <w:left w:val="none" w:sz="0" w:space="0" w:color="auto"/>
                    <w:bottom w:val="none" w:sz="0" w:space="0" w:color="auto"/>
                    <w:right w:val="none" w:sz="0" w:space="0" w:color="auto"/>
                  </w:divBdr>
                  <w:divsChild>
                    <w:div w:id="419496891">
                      <w:marLeft w:val="0"/>
                      <w:marRight w:val="0"/>
                      <w:marTop w:val="0"/>
                      <w:marBottom w:val="0"/>
                      <w:divBdr>
                        <w:top w:val="none" w:sz="0" w:space="0" w:color="auto"/>
                        <w:left w:val="none" w:sz="0" w:space="0" w:color="auto"/>
                        <w:bottom w:val="none" w:sz="0" w:space="0" w:color="auto"/>
                        <w:right w:val="none" w:sz="0" w:space="0" w:color="auto"/>
                      </w:divBdr>
                    </w:div>
                  </w:divsChild>
                </w:div>
                <w:div w:id="655914360">
                  <w:marLeft w:val="0"/>
                  <w:marRight w:val="0"/>
                  <w:marTop w:val="0"/>
                  <w:marBottom w:val="0"/>
                  <w:divBdr>
                    <w:top w:val="none" w:sz="0" w:space="0" w:color="auto"/>
                    <w:left w:val="none" w:sz="0" w:space="0" w:color="auto"/>
                    <w:bottom w:val="none" w:sz="0" w:space="0" w:color="auto"/>
                    <w:right w:val="none" w:sz="0" w:space="0" w:color="auto"/>
                  </w:divBdr>
                  <w:divsChild>
                    <w:div w:id="1485581249">
                      <w:marLeft w:val="0"/>
                      <w:marRight w:val="0"/>
                      <w:marTop w:val="0"/>
                      <w:marBottom w:val="0"/>
                      <w:divBdr>
                        <w:top w:val="none" w:sz="0" w:space="0" w:color="auto"/>
                        <w:left w:val="none" w:sz="0" w:space="0" w:color="auto"/>
                        <w:bottom w:val="none" w:sz="0" w:space="0" w:color="auto"/>
                        <w:right w:val="none" w:sz="0" w:space="0" w:color="auto"/>
                      </w:divBdr>
                    </w:div>
                  </w:divsChild>
                </w:div>
                <w:div w:id="713581869">
                  <w:marLeft w:val="0"/>
                  <w:marRight w:val="0"/>
                  <w:marTop w:val="0"/>
                  <w:marBottom w:val="0"/>
                  <w:divBdr>
                    <w:top w:val="none" w:sz="0" w:space="0" w:color="auto"/>
                    <w:left w:val="none" w:sz="0" w:space="0" w:color="auto"/>
                    <w:bottom w:val="none" w:sz="0" w:space="0" w:color="auto"/>
                    <w:right w:val="none" w:sz="0" w:space="0" w:color="auto"/>
                  </w:divBdr>
                  <w:divsChild>
                    <w:div w:id="1079717378">
                      <w:marLeft w:val="0"/>
                      <w:marRight w:val="0"/>
                      <w:marTop w:val="0"/>
                      <w:marBottom w:val="0"/>
                      <w:divBdr>
                        <w:top w:val="none" w:sz="0" w:space="0" w:color="auto"/>
                        <w:left w:val="none" w:sz="0" w:space="0" w:color="auto"/>
                        <w:bottom w:val="none" w:sz="0" w:space="0" w:color="auto"/>
                        <w:right w:val="none" w:sz="0" w:space="0" w:color="auto"/>
                      </w:divBdr>
                    </w:div>
                  </w:divsChild>
                </w:div>
                <w:div w:id="780952427">
                  <w:marLeft w:val="0"/>
                  <w:marRight w:val="0"/>
                  <w:marTop w:val="0"/>
                  <w:marBottom w:val="0"/>
                  <w:divBdr>
                    <w:top w:val="none" w:sz="0" w:space="0" w:color="auto"/>
                    <w:left w:val="none" w:sz="0" w:space="0" w:color="auto"/>
                    <w:bottom w:val="none" w:sz="0" w:space="0" w:color="auto"/>
                    <w:right w:val="none" w:sz="0" w:space="0" w:color="auto"/>
                  </w:divBdr>
                  <w:divsChild>
                    <w:div w:id="225530747">
                      <w:marLeft w:val="0"/>
                      <w:marRight w:val="0"/>
                      <w:marTop w:val="0"/>
                      <w:marBottom w:val="0"/>
                      <w:divBdr>
                        <w:top w:val="none" w:sz="0" w:space="0" w:color="auto"/>
                        <w:left w:val="none" w:sz="0" w:space="0" w:color="auto"/>
                        <w:bottom w:val="none" w:sz="0" w:space="0" w:color="auto"/>
                        <w:right w:val="none" w:sz="0" w:space="0" w:color="auto"/>
                      </w:divBdr>
                    </w:div>
                  </w:divsChild>
                </w:div>
                <w:div w:id="843280308">
                  <w:marLeft w:val="0"/>
                  <w:marRight w:val="0"/>
                  <w:marTop w:val="0"/>
                  <w:marBottom w:val="0"/>
                  <w:divBdr>
                    <w:top w:val="none" w:sz="0" w:space="0" w:color="auto"/>
                    <w:left w:val="none" w:sz="0" w:space="0" w:color="auto"/>
                    <w:bottom w:val="none" w:sz="0" w:space="0" w:color="auto"/>
                    <w:right w:val="none" w:sz="0" w:space="0" w:color="auto"/>
                  </w:divBdr>
                  <w:divsChild>
                    <w:div w:id="1625647733">
                      <w:marLeft w:val="0"/>
                      <w:marRight w:val="0"/>
                      <w:marTop w:val="0"/>
                      <w:marBottom w:val="0"/>
                      <w:divBdr>
                        <w:top w:val="none" w:sz="0" w:space="0" w:color="auto"/>
                        <w:left w:val="none" w:sz="0" w:space="0" w:color="auto"/>
                        <w:bottom w:val="none" w:sz="0" w:space="0" w:color="auto"/>
                        <w:right w:val="none" w:sz="0" w:space="0" w:color="auto"/>
                      </w:divBdr>
                    </w:div>
                  </w:divsChild>
                </w:div>
                <w:div w:id="859513329">
                  <w:marLeft w:val="0"/>
                  <w:marRight w:val="0"/>
                  <w:marTop w:val="0"/>
                  <w:marBottom w:val="0"/>
                  <w:divBdr>
                    <w:top w:val="none" w:sz="0" w:space="0" w:color="auto"/>
                    <w:left w:val="none" w:sz="0" w:space="0" w:color="auto"/>
                    <w:bottom w:val="none" w:sz="0" w:space="0" w:color="auto"/>
                    <w:right w:val="none" w:sz="0" w:space="0" w:color="auto"/>
                  </w:divBdr>
                  <w:divsChild>
                    <w:div w:id="2134909335">
                      <w:marLeft w:val="0"/>
                      <w:marRight w:val="0"/>
                      <w:marTop w:val="0"/>
                      <w:marBottom w:val="0"/>
                      <w:divBdr>
                        <w:top w:val="none" w:sz="0" w:space="0" w:color="auto"/>
                        <w:left w:val="none" w:sz="0" w:space="0" w:color="auto"/>
                        <w:bottom w:val="none" w:sz="0" w:space="0" w:color="auto"/>
                        <w:right w:val="none" w:sz="0" w:space="0" w:color="auto"/>
                      </w:divBdr>
                    </w:div>
                  </w:divsChild>
                </w:div>
                <w:div w:id="980159877">
                  <w:marLeft w:val="0"/>
                  <w:marRight w:val="0"/>
                  <w:marTop w:val="0"/>
                  <w:marBottom w:val="0"/>
                  <w:divBdr>
                    <w:top w:val="none" w:sz="0" w:space="0" w:color="auto"/>
                    <w:left w:val="none" w:sz="0" w:space="0" w:color="auto"/>
                    <w:bottom w:val="none" w:sz="0" w:space="0" w:color="auto"/>
                    <w:right w:val="none" w:sz="0" w:space="0" w:color="auto"/>
                  </w:divBdr>
                  <w:divsChild>
                    <w:div w:id="218516480">
                      <w:marLeft w:val="0"/>
                      <w:marRight w:val="0"/>
                      <w:marTop w:val="0"/>
                      <w:marBottom w:val="0"/>
                      <w:divBdr>
                        <w:top w:val="none" w:sz="0" w:space="0" w:color="auto"/>
                        <w:left w:val="none" w:sz="0" w:space="0" w:color="auto"/>
                        <w:bottom w:val="none" w:sz="0" w:space="0" w:color="auto"/>
                        <w:right w:val="none" w:sz="0" w:space="0" w:color="auto"/>
                      </w:divBdr>
                    </w:div>
                  </w:divsChild>
                </w:div>
                <w:div w:id="1000230900">
                  <w:marLeft w:val="0"/>
                  <w:marRight w:val="0"/>
                  <w:marTop w:val="0"/>
                  <w:marBottom w:val="0"/>
                  <w:divBdr>
                    <w:top w:val="none" w:sz="0" w:space="0" w:color="auto"/>
                    <w:left w:val="none" w:sz="0" w:space="0" w:color="auto"/>
                    <w:bottom w:val="none" w:sz="0" w:space="0" w:color="auto"/>
                    <w:right w:val="none" w:sz="0" w:space="0" w:color="auto"/>
                  </w:divBdr>
                  <w:divsChild>
                    <w:div w:id="1083603401">
                      <w:marLeft w:val="0"/>
                      <w:marRight w:val="0"/>
                      <w:marTop w:val="0"/>
                      <w:marBottom w:val="0"/>
                      <w:divBdr>
                        <w:top w:val="none" w:sz="0" w:space="0" w:color="auto"/>
                        <w:left w:val="none" w:sz="0" w:space="0" w:color="auto"/>
                        <w:bottom w:val="none" w:sz="0" w:space="0" w:color="auto"/>
                        <w:right w:val="none" w:sz="0" w:space="0" w:color="auto"/>
                      </w:divBdr>
                    </w:div>
                  </w:divsChild>
                </w:div>
                <w:div w:id="1000230969">
                  <w:marLeft w:val="0"/>
                  <w:marRight w:val="0"/>
                  <w:marTop w:val="0"/>
                  <w:marBottom w:val="0"/>
                  <w:divBdr>
                    <w:top w:val="none" w:sz="0" w:space="0" w:color="auto"/>
                    <w:left w:val="none" w:sz="0" w:space="0" w:color="auto"/>
                    <w:bottom w:val="none" w:sz="0" w:space="0" w:color="auto"/>
                    <w:right w:val="none" w:sz="0" w:space="0" w:color="auto"/>
                  </w:divBdr>
                  <w:divsChild>
                    <w:div w:id="85007810">
                      <w:marLeft w:val="0"/>
                      <w:marRight w:val="0"/>
                      <w:marTop w:val="0"/>
                      <w:marBottom w:val="0"/>
                      <w:divBdr>
                        <w:top w:val="none" w:sz="0" w:space="0" w:color="auto"/>
                        <w:left w:val="none" w:sz="0" w:space="0" w:color="auto"/>
                        <w:bottom w:val="none" w:sz="0" w:space="0" w:color="auto"/>
                        <w:right w:val="none" w:sz="0" w:space="0" w:color="auto"/>
                      </w:divBdr>
                    </w:div>
                  </w:divsChild>
                </w:div>
                <w:div w:id="1016036645">
                  <w:marLeft w:val="0"/>
                  <w:marRight w:val="0"/>
                  <w:marTop w:val="0"/>
                  <w:marBottom w:val="0"/>
                  <w:divBdr>
                    <w:top w:val="none" w:sz="0" w:space="0" w:color="auto"/>
                    <w:left w:val="none" w:sz="0" w:space="0" w:color="auto"/>
                    <w:bottom w:val="none" w:sz="0" w:space="0" w:color="auto"/>
                    <w:right w:val="none" w:sz="0" w:space="0" w:color="auto"/>
                  </w:divBdr>
                  <w:divsChild>
                    <w:div w:id="279382595">
                      <w:marLeft w:val="0"/>
                      <w:marRight w:val="0"/>
                      <w:marTop w:val="0"/>
                      <w:marBottom w:val="0"/>
                      <w:divBdr>
                        <w:top w:val="none" w:sz="0" w:space="0" w:color="auto"/>
                        <w:left w:val="none" w:sz="0" w:space="0" w:color="auto"/>
                        <w:bottom w:val="none" w:sz="0" w:space="0" w:color="auto"/>
                        <w:right w:val="none" w:sz="0" w:space="0" w:color="auto"/>
                      </w:divBdr>
                    </w:div>
                  </w:divsChild>
                </w:div>
                <w:div w:id="1072311273">
                  <w:marLeft w:val="0"/>
                  <w:marRight w:val="0"/>
                  <w:marTop w:val="0"/>
                  <w:marBottom w:val="0"/>
                  <w:divBdr>
                    <w:top w:val="none" w:sz="0" w:space="0" w:color="auto"/>
                    <w:left w:val="none" w:sz="0" w:space="0" w:color="auto"/>
                    <w:bottom w:val="none" w:sz="0" w:space="0" w:color="auto"/>
                    <w:right w:val="none" w:sz="0" w:space="0" w:color="auto"/>
                  </w:divBdr>
                  <w:divsChild>
                    <w:div w:id="576328140">
                      <w:marLeft w:val="0"/>
                      <w:marRight w:val="0"/>
                      <w:marTop w:val="0"/>
                      <w:marBottom w:val="0"/>
                      <w:divBdr>
                        <w:top w:val="none" w:sz="0" w:space="0" w:color="auto"/>
                        <w:left w:val="none" w:sz="0" w:space="0" w:color="auto"/>
                        <w:bottom w:val="none" w:sz="0" w:space="0" w:color="auto"/>
                        <w:right w:val="none" w:sz="0" w:space="0" w:color="auto"/>
                      </w:divBdr>
                    </w:div>
                  </w:divsChild>
                </w:div>
                <w:div w:id="1110275785">
                  <w:marLeft w:val="0"/>
                  <w:marRight w:val="0"/>
                  <w:marTop w:val="0"/>
                  <w:marBottom w:val="0"/>
                  <w:divBdr>
                    <w:top w:val="none" w:sz="0" w:space="0" w:color="auto"/>
                    <w:left w:val="none" w:sz="0" w:space="0" w:color="auto"/>
                    <w:bottom w:val="none" w:sz="0" w:space="0" w:color="auto"/>
                    <w:right w:val="none" w:sz="0" w:space="0" w:color="auto"/>
                  </w:divBdr>
                  <w:divsChild>
                    <w:div w:id="400444440">
                      <w:marLeft w:val="0"/>
                      <w:marRight w:val="0"/>
                      <w:marTop w:val="0"/>
                      <w:marBottom w:val="0"/>
                      <w:divBdr>
                        <w:top w:val="none" w:sz="0" w:space="0" w:color="auto"/>
                        <w:left w:val="none" w:sz="0" w:space="0" w:color="auto"/>
                        <w:bottom w:val="none" w:sz="0" w:space="0" w:color="auto"/>
                        <w:right w:val="none" w:sz="0" w:space="0" w:color="auto"/>
                      </w:divBdr>
                    </w:div>
                    <w:div w:id="1697541983">
                      <w:marLeft w:val="0"/>
                      <w:marRight w:val="0"/>
                      <w:marTop w:val="0"/>
                      <w:marBottom w:val="0"/>
                      <w:divBdr>
                        <w:top w:val="none" w:sz="0" w:space="0" w:color="auto"/>
                        <w:left w:val="none" w:sz="0" w:space="0" w:color="auto"/>
                        <w:bottom w:val="none" w:sz="0" w:space="0" w:color="auto"/>
                        <w:right w:val="none" w:sz="0" w:space="0" w:color="auto"/>
                      </w:divBdr>
                    </w:div>
                  </w:divsChild>
                </w:div>
                <w:div w:id="1136068222">
                  <w:marLeft w:val="0"/>
                  <w:marRight w:val="0"/>
                  <w:marTop w:val="0"/>
                  <w:marBottom w:val="0"/>
                  <w:divBdr>
                    <w:top w:val="none" w:sz="0" w:space="0" w:color="auto"/>
                    <w:left w:val="none" w:sz="0" w:space="0" w:color="auto"/>
                    <w:bottom w:val="none" w:sz="0" w:space="0" w:color="auto"/>
                    <w:right w:val="none" w:sz="0" w:space="0" w:color="auto"/>
                  </w:divBdr>
                  <w:divsChild>
                    <w:div w:id="1299189279">
                      <w:marLeft w:val="0"/>
                      <w:marRight w:val="0"/>
                      <w:marTop w:val="0"/>
                      <w:marBottom w:val="0"/>
                      <w:divBdr>
                        <w:top w:val="none" w:sz="0" w:space="0" w:color="auto"/>
                        <w:left w:val="none" w:sz="0" w:space="0" w:color="auto"/>
                        <w:bottom w:val="none" w:sz="0" w:space="0" w:color="auto"/>
                        <w:right w:val="none" w:sz="0" w:space="0" w:color="auto"/>
                      </w:divBdr>
                    </w:div>
                  </w:divsChild>
                </w:div>
                <w:div w:id="1140539428">
                  <w:marLeft w:val="0"/>
                  <w:marRight w:val="0"/>
                  <w:marTop w:val="0"/>
                  <w:marBottom w:val="0"/>
                  <w:divBdr>
                    <w:top w:val="none" w:sz="0" w:space="0" w:color="auto"/>
                    <w:left w:val="none" w:sz="0" w:space="0" w:color="auto"/>
                    <w:bottom w:val="none" w:sz="0" w:space="0" w:color="auto"/>
                    <w:right w:val="none" w:sz="0" w:space="0" w:color="auto"/>
                  </w:divBdr>
                  <w:divsChild>
                    <w:div w:id="1159156934">
                      <w:marLeft w:val="0"/>
                      <w:marRight w:val="0"/>
                      <w:marTop w:val="0"/>
                      <w:marBottom w:val="0"/>
                      <w:divBdr>
                        <w:top w:val="none" w:sz="0" w:space="0" w:color="auto"/>
                        <w:left w:val="none" w:sz="0" w:space="0" w:color="auto"/>
                        <w:bottom w:val="none" w:sz="0" w:space="0" w:color="auto"/>
                        <w:right w:val="none" w:sz="0" w:space="0" w:color="auto"/>
                      </w:divBdr>
                    </w:div>
                  </w:divsChild>
                </w:div>
                <w:div w:id="1142432078">
                  <w:marLeft w:val="0"/>
                  <w:marRight w:val="0"/>
                  <w:marTop w:val="0"/>
                  <w:marBottom w:val="0"/>
                  <w:divBdr>
                    <w:top w:val="none" w:sz="0" w:space="0" w:color="auto"/>
                    <w:left w:val="none" w:sz="0" w:space="0" w:color="auto"/>
                    <w:bottom w:val="none" w:sz="0" w:space="0" w:color="auto"/>
                    <w:right w:val="none" w:sz="0" w:space="0" w:color="auto"/>
                  </w:divBdr>
                  <w:divsChild>
                    <w:div w:id="1190530701">
                      <w:marLeft w:val="0"/>
                      <w:marRight w:val="0"/>
                      <w:marTop w:val="0"/>
                      <w:marBottom w:val="0"/>
                      <w:divBdr>
                        <w:top w:val="none" w:sz="0" w:space="0" w:color="auto"/>
                        <w:left w:val="none" w:sz="0" w:space="0" w:color="auto"/>
                        <w:bottom w:val="none" w:sz="0" w:space="0" w:color="auto"/>
                        <w:right w:val="none" w:sz="0" w:space="0" w:color="auto"/>
                      </w:divBdr>
                    </w:div>
                  </w:divsChild>
                </w:div>
                <w:div w:id="1144395165">
                  <w:marLeft w:val="0"/>
                  <w:marRight w:val="0"/>
                  <w:marTop w:val="0"/>
                  <w:marBottom w:val="0"/>
                  <w:divBdr>
                    <w:top w:val="none" w:sz="0" w:space="0" w:color="auto"/>
                    <w:left w:val="none" w:sz="0" w:space="0" w:color="auto"/>
                    <w:bottom w:val="none" w:sz="0" w:space="0" w:color="auto"/>
                    <w:right w:val="none" w:sz="0" w:space="0" w:color="auto"/>
                  </w:divBdr>
                  <w:divsChild>
                    <w:div w:id="1623195993">
                      <w:marLeft w:val="0"/>
                      <w:marRight w:val="0"/>
                      <w:marTop w:val="0"/>
                      <w:marBottom w:val="0"/>
                      <w:divBdr>
                        <w:top w:val="none" w:sz="0" w:space="0" w:color="auto"/>
                        <w:left w:val="none" w:sz="0" w:space="0" w:color="auto"/>
                        <w:bottom w:val="none" w:sz="0" w:space="0" w:color="auto"/>
                        <w:right w:val="none" w:sz="0" w:space="0" w:color="auto"/>
                      </w:divBdr>
                    </w:div>
                  </w:divsChild>
                </w:div>
                <w:div w:id="1178543027">
                  <w:marLeft w:val="0"/>
                  <w:marRight w:val="0"/>
                  <w:marTop w:val="0"/>
                  <w:marBottom w:val="0"/>
                  <w:divBdr>
                    <w:top w:val="none" w:sz="0" w:space="0" w:color="auto"/>
                    <w:left w:val="none" w:sz="0" w:space="0" w:color="auto"/>
                    <w:bottom w:val="none" w:sz="0" w:space="0" w:color="auto"/>
                    <w:right w:val="none" w:sz="0" w:space="0" w:color="auto"/>
                  </w:divBdr>
                  <w:divsChild>
                    <w:div w:id="710688467">
                      <w:marLeft w:val="0"/>
                      <w:marRight w:val="0"/>
                      <w:marTop w:val="0"/>
                      <w:marBottom w:val="0"/>
                      <w:divBdr>
                        <w:top w:val="none" w:sz="0" w:space="0" w:color="auto"/>
                        <w:left w:val="none" w:sz="0" w:space="0" w:color="auto"/>
                        <w:bottom w:val="none" w:sz="0" w:space="0" w:color="auto"/>
                        <w:right w:val="none" w:sz="0" w:space="0" w:color="auto"/>
                      </w:divBdr>
                    </w:div>
                  </w:divsChild>
                </w:div>
                <w:div w:id="1204489421">
                  <w:marLeft w:val="0"/>
                  <w:marRight w:val="0"/>
                  <w:marTop w:val="0"/>
                  <w:marBottom w:val="0"/>
                  <w:divBdr>
                    <w:top w:val="none" w:sz="0" w:space="0" w:color="auto"/>
                    <w:left w:val="none" w:sz="0" w:space="0" w:color="auto"/>
                    <w:bottom w:val="none" w:sz="0" w:space="0" w:color="auto"/>
                    <w:right w:val="none" w:sz="0" w:space="0" w:color="auto"/>
                  </w:divBdr>
                  <w:divsChild>
                    <w:div w:id="75523262">
                      <w:marLeft w:val="0"/>
                      <w:marRight w:val="0"/>
                      <w:marTop w:val="0"/>
                      <w:marBottom w:val="0"/>
                      <w:divBdr>
                        <w:top w:val="none" w:sz="0" w:space="0" w:color="auto"/>
                        <w:left w:val="none" w:sz="0" w:space="0" w:color="auto"/>
                        <w:bottom w:val="none" w:sz="0" w:space="0" w:color="auto"/>
                        <w:right w:val="none" w:sz="0" w:space="0" w:color="auto"/>
                      </w:divBdr>
                    </w:div>
                    <w:div w:id="2141683422">
                      <w:marLeft w:val="0"/>
                      <w:marRight w:val="0"/>
                      <w:marTop w:val="0"/>
                      <w:marBottom w:val="0"/>
                      <w:divBdr>
                        <w:top w:val="none" w:sz="0" w:space="0" w:color="auto"/>
                        <w:left w:val="none" w:sz="0" w:space="0" w:color="auto"/>
                        <w:bottom w:val="none" w:sz="0" w:space="0" w:color="auto"/>
                        <w:right w:val="none" w:sz="0" w:space="0" w:color="auto"/>
                      </w:divBdr>
                    </w:div>
                  </w:divsChild>
                </w:div>
                <w:div w:id="1227035879">
                  <w:marLeft w:val="0"/>
                  <w:marRight w:val="0"/>
                  <w:marTop w:val="0"/>
                  <w:marBottom w:val="0"/>
                  <w:divBdr>
                    <w:top w:val="none" w:sz="0" w:space="0" w:color="auto"/>
                    <w:left w:val="none" w:sz="0" w:space="0" w:color="auto"/>
                    <w:bottom w:val="none" w:sz="0" w:space="0" w:color="auto"/>
                    <w:right w:val="none" w:sz="0" w:space="0" w:color="auto"/>
                  </w:divBdr>
                  <w:divsChild>
                    <w:div w:id="2097050147">
                      <w:marLeft w:val="0"/>
                      <w:marRight w:val="0"/>
                      <w:marTop w:val="0"/>
                      <w:marBottom w:val="0"/>
                      <w:divBdr>
                        <w:top w:val="none" w:sz="0" w:space="0" w:color="auto"/>
                        <w:left w:val="none" w:sz="0" w:space="0" w:color="auto"/>
                        <w:bottom w:val="none" w:sz="0" w:space="0" w:color="auto"/>
                        <w:right w:val="none" w:sz="0" w:space="0" w:color="auto"/>
                      </w:divBdr>
                    </w:div>
                  </w:divsChild>
                </w:div>
                <w:div w:id="1237127412">
                  <w:marLeft w:val="0"/>
                  <w:marRight w:val="0"/>
                  <w:marTop w:val="0"/>
                  <w:marBottom w:val="0"/>
                  <w:divBdr>
                    <w:top w:val="none" w:sz="0" w:space="0" w:color="auto"/>
                    <w:left w:val="none" w:sz="0" w:space="0" w:color="auto"/>
                    <w:bottom w:val="none" w:sz="0" w:space="0" w:color="auto"/>
                    <w:right w:val="none" w:sz="0" w:space="0" w:color="auto"/>
                  </w:divBdr>
                  <w:divsChild>
                    <w:div w:id="1143355271">
                      <w:marLeft w:val="0"/>
                      <w:marRight w:val="0"/>
                      <w:marTop w:val="0"/>
                      <w:marBottom w:val="0"/>
                      <w:divBdr>
                        <w:top w:val="none" w:sz="0" w:space="0" w:color="auto"/>
                        <w:left w:val="none" w:sz="0" w:space="0" w:color="auto"/>
                        <w:bottom w:val="none" w:sz="0" w:space="0" w:color="auto"/>
                        <w:right w:val="none" w:sz="0" w:space="0" w:color="auto"/>
                      </w:divBdr>
                    </w:div>
                  </w:divsChild>
                </w:div>
                <w:div w:id="1240603561">
                  <w:marLeft w:val="0"/>
                  <w:marRight w:val="0"/>
                  <w:marTop w:val="0"/>
                  <w:marBottom w:val="0"/>
                  <w:divBdr>
                    <w:top w:val="none" w:sz="0" w:space="0" w:color="auto"/>
                    <w:left w:val="none" w:sz="0" w:space="0" w:color="auto"/>
                    <w:bottom w:val="none" w:sz="0" w:space="0" w:color="auto"/>
                    <w:right w:val="none" w:sz="0" w:space="0" w:color="auto"/>
                  </w:divBdr>
                  <w:divsChild>
                    <w:div w:id="1478573562">
                      <w:marLeft w:val="0"/>
                      <w:marRight w:val="0"/>
                      <w:marTop w:val="0"/>
                      <w:marBottom w:val="0"/>
                      <w:divBdr>
                        <w:top w:val="none" w:sz="0" w:space="0" w:color="auto"/>
                        <w:left w:val="none" w:sz="0" w:space="0" w:color="auto"/>
                        <w:bottom w:val="none" w:sz="0" w:space="0" w:color="auto"/>
                        <w:right w:val="none" w:sz="0" w:space="0" w:color="auto"/>
                      </w:divBdr>
                    </w:div>
                  </w:divsChild>
                </w:div>
                <w:div w:id="1271007413">
                  <w:marLeft w:val="0"/>
                  <w:marRight w:val="0"/>
                  <w:marTop w:val="0"/>
                  <w:marBottom w:val="0"/>
                  <w:divBdr>
                    <w:top w:val="none" w:sz="0" w:space="0" w:color="auto"/>
                    <w:left w:val="none" w:sz="0" w:space="0" w:color="auto"/>
                    <w:bottom w:val="none" w:sz="0" w:space="0" w:color="auto"/>
                    <w:right w:val="none" w:sz="0" w:space="0" w:color="auto"/>
                  </w:divBdr>
                  <w:divsChild>
                    <w:div w:id="112405449">
                      <w:marLeft w:val="0"/>
                      <w:marRight w:val="0"/>
                      <w:marTop w:val="0"/>
                      <w:marBottom w:val="0"/>
                      <w:divBdr>
                        <w:top w:val="none" w:sz="0" w:space="0" w:color="auto"/>
                        <w:left w:val="none" w:sz="0" w:space="0" w:color="auto"/>
                        <w:bottom w:val="none" w:sz="0" w:space="0" w:color="auto"/>
                        <w:right w:val="none" w:sz="0" w:space="0" w:color="auto"/>
                      </w:divBdr>
                    </w:div>
                  </w:divsChild>
                </w:div>
                <w:div w:id="1299341590">
                  <w:marLeft w:val="0"/>
                  <w:marRight w:val="0"/>
                  <w:marTop w:val="0"/>
                  <w:marBottom w:val="0"/>
                  <w:divBdr>
                    <w:top w:val="none" w:sz="0" w:space="0" w:color="auto"/>
                    <w:left w:val="none" w:sz="0" w:space="0" w:color="auto"/>
                    <w:bottom w:val="none" w:sz="0" w:space="0" w:color="auto"/>
                    <w:right w:val="none" w:sz="0" w:space="0" w:color="auto"/>
                  </w:divBdr>
                  <w:divsChild>
                    <w:div w:id="654576392">
                      <w:marLeft w:val="0"/>
                      <w:marRight w:val="0"/>
                      <w:marTop w:val="0"/>
                      <w:marBottom w:val="0"/>
                      <w:divBdr>
                        <w:top w:val="none" w:sz="0" w:space="0" w:color="auto"/>
                        <w:left w:val="none" w:sz="0" w:space="0" w:color="auto"/>
                        <w:bottom w:val="none" w:sz="0" w:space="0" w:color="auto"/>
                        <w:right w:val="none" w:sz="0" w:space="0" w:color="auto"/>
                      </w:divBdr>
                    </w:div>
                  </w:divsChild>
                </w:div>
                <w:div w:id="1333291071">
                  <w:marLeft w:val="0"/>
                  <w:marRight w:val="0"/>
                  <w:marTop w:val="0"/>
                  <w:marBottom w:val="0"/>
                  <w:divBdr>
                    <w:top w:val="none" w:sz="0" w:space="0" w:color="auto"/>
                    <w:left w:val="none" w:sz="0" w:space="0" w:color="auto"/>
                    <w:bottom w:val="none" w:sz="0" w:space="0" w:color="auto"/>
                    <w:right w:val="none" w:sz="0" w:space="0" w:color="auto"/>
                  </w:divBdr>
                  <w:divsChild>
                    <w:div w:id="1293054789">
                      <w:marLeft w:val="0"/>
                      <w:marRight w:val="0"/>
                      <w:marTop w:val="0"/>
                      <w:marBottom w:val="0"/>
                      <w:divBdr>
                        <w:top w:val="none" w:sz="0" w:space="0" w:color="auto"/>
                        <w:left w:val="none" w:sz="0" w:space="0" w:color="auto"/>
                        <w:bottom w:val="none" w:sz="0" w:space="0" w:color="auto"/>
                        <w:right w:val="none" w:sz="0" w:space="0" w:color="auto"/>
                      </w:divBdr>
                    </w:div>
                  </w:divsChild>
                </w:div>
                <w:div w:id="1333491631">
                  <w:marLeft w:val="0"/>
                  <w:marRight w:val="0"/>
                  <w:marTop w:val="0"/>
                  <w:marBottom w:val="0"/>
                  <w:divBdr>
                    <w:top w:val="none" w:sz="0" w:space="0" w:color="auto"/>
                    <w:left w:val="none" w:sz="0" w:space="0" w:color="auto"/>
                    <w:bottom w:val="none" w:sz="0" w:space="0" w:color="auto"/>
                    <w:right w:val="none" w:sz="0" w:space="0" w:color="auto"/>
                  </w:divBdr>
                  <w:divsChild>
                    <w:div w:id="784538901">
                      <w:marLeft w:val="0"/>
                      <w:marRight w:val="0"/>
                      <w:marTop w:val="0"/>
                      <w:marBottom w:val="0"/>
                      <w:divBdr>
                        <w:top w:val="none" w:sz="0" w:space="0" w:color="auto"/>
                        <w:left w:val="none" w:sz="0" w:space="0" w:color="auto"/>
                        <w:bottom w:val="none" w:sz="0" w:space="0" w:color="auto"/>
                        <w:right w:val="none" w:sz="0" w:space="0" w:color="auto"/>
                      </w:divBdr>
                    </w:div>
                  </w:divsChild>
                </w:div>
                <w:div w:id="1467896405">
                  <w:marLeft w:val="0"/>
                  <w:marRight w:val="0"/>
                  <w:marTop w:val="0"/>
                  <w:marBottom w:val="0"/>
                  <w:divBdr>
                    <w:top w:val="none" w:sz="0" w:space="0" w:color="auto"/>
                    <w:left w:val="none" w:sz="0" w:space="0" w:color="auto"/>
                    <w:bottom w:val="none" w:sz="0" w:space="0" w:color="auto"/>
                    <w:right w:val="none" w:sz="0" w:space="0" w:color="auto"/>
                  </w:divBdr>
                  <w:divsChild>
                    <w:div w:id="807016315">
                      <w:marLeft w:val="0"/>
                      <w:marRight w:val="0"/>
                      <w:marTop w:val="0"/>
                      <w:marBottom w:val="0"/>
                      <w:divBdr>
                        <w:top w:val="none" w:sz="0" w:space="0" w:color="auto"/>
                        <w:left w:val="none" w:sz="0" w:space="0" w:color="auto"/>
                        <w:bottom w:val="none" w:sz="0" w:space="0" w:color="auto"/>
                        <w:right w:val="none" w:sz="0" w:space="0" w:color="auto"/>
                      </w:divBdr>
                    </w:div>
                  </w:divsChild>
                </w:div>
                <w:div w:id="1530216216">
                  <w:marLeft w:val="0"/>
                  <w:marRight w:val="0"/>
                  <w:marTop w:val="0"/>
                  <w:marBottom w:val="0"/>
                  <w:divBdr>
                    <w:top w:val="none" w:sz="0" w:space="0" w:color="auto"/>
                    <w:left w:val="none" w:sz="0" w:space="0" w:color="auto"/>
                    <w:bottom w:val="none" w:sz="0" w:space="0" w:color="auto"/>
                    <w:right w:val="none" w:sz="0" w:space="0" w:color="auto"/>
                  </w:divBdr>
                  <w:divsChild>
                    <w:div w:id="1521897223">
                      <w:marLeft w:val="0"/>
                      <w:marRight w:val="0"/>
                      <w:marTop w:val="0"/>
                      <w:marBottom w:val="0"/>
                      <w:divBdr>
                        <w:top w:val="none" w:sz="0" w:space="0" w:color="auto"/>
                        <w:left w:val="none" w:sz="0" w:space="0" w:color="auto"/>
                        <w:bottom w:val="none" w:sz="0" w:space="0" w:color="auto"/>
                        <w:right w:val="none" w:sz="0" w:space="0" w:color="auto"/>
                      </w:divBdr>
                    </w:div>
                  </w:divsChild>
                </w:div>
                <w:div w:id="1531601428">
                  <w:marLeft w:val="0"/>
                  <w:marRight w:val="0"/>
                  <w:marTop w:val="0"/>
                  <w:marBottom w:val="0"/>
                  <w:divBdr>
                    <w:top w:val="none" w:sz="0" w:space="0" w:color="auto"/>
                    <w:left w:val="none" w:sz="0" w:space="0" w:color="auto"/>
                    <w:bottom w:val="none" w:sz="0" w:space="0" w:color="auto"/>
                    <w:right w:val="none" w:sz="0" w:space="0" w:color="auto"/>
                  </w:divBdr>
                  <w:divsChild>
                    <w:div w:id="1278028458">
                      <w:marLeft w:val="0"/>
                      <w:marRight w:val="0"/>
                      <w:marTop w:val="0"/>
                      <w:marBottom w:val="0"/>
                      <w:divBdr>
                        <w:top w:val="none" w:sz="0" w:space="0" w:color="auto"/>
                        <w:left w:val="none" w:sz="0" w:space="0" w:color="auto"/>
                        <w:bottom w:val="none" w:sz="0" w:space="0" w:color="auto"/>
                        <w:right w:val="none" w:sz="0" w:space="0" w:color="auto"/>
                      </w:divBdr>
                    </w:div>
                  </w:divsChild>
                </w:div>
                <w:div w:id="1532189318">
                  <w:marLeft w:val="0"/>
                  <w:marRight w:val="0"/>
                  <w:marTop w:val="0"/>
                  <w:marBottom w:val="0"/>
                  <w:divBdr>
                    <w:top w:val="none" w:sz="0" w:space="0" w:color="auto"/>
                    <w:left w:val="none" w:sz="0" w:space="0" w:color="auto"/>
                    <w:bottom w:val="none" w:sz="0" w:space="0" w:color="auto"/>
                    <w:right w:val="none" w:sz="0" w:space="0" w:color="auto"/>
                  </w:divBdr>
                  <w:divsChild>
                    <w:div w:id="753631030">
                      <w:marLeft w:val="0"/>
                      <w:marRight w:val="0"/>
                      <w:marTop w:val="0"/>
                      <w:marBottom w:val="0"/>
                      <w:divBdr>
                        <w:top w:val="none" w:sz="0" w:space="0" w:color="auto"/>
                        <w:left w:val="none" w:sz="0" w:space="0" w:color="auto"/>
                        <w:bottom w:val="none" w:sz="0" w:space="0" w:color="auto"/>
                        <w:right w:val="none" w:sz="0" w:space="0" w:color="auto"/>
                      </w:divBdr>
                    </w:div>
                  </w:divsChild>
                </w:div>
                <w:div w:id="1541937896">
                  <w:marLeft w:val="0"/>
                  <w:marRight w:val="0"/>
                  <w:marTop w:val="0"/>
                  <w:marBottom w:val="0"/>
                  <w:divBdr>
                    <w:top w:val="none" w:sz="0" w:space="0" w:color="auto"/>
                    <w:left w:val="none" w:sz="0" w:space="0" w:color="auto"/>
                    <w:bottom w:val="none" w:sz="0" w:space="0" w:color="auto"/>
                    <w:right w:val="none" w:sz="0" w:space="0" w:color="auto"/>
                  </w:divBdr>
                  <w:divsChild>
                    <w:div w:id="2033071063">
                      <w:marLeft w:val="0"/>
                      <w:marRight w:val="0"/>
                      <w:marTop w:val="0"/>
                      <w:marBottom w:val="0"/>
                      <w:divBdr>
                        <w:top w:val="none" w:sz="0" w:space="0" w:color="auto"/>
                        <w:left w:val="none" w:sz="0" w:space="0" w:color="auto"/>
                        <w:bottom w:val="none" w:sz="0" w:space="0" w:color="auto"/>
                        <w:right w:val="none" w:sz="0" w:space="0" w:color="auto"/>
                      </w:divBdr>
                    </w:div>
                  </w:divsChild>
                </w:div>
                <w:div w:id="1603145023">
                  <w:marLeft w:val="0"/>
                  <w:marRight w:val="0"/>
                  <w:marTop w:val="0"/>
                  <w:marBottom w:val="0"/>
                  <w:divBdr>
                    <w:top w:val="none" w:sz="0" w:space="0" w:color="auto"/>
                    <w:left w:val="none" w:sz="0" w:space="0" w:color="auto"/>
                    <w:bottom w:val="none" w:sz="0" w:space="0" w:color="auto"/>
                    <w:right w:val="none" w:sz="0" w:space="0" w:color="auto"/>
                  </w:divBdr>
                  <w:divsChild>
                    <w:div w:id="1445543292">
                      <w:marLeft w:val="0"/>
                      <w:marRight w:val="0"/>
                      <w:marTop w:val="0"/>
                      <w:marBottom w:val="0"/>
                      <w:divBdr>
                        <w:top w:val="none" w:sz="0" w:space="0" w:color="auto"/>
                        <w:left w:val="none" w:sz="0" w:space="0" w:color="auto"/>
                        <w:bottom w:val="none" w:sz="0" w:space="0" w:color="auto"/>
                        <w:right w:val="none" w:sz="0" w:space="0" w:color="auto"/>
                      </w:divBdr>
                    </w:div>
                  </w:divsChild>
                </w:div>
                <w:div w:id="1690526679">
                  <w:marLeft w:val="0"/>
                  <w:marRight w:val="0"/>
                  <w:marTop w:val="0"/>
                  <w:marBottom w:val="0"/>
                  <w:divBdr>
                    <w:top w:val="none" w:sz="0" w:space="0" w:color="auto"/>
                    <w:left w:val="none" w:sz="0" w:space="0" w:color="auto"/>
                    <w:bottom w:val="none" w:sz="0" w:space="0" w:color="auto"/>
                    <w:right w:val="none" w:sz="0" w:space="0" w:color="auto"/>
                  </w:divBdr>
                  <w:divsChild>
                    <w:div w:id="417487928">
                      <w:marLeft w:val="0"/>
                      <w:marRight w:val="0"/>
                      <w:marTop w:val="0"/>
                      <w:marBottom w:val="0"/>
                      <w:divBdr>
                        <w:top w:val="none" w:sz="0" w:space="0" w:color="auto"/>
                        <w:left w:val="none" w:sz="0" w:space="0" w:color="auto"/>
                        <w:bottom w:val="none" w:sz="0" w:space="0" w:color="auto"/>
                        <w:right w:val="none" w:sz="0" w:space="0" w:color="auto"/>
                      </w:divBdr>
                    </w:div>
                  </w:divsChild>
                </w:div>
                <w:div w:id="1712339227">
                  <w:marLeft w:val="0"/>
                  <w:marRight w:val="0"/>
                  <w:marTop w:val="0"/>
                  <w:marBottom w:val="0"/>
                  <w:divBdr>
                    <w:top w:val="none" w:sz="0" w:space="0" w:color="auto"/>
                    <w:left w:val="none" w:sz="0" w:space="0" w:color="auto"/>
                    <w:bottom w:val="none" w:sz="0" w:space="0" w:color="auto"/>
                    <w:right w:val="none" w:sz="0" w:space="0" w:color="auto"/>
                  </w:divBdr>
                  <w:divsChild>
                    <w:div w:id="1733041140">
                      <w:marLeft w:val="0"/>
                      <w:marRight w:val="0"/>
                      <w:marTop w:val="0"/>
                      <w:marBottom w:val="0"/>
                      <w:divBdr>
                        <w:top w:val="none" w:sz="0" w:space="0" w:color="auto"/>
                        <w:left w:val="none" w:sz="0" w:space="0" w:color="auto"/>
                        <w:bottom w:val="none" w:sz="0" w:space="0" w:color="auto"/>
                        <w:right w:val="none" w:sz="0" w:space="0" w:color="auto"/>
                      </w:divBdr>
                    </w:div>
                  </w:divsChild>
                </w:div>
                <w:div w:id="1718970983">
                  <w:marLeft w:val="0"/>
                  <w:marRight w:val="0"/>
                  <w:marTop w:val="0"/>
                  <w:marBottom w:val="0"/>
                  <w:divBdr>
                    <w:top w:val="none" w:sz="0" w:space="0" w:color="auto"/>
                    <w:left w:val="none" w:sz="0" w:space="0" w:color="auto"/>
                    <w:bottom w:val="none" w:sz="0" w:space="0" w:color="auto"/>
                    <w:right w:val="none" w:sz="0" w:space="0" w:color="auto"/>
                  </w:divBdr>
                  <w:divsChild>
                    <w:div w:id="293290732">
                      <w:marLeft w:val="0"/>
                      <w:marRight w:val="0"/>
                      <w:marTop w:val="0"/>
                      <w:marBottom w:val="0"/>
                      <w:divBdr>
                        <w:top w:val="none" w:sz="0" w:space="0" w:color="auto"/>
                        <w:left w:val="none" w:sz="0" w:space="0" w:color="auto"/>
                        <w:bottom w:val="none" w:sz="0" w:space="0" w:color="auto"/>
                        <w:right w:val="none" w:sz="0" w:space="0" w:color="auto"/>
                      </w:divBdr>
                    </w:div>
                  </w:divsChild>
                </w:div>
                <w:div w:id="1736469965">
                  <w:marLeft w:val="0"/>
                  <w:marRight w:val="0"/>
                  <w:marTop w:val="0"/>
                  <w:marBottom w:val="0"/>
                  <w:divBdr>
                    <w:top w:val="none" w:sz="0" w:space="0" w:color="auto"/>
                    <w:left w:val="none" w:sz="0" w:space="0" w:color="auto"/>
                    <w:bottom w:val="none" w:sz="0" w:space="0" w:color="auto"/>
                    <w:right w:val="none" w:sz="0" w:space="0" w:color="auto"/>
                  </w:divBdr>
                  <w:divsChild>
                    <w:div w:id="1585260015">
                      <w:marLeft w:val="0"/>
                      <w:marRight w:val="0"/>
                      <w:marTop w:val="0"/>
                      <w:marBottom w:val="0"/>
                      <w:divBdr>
                        <w:top w:val="none" w:sz="0" w:space="0" w:color="auto"/>
                        <w:left w:val="none" w:sz="0" w:space="0" w:color="auto"/>
                        <w:bottom w:val="none" w:sz="0" w:space="0" w:color="auto"/>
                        <w:right w:val="none" w:sz="0" w:space="0" w:color="auto"/>
                      </w:divBdr>
                    </w:div>
                  </w:divsChild>
                </w:div>
                <w:div w:id="1746993930">
                  <w:marLeft w:val="0"/>
                  <w:marRight w:val="0"/>
                  <w:marTop w:val="0"/>
                  <w:marBottom w:val="0"/>
                  <w:divBdr>
                    <w:top w:val="none" w:sz="0" w:space="0" w:color="auto"/>
                    <w:left w:val="none" w:sz="0" w:space="0" w:color="auto"/>
                    <w:bottom w:val="none" w:sz="0" w:space="0" w:color="auto"/>
                    <w:right w:val="none" w:sz="0" w:space="0" w:color="auto"/>
                  </w:divBdr>
                  <w:divsChild>
                    <w:div w:id="1767338451">
                      <w:marLeft w:val="0"/>
                      <w:marRight w:val="0"/>
                      <w:marTop w:val="0"/>
                      <w:marBottom w:val="0"/>
                      <w:divBdr>
                        <w:top w:val="none" w:sz="0" w:space="0" w:color="auto"/>
                        <w:left w:val="none" w:sz="0" w:space="0" w:color="auto"/>
                        <w:bottom w:val="none" w:sz="0" w:space="0" w:color="auto"/>
                        <w:right w:val="none" w:sz="0" w:space="0" w:color="auto"/>
                      </w:divBdr>
                    </w:div>
                  </w:divsChild>
                </w:div>
                <w:div w:id="1829441098">
                  <w:marLeft w:val="0"/>
                  <w:marRight w:val="0"/>
                  <w:marTop w:val="0"/>
                  <w:marBottom w:val="0"/>
                  <w:divBdr>
                    <w:top w:val="none" w:sz="0" w:space="0" w:color="auto"/>
                    <w:left w:val="none" w:sz="0" w:space="0" w:color="auto"/>
                    <w:bottom w:val="none" w:sz="0" w:space="0" w:color="auto"/>
                    <w:right w:val="none" w:sz="0" w:space="0" w:color="auto"/>
                  </w:divBdr>
                  <w:divsChild>
                    <w:div w:id="136261829">
                      <w:marLeft w:val="0"/>
                      <w:marRight w:val="0"/>
                      <w:marTop w:val="0"/>
                      <w:marBottom w:val="0"/>
                      <w:divBdr>
                        <w:top w:val="none" w:sz="0" w:space="0" w:color="auto"/>
                        <w:left w:val="none" w:sz="0" w:space="0" w:color="auto"/>
                        <w:bottom w:val="none" w:sz="0" w:space="0" w:color="auto"/>
                        <w:right w:val="none" w:sz="0" w:space="0" w:color="auto"/>
                      </w:divBdr>
                    </w:div>
                    <w:div w:id="504394826">
                      <w:marLeft w:val="0"/>
                      <w:marRight w:val="0"/>
                      <w:marTop w:val="0"/>
                      <w:marBottom w:val="0"/>
                      <w:divBdr>
                        <w:top w:val="none" w:sz="0" w:space="0" w:color="auto"/>
                        <w:left w:val="none" w:sz="0" w:space="0" w:color="auto"/>
                        <w:bottom w:val="none" w:sz="0" w:space="0" w:color="auto"/>
                        <w:right w:val="none" w:sz="0" w:space="0" w:color="auto"/>
                      </w:divBdr>
                    </w:div>
                    <w:div w:id="686516949">
                      <w:marLeft w:val="0"/>
                      <w:marRight w:val="0"/>
                      <w:marTop w:val="0"/>
                      <w:marBottom w:val="0"/>
                      <w:divBdr>
                        <w:top w:val="none" w:sz="0" w:space="0" w:color="auto"/>
                        <w:left w:val="none" w:sz="0" w:space="0" w:color="auto"/>
                        <w:bottom w:val="none" w:sz="0" w:space="0" w:color="auto"/>
                        <w:right w:val="none" w:sz="0" w:space="0" w:color="auto"/>
                      </w:divBdr>
                    </w:div>
                    <w:div w:id="1575624379">
                      <w:marLeft w:val="0"/>
                      <w:marRight w:val="0"/>
                      <w:marTop w:val="0"/>
                      <w:marBottom w:val="0"/>
                      <w:divBdr>
                        <w:top w:val="none" w:sz="0" w:space="0" w:color="auto"/>
                        <w:left w:val="none" w:sz="0" w:space="0" w:color="auto"/>
                        <w:bottom w:val="none" w:sz="0" w:space="0" w:color="auto"/>
                        <w:right w:val="none" w:sz="0" w:space="0" w:color="auto"/>
                      </w:divBdr>
                    </w:div>
                    <w:div w:id="1813016951">
                      <w:marLeft w:val="0"/>
                      <w:marRight w:val="0"/>
                      <w:marTop w:val="0"/>
                      <w:marBottom w:val="0"/>
                      <w:divBdr>
                        <w:top w:val="none" w:sz="0" w:space="0" w:color="auto"/>
                        <w:left w:val="none" w:sz="0" w:space="0" w:color="auto"/>
                        <w:bottom w:val="none" w:sz="0" w:space="0" w:color="auto"/>
                        <w:right w:val="none" w:sz="0" w:space="0" w:color="auto"/>
                      </w:divBdr>
                    </w:div>
                  </w:divsChild>
                </w:div>
                <w:div w:id="1890726500">
                  <w:marLeft w:val="0"/>
                  <w:marRight w:val="0"/>
                  <w:marTop w:val="0"/>
                  <w:marBottom w:val="0"/>
                  <w:divBdr>
                    <w:top w:val="none" w:sz="0" w:space="0" w:color="auto"/>
                    <w:left w:val="none" w:sz="0" w:space="0" w:color="auto"/>
                    <w:bottom w:val="none" w:sz="0" w:space="0" w:color="auto"/>
                    <w:right w:val="none" w:sz="0" w:space="0" w:color="auto"/>
                  </w:divBdr>
                  <w:divsChild>
                    <w:div w:id="600263468">
                      <w:marLeft w:val="0"/>
                      <w:marRight w:val="0"/>
                      <w:marTop w:val="0"/>
                      <w:marBottom w:val="0"/>
                      <w:divBdr>
                        <w:top w:val="none" w:sz="0" w:space="0" w:color="auto"/>
                        <w:left w:val="none" w:sz="0" w:space="0" w:color="auto"/>
                        <w:bottom w:val="none" w:sz="0" w:space="0" w:color="auto"/>
                        <w:right w:val="none" w:sz="0" w:space="0" w:color="auto"/>
                      </w:divBdr>
                    </w:div>
                  </w:divsChild>
                </w:div>
                <w:div w:id="1892232351">
                  <w:marLeft w:val="0"/>
                  <w:marRight w:val="0"/>
                  <w:marTop w:val="0"/>
                  <w:marBottom w:val="0"/>
                  <w:divBdr>
                    <w:top w:val="none" w:sz="0" w:space="0" w:color="auto"/>
                    <w:left w:val="none" w:sz="0" w:space="0" w:color="auto"/>
                    <w:bottom w:val="none" w:sz="0" w:space="0" w:color="auto"/>
                    <w:right w:val="none" w:sz="0" w:space="0" w:color="auto"/>
                  </w:divBdr>
                  <w:divsChild>
                    <w:div w:id="724525589">
                      <w:marLeft w:val="0"/>
                      <w:marRight w:val="0"/>
                      <w:marTop w:val="0"/>
                      <w:marBottom w:val="0"/>
                      <w:divBdr>
                        <w:top w:val="none" w:sz="0" w:space="0" w:color="auto"/>
                        <w:left w:val="none" w:sz="0" w:space="0" w:color="auto"/>
                        <w:bottom w:val="none" w:sz="0" w:space="0" w:color="auto"/>
                        <w:right w:val="none" w:sz="0" w:space="0" w:color="auto"/>
                      </w:divBdr>
                    </w:div>
                  </w:divsChild>
                </w:div>
                <w:div w:id="1907302527">
                  <w:marLeft w:val="0"/>
                  <w:marRight w:val="0"/>
                  <w:marTop w:val="0"/>
                  <w:marBottom w:val="0"/>
                  <w:divBdr>
                    <w:top w:val="none" w:sz="0" w:space="0" w:color="auto"/>
                    <w:left w:val="none" w:sz="0" w:space="0" w:color="auto"/>
                    <w:bottom w:val="none" w:sz="0" w:space="0" w:color="auto"/>
                    <w:right w:val="none" w:sz="0" w:space="0" w:color="auto"/>
                  </w:divBdr>
                  <w:divsChild>
                    <w:div w:id="712122970">
                      <w:marLeft w:val="0"/>
                      <w:marRight w:val="0"/>
                      <w:marTop w:val="0"/>
                      <w:marBottom w:val="0"/>
                      <w:divBdr>
                        <w:top w:val="none" w:sz="0" w:space="0" w:color="auto"/>
                        <w:left w:val="none" w:sz="0" w:space="0" w:color="auto"/>
                        <w:bottom w:val="none" w:sz="0" w:space="0" w:color="auto"/>
                        <w:right w:val="none" w:sz="0" w:space="0" w:color="auto"/>
                      </w:divBdr>
                    </w:div>
                  </w:divsChild>
                </w:div>
                <w:div w:id="1944144729">
                  <w:marLeft w:val="0"/>
                  <w:marRight w:val="0"/>
                  <w:marTop w:val="0"/>
                  <w:marBottom w:val="0"/>
                  <w:divBdr>
                    <w:top w:val="none" w:sz="0" w:space="0" w:color="auto"/>
                    <w:left w:val="none" w:sz="0" w:space="0" w:color="auto"/>
                    <w:bottom w:val="none" w:sz="0" w:space="0" w:color="auto"/>
                    <w:right w:val="none" w:sz="0" w:space="0" w:color="auto"/>
                  </w:divBdr>
                  <w:divsChild>
                    <w:div w:id="802305598">
                      <w:marLeft w:val="0"/>
                      <w:marRight w:val="0"/>
                      <w:marTop w:val="0"/>
                      <w:marBottom w:val="0"/>
                      <w:divBdr>
                        <w:top w:val="none" w:sz="0" w:space="0" w:color="auto"/>
                        <w:left w:val="none" w:sz="0" w:space="0" w:color="auto"/>
                        <w:bottom w:val="none" w:sz="0" w:space="0" w:color="auto"/>
                        <w:right w:val="none" w:sz="0" w:space="0" w:color="auto"/>
                      </w:divBdr>
                    </w:div>
                  </w:divsChild>
                </w:div>
                <w:div w:id="1945922704">
                  <w:marLeft w:val="0"/>
                  <w:marRight w:val="0"/>
                  <w:marTop w:val="0"/>
                  <w:marBottom w:val="0"/>
                  <w:divBdr>
                    <w:top w:val="none" w:sz="0" w:space="0" w:color="auto"/>
                    <w:left w:val="none" w:sz="0" w:space="0" w:color="auto"/>
                    <w:bottom w:val="none" w:sz="0" w:space="0" w:color="auto"/>
                    <w:right w:val="none" w:sz="0" w:space="0" w:color="auto"/>
                  </w:divBdr>
                  <w:divsChild>
                    <w:div w:id="1952543081">
                      <w:marLeft w:val="0"/>
                      <w:marRight w:val="0"/>
                      <w:marTop w:val="0"/>
                      <w:marBottom w:val="0"/>
                      <w:divBdr>
                        <w:top w:val="none" w:sz="0" w:space="0" w:color="auto"/>
                        <w:left w:val="none" w:sz="0" w:space="0" w:color="auto"/>
                        <w:bottom w:val="none" w:sz="0" w:space="0" w:color="auto"/>
                        <w:right w:val="none" w:sz="0" w:space="0" w:color="auto"/>
                      </w:divBdr>
                    </w:div>
                  </w:divsChild>
                </w:div>
                <w:div w:id="1962568600">
                  <w:marLeft w:val="0"/>
                  <w:marRight w:val="0"/>
                  <w:marTop w:val="0"/>
                  <w:marBottom w:val="0"/>
                  <w:divBdr>
                    <w:top w:val="none" w:sz="0" w:space="0" w:color="auto"/>
                    <w:left w:val="none" w:sz="0" w:space="0" w:color="auto"/>
                    <w:bottom w:val="none" w:sz="0" w:space="0" w:color="auto"/>
                    <w:right w:val="none" w:sz="0" w:space="0" w:color="auto"/>
                  </w:divBdr>
                  <w:divsChild>
                    <w:div w:id="1698920840">
                      <w:marLeft w:val="0"/>
                      <w:marRight w:val="0"/>
                      <w:marTop w:val="0"/>
                      <w:marBottom w:val="0"/>
                      <w:divBdr>
                        <w:top w:val="none" w:sz="0" w:space="0" w:color="auto"/>
                        <w:left w:val="none" w:sz="0" w:space="0" w:color="auto"/>
                        <w:bottom w:val="none" w:sz="0" w:space="0" w:color="auto"/>
                        <w:right w:val="none" w:sz="0" w:space="0" w:color="auto"/>
                      </w:divBdr>
                    </w:div>
                  </w:divsChild>
                </w:div>
                <w:div w:id="2024552203">
                  <w:marLeft w:val="0"/>
                  <w:marRight w:val="0"/>
                  <w:marTop w:val="0"/>
                  <w:marBottom w:val="0"/>
                  <w:divBdr>
                    <w:top w:val="none" w:sz="0" w:space="0" w:color="auto"/>
                    <w:left w:val="none" w:sz="0" w:space="0" w:color="auto"/>
                    <w:bottom w:val="none" w:sz="0" w:space="0" w:color="auto"/>
                    <w:right w:val="none" w:sz="0" w:space="0" w:color="auto"/>
                  </w:divBdr>
                  <w:divsChild>
                    <w:div w:id="504637923">
                      <w:marLeft w:val="0"/>
                      <w:marRight w:val="0"/>
                      <w:marTop w:val="0"/>
                      <w:marBottom w:val="0"/>
                      <w:divBdr>
                        <w:top w:val="none" w:sz="0" w:space="0" w:color="auto"/>
                        <w:left w:val="none" w:sz="0" w:space="0" w:color="auto"/>
                        <w:bottom w:val="none" w:sz="0" w:space="0" w:color="auto"/>
                        <w:right w:val="none" w:sz="0" w:space="0" w:color="auto"/>
                      </w:divBdr>
                    </w:div>
                  </w:divsChild>
                </w:div>
                <w:div w:id="2050687266">
                  <w:marLeft w:val="0"/>
                  <w:marRight w:val="0"/>
                  <w:marTop w:val="0"/>
                  <w:marBottom w:val="0"/>
                  <w:divBdr>
                    <w:top w:val="none" w:sz="0" w:space="0" w:color="auto"/>
                    <w:left w:val="none" w:sz="0" w:space="0" w:color="auto"/>
                    <w:bottom w:val="none" w:sz="0" w:space="0" w:color="auto"/>
                    <w:right w:val="none" w:sz="0" w:space="0" w:color="auto"/>
                  </w:divBdr>
                  <w:divsChild>
                    <w:div w:id="112338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73799">
          <w:marLeft w:val="0"/>
          <w:marRight w:val="0"/>
          <w:marTop w:val="0"/>
          <w:marBottom w:val="0"/>
          <w:divBdr>
            <w:top w:val="none" w:sz="0" w:space="0" w:color="auto"/>
            <w:left w:val="none" w:sz="0" w:space="0" w:color="auto"/>
            <w:bottom w:val="none" w:sz="0" w:space="0" w:color="auto"/>
            <w:right w:val="none" w:sz="0" w:space="0" w:color="auto"/>
          </w:divBdr>
        </w:div>
        <w:div w:id="553587491">
          <w:marLeft w:val="0"/>
          <w:marRight w:val="0"/>
          <w:marTop w:val="0"/>
          <w:marBottom w:val="0"/>
          <w:divBdr>
            <w:top w:val="none" w:sz="0" w:space="0" w:color="auto"/>
            <w:left w:val="none" w:sz="0" w:space="0" w:color="auto"/>
            <w:bottom w:val="none" w:sz="0" w:space="0" w:color="auto"/>
            <w:right w:val="none" w:sz="0" w:space="0" w:color="auto"/>
          </w:divBdr>
          <w:divsChild>
            <w:div w:id="152448906">
              <w:marLeft w:val="0"/>
              <w:marRight w:val="0"/>
              <w:marTop w:val="0"/>
              <w:marBottom w:val="0"/>
              <w:divBdr>
                <w:top w:val="none" w:sz="0" w:space="0" w:color="auto"/>
                <w:left w:val="none" w:sz="0" w:space="0" w:color="auto"/>
                <w:bottom w:val="none" w:sz="0" w:space="0" w:color="auto"/>
                <w:right w:val="none" w:sz="0" w:space="0" w:color="auto"/>
              </w:divBdr>
            </w:div>
            <w:div w:id="191917126">
              <w:marLeft w:val="0"/>
              <w:marRight w:val="0"/>
              <w:marTop w:val="0"/>
              <w:marBottom w:val="0"/>
              <w:divBdr>
                <w:top w:val="none" w:sz="0" w:space="0" w:color="auto"/>
                <w:left w:val="none" w:sz="0" w:space="0" w:color="auto"/>
                <w:bottom w:val="none" w:sz="0" w:space="0" w:color="auto"/>
                <w:right w:val="none" w:sz="0" w:space="0" w:color="auto"/>
              </w:divBdr>
            </w:div>
            <w:div w:id="278147002">
              <w:marLeft w:val="0"/>
              <w:marRight w:val="0"/>
              <w:marTop w:val="0"/>
              <w:marBottom w:val="0"/>
              <w:divBdr>
                <w:top w:val="none" w:sz="0" w:space="0" w:color="auto"/>
                <w:left w:val="none" w:sz="0" w:space="0" w:color="auto"/>
                <w:bottom w:val="none" w:sz="0" w:space="0" w:color="auto"/>
                <w:right w:val="none" w:sz="0" w:space="0" w:color="auto"/>
              </w:divBdr>
            </w:div>
            <w:div w:id="1087848797">
              <w:marLeft w:val="0"/>
              <w:marRight w:val="0"/>
              <w:marTop w:val="0"/>
              <w:marBottom w:val="0"/>
              <w:divBdr>
                <w:top w:val="none" w:sz="0" w:space="0" w:color="auto"/>
                <w:left w:val="none" w:sz="0" w:space="0" w:color="auto"/>
                <w:bottom w:val="none" w:sz="0" w:space="0" w:color="auto"/>
                <w:right w:val="none" w:sz="0" w:space="0" w:color="auto"/>
              </w:divBdr>
            </w:div>
            <w:div w:id="1507555804">
              <w:marLeft w:val="0"/>
              <w:marRight w:val="0"/>
              <w:marTop w:val="0"/>
              <w:marBottom w:val="0"/>
              <w:divBdr>
                <w:top w:val="none" w:sz="0" w:space="0" w:color="auto"/>
                <w:left w:val="none" w:sz="0" w:space="0" w:color="auto"/>
                <w:bottom w:val="none" w:sz="0" w:space="0" w:color="auto"/>
                <w:right w:val="none" w:sz="0" w:space="0" w:color="auto"/>
              </w:divBdr>
            </w:div>
            <w:div w:id="1830558825">
              <w:marLeft w:val="0"/>
              <w:marRight w:val="0"/>
              <w:marTop w:val="0"/>
              <w:marBottom w:val="0"/>
              <w:divBdr>
                <w:top w:val="none" w:sz="0" w:space="0" w:color="auto"/>
                <w:left w:val="none" w:sz="0" w:space="0" w:color="auto"/>
                <w:bottom w:val="none" w:sz="0" w:space="0" w:color="auto"/>
                <w:right w:val="none" w:sz="0" w:space="0" w:color="auto"/>
              </w:divBdr>
            </w:div>
          </w:divsChild>
        </w:div>
        <w:div w:id="575478715">
          <w:marLeft w:val="0"/>
          <w:marRight w:val="0"/>
          <w:marTop w:val="0"/>
          <w:marBottom w:val="0"/>
          <w:divBdr>
            <w:top w:val="none" w:sz="0" w:space="0" w:color="auto"/>
            <w:left w:val="none" w:sz="0" w:space="0" w:color="auto"/>
            <w:bottom w:val="none" w:sz="0" w:space="0" w:color="auto"/>
            <w:right w:val="none" w:sz="0" w:space="0" w:color="auto"/>
          </w:divBdr>
          <w:divsChild>
            <w:div w:id="2021542104">
              <w:marLeft w:val="-75"/>
              <w:marRight w:val="0"/>
              <w:marTop w:val="30"/>
              <w:marBottom w:val="30"/>
              <w:divBdr>
                <w:top w:val="none" w:sz="0" w:space="0" w:color="auto"/>
                <w:left w:val="none" w:sz="0" w:space="0" w:color="auto"/>
                <w:bottom w:val="none" w:sz="0" w:space="0" w:color="auto"/>
                <w:right w:val="none" w:sz="0" w:space="0" w:color="auto"/>
              </w:divBdr>
              <w:divsChild>
                <w:div w:id="12195107">
                  <w:marLeft w:val="0"/>
                  <w:marRight w:val="0"/>
                  <w:marTop w:val="0"/>
                  <w:marBottom w:val="0"/>
                  <w:divBdr>
                    <w:top w:val="none" w:sz="0" w:space="0" w:color="auto"/>
                    <w:left w:val="none" w:sz="0" w:space="0" w:color="auto"/>
                    <w:bottom w:val="none" w:sz="0" w:space="0" w:color="auto"/>
                    <w:right w:val="none" w:sz="0" w:space="0" w:color="auto"/>
                  </w:divBdr>
                  <w:divsChild>
                    <w:div w:id="2077194088">
                      <w:marLeft w:val="0"/>
                      <w:marRight w:val="0"/>
                      <w:marTop w:val="0"/>
                      <w:marBottom w:val="0"/>
                      <w:divBdr>
                        <w:top w:val="none" w:sz="0" w:space="0" w:color="auto"/>
                        <w:left w:val="none" w:sz="0" w:space="0" w:color="auto"/>
                        <w:bottom w:val="none" w:sz="0" w:space="0" w:color="auto"/>
                        <w:right w:val="none" w:sz="0" w:space="0" w:color="auto"/>
                      </w:divBdr>
                    </w:div>
                  </w:divsChild>
                </w:div>
                <w:div w:id="16661036">
                  <w:marLeft w:val="0"/>
                  <w:marRight w:val="0"/>
                  <w:marTop w:val="0"/>
                  <w:marBottom w:val="0"/>
                  <w:divBdr>
                    <w:top w:val="none" w:sz="0" w:space="0" w:color="auto"/>
                    <w:left w:val="none" w:sz="0" w:space="0" w:color="auto"/>
                    <w:bottom w:val="none" w:sz="0" w:space="0" w:color="auto"/>
                    <w:right w:val="none" w:sz="0" w:space="0" w:color="auto"/>
                  </w:divBdr>
                  <w:divsChild>
                    <w:div w:id="1187718283">
                      <w:marLeft w:val="0"/>
                      <w:marRight w:val="0"/>
                      <w:marTop w:val="0"/>
                      <w:marBottom w:val="0"/>
                      <w:divBdr>
                        <w:top w:val="none" w:sz="0" w:space="0" w:color="auto"/>
                        <w:left w:val="none" w:sz="0" w:space="0" w:color="auto"/>
                        <w:bottom w:val="none" w:sz="0" w:space="0" w:color="auto"/>
                        <w:right w:val="none" w:sz="0" w:space="0" w:color="auto"/>
                      </w:divBdr>
                    </w:div>
                  </w:divsChild>
                </w:div>
                <w:div w:id="33044543">
                  <w:marLeft w:val="0"/>
                  <w:marRight w:val="0"/>
                  <w:marTop w:val="0"/>
                  <w:marBottom w:val="0"/>
                  <w:divBdr>
                    <w:top w:val="none" w:sz="0" w:space="0" w:color="auto"/>
                    <w:left w:val="none" w:sz="0" w:space="0" w:color="auto"/>
                    <w:bottom w:val="none" w:sz="0" w:space="0" w:color="auto"/>
                    <w:right w:val="none" w:sz="0" w:space="0" w:color="auto"/>
                  </w:divBdr>
                  <w:divsChild>
                    <w:div w:id="1320189123">
                      <w:marLeft w:val="0"/>
                      <w:marRight w:val="0"/>
                      <w:marTop w:val="0"/>
                      <w:marBottom w:val="0"/>
                      <w:divBdr>
                        <w:top w:val="none" w:sz="0" w:space="0" w:color="auto"/>
                        <w:left w:val="none" w:sz="0" w:space="0" w:color="auto"/>
                        <w:bottom w:val="none" w:sz="0" w:space="0" w:color="auto"/>
                        <w:right w:val="none" w:sz="0" w:space="0" w:color="auto"/>
                      </w:divBdr>
                    </w:div>
                  </w:divsChild>
                </w:div>
                <w:div w:id="37750911">
                  <w:marLeft w:val="0"/>
                  <w:marRight w:val="0"/>
                  <w:marTop w:val="0"/>
                  <w:marBottom w:val="0"/>
                  <w:divBdr>
                    <w:top w:val="none" w:sz="0" w:space="0" w:color="auto"/>
                    <w:left w:val="none" w:sz="0" w:space="0" w:color="auto"/>
                    <w:bottom w:val="none" w:sz="0" w:space="0" w:color="auto"/>
                    <w:right w:val="none" w:sz="0" w:space="0" w:color="auto"/>
                  </w:divBdr>
                  <w:divsChild>
                    <w:div w:id="1539901300">
                      <w:marLeft w:val="0"/>
                      <w:marRight w:val="0"/>
                      <w:marTop w:val="0"/>
                      <w:marBottom w:val="0"/>
                      <w:divBdr>
                        <w:top w:val="none" w:sz="0" w:space="0" w:color="auto"/>
                        <w:left w:val="none" w:sz="0" w:space="0" w:color="auto"/>
                        <w:bottom w:val="none" w:sz="0" w:space="0" w:color="auto"/>
                        <w:right w:val="none" w:sz="0" w:space="0" w:color="auto"/>
                      </w:divBdr>
                    </w:div>
                  </w:divsChild>
                </w:div>
                <w:div w:id="43482342">
                  <w:marLeft w:val="0"/>
                  <w:marRight w:val="0"/>
                  <w:marTop w:val="0"/>
                  <w:marBottom w:val="0"/>
                  <w:divBdr>
                    <w:top w:val="none" w:sz="0" w:space="0" w:color="auto"/>
                    <w:left w:val="none" w:sz="0" w:space="0" w:color="auto"/>
                    <w:bottom w:val="none" w:sz="0" w:space="0" w:color="auto"/>
                    <w:right w:val="none" w:sz="0" w:space="0" w:color="auto"/>
                  </w:divBdr>
                  <w:divsChild>
                    <w:div w:id="583026239">
                      <w:marLeft w:val="0"/>
                      <w:marRight w:val="0"/>
                      <w:marTop w:val="0"/>
                      <w:marBottom w:val="0"/>
                      <w:divBdr>
                        <w:top w:val="none" w:sz="0" w:space="0" w:color="auto"/>
                        <w:left w:val="none" w:sz="0" w:space="0" w:color="auto"/>
                        <w:bottom w:val="none" w:sz="0" w:space="0" w:color="auto"/>
                        <w:right w:val="none" w:sz="0" w:space="0" w:color="auto"/>
                      </w:divBdr>
                    </w:div>
                  </w:divsChild>
                </w:div>
                <w:div w:id="46684837">
                  <w:marLeft w:val="0"/>
                  <w:marRight w:val="0"/>
                  <w:marTop w:val="0"/>
                  <w:marBottom w:val="0"/>
                  <w:divBdr>
                    <w:top w:val="none" w:sz="0" w:space="0" w:color="auto"/>
                    <w:left w:val="none" w:sz="0" w:space="0" w:color="auto"/>
                    <w:bottom w:val="none" w:sz="0" w:space="0" w:color="auto"/>
                    <w:right w:val="none" w:sz="0" w:space="0" w:color="auto"/>
                  </w:divBdr>
                  <w:divsChild>
                    <w:div w:id="1219440066">
                      <w:marLeft w:val="0"/>
                      <w:marRight w:val="0"/>
                      <w:marTop w:val="0"/>
                      <w:marBottom w:val="0"/>
                      <w:divBdr>
                        <w:top w:val="none" w:sz="0" w:space="0" w:color="auto"/>
                        <w:left w:val="none" w:sz="0" w:space="0" w:color="auto"/>
                        <w:bottom w:val="none" w:sz="0" w:space="0" w:color="auto"/>
                        <w:right w:val="none" w:sz="0" w:space="0" w:color="auto"/>
                      </w:divBdr>
                    </w:div>
                  </w:divsChild>
                </w:div>
                <w:div w:id="49037984">
                  <w:marLeft w:val="0"/>
                  <w:marRight w:val="0"/>
                  <w:marTop w:val="0"/>
                  <w:marBottom w:val="0"/>
                  <w:divBdr>
                    <w:top w:val="none" w:sz="0" w:space="0" w:color="auto"/>
                    <w:left w:val="none" w:sz="0" w:space="0" w:color="auto"/>
                    <w:bottom w:val="none" w:sz="0" w:space="0" w:color="auto"/>
                    <w:right w:val="none" w:sz="0" w:space="0" w:color="auto"/>
                  </w:divBdr>
                  <w:divsChild>
                    <w:div w:id="1247037552">
                      <w:marLeft w:val="0"/>
                      <w:marRight w:val="0"/>
                      <w:marTop w:val="0"/>
                      <w:marBottom w:val="0"/>
                      <w:divBdr>
                        <w:top w:val="none" w:sz="0" w:space="0" w:color="auto"/>
                        <w:left w:val="none" w:sz="0" w:space="0" w:color="auto"/>
                        <w:bottom w:val="none" w:sz="0" w:space="0" w:color="auto"/>
                        <w:right w:val="none" w:sz="0" w:space="0" w:color="auto"/>
                      </w:divBdr>
                    </w:div>
                  </w:divsChild>
                </w:div>
                <w:div w:id="52001137">
                  <w:marLeft w:val="0"/>
                  <w:marRight w:val="0"/>
                  <w:marTop w:val="0"/>
                  <w:marBottom w:val="0"/>
                  <w:divBdr>
                    <w:top w:val="none" w:sz="0" w:space="0" w:color="auto"/>
                    <w:left w:val="none" w:sz="0" w:space="0" w:color="auto"/>
                    <w:bottom w:val="none" w:sz="0" w:space="0" w:color="auto"/>
                    <w:right w:val="none" w:sz="0" w:space="0" w:color="auto"/>
                  </w:divBdr>
                  <w:divsChild>
                    <w:div w:id="2033727819">
                      <w:marLeft w:val="0"/>
                      <w:marRight w:val="0"/>
                      <w:marTop w:val="0"/>
                      <w:marBottom w:val="0"/>
                      <w:divBdr>
                        <w:top w:val="none" w:sz="0" w:space="0" w:color="auto"/>
                        <w:left w:val="none" w:sz="0" w:space="0" w:color="auto"/>
                        <w:bottom w:val="none" w:sz="0" w:space="0" w:color="auto"/>
                        <w:right w:val="none" w:sz="0" w:space="0" w:color="auto"/>
                      </w:divBdr>
                    </w:div>
                  </w:divsChild>
                </w:div>
                <w:div w:id="56975455">
                  <w:marLeft w:val="0"/>
                  <w:marRight w:val="0"/>
                  <w:marTop w:val="0"/>
                  <w:marBottom w:val="0"/>
                  <w:divBdr>
                    <w:top w:val="none" w:sz="0" w:space="0" w:color="auto"/>
                    <w:left w:val="none" w:sz="0" w:space="0" w:color="auto"/>
                    <w:bottom w:val="none" w:sz="0" w:space="0" w:color="auto"/>
                    <w:right w:val="none" w:sz="0" w:space="0" w:color="auto"/>
                  </w:divBdr>
                  <w:divsChild>
                    <w:div w:id="918446187">
                      <w:marLeft w:val="0"/>
                      <w:marRight w:val="0"/>
                      <w:marTop w:val="0"/>
                      <w:marBottom w:val="0"/>
                      <w:divBdr>
                        <w:top w:val="none" w:sz="0" w:space="0" w:color="auto"/>
                        <w:left w:val="none" w:sz="0" w:space="0" w:color="auto"/>
                        <w:bottom w:val="none" w:sz="0" w:space="0" w:color="auto"/>
                        <w:right w:val="none" w:sz="0" w:space="0" w:color="auto"/>
                      </w:divBdr>
                    </w:div>
                  </w:divsChild>
                </w:div>
                <w:div w:id="58749297">
                  <w:marLeft w:val="0"/>
                  <w:marRight w:val="0"/>
                  <w:marTop w:val="0"/>
                  <w:marBottom w:val="0"/>
                  <w:divBdr>
                    <w:top w:val="none" w:sz="0" w:space="0" w:color="auto"/>
                    <w:left w:val="none" w:sz="0" w:space="0" w:color="auto"/>
                    <w:bottom w:val="none" w:sz="0" w:space="0" w:color="auto"/>
                    <w:right w:val="none" w:sz="0" w:space="0" w:color="auto"/>
                  </w:divBdr>
                  <w:divsChild>
                    <w:div w:id="359621989">
                      <w:marLeft w:val="0"/>
                      <w:marRight w:val="0"/>
                      <w:marTop w:val="0"/>
                      <w:marBottom w:val="0"/>
                      <w:divBdr>
                        <w:top w:val="none" w:sz="0" w:space="0" w:color="auto"/>
                        <w:left w:val="none" w:sz="0" w:space="0" w:color="auto"/>
                        <w:bottom w:val="none" w:sz="0" w:space="0" w:color="auto"/>
                        <w:right w:val="none" w:sz="0" w:space="0" w:color="auto"/>
                      </w:divBdr>
                    </w:div>
                  </w:divsChild>
                </w:div>
                <w:div w:id="62997923">
                  <w:marLeft w:val="0"/>
                  <w:marRight w:val="0"/>
                  <w:marTop w:val="0"/>
                  <w:marBottom w:val="0"/>
                  <w:divBdr>
                    <w:top w:val="none" w:sz="0" w:space="0" w:color="auto"/>
                    <w:left w:val="none" w:sz="0" w:space="0" w:color="auto"/>
                    <w:bottom w:val="none" w:sz="0" w:space="0" w:color="auto"/>
                    <w:right w:val="none" w:sz="0" w:space="0" w:color="auto"/>
                  </w:divBdr>
                  <w:divsChild>
                    <w:div w:id="786856912">
                      <w:marLeft w:val="0"/>
                      <w:marRight w:val="0"/>
                      <w:marTop w:val="0"/>
                      <w:marBottom w:val="0"/>
                      <w:divBdr>
                        <w:top w:val="none" w:sz="0" w:space="0" w:color="auto"/>
                        <w:left w:val="none" w:sz="0" w:space="0" w:color="auto"/>
                        <w:bottom w:val="none" w:sz="0" w:space="0" w:color="auto"/>
                        <w:right w:val="none" w:sz="0" w:space="0" w:color="auto"/>
                      </w:divBdr>
                    </w:div>
                  </w:divsChild>
                </w:div>
                <w:div w:id="73405188">
                  <w:marLeft w:val="0"/>
                  <w:marRight w:val="0"/>
                  <w:marTop w:val="0"/>
                  <w:marBottom w:val="0"/>
                  <w:divBdr>
                    <w:top w:val="none" w:sz="0" w:space="0" w:color="auto"/>
                    <w:left w:val="none" w:sz="0" w:space="0" w:color="auto"/>
                    <w:bottom w:val="none" w:sz="0" w:space="0" w:color="auto"/>
                    <w:right w:val="none" w:sz="0" w:space="0" w:color="auto"/>
                  </w:divBdr>
                  <w:divsChild>
                    <w:div w:id="660892996">
                      <w:marLeft w:val="0"/>
                      <w:marRight w:val="0"/>
                      <w:marTop w:val="0"/>
                      <w:marBottom w:val="0"/>
                      <w:divBdr>
                        <w:top w:val="none" w:sz="0" w:space="0" w:color="auto"/>
                        <w:left w:val="none" w:sz="0" w:space="0" w:color="auto"/>
                        <w:bottom w:val="none" w:sz="0" w:space="0" w:color="auto"/>
                        <w:right w:val="none" w:sz="0" w:space="0" w:color="auto"/>
                      </w:divBdr>
                    </w:div>
                  </w:divsChild>
                </w:div>
                <w:div w:id="98331899">
                  <w:marLeft w:val="0"/>
                  <w:marRight w:val="0"/>
                  <w:marTop w:val="0"/>
                  <w:marBottom w:val="0"/>
                  <w:divBdr>
                    <w:top w:val="none" w:sz="0" w:space="0" w:color="auto"/>
                    <w:left w:val="none" w:sz="0" w:space="0" w:color="auto"/>
                    <w:bottom w:val="none" w:sz="0" w:space="0" w:color="auto"/>
                    <w:right w:val="none" w:sz="0" w:space="0" w:color="auto"/>
                  </w:divBdr>
                  <w:divsChild>
                    <w:div w:id="1668707510">
                      <w:marLeft w:val="0"/>
                      <w:marRight w:val="0"/>
                      <w:marTop w:val="0"/>
                      <w:marBottom w:val="0"/>
                      <w:divBdr>
                        <w:top w:val="none" w:sz="0" w:space="0" w:color="auto"/>
                        <w:left w:val="none" w:sz="0" w:space="0" w:color="auto"/>
                        <w:bottom w:val="none" w:sz="0" w:space="0" w:color="auto"/>
                        <w:right w:val="none" w:sz="0" w:space="0" w:color="auto"/>
                      </w:divBdr>
                    </w:div>
                  </w:divsChild>
                </w:div>
                <w:div w:id="99767100">
                  <w:marLeft w:val="0"/>
                  <w:marRight w:val="0"/>
                  <w:marTop w:val="0"/>
                  <w:marBottom w:val="0"/>
                  <w:divBdr>
                    <w:top w:val="none" w:sz="0" w:space="0" w:color="auto"/>
                    <w:left w:val="none" w:sz="0" w:space="0" w:color="auto"/>
                    <w:bottom w:val="none" w:sz="0" w:space="0" w:color="auto"/>
                    <w:right w:val="none" w:sz="0" w:space="0" w:color="auto"/>
                  </w:divBdr>
                  <w:divsChild>
                    <w:div w:id="1580209864">
                      <w:marLeft w:val="0"/>
                      <w:marRight w:val="0"/>
                      <w:marTop w:val="0"/>
                      <w:marBottom w:val="0"/>
                      <w:divBdr>
                        <w:top w:val="none" w:sz="0" w:space="0" w:color="auto"/>
                        <w:left w:val="none" w:sz="0" w:space="0" w:color="auto"/>
                        <w:bottom w:val="none" w:sz="0" w:space="0" w:color="auto"/>
                        <w:right w:val="none" w:sz="0" w:space="0" w:color="auto"/>
                      </w:divBdr>
                    </w:div>
                  </w:divsChild>
                </w:div>
                <w:div w:id="106311875">
                  <w:marLeft w:val="0"/>
                  <w:marRight w:val="0"/>
                  <w:marTop w:val="0"/>
                  <w:marBottom w:val="0"/>
                  <w:divBdr>
                    <w:top w:val="none" w:sz="0" w:space="0" w:color="auto"/>
                    <w:left w:val="none" w:sz="0" w:space="0" w:color="auto"/>
                    <w:bottom w:val="none" w:sz="0" w:space="0" w:color="auto"/>
                    <w:right w:val="none" w:sz="0" w:space="0" w:color="auto"/>
                  </w:divBdr>
                  <w:divsChild>
                    <w:div w:id="121123450">
                      <w:marLeft w:val="0"/>
                      <w:marRight w:val="0"/>
                      <w:marTop w:val="0"/>
                      <w:marBottom w:val="0"/>
                      <w:divBdr>
                        <w:top w:val="none" w:sz="0" w:space="0" w:color="auto"/>
                        <w:left w:val="none" w:sz="0" w:space="0" w:color="auto"/>
                        <w:bottom w:val="none" w:sz="0" w:space="0" w:color="auto"/>
                        <w:right w:val="none" w:sz="0" w:space="0" w:color="auto"/>
                      </w:divBdr>
                    </w:div>
                  </w:divsChild>
                </w:div>
                <w:div w:id="108164879">
                  <w:marLeft w:val="0"/>
                  <w:marRight w:val="0"/>
                  <w:marTop w:val="0"/>
                  <w:marBottom w:val="0"/>
                  <w:divBdr>
                    <w:top w:val="none" w:sz="0" w:space="0" w:color="auto"/>
                    <w:left w:val="none" w:sz="0" w:space="0" w:color="auto"/>
                    <w:bottom w:val="none" w:sz="0" w:space="0" w:color="auto"/>
                    <w:right w:val="none" w:sz="0" w:space="0" w:color="auto"/>
                  </w:divBdr>
                  <w:divsChild>
                    <w:div w:id="1914966571">
                      <w:marLeft w:val="0"/>
                      <w:marRight w:val="0"/>
                      <w:marTop w:val="0"/>
                      <w:marBottom w:val="0"/>
                      <w:divBdr>
                        <w:top w:val="none" w:sz="0" w:space="0" w:color="auto"/>
                        <w:left w:val="none" w:sz="0" w:space="0" w:color="auto"/>
                        <w:bottom w:val="none" w:sz="0" w:space="0" w:color="auto"/>
                        <w:right w:val="none" w:sz="0" w:space="0" w:color="auto"/>
                      </w:divBdr>
                    </w:div>
                  </w:divsChild>
                </w:div>
                <w:div w:id="118912564">
                  <w:marLeft w:val="0"/>
                  <w:marRight w:val="0"/>
                  <w:marTop w:val="0"/>
                  <w:marBottom w:val="0"/>
                  <w:divBdr>
                    <w:top w:val="none" w:sz="0" w:space="0" w:color="auto"/>
                    <w:left w:val="none" w:sz="0" w:space="0" w:color="auto"/>
                    <w:bottom w:val="none" w:sz="0" w:space="0" w:color="auto"/>
                    <w:right w:val="none" w:sz="0" w:space="0" w:color="auto"/>
                  </w:divBdr>
                  <w:divsChild>
                    <w:div w:id="745033297">
                      <w:marLeft w:val="0"/>
                      <w:marRight w:val="0"/>
                      <w:marTop w:val="0"/>
                      <w:marBottom w:val="0"/>
                      <w:divBdr>
                        <w:top w:val="none" w:sz="0" w:space="0" w:color="auto"/>
                        <w:left w:val="none" w:sz="0" w:space="0" w:color="auto"/>
                        <w:bottom w:val="none" w:sz="0" w:space="0" w:color="auto"/>
                        <w:right w:val="none" w:sz="0" w:space="0" w:color="auto"/>
                      </w:divBdr>
                    </w:div>
                  </w:divsChild>
                </w:div>
                <w:div w:id="121197522">
                  <w:marLeft w:val="0"/>
                  <w:marRight w:val="0"/>
                  <w:marTop w:val="0"/>
                  <w:marBottom w:val="0"/>
                  <w:divBdr>
                    <w:top w:val="none" w:sz="0" w:space="0" w:color="auto"/>
                    <w:left w:val="none" w:sz="0" w:space="0" w:color="auto"/>
                    <w:bottom w:val="none" w:sz="0" w:space="0" w:color="auto"/>
                    <w:right w:val="none" w:sz="0" w:space="0" w:color="auto"/>
                  </w:divBdr>
                  <w:divsChild>
                    <w:div w:id="1576816579">
                      <w:marLeft w:val="0"/>
                      <w:marRight w:val="0"/>
                      <w:marTop w:val="0"/>
                      <w:marBottom w:val="0"/>
                      <w:divBdr>
                        <w:top w:val="none" w:sz="0" w:space="0" w:color="auto"/>
                        <w:left w:val="none" w:sz="0" w:space="0" w:color="auto"/>
                        <w:bottom w:val="none" w:sz="0" w:space="0" w:color="auto"/>
                        <w:right w:val="none" w:sz="0" w:space="0" w:color="auto"/>
                      </w:divBdr>
                    </w:div>
                  </w:divsChild>
                </w:div>
                <w:div w:id="143545123">
                  <w:marLeft w:val="0"/>
                  <w:marRight w:val="0"/>
                  <w:marTop w:val="0"/>
                  <w:marBottom w:val="0"/>
                  <w:divBdr>
                    <w:top w:val="none" w:sz="0" w:space="0" w:color="auto"/>
                    <w:left w:val="none" w:sz="0" w:space="0" w:color="auto"/>
                    <w:bottom w:val="none" w:sz="0" w:space="0" w:color="auto"/>
                    <w:right w:val="none" w:sz="0" w:space="0" w:color="auto"/>
                  </w:divBdr>
                  <w:divsChild>
                    <w:div w:id="933630721">
                      <w:marLeft w:val="0"/>
                      <w:marRight w:val="0"/>
                      <w:marTop w:val="0"/>
                      <w:marBottom w:val="0"/>
                      <w:divBdr>
                        <w:top w:val="none" w:sz="0" w:space="0" w:color="auto"/>
                        <w:left w:val="none" w:sz="0" w:space="0" w:color="auto"/>
                        <w:bottom w:val="none" w:sz="0" w:space="0" w:color="auto"/>
                        <w:right w:val="none" w:sz="0" w:space="0" w:color="auto"/>
                      </w:divBdr>
                    </w:div>
                  </w:divsChild>
                </w:div>
                <w:div w:id="154498557">
                  <w:marLeft w:val="0"/>
                  <w:marRight w:val="0"/>
                  <w:marTop w:val="0"/>
                  <w:marBottom w:val="0"/>
                  <w:divBdr>
                    <w:top w:val="none" w:sz="0" w:space="0" w:color="auto"/>
                    <w:left w:val="none" w:sz="0" w:space="0" w:color="auto"/>
                    <w:bottom w:val="none" w:sz="0" w:space="0" w:color="auto"/>
                    <w:right w:val="none" w:sz="0" w:space="0" w:color="auto"/>
                  </w:divBdr>
                  <w:divsChild>
                    <w:div w:id="897939535">
                      <w:marLeft w:val="0"/>
                      <w:marRight w:val="0"/>
                      <w:marTop w:val="0"/>
                      <w:marBottom w:val="0"/>
                      <w:divBdr>
                        <w:top w:val="none" w:sz="0" w:space="0" w:color="auto"/>
                        <w:left w:val="none" w:sz="0" w:space="0" w:color="auto"/>
                        <w:bottom w:val="none" w:sz="0" w:space="0" w:color="auto"/>
                        <w:right w:val="none" w:sz="0" w:space="0" w:color="auto"/>
                      </w:divBdr>
                    </w:div>
                  </w:divsChild>
                </w:div>
                <w:div w:id="155612207">
                  <w:marLeft w:val="0"/>
                  <w:marRight w:val="0"/>
                  <w:marTop w:val="0"/>
                  <w:marBottom w:val="0"/>
                  <w:divBdr>
                    <w:top w:val="none" w:sz="0" w:space="0" w:color="auto"/>
                    <w:left w:val="none" w:sz="0" w:space="0" w:color="auto"/>
                    <w:bottom w:val="none" w:sz="0" w:space="0" w:color="auto"/>
                    <w:right w:val="none" w:sz="0" w:space="0" w:color="auto"/>
                  </w:divBdr>
                  <w:divsChild>
                    <w:div w:id="1457526746">
                      <w:marLeft w:val="0"/>
                      <w:marRight w:val="0"/>
                      <w:marTop w:val="0"/>
                      <w:marBottom w:val="0"/>
                      <w:divBdr>
                        <w:top w:val="none" w:sz="0" w:space="0" w:color="auto"/>
                        <w:left w:val="none" w:sz="0" w:space="0" w:color="auto"/>
                        <w:bottom w:val="none" w:sz="0" w:space="0" w:color="auto"/>
                        <w:right w:val="none" w:sz="0" w:space="0" w:color="auto"/>
                      </w:divBdr>
                    </w:div>
                  </w:divsChild>
                </w:div>
                <w:div w:id="183448366">
                  <w:marLeft w:val="0"/>
                  <w:marRight w:val="0"/>
                  <w:marTop w:val="0"/>
                  <w:marBottom w:val="0"/>
                  <w:divBdr>
                    <w:top w:val="none" w:sz="0" w:space="0" w:color="auto"/>
                    <w:left w:val="none" w:sz="0" w:space="0" w:color="auto"/>
                    <w:bottom w:val="none" w:sz="0" w:space="0" w:color="auto"/>
                    <w:right w:val="none" w:sz="0" w:space="0" w:color="auto"/>
                  </w:divBdr>
                  <w:divsChild>
                    <w:div w:id="1352141585">
                      <w:marLeft w:val="0"/>
                      <w:marRight w:val="0"/>
                      <w:marTop w:val="0"/>
                      <w:marBottom w:val="0"/>
                      <w:divBdr>
                        <w:top w:val="none" w:sz="0" w:space="0" w:color="auto"/>
                        <w:left w:val="none" w:sz="0" w:space="0" w:color="auto"/>
                        <w:bottom w:val="none" w:sz="0" w:space="0" w:color="auto"/>
                        <w:right w:val="none" w:sz="0" w:space="0" w:color="auto"/>
                      </w:divBdr>
                    </w:div>
                  </w:divsChild>
                </w:div>
                <w:div w:id="202720312">
                  <w:marLeft w:val="0"/>
                  <w:marRight w:val="0"/>
                  <w:marTop w:val="0"/>
                  <w:marBottom w:val="0"/>
                  <w:divBdr>
                    <w:top w:val="none" w:sz="0" w:space="0" w:color="auto"/>
                    <w:left w:val="none" w:sz="0" w:space="0" w:color="auto"/>
                    <w:bottom w:val="none" w:sz="0" w:space="0" w:color="auto"/>
                    <w:right w:val="none" w:sz="0" w:space="0" w:color="auto"/>
                  </w:divBdr>
                  <w:divsChild>
                    <w:div w:id="1976056976">
                      <w:marLeft w:val="0"/>
                      <w:marRight w:val="0"/>
                      <w:marTop w:val="0"/>
                      <w:marBottom w:val="0"/>
                      <w:divBdr>
                        <w:top w:val="none" w:sz="0" w:space="0" w:color="auto"/>
                        <w:left w:val="none" w:sz="0" w:space="0" w:color="auto"/>
                        <w:bottom w:val="none" w:sz="0" w:space="0" w:color="auto"/>
                        <w:right w:val="none" w:sz="0" w:space="0" w:color="auto"/>
                      </w:divBdr>
                    </w:div>
                  </w:divsChild>
                </w:div>
                <w:div w:id="207762849">
                  <w:marLeft w:val="0"/>
                  <w:marRight w:val="0"/>
                  <w:marTop w:val="0"/>
                  <w:marBottom w:val="0"/>
                  <w:divBdr>
                    <w:top w:val="none" w:sz="0" w:space="0" w:color="auto"/>
                    <w:left w:val="none" w:sz="0" w:space="0" w:color="auto"/>
                    <w:bottom w:val="none" w:sz="0" w:space="0" w:color="auto"/>
                    <w:right w:val="none" w:sz="0" w:space="0" w:color="auto"/>
                  </w:divBdr>
                  <w:divsChild>
                    <w:div w:id="653875447">
                      <w:marLeft w:val="0"/>
                      <w:marRight w:val="0"/>
                      <w:marTop w:val="0"/>
                      <w:marBottom w:val="0"/>
                      <w:divBdr>
                        <w:top w:val="none" w:sz="0" w:space="0" w:color="auto"/>
                        <w:left w:val="none" w:sz="0" w:space="0" w:color="auto"/>
                        <w:bottom w:val="none" w:sz="0" w:space="0" w:color="auto"/>
                        <w:right w:val="none" w:sz="0" w:space="0" w:color="auto"/>
                      </w:divBdr>
                    </w:div>
                  </w:divsChild>
                </w:div>
                <w:div w:id="214859073">
                  <w:marLeft w:val="0"/>
                  <w:marRight w:val="0"/>
                  <w:marTop w:val="0"/>
                  <w:marBottom w:val="0"/>
                  <w:divBdr>
                    <w:top w:val="none" w:sz="0" w:space="0" w:color="auto"/>
                    <w:left w:val="none" w:sz="0" w:space="0" w:color="auto"/>
                    <w:bottom w:val="none" w:sz="0" w:space="0" w:color="auto"/>
                    <w:right w:val="none" w:sz="0" w:space="0" w:color="auto"/>
                  </w:divBdr>
                  <w:divsChild>
                    <w:div w:id="79180887">
                      <w:marLeft w:val="0"/>
                      <w:marRight w:val="0"/>
                      <w:marTop w:val="0"/>
                      <w:marBottom w:val="0"/>
                      <w:divBdr>
                        <w:top w:val="none" w:sz="0" w:space="0" w:color="auto"/>
                        <w:left w:val="none" w:sz="0" w:space="0" w:color="auto"/>
                        <w:bottom w:val="none" w:sz="0" w:space="0" w:color="auto"/>
                        <w:right w:val="none" w:sz="0" w:space="0" w:color="auto"/>
                      </w:divBdr>
                    </w:div>
                  </w:divsChild>
                </w:div>
                <w:div w:id="220138631">
                  <w:marLeft w:val="0"/>
                  <w:marRight w:val="0"/>
                  <w:marTop w:val="0"/>
                  <w:marBottom w:val="0"/>
                  <w:divBdr>
                    <w:top w:val="none" w:sz="0" w:space="0" w:color="auto"/>
                    <w:left w:val="none" w:sz="0" w:space="0" w:color="auto"/>
                    <w:bottom w:val="none" w:sz="0" w:space="0" w:color="auto"/>
                    <w:right w:val="none" w:sz="0" w:space="0" w:color="auto"/>
                  </w:divBdr>
                  <w:divsChild>
                    <w:div w:id="220336019">
                      <w:marLeft w:val="0"/>
                      <w:marRight w:val="0"/>
                      <w:marTop w:val="0"/>
                      <w:marBottom w:val="0"/>
                      <w:divBdr>
                        <w:top w:val="none" w:sz="0" w:space="0" w:color="auto"/>
                        <w:left w:val="none" w:sz="0" w:space="0" w:color="auto"/>
                        <w:bottom w:val="none" w:sz="0" w:space="0" w:color="auto"/>
                        <w:right w:val="none" w:sz="0" w:space="0" w:color="auto"/>
                      </w:divBdr>
                    </w:div>
                  </w:divsChild>
                </w:div>
                <w:div w:id="226571386">
                  <w:marLeft w:val="0"/>
                  <w:marRight w:val="0"/>
                  <w:marTop w:val="0"/>
                  <w:marBottom w:val="0"/>
                  <w:divBdr>
                    <w:top w:val="none" w:sz="0" w:space="0" w:color="auto"/>
                    <w:left w:val="none" w:sz="0" w:space="0" w:color="auto"/>
                    <w:bottom w:val="none" w:sz="0" w:space="0" w:color="auto"/>
                    <w:right w:val="none" w:sz="0" w:space="0" w:color="auto"/>
                  </w:divBdr>
                  <w:divsChild>
                    <w:div w:id="1867056656">
                      <w:marLeft w:val="0"/>
                      <w:marRight w:val="0"/>
                      <w:marTop w:val="0"/>
                      <w:marBottom w:val="0"/>
                      <w:divBdr>
                        <w:top w:val="none" w:sz="0" w:space="0" w:color="auto"/>
                        <w:left w:val="none" w:sz="0" w:space="0" w:color="auto"/>
                        <w:bottom w:val="none" w:sz="0" w:space="0" w:color="auto"/>
                        <w:right w:val="none" w:sz="0" w:space="0" w:color="auto"/>
                      </w:divBdr>
                    </w:div>
                  </w:divsChild>
                </w:div>
                <w:div w:id="226574504">
                  <w:marLeft w:val="0"/>
                  <w:marRight w:val="0"/>
                  <w:marTop w:val="0"/>
                  <w:marBottom w:val="0"/>
                  <w:divBdr>
                    <w:top w:val="none" w:sz="0" w:space="0" w:color="auto"/>
                    <w:left w:val="none" w:sz="0" w:space="0" w:color="auto"/>
                    <w:bottom w:val="none" w:sz="0" w:space="0" w:color="auto"/>
                    <w:right w:val="none" w:sz="0" w:space="0" w:color="auto"/>
                  </w:divBdr>
                  <w:divsChild>
                    <w:div w:id="2104446074">
                      <w:marLeft w:val="0"/>
                      <w:marRight w:val="0"/>
                      <w:marTop w:val="0"/>
                      <w:marBottom w:val="0"/>
                      <w:divBdr>
                        <w:top w:val="none" w:sz="0" w:space="0" w:color="auto"/>
                        <w:left w:val="none" w:sz="0" w:space="0" w:color="auto"/>
                        <w:bottom w:val="none" w:sz="0" w:space="0" w:color="auto"/>
                        <w:right w:val="none" w:sz="0" w:space="0" w:color="auto"/>
                      </w:divBdr>
                    </w:div>
                  </w:divsChild>
                </w:div>
                <w:div w:id="228224460">
                  <w:marLeft w:val="0"/>
                  <w:marRight w:val="0"/>
                  <w:marTop w:val="0"/>
                  <w:marBottom w:val="0"/>
                  <w:divBdr>
                    <w:top w:val="none" w:sz="0" w:space="0" w:color="auto"/>
                    <w:left w:val="none" w:sz="0" w:space="0" w:color="auto"/>
                    <w:bottom w:val="none" w:sz="0" w:space="0" w:color="auto"/>
                    <w:right w:val="none" w:sz="0" w:space="0" w:color="auto"/>
                  </w:divBdr>
                  <w:divsChild>
                    <w:div w:id="1485200431">
                      <w:marLeft w:val="0"/>
                      <w:marRight w:val="0"/>
                      <w:marTop w:val="0"/>
                      <w:marBottom w:val="0"/>
                      <w:divBdr>
                        <w:top w:val="none" w:sz="0" w:space="0" w:color="auto"/>
                        <w:left w:val="none" w:sz="0" w:space="0" w:color="auto"/>
                        <w:bottom w:val="none" w:sz="0" w:space="0" w:color="auto"/>
                        <w:right w:val="none" w:sz="0" w:space="0" w:color="auto"/>
                      </w:divBdr>
                    </w:div>
                  </w:divsChild>
                </w:div>
                <w:div w:id="256671612">
                  <w:marLeft w:val="0"/>
                  <w:marRight w:val="0"/>
                  <w:marTop w:val="0"/>
                  <w:marBottom w:val="0"/>
                  <w:divBdr>
                    <w:top w:val="none" w:sz="0" w:space="0" w:color="auto"/>
                    <w:left w:val="none" w:sz="0" w:space="0" w:color="auto"/>
                    <w:bottom w:val="none" w:sz="0" w:space="0" w:color="auto"/>
                    <w:right w:val="none" w:sz="0" w:space="0" w:color="auto"/>
                  </w:divBdr>
                  <w:divsChild>
                    <w:div w:id="1632175321">
                      <w:marLeft w:val="0"/>
                      <w:marRight w:val="0"/>
                      <w:marTop w:val="0"/>
                      <w:marBottom w:val="0"/>
                      <w:divBdr>
                        <w:top w:val="none" w:sz="0" w:space="0" w:color="auto"/>
                        <w:left w:val="none" w:sz="0" w:space="0" w:color="auto"/>
                        <w:bottom w:val="none" w:sz="0" w:space="0" w:color="auto"/>
                        <w:right w:val="none" w:sz="0" w:space="0" w:color="auto"/>
                      </w:divBdr>
                    </w:div>
                  </w:divsChild>
                </w:div>
                <w:div w:id="258215712">
                  <w:marLeft w:val="0"/>
                  <w:marRight w:val="0"/>
                  <w:marTop w:val="0"/>
                  <w:marBottom w:val="0"/>
                  <w:divBdr>
                    <w:top w:val="none" w:sz="0" w:space="0" w:color="auto"/>
                    <w:left w:val="none" w:sz="0" w:space="0" w:color="auto"/>
                    <w:bottom w:val="none" w:sz="0" w:space="0" w:color="auto"/>
                    <w:right w:val="none" w:sz="0" w:space="0" w:color="auto"/>
                  </w:divBdr>
                  <w:divsChild>
                    <w:div w:id="1552889126">
                      <w:marLeft w:val="0"/>
                      <w:marRight w:val="0"/>
                      <w:marTop w:val="0"/>
                      <w:marBottom w:val="0"/>
                      <w:divBdr>
                        <w:top w:val="none" w:sz="0" w:space="0" w:color="auto"/>
                        <w:left w:val="none" w:sz="0" w:space="0" w:color="auto"/>
                        <w:bottom w:val="none" w:sz="0" w:space="0" w:color="auto"/>
                        <w:right w:val="none" w:sz="0" w:space="0" w:color="auto"/>
                      </w:divBdr>
                    </w:div>
                  </w:divsChild>
                </w:div>
                <w:div w:id="258491133">
                  <w:marLeft w:val="0"/>
                  <w:marRight w:val="0"/>
                  <w:marTop w:val="0"/>
                  <w:marBottom w:val="0"/>
                  <w:divBdr>
                    <w:top w:val="none" w:sz="0" w:space="0" w:color="auto"/>
                    <w:left w:val="none" w:sz="0" w:space="0" w:color="auto"/>
                    <w:bottom w:val="none" w:sz="0" w:space="0" w:color="auto"/>
                    <w:right w:val="none" w:sz="0" w:space="0" w:color="auto"/>
                  </w:divBdr>
                  <w:divsChild>
                    <w:div w:id="113596081">
                      <w:marLeft w:val="0"/>
                      <w:marRight w:val="0"/>
                      <w:marTop w:val="0"/>
                      <w:marBottom w:val="0"/>
                      <w:divBdr>
                        <w:top w:val="none" w:sz="0" w:space="0" w:color="auto"/>
                        <w:left w:val="none" w:sz="0" w:space="0" w:color="auto"/>
                        <w:bottom w:val="none" w:sz="0" w:space="0" w:color="auto"/>
                        <w:right w:val="none" w:sz="0" w:space="0" w:color="auto"/>
                      </w:divBdr>
                    </w:div>
                    <w:div w:id="1418017813">
                      <w:marLeft w:val="0"/>
                      <w:marRight w:val="0"/>
                      <w:marTop w:val="0"/>
                      <w:marBottom w:val="0"/>
                      <w:divBdr>
                        <w:top w:val="none" w:sz="0" w:space="0" w:color="auto"/>
                        <w:left w:val="none" w:sz="0" w:space="0" w:color="auto"/>
                        <w:bottom w:val="none" w:sz="0" w:space="0" w:color="auto"/>
                        <w:right w:val="none" w:sz="0" w:space="0" w:color="auto"/>
                      </w:divBdr>
                    </w:div>
                  </w:divsChild>
                </w:div>
                <w:div w:id="264117178">
                  <w:marLeft w:val="0"/>
                  <w:marRight w:val="0"/>
                  <w:marTop w:val="0"/>
                  <w:marBottom w:val="0"/>
                  <w:divBdr>
                    <w:top w:val="none" w:sz="0" w:space="0" w:color="auto"/>
                    <w:left w:val="none" w:sz="0" w:space="0" w:color="auto"/>
                    <w:bottom w:val="none" w:sz="0" w:space="0" w:color="auto"/>
                    <w:right w:val="none" w:sz="0" w:space="0" w:color="auto"/>
                  </w:divBdr>
                  <w:divsChild>
                    <w:div w:id="228270950">
                      <w:marLeft w:val="0"/>
                      <w:marRight w:val="0"/>
                      <w:marTop w:val="0"/>
                      <w:marBottom w:val="0"/>
                      <w:divBdr>
                        <w:top w:val="none" w:sz="0" w:space="0" w:color="auto"/>
                        <w:left w:val="none" w:sz="0" w:space="0" w:color="auto"/>
                        <w:bottom w:val="none" w:sz="0" w:space="0" w:color="auto"/>
                        <w:right w:val="none" w:sz="0" w:space="0" w:color="auto"/>
                      </w:divBdr>
                    </w:div>
                  </w:divsChild>
                </w:div>
                <w:div w:id="265237415">
                  <w:marLeft w:val="0"/>
                  <w:marRight w:val="0"/>
                  <w:marTop w:val="0"/>
                  <w:marBottom w:val="0"/>
                  <w:divBdr>
                    <w:top w:val="none" w:sz="0" w:space="0" w:color="auto"/>
                    <w:left w:val="none" w:sz="0" w:space="0" w:color="auto"/>
                    <w:bottom w:val="none" w:sz="0" w:space="0" w:color="auto"/>
                    <w:right w:val="none" w:sz="0" w:space="0" w:color="auto"/>
                  </w:divBdr>
                  <w:divsChild>
                    <w:div w:id="1589803474">
                      <w:marLeft w:val="0"/>
                      <w:marRight w:val="0"/>
                      <w:marTop w:val="0"/>
                      <w:marBottom w:val="0"/>
                      <w:divBdr>
                        <w:top w:val="none" w:sz="0" w:space="0" w:color="auto"/>
                        <w:left w:val="none" w:sz="0" w:space="0" w:color="auto"/>
                        <w:bottom w:val="none" w:sz="0" w:space="0" w:color="auto"/>
                        <w:right w:val="none" w:sz="0" w:space="0" w:color="auto"/>
                      </w:divBdr>
                    </w:div>
                  </w:divsChild>
                </w:div>
                <w:div w:id="270748955">
                  <w:marLeft w:val="0"/>
                  <w:marRight w:val="0"/>
                  <w:marTop w:val="0"/>
                  <w:marBottom w:val="0"/>
                  <w:divBdr>
                    <w:top w:val="none" w:sz="0" w:space="0" w:color="auto"/>
                    <w:left w:val="none" w:sz="0" w:space="0" w:color="auto"/>
                    <w:bottom w:val="none" w:sz="0" w:space="0" w:color="auto"/>
                    <w:right w:val="none" w:sz="0" w:space="0" w:color="auto"/>
                  </w:divBdr>
                  <w:divsChild>
                    <w:div w:id="644551455">
                      <w:marLeft w:val="0"/>
                      <w:marRight w:val="0"/>
                      <w:marTop w:val="0"/>
                      <w:marBottom w:val="0"/>
                      <w:divBdr>
                        <w:top w:val="none" w:sz="0" w:space="0" w:color="auto"/>
                        <w:left w:val="none" w:sz="0" w:space="0" w:color="auto"/>
                        <w:bottom w:val="none" w:sz="0" w:space="0" w:color="auto"/>
                        <w:right w:val="none" w:sz="0" w:space="0" w:color="auto"/>
                      </w:divBdr>
                    </w:div>
                  </w:divsChild>
                </w:div>
                <w:div w:id="284316889">
                  <w:marLeft w:val="0"/>
                  <w:marRight w:val="0"/>
                  <w:marTop w:val="0"/>
                  <w:marBottom w:val="0"/>
                  <w:divBdr>
                    <w:top w:val="none" w:sz="0" w:space="0" w:color="auto"/>
                    <w:left w:val="none" w:sz="0" w:space="0" w:color="auto"/>
                    <w:bottom w:val="none" w:sz="0" w:space="0" w:color="auto"/>
                    <w:right w:val="none" w:sz="0" w:space="0" w:color="auto"/>
                  </w:divBdr>
                  <w:divsChild>
                    <w:div w:id="1847552908">
                      <w:marLeft w:val="0"/>
                      <w:marRight w:val="0"/>
                      <w:marTop w:val="0"/>
                      <w:marBottom w:val="0"/>
                      <w:divBdr>
                        <w:top w:val="none" w:sz="0" w:space="0" w:color="auto"/>
                        <w:left w:val="none" w:sz="0" w:space="0" w:color="auto"/>
                        <w:bottom w:val="none" w:sz="0" w:space="0" w:color="auto"/>
                        <w:right w:val="none" w:sz="0" w:space="0" w:color="auto"/>
                      </w:divBdr>
                    </w:div>
                  </w:divsChild>
                </w:div>
                <w:div w:id="288047031">
                  <w:marLeft w:val="0"/>
                  <w:marRight w:val="0"/>
                  <w:marTop w:val="0"/>
                  <w:marBottom w:val="0"/>
                  <w:divBdr>
                    <w:top w:val="none" w:sz="0" w:space="0" w:color="auto"/>
                    <w:left w:val="none" w:sz="0" w:space="0" w:color="auto"/>
                    <w:bottom w:val="none" w:sz="0" w:space="0" w:color="auto"/>
                    <w:right w:val="none" w:sz="0" w:space="0" w:color="auto"/>
                  </w:divBdr>
                  <w:divsChild>
                    <w:div w:id="1090615705">
                      <w:marLeft w:val="0"/>
                      <w:marRight w:val="0"/>
                      <w:marTop w:val="0"/>
                      <w:marBottom w:val="0"/>
                      <w:divBdr>
                        <w:top w:val="none" w:sz="0" w:space="0" w:color="auto"/>
                        <w:left w:val="none" w:sz="0" w:space="0" w:color="auto"/>
                        <w:bottom w:val="none" w:sz="0" w:space="0" w:color="auto"/>
                        <w:right w:val="none" w:sz="0" w:space="0" w:color="auto"/>
                      </w:divBdr>
                    </w:div>
                  </w:divsChild>
                </w:div>
                <w:div w:id="301275783">
                  <w:marLeft w:val="0"/>
                  <w:marRight w:val="0"/>
                  <w:marTop w:val="0"/>
                  <w:marBottom w:val="0"/>
                  <w:divBdr>
                    <w:top w:val="none" w:sz="0" w:space="0" w:color="auto"/>
                    <w:left w:val="none" w:sz="0" w:space="0" w:color="auto"/>
                    <w:bottom w:val="none" w:sz="0" w:space="0" w:color="auto"/>
                    <w:right w:val="none" w:sz="0" w:space="0" w:color="auto"/>
                  </w:divBdr>
                  <w:divsChild>
                    <w:div w:id="626010762">
                      <w:marLeft w:val="0"/>
                      <w:marRight w:val="0"/>
                      <w:marTop w:val="0"/>
                      <w:marBottom w:val="0"/>
                      <w:divBdr>
                        <w:top w:val="none" w:sz="0" w:space="0" w:color="auto"/>
                        <w:left w:val="none" w:sz="0" w:space="0" w:color="auto"/>
                        <w:bottom w:val="none" w:sz="0" w:space="0" w:color="auto"/>
                        <w:right w:val="none" w:sz="0" w:space="0" w:color="auto"/>
                      </w:divBdr>
                    </w:div>
                  </w:divsChild>
                </w:div>
                <w:div w:id="312415005">
                  <w:marLeft w:val="0"/>
                  <w:marRight w:val="0"/>
                  <w:marTop w:val="0"/>
                  <w:marBottom w:val="0"/>
                  <w:divBdr>
                    <w:top w:val="none" w:sz="0" w:space="0" w:color="auto"/>
                    <w:left w:val="none" w:sz="0" w:space="0" w:color="auto"/>
                    <w:bottom w:val="none" w:sz="0" w:space="0" w:color="auto"/>
                    <w:right w:val="none" w:sz="0" w:space="0" w:color="auto"/>
                  </w:divBdr>
                  <w:divsChild>
                    <w:div w:id="470679679">
                      <w:marLeft w:val="0"/>
                      <w:marRight w:val="0"/>
                      <w:marTop w:val="0"/>
                      <w:marBottom w:val="0"/>
                      <w:divBdr>
                        <w:top w:val="none" w:sz="0" w:space="0" w:color="auto"/>
                        <w:left w:val="none" w:sz="0" w:space="0" w:color="auto"/>
                        <w:bottom w:val="none" w:sz="0" w:space="0" w:color="auto"/>
                        <w:right w:val="none" w:sz="0" w:space="0" w:color="auto"/>
                      </w:divBdr>
                    </w:div>
                  </w:divsChild>
                </w:div>
                <w:div w:id="321472721">
                  <w:marLeft w:val="0"/>
                  <w:marRight w:val="0"/>
                  <w:marTop w:val="0"/>
                  <w:marBottom w:val="0"/>
                  <w:divBdr>
                    <w:top w:val="none" w:sz="0" w:space="0" w:color="auto"/>
                    <w:left w:val="none" w:sz="0" w:space="0" w:color="auto"/>
                    <w:bottom w:val="none" w:sz="0" w:space="0" w:color="auto"/>
                    <w:right w:val="none" w:sz="0" w:space="0" w:color="auto"/>
                  </w:divBdr>
                  <w:divsChild>
                    <w:div w:id="333608708">
                      <w:marLeft w:val="0"/>
                      <w:marRight w:val="0"/>
                      <w:marTop w:val="0"/>
                      <w:marBottom w:val="0"/>
                      <w:divBdr>
                        <w:top w:val="none" w:sz="0" w:space="0" w:color="auto"/>
                        <w:left w:val="none" w:sz="0" w:space="0" w:color="auto"/>
                        <w:bottom w:val="none" w:sz="0" w:space="0" w:color="auto"/>
                        <w:right w:val="none" w:sz="0" w:space="0" w:color="auto"/>
                      </w:divBdr>
                    </w:div>
                  </w:divsChild>
                </w:div>
                <w:div w:id="336035484">
                  <w:marLeft w:val="0"/>
                  <w:marRight w:val="0"/>
                  <w:marTop w:val="0"/>
                  <w:marBottom w:val="0"/>
                  <w:divBdr>
                    <w:top w:val="none" w:sz="0" w:space="0" w:color="auto"/>
                    <w:left w:val="none" w:sz="0" w:space="0" w:color="auto"/>
                    <w:bottom w:val="none" w:sz="0" w:space="0" w:color="auto"/>
                    <w:right w:val="none" w:sz="0" w:space="0" w:color="auto"/>
                  </w:divBdr>
                  <w:divsChild>
                    <w:div w:id="1010562">
                      <w:marLeft w:val="0"/>
                      <w:marRight w:val="0"/>
                      <w:marTop w:val="0"/>
                      <w:marBottom w:val="0"/>
                      <w:divBdr>
                        <w:top w:val="none" w:sz="0" w:space="0" w:color="auto"/>
                        <w:left w:val="none" w:sz="0" w:space="0" w:color="auto"/>
                        <w:bottom w:val="none" w:sz="0" w:space="0" w:color="auto"/>
                        <w:right w:val="none" w:sz="0" w:space="0" w:color="auto"/>
                      </w:divBdr>
                    </w:div>
                  </w:divsChild>
                </w:div>
                <w:div w:id="337081072">
                  <w:marLeft w:val="0"/>
                  <w:marRight w:val="0"/>
                  <w:marTop w:val="0"/>
                  <w:marBottom w:val="0"/>
                  <w:divBdr>
                    <w:top w:val="none" w:sz="0" w:space="0" w:color="auto"/>
                    <w:left w:val="none" w:sz="0" w:space="0" w:color="auto"/>
                    <w:bottom w:val="none" w:sz="0" w:space="0" w:color="auto"/>
                    <w:right w:val="none" w:sz="0" w:space="0" w:color="auto"/>
                  </w:divBdr>
                  <w:divsChild>
                    <w:div w:id="1340810139">
                      <w:marLeft w:val="0"/>
                      <w:marRight w:val="0"/>
                      <w:marTop w:val="0"/>
                      <w:marBottom w:val="0"/>
                      <w:divBdr>
                        <w:top w:val="none" w:sz="0" w:space="0" w:color="auto"/>
                        <w:left w:val="none" w:sz="0" w:space="0" w:color="auto"/>
                        <w:bottom w:val="none" w:sz="0" w:space="0" w:color="auto"/>
                        <w:right w:val="none" w:sz="0" w:space="0" w:color="auto"/>
                      </w:divBdr>
                    </w:div>
                  </w:divsChild>
                </w:div>
                <w:div w:id="345138199">
                  <w:marLeft w:val="0"/>
                  <w:marRight w:val="0"/>
                  <w:marTop w:val="0"/>
                  <w:marBottom w:val="0"/>
                  <w:divBdr>
                    <w:top w:val="none" w:sz="0" w:space="0" w:color="auto"/>
                    <w:left w:val="none" w:sz="0" w:space="0" w:color="auto"/>
                    <w:bottom w:val="none" w:sz="0" w:space="0" w:color="auto"/>
                    <w:right w:val="none" w:sz="0" w:space="0" w:color="auto"/>
                  </w:divBdr>
                  <w:divsChild>
                    <w:div w:id="571546613">
                      <w:marLeft w:val="0"/>
                      <w:marRight w:val="0"/>
                      <w:marTop w:val="0"/>
                      <w:marBottom w:val="0"/>
                      <w:divBdr>
                        <w:top w:val="none" w:sz="0" w:space="0" w:color="auto"/>
                        <w:left w:val="none" w:sz="0" w:space="0" w:color="auto"/>
                        <w:bottom w:val="none" w:sz="0" w:space="0" w:color="auto"/>
                        <w:right w:val="none" w:sz="0" w:space="0" w:color="auto"/>
                      </w:divBdr>
                    </w:div>
                  </w:divsChild>
                </w:div>
                <w:div w:id="366031297">
                  <w:marLeft w:val="0"/>
                  <w:marRight w:val="0"/>
                  <w:marTop w:val="0"/>
                  <w:marBottom w:val="0"/>
                  <w:divBdr>
                    <w:top w:val="none" w:sz="0" w:space="0" w:color="auto"/>
                    <w:left w:val="none" w:sz="0" w:space="0" w:color="auto"/>
                    <w:bottom w:val="none" w:sz="0" w:space="0" w:color="auto"/>
                    <w:right w:val="none" w:sz="0" w:space="0" w:color="auto"/>
                  </w:divBdr>
                  <w:divsChild>
                    <w:div w:id="1344088554">
                      <w:marLeft w:val="0"/>
                      <w:marRight w:val="0"/>
                      <w:marTop w:val="0"/>
                      <w:marBottom w:val="0"/>
                      <w:divBdr>
                        <w:top w:val="none" w:sz="0" w:space="0" w:color="auto"/>
                        <w:left w:val="none" w:sz="0" w:space="0" w:color="auto"/>
                        <w:bottom w:val="none" w:sz="0" w:space="0" w:color="auto"/>
                        <w:right w:val="none" w:sz="0" w:space="0" w:color="auto"/>
                      </w:divBdr>
                    </w:div>
                  </w:divsChild>
                </w:div>
                <w:div w:id="397749732">
                  <w:marLeft w:val="0"/>
                  <w:marRight w:val="0"/>
                  <w:marTop w:val="0"/>
                  <w:marBottom w:val="0"/>
                  <w:divBdr>
                    <w:top w:val="none" w:sz="0" w:space="0" w:color="auto"/>
                    <w:left w:val="none" w:sz="0" w:space="0" w:color="auto"/>
                    <w:bottom w:val="none" w:sz="0" w:space="0" w:color="auto"/>
                    <w:right w:val="none" w:sz="0" w:space="0" w:color="auto"/>
                  </w:divBdr>
                  <w:divsChild>
                    <w:div w:id="1702049079">
                      <w:marLeft w:val="0"/>
                      <w:marRight w:val="0"/>
                      <w:marTop w:val="0"/>
                      <w:marBottom w:val="0"/>
                      <w:divBdr>
                        <w:top w:val="none" w:sz="0" w:space="0" w:color="auto"/>
                        <w:left w:val="none" w:sz="0" w:space="0" w:color="auto"/>
                        <w:bottom w:val="none" w:sz="0" w:space="0" w:color="auto"/>
                        <w:right w:val="none" w:sz="0" w:space="0" w:color="auto"/>
                      </w:divBdr>
                    </w:div>
                  </w:divsChild>
                </w:div>
                <w:div w:id="398525359">
                  <w:marLeft w:val="0"/>
                  <w:marRight w:val="0"/>
                  <w:marTop w:val="0"/>
                  <w:marBottom w:val="0"/>
                  <w:divBdr>
                    <w:top w:val="none" w:sz="0" w:space="0" w:color="auto"/>
                    <w:left w:val="none" w:sz="0" w:space="0" w:color="auto"/>
                    <w:bottom w:val="none" w:sz="0" w:space="0" w:color="auto"/>
                    <w:right w:val="none" w:sz="0" w:space="0" w:color="auto"/>
                  </w:divBdr>
                  <w:divsChild>
                    <w:div w:id="97987644">
                      <w:marLeft w:val="0"/>
                      <w:marRight w:val="0"/>
                      <w:marTop w:val="0"/>
                      <w:marBottom w:val="0"/>
                      <w:divBdr>
                        <w:top w:val="none" w:sz="0" w:space="0" w:color="auto"/>
                        <w:left w:val="none" w:sz="0" w:space="0" w:color="auto"/>
                        <w:bottom w:val="none" w:sz="0" w:space="0" w:color="auto"/>
                        <w:right w:val="none" w:sz="0" w:space="0" w:color="auto"/>
                      </w:divBdr>
                    </w:div>
                  </w:divsChild>
                </w:div>
                <w:div w:id="398528249">
                  <w:marLeft w:val="0"/>
                  <w:marRight w:val="0"/>
                  <w:marTop w:val="0"/>
                  <w:marBottom w:val="0"/>
                  <w:divBdr>
                    <w:top w:val="none" w:sz="0" w:space="0" w:color="auto"/>
                    <w:left w:val="none" w:sz="0" w:space="0" w:color="auto"/>
                    <w:bottom w:val="none" w:sz="0" w:space="0" w:color="auto"/>
                    <w:right w:val="none" w:sz="0" w:space="0" w:color="auto"/>
                  </w:divBdr>
                  <w:divsChild>
                    <w:div w:id="1403409398">
                      <w:marLeft w:val="0"/>
                      <w:marRight w:val="0"/>
                      <w:marTop w:val="0"/>
                      <w:marBottom w:val="0"/>
                      <w:divBdr>
                        <w:top w:val="none" w:sz="0" w:space="0" w:color="auto"/>
                        <w:left w:val="none" w:sz="0" w:space="0" w:color="auto"/>
                        <w:bottom w:val="none" w:sz="0" w:space="0" w:color="auto"/>
                        <w:right w:val="none" w:sz="0" w:space="0" w:color="auto"/>
                      </w:divBdr>
                    </w:div>
                  </w:divsChild>
                </w:div>
                <w:div w:id="402488449">
                  <w:marLeft w:val="0"/>
                  <w:marRight w:val="0"/>
                  <w:marTop w:val="0"/>
                  <w:marBottom w:val="0"/>
                  <w:divBdr>
                    <w:top w:val="none" w:sz="0" w:space="0" w:color="auto"/>
                    <w:left w:val="none" w:sz="0" w:space="0" w:color="auto"/>
                    <w:bottom w:val="none" w:sz="0" w:space="0" w:color="auto"/>
                    <w:right w:val="none" w:sz="0" w:space="0" w:color="auto"/>
                  </w:divBdr>
                  <w:divsChild>
                    <w:div w:id="737366856">
                      <w:marLeft w:val="0"/>
                      <w:marRight w:val="0"/>
                      <w:marTop w:val="0"/>
                      <w:marBottom w:val="0"/>
                      <w:divBdr>
                        <w:top w:val="none" w:sz="0" w:space="0" w:color="auto"/>
                        <w:left w:val="none" w:sz="0" w:space="0" w:color="auto"/>
                        <w:bottom w:val="none" w:sz="0" w:space="0" w:color="auto"/>
                        <w:right w:val="none" w:sz="0" w:space="0" w:color="auto"/>
                      </w:divBdr>
                    </w:div>
                  </w:divsChild>
                </w:div>
                <w:div w:id="411436938">
                  <w:marLeft w:val="0"/>
                  <w:marRight w:val="0"/>
                  <w:marTop w:val="0"/>
                  <w:marBottom w:val="0"/>
                  <w:divBdr>
                    <w:top w:val="none" w:sz="0" w:space="0" w:color="auto"/>
                    <w:left w:val="none" w:sz="0" w:space="0" w:color="auto"/>
                    <w:bottom w:val="none" w:sz="0" w:space="0" w:color="auto"/>
                    <w:right w:val="none" w:sz="0" w:space="0" w:color="auto"/>
                  </w:divBdr>
                  <w:divsChild>
                    <w:div w:id="96490869">
                      <w:marLeft w:val="0"/>
                      <w:marRight w:val="0"/>
                      <w:marTop w:val="0"/>
                      <w:marBottom w:val="0"/>
                      <w:divBdr>
                        <w:top w:val="none" w:sz="0" w:space="0" w:color="auto"/>
                        <w:left w:val="none" w:sz="0" w:space="0" w:color="auto"/>
                        <w:bottom w:val="none" w:sz="0" w:space="0" w:color="auto"/>
                        <w:right w:val="none" w:sz="0" w:space="0" w:color="auto"/>
                      </w:divBdr>
                    </w:div>
                  </w:divsChild>
                </w:div>
                <w:div w:id="453601883">
                  <w:marLeft w:val="0"/>
                  <w:marRight w:val="0"/>
                  <w:marTop w:val="0"/>
                  <w:marBottom w:val="0"/>
                  <w:divBdr>
                    <w:top w:val="none" w:sz="0" w:space="0" w:color="auto"/>
                    <w:left w:val="none" w:sz="0" w:space="0" w:color="auto"/>
                    <w:bottom w:val="none" w:sz="0" w:space="0" w:color="auto"/>
                    <w:right w:val="none" w:sz="0" w:space="0" w:color="auto"/>
                  </w:divBdr>
                  <w:divsChild>
                    <w:div w:id="1415275618">
                      <w:marLeft w:val="0"/>
                      <w:marRight w:val="0"/>
                      <w:marTop w:val="0"/>
                      <w:marBottom w:val="0"/>
                      <w:divBdr>
                        <w:top w:val="none" w:sz="0" w:space="0" w:color="auto"/>
                        <w:left w:val="none" w:sz="0" w:space="0" w:color="auto"/>
                        <w:bottom w:val="none" w:sz="0" w:space="0" w:color="auto"/>
                        <w:right w:val="none" w:sz="0" w:space="0" w:color="auto"/>
                      </w:divBdr>
                    </w:div>
                  </w:divsChild>
                </w:div>
                <w:div w:id="463154540">
                  <w:marLeft w:val="0"/>
                  <w:marRight w:val="0"/>
                  <w:marTop w:val="0"/>
                  <w:marBottom w:val="0"/>
                  <w:divBdr>
                    <w:top w:val="none" w:sz="0" w:space="0" w:color="auto"/>
                    <w:left w:val="none" w:sz="0" w:space="0" w:color="auto"/>
                    <w:bottom w:val="none" w:sz="0" w:space="0" w:color="auto"/>
                    <w:right w:val="none" w:sz="0" w:space="0" w:color="auto"/>
                  </w:divBdr>
                  <w:divsChild>
                    <w:div w:id="119426082">
                      <w:marLeft w:val="0"/>
                      <w:marRight w:val="0"/>
                      <w:marTop w:val="0"/>
                      <w:marBottom w:val="0"/>
                      <w:divBdr>
                        <w:top w:val="none" w:sz="0" w:space="0" w:color="auto"/>
                        <w:left w:val="none" w:sz="0" w:space="0" w:color="auto"/>
                        <w:bottom w:val="none" w:sz="0" w:space="0" w:color="auto"/>
                        <w:right w:val="none" w:sz="0" w:space="0" w:color="auto"/>
                      </w:divBdr>
                    </w:div>
                    <w:div w:id="983898455">
                      <w:marLeft w:val="0"/>
                      <w:marRight w:val="0"/>
                      <w:marTop w:val="0"/>
                      <w:marBottom w:val="0"/>
                      <w:divBdr>
                        <w:top w:val="none" w:sz="0" w:space="0" w:color="auto"/>
                        <w:left w:val="none" w:sz="0" w:space="0" w:color="auto"/>
                        <w:bottom w:val="none" w:sz="0" w:space="0" w:color="auto"/>
                        <w:right w:val="none" w:sz="0" w:space="0" w:color="auto"/>
                      </w:divBdr>
                    </w:div>
                    <w:div w:id="1422990716">
                      <w:marLeft w:val="0"/>
                      <w:marRight w:val="0"/>
                      <w:marTop w:val="0"/>
                      <w:marBottom w:val="0"/>
                      <w:divBdr>
                        <w:top w:val="none" w:sz="0" w:space="0" w:color="auto"/>
                        <w:left w:val="none" w:sz="0" w:space="0" w:color="auto"/>
                        <w:bottom w:val="none" w:sz="0" w:space="0" w:color="auto"/>
                        <w:right w:val="none" w:sz="0" w:space="0" w:color="auto"/>
                      </w:divBdr>
                    </w:div>
                    <w:div w:id="1878274778">
                      <w:marLeft w:val="0"/>
                      <w:marRight w:val="0"/>
                      <w:marTop w:val="0"/>
                      <w:marBottom w:val="0"/>
                      <w:divBdr>
                        <w:top w:val="none" w:sz="0" w:space="0" w:color="auto"/>
                        <w:left w:val="none" w:sz="0" w:space="0" w:color="auto"/>
                        <w:bottom w:val="none" w:sz="0" w:space="0" w:color="auto"/>
                        <w:right w:val="none" w:sz="0" w:space="0" w:color="auto"/>
                      </w:divBdr>
                    </w:div>
                    <w:div w:id="2136942648">
                      <w:marLeft w:val="0"/>
                      <w:marRight w:val="0"/>
                      <w:marTop w:val="0"/>
                      <w:marBottom w:val="0"/>
                      <w:divBdr>
                        <w:top w:val="none" w:sz="0" w:space="0" w:color="auto"/>
                        <w:left w:val="none" w:sz="0" w:space="0" w:color="auto"/>
                        <w:bottom w:val="none" w:sz="0" w:space="0" w:color="auto"/>
                        <w:right w:val="none" w:sz="0" w:space="0" w:color="auto"/>
                      </w:divBdr>
                    </w:div>
                  </w:divsChild>
                </w:div>
                <w:div w:id="484977347">
                  <w:marLeft w:val="0"/>
                  <w:marRight w:val="0"/>
                  <w:marTop w:val="0"/>
                  <w:marBottom w:val="0"/>
                  <w:divBdr>
                    <w:top w:val="none" w:sz="0" w:space="0" w:color="auto"/>
                    <w:left w:val="none" w:sz="0" w:space="0" w:color="auto"/>
                    <w:bottom w:val="none" w:sz="0" w:space="0" w:color="auto"/>
                    <w:right w:val="none" w:sz="0" w:space="0" w:color="auto"/>
                  </w:divBdr>
                  <w:divsChild>
                    <w:div w:id="397479671">
                      <w:marLeft w:val="0"/>
                      <w:marRight w:val="0"/>
                      <w:marTop w:val="0"/>
                      <w:marBottom w:val="0"/>
                      <w:divBdr>
                        <w:top w:val="none" w:sz="0" w:space="0" w:color="auto"/>
                        <w:left w:val="none" w:sz="0" w:space="0" w:color="auto"/>
                        <w:bottom w:val="none" w:sz="0" w:space="0" w:color="auto"/>
                        <w:right w:val="none" w:sz="0" w:space="0" w:color="auto"/>
                      </w:divBdr>
                    </w:div>
                  </w:divsChild>
                </w:div>
                <w:div w:id="495457552">
                  <w:marLeft w:val="0"/>
                  <w:marRight w:val="0"/>
                  <w:marTop w:val="0"/>
                  <w:marBottom w:val="0"/>
                  <w:divBdr>
                    <w:top w:val="none" w:sz="0" w:space="0" w:color="auto"/>
                    <w:left w:val="none" w:sz="0" w:space="0" w:color="auto"/>
                    <w:bottom w:val="none" w:sz="0" w:space="0" w:color="auto"/>
                    <w:right w:val="none" w:sz="0" w:space="0" w:color="auto"/>
                  </w:divBdr>
                  <w:divsChild>
                    <w:div w:id="2077626987">
                      <w:marLeft w:val="0"/>
                      <w:marRight w:val="0"/>
                      <w:marTop w:val="0"/>
                      <w:marBottom w:val="0"/>
                      <w:divBdr>
                        <w:top w:val="none" w:sz="0" w:space="0" w:color="auto"/>
                        <w:left w:val="none" w:sz="0" w:space="0" w:color="auto"/>
                        <w:bottom w:val="none" w:sz="0" w:space="0" w:color="auto"/>
                        <w:right w:val="none" w:sz="0" w:space="0" w:color="auto"/>
                      </w:divBdr>
                    </w:div>
                  </w:divsChild>
                </w:div>
                <w:div w:id="499739276">
                  <w:marLeft w:val="0"/>
                  <w:marRight w:val="0"/>
                  <w:marTop w:val="0"/>
                  <w:marBottom w:val="0"/>
                  <w:divBdr>
                    <w:top w:val="none" w:sz="0" w:space="0" w:color="auto"/>
                    <w:left w:val="none" w:sz="0" w:space="0" w:color="auto"/>
                    <w:bottom w:val="none" w:sz="0" w:space="0" w:color="auto"/>
                    <w:right w:val="none" w:sz="0" w:space="0" w:color="auto"/>
                  </w:divBdr>
                  <w:divsChild>
                    <w:div w:id="1165510311">
                      <w:marLeft w:val="0"/>
                      <w:marRight w:val="0"/>
                      <w:marTop w:val="0"/>
                      <w:marBottom w:val="0"/>
                      <w:divBdr>
                        <w:top w:val="none" w:sz="0" w:space="0" w:color="auto"/>
                        <w:left w:val="none" w:sz="0" w:space="0" w:color="auto"/>
                        <w:bottom w:val="none" w:sz="0" w:space="0" w:color="auto"/>
                        <w:right w:val="none" w:sz="0" w:space="0" w:color="auto"/>
                      </w:divBdr>
                    </w:div>
                  </w:divsChild>
                </w:div>
                <w:div w:id="506019380">
                  <w:marLeft w:val="0"/>
                  <w:marRight w:val="0"/>
                  <w:marTop w:val="0"/>
                  <w:marBottom w:val="0"/>
                  <w:divBdr>
                    <w:top w:val="none" w:sz="0" w:space="0" w:color="auto"/>
                    <w:left w:val="none" w:sz="0" w:space="0" w:color="auto"/>
                    <w:bottom w:val="none" w:sz="0" w:space="0" w:color="auto"/>
                    <w:right w:val="none" w:sz="0" w:space="0" w:color="auto"/>
                  </w:divBdr>
                  <w:divsChild>
                    <w:div w:id="852911869">
                      <w:marLeft w:val="0"/>
                      <w:marRight w:val="0"/>
                      <w:marTop w:val="0"/>
                      <w:marBottom w:val="0"/>
                      <w:divBdr>
                        <w:top w:val="none" w:sz="0" w:space="0" w:color="auto"/>
                        <w:left w:val="none" w:sz="0" w:space="0" w:color="auto"/>
                        <w:bottom w:val="none" w:sz="0" w:space="0" w:color="auto"/>
                        <w:right w:val="none" w:sz="0" w:space="0" w:color="auto"/>
                      </w:divBdr>
                    </w:div>
                  </w:divsChild>
                </w:div>
                <w:div w:id="506753344">
                  <w:marLeft w:val="0"/>
                  <w:marRight w:val="0"/>
                  <w:marTop w:val="0"/>
                  <w:marBottom w:val="0"/>
                  <w:divBdr>
                    <w:top w:val="none" w:sz="0" w:space="0" w:color="auto"/>
                    <w:left w:val="none" w:sz="0" w:space="0" w:color="auto"/>
                    <w:bottom w:val="none" w:sz="0" w:space="0" w:color="auto"/>
                    <w:right w:val="none" w:sz="0" w:space="0" w:color="auto"/>
                  </w:divBdr>
                  <w:divsChild>
                    <w:div w:id="1309092484">
                      <w:marLeft w:val="0"/>
                      <w:marRight w:val="0"/>
                      <w:marTop w:val="0"/>
                      <w:marBottom w:val="0"/>
                      <w:divBdr>
                        <w:top w:val="none" w:sz="0" w:space="0" w:color="auto"/>
                        <w:left w:val="none" w:sz="0" w:space="0" w:color="auto"/>
                        <w:bottom w:val="none" w:sz="0" w:space="0" w:color="auto"/>
                        <w:right w:val="none" w:sz="0" w:space="0" w:color="auto"/>
                      </w:divBdr>
                    </w:div>
                  </w:divsChild>
                </w:div>
                <w:div w:id="512694179">
                  <w:marLeft w:val="0"/>
                  <w:marRight w:val="0"/>
                  <w:marTop w:val="0"/>
                  <w:marBottom w:val="0"/>
                  <w:divBdr>
                    <w:top w:val="none" w:sz="0" w:space="0" w:color="auto"/>
                    <w:left w:val="none" w:sz="0" w:space="0" w:color="auto"/>
                    <w:bottom w:val="none" w:sz="0" w:space="0" w:color="auto"/>
                    <w:right w:val="none" w:sz="0" w:space="0" w:color="auto"/>
                  </w:divBdr>
                  <w:divsChild>
                    <w:div w:id="355350019">
                      <w:marLeft w:val="0"/>
                      <w:marRight w:val="0"/>
                      <w:marTop w:val="0"/>
                      <w:marBottom w:val="0"/>
                      <w:divBdr>
                        <w:top w:val="none" w:sz="0" w:space="0" w:color="auto"/>
                        <w:left w:val="none" w:sz="0" w:space="0" w:color="auto"/>
                        <w:bottom w:val="none" w:sz="0" w:space="0" w:color="auto"/>
                        <w:right w:val="none" w:sz="0" w:space="0" w:color="auto"/>
                      </w:divBdr>
                    </w:div>
                  </w:divsChild>
                </w:div>
                <w:div w:id="530149807">
                  <w:marLeft w:val="0"/>
                  <w:marRight w:val="0"/>
                  <w:marTop w:val="0"/>
                  <w:marBottom w:val="0"/>
                  <w:divBdr>
                    <w:top w:val="none" w:sz="0" w:space="0" w:color="auto"/>
                    <w:left w:val="none" w:sz="0" w:space="0" w:color="auto"/>
                    <w:bottom w:val="none" w:sz="0" w:space="0" w:color="auto"/>
                    <w:right w:val="none" w:sz="0" w:space="0" w:color="auto"/>
                  </w:divBdr>
                  <w:divsChild>
                    <w:div w:id="414399032">
                      <w:marLeft w:val="0"/>
                      <w:marRight w:val="0"/>
                      <w:marTop w:val="0"/>
                      <w:marBottom w:val="0"/>
                      <w:divBdr>
                        <w:top w:val="none" w:sz="0" w:space="0" w:color="auto"/>
                        <w:left w:val="none" w:sz="0" w:space="0" w:color="auto"/>
                        <w:bottom w:val="none" w:sz="0" w:space="0" w:color="auto"/>
                        <w:right w:val="none" w:sz="0" w:space="0" w:color="auto"/>
                      </w:divBdr>
                    </w:div>
                  </w:divsChild>
                </w:div>
                <w:div w:id="530654691">
                  <w:marLeft w:val="0"/>
                  <w:marRight w:val="0"/>
                  <w:marTop w:val="0"/>
                  <w:marBottom w:val="0"/>
                  <w:divBdr>
                    <w:top w:val="none" w:sz="0" w:space="0" w:color="auto"/>
                    <w:left w:val="none" w:sz="0" w:space="0" w:color="auto"/>
                    <w:bottom w:val="none" w:sz="0" w:space="0" w:color="auto"/>
                    <w:right w:val="none" w:sz="0" w:space="0" w:color="auto"/>
                  </w:divBdr>
                  <w:divsChild>
                    <w:div w:id="1014109442">
                      <w:marLeft w:val="0"/>
                      <w:marRight w:val="0"/>
                      <w:marTop w:val="0"/>
                      <w:marBottom w:val="0"/>
                      <w:divBdr>
                        <w:top w:val="none" w:sz="0" w:space="0" w:color="auto"/>
                        <w:left w:val="none" w:sz="0" w:space="0" w:color="auto"/>
                        <w:bottom w:val="none" w:sz="0" w:space="0" w:color="auto"/>
                        <w:right w:val="none" w:sz="0" w:space="0" w:color="auto"/>
                      </w:divBdr>
                    </w:div>
                    <w:div w:id="1834056385">
                      <w:marLeft w:val="0"/>
                      <w:marRight w:val="0"/>
                      <w:marTop w:val="0"/>
                      <w:marBottom w:val="0"/>
                      <w:divBdr>
                        <w:top w:val="none" w:sz="0" w:space="0" w:color="auto"/>
                        <w:left w:val="none" w:sz="0" w:space="0" w:color="auto"/>
                        <w:bottom w:val="none" w:sz="0" w:space="0" w:color="auto"/>
                        <w:right w:val="none" w:sz="0" w:space="0" w:color="auto"/>
                      </w:divBdr>
                    </w:div>
                    <w:div w:id="2051345550">
                      <w:marLeft w:val="0"/>
                      <w:marRight w:val="0"/>
                      <w:marTop w:val="0"/>
                      <w:marBottom w:val="0"/>
                      <w:divBdr>
                        <w:top w:val="none" w:sz="0" w:space="0" w:color="auto"/>
                        <w:left w:val="none" w:sz="0" w:space="0" w:color="auto"/>
                        <w:bottom w:val="none" w:sz="0" w:space="0" w:color="auto"/>
                        <w:right w:val="none" w:sz="0" w:space="0" w:color="auto"/>
                      </w:divBdr>
                    </w:div>
                  </w:divsChild>
                </w:div>
                <w:div w:id="548540204">
                  <w:marLeft w:val="0"/>
                  <w:marRight w:val="0"/>
                  <w:marTop w:val="0"/>
                  <w:marBottom w:val="0"/>
                  <w:divBdr>
                    <w:top w:val="none" w:sz="0" w:space="0" w:color="auto"/>
                    <w:left w:val="none" w:sz="0" w:space="0" w:color="auto"/>
                    <w:bottom w:val="none" w:sz="0" w:space="0" w:color="auto"/>
                    <w:right w:val="none" w:sz="0" w:space="0" w:color="auto"/>
                  </w:divBdr>
                  <w:divsChild>
                    <w:div w:id="450172116">
                      <w:marLeft w:val="0"/>
                      <w:marRight w:val="0"/>
                      <w:marTop w:val="0"/>
                      <w:marBottom w:val="0"/>
                      <w:divBdr>
                        <w:top w:val="none" w:sz="0" w:space="0" w:color="auto"/>
                        <w:left w:val="none" w:sz="0" w:space="0" w:color="auto"/>
                        <w:bottom w:val="none" w:sz="0" w:space="0" w:color="auto"/>
                        <w:right w:val="none" w:sz="0" w:space="0" w:color="auto"/>
                      </w:divBdr>
                    </w:div>
                  </w:divsChild>
                </w:div>
                <w:div w:id="568267596">
                  <w:marLeft w:val="0"/>
                  <w:marRight w:val="0"/>
                  <w:marTop w:val="0"/>
                  <w:marBottom w:val="0"/>
                  <w:divBdr>
                    <w:top w:val="none" w:sz="0" w:space="0" w:color="auto"/>
                    <w:left w:val="none" w:sz="0" w:space="0" w:color="auto"/>
                    <w:bottom w:val="none" w:sz="0" w:space="0" w:color="auto"/>
                    <w:right w:val="none" w:sz="0" w:space="0" w:color="auto"/>
                  </w:divBdr>
                  <w:divsChild>
                    <w:div w:id="1465389465">
                      <w:marLeft w:val="0"/>
                      <w:marRight w:val="0"/>
                      <w:marTop w:val="0"/>
                      <w:marBottom w:val="0"/>
                      <w:divBdr>
                        <w:top w:val="none" w:sz="0" w:space="0" w:color="auto"/>
                        <w:left w:val="none" w:sz="0" w:space="0" w:color="auto"/>
                        <w:bottom w:val="none" w:sz="0" w:space="0" w:color="auto"/>
                        <w:right w:val="none" w:sz="0" w:space="0" w:color="auto"/>
                      </w:divBdr>
                    </w:div>
                  </w:divsChild>
                </w:div>
                <w:div w:id="568347412">
                  <w:marLeft w:val="0"/>
                  <w:marRight w:val="0"/>
                  <w:marTop w:val="0"/>
                  <w:marBottom w:val="0"/>
                  <w:divBdr>
                    <w:top w:val="none" w:sz="0" w:space="0" w:color="auto"/>
                    <w:left w:val="none" w:sz="0" w:space="0" w:color="auto"/>
                    <w:bottom w:val="none" w:sz="0" w:space="0" w:color="auto"/>
                    <w:right w:val="none" w:sz="0" w:space="0" w:color="auto"/>
                  </w:divBdr>
                  <w:divsChild>
                    <w:div w:id="968559758">
                      <w:marLeft w:val="0"/>
                      <w:marRight w:val="0"/>
                      <w:marTop w:val="0"/>
                      <w:marBottom w:val="0"/>
                      <w:divBdr>
                        <w:top w:val="none" w:sz="0" w:space="0" w:color="auto"/>
                        <w:left w:val="none" w:sz="0" w:space="0" w:color="auto"/>
                        <w:bottom w:val="none" w:sz="0" w:space="0" w:color="auto"/>
                        <w:right w:val="none" w:sz="0" w:space="0" w:color="auto"/>
                      </w:divBdr>
                    </w:div>
                  </w:divsChild>
                </w:div>
                <w:div w:id="582567326">
                  <w:marLeft w:val="0"/>
                  <w:marRight w:val="0"/>
                  <w:marTop w:val="0"/>
                  <w:marBottom w:val="0"/>
                  <w:divBdr>
                    <w:top w:val="none" w:sz="0" w:space="0" w:color="auto"/>
                    <w:left w:val="none" w:sz="0" w:space="0" w:color="auto"/>
                    <w:bottom w:val="none" w:sz="0" w:space="0" w:color="auto"/>
                    <w:right w:val="none" w:sz="0" w:space="0" w:color="auto"/>
                  </w:divBdr>
                  <w:divsChild>
                    <w:div w:id="1550339128">
                      <w:marLeft w:val="0"/>
                      <w:marRight w:val="0"/>
                      <w:marTop w:val="0"/>
                      <w:marBottom w:val="0"/>
                      <w:divBdr>
                        <w:top w:val="none" w:sz="0" w:space="0" w:color="auto"/>
                        <w:left w:val="none" w:sz="0" w:space="0" w:color="auto"/>
                        <w:bottom w:val="none" w:sz="0" w:space="0" w:color="auto"/>
                        <w:right w:val="none" w:sz="0" w:space="0" w:color="auto"/>
                      </w:divBdr>
                    </w:div>
                  </w:divsChild>
                </w:div>
                <w:div w:id="595673729">
                  <w:marLeft w:val="0"/>
                  <w:marRight w:val="0"/>
                  <w:marTop w:val="0"/>
                  <w:marBottom w:val="0"/>
                  <w:divBdr>
                    <w:top w:val="none" w:sz="0" w:space="0" w:color="auto"/>
                    <w:left w:val="none" w:sz="0" w:space="0" w:color="auto"/>
                    <w:bottom w:val="none" w:sz="0" w:space="0" w:color="auto"/>
                    <w:right w:val="none" w:sz="0" w:space="0" w:color="auto"/>
                  </w:divBdr>
                  <w:divsChild>
                    <w:div w:id="1968507662">
                      <w:marLeft w:val="0"/>
                      <w:marRight w:val="0"/>
                      <w:marTop w:val="0"/>
                      <w:marBottom w:val="0"/>
                      <w:divBdr>
                        <w:top w:val="none" w:sz="0" w:space="0" w:color="auto"/>
                        <w:left w:val="none" w:sz="0" w:space="0" w:color="auto"/>
                        <w:bottom w:val="none" w:sz="0" w:space="0" w:color="auto"/>
                        <w:right w:val="none" w:sz="0" w:space="0" w:color="auto"/>
                      </w:divBdr>
                    </w:div>
                  </w:divsChild>
                </w:div>
                <w:div w:id="615135636">
                  <w:marLeft w:val="0"/>
                  <w:marRight w:val="0"/>
                  <w:marTop w:val="0"/>
                  <w:marBottom w:val="0"/>
                  <w:divBdr>
                    <w:top w:val="none" w:sz="0" w:space="0" w:color="auto"/>
                    <w:left w:val="none" w:sz="0" w:space="0" w:color="auto"/>
                    <w:bottom w:val="none" w:sz="0" w:space="0" w:color="auto"/>
                    <w:right w:val="none" w:sz="0" w:space="0" w:color="auto"/>
                  </w:divBdr>
                  <w:divsChild>
                    <w:div w:id="984705029">
                      <w:marLeft w:val="0"/>
                      <w:marRight w:val="0"/>
                      <w:marTop w:val="0"/>
                      <w:marBottom w:val="0"/>
                      <w:divBdr>
                        <w:top w:val="none" w:sz="0" w:space="0" w:color="auto"/>
                        <w:left w:val="none" w:sz="0" w:space="0" w:color="auto"/>
                        <w:bottom w:val="none" w:sz="0" w:space="0" w:color="auto"/>
                        <w:right w:val="none" w:sz="0" w:space="0" w:color="auto"/>
                      </w:divBdr>
                    </w:div>
                  </w:divsChild>
                </w:div>
                <w:div w:id="634875130">
                  <w:marLeft w:val="0"/>
                  <w:marRight w:val="0"/>
                  <w:marTop w:val="0"/>
                  <w:marBottom w:val="0"/>
                  <w:divBdr>
                    <w:top w:val="none" w:sz="0" w:space="0" w:color="auto"/>
                    <w:left w:val="none" w:sz="0" w:space="0" w:color="auto"/>
                    <w:bottom w:val="none" w:sz="0" w:space="0" w:color="auto"/>
                    <w:right w:val="none" w:sz="0" w:space="0" w:color="auto"/>
                  </w:divBdr>
                  <w:divsChild>
                    <w:div w:id="2116053978">
                      <w:marLeft w:val="0"/>
                      <w:marRight w:val="0"/>
                      <w:marTop w:val="0"/>
                      <w:marBottom w:val="0"/>
                      <w:divBdr>
                        <w:top w:val="none" w:sz="0" w:space="0" w:color="auto"/>
                        <w:left w:val="none" w:sz="0" w:space="0" w:color="auto"/>
                        <w:bottom w:val="none" w:sz="0" w:space="0" w:color="auto"/>
                        <w:right w:val="none" w:sz="0" w:space="0" w:color="auto"/>
                      </w:divBdr>
                    </w:div>
                  </w:divsChild>
                </w:div>
                <w:div w:id="640578789">
                  <w:marLeft w:val="0"/>
                  <w:marRight w:val="0"/>
                  <w:marTop w:val="0"/>
                  <w:marBottom w:val="0"/>
                  <w:divBdr>
                    <w:top w:val="none" w:sz="0" w:space="0" w:color="auto"/>
                    <w:left w:val="none" w:sz="0" w:space="0" w:color="auto"/>
                    <w:bottom w:val="none" w:sz="0" w:space="0" w:color="auto"/>
                    <w:right w:val="none" w:sz="0" w:space="0" w:color="auto"/>
                  </w:divBdr>
                  <w:divsChild>
                    <w:div w:id="1561595489">
                      <w:marLeft w:val="0"/>
                      <w:marRight w:val="0"/>
                      <w:marTop w:val="0"/>
                      <w:marBottom w:val="0"/>
                      <w:divBdr>
                        <w:top w:val="none" w:sz="0" w:space="0" w:color="auto"/>
                        <w:left w:val="none" w:sz="0" w:space="0" w:color="auto"/>
                        <w:bottom w:val="none" w:sz="0" w:space="0" w:color="auto"/>
                        <w:right w:val="none" w:sz="0" w:space="0" w:color="auto"/>
                      </w:divBdr>
                    </w:div>
                  </w:divsChild>
                </w:div>
                <w:div w:id="646517362">
                  <w:marLeft w:val="0"/>
                  <w:marRight w:val="0"/>
                  <w:marTop w:val="0"/>
                  <w:marBottom w:val="0"/>
                  <w:divBdr>
                    <w:top w:val="none" w:sz="0" w:space="0" w:color="auto"/>
                    <w:left w:val="none" w:sz="0" w:space="0" w:color="auto"/>
                    <w:bottom w:val="none" w:sz="0" w:space="0" w:color="auto"/>
                    <w:right w:val="none" w:sz="0" w:space="0" w:color="auto"/>
                  </w:divBdr>
                  <w:divsChild>
                    <w:div w:id="2011639442">
                      <w:marLeft w:val="0"/>
                      <w:marRight w:val="0"/>
                      <w:marTop w:val="0"/>
                      <w:marBottom w:val="0"/>
                      <w:divBdr>
                        <w:top w:val="none" w:sz="0" w:space="0" w:color="auto"/>
                        <w:left w:val="none" w:sz="0" w:space="0" w:color="auto"/>
                        <w:bottom w:val="none" w:sz="0" w:space="0" w:color="auto"/>
                        <w:right w:val="none" w:sz="0" w:space="0" w:color="auto"/>
                      </w:divBdr>
                    </w:div>
                  </w:divsChild>
                </w:div>
                <w:div w:id="695890089">
                  <w:marLeft w:val="0"/>
                  <w:marRight w:val="0"/>
                  <w:marTop w:val="0"/>
                  <w:marBottom w:val="0"/>
                  <w:divBdr>
                    <w:top w:val="none" w:sz="0" w:space="0" w:color="auto"/>
                    <w:left w:val="none" w:sz="0" w:space="0" w:color="auto"/>
                    <w:bottom w:val="none" w:sz="0" w:space="0" w:color="auto"/>
                    <w:right w:val="none" w:sz="0" w:space="0" w:color="auto"/>
                  </w:divBdr>
                  <w:divsChild>
                    <w:div w:id="1954362603">
                      <w:marLeft w:val="0"/>
                      <w:marRight w:val="0"/>
                      <w:marTop w:val="0"/>
                      <w:marBottom w:val="0"/>
                      <w:divBdr>
                        <w:top w:val="none" w:sz="0" w:space="0" w:color="auto"/>
                        <w:left w:val="none" w:sz="0" w:space="0" w:color="auto"/>
                        <w:bottom w:val="none" w:sz="0" w:space="0" w:color="auto"/>
                        <w:right w:val="none" w:sz="0" w:space="0" w:color="auto"/>
                      </w:divBdr>
                    </w:div>
                  </w:divsChild>
                </w:div>
                <w:div w:id="699010741">
                  <w:marLeft w:val="0"/>
                  <w:marRight w:val="0"/>
                  <w:marTop w:val="0"/>
                  <w:marBottom w:val="0"/>
                  <w:divBdr>
                    <w:top w:val="none" w:sz="0" w:space="0" w:color="auto"/>
                    <w:left w:val="none" w:sz="0" w:space="0" w:color="auto"/>
                    <w:bottom w:val="none" w:sz="0" w:space="0" w:color="auto"/>
                    <w:right w:val="none" w:sz="0" w:space="0" w:color="auto"/>
                  </w:divBdr>
                  <w:divsChild>
                    <w:div w:id="2049910254">
                      <w:marLeft w:val="0"/>
                      <w:marRight w:val="0"/>
                      <w:marTop w:val="0"/>
                      <w:marBottom w:val="0"/>
                      <w:divBdr>
                        <w:top w:val="none" w:sz="0" w:space="0" w:color="auto"/>
                        <w:left w:val="none" w:sz="0" w:space="0" w:color="auto"/>
                        <w:bottom w:val="none" w:sz="0" w:space="0" w:color="auto"/>
                        <w:right w:val="none" w:sz="0" w:space="0" w:color="auto"/>
                      </w:divBdr>
                    </w:div>
                  </w:divsChild>
                </w:div>
                <w:div w:id="713894235">
                  <w:marLeft w:val="0"/>
                  <w:marRight w:val="0"/>
                  <w:marTop w:val="0"/>
                  <w:marBottom w:val="0"/>
                  <w:divBdr>
                    <w:top w:val="none" w:sz="0" w:space="0" w:color="auto"/>
                    <w:left w:val="none" w:sz="0" w:space="0" w:color="auto"/>
                    <w:bottom w:val="none" w:sz="0" w:space="0" w:color="auto"/>
                    <w:right w:val="none" w:sz="0" w:space="0" w:color="auto"/>
                  </w:divBdr>
                  <w:divsChild>
                    <w:div w:id="698508620">
                      <w:marLeft w:val="0"/>
                      <w:marRight w:val="0"/>
                      <w:marTop w:val="0"/>
                      <w:marBottom w:val="0"/>
                      <w:divBdr>
                        <w:top w:val="none" w:sz="0" w:space="0" w:color="auto"/>
                        <w:left w:val="none" w:sz="0" w:space="0" w:color="auto"/>
                        <w:bottom w:val="none" w:sz="0" w:space="0" w:color="auto"/>
                        <w:right w:val="none" w:sz="0" w:space="0" w:color="auto"/>
                      </w:divBdr>
                    </w:div>
                  </w:divsChild>
                </w:div>
                <w:div w:id="714503607">
                  <w:marLeft w:val="0"/>
                  <w:marRight w:val="0"/>
                  <w:marTop w:val="0"/>
                  <w:marBottom w:val="0"/>
                  <w:divBdr>
                    <w:top w:val="none" w:sz="0" w:space="0" w:color="auto"/>
                    <w:left w:val="none" w:sz="0" w:space="0" w:color="auto"/>
                    <w:bottom w:val="none" w:sz="0" w:space="0" w:color="auto"/>
                    <w:right w:val="none" w:sz="0" w:space="0" w:color="auto"/>
                  </w:divBdr>
                  <w:divsChild>
                    <w:div w:id="885723739">
                      <w:marLeft w:val="0"/>
                      <w:marRight w:val="0"/>
                      <w:marTop w:val="0"/>
                      <w:marBottom w:val="0"/>
                      <w:divBdr>
                        <w:top w:val="none" w:sz="0" w:space="0" w:color="auto"/>
                        <w:left w:val="none" w:sz="0" w:space="0" w:color="auto"/>
                        <w:bottom w:val="none" w:sz="0" w:space="0" w:color="auto"/>
                        <w:right w:val="none" w:sz="0" w:space="0" w:color="auto"/>
                      </w:divBdr>
                    </w:div>
                  </w:divsChild>
                </w:div>
                <w:div w:id="751896178">
                  <w:marLeft w:val="0"/>
                  <w:marRight w:val="0"/>
                  <w:marTop w:val="0"/>
                  <w:marBottom w:val="0"/>
                  <w:divBdr>
                    <w:top w:val="none" w:sz="0" w:space="0" w:color="auto"/>
                    <w:left w:val="none" w:sz="0" w:space="0" w:color="auto"/>
                    <w:bottom w:val="none" w:sz="0" w:space="0" w:color="auto"/>
                    <w:right w:val="none" w:sz="0" w:space="0" w:color="auto"/>
                  </w:divBdr>
                  <w:divsChild>
                    <w:div w:id="236090087">
                      <w:marLeft w:val="0"/>
                      <w:marRight w:val="0"/>
                      <w:marTop w:val="0"/>
                      <w:marBottom w:val="0"/>
                      <w:divBdr>
                        <w:top w:val="none" w:sz="0" w:space="0" w:color="auto"/>
                        <w:left w:val="none" w:sz="0" w:space="0" w:color="auto"/>
                        <w:bottom w:val="none" w:sz="0" w:space="0" w:color="auto"/>
                        <w:right w:val="none" w:sz="0" w:space="0" w:color="auto"/>
                      </w:divBdr>
                    </w:div>
                  </w:divsChild>
                </w:div>
                <w:div w:id="769396324">
                  <w:marLeft w:val="0"/>
                  <w:marRight w:val="0"/>
                  <w:marTop w:val="0"/>
                  <w:marBottom w:val="0"/>
                  <w:divBdr>
                    <w:top w:val="none" w:sz="0" w:space="0" w:color="auto"/>
                    <w:left w:val="none" w:sz="0" w:space="0" w:color="auto"/>
                    <w:bottom w:val="none" w:sz="0" w:space="0" w:color="auto"/>
                    <w:right w:val="none" w:sz="0" w:space="0" w:color="auto"/>
                  </w:divBdr>
                  <w:divsChild>
                    <w:div w:id="261381308">
                      <w:marLeft w:val="0"/>
                      <w:marRight w:val="0"/>
                      <w:marTop w:val="0"/>
                      <w:marBottom w:val="0"/>
                      <w:divBdr>
                        <w:top w:val="none" w:sz="0" w:space="0" w:color="auto"/>
                        <w:left w:val="none" w:sz="0" w:space="0" w:color="auto"/>
                        <w:bottom w:val="none" w:sz="0" w:space="0" w:color="auto"/>
                        <w:right w:val="none" w:sz="0" w:space="0" w:color="auto"/>
                      </w:divBdr>
                    </w:div>
                  </w:divsChild>
                </w:div>
                <w:div w:id="776875420">
                  <w:marLeft w:val="0"/>
                  <w:marRight w:val="0"/>
                  <w:marTop w:val="0"/>
                  <w:marBottom w:val="0"/>
                  <w:divBdr>
                    <w:top w:val="none" w:sz="0" w:space="0" w:color="auto"/>
                    <w:left w:val="none" w:sz="0" w:space="0" w:color="auto"/>
                    <w:bottom w:val="none" w:sz="0" w:space="0" w:color="auto"/>
                    <w:right w:val="none" w:sz="0" w:space="0" w:color="auto"/>
                  </w:divBdr>
                  <w:divsChild>
                    <w:div w:id="894123203">
                      <w:marLeft w:val="0"/>
                      <w:marRight w:val="0"/>
                      <w:marTop w:val="0"/>
                      <w:marBottom w:val="0"/>
                      <w:divBdr>
                        <w:top w:val="none" w:sz="0" w:space="0" w:color="auto"/>
                        <w:left w:val="none" w:sz="0" w:space="0" w:color="auto"/>
                        <w:bottom w:val="none" w:sz="0" w:space="0" w:color="auto"/>
                        <w:right w:val="none" w:sz="0" w:space="0" w:color="auto"/>
                      </w:divBdr>
                    </w:div>
                  </w:divsChild>
                </w:div>
                <w:div w:id="787895289">
                  <w:marLeft w:val="0"/>
                  <w:marRight w:val="0"/>
                  <w:marTop w:val="0"/>
                  <w:marBottom w:val="0"/>
                  <w:divBdr>
                    <w:top w:val="none" w:sz="0" w:space="0" w:color="auto"/>
                    <w:left w:val="none" w:sz="0" w:space="0" w:color="auto"/>
                    <w:bottom w:val="none" w:sz="0" w:space="0" w:color="auto"/>
                    <w:right w:val="none" w:sz="0" w:space="0" w:color="auto"/>
                  </w:divBdr>
                  <w:divsChild>
                    <w:div w:id="74859029">
                      <w:marLeft w:val="0"/>
                      <w:marRight w:val="0"/>
                      <w:marTop w:val="0"/>
                      <w:marBottom w:val="0"/>
                      <w:divBdr>
                        <w:top w:val="none" w:sz="0" w:space="0" w:color="auto"/>
                        <w:left w:val="none" w:sz="0" w:space="0" w:color="auto"/>
                        <w:bottom w:val="none" w:sz="0" w:space="0" w:color="auto"/>
                        <w:right w:val="none" w:sz="0" w:space="0" w:color="auto"/>
                      </w:divBdr>
                    </w:div>
                  </w:divsChild>
                </w:div>
                <w:div w:id="805775297">
                  <w:marLeft w:val="0"/>
                  <w:marRight w:val="0"/>
                  <w:marTop w:val="0"/>
                  <w:marBottom w:val="0"/>
                  <w:divBdr>
                    <w:top w:val="none" w:sz="0" w:space="0" w:color="auto"/>
                    <w:left w:val="none" w:sz="0" w:space="0" w:color="auto"/>
                    <w:bottom w:val="none" w:sz="0" w:space="0" w:color="auto"/>
                    <w:right w:val="none" w:sz="0" w:space="0" w:color="auto"/>
                  </w:divBdr>
                  <w:divsChild>
                    <w:div w:id="37778074">
                      <w:marLeft w:val="0"/>
                      <w:marRight w:val="0"/>
                      <w:marTop w:val="0"/>
                      <w:marBottom w:val="0"/>
                      <w:divBdr>
                        <w:top w:val="none" w:sz="0" w:space="0" w:color="auto"/>
                        <w:left w:val="none" w:sz="0" w:space="0" w:color="auto"/>
                        <w:bottom w:val="none" w:sz="0" w:space="0" w:color="auto"/>
                        <w:right w:val="none" w:sz="0" w:space="0" w:color="auto"/>
                      </w:divBdr>
                    </w:div>
                  </w:divsChild>
                </w:div>
                <w:div w:id="819225916">
                  <w:marLeft w:val="0"/>
                  <w:marRight w:val="0"/>
                  <w:marTop w:val="0"/>
                  <w:marBottom w:val="0"/>
                  <w:divBdr>
                    <w:top w:val="none" w:sz="0" w:space="0" w:color="auto"/>
                    <w:left w:val="none" w:sz="0" w:space="0" w:color="auto"/>
                    <w:bottom w:val="none" w:sz="0" w:space="0" w:color="auto"/>
                    <w:right w:val="none" w:sz="0" w:space="0" w:color="auto"/>
                  </w:divBdr>
                  <w:divsChild>
                    <w:div w:id="1237209355">
                      <w:marLeft w:val="0"/>
                      <w:marRight w:val="0"/>
                      <w:marTop w:val="0"/>
                      <w:marBottom w:val="0"/>
                      <w:divBdr>
                        <w:top w:val="none" w:sz="0" w:space="0" w:color="auto"/>
                        <w:left w:val="none" w:sz="0" w:space="0" w:color="auto"/>
                        <w:bottom w:val="none" w:sz="0" w:space="0" w:color="auto"/>
                        <w:right w:val="none" w:sz="0" w:space="0" w:color="auto"/>
                      </w:divBdr>
                    </w:div>
                  </w:divsChild>
                </w:div>
                <w:div w:id="850723870">
                  <w:marLeft w:val="0"/>
                  <w:marRight w:val="0"/>
                  <w:marTop w:val="0"/>
                  <w:marBottom w:val="0"/>
                  <w:divBdr>
                    <w:top w:val="none" w:sz="0" w:space="0" w:color="auto"/>
                    <w:left w:val="none" w:sz="0" w:space="0" w:color="auto"/>
                    <w:bottom w:val="none" w:sz="0" w:space="0" w:color="auto"/>
                    <w:right w:val="none" w:sz="0" w:space="0" w:color="auto"/>
                  </w:divBdr>
                  <w:divsChild>
                    <w:div w:id="2035884879">
                      <w:marLeft w:val="0"/>
                      <w:marRight w:val="0"/>
                      <w:marTop w:val="0"/>
                      <w:marBottom w:val="0"/>
                      <w:divBdr>
                        <w:top w:val="none" w:sz="0" w:space="0" w:color="auto"/>
                        <w:left w:val="none" w:sz="0" w:space="0" w:color="auto"/>
                        <w:bottom w:val="none" w:sz="0" w:space="0" w:color="auto"/>
                        <w:right w:val="none" w:sz="0" w:space="0" w:color="auto"/>
                      </w:divBdr>
                    </w:div>
                  </w:divsChild>
                </w:div>
                <w:div w:id="865605186">
                  <w:marLeft w:val="0"/>
                  <w:marRight w:val="0"/>
                  <w:marTop w:val="0"/>
                  <w:marBottom w:val="0"/>
                  <w:divBdr>
                    <w:top w:val="none" w:sz="0" w:space="0" w:color="auto"/>
                    <w:left w:val="none" w:sz="0" w:space="0" w:color="auto"/>
                    <w:bottom w:val="none" w:sz="0" w:space="0" w:color="auto"/>
                    <w:right w:val="none" w:sz="0" w:space="0" w:color="auto"/>
                  </w:divBdr>
                  <w:divsChild>
                    <w:div w:id="1056272343">
                      <w:marLeft w:val="0"/>
                      <w:marRight w:val="0"/>
                      <w:marTop w:val="0"/>
                      <w:marBottom w:val="0"/>
                      <w:divBdr>
                        <w:top w:val="none" w:sz="0" w:space="0" w:color="auto"/>
                        <w:left w:val="none" w:sz="0" w:space="0" w:color="auto"/>
                        <w:bottom w:val="none" w:sz="0" w:space="0" w:color="auto"/>
                        <w:right w:val="none" w:sz="0" w:space="0" w:color="auto"/>
                      </w:divBdr>
                    </w:div>
                  </w:divsChild>
                </w:div>
                <w:div w:id="883830698">
                  <w:marLeft w:val="0"/>
                  <w:marRight w:val="0"/>
                  <w:marTop w:val="0"/>
                  <w:marBottom w:val="0"/>
                  <w:divBdr>
                    <w:top w:val="none" w:sz="0" w:space="0" w:color="auto"/>
                    <w:left w:val="none" w:sz="0" w:space="0" w:color="auto"/>
                    <w:bottom w:val="none" w:sz="0" w:space="0" w:color="auto"/>
                    <w:right w:val="none" w:sz="0" w:space="0" w:color="auto"/>
                  </w:divBdr>
                  <w:divsChild>
                    <w:div w:id="667640303">
                      <w:marLeft w:val="0"/>
                      <w:marRight w:val="0"/>
                      <w:marTop w:val="0"/>
                      <w:marBottom w:val="0"/>
                      <w:divBdr>
                        <w:top w:val="none" w:sz="0" w:space="0" w:color="auto"/>
                        <w:left w:val="none" w:sz="0" w:space="0" w:color="auto"/>
                        <w:bottom w:val="none" w:sz="0" w:space="0" w:color="auto"/>
                        <w:right w:val="none" w:sz="0" w:space="0" w:color="auto"/>
                      </w:divBdr>
                    </w:div>
                  </w:divsChild>
                </w:div>
                <w:div w:id="892891402">
                  <w:marLeft w:val="0"/>
                  <w:marRight w:val="0"/>
                  <w:marTop w:val="0"/>
                  <w:marBottom w:val="0"/>
                  <w:divBdr>
                    <w:top w:val="none" w:sz="0" w:space="0" w:color="auto"/>
                    <w:left w:val="none" w:sz="0" w:space="0" w:color="auto"/>
                    <w:bottom w:val="none" w:sz="0" w:space="0" w:color="auto"/>
                    <w:right w:val="none" w:sz="0" w:space="0" w:color="auto"/>
                  </w:divBdr>
                  <w:divsChild>
                    <w:div w:id="1013070079">
                      <w:marLeft w:val="0"/>
                      <w:marRight w:val="0"/>
                      <w:marTop w:val="0"/>
                      <w:marBottom w:val="0"/>
                      <w:divBdr>
                        <w:top w:val="none" w:sz="0" w:space="0" w:color="auto"/>
                        <w:left w:val="none" w:sz="0" w:space="0" w:color="auto"/>
                        <w:bottom w:val="none" w:sz="0" w:space="0" w:color="auto"/>
                        <w:right w:val="none" w:sz="0" w:space="0" w:color="auto"/>
                      </w:divBdr>
                    </w:div>
                  </w:divsChild>
                </w:div>
                <w:div w:id="920724940">
                  <w:marLeft w:val="0"/>
                  <w:marRight w:val="0"/>
                  <w:marTop w:val="0"/>
                  <w:marBottom w:val="0"/>
                  <w:divBdr>
                    <w:top w:val="none" w:sz="0" w:space="0" w:color="auto"/>
                    <w:left w:val="none" w:sz="0" w:space="0" w:color="auto"/>
                    <w:bottom w:val="none" w:sz="0" w:space="0" w:color="auto"/>
                    <w:right w:val="none" w:sz="0" w:space="0" w:color="auto"/>
                  </w:divBdr>
                  <w:divsChild>
                    <w:div w:id="1634286971">
                      <w:marLeft w:val="0"/>
                      <w:marRight w:val="0"/>
                      <w:marTop w:val="0"/>
                      <w:marBottom w:val="0"/>
                      <w:divBdr>
                        <w:top w:val="none" w:sz="0" w:space="0" w:color="auto"/>
                        <w:left w:val="none" w:sz="0" w:space="0" w:color="auto"/>
                        <w:bottom w:val="none" w:sz="0" w:space="0" w:color="auto"/>
                        <w:right w:val="none" w:sz="0" w:space="0" w:color="auto"/>
                      </w:divBdr>
                    </w:div>
                  </w:divsChild>
                </w:div>
                <w:div w:id="936668835">
                  <w:marLeft w:val="0"/>
                  <w:marRight w:val="0"/>
                  <w:marTop w:val="0"/>
                  <w:marBottom w:val="0"/>
                  <w:divBdr>
                    <w:top w:val="none" w:sz="0" w:space="0" w:color="auto"/>
                    <w:left w:val="none" w:sz="0" w:space="0" w:color="auto"/>
                    <w:bottom w:val="none" w:sz="0" w:space="0" w:color="auto"/>
                    <w:right w:val="none" w:sz="0" w:space="0" w:color="auto"/>
                  </w:divBdr>
                  <w:divsChild>
                    <w:div w:id="394820511">
                      <w:marLeft w:val="0"/>
                      <w:marRight w:val="0"/>
                      <w:marTop w:val="0"/>
                      <w:marBottom w:val="0"/>
                      <w:divBdr>
                        <w:top w:val="none" w:sz="0" w:space="0" w:color="auto"/>
                        <w:left w:val="none" w:sz="0" w:space="0" w:color="auto"/>
                        <w:bottom w:val="none" w:sz="0" w:space="0" w:color="auto"/>
                        <w:right w:val="none" w:sz="0" w:space="0" w:color="auto"/>
                      </w:divBdr>
                    </w:div>
                    <w:div w:id="598950417">
                      <w:marLeft w:val="0"/>
                      <w:marRight w:val="0"/>
                      <w:marTop w:val="0"/>
                      <w:marBottom w:val="0"/>
                      <w:divBdr>
                        <w:top w:val="none" w:sz="0" w:space="0" w:color="auto"/>
                        <w:left w:val="none" w:sz="0" w:space="0" w:color="auto"/>
                        <w:bottom w:val="none" w:sz="0" w:space="0" w:color="auto"/>
                        <w:right w:val="none" w:sz="0" w:space="0" w:color="auto"/>
                      </w:divBdr>
                    </w:div>
                    <w:div w:id="642466809">
                      <w:marLeft w:val="0"/>
                      <w:marRight w:val="0"/>
                      <w:marTop w:val="0"/>
                      <w:marBottom w:val="0"/>
                      <w:divBdr>
                        <w:top w:val="none" w:sz="0" w:space="0" w:color="auto"/>
                        <w:left w:val="none" w:sz="0" w:space="0" w:color="auto"/>
                        <w:bottom w:val="none" w:sz="0" w:space="0" w:color="auto"/>
                        <w:right w:val="none" w:sz="0" w:space="0" w:color="auto"/>
                      </w:divBdr>
                    </w:div>
                    <w:div w:id="654181690">
                      <w:marLeft w:val="0"/>
                      <w:marRight w:val="0"/>
                      <w:marTop w:val="0"/>
                      <w:marBottom w:val="0"/>
                      <w:divBdr>
                        <w:top w:val="none" w:sz="0" w:space="0" w:color="auto"/>
                        <w:left w:val="none" w:sz="0" w:space="0" w:color="auto"/>
                        <w:bottom w:val="none" w:sz="0" w:space="0" w:color="auto"/>
                        <w:right w:val="none" w:sz="0" w:space="0" w:color="auto"/>
                      </w:divBdr>
                    </w:div>
                    <w:div w:id="1640377555">
                      <w:marLeft w:val="0"/>
                      <w:marRight w:val="0"/>
                      <w:marTop w:val="0"/>
                      <w:marBottom w:val="0"/>
                      <w:divBdr>
                        <w:top w:val="none" w:sz="0" w:space="0" w:color="auto"/>
                        <w:left w:val="none" w:sz="0" w:space="0" w:color="auto"/>
                        <w:bottom w:val="none" w:sz="0" w:space="0" w:color="auto"/>
                        <w:right w:val="none" w:sz="0" w:space="0" w:color="auto"/>
                      </w:divBdr>
                    </w:div>
                  </w:divsChild>
                </w:div>
                <w:div w:id="938832199">
                  <w:marLeft w:val="0"/>
                  <w:marRight w:val="0"/>
                  <w:marTop w:val="0"/>
                  <w:marBottom w:val="0"/>
                  <w:divBdr>
                    <w:top w:val="none" w:sz="0" w:space="0" w:color="auto"/>
                    <w:left w:val="none" w:sz="0" w:space="0" w:color="auto"/>
                    <w:bottom w:val="none" w:sz="0" w:space="0" w:color="auto"/>
                    <w:right w:val="none" w:sz="0" w:space="0" w:color="auto"/>
                  </w:divBdr>
                  <w:divsChild>
                    <w:div w:id="1845630712">
                      <w:marLeft w:val="0"/>
                      <w:marRight w:val="0"/>
                      <w:marTop w:val="0"/>
                      <w:marBottom w:val="0"/>
                      <w:divBdr>
                        <w:top w:val="none" w:sz="0" w:space="0" w:color="auto"/>
                        <w:left w:val="none" w:sz="0" w:space="0" w:color="auto"/>
                        <w:bottom w:val="none" w:sz="0" w:space="0" w:color="auto"/>
                        <w:right w:val="none" w:sz="0" w:space="0" w:color="auto"/>
                      </w:divBdr>
                    </w:div>
                  </w:divsChild>
                </w:div>
                <w:div w:id="955138162">
                  <w:marLeft w:val="0"/>
                  <w:marRight w:val="0"/>
                  <w:marTop w:val="0"/>
                  <w:marBottom w:val="0"/>
                  <w:divBdr>
                    <w:top w:val="none" w:sz="0" w:space="0" w:color="auto"/>
                    <w:left w:val="none" w:sz="0" w:space="0" w:color="auto"/>
                    <w:bottom w:val="none" w:sz="0" w:space="0" w:color="auto"/>
                    <w:right w:val="none" w:sz="0" w:space="0" w:color="auto"/>
                  </w:divBdr>
                  <w:divsChild>
                    <w:div w:id="1299797927">
                      <w:marLeft w:val="0"/>
                      <w:marRight w:val="0"/>
                      <w:marTop w:val="0"/>
                      <w:marBottom w:val="0"/>
                      <w:divBdr>
                        <w:top w:val="none" w:sz="0" w:space="0" w:color="auto"/>
                        <w:left w:val="none" w:sz="0" w:space="0" w:color="auto"/>
                        <w:bottom w:val="none" w:sz="0" w:space="0" w:color="auto"/>
                        <w:right w:val="none" w:sz="0" w:space="0" w:color="auto"/>
                      </w:divBdr>
                    </w:div>
                  </w:divsChild>
                </w:div>
                <w:div w:id="955790165">
                  <w:marLeft w:val="0"/>
                  <w:marRight w:val="0"/>
                  <w:marTop w:val="0"/>
                  <w:marBottom w:val="0"/>
                  <w:divBdr>
                    <w:top w:val="none" w:sz="0" w:space="0" w:color="auto"/>
                    <w:left w:val="none" w:sz="0" w:space="0" w:color="auto"/>
                    <w:bottom w:val="none" w:sz="0" w:space="0" w:color="auto"/>
                    <w:right w:val="none" w:sz="0" w:space="0" w:color="auto"/>
                  </w:divBdr>
                  <w:divsChild>
                    <w:div w:id="572934774">
                      <w:marLeft w:val="0"/>
                      <w:marRight w:val="0"/>
                      <w:marTop w:val="0"/>
                      <w:marBottom w:val="0"/>
                      <w:divBdr>
                        <w:top w:val="none" w:sz="0" w:space="0" w:color="auto"/>
                        <w:left w:val="none" w:sz="0" w:space="0" w:color="auto"/>
                        <w:bottom w:val="none" w:sz="0" w:space="0" w:color="auto"/>
                        <w:right w:val="none" w:sz="0" w:space="0" w:color="auto"/>
                      </w:divBdr>
                    </w:div>
                  </w:divsChild>
                </w:div>
                <w:div w:id="969046969">
                  <w:marLeft w:val="0"/>
                  <w:marRight w:val="0"/>
                  <w:marTop w:val="0"/>
                  <w:marBottom w:val="0"/>
                  <w:divBdr>
                    <w:top w:val="none" w:sz="0" w:space="0" w:color="auto"/>
                    <w:left w:val="none" w:sz="0" w:space="0" w:color="auto"/>
                    <w:bottom w:val="none" w:sz="0" w:space="0" w:color="auto"/>
                    <w:right w:val="none" w:sz="0" w:space="0" w:color="auto"/>
                  </w:divBdr>
                  <w:divsChild>
                    <w:div w:id="398985048">
                      <w:marLeft w:val="0"/>
                      <w:marRight w:val="0"/>
                      <w:marTop w:val="0"/>
                      <w:marBottom w:val="0"/>
                      <w:divBdr>
                        <w:top w:val="none" w:sz="0" w:space="0" w:color="auto"/>
                        <w:left w:val="none" w:sz="0" w:space="0" w:color="auto"/>
                        <w:bottom w:val="none" w:sz="0" w:space="0" w:color="auto"/>
                        <w:right w:val="none" w:sz="0" w:space="0" w:color="auto"/>
                      </w:divBdr>
                    </w:div>
                  </w:divsChild>
                </w:div>
                <w:div w:id="970862151">
                  <w:marLeft w:val="0"/>
                  <w:marRight w:val="0"/>
                  <w:marTop w:val="0"/>
                  <w:marBottom w:val="0"/>
                  <w:divBdr>
                    <w:top w:val="none" w:sz="0" w:space="0" w:color="auto"/>
                    <w:left w:val="none" w:sz="0" w:space="0" w:color="auto"/>
                    <w:bottom w:val="none" w:sz="0" w:space="0" w:color="auto"/>
                    <w:right w:val="none" w:sz="0" w:space="0" w:color="auto"/>
                  </w:divBdr>
                  <w:divsChild>
                    <w:div w:id="1513882335">
                      <w:marLeft w:val="0"/>
                      <w:marRight w:val="0"/>
                      <w:marTop w:val="0"/>
                      <w:marBottom w:val="0"/>
                      <w:divBdr>
                        <w:top w:val="none" w:sz="0" w:space="0" w:color="auto"/>
                        <w:left w:val="none" w:sz="0" w:space="0" w:color="auto"/>
                        <w:bottom w:val="none" w:sz="0" w:space="0" w:color="auto"/>
                        <w:right w:val="none" w:sz="0" w:space="0" w:color="auto"/>
                      </w:divBdr>
                    </w:div>
                  </w:divsChild>
                </w:div>
                <w:div w:id="1001002470">
                  <w:marLeft w:val="0"/>
                  <w:marRight w:val="0"/>
                  <w:marTop w:val="0"/>
                  <w:marBottom w:val="0"/>
                  <w:divBdr>
                    <w:top w:val="none" w:sz="0" w:space="0" w:color="auto"/>
                    <w:left w:val="none" w:sz="0" w:space="0" w:color="auto"/>
                    <w:bottom w:val="none" w:sz="0" w:space="0" w:color="auto"/>
                    <w:right w:val="none" w:sz="0" w:space="0" w:color="auto"/>
                  </w:divBdr>
                  <w:divsChild>
                    <w:div w:id="116022587">
                      <w:marLeft w:val="0"/>
                      <w:marRight w:val="0"/>
                      <w:marTop w:val="0"/>
                      <w:marBottom w:val="0"/>
                      <w:divBdr>
                        <w:top w:val="none" w:sz="0" w:space="0" w:color="auto"/>
                        <w:left w:val="none" w:sz="0" w:space="0" w:color="auto"/>
                        <w:bottom w:val="none" w:sz="0" w:space="0" w:color="auto"/>
                        <w:right w:val="none" w:sz="0" w:space="0" w:color="auto"/>
                      </w:divBdr>
                    </w:div>
                    <w:div w:id="548229643">
                      <w:marLeft w:val="0"/>
                      <w:marRight w:val="0"/>
                      <w:marTop w:val="0"/>
                      <w:marBottom w:val="0"/>
                      <w:divBdr>
                        <w:top w:val="none" w:sz="0" w:space="0" w:color="auto"/>
                        <w:left w:val="none" w:sz="0" w:space="0" w:color="auto"/>
                        <w:bottom w:val="none" w:sz="0" w:space="0" w:color="auto"/>
                        <w:right w:val="none" w:sz="0" w:space="0" w:color="auto"/>
                      </w:divBdr>
                    </w:div>
                    <w:div w:id="878979196">
                      <w:marLeft w:val="0"/>
                      <w:marRight w:val="0"/>
                      <w:marTop w:val="0"/>
                      <w:marBottom w:val="0"/>
                      <w:divBdr>
                        <w:top w:val="none" w:sz="0" w:space="0" w:color="auto"/>
                        <w:left w:val="none" w:sz="0" w:space="0" w:color="auto"/>
                        <w:bottom w:val="none" w:sz="0" w:space="0" w:color="auto"/>
                        <w:right w:val="none" w:sz="0" w:space="0" w:color="auto"/>
                      </w:divBdr>
                    </w:div>
                    <w:div w:id="985545872">
                      <w:marLeft w:val="0"/>
                      <w:marRight w:val="0"/>
                      <w:marTop w:val="0"/>
                      <w:marBottom w:val="0"/>
                      <w:divBdr>
                        <w:top w:val="none" w:sz="0" w:space="0" w:color="auto"/>
                        <w:left w:val="none" w:sz="0" w:space="0" w:color="auto"/>
                        <w:bottom w:val="none" w:sz="0" w:space="0" w:color="auto"/>
                        <w:right w:val="none" w:sz="0" w:space="0" w:color="auto"/>
                      </w:divBdr>
                    </w:div>
                    <w:div w:id="2052536569">
                      <w:marLeft w:val="0"/>
                      <w:marRight w:val="0"/>
                      <w:marTop w:val="0"/>
                      <w:marBottom w:val="0"/>
                      <w:divBdr>
                        <w:top w:val="none" w:sz="0" w:space="0" w:color="auto"/>
                        <w:left w:val="none" w:sz="0" w:space="0" w:color="auto"/>
                        <w:bottom w:val="none" w:sz="0" w:space="0" w:color="auto"/>
                        <w:right w:val="none" w:sz="0" w:space="0" w:color="auto"/>
                      </w:divBdr>
                    </w:div>
                  </w:divsChild>
                </w:div>
                <w:div w:id="1004553031">
                  <w:marLeft w:val="0"/>
                  <w:marRight w:val="0"/>
                  <w:marTop w:val="0"/>
                  <w:marBottom w:val="0"/>
                  <w:divBdr>
                    <w:top w:val="none" w:sz="0" w:space="0" w:color="auto"/>
                    <w:left w:val="none" w:sz="0" w:space="0" w:color="auto"/>
                    <w:bottom w:val="none" w:sz="0" w:space="0" w:color="auto"/>
                    <w:right w:val="none" w:sz="0" w:space="0" w:color="auto"/>
                  </w:divBdr>
                  <w:divsChild>
                    <w:div w:id="1842548642">
                      <w:marLeft w:val="0"/>
                      <w:marRight w:val="0"/>
                      <w:marTop w:val="0"/>
                      <w:marBottom w:val="0"/>
                      <w:divBdr>
                        <w:top w:val="none" w:sz="0" w:space="0" w:color="auto"/>
                        <w:left w:val="none" w:sz="0" w:space="0" w:color="auto"/>
                        <w:bottom w:val="none" w:sz="0" w:space="0" w:color="auto"/>
                        <w:right w:val="none" w:sz="0" w:space="0" w:color="auto"/>
                      </w:divBdr>
                    </w:div>
                  </w:divsChild>
                </w:div>
                <w:div w:id="1039432348">
                  <w:marLeft w:val="0"/>
                  <w:marRight w:val="0"/>
                  <w:marTop w:val="0"/>
                  <w:marBottom w:val="0"/>
                  <w:divBdr>
                    <w:top w:val="none" w:sz="0" w:space="0" w:color="auto"/>
                    <w:left w:val="none" w:sz="0" w:space="0" w:color="auto"/>
                    <w:bottom w:val="none" w:sz="0" w:space="0" w:color="auto"/>
                    <w:right w:val="none" w:sz="0" w:space="0" w:color="auto"/>
                  </w:divBdr>
                  <w:divsChild>
                    <w:div w:id="1275671857">
                      <w:marLeft w:val="0"/>
                      <w:marRight w:val="0"/>
                      <w:marTop w:val="0"/>
                      <w:marBottom w:val="0"/>
                      <w:divBdr>
                        <w:top w:val="none" w:sz="0" w:space="0" w:color="auto"/>
                        <w:left w:val="none" w:sz="0" w:space="0" w:color="auto"/>
                        <w:bottom w:val="none" w:sz="0" w:space="0" w:color="auto"/>
                        <w:right w:val="none" w:sz="0" w:space="0" w:color="auto"/>
                      </w:divBdr>
                    </w:div>
                  </w:divsChild>
                </w:div>
                <w:div w:id="1052540463">
                  <w:marLeft w:val="0"/>
                  <w:marRight w:val="0"/>
                  <w:marTop w:val="0"/>
                  <w:marBottom w:val="0"/>
                  <w:divBdr>
                    <w:top w:val="none" w:sz="0" w:space="0" w:color="auto"/>
                    <w:left w:val="none" w:sz="0" w:space="0" w:color="auto"/>
                    <w:bottom w:val="none" w:sz="0" w:space="0" w:color="auto"/>
                    <w:right w:val="none" w:sz="0" w:space="0" w:color="auto"/>
                  </w:divBdr>
                  <w:divsChild>
                    <w:div w:id="1663047743">
                      <w:marLeft w:val="0"/>
                      <w:marRight w:val="0"/>
                      <w:marTop w:val="0"/>
                      <w:marBottom w:val="0"/>
                      <w:divBdr>
                        <w:top w:val="none" w:sz="0" w:space="0" w:color="auto"/>
                        <w:left w:val="none" w:sz="0" w:space="0" w:color="auto"/>
                        <w:bottom w:val="none" w:sz="0" w:space="0" w:color="auto"/>
                        <w:right w:val="none" w:sz="0" w:space="0" w:color="auto"/>
                      </w:divBdr>
                    </w:div>
                  </w:divsChild>
                </w:div>
                <w:div w:id="1081677692">
                  <w:marLeft w:val="0"/>
                  <w:marRight w:val="0"/>
                  <w:marTop w:val="0"/>
                  <w:marBottom w:val="0"/>
                  <w:divBdr>
                    <w:top w:val="none" w:sz="0" w:space="0" w:color="auto"/>
                    <w:left w:val="none" w:sz="0" w:space="0" w:color="auto"/>
                    <w:bottom w:val="none" w:sz="0" w:space="0" w:color="auto"/>
                    <w:right w:val="none" w:sz="0" w:space="0" w:color="auto"/>
                  </w:divBdr>
                  <w:divsChild>
                    <w:div w:id="1200898288">
                      <w:marLeft w:val="0"/>
                      <w:marRight w:val="0"/>
                      <w:marTop w:val="0"/>
                      <w:marBottom w:val="0"/>
                      <w:divBdr>
                        <w:top w:val="none" w:sz="0" w:space="0" w:color="auto"/>
                        <w:left w:val="none" w:sz="0" w:space="0" w:color="auto"/>
                        <w:bottom w:val="none" w:sz="0" w:space="0" w:color="auto"/>
                        <w:right w:val="none" w:sz="0" w:space="0" w:color="auto"/>
                      </w:divBdr>
                    </w:div>
                  </w:divsChild>
                </w:div>
                <w:div w:id="1082874746">
                  <w:marLeft w:val="0"/>
                  <w:marRight w:val="0"/>
                  <w:marTop w:val="0"/>
                  <w:marBottom w:val="0"/>
                  <w:divBdr>
                    <w:top w:val="none" w:sz="0" w:space="0" w:color="auto"/>
                    <w:left w:val="none" w:sz="0" w:space="0" w:color="auto"/>
                    <w:bottom w:val="none" w:sz="0" w:space="0" w:color="auto"/>
                    <w:right w:val="none" w:sz="0" w:space="0" w:color="auto"/>
                  </w:divBdr>
                  <w:divsChild>
                    <w:div w:id="230578768">
                      <w:marLeft w:val="0"/>
                      <w:marRight w:val="0"/>
                      <w:marTop w:val="0"/>
                      <w:marBottom w:val="0"/>
                      <w:divBdr>
                        <w:top w:val="none" w:sz="0" w:space="0" w:color="auto"/>
                        <w:left w:val="none" w:sz="0" w:space="0" w:color="auto"/>
                        <w:bottom w:val="none" w:sz="0" w:space="0" w:color="auto"/>
                        <w:right w:val="none" w:sz="0" w:space="0" w:color="auto"/>
                      </w:divBdr>
                    </w:div>
                  </w:divsChild>
                </w:div>
                <w:div w:id="1115952324">
                  <w:marLeft w:val="0"/>
                  <w:marRight w:val="0"/>
                  <w:marTop w:val="0"/>
                  <w:marBottom w:val="0"/>
                  <w:divBdr>
                    <w:top w:val="none" w:sz="0" w:space="0" w:color="auto"/>
                    <w:left w:val="none" w:sz="0" w:space="0" w:color="auto"/>
                    <w:bottom w:val="none" w:sz="0" w:space="0" w:color="auto"/>
                    <w:right w:val="none" w:sz="0" w:space="0" w:color="auto"/>
                  </w:divBdr>
                  <w:divsChild>
                    <w:div w:id="1951157035">
                      <w:marLeft w:val="0"/>
                      <w:marRight w:val="0"/>
                      <w:marTop w:val="0"/>
                      <w:marBottom w:val="0"/>
                      <w:divBdr>
                        <w:top w:val="none" w:sz="0" w:space="0" w:color="auto"/>
                        <w:left w:val="none" w:sz="0" w:space="0" w:color="auto"/>
                        <w:bottom w:val="none" w:sz="0" w:space="0" w:color="auto"/>
                        <w:right w:val="none" w:sz="0" w:space="0" w:color="auto"/>
                      </w:divBdr>
                    </w:div>
                  </w:divsChild>
                </w:div>
                <w:div w:id="1130703550">
                  <w:marLeft w:val="0"/>
                  <w:marRight w:val="0"/>
                  <w:marTop w:val="0"/>
                  <w:marBottom w:val="0"/>
                  <w:divBdr>
                    <w:top w:val="none" w:sz="0" w:space="0" w:color="auto"/>
                    <w:left w:val="none" w:sz="0" w:space="0" w:color="auto"/>
                    <w:bottom w:val="none" w:sz="0" w:space="0" w:color="auto"/>
                    <w:right w:val="none" w:sz="0" w:space="0" w:color="auto"/>
                  </w:divBdr>
                  <w:divsChild>
                    <w:div w:id="951017660">
                      <w:marLeft w:val="0"/>
                      <w:marRight w:val="0"/>
                      <w:marTop w:val="0"/>
                      <w:marBottom w:val="0"/>
                      <w:divBdr>
                        <w:top w:val="none" w:sz="0" w:space="0" w:color="auto"/>
                        <w:left w:val="none" w:sz="0" w:space="0" w:color="auto"/>
                        <w:bottom w:val="none" w:sz="0" w:space="0" w:color="auto"/>
                        <w:right w:val="none" w:sz="0" w:space="0" w:color="auto"/>
                      </w:divBdr>
                    </w:div>
                  </w:divsChild>
                </w:div>
                <w:div w:id="1134912805">
                  <w:marLeft w:val="0"/>
                  <w:marRight w:val="0"/>
                  <w:marTop w:val="0"/>
                  <w:marBottom w:val="0"/>
                  <w:divBdr>
                    <w:top w:val="none" w:sz="0" w:space="0" w:color="auto"/>
                    <w:left w:val="none" w:sz="0" w:space="0" w:color="auto"/>
                    <w:bottom w:val="none" w:sz="0" w:space="0" w:color="auto"/>
                    <w:right w:val="none" w:sz="0" w:space="0" w:color="auto"/>
                  </w:divBdr>
                  <w:divsChild>
                    <w:div w:id="231431863">
                      <w:marLeft w:val="0"/>
                      <w:marRight w:val="0"/>
                      <w:marTop w:val="0"/>
                      <w:marBottom w:val="0"/>
                      <w:divBdr>
                        <w:top w:val="none" w:sz="0" w:space="0" w:color="auto"/>
                        <w:left w:val="none" w:sz="0" w:space="0" w:color="auto"/>
                        <w:bottom w:val="none" w:sz="0" w:space="0" w:color="auto"/>
                        <w:right w:val="none" w:sz="0" w:space="0" w:color="auto"/>
                      </w:divBdr>
                    </w:div>
                  </w:divsChild>
                </w:div>
                <w:div w:id="1152528812">
                  <w:marLeft w:val="0"/>
                  <w:marRight w:val="0"/>
                  <w:marTop w:val="0"/>
                  <w:marBottom w:val="0"/>
                  <w:divBdr>
                    <w:top w:val="none" w:sz="0" w:space="0" w:color="auto"/>
                    <w:left w:val="none" w:sz="0" w:space="0" w:color="auto"/>
                    <w:bottom w:val="none" w:sz="0" w:space="0" w:color="auto"/>
                    <w:right w:val="none" w:sz="0" w:space="0" w:color="auto"/>
                  </w:divBdr>
                  <w:divsChild>
                    <w:div w:id="1867137330">
                      <w:marLeft w:val="0"/>
                      <w:marRight w:val="0"/>
                      <w:marTop w:val="0"/>
                      <w:marBottom w:val="0"/>
                      <w:divBdr>
                        <w:top w:val="none" w:sz="0" w:space="0" w:color="auto"/>
                        <w:left w:val="none" w:sz="0" w:space="0" w:color="auto"/>
                        <w:bottom w:val="none" w:sz="0" w:space="0" w:color="auto"/>
                        <w:right w:val="none" w:sz="0" w:space="0" w:color="auto"/>
                      </w:divBdr>
                    </w:div>
                  </w:divsChild>
                </w:div>
                <w:div w:id="1156991436">
                  <w:marLeft w:val="0"/>
                  <w:marRight w:val="0"/>
                  <w:marTop w:val="0"/>
                  <w:marBottom w:val="0"/>
                  <w:divBdr>
                    <w:top w:val="none" w:sz="0" w:space="0" w:color="auto"/>
                    <w:left w:val="none" w:sz="0" w:space="0" w:color="auto"/>
                    <w:bottom w:val="none" w:sz="0" w:space="0" w:color="auto"/>
                    <w:right w:val="none" w:sz="0" w:space="0" w:color="auto"/>
                  </w:divBdr>
                  <w:divsChild>
                    <w:div w:id="454637674">
                      <w:marLeft w:val="0"/>
                      <w:marRight w:val="0"/>
                      <w:marTop w:val="0"/>
                      <w:marBottom w:val="0"/>
                      <w:divBdr>
                        <w:top w:val="none" w:sz="0" w:space="0" w:color="auto"/>
                        <w:left w:val="none" w:sz="0" w:space="0" w:color="auto"/>
                        <w:bottom w:val="none" w:sz="0" w:space="0" w:color="auto"/>
                        <w:right w:val="none" w:sz="0" w:space="0" w:color="auto"/>
                      </w:divBdr>
                    </w:div>
                  </w:divsChild>
                </w:div>
                <w:div w:id="1183516750">
                  <w:marLeft w:val="0"/>
                  <w:marRight w:val="0"/>
                  <w:marTop w:val="0"/>
                  <w:marBottom w:val="0"/>
                  <w:divBdr>
                    <w:top w:val="none" w:sz="0" w:space="0" w:color="auto"/>
                    <w:left w:val="none" w:sz="0" w:space="0" w:color="auto"/>
                    <w:bottom w:val="none" w:sz="0" w:space="0" w:color="auto"/>
                    <w:right w:val="none" w:sz="0" w:space="0" w:color="auto"/>
                  </w:divBdr>
                  <w:divsChild>
                    <w:div w:id="1456875107">
                      <w:marLeft w:val="0"/>
                      <w:marRight w:val="0"/>
                      <w:marTop w:val="0"/>
                      <w:marBottom w:val="0"/>
                      <w:divBdr>
                        <w:top w:val="none" w:sz="0" w:space="0" w:color="auto"/>
                        <w:left w:val="none" w:sz="0" w:space="0" w:color="auto"/>
                        <w:bottom w:val="none" w:sz="0" w:space="0" w:color="auto"/>
                        <w:right w:val="none" w:sz="0" w:space="0" w:color="auto"/>
                      </w:divBdr>
                    </w:div>
                  </w:divsChild>
                </w:div>
                <w:div w:id="1183977448">
                  <w:marLeft w:val="0"/>
                  <w:marRight w:val="0"/>
                  <w:marTop w:val="0"/>
                  <w:marBottom w:val="0"/>
                  <w:divBdr>
                    <w:top w:val="none" w:sz="0" w:space="0" w:color="auto"/>
                    <w:left w:val="none" w:sz="0" w:space="0" w:color="auto"/>
                    <w:bottom w:val="none" w:sz="0" w:space="0" w:color="auto"/>
                    <w:right w:val="none" w:sz="0" w:space="0" w:color="auto"/>
                  </w:divBdr>
                  <w:divsChild>
                    <w:div w:id="413740647">
                      <w:marLeft w:val="0"/>
                      <w:marRight w:val="0"/>
                      <w:marTop w:val="0"/>
                      <w:marBottom w:val="0"/>
                      <w:divBdr>
                        <w:top w:val="none" w:sz="0" w:space="0" w:color="auto"/>
                        <w:left w:val="none" w:sz="0" w:space="0" w:color="auto"/>
                        <w:bottom w:val="none" w:sz="0" w:space="0" w:color="auto"/>
                        <w:right w:val="none" w:sz="0" w:space="0" w:color="auto"/>
                      </w:divBdr>
                    </w:div>
                  </w:divsChild>
                </w:div>
                <w:div w:id="1231766016">
                  <w:marLeft w:val="0"/>
                  <w:marRight w:val="0"/>
                  <w:marTop w:val="0"/>
                  <w:marBottom w:val="0"/>
                  <w:divBdr>
                    <w:top w:val="none" w:sz="0" w:space="0" w:color="auto"/>
                    <w:left w:val="none" w:sz="0" w:space="0" w:color="auto"/>
                    <w:bottom w:val="none" w:sz="0" w:space="0" w:color="auto"/>
                    <w:right w:val="none" w:sz="0" w:space="0" w:color="auto"/>
                  </w:divBdr>
                  <w:divsChild>
                    <w:div w:id="1840536421">
                      <w:marLeft w:val="0"/>
                      <w:marRight w:val="0"/>
                      <w:marTop w:val="0"/>
                      <w:marBottom w:val="0"/>
                      <w:divBdr>
                        <w:top w:val="none" w:sz="0" w:space="0" w:color="auto"/>
                        <w:left w:val="none" w:sz="0" w:space="0" w:color="auto"/>
                        <w:bottom w:val="none" w:sz="0" w:space="0" w:color="auto"/>
                        <w:right w:val="none" w:sz="0" w:space="0" w:color="auto"/>
                      </w:divBdr>
                    </w:div>
                  </w:divsChild>
                </w:div>
                <w:div w:id="1259948359">
                  <w:marLeft w:val="0"/>
                  <w:marRight w:val="0"/>
                  <w:marTop w:val="0"/>
                  <w:marBottom w:val="0"/>
                  <w:divBdr>
                    <w:top w:val="none" w:sz="0" w:space="0" w:color="auto"/>
                    <w:left w:val="none" w:sz="0" w:space="0" w:color="auto"/>
                    <w:bottom w:val="none" w:sz="0" w:space="0" w:color="auto"/>
                    <w:right w:val="none" w:sz="0" w:space="0" w:color="auto"/>
                  </w:divBdr>
                  <w:divsChild>
                    <w:div w:id="1505169958">
                      <w:marLeft w:val="0"/>
                      <w:marRight w:val="0"/>
                      <w:marTop w:val="0"/>
                      <w:marBottom w:val="0"/>
                      <w:divBdr>
                        <w:top w:val="none" w:sz="0" w:space="0" w:color="auto"/>
                        <w:left w:val="none" w:sz="0" w:space="0" w:color="auto"/>
                        <w:bottom w:val="none" w:sz="0" w:space="0" w:color="auto"/>
                        <w:right w:val="none" w:sz="0" w:space="0" w:color="auto"/>
                      </w:divBdr>
                    </w:div>
                  </w:divsChild>
                </w:div>
                <w:div w:id="1263610705">
                  <w:marLeft w:val="0"/>
                  <w:marRight w:val="0"/>
                  <w:marTop w:val="0"/>
                  <w:marBottom w:val="0"/>
                  <w:divBdr>
                    <w:top w:val="none" w:sz="0" w:space="0" w:color="auto"/>
                    <w:left w:val="none" w:sz="0" w:space="0" w:color="auto"/>
                    <w:bottom w:val="none" w:sz="0" w:space="0" w:color="auto"/>
                    <w:right w:val="none" w:sz="0" w:space="0" w:color="auto"/>
                  </w:divBdr>
                  <w:divsChild>
                    <w:div w:id="1584611057">
                      <w:marLeft w:val="0"/>
                      <w:marRight w:val="0"/>
                      <w:marTop w:val="0"/>
                      <w:marBottom w:val="0"/>
                      <w:divBdr>
                        <w:top w:val="none" w:sz="0" w:space="0" w:color="auto"/>
                        <w:left w:val="none" w:sz="0" w:space="0" w:color="auto"/>
                        <w:bottom w:val="none" w:sz="0" w:space="0" w:color="auto"/>
                        <w:right w:val="none" w:sz="0" w:space="0" w:color="auto"/>
                      </w:divBdr>
                    </w:div>
                    <w:div w:id="1675957595">
                      <w:marLeft w:val="0"/>
                      <w:marRight w:val="0"/>
                      <w:marTop w:val="0"/>
                      <w:marBottom w:val="0"/>
                      <w:divBdr>
                        <w:top w:val="none" w:sz="0" w:space="0" w:color="auto"/>
                        <w:left w:val="none" w:sz="0" w:space="0" w:color="auto"/>
                        <w:bottom w:val="none" w:sz="0" w:space="0" w:color="auto"/>
                        <w:right w:val="none" w:sz="0" w:space="0" w:color="auto"/>
                      </w:divBdr>
                    </w:div>
                  </w:divsChild>
                </w:div>
                <w:div w:id="1280726402">
                  <w:marLeft w:val="0"/>
                  <w:marRight w:val="0"/>
                  <w:marTop w:val="0"/>
                  <w:marBottom w:val="0"/>
                  <w:divBdr>
                    <w:top w:val="none" w:sz="0" w:space="0" w:color="auto"/>
                    <w:left w:val="none" w:sz="0" w:space="0" w:color="auto"/>
                    <w:bottom w:val="none" w:sz="0" w:space="0" w:color="auto"/>
                    <w:right w:val="none" w:sz="0" w:space="0" w:color="auto"/>
                  </w:divBdr>
                  <w:divsChild>
                    <w:div w:id="834682102">
                      <w:marLeft w:val="0"/>
                      <w:marRight w:val="0"/>
                      <w:marTop w:val="0"/>
                      <w:marBottom w:val="0"/>
                      <w:divBdr>
                        <w:top w:val="none" w:sz="0" w:space="0" w:color="auto"/>
                        <w:left w:val="none" w:sz="0" w:space="0" w:color="auto"/>
                        <w:bottom w:val="none" w:sz="0" w:space="0" w:color="auto"/>
                        <w:right w:val="none" w:sz="0" w:space="0" w:color="auto"/>
                      </w:divBdr>
                    </w:div>
                  </w:divsChild>
                </w:div>
                <w:div w:id="1291982469">
                  <w:marLeft w:val="0"/>
                  <w:marRight w:val="0"/>
                  <w:marTop w:val="0"/>
                  <w:marBottom w:val="0"/>
                  <w:divBdr>
                    <w:top w:val="none" w:sz="0" w:space="0" w:color="auto"/>
                    <w:left w:val="none" w:sz="0" w:space="0" w:color="auto"/>
                    <w:bottom w:val="none" w:sz="0" w:space="0" w:color="auto"/>
                    <w:right w:val="none" w:sz="0" w:space="0" w:color="auto"/>
                  </w:divBdr>
                  <w:divsChild>
                    <w:div w:id="617906053">
                      <w:marLeft w:val="0"/>
                      <w:marRight w:val="0"/>
                      <w:marTop w:val="0"/>
                      <w:marBottom w:val="0"/>
                      <w:divBdr>
                        <w:top w:val="none" w:sz="0" w:space="0" w:color="auto"/>
                        <w:left w:val="none" w:sz="0" w:space="0" w:color="auto"/>
                        <w:bottom w:val="none" w:sz="0" w:space="0" w:color="auto"/>
                        <w:right w:val="none" w:sz="0" w:space="0" w:color="auto"/>
                      </w:divBdr>
                    </w:div>
                  </w:divsChild>
                </w:div>
                <w:div w:id="1304654045">
                  <w:marLeft w:val="0"/>
                  <w:marRight w:val="0"/>
                  <w:marTop w:val="0"/>
                  <w:marBottom w:val="0"/>
                  <w:divBdr>
                    <w:top w:val="none" w:sz="0" w:space="0" w:color="auto"/>
                    <w:left w:val="none" w:sz="0" w:space="0" w:color="auto"/>
                    <w:bottom w:val="none" w:sz="0" w:space="0" w:color="auto"/>
                    <w:right w:val="none" w:sz="0" w:space="0" w:color="auto"/>
                  </w:divBdr>
                  <w:divsChild>
                    <w:div w:id="757139982">
                      <w:marLeft w:val="0"/>
                      <w:marRight w:val="0"/>
                      <w:marTop w:val="0"/>
                      <w:marBottom w:val="0"/>
                      <w:divBdr>
                        <w:top w:val="none" w:sz="0" w:space="0" w:color="auto"/>
                        <w:left w:val="none" w:sz="0" w:space="0" w:color="auto"/>
                        <w:bottom w:val="none" w:sz="0" w:space="0" w:color="auto"/>
                        <w:right w:val="none" w:sz="0" w:space="0" w:color="auto"/>
                      </w:divBdr>
                    </w:div>
                  </w:divsChild>
                </w:div>
                <w:div w:id="1334458582">
                  <w:marLeft w:val="0"/>
                  <w:marRight w:val="0"/>
                  <w:marTop w:val="0"/>
                  <w:marBottom w:val="0"/>
                  <w:divBdr>
                    <w:top w:val="none" w:sz="0" w:space="0" w:color="auto"/>
                    <w:left w:val="none" w:sz="0" w:space="0" w:color="auto"/>
                    <w:bottom w:val="none" w:sz="0" w:space="0" w:color="auto"/>
                    <w:right w:val="none" w:sz="0" w:space="0" w:color="auto"/>
                  </w:divBdr>
                  <w:divsChild>
                    <w:div w:id="1743333808">
                      <w:marLeft w:val="0"/>
                      <w:marRight w:val="0"/>
                      <w:marTop w:val="0"/>
                      <w:marBottom w:val="0"/>
                      <w:divBdr>
                        <w:top w:val="none" w:sz="0" w:space="0" w:color="auto"/>
                        <w:left w:val="none" w:sz="0" w:space="0" w:color="auto"/>
                        <w:bottom w:val="none" w:sz="0" w:space="0" w:color="auto"/>
                        <w:right w:val="none" w:sz="0" w:space="0" w:color="auto"/>
                      </w:divBdr>
                    </w:div>
                  </w:divsChild>
                </w:div>
                <w:div w:id="1342708212">
                  <w:marLeft w:val="0"/>
                  <w:marRight w:val="0"/>
                  <w:marTop w:val="0"/>
                  <w:marBottom w:val="0"/>
                  <w:divBdr>
                    <w:top w:val="none" w:sz="0" w:space="0" w:color="auto"/>
                    <w:left w:val="none" w:sz="0" w:space="0" w:color="auto"/>
                    <w:bottom w:val="none" w:sz="0" w:space="0" w:color="auto"/>
                    <w:right w:val="none" w:sz="0" w:space="0" w:color="auto"/>
                  </w:divBdr>
                  <w:divsChild>
                    <w:div w:id="792749375">
                      <w:marLeft w:val="0"/>
                      <w:marRight w:val="0"/>
                      <w:marTop w:val="0"/>
                      <w:marBottom w:val="0"/>
                      <w:divBdr>
                        <w:top w:val="none" w:sz="0" w:space="0" w:color="auto"/>
                        <w:left w:val="none" w:sz="0" w:space="0" w:color="auto"/>
                        <w:bottom w:val="none" w:sz="0" w:space="0" w:color="auto"/>
                        <w:right w:val="none" w:sz="0" w:space="0" w:color="auto"/>
                      </w:divBdr>
                    </w:div>
                  </w:divsChild>
                </w:div>
                <w:div w:id="1351839670">
                  <w:marLeft w:val="0"/>
                  <w:marRight w:val="0"/>
                  <w:marTop w:val="0"/>
                  <w:marBottom w:val="0"/>
                  <w:divBdr>
                    <w:top w:val="none" w:sz="0" w:space="0" w:color="auto"/>
                    <w:left w:val="none" w:sz="0" w:space="0" w:color="auto"/>
                    <w:bottom w:val="none" w:sz="0" w:space="0" w:color="auto"/>
                    <w:right w:val="none" w:sz="0" w:space="0" w:color="auto"/>
                  </w:divBdr>
                  <w:divsChild>
                    <w:div w:id="631326734">
                      <w:marLeft w:val="0"/>
                      <w:marRight w:val="0"/>
                      <w:marTop w:val="0"/>
                      <w:marBottom w:val="0"/>
                      <w:divBdr>
                        <w:top w:val="none" w:sz="0" w:space="0" w:color="auto"/>
                        <w:left w:val="none" w:sz="0" w:space="0" w:color="auto"/>
                        <w:bottom w:val="none" w:sz="0" w:space="0" w:color="auto"/>
                        <w:right w:val="none" w:sz="0" w:space="0" w:color="auto"/>
                      </w:divBdr>
                    </w:div>
                  </w:divsChild>
                </w:div>
                <w:div w:id="1371612020">
                  <w:marLeft w:val="0"/>
                  <w:marRight w:val="0"/>
                  <w:marTop w:val="0"/>
                  <w:marBottom w:val="0"/>
                  <w:divBdr>
                    <w:top w:val="none" w:sz="0" w:space="0" w:color="auto"/>
                    <w:left w:val="none" w:sz="0" w:space="0" w:color="auto"/>
                    <w:bottom w:val="none" w:sz="0" w:space="0" w:color="auto"/>
                    <w:right w:val="none" w:sz="0" w:space="0" w:color="auto"/>
                  </w:divBdr>
                  <w:divsChild>
                    <w:div w:id="1065687351">
                      <w:marLeft w:val="0"/>
                      <w:marRight w:val="0"/>
                      <w:marTop w:val="0"/>
                      <w:marBottom w:val="0"/>
                      <w:divBdr>
                        <w:top w:val="none" w:sz="0" w:space="0" w:color="auto"/>
                        <w:left w:val="none" w:sz="0" w:space="0" w:color="auto"/>
                        <w:bottom w:val="none" w:sz="0" w:space="0" w:color="auto"/>
                        <w:right w:val="none" w:sz="0" w:space="0" w:color="auto"/>
                      </w:divBdr>
                    </w:div>
                  </w:divsChild>
                </w:div>
                <w:div w:id="1372149277">
                  <w:marLeft w:val="0"/>
                  <w:marRight w:val="0"/>
                  <w:marTop w:val="0"/>
                  <w:marBottom w:val="0"/>
                  <w:divBdr>
                    <w:top w:val="none" w:sz="0" w:space="0" w:color="auto"/>
                    <w:left w:val="none" w:sz="0" w:space="0" w:color="auto"/>
                    <w:bottom w:val="none" w:sz="0" w:space="0" w:color="auto"/>
                    <w:right w:val="none" w:sz="0" w:space="0" w:color="auto"/>
                  </w:divBdr>
                  <w:divsChild>
                    <w:div w:id="1394742152">
                      <w:marLeft w:val="0"/>
                      <w:marRight w:val="0"/>
                      <w:marTop w:val="0"/>
                      <w:marBottom w:val="0"/>
                      <w:divBdr>
                        <w:top w:val="none" w:sz="0" w:space="0" w:color="auto"/>
                        <w:left w:val="none" w:sz="0" w:space="0" w:color="auto"/>
                        <w:bottom w:val="none" w:sz="0" w:space="0" w:color="auto"/>
                        <w:right w:val="none" w:sz="0" w:space="0" w:color="auto"/>
                      </w:divBdr>
                    </w:div>
                  </w:divsChild>
                </w:div>
                <w:div w:id="1378889854">
                  <w:marLeft w:val="0"/>
                  <w:marRight w:val="0"/>
                  <w:marTop w:val="0"/>
                  <w:marBottom w:val="0"/>
                  <w:divBdr>
                    <w:top w:val="none" w:sz="0" w:space="0" w:color="auto"/>
                    <w:left w:val="none" w:sz="0" w:space="0" w:color="auto"/>
                    <w:bottom w:val="none" w:sz="0" w:space="0" w:color="auto"/>
                    <w:right w:val="none" w:sz="0" w:space="0" w:color="auto"/>
                  </w:divBdr>
                  <w:divsChild>
                    <w:div w:id="1754352857">
                      <w:marLeft w:val="0"/>
                      <w:marRight w:val="0"/>
                      <w:marTop w:val="0"/>
                      <w:marBottom w:val="0"/>
                      <w:divBdr>
                        <w:top w:val="none" w:sz="0" w:space="0" w:color="auto"/>
                        <w:left w:val="none" w:sz="0" w:space="0" w:color="auto"/>
                        <w:bottom w:val="none" w:sz="0" w:space="0" w:color="auto"/>
                        <w:right w:val="none" w:sz="0" w:space="0" w:color="auto"/>
                      </w:divBdr>
                    </w:div>
                  </w:divsChild>
                </w:div>
                <w:div w:id="1386679088">
                  <w:marLeft w:val="0"/>
                  <w:marRight w:val="0"/>
                  <w:marTop w:val="0"/>
                  <w:marBottom w:val="0"/>
                  <w:divBdr>
                    <w:top w:val="none" w:sz="0" w:space="0" w:color="auto"/>
                    <w:left w:val="none" w:sz="0" w:space="0" w:color="auto"/>
                    <w:bottom w:val="none" w:sz="0" w:space="0" w:color="auto"/>
                    <w:right w:val="none" w:sz="0" w:space="0" w:color="auto"/>
                  </w:divBdr>
                  <w:divsChild>
                    <w:div w:id="1428422658">
                      <w:marLeft w:val="0"/>
                      <w:marRight w:val="0"/>
                      <w:marTop w:val="0"/>
                      <w:marBottom w:val="0"/>
                      <w:divBdr>
                        <w:top w:val="none" w:sz="0" w:space="0" w:color="auto"/>
                        <w:left w:val="none" w:sz="0" w:space="0" w:color="auto"/>
                        <w:bottom w:val="none" w:sz="0" w:space="0" w:color="auto"/>
                        <w:right w:val="none" w:sz="0" w:space="0" w:color="auto"/>
                      </w:divBdr>
                    </w:div>
                  </w:divsChild>
                </w:div>
                <w:div w:id="1397433456">
                  <w:marLeft w:val="0"/>
                  <w:marRight w:val="0"/>
                  <w:marTop w:val="0"/>
                  <w:marBottom w:val="0"/>
                  <w:divBdr>
                    <w:top w:val="none" w:sz="0" w:space="0" w:color="auto"/>
                    <w:left w:val="none" w:sz="0" w:space="0" w:color="auto"/>
                    <w:bottom w:val="none" w:sz="0" w:space="0" w:color="auto"/>
                    <w:right w:val="none" w:sz="0" w:space="0" w:color="auto"/>
                  </w:divBdr>
                  <w:divsChild>
                    <w:div w:id="2031292005">
                      <w:marLeft w:val="0"/>
                      <w:marRight w:val="0"/>
                      <w:marTop w:val="0"/>
                      <w:marBottom w:val="0"/>
                      <w:divBdr>
                        <w:top w:val="none" w:sz="0" w:space="0" w:color="auto"/>
                        <w:left w:val="none" w:sz="0" w:space="0" w:color="auto"/>
                        <w:bottom w:val="none" w:sz="0" w:space="0" w:color="auto"/>
                        <w:right w:val="none" w:sz="0" w:space="0" w:color="auto"/>
                      </w:divBdr>
                    </w:div>
                  </w:divsChild>
                </w:div>
                <w:div w:id="1414668802">
                  <w:marLeft w:val="0"/>
                  <w:marRight w:val="0"/>
                  <w:marTop w:val="0"/>
                  <w:marBottom w:val="0"/>
                  <w:divBdr>
                    <w:top w:val="none" w:sz="0" w:space="0" w:color="auto"/>
                    <w:left w:val="none" w:sz="0" w:space="0" w:color="auto"/>
                    <w:bottom w:val="none" w:sz="0" w:space="0" w:color="auto"/>
                    <w:right w:val="none" w:sz="0" w:space="0" w:color="auto"/>
                  </w:divBdr>
                  <w:divsChild>
                    <w:div w:id="85079400">
                      <w:marLeft w:val="0"/>
                      <w:marRight w:val="0"/>
                      <w:marTop w:val="0"/>
                      <w:marBottom w:val="0"/>
                      <w:divBdr>
                        <w:top w:val="none" w:sz="0" w:space="0" w:color="auto"/>
                        <w:left w:val="none" w:sz="0" w:space="0" w:color="auto"/>
                        <w:bottom w:val="none" w:sz="0" w:space="0" w:color="auto"/>
                        <w:right w:val="none" w:sz="0" w:space="0" w:color="auto"/>
                      </w:divBdr>
                    </w:div>
                    <w:div w:id="117839145">
                      <w:marLeft w:val="0"/>
                      <w:marRight w:val="0"/>
                      <w:marTop w:val="0"/>
                      <w:marBottom w:val="0"/>
                      <w:divBdr>
                        <w:top w:val="none" w:sz="0" w:space="0" w:color="auto"/>
                        <w:left w:val="none" w:sz="0" w:space="0" w:color="auto"/>
                        <w:bottom w:val="none" w:sz="0" w:space="0" w:color="auto"/>
                        <w:right w:val="none" w:sz="0" w:space="0" w:color="auto"/>
                      </w:divBdr>
                    </w:div>
                    <w:div w:id="1065491885">
                      <w:marLeft w:val="0"/>
                      <w:marRight w:val="0"/>
                      <w:marTop w:val="0"/>
                      <w:marBottom w:val="0"/>
                      <w:divBdr>
                        <w:top w:val="none" w:sz="0" w:space="0" w:color="auto"/>
                        <w:left w:val="none" w:sz="0" w:space="0" w:color="auto"/>
                        <w:bottom w:val="none" w:sz="0" w:space="0" w:color="auto"/>
                        <w:right w:val="none" w:sz="0" w:space="0" w:color="auto"/>
                      </w:divBdr>
                    </w:div>
                    <w:div w:id="1725132985">
                      <w:marLeft w:val="0"/>
                      <w:marRight w:val="0"/>
                      <w:marTop w:val="0"/>
                      <w:marBottom w:val="0"/>
                      <w:divBdr>
                        <w:top w:val="none" w:sz="0" w:space="0" w:color="auto"/>
                        <w:left w:val="none" w:sz="0" w:space="0" w:color="auto"/>
                        <w:bottom w:val="none" w:sz="0" w:space="0" w:color="auto"/>
                        <w:right w:val="none" w:sz="0" w:space="0" w:color="auto"/>
                      </w:divBdr>
                    </w:div>
                    <w:div w:id="1769891756">
                      <w:marLeft w:val="0"/>
                      <w:marRight w:val="0"/>
                      <w:marTop w:val="0"/>
                      <w:marBottom w:val="0"/>
                      <w:divBdr>
                        <w:top w:val="none" w:sz="0" w:space="0" w:color="auto"/>
                        <w:left w:val="none" w:sz="0" w:space="0" w:color="auto"/>
                        <w:bottom w:val="none" w:sz="0" w:space="0" w:color="auto"/>
                        <w:right w:val="none" w:sz="0" w:space="0" w:color="auto"/>
                      </w:divBdr>
                    </w:div>
                  </w:divsChild>
                </w:div>
                <w:div w:id="1450516371">
                  <w:marLeft w:val="0"/>
                  <w:marRight w:val="0"/>
                  <w:marTop w:val="0"/>
                  <w:marBottom w:val="0"/>
                  <w:divBdr>
                    <w:top w:val="none" w:sz="0" w:space="0" w:color="auto"/>
                    <w:left w:val="none" w:sz="0" w:space="0" w:color="auto"/>
                    <w:bottom w:val="none" w:sz="0" w:space="0" w:color="auto"/>
                    <w:right w:val="none" w:sz="0" w:space="0" w:color="auto"/>
                  </w:divBdr>
                  <w:divsChild>
                    <w:div w:id="1595285492">
                      <w:marLeft w:val="0"/>
                      <w:marRight w:val="0"/>
                      <w:marTop w:val="0"/>
                      <w:marBottom w:val="0"/>
                      <w:divBdr>
                        <w:top w:val="none" w:sz="0" w:space="0" w:color="auto"/>
                        <w:left w:val="none" w:sz="0" w:space="0" w:color="auto"/>
                        <w:bottom w:val="none" w:sz="0" w:space="0" w:color="auto"/>
                        <w:right w:val="none" w:sz="0" w:space="0" w:color="auto"/>
                      </w:divBdr>
                    </w:div>
                  </w:divsChild>
                </w:div>
                <w:div w:id="1459103895">
                  <w:marLeft w:val="0"/>
                  <w:marRight w:val="0"/>
                  <w:marTop w:val="0"/>
                  <w:marBottom w:val="0"/>
                  <w:divBdr>
                    <w:top w:val="none" w:sz="0" w:space="0" w:color="auto"/>
                    <w:left w:val="none" w:sz="0" w:space="0" w:color="auto"/>
                    <w:bottom w:val="none" w:sz="0" w:space="0" w:color="auto"/>
                    <w:right w:val="none" w:sz="0" w:space="0" w:color="auto"/>
                  </w:divBdr>
                  <w:divsChild>
                    <w:div w:id="842164217">
                      <w:marLeft w:val="0"/>
                      <w:marRight w:val="0"/>
                      <w:marTop w:val="0"/>
                      <w:marBottom w:val="0"/>
                      <w:divBdr>
                        <w:top w:val="none" w:sz="0" w:space="0" w:color="auto"/>
                        <w:left w:val="none" w:sz="0" w:space="0" w:color="auto"/>
                        <w:bottom w:val="none" w:sz="0" w:space="0" w:color="auto"/>
                        <w:right w:val="none" w:sz="0" w:space="0" w:color="auto"/>
                      </w:divBdr>
                    </w:div>
                  </w:divsChild>
                </w:div>
                <w:div w:id="1464615316">
                  <w:marLeft w:val="0"/>
                  <w:marRight w:val="0"/>
                  <w:marTop w:val="0"/>
                  <w:marBottom w:val="0"/>
                  <w:divBdr>
                    <w:top w:val="none" w:sz="0" w:space="0" w:color="auto"/>
                    <w:left w:val="none" w:sz="0" w:space="0" w:color="auto"/>
                    <w:bottom w:val="none" w:sz="0" w:space="0" w:color="auto"/>
                    <w:right w:val="none" w:sz="0" w:space="0" w:color="auto"/>
                  </w:divBdr>
                  <w:divsChild>
                    <w:div w:id="153302809">
                      <w:marLeft w:val="0"/>
                      <w:marRight w:val="0"/>
                      <w:marTop w:val="0"/>
                      <w:marBottom w:val="0"/>
                      <w:divBdr>
                        <w:top w:val="none" w:sz="0" w:space="0" w:color="auto"/>
                        <w:left w:val="none" w:sz="0" w:space="0" w:color="auto"/>
                        <w:bottom w:val="none" w:sz="0" w:space="0" w:color="auto"/>
                        <w:right w:val="none" w:sz="0" w:space="0" w:color="auto"/>
                      </w:divBdr>
                    </w:div>
                  </w:divsChild>
                </w:div>
                <w:div w:id="1491480686">
                  <w:marLeft w:val="0"/>
                  <w:marRight w:val="0"/>
                  <w:marTop w:val="0"/>
                  <w:marBottom w:val="0"/>
                  <w:divBdr>
                    <w:top w:val="none" w:sz="0" w:space="0" w:color="auto"/>
                    <w:left w:val="none" w:sz="0" w:space="0" w:color="auto"/>
                    <w:bottom w:val="none" w:sz="0" w:space="0" w:color="auto"/>
                    <w:right w:val="none" w:sz="0" w:space="0" w:color="auto"/>
                  </w:divBdr>
                  <w:divsChild>
                    <w:div w:id="255288146">
                      <w:marLeft w:val="0"/>
                      <w:marRight w:val="0"/>
                      <w:marTop w:val="0"/>
                      <w:marBottom w:val="0"/>
                      <w:divBdr>
                        <w:top w:val="none" w:sz="0" w:space="0" w:color="auto"/>
                        <w:left w:val="none" w:sz="0" w:space="0" w:color="auto"/>
                        <w:bottom w:val="none" w:sz="0" w:space="0" w:color="auto"/>
                        <w:right w:val="none" w:sz="0" w:space="0" w:color="auto"/>
                      </w:divBdr>
                    </w:div>
                  </w:divsChild>
                </w:div>
                <w:div w:id="1504203227">
                  <w:marLeft w:val="0"/>
                  <w:marRight w:val="0"/>
                  <w:marTop w:val="0"/>
                  <w:marBottom w:val="0"/>
                  <w:divBdr>
                    <w:top w:val="none" w:sz="0" w:space="0" w:color="auto"/>
                    <w:left w:val="none" w:sz="0" w:space="0" w:color="auto"/>
                    <w:bottom w:val="none" w:sz="0" w:space="0" w:color="auto"/>
                    <w:right w:val="none" w:sz="0" w:space="0" w:color="auto"/>
                  </w:divBdr>
                  <w:divsChild>
                    <w:div w:id="1803425502">
                      <w:marLeft w:val="0"/>
                      <w:marRight w:val="0"/>
                      <w:marTop w:val="0"/>
                      <w:marBottom w:val="0"/>
                      <w:divBdr>
                        <w:top w:val="none" w:sz="0" w:space="0" w:color="auto"/>
                        <w:left w:val="none" w:sz="0" w:space="0" w:color="auto"/>
                        <w:bottom w:val="none" w:sz="0" w:space="0" w:color="auto"/>
                        <w:right w:val="none" w:sz="0" w:space="0" w:color="auto"/>
                      </w:divBdr>
                    </w:div>
                  </w:divsChild>
                </w:div>
                <w:div w:id="1508905806">
                  <w:marLeft w:val="0"/>
                  <w:marRight w:val="0"/>
                  <w:marTop w:val="0"/>
                  <w:marBottom w:val="0"/>
                  <w:divBdr>
                    <w:top w:val="none" w:sz="0" w:space="0" w:color="auto"/>
                    <w:left w:val="none" w:sz="0" w:space="0" w:color="auto"/>
                    <w:bottom w:val="none" w:sz="0" w:space="0" w:color="auto"/>
                    <w:right w:val="none" w:sz="0" w:space="0" w:color="auto"/>
                  </w:divBdr>
                  <w:divsChild>
                    <w:div w:id="2060208242">
                      <w:marLeft w:val="0"/>
                      <w:marRight w:val="0"/>
                      <w:marTop w:val="0"/>
                      <w:marBottom w:val="0"/>
                      <w:divBdr>
                        <w:top w:val="none" w:sz="0" w:space="0" w:color="auto"/>
                        <w:left w:val="none" w:sz="0" w:space="0" w:color="auto"/>
                        <w:bottom w:val="none" w:sz="0" w:space="0" w:color="auto"/>
                        <w:right w:val="none" w:sz="0" w:space="0" w:color="auto"/>
                      </w:divBdr>
                    </w:div>
                  </w:divsChild>
                </w:div>
                <w:div w:id="1534348725">
                  <w:marLeft w:val="0"/>
                  <w:marRight w:val="0"/>
                  <w:marTop w:val="0"/>
                  <w:marBottom w:val="0"/>
                  <w:divBdr>
                    <w:top w:val="none" w:sz="0" w:space="0" w:color="auto"/>
                    <w:left w:val="none" w:sz="0" w:space="0" w:color="auto"/>
                    <w:bottom w:val="none" w:sz="0" w:space="0" w:color="auto"/>
                    <w:right w:val="none" w:sz="0" w:space="0" w:color="auto"/>
                  </w:divBdr>
                  <w:divsChild>
                    <w:div w:id="493378685">
                      <w:marLeft w:val="0"/>
                      <w:marRight w:val="0"/>
                      <w:marTop w:val="0"/>
                      <w:marBottom w:val="0"/>
                      <w:divBdr>
                        <w:top w:val="none" w:sz="0" w:space="0" w:color="auto"/>
                        <w:left w:val="none" w:sz="0" w:space="0" w:color="auto"/>
                        <w:bottom w:val="none" w:sz="0" w:space="0" w:color="auto"/>
                        <w:right w:val="none" w:sz="0" w:space="0" w:color="auto"/>
                      </w:divBdr>
                    </w:div>
                  </w:divsChild>
                </w:div>
                <w:div w:id="1554537261">
                  <w:marLeft w:val="0"/>
                  <w:marRight w:val="0"/>
                  <w:marTop w:val="0"/>
                  <w:marBottom w:val="0"/>
                  <w:divBdr>
                    <w:top w:val="none" w:sz="0" w:space="0" w:color="auto"/>
                    <w:left w:val="none" w:sz="0" w:space="0" w:color="auto"/>
                    <w:bottom w:val="none" w:sz="0" w:space="0" w:color="auto"/>
                    <w:right w:val="none" w:sz="0" w:space="0" w:color="auto"/>
                  </w:divBdr>
                  <w:divsChild>
                    <w:div w:id="140393205">
                      <w:marLeft w:val="0"/>
                      <w:marRight w:val="0"/>
                      <w:marTop w:val="0"/>
                      <w:marBottom w:val="0"/>
                      <w:divBdr>
                        <w:top w:val="none" w:sz="0" w:space="0" w:color="auto"/>
                        <w:left w:val="none" w:sz="0" w:space="0" w:color="auto"/>
                        <w:bottom w:val="none" w:sz="0" w:space="0" w:color="auto"/>
                        <w:right w:val="none" w:sz="0" w:space="0" w:color="auto"/>
                      </w:divBdr>
                    </w:div>
                  </w:divsChild>
                </w:div>
                <w:div w:id="1554776201">
                  <w:marLeft w:val="0"/>
                  <w:marRight w:val="0"/>
                  <w:marTop w:val="0"/>
                  <w:marBottom w:val="0"/>
                  <w:divBdr>
                    <w:top w:val="none" w:sz="0" w:space="0" w:color="auto"/>
                    <w:left w:val="none" w:sz="0" w:space="0" w:color="auto"/>
                    <w:bottom w:val="none" w:sz="0" w:space="0" w:color="auto"/>
                    <w:right w:val="none" w:sz="0" w:space="0" w:color="auto"/>
                  </w:divBdr>
                  <w:divsChild>
                    <w:div w:id="888344983">
                      <w:marLeft w:val="0"/>
                      <w:marRight w:val="0"/>
                      <w:marTop w:val="0"/>
                      <w:marBottom w:val="0"/>
                      <w:divBdr>
                        <w:top w:val="none" w:sz="0" w:space="0" w:color="auto"/>
                        <w:left w:val="none" w:sz="0" w:space="0" w:color="auto"/>
                        <w:bottom w:val="none" w:sz="0" w:space="0" w:color="auto"/>
                        <w:right w:val="none" w:sz="0" w:space="0" w:color="auto"/>
                      </w:divBdr>
                    </w:div>
                  </w:divsChild>
                </w:div>
                <w:div w:id="1561361991">
                  <w:marLeft w:val="0"/>
                  <w:marRight w:val="0"/>
                  <w:marTop w:val="0"/>
                  <w:marBottom w:val="0"/>
                  <w:divBdr>
                    <w:top w:val="none" w:sz="0" w:space="0" w:color="auto"/>
                    <w:left w:val="none" w:sz="0" w:space="0" w:color="auto"/>
                    <w:bottom w:val="none" w:sz="0" w:space="0" w:color="auto"/>
                    <w:right w:val="none" w:sz="0" w:space="0" w:color="auto"/>
                  </w:divBdr>
                  <w:divsChild>
                    <w:div w:id="1204319373">
                      <w:marLeft w:val="0"/>
                      <w:marRight w:val="0"/>
                      <w:marTop w:val="0"/>
                      <w:marBottom w:val="0"/>
                      <w:divBdr>
                        <w:top w:val="none" w:sz="0" w:space="0" w:color="auto"/>
                        <w:left w:val="none" w:sz="0" w:space="0" w:color="auto"/>
                        <w:bottom w:val="none" w:sz="0" w:space="0" w:color="auto"/>
                        <w:right w:val="none" w:sz="0" w:space="0" w:color="auto"/>
                      </w:divBdr>
                    </w:div>
                  </w:divsChild>
                </w:div>
                <w:div w:id="1572426527">
                  <w:marLeft w:val="0"/>
                  <w:marRight w:val="0"/>
                  <w:marTop w:val="0"/>
                  <w:marBottom w:val="0"/>
                  <w:divBdr>
                    <w:top w:val="none" w:sz="0" w:space="0" w:color="auto"/>
                    <w:left w:val="none" w:sz="0" w:space="0" w:color="auto"/>
                    <w:bottom w:val="none" w:sz="0" w:space="0" w:color="auto"/>
                    <w:right w:val="none" w:sz="0" w:space="0" w:color="auto"/>
                  </w:divBdr>
                  <w:divsChild>
                    <w:div w:id="1236551254">
                      <w:marLeft w:val="0"/>
                      <w:marRight w:val="0"/>
                      <w:marTop w:val="0"/>
                      <w:marBottom w:val="0"/>
                      <w:divBdr>
                        <w:top w:val="none" w:sz="0" w:space="0" w:color="auto"/>
                        <w:left w:val="none" w:sz="0" w:space="0" w:color="auto"/>
                        <w:bottom w:val="none" w:sz="0" w:space="0" w:color="auto"/>
                        <w:right w:val="none" w:sz="0" w:space="0" w:color="auto"/>
                      </w:divBdr>
                    </w:div>
                  </w:divsChild>
                </w:div>
                <w:div w:id="1574852244">
                  <w:marLeft w:val="0"/>
                  <w:marRight w:val="0"/>
                  <w:marTop w:val="0"/>
                  <w:marBottom w:val="0"/>
                  <w:divBdr>
                    <w:top w:val="none" w:sz="0" w:space="0" w:color="auto"/>
                    <w:left w:val="none" w:sz="0" w:space="0" w:color="auto"/>
                    <w:bottom w:val="none" w:sz="0" w:space="0" w:color="auto"/>
                    <w:right w:val="none" w:sz="0" w:space="0" w:color="auto"/>
                  </w:divBdr>
                  <w:divsChild>
                    <w:div w:id="1963150594">
                      <w:marLeft w:val="0"/>
                      <w:marRight w:val="0"/>
                      <w:marTop w:val="0"/>
                      <w:marBottom w:val="0"/>
                      <w:divBdr>
                        <w:top w:val="none" w:sz="0" w:space="0" w:color="auto"/>
                        <w:left w:val="none" w:sz="0" w:space="0" w:color="auto"/>
                        <w:bottom w:val="none" w:sz="0" w:space="0" w:color="auto"/>
                        <w:right w:val="none" w:sz="0" w:space="0" w:color="auto"/>
                      </w:divBdr>
                    </w:div>
                  </w:divsChild>
                </w:div>
                <w:div w:id="1575159478">
                  <w:marLeft w:val="0"/>
                  <w:marRight w:val="0"/>
                  <w:marTop w:val="0"/>
                  <w:marBottom w:val="0"/>
                  <w:divBdr>
                    <w:top w:val="none" w:sz="0" w:space="0" w:color="auto"/>
                    <w:left w:val="none" w:sz="0" w:space="0" w:color="auto"/>
                    <w:bottom w:val="none" w:sz="0" w:space="0" w:color="auto"/>
                    <w:right w:val="none" w:sz="0" w:space="0" w:color="auto"/>
                  </w:divBdr>
                  <w:divsChild>
                    <w:div w:id="1813401434">
                      <w:marLeft w:val="0"/>
                      <w:marRight w:val="0"/>
                      <w:marTop w:val="0"/>
                      <w:marBottom w:val="0"/>
                      <w:divBdr>
                        <w:top w:val="none" w:sz="0" w:space="0" w:color="auto"/>
                        <w:left w:val="none" w:sz="0" w:space="0" w:color="auto"/>
                        <w:bottom w:val="none" w:sz="0" w:space="0" w:color="auto"/>
                        <w:right w:val="none" w:sz="0" w:space="0" w:color="auto"/>
                      </w:divBdr>
                    </w:div>
                  </w:divsChild>
                </w:div>
                <w:div w:id="1579290261">
                  <w:marLeft w:val="0"/>
                  <w:marRight w:val="0"/>
                  <w:marTop w:val="0"/>
                  <w:marBottom w:val="0"/>
                  <w:divBdr>
                    <w:top w:val="none" w:sz="0" w:space="0" w:color="auto"/>
                    <w:left w:val="none" w:sz="0" w:space="0" w:color="auto"/>
                    <w:bottom w:val="none" w:sz="0" w:space="0" w:color="auto"/>
                    <w:right w:val="none" w:sz="0" w:space="0" w:color="auto"/>
                  </w:divBdr>
                  <w:divsChild>
                    <w:div w:id="1595821711">
                      <w:marLeft w:val="0"/>
                      <w:marRight w:val="0"/>
                      <w:marTop w:val="0"/>
                      <w:marBottom w:val="0"/>
                      <w:divBdr>
                        <w:top w:val="none" w:sz="0" w:space="0" w:color="auto"/>
                        <w:left w:val="none" w:sz="0" w:space="0" w:color="auto"/>
                        <w:bottom w:val="none" w:sz="0" w:space="0" w:color="auto"/>
                        <w:right w:val="none" w:sz="0" w:space="0" w:color="auto"/>
                      </w:divBdr>
                    </w:div>
                  </w:divsChild>
                </w:div>
                <w:div w:id="1580211890">
                  <w:marLeft w:val="0"/>
                  <w:marRight w:val="0"/>
                  <w:marTop w:val="0"/>
                  <w:marBottom w:val="0"/>
                  <w:divBdr>
                    <w:top w:val="none" w:sz="0" w:space="0" w:color="auto"/>
                    <w:left w:val="none" w:sz="0" w:space="0" w:color="auto"/>
                    <w:bottom w:val="none" w:sz="0" w:space="0" w:color="auto"/>
                    <w:right w:val="none" w:sz="0" w:space="0" w:color="auto"/>
                  </w:divBdr>
                  <w:divsChild>
                    <w:div w:id="644118415">
                      <w:marLeft w:val="0"/>
                      <w:marRight w:val="0"/>
                      <w:marTop w:val="0"/>
                      <w:marBottom w:val="0"/>
                      <w:divBdr>
                        <w:top w:val="none" w:sz="0" w:space="0" w:color="auto"/>
                        <w:left w:val="none" w:sz="0" w:space="0" w:color="auto"/>
                        <w:bottom w:val="none" w:sz="0" w:space="0" w:color="auto"/>
                        <w:right w:val="none" w:sz="0" w:space="0" w:color="auto"/>
                      </w:divBdr>
                    </w:div>
                  </w:divsChild>
                </w:div>
                <w:div w:id="1595435560">
                  <w:marLeft w:val="0"/>
                  <w:marRight w:val="0"/>
                  <w:marTop w:val="0"/>
                  <w:marBottom w:val="0"/>
                  <w:divBdr>
                    <w:top w:val="none" w:sz="0" w:space="0" w:color="auto"/>
                    <w:left w:val="none" w:sz="0" w:space="0" w:color="auto"/>
                    <w:bottom w:val="none" w:sz="0" w:space="0" w:color="auto"/>
                    <w:right w:val="none" w:sz="0" w:space="0" w:color="auto"/>
                  </w:divBdr>
                  <w:divsChild>
                    <w:div w:id="1422868053">
                      <w:marLeft w:val="0"/>
                      <w:marRight w:val="0"/>
                      <w:marTop w:val="0"/>
                      <w:marBottom w:val="0"/>
                      <w:divBdr>
                        <w:top w:val="none" w:sz="0" w:space="0" w:color="auto"/>
                        <w:left w:val="none" w:sz="0" w:space="0" w:color="auto"/>
                        <w:bottom w:val="none" w:sz="0" w:space="0" w:color="auto"/>
                        <w:right w:val="none" w:sz="0" w:space="0" w:color="auto"/>
                      </w:divBdr>
                    </w:div>
                  </w:divsChild>
                </w:div>
                <w:div w:id="1653875965">
                  <w:marLeft w:val="0"/>
                  <w:marRight w:val="0"/>
                  <w:marTop w:val="0"/>
                  <w:marBottom w:val="0"/>
                  <w:divBdr>
                    <w:top w:val="none" w:sz="0" w:space="0" w:color="auto"/>
                    <w:left w:val="none" w:sz="0" w:space="0" w:color="auto"/>
                    <w:bottom w:val="none" w:sz="0" w:space="0" w:color="auto"/>
                    <w:right w:val="none" w:sz="0" w:space="0" w:color="auto"/>
                  </w:divBdr>
                  <w:divsChild>
                    <w:div w:id="910310607">
                      <w:marLeft w:val="0"/>
                      <w:marRight w:val="0"/>
                      <w:marTop w:val="0"/>
                      <w:marBottom w:val="0"/>
                      <w:divBdr>
                        <w:top w:val="none" w:sz="0" w:space="0" w:color="auto"/>
                        <w:left w:val="none" w:sz="0" w:space="0" w:color="auto"/>
                        <w:bottom w:val="none" w:sz="0" w:space="0" w:color="auto"/>
                        <w:right w:val="none" w:sz="0" w:space="0" w:color="auto"/>
                      </w:divBdr>
                    </w:div>
                  </w:divsChild>
                </w:div>
                <w:div w:id="1688366788">
                  <w:marLeft w:val="0"/>
                  <w:marRight w:val="0"/>
                  <w:marTop w:val="0"/>
                  <w:marBottom w:val="0"/>
                  <w:divBdr>
                    <w:top w:val="none" w:sz="0" w:space="0" w:color="auto"/>
                    <w:left w:val="none" w:sz="0" w:space="0" w:color="auto"/>
                    <w:bottom w:val="none" w:sz="0" w:space="0" w:color="auto"/>
                    <w:right w:val="none" w:sz="0" w:space="0" w:color="auto"/>
                  </w:divBdr>
                  <w:divsChild>
                    <w:div w:id="1558006805">
                      <w:marLeft w:val="0"/>
                      <w:marRight w:val="0"/>
                      <w:marTop w:val="0"/>
                      <w:marBottom w:val="0"/>
                      <w:divBdr>
                        <w:top w:val="none" w:sz="0" w:space="0" w:color="auto"/>
                        <w:left w:val="none" w:sz="0" w:space="0" w:color="auto"/>
                        <w:bottom w:val="none" w:sz="0" w:space="0" w:color="auto"/>
                        <w:right w:val="none" w:sz="0" w:space="0" w:color="auto"/>
                      </w:divBdr>
                    </w:div>
                  </w:divsChild>
                </w:div>
                <w:div w:id="1708068585">
                  <w:marLeft w:val="0"/>
                  <w:marRight w:val="0"/>
                  <w:marTop w:val="0"/>
                  <w:marBottom w:val="0"/>
                  <w:divBdr>
                    <w:top w:val="none" w:sz="0" w:space="0" w:color="auto"/>
                    <w:left w:val="none" w:sz="0" w:space="0" w:color="auto"/>
                    <w:bottom w:val="none" w:sz="0" w:space="0" w:color="auto"/>
                    <w:right w:val="none" w:sz="0" w:space="0" w:color="auto"/>
                  </w:divBdr>
                  <w:divsChild>
                    <w:div w:id="807943268">
                      <w:marLeft w:val="0"/>
                      <w:marRight w:val="0"/>
                      <w:marTop w:val="0"/>
                      <w:marBottom w:val="0"/>
                      <w:divBdr>
                        <w:top w:val="none" w:sz="0" w:space="0" w:color="auto"/>
                        <w:left w:val="none" w:sz="0" w:space="0" w:color="auto"/>
                        <w:bottom w:val="none" w:sz="0" w:space="0" w:color="auto"/>
                        <w:right w:val="none" w:sz="0" w:space="0" w:color="auto"/>
                      </w:divBdr>
                    </w:div>
                    <w:div w:id="1865902068">
                      <w:marLeft w:val="0"/>
                      <w:marRight w:val="0"/>
                      <w:marTop w:val="0"/>
                      <w:marBottom w:val="0"/>
                      <w:divBdr>
                        <w:top w:val="none" w:sz="0" w:space="0" w:color="auto"/>
                        <w:left w:val="none" w:sz="0" w:space="0" w:color="auto"/>
                        <w:bottom w:val="none" w:sz="0" w:space="0" w:color="auto"/>
                        <w:right w:val="none" w:sz="0" w:space="0" w:color="auto"/>
                      </w:divBdr>
                    </w:div>
                  </w:divsChild>
                </w:div>
                <w:div w:id="1710950421">
                  <w:marLeft w:val="0"/>
                  <w:marRight w:val="0"/>
                  <w:marTop w:val="0"/>
                  <w:marBottom w:val="0"/>
                  <w:divBdr>
                    <w:top w:val="none" w:sz="0" w:space="0" w:color="auto"/>
                    <w:left w:val="none" w:sz="0" w:space="0" w:color="auto"/>
                    <w:bottom w:val="none" w:sz="0" w:space="0" w:color="auto"/>
                    <w:right w:val="none" w:sz="0" w:space="0" w:color="auto"/>
                  </w:divBdr>
                  <w:divsChild>
                    <w:div w:id="1567298944">
                      <w:marLeft w:val="0"/>
                      <w:marRight w:val="0"/>
                      <w:marTop w:val="0"/>
                      <w:marBottom w:val="0"/>
                      <w:divBdr>
                        <w:top w:val="none" w:sz="0" w:space="0" w:color="auto"/>
                        <w:left w:val="none" w:sz="0" w:space="0" w:color="auto"/>
                        <w:bottom w:val="none" w:sz="0" w:space="0" w:color="auto"/>
                        <w:right w:val="none" w:sz="0" w:space="0" w:color="auto"/>
                      </w:divBdr>
                    </w:div>
                  </w:divsChild>
                </w:div>
                <w:div w:id="1735199705">
                  <w:marLeft w:val="0"/>
                  <w:marRight w:val="0"/>
                  <w:marTop w:val="0"/>
                  <w:marBottom w:val="0"/>
                  <w:divBdr>
                    <w:top w:val="none" w:sz="0" w:space="0" w:color="auto"/>
                    <w:left w:val="none" w:sz="0" w:space="0" w:color="auto"/>
                    <w:bottom w:val="none" w:sz="0" w:space="0" w:color="auto"/>
                    <w:right w:val="none" w:sz="0" w:space="0" w:color="auto"/>
                  </w:divBdr>
                  <w:divsChild>
                    <w:div w:id="1056126559">
                      <w:marLeft w:val="0"/>
                      <w:marRight w:val="0"/>
                      <w:marTop w:val="0"/>
                      <w:marBottom w:val="0"/>
                      <w:divBdr>
                        <w:top w:val="none" w:sz="0" w:space="0" w:color="auto"/>
                        <w:left w:val="none" w:sz="0" w:space="0" w:color="auto"/>
                        <w:bottom w:val="none" w:sz="0" w:space="0" w:color="auto"/>
                        <w:right w:val="none" w:sz="0" w:space="0" w:color="auto"/>
                      </w:divBdr>
                    </w:div>
                  </w:divsChild>
                </w:div>
                <w:div w:id="1750687741">
                  <w:marLeft w:val="0"/>
                  <w:marRight w:val="0"/>
                  <w:marTop w:val="0"/>
                  <w:marBottom w:val="0"/>
                  <w:divBdr>
                    <w:top w:val="none" w:sz="0" w:space="0" w:color="auto"/>
                    <w:left w:val="none" w:sz="0" w:space="0" w:color="auto"/>
                    <w:bottom w:val="none" w:sz="0" w:space="0" w:color="auto"/>
                    <w:right w:val="none" w:sz="0" w:space="0" w:color="auto"/>
                  </w:divBdr>
                  <w:divsChild>
                    <w:div w:id="576481587">
                      <w:marLeft w:val="0"/>
                      <w:marRight w:val="0"/>
                      <w:marTop w:val="0"/>
                      <w:marBottom w:val="0"/>
                      <w:divBdr>
                        <w:top w:val="none" w:sz="0" w:space="0" w:color="auto"/>
                        <w:left w:val="none" w:sz="0" w:space="0" w:color="auto"/>
                        <w:bottom w:val="none" w:sz="0" w:space="0" w:color="auto"/>
                        <w:right w:val="none" w:sz="0" w:space="0" w:color="auto"/>
                      </w:divBdr>
                    </w:div>
                  </w:divsChild>
                </w:div>
                <w:div w:id="1759907794">
                  <w:marLeft w:val="0"/>
                  <w:marRight w:val="0"/>
                  <w:marTop w:val="0"/>
                  <w:marBottom w:val="0"/>
                  <w:divBdr>
                    <w:top w:val="none" w:sz="0" w:space="0" w:color="auto"/>
                    <w:left w:val="none" w:sz="0" w:space="0" w:color="auto"/>
                    <w:bottom w:val="none" w:sz="0" w:space="0" w:color="auto"/>
                    <w:right w:val="none" w:sz="0" w:space="0" w:color="auto"/>
                  </w:divBdr>
                  <w:divsChild>
                    <w:div w:id="1069888812">
                      <w:marLeft w:val="0"/>
                      <w:marRight w:val="0"/>
                      <w:marTop w:val="0"/>
                      <w:marBottom w:val="0"/>
                      <w:divBdr>
                        <w:top w:val="none" w:sz="0" w:space="0" w:color="auto"/>
                        <w:left w:val="none" w:sz="0" w:space="0" w:color="auto"/>
                        <w:bottom w:val="none" w:sz="0" w:space="0" w:color="auto"/>
                        <w:right w:val="none" w:sz="0" w:space="0" w:color="auto"/>
                      </w:divBdr>
                    </w:div>
                  </w:divsChild>
                </w:div>
                <w:div w:id="1769540186">
                  <w:marLeft w:val="0"/>
                  <w:marRight w:val="0"/>
                  <w:marTop w:val="0"/>
                  <w:marBottom w:val="0"/>
                  <w:divBdr>
                    <w:top w:val="none" w:sz="0" w:space="0" w:color="auto"/>
                    <w:left w:val="none" w:sz="0" w:space="0" w:color="auto"/>
                    <w:bottom w:val="none" w:sz="0" w:space="0" w:color="auto"/>
                    <w:right w:val="none" w:sz="0" w:space="0" w:color="auto"/>
                  </w:divBdr>
                  <w:divsChild>
                    <w:div w:id="1529610600">
                      <w:marLeft w:val="0"/>
                      <w:marRight w:val="0"/>
                      <w:marTop w:val="0"/>
                      <w:marBottom w:val="0"/>
                      <w:divBdr>
                        <w:top w:val="none" w:sz="0" w:space="0" w:color="auto"/>
                        <w:left w:val="none" w:sz="0" w:space="0" w:color="auto"/>
                        <w:bottom w:val="none" w:sz="0" w:space="0" w:color="auto"/>
                        <w:right w:val="none" w:sz="0" w:space="0" w:color="auto"/>
                      </w:divBdr>
                    </w:div>
                  </w:divsChild>
                </w:div>
                <w:div w:id="1769614591">
                  <w:marLeft w:val="0"/>
                  <w:marRight w:val="0"/>
                  <w:marTop w:val="0"/>
                  <w:marBottom w:val="0"/>
                  <w:divBdr>
                    <w:top w:val="none" w:sz="0" w:space="0" w:color="auto"/>
                    <w:left w:val="none" w:sz="0" w:space="0" w:color="auto"/>
                    <w:bottom w:val="none" w:sz="0" w:space="0" w:color="auto"/>
                    <w:right w:val="none" w:sz="0" w:space="0" w:color="auto"/>
                  </w:divBdr>
                  <w:divsChild>
                    <w:div w:id="1446925511">
                      <w:marLeft w:val="0"/>
                      <w:marRight w:val="0"/>
                      <w:marTop w:val="0"/>
                      <w:marBottom w:val="0"/>
                      <w:divBdr>
                        <w:top w:val="none" w:sz="0" w:space="0" w:color="auto"/>
                        <w:left w:val="none" w:sz="0" w:space="0" w:color="auto"/>
                        <w:bottom w:val="none" w:sz="0" w:space="0" w:color="auto"/>
                        <w:right w:val="none" w:sz="0" w:space="0" w:color="auto"/>
                      </w:divBdr>
                    </w:div>
                  </w:divsChild>
                </w:div>
                <w:div w:id="1781413160">
                  <w:marLeft w:val="0"/>
                  <w:marRight w:val="0"/>
                  <w:marTop w:val="0"/>
                  <w:marBottom w:val="0"/>
                  <w:divBdr>
                    <w:top w:val="none" w:sz="0" w:space="0" w:color="auto"/>
                    <w:left w:val="none" w:sz="0" w:space="0" w:color="auto"/>
                    <w:bottom w:val="none" w:sz="0" w:space="0" w:color="auto"/>
                    <w:right w:val="none" w:sz="0" w:space="0" w:color="auto"/>
                  </w:divBdr>
                  <w:divsChild>
                    <w:div w:id="1964649324">
                      <w:marLeft w:val="0"/>
                      <w:marRight w:val="0"/>
                      <w:marTop w:val="0"/>
                      <w:marBottom w:val="0"/>
                      <w:divBdr>
                        <w:top w:val="none" w:sz="0" w:space="0" w:color="auto"/>
                        <w:left w:val="none" w:sz="0" w:space="0" w:color="auto"/>
                        <w:bottom w:val="none" w:sz="0" w:space="0" w:color="auto"/>
                        <w:right w:val="none" w:sz="0" w:space="0" w:color="auto"/>
                      </w:divBdr>
                    </w:div>
                  </w:divsChild>
                </w:div>
                <w:div w:id="1794135713">
                  <w:marLeft w:val="0"/>
                  <w:marRight w:val="0"/>
                  <w:marTop w:val="0"/>
                  <w:marBottom w:val="0"/>
                  <w:divBdr>
                    <w:top w:val="none" w:sz="0" w:space="0" w:color="auto"/>
                    <w:left w:val="none" w:sz="0" w:space="0" w:color="auto"/>
                    <w:bottom w:val="none" w:sz="0" w:space="0" w:color="auto"/>
                    <w:right w:val="none" w:sz="0" w:space="0" w:color="auto"/>
                  </w:divBdr>
                  <w:divsChild>
                    <w:div w:id="828669727">
                      <w:marLeft w:val="0"/>
                      <w:marRight w:val="0"/>
                      <w:marTop w:val="0"/>
                      <w:marBottom w:val="0"/>
                      <w:divBdr>
                        <w:top w:val="none" w:sz="0" w:space="0" w:color="auto"/>
                        <w:left w:val="none" w:sz="0" w:space="0" w:color="auto"/>
                        <w:bottom w:val="none" w:sz="0" w:space="0" w:color="auto"/>
                        <w:right w:val="none" w:sz="0" w:space="0" w:color="auto"/>
                      </w:divBdr>
                    </w:div>
                  </w:divsChild>
                </w:div>
                <w:div w:id="1816871015">
                  <w:marLeft w:val="0"/>
                  <w:marRight w:val="0"/>
                  <w:marTop w:val="0"/>
                  <w:marBottom w:val="0"/>
                  <w:divBdr>
                    <w:top w:val="none" w:sz="0" w:space="0" w:color="auto"/>
                    <w:left w:val="none" w:sz="0" w:space="0" w:color="auto"/>
                    <w:bottom w:val="none" w:sz="0" w:space="0" w:color="auto"/>
                    <w:right w:val="none" w:sz="0" w:space="0" w:color="auto"/>
                  </w:divBdr>
                  <w:divsChild>
                    <w:div w:id="1582988870">
                      <w:marLeft w:val="0"/>
                      <w:marRight w:val="0"/>
                      <w:marTop w:val="0"/>
                      <w:marBottom w:val="0"/>
                      <w:divBdr>
                        <w:top w:val="none" w:sz="0" w:space="0" w:color="auto"/>
                        <w:left w:val="none" w:sz="0" w:space="0" w:color="auto"/>
                        <w:bottom w:val="none" w:sz="0" w:space="0" w:color="auto"/>
                        <w:right w:val="none" w:sz="0" w:space="0" w:color="auto"/>
                      </w:divBdr>
                    </w:div>
                  </w:divsChild>
                </w:div>
                <w:div w:id="1823764917">
                  <w:marLeft w:val="0"/>
                  <w:marRight w:val="0"/>
                  <w:marTop w:val="0"/>
                  <w:marBottom w:val="0"/>
                  <w:divBdr>
                    <w:top w:val="none" w:sz="0" w:space="0" w:color="auto"/>
                    <w:left w:val="none" w:sz="0" w:space="0" w:color="auto"/>
                    <w:bottom w:val="none" w:sz="0" w:space="0" w:color="auto"/>
                    <w:right w:val="none" w:sz="0" w:space="0" w:color="auto"/>
                  </w:divBdr>
                  <w:divsChild>
                    <w:div w:id="708798547">
                      <w:marLeft w:val="0"/>
                      <w:marRight w:val="0"/>
                      <w:marTop w:val="0"/>
                      <w:marBottom w:val="0"/>
                      <w:divBdr>
                        <w:top w:val="none" w:sz="0" w:space="0" w:color="auto"/>
                        <w:left w:val="none" w:sz="0" w:space="0" w:color="auto"/>
                        <w:bottom w:val="none" w:sz="0" w:space="0" w:color="auto"/>
                        <w:right w:val="none" w:sz="0" w:space="0" w:color="auto"/>
                      </w:divBdr>
                    </w:div>
                  </w:divsChild>
                </w:div>
                <w:div w:id="1863057842">
                  <w:marLeft w:val="0"/>
                  <w:marRight w:val="0"/>
                  <w:marTop w:val="0"/>
                  <w:marBottom w:val="0"/>
                  <w:divBdr>
                    <w:top w:val="none" w:sz="0" w:space="0" w:color="auto"/>
                    <w:left w:val="none" w:sz="0" w:space="0" w:color="auto"/>
                    <w:bottom w:val="none" w:sz="0" w:space="0" w:color="auto"/>
                    <w:right w:val="none" w:sz="0" w:space="0" w:color="auto"/>
                  </w:divBdr>
                  <w:divsChild>
                    <w:div w:id="812329943">
                      <w:marLeft w:val="0"/>
                      <w:marRight w:val="0"/>
                      <w:marTop w:val="0"/>
                      <w:marBottom w:val="0"/>
                      <w:divBdr>
                        <w:top w:val="none" w:sz="0" w:space="0" w:color="auto"/>
                        <w:left w:val="none" w:sz="0" w:space="0" w:color="auto"/>
                        <w:bottom w:val="none" w:sz="0" w:space="0" w:color="auto"/>
                        <w:right w:val="none" w:sz="0" w:space="0" w:color="auto"/>
                      </w:divBdr>
                    </w:div>
                    <w:div w:id="1066143136">
                      <w:marLeft w:val="0"/>
                      <w:marRight w:val="0"/>
                      <w:marTop w:val="0"/>
                      <w:marBottom w:val="0"/>
                      <w:divBdr>
                        <w:top w:val="none" w:sz="0" w:space="0" w:color="auto"/>
                        <w:left w:val="none" w:sz="0" w:space="0" w:color="auto"/>
                        <w:bottom w:val="none" w:sz="0" w:space="0" w:color="auto"/>
                        <w:right w:val="none" w:sz="0" w:space="0" w:color="auto"/>
                      </w:divBdr>
                    </w:div>
                  </w:divsChild>
                </w:div>
                <w:div w:id="1881239862">
                  <w:marLeft w:val="0"/>
                  <w:marRight w:val="0"/>
                  <w:marTop w:val="0"/>
                  <w:marBottom w:val="0"/>
                  <w:divBdr>
                    <w:top w:val="none" w:sz="0" w:space="0" w:color="auto"/>
                    <w:left w:val="none" w:sz="0" w:space="0" w:color="auto"/>
                    <w:bottom w:val="none" w:sz="0" w:space="0" w:color="auto"/>
                    <w:right w:val="none" w:sz="0" w:space="0" w:color="auto"/>
                  </w:divBdr>
                  <w:divsChild>
                    <w:div w:id="1499349513">
                      <w:marLeft w:val="0"/>
                      <w:marRight w:val="0"/>
                      <w:marTop w:val="0"/>
                      <w:marBottom w:val="0"/>
                      <w:divBdr>
                        <w:top w:val="none" w:sz="0" w:space="0" w:color="auto"/>
                        <w:left w:val="none" w:sz="0" w:space="0" w:color="auto"/>
                        <w:bottom w:val="none" w:sz="0" w:space="0" w:color="auto"/>
                        <w:right w:val="none" w:sz="0" w:space="0" w:color="auto"/>
                      </w:divBdr>
                    </w:div>
                  </w:divsChild>
                </w:div>
                <w:div w:id="1916159535">
                  <w:marLeft w:val="0"/>
                  <w:marRight w:val="0"/>
                  <w:marTop w:val="0"/>
                  <w:marBottom w:val="0"/>
                  <w:divBdr>
                    <w:top w:val="none" w:sz="0" w:space="0" w:color="auto"/>
                    <w:left w:val="none" w:sz="0" w:space="0" w:color="auto"/>
                    <w:bottom w:val="none" w:sz="0" w:space="0" w:color="auto"/>
                    <w:right w:val="none" w:sz="0" w:space="0" w:color="auto"/>
                  </w:divBdr>
                  <w:divsChild>
                    <w:div w:id="112871799">
                      <w:marLeft w:val="0"/>
                      <w:marRight w:val="0"/>
                      <w:marTop w:val="0"/>
                      <w:marBottom w:val="0"/>
                      <w:divBdr>
                        <w:top w:val="none" w:sz="0" w:space="0" w:color="auto"/>
                        <w:left w:val="none" w:sz="0" w:space="0" w:color="auto"/>
                        <w:bottom w:val="none" w:sz="0" w:space="0" w:color="auto"/>
                        <w:right w:val="none" w:sz="0" w:space="0" w:color="auto"/>
                      </w:divBdr>
                    </w:div>
                  </w:divsChild>
                </w:div>
                <w:div w:id="1926258884">
                  <w:marLeft w:val="0"/>
                  <w:marRight w:val="0"/>
                  <w:marTop w:val="0"/>
                  <w:marBottom w:val="0"/>
                  <w:divBdr>
                    <w:top w:val="none" w:sz="0" w:space="0" w:color="auto"/>
                    <w:left w:val="none" w:sz="0" w:space="0" w:color="auto"/>
                    <w:bottom w:val="none" w:sz="0" w:space="0" w:color="auto"/>
                    <w:right w:val="none" w:sz="0" w:space="0" w:color="auto"/>
                  </w:divBdr>
                  <w:divsChild>
                    <w:div w:id="440877407">
                      <w:marLeft w:val="0"/>
                      <w:marRight w:val="0"/>
                      <w:marTop w:val="0"/>
                      <w:marBottom w:val="0"/>
                      <w:divBdr>
                        <w:top w:val="none" w:sz="0" w:space="0" w:color="auto"/>
                        <w:left w:val="none" w:sz="0" w:space="0" w:color="auto"/>
                        <w:bottom w:val="none" w:sz="0" w:space="0" w:color="auto"/>
                        <w:right w:val="none" w:sz="0" w:space="0" w:color="auto"/>
                      </w:divBdr>
                    </w:div>
                  </w:divsChild>
                </w:div>
                <w:div w:id="1946378649">
                  <w:marLeft w:val="0"/>
                  <w:marRight w:val="0"/>
                  <w:marTop w:val="0"/>
                  <w:marBottom w:val="0"/>
                  <w:divBdr>
                    <w:top w:val="none" w:sz="0" w:space="0" w:color="auto"/>
                    <w:left w:val="none" w:sz="0" w:space="0" w:color="auto"/>
                    <w:bottom w:val="none" w:sz="0" w:space="0" w:color="auto"/>
                    <w:right w:val="none" w:sz="0" w:space="0" w:color="auto"/>
                  </w:divBdr>
                  <w:divsChild>
                    <w:div w:id="1333028133">
                      <w:marLeft w:val="0"/>
                      <w:marRight w:val="0"/>
                      <w:marTop w:val="0"/>
                      <w:marBottom w:val="0"/>
                      <w:divBdr>
                        <w:top w:val="none" w:sz="0" w:space="0" w:color="auto"/>
                        <w:left w:val="none" w:sz="0" w:space="0" w:color="auto"/>
                        <w:bottom w:val="none" w:sz="0" w:space="0" w:color="auto"/>
                        <w:right w:val="none" w:sz="0" w:space="0" w:color="auto"/>
                      </w:divBdr>
                    </w:div>
                  </w:divsChild>
                </w:div>
                <w:div w:id="1950164660">
                  <w:marLeft w:val="0"/>
                  <w:marRight w:val="0"/>
                  <w:marTop w:val="0"/>
                  <w:marBottom w:val="0"/>
                  <w:divBdr>
                    <w:top w:val="none" w:sz="0" w:space="0" w:color="auto"/>
                    <w:left w:val="none" w:sz="0" w:space="0" w:color="auto"/>
                    <w:bottom w:val="none" w:sz="0" w:space="0" w:color="auto"/>
                    <w:right w:val="none" w:sz="0" w:space="0" w:color="auto"/>
                  </w:divBdr>
                  <w:divsChild>
                    <w:div w:id="1429347636">
                      <w:marLeft w:val="0"/>
                      <w:marRight w:val="0"/>
                      <w:marTop w:val="0"/>
                      <w:marBottom w:val="0"/>
                      <w:divBdr>
                        <w:top w:val="none" w:sz="0" w:space="0" w:color="auto"/>
                        <w:left w:val="none" w:sz="0" w:space="0" w:color="auto"/>
                        <w:bottom w:val="none" w:sz="0" w:space="0" w:color="auto"/>
                        <w:right w:val="none" w:sz="0" w:space="0" w:color="auto"/>
                      </w:divBdr>
                    </w:div>
                  </w:divsChild>
                </w:div>
                <w:div w:id="1963808275">
                  <w:marLeft w:val="0"/>
                  <w:marRight w:val="0"/>
                  <w:marTop w:val="0"/>
                  <w:marBottom w:val="0"/>
                  <w:divBdr>
                    <w:top w:val="none" w:sz="0" w:space="0" w:color="auto"/>
                    <w:left w:val="none" w:sz="0" w:space="0" w:color="auto"/>
                    <w:bottom w:val="none" w:sz="0" w:space="0" w:color="auto"/>
                    <w:right w:val="none" w:sz="0" w:space="0" w:color="auto"/>
                  </w:divBdr>
                  <w:divsChild>
                    <w:div w:id="11303891">
                      <w:marLeft w:val="0"/>
                      <w:marRight w:val="0"/>
                      <w:marTop w:val="0"/>
                      <w:marBottom w:val="0"/>
                      <w:divBdr>
                        <w:top w:val="none" w:sz="0" w:space="0" w:color="auto"/>
                        <w:left w:val="none" w:sz="0" w:space="0" w:color="auto"/>
                        <w:bottom w:val="none" w:sz="0" w:space="0" w:color="auto"/>
                        <w:right w:val="none" w:sz="0" w:space="0" w:color="auto"/>
                      </w:divBdr>
                    </w:div>
                  </w:divsChild>
                </w:div>
                <w:div w:id="1971009104">
                  <w:marLeft w:val="0"/>
                  <w:marRight w:val="0"/>
                  <w:marTop w:val="0"/>
                  <w:marBottom w:val="0"/>
                  <w:divBdr>
                    <w:top w:val="none" w:sz="0" w:space="0" w:color="auto"/>
                    <w:left w:val="none" w:sz="0" w:space="0" w:color="auto"/>
                    <w:bottom w:val="none" w:sz="0" w:space="0" w:color="auto"/>
                    <w:right w:val="none" w:sz="0" w:space="0" w:color="auto"/>
                  </w:divBdr>
                  <w:divsChild>
                    <w:div w:id="82917012">
                      <w:marLeft w:val="0"/>
                      <w:marRight w:val="0"/>
                      <w:marTop w:val="0"/>
                      <w:marBottom w:val="0"/>
                      <w:divBdr>
                        <w:top w:val="none" w:sz="0" w:space="0" w:color="auto"/>
                        <w:left w:val="none" w:sz="0" w:space="0" w:color="auto"/>
                        <w:bottom w:val="none" w:sz="0" w:space="0" w:color="auto"/>
                        <w:right w:val="none" w:sz="0" w:space="0" w:color="auto"/>
                      </w:divBdr>
                    </w:div>
                  </w:divsChild>
                </w:div>
                <w:div w:id="1984768570">
                  <w:marLeft w:val="0"/>
                  <w:marRight w:val="0"/>
                  <w:marTop w:val="0"/>
                  <w:marBottom w:val="0"/>
                  <w:divBdr>
                    <w:top w:val="none" w:sz="0" w:space="0" w:color="auto"/>
                    <w:left w:val="none" w:sz="0" w:space="0" w:color="auto"/>
                    <w:bottom w:val="none" w:sz="0" w:space="0" w:color="auto"/>
                    <w:right w:val="none" w:sz="0" w:space="0" w:color="auto"/>
                  </w:divBdr>
                  <w:divsChild>
                    <w:div w:id="199510571">
                      <w:marLeft w:val="0"/>
                      <w:marRight w:val="0"/>
                      <w:marTop w:val="0"/>
                      <w:marBottom w:val="0"/>
                      <w:divBdr>
                        <w:top w:val="none" w:sz="0" w:space="0" w:color="auto"/>
                        <w:left w:val="none" w:sz="0" w:space="0" w:color="auto"/>
                        <w:bottom w:val="none" w:sz="0" w:space="0" w:color="auto"/>
                        <w:right w:val="none" w:sz="0" w:space="0" w:color="auto"/>
                      </w:divBdr>
                    </w:div>
                  </w:divsChild>
                </w:div>
                <w:div w:id="2022778017">
                  <w:marLeft w:val="0"/>
                  <w:marRight w:val="0"/>
                  <w:marTop w:val="0"/>
                  <w:marBottom w:val="0"/>
                  <w:divBdr>
                    <w:top w:val="none" w:sz="0" w:space="0" w:color="auto"/>
                    <w:left w:val="none" w:sz="0" w:space="0" w:color="auto"/>
                    <w:bottom w:val="none" w:sz="0" w:space="0" w:color="auto"/>
                    <w:right w:val="none" w:sz="0" w:space="0" w:color="auto"/>
                  </w:divBdr>
                  <w:divsChild>
                    <w:div w:id="822312955">
                      <w:marLeft w:val="0"/>
                      <w:marRight w:val="0"/>
                      <w:marTop w:val="0"/>
                      <w:marBottom w:val="0"/>
                      <w:divBdr>
                        <w:top w:val="none" w:sz="0" w:space="0" w:color="auto"/>
                        <w:left w:val="none" w:sz="0" w:space="0" w:color="auto"/>
                        <w:bottom w:val="none" w:sz="0" w:space="0" w:color="auto"/>
                        <w:right w:val="none" w:sz="0" w:space="0" w:color="auto"/>
                      </w:divBdr>
                    </w:div>
                  </w:divsChild>
                </w:div>
                <w:div w:id="2040617896">
                  <w:marLeft w:val="0"/>
                  <w:marRight w:val="0"/>
                  <w:marTop w:val="0"/>
                  <w:marBottom w:val="0"/>
                  <w:divBdr>
                    <w:top w:val="none" w:sz="0" w:space="0" w:color="auto"/>
                    <w:left w:val="none" w:sz="0" w:space="0" w:color="auto"/>
                    <w:bottom w:val="none" w:sz="0" w:space="0" w:color="auto"/>
                    <w:right w:val="none" w:sz="0" w:space="0" w:color="auto"/>
                  </w:divBdr>
                  <w:divsChild>
                    <w:div w:id="778179278">
                      <w:marLeft w:val="0"/>
                      <w:marRight w:val="0"/>
                      <w:marTop w:val="0"/>
                      <w:marBottom w:val="0"/>
                      <w:divBdr>
                        <w:top w:val="none" w:sz="0" w:space="0" w:color="auto"/>
                        <w:left w:val="none" w:sz="0" w:space="0" w:color="auto"/>
                        <w:bottom w:val="none" w:sz="0" w:space="0" w:color="auto"/>
                        <w:right w:val="none" w:sz="0" w:space="0" w:color="auto"/>
                      </w:divBdr>
                    </w:div>
                  </w:divsChild>
                </w:div>
                <w:div w:id="2070497569">
                  <w:marLeft w:val="0"/>
                  <w:marRight w:val="0"/>
                  <w:marTop w:val="0"/>
                  <w:marBottom w:val="0"/>
                  <w:divBdr>
                    <w:top w:val="none" w:sz="0" w:space="0" w:color="auto"/>
                    <w:left w:val="none" w:sz="0" w:space="0" w:color="auto"/>
                    <w:bottom w:val="none" w:sz="0" w:space="0" w:color="auto"/>
                    <w:right w:val="none" w:sz="0" w:space="0" w:color="auto"/>
                  </w:divBdr>
                  <w:divsChild>
                    <w:div w:id="430131859">
                      <w:marLeft w:val="0"/>
                      <w:marRight w:val="0"/>
                      <w:marTop w:val="0"/>
                      <w:marBottom w:val="0"/>
                      <w:divBdr>
                        <w:top w:val="none" w:sz="0" w:space="0" w:color="auto"/>
                        <w:left w:val="none" w:sz="0" w:space="0" w:color="auto"/>
                        <w:bottom w:val="none" w:sz="0" w:space="0" w:color="auto"/>
                        <w:right w:val="none" w:sz="0" w:space="0" w:color="auto"/>
                      </w:divBdr>
                    </w:div>
                  </w:divsChild>
                </w:div>
                <w:div w:id="2087652207">
                  <w:marLeft w:val="0"/>
                  <w:marRight w:val="0"/>
                  <w:marTop w:val="0"/>
                  <w:marBottom w:val="0"/>
                  <w:divBdr>
                    <w:top w:val="none" w:sz="0" w:space="0" w:color="auto"/>
                    <w:left w:val="none" w:sz="0" w:space="0" w:color="auto"/>
                    <w:bottom w:val="none" w:sz="0" w:space="0" w:color="auto"/>
                    <w:right w:val="none" w:sz="0" w:space="0" w:color="auto"/>
                  </w:divBdr>
                  <w:divsChild>
                    <w:div w:id="432819622">
                      <w:marLeft w:val="0"/>
                      <w:marRight w:val="0"/>
                      <w:marTop w:val="0"/>
                      <w:marBottom w:val="0"/>
                      <w:divBdr>
                        <w:top w:val="none" w:sz="0" w:space="0" w:color="auto"/>
                        <w:left w:val="none" w:sz="0" w:space="0" w:color="auto"/>
                        <w:bottom w:val="none" w:sz="0" w:space="0" w:color="auto"/>
                        <w:right w:val="none" w:sz="0" w:space="0" w:color="auto"/>
                      </w:divBdr>
                    </w:div>
                  </w:divsChild>
                </w:div>
                <w:div w:id="2088653438">
                  <w:marLeft w:val="0"/>
                  <w:marRight w:val="0"/>
                  <w:marTop w:val="0"/>
                  <w:marBottom w:val="0"/>
                  <w:divBdr>
                    <w:top w:val="none" w:sz="0" w:space="0" w:color="auto"/>
                    <w:left w:val="none" w:sz="0" w:space="0" w:color="auto"/>
                    <w:bottom w:val="none" w:sz="0" w:space="0" w:color="auto"/>
                    <w:right w:val="none" w:sz="0" w:space="0" w:color="auto"/>
                  </w:divBdr>
                  <w:divsChild>
                    <w:div w:id="1307321550">
                      <w:marLeft w:val="0"/>
                      <w:marRight w:val="0"/>
                      <w:marTop w:val="0"/>
                      <w:marBottom w:val="0"/>
                      <w:divBdr>
                        <w:top w:val="none" w:sz="0" w:space="0" w:color="auto"/>
                        <w:left w:val="none" w:sz="0" w:space="0" w:color="auto"/>
                        <w:bottom w:val="none" w:sz="0" w:space="0" w:color="auto"/>
                        <w:right w:val="none" w:sz="0" w:space="0" w:color="auto"/>
                      </w:divBdr>
                    </w:div>
                  </w:divsChild>
                </w:div>
                <w:div w:id="2122261819">
                  <w:marLeft w:val="0"/>
                  <w:marRight w:val="0"/>
                  <w:marTop w:val="0"/>
                  <w:marBottom w:val="0"/>
                  <w:divBdr>
                    <w:top w:val="none" w:sz="0" w:space="0" w:color="auto"/>
                    <w:left w:val="none" w:sz="0" w:space="0" w:color="auto"/>
                    <w:bottom w:val="none" w:sz="0" w:space="0" w:color="auto"/>
                    <w:right w:val="none" w:sz="0" w:space="0" w:color="auto"/>
                  </w:divBdr>
                  <w:divsChild>
                    <w:div w:id="1305893007">
                      <w:marLeft w:val="0"/>
                      <w:marRight w:val="0"/>
                      <w:marTop w:val="0"/>
                      <w:marBottom w:val="0"/>
                      <w:divBdr>
                        <w:top w:val="none" w:sz="0" w:space="0" w:color="auto"/>
                        <w:left w:val="none" w:sz="0" w:space="0" w:color="auto"/>
                        <w:bottom w:val="none" w:sz="0" w:space="0" w:color="auto"/>
                        <w:right w:val="none" w:sz="0" w:space="0" w:color="auto"/>
                      </w:divBdr>
                    </w:div>
                  </w:divsChild>
                </w:div>
                <w:div w:id="2140105860">
                  <w:marLeft w:val="0"/>
                  <w:marRight w:val="0"/>
                  <w:marTop w:val="0"/>
                  <w:marBottom w:val="0"/>
                  <w:divBdr>
                    <w:top w:val="none" w:sz="0" w:space="0" w:color="auto"/>
                    <w:left w:val="none" w:sz="0" w:space="0" w:color="auto"/>
                    <w:bottom w:val="none" w:sz="0" w:space="0" w:color="auto"/>
                    <w:right w:val="none" w:sz="0" w:space="0" w:color="auto"/>
                  </w:divBdr>
                  <w:divsChild>
                    <w:div w:id="1528135152">
                      <w:marLeft w:val="0"/>
                      <w:marRight w:val="0"/>
                      <w:marTop w:val="0"/>
                      <w:marBottom w:val="0"/>
                      <w:divBdr>
                        <w:top w:val="none" w:sz="0" w:space="0" w:color="auto"/>
                        <w:left w:val="none" w:sz="0" w:space="0" w:color="auto"/>
                        <w:bottom w:val="none" w:sz="0" w:space="0" w:color="auto"/>
                        <w:right w:val="none" w:sz="0" w:space="0" w:color="auto"/>
                      </w:divBdr>
                    </w:div>
                  </w:divsChild>
                </w:div>
                <w:div w:id="2143231300">
                  <w:marLeft w:val="0"/>
                  <w:marRight w:val="0"/>
                  <w:marTop w:val="0"/>
                  <w:marBottom w:val="0"/>
                  <w:divBdr>
                    <w:top w:val="none" w:sz="0" w:space="0" w:color="auto"/>
                    <w:left w:val="none" w:sz="0" w:space="0" w:color="auto"/>
                    <w:bottom w:val="none" w:sz="0" w:space="0" w:color="auto"/>
                    <w:right w:val="none" w:sz="0" w:space="0" w:color="auto"/>
                  </w:divBdr>
                  <w:divsChild>
                    <w:div w:id="5138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099131">
          <w:marLeft w:val="0"/>
          <w:marRight w:val="0"/>
          <w:marTop w:val="0"/>
          <w:marBottom w:val="0"/>
          <w:divBdr>
            <w:top w:val="none" w:sz="0" w:space="0" w:color="auto"/>
            <w:left w:val="none" w:sz="0" w:space="0" w:color="auto"/>
            <w:bottom w:val="none" w:sz="0" w:space="0" w:color="auto"/>
            <w:right w:val="none" w:sz="0" w:space="0" w:color="auto"/>
          </w:divBdr>
        </w:div>
        <w:div w:id="595938455">
          <w:marLeft w:val="0"/>
          <w:marRight w:val="0"/>
          <w:marTop w:val="0"/>
          <w:marBottom w:val="0"/>
          <w:divBdr>
            <w:top w:val="none" w:sz="0" w:space="0" w:color="auto"/>
            <w:left w:val="none" w:sz="0" w:space="0" w:color="auto"/>
            <w:bottom w:val="none" w:sz="0" w:space="0" w:color="auto"/>
            <w:right w:val="none" w:sz="0" w:space="0" w:color="auto"/>
          </w:divBdr>
        </w:div>
        <w:div w:id="616908233">
          <w:marLeft w:val="0"/>
          <w:marRight w:val="0"/>
          <w:marTop w:val="0"/>
          <w:marBottom w:val="0"/>
          <w:divBdr>
            <w:top w:val="none" w:sz="0" w:space="0" w:color="auto"/>
            <w:left w:val="none" w:sz="0" w:space="0" w:color="auto"/>
            <w:bottom w:val="none" w:sz="0" w:space="0" w:color="auto"/>
            <w:right w:val="none" w:sz="0" w:space="0" w:color="auto"/>
          </w:divBdr>
        </w:div>
        <w:div w:id="626356853">
          <w:marLeft w:val="0"/>
          <w:marRight w:val="0"/>
          <w:marTop w:val="0"/>
          <w:marBottom w:val="0"/>
          <w:divBdr>
            <w:top w:val="none" w:sz="0" w:space="0" w:color="auto"/>
            <w:left w:val="none" w:sz="0" w:space="0" w:color="auto"/>
            <w:bottom w:val="none" w:sz="0" w:space="0" w:color="auto"/>
            <w:right w:val="none" w:sz="0" w:space="0" w:color="auto"/>
          </w:divBdr>
          <w:divsChild>
            <w:div w:id="160194508">
              <w:marLeft w:val="0"/>
              <w:marRight w:val="0"/>
              <w:marTop w:val="0"/>
              <w:marBottom w:val="0"/>
              <w:divBdr>
                <w:top w:val="none" w:sz="0" w:space="0" w:color="auto"/>
                <w:left w:val="none" w:sz="0" w:space="0" w:color="auto"/>
                <w:bottom w:val="none" w:sz="0" w:space="0" w:color="auto"/>
                <w:right w:val="none" w:sz="0" w:space="0" w:color="auto"/>
              </w:divBdr>
            </w:div>
            <w:div w:id="321275397">
              <w:marLeft w:val="0"/>
              <w:marRight w:val="0"/>
              <w:marTop w:val="0"/>
              <w:marBottom w:val="0"/>
              <w:divBdr>
                <w:top w:val="none" w:sz="0" w:space="0" w:color="auto"/>
                <w:left w:val="none" w:sz="0" w:space="0" w:color="auto"/>
                <w:bottom w:val="none" w:sz="0" w:space="0" w:color="auto"/>
                <w:right w:val="none" w:sz="0" w:space="0" w:color="auto"/>
              </w:divBdr>
            </w:div>
            <w:div w:id="370426228">
              <w:marLeft w:val="0"/>
              <w:marRight w:val="0"/>
              <w:marTop w:val="0"/>
              <w:marBottom w:val="0"/>
              <w:divBdr>
                <w:top w:val="none" w:sz="0" w:space="0" w:color="auto"/>
                <w:left w:val="none" w:sz="0" w:space="0" w:color="auto"/>
                <w:bottom w:val="none" w:sz="0" w:space="0" w:color="auto"/>
                <w:right w:val="none" w:sz="0" w:space="0" w:color="auto"/>
              </w:divBdr>
            </w:div>
            <w:div w:id="478301660">
              <w:marLeft w:val="0"/>
              <w:marRight w:val="0"/>
              <w:marTop w:val="0"/>
              <w:marBottom w:val="0"/>
              <w:divBdr>
                <w:top w:val="none" w:sz="0" w:space="0" w:color="auto"/>
                <w:left w:val="none" w:sz="0" w:space="0" w:color="auto"/>
                <w:bottom w:val="none" w:sz="0" w:space="0" w:color="auto"/>
                <w:right w:val="none" w:sz="0" w:space="0" w:color="auto"/>
              </w:divBdr>
            </w:div>
            <w:div w:id="491481900">
              <w:marLeft w:val="0"/>
              <w:marRight w:val="0"/>
              <w:marTop w:val="0"/>
              <w:marBottom w:val="0"/>
              <w:divBdr>
                <w:top w:val="none" w:sz="0" w:space="0" w:color="auto"/>
                <w:left w:val="none" w:sz="0" w:space="0" w:color="auto"/>
                <w:bottom w:val="none" w:sz="0" w:space="0" w:color="auto"/>
                <w:right w:val="none" w:sz="0" w:space="0" w:color="auto"/>
              </w:divBdr>
            </w:div>
            <w:div w:id="515965031">
              <w:marLeft w:val="0"/>
              <w:marRight w:val="0"/>
              <w:marTop w:val="0"/>
              <w:marBottom w:val="0"/>
              <w:divBdr>
                <w:top w:val="none" w:sz="0" w:space="0" w:color="auto"/>
                <w:left w:val="none" w:sz="0" w:space="0" w:color="auto"/>
                <w:bottom w:val="none" w:sz="0" w:space="0" w:color="auto"/>
                <w:right w:val="none" w:sz="0" w:space="0" w:color="auto"/>
              </w:divBdr>
            </w:div>
            <w:div w:id="621959068">
              <w:marLeft w:val="0"/>
              <w:marRight w:val="0"/>
              <w:marTop w:val="0"/>
              <w:marBottom w:val="0"/>
              <w:divBdr>
                <w:top w:val="none" w:sz="0" w:space="0" w:color="auto"/>
                <w:left w:val="none" w:sz="0" w:space="0" w:color="auto"/>
                <w:bottom w:val="none" w:sz="0" w:space="0" w:color="auto"/>
                <w:right w:val="none" w:sz="0" w:space="0" w:color="auto"/>
              </w:divBdr>
            </w:div>
            <w:div w:id="672224431">
              <w:marLeft w:val="0"/>
              <w:marRight w:val="0"/>
              <w:marTop w:val="0"/>
              <w:marBottom w:val="0"/>
              <w:divBdr>
                <w:top w:val="none" w:sz="0" w:space="0" w:color="auto"/>
                <w:left w:val="none" w:sz="0" w:space="0" w:color="auto"/>
                <w:bottom w:val="none" w:sz="0" w:space="0" w:color="auto"/>
                <w:right w:val="none" w:sz="0" w:space="0" w:color="auto"/>
              </w:divBdr>
            </w:div>
            <w:div w:id="698436550">
              <w:marLeft w:val="0"/>
              <w:marRight w:val="0"/>
              <w:marTop w:val="0"/>
              <w:marBottom w:val="0"/>
              <w:divBdr>
                <w:top w:val="none" w:sz="0" w:space="0" w:color="auto"/>
                <w:left w:val="none" w:sz="0" w:space="0" w:color="auto"/>
                <w:bottom w:val="none" w:sz="0" w:space="0" w:color="auto"/>
                <w:right w:val="none" w:sz="0" w:space="0" w:color="auto"/>
              </w:divBdr>
            </w:div>
            <w:div w:id="772553620">
              <w:marLeft w:val="0"/>
              <w:marRight w:val="0"/>
              <w:marTop w:val="0"/>
              <w:marBottom w:val="0"/>
              <w:divBdr>
                <w:top w:val="none" w:sz="0" w:space="0" w:color="auto"/>
                <w:left w:val="none" w:sz="0" w:space="0" w:color="auto"/>
                <w:bottom w:val="none" w:sz="0" w:space="0" w:color="auto"/>
                <w:right w:val="none" w:sz="0" w:space="0" w:color="auto"/>
              </w:divBdr>
            </w:div>
            <w:div w:id="1035077464">
              <w:marLeft w:val="0"/>
              <w:marRight w:val="0"/>
              <w:marTop w:val="0"/>
              <w:marBottom w:val="0"/>
              <w:divBdr>
                <w:top w:val="none" w:sz="0" w:space="0" w:color="auto"/>
                <w:left w:val="none" w:sz="0" w:space="0" w:color="auto"/>
                <w:bottom w:val="none" w:sz="0" w:space="0" w:color="auto"/>
                <w:right w:val="none" w:sz="0" w:space="0" w:color="auto"/>
              </w:divBdr>
            </w:div>
            <w:div w:id="1142891410">
              <w:marLeft w:val="0"/>
              <w:marRight w:val="0"/>
              <w:marTop w:val="0"/>
              <w:marBottom w:val="0"/>
              <w:divBdr>
                <w:top w:val="none" w:sz="0" w:space="0" w:color="auto"/>
                <w:left w:val="none" w:sz="0" w:space="0" w:color="auto"/>
                <w:bottom w:val="none" w:sz="0" w:space="0" w:color="auto"/>
                <w:right w:val="none" w:sz="0" w:space="0" w:color="auto"/>
              </w:divBdr>
            </w:div>
            <w:div w:id="1347562944">
              <w:marLeft w:val="0"/>
              <w:marRight w:val="0"/>
              <w:marTop w:val="0"/>
              <w:marBottom w:val="0"/>
              <w:divBdr>
                <w:top w:val="none" w:sz="0" w:space="0" w:color="auto"/>
                <w:left w:val="none" w:sz="0" w:space="0" w:color="auto"/>
                <w:bottom w:val="none" w:sz="0" w:space="0" w:color="auto"/>
                <w:right w:val="none" w:sz="0" w:space="0" w:color="auto"/>
              </w:divBdr>
            </w:div>
            <w:div w:id="1466654688">
              <w:marLeft w:val="0"/>
              <w:marRight w:val="0"/>
              <w:marTop w:val="0"/>
              <w:marBottom w:val="0"/>
              <w:divBdr>
                <w:top w:val="none" w:sz="0" w:space="0" w:color="auto"/>
                <w:left w:val="none" w:sz="0" w:space="0" w:color="auto"/>
                <w:bottom w:val="none" w:sz="0" w:space="0" w:color="auto"/>
                <w:right w:val="none" w:sz="0" w:space="0" w:color="auto"/>
              </w:divBdr>
            </w:div>
            <w:div w:id="1477720730">
              <w:marLeft w:val="0"/>
              <w:marRight w:val="0"/>
              <w:marTop w:val="0"/>
              <w:marBottom w:val="0"/>
              <w:divBdr>
                <w:top w:val="none" w:sz="0" w:space="0" w:color="auto"/>
                <w:left w:val="none" w:sz="0" w:space="0" w:color="auto"/>
                <w:bottom w:val="none" w:sz="0" w:space="0" w:color="auto"/>
                <w:right w:val="none" w:sz="0" w:space="0" w:color="auto"/>
              </w:divBdr>
            </w:div>
            <w:div w:id="1937715094">
              <w:marLeft w:val="0"/>
              <w:marRight w:val="0"/>
              <w:marTop w:val="0"/>
              <w:marBottom w:val="0"/>
              <w:divBdr>
                <w:top w:val="none" w:sz="0" w:space="0" w:color="auto"/>
                <w:left w:val="none" w:sz="0" w:space="0" w:color="auto"/>
                <w:bottom w:val="none" w:sz="0" w:space="0" w:color="auto"/>
                <w:right w:val="none" w:sz="0" w:space="0" w:color="auto"/>
              </w:divBdr>
            </w:div>
          </w:divsChild>
        </w:div>
        <w:div w:id="632829081">
          <w:marLeft w:val="0"/>
          <w:marRight w:val="0"/>
          <w:marTop w:val="0"/>
          <w:marBottom w:val="0"/>
          <w:divBdr>
            <w:top w:val="none" w:sz="0" w:space="0" w:color="auto"/>
            <w:left w:val="none" w:sz="0" w:space="0" w:color="auto"/>
            <w:bottom w:val="none" w:sz="0" w:space="0" w:color="auto"/>
            <w:right w:val="none" w:sz="0" w:space="0" w:color="auto"/>
          </w:divBdr>
          <w:divsChild>
            <w:div w:id="175577174">
              <w:marLeft w:val="0"/>
              <w:marRight w:val="0"/>
              <w:marTop w:val="0"/>
              <w:marBottom w:val="0"/>
              <w:divBdr>
                <w:top w:val="none" w:sz="0" w:space="0" w:color="auto"/>
                <w:left w:val="none" w:sz="0" w:space="0" w:color="auto"/>
                <w:bottom w:val="none" w:sz="0" w:space="0" w:color="auto"/>
                <w:right w:val="none" w:sz="0" w:space="0" w:color="auto"/>
              </w:divBdr>
            </w:div>
            <w:div w:id="485778510">
              <w:marLeft w:val="0"/>
              <w:marRight w:val="0"/>
              <w:marTop w:val="0"/>
              <w:marBottom w:val="0"/>
              <w:divBdr>
                <w:top w:val="none" w:sz="0" w:space="0" w:color="auto"/>
                <w:left w:val="none" w:sz="0" w:space="0" w:color="auto"/>
                <w:bottom w:val="none" w:sz="0" w:space="0" w:color="auto"/>
                <w:right w:val="none" w:sz="0" w:space="0" w:color="auto"/>
              </w:divBdr>
            </w:div>
            <w:div w:id="1065688117">
              <w:marLeft w:val="0"/>
              <w:marRight w:val="0"/>
              <w:marTop w:val="0"/>
              <w:marBottom w:val="0"/>
              <w:divBdr>
                <w:top w:val="none" w:sz="0" w:space="0" w:color="auto"/>
                <w:left w:val="none" w:sz="0" w:space="0" w:color="auto"/>
                <w:bottom w:val="none" w:sz="0" w:space="0" w:color="auto"/>
                <w:right w:val="none" w:sz="0" w:space="0" w:color="auto"/>
              </w:divBdr>
            </w:div>
            <w:div w:id="1828979769">
              <w:marLeft w:val="0"/>
              <w:marRight w:val="0"/>
              <w:marTop w:val="0"/>
              <w:marBottom w:val="0"/>
              <w:divBdr>
                <w:top w:val="none" w:sz="0" w:space="0" w:color="auto"/>
                <w:left w:val="none" w:sz="0" w:space="0" w:color="auto"/>
                <w:bottom w:val="none" w:sz="0" w:space="0" w:color="auto"/>
                <w:right w:val="none" w:sz="0" w:space="0" w:color="auto"/>
              </w:divBdr>
            </w:div>
          </w:divsChild>
        </w:div>
        <w:div w:id="634141366">
          <w:marLeft w:val="0"/>
          <w:marRight w:val="0"/>
          <w:marTop w:val="0"/>
          <w:marBottom w:val="0"/>
          <w:divBdr>
            <w:top w:val="none" w:sz="0" w:space="0" w:color="auto"/>
            <w:left w:val="none" w:sz="0" w:space="0" w:color="auto"/>
            <w:bottom w:val="none" w:sz="0" w:space="0" w:color="auto"/>
            <w:right w:val="none" w:sz="0" w:space="0" w:color="auto"/>
          </w:divBdr>
          <w:divsChild>
            <w:div w:id="236595893">
              <w:marLeft w:val="0"/>
              <w:marRight w:val="0"/>
              <w:marTop w:val="0"/>
              <w:marBottom w:val="0"/>
              <w:divBdr>
                <w:top w:val="none" w:sz="0" w:space="0" w:color="auto"/>
                <w:left w:val="none" w:sz="0" w:space="0" w:color="auto"/>
                <w:bottom w:val="none" w:sz="0" w:space="0" w:color="auto"/>
                <w:right w:val="none" w:sz="0" w:space="0" w:color="auto"/>
              </w:divBdr>
            </w:div>
            <w:div w:id="385184740">
              <w:marLeft w:val="0"/>
              <w:marRight w:val="0"/>
              <w:marTop w:val="0"/>
              <w:marBottom w:val="0"/>
              <w:divBdr>
                <w:top w:val="none" w:sz="0" w:space="0" w:color="auto"/>
                <w:left w:val="none" w:sz="0" w:space="0" w:color="auto"/>
                <w:bottom w:val="none" w:sz="0" w:space="0" w:color="auto"/>
                <w:right w:val="none" w:sz="0" w:space="0" w:color="auto"/>
              </w:divBdr>
            </w:div>
            <w:div w:id="963927605">
              <w:marLeft w:val="0"/>
              <w:marRight w:val="0"/>
              <w:marTop w:val="0"/>
              <w:marBottom w:val="0"/>
              <w:divBdr>
                <w:top w:val="none" w:sz="0" w:space="0" w:color="auto"/>
                <w:left w:val="none" w:sz="0" w:space="0" w:color="auto"/>
                <w:bottom w:val="none" w:sz="0" w:space="0" w:color="auto"/>
                <w:right w:val="none" w:sz="0" w:space="0" w:color="auto"/>
              </w:divBdr>
            </w:div>
            <w:div w:id="1670405615">
              <w:marLeft w:val="0"/>
              <w:marRight w:val="0"/>
              <w:marTop w:val="0"/>
              <w:marBottom w:val="0"/>
              <w:divBdr>
                <w:top w:val="none" w:sz="0" w:space="0" w:color="auto"/>
                <w:left w:val="none" w:sz="0" w:space="0" w:color="auto"/>
                <w:bottom w:val="none" w:sz="0" w:space="0" w:color="auto"/>
                <w:right w:val="none" w:sz="0" w:space="0" w:color="auto"/>
              </w:divBdr>
            </w:div>
            <w:div w:id="1680883386">
              <w:marLeft w:val="0"/>
              <w:marRight w:val="0"/>
              <w:marTop w:val="0"/>
              <w:marBottom w:val="0"/>
              <w:divBdr>
                <w:top w:val="none" w:sz="0" w:space="0" w:color="auto"/>
                <w:left w:val="none" w:sz="0" w:space="0" w:color="auto"/>
                <w:bottom w:val="none" w:sz="0" w:space="0" w:color="auto"/>
                <w:right w:val="none" w:sz="0" w:space="0" w:color="auto"/>
              </w:divBdr>
            </w:div>
            <w:div w:id="1771588090">
              <w:marLeft w:val="0"/>
              <w:marRight w:val="0"/>
              <w:marTop w:val="0"/>
              <w:marBottom w:val="0"/>
              <w:divBdr>
                <w:top w:val="none" w:sz="0" w:space="0" w:color="auto"/>
                <w:left w:val="none" w:sz="0" w:space="0" w:color="auto"/>
                <w:bottom w:val="none" w:sz="0" w:space="0" w:color="auto"/>
                <w:right w:val="none" w:sz="0" w:space="0" w:color="auto"/>
              </w:divBdr>
            </w:div>
            <w:div w:id="1875196273">
              <w:marLeft w:val="0"/>
              <w:marRight w:val="0"/>
              <w:marTop w:val="0"/>
              <w:marBottom w:val="0"/>
              <w:divBdr>
                <w:top w:val="none" w:sz="0" w:space="0" w:color="auto"/>
                <w:left w:val="none" w:sz="0" w:space="0" w:color="auto"/>
                <w:bottom w:val="none" w:sz="0" w:space="0" w:color="auto"/>
                <w:right w:val="none" w:sz="0" w:space="0" w:color="auto"/>
              </w:divBdr>
            </w:div>
            <w:div w:id="1911114516">
              <w:marLeft w:val="0"/>
              <w:marRight w:val="0"/>
              <w:marTop w:val="0"/>
              <w:marBottom w:val="0"/>
              <w:divBdr>
                <w:top w:val="none" w:sz="0" w:space="0" w:color="auto"/>
                <w:left w:val="none" w:sz="0" w:space="0" w:color="auto"/>
                <w:bottom w:val="none" w:sz="0" w:space="0" w:color="auto"/>
                <w:right w:val="none" w:sz="0" w:space="0" w:color="auto"/>
              </w:divBdr>
            </w:div>
          </w:divsChild>
        </w:div>
        <w:div w:id="635259415">
          <w:marLeft w:val="0"/>
          <w:marRight w:val="0"/>
          <w:marTop w:val="0"/>
          <w:marBottom w:val="0"/>
          <w:divBdr>
            <w:top w:val="none" w:sz="0" w:space="0" w:color="auto"/>
            <w:left w:val="none" w:sz="0" w:space="0" w:color="auto"/>
            <w:bottom w:val="none" w:sz="0" w:space="0" w:color="auto"/>
            <w:right w:val="none" w:sz="0" w:space="0" w:color="auto"/>
          </w:divBdr>
          <w:divsChild>
            <w:div w:id="573662803">
              <w:marLeft w:val="-75"/>
              <w:marRight w:val="0"/>
              <w:marTop w:val="30"/>
              <w:marBottom w:val="30"/>
              <w:divBdr>
                <w:top w:val="none" w:sz="0" w:space="0" w:color="auto"/>
                <w:left w:val="none" w:sz="0" w:space="0" w:color="auto"/>
                <w:bottom w:val="none" w:sz="0" w:space="0" w:color="auto"/>
                <w:right w:val="none" w:sz="0" w:space="0" w:color="auto"/>
              </w:divBdr>
              <w:divsChild>
                <w:div w:id="31618260">
                  <w:marLeft w:val="0"/>
                  <w:marRight w:val="0"/>
                  <w:marTop w:val="0"/>
                  <w:marBottom w:val="0"/>
                  <w:divBdr>
                    <w:top w:val="none" w:sz="0" w:space="0" w:color="auto"/>
                    <w:left w:val="none" w:sz="0" w:space="0" w:color="auto"/>
                    <w:bottom w:val="none" w:sz="0" w:space="0" w:color="auto"/>
                    <w:right w:val="none" w:sz="0" w:space="0" w:color="auto"/>
                  </w:divBdr>
                  <w:divsChild>
                    <w:div w:id="826019017">
                      <w:marLeft w:val="0"/>
                      <w:marRight w:val="0"/>
                      <w:marTop w:val="0"/>
                      <w:marBottom w:val="0"/>
                      <w:divBdr>
                        <w:top w:val="none" w:sz="0" w:space="0" w:color="auto"/>
                        <w:left w:val="none" w:sz="0" w:space="0" w:color="auto"/>
                        <w:bottom w:val="none" w:sz="0" w:space="0" w:color="auto"/>
                        <w:right w:val="none" w:sz="0" w:space="0" w:color="auto"/>
                      </w:divBdr>
                    </w:div>
                  </w:divsChild>
                </w:div>
                <w:div w:id="102700403">
                  <w:marLeft w:val="0"/>
                  <w:marRight w:val="0"/>
                  <w:marTop w:val="0"/>
                  <w:marBottom w:val="0"/>
                  <w:divBdr>
                    <w:top w:val="none" w:sz="0" w:space="0" w:color="auto"/>
                    <w:left w:val="none" w:sz="0" w:space="0" w:color="auto"/>
                    <w:bottom w:val="none" w:sz="0" w:space="0" w:color="auto"/>
                    <w:right w:val="none" w:sz="0" w:space="0" w:color="auto"/>
                  </w:divBdr>
                  <w:divsChild>
                    <w:div w:id="1196968775">
                      <w:marLeft w:val="0"/>
                      <w:marRight w:val="0"/>
                      <w:marTop w:val="0"/>
                      <w:marBottom w:val="0"/>
                      <w:divBdr>
                        <w:top w:val="none" w:sz="0" w:space="0" w:color="auto"/>
                        <w:left w:val="none" w:sz="0" w:space="0" w:color="auto"/>
                        <w:bottom w:val="none" w:sz="0" w:space="0" w:color="auto"/>
                        <w:right w:val="none" w:sz="0" w:space="0" w:color="auto"/>
                      </w:divBdr>
                    </w:div>
                  </w:divsChild>
                </w:div>
                <w:div w:id="130371736">
                  <w:marLeft w:val="0"/>
                  <w:marRight w:val="0"/>
                  <w:marTop w:val="0"/>
                  <w:marBottom w:val="0"/>
                  <w:divBdr>
                    <w:top w:val="none" w:sz="0" w:space="0" w:color="auto"/>
                    <w:left w:val="none" w:sz="0" w:space="0" w:color="auto"/>
                    <w:bottom w:val="none" w:sz="0" w:space="0" w:color="auto"/>
                    <w:right w:val="none" w:sz="0" w:space="0" w:color="auto"/>
                  </w:divBdr>
                  <w:divsChild>
                    <w:div w:id="407189138">
                      <w:marLeft w:val="0"/>
                      <w:marRight w:val="0"/>
                      <w:marTop w:val="0"/>
                      <w:marBottom w:val="0"/>
                      <w:divBdr>
                        <w:top w:val="none" w:sz="0" w:space="0" w:color="auto"/>
                        <w:left w:val="none" w:sz="0" w:space="0" w:color="auto"/>
                        <w:bottom w:val="none" w:sz="0" w:space="0" w:color="auto"/>
                        <w:right w:val="none" w:sz="0" w:space="0" w:color="auto"/>
                      </w:divBdr>
                    </w:div>
                  </w:divsChild>
                </w:div>
                <w:div w:id="167673088">
                  <w:marLeft w:val="0"/>
                  <w:marRight w:val="0"/>
                  <w:marTop w:val="0"/>
                  <w:marBottom w:val="0"/>
                  <w:divBdr>
                    <w:top w:val="none" w:sz="0" w:space="0" w:color="auto"/>
                    <w:left w:val="none" w:sz="0" w:space="0" w:color="auto"/>
                    <w:bottom w:val="none" w:sz="0" w:space="0" w:color="auto"/>
                    <w:right w:val="none" w:sz="0" w:space="0" w:color="auto"/>
                  </w:divBdr>
                  <w:divsChild>
                    <w:div w:id="1268392038">
                      <w:marLeft w:val="0"/>
                      <w:marRight w:val="0"/>
                      <w:marTop w:val="0"/>
                      <w:marBottom w:val="0"/>
                      <w:divBdr>
                        <w:top w:val="none" w:sz="0" w:space="0" w:color="auto"/>
                        <w:left w:val="none" w:sz="0" w:space="0" w:color="auto"/>
                        <w:bottom w:val="none" w:sz="0" w:space="0" w:color="auto"/>
                        <w:right w:val="none" w:sz="0" w:space="0" w:color="auto"/>
                      </w:divBdr>
                    </w:div>
                  </w:divsChild>
                </w:div>
                <w:div w:id="406928660">
                  <w:marLeft w:val="0"/>
                  <w:marRight w:val="0"/>
                  <w:marTop w:val="0"/>
                  <w:marBottom w:val="0"/>
                  <w:divBdr>
                    <w:top w:val="none" w:sz="0" w:space="0" w:color="auto"/>
                    <w:left w:val="none" w:sz="0" w:space="0" w:color="auto"/>
                    <w:bottom w:val="none" w:sz="0" w:space="0" w:color="auto"/>
                    <w:right w:val="none" w:sz="0" w:space="0" w:color="auto"/>
                  </w:divBdr>
                  <w:divsChild>
                    <w:div w:id="1677421830">
                      <w:marLeft w:val="0"/>
                      <w:marRight w:val="0"/>
                      <w:marTop w:val="0"/>
                      <w:marBottom w:val="0"/>
                      <w:divBdr>
                        <w:top w:val="none" w:sz="0" w:space="0" w:color="auto"/>
                        <w:left w:val="none" w:sz="0" w:space="0" w:color="auto"/>
                        <w:bottom w:val="none" w:sz="0" w:space="0" w:color="auto"/>
                        <w:right w:val="none" w:sz="0" w:space="0" w:color="auto"/>
                      </w:divBdr>
                    </w:div>
                  </w:divsChild>
                </w:div>
                <w:div w:id="429667704">
                  <w:marLeft w:val="0"/>
                  <w:marRight w:val="0"/>
                  <w:marTop w:val="0"/>
                  <w:marBottom w:val="0"/>
                  <w:divBdr>
                    <w:top w:val="none" w:sz="0" w:space="0" w:color="auto"/>
                    <w:left w:val="none" w:sz="0" w:space="0" w:color="auto"/>
                    <w:bottom w:val="none" w:sz="0" w:space="0" w:color="auto"/>
                    <w:right w:val="none" w:sz="0" w:space="0" w:color="auto"/>
                  </w:divBdr>
                  <w:divsChild>
                    <w:div w:id="37125536">
                      <w:marLeft w:val="0"/>
                      <w:marRight w:val="0"/>
                      <w:marTop w:val="0"/>
                      <w:marBottom w:val="0"/>
                      <w:divBdr>
                        <w:top w:val="none" w:sz="0" w:space="0" w:color="auto"/>
                        <w:left w:val="none" w:sz="0" w:space="0" w:color="auto"/>
                        <w:bottom w:val="none" w:sz="0" w:space="0" w:color="auto"/>
                        <w:right w:val="none" w:sz="0" w:space="0" w:color="auto"/>
                      </w:divBdr>
                    </w:div>
                  </w:divsChild>
                </w:div>
                <w:div w:id="654337004">
                  <w:marLeft w:val="0"/>
                  <w:marRight w:val="0"/>
                  <w:marTop w:val="0"/>
                  <w:marBottom w:val="0"/>
                  <w:divBdr>
                    <w:top w:val="none" w:sz="0" w:space="0" w:color="auto"/>
                    <w:left w:val="none" w:sz="0" w:space="0" w:color="auto"/>
                    <w:bottom w:val="none" w:sz="0" w:space="0" w:color="auto"/>
                    <w:right w:val="none" w:sz="0" w:space="0" w:color="auto"/>
                  </w:divBdr>
                  <w:divsChild>
                    <w:div w:id="1235124107">
                      <w:marLeft w:val="0"/>
                      <w:marRight w:val="0"/>
                      <w:marTop w:val="0"/>
                      <w:marBottom w:val="0"/>
                      <w:divBdr>
                        <w:top w:val="none" w:sz="0" w:space="0" w:color="auto"/>
                        <w:left w:val="none" w:sz="0" w:space="0" w:color="auto"/>
                        <w:bottom w:val="none" w:sz="0" w:space="0" w:color="auto"/>
                        <w:right w:val="none" w:sz="0" w:space="0" w:color="auto"/>
                      </w:divBdr>
                    </w:div>
                  </w:divsChild>
                </w:div>
                <w:div w:id="769592516">
                  <w:marLeft w:val="0"/>
                  <w:marRight w:val="0"/>
                  <w:marTop w:val="0"/>
                  <w:marBottom w:val="0"/>
                  <w:divBdr>
                    <w:top w:val="none" w:sz="0" w:space="0" w:color="auto"/>
                    <w:left w:val="none" w:sz="0" w:space="0" w:color="auto"/>
                    <w:bottom w:val="none" w:sz="0" w:space="0" w:color="auto"/>
                    <w:right w:val="none" w:sz="0" w:space="0" w:color="auto"/>
                  </w:divBdr>
                  <w:divsChild>
                    <w:div w:id="306325795">
                      <w:marLeft w:val="0"/>
                      <w:marRight w:val="0"/>
                      <w:marTop w:val="0"/>
                      <w:marBottom w:val="0"/>
                      <w:divBdr>
                        <w:top w:val="none" w:sz="0" w:space="0" w:color="auto"/>
                        <w:left w:val="none" w:sz="0" w:space="0" w:color="auto"/>
                        <w:bottom w:val="none" w:sz="0" w:space="0" w:color="auto"/>
                        <w:right w:val="none" w:sz="0" w:space="0" w:color="auto"/>
                      </w:divBdr>
                    </w:div>
                  </w:divsChild>
                </w:div>
                <w:div w:id="801461106">
                  <w:marLeft w:val="0"/>
                  <w:marRight w:val="0"/>
                  <w:marTop w:val="0"/>
                  <w:marBottom w:val="0"/>
                  <w:divBdr>
                    <w:top w:val="none" w:sz="0" w:space="0" w:color="auto"/>
                    <w:left w:val="none" w:sz="0" w:space="0" w:color="auto"/>
                    <w:bottom w:val="none" w:sz="0" w:space="0" w:color="auto"/>
                    <w:right w:val="none" w:sz="0" w:space="0" w:color="auto"/>
                  </w:divBdr>
                  <w:divsChild>
                    <w:div w:id="1637102697">
                      <w:marLeft w:val="0"/>
                      <w:marRight w:val="0"/>
                      <w:marTop w:val="0"/>
                      <w:marBottom w:val="0"/>
                      <w:divBdr>
                        <w:top w:val="none" w:sz="0" w:space="0" w:color="auto"/>
                        <w:left w:val="none" w:sz="0" w:space="0" w:color="auto"/>
                        <w:bottom w:val="none" w:sz="0" w:space="0" w:color="auto"/>
                        <w:right w:val="none" w:sz="0" w:space="0" w:color="auto"/>
                      </w:divBdr>
                    </w:div>
                  </w:divsChild>
                </w:div>
                <w:div w:id="884831880">
                  <w:marLeft w:val="0"/>
                  <w:marRight w:val="0"/>
                  <w:marTop w:val="0"/>
                  <w:marBottom w:val="0"/>
                  <w:divBdr>
                    <w:top w:val="none" w:sz="0" w:space="0" w:color="auto"/>
                    <w:left w:val="none" w:sz="0" w:space="0" w:color="auto"/>
                    <w:bottom w:val="none" w:sz="0" w:space="0" w:color="auto"/>
                    <w:right w:val="none" w:sz="0" w:space="0" w:color="auto"/>
                  </w:divBdr>
                  <w:divsChild>
                    <w:div w:id="1940747637">
                      <w:marLeft w:val="0"/>
                      <w:marRight w:val="0"/>
                      <w:marTop w:val="0"/>
                      <w:marBottom w:val="0"/>
                      <w:divBdr>
                        <w:top w:val="none" w:sz="0" w:space="0" w:color="auto"/>
                        <w:left w:val="none" w:sz="0" w:space="0" w:color="auto"/>
                        <w:bottom w:val="none" w:sz="0" w:space="0" w:color="auto"/>
                        <w:right w:val="none" w:sz="0" w:space="0" w:color="auto"/>
                      </w:divBdr>
                    </w:div>
                  </w:divsChild>
                </w:div>
                <w:div w:id="1107963196">
                  <w:marLeft w:val="0"/>
                  <w:marRight w:val="0"/>
                  <w:marTop w:val="0"/>
                  <w:marBottom w:val="0"/>
                  <w:divBdr>
                    <w:top w:val="none" w:sz="0" w:space="0" w:color="auto"/>
                    <w:left w:val="none" w:sz="0" w:space="0" w:color="auto"/>
                    <w:bottom w:val="none" w:sz="0" w:space="0" w:color="auto"/>
                    <w:right w:val="none" w:sz="0" w:space="0" w:color="auto"/>
                  </w:divBdr>
                  <w:divsChild>
                    <w:div w:id="1162041849">
                      <w:marLeft w:val="0"/>
                      <w:marRight w:val="0"/>
                      <w:marTop w:val="0"/>
                      <w:marBottom w:val="0"/>
                      <w:divBdr>
                        <w:top w:val="none" w:sz="0" w:space="0" w:color="auto"/>
                        <w:left w:val="none" w:sz="0" w:space="0" w:color="auto"/>
                        <w:bottom w:val="none" w:sz="0" w:space="0" w:color="auto"/>
                        <w:right w:val="none" w:sz="0" w:space="0" w:color="auto"/>
                      </w:divBdr>
                    </w:div>
                  </w:divsChild>
                </w:div>
                <w:div w:id="1114786454">
                  <w:marLeft w:val="0"/>
                  <w:marRight w:val="0"/>
                  <w:marTop w:val="0"/>
                  <w:marBottom w:val="0"/>
                  <w:divBdr>
                    <w:top w:val="none" w:sz="0" w:space="0" w:color="auto"/>
                    <w:left w:val="none" w:sz="0" w:space="0" w:color="auto"/>
                    <w:bottom w:val="none" w:sz="0" w:space="0" w:color="auto"/>
                    <w:right w:val="none" w:sz="0" w:space="0" w:color="auto"/>
                  </w:divBdr>
                  <w:divsChild>
                    <w:div w:id="746415363">
                      <w:marLeft w:val="0"/>
                      <w:marRight w:val="0"/>
                      <w:marTop w:val="0"/>
                      <w:marBottom w:val="0"/>
                      <w:divBdr>
                        <w:top w:val="none" w:sz="0" w:space="0" w:color="auto"/>
                        <w:left w:val="none" w:sz="0" w:space="0" w:color="auto"/>
                        <w:bottom w:val="none" w:sz="0" w:space="0" w:color="auto"/>
                        <w:right w:val="none" w:sz="0" w:space="0" w:color="auto"/>
                      </w:divBdr>
                    </w:div>
                  </w:divsChild>
                </w:div>
                <w:div w:id="1121657084">
                  <w:marLeft w:val="0"/>
                  <w:marRight w:val="0"/>
                  <w:marTop w:val="0"/>
                  <w:marBottom w:val="0"/>
                  <w:divBdr>
                    <w:top w:val="none" w:sz="0" w:space="0" w:color="auto"/>
                    <w:left w:val="none" w:sz="0" w:space="0" w:color="auto"/>
                    <w:bottom w:val="none" w:sz="0" w:space="0" w:color="auto"/>
                    <w:right w:val="none" w:sz="0" w:space="0" w:color="auto"/>
                  </w:divBdr>
                  <w:divsChild>
                    <w:div w:id="1415664250">
                      <w:marLeft w:val="0"/>
                      <w:marRight w:val="0"/>
                      <w:marTop w:val="0"/>
                      <w:marBottom w:val="0"/>
                      <w:divBdr>
                        <w:top w:val="none" w:sz="0" w:space="0" w:color="auto"/>
                        <w:left w:val="none" w:sz="0" w:space="0" w:color="auto"/>
                        <w:bottom w:val="none" w:sz="0" w:space="0" w:color="auto"/>
                        <w:right w:val="none" w:sz="0" w:space="0" w:color="auto"/>
                      </w:divBdr>
                    </w:div>
                  </w:divsChild>
                </w:div>
                <w:div w:id="1134179703">
                  <w:marLeft w:val="0"/>
                  <w:marRight w:val="0"/>
                  <w:marTop w:val="0"/>
                  <w:marBottom w:val="0"/>
                  <w:divBdr>
                    <w:top w:val="none" w:sz="0" w:space="0" w:color="auto"/>
                    <w:left w:val="none" w:sz="0" w:space="0" w:color="auto"/>
                    <w:bottom w:val="none" w:sz="0" w:space="0" w:color="auto"/>
                    <w:right w:val="none" w:sz="0" w:space="0" w:color="auto"/>
                  </w:divBdr>
                  <w:divsChild>
                    <w:div w:id="1131248991">
                      <w:marLeft w:val="0"/>
                      <w:marRight w:val="0"/>
                      <w:marTop w:val="0"/>
                      <w:marBottom w:val="0"/>
                      <w:divBdr>
                        <w:top w:val="none" w:sz="0" w:space="0" w:color="auto"/>
                        <w:left w:val="none" w:sz="0" w:space="0" w:color="auto"/>
                        <w:bottom w:val="none" w:sz="0" w:space="0" w:color="auto"/>
                        <w:right w:val="none" w:sz="0" w:space="0" w:color="auto"/>
                      </w:divBdr>
                    </w:div>
                  </w:divsChild>
                </w:div>
                <w:div w:id="1157845084">
                  <w:marLeft w:val="0"/>
                  <w:marRight w:val="0"/>
                  <w:marTop w:val="0"/>
                  <w:marBottom w:val="0"/>
                  <w:divBdr>
                    <w:top w:val="none" w:sz="0" w:space="0" w:color="auto"/>
                    <w:left w:val="none" w:sz="0" w:space="0" w:color="auto"/>
                    <w:bottom w:val="none" w:sz="0" w:space="0" w:color="auto"/>
                    <w:right w:val="none" w:sz="0" w:space="0" w:color="auto"/>
                  </w:divBdr>
                  <w:divsChild>
                    <w:div w:id="1853109040">
                      <w:marLeft w:val="0"/>
                      <w:marRight w:val="0"/>
                      <w:marTop w:val="0"/>
                      <w:marBottom w:val="0"/>
                      <w:divBdr>
                        <w:top w:val="none" w:sz="0" w:space="0" w:color="auto"/>
                        <w:left w:val="none" w:sz="0" w:space="0" w:color="auto"/>
                        <w:bottom w:val="none" w:sz="0" w:space="0" w:color="auto"/>
                        <w:right w:val="none" w:sz="0" w:space="0" w:color="auto"/>
                      </w:divBdr>
                    </w:div>
                  </w:divsChild>
                </w:div>
                <w:div w:id="1179007724">
                  <w:marLeft w:val="0"/>
                  <w:marRight w:val="0"/>
                  <w:marTop w:val="0"/>
                  <w:marBottom w:val="0"/>
                  <w:divBdr>
                    <w:top w:val="none" w:sz="0" w:space="0" w:color="auto"/>
                    <w:left w:val="none" w:sz="0" w:space="0" w:color="auto"/>
                    <w:bottom w:val="none" w:sz="0" w:space="0" w:color="auto"/>
                    <w:right w:val="none" w:sz="0" w:space="0" w:color="auto"/>
                  </w:divBdr>
                  <w:divsChild>
                    <w:div w:id="753086546">
                      <w:marLeft w:val="0"/>
                      <w:marRight w:val="0"/>
                      <w:marTop w:val="0"/>
                      <w:marBottom w:val="0"/>
                      <w:divBdr>
                        <w:top w:val="none" w:sz="0" w:space="0" w:color="auto"/>
                        <w:left w:val="none" w:sz="0" w:space="0" w:color="auto"/>
                        <w:bottom w:val="none" w:sz="0" w:space="0" w:color="auto"/>
                        <w:right w:val="none" w:sz="0" w:space="0" w:color="auto"/>
                      </w:divBdr>
                    </w:div>
                  </w:divsChild>
                </w:div>
                <w:div w:id="1261990656">
                  <w:marLeft w:val="0"/>
                  <w:marRight w:val="0"/>
                  <w:marTop w:val="0"/>
                  <w:marBottom w:val="0"/>
                  <w:divBdr>
                    <w:top w:val="none" w:sz="0" w:space="0" w:color="auto"/>
                    <w:left w:val="none" w:sz="0" w:space="0" w:color="auto"/>
                    <w:bottom w:val="none" w:sz="0" w:space="0" w:color="auto"/>
                    <w:right w:val="none" w:sz="0" w:space="0" w:color="auto"/>
                  </w:divBdr>
                  <w:divsChild>
                    <w:div w:id="3360958">
                      <w:marLeft w:val="0"/>
                      <w:marRight w:val="0"/>
                      <w:marTop w:val="0"/>
                      <w:marBottom w:val="0"/>
                      <w:divBdr>
                        <w:top w:val="none" w:sz="0" w:space="0" w:color="auto"/>
                        <w:left w:val="none" w:sz="0" w:space="0" w:color="auto"/>
                        <w:bottom w:val="none" w:sz="0" w:space="0" w:color="auto"/>
                        <w:right w:val="none" w:sz="0" w:space="0" w:color="auto"/>
                      </w:divBdr>
                    </w:div>
                  </w:divsChild>
                </w:div>
                <w:div w:id="1288000524">
                  <w:marLeft w:val="0"/>
                  <w:marRight w:val="0"/>
                  <w:marTop w:val="0"/>
                  <w:marBottom w:val="0"/>
                  <w:divBdr>
                    <w:top w:val="none" w:sz="0" w:space="0" w:color="auto"/>
                    <w:left w:val="none" w:sz="0" w:space="0" w:color="auto"/>
                    <w:bottom w:val="none" w:sz="0" w:space="0" w:color="auto"/>
                    <w:right w:val="none" w:sz="0" w:space="0" w:color="auto"/>
                  </w:divBdr>
                  <w:divsChild>
                    <w:div w:id="1601522408">
                      <w:marLeft w:val="0"/>
                      <w:marRight w:val="0"/>
                      <w:marTop w:val="0"/>
                      <w:marBottom w:val="0"/>
                      <w:divBdr>
                        <w:top w:val="none" w:sz="0" w:space="0" w:color="auto"/>
                        <w:left w:val="none" w:sz="0" w:space="0" w:color="auto"/>
                        <w:bottom w:val="none" w:sz="0" w:space="0" w:color="auto"/>
                        <w:right w:val="none" w:sz="0" w:space="0" w:color="auto"/>
                      </w:divBdr>
                    </w:div>
                  </w:divsChild>
                </w:div>
                <w:div w:id="1314720450">
                  <w:marLeft w:val="0"/>
                  <w:marRight w:val="0"/>
                  <w:marTop w:val="0"/>
                  <w:marBottom w:val="0"/>
                  <w:divBdr>
                    <w:top w:val="none" w:sz="0" w:space="0" w:color="auto"/>
                    <w:left w:val="none" w:sz="0" w:space="0" w:color="auto"/>
                    <w:bottom w:val="none" w:sz="0" w:space="0" w:color="auto"/>
                    <w:right w:val="none" w:sz="0" w:space="0" w:color="auto"/>
                  </w:divBdr>
                  <w:divsChild>
                    <w:div w:id="87892272">
                      <w:marLeft w:val="0"/>
                      <w:marRight w:val="0"/>
                      <w:marTop w:val="0"/>
                      <w:marBottom w:val="0"/>
                      <w:divBdr>
                        <w:top w:val="none" w:sz="0" w:space="0" w:color="auto"/>
                        <w:left w:val="none" w:sz="0" w:space="0" w:color="auto"/>
                        <w:bottom w:val="none" w:sz="0" w:space="0" w:color="auto"/>
                        <w:right w:val="none" w:sz="0" w:space="0" w:color="auto"/>
                      </w:divBdr>
                    </w:div>
                  </w:divsChild>
                </w:div>
                <w:div w:id="1329869103">
                  <w:marLeft w:val="0"/>
                  <w:marRight w:val="0"/>
                  <w:marTop w:val="0"/>
                  <w:marBottom w:val="0"/>
                  <w:divBdr>
                    <w:top w:val="none" w:sz="0" w:space="0" w:color="auto"/>
                    <w:left w:val="none" w:sz="0" w:space="0" w:color="auto"/>
                    <w:bottom w:val="none" w:sz="0" w:space="0" w:color="auto"/>
                    <w:right w:val="none" w:sz="0" w:space="0" w:color="auto"/>
                  </w:divBdr>
                  <w:divsChild>
                    <w:div w:id="583997077">
                      <w:marLeft w:val="0"/>
                      <w:marRight w:val="0"/>
                      <w:marTop w:val="0"/>
                      <w:marBottom w:val="0"/>
                      <w:divBdr>
                        <w:top w:val="none" w:sz="0" w:space="0" w:color="auto"/>
                        <w:left w:val="none" w:sz="0" w:space="0" w:color="auto"/>
                        <w:bottom w:val="none" w:sz="0" w:space="0" w:color="auto"/>
                        <w:right w:val="none" w:sz="0" w:space="0" w:color="auto"/>
                      </w:divBdr>
                    </w:div>
                  </w:divsChild>
                </w:div>
                <w:div w:id="1403525812">
                  <w:marLeft w:val="0"/>
                  <w:marRight w:val="0"/>
                  <w:marTop w:val="0"/>
                  <w:marBottom w:val="0"/>
                  <w:divBdr>
                    <w:top w:val="none" w:sz="0" w:space="0" w:color="auto"/>
                    <w:left w:val="none" w:sz="0" w:space="0" w:color="auto"/>
                    <w:bottom w:val="none" w:sz="0" w:space="0" w:color="auto"/>
                    <w:right w:val="none" w:sz="0" w:space="0" w:color="auto"/>
                  </w:divBdr>
                  <w:divsChild>
                    <w:div w:id="86461821">
                      <w:marLeft w:val="0"/>
                      <w:marRight w:val="0"/>
                      <w:marTop w:val="0"/>
                      <w:marBottom w:val="0"/>
                      <w:divBdr>
                        <w:top w:val="none" w:sz="0" w:space="0" w:color="auto"/>
                        <w:left w:val="none" w:sz="0" w:space="0" w:color="auto"/>
                        <w:bottom w:val="none" w:sz="0" w:space="0" w:color="auto"/>
                        <w:right w:val="none" w:sz="0" w:space="0" w:color="auto"/>
                      </w:divBdr>
                    </w:div>
                  </w:divsChild>
                </w:div>
                <w:div w:id="1545172187">
                  <w:marLeft w:val="0"/>
                  <w:marRight w:val="0"/>
                  <w:marTop w:val="0"/>
                  <w:marBottom w:val="0"/>
                  <w:divBdr>
                    <w:top w:val="none" w:sz="0" w:space="0" w:color="auto"/>
                    <w:left w:val="none" w:sz="0" w:space="0" w:color="auto"/>
                    <w:bottom w:val="none" w:sz="0" w:space="0" w:color="auto"/>
                    <w:right w:val="none" w:sz="0" w:space="0" w:color="auto"/>
                  </w:divBdr>
                  <w:divsChild>
                    <w:div w:id="129593538">
                      <w:marLeft w:val="0"/>
                      <w:marRight w:val="0"/>
                      <w:marTop w:val="0"/>
                      <w:marBottom w:val="0"/>
                      <w:divBdr>
                        <w:top w:val="none" w:sz="0" w:space="0" w:color="auto"/>
                        <w:left w:val="none" w:sz="0" w:space="0" w:color="auto"/>
                        <w:bottom w:val="none" w:sz="0" w:space="0" w:color="auto"/>
                        <w:right w:val="none" w:sz="0" w:space="0" w:color="auto"/>
                      </w:divBdr>
                    </w:div>
                  </w:divsChild>
                </w:div>
                <w:div w:id="1617834641">
                  <w:marLeft w:val="0"/>
                  <w:marRight w:val="0"/>
                  <w:marTop w:val="0"/>
                  <w:marBottom w:val="0"/>
                  <w:divBdr>
                    <w:top w:val="none" w:sz="0" w:space="0" w:color="auto"/>
                    <w:left w:val="none" w:sz="0" w:space="0" w:color="auto"/>
                    <w:bottom w:val="none" w:sz="0" w:space="0" w:color="auto"/>
                    <w:right w:val="none" w:sz="0" w:space="0" w:color="auto"/>
                  </w:divBdr>
                  <w:divsChild>
                    <w:div w:id="2070183477">
                      <w:marLeft w:val="0"/>
                      <w:marRight w:val="0"/>
                      <w:marTop w:val="0"/>
                      <w:marBottom w:val="0"/>
                      <w:divBdr>
                        <w:top w:val="none" w:sz="0" w:space="0" w:color="auto"/>
                        <w:left w:val="none" w:sz="0" w:space="0" w:color="auto"/>
                        <w:bottom w:val="none" w:sz="0" w:space="0" w:color="auto"/>
                        <w:right w:val="none" w:sz="0" w:space="0" w:color="auto"/>
                      </w:divBdr>
                    </w:div>
                  </w:divsChild>
                </w:div>
                <w:div w:id="1729915922">
                  <w:marLeft w:val="0"/>
                  <w:marRight w:val="0"/>
                  <w:marTop w:val="0"/>
                  <w:marBottom w:val="0"/>
                  <w:divBdr>
                    <w:top w:val="none" w:sz="0" w:space="0" w:color="auto"/>
                    <w:left w:val="none" w:sz="0" w:space="0" w:color="auto"/>
                    <w:bottom w:val="none" w:sz="0" w:space="0" w:color="auto"/>
                    <w:right w:val="none" w:sz="0" w:space="0" w:color="auto"/>
                  </w:divBdr>
                  <w:divsChild>
                    <w:div w:id="144321815">
                      <w:marLeft w:val="0"/>
                      <w:marRight w:val="0"/>
                      <w:marTop w:val="0"/>
                      <w:marBottom w:val="0"/>
                      <w:divBdr>
                        <w:top w:val="none" w:sz="0" w:space="0" w:color="auto"/>
                        <w:left w:val="none" w:sz="0" w:space="0" w:color="auto"/>
                        <w:bottom w:val="none" w:sz="0" w:space="0" w:color="auto"/>
                        <w:right w:val="none" w:sz="0" w:space="0" w:color="auto"/>
                      </w:divBdr>
                    </w:div>
                  </w:divsChild>
                </w:div>
                <w:div w:id="1870491254">
                  <w:marLeft w:val="0"/>
                  <w:marRight w:val="0"/>
                  <w:marTop w:val="0"/>
                  <w:marBottom w:val="0"/>
                  <w:divBdr>
                    <w:top w:val="none" w:sz="0" w:space="0" w:color="auto"/>
                    <w:left w:val="none" w:sz="0" w:space="0" w:color="auto"/>
                    <w:bottom w:val="none" w:sz="0" w:space="0" w:color="auto"/>
                    <w:right w:val="none" w:sz="0" w:space="0" w:color="auto"/>
                  </w:divBdr>
                  <w:divsChild>
                    <w:div w:id="1859660519">
                      <w:marLeft w:val="0"/>
                      <w:marRight w:val="0"/>
                      <w:marTop w:val="0"/>
                      <w:marBottom w:val="0"/>
                      <w:divBdr>
                        <w:top w:val="none" w:sz="0" w:space="0" w:color="auto"/>
                        <w:left w:val="none" w:sz="0" w:space="0" w:color="auto"/>
                        <w:bottom w:val="none" w:sz="0" w:space="0" w:color="auto"/>
                        <w:right w:val="none" w:sz="0" w:space="0" w:color="auto"/>
                      </w:divBdr>
                    </w:div>
                  </w:divsChild>
                </w:div>
                <w:div w:id="1928926002">
                  <w:marLeft w:val="0"/>
                  <w:marRight w:val="0"/>
                  <w:marTop w:val="0"/>
                  <w:marBottom w:val="0"/>
                  <w:divBdr>
                    <w:top w:val="none" w:sz="0" w:space="0" w:color="auto"/>
                    <w:left w:val="none" w:sz="0" w:space="0" w:color="auto"/>
                    <w:bottom w:val="none" w:sz="0" w:space="0" w:color="auto"/>
                    <w:right w:val="none" w:sz="0" w:space="0" w:color="auto"/>
                  </w:divBdr>
                  <w:divsChild>
                    <w:div w:id="1755779033">
                      <w:marLeft w:val="0"/>
                      <w:marRight w:val="0"/>
                      <w:marTop w:val="0"/>
                      <w:marBottom w:val="0"/>
                      <w:divBdr>
                        <w:top w:val="none" w:sz="0" w:space="0" w:color="auto"/>
                        <w:left w:val="none" w:sz="0" w:space="0" w:color="auto"/>
                        <w:bottom w:val="none" w:sz="0" w:space="0" w:color="auto"/>
                        <w:right w:val="none" w:sz="0" w:space="0" w:color="auto"/>
                      </w:divBdr>
                    </w:div>
                  </w:divsChild>
                </w:div>
                <w:div w:id="1964076589">
                  <w:marLeft w:val="0"/>
                  <w:marRight w:val="0"/>
                  <w:marTop w:val="0"/>
                  <w:marBottom w:val="0"/>
                  <w:divBdr>
                    <w:top w:val="none" w:sz="0" w:space="0" w:color="auto"/>
                    <w:left w:val="none" w:sz="0" w:space="0" w:color="auto"/>
                    <w:bottom w:val="none" w:sz="0" w:space="0" w:color="auto"/>
                    <w:right w:val="none" w:sz="0" w:space="0" w:color="auto"/>
                  </w:divBdr>
                  <w:divsChild>
                    <w:div w:id="2126729255">
                      <w:marLeft w:val="0"/>
                      <w:marRight w:val="0"/>
                      <w:marTop w:val="0"/>
                      <w:marBottom w:val="0"/>
                      <w:divBdr>
                        <w:top w:val="none" w:sz="0" w:space="0" w:color="auto"/>
                        <w:left w:val="none" w:sz="0" w:space="0" w:color="auto"/>
                        <w:bottom w:val="none" w:sz="0" w:space="0" w:color="auto"/>
                        <w:right w:val="none" w:sz="0" w:space="0" w:color="auto"/>
                      </w:divBdr>
                    </w:div>
                  </w:divsChild>
                </w:div>
                <w:div w:id="2086874325">
                  <w:marLeft w:val="0"/>
                  <w:marRight w:val="0"/>
                  <w:marTop w:val="0"/>
                  <w:marBottom w:val="0"/>
                  <w:divBdr>
                    <w:top w:val="none" w:sz="0" w:space="0" w:color="auto"/>
                    <w:left w:val="none" w:sz="0" w:space="0" w:color="auto"/>
                    <w:bottom w:val="none" w:sz="0" w:space="0" w:color="auto"/>
                    <w:right w:val="none" w:sz="0" w:space="0" w:color="auto"/>
                  </w:divBdr>
                  <w:divsChild>
                    <w:div w:id="1028456584">
                      <w:marLeft w:val="0"/>
                      <w:marRight w:val="0"/>
                      <w:marTop w:val="0"/>
                      <w:marBottom w:val="0"/>
                      <w:divBdr>
                        <w:top w:val="none" w:sz="0" w:space="0" w:color="auto"/>
                        <w:left w:val="none" w:sz="0" w:space="0" w:color="auto"/>
                        <w:bottom w:val="none" w:sz="0" w:space="0" w:color="auto"/>
                        <w:right w:val="none" w:sz="0" w:space="0" w:color="auto"/>
                      </w:divBdr>
                    </w:div>
                  </w:divsChild>
                </w:div>
                <w:div w:id="2098282278">
                  <w:marLeft w:val="0"/>
                  <w:marRight w:val="0"/>
                  <w:marTop w:val="0"/>
                  <w:marBottom w:val="0"/>
                  <w:divBdr>
                    <w:top w:val="none" w:sz="0" w:space="0" w:color="auto"/>
                    <w:left w:val="none" w:sz="0" w:space="0" w:color="auto"/>
                    <w:bottom w:val="none" w:sz="0" w:space="0" w:color="auto"/>
                    <w:right w:val="none" w:sz="0" w:space="0" w:color="auto"/>
                  </w:divBdr>
                  <w:divsChild>
                    <w:div w:id="1470977413">
                      <w:marLeft w:val="0"/>
                      <w:marRight w:val="0"/>
                      <w:marTop w:val="0"/>
                      <w:marBottom w:val="0"/>
                      <w:divBdr>
                        <w:top w:val="none" w:sz="0" w:space="0" w:color="auto"/>
                        <w:left w:val="none" w:sz="0" w:space="0" w:color="auto"/>
                        <w:bottom w:val="none" w:sz="0" w:space="0" w:color="auto"/>
                        <w:right w:val="none" w:sz="0" w:space="0" w:color="auto"/>
                      </w:divBdr>
                    </w:div>
                  </w:divsChild>
                </w:div>
                <w:div w:id="2103842843">
                  <w:marLeft w:val="0"/>
                  <w:marRight w:val="0"/>
                  <w:marTop w:val="0"/>
                  <w:marBottom w:val="0"/>
                  <w:divBdr>
                    <w:top w:val="none" w:sz="0" w:space="0" w:color="auto"/>
                    <w:left w:val="none" w:sz="0" w:space="0" w:color="auto"/>
                    <w:bottom w:val="none" w:sz="0" w:space="0" w:color="auto"/>
                    <w:right w:val="none" w:sz="0" w:space="0" w:color="auto"/>
                  </w:divBdr>
                  <w:divsChild>
                    <w:div w:id="35207585">
                      <w:marLeft w:val="0"/>
                      <w:marRight w:val="0"/>
                      <w:marTop w:val="0"/>
                      <w:marBottom w:val="0"/>
                      <w:divBdr>
                        <w:top w:val="none" w:sz="0" w:space="0" w:color="auto"/>
                        <w:left w:val="none" w:sz="0" w:space="0" w:color="auto"/>
                        <w:bottom w:val="none" w:sz="0" w:space="0" w:color="auto"/>
                        <w:right w:val="none" w:sz="0" w:space="0" w:color="auto"/>
                      </w:divBdr>
                    </w:div>
                  </w:divsChild>
                </w:div>
                <w:div w:id="2115325197">
                  <w:marLeft w:val="0"/>
                  <w:marRight w:val="0"/>
                  <w:marTop w:val="0"/>
                  <w:marBottom w:val="0"/>
                  <w:divBdr>
                    <w:top w:val="none" w:sz="0" w:space="0" w:color="auto"/>
                    <w:left w:val="none" w:sz="0" w:space="0" w:color="auto"/>
                    <w:bottom w:val="none" w:sz="0" w:space="0" w:color="auto"/>
                    <w:right w:val="none" w:sz="0" w:space="0" w:color="auto"/>
                  </w:divBdr>
                  <w:divsChild>
                    <w:div w:id="1970933631">
                      <w:marLeft w:val="0"/>
                      <w:marRight w:val="0"/>
                      <w:marTop w:val="0"/>
                      <w:marBottom w:val="0"/>
                      <w:divBdr>
                        <w:top w:val="none" w:sz="0" w:space="0" w:color="auto"/>
                        <w:left w:val="none" w:sz="0" w:space="0" w:color="auto"/>
                        <w:bottom w:val="none" w:sz="0" w:space="0" w:color="auto"/>
                        <w:right w:val="none" w:sz="0" w:space="0" w:color="auto"/>
                      </w:divBdr>
                    </w:div>
                  </w:divsChild>
                </w:div>
                <w:div w:id="2142577137">
                  <w:marLeft w:val="0"/>
                  <w:marRight w:val="0"/>
                  <w:marTop w:val="0"/>
                  <w:marBottom w:val="0"/>
                  <w:divBdr>
                    <w:top w:val="none" w:sz="0" w:space="0" w:color="auto"/>
                    <w:left w:val="none" w:sz="0" w:space="0" w:color="auto"/>
                    <w:bottom w:val="none" w:sz="0" w:space="0" w:color="auto"/>
                    <w:right w:val="none" w:sz="0" w:space="0" w:color="auto"/>
                  </w:divBdr>
                  <w:divsChild>
                    <w:div w:id="141120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12697">
          <w:marLeft w:val="0"/>
          <w:marRight w:val="0"/>
          <w:marTop w:val="0"/>
          <w:marBottom w:val="0"/>
          <w:divBdr>
            <w:top w:val="none" w:sz="0" w:space="0" w:color="auto"/>
            <w:left w:val="none" w:sz="0" w:space="0" w:color="auto"/>
            <w:bottom w:val="none" w:sz="0" w:space="0" w:color="auto"/>
            <w:right w:val="none" w:sz="0" w:space="0" w:color="auto"/>
          </w:divBdr>
          <w:divsChild>
            <w:div w:id="1338192940">
              <w:marLeft w:val="-75"/>
              <w:marRight w:val="0"/>
              <w:marTop w:val="30"/>
              <w:marBottom w:val="30"/>
              <w:divBdr>
                <w:top w:val="none" w:sz="0" w:space="0" w:color="auto"/>
                <w:left w:val="none" w:sz="0" w:space="0" w:color="auto"/>
                <w:bottom w:val="none" w:sz="0" w:space="0" w:color="auto"/>
                <w:right w:val="none" w:sz="0" w:space="0" w:color="auto"/>
              </w:divBdr>
              <w:divsChild>
                <w:div w:id="233703197">
                  <w:marLeft w:val="0"/>
                  <w:marRight w:val="0"/>
                  <w:marTop w:val="0"/>
                  <w:marBottom w:val="0"/>
                  <w:divBdr>
                    <w:top w:val="none" w:sz="0" w:space="0" w:color="auto"/>
                    <w:left w:val="none" w:sz="0" w:space="0" w:color="auto"/>
                    <w:bottom w:val="none" w:sz="0" w:space="0" w:color="auto"/>
                    <w:right w:val="none" w:sz="0" w:space="0" w:color="auto"/>
                  </w:divBdr>
                  <w:divsChild>
                    <w:div w:id="1912307468">
                      <w:marLeft w:val="0"/>
                      <w:marRight w:val="0"/>
                      <w:marTop w:val="0"/>
                      <w:marBottom w:val="0"/>
                      <w:divBdr>
                        <w:top w:val="none" w:sz="0" w:space="0" w:color="auto"/>
                        <w:left w:val="none" w:sz="0" w:space="0" w:color="auto"/>
                        <w:bottom w:val="none" w:sz="0" w:space="0" w:color="auto"/>
                        <w:right w:val="none" w:sz="0" w:space="0" w:color="auto"/>
                      </w:divBdr>
                    </w:div>
                  </w:divsChild>
                </w:div>
                <w:div w:id="458888277">
                  <w:marLeft w:val="0"/>
                  <w:marRight w:val="0"/>
                  <w:marTop w:val="0"/>
                  <w:marBottom w:val="0"/>
                  <w:divBdr>
                    <w:top w:val="none" w:sz="0" w:space="0" w:color="auto"/>
                    <w:left w:val="none" w:sz="0" w:space="0" w:color="auto"/>
                    <w:bottom w:val="none" w:sz="0" w:space="0" w:color="auto"/>
                    <w:right w:val="none" w:sz="0" w:space="0" w:color="auto"/>
                  </w:divBdr>
                  <w:divsChild>
                    <w:div w:id="626862711">
                      <w:marLeft w:val="0"/>
                      <w:marRight w:val="0"/>
                      <w:marTop w:val="0"/>
                      <w:marBottom w:val="0"/>
                      <w:divBdr>
                        <w:top w:val="none" w:sz="0" w:space="0" w:color="auto"/>
                        <w:left w:val="none" w:sz="0" w:space="0" w:color="auto"/>
                        <w:bottom w:val="none" w:sz="0" w:space="0" w:color="auto"/>
                        <w:right w:val="none" w:sz="0" w:space="0" w:color="auto"/>
                      </w:divBdr>
                    </w:div>
                  </w:divsChild>
                </w:div>
                <w:div w:id="734009107">
                  <w:marLeft w:val="0"/>
                  <w:marRight w:val="0"/>
                  <w:marTop w:val="0"/>
                  <w:marBottom w:val="0"/>
                  <w:divBdr>
                    <w:top w:val="none" w:sz="0" w:space="0" w:color="auto"/>
                    <w:left w:val="none" w:sz="0" w:space="0" w:color="auto"/>
                    <w:bottom w:val="none" w:sz="0" w:space="0" w:color="auto"/>
                    <w:right w:val="none" w:sz="0" w:space="0" w:color="auto"/>
                  </w:divBdr>
                  <w:divsChild>
                    <w:div w:id="1547371902">
                      <w:marLeft w:val="0"/>
                      <w:marRight w:val="0"/>
                      <w:marTop w:val="0"/>
                      <w:marBottom w:val="0"/>
                      <w:divBdr>
                        <w:top w:val="none" w:sz="0" w:space="0" w:color="auto"/>
                        <w:left w:val="none" w:sz="0" w:space="0" w:color="auto"/>
                        <w:bottom w:val="none" w:sz="0" w:space="0" w:color="auto"/>
                        <w:right w:val="none" w:sz="0" w:space="0" w:color="auto"/>
                      </w:divBdr>
                    </w:div>
                  </w:divsChild>
                </w:div>
                <w:div w:id="851721754">
                  <w:marLeft w:val="0"/>
                  <w:marRight w:val="0"/>
                  <w:marTop w:val="0"/>
                  <w:marBottom w:val="0"/>
                  <w:divBdr>
                    <w:top w:val="none" w:sz="0" w:space="0" w:color="auto"/>
                    <w:left w:val="none" w:sz="0" w:space="0" w:color="auto"/>
                    <w:bottom w:val="none" w:sz="0" w:space="0" w:color="auto"/>
                    <w:right w:val="none" w:sz="0" w:space="0" w:color="auto"/>
                  </w:divBdr>
                  <w:divsChild>
                    <w:div w:id="1930503252">
                      <w:marLeft w:val="0"/>
                      <w:marRight w:val="0"/>
                      <w:marTop w:val="0"/>
                      <w:marBottom w:val="0"/>
                      <w:divBdr>
                        <w:top w:val="none" w:sz="0" w:space="0" w:color="auto"/>
                        <w:left w:val="none" w:sz="0" w:space="0" w:color="auto"/>
                        <w:bottom w:val="none" w:sz="0" w:space="0" w:color="auto"/>
                        <w:right w:val="none" w:sz="0" w:space="0" w:color="auto"/>
                      </w:divBdr>
                    </w:div>
                  </w:divsChild>
                </w:div>
                <w:div w:id="871574683">
                  <w:marLeft w:val="0"/>
                  <w:marRight w:val="0"/>
                  <w:marTop w:val="0"/>
                  <w:marBottom w:val="0"/>
                  <w:divBdr>
                    <w:top w:val="none" w:sz="0" w:space="0" w:color="auto"/>
                    <w:left w:val="none" w:sz="0" w:space="0" w:color="auto"/>
                    <w:bottom w:val="none" w:sz="0" w:space="0" w:color="auto"/>
                    <w:right w:val="none" w:sz="0" w:space="0" w:color="auto"/>
                  </w:divBdr>
                  <w:divsChild>
                    <w:div w:id="1357386531">
                      <w:marLeft w:val="0"/>
                      <w:marRight w:val="0"/>
                      <w:marTop w:val="0"/>
                      <w:marBottom w:val="0"/>
                      <w:divBdr>
                        <w:top w:val="none" w:sz="0" w:space="0" w:color="auto"/>
                        <w:left w:val="none" w:sz="0" w:space="0" w:color="auto"/>
                        <w:bottom w:val="none" w:sz="0" w:space="0" w:color="auto"/>
                        <w:right w:val="none" w:sz="0" w:space="0" w:color="auto"/>
                      </w:divBdr>
                    </w:div>
                  </w:divsChild>
                </w:div>
                <w:div w:id="1031372211">
                  <w:marLeft w:val="0"/>
                  <w:marRight w:val="0"/>
                  <w:marTop w:val="0"/>
                  <w:marBottom w:val="0"/>
                  <w:divBdr>
                    <w:top w:val="none" w:sz="0" w:space="0" w:color="auto"/>
                    <w:left w:val="none" w:sz="0" w:space="0" w:color="auto"/>
                    <w:bottom w:val="none" w:sz="0" w:space="0" w:color="auto"/>
                    <w:right w:val="none" w:sz="0" w:space="0" w:color="auto"/>
                  </w:divBdr>
                  <w:divsChild>
                    <w:div w:id="1851094920">
                      <w:marLeft w:val="0"/>
                      <w:marRight w:val="0"/>
                      <w:marTop w:val="0"/>
                      <w:marBottom w:val="0"/>
                      <w:divBdr>
                        <w:top w:val="none" w:sz="0" w:space="0" w:color="auto"/>
                        <w:left w:val="none" w:sz="0" w:space="0" w:color="auto"/>
                        <w:bottom w:val="none" w:sz="0" w:space="0" w:color="auto"/>
                        <w:right w:val="none" w:sz="0" w:space="0" w:color="auto"/>
                      </w:divBdr>
                    </w:div>
                  </w:divsChild>
                </w:div>
                <w:div w:id="1060520011">
                  <w:marLeft w:val="0"/>
                  <w:marRight w:val="0"/>
                  <w:marTop w:val="0"/>
                  <w:marBottom w:val="0"/>
                  <w:divBdr>
                    <w:top w:val="none" w:sz="0" w:space="0" w:color="auto"/>
                    <w:left w:val="none" w:sz="0" w:space="0" w:color="auto"/>
                    <w:bottom w:val="none" w:sz="0" w:space="0" w:color="auto"/>
                    <w:right w:val="none" w:sz="0" w:space="0" w:color="auto"/>
                  </w:divBdr>
                  <w:divsChild>
                    <w:div w:id="1345980064">
                      <w:marLeft w:val="0"/>
                      <w:marRight w:val="0"/>
                      <w:marTop w:val="0"/>
                      <w:marBottom w:val="0"/>
                      <w:divBdr>
                        <w:top w:val="none" w:sz="0" w:space="0" w:color="auto"/>
                        <w:left w:val="none" w:sz="0" w:space="0" w:color="auto"/>
                        <w:bottom w:val="none" w:sz="0" w:space="0" w:color="auto"/>
                        <w:right w:val="none" w:sz="0" w:space="0" w:color="auto"/>
                      </w:divBdr>
                    </w:div>
                  </w:divsChild>
                </w:div>
                <w:div w:id="1081561674">
                  <w:marLeft w:val="0"/>
                  <w:marRight w:val="0"/>
                  <w:marTop w:val="0"/>
                  <w:marBottom w:val="0"/>
                  <w:divBdr>
                    <w:top w:val="none" w:sz="0" w:space="0" w:color="auto"/>
                    <w:left w:val="none" w:sz="0" w:space="0" w:color="auto"/>
                    <w:bottom w:val="none" w:sz="0" w:space="0" w:color="auto"/>
                    <w:right w:val="none" w:sz="0" w:space="0" w:color="auto"/>
                  </w:divBdr>
                  <w:divsChild>
                    <w:div w:id="979724183">
                      <w:marLeft w:val="0"/>
                      <w:marRight w:val="0"/>
                      <w:marTop w:val="0"/>
                      <w:marBottom w:val="0"/>
                      <w:divBdr>
                        <w:top w:val="none" w:sz="0" w:space="0" w:color="auto"/>
                        <w:left w:val="none" w:sz="0" w:space="0" w:color="auto"/>
                        <w:bottom w:val="none" w:sz="0" w:space="0" w:color="auto"/>
                        <w:right w:val="none" w:sz="0" w:space="0" w:color="auto"/>
                      </w:divBdr>
                    </w:div>
                  </w:divsChild>
                </w:div>
                <w:div w:id="1217014353">
                  <w:marLeft w:val="0"/>
                  <w:marRight w:val="0"/>
                  <w:marTop w:val="0"/>
                  <w:marBottom w:val="0"/>
                  <w:divBdr>
                    <w:top w:val="none" w:sz="0" w:space="0" w:color="auto"/>
                    <w:left w:val="none" w:sz="0" w:space="0" w:color="auto"/>
                    <w:bottom w:val="none" w:sz="0" w:space="0" w:color="auto"/>
                    <w:right w:val="none" w:sz="0" w:space="0" w:color="auto"/>
                  </w:divBdr>
                  <w:divsChild>
                    <w:div w:id="165752130">
                      <w:marLeft w:val="0"/>
                      <w:marRight w:val="0"/>
                      <w:marTop w:val="0"/>
                      <w:marBottom w:val="0"/>
                      <w:divBdr>
                        <w:top w:val="none" w:sz="0" w:space="0" w:color="auto"/>
                        <w:left w:val="none" w:sz="0" w:space="0" w:color="auto"/>
                        <w:bottom w:val="none" w:sz="0" w:space="0" w:color="auto"/>
                        <w:right w:val="none" w:sz="0" w:space="0" w:color="auto"/>
                      </w:divBdr>
                    </w:div>
                  </w:divsChild>
                </w:div>
                <w:div w:id="1957831473">
                  <w:marLeft w:val="0"/>
                  <w:marRight w:val="0"/>
                  <w:marTop w:val="0"/>
                  <w:marBottom w:val="0"/>
                  <w:divBdr>
                    <w:top w:val="none" w:sz="0" w:space="0" w:color="auto"/>
                    <w:left w:val="none" w:sz="0" w:space="0" w:color="auto"/>
                    <w:bottom w:val="none" w:sz="0" w:space="0" w:color="auto"/>
                    <w:right w:val="none" w:sz="0" w:space="0" w:color="auto"/>
                  </w:divBdr>
                  <w:divsChild>
                    <w:div w:id="2100519349">
                      <w:marLeft w:val="0"/>
                      <w:marRight w:val="0"/>
                      <w:marTop w:val="0"/>
                      <w:marBottom w:val="0"/>
                      <w:divBdr>
                        <w:top w:val="none" w:sz="0" w:space="0" w:color="auto"/>
                        <w:left w:val="none" w:sz="0" w:space="0" w:color="auto"/>
                        <w:bottom w:val="none" w:sz="0" w:space="0" w:color="auto"/>
                        <w:right w:val="none" w:sz="0" w:space="0" w:color="auto"/>
                      </w:divBdr>
                    </w:div>
                  </w:divsChild>
                </w:div>
                <w:div w:id="1997764466">
                  <w:marLeft w:val="0"/>
                  <w:marRight w:val="0"/>
                  <w:marTop w:val="0"/>
                  <w:marBottom w:val="0"/>
                  <w:divBdr>
                    <w:top w:val="none" w:sz="0" w:space="0" w:color="auto"/>
                    <w:left w:val="none" w:sz="0" w:space="0" w:color="auto"/>
                    <w:bottom w:val="none" w:sz="0" w:space="0" w:color="auto"/>
                    <w:right w:val="none" w:sz="0" w:space="0" w:color="auto"/>
                  </w:divBdr>
                  <w:divsChild>
                    <w:div w:id="534929811">
                      <w:marLeft w:val="0"/>
                      <w:marRight w:val="0"/>
                      <w:marTop w:val="0"/>
                      <w:marBottom w:val="0"/>
                      <w:divBdr>
                        <w:top w:val="none" w:sz="0" w:space="0" w:color="auto"/>
                        <w:left w:val="none" w:sz="0" w:space="0" w:color="auto"/>
                        <w:bottom w:val="none" w:sz="0" w:space="0" w:color="auto"/>
                        <w:right w:val="none" w:sz="0" w:space="0" w:color="auto"/>
                      </w:divBdr>
                    </w:div>
                  </w:divsChild>
                </w:div>
                <w:div w:id="2036807532">
                  <w:marLeft w:val="0"/>
                  <w:marRight w:val="0"/>
                  <w:marTop w:val="0"/>
                  <w:marBottom w:val="0"/>
                  <w:divBdr>
                    <w:top w:val="none" w:sz="0" w:space="0" w:color="auto"/>
                    <w:left w:val="none" w:sz="0" w:space="0" w:color="auto"/>
                    <w:bottom w:val="none" w:sz="0" w:space="0" w:color="auto"/>
                    <w:right w:val="none" w:sz="0" w:space="0" w:color="auto"/>
                  </w:divBdr>
                  <w:divsChild>
                    <w:div w:id="147583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77083">
          <w:marLeft w:val="0"/>
          <w:marRight w:val="0"/>
          <w:marTop w:val="0"/>
          <w:marBottom w:val="0"/>
          <w:divBdr>
            <w:top w:val="none" w:sz="0" w:space="0" w:color="auto"/>
            <w:left w:val="none" w:sz="0" w:space="0" w:color="auto"/>
            <w:bottom w:val="none" w:sz="0" w:space="0" w:color="auto"/>
            <w:right w:val="none" w:sz="0" w:space="0" w:color="auto"/>
          </w:divBdr>
          <w:divsChild>
            <w:div w:id="1326591120">
              <w:marLeft w:val="-75"/>
              <w:marRight w:val="0"/>
              <w:marTop w:val="30"/>
              <w:marBottom w:val="30"/>
              <w:divBdr>
                <w:top w:val="none" w:sz="0" w:space="0" w:color="auto"/>
                <w:left w:val="none" w:sz="0" w:space="0" w:color="auto"/>
                <w:bottom w:val="none" w:sz="0" w:space="0" w:color="auto"/>
                <w:right w:val="none" w:sz="0" w:space="0" w:color="auto"/>
              </w:divBdr>
              <w:divsChild>
                <w:div w:id="1587123">
                  <w:marLeft w:val="0"/>
                  <w:marRight w:val="0"/>
                  <w:marTop w:val="0"/>
                  <w:marBottom w:val="0"/>
                  <w:divBdr>
                    <w:top w:val="none" w:sz="0" w:space="0" w:color="auto"/>
                    <w:left w:val="none" w:sz="0" w:space="0" w:color="auto"/>
                    <w:bottom w:val="none" w:sz="0" w:space="0" w:color="auto"/>
                    <w:right w:val="none" w:sz="0" w:space="0" w:color="auto"/>
                  </w:divBdr>
                  <w:divsChild>
                    <w:div w:id="1381130857">
                      <w:marLeft w:val="0"/>
                      <w:marRight w:val="0"/>
                      <w:marTop w:val="0"/>
                      <w:marBottom w:val="0"/>
                      <w:divBdr>
                        <w:top w:val="none" w:sz="0" w:space="0" w:color="auto"/>
                        <w:left w:val="none" w:sz="0" w:space="0" w:color="auto"/>
                        <w:bottom w:val="none" w:sz="0" w:space="0" w:color="auto"/>
                        <w:right w:val="none" w:sz="0" w:space="0" w:color="auto"/>
                      </w:divBdr>
                    </w:div>
                  </w:divsChild>
                </w:div>
                <w:div w:id="36440842">
                  <w:marLeft w:val="0"/>
                  <w:marRight w:val="0"/>
                  <w:marTop w:val="0"/>
                  <w:marBottom w:val="0"/>
                  <w:divBdr>
                    <w:top w:val="none" w:sz="0" w:space="0" w:color="auto"/>
                    <w:left w:val="none" w:sz="0" w:space="0" w:color="auto"/>
                    <w:bottom w:val="none" w:sz="0" w:space="0" w:color="auto"/>
                    <w:right w:val="none" w:sz="0" w:space="0" w:color="auto"/>
                  </w:divBdr>
                  <w:divsChild>
                    <w:div w:id="544636747">
                      <w:marLeft w:val="0"/>
                      <w:marRight w:val="0"/>
                      <w:marTop w:val="0"/>
                      <w:marBottom w:val="0"/>
                      <w:divBdr>
                        <w:top w:val="none" w:sz="0" w:space="0" w:color="auto"/>
                        <w:left w:val="none" w:sz="0" w:space="0" w:color="auto"/>
                        <w:bottom w:val="none" w:sz="0" w:space="0" w:color="auto"/>
                        <w:right w:val="none" w:sz="0" w:space="0" w:color="auto"/>
                      </w:divBdr>
                    </w:div>
                  </w:divsChild>
                </w:div>
                <w:div w:id="71777828">
                  <w:marLeft w:val="0"/>
                  <w:marRight w:val="0"/>
                  <w:marTop w:val="0"/>
                  <w:marBottom w:val="0"/>
                  <w:divBdr>
                    <w:top w:val="none" w:sz="0" w:space="0" w:color="auto"/>
                    <w:left w:val="none" w:sz="0" w:space="0" w:color="auto"/>
                    <w:bottom w:val="none" w:sz="0" w:space="0" w:color="auto"/>
                    <w:right w:val="none" w:sz="0" w:space="0" w:color="auto"/>
                  </w:divBdr>
                  <w:divsChild>
                    <w:div w:id="1564634290">
                      <w:marLeft w:val="0"/>
                      <w:marRight w:val="0"/>
                      <w:marTop w:val="0"/>
                      <w:marBottom w:val="0"/>
                      <w:divBdr>
                        <w:top w:val="none" w:sz="0" w:space="0" w:color="auto"/>
                        <w:left w:val="none" w:sz="0" w:space="0" w:color="auto"/>
                        <w:bottom w:val="none" w:sz="0" w:space="0" w:color="auto"/>
                        <w:right w:val="none" w:sz="0" w:space="0" w:color="auto"/>
                      </w:divBdr>
                    </w:div>
                  </w:divsChild>
                </w:div>
                <w:div w:id="145517117">
                  <w:marLeft w:val="0"/>
                  <w:marRight w:val="0"/>
                  <w:marTop w:val="0"/>
                  <w:marBottom w:val="0"/>
                  <w:divBdr>
                    <w:top w:val="none" w:sz="0" w:space="0" w:color="auto"/>
                    <w:left w:val="none" w:sz="0" w:space="0" w:color="auto"/>
                    <w:bottom w:val="none" w:sz="0" w:space="0" w:color="auto"/>
                    <w:right w:val="none" w:sz="0" w:space="0" w:color="auto"/>
                  </w:divBdr>
                  <w:divsChild>
                    <w:div w:id="543257655">
                      <w:marLeft w:val="0"/>
                      <w:marRight w:val="0"/>
                      <w:marTop w:val="0"/>
                      <w:marBottom w:val="0"/>
                      <w:divBdr>
                        <w:top w:val="none" w:sz="0" w:space="0" w:color="auto"/>
                        <w:left w:val="none" w:sz="0" w:space="0" w:color="auto"/>
                        <w:bottom w:val="none" w:sz="0" w:space="0" w:color="auto"/>
                        <w:right w:val="none" w:sz="0" w:space="0" w:color="auto"/>
                      </w:divBdr>
                    </w:div>
                  </w:divsChild>
                </w:div>
                <w:div w:id="188766608">
                  <w:marLeft w:val="0"/>
                  <w:marRight w:val="0"/>
                  <w:marTop w:val="0"/>
                  <w:marBottom w:val="0"/>
                  <w:divBdr>
                    <w:top w:val="none" w:sz="0" w:space="0" w:color="auto"/>
                    <w:left w:val="none" w:sz="0" w:space="0" w:color="auto"/>
                    <w:bottom w:val="none" w:sz="0" w:space="0" w:color="auto"/>
                    <w:right w:val="none" w:sz="0" w:space="0" w:color="auto"/>
                  </w:divBdr>
                  <w:divsChild>
                    <w:div w:id="1076242268">
                      <w:marLeft w:val="0"/>
                      <w:marRight w:val="0"/>
                      <w:marTop w:val="0"/>
                      <w:marBottom w:val="0"/>
                      <w:divBdr>
                        <w:top w:val="none" w:sz="0" w:space="0" w:color="auto"/>
                        <w:left w:val="none" w:sz="0" w:space="0" w:color="auto"/>
                        <w:bottom w:val="none" w:sz="0" w:space="0" w:color="auto"/>
                        <w:right w:val="none" w:sz="0" w:space="0" w:color="auto"/>
                      </w:divBdr>
                    </w:div>
                  </w:divsChild>
                </w:div>
                <w:div w:id="225185185">
                  <w:marLeft w:val="0"/>
                  <w:marRight w:val="0"/>
                  <w:marTop w:val="0"/>
                  <w:marBottom w:val="0"/>
                  <w:divBdr>
                    <w:top w:val="none" w:sz="0" w:space="0" w:color="auto"/>
                    <w:left w:val="none" w:sz="0" w:space="0" w:color="auto"/>
                    <w:bottom w:val="none" w:sz="0" w:space="0" w:color="auto"/>
                    <w:right w:val="none" w:sz="0" w:space="0" w:color="auto"/>
                  </w:divBdr>
                  <w:divsChild>
                    <w:div w:id="1205943257">
                      <w:marLeft w:val="0"/>
                      <w:marRight w:val="0"/>
                      <w:marTop w:val="0"/>
                      <w:marBottom w:val="0"/>
                      <w:divBdr>
                        <w:top w:val="none" w:sz="0" w:space="0" w:color="auto"/>
                        <w:left w:val="none" w:sz="0" w:space="0" w:color="auto"/>
                        <w:bottom w:val="none" w:sz="0" w:space="0" w:color="auto"/>
                        <w:right w:val="none" w:sz="0" w:space="0" w:color="auto"/>
                      </w:divBdr>
                    </w:div>
                  </w:divsChild>
                </w:div>
                <w:div w:id="233440208">
                  <w:marLeft w:val="0"/>
                  <w:marRight w:val="0"/>
                  <w:marTop w:val="0"/>
                  <w:marBottom w:val="0"/>
                  <w:divBdr>
                    <w:top w:val="none" w:sz="0" w:space="0" w:color="auto"/>
                    <w:left w:val="none" w:sz="0" w:space="0" w:color="auto"/>
                    <w:bottom w:val="none" w:sz="0" w:space="0" w:color="auto"/>
                    <w:right w:val="none" w:sz="0" w:space="0" w:color="auto"/>
                  </w:divBdr>
                  <w:divsChild>
                    <w:div w:id="1831824899">
                      <w:marLeft w:val="0"/>
                      <w:marRight w:val="0"/>
                      <w:marTop w:val="0"/>
                      <w:marBottom w:val="0"/>
                      <w:divBdr>
                        <w:top w:val="none" w:sz="0" w:space="0" w:color="auto"/>
                        <w:left w:val="none" w:sz="0" w:space="0" w:color="auto"/>
                        <w:bottom w:val="none" w:sz="0" w:space="0" w:color="auto"/>
                        <w:right w:val="none" w:sz="0" w:space="0" w:color="auto"/>
                      </w:divBdr>
                    </w:div>
                  </w:divsChild>
                </w:div>
                <w:div w:id="311369810">
                  <w:marLeft w:val="0"/>
                  <w:marRight w:val="0"/>
                  <w:marTop w:val="0"/>
                  <w:marBottom w:val="0"/>
                  <w:divBdr>
                    <w:top w:val="none" w:sz="0" w:space="0" w:color="auto"/>
                    <w:left w:val="none" w:sz="0" w:space="0" w:color="auto"/>
                    <w:bottom w:val="none" w:sz="0" w:space="0" w:color="auto"/>
                    <w:right w:val="none" w:sz="0" w:space="0" w:color="auto"/>
                  </w:divBdr>
                  <w:divsChild>
                    <w:div w:id="358699551">
                      <w:marLeft w:val="0"/>
                      <w:marRight w:val="0"/>
                      <w:marTop w:val="0"/>
                      <w:marBottom w:val="0"/>
                      <w:divBdr>
                        <w:top w:val="none" w:sz="0" w:space="0" w:color="auto"/>
                        <w:left w:val="none" w:sz="0" w:space="0" w:color="auto"/>
                        <w:bottom w:val="none" w:sz="0" w:space="0" w:color="auto"/>
                        <w:right w:val="none" w:sz="0" w:space="0" w:color="auto"/>
                      </w:divBdr>
                    </w:div>
                  </w:divsChild>
                </w:div>
                <w:div w:id="394087001">
                  <w:marLeft w:val="0"/>
                  <w:marRight w:val="0"/>
                  <w:marTop w:val="0"/>
                  <w:marBottom w:val="0"/>
                  <w:divBdr>
                    <w:top w:val="none" w:sz="0" w:space="0" w:color="auto"/>
                    <w:left w:val="none" w:sz="0" w:space="0" w:color="auto"/>
                    <w:bottom w:val="none" w:sz="0" w:space="0" w:color="auto"/>
                    <w:right w:val="none" w:sz="0" w:space="0" w:color="auto"/>
                  </w:divBdr>
                  <w:divsChild>
                    <w:div w:id="1673951655">
                      <w:marLeft w:val="0"/>
                      <w:marRight w:val="0"/>
                      <w:marTop w:val="0"/>
                      <w:marBottom w:val="0"/>
                      <w:divBdr>
                        <w:top w:val="none" w:sz="0" w:space="0" w:color="auto"/>
                        <w:left w:val="none" w:sz="0" w:space="0" w:color="auto"/>
                        <w:bottom w:val="none" w:sz="0" w:space="0" w:color="auto"/>
                        <w:right w:val="none" w:sz="0" w:space="0" w:color="auto"/>
                      </w:divBdr>
                    </w:div>
                  </w:divsChild>
                </w:div>
                <w:div w:id="426388773">
                  <w:marLeft w:val="0"/>
                  <w:marRight w:val="0"/>
                  <w:marTop w:val="0"/>
                  <w:marBottom w:val="0"/>
                  <w:divBdr>
                    <w:top w:val="none" w:sz="0" w:space="0" w:color="auto"/>
                    <w:left w:val="none" w:sz="0" w:space="0" w:color="auto"/>
                    <w:bottom w:val="none" w:sz="0" w:space="0" w:color="auto"/>
                    <w:right w:val="none" w:sz="0" w:space="0" w:color="auto"/>
                  </w:divBdr>
                  <w:divsChild>
                    <w:div w:id="205873416">
                      <w:marLeft w:val="0"/>
                      <w:marRight w:val="0"/>
                      <w:marTop w:val="0"/>
                      <w:marBottom w:val="0"/>
                      <w:divBdr>
                        <w:top w:val="none" w:sz="0" w:space="0" w:color="auto"/>
                        <w:left w:val="none" w:sz="0" w:space="0" w:color="auto"/>
                        <w:bottom w:val="none" w:sz="0" w:space="0" w:color="auto"/>
                        <w:right w:val="none" w:sz="0" w:space="0" w:color="auto"/>
                      </w:divBdr>
                    </w:div>
                  </w:divsChild>
                </w:div>
                <w:div w:id="494495141">
                  <w:marLeft w:val="0"/>
                  <w:marRight w:val="0"/>
                  <w:marTop w:val="0"/>
                  <w:marBottom w:val="0"/>
                  <w:divBdr>
                    <w:top w:val="none" w:sz="0" w:space="0" w:color="auto"/>
                    <w:left w:val="none" w:sz="0" w:space="0" w:color="auto"/>
                    <w:bottom w:val="none" w:sz="0" w:space="0" w:color="auto"/>
                    <w:right w:val="none" w:sz="0" w:space="0" w:color="auto"/>
                  </w:divBdr>
                  <w:divsChild>
                    <w:div w:id="952251867">
                      <w:marLeft w:val="0"/>
                      <w:marRight w:val="0"/>
                      <w:marTop w:val="0"/>
                      <w:marBottom w:val="0"/>
                      <w:divBdr>
                        <w:top w:val="none" w:sz="0" w:space="0" w:color="auto"/>
                        <w:left w:val="none" w:sz="0" w:space="0" w:color="auto"/>
                        <w:bottom w:val="none" w:sz="0" w:space="0" w:color="auto"/>
                        <w:right w:val="none" w:sz="0" w:space="0" w:color="auto"/>
                      </w:divBdr>
                    </w:div>
                  </w:divsChild>
                </w:div>
                <w:div w:id="527060605">
                  <w:marLeft w:val="0"/>
                  <w:marRight w:val="0"/>
                  <w:marTop w:val="0"/>
                  <w:marBottom w:val="0"/>
                  <w:divBdr>
                    <w:top w:val="none" w:sz="0" w:space="0" w:color="auto"/>
                    <w:left w:val="none" w:sz="0" w:space="0" w:color="auto"/>
                    <w:bottom w:val="none" w:sz="0" w:space="0" w:color="auto"/>
                    <w:right w:val="none" w:sz="0" w:space="0" w:color="auto"/>
                  </w:divBdr>
                  <w:divsChild>
                    <w:div w:id="25060960">
                      <w:marLeft w:val="0"/>
                      <w:marRight w:val="0"/>
                      <w:marTop w:val="0"/>
                      <w:marBottom w:val="0"/>
                      <w:divBdr>
                        <w:top w:val="none" w:sz="0" w:space="0" w:color="auto"/>
                        <w:left w:val="none" w:sz="0" w:space="0" w:color="auto"/>
                        <w:bottom w:val="none" w:sz="0" w:space="0" w:color="auto"/>
                        <w:right w:val="none" w:sz="0" w:space="0" w:color="auto"/>
                      </w:divBdr>
                    </w:div>
                  </w:divsChild>
                </w:div>
                <w:div w:id="627514238">
                  <w:marLeft w:val="0"/>
                  <w:marRight w:val="0"/>
                  <w:marTop w:val="0"/>
                  <w:marBottom w:val="0"/>
                  <w:divBdr>
                    <w:top w:val="none" w:sz="0" w:space="0" w:color="auto"/>
                    <w:left w:val="none" w:sz="0" w:space="0" w:color="auto"/>
                    <w:bottom w:val="none" w:sz="0" w:space="0" w:color="auto"/>
                    <w:right w:val="none" w:sz="0" w:space="0" w:color="auto"/>
                  </w:divBdr>
                  <w:divsChild>
                    <w:div w:id="1037968424">
                      <w:marLeft w:val="0"/>
                      <w:marRight w:val="0"/>
                      <w:marTop w:val="0"/>
                      <w:marBottom w:val="0"/>
                      <w:divBdr>
                        <w:top w:val="none" w:sz="0" w:space="0" w:color="auto"/>
                        <w:left w:val="none" w:sz="0" w:space="0" w:color="auto"/>
                        <w:bottom w:val="none" w:sz="0" w:space="0" w:color="auto"/>
                        <w:right w:val="none" w:sz="0" w:space="0" w:color="auto"/>
                      </w:divBdr>
                    </w:div>
                  </w:divsChild>
                </w:div>
                <w:div w:id="726034883">
                  <w:marLeft w:val="0"/>
                  <w:marRight w:val="0"/>
                  <w:marTop w:val="0"/>
                  <w:marBottom w:val="0"/>
                  <w:divBdr>
                    <w:top w:val="none" w:sz="0" w:space="0" w:color="auto"/>
                    <w:left w:val="none" w:sz="0" w:space="0" w:color="auto"/>
                    <w:bottom w:val="none" w:sz="0" w:space="0" w:color="auto"/>
                    <w:right w:val="none" w:sz="0" w:space="0" w:color="auto"/>
                  </w:divBdr>
                  <w:divsChild>
                    <w:div w:id="277414486">
                      <w:marLeft w:val="0"/>
                      <w:marRight w:val="0"/>
                      <w:marTop w:val="0"/>
                      <w:marBottom w:val="0"/>
                      <w:divBdr>
                        <w:top w:val="none" w:sz="0" w:space="0" w:color="auto"/>
                        <w:left w:val="none" w:sz="0" w:space="0" w:color="auto"/>
                        <w:bottom w:val="none" w:sz="0" w:space="0" w:color="auto"/>
                        <w:right w:val="none" w:sz="0" w:space="0" w:color="auto"/>
                      </w:divBdr>
                    </w:div>
                  </w:divsChild>
                </w:div>
                <w:div w:id="781799630">
                  <w:marLeft w:val="0"/>
                  <w:marRight w:val="0"/>
                  <w:marTop w:val="0"/>
                  <w:marBottom w:val="0"/>
                  <w:divBdr>
                    <w:top w:val="none" w:sz="0" w:space="0" w:color="auto"/>
                    <w:left w:val="none" w:sz="0" w:space="0" w:color="auto"/>
                    <w:bottom w:val="none" w:sz="0" w:space="0" w:color="auto"/>
                    <w:right w:val="none" w:sz="0" w:space="0" w:color="auto"/>
                  </w:divBdr>
                  <w:divsChild>
                    <w:div w:id="1568104309">
                      <w:marLeft w:val="0"/>
                      <w:marRight w:val="0"/>
                      <w:marTop w:val="0"/>
                      <w:marBottom w:val="0"/>
                      <w:divBdr>
                        <w:top w:val="none" w:sz="0" w:space="0" w:color="auto"/>
                        <w:left w:val="none" w:sz="0" w:space="0" w:color="auto"/>
                        <w:bottom w:val="none" w:sz="0" w:space="0" w:color="auto"/>
                        <w:right w:val="none" w:sz="0" w:space="0" w:color="auto"/>
                      </w:divBdr>
                    </w:div>
                  </w:divsChild>
                </w:div>
                <w:div w:id="836188120">
                  <w:marLeft w:val="0"/>
                  <w:marRight w:val="0"/>
                  <w:marTop w:val="0"/>
                  <w:marBottom w:val="0"/>
                  <w:divBdr>
                    <w:top w:val="none" w:sz="0" w:space="0" w:color="auto"/>
                    <w:left w:val="none" w:sz="0" w:space="0" w:color="auto"/>
                    <w:bottom w:val="none" w:sz="0" w:space="0" w:color="auto"/>
                    <w:right w:val="none" w:sz="0" w:space="0" w:color="auto"/>
                  </w:divBdr>
                  <w:divsChild>
                    <w:div w:id="2107383735">
                      <w:marLeft w:val="0"/>
                      <w:marRight w:val="0"/>
                      <w:marTop w:val="0"/>
                      <w:marBottom w:val="0"/>
                      <w:divBdr>
                        <w:top w:val="none" w:sz="0" w:space="0" w:color="auto"/>
                        <w:left w:val="none" w:sz="0" w:space="0" w:color="auto"/>
                        <w:bottom w:val="none" w:sz="0" w:space="0" w:color="auto"/>
                        <w:right w:val="none" w:sz="0" w:space="0" w:color="auto"/>
                      </w:divBdr>
                    </w:div>
                  </w:divsChild>
                </w:div>
                <w:div w:id="848254297">
                  <w:marLeft w:val="0"/>
                  <w:marRight w:val="0"/>
                  <w:marTop w:val="0"/>
                  <w:marBottom w:val="0"/>
                  <w:divBdr>
                    <w:top w:val="none" w:sz="0" w:space="0" w:color="auto"/>
                    <w:left w:val="none" w:sz="0" w:space="0" w:color="auto"/>
                    <w:bottom w:val="none" w:sz="0" w:space="0" w:color="auto"/>
                    <w:right w:val="none" w:sz="0" w:space="0" w:color="auto"/>
                  </w:divBdr>
                  <w:divsChild>
                    <w:div w:id="981616650">
                      <w:marLeft w:val="0"/>
                      <w:marRight w:val="0"/>
                      <w:marTop w:val="0"/>
                      <w:marBottom w:val="0"/>
                      <w:divBdr>
                        <w:top w:val="none" w:sz="0" w:space="0" w:color="auto"/>
                        <w:left w:val="none" w:sz="0" w:space="0" w:color="auto"/>
                        <w:bottom w:val="none" w:sz="0" w:space="0" w:color="auto"/>
                        <w:right w:val="none" w:sz="0" w:space="0" w:color="auto"/>
                      </w:divBdr>
                    </w:div>
                  </w:divsChild>
                </w:div>
                <w:div w:id="910701922">
                  <w:marLeft w:val="0"/>
                  <w:marRight w:val="0"/>
                  <w:marTop w:val="0"/>
                  <w:marBottom w:val="0"/>
                  <w:divBdr>
                    <w:top w:val="none" w:sz="0" w:space="0" w:color="auto"/>
                    <w:left w:val="none" w:sz="0" w:space="0" w:color="auto"/>
                    <w:bottom w:val="none" w:sz="0" w:space="0" w:color="auto"/>
                    <w:right w:val="none" w:sz="0" w:space="0" w:color="auto"/>
                  </w:divBdr>
                  <w:divsChild>
                    <w:div w:id="737020126">
                      <w:marLeft w:val="0"/>
                      <w:marRight w:val="0"/>
                      <w:marTop w:val="0"/>
                      <w:marBottom w:val="0"/>
                      <w:divBdr>
                        <w:top w:val="none" w:sz="0" w:space="0" w:color="auto"/>
                        <w:left w:val="none" w:sz="0" w:space="0" w:color="auto"/>
                        <w:bottom w:val="none" w:sz="0" w:space="0" w:color="auto"/>
                        <w:right w:val="none" w:sz="0" w:space="0" w:color="auto"/>
                      </w:divBdr>
                    </w:div>
                  </w:divsChild>
                </w:div>
                <w:div w:id="1007094562">
                  <w:marLeft w:val="0"/>
                  <w:marRight w:val="0"/>
                  <w:marTop w:val="0"/>
                  <w:marBottom w:val="0"/>
                  <w:divBdr>
                    <w:top w:val="none" w:sz="0" w:space="0" w:color="auto"/>
                    <w:left w:val="none" w:sz="0" w:space="0" w:color="auto"/>
                    <w:bottom w:val="none" w:sz="0" w:space="0" w:color="auto"/>
                    <w:right w:val="none" w:sz="0" w:space="0" w:color="auto"/>
                  </w:divBdr>
                  <w:divsChild>
                    <w:div w:id="1839731324">
                      <w:marLeft w:val="0"/>
                      <w:marRight w:val="0"/>
                      <w:marTop w:val="0"/>
                      <w:marBottom w:val="0"/>
                      <w:divBdr>
                        <w:top w:val="none" w:sz="0" w:space="0" w:color="auto"/>
                        <w:left w:val="none" w:sz="0" w:space="0" w:color="auto"/>
                        <w:bottom w:val="none" w:sz="0" w:space="0" w:color="auto"/>
                        <w:right w:val="none" w:sz="0" w:space="0" w:color="auto"/>
                      </w:divBdr>
                    </w:div>
                  </w:divsChild>
                </w:div>
                <w:div w:id="1146816296">
                  <w:marLeft w:val="0"/>
                  <w:marRight w:val="0"/>
                  <w:marTop w:val="0"/>
                  <w:marBottom w:val="0"/>
                  <w:divBdr>
                    <w:top w:val="none" w:sz="0" w:space="0" w:color="auto"/>
                    <w:left w:val="none" w:sz="0" w:space="0" w:color="auto"/>
                    <w:bottom w:val="none" w:sz="0" w:space="0" w:color="auto"/>
                    <w:right w:val="none" w:sz="0" w:space="0" w:color="auto"/>
                  </w:divBdr>
                  <w:divsChild>
                    <w:div w:id="398527274">
                      <w:marLeft w:val="0"/>
                      <w:marRight w:val="0"/>
                      <w:marTop w:val="0"/>
                      <w:marBottom w:val="0"/>
                      <w:divBdr>
                        <w:top w:val="none" w:sz="0" w:space="0" w:color="auto"/>
                        <w:left w:val="none" w:sz="0" w:space="0" w:color="auto"/>
                        <w:bottom w:val="none" w:sz="0" w:space="0" w:color="auto"/>
                        <w:right w:val="none" w:sz="0" w:space="0" w:color="auto"/>
                      </w:divBdr>
                    </w:div>
                  </w:divsChild>
                </w:div>
                <w:div w:id="1190683264">
                  <w:marLeft w:val="0"/>
                  <w:marRight w:val="0"/>
                  <w:marTop w:val="0"/>
                  <w:marBottom w:val="0"/>
                  <w:divBdr>
                    <w:top w:val="none" w:sz="0" w:space="0" w:color="auto"/>
                    <w:left w:val="none" w:sz="0" w:space="0" w:color="auto"/>
                    <w:bottom w:val="none" w:sz="0" w:space="0" w:color="auto"/>
                    <w:right w:val="none" w:sz="0" w:space="0" w:color="auto"/>
                  </w:divBdr>
                  <w:divsChild>
                    <w:div w:id="303317238">
                      <w:marLeft w:val="0"/>
                      <w:marRight w:val="0"/>
                      <w:marTop w:val="0"/>
                      <w:marBottom w:val="0"/>
                      <w:divBdr>
                        <w:top w:val="none" w:sz="0" w:space="0" w:color="auto"/>
                        <w:left w:val="none" w:sz="0" w:space="0" w:color="auto"/>
                        <w:bottom w:val="none" w:sz="0" w:space="0" w:color="auto"/>
                        <w:right w:val="none" w:sz="0" w:space="0" w:color="auto"/>
                      </w:divBdr>
                    </w:div>
                  </w:divsChild>
                </w:div>
                <w:div w:id="1206721866">
                  <w:marLeft w:val="0"/>
                  <w:marRight w:val="0"/>
                  <w:marTop w:val="0"/>
                  <w:marBottom w:val="0"/>
                  <w:divBdr>
                    <w:top w:val="none" w:sz="0" w:space="0" w:color="auto"/>
                    <w:left w:val="none" w:sz="0" w:space="0" w:color="auto"/>
                    <w:bottom w:val="none" w:sz="0" w:space="0" w:color="auto"/>
                    <w:right w:val="none" w:sz="0" w:space="0" w:color="auto"/>
                  </w:divBdr>
                  <w:divsChild>
                    <w:div w:id="77102331">
                      <w:marLeft w:val="0"/>
                      <w:marRight w:val="0"/>
                      <w:marTop w:val="0"/>
                      <w:marBottom w:val="0"/>
                      <w:divBdr>
                        <w:top w:val="none" w:sz="0" w:space="0" w:color="auto"/>
                        <w:left w:val="none" w:sz="0" w:space="0" w:color="auto"/>
                        <w:bottom w:val="none" w:sz="0" w:space="0" w:color="auto"/>
                        <w:right w:val="none" w:sz="0" w:space="0" w:color="auto"/>
                      </w:divBdr>
                    </w:div>
                  </w:divsChild>
                </w:div>
                <w:div w:id="1233198387">
                  <w:marLeft w:val="0"/>
                  <w:marRight w:val="0"/>
                  <w:marTop w:val="0"/>
                  <w:marBottom w:val="0"/>
                  <w:divBdr>
                    <w:top w:val="none" w:sz="0" w:space="0" w:color="auto"/>
                    <w:left w:val="none" w:sz="0" w:space="0" w:color="auto"/>
                    <w:bottom w:val="none" w:sz="0" w:space="0" w:color="auto"/>
                    <w:right w:val="none" w:sz="0" w:space="0" w:color="auto"/>
                  </w:divBdr>
                  <w:divsChild>
                    <w:div w:id="226839572">
                      <w:marLeft w:val="0"/>
                      <w:marRight w:val="0"/>
                      <w:marTop w:val="0"/>
                      <w:marBottom w:val="0"/>
                      <w:divBdr>
                        <w:top w:val="none" w:sz="0" w:space="0" w:color="auto"/>
                        <w:left w:val="none" w:sz="0" w:space="0" w:color="auto"/>
                        <w:bottom w:val="none" w:sz="0" w:space="0" w:color="auto"/>
                        <w:right w:val="none" w:sz="0" w:space="0" w:color="auto"/>
                      </w:divBdr>
                    </w:div>
                  </w:divsChild>
                </w:div>
                <w:div w:id="1291203495">
                  <w:marLeft w:val="0"/>
                  <w:marRight w:val="0"/>
                  <w:marTop w:val="0"/>
                  <w:marBottom w:val="0"/>
                  <w:divBdr>
                    <w:top w:val="none" w:sz="0" w:space="0" w:color="auto"/>
                    <w:left w:val="none" w:sz="0" w:space="0" w:color="auto"/>
                    <w:bottom w:val="none" w:sz="0" w:space="0" w:color="auto"/>
                    <w:right w:val="none" w:sz="0" w:space="0" w:color="auto"/>
                  </w:divBdr>
                  <w:divsChild>
                    <w:div w:id="1903517244">
                      <w:marLeft w:val="0"/>
                      <w:marRight w:val="0"/>
                      <w:marTop w:val="0"/>
                      <w:marBottom w:val="0"/>
                      <w:divBdr>
                        <w:top w:val="none" w:sz="0" w:space="0" w:color="auto"/>
                        <w:left w:val="none" w:sz="0" w:space="0" w:color="auto"/>
                        <w:bottom w:val="none" w:sz="0" w:space="0" w:color="auto"/>
                        <w:right w:val="none" w:sz="0" w:space="0" w:color="auto"/>
                      </w:divBdr>
                    </w:div>
                  </w:divsChild>
                </w:div>
                <w:div w:id="1535926250">
                  <w:marLeft w:val="0"/>
                  <w:marRight w:val="0"/>
                  <w:marTop w:val="0"/>
                  <w:marBottom w:val="0"/>
                  <w:divBdr>
                    <w:top w:val="none" w:sz="0" w:space="0" w:color="auto"/>
                    <w:left w:val="none" w:sz="0" w:space="0" w:color="auto"/>
                    <w:bottom w:val="none" w:sz="0" w:space="0" w:color="auto"/>
                    <w:right w:val="none" w:sz="0" w:space="0" w:color="auto"/>
                  </w:divBdr>
                  <w:divsChild>
                    <w:div w:id="691418074">
                      <w:marLeft w:val="0"/>
                      <w:marRight w:val="0"/>
                      <w:marTop w:val="0"/>
                      <w:marBottom w:val="0"/>
                      <w:divBdr>
                        <w:top w:val="none" w:sz="0" w:space="0" w:color="auto"/>
                        <w:left w:val="none" w:sz="0" w:space="0" w:color="auto"/>
                        <w:bottom w:val="none" w:sz="0" w:space="0" w:color="auto"/>
                        <w:right w:val="none" w:sz="0" w:space="0" w:color="auto"/>
                      </w:divBdr>
                    </w:div>
                  </w:divsChild>
                </w:div>
                <w:div w:id="1644239511">
                  <w:marLeft w:val="0"/>
                  <w:marRight w:val="0"/>
                  <w:marTop w:val="0"/>
                  <w:marBottom w:val="0"/>
                  <w:divBdr>
                    <w:top w:val="none" w:sz="0" w:space="0" w:color="auto"/>
                    <w:left w:val="none" w:sz="0" w:space="0" w:color="auto"/>
                    <w:bottom w:val="none" w:sz="0" w:space="0" w:color="auto"/>
                    <w:right w:val="none" w:sz="0" w:space="0" w:color="auto"/>
                  </w:divBdr>
                  <w:divsChild>
                    <w:div w:id="915360072">
                      <w:marLeft w:val="0"/>
                      <w:marRight w:val="0"/>
                      <w:marTop w:val="0"/>
                      <w:marBottom w:val="0"/>
                      <w:divBdr>
                        <w:top w:val="none" w:sz="0" w:space="0" w:color="auto"/>
                        <w:left w:val="none" w:sz="0" w:space="0" w:color="auto"/>
                        <w:bottom w:val="none" w:sz="0" w:space="0" w:color="auto"/>
                        <w:right w:val="none" w:sz="0" w:space="0" w:color="auto"/>
                      </w:divBdr>
                    </w:div>
                  </w:divsChild>
                </w:div>
                <w:div w:id="1747804177">
                  <w:marLeft w:val="0"/>
                  <w:marRight w:val="0"/>
                  <w:marTop w:val="0"/>
                  <w:marBottom w:val="0"/>
                  <w:divBdr>
                    <w:top w:val="none" w:sz="0" w:space="0" w:color="auto"/>
                    <w:left w:val="none" w:sz="0" w:space="0" w:color="auto"/>
                    <w:bottom w:val="none" w:sz="0" w:space="0" w:color="auto"/>
                    <w:right w:val="none" w:sz="0" w:space="0" w:color="auto"/>
                  </w:divBdr>
                  <w:divsChild>
                    <w:div w:id="537860971">
                      <w:marLeft w:val="0"/>
                      <w:marRight w:val="0"/>
                      <w:marTop w:val="0"/>
                      <w:marBottom w:val="0"/>
                      <w:divBdr>
                        <w:top w:val="none" w:sz="0" w:space="0" w:color="auto"/>
                        <w:left w:val="none" w:sz="0" w:space="0" w:color="auto"/>
                        <w:bottom w:val="none" w:sz="0" w:space="0" w:color="auto"/>
                        <w:right w:val="none" w:sz="0" w:space="0" w:color="auto"/>
                      </w:divBdr>
                    </w:div>
                  </w:divsChild>
                </w:div>
                <w:div w:id="1750881657">
                  <w:marLeft w:val="0"/>
                  <w:marRight w:val="0"/>
                  <w:marTop w:val="0"/>
                  <w:marBottom w:val="0"/>
                  <w:divBdr>
                    <w:top w:val="none" w:sz="0" w:space="0" w:color="auto"/>
                    <w:left w:val="none" w:sz="0" w:space="0" w:color="auto"/>
                    <w:bottom w:val="none" w:sz="0" w:space="0" w:color="auto"/>
                    <w:right w:val="none" w:sz="0" w:space="0" w:color="auto"/>
                  </w:divBdr>
                  <w:divsChild>
                    <w:div w:id="61293325">
                      <w:marLeft w:val="0"/>
                      <w:marRight w:val="0"/>
                      <w:marTop w:val="0"/>
                      <w:marBottom w:val="0"/>
                      <w:divBdr>
                        <w:top w:val="none" w:sz="0" w:space="0" w:color="auto"/>
                        <w:left w:val="none" w:sz="0" w:space="0" w:color="auto"/>
                        <w:bottom w:val="none" w:sz="0" w:space="0" w:color="auto"/>
                        <w:right w:val="none" w:sz="0" w:space="0" w:color="auto"/>
                      </w:divBdr>
                    </w:div>
                  </w:divsChild>
                </w:div>
                <w:div w:id="1804156956">
                  <w:marLeft w:val="0"/>
                  <w:marRight w:val="0"/>
                  <w:marTop w:val="0"/>
                  <w:marBottom w:val="0"/>
                  <w:divBdr>
                    <w:top w:val="none" w:sz="0" w:space="0" w:color="auto"/>
                    <w:left w:val="none" w:sz="0" w:space="0" w:color="auto"/>
                    <w:bottom w:val="none" w:sz="0" w:space="0" w:color="auto"/>
                    <w:right w:val="none" w:sz="0" w:space="0" w:color="auto"/>
                  </w:divBdr>
                  <w:divsChild>
                    <w:div w:id="2031031911">
                      <w:marLeft w:val="0"/>
                      <w:marRight w:val="0"/>
                      <w:marTop w:val="0"/>
                      <w:marBottom w:val="0"/>
                      <w:divBdr>
                        <w:top w:val="none" w:sz="0" w:space="0" w:color="auto"/>
                        <w:left w:val="none" w:sz="0" w:space="0" w:color="auto"/>
                        <w:bottom w:val="none" w:sz="0" w:space="0" w:color="auto"/>
                        <w:right w:val="none" w:sz="0" w:space="0" w:color="auto"/>
                      </w:divBdr>
                    </w:div>
                  </w:divsChild>
                </w:div>
                <w:div w:id="1927227692">
                  <w:marLeft w:val="0"/>
                  <w:marRight w:val="0"/>
                  <w:marTop w:val="0"/>
                  <w:marBottom w:val="0"/>
                  <w:divBdr>
                    <w:top w:val="none" w:sz="0" w:space="0" w:color="auto"/>
                    <w:left w:val="none" w:sz="0" w:space="0" w:color="auto"/>
                    <w:bottom w:val="none" w:sz="0" w:space="0" w:color="auto"/>
                    <w:right w:val="none" w:sz="0" w:space="0" w:color="auto"/>
                  </w:divBdr>
                  <w:divsChild>
                    <w:div w:id="1192768288">
                      <w:marLeft w:val="0"/>
                      <w:marRight w:val="0"/>
                      <w:marTop w:val="0"/>
                      <w:marBottom w:val="0"/>
                      <w:divBdr>
                        <w:top w:val="none" w:sz="0" w:space="0" w:color="auto"/>
                        <w:left w:val="none" w:sz="0" w:space="0" w:color="auto"/>
                        <w:bottom w:val="none" w:sz="0" w:space="0" w:color="auto"/>
                        <w:right w:val="none" w:sz="0" w:space="0" w:color="auto"/>
                      </w:divBdr>
                    </w:div>
                  </w:divsChild>
                </w:div>
                <w:div w:id="1947618674">
                  <w:marLeft w:val="0"/>
                  <w:marRight w:val="0"/>
                  <w:marTop w:val="0"/>
                  <w:marBottom w:val="0"/>
                  <w:divBdr>
                    <w:top w:val="none" w:sz="0" w:space="0" w:color="auto"/>
                    <w:left w:val="none" w:sz="0" w:space="0" w:color="auto"/>
                    <w:bottom w:val="none" w:sz="0" w:space="0" w:color="auto"/>
                    <w:right w:val="none" w:sz="0" w:space="0" w:color="auto"/>
                  </w:divBdr>
                  <w:divsChild>
                    <w:div w:id="686104234">
                      <w:marLeft w:val="0"/>
                      <w:marRight w:val="0"/>
                      <w:marTop w:val="0"/>
                      <w:marBottom w:val="0"/>
                      <w:divBdr>
                        <w:top w:val="none" w:sz="0" w:space="0" w:color="auto"/>
                        <w:left w:val="none" w:sz="0" w:space="0" w:color="auto"/>
                        <w:bottom w:val="none" w:sz="0" w:space="0" w:color="auto"/>
                        <w:right w:val="none" w:sz="0" w:space="0" w:color="auto"/>
                      </w:divBdr>
                    </w:div>
                  </w:divsChild>
                </w:div>
                <w:div w:id="1950819226">
                  <w:marLeft w:val="0"/>
                  <w:marRight w:val="0"/>
                  <w:marTop w:val="0"/>
                  <w:marBottom w:val="0"/>
                  <w:divBdr>
                    <w:top w:val="none" w:sz="0" w:space="0" w:color="auto"/>
                    <w:left w:val="none" w:sz="0" w:space="0" w:color="auto"/>
                    <w:bottom w:val="none" w:sz="0" w:space="0" w:color="auto"/>
                    <w:right w:val="none" w:sz="0" w:space="0" w:color="auto"/>
                  </w:divBdr>
                  <w:divsChild>
                    <w:div w:id="17548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698598">
          <w:marLeft w:val="0"/>
          <w:marRight w:val="0"/>
          <w:marTop w:val="0"/>
          <w:marBottom w:val="0"/>
          <w:divBdr>
            <w:top w:val="none" w:sz="0" w:space="0" w:color="auto"/>
            <w:left w:val="none" w:sz="0" w:space="0" w:color="auto"/>
            <w:bottom w:val="none" w:sz="0" w:space="0" w:color="auto"/>
            <w:right w:val="none" w:sz="0" w:space="0" w:color="auto"/>
          </w:divBdr>
        </w:div>
        <w:div w:id="651981450">
          <w:marLeft w:val="0"/>
          <w:marRight w:val="0"/>
          <w:marTop w:val="0"/>
          <w:marBottom w:val="0"/>
          <w:divBdr>
            <w:top w:val="none" w:sz="0" w:space="0" w:color="auto"/>
            <w:left w:val="none" w:sz="0" w:space="0" w:color="auto"/>
            <w:bottom w:val="none" w:sz="0" w:space="0" w:color="auto"/>
            <w:right w:val="none" w:sz="0" w:space="0" w:color="auto"/>
          </w:divBdr>
        </w:div>
        <w:div w:id="653073114">
          <w:marLeft w:val="0"/>
          <w:marRight w:val="0"/>
          <w:marTop w:val="0"/>
          <w:marBottom w:val="0"/>
          <w:divBdr>
            <w:top w:val="none" w:sz="0" w:space="0" w:color="auto"/>
            <w:left w:val="none" w:sz="0" w:space="0" w:color="auto"/>
            <w:bottom w:val="none" w:sz="0" w:space="0" w:color="auto"/>
            <w:right w:val="none" w:sz="0" w:space="0" w:color="auto"/>
          </w:divBdr>
          <w:divsChild>
            <w:div w:id="187715520">
              <w:marLeft w:val="-75"/>
              <w:marRight w:val="0"/>
              <w:marTop w:val="30"/>
              <w:marBottom w:val="30"/>
              <w:divBdr>
                <w:top w:val="none" w:sz="0" w:space="0" w:color="auto"/>
                <w:left w:val="none" w:sz="0" w:space="0" w:color="auto"/>
                <w:bottom w:val="none" w:sz="0" w:space="0" w:color="auto"/>
                <w:right w:val="none" w:sz="0" w:space="0" w:color="auto"/>
              </w:divBdr>
              <w:divsChild>
                <w:div w:id="146896809">
                  <w:marLeft w:val="0"/>
                  <w:marRight w:val="0"/>
                  <w:marTop w:val="0"/>
                  <w:marBottom w:val="0"/>
                  <w:divBdr>
                    <w:top w:val="none" w:sz="0" w:space="0" w:color="auto"/>
                    <w:left w:val="none" w:sz="0" w:space="0" w:color="auto"/>
                    <w:bottom w:val="none" w:sz="0" w:space="0" w:color="auto"/>
                    <w:right w:val="none" w:sz="0" w:space="0" w:color="auto"/>
                  </w:divBdr>
                  <w:divsChild>
                    <w:div w:id="165245944">
                      <w:marLeft w:val="0"/>
                      <w:marRight w:val="0"/>
                      <w:marTop w:val="0"/>
                      <w:marBottom w:val="0"/>
                      <w:divBdr>
                        <w:top w:val="none" w:sz="0" w:space="0" w:color="auto"/>
                        <w:left w:val="none" w:sz="0" w:space="0" w:color="auto"/>
                        <w:bottom w:val="none" w:sz="0" w:space="0" w:color="auto"/>
                        <w:right w:val="none" w:sz="0" w:space="0" w:color="auto"/>
                      </w:divBdr>
                    </w:div>
                  </w:divsChild>
                </w:div>
                <w:div w:id="359400882">
                  <w:marLeft w:val="0"/>
                  <w:marRight w:val="0"/>
                  <w:marTop w:val="0"/>
                  <w:marBottom w:val="0"/>
                  <w:divBdr>
                    <w:top w:val="none" w:sz="0" w:space="0" w:color="auto"/>
                    <w:left w:val="none" w:sz="0" w:space="0" w:color="auto"/>
                    <w:bottom w:val="none" w:sz="0" w:space="0" w:color="auto"/>
                    <w:right w:val="none" w:sz="0" w:space="0" w:color="auto"/>
                  </w:divBdr>
                  <w:divsChild>
                    <w:div w:id="1209221949">
                      <w:marLeft w:val="0"/>
                      <w:marRight w:val="0"/>
                      <w:marTop w:val="0"/>
                      <w:marBottom w:val="0"/>
                      <w:divBdr>
                        <w:top w:val="none" w:sz="0" w:space="0" w:color="auto"/>
                        <w:left w:val="none" w:sz="0" w:space="0" w:color="auto"/>
                        <w:bottom w:val="none" w:sz="0" w:space="0" w:color="auto"/>
                        <w:right w:val="none" w:sz="0" w:space="0" w:color="auto"/>
                      </w:divBdr>
                    </w:div>
                    <w:div w:id="1293823431">
                      <w:marLeft w:val="0"/>
                      <w:marRight w:val="0"/>
                      <w:marTop w:val="0"/>
                      <w:marBottom w:val="0"/>
                      <w:divBdr>
                        <w:top w:val="none" w:sz="0" w:space="0" w:color="auto"/>
                        <w:left w:val="none" w:sz="0" w:space="0" w:color="auto"/>
                        <w:bottom w:val="none" w:sz="0" w:space="0" w:color="auto"/>
                        <w:right w:val="none" w:sz="0" w:space="0" w:color="auto"/>
                      </w:divBdr>
                    </w:div>
                  </w:divsChild>
                </w:div>
                <w:div w:id="1034304208">
                  <w:marLeft w:val="0"/>
                  <w:marRight w:val="0"/>
                  <w:marTop w:val="0"/>
                  <w:marBottom w:val="0"/>
                  <w:divBdr>
                    <w:top w:val="none" w:sz="0" w:space="0" w:color="auto"/>
                    <w:left w:val="none" w:sz="0" w:space="0" w:color="auto"/>
                    <w:bottom w:val="none" w:sz="0" w:space="0" w:color="auto"/>
                    <w:right w:val="none" w:sz="0" w:space="0" w:color="auto"/>
                  </w:divBdr>
                  <w:divsChild>
                    <w:div w:id="1568951146">
                      <w:marLeft w:val="0"/>
                      <w:marRight w:val="0"/>
                      <w:marTop w:val="0"/>
                      <w:marBottom w:val="0"/>
                      <w:divBdr>
                        <w:top w:val="none" w:sz="0" w:space="0" w:color="auto"/>
                        <w:left w:val="none" w:sz="0" w:space="0" w:color="auto"/>
                        <w:bottom w:val="none" w:sz="0" w:space="0" w:color="auto"/>
                        <w:right w:val="none" w:sz="0" w:space="0" w:color="auto"/>
                      </w:divBdr>
                    </w:div>
                  </w:divsChild>
                </w:div>
                <w:div w:id="1140466154">
                  <w:marLeft w:val="0"/>
                  <w:marRight w:val="0"/>
                  <w:marTop w:val="0"/>
                  <w:marBottom w:val="0"/>
                  <w:divBdr>
                    <w:top w:val="none" w:sz="0" w:space="0" w:color="auto"/>
                    <w:left w:val="none" w:sz="0" w:space="0" w:color="auto"/>
                    <w:bottom w:val="none" w:sz="0" w:space="0" w:color="auto"/>
                    <w:right w:val="none" w:sz="0" w:space="0" w:color="auto"/>
                  </w:divBdr>
                  <w:divsChild>
                    <w:div w:id="1796942986">
                      <w:marLeft w:val="0"/>
                      <w:marRight w:val="0"/>
                      <w:marTop w:val="0"/>
                      <w:marBottom w:val="0"/>
                      <w:divBdr>
                        <w:top w:val="none" w:sz="0" w:space="0" w:color="auto"/>
                        <w:left w:val="none" w:sz="0" w:space="0" w:color="auto"/>
                        <w:bottom w:val="none" w:sz="0" w:space="0" w:color="auto"/>
                        <w:right w:val="none" w:sz="0" w:space="0" w:color="auto"/>
                      </w:divBdr>
                    </w:div>
                  </w:divsChild>
                </w:div>
                <w:div w:id="1251544845">
                  <w:marLeft w:val="0"/>
                  <w:marRight w:val="0"/>
                  <w:marTop w:val="0"/>
                  <w:marBottom w:val="0"/>
                  <w:divBdr>
                    <w:top w:val="none" w:sz="0" w:space="0" w:color="auto"/>
                    <w:left w:val="none" w:sz="0" w:space="0" w:color="auto"/>
                    <w:bottom w:val="none" w:sz="0" w:space="0" w:color="auto"/>
                    <w:right w:val="none" w:sz="0" w:space="0" w:color="auto"/>
                  </w:divBdr>
                  <w:divsChild>
                    <w:div w:id="2076002434">
                      <w:marLeft w:val="0"/>
                      <w:marRight w:val="0"/>
                      <w:marTop w:val="0"/>
                      <w:marBottom w:val="0"/>
                      <w:divBdr>
                        <w:top w:val="none" w:sz="0" w:space="0" w:color="auto"/>
                        <w:left w:val="none" w:sz="0" w:space="0" w:color="auto"/>
                        <w:bottom w:val="none" w:sz="0" w:space="0" w:color="auto"/>
                        <w:right w:val="none" w:sz="0" w:space="0" w:color="auto"/>
                      </w:divBdr>
                    </w:div>
                  </w:divsChild>
                </w:div>
                <w:div w:id="1326283158">
                  <w:marLeft w:val="0"/>
                  <w:marRight w:val="0"/>
                  <w:marTop w:val="0"/>
                  <w:marBottom w:val="0"/>
                  <w:divBdr>
                    <w:top w:val="none" w:sz="0" w:space="0" w:color="auto"/>
                    <w:left w:val="none" w:sz="0" w:space="0" w:color="auto"/>
                    <w:bottom w:val="none" w:sz="0" w:space="0" w:color="auto"/>
                    <w:right w:val="none" w:sz="0" w:space="0" w:color="auto"/>
                  </w:divBdr>
                  <w:divsChild>
                    <w:div w:id="6109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408515">
          <w:marLeft w:val="0"/>
          <w:marRight w:val="0"/>
          <w:marTop w:val="0"/>
          <w:marBottom w:val="0"/>
          <w:divBdr>
            <w:top w:val="none" w:sz="0" w:space="0" w:color="auto"/>
            <w:left w:val="none" w:sz="0" w:space="0" w:color="auto"/>
            <w:bottom w:val="none" w:sz="0" w:space="0" w:color="auto"/>
            <w:right w:val="none" w:sz="0" w:space="0" w:color="auto"/>
          </w:divBdr>
          <w:divsChild>
            <w:div w:id="385498030">
              <w:marLeft w:val="-75"/>
              <w:marRight w:val="0"/>
              <w:marTop w:val="30"/>
              <w:marBottom w:val="30"/>
              <w:divBdr>
                <w:top w:val="none" w:sz="0" w:space="0" w:color="auto"/>
                <w:left w:val="none" w:sz="0" w:space="0" w:color="auto"/>
                <w:bottom w:val="none" w:sz="0" w:space="0" w:color="auto"/>
                <w:right w:val="none" w:sz="0" w:space="0" w:color="auto"/>
              </w:divBdr>
              <w:divsChild>
                <w:div w:id="34936231">
                  <w:marLeft w:val="0"/>
                  <w:marRight w:val="0"/>
                  <w:marTop w:val="0"/>
                  <w:marBottom w:val="0"/>
                  <w:divBdr>
                    <w:top w:val="none" w:sz="0" w:space="0" w:color="auto"/>
                    <w:left w:val="none" w:sz="0" w:space="0" w:color="auto"/>
                    <w:bottom w:val="none" w:sz="0" w:space="0" w:color="auto"/>
                    <w:right w:val="none" w:sz="0" w:space="0" w:color="auto"/>
                  </w:divBdr>
                  <w:divsChild>
                    <w:div w:id="85272218">
                      <w:marLeft w:val="0"/>
                      <w:marRight w:val="0"/>
                      <w:marTop w:val="0"/>
                      <w:marBottom w:val="0"/>
                      <w:divBdr>
                        <w:top w:val="none" w:sz="0" w:space="0" w:color="auto"/>
                        <w:left w:val="none" w:sz="0" w:space="0" w:color="auto"/>
                        <w:bottom w:val="none" w:sz="0" w:space="0" w:color="auto"/>
                        <w:right w:val="none" w:sz="0" w:space="0" w:color="auto"/>
                      </w:divBdr>
                    </w:div>
                  </w:divsChild>
                </w:div>
                <w:div w:id="253828811">
                  <w:marLeft w:val="0"/>
                  <w:marRight w:val="0"/>
                  <w:marTop w:val="0"/>
                  <w:marBottom w:val="0"/>
                  <w:divBdr>
                    <w:top w:val="none" w:sz="0" w:space="0" w:color="auto"/>
                    <w:left w:val="none" w:sz="0" w:space="0" w:color="auto"/>
                    <w:bottom w:val="none" w:sz="0" w:space="0" w:color="auto"/>
                    <w:right w:val="none" w:sz="0" w:space="0" w:color="auto"/>
                  </w:divBdr>
                  <w:divsChild>
                    <w:div w:id="1823501523">
                      <w:marLeft w:val="0"/>
                      <w:marRight w:val="0"/>
                      <w:marTop w:val="0"/>
                      <w:marBottom w:val="0"/>
                      <w:divBdr>
                        <w:top w:val="none" w:sz="0" w:space="0" w:color="auto"/>
                        <w:left w:val="none" w:sz="0" w:space="0" w:color="auto"/>
                        <w:bottom w:val="none" w:sz="0" w:space="0" w:color="auto"/>
                        <w:right w:val="none" w:sz="0" w:space="0" w:color="auto"/>
                      </w:divBdr>
                    </w:div>
                  </w:divsChild>
                </w:div>
                <w:div w:id="406655503">
                  <w:marLeft w:val="0"/>
                  <w:marRight w:val="0"/>
                  <w:marTop w:val="0"/>
                  <w:marBottom w:val="0"/>
                  <w:divBdr>
                    <w:top w:val="none" w:sz="0" w:space="0" w:color="auto"/>
                    <w:left w:val="none" w:sz="0" w:space="0" w:color="auto"/>
                    <w:bottom w:val="none" w:sz="0" w:space="0" w:color="auto"/>
                    <w:right w:val="none" w:sz="0" w:space="0" w:color="auto"/>
                  </w:divBdr>
                  <w:divsChild>
                    <w:div w:id="815877933">
                      <w:marLeft w:val="0"/>
                      <w:marRight w:val="0"/>
                      <w:marTop w:val="0"/>
                      <w:marBottom w:val="0"/>
                      <w:divBdr>
                        <w:top w:val="none" w:sz="0" w:space="0" w:color="auto"/>
                        <w:left w:val="none" w:sz="0" w:space="0" w:color="auto"/>
                        <w:bottom w:val="none" w:sz="0" w:space="0" w:color="auto"/>
                        <w:right w:val="none" w:sz="0" w:space="0" w:color="auto"/>
                      </w:divBdr>
                    </w:div>
                  </w:divsChild>
                </w:div>
                <w:div w:id="683046668">
                  <w:marLeft w:val="0"/>
                  <w:marRight w:val="0"/>
                  <w:marTop w:val="0"/>
                  <w:marBottom w:val="0"/>
                  <w:divBdr>
                    <w:top w:val="none" w:sz="0" w:space="0" w:color="auto"/>
                    <w:left w:val="none" w:sz="0" w:space="0" w:color="auto"/>
                    <w:bottom w:val="none" w:sz="0" w:space="0" w:color="auto"/>
                    <w:right w:val="none" w:sz="0" w:space="0" w:color="auto"/>
                  </w:divBdr>
                  <w:divsChild>
                    <w:div w:id="1630167431">
                      <w:marLeft w:val="0"/>
                      <w:marRight w:val="0"/>
                      <w:marTop w:val="0"/>
                      <w:marBottom w:val="0"/>
                      <w:divBdr>
                        <w:top w:val="none" w:sz="0" w:space="0" w:color="auto"/>
                        <w:left w:val="none" w:sz="0" w:space="0" w:color="auto"/>
                        <w:bottom w:val="none" w:sz="0" w:space="0" w:color="auto"/>
                        <w:right w:val="none" w:sz="0" w:space="0" w:color="auto"/>
                      </w:divBdr>
                    </w:div>
                  </w:divsChild>
                </w:div>
                <w:div w:id="1183857055">
                  <w:marLeft w:val="0"/>
                  <w:marRight w:val="0"/>
                  <w:marTop w:val="0"/>
                  <w:marBottom w:val="0"/>
                  <w:divBdr>
                    <w:top w:val="none" w:sz="0" w:space="0" w:color="auto"/>
                    <w:left w:val="none" w:sz="0" w:space="0" w:color="auto"/>
                    <w:bottom w:val="none" w:sz="0" w:space="0" w:color="auto"/>
                    <w:right w:val="none" w:sz="0" w:space="0" w:color="auto"/>
                  </w:divBdr>
                  <w:divsChild>
                    <w:div w:id="1046444963">
                      <w:marLeft w:val="0"/>
                      <w:marRight w:val="0"/>
                      <w:marTop w:val="0"/>
                      <w:marBottom w:val="0"/>
                      <w:divBdr>
                        <w:top w:val="none" w:sz="0" w:space="0" w:color="auto"/>
                        <w:left w:val="none" w:sz="0" w:space="0" w:color="auto"/>
                        <w:bottom w:val="none" w:sz="0" w:space="0" w:color="auto"/>
                        <w:right w:val="none" w:sz="0" w:space="0" w:color="auto"/>
                      </w:divBdr>
                    </w:div>
                  </w:divsChild>
                </w:div>
                <w:div w:id="1588004790">
                  <w:marLeft w:val="0"/>
                  <w:marRight w:val="0"/>
                  <w:marTop w:val="0"/>
                  <w:marBottom w:val="0"/>
                  <w:divBdr>
                    <w:top w:val="none" w:sz="0" w:space="0" w:color="auto"/>
                    <w:left w:val="none" w:sz="0" w:space="0" w:color="auto"/>
                    <w:bottom w:val="none" w:sz="0" w:space="0" w:color="auto"/>
                    <w:right w:val="none" w:sz="0" w:space="0" w:color="auto"/>
                  </w:divBdr>
                  <w:divsChild>
                    <w:div w:id="741676820">
                      <w:marLeft w:val="0"/>
                      <w:marRight w:val="0"/>
                      <w:marTop w:val="0"/>
                      <w:marBottom w:val="0"/>
                      <w:divBdr>
                        <w:top w:val="none" w:sz="0" w:space="0" w:color="auto"/>
                        <w:left w:val="none" w:sz="0" w:space="0" w:color="auto"/>
                        <w:bottom w:val="none" w:sz="0" w:space="0" w:color="auto"/>
                        <w:right w:val="none" w:sz="0" w:space="0" w:color="auto"/>
                      </w:divBdr>
                    </w:div>
                  </w:divsChild>
                </w:div>
                <w:div w:id="1691182914">
                  <w:marLeft w:val="0"/>
                  <w:marRight w:val="0"/>
                  <w:marTop w:val="0"/>
                  <w:marBottom w:val="0"/>
                  <w:divBdr>
                    <w:top w:val="none" w:sz="0" w:space="0" w:color="auto"/>
                    <w:left w:val="none" w:sz="0" w:space="0" w:color="auto"/>
                    <w:bottom w:val="none" w:sz="0" w:space="0" w:color="auto"/>
                    <w:right w:val="none" w:sz="0" w:space="0" w:color="auto"/>
                  </w:divBdr>
                  <w:divsChild>
                    <w:div w:id="1401438649">
                      <w:marLeft w:val="0"/>
                      <w:marRight w:val="0"/>
                      <w:marTop w:val="0"/>
                      <w:marBottom w:val="0"/>
                      <w:divBdr>
                        <w:top w:val="none" w:sz="0" w:space="0" w:color="auto"/>
                        <w:left w:val="none" w:sz="0" w:space="0" w:color="auto"/>
                        <w:bottom w:val="none" w:sz="0" w:space="0" w:color="auto"/>
                        <w:right w:val="none" w:sz="0" w:space="0" w:color="auto"/>
                      </w:divBdr>
                    </w:div>
                  </w:divsChild>
                </w:div>
                <w:div w:id="1994219686">
                  <w:marLeft w:val="0"/>
                  <w:marRight w:val="0"/>
                  <w:marTop w:val="0"/>
                  <w:marBottom w:val="0"/>
                  <w:divBdr>
                    <w:top w:val="none" w:sz="0" w:space="0" w:color="auto"/>
                    <w:left w:val="none" w:sz="0" w:space="0" w:color="auto"/>
                    <w:bottom w:val="none" w:sz="0" w:space="0" w:color="auto"/>
                    <w:right w:val="none" w:sz="0" w:space="0" w:color="auto"/>
                  </w:divBdr>
                  <w:divsChild>
                    <w:div w:id="1970668287">
                      <w:marLeft w:val="0"/>
                      <w:marRight w:val="0"/>
                      <w:marTop w:val="0"/>
                      <w:marBottom w:val="0"/>
                      <w:divBdr>
                        <w:top w:val="none" w:sz="0" w:space="0" w:color="auto"/>
                        <w:left w:val="none" w:sz="0" w:space="0" w:color="auto"/>
                        <w:bottom w:val="none" w:sz="0" w:space="0" w:color="auto"/>
                        <w:right w:val="none" w:sz="0" w:space="0" w:color="auto"/>
                      </w:divBdr>
                    </w:div>
                  </w:divsChild>
                </w:div>
                <w:div w:id="2026202354">
                  <w:marLeft w:val="0"/>
                  <w:marRight w:val="0"/>
                  <w:marTop w:val="0"/>
                  <w:marBottom w:val="0"/>
                  <w:divBdr>
                    <w:top w:val="none" w:sz="0" w:space="0" w:color="auto"/>
                    <w:left w:val="none" w:sz="0" w:space="0" w:color="auto"/>
                    <w:bottom w:val="none" w:sz="0" w:space="0" w:color="auto"/>
                    <w:right w:val="none" w:sz="0" w:space="0" w:color="auto"/>
                  </w:divBdr>
                  <w:divsChild>
                    <w:div w:id="429085168">
                      <w:marLeft w:val="0"/>
                      <w:marRight w:val="0"/>
                      <w:marTop w:val="0"/>
                      <w:marBottom w:val="0"/>
                      <w:divBdr>
                        <w:top w:val="none" w:sz="0" w:space="0" w:color="auto"/>
                        <w:left w:val="none" w:sz="0" w:space="0" w:color="auto"/>
                        <w:bottom w:val="none" w:sz="0" w:space="0" w:color="auto"/>
                        <w:right w:val="none" w:sz="0" w:space="0" w:color="auto"/>
                      </w:divBdr>
                    </w:div>
                  </w:divsChild>
                </w:div>
                <w:div w:id="2026203681">
                  <w:marLeft w:val="0"/>
                  <w:marRight w:val="0"/>
                  <w:marTop w:val="0"/>
                  <w:marBottom w:val="0"/>
                  <w:divBdr>
                    <w:top w:val="none" w:sz="0" w:space="0" w:color="auto"/>
                    <w:left w:val="none" w:sz="0" w:space="0" w:color="auto"/>
                    <w:bottom w:val="none" w:sz="0" w:space="0" w:color="auto"/>
                    <w:right w:val="none" w:sz="0" w:space="0" w:color="auto"/>
                  </w:divBdr>
                  <w:divsChild>
                    <w:div w:id="1385907715">
                      <w:marLeft w:val="0"/>
                      <w:marRight w:val="0"/>
                      <w:marTop w:val="0"/>
                      <w:marBottom w:val="0"/>
                      <w:divBdr>
                        <w:top w:val="none" w:sz="0" w:space="0" w:color="auto"/>
                        <w:left w:val="none" w:sz="0" w:space="0" w:color="auto"/>
                        <w:bottom w:val="none" w:sz="0" w:space="0" w:color="auto"/>
                        <w:right w:val="none" w:sz="0" w:space="0" w:color="auto"/>
                      </w:divBdr>
                    </w:div>
                  </w:divsChild>
                </w:div>
                <w:div w:id="2074310088">
                  <w:marLeft w:val="0"/>
                  <w:marRight w:val="0"/>
                  <w:marTop w:val="0"/>
                  <w:marBottom w:val="0"/>
                  <w:divBdr>
                    <w:top w:val="none" w:sz="0" w:space="0" w:color="auto"/>
                    <w:left w:val="none" w:sz="0" w:space="0" w:color="auto"/>
                    <w:bottom w:val="none" w:sz="0" w:space="0" w:color="auto"/>
                    <w:right w:val="none" w:sz="0" w:space="0" w:color="auto"/>
                  </w:divBdr>
                  <w:divsChild>
                    <w:div w:id="1138836358">
                      <w:marLeft w:val="0"/>
                      <w:marRight w:val="0"/>
                      <w:marTop w:val="0"/>
                      <w:marBottom w:val="0"/>
                      <w:divBdr>
                        <w:top w:val="none" w:sz="0" w:space="0" w:color="auto"/>
                        <w:left w:val="none" w:sz="0" w:space="0" w:color="auto"/>
                        <w:bottom w:val="none" w:sz="0" w:space="0" w:color="auto"/>
                        <w:right w:val="none" w:sz="0" w:space="0" w:color="auto"/>
                      </w:divBdr>
                    </w:div>
                  </w:divsChild>
                </w:div>
                <w:div w:id="2096591804">
                  <w:marLeft w:val="0"/>
                  <w:marRight w:val="0"/>
                  <w:marTop w:val="0"/>
                  <w:marBottom w:val="0"/>
                  <w:divBdr>
                    <w:top w:val="none" w:sz="0" w:space="0" w:color="auto"/>
                    <w:left w:val="none" w:sz="0" w:space="0" w:color="auto"/>
                    <w:bottom w:val="none" w:sz="0" w:space="0" w:color="auto"/>
                    <w:right w:val="none" w:sz="0" w:space="0" w:color="auto"/>
                  </w:divBdr>
                  <w:divsChild>
                    <w:div w:id="8496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00488">
          <w:marLeft w:val="0"/>
          <w:marRight w:val="0"/>
          <w:marTop w:val="0"/>
          <w:marBottom w:val="0"/>
          <w:divBdr>
            <w:top w:val="none" w:sz="0" w:space="0" w:color="auto"/>
            <w:left w:val="none" w:sz="0" w:space="0" w:color="auto"/>
            <w:bottom w:val="none" w:sz="0" w:space="0" w:color="auto"/>
            <w:right w:val="none" w:sz="0" w:space="0" w:color="auto"/>
          </w:divBdr>
        </w:div>
        <w:div w:id="658465850">
          <w:marLeft w:val="0"/>
          <w:marRight w:val="0"/>
          <w:marTop w:val="0"/>
          <w:marBottom w:val="0"/>
          <w:divBdr>
            <w:top w:val="none" w:sz="0" w:space="0" w:color="auto"/>
            <w:left w:val="none" w:sz="0" w:space="0" w:color="auto"/>
            <w:bottom w:val="none" w:sz="0" w:space="0" w:color="auto"/>
            <w:right w:val="none" w:sz="0" w:space="0" w:color="auto"/>
          </w:divBdr>
          <w:divsChild>
            <w:div w:id="1692218406">
              <w:marLeft w:val="-75"/>
              <w:marRight w:val="0"/>
              <w:marTop w:val="30"/>
              <w:marBottom w:val="30"/>
              <w:divBdr>
                <w:top w:val="none" w:sz="0" w:space="0" w:color="auto"/>
                <w:left w:val="none" w:sz="0" w:space="0" w:color="auto"/>
                <w:bottom w:val="none" w:sz="0" w:space="0" w:color="auto"/>
                <w:right w:val="none" w:sz="0" w:space="0" w:color="auto"/>
              </w:divBdr>
              <w:divsChild>
                <w:div w:id="36004644">
                  <w:marLeft w:val="0"/>
                  <w:marRight w:val="0"/>
                  <w:marTop w:val="0"/>
                  <w:marBottom w:val="0"/>
                  <w:divBdr>
                    <w:top w:val="none" w:sz="0" w:space="0" w:color="auto"/>
                    <w:left w:val="none" w:sz="0" w:space="0" w:color="auto"/>
                    <w:bottom w:val="none" w:sz="0" w:space="0" w:color="auto"/>
                    <w:right w:val="none" w:sz="0" w:space="0" w:color="auto"/>
                  </w:divBdr>
                  <w:divsChild>
                    <w:div w:id="1155142224">
                      <w:marLeft w:val="0"/>
                      <w:marRight w:val="0"/>
                      <w:marTop w:val="0"/>
                      <w:marBottom w:val="0"/>
                      <w:divBdr>
                        <w:top w:val="none" w:sz="0" w:space="0" w:color="auto"/>
                        <w:left w:val="none" w:sz="0" w:space="0" w:color="auto"/>
                        <w:bottom w:val="none" w:sz="0" w:space="0" w:color="auto"/>
                        <w:right w:val="none" w:sz="0" w:space="0" w:color="auto"/>
                      </w:divBdr>
                    </w:div>
                  </w:divsChild>
                </w:div>
                <w:div w:id="146484984">
                  <w:marLeft w:val="0"/>
                  <w:marRight w:val="0"/>
                  <w:marTop w:val="0"/>
                  <w:marBottom w:val="0"/>
                  <w:divBdr>
                    <w:top w:val="none" w:sz="0" w:space="0" w:color="auto"/>
                    <w:left w:val="none" w:sz="0" w:space="0" w:color="auto"/>
                    <w:bottom w:val="none" w:sz="0" w:space="0" w:color="auto"/>
                    <w:right w:val="none" w:sz="0" w:space="0" w:color="auto"/>
                  </w:divBdr>
                  <w:divsChild>
                    <w:div w:id="1826047975">
                      <w:marLeft w:val="0"/>
                      <w:marRight w:val="0"/>
                      <w:marTop w:val="0"/>
                      <w:marBottom w:val="0"/>
                      <w:divBdr>
                        <w:top w:val="none" w:sz="0" w:space="0" w:color="auto"/>
                        <w:left w:val="none" w:sz="0" w:space="0" w:color="auto"/>
                        <w:bottom w:val="none" w:sz="0" w:space="0" w:color="auto"/>
                        <w:right w:val="none" w:sz="0" w:space="0" w:color="auto"/>
                      </w:divBdr>
                    </w:div>
                  </w:divsChild>
                </w:div>
                <w:div w:id="181945610">
                  <w:marLeft w:val="0"/>
                  <w:marRight w:val="0"/>
                  <w:marTop w:val="0"/>
                  <w:marBottom w:val="0"/>
                  <w:divBdr>
                    <w:top w:val="none" w:sz="0" w:space="0" w:color="auto"/>
                    <w:left w:val="none" w:sz="0" w:space="0" w:color="auto"/>
                    <w:bottom w:val="none" w:sz="0" w:space="0" w:color="auto"/>
                    <w:right w:val="none" w:sz="0" w:space="0" w:color="auto"/>
                  </w:divBdr>
                  <w:divsChild>
                    <w:div w:id="1185750111">
                      <w:marLeft w:val="0"/>
                      <w:marRight w:val="0"/>
                      <w:marTop w:val="0"/>
                      <w:marBottom w:val="0"/>
                      <w:divBdr>
                        <w:top w:val="none" w:sz="0" w:space="0" w:color="auto"/>
                        <w:left w:val="none" w:sz="0" w:space="0" w:color="auto"/>
                        <w:bottom w:val="none" w:sz="0" w:space="0" w:color="auto"/>
                        <w:right w:val="none" w:sz="0" w:space="0" w:color="auto"/>
                      </w:divBdr>
                    </w:div>
                  </w:divsChild>
                </w:div>
                <w:div w:id="279534368">
                  <w:marLeft w:val="0"/>
                  <w:marRight w:val="0"/>
                  <w:marTop w:val="0"/>
                  <w:marBottom w:val="0"/>
                  <w:divBdr>
                    <w:top w:val="none" w:sz="0" w:space="0" w:color="auto"/>
                    <w:left w:val="none" w:sz="0" w:space="0" w:color="auto"/>
                    <w:bottom w:val="none" w:sz="0" w:space="0" w:color="auto"/>
                    <w:right w:val="none" w:sz="0" w:space="0" w:color="auto"/>
                  </w:divBdr>
                  <w:divsChild>
                    <w:div w:id="1789926923">
                      <w:marLeft w:val="0"/>
                      <w:marRight w:val="0"/>
                      <w:marTop w:val="0"/>
                      <w:marBottom w:val="0"/>
                      <w:divBdr>
                        <w:top w:val="none" w:sz="0" w:space="0" w:color="auto"/>
                        <w:left w:val="none" w:sz="0" w:space="0" w:color="auto"/>
                        <w:bottom w:val="none" w:sz="0" w:space="0" w:color="auto"/>
                        <w:right w:val="none" w:sz="0" w:space="0" w:color="auto"/>
                      </w:divBdr>
                    </w:div>
                  </w:divsChild>
                </w:div>
                <w:div w:id="342632611">
                  <w:marLeft w:val="0"/>
                  <w:marRight w:val="0"/>
                  <w:marTop w:val="0"/>
                  <w:marBottom w:val="0"/>
                  <w:divBdr>
                    <w:top w:val="none" w:sz="0" w:space="0" w:color="auto"/>
                    <w:left w:val="none" w:sz="0" w:space="0" w:color="auto"/>
                    <w:bottom w:val="none" w:sz="0" w:space="0" w:color="auto"/>
                    <w:right w:val="none" w:sz="0" w:space="0" w:color="auto"/>
                  </w:divBdr>
                  <w:divsChild>
                    <w:div w:id="2029865009">
                      <w:marLeft w:val="0"/>
                      <w:marRight w:val="0"/>
                      <w:marTop w:val="0"/>
                      <w:marBottom w:val="0"/>
                      <w:divBdr>
                        <w:top w:val="none" w:sz="0" w:space="0" w:color="auto"/>
                        <w:left w:val="none" w:sz="0" w:space="0" w:color="auto"/>
                        <w:bottom w:val="none" w:sz="0" w:space="0" w:color="auto"/>
                        <w:right w:val="none" w:sz="0" w:space="0" w:color="auto"/>
                      </w:divBdr>
                    </w:div>
                  </w:divsChild>
                </w:div>
                <w:div w:id="383334167">
                  <w:marLeft w:val="0"/>
                  <w:marRight w:val="0"/>
                  <w:marTop w:val="0"/>
                  <w:marBottom w:val="0"/>
                  <w:divBdr>
                    <w:top w:val="none" w:sz="0" w:space="0" w:color="auto"/>
                    <w:left w:val="none" w:sz="0" w:space="0" w:color="auto"/>
                    <w:bottom w:val="none" w:sz="0" w:space="0" w:color="auto"/>
                    <w:right w:val="none" w:sz="0" w:space="0" w:color="auto"/>
                  </w:divBdr>
                  <w:divsChild>
                    <w:div w:id="273178408">
                      <w:marLeft w:val="0"/>
                      <w:marRight w:val="0"/>
                      <w:marTop w:val="0"/>
                      <w:marBottom w:val="0"/>
                      <w:divBdr>
                        <w:top w:val="none" w:sz="0" w:space="0" w:color="auto"/>
                        <w:left w:val="none" w:sz="0" w:space="0" w:color="auto"/>
                        <w:bottom w:val="none" w:sz="0" w:space="0" w:color="auto"/>
                        <w:right w:val="none" w:sz="0" w:space="0" w:color="auto"/>
                      </w:divBdr>
                    </w:div>
                  </w:divsChild>
                </w:div>
                <w:div w:id="581840676">
                  <w:marLeft w:val="0"/>
                  <w:marRight w:val="0"/>
                  <w:marTop w:val="0"/>
                  <w:marBottom w:val="0"/>
                  <w:divBdr>
                    <w:top w:val="none" w:sz="0" w:space="0" w:color="auto"/>
                    <w:left w:val="none" w:sz="0" w:space="0" w:color="auto"/>
                    <w:bottom w:val="none" w:sz="0" w:space="0" w:color="auto"/>
                    <w:right w:val="none" w:sz="0" w:space="0" w:color="auto"/>
                  </w:divBdr>
                  <w:divsChild>
                    <w:div w:id="1711538427">
                      <w:marLeft w:val="0"/>
                      <w:marRight w:val="0"/>
                      <w:marTop w:val="0"/>
                      <w:marBottom w:val="0"/>
                      <w:divBdr>
                        <w:top w:val="none" w:sz="0" w:space="0" w:color="auto"/>
                        <w:left w:val="none" w:sz="0" w:space="0" w:color="auto"/>
                        <w:bottom w:val="none" w:sz="0" w:space="0" w:color="auto"/>
                        <w:right w:val="none" w:sz="0" w:space="0" w:color="auto"/>
                      </w:divBdr>
                    </w:div>
                  </w:divsChild>
                </w:div>
                <w:div w:id="587736872">
                  <w:marLeft w:val="0"/>
                  <w:marRight w:val="0"/>
                  <w:marTop w:val="0"/>
                  <w:marBottom w:val="0"/>
                  <w:divBdr>
                    <w:top w:val="none" w:sz="0" w:space="0" w:color="auto"/>
                    <w:left w:val="none" w:sz="0" w:space="0" w:color="auto"/>
                    <w:bottom w:val="none" w:sz="0" w:space="0" w:color="auto"/>
                    <w:right w:val="none" w:sz="0" w:space="0" w:color="auto"/>
                  </w:divBdr>
                  <w:divsChild>
                    <w:div w:id="214972507">
                      <w:marLeft w:val="0"/>
                      <w:marRight w:val="0"/>
                      <w:marTop w:val="0"/>
                      <w:marBottom w:val="0"/>
                      <w:divBdr>
                        <w:top w:val="none" w:sz="0" w:space="0" w:color="auto"/>
                        <w:left w:val="none" w:sz="0" w:space="0" w:color="auto"/>
                        <w:bottom w:val="none" w:sz="0" w:space="0" w:color="auto"/>
                        <w:right w:val="none" w:sz="0" w:space="0" w:color="auto"/>
                      </w:divBdr>
                    </w:div>
                  </w:divsChild>
                </w:div>
                <w:div w:id="608120056">
                  <w:marLeft w:val="0"/>
                  <w:marRight w:val="0"/>
                  <w:marTop w:val="0"/>
                  <w:marBottom w:val="0"/>
                  <w:divBdr>
                    <w:top w:val="none" w:sz="0" w:space="0" w:color="auto"/>
                    <w:left w:val="none" w:sz="0" w:space="0" w:color="auto"/>
                    <w:bottom w:val="none" w:sz="0" w:space="0" w:color="auto"/>
                    <w:right w:val="none" w:sz="0" w:space="0" w:color="auto"/>
                  </w:divBdr>
                  <w:divsChild>
                    <w:div w:id="811098320">
                      <w:marLeft w:val="0"/>
                      <w:marRight w:val="0"/>
                      <w:marTop w:val="0"/>
                      <w:marBottom w:val="0"/>
                      <w:divBdr>
                        <w:top w:val="none" w:sz="0" w:space="0" w:color="auto"/>
                        <w:left w:val="none" w:sz="0" w:space="0" w:color="auto"/>
                        <w:bottom w:val="none" w:sz="0" w:space="0" w:color="auto"/>
                        <w:right w:val="none" w:sz="0" w:space="0" w:color="auto"/>
                      </w:divBdr>
                    </w:div>
                  </w:divsChild>
                </w:div>
                <w:div w:id="673847209">
                  <w:marLeft w:val="0"/>
                  <w:marRight w:val="0"/>
                  <w:marTop w:val="0"/>
                  <w:marBottom w:val="0"/>
                  <w:divBdr>
                    <w:top w:val="none" w:sz="0" w:space="0" w:color="auto"/>
                    <w:left w:val="none" w:sz="0" w:space="0" w:color="auto"/>
                    <w:bottom w:val="none" w:sz="0" w:space="0" w:color="auto"/>
                    <w:right w:val="none" w:sz="0" w:space="0" w:color="auto"/>
                  </w:divBdr>
                  <w:divsChild>
                    <w:div w:id="1131938594">
                      <w:marLeft w:val="0"/>
                      <w:marRight w:val="0"/>
                      <w:marTop w:val="0"/>
                      <w:marBottom w:val="0"/>
                      <w:divBdr>
                        <w:top w:val="none" w:sz="0" w:space="0" w:color="auto"/>
                        <w:left w:val="none" w:sz="0" w:space="0" w:color="auto"/>
                        <w:bottom w:val="none" w:sz="0" w:space="0" w:color="auto"/>
                        <w:right w:val="none" w:sz="0" w:space="0" w:color="auto"/>
                      </w:divBdr>
                    </w:div>
                  </w:divsChild>
                </w:div>
                <w:div w:id="716245205">
                  <w:marLeft w:val="0"/>
                  <w:marRight w:val="0"/>
                  <w:marTop w:val="0"/>
                  <w:marBottom w:val="0"/>
                  <w:divBdr>
                    <w:top w:val="none" w:sz="0" w:space="0" w:color="auto"/>
                    <w:left w:val="none" w:sz="0" w:space="0" w:color="auto"/>
                    <w:bottom w:val="none" w:sz="0" w:space="0" w:color="auto"/>
                    <w:right w:val="none" w:sz="0" w:space="0" w:color="auto"/>
                  </w:divBdr>
                  <w:divsChild>
                    <w:div w:id="1058362482">
                      <w:marLeft w:val="0"/>
                      <w:marRight w:val="0"/>
                      <w:marTop w:val="0"/>
                      <w:marBottom w:val="0"/>
                      <w:divBdr>
                        <w:top w:val="none" w:sz="0" w:space="0" w:color="auto"/>
                        <w:left w:val="none" w:sz="0" w:space="0" w:color="auto"/>
                        <w:bottom w:val="none" w:sz="0" w:space="0" w:color="auto"/>
                        <w:right w:val="none" w:sz="0" w:space="0" w:color="auto"/>
                      </w:divBdr>
                    </w:div>
                  </w:divsChild>
                </w:div>
                <w:div w:id="747189297">
                  <w:marLeft w:val="0"/>
                  <w:marRight w:val="0"/>
                  <w:marTop w:val="0"/>
                  <w:marBottom w:val="0"/>
                  <w:divBdr>
                    <w:top w:val="none" w:sz="0" w:space="0" w:color="auto"/>
                    <w:left w:val="none" w:sz="0" w:space="0" w:color="auto"/>
                    <w:bottom w:val="none" w:sz="0" w:space="0" w:color="auto"/>
                    <w:right w:val="none" w:sz="0" w:space="0" w:color="auto"/>
                  </w:divBdr>
                  <w:divsChild>
                    <w:div w:id="2055734183">
                      <w:marLeft w:val="0"/>
                      <w:marRight w:val="0"/>
                      <w:marTop w:val="0"/>
                      <w:marBottom w:val="0"/>
                      <w:divBdr>
                        <w:top w:val="none" w:sz="0" w:space="0" w:color="auto"/>
                        <w:left w:val="none" w:sz="0" w:space="0" w:color="auto"/>
                        <w:bottom w:val="none" w:sz="0" w:space="0" w:color="auto"/>
                        <w:right w:val="none" w:sz="0" w:space="0" w:color="auto"/>
                      </w:divBdr>
                    </w:div>
                  </w:divsChild>
                </w:div>
                <w:div w:id="911474970">
                  <w:marLeft w:val="0"/>
                  <w:marRight w:val="0"/>
                  <w:marTop w:val="0"/>
                  <w:marBottom w:val="0"/>
                  <w:divBdr>
                    <w:top w:val="none" w:sz="0" w:space="0" w:color="auto"/>
                    <w:left w:val="none" w:sz="0" w:space="0" w:color="auto"/>
                    <w:bottom w:val="none" w:sz="0" w:space="0" w:color="auto"/>
                    <w:right w:val="none" w:sz="0" w:space="0" w:color="auto"/>
                  </w:divBdr>
                  <w:divsChild>
                    <w:div w:id="1686244501">
                      <w:marLeft w:val="0"/>
                      <w:marRight w:val="0"/>
                      <w:marTop w:val="0"/>
                      <w:marBottom w:val="0"/>
                      <w:divBdr>
                        <w:top w:val="none" w:sz="0" w:space="0" w:color="auto"/>
                        <w:left w:val="none" w:sz="0" w:space="0" w:color="auto"/>
                        <w:bottom w:val="none" w:sz="0" w:space="0" w:color="auto"/>
                        <w:right w:val="none" w:sz="0" w:space="0" w:color="auto"/>
                      </w:divBdr>
                    </w:div>
                  </w:divsChild>
                </w:div>
                <w:div w:id="938298892">
                  <w:marLeft w:val="0"/>
                  <w:marRight w:val="0"/>
                  <w:marTop w:val="0"/>
                  <w:marBottom w:val="0"/>
                  <w:divBdr>
                    <w:top w:val="none" w:sz="0" w:space="0" w:color="auto"/>
                    <w:left w:val="none" w:sz="0" w:space="0" w:color="auto"/>
                    <w:bottom w:val="none" w:sz="0" w:space="0" w:color="auto"/>
                    <w:right w:val="none" w:sz="0" w:space="0" w:color="auto"/>
                  </w:divBdr>
                  <w:divsChild>
                    <w:div w:id="314190716">
                      <w:marLeft w:val="0"/>
                      <w:marRight w:val="0"/>
                      <w:marTop w:val="0"/>
                      <w:marBottom w:val="0"/>
                      <w:divBdr>
                        <w:top w:val="none" w:sz="0" w:space="0" w:color="auto"/>
                        <w:left w:val="none" w:sz="0" w:space="0" w:color="auto"/>
                        <w:bottom w:val="none" w:sz="0" w:space="0" w:color="auto"/>
                        <w:right w:val="none" w:sz="0" w:space="0" w:color="auto"/>
                      </w:divBdr>
                    </w:div>
                  </w:divsChild>
                </w:div>
                <w:div w:id="1015378594">
                  <w:marLeft w:val="0"/>
                  <w:marRight w:val="0"/>
                  <w:marTop w:val="0"/>
                  <w:marBottom w:val="0"/>
                  <w:divBdr>
                    <w:top w:val="none" w:sz="0" w:space="0" w:color="auto"/>
                    <w:left w:val="none" w:sz="0" w:space="0" w:color="auto"/>
                    <w:bottom w:val="none" w:sz="0" w:space="0" w:color="auto"/>
                    <w:right w:val="none" w:sz="0" w:space="0" w:color="auto"/>
                  </w:divBdr>
                  <w:divsChild>
                    <w:div w:id="547912764">
                      <w:marLeft w:val="0"/>
                      <w:marRight w:val="0"/>
                      <w:marTop w:val="0"/>
                      <w:marBottom w:val="0"/>
                      <w:divBdr>
                        <w:top w:val="none" w:sz="0" w:space="0" w:color="auto"/>
                        <w:left w:val="none" w:sz="0" w:space="0" w:color="auto"/>
                        <w:bottom w:val="none" w:sz="0" w:space="0" w:color="auto"/>
                        <w:right w:val="none" w:sz="0" w:space="0" w:color="auto"/>
                      </w:divBdr>
                    </w:div>
                  </w:divsChild>
                </w:div>
                <w:div w:id="1137725045">
                  <w:marLeft w:val="0"/>
                  <w:marRight w:val="0"/>
                  <w:marTop w:val="0"/>
                  <w:marBottom w:val="0"/>
                  <w:divBdr>
                    <w:top w:val="none" w:sz="0" w:space="0" w:color="auto"/>
                    <w:left w:val="none" w:sz="0" w:space="0" w:color="auto"/>
                    <w:bottom w:val="none" w:sz="0" w:space="0" w:color="auto"/>
                    <w:right w:val="none" w:sz="0" w:space="0" w:color="auto"/>
                  </w:divBdr>
                  <w:divsChild>
                    <w:div w:id="949046906">
                      <w:marLeft w:val="0"/>
                      <w:marRight w:val="0"/>
                      <w:marTop w:val="0"/>
                      <w:marBottom w:val="0"/>
                      <w:divBdr>
                        <w:top w:val="none" w:sz="0" w:space="0" w:color="auto"/>
                        <w:left w:val="none" w:sz="0" w:space="0" w:color="auto"/>
                        <w:bottom w:val="none" w:sz="0" w:space="0" w:color="auto"/>
                        <w:right w:val="none" w:sz="0" w:space="0" w:color="auto"/>
                      </w:divBdr>
                    </w:div>
                  </w:divsChild>
                </w:div>
                <w:div w:id="1182936485">
                  <w:marLeft w:val="0"/>
                  <w:marRight w:val="0"/>
                  <w:marTop w:val="0"/>
                  <w:marBottom w:val="0"/>
                  <w:divBdr>
                    <w:top w:val="none" w:sz="0" w:space="0" w:color="auto"/>
                    <w:left w:val="none" w:sz="0" w:space="0" w:color="auto"/>
                    <w:bottom w:val="none" w:sz="0" w:space="0" w:color="auto"/>
                    <w:right w:val="none" w:sz="0" w:space="0" w:color="auto"/>
                  </w:divBdr>
                  <w:divsChild>
                    <w:div w:id="1220366146">
                      <w:marLeft w:val="0"/>
                      <w:marRight w:val="0"/>
                      <w:marTop w:val="0"/>
                      <w:marBottom w:val="0"/>
                      <w:divBdr>
                        <w:top w:val="none" w:sz="0" w:space="0" w:color="auto"/>
                        <w:left w:val="none" w:sz="0" w:space="0" w:color="auto"/>
                        <w:bottom w:val="none" w:sz="0" w:space="0" w:color="auto"/>
                        <w:right w:val="none" w:sz="0" w:space="0" w:color="auto"/>
                      </w:divBdr>
                    </w:div>
                  </w:divsChild>
                </w:div>
                <w:div w:id="1212157155">
                  <w:marLeft w:val="0"/>
                  <w:marRight w:val="0"/>
                  <w:marTop w:val="0"/>
                  <w:marBottom w:val="0"/>
                  <w:divBdr>
                    <w:top w:val="none" w:sz="0" w:space="0" w:color="auto"/>
                    <w:left w:val="none" w:sz="0" w:space="0" w:color="auto"/>
                    <w:bottom w:val="none" w:sz="0" w:space="0" w:color="auto"/>
                    <w:right w:val="none" w:sz="0" w:space="0" w:color="auto"/>
                  </w:divBdr>
                  <w:divsChild>
                    <w:div w:id="218253536">
                      <w:marLeft w:val="0"/>
                      <w:marRight w:val="0"/>
                      <w:marTop w:val="0"/>
                      <w:marBottom w:val="0"/>
                      <w:divBdr>
                        <w:top w:val="none" w:sz="0" w:space="0" w:color="auto"/>
                        <w:left w:val="none" w:sz="0" w:space="0" w:color="auto"/>
                        <w:bottom w:val="none" w:sz="0" w:space="0" w:color="auto"/>
                        <w:right w:val="none" w:sz="0" w:space="0" w:color="auto"/>
                      </w:divBdr>
                    </w:div>
                  </w:divsChild>
                </w:div>
                <w:div w:id="1235118449">
                  <w:marLeft w:val="0"/>
                  <w:marRight w:val="0"/>
                  <w:marTop w:val="0"/>
                  <w:marBottom w:val="0"/>
                  <w:divBdr>
                    <w:top w:val="none" w:sz="0" w:space="0" w:color="auto"/>
                    <w:left w:val="none" w:sz="0" w:space="0" w:color="auto"/>
                    <w:bottom w:val="none" w:sz="0" w:space="0" w:color="auto"/>
                    <w:right w:val="none" w:sz="0" w:space="0" w:color="auto"/>
                  </w:divBdr>
                  <w:divsChild>
                    <w:div w:id="1561405635">
                      <w:marLeft w:val="0"/>
                      <w:marRight w:val="0"/>
                      <w:marTop w:val="0"/>
                      <w:marBottom w:val="0"/>
                      <w:divBdr>
                        <w:top w:val="none" w:sz="0" w:space="0" w:color="auto"/>
                        <w:left w:val="none" w:sz="0" w:space="0" w:color="auto"/>
                        <w:bottom w:val="none" w:sz="0" w:space="0" w:color="auto"/>
                        <w:right w:val="none" w:sz="0" w:space="0" w:color="auto"/>
                      </w:divBdr>
                    </w:div>
                  </w:divsChild>
                </w:div>
                <w:div w:id="1244727861">
                  <w:marLeft w:val="0"/>
                  <w:marRight w:val="0"/>
                  <w:marTop w:val="0"/>
                  <w:marBottom w:val="0"/>
                  <w:divBdr>
                    <w:top w:val="none" w:sz="0" w:space="0" w:color="auto"/>
                    <w:left w:val="none" w:sz="0" w:space="0" w:color="auto"/>
                    <w:bottom w:val="none" w:sz="0" w:space="0" w:color="auto"/>
                    <w:right w:val="none" w:sz="0" w:space="0" w:color="auto"/>
                  </w:divBdr>
                  <w:divsChild>
                    <w:div w:id="65999455">
                      <w:marLeft w:val="0"/>
                      <w:marRight w:val="0"/>
                      <w:marTop w:val="0"/>
                      <w:marBottom w:val="0"/>
                      <w:divBdr>
                        <w:top w:val="none" w:sz="0" w:space="0" w:color="auto"/>
                        <w:left w:val="none" w:sz="0" w:space="0" w:color="auto"/>
                        <w:bottom w:val="none" w:sz="0" w:space="0" w:color="auto"/>
                        <w:right w:val="none" w:sz="0" w:space="0" w:color="auto"/>
                      </w:divBdr>
                    </w:div>
                  </w:divsChild>
                </w:div>
                <w:div w:id="1249655815">
                  <w:marLeft w:val="0"/>
                  <w:marRight w:val="0"/>
                  <w:marTop w:val="0"/>
                  <w:marBottom w:val="0"/>
                  <w:divBdr>
                    <w:top w:val="none" w:sz="0" w:space="0" w:color="auto"/>
                    <w:left w:val="none" w:sz="0" w:space="0" w:color="auto"/>
                    <w:bottom w:val="none" w:sz="0" w:space="0" w:color="auto"/>
                    <w:right w:val="none" w:sz="0" w:space="0" w:color="auto"/>
                  </w:divBdr>
                  <w:divsChild>
                    <w:div w:id="1675911036">
                      <w:marLeft w:val="0"/>
                      <w:marRight w:val="0"/>
                      <w:marTop w:val="0"/>
                      <w:marBottom w:val="0"/>
                      <w:divBdr>
                        <w:top w:val="none" w:sz="0" w:space="0" w:color="auto"/>
                        <w:left w:val="none" w:sz="0" w:space="0" w:color="auto"/>
                        <w:bottom w:val="none" w:sz="0" w:space="0" w:color="auto"/>
                        <w:right w:val="none" w:sz="0" w:space="0" w:color="auto"/>
                      </w:divBdr>
                    </w:div>
                  </w:divsChild>
                </w:div>
                <w:div w:id="1394431291">
                  <w:marLeft w:val="0"/>
                  <w:marRight w:val="0"/>
                  <w:marTop w:val="0"/>
                  <w:marBottom w:val="0"/>
                  <w:divBdr>
                    <w:top w:val="none" w:sz="0" w:space="0" w:color="auto"/>
                    <w:left w:val="none" w:sz="0" w:space="0" w:color="auto"/>
                    <w:bottom w:val="none" w:sz="0" w:space="0" w:color="auto"/>
                    <w:right w:val="none" w:sz="0" w:space="0" w:color="auto"/>
                  </w:divBdr>
                  <w:divsChild>
                    <w:div w:id="565334397">
                      <w:marLeft w:val="0"/>
                      <w:marRight w:val="0"/>
                      <w:marTop w:val="0"/>
                      <w:marBottom w:val="0"/>
                      <w:divBdr>
                        <w:top w:val="none" w:sz="0" w:space="0" w:color="auto"/>
                        <w:left w:val="none" w:sz="0" w:space="0" w:color="auto"/>
                        <w:bottom w:val="none" w:sz="0" w:space="0" w:color="auto"/>
                        <w:right w:val="none" w:sz="0" w:space="0" w:color="auto"/>
                      </w:divBdr>
                    </w:div>
                  </w:divsChild>
                </w:div>
                <w:div w:id="1534271454">
                  <w:marLeft w:val="0"/>
                  <w:marRight w:val="0"/>
                  <w:marTop w:val="0"/>
                  <w:marBottom w:val="0"/>
                  <w:divBdr>
                    <w:top w:val="none" w:sz="0" w:space="0" w:color="auto"/>
                    <w:left w:val="none" w:sz="0" w:space="0" w:color="auto"/>
                    <w:bottom w:val="none" w:sz="0" w:space="0" w:color="auto"/>
                    <w:right w:val="none" w:sz="0" w:space="0" w:color="auto"/>
                  </w:divBdr>
                  <w:divsChild>
                    <w:div w:id="520633204">
                      <w:marLeft w:val="0"/>
                      <w:marRight w:val="0"/>
                      <w:marTop w:val="0"/>
                      <w:marBottom w:val="0"/>
                      <w:divBdr>
                        <w:top w:val="none" w:sz="0" w:space="0" w:color="auto"/>
                        <w:left w:val="none" w:sz="0" w:space="0" w:color="auto"/>
                        <w:bottom w:val="none" w:sz="0" w:space="0" w:color="auto"/>
                        <w:right w:val="none" w:sz="0" w:space="0" w:color="auto"/>
                      </w:divBdr>
                    </w:div>
                  </w:divsChild>
                </w:div>
                <w:div w:id="1669671629">
                  <w:marLeft w:val="0"/>
                  <w:marRight w:val="0"/>
                  <w:marTop w:val="0"/>
                  <w:marBottom w:val="0"/>
                  <w:divBdr>
                    <w:top w:val="none" w:sz="0" w:space="0" w:color="auto"/>
                    <w:left w:val="none" w:sz="0" w:space="0" w:color="auto"/>
                    <w:bottom w:val="none" w:sz="0" w:space="0" w:color="auto"/>
                    <w:right w:val="none" w:sz="0" w:space="0" w:color="auto"/>
                  </w:divBdr>
                  <w:divsChild>
                    <w:div w:id="251816783">
                      <w:marLeft w:val="0"/>
                      <w:marRight w:val="0"/>
                      <w:marTop w:val="0"/>
                      <w:marBottom w:val="0"/>
                      <w:divBdr>
                        <w:top w:val="none" w:sz="0" w:space="0" w:color="auto"/>
                        <w:left w:val="none" w:sz="0" w:space="0" w:color="auto"/>
                        <w:bottom w:val="none" w:sz="0" w:space="0" w:color="auto"/>
                        <w:right w:val="none" w:sz="0" w:space="0" w:color="auto"/>
                      </w:divBdr>
                    </w:div>
                  </w:divsChild>
                </w:div>
                <w:div w:id="1712462224">
                  <w:marLeft w:val="0"/>
                  <w:marRight w:val="0"/>
                  <w:marTop w:val="0"/>
                  <w:marBottom w:val="0"/>
                  <w:divBdr>
                    <w:top w:val="none" w:sz="0" w:space="0" w:color="auto"/>
                    <w:left w:val="none" w:sz="0" w:space="0" w:color="auto"/>
                    <w:bottom w:val="none" w:sz="0" w:space="0" w:color="auto"/>
                    <w:right w:val="none" w:sz="0" w:space="0" w:color="auto"/>
                  </w:divBdr>
                  <w:divsChild>
                    <w:div w:id="1084180811">
                      <w:marLeft w:val="0"/>
                      <w:marRight w:val="0"/>
                      <w:marTop w:val="0"/>
                      <w:marBottom w:val="0"/>
                      <w:divBdr>
                        <w:top w:val="none" w:sz="0" w:space="0" w:color="auto"/>
                        <w:left w:val="none" w:sz="0" w:space="0" w:color="auto"/>
                        <w:bottom w:val="none" w:sz="0" w:space="0" w:color="auto"/>
                        <w:right w:val="none" w:sz="0" w:space="0" w:color="auto"/>
                      </w:divBdr>
                    </w:div>
                  </w:divsChild>
                </w:div>
                <w:div w:id="1754745088">
                  <w:marLeft w:val="0"/>
                  <w:marRight w:val="0"/>
                  <w:marTop w:val="0"/>
                  <w:marBottom w:val="0"/>
                  <w:divBdr>
                    <w:top w:val="none" w:sz="0" w:space="0" w:color="auto"/>
                    <w:left w:val="none" w:sz="0" w:space="0" w:color="auto"/>
                    <w:bottom w:val="none" w:sz="0" w:space="0" w:color="auto"/>
                    <w:right w:val="none" w:sz="0" w:space="0" w:color="auto"/>
                  </w:divBdr>
                  <w:divsChild>
                    <w:div w:id="114950734">
                      <w:marLeft w:val="0"/>
                      <w:marRight w:val="0"/>
                      <w:marTop w:val="0"/>
                      <w:marBottom w:val="0"/>
                      <w:divBdr>
                        <w:top w:val="none" w:sz="0" w:space="0" w:color="auto"/>
                        <w:left w:val="none" w:sz="0" w:space="0" w:color="auto"/>
                        <w:bottom w:val="none" w:sz="0" w:space="0" w:color="auto"/>
                        <w:right w:val="none" w:sz="0" w:space="0" w:color="auto"/>
                      </w:divBdr>
                    </w:div>
                  </w:divsChild>
                </w:div>
                <w:div w:id="1789160699">
                  <w:marLeft w:val="0"/>
                  <w:marRight w:val="0"/>
                  <w:marTop w:val="0"/>
                  <w:marBottom w:val="0"/>
                  <w:divBdr>
                    <w:top w:val="none" w:sz="0" w:space="0" w:color="auto"/>
                    <w:left w:val="none" w:sz="0" w:space="0" w:color="auto"/>
                    <w:bottom w:val="none" w:sz="0" w:space="0" w:color="auto"/>
                    <w:right w:val="none" w:sz="0" w:space="0" w:color="auto"/>
                  </w:divBdr>
                  <w:divsChild>
                    <w:div w:id="484129976">
                      <w:marLeft w:val="0"/>
                      <w:marRight w:val="0"/>
                      <w:marTop w:val="0"/>
                      <w:marBottom w:val="0"/>
                      <w:divBdr>
                        <w:top w:val="none" w:sz="0" w:space="0" w:color="auto"/>
                        <w:left w:val="none" w:sz="0" w:space="0" w:color="auto"/>
                        <w:bottom w:val="none" w:sz="0" w:space="0" w:color="auto"/>
                        <w:right w:val="none" w:sz="0" w:space="0" w:color="auto"/>
                      </w:divBdr>
                    </w:div>
                  </w:divsChild>
                </w:div>
                <w:div w:id="1792745728">
                  <w:marLeft w:val="0"/>
                  <w:marRight w:val="0"/>
                  <w:marTop w:val="0"/>
                  <w:marBottom w:val="0"/>
                  <w:divBdr>
                    <w:top w:val="none" w:sz="0" w:space="0" w:color="auto"/>
                    <w:left w:val="none" w:sz="0" w:space="0" w:color="auto"/>
                    <w:bottom w:val="none" w:sz="0" w:space="0" w:color="auto"/>
                    <w:right w:val="none" w:sz="0" w:space="0" w:color="auto"/>
                  </w:divBdr>
                  <w:divsChild>
                    <w:div w:id="255599818">
                      <w:marLeft w:val="0"/>
                      <w:marRight w:val="0"/>
                      <w:marTop w:val="0"/>
                      <w:marBottom w:val="0"/>
                      <w:divBdr>
                        <w:top w:val="none" w:sz="0" w:space="0" w:color="auto"/>
                        <w:left w:val="none" w:sz="0" w:space="0" w:color="auto"/>
                        <w:bottom w:val="none" w:sz="0" w:space="0" w:color="auto"/>
                        <w:right w:val="none" w:sz="0" w:space="0" w:color="auto"/>
                      </w:divBdr>
                    </w:div>
                  </w:divsChild>
                </w:div>
                <w:div w:id="1834056779">
                  <w:marLeft w:val="0"/>
                  <w:marRight w:val="0"/>
                  <w:marTop w:val="0"/>
                  <w:marBottom w:val="0"/>
                  <w:divBdr>
                    <w:top w:val="none" w:sz="0" w:space="0" w:color="auto"/>
                    <w:left w:val="none" w:sz="0" w:space="0" w:color="auto"/>
                    <w:bottom w:val="none" w:sz="0" w:space="0" w:color="auto"/>
                    <w:right w:val="none" w:sz="0" w:space="0" w:color="auto"/>
                  </w:divBdr>
                  <w:divsChild>
                    <w:div w:id="1518542836">
                      <w:marLeft w:val="0"/>
                      <w:marRight w:val="0"/>
                      <w:marTop w:val="0"/>
                      <w:marBottom w:val="0"/>
                      <w:divBdr>
                        <w:top w:val="none" w:sz="0" w:space="0" w:color="auto"/>
                        <w:left w:val="none" w:sz="0" w:space="0" w:color="auto"/>
                        <w:bottom w:val="none" w:sz="0" w:space="0" w:color="auto"/>
                        <w:right w:val="none" w:sz="0" w:space="0" w:color="auto"/>
                      </w:divBdr>
                    </w:div>
                  </w:divsChild>
                </w:div>
                <w:div w:id="1893804817">
                  <w:marLeft w:val="0"/>
                  <w:marRight w:val="0"/>
                  <w:marTop w:val="0"/>
                  <w:marBottom w:val="0"/>
                  <w:divBdr>
                    <w:top w:val="none" w:sz="0" w:space="0" w:color="auto"/>
                    <w:left w:val="none" w:sz="0" w:space="0" w:color="auto"/>
                    <w:bottom w:val="none" w:sz="0" w:space="0" w:color="auto"/>
                    <w:right w:val="none" w:sz="0" w:space="0" w:color="auto"/>
                  </w:divBdr>
                  <w:divsChild>
                    <w:div w:id="1928344526">
                      <w:marLeft w:val="0"/>
                      <w:marRight w:val="0"/>
                      <w:marTop w:val="0"/>
                      <w:marBottom w:val="0"/>
                      <w:divBdr>
                        <w:top w:val="none" w:sz="0" w:space="0" w:color="auto"/>
                        <w:left w:val="none" w:sz="0" w:space="0" w:color="auto"/>
                        <w:bottom w:val="none" w:sz="0" w:space="0" w:color="auto"/>
                        <w:right w:val="none" w:sz="0" w:space="0" w:color="auto"/>
                      </w:divBdr>
                    </w:div>
                  </w:divsChild>
                </w:div>
                <w:div w:id="2044359001">
                  <w:marLeft w:val="0"/>
                  <w:marRight w:val="0"/>
                  <w:marTop w:val="0"/>
                  <w:marBottom w:val="0"/>
                  <w:divBdr>
                    <w:top w:val="none" w:sz="0" w:space="0" w:color="auto"/>
                    <w:left w:val="none" w:sz="0" w:space="0" w:color="auto"/>
                    <w:bottom w:val="none" w:sz="0" w:space="0" w:color="auto"/>
                    <w:right w:val="none" w:sz="0" w:space="0" w:color="auto"/>
                  </w:divBdr>
                  <w:divsChild>
                    <w:div w:id="1929775338">
                      <w:marLeft w:val="0"/>
                      <w:marRight w:val="0"/>
                      <w:marTop w:val="0"/>
                      <w:marBottom w:val="0"/>
                      <w:divBdr>
                        <w:top w:val="none" w:sz="0" w:space="0" w:color="auto"/>
                        <w:left w:val="none" w:sz="0" w:space="0" w:color="auto"/>
                        <w:bottom w:val="none" w:sz="0" w:space="0" w:color="auto"/>
                        <w:right w:val="none" w:sz="0" w:space="0" w:color="auto"/>
                      </w:divBdr>
                    </w:div>
                  </w:divsChild>
                </w:div>
                <w:div w:id="2096586064">
                  <w:marLeft w:val="0"/>
                  <w:marRight w:val="0"/>
                  <w:marTop w:val="0"/>
                  <w:marBottom w:val="0"/>
                  <w:divBdr>
                    <w:top w:val="none" w:sz="0" w:space="0" w:color="auto"/>
                    <w:left w:val="none" w:sz="0" w:space="0" w:color="auto"/>
                    <w:bottom w:val="none" w:sz="0" w:space="0" w:color="auto"/>
                    <w:right w:val="none" w:sz="0" w:space="0" w:color="auto"/>
                  </w:divBdr>
                  <w:divsChild>
                    <w:div w:id="103589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739272">
          <w:marLeft w:val="0"/>
          <w:marRight w:val="0"/>
          <w:marTop w:val="0"/>
          <w:marBottom w:val="0"/>
          <w:divBdr>
            <w:top w:val="none" w:sz="0" w:space="0" w:color="auto"/>
            <w:left w:val="none" w:sz="0" w:space="0" w:color="auto"/>
            <w:bottom w:val="none" w:sz="0" w:space="0" w:color="auto"/>
            <w:right w:val="none" w:sz="0" w:space="0" w:color="auto"/>
          </w:divBdr>
          <w:divsChild>
            <w:div w:id="28067733">
              <w:marLeft w:val="0"/>
              <w:marRight w:val="0"/>
              <w:marTop w:val="0"/>
              <w:marBottom w:val="0"/>
              <w:divBdr>
                <w:top w:val="none" w:sz="0" w:space="0" w:color="auto"/>
                <w:left w:val="none" w:sz="0" w:space="0" w:color="auto"/>
                <w:bottom w:val="none" w:sz="0" w:space="0" w:color="auto"/>
                <w:right w:val="none" w:sz="0" w:space="0" w:color="auto"/>
              </w:divBdr>
            </w:div>
            <w:div w:id="40911110">
              <w:marLeft w:val="0"/>
              <w:marRight w:val="0"/>
              <w:marTop w:val="0"/>
              <w:marBottom w:val="0"/>
              <w:divBdr>
                <w:top w:val="none" w:sz="0" w:space="0" w:color="auto"/>
                <w:left w:val="none" w:sz="0" w:space="0" w:color="auto"/>
                <w:bottom w:val="none" w:sz="0" w:space="0" w:color="auto"/>
                <w:right w:val="none" w:sz="0" w:space="0" w:color="auto"/>
              </w:divBdr>
            </w:div>
            <w:div w:id="546263783">
              <w:marLeft w:val="0"/>
              <w:marRight w:val="0"/>
              <w:marTop w:val="0"/>
              <w:marBottom w:val="0"/>
              <w:divBdr>
                <w:top w:val="none" w:sz="0" w:space="0" w:color="auto"/>
                <w:left w:val="none" w:sz="0" w:space="0" w:color="auto"/>
                <w:bottom w:val="none" w:sz="0" w:space="0" w:color="auto"/>
                <w:right w:val="none" w:sz="0" w:space="0" w:color="auto"/>
              </w:divBdr>
            </w:div>
            <w:div w:id="770587206">
              <w:marLeft w:val="0"/>
              <w:marRight w:val="0"/>
              <w:marTop w:val="0"/>
              <w:marBottom w:val="0"/>
              <w:divBdr>
                <w:top w:val="none" w:sz="0" w:space="0" w:color="auto"/>
                <w:left w:val="none" w:sz="0" w:space="0" w:color="auto"/>
                <w:bottom w:val="none" w:sz="0" w:space="0" w:color="auto"/>
                <w:right w:val="none" w:sz="0" w:space="0" w:color="auto"/>
              </w:divBdr>
            </w:div>
            <w:div w:id="1702783934">
              <w:marLeft w:val="0"/>
              <w:marRight w:val="0"/>
              <w:marTop w:val="0"/>
              <w:marBottom w:val="0"/>
              <w:divBdr>
                <w:top w:val="none" w:sz="0" w:space="0" w:color="auto"/>
                <w:left w:val="none" w:sz="0" w:space="0" w:color="auto"/>
                <w:bottom w:val="none" w:sz="0" w:space="0" w:color="auto"/>
                <w:right w:val="none" w:sz="0" w:space="0" w:color="auto"/>
              </w:divBdr>
            </w:div>
            <w:div w:id="1705667683">
              <w:marLeft w:val="0"/>
              <w:marRight w:val="0"/>
              <w:marTop w:val="0"/>
              <w:marBottom w:val="0"/>
              <w:divBdr>
                <w:top w:val="none" w:sz="0" w:space="0" w:color="auto"/>
                <w:left w:val="none" w:sz="0" w:space="0" w:color="auto"/>
                <w:bottom w:val="none" w:sz="0" w:space="0" w:color="auto"/>
                <w:right w:val="none" w:sz="0" w:space="0" w:color="auto"/>
              </w:divBdr>
            </w:div>
          </w:divsChild>
        </w:div>
        <w:div w:id="664472812">
          <w:marLeft w:val="0"/>
          <w:marRight w:val="0"/>
          <w:marTop w:val="0"/>
          <w:marBottom w:val="0"/>
          <w:divBdr>
            <w:top w:val="none" w:sz="0" w:space="0" w:color="auto"/>
            <w:left w:val="none" w:sz="0" w:space="0" w:color="auto"/>
            <w:bottom w:val="none" w:sz="0" w:space="0" w:color="auto"/>
            <w:right w:val="none" w:sz="0" w:space="0" w:color="auto"/>
          </w:divBdr>
        </w:div>
        <w:div w:id="672411367">
          <w:marLeft w:val="0"/>
          <w:marRight w:val="0"/>
          <w:marTop w:val="0"/>
          <w:marBottom w:val="0"/>
          <w:divBdr>
            <w:top w:val="none" w:sz="0" w:space="0" w:color="auto"/>
            <w:left w:val="none" w:sz="0" w:space="0" w:color="auto"/>
            <w:bottom w:val="none" w:sz="0" w:space="0" w:color="auto"/>
            <w:right w:val="none" w:sz="0" w:space="0" w:color="auto"/>
          </w:divBdr>
          <w:divsChild>
            <w:div w:id="2130053375">
              <w:marLeft w:val="-75"/>
              <w:marRight w:val="0"/>
              <w:marTop w:val="30"/>
              <w:marBottom w:val="30"/>
              <w:divBdr>
                <w:top w:val="none" w:sz="0" w:space="0" w:color="auto"/>
                <w:left w:val="none" w:sz="0" w:space="0" w:color="auto"/>
                <w:bottom w:val="none" w:sz="0" w:space="0" w:color="auto"/>
                <w:right w:val="none" w:sz="0" w:space="0" w:color="auto"/>
              </w:divBdr>
              <w:divsChild>
                <w:div w:id="182327961">
                  <w:marLeft w:val="0"/>
                  <w:marRight w:val="0"/>
                  <w:marTop w:val="0"/>
                  <w:marBottom w:val="0"/>
                  <w:divBdr>
                    <w:top w:val="none" w:sz="0" w:space="0" w:color="auto"/>
                    <w:left w:val="none" w:sz="0" w:space="0" w:color="auto"/>
                    <w:bottom w:val="none" w:sz="0" w:space="0" w:color="auto"/>
                    <w:right w:val="none" w:sz="0" w:space="0" w:color="auto"/>
                  </w:divBdr>
                  <w:divsChild>
                    <w:div w:id="838151995">
                      <w:marLeft w:val="0"/>
                      <w:marRight w:val="0"/>
                      <w:marTop w:val="0"/>
                      <w:marBottom w:val="0"/>
                      <w:divBdr>
                        <w:top w:val="none" w:sz="0" w:space="0" w:color="auto"/>
                        <w:left w:val="none" w:sz="0" w:space="0" w:color="auto"/>
                        <w:bottom w:val="none" w:sz="0" w:space="0" w:color="auto"/>
                        <w:right w:val="none" w:sz="0" w:space="0" w:color="auto"/>
                      </w:divBdr>
                    </w:div>
                  </w:divsChild>
                </w:div>
                <w:div w:id="311640953">
                  <w:marLeft w:val="0"/>
                  <w:marRight w:val="0"/>
                  <w:marTop w:val="0"/>
                  <w:marBottom w:val="0"/>
                  <w:divBdr>
                    <w:top w:val="none" w:sz="0" w:space="0" w:color="auto"/>
                    <w:left w:val="none" w:sz="0" w:space="0" w:color="auto"/>
                    <w:bottom w:val="none" w:sz="0" w:space="0" w:color="auto"/>
                    <w:right w:val="none" w:sz="0" w:space="0" w:color="auto"/>
                  </w:divBdr>
                  <w:divsChild>
                    <w:div w:id="156771121">
                      <w:marLeft w:val="0"/>
                      <w:marRight w:val="0"/>
                      <w:marTop w:val="0"/>
                      <w:marBottom w:val="0"/>
                      <w:divBdr>
                        <w:top w:val="none" w:sz="0" w:space="0" w:color="auto"/>
                        <w:left w:val="none" w:sz="0" w:space="0" w:color="auto"/>
                        <w:bottom w:val="none" w:sz="0" w:space="0" w:color="auto"/>
                        <w:right w:val="none" w:sz="0" w:space="0" w:color="auto"/>
                      </w:divBdr>
                    </w:div>
                  </w:divsChild>
                </w:div>
                <w:div w:id="497960354">
                  <w:marLeft w:val="0"/>
                  <w:marRight w:val="0"/>
                  <w:marTop w:val="0"/>
                  <w:marBottom w:val="0"/>
                  <w:divBdr>
                    <w:top w:val="none" w:sz="0" w:space="0" w:color="auto"/>
                    <w:left w:val="none" w:sz="0" w:space="0" w:color="auto"/>
                    <w:bottom w:val="none" w:sz="0" w:space="0" w:color="auto"/>
                    <w:right w:val="none" w:sz="0" w:space="0" w:color="auto"/>
                  </w:divBdr>
                  <w:divsChild>
                    <w:div w:id="1942226535">
                      <w:marLeft w:val="0"/>
                      <w:marRight w:val="0"/>
                      <w:marTop w:val="0"/>
                      <w:marBottom w:val="0"/>
                      <w:divBdr>
                        <w:top w:val="none" w:sz="0" w:space="0" w:color="auto"/>
                        <w:left w:val="none" w:sz="0" w:space="0" w:color="auto"/>
                        <w:bottom w:val="none" w:sz="0" w:space="0" w:color="auto"/>
                        <w:right w:val="none" w:sz="0" w:space="0" w:color="auto"/>
                      </w:divBdr>
                    </w:div>
                  </w:divsChild>
                </w:div>
                <w:div w:id="573661225">
                  <w:marLeft w:val="0"/>
                  <w:marRight w:val="0"/>
                  <w:marTop w:val="0"/>
                  <w:marBottom w:val="0"/>
                  <w:divBdr>
                    <w:top w:val="none" w:sz="0" w:space="0" w:color="auto"/>
                    <w:left w:val="none" w:sz="0" w:space="0" w:color="auto"/>
                    <w:bottom w:val="none" w:sz="0" w:space="0" w:color="auto"/>
                    <w:right w:val="none" w:sz="0" w:space="0" w:color="auto"/>
                  </w:divBdr>
                  <w:divsChild>
                    <w:div w:id="252784214">
                      <w:marLeft w:val="0"/>
                      <w:marRight w:val="0"/>
                      <w:marTop w:val="0"/>
                      <w:marBottom w:val="0"/>
                      <w:divBdr>
                        <w:top w:val="none" w:sz="0" w:space="0" w:color="auto"/>
                        <w:left w:val="none" w:sz="0" w:space="0" w:color="auto"/>
                        <w:bottom w:val="none" w:sz="0" w:space="0" w:color="auto"/>
                        <w:right w:val="none" w:sz="0" w:space="0" w:color="auto"/>
                      </w:divBdr>
                    </w:div>
                  </w:divsChild>
                </w:div>
                <w:div w:id="907569157">
                  <w:marLeft w:val="0"/>
                  <w:marRight w:val="0"/>
                  <w:marTop w:val="0"/>
                  <w:marBottom w:val="0"/>
                  <w:divBdr>
                    <w:top w:val="none" w:sz="0" w:space="0" w:color="auto"/>
                    <w:left w:val="none" w:sz="0" w:space="0" w:color="auto"/>
                    <w:bottom w:val="none" w:sz="0" w:space="0" w:color="auto"/>
                    <w:right w:val="none" w:sz="0" w:space="0" w:color="auto"/>
                  </w:divBdr>
                  <w:divsChild>
                    <w:div w:id="1959415064">
                      <w:marLeft w:val="0"/>
                      <w:marRight w:val="0"/>
                      <w:marTop w:val="0"/>
                      <w:marBottom w:val="0"/>
                      <w:divBdr>
                        <w:top w:val="none" w:sz="0" w:space="0" w:color="auto"/>
                        <w:left w:val="none" w:sz="0" w:space="0" w:color="auto"/>
                        <w:bottom w:val="none" w:sz="0" w:space="0" w:color="auto"/>
                        <w:right w:val="none" w:sz="0" w:space="0" w:color="auto"/>
                      </w:divBdr>
                    </w:div>
                  </w:divsChild>
                </w:div>
                <w:div w:id="1093862522">
                  <w:marLeft w:val="0"/>
                  <w:marRight w:val="0"/>
                  <w:marTop w:val="0"/>
                  <w:marBottom w:val="0"/>
                  <w:divBdr>
                    <w:top w:val="none" w:sz="0" w:space="0" w:color="auto"/>
                    <w:left w:val="none" w:sz="0" w:space="0" w:color="auto"/>
                    <w:bottom w:val="none" w:sz="0" w:space="0" w:color="auto"/>
                    <w:right w:val="none" w:sz="0" w:space="0" w:color="auto"/>
                  </w:divBdr>
                  <w:divsChild>
                    <w:div w:id="620501642">
                      <w:marLeft w:val="0"/>
                      <w:marRight w:val="0"/>
                      <w:marTop w:val="0"/>
                      <w:marBottom w:val="0"/>
                      <w:divBdr>
                        <w:top w:val="none" w:sz="0" w:space="0" w:color="auto"/>
                        <w:left w:val="none" w:sz="0" w:space="0" w:color="auto"/>
                        <w:bottom w:val="none" w:sz="0" w:space="0" w:color="auto"/>
                        <w:right w:val="none" w:sz="0" w:space="0" w:color="auto"/>
                      </w:divBdr>
                    </w:div>
                  </w:divsChild>
                </w:div>
                <w:div w:id="1237666725">
                  <w:marLeft w:val="0"/>
                  <w:marRight w:val="0"/>
                  <w:marTop w:val="0"/>
                  <w:marBottom w:val="0"/>
                  <w:divBdr>
                    <w:top w:val="none" w:sz="0" w:space="0" w:color="auto"/>
                    <w:left w:val="none" w:sz="0" w:space="0" w:color="auto"/>
                    <w:bottom w:val="none" w:sz="0" w:space="0" w:color="auto"/>
                    <w:right w:val="none" w:sz="0" w:space="0" w:color="auto"/>
                  </w:divBdr>
                  <w:divsChild>
                    <w:div w:id="1631939907">
                      <w:marLeft w:val="0"/>
                      <w:marRight w:val="0"/>
                      <w:marTop w:val="0"/>
                      <w:marBottom w:val="0"/>
                      <w:divBdr>
                        <w:top w:val="none" w:sz="0" w:space="0" w:color="auto"/>
                        <w:left w:val="none" w:sz="0" w:space="0" w:color="auto"/>
                        <w:bottom w:val="none" w:sz="0" w:space="0" w:color="auto"/>
                        <w:right w:val="none" w:sz="0" w:space="0" w:color="auto"/>
                      </w:divBdr>
                    </w:div>
                  </w:divsChild>
                </w:div>
                <w:div w:id="1306819259">
                  <w:marLeft w:val="0"/>
                  <w:marRight w:val="0"/>
                  <w:marTop w:val="0"/>
                  <w:marBottom w:val="0"/>
                  <w:divBdr>
                    <w:top w:val="none" w:sz="0" w:space="0" w:color="auto"/>
                    <w:left w:val="none" w:sz="0" w:space="0" w:color="auto"/>
                    <w:bottom w:val="none" w:sz="0" w:space="0" w:color="auto"/>
                    <w:right w:val="none" w:sz="0" w:space="0" w:color="auto"/>
                  </w:divBdr>
                  <w:divsChild>
                    <w:div w:id="1847399317">
                      <w:marLeft w:val="0"/>
                      <w:marRight w:val="0"/>
                      <w:marTop w:val="0"/>
                      <w:marBottom w:val="0"/>
                      <w:divBdr>
                        <w:top w:val="none" w:sz="0" w:space="0" w:color="auto"/>
                        <w:left w:val="none" w:sz="0" w:space="0" w:color="auto"/>
                        <w:bottom w:val="none" w:sz="0" w:space="0" w:color="auto"/>
                        <w:right w:val="none" w:sz="0" w:space="0" w:color="auto"/>
                      </w:divBdr>
                    </w:div>
                  </w:divsChild>
                </w:div>
                <w:div w:id="1504469727">
                  <w:marLeft w:val="0"/>
                  <w:marRight w:val="0"/>
                  <w:marTop w:val="0"/>
                  <w:marBottom w:val="0"/>
                  <w:divBdr>
                    <w:top w:val="none" w:sz="0" w:space="0" w:color="auto"/>
                    <w:left w:val="none" w:sz="0" w:space="0" w:color="auto"/>
                    <w:bottom w:val="none" w:sz="0" w:space="0" w:color="auto"/>
                    <w:right w:val="none" w:sz="0" w:space="0" w:color="auto"/>
                  </w:divBdr>
                  <w:divsChild>
                    <w:div w:id="688532829">
                      <w:marLeft w:val="0"/>
                      <w:marRight w:val="0"/>
                      <w:marTop w:val="0"/>
                      <w:marBottom w:val="0"/>
                      <w:divBdr>
                        <w:top w:val="none" w:sz="0" w:space="0" w:color="auto"/>
                        <w:left w:val="none" w:sz="0" w:space="0" w:color="auto"/>
                        <w:bottom w:val="none" w:sz="0" w:space="0" w:color="auto"/>
                        <w:right w:val="none" w:sz="0" w:space="0" w:color="auto"/>
                      </w:divBdr>
                    </w:div>
                  </w:divsChild>
                </w:div>
                <w:div w:id="1772122119">
                  <w:marLeft w:val="0"/>
                  <w:marRight w:val="0"/>
                  <w:marTop w:val="0"/>
                  <w:marBottom w:val="0"/>
                  <w:divBdr>
                    <w:top w:val="none" w:sz="0" w:space="0" w:color="auto"/>
                    <w:left w:val="none" w:sz="0" w:space="0" w:color="auto"/>
                    <w:bottom w:val="none" w:sz="0" w:space="0" w:color="auto"/>
                    <w:right w:val="none" w:sz="0" w:space="0" w:color="auto"/>
                  </w:divBdr>
                  <w:divsChild>
                    <w:div w:id="1827353306">
                      <w:marLeft w:val="0"/>
                      <w:marRight w:val="0"/>
                      <w:marTop w:val="0"/>
                      <w:marBottom w:val="0"/>
                      <w:divBdr>
                        <w:top w:val="none" w:sz="0" w:space="0" w:color="auto"/>
                        <w:left w:val="none" w:sz="0" w:space="0" w:color="auto"/>
                        <w:bottom w:val="none" w:sz="0" w:space="0" w:color="auto"/>
                        <w:right w:val="none" w:sz="0" w:space="0" w:color="auto"/>
                      </w:divBdr>
                    </w:div>
                  </w:divsChild>
                </w:div>
                <w:div w:id="1836414891">
                  <w:marLeft w:val="0"/>
                  <w:marRight w:val="0"/>
                  <w:marTop w:val="0"/>
                  <w:marBottom w:val="0"/>
                  <w:divBdr>
                    <w:top w:val="none" w:sz="0" w:space="0" w:color="auto"/>
                    <w:left w:val="none" w:sz="0" w:space="0" w:color="auto"/>
                    <w:bottom w:val="none" w:sz="0" w:space="0" w:color="auto"/>
                    <w:right w:val="none" w:sz="0" w:space="0" w:color="auto"/>
                  </w:divBdr>
                  <w:divsChild>
                    <w:div w:id="1459446897">
                      <w:marLeft w:val="0"/>
                      <w:marRight w:val="0"/>
                      <w:marTop w:val="0"/>
                      <w:marBottom w:val="0"/>
                      <w:divBdr>
                        <w:top w:val="none" w:sz="0" w:space="0" w:color="auto"/>
                        <w:left w:val="none" w:sz="0" w:space="0" w:color="auto"/>
                        <w:bottom w:val="none" w:sz="0" w:space="0" w:color="auto"/>
                        <w:right w:val="none" w:sz="0" w:space="0" w:color="auto"/>
                      </w:divBdr>
                    </w:div>
                  </w:divsChild>
                </w:div>
                <w:div w:id="1937714427">
                  <w:marLeft w:val="0"/>
                  <w:marRight w:val="0"/>
                  <w:marTop w:val="0"/>
                  <w:marBottom w:val="0"/>
                  <w:divBdr>
                    <w:top w:val="none" w:sz="0" w:space="0" w:color="auto"/>
                    <w:left w:val="none" w:sz="0" w:space="0" w:color="auto"/>
                    <w:bottom w:val="none" w:sz="0" w:space="0" w:color="auto"/>
                    <w:right w:val="none" w:sz="0" w:space="0" w:color="auto"/>
                  </w:divBdr>
                  <w:divsChild>
                    <w:div w:id="105665188">
                      <w:marLeft w:val="0"/>
                      <w:marRight w:val="0"/>
                      <w:marTop w:val="0"/>
                      <w:marBottom w:val="0"/>
                      <w:divBdr>
                        <w:top w:val="none" w:sz="0" w:space="0" w:color="auto"/>
                        <w:left w:val="none" w:sz="0" w:space="0" w:color="auto"/>
                        <w:bottom w:val="none" w:sz="0" w:space="0" w:color="auto"/>
                        <w:right w:val="none" w:sz="0" w:space="0" w:color="auto"/>
                      </w:divBdr>
                    </w:div>
                  </w:divsChild>
                </w:div>
                <w:div w:id="1990861659">
                  <w:marLeft w:val="0"/>
                  <w:marRight w:val="0"/>
                  <w:marTop w:val="0"/>
                  <w:marBottom w:val="0"/>
                  <w:divBdr>
                    <w:top w:val="none" w:sz="0" w:space="0" w:color="auto"/>
                    <w:left w:val="none" w:sz="0" w:space="0" w:color="auto"/>
                    <w:bottom w:val="none" w:sz="0" w:space="0" w:color="auto"/>
                    <w:right w:val="none" w:sz="0" w:space="0" w:color="auto"/>
                  </w:divBdr>
                  <w:divsChild>
                    <w:div w:id="961305639">
                      <w:marLeft w:val="0"/>
                      <w:marRight w:val="0"/>
                      <w:marTop w:val="0"/>
                      <w:marBottom w:val="0"/>
                      <w:divBdr>
                        <w:top w:val="none" w:sz="0" w:space="0" w:color="auto"/>
                        <w:left w:val="none" w:sz="0" w:space="0" w:color="auto"/>
                        <w:bottom w:val="none" w:sz="0" w:space="0" w:color="auto"/>
                        <w:right w:val="none" w:sz="0" w:space="0" w:color="auto"/>
                      </w:divBdr>
                    </w:div>
                  </w:divsChild>
                </w:div>
                <w:div w:id="2006280142">
                  <w:marLeft w:val="0"/>
                  <w:marRight w:val="0"/>
                  <w:marTop w:val="0"/>
                  <w:marBottom w:val="0"/>
                  <w:divBdr>
                    <w:top w:val="none" w:sz="0" w:space="0" w:color="auto"/>
                    <w:left w:val="none" w:sz="0" w:space="0" w:color="auto"/>
                    <w:bottom w:val="none" w:sz="0" w:space="0" w:color="auto"/>
                    <w:right w:val="none" w:sz="0" w:space="0" w:color="auto"/>
                  </w:divBdr>
                  <w:divsChild>
                    <w:div w:id="626665007">
                      <w:marLeft w:val="0"/>
                      <w:marRight w:val="0"/>
                      <w:marTop w:val="0"/>
                      <w:marBottom w:val="0"/>
                      <w:divBdr>
                        <w:top w:val="none" w:sz="0" w:space="0" w:color="auto"/>
                        <w:left w:val="none" w:sz="0" w:space="0" w:color="auto"/>
                        <w:bottom w:val="none" w:sz="0" w:space="0" w:color="auto"/>
                        <w:right w:val="none" w:sz="0" w:space="0" w:color="auto"/>
                      </w:divBdr>
                    </w:div>
                  </w:divsChild>
                </w:div>
                <w:div w:id="2035575307">
                  <w:marLeft w:val="0"/>
                  <w:marRight w:val="0"/>
                  <w:marTop w:val="0"/>
                  <w:marBottom w:val="0"/>
                  <w:divBdr>
                    <w:top w:val="none" w:sz="0" w:space="0" w:color="auto"/>
                    <w:left w:val="none" w:sz="0" w:space="0" w:color="auto"/>
                    <w:bottom w:val="none" w:sz="0" w:space="0" w:color="auto"/>
                    <w:right w:val="none" w:sz="0" w:space="0" w:color="auto"/>
                  </w:divBdr>
                  <w:divsChild>
                    <w:div w:id="182612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3462">
          <w:marLeft w:val="0"/>
          <w:marRight w:val="0"/>
          <w:marTop w:val="0"/>
          <w:marBottom w:val="0"/>
          <w:divBdr>
            <w:top w:val="none" w:sz="0" w:space="0" w:color="auto"/>
            <w:left w:val="none" w:sz="0" w:space="0" w:color="auto"/>
            <w:bottom w:val="none" w:sz="0" w:space="0" w:color="auto"/>
            <w:right w:val="none" w:sz="0" w:space="0" w:color="auto"/>
          </w:divBdr>
        </w:div>
        <w:div w:id="679506749">
          <w:marLeft w:val="0"/>
          <w:marRight w:val="0"/>
          <w:marTop w:val="0"/>
          <w:marBottom w:val="0"/>
          <w:divBdr>
            <w:top w:val="none" w:sz="0" w:space="0" w:color="auto"/>
            <w:left w:val="none" w:sz="0" w:space="0" w:color="auto"/>
            <w:bottom w:val="none" w:sz="0" w:space="0" w:color="auto"/>
            <w:right w:val="none" w:sz="0" w:space="0" w:color="auto"/>
          </w:divBdr>
          <w:divsChild>
            <w:div w:id="333074857">
              <w:marLeft w:val="0"/>
              <w:marRight w:val="0"/>
              <w:marTop w:val="0"/>
              <w:marBottom w:val="0"/>
              <w:divBdr>
                <w:top w:val="none" w:sz="0" w:space="0" w:color="auto"/>
                <w:left w:val="none" w:sz="0" w:space="0" w:color="auto"/>
                <w:bottom w:val="none" w:sz="0" w:space="0" w:color="auto"/>
                <w:right w:val="none" w:sz="0" w:space="0" w:color="auto"/>
              </w:divBdr>
            </w:div>
            <w:div w:id="755051695">
              <w:marLeft w:val="0"/>
              <w:marRight w:val="0"/>
              <w:marTop w:val="0"/>
              <w:marBottom w:val="0"/>
              <w:divBdr>
                <w:top w:val="none" w:sz="0" w:space="0" w:color="auto"/>
                <w:left w:val="none" w:sz="0" w:space="0" w:color="auto"/>
                <w:bottom w:val="none" w:sz="0" w:space="0" w:color="auto"/>
                <w:right w:val="none" w:sz="0" w:space="0" w:color="auto"/>
              </w:divBdr>
            </w:div>
            <w:div w:id="1029187669">
              <w:marLeft w:val="0"/>
              <w:marRight w:val="0"/>
              <w:marTop w:val="0"/>
              <w:marBottom w:val="0"/>
              <w:divBdr>
                <w:top w:val="none" w:sz="0" w:space="0" w:color="auto"/>
                <w:left w:val="none" w:sz="0" w:space="0" w:color="auto"/>
                <w:bottom w:val="none" w:sz="0" w:space="0" w:color="auto"/>
                <w:right w:val="none" w:sz="0" w:space="0" w:color="auto"/>
              </w:divBdr>
            </w:div>
            <w:div w:id="1157841194">
              <w:marLeft w:val="0"/>
              <w:marRight w:val="0"/>
              <w:marTop w:val="0"/>
              <w:marBottom w:val="0"/>
              <w:divBdr>
                <w:top w:val="none" w:sz="0" w:space="0" w:color="auto"/>
                <w:left w:val="none" w:sz="0" w:space="0" w:color="auto"/>
                <w:bottom w:val="none" w:sz="0" w:space="0" w:color="auto"/>
                <w:right w:val="none" w:sz="0" w:space="0" w:color="auto"/>
              </w:divBdr>
            </w:div>
            <w:div w:id="1256865567">
              <w:marLeft w:val="0"/>
              <w:marRight w:val="0"/>
              <w:marTop w:val="0"/>
              <w:marBottom w:val="0"/>
              <w:divBdr>
                <w:top w:val="none" w:sz="0" w:space="0" w:color="auto"/>
                <w:left w:val="none" w:sz="0" w:space="0" w:color="auto"/>
                <w:bottom w:val="none" w:sz="0" w:space="0" w:color="auto"/>
                <w:right w:val="none" w:sz="0" w:space="0" w:color="auto"/>
              </w:divBdr>
            </w:div>
            <w:div w:id="1714033810">
              <w:marLeft w:val="0"/>
              <w:marRight w:val="0"/>
              <w:marTop w:val="0"/>
              <w:marBottom w:val="0"/>
              <w:divBdr>
                <w:top w:val="none" w:sz="0" w:space="0" w:color="auto"/>
                <w:left w:val="none" w:sz="0" w:space="0" w:color="auto"/>
                <w:bottom w:val="none" w:sz="0" w:space="0" w:color="auto"/>
                <w:right w:val="none" w:sz="0" w:space="0" w:color="auto"/>
              </w:divBdr>
            </w:div>
            <w:div w:id="1938517565">
              <w:marLeft w:val="0"/>
              <w:marRight w:val="0"/>
              <w:marTop w:val="0"/>
              <w:marBottom w:val="0"/>
              <w:divBdr>
                <w:top w:val="none" w:sz="0" w:space="0" w:color="auto"/>
                <w:left w:val="none" w:sz="0" w:space="0" w:color="auto"/>
                <w:bottom w:val="none" w:sz="0" w:space="0" w:color="auto"/>
                <w:right w:val="none" w:sz="0" w:space="0" w:color="auto"/>
              </w:divBdr>
            </w:div>
          </w:divsChild>
        </w:div>
        <w:div w:id="686907799">
          <w:marLeft w:val="0"/>
          <w:marRight w:val="0"/>
          <w:marTop w:val="0"/>
          <w:marBottom w:val="0"/>
          <w:divBdr>
            <w:top w:val="none" w:sz="0" w:space="0" w:color="auto"/>
            <w:left w:val="none" w:sz="0" w:space="0" w:color="auto"/>
            <w:bottom w:val="none" w:sz="0" w:space="0" w:color="auto"/>
            <w:right w:val="none" w:sz="0" w:space="0" w:color="auto"/>
          </w:divBdr>
          <w:divsChild>
            <w:div w:id="43873181">
              <w:marLeft w:val="0"/>
              <w:marRight w:val="0"/>
              <w:marTop w:val="0"/>
              <w:marBottom w:val="0"/>
              <w:divBdr>
                <w:top w:val="none" w:sz="0" w:space="0" w:color="auto"/>
                <w:left w:val="none" w:sz="0" w:space="0" w:color="auto"/>
                <w:bottom w:val="none" w:sz="0" w:space="0" w:color="auto"/>
                <w:right w:val="none" w:sz="0" w:space="0" w:color="auto"/>
              </w:divBdr>
            </w:div>
            <w:div w:id="431898214">
              <w:marLeft w:val="0"/>
              <w:marRight w:val="0"/>
              <w:marTop w:val="0"/>
              <w:marBottom w:val="0"/>
              <w:divBdr>
                <w:top w:val="none" w:sz="0" w:space="0" w:color="auto"/>
                <w:left w:val="none" w:sz="0" w:space="0" w:color="auto"/>
                <w:bottom w:val="none" w:sz="0" w:space="0" w:color="auto"/>
                <w:right w:val="none" w:sz="0" w:space="0" w:color="auto"/>
              </w:divBdr>
            </w:div>
            <w:div w:id="767123266">
              <w:marLeft w:val="0"/>
              <w:marRight w:val="0"/>
              <w:marTop w:val="0"/>
              <w:marBottom w:val="0"/>
              <w:divBdr>
                <w:top w:val="none" w:sz="0" w:space="0" w:color="auto"/>
                <w:left w:val="none" w:sz="0" w:space="0" w:color="auto"/>
                <w:bottom w:val="none" w:sz="0" w:space="0" w:color="auto"/>
                <w:right w:val="none" w:sz="0" w:space="0" w:color="auto"/>
              </w:divBdr>
            </w:div>
            <w:div w:id="908079771">
              <w:marLeft w:val="0"/>
              <w:marRight w:val="0"/>
              <w:marTop w:val="0"/>
              <w:marBottom w:val="0"/>
              <w:divBdr>
                <w:top w:val="none" w:sz="0" w:space="0" w:color="auto"/>
                <w:left w:val="none" w:sz="0" w:space="0" w:color="auto"/>
                <w:bottom w:val="none" w:sz="0" w:space="0" w:color="auto"/>
                <w:right w:val="none" w:sz="0" w:space="0" w:color="auto"/>
              </w:divBdr>
            </w:div>
            <w:div w:id="1037391458">
              <w:marLeft w:val="0"/>
              <w:marRight w:val="0"/>
              <w:marTop w:val="0"/>
              <w:marBottom w:val="0"/>
              <w:divBdr>
                <w:top w:val="none" w:sz="0" w:space="0" w:color="auto"/>
                <w:left w:val="none" w:sz="0" w:space="0" w:color="auto"/>
                <w:bottom w:val="none" w:sz="0" w:space="0" w:color="auto"/>
                <w:right w:val="none" w:sz="0" w:space="0" w:color="auto"/>
              </w:divBdr>
            </w:div>
            <w:div w:id="1413314626">
              <w:marLeft w:val="0"/>
              <w:marRight w:val="0"/>
              <w:marTop w:val="0"/>
              <w:marBottom w:val="0"/>
              <w:divBdr>
                <w:top w:val="none" w:sz="0" w:space="0" w:color="auto"/>
                <w:left w:val="none" w:sz="0" w:space="0" w:color="auto"/>
                <w:bottom w:val="none" w:sz="0" w:space="0" w:color="auto"/>
                <w:right w:val="none" w:sz="0" w:space="0" w:color="auto"/>
              </w:divBdr>
            </w:div>
            <w:div w:id="1465385660">
              <w:marLeft w:val="0"/>
              <w:marRight w:val="0"/>
              <w:marTop w:val="0"/>
              <w:marBottom w:val="0"/>
              <w:divBdr>
                <w:top w:val="none" w:sz="0" w:space="0" w:color="auto"/>
                <w:left w:val="none" w:sz="0" w:space="0" w:color="auto"/>
                <w:bottom w:val="none" w:sz="0" w:space="0" w:color="auto"/>
                <w:right w:val="none" w:sz="0" w:space="0" w:color="auto"/>
              </w:divBdr>
            </w:div>
            <w:div w:id="1784880480">
              <w:marLeft w:val="0"/>
              <w:marRight w:val="0"/>
              <w:marTop w:val="0"/>
              <w:marBottom w:val="0"/>
              <w:divBdr>
                <w:top w:val="none" w:sz="0" w:space="0" w:color="auto"/>
                <w:left w:val="none" w:sz="0" w:space="0" w:color="auto"/>
                <w:bottom w:val="none" w:sz="0" w:space="0" w:color="auto"/>
                <w:right w:val="none" w:sz="0" w:space="0" w:color="auto"/>
              </w:divBdr>
            </w:div>
            <w:div w:id="1829906211">
              <w:marLeft w:val="0"/>
              <w:marRight w:val="0"/>
              <w:marTop w:val="0"/>
              <w:marBottom w:val="0"/>
              <w:divBdr>
                <w:top w:val="none" w:sz="0" w:space="0" w:color="auto"/>
                <w:left w:val="none" w:sz="0" w:space="0" w:color="auto"/>
                <w:bottom w:val="none" w:sz="0" w:space="0" w:color="auto"/>
                <w:right w:val="none" w:sz="0" w:space="0" w:color="auto"/>
              </w:divBdr>
            </w:div>
            <w:div w:id="1973904882">
              <w:marLeft w:val="0"/>
              <w:marRight w:val="0"/>
              <w:marTop w:val="0"/>
              <w:marBottom w:val="0"/>
              <w:divBdr>
                <w:top w:val="none" w:sz="0" w:space="0" w:color="auto"/>
                <w:left w:val="none" w:sz="0" w:space="0" w:color="auto"/>
                <w:bottom w:val="none" w:sz="0" w:space="0" w:color="auto"/>
                <w:right w:val="none" w:sz="0" w:space="0" w:color="auto"/>
              </w:divBdr>
            </w:div>
          </w:divsChild>
        </w:div>
        <w:div w:id="687608765">
          <w:marLeft w:val="0"/>
          <w:marRight w:val="0"/>
          <w:marTop w:val="0"/>
          <w:marBottom w:val="0"/>
          <w:divBdr>
            <w:top w:val="none" w:sz="0" w:space="0" w:color="auto"/>
            <w:left w:val="none" w:sz="0" w:space="0" w:color="auto"/>
            <w:bottom w:val="none" w:sz="0" w:space="0" w:color="auto"/>
            <w:right w:val="none" w:sz="0" w:space="0" w:color="auto"/>
          </w:divBdr>
        </w:div>
        <w:div w:id="693534428">
          <w:marLeft w:val="0"/>
          <w:marRight w:val="0"/>
          <w:marTop w:val="0"/>
          <w:marBottom w:val="0"/>
          <w:divBdr>
            <w:top w:val="none" w:sz="0" w:space="0" w:color="auto"/>
            <w:left w:val="none" w:sz="0" w:space="0" w:color="auto"/>
            <w:bottom w:val="none" w:sz="0" w:space="0" w:color="auto"/>
            <w:right w:val="none" w:sz="0" w:space="0" w:color="auto"/>
          </w:divBdr>
          <w:divsChild>
            <w:div w:id="1435589266">
              <w:marLeft w:val="-75"/>
              <w:marRight w:val="0"/>
              <w:marTop w:val="30"/>
              <w:marBottom w:val="30"/>
              <w:divBdr>
                <w:top w:val="none" w:sz="0" w:space="0" w:color="auto"/>
                <w:left w:val="none" w:sz="0" w:space="0" w:color="auto"/>
                <w:bottom w:val="none" w:sz="0" w:space="0" w:color="auto"/>
                <w:right w:val="none" w:sz="0" w:space="0" w:color="auto"/>
              </w:divBdr>
              <w:divsChild>
                <w:div w:id="28534986">
                  <w:marLeft w:val="0"/>
                  <w:marRight w:val="0"/>
                  <w:marTop w:val="0"/>
                  <w:marBottom w:val="0"/>
                  <w:divBdr>
                    <w:top w:val="none" w:sz="0" w:space="0" w:color="auto"/>
                    <w:left w:val="none" w:sz="0" w:space="0" w:color="auto"/>
                    <w:bottom w:val="none" w:sz="0" w:space="0" w:color="auto"/>
                    <w:right w:val="none" w:sz="0" w:space="0" w:color="auto"/>
                  </w:divBdr>
                  <w:divsChild>
                    <w:div w:id="1848053057">
                      <w:marLeft w:val="0"/>
                      <w:marRight w:val="0"/>
                      <w:marTop w:val="0"/>
                      <w:marBottom w:val="0"/>
                      <w:divBdr>
                        <w:top w:val="none" w:sz="0" w:space="0" w:color="auto"/>
                        <w:left w:val="none" w:sz="0" w:space="0" w:color="auto"/>
                        <w:bottom w:val="none" w:sz="0" w:space="0" w:color="auto"/>
                        <w:right w:val="none" w:sz="0" w:space="0" w:color="auto"/>
                      </w:divBdr>
                    </w:div>
                  </w:divsChild>
                </w:div>
                <w:div w:id="40447654">
                  <w:marLeft w:val="0"/>
                  <w:marRight w:val="0"/>
                  <w:marTop w:val="0"/>
                  <w:marBottom w:val="0"/>
                  <w:divBdr>
                    <w:top w:val="none" w:sz="0" w:space="0" w:color="auto"/>
                    <w:left w:val="none" w:sz="0" w:space="0" w:color="auto"/>
                    <w:bottom w:val="none" w:sz="0" w:space="0" w:color="auto"/>
                    <w:right w:val="none" w:sz="0" w:space="0" w:color="auto"/>
                  </w:divBdr>
                  <w:divsChild>
                    <w:div w:id="1830247811">
                      <w:marLeft w:val="0"/>
                      <w:marRight w:val="0"/>
                      <w:marTop w:val="0"/>
                      <w:marBottom w:val="0"/>
                      <w:divBdr>
                        <w:top w:val="none" w:sz="0" w:space="0" w:color="auto"/>
                        <w:left w:val="none" w:sz="0" w:space="0" w:color="auto"/>
                        <w:bottom w:val="none" w:sz="0" w:space="0" w:color="auto"/>
                        <w:right w:val="none" w:sz="0" w:space="0" w:color="auto"/>
                      </w:divBdr>
                    </w:div>
                  </w:divsChild>
                </w:div>
                <w:div w:id="169949824">
                  <w:marLeft w:val="0"/>
                  <w:marRight w:val="0"/>
                  <w:marTop w:val="0"/>
                  <w:marBottom w:val="0"/>
                  <w:divBdr>
                    <w:top w:val="none" w:sz="0" w:space="0" w:color="auto"/>
                    <w:left w:val="none" w:sz="0" w:space="0" w:color="auto"/>
                    <w:bottom w:val="none" w:sz="0" w:space="0" w:color="auto"/>
                    <w:right w:val="none" w:sz="0" w:space="0" w:color="auto"/>
                  </w:divBdr>
                  <w:divsChild>
                    <w:div w:id="669606108">
                      <w:marLeft w:val="0"/>
                      <w:marRight w:val="0"/>
                      <w:marTop w:val="0"/>
                      <w:marBottom w:val="0"/>
                      <w:divBdr>
                        <w:top w:val="none" w:sz="0" w:space="0" w:color="auto"/>
                        <w:left w:val="none" w:sz="0" w:space="0" w:color="auto"/>
                        <w:bottom w:val="none" w:sz="0" w:space="0" w:color="auto"/>
                        <w:right w:val="none" w:sz="0" w:space="0" w:color="auto"/>
                      </w:divBdr>
                    </w:div>
                  </w:divsChild>
                </w:div>
                <w:div w:id="314797729">
                  <w:marLeft w:val="0"/>
                  <w:marRight w:val="0"/>
                  <w:marTop w:val="0"/>
                  <w:marBottom w:val="0"/>
                  <w:divBdr>
                    <w:top w:val="none" w:sz="0" w:space="0" w:color="auto"/>
                    <w:left w:val="none" w:sz="0" w:space="0" w:color="auto"/>
                    <w:bottom w:val="none" w:sz="0" w:space="0" w:color="auto"/>
                    <w:right w:val="none" w:sz="0" w:space="0" w:color="auto"/>
                  </w:divBdr>
                  <w:divsChild>
                    <w:div w:id="1347320691">
                      <w:marLeft w:val="0"/>
                      <w:marRight w:val="0"/>
                      <w:marTop w:val="0"/>
                      <w:marBottom w:val="0"/>
                      <w:divBdr>
                        <w:top w:val="none" w:sz="0" w:space="0" w:color="auto"/>
                        <w:left w:val="none" w:sz="0" w:space="0" w:color="auto"/>
                        <w:bottom w:val="none" w:sz="0" w:space="0" w:color="auto"/>
                        <w:right w:val="none" w:sz="0" w:space="0" w:color="auto"/>
                      </w:divBdr>
                    </w:div>
                  </w:divsChild>
                </w:div>
                <w:div w:id="568198508">
                  <w:marLeft w:val="0"/>
                  <w:marRight w:val="0"/>
                  <w:marTop w:val="0"/>
                  <w:marBottom w:val="0"/>
                  <w:divBdr>
                    <w:top w:val="none" w:sz="0" w:space="0" w:color="auto"/>
                    <w:left w:val="none" w:sz="0" w:space="0" w:color="auto"/>
                    <w:bottom w:val="none" w:sz="0" w:space="0" w:color="auto"/>
                    <w:right w:val="none" w:sz="0" w:space="0" w:color="auto"/>
                  </w:divBdr>
                  <w:divsChild>
                    <w:div w:id="637758993">
                      <w:marLeft w:val="0"/>
                      <w:marRight w:val="0"/>
                      <w:marTop w:val="0"/>
                      <w:marBottom w:val="0"/>
                      <w:divBdr>
                        <w:top w:val="none" w:sz="0" w:space="0" w:color="auto"/>
                        <w:left w:val="none" w:sz="0" w:space="0" w:color="auto"/>
                        <w:bottom w:val="none" w:sz="0" w:space="0" w:color="auto"/>
                        <w:right w:val="none" w:sz="0" w:space="0" w:color="auto"/>
                      </w:divBdr>
                    </w:div>
                  </w:divsChild>
                </w:div>
                <w:div w:id="813177507">
                  <w:marLeft w:val="0"/>
                  <w:marRight w:val="0"/>
                  <w:marTop w:val="0"/>
                  <w:marBottom w:val="0"/>
                  <w:divBdr>
                    <w:top w:val="none" w:sz="0" w:space="0" w:color="auto"/>
                    <w:left w:val="none" w:sz="0" w:space="0" w:color="auto"/>
                    <w:bottom w:val="none" w:sz="0" w:space="0" w:color="auto"/>
                    <w:right w:val="none" w:sz="0" w:space="0" w:color="auto"/>
                  </w:divBdr>
                  <w:divsChild>
                    <w:div w:id="1885294305">
                      <w:marLeft w:val="0"/>
                      <w:marRight w:val="0"/>
                      <w:marTop w:val="0"/>
                      <w:marBottom w:val="0"/>
                      <w:divBdr>
                        <w:top w:val="none" w:sz="0" w:space="0" w:color="auto"/>
                        <w:left w:val="none" w:sz="0" w:space="0" w:color="auto"/>
                        <w:bottom w:val="none" w:sz="0" w:space="0" w:color="auto"/>
                        <w:right w:val="none" w:sz="0" w:space="0" w:color="auto"/>
                      </w:divBdr>
                    </w:div>
                  </w:divsChild>
                </w:div>
                <w:div w:id="847332693">
                  <w:marLeft w:val="0"/>
                  <w:marRight w:val="0"/>
                  <w:marTop w:val="0"/>
                  <w:marBottom w:val="0"/>
                  <w:divBdr>
                    <w:top w:val="none" w:sz="0" w:space="0" w:color="auto"/>
                    <w:left w:val="none" w:sz="0" w:space="0" w:color="auto"/>
                    <w:bottom w:val="none" w:sz="0" w:space="0" w:color="auto"/>
                    <w:right w:val="none" w:sz="0" w:space="0" w:color="auto"/>
                  </w:divBdr>
                  <w:divsChild>
                    <w:div w:id="2073191963">
                      <w:marLeft w:val="0"/>
                      <w:marRight w:val="0"/>
                      <w:marTop w:val="0"/>
                      <w:marBottom w:val="0"/>
                      <w:divBdr>
                        <w:top w:val="none" w:sz="0" w:space="0" w:color="auto"/>
                        <w:left w:val="none" w:sz="0" w:space="0" w:color="auto"/>
                        <w:bottom w:val="none" w:sz="0" w:space="0" w:color="auto"/>
                        <w:right w:val="none" w:sz="0" w:space="0" w:color="auto"/>
                      </w:divBdr>
                    </w:div>
                  </w:divsChild>
                </w:div>
                <w:div w:id="877163931">
                  <w:marLeft w:val="0"/>
                  <w:marRight w:val="0"/>
                  <w:marTop w:val="0"/>
                  <w:marBottom w:val="0"/>
                  <w:divBdr>
                    <w:top w:val="none" w:sz="0" w:space="0" w:color="auto"/>
                    <w:left w:val="none" w:sz="0" w:space="0" w:color="auto"/>
                    <w:bottom w:val="none" w:sz="0" w:space="0" w:color="auto"/>
                    <w:right w:val="none" w:sz="0" w:space="0" w:color="auto"/>
                  </w:divBdr>
                  <w:divsChild>
                    <w:div w:id="832264086">
                      <w:marLeft w:val="0"/>
                      <w:marRight w:val="0"/>
                      <w:marTop w:val="0"/>
                      <w:marBottom w:val="0"/>
                      <w:divBdr>
                        <w:top w:val="none" w:sz="0" w:space="0" w:color="auto"/>
                        <w:left w:val="none" w:sz="0" w:space="0" w:color="auto"/>
                        <w:bottom w:val="none" w:sz="0" w:space="0" w:color="auto"/>
                        <w:right w:val="none" w:sz="0" w:space="0" w:color="auto"/>
                      </w:divBdr>
                    </w:div>
                  </w:divsChild>
                </w:div>
                <w:div w:id="972835250">
                  <w:marLeft w:val="0"/>
                  <w:marRight w:val="0"/>
                  <w:marTop w:val="0"/>
                  <w:marBottom w:val="0"/>
                  <w:divBdr>
                    <w:top w:val="none" w:sz="0" w:space="0" w:color="auto"/>
                    <w:left w:val="none" w:sz="0" w:space="0" w:color="auto"/>
                    <w:bottom w:val="none" w:sz="0" w:space="0" w:color="auto"/>
                    <w:right w:val="none" w:sz="0" w:space="0" w:color="auto"/>
                  </w:divBdr>
                  <w:divsChild>
                    <w:div w:id="1710953064">
                      <w:marLeft w:val="0"/>
                      <w:marRight w:val="0"/>
                      <w:marTop w:val="0"/>
                      <w:marBottom w:val="0"/>
                      <w:divBdr>
                        <w:top w:val="none" w:sz="0" w:space="0" w:color="auto"/>
                        <w:left w:val="none" w:sz="0" w:space="0" w:color="auto"/>
                        <w:bottom w:val="none" w:sz="0" w:space="0" w:color="auto"/>
                        <w:right w:val="none" w:sz="0" w:space="0" w:color="auto"/>
                      </w:divBdr>
                    </w:div>
                  </w:divsChild>
                </w:div>
                <w:div w:id="1336303212">
                  <w:marLeft w:val="0"/>
                  <w:marRight w:val="0"/>
                  <w:marTop w:val="0"/>
                  <w:marBottom w:val="0"/>
                  <w:divBdr>
                    <w:top w:val="none" w:sz="0" w:space="0" w:color="auto"/>
                    <w:left w:val="none" w:sz="0" w:space="0" w:color="auto"/>
                    <w:bottom w:val="none" w:sz="0" w:space="0" w:color="auto"/>
                    <w:right w:val="none" w:sz="0" w:space="0" w:color="auto"/>
                  </w:divBdr>
                  <w:divsChild>
                    <w:div w:id="186988283">
                      <w:marLeft w:val="0"/>
                      <w:marRight w:val="0"/>
                      <w:marTop w:val="0"/>
                      <w:marBottom w:val="0"/>
                      <w:divBdr>
                        <w:top w:val="none" w:sz="0" w:space="0" w:color="auto"/>
                        <w:left w:val="none" w:sz="0" w:space="0" w:color="auto"/>
                        <w:bottom w:val="none" w:sz="0" w:space="0" w:color="auto"/>
                        <w:right w:val="none" w:sz="0" w:space="0" w:color="auto"/>
                      </w:divBdr>
                    </w:div>
                  </w:divsChild>
                </w:div>
                <w:div w:id="1429042493">
                  <w:marLeft w:val="0"/>
                  <w:marRight w:val="0"/>
                  <w:marTop w:val="0"/>
                  <w:marBottom w:val="0"/>
                  <w:divBdr>
                    <w:top w:val="none" w:sz="0" w:space="0" w:color="auto"/>
                    <w:left w:val="none" w:sz="0" w:space="0" w:color="auto"/>
                    <w:bottom w:val="none" w:sz="0" w:space="0" w:color="auto"/>
                    <w:right w:val="none" w:sz="0" w:space="0" w:color="auto"/>
                  </w:divBdr>
                  <w:divsChild>
                    <w:div w:id="1163396235">
                      <w:marLeft w:val="0"/>
                      <w:marRight w:val="0"/>
                      <w:marTop w:val="0"/>
                      <w:marBottom w:val="0"/>
                      <w:divBdr>
                        <w:top w:val="none" w:sz="0" w:space="0" w:color="auto"/>
                        <w:left w:val="none" w:sz="0" w:space="0" w:color="auto"/>
                        <w:bottom w:val="none" w:sz="0" w:space="0" w:color="auto"/>
                        <w:right w:val="none" w:sz="0" w:space="0" w:color="auto"/>
                      </w:divBdr>
                    </w:div>
                  </w:divsChild>
                </w:div>
                <w:div w:id="1490753858">
                  <w:marLeft w:val="0"/>
                  <w:marRight w:val="0"/>
                  <w:marTop w:val="0"/>
                  <w:marBottom w:val="0"/>
                  <w:divBdr>
                    <w:top w:val="none" w:sz="0" w:space="0" w:color="auto"/>
                    <w:left w:val="none" w:sz="0" w:space="0" w:color="auto"/>
                    <w:bottom w:val="none" w:sz="0" w:space="0" w:color="auto"/>
                    <w:right w:val="none" w:sz="0" w:space="0" w:color="auto"/>
                  </w:divBdr>
                  <w:divsChild>
                    <w:div w:id="153684264">
                      <w:marLeft w:val="0"/>
                      <w:marRight w:val="0"/>
                      <w:marTop w:val="0"/>
                      <w:marBottom w:val="0"/>
                      <w:divBdr>
                        <w:top w:val="none" w:sz="0" w:space="0" w:color="auto"/>
                        <w:left w:val="none" w:sz="0" w:space="0" w:color="auto"/>
                        <w:bottom w:val="none" w:sz="0" w:space="0" w:color="auto"/>
                        <w:right w:val="none" w:sz="0" w:space="0" w:color="auto"/>
                      </w:divBdr>
                    </w:div>
                  </w:divsChild>
                </w:div>
                <w:div w:id="1678731961">
                  <w:marLeft w:val="0"/>
                  <w:marRight w:val="0"/>
                  <w:marTop w:val="0"/>
                  <w:marBottom w:val="0"/>
                  <w:divBdr>
                    <w:top w:val="none" w:sz="0" w:space="0" w:color="auto"/>
                    <w:left w:val="none" w:sz="0" w:space="0" w:color="auto"/>
                    <w:bottom w:val="none" w:sz="0" w:space="0" w:color="auto"/>
                    <w:right w:val="none" w:sz="0" w:space="0" w:color="auto"/>
                  </w:divBdr>
                  <w:divsChild>
                    <w:div w:id="1851723636">
                      <w:marLeft w:val="0"/>
                      <w:marRight w:val="0"/>
                      <w:marTop w:val="0"/>
                      <w:marBottom w:val="0"/>
                      <w:divBdr>
                        <w:top w:val="none" w:sz="0" w:space="0" w:color="auto"/>
                        <w:left w:val="none" w:sz="0" w:space="0" w:color="auto"/>
                        <w:bottom w:val="none" w:sz="0" w:space="0" w:color="auto"/>
                        <w:right w:val="none" w:sz="0" w:space="0" w:color="auto"/>
                      </w:divBdr>
                    </w:div>
                  </w:divsChild>
                </w:div>
                <w:div w:id="1787769810">
                  <w:marLeft w:val="0"/>
                  <w:marRight w:val="0"/>
                  <w:marTop w:val="0"/>
                  <w:marBottom w:val="0"/>
                  <w:divBdr>
                    <w:top w:val="none" w:sz="0" w:space="0" w:color="auto"/>
                    <w:left w:val="none" w:sz="0" w:space="0" w:color="auto"/>
                    <w:bottom w:val="none" w:sz="0" w:space="0" w:color="auto"/>
                    <w:right w:val="none" w:sz="0" w:space="0" w:color="auto"/>
                  </w:divBdr>
                  <w:divsChild>
                    <w:div w:id="1557399865">
                      <w:marLeft w:val="0"/>
                      <w:marRight w:val="0"/>
                      <w:marTop w:val="0"/>
                      <w:marBottom w:val="0"/>
                      <w:divBdr>
                        <w:top w:val="none" w:sz="0" w:space="0" w:color="auto"/>
                        <w:left w:val="none" w:sz="0" w:space="0" w:color="auto"/>
                        <w:bottom w:val="none" w:sz="0" w:space="0" w:color="auto"/>
                        <w:right w:val="none" w:sz="0" w:space="0" w:color="auto"/>
                      </w:divBdr>
                    </w:div>
                  </w:divsChild>
                </w:div>
                <w:div w:id="1824463973">
                  <w:marLeft w:val="0"/>
                  <w:marRight w:val="0"/>
                  <w:marTop w:val="0"/>
                  <w:marBottom w:val="0"/>
                  <w:divBdr>
                    <w:top w:val="none" w:sz="0" w:space="0" w:color="auto"/>
                    <w:left w:val="none" w:sz="0" w:space="0" w:color="auto"/>
                    <w:bottom w:val="none" w:sz="0" w:space="0" w:color="auto"/>
                    <w:right w:val="none" w:sz="0" w:space="0" w:color="auto"/>
                  </w:divBdr>
                  <w:divsChild>
                    <w:div w:id="158541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77937">
          <w:marLeft w:val="0"/>
          <w:marRight w:val="0"/>
          <w:marTop w:val="0"/>
          <w:marBottom w:val="0"/>
          <w:divBdr>
            <w:top w:val="none" w:sz="0" w:space="0" w:color="auto"/>
            <w:left w:val="none" w:sz="0" w:space="0" w:color="auto"/>
            <w:bottom w:val="none" w:sz="0" w:space="0" w:color="auto"/>
            <w:right w:val="none" w:sz="0" w:space="0" w:color="auto"/>
          </w:divBdr>
          <w:divsChild>
            <w:div w:id="430198414">
              <w:marLeft w:val="0"/>
              <w:marRight w:val="0"/>
              <w:marTop w:val="0"/>
              <w:marBottom w:val="0"/>
              <w:divBdr>
                <w:top w:val="none" w:sz="0" w:space="0" w:color="auto"/>
                <w:left w:val="none" w:sz="0" w:space="0" w:color="auto"/>
                <w:bottom w:val="none" w:sz="0" w:space="0" w:color="auto"/>
                <w:right w:val="none" w:sz="0" w:space="0" w:color="auto"/>
              </w:divBdr>
            </w:div>
            <w:div w:id="653068777">
              <w:marLeft w:val="0"/>
              <w:marRight w:val="0"/>
              <w:marTop w:val="0"/>
              <w:marBottom w:val="0"/>
              <w:divBdr>
                <w:top w:val="none" w:sz="0" w:space="0" w:color="auto"/>
                <w:left w:val="none" w:sz="0" w:space="0" w:color="auto"/>
                <w:bottom w:val="none" w:sz="0" w:space="0" w:color="auto"/>
                <w:right w:val="none" w:sz="0" w:space="0" w:color="auto"/>
              </w:divBdr>
            </w:div>
            <w:div w:id="858012124">
              <w:marLeft w:val="0"/>
              <w:marRight w:val="0"/>
              <w:marTop w:val="0"/>
              <w:marBottom w:val="0"/>
              <w:divBdr>
                <w:top w:val="none" w:sz="0" w:space="0" w:color="auto"/>
                <w:left w:val="none" w:sz="0" w:space="0" w:color="auto"/>
                <w:bottom w:val="none" w:sz="0" w:space="0" w:color="auto"/>
                <w:right w:val="none" w:sz="0" w:space="0" w:color="auto"/>
              </w:divBdr>
            </w:div>
            <w:div w:id="1118527329">
              <w:marLeft w:val="0"/>
              <w:marRight w:val="0"/>
              <w:marTop w:val="0"/>
              <w:marBottom w:val="0"/>
              <w:divBdr>
                <w:top w:val="none" w:sz="0" w:space="0" w:color="auto"/>
                <w:left w:val="none" w:sz="0" w:space="0" w:color="auto"/>
                <w:bottom w:val="none" w:sz="0" w:space="0" w:color="auto"/>
                <w:right w:val="none" w:sz="0" w:space="0" w:color="auto"/>
              </w:divBdr>
            </w:div>
            <w:div w:id="1189374768">
              <w:marLeft w:val="0"/>
              <w:marRight w:val="0"/>
              <w:marTop w:val="0"/>
              <w:marBottom w:val="0"/>
              <w:divBdr>
                <w:top w:val="none" w:sz="0" w:space="0" w:color="auto"/>
                <w:left w:val="none" w:sz="0" w:space="0" w:color="auto"/>
                <w:bottom w:val="none" w:sz="0" w:space="0" w:color="auto"/>
                <w:right w:val="none" w:sz="0" w:space="0" w:color="auto"/>
              </w:divBdr>
            </w:div>
            <w:div w:id="1228303967">
              <w:marLeft w:val="0"/>
              <w:marRight w:val="0"/>
              <w:marTop w:val="0"/>
              <w:marBottom w:val="0"/>
              <w:divBdr>
                <w:top w:val="none" w:sz="0" w:space="0" w:color="auto"/>
                <w:left w:val="none" w:sz="0" w:space="0" w:color="auto"/>
                <w:bottom w:val="none" w:sz="0" w:space="0" w:color="auto"/>
                <w:right w:val="none" w:sz="0" w:space="0" w:color="auto"/>
              </w:divBdr>
            </w:div>
            <w:div w:id="1240093968">
              <w:marLeft w:val="0"/>
              <w:marRight w:val="0"/>
              <w:marTop w:val="0"/>
              <w:marBottom w:val="0"/>
              <w:divBdr>
                <w:top w:val="none" w:sz="0" w:space="0" w:color="auto"/>
                <w:left w:val="none" w:sz="0" w:space="0" w:color="auto"/>
                <w:bottom w:val="none" w:sz="0" w:space="0" w:color="auto"/>
                <w:right w:val="none" w:sz="0" w:space="0" w:color="auto"/>
              </w:divBdr>
            </w:div>
            <w:div w:id="1447654682">
              <w:marLeft w:val="0"/>
              <w:marRight w:val="0"/>
              <w:marTop w:val="0"/>
              <w:marBottom w:val="0"/>
              <w:divBdr>
                <w:top w:val="none" w:sz="0" w:space="0" w:color="auto"/>
                <w:left w:val="none" w:sz="0" w:space="0" w:color="auto"/>
                <w:bottom w:val="none" w:sz="0" w:space="0" w:color="auto"/>
                <w:right w:val="none" w:sz="0" w:space="0" w:color="auto"/>
              </w:divBdr>
            </w:div>
            <w:div w:id="1706442128">
              <w:marLeft w:val="0"/>
              <w:marRight w:val="0"/>
              <w:marTop w:val="0"/>
              <w:marBottom w:val="0"/>
              <w:divBdr>
                <w:top w:val="none" w:sz="0" w:space="0" w:color="auto"/>
                <w:left w:val="none" w:sz="0" w:space="0" w:color="auto"/>
                <w:bottom w:val="none" w:sz="0" w:space="0" w:color="auto"/>
                <w:right w:val="none" w:sz="0" w:space="0" w:color="auto"/>
              </w:divBdr>
            </w:div>
          </w:divsChild>
        </w:div>
        <w:div w:id="716704636">
          <w:marLeft w:val="0"/>
          <w:marRight w:val="0"/>
          <w:marTop w:val="0"/>
          <w:marBottom w:val="0"/>
          <w:divBdr>
            <w:top w:val="none" w:sz="0" w:space="0" w:color="auto"/>
            <w:left w:val="none" w:sz="0" w:space="0" w:color="auto"/>
            <w:bottom w:val="none" w:sz="0" w:space="0" w:color="auto"/>
            <w:right w:val="none" w:sz="0" w:space="0" w:color="auto"/>
          </w:divBdr>
          <w:divsChild>
            <w:div w:id="540173647">
              <w:marLeft w:val="-75"/>
              <w:marRight w:val="0"/>
              <w:marTop w:val="30"/>
              <w:marBottom w:val="30"/>
              <w:divBdr>
                <w:top w:val="none" w:sz="0" w:space="0" w:color="auto"/>
                <w:left w:val="none" w:sz="0" w:space="0" w:color="auto"/>
                <w:bottom w:val="none" w:sz="0" w:space="0" w:color="auto"/>
                <w:right w:val="none" w:sz="0" w:space="0" w:color="auto"/>
              </w:divBdr>
              <w:divsChild>
                <w:div w:id="4015022">
                  <w:marLeft w:val="0"/>
                  <w:marRight w:val="0"/>
                  <w:marTop w:val="0"/>
                  <w:marBottom w:val="0"/>
                  <w:divBdr>
                    <w:top w:val="none" w:sz="0" w:space="0" w:color="auto"/>
                    <w:left w:val="none" w:sz="0" w:space="0" w:color="auto"/>
                    <w:bottom w:val="none" w:sz="0" w:space="0" w:color="auto"/>
                    <w:right w:val="none" w:sz="0" w:space="0" w:color="auto"/>
                  </w:divBdr>
                  <w:divsChild>
                    <w:div w:id="905804165">
                      <w:marLeft w:val="0"/>
                      <w:marRight w:val="0"/>
                      <w:marTop w:val="0"/>
                      <w:marBottom w:val="0"/>
                      <w:divBdr>
                        <w:top w:val="none" w:sz="0" w:space="0" w:color="auto"/>
                        <w:left w:val="none" w:sz="0" w:space="0" w:color="auto"/>
                        <w:bottom w:val="none" w:sz="0" w:space="0" w:color="auto"/>
                        <w:right w:val="none" w:sz="0" w:space="0" w:color="auto"/>
                      </w:divBdr>
                    </w:div>
                  </w:divsChild>
                </w:div>
                <w:div w:id="38163730">
                  <w:marLeft w:val="0"/>
                  <w:marRight w:val="0"/>
                  <w:marTop w:val="0"/>
                  <w:marBottom w:val="0"/>
                  <w:divBdr>
                    <w:top w:val="none" w:sz="0" w:space="0" w:color="auto"/>
                    <w:left w:val="none" w:sz="0" w:space="0" w:color="auto"/>
                    <w:bottom w:val="none" w:sz="0" w:space="0" w:color="auto"/>
                    <w:right w:val="none" w:sz="0" w:space="0" w:color="auto"/>
                  </w:divBdr>
                  <w:divsChild>
                    <w:div w:id="1854371291">
                      <w:marLeft w:val="0"/>
                      <w:marRight w:val="0"/>
                      <w:marTop w:val="0"/>
                      <w:marBottom w:val="0"/>
                      <w:divBdr>
                        <w:top w:val="none" w:sz="0" w:space="0" w:color="auto"/>
                        <w:left w:val="none" w:sz="0" w:space="0" w:color="auto"/>
                        <w:bottom w:val="none" w:sz="0" w:space="0" w:color="auto"/>
                        <w:right w:val="none" w:sz="0" w:space="0" w:color="auto"/>
                      </w:divBdr>
                    </w:div>
                  </w:divsChild>
                </w:div>
                <w:div w:id="63795402">
                  <w:marLeft w:val="0"/>
                  <w:marRight w:val="0"/>
                  <w:marTop w:val="0"/>
                  <w:marBottom w:val="0"/>
                  <w:divBdr>
                    <w:top w:val="none" w:sz="0" w:space="0" w:color="auto"/>
                    <w:left w:val="none" w:sz="0" w:space="0" w:color="auto"/>
                    <w:bottom w:val="none" w:sz="0" w:space="0" w:color="auto"/>
                    <w:right w:val="none" w:sz="0" w:space="0" w:color="auto"/>
                  </w:divBdr>
                  <w:divsChild>
                    <w:div w:id="1438481774">
                      <w:marLeft w:val="0"/>
                      <w:marRight w:val="0"/>
                      <w:marTop w:val="0"/>
                      <w:marBottom w:val="0"/>
                      <w:divBdr>
                        <w:top w:val="none" w:sz="0" w:space="0" w:color="auto"/>
                        <w:left w:val="none" w:sz="0" w:space="0" w:color="auto"/>
                        <w:bottom w:val="none" w:sz="0" w:space="0" w:color="auto"/>
                        <w:right w:val="none" w:sz="0" w:space="0" w:color="auto"/>
                      </w:divBdr>
                    </w:div>
                  </w:divsChild>
                </w:div>
                <w:div w:id="79299392">
                  <w:marLeft w:val="0"/>
                  <w:marRight w:val="0"/>
                  <w:marTop w:val="0"/>
                  <w:marBottom w:val="0"/>
                  <w:divBdr>
                    <w:top w:val="none" w:sz="0" w:space="0" w:color="auto"/>
                    <w:left w:val="none" w:sz="0" w:space="0" w:color="auto"/>
                    <w:bottom w:val="none" w:sz="0" w:space="0" w:color="auto"/>
                    <w:right w:val="none" w:sz="0" w:space="0" w:color="auto"/>
                  </w:divBdr>
                  <w:divsChild>
                    <w:div w:id="170796829">
                      <w:marLeft w:val="0"/>
                      <w:marRight w:val="0"/>
                      <w:marTop w:val="0"/>
                      <w:marBottom w:val="0"/>
                      <w:divBdr>
                        <w:top w:val="none" w:sz="0" w:space="0" w:color="auto"/>
                        <w:left w:val="none" w:sz="0" w:space="0" w:color="auto"/>
                        <w:bottom w:val="none" w:sz="0" w:space="0" w:color="auto"/>
                        <w:right w:val="none" w:sz="0" w:space="0" w:color="auto"/>
                      </w:divBdr>
                    </w:div>
                  </w:divsChild>
                </w:div>
                <w:div w:id="119617581">
                  <w:marLeft w:val="0"/>
                  <w:marRight w:val="0"/>
                  <w:marTop w:val="0"/>
                  <w:marBottom w:val="0"/>
                  <w:divBdr>
                    <w:top w:val="none" w:sz="0" w:space="0" w:color="auto"/>
                    <w:left w:val="none" w:sz="0" w:space="0" w:color="auto"/>
                    <w:bottom w:val="none" w:sz="0" w:space="0" w:color="auto"/>
                    <w:right w:val="none" w:sz="0" w:space="0" w:color="auto"/>
                  </w:divBdr>
                  <w:divsChild>
                    <w:div w:id="447508952">
                      <w:marLeft w:val="0"/>
                      <w:marRight w:val="0"/>
                      <w:marTop w:val="0"/>
                      <w:marBottom w:val="0"/>
                      <w:divBdr>
                        <w:top w:val="none" w:sz="0" w:space="0" w:color="auto"/>
                        <w:left w:val="none" w:sz="0" w:space="0" w:color="auto"/>
                        <w:bottom w:val="none" w:sz="0" w:space="0" w:color="auto"/>
                        <w:right w:val="none" w:sz="0" w:space="0" w:color="auto"/>
                      </w:divBdr>
                    </w:div>
                  </w:divsChild>
                </w:div>
                <w:div w:id="120267161">
                  <w:marLeft w:val="0"/>
                  <w:marRight w:val="0"/>
                  <w:marTop w:val="0"/>
                  <w:marBottom w:val="0"/>
                  <w:divBdr>
                    <w:top w:val="none" w:sz="0" w:space="0" w:color="auto"/>
                    <w:left w:val="none" w:sz="0" w:space="0" w:color="auto"/>
                    <w:bottom w:val="none" w:sz="0" w:space="0" w:color="auto"/>
                    <w:right w:val="none" w:sz="0" w:space="0" w:color="auto"/>
                  </w:divBdr>
                  <w:divsChild>
                    <w:div w:id="1461531235">
                      <w:marLeft w:val="0"/>
                      <w:marRight w:val="0"/>
                      <w:marTop w:val="0"/>
                      <w:marBottom w:val="0"/>
                      <w:divBdr>
                        <w:top w:val="none" w:sz="0" w:space="0" w:color="auto"/>
                        <w:left w:val="none" w:sz="0" w:space="0" w:color="auto"/>
                        <w:bottom w:val="none" w:sz="0" w:space="0" w:color="auto"/>
                        <w:right w:val="none" w:sz="0" w:space="0" w:color="auto"/>
                      </w:divBdr>
                    </w:div>
                  </w:divsChild>
                </w:div>
                <w:div w:id="129203336">
                  <w:marLeft w:val="0"/>
                  <w:marRight w:val="0"/>
                  <w:marTop w:val="0"/>
                  <w:marBottom w:val="0"/>
                  <w:divBdr>
                    <w:top w:val="none" w:sz="0" w:space="0" w:color="auto"/>
                    <w:left w:val="none" w:sz="0" w:space="0" w:color="auto"/>
                    <w:bottom w:val="none" w:sz="0" w:space="0" w:color="auto"/>
                    <w:right w:val="none" w:sz="0" w:space="0" w:color="auto"/>
                  </w:divBdr>
                  <w:divsChild>
                    <w:div w:id="1660961717">
                      <w:marLeft w:val="0"/>
                      <w:marRight w:val="0"/>
                      <w:marTop w:val="0"/>
                      <w:marBottom w:val="0"/>
                      <w:divBdr>
                        <w:top w:val="none" w:sz="0" w:space="0" w:color="auto"/>
                        <w:left w:val="none" w:sz="0" w:space="0" w:color="auto"/>
                        <w:bottom w:val="none" w:sz="0" w:space="0" w:color="auto"/>
                        <w:right w:val="none" w:sz="0" w:space="0" w:color="auto"/>
                      </w:divBdr>
                    </w:div>
                  </w:divsChild>
                </w:div>
                <w:div w:id="182911804">
                  <w:marLeft w:val="0"/>
                  <w:marRight w:val="0"/>
                  <w:marTop w:val="0"/>
                  <w:marBottom w:val="0"/>
                  <w:divBdr>
                    <w:top w:val="none" w:sz="0" w:space="0" w:color="auto"/>
                    <w:left w:val="none" w:sz="0" w:space="0" w:color="auto"/>
                    <w:bottom w:val="none" w:sz="0" w:space="0" w:color="auto"/>
                    <w:right w:val="none" w:sz="0" w:space="0" w:color="auto"/>
                  </w:divBdr>
                  <w:divsChild>
                    <w:div w:id="271400744">
                      <w:marLeft w:val="0"/>
                      <w:marRight w:val="0"/>
                      <w:marTop w:val="0"/>
                      <w:marBottom w:val="0"/>
                      <w:divBdr>
                        <w:top w:val="none" w:sz="0" w:space="0" w:color="auto"/>
                        <w:left w:val="none" w:sz="0" w:space="0" w:color="auto"/>
                        <w:bottom w:val="none" w:sz="0" w:space="0" w:color="auto"/>
                        <w:right w:val="none" w:sz="0" w:space="0" w:color="auto"/>
                      </w:divBdr>
                    </w:div>
                  </w:divsChild>
                </w:div>
                <w:div w:id="224339677">
                  <w:marLeft w:val="0"/>
                  <w:marRight w:val="0"/>
                  <w:marTop w:val="0"/>
                  <w:marBottom w:val="0"/>
                  <w:divBdr>
                    <w:top w:val="none" w:sz="0" w:space="0" w:color="auto"/>
                    <w:left w:val="none" w:sz="0" w:space="0" w:color="auto"/>
                    <w:bottom w:val="none" w:sz="0" w:space="0" w:color="auto"/>
                    <w:right w:val="none" w:sz="0" w:space="0" w:color="auto"/>
                  </w:divBdr>
                  <w:divsChild>
                    <w:div w:id="1766800325">
                      <w:marLeft w:val="0"/>
                      <w:marRight w:val="0"/>
                      <w:marTop w:val="0"/>
                      <w:marBottom w:val="0"/>
                      <w:divBdr>
                        <w:top w:val="none" w:sz="0" w:space="0" w:color="auto"/>
                        <w:left w:val="none" w:sz="0" w:space="0" w:color="auto"/>
                        <w:bottom w:val="none" w:sz="0" w:space="0" w:color="auto"/>
                        <w:right w:val="none" w:sz="0" w:space="0" w:color="auto"/>
                      </w:divBdr>
                    </w:div>
                  </w:divsChild>
                </w:div>
                <w:div w:id="233854772">
                  <w:marLeft w:val="0"/>
                  <w:marRight w:val="0"/>
                  <w:marTop w:val="0"/>
                  <w:marBottom w:val="0"/>
                  <w:divBdr>
                    <w:top w:val="none" w:sz="0" w:space="0" w:color="auto"/>
                    <w:left w:val="none" w:sz="0" w:space="0" w:color="auto"/>
                    <w:bottom w:val="none" w:sz="0" w:space="0" w:color="auto"/>
                    <w:right w:val="none" w:sz="0" w:space="0" w:color="auto"/>
                  </w:divBdr>
                  <w:divsChild>
                    <w:div w:id="1932666553">
                      <w:marLeft w:val="0"/>
                      <w:marRight w:val="0"/>
                      <w:marTop w:val="0"/>
                      <w:marBottom w:val="0"/>
                      <w:divBdr>
                        <w:top w:val="none" w:sz="0" w:space="0" w:color="auto"/>
                        <w:left w:val="none" w:sz="0" w:space="0" w:color="auto"/>
                        <w:bottom w:val="none" w:sz="0" w:space="0" w:color="auto"/>
                        <w:right w:val="none" w:sz="0" w:space="0" w:color="auto"/>
                      </w:divBdr>
                    </w:div>
                  </w:divsChild>
                </w:div>
                <w:div w:id="241649245">
                  <w:marLeft w:val="0"/>
                  <w:marRight w:val="0"/>
                  <w:marTop w:val="0"/>
                  <w:marBottom w:val="0"/>
                  <w:divBdr>
                    <w:top w:val="none" w:sz="0" w:space="0" w:color="auto"/>
                    <w:left w:val="none" w:sz="0" w:space="0" w:color="auto"/>
                    <w:bottom w:val="none" w:sz="0" w:space="0" w:color="auto"/>
                    <w:right w:val="none" w:sz="0" w:space="0" w:color="auto"/>
                  </w:divBdr>
                  <w:divsChild>
                    <w:div w:id="742722121">
                      <w:marLeft w:val="0"/>
                      <w:marRight w:val="0"/>
                      <w:marTop w:val="0"/>
                      <w:marBottom w:val="0"/>
                      <w:divBdr>
                        <w:top w:val="none" w:sz="0" w:space="0" w:color="auto"/>
                        <w:left w:val="none" w:sz="0" w:space="0" w:color="auto"/>
                        <w:bottom w:val="none" w:sz="0" w:space="0" w:color="auto"/>
                        <w:right w:val="none" w:sz="0" w:space="0" w:color="auto"/>
                      </w:divBdr>
                    </w:div>
                  </w:divsChild>
                </w:div>
                <w:div w:id="283538875">
                  <w:marLeft w:val="0"/>
                  <w:marRight w:val="0"/>
                  <w:marTop w:val="0"/>
                  <w:marBottom w:val="0"/>
                  <w:divBdr>
                    <w:top w:val="none" w:sz="0" w:space="0" w:color="auto"/>
                    <w:left w:val="none" w:sz="0" w:space="0" w:color="auto"/>
                    <w:bottom w:val="none" w:sz="0" w:space="0" w:color="auto"/>
                    <w:right w:val="none" w:sz="0" w:space="0" w:color="auto"/>
                  </w:divBdr>
                  <w:divsChild>
                    <w:div w:id="1753576500">
                      <w:marLeft w:val="0"/>
                      <w:marRight w:val="0"/>
                      <w:marTop w:val="0"/>
                      <w:marBottom w:val="0"/>
                      <w:divBdr>
                        <w:top w:val="none" w:sz="0" w:space="0" w:color="auto"/>
                        <w:left w:val="none" w:sz="0" w:space="0" w:color="auto"/>
                        <w:bottom w:val="none" w:sz="0" w:space="0" w:color="auto"/>
                        <w:right w:val="none" w:sz="0" w:space="0" w:color="auto"/>
                      </w:divBdr>
                    </w:div>
                  </w:divsChild>
                </w:div>
                <w:div w:id="291064082">
                  <w:marLeft w:val="0"/>
                  <w:marRight w:val="0"/>
                  <w:marTop w:val="0"/>
                  <w:marBottom w:val="0"/>
                  <w:divBdr>
                    <w:top w:val="none" w:sz="0" w:space="0" w:color="auto"/>
                    <w:left w:val="none" w:sz="0" w:space="0" w:color="auto"/>
                    <w:bottom w:val="none" w:sz="0" w:space="0" w:color="auto"/>
                    <w:right w:val="none" w:sz="0" w:space="0" w:color="auto"/>
                  </w:divBdr>
                  <w:divsChild>
                    <w:div w:id="673534615">
                      <w:marLeft w:val="0"/>
                      <w:marRight w:val="0"/>
                      <w:marTop w:val="0"/>
                      <w:marBottom w:val="0"/>
                      <w:divBdr>
                        <w:top w:val="none" w:sz="0" w:space="0" w:color="auto"/>
                        <w:left w:val="none" w:sz="0" w:space="0" w:color="auto"/>
                        <w:bottom w:val="none" w:sz="0" w:space="0" w:color="auto"/>
                        <w:right w:val="none" w:sz="0" w:space="0" w:color="auto"/>
                      </w:divBdr>
                    </w:div>
                  </w:divsChild>
                </w:div>
                <w:div w:id="305555090">
                  <w:marLeft w:val="0"/>
                  <w:marRight w:val="0"/>
                  <w:marTop w:val="0"/>
                  <w:marBottom w:val="0"/>
                  <w:divBdr>
                    <w:top w:val="none" w:sz="0" w:space="0" w:color="auto"/>
                    <w:left w:val="none" w:sz="0" w:space="0" w:color="auto"/>
                    <w:bottom w:val="none" w:sz="0" w:space="0" w:color="auto"/>
                    <w:right w:val="none" w:sz="0" w:space="0" w:color="auto"/>
                  </w:divBdr>
                  <w:divsChild>
                    <w:div w:id="1955212905">
                      <w:marLeft w:val="0"/>
                      <w:marRight w:val="0"/>
                      <w:marTop w:val="0"/>
                      <w:marBottom w:val="0"/>
                      <w:divBdr>
                        <w:top w:val="none" w:sz="0" w:space="0" w:color="auto"/>
                        <w:left w:val="none" w:sz="0" w:space="0" w:color="auto"/>
                        <w:bottom w:val="none" w:sz="0" w:space="0" w:color="auto"/>
                        <w:right w:val="none" w:sz="0" w:space="0" w:color="auto"/>
                      </w:divBdr>
                    </w:div>
                  </w:divsChild>
                </w:div>
                <w:div w:id="344212833">
                  <w:marLeft w:val="0"/>
                  <w:marRight w:val="0"/>
                  <w:marTop w:val="0"/>
                  <w:marBottom w:val="0"/>
                  <w:divBdr>
                    <w:top w:val="none" w:sz="0" w:space="0" w:color="auto"/>
                    <w:left w:val="none" w:sz="0" w:space="0" w:color="auto"/>
                    <w:bottom w:val="none" w:sz="0" w:space="0" w:color="auto"/>
                    <w:right w:val="none" w:sz="0" w:space="0" w:color="auto"/>
                  </w:divBdr>
                  <w:divsChild>
                    <w:div w:id="38631066">
                      <w:marLeft w:val="0"/>
                      <w:marRight w:val="0"/>
                      <w:marTop w:val="0"/>
                      <w:marBottom w:val="0"/>
                      <w:divBdr>
                        <w:top w:val="none" w:sz="0" w:space="0" w:color="auto"/>
                        <w:left w:val="none" w:sz="0" w:space="0" w:color="auto"/>
                        <w:bottom w:val="none" w:sz="0" w:space="0" w:color="auto"/>
                        <w:right w:val="none" w:sz="0" w:space="0" w:color="auto"/>
                      </w:divBdr>
                    </w:div>
                  </w:divsChild>
                </w:div>
                <w:div w:id="349994666">
                  <w:marLeft w:val="0"/>
                  <w:marRight w:val="0"/>
                  <w:marTop w:val="0"/>
                  <w:marBottom w:val="0"/>
                  <w:divBdr>
                    <w:top w:val="none" w:sz="0" w:space="0" w:color="auto"/>
                    <w:left w:val="none" w:sz="0" w:space="0" w:color="auto"/>
                    <w:bottom w:val="none" w:sz="0" w:space="0" w:color="auto"/>
                    <w:right w:val="none" w:sz="0" w:space="0" w:color="auto"/>
                  </w:divBdr>
                  <w:divsChild>
                    <w:div w:id="33893313">
                      <w:marLeft w:val="0"/>
                      <w:marRight w:val="0"/>
                      <w:marTop w:val="0"/>
                      <w:marBottom w:val="0"/>
                      <w:divBdr>
                        <w:top w:val="none" w:sz="0" w:space="0" w:color="auto"/>
                        <w:left w:val="none" w:sz="0" w:space="0" w:color="auto"/>
                        <w:bottom w:val="none" w:sz="0" w:space="0" w:color="auto"/>
                        <w:right w:val="none" w:sz="0" w:space="0" w:color="auto"/>
                      </w:divBdr>
                    </w:div>
                  </w:divsChild>
                </w:div>
                <w:div w:id="355469006">
                  <w:marLeft w:val="0"/>
                  <w:marRight w:val="0"/>
                  <w:marTop w:val="0"/>
                  <w:marBottom w:val="0"/>
                  <w:divBdr>
                    <w:top w:val="none" w:sz="0" w:space="0" w:color="auto"/>
                    <w:left w:val="none" w:sz="0" w:space="0" w:color="auto"/>
                    <w:bottom w:val="none" w:sz="0" w:space="0" w:color="auto"/>
                    <w:right w:val="none" w:sz="0" w:space="0" w:color="auto"/>
                  </w:divBdr>
                  <w:divsChild>
                    <w:div w:id="1970433826">
                      <w:marLeft w:val="0"/>
                      <w:marRight w:val="0"/>
                      <w:marTop w:val="0"/>
                      <w:marBottom w:val="0"/>
                      <w:divBdr>
                        <w:top w:val="none" w:sz="0" w:space="0" w:color="auto"/>
                        <w:left w:val="none" w:sz="0" w:space="0" w:color="auto"/>
                        <w:bottom w:val="none" w:sz="0" w:space="0" w:color="auto"/>
                        <w:right w:val="none" w:sz="0" w:space="0" w:color="auto"/>
                      </w:divBdr>
                    </w:div>
                  </w:divsChild>
                </w:div>
                <w:div w:id="390084715">
                  <w:marLeft w:val="0"/>
                  <w:marRight w:val="0"/>
                  <w:marTop w:val="0"/>
                  <w:marBottom w:val="0"/>
                  <w:divBdr>
                    <w:top w:val="none" w:sz="0" w:space="0" w:color="auto"/>
                    <w:left w:val="none" w:sz="0" w:space="0" w:color="auto"/>
                    <w:bottom w:val="none" w:sz="0" w:space="0" w:color="auto"/>
                    <w:right w:val="none" w:sz="0" w:space="0" w:color="auto"/>
                  </w:divBdr>
                  <w:divsChild>
                    <w:div w:id="553543060">
                      <w:marLeft w:val="0"/>
                      <w:marRight w:val="0"/>
                      <w:marTop w:val="0"/>
                      <w:marBottom w:val="0"/>
                      <w:divBdr>
                        <w:top w:val="none" w:sz="0" w:space="0" w:color="auto"/>
                        <w:left w:val="none" w:sz="0" w:space="0" w:color="auto"/>
                        <w:bottom w:val="none" w:sz="0" w:space="0" w:color="auto"/>
                        <w:right w:val="none" w:sz="0" w:space="0" w:color="auto"/>
                      </w:divBdr>
                    </w:div>
                  </w:divsChild>
                </w:div>
                <w:div w:id="390468180">
                  <w:marLeft w:val="0"/>
                  <w:marRight w:val="0"/>
                  <w:marTop w:val="0"/>
                  <w:marBottom w:val="0"/>
                  <w:divBdr>
                    <w:top w:val="none" w:sz="0" w:space="0" w:color="auto"/>
                    <w:left w:val="none" w:sz="0" w:space="0" w:color="auto"/>
                    <w:bottom w:val="none" w:sz="0" w:space="0" w:color="auto"/>
                    <w:right w:val="none" w:sz="0" w:space="0" w:color="auto"/>
                  </w:divBdr>
                  <w:divsChild>
                    <w:div w:id="973287885">
                      <w:marLeft w:val="0"/>
                      <w:marRight w:val="0"/>
                      <w:marTop w:val="0"/>
                      <w:marBottom w:val="0"/>
                      <w:divBdr>
                        <w:top w:val="none" w:sz="0" w:space="0" w:color="auto"/>
                        <w:left w:val="none" w:sz="0" w:space="0" w:color="auto"/>
                        <w:bottom w:val="none" w:sz="0" w:space="0" w:color="auto"/>
                        <w:right w:val="none" w:sz="0" w:space="0" w:color="auto"/>
                      </w:divBdr>
                    </w:div>
                  </w:divsChild>
                </w:div>
                <w:div w:id="425657802">
                  <w:marLeft w:val="0"/>
                  <w:marRight w:val="0"/>
                  <w:marTop w:val="0"/>
                  <w:marBottom w:val="0"/>
                  <w:divBdr>
                    <w:top w:val="none" w:sz="0" w:space="0" w:color="auto"/>
                    <w:left w:val="none" w:sz="0" w:space="0" w:color="auto"/>
                    <w:bottom w:val="none" w:sz="0" w:space="0" w:color="auto"/>
                    <w:right w:val="none" w:sz="0" w:space="0" w:color="auto"/>
                  </w:divBdr>
                  <w:divsChild>
                    <w:div w:id="314840480">
                      <w:marLeft w:val="0"/>
                      <w:marRight w:val="0"/>
                      <w:marTop w:val="0"/>
                      <w:marBottom w:val="0"/>
                      <w:divBdr>
                        <w:top w:val="none" w:sz="0" w:space="0" w:color="auto"/>
                        <w:left w:val="none" w:sz="0" w:space="0" w:color="auto"/>
                        <w:bottom w:val="none" w:sz="0" w:space="0" w:color="auto"/>
                        <w:right w:val="none" w:sz="0" w:space="0" w:color="auto"/>
                      </w:divBdr>
                    </w:div>
                  </w:divsChild>
                </w:div>
                <w:div w:id="441844326">
                  <w:marLeft w:val="0"/>
                  <w:marRight w:val="0"/>
                  <w:marTop w:val="0"/>
                  <w:marBottom w:val="0"/>
                  <w:divBdr>
                    <w:top w:val="none" w:sz="0" w:space="0" w:color="auto"/>
                    <w:left w:val="none" w:sz="0" w:space="0" w:color="auto"/>
                    <w:bottom w:val="none" w:sz="0" w:space="0" w:color="auto"/>
                    <w:right w:val="none" w:sz="0" w:space="0" w:color="auto"/>
                  </w:divBdr>
                  <w:divsChild>
                    <w:div w:id="546525237">
                      <w:marLeft w:val="0"/>
                      <w:marRight w:val="0"/>
                      <w:marTop w:val="0"/>
                      <w:marBottom w:val="0"/>
                      <w:divBdr>
                        <w:top w:val="none" w:sz="0" w:space="0" w:color="auto"/>
                        <w:left w:val="none" w:sz="0" w:space="0" w:color="auto"/>
                        <w:bottom w:val="none" w:sz="0" w:space="0" w:color="auto"/>
                        <w:right w:val="none" w:sz="0" w:space="0" w:color="auto"/>
                      </w:divBdr>
                    </w:div>
                  </w:divsChild>
                </w:div>
                <w:div w:id="496382482">
                  <w:marLeft w:val="0"/>
                  <w:marRight w:val="0"/>
                  <w:marTop w:val="0"/>
                  <w:marBottom w:val="0"/>
                  <w:divBdr>
                    <w:top w:val="none" w:sz="0" w:space="0" w:color="auto"/>
                    <w:left w:val="none" w:sz="0" w:space="0" w:color="auto"/>
                    <w:bottom w:val="none" w:sz="0" w:space="0" w:color="auto"/>
                    <w:right w:val="none" w:sz="0" w:space="0" w:color="auto"/>
                  </w:divBdr>
                  <w:divsChild>
                    <w:div w:id="476263698">
                      <w:marLeft w:val="0"/>
                      <w:marRight w:val="0"/>
                      <w:marTop w:val="0"/>
                      <w:marBottom w:val="0"/>
                      <w:divBdr>
                        <w:top w:val="none" w:sz="0" w:space="0" w:color="auto"/>
                        <w:left w:val="none" w:sz="0" w:space="0" w:color="auto"/>
                        <w:bottom w:val="none" w:sz="0" w:space="0" w:color="auto"/>
                        <w:right w:val="none" w:sz="0" w:space="0" w:color="auto"/>
                      </w:divBdr>
                    </w:div>
                  </w:divsChild>
                </w:div>
                <w:div w:id="529146927">
                  <w:marLeft w:val="0"/>
                  <w:marRight w:val="0"/>
                  <w:marTop w:val="0"/>
                  <w:marBottom w:val="0"/>
                  <w:divBdr>
                    <w:top w:val="none" w:sz="0" w:space="0" w:color="auto"/>
                    <w:left w:val="none" w:sz="0" w:space="0" w:color="auto"/>
                    <w:bottom w:val="none" w:sz="0" w:space="0" w:color="auto"/>
                    <w:right w:val="none" w:sz="0" w:space="0" w:color="auto"/>
                  </w:divBdr>
                  <w:divsChild>
                    <w:div w:id="1561860999">
                      <w:marLeft w:val="0"/>
                      <w:marRight w:val="0"/>
                      <w:marTop w:val="0"/>
                      <w:marBottom w:val="0"/>
                      <w:divBdr>
                        <w:top w:val="none" w:sz="0" w:space="0" w:color="auto"/>
                        <w:left w:val="none" w:sz="0" w:space="0" w:color="auto"/>
                        <w:bottom w:val="none" w:sz="0" w:space="0" w:color="auto"/>
                        <w:right w:val="none" w:sz="0" w:space="0" w:color="auto"/>
                      </w:divBdr>
                    </w:div>
                  </w:divsChild>
                </w:div>
                <w:div w:id="537163649">
                  <w:marLeft w:val="0"/>
                  <w:marRight w:val="0"/>
                  <w:marTop w:val="0"/>
                  <w:marBottom w:val="0"/>
                  <w:divBdr>
                    <w:top w:val="none" w:sz="0" w:space="0" w:color="auto"/>
                    <w:left w:val="none" w:sz="0" w:space="0" w:color="auto"/>
                    <w:bottom w:val="none" w:sz="0" w:space="0" w:color="auto"/>
                    <w:right w:val="none" w:sz="0" w:space="0" w:color="auto"/>
                  </w:divBdr>
                  <w:divsChild>
                    <w:div w:id="2100984201">
                      <w:marLeft w:val="0"/>
                      <w:marRight w:val="0"/>
                      <w:marTop w:val="0"/>
                      <w:marBottom w:val="0"/>
                      <w:divBdr>
                        <w:top w:val="none" w:sz="0" w:space="0" w:color="auto"/>
                        <w:left w:val="none" w:sz="0" w:space="0" w:color="auto"/>
                        <w:bottom w:val="none" w:sz="0" w:space="0" w:color="auto"/>
                        <w:right w:val="none" w:sz="0" w:space="0" w:color="auto"/>
                      </w:divBdr>
                    </w:div>
                  </w:divsChild>
                </w:div>
                <w:div w:id="569969177">
                  <w:marLeft w:val="0"/>
                  <w:marRight w:val="0"/>
                  <w:marTop w:val="0"/>
                  <w:marBottom w:val="0"/>
                  <w:divBdr>
                    <w:top w:val="none" w:sz="0" w:space="0" w:color="auto"/>
                    <w:left w:val="none" w:sz="0" w:space="0" w:color="auto"/>
                    <w:bottom w:val="none" w:sz="0" w:space="0" w:color="auto"/>
                    <w:right w:val="none" w:sz="0" w:space="0" w:color="auto"/>
                  </w:divBdr>
                  <w:divsChild>
                    <w:div w:id="418214757">
                      <w:marLeft w:val="0"/>
                      <w:marRight w:val="0"/>
                      <w:marTop w:val="0"/>
                      <w:marBottom w:val="0"/>
                      <w:divBdr>
                        <w:top w:val="none" w:sz="0" w:space="0" w:color="auto"/>
                        <w:left w:val="none" w:sz="0" w:space="0" w:color="auto"/>
                        <w:bottom w:val="none" w:sz="0" w:space="0" w:color="auto"/>
                        <w:right w:val="none" w:sz="0" w:space="0" w:color="auto"/>
                      </w:divBdr>
                    </w:div>
                  </w:divsChild>
                </w:div>
                <w:div w:id="608661023">
                  <w:marLeft w:val="0"/>
                  <w:marRight w:val="0"/>
                  <w:marTop w:val="0"/>
                  <w:marBottom w:val="0"/>
                  <w:divBdr>
                    <w:top w:val="none" w:sz="0" w:space="0" w:color="auto"/>
                    <w:left w:val="none" w:sz="0" w:space="0" w:color="auto"/>
                    <w:bottom w:val="none" w:sz="0" w:space="0" w:color="auto"/>
                    <w:right w:val="none" w:sz="0" w:space="0" w:color="auto"/>
                  </w:divBdr>
                  <w:divsChild>
                    <w:div w:id="127358813">
                      <w:marLeft w:val="0"/>
                      <w:marRight w:val="0"/>
                      <w:marTop w:val="0"/>
                      <w:marBottom w:val="0"/>
                      <w:divBdr>
                        <w:top w:val="none" w:sz="0" w:space="0" w:color="auto"/>
                        <w:left w:val="none" w:sz="0" w:space="0" w:color="auto"/>
                        <w:bottom w:val="none" w:sz="0" w:space="0" w:color="auto"/>
                        <w:right w:val="none" w:sz="0" w:space="0" w:color="auto"/>
                      </w:divBdr>
                    </w:div>
                    <w:div w:id="690763886">
                      <w:marLeft w:val="0"/>
                      <w:marRight w:val="0"/>
                      <w:marTop w:val="0"/>
                      <w:marBottom w:val="0"/>
                      <w:divBdr>
                        <w:top w:val="none" w:sz="0" w:space="0" w:color="auto"/>
                        <w:left w:val="none" w:sz="0" w:space="0" w:color="auto"/>
                        <w:bottom w:val="none" w:sz="0" w:space="0" w:color="auto"/>
                        <w:right w:val="none" w:sz="0" w:space="0" w:color="auto"/>
                      </w:divBdr>
                    </w:div>
                    <w:div w:id="979992373">
                      <w:marLeft w:val="0"/>
                      <w:marRight w:val="0"/>
                      <w:marTop w:val="0"/>
                      <w:marBottom w:val="0"/>
                      <w:divBdr>
                        <w:top w:val="none" w:sz="0" w:space="0" w:color="auto"/>
                        <w:left w:val="none" w:sz="0" w:space="0" w:color="auto"/>
                        <w:bottom w:val="none" w:sz="0" w:space="0" w:color="auto"/>
                        <w:right w:val="none" w:sz="0" w:space="0" w:color="auto"/>
                      </w:divBdr>
                    </w:div>
                    <w:div w:id="1755323889">
                      <w:marLeft w:val="0"/>
                      <w:marRight w:val="0"/>
                      <w:marTop w:val="0"/>
                      <w:marBottom w:val="0"/>
                      <w:divBdr>
                        <w:top w:val="none" w:sz="0" w:space="0" w:color="auto"/>
                        <w:left w:val="none" w:sz="0" w:space="0" w:color="auto"/>
                        <w:bottom w:val="none" w:sz="0" w:space="0" w:color="auto"/>
                        <w:right w:val="none" w:sz="0" w:space="0" w:color="auto"/>
                      </w:divBdr>
                    </w:div>
                    <w:div w:id="2093894419">
                      <w:marLeft w:val="0"/>
                      <w:marRight w:val="0"/>
                      <w:marTop w:val="0"/>
                      <w:marBottom w:val="0"/>
                      <w:divBdr>
                        <w:top w:val="none" w:sz="0" w:space="0" w:color="auto"/>
                        <w:left w:val="none" w:sz="0" w:space="0" w:color="auto"/>
                        <w:bottom w:val="none" w:sz="0" w:space="0" w:color="auto"/>
                        <w:right w:val="none" w:sz="0" w:space="0" w:color="auto"/>
                      </w:divBdr>
                    </w:div>
                  </w:divsChild>
                </w:div>
                <w:div w:id="625552806">
                  <w:marLeft w:val="0"/>
                  <w:marRight w:val="0"/>
                  <w:marTop w:val="0"/>
                  <w:marBottom w:val="0"/>
                  <w:divBdr>
                    <w:top w:val="none" w:sz="0" w:space="0" w:color="auto"/>
                    <w:left w:val="none" w:sz="0" w:space="0" w:color="auto"/>
                    <w:bottom w:val="none" w:sz="0" w:space="0" w:color="auto"/>
                    <w:right w:val="none" w:sz="0" w:space="0" w:color="auto"/>
                  </w:divBdr>
                  <w:divsChild>
                    <w:div w:id="1146512519">
                      <w:marLeft w:val="0"/>
                      <w:marRight w:val="0"/>
                      <w:marTop w:val="0"/>
                      <w:marBottom w:val="0"/>
                      <w:divBdr>
                        <w:top w:val="none" w:sz="0" w:space="0" w:color="auto"/>
                        <w:left w:val="none" w:sz="0" w:space="0" w:color="auto"/>
                        <w:bottom w:val="none" w:sz="0" w:space="0" w:color="auto"/>
                        <w:right w:val="none" w:sz="0" w:space="0" w:color="auto"/>
                      </w:divBdr>
                    </w:div>
                  </w:divsChild>
                </w:div>
                <w:div w:id="635767806">
                  <w:marLeft w:val="0"/>
                  <w:marRight w:val="0"/>
                  <w:marTop w:val="0"/>
                  <w:marBottom w:val="0"/>
                  <w:divBdr>
                    <w:top w:val="none" w:sz="0" w:space="0" w:color="auto"/>
                    <w:left w:val="none" w:sz="0" w:space="0" w:color="auto"/>
                    <w:bottom w:val="none" w:sz="0" w:space="0" w:color="auto"/>
                    <w:right w:val="none" w:sz="0" w:space="0" w:color="auto"/>
                  </w:divBdr>
                  <w:divsChild>
                    <w:div w:id="1882159871">
                      <w:marLeft w:val="0"/>
                      <w:marRight w:val="0"/>
                      <w:marTop w:val="0"/>
                      <w:marBottom w:val="0"/>
                      <w:divBdr>
                        <w:top w:val="none" w:sz="0" w:space="0" w:color="auto"/>
                        <w:left w:val="none" w:sz="0" w:space="0" w:color="auto"/>
                        <w:bottom w:val="none" w:sz="0" w:space="0" w:color="auto"/>
                        <w:right w:val="none" w:sz="0" w:space="0" w:color="auto"/>
                      </w:divBdr>
                    </w:div>
                  </w:divsChild>
                </w:div>
                <w:div w:id="645090930">
                  <w:marLeft w:val="0"/>
                  <w:marRight w:val="0"/>
                  <w:marTop w:val="0"/>
                  <w:marBottom w:val="0"/>
                  <w:divBdr>
                    <w:top w:val="none" w:sz="0" w:space="0" w:color="auto"/>
                    <w:left w:val="none" w:sz="0" w:space="0" w:color="auto"/>
                    <w:bottom w:val="none" w:sz="0" w:space="0" w:color="auto"/>
                    <w:right w:val="none" w:sz="0" w:space="0" w:color="auto"/>
                  </w:divBdr>
                  <w:divsChild>
                    <w:div w:id="1200436739">
                      <w:marLeft w:val="0"/>
                      <w:marRight w:val="0"/>
                      <w:marTop w:val="0"/>
                      <w:marBottom w:val="0"/>
                      <w:divBdr>
                        <w:top w:val="none" w:sz="0" w:space="0" w:color="auto"/>
                        <w:left w:val="none" w:sz="0" w:space="0" w:color="auto"/>
                        <w:bottom w:val="none" w:sz="0" w:space="0" w:color="auto"/>
                        <w:right w:val="none" w:sz="0" w:space="0" w:color="auto"/>
                      </w:divBdr>
                    </w:div>
                  </w:divsChild>
                </w:div>
                <w:div w:id="657416483">
                  <w:marLeft w:val="0"/>
                  <w:marRight w:val="0"/>
                  <w:marTop w:val="0"/>
                  <w:marBottom w:val="0"/>
                  <w:divBdr>
                    <w:top w:val="none" w:sz="0" w:space="0" w:color="auto"/>
                    <w:left w:val="none" w:sz="0" w:space="0" w:color="auto"/>
                    <w:bottom w:val="none" w:sz="0" w:space="0" w:color="auto"/>
                    <w:right w:val="none" w:sz="0" w:space="0" w:color="auto"/>
                  </w:divBdr>
                  <w:divsChild>
                    <w:div w:id="1212158231">
                      <w:marLeft w:val="0"/>
                      <w:marRight w:val="0"/>
                      <w:marTop w:val="0"/>
                      <w:marBottom w:val="0"/>
                      <w:divBdr>
                        <w:top w:val="none" w:sz="0" w:space="0" w:color="auto"/>
                        <w:left w:val="none" w:sz="0" w:space="0" w:color="auto"/>
                        <w:bottom w:val="none" w:sz="0" w:space="0" w:color="auto"/>
                        <w:right w:val="none" w:sz="0" w:space="0" w:color="auto"/>
                      </w:divBdr>
                    </w:div>
                  </w:divsChild>
                </w:div>
                <w:div w:id="660159909">
                  <w:marLeft w:val="0"/>
                  <w:marRight w:val="0"/>
                  <w:marTop w:val="0"/>
                  <w:marBottom w:val="0"/>
                  <w:divBdr>
                    <w:top w:val="none" w:sz="0" w:space="0" w:color="auto"/>
                    <w:left w:val="none" w:sz="0" w:space="0" w:color="auto"/>
                    <w:bottom w:val="none" w:sz="0" w:space="0" w:color="auto"/>
                    <w:right w:val="none" w:sz="0" w:space="0" w:color="auto"/>
                  </w:divBdr>
                  <w:divsChild>
                    <w:div w:id="554201744">
                      <w:marLeft w:val="0"/>
                      <w:marRight w:val="0"/>
                      <w:marTop w:val="0"/>
                      <w:marBottom w:val="0"/>
                      <w:divBdr>
                        <w:top w:val="none" w:sz="0" w:space="0" w:color="auto"/>
                        <w:left w:val="none" w:sz="0" w:space="0" w:color="auto"/>
                        <w:bottom w:val="none" w:sz="0" w:space="0" w:color="auto"/>
                        <w:right w:val="none" w:sz="0" w:space="0" w:color="auto"/>
                      </w:divBdr>
                    </w:div>
                  </w:divsChild>
                </w:div>
                <w:div w:id="691494407">
                  <w:marLeft w:val="0"/>
                  <w:marRight w:val="0"/>
                  <w:marTop w:val="0"/>
                  <w:marBottom w:val="0"/>
                  <w:divBdr>
                    <w:top w:val="none" w:sz="0" w:space="0" w:color="auto"/>
                    <w:left w:val="none" w:sz="0" w:space="0" w:color="auto"/>
                    <w:bottom w:val="none" w:sz="0" w:space="0" w:color="auto"/>
                    <w:right w:val="none" w:sz="0" w:space="0" w:color="auto"/>
                  </w:divBdr>
                  <w:divsChild>
                    <w:div w:id="1523281365">
                      <w:marLeft w:val="0"/>
                      <w:marRight w:val="0"/>
                      <w:marTop w:val="0"/>
                      <w:marBottom w:val="0"/>
                      <w:divBdr>
                        <w:top w:val="none" w:sz="0" w:space="0" w:color="auto"/>
                        <w:left w:val="none" w:sz="0" w:space="0" w:color="auto"/>
                        <w:bottom w:val="none" w:sz="0" w:space="0" w:color="auto"/>
                        <w:right w:val="none" w:sz="0" w:space="0" w:color="auto"/>
                      </w:divBdr>
                    </w:div>
                  </w:divsChild>
                </w:div>
                <w:div w:id="759057849">
                  <w:marLeft w:val="0"/>
                  <w:marRight w:val="0"/>
                  <w:marTop w:val="0"/>
                  <w:marBottom w:val="0"/>
                  <w:divBdr>
                    <w:top w:val="none" w:sz="0" w:space="0" w:color="auto"/>
                    <w:left w:val="none" w:sz="0" w:space="0" w:color="auto"/>
                    <w:bottom w:val="none" w:sz="0" w:space="0" w:color="auto"/>
                    <w:right w:val="none" w:sz="0" w:space="0" w:color="auto"/>
                  </w:divBdr>
                  <w:divsChild>
                    <w:div w:id="1338341776">
                      <w:marLeft w:val="0"/>
                      <w:marRight w:val="0"/>
                      <w:marTop w:val="0"/>
                      <w:marBottom w:val="0"/>
                      <w:divBdr>
                        <w:top w:val="none" w:sz="0" w:space="0" w:color="auto"/>
                        <w:left w:val="none" w:sz="0" w:space="0" w:color="auto"/>
                        <w:bottom w:val="none" w:sz="0" w:space="0" w:color="auto"/>
                        <w:right w:val="none" w:sz="0" w:space="0" w:color="auto"/>
                      </w:divBdr>
                    </w:div>
                  </w:divsChild>
                </w:div>
                <w:div w:id="768161617">
                  <w:marLeft w:val="0"/>
                  <w:marRight w:val="0"/>
                  <w:marTop w:val="0"/>
                  <w:marBottom w:val="0"/>
                  <w:divBdr>
                    <w:top w:val="none" w:sz="0" w:space="0" w:color="auto"/>
                    <w:left w:val="none" w:sz="0" w:space="0" w:color="auto"/>
                    <w:bottom w:val="none" w:sz="0" w:space="0" w:color="auto"/>
                    <w:right w:val="none" w:sz="0" w:space="0" w:color="auto"/>
                  </w:divBdr>
                  <w:divsChild>
                    <w:div w:id="1046414618">
                      <w:marLeft w:val="0"/>
                      <w:marRight w:val="0"/>
                      <w:marTop w:val="0"/>
                      <w:marBottom w:val="0"/>
                      <w:divBdr>
                        <w:top w:val="none" w:sz="0" w:space="0" w:color="auto"/>
                        <w:left w:val="none" w:sz="0" w:space="0" w:color="auto"/>
                        <w:bottom w:val="none" w:sz="0" w:space="0" w:color="auto"/>
                        <w:right w:val="none" w:sz="0" w:space="0" w:color="auto"/>
                      </w:divBdr>
                    </w:div>
                  </w:divsChild>
                </w:div>
                <w:div w:id="833640446">
                  <w:marLeft w:val="0"/>
                  <w:marRight w:val="0"/>
                  <w:marTop w:val="0"/>
                  <w:marBottom w:val="0"/>
                  <w:divBdr>
                    <w:top w:val="none" w:sz="0" w:space="0" w:color="auto"/>
                    <w:left w:val="none" w:sz="0" w:space="0" w:color="auto"/>
                    <w:bottom w:val="none" w:sz="0" w:space="0" w:color="auto"/>
                    <w:right w:val="none" w:sz="0" w:space="0" w:color="auto"/>
                  </w:divBdr>
                  <w:divsChild>
                    <w:div w:id="606044073">
                      <w:marLeft w:val="0"/>
                      <w:marRight w:val="0"/>
                      <w:marTop w:val="0"/>
                      <w:marBottom w:val="0"/>
                      <w:divBdr>
                        <w:top w:val="none" w:sz="0" w:space="0" w:color="auto"/>
                        <w:left w:val="none" w:sz="0" w:space="0" w:color="auto"/>
                        <w:bottom w:val="none" w:sz="0" w:space="0" w:color="auto"/>
                        <w:right w:val="none" w:sz="0" w:space="0" w:color="auto"/>
                      </w:divBdr>
                    </w:div>
                  </w:divsChild>
                </w:div>
                <w:div w:id="895815511">
                  <w:marLeft w:val="0"/>
                  <w:marRight w:val="0"/>
                  <w:marTop w:val="0"/>
                  <w:marBottom w:val="0"/>
                  <w:divBdr>
                    <w:top w:val="none" w:sz="0" w:space="0" w:color="auto"/>
                    <w:left w:val="none" w:sz="0" w:space="0" w:color="auto"/>
                    <w:bottom w:val="none" w:sz="0" w:space="0" w:color="auto"/>
                    <w:right w:val="none" w:sz="0" w:space="0" w:color="auto"/>
                  </w:divBdr>
                  <w:divsChild>
                    <w:div w:id="712850548">
                      <w:marLeft w:val="0"/>
                      <w:marRight w:val="0"/>
                      <w:marTop w:val="0"/>
                      <w:marBottom w:val="0"/>
                      <w:divBdr>
                        <w:top w:val="none" w:sz="0" w:space="0" w:color="auto"/>
                        <w:left w:val="none" w:sz="0" w:space="0" w:color="auto"/>
                        <w:bottom w:val="none" w:sz="0" w:space="0" w:color="auto"/>
                        <w:right w:val="none" w:sz="0" w:space="0" w:color="auto"/>
                      </w:divBdr>
                    </w:div>
                  </w:divsChild>
                </w:div>
                <w:div w:id="895891538">
                  <w:marLeft w:val="0"/>
                  <w:marRight w:val="0"/>
                  <w:marTop w:val="0"/>
                  <w:marBottom w:val="0"/>
                  <w:divBdr>
                    <w:top w:val="none" w:sz="0" w:space="0" w:color="auto"/>
                    <w:left w:val="none" w:sz="0" w:space="0" w:color="auto"/>
                    <w:bottom w:val="none" w:sz="0" w:space="0" w:color="auto"/>
                    <w:right w:val="none" w:sz="0" w:space="0" w:color="auto"/>
                  </w:divBdr>
                  <w:divsChild>
                    <w:div w:id="145901885">
                      <w:marLeft w:val="0"/>
                      <w:marRight w:val="0"/>
                      <w:marTop w:val="0"/>
                      <w:marBottom w:val="0"/>
                      <w:divBdr>
                        <w:top w:val="none" w:sz="0" w:space="0" w:color="auto"/>
                        <w:left w:val="none" w:sz="0" w:space="0" w:color="auto"/>
                        <w:bottom w:val="none" w:sz="0" w:space="0" w:color="auto"/>
                        <w:right w:val="none" w:sz="0" w:space="0" w:color="auto"/>
                      </w:divBdr>
                    </w:div>
                  </w:divsChild>
                </w:div>
                <w:div w:id="905336269">
                  <w:marLeft w:val="0"/>
                  <w:marRight w:val="0"/>
                  <w:marTop w:val="0"/>
                  <w:marBottom w:val="0"/>
                  <w:divBdr>
                    <w:top w:val="none" w:sz="0" w:space="0" w:color="auto"/>
                    <w:left w:val="none" w:sz="0" w:space="0" w:color="auto"/>
                    <w:bottom w:val="none" w:sz="0" w:space="0" w:color="auto"/>
                    <w:right w:val="none" w:sz="0" w:space="0" w:color="auto"/>
                  </w:divBdr>
                  <w:divsChild>
                    <w:div w:id="1417703383">
                      <w:marLeft w:val="0"/>
                      <w:marRight w:val="0"/>
                      <w:marTop w:val="0"/>
                      <w:marBottom w:val="0"/>
                      <w:divBdr>
                        <w:top w:val="none" w:sz="0" w:space="0" w:color="auto"/>
                        <w:left w:val="none" w:sz="0" w:space="0" w:color="auto"/>
                        <w:bottom w:val="none" w:sz="0" w:space="0" w:color="auto"/>
                        <w:right w:val="none" w:sz="0" w:space="0" w:color="auto"/>
                      </w:divBdr>
                    </w:div>
                  </w:divsChild>
                </w:div>
                <w:div w:id="913205655">
                  <w:marLeft w:val="0"/>
                  <w:marRight w:val="0"/>
                  <w:marTop w:val="0"/>
                  <w:marBottom w:val="0"/>
                  <w:divBdr>
                    <w:top w:val="none" w:sz="0" w:space="0" w:color="auto"/>
                    <w:left w:val="none" w:sz="0" w:space="0" w:color="auto"/>
                    <w:bottom w:val="none" w:sz="0" w:space="0" w:color="auto"/>
                    <w:right w:val="none" w:sz="0" w:space="0" w:color="auto"/>
                  </w:divBdr>
                  <w:divsChild>
                    <w:div w:id="1206872680">
                      <w:marLeft w:val="0"/>
                      <w:marRight w:val="0"/>
                      <w:marTop w:val="0"/>
                      <w:marBottom w:val="0"/>
                      <w:divBdr>
                        <w:top w:val="none" w:sz="0" w:space="0" w:color="auto"/>
                        <w:left w:val="none" w:sz="0" w:space="0" w:color="auto"/>
                        <w:bottom w:val="none" w:sz="0" w:space="0" w:color="auto"/>
                        <w:right w:val="none" w:sz="0" w:space="0" w:color="auto"/>
                      </w:divBdr>
                    </w:div>
                  </w:divsChild>
                </w:div>
                <w:div w:id="922494537">
                  <w:marLeft w:val="0"/>
                  <w:marRight w:val="0"/>
                  <w:marTop w:val="0"/>
                  <w:marBottom w:val="0"/>
                  <w:divBdr>
                    <w:top w:val="none" w:sz="0" w:space="0" w:color="auto"/>
                    <w:left w:val="none" w:sz="0" w:space="0" w:color="auto"/>
                    <w:bottom w:val="none" w:sz="0" w:space="0" w:color="auto"/>
                    <w:right w:val="none" w:sz="0" w:space="0" w:color="auto"/>
                  </w:divBdr>
                  <w:divsChild>
                    <w:div w:id="1770587107">
                      <w:marLeft w:val="0"/>
                      <w:marRight w:val="0"/>
                      <w:marTop w:val="0"/>
                      <w:marBottom w:val="0"/>
                      <w:divBdr>
                        <w:top w:val="none" w:sz="0" w:space="0" w:color="auto"/>
                        <w:left w:val="none" w:sz="0" w:space="0" w:color="auto"/>
                        <w:bottom w:val="none" w:sz="0" w:space="0" w:color="auto"/>
                        <w:right w:val="none" w:sz="0" w:space="0" w:color="auto"/>
                      </w:divBdr>
                    </w:div>
                  </w:divsChild>
                </w:div>
                <w:div w:id="934746586">
                  <w:marLeft w:val="0"/>
                  <w:marRight w:val="0"/>
                  <w:marTop w:val="0"/>
                  <w:marBottom w:val="0"/>
                  <w:divBdr>
                    <w:top w:val="none" w:sz="0" w:space="0" w:color="auto"/>
                    <w:left w:val="none" w:sz="0" w:space="0" w:color="auto"/>
                    <w:bottom w:val="none" w:sz="0" w:space="0" w:color="auto"/>
                    <w:right w:val="none" w:sz="0" w:space="0" w:color="auto"/>
                  </w:divBdr>
                  <w:divsChild>
                    <w:div w:id="2044867986">
                      <w:marLeft w:val="0"/>
                      <w:marRight w:val="0"/>
                      <w:marTop w:val="0"/>
                      <w:marBottom w:val="0"/>
                      <w:divBdr>
                        <w:top w:val="none" w:sz="0" w:space="0" w:color="auto"/>
                        <w:left w:val="none" w:sz="0" w:space="0" w:color="auto"/>
                        <w:bottom w:val="none" w:sz="0" w:space="0" w:color="auto"/>
                        <w:right w:val="none" w:sz="0" w:space="0" w:color="auto"/>
                      </w:divBdr>
                    </w:div>
                  </w:divsChild>
                </w:div>
                <w:div w:id="939066033">
                  <w:marLeft w:val="0"/>
                  <w:marRight w:val="0"/>
                  <w:marTop w:val="0"/>
                  <w:marBottom w:val="0"/>
                  <w:divBdr>
                    <w:top w:val="none" w:sz="0" w:space="0" w:color="auto"/>
                    <w:left w:val="none" w:sz="0" w:space="0" w:color="auto"/>
                    <w:bottom w:val="none" w:sz="0" w:space="0" w:color="auto"/>
                    <w:right w:val="none" w:sz="0" w:space="0" w:color="auto"/>
                  </w:divBdr>
                  <w:divsChild>
                    <w:div w:id="807355732">
                      <w:marLeft w:val="0"/>
                      <w:marRight w:val="0"/>
                      <w:marTop w:val="0"/>
                      <w:marBottom w:val="0"/>
                      <w:divBdr>
                        <w:top w:val="none" w:sz="0" w:space="0" w:color="auto"/>
                        <w:left w:val="none" w:sz="0" w:space="0" w:color="auto"/>
                        <w:bottom w:val="none" w:sz="0" w:space="0" w:color="auto"/>
                        <w:right w:val="none" w:sz="0" w:space="0" w:color="auto"/>
                      </w:divBdr>
                    </w:div>
                  </w:divsChild>
                </w:div>
                <w:div w:id="945772498">
                  <w:marLeft w:val="0"/>
                  <w:marRight w:val="0"/>
                  <w:marTop w:val="0"/>
                  <w:marBottom w:val="0"/>
                  <w:divBdr>
                    <w:top w:val="none" w:sz="0" w:space="0" w:color="auto"/>
                    <w:left w:val="none" w:sz="0" w:space="0" w:color="auto"/>
                    <w:bottom w:val="none" w:sz="0" w:space="0" w:color="auto"/>
                    <w:right w:val="none" w:sz="0" w:space="0" w:color="auto"/>
                  </w:divBdr>
                  <w:divsChild>
                    <w:div w:id="7297592">
                      <w:marLeft w:val="0"/>
                      <w:marRight w:val="0"/>
                      <w:marTop w:val="0"/>
                      <w:marBottom w:val="0"/>
                      <w:divBdr>
                        <w:top w:val="none" w:sz="0" w:space="0" w:color="auto"/>
                        <w:left w:val="none" w:sz="0" w:space="0" w:color="auto"/>
                        <w:bottom w:val="none" w:sz="0" w:space="0" w:color="auto"/>
                        <w:right w:val="none" w:sz="0" w:space="0" w:color="auto"/>
                      </w:divBdr>
                    </w:div>
                  </w:divsChild>
                </w:div>
                <w:div w:id="996348358">
                  <w:marLeft w:val="0"/>
                  <w:marRight w:val="0"/>
                  <w:marTop w:val="0"/>
                  <w:marBottom w:val="0"/>
                  <w:divBdr>
                    <w:top w:val="none" w:sz="0" w:space="0" w:color="auto"/>
                    <w:left w:val="none" w:sz="0" w:space="0" w:color="auto"/>
                    <w:bottom w:val="none" w:sz="0" w:space="0" w:color="auto"/>
                    <w:right w:val="none" w:sz="0" w:space="0" w:color="auto"/>
                  </w:divBdr>
                  <w:divsChild>
                    <w:div w:id="762382808">
                      <w:marLeft w:val="0"/>
                      <w:marRight w:val="0"/>
                      <w:marTop w:val="0"/>
                      <w:marBottom w:val="0"/>
                      <w:divBdr>
                        <w:top w:val="none" w:sz="0" w:space="0" w:color="auto"/>
                        <w:left w:val="none" w:sz="0" w:space="0" w:color="auto"/>
                        <w:bottom w:val="none" w:sz="0" w:space="0" w:color="auto"/>
                        <w:right w:val="none" w:sz="0" w:space="0" w:color="auto"/>
                      </w:divBdr>
                    </w:div>
                  </w:divsChild>
                </w:div>
                <w:div w:id="1045834609">
                  <w:marLeft w:val="0"/>
                  <w:marRight w:val="0"/>
                  <w:marTop w:val="0"/>
                  <w:marBottom w:val="0"/>
                  <w:divBdr>
                    <w:top w:val="none" w:sz="0" w:space="0" w:color="auto"/>
                    <w:left w:val="none" w:sz="0" w:space="0" w:color="auto"/>
                    <w:bottom w:val="none" w:sz="0" w:space="0" w:color="auto"/>
                    <w:right w:val="none" w:sz="0" w:space="0" w:color="auto"/>
                  </w:divBdr>
                  <w:divsChild>
                    <w:div w:id="629091152">
                      <w:marLeft w:val="0"/>
                      <w:marRight w:val="0"/>
                      <w:marTop w:val="0"/>
                      <w:marBottom w:val="0"/>
                      <w:divBdr>
                        <w:top w:val="none" w:sz="0" w:space="0" w:color="auto"/>
                        <w:left w:val="none" w:sz="0" w:space="0" w:color="auto"/>
                        <w:bottom w:val="none" w:sz="0" w:space="0" w:color="auto"/>
                        <w:right w:val="none" w:sz="0" w:space="0" w:color="auto"/>
                      </w:divBdr>
                    </w:div>
                  </w:divsChild>
                </w:div>
                <w:div w:id="1049037248">
                  <w:marLeft w:val="0"/>
                  <w:marRight w:val="0"/>
                  <w:marTop w:val="0"/>
                  <w:marBottom w:val="0"/>
                  <w:divBdr>
                    <w:top w:val="none" w:sz="0" w:space="0" w:color="auto"/>
                    <w:left w:val="none" w:sz="0" w:space="0" w:color="auto"/>
                    <w:bottom w:val="none" w:sz="0" w:space="0" w:color="auto"/>
                    <w:right w:val="none" w:sz="0" w:space="0" w:color="auto"/>
                  </w:divBdr>
                  <w:divsChild>
                    <w:div w:id="472866544">
                      <w:marLeft w:val="0"/>
                      <w:marRight w:val="0"/>
                      <w:marTop w:val="0"/>
                      <w:marBottom w:val="0"/>
                      <w:divBdr>
                        <w:top w:val="none" w:sz="0" w:space="0" w:color="auto"/>
                        <w:left w:val="none" w:sz="0" w:space="0" w:color="auto"/>
                        <w:bottom w:val="none" w:sz="0" w:space="0" w:color="auto"/>
                        <w:right w:val="none" w:sz="0" w:space="0" w:color="auto"/>
                      </w:divBdr>
                    </w:div>
                  </w:divsChild>
                </w:div>
                <w:div w:id="1053651611">
                  <w:marLeft w:val="0"/>
                  <w:marRight w:val="0"/>
                  <w:marTop w:val="0"/>
                  <w:marBottom w:val="0"/>
                  <w:divBdr>
                    <w:top w:val="none" w:sz="0" w:space="0" w:color="auto"/>
                    <w:left w:val="none" w:sz="0" w:space="0" w:color="auto"/>
                    <w:bottom w:val="none" w:sz="0" w:space="0" w:color="auto"/>
                    <w:right w:val="none" w:sz="0" w:space="0" w:color="auto"/>
                  </w:divBdr>
                  <w:divsChild>
                    <w:div w:id="166601825">
                      <w:marLeft w:val="0"/>
                      <w:marRight w:val="0"/>
                      <w:marTop w:val="0"/>
                      <w:marBottom w:val="0"/>
                      <w:divBdr>
                        <w:top w:val="none" w:sz="0" w:space="0" w:color="auto"/>
                        <w:left w:val="none" w:sz="0" w:space="0" w:color="auto"/>
                        <w:bottom w:val="none" w:sz="0" w:space="0" w:color="auto"/>
                        <w:right w:val="none" w:sz="0" w:space="0" w:color="auto"/>
                      </w:divBdr>
                    </w:div>
                  </w:divsChild>
                </w:div>
                <w:div w:id="1058819526">
                  <w:marLeft w:val="0"/>
                  <w:marRight w:val="0"/>
                  <w:marTop w:val="0"/>
                  <w:marBottom w:val="0"/>
                  <w:divBdr>
                    <w:top w:val="none" w:sz="0" w:space="0" w:color="auto"/>
                    <w:left w:val="none" w:sz="0" w:space="0" w:color="auto"/>
                    <w:bottom w:val="none" w:sz="0" w:space="0" w:color="auto"/>
                    <w:right w:val="none" w:sz="0" w:space="0" w:color="auto"/>
                  </w:divBdr>
                  <w:divsChild>
                    <w:div w:id="829365535">
                      <w:marLeft w:val="0"/>
                      <w:marRight w:val="0"/>
                      <w:marTop w:val="0"/>
                      <w:marBottom w:val="0"/>
                      <w:divBdr>
                        <w:top w:val="none" w:sz="0" w:space="0" w:color="auto"/>
                        <w:left w:val="none" w:sz="0" w:space="0" w:color="auto"/>
                        <w:bottom w:val="none" w:sz="0" w:space="0" w:color="auto"/>
                        <w:right w:val="none" w:sz="0" w:space="0" w:color="auto"/>
                      </w:divBdr>
                    </w:div>
                  </w:divsChild>
                </w:div>
                <w:div w:id="1074860255">
                  <w:marLeft w:val="0"/>
                  <w:marRight w:val="0"/>
                  <w:marTop w:val="0"/>
                  <w:marBottom w:val="0"/>
                  <w:divBdr>
                    <w:top w:val="none" w:sz="0" w:space="0" w:color="auto"/>
                    <w:left w:val="none" w:sz="0" w:space="0" w:color="auto"/>
                    <w:bottom w:val="none" w:sz="0" w:space="0" w:color="auto"/>
                    <w:right w:val="none" w:sz="0" w:space="0" w:color="auto"/>
                  </w:divBdr>
                  <w:divsChild>
                    <w:div w:id="182204596">
                      <w:marLeft w:val="0"/>
                      <w:marRight w:val="0"/>
                      <w:marTop w:val="0"/>
                      <w:marBottom w:val="0"/>
                      <w:divBdr>
                        <w:top w:val="none" w:sz="0" w:space="0" w:color="auto"/>
                        <w:left w:val="none" w:sz="0" w:space="0" w:color="auto"/>
                        <w:bottom w:val="none" w:sz="0" w:space="0" w:color="auto"/>
                        <w:right w:val="none" w:sz="0" w:space="0" w:color="auto"/>
                      </w:divBdr>
                    </w:div>
                    <w:div w:id="187840426">
                      <w:marLeft w:val="0"/>
                      <w:marRight w:val="0"/>
                      <w:marTop w:val="0"/>
                      <w:marBottom w:val="0"/>
                      <w:divBdr>
                        <w:top w:val="none" w:sz="0" w:space="0" w:color="auto"/>
                        <w:left w:val="none" w:sz="0" w:space="0" w:color="auto"/>
                        <w:bottom w:val="none" w:sz="0" w:space="0" w:color="auto"/>
                        <w:right w:val="none" w:sz="0" w:space="0" w:color="auto"/>
                      </w:divBdr>
                    </w:div>
                    <w:div w:id="637806883">
                      <w:marLeft w:val="0"/>
                      <w:marRight w:val="0"/>
                      <w:marTop w:val="0"/>
                      <w:marBottom w:val="0"/>
                      <w:divBdr>
                        <w:top w:val="none" w:sz="0" w:space="0" w:color="auto"/>
                        <w:left w:val="none" w:sz="0" w:space="0" w:color="auto"/>
                        <w:bottom w:val="none" w:sz="0" w:space="0" w:color="auto"/>
                        <w:right w:val="none" w:sz="0" w:space="0" w:color="auto"/>
                      </w:divBdr>
                    </w:div>
                    <w:div w:id="909927730">
                      <w:marLeft w:val="0"/>
                      <w:marRight w:val="0"/>
                      <w:marTop w:val="0"/>
                      <w:marBottom w:val="0"/>
                      <w:divBdr>
                        <w:top w:val="none" w:sz="0" w:space="0" w:color="auto"/>
                        <w:left w:val="none" w:sz="0" w:space="0" w:color="auto"/>
                        <w:bottom w:val="none" w:sz="0" w:space="0" w:color="auto"/>
                        <w:right w:val="none" w:sz="0" w:space="0" w:color="auto"/>
                      </w:divBdr>
                    </w:div>
                    <w:div w:id="1428623179">
                      <w:marLeft w:val="0"/>
                      <w:marRight w:val="0"/>
                      <w:marTop w:val="0"/>
                      <w:marBottom w:val="0"/>
                      <w:divBdr>
                        <w:top w:val="none" w:sz="0" w:space="0" w:color="auto"/>
                        <w:left w:val="none" w:sz="0" w:space="0" w:color="auto"/>
                        <w:bottom w:val="none" w:sz="0" w:space="0" w:color="auto"/>
                        <w:right w:val="none" w:sz="0" w:space="0" w:color="auto"/>
                      </w:divBdr>
                    </w:div>
                  </w:divsChild>
                </w:div>
                <w:div w:id="1084036534">
                  <w:marLeft w:val="0"/>
                  <w:marRight w:val="0"/>
                  <w:marTop w:val="0"/>
                  <w:marBottom w:val="0"/>
                  <w:divBdr>
                    <w:top w:val="none" w:sz="0" w:space="0" w:color="auto"/>
                    <w:left w:val="none" w:sz="0" w:space="0" w:color="auto"/>
                    <w:bottom w:val="none" w:sz="0" w:space="0" w:color="auto"/>
                    <w:right w:val="none" w:sz="0" w:space="0" w:color="auto"/>
                  </w:divBdr>
                  <w:divsChild>
                    <w:div w:id="533659886">
                      <w:marLeft w:val="0"/>
                      <w:marRight w:val="0"/>
                      <w:marTop w:val="0"/>
                      <w:marBottom w:val="0"/>
                      <w:divBdr>
                        <w:top w:val="none" w:sz="0" w:space="0" w:color="auto"/>
                        <w:left w:val="none" w:sz="0" w:space="0" w:color="auto"/>
                        <w:bottom w:val="none" w:sz="0" w:space="0" w:color="auto"/>
                        <w:right w:val="none" w:sz="0" w:space="0" w:color="auto"/>
                      </w:divBdr>
                    </w:div>
                  </w:divsChild>
                </w:div>
                <w:div w:id="1084108452">
                  <w:marLeft w:val="0"/>
                  <w:marRight w:val="0"/>
                  <w:marTop w:val="0"/>
                  <w:marBottom w:val="0"/>
                  <w:divBdr>
                    <w:top w:val="none" w:sz="0" w:space="0" w:color="auto"/>
                    <w:left w:val="none" w:sz="0" w:space="0" w:color="auto"/>
                    <w:bottom w:val="none" w:sz="0" w:space="0" w:color="auto"/>
                    <w:right w:val="none" w:sz="0" w:space="0" w:color="auto"/>
                  </w:divBdr>
                  <w:divsChild>
                    <w:div w:id="841548565">
                      <w:marLeft w:val="0"/>
                      <w:marRight w:val="0"/>
                      <w:marTop w:val="0"/>
                      <w:marBottom w:val="0"/>
                      <w:divBdr>
                        <w:top w:val="none" w:sz="0" w:space="0" w:color="auto"/>
                        <w:left w:val="none" w:sz="0" w:space="0" w:color="auto"/>
                        <w:bottom w:val="none" w:sz="0" w:space="0" w:color="auto"/>
                        <w:right w:val="none" w:sz="0" w:space="0" w:color="auto"/>
                      </w:divBdr>
                    </w:div>
                  </w:divsChild>
                </w:div>
                <w:div w:id="1089348444">
                  <w:marLeft w:val="0"/>
                  <w:marRight w:val="0"/>
                  <w:marTop w:val="0"/>
                  <w:marBottom w:val="0"/>
                  <w:divBdr>
                    <w:top w:val="none" w:sz="0" w:space="0" w:color="auto"/>
                    <w:left w:val="none" w:sz="0" w:space="0" w:color="auto"/>
                    <w:bottom w:val="none" w:sz="0" w:space="0" w:color="auto"/>
                    <w:right w:val="none" w:sz="0" w:space="0" w:color="auto"/>
                  </w:divBdr>
                  <w:divsChild>
                    <w:div w:id="779296441">
                      <w:marLeft w:val="0"/>
                      <w:marRight w:val="0"/>
                      <w:marTop w:val="0"/>
                      <w:marBottom w:val="0"/>
                      <w:divBdr>
                        <w:top w:val="none" w:sz="0" w:space="0" w:color="auto"/>
                        <w:left w:val="none" w:sz="0" w:space="0" w:color="auto"/>
                        <w:bottom w:val="none" w:sz="0" w:space="0" w:color="auto"/>
                        <w:right w:val="none" w:sz="0" w:space="0" w:color="auto"/>
                      </w:divBdr>
                    </w:div>
                  </w:divsChild>
                </w:div>
                <w:div w:id="1117408038">
                  <w:marLeft w:val="0"/>
                  <w:marRight w:val="0"/>
                  <w:marTop w:val="0"/>
                  <w:marBottom w:val="0"/>
                  <w:divBdr>
                    <w:top w:val="none" w:sz="0" w:space="0" w:color="auto"/>
                    <w:left w:val="none" w:sz="0" w:space="0" w:color="auto"/>
                    <w:bottom w:val="none" w:sz="0" w:space="0" w:color="auto"/>
                    <w:right w:val="none" w:sz="0" w:space="0" w:color="auto"/>
                  </w:divBdr>
                  <w:divsChild>
                    <w:div w:id="1003781067">
                      <w:marLeft w:val="0"/>
                      <w:marRight w:val="0"/>
                      <w:marTop w:val="0"/>
                      <w:marBottom w:val="0"/>
                      <w:divBdr>
                        <w:top w:val="none" w:sz="0" w:space="0" w:color="auto"/>
                        <w:left w:val="none" w:sz="0" w:space="0" w:color="auto"/>
                        <w:bottom w:val="none" w:sz="0" w:space="0" w:color="auto"/>
                        <w:right w:val="none" w:sz="0" w:space="0" w:color="auto"/>
                      </w:divBdr>
                    </w:div>
                  </w:divsChild>
                </w:div>
                <w:div w:id="1140883311">
                  <w:marLeft w:val="0"/>
                  <w:marRight w:val="0"/>
                  <w:marTop w:val="0"/>
                  <w:marBottom w:val="0"/>
                  <w:divBdr>
                    <w:top w:val="none" w:sz="0" w:space="0" w:color="auto"/>
                    <w:left w:val="none" w:sz="0" w:space="0" w:color="auto"/>
                    <w:bottom w:val="none" w:sz="0" w:space="0" w:color="auto"/>
                    <w:right w:val="none" w:sz="0" w:space="0" w:color="auto"/>
                  </w:divBdr>
                  <w:divsChild>
                    <w:div w:id="435563715">
                      <w:marLeft w:val="0"/>
                      <w:marRight w:val="0"/>
                      <w:marTop w:val="0"/>
                      <w:marBottom w:val="0"/>
                      <w:divBdr>
                        <w:top w:val="none" w:sz="0" w:space="0" w:color="auto"/>
                        <w:left w:val="none" w:sz="0" w:space="0" w:color="auto"/>
                        <w:bottom w:val="none" w:sz="0" w:space="0" w:color="auto"/>
                        <w:right w:val="none" w:sz="0" w:space="0" w:color="auto"/>
                      </w:divBdr>
                    </w:div>
                  </w:divsChild>
                </w:div>
                <w:div w:id="1143624686">
                  <w:marLeft w:val="0"/>
                  <w:marRight w:val="0"/>
                  <w:marTop w:val="0"/>
                  <w:marBottom w:val="0"/>
                  <w:divBdr>
                    <w:top w:val="none" w:sz="0" w:space="0" w:color="auto"/>
                    <w:left w:val="none" w:sz="0" w:space="0" w:color="auto"/>
                    <w:bottom w:val="none" w:sz="0" w:space="0" w:color="auto"/>
                    <w:right w:val="none" w:sz="0" w:space="0" w:color="auto"/>
                  </w:divBdr>
                  <w:divsChild>
                    <w:div w:id="1751846181">
                      <w:marLeft w:val="0"/>
                      <w:marRight w:val="0"/>
                      <w:marTop w:val="0"/>
                      <w:marBottom w:val="0"/>
                      <w:divBdr>
                        <w:top w:val="none" w:sz="0" w:space="0" w:color="auto"/>
                        <w:left w:val="none" w:sz="0" w:space="0" w:color="auto"/>
                        <w:bottom w:val="none" w:sz="0" w:space="0" w:color="auto"/>
                        <w:right w:val="none" w:sz="0" w:space="0" w:color="auto"/>
                      </w:divBdr>
                    </w:div>
                  </w:divsChild>
                </w:div>
                <w:div w:id="1154418819">
                  <w:marLeft w:val="0"/>
                  <w:marRight w:val="0"/>
                  <w:marTop w:val="0"/>
                  <w:marBottom w:val="0"/>
                  <w:divBdr>
                    <w:top w:val="none" w:sz="0" w:space="0" w:color="auto"/>
                    <w:left w:val="none" w:sz="0" w:space="0" w:color="auto"/>
                    <w:bottom w:val="none" w:sz="0" w:space="0" w:color="auto"/>
                    <w:right w:val="none" w:sz="0" w:space="0" w:color="auto"/>
                  </w:divBdr>
                  <w:divsChild>
                    <w:div w:id="2055881694">
                      <w:marLeft w:val="0"/>
                      <w:marRight w:val="0"/>
                      <w:marTop w:val="0"/>
                      <w:marBottom w:val="0"/>
                      <w:divBdr>
                        <w:top w:val="none" w:sz="0" w:space="0" w:color="auto"/>
                        <w:left w:val="none" w:sz="0" w:space="0" w:color="auto"/>
                        <w:bottom w:val="none" w:sz="0" w:space="0" w:color="auto"/>
                        <w:right w:val="none" w:sz="0" w:space="0" w:color="auto"/>
                      </w:divBdr>
                    </w:div>
                  </w:divsChild>
                </w:div>
                <w:div w:id="1159541479">
                  <w:marLeft w:val="0"/>
                  <w:marRight w:val="0"/>
                  <w:marTop w:val="0"/>
                  <w:marBottom w:val="0"/>
                  <w:divBdr>
                    <w:top w:val="none" w:sz="0" w:space="0" w:color="auto"/>
                    <w:left w:val="none" w:sz="0" w:space="0" w:color="auto"/>
                    <w:bottom w:val="none" w:sz="0" w:space="0" w:color="auto"/>
                    <w:right w:val="none" w:sz="0" w:space="0" w:color="auto"/>
                  </w:divBdr>
                  <w:divsChild>
                    <w:div w:id="1519926445">
                      <w:marLeft w:val="0"/>
                      <w:marRight w:val="0"/>
                      <w:marTop w:val="0"/>
                      <w:marBottom w:val="0"/>
                      <w:divBdr>
                        <w:top w:val="none" w:sz="0" w:space="0" w:color="auto"/>
                        <w:left w:val="none" w:sz="0" w:space="0" w:color="auto"/>
                        <w:bottom w:val="none" w:sz="0" w:space="0" w:color="auto"/>
                        <w:right w:val="none" w:sz="0" w:space="0" w:color="auto"/>
                      </w:divBdr>
                    </w:div>
                  </w:divsChild>
                </w:div>
                <w:div w:id="1201433172">
                  <w:marLeft w:val="0"/>
                  <w:marRight w:val="0"/>
                  <w:marTop w:val="0"/>
                  <w:marBottom w:val="0"/>
                  <w:divBdr>
                    <w:top w:val="none" w:sz="0" w:space="0" w:color="auto"/>
                    <w:left w:val="none" w:sz="0" w:space="0" w:color="auto"/>
                    <w:bottom w:val="none" w:sz="0" w:space="0" w:color="auto"/>
                    <w:right w:val="none" w:sz="0" w:space="0" w:color="auto"/>
                  </w:divBdr>
                  <w:divsChild>
                    <w:div w:id="1001851359">
                      <w:marLeft w:val="0"/>
                      <w:marRight w:val="0"/>
                      <w:marTop w:val="0"/>
                      <w:marBottom w:val="0"/>
                      <w:divBdr>
                        <w:top w:val="none" w:sz="0" w:space="0" w:color="auto"/>
                        <w:left w:val="none" w:sz="0" w:space="0" w:color="auto"/>
                        <w:bottom w:val="none" w:sz="0" w:space="0" w:color="auto"/>
                        <w:right w:val="none" w:sz="0" w:space="0" w:color="auto"/>
                      </w:divBdr>
                    </w:div>
                    <w:div w:id="1177771927">
                      <w:marLeft w:val="0"/>
                      <w:marRight w:val="0"/>
                      <w:marTop w:val="0"/>
                      <w:marBottom w:val="0"/>
                      <w:divBdr>
                        <w:top w:val="none" w:sz="0" w:space="0" w:color="auto"/>
                        <w:left w:val="none" w:sz="0" w:space="0" w:color="auto"/>
                        <w:bottom w:val="none" w:sz="0" w:space="0" w:color="auto"/>
                        <w:right w:val="none" w:sz="0" w:space="0" w:color="auto"/>
                      </w:divBdr>
                    </w:div>
                  </w:divsChild>
                </w:div>
                <w:div w:id="1208840425">
                  <w:marLeft w:val="0"/>
                  <w:marRight w:val="0"/>
                  <w:marTop w:val="0"/>
                  <w:marBottom w:val="0"/>
                  <w:divBdr>
                    <w:top w:val="none" w:sz="0" w:space="0" w:color="auto"/>
                    <w:left w:val="none" w:sz="0" w:space="0" w:color="auto"/>
                    <w:bottom w:val="none" w:sz="0" w:space="0" w:color="auto"/>
                    <w:right w:val="none" w:sz="0" w:space="0" w:color="auto"/>
                  </w:divBdr>
                  <w:divsChild>
                    <w:div w:id="1358579582">
                      <w:marLeft w:val="0"/>
                      <w:marRight w:val="0"/>
                      <w:marTop w:val="0"/>
                      <w:marBottom w:val="0"/>
                      <w:divBdr>
                        <w:top w:val="none" w:sz="0" w:space="0" w:color="auto"/>
                        <w:left w:val="none" w:sz="0" w:space="0" w:color="auto"/>
                        <w:bottom w:val="none" w:sz="0" w:space="0" w:color="auto"/>
                        <w:right w:val="none" w:sz="0" w:space="0" w:color="auto"/>
                      </w:divBdr>
                    </w:div>
                  </w:divsChild>
                </w:div>
                <w:div w:id="1224557907">
                  <w:marLeft w:val="0"/>
                  <w:marRight w:val="0"/>
                  <w:marTop w:val="0"/>
                  <w:marBottom w:val="0"/>
                  <w:divBdr>
                    <w:top w:val="none" w:sz="0" w:space="0" w:color="auto"/>
                    <w:left w:val="none" w:sz="0" w:space="0" w:color="auto"/>
                    <w:bottom w:val="none" w:sz="0" w:space="0" w:color="auto"/>
                    <w:right w:val="none" w:sz="0" w:space="0" w:color="auto"/>
                  </w:divBdr>
                  <w:divsChild>
                    <w:div w:id="658315524">
                      <w:marLeft w:val="0"/>
                      <w:marRight w:val="0"/>
                      <w:marTop w:val="0"/>
                      <w:marBottom w:val="0"/>
                      <w:divBdr>
                        <w:top w:val="none" w:sz="0" w:space="0" w:color="auto"/>
                        <w:left w:val="none" w:sz="0" w:space="0" w:color="auto"/>
                        <w:bottom w:val="none" w:sz="0" w:space="0" w:color="auto"/>
                        <w:right w:val="none" w:sz="0" w:space="0" w:color="auto"/>
                      </w:divBdr>
                    </w:div>
                  </w:divsChild>
                </w:div>
                <w:div w:id="1253929208">
                  <w:marLeft w:val="0"/>
                  <w:marRight w:val="0"/>
                  <w:marTop w:val="0"/>
                  <w:marBottom w:val="0"/>
                  <w:divBdr>
                    <w:top w:val="none" w:sz="0" w:space="0" w:color="auto"/>
                    <w:left w:val="none" w:sz="0" w:space="0" w:color="auto"/>
                    <w:bottom w:val="none" w:sz="0" w:space="0" w:color="auto"/>
                    <w:right w:val="none" w:sz="0" w:space="0" w:color="auto"/>
                  </w:divBdr>
                  <w:divsChild>
                    <w:div w:id="1638990630">
                      <w:marLeft w:val="0"/>
                      <w:marRight w:val="0"/>
                      <w:marTop w:val="0"/>
                      <w:marBottom w:val="0"/>
                      <w:divBdr>
                        <w:top w:val="none" w:sz="0" w:space="0" w:color="auto"/>
                        <w:left w:val="none" w:sz="0" w:space="0" w:color="auto"/>
                        <w:bottom w:val="none" w:sz="0" w:space="0" w:color="auto"/>
                        <w:right w:val="none" w:sz="0" w:space="0" w:color="auto"/>
                      </w:divBdr>
                    </w:div>
                  </w:divsChild>
                </w:div>
                <w:div w:id="1292983270">
                  <w:marLeft w:val="0"/>
                  <w:marRight w:val="0"/>
                  <w:marTop w:val="0"/>
                  <w:marBottom w:val="0"/>
                  <w:divBdr>
                    <w:top w:val="none" w:sz="0" w:space="0" w:color="auto"/>
                    <w:left w:val="none" w:sz="0" w:space="0" w:color="auto"/>
                    <w:bottom w:val="none" w:sz="0" w:space="0" w:color="auto"/>
                    <w:right w:val="none" w:sz="0" w:space="0" w:color="auto"/>
                  </w:divBdr>
                  <w:divsChild>
                    <w:div w:id="1065681211">
                      <w:marLeft w:val="0"/>
                      <w:marRight w:val="0"/>
                      <w:marTop w:val="0"/>
                      <w:marBottom w:val="0"/>
                      <w:divBdr>
                        <w:top w:val="none" w:sz="0" w:space="0" w:color="auto"/>
                        <w:left w:val="none" w:sz="0" w:space="0" w:color="auto"/>
                        <w:bottom w:val="none" w:sz="0" w:space="0" w:color="auto"/>
                        <w:right w:val="none" w:sz="0" w:space="0" w:color="auto"/>
                      </w:divBdr>
                    </w:div>
                  </w:divsChild>
                </w:div>
                <w:div w:id="1389302068">
                  <w:marLeft w:val="0"/>
                  <w:marRight w:val="0"/>
                  <w:marTop w:val="0"/>
                  <w:marBottom w:val="0"/>
                  <w:divBdr>
                    <w:top w:val="none" w:sz="0" w:space="0" w:color="auto"/>
                    <w:left w:val="none" w:sz="0" w:space="0" w:color="auto"/>
                    <w:bottom w:val="none" w:sz="0" w:space="0" w:color="auto"/>
                    <w:right w:val="none" w:sz="0" w:space="0" w:color="auto"/>
                  </w:divBdr>
                  <w:divsChild>
                    <w:div w:id="2007398237">
                      <w:marLeft w:val="0"/>
                      <w:marRight w:val="0"/>
                      <w:marTop w:val="0"/>
                      <w:marBottom w:val="0"/>
                      <w:divBdr>
                        <w:top w:val="none" w:sz="0" w:space="0" w:color="auto"/>
                        <w:left w:val="none" w:sz="0" w:space="0" w:color="auto"/>
                        <w:bottom w:val="none" w:sz="0" w:space="0" w:color="auto"/>
                        <w:right w:val="none" w:sz="0" w:space="0" w:color="auto"/>
                      </w:divBdr>
                    </w:div>
                  </w:divsChild>
                </w:div>
                <w:div w:id="1394082930">
                  <w:marLeft w:val="0"/>
                  <w:marRight w:val="0"/>
                  <w:marTop w:val="0"/>
                  <w:marBottom w:val="0"/>
                  <w:divBdr>
                    <w:top w:val="none" w:sz="0" w:space="0" w:color="auto"/>
                    <w:left w:val="none" w:sz="0" w:space="0" w:color="auto"/>
                    <w:bottom w:val="none" w:sz="0" w:space="0" w:color="auto"/>
                    <w:right w:val="none" w:sz="0" w:space="0" w:color="auto"/>
                  </w:divBdr>
                  <w:divsChild>
                    <w:div w:id="288901431">
                      <w:marLeft w:val="0"/>
                      <w:marRight w:val="0"/>
                      <w:marTop w:val="0"/>
                      <w:marBottom w:val="0"/>
                      <w:divBdr>
                        <w:top w:val="none" w:sz="0" w:space="0" w:color="auto"/>
                        <w:left w:val="none" w:sz="0" w:space="0" w:color="auto"/>
                        <w:bottom w:val="none" w:sz="0" w:space="0" w:color="auto"/>
                        <w:right w:val="none" w:sz="0" w:space="0" w:color="auto"/>
                      </w:divBdr>
                    </w:div>
                  </w:divsChild>
                </w:div>
                <w:div w:id="1404526226">
                  <w:marLeft w:val="0"/>
                  <w:marRight w:val="0"/>
                  <w:marTop w:val="0"/>
                  <w:marBottom w:val="0"/>
                  <w:divBdr>
                    <w:top w:val="none" w:sz="0" w:space="0" w:color="auto"/>
                    <w:left w:val="none" w:sz="0" w:space="0" w:color="auto"/>
                    <w:bottom w:val="none" w:sz="0" w:space="0" w:color="auto"/>
                    <w:right w:val="none" w:sz="0" w:space="0" w:color="auto"/>
                  </w:divBdr>
                  <w:divsChild>
                    <w:div w:id="27028753">
                      <w:marLeft w:val="0"/>
                      <w:marRight w:val="0"/>
                      <w:marTop w:val="0"/>
                      <w:marBottom w:val="0"/>
                      <w:divBdr>
                        <w:top w:val="none" w:sz="0" w:space="0" w:color="auto"/>
                        <w:left w:val="none" w:sz="0" w:space="0" w:color="auto"/>
                        <w:bottom w:val="none" w:sz="0" w:space="0" w:color="auto"/>
                        <w:right w:val="none" w:sz="0" w:space="0" w:color="auto"/>
                      </w:divBdr>
                    </w:div>
                  </w:divsChild>
                </w:div>
                <w:div w:id="1407144536">
                  <w:marLeft w:val="0"/>
                  <w:marRight w:val="0"/>
                  <w:marTop w:val="0"/>
                  <w:marBottom w:val="0"/>
                  <w:divBdr>
                    <w:top w:val="none" w:sz="0" w:space="0" w:color="auto"/>
                    <w:left w:val="none" w:sz="0" w:space="0" w:color="auto"/>
                    <w:bottom w:val="none" w:sz="0" w:space="0" w:color="auto"/>
                    <w:right w:val="none" w:sz="0" w:space="0" w:color="auto"/>
                  </w:divBdr>
                  <w:divsChild>
                    <w:div w:id="1490318189">
                      <w:marLeft w:val="0"/>
                      <w:marRight w:val="0"/>
                      <w:marTop w:val="0"/>
                      <w:marBottom w:val="0"/>
                      <w:divBdr>
                        <w:top w:val="none" w:sz="0" w:space="0" w:color="auto"/>
                        <w:left w:val="none" w:sz="0" w:space="0" w:color="auto"/>
                        <w:bottom w:val="none" w:sz="0" w:space="0" w:color="auto"/>
                        <w:right w:val="none" w:sz="0" w:space="0" w:color="auto"/>
                      </w:divBdr>
                    </w:div>
                  </w:divsChild>
                </w:div>
                <w:div w:id="1407265858">
                  <w:marLeft w:val="0"/>
                  <w:marRight w:val="0"/>
                  <w:marTop w:val="0"/>
                  <w:marBottom w:val="0"/>
                  <w:divBdr>
                    <w:top w:val="none" w:sz="0" w:space="0" w:color="auto"/>
                    <w:left w:val="none" w:sz="0" w:space="0" w:color="auto"/>
                    <w:bottom w:val="none" w:sz="0" w:space="0" w:color="auto"/>
                    <w:right w:val="none" w:sz="0" w:space="0" w:color="auto"/>
                  </w:divBdr>
                  <w:divsChild>
                    <w:div w:id="474567635">
                      <w:marLeft w:val="0"/>
                      <w:marRight w:val="0"/>
                      <w:marTop w:val="0"/>
                      <w:marBottom w:val="0"/>
                      <w:divBdr>
                        <w:top w:val="none" w:sz="0" w:space="0" w:color="auto"/>
                        <w:left w:val="none" w:sz="0" w:space="0" w:color="auto"/>
                        <w:bottom w:val="none" w:sz="0" w:space="0" w:color="auto"/>
                        <w:right w:val="none" w:sz="0" w:space="0" w:color="auto"/>
                      </w:divBdr>
                    </w:div>
                  </w:divsChild>
                </w:div>
                <w:div w:id="1437405673">
                  <w:marLeft w:val="0"/>
                  <w:marRight w:val="0"/>
                  <w:marTop w:val="0"/>
                  <w:marBottom w:val="0"/>
                  <w:divBdr>
                    <w:top w:val="none" w:sz="0" w:space="0" w:color="auto"/>
                    <w:left w:val="none" w:sz="0" w:space="0" w:color="auto"/>
                    <w:bottom w:val="none" w:sz="0" w:space="0" w:color="auto"/>
                    <w:right w:val="none" w:sz="0" w:space="0" w:color="auto"/>
                  </w:divBdr>
                  <w:divsChild>
                    <w:div w:id="188564507">
                      <w:marLeft w:val="0"/>
                      <w:marRight w:val="0"/>
                      <w:marTop w:val="0"/>
                      <w:marBottom w:val="0"/>
                      <w:divBdr>
                        <w:top w:val="none" w:sz="0" w:space="0" w:color="auto"/>
                        <w:left w:val="none" w:sz="0" w:space="0" w:color="auto"/>
                        <w:bottom w:val="none" w:sz="0" w:space="0" w:color="auto"/>
                        <w:right w:val="none" w:sz="0" w:space="0" w:color="auto"/>
                      </w:divBdr>
                    </w:div>
                  </w:divsChild>
                </w:div>
                <w:div w:id="1445079358">
                  <w:marLeft w:val="0"/>
                  <w:marRight w:val="0"/>
                  <w:marTop w:val="0"/>
                  <w:marBottom w:val="0"/>
                  <w:divBdr>
                    <w:top w:val="none" w:sz="0" w:space="0" w:color="auto"/>
                    <w:left w:val="none" w:sz="0" w:space="0" w:color="auto"/>
                    <w:bottom w:val="none" w:sz="0" w:space="0" w:color="auto"/>
                    <w:right w:val="none" w:sz="0" w:space="0" w:color="auto"/>
                  </w:divBdr>
                  <w:divsChild>
                    <w:div w:id="1216089405">
                      <w:marLeft w:val="0"/>
                      <w:marRight w:val="0"/>
                      <w:marTop w:val="0"/>
                      <w:marBottom w:val="0"/>
                      <w:divBdr>
                        <w:top w:val="none" w:sz="0" w:space="0" w:color="auto"/>
                        <w:left w:val="none" w:sz="0" w:space="0" w:color="auto"/>
                        <w:bottom w:val="none" w:sz="0" w:space="0" w:color="auto"/>
                        <w:right w:val="none" w:sz="0" w:space="0" w:color="auto"/>
                      </w:divBdr>
                    </w:div>
                  </w:divsChild>
                </w:div>
                <w:div w:id="1471441156">
                  <w:marLeft w:val="0"/>
                  <w:marRight w:val="0"/>
                  <w:marTop w:val="0"/>
                  <w:marBottom w:val="0"/>
                  <w:divBdr>
                    <w:top w:val="none" w:sz="0" w:space="0" w:color="auto"/>
                    <w:left w:val="none" w:sz="0" w:space="0" w:color="auto"/>
                    <w:bottom w:val="none" w:sz="0" w:space="0" w:color="auto"/>
                    <w:right w:val="none" w:sz="0" w:space="0" w:color="auto"/>
                  </w:divBdr>
                  <w:divsChild>
                    <w:div w:id="446122328">
                      <w:marLeft w:val="0"/>
                      <w:marRight w:val="0"/>
                      <w:marTop w:val="0"/>
                      <w:marBottom w:val="0"/>
                      <w:divBdr>
                        <w:top w:val="none" w:sz="0" w:space="0" w:color="auto"/>
                        <w:left w:val="none" w:sz="0" w:space="0" w:color="auto"/>
                        <w:bottom w:val="none" w:sz="0" w:space="0" w:color="auto"/>
                        <w:right w:val="none" w:sz="0" w:space="0" w:color="auto"/>
                      </w:divBdr>
                    </w:div>
                  </w:divsChild>
                </w:div>
                <w:div w:id="1481993467">
                  <w:marLeft w:val="0"/>
                  <w:marRight w:val="0"/>
                  <w:marTop w:val="0"/>
                  <w:marBottom w:val="0"/>
                  <w:divBdr>
                    <w:top w:val="none" w:sz="0" w:space="0" w:color="auto"/>
                    <w:left w:val="none" w:sz="0" w:space="0" w:color="auto"/>
                    <w:bottom w:val="none" w:sz="0" w:space="0" w:color="auto"/>
                    <w:right w:val="none" w:sz="0" w:space="0" w:color="auto"/>
                  </w:divBdr>
                  <w:divsChild>
                    <w:div w:id="1136071910">
                      <w:marLeft w:val="0"/>
                      <w:marRight w:val="0"/>
                      <w:marTop w:val="0"/>
                      <w:marBottom w:val="0"/>
                      <w:divBdr>
                        <w:top w:val="none" w:sz="0" w:space="0" w:color="auto"/>
                        <w:left w:val="none" w:sz="0" w:space="0" w:color="auto"/>
                        <w:bottom w:val="none" w:sz="0" w:space="0" w:color="auto"/>
                        <w:right w:val="none" w:sz="0" w:space="0" w:color="auto"/>
                      </w:divBdr>
                    </w:div>
                  </w:divsChild>
                </w:div>
                <w:div w:id="1485271916">
                  <w:marLeft w:val="0"/>
                  <w:marRight w:val="0"/>
                  <w:marTop w:val="0"/>
                  <w:marBottom w:val="0"/>
                  <w:divBdr>
                    <w:top w:val="none" w:sz="0" w:space="0" w:color="auto"/>
                    <w:left w:val="none" w:sz="0" w:space="0" w:color="auto"/>
                    <w:bottom w:val="none" w:sz="0" w:space="0" w:color="auto"/>
                    <w:right w:val="none" w:sz="0" w:space="0" w:color="auto"/>
                  </w:divBdr>
                  <w:divsChild>
                    <w:div w:id="1223950682">
                      <w:marLeft w:val="0"/>
                      <w:marRight w:val="0"/>
                      <w:marTop w:val="0"/>
                      <w:marBottom w:val="0"/>
                      <w:divBdr>
                        <w:top w:val="none" w:sz="0" w:space="0" w:color="auto"/>
                        <w:left w:val="none" w:sz="0" w:space="0" w:color="auto"/>
                        <w:bottom w:val="none" w:sz="0" w:space="0" w:color="auto"/>
                        <w:right w:val="none" w:sz="0" w:space="0" w:color="auto"/>
                      </w:divBdr>
                    </w:div>
                  </w:divsChild>
                </w:div>
                <w:div w:id="1492673620">
                  <w:marLeft w:val="0"/>
                  <w:marRight w:val="0"/>
                  <w:marTop w:val="0"/>
                  <w:marBottom w:val="0"/>
                  <w:divBdr>
                    <w:top w:val="none" w:sz="0" w:space="0" w:color="auto"/>
                    <w:left w:val="none" w:sz="0" w:space="0" w:color="auto"/>
                    <w:bottom w:val="none" w:sz="0" w:space="0" w:color="auto"/>
                    <w:right w:val="none" w:sz="0" w:space="0" w:color="auto"/>
                  </w:divBdr>
                  <w:divsChild>
                    <w:div w:id="1315573223">
                      <w:marLeft w:val="0"/>
                      <w:marRight w:val="0"/>
                      <w:marTop w:val="0"/>
                      <w:marBottom w:val="0"/>
                      <w:divBdr>
                        <w:top w:val="none" w:sz="0" w:space="0" w:color="auto"/>
                        <w:left w:val="none" w:sz="0" w:space="0" w:color="auto"/>
                        <w:bottom w:val="none" w:sz="0" w:space="0" w:color="auto"/>
                        <w:right w:val="none" w:sz="0" w:space="0" w:color="auto"/>
                      </w:divBdr>
                    </w:div>
                  </w:divsChild>
                </w:div>
                <w:div w:id="1524053381">
                  <w:marLeft w:val="0"/>
                  <w:marRight w:val="0"/>
                  <w:marTop w:val="0"/>
                  <w:marBottom w:val="0"/>
                  <w:divBdr>
                    <w:top w:val="none" w:sz="0" w:space="0" w:color="auto"/>
                    <w:left w:val="none" w:sz="0" w:space="0" w:color="auto"/>
                    <w:bottom w:val="none" w:sz="0" w:space="0" w:color="auto"/>
                    <w:right w:val="none" w:sz="0" w:space="0" w:color="auto"/>
                  </w:divBdr>
                  <w:divsChild>
                    <w:div w:id="1008868239">
                      <w:marLeft w:val="0"/>
                      <w:marRight w:val="0"/>
                      <w:marTop w:val="0"/>
                      <w:marBottom w:val="0"/>
                      <w:divBdr>
                        <w:top w:val="none" w:sz="0" w:space="0" w:color="auto"/>
                        <w:left w:val="none" w:sz="0" w:space="0" w:color="auto"/>
                        <w:bottom w:val="none" w:sz="0" w:space="0" w:color="auto"/>
                        <w:right w:val="none" w:sz="0" w:space="0" w:color="auto"/>
                      </w:divBdr>
                    </w:div>
                  </w:divsChild>
                </w:div>
                <w:div w:id="1545479262">
                  <w:marLeft w:val="0"/>
                  <w:marRight w:val="0"/>
                  <w:marTop w:val="0"/>
                  <w:marBottom w:val="0"/>
                  <w:divBdr>
                    <w:top w:val="none" w:sz="0" w:space="0" w:color="auto"/>
                    <w:left w:val="none" w:sz="0" w:space="0" w:color="auto"/>
                    <w:bottom w:val="none" w:sz="0" w:space="0" w:color="auto"/>
                    <w:right w:val="none" w:sz="0" w:space="0" w:color="auto"/>
                  </w:divBdr>
                  <w:divsChild>
                    <w:div w:id="1544833008">
                      <w:marLeft w:val="0"/>
                      <w:marRight w:val="0"/>
                      <w:marTop w:val="0"/>
                      <w:marBottom w:val="0"/>
                      <w:divBdr>
                        <w:top w:val="none" w:sz="0" w:space="0" w:color="auto"/>
                        <w:left w:val="none" w:sz="0" w:space="0" w:color="auto"/>
                        <w:bottom w:val="none" w:sz="0" w:space="0" w:color="auto"/>
                        <w:right w:val="none" w:sz="0" w:space="0" w:color="auto"/>
                      </w:divBdr>
                    </w:div>
                  </w:divsChild>
                </w:div>
                <w:div w:id="1565531149">
                  <w:marLeft w:val="0"/>
                  <w:marRight w:val="0"/>
                  <w:marTop w:val="0"/>
                  <w:marBottom w:val="0"/>
                  <w:divBdr>
                    <w:top w:val="none" w:sz="0" w:space="0" w:color="auto"/>
                    <w:left w:val="none" w:sz="0" w:space="0" w:color="auto"/>
                    <w:bottom w:val="none" w:sz="0" w:space="0" w:color="auto"/>
                    <w:right w:val="none" w:sz="0" w:space="0" w:color="auto"/>
                  </w:divBdr>
                  <w:divsChild>
                    <w:div w:id="1693144202">
                      <w:marLeft w:val="0"/>
                      <w:marRight w:val="0"/>
                      <w:marTop w:val="0"/>
                      <w:marBottom w:val="0"/>
                      <w:divBdr>
                        <w:top w:val="none" w:sz="0" w:space="0" w:color="auto"/>
                        <w:left w:val="none" w:sz="0" w:space="0" w:color="auto"/>
                        <w:bottom w:val="none" w:sz="0" w:space="0" w:color="auto"/>
                        <w:right w:val="none" w:sz="0" w:space="0" w:color="auto"/>
                      </w:divBdr>
                    </w:div>
                  </w:divsChild>
                </w:div>
                <w:div w:id="1566724997">
                  <w:marLeft w:val="0"/>
                  <w:marRight w:val="0"/>
                  <w:marTop w:val="0"/>
                  <w:marBottom w:val="0"/>
                  <w:divBdr>
                    <w:top w:val="none" w:sz="0" w:space="0" w:color="auto"/>
                    <w:left w:val="none" w:sz="0" w:space="0" w:color="auto"/>
                    <w:bottom w:val="none" w:sz="0" w:space="0" w:color="auto"/>
                    <w:right w:val="none" w:sz="0" w:space="0" w:color="auto"/>
                  </w:divBdr>
                  <w:divsChild>
                    <w:div w:id="1021131182">
                      <w:marLeft w:val="0"/>
                      <w:marRight w:val="0"/>
                      <w:marTop w:val="0"/>
                      <w:marBottom w:val="0"/>
                      <w:divBdr>
                        <w:top w:val="none" w:sz="0" w:space="0" w:color="auto"/>
                        <w:left w:val="none" w:sz="0" w:space="0" w:color="auto"/>
                        <w:bottom w:val="none" w:sz="0" w:space="0" w:color="auto"/>
                        <w:right w:val="none" w:sz="0" w:space="0" w:color="auto"/>
                      </w:divBdr>
                    </w:div>
                  </w:divsChild>
                </w:div>
                <w:div w:id="1567178730">
                  <w:marLeft w:val="0"/>
                  <w:marRight w:val="0"/>
                  <w:marTop w:val="0"/>
                  <w:marBottom w:val="0"/>
                  <w:divBdr>
                    <w:top w:val="none" w:sz="0" w:space="0" w:color="auto"/>
                    <w:left w:val="none" w:sz="0" w:space="0" w:color="auto"/>
                    <w:bottom w:val="none" w:sz="0" w:space="0" w:color="auto"/>
                    <w:right w:val="none" w:sz="0" w:space="0" w:color="auto"/>
                  </w:divBdr>
                  <w:divsChild>
                    <w:div w:id="1205487423">
                      <w:marLeft w:val="0"/>
                      <w:marRight w:val="0"/>
                      <w:marTop w:val="0"/>
                      <w:marBottom w:val="0"/>
                      <w:divBdr>
                        <w:top w:val="none" w:sz="0" w:space="0" w:color="auto"/>
                        <w:left w:val="none" w:sz="0" w:space="0" w:color="auto"/>
                        <w:bottom w:val="none" w:sz="0" w:space="0" w:color="auto"/>
                        <w:right w:val="none" w:sz="0" w:space="0" w:color="auto"/>
                      </w:divBdr>
                    </w:div>
                    <w:div w:id="1779983473">
                      <w:marLeft w:val="0"/>
                      <w:marRight w:val="0"/>
                      <w:marTop w:val="0"/>
                      <w:marBottom w:val="0"/>
                      <w:divBdr>
                        <w:top w:val="none" w:sz="0" w:space="0" w:color="auto"/>
                        <w:left w:val="none" w:sz="0" w:space="0" w:color="auto"/>
                        <w:bottom w:val="none" w:sz="0" w:space="0" w:color="auto"/>
                        <w:right w:val="none" w:sz="0" w:space="0" w:color="auto"/>
                      </w:divBdr>
                    </w:div>
                  </w:divsChild>
                </w:div>
                <w:div w:id="1601252695">
                  <w:marLeft w:val="0"/>
                  <w:marRight w:val="0"/>
                  <w:marTop w:val="0"/>
                  <w:marBottom w:val="0"/>
                  <w:divBdr>
                    <w:top w:val="none" w:sz="0" w:space="0" w:color="auto"/>
                    <w:left w:val="none" w:sz="0" w:space="0" w:color="auto"/>
                    <w:bottom w:val="none" w:sz="0" w:space="0" w:color="auto"/>
                    <w:right w:val="none" w:sz="0" w:space="0" w:color="auto"/>
                  </w:divBdr>
                  <w:divsChild>
                    <w:div w:id="477040887">
                      <w:marLeft w:val="0"/>
                      <w:marRight w:val="0"/>
                      <w:marTop w:val="0"/>
                      <w:marBottom w:val="0"/>
                      <w:divBdr>
                        <w:top w:val="none" w:sz="0" w:space="0" w:color="auto"/>
                        <w:left w:val="none" w:sz="0" w:space="0" w:color="auto"/>
                        <w:bottom w:val="none" w:sz="0" w:space="0" w:color="auto"/>
                        <w:right w:val="none" w:sz="0" w:space="0" w:color="auto"/>
                      </w:divBdr>
                    </w:div>
                  </w:divsChild>
                </w:div>
                <w:div w:id="1616710574">
                  <w:marLeft w:val="0"/>
                  <w:marRight w:val="0"/>
                  <w:marTop w:val="0"/>
                  <w:marBottom w:val="0"/>
                  <w:divBdr>
                    <w:top w:val="none" w:sz="0" w:space="0" w:color="auto"/>
                    <w:left w:val="none" w:sz="0" w:space="0" w:color="auto"/>
                    <w:bottom w:val="none" w:sz="0" w:space="0" w:color="auto"/>
                    <w:right w:val="none" w:sz="0" w:space="0" w:color="auto"/>
                  </w:divBdr>
                  <w:divsChild>
                    <w:div w:id="116140724">
                      <w:marLeft w:val="0"/>
                      <w:marRight w:val="0"/>
                      <w:marTop w:val="0"/>
                      <w:marBottom w:val="0"/>
                      <w:divBdr>
                        <w:top w:val="none" w:sz="0" w:space="0" w:color="auto"/>
                        <w:left w:val="none" w:sz="0" w:space="0" w:color="auto"/>
                        <w:bottom w:val="none" w:sz="0" w:space="0" w:color="auto"/>
                        <w:right w:val="none" w:sz="0" w:space="0" w:color="auto"/>
                      </w:divBdr>
                    </w:div>
                    <w:div w:id="1521697169">
                      <w:marLeft w:val="0"/>
                      <w:marRight w:val="0"/>
                      <w:marTop w:val="0"/>
                      <w:marBottom w:val="0"/>
                      <w:divBdr>
                        <w:top w:val="none" w:sz="0" w:space="0" w:color="auto"/>
                        <w:left w:val="none" w:sz="0" w:space="0" w:color="auto"/>
                        <w:bottom w:val="none" w:sz="0" w:space="0" w:color="auto"/>
                        <w:right w:val="none" w:sz="0" w:space="0" w:color="auto"/>
                      </w:divBdr>
                    </w:div>
                  </w:divsChild>
                </w:div>
                <w:div w:id="1619263691">
                  <w:marLeft w:val="0"/>
                  <w:marRight w:val="0"/>
                  <w:marTop w:val="0"/>
                  <w:marBottom w:val="0"/>
                  <w:divBdr>
                    <w:top w:val="none" w:sz="0" w:space="0" w:color="auto"/>
                    <w:left w:val="none" w:sz="0" w:space="0" w:color="auto"/>
                    <w:bottom w:val="none" w:sz="0" w:space="0" w:color="auto"/>
                    <w:right w:val="none" w:sz="0" w:space="0" w:color="auto"/>
                  </w:divBdr>
                  <w:divsChild>
                    <w:div w:id="532310930">
                      <w:marLeft w:val="0"/>
                      <w:marRight w:val="0"/>
                      <w:marTop w:val="0"/>
                      <w:marBottom w:val="0"/>
                      <w:divBdr>
                        <w:top w:val="none" w:sz="0" w:space="0" w:color="auto"/>
                        <w:left w:val="none" w:sz="0" w:space="0" w:color="auto"/>
                        <w:bottom w:val="none" w:sz="0" w:space="0" w:color="auto"/>
                        <w:right w:val="none" w:sz="0" w:space="0" w:color="auto"/>
                      </w:divBdr>
                    </w:div>
                    <w:div w:id="545873094">
                      <w:marLeft w:val="0"/>
                      <w:marRight w:val="0"/>
                      <w:marTop w:val="0"/>
                      <w:marBottom w:val="0"/>
                      <w:divBdr>
                        <w:top w:val="none" w:sz="0" w:space="0" w:color="auto"/>
                        <w:left w:val="none" w:sz="0" w:space="0" w:color="auto"/>
                        <w:bottom w:val="none" w:sz="0" w:space="0" w:color="auto"/>
                        <w:right w:val="none" w:sz="0" w:space="0" w:color="auto"/>
                      </w:divBdr>
                    </w:div>
                    <w:div w:id="1143960742">
                      <w:marLeft w:val="0"/>
                      <w:marRight w:val="0"/>
                      <w:marTop w:val="0"/>
                      <w:marBottom w:val="0"/>
                      <w:divBdr>
                        <w:top w:val="none" w:sz="0" w:space="0" w:color="auto"/>
                        <w:left w:val="none" w:sz="0" w:space="0" w:color="auto"/>
                        <w:bottom w:val="none" w:sz="0" w:space="0" w:color="auto"/>
                        <w:right w:val="none" w:sz="0" w:space="0" w:color="auto"/>
                      </w:divBdr>
                    </w:div>
                    <w:div w:id="1272474406">
                      <w:marLeft w:val="0"/>
                      <w:marRight w:val="0"/>
                      <w:marTop w:val="0"/>
                      <w:marBottom w:val="0"/>
                      <w:divBdr>
                        <w:top w:val="none" w:sz="0" w:space="0" w:color="auto"/>
                        <w:left w:val="none" w:sz="0" w:space="0" w:color="auto"/>
                        <w:bottom w:val="none" w:sz="0" w:space="0" w:color="auto"/>
                        <w:right w:val="none" w:sz="0" w:space="0" w:color="auto"/>
                      </w:divBdr>
                    </w:div>
                    <w:div w:id="1732314838">
                      <w:marLeft w:val="0"/>
                      <w:marRight w:val="0"/>
                      <w:marTop w:val="0"/>
                      <w:marBottom w:val="0"/>
                      <w:divBdr>
                        <w:top w:val="none" w:sz="0" w:space="0" w:color="auto"/>
                        <w:left w:val="none" w:sz="0" w:space="0" w:color="auto"/>
                        <w:bottom w:val="none" w:sz="0" w:space="0" w:color="auto"/>
                        <w:right w:val="none" w:sz="0" w:space="0" w:color="auto"/>
                      </w:divBdr>
                    </w:div>
                  </w:divsChild>
                </w:div>
                <w:div w:id="1657997092">
                  <w:marLeft w:val="0"/>
                  <w:marRight w:val="0"/>
                  <w:marTop w:val="0"/>
                  <w:marBottom w:val="0"/>
                  <w:divBdr>
                    <w:top w:val="none" w:sz="0" w:space="0" w:color="auto"/>
                    <w:left w:val="none" w:sz="0" w:space="0" w:color="auto"/>
                    <w:bottom w:val="none" w:sz="0" w:space="0" w:color="auto"/>
                    <w:right w:val="none" w:sz="0" w:space="0" w:color="auto"/>
                  </w:divBdr>
                  <w:divsChild>
                    <w:div w:id="49156131">
                      <w:marLeft w:val="0"/>
                      <w:marRight w:val="0"/>
                      <w:marTop w:val="0"/>
                      <w:marBottom w:val="0"/>
                      <w:divBdr>
                        <w:top w:val="none" w:sz="0" w:space="0" w:color="auto"/>
                        <w:left w:val="none" w:sz="0" w:space="0" w:color="auto"/>
                        <w:bottom w:val="none" w:sz="0" w:space="0" w:color="auto"/>
                        <w:right w:val="none" w:sz="0" w:space="0" w:color="auto"/>
                      </w:divBdr>
                    </w:div>
                    <w:div w:id="448167636">
                      <w:marLeft w:val="0"/>
                      <w:marRight w:val="0"/>
                      <w:marTop w:val="0"/>
                      <w:marBottom w:val="0"/>
                      <w:divBdr>
                        <w:top w:val="none" w:sz="0" w:space="0" w:color="auto"/>
                        <w:left w:val="none" w:sz="0" w:space="0" w:color="auto"/>
                        <w:bottom w:val="none" w:sz="0" w:space="0" w:color="auto"/>
                        <w:right w:val="none" w:sz="0" w:space="0" w:color="auto"/>
                      </w:divBdr>
                    </w:div>
                    <w:div w:id="779496854">
                      <w:marLeft w:val="0"/>
                      <w:marRight w:val="0"/>
                      <w:marTop w:val="0"/>
                      <w:marBottom w:val="0"/>
                      <w:divBdr>
                        <w:top w:val="none" w:sz="0" w:space="0" w:color="auto"/>
                        <w:left w:val="none" w:sz="0" w:space="0" w:color="auto"/>
                        <w:bottom w:val="none" w:sz="0" w:space="0" w:color="auto"/>
                        <w:right w:val="none" w:sz="0" w:space="0" w:color="auto"/>
                      </w:divBdr>
                    </w:div>
                    <w:div w:id="1071999965">
                      <w:marLeft w:val="0"/>
                      <w:marRight w:val="0"/>
                      <w:marTop w:val="0"/>
                      <w:marBottom w:val="0"/>
                      <w:divBdr>
                        <w:top w:val="none" w:sz="0" w:space="0" w:color="auto"/>
                        <w:left w:val="none" w:sz="0" w:space="0" w:color="auto"/>
                        <w:bottom w:val="none" w:sz="0" w:space="0" w:color="auto"/>
                        <w:right w:val="none" w:sz="0" w:space="0" w:color="auto"/>
                      </w:divBdr>
                    </w:div>
                    <w:div w:id="1556886944">
                      <w:marLeft w:val="0"/>
                      <w:marRight w:val="0"/>
                      <w:marTop w:val="0"/>
                      <w:marBottom w:val="0"/>
                      <w:divBdr>
                        <w:top w:val="none" w:sz="0" w:space="0" w:color="auto"/>
                        <w:left w:val="none" w:sz="0" w:space="0" w:color="auto"/>
                        <w:bottom w:val="none" w:sz="0" w:space="0" w:color="auto"/>
                        <w:right w:val="none" w:sz="0" w:space="0" w:color="auto"/>
                      </w:divBdr>
                    </w:div>
                  </w:divsChild>
                </w:div>
                <w:div w:id="1661230882">
                  <w:marLeft w:val="0"/>
                  <w:marRight w:val="0"/>
                  <w:marTop w:val="0"/>
                  <w:marBottom w:val="0"/>
                  <w:divBdr>
                    <w:top w:val="none" w:sz="0" w:space="0" w:color="auto"/>
                    <w:left w:val="none" w:sz="0" w:space="0" w:color="auto"/>
                    <w:bottom w:val="none" w:sz="0" w:space="0" w:color="auto"/>
                    <w:right w:val="none" w:sz="0" w:space="0" w:color="auto"/>
                  </w:divBdr>
                  <w:divsChild>
                    <w:div w:id="746342701">
                      <w:marLeft w:val="0"/>
                      <w:marRight w:val="0"/>
                      <w:marTop w:val="0"/>
                      <w:marBottom w:val="0"/>
                      <w:divBdr>
                        <w:top w:val="none" w:sz="0" w:space="0" w:color="auto"/>
                        <w:left w:val="none" w:sz="0" w:space="0" w:color="auto"/>
                        <w:bottom w:val="none" w:sz="0" w:space="0" w:color="auto"/>
                        <w:right w:val="none" w:sz="0" w:space="0" w:color="auto"/>
                      </w:divBdr>
                    </w:div>
                  </w:divsChild>
                </w:div>
                <w:div w:id="1673022877">
                  <w:marLeft w:val="0"/>
                  <w:marRight w:val="0"/>
                  <w:marTop w:val="0"/>
                  <w:marBottom w:val="0"/>
                  <w:divBdr>
                    <w:top w:val="none" w:sz="0" w:space="0" w:color="auto"/>
                    <w:left w:val="none" w:sz="0" w:space="0" w:color="auto"/>
                    <w:bottom w:val="none" w:sz="0" w:space="0" w:color="auto"/>
                    <w:right w:val="none" w:sz="0" w:space="0" w:color="auto"/>
                  </w:divBdr>
                  <w:divsChild>
                    <w:div w:id="373433129">
                      <w:marLeft w:val="0"/>
                      <w:marRight w:val="0"/>
                      <w:marTop w:val="0"/>
                      <w:marBottom w:val="0"/>
                      <w:divBdr>
                        <w:top w:val="none" w:sz="0" w:space="0" w:color="auto"/>
                        <w:left w:val="none" w:sz="0" w:space="0" w:color="auto"/>
                        <w:bottom w:val="none" w:sz="0" w:space="0" w:color="auto"/>
                        <w:right w:val="none" w:sz="0" w:space="0" w:color="auto"/>
                      </w:divBdr>
                    </w:div>
                  </w:divsChild>
                </w:div>
                <w:div w:id="1736857050">
                  <w:marLeft w:val="0"/>
                  <w:marRight w:val="0"/>
                  <w:marTop w:val="0"/>
                  <w:marBottom w:val="0"/>
                  <w:divBdr>
                    <w:top w:val="none" w:sz="0" w:space="0" w:color="auto"/>
                    <w:left w:val="none" w:sz="0" w:space="0" w:color="auto"/>
                    <w:bottom w:val="none" w:sz="0" w:space="0" w:color="auto"/>
                    <w:right w:val="none" w:sz="0" w:space="0" w:color="auto"/>
                  </w:divBdr>
                  <w:divsChild>
                    <w:div w:id="777216076">
                      <w:marLeft w:val="0"/>
                      <w:marRight w:val="0"/>
                      <w:marTop w:val="0"/>
                      <w:marBottom w:val="0"/>
                      <w:divBdr>
                        <w:top w:val="none" w:sz="0" w:space="0" w:color="auto"/>
                        <w:left w:val="none" w:sz="0" w:space="0" w:color="auto"/>
                        <w:bottom w:val="none" w:sz="0" w:space="0" w:color="auto"/>
                        <w:right w:val="none" w:sz="0" w:space="0" w:color="auto"/>
                      </w:divBdr>
                    </w:div>
                  </w:divsChild>
                </w:div>
                <w:div w:id="1737119555">
                  <w:marLeft w:val="0"/>
                  <w:marRight w:val="0"/>
                  <w:marTop w:val="0"/>
                  <w:marBottom w:val="0"/>
                  <w:divBdr>
                    <w:top w:val="none" w:sz="0" w:space="0" w:color="auto"/>
                    <w:left w:val="none" w:sz="0" w:space="0" w:color="auto"/>
                    <w:bottom w:val="none" w:sz="0" w:space="0" w:color="auto"/>
                    <w:right w:val="none" w:sz="0" w:space="0" w:color="auto"/>
                  </w:divBdr>
                  <w:divsChild>
                    <w:div w:id="590092332">
                      <w:marLeft w:val="0"/>
                      <w:marRight w:val="0"/>
                      <w:marTop w:val="0"/>
                      <w:marBottom w:val="0"/>
                      <w:divBdr>
                        <w:top w:val="none" w:sz="0" w:space="0" w:color="auto"/>
                        <w:left w:val="none" w:sz="0" w:space="0" w:color="auto"/>
                        <w:bottom w:val="none" w:sz="0" w:space="0" w:color="auto"/>
                        <w:right w:val="none" w:sz="0" w:space="0" w:color="auto"/>
                      </w:divBdr>
                    </w:div>
                  </w:divsChild>
                </w:div>
                <w:div w:id="1771121764">
                  <w:marLeft w:val="0"/>
                  <w:marRight w:val="0"/>
                  <w:marTop w:val="0"/>
                  <w:marBottom w:val="0"/>
                  <w:divBdr>
                    <w:top w:val="none" w:sz="0" w:space="0" w:color="auto"/>
                    <w:left w:val="none" w:sz="0" w:space="0" w:color="auto"/>
                    <w:bottom w:val="none" w:sz="0" w:space="0" w:color="auto"/>
                    <w:right w:val="none" w:sz="0" w:space="0" w:color="auto"/>
                  </w:divBdr>
                  <w:divsChild>
                    <w:div w:id="644091734">
                      <w:marLeft w:val="0"/>
                      <w:marRight w:val="0"/>
                      <w:marTop w:val="0"/>
                      <w:marBottom w:val="0"/>
                      <w:divBdr>
                        <w:top w:val="none" w:sz="0" w:space="0" w:color="auto"/>
                        <w:left w:val="none" w:sz="0" w:space="0" w:color="auto"/>
                        <w:bottom w:val="none" w:sz="0" w:space="0" w:color="auto"/>
                        <w:right w:val="none" w:sz="0" w:space="0" w:color="auto"/>
                      </w:divBdr>
                    </w:div>
                  </w:divsChild>
                </w:div>
                <w:div w:id="1779107797">
                  <w:marLeft w:val="0"/>
                  <w:marRight w:val="0"/>
                  <w:marTop w:val="0"/>
                  <w:marBottom w:val="0"/>
                  <w:divBdr>
                    <w:top w:val="none" w:sz="0" w:space="0" w:color="auto"/>
                    <w:left w:val="none" w:sz="0" w:space="0" w:color="auto"/>
                    <w:bottom w:val="none" w:sz="0" w:space="0" w:color="auto"/>
                    <w:right w:val="none" w:sz="0" w:space="0" w:color="auto"/>
                  </w:divBdr>
                  <w:divsChild>
                    <w:div w:id="395325993">
                      <w:marLeft w:val="0"/>
                      <w:marRight w:val="0"/>
                      <w:marTop w:val="0"/>
                      <w:marBottom w:val="0"/>
                      <w:divBdr>
                        <w:top w:val="none" w:sz="0" w:space="0" w:color="auto"/>
                        <w:left w:val="none" w:sz="0" w:space="0" w:color="auto"/>
                        <w:bottom w:val="none" w:sz="0" w:space="0" w:color="auto"/>
                        <w:right w:val="none" w:sz="0" w:space="0" w:color="auto"/>
                      </w:divBdr>
                    </w:div>
                  </w:divsChild>
                </w:div>
                <w:div w:id="1780832540">
                  <w:marLeft w:val="0"/>
                  <w:marRight w:val="0"/>
                  <w:marTop w:val="0"/>
                  <w:marBottom w:val="0"/>
                  <w:divBdr>
                    <w:top w:val="none" w:sz="0" w:space="0" w:color="auto"/>
                    <w:left w:val="none" w:sz="0" w:space="0" w:color="auto"/>
                    <w:bottom w:val="none" w:sz="0" w:space="0" w:color="auto"/>
                    <w:right w:val="none" w:sz="0" w:space="0" w:color="auto"/>
                  </w:divBdr>
                  <w:divsChild>
                    <w:div w:id="1845124682">
                      <w:marLeft w:val="0"/>
                      <w:marRight w:val="0"/>
                      <w:marTop w:val="0"/>
                      <w:marBottom w:val="0"/>
                      <w:divBdr>
                        <w:top w:val="none" w:sz="0" w:space="0" w:color="auto"/>
                        <w:left w:val="none" w:sz="0" w:space="0" w:color="auto"/>
                        <w:bottom w:val="none" w:sz="0" w:space="0" w:color="auto"/>
                        <w:right w:val="none" w:sz="0" w:space="0" w:color="auto"/>
                      </w:divBdr>
                    </w:div>
                  </w:divsChild>
                </w:div>
                <w:div w:id="1799102333">
                  <w:marLeft w:val="0"/>
                  <w:marRight w:val="0"/>
                  <w:marTop w:val="0"/>
                  <w:marBottom w:val="0"/>
                  <w:divBdr>
                    <w:top w:val="none" w:sz="0" w:space="0" w:color="auto"/>
                    <w:left w:val="none" w:sz="0" w:space="0" w:color="auto"/>
                    <w:bottom w:val="none" w:sz="0" w:space="0" w:color="auto"/>
                    <w:right w:val="none" w:sz="0" w:space="0" w:color="auto"/>
                  </w:divBdr>
                  <w:divsChild>
                    <w:div w:id="8915630">
                      <w:marLeft w:val="0"/>
                      <w:marRight w:val="0"/>
                      <w:marTop w:val="0"/>
                      <w:marBottom w:val="0"/>
                      <w:divBdr>
                        <w:top w:val="none" w:sz="0" w:space="0" w:color="auto"/>
                        <w:left w:val="none" w:sz="0" w:space="0" w:color="auto"/>
                        <w:bottom w:val="none" w:sz="0" w:space="0" w:color="auto"/>
                        <w:right w:val="none" w:sz="0" w:space="0" w:color="auto"/>
                      </w:divBdr>
                    </w:div>
                    <w:div w:id="139814185">
                      <w:marLeft w:val="0"/>
                      <w:marRight w:val="0"/>
                      <w:marTop w:val="0"/>
                      <w:marBottom w:val="0"/>
                      <w:divBdr>
                        <w:top w:val="none" w:sz="0" w:space="0" w:color="auto"/>
                        <w:left w:val="none" w:sz="0" w:space="0" w:color="auto"/>
                        <w:bottom w:val="none" w:sz="0" w:space="0" w:color="auto"/>
                        <w:right w:val="none" w:sz="0" w:space="0" w:color="auto"/>
                      </w:divBdr>
                    </w:div>
                    <w:div w:id="168063007">
                      <w:marLeft w:val="0"/>
                      <w:marRight w:val="0"/>
                      <w:marTop w:val="0"/>
                      <w:marBottom w:val="0"/>
                      <w:divBdr>
                        <w:top w:val="none" w:sz="0" w:space="0" w:color="auto"/>
                        <w:left w:val="none" w:sz="0" w:space="0" w:color="auto"/>
                        <w:bottom w:val="none" w:sz="0" w:space="0" w:color="auto"/>
                        <w:right w:val="none" w:sz="0" w:space="0" w:color="auto"/>
                      </w:divBdr>
                    </w:div>
                    <w:div w:id="1323503718">
                      <w:marLeft w:val="0"/>
                      <w:marRight w:val="0"/>
                      <w:marTop w:val="0"/>
                      <w:marBottom w:val="0"/>
                      <w:divBdr>
                        <w:top w:val="none" w:sz="0" w:space="0" w:color="auto"/>
                        <w:left w:val="none" w:sz="0" w:space="0" w:color="auto"/>
                        <w:bottom w:val="none" w:sz="0" w:space="0" w:color="auto"/>
                        <w:right w:val="none" w:sz="0" w:space="0" w:color="auto"/>
                      </w:divBdr>
                    </w:div>
                    <w:div w:id="1494182369">
                      <w:marLeft w:val="0"/>
                      <w:marRight w:val="0"/>
                      <w:marTop w:val="0"/>
                      <w:marBottom w:val="0"/>
                      <w:divBdr>
                        <w:top w:val="none" w:sz="0" w:space="0" w:color="auto"/>
                        <w:left w:val="none" w:sz="0" w:space="0" w:color="auto"/>
                        <w:bottom w:val="none" w:sz="0" w:space="0" w:color="auto"/>
                        <w:right w:val="none" w:sz="0" w:space="0" w:color="auto"/>
                      </w:divBdr>
                    </w:div>
                  </w:divsChild>
                </w:div>
                <w:div w:id="1801456317">
                  <w:marLeft w:val="0"/>
                  <w:marRight w:val="0"/>
                  <w:marTop w:val="0"/>
                  <w:marBottom w:val="0"/>
                  <w:divBdr>
                    <w:top w:val="none" w:sz="0" w:space="0" w:color="auto"/>
                    <w:left w:val="none" w:sz="0" w:space="0" w:color="auto"/>
                    <w:bottom w:val="none" w:sz="0" w:space="0" w:color="auto"/>
                    <w:right w:val="none" w:sz="0" w:space="0" w:color="auto"/>
                  </w:divBdr>
                  <w:divsChild>
                    <w:div w:id="449397173">
                      <w:marLeft w:val="0"/>
                      <w:marRight w:val="0"/>
                      <w:marTop w:val="0"/>
                      <w:marBottom w:val="0"/>
                      <w:divBdr>
                        <w:top w:val="none" w:sz="0" w:space="0" w:color="auto"/>
                        <w:left w:val="none" w:sz="0" w:space="0" w:color="auto"/>
                        <w:bottom w:val="none" w:sz="0" w:space="0" w:color="auto"/>
                        <w:right w:val="none" w:sz="0" w:space="0" w:color="auto"/>
                      </w:divBdr>
                    </w:div>
                  </w:divsChild>
                </w:div>
                <w:div w:id="1832864244">
                  <w:marLeft w:val="0"/>
                  <w:marRight w:val="0"/>
                  <w:marTop w:val="0"/>
                  <w:marBottom w:val="0"/>
                  <w:divBdr>
                    <w:top w:val="none" w:sz="0" w:space="0" w:color="auto"/>
                    <w:left w:val="none" w:sz="0" w:space="0" w:color="auto"/>
                    <w:bottom w:val="none" w:sz="0" w:space="0" w:color="auto"/>
                    <w:right w:val="none" w:sz="0" w:space="0" w:color="auto"/>
                  </w:divBdr>
                  <w:divsChild>
                    <w:div w:id="316034486">
                      <w:marLeft w:val="0"/>
                      <w:marRight w:val="0"/>
                      <w:marTop w:val="0"/>
                      <w:marBottom w:val="0"/>
                      <w:divBdr>
                        <w:top w:val="none" w:sz="0" w:space="0" w:color="auto"/>
                        <w:left w:val="none" w:sz="0" w:space="0" w:color="auto"/>
                        <w:bottom w:val="none" w:sz="0" w:space="0" w:color="auto"/>
                        <w:right w:val="none" w:sz="0" w:space="0" w:color="auto"/>
                      </w:divBdr>
                    </w:div>
                  </w:divsChild>
                </w:div>
                <w:div w:id="1849707364">
                  <w:marLeft w:val="0"/>
                  <w:marRight w:val="0"/>
                  <w:marTop w:val="0"/>
                  <w:marBottom w:val="0"/>
                  <w:divBdr>
                    <w:top w:val="none" w:sz="0" w:space="0" w:color="auto"/>
                    <w:left w:val="none" w:sz="0" w:space="0" w:color="auto"/>
                    <w:bottom w:val="none" w:sz="0" w:space="0" w:color="auto"/>
                    <w:right w:val="none" w:sz="0" w:space="0" w:color="auto"/>
                  </w:divBdr>
                  <w:divsChild>
                    <w:div w:id="1217546782">
                      <w:marLeft w:val="0"/>
                      <w:marRight w:val="0"/>
                      <w:marTop w:val="0"/>
                      <w:marBottom w:val="0"/>
                      <w:divBdr>
                        <w:top w:val="none" w:sz="0" w:space="0" w:color="auto"/>
                        <w:left w:val="none" w:sz="0" w:space="0" w:color="auto"/>
                        <w:bottom w:val="none" w:sz="0" w:space="0" w:color="auto"/>
                        <w:right w:val="none" w:sz="0" w:space="0" w:color="auto"/>
                      </w:divBdr>
                    </w:div>
                  </w:divsChild>
                </w:div>
                <w:div w:id="1872717003">
                  <w:marLeft w:val="0"/>
                  <w:marRight w:val="0"/>
                  <w:marTop w:val="0"/>
                  <w:marBottom w:val="0"/>
                  <w:divBdr>
                    <w:top w:val="none" w:sz="0" w:space="0" w:color="auto"/>
                    <w:left w:val="none" w:sz="0" w:space="0" w:color="auto"/>
                    <w:bottom w:val="none" w:sz="0" w:space="0" w:color="auto"/>
                    <w:right w:val="none" w:sz="0" w:space="0" w:color="auto"/>
                  </w:divBdr>
                  <w:divsChild>
                    <w:div w:id="1787653534">
                      <w:marLeft w:val="0"/>
                      <w:marRight w:val="0"/>
                      <w:marTop w:val="0"/>
                      <w:marBottom w:val="0"/>
                      <w:divBdr>
                        <w:top w:val="none" w:sz="0" w:space="0" w:color="auto"/>
                        <w:left w:val="none" w:sz="0" w:space="0" w:color="auto"/>
                        <w:bottom w:val="none" w:sz="0" w:space="0" w:color="auto"/>
                        <w:right w:val="none" w:sz="0" w:space="0" w:color="auto"/>
                      </w:divBdr>
                    </w:div>
                  </w:divsChild>
                </w:div>
                <w:div w:id="1874224680">
                  <w:marLeft w:val="0"/>
                  <w:marRight w:val="0"/>
                  <w:marTop w:val="0"/>
                  <w:marBottom w:val="0"/>
                  <w:divBdr>
                    <w:top w:val="none" w:sz="0" w:space="0" w:color="auto"/>
                    <w:left w:val="none" w:sz="0" w:space="0" w:color="auto"/>
                    <w:bottom w:val="none" w:sz="0" w:space="0" w:color="auto"/>
                    <w:right w:val="none" w:sz="0" w:space="0" w:color="auto"/>
                  </w:divBdr>
                  <w:divsChild>
                    <w:div w:id="1574048335">
                      <w:marLeft w:val="0"/>
                      <w:marRight w:val="0"/>
                      <w:marTop w:val="0"/>
                      <w:marBottom w:val="0"/>
                      <w:divBdr>
                        <w:top w:val="none" w:sz="0" w:space="0" w:color="auto"/>
                        <w:left w:val="none" w:sz="0" w:space="0" w:color="auto"/>
                        <w:bottom w:val="none" w:sz="0" w:space="0" w:color="auto"/>
                        <w:right w:val="none" w:sz="0" w:space="0" w:color="auto"/>
                      </w:divBdr>
                    </w:div>
                  </w:divsChild>
                </w:div>
                <w:div w:id="1910192786">
                  <w:marLeft w:val="0"/>
                  <w:marRight w:val="0"/>
                  <w:marTop w:val="0"/>
                  <w:marBottom w:val="0"/>
                  <w:divBdr>
                    <w:top w:val="none" w:sz="0" w:space="0" w:color="auto"/>
                    <w:left w:val="none" w:sz="0" w:space="0" w:color="auto"/>
                    <w:bottom w:val="none" w:sz="0" w:space="0" w:color="auto"/>
                    <w:right w:val="none" w:sz="0" w:space="0" w:color="auto"/>
                  </w:divBdr>
                  <w:divsChild>
                    <w:div w:id="1739814957">
                      <w:marLeft w:val="0"/>
                      <w:marRight w:val="0"/>
                      <w:marTop w:val="0"/>
                      <w:marBottom w:val="0"/>
                      <w:divBdr>
                        <w:top w:val="none" w:sz="0" w:space="0" w:color="auto"/>
                        <w:left w:val="none" w:sz="0" w:space="0" w:color="auto"/>
                        <w:bottom w:val="none" w:sz="0" w:space="0" w:color="auto"/>
                        <w:right w:val="none" w:sz="0" w:space="0" w:color="auto"/>
                      </w:divBdr>
                    </w:div>
                  </w:divsChild>
                </w:div>
                <w:div w:id="1924558306">
                  <w:marLeft w:val="0"/>
                  <w:marRight w:val="0"/>
                  <w:marTop w:val="0"/>
                  <w:marBottom w:val="0"/>
                  <w:divBdr>
                    <w:top w:val="none" w:sz="0" w:space="0" w:color="auto"/>
                    <w:left w:val="none" w:sz="0" w:space="0" w:color="auto"/>
                    <w:bottom w:val="none" w:sz="0" w:space="0" w:color="auto"/>
                    <w:right w:val="none" w:sz="0" w:space="0" w:color="auto"/>
                  </w:divBdr>
                  <w:divsChild>
                    <w:div w:id="816653664">
                      <w:marLeft w:val="0"/>
                      <w:marRight w:val="0"/>
                      <w:marTop w:val="0"/>
                      <w:marBottom w:val="0"/>
                      <w:divBdr>
                        <w:top w:val="none" w:sz="0" w:space="0" w:color="auto"/>
                        <w:left w:val="none" w:sz="0" w:space="0" w:color="auto"/>
                        <w:bottom w:val="none" w:sz="0" w:space="0" w:color="auto"/>
                        <w:right w:val="none" w:sz="0" w:space="0" w:color="auto"/>
                      </w:divBdr>
                    </w:div>
                  </w:divsChild>
                </w:div>
                <w:div w:id="1928877189">
                  <w:marLeft w:val="0"/>
                  <w:marRight w:val="0"/>
                  <w:marTop w:val="0"/>
                  <w:marBottom w:val="0"/>
                  <w:divBdr>
                    <w:top w:val="none" w:sz="0" w:space="0" w:color="auto"/>
                    <w:left w:val="none" w:sz="0" w:space="0" w:color="auto"/>
                    <w:bottom w:val="none" w:sz="0" w:space="0" w:color="auto"/>
                    <w:right w:val="none" w:sz="0" w:space="0" w:color="auto"/>
                  </w:divBdr>
                  <w:divsChild>
                    <w:div w:id="152910785">
                      <w:marLeft w:val="0"/>
                      <w:marRight w:val="0"/>
                      <w:marTop w:val="0"/>
                      <w:marBottom w:val="0"/>
                      <w:divBdr>
                        <w:top w:val="none" w:sz="0" w:space="0" w:color="auto"/>
                        <w:left w:val="none" w:sz="0" w:space="0" w:color="auto"/>
                        <w:bottom w:val="none" w:sz="0" w:space="0" w:color="auto"/>
                        <w:right w:val="none" w:sz="0" w:space="0" w:color="auto"/>
                      </w:divBdr>
                    </w:div>
                  </w:divsChild>
                </w:div>
                <w:div w:id="1945065158">
                  <w:marLeft w:val="0"/>
                  <w:marRight w:val="0"/>
                  <w:marTop w:val="0"/>
                  <w:marBottom w:val="0"/>
                  <w:divBdr>
                    <w:top w:val="none" w:sz="0" w:space="0" w:color="auto"/>
                    <w:left w:val="none" w:sz="0" w:space="0" w:color="auto"/>
                    <w:bottom w:val="none" w:sz="0" w:space="0" w:color="auto"/>
                    <w:right w:val="none" w:sz="0" w:space="0" w:color="auto"/>
                  </w:divBdr>
                  <w:divsChild>
                    <w:div w:id="813370061">
                      <w:marLeft w:val="0"/>
                      <w:marRight w:val="0"/>
                      <w:marTop w:val="0"/>
                      <w:marBottom w:val="0"/>
                      <w:divBdr>
                        <w:top w:val="none" w:sz="0" w:space="0" w:color="auto"/>
                        <w:left w:val="none" w:sz="0" w:space="0" w:color="auto"/>
                        <w:bottom w:val="none" w:sz="0" w:space="0" w:color="auto"/>
                        <w:right w:val="none" w:sz="0" w:space="0" w:color="auto"/>
                      </w:divBdr>
                    </w:div>
                  </w:divsChild>
                </w:div>
                <w:div w:id="1961378175">
                  <w:marLeft w:val="0"/>
                  <w:marRight w:val="0"/>
                  <w:marTop w:val="0"/>
                  <w:marBottom w:val="0"/>
                  <w:divBdr>
                    <w:top w:val="none" w:sz="0" w:space="0" w:color="auto"/>
                    <w:left w:val="none" w:sz="0" w:space="0" w:color="auto"/>
                    <w:bottom w:val="none" w:sz="0" w:space="0" w:color="auto"/>
                    <w:right w:val="none" w:sz="0" w:space="0" w:color="auto"/>
                  </w:divBdr>
                  <w:divsChild>
                    <w:div w:id="1079640754">
                      <w:marLeft w:val="0"/>
                      <w:marRight w:val="0"/>
                      <w:marTop w:val="0"/>
                      <w:marBottom w:val="0"/>
                      <w:divBdr>
                        <w:top w:val="none" w:sz="0" w:space="0" w:color="auto"/>
                        <w:left w:val="none" w:sz="0" w:space="0" w:color="auto"/>
                        <w:bottom w:val="none" w:sz="0" w:space="0" w:color="auto"/>
                        <w:right w:val="none" w:sz="0" w:space="0" w:color="auto"/>
                      </w:divBdr>
                    </w:div>
                  </w:divsChild>
                </w:div>
                <w:div w:id="1964998514">
                  <w:marLeft w:val="0"/>
                  <w:marRight w:val="0"/>
                  <w:marTop w:val="0"/>
                  <w:marBottom w:val="0"/>
                  <w:divBdr>
                    <w:top w:val="none" w:sz="0" w:space="0" w:color="auto"/>
                    <w:left w:val="none" w:sz="0" w:space="0" w:color="auto"/>
                    <w:bottom w:val="none" w:sz="0" w:space="0" w:color="auto"/>
                    <w:right w:val="none" w:sz="0" w:space="0" w:color="auto"/>
                  </w:divBdr>
                  <w:divsChild>
                    <w:div w:id="833567107">
                      <w:marLeft w:val="0"/>
                      <w:marRight w:val="0"/>
                      <w:marTop w:val="0"/>
                      <w:marBottom w:val="0"/>
                      <w:divBdr>
                        <w:top w:val="none" w:sz="0" w:space="0" w:color="auto"/>
                        <w:left w:val="none" w:sz="0" w:space="0" w:color="auto"/>
                        <w:bottom w:val="none" w:sz="0" w:space="0" w:color="auto"/>
                        <w:right w:val="none" w:sz="0" w:space="0" w:color="auto"/>
                      </w:divBdr>
                    </w:div>
                  </w:divsChild>
                </w:div>
                <w:div w:id="1969584532">
                  <w:marLeft w:val="0"/>
                  <w:marRight w:val="0"/>
                  <w:marTop w:val="0"/>
                  <w:marBottom w:val="0"/>
                  <w:divBdr>
                    <w:top w:val="none" w:sz="0" w:space="0" w:color="auto"/>
                    <w:left w:val="none" w:sz="0" w:space="0" w:color="auto"/>
                    <w:bottom w:val="none" w:sz="0" w:space="0" w:color="auto"/>
                    <w:right w:val="none" w:sz="0" w:space="0" w:color="auto"/>
                  </w:divBdr>
                  <w:divsChild>
                    <w:div w:id="881944099">
                      <w:marLeft w:val="0"/>
                      <w:marRight w:val="0"/>
                      <w:marTop w:val="0"/>
                      <w:marBottom w:val="0"/>
                      <w:divBdr>
                        <w:top w:val="none" w:sz="0" w:space="0" w:color="auto"/>
                        <w:left w:val="none" w:sz="0" w:space="0" w:color="auto"/>
                        <w:bottom w:val="none" w:sz="0" w:space="0" w:color="auto"/>
                        <w:right w:val="none" w:sz="0" w:space="0" w:color="auto"/>
                      </w:divBdr>
                    </w:div>
                  </w:divsChild>
                </w:div>
                <w:div w:id="1979214323">
                  <w:marLeft w:val="0"/>
                  <w:marRight w:val="0"/>
                  <w:marTop w:val="0"/>
                  <w:marBottom w:val="0"/>
                  <w:divBdr>
                    <w:top w:val="none" w:sz="0" w:space="0" w:color="auto"/>
                    <w:left w:val="none" w:sz="0" w:space="0" w:color="auto"/>
                    <w:bottom w:val="none" w:sz="0" w:space="0" w:color="auto"/>
                    <w:right w:val="none" w:sz="0" w:space="0" w:color="auto"/>
                  </w:divBdr>
                  <w:divsChild>
                    <w:div w:id="1216117575">
                      <w:marLeft w:val="0"/>
                      <w:marRight w:val="0"/>
                      <w:marTop w:val="0"/>
                      <w:marBottom w:val="0"/>
                      <w:divBdr>
                        <w:top w:val="none" w:sz="0" w:space="0" w:color="auto"/>
                        <w:left w:val="none" w:sz="0" w:space="0" w:color="auto"/>
                        <w:bottom w:val="none" w:sz="0" w:space="0" w:color="auto"/>
                        <w:right w:val="none" w:sz="0" w:space="0" w:color="auto"/>
                      </w:divBdr>
                    </w:div>
                  </w:divsChild>
                </w:div>
                <w:div w:id="2009476053">
                  <w:marLeft w:val="0"/>
                  <w:marRight w:val="0"/>
                  <w:marTop w:val="0"/>
                  <w:marBottom w:val="0"/>
                  <w:divBdr>
                    <w:top w:val="none" w:sz="0" w:space="0" w:color="auto"/>
                    <w:left w:val="none" w:sz="0" w:space="0" w:color="auto"/>
                    <w:bottom w:val="none" w:sz="0" w:space="0" w:color="auto"/>
                    <w:right w:val="none" w:sz="0" w:space="0" w:color="auto"/>
                  </w:divBdr>
                  <w:divsChild>
                    <w:div w:id="331835773">
                      <w:marLeft w:val="0"/>
                      <w:marRight w:val="0"/>
                      <w:marTop w:val="0"/>
                      <w:marBottom w:val="0"/>
                      <w:divBdr>
                        <w:top w:val="none" w:sz="0" w:space="0" w:color="auto"/>
                        <w:left w:val="none" w:sz="0" w:space="0" w:color="auto"/>
                        <w:bottom w:val="none" w:sz="0" w:space="0" w:color="auto"/>
                        <w:right w:val="none" w:sz="0" w:space="0" w:color="auto"/>
                      </w:divBdr>
                    </w:div>
                  </w:divsChild>
                </w:div>
                <w:div w:id="2018849027">
                  <w:marLeft w:val="0"/>
                  <w:marRight w:val="0"/>
                  <w:marTop w:val="0"/>
                  <w:marBottom w:val="0"/>
                  <w:divBdr>
                    <w:top w:val="none" w:sz="0" w:space="0" w:color="auto"/>
                    <w:left w:val="none" w:sz="0" w:space="0" w:color="auto"/>
                    <w:bottom w:val="none" w:sz="0" w:space="0" w:color="auto"/>
                    <w:right w:val="none" w:sz="0" w:space="0" w:color="auto"/>
                  </w:divBdr>
                  <w:divsChild>
                    <w:div w:id="365716086">
                      <w:marLeft w:val="0"/>
                      <w:marRight w:val="0"/>
                      <w:marTop w:val="0"/>
                      <w:marBottom w:val="0"/>
                      <w:divBdr>
                        <w:top w:val="none" w:sz="0" w:space="0" w:color="auto"/>
                        <w:left w:val="none" w:sz="0" w:space="0" w:color="auto"/>
                        <w:bottom w:val="none" w:sz="0" w:space="0" w:color="auto"/>
                        <w:right w:val="none" w:sz="0" w:space="0" w:color="auto"/>
                      </w:divBdr>
                    </w:div>
                  </w:divsChild>
                </w:div>
                <w:div w:id="2018925550">
                  <w:marLeft w:val="0"/>
                  <w:marRight w:val="0"/>
                  <w:marTop w:val="0"/>
                  <w:marBottom w:val="0"/>
                  <w:divBdr>
                    <w:top w:val="none" w:sz="0" w:space="0" w:color="auto"/>
                    <w:left w:val="none" w:sz="0" w:space="0" w:color="auto"/>
                    <w:bottom w:val="none" w:sz="0" w:space="0" w:color="auto"/>
                    <w:right w:val="none" w:sz="0" w:space="0" w:color="auto"/>
                  </w:divBdr>
                  <w:divsChild>
                    <w:div w:id="1612205732">
                      <w:marLeft w:val="0"/>
                      <w:marRight w:val="0"/>
                      <w:marTop w:val="0"/>
                      <w:marBottom w:val="0"/>
                      <w:divBdr>
                        <w:top w:val="none" w:sz="0" w:space="0" w:color="auto"/>
                        <w:left w:val="none" w:sz="0" w:space="0" w:color="auto"/>
                        <w:bottom w:val="none" w:sz="0" w:space="0" w:color="auto"/>
                        <w:right w:val="none" w:sz="0" w:space="0" w:color="auto"/>
                      </w:divBdr>
                    </w:div>
                  </w:divsChild>
                </w:div>
                <w:div w:id="2064058090">
                  <w:marLeft w:val="0"/>
                  <w:marRight w:val="0"/>
                  <w:marTop w:val="0"/>
                  <w:marBottom w:val="0"/>
                  <w:divBdr>
                    <w:top w:val="none" w:sz="0" w:space="0" w:color="auto"/>
                    <w:left w:val="none" w:sz="0" w:space="0" w:color="auto"/>
                    <w:bottom w:val="none" w:sz="0" w:space="0" w:color="auto"/>
                    <w:right w:val="none" w:sz="0" w:space="0" w:color="auto"/>
                  </w:divBdr>
                  <w:divsChild>
                    <w:div w:id="923807447">
                      <w:marLeft w:val="0"/>
                      <w:marRight w:val="0"/>
                      <w:marTop w:val="0"/>
                      <w:marBottom w:val="0"/>
                      <w:divBdr>
                        <w:top w:val="none" w:sz="0" w:space="0" w:color="auto"/>
                        <w:left w:val="none" w:sz="0" w:space="0" w:color="auto"/>
                        <w:bottom w:val="none" w:sz="0" w:space="0" w:color="auto"/>
                        <w:right w:val="none" w:sz="0" w:space="0" w:color="auto"/>
                      </w:divBdr>
                    </w:div>
                  </w:divsChild>
                </w:div>
                <w:div w:id="2087872681">
                  <w:marLeft w:val="0"/>
                  <w:marRight w:val="0"/>
                  <w:marTop w:val="0"/>
                  <w:marBottom w:val="0"/>
                  <w:divBdr>
                    <w:top w:val="none" w:sz="0" w:space="0" w:color="auto"/>
                    <w:left w:val="none" w:sz="0" w:space="0" w:color="auto"/>
                    <w:bottom w:val="none" w:sz="0" w:space="0" w:color="auto"/>
                    <w:right w:val="none" w:sz="0" w:space="0" w:color="auto"/>
                  </w:divBdr>
                  <w:divsChild>
                    <w:div w:id="568811780">
                      <w:marLeft w:val="0"/>
                      <w:marRight w:val="0"/>
                      <w:marTop w:val="0"/>
                      <w:marBottom w:val="0"/>
                      <w:divBdr>
                        <w:top w:val="none" w:sz="0" w:space="0" w:color="auto"/>
                        <w:left w:val="none" w:sz="0" w:space="0" w:color="auto"/>
                        <w:bottom w:val="none" w:sz="0" w:space="0" w:color="auto"/>
                        <w:right w:val="none" w:sz="0" w:space="0" w:color="auto"/>
                      </w:divBdr>
                    </w:div>
                  </w:divsChild>
                </w:div>
                <w:div w:id="2132816118">
                  <w:marLeft w:val="0"/>
                  <w:marRight w:val="0"/>
                  <w:marTop w:val="0"/>
                  <w:marBottom w:val="0"/>
                  <w:divBdr>
                    <w:top w:val="none" w:sz="0" w:space="0" w:color="auto"/>
                    <w:left w:val="none" w:sz="0" w:space="0" w:color="auto"/>
                    <w:bottom w:val="none" w:sz="0" w:space="0" w:color="auto"/>
                    <w:right w:val="none" w:sz="0" w:space="0" w:color="auto"/>
                  </w:divBdr>
                  <w:divsChild>
                    <w:div w:id="121138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751643">
          <w:marLeft w:val="0"/>
          <w:marRight w:val="0"/>
          <w:marTop w:val="0"/>
          <w:marBottom w:val="0"/>
          <w:divBdr>
            <w:top w:val="none" w:sz="0" w:space="0" w:color="auto"/>
            <w:left w:val="none" w:sz="0" w:space="0" w:color="auto"/>
            <w:bottom w:val="none" w:sz="0" w:space="0" w:color="auto"/>
            <w:right w:val="none" w:sz="0" w:space="0" w:color="auto"/>
          </w:divBdr>
        </w:div>
        <w:div w:id="732043919">
          <w:marLeft w:val="0"/>
          <w:marRight w:val="0"/>
          <w:marTop w:val="0"/>
          <w:marBottom w:val="0"/>
          <w:divBdr>
            <w:top w:val="none" w:sz="0" w:space="0" w:color="auto"/>
            <w:left w:val="none" w:sz="0" w:space="0" w:color="auto"/>
            <w:bottom w:val="none" w:sz="0" w:space="0" w:color="auto"/>
            <w:right w:val="none" w:sz="0" w:space="0" w:color="auto"/>
          </w:divBdr>
        </w:div>
        <w:div w:id="740180204">
          <w:marLeft w:val="0"/>
          <w:marRight w:val="0"/>
          <w:marTop w:val="0"/>
          <w:marBottom w:val="0"/>
          <w:divBdr>
            <w:top w:val="none" w:sz="0" w:space="0" w:color="auto"/>
            <w:left w:val="none" w:sz="0" w:space="0" w:color="auto"/>
            <w:bottom w:val="none" w:sz="0" w:space="0" w:color="auto"/>
            <w:right w:val="none" w:sz="0" w:space="0" w:color="auto"/>
          </w:divBdr>
          <w:divsChild>
            <w:div w:id="123279296">
              <w:marLeft w:val="0"/>
              <w:marRight w:val="0"/>
              <w:marTop w:val="0"/>
              <w:marBottom w:val="0"/>
              <w:divBdr>
                <w:top w:val="none" w:sz="0" w:space="0" w:color="auto"/>
                <w:left w:val="none" w:sz="0" w:space="0" w:color="auto"/>
                <w:bottom w:val="none" w:sz="0" w:space="0" w:color="auto"/>
                <w:right w:val="none" w:sz="0" w:space="0" w:color="auto"/>
              </w:divBdr>
            </w:div>
          </w:divsChild>
        </w:div>
        <w:div w:id="749427547">
          <w:marLeft w:val="0"/>
          <w:marRight w:val="0"/>
          <w:marTop w:val="0"/>
          <w:marBottom w:val="0"/>
          <w:divBdr>
            <w:top w:val="none" w:sz="0" w:space="0" w:color="auto"/>
            <w:left w:val="none" w:sz="0" w:space="0" w:color="auto"/>
            <w:bottom w:val="none" w:sz="0" w:space="0" w:color="auto"/>
            <w:right w:val="none" w:sz="0" w:space="0" w:color="auto"/>
          </w:divBdr>
          <w:divsChild>
            <w:div w:id="893271402">
              <w:marLeft w:val="-75"/>
              <w:marRight w:val="0"/>
              <w:marTop w:val="30"/>
              <w:marBottom w:val="30"/>
              <w:divBdr>
                <w:top w:val="none" w:sz="0" w:space="0" w:color="auto"/>
                <w:left w:val="none" w:sz="0" w:space="0" w:color="auto"/>
                <w:bottom w:val="none" w:sz="0" w:space="0" w:color="auto"/>
                <w:right w:val="none" w:sz="0" w:space="0" w:color="auto"/>
              </w:divBdr>
              <w:divsChild>
                <w:div w:id="8459005">
                  <w:marLeft w:val="0"/>
                  <w:marRight w:val="0"/>
                  <w:marTop w:val="0"/>
                  <w:marBottom w:val="0"/>
                  <w:divBdr>
                    <w:top w:val="none" w:sz="0" w:space="0" w:color="auto"/>
                    <w:left w:val="none" w:sz="0" w:space="0" w:color="auto"/>
                    <w:bottom w:val="none" w:sz="0" w:space="0" w:color="auto"/>
                    <w:right w:val="none" w:sz="0" w:space="0" w:color="auto"/>
                  </w:divBdr>
                  <w:divsChild>
                    <w:div w:id="1565335484">
                      <w:marLeft w:val="0"/>
                      <w:marRight w:val="0"/>
                      <w:marTop w:val="0"/>
                      <w:marBottom w:val="0"/>
                      <w:divBdr>
                        <w:top w:val="none" w:sz="0" w:space="0" w:color="auto"/>
                        <w:left w:val="none" w:sz="0" w:space="0" w:color="auto"/>
                        <w:bottom w:val="none" w:sz="0" w:space="0" w:color="auto"/>
                        <w:right w:val="none" w:sz="0" w:space="0" w:color="auto"/>
                      </w:divBdr>
                    </w:div>
                  </w:divsChild>
                </w:div>
                <w:div w:id="11802705">
                  <w:marLeft w:val="0"/>
                  <w:marRight w:val="0"/>
                  <w:marTop w:val="0"/>
                  <w:marBottom w:val="0"/>
                  <w:divBdr>
                    <w:top w:val="none" w:sz="0" w:space="0" w:color="auto"/>
                    <w:left w:val="none" w:sz="0" w:space="0" w:color="auto"/>
                    <w:bottom w:val="none" w:sz="0" w:space="0" w:color="auto"/>
                    <w:right w:val="none" w:sz="0" w:space="0" w:color="auto"/>
                  </w:divBdr>
                  <w:divsChild>
                    <w:div w:id="1412503520">
                      <w:marLeft w:val="0"/>
                      <w:marRight w:val="0"/>
                      <w:marTop w:val="0"/>
                      <w:marBottom w:val="0"/>
                      <w:divBdr>
                        <w:top w:val="none" w:sz="0" w:space="0" w:color="auto"/>
                        <w:left w:val="none" w:sz="0" w:space="0" w:color="auto"/>
                        <w:bottom w:val="none" w:sz="0" w:space="0" w:color="auto"/>
                        <w:right w:val="none" w:sz="0" w:space="0" w:color="auto"/>
                      </w:divBdr>
                    </w:div>
                  </w:divsChild>
                </w:div>
                <w:div w:id="54283638">
                  <w:marLeft w:val="0"/>
                  <w:marRight w:val="0"/>
                  <w:marTop w:val="0"/>
                  <w:marBottom w:val="0"/>
                  <w:divBdr>
                    <w:top w:val="none" w:sz="0" w:space="0" w:color="auto"/>
                    <w:left w:val="none" w:sz="0" w:space="0" w:color="auto"/>
                    <w:bottom w:val="none" w:sz="0" w:space="0" w:color="auto"/>
                    <w:right w:val="none" w:sz="0" w:space="0" w:color="auto"/>
                  </w:divBdr>
                  <w:divsChild>
                    <w:div w:id="809437925">
                      <w:marLeft w:val="0"/>
                      <w:marRight w:val="0"/>
                      <w:marTop w:val="0"/>
                      <w:marBottom w:val="0"/>
                      <w:divBdr>
                        <w:top w:val="none" w:sz="0" w:space="0" w:color="auto"/>
                        <w:left w:val="none" w:sz="0" w:space="0" w:color="auto"/>
                        <w:bottom w:val="none" w:sz="0" w:space="0" w:color="auto"/>
                        <w:right w:val="none" w:sz="0" w:space="0" w:color="auto"/>
                      </w:divBdr>
                    </w:div>
                  </w:divsChild>
                </w:div>
                <w:div w:id="119569434">
                  <w:marLeft w:val="0"/>
                  <w:marRight w:val="0"/>
                  <w:marTop w:val="0"/>
                  <w:marBottom w:val="0"/>
                  <w:divBdr>
                    <w:top w:val="none" w:sz="0" w:space="0" w:color="auto"/>
                    <w:left w:val="none" w:sz="0" w:space="0" w:color="auto"/>
                    <w:bottom w:val="none" w:sz="0" w:space="0" w:color="auto"/>
                    <w:right w:val="none" w:sz="0" w:space="0" w:color="auto"/>
                  </w:divBdr>
                  <w:divsChild>
                    <w:div w:id="2072540829">
                      <w:marLeft w:val="0"/>
                      <w:marRight w:val="0"/>
                      <w:marTop w:val="0"/>
                      <w:marBottom w:val="0"/>
                      <w:divBdr>
                        <w:top w:val="none" w:sz="0" w:space="0" w:color="auto"/>
                        <w:left w:val="none" w:sz="0" w:space="0" w:color="auto"/>
                        <w:bottom w:val="none" w:sz="0" w:space="0" w:color="auto"/>
                        <w:right w:val="none" w:sz="0" w:space="0" w:color="auto"/>
                      </w:divBdr>
                    </w:div>
                  </w:divsChild>
                </w:div>
                <w:div w:id="193273433">
                  <w:marLeft w:val="0"/>
                  <w:marRight w:val="0"/>
                  <w:marTop w:val="0"/>
                  <w:marBottom w:val="0"/>
                  <w:divBdr>
                    <w:top w:val="none" w:sz="0" w:space="0" w:color="auto"/>
                    <w:left w:val="none" w:sz="0" w:space="0" w:color="auto"/>
                    <w:bottom w:val="none" w:sz="0" w:space="0" w:color="auto"/>
                    <w:right w:val="none" w:sz="0" w:space="0" w:color="auto"/>
                  </w:divBdr>
                  <w:divsChild>
                    <w:div w:id="852647149">
                      <w:marLeft w:val="0"/>
                      <w:marRight w:val="0"/>
                      <w:marTop w:val="0"/>
                      <w:marBottom w:val="0"/>
                      <w:divBdr>
                        <w:top w:val="none" w:sz="0" w:space="0" w:color="auto"/>
                        <w:left w:val="none" w:sz="0" w:space="0" w:color="auto"/>
                        <w:bottom w:val="none" w:sz="0" w:space="0" w:color="auto"/>
                        <w:right w:val="none" w:sz="0" w:space="0" w:color="auto"/>
                      </w:divBdr>
                    </w:div>
                  </w:divsChild>
                </w:div>
                <w:div w:id="417095037">
                  <w:marLeft w:val="0"/>
                  <w:marRight w:val="0"/>
                  <w:marTop w:val="0"/>
                  <w:marBottom w:val="0"/>
                  <w:divBdr>
                    <w:top w:val="none" w:sz="0" w:space="0" w:color="auto"/>
                    <w:left w:val="none" w:sz="0" w:space="0" w:color="auto"/>
                    <w:bottom w:val="none" w:sz="0" w:space="0" w:color="auto"/>
                    <w:right w:val="none" w:sz="0" w:space="0" w:color="auto"/>
                  </w:divBdr>
                  <w:divsChild>
                    <w:div w:id="789129466">
                      <w:marLeft w:val="0"/>
                      <w:marRight w:val="0"/>
                      <w:marTop w:val="0"/>
                      <w:marBottom w:val="0"/>
                      <w:divBdr>
                        <w:top w:val="none" w:sz="0" w:space="0" w:color="auto"/>
                        <w:left w:val="none" w:sz="0" w:space="0" w:color="auto"/>
                        <w:bottom w:val="none" w:sz="0" w:space="0" w:color="auto"/>
                        <w:right w:val="none" w:sz="0" w:space="0" w:color="auto"/>
                      </w:divBdr>
                    </w:div>
                  </w:divsChild>
                </w:div>
                <w:div w:id="491797753">
                  <w:marLeft w:val="0"/>
                  <w:marRight w:val="0"/>
                  <w:marTop w:val="0"/>
                  <w:marBottom w:val="0"/>
                  <w:divBdr>
                    <w:top w:val="none" w:sz="0" w:space="0" w:color="auto"/>
                    <w:left w:val="none" w:sz="0" w:space="0" w:color="auto"/>
                    <w:bottom w:val="none" w:sz="0" w:space="0" w:color="auto"/>
                    <w:right w:val="none" w:sz="0" w:space="0" w:color="auto"/>
                  </w:divBdr>
                  <w:divsChild>
                    <w:div w:id="2104373873">
                      <w:marLeft w:val="0"/>
                      <w:marRight w:val="0"/>
                      <w:marTop w:val="0"/>
                      <w:marBottom w:val="0"/>
                      <w:divBdr>
                        <w:top w:val="none" w:sz="0" w:space="0" w:color="auto"/>
                        <w:left w:val="none" w:sz="0" w:space="0" w:color="auto"/>
                        <w:bottom w:val="none" w:sz="0" w:space="0" w:color="auto"/>
                        <w:right w:val="none" w:sz="0" w:space="0" w:color="auto"/>
                      </w:divBdr>
                    </w:div>
                  </w:divsChild>
                </w:div>
                <w:div w:id="518618648">
                  <w:marLeft w:val="0"/>
                  <w:marRight w:val="0"/>
                  <w:marTop w:val="0"/>
                  <w:marBottom w:val="0"/>
                  <w:divBdr>
                    <w:top w:val="none" w:sz="0" w:space="0" w:color="auto"/>
                    <w:left w:val="none" w:sz="0" w:space="0" w:color="auto"/>
                    <w:bottom w:val="none" w:sz="0" w:space="0" w:color="auto"/>
                    <w:right w:val="none" w:sz="0" w:space="0" w:color="auto"/>
                  </w:divBdr>
                  <w:divsChild>
                    <w:div w:id="1489321218">
                      <w:marLeft w:val="0"/>
                      <w:marRight w:val="0"/>
                      <w:marTop w:val="0"/>
                      <w:marBottom w:val="0"/>
                      <w:divBdr>
                        <w:top w:val="none" w:sz="0" w:space="0" w:color="auto"/>
                        <w:left w:val="none" w:sz="0" w:space="0" w:color="auto"/>
                        <w:bottom w:val="none" w:sz="0" w:space="0" w:color="auto"/>
                        <w:right w:val="none" w:sz="0" w:space="0" w:color="auto"/>
                      </w:divBdr>
                    </w:div>
                  </w:divsChild>
                </w:div>
                <w:div w:id="621619378">
                  <w:marLeft w:val="0"/>
                  <w:marRight w:val="0"/>
                  <w:marTop w:val="0"/>
                  <w:marBottom w:val="0"/>
                  <w:divBdr>
                    <w:top w:val="none" w:sz="0" w:space="0" w:color="auto"/>
                    <w:left w:val="none" w:sz="0" w:space="0" w:color="auto"/>
                    <w:bottom w:val="none" w:sz="0" w:space="0" w:color="auto"/>
                    <w:right w:val="none" w:sz="0" w:space="0" w:color="auto"/>
                  </w:divBdr>
                  <w:divsChild>
                    <w:div w:id="1958563913">
                      <w:marLeft w:val="0"/>
                      <w:marRight w:val="0"/>
                      <w:marTop w:val="0"/>
                      <w:marBottom w:val="0"/>
                      <w:divBdr>
                        <w:top w:val="none" w:sz="0" w:space="0" w:color="auto"/>
                        <w:left w:val="none" w:sz="0" w:space="0" w:color="auto"/>
                        <w:bottom w:val="none" w:sz="0" w:space="0" w:color="auto"/>
                        <w:right w:val="none" w:sz="0" w:space="0" w:color="auto"/>
                      </w:divBdr>
                    </w:div>
                  </w:divsChild>
                </w:div>
                <w:div w:id="1119104392">
                  <w:marLeft w:val="0"/>
                  <w:marRight w:val="0"/>
                  <w:marTop w:val="0"/>
                  <w:marBottom w:val="0"/>
                  <w:divBdr>
                    <w:top w:val="none" w:sz="0" w:space="0" w:color="auto"/>
                    <w:left w:val="none" w:sz="0" w:space="0" w:color="auto"/>
                    <w:bottom w:val="none" w:sz="0" w:space="0" w:color="auto"/>
                    <w:right w:val="none" w:sz="0" w:space="0" w:color="auto"/>
                  </w:divBdr>
                  <w:divsChild>
                    <w:div w:id="1505974166">
                      <w:marLeft w:val="0"/>
                      <w:marRight w:val="0"/>
                      <w:marTop w:val="0"/>
                      <w:marBottom w:val="0"/>
                      <w:divBdr>
                        <w:top w:val="none" w:sz="0" w:space="0" w:color="auto"/>
                        <w:left w:val="none" w:sz="0" w:space="0" w:color="auto"/>
                        <w:bottom w:val="none" w:sz="0" w:space="0" w:color="auto"/>
                        <w:right w:val="none" w:sz="0" w:space="0" w:color="auto"/>
                      </w:divBdr>
                    </w:div>
                  </w:divsChild>
                </w:div>
                <w:div w:id="1379085866">
                  <w:marLeft w:val="0"/>
                  <w:marRight w:val="0"/>
                  <w:marTop w:val="0"/>
                  <w:marBottom w:val="0"/>
                  <w:divBdr>
                    <w:top w:val="none" w:sz="0" w:space="0" w:color="auto"/>
                    <w:left w:val="none" w:sz="0" w:space="0" w:color="auto"/>
                    <w:bottom w:val="none" w:sz="0" w:space="0" w:color="auto"/>
                    <w:right w:val="none" w:sz="0" w:space="0" w:color="auto"/>
                  </w:divBdr>
                  <w:divsChild>
                    <w:div w:id="2129158530">
                      <w:marLeft w:val="0"/>
                      <w:marRight w:val="0"/>
                      <w:marTop w:val="0"/>
                      <w:marBottom w:val="0"/>
                      <w:divBdr>
                        <w:top w:val="none" w:sz="0" w:space="0" w:color="auto"/>
                        <w:left w:val="none" w:sz="0" w:space="0" w:color="auto"/>
                        <w:bottom w:val="none" w:sz="0" w:space="0" w:color="auto"/>
                        <w:right w:val="none" w:sz="0" w:space="0" w:color="auto"/>
                      </w:divBdr>
                    </w:div>
                  </w:divsChild>
                </w:div>
                <w:div w:id="1828355575">
                  <w:marLeft w:val="0"/>
                  <w:marRight w:val="0"/>
                  <w:marTop w:val="0"/>
                  <w:marBottom w:val="0"/>
                  <w:divBdr>
                    <w:top w:val="none" w:sz="0" w:space="0" w:color="auto"/>
                    <w:left w:val="none" w:sz="0" w:space="0" w:color="auto"/>
                    <w:bottom w:val="none" w:sz="0" w:space="0" w:color="auto"/>
                    <w:right w:val="none" w:sz="0" w:space="0" w:color="auto"/>
                  </w:divBdr>
                  <w:divsChild>
                    <w:div w:id="10713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50786">
          <w:marLeft w:val="0"/>
          <w:marRight w:val="0"/>
          <w:marTop w:val="0"/>
          <w:marBottom w:val="0"/>
          <w:divBdr>
            <w:top w:val="none" w:sz="0" w:space="0" w:color="auto"/>
            <w:left w:val="none" w:sz="0" w:space="0" w:color="auto"/>
            <w:bottom w:val="none" w:sz="0" w:space="0" w:color="auto"/>
            <w:right w:val="none" w:sz="0" w:space="0" w:color="auto"/>
          </w:divBdr>
          <w:divsChild>
            <w:div w:id="123548364">
              <w:marLeft w:val="0"/>
              <w:marRight w:val="0"/>
              <w:marTop w:val="0"/>
              <w:marBottom w:val="0"/>
              <w:divBdr>
                <w:top w:val="none" w:sz="0" w:space="0" w:color="auto"/>
                <w:left w:val="none" w:sz="0" w:space="0" w:color="auto"/>
                <w:bottom w:val="none" w:sz="0" w:space="0" w:color="auto"/>
                <w:right w:val="none" w:sz="0" w:space="0" w:color="auto"/>
              </w:divBdr>
            </w:div>
            <w:div w:id="185096503">
              <w:marLeft w:val="0"/>
              <w:marRight w:val="0"/>
              <w:marTop w:val="0"/>
              <w:marBottom w:val="0"/>
              <w:divBdr>
                <w:top w:val="none" w:sz="0" w:space="0" w:color="auto"/>
                <w:left w:val="none" w:sz="0" w:space="0" w:color="auto"/>
                <w:bottom w:val="none" w:sz="0" w:space="0" w:color="auto"/>
                <w:right w:val="none" w:sz="0" w:space="0" w:color="auto"/>
              </w:divBdr>
            </w:div>
            <w:div w:id="204949933">
              <w:marLeft w:val="0"/>
              <w:marRight w:val="0"/>
              <w:marTop w:val="0"/>
              <w:marBottom w:val="0"/>
              <w:divBdr>
                <w:top w:val="none" w:sz="0" w:space="0" w:color="auto"/>
                <w:left w:val="none" w:sz="0" w:space="0" w:color="auto"/>
                <w:bottom w:val="none" w:sz="0" w:space="0" w:color="auto"/>
                <w:right w:val="none" w:sz="0" w:space="0" w:color="auto"/>
              </w:divBdr>
            </w:div>
            <w:div w:id="474831558">
              <w:marLeft w:val="0"/>
              <w:marRight w:val="0"/>
              <w:marTop w:val="0"/>
              <w:marBottom w:val="0"/>
              <w:divBdr>
                <w:top w:val="none" w:sz="0" w:space="0" w:color="auto"/>
                <w:left w:val="none" w:sz="0" w:space="0" w:color="auto"/>
                <w:bottom w:val="none" w:sz="0" w:space="0" w:color="auto"/>
                <w:right w:val="none" w:sz="0" w:space="0" w:color="auto"/>
              </w:divBdr>
            </w:div>
            <w:div w:id="679812607">
              <w:marLeft w:val="0"/>
              <w:marRight w:val="0"/>
              <w:marTop w:val="0"/>
              <w:marBottom w:val="0"/>
              <w:divBdr>
                <w:top w:val="none" w:sz="0" w:space="0" w:color="auto"/>
                <w:left w:val="none" w:sz="0" w:space="0" w:color="auto"/>
                <w:bottom w:val="none" w:sz="0" w:space="0" w:color="auto"/>
                <w:right w:val="none" w:sz="0" w:space="0" w:color="auto"/>
              </w:divBdr>
            </w:div>
            <w:div w:id="750664131">
              <w:marLeft w:val="0"/>
              <w:marRight w:val="0"/>
              <w:marTop w:val="0"/>
              <w:marBottom w:val="0"/>
              <w:divBdr>
                <w:top w:val="none" w:sz="0" w:space="0" w:color="auto"/>
                <w:left w:val="none" w:sz="0" w:space="0" w:color="auto"/>
                <w:bottom w:val="none" w:sz="0" w:space="0" w:color="auto"/>
                <w:right w:val="none" w:sz="0" w:space="0" w:color="auto"/>
              </w:divBdr>
            </w:div>
            <w:div w:id="777407462">
              <w:marLeft w:val="0"/>
              <w:marRight w:val="0"/>
              <w:marTop w:val="0"/>
              <w:marBottom w:val="0"/>
              <w:divBdr>
                <w:top w:val="none" w:sz="0" w:space="0" w:color="auto"/>
                <w:left w:val="none" w:sz="0" w:space="0" w:color="auto"/>
                <w:bottom w:val="none" w:sz="0" w:space="0" w:color="auto"/>
                <w:right w:val="none" w:sz="0" w:space="0" w:color="auto"/>
              </w:divBdr>
            </w:div>
            <w:div w:id="897280073">
              <w:marLeft w:val="0"/>
              <w:marRight w:val="0"/>
              <w:marTop w:val="0"/>
              <w:marBottom w:val="0"/>
              <w:divBdr>
                <w:top w:val="none" w:sz="0" w:space="0" w:color="auto"/>
                <w:left w:val="none" w:sz="0" w:space="0" w:color="auto"/>
                <w:bottom w:val="none" w:sz="0" w:space="0" w:color="auto"/>
                <w:right w:val="none" w:sz="0" w:space="0" w:color="auto"/>
              </w:divBdr>
            </w:div>
            <w:div w:id="1198785350">
              <w:marLeft w:val="0"/>
              <w:marRight w:val="0"/>
              <w:marTop w:val="0"/>
              <w:marBottom w:val="0"/>
              <w:divBdr>
                <w:top w:val="none" w:sz="0" w:space="0" w:color="auto"/>
                <w:left w:val="none" w:sz="0" w:space="0" w:color="auto"/>
                <w:bottom w:val="none" w:sz="0" w:space="0" w:color="auto"/>
                <w:right w:val="none" w:sz="0" w:space="0" w:color="auto"/>
              </w:divBdr>
            </w:div>
            <w:div w:id="1296718472">
              <w:marLeft w:val="0"/>
              <w:marRight w:val="0"/>
              <w:marTop w:val="0"/>
              <w:marBottom w:val="0"/>
              <w:divBdr>
                <w:top w:val="none" w:sz="0" w:space="0" w:color="auto"/>
                <w:left w:val="none" w:sz="0" w:space="0" w:color="auto"/>
                <w:bottom w:val="none" w:sz="0" w:space="0" w:color="auto"/>
                <w:right w:val="none" w:sz="0" w:space="0" w:color="auto"/>
              </w:divBdr>
            </w:div>
            <w:div w:id="1325091162">
              <w:marLeft w:val="0"/>
              <w:marRight w:val="0"/>
              <w:marTop w:val="0"/>
              <w:marBottom w:val="0"/>
              <w:divBdr>
                <w:top w:val="none" w:sz="0" w:space="0" w:color="auto"/>
                <w:left w:val="none" w:sz="0" w:space="0" w:color="auto"/>
                <w:bottom w:val="none" w:sz="0" w:space="0" w:color="auto"/>
                <w:right w:val="none" w:sz="0" w:space="0" w:color="auto"/>
              </w:divBdr>
            </w:div>
            <w:div w:id="1556967890">
              <w:marLeft w:val="0"/>
              <w:marRight w:val="0"/>
              <w:marTop w:val="0"/>
              <w:marBottom w:val="0"/>
              <w:divBdr>
                <w:top w:val="none" w:sz="0" w:space="0" w:color="auto"/>
                <w:left w:val="none" w:sz="0" w:space="0" w:color="auto"/>
                <w:bottom w:val="none" w:sz="0" w:space="0" w:color="auto"/>
                <w:right w:val="none" w:sz="0" w:space="0" w:color="auto"/>
              </w:divBdr>
            </w:div>
          </w:divsChild>
        </w:div>
        <w:div w:id="759108458">
          <w:marLeft w:val="0"/>
          <w:marRight w:val="0"/>
          <w:marTop w:val="0"/>
          <w:marBottom w:val="0"/>
          <w:divBdr>
            <w:top w:val="none" w:sz="0" w:space="0" w:color="auto"/>
            <w:left w:val="none" w:sz="0" w:space="0" w:color="auto"/>
            <w:bottom w:val="none" w:sz="0" w:space="0" w:color="auto"/>
            <w:right w:val="none" w:sz="0" w:space="0" w:color="auto"/>
          </w:divBdr>
        </w:div>
        <w:div w:id="763646300">
          <w:marLeft w:val="0"/>
          <w:marRight w:val="0"/>
          <w:marTop w:val="0"/>
          <w:marBottom w:val="0"/>
          <w:divBdr>
            <w:top w:val="none" w:sz="0" w:space="0" w:color="auto"/>
            <w:left w:val="none" w:sz="0" w:space="0" w:color="auto"/>
            <w:bottom w:val="none" w:sz="0" w:space="0" w:color="auto"/>
            <w:right w:val="none" w:sz="0" w:space="0" w:color="auto"/>
          </w:divBdr>
        </w:div>
        <w:div w:id="765074636">
          <w:marLeft w:val="0"/>
          <w:marRight w:val="0"/>
          <w:marTop w:val="0"/>
          <w:marBottom w:val="0"/>
          <w:divBdr>
            <w:top w:val="none" w:sz="0" w:space="0" w:color="auto"/>
            <w:left w:val="none" w:sz="0" w:space="0" w:color="auto"/>
            <w:bottom w:val="none" w:sz="0" w:space="0" w:color="auto"/>
            <w:right w:val="none" w:sz="0" w:space="0" w:color="auto"/>
          </w:divBdr>
        </w:div>
        <w:div w:id="765926566">
          <w:marLeft w:val="0"/>
          <w:marRight w:val="0"/>
          <w:marTop w:val="0"/>
          <w:marBottom w:val="0"/>
          <w:divBdr>
            <w:top w:val="none" w:sz="0" w:space="0" w:color="auto"/>
            <w:left w:val="none" w:sz="0" w:space="0" w:color="auto"/>
            <w:bottom w:val="none" w:sz="0" w:space="0" w:color="auto"/>
            <w:right w:val="none" w:sz="0" w:space="0" w:color="auto"/>
          </w:divBdr>
          <w:divsChild>
            <w:div w:id="581531110">
              <w:marLeft w:val="-75"/>
              <w:marRight w:val="0"/>
              <w:marTop w:val="30"/>
              <w:marBottom w:val="30"/>
              <w:divBdr>
                <w:top w:val="none" w:sz="0" w:space="0" w:color="auto"/>
                <w:left w:val="none" w:sz="0" w:space="0" w:color="auto"/>
                <w:bottom w:val="none" w:sz="0" w:space="0" w:color="auto"/>
                <w:right w:val="none" w:sz="0" w:space="0" w:color="auto"/>
              </w:divBdr>
              <w:divsChild>
                <w:div w:id="2978170">
                  <w:marLeft w:val="0"/>
                  <w:marRight w:val="0"/>
                  <w:marTop w:val="0"/>
                  <w:marBottom w:val="0"/>
                  <w:divBdr>
                    <w:top w:val="none" w:sz="0" w:space="0" w:color="auto"/>
                    <w:left w:val="none" w:sz="0" w:space="0" w:color="auto"/>
                    <w:bottom w:val="none" w:sz="0" w:space="0" w:color="auto"/>
                    <w:right w:val="none" w:sz="0" w:space="0" w:color="auto"/>
                  </w:divBdr>
                  <w:divsChild>
                    <w:div w:id="359278241">
                      <w:marLeft w:val="0"/>
                      <w:marRight w:val="0"/>
                      <w:marTop w:val="0"/>
                      <w:marBottom w:val="0"/>
                      <w:divBdr>
                        <w:top w:val="none" w:sz="0" w:space="0" w:color="auto"/>
                        <w:left w:val="none" w:sz="0" w:space="0" w:color="auto"/>
                        <w:bottom w:val="none" w:sz="0" w:space="0" w:color="auto"/>
                        <w:right w:val="none" w:sz="0" w:space="0" w:color="auto"/>
                      </w:divBdr>
                    </w:div>
                  </w:divsChild>
                </w:div>
                <w:div w:id="70857135">
                  <w:marLeft w:val="0"/>
                  <w:marRight w:val="0"/>
                  <w:marTop w:val="0"/>
                  <w:marBottom w:val="0"/>
                  <w:divBdr>
                    <w:top w:val="none" w:sz="0" w:space="0" w:color="auto"/>
                    <w:left w:val="none" w:sz="0" w:space="0" w:color="auto"/>
                    <w:bottom w:val="none" w:sz="0" w:space="0" w:color="auto"/>
                    <w:right w:val="none" w:sz="0" w:space="0" w:color="auto"/>
                  </w:divBdr>
                  <w:divsChild>
                    <w:div w:id="948198970">
                      <w:marLeft w:val="0"/>
                      <w:marRight w:val="0"/>
                      <w:marTop w:val="0"/>
                      <w:marBottom w:val="0"/>
                      <w:divBdr>
                        <w:top w:val="none" w:sz="0" w:space="0" w:color="auto"/>
                        <w:left w:val="none" w:sz="0" w:space="0" w:color="auto"/>
                        <w:bottom w:val="none" w:sz="0" w:space="0" w:color="auto"/>
                        <w:right w:val="none" w:sz="0" w:space="0" w:color="auto"/>
                      </w:divBdr>
                    </w:div>
                  </w:divsChild>
                </w:div>
                <w:div w:id="90667091">
                  <w:marLeft w:val="0"/>
                  <w:marRight w:val="0"/>
                  <w:marTop w:val="0"/>
                  <w:marBottom w:val="0"/>
                  <w:divBdr>
                    <w:top w:val="none" w:sz="0" w:space="0" w:color="auto"/>
                    <w:left w:val="none" w:sz="0" w:space="0" w:color="auto"/>
                    <w:bottom w:val="none" w:sz="0" w:space="0" w:color="auto"/>
                    <w:right w:val="none" w:sz="0" w:space="0" w:color="auto"/>
                  </w:divBdr>
                  <w:divsChild>
                    <w:div w:id="799149541">
                      <w:marLeft w:val="0"/>
                      <w:marRight w:val="0"/>
                      <w:marTop w:val="0"/>
                      <w:marBottom w:val="0"/>
                      <w:divBdr>
                        <w:top w:val="none" w:sz="0" w:space="0" w:color="auto"/>
                        <w:left w:val="none" w:sz="0" w:space="0" w:color="auto"/>
                        <w:bottom w:val="none" w:sz="0" w:space="0" w:color="auto"/>
                        <w:right w:val="none" w:sz="0" w:space="0" w:color="auto"/>
                      </w:divBdr>
                    </w:div>
                  </w:divsChild>
                </w:div>
                <w:div w:id="126898242">
                  <w:marLeft w:val="0"/>
                  <w:marRight w:val="0"/>
                  <w:marTop w:val="0"/>
                  <w:marBottom w:val="0"/>
                  <w:divBdr>
                    <w:top w:val="none" w:sz="0" w:space="0" w:color="auto"/>
                    <w:left w:val="none" w:sz="0" w:space="0" w:color="auto"/>
                    <w:bottom w:val="none" w:sz="0" w:space="0" w:color="auto"/>
                    <w:right w:val="none" w:sz="0" w:space="0" w:color="auto"/>
                  </w:divBdr>
                  <w:divsChild>
                    <w:div w:id="541863749">
                      <w:marLeft w:val="0"/>
                      <w:marRight w:val="0"/>
                      <w:marTop w:val="0"/>
                      <w:marBottom w:val="0"/>
                      <w:divBdr>
                        <w:top w:val="none" w:sz="0" w:space="0" w:color="auto"/>
                        <w:left w:val="none" w:sz="0" w:space="0" w:color="auto"/>
                        <w:bottom w:val="none" w:sz="0" w:space="0" w:color="auto"/>
                        <w:right w:val="none" w:sz="0" w:space="0" w:color="auto"/>
                      </w:divBdr>
                    </w:div>
                  </w:divsChild>
                </w:div>
                <w:div w:id="148908385">
                  <w:marLeft w:val="0"/>
                  <w:marRight w:val="0"/>
                  <w:marTop w:val="0"/>
                  <w:marBottom w:val="0"/>
                  <w:divBdr>
                    <w:top w:val="none" w:sz="0" w:space="0" w:color="auto"/>
                    <w:left w:val="none" w:sz="0" w:space="0" w:color="auto"/>
                    <w:bottom w:val="none" w:sz="0" w:space="0" w:color="auto"/>
                    <w:right w:val="none" w:sz="0" w:space="0" w:color="auto"/>
                  </w:divBdr>
                  <w:divsChild>
                    <w:div w:id="1364287001">
                      <w:marLeft w:val="0"/>
                      <w:marRight w:val="0"/>
                      <w:marTop w:val="0"/>
                      <w:marBottom w:val="0"/>
                      <w:divBdr>
                        <w:top w:val="none" w:sz="0" w:space="0" w:color="auto"/>
                        <w:left w:val="none" w:sz="0" w:space="0" w:color="auto"/>
                        <w:bottom w:val="none" w:sz="0" w:space="0" w:color="auto"/>
                        <w:right w:val="none" w:sz="0" w:space="0" w:color="auto"/>
                      </w:divBdr>
                    </w:div>
                  </w:divsChild>
                </w:div>
                <w:div w:id="153381924">
                  <w:marLeft w:val="0"/>
                  <w:marRight w:val="0"/>
                  <w:marTop w:val="0"/>
                  <w:marBottom w:val="0"/>
                  <w:divBdr>
                    <w:top w:val="none" w:sz="0" w:space="0" w:color="auto"/>
                    <w:left w:val="none" w:sz="0" w:space="0" w:color="auto"/>
                    <w:bottom w:val="none" w:sz="0" w:space="0" w:color="auto"/>
                    <w:right w:val="none" w:sz="0" w:space="0" w:color="auto"/>
                  </w:divBdr>
                  <w:divsChild>
                    <w:div w:id="167213708">
                      <w:marLeft w:val="0"/>
                      <w:marRight w:val="0"/>
                      <w:marTop w:val="0"/>
                      <w:marBottom w:val="0"/>
                      <w:divBdr>
                        <w:top w:val="none" w:sz="0" w:space="0" w:color="auto"/>
                        <w:left w:val="none" w:sz="0" w:space="0" w:color="auto"/>
                        <w:bottom w:val="none" w:sz="0" w:space="0" w:color="auto"/>
                        <w:right w:val="none" w:sz="0" w:space="0" w:color="auto"/>
                      </w:divBdr>
                    </w:div>
                  </w:divsChild>
                </w:div>
                <w:div w:id="181360274">
                  <w:marLeft w:val="0"/>
                  <w:marRight w:val="0"/>
                  <w:marTop w:val="0"/>
                  <w:marBottom w:val="0"/>
                  <w:divBdr>
                    <w:top w:val="none" w:sz="0" w:space="0" w:color="auto"/>
                    <w:left w:val="none" w:sz="0" w:space="0" w:color="auto"/>
                    <w:bottom w:val="none" w:sz="0" w:space="0" w:color="auto"/>
                    <w:right w:val="none" w:sz="0" w:space="0" w:color="auto"/>
                  </w:divBdr>
                  <w:divsChild>
                    <w:div w:id="1094782030">
                      <w:marLeft w:val="0"/>
                      <w:marRight w:val="0"/>
                      <w:marTop w:val="0"/>
                      <w:marBottom w:val="0"/>
                      <w:divBdr>
                        <w:top w:val="none" w:sz="0" w:space="0" w:color="auto"/>
                        <w:left w:val="none" w:sz="0" w:space="0" w:color="auto"/>
                        <w:bottom w:val="none" w:sz="0" w:space="0" w:color="auto"/>
                        <w:right w:val="none" w:sz="0" w:space="0" w:color="auto"/>
                      </w:divBdr>
                    </w:div>
                  </w:divsChild>
                </w:div>
                <w:div w:id="190343081">
                  <w:marLeft w:val="0"/>
                  <w:marRight w:val="0"/>
                  <w:marTop w:val="0"/>
                  <w:marBottom w:val="0"/>
                  <w:divBdr>
                    <w:top w:val="none" w:sz="0" w:space="0" w:color="auto"/>
                    <w:left w:val="none" w:sz="0" w:space="0" w:color="auto"/>
                    <w:bottom w:val="none" w:sz="0" w:space="0" w:color="auto"/>
                    <w:right w:val="none" w:sz="0" w:space="0" w:color="auto"/>
                  </w:divBdr>
                  <w:divsChild>
                    <w:div w:id="1497721674">
                      <w:marLeft w:val="0"/>
                      <w:marRight w:val="0"/>
                      <w:marTop w:val="0"/>
                      <w:marBottom w:val="0"/>
                      <w:divBdr>
                        <w:top w:val="none" w:sz="0" w:space="0" w:color="auto"/>
                        <w:left w:val="none" w:sz="0" w:space="0" w:color="auto"/>
                        <w:bottom w:val="none" w:sz="0" w:space="0" w:color="auto"/>
                        <w:right w:val="none" w:sz="0" w:space="0" w:color="auto"/>
                      </w:divBdr>
                    </w:div>
                  </w:divsChild>
                </w:div>
                <w:div w:id="212084546">
                  <w:marLeft w:val="0"/>
                  <w:marRight w:val="0"/>
                  <w:marTop w:val="0"/>
                  <w:marBottom w:val="0"/>
                  <w:divBdr>
                    <w:top w:val="none" w:sz="0" w:space="0" w:color="auto"/>
                    <w:left w:val="none" w:sz="0" w:space="0" w:color="auto"/>
                    <w:bottom w:val="none" w:sz="0" w:space="0" w:color="auto"/>
                    <w:right w:val="none" w:sz="0" w:space="0" w:color="auto"/>
                  </w:divBdr>
                  <w:divsChild>
                    <w:div w:id="645159192">
                      <w:marLeft w:val="0"/>
                      <w:marRight w:val="0"/>
                      <w:marTop w:val="0"/>
                      <w:marBottom w:val="0"/>
                      <w:divBdr>
                        <w:top w:val="none" w:sz="0" w:space="0" w:color="auto"/>
                        <w:left w:val="none" w:sz="0" w:space="0" w:color="auto"/>
                        <w:bottom w:val="none" w:sz="0" w:space="0" w:color="auto"/>
                        <w:right w:val="none" w:sz="0" w:space="0" w:color="auto"/>
                      </w:divBdr>
                    </w:div>
                  </w:divsChild>
                </w:div>
                <w:div w:id="267474031">
                  <w:marLeft w:val="0"/>
                  <w:marRight w:val="0"/>
                  <w:marTop w:val="0"/>
                  <w:marBottom w:val="0"/>
                  <w:divBdr>
                    <w:top w:val="none" w:sz="0" w:space="0" w:color="auto"/>
                    <w:left w:val="none" w:sz="0" w:space="0" w:color="auto"/>
                    <w:bottom w:val="none" w:sz="0" w:space="0" w:color="auto"/>
                    <w:right w:val="none" w:sz="0" w:space="0" w:color="auto"/>
                  </w:divBdr>
                  <w:divsChild>
                    <w:div w:id="1423408978">
                      <w:marLeft w:val="0"/>
                      <w:marRight w:val="0"/>
                      <w:marTop w:val="0"/>
                      <w:marBottom w:val="0"/>
                      <w:divBdr>
                        <w:top w:val="none" w:sz="0" w:space="0" w:color="auto"/>
                        <w:left w:val="none" w:sz="0" w:space="0" w:color="auto"/>
                        <w:bottom w:val="none" w:sz="0" w:space="0" w:color="auto"/>
                        <w:right w:val="none" w:sz="0" w:space="0" w:color="auto"/>
                      </w:divBdr>
                    </w:div>
                  </w:divsChild>
                </w:div>
                <w:div w:id="269242423">
                  <w:marLeft w:val="0"/>
                  <w:marRight w:val="0"/>
                  <w:marTop w:val="0"/>
                  <w:marBottom w:val="0"/>
                  <w:divBdr>
                    <w:top w:val="none" w:sz="0" w:space="0" w:color="auto"/>
                    <w:left w:val="none" w:sz="0" w:space="0" w:color="auto"/>
                    <w:bottom w:val="none" w:sz="0" w:space="0" w:color="auto"/>
                    <w:right w:val="none" w:sz="0" w:space="0" w:color="auto"/>
                  </w:divBdr>
                  <w:divsChild>
                    <w:div w:id="93671763">
                      <w:marLeft w:val="0"/>
                      <w:marRight w:val="0"/>
                      <w:marTop w:val="0"/>
                      <w:marBottom w:val="0"/>
                      <w:divBdr>
                        <w:top w:val="none" w:sz="0" w:space="0" w:color="auto"/>
                        <w:left w:val="none" w:sz="0" w:space="0" w:color="auto"/>
                        <w:bottom w:val="none" w:sz="0" w:space="0" w:color="auto"/>
                        <w:right w:val="none" w:sz="0" w:space="0" w:color="auto"/>
                      </w:divBdr>
                    </w:div>
                  </w:divsChild>
                </w:div>
                <w:div w:id="283850056">
                  <w:marLeft w:val="0"/>
                  <w:marRight w:val="0"/>
                  <w:marTop w:val="0"/>
                  <w:marBottom w:val="0"/>
                  <w:divBdr>
                    <w:top w:val="none" w:sz="0" w:space="0" w:color="auto"/>
                    <w:left w:val="none" w:sz="0" w:space="0" w:color="auto"/>
                    <w:bottom w:val="none" w:sz="0" w:space="0" w:color="auto"/>
                    <w:right w:val="none" w:sz="0" w:space="0" w:color="auto"/>
                  </w:divBdr>
                  <w:divsChild>
                    <w:div w:id="257909020">
                      <w:marLeft w:val="0"/>
                      <w:marRight w:val="0"/>
                      <w:marTop w:val="0"/>
                      <w:marBottom w:val="0"/>
                      <w:divBdr>
                        <w:top w:val="none" w:sz="0" w:space="0" w:color="auto"/>
                        <w:left w:val="none" w:sz="0" w:space="0" w:color="auto"/>
                        <w:bottom w:val="none" w:sz="0" w:space="0" w:color="auto"/>
                        <w:right w:val="none" w:sz="0" w:space="0" w:color="auto"/>
                      </w:divBdr>
                    </w:div>
                  </w:divsChild>
                </w:div>
                <w:div w:id="292177362">
                  <w:marLeft w:val="0"/>
                  <w:marRight w:val="0"/>
                  <w:marTop w:val="0"/>
                  <w:marBottom w:val="0"/>
                  <w:divBdr>
                    <w:top w:val="none" w:sz="0" w:space="0" w:color="auto"/>
                    <w:left w:val="none" w:sz="0" w:space="0" w:color="auto"/>
                    <w:bottom w:val="none" w:sz="0" w:space="0" w:color="auto"/>
                    <w:right w:val="none" w:sz="0" w:space="0" w:color="auto"/>
                  </w:divBdr>
                  <w:divsChild>
                    <w:div w:id="1378311912">
                      <w:marLeft w:val="0"/>
                      <w:marRight w:val="0"/>
                      <w:marTop w:val="0"/>
                      <w:marBottom w:val="0"/>
                      <w:divBdr>
                        <w:top w:val="none" w:sz="0" w:space="0" w:color="auto"/>
                        <w:left w:val="none" w:sz="0" w:space="0" w:color="auto"/>
                        <w:bottom w:val="none" w:sz="0" w:space="0" w:color="auto"/>
                        <w:right w:val="none" w:sz="0" w:space="0" w:color="auto"/>
                      </w:divBdr>
                    </w:div>
                  </w:divsChild>
                </w:div>
                <w:div w:id="347022161">
                  <w:marLeft w:val="0"/>
                  <w:marRight w:val="0"/>
                  <w:marTop w:val="0"/>
                  <w:marBottom w:val="0"/>
                  <w:divBdr>
                    <w:top w:val="none" w:sz="0" w:space="0" w:color="auto"/>
                    <w:left w:val="none" w:sz="0" w:space="0" w:color="auto"/>
                    <w:bottom w:val="none" w:sz="0" w:space="0" w:color="auto"/>
                    <w:right w:val="none" w:sz="0" w:space="0" w:color="auto"/>
                  </w:divBdr>
                  <w:divsChild>
                    <w:div w:id="778136681">
                      <w:marLeft w:val="0"/>
                      <w:marRight w:val="0"/>
                      <w:marTop w:val="0"/>
                      <w:marBottom w:val="0"/>
                      <w:divBdr>
                        <w:top w:val="none" w:sz="0" w:space="0" w:color="auto"/>
                        <w:left w:val="none" w:sz="0" w:space="0" w:color="auto"/>
                        <w:bottom w:val="none" w:sz="0" w:space="0" w:color="auto"/>
                        <w:right w:val="none" w:sz="0" w:space="0" w:color="auto"/>
                      </w:divBdr>
                    </w:div>
                  </w:divsChild>
                </w:div>
                <w:div w:id="378358338">
                  <w:marLeft w:val="0"/>
                  <w:marRight w:val="0"/>
                  <w:marTop w:val="0"/>
                  <w:marBottom w:val="0"/>
                  <w:divBdr>
                    <w:top w:val="none" w:sz="0" w:space="0" w:color="auto"/>
                    <w:left w:val="none" w:sz="0" w:space="0" w:color="auto"/>
                    <w:bottom w:val="none" w:sz="0" w:space="0" w:color="auto"/>
                    <w:right w:val="none" w:sz="0" w:space="0" w:color="auto"/>
                  </w:divBdr>
                  <w:divsChild>
                    <w:div w:id="107507543">
                      <w:marLeft w:val="0"/>
                      <w:marRight w:val="0"/>
                      <w:marTop w:val="0"/>
                      <w:marBottom w:val="0"/>
                      <w:divBdr>
                        <w:top w:val="none" w:sz="0" w:space="0" w:color="auto"/>
                        <w:left w:val="none" w:sz="0" w:space="0" w:color="auto"/>
                        <w:bottom w:val="none" w:sz="0" w:space="0" w:color="auto"/>
                        <w:right w:val="none" w:sz="0" w:space="0" w:color="auto"/>
                      </w:divBdr>
                    </w:div>
                  </w:divsChild>
                </w:div>
                <w:div w:id="382363144">
                  <w:marLeft w:val="0"/>
                  <w:marRight w:val="0"/>
                  <w:marTop w:val="0"/>
                  <w:marBottom w:val="0"/>
                  <w:divBdr>
                    <w:top w:val="none" w:sz="0" w:space="0" w:color="auto"/>
                    <w:left w:val="none" w:sz="0" w:space="0" w:color="auto"/>
                    <w:bottom w:val="none" w:sz="0" w:space="0" w:color="auto"/>
                    <w:right w:val="none" w:sz="0" w:space="0" w:color="auto"/>
                  </w:divBdr>
                  <w:divsChild>
                    <w:div w:id="1655405757">
                      <w:marLeft w:val="0"/>
                      <w:marRight w:val="0"/>
                      <w:marTop w:val="0"/>
                      <w:marBottom w:val="0"/>
                      <w:divBdr>
                        <w:top w:val="none" w:sz="0" w:space="0" w:color="auto"/>
                        <w:left w:val="none" w:sz="0" w:space="0" w:color="auto"/>
                        <w:bottom w:val="none" w:sz="0" w:space="0" w:color="auto"/>
                        <w:right w:val="none" w:sz="0" w:space="0" w:color="auto"/>
                      </w:divBdr>
                    </w:div>
                  </w:divsChild>
                </w:div>
                <w:div w:id="404255662">
                  <w:marLeft w:val="0"/>
                  <w:marRight w:val="0"/>
                  <w:marTop w:val="0"/>
                  <w:marBottom w:val="0"/>
                  <w:divBdr>
                    <w:top w:val="none" w:sz="0" w:space="0" w:color="auto"/>
                    <w:left w:val="none" w:sz="0" w:space="0" w:color="auto"/>
                    <w:bottom w:val="none" w:sz="0" w:space="0" w:color="auto"/>
                    <w:right w:val="none" w:sz="0" w:space="0" w:color="auto"/>
                  </w:divBdr>
                  <w:divsChild>
                    <w:div w:id="1320888503">
                      <w:marLeft w:val="0"/>
                      <w:marRight w:val="0"/>
                      <w:marTop w:val="0"/>
                      <w:marBottom w:val="0"/>
                      <w:divBdr>
                        <w:top w:val="none" w:sz="0" w:space="0" w:color="auto"/>
                        <w:left w:val="none" w:sz="0" w:space="0" w:color="auto"/>
                        <w:bottom w:val="none" w:sz="0" w:space="0" w:color="auto"/>
                        <w:right w:val="none" w:sz="0" w:space="0" w:color="auto"/>
                      </w:divBdr>
                    </w:div>
                  </w:divsChild>
                </w:div>
                <w:div w:id="435978177">
                  <w:marLeft w:val="0"/>
                  <w:marRight w:val="0"/>
                  <w:marTop w:val="0"/>
                  <w:marBottom w:val="0"/>
                  <w:divBdr>
                    <w:top w:val="none" w:sz="0" w:space="0" w:color="auto"/>
                    <w:left w:val="none" w:sz="0" w:space="0" w:color="auto"/>
                    <w:bottom w:val="none" w:sz="0" w:space="0" w:color="auto"/>
                    <w:right w:val="none" w:sz="0" w:space="0" w:color="auto"/>
                  </w:divBdr>
                  <w:divsChild>
                    <w:div w:id="1868062387">
                      <w:marLeft w:val="0"/>
                      <w:marRight w:val="0"/>
                      <w:marTop w:val="0"/>
                      <w:marBottom w:val="0"/>
                      <w:divBdr>
                        <w:top w:val="none" w:sz="0" w:space="0" w:color="auto"/>
                        <w:left w:val="none" w:sz="0" w:space="0" w:color="auto"/>
                        <w:bottom w:val="none" w:sz="0" w:space="0" w:color="auto"/>
                        <w:right w:val="none" w:sz="0" w:space="0" w:color="auto"/>
                      </w:divBdr>
                    </w:div>
                  </w:divsChild>
                </w:div>
                <w:div w:id="441655327">
                  <w:marLeft w:val="0"/>
                  <w:marRight w:val="0"/>
                  <w:marTop w:val="0"/>
                  <w:marBottom w:val="0"/>
                  <w:divBdr>
                    <w:top w:val="none" w:sz="0" w:space="0" w:color="auto"/>
                    <w:left w:val="none" w:sz="0" w:space="0" w:color="auto"/>
                    <w:bottom w:val="none" w:sz="0" w:space="0" w:color="auto"/>
                    <w:right w:val="none" w:sz="0" w:space="0" w:color="auto"/>
                  </w:divBdr>
                  <w:divsChild>
                    <w:div w:id="1123887875">
                      <w:marLeft w:val="0"/>
                      <w:marRight w:val="0"/>
                      <w:marTop w:val="0"/>
                      <w:marBottom w:val="0"/>
                      <w:divBdr>
                        <w:top w:val="none" w:sz="0" w:space="0" w:color="auto"/>
                        <w:left w:val="none" w:sz="0" w:space="0" w:color="auto"/>
                        <w:bottom w:val="none" w:sz="0" w:space="0" w:color="auto"/>
                        <w:right w:val="none" w:sz="0" w:space="0" w:color="auto"/>
                      </w:divBdr>
                    </w:div>
                  </w:divsChild>
                </w:div>
                <w:div w:id="477377630">
                  <w:marLeft w:val="0"/>
                  <w:marRight w:val="0"/>
                  <w:marTop w:val="0"/>
                  <w:marBottom w:val="0"/>
                  <w:divBdr>
                    <w:top w:val="none" w:sz="0" w:space="0" w:color="auto"/>
                    <w:left w:val="none" w:sz="0" w:space="0" w:color="auto"/>
                    <w:bottom w:val="none" w:sz="0" w:space="0" w:color="auto"/>
                    <w:right w:val="none" w:sz="0" w:space="0" w:color="auto"/>
                  </w:divBdr>
                  <w:divsChild>
                    <w:div w:id="572466956">
                      <w:marLeft w:val="0"/>
                      <w:marRight w:val="0"/>
                      <w:marTop w:val="0"/>
                      <w:marBottom w:val="0"/>
                      <w:divBdr>
                        <w:top w:val="none" w:sz="0" w:space="0" w:color="auto"/>
                        <w:left w:val="none" w:sz="0" w:space="0" w:color="auto"/>
                        <w:bottom w:val="none" w:sz="0" w:space="0" w:color="auto"/>
                        <w:right w:val="none" w:sz="0" w:space="0" w:color="auto"/>
                      </w:divBdr>
                    </w:div>
                  </w:divsChild>
                </w:div>
                <w:div w:id="519011597">
                  <w:marLeft w:val="0"/>
                  <w:marRight w:val="0"/>
                  <w:marTop w:val="0"/>
                  <w:marBottom w:val="0"/>
                  <w:divBdr>
                    <w:top w:val="none" w:sz="0" w:space="0" w:color="auto"/>
                    <w:left w:val="none" w:sz="0" w:space="0" w:color="auto"/>
                    <w:bottom w:val="none" w:sz="0" w:space="0" w:color="auto"/>
                    <w:right w:val="none" w:sz="0" w:space="0" w:color="auto"/>
                  </w:divBdr>
                  <w:divsChild>
                    <w:div w:id="294676785">
                      <w:marLeft w:val="0"/>
                      <w:marRight w:val="0"/>
                      <w:marTop w:val="0"/>
                      <w:marBottom w:val="0"/>
                      <w:divBdr>
                        <w:top w:val="none" w:sz="0" w:space="0" w:color="auto"/>
                        <w:left w:val="none" w:sz="0" w:space="0" w:color="auto"/>
                        <w:bottom w:val="none" w:sz="0" w:space="0" w:color="auto"/>
                        <w:right w:val="none" w:sz="0" w:space="0" w:color="auto"/>
                      </w:divBdr>
                    </w:div>
                  </w:divsChild>
                </w:div>
                <w:div w:id="524175371">
                  <w:marLeft w:val="0"/>
                  <w:marRight w:val="0"/>
                  <w:marTop w:val="0"/>
                  <w:marBottom w:val="0"/>
                  <w:divBdr>
                    <w:top w:val="none" w:sz="0" w:space="0" w:color="auto"/>
                    <w:left w:val="none" w:sz="0" w:space="0" w:color="auto"/>
                    <w:bottom w:val="none" w:sz="0" w:space="0" w:color="auto"/>
                    <w:right w:val="none" w:sz="0" w:space="0" w:color="auto"/>
                  </w:divBdr>
                  <w:divsChild>
                    <w:div w:id="766925204">
                      <w:marLeft w:val="0"/>
                      <w:marRight w:val="0"/>
                      <w:marTop w:val="0"/>
                      <w:marBottom w:val="0"/>
                      <w:divBdr>
                        <w:top w:val="none" w:sz="0" w:space="0" w:color="auto"/>
                        <w:left w:val="none" w:sz="0" w:space="0" w:color="auto"/>
                        <w:bottom w:val="none" w:sz="0" w:space="0" w:color="auto"/>
                        <w:right w:val="none" w:sz="0" w:space="0" w:color="auto"/>
                      </w:divBdr>
                    </w:div>
                  </w:divsChild>
                </w:div>
                <w:div w:id="526063669">
                  <w:marLeft w:val="0"/>
                  <w:marRight w:val="0"/>
                  <w:marTop w:val="0"/>
                  <w:marBottom w:val="0"/>
                  <w:divBdr>
                    <w:top w:val="none" w:sz="0" w:space="0" w:color="auto"/>
                    <w:left w:val="none" w:sz="0" w:space="0" w:color="auto"/>
                    <w:bottom w:val="none" w:sz="0" w:space="0" w:color="auto"/>
                    <w:right w:val="none" w:sz="0" w:space="0" w:color="auto"/>
                  </w:divBdr>
                  <w:divsChild>
                    <w:div w:id="465123323">
                      <w:marLeft w:val="0"/>
                      <w:marRight w:val="0"/>
                      <w:marTop w:val="0"/>
                      <w:marBottom w:val="0"/>
                      <w:divBdr>
                        <w:top w:val="none" w:sz="0" w:space="0" w:color="auto"/>
                        <w:left w:val="none" w:sz="0" w:space="0" w:color="auto"/>
                        <w:bottom w:val="none" w:sz="0" w:space="0" w:color="auto"/>
                        <w:right w:val="none" w:sz="0" w:space="0" w:color="auto"/>
                      </w:divBdr>
                    </w:div>
                  </w:divsChild>
                </w:div>
                <w:div w:id="550264381">
                  <w:marLeft w:val="0"/>
                  <w:marRight w:val="0"/>
                  <w:marTop w:val="0"/>
                  <w:marBottom w:val="0"/>
                  <w:divBdr>
                    <w:top w:val="none" w:sz="0" w:space="0" w:color="auto"/>
                    <w:left w:val="none" w:sz="0" w:space="0" w:color="auto"/>
                    <w:bottom w:val="none" w:sz="0" w:space="0" w:color="auto"/>
                    <w:right w:val="none" w:sz="0" w:space="0" w:color="auto"/>
                  </w:divBdr>
                  <w:divsChild>
                    <w:div w:id="747730966">
                      <w:marLeft w:val="0"/>
                      <w:marRight w:val="0"/>
                      <w:marTop w:val="0"/>
                      <w:marBottom w:val="0"/>
                      <w:divBdr>
                        <w:top w:val="none" w:sz="0" w:space="0" w:color="auto"/>
                        <w:left w:val="none" w:sz="0" w:space="0" w:color="auto"/>
                        <w:bottom w:val="none" w:sz="0" w:space="0" w:color="auto"/>
                        <w:right w:val="none" w:sz="0" w:space="0" w:color="auto"/>
                      </w:divBdr>
                    </w:div>
                  </w:divsChild>
                </w:div>
                <w:div w:id="559175672">
                  <w:marLeft w:val="0"/>
                  <w:marRight w:val="0"/>
                  <w:marTop w:val="0"/>
                  <w:marBottom w:val="0"/>
                  <w:divBdr>
                    <w:top w:val="none" w:sz="0" w:space="0" w:color="auto"/>
                    <w:left w:val="none" w:sz="0" w:space="0" w:color="auto"/>
                    <w:bottom w:val="none" w:sz="0" w:space="0" w:color="auto"/>
                    <w:right w:val="none" w:sz="0" w:space="0" w:color="auto"/>
                  </w:divBdr>
                  <w:divsChild>
                    <w:div w:id="373389618">
                      <w:marLeft w:val="0"/>
                      <w:marRight w:val="0"/>
                      <w:marTop w:val="0"/>
                      <w:marBottom w:val="0"/>
                      <w:divBdr>
                        <w:top w:val="none" w:sz="0" w:space="0" w:color="auto"/>
                        <w:left w:val="none" w:sz="0" w:space="0" w:color="auto"/>
                        <w:bottom w:val="none" w:sz="0" w:space="0" w:color="auto"/>
                        <w:right w:val="none" w:sz="0" w:space="0" w:color="auto"/>
                      </w:divBdr>
                    </w:div>
                  </w:divsChild>
                </w:div>
                <w:div w:id="566960662">
                  <w:marLeft w:val="0"/>
                  <w:marRight w:val="0"/>
                  <w:marTop w:val="0"/>
                  <w:marBottom w:val="0"/>
                  <w:divBdr>
                    <w:top w:val="none" w:sz="0" w:space="0" w:color="auto"/>
                    <w:left w:val="none" w:sz="0" w:space="0" w:color="auto"/>
                    <w:bottom w:val="none" w:sz="0" w:space="0" w:color="auto"/>
                    <w:right w:val="none" w:sz="0" w:space="0" w:color="auto"/>
                  </w:divBdr>
                  <w:divsChild>
                    <w:div w:id="1303266950">
                      <w:marLeft w:val="0"/>
                      <w:marRight w:val="0"/>
                      <w:marTop w:val="0"/>
                      <w:marBottom w:val="0"/>
                      <w:divBdr>
                        <w:top w:val="none" w:sz="0" w:space="0" w:color="auto"/>
                        <w:left w:val="none" w:sz="0" w:space="0" w:color="auto"/>
                        <w:bottom w:val="none" w:sz="0" w:space="0" w:color="auto"/>
                        <w:right w:val="none" w:sz="0" w:space="0" w:color="auto"/>
                      </w:divBdr>
                    </w:div>
                  </w:divsChild>
                </w:div>
                <w:div w:id="596183706">
                  <w:marLeft w:val="0"/>
                  <w:marRight w:val="0"/>
                  <w:marTop w:val="0"/>
                  <w:marBottom w:val="0"/>
                  <w:divBdr>
                    <w:top w:val="none" w:sz="0" w:space="0" w:color="auto"/>
                    <w:left w:val="none" w:sz="0" w:space="0" w:color="auto"/>
                    <w:bottom w:val="none" w:sz="0" w:space="0" w:color="auto"/>
                    <w:right w:val="none" w:sz="0" w:space="0" w:color="auto"/>
                  </w:divBdr>
                  <w:divsChild>
                    <w:div w:id="1292632192">
                      <w:marLeft w:val="0"/>
                      <w:marRight w:val="0"/>
                      <w:marTop w:val="0"/>
                      <w:marBottom w:val="0"/>
                      <w:divBdr>
                        <w:top w:val="none" w:sz="0" w:space="0" w:color="auto"/>
                        <w:left w:val="none" w:sz="0" w:space="0" w:color="auto"/>
                        <w:bottom w:val="none" w:sz="0" w:space="0" w:color="auto"/>
                        <w:right w:val="none" w:sz="0" w:space="0" w:color="auto"/>
                      </w:divBdr>
                    </w:div>
                  </w:divsChild>
                </w:div>
                <w:div w:id="663968374">
                  <w:marLeft w:val="0"/>
                  <w:marRight w:val="0"/>
                  <w:marTop w:val="0"/>
                  <w:marBottom w:val="0"/>
                  <w:divBdr>
                    <w:top w:val="none" w:sz="0" w:space="0" w:color="auto"/>
                    <w:left w:val="none" w:sz="0" w:space="0" w:color="auto"/>
                    <w:bottom w:val="none" w:sz="0" w:space="0" w:color="auto"/>
                    <w:right w:val="none" w:sz="0" w:space="0" w:color="auto"/>
                  </w:divBdr>
                  <w:divsChild>
                    <w:div w:id="413478202">
                      <w:marLeft w:val="0"/>
                      <w:marRight w:val="0"/>
                      <w:marTop w:val="0"/>
                      <w:marBottom w:val="0"/>
                      <w:divBdr>
                        <w:top w:val="none" w:sz="0" w:space="0" w:color="auto"/>
                        <w:left w:val="none" w:sz="0" w:space="0" w:color="auto"/>
                        <w:bottom w:val="none" w:sz="0" w:space="0" w:color="auto"/>
                        <w:right w:val="none" w:sz="0" w:space="0" w:color="auto"/>
                      </w:divBdr>
                    </w:div>
                  </w:divsChild>
                </w:div>
                <w:div w:id="673801222">
                  <w:marLeft w:val="0"/>
                  <w:marRight w:val="0"/>
                  <w:marTop w:val="0"/>
                  <w:marBottom w:val="0"/>
                  <w:divBdr>
                    <w:top w:val="none" w:sz="0" w:space="0" w:color="auto"/>
                    <w:left w:val="none" w:sz="0" w:space="0" w:color="auto"/>
                    <w:bottom w:val="none" w:sz="0" w:space="0" w:color="auto"/>
                    <w:right w:val="none" w:sz="0" w:space="0" w:color="auto"/>
                  </w:divBdr>
                  <w:divsChild>
                    <w:div w:id="1454862592">
                      <w:marLeft w:val="0"/>
                      <w:marRight w:val="0"/>
                      <w:marTop w:val="0"/>
                      <w:marBottom w:val="0"/>
                      <w:divBdr>
                        <w:top w:val="none" w:sz="0" w:space="0" w:color="auto"/>
                        <w:left w:val="none" w:sz="0" w:space="0" w:color="auto"/>
                        <w:bottom w:val="none" w:sz="0" w:space="0" w:color="auto"/>
                        <w:right w:val="none" w:sz="0" w:space="0" w:color="auto"/>
                      </w:divBdr>
                    </w:div>
                  </w:divsChild>
                </w:div>
                <w:div w:id="677924434">
                  <w:marLeft w:val="0"/>
                  <w:marRight w:val="0"/>
                  <w:marTop w:val="0"/>
                  <w:marBottom w:val="0"/>
                  <w:divBdr>
                    <w:top w:val="none" w:sz="0" w:space="0" w:color="auto"/>
                    <w:left w:val="none" w:sz="0" w:space="0" w:color="auto"/>
                    <w:bottom w:val="none" w:sz="0" w:space="0" w:color="auto"/>
                    <w:right w:val="none" w:sz="0" w:space="0" w:color="auto"/>
                  </w:divBdr>
                  <w:divsChild>
                    <w:div w:id="891698718">
                      <w:marLeft w:val="0"/>
                      <w:marRight w:val="0"/>
                      <w:marTop w:val="0"/>
                      <w:marBottom w:val="0"/>
                      <w:divBdr>
                        <w:top w:val="none" w:sz="0" w:space="0" w:color="auto"/>
                        <w:left w:val="none" w:sz="0" w:space="0" w:color="auto"/>
                        <w:bottom w:val="none" w:sz="0" w:space="0" w:color="auto"/>
                        <w:right w:val="none" w:sz="0" w:space="0" w:color="auto"/>
                      </w:divBdr>
                    </w:div>
                  </w:divsChild>
                </w:div>
                <w:div w:id="699282235">
                  <w:marLeft w:val="0"/>
                  <w:marRight w:val="0"/>
                  <w:marTop w:val="0"/>
                  <w:marBottom w:val="0"/>
                  <w:divBdr>
                    <w:top w:val="none" w:sz="0" w:space="0" w:color="auto"/>
                    <w:left w:val="none" w:sz="0" w:space="0" w:color="auto"/>
                    <w:bottom w:val="none" w:sz="0" w:space="0" w:color="auto"/>
                    <w:right w:val="none" w:sz="0" w:space="0" w:color="auto"/>
                  </w:divBdr>
                  <w:divsChild>
                    <w:div w:id="246618041">
                      <w:marLeft w:val="0"/>
                      <w:marRight w:val="0"/>
                      <w:marTop w:val="0"/>
                      <w:marBottom w:val="0"/>
                      <w:divBdr>
                        <w:top w:val="none" w:sz="0" w:space="0" w:color="auto"/>
                        <w:left w:val="none" w:sz="0" w:space="0" w:color="auto"/>
                        <w:bottom w:val="none" w:sz="0" w:space="0" w:color="auto"/>
                        <w:right w:val="none" w:sz="0" w:space="0" w:color="auto"/>
                      </w:divBdr>
                    </w:div>
                  </w:divsChild>
                </w:div>
                <w:div w:id="712922213">
                  <w:marLeft w:val="0"/>
                  <w:marRight w:val="0"/>
                  <w:marTop w:val="0"/>
                  <w:marBottom w:val="0"/>
                  <w:divBdr>
                    <w:top w:val="none" w:sz="0" w:space="0" w:color="auto"/>
                    <w:left w:val="none" w:sz="0" w:space="0" w:color="auto"/>
                    <w:bottom w:val="none" w:sz="0" w:space="0" w:color="auto"/>
                    <w:right w:val="none" w:sz="0" w:space="0" w:color="auto"/>
                  </w:divBdr>
                  <w:divsChild>
                    <w:div w:id="2121366541">
                      <w:marLeft w:val="0"/>
                      <w:marRight w:val="0"/>
                      <w:marTop w:val="0"/>
                      <w:marBottom w:val="0"/>
                      <w:divBdr>
                        <w:top w:val="none" w:sz="0" w:space="0" w:color="auto"/>
                        <w:left w:val="none" w:sz="0" w:space="0" w:color="auto"/>
                        <w:bottom w:val="none" w:sz="0" w:space="0" w:color="auto"/>
                        <w:right w:val="none" w:sz="0" w:space="0" w:color="auto"/>
                      </w:divBdr>
                    </w:div>
                  </w:divsChild>
                </w:div>
                <w:div w:id="790437773">
                  <w:marLeft w:val="0"/>
                  <w:marRight w:val="0"/>
                  <w:marTop w:val="0"/>
                  <w:marBottom w:val="0"/>
                  <w:divBdr>
                    <w:top w:val="none" w:sz="0" w:space="0" w:color="auto"/>
                    <w:left w:val="none" w:sz="0" w:space="0" w:color="auto"/>
                    <w:bottom w:val="none" w:sz="0" w:space="0" w:color="auto"/>
                    <w:right w:val="none" w:sz="0" w:space="0" w:color="auto"/>
                  </w:divBdr>
                  <w:divsChild>
                    <w:div w:id="2054646075">
                      <w:marLeft w:val="0"/>
                      <w:marRight w:val="0"/>
                      <w:marTop w:val="0"/>
                      <w:marBottom w:val="0"/>
                      <w:divBdr>
                        <w:top w:val="none" w:sz="0" w:space="0" w:color="auto"/>
                        <w:left w:val="none" w:sz="0" w:space="0" w:color="auto"/>
                        <w:bottom w:val="none" w:sz="0" w:space="0" w:color="auto"/>
                        <w:right w:val="none" w:sz="0" w:space="0" w:color="auto"/>
                      </w:divBdr>
                    </w:div>
                  </w:divsChild>
                </w:div>
                <w:div w:id="831874609">
                  <w:marLeft w:val="0"/>
                  <w:marRight w:val="0"/>
                  <w:marTop w:val="0"/>
                  <w:marBottom w:val="0"/>
                  <w:divBdr>
                    <w:top w:val="none" w:sz="0" w:space="0" w:color="auto"/>
                    <w:left w:val="none" w:sz="0" w:space="0" w:color="auto"/>
                    <w:bottom w:val="none" w:sz="0" w:space="0" w:color="auto"/>
                    <w:right w:val="none" w:sz="0" w:space="0" w:color="auto"/>
                  </w:divBdr>
                  <w:divsChild>
                    <w:div w:id="1846437189">
                      <w:marLeft w:val="0"/>
                      <w:marRight w:val="0"/>
                      <w:marTop w:val="0"/>
                      <w:marBottom w:val="0"/>
                      <w:divBdr>
                        <w:top w:val="none" w:sz="0" w:space="0" w:color="auto"/>
                        <w:left w:val="none" w:sz="0" w:space="0" w:color="auto"/>
                        <w:bottom w:val="none" w:sz="0" w:space="0" w:color="auto"/>
                        <w:right w:val="none" w:sz="0" w:space="0" w:color="auto"/>
                      </w:divBdr>
                    </w:div>
                  </w:divsChild>
                </w:div>
                <w:div w:id="843594773">
                  <w:marLeft w:val="0"/>
                  <w:marRight w:val="0"/>
                  <w:marTop w:val="0"/>
                  <w:marBottom w:val="0"/>
                  <w:divBdr>
                    <w:top w:val="none" w:sz="0" w:space="0" w:color="auto"/>
                    <w:left w:val="none" w:sz="0" w:space="0" w:color="auto"/>
                    <w:bottom w:val="none" w:sz="0" w:space="0" w:color="auto"/>
                    <w:right w:val="none" w:sz="0" w:space="0" w:color="auto"/>
                  </w:divBdr>
                  <w:divsChild>
                    <w:div w:id="1061368220">
                      <w:marLeft w:val="0"/>
                      <w:marRight w:val="0"/>
                      <w:marTop w:val="0"/>
                      <w:marBottom w:val="0"/>
                      <w:divBdr>
                        <w:top w:val="none" w:sz="0" w:space="0" w:color="auto"/>
                        <w:left w:val="none" w:sz="0" w:space="0" w:color="auto"/>
                        <w:bottom w:val="none" w:sz="0" w:space="0" w:color="auto"/>
                        <w:right w:val="none" w:sz="0" w:space="0" w:color="auto"/>
                      </w:divBdr>
                    </w:div>
                  </w:divsChild>
                </w:div>
                <w:div w:id="856701232">
                  <w:marLeft w:val="0"/>
                  <w:marRight w:val="0"/>
                  <w:marTop w:val="0"/>
                  <w:marBottom w:val="0"/>
                  <w:divBdr>
                    <w:top w:val="none" w:sz="0" w:space="0" w:color="auto"/>
                    <w:left w:val="none" w:sz="0" w:space="0" w:color="auto"/>
                    <w:bottom w:val="none" w:sz="0" w:space="0" w:color="auto"/>
                    <w:right w:val="none" w:sz="0" w:space="0" w:color="auto"/>
                  </w:divBdr>
                  <w:divsChild>
                    <w:div w:id="1772699524">
                      <w:marLeft w:val="0"/>
                      <w:marRight w:val="0"/>
                      <w:marTop w:val="0"/>
                      <w:marBottom w:val="0"/>
                      <w:divBdr>
                        <w:top w:val="none" w:sz="0" w:space="0" w:color="auto"/>
                        <w:left w:val="none" w:sz="0" w:space="0" w:color="auto"/>
                        <w:bottom w:val="none" w:sz="0" w:space="0" w:color="auto"/>
                        <w:right w:val="none" w:sz="0" w:space="0" w:color="auto"/>
                      </w:divBdr>
                    </w:div>
                  </w:divsChild>
                </w:div>
                <w:div w:id="918490526">
                  <w:marLeft w:val="0"/>
                  <w:marRight w:val="0"/>
                  <w:marTop w:val="0"/>
                  <w:marBottom w:val="0"/>
                  <w:divBdr>
                    <w:top w:val="none" w:sz="0" w:space="0" w:color="auto"/>
                    <w:left w:val="none" w:sz="0" w:space="0" w:color="auto"/>
                    <w:bottom w:val="none" w:sz="0" w:space="0" w:color="auto"/>
                    <w:right w:val="none" w:sz="0" w:space="0" w:color="auto"/>
                  </w:divBdr>
                  <w:divsChild>
                    <w:div w:id="513417893">
                      <w:marLeft w:val="0"/>
                      <w:marRight w:val="0"/>
                      <w:marTop w:val="0"/>
                      <w:marBottom w:val="0"/>
                      <w:divBdr>
                        <w:top w:val="none" w:sz="0" w:space="0" w:color="auto"/>
                        <w:left w:val="none" w:sz="0" w:space="0" w:color="auto"/>
                        <w:bottom w:val="none" w:sz="0" w:space="0" w:color="auto"/>
                        <w:right w:val="none" w:sz="0" w:space="0" w:color="auto"/>
                      </w:divBdr>
                    </w:div>
                  </w:divsChild>
                </w:div>
                <w:div w:id="945388467">
                  <w:marLeft w:val="0"/>
                  <w:marRight w:val="0"/>
                  <w:marTop w:val="0"/>
                  <w:marBottom w:val="0"/>
                  <w:divBdr>
                    <w:top w:val="none" w:sz="0" w:space="0" w:color="auto"/>
                    <w:left w:val="none" w:sz="0" w:space="0" w:color="auto"/>
                    <w:bottom w:val="none" w:sz="0" w:space="0" w:color="auto"/>
                    <w:right w:val="none" w:sz="0" w:space="0" w:color="auto"/>
                  </w:divBdr>
                  <w:divsChild>
                    <w:div w:id="873691513">
                      <w:marLeft w:val="0"/>
                      <w:marRight w:val="0"/>
                      <w:marTop w:val="0"/>
                      <w:marBottom w:val="0"/>
                      <w:divBdr>
                        <w:top w:val="none" w:sz="0" w:space="0" w:color="auto"/>
                        <w:left w:val="none" w:sz="0" w:space="0" w:color="auto"/>
                        <w:bottom w:val="none" w:sz="0" w:space="0" w:color="auto"/>
                        <w:right w:val="none" w:sz="0" w:space="0" w:color="auto"/>
                      </w:divBdr>
                    </w:div>
                  </w:divsChild>
                </w:div>
                <w:div w:id="1067730614">
                  <w:marLeft w:val="0"/>
                  <w:marRight w:val="0"/>
                  <w:marTop w:val="0"/>
                  <w:marBottom w:val="0"/>
                  <w:divBdr>
                    <w:top w:val="none" w:sz="0" w:space="0" w:color="auto"/>
                    <w:left w:val="none" w:sz="0" w:space="0" w:color="auto"/>
                    <w:bottom w:val="none" w:sz="0" w:space="0" w:color="auto"/>
                    <w:right w:val="none" w:sz="0" w:space="0" w:color="auto"/>
                  </w:divBdr>
                  <w:divsChild>
                    <w:div w:id="1154449195">
                      <w:marLeft w:val="0"/>
                      <w:marRight w:val="0"/>
                      <w:marTop w:val="0"/>
                      <w:marBottom w:val="0"/>
                      <w:divBdr>
                        <w:top w:val="none" w:sz="0" w:space="0" w:color="auto"/>
                        <w:left w:val="none" w:sz="0" w:space="0" w:color="auto"/>
                        <w:bottom w:val="none" w:sz="0" w:space="0" w:color="auto"/>
                        <w:right w:val="none" w:sz="0" w:space="0" w:color="auto"/>
                      </w:divBdr>
                    </w:div>
                  </w:divsChild>
                </w:div>
                <w:div w:id="1070032676">
                  <w:marLeft w:val="0"/>
                  <w:marRight w:val="0"/>
                  <w:marTop w:val="0"/>
                  <w:marBottom w:val="0"/>
                  <w:divBdr>
                    <w:top w:val="none" w:sz="0" w:space="0" w:color="auto"/>
                    <w:left w:val="none" w:sz="0" w:space="0" w:color="auto"/>
                    <w:bottom w:val="none" w:sz="0" w:space="0" w:color="auto"/>
                    <w:right w:val="none" w:sz="0" w:space="0" w:color="auto"/>
                  </w:divBdr>
                  <w:divsChild>
                    <w:div w:id="742946963">
                      <w:marLeft w:val="0"/>
                      <w:marRight w:val="0"/>
                      <w:marTop w:val="0"/>
                      <w:marBottom w:val="0"/>
                      <w:divBdr>
                        <w:top w:val="none" w:sz="0" w:space="0" w:color="auto"/>
                        <w:left w:val="none" w:sz="0" w:space="0" w:color="auto"/>
                        <w:bottom w:val="none" w:sz="0" w:space="0" w:color="auto"/>
                        <w:right w:val="none" w:sz="0" w:space="0" w:color="auto"/>
                      </w:divBdr>
                    </w:div>
                  </w:divsChild>
                </w:div>
                <w:div w:id="1073352018">
                  <w:marLeft w:val="0"/>
                  <w:marRight w:val="0"/>
                  <w:marTop w:val="0"/>
                  <w:marBottom w:val="0"/>
                  <w:divBdr>
                    <w:top w:val="none" w:sz="0" w:space="0" w:color="auto"/>
                    <w:left w:val="none" w:sz="0" w:space="0" w:color="auto"/>
                    <w:bottom w:val="none" w:sz="0" w:space="0" w:color="auto"/>
                    <w:right w:val="none" w:sz="0" w:space="0" w:color="auto"/>
                  </w:divBdr>
                  <w:divsChild>
                    <w:div w:id="1629164480">
                      <w:marLeft w:val="0"/>
                      <w:marRight w:val="0"/>
                      <w:marTop w:val="0"/>
                      <w:marBottom w:val="0"/>
                      <w:divBdr>
                        <w:top w:val="none" w:sz="0" w:space="0" w:color="auto"/>
                        <w:left w:val="none" w:sz="0" w:space="0" w:color="auto"/>
                        <w:bottom w:val="none" w:sz="0" w:space="0" w:color="auto"/>
                        <w:right w:val="none" w:sz="0" w:space="0" w:color="auto"/>
                      </w:divBdr>
                    </w:div>
                  </w:divsChild>
                </w:div>
                <w:div w:id="1088233477">
                  <w:marLeft w:val="0"/>
                  <w:marRight w:val="0"/>
                  <w:marTop w:val="0"/>
                  <w:marBottom w:val="0"/>
                  <w:divBdr>
                    <w:top w:val="none" w:sz="0" w:space="0" w:color="auto"/>
                    <w:left w:val="none" w:sz="0" w:space="0" w:color="auto"/>
                    <w:bottom w:val="none" w:sz="0" w:space="0" w:color="auto"/>
                    <w:right w:val="none" w:sz="0" w:space="0" w:color="auto"/>
                  </w:divBdr>
                  <w:divsChild>
                    <w:div w:id="1446076304">
                      <w:marLeft w:val="0"/>
                      <w:marRight w:val="0"/>
                      <w:marTop w:val="0"/>
                      <w:marBottom w:val="0"/>
                      <w:divBdr>
                        <w:top w:val="none" w:sz="0" w:space="0" w:color="auto"/>
                        <w:left w:val="none" w:sz="0" w:space="0" w:color="auto"/>
                        <w:bottom w:val="none" w:sz="0" w:space="0" w:color="auto"/>
                        <w:right w:val="none" w:sz="0" w:space="0" w:color="auto"/>
                      </w:divBdr>
                    </w:div>
                  </w:divsChild>
                </w:div>
                <w:div w:id="1108157077">
                  <w:marLeft w:val="0"/>
                  <w:marRight w:val="0"/>
                  <w:marTop w:val="0"/>
                  <w:marBottom w:val="0"/>
                  <w:divBdr>
                    <w:top w:val="none" w:sz="0" w:space="0" w:color="auto"/>
                    <w:left w:val="none" w:sz="0" w:space="0" w:color="auto"/>
                    <w:bottom w:val="none" w:sz="0" w:space="0" w:color="auto"/>
                    <w:right w:val="none" w:sz="0" w:space="0" w:color="auto"/>
                  </w:divBdr>
                  <w:divsChild>
                    <w:div w:id="323822366">
                      <w:marLeft w:val="0"/>
                      <w:marRight w:val="0"/>
                      <w:marTop w:val="0"/>
                      <w:marBottom w:val="0"/>
                      <w:divBdr>
                        <w:top w:val="none" w:sz="0" w:space="0" w:color="auto"/>
                        <w:left w:val="none" w:sz="0" w:space="0" w:color="auto"/>
                        <w:bottom w:val="none" w:sz="0" w:space="0" w:color="auto"/>
                        <w:right w:val="none" w:sz="0" w:space="0" w:color="auto"/>
                      </w:divBdr>
                    </w:div>
                  </w:divsChild>
                </w:div>
                <w:div w:id="1131631172">
                  <w:marLeft w:val="0"/>
                  <w:marRight w:val="0"/>
                  <w:marTop w:val="0"/>
                  <w:marBottom w:val="0"/>
                  <w:divBdr>
                    <w:top w:val="none" w:sz="0" w:space="0" w:color="auto"/>
                    <w:left w:val="none" w:sz="0" w:space="0" w:color="auto"/>
                    <w:bottom w:val="none" w:sz="0" w:space="0" w:color="auto"/>
                    <w:right w:val="none" w:sz="0" w:space="0" w:color="auto"/>
                  </w:divBdr>
                  <w:divsChild>
                    <w:div w:id="1349217716">
                      <w:marLeft w:val="0"/>
                      <w:marRight w:val="0"/>
                      <w:marTop w:val="0"/>
                      <w:marBottom w:val="0"/>
                      <w:divBdr>
                        <w:top w:val="none" w:sz="0" w:space="0" w:color="auto"/>
                        <w:left w:val="none" w:sz="0" w:space="0" w:color="auto"/>
                        <w:bottom w:val="none" w:sz="0" w:space="0" w:color="auto"/>
                        <w:right w:val="none" w:sz="0" w:space="0" w:color="auto"/>
                      </w:divBdr>
                    </w:div>
                  </w:divsChild>
                </w:div>
                <w:div w:id="1134761317">
                  <w:marLeft w:val="0"/>
                  <w:marRight w:val="0"/>
                  <w:marTop w:val="0"/>
                  <w:marBottom w:val="0"/>
                  <w:divBdr>
                    <w:top w:val="none" w:sz="0" w:space="0" w:color="auto"/>
                    <w:left w:val="none" w:sz="0" w:space="0" w:color="auto"/>
                    <w:bottom w:val="none" w:sz="0" w:space="0" w:color="auto"/>
                    <w:right w:val="none" w:sz="0" w:space="0" w:color="auto"/>
                  </w:divBdr>
                  <w:divsChild>
                    <w:div w:id="1541548911">
                      <w:marLeft w:val="0"/>
                      <w:marRight w:val="0"/>
                      <w:marTop w:val="0"/>
                      <w:marBottom w:val="0"/>
                      <w:divBdr>
                        <w:top w:val="none" w:sz="0" w:space="0" w:color="auto"/>
                        <w:left w:val="none" w:sz="0" w:space="0" w:color="auto"/>
                        <w:bottom w:val="none" w:sz="0" w:space="0" w:color="auto"/>
                        <w:right w:val="none" w:sz="0" w:space="0" w:color="auto"/>
                      </w:divBdr>
                    </w:div>
                  </w:divsChild>
                </w:div>
                <w:div w:id="1164012452">
                  <w:marLeft w:val="0"/>
                  <w:marRight w:val="0"/>
                  <w:marTop w:val="0"/>
                  <w:marBottom w:val="0"/>
                  <w:divBdr>
                    <w:top w:val="none" w:sz="0" w:space="0" w:color="auto"/>
                    <w:left w:val="none" w:sz="0" w:space="0" w:color="auto"/>
                    <w:bottom w:val="none" w:sz="0" w:space="0" w:color="auto"/>
                    <w:right w:val="none" w:sz="0" w:space="0" w:color="auto"/>
                  </w:divBdr>
                  <w:divsChild>
                    <w:div w:id="2127499907">
                      <w:marLeft w:val="0"/>
                      <w:marRight w:val="0"/>
                      <w:marTop w:val="0"/>
                      <w:marBottom w:val="0"/>
                      <w:divBdr>
                        <w:top w:val="none" w:sz="0" w:space="0" w:color="auto"/>
                        <w:left w:val="none" w:sz="0" w:space="0" w:color="auto"/>
                        <w:bottom w:val="none" w:sz="0" w:space="0" w:color="auto"/>
                        <w:right w:val="none" w:sz="0" w:space="0" w:color="auto"/>
                      </w:divBdr>
                    </w:div>
                  </w:divsChild>
                </w:div>
                <w:div w:id="1202398815">
                  <w:marLeft w:val="0"/>
                  <w:marRight w:val="0"/>
                  <w:marTop w:val="0"/>
                  <w:marBottom w:val="0"/>
                  <w:divBdr>
                    <w:top w:val="none" w:sz="0" w:space="0" w:color="auto"/>
                    <w:left w:val="none" w:sz="0" w:space="0" w:color="auto"/>
                    <w:bottom w:val="none" w:sz="0" w:space="0" w:color="auto"/>
                    <w:right w:val="none" w:sz="0" w:space="0" w:color="auto"/>
                  </w:divBdr>
                  <w:divsChild>
                    <w:div w:id="832374706">
                      <w:marLeft w:val="0"/>
                      <w:marRight w:val="0"/>
                      <w:marTop w:val="0"/>
                      <w:marBottom w:val="0"/>
                      <w:divBdr>
                        <w:top w:val="none" w:sz="0" w:space="0" w:color="auto"/>
                        <w:left w:val="none" w:sz="0" w:space="0" w:color="auto"/>
                        <w:bottom w:val="none" w:sz="0" w:space="0" w:color="auto"/>
                        <w:right w:val="none" w:sz="0" w:space="0" w:color="auto"/>
                      </w:divBdr>
                    </w:div>
                  </w:divsChild>
                </w:div>
                <w:div w:id="1263025260">
                  <w:marLeft w:val="0"/>
                  <w:marRight w:val="0"/>
                  <w:marTop w:val="0"/>
                  <w:marBottom w:val="0"/>
                  <w:divBdr>
                    <w:top w:val="none" w:sz="0" w:space="0" w:color="auto"/>
                    <w:left w:val="none" w:sz="0" w:space="0" w:color="auto"/>
                    <w:bottom w:val="none" w:sz="0" w:space="0" w:color="auto"/>
                    <w:right w:val="none" w:sz="0" w:space="0" w:color="auto"/>
                  </w:divBdr>
                  <w:divsChild>
                    <w:div w:id="1846477259">
                      <w:marLeft w:val="0"/>
                      <w:marRight w:val="0"/>
                      <w:marTop w:val="0"/>
                      <w:marBottom w:val="0"/>
                      <w:divBdr>
                        <w:top w:val="none" w:sz="0" w:space="0" w:color="auto"/>
                        <w:left w:val="none" w:sz="0" w:space="0" w:color="auto"/>
                        <w:bottom w:val="none" w:sz="0" w:space="0" w:color="auto"/>
                        <w:right w:val="none" w:sz="0" w:space="0" w:color="auto"/>
                      </w:divBdr>
                    </w:div>
                  </w:divsChild>
                </w:div>
                <w:div w:id="1292051421">
                  <w:marLeft w:val="0"/>
                  <w:marRight w:val="0"/>
                  <w:marTop w:val="0"/>
                  <w:marBottom w:val="0"/>
                  <w:divBdr>
                    <w:top w:val="none" w:sz="0" w:space="0" w:color="auto"/>
                    <w:left w:val="none" w:sz="0" w:space="0" w:color="auto"/>
                    <w:bottom w:val="none" w:sz="0" w:space="0" w:color="auto"/>
                    <w:right w:val="none" w:sz="0" w:space="0" w:color="auto"/>
                  </w:divBdr>
                  <w:divsChild>
                    <w:div w:id="934289022">
                      <w:marLeft w:val="0"/>
                      <w:marRight w:val="0"/>
                      <w:marTop w:val="0"/>
                      <w:marBottom w:val="0"/>
                      <w:divBdr>
                        <w:top w:val="none" w:sz="0" w:space="0" w:color="auto"/>
                        <w:left w:val="none" w:sz="0" w:space="0" w:color="auto"/>
                        <w:bottom w:val="none" w:sz="0" w:space="0" w:color="auto"/>
                        <w:right w:val="none" w:sz="0" w:space="0" w:color="auto"/>
                      </w:divBdr>
                    </w:div>
                  </w:divsChild>
                </w:div>
                <w:div w:id="1294411318">
                  <w:marLeft w:val="0"/>
                  <w:marRight w:val="0"/>
                  <w:marTop w:val="0"/>
                  <w:marBottom w:val="0"/>
                  <w:divBdr>
                    <w:top w:val="none" w:sz="0" w:space="0" w:color="auto"/>
                    <w:left w:val="none" w:sz="0" w:space="0" w:color="auto"/>
                    <w:bottom w:val="none" w:sz="0" w:space="0" w:color="auto"/>
                    <w:right w:val="none" w:sz="0" w:space="0" w:color="auto"/>
                  </w:divBdr>
                  <w:divsChild>
                    <w:div w:id="1214805009">
                      <w:marLeft w:val="0"/>
                      <w:marRight w:val="0"/>
                      <w:marTop w:val="0"/>
                      <w:marBottom w:val="0"/>
                      <w:divBdr>
                        <w:top w:val="none" w:sz="0" w:space="0" w:color="auto"/>
                        <w:left w:val="none" w:sz="0" w:space="0" w:color="auto"/>
                        <w:bottom w:val="none" w:sz="0" w:space="0" w:color="auto"/>
                        <w:right w:val="none" w:sz="0" w:space="0" w:color="auto"/>
                      </w:divBdr>
                    </w:div>
                  </w:divsChild>
                </w:div>
                <w:div w:id="1329482824">
                  <w:marLeft w:val="0"/>
                  <w:marRight w:val="0"/>
                  <w:marTop w:val="0"/>
                  <w:marBottom w:val="0"/>
                  <w:divBdr>
                    <w:top w:val="none" w:sz="0" w:space="0" w:color="auto"/>
                    <w:left w:val="none" w:sz="0" w:space="0" w:color="auto"/>
                    <w:bottom w:val="none" w:sz="0" w:space="0" w:color="auto"/>
                    <w:right w:val="none" w:sz="0" w:space="0" w:color="auto"/>
                  </w:divBdr>
                  <w:divsChild>
                    <w:div w:id="238832290">
                      <w:marLeft w:val="0"/>
                      <w:marRight w:val="0"/>
                      <w:marTop w:val="0"/>
                      <w:marBottom w:val="0"/>
                      <w:divBdr>
                        <w:top w:val="none" w:sz="0" w:space="0" w:color="auto"/>
                        <w:left w:val="none" w:sz="0" w:space="0" w:color="auto"/>
                        <w:bottom w:val="none" w:sz="0" w:space="0" w:color="auto"/>
                        <w:right w:val="none" w:sz="0" w:space="0" w:color="auto"/>
                      </w:divBdr>
                    </w:div>
                  </w:divsChild>
                </w:div>
                <w:div w:id="1360665888">
                  <w:marLeft w:val="0"/>
                  <w:marRight w:val="0"/>
                  <w:marTop w:val="0"/>
                  <w:marBottom w:val="0"/>
                  <w:divBdr>
                    <w:top w:val="none" w:sz="0" w:space="0" w:color="auto"/>
                    <w:left w:val="none" w:sz="0" w:space="0" w:color="auto"/>
                    <w:bottom w:val="none" w:sz="0" w:space="0" w:color="auto"/>
                    <w:right w:val="none" w:sz="0" w:space="0" w:color="auto"/>
                  </w:divBdr>
                  <w:divsChild>
                    <w:div w:id="129398587">
                      <w:marLeft w:val="0"/>
                      <w:marRight w:val="0"/>
                      <w:marTop w:val="0"/>
                      <w:marBottom w:val="0"/>
                      <w:divBdr>
                        <w:top w:val="none" w:sz="0" w:space="0" w:color="auto"/>
                        <w:left w:val="none" w:sz="0" w:space="0" w:color="auto"/>
                        <w:bottom w:val="none" w:sz="0" w:space="0" w:color="auto"/>
                        <w:right w:val="none" w:sz="0" w:space="0" w:color="auto"/>
                      </w:divBdr>
                    </w:div>
                  </w:divsChild>
                </w:div>
                <w:div w:id="1391462297">
                  <w:marLeft w:val="0"/>
                  <w:marRight w:val="0"/>
                  <w:marTop w:val="0"/>
                  <w:marBottom w:val="0"/>
                  <w:divBdr>
                    <w:top w:val="none" w:sz="0" w:space="0" w:color="auto"/>
                    <w:left w:val="none" w:sz="0" w:space="0" w:color="auto"/>
                    <w:bottom w:val="none" w:sz="0" w:space="0" w:color="auto"/>
                    <w:right w:val="none" w:sz="0" w:space="0" w:color="auto"/>
                  </w:divBdr>
                  <w:divsChild>
                    <w:div w:id="1106730386">
                      <w:marLeft w:val="0"/>
                      <w:marRight w:val="0"/>
                      <w:marTop w:val="0"/>
                      <w:marBottom w:val="0"/>
                      <w:divBdr>
                        <w:top w:val="none" w:sz="0" w:space="0" w:color="auto"/>
                        <w:left w:val="none" w:sz="0" w:space="0" w:color="auto"/>
                        <w:bottom w:val="none" w:sz="0" w:space="0" w:color="auto"/>
                        <w:right w:val="none" w:sz="0" w:space="0" w:color="auto"/>
                      </w:divBdr>
                    </w:div>
                  </w:divsChild>
                </w:div>
                <w:div w:id="1415122868">
                  <w:marLeft w:val="0"/>
                  <w:marRight w:val="0"/>
                  <w:marTop w:val="0"/>
                  <w:marBottom w:val="0"/>
                  <w:divBdr>
                    <w:top w:val="none" w:sz="0" w:space="0" w:color="auto"/>
                    <w:left w:val="none" w:sz="0" w:space="0" w:color="auto"/>
                    <w:bottom w:val="none" w:sz="0" w:space="0" w:color="auto"/>
                    <w:right w:val="none" w:sz="0" w:space="0" w:color="auto"/>
                  </w:divBdr>
                  <w:divsChild>
                    <w:div w:id="1397974399">
                      <w:marLeft w:val="0"/>
                      <w:marRight w:val="0"/>
                      <w:marTop w:val="0"/>
                      <w:marBottom w:val="0"/>
                      <w:divBdr>
                        <w:top w:val="none" w:sz="0" w:space="0" w:color="auto"/>
                        <w:left w:val="none" w:sz="0" w:space="0" w:color="auto"/>
                        <w:bottom w:val="none" w:sz="0" w:space="0" w:color="auto"/>
                        <w:right w:val="none" w:sz="0" w:space="0" w:color="auto"/>
                      </w:divBdr>
                    </w:div>
                  </w:divsChild>
                </w:div>
                <w:div w:id="1425761616">
                  <w:marLeft w:val="0"/>
                  <w:marRight w:val="0"/>
                  <w:marTop w:val="0"/>
                  <w:marBottom w:val="0"/>
                  <w:divBdr>
                    <w:top w:val="none" w:sz="0" w:space="0" w:color="auto"/>
                    <w:left w:val="none" w:sz="0" w:space="0" w:color="auto"/>
                    <w:bottom w:val="none" w:sz="0" w:space="0" w:color="auto"/>
                    <w:right w:val="none" w:sz="0" w:space="0" w:color="auto"/>
                  </w:divBdr>
                  <w:divsChild>
                    <w:div w:id="389691011">
                      <w:marLeft w:val="0"/>
                      <w:marRight w:val="0"/>
                      <w:marTop w:val="0"/>
                      <w:marBottom w:val="0"/>
                      <w:divBdr>
                        <w:top w:val="none" w:sz="0" w:space="0" w:color="auto"/>
                        <w:left w:val="none" w:sz="0" w:space="0" w:color="auto"/>
                        <w:bottom w:val="none" w:sz="0" w:space="0" w:color="auto"/>
                        <w:right w:val="none" w:sz="0" w:space="0" w:color="auto"/>
                      </w:divBdr>
                    </w:div>
                  </w:divsChild>
                </w:div>
                <w:div w:id="1515877278">
                  <w:marLeft w:val="0"/>
                  <w:marRight w:val="0"/>
                  <w:marTop w:val="0"/>
                  <w:marBottom w:val="0"/>
                  <w:divBdr>
                    <w:top w:val="none" w:sz="0" w:space="0" w:color="auto"/>
                    <w:left w:val="none" w:sz="0" w:space="0" w:color="auto"/>
                    <w:bottom w:val="none" w:sz="0" w:space="0" w:color="auto"/>
                    <w:right w:val="none" w:sz="0" w:space="0" w:color="auto"/>
                  </w:divBdr>
                  <w:divsChild>
                    <w:div w:id="893586972">
                      <w:marLeft w:val="0"/>
                      <w:marRight w:val="0"/>
                      <w:marTop w:val="0"/>
                      <w:marBottom w:val="0"/>
                      <w:divBdr>
                        <w:top w:val="none" w:sz="0" w:space="0" w:color="auto"/>
                        <w:left w:val="none" w:sz="0" w:space="0" w:color="auto"/>
                        <w:bottom w:val="none" w:sz="0" w:space="0" w:color="auto"/>
                        <w:right w:val="none" w:sz="0" w:space="0" w:color="auto"/>
                      </w:divBdr>
                    </w:div>
                  </w:divsChild>
                </w:div>
                <w:div w:id="1527714464">
                  <w:marLeft w:val="0"/>
                  <w:marRight w:val="0"/>
                  <w:marTop w:val="0"/>
                  <w:marBottom w:val="0"/>
                  <w:divBdr>
                    <w:top w:val="none" w:sz="0" w:space="0" w:color="auto"/>
                    <w:left w:val="none" w:sz="0" w:space="0" w:color="auto"/>
                    <w:bottom w:val="none" w:sz="0" w:space="0" w:color="auto"/>
                    <w:right w:val="none" w:sz="0" w:space="0" w:color="auto"/>
                  </w:divBdr>
                  <w:divsChild>
                    <w:div w:id="1136146024">
                      <w:marLeft w:val="0"/>
                      <w:marRight w:val="0"/>
                      <w:marTop w:val="0"/>
                      <w:marBottom w:val="0"/>
                      <w:divBdr>
                        <w:top w:val="none" w:sz="0" w:space="0" w:color="auto"/>
                        <w:left w:val="none" w:sz="0" w:space="0" w:color="auto"/>
                        <w:bottom w:val="none" w:sz="0" w:space="0" w:color="auto"/>
                        <w:right w:val="none" w:sz="0" w:space="0" w:color="auto"/>
                      </w:divBdr>
                    </w:div>
                  </w:divsChild>
                </w:div>
                <w:div w:id="1538279970">
                  <w:marLeft w:val="0"/>
                  <w:marRight w:val="0"/>
                  <w:marTop w:val="0"/>
                  <w:marBottom w:val="0"/>
                  <w:divBdr>
                    <w:top w:val="none" w:sz="0" w:space="0" w:color="auto"/>
                    <w:left w:val="none" w:sz="0" w:space="0" w:color="auto"/>
                    <w:bottom w:val="none" w:sz="0" w:space="0" w:color="auto"/>
                    <w:right w:val="none" w:sz="0" w:space="0" w:color="auto"/>
                  </w:divBdr>
                  <w:divsChild>
                    <w:div w:id="617026650">
                      <w:marLeft w:val="0"/>
                      <w:marRight w:val="0"/>
                      <w:marTop w:val="0"/>
                      <w:marBottom w:val="0"/>
                      <w:divBdr>
                        <w:top w:val="none" w:sz="0" w:space="0" w:color="auto"/>
                        <w:left w:val="none" w:sz="0" w:space="0" w:color="auto"/>
                        <w:bottom w:val="none" w:sz="0" w:space="0" w:color="auto"/>
                        <w:right w:val="none" w:sz="0" w:space="0" w:color="auto"/>
                      </w:divBdr>
                    </w:div>
                  </w:divsChild>
                </w:div>
                <w:div w:id="1559050702">
                  <w:marLeft w:val="0"/>
                  <w:marRight w:val="0"/>
                  <w:marTop w:val="0"/>
                  <w:marBottom w:val="0"/>
                  <w:divBdr>
                    <w:top w:val="none" w:sz="0" w:space="0" w:color="auto"/>
                    <w:left w:val="none" w:sz="0" w:space="0" w:color="auto"/>
                    <w:bottom w:val="none" w:sz="0" w:space="0" w:color="auto"/>
                    <w:right w:val="none" w:sz="0" w:space="0" w:color="auto"/>
                  </w:divBdr>
                  <w:divsChild>
                    <w:div w:id="412318154">
                      <w:marLeft w:val="0"/>
                      <w:marRight w:val="0"/>
                      <w:marTop w:val="0"/>
                      <w:marBottom w:val="0"/>
                      <w:divBdr>
                        <w:top w:val="none" w:sz="0" w:space="0" w:color="auto"/>
                        <w:left w:val="none" w:sz="0" w:space="0" w:color="auto"/>
                        <w:bottom w:val="none" w:sz="0" w:space="0" w:color="auto"/>
                        <w:right w:val="none" w:sz="0" w:space="0" w:color="auto"/>
                      </w:divBdr>
                    </w:div>
                  </w:divsChild>
                </w:div>
                <w:div w:id="1578977650">
                  <w:marLeft w:val="0"/>
                  <w:marRight w:val="0"/>
                  <w:marTop w:val="0"/>
                  <w:marBottom w:val="0"/>
                  <w:divBdr>
                    <w:top w:val="none" w:sz="0" w:space="0" w:color="auto"/>
                    <w:left w:val="none" w:sz="0" w:space="0" w:color="auto"/>
                    <w:bottom w:val="none" w:sz="0" w:space="0" w:color="auto"/>
                    <w:right w:val="none" w:sz="0" w:space="0" w:color="auto"/>
                  </w:divBdr>
                  <w:divsChild>
                    <w:div w:id="778337001">
                      <w:marLeft w:val="0"/>
                      <w:marRight w:val="0"/>
                      <w:marTop w:val="0"/>
                      <w:marBottom w:val="0"/>
                      <w:divBdr>
                        <w:top w:val="none" w:sz="0" w:space="0" w:color="auto"/>
                        <w:left w:val="none" w:sz="0" w:space="0" w:color="auto"/>
                        <w:bottom w:val="none" w:sz="0" w:space="0" w:color="auto"/>
                        <w:right w:val="none" w:sz="0" w:space="0" w:color="auto"/>
                      </w:divBdr>
                    </w:div>
                  </w:divsChild>
                </w:div>
                <w:div w:id="1583027046">
                  <w:marLeft w:val="0"/>
                  <w:marRight w:val="0"/>
                  <w:marTop w:val="0"/>
                  <w:marBottom w:val="0"/>
                  <w:divBdr>
                    <w:top w:val="none" w:sz="0" w:space="0" w:color="auto"/>
                    <w:left w:val="none" w:sz="0" w:space="0" w:color="auto"/>
                    <w:bottom w:val="none" w:sz="0" w:space="0" w:color="auto"/>
                    <w:right w:val="none" w:sz="0" w:space="0" w:color="auto"/>
                  </w:divBdr>
                  <w:divsChild>
                    <w:div w:id="1590768039">
                      <w:marLeft w:val="0"/>
                      <w:marRight w:val="0"/>
                      <w:marTop w:val="0"/>
                      <w:marBottom w:val="0"/>
                      <w:divBdr>
                        <w:top w:val="none" w:sz="0" w:space="0" w:color="auto"/>
                        <w:left w:val="none" w:sz="0" w:space="0" w:color="auto"/>
                        <w:bottom w:val="none" w:sz="0" w:space="0" w:color="auto"/>
                        <w:right w:val="none" w:sz="0" w:space="0" w:color="auto"/>
                      </w:divBdr>
                    </w:div>
                  </w:divsChild>
                </w:div>
                <w:div w:id="1599754748">
                  <w:marLeft w:val="0"/>
                  <w:marRight w:val="0"/>
                  <w:marTop w:val="0"/>
                  <w:marBottom w:val="0"/>
                  <w:divBdr>
                    <w:top w:val="none" w:sz="0" w:space="0" w:color="auto"/>
                    <w:left w:val="none" w:sz="0" w:space="0" w:color="auto"/>
                    <w:bottom w:val="none" w:sz="0" w:space="0" w:color="auto"/>
                    <w:right w:val="none" w:sz="0" w:space="0" w:color="auto"/>
                  </w:divBdr>
                  <w:divsChild>
                    <w:div w:id="665670401">
                      <w:marLeft w:val="0"/>
                      <w:marRight w:val="0"/>
                      <w:marTop w:val="0"/>
                      <w:marBottom w:val="0"/>
                      <w:divBdr>
                        <w:top w:val="none" w:sz="0" w:space="0" w:color="auto"/>
                        <w:left w:val="none" w:sz="0" w:space="0" w:color="auto"/>
                        <w:bottom w:val="none" w:sz="0" w:space="0" w:color="auto"/>
                        <w:right w:val="none" w:sz="0" w:space="0" w:color="auto"/>
                      </w:divBdr>
                    </w:div>
                  </w:divsChild>
                </w:div>
                <w:div w:id="1616860849">
                  <w:marLeft w:val="0"/>
                  <w:marRight w:val="0"/>
                  <w:marTop w:val="0"/>
                  <w:marBottom w:val="0"/>
                  <w:divBdr>
                    <w:top w:val="none" w:sz="0" w:space="0" w:color="auto"/>
                    <w:left w:val="none" w:sz="0" w:space="0" w:color="auto"/>
                    <w:bottom w:val="none" w:sz="0" w:space="0" w:color="auto"/>
                    <w:right w:val="none" w:sz="0" w:space="0" w:color="auto"/>
                  </w:divBdr>
                  <w:divsChild>
                    <w:div w:id="268125264">
                      <w:marLeft w:val="0"/>
                      <w:marRight w:val="0"/>
                      <w:marTop w:val="0"/>
                      <w:marBottom w:val="0"/>
                      <w:divBdr>
                        <w:top w:val="none" w:sz="0" w:space="0" w:color="auto"/>
                        <w:left w:val="none" w:sz="0" w:space="0" w:color="auto"/>
                        <w:bottom w:val="none" w:sz="0" w:space="0" w:color="auto"/>
                        <w:right w:val="none" w:sz="0" w:space="0" w:color="auto"/>
                      </w:divBdr>
                    </w:div>
                  </w:divsChild>
                </w:div>
                <w:div w:id="1620330487">
                  <w:marLeft w:val="0"/>
                  <w:marRight w:val="0"/>
                  <w:marTop w:val="0"/>
                  <w:marBottom w:val="0"/>
                  <w:divBdr>
                    <w:top w:val="none" w:sz="0" w:space="0" w:color="auto"/>
                    <w:left w:val="none" w:sz="0" w:space="0" w:color="auto"/>
                    <w:bottom w:val="none" w:sz="0" w:space="0" w:color="auto"/>
                    <w:right w:val="none" w:sz="0" w:space="0" w:color="auto"/>
                  </w:divBdr>
                  <w:divsChild>
                    <w:div w:id="2088729031">
                      <w:marLeft w:val="0"/>
                      <w:marRight w:val="0"/>
                      <w:marTop w:val="0"/>
                      <w:marBottom w:val="0"/>
                      <w:divBdr>
                        <w:top w:val="none" w:sz="0" w:space="0" w:color="auto"/>
                        <w:left w:val="none" w:sz="0" w:space="0" w:color="auto"/>
                        <w:bottom w:val="none" w:sz="0" w:space="0" w:color="auto"/>
                        <w:right w:val="none" w:sz="0" w:space="0" w:color="auto"/>
                      </w:divBdr>
                    </w:div>
                  </w:divsChild>
                </w:div>
                <w:div w:id="1620716635">
                  <w:marLeft w:val="0"/>
                  <w:marRight w:val="0"/>
                  <w:marTop w:val="0"/>
                  <w:marBottom w:val="0"/>
                  <w:divBdr>
                    <w:top w:val="none" w:sz="0" w:space="0" w:color="auto"/>
                    <w:left w:val="none" w:sz="0" w:space="0" w:color="auto"/>
                    <w:bottom w:val="none" w:sz="0" w:space="0" w:color="auto"/>
                    <w:right w:val="none" w:sz="0" w:space="0" w:color="auto"/>
                  </w:divBdr>
                  <w:divsChild>
                    <w:div w:id="1150292155">
                      <w:marLeft w:val="0"/>
                      <w:marRight w:val="0"/>
                      <w:marTop w:val="0"/>
                      <w:marBottom w:val="0"/>
                      <w:divBdr>
                        <w:top w:val="none" w:sz="0" w:space="0" w:color="auto"/>
                        <w:left w:val="none" w:sz="0" w:space="0" w:color="auto"/>
                        <w:bottom w:val="none" w:sz="0" w:space="0" w:color="auto"/>
                        <w:right w:val="none" w:sz="0" w:space="0" w:color="auto"/>
                      </w:divBdr>
                    </w:div>
                  </w:divsChild>
                </w:div>
                <w:div w:id="1716394729">
                  <w:marLeft w:val="0"/>
                  <w:marRight w:val="0"/>
                  <w:marTop w:val="0"/>
                  <w:marBottom w:val="0"/>
                  <w:divBdr>
                    <w:top w:val="none" w:sz="0" w:space="0" w:color="auto"/>
                    <w:left w:val="none" w:sz="0" w:space="0" w:color="auto"/>
                    <w:bottom w:val="none" w:sz="0" w:space="0" w:color="auto"/>
                    <w:right w:val="none" w:sz="0" w:space="0" w:color="auto"/>
                  </w:divBdr>
                  <w:divsChild>
                    <w:div w:id="395781455">
                      <w:marLeft w:val="0"/>
                      <w:marRight w:val="0"/>
                      <w:marTop w:val="0"/>
                      <w:marBottom w:val="0"/>
                      <w:divBdr>
                        <w:top w:val="none" w:sz="0" w:space="0" w:color="auto"/>
                        <w:left w:val="none" w:sz="0" w:space="0" w:color="auto"/>
                        <w:bottom w:val="none" w:sz="0" w:space="0" w:color="auto"/>
                        <w:right w:val="none" w:sz="0" w:space="0" w:color="auto"/>
                      </w:divBdr>
                    </w:div>
                  </w:divsChild>
                </w:div>
                <w:div w:id="1738238569">
                  <w:marLeft w:val="0"/>
                  <w:marRight w:val="0"/>
                  <w:marTop w:val="0"/>
                  <w:marBottom w:val="0"/>
                  <w:divBdr>
                    <w:top w:val="none" w:sz="0" w:space="0" w:color="auto"/>
                    <w:left w:val="none" w:sz="0" w:space="0" w:color="auto"/>
                    <w:bottom w:val="none" w:sz="0" w:space="0" w:color="auto"/>
                    <w:right w:val="none" w:sz="0" w:space="0" w:color="auto"/>
                  </w:divBdr>
                  <w:divsChild>
                    <w:div w:id="334192152">
                      <w:marLeft w:val="0"/>
                      <w:marRight w:val="0"/>
                      <w:marTop w:val="0"/>
                      <w:marBottom w:val="0"/>
                      <w:divBdr>
                        <w:top w:val="none" w:sz="0" w:space="0" w:color="auto"/>
                        <w:left w:val="none" w:sz="0" w:space="0" w:color="auto"/>
                        <w:bottom w:val="none" w:sz="0" w:space="0" w:color="auto"/>
                        <w:right w:val="none" w:sz="0" w:space="0" w:color="auto"/>
                      </w:divBdr>
                    </w:div>
                  </w:divsChild>
                </w:div>
                <w:div w:id="1757751037">
                  <w:marLeft w:val="0"/>
                  <w:marRight w:val="0"/>
                  <w:marTop w:val="0"/>
                  <w:marBottom w:val="0"/>
                  <w:divBdr>
                    <w:top w:val="none" w:sz="0" w:space="0" w:color="auto"/>
                    <w:left w:val="none" w:sz="0" w:space="0" w:color="auto"/>
                    <w:bottom w:val="none" w:sz="0" w:space="0" w:color="auto"/>
                    <w:right w:val="none" w:sz="0" w:space="0" w:color="auto"/>
                  </w:divBdr>
                  <w:divsChild>
                    <w:div w:id="1717242596">
                      <w:marLeft w:val="0"/>
                      <w:marRight w:val="0"/>
                      <w:marTop w:val="0"/>
                      <w:marBottom w:val="0"/>
                      <w:divBdr>
                        <w:top w:val="none" w:sz="0" w:space="0" w:color="auto"/>
                        <w:left w:val="none" w:sz="0" w:space="0" w:color="auto"/>
                        <w:bottom w:val="none" w:sz="0" w:space="0" w:color="auto"/>
                        <w:right w:val="none" w:sz="0" w:space="0" w:color="auto"/>
                      </w:divBdr>
                    </w:div>
                  </w:divsChild>
                </w:div>
                <w:div w:id="1803183891">
                  <w:marLeft w:val="0"/>
                  <w:marRight w:val="0"/>
                  <w:marTop w:val="0"/>
                  <w:marBottom w:val="0"/>
                  <w:divBdr>
                    <w:top w:val="none" w:sz="0" w:space="0" w:color="auto"/>
                    <w:left w:val="none" w:sz="0" w:space="0" w:color="auto"/>
                    <w:bottom w:val="none" w:sz="0" w:space="0" w:color="auto"/>
                    <w:right w:val="none" w:sz="0" w:space="0" w:color="auto"/>
                  </w:divBdr>
                  <w:divsChild>
                    <w:div w:id="1831211339">
                      <w:marLeft w:val="0"/>
                      <w:marRight w:val="0"/>
                      <w:marTop w:val="0"/>
                      <w:marBottom w:val="0"/>
                      <w:divBdr>
                        <w:top w:val="none" w:sz="0" w:space="0" w:color="auto"/>
                        <w:left w:val="none" w:sz="0" w:space="0" w:color="auto"/>
                        <w:bottom w:val="none" w:sz="0" w:space="0" w:color="auto"/>
                        <w:right w:val="none" w:sz="0" w:space="0" w:color="auto"/>
                      </w:divBdr>
                    </w:div>
                  </w:divsChild>
                </w:div>
                <w:div w:id="1849128155">
                  <w:marLeft w:val="0"/>
                  <w:marRight w:val="0"/>
                  <w:marTop w:val="0"/>
                  <w:marBottom w:val="0"/>
                  <w:divBdr>
                    <w:top w:val="none" w:sz="0" w:space="0" w:color="auto"/>
                    <w:left w:val="none" w:sz="0" w:space="0" w:color="auto"/>
                    <w:bottom w:val="none" w:sz="0" w:space="0" w:color="auto"/>
                    <w:right w:val="none" w:sz="0" w:space="0" w:color="auto"/>
                  </w:divBdr>
                  <w:divsChild>
                    <w:div w:id="1506241279">
                      <w:marLeft w:val="0"/>
                      <w:marRight w:val="0"/>
                      <w:marTop w:val="0"/>
                      <w:marBottom w:val="0"/>
                      <w:divBdr>
                        <w:top w:val="none" w:sz="0" w:space="0" w:color="auto"/>
                        <w:left w:val="none" w:sz="0" w:space="0" w:color="auto"/>
                        <w:bottom w:val="none" w:sz="0" w:space="0" w:color="auto"/>
                        <w:right w:val="none" w:sz="0" w:space="0" w:color="auto"/>
                      </w:divBdr>
                    </w:div>
                  </w:divsChild>
                </w:div>
                <w:div w:id="1855800741">
                  <w:marLeft w:val="0"/>
                  <w:marRight w:val="0"/>
                  <w:marTop w:val="0"/>
                  <w:marBottom w:val="0"/>
                  <w:divBdr>
                    <w:top w:val="none" w:sz="0" w:space="0" w:color="auto"/>
                    <w:left w:val="none" w:sz="0" w:space="0" w:color="auto"/>
                    <w:bottom w:val="none" w:sz="0" w:space="0" w:color="auto"/>
                    <w:right w:val="none" w:sz="0" w:space="0" w:color="auto"/>
                  </w:divBdr>
                  <w:divsChild>
                    <w:div w:id="458767937">
                      <w:marLeft w:val="0"/>
                      <w:marRight w:val="0"/>
                      <w:marTop w:val="0"/>
                      <w:marBottom w:val="0"/>
                      <w:divBdr>
                        <w:top w:val="none" w:sz="0" w:space="0" w:color="auto"/>
                        <w:left w:val="none" w:sz="0" w:space="0" w:color="auto"/>
                        <w:bottom w:val="none" w:sz="0" w:space="0" w:color="auto"/>
                        <w:right w:val="none" w:sz="0" w:space="0" w:color="auto"/>
                      </w:divBdr>
                    </w:div>
                  </w:divsChild>
                </w:div>
                <w:div w:id="1870951537">
                  <w:marLeft w:val="0"/>
                  <w:marRight w:val="0"/>
                  <w:marTop w:val="0"/>
                  <w:marBottom w:val="0"/>
                  <w:divBdr>
                    <w:top w:val="none" w:sz="0" w:space="0" w:color="auto"/>
                    <w:left w:val="none" w:sz="0" w:space="0" w:color="auto"/>
                    <w:bottom w:val="none" w:sz="0" w:space="0" w:color="auto"/>
                    <w:right w:val="none" w:sz="0" w:space="0" w:color="auto"/>
                  </w:divBdr>
                  <w:divsChild>
                    <w:div w:id="2034963260">
                      <w:marLeft w:val="0"/>
                      <w:marRight w:val="0"/>
                      <w:marTop w:val="0"/>
                      <w:marBottom w:val="0"/>
                      <w:divBdr>
                        <w:top w:val="none" w:sz="0" w:space="0" w:color="auto"/>
                        <w:left w:val="none" w:sz="0" w:space="0" w:color="auto"/>
                        <w:bottom w:val="none" w:sz="0" w:space="0" w:color="auto"/>
                        <w:right w:val="none" w:sz="0" w:space="0" w:color="auto"/>
                      </w:divBdr>
                    </w:div>
                  </w:divsChild>
                </w:div>
                <w:div w:id="2088114026">
                  <w:marLeft w:val="0"/>
                  <w:marRight w:val="0"/>
                  <w:marTop w:val="0"/>
                  <w:marBottom w:val="0"/>
                  <w:divBdr>
                    <w:top w:val="none" w:sz="0" w:space="0" w:color="auto"/>
                    <w:left w:val="none" w:sz="0" w:space="0" w:color="auto"/>
                    <w:bottom w:val="none" w:sz="0" w:space="0" w:color="auto"/>
                    <w:right w:val="none" w:sz="0" w:space="0" w:color="auto"/>
                  </w:divBdr>
                  <w:divsChild>
                    <w:div w:id="1871260028">
                      <w:marLeft w:val="0"/>
                      <w:marRight w:val="0"/>
                      <w:marTop w:val="0"/>
                      <w:marBottom w:val="0"/>
                      <w:divBdr>
                        <w:top w:val="none" w:sz="0" w:space="0" w:color="auto"/>
                        <w:left w:val="none" w:sz="0" w:space="0" w:color="auto"/>
                        <w:bottom w:val="none" w:sz="0" w:space="0" w:color="auto"/>
                        <w:right w:val="none" w:sz="0" w:space="0" w:color="auto"/>
                      </w:divBdr>
                    </w:div>
                  </w:divsChild>
                </w:div>
                <w:div w:id="2120292591">
                  <w:marLeft w:val="0"/>
                  <w:marRight w:val="0"/>
                  <w:marTop w:val="0"/>
                  <w:marBottom w:val="0"/>
                  <w:divBdr>
                    <w:top w:val="none" w:sz="0" w:space="0" w:color="auto"/>
                    <w:left w:val="none" w:sz="0" w:space="0" w:color="auto"/>
                    <w:bottom w:val="none" w:sz="0" w:space="0" w:color="auto"/>
                    <w:right w:val="none" w:sz="0" w:space="0" w:color="auto"/>
                  </w:divBdr>
                  <w:divsChild>
                    <w:div w:id="688265044">
                      <w:marLeft w:val="0"/>
                      <w:marRight w:val="0"/>
                      <w:marTop w:val="0"/>
                      <w:marBottom w:val="0"/>
                      <w:divBdr>
                        <w:top w:val="none" w:sz="0" w:space="0" w:color="auto"/>
                        <w:left w:val="none" w:sz="0" w:space="0" w:color="auto"/>
                        <w:bottom w:val="none" w:sz="0" w:space="0" w:color="auto"/>
                        <w:right w:val="none" w:sz="0" w:space="0" w:color="auto"/>
                      </w:divBdr>
                    </w:div>
                  </w:divsChild>
                </w:div>
                <w:div w:id="2121028111">
                  <w:marLeft w:val="0"/>
                  <w:marRight w:val="0"/>
                  <w:marTop w:val="0"/>
                  <w:marBottom w:val="0"/>
                  <w:divBdr>
                    <w:top w:val="none" w:sz="0" w:space="0" w:color="auto"/>
                    <w:left w:val="none" w:sz="0" w:space="0" w:color="auto"/>
                    <w:bottom w:val="none" w:sz="0" w:space="0" w:color="auto"/>
                    <w:right w:val="none" w:sz="0" w:space="0" w:color="auto"/>
                  </w:divBdr>
                  <w:divsChild>
                    <w:div w:id="1491409184">
                      <w:marLeft w:val="0"/>
                      <w:marRight w:val="0"/>
                      <w:marTop w:val="0"/>
                      <w:marBottom w:val="0"/>
                      <w:divBdr>
                        <w:top w:val="none" w:sz="0" w:space="0" w:color="auto"/>
                        <w:left w:val="none" w:sz="0" w:space="0" w:color="auto"/>
                        <w:bottom w:val="none" w:sz="0" w:space="0" w:color="auto"/>
                        <w:right w:val="none" w:sz="0" w:space="0" w:color="auto"/>
                      </w:divBdr>
                    </w:div>
                  </w:divsChild>
                </w:div>
                <w:div w:id="2126388634">
                  <w:marLeft w:val="0"/>
                  <w:marRight w:val="0"/>
                  <w:marTop w:val="0"/>
                  <w:marBottom w:val="0"/>
                  <w:divBdr>
                    <w:top w:val="none" w:sz="0" w:space="0" w:color="auto"/>
                    <w:left w:val="none" w:sz="0" w:space="0" w:color="auto"/>
                    <w:bottom w:val="none" w:sz="0" w:space="0" w:color="auto"/>
                    <w:right w:val="none" w:sz="0" w:space="0" w:color="auto"/>
                  </w:divBdr>
                  <w:divsChild>
                    <w:div w:id="863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64149">
          <w:marLeft w:val="0"/>
          <w:marRight w:val="0"/>
          <w:marTop w:val="0"/>
          <w:marBottom w:val="0"/>
          <w:divBdr>
            <w:top w:val="none" w:sz="0" w:space="0" w:color="auto"/>
            <w:left w:val="none" w:sz="0" w:space="0" w:color="auto"/>
            <w:bottom w:val="none" w:sz="0" w:space="0" w:color="auto"/>
            <w:right w:val="none" w:sz="0" w:space="0" w:color="auto"/>
          </w:divBdr>
          <w:divsChild>
            <w:div w:id="31544986">
              <w:marLeft w:val="0"/>
              <w:marRight w:val="0"/>
              <w:marTop w:val="0"/>
              <w:marBottom w:val="0"/>
              <w:divBdr>
                <w:top w:val="none" w:sz="0" w:space="0" w:color="auto"/>
                <w:left w:val="none" w:sz="0" w:space="0" w:color="auto"/>
                <w:bottom w:val="none" w:sz="0" w:space="0" w:color="auto"/>
                <w:right w:val="none" w:sz="0" w:space="0" w:color="auto"/>
              </w:divBdr>
            </w:div>
            <w:div w:id="98260693">
              <w:marLeft w:val="0"/>
              <w:marRight w:val="0"/>
              <w:marTop w:val="0"/>
              <w:marBottom w:val="0"/>
              <w:divBdr>
                <w:top w:val="none" w:sz="0" w:space="0" w:color="auto"/>
                <w:left w:val="none" w:sz="0" w:space="0" w:color="auto"/>
                <w:bottom w:val="none" w:sz="0" w:space="0" w:color="auto"/>
                <w:right w:val="none" w:sz="0" w:space="0" w:color="auto"/>
              </w:divBdr>
            </w:div>
            <w:div w:id="114059895">
              <w:marLeft w:val="0"/>
              <w:marRight w:val="0"/>
              <w:marTop w:val="0"/>
              <w:marBottom w:val="0"/>
              <w:divBdr>
                <w:top w:val="none" w:sz="0" w:space="0" w:color="auto"/>
                <w:left w:val="none" w:sz="0" w:space="0" w:color="auto"/>
                <w:bottom w:val="none" w:sz="0" w:space="0" w:color="auto"/>
                <w:right w:val="none" w:sz="0" w:space="0" w:color="auto"/>
              </w:divBdr>
            </w:div>
            <w:div w:id="223368790">
              <w:marLeft w:val="0"/>
              <w:marRight w:val="0"/>
              <w:marTop w:val="0"/>
              <w:marBottom w:val="0"/>
              <w:divBdr>
                <w:top w:val="none" w:sz="0" w:space="0" w:color="auto"/>
                <w:left w:val="none" w:sz="0" w:space="0" w:color="auto"/>
                <w:bottom w:val="none" w:sz="0" w:space="0" w:color="auto"/>
                <w:right w:val="none" w:sz="0" w:space="0" w:color="auto"/>
              </w:divBdr>
            </w:div>
            <w:div w:id="545415139">
              <w:marLeft w:val="0"/>
              <w:marRight w:val="0"/>
              <w:marTop w:val="0"/>
              <w:marBottom w:val="0"/>
              <w:divBdr>
                <w:top w:val="none" w:sz="0" w:space="0" w:color="auto"/>
                <w:left w:val="none" w:sz="0" w:space="0" w:color="auto"/>
                <w:bottom w:val="none" w:sz="0" w:space="0" w:color="auto"/>
                <w:right w:val="none" w:sz="0" w:space="0" w:color="auto"/>
              </w:divBdr>
            </w:div>
            <w:div w:id="561067632">
              <w:marLeft w:val="0"/>
              <w:marRight w:val="0"/>
              <w:marTop w:val="0"/>
              <w:marBottom w:val="0"/>
              <w:divBdr>
                <w:top w:val="none" w:sz="0" w:space="0" w:color="auto"/>
                <w:left w:val="none" w:sz="0" w:space="0" w:color="auto"/>
                <w:bottom w:val="none" w:sz="0" w:space="0" w:color="auto"/>
                <w:right w:val="none" w:sz="0" w:space="0" w:color="auto"/>
              </w:divBdr>
            </w:div>
            <w:div w:id="1073817396">
              <w:marLeft w:val="0"/>
              <w:marRight w:val="0"/>
              <w:marTop w:val="0"/>
              <w:marBottom w:val="0"/>
              <w:divBdr>
                <w:top w:val="none" w:sz="0" w:space="0" w:color="auto"/>
                <w:left w:val="none" w:sz="0" w:space="0" w:color="auto"/>
                <w:bottom w:val="none" w:sz="0" w:space="0" w:color="auto"/>
                <w:right w:val="none" w:sz="0" w:space="0" w:color="auto"/>
              </w:divBdr>
            </w:div>
            <w:div w:id="1159926630">
              <w:marLeft w:val="0"/>
              <w:marRight w:val="0"/>
              <w:marTop w:val="0"/>
              <w:marBottom w:val="0"/>
              <w:divBdr>
                <w:top w:val="none" w:sz="0" w:space="0" w:color="auto"/>
                <w:left w:val="none" w:sz="0" w:space="0" w:color="auto"/>
                <w:bottom w:val="none" w:sz="0" w:space="0" w:color="auto"/>
                <w:right w:val="none" w:sz="0" w:space="0" w:color="auto"/>
              </w:divBdr>
            </w:div>
            <w:div w:id="1594973425">
              <w:marLeft w:val="0"/>
              <w:marRight w:val="0"/>
              <w:marTop w:val="0"/>
              <w:marBottom w:val="0"/>
              <w:divBdr>
                <w:top w:val="none" w:sz="0" w:space="0" w:color="auto"/>
                <w:left w:val="none" w:sz="0" w:space="0" w:color="auto"/>
                <w:bottom w:val="none" w:sz="0" w:space="0" w:color="auto"/>
                <w:right w:val="none" w:sz="0" w:space="0" w:color="auto"/>
              </w:divBdr>
            </w:div>
            <w:div w:id="1724252292">
              <w:marLeft w:val="0"/>
              <w:marRight w:val="0"/>
              <w:marTop w:val="0"/>
              <w:marBottom w:val="0"/>
              <w:divBdr>
                <w:top w:val="none" w:sz="0" w:space="0" w:color="auto"/>
                <w:left w:val="none" w:sz="0" w:space="0" w:color="auto"/>
                <w:bottom w:val="none" w:sz="0" w:space="0" w:color="auto"/>
                <w:right w:val="none" w:sz="0" w:space="0" w:color="auto"/>
              </w:divBdr>
            </w:div>
            <w:div w:id="1892112936">
              <w:marLeft w:val="0"/>
              <w:marRight w:val="0"/>
              <w:marTop w:val="0"/>
              <w:marBottom w:val="0"/>
              <w:divBdr>
                <w:top w:val="none" w:sz="0" w:space="0" w:color="auto"/>
                <w:left w:val="none" w:sz="0" w:space="0" w:color="auto"/>
                <w:bottom w:val="none" w:sz="0" w:space="0" w:color="auto"/>
                <w:right w:val="none" w:sz="0" w:space="0" w:color="auto"/>
              </w:divBdr>
            </w:div>
            <w:div w:id="2060742203">
              <w:marLeft w:val="0"/>
              <w:marRight w:val="0"/>
              <w:marTop w:val="0"/>
              <w:marBottom w:val="0"/>
              <w:divBdr>
                <w:top w:val="none" w:sz="0" w:space="0" w:color="auto"/>
                <w:left w:val="none" w:sz="0" w:space="0" w:color="auto"/>
                <w:bottom w:val="none" w:sz="0" w:space="0" w:color="auto"/>
                <w:right w:val="none" w:sz="0" w:space="0" w:color="auto"/>
              </w:divBdr>
            </w:div>
          </w:divsChild>
        </w:div>
        <w:div w:id="785586978">
          <w:marLeft w:val="0"/>
          <w:marRight w:val="0"/>
          <w:marTop w:val="0"/>
          <w:marBottom w:val="0"/>
          <w:divBdr>
            <w:top w:val="none" w:sz="0" w:space="0" w:color="auto"/>
            <w:left w:val="none" w:sz="0" w:space="0" w:color="auto"/>
            <w:bottom w:val="none" w:sz="0" w:space="0" w:color="auto"/>
            <w:right w:val="none" w:sz="0" w:space="0" w:color="auto"/>
          </w:divBdr>
        </w:div>
        <w:div w:id="797070883">
          <w:marLeft w:val="0"/>
          <w:marRight w:val="0"/>
          <w:marTop w:val="0"/>
          <w:marBottom w:val="0"/>
          <w:divBdr>
            <w:top w:val="none" w:sz="0" w:space="0" w:color="auto"/>
            <w:left w:val="none" w:sz="0" w:space="0" w:color="auto"/>
            <w:bottom w:val="none" w:sz="0" w:space="0" w:color="auto"/>
            <w:right w:val="none" w:sz="0" w:space="0" w:color="auto"/>
          </w:divBdr>
        </w:div>
        <w:div w:id="800733968">
          <w:marLeft w:val="0"/>
          <w:marRight w:val="0"/>
          <w:marTop w:val="0"/>
          <w:marBottom w:val="0"/>
          <w:divBdr>
            <w:top w:val="none" w:sz="0" w:space="0" w:color="auto"/>
            <w:left w:val="none" w:sz="0" w:space="0" w:color="auto"/>
            <w:bottom w:val="none" w:sz="0" w:space="0" w:color="auto"/>
            <w:right w:val="none" w:sz="0" w:space="0" w:color="auto"/>
          </w:divBdr>
          <w:divsChild>
            <w:div w:id="711271763">
              <w:marLeft w:val="0"/>
              <w:marRight w:val="0"/>
              <w:marTop w:val="0"/>
              <w:marBottom w:val="0"/>
              <w:divBdr>
                <w:top w:val="none" w:sz="0" w:space="0" w:color="auto"/>
                <w:left w:val="none" w:sz="0" w:space="0" w:color="auto"/>
                <w:bottom w:val="none" w:sz="0" w:space="0" w:color="auto"/>
                <w:right w:val="none" w:sz="0" w:space="0" w:color="auto"/>
              </w:divBdr>
            </w:div>
            <w:div w:id="715013455">
              <w:marLeft w:val="0"/>
              <w:marRight w:val="0"/>
              <w:marTop w:val="0"/>
              <w:marBottom w:val="0"/>
              <w:divBdr>
                <w:top w:val="none" w:sz="0" w:space="0" w:color="auto"/>
                <w:left w:val="none" w:sz="0" w:space="0" w:color="auto"/>
                <w:bottom w:val="none" w:sz="0" w:space="0" w:color="auto"/>
                <w:right w:val="none" w:sz="0" w:space="0" w:color="auto"/>
              </w:divBdr>
            </w:div>
            <w:div w:id="958099028">
              <w:marLeft w:val="0"/>
              <w:marRight w:val="0"/>
              <w:marTop w:val="0"/>
              <w:marBottom w:val="0"/>
              <w:divBdr>
                <w:top w:val="none" w:sz="0" w:space="0" w:color="auto"/>
                <w:left w:val="none" w:sz="0" w:space="0" w:color="auto"/>
                <w:bottom w:val="none" w:sz="0" w:space="0" w:color="auto"/>
                <w:right w:val="none" w:sz="0" w:space="0" w:color="auto"/>
              </w:divBdr>
            </w:div>
            <w:div w:id="2036731973">
              <w:marLeft w:val="0"/>
              <w:marRight w:val="0"/>
              <w:marTop w:val="0"/>
              <w:marBottom w:val="0"/>
              <w:divBdr>
                <w:top w:val="none" w:sz="0" w:space="0" w:color="auto"/>
                <w:left w:val="none" w:sz="0" w:space="0" w:color="auto"/>
                <w:bottom w:val="none" w:sz="0" w:space="0" w:color="auto"/>
                <w:right w:val="none" w:sz="0" w:space="0" w:color="auto"/>
              </w:divBdr>
            </w:div>
          </w:divsChild>
        </w:div>
        <w:div w:id="802962873">
          <w:marLeft w:val="0"/>
          <w:marRight w:val="0"/>
          <w:marTop w:val="0"/>
          <w:marBottom w:val="0"/>
          <w:divBdr>
            <w:top w:val="none" w:sz="0" w:space="0" w:color="auto"/>
            <w:left w:val="none" w:sz="0" w:space="0" w:color="auto"/>
            <w:bottom w:val="none" w:sz="0" w:space="0" w:color="auto"/>
            <w:right w:val="none" w:sz="0" w:space="0" w:color="auto"/>
          </w:divBdr>
          <w:divsChild>
            <w:div w:id="422841683">
              <w:marLeft w:val="-75"/>
              <w:marRight w:val="0"/>
              <w:marTop w:val="30"/>
              <w:marBottom w:val="30"/>
              <w:divBdr>
                <w:top w:val="none" w:sz="0" w:space="0" w:color="auto"/>
                <w:left w:val="none" w:sz="0" w:space="0" w:color="auto"/>
                <w:bottom w:val="none" w:sz="0" w:space="0" w:color="auto"/>
                <w:right w:val="none" w:sz="0" w:space="0" w:color="auto"/>
              </w:divBdr>
              <w:divsChild>
                <w:div w:id="41639880">
                  <w:marLeft w:val="0"/>
                  <w:marRight w:val="0"/>
                  <w:marTop w:val="0"/>
                  <w:marBottom w:val="0"/>
                  <w:divBdr>
                    <w:top w:val="none" w:sz="0" w:space="0" w:color="auto"/>
                    <w:left w:val="none" w:sz="0" w:space="0" w:color="auto"/>
                    <w:bottom w:val="none" w:sz="0" w:space="0" w:color="auto"/>
                    <w:right w:val="none" w:sz="0" w:space="0" w:color="auto"/>
                  </w:divBdr>
                  <w:divsChild>
                    <w:div w:id="49380174">
                      <w:marLeft w:val="0"/>
                      <w:marRight w:val="0"/>
                      <w:marTop w:val="0"/>
                      <w:marBottom w:val="0"/>
                      <w:divBdr>
                        <w:top w:val="none" w:sz="0" w:space="0" w:color="auto"/>
                        <w:left w:val="none" w:sz="0" w:space="0" w:color="auto"/>
                        <w:bottom w:val="none" w:sz="0" w:space="0" w:color="auto"/>
                        <w:right w:val="none" w:sz="0" w:space="0" w:color="auto"/>
                      </w:divBdr>
                    </w:div>
                  </w:divsChild>
                </w:div>
                <w:div w:id="56171144">
                  <w:marLeft w:val="0"/>
                  <w:marRight w:val="0"/>
                  <w:marTop w:val="0"/>
                  <w:marBottom w:val="0"/>
                  <w:divBdr>
                    <w:top w:val="none" w:sz="0" w:space="0" w:color="auto"/>
                    <w:left w:val="none" w:sz="0" w:space="0" w:color="auto"/>
                    <w:bottom w:val="none" w:sz="0" w:space="0" w:color="auto"/>
                    <w:right w:val="none" w:sz="0" w:space="0" w:color="auto"/>
                  </w:divBdr>
                  <w:divsChild>
                    <w:div w:id="296110539">
                      <w:marLeft w:val="0"/>
                      <w:marRight w:val="0"/>
                      <w:marTop w:val="0"/>
                      <w:marBottom w:val="0"/>
                      <w:divBdr>
                        <w:top w:val="none" w:sz="0" w:space="0" w:color="auto"/>
                        <w:left w:val="none" w:sz="0" w:space="0" w:color="auto"/>
                        <w:bottom w:val="none" w:sz="0" w:space="0" w:color="auto"/>
                        <w:right w:val="none" w:sz="0" w:space="0" w:color="auto"/>
                      </w:divBdr>
                    </w:div>
                  </w:divsChild>
                </w:div>
                <w:div w:id="79647550">
                  <w:marLeft w:val="0"/>
                  <w:marRight w:val="0"/>
                  <w:marTop w:val="0"/>
                  <w:marBottom w:val="0"/>
                  <w:divBdr>
                    <w:top w:val="none" w:sz="0" w:space="0" w:color="auto"/>
                    <w:left w:val="none" w:sz="0" w:space="0" w:color="auto"/>
                    <w:bottom w:val="none" w:sz="0" w:space="0" w:color="auto"/>
                    <w:right w:val="none" w:sz="0" w:space="0" w:color="auto"/>
                  </w:divBdr>
                  <w:divsChild>
                    <w:div w:id="2020960120">
                      <w:marLeft w:val="0"/>
                      <w:marRight w:val="0"/>
                      <w:marTop w:val="0"/>
                      <w:marBottom w:val="0"/>
                      <w:divBdr>
                        <w:top w:val="none" w:sz="0" w:space="0" w:color="auto"/>
                        <w:left w:val="none" w:sz="0" w:space="0" w:color="auto"/>
                        <w:bottom w:val="none" w:sz="0" w:space="0" w:color="auto"/>
                        <w:right w:val="none" w:sz="0" w:space="0" w:color="auto"/>
                      </w:divBdr>
                    </w:div>
                  </w:divsChild>
                </w:div>
                <w:div w:id="164705784">
                  <w:marLeft w:val="0"/>
                  <w:marRight w:val="0"/>
                  <w:marTop w:val="0"/>
                  <w:marBottom w:val="0"/>
                  <w:divBdr>
                    <w:top w:val="none" w:sz="0" w:space="0" w:color="auto"/>
                    <w:left w:val="none" w:sz="0" w:space="0" w:color="auto"/>
                    <w:bottom w:val="none" w:sz="0" w:space="0" w:color="auto"/>
                    <w:right w:val="none" w:sz="0" w:space="0" w:color="auto"/>
                  </w:divBdr>
                  <w:divsChild>
                    <w:div w:id="276957492">
                      <w:marLeft w:val="0"/>
                      <w:marRight w:val="0"/>
                      <w:marTop w:val="0"/>
                      <w:marBottom w:val="0"/>
                      <w:divBdr>
                        <w:top w:val="none" w:sz="0" w:space="0" w:color="auto"/>
                        <w:left w:val="none" w:sz="0" w:space="0" w:color="auto"/>
                        <w:bottom w:val="none" w:sz="0" w:space="0" w:color="auto"/>
                        <w:right w:val="none" w:sz="0" w:space="0" w:color="auto"/>
                      </w:divBdr>
                    </w:div>
                  </w:divsChild>
                </w:div>
                <w:div w:id="198977777">
                  <w:marLeft w:val="0"/>
                  <w:marRight w:val="0"/>
                  <w:marTop w:val="0"/>
                  <w:marBottom w:val="0"/>
                  <w:divBdr>
                    <w:top w:val="none" w:sz="0" w:space="0" w:color="auto"/>
                    <w:left w:val="none" w:sz="0" w:space="0" w:color="auto"/>
                    <w:bottom w:val="none" w:sz="0" w:space="0" w:color="auto"/>
                    <w:right w:val="none" w:sz="0" w:space="0" w:color="auto"/>
                  </w:divBdr>
                  <w:divsChild>
                    <w:div w:id="1715807318">
                      <w:marLeft w:val="0"/>
                      <w:marRight w:val="0"/>
                      <w:marTop w:val="0"/>
                      <w:marBottom w:val="0"/>
                      <w:divBdr>
                        <w:top w:val="none" w:sz="0" w:space="0" w:color="auto"/>
                        <w:left w:val="none" w:sz="0" w:space="0" w:color="auto"/>
                        <w:bottom w:val="none" w:sz="0" w:space="0" w:color="auto"/>
                        <w:right w:val="none" w:sz="0" w:space="0" w:color="auto"/>
                      </w:divBdr>
                    </w:div>
                  </w:divsChild>
                </w:div>
                <w:div w:id="256135378">
                  <w:marLeft w:val="0"/>
                  <w:marRight w:val="0"/>
                  <w:marTop w:val="0"/>
                  <w:marBottom w:val="0"/>
                  <w:divBdr>
                    <w:top w:val="none" w:sz="0" w:space="0" w:color="auto"/>
                    <w:left w:val="none" w:sz="0" w:space="0" w:color="auto"/>
                    <w:bottom w:val="none" w:sz="0" w:space="0" w:color="auto"/>
                    <w:right w:val="none" w:sz="0" w:space="0" w:color="auto"/>
                  </w:divBdr>
                  <w:divsChild>
                    <w:div w:id="126507108">
                      <w:marLeft w:val="0"/>
                      <w:marRight w:val="0"/>
                      <w:marTop w:val="0"/>
                      <w:marBottom w:val="0"/>
                      <w:divBdr>
                        <w:top w:val="none" w:sz="0" w:space="0" w:color="auto"/>
                        <w:left w:val="none" w:sz="0" w:space="0" w:color="auto"/>
                        <w:bottom w:val="none" w:sz="0" w:space="0" w:color="auto"/>
                        <w:right w:val="none" w:sz="0" w:space="0" w:color="auto"/>
                      </w:divBdr>
                    </w:div>
                  </w:divsChild>
                </w:div>
                <w:div w:id="259680347">
                  <w:marLeft w:val="0"/>
                  <w:marRight w:val="0"/>
                  <w:marTop w:val="0"/>
                  <w:marBottom w:val="0"/>
                  <w:divBdr>
                    <w:top w:val="none" w:sz="0" w:space="0" w:color="auto"/>
                    <w:left w:val="none" w:sz="0" w:space="0" w:color="auto"/>
                    <w:bottom w:val="none" w:sz="0" w:space="0" w:color="auto"/>
                    <w:right w:val="none" w:sz="0" w:space="0" w:color="auto"/>
                  </w:divBdr>
                  <w:divsChild>
                    <w:div w:id="2136100229">
                      <w:marLeft w:val="0"/>
                      <w:marRight w:val="0"/>
                      <w:marTop w:val="0"/>
                      <w:marBottom w:val="0"/>
                      <w:divBdr>
                        <w:top w:val="none" w:sz="0" w:space="0" w:color="auto"/>
                        <w:left w:val="none" w:sz="0" w:space="0" w:color="auto"/>
                        <w:bottom w:val="none" w:sz="0" w:space="0" w:color="auto"/>
                        <w:right w:val="none" w:sz="0" w:space="0" w:color="auto"/>
                      </w:divBdr>
                    </w:div>
                  </w:divsChild>
                </w:div>
                <w:div w:id="269319705">
                  <w:marLeft w:val="0"/>
                  <w:marRight w:val="0"/>
                  <w:marTop w:val="0"/>
                  <w:marBottom w:val="0"/>
                  <w:divBdr>
                    <w:top w:val="none" w:sz="0" w:space="0" w:color="auto"/>
                    <w:left w:val="none" w:sz="0" w:space="0" w:color="auto"/>
                    <w:bottom w:val="none" w:sz="0" w:space="0" w:color="auto"/>
                    <w:right w:val="none" w:sz="0" w:space="0" w:color="auto"/>
                  </w:divBdr>
                  <w:divsChild>
                    <w:div w:id="1014310862">
                      <w:marLeft w:val="0"/>
                      <w:marRight w:val="0"/>
                      <w:marTop w:val="0"/>
                      <w:marBottom w:val="0"/>
                      <w:divBdr>
                        <w:top w:val="none" w:sz="0" w:space="0" w:color="auto"/>
                        <w:left w:val="none" w:sz="0" w:space="0" w:color="auto"/>
                        <w:bottom w:val="none" w:sz="0" w:space="0" w:color="auto"/>
                        <w:right w:val="none" w:sz="0" w:space="0" w:color="auto"/>
                      </w:divBdr>
                    </w:div>
                  </w:divsChild>
                </w:div>
                <w:div w:id="277838861">
                  <w:marLeft w:val="0"/>
                  <w:marRight w:val="0"/>
                  <w:marTop w:val="0"/>
                  <w:marBottom w:val="0"/>
                  <w:divBdr>
                    <w:top w:val="none" w:sz="0" w:space="0" w:color="auto"/>
                    <w:left w:val="none" w:sz="0" w:space="0" w:color="auto"/>
                    <w:bottom w:val="none" w:sz="0" w:space="0" w:color="auto"/>
                    <w:right w:val="none" w:sz="0" w:space="0" w:color="auto"/>
                  </w:divBdr>
                  <w:divsChild>
                    <w:div w:id="498623535">
                      <w:marLeft w:val="0"/>
                      <w:marRight w:val="0"/>
                      <w:marTop w:val="0"/>
                      <w:marBottom w:val="0"/>
                      <w:divBdr>
                        <w:top w:val="none" w:sz="0" w:space="0" w:color="auto"/>
                        <w:left w:val="none" w:sz="0" w:space="0" w:color="auto"/>
                        <w:bottom w:val="none" w:sz="0" w:space="0" w:color="auto"/>
                        <w:right w:val="none" w:sz="0" w:space="0" w:color="auto"/>
                      </w:divBdr>
                    </w:div>
                  </w:divsChild>
                </w:div>
                <w:div w:id="292175624">
                  <w:marLeft w:val="0"/>
                  <w:marRight w:val="0"/>
                  <w:marTop w:val="0"/>
                  <w:marBottom w:val="0"/>
                  <w:divBdr>
                    <w:top w:val="none" w:sz="0" w:space="0" w:color="auto"/>
                    <w:left w:val="none" w:sz="0" w:space="0" w:color="auto"/>
                    <w:bottom w:val="none" w:sz="0" w:space="0" w:color="auto"/>
                    <w:right w:val="none" w:sz="0" w:space="0" w:color="auto"/>
                  </w:divBdr>
                  <w:divsChild>
                    <w:div w:id="1437094224">
                      <w:marLeft w:val="0"/>
                      <w:marRight w:val="0"/>
                      <w:marTop w:val="0"/>
                      <w:marBottom w:val="0"/>
                      <w:divBdr>
                        <w:top w:val="none" w:sz="0" w:space="0" w:color="auto"/>
                        <w:left w:val="none" w:sz="0" w:space="0" w:color="auto"/>
                        <w:bottom w:val="none" w:sz="0" w:space="0" w:color="auto"/>
                        <w:right w:val="none" w:sz="0" w:space="0" w:color="auto"/>
                      </w:divBdr>
                    </w:div>
                  </w:divsChild>
                </w:div>
                <w:div w:id="296254125">
                  <w:marLeft w:val="0"/>
                  <w:marRight w:val="0"/>
                  <w:marTop w:val="0"/>
                  <w:marBottom w:val="0"/>
                  <w:divBdr>
                    <w:top w:val="none" w:sz="0" w:space="0" w:color="auto"/>
                    <w:left w:val="none" w:sz="0" w:space="0" w:color="auto"/>
                    <w:bottom w:val="none" w:sz="0" w:space="0" w:color="auto"/>
                    <w:right w:val="none" w:sz="0" w:space="0" w:color="auto"/>
                  </w:divBdr>
                  <w:divsChild>
                    <w:div w:id="627588658">
                      <w:marLeft w:val="0"/>
                      <w:marRight w:val="0"/>
                      <w:marTop w:val="0"/>
                      <w:marBottom w:val="0"/>
                      <w:divBdr>
                        <w:top w:val="none" w:sz="0" w:space="0" w:color="auto"/>
                        <w:left w:val="none" w:sz="0" w:space="0" w:color="auto"/>
                        <w:bottom w:val="none" w:sz="0" w:space="0" w:color="auto"/>
                        <w:right w:val="none" w:sz="0" w:space="0" w:color="auto"/>
                      </w:divBdr>
                    </w:div>
                  </w:divsChild>
                </w:div>
                <w:div w:id="312373256">
                  <w:marLeft w:val="0"/>
                  <w:marRight w:val="0"/>
                  <w:marTop w:val="0"/>
                  <w:marBottom w:val="0"/>
                  <w:divBdr>
                    <w:top w:val="none" w:sz="0" w:space="0" w:color="auto"/>
                    <w:left w:val="none" w:sz="0" w:space="0" w:color="auto"/>
                    <w:bottom w:val="none" w:sz="0" w:space="0" w:color="auto"/>
                    <w:right w:val="none" w:sz="0" w:space="0" w:color="auto"/>
                  </w:divBdr>
                  <w:divsChild>
                    <w:div w:id="2140686512">
                      <w:marLeft w:val="0"/>
                      <w:marRight w:val="0"/>
                      <w:marTop w:val="0"/>
                      <w:marBottom w:val="0"/>
                      <w:divBdr>
                        <w:top w:val="none" w:sz="0" w:space="0" w:color="auto"/>
                        <w:left w:val="none" w:sz="0" w:space="0" w:color="auto"/>
                        <w:bottom w:val="none" w:sz="0" w:space="0" w:color="auto"/>
                        <w:right w:val="none" w:sz="0" w:space="0" w:color="auto"/>
                      </w:divBdr>
                    </w:div>
                  </w:divsChild>
                </w:div>
                <w:div w:id="452360707">
                  <w:marLeft w:val="0"/>
                  <w:marRight w:val="0"/>
                  <w:marTop w:val="0"/>
                  <w:marBottom w:val="0"/>
                  <w:divBdr>
                    <w:top w:val="none" w:sz="0" w:space="0" w:color="auto"/>
                    <w:left w:val="none" w:sz="0" w:space="0" w:color="auto"/>
                    <w:bottom w:val="none" w:sz="0" w:space="0" w:color="auto"/>
                    <w:right w:val="none" w:sz="0" w:space="0" w:color="auto"/>
                  </w:divBdr>
                  <w:divsChild>
                    <w:div w:id="1687826309">
                      <w:marLeft w:val="0"/>
                      <w:marRight w:val="0"/>
                      <w:marTop w:val="0"/>
                      <w:marBottom w:val="0"/>
                      <w:divBdr>
                        <w:top w:val="none" w:sz="0" w:space="0" w:color="auto"/>
                        <w:left w:val="none" w:sz="0" w:space="0" w:color="auto"/>
                        <w:bottom w:val="none" w:sz="0" w:space="0" w:color="auto"/>
                        <w:right w:val="none" w:sz="0" w:space="0" w:color="auto"/>
                      </w:divBdr>
                    </w:div>
                  </w:divsChild>
                </w:div>
                <w:div w:id="466629571">
                  <w:marLeft w:val="0"/>
                  <w:marRight w:val="0"/>
                  <w:marTop w:val="0"/>
                  <w:marBottom w:val="0"/>
                  <w:divBdr>
                    <w:top w:val="none" w:sz="0" w:space="0" w:color="auto"/>
                    <w:left w:val="none" w:sz="0" w:space="0" w:color="auto"/>
                    <w:bottom w:val="none" w:sz="0" w:space="0" w:color="auto"/>
                    <w:right w:val="none" w:sz="0" w:space="0" w:color="auto"/>
                  </w:divBdr>
                  <w:divsChild>
                    <w:div w:id="1267345662">
                      <w:marLeft w:val="0"/>
                      <w:marRight w:val="0"/>
                      <w:marTop w:val="0"/>
                      <w:marBottom w:val="0"/>
                      <w:divBdr>
                        <w:top w:val="none" w:sz="0" w:space="0" w:color="auto"/>
                        <w:left w:val="none" w:sz="0" w:space="0" w:color="auto"/>
                        <w:bottom w:val="none" w:sz="0" w:space="0" w:color="auto"/>
                        <w:right w:val="none" w:sz="0" w:space="0" w:color="auto"/>
                      </w:divBdr>
                    </w:div>
                  </w:divsChild>
                </w:div>
                <w:div w:id="492526535">
                  <w:marLeft w:val="0"/>
                  <w:marRight w:val="0"/>
                  <w:marTop w:val="0"/>
                  <w:marBottom w:val="0"/>
                  <w:divBdr>
                    <w:top w:val="none" w:sz="0" w:space="0" w:color="auto"/>
                    <w:left w:val="none" w:sz="0" w:space="0" w:color="auto"/>
                    <w:bottom w:val="none" w:sz="0" w:space="0" w:color="auto"/>
                    <w:right w:val="none" w:sz="0" w:space="0" w:color="auto"/>
                  </w:divBdr>
                  <w:divsChild>
                    <w:div w:id="1932397176">
                      <w:marLeft w:val="0"/>
                      <w:marRight w:val="0"/>
                      <w:marTop w:val="0"/>
                      <w:marBottom w:val="0"/>
                      <w:divBdr>
                        <w:top w:val="none" w:sz="0" w:space="0" w:color="auto"/>
                        <w:left w:val="none" w:sz="0" w:space="0" w:color="auto"/>
                        <w:bottom w:val="none" w:sz="0" w:space="0" w:color="auto"/>
                        <w:right w:val="none" w:sz="0" w:space="0" w:color="auto"/>
                      </w:divBdr>
                    </w:div>
                  </w:divsChild>
                </w:div>
                <w:div w:id="496921738">
                  <w:marLeft w:val="0"/>
                  <w:marRight w:val="0"/>
                  <w:marTop w:val="0"/>
                  <w:marBottom w:val="0"/>
                  <w:divBdr>
                    <w:top w:val="none" w:sz="0" w:space="0" w:color="auto"/>
                    <w:left w:val="none" w:sz="0" w:space="0" w:color="auto"/>
                    <w:bottom w:val="none" w:sz="0" w:space="0" w:color="auto"/>
                    <w:right w:val="none" w:sz="0" w:space="0" w:color="auto"/>
                  </w:divBdr>
                  <w:divsChild>
                    <w:div w:id="11499569">
                      <w:marLeft w:val="0"/>
                      <w:marRight w:val="0"/>
                      <w:marTop w:val="0"/>
                      <w:marBottom w:val="0"/>
                      <w:divBdr>
                        <w:top w:val="none" w:sz="0" w:space="0" w:color="auto"/>
                        <w:left w:val="none" w:sz="0" w:space="0" w:color="auto"/>
                        <w:bottom w:val="none" w:sz="0" w:space="0" w:color="auto"/>
                        <w:right w:val="none" w:sz="0" w:space="0" w:color="auto"/>
                      </w:divBdr>
                    </w:div>
                  </w:divsChild>
                </w:div>
                <w:div w:id="501317534">
                  <w:marLeft w:val="0"/>
                  <w:marRight w:val="0"/>
                  <w:marTop w:val="0"/>
                  <w:marBottom w:val="0"/>
                  <w:divBdr>
                    <w:top w:val="none" w:sz="0" w:space="0" w:color="auto"/>
                    <w:left w:val="none" w:sz="0" w:space="0" w:color="auto"/>
                    <w:bottom w:val="none" w:sz="0" w:space="0" w:color="auto"/>
                    <w:right w:val="none" w:sz="0" w:space="0" w:color="auto"/>
                  </w:divBdr>
                  <w:divsChild>
                    <w:div w:id="259802614">
                      <w:marLeft w:val="0"/>
                      <w:marRight w:val="0"/>
                      <w:marTop w:val="0"/>
                      <w:marBottom w:val="0"/>
                      <w:divBdr>
                        <w:top w:val="none" w:sz="0" w:space="0" w:color="auto"/>
                        <w:left w:val="none" w:sz="0" w:space="0" w:color="auto"/>
                        <w:bottom w:val="none" w:sz="0" w:space="0" w:color="auto"/>
                        <w:right w:val="none" w:sz="0" w:space="0" w:color="auto"/>
                      </w:divBdr>
                    </w:div>
                  </w:divsChild>
                </w:div>
                <w:div w:id="504173120">
                  <w:marLeft w:val="0"/>
                  <w:marRight w:val="0"/>
                  <w:marTop w:val="0"/>
                  <w:marBottom w:val="0"/>
                  <w:divBdr>
                    <w:top w:val="none" w:sz="0" w:space="0" w:color="auto"/>
                    <w:left w:val="none" w:sz="0" w:space="0" w:color="auto"/>
                    <w:bottom w:val="none" w:sz="0" w:space="0" w:color="auto"/>
                    <w:right w:val="none" w:sz="0" w:space="0" w:color="auto"/>
                  </w:divBdr>
                  <w:divsChild>
                    <w:div w:id="1087190347">
                      <w:marLeft w:val="0"/>
                      <w:marRight w:val="0"/>
                      <w:marTop w:val="0"/>
                      <w:marBottom w:val="0"/>
                      <w:divBdr>
                        <w:top w:val="none" w:sz="0" w:space="0" w:color="auto"/>
                        <w:left w:val="none" w:sz="0" w:space="0" w:color="auto"/>
                        <w:bottom w:val="none" w:sz="0" w:space="0" w:color="auto"/>
                        <w:right w:val="none" w:sz="0" w:space="0" w:color="auto"/>
                      </w:divBdr>
                    </w:div>
                  </w:divsChild>
                </w:div>
                <w:div w:id="505443219">
                  <w:marLeft w:val="0"/>
                  <w:marRight w:val="0"/>
                  <w:marTop w:val="0"/>
                  <w:marBottom w:val="0"/>
                  <w:divBdr>
                    <w:top w:val="none" w:sz="0" w:space="0" w:color="auto"/>
                    <w:left w:val="none" w:sz="0" w:space="0" w:color="auto"/>
                    <w:bottom w:val="none" w:sz="0" w:space="0" w:color="auto"/>
                    <w:right w:val="none" w:sz="0" w:space="0" w:color="auto"/>
                  </w:divBdr>
                  <w:divsChild>
                    <w:div w:id="1679427635">
                      <w:marLeft w:val="0"/>
                      <w:marRight w:val="0"/>
                      <w:marTop w:val="0"/>
                      <w:marBottom w:val="0"/>
                      <w:divBdr>
                        <w:top w:val="none" w:sz="0" w:space="0" w:color="auto"/>
                        <w:left w:val="none" w:sz="0" w:space="0" w:color="auto"/>
                        <w:bottom w:val="none" w:sz="0" w:space="0" w:color="auto"/>
                        <w:right w:val="none" w:sz="0" w:space="0" w:color="auto"/>
                      </w:divBdr>
                    </w:div>
                  </w:divsChild>
                </w:div>
                <w:div w:id="512885947">
                  <w:marLeft w:val="0"/>
                  <w:marRight w:val="0"/>
                  <w:marTop w:val="0"/>
                  <w:marBottom w:val="0"/>
                  <w:divBdr>
                    <w:top w:val="none" w:sz="0" w:space="0" w:color="auto"/>
                    <w:left w:val="none" w:sz="0" w:space="0" w:color="auto"/>
                    <w:bottom w:val="none" w:sz="0" w:space="0" w:color="auto"/>
                    <w:right w:val="none" w:sz="0" w:space="0" w:color="auto"/>
                  </w:divBdr>
                  <w:divsChild>
                    <w:div w:id="1537426494">
                      <w:marLeft w:val="0"/>
                      <w:marRight w:val="0"/>
                      <w:marTop w:val="0"/>
                      <w:marBottom w:val="0"/>
                      <w:divBdr>
                        <w:top w:val="none" w:sz="0" w:space="0" w:color="auto"/>
                        <w:left w:val="none" w:sz="0" w:space="0" w:color="auto"/>
                        <w:bottom w:val="none" w:sz="0" w:space="0" w:color="auto"/>
                        <w:right w:val="none" w:sz="0" w:space="0" w:color="auto"/>
                      </w:divBdr>
                    </w:div>
                  </w:divsChild>
                </w:div>
                <w:div w:id="528615125">
                  <w:marLeft w:val="0"/>
                  <w:marRight w:val="0"/>
                  <w:marTop w:val="0"/>
                  <w:marBottom w:val="0"/>
                  <w:divBdr>
                    <w:top w:val="none" w:sz="0" w:space="0" w:color="auto"/>
                    <w:left w:val="none" w:sz="0" w:space="0" w:color="auto"/>
                    <w:bottom w:val="none" w:sz="0" w:space="0" w:color="auto"/>
                    <w:right w:val="none" w:sz="0" w:space="0" w:color="auto"/>
                  </w:divBdr>
                  <w:divsChild>
                    <w:div w:id="600989183">
                      <w:marLeft w:val="0"/>
                      <w:marRight w:val="0"/>
                      <w:marTop w:val="0"/>
                      <w:marBottom w:val="0"/>
                      <w:divBdr>
                        <w:top w:val="none" w:sz="0" w:space="0" w:color="auto"/>
                        <w:left w:val="none" w:sz="0" w:space="0" w:color="auto"/>
                        <w:bottom w:val="none" w:sz="0" w:space="0" w:color="auto"/>
                        <w:right w:val="none" w:sz="0" w:space="0" w:color="auto"/>
                      </w:divBdr>
                    </w:div>
                  </w:divsChild>
                </w:div>
                <w:div w:id="539824392">
                  <w:marLeft w:val="0"/>
                  <w:marRight w:val="0"/>
                  <w:marTop w:val="0"/>
                  <w:marBottom w:val="0"/>
                  <w:divBdr>
                    <w:top w:val="none" w:sz="0" w:space="0" w:color="auto"/>
                    <w:left w:val="none" w:sz="0" w:space="0" w:color="auto"/>
                    <w:bottom w:val="none" w:sz="0" w:space="0" w:color="auto"/>
                    <w:right w:val="none" w:sz="0" w:space="0" w:color="auto"/>
                  </w:divBdr>
                  <w:divsChild>
                    <w:div w:id="1743214979">
                      <w:marLeft w:val="0"/>
                      <w:marRight w:val="0"/>
                      <w:marTop w:val="0"/>
                      <w:marBottom w:val="0"/>
                      <w:divBdr>
                        <w:top w:val="none" w:sz="0" w:space="0" w:color="auto"/>
                        <w:left w:val="none" w:sz="0" w:space="0" w:color="auto"/>
                        <w:bottom w:val="none" w:sz="0" w:space="0" w:color="auto"/>
                        <w:right w:val="none" w:sz="0" w:space="0" w:color="auto"/>
                      </w:divBdr>
                    </w:div>
                  </w:divsChild>
                </w:div>
                <w:div w:id="547838328">
                  <w:marLeft w:val="0"/>
                  <w:marRight w:val="0"/>
                  <w:marTop w:val="0"/>
                  <w:marBottom w:val="0"/>
                  <w:divBdr>
                    <w:top w:val="none" w:sz="0" w:space="0" w:color="auto"/>
                    <w:left w:val="none" w:sz="0" w:space="0" w:color="auto"/>
                    <w:bottom w:val="none" w:sz="0" w:space="0" w:color="auto"/>
                    <w:right w:val="none" w:sz="0" w:space="0" w:color="auto"/>
                  </w:divBdr>
                  <w:divsChild>
                    <w:div w:id="16393706">
                      <w:marLeft w:val="0"/>
                      <w:marRight w:val="0"/>
                      <w:marTop w:val="0"/>
                      <w:marBottom w:val="0"/>
                      <w:divBdr>
                        <w:top w:val="none" w:sz="0" w:space="0" w:color="auto"/>
                        <w:left w:val="none" w:sz="0" w:space="0" w:color="auto"/>
                        <w:bottom w:val="none" w:sz="0" w:space="0" w:color="auto"/>
                        <w:right w:val="none" w:sz="0" w:space="0" w:color="auto"/>
                      </w:divBdr>
                    </w:div>
                  </w:divsChild>
                </w:div>
                <w:div w:id="561716663">
                  <w:marLeft w:val="0"/>
                  <w:marRight w:val="0"/>
                  <w:marTop w:val="0"/>
                  <w:marBottom w:val="0"/>
                  <w:divBdr>
                    <w:top w:val="none" w:sz="0" w:space="0" w:color="auto"/>
                    <w:left w:val="none" w:sz="0" w:space="0" w:color="auto"/>
                    <w:bottom w:val="none" w:sz="0" w:space="0" w:color="auto"/>
                    <w:right w:val="none" w:sz="0" w:space="0" w:color="auto"/>
                  </w:divBdr>
                  <w:divsChild>
                    <w:div w:id="775636214">
                      <w:marLeft w:val="0"/>
                      <w:marRight w:val="0"/>
                      <w:marTop w:val="0"/>
                      <w:marBottom w:val="0"/>
                      <w:divBdr>
                        <w:top w:val="none" w:sz="0" w:space="0" w:color="auto"/>
                        <w:left w:val="none" w:sz="0" w:space="0" w:color="auto"/>
                        <w:bottom w:val="none" w:sz="0" w:space="0" w:color="auto"/>
                        <w:right w:val="none" w:sz="0" w:space="0" w:color="auto"/>
                      </w:divBdr>
                    </w:div>
                  </w:divsChild>
                </w:div>
                <w:div w:id="573705529">
                  <w:marLeft w:val="0"/>
                  <w:marRight w:val="0"/>
                  <w:marTop w:val="0"/>
                  <w:marBottom w:val="0"/>
                  <w:divBdr>
                    <w:top w:val="none" w:sz="0" w:space="0" w:color="auto"/>
                    <w:left w:val="none" w:sz="0" w:space="0" w:color="auto"/>
                    <w:bottom w:val="none" w:sz="0" w:space="0" w:color="auto"/>
                    <w:right w:val="none" w:sz="0" w:space="0" w:color="auto"/>
                  </w:divBdr>
                  <w:divsChild>
                    <w:div w:id="1062100589">
                      <w:marLeft w:val="0"/>
                      <w:marRight w:val="0"/>
                      <w:marTop w:val="0"/>
                      <w:marBottom w:val="0"/>
                      <w:divBdr>
                        <w:top w:val="none" w:sz="0" w:space="0" w:color="auto"/>
                        <w:left w:val="none" w:sz="0" w:space="0" w:color="auto"/>
                        <w:bottom w:val="none" w:sz="0" w:space="0" w:color="auto"/>
                        <w:right w:val="none" w:sz="0" w:space="0" w:color="auto"/>
                      </w:divBdr>
                    </w:div>
                  </w:divsChild>
                </w:div>
                <w:div w:id="608123559">
                  <w:marLeft w:val="0"/>
                  <w:marRight w:val="0"/>
                  <w:marTop w:val="0"/>
                  <w:marBottom w:val="0"/>
                  <w:divBdr>
                    <w:top w:val="none" w:sz="0" w:space="0" w:color="auto"/>
                    <w:left w:val="none" w:sz="0" w:space="0" w:color="auto"/>
                    <w:bottom w:val="none" w:sz="0" w:space="0" w:color="auto"/>
                    <w:right w:val="none" w:sz="0" w:space="0" w:color="auto"/>
                  </w:divBdr>
                  <w:divsChild>
                    <w:div w:id="2077241328">
                      <w:marLeft w:val="0"/>
                      <w:marRight w:val="0"/>
                      <w:marTop w:val="0"/>
                      <w:marBottom w:val="0"/>
                      <w:divBdr>
                        <w:top w:val="none" w:sz="0" w:space="0" w:color="auto"/>
                        <w:left w:val="none" w:sz="0" w:space="0" w:color="auto"/>
                        <w:bottom w:val="none" w:sz="0" w:space="0" w:color="auto"/>
                        <w:right w:val="none" w:sz="0" w:space="0" w:color="auto"/>
                      </w:divBdr>
                    </w:div>
                  </w:divsChild>
                </w:div>
                <w:div w:id="625743764">
                  <w:marLeft w:val="0"/>
                  <w:marRight w:val="0"/>
                  <w:marTop w:val="0"/>
                  <w:marBottom w:val="0"/>
                  <w:divBdr>
                    <w:top w:val="none" w:sz="0" w:space="0" w:color="auto"/>
                    <w:left w:val="none" w:sz="0" w:space="0" w:color="auto"/>
                    <w:bottom w:val="none" w:sz="0" w:space="0" w:color="auto"/>
                    <w:right w:val="none" w:sz="0" w:space="0" w:color="auto"/>
                  </w:divBdr>
                  <w:divsChild>
                    <w:div w:id="790242231">
                      <w:marLeft w:val="0"/>
                      <w:marRight w:val="0"/>
                      <w:marTop w:val="0"/>
                      <w:marBottom w:val="0"/>
                      <w:divBdr>
                        <w:top w:val="none" w:sz="0" w:space="0" w:color="auto"/>
                        <w:left w:val="none" w:sz="0" w:space="0" w:color="auto"/>
                        <w:bottom w:val="none" w:sz="0" w:space="0" w:color="auto"/>
                        <w:right w:val="none" w:sz="0" w:space="0" w:color="auto"/>
                      </w:divBdr>
                    </w:div>
                  </w:divsChild>
                </w:div>
                <w:div w:id="642001529">
                  <w:marLeft w:val="0"/>
                  <w:marRight w:val="0"/>
                  <w:marTop w:val="0"/>
                  <w:marBottom w:val="0"/>
                  <w:divBdr>
                    <w:top w:val="none" w:sz="0" w:space="0" w:color="auto"/>
                    <w:left w:val="none" w:sz="0" w:space="0" w:color="auto"/>
                    <w:bottom w:val="none" w:sz="0" w:space="0" w:color="auto"/>
                    <w:right w:val="none" w:sz="0" w:space="0" w:color="auto"/>
                  </w:divBdr>
                  <w:divsChild>
                    <w:div w:id="1153906633">
                      <w:marLeft w:val="0"/>
                      <w:marRight w:val="0"/>
                      <w:marTop w:val="0"/>
                      <w:marBottom w:val="0"/>
                      <w:divBdr>
                        <w:top w:val="none" w:sz="0" w:space="0" w:color="auto"/>
                        <w:left w:val="none" w:sz="0" w:space="0" w:color="auto"/>
                        <w:bottom w:val="none" w:sz="0" w:space="0" w:color="auto"/>
                        <w:right w:val="none" w:sz="0" w:space="0" w:color="auto"/>
                      </w:divBdr>
                    </w:div>
                  </w:divsChild>
                </w:div>
                <w:div w:id="695815940">
                  <w:marLeft w:val="0"/>
                  <w:marRight w:val="0"/>
                  <w:marTop w:val="0"/>
                  <w:marBottom w:val="0"/>
                  <w:divBdr>
                    <w:top w:val="none" w:sz="0" w:space="0" w:color="auto"/>
                    <w:left w:val="none" w:sz="0" w:space="0" w:color="auto"/>
                    <w:bottom w:val="none" w:sz="0" w:space="0" w:color="auto"/>
                    <w:right w:val="none" w:sz="0" w:space="0" w:color="auto"/>
                  </w:divBdr>
                  <w:divsChild>
                    <w:div w:id="1123765204">
                      <w:marLeft w:val="0"/>
                      <w:marRight w:val="0"/>
                      <w:marTop w:val="0"/>
                      <w:marBottom w:val="0"/>
                      <w:divBdr>
                        <w:top w:val="none" w:sz="0" w:space="0" w:color="auto"/>
                        <w:left w:val="none" w:sz="0" w:space="0" w:color="auto"/>
                        <w:bottom w:val="none" w:sz="0" w:space="0" w:color="auto"/>
                        <w:right w:val="none" w:sz="0" w:space="0" w:color="auto"/>
                      </w:divBdr>
                    </w:div>
                  </w:divsChild>
                </w:div>
                <w:div w:id="717776163">
                  <w:marLeft w:val="0"/>
                  <w:marRight w:val="0"/>
                  <w:marTop w:val="0"/>
                  <w:marBottom w:val="0"/>
                  <w:divBdr>
                    <w:top w:val="none" w:sz="0" w:space="0" w:color="auto"/>
                    <w:left w:val="none" w:sz="0" w:space="0" w:color="auto"/>
                    <w:bottom w:val="none" w:sz="0" w:space="0" w:color="auto"/>
                    <w:right w:val="none" w:sz="0" w:space="0" w:color="auto"/>
                  </w:divBdr>
                  <w:divsChild>
                    <w:div w:id="678890615">
                      <w:marLeft w:val="0"/>
                      <w:marRight w:val="0"/>
                      <w:marTop w:val="0"/>
                      <w:marBottom w:val="0"/>
                      <w:divBdr>
                        <w:top w:val="none" w:sz="0" w:space="0" w:color="auto"/>
                        <w:left w:val="none" w:sz="0" w:space="0" w:color="auto"/>
                        <w:bottom w:val="none" w:sz="0" w:space="0" w:color="auto"/>
                        <w:right w:val="none" w:sz="0" w:space="0" w:color="auto"/>
                      </w:divBdr>
                    </w:div>
                  </w:divsChild>
                </w:div>
                <w:div w:id="739063488">
                  <w:marLeft w:val="0"/>
                  <w:marRight w:val="0"/>
                  <w:marTop w:val="0"/>
                  <w:marBottom w:val="0"/>
                  <w:divBdr>
                    <w:top w:val="none" w:sz="0" w:space="0" w:color="auto"/>
                    <w:left w:val="none" w:sz="0" w:space="0" w:color="auto"/>
                    <w:bottom w:val="none" w:sz="0" w:space="0" w:color="auto"/>
                    <w:right w:val="none" w:sz="0" w:space="0" w:color="auto"/>
                  </w:divBdr>
                  <w:divsChild>
                    <w:div w:id="1780487818">
                      <w:marLeft w:val="0"/>
                      <w:marRight w:val="0"/>
                      <w:marTop w:val="0"/>
                      <w:marBottom w:val="0"/>
                      <w:divBdr>
                        <w:top w:val="none" w:sz="0" w:space="0" w:color="auto"/>
                        <w:left w:val="none" w:sz="0" w:space="0" w:color="auto"/>
                        <w:bottom w:val="none" w:sz="0" w:space="0" w:color="auto"/>
                        <w:right w:val="none" w:sz="0" w:space="0" w:color="auto"/>
                      </w:divBdr>
                    </w:div>
                  </w:divsChild>
                </w:div>
                <w:div w:id="792211327">
                  <w:marLeft w:val="0"/>
                  <w:marRight w:val="0"/>
                  <w:marTop w:val="0"/>
                  <w:marBottom w:val="0"/>
                  <w:divBdr>
                    <w:top w:val="none" w:sz="0" w:space="0" w:color="auto"/>
                    <w:left w:val="none" w:sz="0" w:space="0" w:color="auto"/>
                    <w:bottom w:val="none" w:sz="0" w:space="0" w:color="auto"/>
                    <w:right w:val="none" w:sz="0" w:space="0" w:color="auto"/>
                  </w:divBdr>
                  <w:divsChild>
                    <w:div w:id="254750314">
                      <w:marLeft w:val="0"/>
                      <w:marRight w:val="0"/>
                      <w:marTop w:val="0"/>
                      <w:marBottom w:val="0"/>
                      <w:divBdr>
                        <w:top w:val="none" w:sz="0" w:space="0" w:color="auto"/>
                        <w:left w:val="none" w:sz="0" w:space="0" w:color="auto"/>
                        <w:bottom w:val="none" w:sz="0" w:space="0" w:color="auto"/>
                        <w:right w:val="none" w:sz="0" w:space="0" w:color="auto"/>
                      </w:divBdr>
                    </w:div>
                  </w:divsChild>
                </w:div>
                <w:div w:id="815218529">
                  <w:marLeft w:val="0"/>
                  <w:marRight w:val="0"/>
                  <w:marTop w:val="0"/>
                  <w:marBottom w:val="0"/>
                  <w:divBdr>
                    <w:top w:val="none" w:sz="0" w:space="0" w:color="auto"/>
                    <w:left w:val="none" w:sz="0" w:space="0" w:color="auto"/>
                    <w:bottom w:val="none" w:sz="0" w:space="0" w:color="auto"/>
                    <w:right w:val="none" w:sz="0" w:space="0" w:color="auto"/>
                  </w:divBdr>
                  <w:divsChild>
                    <w:div w:id="1509368208">
                      <w:marLeft w:val="0"/>
                      <w:marRight w:val="0"/>
                      <w:marTop w:val="0"/>
                      <w:marBottom w:val="0"/>
                      <w:divBdr>
                        <w:top w:val="none" w:sz="0" w:space="0" w:color="auto"/>
                        <w:left w:val="none" w:sz="0" w:space="0" w:color="auto"/>
                        <w:bottom w:val="none" w:sz="0" w:space="0" w:color="auto"/>
                        <w:right w:val="none" w:sz="0" w:space="0" w:color="auto"/>
                      </w:divBdr>
                    </w:div>
                  </w:divsChild>
                </w:div>
                <w:div w:id="817573660">
                  <w:marLeft w:val="0"/>
                  <w:marRight w:val="0"/>
                  <w:marTop w:val="0"/>
                  <w:marBottom w:val="0"/>
                  <w:divBdr>
                    <w:top w:val="none" w:sz="0" w:space="0" w:color="auto"/>
                    <w:left w:val="none" w:sz="0" w:space="0" w:color="auto"/>
                    <w:bottom w:val="none" w:sz="0" w:space="0" w:color="auto"/>
                    <w:right w:val="none" w:sz="0" w:space="0" w:color="auto"/>
                  </w:divBdr>
                  <w:divsChild>
                    <w:div w:id="2135899785">
                      <w:marLeft w:val="0"/>
                      <w:marRight w:val="0"/>
                      <w:marTop w:val="0"/>
                      <w:marBottom w:val="0"/>
                      <w:divBdr>
                        <w:top w:val="none" w:sz="0" w:space="0" w:color="auto"/>
                        <w:left w:val="none" w:sz="0" w:space="0" w:color="auto"/>
                        <w:bottom w:val="none" w:sz="0" w:space="0" w:color="auto"/>
                        <w:right w:val="none" w:sz="0" w:space="0" w:color="auto"/>
                      </w:divBdr>
                    </w:div>
                  </w:divsChild>
                </w:div>
                <w:div w:id="823013551">
                  <w:marLeft w:val="0"/>
                  <w:marRight w:val="0"/>
                  <w:marTop w:val="0"/>
                  <w:marBottom w:val="0"/>
                  <w:divBdr>
                    <w:top w:val="none" w:sz="0" w:space="0" w:color="auto"/>
                    <w:left w:val="none" w:sz="0" w:space="0" w:color="auto"/>
                    <w:bottom w:val="none" w:sz="0" w:space="0" w:color="auto"/>
                    <w:right w:val="none" w:sz="0" w:space="0" w:color="auto"/>
                  </w:divBdr>
                  <w:divsChild>
                    <w:div w:id="1639217639">
                      <w:marLeft w:val="0"/>
                      <w:marRight w:val="0"/>
                      <w:marTop w:val="0"/>
                      <w:marBottom w:val="0"/>
                      <w:divBdr>
                        <w:top w:val="none" w:sz="0" w:space="0" w:color="auto"/>
                        <w:left w:val="none" w:sz="0" w:space="0" w:color="auto"/>
                        <w:bottom w:val="none" w:sz="0" w:space="0" w:color="auto"/>
                        <w:right w:val="none" w:sz="0" w:space="0" w:color="auto"/>
                      </w:divBdr>
                    </w:div>
                  </w:divsChild>
                </w:div>
                <w:div w:id="842353945">
                  <w:marLeft w:val="0"/>
                  <w:marRight w:val="0"/>
                  <w:marTop w:val="0"/>
                  <w:marBottom w:val="0"/>
                  <w:divBdr>
                    <w:top w:val="none" w:sz="0" w:space="0" w:color="auto"/>
                    <w:left w:val="none" w:sz="0" w:space="0" w:color="auto"/>
                    <w:bottom w:val="none" w:sz="0" w:space="0" w:color="auto"/>
                    <w:right w:val="none" w:sz="0" w:space="0" w:color="auto"/>
                  </w:divBdr>
                  <w:divsChild>
                    <w:div w:id="2002543187">
                      <w:marLeft w:val="0"/>
                      <w:marRight w:val="0"/>
                      <w:marTop w:val="0"/>
                      <w:marBottom w:val="0"/>
                      <w:divBdr>
                        <w:top w:val="none" w:sz="0" w:space="0" w:color="auto"/>
                        <w:left w:val="none" w:sz="0" w:space="0" w:color="auto"/>
                        <w:bottom w:val="none" w:sz="0" w:space="0" w:color="auto"/>
                        <w:right w:val="none" w:sz="0" w:space="0" w:color="auto"/>
                      </w:divBdr>
                    </w:div>
                  </w:divsChild>
                </w:div>
                <w:div w:id="882867998">
                  <w:marLeft w:val="0"/>
                  <w:marRight w:val="0"/>
                  <w:marTop w:val="0"/>
                  <w:marBottom w:val="0"/>
                  <w:divBdr>
                    <w:top w:val="none" w:sz="0" w:space="0" w:color="auto"/>
                    <w:left w:val="none" w:sz="0" w:space="0" w:color="auto"/>
                    <w:bottom w:val="none" w:sz="0" w:space="0" w:color="auto"/>
                    <w:right w:val="none" w:sz="0" w:space="0" w:color="auto"/>
                  </w:divBdr>
                  <w:divsChild>
                    <w:div w:id="1204050968">
                      <w:marLeft w:val="0"/>
                      <w:marRight w:val="0"/>
                      <w:marTop w:val="0"/>
                      <w:marBottom w:val="0"/>
                      <w:divBdr>
                        <w:top w:val="none" w:sz="0" w:space="0" w:color="auto"/>
                        <w:left w:val="none" w:sz="0" w:space="0" w:color="auto"/>
                        <w:bottom w:val="none" w:sz="0" w:space="0" w:color="auto"/>
                        <w:right w:val="none" w:sz="0" w:space="0" w:color="auto"/>
                      </w:divBdr>
                    </w:div>
                  </w:divsChild>
                </w:div>
                <w:div w:id="884610225">
                  <w:marLeft w:val="0"/>
                  <w:marRight w:val="0"/>
                  <w:marTop w:val="0"/>
                  <w:marBottom w:val="0"/>
                  <w:divBdr>
                    <w:top w:val="none" w:sz="0" w:space="0" w:color="auto"/>
                    <w:left w:val="none" w:sz="0" w:space="0" w:color="auto"/>
                    <w:bottom w:val="none" w:sz="0" w:space="0" w:color="auto"/>
                    <w:right w:val="none" w:sz="0" w:space="0" w:color="auto"/>
                  </w:divBdr>
                  <w:divsChild>
                    <w:div w:id="1605184289">
                      <w:marLeft w:val="0"/>
                      <w:marRight w:val="0"/>
                      <w:marTop w:val="0"/>
                      <w:marBottom w:val="0"/>
                      <w:divBdr>
                        <w:top w:val="none" w:sz="0" w:space="0" w:color="auto"/>
                        <w:left w:val="none" w:sz="0" w:space="0" w:color="auto"/>
                        <w:bottom w:val="none" w:sz="0" w:space="0" w:color="auto"/>
                        <w:right w:val="none" w:sz="0" w:space="0" w:color="auto"/>
                      </w:divBdr>
                    </w:div>
                  </w:divsChild>
                </w:div>
                <w:div w:id="896405019">
                  <w:marLeft w:val="0"/>
                  <w:marRight w:val="0"/>
                  <w:marTop w:val="0"/>
                  <w:marBottom w:val="0"/>
                  <w:divBdr>
                    <w:top w:val="none" w:sz="0" w:space="0" w:color="auto"/>
                    <w:left w:val="none" w:sz="0" w:space="0" w:color="auto"/>
                    <w:bottom w:val="none" w:sz="0" w:space="0" w:color="auto"/>
                    <w:right w:val="none" w:sz="0" w:space="0" w:color="auto"/>
                  </w:divBdr>
                  <w:divsChild>
                    <w:div w:id="1102602061">
                      <w:marLeft w:val="0"/>
                      <w:marRight w:val="0"/>
                      <w:marTop w:val="0"/>
                      <w:marBottom w:val="0"/>
                      <w:divBdr>
                        <w:top w:val="none" w:sz="0" w:space="0" w:color="auto"/>
                        <w:left w:val="none" w:sz="0" w:space="0" w:color="auto"/>
                        <w:bottom w:val="none" w:sz="0" w:space="0" w:color="auto"/>
                        <w:right w:val="none" w:sz="0" w:space="0" w:color="auto"/>
                      </w:divBdr>
                    </w:div>
                  </w:divsChild>
                </w:div>
                <w:div w:id="911232280">
                  <w:marLeft w:val="0"/>
                  <w:marRight w:val="0"/>
                  <w:marTop w:val="0"/>
                  <w:marBottom w:val="0"/>
                  <w:divBdr>
                    <w:top w:val="none" w:sz="0" w:space="0" w:color="auto"/>
                    <w:left w:val="none" w:sz="0" w:space="0" w:color="auto"/>
                    <w:bottom w:val="none" w:sz="0" w:space="0" w:color="auto"/>
                    <w:right w:val="none" w:sz="0" w:space="0" w:color="auto"/>
                  </w:divBdr>
                  <w:divsChild>
                    <w:div w:id="37776813">
                      <w:marLeft w:val="0"/>
                      <w:marRight w:val="0"/>
                      <w:marTop w:val="0"/>
                      <w:marBottom w:val="0"/>
                      <w:divBdr>
                        <w:top w:val="none" w:sz="0" w:space="0" w:color="auto"/>
                        <w:left w:val="none" w:sz="0" w:space="0" w:color="auto"/>
                        <w:bottom w:val="none" w:sz="0" w:space="0" w:color="auto"/>
                        <w:right w:val="none" w:sz="0" w:space="0" w:color="auto"/>
                      </w:divBdr>
                    </w:div>
                  </w:divsChild>
                </w:div>
                <w:div w:id="953561062">
                  <w:marLeft w:val="0"/>
                  <w:marRight w:val="0"/>
                  <w:marTop w:val="0"/>
                  <w:marBottom w:val="0"/>
                  <w:divBdr>
                    <w:top w:val="none" w:sz="0" w:space="0" w:color="auto"/>
                    <w:left w:val="none" w:sz="0" w:space="0" w:color="auto"/>
                    <w:bottom w:val="none" w:sz="0" w:space="0" w:color="auto"/>
                    <w:right w:val="none" w:sz="0" w:space="0" w:color="auto"/>
                  </w:divBdr>
                  <w:divsChild>
                    <w:div w:id="1369716197">
                      <w:marLeft w:val="0"/>
                      <w:marRight w:val="0"/>
                      <w:marTop w:val="0"/>
                      <w:marBottom w:val="0"/>
                      <w:divBdr>
                        <w:top w:val="none" w:sz="0" w:space="0" w:color="auto"/>
                        <w:left w:val="none" w:sz="0" w:space="0" w:color="auto"/>
                        <w:bottom w:val="none" w:sz="0" w:space="0" w:color="auto"/>
                        <w:right w:val="none" w:sz="0" w:space="0" w:color="auto"/>
                      </w:divBdr>
                    </w:div>
                  </w:divsChild>
                </w:div>
                <w:div w:id="954143046">
                  <w:marLeft w:val="0"/>
                  <w:marRight w:val="0"/>
                  <w:marTop w:val="0"/>
                  <w:marBottom w:val="0"/>
                  <w:divBdr>
                    <w:top w:val="none" w:sz="0" w:space="0" w:color="auto"/>
                    <w:left w:val="none" w:sz="0" w:space="0" w:color="auto"/>
                    <w:bottom w:val="none" w:sz="0" w:space="0" w:color="auto"/>
                    <w:right w:val="none" w:sz="0" w:space="0" w:color="auto"/>
                  </w:divBdr>
                  <w:divsChild>
                    <w:div w:id="419058588">
                      <w:marLeft w:val="0"/>
                      <w:marRight w:val="0"/>
                      <w:marTop w:val="0"/>
                      <w:marBottom w:val="0"/>
                      <w:divBdr>
                        <w:top w:val="none" w:sz="0" w:space="0" w:color="auto"/>
                        <w:left w:val="none" w:sz="0" w:space="0" w:color="auto"/>
                        <w:bottom w:val="none" w:sz="0" w:space="0" w:color="auto"/>
                        <w:right w:val="none" w:sz="0" w:space="0" w:color="auto"/>
                      </w:divBdr>
                    </w:div>
                  </w:divsChild>
                </w:div>
                <w:div w:id="960770305">
                  <w:marLeft w:val="0"/>
                  <w:marRight w:val="0"/>
                  <w:marTop w:val="0"/>
                  <w:marBottom w:val="0"/>
                  <w:divBdr>
                    <w:top w:val="none" w:sz="0" w:space="0" w:color="auto"/>
                    <w:left w:val="none" w:sz="0" w:space="0" w:color="auto"/>
                    <w:bottom w:val="none" w:sz="0" w:space="0" w:color="auto"/>
                    <w:right w:val="none" w:sz="0" w:space="0" w:color="auto"/>
                  </w:divBdr>
                  <w:divsChild>
                    <w:div w:id="2023048508">
                      <w:marLeft w:val="0"/>
                      <w:marRight w:val="0"/>
                      <w:marTop w:val="0"/>
                      <w:marBottom w:val="0"/>
                      <w:divBdr>
                        <w:top w:val="none" w:sz="0" w:space="0" w:color="auto"/>
                        <w:left w:val="none" w:sz="0" w:space="0" w:color="auto"/>
                        <w:bottom w:val="none" w:sz="0" w:space="0" w:color="auto"/>
                        <w:right w:val="none" w:sz="0" w:space="0" w:color="auto"/>
                      </w:divBdr>
                    </w:div>
                  </w:divsChild>
                </w:div>
                <w:div w:id="977226309">
                  <w:marLeft w:val="0"/>
                  <w:marRight w:val="0"/>
                  <w:marTop w:val="0"/>
                  <w:marBottom w:val="0"/>
                  <w:divBdr>
                    <w:top w:val="none" w:sz="0" w:space="0" w:color="auto"/>
                    <w:left w:val="none" w:sz="0" w:space="0" w:color="auto"/>
                    <w:bottom w:val="none" w:sz="0" w:space="0" w:color="auto"/>
                    <w:right w:val="none" w:sz="0" w:space="0" w:color="auto"/>
                  </w:divBdr>
                  <w:divsChild>
                    <w:div w:id="2122800553">
                      <w:marLeft w:val="0"/>
                      <w:marRight w:val="0"/>
                      <w:marTop w:val="0"/>
                      <w:marBottom w:val="0"/>
                      <w:divBdr>
                        <w:top w:val="none" w:sz="0" w:space="0" w:color="auto"/>
                        <w:left w:val="none" w:sz="0" w:space="0" w:color="auto"/>
                        <w:bottom w:val="none" w:sz="0" w:space="0" w:color="auto"/>
                        <w:right w:val="none" w:sz="0" w:space="0" w:color="auto"/>
                      </w:divBdr>
                    </w:div>
                  </w:divsChild>
                </w:div>
                <w:div w:id="1012104700">
                  <w:marLeft w:val="0"/>
                  <w:marRight w:val="0"/>
                  <w:marTop w:val="0"/>
                  <w:marBottom w:val="0"/>
                  <w:divBdr>
                    <w:top w:val="none" w:sz="0" w:space="0" w:color="auto"/>
                    <w:left w:val="none" w:sz="0" w:space="0" w:color="auto"/>
                    <w:bottom w:val="none" w:sz="0" w:space="0" w:color="auto"/>
                    <w:right w:val="none" w:sz="0" w:space="0" w:color="auto"/>
                  </w:divBdr>
                  <w:divsChild>
                    <w:div w:id="927737567">
                      <w:marLeft w:val="0"/>
                      <w:marRight w:val="0"/>
                      <w:marTop w:val="0"/>
                      <w:marBottom w:val="0"/>
                      <w:divBdr>
                        <w:top w:val="none" w:sz="0" w:space="0" w:color="auto"/>
                        <w:left w:val="none" w:sz="0" w:space="0" w:color="auto"/>
                        <w:bottom w:val="none" w:sz="0" w:space="0" w:color="auto"/>
                        <w:right w:val="none" w:sz="0" w:space="0" w:color="auto"/>
                      </w:divBdr>
                    </w:div>
                  </w:divsChild>
                </w:div>
                <w:div w:id="1013415812">
                  <w:marLeft w:val="0"/>
                  <w:marRight w:val="0"/>
                  <w:marTop w:val="0"/>
                  <w:marBottom w:val="0"/>
                  <w:divBdr>
                    <w:top w:val="none" w:sz="0" w:space="0" w:color="auto"/>
                    <w:left w:val="none" w:sz="0" w:space="0" w:color="auto"/>
                    <w:bottom w:val="none" w:sz="0" w:space="0" w:color="auto"/>
                    <w:right w:val="none" w:sz="0" w:space="0" w:color="auto"/>
                  </w:divBdr>
                  <w:divsChild>
                    <w:div w:id="2114787972">
                      <w:marLeft w:val="0"/>
                      <w:marRight w:val="0"/>
                      <w:marTop w:val="0"/>
                      <w:marBottom w:val="0"/>
                      <w:divBdr>
                        <w:top w:val="none" w:sz="0" w:space="0" w:color="auto"/>
                        <w:left w:val="none" w:sz="0" w:space="0" w:color="auto"/>
                        <w:bottom w:val="none" w:sz="0" w:space="0" w:color="auto"/>
                        <w:right w:val="none" w:sz="0" w:space="0" w:color="auto"/>
                      </w:divBdr>
                    </w:div>
                  </w:divsChild>
                </w:div>
                <w:div w:id="1043940839">
                  <w:marLeft w:val="0"/>
                  <w:marRight w:val="0"/>
                  <w:marTop w:val="0"/>
                  <w:marBottom w:val="0"/>
                  <w:divBdr>
                    <w:top w:val="none" w:sz="0" w:space="0" w:color="auto"/>
                    <w:left w:val="none" w:sz="0" w:space="0" w:color="auto"/>
                    <w:bottom w:val="none" w:sz="0" w:space="0" w:color="auto"/>
                    <w:right w:val="none" w:sz="0" w:space="0" w:color="auto"/>
                  </w:divBdr>
                  <w:divsChild>
                    <w:div w:id="182593267">
                      <w:marLeft w:val="0"/>
                      <w:marRight w:val="0"/>
                      <w:marTop w:val="0"/>
                      <w:marBottom w:val="0"/>
                      <w:divBdr>
                        <w:top w:val="none" w:sz="0" w:space="0" w:color="auto"/>
                        <w:left w:val="none" w:sz="0" w:space="0" w:color="auto"/>
                        <w:bottom w:val="none" w:sz="0" w:space="0" w:color="auto"/>
                        <w:right w:val="none" w:sz="0" w:space="0" w:color="auto"/>
                      </w:divBdr>
                    </w:div>
                  </w:divsChild>
                </w:div>
                <w:div w:id="1130127391">
                  <w:marLeft w:val="0"/>
                  <w:marRight w:val="0"/>
                  <w:marTop w:val="0"/>
                  <w:marBottom w:val="0"/>
                  <w:divBdr>
                    <w:top w:val="none" w:sz="0" w:space="0" w:color="auto"/>
                    <w:left w:val="none" w:sz="0" w:space="0" w:color="auto"/>
                    <w:bottom w:val="none" w:sz="0" w:space="0" w:color="auto"/>
                    <w:right w:val="none" w:sz="0" w:space="0" w:color="auto"/>
                  </w:divBdr>
                  <w:divsChild>
                    <w:div w:id="71511759">
                      <w:marLeft w:val="0"/>
                      <w:marRight w:val="0"/>
                      <w:marTop w:val="0"/>
                      <w:marBottom w:val="0"/>
                      <w:divBdr>
                        <w:top w:val="none" w:sz="0" w:space="0" w:color="auto"/>
                        <w:left w:val="none" w:sz="0" w:space="0" w:color="auto"/>
                        <w:bottom w:val="none" w:sz="0" w:space="0" w:color="auto"/>
                        <w:right w:val="none" w:sz="0" w:space="0" w:color="auto"/>
                      </w:divBdr>
                    </w:div>
                  </w:divsChild>
                </w:div>
                <w:div w:id="1134762402">
                  <w:marLeft w:val="0"/>
                  <w:marRight w:val="0"/>
                  <w:marTop w:val="0"/>
                  <w:marBottom w:val="0"/>
                  <w:divBdr>
                    <w:top w:val="none" w:sz="0" w:space="0" w:color="auto"/>
                    <w:left w:val="none" w:sz="0" w:space="0" w:color="auto"/>
                    <w:bottom w:val="none" w:sz="0" w:space="0" w:color="auto"/>
                    <w:right w:val="none" w:sz="0" w:space="0" w:color="auto"/>
                  </w:divBdr>
                  <w:divsChild>
                    <w:div w:id="624046032">
                      <w:marLeft w:val="0"/>
                      <w:marRight w:val="0"/>
                      <w:marTop w:val="0"/>
                      <w:marBottom w:val="0"/>
                      <w:divBdr>
                        <w:top w:val="none" w:sz="0" w:space="0" w:color="auto"/>
                        <w:left w:val="none" w:sz="0" w:space="0" w:color="auto"/>
                        <w:bottom w:val="none" w:sz="0" w:space="0" w:color="auto"/>
                        <w:right w:val="none" w:sz="0" w:space="0" w:color="auto"/>
                      </w:divBdr>
                    </w:div>
                  </w:divsChild>
                </w:div>
                <w:div w:id="1164929930">
                  <w:marLeft w:val="0"/>
                  <w:marRight w:val="0"/>
                  <w:marTop w:val="0"/>
                  <w:marBottom w:val="0"/>
                  <w:divBdr>
                    <w:top w:val="none" w:sz="0" w:space="0" w:color="auto"/>
                    <w:left w:val="none" w:sz="0" w:space="0" w:color="auto"/>
                    <w:bottom w:val="none" w:sz="0" w:space="0" w:color="auto"/>
                    <w:right w:val="none" w:sz="0" w:space="0" w:color="auto"/>
                  </w:divBdr>
                  <w:divsChild>
                    <w:div w:id="1625572308">
                      <w:marLeft w:val="0"/>
                      <w:marRight w:val="0"/>
                      <w:marTop w:val="0"/>
                      <w:marBottom w:val="0"/>
                      <w:divBdr>
                        <w:top w:val="none" w:sz="0" w:space="0" w:color="auto"/>
                        <w:left w:val="none" w:sz="0" w:space="0" w:color="auto"/>
                        <w:bottom w:val="none" w:sz="0" w:space="0" w:color="auto"/>
                        <w:right w:val="none" w:sz="0" w:space="0" w:color="auto"/>
                      </w:divBdr>
                    </w:div>
                  </w:divsChild>
                </w:div>
                <w:div w:id="1184320339">
                  <w:marLeft w:val="0"/>
                  <w:marRight w:val="0"/>
                  <w:marTop w:val="0"/>
                  <w:marBottom w:val="0"/>
                  <w:divBdr>
                    <w:top w:val="none" w:sz="0" w:space="0" w:color="auto"/>
                    <w:left w:val="none" w:sz="0" w:space="0" w:color="auto"/>
                    <w:bottom w:val="none" w:sz="0" w:space="0" w:color="auto"/>
                    <w:right w:val="none" w:sz="0" w:space="0" w:color="auto"/>
                  </w:divBdr>
                  <w:divsChild>
                    <w:div w:id="202256573">
                      <w:marLeft w:val="0"/>
                      <w:marRight w:val="0"/>
                      <w:marTop w:val="0"/>
                      <w:marBottom w:val="0"/>
                      <w:divBdr>
                        <w:top w:val="none" w:sz="0" w:space="0" w:color="auto"/>
                        <w:left w:val="none" w:sz="0" w:space="0" w:color="auto"/>
                        <w:bottom w:val="none" w:sz="0" w:space="0" w:color="auto"/>
                        <w:right w:val="none" w:sz="0" w:space="0" w:color="auto"/>
                      </w:divBdr>
                    </w:div>
                  </w:divsChild>
                </w:div>
                <w:div w:id="1186214812">
                  <w:marLeft w:val="0"/>
                  <w:marRight w:val="0"/>
                  <w:marTop w:val="0"/>
                  <w:marBottom w:val="0"/>
                  <w:divBdr>
                    <w:top w:val="none" w:sz="0" w:space="0" w:color="auto"/>
                    <w:left w:val="none" w:sz="0" w:space="0" w:color="auto"/>
                    <w:bottom w:val="none" w:sz="0" w:space="0" w:color="auto"/>
                    <w:right w:val="none" w:sz="0" w:space="0" w:color="auto"/>
                  </w:divBdr>
                  <w:divsChild>
                    <w:div w:id="418209490">
                      <w:marLeft w:val="0"/>
                      <w:marRight w:val="0"/>
                      <w:marTop w:val="0"/>
                      <w:marBottom w:val="0"/>
                      <w:divBdr>
                        <w:top w:val="none" w:sz="0" w:space="0" w:color="auto"/>
                        <w:left w:val="none" w:sz="0" w:space="0" w:color="auto"/>
                        <w:bottom w:val="none" w:sz="0" w:space="0" w:color="auto"/>
                        <w:right w:val="none" w:sz="0" w:space="0" w:color="auto"/>
                      </w:divBdr>
                    </w:div>
                  </w:divsChild>
                </w:div>
                <w:div w:id="1213152774">
                  <w:marLeft w:val="0"/>
                  <w:marRight w:val="0"/>
                  <w:marTop w:val="0"/>
                  <w:marBottom w:val="0"/>
                  <w:divBdr>
                    <w:top w:val="none" w:sz="0" w:space="0" w:color="auto"/>
                    <w:left w:val="none" w:sz="0" w:space="0" w:color="auto"/>
                    <w:bottom w:val="none" w:sz="0" w:space="0" w:color="auto"/>
                    <w:right w:val="none" w:sz="0" w:space="0" w:color="auto"/>
                  </w:divBdr>
                  <w:divsChild>
                    <w:div w:id="543448689">
                      <w:marLeft w:val="0"/>
                      <w:marRight w:val="0"/>
                      <w:marTop w:val="0"/>
                      <w:marBottom w:val="0"/>
                      <w:divBdr>
                        <w:top w:val="none" w:sz="0" w:space="0" w:color="auto"/>
                        <w:left w:val="none" w:sz="0" w:space="0" w:color="auto"/>
                        <w:bottom w:val="none" w:sz="0" w:space="0" w:color="auto"/>
                        <w:right w:val="none" w:sz="0" w:space="0" w:color="auto"/>
                      </w:divBdr>
                    </w:div>
                  </w:divsChild>
                </w:div>
                <w:div w:id="1232735544">
                  <w:marLeft w:val="0"/>
                  <w:marRight w:val="0"/>
                  <w:marTop w:val="0"/>
                  <w:marBottom w:val="0"/>
                  <w:divBdr>
                    <w:top w:val="none" w:sz="0" w:space="0" w:color="auto"/>
                    <w:left w:val="none" w:sz="0" w:space="0" w:color="auto"/>
                    <w:bottom w:val="none" w:sz="0" w:space="0" w:color="auto"/>
                    <w:right w:val="none" w:sz="0" w:space="0" w:color="auto"/>
                  </w:divBdr>
                  <w:divsChild>
                    <w:div w:id="92091341">
                      <w:marLeft w:val="0"/>
                      <w:marRight w:val="0"/>
                      <w:marTop w:val="0"/>
                      <w:marBottom w:val="0"/>
                      <w:divBdr>
                        <w:top w:val="none" w:sz="0" w:space="0" w:color="auto"/>
                        <w:left w:val="none" w:sz="0" w:space="0" w:color="auto"/>
                        <w:bottom w:val="none" w:sz="0" w:space="0" w:color="auto"/>
                        <w:right w:val="none" w:sz="0" w:space="0" w:color="auto"/>
                      </w:divBdr>
                    </w:div>
                  </w:divsChild>
                </w:div>
                <w:div w:id="1241254119">
                  <w:marLeft w:val="0"/>
                  <w:marRight w:val="0"/>
                  <w:marTop w:val="0"/>
                  <w:marBottom w:val="0"/>
                  <w:divBdr>
                    <w:top w:val="none" w:sz="0" w:space="0" w:color="auto"/>
                    <w:left w:val="none" w:sz="0" w:space="0" w:color="auto"/>
                    <w:bottom w:val="none" w:sz="0" w:space="0" w:color="auto"/>
                    <w:right w:val="none" w:sz="0" w:space="0" w:color="auto"/>
                  </w:divBdr>
                  <w:divsChild>
                    <w:div w:id="1635256155">
                      <w:marLeft w:val="0"/>
                      <w:marRight w:val="0"/>
                      <w:marTop w:val="0"/>
                      <w:marBottom w:val="0"/>
                      <w:divBdr>
                        <w:top w:val="none" w:sz="0" w:space="0" w:color="auto"/>
                        <w:left w:val="none" w:sz="0" w:space="0" w:color="auto"/>
                        <w:bottom w:val="none" w:sz="0" w:space="0" w:color="auto"/>
                        <w:right w:val="none" w:sz="0" w:space="0" w:color="auto"/>
                      </w:divBdr>
                    </w:div>
                  </w:divsChild>
                </w:div>
                <w:div w:id="1255750752">
                  <w:marLeft w:val="0"/>
                  <w:marRight w:val="0"/>
                  <w:marTop w:val="0"/>
                  <w:marBottom w:val="0"/>
                  <w:divBdr>
                    <w:top w:val="none" w:sz="0" w:space="0" w:color="auto"/>
                    <w:left w:val="none" w:sz="0" w:space="0" w:color="auto"/>
                    <w:bottom w:val="none" w:sz="0" w:space="0" w:color="auto"/>
                    <w:right w:val="none" w:sz="0" w:space="0" w:color="auto"/>
                  </w:divBdr>
                  <w:divsChild>
                    <w:div w:id="950354817">
                      <w:marLeft w:val="0"/>
                      <w:marRight w:val="0"/>
                      <w:marTop w:val="0"/>
                      <w:marBottom w:val="0"/>
                      <w:divBdr>
                        <w:top w:val="none" w:sz="0" w:space="0" w:color="auto"/>
                        <w:left w:val="none" w:sz="0" w:space="0" w:color="auto"/>
                        <w:bottom w:val="none" w:sz="0" w:space="0" w:color="auto"/>
                        <w:right w:val="none" w:sz="0" w:space="0" w:color="auto"/>
                      </w:divBdr>
                    </w:div>
                  </w:divsChild>
                </w:div>
                <w:div w:id="1279218950">
                  <w:marLeft w:val="0"/>
                  <w:marRight w:val="0"/>
                  <w:marTop w:val="0"/>
                  <w:marBottom w:val="0"/>
                  <w:divBdr>
                    <w:top w:val="none" w:sz="0" w:space="0" w:color="auto"/>
                    <w:left w:val="none" w:sz="0" w:space="0" w:color="auto"/>
                    <w:bottom w:val="none" w:sz="0" w:space="0" w:color="auto"/>
                    <w:right w:val="none" w:sz="0" w:space="0" w:color="auto"/>
                  </w:divBdr>
                  <w:divsChild>
                    <w:div w:id="673803400">
                      <w:marLeft w:val="0"/>
                      <w:marRight w:val="0"/>
                      <w:marTop w:val="0"/>
                      <w:marBottom w:val="0"/>
                      <w:divBdr>
                        <w:top w:val="none" w:sz="0" w:space="0" w:color="auto"/>
                        <w:left w:val="none" w:sz="0" w:space="0" w:color="auto"/>
                        <w:bottom w:val="none" w:sz="0" w:space="0" w:color="auto"/>
                        <w:right w:val="none" w:sz="0" w:space="0" w:color="auto"/>
                      </w:divBdr>
                    </w:div>
                  </w:divsChild>
                </w:div>
                <w:div w:id="1290014094">
                  <w:marLeft w:val="0"/>
                  <w:marRight w:val="0"/>
                  <w:marTop w:val="0"/>
                  <w:marBottom w:val="0"/>
                  <w:divBdr>
                    <w:top w:val="none" w:sz="0" w:space="0" w:color="auto"/>
                    <w:left w:val="none" w:sz="0" w:space="0" w:color="auto"/>
                    <w:bottom w:val="none" w:sz="0" w:space="0" w:color="auto"/>
                    <w:right w:val="none" w:sz="0" w:space="0" w:color="auto"/>
                  </w:divBdr>
                  <w:divsChild>
                    <w:div w:id="745953041">
                      <w:marLeft w:val="0"/>
                      <w:marRight w:val="0"/>
                      <w:marTop w:val="0"/>
                      <w:marBottom w:val="0"/>
                      <w:divBdr>
                        <w:top w:val="none" w:sz="0" w:space="0" w:color="auto"/>
                        <w:left w:val="none" w:sz="0" w:space="0" w:color="auto"/>
                        <w:bottom w:val="none" w:sz="0" w:space="0" w:color="auto"/>
                        <w:right w:val="none" w:sz="0" w:space="0" w:color="auto"/>
                      </w:divBdr>
                    </w:div>
                  </w:divsChild>
                </w:div>
                <w:div w:id="1334383208">
                  <w:marLeft w:val="0"/>
                  <w:marRight w:val="0"/>
                  <w:marTop w:val="0"/>
                  <w:marBottom w:val="0"/>
                  <w:divBdr>
                    <w:top w:val="none" w:sz="0" w:space="0" w:color="auto"/>
                    <w:left w:val="none" w:sz="0" w:space="0" w:color="auto"/>
                    <w:bottom w:val="none" w:sz="0" w:space="0" w:color="auto"/>
                    <w:right w:val="none" w:sz="0" w:space="0" w:color="auto"/>
                  </w:divBdr>
                  <w:divsChild>
                    <w:div w:id="234365226">
                      <w:marLeft w:val="0"/>
                      <w:marRight w:val="0"/>
                      <w:marTop w:val="0"/>
                      <w:marBottom w:val="0"/>
                      <w:divBdr>
                        <w:top w:val="none" w:sz="0" w:space="0" w:color="auto"/>
                        <w:left w:val="none" w:sz="0" w:space="0" w:color="auto"/>
                        <w:bottom w:val="none" w:sz="0" w:space="0" w:color="auto"/>
                        <w:right w:val="none" w:sz="0" w:space="0" w:color="auto"/>
                      </w:divBdr>
                    </w:div>
                  </w:divsChild>
                </w:div>
                <w:div w:id="1350990398">
                  <w:marLeft w:val="0"/>
                  <w:marRight w:val="0"/>
                  <w:marTop w:val="0"/>
                  <w:marBottom w:val="0"/>
                  <w:divBdr>
                    <w:top w:val="none" w:sz="0" w:space="0" w:color="auto"/>
                    <w:left w:val="none" w:sz="0" w:space="0" w:color="auto"/>
                    <w:bottom w:val="none" w:sz="0" w:space="0" w:color="auto"/>
                    <w:right w:val="none" w:sz="0" w:space="0" w:color="auto"/>
                  </w:divBdr>
                  <w:divsChild>
                    <w:div w:id="832575001">
                      <w:marLeft w:val="0"/>
                      <w:marRight w:val="0"/>
                      <w:marTop w:val="0"/>
                      <w:marBottom w:val="0"/>
                      <w:divBdr>
                        <w:top w:val="none" w:sz="0" w:space="0" w:color="auto"/>
                        <w:left w:val="none" w:sz="0" w:space="0" w:color="auto"/>
                        <w:bottom w:val="none" w:sz="0" w:space="0" w:color="auto"/>
                        <w:right w:val="none" w:sz="0" w:space="0" w:color="auto"/>
                      </w:divBdr>
                    </w:div>
                  </w:divsChild>
                </w:div>
                <w:div w:id="1358853019">
                  <w:marLeft w:val="0"/>
                  <w:marRight w:val="0"/>
                  <w:marTop w:val="0"/>
                  <w:marBottom w:val="0"/>
                  <w:divBdr>
                    <w:top w:val="none" w:sz="0" w:space="0" w:color="auto"/>
                    <w:left w:val="none" w:sz="0" w:space="0" w:color="auto"/>
                    <w:bottom w:val="none" w:sz="0" w:space="0" w:color="auto"/>
                    <w:right w:val="none" w:sz="0" w:space="0" w:color="auto"/>
                  </w:divBdr>
                  <w:divsChild>
                    <w:div w:id="1100492455">
                      <w:marLeft w:val="0"/>
                      <w:marRight w:val="0"/>
                      <w:marTop w:val="0"/>
                      <w:marBottom w:val="0"/>
                      <w:divBdr>
                        <w:top w:val="none" w:sz="0" w:space="0" w:color="auto"/>
                        <w:left w:val="none" w:sz="0" w:space="0" w:color="auto"/>
                        <w:bottom w:val="none" w:sz="0" w:space="0" w:color="auto"/>
                        <w:right w:val="none" w:sz="0" w:space="0" w:color="auto"/>
                      </w:divBdr>
                    </w:div>
                  </w:divsChild>
                </w:div>
                <w:div w:id="1386417930">
                  <w:marLeft w:val="0"/>
                  <w:marRight w:val="0"/>
                  <w:marTop w:val="0"/>
                  <w:marBottom w:val="0"/>
                  <w:divBdr>
                    <w:top w:val="none" w:sz="0" w:space="0" w:color="auto"/>
                    <w:left w:val="none" w:sz="0" w:space="0" w:color="auto"/>
                    <w:bottom w:val="none" w:sz="0" w:space="0" w:color="auto"/>
                    <w:right w:val="none" w:sz="0" w:space="0" w:color="auto"/>
                  </w:divBdr>
                  <w:divsChild>
                    <w:div w:id="747843780">
                      <w:marLeft w:val="0"/>
                      <w:marRight w:val="0"/>
                      <w:marTop w:val="0"/>
                      <w:marBottom w:val="0"/>
                      <w:divBdr>
                        <w:top w:val="none" w:sz="0" w:space="0" w:color="auto"/>
                        <w:left w:val="none" w:sz="0" w:space="0" w:color="auto"/>
                        <w:bottom w:val="none" w:sz="0" w:space="0" w:color="auto"/>
                        <w:right w:val="none" w:sz="0" w:space="0" w:color="auto"/>
                      </w:divBdr>
                    </w:div>
                  </w:divsChild>
                </w:div>
                <w:div w:id="1398554699">
                  <w:marLeft w:val="0"/>
                  <w:marRight w:val="0"/>
                  <w:marTop w:val="0"/>
                  <w:marBottom w:val="0"/>
                  <w:divBdr>
                    <w:top w:val="none" w:sz="0" w:space="0" w:color="auto"/>
                    <w:left w:val="none" w:sz="0" w:space="0" w:color="auto"/>
                    <w:bottom w:val="none" w:sz="0" w:space="0" w:color="auto"/>
                    <w:right w:val="none" w:sz="0" w:space="0" w:color="auto"/>
                  </w:divBdr>
                  <w:divsChild>
                    <w:div w:id="1939211270">
                      <w:marLeft w:val="0"/>
                      <w:marRight w:val="0"/>
                      <w:marTop w:val="0"/>
                      <w:marBottom w:val="0"/>
                      <w:divBdr>
                        <w:top w:val="none" w:sz="0" w:space="0" w:color="auto"/>
                        <w:left w:val="none" w:sz="0" w:space="0" w:color="auto"/>
                        <w:bottom w:val="none" w:sz="0" w:space="0" w:color="auto"/>
                        <w:right w:val="none" w:sz="0" w:space="0" w:color="auto"/>
                      </w:divBdr>
                    </w:div>
                  </w:divsChild>
                </w:div>
                <w:div w:id="1399591572">
                  <w:marLeft w:val="0"/>
                  <w:marRight w:val="0"/>
                  <w:marTop w:val="0"/>
                  <w:marBottom w:val="0"/>
                  <w:divBdr>
                    <w:top w:val="none" w:sz="0" w:space="0" w:color="auto"/>
                    <w:left w:val="none" w:sz="0" w:space="0" w:color="auto"/>
                    <w:bottom w:val="none" w:sz="0" w:space="0" w:color="auto"/>
                    <w:right w:val="none" w:sz="0" w:space="0" w:color="auto"/>
                  </w:divBdr>
                  <w:divsChild>
                    <w:div w:id="43067340">
                      <w:marLeft w:val="0"/>
                      <w:marRight w:val="0"/>
                      <w:marTop w:val="0"/>
                      <w:marBottom w:val="0"/>
                      <w:divBdr>
                        <w:top w:val="none" w:sz="0" w:space="0" w:color="auto"/>
                        <w:left w:val="none" w:sz="0" w:space="0" w:color="auto"/>
                        <w:bottom w:val="none" w:sz="0" w:space="0" w:color="auto"/>
                        <w:right w:val="none" w:sz="0" w:space="0" w:color="auto"/>
                      </w:divBdr>
                    </w:div>
                  </w:divsChild>
                </w:div>
                <w:div w:id="1429698959">
                  <w:marLeft w:val="0"/>
                  <w:marRight w:val="0"/>
                  <w:marTop w:val="0"/>
                  <w:marBottom w:val="0"/>
                  <w:divBdr>
                    <w:top w:val="none" w:sz="0" w:space="0" w:color="auto"/>
                    <w:left w:val="none" w:sz="0" w:space="0" w:color="auto"/>
                    <w:bottom w:val="none" w:sz="0" w:space="0" w:color="auto"/>
                    <w:right w:val="none" w:sz="0" w:space="0" w:color="auto"/>
                  </w:divBdr>
                  <w:divsChild>
                    <w:div w:id="91559389">
                      <w:marLeft w:val="0"/>
                      <w:marRight w:val="0"/>
                      <w:marTop w:val="0"/>
                      <w:marBottom w:val="0"/>
                      <w:divBdr>
                        <w:top w:val="none" w:sz="0" w:space="0" w:color="auto"/>
                        <w:left w:val="none" w:sz="0" w:space="0" w:color="auto"/>
                        <w:bottom w:val="none" w:sz="0" w:space="0" w:color="auto"/>
                        <w:right w:val="none" w:sz="0" w:space="0" w:color="auto"/>
                      </w:divBdr>
                    </w:div>
                  </w:divsChild>
                </w:div>
                <w:div w:id="1541282496">
                  <w:marLeft w:val="0"/>
                  <w:marRight w:val="0"/>
                  <w:marTop w:val="0"/>
                  <w:marBottom w:val="0"/>
                  <w:divBdr>
                    <w:top w:val="none" w:sz="0" w:space="0" w:color="auto"/>
                    <w:left w:val="none" w:sz="0" w:space="0" w:color="auto"/>
                    <w:bottom w:val="none" w:sz="0" w:space="0" w:color="auto"/>
                    <w:right w:val="none" w:sz="0" w:space="0" w:color="auto"/>
                  </w:divBdr>
                  <w:divsChild>
                    <w:div w:id="1452868420">
                      <w:marLeft w:val="0"/>
                      <w:marRight w:val="0"/>
                      <w:marTop w:val="0"/>
                      <w:marBottom w:val="0"/>
                      <w:divBdr>
                        <w:top w:val="none" w:sz="0" w:space="0" w:color="auto"/>
                        <w:left w:val="none" w:sz="0" w:space="0" w:color="auto"/>
                        <w:bottom w:val="none" w:sz="0" w:space="0" w:color="auto"/>
                        <w:right w:val="none" w:sz="0" w:space="0" w:color="auto"/>
                      </w:divBdr>
                    </w:div>
                  </w:divsChild>
                </w:div>
                <w:div w:id="1550610919">
                  <w:marLeft w:val="0"/>
                  <w:marRight w:val="0"/>
                  <w:marTop w:val="0"/>
                  <w:marBottom w:val="0"/>
                  <w:divBdr>
                    <w:top w:val="none" w:sz="0" w:space="0" w:color="auto"/>
                    <w:left w:val="none" w:sz="0" w:space="0" w:color="auto"/>
                    <w:bottom w:val="none" w:sz="0" w:space="0" w:color="auto"/>
                    <w:right w:val="none" w:sz="0" w:space="0" w:color="auto"/>
                  </w:divBdr>
                  <w:divsChild>
                    <w:div w:id="2037385302">
                      <w:marLeft w:val="0"/>
                      <w:marRight w:val="0"/>
                      <w:marTop w:val="0"/>
                      <w:marBottom w:val="0"/>
                      <w:divBdr>
                        <w:top w:val="none" w:sz="0" w:space="0" w:color="auto"/>
                        <w:left w:val="none" w:sz="0" w:space="0" w:color="auto"/>
                        <w:bottom w:val="none" w:sz="0" w:space="0" w:color="auto"/>
                        <w:right w:val="none" w:sz="0" w:space="0" w:color="auto"/>
                      </w:divBdr>
                    </w:div>
                  </w:divsChild>
                </w:div>
                <w:div w:id="1570380076">
                  <w:marLeft w:val="0"/>
                  <w:marRight w:val="0"/>
                  <w:marTop w:val="0"/>
                  <w:marBottom w:val="0"/>
                  <w:divBdr>
                    <w:top w:val="none" w:sz="0" w:space="0" w:color="auto"/>
                    <w:left w:val="none" w:sz="0" w:space="0" w:color="auto"/>
                    <w:bottom w:val="none" w:sz="0" w:space="0" w:color="auto"/>
                    <w:right w:val="none" w:sz="0" w:space="0" w:color="auto"/>
                  </w:divBdr>
                  <w:divsChild>
                    <w:div w:id="1689598799">
                      <w:marLeft w:val="0"/>
                      <w:marRight w:val="0"/>
                      <w:marTop w:val="0"/>
                      <w:marBottom w:val="0"/>
                      <w:divBdr>
                        <w:top w:val="none" w:sz="0" w:space="0" w:color="auto"/>
                        <w:left w:val="none" w:sz="0" w:space="0" w:color="auto"/>
                        <w:bottom w:val="none" w:sz="0" w:space="0" w:color="auto"/>
                        <w:right w:val="none" w:sz="0" w:space="0" w:color="auto"/>
                      </w:divBdr>
                    </w:div>
                  </w:divsChild>
                </w:div>
                <w:div w:id="1594820490">
                  <w:marLeft w:val="0"/>
                  <w:marRight w:val="0"/>
                  <w:marTop w:val="0"/>
                  <w:marBottom w:val="0"/>
                  <w:divBdr>
                    <w:top w:val="none" w:sz="0" w:space="0" w:color="auto"/>
                    <w:left w:val="none" w:sz="0" w:space="0" w:color="auto"/>
                    <w:bottom w:val="none" w:sz="0" w:space="0" w:color="auto"/>
                    <w:right w:val="none" w:sz="0" w:space="0" w:color="auto"/>
                  </w:divBdr>
                  <w:divsChild>
                    <w:div w:id="1610965545">
                      <w:marLeft w:val="0"/>
                      <w:marRight w:val="0"/>
                      <w:marTop w:val="0"/>
                      <w:marBottom w:val="0"/>
                      <w:divBdr>
                        <w:top w:val="none" w:sz="0" w:space="0" w:color="auto"/>
                        <w:left w:val="none" w:sz="0" w:space="0" w:color="auto"/>
                        <w:bottom w:val="none" w:sz="0" w:space="0" w:color="auto"/>
                        <w:right w:val="none" w:sz="0" w:space="0" w:color="auto"/>
                      </w:divBdr>
                    </w:div>
                  </w:divsChild>
                </w:div>
                <w:div w:id="1597321660">
                  <w:marLeft w:val="0"/>
                  <w:marRight w:val="0"/>
                  <w:marTop w:val="0"/>
                  <w:marBottom w:val="0"/>
                  <w:divBdr>
                    <w:top w:val="none" w:sz="0" w:space="0" w:color="auto"/>
                    <w:left w:val="none" w:sz="0" w:space="0" w:color="auto"/>
                    <w:bottom w:val="none" w:sz="0" w:space="0" w:color="auto"/>
                    <w:right w:val="none" w:sz="0" w:space="0" w:color="auto"/>
                  </w:divBdr>
                  <w:divsChild>
                    <w:div w:id="633216762">
                      <w:marLeft w:val="0"/>
                      <w:marRight w:val="0"/>
                      <w:marTop w:val="0"/>
                      <w:marBottom w:val="0"/>
                      <w:divBdr>
                        <w:top w:val="none" w:sz="0" w:space="0" w:color="auto"/>
                        <w:left w:val="none" w:sz="0" w:space="0" w:color="auto"/>
                        <w:bottom w:val="none" w:sz="0" w:space="0" w:color="auto"/>
                        <w:right w:val="none" w:sz="0" w:space="0" w:color="auto"/>
                      </w:divBdr>
                    </w:div>
                  </w:divsChild>
                </w:div>
                <w:div w:id="1606378761">
                  <w:marLeft w:val="0"/>
                  <w:marRight w:val="0"/>
                  <w:marTop w:val="0"/>
                  <w:marBottom w:val="0"/>
                  <w:divBdr>
                    <w:top w:val="none" w:sz="0" w:space="0" w:color="auto"/>
                    <w:left w:val="none" w:sz="0" w:space="0" w:color="auto"/>
                    <w:bottom w:val="none" w:sz="0" w:space="0" w:color="auto"/>
                    <w:right w:val="none" w:sz="0" w:space="0" w:color="auto"/>
                  </w:divBdr>
                  <w:divsChild>
                    <w:div w:id="1691754574">
                      <w:marLeft w:val="0"/>
                      <w:marRight w:val="0"/>
                      <w:marTop w:val="0"/>
                      <w:marBottom w:val="0"/>
                      <w:divBdr>
                        <w:top w:val="none" w:sz="0" w:space="0" w:color="auto"/>
                        <w:left w:val="none" w:sz="0" w:space="0" w:color="auto"/>
                        <w:bottom w:val="none" w:sz="0" w:space="0" w:color="auto"/>
                        <w:right w:val="none" w:sz="0" w:space="0" w:color="auto"/>
                      </w:divBdr>
                    </w:div>
                  </w:divsChild>
                </w:div>
                <w:div w:id="1644311015">
                  <w:marLeft w:val="0"/>
                  <w:marRight w:val="0"/>
                  <w:marTop w:val="0"/>
                  <w:marBottom w:val="0"/>
                  <w:divBdr>
                    <w:top w:val="none" w:sz="0" w:space="0" w:color="auto"/>
                    <w:left w:val="none" w:sz="0" w:space="0" w:color="auto"/>
                    <w:bottom w:val="none" w:sz="0" w:space="0" w:color="auto"/>
                    <w:right w:val="none" w:sz="0" w:space="0" w:color="auto"/>
                  </w:divBdr>
                  <w:divsChild>
                    <w:div w:id="2017152391">
                      <w:marLeft w:val="0"/>
                      <w:marRight w:val="0"/>
                      <w:marTop w:val="0"/>
                      <w:marBottom w:val="0"/>
                      <w:divBdr>
                        <w:top w:val="none" w:sz="0" w:space="0" w:color="auto"/>
                        <w:left w:val="none" w:sz="0" w:space="0" w:color="auto"/>
                        <w:bottom w:val="none" w:sz="0" w:space="0" w:color="auto"/>
                        <w:right w:val="none" w:sz="0" w:space="0" w:color="auto"/>
                      </w:divBdr>
                    </w:div>
                  </w:divsChild>
                </w:div>
                <w:div w:id="1650747160">
                  <w:marLeft w:val="0"/>
                  <w:marRight w:val="0"/>
                  <w:marTop w:val="0"/>
                  <w:marBottom w:val="0"/>
                  <w:divBdr>
                    <w:top w:val="none" w:sz="0" w:space="0" w:color="auto"/>
                    <w:left w:val="none" w:sz="0" w:space="0" w:color="auto"/>
                    <w:bottom w:val="none" w:sz="0" w:space="0" w:color="auto"/>
                    <w:right w:val="none" w:sz="0" w:space="0" w:color="auto"/>
                  </w:divBdr>
                  <w:divsChild>
                    <w:div w:id="497235350">
                      <w:marLeft w:val="0"/>
                      <w:marRight w:val="0"/>
                      <w:marTop w:val="0"/>
                      <w:marBottom w:val="0"/>
                      <w:divBdr>
                        <w:top w:val="none" w:sz="0" w:space="0" w:color="auto"/>
                        <w:left w:val="none" w:sz="0" w:space="0" w:color="auto"/>
                        <w:bottom w:val="none" w:sz="0" w:space="0" w:color="auto"/>
                        <w:right w:val="none" w:sz="0" w:space="0" w:color="auto"/>
                      </w:divBdr>
                    </w:div>
                  </w:divsChild>
                </w:div>
                <w:div w:id="1666007256">
                  <w:marLeft w:val="0"/>
                  <w:marRight w:val="0"/>
                  <w:marTop w:val="0"/>
                  <w:marBottom w:val="0"/>
                  <w:divBdr>
                    <w:top w:val="none" w:sz="0" w:space="0" w:color="auto"/>
                    <w:left w:val="none" w:sz="0" w:space="0" w:color="auto"/>
                    <w:bottom w:val="none" w:sz="0" w:space="0" w:color="auto"/>
                    <w:right w:val="none" w:sz="0" w:space="0" w:color="auto"/>
                  </w:divBdr>
                  <w:divsChild>
                    <w:div w:id="1134251236">
                      <w:marLeft w:val="0"/>
                      <w:marRight w:val="0"/>
                      <w:marTop w:val="0"/>
                      <w:marBottom w:val="0"/>
                      <w:divBdr>
                        <w:top w:val="none" w:sz="0" w:space="0" w:color="auto"/>
                        <w:left w:val="none" w:sz="0" w:space="0" w:color="auto"/>
                        <w:bottom w:val="none" w:sz="0" w:space="0" w:color="auto"/>
                        <w:right w:val="none" w:sz="0" w:space="0" w:color="auto"/>
                      </w:divBdr>
                    </w:div>
                  </w:divsChild>
                </w:div>
                <w:div w:id="1684895625">
                  <w:marLeft w:val="0"/>
                  <w:marRight w:val="0"/>
                  <w:marTop w:val="0"/>
                  <w:marBottom w:val="0"/>
                  <w:divBdr>
                    <w:top w:val="none" w:sz="0" w:space="0" w:color="auto"/>
                    <w:left w:val="none" w:sz="0" w:space="0" w:color="auto"/>
                    <w:bottom w:val="none" w:sz="0" w:space="0" w:color="auto"/>
                    <w:right w:val="none" w:sz="0" w:space="0" w:color="auto"/>
                  </w:divBdr>
                  <w:divsChild>
                    <w:div w:id="1704863239">
                      <w:marLeft w:val="0"/>
                      <w:marRight w:val="0"/>
                      <w:marTop w:val="0"/>
                      <w:marBottom w:val="0"/>
                      <w:divBdr>
                        <w:top w:val="none" w:sz="0" w:space="0" w:color="auto"/>
                        <w:left w:val="none" w:sz="0" w:space="0" w:color="auto"/>
                        <w:bottom w:val="none" w:sz="0" w:space="0" w:color="auto"/>
                        <w:right w:val="none" w:sz="0" w:space="0" w:color="auto"/>
                      </w:divBdr>
                    </w:div>
                  </w:divsChild>
                </w:div>
                <w:div w:id="1688291780">
                  <w:marLeft w:val="0"/>
                  <w:marRight w:val="0"/>
                  <w:marTop w:val="0"/>
                  <w:marBottom w:val="0"/>
                  <w:divBdr>
                    <w:top w:val="none" w:sz="0" w:space="0" w:color="auto"/>
                    <w:left w:val="none" w:sz="0" w:space="0" w:color="auto"/>
                    <w:bottom w:val="none" w:sz="0" w:space="0" w:color="auto"/>
                    <w:right w:val="none" w:sz="0" w:space="0" w:color="auto"/>
                  </w:divBdr>
                  <w:divsChild>
                    <w:div w:id="897934839">
                      <w:marLeft w:val="0"/>
                      <w:marRight w:val="0"/>
                      <w:marTop w:val="0"/>
                      <w:marBottom w:val="0"/>
                      <w:divBdr>
                        <w:top w:val="none" w:sz="0" w:space="0" w:color="auto"/>
                        <w:left w:val="none" w:sz="0" w:space="0" w:color="auto"/>
                        <w:bottom w:val="none" w:sz="0" w:space="0" w:color="auto"/>
                        <w:right w:val="none" w:sz="0" w:space="0" w:color="auto"/>
                      </w:divBdr>
                    </w:div>
                  </w:divsChild>
                </w:div>
                <w:div w:id="1697657761">
                  <w:marLeft w:val="0"/>
                  <w:marRight w:val="0"/>
                  <w:marTop w:val="0"/>
                  <w:marBottom w:val="0"/>
                  <w:divBdr>
                    <w:top w:val="none" w:sz="0" w:space="0" w:color="auto"/>
                    <w:left w:val="none" w:sz="0" w:space="0" w:color="auto"/>
                    <w:bottom w:val="none" w:sz="0" w:space="0" w:color="auto"/>
                    <w:right w:val="none" w:sz="0" w:space="0" w:color="auto"/>
                  </w:divBdr>
                  <w:divsChild>
                    <w:div w:id="1073165725">
                      <w:marLeft w:val="0"/>
                      <w:marRight w:val="0"/>
                      <w:marTop w:val="0"/>
                      <w:marBottom w:val="0"/>
                      <w:divBdr>
                        <w:top w:val="none" w:sz="0" w:space="0" w:color="auto"/>
                        <w:left w:val="none" w:sz="0" w:space="0" w:color="auto"/>
                        <w:bottom w:val="none" w:sz="0" w:space="0" w:color="auto"/>
                        <w:right w:val="none" w:sz="0" w:space="0" w:color="auto"/>
                      </w:divBdr>
                    </w:div>
                  </w:divsChild>
                </w:div>
                <w:div w:id="1770154708">
                  <w:marLeft w:val="0"/>
                  <w:marRight w:val="0"/>
                  <w:marTop w:val="0"/>
                  <w:marBottom w:val="0"/>
                  <w:divBdr>
                    <w:top w:val="none" w:sz="0" w:space="0" w:color="auto"/>
                    <w:left w:val="none" w:sz="0" w:space="0" w:color="auto"/>
                    <w:bottom w:val="none" w:sz="0" w:space="0" w:color="auto"/>
                    <w:right w:val="none" w:sz="0" w:space="0" w:color="auto"/>
                  </w:divBdr>
                  <w:divsChild>
                    <w:div w:id="1669864059">
                      <w:marLeft w:val="0"/>
                      <w:marRight w:val="0"/>
                      <w:marTop w:val="0"/>
                      <w:marBottom w:val="0"/>
                      <w:divBdr>
                        <w:top w:val="none" w:sz="0" w:space="0" w:color="auto"/>
                        <w:left w:val="none" w:sz="0" w:space="0" w:color="auto"/>
                        <w:bottom w:val="none" w:sz="0" w:space="0" w:color="auto"/>
                        <w:right w:val="none" w:sz="0" w:space="0" w:color="auto"/>
                      </w:divBdr>
                    </w:div>
                  </w:divsChild>
                </w:div>
                <w:div w:id="1776630898">
                  <w:marLeft w:val="0"/>
                  <w:marRight w:val="0"/>
                  <w:marTop w:val="0"/>
                  <w:marBottom w:val="0"/>
                  <w:divBdr>
                    <w:top w:val="none" w:sz="0" w:space="0" w:color="auto"/>
                    <w:left w:val="none" w:sz="0" w:space="0" w:color="auto"/>
                    <w:bottom w:val="none" w:sz="0" w:space="0" w:color="auto"/>
                    <w:right w:val="none" w:sz="0" w:space="0" w:color="auto"/>
                  </w:divBdr>
                  <w:divsChild>
                    <w:div w:id="740178921">
                      <w:marLeft w:val="0"/>
                      <w:marRight w:val="0"/>
                      <w:marTop w:val="0"/>
                      <w:marBottom w:val="0"/>
                      <w:divBdr>
                        <w:top w:val="none" w:sz="0" w:space="0" w:color="auto"/>
                        <w:left w:val="none" w:sz="0" w:space="0" w:color="auto"/>
                        <w:bottom w:val="none" w:sz="0" w:space="0" w:color="auto"/>
                        <w:right w:val="none" w:sz="0" w:space="0" w:color="auto"/>
                      </w:divBdr>
                    </w:div>
                  </w:divsChild>
                </w:div>
                <w:div w:id="1804230955">
                  <w:marLeft w:val="0"/>
                  <w:marRight w:val="0"/>
                  <w:marTop w:val="0"/>
                  <w:marBottom w:val="0"/>
                  <w:divBdr>
                    <w:top w:val="none" w:sz="0" w:space="0" w:color="auto"/>
                    <w:left w:val="none" w:sz="0" w:space="0" w:color="auto"/>
                    <w:bottom w:val="none" w:sz="0" w:space="0" w:color="auto"/>
                    <w:right w:val="none" w:sz="0" w:space="0" w:color="auto"/>
                  </w:divBdr>
                  <w:divsChild>
                    <w:div w:id="66340885">
                      <w:marLeft w:val="0"/>
                      <w:marRight w:val="0"/>
                      <w:marTop w:val="0"/>
                      <w:marBottom w:val="0"/>
                      <w:divBdr>
                        <w:top w:val="none" w:sz="0" w:space="0" w:color="auto"/>
                        <w:left w:val="none" w:sz="0" w:space="0" w:color="auto"/>
                        <w:bottom w:val="none" w:sz="0" w:space="0" w:color="auto"/>
                        <w:right w:val="none" w:sz="0" w:space="0" w:color="auto"/>
                      </w:divBdr>
                    </w:div>
                  </w:divsChild>
                </w:div>
                <w:div w:id="1901208324">
                  <w:marLeft w:val="0"/>
                  <w:marRight w:val="0"/>
                  <w:marTop w:val="0"/>
                  <w:marBottom w:val="0"/>
                  <w:divBdr>
                    <w:top w:val="none" w:sz="0" w:space="0" w:color="auto"/>
                    <w:left w:val="none" w:sz="0" w:space="0" w:color="auto"/>
                    <w:bottom w:val="none" w:sz="0" w:space="0" w:color="auto"/>
                    <w:right w:val="none" w:sz="0" w:space="0" w:color="auto"/>
                  </w:divBdr>
                  <w:divsChild>
                    <w:div w:id="1236548698">
                      <w:marLeft w:val="0"/>
                      <w:marRight w:val="0"/>
                      <w:marTop w:val="0"/>
                      <w:marBottom w:val="0"/>
                      <w:divBdr>
                        <w:top w:val="none" w:sz="0" w:space="0" w:color="auto"/>
                        <w:left w:val="none" w:sz="0" w:space="0" w:color="auto"/>
                        <w:bottom w:val="none" w:sz="0" w:space="0" w:color="auto"/>
                        <w:right w:val="none" w:sz="0" w:space="0" w:color="auto"/>
                      </w:divBdr>
                    </w:div>
                  </w:divsChild>
                </w:div>
                <w:div w:id="1919316613">
                  <w:marLeft w:val="0"/>
                  <w:marRight w:val="0"/>
                  <w:marTop w:val="0"/>
                  <w:marBottom w:val="0"/>
                  <w:divBdr>
                    <w:top w:val="none" w:sz="0" w:space="0" w:color="auto"/>
                    <w:left w:val="none" w:sz="0" w:space="0" w:color="auto"/>
                    <w:bottom w:val="none" w:sz="0" w:space="0" w:color="auto"/>
                    <w:right w:val="none" w:sz="0" w:space="0" w:color="auto"/>
                  </w:divBdr>
                  <w:divsChild>
                    <w:div w:id="937104038">
                      <w:marLeft w:val="0"/>
                      <w:marRight w:val="0"/>
                      <w:marTop w:val="0"/>
                      <w:marBottom w:val="0"/>
                      <w:divBdr>
                        <w:top w:val="none" w:sz="0" w:space="0" w:color="auto"/>
                        <w:left w:val="none" w:sz="0" w:space="0" w:color="auto"/>
                        <w:bottom w:val="none" w:sz="0" w:space="0" w:color="auto"/>
                        <w:right w:val="none" w:sz="0" w:space="0" w:color="auto"/>
                      </w:divBdr>
                    </w:div>
                  </w:divsChild>
                </w:div>
                <w:div w:id="1954315445">
                  <w:marLeft w:val="0"/>
                  <w:marRight w:val="0"/>
                  <w:marTop w:val="0"/>
                  <w:marBottom w:val="0"/>
                  <w:divBdr>
                    <w:top w:val="none" w:sz="0" w:space="0" w:color="auto"/>
                    <w:left w:val="none" w:sz="0" w:space="0" w:color="auto"/>
                    <w:bottom w:val="none" w:sz="0" w:space="0" w:color="auto"/>
                    <w:right w:val="none" w:sz="0" w:space="0" w:color="auto"/>
                  </w:divBdr>
                  <w:divsChild>
                    <w:div w:id="517740675">
                      <w:marLeft w:val="0"/>
                      <w:marRight w:val="0"/>
                      <w:marTop w:val="0"/>
                      <w:marBottom w:val="0"/>
                      <w:divBdr>
                        <w:top w:val="none" w:sz="0" w:space="0" w:color="auto"/>
                        <w:left w:val="none" w:sz="0" w:space="0" w:color="auto"/>
                        <w:bottom w:val="none" w:sz="0" w:space="0" w:color="auto"/>
                        <w:right w:val="none" w:sz="0" w:space="0" w:color="auto"/>
                      </w:divBdr>
                    </w:div>
                  </w:divsChild>
                </w:div>
                <w:div w:id="1970815664">
                  <w:marLeft w:val="0"/>
                  <w:marRight w:val="0"/>
                  <w:marTop w:val="0"/>
                  <w:marBottom w:val="0"/>
                  <w:divBdr>
                    <w:top w:val="none" w:sz="0" w:space="0" w:color="auto"/>
                    <w:left w:val="none" w:sz="0" w:space="0" w:color="auto"/>
                    <w:bottom w:val="none" w:sz="0" w:space="0" w:color="auto"/>
                    <w:right w:val="none" w:sz="0" w:space="0" w:color="auto"/>
                  </w:divBdr>
                  <w:divsChild>
                    <w:div w:id="270942926">
                      <w:marLeft w:val="0"/>
                      <w:marRight w:val="0"/>
                      <w:marTop w:val="0"/>
                      <w:marBottom w:val="0"/>
                      <w:divBdr>
                        <w:top w:val="none" w:sz="0" w:space="0" w:color="auto"/>
                        <w:left w:val="none" w:sz="0" w:space="0" w:color="auto"/>
                        <w:bottom w:val="none" w:sz="0" w:space="0" w:color="auto"/>
                        <w:right w:val="none" w:sz="0" w:space="0" w:color="auto"/>
                      </w:divBdr>
                    </w:div>
                  </w:divsChild>
                </w:div>
                <w:div w:id="1988583817">
                  <w:marLeft w:val="0"/>
                  <w:marRight w:val="0"/>
                  <w:marTop w:val="0"/>
                  <w:marBottom w:val="0"/>
                  <w:divBdr>
                    <w:top w:val="none" w:sz="0" w:space="0" w:color="auto"/>
                    <w:left w:val="none" w:sz="0" w:space="0" w:color="auto"/>
                    <w:bottom w:val="none" w:sz="0" w:space="0" w:color="auto"/>
                    <w:right w:val="none" w:sz="0" w:space="0" w:color="auto"/>
                  </w:divBdr>
                  <w:divsChild>
                    <w:div w:id="173955104">
                      <w:marLeft w:val="0"/>
                      <w:marRight w:val="0"/>
                      <w:marTop w:val="0"/>
                      <w:marBottom w:val="0"/>
                      <w:divBdr>
                        <w:top w:val="none" w:sz="0" w:space="0" w:color="auto"/>
                        <w:left w:val="none" w:sz="0" w:space="0" w:color="auto"/>
                        <w:bottom w:val="none" w:sz="0" w:space="0" w:color="auto"/>
                        <w:right w:val="none" w:sz="0" w:space="0" w:color="auto"/>
                      </w:divBdr>
                    </w:div>
                  </w:divsChild>
                </w:div>
                <w:div w:id="2013143146">
                  <w:marLeft w:val="0"/>
                  <w:marRight w:val="0"/>
                  <w:marTop w:val="0"/>
                  <w:marBottom w:val="0"/>
                  <w:divBdr>
                    <w:top w:val="none" w:sz="0" w:space="0" w:color="auto"/>
                    <w:left w:val="none" w:sz="0" w:space="0" w:color="auto"/>
                    <w:bottom w:val="none" w:sz="0" w:space="0" w:color="auto"/>
                    <w:right w:val="none" w:sz="0" w:space="0" w:color="auto"/>
                  </w:divBdr>
                  <w:divsChild>
                    <w:div w:id="390421450">
                      <w:marLeft w:val="0"/>
                      <w:marRight w:val="0"/>
                      <w:marTop w:val="0"/>
                      <w:marBottom w:val="0"/>
                      <w:divBdr>
                        <w:top w:val="none" w:sz="0" w:space="0" w:color="auto"/>
                        <w:left w:val="none" w:sz="0" w:space="0" w:color="auto"/>
                        <w:bottom w:val="none" w:sz="0" w:space="0" w:color="auto"/>
                        <w:right w:val="none" w:sz="0" w:space="0" w:color="auto"/>
                      </w:divBdr>
                    </w:div>
                  </w:divsChild>
                </w:div>
                <w:div w:id="2024747632">
                  <w:marLeft w:val="0"/>
                  <w:marRight w:val="0"/>
                  <w:marTop w:val="0"/>
                  <w:marBottom w:val="0"/>
                  <w:divBdr>
                    <w:top w:val="none" w:sz="0" w:space="0" w:color="auto"/>
                    <w:left w:val="none" w:sz="0" w:space="0" w:color="auto"/>
                    <w:bottom w:val="none" w:sz="0" w:space="0" w:color="auto"/>
                    <w:right w:val="none" w:sz="0" w:space="0" w:color="auto"/>
                  </w:divBdr>
                  <w:divsChild>
                    <w:div w:id="848523428">
                      <w:marLeft w:val="0"/>
                      <w:marRight w:val="0"/>
                      <w:marTop w:val="0"/>
                      <w:marBottom w:val="0"/>
                      <w:divBdr>
                        <w:top w:val="none" w:sz="0" w:space="0" w:color="auto"/>
                        <w:left w:val="none" w:sz="0" w:space="0" w:color="auto"/>
                        <w:bottom w:val="none" w:sz="0" w:space="0" w:color="auto"/>
                        <w:right w:val="none" w:sz="0" w:space="0" w:color="auto"/>
                      </w:divBdr>
                    </w:div>
                  </w:divsChild>
                </w:div>
                <w:div w:id="2037539159">
                  <w:marLeft w:val="0"/>
                  <w:marRight w:val="0"/>
                  <w:marTop w:val="0"/>
                  <w:marBottom w:val="0"/>
                  <w:divBdr>
                    <w:top w:val="none" w:sz="0" w:space="0" w:color="auto"/>
                    <w:left w:val="none" w:sz="0" w:space="0" w:color="auto"/>
                    <w:bottom w:val="none" w:sz="0" w:space="0" w:color="auto"/>
                    <w:right w:val="none" w:sz="0" w:space="0" w:color="auto"/>
                  </w:divBdr>
                  <w:divsChild>
                    <w:div w:id="811218677">
                      <w:marLeft w:val="0"/>
                      <w:marRight w:val="0"/>
                      <w:marTop w:val="0"/>
                      <w:marBottom w:val="0"/>
                      <w:divBdr>
                        <w:top w:val="none" w:sz="0" w:space="0" w:color="auto"/>
                        <w:left w:val="none" w:sz="0" w:space="0" w:color="auto"/>
                        <w:bottom w:val="none" w:sz="0" w:space="0" w:color="auto"/>
                        <w:right w:val="none" w:sz="0" w:space="0" w:color="auto"/>
                      </w:divBdr>
                    </w:div>
                  </w:divsChild>
                </w:div>
                <w:div w:id="2056998514">
                  <w:marLeft w:val="0"/>
                  <w:marRight w:val="0"/>
                  <w:marTop w:val="0"/>
                  <w:marBottom w:val="0"/>
                  <w:divBdr>
                    <w:top w:val="none" w:sz="0" w:space="0" w:color="auto"/>
                    <w:left w:val="none" w:sz="0" w:space="0" w:color="auto"/>
                    <w:bottom w:val="none" w:sz="0" w:space="0" w:color="auto"/>
                    <w:right w:val="none" w:sz="0" w:space="0" w:color="auto"/>
                  </w:divBdr>
                  <w:divsChild>
                    <w:div w:id="155190292">
                      <w:marLeft w:val="0"/>
                      <w:marRight w:val="0"/>
                      <w:marTop w:val="0"/>
                      <w:marBottom w:val="0"/>
                      <w:divBdr>
                        <w:top w:val="none" w:sz="0" w:space="0" w:color="auto"/>
                        <w:left w:val="none" w:sz="0" w:space="0" w:color="auto"/>
                        <w:bottom w:val="none" w:sz="0" w:space="0" w:color="auto"/>
                        <w:right w:val="none" w:sz="0" w:space="0" w:color="auto"/>
                      </w:divBdr>
                    </w:div>
                  </w:divsChild>
                </w:div>
                <w:div w:id="2080132047">
                  <w:marLeft w:val="0"/>
                  <w:marRight w:val="0"/>
                  <w:marTop w:val="0"/>
                  <w:marBottom w:val="0"/>
                  <w:divBdr>
                    <w:top w:val="none" w:sz="0" w:space="0" w:color="auto"/>
                    <w:left w:val="none" w:sz="0" w:space="0" w:color="auto"/>
                    <w:bottom w:val="none" w:sz="0" w:space="0" w:color="auto"/>
                    <w:right w:val="none" w:sz="0" w:space="0" w:color="auto"/>
                  </w:divBdr>
                  <w:divsChild>
                    <w:div w:id="435640830">
                      <w:marLeft w:val="0"/>
                      <w:marRight w:val="0"/>
                      <w:marTop w:val="0"/>
                      <w:marBottom w:val="0"/>
                      <w:divBdr>
                        <w:top w:val="none" w:sz="0" w:space="0" w:color="auto"/>
                        <w:left w:val="none" w:sz="0" w:space="0" w:color="auto"/>
                        <w:bottom w:val="none" w:sz="0" w:space="0" w:color="auto"/>
                        <w:right w:val="none" w:sz="0" w:space="0" w:color="auto"/>
                      </w:divBdr>
                    </w:div>
                  </w:divsChild>
                </w:div>
                <w:div w:id="2083788987">
                  <w:marLeft w:val="0"/>
                  <w:marRight w:val="0"/>
                  <w:marTop w:val="0"/>
                  <w:marBottom w:val="0"/>
                  <w:divBdr>
                    <w:top w:val="none" w:sz="0" w:space="0" w:color="auto"/>
                    <w:left w:val="none" w:sz="0" w:space="0" w:color="auto"/>
                    <w:bottom w:val="none" w:sz="0" w:space="0" w:color="auto"/>
                    <w:right w:val="none" w:sz="0" w:space="0" w:color="auto"/>
                  </w:divBdr>
                  <w:divsChild>
                    <w:div w:id="950356583">
                      <w:marLeft w:val="0"/>
                      <w:marRight w:val="0"/>
                      <w:marTop w:val="0"/>
                      <w:marBottom w:val="0"/>
                      <w:divBdr>
                        <w:top w:val="none" w:sz="0" w:space="0" w:color="auto"/>
                        <w:left w:val="none" w:sz="0" w:space="0" w:color="auto"/>
                        <w:bottom w:val="none" w:sz="0" w:space="0" w:color="auto"/>
                        <w:right w:val="none" w:sz="0" w:space="0" w:color="auto"/>
                      </w:divBdr>
                    </w:div>
                  </w:divsChild>
                </w:div>
                <w:div w:id="2085905337">
                  <w:marLeft w:val="0"/>
                  <w:marRight w:val="0"/>
                  <w:marTop w:val="0"/>
                  <w:marBottom w:val="0"/>
                  <w:divBdr>
                    <w:top w:val="none" w:sz="0" w:space="0" w:color="auto"/>
                    <w:left w:val="none" w:sz="0" w:space="0" w:color="auto"/>
                    <w:bottom w:val="none" w:sz="0" w:space="0" w:color="auto"/>
                    <w:right w:val="none" w:sz="0" w:space="0" w:color="auto"/>
                  </w:divBdr>
                  <w:divsChild>
                    <w:div w:id="1462529008">
                      <w:marLeft w:val="0"/>
                      <w:marRight w:val="0"/>
                      <w:marTop w:val="0"/>
                      <w:marBottom w:val="0"/>
                      <w:divBdr>
                        <w:top w:val="none" w:sz="0" w:space="0" w:color="auto"/>
                        <w:left w:val="none" w:sz="0" w:space="0" w:color="auto"/>
                        <w:bottom w:val="none" w:sz="0" w:space="0" w:color="auto"/>
                        <w:right w:val="none" w:sz="0" w:space="0" w:color="auto"/>
                      </w:divBdr>
                    </w:div>
                  </w:divsChild>
                </w:div>
                <w:div w:id="2090611947">
                  <w:marLeft w:val="0"/>
                  <w:marRight w:val="0"/>
                  <w:marTop w:val="0"/>
                  <w:marBottom w:val="0"/>
                  <w:divBdr>
                    <w:top w:val="none" w:sz="0" w:space="0" w:color="auto"/>
                    <w:left w:val="none" w:sz="0" w:space="0" w:color="auto"/>
                    <w:bottom w:val="none" w:sz="0" w:space="0" w:color="auto"/>
                    <w:right w:val="none" w:sz="0" w:space="0" w:color="auto"/>
                  </w:divBdr>
                  <w:divsChild>
                    <w:div w:id="241305704">
                      <w:marLeft w:val="0"/>
                      <w:marRight w:val="0"/>
                      <w:marTop w:val="0"/>
                      <w:marBottom w:val="0"/>
                      <w:divBdr>
                        <w:top w:val="none" w:sz="0" w:space="0" w:color="auto"/>
                        <w:left w:val="none" w:sz="0" w:space="0" w:color="auto"/>
                        <w:bottom w:val="none" w:sz="0" w:space="0" w:color="auto"/>
                        <w:right w:val="none" w:sz="0" w:space="0" w:color="auto"/>
                      </w:divBdr>
                    </w:div>
                  </w:divsChild>
                </w:div>
                <w:div w:id="2125341946">
                  <w:marLeft w:val="0"/>
                  <w:marRight w:val="0"/>
                  <w:marTop w:val="0"/>
                  <w:marBottom w:val="0"/>
                  <w:divBdr>
                    <w:top w:val="none" w:sz="0" w:space="0" w:color="auto"/>
                    <w:left w:val="none" w:sz="0" w:space="0" w:color="auto"/>
                    <w:bottom w:val="none" w:sz="0" w:space="0" w:color="auto"/>
                    <w:right w:val="none" w:sz="0" w:space="0" w:color="auto"/>
                  </w:divBdr>
                  <w:divsChild>
                    <w:div w:id="1879734574">
                      <w:marLeft w:val="0"/>
                      <w:marRight w:val="0"/>
                      <w:marTop w:val="0"/>
                      <w:marBottom w:val="0"/>
                      <w:divBdr>
                        <w:top w:val="none" w:sz="0" w:space="0" w:color="auto"/>
                        <w:left w:val="none" w:sz="0" w:space="0" w:color="auto"/>
                        <w:bottom w:val="none" w:sz="0" w:space="0" w:color="auto"/>
                        <w:right w:val="none" w:sz="0" w:space="0" w:color="auto"/>
                      </w:divBdr>
                    </w:div>
                  </w:divsChild>
                </w:div>
                <w:div w:id="2127580442">
                  <w:marLeft w:val="0"/>
                  <w:marRight w:val="0"/>
                  <w:marTop w:val="0"/>
                  <w:marBottom w:val="0"/>
                  <w:divBdr>
                    <w:top w:val="none" w:sz="0" w:space="0" w:color="auto"/>
                    <w:left w:val="none" w:sz="0" w:space="0" w:color="auto"/>
                    <w:bottom w:val="none" w:sz="0" w:space="0" w:color="auto"/>
                    <w:right w:val="none" w:sz="0" w:space="0" w:color="auto"/>
                  </w:divBdr>
                  <w:divsChild>
                    <w:div w:id="271473950">
                      <w:marLeft w:val="0"/>
                      <w:marRight w:val="0"/>
                      <w:marTop w:val="0"/>
                      <w:marBottom w:val="0"/>
                      <w:divBdr>
                        <w:top w:val="none" w:sz="0" w:space="0" w:color="auto"/>
                        <w:left w:val="none" w:sz="0" w:space="0" w:color="auto"/>
                        <w:bottom w:val="none" w:sz="0" w:space="0" w:color="auto"/>
                        <w:right w:val="none" w:sz="0" w:space="0" w:color="auto"/>
                      </w:divBdr>
                    </w:div>
                  </w:divsChild>
                </w:div>
                <w:div w:id="2137985131">
                  <w:marLeft w:val="0"/>
                  <w:marRight w:val="0"/>
                  <w:marTop w:val="0"/>
                  <w:marBottom w:val="0"/>
                  <w:divBdr>
                    <w:top w:val="none" w:sz="0" w:space="0" w:color="auto"/>
                    <w:left w:val="none" w:sz="0" w:space="0" w:color="auto"/>
                    <w:bottom w:val="none" w:sz="0" w:space="0" w:color="auto"/>
                    <w:right w:val="none" w:sz="0" w:space="0" w:color="auto"/>
                  </w:divBdr>
                  <w:divsChild>
                    <w:div w:id="66120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18135">
          <w:marLeft w:val="0"/>
          <w:marRight w:val="0"/>
          <w:marTop w:val="0"/>
          <w:marBottom w:val="0"/>
          <w:divBdr>
            <w:top w:val="none" w:sz="0" w:space="0" w:color="auto"/>
            <w:left w:val="none" w:sz="0" w:space="0" w:color="auto"/>
            <w:bottom w:val="none" w:sz="0" w:space="0" w:color="auto"/>
            <w:right w:val="none" w:sz="0" w:space="0" w:color="auto"/>
          </w:divBdr>
          <w:divsChild>
            <w:div w:id="564874400">
              <w:marLeft w:val="-75"/>
              <w:marRight w:val="0"/>
              <w:marTop w:val="30"/>
              <w:marBottom w:val="30"/>
              <w:divBdr>
                <w:top w:val="none" w:sz="0" w:space="0" w:color="auto"/>
                <w:left w:val="none" w:sz="0" w:space="0" w:color="auto"/>
                <w:bottom w:val="none" w:sz="0" w:space="0" w:color="auto"/>
                <w:right w:val="none" w:sz="0" w:space="0" w:color="auto"/>
              </w:divBdr>
              <w:divsChild>
                <w:div w:id="36009946">
                  <w:marLeft w:val="0"/>
                  <w:marRight w:val="0"/>
                  <w:marTop w:val="0"/>
                  <w:marBottom w:val="0"/>
                  <w:divBdr>
                    <w:top w:val="none" w:sz="0" w:space="0" w:color="auto"/>
                    <w:left w:val="none" w:sz="0" w:space="0" w:color="auto"/>
                    <w:bottom w:val="none" w:sz="0" w:space="0" w:color="auto"/>
                    <w:right w:val="none" w:sz="0" w:space="0" w:color="auto"/>
                  </w:divBdr>
                  <w:divsChild>
                    <w:div w:id="717896618">
                      <w:marLeft w:val="0"/>
                      <w:marRight w:val="0"/>
                      <w:marTop w:val="0"/>
                      <w:marBottom w:val="0"/>
                      <w:divBdr>
                        <w:top w:val="none" w:sz="0" w:space="0" w:color="auto"/>
                        <w:left w:val="none" w:sz="0" w:space="0" w:color="auto"/>
                        <w:bottom w:val="none" w:sz="0" w:space="0" w:color="auto"/>
                        <w:right w:val="none" w:sz="0" w:space="0" w:color="auto"/>
                      </w:divBdr>
                    </w:div>
                  </w:divsChild>
                </w:div>
                <w:div w:id="43919113">
                  <w:marLeft w:val="0"/>
                  <w:marRight w:val="0"/>
                  <w:marTop w:val="0"/>
                  <w:marBottom w:val="0"/>
                  <w:divBdr>
                    <w:top w:val="none" w:sz="0" w:space="0" w:color="auto"/>
                    <w:left w:val="none" w:sz="0" w:space="0" w:color="auto"/>
                    <w:bottom w:val="none" w:sz="0" w:space="0" w:color="auto"/>
                    <w:right w:val="none" w:sz="0" w:space="0" w:color="auto"/>
                  </w:divBdr>
                  <w:divsChild>
                    <w:div w:id="1362826205">
                      <w:marLeft w:val="0"/>
                      <w:marRight w:val="0"/>
                      <w:marTop w:val="0"/>
                      <w:marBottom w:val="0"/>
                      <w:divBdr>
                        <w:top w:val="none" w:sz="0" w:space="0" w:color="auto"/>
                        <w:left w:val="none" w:sz="0" w:space="0" w:color="auto"/>
                        <w:bottom w:val="none" w:sz="0" w:space="0" w:color="auto"/>
                        <w:right w:val="none" w:sz="0" w:space="0" w:color="auto"/>
                      </w:divBdr>
                    </w:div>
                  </w:divsChild>
                </w:div>
                <w:div w:id="94324463">
                  <w:marLeft w:val="0"/>
                  <w:marRight w:val="0"/>
                  <w:marTop w:val="0"/>
                  <w:marBottom w:val="0"/>
                  <w:divBdr>
                    <w:top w:val="none" w:sz="0" w:space="0" w:color="auto"/>
                    <w:left w:val="none" w:sz="0" w:space="0" w:color="auto"/>
                    <w:bottom w:val="none" w:sz="0" w:space="0" w:color="auto"/>
                    <w:right w:val="none" w:sz="0" w:space="0" w:color="auto"/>
                  </w:divBdr>
                  <w:divsChild>
                    <w:div w:id="100226968">
                      <w:marLeft w:val="0"/>
                      <w:marRight w:val="0"/>
                      <w:marTop w:val="0"/>
                      <w:marBottom w:val="0"/>
                      <w:divBdr>
                        <w:top w:val="none" w:sz="0" w:space="0" w:color="auto"/>
                        <w:left w:val="none" w:sz="0" w:space="0" w:color="auto"/>
                        <w:bottom w:val="none" w:sz="0" w:space="0" w:color="auto"/>
                        <w:right w:val="none" w:sz="0" w:space="0" w:color="auto"/>
                      </w:divBdr>
                    </w:div>
                  </w:divsChild>
                </w:div>
                <w:div w:id="312488639">
                  <w:marLeft w:val="0"/>
                  <w:marRight w:val="0"/>
                  <w:marTop w:val="0"/>
                  <w:marBottom w:val="0"/>
                  <w:divBdr>
                    <w:top w:val="none" w:sz="0" w:space="0" w:color="auto"/>
                    <w:left w:val="none" w:sz="0" w:space="0" w:color="auto"/>
                    <w:bottom w:val="none" w:sz="0" w:space="0" w:color="auto"/>
                    <w:right w:val="none" w:sz="0" w:space="0" w:color="auto"/>
                  </w:divBdr>
                  <w:divsChild>
                    <w:div w:id="1869945882">
                      <w:marLeft w:val="0"/>
                      <w:marRight w:val="0"/>
                      <w:marTop w:val="0"/>
                      <w:marBottom w:val="0"/>
                      <w:divBdr>
                        <w:top w:val="none" w:sz="0" w:space="0" w:color="auto"/>
                        <w:left w:val="none" w:sz="0" w:space="0" w:color="auto"/>
                        <w:bottom w:val="none" w:sz="0" w:space="0" w:color="auto"/>
                        <w:right w:val="none" w:sz="0" w:space="0" w:color="auto"/>
                      </w:divBdr>
                    </w:div>
                  </w:divsChild>
                </w:div>
                <w:div w:id="528252379">
                  <w:marLeft w:val="0"/>
                  <w:marRight w:val="0"/>
                  <w:marTop w:val="0"/>
                  <w:marBottom w:val="0"/>
                  <w:divBdr>
                    <w:top w:val="none" w:sz="0" w:space="0" w:color="auto"/>
                    <w:left w:val="none" w:sz="0" w:space="0" w:color="auto"/>
                    <w:bottom w:val="none" w:sz="0" w:space="0" w:color="auto"/>
                    <w:right w:val="none" w:sz="0" w:space="0" w:color="auto"/>
                  </w:divBdr>
                  <w:divsChild>
                    <w:div w:id="519897295">
                      <w:marLeft w:val="0"/>
                      <w:marRight w:val="0"/>
                      <w:marTop w:val="0"/>
                      <w:marBottom w:val="0"/>
                      <w:divBdr>
                        <w:top w:val="none" w:sz="0" w:space="0" w:color="auto"/>
                        <w:left w:val="none" w:sz="0" w:space="0" w:color="auto"/>
                        <w:bottom w:val="none" w:sz="0" w:space="0" w:color="auto"/>
                        <w:right w:val="none" w:sz="0" w:space="0" w:color="auto"/>
                      </w:divBdr>
                    </w:div>
                  </w:divsChild>
                </w:div>
                <w:div w:id="568005497">
                  <w:marLeft w:val="0"/>
                  <w:marRight w:val="0"/>
                  <w:marTop w:val="0"/>
                  <w:marBottom w:val="0"/>
                  <w:divBdr>
                    <w:top w:val="none" w:sz="0" w:space="0" w:color="auto"/>
                    <w:left w:val="none" w:sz="0" w:space="0" w:color="auto"/>
                    <w:bottom w:val="none" w:sz="0" w:space="0" w:color="auto"/>
                    <w:right w:val="none" w:sz="0" w:space="0" w:color="auto"/>
                  </w:divBdr>
                  <w:divsChild>
                    <w:div w:id="76177212">
                      <w:marLeft w:val="0"/>
                      <w:marRight w:val="0"/>
                      <w:marTop w:val="0"/>
                      <w:marBottom w:val="0"/>
                      <w:divBdr>
                        <w:top w:val="none" w:sz="0" w:space="0" w:color="auto"/>
                        <w:left w:val="none" w:sz="0" w:space="0" w:color="auto"/>
                        <w:bottom w:val="none" w:sz="0" w:space="0" w:color="auto"/>
                        <w:right w:val="none" w:sz="0" w:space="0" w:color="auto"/>
                      </w:divBdr>
                    </w:div>
                  </w:divsChild>
                </w:div>
                <w:div w:id="1248270241">
                  <w:marLeft w:val="0"/>
                  <w:marRight w:val="0"/>
                  <w:marTop w:val="0"/>
                  <w:marBottom w:val="0"/>
                  <w:divBdr>
                    <w:top w:val="none" w:sz="0" w:space="0" w:color="auto"/>
                    <w:left w:val="none" w:sz="0" w:space="0" w:color="auto"/>
                    <w:bottom w:val="none" w:sz="0" w:space="0" w:color="auto"/>
                    <w:right w:val="none" w:sz="0" w:space="0" w:color="auto"/>
                  </w:divBdr>
                  <w:divsChild>
                    <w:div w:id="619266852">
                      <w:marLeft w:val="0"/>
                      <w:marRight w:val="0"/>
                      <w:marTop w:val="0"/>
                      <w:marBottom w:val="0"/>
                      <w:divBdr>
                        <w:top w:val="none" w:sz="0" w:space="0" w:color="auto"/>
                        <w:left w:val="none" w:sz="0" w:space="0" w:color="auto"/>
                        <w:bottom w:val="none" w:sz="0" w:space="0" w:color="auto"/>
                        <w:right w:val="none" w:sz="0" w:space="0" w:color="auto"/>
                      </w:divBdr>
                    </w:div>
                  </w:divsChild>
                </w:div>
                <w:div w:id="1765414317">
                  <w:marLeft w:val="0"/>
                  <w:marRight w:val="0"/>
                  <w:marTop w:val="0"/>
                  <w:marBottom w:val="0"/>
                  <w:divBdr>
                    <w:top w:val="none" w:sz="0" w:space="0" w:color="auto"/>
                    <w:left w:val="none" w:sz="0" w:space="0" w:color="auto"/>
                    <w:bottom w:val="none" w:sz="0" w:space="0" w:color="auto"/>
                    <w:right w:val="none" w:sz="0" w:space="0" w:color="auto"/>
                  </w:divBdr>
                  <w:divsChild>
                    <w:div w:id="2136171620">
                      <w:marLeft w:val="0"/>
                      <w:marRight w:val="0"/>
                      <w:marTop w:val="0"/>
                      <w:marBottom w:val="0"/>
                      <w:divBdr>
                        <w:top w:val="none" w:sz="0" w:space="0" w:color="auto"/>
                        <w:left w:val="none" w:sz="0" w:space="0" w:color="auto"/>
                        <w:bottom w:val="none" w:sz="0" w:space="0" w:color="auto"/>
                        <w:right w:val="none" w:sz="0" w:space="0" w:color="auto"/>
                      </w:divBdr>
                    </w:div>
                  </w:divsChild>
                </w:div>
                <w:div w:id="1771272510">
                  <w:marLeft w:val="0"/>
                  <w:marRight w:val="0"/>
                  <w:marTop w:val="0"/>
                  <w:marBottom w:val="0"/>
                  <w:divBdr>
                    <w:top w:val="none" w:sz="0" w:space="0" w:color="auto"/>
                    <w:left w:val="none" w:sz="0" w:space="0" w:color="auto"/>
                    <w:bottom w:val="none" w:sz="0" w:space="0" w:color="auto"/>
                    <w:right w:val="none" w:sz="0" w:space="0" w:color="auto"/>
                  </w:divBdr>
                  <w:divsChild>
                    <w:div w:id="201610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281164">
          <w:marLeft w:val="0"/>
          <w:marRight w:val="0"/>
          <w:marTop w:val="0"/>
          <w:marBottom w:val="0"/>
          <w:divBdr>
            <w:top w:val="none" w:sz="0" w:space="0" w:color="auto"/>
            <w:left w:val="none" w:sz="0" w:space="0" w:color="auto"/>
            <w:bottom w:val="none" w:sz="0" w:space="0" w:color="auto"/>
            <w:right w:val="none" w:sz="0" w:space="0" w:color="auto"/>
          </w:divBdr>
        </w:div>
        <w:div w:id="838352217">
          <w:marLeft w:val="0"/>
          <w:marRight w:val="0"/>
          <w:marTop w:val="0"/>
          <w:marBottom w:val="0"/>
          <w:divBdr>
            <w:top w:val="none" w:sz="0" w:space="0" w:color="auto"/>
            <w:left w:val="none" w:sz="0" w:space="0" w:color="auto"/>
            <w:bottom w:val="none" w:sz="0" w:space="0" w:color="auto"/>
            <w:right w:val="none" w:sz="0" w:space="0" w:color="auto"/>
          </w:divBdr>
        </w:div>
        <w:div w:id="848451008">
          <w:marLeft w:val="0"/>
          <w:marRight w:val="0"/>
          <w:marTop w:val="0"/>
          <w:marBottom w:val="0"/>
          <w:divBdr>
            <w:top w:val="none" w:sz="0" w:space="0" w:color="auto"/>
            <w:left w:val="none" w:sz="0" w:space="0" w:color="auto"/>
            <w:bottom w:val="none" w:sz="0" w:space="0" w:color="auto"/>
            <w:right w:val="none" w:sz="0" w:space="0" w:color="auto"/>
          </w:divBdr>
          <w:divsChild>
            <w:div w:id="1773233684">
              <w:marLeft w:val="-75"/>
              <w:marRight w:val="0"/>
              <w:marTop w:val="30"/>
              <w:marBottom w:val="30"/>
              <w:divBdr>
                <w:top w:val="none" w:sz="0" w:space="0" w:color="auto"/>
                <w:left w:val="none" w:sz="0" w:space="0" w:color="auto"/>
                <w:bottom w:val="none" w:sz="0" w:space="0" w:color="auto"/>
                <w:right w:val="none" w:sz="0" w:space="0" w:color="auto"/>
              </w:divBdr>
              <w:divsChild>
                <w:div w:id="63113855">
                  <w:marLeft w:val="0"/>
                  <w:marRight w:val="0"/>
                  <w:marTop w:val="0"/>
                  <w:marBottom w:val="0"/>
                  <w:divBdr>
                    <w:top w:val="none" w:sz="0" w:space="0" w:color="auto"/>
                    <w:left w:val="none" w:sz="0" w:space="0" w:color="auto"/>
                    <w:bottom w:val="none" w:sz="0" w:space="0" w:color="auto"/>
                    <w:right w:val="none" w:sz="0" w:space="0" w:color="auto"/>
                  </w:divBdr>
                  <w:divsChild>
                    <w:div w:id="990131984">
                      <w:marLeft w:val="0"/>
                      <w:marRight w:val="0"/>
                      <w:marTop w:val="0"/>
                      <w:marBottom w:val="0"/>
                      <w:divBdr>
                        <w:top w:val="none" w:sz="0" w:space="0" w:color="auto"/>
                        <w:left w:val="none" w:sz="0" w:space="0" w:color="auto"/>
                        <w:bottom w:val="none" w:sz="0" w:space="0" w:color="auto"/>
                        <w:right w:val="none" w:sz="0" w:space="0" w:color="auto"/>
                      </w:divBdr>
                    </w:div>
                  </w:divsChild>
                </w:div>
                <w:div w:id="100296726">
                  <w:marLeft w:val="0"/>
                  <w:marRight w:val="0"/>
                  <w:marTop w:val="0"/>
                  <w:marBottom w:val="0"/>
                  <w:divBdr>
                    <w:top w:val="none" w:sz="0" w:space="0" w:color="auto"/>
                    <w:left w:val="none" w:sz="0" w:space="0" w:color="auto"/>
                    <w:bottom w:val="none" w:sz="0" w:space="0" w:color="auto"/>
                    <w:right w:val="none" w:sz="0" w:space="0" w:color="auto"/>
                  </w:divBdr>
                  <w:divsChild>
                    <w:div w:id="1592355427">
                      <w:marLeft w:val="0"/>
                      <w:marRight w:val="0"/>
                      <w:marTop w:val="0"/>
                      <w:marBottom w:val="0"/>
                      <w:divBdr>
                        <w:top w:val="none" w:sz="0" w:space="0" w:color="auto"/>
                        <w:left w:val="none" w:sz="0" w:space="0" w:color="auto"/>
                        <w:bottom w:val="none" w:sz="0" w:space="0" w:color="auto"/>
                        <w:right w:val="none" w:sz="0" w:space="0" w:color="auto"/>
                      </w:divBdr>
                    </w:div>
                  </w:divsChild>
                </w:div>
                <w:div w:id="202327416">
                  <w:marLeft w:val="0"/>
                  <w:marRight w:val="0"/>
                  <w:marTop w:val="0"/>
                  <w:marBottom w:val="0"/>
                  <w:divBdr>
                    <w:top w:val="none" w:sz="0" w:space="0" w:color="auto"/>
                    <w:left w:val="none" w:sz="0" w:space="0" w:color="auto"/>
                    <w:bottom w:val="none" w:sz="0" w:space="0" w:color="auto"/>
                    <w:right w:val="none" w:sz="0" w:space="0" w:color="auto"/>
                  </w:divBdr>
                  <w:divsChild>
                    <w:div w:id="1318270166">
                      <w:marLeft w:val="0"/>
                      <w:marRight w:val="0"/>
                      <w:marTop w:val="0"/>
                      <w:marBottom w:val="0"/>
                      <w:divBdr>
                        <w:top w:val="none" w:sz="0" w:space="0" w:color="auto"/>
                        <w:left w:val="none" w:sz="0" w:space="0" w:color="auto"/>
                        <w:bottom w:val="none" w:sz="0" w:space="0" w:color="auto"/>
                        <w:right w:val="none" w:sz="0" w:space="0" w:color="auto"/>
                      </w:divBdr>
                    </w:div>
                  </w:divsChild>
                </w:div>
                <w:div w:id="299964298">
                  <w:marLeft w:val="0"/>
                  <w:marRight w:val="0"/>
                  <w:marTop w:val="0"/>
                  <w:marBottom w:val="0"/>
                  <w:divBdr>
                    <w:top w:val="none" w:sz="0" w:space="0" w:color="auto"/>
                    <w:left w:val="none" w:sz="0" w:space="0" w:color="auto"/>
                    <w:bottom w:val="none" w:sz="0" w:space="0" w:color="auto"/>
                    <w:right w:val="none" w:sz="0" w:space="0" w:color="auto"/>
                  </w:divBdr>
                  <w:divsChild>
                    <w:div w:id="2006517130">
                      <w:marLeft w:val="0"/>
                      <w:marRight w:val="0"/>
                      <w:marTop w:val="0"/>
                      <w:marBottom w:val="0"/>
                      <w:divBdr>
                        <w:top w:val="none" w:sz="0" w:space="0" w:color="auto"/>
                        <w:left w:val="none" w:sz="0" w:space="0" w:color="auto"/>
                        <w:bottom w:val="none" w:sz="0" w:space="0" w:color="auto"/>
                        <w:right w:val="none" w:sz="0" w:space="0" w:color="auto"/>
                      </w:divBdr>
                    </w:div>
                  </w:divsChild>
                </w:div>
                <w:div w:id="576130326">
                  <w:marLeft w:val="0"/>
                  <w:marRight w:val="0"/>
                  <w:marTop w:val="0"/>
                  <w:marBottom w:val="0"/>
                  <w:divBdr>
                    <w:top w:val="none" w:sz="0" w:space="0" w:color="auto"/>
                    <w:left w:val="none" w:sz="0" w:space="0" w:color="auto"/>
                    <w:bottom w:val="none" w:sz="0" w:space="0" w:color="auto"/>
                    <w:right w:val="none" w:sz="0" w:space="0" w:color="auto"/>
                  </w:divBdr>
                  <w:divsChild>
                    <w:div w:id="1047028026">
                      <w:marLeft w:val="0"/>
                      <w:marRight w:val="0"/>
                      <w:marTop w:val="0"/>
                      <w:marBottom w:val="0"/>
                      <w:divBdr>
                        <w:top w:val="none" w:sz="0" w:space="0" w:color="auto"/>
                        <w:left w:val="none" w:sz="0" w:space="0" w:color="auto"/>
                        <w:bottom w:val="none" w:sz="0" w:space="0" w:color="auto"/>
                        <w:right w:val="none" w:sz="0" w:space="0" w:color="auto"/>
                      </w:divBdr>
                    </w:div>
                  </w:divsChild>
                </w:div>
                <w:div w:id="620455736">
                  <w:marLeft w:val="0"/>
                  <w:marRight w:val="0"/>
                  <w:marTop w:val="0"/>
                  <w:marBottom w:val="0"/>
                  <w:divBdr>
                    <w:top w:val="none" w:sz="0" w:space="0" w:color="auto"/>
                    <w:left w:val="none" w:sz="0" w:space="0" w:color="auto"/>
                    <w:bottom w:val="none" w:sz="0" w:space="0" w:color="auto"/>
                    <w:right w:val="none" w:sz="0" w:space="0" w:color="auto"/>
                  </w:divBdr>
                  <w:divsChild>
                    <w:div w:id="295066011">
                      <w:marLeft w:val="0"/>
                      <w:marRight w:val="0"/>
                      <w:marTop w:val="0"/>
                      <w:marBottom w:val="0"/>
                      <w:divBdr>
                        <w:top w:val="none" w:sz="0" w:space="0" w:color="auto"/>
                        <w:left w:val="none" w:sz="0" w:space="0" w:color="auto"/>
                        <w:bottom w:val="none" w:sz="0" w:space="0" w:color="auto"/>
                        <w:right w:val="none" w:sz="0" w:space="0" w:color="auto"/>
                      </w:divBdr>
                    </w:div>
                  </w:divsChild>
                </w:div>
                <w:div w:id="1020427622">
                  <w:marLeft w:val="0"/>
                  <w:marRight w:val="0"/>
                  <w:marTop w:val="0"/>
                  <w:marBottom w:val="0"/>
                  <w:divBdr>
                    <w:top w:val="none" w:sz="0" w:space="0" w:color="auto"/>
                    <w:left w:val="none" w:sz="0" w:space="0" w:color="auto"/>
                    <w:bottom w:val="none" w:sz="0" w:space="0" w:color="auto"/>
                    <w:right w:val="none" w:sz="0" w:space="0" w:color="auto"/>
                  </w:divBdr>
                  <w:divsChild>
                    <w:div w:id="557285316">
                      <w:marLeft w:val="0"/>
                      <w:marRight w:val="0"/>
                      <w:marTop w:val="0"/>
                      <w:marBottom w:val="0"/>
                      <w:divBdr>
                        <w:top w:val="none" w:sz="0" w:space="0" w:color="auto"/>
                        <w:left w:val="none" w:sz="0" w:space="0" w:color="auto"/>
                        <w:bottom w:val="none" w:sz="0" w:space="0" w:color="auto"/>
                        <w:right w:val="none" w:sz="0" w:space="0" w:color="auto"/>
                      </w:divBdr>
                    </w:div>
                  </w:divsChild>
                </w:div>
                <w:div w:id="1074274775">
                  <w:marLeft w:val="0"/>
                  <w:marRight w:val="0"/>
                  <w:marTop w:val="0"/>
                  <w:marBottom w:val="0"/>
                  <w:divBdr>
                    <w:top w:val="none" w:sz="0" w:space="0" w:color="auto"/>
                    <w:left w:val="none" w:sz="0" w:space="0" w:color="auto"/>
                    <w:bottom w:val="none" w:sz="0" w:space="0" w:color="auto"/>
                    <w:right w:val="none" w:sz="0" w:space="0" w:color="auto"/>
                  </w:divBdr>
                  <w:divsChild>
                    <w:div w:id="1477911396">
                      <w:marLeft w:val="0"/>
                      <w:marRight w:val="0"/>
                      <w:marTop w:val="0"/>
                      <w:marBottom w:val="0"/>
                      <w:divBdr>
                        <w:top w:val="none" w:sz="0" w:space="0" w:color="auto"/>
                        <w:left w:val="none" w:sz="0" w:space="0" w:color="auto"/>
                        <w:bottom w:val="none" w:sz="0" w:space="0" w:color="auto"/>
                        <w:right w:val="none" w:sz="0" w:space="0" w:color="auto"/>
                      </w:divBdr>
                    </w:div>
                  </w:divsChild>
                </w:div>
                <w:div w:id="1125199725">
                  <w:marLeft w:val="0"/>
                  <w:marRight w:val="0"/>
                  <w:marTop w:val="0"/>
                  <w:marBottom w:val="0"/>
                  <w:divBdr>
                    <w:top w:val="none" w:sz="0" w:space="0" w:color="auto"/>
                    <w:left w:val="none" w:sz="0" w:space="0" w:color="auto"/>
                    <w:bottom w:val="none" w:sz="0" w:space="0" w:color="auto"/>
                    <w:right w:val="none" w:sz="0" w:space="0" w:color="auto"/>
                  </w:divBdr>
                  <w:divsChild>
                    <w:div w:id="281543422">
                      <w:marLeft w:val="0"/>
                      <w:marRight w:val="0"/>
                      <w:marTop w:val="0"/>
                      <w:marBottom w:val="0"/>
                      <w:divBdr>
                        <w:top w:val="none" w:sz="0" w:space="0" w:color="auto"/>
                        <w:left w:val="none" w:sz="0" w:space="0" w:color="auto"/>
                        <w:bottom w:val="none" w:sz="0" w:space="0" w:color="auto"/>
                        <w:right w:val="none" w:sz="0" w:space="0" w:color="auto"/>
                      </w:divBdr>
                    </w:div>
                  </w:divsChild>
                </w:div>
                <w:div w:id="1178542671">
                  <w:marLeft w:val="0"/>
                  <w:marRight w:val="0"/>
                  <w:marTop w:val="0"/>
                  <w:marBottom w:val="0"/>
                  <w:divBdr>
                    <w:top w:val="none" w:sz="0" w:space="0" w:color="auto"/>
                    <w:left w:val="none" w:sz="0" w:space="0" w:color="auto"/>
                    <w:bottom w:val="none" w:sz="0" w:space="0" w:color="auto"/>
                    <w:right w:val="none" w:sz="0" w:space="0" w:color="auto"/>
                  </w:divBdr>
                  <w:divsChild>
                    <w:div w:id="647824463">
                      <w:marLeft w:val="0"/>
                      <w:marRight w:val="0"/>
                      <w:marTop w:val="0"/>
                      <w:marBottom w:val="0"/>
                      <w:divBdr>
                        <w:top w:val="none" w:sz="0" w:space="0" w:color="auto"/>
                        <w:left w:val="none" w:sz="0" w:space="0" w:color="auto"/>
                        <w:bottom w:val="none" w:sz="0" w:space="0" w:color="auto"/>
                        <w:right w:val="none" w:sz="0" w:space="0" w:color="auto"/>
                      </w:divBdr>
                    </w:div>
                  </w:divsChild>
                </w:div>
                <w:div w:id="1229684630">
                  <w:marLeft w:val="0"/>
                  <w:marRight w:val="0"/>
                  <w:marTop w:val="0"/>
                  <w:marBottom w:val="0"/>
                  <w:divBdr>
                    <w:top w:val="none" w:sz="0" w:space="0" w:color="auto"/>
                    <w:left w:val="none" w:sz="0" w:space="0" w:color="auto"/>
                    <w:bottom w:val="none" w:sz="0" w:space="0" w:color="auto"/>
                    <w:right w:val="none" w:sz="0" w:space="0" w:color="auto"/>
                  </w:divBdr>
                  <w:divsChild>
                    <w:div w:id="539246401">
                      <w:marLeft w:val="0"/>
                      <w:marRight w:val="0"/>
                      <w:marTop w:val="0"/>
                      <w:marBottom w:val="0"/>
                      <w:divBdr>
                        <w:top w:val="none" w:sz="0" w:space="0" w:color="auto"/>
                        <w:left w:val="none" w:sz="0" w:space="0" w:color="auto"/>
                        <w:bottom w:val="none" w:sz="0" w:space="0" w:color="auto"/>
                        <w:right w:val="none" w:sz="0" w:space="0" w:color="auto"/>
                      </w:divBdr>
                    </w:div>
                  </w:divsChild>
                </w:div>
                <w:div w:id="1405832841">
                  <w:marLeft w:val="0"/>
                  <w:marRight w:val="0"/>
                  <w:marTop w:val="0"/>
                  <w:marBottom w:val="0"/>
                  <w:divBdr>
                    <w:top w:val="none" w:sz="0" w:space="0" w:color="auto"/>
                    <w:left w:val="none" w:sz="0" w:space="0" w:color="auto"/>
                    <w:bottom w:val="none" w:sz="0" w:space="0" w:color="auto"/>
                    <w:right w:val="none" w:sz="0" w:space="0" w:color="auto"/>
                  </w:divBdr>
                  <w:divsChild>
                    <w:div w:id="541790148">
                      <w:marLeft w:val="0"/>
                      <w:marRight w:val="0"/>
                      <w:marTop w:val="0"/>
                      <w:marBottom w:val="0"/>
                      <w:divBdr>
                        <w:top w:val="none" w:sz="0" w:space="0" w:color="auto"/>
                        <w:left w:val="none" w:sz="0" w:space="0" w:color="auto"/>
                        <w:bottom w:val="none" w:sz="0" w:space="0" w:color="auto"/>
                        <w:right w:val="none" w:sz="0" w:space="0" w:color="auto"/>
                      </w:divBdr>
                    </w:div>
                  </w:divsChild>
                </w:div>
                <w:div w:id="1406150606">
                  <w:marLeft w:val="0"/>
                  <w:marRight w:val="0"/>
                  <w:marTop w:val="0"/>
                  <w:marBottom w:val="0"/>
                  <w:divBdr>
                    <w:top w:val="none" w:sz="0" w:space="0" w:color="auto"/>
                    <w:left w:val="none" w:sz="0" w:space="0" w:color="auto"/>
                    <w:bottom w:val="none" w:sz="0" w:space="0" w:color="auto"/>
                    <w:right w:val="none" w:sz="0" w:space="0" w:color="auto"/>
                  </w:divBdr>
                  <w:divsChild>
                    <w:div w:id="2002847563">
                      <w:marLeft w:val="0"/>
                      <w:marRight w:val="0"/>
                      <w:marTop w:val="0"/>
                      <w:marBottom w:val="0"/>
                      <w:divBdr>
                        <w:top w:val="none" w:sz="0" w:space="0" w:color="auto"/>
                        <w:left w:val="none" w:sz="0" w:space="0" w:color="auto"/>
                        <w:bottom w:val="none" w:sz="0" w:space="0" w:color="auto"/>
                        <w:right w:val="none" w:sz="0" w:space="0" w:color="auto"/>
                      </w:divBdr>
                    </w:div>
                  </w:divsChild>
                </w:div>
                <w:div w:id="1448357435">
                  <w:marLeft w:val="0"/>
                  <w:marRight w:val="0"/>
                  <w:marTop w:val="0"/>
                  <w:marBottom w:val="0"/>
                  <w:divBdr>
                    <w:top w:val="none" w:sz="0" w:space="0" w:color="auto"/>
                    <w:left w:val="none" w:sz="0" w:space="0" w:color="auto"/>
                    <w:bottom w:val="none" w:sz="0" w:space="0" w:color="auto"/>
                    <w:right w:val="none" w:sz="0" w:space="0" w:color="auto"/>
                  </w:divBdr>
                  <w:divsChild>
                    <w:div w:id="338433872">
                      <w:marLeft w:val="0"/>
                      <w:marRight w:val="0"/>
                      <w:marTop w:val="0"/>
                      <w:marBottom w:val="0"/>
                      <w:divBdr>
                        <w:top w:val="none" w:sz="0" w:space="0" w:color="auto"/>
                        <w:left w:val="none" w:sz="0" w:space="0" w:color="auto"/>
                        <w:bottom w:val="none" w:sz="0" w:space="0" w:color="auto"/>
                        <w:right w:val="none" w:sz="0" w:space="0" w:color="auto"/>
                      </w:divBdr>
                    </w:div>
                  </w:divsChild>
                </w:div>
                <w:div w:id="1454707493">
                  <w:marLeft w:val="0"/>
                  <w:marRight w:val="0"/>
                  <w:marTop w:val="0"/>
                  <w:marBottom w:val="0"/>
                  <w:divBdr>
                    <w:top w:val="none" w:sz="0" w:space="0" w:color="auto"/>
                    <w:left w:val="none" w:sz="0" w:space="0" w:color="auto"/>
                    <w:bottom w:val="none" w:sz="0" w:space="0" w:color="auto"/>
                    <w:right w:val="none" w:sz="0" w:space="0" w:color="auto"/>
                  </w:divBdr>
                  <w:divsChild>
                    <w:div w:id="968046505">
                      <w:marLeft w:val="0"/>
                      <w:marRight w:val="0"/>
                      <w:marTop w:val="0"/>
                      <w:marBottom w:val="0"/>
                      <w:divBdr>
                        <w:top w:val="none" w:sz="0" w:space="0" w:color="auto"/>
                        <w:left w:val="none" w:sz="0" w:space="0" w:color="auto"/>
                        <w:bottom w:val="none" w:sz="0" w:space="0" w:color="auto"/>
                        <w:right w:val="none" w:sz="0" w:space="0" w:color="auto"/>
                      </w:divBdr>
                    </w:div>
                  </w:divsChild>
                </w:div>
                <w:div w:id="1473208367">
                  <w:marLeft w:val="0"/>
                  <w:marRight w:val="0"/>
                  <w:marTop w:val="0"/>
                  <w:marBottom w:val="0"/>
                  <w:divBdr>
                    <w:top w:val="none" w:sz="0" w:space="0" w:color="auto"/>
                    <w:left w:val="none" w:sz="0" w:space="0" w:color="auto"/>
                    <w:bottom w:val="none" w:sz="0" w:space="0" w:color="auto"/>
                    <w:right w:val="none" w:sz="0" w:space="0" w:color="auto"/>
                  </w:divBdr>
                  <w:divsChild>
                    <w:div w:id="1087729724">
                      <w:marLeft w:val="0"/>
                      <w:marRight w:val="0"/>
                      <w:marTop w:val="0"/>
                      <w:marBottom w:val="0"/>
                      <w:divBdr>
                        <w:top w:val="none" w:sz="0" w:space="0" w:color="auto"/>
                        <w:left w:val="none" w:sz="0" w:space="0" w:color="auto"/>
                        <w:bottom w:val="none" w:sz="0" w:space="0" w:color="auto"/>
                        <w:right w:val="none" w:sz="0" w:space="0" w:color="auto"/>
                      </w:divBdr>
                    </w:div>
                  </w:divsChild>
                </w:div>
                <w:div w:id="1623656833">
                  <w:marLeft w:val="0"/>
                  <w:marRight w:val="0"/>
                  <w:marTop w:val="0"/>
                  <w:marBottom w:val="0"/>
                  <w:divBdr>
                    <w:top w:val="none" w:sz="0" w:space="0" w:color="auto"/>
                    <w:left w:val="none" w:sz="0" w:space="0" w:color="auto"/>
                    <w:bottom w:val="none" w:sz="0" w:space="0" w:color="auto"/>
                    <w:right w:val="none" w:sz="0" w:space="0" w:color="auto"/>
                  </w:divBdr>
                  <w:divsChild>
                    <w:div w:id="1044645250">
                      <w:marLeft w:val="0"/>
                      <w:marRight w:val="0"/>
                      <w:marTop w:val="0"/>
                      <w:marBottom w:val="0"/>
                      <w:divBdr>
                        <w:top w:val="none" w:sz="0" w:space="0" w:color="auto"/>
                        <w:left w:val="none" w:sz="0" w:space="0" w:color="auto"/>
                        <w:bottom w:val="none" w:sz="0" w:space="0" w:color="auto"/>
                        <w:right w:val="none" w:sz="0" w:space="0" w:color="auto"/>
                      </w:divBdr>
                    </w:div>
                  </w:divsChild>
                </w:div>
                <w:div w:id="1650162503">
                  <w:marLeft w:val="0"/>
                  <w:marRight w:val="0"/>
                  <w:marTop w:val="0"/>
                  <w:marBottom w:val="0"/>
                  <w:divBdr>
                    <w:top w:val="none" w:sz="0" w:space="0" w:color="auto"/>
                    <w:left w:val="none" w:sz="0" w:space="0" w:color="auto"/>
                    <w:bottom w:val="none" w:sz="0" w:space="0" w:color="auto"/>
                    <w:right w:val="none" w:sz="0" w:space="0" w:color="auto"/>
                  </w:divBdr>
                  <w:divsChild>
                    <w:div w:id="1285429739">
                      <w:marLeft w:val="0"/>
                      <w:marRight w:val="0"/>
                      <w:marTop w:val="0"/>
                      <w:marBottom w:val="0"/>
                      <w:divBdr>
                        <w:top w:val="none" w:sz="0" w:space="0" w:color="auto"/>
                        <w:left w:val="none" w:sz="0" w:space="0" w:color="auto"/>
                        <w:bottom w:val="none" w:sz="0" w:space="0" w:color="auto"/>
                        <w:right w:val="none" w:sz="0" w:space="0" w:color="auto"/>
                      </w:divBdr>
                    </w:div>
                  </w:divsChild>
                </w:div>
                <w:div w:id="1800493664">
                  <w:marLeft w:val="0"/>
                  <w:marRight w:val="0"/>
                  <w:marTop w:val="0"/>
                  <w:marBottom w:val="0"/>
                  <w:divBdr>
                    <w:top w:val="none" w:sz="0" w:space="0" w:color="auto"/>
                    <w:left w:val="none" w:sz="0" w:space="0" w:color="auto"/>
                    <w:bottom w:val="none" w:sz="0" w:space="0" w:color="auto"/>
                    <w:right w:val="none" w:sz="0" w:space="0" w:color="auto"/>
                  </w:divBdr>
                  <w:divsChild>
                    <w:div w:id="143745534">
                      <w:marLeft w:val="0"/>
                      <w:marRight w:val="0"/>
                      <w:marTop w:val="0"/>
                      <w:marBottom w:val="0"/>
                      <w:divBdr>
                        <w:top w:val="none" w:sz="0" w:space="0" w:color="auto"/>
                        <w:left w:val="none" w:sz="0" w:space="0" w:color="auto"/>
                        <w:bottom w:val="none" w:sz="0" w:space="0" w:color="auto"/>
                        <w:right w:val="none" w:sz="0" w:space="0" w:color="auto"/>
                      </w:divBdr>
                    </w:div>
                  </w:divsChild>
                </w:div>
                <w:div w:id="1847329949">
                  <w:marLeft w:val="0"/>
                  <w:marRight w:val="0"/>
                  <w:marTop w:val="0"/>
                  <w:marBottom w:val="0"/>
                  <w:divBdr>
                    <w:top w:val="none" w:sz="0" w:space="0" w:color="auto"/>
                    <w:left w:val="none" w:sz="0" w:space="0" w:color="auto"/>
                    <w:bottom w:val="none" w:sz="0" w:space="0" w:color="auto"/>
                    <w:right w:val="none" w:sz="0" w:space="0" w:color="auto"/>
                  </w:divBdr>
                  <w:divsChild>
                    <w:div w:id="1620183630">
                      <w:marLeft w:val="0"/>
                      <w:marRight w:val="0"/>
                      <w:marTop w:val="0"/>
                      <w:marBottom w:val="0"/>
                      <w:divBdr>
                        <w:top w:val="none" w:sz="0" w:space="0" w:color="auto"/>
                        <w:left w:val="none" w:sz="0" w:space="0" w:color="auto"/>
                        <w:bottom w:val="none" w:sz="0" w:space="0" w:color="auto"/>
                        <w:right w:val="none" w:sz="0" w:space="0" w:color="auto"/>
                      </w:divBdr>
                    </w:div>
                  </w:divsChild>
                </w:div>
                <w:div w:id="1893081234">
                  <w:marLeft w:val="0"/>
                  <w:marRight w:val="0"/>
                  <w:marTop w:val="0"/>
                  <w:marBottom w:val="0"/>
                  <w:divBdr>
                    <w:top w:val="none" w:sz="0" w:space="0" w:color="auto"/>
                    <w:left w:val="none" w:sz="0" w:space="0" w:color="auto"/>
                    <w:bottom w:val="none" w:sz="0" w:space="0" w:color="auto"/>
                    <w:right w:val="none" w:sz="0" w:space="0" w:color="auto"/>
                  </w:divBdr>
                  <w:divsChild>
                    <w:div w:id="1014653028">
                      <w:marLeft w:val="0"/>
                      <w:marRight w:val="0"/>
                      <w:marTop w:val="0"/>
                      <w:marBottom w:val="0"/>
                      <w:divBdr>
                        <w:top w:val="none" w:sz="0" w:space="0" w:color="auto"/>
                        <w:left w:val="none" w:sz="0" w:space="0" w:color="auto"/>
                        <w:bottom w:val="none" w:sz="0" w:space="0" w:color="auto"/>
                        <w:right w:val="none" w:sz="0" w:space="0" w:color="auto"/>
                      </w:divBdr>
                    </w:div>
                  </w:divsChild>
                </w:div>
                <w:div w:id="1926381165">
                  <w:marLeft w:val="0"/>
                  <w:marRight w:val="0"/>
                  <w:marTop w:val="0"/>
                  <w:marBottom w:val="0"/>
                  <w:divBdr>
                    <w:top w:val="none" w:sz="0" w:space="0" w:color="auto"/>
                    <w:left w:val="none" w:sz="0" w:space="0" w:color="auto"/>
                    <w:bottom w:val="none" w:sz="0" w:space="0" w:color="auto"/>
                    <w:right w:val="none" w:sz="0" w:space="0" w:color="auto"/>
                  </w:divBdr>
                  <w:divsChild>
                    <w:div w:id="1954744610">
                      <w:marLeft w:val="0"/>
                      <w:marRight w:val="0"/>
                      <w:marTop w:val="0"/>
                      <w:marBottom w:val="0"/>
                      <w:divBdr>
                        <w:top w:val="none" w:sz="0" w:space="0" w:color="auto"/>
                        <w:left w:val="none" w:sz="0" w:space="0" w:color="auto"/>
                        <w:bottom w:val="none" w:sz="0" w:space="0" w:color="auto"/>
                        <w:right w:val="none" w:sz="0" w:space="0" w:color="auto"/>
                      </w:divBdr>
                    </w:div>
                  </w:divsChild>
                </w:div>
                <w:div w:id="1933851432">
                  <w:marLeft w:val="0"/>
                  <w:marRight w:val="0"/>
                  <w:marTop w:val="0"/>
                  <w:marBottom w:val="0"/>
                  <w:divBdr>
                    <w:top w:val="none" w:sz="0" w:space="0" w:color="auto"/>
                    <w:left w:val="none" w:sz="0" w:space="0" w:color="auto"/>
                    <w:bottom w:val="none" w:sz="0" w:space="0" w:color="auto"/>
                    <w:right w:val="none" w:sz="0" w:space="0" w:color="auto"/>
                  </w:divBdr>
                  <w:divsChild>
                    <w:div w:id="291982297">
                      <w:marLeft w:val="0"/>
                      <w:marRight w:val="0"/>
                      <w:marTop w:val="0"/>
                      <w:marBottom w:val="0"/>
                      <w:divBdr>
                        <w:top w:val="none" w:sz="0" w:space="0" w:color="auto"/>
                        <w:left w:val="none" w:sz="0" w:space="0" w:color="auto"/>
                        <w:bottom w:val="none" w:sz="0" w:space="0" w:color="auto"/>
                        <w:right w:val="none" w:sz="0" w:space="0" w:color="auto"/>
                      </w:divBdr>
                    </w:div>
                  </w:divsChild>
                </w:div>
                <w:div w:id="1979797595">
                  <w:marLeft w:val="0"/>
                  <w:marRight w:val="0"/>
                  <w:marTop w:val="0"/>
                  <w:marBottom w:val="0"/>
                  <w:divBdr>
                    <w:top w:val="none" w:sz="0" w:space="0" w:color="auto"/>
                    <w:left w:val="none" w:sz="0" w:space="0" w:color="auto"/>
                    <w:bottom w:val="none" w:sz="0" w:space="0" w:color="auto"/>
                    <w:right w:val="none" w:sz="0" w:space="0" w:color="auto"/>
                  </w:divBdr>
                  <w:divsChild>
                    <w:div w:id="1140266412">
                      <w:marLeft w:val="0"/>
                      <w:marRight w:val="0"/>
                      <w:marTop w:val="0"/>
                      <w:marBottom w:val="0"/>
                      <w:divBdr>
                        <w:top w:val="none" w:sz="0" w:space="0" w:color="auto"/>
                        <w:left w:val="none" w:sz="0" w:space="0" w:color="auto"/>
                        <w:bottom w:val="none" w:sz="0" w:space="0" w:color="auto"/>
                        <w:right w:val="none" w:sz="0" w:space="0" w:color="auto"/>
                      </w:divBdr>
                    </w:div>
                  </w:divsChild>
                </w:div>
                <w:div w:id="2028746422">
                  <w:marLeft w:val="0"/>
                  <w:marRight w:val="0"/>
                  <w:marTop w:val="0"/>
                  <w:marBottom w:val="0"/>
                  <w:divBdr>
                    <w:top w:val="none" w:sz="0" w:space="0" w:color="auto"/>
                    <w:left w:val="none" w:sz="0" w:space="0" w:color="auto"/>
                    <w:bottom w:val="none" w:sz="0" w:space="0" w:color="auto"/>
                    <w:right w:val="none" w:sz="0" w:space="0" w:color="auto"/>
                  </w:divBdr>
                  <w:divsChild>
                    <w:div w:id="1558781984">
                      <w:marLeft w:val="0"/>
                      <w:marRight w:val="0"/>
                      <w:marTop w:val="0"/>
                      <w:marBottom w:val="0"/>
                      <w:divBdr>
                        <w:top w:val="none" w:sz="0" w:space="0" w:color="auto"/>
                        <w:left w:val="none" w:sz="0" w:space="0" w:color="auto"/>
                        <w:bottom w:val="none" w:sz="0" w:space="0" w:color="auto"/>
                        <w:right w:val="none" w:sz="0" w:space="0" w:color="auto"/>
                      </w:divBdr>
                    </w:div>
                  </w:divsChild>
                </w:div>
                <w:div w:id="2066366974">
                  <w:marLeft w:val="0"/>
                  <w:marRight w:val="0"/>
                  <w:marTop w:val="0"/>
                  <w:marBottom w:val="0"/>
                  <w:divBdr>
                    <w:top w:val="none" w:sz="0" w:space="0" w:color="auto"/>
                    <w:left w:val="none" w:sz="0" w:space="0" w:color="auto"/>
                    <w:bottom w:val="none" w:sz="0" w:space="0" w:color="auto"/>
                    <w:right w:val="none" w:sz="0" w:space="0" w:color="auto"/>
                  </w:divBdr>
                  <w:divsChild>
                    <w:div w:id="192497899">
                      <w:marLeft w:val="0"/>
                      <w:marRight w:val="0"/>
                      <w:marTop w:val="0"/>
                      <w:marBottom w:val="0"/>
                      <w:divBdr>
                        <w:top w:val="none" w:sz="0" w:space="0" w:color="auto"/>
                        <w:left w:val="none" w:sz="0" w:space="0" w:color="auto"/>
                        <w:bottom w:val="none" w:sz="0" w:space="0" w:color="auto"/>
                        <w:right w:val="none" w:sz="0" w:space="0" w:color="auto"/>
                      </w:divBdr>
                    </w:div>
                  </w:divsChild>
                </w:div>
                <w:div w:id="2120759250">
                  <w:marLeft w:val="0"/>
                  <w:marRight w:val="0"/>
                  <w:marTop w:val="0"/>
                  <w:marBottom w:val="0"/>
                  <w:divBdr>
                    <w:top w:val="none" w:sz="0" w:space="0" w:color="auto"/>
                    <w:left w:val="none" w:sz="0" w:space="0" w:color="auto"/>
                    <w:bottom w:val="none" w:sz="0" w:space="0" w:color="auto"/>
                    <w:right w:val="none" w:sz="0" w:space="0" w:color="auto"/>
                  </w:divBdr>
                  <w:divsChild>
                    <w:div w:id="74783035">
                      <w:marLeft w:val="0"/>
                      <w:marRight w:val="0"/>
                      <w:marTop w:val="0"/>
                      <w:marBottom w:val="0"/>
                      <w:divBdr>
                        <w:top w:val="none" w:sz="0" w:space="0" w:color="auto"/>
                        <w:left w:val="none" w:sz="0" w:space="0" w:color="auto"/>
                        <w:bottom w:val="none" w:sz="0" w:space="0" w:color="auto"/>
                        <w:right w:val="none" w:sz="0" w:space="0" w:color="auto"/>
                      </w:divBdr>
                    </w:div>
                  </w:divsChild>
                </w:div>
                <w:div w:id="2127113656">
                  <w:marLeft w:val="0"/>
                  <w:marRight w:val="0"/>
                  <w:marTop w:val="0"/>
                  <w:marBottom w:val="0"/>
                  <w:divBdr>
                    <w:top w:val="none" w:sz="0" w:space="0" w:color="auto"/>
                    <w:left w:val="none" w:sz="0" w:space="0" w:color="auto"/>
                    <w:bottom w:val="none" w:sz="0" w:space="0" w:color="auto"/>
                    <w:right w:val="none" w:sz="0" w:space="0" w:color="auto"/>
                  </w:divBdr>
                  <w:divsChild>
                    <w:div w:id="102105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958058">
          <w:marLeft w:val="0"/>
          <w:marRight w:val="0"/>
          <w:marTop w:val="0"/>
          <w:marBottom w:val="0"/>
          <w:divBdr>
            <w:top w:val="none" w:sz="0" w:space="0" w:color="auto"/>
            <w:left w:val="none" w:sz="0" w:space="0" w:color="auto"/>
            <w:bottom w:val="none" w:sz="0" w:space="0" w:color="auto"/>
            <w:right w:val="none" w:sz="0" w:space="0" w:color="auto"/>
          </w:divBdr>
          <w:divsChild>
            <w:div w:id="2030906953">
              <w:marLeft w:val="-75"/>
              <w:marRight w:val="0"/>
              <w:marTop w:val="30"/>
              <w:marBottom w:val="30"/>
              <w:divBdr>
                <w:top w:val="none" w:sz="0" w:space="0" w:color="auto"/>
                <w:left w:val="none" w:sz="0" w:space="0" w:color="auto"/>
                <w:bottom w:val="none" w:sz="0" w:space="0" w:color="auto"/>
                <w:right w:val="none" w:sz="0" w:space="0" w:color="auto"/>
              </w:divBdr>
              <w:divsChild>
                <w:div w:id="257443510">
                  <w:marLeft w:val="0"/>
                  <w:marRight w:val="0"/>
                  <w:marTop w:val="0"/>
                  <w:marBottom w:val="0"/>
                  <w:divBdr>
                    <w:top w:val="none" w:sz="0" w:space="0" w:color="auto"/>
                    <w:left w:val="none" w:sz="0" w:space="0" w:color="auto"/>
                    <w:bottom w:val="none" w:sz="0" w:space="0" w:color="auto"/>
                    <w:right w:val="none" w:sz="0" w:space="0" w:color="auto"/>
                  </w:divBdr>
                  <w:divsChild>
                    <w:div w:id="567153239">
                      <w:marLeft w:val="0"/>
                      <w:marRight w:val="0"/>
                      <w:marTop w:val="0"/>
                      <w:marBottom w:val="0"/>
                      <w:divBdr>
                        <w:top w:val="none" w:sz="0" w:space="0" w:color="auto"/>
                        <w:left w:val="none" w:sz="0" w:space="0" w:color="auto"/>
                        <w:bottom w:val="none" w:sz="0" w:space="0" w:color="auto"/>
                        <w:right w:val="none" w:sz="0" w:space="0" w:color="auto"/>
                      </w:divBdr>
                    </w:div>
                  </w:divsChild>
                </w:div>
                <w:div w:id="432356790">
                  <w:marLeft w:val="0"/>
                  <w:marRight w:val="0"/>
                  <w:marTop w:val="0"/>
                  <w:marBottom w:val="0"/>
                  <w:divBdr>
                    <w:top w:val="none" w:sz="0" w:space="0" w:color="auto"/>
                    <w:left w:val="none" w:sz="0" w:space="0" w:color="auto"/>
                    <w:bottom w:val="none" w:sz="0" w:space="0" w:color="auto"/>
                    <w:right w:val="none" w:sz="0" w:space="0" w:color="auto"/>
                  </w:divBdr>
                  <w:divsChild>
                    <w:div w:id="1742023380">
                      <w:marLeft w:val="0"/>
                      <w:marRight w:val="0"/>
                      <w:marTop w:val="0"/>
                      <w:marBottom w:val="0"/>
                      <w:divBdr>
                        <w:top w:val="none" w:sz="0" w:space="0" w:color="auto"/>
                        <w:left w:val="none" w:sz="0" w:space="0" w:color="auto"/>
                        <w:bottom w:val="none" w:sz="0" w:space="0" w:color="auto"/>
                        <w:right w:val="none" w:sz="0" w:space="0" w:color="auto"/>
                      </w:divBdr>
                    </w:div>
                  </w:divsChild>
                </w:div>
                <w:div w:id="604386313">
                  <w:marLeft w:val="0"/>
                  <w:marRight w:val="0"/>
                  <w:marTop w:val="0"/>
                  <w:marBottom w:val="0"/>
                  <w:divBdr>
                    <w:top w:val="none" w:sz="0" w:space="0" w:color="auto"/>
                    <w:left w:val="none" w:sz="0" w:space="0" w:color="auto"/>
                    <w:bottom w:val="none" w:sz="0" w:space="0" w:color="auto"/>
                    <w:right w:val="none" w:sz="0" w:space="0" w:color="auto"/>
                  </w:divBdr>
                  <w:divsChild>
                    <w:div w:id="98375072">
                      <w:marLeft w:val="0"/>
                      <w:marRight w:val="0"/>
                      <w:marTop w:val="0"/>
                      <w:marBottom w:val="0"/>
                      <w:divBdr>
                        <w:top w:val="none" w:sz="0" w:space="0" w:color="auto"/>
                        <w:left w:val="none" w:sz="0" w:space="0" w:color="auto"/>
                        <w:bottom w:val="none" w:sz="0" w:space="0" w:color="auto"/>
                        <w:right w:val="none" w:sz="0" w:space="0" w:color="auto"/>
                      </w:divBdr>
                    </w:div>
                  </w:divsChild>
                </w:div>
                <w:div w:id="868950852">
                  <w:marLeft w:val="0"/>
                  <w:marRight w:val="0"/>
                  <w:marTop w:val="0"/>
                  <w:marBottom w:val="0"/>
                  <w:divBdr>
                    <w:top w:val="none" w:sz="0" w:space="0" w:color="auto"/>
                    <w:left w:val="none" w:sz="0" w:space="0" w:color="auto"/>
                    <w:bottom w:val="none" w:sz="0" w:space="0" w:color="auto"/>
                    <w:right w:val="none" w:sz="0" w:space="0" w:color="auto"/>
                  </w:divBdr>
                  <w:divsChild>
                    <w:div w:id="1907303841">
                      <w:marLeft w:val="0"/>
                      <w:marRight w:val="0"/>
                      <w:marTop w:val="0"/>
                      <w:marBottom w:val="0"/>
                      <w:divBdr>
                        <w:top w:val="none" w:sz="0" w:space="0" w:color="auto"/>
                        <w:left w:val="none" w:sz="0" w:space="0" w:color="auto"/>
                        <w:bottom w:val="none" w:sz="0" w:space="0" w:color="auto"/>
                        <w:right w:val="none" w:sz="0" w:space="0" w:color="auto"/>
                      </w:divBdr>
                    </w:div>
                  </w:divsChild>
                </w:div>
                <w:div w:id="968509774">
                  <w:marLeft w:val="0"/>
                  <w:marRight w:val="0"/>
                  <w:marTop w:val="0"/>
                  <w:marBottom w:val="0"/>
                  <w:divBdr>
                    <w:top w:val="none" w:sz="0" w:space="0" w:color="auto"/>
                    <w:left w:val="none" w:sz="0" w:space="0" w:color="auto"/>
                    <w:bottom w:val="none" w:sz="0" w:space="0" w:color="auto"/>
                    <w:right w:val="none" w:sz="0" w:space="0" w:color="auto"/>
                  </w:divBdr>
                  <w:divsChild>
                    <w:div w:id="1385519899">
                      <w:marLeft w:val="0"/>
                      <w:marRight w:val="0"/>
                      <w:marTop w:val="0"/>
                      <w:marBottom w:val="0"/>
                      <w:divBdr>
                        <w:top w:val="none" w:sz="0" w:space="0" w:color="auto"/>
                        <w:left w:val="none" w:sz="0" w:space="0" w:color="auto"/>
                        <w:bottom w:val="none" w:sz="0" w:space="0" w:color="auto"/>
                        <w:right w:val="none" w:sz="0" w:space="0" w:color="auto"/>
                      </w:divBdr>
                    </w:div>
                  </w:divsChild>
                </w:div>
                <w:div w:id="974914919">
                  <w:marLeft w:val="0"/>
                  <w:marRight w:val="0"/>
                  <w:marTop w:val="0"/>
                  <w:marBottom w:val="0"/>
                  <w:divBdr>
                    <w:top w:val="none" w:sz="0" w:space="0" w:color="auto"/>
                    <w:left w:val="none" w:sz="0" w:space="0" w:color="auto"/>
                    <w:bottom w:val="none" w:sz="0" w:space="0" w:color="auto"/>
                    <w:right w:val="none" w:sz="0" w:space="0" w:color="auto"/>
                  </w:divBdr>
                  <w:divsChild>
                    <w:div w:id="1515269338">
                      <w:marLeft w:val="0"/>
                      <w:marRight w:val="0"/>
                      <w:marTop w:val="0"/>
                      <w:marBottom w:val="0"/>
                      <w:divBdr>
                        <w:top w:val="none" w:sz="0" w:space="0" w:color="auto"/>
                        <w:left w:val="none" w:sz="0" w:space="0" w:color="auto"/>
                        <w:bottom w:val="none" w:sz="0" w:space="0" w:color="auto"/>
                        <w:right w:val="none" w:sz="0" w:space="0" w:color="auto"/>
                      </w:divBdr>
                    </w:div>
                  </w:divsChild>
                </w:div>
                <w:div w:id="1060010897">
                  <w:marLeft w:val="0"/>
                  <w:marRight w:val="0"/>
                  <w:marTop w:val="0"/>
                  <w:marBottom w:val="0"/>
                  <w:divBdr>
                    <w:top w:val="none" w:sz="0" w:space="0" w:color="auto"/>
                    <w:left w:val="none" w:sz="0" w:space="0" w:color="auto"/>
                    <w:bottom w:val="none" w:sz="0" w:space="0" w:color="auto"/>
                    <w:right w:val="none" w:sz="0" w:space="0" w:color="auto"/>
                  </w:divBdr>
                  <w:divsChild>
                    <w:div w:id="1743602334">
                      <w:marLeft w:val="0"/>
                      <w:marRight w:val="0"/>
                      <w:marTop w:val="0"/>
                      <w:marBottom w:val="0"/>
                      <w:divBdr>
                        <w:top w:val="none" w:sz="0" w:space="0" w:color="auto"/>
                        <w:left w:val="none" w:sz="0" w:space="0" w:color="auto"/>
                        <w:bottom w:val="none" w:sz="0" w:space="0" w:color="auto"/>
                        <w:right w:val="none" w:sz="0" w:space="0" w:color="auto"/>
                      </w:divBdr>
                    </w:div>
                  </w:divsChild>
                </w:div>
                <w:div w:id="1297372154">
                  <w:marLeft w:val="0"/>
                  <w:marRight w:val="0"/>
                  <w:marTop w:val="0"/>
                  <w:marBottom w:val="0"/>
                  <w:divBdr>
                    <w:top w:val="none" w:sz="0" w:space="0" w:color="auto"/>
                    <w:left w:val="none" w:sz="0" w:space="0" w:color="auto"/>
                    <w:bottom w:val="none" w:sz="0" w:space="0" w:color="auto"/>
                    <w:right w:val="none" w:sz="0" w:space="0" w:color="auto"/>
                  </w:divBdr>
                  <w:divsChild>
                    <w:div w:id="179011508">
                      <w:marLeft w:val="0"/>
                      <w:marRight w:val="0"/>
                      <w:marTop w:val="0"/>
                      <w:marBottom w:val="0"/>
                      <w:divBdr>
                        <w:top w:val="none" w:sz="0" w:space="0" w:color="auto"/>
                        <w:left w:val="none" w:sz="0" w:space="0" w:color="auto"/>
                        <w:bottom w:val="none" w:sz="0" w:space="0" w:color="auto"/>
                        <w:right w:val="none" w:sz="0" w:space="0" w:color="auto"/>
                      </w:divBdr>
                    </w:div>
                  </w:divsChild>
                </w:div>
                <w:div w:id="1433357010">
                  <w:marLeft w:val="0"/>
                  <w:marRight w:val="0"/>
                  <w:marTop w:val="0"/>
                  <w:marBottom w:val="0"/>
                  <w:divBdr>
                    <w:top w:val="none" w:sz="0" w:space="0" w:color="auto"/>
                    <w:left w:val="none" w:sz="0" w:space="0" w:color="auto"/>
                    <w:bottom w:val="none" w:sz="0" w:space="0" w:color="auto"/>
                    <w:right w:val="none" w:sz="0" w:space="0" w:color="auto"/>
                  </w:divBdr>
                  <w:divsChild>
                    <w:div w:id="1528987642">
                      <w:marLeft w:val="0"/>
                      <w:marRight w:val="0"/>
                      <w:marTop w:val="0"/>
                      <w:marBottom w:val="0"/>
                      <w:divBdr>
                        <w:top w:val="none" w:sz="0" w:space="0" w:color="auto"/>
                        <w:left w:val="none" w:sz="0" w:space="0" w:color="auto"/>
                        <w:bottom w:val="none" w:sz="0" w:space="0" w:color="auto"/>
                        <w:right w:val="none" w:sz="0" w:space="0" w:color="auto"/>
                      </w:divBdr>
                    </w:div>
                  </w:divsChild>
                </w:div>
                <w:div w:id="1615944015">
                  <w:marLeft w:val="0"/>
                  <w:marRight w:val="0"/>
                  <w:marTop w:val="0"/>
                  <w:marBottom w:val="0"/>
                  <w:divBdr>
                    <w:top w:val="none" w:sz="0" w:space="0" w:color="auto"/>
                    <w:left w:val="none" w:sz="0" w:space="0" w:color="auto"/>
                    <w:bottom w:val="none" w:sz="0" w:space="0" w:color="auto"/>
                    <w:right w:val="none" w:sz="0" w:space="0" w:color="auto"/>
                  </w:divBdr>
                  <w:divsChild>
                    <w:div w:id="1907648955">
                      <w:marLeft w:val="0"/>
                      <w:marRight w:val="0"/>
                      <w:marTop w:val="0"/>
                      <w:marBottom w:val="0"/>
                      <w:divBdr>
                        <w:top w:val="none" w:sz="0" w:space="0" w:color="auto"/>
                        <w:left w:val="none" w:sz="0" w:space="0" w:color="auto"/>
                        <w:bottom w:val="none" w:sz="0" w:space="0" w:color="auto"/>
                        <w:right w:val="none" w:sz="0" w:space="0" w:color="auto"/>
                      </w:divBdr>
                    </w:div>
                  </w:divsChild>
                </w:div>
                <w:div w:id="1677611008">
                  <w:marLeft w:val="0"/>
                  <w:marRight w:val="0"/>
                  <w:marTop w:val="0"/>
                  <w:marBottom w:val="0"/>
                  <w:divBdr>
                    <w:top w:val="none" w:sz="0" w:space="0" w:color="auto"/>
                    <w:left w:val="none" w:sz="0" w:space="0" w:color="auto"/>
                    <w:bottom w:val="none" w:sz="0" w:space="0" w:color="auto"/>
                    <w:right w:val="none" w:sz="0" w:space="0" w:color="auto"/>
                  </w:divBdr>
                  <w:divsChild>
                    <w:div w:id="1250189351">
                      <w:marLeft w:val="0"/>
                      <w:marRight w:val="0"/>
                      <w:marTop w:val="0"/>
                      <w:marBottom w:val="0"/>
                      <w:divBdr>
                        <w:top w:val="none" w:sz="0" w:space="0" w:color="auto"/>
                        <w:left w:val="none" w:sz="0" w:space="0" w:color="auto"/>
                        <w:bottom w:val="none" w:sz="0" w:space="0" w:color="auto"/>
                        <w:right w:val="none" w:sz="0" w:space="0" w:color="auto"/>
                      </w:divBdr>
                    </w:div>
                  </w:divsChild>
                </w:div>
                <w:div w:id="1694568909">
                  <w:marLeft w:val="0"/>
                  <w:marRight w:val="0"/>
                  <w:marTop w:val="0"/>
                  <w:marBottom w:val="0"/>
                  <w:divBdr>
                    <w:top w:val="none" w:sz="0" w:space="0" w:color="auto"/>
                    <w:left w:val="none" w:sz="0" w:space="0" w:color="auto"/>
                    <w:bottom w:val="none" w:sz="0" w:space="0" w:color="auto"/>
                    <w:right w:val="none" w:sz="0" w:space="0" w:color="auto"/>
                  </w:divBdr>
                  <w:divsChild>
                    <w:div w:id="1854951075">
                      <w:marLeft w:val="0"/>
                      <w:marRight w:val="0"/>
                      <w:marTop w:val="0"/>
                      <w:marBottom w:val="0"/>
                      <w:divBdr>
                        <w:top w:val="none" w:sz="0" w:space="0" w:color="auto"/>
                        <w:left w:val="none" w:sz="0" w:space="0" w:color="auto"/>
                        <w:bottom w:val="none" w:sz="0" w:space="0" w:color="auto"/>
                        <w:right w:val="none" w:sz="0" w:space="0" w:color="auto"/>
                      </w:divBdr>
                    </w:div>
                  </w:divsChild>
                </w:div>
                <w:div w:id="1705595270">
                  <w:marLeft w:val="0"/>
                  <w:marRight w:val="0"/>
                  <w:marTop w:val="0"/>
                  <w:marBottom w:val="0"/>
                  <w:divBdr>
                    <w:top w:val="none" w:sz="0" w:space="0" w:color="auto"/>
                    <w:left w:val="none" w:sz="0" w:space="0" w:color="auto"/>
                    <w:bottom w:val="none" w:sz="0" w:space="0" w:color="auto"/>
                    <w:right w:val="none" w:sz="0" w:space="0" w:color="auto"/>
                  </w:divBdr>
                  <w:divsChild>
                    <w:div w:id="872420446">
                      <w:marLeft w:val="0"/>
                      <w:marRight w:val="0"/>
                      <w:marTop w:val="0"/>
                      <w:marBottom w:val="0"/>
                      <w:divBdr>
                        <w:top w:val="none" w:sz="0" w:space="0" w:color="auto"/>
                        <w:left w:val="none" w:sz="0" w:space="0" w:color="auto"/>
                        <w:bottom w:val="none" w:sz="0" w:space="0" w:color="auto"/>
                        <w:right w:val="none" w:sz="0" w:space="0" w:color="auto"/>
                      </w:divBdr>
                    </w:div>
                  </w:divsChild>
                </w:div>
                <w:div w:id="1876457450">
                  <w:marLeft w:val="0"/>
                  <w:marRight w:val="0"/>
                  <w:marTop w:val="0"/>
                  <w:marBottom w:val="0"/>
                  <w:divBdr>
                    <w:top w:val="none" w:sz="0" w:space="0" w:color="auto"/>
                    <w:left w:val="none" w:sz="0" w:space="0" w:color="auto"/>
                    <w:bottom w:val="none" w:sz="0" w:space="0" w:color="auto"/>
                    <w:right w:val="none" w:sz="0" w:space="0" w:color="auto"/>
                  </w:divBdr>
                  <w:divsChild>
                    <w:div w:id="317417399">
                      <w:marLeft w:val="0"/>
                      <w:marRight w:val="0"/>
                      <w:marTop w:val="0"/>
                      <w:marBottom w:val="0"/>
                      <w:divBdr>
                        <w:top w:val="none" w:sz="0" w:space="0" w:color="auto"/>
                        <w:left w:val="none" w:sz="0" w:space="0" w:color="auto"/>
                        <w:bottom w:val="none" w:sz="0" w:space="0" w:color="auto"/>
                        <w:right w:val="none" w:sz="0" w:space="0" w:color="auto"/>
                      </w:divBdr>
                    </w:div>
                  </w:divsChild>
                </w:div>
                <w:div w:id="2144081234">
                  <w:marLeft w:val="0"/>
                  <w:marRight w:val="0"/>
                  <w:marTop w:val="0"/>
                  <w:marBottom w:val="0"/>
                  <w:divBdr>
                    <w:top w:val="none" w:sz="0" w:space="0" w:color="auto"/>
                    <w:left w:val="none" w:sz="0" w:space="0" w:color="auto"/>
                    <w:bottom w:val="none" w:sz="0" w:space="0" w:color="auto"/>
                    <w:right w:val="none" w:sz="0" w:space="0" w:color="auto"/>
                  </w:divBdr>
                  <w:divsChild>
                    <w:div w:id="178619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1982">
          <w:marLeft w:val="0"/>
          <w:marRight w:val="0"/>
          <w:marTop w:val="0"/>
          <w:marBottom w:val="0"/>
          <w:divBdr>
            <w:top w:val="none" w:sz="0" w:space="0" w:color="auto"/>
            <w:left w:val="none" w:sz="0" w:space="0" w:color="auto"/>
            <w:bottom w:val="none" w:sz="0" w:space="0" w:color="auto"/>
            <w:right w:val="none" w:sz="0" w:space="0" w:color="auto"/>
          </w:divBdr>
        </w:div>
        <w:div w:id="877740554">
          <w:marLeft w:val="0"/>
          <w:marRight w:val="0"/>
          <w:marTop w:val="0"/>
          <w:marBottom w:val="0"/>
          <w:divBdr>
            <w:top w:val="none" w:sz="0" w:space="0" w:color="auto"/>
            <w:left w:val="none" w:sz="0" w:space="0" w:color="auto"/>
            <w:bottom w:val="none" w:sz="0" w:space="0" w:color="auto"/>
            <w:right w:val="none" w:sz="0" w:space="0" w:color="auto"/>
          </w:divBdr>
        </w:div>
        <w:div w:id="900602006">
          <w:marLeft w:val="0"/>
          <w:marRight w:val="0"/>
          <w:marTop w:val="0"/>
          <w:marBottom w:val="0"/>
          <w:divBdr>
            <w:top w:val="none" w:sz="0" w:space="0" w:color="auto"/>
            <w:left w:val="none" w:sz="0" w:space="0" w:color="auto"/>
            <w:bottom w:val="none" w:sz="0" w:space="0" w:color="auto"/>
            <w:right w:val="none" w:sz="0" w:space="0" w:color="auto"/>
          </w:divBdr>
        </w:div>
        <w:div w:id="907690957">
          <w:marLeft w:val="0"/>
          <w:marRight w:val="0"/>
          <w:marTop w:val="0"/>
          <w:marBottom w:val="0"/>
          <w:divBdr>
            <w:top w:val="none" w:sz="0" w:space="0" w:color="auto"/>
            <w:left w:val="none" w:sz="0" w:space="0" w:color="auto"/>
            <w:bottom w:val="none" w:sz="0" w:space="0" w:color="auto"/>
            <w:right w:val="none" w:sz="0" w:space="0" w:color="auto"/>
          </w:divBdr>
        </w:div>
        <w:div w:id="920335623">
          <w:marLeft w:val="0"/>
          <w:marRight w:val="0"/>
          <w:marTop w:val="0"/>
          <w:marBottom w:val="0"/>
          <w:divBdr>
            <w:top w:val="none" w:sz="0" w:space="0" w:color="auto"/>
            <w:left w:val="none" w:sz="0" w:space="0" w:color="auto"/>
            <w:bottom w:val="none" w:sz="0" w:space="0" w:color="auto"/>
            <w:right w:val="none" w:sz="0" w:space="0" w:color="auto"/>
          </w:divBdr>
        </w:div>
        <w:div w:id="922254547">
          <w:marLeft w:val="0"/>
          <w:marRight w:val="0"/>
          <w:marTop w:val="0"/>
          <w:marBottom w:val="0"/>
          <w:divBdr>
            <w:top w:val="none" w:sz="0" w:space="0" w:color="auto"/>
            <w:left w:val="none" w:sz="0" w:space="0" w:color="auto"/>
            <w:bottom w:val="none" w:sz="0" w:space="0" w:color="auto"/>
            <w:right w:val="none" w:sz="0" w:space="0" w:color="auto"/>
          </w:divBdr>
          <w:divsChild>
            <w:div w:id="262960001">
              <w:marLeft w:val="-75"/>
              <w:marRight w:val="0"/>
              <w:marTop w:val="30"/>
              <w:marBottom w:val="30"/>
              <w:divBdr>
                <w:top w:val="none" w:sz="0" w:space="0" w:color="auto"/>
                <w:left w:val="none" w:sz="0" w:space="0" w:color="auto"/>
                <w:bottom w:val="none" w:sz="0" w:space="0" w:color="auto"/>
                <w:right w:val="none" w:sz="0" w:space="0" w:color="auto"/>
              </w:divBdr>
              <w:divsChild>
                <w:div w:id="45032900">
                  <w:marLeft w:val="0"/>
                  <w:marRight w:val="0"/>
                  <w:marTop w:val="0"/>
                  <w:marBottom w:val="0"/>
                  <w:divBdr>
                    <w:top w:val="none" w:sz="0" w:space="0" w:color="auto"/>
                    <w:left w:val="none" w:sz="0" w:space="0" w:color="auto"/>
                    <w:bottom w:val="none" w:sz="0" w:space="0" w:color="auto"/>
                    <w:right w:val="none" w:sz="0" w:space="0" w:color="auto"/>
                  </w:divBdr>
                  <w:divsChild>
                    <w:div w:id="1739933474">
                      <w:marLeft w:val="0"/>
                      <w:marRight w:val="0"/>
                      <w:marTop w:val="0"/>
                      <w:marBottom w:val="0"/>
                      <w:divBdr>
                        <w:top w:val="none" w:sz="0" w:space="0" w:color="auto"/>
                        <w:left w:val="none" w:sz="0" w:space="0" w:color="auto"/>
                        <w:bottom w:val="none" w:sz="0" w:space="0" w:color="auto"/>
                        <w:right w:val="none" w:sz="0" w:space="0" w:color="auto"/>
                      </w:divBdr>
                    </w:div>
                  </w:divsChild>
                </w:div>
                <w:div w:id="86508624">
                  <w:marLeft w:val="0"/>
                  <w:marRight w:val="0"/>
                  <w:marTop w:val="0"/>
                  <w:marBottom w:val="0"/>
                  <w:divBdr>
                    <w:top w:val="none" w:sz="0" w:space="0" w:color="auto"/>
                    <w:left w:val="none" w:sz="0" w:space="0" w:color="auto"/>
                    <w:bottom w:val="none" w:sz="0" w:space="0" w:color="auto"/>
                    <w:right w:val="none" w:sz="0" w:space="0" w:color="auto"/>
                  </w:divBdr>
                  <w:divsChild>
                    <w:div w:id="392431933">
                      <w:marLeft w:val="0"/>
                      <w:marRight w:val="0"/>
                      <w:marTop w:val="0"/>
                      <w:marBottom w:val="0"/>
                      <w:divBdr>
                        <w:top w:val="none" w:sz="0" w:space="0" w:color="auto"/>
                        <w:left w:val="none" w:sz="0" w:space="0" w:color="auto"/>
                        <w:bottom w:val="none" w:sz="0" w:space="0" w:color="auto"/>
                        <w:right w:val="none" w:sz="0" w:space="0" w:color="auto"/>
                      </w:divBdr>
                    </w:div>
                  </w:divsChild>
                </w:div>
                <w:div w:id="204028694">
                  <w:marLeft w:val="0"/>
                  <w:marRight w:val="0"/>
                  <w:marTop w:val="0"/>
                  <w:marBottom w:val="0"/>
                  <w:divBdr>
                    <w:top w:val="none" w:sz="0" w:space="0" w:color="auto"/>
                    <w:left w:val="none" w:sz="0" w:space="0" w:color="auto"/>
                    <w:bottom w:val="none" w:sz="0" w:space="0" w:color="auto"/>
                    <w:right w:val="none" w:sz="0" w:space="0" w:color="auto"/>
                  </w:divBdr>
                  <w:divsChild>
                    <w:div w:id="874348193">
                      <w:marLeft w:val="0"/>
                      <w:marRight w:val="0"/>
                      <w:marTop w:val="0"/>
                      <w:marBottom w:val="0"/>
                      <w:divBdr>
                        <w:top w:val="none" w:sz="0" w:space="0" w:color="auto"/>
                        <w:left w:val="none" w:sz="0" w:space="0" w:color="auto"/>
                        <w:bottom w:val="none" w:sz="0" w:space="0" w:color="auto"/>
                        <w:right w:val="none" w:sz="0" w:space="0" w:color="auto"/>
                      </w:divBdr>
                    </w:div>
                  </w:divsChild>
                </w:div>
                <w:div w:id="561329230">
                  <w:marLeft w:val="0"/>
                  <w:marRight w:val="0"/>
                  <w:marTop w:val="0"/>
                  <w:marBottom w:val="0"/>
                  <w:divBdr>
                    <w:top w:val="none" w:sz="0" w:space="0" w:color="auto"/>
                    <w:left w:val="none" w:sz="0" w:space="0" w:color="auto"/>
                    <w:bottom w:val="none" w:sz="0" w:space="0" w:color="auto"/>
                    <w:right w:val="none" w:sz="0" w:space="0" w:color="auto"/>
                  </w:divBdr>
                  <w:divsChild>
                    <w:div w:id="1400978857">
                      <w:marLeft w:val="0"/>
                      <w:marRight w:val="0"/>
                      <w:marTop w:val="0"/>
                      <w:marBottom w:val="0"/>
                      <w:divBdr>
                        <w:top w:val="none" w:sz="0" w:space="0" w:color="auto"/>
                        <w:left w:val="none" w:sz="0" w:space="0" w:color="auto"/>
                        <w:bottom w:val="none" w:sz="0" w:space="0" w:color="auto"/>
                        <w:right w:val="none" w:sz="0" w:space="0" w:color="auto"/>
                      </w:divBdr>
                    </w:div>
                  </w:divsChild>
                </w:div>
                <w:div w:id="827870100">
                  <w:marLeft w:val="0"/>
                  <w:marRight w:val="0"/>
                  <w:marTop w:val="0"/>
                  <w:marBottom w:val="0"/>
                  <w:divBdr>
                    <w:top w:val="none" w:sz="0" w:space="0" w:color="auto"/>
                    <w:left w:val="none" w:sz="0" w:space="0" w:color="auto"/>
                    <w:bottom w:val="none" w:sz="0" w:space="0" w:color="auto"/>
                    <w:right w:val="none" w:sz="0" w:space="0" w:color="auto"/>
                  </w:divBdr>
                  <w:divsChild>
                    <w:div w:id="756050109">
                      <w:marLeft w:val="0"/>
                      <w:marRight w:val="0"/>
                      <w:marTop w:val="0"/>
                      <w:marBottom w:val="0"/>
                      <w:divBdr>
                        <w:top w:val="none" w:sz="0" w:space="0" w:color="auto"/>
                        <w:left w:val="none" w:sz="0" w:space="0" w:color="auto"/>
                        <w:bottom w:val="none" w:sz="0" w:space="0" w:color="auto"/>
                        <w:right w:val="none" w:sz="0" w:space="0" w:color="auto"/>
                      </w:divBdr>
                    </w:div>
                  </w:divsChild>
                </w:div>
                <w:div w:id="1028292575">
                  <w:marLeft w:val="0"/>
                  <w:marRight w:val="0"/>
                  <w:marTop w:val="0"/>
                  <w:marBottom w:val="0"/>
                  <w:divBdr>
                    <w:top w:val="none" w:sz="0" w:space="0" w:color="auto"/>
                    <w:left w:val="none" w:sz="0" w:space="0" w:color="auto"/>
                    <w:bottom w:val="none" w:sz="0" w:space="0" w:color="auto"/>
                    <w:right w:val="none" w:sz="0" w:space="0" w:color="auto"/>
                  </w:divBdr>
                  <w:divsChild>
                    <w:div w:id="1618364376">
                      <w:marLeft w:val="0"/>
                      <w:marRight w:val="0"/>
                      <w:marTop w:val="0"/>
                      <w:marBottom w:val="0"/>
                      <w:divBdr>
                        <w:top w:val="none" w:sz="0" w:space="0" w:color="auto"/>
                        <w:left w:val="none" w:sz="0" w:space="0" w:color="auto"/>
                        <w:bottom w:val="none" w:sz="0" w:space="0" w:color="auto"/>
                        <w:right w:val="none" w:sz="0" w:space="0" w:color="auto"/>
                      </w:divBdr>
                    </w:div>
                  </w:divsChild>
                </w:div>
                <w:div w:id="1094865932">
                  <w:marLeft w:val="0"/>
                  <w:marRight w:val="0"/>
                  <w:marTop w:val="0"/>
                  <w:marBottom w:val="0"/>
                  <w:divBdr>
                    <w:top w:val="none" w:sz="0" w:space="0" w:color="auto"/>
                    <w:left w:val="none" w:sz="0" w:space="0" w:color="auto"/>
                    <w:bottom w:val="none" w:sz="0" w:space="0" w:color="auto"/>
                    <w:right w:val="none" w:sz="0" w:space="0" w:color="auto"/>
                  </w:divBdr>
                  <w:divsChild>
                    <w:div w:id="8260023">
                      <w:marLeft w:val="0"/>
                      <w:marRight w:val="0"/>
                      <w:marTop w:val="0"/>
                      <w:marBottom w:val="0"/>
                      <w:divBdr>
                        <w:top w:val="none" w:sz="0" w:space="0" w:color="auto"/>
                        <w:left w:val="none" w:sz="0" w:space="0" w:color="auto"/>
                        <w:bottom w:val="none" w:sz="0" w:space="0" w:color="auto"/>
                        <w:right w:val="none" w:sz="0" w:space="0" w:color="auto"/>
                      </w:divBdr>
                    </w:div>
                  </w:divsChild>
                </w:div>
                <w:div w:id="1256787004">
                  <w:marLeft w:val="0"/>
                  <w:marRight w:val="0"/>
                  <w:marTop w:val="0"/>
                  <w:marBottom w:val="0"/>
                  <w:divBdr>
                    <w:top w:val="none" w:sz="0" w:space="0" w:color="auto"/>
                    <w:left w:val="none" w:sz="0" w:space="0" w:color="auto"/>
                    <w:bottom w:val="none" w:sz="0" w:space="0" w:color="auto"/>
                    <w:right w:val="none" w:sz="0" w:space="0" w:color="auto"/>
                  </w:divBdr>
                  <w:divsChild>
                    <w:div w:id="2038120384">
                      <w:marLeft w:val="0"/>
                      <w:marRight w:val="0"/>
                      <w:marTop w:val="0"/>
                      <w:marBottom w:val="0"/>
                      <w:divBdr>
                        <w:top w:val="none" w:sz="0" w:space="0" w:color="auto"/>
                        <w:left w:val="none" w:sz="0" w:space="0" w:color="auto"/>
                        <w:bottom w:val="none" w:sz="0" w:space="0" w:color="auto"/>
                        <w:right w:val="none" w:sz="0" w:space="0" w:color="auto"/>
                      </w:divBdr>
                    </w:div>
                  </w:divsChild>
                </w:div>
                <w:div w:id="1301308569">
                  <w:marLeft w:val="0"/>
                  <w:marRight w:val="0"/>
                  <w:marTop w:val="0"/>
                  <w:marBottom w:val="0"/>
                  <w:divBdr>
                    <w:top w:val="none" w:sz="0" w:space="0" w:color="auto"/>
                    <w:left w:val="none" w:sz="0" w:space="0" w:color="auto"/>
                    <w:bottom w:val="none" w:sz="0" w:space="0" w:color="auto"/>
                    <w:right w:val="none" w:sz="0" w:space="0" w:color="auto"/>
                  </w:divBdr>
                  <w:divsChild>
                    <w:div w:id="263657002">
                      <w:marLeft w:val="0"/>
                      <w:marRight w:val="0"/>
                      <w:marTop w:val="0"/>
                      <w:marBottom w:val="0"/>
                      <w:divBdr>
                        <w:top w:val="none" w:sz="0" w:space="0" w:color="auto"/>
                        <w:left w:val="none" w:sz="0" w:space="0" w:color="auto"/>
                        <w:bottom w:val="none" w:sz="0" w:space="0" w:color="auto"/>
                        <w:right w:val="none" w:sz="0" w:space="0" w:color="auto"/>
                      </w:divBdr>
                    </w:div>
                  </w:divsChild>
                </w:div>
                <w:div w:id="1434126317">
                  <w:marLeft w:val="0"/>
                  <w:marRight w:val="0"/>
                  <w:marTop w:val="0"/>
                  <w:marBottom w:val="0"/>
                  <w:divBdr>
                    <w:top w:val="none" w:sz="0" w:space="0" w:color="auto"/>
                    <w:left w:val="none" w:sz="0" w:space="0" w:color="auto"/>
                    <w:bottom w:val="none" w:sz="0" w:space="0" w:color="auto"/>
                    <w:right w:val="none" w:sz="0" w:space="0" w:color="auto"/>
                  </w:divBdr>
                  <w:divsChild>
                    <w:div w:id="1055542393">
                      <w:marLeft w:val="0"/>
                      <w:marRight w:val="0"/>
                      <w:marTop w:val="0"/>
                      <w:marBottom w:val="0"/>
                      <w:divBdr>
                        <w:top w:val="none" w:sz="0" w:space="0" w:color="auto"/>
                        <w:left w:val="none" w:sz="0" w:space="0" w:color="auto"/>
                        <w:bottom w:val="none" w:sz="0" w:space="0" w:color="auto"/>
                        <w:right w:val="none" w:sz="0" w:space="0" w:color="auto"/>
                      </w:divBdr>
                    </w:div>
                  </w:divsChild>
                </w:div>
                <w:div w:id="1603223369">
                  <w:marLeft w:val="0"/>
                  <w:marRight w:val="0"/>
                  <w:marTop w:val="0"/>
                  <w:marBottom w:val="0"/>
                  <w:divBdr>
                    <w:top w:val="none" w:sz="0" w:space="0" w:color="auto"/>
                    <w:left w:val="none" w:sz="0" w:space="0" w:color="auto"/>
                    <w:bottom w:val="none" w:sz="0" w:space="0" w:color="auto"/>
                    <w:right w:val="none" w:sz="0" w:space="0" w:color="auto"/>
                  </w:divBdr>
                  <w:divsChild>
                    <w:div w:id="47070575">
                      <w:marLeft w:val="0"/>
                      <w:marRight w:val="0"/>
                      <w:marTop w:val="0"/>
                      <w:marBottom w:val="0"/>
                      <w:divBdr>
                        <w:top w:val="none" w:sz="0" w:space="0" w:color="auto"/>
                        <w:left w:val="none" w:sz="0" w:space="0" w:color="auto"/>
                        <w:bottom w:val="none" w:sz="0" w:space="0" w:color="auto"/>
                        <w:right w:val="none" w:sz="0" w:space="0" w:color="auto"/>
                      </w:divBdr>
                    </w:div>
                  </w:divsChild>
                </w:div>
                <w:div w:id="1845048748">
                  <w:marLeft w:val="0"/>
                  <w:marRight w:val="0"/>
                  <w:marTop w:val="0"/>
                  <w:marBottom w:val="0"/>
                  <w:divBdr>
                    <w:top w:val="none" w:sz="0" w:space="0" w:color="auto"/>
                    <w:left w:val="none" w:sz="0" w:space="0" w:color="auto"/>
                    <w:bottom w:val="none" w:sz="0" w:space="0" w:color="auto"/>
                    <w:right w:val="none" w:sz="0" w:space="0" w:color="auto"/>
                  </w:divBdr>
                  <w:divsChild>
                    <w:div w:id="135615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38939">
          <w:marLeft w:val="0"/>
          <w:marRight w:val="0"/>
          <w:marTop w:val="0"/>
          <w:marBottom w:val="0"/>
          <w:divBdr>
            <w:top w:val="none" w:sz="0" w:space="0" w:color="auto"/>
            <w:left w:val="none" w:sz="0" w:space="0" w:color="auto"/>
            <w:bottom w:val="none" w:sz="0" w:space="0" w:color="auto"/>
            <w:right w:val="none" w:sz="0" w:space="0" w:color="auto"/>
          </w:divBdr>
        </w:div>
        <w:div w:id="932317911">
          <w:marLeft w:val="0"/>
          <w:marRight w:val="0"/>
          <w:marTop w:val="0"/>
          <w:marBottom w:val="0"/>
          <w:divBdr>
            <w:top w:val="none" w:sz="0" w:space="0" w:color="auto"/>
            <w:left w:val="none" w:sz="0" w:space="0" w:color="auto"/>
            <w:bottom w:val="none" w:sz="0" w:space="0" w:color="auto"/>
            <w:right w:val="none" w:sz="0" w:space="0" w:color="auto"/>
          </w:divBdr>
          <w:divsChild>
            <w:div w:id="796873945">
              <w:marLeft w:val="-75"/>
              <w:marRight w:val="0"/>
              <w:marTop w:val="30"/>
              <w:marBottom w:val="30"/>
              <w:divBdr>
                <w:top w:val="none" w:sz="0" w:space="0" w:color="auto"/>
                <w:left w:val="none" w:sz="0" w:space="0" w:color="auto"/>
                <w:bottom w:val="none" w:sz="0" w:space="0" w:color="auto"/>
                <w:right w:val="none" w:sz="0" w:space="0" w:color="auto"/>
              </w:divBdr>
              <w:divsChild>
                <w:div w:id="29916836">
                  <w:marLeft w:val="0"/>
                  <w:marRight w:val="0"/>
                  <w:marTop w:val="0"/>
                  <w:marBottom w:val="0"/>
                  <w:divBdr>
                    <w:top w:val="none" w:sz="0" w:space="0" w:color="auto"/>
                    <w:left w:val="none" w:sz="0" w:space="0" w:color="auto"/>
                    <w:bottom w:val="none" w:sz="0" w:space="0" w:color="auto"/>
                    <w:right w:val="none" w:sz="0" w:space="0" w:color="auto"/>
                  </w:divBdr>
                  <w:divsChild>
                    <w:div w:id="1859663492">
                      <w:marLeft w:val="0"/>
                      <w:marRight w:val="0"/>
                      <w:marTop w:val="0"/>
                      <w:marBottom w:val="0"/>
                      <w:divBdr>
                        <w:top w:val="none" w:sz="0" w:space="0" w:color="auto"/>
                        <w:left w:val="none" w:sz="0" w:space="0" w:color="auto"/>
                        <w:bottom w:val="none" w:sz="0" w:space="0" w:color="auto"/>
                        <w:right w:val="none" w:sz="0" w:space="0" w:color="auto"/>
                      </w:divBdr>
                    </w:div>
                  </w:divsChild>
                </w:div>
                <w:div w:id="108353985">
                  <w:marLeft w:val="0"/>
                  <w:marRight w:val="0"/>
                  <w:marTop w:val="0"/>
                  <w:marBottom w:val="0"/>
                  <w:divBdr>
                    <w:top w:val="none" w:sz="0" w:space="0" w:color="auto"/>
                    <w:left w:val="none" w:sz="0" w:space="0" w:color="auto"/>
                    <w:bottom w:val="none" w:sz="0" w:space="0" w:color="auto"/>
                    <w:right w:val="none" w:sz="0" w:space="0" w:color="auto"/>
                  </w:divBdr>
                  <w:divsChild>
                    <w:div w:id="827331445">
                      <w:marLeft w:val="0"/>
                      <w:marRight w:val="0"/>
                      <w:marTop w:val="0"/>
                      <w:marBottom w:val="0"/>
                      <w:divBdr>
                        <w:top w:val="none" w:sz="0" w:space="0" w:color="auto"/>
                        <w:left w:val="none" w:sz="0" w:space="0" w:color="auto"/>
                        <w:bottom w:val="none" w:sz="0" w:space="0" w:color="auto"/>
                        <w:right w:val="none" w:sz="0" w:space="0" w:color="auto"/>
                      </w:divBdr>
                    </w:div>
                  </w:divsChild>
                </w:div>
                <w:div w:id="171378339">
                  <w:marLeft w:val="0"/>
                  <w:marRight w:val="0"/>
                  <w:marTop w:val="0"/>
                  <w:marBottom w:val="0"/>
                  <w:divBdr>
                    <w:top w:val="none" w:sz="0" w:space="0" w:color="auto"/>
                    <w:left w:val="none" w:sz="0" w:space="0" w:color="auto"/>
                    <w:bottom w:val="none" w:sz="0" w:space="0" w:color="auto"/>
                    <w:right w:val="none" w:sz="0" w:space="0" w:color="auto"/>
                  </w:divBdr>
                  <w:divsChild>
                    <w:div w:id="1095596728">
                      <w:marLeft w:val="0"/>
                      <w:marRight w:val="0"/>
                      <w:marTop w:val="0"/>
                      <w:marBottom w:val="0"/>
                      <w:divBdr>
                        <w:top w:val="none" w:sz="0" w:space="0" w:color="auto"/>
                        <w:left w:val="none" w:sz="0" w:space="0" w:color="auto"/>
                        <w:bottom w:val="none" w:sz="0" w:space="0" w:color="auto"/>
                        <w:right w:val="none" w:sz="0" w:space="0" w:color="auto"/>
                      </w:divBdr>
                    </w:div>
                  </w:divsChild>
                </w:div>
                <w:div w:id="188759474">
                  <w:marLeft w:val="0"/>
                  <w:marRight w:val="0"/>
                  <w:marTop w:val="0"/>
                  <w:marBottom w:val="0"/>
                  <w:divBdr>
                    <w:top w:val="none" w:sz="0" w:space="0" w:color="auto"/>
                    <w:left w:val="none" w:sz="0" w:space="0" w:color="auto"/>
                    <w:bottom w:val="none" w:sz="0" w:space="0" w:color="auto"/>
                    <w:right w:val="none" w:sz="0" w:space="0" w:color="auto"/>
                  </w:divBdr>
                  <w:divsChild>
                    <w:div w:id="1678191299">
                      <w:marLeft w:val="0"/>
                      <w:marRight w:val="0"/>
                      <w:marTop w:val="0"/>
                      <w:marBottom w:val="0"/>
                      <w:divBdr>
                        <w:top w:val="none" w:sz="0" w:space="0" w:color="auto"/>
                        <w:left w:val="none" w:sz="0" w:space="0" w:color="auto"/>
                        <w:bottom w:val="none" w:sz="0" w:space="0" w:color="auto"/>
                        <w:right w:val="none" w:sz="0" w:space="0" w:color="auto"/>
                      </w:divBdr>
                    </w:div>
                  </w:divsChild>
                </w:div>
                <w:div w:id="329256784">
                  <w:marLeft w:val="0"/>
                  <w:marRight w:val="0"/>
                  <w:marTop w:val="0"/>
                  <w:marBottom w:val="0"/>
                  <w:divBdr>
                    <w:top w:val="none" w:sz="0" w:space="0" w:color="auto"/>
                    <w:left w:val="none" w:sz="0" w:space="0" w:color="auto"/>
                    <w:bottom w:val="none" w:sz="0" w:space="0" w:color="auto"/>
                    <w:right w:val="none" w:sz="0" w:space="0" w:color="auto"/>
                  </w:divBdr>
                  <w:divsChild>
                    <w:div w:id="1252080848">
                      <w:marLeft w:val="0"/>
                      <w:marRight w:val="0"/>
                      <w:marTop w:val="0"/>
                      <w:marBottom w:val="0"/>
                      <w:divBdr>
                        <w:top w:val="none" w:sz="0" w:space="0" w:color="auto"/>
                        <w:left w:val="none" w:sz="0" w:space="0" w:color="auto"/>
                        <w:bottom w:val="none" w:sz="0" w:space="0" w:color="auto"/>
                        <w:right w:val="none" w:sz="0" w:space="0" w:color="auto"/>
                      </w:divBdr>
                    </w:div>
                  </w:divsChild>
                </w:div>
                <w:div w:id="447940409">
                  <w:marLeft w:val="0"/>
                  <w:marRight w:val="0"/>
                  <w:marTop w:val="0"/>
                  <w:marBottom w:val="0"/>
                  <w:divBdr>
                    <w:top w:val="none" w:sz="0" w:space="0" w:color="auto"/>
                    <w:left w:val="none" w:sz="0" w:space="0" w:color="auto"/>
                    <w:bottom w:val="none" w:sz="0" w:space="0" w:color="auto"/>
                    <w:right w:val="none" w:sz="0" w:space="0" w:color="auto"/>
                  </w:divBdr>
                  <w:divsChild>
                    <w:div w:id="1390229719">
                      <w:marLeft w:val="0"/>
                      <w:marRight w:val="0"/>
                      <w:marTop w:val="0"/>
                      <w:marBottom w:val="0"/>
                      <w:divBdr>
                        <w:top w:val="none" w:sz="0" w:space="0" w:color="auto"/>
                        <w:left w:val="none" w:sz="0" w:space="0" w:color="auto"/>
                        <w:bottom w:val="none" w:sz="0" w:space="0" w:color="auto"/>
                        <w:right w:val="none" w:sz="0" w:space="0" w:color="auto"/>
                      </w:divBdr>
                    </w:div>
                  </w:divsChild>
                </w:div>
                <w:div w:id="487402737">
                  <w:marLeft w:val="0"/>
                  <w:marRight w:val="0"/>
                  <w:marTop w:val="0"/>
                  <w:marBottom w:val="0"/>
                  <w:divBdr>
                    <w:top w:val="none" w:sz="0" w:space="0" w:color="auto"/>
                    <w:left w:val="none" w:sz="0" w:space="0" w:color="auto"/>
                    <w:bottom w:val="none" w:sz="0" w:space="0" w:color="auto"/>
                    <w:right w:val="none" w:sz="0" w:space="0" w:color="auto"/>
                  </w:divBdr>
                  <w:divsChild>
                    <w:div w:id="839582531">
                      <w:marLeft w:val="0"/>
                      <w:marRight w:val="0"/>
                      <w:marTop w:val="0"/>
                      <w:marBottom w:val="0"/>
                      <w:divBdr>
                        <w:top w:val="none" w:sz="0" w:space="0" w:color="auto"/>
                        <w:left w:val="none" w:sz="0" w:space="0" w:color="auto"/>
                        <w:bottom w:val="none" w:sz="0" w:space="0" w:color="auto"/>
                        <w:right w:val="none" w:sz="0" w:space="0" w:color="auto"/>
                      </w:divBdr>
                    </w:div>
                  </w:divsChild>
                </w:div>
                <w:div w:id="592589936">
                  <w:marLeft w:val="0"/>
                  <w:marRight w:val="0"/>
                  <w:marTop w:val="0"/>
                  <w:marBottom w:val="0"/>
                  <w:divBdr>
                    <w:top w:val="none" w:sz="0" w:space="0" w:color="auto"/>
                    <w:left w:val="none" w:sz="0" w:space="0" w:color="auto"/>
                    <w:bottom w:val="none" w:sz="0" w:space="0" w:color="auto"/>
                    <w:right w:val="none" w:sz="0" w:space="0" w:color="auto"/>
                  </w:divBdr>
                  <w:divsChild>
                    <w:div w:id="2072655860">
                      <w:marLeft w:val="0"/>
                      <w:marRight w:val="0"/>
                      <w:marTop w:val="0"/>
                      <w:marBottom w:val="0"/>
                      <w:divBdr>
                        <w:top w:val="none" w:sz="0" w:space="0" w:color="auto"/>
                        <w:left w:val="none" w:sz="0" w:space="0" w:color="auto"/>
                        <w:bottom w:val="none" w:sz="0" w:space="0" w:color="auto"/>
                        <w:right w:val="none" w:sz="0" w:space="0" w:color="auto"/>
                      </w:divBdr>
                    </w:div>
                  </w:divsChild>
                </w:div>
                <w:div w:id="594024221">
                  <w:marLeft w:val="0"/>
                  <w:marRight w:val="0"/>
                  <w:marTop w:val="0"/>
                  <w:marBottom w:val="0"/>
                  <w:divBdr>
                    <w:top w:val="none" w:sz="0" w:space="0" w:color="auto"/>
                    <w:left w:val="none" w:sz="0" w:space="0" w:color="auto"/>
                    <w:bottom w:val="none" w:sz="0" w:space="0" w:color="auto"/>
                    <w:right w:val="none" w:sz="0" w:space="0" w:color="auto"/>
                  </w:divBdr>
                  <w:divsChild>
                    <w:div w:id="147988613">
                      <w:marLeft w:val="0"/>
                      <w:marRight w:val="0"/>
                      <w:marTop w:val="0"/>
                      <w:marBottom w:val="0"/>
                      <w:divBdr>
                        <w:top w:val="none" w:sz="0" w:space="0" w:color="auto"/>
                        <w:left w:val="none" w:sz="0" w:space="0" w:color="auto"/>
                        <w:bottom w:val="none" w:sz="0" w:space="0" w:color="auto"/>
                        <w:right w:val="none" w:sz="0" w:space="0" w:color="auto"/>
                      </w:divBdr>
                    </w:div>
                  </w:divsChild>
                </w:div>
                <w:div w:id="673843272">
                  <w:marLeft w:val="0"/>
                  <w:marRight w:val="0"/>
                  <w:marTop w:val="0"/>
                  <w:marBottom w:val="0"/>
                  <w:divBdr>
                    <w:top w:val="none" w:sz="0" w:space="0" w:color="auto"/>
                    <w:left w:val="none" w:sz="0" w:space="0" w:color="auto"/>
                    <w:bottom w:val="none" w:sz="0" w:space="0" w:color="auto"/>
                    <w:right w:val="none" w:sz="0" w:space="0" w:color="auto"/>
                  </w:divBdr>
                  <w:divsChild>
                    <w:div w:id="1376470459">
                      <w:marLeft w:val="0"/>
                      <w:marRight w:val="0"/>
                      <w:marTop w:val="0"/>
                      <w:marBottom w:val="0"/>
                      <w:divBdr>
                        <w:top w:val="none" w:sz="0" w:space="0" w:color="auto"/>
                        <w:left w:val="none" w:sz="0" w:space="0" w:color="auto"/>
                        <w:bottom w:val="none" w:sz="0" w:space="0" w:color="auto"/>
                        <w:right w:val="none" w:sz="0" w:space="0" w:color="auto"/>
                      </w:divBdr>
                    </w:div>
                  </w:divsChild>
                </w:div>
                <w:div w:id="775904305">
                  <w:marLeft w:val="0"/>
                  <w:marRight w:val="0"/>
                  <w:marTop w:val="0"/>
                  <w:marBottom w:val="0"/>
                  <w:divBdr>
                    <w:top w:val="none" w:sz="0" w:space="0" w:color="auto"/>
                    <w:left w:val="none" w:sz="0" w:space="0" w:color="auto"/>
                    <w:bottom w:val="none" w:sz="0" w:space="0" w:color="auto"/>
                    <w:right w:val="none" w:sz="0" w:space="0" w:color="auto"/>
                  </w:divBdr>
                  <w:divsChild>
                    <w:div w:id="583995654">
                      <w:marLeft w:val="0"/>
                      <w:marRight w:val="0"/>
                      <w:marTop w:val="0"/>
                      <w:marBottom w:val="0"/>
                      <w:divBdr>
                        <w:top w:val="none" w:sz="0" w:space="0" w:color="auto"/>
                        <w:left w:val="none" w:sz="0" w:space="0" w:color="auto"/>
                        <w:bottom w:val="none" w:sz="0" w:space="0" w:color="auto"/>
                        <w:right w:val="none" w:sz="0" w:space="0" w:color="auto"/>
                      </w:divBdr>
                    </w:div>
                  </w:divsChild>
                </w:div>
                <w:div w:id="911046049">
                  <w:marLeft w:val="0"/>
                  <w:marRight w:val="0"/>
                  <w:marTop w:val="0"/>
                  <w:marBottom w:val="0"/>
                  <w:divBdr>
                    <w:top w:val="none" w:sz="0" w:space="0" w:color="auto"/>
                    <w:left w:val="none" w:sz="0" w:space="0" w:color="auto"/>
                    <w:bottom w:val="none" w:sz="0" w:space="0" w:color="auto"/>
                    <w:right w:val="none" w:sz="0" w:space="0" w:color="auto"/>
                  </w:divBdr>
                  <w:divsChild>
                    <w:div w:id="1741176334">
                      <w:marLeft w:val="0"/>
                      <w:marRight w:val="0"/>
                      <w:marTop w:val="0"/>
                      <w:marBottom w:val="0"/>
                      <w:divBdr>
                        <w:top w:val="none" w:sz="0" w:space="0" w:color="auto"/>
                        <w:left w:val="none" w:sz="0" w:space="0" w:color="auto"/>
                        <w:bottom w:val="none" w:sz="0" w:space="0" w:color="auto"/>
                        <w:right w:val="none" w:sz="0" w:space="0" w:color="auto"/>
                      </w:divBdr>
                    </w:div>
                  </w:divsChild>
                </w:div>
                <w:div w:id="922884473">
                  <w:marLeft w:val="0"/>
                  <w:marRight w:val="0"/>
                  <w:marTop w:val="0"/>
                  <w:marBottom w:val="0"/>
                  <w:divBdr>
                    <w:top w:val="none" w:sz="0" w:space="0" w:color="auto"/>
                    <w:left w:val="none" w:sz="0" w:space="0" w:color="auto"/>
                    <w:bottom w:val="none" w:sz="0" w:space="0" w:color="auto"/>
                    <w:right w:val="none" w:sz="0" w:space="0" w:color="auto"/>
                  </w:divBdr>
                  <w:divsChild>
                    <w:div w:id="1457678371">
                      <w:marLeft w:val="0"/>
                      <w:marRight w:val="0"/>
                      <w:marTop w:val="0"/>
                      <w:marBottom w:val="0"/>
                      <w:divBdr>
                        <w:top w:val="none" w:sz="0" w:space="0" w:color="auto"/>
                        <w:left w:val="none" w:sz="0" w:space="0" w:color="auto"/>
                        <w:bottom w:val="none" w:sz="0" w:space="0" w:color="auto"/>
                        <w:right w:val="none" w:sz="0" w:space="0" w:color="auto"/>
                      </w:divBdr>
                    </w:div>
                  </w:divsChild>
                </w:div>
                <w:div w:id="987831379">
                  <w:marLeft w:val="0"/>
                  <w:marRight w:val="0"/>
                  <w:marTop w:val="0"/>
                  <w:marBottom w:val="0"/>
                  <w:divBdr>
                    <w:top w:val="none" w:sz="0" w:space="0" w:color="auto"/>
                    <w:left w:val="none" w:sz="0" w:space="0" w:color="auto"/>
                    <w:bottom w:val="none" w:sz="0" w:space="0" w:color="auto"/>
                    <w:right w:val="none" w:sz="0" w:space="0" w:color="auto"/>
                  </w:divBdr>
                  <w:divsChild>
                    <w:div w:id="404106875">
                      <w:marLeft w:val="0"/>
                      <w:marRight w:val="0"/>
                      <w:marTop w:val="0"/>
                      <w:marBottom w:val="0"/>
                      <w:divBdr>
                        <w:top w:val="none" w:sz="0" w:space="0" w:color="auto"/>
                        <w:left w:val="none" w:sz="0" w:space="0" w:color="auto"/>
                        <w:bottom w:val="none" w:sz="0" w:space="0" w:color="auto"/>
                        <w:right w:val="none" w:sz="0" w:space="0" w:color="auto"/>
                      </w:divBdr>
                    </w:div>
                  </w:divsChild>
                </w:div>
                <w:div w:id="1060445290">
                  <w:marLeft w:val="0"/>
                  <w:marRight w:val="0"/>
                  <w:marTop w:val="0"/>
                  <w:marBottom w:val="0"/>
                  <w:divBdr>
                    <w:top w:val="none" w:sz="0" w:space="0" w:color="auto"/>
                    <w:left w:val="none" w:sz="0" w:space="0" w:color="auto"/>
                    <w:bottom w:val="none" w:sz="0" w:space="0" w:color="auto"/>
                    <w:right w:val="none" w:sz="0" w:space="0" w:color="auto"/>
                  </w:divBdr>
                  <w:divsChild>
                    <w:div w:id="953830253">
                      <w:marLeft w:val="0"/>
                      <w:marRight w:val="0"/>
                      <w:marTop w:val="0"/>
                      <w:marBottom w:val="0"/>
                      <w:divBdr>
                        <w:top w:val="none" w:sz="0" w:space="0" w:color="auto"/>
                        <w:left w:val="none" w:sz="0" w:space="0" w:color="auto"/>
                        <w:bottom w:val="none" w:sz="0" w:space="0" w:color="auto"/>
                        <w:right w:val="none" w:sz="0" w:space="0" w:color="auto"/>
                      </w:divBdr>
                    </w:div>
                  </w:divsChild>
                </w:div>
                <w:div w:id="1283994822">
                  <w:marLeft w:val="0"/>
                  <w:marRight w:val="0"/>
                  <w:marTop w:val="0"/>
                  <w:marBottom w:val="0"/>
                  <w:divBdr>
                    <w:top w:val="none" w:sz="0" w:space="0" w:color="auto"/>
                    <w:left w:val="none" w:sz="0" w:space="0" w:color="auto"/>
                    <w:bottom w:val="none" w:sz="0" w:space="0" w:color="auto"/>
                    <w:right w:val="none" w:sz="0" w:space="0" w:color="auto"/>
                  </w:divBdr>
                  <w:divsChild>
                    <w:div w:id="1021859097">
                      <w:marLeft w:val="0"/>
                      <w:marRight w:val="0"/>
                      <w:marTop w:val="0"/>
                      <w:marBottom w:val="0"/>
                      <w:divBdr>
                        <w:top w:val="none" w:sz="0" w:space="0" w:color="auto"/>
                        <w:left w:val="none" w:sz="0" w:space="0" w:color="auto"/>
                        <w:bottom w:val="none" w:sz="0" w:space="0" w:color="auto"/>
                        <w:right w:val="none" w:sz="0" w:space="0" w:color="auto"/>
                      </w:divBdr>
                    </w:div>
                  </w:divsChild>
                </w:div>
                <w:div w:id="1301183304">
                  <w:marLeft w:val="0"/>
                  <w:marRight w:val="0"/>
                  <w:marTop w:val="0"/>
                  <w:marBottom w:val="0"/>
                  <w:divBdr>
                    <w:top w:val="none" w:sz="0" w:space="0" w:color="auto"/>
                    <w:left w:val="none" w:sz="0" w:space="0" w:color="auto"/>
                    <w:bottom w:val="none" w:sz="0" w:space="0" w:color="auto"/>
                    <w:right w:val="none" w:sz="0" w:space="0" w:color="auto"/>
                  </w:divBdr>
                  <w:divsChild>
                    <w:div w:id="1774353328">
                      <w:marLeft w:val="0"/>
                      <w:marRight w:val="0"/>
                      <w:marTop w:val="0"/>
                      <w:marBottom w:val="0"/>
                      <w:divBdr>
                        <w:top w:val="none" w:sz="0" w:space="0" w:color="auto"/>
                        <w:left w:val="none" w:sz="0" w:space="0" w:color="auto"/>
                        <w:bottom w:val="none" w:sz="0" w:space="0" w:color="auto"/>
                        <w:right w:val="none" w:sz="0" w:space="0" w:color="auto"/>
                      </w:divBdr>
                    </w:div>
                  </w:divsChild>
                </w:div>
                <w:div w:id="1398211483">
                  <w:marLeft w:val="0"/>
                  <w:marRight w:val="0"/>
                  <w:marTop w:val="0"/>
                  <w:marBottom w:val="0"/>
                  <w:divBdr>
                    <w:top w:val="none" w:sz="0" w:space="0" w:color="auto"/>
                    <w:left w:val="none" w:sz="0" w:space="0" w:color="auto"/>
                    <w:bottom w:val="none" w:sz="0" w:space="0" w:color="auto"/>
                    <w:right w:val="none" w:sz="0" w:space="0" w:color="auto"/>
                  </w:divBdr>
                  <w:divsChild>
                    <w:div w:id="1480222849">
                      <w:marLeft w:val="0"/>
                      <w:marRight w:val="0"/>
                      <w:marTop w:val="0"/>
                      <w:marBottom w:val="0"/>
                      <w:divBdr>
                        <w:top w:val="none" w:sz="0" w:space="0" w:color="auto"/>
                        <w:left w:val="none" w:sz="0" w:space="0" w:color="auto"/>
                        <w:bottom w:val="none" w:sz="0" w:space="0" w:color="auto"/>
                        <w:right w:val="none" w:sz="0" w:space="0" w:color="auto"/>
                      </w:divBdr>
                    </w:div>
                  </w:divsChild>
                </w:div>
                <w:div w:id="1400519322">
                  <w:marLeft w:val="0"/>
                  <w:marRight w:val="0"/>
                  <w:marTop w:val="0"/>
                  <w:marBottom w:val="0"/>
                  <w:divBdr>
                    <w:top w:val="none" w:sz="0" w:space="0" w:color="auto"/>
                    <w:left w:val="none" w:sz="0" w:space="0" w:color="auto"/>
                    <w:bottom w:val="none" w:sz="0" w:space="0" w:color="auto"/>
                    <w:right w:val="none" w:sz="0" w:space="0" w:color="auto"/>
                  </w:divBdr>
                  <w:divsChild>
                    <w:div w:id="191310883">
                      <w:marLeft w:val="0"/>
                      <w:marRight w:val="0"/>
                      <w:marTop w:val="0"/>
                      <w:marBottom w:val="0"/>
                      <w:divBdr>
                        <w:top w:val="none" w:sz="0" w:space="0" w:color="auto"/>
                        <w:left w:val="none" w:sz="0" w:space="0" w:color="auto"/>
                        <w:bottom w:val="none" w:sz="0" w:space="0" w:color="auto"/>
                        <w:right w:val="none" w:sz="0" w:space="0" w:color="auto"/>
                      </w:divBdr>
                    </w:div>
                  </w:divsChild>
                </w:div>
                <w:div w:id="1424302578">
                  <w:marLeft w:val="0"/>
                  <w:marRight w:val="0"/>
                  <w:marTop w:val="0"/>
                  <w:marBottom w:val="0"/>
                  <w:divBdr>
                    <w:top w:val="none" w:sz="0" w:space="0" w:color="auto"/>
                    <w:left w:val="none" w:sz="0" w:space="0" w:color="auto"/>
                    <w:bottom w:val="none" w:sz="0" w:space="0" w:color="auto"/>
                    <w:right w:val="none" w:sz="0" w:space="0" w:color="auto"/>
                  </w:divBdr>
                  <w:divsChild>
                    <w:div w:id="504133072">
                      <w:marLeft w:val="0"/>
                      <w:marRight w:val="0"/>
                      <w:marTop w:val="0"/>
                      <w:marBottom w:val="0"/>
                      <w:divBdr>
                        <w:top w:val="none" w:sz="0" w:space="0" w:color="auto"/>
                        <w:left w:val="none" w:sz="0" w:space="0" w:color="auto"/>
                        <w:bottom w:val="none" w:sz="0" w:space="0" w:color="auto"/>
                        <w:right w:val="none" w:sz="0" w:space="0" w:color="auto"/>
                      </w:divBdr>
                    </w:div>
                  </w:divsChild>
                </w:div>
                <w:div w:id="1425884310">
                  <w:marLeft w:val="0"/>
                  <w:marRight w:val="0"/>
                  <w:marTop w:val="0"/>
                  <w:marBottom w:val="0"/>
                  <w:divBdr>
                    <w:top w:val="none" w:sz="0" w:space="0" w:color="auto"/>
                    <w:left w:val="none" w:sz="0" w:space="0" w:color="auto"/>
                    <w:bottom w:val="none" w:sz="0" w:space="0" w:color="auto"/>
                    <w:right w:val="none" w:sz="0" w:space="0" w:color="auto"/>
                  </w:divBdr>
                  <w:divsChild>
                    <w:div w:id="955218147">
                      <w:marLeft w:val="0"/>
                      <w:marRight w:val="0"/>
                      <w:marTop w:val="0"/>
                      <w:marBottom w:val="0"/>
                      <w:divBdr>
                        <w:top w:val="none" w:sz="0" w:space="0" w:color="auto"/>
                        <w:left w:val="none" w:sz="0" w:space="0" w:color="auto"/>
                        <w:bottom w:val="none" w:sz="0" w:space="0" w:color="auto"/>
                        <w:right w:val="none" w:sz="0" w:space="0" w:color="auto"/>
                      </w:divBdr>
                    </w:div>
                  </w:divsChild>
                </w:div>
                <w:div w:id="1446847770">
                  <w:marLeft w:val="0"/>
                  <w:marRight w:val="0"/>
                  <w:marTop w:val="0"/>
                  <w:marBottom w:val="0"/>
                  <w:divBdr>
                    <w:top w:val="none" w:sz="0" w:space="0" w:color="auto"/>
                    <w:left w:val="none" w:sz="0" w:space="0" w:color="auto"/>
                    <w:bottom w:val="none" w:sz="0" w:space="0" w:color="auto"/>
                    <w:right w:val="none" w:sz="0" w:space="0" w:color="auto"/>
                  </w:divBdr>
                  <w:divsChild>
                    <w:div w:id="316039764">
                      <w:marLeft w:val="0"/>
                      <w:marRight w:val="0"/>
                      <w:marTop w:val="0"/>
                      <w:marBottom w:val="0"/>
                      <w:divBdr>
                        <w:top w:val="none" w:sz="0" w:space="0" w:color="auto"/>
                        <w:left w:val="none" w:sz="0" w:space="0" w:color="auto"/>
                        <w:bottom w:val="none" w:sz="0" w:space="0" w:color="auto"/>
                        <w:right w:val="none" w:sz="0" w:space="0" w:color="auto"/>
                      </w:divBdr>
                    </w:div>
                  </w:divsChild>
                </w:div>
                <w:div w:id="1610359513">
                  <w:marLeft w:val="0"/>
                  <w:marRight w:val="0"/>
                  <w:marTop w:val="0"/>
                  <w:marBottom w:val="0"/>
                  <w:divBdr>
                    <w:top w:val="none" w:sz="0" w:space="0" w:color="auto"/>
                    <w:left w:val="none" w:sz="0" w:space="0" w:color="auto"/>
                    <w:bottom w:val="none" w:sz="0" w:space="0" w:color="auto"/>
                    <w:right w:val="none" w:sz="0" w:space="0" w:color="auto"/>
                  </w:divBdr>
                  <w:divsChild>
                    <w:div w:id="822048212">
                      <w:marLeft w:val="0"/>
                      <w:marRight w:val="0"/>
                      <w:marTop w:val="0"/>
                      <w:marBottom w:val="0"/>
                      <w:divBdr>
                        <w:top w:val="none" w:sz="0" w:space="0" w:color="auto"/>
                        <w:left w:val="none" w:sz="0" w:space="0" w:color="auto"/>
                        <w:bottom w:val="none" w:sz="0" w:space="0" w:color="auto"/>
                        <w:right w:val="none" w:sz="0" w:space="0" w:color="auto"/>
                      </w:divBdr>
                    </w:div>
                  </w:divsChild>
                </w:div>
                <w:div w:id="1830904160">
                  <w:marLeft w:val="0"/>
                  <w:marRight w:val="0"/>
                  <w:marTop w:val="0"/>
                  <w:marBottom w:val="0"/>
                  <w:divBdr>
                    <w:top w:val="none" w:sz="0" w:space="0" w:color="auto"/>
                    <w:left w:val="none" w:sz="0" w:space="0" w:color="auto"/>
                    <w:bottom w:val="none" w:sz="0" w:space="0" w:color="auto"/>
                    <w:right w:val="none" w:sz="0" w:space="0" w:color="auto"/>
                  </w:divBdr>
                  <w:divsChild>
                    <w:div w:id="818764429">
                      <w:marLeft w:val="0"/>
                      <w:marRight w:val="0"/>
                      <w:marTop w:val="0"/>
                      <w:marBottom w:val="0"/>
                      <w:divBdr>
                        <w:top w:val="none" w:sz="0" w:space="0" w:color="auto"/>
                        <w:left w:val="none" w:sz="0" w:space="0" w:color="auto"/>
                        <w:bottom w:val="none" w:sz="0" w:space="0" w:color="auto"/>
                        <w:right w:val="none" w:sz="0" w:space="0" w:color="auto"/>
                      </w:divBdr>
                    </w:div>
                  </w:divsChild>
                </w:div>
                <w:div w:id="1866365605">
                  <w:marLeft w:val="0"/>
                  <w:marRight w:val="0"/>
                  <w:marTop w:val="0"/>
                  <w:marBottom w:val="0"/>
                  <w:divBdr>
                    <w:top w:val="none" w:sz="0" w:space="0" w:color="auto"/>
                    <w:left w:val="none" w:sz="0" w:space="0" w:color="auto"/>
                    <w:bottom w:val="none" w:sz="0" w:space="0" w:color="auto"/>
                    <w:right w:val="none" w:sz="0" w:space="0" w:color="auto"/>
                  </w:divBdr>
                  <w:divsChild>
                    <w:div w:id="777482684">
                      <w:marLeft w:val="0"/>
                      <w:marRight w:val="0"/>
                      <w:marTop w:val="0"/>
                      <w:marBottom w:val="0"/>
                      <w:divBdr>
                        <w:top w:val="none" w:sz="0" w:space="0" w:color="auto"/>
                        <w:left w:val="none" w:sz="0" w:space="0" w:color="auto"/>
                        <w:bottom w:val="none" w:sz="0" w:space="0" w:color="auto"/>
                        <w:right w:val="none" w:sz="0" w:space="0" w:color="auto"/>
                      </w:divBdr>
                    </w:div>
                  </w:divsChild>
                </w:div>
                <w:div w:id="1973904656">
                  <w:marLeft w:val="0"/>
                  <w:marRight w:val="0"/>
                  <w:marTop w:val="0"/>
                  <w:marBottom w:val="0"/>
                  <w:divBdr>
                    <w:top w:val="none" w:sz="0" w:space="0" w:color="auto"/>
                    <w:left w:val="none" w:sz="0" w:space="0" w:color="auto"/>
                    <w:bottom w:val="none" w:sz="0" w:space="0" w:color="auto"/>
                    <w:right w:val="none" w:sz="0" w:space="0" w:color="auto"/>
                  </w:divBdr>
                  <w:divsChild>
                    <w:div w:id="95754201">
                      <w:marLeft w:val="0"/>
                      <w:marRight w:val="0"/>
                      <w:marTop w:val="0"/>
                      <w:marBottom w:val="0"/>
                      <w:divBdr>
                        <w:top w:val="none" w:sz="0" w:space="0" w:color="auto"/>
                        <w:left w:val="none" w:sz="0" w:space="0" w:color="auto"/>
                        <w:bottom w:val="none" w:sz="0" w:space="0" w:color="auto"/>
                        <w:right w:val="none" w:sz="0" w:space="0" w:color="auto"/>
                      </w:divBdr>
                    </w:div>
                  </w:divsChild>
                </w:div>
                <w:div w:id="1988627680">
                  <w:marLeft w:val="0"/>
                  <w:marRight w:val="0"/>
                  <w:marTop w:val="0"/>
                  <w:marBottom w:val="0"/>
                  <w:divBdr>
                    <w:top w:val="none" w:sz="0" w:space="0" w:color="auto"/>
                    <w:left w:val="none" w:sz="0" w:space="0" w:color="auto"/>
                    <w:bottom w:val="none" w:sz="0" w:space="0" w:color="auto"/>
                    <w:right w:val="none" w:sz="0" w:space="0" w:color="auto"/>
                  </w:divBdr>
                  <w:divsChild>
                    <w:div w:id="104429419">
                      <w:marLeft w:val="0"/>
                      <w:marRight w:val="0"/>
                      <w:marTop w:val="0"/>
                      <w:marBottom w:val="0"/>
                      <w:divBdr>
                        <w:top w:val="none" w:sz="0" w:space="0" w:color="auto"/>
                        <w:left w:val="none" w:sz="0" w:space="0" w:color="auto"/>
                        <w:bottom w:val="none" w:sz="0" w:space="0" w:color="auto"/>
                        <w:right w:val="none" w:sz="0" w:space="0" w:color="auto"/>
                      </w:divBdr>
                    </w:div>
                  </w:divsChild>
                </w:div>
                <w:div w:id="2110466359">
                  <w:marLeft w:val="0"/>
                  <w:marRight w:val="0"/>
                  <w:marTop w:val="0"/>
                  <w:marBottom w:val="0"/>
                  <w:divBdr>
                    <w:top w:val="none" w:sz="0" w:space="0" w:color="auto"/>
                    <w:left w:val="none" w:sz="0" w:space="0" w:color="auto"/>
                    <w:bottom w:val="none" w:sz="0" w:space="0" w:color="auto"/>
                    <w:right w:val="none" w:sz="0" w:space="0" w:color="auto"/>
                  </w:divBdr>
                  <w:divsChild>
                    <w:div w:id="17595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513111">
          <w:marLeft w:val="0"/>
          <w:marRight w:val="0"/>
          <w:marTop w:val="0"/>
          <w:marBottom w:val="0"/>
          <w:divBdr>
            <w:top w:val="none" w:sz="0" w:space="0" w:color="auto"/>
            <w:left w:val="none" w:sz="0" w:space="0" w:color="auto"/>
            <w:bottom w:val="none" w:sz="0" w:space="0" w:color="auto"/>
            <w:right w:val="none" w:sz="0" w:space="0" w:color="auto"/>
          </w:divBdr>
          <w:divsChild>
            <w:div w:id="130681182">
              <w:marLeft w:val="0"/>
              <w:marRight w:val="0"/>
              <w:marTop w:val="0"/>
              <w:marBottom w:val="0"/>
              <w:divBdr>
                <w:top w:val="none" w:sz="0" w:space="0" w:color="auto"/>
                <w:left w:val="none" w:sz="0" w:space="0" w:color="auto"/>
                <w:bottom w:val="none" w:sz="0" w:space="0" w:color="auto"/>
                <w:right w:val="none" w:sz="0" w:space="0" w:color="auto"/>
              </w:divBdr>
            </w:div>
            <w:div w:id="474638210">
              <w:marLeft w:val="0"/>
              <w:marRight w:val="0"/>
              <w:marTop w:val="0"/>
              <w:marBottom w:val="0"/>
              <w:divBdr>
                <w:top w:val="none" w:sz="0" w:space="0" w:color="auto"/>
                <w:left w:val="none" w:sz="0" w:space="0" w:color="auto"/>
                <w:bottom w:val="none" w:sz="0" w:space="0" w:color="auto"/>
                <w:right w:val="none" w:sz="0" w:space="0" w:color="auto"/>
              </w:divBdr>
            </w:div>
            <w:div w:id="552928174">
              <w:marLeft w:val="0"/>
              <w:marRight w:val="0"/>
              <w:marTop w:val="0"/>
              <w:marBottom w:val="0"/>
              <w:divBdr>
                <w:top w:val="none" w:sz="0" w:space="0" w:color="auto"/>
                <w:left w:val="none" w:sz="0" w:space="0" w:color="auto"/>
                <w:bottom w:val="none" w:sz="0" w:space="0" w:color="auto"/>
                <w:right w:val="none" w:sz="0" w:space="0" w:color="auto"/>
              </w:divBdr>
            </w:div>
            <w:div w:id="719792707">
              <w:marLeft w:val="0"/>
              <w:marRight w:val="0"/>
              <w:marTop w:val="0"/>
              <w:marBottom w:val="0"/>
              <w:divBdr>
                <w:top w:val="none" w:sz="0" w:space="0" w:color="auto"/>
                <w:left w:val="none" w:sz="0" w:space="0" w:color="auto"/>
                <w:bottom w:val="none" w:sz="0" w:space="0" w:color="auto"/>
                <w:right w:val="none" w:sz="0" w:space="0" w:color="auto"/>
              </w:divBdr>
            </w:div>
            <w:div w:id="724838275">
              <w:marLeft w:val="0"/>
              <w:marRight w:val="0"/>
              <w:marTop w:val="0"/>
              <w:marBottom w:val="0"/>
              <w:divBdr>
                <w:top w:val="none" w:sz="0" w:space="0" w:color="auto"/>
                <w:left w:val="none" w:sz="0" w:space="0" w:color="auto"/>
                <w:bottom w:val="none" w:sz="0" w:space="0" w:color="auto"/>
                <w:right w:val="none" w:sz="0" w:space="0" w:color="auto"/>
              </w:divBdr>
            </w:div>
            <w:div w:id="751239472">
              <w:marLeft w:val="0"/>
              <w:marRight w:val="0"/>
              <w:marTop w:val="0"/>
              <w:marBottom w:val="0"/>
              <w:divBdr>
                <w:top w:val="none" w:sz="0" w:space="0" w:color="auto"/>
                <w:left w:val="none" w:sz="0" w:space="0" w:color="auto"/>
                <w:bottom w:val="none" w:sz="0" w:space="0" w:color="auto"/>
                <w:right w:val="none" w:sz="0" w:space="0" w:color="auto"/>
              </w:divBdr>
            </w:div>
            <w:div w:id="1335646599">
              <w:marLeft w:val="0"/>
              <w:marRight w:val="0"/>
              <w:marTop w:val="0"/>
              <w:marBottom w:val="0"/>
              <w:divBdr>
                <w:top w:val="none" w:sz="0" w:space="0" w:color="auto"/>
                <w:left w:val="none" w:sz="0" w:space="0" w:color="auto"/>
                <w:bottom w:val="none" w:sz="0" w:space="0" w:color="auto"/>
                <w:right w:val="none" w:sz="0" w:space="0" w:color="auto"/>
              </w:divBdr>
            </w:div>
            <w:div w:id="1574659878">
              <w:marLeft w:val="0"/>
              <w:marRight w:val="0"/>
              <w:marTop w:val="0"/>
              <w:marBottom w:val="0"/>
              <w:divBdr>
                <w:top w:val="none" w:sz="0" w:space="0" w:color="auto"/>
                <w:left w:val="none" w:sz="0" w:space="0" w:color="auto"/>
                <w:bottom w:val="none" w:sz="0" w:space="0" w:color="auto"/>
                <w:right w:val="none" w:sz="0" w:space="0" w:color="auto"/>
              </w:divBdr>
            </w:div>
            <w:div w:id="1597399121">
              <w:marLeft w:val="0"/>
              <w:marRight w:val="0"/>
              <w:marTop w:val="0"/>
              <w:marBottom w:val="0"/>
              <w:divBdr>
                <w:top w:val="none" w:sz="0" w:space="0" w:color="auto"/>
                <w:left w:val="none" w:sz="0" w:space="0" w:color="auto"/>
                <w:bottom w:val="none" w:sz="0" w:space="0" w:color="auto"/>
                <w:right w:val="none" w:sz="0" w:space="0" w:color="auto"/>
              </w:divBdr>
            </w:div>
            <w:div w:id="1706589920">
              <w:marLeft w:val="0"/>
              <w:marRight w:val="0"/>
              <w:marTop w:val="0"/>
              <w:marBottom w:val="0"/>
              <w:divBdr>
                <w:top w:val="none" w:sz="0" w:space="0" w:color="auto"/>
                <w:left w:val="none" w:sz="0" w:space="0" w:color="auto"/>
                <w:bottom w:val="none" w:sz="0" w:space="0" w:color="auto"/>
                <w:right w:val="none" w:sz="0" w:space="0" w:color="auto"/>
              </w:divBdr>
            </w:div>
            <w:div w:id="1975136390">
              <w:marLeft w:val="0"/>
              <w:marRight w:val="0"/>
              <w:marTop w:val="0"/>
              <w:marBottom w:val="0"/>
              <w:divBdr>
                <w:top w:val="none" w:sz="0" w:space="0" w:color="auto"/>
                <w:left w:val="none" w:sz="0" w:space="0" w:color="auto"/>
                <w:bottom w:val="none" w:sz="0" w:space="0" w:color="auto"/>
                <w:right w:val="none" w:sz="0" w:space="0" w:color="auto"/>
              </w:divBdr>
            </w:div>
            <w:div w:id="2128424064">
              <w:marLeft w:val="0"/>
              <w:marRight w:val="0"/>
              <w:marTop w:val="0"/>
              <w:marBottom w:val="0"/>
              <w:divBdr>
                <w:top w:val="none" w:sz="0" w:space="0" w:color="auto"/>
                <w:left w:val="none" w:sz="0" w:space="0" w:color="auto"/>
                <w:bottom w:val="none" w:sz="0" w:space="0" w:color="auto"/>
                <w:right w:val="none" w:sz="0" w:space="0" w:color="auto"/>
              </w:divBdr>
            </w:div>
          </w:divsChild>
        </w:div>
        <w:div w:id="934940295">
          <w:marLeft w:val="0"/>
          <w:marRight w:val="0"/>
          <w:marTop w:val="0"/>
          <w:marBottom w:val="0"/>
          <w:divBdr>
            <w:top w:val="none" w:sz="0" w:space="0" w:color="auto"/>
            <w:left w:val="none" w:sz="0" w:space="0" w:color="auto"/>
            <w:bottom w:val="none" w:sz="0" w:space="0" w:color="auto"/>
            <w:right w:val="none" w:sz="0" w:space="0" w:color="auto"/>
          </w:divBdr>
        </w:div>
        <w:div w:id="953052206">
          <w:marLeft w:val="0"/>
          <w:marRight w:val="0"/>
          <w:marTop w:val="0"/>
          <w:marBottom w:val="0"/>
          <w:divBdr>
            <w:top w:val="none" w:sz="0" w:space="0" w:color="auto"/>
            <w:left w:val="none" w:sz="0" w:space="0" w:color="auto"/>
            <w:bottom w:val="none" w:sz="0" w:space="0" w:color="auto"/>
            <w:right w:val="none" w:sz="0" w:space="0" w:color="auto"/>
          </w:divBdr>
        </w:div>
        <w:div w:id="965231435">
          <w:marLeft w:val="0"/>
          <w:marRight w:val="0"/>
          <w:marTop w:val="0"/>
          <w:marBottom w:val="0"/>
          <w:divBdr>
            <w:top w:val="none" w:sz="0" w:space="0" w:color="auto"/>
            <w:left w:val="none" w:sz="0" w:space="0" w:color="auto"/>
            <w:bottom w:val="none" w:sz="0" w:space="0" w:color="auto"/>
            <w:right w:val="none" w:sz="0" w:space="0" w:color="auto"/>
          </w:divBdr>
          <w:divsChild>
            <w:div w:id="43406370">
              <w:marLeft w:val="0"/>
              <w:marRight w:val="0"/>
              <w:marTop w:val="0"/>
              <w:marBottom w:val="0"/>
              <w:divBdr>
                <w:top w:val="none" w:sz="0" w:space="0" w:color="auto"/>
                <w:left w:val="none" w:sz="0" w:space="0" w:color="auto"/>
                <w:bottom w:val="none" w:sz="0" w:space="0" w:color="auto"/>
                <w:right w:val="none" w:sz="0" w:space="0" w:color="auto"/>
              </w:divBdr>
            </w:div>
            <w:div w:id="98184503">
              <w:marLeft w:val="0"/>
              <w:marRight w:val="0"/>
              <w:marTop w:val="0"/>
              <w:marBottom w:val="0"/>
              <w:divBdr>
                <w:top w:val="none" w:sz="0" w:space="0" w:color="auto"/>
                <w:left w:val="none" w:sz="0" w:space="0" w:color="auto"/>
                <w:bottom w:val="none" w:sz="0" w:space="0" w:color="auto"/>
                <w:right w:val="none" w:sz="0" w:space="0" w:color="auto"/>
              </w:divBdr>
            </w:div>
            <w:div w:id="330301704">
              <w:marLeft w:val="0"/>
              <w:marRight w:val="0"/>
              <w:marTop w:val="0"/>
              <w:marBottom w:val="0"/>
              <w:divBdr>
                <w:top w:val="none" w:sz="0" w:space="0" w:color="auto"/>
                <w:left w:val="none" w:sz="0" w:space="0" w:color="auto"/>
                <w:bottom w:val="none" w:sz="0" w:space="0" w:color="auto"/>
                <w:right w:val="none" w:sz="0" w:space="0" w:color="auto"/>
              </w:divBdr>
            </w:div>
            <w:div w:id="772750137">
              <w:marLeft w:val="0"/>
              <w:marRight w:val="0"/>
              <w:marTop w:val="0"/>
              <w:marBottom w:val="0"/>
              <w:divBdr>
                <w:top w:val="none" w:sz="0" w:space="0" w:color="auto"/>
                <w:left w:val="none" w:sz="0" w:space="0" w:color="auto"/>
                <w:bottom w:val="none" w:sz="0" w:space="0" w:color="auto"/>
                <w:right w:val="none" w:sz="0" w:space="0" w:color="auto"/>
              </w:divBdr>
            </w:div>
            <w:div w:id="934360006">
              <w:marLeft w:val="0"/>
              <w:marRight w:val="0"/>
              <w:marTop w:val="0"/>
              <w:marBottom w:val="0"/>
              <w:divBdr>
                <w:top w:val="none" w:sz="0" w:space="0" w:color="auto"/>
                <w:left w:val="none" w:sz="0" w:space="0" w:color="auto"/>
                <w:bottom w:val="none" w:sz="0" w:space="0" w:color="auto"/>
                <w:right w:val="none" w:sz="0" w:space="0" w:color="auto"/>
              </w:divBdr>
            </w:div>
            <w:div w:id="1874075453">
              <w:marLeft w:val="0"/>
              <w:marRight w:val="0"/>
              <w:marTop w:val="0"/>
              <w:marBottom w:val="0"/>
              <w:divBdr>
                <w:top w:val="none" w:sz="0" w:space="0" w:color="auto"/>
                <w:left w:val="none" w:sz="0" w:space="0" w:color="auto"/>
                <w:bottom w:val="none" w:sz="0" w:space="0" w:color="auto"/>
                <w:right w:val="none" w:sz="0" w:space="0" w:color="auto"/>
              </w:divBdr>
            </w:div>
            <w:div w:id="1916668208">
              <w:marLeft w:val="0"/>
              <w:marRight w:val="0"/>
              <w:marTop w:val="0"/>
              <w:marBottom w:val="0"/>
              <w:divBdr>
                <w:top w:val="none" w:sz="0" w:space="0" w:color="auto"/>
                <w:left w:val="none" w:sz="0" w:space="0" w:color="auto"/>
                <w:bottom w:val="none" w:sz="0" w:space="0" w:color="auto"/>
                <w:right w:val="none" w:sz="0" w:space="0" w:color="auto"/>
              </w:divBdr>
            </w:div>
            <w:div w:id="1968854309">
              <w:marLeft w:val="0"/>
              <w:marRight w:val="0"/>
              <w:marTop w:val="0"/>
              <w:marBottom w:val="0"/>
              <w:divBdr>
                <w:top w:val="none" w:sz="0" w:space="0" w:color="auto"/>
                <w:left w:val="none" w:sz="0" w:space="0" w:color="auto"/>
                <w:bottom w:val="none" w:sz="0" w:space="0" w:color="auto"/>
                <w:right w:val="none" w:sz="0" w:space="0" w:color="auto"/>
              </w:divBdr>
            </w:div>
          </w:divsChild>
        </w:div>
        <w:div w:id="973292129">
          <w:marLeft w:val="0"/>
          <w:marRight w:val="0"/>
          <w:marTop w:val="0"/>
          <w:marBottom w:val="0"/>
          <w:divBdr>
            <w:top w:val="none" w:sz="0" w:space="0" w:color="auto"/>
            <w:left w:val="none" w:sz="0" w:space="0" w:color="auto"/>
            <w:bottom w:val="none" w:sz="0" w:space="0" w:color="auto"/>
            <w:right w:val="none" w:sz="0" w:space="0" w:color="auto"/>
          </w:divBdr>
        </w:div>
        <w:div w:id="973752911">
          <w:marLeft w:val="0"/>
          <w:marRight w:val="0"/>
          <w:marTop w:val="0"/>
          <w:marBottom w:val="0"/>
          <w:divBdr>
            <w:top w:val="none" w:sz="0" w:space="0" w:color="auto"/>
            <w:left w:val="none" w:sz="0" w:space="0" w:color="auto"/>
            <w:bottom w:val="none" w:sz="0" w:space="0" w:color="auto"/>
            <w:right w:val="none" w:sz="0" w:space="0" w:color="auto"/>
          </w:divBdr>
        </w:div>
        <w:div w:id="980578516">
          <w:marLeft w:val="0"/>
          <w:marRight w:val="0"/>
          <w:marTop w:val="0"/>
          <w:marBottom w:val="0"/>
          <w:divBdr>
            <w:top w:val="none" w:sz="0" w:space="0" w:color="auto"/>
            <w:left w:val="none" w:sz="0" w:space="0" w:color="auto"/>
            <w:bottom w:val="none" w:sz="0" w:space="0" w:color="auto"/>
            <w:right w:val="none" w:sz="0" w:space="0" w:color="auto"/>
          </w:divBdr>
        </w:div>
        <w:div w:id="983318291">
          <w:marLeft w:val="0"/>
          <w:marRight w:val="0"/>
          <w:marTop w:val="0"/>
          <w:marBottom w:val="0"/>
          <w:divBdr>
            <w:top w:val="none" w:sz="0" w:space="0" w:color="auto"/>
            <w:left w:val="none" w:sz="0" w:space="0" w:color="auto"/>
            <w:bottom w:val="none" w:sz="0" w:space="0" w:color="auto"/>
            <w:right w:val="none" w:sz="0" w:space="0" w:color="auto"/>
          </w:divBdr>
          <w:divsChild>
            <w:div w:id="583224677">
              <w:marLeft w:val="0"/>
              <w:marRight w:val="0"/>
              <w:marTop w:val="0"/>
              <w:marBottom w:val="0"/>
              <w:divBdr>
                <w:top w:val="none" w:sz="0" w:space="0" w:color="auto"/>
                <w:left w:val="none" w:sz="0" w:space="0" w:color="auto"/>
                <w:bottom w:val="none" w:sz="0" w:space="0" w:color="auto"/>
                <w:right w:val="none" w:sz="0" w:space="0" w:color="auto"/>
              </w:divBdr>
            </w:div>
            <w:div w:id="674916655">
              <w:marLeft w:val="0"/>
              <w:marRight w:val="0"/>
              <w:marTop w:val="0"/>
              <w:marBottom w:val="0"/>
              <w:divBdr>
                <w:top w:val="none" w:sz="0" w:space="0" w:color="auto"/>
                <w:left w:val="none" w:sz="0" w:space="0" w:color="auto"/>
                <w:bottom w:val="none" w:sz="0" w:space="0" w:color="auto"/>
                <w:right w:val="none" w:sz="0" w:space="0" w:color="auto"/>
              </w:divBdr>
            </w:div>
            <w:div w:id="1333141173">
              <w:marLeft w:val="0"/>
              <w:marRight w:val="0"/>
              <w:marTop w:val="0"/>
              <w:marBottom w:val="0"/>
              <w:divBdr>
                <w:top w:val="none" w:sz="0" w:space="0" w:color="auto"/>
                <w:left w:val="none" w:sz="0" w:space="0" w:color="auto"/>
                <w:bottom w:val="none" w:sz="0" w:space="0" w:color="auto"/>
                <w:right w:val="none" w:sz="0" w:space="0" w:color="auto"/>
              </w:divBdr>
            </w:div>
            <w:div w:id="1546982946">
              <w:marLeft w:val="0"/>
              <w:marRight w:val="0"/>
              <w:marTop w:val="0"/>
              <w:marBottom w:val="0"/>
              <w:divBdr>
                <w:top w:val="none" w:sz="0" w:space="0" w:color="auto"/>
                <w:left w:val="none" w:sz="0" w:space="0" w:color="auto"/>
                <w:bottom w:val="none" w:sz="0" w:space="0" w:color="auto"/>
                <w:right w:val="none" w:sz="0" w:space="0" w:color="auto"/>
              </w:divBdr>
            </w:div>
          </w:divsChild>
        </w:div>
        <w:div w:id="1024787611">
          <w:marLeft w:val="0"/>
          <w:marRight w:val="0"/>
          <w:marTop w:val="0"/>
          <w:marBottom w:val="0"/>
          <w:divBdr>
            <w:top w:val="none" w:sz="0" w:space="0" w:color="auto"/>
            <w:left w:val="none" w:sz="0" w:space="0" w:color="auto"/>
            <w:bottom w:val="none" w:sz="0" w:space="0" w:color="auto"/>
            <w:right w:val="none" w:sz="0" w:space="0" w:color="auto"/>
          </w:divBdr>
        </w:div>
        <w:div w:id="1025786371">
          <w:marLeft w:val="0"/>
          <w:marRight w:val="0"/>
          <w:marTop w:val="0"/>
          <w:marBottom w:val="0"/>
          <w:divBdr>
            <w:top w:val="none" w:sz="0" w:space="0" w:color="auto"/>
            <w:left w:val="none" w:sz="0" w:space="0" w:color="auto"/>
            <w:bottom w:val="none" w:sz="0" w:space="0" w:color="auto"/>
            <w:right w:val="none" w:sz="0" w:space="0" w:color="auto"/>
          </w:divBdr>
          <w:divsChild>
            <w:div w:id="187110412">
              <w:marLeft w:val="0"/>
              <w:marRight w:val="0"/>
              <w:marTop w:val="0"/>
              <w:marBottom w:val="0"/>
              <w:divBdr>
                <w:top w:val="none" w:sz="0" w:space="0" w:color="auto"/>
                <w:left w:val="none" w:sz="0" w:space="0" w:color="auto"/>
                <w:bottom w:val="none" w:sz="0" w:space="0" w:color="auto"/>
                <w:right w:val="none" w:sz="0" w:space="0" w:color="auto"/>
              </w:divBdr>
            </w:div>
            <w:div w:id="415053409">
              <w:marLeft w:val="0"/>
              <w:marRight w:val="0"/>
              <w:marTop w:val="0"/>
              <w:marBottom w:val="0"/>
              <w:divBdr>
                <w:top w:val="none" w:sz="0" w:space="0" w:color="auto"/>
                <w:left w:val="none" w:sz="0" w:space="0" w:color="auto"/>
                <w:bottom w:val="none" w:sz="0" w:space="0" w:color="auto"/>
                <w:right w:val="none" w:sz="0" w:space="0" w:color="auto"/>
              </w:divBdr>
            </w:div>
            <w:div w:id="478888426">
              <w:marLeft w:val="0"/>
              <w:marRight w:val="0"/>
              <w:marTop w:val="0"/>
              <w:marBottom w:val="0"/>
              <w:divBdr>
                <w:top w:val="none" w:sz="0" w:space="0" w:color="auto"/>
                <w:left w:val="none" w:sz="0" w:space="0" w:color="auto"/>
                <w:bottom w:val="none" w:sz="0" w:space="0" w:color="auto"/>
                <w:right w:val="none" w:sz="0" w:space="0" w:color="auto"/>
              </w:divBdr>
            </w:div>
            <w:div w:id="503666617">
              <w:marLeft w:val="0"/>
              <w:marRight w:val="0"/>
              <w:marTop w:val="0"/>
              <w:marBottom w:val="0"/>
              <w:divBdr>
                <w:top w:val="none" w:sz="0" w:space="0" w:color="auto"/>
                <w:left w:val="none" w:sz="0" w:space="0" w:color="auto"/>
                <w:bottom w:val="none" w:sz="0" w:space="0" w:color="auto"/>
                <w:right w:val="none" w:sz="0" w:space="0" w:color="auto"/>
              </w:divBdr>
            </w:div>
            <w:div w:id="869337347">
              <w:marLeft w:val="0"/>
              <w:marRight w:val="0"/>
              <w:marTop w:val="0"/>
              <w:marBottom w:val="0"/>
              <w:divBdr>
                <w:top w:val="none" w:sz="0" w:space="0" w:color="auto"/>
                <w:left w:val="none" w:sz="0" w:space="0" w:color="auto"/>
                <w:bottom w:val="none" w:sz="0" w:space="0" w:color="auto"/>
                <w:right w:val="none" w:sz="0" w:space="0" w:color="auto"/>
              </w:divBdr>
            </w:div>
            <w:div w:id="879703325">
              <w:marLeft w:val="0"/>
              <w:marRight w:val="0"/>
              <w:marTop w:val="0"/>
              <w:marBottom w:val="0"/>
              <w:divBdr>
                <w:top w:val="none" w:sz="0" w:space="0" w:color="auto"/>
                <w:left w:val="none" w:sz="0" w:space="0" w:color="auto"/>
                <w:bottom w:val="none" w:sz="0" w:space="0" w:color="auto"/>
                <w:right w:val="none" w:sz="0" w:space="0" w:color="auto"/>
              </w:divBdr>
            </w:div>
            <w:div w:id="887764696">
              <w:marLeft w:val="0"/>
              <w:marRight w:val="0"/>
              <w:marTop w:val="0"/>
              <w:marBottom w:val="0"/>
              <w:divBdr>
                <w:top w:val="none" w:sz="0" w:space="0" w:color="auto"/>
                <w:left w:val="none" w:sz="0" w:space="0" w:color="auto"/>
                <w:bottom w:val="none" w:sz="0" w:space="0" w:color="auto"/>
                <w:right w:val="none" w:sz="0" w:space="0" w:color="auto"/>
              </w:divBdr>
            </w:div>
            <w:div w:id="1044914817">
              <w:marLeft w:val="0"/>
              <w:marRight w:val="0"/>
              <w:marTop w:val="0"/>
              <w:marBottom w:val="0"/>
              <w:divBdr>
                <w:top w:val="none" w:sz="0" w:space="0" w:color="auto"/>
                <w:left w:val="none" w:sz="0" w:space="0" w:color="auto"/>
                <w:bottom w:val="none" w:sz="0" w:space="0" w:color="auto"/>
                <w:right w:val="none" w:sz="0" w:space="0" w:color="auto"/>
              </w:divBdr>
            </w:div>
            <w:div w:id="1181972672">
              <w:marLeft w:val="0"/>
              <w:marRight w:val="0"/>
              <w:marTop w:val="0"/>
              <w:marBottom w:val="0"/>
              <w:divBdr>
                <w:top w:val="none" w:sz="0" w:space="0" w:color="auto"/>
                <w:left w:val="none" w:sz="0" w:space="0" w:color="auto"/>
                <w:bottom w:val="none" w:sz="0" w:space="0" w:color="auto"/>
                <w:right w:val="none" w:sz="0" w:space="0" w:color="auto"/>
              </w:divBdr>
            </w:div>
            <w:div w:id="1335911336">
              <w:marLeft w:val="0"/>
              <w:marRight w:val="0"/>
              <w:marTop w:val="0"/>
              <w:marBottom w:val="0"/>
              <w:divBdr>
                <w:top w:val="none" w:sz="0" w:space="0" w:color="auto"/>
                <w:left w:val="none" w:sz="0" w:space="0" w:color="auto"/>
                <w:bottom w:val="none" w:sz="0" w:space="0" w:color="auto"/>
                <w:right w:val="none" w:sz="0" w:space="0" w:color="auto"/>
              </w:divBdr>
            </w:div>
            <w:div w:id="1355575487">
              <w:marLeft w:val="0"/>
              <w:marRight w:val="0"/>
              <w:marTop w:val="0"/>
              <w:marBottom w:val="0"/>
              <w:divBdr>
                <w:top w:val="none" w:sz="0" w:space="0" w:color="auto"/>
                <w:left w:val="none" w:sz="0" w:space="0" w:color="auto"/>
                <w:bottom w:val="none" w:sz="0" w:space="0" w:color="auto"/>
                <w:right w:val="none" w:sz="0" w:space="0" w:color="auto"/>
              </w:divBdr>
            </w:div>
            <w:div w:id="1846477627">
              <w:marLeft w:val="0"/>
              <w:marRight w:val="0"/>
              <w:marTop w:val="0"/>
              <w:marBottom w:val="0"/>
              <w:divBdr>
                <w:top w:val="none" w:sz="0" w:space="0" w:color="auto"/>
                <w:left w:val="none" w:sz="0" w:space="0" w:color="auto"/>
                <w:bottom w:val="none" w:sz="0" w:space="0" w:color="auto"/>
                <w:right w:val="none" w:sz="0" w:space="0" w:color="auto"/>
              </w:divBdr>
            </w:div>
            <w:div w:id="1888027032">
              <w:marLeft w:val="0"/>
              <w:marRight w:val="0"/>
              <w:marTop w:val="0"/>
              <w:marBottom w:val="0"/>
              <w:divBdr>
                <w:top w:val="none" w:sz="0" w:space="0" w:color="auto"/>
                <w:left w:val="none" w:sz="0" w:space="0" w:color="auto"/>
                <w:bottom w:val="none" w:sz="0" w:space="0" w:color="auto"/>
                <w:right w:val="none" w:sz="0" w:space="0" w:color="auto"/>
              </w:divBdr>
            </w:div>
            <w:div w:id="2137792658">
              <w:marLeft w:val="0"/>
              <w:marRight w:val="0"/>
              <w:marTop w:val="0"/>
              <w:marBottom w:val="0"/>
              <w:divBdr>
                <w:top w:val="none" w:sz="0" w:space="0" w:color="auto"/>
                <w:left w:val="none" w:sz="0" w:space="0" w:color="auto"/>
                <w:bottom w:val="none" w:sz="0" w:space="0" w:color="auto"/>
                <w:right w:val="none" w:sz="0" w:space="0" w:color="auto"/>
              </w:divBdr>
            </w:div>
          </w:divsChild>
        </w:div>
        <w:div w:id="1027413203">
          <w:marLeft w:val="0"/>
          <w:marRight w:val="0"/>
          <w:marTop w:val="0"/>
          <w:marBottom w:val="0"/>
          <w:divBdr>
            <w:top w:val="none" w:sz="0" w:space="0" w:color="auto"/>
            <w:left w:val="none" w:sz="0" w:space="0" w:color="auto"/>
            <w:bottom w:val="none" w:sz="0" w:space="0" w:color="auto"/>
            <w:right w:val="none" w:sz="0" w:space="0" w:color="auto"/>
          </w:divBdr>
          <w:divsChild>
            <w:div w:id="1539124445">
              <w:marLeft w:val="-75"/>
              <w:marRight w:val="0"/>
              <w:marTop w:val="30"/>
              <w:marBottom w:val="30"/>
              <w:divBdr>
                <w:top w:val="none" w:sz="0" w:space="0" w:color="auto"/>
                <w:left w:val="none" w:sz="0" w:space="0" w:color="auto"/>
                <w:bottom w:val="none" w:sz="0" w:space="0" w:color="auto"/>
                <w:right w:val="none" w:sz="0" w:space="0" w:color="auto"/>
              </w:divBdr>
              <w:divsChild>
                <w:div w:id="26762741">
                  <w:marLeft w:val="0"/>
                  <w:marRight w:val="0"/>
                  <w:marTop w:val="0"/>
                  <w:marBottom w:val="0"/>
                  <w:divBdr>
                    <w:top w:val="none" w:sz="0" w:space="0" w:color="auto"/>
                    <w:left w:val="none" w:sz="0" w:space="0" w:color="auto"/>
                    <w:bottom w:val="none" w:sz="0" w:space="0" w:color="auto"/>
                    <w:right w:val="none" w:sz="0" w:space="0" w:color="auto"/>
                  </w:divBdr>
                  <w:divsChild>
                    <w:div w:id="1850101876">
                      <w:marLeft w:val="0"/>
                      <w:marRight w:val="0"/>
                      <w:marTop w:val="0"/>
                      <w:marBottom w:val="0"/>
                      <w:divBdr>
                        <w:top w:val="none" w:sz="0" w:space="0" w:color="auto"/>
                        <w:left w:val="none" w:sz="0" w:space="0" w:color="auto"/>
                        <w:bottom w:val="none" w:sz="0" w:space="0" w:color="auto"/>
                        <w:right w:val="none" w:sz="0" w:space="0" w:color="auto"/>
                      </w:divBdr>
                    </w:div>
                  </w:divsChild>
                </w:div>
                <w:div w:id="151336741">
                  <w:marLeft w:val="0"/>
                  <w:marRight w:val="0"/>
                  <w:marTop w:val="0"/>
                  <w:marBottom w:val="0"/>
                  <w:divBdr>
                    <w:top w:val="none" w:sz="0" w:space="0" w:color="auto"/>
                    <w:left w:val="none" w:sz="0" w:space="0" w:color="auto"/>
                    <w:bottom w:val="none" w:sz="0" w:space="0" w:color="auto"/>
                    <w:right w:val="none" w:sz="0" w:space="0" w:color="auto"/>
                  </w:divBdr>
                  <w:divsChild>
                    <w:div w:id="871260637">
                      <w:marLeft w:val="0"/>
                      <w:marRight w:val="0"/>
                      <w:marTop w:val="0"/>
                      <w:marBottom w:val="0"/>
                      <w:divBdr>
                        <w:top w:val="none" w:sz="0" w:space="0" w:color="auto"/>
                        <w:left w:val="none" w:sz="0" w:space="0" w:color="auto"/>
                        <w:bottom w:val="none" w:sz="0" w:space="0" w:color="auto"/>
                        <w:right w:val="none" w:sz="0" w:space="0" w:color="auto"/>
                      </w:divBdr>
                    </w:div>
                  </w:divsChild>
                </w:div>
                <w:div w:id="696349972">
                  <w:marLeft w:val="0"/>
                  <w:marRight w:val="0"/>
                  <w:marTop w:val="0"/>
                  <w:marBottom w:val="0"/>
                  <w:divBdr>
                    <w:top w:val="none" w:sz="0" w:space="0" w:color="auto"/>
                    <w:left w:val="none" w:sz="0" w:space="0" w:color="auto"/>
                    <w:bottom w:val="none" w:sz="0" w:space="0" w:color="auto"/>
                    <w:right w:val="none" w:sz="0" w:space="0" w:color="auto"/>
                  </w:divBdr>
                  <w:divsChild>
                    <w:div w:id="1216697771">
                      <w:marLeft w:val="0"/>
                      <w:marRight w:val="0"/>
                      <w:marTop w:val="0"/>
                      <w:marBottom w:val="0"/>
                      <w:divBdr>
                        <w:top w:val="none" w:sz="0" w:space="0" w:color="auto"/>
                        <w:left w:val="none" w:sz="0" w:space="0" w:color="auto"/>
                        <w:bottom w:val="none" w:sz="0" w:space="0" w:color="auto"/>
                        <w:right w:val="none" w:sz="0" w:space="0" w:color="auto"/>
                      </w:divBdr>
                    </w:div>
                  </w:divsChild>
                </w:div>
                <w:div w:id="966010498">
                  <w:marLeft w:val="0"/>
                  <w:marRight w:val="0"/>
                  <w:marTop w:val="0"/>
                  <w:marBottom w:val="0"/>
                  <w:divBdr>
                    <w:top w:val="none" w:sz="0" w:space="0" w:color="auto"/>
                    <w:left w:val="none" w:sz="0" w:space="0" w:color="auto"/>
                    <w:bottom w:val="none" w:sz="0" w:space="0" w:color="auto"/>
                    <w:right w:val="none" w:sz="0" w:space="0" w:color="auto"/>
                  </w:divBdr>
                  <w:divsChild>
                    <w:div w:id="310909401">
                      <w:marLeft w:val="0"/>
                      <w:marRight w:val="0"/>
                      <w:marTop w:val="0"/>
                      <w:marBottom w:val="0"/>
                      <w:divBdr>
                        <w:top w:val="none" w:sz="0" w:space="0" w:color="auto"/>
                        <w:left w:val="none" w:sz="0" w:space="0" w:color="auto"/>
                        <w:bottom w:val="none" w:sz="0" w:space="0" w:color="auto"/>
                        <w:right w:val="none" w:sz="0" w:space="0" w:color="auto"/>
                      </w:divBdr>
                    </w:div>
                  </w:divsChild>
                </w:div>
                <w:div w:id="990988965">
                  <w:marLeft w:val="0"/>
                  <w:marRight w:val="0"/>
                  <w:marTop w:val="0"/>
                  <w:marBottom w:val="0"/>
                  <w:divBdr>
                    <w:top w:val="none" w:sz="0" w:space="0" w:color="auto"/>
                    <w:left w:val="none" w:sz="0" w:space="0" w:color="auto"/>
                    <w:bottom w:val="none" w:sz="0" w:space="0" w:color="auto"/>
                    <w:right w:val="none" w:sz="0" w:space="0" w:color="auto"/>
                  </w:divBdr>
                  <w:divsChild>
                    <w:div w:id="789668972">
                      <w:marLeft w:val="0"/>
                      <w:marRight w:val="0"/>
                      <w:marTop w:val="0"/>
                      <w:marBottom w:val="0"/>
                      <w:divBdr>
                        <w:top w:val="none" w:sz="0" w:space="0" w:color="auto"/>
                        <w:left w:val="none" w:sz="0" w:space="0" w:color="auto"/>
                        <w:bottom w:val="none" w:sz="0" w:space="0" w:color="auto"/>
                        <w:right w:val="none" w:sz="0" w:space="0" w:color="auto"/>
                      </w:divBdr>
                    </w:div>
                  </w:divsChild>
                </w:div>
                <w:div w:id="994454690">
                  <w:marLeft w:val="0"/>
                  <w:marRight w:val="0"/>
                  <w:marTop w:val="0"/>
                  <w:marBottom w:val="0"/>
                  <w:divBdr>
                    <w:top w:val="none" w:sz="0" w:space="0" w:color="auto"/>
                    <w:left w:val="none" w:sz="0" w:space="0" w:color="auto"/>
                    <w:bottom w:val="none" w:sz="0" w:space="0" w:color="auto"/>
                    <w:right w:val="none" w:sz="0" w:space="0" w:color="auto"/>
                  </w:divBdr>
                  <w:divsChild>
                    <w:div w:id="827988225">
                      <w:marLeft w:val="0"/>
                      <w:marRight w:val="0"/>
                      <w:marTop w:val="0"/>
                      <w:marBottom w:val="0"/>
                      <w:divBdr>
                        <w:top w:val="none" w:sz="0" w:space="0" w:color="auto"/>
                        <w:left w:val="none" w:sz="0" w:space="0" w:color="auto"/>
                        <w:bottom w:val="none" w:sz="0" w:space="0" w:color="auto"/>
                        <w:right w:val="none" w:sz="0" w:space="0" w:color="auto"/>
                      </w:divBdr>
                    </w:div>
                  </w:divsChild>
                </w:div>
                <w:div w:id="1148202629">
                  <w:marLeft w:val="0"/>
                  <w:marRight w:val="0"/>
                  <w:marTop w:val="0"/>
                  <w:marBottom w:val="0"/>
                  <w:divBdr>
                    <w:top w:val="none" w:sz="0" w:space="0" w:color="auto"/>
                    <w:left w:val="none" w:sz="0" w:space="0" w:color="auto"/>
                    <w:bottom w:val="none" w:sz="0" w:space="0" w:color="auto"/>
                    <w:right w:val="none" w:sz="0" w:space="0" w:color="auto"/>
                  </w:divBdr>
                  <w:divsChild>
                    <w:div w:id="1756707292">
                      <w:marLeft w:val="0"/>
                      <w:marRight w:val="0"/>
                      <w:marTop w:val="0"/>
                      <w:marBottom w:val="0"/>
                      <w:divBdr>
                        <w:top w:val="none" w:sz="0" w:space="0" w:color="auto"/>
                        <w:left w:val="none" w:sz="0" w:space="0" w:color="auto"/>
                        <w:bottom w:val="none" w:sz="0" w:space="0" w:color="auto"/>
                        <w:right w:val="none" w:sz="0" w:space="0" w:color="auto"/>
                      </w:divBdr>
                    </w:div>
                  </w:divsChild>
                </w:div>
                <w:div w:id="1727489721">
                  <w:marLeft w:val="0"/>
                  <w:marRight w:val="0"/>
                  <w:marTop w:val="0"/>
                  <w:marBottom w:val="0"/>
                  <w:divBdr>
                    <w:top w:val="none" w:sz="0" w:space="0" w:color="auto"/>
                    <w:left w:val="none" w:sz="0" w:space="0" w:color="auto"/>
                    <w:bottom w:val="none" w:sz="0" w:space="0" w:color="auto"/>
                    <w:right w:val="none" w:sz="0" w:space="0" w:color="auto"/>
                  </w:divBdr>
                  <w:divsChild>
                    <w:div w:id="115610534">
                      <w:marLeft w:val="0"/>
                      <w:marRight w:val="0"/>
                      <w:marTop w:val="0"/>
                      <w:marBottom w:val="0"/>
                      <w:divBdr>
                        <w:top w:val="none" w:sz="0" w:space="0" w:color="auto"/>
                        <w:left w:val="none" w:sz="0" w:space="0" w:color="auto"/>
                        <w:bottom w:val="none" w:sz="0" w:space="0" w:color="auto"/>
                        <w:right w:val="none" w:sz="0" w:space="0" w:color="auto"/>
                      </w:divBdr>
                    </w:div>
                  </w:divsChild>
                </w:div>
                <w:div w:id="1770853693">
                  <w:marLeft w:val="0"/>
                  <w:marRight w:val="0"/>
                  <w:marTop w:val="0"/>
                  <w:marBottom w:val="0"/>
                  <w:divBdr>
                    <w:top w:val="none" w:sz="0" w:space="0" w:color="auto"/>
                    <w:left w:val="none" w:sz="0" w:space="0" w:color="auto"/>
                    <w:bottom w:val="none" w:sz="0" w:space="0" w:color="auto"/>
                    <w:right w:val="none" w:sz="0" w:space="0" w:color="auto"/>
                  </w:divBdr>
                  <w:divsChild>
                    <w:div w:id="590509247">
                      <w:marLeft w:val="0"/>
                      <w:marRight w:val="0"/>
                      <w:marTop w:val="0"/>
                      <w:marBottom w:val="0"/>
                      <w:divBdr>
                        <w:top w:val="none" w:sz="0" w:space="0" w:color="auto"/>
                        <w:left w:val="none" w:sz="0" w:space="0" w:color="auto"/>
                        <w:bottom w:val="none" w:sz="0" w:space="0" w:color="auto"/>
                        <w:right w:val="none" w:sz="0" w:space="0" w:color="auto"/>
                      </w:divBdr>
                    </w:div>
                  </w:divsChild>
                </w:div>
                <w:div w:id="1850296126">
                  <w:marLeft w:val="0"/>
                  <w:marRight w:val="0"/>
                  <w:marTop w:val="0"/>
                  <w:marBottom w:val="0"/>
                  <w:divBdr>
                    <w:top w:val="none" w:sz="0" w:space="0" w:color="auto"/>
                    <w:left w:val="none" w:sz="0" w:space="0" w:color="auto"/>
                    <w:bottom w:val="none" w:sz="0" w:space="0" w:color="auto"/>
                    <w:right w:val="none" w:sz="0" w:space="0" w:color="auto"/>
                  </w:divBdr>
                  <w:divsChild>
                    <w:div w:id="1700931610">
                      <w:marLeft w:val="0"/>
                      <w:marRight w:val="0"/>
                      <w:marTop w:val="0"/>
                      <w:marBottom w:val="0"/>
                      <w:divBdr>
                        <w:top w:val="none" w:sz="0" w:space="0" w:color="auto"/>
                        <w:left w:val="none" w:sz="0" w:space="0" w:color="auto"/>
                        <w:bottom w:val="none" w:sz="0" w:space="0" w:color="auto"/>
                        <w:right w:val="none" w:sz="0" w:space="0" w:color="auto"/>
                      </w:divBdr>
                    </w:div>
                  </w:divsChild>
                </w:div>
                <w:div w:id="1922368237">
                  <w:marLeft w:val="0"/>
                  <w:marRight w:val="0"/>
                  <w:marTop w:val="0"/>
                  <w:marBottom w:val="0"/>
                  <w:divBdr>
                    <w:top w:val="none" w:sz="0" w:space="0" w:color="auto"/>
                    <w:left w:val="none" w:sz="0" w:space="0" w:color="auto"/>
                    <w:bottom w:val="none" w:sz="0" w:space="0" w:color="auto"/>
                    <w:right w:val="none" w:sz="0" w:space="0" w:color="auto"/>
                  </w:divBdr>
                  <w:divsChild>
                    <w:div w:id="806432574">
                      <w:marLeft w:val="0"/>
                      <w:marRight w:val="0"/>
                      <w:marTop w:val="0"/>
                      <w:marBottom w:val="0"/>
                      <w:divBdr>
                        <w:top w:val="none" w:sz="0" w:space="0" w:color="auto"/>
                        <w:left w:val="none" w:sz="0" w:space="0" w:color="auto"/>
                        <w:bottom w:val="none" w:sz="0" w:space="0" w:color="auto"/>
                        <w:right w:val="none" w:sz="0" w:space="0" w:color="auto"/>
                      </w:divBdr>
                    </w:div>
                  </w:divsChild>
                </w:div>
                <w:div w:id="2075396301">
                  <w:marLeft w:val="0"/>
                  <w:marRight w:val="0"/>
                  <w:marTop w:val="0"/>
                  <w:marBottom w:val="0"/>
                  <w:divBdr>
                    <w:top w:val="none" w:sz="0" w:space="0" w:color="auto"/>
                    <w:left w:val="none" w:sz="0" w:space="0" w:color="auto"/>
                    <w:bottom w:val="none" w:sz="0" w:space="0" w:color="auto"/>
                    <w:right w:val="none" w:sz="0" w:space="0" w:color="auto"/>
                  </w:divBdr>
                  <w:divsChild>
                    <w:div w:id="91582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836789">
          <w:marLeft w:val="0"/>
          <w:marRight w:val="0"/>
          <w:marTop w:val="0"/>
          <w:marBottom w:val="0"/>
          <w:divBdr>
            <w:top w:val="none" w:sz="0" w:space="0" w:color="auto"/>
            <w:left w:val="none" w:sz="0" w:space="0" w:color="auto"/>
            <w:bottom w:val="none" w:sz="0" w:space="0" w:color="auto"/>
            <w:right w:val="none" w:sz="0" w:space="0" w:color="auto"/>
          </w:divBdr>
          <w:divsChild>
            <w:div w:id="608006343">
              <w:marLeft w:val="0"/>
              <w:marRight w:val="0"/>
              <w:marTop w:val="0"/>
              <w:marBottom w:val="0"/>
              <w:divBdr>
                <w:top w:val="none" w:sz="0" w:space="0" w:color="auto"/>
                <w:left w:val="none" w:sz="0" w:space="0" w:color="auto"/>
                <w:bottom w:val="none" w:sz="0" w:space="0" w:color="auto"/>
                <w:right w:val="none" w:sz="0" w:space="0" w:color="auto"/>
              </w:divBdr>
            </w:div>
            <w:div w:id="686248054">
              <w:marLeft w:val="0"/>
              <w:marRight w:val="0"/>
              <w:marTop w:val="0"/>
              <w:marBottom w:val="0"/>
              <w:divBdr>
                <w:top w:val="none" w:sz="0" w:space="0" w:color="auto"/>
                <w:left w:val="none" w:sz="0" w:space="0" w:color="auto"/>
                <w:bottom w:val="none" w:sz="0" w:space="0" w:color="auto"/>
                <w:right w:val="none" w:sz="0" w:space="0" w:color="auto"/>
              </w:divBdr>
            </w:div>
            <w:div w:id="954678589">
              <w:marLeft w:val="0"/>
              <w:marRight w:val="0"/>
              <w:marTop w:val="0"/>
              <w:marBottom w:val="0"/>
              <w:divBdr>
                <w:top w:val="none" w:sz="0" w:space="0" w:color="auto"/>
                <w:left w:val="none" w:sz="0" w:space="0" w:color="auto"/>
                <w:bottom w:val="none" w:sz="0" w:space="0" w:color="auto"/>
                <w:right w:val="none" w:sz="0" w:space="0" w:color="auto"/>
              </w:divBdr>
            </w:div>
            <w:div w:id="1466463293">
              <w:marLeft w:val="0"/>
              <w:marRight w:val="0"/>
              <w:marTop w:val="0"/>
              <w:marBottom w:val="0"/>
              <w:divBdr>
                <w:top w:val="none" w:sz="0" w:space="0" w:color="auto"/>
                <w:left w:val="none" w:sz="0" w:space="0" w:color="auto"/>
                <w:bottom w:val="none" w:sz="0" w:space="0" w:color="auto"/>
                <w:right w:val="none" w:sz="0" w:space="0" w:color="auto"/>
              </w:divBdr>
            </w:div>
            <w:div w:id="1536498725">
              <w:marLeft w:val="0"/>
              <w:marRight w:val="0"/>
              <w:marTop w:val="0"/>
              <w:marBottom w:val="0"/>
              <w:divBdr>
                <w:top w:val="none" w:sz="0" w:space="0" w:color="auto"/>
                <w:left w:val="none" w:sz="0" w:space="0" w:color="auto"/>
                <w:bottom w:val="none" w:sz="0" w:space="0" w:color="auto"/>
                <w:right w:val="none" w:sz="0" w:space="0" w:color="auto"/>
              </w:divBdr>
            </w:div>
          </w:divsChild>
        </w:div>
        <w:div w:id="1035738370">
          <w:marLeft w:val="0"/>
          <w:marRight w:val="0"/>
          <w:marTop w:val="0"/>
          <w:marBottom w:val="0"/>
          <w:divBdr>
            <w:top w:val="none" w:sz="0" w:space="0" w:color="auto"/>
            <w:left w:val="none" w:sz="0" w:space="0" w:color="auto"/>
            <w:bottom w:val="none" w:sz="0" w:space="0" w:color="auto"/>
            <w:right w:val="none" w:sz="0" w:space="0" w:color="auto"/>
          </w:divBdr>
        </w:div>
        <w:div w:id="1039283423">
          <w:marLeft w:val="0"/>
          <w:marRight w:val="0"/>
          <w:marTop w:val="0"/>
          <w:marBottom w:val="0"/>
          <w:divBdr>
            <w:top w:val="none" w:sz="0" w:space="0" w:color="auto"/>
            <w:left w:val="none" w:sz="0" w:space="0" w:color="auto"/>
            <w:bottom w:val="none" w:sz="0" w:space="0" w:color="auto"/>
            <w:right w:val="none" w:sz="0" w:space="0" w:color="auto"/>
          </w:divBdr>
          <w:divsChild>
            <w:div w:id="37627120">
              <w:marLeft w:val="0"/>
              <w:marRight w:val="0"/>
              <w:marTop w:val="0"/>
              <w:marBottom w:val="0"/>
              <w:divBdr>
                <w:top w:val="none" w:sz="0" w:space="0" w:color="auto"/>
                <w:left w:val="none" w:sz="0" w:space="0" w:color="auto"/>
                <w:bottom w:val="none" w:sz="0" w:space="0" w:color="auto"/>
                <w:right w:val="none" w:sz="0" w:space="0" w:color="auto"/>
              </w:divBdr>
            </w:div>
            <w:div w:id="110327076">
              <w:marLeft w:val="0"/>
              <w:marRight w:val="0"/>
              <w:marTop w:val="0"/>
              <w:marBottom w:val="0"/>
              <w:divBdr>
                <w:top w:val="none" w:sz="0" w:space="0" w:color="auto"/>
                <w:left w:val="none" w:sz="0" w:space="0" w:color="auto"/>
                <w:bottom w:val="none" w:sz="0" w:space="0" w:color="auto"/>
                <w:right w:val="none" w:sz="0" w:space="0" w:color="auto"/>
              </w:divBdr>
            </w:div>
            <w:div w:id="370811708">
              <w:marLeft w:val="0"/>
              <w:marRight w:val="0"/>
              <w:marTop w:val="0"/>
              <w:marBottom w:val="0"/>
              <w:divBdr>
                <w:top w:val="none" w:sz="0" w:space="0" w:color="auto"/>
                <w:left w:val="none" w:sz="0" w:space="0" w:color="auto"/>
                <w:bottom w:val="none" w:sz="0" w:space="0" w:color="auto"/>
                <w:right w:val="none" w:sz="0" w:space="0" w:color="auto"/>
              </w:divBdr>
            </w:div>
            <w:div w:id="456921281">
              <w:marLeft w:val="0"/>
              <w:marRight w:val="0"/>
              <w:marTop w:val="0"/>
              <w:marBottom w:val="0"/>
              <w:divBdr>
                <w:top w:val="none" w:sz="0" w:space="0" w:color="auto"/>
                <w:left w:val="none" w:sz="0" w:space="0" w:color="auto"/>
                <w:bottom w:val="none" w:sz="0" w:space="0" w:color="auto"/>
                <w:right w:val="none" w:sz="0" w:space="0" w:color="auto"/>
              </w:divBdr>
            </w:div>
            <w:div w:id="1038974751">
              <w:marLeft w:val="0"/>
              <w:marRight w:val="0"/>
              <w:marTop w:val="0"/>
              <w:marBottom w:val="0"/>
              <w:divBdr>
                <w:top w:val="none" w:sz="0" w:space="0" w:color="auto"/>
                <w:left w:val="none" w:sz="0" w:space="0" w:color="auto"/>
                <w:bottom w:val="none" w:sz="0" w:space="0" w:color="auto"/>
                <w:right w:val="none" w:sz="0" w:space="0" w:color="auto"/>
              </w:divBdr>
            </w:div>
            <w:div w:id="1185972001">
              <w:marLeft w:val="0"/>
              <w:marRight w:val="0"/>
              <w:marTop w:val="0"/>
              <w:marBottom w:val="0"/>
              <w:divBdr>
                <w:top w:val="none" w:sz="0" w:space="0" w:color="auto"/>
                <w:left w:val="none" w:sz="0" w:space="0" w:color="auto"/>
                <w:bottom w:val="none" w:sz="0" w:space="0" w:color="auto"/>
                <w:right w:val="none" w:sz="0" w:space="0" w:color="auto"/>
              </w:divBdr>
            </w:div>
            <w:div w:id="1569464348">
              <w:marLeft w:val="0"/>
              <w:marRight w:val="0"/>
              <w:marTop w:val="0"/>
              <w:marBottom w:val="0"/>
              <w:divBdr>
                <w:top w:val="none" w:sz="0" w:space="0" w:color="auto"/>
                <w:left w:val="none" w:sz="0" w:space="0" w:color="auto"/>
                <w:bottom w:val="none" w:sz="0" w:space="0" w:color="auto"/>
                <w:right w:val="none" w:sz="0" w:space="0" w:color="auto"/>
              </w:divBdr>
            </w:div>
            <w:div w:id="1827937894">
              <w:marLeft w:val="0"/>
              <w:marRight w:val="0"/>
              <w:marTop w:val="0"/>
              <w:marBottom w:val="0"/>
              <w:divBdr>
                <w:top w:val="none" w:sz="0" w:space="0" w:color="auto"/>
                <w:left w:val="none" w:sz="0" w:space="0" w:color="auto"/>
                <w:bottom w:val="none" w:sz="0" w:space="0" w:color="auto"/>
                <w:right w:val="none" w:sz="0" w:space="0" w:color="auto"/>
              </w:divBdr>
            </w:div>
            <w:div w:id="2072266105">
              <w:marLeft w:val="0"/>
              <w:marRight w:val="0"/>
              <w:marTop w:val="0"/>
              <w:marBottom w:val="0"/>
              <w:divBdr>
                <w:top w:val="none" w:sz="0" w:space="0" w:color="auto"/>
                <w:left w:val="none" w:sz="0" w:space="0" w:color="auto"/>
                <w:bottom w:val="none" w:sz="0" w:space="0" w:color="auto"/>
                <w:right w:val="none" w:sz="0" w:space="0" w:color="auto"/>
              </w:divBdr>
            </w:div>
          </w:divsChild>
        </w:div>
        <w:div w:id="1040518996">
          <w:marLeft w:val="0"/>
          <w:marRight w:val="0"/>
          <w:marTop w:val="0"/>
          <w:marBottom w:val="0"/>
          <w:divBdr>
            <w:top w:val="none" w:sz="0" w:space="0" w:color="auto"/>
            <w:left w:val="none" w:sz="0" w:space="0" w:color="auto"/>
            <w:bottom w:val="none" w:sz="0" w:space="0" w:color="auto"/>
            <w:right w:val="none" w:sz="0" w:space="0" w:color="auto"/>
          </w:divBdr>
        </w:div>
        <w:div w:id="1043093393">
          <w:marLeft w:val="0"/>
          <w:marRight w:val="0"/>
          <w:marTop w:val="0"/>
          <w:marBottom w:val="0"/>
          <w:divBdr>
            <w:top w:val="none" w:sz="0" w:space="0" w:color="auto"/>
            <w:left w:val="none" w:sz="0" w:space="0" w:color="auto"/>
            <w:bottom w:val="none" w:sz="0" w:space="0" w:color="auto"/>
            <w:right w:val="none" w:sz="0" w:space="0" w:color="auto"/>
          </w:divBdr>
          <w:divsChild>
            <w:div w:id="1596085929">
              <w:marLeft w:val="-75"/>
              <w:marRight w:val="0"/>
              <w:marTop w:val="30"/>
              <w:marBottom w:val="30"/>
              <w:divBdr>
                <w:top w:val="none" w:sz="0" w:space="0" w:color="auto"/>
                <w:left w:val="none" w:sz="0" w:space="0" w:color="auto"/>
                <w:bottom w:val="none" w:sz="0" w:space="0" w:color="auto"/>
                <w:right w:val="none" w:sz="0" w:space="0" w:color="auto"/>
              </w:divBdr>
              <w:divsChild>
                <w:div w:id="72287469">
                  <w:marLeft w:val="0"/>
                  <w:marRight w:val="0"/>
                  <w:marTop w:val="0"/>
                  <w:marBottom w:val="0"/>
                  <w:divBdr>
                    <w:top w:val="none" w:sz="0" w:space="0" w:color="auto"/>
                    <w:left w:val="none" w:sz="0" w:space="0" w:color="auto"/>
                    <w:bottom w:val="none" w:sz="0" w:space="0" w:color="auto"/>
                    <w:right w:val="none" w:sz="0" w:space="0" w:color="auto"/>
                  </w:divBdr>
                  <w:divsChild>
                    <w:div w:id="829634791">
                      <w:marLeft w:val="0"/>
                      <w:marRight w:val="0"/>
                      <w:marTop w:val="0"/>
                      <w:marBottom w:val="0"/>
                      <w:divBdr>
                        <w:top w:val="none" w:sz="0" w:space="0" w:color="auto"/>
                        <w:left w:val="none" w:sz="0" w:space="0" w:color="auto"/>
                        <w:bottom w:val="none" w:sz="0" w:space="0" w:color="auto"/>
                        <w:right w:val="none" w:sz="0" w:space="0" w:color="auto"/>
                      </w:divBdr>
                    </w:div>
                  </w:divsChild>
                </w:div>
                <w:div w:id="244340694">
                  <w:marLeft w:val="0"/>
                  <w:marRight w:val="0"/>
                  <w:marTop w:val="0"/>
                  <w:marBottom w:val="0"/>
                  <w:divBdr>
                    <w:top w:val="none" w:sz="0" w:space="0" w:color="auto"/>
                    <w:left w:val="none" w:sz="0" w:space="0" w:color="auto"/>
                    <w:bottom w:val="none" w:sz="0" w:space="0" w:color="auto"/>
                    <w:right w:val="none" w:sz="0" w:space="0" w:color="auto"/>
                  </w:divBdr>
                  <w:divsChild>
                    <w:div w:id="1764375249">
                      <w:marLeft w:val="0"/>
                      <w:marRight w:val="0"/>
                      <w:marTop w:val="0"/>
                      <w:marBottom w:val="0"/>
                      <w:divBdr>
                        <w:top w:val="none" w:sz="0" w:space="0" w:color="auto"/>
                        <w:left w:val="none" w:sz="0" w:space="0" w:color="auto"/>
                        <w:bottom w:val="none" w:sz="0" w:space="0" w:color="auto"/>
                        <w:right w:val="none" w:sz="0" w:space="0" w:color="auto"/>
                      </w:divBdr>
                    </w:div>
                  </w:divsChild>
                </w:div>
                <w:div w:id="456945834">
                  <w:marLeft w:val="0"/>
                  <w:marRight w:val="0"/>
                  <w:marTop w:val="0"/>
                  <w:marBottom w:val="0"/>
                  <w:divBdr>
                    <w:top w:val="none" w:sz="0" w:space="0" w:color="auto"/>
                    <w:left w:val="none" w:sz="0" w:space="0" w:color="auto"/>
                    <w:bottom w:val="none" w:sz="0" w:space="0" w:color="auto"/>
                    <w:right w:val="none" w:sz="0" w:space="0" w:color="auto"/>
                  </w:divBdr>
                  <w:divsChild>
                    <w:div w:id="699281459">
                      <w:marLeft w:val="0"/>
                      <w:marRight w:val="0"/>
                      <w:marTop w:val="0"/>
                      <w:marBottom w:val="0"/>
                      <w:divBdr>
                        <w:top w:val="none" w:sz="0" w:space="0" w:color="auto"/>
                        <w:left w:val="none" w:sz="0" w:space="0" w:color="auto"/>
                        <w:bottom w:val="none" w:sz="0" w:space="0" w:color="auto"/>
                        <w:right w:val="none" w:sz="0" w:space="0" w:color="auto"/>
                      </w:divBdr>
                    </w:div>
                  </w:divsChild>
                </w:div>
                <w:div w:id="709183565">
                  <w:marLeft w:val="0"/>
                  <w:marRight w:val="0"/>
                  <w:marTop w:val="0"/>
                  <w:marBottom w:val="0"/>
                  <w:divBdr>
                    <w:top w:val="none" w:sz="0" w:space="0" w:color="auto"/>
                    <w:left w:val="none" w:sz="0" w:space="0" w:color="auto"/>
                    <w:bottom w:val="none" w:sz="0" w:space="0" w:color="auto"/>
                    <w:right w:val="none" w:sz="0" w:space="0" w:color="auto"/>
                  </w:divBdr>
                  <w:divsChild>
                    <w:div w:id="619723558">
                      <w:marLeft w:val="0"/>
                      <w:marRight w:val="0"/>
                      <w:marTop w:val="0"/>
                      <w:marBottom w:val="0"/>
                      <w:divBdr>
                        <w:top w:val="none" w:sz="0" w:space="0" w:color="auto"/>
                        <w:left w:val="none" w:sz="0" w:space="0" w:color="auto"/>
                        <w:bottom w:val="none" w:sz="0" w:space="0" w:color="auto"/>
                        <w:right w:val="none" w:sz="0" w:space="0" w:color="auto"/>
                      </w:divBdr>
                    </w:div>
                  </w:divsChild>
                </w:div>
                <w:div w:id="1000616849">
                  <w:marLeft w:val="0"/>
                  <w:marRight w:val="0"/>
                  <w:marTop w:val="0"/>
                  <w:marBottom w:val="0"/>
                  <w:divBdr>
                    <w:top w:val="none" w:sz="0" w:space="0" w:color="auto"/>
                    <w:left w:val="none" w:sz="0" w:space="0" w:color="auto"/>
                    <w:bottom w:val="none" w:sz="0" w:space="0" w:color="auto"/>
                    <w:right w:val="none" w:sz="0" w:space="0" w:color="auto"/>
                  </w:divBdr>
                  <w:divsChild>
                    <w:div w:id="1614553462">
                      <w:marLeft w:val="0"/>
                      <w:marRight w:val="0"/>
                      <w:marTop w:val="0"/>
                      <w:marBottom w:val="0"/>
                      <w:divBdr>
                        <w:top w:val="none" w:sz="0" w:space="0" w:color="auto"/>
                        <w:left w:val="none" w:sz="0" w:space="0" w:color="auto"/>
                        <w:bottom w:val="none" w:sz="0" w:space="0" w:color="auto"/>
                        <w:right w:val="none" w:sz="0" w:space="0" w:color="auto"/>
                      </w:divBdr>
                    </w:div>
                  </w:divsChild>
                </w:div>
                <w:div w:id="1063068043">
                  <w:marLeft w:val="0"/>
                  <w:marRight w:val="0"/>
                  <w:marTop w:val="0"/>
                  <w:marBottom w:val="0"/>
                  <w:divBdr>
                    <w:top w:val="none" w:sz="0" w:space="0" w:color="auto"/>
                    <w:left w:val="none" w:sz="0" w:space="0" w:color="auto"/>
                    <w:bottom w:val="none" w:sz="0" w:space="0" w:color="auto"/>
                    <w:right w:val="none" w:sz="0" w:space="0" w:color="auto"/>
                  </w:divBdr>
                  <w:divsChild>
                    <w:div w:id="1404252342">
                      <w:marLeft w:val="0"/>
                      <w:marRight w:val="0"/>
                      <w:marTop w:val="0"/>
                      <w:marBottom w:val="0"/>
                      <w:divBdr>
                        <w:top w:val="none" w:sz="0" w:space="0" w:color="auto"/>
                        <w:left w:val="none" w:sz="0" w:space="0" w:color="auto"/>
                        <w:bottom w:val="none" w:sz="0" w:space="0" w:color="auto"/>
                        <w:right w:val="none" w:sz="0" w:space="0" w:color="auto"/>
                      </w:divBdr>
                    </w:div>
                  </w:divsChild>
                </w:div>
                <w:div w:id="1086342267">
                  <w:marLeft w:val="0"/>
                  <w:marRight w:val="0"/>
                  <w:marTop w:val="0"/>
                  <w:marBottom w:val="0"/>
                  <w:divBdr>
                    <w:top w:val="none" w:sz="0" w:space="0" w:color="auto"/>
                    <w:left w:val="none" w:sz="0" w:space="0" w:color="auto"/>
                    <w:bottom w:val="none" w:sz="0" w:space="0" w:color="auto"/>
                    <w:right w:val="none" w:sz="0" w:space="0" w:color="auto"/>
                  </w:divBdr>
                  <w:divsChild>
                    <w:div w:id="1900289244">
                      <w:marLeft w:val="0"/>
                      <w:marRight w:val="0"/>
                      <w:marTop w:val="0"/>
                      <w:marBottom w:val="0"/>
                      <w:divBdr>
                        <w:top w:val="none" w:sz="0" w:space="0" w:color="auto"/>
                        <w:left w:val="none" w:sz="0" w:space="0" w:color="auto"/>
                        <w:bottom w:val="none" w:sz="0" w:space="0" w:color="auto"/>
                        <w:right w:val="none" w:sz="0" w:space="0" w:color="auto"/>
                      </w:divBdr>
                    </w:div>
                  </w:divsChild>
                </w:div>
                <w:div w:id="1129011614">
                  <w:marLeft w:val="0"/>
                  <w:marRight w:val="0"/>
                  <w:marTop w:val="0"/>
                  <w:marBottom w:val="0"/>
                  <w:divBdr>
                    <w:top w:val="none" w:sz="0" w:space="0" w:color="auto"/>
                    <w:left w:val="none" w:sz="0" w:space="0" w:color="auto"/>
                    <w:bottom w:val="none" w:sz="0" w:space="0" w:color="auto"/>
                    <w:right w:val="none" w:sz="0" w:space="0" w:color="auto"/>
                  </w:divBdr>
                  <w:divsChild>
                    <w:div w:id="1998337153">
                      <w:marLeft w:val="0"/>
                      <w:marRight w:val="0"/>
                      <w:marTop w:val="0"/>
                      <w:marBottom w:val="0"/>
                      <w:divBdr>
                        <w:top w:val="none" w:sz="0" w:space="0" w:color="auto"/>
                        <w:left w:val="none" w:sz="0" w:space="0" w:color="auto"/>
                        <w:bottom w:val="none" w:sz="0" w:space="0" w:color="auto"/>
                        <w:right w:val="none" w:sz="0" w:space="0" w:color="auto"/>
                      </w:divBdr>
                    </w:div>
                  </w:divsChild>
                </w:div>
                <w:div w:id="1150555069">
                  <w:marLeft w:val="0"/>
                  <w:marRight w:val="0"/>
                  <w:marTop w:val="0"/>
                  <w:marBottom w:val="0"/>
                  <w:divBdr>
                    <w:top w:val="none" w:sz="0" w:space="0" w:color="auto"/>
                    <w:left w:val="none" w:sz="0" w:space="0" w:color="auto"/>
                    <w:bottom w:val="none" w:sz="0" w:space="0" w:color="auto"/>
                    <w:right w:val="none" w:sz="0" w:space="0" w:color="auto"/>
                  </w:divBdr>
                  <w:divsChild>
                    <w:div w:id="949244829">
                      <w:marLeft w:val="0"/>
                      <w:marRight w:val="0"/>
                      <w:marTop w:val="0"/>
                      <w:marBottom w:val="0"/>
                      <w:divBdr>
                        <w:top w:val="none" w:sz="0" w:space="0" w:color="auto"/>
                        <w:left w:val="none" w:sz="0" w:space="0" w:color="auto"/>
                        <w:bottom w:val="none" w:sz="0" w:space="0" w:color="auto"/>
                        <w:right w:val="none" w:sz="0" w:space="0" w:color="auto"/>
                      </w:divBdr>
                    </w:div>
                  </w:divsChild>
                </w:div>
                <w:div w:id="1405687376">
                  <w:marLeft w:val="0"/>
                  <w:marRight w:val="0"/>
                  <w:marTop w:val="0"/>
                  <w:marBottom w:val="0"/>
                  <w:divBdr>
                    <w:top w:val="none" w:sz="0" w:space="0" w:color="auto"/>
                    <w:left w:val="none" w:sz="0" w:space="0" w:color="auto"/>
                    <w:bottom w:val="none" w:sz="0" w:space="0" w:color="auto"/>
                    <w:right w:val="none" w:sz="0" w:space="0" w:color="auto"/>
                  </w:divBdr>
                  <w:divsChild>
                    <w:div w:id="567308608">
                      <w:marLeft w:val="0"/>
                      <w:marRight w:val="0"/>
                      <w:marTop w:val="0"/>
                      <w:marBottom w:val="0"/>
                      <w:divBdr>
                        <w:top w:val="none" w:sz="0" w:space="0" w:color="auto"/>
                        <w:left w:val="none" w:sz="0" w:space="0" w:color="auto"/>
                        <w:bottom w:val="none" w:sz="0" w:space="0" w:color="auto"/>
                        <w:right w:val="none" w:sz="0" w:space="0" w:color="auto"/>
                      </w:divBdr>
                    </w:div>
                  </w:divsChild>
                </w:div>
                <w:div w:id="1581671112">
                  <w:marLeft w:val="0"/>
                  <w:marRight w:val="0"/>
                  <w:marTop w:val="0"/>
                  <w:marBottom w:val="0"/>
                  <w:divBdr>
                    <w:top w:val="none" w:sz="0" w:space="0" w:color="auto"/>
                    <w:left w:val="none" w:sz="0" w:space="0" w:color="auto"/>
                    <w:bottom w:val="none" w:sz="0" w:space="0" w:color="auto"/>
                    <w:right w:val="none" w:sz="0" w:space="0" w:color="auto"/>
                  </w:divBdr>
                  <w:divsChild>
                    <w:div w:id="2018773082">
                      <w:marLeft w:val="0"/>
                      <w:marRight w:val="0"/>
                      <w:marTop w:val="0"/>
                      <w:marBottom w:val="0"/>
                      <w:divBdr>
                        <w:top w:val="none" w:sz="0" w:space="0" w:color="auto"/>
                        <w:left w:val="none" w:sz="0" w:space="0" w:color="auto"/>
                        <w:bottom w:val="none" w:sz="0" w:space="0" w:color="auto"/>
                        <w:right w:val="none" w:sz="0" w:space="0" w:color="auto"/>
                      </w:divBdr>
                    </w:div>
                  </w:divsChild>
                </w:div>
                <w:div w:id="2049135191">
                  <w:marLeft w:val="0"/>
                  <w:marRight w:val="0"/>
                  <w:marTop w:val="0"/>
                  <w:marBottom w:val="0"/>
                  <w:divBdr>
                    <w:top w:val="none" w:sz="0" w:space="0" w:color="auto"/>
                    <w:left w:val="none" w:sz="0" w:space="0" w:color="auto"/>
                    <w:bottom w:val="none" w:sz="0" w:space="0" w:color="auto"/>
                    <w:right w:val="none" w:sz="0" w:space="0" w:color="auto"/>
                  </w:divBdr>
                  <w:divsChild>
                    <w:div w:id="138683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9342">
          <w:marLeft w:val="0"/>
          <w:marRight w:val="0"/>
          <w:marTop w:val="0"/>
          <w:marBottom w:val="0"/>
          <w:divBdr>
            <w:top w:val="none" w:sz="0" w:space="0" w:color="auto"/>
            <w:left w:val="none" w:sz="0" w:space="0" w:color="auto"/>
            <w:bottom w:val="none" w:sz="0" w:space="0" w:color="auto"/>
            <w:right w:val="none" w:sz="0" w:space="0" w:color="auto"/>
          </w:divBdr>
        </w:div>
        <w:div w:id="1060518035">
          <w:marLeft w:val="0"/>
          <w:marRight w:val="0"/>
          <w:marTop w:val="0"/>
          <w:marBottom w:val="0"/>
          <w:divBdr>
            <w:top w:val="none" w:sz="0" w:space="0" w:color="auto"/>
            <w:left w:val="none" w:sz="0" w:space="0" w:color="auto"/>
            <w:bottom w:val="none" w:sz="0" w:space="0" w:color="auto"/>
            <w:right w:val="none" w:sz="0" w:space="0" w:color="auto"/>
          </w:divBdr>
        </w:div>
        <w:div w:id="1085570304">
          <w:marLeft w:val="0"/>
          <w:marRight w:val="0"/>
          <w:marTop w:val="0"/>
          <w:marBottom w:val="0"/>
          <w:divBdr>
            <w:top w:val="none" w:sz="0" w:space="0" w:color="auto"/>
            <w:left w:val="none" w:sz="0" w:space="0" w:color="auto"/>
            <w:bottom w:val="none" w:sz="0" w:space="0" w:color="auto"/>
            <w:right w:val="none" w:sz="0" w:space="0" w:color="auto"/>
          </w:divBdr>
        </w:div>
        <w:div w:id="1093011255">
          <w:marLeft w:val="0"/>
          <w:marRight w:val="0"/>
          <w:marTop w:val="0"/>
          <w:marBottom w:val="0"/>
          <w:divBdr>
            <w:top w:val="none" w:sz="0" w:space="0" w:color="auto"/>
            <w:left w:val="none" w:sz="0" w:space="0" w:color="auto"/>
            <w:bottom w:val="none" w:sz="0" w:space="0" w:color="auto"/>
            <w:right w:val="none" w:sz="0" w:space="0" w:color="auto"/>
          </w:divBdr>
        </w:div>
        <w:div w:id="1111823590">
          <w:marLeft w:val="0"/>
          <w:marRight w:val="0"/>
          <w:marTop w:val="0"/>
          <w:marBottom w:val="0"/>
          <w:divBdr>
            <w:top w:val="none" w:sz="0" w:space="0" w:color="auto"/>
            <w:left w:val="none" w:sz="0" w:space="0" w:color="auto"/>
            <w:bottom w:val="none" w:sz="0" w:space="0" w:color="auto"/>
            <w:right w:val="none" w:sz="0" w:space="0" w:color="auto"/>
          </w:divBdr>
          <w:divsChild>
            <w:div w:id="979191321">
              <w:marLeft w:val="-75"/>
              <w:marRight w:val="0"/>
              <w:marTop w:val="30"/>
              <w:marBottom w:val="30"/>
              <w:divBdr>
                <w:top w:val="none" w:sz="0" w:space="0" w:color="auto"/>
                <w:left w:val="none" w:sz="0" w:space="0" w:color="auto"/>
                <w:bottom w:val="none" w:sz="0" w:space="0" w:color="auto"/>
                <w:right w:val="none" w:sz="0" w:space="0" w:color="auto"/>
              </w:divBdr>
              <w:divsChild>
                <w:div w:id="24448856">
                  <w:marLeft w:val="0"/>
                  <w:marRight w:val="0"/>
                  <w:marTop w:val="0"/>
                  <w:marBottom w:val="0"/>
                  <w:divBdr>
                    <w:top w:val="none" w:sz="0" w:space="0" w:color="auto"/>
                    <w:left w:val="none" w:sz="0" w:space="0" w:color="auto"/>
                    <w:bottom w:val="none" w:sz="0" w:space="0" w:color="auto"/>
                    <w:right w:val="none" w:sz="0" w:space="0" w:color="auto"/>
                  </w:divBdr>
                  <w:divsChild>
                    <w:div w:id="1479613679">
                      <w:marLeft w:val="0"/>
                      <w:marRight w:val="0"/>
                      <w:marTop w:val="0"/>
                      <w:marBottom w:val="0"/>
                      <w:divBdr>
                        <w:top w:val="none" w:sz="0" w:space="0" w:color="auto"/>
                        <w:left w:val="none" w:sz="0" w:space="0" w:color="auto"/>
                        <w:bottom w:val="none" w:sz="0" w:space="0" w:color="auto"/>
                        <w:right w:val="none" w:sz="0" w:space="0" w:color="auto"/>
                      </w:divBdr>
                    </w:div>
                  </w:divsChild>
                </w:div>
                <w:div w:id="53703794">
                  <w:marLeft w:val="0"/>
                  <w:marRight w:val="0"/>
                  <w:marTop w:val="0"/>
                  <w:marBottom w:val="0"/>
                  <w:divBdr>
                    <w:top w:val="none" w:sz="0" w:space="0" w:color="auto"/>
                    <w:left w:val="none" w:sz="0" w:space="0" w:color="auto"/>
                    <w:bottom w:val="none" w:sz="0" w:space="0" w:color="auto"/>
                    <w:right w:val="none" w:sz="0" w:space="0" w:color="auto"/>
                  </w:divBdr>
                  <w:divsChild>
                    <w:div w:id="1619989062">
                      <w:marLeft w:val="0"/>
                      <w:marRight w:val="0"/>
                      <w:marTop w:val="0"/>
                      <w:marBottom w:val="0"/>
                      <w:divBdr>
                        <w:top w:val="none" w:sz="0" w:space="0" w:color="auto"/>
                        <w:left w:val="none" w:sz="0" w:space="0" w:color="auto"/>
                        <w:bottom w:val="none" w:sz="0" w:space="0" w:color="auto"/>
                        <w:right w:val="none" w:sz="0" w:space="0" w:color="auto"/>
                      </w:divBdr>
                    </w:div>
                  </w:divsChild>
                </w:div>
                <w:div w:id="73477636">
                  <w:marLeft w:val="0"/>
                  <w:marRight w:val="0"/>
                  <w:marTop w:val="0"/>
                  <w:marBottom w:val="0"/>
                  <w:divBdr>
                    <w:top w:val="none" w:sz="0" w:space="0" w:color="auto"/>
                    <w:left w:val="none" w:sz="0" w:space="0" w:color="auto"/>
                    <w:bottom w:val="none" w:sz="0" w:space="0" w:color="auto"/>
                    <w:right w:val="none" w:sz="0" w:space="0" w:color="auto"/>
                  </w:divBdr>
                  <w:divsChild>
                    <w:div w:id="738022950">
                      <w:marLeft w:val="0"/>
                      <w:marRight w:val="0"/>
                      <w:marTop w:val="0"/>
                      <w:marBottom w:val="0"/>
                      <w:divBdr>
                        <w:top w:val="none" w:sz="0" w:space="0" w:color="auto"/>
                        <w:left w:val="none" w:sz="0" w:space="0" w:color="auto"/>
                        <w:bottom w:val="none" w:sz="0" w:space="0" w:color="auto"/>
                        <w:right w:val="none" w:sz="0" w:space="0" w:color="auto"/>
                      </w:divBdr>
                    </w:div>
                  </w:divsChild>
                </w:div>
                <w:div w:id="89736576">
                  <w:marLeft w:val="0"/>
                  <w:marRight w:val="0"/>
                  <w:marTop w:val="0"/>
                  <w:marBottom w:val="0"/>
                  <w:divBdr>
                    <w:top w:val="none" w:sz="0" w:space="0" w:color="auto"/>
                    <w:left w:val="none" w:sz="0" w:space="0" w:color="auto"/>
                    <w:bottom w:val="none" w:sz="0" w:space="0" w:color="auto"/>
                    <w:right w:val="none" w:sz="0" w:space="0" w:color="auto"/>
                  </w:divBdr>
                  <w:divsChild>
                    <w:div w:id="1559129796">
                      <w:marLeft w:val="0"/>
                      <w:marRight w:val="0"/>
                      <w:marTop w:val="0"/>
                      <w:marBottom w:val="0"/>
                      <w:divBdr>
                        <w:top w:val="none" w:sz="0" w:space="0" w:color="auto"/>
                        <w:left w:val="none" w:sz="0" w:space="0" w:color="auto"/>
                        <w:bottom w:val="none" w:sz="0" w:space="0" w:color="auto"/>
                        <w:right w:val="none" w:sz="0" w:space="0" w:color="auto"/>
                      </w:divBdr>
                    </w:div>
                  </w:divsChild>
                </w:div>
                <w:div w:id="91512728">
                  <w:marLeft w:val="0"/>
                  <w:marRight w:val="0"/>
                  <w:marTop w:val="0"/>
                  <w:marBottom w:val="0"/>
                  <w:divBdr>
                    <w:top w:val="none" w:sz="0" w:space="0" w:color="auto"/>
                    <w:left w:val="none" w:sz="0" w:space="0" w:color="auto"/>
                    <w:bottom w:val="none" w:sz="0" w:space="0" w:color="auto"/>
                    <w:right w:val="none" w:sz="0" w:space="0" w:color="auto"/>
                  </w:divBdr>
                  <w:divsChild>
                    <w:div w:id="2051105742">
                      <w:marLeft w:val="0"/>
                      <w:marRight w:val="0"/>
                      <w:marTop w:val="0"/>
                      <w:marBottom w:val="0"/>
                      <w:divBdr>
                        <w:top w:val="none" w:sz="0" w:space="0" w:color="auto"/>
                        <w:left w:val="none" w:sz="0" w:space="0" w:color="auto"/>
                        <w:bottom w:val="none" w:sz="0" w:space="0" w:color="auto"/>
                        <w:right w:val="none" w:sz="0" w:space="0" w:color="auto"/>
                      </w:divBdr>
                    </w:div>
                  </w:divsChild>
                </w:div>
                <w:div w:id="131559790">
                  <w:marLeft w:val="0"/>
                  <w:marRight w:val="0"/>
                  <w:marTop w:val="0"/>
                  <w:marBottom w:val="0"/>
                  <w:divBdr>
                    <w:top w:val="none" w:sz="0" w:space="0" w:color="auto"/>
                    <w:left w:val="none" w:sz="0" w:space="0" w:color="auto"/>
                    <w:bottom w:val="none" w:sz="0" w:space="0" w:color="auto"/>
                    <w:right w:val="none" w:sz="0" w:space="0" w:color="auto"/>
                  </w:divBdr>
                  <w:divsChild>
                    <w:div w:id="2109697432">
                      <w:marLeft w:val="0"/>
                      <w:marRight w:val="0"/>
                      <w:marTop w:val="0"/>
                      <w:marBottom w:val="0"/>
                      <w:divBdr>
                        <w:top w:val="none" w:sz="0" w:space="0" w:color="auto"/>
                        <w:left w:val="none" w:sz="0" w:space="0" w:color="auto"/>
                        <w:bottom w:val="none" w:sz="0" w:space="0" w:color="auto"/>
                        <w:right w:val="none" w:sz="0" w:space="0" w:color="auto"/>
                      </w:divBdr>
                    </w:div>
                  </w:divsChild>
                </w:div>
                <w:div w:id="185798630">
                  <w:marLeft w:val="0"/>
                  <w:marRight w:val="0"/>
                  <w:marTop w:val="0"/>
                  <w:marBottom w:val="0"/>
                  <w:divBdr>
                    <w:top w:val="none" w:sz="0" w:space="0" w:color="auto"/>
                    <w:left w:val="none" w:sz="0" w:space="0" w:color="auto"/>
                    <w:bottom w:val="none" w:sz="0" w:space="0" w:color="auto"/>
                    <w:right w:val="none" w:sz="0" w:space="0" w:color="auto"/>
                  </w:divBdr>
                  <w:divsChild>
                    <w:div w:id="833566164">
                      <w:marLeft w:val="0"/>
                      <w:marRight w:val="0"/>
                      <w:marTop w:val="0"/>
                      <w:marBottom w:val="0"/>
                      <w:divBdr>
                        <w:top w:val="none" w:sz="0" w:space="0" w:color="auto"/>
                        <w:left w:val="none" w:sz="0" w:space="0" w:color="auto"/>
                        <w:bottom w:val="none" w:sz="0" w:space="0" w:color="auto"/>
                        <w:right w:val="none" w:sz="0" w:space="0" w:color="auto"/>
                      </w:divBdr>
                    </w:div>
                  </w:divsChild>
                </w:div>
                <w:div w:id="345327250">
                  <w:marLeft w:val="0"/>
                  <w:marRight w:val="0"/>
                  <w:marTop w:val="0"/>
                  <w:marBottom w:val="0"/>
                  <w:divBdr>
                    <w:top w:val="none" w:sz="0" w:space="0" w:color="auto"/>
                    <w:left w:val="none" w:sz="0" w:space="0" w:color="auto"/>
                    <w:bottom w:val="none" w:sz="0" w:space="0" w:color="auto"/>
                    <w:right w:val="none" w:sz="0" w:space="0" w:color="auto"/>
                  </w:divBdr>
                  <w:divsChild>
                    <w:div w:id="488639286">
                      <w:marLeft w:val="0"/>
                      <w:marRight w:val="0"/>
                      <w:marTop w:val="0"/>
                      <w:marBottom w:val="0"/>
                      <w:divBdr>
                        <w:top w:val="none" w:sz="0" w:space="0" w:color="auto"/>
                        <w:left w:val="none" w:sz="0" w:space="0" w:color="auto"/>
                        <w:bottom w:val="none" w:sz="0" w:space="0" w:color="auto"/>
                        <w:right w:val="none" w:sz="0" w:space="0" w:color="auto"/>
                      </w:divBdr>
                    </w:div>
                  </w:divsChild>
                </w:div>
                <w:div w:id="346906284">
                  <w:marLeft w:val="0"/>
                  <w:marRight w:val="0"/>
                  <w:marTop w:val="0"/>
                  <w:marBottom w:val="0"/>
                  <w:divBdr>
                    <w:top w:val="none" w:sz="0" w:space="0" w:color="auto"/>
                    <w:left w:val="none" w:sz="0" w:space="0" w:color="auto"/>
                    <w:bottom w:val="none" w:sz="0" w:space="0" w:color="auto"/>
                    <w:right w:val="none" w:sz="0" w:space="0" w:color="auto"/>
                  </w:divBdr>
                  <w:divsChild>
                    <w:div w:id="2122797412">
                      <w:marLeft w:val="0"/>
                      <w:marRight w:val="0"/>
                      <w:marTop w:val="0"/>
                      <w:marBottom w:val="0"/>
                      <w:divBdr>
                        <w:top w:val="none" w:sz="0" w:space="0" w:color="auto"/>
                        <w:left w:val="none" w:sz="0" w:space="0" w:color="auto"/>
                        <w:bottom w:val="none" w:sz="0" w:space="0" w:color="auto"/>
                        <w:right w:val="none" w:sz="0" w:space="0" w:color="auto"/>
                      </w:divBdr>
                    </w:div>
                  </w:divsChild>
                </w:div>
                <w:div w:id="368723726">
                  <w:marLeft w:val="0"/>
                  <w:marRight w:val="0"/>
                  <w:marTop w:val="0"/>
                  <w:marBottom w:val="0"/>
                  <w:divBdr>
                    <w:top w:val="none" w:sz="0" w:space="0" w:color="auto"/>
                    <w:left w:val="none" w:sz="0" w:space="0" w:color="auto"/>
                    <w:bottom w:val="none" w:sz="0" w:space="0" w:color="auto"/>
                    <w:right w:val="none" w:sz="0" w:space="0" w:color="auto"/>
                  </w:divBdr>
                  <w:divsChild>
                    <w:div w:id="343560979">
                      <w:marLeft w:val="0"/>
                      <w:marRight w:val="0"/>
                      <w:marTop w:val="0"/>
                      <w:marBottom w:val="0"/>
                      <w:divBdr>
                        <w:top w:val="none" w:sz="0" w:space="0" w:color="auto"/>
                        <w:left w:val="none" w:sz="0" w:space="0" w:color="auto"/>
                        <w:bottom w:val="none" w:sz="0" w:space="0" w:color="auto"/>
                        <w:right w:val="none" w:sz="0" w:space="0" w:color="auto"/>
                      </w:divBdr>
                    </w:div>
                  </w:divsChild>
                </w:div>
                <w:div w:id="388308598">
                  <w:marLeft w:val="0"/>
                  <w:marRight w:val="0"/>
                  <w:marTop w:val="0"/>
                  <w:marBottom w:val="0"/>
                  <w:divBdr>
                    <w:top w:val="none" w:sz="0" w:space="0" w:color="auto"/>
                    <w:left w:val="none" w:sz="0" w:space="0" w:color="auto"/>
                    <w:bottom w:val="none" w:sz="0" w:space="0" w:color="auto"/>
                    <w:right w:val="none" w:sz="0" w:space="0" w:color="auto"/>
                  </w:divBdr>
                  <w:divsChild>
                    <w:div w:id="1642033894">
                      <w:marLeft w:val="0"/>
                      <w:marRight w:val="0"/>
                      <w:marTop w:val="0"/>
                      <w:marBottom w:val="0"/>
                      <w:divBdr>
                        <w:top w:val="none" w:sz="0" w:space="0" w:color="auto"/>
                        <w:left w:val="none" w:sz="0" w:space="0" w:color="auto"/>
                        <w:bottom w:val="none" w:sz="0" w:space="0" w:color="auto"/>
                        <w:right w:val="none" w:sz="0" w:space="0" w:color="auto"/>
                      </w:divBdr>
                    </w:div>
                  </w:divsChild>
                </w:div>
                <w:div w:id="407776190">
                  <w:marLeft w:val="0"/>
                  <w:marRight w:val="0"/>
                  <w:marTop w:val="0"/>
                  <w:marBottom w:val="0"/>
                  <w:divBdr>
                    <w:top w:val="none" w:sz="0" w:space="0" w:color="auto"/>
                    <w:left w:val="none" w:sz="0" w:space="0" w:color="auto"/>
                    <w:bottom w:val="none" w:sz="0" w:space="0" w:color="auto"/>
                    <w:right w:val="none" w:sz="0" w:space="0" w:color="auto"/>
                  </w:divBdr>
                  <w:divsChild>
                    <w:div w:id="1810052133">
                      <w:marLeft w:val="0"/>
                      <w:marRight w:val="0"/>
                      <w:marTop w:val="0"/>
                      <w:marBottom w:val="0"/>
                      <w:divBdr>
                        <w:top w:val="none" w:sz="0" w:space="0" w:color="auto"/>
                        <w:left w:val="none" w:sz="0" w:space="0" w:color="auto"/>
                        <w:bottom w:val="none" w:sz="0" w:space="0" w:color="auto"/>
                        <w:right w:val="none" w:sz="0" w:space="0" w:color="auto"/>
                      </w:divBdr>
                    </w:div>
                  </w:divsChild>
                </w:div>
                <w:div w:id="418214678">
                  <w:marLeft w:val="0"/>
                  <w:marRight w:val="0"/>
                  <w:marTop w:val="0"/>
                  <w:marBottom w:val="0"/>
                  <w:divBdr>
                    <w:top w:val="none" w:sz="0" w:space="0" w:color="auto"/>
                    <w:left w:val="none" w:sz="0" w:space="0" w:color="auto"/>
                    <w:bottom w:val="none" w:sz="0" w:space="0" w:color="auto"/>
                    <w:right w:val="none" w:sz="0" w:space="0" w:color="auto"/>
                  </w:divBdr>
                  <w:divsChild>
                    <w:div w:id="24908498">
                      <w:marLeft w:val="0"/>
                      <w:marRight w:val="0"/>
                      <w:marTop w:val="0"/>
                      <w:marBottom w:val="0"/>
                      <w:divBdr>
                        <w:top w:val="none" w:sz="0" w:space="0" w:color="auto"/>
                        <w:left w:val="none" w:sz="0" w:space="0" w:color="auto"/>
                        <w:bottom w:val="none" w:sz="0" w:space="0" w:color="auto"/>
                        <w:right w:val="none" w:sz="0" w:space="0" w:color="auto"/>
                      </w:divBdr>
                    </w:div>
                  </w:divsChild>
                </w:div>
                <w:div w:id="669059935">
                  <w:marLeft w:val="0"/>
                  <w:marRight w:val="0"/>
                  <w:marTop w:val="0"/>
                  <w:marBottom w:val="0"/>
                  <w:divBdr>
                    <w:top w:val="none" w:sz="0" w:space="0" w:color="auto"/>
                    <w:left w:val="none" w:sz="0" w:space="0" w:color="auto"/>
                    <w:bottom w:val="none" w:sz="0" w:space="0" w:color="auto"/>
                    <w:right w:val="none" w:sz="0" w:space="0" w:color="auto"/>
                  </w:divBdr>
                  <w:divsChild>
                    <w:div w:id="1729915879">
                      <w:marLeft w:val="0"/>
                      <w:marRight w:val="0"/>
                      <w:marTop w:val="0"/>
                      <w:marBottom w:val="0"/>
                      <w:divBdr>
                        <w:top w:val="none" w:sz="0" w:space="0" w:color="auto"/>
                        <w:left w:val="none" w:sz="0" w:space="0" w:color="auto"/>
                        <w:bottom w:val="none" w:sz="0" w:space="0" w:color="auto"/>
                        <w:right w:val="none" w:sz="0" w:space="0" w:color="auto"/>
                      </w:divBdr>
                    </w:div>
                  </w:divsChild>
                </w:div>
                <w:div w:id="719980209">
                  <w:marLeft w:val="0"/>
                  <w:marRight w:val="0"/>
                  <w:marTop w:val="0"/>
                  <w:marBottom w:val="0"/>
                  <w:divBdr>
                    <w:top w:val="none" w:sz="0" w:space="0" w:color="auto"/>
                    <w:left w:val="none" w:sz="0" w:space="0" w:color="auto"/>
                    <w:bottom w:val="none" w:sz="0" w:space="0" w:color="auto"/>
                    <w:right w:val="none" w:sz="0" w:space="0" w:color="auto"/>
                  </w:divBdr>
                  <w:divsChild>
                    <w:div w:id="1307779973">
                      <w:marLeft w:val="0"/>
                      <w:marRight w:val="0"/>
                      <w:marTop w:val="0"/>
                      <w:marBottom w:val="0"/>
                      <w:divBdr>
                        <w:top w:val="none" w:sz="0" w:space="0" w:color="auto"/>
                        <w:left w:val="none" w:sz="0" w:space="0" w:color="auto"/>
                        <w:bottom w:val="none" w:sz="0" w:space="0" w:color="auto"/>
                        <w:right w:val="none" w:sz="0" w:space="0" w:color="auto"/>
                      </w:divBdr>
                    </w:div>
                  </w:divsChild>
                </w:div>
                <w:div w:id="735972799">
                  <w:marLeft w:val="0"/>
                  <w:marRight w:val="0"/>
                  <w:marTop w:val="0"/>
                  <w:marBottom w:val="0"/>
                  <w:divBdr>
                    <w:top w:val="none" w:sz="0" w:space="0" w:color="auto"/>
                    <w:left w:val="none" w:sz="0" w:space="0" w:color="auto"/>
                    <w:bottom w:val="none" w:sz="0" w:space="0" w:color="auto"/>
                    <w:right w:val="none" w:sz="0" w:space="0" w:color="auto"/>
                  </w:divBdr>
                  <w:divsChild>
                    <w:div w:id="1450467129">
                      <w:marLeft w:val="0"/>
                      <w:marRight w:val="0"/>
                      <w:marTop w:val="0"/>
                      <w:marBottom w:val="0"/>
                      <w:divBdr>
                        <w:top w:val="none" w:sz="0" w:space="0" w:color="auto"/>
                        <w:left w:val="none" w:sz="0" w:space="0" w:color="auto"/>
                        <w:bottom w:val="none" w:sz="0" w:space="0" w:color="auto"/>
                        <w:right w:val="none" w:sz="0" w:space="0" w:color="auto"/>
                      </w:divBdr>
                    </w:div>
                  </w:divsChild>
                </w:div>
                <w:div w:id="738017718">
                  <w:marLeft w:val="0"/>
                  <w:marRight w:val="0"/>
                  <w:marTop w:val="0"/>
                  <w:marBottom w:val="0"/>
                  <w:divBdr>
                    <w:top w:val="none" w:sz="0" w:space="0" w:color="auto"/>
                    <w:left w:val="none" w:sz="0" w:space="0" w:color="auto"/>
                    <w:bottom w:val="none" w:sz="0" w:space="0" w:color="auto"/>
                    <w:right w:val="none" w:sz="0" w:space="0" w:color="auto"/>
                  </w:divBdr>
                  <w:divsChild>
                    <w:div w:id="2038385327">
                      <w:marLeft w:val="0"/>
                      <w:marRight w:val="0"/>
                      <w:marTop w:val="0"/>
                      <w:marBottom w:val="0"/>
                      <w:divBdr>
                        <w:top w:val="none" w:sz="0" w:space="0" w:color="auto"/>
                        <w:left w:val="none" w:sz="0" w:space="0" w:color="auto"/>
                        <w:bottom w:val="none" w:sz="0" w:space="0" w:color="auto"/>
                        <w:right w:val="none" w:sz="0" w:space="0" w:color="auto"/>
                      </w:divBdr>
                    </w:div>
                  </w:divsChild>
                </w:div>
                <w:div w:id="745103560">
                  <w:marLeft w:val="0"/>
                  <w:marRight w:val="0"/>
                  <w:marTop w:val="0"/>
                  <w:marBottom w:val="0"/>
                  <w:divBdr>
                    <w:top w:val="none" w:sz="0" w:space="0" w:color="auto"/>
                    <w:left w:val="none" w:sz="0" w:space="0" w:color="auto"/>
                    <w:bottom w:val="none" w:sz="0" w:space="0" w:color="auto"/>
                    <w:right w:val="none" w:sz="0" w:space="0" w:color="auto"/>
                  </w:divBdr>
                  <w:divsChild>
                    <w:div w:id="1205869034">
                      <w:marLeft w:val="0"/>
                      <w:marRight w:val="0"/>
                      <w:marTop w:val="0"/>
                      <w:marBottom w:val="0"/>
                      <w:divBdr>
                        <w:top w:val="none" w:sz="0" w:space="0" w:color="auto"/>
                        <w:left w:val="none" w:sz="0" w:space="0" w:color="auto"/>
                        <w:bottom w:val="none" w:sz="0" w:space="0" w:color="auto"/>
                        <w:right w:val="none" w:sz="0" w:space="0" w:color="auto"/>
                      </w:divBdr>
                    </w:div>
                  </w:divsChild>
                </w:div>
                <w:div w:id="830025670">
                  <w:marLeft w:val="0"/>
                  <w:marRight w:val="0"/>
                  <w:marTop w:val="0"/>
                  <w:marBottom w:val="0"/>
                  <w:divBdr>
                    <w:top w:val="none" w:sz="0" w:space="0" w:color="auto"/>
                    <w:left w:val="none" w:sz="0" w:space="0" w:color="auto"/>
                    <w:bottom w:val="none" w:sz="0" w:space="0" w:color="auto"/>
                    <w:right w:val="none" w:sz="0" w:space="0" w:color="auto"/>
                  </w:divBdr>
                  <w:divsChild>
                    <w:div w:id="1201631098">
                      <w:marLeft w:val="0"/>
                      <w:marRight w:val="0"/>
                      <w:marTop w:val="0"/>
                      <w:marBottom w:val="0"/>
                      <w:divBdr>
                        <w:top w:val="none" w:sz="0" w:space="0" w:color="auto"/>
                        <w:left w:val="none" w:sz="0" w:space="0" w:color="auto"/>
                        <w:bottom w:val="none" w:sz="0" w:space="0" w:color="auto"/>
                        <w:right w:val="none" w:sz="0" w:space="0" w:color="auto"/>
                      </w:divBdr>
                    </w:div>
                  </w:divsChild>
                </w:div>
                <w:div w:id="870922203">
                  <w:marLeft w:val="0"/>
                  <w:marRight w:val="0"/>
                  <w:marTop w:val="0"/>
                  <w:marBottom w:val="0"/>
                  <w:divBdr>
                    <w:top w:val="none" w:sz="0" w:space="0" w:color="auto"/>
                    <w:left w:val="none" w:sz="0" w:space="0" w:color="auto"/>
                    <w:bottom w:val="none" w:sz="0" w:space="0" w:color="auto"/>
                    <w:right w:val="none" w:sz="0" w:space="0" w:color="auto"/>
                  </w:divBdr>
                  <w:divsChild>
                    <w:div w:id="2135323624">
                      <w:marLeft w:val="0"/>
                      <w:marRight w:val="0"/>
                      <w:marTop w:val="0"/>
                      <w:marBottom w:val="0"/>
                      <w:divBdr>
                        <w:top w:val="none" w:sz="0" w:space="0" w:color="auto"/>
                        <w:left w:val="none" w:sz="0" w:space="0" w:color="auto"/>
                        <w:bottom w:val="none" w:sz="0" w:space="0" w:color="auto"/>
                        <w:right w:val="none" w:sz="0" w:space="0" w:color="auto"/>
                      </w:divBdr>
                    </w:div>
                  </w:divsChild>
                </w:div>
                <w:div w:id="1016006414">
                  <w:marLeft w:val="0"/>
                  <w:marRight w:val="0"/>
                  <w:marTop w:val="0"/>
                  <w:marBottom w:val="0"/>
                  <w:divBdr>
                    <w:top w:val="none" w:sz="0" w:space="0" w:color="auto"/>
                    <w:left w:val="none" w:sz="0" w:space="0" w:color="auto"/>
                    <w:bottom w:val="none" w:sz="0" w:space="0" w:color="auto"/>
                    <w:right w:val="none" w:sz="0" w:space="0" w:color="auto"/>
                  </w:divBdr>
                  <w:divsChild>
                    <w:div w:id="1676152701">
                      <w:marLeft w:val="0"/>
                      <w:marRight w:val="0"/>
                      <w:marTop w:val="0"/>
                      <w:marBottom w:val="0"/>
                      <w:divBdr>
                        <w:top w:val="none" w:sz="0" w:space="0" w:color="auto"/>
                        <w:left w:val="none" w:sz="0" w:space="0" w:color="auto"/>
                        <w:bottom w:val="none" w:sz="0" w:space="0" w:color="auto"/>
                        <w:right w:val="none" w:sz="0" w:space="0" w:color="auto"/>
                      </w:divBdr>
                    </w:div>
                  </w:divsChild>
                </w:div>
                <w:div w:id="1074740634">
                  <w:marLeft w:val="0"/>
                  <w:marRight w:val="0"/>
                  <w:marTop w:val="0"/>
                  <w:marBottom w:val="0"/>
                  <w:divBdr>
                    <w:top w:val="none" w:sz="0" w:space="0" w:color="auto"/>
                    <w:left w:val="none" w:sz="0" w:space="0" w:color="auto"/>
                    <w:bottom w:val="none" w:sz="0" w:space="0" w:color="auto"/>
                    <w:right w:val="none" w:sz="0" w:space="0" w:color="auto"/>
                  </w:divBdr>
                  <w:divsChild>
                    <w:div w:id="1710454190">
                      <w:marLeft w:val="0"/>
                      <w:marRight w:val="0"/>
                      <w:marTop w:val="0"/>
                      <w:marBottom w:val="0"/>
                      <w:divBdr>
                        <w:top w:val="none" w:sz="0" w:space="0" w:color="auto"/>
                        <w:left w:val="none" w:sz="0" w:space="0" w:color="auto"/>
                        <w:bottom w:val="none" w:sz="0" w:space="0" w:color="auto"/>
                        <w:right w:val="none" w:sz="0" w:space="0" w:color="auto"/>
                      </w:divBdr>
                    </w:div>
                  </w:divsChild>
                </w:div>
                <w:div w:id="1176848781">
                  <w:marLeft w:val="0"/>
                  <w:marRight w:val="0"/>
                  <w:marTop w:val="0"/>
                  <w:marBottom w:val="0"/>
                  <w:divBdr>
                    <w:top w:val="none" w:sz="0" w:space="0" w:color="auto"/>
                    <w:left w:val="none" w:sz="0" w:space="0" w:color="auto"/>
                    <w:bottom w:val="none" w:sz="0" w:space="0" w:color="auto"/>
                    <w:right w:val="none" w:sz="0" w:space="0" w:color="auto"/>
                  </w:divBdr>
                  <w:divsChild>
                    <w:div w:id="1021786431">
                      <w:marLeft w:val="0"/>
                      <w:marRight w:val="0"/>
                      <w:marTop w:val="0"/>
                      <w:marBottom w:val="0"/>
                      <w:divBdr>
                        <w:top w:val="none" w:sz="0" w:space="0" w:color="auto"/>
                        <w:left w:val="none" w:sz="0" w:space="0" w:color="auto"/>
                        <w:bottom w:val="none" w:sz="0" w:space="0" w:color="auto"/>
                        <w:right w:val="none" w:sz="0" w:space="0" w:color="auto"/>
                      </w:divBdr>
                    </w:div>
                  </w:divsChild>
                </w:div>
                <w:div w:id="1177496234">
                  <w:marLeft w:val="0"/>
                  <w:marRight w:val="0"/>
                  <w:marTop w:val="0"/>
                  <w:marBottom w:val="0"/>
                  <w:divBdr>
                    <w:top w:val="none" w:sz="0" w:space="0" w:color="auto"/>
                    <w:left w:val="none" w:sz="0" w:space="0" w:color="auto"/>
                    <w:bottom w:val="none" w:sz="0" w:space="0" w:color="auto"/>
                    <w:right w:val="none" w:sz="0" w:space="0" w:color="auto"/>
                  </w:divBdr>
                  <w:divsChild>
                    <w:div w:id="54159286">
                      <w:marLeft w:val="0"/>
                      <w:marRight w:val="0"/>
                      <w:marTop w:val="0"/>
                      <w:marBottom w:val="0"/>
                      <w:divBdr>
                        <w:top w:val="none" w:sz="0" w:space="0" w:color="auto"/>
                        <w:left w:val="none" w:sz="0" w:space="0" w:color="auto"/>
                        <w:bottom w:val="none" w:sz="0" w:space="0" w:color="auto"/>
                        <w:right w:val="none" w:sz="0" w:space="0" w:color="auto"/>
                      </w:divBdr>
                    </w:div>
                  </w:divsChild>
                </w:div>
                <w:div w:id="1340501576">
                  <w:marLeft w:val="0"/>
                  <w:marRight w:val="0"/>
                  <w:marTop w:val="0"/>
                  <w:marBottom w:val="0"/>
                  <w:divBdr>
                    <w:top w:val="none" w:sz="0" w:space="0" w:color="auto"/>
                    <w:left w:val="none" w:sz="0" w:space="0" w:color="auto"/>
                    <w:bottom w:val="none" w:sz="0" w:space="0" w:color="auto"/>
                    <w:right w:val="none" w:sz="0" w:space="0" w:color="auto"/>
                  </w:divBdr>
                  <w:divsChild>
                    <w:div w:id="2043362544">
                      <w:marLeft w:val="0"/>
                      <w:marRight w:val="0"/>
                      <w:marTop w:val="0"/>
                      <w:marBottom w:val="0"/>
                      <w:divBdr>
                        <w:top w:val="none" w:sz="0" w:space="0" w:color="auto"/>
                        <w:left w:val="none" w:sz="0" w:space="0" w:color="auto"/>
                        <w:bottom w:val="none" w:sz="0" w:space="0" w:color="auto"/>
                        <w:right w:val="none" w:sz="0" w:space="0" w:color="auto"/>
                      </w:divBdr>
                    </w:div>
                  </w:divsChild>
                </w:div>
                <w:div w:id="1346135491">
                  <w:marLeft w:val="0"/>
                  <w:marRight w:val="0"/>
                  <w:marTop w:val="0"/>
                  <w:marBottom w:val="0"/>
                  <w:divBdr>
                    <w:top w:val="none" w:sz="0" w:space="0" w:color="auto"/>
                    <w:left w:val="none" w:sz="0" w:space="0" w:color="auto"/>
                    <w:bottom w:val="none" w:sz="0" w:space="0" w:color="auto"/>
                    <w:right w:val="none" w:sz="0" w:space="0" w:color="auto"/>
                  </w:divBdr>
                  <w:divsChild>
                    <w:div w:id="1897661989">
                      <w:marLeft w:val="0"/>
                      <w:marRight w:val="0"/>
                      <w:marTop w:val="0"/>
                      <w:marBottom w:val="0"/>
                      <w:divBdr>
                        <w:top w:val="none" w:sz="0" w:space="0" w:color="auto"/>
                        <w:left w:val="none" w:sz="0" w:space="0" w:color="auto"/>
                        <w:bottom w:val="none" w:sz="0" w:space="0" w:color="auto"/>
                        <w:right w:val="none" w:sz="0" w:space="0" w:color="auto"/>
                      </w:divBdr>
                    </w:div>
                  </w:divsChild>
                </w:div>
                <w:div w:id="1493178051">
                  <w:marLeft w:val="0"/>
                  <w:marRight w:val="0"/>
                  <w:marTop w:val="0"/>
                  <w:marBottom w:val="0"/>
                  <w:divBdr>
                    <w:top w:val="none" w:sz="0" w:space="0" w:color="auto"/>
                    <w:left w:val="none" w:sz="0" w:space="0" w:color="auto"/>
                    <w:bottom w:val="none" w:sz="0" w:space="0" w:color="auto"/>
                    <w:right w:val="none" w:sz="0" w:space="0" w:color="auto"/>
                  </w:divBdr>
                  <w:divsChild>
                    <w:div w:id="1022167340">
                      <w:marLeft w:val="0"/>
                      <w:marRight w:val="0"/>
                      <w:marTop w:val="0"/>
                      <w:marBottom w:val="0"/>
                      <w:divBdr>
                        <w:top w:val="none" w:sz="0" w:space="0" w:color="auto"/>
                        <w:left w:val="none" w:sz="0" w:space="0" w:color="auto"/>
                        <w:bottom w:val="none" w:sz="0" w:space="0" w:color="auto"/>
                        <w:right w:val="none" w:sz="0" w:space="0" w:color="auto"/>
                      </w:divBdr>
                    </w:div>
                  </w:divsChild>
                </w:div>
                <w:div w:id="1731684017">
                  <w:marLeft w:val="0"/>
                  <w:marRight w:val="0"/>
                  <w:marTop w:val="0"/>
                  <w:marBottom w:val="0"/>
                  <w:divBdr>
                    <w:top w:val="none" w:sz="0" w:space="0" w:color="auto"/>
                    <w:left w:val="none" w:sz="0" w:space="0" w:color="auto"/>
                    <w:bottom w:val="none" w:sz="0" w:space="0" w:color="auto"/>
                    <w:right w:val="none" w:sz="0" w:space="0" w:color="auto"/>
                  </w:divBdr>
                  <w:divsChild>
                    <w:div w:id="215360514">
                      <w:marLeft w:val="0"/>
                      <w:marRight w:val="0"/>
                      <w:marTop w:val="0"/>
                      <w:marBottom w:val="0"/>
                      <w:divBdr>
                        <w:top w:val="none" w:sz="0" w:space="0" w:color="auto"/>
                        <w:left w:val="none" w:sz="0" w:space="0" w:color="auto"/>
                        <w:bottom w:val="none" w:sz="0" w:space="0" w:color="auto"/>
                        <w:right w:val="none" w:sz="0" w:space="0" w:color="auto"/>
                      </w:divBdr>
                    </w:div>
                  </w:divsChild>
                </w:div>
                <w:div w:id="2056851857">
                  <w:marLeft w:val="0"/>
                  <w:marRight w:val="0"/>
                  <w:marTop w:val="0"/>
                  <w:marBottom w:val="0"/>
                  <w:divBdr>
                    <w:top w:val="none" w:sz="0" w:space="0" w:color="auto"/>
                    <w:left w:val="none" w:sz="0" w:space="0" w:color="auto"/>
                    <w:bottom w:val="none" w:sz="0" w:space="0" w:color="auto"/>
                    <w:right w:val="none" w:sz="0" w:space="0" w:color="auto"/>
                  </w:divBdr>
                  <w:divsChild>
                    <w:div w:id="926310353">
                      <w:marLeft w:val="0"/>
                      <w:marRight w:val="0"/>
                      <w:marTop w:val="0"/>
                      <w:marBottom w:val="0"/>
                      <w:divBdr>
                        <w:top w:val="none" w:sz="0" w:space="0" w:color="auto"/>
                        <w:left w:val="none" w:sz="0" w:space="0" w:color="auto"/>
                        <w:bottom w:val="none" w:sz="0" w:space="0" w:color="auto"/>
                        <w:right w:val="none" w:sz="0" w:space="0" w:color="auto"/>
                      </w:divBdr>
                    </w:div>
                  </w:divsChild>
                </w:div>
                <w:div w:id="2079741050">
                  <w:marLeft w:val="0"/>
                  <w:marRight w:val="0"/>
                  <w:marTop w:val="0"/>
                  <w:marBottom w:val="0"/>
                  <w:divBdr>
                    <w:top w:val="none" w:sz="0" w:space="0" w:color="auto"/>
                    <w:left w:val="none" w:sz="0" w:space="0" w:color="auto"/>
                    <w:bottom w:val="none" w:sz="0" w:space="0" w:color="auto"/>
                    <w:right w:val="none" w:sz="0" w:space="0" w:color="auto"/>
                  </w:divBdr>
                  <w:divsChild>
                    <w:div w:id="1925145680">
                      <w:marLeft w:val="0"/>
                      <w:marRight w:val="0"/>
                      <w:marTop w:val="0"/>
                      <w:marBottom w:val="0"/>
                      <w:divBdr>
                        <w:top w:val="none" w:sz="0" w:space="0" w:color="auto"/>
                        <w:left w:val="none" w:sz="0" w:space="0" w:color="auto"/>
                        <w:bottom w:val="none" w:sz="0" w:space="0" w:color="auto"/>
                        <w:right w:val="none" w:sz="0" w:space="0" w:color="auto"/>
                      </w:divBdr>
                    </w:div>
                  </w:divsChild>
                </w:div>
                <w:div w:id="2142189249">
                  <w:marLeft w:val="0"/>
                  <w:marRight w:val="0"/>
                  <w:marTop w:val="0"/>
                  <w:marBottom w:val="0"/>
                  <w:divBdr>
                    <w:top w:val="none" w:sz="0" w:space="0" w:color="auto"/>
                    <w:left w:val="none" w:sz="0" w:space="0" w:color="auto"/>
                    <w:bottom w:val="none" w:sz="0" w:space="0" w:color="auto"/>
                    <w:right w:val="none" w:sz="0" w:space="0" w:color="auto"/>
                  </w:divBdr>
                  <w:divsChild>
                    <w:div w:id="105763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4416">
          <w:marLeft w:val="0"/>
          <w:marRight w:val="0"/>
          <w:marTop w:val="0"/>
          <w:marBottom w:val="0"/>
          <w:divBdr>
            <w:top w:val="none" w:sz="0" w:space="0" w:color="auto"/>
            <w:left w:val="none" w:sz="0" w:space="0" w:color="auto"/>
            <w:bottom w:val="none" w:sz="0" w:space="0" w:color="auto"/>
            <w:right w:val="none" w:sz="0" w:space="0" w:color="auto"/>
          </w:divBdr>
        </w:div>
        <w:div w:id="1121270395">
          <w:marLeft w:val="0"/>
          <w:marRight w:val="0"/>
          <w:marTop w:val="0"/>
          <w:marBottom w:val="0"/>
          <w:divBdr>
            <w:top w:val="none" w:sz="0" w:space="0" w:color="auto"/>
            <w:left w:val="none" w:sz="0" w:space="0" w:color="auto"/>
            <w:bottom w:val="none" w:sz="0" w:space="0" w:color="auto"/>
            <w:right w:val="none" w:sz="0" w:space="0" w:color="auto"/>
          </w:divBdr>
        </w:div>
        <w:div w:id="1125079035">
          <w:marLeft w:val="0"/>
          <w:marRight w:val="0"/>
          <w:marTop w:val="0"/>
          <w:marBottom w:val="0"/>
          <w:divBdr>
            <w:top w:val="none" w:sz="0" w:space="0" w:color="auto"/>
            <w:left w:val="none" w:sz="0" w:space="0" w:color="auto"/>
            <w:bottom w:val="none" w:sz="0" w:space="0" w:color="auto"/>
            <w:right w:val="none" w:sz="0" w:space="0" w:color="auto"/>
          </w:divBdr>
        </w:div>
        <w:div w:id="1129516878">
          <w:marLeft w:val="0"/>
          <w:marRight w:val="0"/>
          <w:marTop w:val="0"/>
          <w:marBottom w:val="0"/>
          <w:divBdr>
            <w:top w:val="none" w:sz="0" w:space="0" w:color="auto"/>
            <w:left w:val="none" w:sz="0" w:space="0" w:color="auto"/>
            <w:bottom w:val="none" w:sz="0" w:space="0" w:color="auto"/>
            <w:right w:val="none" w:sz="0" w:space="0" w:color="auto"/>
          </w:divBdr>
        </w:div>
        <w:div w:id="1130905050">
          <w:marLeft w:val="0"/>
          <w:marRight w:val="0"/>
          <w:marTop w:val="0"/>
          <w:marBottom w:val="0"/>
          <w:divBdr>
            <w:top w:val="none" w:sz="0" w:space="0" w:color="auto"/>
            <w:left w:val="none" w:sz="0" w:space="0" w:color="auto"/>
            <w:bottom w:val="none" w:sz="0" w:space="0" w:color="auto"/>
            <w:right w:val="none" w:sz="0" w:space="0" w:color="auto"/>
          </w:divBdr>
          <w:divsChild>
            <w:div w:id="1129670451">
              <w:marLeft w:val="0"/>
              <w:marRight w:val="0"/>
              <w:marTop w:val="0"/>
              <w:marBottom w:val="0"/>
              <w:divBdr>
                <w:top w:val="none" w:sz="0" w:space="0" w:color="auto"/>
                <w:left w:val="none" w:sz="0" w:space="0" w:color="auto"/>
                <w:bottom w:val="none" w:sz="0" w:space="0" w:color="auto"/>
                <w:right w:val="none" w:sz="0" w:space="0" w:color="auto"/>
              </w:divBdr>
            </w:div>
          </w:divsChild>
        </w:div>
        <w:div w:id="1140657426">
          <w:marLeft w:val="0"/>
          <w:marRight w:val="0"/>
          <w:marTop w:val="0"/>
          <w:marBottom w:val="0"/>
          <w:divBdr>
            <w:top w:val="none" w:sz="0" w:space="0" w:color="auto"/>
            <w:left w:val="none" w:sz="0" w:space="0" w:color="auto"/>
            <w:bottom w:val="none" w:sz="0" w:space="0" w:color="auto"/>
            <w:right w:val="none" w:sz="0" w:space="0" w:color="auto"/>
          </w:divBdr>
          <w:divsChild>
            <w:div w:id="435642214">
              <w:marLeft w:val="0"/>
              <w:marRight w:val="0"/>
              <w:marTop w:val="0"/>
              <w:marBottom w:val="0"/>
              <w:divBdr>
                <w:top w:val="none" w:sz="0" w:space="0" w:color="auto"/>
                <w:left w:val="none" w:sz="0" w:space="0" w:color="auto"/>
                <w:bottom w:val="none" w:sz="0" w:space="0" w:color="auto"/>
                <w:right w:val="none" w:sz="0" w:space="0" w:color="auto"/>
              </w:divBdr>
            </w:div>
            <w:div w:id="744112484">
              <w:marLeft w:val="0"/>
              <w:marRight w:val="0"/>
              <w:marTop w:val="0"/>
              <w:marBottom w:val="0"/>
              <w:divBdr>
                <w:top w:val="none" w:sz="0" w:space="0" w:color="auto"/>
                <w:left w:val="none" w:sz="0" w:space="0" w:color="auto"/>
                <w:bottom w:val="none" w:sz="0" w:space="0" w:color="auto"/>
                <w:right w:val="none" w:sz="0" w:space="0" w:color="auto"/>
              </w:divBdr>
            </w:div>
            <w:div w:id="1069378369">
              <w:marLeft w:val="0"/>
              <w:marRight w:val="0"/>
              <w:marTop w:val="0"/>
              <w:marBottom w:val="0"/>
              <w:divBdr>
                <w:top w:val="none" w:sz="0" w:space="0" w:color="auto"/>
                <w:left w:val="none" w:sz="0" w:space="0" w:color="auto"/>
                <w:bottom w:val="none" w:sz="0" w:space="0" w:color="auto"/>
                <w:right w:val="none" w:sz="0" w:space="0" w:color="auto"/>
              </w:divBdr>
            </w:div>
            <w:div w:id="1317488407">
              <w:marLeft w:val="0"/>
              <w:marRight w:val="0"/>
              <w:marTop w:val="0"/>
              <w:marBottom w:val="0"/>
              <w:divBdr>
                <w:top w:val="none" w:sz="0" w:space="0" w:color="auto"/>
                <w:left w:val="none" w:sz="0" w:space="0" w:color="auto"/>
                <w:bottom w:val="none" w:sz="0" w:space="0" w:color="auto"/>
                <w:right w:val="none" w:sz="0" w:space="0" w:color="auto"/>
              </w:divBdr>
            </w:div>
            <w:div w:id="1379013722">
              <w:marLeft w:val="0"/>
              <w:marRight w:val="0"/>
              <w:marTop w:val="0"/>
              <w:marBottom w:val="0"/>
              <w:divBdr>
                <w:top w:val="none" w:sz="0" w:space="0" w:color="auto"/>
                <w:left w:val="none" w:sz="0" w:space="0" w:color="auto"/>
                <w:bottom w:val="none" w:sz="0" w:space="0" w:color="auto"/>
                <w:right w:val="none" w:sz="0" w:space="0" w:color="auto"/>
              </w:divBdr>
            </w:div>
            <w:div w:id="1397167464">
              <w:marLeft w:val="0"/>
              <w:marRight w:val="0"/>
              <w:marTop w:val="0"/>
              <w:marBottom w:val="0"/>
              <w:divBdr>
                <w:top w:val="none" w:sz="0" w:space="0" w:color="auto"/>
                <w:left w:val="none" w:sz="0" w:space="0" w:color="auto"/>
                <w:bottom w:val="none" w:sz="0" w:space="0" w:color="auto"/>
                <w:right w:val="none" w:sz="0" w:space="0" w:color="auto"/>
              </w:divBdr>
            </w:div>
            <w:div w:id="1424259601">
              <w:marLeft w:val="0"/>
              <w:marRight w:val="0"/>
              <w:marTop w:val="0"/>
              <w:marBottom w:val="0"/>
              <w:divBdr>
                <w:top w:val="none" w:sz="0" w:space="0" w:color="auto"/>
                <w:left w:val="none" w:sz="0" w:space="0" w:color="auto"/>
                <w:bottom w:val="none" w:sz="0" w:space="0" w:color="auto"/>
                <w:right w:val="none" w:sz="0" w:space="0" w:color="auto"/>
              </w:divBdr>
            </w:div>
            <w:div w:id="1581715910">
              <w:marLeft w:val="0"/>
              <w:marRight w:val="0"/>
              <w:marTop w:val="0"/>
              <w:marBottom w:val="0"/>
              <w:divBdr>
                <w:top w:val="none" w:sz="0" w:space="0" w:color="auto"/>
                <w:left w:val="none" w:sz="0" w:space="0" w:color="auto"/>
                <w:bottom w:val="none" w:sz="0" w:space="0" w:color="auto"/>
                <w:right w:val="none" w:sz="0" w:space="0" w:color="auto"/>
              </w:divBdr>
            </w:div>
            <w:div w:id="2004237284">
              <w:marLeft w:val="0"/>
              <w:marRight w:val="0"/>
              <w:marTop w:val="0"/>
              <w:marBottom w:val="0"/>
              <w:divBdr>
                <w:top w:val="none" w:sz="0" w:space="0" w:color="auto"/>
                <w:left w:val="none" w:sz="0" w:space="0" w:color="auto"/>
                <w:bottom w:val="none" w:sz="0" w:space="0" w:color="auto"/>
                <w:right w:val="none" w:sz="0" w:space="0" w:color="auto"/>
              </w:divBdr>
            </w:div>
          </w:divsChild>
        </w:div>
        <w:div w:id="1148010201">
          <w:marLeft w:val="0"/>
          <w:marRight w:val="0"/>
          <w:marTop w:val="0"/>
          <w:marBottom w:val="0"/>
          <w:divBdr>
            <w:top w:val="none" w:sz="0" w:space="0" w:color="auto"/>
            <w:left w:val="none" w:sz="0" w:space="0" w:color="auto"/>
            <w:bottom w:val="none" w:sz="0" w:space="0" w:color="auto"/>
            <w:right w:val="none" w:sz="0" w:space="0" w:color="auto"/>
          </w:divBdr>
          <w:divsChild>
            <w:div w:id="277221809">
              <w:marLeft w:val="-75"/>
              <w:marRight w:val="0"/>
              <w:marTop w:val="30"/>
              <w:marBottom w:val="30"/>
              <w:divBdr>
                <w:top w:val="none" w:sz="0" w:space="0" w:color="auto"/>
                <w:left w:val="none" w:sz="0" w:space="0" w:color="auto"/>
                <w:bottom w:val="none" w:sz="0" w:space="0" w:color="auto"/>
                <w:right w:val="none" w:sz="0" w:space="0" w:color="auto"/>
              </w:divBdr>
              <w:divsChild>
                <w:div w:id="426341805">
                  <w:marLeft w:val="0"/>
                  <w:marRight w:val="0"/>
                  <w:marTop w:val="0"/>
                  <w:marBottom w:val="0"/>
                  <w:divBdr>
                    <w:top w:val="none" w:sz="0" w:space="0" w:color="auto"/>
                    <w:left w:val="none" w:sz="0" w:space="0" w:color="auto"/>
                    <w:bottom w:val="none" w:sz="0" w:space="0" w:color="auto"/>
                    <w:right w:val="none" w:sz="0" w:space="0" w:color="auto"/>
                  </w:divBdr>
                  <w:divsChild>
                    <w:div w:id="1753502880">
                      <w:marLeft w:val="0"/>
                      <w:marRight w:val="0"/>
                      <w:marTop w:val="0"/>
                      <w:marBottom w:val="0"/>
                      <w:divBdr>
                        <w:top w:val="none" w:sz="0" w:space="0" w:color="auto"/>
                        <w:left w:val="none" w:sz="0" w:space="0" w:color="auto"/>
                        <w:bottom w:val="none" w:sz="0" w:space="0" w:color="auto"/>
                        <w:right w:val="none" w:sz="0" w:space="0" w:color="auto"/>
                      </w:divBdr>
                    </w:div>
                  </w:divsChild>
                </w:div>
                <w:div w:id="581180832">
                  <w:marLeft w:val="0"/>
                  <w:marRight w:val="0"/>
                  <w:marTop w:val="0"/>
                  <w:marBottom w:val="0"/>
                  <w:divBdr>
                    <w:top w:val="none" w:sz="0" w:space="0" w:color="auto"/>
                    <w:left w:val="none" w:sz="0" w:space="0" w:color="auto"/>
                    <w:bottom w:val="none" w:sz="0" w:space="0" w:color="auto"/>
                    <w:right w:val="none" w:sz="0" w:space="0" w:color="auto"/>
                  </w:divBdr>
                  <w:divsChild>
                    <w:div w:id="115880474">
                      <w:marLeft w:val="0"/>
                      <w:marRight w:val="0"/>
                      <w:marTop w:val="0"/>
                      <w:marBottom w:val="0"/>
                      <w:divBdr>
                        <w:top w:val="none" w:sz="0" w:space="0" w:color="auto"/>
                        <w:left w:val="none" w:sz="0" w:space="0" w:color="auto"/>
                        <w:bottom w:val="none" w:sz="0" w:space="0" w:color="auto"/>
                        <w:right w:val="none" w:sz="0" w:space="0" w:color="auto"/>
                      </w:divBdr>
                    </w:div>
                  </w:divsChild>
                </w:div>
                <w:div w:id="766465094">
                  <w:marLeft w:val="0"/>
                  <w:marRight w:val="0"/>
                  <w:marTop w:val="0"/>
                  <w:marBottom w:val="0"/>
                  <w:divBdr>
                    <w:top w:val="none" w:sz="0" w:space="0" w:color="auto"/>
                    <w:left w:val="none" w:sz="0" w:space="0" w:color="auto"/>
                    <w:bottom w:val="none" w:sz="0" w:space="0" w:color="auto"/>
                    <w:right w:val="none" w:sz="0" w:space="0" w:color="auto"/>
                  </w:divBdr>
                  <w:divsChild>
                    <w:div w:id="2004160971">
                      <w:marLeft w:val="0"/>
                      <w:marRight w:val="0"/>
                      <w:marTop w:val="0"/>
                      <w:marBottom w:val="0"/>
                      <w:divBdr>
                        <w:top w:val="none" w:sz="0" w:space="0" w:color="auto"/>
                        <w:left w:val="none" w:sz="0" w:space="0" w:color="auto"/>
                        <w:bottom w:val="none" w:sz="0" w:space="0" w:color="auto"/>
                        <w:right w:val="none" w:sz="0" w:space="0" w:color="auto"/>
                      </w:divBdr>
                    </w:div>
                  </w:divsChild>
                </w:div>
                <w:div w:id="905644584">
                  <w:marLeft w:val="0"/>
                  <w:marRight w:val="0"/>
                  <w:marTop w:val="0"/>
                  <w:marBottom w:val="0"/>
                  <w:divBdr>
                    <w:top w:val="none" w:sz="0" w:space="0" w:color="auto"/>
                    <w:left w:val="none" w:sz="0" w:space="0" w:color="auto"/>
                    <w:bottom w:val="none" w:sz="0" w:space="0" w:color="auto"/>
                    <w:right w:val="none" w:sz="0" w:space="0" w:color="auto"/>
                  </w:divBdr>
                  <w:divsChild>
                    <w:div w:id="599417364">
                      <w:marLeft w:val="0"/>
                      <w:marRight w:val="0"/>
                      <w:marTop w:val="0"/>
                      <w:marBottom w:val="0"/>
                      <w:divBdr>
                        <w:top w:val="none" w:sz="0" w:space="0" w:color="auto"/>
                        <w:left w:val="none" w:sz="0" w:space="0" w:color="auto"/>
                        <w:bottom w:val="none" w:sz="0" w:space="0" w:color="auto"/>
                        <w:right w:val="none" w:sz="0" w:space="0" w:color="auto"/>
                      </w:divBdr>
                    </w:div>
                  </w:divsChild>
                </w:div>
                <w:div w:id="918172050">
                  <w:marLeft w:val="0"/>
                  <w:marRight w:val="0"/>
                  <w:marTop w:val="0"/>
                  <w:marBottom w:val="0"/>
                  <w:divBdr>
                    <w:top w:val="none" w:sz="0" w:space="0" w:color="auto"/>
                    <w:left w:val="none" w:sz="0" w:space="0" w:color="auto"/>
                    <w:bottom w:val="none" w:sz="0" w:space="0" w:color="auto"/>
                    <w:right w:val="none" w:sz="0" w:space="0" w:color="auto"/>
                  </w:divBdr>
                  <w:divsChild>
                    <w:div w:id="574631040">
                      <w:marLeft w:val="0"/>
                      <w:marRight w:val="0"/>
                      <w:marTop w:val="0"/>
                      <w:marBottom w:val="0"/>
                      <w:divBdr>
                        <w:top w:val="none" w:sz="0" w:space="0" w:color="auto"/>
                        <w:left w:val="none" w:sz="0" w:space="0" w:color="auto"/>
                        <w:bottom w:val="none" w:sz="0" w:space="0" w:color="auto"/>
                        <w:right w:val="none" w:sz="0" w:space="0" w:color="auto"/>
                      </w:divBdr>
                    </w:div>
                  </w:divsChild>
                </w:div>
                <w:div w:id="1000431445">
                  <w:marLeft w:val="0"/>
                  <w:marRight w:val="0"/>
                  <w:marTop w:val="0"/>
                  <w:marBottom w:val="0"/>
                  <w:divBdr>
                    <w:top w:val="none" w:sz="0" w:space="0" w:color="auto"/>
                    <w:left w:val="none" w:sz="0" w:space="0" w:color="auto"/>
                    <w:bottom w:val="none" w:sz="0" w:space="0" w:color="auto"/>
                    <w:right w:val="none" w:sz="0" w:space="0" w:color="auto"/>
                  </w:divBdr>
                  <w:divsChild>
                    <w:div w:id="1355185739">
                      <w:marLeft w:val="0"/>
                      <w:marRight w:val="0"/>
                      <w:marTop w:val="0"/>
                      <w:marBottom w:val="0"/>
                      <w:divBdr>
                        <w:top w:val="none" w:sz="0" w:space="0" w:color="auto"/>
                        <w:left w:val="none" w:sz="0" w:space="0" w:color="auto"/>
                        <w:bottom w:val="none" w:sz="0" w:space="0" w:color="auto"/>
                        <w:right w:val="none" w:sz="0" w:space="0" w:color="auto"/>
                      </w:divBdr>
                    </w:div>
                  </w:divsChild>
                </w:div>
                <w:div w:id="1200507557">
                  <w:marLeft w:val="0"/>
                  <w:marRight w:val="0"/>
                  <w:marTop w:val="0"/>
                  <w:marBottom w:val="0"/>
                  <w:divBdr>
                    <w:top w:val="none" w:sz="0" w:space="0" w:color="auto"/>
                    <w:left w:val="none" w:sz="0" w:space="0" w:color="auto"/>
                    <w:bottom w:val="none" w:sz="0" w:space="0" w:color="auto"/>
                    <w:right w:val="none" w:sz="0" w:space="0" w:color="auto"/>
                  </w:divBdr>
                  <w:divsChild>
                    <w:div w:id="318659302">
                      <w:marLeft w:val="0"/>
                      <w:marRight w:val="0"/>
                      <w:marTop w:val="0"/>
                      <w:marBottom w:val="0"/>
                      <w:divBdr>
                        <w:top w:val="none" w:sz="0" w:space="0" w:color="auto"/>
                        <w:left w:val="none" w:sz="0" w:space="0" w:color="auto"/>
                        <w:bottom w:val="none" w:sz="0" w:space="0" w:color="auto"/>
                        <w:right w:val="none" w:sz="0" w:space="0" w:color="auto"/>
                      </w:divBdr>
                    </w:div>
                  </w:divsChild>
                </w:div>
                <w:div w:id="1255742850">
                  <w:marLeft w:val="0"/>
                  <w:marRight w:val="0"/>
                  <w:marTop w:val="0"/>
                  <w:marBottom w:val="0"/>
                  <w:divBdr>
                    <w:top w:val="none" w:sz="0" w:space="0" w:color="auto"/>
                    <w:left w:val="none" w:sz="0" w:space="0" w:color="auto"/>
                    <w:bottom w:val="none" w:sz="0" w:space="0" w:color="auto"/>
                    <w:right w:val="none" w:sz="0" w:space="0" w:color="auto"/>
                  </w:divBdr>
                  <w:divsChild>
                    <w:div w:id="713388322">
                      <w:marLeft w:val="0"/>
                      <w:marRight w:val="0"/>
                      <w:marTop w:val="0"/>
                      <w:marBottom w:val="0"/>
                      <w:divBdr>
                        <w:top w:val="none" w:sz="0" w:space="0" w:color="auto"/>
                        <w:left w:val="none" w:sz="0" w:space="0" w:color="auto"/>
                        <w:bottom w:val="none" w:sz="0" w:space="0" w:color="auto"/>
                        <w:right w:val="none" w:sz="0" w:space="0" w:color="auto"/>
                      </w:divBdr>
                    </w:div>
                  </w:divsChild>
                </w:div>
                <w:div w:id="1274946092">
                  <w:marLeft w:val="0"/>
                  <w:marRight w:val="0"/>
                  <w:marTop w:val="0"/>
                  <w:marBottom w:val="0"/>
                  <w:divBdr>
                    <w:top w:val="none" w:sz="0" w:space="0" w:color="auto"/>
                    <w:left w:val="none" w:sz="0" w:space="0" w:color="auto"/>
                    <w:bottom w:val="none" w:sz="0" w:space="0" w:color="auto"/>
                    <w:right w:val="none" w:sz="0" w:space="0" w:color="auto"/>
                  </w:divBdr>
                  <w:divsChild>
                    <w:div w:id="1849515784">
                      <w:marLeft w:val="0"/>
                      <w:marRight w:val="0"/>
                      <w:marTop w:val="0"/>
                      <w:marBottom w:val="0"/>
                      <w:divBdr>
                        <w:top w:val="none" w:sz="0" w:space="0" w:color="auto"/>
                        <w:left w:val="none" w:sz="0" w:space="0" w:color="auto"/>
                        <w:bottom w:val="none" w:sz="0" w:space="0" w:color="auto"/>
                        <w:right w:val="none" w:sz="0" w:space="0" w:color="auto"/>
                      </w:divBdr>
                    </w:div>
                  </w:divsChild>
                </w:div>
                <w:div w:id="1303073235">
                  <w:marLeft w:val="0"/>
                  <w:marRight w:val="0"/>
                  <w:marTop w:val="0"/>
                  <w:marBottom w:val="0"/>
                  <w:divBdr>
                    <w:top w:val="none" w:sz="0" w:space="0" w:color="auto"/>
                    <w:left w:val="none" w:sz="0" w:space="0" w:color="auto"/>
                    <w:bottom w:val="none" w:sz="0" w:space="0" w:color="auto"/>
                    <w:right w:val="none" w:sz="0" w:space="0" w:color="auto"/>
                  </w:divBdr>
                  <w:divsChild>
                    <w:div w:id="1237517574">
                      <w:marLeft w:val="0"/>
                      <w:marRight w:val="0"/>
                      <w:marTop w:val="0"/>
                      <w:marBottom w:val="0"/>
                      <w:divBdr>
                        <w:top w:val="none" w:sz="0" w:space="0" w:color="auto"/>
                        <w:left w:val="none" w:sz="0" w:space="0" w:color="auto"/>
                        <w:bottom w:val="none" w:sz="0" w:space="0" w:color="auto"/>
                        <w:right w:val="none" w:sz="0" w:space="0" w:color="auto"/>
                      </w:divBdr>
                    </w:div>
                  </w:divsChild>
                </w:div>
                <w:div w:id="1416903099">
                  <w:marLeft w:val="0"/>
                  <w:marRight w:val="0"/>
                  <w:marTop w:val="0"/>
                  <w:marBottom w:val="0"/>
                  <w:divBdr>
                    <w:top w:val="none" w:sz="0" w:space="0" w:color="auto"/>
                    <w:left w:val="none" w:sz="0" w:space="0" w:color="auto"/>
                    <w:bottom w:val="none" w:sz="0" w:space="0" w:color="auto"/>
                    <w:right w:val="none" w:sz="0" w:space="0" w:color="auto"/>
                  </w:divBdr>
                  <w:divsChild>
                    <w:div w:id="1438253762">
                      <w:marLeft w:val="0"/>
                      <w:marRight w:val="0"/>
                      <w:marTop w:val="0"/>
                      <w:marBottom w:val="0"/>
                      <w:divBdr>
                        <w:top w:val="none" w:sz="0" w:space="0" w:color="auto"/>
                        <w:left w:val="none" w:sz="0" w:space="0" w:color="auto"/>
                        <w:bottom w:val="none" w:sz="0" w:space="0" w:color="auto"/>
                        <w:right w:val="none" w:sz="0" w:space="0" w:color="auto"/>
                      </w:divBdr>
                    </w:div>
                  </w:divsChild>
                </w:div>
                <w:div w:id="1451776842">
                  <w:marLeft w:val="0"/>
                  <w:marRight w:val="0"/>
                  <w:marTop w:val="0"/>
                  <w:marBottom w:val="0"/>
                  <w:divBdr>
                    <w:top w:val="none" w:sz="0" w:space="0" w:color="auto"/>
                    <w:left w:val="none" w:sz="0" w:space="0" w:color="auto"/>
                    <w:bottom w:val="none" w:sz="0" w:space="0" w:color="auto"/>
                    <w:right w:val="none" w:sz="0" w:space="0" w:color="auto"/>
                  </w:divBdr>
                  <w:divsChild>
                    <w:div w:id="1107429856">
                      <w:marLeft w:val="0"/>
                      <w:marRight w:val="0"/>
                      <w:marTop w:val="0"/>
                      <w:marBottom w:val="0"/>
                      <w:divBdr>
                        <w:top w:val="none" w:sz="0" w:space="0" w:color="auto"/>
                        <w:left w:val="none" w:sz="0" w:space="0" w:color="auto"/>
                        <w:bottom w:val="none" w:sz="0" w:space="0" w:color="auto"/>
                        <w:right w:val="none" w:sz="0" w:space="0" w:color="auto"/>
                      </w:divBdr>
                    </w:div>
                  </w:divsChild>
                </w:div>
                <w:div w:id="1841702271">
                  <w:marLeft w:val="0"/>
                  <w:marRight w:val="0"/>
                  <w:marTop w:val="0"/>
                  <w:marBottom w:val="0"/>
                  <w:divBdr>
                    <w:top w:val="none" w:sz="0" w:space="0" w:color="auto"/>
                    <w:left w:val="none" w:sz="0" w:space="0" w:color="auto"/>
                    <w:bottom w:val="none" w:sz="0" w:space="0" w:color="auto"/>
                    <w:right w:val="none" w:sz="0" w:space="0" w:color="auto"/>
                  </w:divBdr>
                  <w:divsChild>
                    <w:div w:id="1615357575">
                      <w:marLeft w:val="0"/>
                      <w:marRight w:val="0"/>
                      <w:marTop w:val="0"/>
                      <w:marBottom w:val="0"/>
                      <w:divBdr>
                        <w:top w:val="none" w:sz="0" w:space="0" w:color="auto"/>
                        <w:left w:val="none" w:sz="0" w:space="0" w:color="auto"/>
                        <w:bottom w:val="none" w:sz="0" w:space="0" w:color="auto"/>
                        <w:right w:val="none" w:sz="0" w:space="0" w:color="auto"/>
                      </w:divBdr>
                    </w:div>
                  </w:divsChild>
                </w:div>
                <w:div w:id="1866019713">
                  <w:marLeft w:val="0"/>
                  <w:marRight w:val="0"/>
                  <w:marTop w:val="0"/>
                  <w:marBottom w:val="0"/>
                  <w:divBdr>
                    <w:top w:val="none" w:sz="0" w:space="0" w:color="auto"/>
                    <w:left w:val="none" w:sz="0" w:space="0" w:color="auto"/>
                    <w:bottom w:val="none" w:sz="0" w:space="0" w:color="auto"/>
                    <w:right w:val="none" w:sz="0" w:space="0" w:color="auto"/>
                  </w:divBdr>
                  <w:divsChild>
                    <w:div w:id="878396237">
                      <w:marLeft w:val="0"/>
                      <w:marRight w:val="0"/>
                      <w:marTop w:val="0"/>
                      <w:marBottom w:val="0"/>
                      <w:divBdr>
                        <w:top w:val="none" w:sz="0" w:space="0" w:color="auto"/>
                        <w:left w:val="none" w:sz="0" w:space="0" w:color="auto"/>
                        <w:bottom w:val="none" w:sz="0" w:space="0" w:color="auto"/>
                        <w:right w:val="none" w:sz="0" w:space="0" w:color="auto"/>
                      </w:divBdr>
                    </w:div>
                  </w:divsChild>
                </w:div>
                <w:div w:id="2034570918">
                  <w:marLeft w:val="0"/>
                  <w:marRight w:val="0"/>
                  <w:marTop w:val="0"/>
                  <w:marBottom w:val="0"/>
                  <w:divBdr>
                    <w:top w:val="none" w:sz="0" w:space="0" w:color="auto"/>
                    <w:left w:val="none" w:sz="0" w:space="0" w:color="auto"/>
                    <w:bottom w:val="none" w:sz="0" w:space="0" w:color="auto"/>
                    <w:right w:val="none" w:sz="0" w:space="0" w:color="auto"/>
                  </w:divBdr>
                  <w:divsChild>
                    <w:div w:id="49172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274527">
          <w:marLeft w:val="0"/>
          <w:marRight w:val="0"/>
          <w:marTop w:val="0"/>
          <w:marBottom w:val="0"/>
          <w:divBdr>
            <w:top w:val="none" w:sz="0" w:space="0" w:color="auto"/>
            <w:left w:val="none" w:sz="0" w:space="0" w:color="auto"/>
            <w:bottom w:val="none" w:sz="0" w:space="0" w:color="auto"/>
            <w:right w:val="none" w:sz="0" w:space="0" w:color="auto"/>
          </w:divBdr>
          <w:divsChild>
            <w:div w:id="2070377195">
              <w:marLeft w:val="-75"/>
              <w:marRight w:val="0"/>
              <w:marTop w:val="30"/>
              <w:marBottom w:val="30"/>
              <w:divBdr>
                <w:top w:val="none" w:sz="0" w:space="0" w:color="auto"/>
                <w:left w:val="none" w:sz="0" w:space="0" w:color="auto"/>
                <w:bottom w:val="none" w:sz="0" w:space="0" w:color="auto"/>
                <w:right w:val="none" w:sz="0" w:space="0" w:color="auto"/>
              </w:divBdr>
              <w:divsChild>
                <w:div w:id="105467655">
                  <w:marLeft w:val="0"/>
                  <w:marRight w:val="0"/>
                  <w:marTop w:val="0"/>
                  <w:marBottom w:val="0"/>
                  <w:divBdr>
                    <w:top w:val="none" w:sz="0" w:space="0" w:color="auto"/>
                    <w:left w:val="none" w:sz="0" w:space="0" w:color="auto"/>
                    <w:bottom w:val="none" w:sz="0" w:space="0" w:color="auto"/>
                    <w:right w:val="none" w:sz="0" w:space="0" w:color="auto"/>
                  </w:divBdr>
                  <w:divsChild>
                    <w:div w:id="1384132171">
                      <w:marLeft w:val="0"/>
                      <w:marRight w:val="0"/>
                      <w:marTop w:val="0"/>
                      <w:marBottom w:val="0"/>
                      <w:divBdr>
                        <w:top w:val="none" w:sz="0" w:space="0" w:color="auto"/>
                        <w:left w:val="none" w:sz="0" w:space="0" w:color="auto"/>
                        <w:bottom w:val="none" w:sz="0" w:space="0" w:color="auto"/>
                        <w:right w:val="none" w:sz="0" w:space="0" w:color="auto"/>
                      </w:divBdr>
                    </w:div>
                  </w:divsChild>
                </w:div>
                <w:div w:id="349450804">
                  <w:marLeft w:val="0"/>
                  <w:marRight w:val="0"/>
                  <w:marTop w:val="0"/>
                  <w:marBottom w:val="0"/>
                  <w:divBdr>
                    <w:top w:val="none" w:sz="0" w:space="0" w:color="auto"/>
                    <w:left w:val="none" w:sz="0" w:space="0" w:color="auto"/>
                    <w:bottom w:val="none" w:sz="0" w:space="0" w:color="auto"/>
                    <w:right w:val="none" w:sz="0" w:space="0" w:color="auto"/>
                  </w:divBdr>
                  <w:divsChild>
                    <w:div w:id="320618174">
                      <w:marLeft w:val="0"/>
                      <w:marRight w:val="0"/>
                      <w:marTop w:val="0"/>
                      <w:marBottom w:val="0"/>
                      <w:divBdr>
                        <w:top w:val="none" w:sz="0" w:space="0" w:color="auto"/>
                        <w:left w:val="none" w:sz="0" w:space="0" w:color="auto"/>
                        <w:bottom w:val="none" w:sz="0" w:space="0" w:color="auto"/>
                        <w:right w:val="none" w:sz="0" w:space="0" w:color="auto"/>
                      </w:divBdr>
                    </w:div>
                  </w:divsChild>
                </w:div>
                <w:div w:id="364719606">
                  <w:marLeft w:val="0"/>
                  <w:marRight w:val="0"/>
                  <w:marTop w:val="0"/>
                  <w:marBottom w:val="0"/>
                  <w:divBdr>
                    <w:top w:val="none" w:sz="0" w:space="0" w:color="auto"/>
                    <w:left w:val="none" w:sz="0" w:space="0" w:color="auto"/>
                    <w:bottom w:val="none" w:sz="0" w:space="0" w:color="auto"/>
                    <w:right w:val="none" w:sz="0" w:space="0" w:color="auto"/>
                  </w:divBdr>
                  <w:divsChild>
                    <w:div w:id="1339501158">
                      <w:marLeft w:val="0"/>
                      <w:marRight w:val="0"/>
                      <w:marTop w:val="0"/>
                      <w:marBottom w:val="0"/>
                      <w:divBdr>
                        <w:top w:val="none" w:sz="0" w:space="0" w:color="auto"/>
                        <w:left w:val="none" w:sz="0" w:space="0" w:color="auto"/>
                        <w:bottom w:val="none" w:sz="0" w:space="0" w:color="auto"/>
                        <w:right w:val="none" w:sz="0" w:space="0" w:color="auto"/>
                      </w:divBdr>
                    </w:div>
                  </w:divsChild>
                </w:div>
                <w:div w:id="803693158">
                  <w:marLeft w:val="0"/>
                  <w:marRight w:val="0"/>
                  <w:marTop w:val="0"/>
                  <w:marBottom w:val="0"/>
                  <w:divBdr>
                    <w:top w:val="none" w:sz="0" w:space="0" w:color="auto"/>
                    <w:left w:val="none" w:sz="0" w:space="0" w:color="auto"/>
                    <w:bottom w:val="none" w:sz="0" w:space="0" w:color="auto"/>
                    <w:right w:val="none" w:sz="0" w:space="0" w:color="auto"/>
                  </w:divBdr>
                  <w:divsChild>
                    <w:div w:id="1977368585">
                      <w:marLeft w:val="0"/>
                      <w:marRight w:val="0"/>
                      <w:marTop w:val="0"/>
                      <w:marBottom w:val="0"/>
                      <w:divBdr>
                        <w:top w:val="none" w:sz="0" w:space="0" w:color="auto"/>
                        <w:left w:val="none" w:sz="0" w:space="0" w:color="auto"/>
                        <w:bottom w:val="none" w:sz="0" w:space="0" w:color="auto"/>
                        <w:right w:val="none" w:sz="0" w:space="0" w:color="auto"/>
                      </w:divBdr>
                    </w:div>
                  </w:divsChild>
                </w:div>
                <w:div w:id="824976612">
                  <w:marLeft w:val="0"/>
                  <w:marRight w:val="0"/>
                  <w:marTop w:val="0"/>
                  <w:marBottom w:val="0"/>
                  <w:divBdr>
                    <w:top w:val="none" w:sz="0" w:space="0" w:color="auto"/>
                    <w:left w:val="none" w:sz="0" w:space="0" w:color="auto"/>
                    <w:bottom w:val="none" w:sz="0" w:space="0" w:color="auto"/>
                    <w:right w:val="none" w:sz="0" w:space="0" w:color="auto"/>
                  </w:divBdr>
                  <w:divsChild>
                    <w:div w:id="2101364459">
                      <w:marLeft w:val="0"/>
                      <w:marRight w:val="0"/>
                      <w:marTop w:val="0"/>
                      <w:marBottom w:val="0"/>
                      <w:divBdr>
                        <w:top w:val="none" w:sz="0" w:space="0" w:color="auto"/>
                        <w:left w:val="none" w:sz="0" w:space="0" w:color="auto"/>
                        <w:bottom w:val="none" w:sz="0" w:space="0" w:color="auto"/>
                        <w:right w:val="none" w:sz="0" w:space="0" w:color="auto"/>
                      </w:divBdr>
                    </w:div>
                  </w:divsChild>
                </w:div>
                <w:div w:id="848105449">
                  <w:marLeft w:val="0"/>
                  <w:marRight w:val="0"/>
                  <w:marTop w:val="0"/>
                  <w:marBottom w:val="0"/>
                  <w:divBdr>
                    <w:top w:val="none" w:sz="0" w:space="0" w:color="auto"/>
                    <w:left w:val="none" w:sz="0" w:space="0" w:color="auto"/>
                    <w:bottom w:val="none" w:sz="0" w:space="0" w:color="auto"/>
                    <w:right w:val="none" w:sz="0" w:space="0" w:color="auto"/>
                  </w:divBdr>
                  <w:divsChild>
                    <w:div w:id="293220350">
                      <w:marLeft w:val="0"/>
                      <w:marRight w:val="0"/>
                      <w:marTop w:val="0"/>
                      <w:marBottom w:val="0"/>
                      <w:divBdr>
                        <w:top w:val="none" w:sz="0" w:space="0" w:color="auto"/>
                        <w:left w:val="none" w:sz="0" w:space="0" w:color="auto"/>
                        <w:bottom w:val="none" w:sz="0" w:space="0" w:color="auto"/>
                        <w:right w:val="none" w:sz="0" w:space="0" w:color="auto"/>
                      </w:divBdr>
                    </w:div>
                  </w:divsChild>
                </w:div>
                <w:div w:id="945773399">
                  <w:marLeft w:val="0"/>
                  <w:marRight w:val="0"/>
                  <w:marTop w:val="0"/>
                  <w:marBottom w:val="0"/>
                  <w:divBdr>
                    <w:top w:val="none" w:sz="0" w:space="0" w:color="auto"/>
                    <w:left w:val="none" w:sz="0" w:space="0" w:color="auto"/>
                    <w:bottom w:val="none" w:sz="0" w:space="0" w:color="auto"/>
                    <w:right w:val="none" w:sz="0" w:space="0" w:color="auto"/>
                  </w:divBdr>
                  <w:divsChild>
                    <w:div w:id="2056390778">
                      <w:marLeft w:val="0"/>
                      <w:marRight w:val="0"/>
                      <w:marTop w:val="0"/>
                      <w:marBottom w:val="0"/>
                      <w:divBdr>
                        <w:top w:val="none" w:sz="0" w:space="0" w:color="auto"/>
                        <w:left w:val="none" w:sz="0" w:space="0" w:color="auto"/>
                        <w:bottom w:val="none" w:sz="0" w:space="0" w:color="auto"/>
                        <w:right w:val="none" w:sz="0" w:space="0" w:color="auto"/>
                      </w:divBdr>
                    </w:div>
                  </w:divsChild>
                </w:div>
                <w:div w:id="1040670791">
                  <w:marLeft w:val="0"/>
                  <w:marRight w:val="0"/>
                  <w:marTop w:val="0"/>
                  <w:marBottom w:val="0"/>
                  <w:divBdr>
                    <w:top w:val="none" w:sz="0" w:space="0" w:color="auto"/>
                    <w:left w:val="none" w:sz="0" w:space="0" w:color="auto"/>
                    <w:bottom w:val="none" w:sz="0" w:space="0" w:color="auto"/>
                    <w:right w:val="none" w:sz="0" w:space="0" w:color="auto"/>
                  </w:divBdr>
                  <w:divsChild>
                    <w:div w:id="589513124">
                      <w:marLeft w:val="0"/>
                      <w:marRight w:val="0"/>
                      <w:marTop w:val="0"/>
                      <w:marBottom w:val="0"/>
                      <w:divBdr>
                        <w:top w:val="none" w:sz="0" w:space="0" w:color="auto"/>
                        <w:left w:val="none" w:sz="0" w:space="0" w:color="auto"/>
                        <w:bottom w:val="none" w:sz="0" w:space="0" w:color="auto"/>
                        <w:right w:val="none" w:sz="0" w:space="0" w:color="auto"/>
                      </w:divBdr>
                    </w:div>
                  </w:divsChild>
                </w:div>
                <w:div w:id="1123881916">
                  <w:marLeft w:val="0"/>
                  <w:marRight w:val="0"/>
                  <w:marTop w:val="0"/>
                  <w:marBottom w:val="0"/>
                  <w:divBdr>
                    <w:top w:val="none" w:sz="0" w:space="0" w:color="auto"/>
                    <w:left w:val="none" w:sz="0" w:space="0" w:color="auto"/>
                    <w:bottom w:val="none" w:sz="0" w:space="0" w:color="auto"/>
                    <w:right w:val="none" w:sz="0" w:space="0" w:color="auto"/>
                  </w:divBdr>
                  <w:divsChild>
                    <w:div w:id="1544902894">
                      <w:marLeft w:val="0"/>
                      <w:marRight w:val="0"/>
                      <w:marTop w:val="0"/>
                      <w:marBottom w:val="0"/>
                      <w:divBdr>
                        <w:top w:val="none" w:sz="0" w:space="0" w:color="auto"/>
                        <w:left w:val="none" w:sz="0" w:space="0" w:color="auto"/>
                        <w:bottom w:val="none" w:sz="0" w:space="0" w:color="auto"/>
                        <w:right w:val="none" w:sz="0" w:space="0" w:color="auto"/>
                      </w:divBdr>
                    </w:div>
                  </w:divsChild>
                </w:div>
                <w:div w:id="1140733781">
                  <w:marLeft w:val="0"/>
                  <w:marRight w:val="0"/>
                  <w:marTop w:val="0"/>
                  <w:marBottom w:val="0"/>
                  <w:divBdr>
                    <w:top w:val="none" w:sz="0" w:space="0" w:color="auto"/>
                    <w:left w:val="none" w:sz="0" w:space="0" w:color="auto"/>
                    <w:bottom w:val="none" w:sz="0" w:space="0" w:color="auto"/>
                    <w:right w:val="none" w:sz="0" w:space="0" w:color="auto"/>
                  </w:divBdr>
                  <w:divsChild>
                    <w:div w:id="56514468">
                      <w:marLeft w:val="0"/>
                      <w:marRight w:val="0"/>
                      <w:marTop w:val="0"/>
                      <w:marBottom w:val="0"/>
                      <w:divBdr>
                        <w:top w:val="none" w:sz="0" w:space="0" w:color="auto"/>
                        <w:left w:val="none" w:sz="0" w:space="0" w:color="auto"/>
                        <w:bottom w:val="none" w:sz="0" w:space="0" w:color="auto"/>
                        <w:right w:val="none" w:sz="0" w:space="0" w:color="auto"/>
                      </w:divBdr>
                    </w:div>
                  </w:divsChild>
                </w:div>
                <w:div w:id="1660620736">
                  <w:marLeft w:val="0"/>
                  <w:marRight w:val="0"/>
                  <w:marTop w:val="0"/>
                  <w:marBottom w:val="0"/>
                  <w:divBdr>
                    <w:top w:val="none" w:sz="0" w:space="0" w:color="auto"/>
                    <w:left w:val="none" w:sz="0" w:space="0" w:color="auto"/>
                    <w:bottom w:val="none" w:sz="0" w:space="0" w:color="auto"/>
                    <w:right w:val="none" w:sz="0" w:space="0" w:color="auto"/>
                  </w:divBdr>
                  <w:divsChild>
                    <w:div w:id="1534421916">
                      <w:marLeft w:val="0"/>
                      <w:marRight w:val="0"/>
                      <w:marTop w:val="0"/>
                      <w:marBottom w:val="0"/>
                      <w:divBdr>
                        <w:top w:val="none" w:sz="0" w:space="0" w:color="auto"/>
                        <w:left w:val="none" w:sz="0" w:space="0" w:color="auto"/>
                        <w:bottom w:val="none" w:sz="0" w:space="0" w:color="auto"/>
                        <w:right w:val="none" w:sz="0" w:space="0" w:color="auto"/>
                      </w:divBdr>
                    </w:div>
                  </w:divsChild>
                </w:div>
                <w:div w:id="1678268182">
                  <w:marLeft w:val="0"/>
                  <w:marRight w:val="0"/>
                  <w:marTop w:val="0"/>
                  <w:marBottom w:val="0"/>
                  <w:divBdr>
                    <w:top w:val="none" w:sz="0" w:space="0" w:color="auto"/>
                    <w:left w:val="none" w:sz="0" w:space="0" w:color="auto"/>
                    <w:bottom w:val="none" w:sz="0" w:space="0" w:color="auto"/>
                    <w:right w:val="none" w:sz="0" w:space="0" w:color="auto"/>
                  </w:divBdr>
                  <w:divsChild>
                    <w:div w:id="56901862">
                      <w:marLeft w:val="0"/>
                      <w:marRight w:val="0"/>
                      <w:marTop w:val="0"/>
                      <w:marBottom w:val="0"/>
                      <w:divBdr>
                        <w:top w:val="none" w:sz="0" w:space="0" w:color="auto"/>
                        <w:left w:val="none" w:sz="0" w:space="0" w:color="auto"/>
                        <w:bottom w:val="none" w:sz="0" w:space="0" w:color="auto"/>
                        <w:right w:val="none" w:sz="0" w:space="0" w:color="auto"/>
                      </w:divBdr>
                    </w:div>
                  </w:divsChild>
                </w:div>
                <w:div w:id="1867938316">
                  <w:marLeft w:val="0"/>
                  <w:marRight w:val="0"/>
                  <w:marTop w:val="0"/>
                  <w:marBottom w:val="0"/>
                  <w:divBdr>
                    <w:top w:val="none" w:sz="0" w:space="0" w:color="auto"/>
                    <w:left w:val="none" w:sz="0" w:space="0" w:color="auto"/>
                    <w:bottom w:val="none" w:sz="0" w:space="0" w:color="auto"/>
                    <w:right w:val="none" w:sz="0" w:space="0" w:color="auto"/>
                  </w:divBdr>
                  <w:divsChild>
                    <w:div w:id="1517159177">
                      <w:marLeft w:val="0"/>
                      <w:marRight w:val="0"/>
                      <w:marTop w:val="0"/>
                      <w:marBottom w:val="0"/>
                      <w:divBdr>
                        <w:top w:val="none" w:sz="0" w:space="0" w:color="auto"/>
                        <w:left w:val="none" w:sz="0" w:space="0" w:color="auto"/>
                        <w:bottom w:val="none" w:sz="0" w:space="0" w:color="auto"/>
                        <w:right w:val="none" w:sz="0" w:space="0" w:color="auto"/>
                      </w:divBdr>
                    </w:div>
                  </w:divsChild>
                </w:div>
                <w:div w:id="1956059041">
                  <w:marLeft w:val="0"/>
                  <w:marRight w:val="0"/>
                  <w:marTop w:val="0"/>
                  <w:marBottom w:val="0"/>
                  <w:divBdr>
                    <w:top w:val="none" w:sz="0" w:space="0" w:color="auto"/>
                    <w:left w:val="none" w:sz="0" w:space="0" w:color="auto"/>
                    <w:bottom w:val="none" w:sz="0" w:space="0" w:color="auto"/>
                    <w:right w:val="none" w:sz="0" w:space="0" w:color="auto"/>
                  </w:divBdr>
                  <w:divsChild>
                    <w:div w:id="1212644847">
                      <w:marLeft w:val="0"/>
                      <w:marRight w:val="0"/>
                      <w:marTop w:val="0"/>
                      <w:marBottom w:val="0"/>
                      <w:divBdr>
                        <w:top w:val="none" w:sz="0" w:space="0" w:color="auto"/>
                        <w:left w:val="none" w:sz="0" w:space="0" w:color="auto"/>
                        <w:bottom w:val="none" w:sz="0" w:space="0" w:color="auto"/>
                        <w:right w:val="none" w:sz="0" w:space="0" w:color="auto"/>
                      </w:divBdr>
                    </w:div>
                  </w:divsChild>
                </w:div>
                <w:div w:id="2026127780">
                  <w:marLeft w:val="0"/>
                  <w:marRight w:val="0"/>
                  <w:marTop w:val="0"/>
                  <w:marBottom w:val="0"/>
                  <w:divBdr>
                    <w:top w:val="none" w:sz="0" w:space="0" w:color="auto"/>
                    <w:left w:val="none" w:sz="0" w:space="0" w:color="auto"/>
                    <w:bottom w:val="none" w:sz="0" w:space="0" w:color="auto"/>
                    <w:right w:val="none" w:sz="0" w:space="0" w:color="auto"/>
                  </w:divBdr>
                  <w:divsChild>
                    <w:div w:id="9925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726793">
          <w:marLeft w:val="0"/>
          <w:marRight w:val="0"/>
          <w:marTop w:val="0"/>
          <w:marBottom w:val="0"/>
          <w:divBdr>
            <w:top w:val="none" w:sz="0" w:space="0" w:color="auto"/>
            <w:left w:val="none" w:sz="0" w:space="0" w:color="auto"/>
            <w:bottom w:val="none" w:sz="0" w:space="0" w:color="auto"/>
            <w:right w:val="none" w:sz="0" w:space="0" w:color="auto"/>
          </w:divBdr>
        </w:div>
        <w:div w:id="1188062597">
          <w:marLeft w:val="0"/>
          <w:marRight w:val="0"/>
          <w:marTop w:val="0"/>
          <w:marBottom w:val="0"/>
          <w:divBdr>
            <w:top w:val="none" w:sz="0" w:space="0" w:color="auto"/>
            <w:left w:val="none" w:sz="0" w:space="0" w:color="auto"/>
            <w:bottom w:val="none" w:sz="0" w:space="0" w:color="auto"/>
            <w:right w:val="none" w:sz="0" w:space="0" w:color="auto"/>
          </w:divBdr>
          <w:divsChild>
            <w:div w:id="91822625">
              <w:marLeft w:val="0"/>
              <w:marRight w:val="0"/>
              <w:marTop w:val="0"/>
              <w:marBottom w:val="0"/>
              <w:divBdr>
                <w:top w:val="none" w:sz="0" w:space="0" w:color="auto"/>
                <w:left w:val="none" w:sz="0" w:space="0" w:color="auto"/>
                <w:bottom w:val="none" w:sz="0" w:space="0" w:color="auto"/>
                <w:right w:val="none" w:sz="0" w:space="0" w:color="auto"/>
              </w:divBdr>
            </w:div>
            <w:div w:id="262884539">
              <w:marLeft w:val="0"/>
              <w:marRight w:val="0"/>
              <w:marTop w:val="0"/>
              <w:marBottom w:val="0"/>
              <w:divBdr>
                <w:top w:val="none" w:sz="0" w:space="0" w:color="auto"/>
                <w:left w:val="none" w:sz="0" w:space="0" w:color="auto"/>
                <w:bottom w:val="none" w:sz="0" w:space="0" w:color="auto"/>
                <w:right w:val="none" w:sz="0" w:space="0" w:color="auto"/>
              </w:divBdr>
            </w:div>
            <w:div w:id="358164736">
              <w:marLeft w:val="0"/>
              <w:marRight w:val="0"/>
              <w:marTop w:val="0"/>
              <w:marBottom w:val="0"/>
              <w:divBdr>
                <w:top w:val="none" w:sz="0" w:space="0" w:color="auto"/>
                <w:left w:val="none" w:sz="0" w:space="0" w:color="auto"/>
                <w:bottom w:val="none" w:sz="0" w:space="0" w:color="auto"/>
                <w:right w:val="none" w:sz="0" w:space="0" w:color="auto"/>
              </w:divBdr>
            </w:div>
            <w:div w:id="1009403884">
              <w:marLeft w:val="0"/>
              <w:marRight w:val="0"/>
              <w:marTop w:val="0"/>
              <w:marBottom w:val="0"/>
              <w:divBdr>
                <w:top w:val="none" w:sz="0" w:space="0" w:color="auto"/>
                <w:left w:val="none" w:sz="0" w:space="0" w:color="auto"/>
                <w:bottom w:val="none" w:sz="0" w:space="0" w:color="auto"/>
                <w:right w:val="none" w:sz="0" w:space="0" w:color="auto"/>
              </w:divBdr>
            </w:div>
            <w:div w:id="1358309145">
              <w:marLeft w:val="0"/>
              <w:marRight w:val="0"/>
              <w:marTop w:val="0"/>
              <w:marBottom w:val="0"/>
              <w:divBdr>
                <w:top w:val="none" w:sz="0" w:space="0" w:color="auto"/>
                <w:left w:val="none" w:sz="0" w:space="0" w:color="auto"/>
                <w:bottom w:val="none" w:sz="0" w:space="0" w:color="auto"/>
                <w:right w:val="none" w:sz="0" w:space="0" w:color="auto"/>
              </w:divBdr>
            </w:div>
            <w:div w:id="1440835401">
              <w:marLeft w:val="0"/>
              <w:marRight w:val="0"/>
              <w:marTop w:val="0"/>
              <w:marBottom w:val="0"/>
              <w:divBdr>
                <w:top w:val="none" w:sz="0" w:space="0" w:color="auto"/>
                <w:left w:val="none" w:sz="0" w:space="0" w:color="auto"/>
                <w:bottom w:val="none" w:sz="0" w:space="0" w:color="auto"/>
                <w:right w:val="none" w:sz="0" w:space="0" w:color="auto"/>
              </w:divBdr>
            </w:div>
            <w:div w:id="1552886332">
              <w:marLeft w:val="0"/>
              <w:marRight w:val="0"/>
              <w:marTop w:val="0"/>
              <w:marBottom w:val="0"/>
              <w:divBdr>
                <w:top w:val="none" w:sz="0" w:space="0" w:color="auto"/>
                <w:left w:val="none" w:sz="0" w:space="0" w:color="auto"/>
                <w:bottom w:val="none" w:sz="0" w:space="0" w:color="auto"/>
                <w:right w:val="none" w:sz="0" w:space="0" w:color="auto"/>
              </w:divBdr>
            </w:div>
            <w:div w:id="1822690866">
              <w:marLeft w:val="0"/>
              <w:marRight w:val="0"/>
              <w:marTop w:val="0"/>
              <w:marBottom w:val="0"/>
              <w:divBdr>
                <w:top w:val="none" w:sz="0" w:space="0" w:color="auto"/>
                <w:left w:val="none" w:sz="0" w:space="0" w:color="auto"/>
                <w:bottom w:val="none" w:sz="0" w:space="0" w:color="auto"/>
                <w:right w:val="none" w:sz="0" w:space="0" w:color="auto"/>
              </w:divBdr>
            </w:div>
            <w:div w:id="1915892432">
              <w:marLeft w:val="0"/>
              <w:marRight w:val="0"/>
              <w:marTop w:val="0"/>
              <w:marBottom w:val="0"/>
              <w:divBdr>
                <w:top w:val="none" w:sz="0" w:space="0" w:color="auto"/>
                <w:left w:val="none" w:sz="0" w:space="0" w:color="auto"/>
                <w:bottom w:val="none" w:sz="0" w:space="0" w:color="auto"/>
                <w:right w:val="none" w:sz="0" w:space="0" w:color="auto"/>
              </w:divBdr>
            </w:div>
          </w:divsChild>
        </w:div>
        <w:div w:id="1188563315">
          <w:marLeft w:val="0"/>
          <w:marRight w:val="0"/>
          <w:marTop w:val="0"/>
          <w:marBottom w:val="0"/>
          <w:divBdr>
            <w:top w:val="none" w:sz="0" w:space="0" w:color="auto"/>
            <w:left w:val="none" w:sz="0" w:space="0" w:color="auto"/>
            <w:bottom w:val="none" w:sz="0" w:space="0" w:color="auto"/>
            <w:right w:val="none" w:sz="0" w:space="0" w:color="auto"/>
          </w:divBdr>
          <w:divsChild>
            <w:div w:id="394011115">
              <w:marLeft w:val="-75"/>
              <w:marRight w:val="0"/>
              <w:marTop w:val="30"/>
              <w:marBottom w:val="30"/>
              <w:divBdr>
                <w:top w:val="none" w:sz="0" w:space="0" w:color="auto"/>
                <w:left w:val="none" w:sz="0" w:space="0" w:color="auto"/>
                <w:bottom w:val="none" w:sz="0" w:space="0" w:color="auto"/>
                <w:right w:val="none" w:sz="0" w:space="0" w:color="auto"/>
              </w:divBdr>
              <w:divsChild>
                <w:div w:id="106392028">
                  <w:marLeft w:val="0"/>
                  <w:marRight w:val="0"/>
                  <w:marTop w:val="0"/>
                  <w:marBottom w:val="0"/>
                  <w:divBdr>
                    <w:top w:val="none" w:sz="0" w:space="0" w:color="auto"/>
                    <w:left w:val="none" w:sz="0" w:space="0" w:color="auto"/>
                    <w:bottom w:val="none" w:sz="0" w:space="0" w:color="auto"/>
                    <w:right w:val="none" w:sz="0" w:space="0" w:color="auto"/>
                  </w:divBdr>
                  <w:divsChild>
                    <w:div w:id="414519180">
                      <w:marLeft w:val="0"/>
                      <w:marRight w:val="0"/>
                      <w:marTop w:val="0"/>
                      <w:marBottom w:val="0"/>
                      <w:divBdr>
                        <w:top w:val="none" w:sz="0" w:space="0" w:color="auto"/>
                        <w:left w:val="none" w:sz="0" w:space="0" w:color="auto"/>
                        <w:bottom w:val="none" w:sz="0" w:space="0" w:color="auto"/>
                        <w:right w:val="none" w:sz="0" w:space="0" w:color="auto"/>
                      </w:divBdr>
                    </w:div>
                  </w:divsChild>
                </w:div>
                <w:div w:id="249582888">
                  <w:marLeft w:val="0"/>
                  <w:marRight w:val="0"/>
                  <w:marTop w:val="0"/>
                  <w:marBottom w:val="0"/>
                  <w:divBdr>
                    <w:top w:val="none" w:sz="0" w:space="0" w:color="auto"/>
                    <w:left w:val="none" w:sz="0" w:space="0" w:color="auto"/>
                    <w:bottom w:val="none" w:sz="0" w:space="0" w:color="auto"/>
                    <w:right w:val="none" w:sz="0" w:space="0" w:color="auto"/>
                  </w:divBdr>
                  <w:divsChild>
                    <w:div w:id="1821650264">
                      <w:marLeft w:val="0"/>
                      <w:marRight w:val="0"/>
                      <w:marTop w:val="0"/>
                      <w:marBottom w:val="0"/>
                      <w:divBdr>
                        <w:top w:val="none" w:sz="0" w:space="0" w:color="auto"/>
                        <w:left w:val="none" w:sz="0" w:space="0" w:color="auto"/>
                        <w:bottom w:val="none" w:sz="0" w:space="0" w:color="auto"/>
                        <w:right w:val="none" w:sz="0" w:space="0" w:color="auto"/>
                      </w:divBdr>
                    </w:div>
                  </w:divsChild>
                </w:div>
                <w:div w:id="408113364">
                  <w:marLeft w:val="0"/>
                  <w:marRight w:val="0"/>
                  <w:marTop w:val="0"/>
                  <w:marBottom w:val="0"/>
                  <w:divBdr>
                    <w:top w:val="none" w:sz="0" w:space="0" w:color="auto"/>
                    <w:left w:val="none" w:sz="0" w:space="0" w:color="auto"/>
                    <w:bottom w:val="none" w:sz="0" w:space="0" w:color="auto"/>
                    <w:right w:val="none" w:sz="0" w:space="0" w:color="auto"/>
                  </w:divBdr>
                  <w:divsChild>
                    <w:div w:id="1116489817">
                      <w:marLeft w:val="0"/>
                      <w:marRight w:val="0"/>
                      <w:marTop w:val="0"/>
                      <w:marBottom w:val="0"/>
                      <w:divBdr>
                        <w:top w:val="none" w:sz="0" w:space="0" w:color="auto"/>
                        <w:left w:val="none" w:sz="0" w:space="0" w:color="auto"/>
                        <w:bottom w:val="none" w:sz="0" w:space="0" w:color="auto"/>
                        <w:right w:val="none" w:sz="0" w:space="0" w:color="auto"/>
                      </w:divBdr>
                    </w:div>
                  </w:divsChild>
                </w:div>
                <w:div w:id="425150532">
                  <w:marLeft w:val="0"/>
                  <w:marRight w:val="0"/>
                  <w:marTop w:val="0"/>
                  <w:marBottom w:val="0"/>
                  <w:divBdr>
                    <w:top w:val="none" w:sz="0" w:space="0" w:color="auto"/>
                    <w:left w:val="none" w:sz="0" w:space="0" w:color="auto"/>
                    <w:bottom w:val="none" w:sz="0" w:space="0" w:color="auto"/>
                    <w:right w:val="none" w:sz="0" w:space="0" w:color="auto"/>
                  </w:divBdr>
                  <w:divsChild>
                    <w:div w:id="2029600313">
                      <w:marLeft w:val="0"/>
                      <w:marRight w:val="0"/>
                      <w:marTop w:val="0"/>
                      <w:marBottom w:val="0"/>
                      <w:divBdr>
                        <w:top w:val="none" w:sz="0" w:space="0" w:color="auto"/>
                        <w:left w:val="none" w:sz="0" w:space="0" w:color="auto"/>
                        <w:bottom w:val="none" w:sz="0" w:space="0" w:color="auto"/>
                        <w:right w:val="none" w:sz="0" w:space="0" w:color="auto"/>
                      </w:divBdr>
                    </w:div>
                  </w:divsChild>
                </w:div>
                <w:div w:id="446895838">
                  <w:marLeft w:val="0"/>
                  <w:marRight w:val="0"/>
                  <w:marTop w:val="0"/>
                  <w:marBottom w:val="0"/>
                  <w:divBdr>
                    <w:top w:val="none" w:sz="0" w:space="0" w:color="auto"/>
                    <w:left w:val="none" w:sz="0" w:space="0" w:color="auto"/>
                    <w:bottom w:val="none" w:sz="0" w:space="0" w:color="auto"/>
                    <w:right w:val="none" w:sz="0" w:space="0" w:color="auto"/>
                  </w:divBdr>
                  <w:divsChild>
                    <w:div w:id="529227593">
                      <w:marLeft w:val="0"/>
                      <w:marRight w:val="0"/>
                      <w:marTop w:val="0"/>
                      <w:marBottom w:val="0"/>
                      <w:divBdr>
                        <w:top w:val="none" w:sz="0" w:space="0" w:color="auto"/>
                        <w:left w:val="none" w:sz="0" w:space="0" w:color="auto"/>
                        <w:bottom w:val="none" w:sz="0" w:space="0" w:color="auto"/>
                        <w:right w:val="none" w:sz="0" w:space="0" w:color="auto"/>
                      </w:divBdr>
                    </w:div>
                  </w:divsChild>
                </w:div>
                <w:div w:id="556205308">
                  <w:marLeft w:val="0"/>
                  <w:marRight w:val="0"/>
                  <w:marTop w:val="0"/>
                  <w:marBottom w:val="0"/>
                  <w:divBdr>
                    <w:top w:val="none" w:sz="0" w:space="0" w:color="auto"/>
                    <w:left w:val="none" w:sz="0" w:space="0" w:color="auto"/>
                    <w:bottom w:val="none" w:sz="0" w:space="0" w:color="auto"/>
                    <w:right w:val="none" w:sz="0" w:space="0" w:color="auto"/>
                  </w:divBdr>
                  <w:divsChild>
                    <w:div w:id="819346474">
                      <w:marLeft w:val="0"/>
                      <w:marRight w:val="0"/>
                      <w:marTop w:val="0"/>
                      <w:marBottom w:val="0"/>
                      <w:divBdr>
                        <w:top w:val="none" w:sz="0" w:space="0" w:color="auto"/>
                        <w:left w:val="none" w:sz="0" w:space="0" w:color="auto"/>
                        <w:bottom w:val="none" w:sz="0" w:space="0" w:color="auto"/>
                        <w:right w:val="none" w:sz="0" w:space="0" w:color="auto"/>
                      </w:divBdr>
                    </w:div>
                  </w:divsChild>
                </w:div>
                <w:div w:id="576935787">
                  <w:marLeft w:val="0"/>
                  <w:marRight w:val="0"/>
                  <w:marTop w:val="0"/>
                  <w:marBottom w:val="0"/>
                  <w:divBdr>
                    <w:top w:val="none" w:sz="0" w:space="0" w:color="auto"/>
                    <w:left w:val="none" w:sz="0" w:space="0" w:color="auto"/>
                    <w:bottom w:val="none" w:sz="0" w:space="0" w:color="auto"/>
                    <w:right w:val="none" w:sz="0" w:space="0" w:color="auto"/>
                  </w:divBdr>
                  <w:divsChild>
                    <w:div w:id="1044981393">
                      <w:marLeft w:val="0"/>
                      <w:marRight w:val="0"/>
                      <w:marTop w:val="0"/>
                      <w:marBottom w:val="0"/>
                      <w:divBdr>
                        <w:top w:val="none" w:sz="0" w:space="0" w:color="auto"/>
                        <w:left w:val="none" w:sz="0" w:space="0" w:color="auto"/>
                        <w:bottom w:val="none" w:sz="0" w:space="0" w:color="auto"/>
                        <w:right w:val="none" w:sz="0" w:space="0" w:color="auto"/>
                      </w:divBdr>
                    </w:div>
                  </w:divsChild>
                </w:div>
                <w:div w:id="622417903">
                  <w:marLeft w:val="0"/>
                  <w:marRight w:val="0"/>
                  <w:marTop w:val="0"/>
                  <w:marBottom w:val="0"/>
                  <w:divBdr>
                    <w:top w:val="none" w:sz="0" w:space="0" w:color="auto"/>
                    <w:left w:val="none" w:sz="0" w:space="0" w:color="auto"/>
                    <w:bottom w:val="none" w:sz="0" w:space="0" w:color="auto"/>
                    <w:right w:val="none" w:sz="0" w:space="0" w:color="auto"/>
                  </w:divBdr>
                  <w:divsChild>
                    <w:div w:id="254824548">
                      <w:marLeft w:val="0"/>
                      <w:marRight w:val="0"/>
                      <w:marTop w:val="0"/>
                      <w:marBottom w:val="0"/>
                      <w:divBdr>
                        <w:top w:val="none" w:sz="0" w:space="0" w:color="auto"/>
                        <w:left w:val="none" w:sz="0" w:space="0" w:color="auto"/>
                        <w:bottom w:val="none" w:sz="0" w:space="0" w:color="auto"/>
                        <w:right w:val="none" w:sz="0" w:space="0" w:color="auto"/>
                      </w:divBdr>
                    </w:div>
                  </w:divsChild>
                </w:div>
                <w:div w:id="858852523">
                  <w:marLeft w:val="0"/>
                  <w:marRight w:val="0"/>
                  <w:marTop w:val="0"/>
                  <w:marBottom w:val="0"/>
                  <w:divBdr>
                    <w:top w:val="none" w:sz="0" w:space="0" w:color="auto"/>
                    <w:left w:val="none" w:sz="0" w:space="0" w:color="auto"/>
                    <w:bottom w:val="none" w:sz="0" w:space="0" w:color="auto"/>
                    <w:right w:val="none" w:sz="0" w:space="0" w:color="auto"/>
                  </w:divBdr>
                  <w:divsChild>
                    <w:div w:id="1502963814">
                      <w:marLeft w:val="0"/>
                      <w:marRight w:val="0"/>
                      <w:marTop w:val="0"/>
                      <w:marBottom w:val="0"/>
                      <w:divBdr>
                        <w:top w:val="none" w:sz="0" w:space="0" w:color="auto"/>
                        <w:left w:val="none" w:sz="0" w:space="0" w:color="auto"/>
                        <w:bottom w:val="none" w:sz="0" w:space="0" w:color="auto"/>
                        <w:right w:val="none" w:sz="0" w:space="0" w:color="auto"/>
                      </w:divBdr>
                    </w:div>
                  </w:divsChild>
                </w:div>
                <w:div w:id="1026952194">
                  <w:marLeft w:val="0"/>
                  <w:marRight w:val="0"/>
                  <w:marTop w:val="0"/>
                  <w:marBottom w:val="0"/>
                  <w:divBdr>
                    <w:top w:val="none" w:sz="0" w:space="0" w:color="auto"/>
                    <w:left w:val="none" w:sz="0" w:space="0" w:color="auto"/>
                    <w:bottom w:val="none" w:sz="0" w:space="0" w:color="auto"/>
                    <w:right w:val="none" w:sz="0" w:space="0" w:color="auto"/>
                  </w:divBdr>
                  <w:divsChild>
                    <w:div w:id="1233387815">
                      <w:marLeft w:val="0"/>
                      <w:marRight w:val="0"/>
                      <w:marTop w:val="0"/>
                      <w:marBottom w:val="0"/>
                      <w:divBdr>
                        <w:top w:val="none" w:sz="0" w:space="0" w:color="auto"/>
                        <w:left w:val="none" w:sz="0" w:space="0" w:color="auto"/>
                        <w:bottom w:val="none" w:sz="0" w:space="0" w:color="auto"/>
                        <w:right w:val="none" w:sz="0" w:space="0" w:color="auto"/>
                      </w:divBdr>
                    </w:div>
                  </w:divsChild>
                </w:div>
                <w:div w:id="1051459979">
                  <w:marLeft w:val="0"/>
                  <w:marRight w:val="0"/>
                  <w:marTop w:val="0"/>
                  <w:marBottom w:val="0"/>
                  <w:divBdr>
                    <w:top w:val="none" w:sz="0" w:space="0" w:color="auto"/>
                    <w:left w:val="none" w:sz="0" w:space="0" w:color="auto"/>
                    <w:bottom w:val="none" w:sz="0" w:space="0" w:color="auto"/>
                    <w:right w:val="none" w:sz="0" w:space="0" w:color="auto"/>
                  </w:divBdr>
                  <w:divsChild>
                    <w:div w:id="1224020408">
                      <w:marLeft w:val="0"/>
                      <w:marRight w:val="0"/>
                      <w:marTop w:val="0"/>
                      <w:marBottom w:val="0"/>
                      <w:divBdr>
                        <w:top w:val="none" w:sz="0" w:space="0" w:color="auto"/>
                        <w:left w:val="none" w:sz="0" w:space="0" w:color="auto"/>
                        <w:bottom w:val="none" w:sz="0" w:space="0" w:color="auto"/>
                        <w:right w:val="none" w:sz="0" w:space="0" w:color="auto"/>
                      </w:divBdr>
                    </w:div>
                  </w:divsChild>
                </w:div>
                <w:div w:id="1142505830">
                  <w:marLeft w:val="0"/>
                  <w:marRight w:val="0"/>
                  <w:marTop w:val="0"/>
                  <w:marBottom w:val="0"/>
                  <w:divBdr>
                    <w:top w:val="none" w:sz="0" w:space="0" w:color="auto"/>
                    <w:left w:val="none" w:sz="0" w:space="0" w:color="auto"/>
                    <w:bottom w:val="none" w:sz="0" w:space="0" w:color="auto"/>
                    <w:right w:val="none" w:sz="0" w:space="0" w:color="auto"/>
                  </w:divBdr>
                  <w:divsChild>
                    <w:div w:id="1356544322">
                      <w:marLeft w:val="0"/>
                      <w:marRight w:val="0"/>
                      <w:marTop w:val="0"/>
                      <w:marBottom w:val="0"/>
                      <w:divBdr>
                        <w:top w:val="none" w:sz="0" w:space="0" w:color="auto"/>
                        <w:left w:val="none" w:sz="0" w:space="0" w:color="auto"/>
                        <w:bottom w:val="none" w:sz="0" w:space="0" w:color="auto"/>
                        <w:right w:val="none" w:sz="0" w:space="0" w:color="auto"/>
                      </w:divBdr>
                    </w:div>
                  </w:divsChild>
                </w:div>
                <w:div w:id="1182205338">
                  <w:marLeft w:val="0"/>
                  <w:marRight w:val="0"/>
                  <w:marTop w:val="0"/>
                  <w:marBottom w:val="0"/>
                  <w:divBdr>
                    <w:top w:val="none" w:sz="0" w:space="0" w:color="auto"/>
                    <w:left w:val="none" w:sz="0" w:space="0" w:color="auto"/>
                    <w:bottom w:val="none" w:sz="0" w:space="0" w:color="auto"/>
                    <w:right w:val="none" w:sz="0" w:space="0" w:color="auto"/>
                  </w:divBdr>
                  <w:divsChild>
                    <w:div w:id="78254146">
                      <w:marLeft w:val="0"/>
                      <w:marRight w:val="0"/>
                      <w:marTop w:val="0"/>
                      <w:marBottom w:val="0"/>
                      <w:divBdr>
                        <w:top w:val="none" w:sz="0" w:space="0" w:color="auto"/>
                        <w:left w:val="none" w:sz="0" w:space="0" w:color="auto"/>
                        <w:bottom w:val="none" w:sz="0" w:space="0" w:color="auto"/>
                        <w:right w:val="none" w:sz="0" w:space="0" w:color="auto"/>
                      </w:divBdr>
                    </w:div>
                  </w:divsChild>
                </w:div>
                <w:div w:id="1207909364">
                  <w:marLeft w:val="0"/>
                  <w:marRight w:val="0"/>
                  <w:marTop w:val="0"/>
                  <w:marBottom w:val="0"/>
                  <w:divBdr>
                    <w:top w:val="none" w:sz="0" w:space="0" w:color="auto"/>
                    <w:left w:val="none" w:sz="0" w:space="0" w:color="auto"/>
                    <w:bottom w:val="none" w:sz="0" w:space="0" w:color="auto"/>
                    <w:right w:val="none" w:sz="0" w:space="0" w:color="auto"/>
                  </w:divBdr>
                  <w:divsChild>
                    <w:div w:id="284124539">
                      <w:marLeft w:val="0"/>
                      <w:marRight w:val="0"/>
                      <w:marTop w:val="0"/>
                      <w:marBottom w:val="0"/>
                      <w:divBdr>
                        <w:top w:val="none" w:sz="0" w:space="0" w:color="auto"/>
                        <w:left w:val="none" w:sz="0" w:space="0" w:color="auto"/>
                        <w:bottom w:val="none" w:sz="0" w:space="0" w:color="auto"/>
                        <w:right w:val="none" w:sz="0" w:space="0" w:color="auto"/>
                      </w:divBdr>
                    </w:div>
                  </w:divsChild>
                </w:div>
                <w:div w:id="1293749176">
                  <w:marLeft w:val="0"/>
                  <w:marRight w:val="0"/>
                  <w:marTop w:val="0"/>
                  <w:marBottom w:val="0"/>
                  <w:divBdr>
                    <w:top w:val="none" w:sz="0" w:space="0" w:color="auto"/>
                    <w:left w:val="none" w:sz="0" w:space="0" w:color="auto"/>
                    <w:bottom w:val="none" w:sz="0" w:space="0" w:color="auto"/>
                    <w:right w:val="none" w:sz="0" w:space="0" w:color="auto"/>
                  </w:divBdr>
                  <w:divsChild>
                    <w:div w:id="193424577">
                      <w:marLeft w:val="0"/>
                      <w:marRight w:val="0"/>
                      <w:marTop w:val="0"/>
                      <w:marBottom w:val="0"/>
                      <w:divBdr>
                        <w:top w:val="none" w:sz="0" w:space="0" w:color="auto"/>
                        <w:left w:val="none" w:sz="0" w:space="0" w:color="auto"/>
                        <w:bottom w:val="none" w:sz="0" w:space="0" w:color="auto"/>
                        <w:right w:val="none" w:sz="0" w:space="0" w:color="auto"/>
                      </w:divBdr>
                    </w:div>
                  </w:divsChild>
                </w:div>
                <w:div w:id="1311130929">
                  <w:marLeft w:val="0"/>
                  <w:marRight w:val="0"/>
                  <w:marTop w:val="0"/>
                  <w:marBottom w:val="0"/>
                  <w:divBdr>
                    <w:top w:val="none" w:sz="0" w:space="0" w:color="auto"/>
                    <w:left w:val="none" w:sz="0" w:space="0" w:color="auto"/>
                    <w:bottom w:val="none" w:sz="0" w:space="0" w:color="auto"/>
                    <w:right w:val="none" w:sz="0" w:space="0" w:color="auto"/>
                  </w:divBdr>
                  <w:divsChild>
                    <w:div w:id="1507210693">
                      <w:marLeft w:val="0"/>
                      <w:marRight w:val="0"/>
                      <w:marTop w:val="0"/>
                      <w:marBottom w:val="0"/>
                      <w:divBdr>
                        <w:top w:val="none" w:sz="0" w:space="0" w:color="auto"/>
                        <w:left w:val="none" w:sz="0" w:space="0" w:color="auto"/>
                        <w:bottom w:val="none" w:sz="0" w:space="0" w:color="auto"/>
                        <w:right w:val="none" w:sz="0" w:space="0" w:color="auto"/>
                      </w:divBdr>
                    </w:div>
                  </w:divsChild>
                </w:div>
                <w:div w:id="1326085323">
                  <w:marLeft w:val="0"/>
                  <w:marRight w:val="0"/>
                  <w:marTop w:val="0"/>
                  <w:marBottom w:val="0"/>
                  <w:divBdr>
                    <w:top w:val="none" w:sz="0" w:space="0" w:color="auto"/>
                    <w:left w:val="none" w:sz="0" w:space="0" w:color="auto"/>
                    <w:bottom w:val="none" w:sz="0" w:space="0" w:color="auto"/>
                    <w:right w:val="none" w:sz="0" w:space="0" w:color="auto"/>
                  </w:divBdr>
                  <w:divsChild>
                    <w:div w:id="1247150876">
                      <w:marLeft w:val="0"/>
                      <w:marRight w:val="0"/>
                      <w:marTop w:val="0"/>
                      <w:marBottom w:val="0"/>
                      <w:divBdr>
                        <w:top w:val="none" w:sz="0" w:space="0" w:color="auto"/>
                        <w:left w:val="none" w:sz="0" w:space="0" w:color="auto"/>
                        <w:bottom w:val="none" w:sz="0" w:space="0" w:color="auto"/>
                        <w:right w:val="none" w:sz="0" w:space="0" w:color="auto"/>
                      </w:divBdr>
                    </w:div>
                  </w:divsChild>
                </w:div>
                <w:div w:id="1355568691">
                  <w:marLeft w:val="0"/>
                  <w:marRight w:val="0"/>
                  <w:marTop w:val="0"/>
                  <w:marBottom w:val="0"/>
                  <w:divBdr>
                    <w:top w:val="none" w:sz="0" w:space="0" w:color="auto"/>
                    <w:left w:val="none" w:sz="0" w:space="0" w:color="auto"/>
                    <w:bottom w:val="none" w:sz="0" w:space="0" w:color="auto"/>
                    <w:right w:val="none" w:sz="0" w:space="0" w:color="auto"/>
                  </w:divBdr>
                  <w:divsChild>
                    <w:div w:id="636565780">
                      <w:marLeft w:val="0"/>
                      <w:marRight w:val="0"/>
                      <w:marTop w:val="0"/>
                      <w:marBottom w:val="0"/>
                      <w:divBdr>
                        <w:top w:val="none" w:sz="0" w:space="0" w:color="auto"/>
                        <w:left w:val="none" w:sz="0" w:space="0" w:color="auto"/>
                        <w:bottom w:val="none" w:sz="0" w:space="0" w:color="auto"/>
                        <w:right w:val="none" w:sz="0" w:space="0" w:color="auto"/>
                      </w:divBdr>
                    </w:div>
                  </w:divsChild>
                </w:div>
                <w:div w:id="1504203088">
                  <w:marLeft w:val="0"/>
                  <w:marRight w:val="0"/>
                  <w:marTop w:val="0"/>
                  <w:marBottom w:val="0"/>
                  <w:divBdr>
                    <w:top w:val="none" w:sz="0" w:space="0" w:color="auto"/>
                    <w:left w:val="none" w:sz="0" w:space="0" w:color="auto"/>
                    <w:bottom w:val="none" w:sz="0" w:space="0" w:color="auto"/>
                    <w:right w:val="none" w:sz="0" w:space="0" w:color="auto"/>
                  </w:divBdr>
                  <w:divsChild>
                    <w:div w:id="416948952">
                      <w:marLeft w:val="0"/>
                      <w:marRight w:val="0"/>
                      <w:marTop w:val="0"/>
                      <w:marBottom w:val="0"/>
                      <w:divBdr>
                        <w:top w:val="none" w:sz="0" w:space="0" w:color="auto"/>
                        <w:left w:val="none" w:sz="0" w:space="0" w:color="auto"/>
                        <w:bottom w:val="none" w:sz="0" w:space="0" w:color="auto"/>
                        <w:right w:val="none" w:sz="0" w:space="0" w:color="auto"/>
                      </w:divBdr>
                    </w:div>
                  </w:divsChild>
                </w:div>
                <w:div w:id="1558666805">
                  <w:marLeft w:val="0"/>
                  <w:marRight w:val="0"/>
                  <w:marTop w:val="0"/>
                  <w:marBottom w:val="0"/>
                  <w:divBdr>
                    <w:top w:val="none" w:sz="0" w:space="0" w:color="auto"/>
                    <w:left w:val="none" w:sz="0" w:space="0" w:color="auto"/>
                    <w:bottom w:val="none" w:sz="0" w:space="0" w:color="auto"/>
                    <w:right w:val="none" w:sz="0" w:space="0" w:color="auto"/>
                  </w:divBdr>
                  <w:divsChild>
                    <w:div w:id="276180053">
                      <w:marLeft w:val="0"/>
                      <w:marRight w:val="0"/>
                      <w:marTop w:val="0"/>
                      <w:marBottom w:val="0"/>
                      <w:divBdr>
                        <w:top w:val="none" w:sz="0" w:space="0" w:color="auto"/>
                        <w:left w:val="none" w:sz="0" w:space="0" w:color="auto"/>
                        <w:bottom w:val="none" w:sz="0" w:space="0" w:color="auto"/>
                        <w:right w:val="none" w:sz="0" w:space="0" w:color="auto"/>
                      </w:divBdr>
                    </w:div>
                  </w:divsChild>
                </w:div>
                <w:div w:id="1759520143">
                  <w:marLeft w:val="0"/>
                  <w:marRight w:val="0"/>
                  <w:marTop w:val="0"/>
                  <w:marBottom w:val="0"/>
                  <w:divBdr>
                    <w:top w:val="none" w:sz="0" w:space="0" w:color="auto"/>
                    <w:left w:val="none" w:sz="0" w:space="0" w:color="auto"/>
                    <w:bottom w:val="none" w:sz="0" w:space="0" w:color="auto"/>
                    <w:right w:val="none" w:sz="0" w:space="0" w:color="auto"/>
                  </w:divBdr>
                  <w:divsChild>
                    <w:div w:id="786194254">
                      <w:marLeft w:val="0"/>
                      <w:marRight w:val="0"/>
                      <w:marTop w:val="0"/>
                      <w:marBottom w:val="0"/>
                      <w:divBdr>
                        <w:top w:val="none" w:sz="0" w:space="0" w:color="auto"/>
                        <w:left w:val="none" w:sz="0" w:space="0" w:color="auto"/>
                        <w:bottom w:val="none" w:sz="0" w:space="0" w:color="auto"/>
                        <w:right w:val="none" w:sz="0" w:space="0" w:color="auto"/>
                      </w:divBdr>
                    </w:div>
                  </w:divsChild>
                </w:div>
                <w:div w:id="1762532028">
                  <w:marLeft w:val="0"/>
                  <w:marRight w:val="0"/>
                  <w:marTop w:val="0"/>
                  <w:marBottom w:val="0"/>
                  <w:divBdr>
                    <w:top w:val="none" w:sz="0" w:space="0" w:color="auto"/>
                    <w:left w:val="none" w:sz="0" w:space="0" w:color="auto"/>
                    <w:bottom w:val="none" w:sz="0" w:space="0" w:color="auto"/>
                    <w:right w:val="none" w:sz="0" w:space="0" w:color="auto"/>
                  </w:divBdr>
                  <w:divsChild>
                    <w:div w:id="106123579">
                      <w:marLeft w:val="0"/>
                      <w:marRight w:val="0"/>
                      <w:marTop w:val="0"/>
                      <w:marBottom w:val="0"/>
                      <w:divBdr>
                        <w:top w:val="none" w:sz="0" w:space="0" w:color="auto"/>
                        <w:left w:val="none" w:sz="0" w:space="0" w:color="auto"/>
                        <w:bottom w:val="none" w:sz="0" w:space="0" w:color="auto"/>
                        <w:right w:val="none" w:sz="0" w:space="0" w:color="auto"/>
                      </w:divBdr>
                    </w:div>
                  </w:divsChild>
                </w:div>
                <w:div w:id="1801268743">
                  <w:marLeft w:val="0"/>
                  <w:marRight w:val="0"/>
                  <w:marTop w:val="0"/>
                  <w:marBottom w:val="0"/>
                  <w:divBdr>
                    <w:top w:val="none" w:sz="0" w:space="0" w:color="auto"/>
                    <w:left w:val="none" w:sz="0" w:space="0" w:color="auto"/>
                    <w:bottom w:val="none" w:sz="0" w:space="0" w:color="auto"/>
                    <w:right w:val="none" w:sz="0" w:space="0" w:color="auto"/>
                  </w:divBdr>
                  <w:divsChild>
                    <w:div w:id="462122028">
                      <w:marLeft w:val="0"/>
                      <w:marRight w:val="0"/>
                      <w:marTop w:val="0"/>
                      <w:marBottom w:val="0"/>
                      <w:divBdr>
                        <w:top w:val="none" w:sz="0" w:space="0" w:color="auto"/>
                        <w:left w:val="none" w:sz="0" w:space="0" w:color="auto"/>
                        <w:bottom w:val="none" w:sz="0" w:space="0" w:color="auto"/>
                        <w:right w:val="none" w:sz="0" w:space="0" w:color="auto"/>
                      </w:divBdr>
                    </w:div>
                  </w:divsChild>
                </w:div>
                <w:div w:id="1828744422">
                  <w:marLeft w:val="0"/>
                  <w:marRight w:val="0"/>
                  <w:marTop w:val="0"/>
                  <w:marBottom w:val="0"/>
                  <w:divBdr>
                    <w:top w:val="none" w:sz="0" w:space="0" w:color="auto"/>
                    <w:left w:val="none" w:sz="0" w:space="0" w:color="auto"/>
                    <w:bottom w:val="none" w:sz="0" w:space="0" w:color="auto"/>
                    <w:right w:val="none" w:sz="0" w:space="0" w:color="auto"/>
                  </w:divBdr>
                  <w:divsChild>
                    <w:div w:id="1729451634">
                      <w:marLeft w:val="0"/>
                      <w:marRight w:val="0"/>
                      <w:marTop w:val="0"/>
                      <w:marBottom w:val="0"/>
                      <w:divBdr>
                        <w:top w:val="none" w:sz="0" w:space="0" w:color="auto"/>
                        <w:left w:val="none" w:sz="0" w:space="0" w:color="auto"/>
                        <w:bottom w:val="none" w:sz="0" w:space="0" w:color="auto"/>
                        <w:right w:val="none" w:sz="0" w:space="0" w:color="auto"/>
                      </w:divBdr>
                    </w:div>
                  </w:divsChild>
                </w:div>
                <w:div w:id="1919627573">
                  <w:marLeft w:val="0"/>
                  <w:marRight w:val="0"/>
                  <w:marTop w:val="0"/>
                  <w:marBottom w:val="0"/>
                  <w:divBdr>
                    <w:top w:val="none" w:sz="0" w:space="0" w:color="auto"/>
                    <w:left w:val="none" w:sz="0" w:space="0" w:color="auto"/>
                    <w:bottom w:val="none" w:sz="0" w:space="0" w:color="auto"/>
                    <w:right w:val="none" w:sz="0" w:space="0" w:color="auto"/>
                  </w:divBdr>
                  <w:divsChild>
                    <w:div w:id="1650551285">
                      <w:marLeft w:val="0"/>
                      <w:marRight w:val="0"/>
                      <w:marTop w:val="0"/>
                      <w:marBottom w:val="0"/>
                      <w:divBdr>
                        <w:top w:val="none" w:sz="0" w:space="0" w:color="auto"/>
                        <w:left w:val="none" w:sz="0" w:space="0" w:color="auto"/>
                        <w:bottom w:val="none" w:sz="0" w:space="0" w:color="auto"/>
                        <w:right w:val="none" w:sz="0" w:space="0" w:color="auto"/>
                      </w:divBdr>
                    </w:div>
                  </w:divsChild>
                </w:div>
                <w:div w:id="1975285242">
                  <w:marLeft w:val="0"/>
                  <w:marRight w:val="0"/>
                  <w:marTop w:val="0"/>
                  <w:marBottom w:val="0"/>
                  <w:divBdr>
                    <w:top w:val="none" w:sz="0" w:space="0" w:color="auto"/>
                    <w:left w:val="none" w:sz="0" w:space="0" w:color="auto"/>
                    <w:bottom w:val="none" w:sz="0" w:space="0" w:color="auto"/>
                    <w:right w:val="none" w:sz="0" w:space="0" w:color="auto"/>
                  </w:divBdr>
                  <w:divsChild>
                    <w:div w:id="1476413451">
                      <w:marLeft w:val="0"/>
                      <w:marRight w:val="0"/>
                      <w:marTop w:val="0"/>
                      <w:marBottom w:val="0"/>
                      <w:divBdr>
                        <w:top w:val="none" w:sz="0" w:space="0" w:color="auto"/>
                        <w:left w:val="none" w:sz="0" w:space="0" w:color="auto"/>
                        <w:bottom w:val="none" w:sz="0" w:space="0" w:color="auto"/>
                        <w:right w:val="none" w:sz="0" w:space="0" w:color="auto"/>
                      </w:divBdr>
                    </w:div>
                  </w:divsChild>
                </w:div>
                <w:div w:id="2087065536">
                  <w:marLeft w:val="0"/>
                  <w:marRight w:val="0"/>
                  <w:marTop w:val="0"/>
                  <w:marBottom w:val="0"/>
                  <w:divBdr>
                    <w:top w:val="none" w:sz="0" w:space="0" w:color="auto"/>
                    <w:left w:val="none" w:sz="0" w:space="0" w:color="auto"/>
                    <w:bottom w:val="none" w:sz="0" w:space="0" w:color="auto"/>
                    <w:right w:val="none" w:sz="0" w:space="0" w:color="auto"/>
                  </w:divBdr>
                  <w:divsChild>
                    <w:div w:id="1272740679">
                      <w:marLeft w:val="0"/>
                      <w:marRight w:val="0"/>
                      <w:marTop w:val="0"/>
                      <w:marBottom w:val="0"/>
                      <w:divBdr>
                        <w:top w:val="none" w:sz="0" w:space="0" w:color="auto"/>
                        <w:left w:val="none" w:sz="0" w:space="0" w:color="auto"/>
                        <w:bottom w:val="none" w:sz="0" w:space="0" w:color="auto"/>
                        <w:right w:val="none" w:sz="0" w:space="0" w:color="auto"/>
                      </w:divBdr>
                    </w:div>
                  </w:divsChild>
                </w:div>
                <w:div w:id="2133085742">
                  <w:marLeft w:val="0"/>
                  <w:marRight w:val="0"/>
                  <w:marTop w:val="0"/>
                  <w:marBottom w:val="0"/>
                  <w:divBdr>
                    <w:top w:val="none" w:sz="0" w:space="0" w:color="auto"/>
                    <w:left w:val="none" w:sz="0" w:space="0" w:color="auto"/>
                    <w:bottom w:val="none" w:sz="0" w:space="0" w:color="auto"/>
                    <w:right w:val="none" w:sz="0" w:space="0" w:color="auto"/>
                  </w:divBdr>
                  <w:divsChild>
                    <w:div w:id="17157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28702">
          <w:marLeft w:val="0"/>
          <w:marRight w:val="0"/>
          <w:marTop w:val="0"/>
          <w:marBottom w:val="0"/>
          <w:divBdr>
            <w:top w:val="none" w:sz="0" w:space="0" w:color="auto"/>
            <w:left w:val="none" w:sz="0" w:space="0" w:color="auto"/>
            <w:bottom w:val="none" w:sz="0" w:space="0" w:color="auto"/>
            <w:right w:val="none" w:sz="0" w:space="0" w:color="auto"/>
          </w:divBdr>
          <w:divsChild>
            <w:div w:id="175190169">
              <w:marLeft w:val="0"/>
              <w:marRight w:val="0"/>
              <w:marTop w:val="0"/>
              <w:marBottom w:val="0"/>
              <w:divBdr>
                <w:top w:val="none" w:sz="0" w:space="0" w:color="auto"/>
                <w:left w:val="none" w:sz="0" w:space="0" w:color="auto"/>
                <w:bottom w:val="none" w:sz="0" w:space="0" w:color="auto"/>
                <w:right w:val="none" w:sz="0" w:space="0" w:color="auto"/>
              </w:divBdr>
            </w:div>
            <w:div w:id="726224156">
              <w:marLeft w:val="0"/>
              <w:marRight w:val="0"/>
              <w:marTop w:val="0"/>
              <w:marBottom w:val="0"/>
              <w:divBdr>
                <w:top w:val="none" w:sz="0" w:space="0" w:color="auto"/>
                <w:left w:val="none" w:sz="0" w:space="0" w:color="auto"/>
                <w:bottom w:val="none" w:sz="0" w:space="0" w:color="auto"/>
                <w:right w:val="none" w:sz="0" w:space="0" w:color="auto"/>
              </w:divBdr>
            </w:div>
            <w:div w:id="915169467">
              <w:marLeft w:val="0"/>
              <w:marRight w:val="0"/>
              <w:marTop w:val="0"/>
              <w:marBottom w:val="0"/>
              <w:divBdr>
                <w:top w:val="none" w:sz="0" w:space="0" w:color="auto"/>
                <w:left w:val="none" w:sz="0" w:space="0" w:color="auto"/>
                <w:bottom w:val="none" w:sz="0" w:space="0" w:color="auto"/>
                <w:right w:val="none" w:sz="0" w:space="0" w:color="auto"/>
              </w:divBdr>
            </w:div>
            <w:div w:id="1028798550">
              <w:marLeft w:val="0"/>
              <w:marRight w:val="0"/>
              <w:marTop w:val="0"/>
              <w:marBottom w:val="0"/>
              <w:divBdr>
                <w:top w:val="none" w:sz="0" w:space="0" w:color="auto"/>
                <w:left w:val="none" w:sz="0" w:space="0" w:color="auto"/>
                <w:bottom w:val="none" w:sz="0" w:space="0" w:color="auto"/>
                <w:right w:val="none" w:sz="0" w:space="0" w:color="auto"/>
              </w:divBdr>
            </w:div>
            <w:div w:id="1054430570">
              <w:marLeft w:val="0"/>
              <w:marRight w:val="0"/>
              <w:marTop w:val="0"/>
              <w:marBottom w:val="0"/>
              <w:divBdr>
                <w:top w:val="none" w:sz="0" w:space="0" w:color="auto"/>
                <w:left w:val="none" w:sz="0" w:space="0" w:color="auto"/>
                <w:bottom w:val="none" w:sz="0" w:space="0" w:color="auto"/>
                <w:right w:val="none" w:sz="0" w:space="0" w:color="auto"/>
              </w:divBdr>
            </w:div>
            <w:div w:id="1462264787">
              <w:marLeft w:val="0"/>
              <w:marRight w:val="0"/>
              <w:marTop w:val="0"/>
              <w:marBottom w:val="0"/>
              <w:divBdr>
                <w:top w:val="none" w:sz="0" w:space="0" w:color="auto"/>
                <w:left w:val="none" w:sz="0" w:space="0" w:color="auto"/>
                <w:bottom w:val="none" w:sz="0" w:space="0" w:color="auto"/>
                <w:right w:val="none" w:sz="0" w:space="0" w:color="auto"/>
              </w:divBdr>
            </w:div>
            <w:div w:id="1514371514">
              <w:marLeft w:val="0"/>
              <w:marRight w:val="0"/>
              <w:marTop w:val="0"/>
              <w:marBottom w:val="0"/>
              <w:divBdr>
                <w:top w:val="none" w:sz="0" w:space="0" w:color="auto"/>
                <w:left w:val="none" w:sz="0" w:space="0" w:color="auto"/>
                <w:bottom w:val="none" w:sz="0" w:space="0" w:color="auto"/>
                <w:right w:val="none" w:sz="0" w:space="0" w:color="auto"/>
              </w:divBdr>
            </w:div>
            <w:div w:id="1520655992">
              <w:marLeft w:val="0"/>
              <w:marRight w:val="0"/>
              <w:marTop w:val="0"/>
              <w:marBottom w:val="0"/>
              <w:divBdr>
                <w:top w:val="none" w:sz="0" w:space="0" w:color="auto"/>
                <w:left w:val="none" w:sz="0" w:space="0" w:color="auto"/>
                <w:bottom w:val="none" w:sz="0" w:space="0" w:color="auto"/>
                <w:right w:val="none" w:sz="0" w:space="0" w:color="auto"/>
              </w:divBdr>
            </w:div>
            <w:div w:id="1579904300">
              <w:marLeft w:val="0"/>
              <w:marRight w:val="0"/>
              <w:marTop w:val="0"/>
              <w:marBottom w:val="0"/>
              <w:divBdr>
                <w:top w:val="none" w:sz="0" w:space="0" w:color="auto"/>
                <w:left w:val="none" w:sz="0" w:space="0" w:color="auto"/>
                <w:bottom w:val="none" w:sz="0" w:space="0" w:color="auto"/>
                <w:right w:val="none" w:sz="0" w:space="0" w:color="auto"/>
              </w:divBdr>
            </w:div>
            <w:div w:id="1638366333">
              <w:marLeft w:val="0"/>
              <w:marRight w:val="0"/>
              <w:marTop w:val="0"/>
              <w:marBottom w:val="0"/>
              <w:divBdr>
                <w:top w:val="none" w:sz="0" w:space="0" w:color="auto"/>
                <w:left w:val="none" w:sz="0" w:space="0" w:color="auto"/>
                <w:bottom w:val="none" w:sz="0" w:space="0" w:color="auto"/>
                <w:right w:val="none" w:sz="0" w:space="0" w:color="auto"/>
              </w:divBdr>
            </w:div>
            <w:div w:id="1753239539">
              <w:marLeft w:val="0"/>
              <w:marRight w:val="0"/>
              <w:marTop w:val="0"/>
              <w:marBottom w:val="0"/>
              <w:divBdr>
                <w:top w:val="none" w:sz="0" w:space="0" w:color="auto"/>
                <w:left w:val="none" w:sz="0" w:space="0" w:color="auto"/>
                <w:bottom w:val="none" w:sz="0" w:space="0" w:color="auto"/>
                <w:right w:val="none" w:sz="0" w:space="0" w:color="auto"/>
              </w:divBdr>
            </w:div>
            <w:div w:id="2004041578">
              <w:marLeft w:val="0"/>
              <w:marRight w:val="0"/>
              <w:marTop w:val="0"/>
              <w:marBottom w:val="0"/>
              <w:divBdr>
                <w:top w:val="none" w:sz="0" w:space="0" w:color="auto"/>
                <w:left w:val="none" w:sz="0" w:space="0" w:color="auto"/>
                <w:bottom w:val="none" w:sz="0" w:space="0" w:color="auto"/>
                <w:right w:val="none" w:sz="0" w:space="0" w:color="auto"/>
              </w:divBdr>
            </w:div>
            <w:div w:id="2012638817">
              <w:marLeft w:val="0"/>
              <w:marRight w:val="0"/>
              <w:marTop w:val="0"/>
              <w:marBottom w:val="0"/>
              <w:divBdr>
                <w:top w:val="none" w:sz="0" w:space="0" w:color="auto"/>
                <w:left w:val="none" w:sz="0" w:space="0" w:color="auto"/>
                <w:bottom w:val="none" w:sz="0" w:space="0" w:color="auto"/>
                <w:right w:val="none" w:sz="0" w:space="0" w:color="auto"/>
              </w:divBdr>
            </w:div>
            <w:div w:id="2088763632">
              <w:marLeft w:val="0"/>
              <w:marRight w:val="0"/>
              <w:marTop w:val="0"/>
              <w:marBottom w:val="0"/>
              <w:divBdr>
                <w:top w:val="none" w:sz="0" w:space="0" w:color="auto"/>
                <w:left w:val="none" w:sz="0" w:space="0" w:color="auto"/>
                <w:bottom w:val="none" w:sz="0" w:space="0" w:color="auto"/>
                <w:right w:val="none" w:sz="0" w:space="0" w:color="auto"/>
              </w:divBdr>
            </w:div>
          </w:divsChild>
        </w:div>
        <w:div w:id="1199123937">
          <w:marLeft w:val="0"/>
          <w:marRight w:val="0"/>
          <w:marTop w:val="0"/>
          <w:marBottom w:val="0"/>
          <w:divBdr>
            <w:top w:val="none" w:sz="0" w:space="0" w:color="auto"/>
            <w:left w:val="none" w:sz="0" w:space="0" w:color="auto"/>
            <w:bottom w:val="none" w:sz="0" w:space="0" w:color="auto"/>
            <w:right w:val="none" w:sz="0" w:space="0" w:color="auto"/>
          </w:divBdr>
          <w:divsChild>
            <w:div w:id="1593246550">
              <w:marLeft w:val="0"/>
              <w:marRight w:val="0"/>
              <w:marTop w:val="0"/>
              <w:marBottom w:val="0"/>
              <w:divBdr>
                <w:top w:val="none" w:sz="0" w:space="0" w:color="auto"/>
                <w:left w:val="none" w:sz="0" w:space="0" w:color="auto"/>
                <w:bottom w:val="none" w:sz="0" w:space="0" w:color="auto"/>
                <w:right w:val="none" w:sz="0" w:space="0" w:color="auto"/>
              </w:divBdr>
            </w:div>
            <w:div w:id="1640576028">
              <w:marLeft w:val="0"/>
              <w:marRight w:val="0"/>
              <w:marTop w:val="0"/>
              <w:marBottom w:val="0"/>
              <w:divBdr>
                <w:top w:val="none" w:sz="0" w:space="0" w:color="auto"/>
                <w:left w:val="none" w:sz="0" w:space="0" w:color="auto"/>
                <w:bottom w:val="none" w:sz="0" w:space="0" w:color="auto"/>
                <w:right w:val="none" w:sz="0" w:space="0" w:color="auto"/>
              </w:divBdr>
            </w:div>
            <w:div w:id="1971857101">
              <w:marLeft w:val="0"/>
              <w:marRight w:val="0"/>
              <w:marTop w:val="0"/>
              <w:marBottom w:val="0"/>
              <w:divBdr>
                <w:top w:val="none" w:sz="0" w:space="0" w:color="auto"/>
                <w:left w:val="none" w:sz="0" w:space="0" w:color="auto"/>
                <w:bottom w:val="none" w:sz="0" w:space="0" w:color="auto"/>
                <w:right w:val="none" w:sz="0" w:space="0" w:color="auto"/>
              </w:divBdr>
            </w:div>
            <w:div w:id="2102984769">
              <w:marLeft w:val="0"/>
              <w:marRight w:val="0"/>
              <w:marTop w:val="0"/>
              <w:marBottom w:val="0"/>
              <w:divBdr>
                <w:top w:val="none" w:sz="0" w:space="0" w:color="auto"/>
                <w:left w:val="none" w:sz="0" w:space="0" w:color="auto"/>
                <w:bottom w:val="none" w:sz="0" w:space="0" w:color="auto"/>
                <w:right w:val="none" w:sz="0" w:space="0" w:color="auto"/>
              </w:divBdr>
            </w:div>
          </w:divsChild>
        </w:div>
        <w:div w:id="1226339392">
          <w:marLeft w:val="0"/>
          <w:marRight w:val="0"/>
          <w:marTop w:val="0"/>
          <w:marBottom w:val="0"/>
          <w:divBdr>
            <w:top w:val="none" w:sz="0" w:space="0" w:color="auto"/>
            <w:left w:val="none" w:sz="0" w:space="0" w:color="auto"/>
            <w:bottom w:val="none" w:sz="0" w:space="0" w:color="auto"/>
            <w:right w:val="none" w:sz="0" w:space="0" w:color="auto"/>
          </w:divBdr>
          <w:divsChild>
            <w:div w:id="24717440">
              <w:marLeft w:val="0"/>
              <w:marRight w:val="0"/>
              <w:marTop w:val="0"/>
              <w:marBottom w:val="0"/>
              <w:divBdr>
                <w:top w:val="none" w:sz="0" w:space="0" w:color="auto"/>
                <w:left w:val="none" w:sz="0" w:space="0" w:color="auto"/>
                <w:bottom w:val="none" w:sz="0" w:space="0" w:color="auto"/>
                <w:right w:val="none" w:sz="0" w:space="0" w:color="auto"/>
              </w:divBdr>
            </w:div>
            <w:div w:id="227158852">
              <w:marLeft w:val="0"/>
              <w:marRight w:val="0"/>
              <w:marTop w:val="0"/>
              <w:marBottom w:val="0"/>
              <w:divBdr>
                <w:top w:val="none" w:sz="0" w:space="0" w:color="auto"/>
                <w:left w:val="none" w:sz="0" w:space="0" w:color="auto"/>
                <w:bottom w:val="none" w:sz="0" w:space="0" w:color="auto"/>
                <w:right w:val="none" w:sz="0" w:space="0" w:color="auto"/>
              </w:divBdr>
            </w:div>
            <w:div w:id="245765770">
              <w:marLeft w:val="0"/>
              <w:marRight w:val="0"/>
              <w:marTop w:val="0"/>
              <w:marBottom w:val="0"/>
              <w:divBdr>
                <w:top w:val="none" w:sz="0" w:space="0" w:color="auto"/>
                <w:left w:val="none" w:sz="0" w:space="0" w:color="auto"/>
                <w:bottom w:val="none" w:sz="0" w:space="0" w:color="auto"/>
                <w:right w:val="none" w:sz="0" w:space="0" w:color="auto"/>
              </w:divBdr>
            </w:div>
            <w:div w:id="298072818">
              <w:marLeft w:val="0"/>
              <w:marRight w:val="0"/>
              <w:marTop w:val="0"/>
              <w:marBottom w:val="0"/>
              <w:divBdr>
                <w:top w:val="none" w:sz="0" w:space="0" w:color="auto"/>
                <w:left w:val="none" w:sz="0" w:space="0" w:color="auto"/>
                <w:bottom w:val="none" w:sz="0" w:space="0" w:color="auto"/>
                <w:right w:val="none" w:sz="0" w:space="0" w:color="auto"/>
              </w:divBdr>
            </w:div>
            <w:div w:id="420681359">
              <w:marLeft w:val="0"/>
              <w:marRight w:val="0"/>
              <w:marTop w:val="0"/>
              <w:marBottom w:val="0"/>
              <w:divBdr>
                <w:top w:val="none" w:sz="0" w:space="0" w:color="auto"/>
                <w:left w:val="none" w:sz="0" w:space="0" w:color="auto"/>
                <w:bottom w:val="none" w:sz="0" w:space="0" w:color="auto"/>
                <w:right w:val="none" w:sz="0" w:space="0" w:color="auto"/>
              </w:divBdr>
            </w:div>
            <w:div w:id="605432575">
              <w:marLeft w:val="0"/>
              <w:marRight w:val="0"/>
              <w:marTop w:val="0"/>
              <w:marBottom w:val="0"/>
              <w:divBdr>
                <w:top w:val="none" w:sz="0" w:space="0" w:color="auto"/>
                <w:left w:val="none" w:sz="0" w:space="0" w:color="auto"/>
                <w:bottom w:val="none" w:sz="0" w:space="0" w:color="auto"/>
                <w:right w:val="none" w:sz="0" w:space="0" w:color="auto"/>
              </w:divBdr>
            </w:div>
            <w:div w:id="766921525">
              <w:marLeft w:val="0"/>
              <w:marRight w:val="0"/>
              <w:marTop w:val="0"/>
              <w:marBottom w:val="0"/>
              <w:divBdr>
                <w:top w:val="none" w:sz="0" w:space="0" w:color="auto"/>
                <w:left w:val="none" w:sz="0" w:space="0" w:color="auto"/>
                <w:bottom w:val="none" w:sz="0" w:space="0" w:color="auto"/>
                <w:right w:val="none" w:sz="0" w:space="0" w:color="auto"/>
              </w:divBdr>
            </w:div>
            <w:div w:id="993264607">
              <w:marLeft w:val="0"/>
              <w:marRight w:val="0"/>
              <w:marTop w:val="0"/>
              <w:marBottom w:val="0"/>
              <w:divBdr>
                <w:top w:val="none" w:sz="0" w:space="0" w:color="auto"/>
                <w:left w:val="none" w:sz="0" w:space="0" w:color="auto"/>
                <w:bottom w:val="none" w:sz="0" w:space="0" w:color="auto"/>
                <w:right w:val="none" w:sz="0" w:space="0" w:color="auto"/>
              </w:divBdr>
            </w:div>
            <w:div w:id="1092506454">
              <w:marLeft w:val="0"/>
              <w:marRight w:val="0"/>
              <w:marTop w:val="0"/>
              <w:marBottom w:val="0"/>
              <w:divBdr>
                <w:top w:val="none" w:sz="0" w:space="0" w:color="auto"/>
                <w:left w:val="none" w:sz="0" w:space="0" w:color="auto"/>
                <w:bottom w:val="none" w:sz="0" w:space="0" w:color="auto"/>
                <w:right w:val="none" w:sz="0" w:space="0" w:color="auto"/>
              </w:divBdr>
            </w:div>
            <w:div w:id="1121143262">
              <w:marLeft w:val="0"/>
              <w:marRight w:val="0"/>
              <w:marTop w:val="0"/>
              <w:marBottom w:val="0"/>
              <w:divBdr>
                <w:top w:val="none" w:sz="0" w:space="0" w:color="auto"/>
                <w:left w:val="none" w:sz="0" w:space="0" w:color="auto"/>
                <w:bottom w:val="none" w:sz="0" w:space="0" w:color="auto"/>
                <w:right w:val="none" w:sz="0" w:space="0" w:color="auto"/>
              </w:divBdr>
            </w:div>
            <w:div w:id="1431120102">
              <w:marLeft w:val="0"/>
              <w:marRight w:val="0"/>
              <w:marTop w:val="0"/>
              <w:marBottom w:val="0"/>
              <w:divBdr>
                <w:top w:val="none" w:sz="0" w:space="0" w:color="auto"/>
                <w:left w:val="none" w:sz="0" w:space="0" w:color="auto"/>
                <w:bottom w:val="none" w:sz="0" w:space="0" w:color="auto"/>
                <w:right w:val="none" w:sz="0" w:space="0" w:color="auto"/>
              </w:divBdr>
            </w:div>
            <w:div w:id="1537545200">
              <w:marLeft w:val="0"/>
              <w:marRight w:val="0"/>
              <w:marTop w:val="0"/>
              <w:marBottom w:val="0"/>
              <w:divBdr>
                <w:top w:val="none" w:sz="0" w:space="0" w:color="auto"/>
                <w:left w:val="none" w:sz="0" w:space="0" w:color="auto"/>
                <w:bottom w:val="none" w:sz="0" w:space="0" w:color="auto"/>
                <w:right w:val="none" w:sz="0" w:space="0" w:color="auto"/>
              </w:divBdr>
            </w:div>
            <w:div w:id="1621690064">
              <w:marLeft w:val="0"/>
              <w:marRight w:val="0"/>
              <w:marTop w:val="0"/>
              <w:marBottom w:val="0"/>
              <w:divBdr>
                <w:top w:val="none" w:sz="0" w:space="0" w:color="auto"/>
                <w:left w:val="none" w:sz="0" w:space="0" w:color="auto"/>
                <w:bottom w:val="none" w:sz="0" w:space="0" w:color="auto"/>
                <w:right w:val="none" w:sz="0" w:space="0" w:color="auto"/>
              </w:divBdr>
            </w:div>
            <w:div w:id="1699743777">
              <w:marLeft w:val="0"/>
              <w:marRight w:val="0"/>
              <w:marTop w:val="0"/>
              <w:marBottom w:val="0"/>
              <w:divBdr>
                <w:top w:val="none" w:sz="0" w:space="0" w:color="auto"/>
                <w:left w:val="none" w:sz="0" w:space="0" w:color="auto"/>
                <w:bottom w:val="none" w:sz="0" w:space="0" w:color="auto"/>
                <w:right w:val="none" w:sz="0" w:space="0" w:color="auto"/>
              </w:divBdr>
            </w:div>
            <w:div w:id="1773623126">
              <w:marLeft w:val="0"/>
              <w:marRight w:val="0"/>
              <w:marTop w:val="0"/>
              <w:marBottom w:val="0"/>
              <w:divBdr>
                <w:top w:val="none" w:sz="0" w:space="0" w:color="auto"/>
                <w:left w:val="none" w:sz="0" w:space="0" w:color="auto"/>
                <w:bottom w:val="none" w:sz="0" w:space="0" w:color="auto"/>
                <w:right w:val="none" w:sz="0" w:space="0" w:color="auto"/>
              </w:divBdr>
            </w:div>
            <w:div w:id="1968273832">
              <w:marLeft w:val="0"/>
              <w:marRight w:val="0"/>
              <w:marTop w:val="0"/>
              <w:marBottom w:val="0"/>
              <w:divBdr>
                <w:top w:val="none" w:sz="0" w:space="0" w:color="auto"/>
                <w:left w:val="none" w:sz="0" w:space="0" w:color="auto"/>
                <w:bottom w:val="none" w:sz="0" w:space="0" w:color="auto"/>
                <w:right w:val="none" w:sz="0" w:space="0" w:color="auto"/>
              </w:divBdr>
            </w:div>
            <w:div w:id="2131822663">
              <w:marLeft w:val="0"/>
              <w:marRight w:val="0"/>
              <w:marTop w:val="0"/>
              <w:marBottom w:val="0"/>
              <w:divBdr>
                <w:top w:val="none" w:sz="0" w:space="0" w:color="auto"/>
                <w:left w:val="none" w:sz="0" w:space="0" w:color="auto"/>
                <w:bottom w:val="none" w:sz="0" w:space="0" w:color="auto"/>
                <w:right w:val="none" w:sz="0" w:space="0" w:color="auto"/>
              </w:divBdr>
            </w:div>
          </w:divsChild>
        </w:div>
        <w:div w:id="1243758191">
          <w:marLeft w:val="0"/>
          <w:marRight w:val="0"/>
          <w:marTop w:val="0"/>
          <w:marBottom w:val="0"/>
          <w:divBdr>
            <w:top w:val="none" w:sz="0" w:space="0" w:color="auto"/>
            <w:left w:val="none" w:sz="0" w:space="0" w:color="auto"/>
            <w:bottom w:val="none" w:sz="0" w:space="0" w:color="auto"/>
            <w:right w:val="none" w:sz="0" w:space="0" w:color="auto"/>
          </w:divBdr>
        </w:div>
        <w:div w:id="1260019893">
          <w:marLeft w:val="0"/>
          <w:marRight w:val="0"/>
          <w:marTop w:val="0"/>
          <w:marBottom w:val="0"/>
          <w:divBdr>
            <w:top w:val="none" w:sz="0" w:space="0" w:color="auto"/>
            <w:left w:val="none" w:sz="0" w:space="0" w:color="auto"/>
            <w:bottom w:val="none" w:sz="0" w:space="0" w:color="auto"/>
            <w:right w:val="none" w:sz="0" w:space="0" w:color="auto"/>
          </w:divBdr>
          <w:divsChild>
            <w:div w:id="744760037">
              <w:marLeft w:val="0"/>
              <w:marRight w:val="0"/>
              <w:marTop w:val="0"/>
              <w:marBottom w:val="0"/>
              <w:divBdr>
                <w:top w:val="none" w:sz="0" w:space="0" w:color="auto"/>
                <w:left w:val="none" w:sz="0" w:space="0" w:color="auto"/>
                <w:bottom w:val="none" w:sz="0" w:space="0" w:color="auto"/>
                <w:right w:val="none" w:sz="0" w:space="0" w:color="auto"/>
              </w:divBdr>
            </w:div>
          </w:divsChild>
        </w:div>
        <w:div w:id="1275559189">
          <w:marLeft w:val="0"/>
          <w:marRight w:val="0"/>
          <w:marTop w:val="0"/>
          <w:marBottom w:val="0"/>
          <w:divBdr>
            <w:top w:val="none" w:sz="0" w:space="0" w:color="auto"/>
            <w:left w:val="none" w:sz="0" w:space="0" w:color="auto"/>
            <w:bottom w:val="none" w:sz="0" w:space="0" w:color="auto"/>
            <w:right w:val="none" w:sz="0" w:space="0" w:color="auto"/>
          </w:divBdr>
          <w:divsChild>
            <w:div w:id="723142983">
              <w:marLeft w:val="-75"/>
              <w:marRight w:val="0"/>
              <w:marTop w:val="30"/>
              <w:marBottom w:val="30"/>
              <w:divBdr>
                <w:top w:val="none" w:sz="0" w:space="0" w:color="auto"/>
                <w:left w:val="none" w:sz="0" w:space="0" w:color="auto"/>
                <w:bottom w:val="none" w:sz="0" w:space="0" w:color="auto"/>
                <w:right w:val="none" w:sz="0" w:space="0" w:color="auto"/>
              </w:divBdr>
              <w:divsChild>
                <w:div w:id="44791573">
                  <w:marLeft w:val="0"/>
                  <w:marRight w:val="0"/>
                  <w:marTop w:val="0"/>
                  <w:marBottom w:val="0"/>
                  <w:divBdr>
                    <w:top w:val="none" w:sz="0" w:space="0" w:color="auto"/>
                    <w:left w:val="none" w:sz="0" w:space="0" w:color="auto"/>
                    <w:bottom w:val="none" w:sz="0" w:space="0" w:color="auto"/>
                    <w:right w:val="none" w:sz="0" w:space="0" w:color="auto"/>
                  </w:divBdr>
                  <w:divsChild>
                    <w:div w:id="524441439">
                      <w:marLeft w:val="0"/>
                      <w:marRight w:val="0"/>
                      <w:marTop w:val="0"/>
                      <w:marBottom w:val="0"/>
                      <w:divBdr>
                        <w:top w:val="none" w:sz="0" w:space="0" w:color="auto"/>
                        <w:left w:val="none" w:sz="0" w:space="0" w:color="auto"/>
                        <w:bottom w:val="none" w:sz="0" w:space="0" w:color="auto"/>
                        <w:right w:val="none" w:sz="0" w:space="0" w:color="auto"/>
                      </w:divBdr>
                    </w:div>
                  </w:divsChild>
                </w:div>
                <w:div w:id="142699804">
                  <w:marLeft w:val="0"/>
                  <w:marRight w:val="0"/>
                  <w:marTop w:val="0"/>
                  <w:marBottom w:val="0"/>
                  <w:divBdr>
                    <w:top w:val="none" w:sz="0" w:space="0" w:color="auto"/>
                    <w:left w:val="none" w:sz="0" w:space="0" w:color="auto"/>
                    <w:bottom w:val="none" w:sz="0" w:space="0" w:color="auto"/>
                    <w:right w:val="none" w:sz="0" w:space="0" w:color="auto"/>
                  </w:divBdr>
                  <w:divsChild>
                    <w:div w:id="260380093">
                      <w:marLeft w:val="0"/>
                      <w:marRight w:val="0"/>
                      <w:marTop w:val="0"/>
                      <w:marBottom w:val="0"/>
                      <w:divBdr>
                        <w:top w:val="none" w:sz="0" w:space="0" w:color="auto"/>
                        <w:left w:val="none" w:sz="0" w:space="0" w:color="auto"/>
                        <w:bottom w:val="none" w:sz="0" w:space="0" w:color="auto"/>
                        <w:right w:val="none" w:sz="0" w:space="0" w:color="auto"/>
                      </w:divBdr>
                    </w:div>
                  </w:divsChild>
                </w:div>
                <w:div w:id="193539716">
                  <w:marLeft w:val="0"/>
                  <w:marRight w:val="0"/>
                  <w:marTop w:val="0"/>
                  <w:marBottom w:val="0"/>
                  <w:divBdr>
                    <w:top w:val="none" w:sz="0" w:space="0" w:color="auto"/>
                    <w:left w:val="none" w:sz="0" w:space="0" w:color="auto"/>
                    <w:bottom w:val="none" w:sz="0" w:space="0" w:color="auto"/>
                    <w:right w:val="none" w:sz="0" w:space="0" w:color="auto"/>
                  </w:divBdr>
                  <w:divsChild>
                    <w:div w:id="587158674">
                      <w:marLeft w:val="0"/>
                      <w:marRight w:val="0"/>
                      <w:marTop w:val="0"/>
                      <w:marBottom w:val="0"/>
                      <w:divBdr>
                        <w:top w:val="none" w:sz="0" w:space="0" w:color="auto"/>
                        <w:left w:val="none" w:sz="0" w:space="0" w:color="auto"/>
                        <w:bottom w:val="none" w:sz="0" w:space="0" w:color="auto"/>
                        <w:right w:val="none" w:sz="0" w:space="0" w:color="auto"/>
                      </w:divBdr>
                    </w:div>
                  </w:divsChild>
                </w:div>
                <w:div w:id="220483747">
                  <w:marLeft w:val="0"/>
                  <w:marRight w:val="0"/>
                  <w:marTop w:val="0"/>
                  <w:marBottom w:val="0"/>
                  <w:divBdr>
                    <w:top w:val="none" w:sz="0" w:space="0" w:color="auto"/>
                    <w:left w:val="none" w:sz="0" w:space="0" w:color="auto"/>
                    <w:bottom w:val="none" w:sz="0" w:space="0" w:color="auto"/>
                    <w:right w:val="none" w:sz="0" w:space="0" w:color="auto"/>
                  </w:divBdr>
                  <w:divsChild>
                    <w:div w:id="2009475686">
                      <w:marLeft w:val="0"/>
                      <w:marRight w:val="0"/>
                      <w:marTop w:val="0"/>
                      <w:marBottom w:val="0"/>
                      <w:divBdr>
                        <w:top w:val="none" w:sz="0" w:space="0" w:color="auto"/>
                        <w:left w:val="none" w:sz="0" w:space="0" w:color="auto"/>
                        <w:bottom w:val="none" w:sz="0" w:space="0" w:color="auto"/>
                        <w:right w:val="none" w:sz="0" w:space="0" w:color="auto"/>
                      </w:divBdr>
                    </w:div>
                  </w:divsChild>
                </w:div>
                <w:div w:id="242178735">
                  <w:marLeft w:val="0"/>
                  <w:marRight w:val="0"/>
                  <w:marTop w:val="0"/>
                  <w:marBottom w:val="0"/>
                  <w:divBdr>
                    <w:top w:val="none" w:sz="0" w:space="0" w:color="auto"/>
                    <w:left w:val="none" w:sz="0" w:space="0" w:color="auto"/>
                    <w:bottom w:val="none" w:sz="0" w:space="0" w:color="auto"/>
                    <w:right w:val="none" w:sz="0" w:space="0" w:color="auto"/>
                  </w:divBdr>
                  <w:divsChild>
                    <w:div w:id="419790423">
                      <w:marLeft w:val="0"/>
                      <w:marRight w:val="0"/>
                      <w:marTop w:val="0"/>
                      <w:marBottom w:val="0"/>
                      <w:divBdr>
                        <w:top w:val="none" w:sz="0" w:space="0" w:color="auto"/>
                        <w:left w:val="none" w:sz="0" w:space="0" w:color="auto"/>
                        <w:bottom w:val="none" w:sz="0" w:space="0" w:color="auto"/>
                        <w:right w:val="none" w:sz="0" w:space="0" w:color="auto"/>
                      </w:divBdr>
                    </w:div>
                  </w:divsChild>
                </w:div>
                <w:div w:id="333992703">
                  <w:marLeft w:val="0"/>
                  <w:marRight w:val="0"/>
                  <w:marTop w:val="0"/>
                  <w:marBottom w:val="0"/>
                  <w:divBdr>
                    <w:top w:val="none" w:sz="0" w:space="0" w:color="auto"/>
                    <w:left w:val="none" w:sz="0" w:space="0" w:color="auto"/>
                    <w:bottom w:val="none" w:sz="0" w:space="0" w:color="auto"/>
                    <w:right w:val="none" w:sz="0" w:space="0" w:color="auto"/>
                  </w:divBdr>
                  <w:divsChild>
                    <w:div w:id="741877977">
                      <w:marLeft w:val="0"/>
                      <w:marRight w:val="0"/>
                      <w:marTop w:val="0"/>
                      <w:marBottom w:val="0"/>
                      <w:divBdr>
                        <w:top w:val="none" w:sz="0" w:space="0" w:color="auto"/>
                        <w:left w:val="none" w:sz="0" w:space="0" w:color="auto"/>
                        <w:bottom w:val="none" w:sz="0" w:space="0" w:color="auto"/>
                        <w:right w:val="none" w:sz="0" w:space="0" w:color="auto"/>
                      </w:divBdr>
                    </w:div>
                  </w:divsChild>
                </w:div>
                <w:div w:id="419103839">
                  <w:marLeft w:val="0"/>
                  <w:marRight w:val="0"/>
                  <w:marTop w:val="0"/>
                  <w:marBottom w:val="0"/>
                  <w:divBdr>
                    <w:top w:val="none" w:sz="0" w:space="0" w:color="auto"/>
                    <w:left w:val="none" w:sz="0" w:space="0" w:color="auto"/>
                    <w:bottom w:val="none" w:sz="0" w:space="0" w:color="auto"/>
                    <w:right w:val="none" w:sz="0" w:space="0" w:color="auto"/>
                  </w:divBdr>
                  <w:divsChild>
                    <w:div w:id="414673408">
                      <w:marLeft w:val="0"/>
                      <w:marRight w:val="0"/>
                      <w:marTop w:val="0"/>
                      <w:marBottom w:val="0"/>
                      <w:divBdr>
                        <w:top w:val="none" w:sz="0" w:space="0" w:color="auto"/>
                        <w:left w:val="none" w:sz="0" w:space="0" w:color="auto"/>
                        <w:bottom w:val="none" w:sz="0" w:space="0" w:color="auto"/>
                        <w:right w:val="none" w:sz="0" w:space="0" w:color="auto"/>
                      </w:divBdr>
                    </w:div>
                  </w:divsChild>
                </w:div>
                <w:div w:id="547300574">
                  <w:marLeft w:val="0"/>
                  <w:marRight w:val="0"/>
                  <w:marTop w:val="0"/>
                  <w:marBottom w:val="0"/>
                  <w:divBdr>
                    <w:top w:val="none" w:sz="0" w:space="0" w:color="auto"/>
                    <w:left w:val="none" w:sz="0" w:space="0" w:color="auto"/>
                    <w:bottom w:val="none" w:sz="0" w:space="0" w:color="auto"/>
                    <w:right w:val="none" w:sz="0" w:space="0" w:color="auto"/>
                  </w:divBdr>
                  <w:divsChild>
                    <w:div w:id="599266660">
                      <w:marLeft w:val="0"/>
                      <w:marRight w:val="0"/>
                      <w:marTop w:val="0"/>
                      <w:marBottom w:val="0"/>
                      <w:divBdr>
                        <w:top w:val="none" w:sz="0" w:space="0" w:color="auto"/>
                        <w:left w:val="none" w:sz="0" w:space="0" w:color="auto"/>
                        <w:bottom w:val="none" w:sz="0" w:space="0" w:color="auto"/>
                        <w:right w:val="none" w:sz="0" w:space="0" w:color="auto"/>
                      </w:divBdr>
                    </w:div>
                  </w:divsChild>
                </w:div>
                <w:div w:id="621618809">
                  <w:marLeft w:val="0"/>
                  <w:marRight w:val="0"/>
                  <w:marTop w:val="0"/>
                  <w:marBottom w:val="0"/>
                  <w:divBdr>
                    <w:top w:val="none" w:sz="0" w:space="0" w:color="auto"/>
                    <w:left w:val="none" w:sz="0" w:space="0" w:color="auto"/>
                    <w:bottom w:val="none" w:sz="0" w:space="0" w:color="auto"/>
                    <w:right w:val="none" w:sz="0" w:space="0" w:color="auto"/>
                  </w:divBdr>
                  <w:divsChild>
                    <w:div w:id="1771391873">
                      <w:marLeft w:val="0"/>
                      <w:marRight w:val="0"/>
                      <w:marTop w:val="0"/>
                      <w:marBottom w:val="0"/>
                      <w:divBdr>
                        <w:top w:val="none" w:sz="0" w:space="0" w:color="auto"/>
                        <w:left w:val="none" w:sz="0" w:space="0" w:color="auto"/>
                        <w:bottom w:val="none" w:sz="0" w:space="0" w:color="auto"/>
                        <w:right w:val="none" w:sz="0" w:space="0" w:color="auto"/>
                      </w:divBdr>
                    </w:div>
                  </w:divsChild>
                </w:div>
                <w:div w:id="684669085">
                  <w:marLeft w:val="0"/>
                  <w:marRight w:val="0"/>
                  <w:marTop w:val="0"/>
                  <w:marBottom w:val="0"/>
                  <w:divBdr>
                    <w:top w:val="none" w:sz="0" w:space="0" w:color="auto"/>
                    <w:left w:val="none" w:sz="0" w:space="0" w:color="auto"/>
                    <w:bottom w:val="none" w:sz="0" w:space="0" w:color="auto"/>
                    <w:right w:val="none" w:sz="0" w:space="0" w:color="auto"/>
                  </w:divBdr>
                  <w:divsChild>
                    <w:div w:id="81685162">
                      <w:marLeft w:val="0"/>
                      <w:marRight w:val="0"/>
                      <w:marTop w:val="0"/>
                      <w:marBottom w:val="0"/>
                      <w:divBdr>
                        <w:top w:val="none" w:sz="0" w:space="0" w:color="auto"/>
                        <w:left w:val="none" w:sz="0" w:space="0" w:color="auto"/>
                        <w:bottom w:val="none" w:sz="0" w:space="0" w:color="auto"/>
                        <w:right w:val="none" w:sz="0" w:space="0" w:color="auto"/>
                      </w:divBdr>
                    </w:div>
                  </w:divsChild>
                </w:div>
                <w:div w:id="727873248">
                  <w:marLeft w:val="0"/>
                  <w:marRight w:val="0"/>
                  <w:marTop w:val="0"/>
                  <w:marBottom w:val="0"/>
                  <w:divBdr>
                    <w:top w:val="none" w:sz="0" w:space="0" w:color="auto"/>
                    <w:left w:val="none" w:sz="0" w:space="0" w:color="auto"/>
                    <w:bottom w:val="none" w:sz="0" w:space="0" w:color="auto"/>
                    <w:right w:val="none" w:sz="0" w:space="0" w:color="auto"/>
                  </w:divBdr>
                  <w:divsChild>
                    <w:div w:id="1538279246">
                      <w:marLeft w:val="0"/>
                      <w:marRight w:val="0"/>
                      <w:marTop w:val="0"/>
                      <w:marBottom w:val="0"/>
                      <w:divBdr>
                        <w:top w:val="none" w:sz="0" w:space="0" w:color="auto"/>
                        <w:left w:val="none" w:sz="0" w:space="0" w:color="auto"/>
                        <w:bottom w:val="none" w:sz="0" w:space="0" w:color="auto"/>
                        <w:right w:val="none" w:sz="0" w:space="0" w:color="auto"/>
                      </w:divBdr>
                    </w:div>
                  </w:divsChild>
                </w:div>
                <w:div w:id="767428595">
                  <w:marLeft w:val="0"/>
                  <w:marRight w:val="0"/>
                  <w:marTop w:val="0"/>
                  <w:marBottom w:val="0"/>
                  <w:divBdr>
                    <w:top w:val="none" w:sz="0" w:space="0" w:color="auto"/>
                    <w:left w:val="none" w:sz="0" w:space="0" w:color="auto"/>
                    <w:bottom w:val="none" w:sz="0" w:space="0" w:color="auto"/>
                    <w:right w:val="none" w:sz="0" w:space="0" w:color="auto"/>
                  </w:divBdr>
                  <w:divsChild>
                    <w:div w:id="444813422">
                      <w:marLeft w:val="0"/>
                      <w:marRight w:val="0"/>
                      <w:marTop w:val="0"/>
                      <w:marBottom w:val="0"/>
                      <w:divBdr>
                        <w:top w:val="none" w:sz="0" w:space="0" w:color="auto"/>
                        <w:left w:val="none" w:sz="0" w:space="0" w:color="auto"/>
                        <w:bottom w:val="none" w:sz="0" w:space="0" w:color="auto"/>
                        <w:right w:val="none" w:sz="0" w:space="0" w:color="auto"/>
                      </w:divBdr>
                    </w:div>
                  </w:divsChild>
                </w:div>
                <w:div w:id="958999175">
                  <w:marLeft w:val="0"/>
                  <w:marRight w:val="0"/>
                  <w:marTop w:val="0"/>
                  <w:marBottom w:val="0"/>
                  <w:divBdr>
                    <w:top w:val="none" w:sz="0" w:space="0" w:color="auto"/>
                    <w:left w:val="none" w:sz="0" w:space="0" w:color="auto"/>
                    <w:bottom w:val="none" w:sz="0" w:space="0" w:color="auto"/>
                    <w:right w:val="none" w:sz="0" w:space="0" w:color="auto"/>
                  </w:divBdr>
                  <w:divsChild>
                    <w:div w:id="1226407733">
                      <w:marLeft w:val="0"/>
                      <w:marRight w:val="0"/>
                      <w:marTop w:val="0"/>
                      <w:marBottom w:val="0"/>
                      <w:divBdr>
                        <w:top w:val="none" w:sz="0" w:space="0" w:color="auto"/>
                        <w:left w:val="none" w:sz="0" w:space="0" w:color="auto"/>
                        <w:bottom w:val="none" w:sz="0" w:space="0" w:color="auto"/>
                        <w:right w:val="none" w:sz="0" w:space="0" w:color="auto"/>
                      </w:divBdr>
                    </w:div>
                  </w:divsChild>
                </w:div>
                <w:div w:id="1026296428">
                  <w:marLeft w:val="0"/>
                  <w:marRight w:val="0"/>
                  <w:marTop w:val="0"/>
                  <w:marBottom w:val="0"/>
                  <w:divBdr>
                    <w:top w:val="none" w:sz="0" w:space="0" w:color="auto"/>
                    <w:left w:val="none" w:sz="0" w:space="0" w:color="auto"/>
                    <w:bottom w:val="none" w:sz="0" w:space="0" w:color="auto"/>
                    <w:right w:val="none" w:sz="0" w:space="0" w:color="auto"/>
                  </w:divBdr>
                  <w:divsChild>
                    <w:div w:id="381096899">
                      <w:marLeft w:val="0"/>
                      <w:marRight w:val="0"/>
                      <w:marTop w:val="0"/>
                      <w:marBottom w:val="0"/>
                      <w:divBdr>
                        <w:top w:val="none" w:sz="0" w:space="0" w:color="auto"/>
                        <w:left w:val="none" w:sz="0" w:space="0" w:color="auto"/>
                        <w:bottom w:val="none" w:sz="0" w:space="0" w:color="auto"/>
                        <w:right w:val="none" w:sz="0" w:space="0" w:color="auto"/>
                      </w:divBdr>
                    </w:div>
                  </w:divsChild>
                </w:div>
                <w:div w:id="1125612599">
                  <w:marLeft w:val="0"/>
                  <w:marRight w:val="0"/>
                  <w:marTop w:val="0"/>
                  <w:marBottom w:val="0"/>
                  <w:divBdr>
                    <w:top w:val="none" w:sz="0" w:space="0" w:color="auto"/>
                    <w:left w:val="none" w:sz="0" w:space="0" w:color="auto"/>
                    <w:bottom w:val="none" w:sz="0" w:space="0" w:color="auto"/>
                    <w:right w:val="none" w:sz="0" w:space="0" w:color="auto"/>
                  </w:divBdr>
                  <w:divsChild>
                    <w:div w:id="1959681920">
                      <w:marLeft w:val="0"/>
                      <w:marRight w:val="0"/>
                      <w:marTop w:val="0"/>
                      <w:marBottom w:val="0"/>
                      <w:divBdr>
                        <w:top w:val="none" w:sz="0" w:space="0" w:color="auto"/>
                        <w:left w:val="none" w:sz="0" w:space="0" w:color="auto"/>
                        <w:bottom w:val="none" w:sz="0" w:space="0" w:color="auto"/>
                        <w:right w:val="none" w:sz="0" w:space="0" w:color="auto"/>
                      </w:divBdr>
                    </w:div>
                  </w:divsChild>
                </w:div>
                <w:div w:id="1310095930">
                  <w:marLeft w:val="0"/>
                  <w:marRight w:val="0"/>
                  <w:marTop w:val="0"/>
                  <w:marBottom w:val="0"/>
                  <w:divBdr>
                    <w:top w:val="none" w:sz="0" w:space="0" w:color="auto"/>
                    <w:left w:val="none" w:sz="0" w:space="0" w:color="auto"/>
                    <w:bottom w:val="none" w:sz="0" w:space="0" w:color="auto"/>
                    <w:right w:val="none" w:sz="0" w:space="0" w:color="auto"/>
                  </w:divBdr>
                  <w:divsChild>
                    <w:div w:id="990333545">
                      <w:marLeft w:val="0"/>
                      <w:marRight w:val="0"/>
                      <w:marTop w:val="0"/>
                      <w:marBottom w:val="0"/>
                      <w:divBdr>
                        <w:top w:val="none" w:sz="0" w:space="0" w:color="auto"/>
                        <w:left w:val="none" w:sz="0" w:space="0" w:color="auto"/>
                        <w:bottom w:val="none" w:sz="0" w:space="0" w:color="auto"/>
                        <w:right w:val="none" w:sz="0" w:space="0" w:color="auto"/>
                      </w:divBdr>
                    </w:div>
                  </w:divsChild>
                </w:div>
                <w:div w:id="1361711523">
                  <w:marLeft w:val="0"/>
                  <w:marRight w:val="0"/>
                  <w:marTop w:val="0"/>
                  <w:marBottom w:val="0"/>
                  <w:divBdr>
                    <w:top w:val="none" w:sz="0" w:space="0" w:color="auto"/>
                    <w:left w:val="none" w:sz="0" w:space="0" w:color="auto"/>
                    <w:bottom w:val="none" w:sz="0" w:space="0" w:color="auto"/>
                    <w:right w:val="none" w:sz="0" w:space="0" w:color="auto"/>
                  </w:divBdr>
                  <w:divsChild>
                    <w:div w:id="504978397">
                      <w:marLeft w:val="0"/>
                      <w:marRight w:val="0"/>
                      <w:marTop w:val="0"/>
                      <w:marBottom w:val="0"/>
                      <w:divBdr>
                        <w:top w:val="none" w:sz="0" w:space="0" w:color="auto"/>
                        <w:left w:val="none" w:sz="0" w:space="0" w:color="auto"/>
                        <w:bottom w:val="none" w:sz="0" w:space="0" w:color="auto"/>
                        <w:right w:val="none" w:sz="0" w:space="0" w:color="auto"/>
                      </w:divBdr>
                    </w:div>
                  </w:divsChild>
                </w:div>
                <w:div w:id="1561750263">
                  <w:marLeft w:val="0"/>
                  <w:marRight w:val="0"/>
                  <w:marTop w:val="0"/>
                  <w:marBottom w:val="0"/>
                  <w:divBdr>
                    <w:top w:val="none" w:sz="0" w:space="0" w:color="auto"/>
                    <w:left w:val="none" w:sz="0" w:space="0" w:color="auto"/>
                    <w:bottom w:val="none" w:sz="0" w:space="0" w:color="auto"/>
                    <w:right w:val="none" w:sz="0" w:space="0" w:color="auto"/>
                  </w:divBdr>
                  <w:divsChild>
                    <w:div w:id="128210429">
                      <w:marLeft w:val="0"/>
                      <w:marRight w:val="0"/>
                      <w:marTop w:val="0"/>
                      <w:marBottom w:val="0"/>
                      <w:divBdr>
                        <w:top w:val="none" w:sz="0" w:space="0" w:color="auto"/>
                        <w:left w:val="none" w:sz="0" w:space="0" w:color="auto"/>
                        <w:bottom w:val="none" w:sz="0" w:space="0" w:color="auto"/>
                        <w:right w:val="none" w:sz="0" w:space="0" w:color="auto"/>
                      </w:divBdr>
                    </w:div>
                  </w:divsChild>
                </w:div>
                <w:div w:id="1675066036">
                  <w:marLeft w:val="0"/>
                  <w:marRight w:val="0"/>
                  <w:marTop w:val="0"/>
                  <w:marBottom w:val="0"/>
                  <w:divBdr>
                    <w:top w:val="none" w:sz="0" w:space="0" w:color="auto"/>
                    <w:left w:val="none" w:sz="0" w:space="0" w:color="auto"/>
                    <w:bottom w:val="none" w:sz="0" w:space="0" w:color="auto"/>
                    <w:right w:val="none" w:sz="0" w:space="0" w:color="auto"/>
                  </w:divBdr>
                  <w:divsChild>
                    <w:div w:id="1961524278">
                      <w:marLeft w:val="0"/>
                      <w:marRight w:val="0"/>
                      <w:marTop w:val="0"/>
                      <w:marBottom w:val="0"/>
                      <w:divBdr>
                        <w:top w:val="none" w:sz="0" w:space="0" w:color="auto"/>
                        <w:left w:val="none" w:sz="0" w:space="0" w:color="auto"/>
                        <w:bottom w:val="none" w:sz="0" w:space="0" w:color="auto"/>
                        <w:right w:val="none" w:sz="0" w:space="0" w:color="auto"/>
                      </w:divBdr>
                    </w:div>
                  </w:divsChild>
                </w:div>
                <w:div w:id="1678533879">
                  <w:marLeft w:val="0"/>
                  <w:marRight w:val="0"/>
                  <w:marTop w:val="0"/>
                  <w:marBottom w:val="0"/>
                  <w:divBdr>
                    <w:top w:val="none" w:sz="0" w:space="0" w:color="auto"/>
                    <w:left w:val="none" w:sz="0" w:space="0" w:color="auto"/>
                    <w:bottom w:val="none" w:sz="0" w:space="0" w:color="auto"/>
                    <w:right w:val="none" w:sz="0" w:space="0" w:color="auto"/>
                  </w:divBdr>
                  <w:divsChild>
                    <w:div w:id="1349135365">
                      <w:marLeft w:val="0"/>
                      <w:marRight w:val="0"/>
                      <w:marTop w:val="0"/>
                      <w:marBottom w:val="0"/>
                      <w:divBdr>
                        <w:top w:val="none" w:sz="0" w:space="0" w:color="auto"/>
                        <w:left w:val="none" w:sz="0" w:space="0" w:color="auto"/>
                        <w:bottom w:val="none" w:sz="0" w:space="0" w:color="auto"/>
                        <w:right w:val="none" w:sz="0" w:space="0" w:color="auto"/>
                      </w:divBdr>
                    </w:div>
                  </w:divsChild>
                </w:div>
                <w:div w:id="1681345390">
                  <w:marLeft w:val="0"/>
                  <w:marRight w:val="0"/>
                  <w:marTop w:val="0"/>
                  <w:marBottom w:val="0"/>
                  <w:divBdr>
                    <w:top w:val="none" w:sz="0" w:space="0" w:color="auto"/>
                    <w:left w:val="none" w:sz="0" w:space="0" w:color="auto"/>
                    <w:bottom w:val="none" w:sz="0" w:space="0" w:color="auto"/>
                    <w:right w:val="none" w:sz="0" w:space="0" w:color="auto"/>
                  </w:divBdr>
                  <w:divsChild>
                    <w:div w:id="2005545887">
                      <w:marLeft w:val="0"/>
                      <w:marRight w:val="0"/>
                      <w:marTop w:val="0"/>
                      <w:marBottom w:val="0"/>
                      <w:divBdr>
                        <w:top w:val="none" w:sz="0" w:space="0" w:color="auto"/>
                        <w:left w:val="none" w:sz="0" w:space="0" w:color="auto"/>
                        <w:bottom w:val="none" w:sz="0" w:space="0" w:color="auto"/>
                        <w:right w:val="none" w:sz="0" w:space="0" w:color="auto"/>
                      </w:divBdr>
                    </w:div>
                  </w:divsChild>
                </w:div>
                <w:div w:id="1759328468">
                  <w:marLeft w:val="0"/>
                  <w:marRight w:val="0"/>
                  <w:marTop w:val="0"/>
                  <w:marBottom w:val="0"/>
                  <w:divBdr>
                    <w:top w:val="none" w:sz="0" w:space="0" w:color="auto"/>
                    <w:left w:val="none" w:sz="0" w:space="0" w:color="auto"/>
                    <w:bottom w:val="none" w:sz="0" w:space="0" w:color="auto"/>
                    <w:right w:val="none" w:sz="0" w:space="0" w:color="auto"/>
                  </w:divBdr>
                  <w:divsChild>
                    <w:div w:id="1030911817">
                      <w:marLeft w:val="0"/>
                      <w:marRight w:val="0"/>
                      <w:marTop w:val="0"/>
                      <w:marBottom w:val="0"/>
                      <w:divBdr>
                        <w:top w:val="none" w:sz="0" w:space="0" w:color="auto"/>
                        <w:left w:val="none" w:sz="0" w:space="0" w:color="auto"/>
                        <w:bottom w:val="none" w:sz="0" w:space="0" w:color="auto"/>
                        <w:right w:val="none" w:sz="0" w:space="0" w:color="auto"/>
                      </w:divBdr>
                    </w:div>
                  </w:divsChild>
                </w:div>
                <w:div w:id="1797718983">
                  <w:marLeft w:val="0"/>
                  <w:marRight w:val="0"/>
                  <w:marTop w:val="0"/>
                  <w:marBottom w:val="0"/>
                  <w:divBdr>
                    <w:top w:val="none" w:sz="0" w:space="0" w:color="auto"/>
                    <w:left w:val="none" w:sz="0" w:space="0" w:color="auto"/>
                    <w:bottom w:val="none" w:sz="0" w:space="0" w:color="auto"/>
                    <w:right w:val="none" w:sz="0" w:space="0" w:color="auto"/>
                  </w:divBdr>
                  <w:divsChild>
                    <w:div w:id="405416839">
                      <w:marLeft w:val="0"/>
                      <w:marRight w:val="0"/>
                      <w:marTop w:val="0"/>
                      <w:marBottom w:val="0"/>
                      <w:divBdr>
                        <w:top w:val="none" w:sz="0" w:space="0" w:color="auto"/>
                        <w:left w:val="none" w:sz="0" w:space="0" w:color="auto"/>
                        <w:bottom w:val="none" w:sz="0" w:space="0" w:color="auto"/>
                        <w:right w:val="none" w:sz="0" w:space="0" w:color="auto"/>
                      </w:divBdr>
                    </w:div>
                  </w:divsChild>
                </w:div>
                <w:div w:id="1916671527">
                  <w:marLeft w:val="0"/>
                  <w:marRight w:val="0"/>
                  <w:marTop w:val="0"/>
                  <w:marBottom w:val="0"/>
                  <w:divBdr>
                    <w:top w:val="none" w:sz="0" w:space="0" w:color="auto"/>
                    <w:left w:val="none" w:sz="0" w:space="0" w:color="auto"/>
                    <w:bottom w:val="none" w:sz="0" w:space="0" w:color="auto"/>
                    <w:right w:val="none" w:sz="0" w:space="0" w:color="auto"/>
                  </w:divBdr>
                  <w:divsChild>
                    <w:div w:id="8494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567233">
          <w:marLeft w:val="0"/>
          <w:marRight w:val="0"/>
          <w:marTop w:val="0"/>
          <w:marBottom w:val="0"/>
          <w:divBdr>
            <w:top w:val="none" w:sz="0" w:space="0" w:color="auto"/>
            <w:left w:val="none" w:sz="0" w:space="0" w:color="auto"/>
            <w:bottom w:val="none" w:sz="0" w:space="0" w:color="auto"/>
            <w:right w:val="none" w:sz="0" w:space="0" w:color="auto"/>
          </w:divBdr>
          <w:divsChild>
            <w:div w:id="1445151123">
              <w:marLeft w:val="-75"/>
              <w:marRight w:val="0"/>
              <w:marTop w:val="30"/>
              <w:marBottom w:val="30"/>
              <w:divBdr>
                <w:top w:val="none" w:sz="0" w:space="0" w:color="auto"/>
                <w:left w:val="none" w:sz="0" w:space="0" w:color="auto"/>
                <w:bottom w:val="none" w:sz="0" w:space="0" w:color="auto"/>
                <w:right w:val="none" w:sz="0" w:space="0" w:color="auto"/>
              </w:divBdr>
              <w:divsChild>
                <w:div w:id="170267897">
                  <w:marLeft w:val="0"/>
                  <w:marRight w:val="0"/>
                  <w:marTop w:val="0"/>
                  <w:marBottom w:val="0"/>
                  <w:divBdr>
                    <w:top w:val="none" w:sz="0" w:space="0" w:color="auto"/>
                    <w:left w:val="none" w:sz="0" w:space="0" w:color="auto"/>
                    <w:bottom w:val="none" w:sz="0" w:space="0" w:color="auto"/>
                    <w:right w:val="none" w:sz="0" w:space="0" w:color="auto"/>
                  </w:divBdr>
                  <w:divsChild>
                    <w:div w:id="1145047187">
                      <w:marLeft w:val="0"/>
                      <w:marRight w:val="0"/>
                      <w:marTop w:val="0"/>
                      <w:marBottom w:val="0"/>
                      <w:divBdr>
                        <w:top w:val="none" w:sz="0" w:space="0" w:color="auto"/>
                        <w:left w:val="none" w:sz="0" w:space="0" w:color="auto"/>
                        <w:bottom w:val="none" w:sz="0" w:space="0" w:color="auto"/>
                        <w:right w:val="none" w:sz="0" w:space="0" w:color="auto"/>
                      </w:divBdr>
                    </w:div>
                  </w:divsChild>
                </w:div>
                <w:div w:id="580262778">
                  <w:marLeft w:val="0"/>
                  <w:marRight w:val="0"/>
                  <w:marTop w:val="0"/>
                  <w:marBottom w:val="0"/>
                  <w:divBdr>
                    <w:top w:val="none" w:sz="0" w:space="0" w:color="auto"/>
                    <w:left w:val="none" w:sz="0" w:space="0" w:color="auto"/>
                    <w:bottom w:val="none" w:sz="0" w:space="0" w:color="auto"/>
                    <w:right w:val="none" w:sz="0" w:space="0" w:color="auto"/>
                  </w:divBdr>
                  <w:divsChild>
                    <w:div w:id="736785630">
                      <w:marLeft w:val="0"/>
                      <w:marRight w:val="0"/>
                      <w:marTop w:val="0"/>
                      <w:marBottom w:val="0"/>
                      <w:divBdr>
                        <w:top w:val="none" w:sz="0" w:space="0" w:color="auto"/>
                        <w:left w:val="none" w:sz="0" w:space="0" w:color="auto"/>
                        <w:bottom w:val="none" w:sz="0" w:space="0" w:color="auto"/>
                        <w:right w:val="none" w:sz="0" w:space="0" w:color="auto"/>
                      </w:divBdr>
                    </w:div>
                  </w:divsChild>
                </w:div>
                <w:div w:id="597446537">
                  <w:marLeft w:val="0"/>
                  <w:marRight w:val="0"/>
                  <w:marTop w:val="0"/>
                  <w:marBottom w:val="0"/>
                  <w:divBdr>
                    <w:top w:val="none" w:sz="0" w:space="0" w:color="auto"/>
                    <w:left w:val="none" w:sz="0" w:space="0" w:color="auto"/>
                    <w:bottom w:val="none" w:sz="0" w:space="0" w:color="auto"/>
                    <w:right w:val="none" w:sz="0" w:space="0" w:color="auto"/>
                  </w:divBdr>
                  <w:divsChild>
                    <w:div w:id="411314630">
                      <w:marLeft w:val="0"/>
                      <w:marRight w:val="0"/>
                      <w:marTop w:val="0"/>
                      <w:marBottom w:val="0"/>
                      <w:divBdr>
                        <w:top w:val="none" w:sz="0" w:space="0" w:color="auto"/>
                        <w:left w:val="none" w:sz="0" w:space="0" w:color="auto"/>
                        <w:bottom w:val="none" w:sz="0" w:space="0" w:color="auto"/>
                        <w:right w:val="none" w:sz="0" w:space="0" w:color="auto"/>
                      </w:divBdr>
                    </w:div>
                  </w:divsChild>
                </w:div>
                <w:div w:id="739598671">
                  <w:marLeft w:val="0"/>
                  <w:marRight w:val="0"/>
                  <w:marTop w:val="0"/>
                  <w:marBottom w:val="0"/>
                  <w:divBdr>
                    <w:top w:val="none" w:sz="0" w:space="0" w:color="auto"/>
                    <w:left w:val="none" w:sz="0" w:space="0" w:color="auto"/>
                    <w:bottom w:val="none" w:sz="0" w:space="0" w:color="auto"/>
                    <w:right w:val="none" w:sz="0" w:space="0" w:color="auto"/>
                  </w:divBdr>
                  <w:divsChild>
                    <w:div w:id="161161119">
                      <w:marLeft w:val="0"/>
                      <w:marRight w:val="0"/>
                      <w:marTop w:val="0"/>
                      <w:marBottom w:val="0"/>
                      <w:divBdr>
                        <w:top w:val="none" w:sz="0" w:space="0" w:color="auto"/>
                        <w:left w:val="none" w:sz="0" w:space="0" w:color="auto"/>
                        <w:bottom w:val="none" w:sz="0" w:space="0" w:color="auto"/>
                        <w:right w:val="none" w:sz="0" w:space="0" w:color="auto"/>
                      </w:divBdr>
                    </w:div>
                  </w:divsChild>
                </w:div>
                <w:div w:id="794258294">
                  <w:marLeft w:val="0"/>
                  <w:marRight w:val="0"/>
                  <w:marTop w:val="0"/>
                  <w:marBottom w:val="0"/>
                  <w:divBdr>
                    <w:top w:val="none" w:sz="0" w:space="0" w:color="auto"/>
                    <w:left w:val="none" w:sz="0" w:space="0" w:color="auto"/>
                    <w:bottom w:val="none" w:sz="0" w:space="0" w:color="auto"/>
                    <w:right w:val="none" w:sz="0" w:space="0" w:color="auto"/>
                  </w:divBdr>
                  <w:divsChild>
                    <w:div w:id="1340543776">
                      <w:marLeft w:val="0"/>
                      <w:marRight w:val="0"/>
                      <w:marTop w:val="0"/>
                      <w:marBottom w:val="0"/>
                      <w:divBdr>
                        <w:top w:val="none" w:sz="0" w:space="0" w:color="auto"/>
                        <w:left w:val="none" w:sz="0" w:space="0" w:color="auto"/>
                        <w:bottom w:val="none" w:sz="0" w:space="0" w:color="auto"/>
                        <w:right w:val="none" w:sz="0" w:space="0" w:color="auto"/>
                      </w:divBdr>
                    </w:div>
                  </w:divsChild>
                </w:div>
                <w:div w:id="887229821">
                  <w:marLeft w:val="0"/>
                  <w:marRight w:val="0"/>
                  <w:marTop w:val="0"/>
                  <w:marBottom w:val="0"/>
                  <w:divBdr>
                    <w:top w:val="none" w:sz="0" w:space="0" w:color="auto"/>
                    <w:left w:val="none" w:sz="0" w:space="0" w:color="auto"/>
                    <w:bottom w:val="none" w:sz="0" w:space="0" w:color="auto"/>
                    <w:right w:val="none" w:sz="0" w:space="0" w:color="auto"/>
                  </w:divBdr>
                  <w:divsChild>
                    <w:div w:id="1335180157">
                      <w:marLeft w:val="0"/>
                      <w:marRight w:val="0"/>
                      <w:marTop w:val="0"/>
                      <w:marBottom w:val="0"/>
                      <w:divBdr>
                        <w:top w:val="none" w:sz="0" w:space="0" w:color="auto"/>
                        <w:left w:val="none" w:sz="0" w:space="0" w:color="auto"/>
                        <w:bottom w:val="none" w:sz="0" w:space="0" w:color="auto"/>
                        <w:right w:val="none" w:sz="0" w:space="0" w:color="auto"/>
                      </w:divBdr>
                    </w:div>
                  </w:divsChild>
                </w:div>
                <w:div w:id="891229010">
                  <w:marLeft w:val="0"/>
                  <w:marRight w:val="0"/>
                  <w:marTop w:val="0"/>
                  <w:marBottom w:val="0"/>
                  <w:divBdr>
                    <w:top w:val="none" w:sz="0" w:space="0" w:color="auto"/>
                    <w:left w:val="none" w:sz="0" w:space="0" w:color="auto"/>
                    <w:bottom w:val="none" w:sz="0" w:space="0" w:color="auto"/>
                    <w:right w:val="none" w:sz="0" w:space="0" w:color="auto"/>
                  </w:divBdr>
                  <w:divsChild>
                    <w:div w:id="725229138">
                      <w:marLeft w:val="0"/>
                      <w:marRight w:val="0"/>
                      <w:marTop w:val="0"/>
                      <w:marBottom w:val="0"/>
                      <w:divBdr>
                        <w:top w:val="none" w:sz="0" w:space="0" w:color="auto"/>
                        <w:left w:val="none" w:sz="0" w:space="0" w:color="auto"/>
                        <w:bottom w:val="none" w:sz="0" w:space="0" w:color="auto"/>
                        <w:right w:val="none" w:sz="0" w:space="0" w:color="auto"/>
                      </w:divBdr>
                    </w:div>
                  </w:divsChild>
                </w:div>
                <w:div w:id="929460406">
                  <w:marLeft w:val="0"/>
                  <w:marRight w:val="0"/>
                  <w:marTop w:val="0"/>
                  <w:marBottom w:val="0"/>
                  <w:divBdr>
                    <w:top w:val="none" w:sz="0" w:space="0" w:color="auto"/>
                    <w:left w:val="none" w:sz="0" w:space="0" w:color="auto"/>
                    <w:bottom w:val="none" w:sz="0" w:space="0" w:color="auto"/>
                    <w:right w:val="none" w:sz="0" w:space="0" w:color="auto"/>
                  </w:divBdr>
                  <w:divsChild>
                    <w:div w:id="1921787611">
                      <w:marLeft w:val="0"/>
                      <w:marRight w:val="0"/>
                      <w:marTop w:val="0"/>
                      <w:marBottom w:val="0"/>
                      <w:divBdr>
                        <w:top w:val="none" w:sz="0" w:space="0" w:color="auto"/>
                        <w:left w:val="none" w:sz="0" w:space="0" w:color="auto"/>
                        <w:bottom w:val="none" w:sz="0" w:space="0" w:color="auto"/>
                        <w:right w:val="none" w:sz="0" w:space="0" w:color="auto"/>
                      </w:divBdr>
                    </w:div>
                  </w:divsChild>
                </w:div>
                <w:div w:id="934485995">
                  <w:marLeft w:val="0"/>
                  <w:marRight w:val="0"/>
                  <w:marTop w:val="0"/>
                  <w:marBottom w:val="0"/>
                  <w:divBdr>
                    <w:top w:val="none" w:sz="0" w:space="0" w:color="auto"/>
                    <w:left w:val="none" w:sz="0" w:space="0" w:color="auto"/>
                    <w:bottom w:val="none" w:sz="0" w:space="0" w:color="auto"/>
                    <w:right w:val="none" w:sz="0" w:space="0" w:color="auto"/>
                  </w:divBdr>
                  <w:divsChild>
                    <w:div w:id="1563055785">
                      <w:marLeft w:val="0"/>
                      <w:marRight w:val="0"/>
                      <w:marTop w:val="0"/>
                      <w:marBottom w:val="0"/>
                      <w:divBdr>
                        <w:top w:val="none" w:sz="0" w:space="0" w:color="auto"/>
                        <w:left w:val="none" w:sz="0" w:space="0" w:color="auto"/>
                        <w:bottom w:val="none" w:sz="0" w:space="0" w:color="auto"/>
                        <w:right w:val="none" w:sz="0" w:space="0" w:color="auto"/>
                      </w:divBdr>
                    </w:div>
                  </w:divsChild>
                </w:div>
                <w:div w:id="968245541">
                  <w:marLeft w:val="0"/>
                  <w:marRight w:val="0"/>
                  <w:marTop w:val="0"/>
                  <w:marBottom w:val="0"/>
                  <w:divBdr>
                    <w:top w:val="none" w:sz="0" w:space="0" w:color="auto"/>
                    <w:left w:val="none" w:sz="0" w:space="0" w:color="auto"/>
                    <w:bottom w:val="none" w:sz="0" w:space="0" w:color="auto"/>
                    <w:right w:val="none" w:sz="0" w:space="0" w:color="auto"/>
                  </w:divBdr>
                  <w:divsChild>
                    <w:div w:id="1004359520">
                      <w:marLeft w:val="0"/>
                      <w:marRight w:val="0"/>
                      <w:marTop w:val="0"/>
                      <w:marBottom w:val="0"/>
                      <w:divBdr>
                        <w:top w:val="none" w:sz="0" w:space="0" w:color="auto"/>
                        <w:left w:val="none" w:sz="0" w:space="0" w:color="auto"/>
                        <w:bottom w:val="none" w:sz="0" w:space="0" w:color="auto"/>
                        <w:right w:val="none" w:sz="0" w:space="0" w:color="auto"/>
                      </w:divBdr>
                    </w:div>
                  </w:divsChild>
                </w:div>
                <w:div w:id="990257289">
                  <w:marLeft w:val="0"/>
                  <w:marRight w:val="0"/>
                  <w:marTop w:val="0"/>
                  <w:marBottom w:val="0"/>
                  <w:divBdr>
                    <w:top w:val="none" w:sz="0" w:space="0" w:color="auto"/>
                    <w:left w:val="none" w:sz="0" w:space="0" w:color="auto"/>
                    <w:bottom w:val="none" w:sz="0" w:space="0" w:color="auto"/>
                    <w:right w:val="none" w:sz="0" w:space="0" w:color="auto"/>
                  </w:divBdr>
                  <w:divsChild>
                    <w:div w:id="975987797">
                      <w:marLeft w:val="0"/>
                      <w:marRight w:val="0"/>
                      <w:marTop w:val="0"/>
                      <w:marBottom w:val="0"/>
                      <w:divBdr>
                        <w:top w:val="none" w:sz="0" w:space="0" w:color="auto"/>
                        <w:left w:val="none" w:sz="0" w:space="0" w:color="auto"/>
                        <w:bottom w:val="none" w:sz="0" w:space="0" w:color="auto"/>
                        <w:right w:val="none" w:sz="0" w:space="0" w:color="auto"/>
                      </w:divBdr>
                    </w:div>
                  </w:divsChild>
                </w:div>
                <w:div w:id="1615599616">
                  <w:marLeft w:val="0"/>
                  <w:marRight w:val="0"/>
                  <w:marTop w:val="0"/>
                  <w:marBottom w:val="0"/>
                  <w:divBdr>
                    <w:top w:val="none" w:sz="0" w:space="0" w:color="auto"/>
                    <w:left w:val="none" w:sz="0" w:space="0" w:color="auto"/>
                    <w:bottom w:val="none" w:sz="0" w:space="0" w:color="auto"/>
                    <w:right w:val="none" w:sz="0" w:space="0" w:color="auto"/>
                  </w:divBdr>
                  <w:divsChild>
                    <w:div w:id="887691482">
                      <w:marLeft w:val="0"/>
                      <w:marRight w:val="0"/>
                      <w:marTop w:val="0"/>
                      <w:marBottom w:val="0"/>
                      <w:divBdr>
                        <w:top w:val="none" w:sz="0" w:space="0" w:color="auto"/>
                        <w:left w:val="none" w:sz="0" w:space="0" w:color="auto"/>
                        <w:bottom w:val="none" w:sz="0" w:space="0" w:color="auto"/>
                        <w:right w:val="none" w:sz="0" w:space="0" w:color="auto"/>
                      </w:divBdr>
                    </w:div>
                  </w:divsChild>
                </w:div>
                <w:div w:id="1678532563">
                  <w:marLeft w:val="0"/>
                  <w:marRight w:val="0"/>
                  <w:marTop w:val="0"/>
                  <w:marBottom w:val="0"/>
                  <w:divBdr>
                    <w:top w:val="none" w:sz="0" w:space="0" w:color="auto"/>
                    <w:left w:val="none" w:sz="0" w:space="0" w:color="auto"/>
                    <w:bottom w:val="none" w:sz="0" w:space="0" w:color="auto"/>
                    <w:right w:val="none" w:sz="0" w:space="0" w:color="auto"/>
                  </w:divBdr>
                  <w:divsChild>
                    <w:div w:id="1761217563">
                      <w:marLeft w:val="0"/>
                      <w:marRight w:val="0"/>
                      <w:marTop w:val="0"/>
                      <w:marBottom w:val="0"/>
                      <w:divBdr>
                        <w:top w:val="none" w:sz="0" w:space="0" w:color="auto"/>
                        <w:left w:val="none" w:sz="0" w:space="0" w:color="auto"/>
                        <w:bottom w:val="none" w:sz="0" w:space="0" w:color="auto"/>
                        <w:right w:val="none" w:sz="0" w:space="0" w:color="auto"/>
                      </w:divBdr>
                    </w:div>
                  </w:divsChild>
                </w:div>
                <w:div w:id="1758601283">
                  <w:marLeft w:val="0"/>
                  <w:marRight w:val="0"/>
                  <w:marTop w:val="0"/>
                  <w:marBottom w:val="0"/>
                  <w:divBdr>
                    <w:top w:val="none" w:sz="0" w:space="0" w:color="auto"/>
                    <w:left w:val="none" w:sz="0" w:space="0" w:color="auto"/>
                    <w:bottom w:val="none" w:sz="0" w:space="0" w:color="auto"/>
                    <w:right w:val="none" w:sz="0" w:space="0" w:color="auto"/>
                  </w:divBdr>
                  <w:divsChild>
                    <w:div w:id="1158576776">
                      <w:marLeft w:val="0"/>
                      <w:marRight w:val="0"/>
                      <w:marTop w:val="0"/>
                      <w:marBottom w:val="0"/>
                      <w:divBdr>
                        <w:top w:val="none" w:sz="0" w:space="0" w:color="auto"/>
                        <w:left w:val="none" w:sz="0" w:space="0" w:color="auto"/>
                        <w:bottom w:val="none" w:sz="0" w:space="0" w:color="auto"/>
                        <w:right w:val="none" w:sz="0" w:space="0" w:color="auto"/>
                      </w:divBdr>
                    </w:div>
                  </w:divsChild>
                </w:div>
                <w:div w:id="1885634449">
                  <w:marLeft w:val="0"/>
                  <w:marRight w:val="0"/>
                  <w:marTop w:val="0"/>
                  <w:marBottom w:val="0"/>
                  <w:divBdr>
                    <w:top w:val="none" w:sz="0" w:space="0" w:color="auto"/>
                    <w:left w:val="none" w:sz="0" w:space="0" w:color="auto"/>
                    <w:bottom w:val="none" w:sz="0" w:space="0" w:color="auto"/>
                    <w:right w:val="none" w:sz="0" w:space="0" w:color="auto"/>
                  </w:divBdr>
                  <w:divsChild>
                    <w:div w:id="473988421">
                      <w:marLeft w:val="0"/>
                      <w:marRight w:val="0"/>
                      <w:marTop w:val="0"/>
                      <w:marBottom w:val="0"/>
                      <w:divBdr>
                        <w:top w:val="none" w:sz="0" w:space="0" w:color="auto"/>
                        <w:left w:val="none" w:sz="0" w:space="0" w:color="auto"/>
                        <w:bottom w:val="none" w:sz="0" w:space="0" w:color="auto"/>
                        <w:right w:val="none" w:sz="0" w:space="0" w:color="auto"/>
                      </w:divBdr>
                    </w:div>
                  </w:divsChild>
                </w:div>
                <w:div w:id="1936404385">
                  <w:marLeft w:val="0"/>
                  <w:marRight w:val="0"/>
                  <w:marTop w:val="0"/>
                  <w:marBottom w:val="0"/>
                  <w:divBdr>
                    <w:top w:val="none" w:sz="0" w:space="0" w:color="auto"/>
                    <w:left w:val="none" w:sz="0" w:space="0" w:color="auto"/>
                    <w:bottom w:val="none" w:sz="0" w:space="0" w:color="auto"/>
                    <w:right w:val="none" w:sz="0" w:space="0" w:color="auto"/>
                  </w:divBdr>
                  <w:divsChild>
                    <w:div w:id="12291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98851">
          <w:marLeft w:val="0"/>
          <w:marRight w:val="0"/>
          <w:marTop w:val="0"/>
          <w:marBottom w:val="0"/>
          <w:divBdr>
            <w:top w:val="none" w:sz="0" w:space="0" w:color="auto"/>
            <w:left w:val="none" w:sz="0" w:space="0" w:color="auto"/>
            <w:bottom w:val="none" w:sz="0" w:space="0" w:color="auto"/>
            <w:right w:val="none" w:sz="0" w:space="0" w:color="auto"/>
          </w:divBdr>
          <w:divsChild>
            <w:div w:id="683047437">
              <w:marLeft w:val="0"/>
              <w:marRight w:val="0"/>
              <w:marTop w:val="0"/>
              <w:marBottom w:val="0"/>
              <w:divBdr>
                <w:top w:val="none" w:sz="0" w:space="0" w:color="auto"/>
                <w:left w:val="none" w:sz="0" w:space="0" w:color="auto"/>
                <w:bottom w:val="none" w:sz="0" w:space="0" w:color="auto"/>
                <w:right w:val="none" w:sz="0" w:space="0" w:color="auto"/>
              </w:divBdr>
            </w:div>
            <w:div w:id="1130519590">
              <w:marLeft w:val="0"/>
              <w:marRight w:val="0"/>
              <w:marTop w:val="0"/>
              <w:marBottom w:val="0"/>
              <w:divBdr>
                <w:top w:val="none" w:sz="0" w:space="0" w:color="auto"/>
                <w:left w:val="none" w:sz="0" w:space="0" w:color="auto"/>
                <w:bottom w:val="none" w:sz="0" w:space="0" w:color="auto"/>
                <w:right w:val="none" w:sz="0" w:space="0" w:color="auto"/>
              </w:divBdr>
            </w:div>
            <w:div w:id="1146169033">
              <w:marLeft w:val="0"/>
              <w:marRight w:val="0"/>
              <w:marTop w:val="0"/>
              <w:marBottom w:val="0"/>
              <w:divBdr>
                <w:top w:val="none" w:sz="0" w:space="0" w:color="auto"/>
                <w:left w:val="none" w:sz="0" w:space="0" w:color="auto"/>
                <w:bottom w:val="none" w:sz="0" w:space="0" w:color="auto"/>
                <w:right w:val="none" w:sz="0" w:space="0" w:color="auto"/>
              </w:divBdr>
            </w:div>
            <w:div w:id="1852598681">
              <w:marLeft w:val="0"/>
              <w:marRight w:val="0"/>
              <w:marTop w:val="0"/>
              <w:marBottom w:val="0"/>
              <w:divBdr>
                <w:top w:val="none" w:sz="0" w:space="0" w:color="auto"/>
                <w:left w:val="none" w:sz="0" w:space="0" w:color="auto"/>
                <w:bottom w:val="none" w:sz="0" w:space="0" w:color="auto"/>
                <w:right w:val="none" w:sz="0" w:space="0" w:color="auto"/>
              </w:divBdr>
            </w:div>
            <w:div w:id="2028943426">
              <w:marLeft w:val="0"/>
              <w:marRight w:val="0"/>
              <w:marTop w:val="0"/>
              <w:marBottom w:val="0"/>
              <w:divBdr>
                <w:top w:val="none" w:sz="0" w:space="0" w:color="auto"/>
                <w:left w:val="none" w:sz="0" w:space="0" w:color="auto"/>
                <w:bottom w:val="none" w:sz="0" w:space="0" w:color="auto"/>
                <w:right w:val="none" w:sz="0" w:space="0" w:color="auto"/>
              </w:divBdr>
            </w:div>
          </w:divsChild>
        </w:div>
        <w:div w:id="1285186351">
          <w:marLeft w:val="0"/>
          <w:marRight w:val="0"/>
          <w:marTop w:val="0"/>
          <w:marBottom w:val="0"/>
          <w:divBdr>
            <w:top w:val="none" w:sz="0" w:space="0" w:color="auto"/>
            <w:left w:val="none" w:sz="0" w:space="0" w:color="auto"/>
            <w:bottom w:val="none" w:sz="0" w:space="0" w:color="auto"/>
            <w:right w:val="none" w:sz="0" w:space="0" w:color="auto"/>
          </w:divBdr>
          <w:divsChild>
            <w:div w:id="189539049">
              <w:marLeft w:val="0"/>
              <w:marRight w:val="0"/>
              <w:marTop w:val="0"/>
              <w:marBottom w:val="0"/>
              <w:divBdr>
                <w:top w:val="none" w:sz="0" w:space="0" w:color="auto"/>
                <w:left w:val="none" w:sz="0" w:space="0" w:color="auto"/>
                <w:bottom w:val="none" w:sz="0" w:space="0" w:color="auto"/>
                <w:right w:val="none" w:sz="0" w:space="0" w:color="auto"/>
              </w:divBdr>
            </w:div>
            <w:div w:id="229002647">
              <w:marLeft w:val="0"/>
              <w:marRight w:val="0"/>
              <w:marTop w:val="0"/>
              <w:marBottom w:val="0"/>
              <w:divBdr>
                <w:top w:val="none" w:sz="0" w:space="0" w:color="auto"/>
                <w:left w:val="none" w:sz="0" w:space="0" w:color="auto"/>
                <w:bottom w:val="none" w:sz="0" w:space="0" w:color="auto"/>
                <w:right w:val="none" w:sz="0" w:space="0" w:color="auto"/>
              </w:divBdr>
            </w:div>
            <w:div w:id="623079409">
              <w:marLeft w:val="0"/>
              <w:marRight w:val="0"/>
              <w:marTop w:val="0"/>
              <w:marBottom w:val="0"/>
              <w:divBdr>
                <w:top w:val="none" w:sz="0" w:space="0" w:color="auto"/>
                <w:left w:val="none" w:sz="0" w:space="0" w:color="auto"/>
                <w:bottom w:val="none" w:sz="0" w:space="0" w:color="auto"/>
                <w:right w:val="none" w:sz="0" w:space="0" w:color="auto"/>
              </w:divBdr>
            </w:div>
            <w:div w:id="1083183672">
              <w:marLeft w:val="0"/>
              <w:marRight w:val="0"/>
              <w:marTop w:val="0"/>
              <w:marBottom w:val="0"/>
              <w:divBdr>
                <w:top w:val="none" w:sz="0" w:space="0" w:color="auto"/>
                <w:left w:val="none" w:sz="0" w:space="0" w:color="auto"/>
                <w:bottom w:val="none" w:sz="0" w:space="0" w:color="auto"/>
                <w:right w:val="none" w:sz="0" w:space="0" w:color="auto"/>
              </w:divBdr>
            </w:div>
            <w:div w:id="1762023868">
              <w:marLeft w:val="0"/>
              <w:marRight w:val="0"/>
              <w:marTop w:val="0"/>
              <w:marBottom w:val="0"/>
              <w:divBdr>
                <w:top w:val="none" w:sz="0" w:space="0" w:color="auto"/>
                <w:left w:val="none" w:sz="0" w:space="0" w:color="auto"/>
                <w:bottom w:val="none" w:sz="0" w:space="0" w:color="auto"/>
                <w:right w:val="none" w:sz="0" w:space="0" w:color="auto"/>
              </w:divBdr>
            </w:div>
            <w:div w:id="1809545881">
              <w:marLeft w:val="0"/>
              <w:marRight w:val="0"/>
              <w:marTop w:val="0"/>
              <w:marBottom w:val="0"/>
              <w:divBdr>
                <w:top w:val="none" w:sz="0" w:space="0" w:color="auto"/>
                <w:left w:val="none" w:sz="0" w:space="0" w:color="auto"/>
                <w:bottom w:val="none" w:sz="0" w:space="0" w:color="auto"/>
                <w:right w:val="none" w:sz="0" w:space="0" w:color="auto"/>
              </w:divBdr>
            </w:div>
          </w:divsChild>
        </w:div>
        <w:div w:id="1288120811">
          <w:marLeft w:val="0"/>
          <w:marRight w:val="0"/>
          <w:marTop w:val="0"/>
          <w:marBottom w:val="0"/>
          <w:divBdr>
            <w:top w:val="none" w:sz="0" w:space="0" w:color="auto"/>
            <w:left w:val="none" w:sz="0" w:space="0" w:color="auto"/>
            <w:bottom w:val="none" w:sz="0" w:space="0" w:color="auto"/>
            <w:right w:val="none" w:sz="0" w:space="0" w:color="auto"/>
          </w:divBdr>
        </w:div>
        <w:div w:id="1290360843">
          <w:marLeft w:val="0"/>
          <w:marRight w:val="0"/>
          <w:marTop w:val="0"/>
          <w:marBottom w:val="0"/>
          <w:divBdr>
            <w:top w:val="none" w:sz="0" w:space="0" w:color="auto"/>
            <w:left w:val="none" w:sz="0" w:space="0" w:color="auto"/>
            <w:bottom w:val="none" w:sz="0" w:space="0" w:color="auto"/>
            <w:right w:val="none" w:sz="0" w:space="0" w:color="auto"/>
          </w:divBdr>
        </w:div>
        <w:div w:id="1300187418">
          <w:marLeft w:val="0"/>
          <w:marRight w:val="0"/>
          <w:marTop w:val="0"/>
          <w:marBottom w:val="0"/>
          <w:divBdr>
            <w:top w:val="none" w:sz="0" w:space="0" w:color="auto"/>
            <w:left w:val="none" w:sz="0" w:space="0" w:color="auto"/>
            <w:bottom w:val="none" w:sz="0" w:space="0" w:color="auto"/>
            <w:right w:val="none" w:sz="0" w:space="0" w:color="auto"/>
          </w:divBdr>
        </w:div>
        <w:div w:id="1304388589">
          <w:marLeft w:val="0"/>
          <w:marRight w:val="0"/>
          <w:marTop w:val="0"/>
          <w:marBottom w:val="0"/>
          <w:divBdr>
            <w:top w:val="none" w:sz="0" w:space="0" w:color="auto"/>
            <w:left w:val="none" w:sz="0" w:space="0" w:color="auto"/>
            <w:bottom w:val="none" w:sz="0" w:space="0" w:color="auto"/>
            <w:right w:val="none" w:sz="0" w:space="0" w:color="auto"/>
          </w:divBdr>
        </w:div>
        <w:div w:id="1313752520">
          <w:marLeft w:val="0"/>
          <w:marRight w:val="0"/>
          <w:marTop w:val="0"/>
          <w:marBottom w:val="0"/>
          <w:divBdr>
            <w:top w:val="none" w:sz="0" w:space="0" w:color="auto"/>
            <w:left w:val="none" w:sz="0" w:space="0" w:color="auto"/>
            <w:bottom w:val="none" w:sz="0" w:space="0" w:color="auto"/>
            <w:right w:val="none" w:sz="0" w:space="0" w:color="auto"/>
          </w:divBdr>
          <w:divsChild>
            <w:div w:id="1367750602">
              <w:marLeft w:val="-75"/>
              <w:marRight w:val="0"/>
              <w:marTop w:val="30"/>
              <w:marBottom w:val="30"/>
              <w:divBdr>
                <w:top w:val="none" w:sz="0" w:space="0" w:color="auto"/>
                <w:left w:val="none" w:sz="0" w:space="0" w:color="auto"/>
                <w:bottom w:val="none" w:sz="0" w:space="0" w:color="auto"/>
                <w:right w:val="none" w:sz="0" w:space="0" w:color="auto"/>
              </w:divBdr>
              <w:divsChild>
                <w:div w:id="74018199">
                  <w:marLeft w:val="0"/>
                  <w:marRight w:val="0"/>
                  <w:marTop w:val="0"/>
                  <w:marBottom w:val="0"/>
                  <w:divBdr>
                    <w:top w:val="none" w:sz="0" w:space="0" w:color="auto"/>
                    <w:left w:val="none" w:sz="0" w:space="0" w:color="auto"/>
                    <w:bottom w:val="none" w:sz="0" w:space="0" w:color="auto"/>
                    <w:right w:val="none" w:sz="0" w:space="0" w:color="auto"/>
                  </w:divBdr>
                  <w:divsChild>
                    <w:div w:id="18241636">
                      <w:marLeft w:val="0"/>
                      <w:marRight w:val="0"/>
                      <w:marTop w:val="0"/>
                      <w:marBottom w:val="0"/>
                      <w:divBdr>
                        <w:top w:val="none" w:sz="0" w:space="0" w:color="auto"/>
                        <w:left w:val="none" w:sz="0" w:space="0" w:color="auto"/>
                        <w:bottom w:val="none" w:sz="0" w:space="0" w:color="auto"/>
                        <w:right w:val="none" w:sz="0" w:space="0" w:color="auto"/>
                      </w:divBdr>
                    </w:div>
                  </w:divsChild>
                </w:div>
                <w:div w:id="467941872">
                  <w:marLeft w:val="0"/>
                  <w:marRight w:val="0"/>
                  <w:marTop w:val="0"/>
                  <w:marBottom w:val="0"/>
                  <w:divBdr>
                    <w:top w:val="none" w:sz="0" w:space="0" w:color="auto"/>
                    <w:left w:val="none" w:sz="0" w:space="0" w:color="auto"/>
                    <w:bottom w:val="none" w:sz="0" w:space="0" w:color="auto"/>
                    <w:right w:val="none" w:sz="0" w:space="0" w:color="auto"/>
                  </w:divBdr>
                  <w:divsChild>
                    <w:div w:id="945772117">
                      <w:marLeft w:val="0"/>
                      <w:marRight w:val="0"/>
                      <w:marTop w:val="0"/>
                      <w:marBottom w:val="0"/>
                      <w:divBdr>
                        <w:top w:val="none" w:sz="0" w:space="0" w:color="auto"/>
                        <w:left w:val="none" w:sz="0" w:space="0" w:color="auto"/>
                        <w:bottom w:val="none" w:sz="0" w:space="0" w:color="auto"/>
                        <w:right w:val="none" w:sz="0" w:space="0" w:color="auto"/>
                      </w:divBdr>
                    </w:div>
                  </w:divsChild>
                </w:div>
                <w:div w:id="496650590">
                  <w:marLeft w:val="0"/>
                  <w:marRight w:val="0"/>
                  <w:marTop w:val="0"/>
                  <w:marBottom w:val="0"/>
                  <w:divBdr>
                    <w:top w:val="none" w:sz="0" w:space="0" w:color="auto"/>
                    <w:left w:val="none" w:sz="0" w:space="0" w:color="auto"/>
                    <w:bottom w:val="none" w:sz="0" w:space="0" w:color="auto"/>
                    <w:right w:val="none" w:sz="0" w:space="0" w:color="auto"/>
                  </w:divBdr>
                  <w:divsChild>
                    <w:div w:id="1979996067">
                      <w:marLeft w:val="0"/>
                      <w:marRight w:val="0"/>
                      <w:marTop w:val="0"/>
                      <w:marBottom w:val="0"/>
                      <w:divBdr>
                        <w:top w:val="none" w:sz="0" w:space="0" w:color="auto"/>
                        <w:left w:val="none" w:sz="0" w:space="0" w:color="auto"/>
                        <w:bottom w:val="none" w:sz="0" w:space="0" w:color="auto"/>
                        <w:right w:val="none" w:sz="0" w:space="0" w:color="auto"/>
                      </w:divBdr>
                    </w:div>
                  </w:divsChild>
                </w:div>
                <w:div w:id="544753415">
                  <w:marLeft w:val="0"/>
                  <w:marRight w:val="0"/>
                  <w:marTop w:val="0"/>
                  <w:marBottom w:val="0"/>
                  <w:divBdr>
                    <w:top w:val="none" w:sz="0" w:space="0" w:color="auto"/>
                    <w:left w:val="none" w:sz="0" w:space="0" w:color="auto"/>
                    <w:bottom w:val="none" w:sz="0" w:space="0" w:color="auto"/>
                    <w:right w:val="none" w:sz="0" w:space="0" w:color="auto"/>
                  </w:divBdr>
                  <w:divsChild>
                    <w:div w:id="545993235">
                      <w:marLeft w:val="0"/>
                      <w:marRight w:val="0"/>
                      <w:marTop w:val="0"/>
                      <w:marBottom w:val="0"/>
                      <w:divBdr>
                        <w:top w:val="none" w:sz="0" w:space="0" w:color="auto"/>
                        <w:left w:val="none" w:sz="0" w:space="0" w:color="auto"/>
                        <w:bottom w:val="none" w:sz="0" w:space="0" w:color="auto"/>
                        <w:right w:val="none" w:sz="0" w:space="0" w:color="auto"/>
                      </w:divBdr>
                    </w:div>
                  </w:divsChild>
                </w:div>
                <w:div w:id="575632952">
                  <w:marLeft w:val="0"/>
                  <w:marRight w:val="0"/>
                  <w:marTop w:val="0"/>
                  <w:marBottom w:val="0"/>
                  <w:divBdr>
                    <w:top w:val="none" w:sz="0" w:space="0" w:color="auto"/>
                    <w:left w:val="none" w:sz="0" w:space="0" w:color="auto"/>
                    <w:bottom w:val="none" w:sz="0" w:space="0" w:color="auto"/>
                    <w:right w:val="none" w:sz="0" w:space="0" w:color="auto"/>
                  </w:divBdr>
                  <w:divsChild>
                    <w:div w:id="2051416964">
                      <w:marLeft w:val="0"/>
                      <w:marRight w:val="0"/>
                      <w:marTop w:val="0"/>
                      <w:marBottom w:val="0"/>
                      <w:divBdr>
                        <w:top w:val="none" w:sz="0" w:space="0" w:color="auto"/>
                        <w:left w:val="none" w:sz="0" w:space="0" w:color="auto"/>
                        <w:bottom w:val="none" w:sz="0" w:space="0" w:color="auto"/>
                        <w:right w:val="none" w:sz="0" w:space="0" w:color="auto"/>
                      </w:divBdr>
                    </w:div>
                  </w:divsChild>
                </w:div>
                <w:div w:id="860509317">
                  <w:marLeft w:val="0"/>
                  <w:marRight w:val="0"/>
                  <w:marTop w:val="0"/>
                  <w:marBottom w:val="0"/>
                  <w:divBdr>
                    <w:top w:val="none" w:sz="0" w:space="0" w:color="auto"/>
                    <w:left w:val="none" w:sz="0" w:space="0" w:color="auto"/>
                    <w:bottom w:val="none" w:sz="0" w:space="0" w:color="auto"/>
                    <w:right w:val="none" w:sz="0" w:space="0" w:color="auto"/>
                  </w:divBdr>
                  <w:divsChild>
                    <w:div w:id="159544309">
                      <w:marLeft w:val="0"/>
                      <w:marRight w:val="0"/>
                      <w:marTop w:val="0"/>
                      <w:marBottom w:val="0"/>
                      <w:divBdr>
                        <w:top w:val="none" w:sz="0" w:space="0" w:color="auto"/>
                        <w:left w:val="none" w:sz="0" w:space="0" w:color="auto"/>
                        <w:bottom w:val="none" w:sz="0" w:space="0" w:color="auto"/>
                        <w:right w:val="none" w:sz="0" w:space="0" w:color="auto"/>
                      </w:divBdr>
                    </w:div>
                  </w:divsChild>
                </w:div>
                <w:div w:id="1250430133">
                  <w:marLeft w:val="0"/>
                  <w:marRight w:val="0"/>
                  <w:marTop w:val="0"/>
                  <w:marBottom w:val="0"/>
                  <w:divBdr>
                    <w:top w:val="none" w:sz="0" w:space="0" w:color="auto"/>
                    <w:left w:val="none" w:sz="0" w:space="0" w:color="auto"/>
                    <w:bottom w:val="none" w:sz="0" w:space="0" w:color="auto"/>
                    <w:right w:val="none" w:sz="0" w:space="0" w:color="auto"/>
                  </w:divBdr>
                  <w:divsChild>
                    <w:div w:id="1405376310">
                      <w:marLeft w:val="0"/>
                      <w:marRight w:val="0"/>
                      <w:marTop w:val="0"/>
                      <w:marBottom w:val="0"/>
                      <w:divBdr>
                        <w:top w:val="none" w:sz="0" w:space="0" w:color="auto"/>
                        <w:left w:val="none" w:sz="0" w:space="0" w:color="auto"/>
                        <w:bottom w:val="none" w:sz="0" w:space="0" w:color="auto"/>
                        <w:right w:val="none" w:sz="0" w:space="0" w:color="auto"/>
                      </w:divBdr>
                    </w:div>
                  </w:divsChild>
                </w:div>
                <w:div w:id="1316759635">
                  <w:marLeft w:val="0"/>
                  <w:marRight w:val="0"/>
                  <w:marTop w:val="0"/>
                  <w:marBottom w:val="0"/>
                  <w:divBdr>
                    <w:top w:val="none" w:sz="0" w:space="0" w:color="auto"/>
                    <w:left w:val="none" w:sz="0" w:space="0" w:color="auto"/>
                    <w:bottom w:val="none" w:sz="0" w:space="0" w:color="auto"/>
                    <w:right w:val="none" w:sz="0" w:space="0" w:color="auto"/>
                  </w:divBdr>
                  <w:divsChild>
                    <w:div w:id="372653940">
                      <w:marLeft w:val="0"/>
                      <w:marRight w:val="0"/>
                      <w:marTop w:val="0"/>
                      <w:marBottom w:val="0"/>
                      <w:divBdr>
                        <w:top w:val="none" w:sz="0" w:space="0" w:color="auto"/>
                        <w:left w:val="none" w:sz="0" w:space="0" w:color="auto"/>
                        <w:bottom w:val="none" w:sz="0" w:space="0" w:color="auto"/>
                        <w:right w:val="none" w:sz="0" w:space="0" w:color="auto"/>
                      </w:divBdr>
                    </w:div>
                  </w:divsChild>
                </w:div>
                <w:div w:id="1322656174">
                  <w:marLeft w:val="0"/>
                  <w:marRight w:val="0"/>
                  <w:marTop w:val="0"/>
                  <w:marBottom w:val="0"/>
                  <w:divBdr>
                    <w:top w:val="none" w:sz="0" w:space="0" w:color="auto"/>
                    <w:left w:val="none" w:sz="0" w:space="0" w:color="auto"/>
                    <w:bottom w:val="none" w:sz="0" w:space="0" w:color="auto"/>
                    <w:right w:val="none" w:sz="0" w:space="0" w:color="auto"/>
                  </w:divBdr>
                  <w:divsChild>
                    <w:div w:id="119691235">
                      <w:marLeft w:val="0"/>
                      <w:marRight w:val="0"/>
                      <w:marTop w:val="0"/>
                      <w:marBottom w:val="0"/>
                      <w:divBdr>
                        <w:top w:val="none" w:sz="0" w:space="0" w:color="auto"/>
                        <w:left w:val="none" w:sz="0" w:space="0" w:color="auto"/>
                        <w:bottom w:val="none" w:sz="0" w:space="0" w:color="auto"/>
                        <w:right w:val="none" w:sz="0" w:space="0" w:color="auto"/>
                      </w:divBdr>
                    </w:div>
                  </w:divsChild>
                </w:div>
                <w:div w:id="1384450589">
                  <w:marLeft w:val="0"/>
                  <w:marRight w:val="0"/>
                  <w:marTop w:val="0"/>
                  <w:marBottom w:val="0"/>
                  <w:divBdr>
                    <w:top w:val="none" w:sz="0" w:space="0" w:color="auto"/>
                    <w:left w:val="none" w:sz="0" w:space="0" w:color="auto"/>
                    <w:bottom w:val="none" w:sz="0" w:space="0" w:color="auto"/>
                    <w:right w:val="none" w:sz="0" w:space="0" w:color="auto"/>
                  </w:divBdr>
                  <w:divsChild>
                    <w:div w:id="1896624664">
                      <w:marLeft w:val="0"/>
                      <w:marRight w:val="0"/>
                      <w:marTop w:val="0"/>
                      <w:marBottom w:val="0"/>
                      <w:divBdr>
                        <w:top w:val="none" w:sz="0" w:space="0" w:color="auto"/>
                        <w:left w:val="none" w:sz="0" w:space="0" w:color="auto"/>
                        <w:bottom w:val="none" w:sz="0" w:space="0" w:color="auto"/>
                        <w:right w:val="none" w:sz="0" w:space="0" w:color="auto"/>
                      </w:divBdr>
                    </w:div>
                  </w:divsChild>
                </w:div>
                <w:div w:id="1581909789">
                  <w:marLeft w:val="0"/>
                  <w:marRight w:val="0"/>
                  <w:marTop w:val="0"/>
                  <w:marBottom w:val="0"/>
                  <w:divBdr>
                    <w:top w:val="none" w:sz="0" w:space="0" w:color="auto"/>
                    <w:left w:val="none" w:sz="0" w:space="0" w:color="auto"/>
                    <w:bottom w:val="none" w:sz="0" w:space="0" w:color="auto"/>
                    <w:right w:val="none" w:sz="0" w:space="0" w:color="auto"/>
                  </w:divBdr>
                  <w:divsChild>
                    <w:div w:id="1958632253">
                      <w:marLeft w:val="0"/>
                      <w:marRight w:val="0"/>
                      <w:marTop w:val="0"/>
                      <w:marBottom w:val="0"/>
                      <w:divBdr>
                        <w:top w:val="none" w:sz="0" w:space="0" w:color="auto"/>
                        <w:left w:val="none" w:sz="0" w:space="0" w:color="auto"/>
                        <w:bottom w:val="none" w:sz="0" w:space="0" w:color="auto"/>
                        <w:right w:val="none" w:sz="0" w:space="0" w:color="auto"/>
                      </w:divBdr>
                    </w:div>
                  </w:divsChild>
                </w:div>
                <w:div w:id="2031909733">
                  <w:marLeft w:val="0"/>
                  <w:marRight w:val="0"/>
                  <w:marTop w:val="0"/>
                  <w:marBottom w:val="0"/>
                  <w:divBdr>
                    <w:top w:val="none" w:sz="0" w:space="0" w:color="auto"/>
                    <w:left w:val="none" w:sz="0" w:space="0" w:color="auto"/>
                    <w:bottom w:val="none" w:sz="0" w:space="0" w:color="auto"/>
                    <w:right w:val="none" w:sz="0" w:space="0" w:color="auto"/>
                  </w:divBdr>
                  <w:divsChild>
                    <w:div w:id="8214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345619">
          <w:marLeft w:val="0"/>
          <w:marRight w:val="0"/>
          <w:marTop w:val="0"/>
          <w:marBottom w:val="0"/>
          <w:divBdr>
            <w:top w:val="none" w:sz="0" w:space="0" w:color="auto"/>
            <w:left w:val="none" w:sz="0" w:space="0" w:color="auto"/>
            <w:bottom w:val="none" w:sz="0" w:space="0" w:color="auto"/>
            <w:right w:val="none" w:sz="0" w:space="0" w:color="auto"/>
          </w:divBdr>
          <w:divsChild>
            <w:div w:id="466438327">
              <w:marLeft w:val="0"/>
              <w:marRight w:val="0"/>
              <w:marTop w:val="0"/>
              <w:marBottom w:val="0"/>
              <w:divBdr>
                <w:top w:val="none" w:sz="0" w:space="0" w:color="auto"/>
                <w:left w:val="none" w:sz="0" w:space="0" w:color="auto"/>
                <w:bottom w:val="none" w:sz="0" w:space="0" w:color="auto"/>
                <w:right w:val="none" w:sz="0" w:space="0" w:color="auto"/>
              </w:divBdr>
            </w:div>
            <w:div w:id="704526062">
              <w:marLeft w:val="0"/>
              <w:marRight w:val="0"/>
              <w:marTop w:val="0"/>
              <w:marBottom w:val="0"/>
              <w:divBdr>
                <w:top w:val="none" w:sz="0" w:space="0" w:color="auto"/>
                <w:left w:val="none" w:sz="0" w:space="0" w:color="auto"/>
                <w:bottom w:val="none" w:sz="0" w:space="0" w:color="auto"/>
                <w:right w:val="none" w:sz="0" w:space="0" w:color="auto"/>
              </w:divBdr>
            </w:div>
            <w:div w:id="773480830">
              <w:marLeft w:val="0"/>
              <w:marRight w:val="0"/>
              <w:marTop w:val="0"/>
              <w:marBottom w:val="0"/>
              <w:divBdr>
                <w:top w:val="none" w:sz="0" w:space="0" w:color="auto"/>
                <w:left w:val="none" w:sz="0" w:space="0" w:color="auto"/>
                <w:bottom w:val="none" w:sz="0" w:space="0" w:color="auto"/>
                <w:right w:val="none" w:sz="0" w:space="0" w:color="auto"/>
              </w:divBdr>
            </w:div>
            <w:div w:id="835726811">
              <w:marLeft w:val="0"/>
              <w:marRight w:val="0"/>
              <w:marTop w:val="0"/>
              <w:marBottom w:val="0"/>
              <w:divBdr>
                <w:top w:val="none" w:sz="0" w:space="0" w:color="auto"/>
                <w:left w:val="none" w:sz="0" w:space="0" w:color="auto"/>
                <w:bottom w:val="none" w:sz="0" w:space="0" w:color="auto"/>
                <w:right w:val="none" w:sz="0" w:space="0" w:color="auto"/>
              </w:divBdr>
            </w:div>
            <w:div w:id="1014844756">
              <w:marLeft w:val="0"/>
              <w:marRight w:val="0"/>
              <w:marTop w:val="0"/>
              <w:marBottom w:val="0"/>
              <w:divBdr>
                <w:top w:val="none" w:sz="0" w:space="0" w:color="auto"/>
                <w:left w:val="none" w:sz="0" w:space="0" w:color="auto"/>
                <w:bottom w:val="none" w:sz="0" w:space="0" w:color="auto"/>
                <w:right w:val="none" w:sz="0" w:space="0" w:color="auto"/>
              </w:divBdr>
            </w:div>
            <w:div w:id="1050231786">
              <w:marLeft w:val="0"/>
              <w:marRight w:val="0"/>
              <w:marTop w:val="0"/>
              <w:marBottom w:val="0"/>
              <w:divBdr>
                <w:top w:val="none" w:sz="0" w:space="0" w:color="auto"/>
                <w:left w:val="none" w:sz="0" w:space="0" w:color="auto"/>
                <w:bottom w:val="none" w:sz="0" w:space="0" w:color="auto"/>
                <w:right w:val="none" w:sz="0" w:space="0" w:color="auto"/>
              </w:divBdr>
            </w:div>
            <w:div w:id="1153983988">
              <w:marLeft w:val="0"/>
              <w:marRight w:val="0"/>
              <w:marTop w:val="0"/>
              <w:marBottom w:val="0"/>
              <w:divBdr>
                <w:top w:val="none" w:sz="0" w:space="0" w:color="auto"/>
                <w:left w:val="none" w:sz="0" w:space="0" w:color="auto"/>
                <w:bottom w:val="none" w:sz="0" w:space="0" w:color="auto"/>
                <w:right w:val="none" w:sz="0" w:space="0" w:color="auto"/>
              </w:divBdr>
            </w:div>
            <w:div w:id="1303268169">
              <w:marLeft w:val="0"/>
              <w:marRight w:val="0"/>
              <w:marTop w:val="0"/>
              <w:marBottom w:val="0"/>
              <w:divBdr>
                <w:top w:val="none" w:sz="0" w:space="0" w:color="auto"/>
                <w:left w:val="none" w:sz="0" w:space="0" w:color="auto"/>
                <w:bottom w:val="none" w:sz="0" w:space="0" w:color="auto"/>
                <w:right w:val="none" w:sz="0" w:space="0" w:color="auto"/>
              </w:divBdr>
            </w:div>
            <w:div w:id="1590458150">
              <w:marLeft w:val="0"/>
              <w:marRight w:val="0"/>
              <w:marTop w:val="0"/>
              <w:marBottom w:val="0"/>
              <w:divBdr>
                <w:top w:val="none" w:sz="0" w:space="0" w:color="auto"/>
                <w:left w:val="none" w:sz="0" w:space="0" w:color="auto"/>
                <w:bottom w:val="none" w:sz="0" w:space="0" w:color="auto"/>
                <w:right w:val="none" w:sz="0" w:space="0" w:color="auto"/>
              </w:divBdr>
            </w:div>
            <w:div w:id="1997176579">
              <w:marLeft w:val="0"/>
              <w:marRight w:val="0"/>
              <w:marTop w:val="0"/>
              <w:marBottom w:val="0"/>
              <w:divBdr>
                <w:top w:val="none" w:sz="0" w:space="0" w:color="auto"/>
                <w:left w:val="none" w:sz="0" w:space="0" w:color="auto"/>
                <w:bottom w:val="none" w:sz="0" w:space="0" w:color="auto"/>
                <w:right w:val="none" w:sz="0" w:space="0" w:color="auto"/>
              </w:divBdr>
            </w:div>
          </w:divsChild>
        </w:div>
        <w:div w:id="1332635492">
          <w:marLeft w:val="0"/>
          <w:marRight w:val="0"/>
          <w:marTop w:val="0"/>
          <w:marBottom w:val="0"/>
          <w:divBdr>
            <w:top w:val="none" w:sz="0" w:space="0" w:color="auto"/>
            <w:left w:val="none" w:sz="0" w:space="0" w:color="auto"/>
            <w:bottom w:val="none" w:sz="0" w:space="0" w:color="auto"/>
            <w:right w:val="none" w:sz="0" w:space="0" w:color="auto"/>
          </w:divBdr>
          <w:divsChild>
            <w:div w:id="486828552">
              <w:marLeft w:val="0"/>
              <w:marRight w:val="0"/>
              <w:marTop w:val="0"/>
              <w:marBottom w:val="0"/>
              <w:divBdr>
                <w:top w:val="none" w:sz="0" w:space="0" w:color="auto"/>
                <w:left w:val="none" w:sz="0" w:space="0" w:color="auto"/>
                <w:bottom w:val="none" w:sz="0" w:space="0" w:color="auto"/>
                <w:right w:val="none" w:sz="0" w:space="0" w:color="auto"/>
              </w:divBdr>
            </w:div>
            <w:div w:id="932128203">
              <w:marLeft w:val="0"/>
              <w:marRight w:val="0"/>
              <w:marTop w:val="0"/>
              <w:marBottom w:val="0"/>
              <w:divBdr>
                <w:top w:val="none" w:sz="0" w:space="0" w:color="auto"/>
                <w:left w:val="none" w:sz="0" w:space="0" w:color="auto"/>
                <w:bottom w:val="none" w:sz="0" w:space="0" w:color="auto"/>
                <w:right w:val="none" w:sz="0" w:space="0" w:color="auto"/>
              </w:divBdr>
            </w:div>
            <w:div w:id="951865703">
              <w:marLeft w:val="0"/>
              <w:marRight w:val="0"/>
              <w:marTop w:val="0"/>
              <w:marBottom w:val="0"/>
              <w:divBdr>
                <w:top w:val="none" w:sz="0" w:space="0" w:color="auto"/>
                <w:left w:val="none" w:sz="0" w:space="0" w:color="auto"/>
                <w:bottom w:val="none" w:sz="0" w:space="0" w:color="auto"/>
                <w:right w:val="none" w:sz="0" w:space="0" w:color="auto"/>
              </w:divBdr>
            </w:div>
            <w:div w:id="1276981354">
              <w:marLeft w:val="0"/>
              <w:marRight w:val="0"/>
              <w:marTop w:val="0"/>
              <w:marBottom w:val="0"/>
              <w:divBdr>
                <w:top w:val="none" w:sz="0" w:space="0" w:color="auto"/>
                <w:left w:val="none" w:sz="0" w:space="0" w:color="auto"/>
                <w:bottom w:val="none" w:sz="0" w:space="0" w:color="auto"/>
                <w:right w:val="none" w:sz="0" w:space="0" w:color="auto"/>
              </w:divBdr>
            </w:div>
            <w:div w:id="1487479157">
              <w:marLeft w:val="0"/>
              <w:marRight w:val="0"/>
              <w:marTop w:val="0"/>
              <w:marBottom w:val="0"/>
              <w:divBdr>
                <w:top w:val="none" w:sz="0" w:space="0" w:color="auto"/>
                <w:left w:val="none" w:sz="0" w:space="0" w:color="auto"/>
                <w:bottom w:val="none" w:sz="0" w:space="0" w:color="auto"/>
                <w:right w:val="none" w:sz="0" w:space="0" w:color="auto"/>
              </w:divBdr>
            </w:div>
            <w:div w:id="1695300899">
              <w:marLeft w:val="0"/>
              <w:marRight w:val="0"/>
              <w:marTop w:val="0"/>
              <w:marBottom w:val="0"/>
              <w:divBdr>
                <w:top w:val="none" w:sz="0" w:space="0" w:color="auto"/>
                <w:left w:val="none" w:sz="0" w:space="0" w:color="auto"/>
                <w:bottom w:val="none" w:sz="0" w:space="0" w:color="auto"/>
                <w:right w:val="none" w:sz="0" w:space="0" w:color="auto"/>
              </w:divBdr>
            </w:div>
            <w:div w:id="1856923677">
              <w:marLeft w:val="0"/>
              <w:marRight w:val="0"/>
              <w:marTop w:val="0"/>
              <w:marBottom w:val="0"/>
              <w:divBdr>
                <w:top w:val="none" w:sz="0" w:space="0" w:color="auto"/>
                <w:left w:val="none" w:sz="0" w:space="0" w:color="auto"/>
                <w:bottom w:val="none" w:sz="0" w:space="0" w:color="auto"/>
                <w:right w:val="none" w:sz="0" w:space="0" w:color="auto"/>
              </w:divBdr>
            </w:div>
            <w:div w:id="1973168514">
              <w:marLeft w:val="0"/>
              <w:marRight w:val="0"/>
              <w:marTop w:val="0"/>
              <w:marBottom w:val="0"/>
              <w:divBdr>
                <w:top w:val="none" w:sz="0" w:space="0" w:color="auto"/>
                <w:left w:val="none" w:sz="0" w:space="0" w:color="auto"/>
                <w:bottom w:val="none" w:sz="0" w:space="0" w:color="auto"/>
                <w:right w:val="none" w:sz="0" w:space="0" w:color="auto"/>
              </w:divBdr>
            </w:div>
            <w:div w:id="2070103558">
              <w:marLeft w:val="0"/>
              <w:marRight w:val="0"/>
              <w:marTop w:val="0"/>
              <w:marBottom w:val="0"/>
              <w:divBdr>
                <w:top w:val="none" w:sz="0" w:space="0" w:color="auto"/>
                <w:left w:val="none" w:sz="0" w:space="0" w:color="auto"/>
                <w:bottom w:val="none" w:sz="0" w:space="0" w:color="auto"/>
                <w:right w:val="none" w:sz="0" w:space="0" w:color="auto"/>
              </w:divBdr>
            </w:div>
          </w:divsChild>
        </w:div>
        <w:div w:id="1339890367">
          <w:marLeft w:val="0"/>
          <w:marRight w:val="0"/>
          <w:marTop w:val="0"/>
          <w:marBottom w:val="0"/>
          <w:divBdr>
            <w:top w:val="none" w:sz="0" w:space="0" w:color="auto"/>
            <w:left w:val="none" w:sz="0" w:space="0" w:color="auto"/>
            <w:bottom w:val="none" w:sz="0" w:space="0" w:color="auto"/>
            <w:right w:val="none" w:sz="0" w:space="0" w:color="auto"/>
          </w:divBdr>
          <w:divsChild>
            <w:div w:id="829752032">
              <w:marLeft w:val="0"/>
              <w:marRight w:val="0"/>
              <w:marTop w:val="0"/>
              <w:marBottom w:val="0"/>
              <w:divBdr>
                <w:top w:val="none" w:sz="0" w:space="0" w:color="auto"/>
                <w:left w:val="none" w:sz="0" w:space="0" w:color="auto"/>
                <w:bottom w:val="none" w:sz="0" w:space="0" w:color="auto"/>
                <w:right w:val="none" w:sz="0" w:space="0" w:color="auto"/>
              </w:divBdr>
            </w:div>
          </w:divsChild>
        </w:div>
        <w:div w:id="1343580443">
          <w:marLeft w:val="0"/>
          <w:marRight w:val="0"/>
          <w:marTop w:val="0"/>
          <w:marBottom w:val="0"/>
          <w:divBdr>
            <w:top w:val="none" w:sz="0" w:space="0" w:color="auto"/>
            <w:left w:val="none" w:sz="0" w:space="0" w:color="auto"/>
            <w:bottom w:val="none" w:sz="0" w:space="0" w:color="auto"/>
            <w:right w:val="none" w:sz="0" w:space="0" w:color="auto"/>
          </w:divBdr>
        </w:div>
        <w:div w:id="1346397854">
          <w:marLeft w:val="0"/>
          <w:marRight w:val="0"/>
          <w:marTop w:val="0"/>
          <w:marBottom w:val="0"/>
          <w:divBdr>
            <w:top w:val="none" w:sz="0" w:space="0" w:color="auto"/>
            <w:left w:val="none" w:sz="0" w:space="0" w:color="auto"/>
            <w:bottom w:val="none" w:sz="0" w:space="0" w:color="auto"/>
            <w:right w:val="none" w:sz="0" w:space="0" w:color="auto"/>
          </w:divBdr>
        </w:div>
        <w:div w:id="1354115481">
          <w:marLeft w:val="0"/>
          <w:marRight w:val="0"/>
          <w:marTop w:val="0"/>
          <w:marBottom w:val="0"/>
          <w:divBdr>
            <w:top w:val="none" w:sz="0" w:space="0" w:color="auto"/>
            <w:left w:val="none" w:sz="0" w:space="0" w:color="auto"/>
            <w:bottom w:val="none" w:sz="0" w:space="0" w:color="auto"/>
            <w:right w:val="none" w:sz="0" w:space="0" w:color="auto"/>
          </w:divBdr>
          <w:divsChild>
            <w:div w:id="1172991312">
              <w:marLeft w:val="-75"/>
              <w:marRight w:val="0"/>
              <w:marTop w:val="30"/>
              <w:marBottom w:val="30"/>
              <w:divBdr>
                <w:top w:val="none" w:sz="0" w:space="0" w:color="auto"/>
                <w:left w:val="none" w:sz="0" w:space="0" w:color="auto"/>
                <w:bottom w:val="none" w:sz="0" w:space="0" w:color="auto"/>
                <w:right w:val="none" w:sz="0" w:space="0" w:color="auto"/>
              </w:divBdr>
              <w:divsChild>
                <w:div w:id="17582907">
                  <w:marLeft w:val="0"/>
                  <w:marRight w:val="0"/>
                  <w:marTop w:val="0"/>
                  <w:marBottom w:val="0"/>
                  <w:divBdr>
                    <w:top w:val="none" w:sz="0" w:space="0" w:color="auto"/>
                    <w:left w:val="none" w:sz="0" w:space="0" w:color="auto"/>
                    <w:bottom w:val="none" w:sz="0" w:space="0" w:color="auto"/>
                    <w:right w:val="none" w:sz="0" w:space="0" w:color="auto"/>
                  </w:divBdr>
                  <w:divsChild>
                    <w:div w:id="1070276043">
                      <w:marLeft w:val="0"/>
                      <w:marRight w:val="0"/>
                      <w:marTop w:val="0"/>
                      <w:marBottom w:val="0"/>
                      <w:divBdr>
                        <w:top w:val="none" w:sz="0" w:space="0" w:color="auto"/>
                        <w:left w:val="none" w:sz="0" w:space="0" w:color="auto"/>
                        <w:bottom w:val="none" w:sz="0" w:space="0" w:color="auto"/>
                        <w:right w:val="none" w:sz="0" w:space="0" w:color="auto"/>
                      </w:divBdr>
                    </w:div>
                  </w:divsChild>
                </w:div>
                <w:div w:id="80758843">
                  <w:marLeft w:val="0"/>
                  <w:marRight w:val="0"/>
                  <w:marTop w:val="0"/>
                  <w:marBottom w:val="0"/>
                  <w:divBdr>
                    <w:top w:val="none" w:sz="0" w:space="0" w:color="auto"/>
                    <w:left w:val="none" w:sz="0" w:space="0" w:color="auto"/>
                    <w:bottom w:val="none" w:sz="0" w:space="0" w:color="auto"/>
                    <w:right w:val="none" w:sz="0" w:space="0" w:color="auto"/>
                  </w:divBdr>
                  <w:divsChild>
                    <w:div w:id="1427534185">
                      <w:marLeft w:val="0"/>
                      <w:marRight w:val="0"/>
                      <w:marTop w:val="0"/>
                      <w:marBottom w:val="0"/>
                      <w:divBdr>
                        <w:top w:val="none" w:sz="0" w:space="0" w:color="auto"/>
                        <w:left w:val="none" w:sz="0" w:space="0" w:color="auto"/>
                        <w:bottom w:val="none" w:sz="0" w:space="0" w:color="auto"/>
                        <w:right w:val="none" w:sz="0" w:space="0" w:color="auto"/>
                      </w:divBdr>
                    </w:div>
                  </w:divsChild>
                </w:div>
                <w:div w:id="328796716">
                  <w:marLeft w:val="0"/>
                  <w:marRight w:val="0"/>
                  <w:marTop w:val="0"/>
                  <w:marBottom w:val="0"/>
                  <w:divBdr>
                    <w:top w:val="none" w:sz="0" w:space="0" w:color="auto"/>
                    <w:left w:val="none" w:sz="0" w:space="0" w:color="auto"/>
                    <w:bottom w:val="none" w:sz="0" w:space="0" w:color="auto"/>
                    <w:right w:val="none" w:sz="0" w:space="0" w:color="auto"/>
                  </w:divBdr>
                  <w:divsChild>
                    <w:div w:id="1838572415">
                      <w:marLeft w:val="0"/>
                      <w:marRight w:val="0"/>
                      <w:marTop w:val="0"/>
                      <w:marBottom w:val="0"/>
                      <w:divBdr>
                        <w:top w:val="none" w:sz="0" w:space="0" w:color="auto"/>
                        <w:left w:val="none" w:sz="0" w:space="0" w:color="auto"/>
                        <w:bottom w:val="none" w:sz="0" w:space="0" w:color="auto"/>
                        <w:right w:val="none" w:sz="0" w:space="0" w:color="auto"/>
                      </w:divBdr>
                    </w:div>
                  </w:divsChild>
                </w:div>
                <w:div w:id="681979926">
                  <w:marLeft w:val="0"/>
                  <w:marRight w:val="0"/>
                  <w:marTop w:val="0"/>
                  <w:marBottom w:val="0"/>
                  <w:divBdr>
                    <w:top w:val="none" w:sz="0" w:space="0" w:color="auto"/>
                    <w:left w:val="none" w:sz="0" w:space="0" w:color="auto"/>
                    <w:bottom w:val="none" w:sz="0" w:space="0" w:color="auto"/>
                    <w:right w:val="none" w:sz="0" w:space="0" w:color="auto"/>
                  </w:divBdr>
                  <w:divsChild>
                    <w:div w:id="1609776046">
                      <w:marLeft w:val="0"/>
                      <w:marRight w:val="0"/>
                      <w:marTop w:val="0"/>
                      <w:marBottom w:val="0"/>
                      <w:divBdr>
                        <w:top w:val="none" w:sz="0" w:space="0" w:color="auto"/>
                        <w:left w:val="none" w:sz="0" w:space="0" w:color="auto"/>
                        <w:bottom w:val="none" w:sz="0" w:space="0" w:color="auto"/>
                        <w:right w:val="none" w:sz="0" w:space="0" w:color="auto"/>
                      </w:divBdr>
                    </w:div>
                  </w:divsChild>
                </w:div>
                <w:div w:id="966201137">
                  <w:marLeft w:val="0"/>
                  <w:marRight w:val="0"/>
                  <w:marTop w:val="0"/>
                  <w:marBottom w:val="0"/>
                  <w:divBdr>
                    <w:top w:val="none" w:sz="0" w:space="0" w:color="auto"/>
                    <w:left w:val="none" w:sz="0" w:space="0" w:color="auto"/>
                    <w:bottom w:val="none" w:sz="0" w:space="0" w:color="auto"/>
                    <w:right w:val="none" w:sz="0" w:space="0" w:color="auto"/>
                  </w:divBdr>
                  <w:divsChild>
                    <w:div w:id="1341590330">
                      <w:marLeft w:val="0"/>
                      <w:marRight w:val="0"/>
                      <w:marTop w:val="0"/>
                      <w:marBottom w:val="0"/>
                      <w:divBdr>
                        <w:top w:val="none" w:sz="0" w:space="0" w:color="auto"/>
                        <w:left w:val="none" w:sz="0" w:space="0" w:color="auto"/>
                        <w:bottom w:val="none" w:sz="0" w:space="0" w:color="auto"/>
                        <w:right w:val="none" w:sz="0" w:space="0" w:color="auto"/>
                      </w:divBdr>
                    </w:div>
                  </w:divsChild>
                </w:div>
                <w:div w:id="1077677805">
                  <w:marLeft w:val="0"/>
                  <w:marRight w:val="0"/>
                  <w:marTop w:val="0"/>
                  <w:marBottom w:val="0"/>
                  <w:divBdr>
                    <w:top w:val="none" w:sz="0" w:space="0" w:color="auto"/>
                    <w:left w:val="none" w:sz="0" w:space="0" w:color="auto"/>
                    <w:bottom w:val="none" w:sz="0" w:space="0" w:color="auto"/>
                    <w:right w:val="none" w:sz="0" w:space="0" w:color="auto"/>
                  </w:divBdr>
                  <w:divsChild>
                    <w:div w:id="1052388844">
                      <w:marLeft w:val="0"/>
                      <w:marRight w:val="0"/>
                      <w:marTop w:val="0"/>
                      <w:marBottom w:val="0"/>
                      <w:divBdr>
                        <w:top w:val="none" w:sz="0" w:space="0" w:color="auto"/>
                        <w:left w:val="none" w:sz="0" w:space="0" w:color="auto"/>
                        <w:bottom w:val="none" w:sz="0" w:space="0" w:color="auto"/>
                        <w:right w:val="none" w:sz="0" w:space="0" w:color="auto"/>
                      </w:divBdr>
                    </w:div>
                  </w:divsChild>
                </w:div>
                <w:div w:id="1542546769">
                  <w:marLeft w:val="0"/>
                  <w:marRight w:val="0"/>
                  <w:marTop w:val="0"/>
                  <w:marBottom w:val="0"/>
                  <w:divBdr>
                    <w:top w:val="none" w:sz="0" w:space="0" w:color="auto"/>
                    <w:left w:val="none" w:sz="0" w:space="0" w:color="auto"/>
                    <w:bottom w:val="none" w:sz="0" w:space="0" w:color="auto"/>
                    <w:right w:val="none" w:sz="0" w:space="0" w:color="auto"/>
                  </w:divBdr>
                  <w:divsChild>
                    <w:div w:id="168181370">
                      <w:marLeft w:val="0"/>
                      <w:marRight w:val="0"/>
                      <w:marTop w:val="0"/>
                      <w:marBottom w:val="0"/>
                      <w:divBdr>
                        <w:top w:val="none" w:sz="0" w:space="0" w:color="auto"/>
                        <w:left w:val="none" w:sz="0" w:space="0" w:color="auto"/>
                        <w:bottom w:val="none" w:sz="0" w:space="0" w:color="auto"/>
                        <w:right w:val="none" w:sz="0" w:space="0" w:color="auto"/>
                      </w:divBdr>
                    </w:div>
                  </w:divsChild>
                </w:div>
                <w:div w:id="1614484178">
                  <w:marLeft w:val="0"/>
                  <w:marRight w:val="0"/>
                  <w:marTop w:val="0"/>
                  <w:marBottom w:val="0"/>
                  <w:divBdr>
                    <w:top w:val="none" w:sz="0" w:space="0" w:color="auto"/>
                    <w:left w:val="none" w:sz="0" w:space="0" w:color="auto"/>
                    <w:bottom w:val="none" w:sz="0" w:space="0" w:color="auto"/>
                    <w:right w:val="none" w:sz="0" w:space="0" w:color="auto"/>
                  </w:divBdr>
                  <w:divsChild>
                    <w:div w:id="204028588">
                      <w:marLeft w:val="0"/>
                      <w:marRight w:val="0"/>
                      <w:marTop w:val="0"/>
                      <w:marBottom w:val="0"/>
                      <w:divBdr>
                        <w:top w:val="none" w:sz="0" w:space="0" w:color="auto"/>
                        <w:left w:val="none" w:sz="0" w:space="0" w:color="auto"/>
                        <w:bottom w:val="none" w:sz="0" w:space="0" w:color="auto"/>
                        <w:right w:val="none" w:sz="0" w:space="0" w:color="auto"/>
                      </w:divBdr>
                    </w:div>
                  </w:divsChild>
                </w:div>
                <w:div w:id="1709722157">
                  <w:marLeft w:val="0"/>
                  <w:marRight w:val="0"/>
                  <w:marTop w:val="0"/>
                  <w:marBottom w:val="0"/>
                  <w:divBdr>
                    <w:top w:val="none" w:sz="0" w:space="0" w:color="auto"/>
                    <w:left w:val="none" w:sz="0" w:space="0" w:color="auto"/>
                    <w:bottom w:val="none" w:sz="0" w:space="0" w:color="auto"/>
                    <w:right w:val="none" w:sz="0" w:space="0" w:color="auto"/>
                  </w:divBdr>
                  <w:divsChild>
                    <w:div w:id="458031517">
                      <w:marLeft w:val="0"/>
                      <w:marRight w:val="0"/>
                      <w:marTop w:val="0"/>
                      <w:marBottom w:val="0"/>
                      <w:divBdr>
                        <w:top w:val="none" w:sz="0" w:space="0" w:color="auto"/>
                        <w:left w:val="none" w:sz="0" w:space="0" w:color="auto"/>
                        <w:bottom w:val="none" w:sz="0" w:space="0" w:color="auto"/>
                        <w:right w:val="none" w:sz="0" w:space="0" w:color="auto"/>
                      </w:divBdr>
                    </w:div>
                  </w:divsChild>
                </w:div>
                <w:div w:id="1751269492">
                  <w:marLeft w:val="0"/>
                  <w:marRight w:val="0"/>
                  <w:marTop w:val="0"/>
                  <w:marBottom w:val="0"/>
                  <w:divBdr>
                    <w:top w:val="none" w:sz="0" w:space="0" w:color="auto"/>
                    <w:left w:val="none" w:sz="0" w:space="0" w:color="auto"/>
                    <w:bottom w:val="none" w:sz="0" w:space="0" w:color="auto"/>
                    <w:right w:val="none" w:sz="0" w:space="0" w:color="auto"/>
                  </w:divBdr>
                  <w:divsChild>
                    <w:div w:id="1398093250">
                      <w:marLeft w:val="0"/>
                      <w:marRight w:val="0"/>
                      <w:marTop w:val="0"/>
                      <w:marBottom w:val="0"/>
                      <w:divBdr>
                        <w:top w:val="none" w:sz="0" w:space="0" w:color="auto"/>
                        <w:left w:val="none" w:sz="0" w:space="0" w:color="auto"/>
                        <w:bottom w:val="none" w:sz="0" w:space="0" w:color="auto"/>
                        <w:right w:val="none" w:sz="0" w:space="0" w:color="auto"/>
                      </w:divBdr>
                    </w:div>
                  </w:divsChild>
                </w:div>
                <w:div w:id="1754474981">
                  <w:marLeft w:val="0"/>
                  <w:marRight w:val="0"/>
                  <w:marTop w:val="0"/>
                  <w:marBottom w:val="0"/>
                  <w:divBdr>
                    <w:top w:val="none" w:sz="0" w:space="0" w:color="auto"/>
                    <w:left w:val="none" w:sz="0" w:space="0" w:color="auto"/>
                    <w:bottom w:val="none" w:sz="0" w:space="0" w:color="auto"/>
                    <w:right w:val="none" w:sz="0" w:space="0" w:color="auto"/>
                  </w:divBdr>
                  <w:divsChild>
                    <w:div w:id="1054163185">
                      <w:marLeft w:val="0"/>
                      <w:marRight w:val="0"/>
                      <w:marTop w:val="0"/>
                      <w:marBottom w:val="0"/>
                      <w:divBdr>
                        <w:top w:val="none" w:sz="0" w:space="0" w:color="auto"/>
                        <w:left w:val="none" w:sz="0" w:space="0" w:color="auto"/>
                        <w:bottom w:val="none" w:sz="0" w:space="0" w:color="auto"/>
                        <w:right w:val="none" w:sz="0" w:space="0" w:color="auto"/>
                      </w:divBdr>
                    </w:div>
                  </w:divsChild>
                </w:div>
                <w:div w:id="1929730865">
                  <w:marLeft w:val="0"/>
                  <w:marRight w:val="0"/>
                  <w:marTop w:val="0"/>
                  <w:marBottom w:val="0"/>
                  <w:divBdr>
                    <w:top w:val="none" w:sz="0" w:space="0" w:color="auto"/>
                    <w:left w:val="none" w:sz="0" w:space="0" w:color="auto"/>
                    <w:bottom w:val="none" w:sz="0" w:space="0" w:color="auto"/>
                    <w:right w:val="none" w:sz="0" w:space="0" w:color="auto"/>
                  </w:divBdr>
                  <w:divsChild>
                    <w:div w:id="19349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107780">
          <w:marLeft w:val="0"/>
          <w:marRight w:val="0"/>
          <w:marTop w:val="0"/>
          <w:marBottom w:val="0"/>
          <w:divBdr>
            <w:top w:val="none" w:sz="0" w:space="0" w:color="auto"/>
            <w:left w:val="none" w:sz="0" w:space="0" w:color="auto"/>
            <w:bottom w:val="none" w:sz="0" w:space="0" w:color="auto"/>
            <w:right w:val="none" w:sz="0" w:space="0" w:color="auto"/>
          </w:divBdr>
          <w:divsChild>
            <w:div w:id="324168359">
              <w:marLeft w:val="0"/>
              <w:marRight w:val="0"/>
              <w:marTop w:val="0"/>
              <w:marBottom w:val="0"/>
              <w:divBdr>
                <w:top w:val="none" w:sz="0" w:space="0" w:color="auto"/>
                <w:left w:val="none" w:sz="0" w:space="0" w:color="auto"/>
                <w:bottom w:val="none" w:sz="0" w:space="0" w:color="auto"/>
                <w:right w:val="none" w:sz="0" w:space="0" w:color="auto"/>
              </w:divBdr>
            </w:div>
            <w:div w:id="1058481253">
              <w:marLeft w:val="0"/>
              <w:marRight w:val="0"/>
              <w:marTop w:val="0"/>
              <w:marBottom w:val="0"/>
              <w:divBdr>
                <w:top w:val="none" w:sz="0" w:space="0" w:color="auto"/>
                <w:left w:val="none" w:sz="0" w:space="0" w:color="auto"/>
                <w:bottom w:val="none" w:sz="0" w:space="0" w:color="auto"/>
                <w:right w:val="none" w:sz="0" w:space="0" w:color="auto"/>
              </w:divBdr>
            </w:div>
            <w:div w:id="1642618215">
              <w:marLeft w:val="0"/>
              <w:marRight w:val="0"/>
              <w:marTop w:val="0"/>
              <w:marBottom w:val="0"/>
              <w:divBdr>
                <w:top w:val="none" w:sz="0" w:space="0" w:color="auto"/>
                <w:left w:val="none" w:sz="0" w:space="0" w:color="auto"/>
                <w:bottom w:val="none" w:sz="0" w:space="0" w:color="auto"/>
                <w:right w:val="none" w:sz="0" w:space="0" w:color="auto"/>
              </w:divBdr>
            </w:div>
            <w:div w:id="1674381512">
              <w:marLeft w:val="0"/>
              <w:marRight w:val="0"/>
              <w:marTop w:val="0"/>
              <w:marBottom w:val="0"/>
              <w:divBdr>
                <w:top w:val="none" w:sz="0" w:space="0" w:color="auto"/>
                <w:left w:val="none" w:sz="0" w:space="0" w:color="auto"/>
                <w:bottom w:val="none" w:sz="0" w:space="0" w:color="auto"/>
                <w:right w:val="none" w:sz="0" w:space="0" w:color="auto"/>
              </w:divBdr>
            </w:div>
            <w:div w:id="1777940105">
              <w:marLeft w:val="0"/>
              <w:marRight w:val="0"/>
              <w:marTop w:val="0"/>
              <w:marBottom w:val="0"/>
              <w:divBdr>
                <w:top w:val="none" w:sz="0" w:space="0" w:color="auto"/>
                <w:left w:val="none" w:sz="0" w:space="0" w:color="auto"/>
                <w:bottom w:val="none" w:sz="0" w:space="0" w:color="auto"/>
                <w:right w:val="none" w:sz="0" w:space="0" w:color="auto"/>
              </w:divBdr>
            </w:div>
            <w:div w:id="1911691965">
              <w:marLeft w:val="0"/>
              <w:marRight w:val="0"/>
              <w:marTop w:val="0"/>
              <w:marBottom w:val="0"/>
              <w:divBdr>
                <w:top w:val="none" w:sz="0" w:space="0" w:color="auto"/>
                <w:left w:val="none" w:sz="0" w:space="0" w:color="auto"/>
                <w:bottom w:val="none" w:sz="0" w:space="0" w:color="auto"/>
                <w:right w:val="none" w:sz="0" w:space="0" w:color="auto"/>
              </w:divBdr>
            </w:div>
            <w:div w:id="2027435542">
              <w:marLeft w:val="0"/>
              <w:marRight w:val="0"/>
              <w:marTop w:val="0"/>
              <w:marBottom w:val="0"/>
              <w:divBdr>
                <w:top w:val="none" w:sz="0" w:space="0" w:color="auto"/>
                <w:left w:val="none" w:sz="0" w:space="0" w:color="auto"/>
                <w:bottom w:val="none" w:sz="0" w:space="0" w:color="auto"/>
                <w:right w:val="none" w:sz="0" w:space="0" w:color="auto"/>
              </w:divBdr>
            </w:div>
          </w:divsChild>
        </w:div>
        <w:div w:id="1360158639">
          <w:marLeft w:val="0"/>
          <w:marRight w:val="0"/>
          <w:marTop w:val="0"/>
          <w:marBottom w:val="0"/>
          <w:divBdr>
            <w:top w:val="none" w:sz="0" w:space="0" w:color="auto"/>
            <w:left w:val="none" w:sz="0" w:space="0" w:color="auto"/>
            <w:bottom w:val="none" w:sz="0" w:space="0" w:color="auto"/>
            <w:right w:val="none" w:sz="0" w:space="0" w:color="auto"/>
          </w:divBdr>
          <w:divsChild>
            <w:div w:id="588123629">
              <w:marLeft w:val="-75"/>
              <w:marRight w:val="0"/>
              <w:marTop w:val="30"/>
              <w:marBottom w:val="30"/>
              <w:divBdr>
                <w:top w:val="none" w:sz="0" w:space="0" w:color="auto"/>
                <w:left w:val="none" w:sz="0" w:space="0" w:color="auto"/>
                <w:bottom w:val="none" w:sz="0" w:space="0" w:color="auto"/>
                <w:right w:val="none" w:sz="0" w:space="0" w:color="auto"/>
              </w:divBdr>
              <w:divsChild>
                <w:div w:id="258687420">
                  <w:marLeft w:val="0"/>
                  <w:marRight w:val="0"/>
                  <w:marTop w:val="0"/>
                  <w:marBottom w:val="0"/>
                  <w:divBdr>
                    <w:top w:val="none" w:sz="0" w:space="0" w:color="auto"/>
                    <w:left w:val="none" w:sz="0" w:space="0" w:color="auto"/>
                    <w:bottom w:val="none" w:sz="0" w:space="0" w:color="auto"/>
                    <w:right w:val="none" w:sz="0" w:space="0" w:color="auto"/>
                  </w:divBdr>
                  <w:divsChild>
                    <w:div w:id="614481978">
                      <w:marLeft w:val="0"/>
                      <w:marRight w:val="0"/>
                      <w:marTop w:val="0"/>
                      <w:marBottom w:val="0"/>
                      <w:divBdr>
                        <w:top w:val="none" w:sz="0" w:space="0" w:color="auto"/>
                        <w:left w:val="none" w:sz="0" w:space="0" w:color="auto"/>
                        <w:bottom w:val="none" w:sz="0" w:space="0" w:color="auto"/>
                        <w:right w:val="none" w:sz="0" w:space="0" w:color="auto"/>
                      </w:divBdr>
                    </w:div>
                  </w:divsChild>
                </w:div>
                <w:div w:id="459961230">
                  <w:marLeft w:val="0"/>
                  <w:marRight w:val="0"/>
                  <w:marTop w:val="0"/>
                  <w:marBottom w:val="0"/>
                  <w:divBdr>
                    <w:top w:val="none" w:sz="0" w:space="0" w:color="auto"/>
                    <w:left w:val="none" w:sz="0" w:space="0" w:color="auto"/>
                    <w:bottom w:val="none" w:sz="0" w:space="0" w:color="auto"/>
                    <w:right w:val="none" w:sz="0" w:space="0" w:color="auto"/>
                  </w:divBdr>
                  <w:divsChild>
                    <w:div w:id="1909728986">
                      <w:marLeft w:val="0"/>
                      <w:marRight w:val="0"/>
                      <w:marTop w:val="0"/>
                      <w:marBottom w:val="0"/>
                      <w:divBdr>
                        <w:top w:val="none" w:sz="0" w:space="0" w:color="auto"/>
                        <w:left w:val="none" w:sz="0" w:space="0" w:color="auto"/>
                        <w:bottom w:val="none" w:sz="0" w:space="0" w:color="auto"/>
                        <w:right w:val="none" w:sz="0" w:space="0" w:color="auto"/>
                      </w:divBdr>
                    </w:div>
                  </w:divsChild>
                </w:div>
                <w:div w:id="631449703">
                  <w:marLeft w:val="0"/>
                  <w:marRight w:val="0"/>
                  <w:marTop w:val="0"/>
                  <w:marBottom w:val="0"/>
                  <w:divBdr>
                    <w:top w:val="none" w:sz="0" w:space="0" w:color="auto"/>
                    <w:left w:val="none" w:sz="0" w:space="0" w:color="auto"/>
                    <w:bottom w:val="none" w:sz="0" w:space="0" w:color="auto"/>
                    <w:right w:val="none" w:sz="0" w:space="0" w:color="auto"/>
                  </w:divBdr>
                  <w:divsChild>
                    <w:div w:id="738527520">
                      <w:marLeft w:val="0"/>
                      <w:marRight w:val="0"/>
                      <w:marTop w:val="0"/>
                      <w:marBottom w:val="0"/>
                      <w:divBdr>
                        <w:top w:val="none" w:sz="0" w:space="0" w:color="auto"/>
                        <w:left w:val="none" w:sz="0" w:space="0" w:color="auto"/>
                        <w:bottom w:val="none" w:sz="0" w:space="0" w:color="auto"/>
                        <w:right w:val="none" w:sz="0" w:space="0" w:color="auto"/>
                      </w:divBdr>
                    </w:div>
                  </w:divsChild>
                </w:div>
                <w:div w:id="631789068">
                  <w:marLeft w:val="0"/>
                  <w:marRight w:val="0"/>
                  <w:marTop w:val="0"/>
                  <w:marBottom w:val="0"/>
                  <w:divBdr>
                    <w:top w:val="none" w:sz="0" w:space="0" w:color="auto"/>
                    <w:left w:val="none" w:sz="0" w:space="0" w:color="auto"/>
                    <w:bottom w:val="none" w:sz="0" w:space="0" w:color="auto"/>
                    <w:right w:val="none" w:sz="0" w:space="0" w:color="auto"/>
                  </w:divBdr>
                  <w:divsChild>
                    <w:div w:id="109785206">
                      <w:marLeft w:val="0"/>
                      <w:marRight w:val="0"/>
                      <w:marTop w:val="0"/>
                      <w:marBottom w:val="0"/>
                      <w:divBdr>
                        <w:top w:val="none" w:sz="0" w:space="0" w:color="auto"/>
                        <w:left w:val="none" w:sz="0" w:space="0" w:color="auto"/>
                        <w:bottom w:val="none" w:sz="0" w:space="0" w:color="auto"/>
                        <w:right w:val="none" w:sz="0" w:space="0" w:color="auto"/>
                      </w:divBdr>
                    </w:div>
                  </w:divsChild>
                </w:div>
                <w:div w:id="644314343">
                  <w:marLeft w:val="0"/>
                  <w:marRight w:val="0"/>
                  <w:marTop w:val="0"/>
                  <w:marBottom w:val="0"/>
                  <w:divBdr>
                    <w:top w:val="none" w:sz="0" w:space="0" w:color="auto"/>
                    <w:left w:val="none" w:sz="0" w:space="0" w:color="auto"/>
                    <w:bottom w:val="none" w:sz="0" w:space="0" w:color="auto"/>
                    <w:right w:val="none" w:sz="0" w:space="0" w:color="auto"/>
                  </w:divBdr>
                  <w:divsChild>
                    <w:div w:id="799570920">
                      <w:marLeft w:val="0"/>
                      <w:marRight w:val="0"/>
                      <w:marTop w:val="0"/>
                      <w:marBottom w:val="0"/>
                      <w:divBdr>
                        <w:top w:val="none" w:sz="0" w:space="0" w:color="auto"/>
                        <w:left w:val="none" w:sz="0" w:space="0" w:color="auto"/>
                        <w:bottom w:val="none" w:sz="0" w:space="0" w:color="auto"/>
                        <w:right w:val="none" w:sz="0" w:space="0" w:color="auto"/>
                      </w:divBdr>
                    </w:div>
                  </w:divsChild>
                </w:div>
                <w:div w:id="666446071">
                  <w:marLeft w:val="0"/>
                  <w:marRight w:val="0"/>
                  <w:marTop w:val="0"/>
                  <w:marBottom w:val="0"/>
                  <w:divBdr>
                    <w:top w:val="none" w:sz="0" w:space="0" w:color="auto"/>
                    <w:left w:val="none" w:sz="0" w:space="0" w:color="auto"/>
                    <w:bottom w:val="none" w:sz="0" w:space="0" w:color="auto"/>
                    <w:right w:val="none" w:sz="0" w:space="0" w:color="auto"/>
                  </w:divBdr>
                  <w:divsChild>
                    <w:div w:id="262802894">
                      <w:marLeft w:val="0"/>
                      <w:marRight w:val="0"/>
                      <w:marTop w:val="0"/>
                      <w:marBottom w:val="0"/>
                      <w:divBdr>
                        <w:top w:val="none" w:sz="0" w:space="0" w:color="auto"/>
                        <w:left w:val="none" w:sz="0" w:space="0" w:color="auto"/>
                        <w:bottom w:val="none" w:sz="0" w:space="0" w:color="auto"/>
                        <w:right w:val="none" w:sz="0" w:space="0" w:color="auto"/>
                      </w:divBdr>
                    </w:div>
                  </w:divsChild>
                </w:div>
                <w:div w:id="696583900">
                  <w:marLeft w:val="0"/>
                  <w:marRight w:val="0"/>
                  <w:marTop w:val="0"/>
                  <w:marBottom w:val="0"/>
                  <w:divBdr>
                    <w:top w:val="none" w:sz="0" w:space="0" w:color="auto"/>
                    <w:left w:val="none" w:sz="0" w:space="0" w:color="auto"/>
                    <w:bottom w:val="none" w:sz="0" w:space="0" w:color="auto"/>
                    <w:right w:val="none" w:sz="0" w:space="0" w:color="auto"/>
                  </w:divBdr>
                  <w:divsChild>
                    <w:div w:id="2139299373">
                      <w:marLeft w:val="0"/>
                      <w:marRight w:val="0"/>
                      <w:marTop w:val="0"/>
                      <w:marBottom w:val="0"/>
                      <w:divBdr>
                        <w:top w:val="none" w:sz="0" w:space="0" w:color="auto"/>
                        <w:left w:val="none" w:sz="0" w:space="0" w:color="auto"/>
                        <w:bottom w:val="none" w:sz="0" w:space="0" w:color="auto"/>
                        <w:right w:val="none" w:sz="0" w:space="0" w:color="auto"/>
                      </w:divBdr>
                    </w:div>
                  </w:divsChild>
                </w:div>
                <w:div w:id="816531752">
                  <w:marLeft w:val="0"/>
                  <w:marRight w:val="0"/>
                  <w:marTop w:val="0"/>
                  <w:marBottom w:val="0"/>
                  <w:divBdr>
                    <w:top w:val="none" w:sz="0" w:space="0" w:color="auto"/>
                    <w:left w:val="none" w:sz="0" w:space="0" w:color="auto"/>
                    <w:bottom w:val="none" w:sz="0" w:space="0" w:color="auto"/>
                    <w:right w:val="none" w:sz="0" w:space="0" w:color="auto"/>
                  </w:divBdr>
                  <w:divsChild>
                    <w:div w:id="1984461503">
                      <w:marLeft w:val="0"/>
                      <w:marRight w:val="0"/>
                      <w:marTop w:val="0"/>
                      <w:marBottom w:val="0"/>
                      <w:divBdr>
                        <w:top w:val="none" w:sz="0" w:space="0" w:color="auto"/>
                        <w:left w:val="none" w:sz="0" w:space="0" w:color="auto"/>
                        <w:bottom w:val="none" w:sz="0" w:space="0" w:color="auto"/>
                        <w:right w:val="none" w:sz="0" w:space="0" w:color="auto"/>
                      </w:divBdr>
                    </w:div>
                  </w:divsChild>
                </w:div>
                <w:div w:id="1147891361">
                  <w:marLeft w:val="0"/>
                  <w:marRight w:val="0"/>
                  <w:marTop w:val="0"/>
                  <w:marBottom w:val="0"/>
                  <w:divBdr>
                    <w:top w:val="none" w:sz="0" w:space="0" w:color="auto"/>
                    <w:left w:val="none" w:sz="0" w:space="0" w:color="auto"/>
                    <w:bottom w:val="none" w:sz="0" w:space="0" w:color="auto"/>
                    <w:right w:val="none" w:sz="0" w:space="0" w:color="auto"/>
                  </w:divBdr>
                  <w:divsChild>
                    <w:div w:id="876963335">
                      <w:marLeft w:val="0"/>
                      <w:marRight w:val="0"/>
                      <w:marTop w:val="0"/>
                      <w:marBottom w:val="0"/>
                      <w:divBdr>
                        <w:top w:val="none" w:sz="0" w:space="0" w:color="auto"/>
                        <w:left w:val="none" w:sz="0" w:space="0" w:color="auto"/>
                        <w:bottom w:val="none" w:sz="0" w:space="0" w:color="auto"/>
                        <w:right w:val="none" w:sz="0" w:space="0" w:color="auto"/>
                      </w:divBdr>
                    </w:div>
                  </w:divsChild>
                </w:div>
                <w:div w:id="1242369603">
                  <w:marLeft w:val="0"/>
                  <w:marRight w:val="0"/>
                  <w:marTop w:val="0"/>
                  <w:marBottom w:val="0"/>
                  <w:divBdr>
                    <w:top w:val="none" w:sz="0" w:space="0" w:color="auto"/>
                    <w:left w:val="none" w:sz="0" w:space="0" w:color="auto"/>
                    <w:bottom w:val="none" w:sz="0" w:space="0" w:color="auto"/>
                    <w:right w:val="none" w:sz="0" w:space="0" w:color="auto"/>
                  </w:divBdr>
                  <w:divsChild>
                    <w:div w:id="1536042352">
                      <w:marLeft w:val="0"/>
                      <w:marRight w:val="0"/>
                      <w:marTop w:val="0"/>
                      <w:marBottom w:val="0"/>
                      <w:divBdr>
                        <w:top w:val="none" w:sz="0" w:space="0" w:color="auto"/>
                        <w:left w:val="none" w:sz="0" w:space="0" w:color="auto"/>
                        <w:bottom w:val="none" w:sz="0" w:space="0" w:color="auto"/>
                        <w:right w:val="none" w:sz="0" w:space="0" w:color="auto"/>
                      </w:divBdr>
                    </w:div>
                  </w:divsChild>
                </w:div>
                <w:div w:id="1292009021">
                  <w:marLeft w:val="0"/>
                  <w:marRight w:val="0"/>
                  <w:marTop w:val="0"/>
                  <w:marBottom w:val="0"/>
                  <w:divBdr>
                    <w:top w:val="none" w:sz="0" w:space="0" w:color="auto"/>
                    <w:left w:val="none" w:sz="0" w:space="0" w:color="auto"/>
                    <w:bottom w:val="none" w:sz="0" w:space="0" w:color="auto"/>
                    <w:right w:val="none" w:sz="0" w:space="0" w:color="auto"/>
                  </w:divBdr>
                  <w:divsChild>
                    <w:div w:id="1694762066">
                      <w:marLeft w:val="0"/>
                      <w:marRight w:val="0"/>
                      <w:marTop w:val="0"/>
                      <w:marBottom w:val="0"/>
                      <w:divBdr>
                        <w:top w:val="none" w:sz="0" w:space="0" w:color="auto"/>
                        <w:left w:val="none" w:sz="0" w:space="0" w:color="auto"/>
                        <w:bottom w:val="none" w:sz="0" w:space="0" w:color="auto"/>
                        <w:right w:val="none" w:sz="0" w:space="0" w:color="auto"/>
                      </w:divBdr>
                    </w:div>
                  </w:divsChild>
                </w:div>
                <w:div w:id="1473328925">
                  <w:marLeft w:val="0"/>
                  <w:marRight w:val="0"/>
                  <w:marTop w:val="0"/>
                  <w:marBottom w:val="0"/>
                  <w:divBdr>
                    <w:top w:val="none" w:sz="0" w:space="0" w:color="auto"/>
                    <w:left w:val="none" w:sz="0" w:space="0" w:color="auto"/>
                    <w:bottom w:val="none" w:sz="0" w:space="0" w:color="auto"/>
                    <w:right w:val="none" w:sz="0" w:space="0" w:color="auto"/>
                  </w:divBdr>
                  <w:divsChild>
                    <w:div w:id="613635083">
                      <w:marLeft w:val="0"/>
                      <w:marRight w:val="0"/>
                      <w:marTop w:val="0"/>
                      <w:marBottom w:val="0"/>
                      <w:divBdr>
                        <w:top w:val="none" w:sz="0" w:space="0" w:color="auto"/>
                        <w:left w:val="none" w:sz="0" w:space="0" w:color="auto"/>
                        <w:bottom w:val="none" w:sz="0" w:space="0" w:color="auto"/>
                        <w:right w:val="none" w:sz="0" w:space="0" w:color="auto"/>
                      </w:divBdr>
                    </w:div>
                  </w:divsChild>
                </w:div>
                <w:div w:id="1546671659">
                  <w:marLeft w:val="0"/>
                  <w:marRight w:val="0"/>
                  <w:marTop w:val="0"/>
                  <w:marBottom w:val="0"/>
                  <w:divBdr>
                    <w:top w:val="none" w:sz="0" w:space="0" w:color="auto"/>
                    <w:left w:val="none" w:sz="0" w:space="0" w:color="auto"/>
                    <w:bottom w:val="none" w:sz="0" w:space="0" w:color="auto"/>
                    <w:right w:val="none" w:sz="0" w:space="0" w:color="auto"/>
                  </w:divBdr>
                  <w:divsChild>
                    <w:div w:id="1890459015">
                      <w:marLeft w:val="0"/>
                      <w:marRight w:val="0"/>
                      <w:marTop w:val="0"/>
                      <w:marBottom w:val="0"/>
                      <w:divBdr>
                        <w:top w:val="none" w:sz="0" w:space="0" w:color="auto"/>
                        <w:left w:val="none" w:sz="0" w:space="0" w:color="auto"/>
                        <w:bottom w:val="none" w:sz="0" w:space="0" w:color="auto"/>
                        <w:right w:val="none" w:sz="0" w:space="0" w:color="auto"/>
                      </w:divBdr>
                    </w:div>
                  </w:divsChild>
                </w:div>
                <w:div w:id="1840466666">
                  <w:marLeft w:val="0"/>
                  <w:marRight w:val="0"/>
                  <w:marTop w:val="0"/>
                  <w:marBottom w:val="0"/>
                  <w:divBdr>
                    <w:top w:val="none" w:sz="0" w:space="0" w:color="auto"/>
                    <w:left w:val="none" w:sz="0" w:space="0" w:color="auto"/>
                    <w:bottom w:val="none" w:sz="0" w:space="0" w:color="auto"/>
                    <w:right w:val="none" w:sz="0" w:space="0" w:color="auto"/>
                  </w:divBdr>
                  <w:divsChild>
                    <w:div w:id="700135024">
                      <w:marLeft w:val="0"/>
                      <w:marRight w:val="0"/>
                      <w:marTop w:val="0"/>
                      <w:marBottom w:val="0"/>
                      <w:divBdr>
                        <w:top w:val="none" w:sz="0" w:space="0" w:color="auto"/>
                        <w:left w:val="none" w:sz="0" w:space="0" w:color="auto"/>
                        <w:bottom w:val="none" w:sz="0" w:space="0" w:color="auto"/>
                        <w:right w:val="none" w:sz="0" w:space="0" w:color="auto"/>
                      </w:divBdr>
                    </w:div>
                  </w:divsChild>
                </w:div>
                <w:div w:id="2088380358">
                  <w:marLeft w:val="0"/>
                  <w:marRight w:val="0"/>
                  <w:marTop w:val="0"/>
                  <w:marBottom w:val="0"/>
                  <w:divBdr>
                    <w:top w:val="none" w:sz="0" w:space="0" w:color="auto"/>
                    <w:left w:val="none" w:sz="0" w:space="0" w:color="auto"/>
                    <w:bottom w:val="none" w:sz="0" w:space="0" w:color="auto"/>
                    <w:right w:val="none" w:sz="0" w:space="0" w:color="auto"/>
                  </w:divBdr>
                  <w:divsChild>
                    <w:div w:id="62836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321721">
          <w:marLeft w:val="0"/>
          <w:marRight w:val="0"/>
          <w:marTop w:val="0"/>
          <w:marBottom w:val="0"/>
          <w:divBdr>
            <w:top w:val="none" w:sz="0" w:space="0" w:color="auto"/>
            <w:left w:val="none" w:sz="0" w:space="0" w:color="auto"/>
            <w:bottom w:val="none" w:sz="0" w:space="0" w:color="auto"/>
            <w:right w:val="none" w:sz="0" w:space="0" w:color="auto"/>
          </w:divBdr>
        </w:div>
        <w:div w:id="1365135578">
          <w:marLeft w:val="0"/>
          <w:marRight w:val="0"/>
          <w:marTop w:val="0"/>
          <w:marBottom w:val="0"/>
          <w:divBdr>
            <w:top w:val="none" w:sz="0" w:space="0" w:color="auto"/>
            <w:left w:val="none" w:sz="0" w:space="0" w:color="auto"/>
            <w:bottom w:val="none" w:sz="0" w:space="0" w:color="auto"/>
            <w:right w:val="none" w:sz="0" w:space="0" w:color="auto"/>
          </w:divBdr>
          <w:divsChild>
            <w:div w:id="108817173">
              <w:marLeft w:val="0"/>
              <w:marRight w:val="0"/>
              <w:marTop w:val="0"/>
              <w:marBottom w:val="0"/>
              <w:divBdr>
                <w:top w:val="none" w:sz="0" w:space="0" w:color="auto"/>
                <w:left w:val="none" w:sz="0" w:space="0" w:color="auto"/>
                <w:bottom w:val="none" w:sz="0" w:space="0" w:color="auto"/>
                <w:right w:val="none" w:sz="0" w:space="0" w:color="auto"/>
              </w:divBdr>
            </w:div>
            <w:div w:id="237518189">
              <w:marLeft w:val="0"/>
              <w:marRight w:val="0"/>
              <w:marTop w:val="0"/>
              <w:marBottom w:val="0"/>
              <w:divBdr>
                <w:top w:val="none" w:sz="0" w:space="0" w:color="auto"/>
                <w:left w:val="none" w:sz="0" w:space="0" w:color="auto"/>
                <w:bottom w:val="none" w:sz="0" w:space="0" w:color="auto"/>
                <w:right w:val="none" w:sz="0" w:space="0" w:color="auto"/>
              </w:divBdr>
            </w:div>
            <w:div w:id="450125274">
              <w:marLeft w:val="0"/>
              <w:marRight w:val="0"/>
              <w:marTop w:val="0"/>
              <w:marBottom w:val="0"/>
              <w:divBdr>
                <w:top w:val="none" w:sz="0" w:space="0" w:color="auto"/>
                <w:left w:val="none" w:sz="0" w:space="0" w:color="auto"/>
                <w:bottom w:val="none" w:sz="0" w:space="0" w:color="auto"/>
                <w:right w:val="none" w:sz="0" w:space="0" w:color="auto"/>
              </w:divBdr>
            </w:div>
            <w:div w:id="615216650">
              <w:marLeft w:val="0"/>
              <w:marRight w:val="0"/>
              <w:marTop w:val="0"/>
              <w:marBottom w:val="0"/>
              <w:divBdr>
                <w:top w:val="none" w:sz="0" w:space="0" w:color="auto"/>
                <w:left w:val="none" w:sz="0" w:space="0" w:color="auto"/>
                <w:bottom w:val="none" w:sz="0" w:space="0" w:color="auto"/>
                <w:right w:val="none" w:sz="0" w:space="0" w:color="auto"/>
              </w:divBdr>
            </w:div>
            <w:div w:id="723599460">
              <w:marLeft w:val="0"/>
              <w:marRight w:val="0"/>
              <w:marTop w:val="0"/>
              <w:marBottom w:val="0"/>
              <w:divBdr>
                <w:top w:val="none" w:sz="0" w:space="0" w:color="auto"/>
                <w:left w:val="none" w:sz="0" w:space="0" w:color="auto"/>
                <w:bottom w:val="none" w:sz="0" w:space="0" w:color="auto"/>
                <w:right w:val="none" w:sz="0" w:space="0" w:color="auto"/>
              </w:divBdr>
            </w:div>
            <w:div w:id="741756492">
              <w:marLeft w:val="0"/>
              <w:marRight w:val="0"/>
              <w:marTop w:val="0"/>
              <w:marBottom w:val="0"/>
              <w:divBdr>
                <w:top w:val="none" w:sz="0" w:space="0" w:color="auto"/>
                <w:left w:val="none" w:sz="0" w:space="0" w:color="auto"/>
                <w:bottom w:val="none" w:sz="0" w:space="0" w:color="auto"/>
                <w:right w:val="none" w:sz="0" w:space="0" w:color="auto"/>
              </w:divBdr>
            </w:div>
            <w:div w:id="777139679">
              <w:marLeft w:val="0"/>
              <w:marRight w:val="0"/>
              <w:marTop w:val="0"/>
              <w:marBottom w:val="0"/>
              <w:divBdr>
                <w:top w:val="none" w:sz="0" w:space="0" w:color="auto"/>
                <w:left w:val="none" w:sz="0" w:space="0" w:color="auto"/>
                <w:bottom w:val="none" w:sz="0" w:space="0" w:color="auto"/>
                <w:right w:val="none" w:sz="0" w:space="0" w:color="auto"/>
              </w:divBdr>
            </w:div>
            <w:div w:id="990208956">
              <w:marLeft w:val="0"/>
              <w:marRight w:val="0"/>
              <w:marTop w:val="0"/>
              <w:marBottom w:val="0"/>
              <w:divBdr>
                <w:top w:val="none" w:sz="0" w:space="0" w:color="auto"/>
                <w:left w:val="none" w:sz="0" w:space="0" w:color="auto"/>
                <w:bottom w:val="none" w:sz="0" w:space="0" w:color="auto"/>
                <w:right w:val="none" w:sz="0" w:space="0" w:color="auto"/>
              </w:divBdr>
            </w:div>
            <w:div w:id="1071463284">
              <w:marLeft w:val="0"/>
              <w:marRight w:val="0"/>
              <w:marTop w:val="0"/>
              <w:marBottom w:val="0"/>
              <w:divBdr>
                <w:top w:val="none" w:sz="0" w:space="0" w:color="auto"/>
                <w:left w:val="none" w:sz="0" w:space="0" w:color="auto"/>
                <w:bottom w:val="none" w:sz="0" w:space="0" w:color="auto"/>
                <w:right w:val="none" w:sz="0" w:space="0" w:color="auto"/>
              </w:divBdr>
            </w:div>
            <w:div w:id="1091657934">
              <w:marLeft w:val="0"/>
              <w:marRight w:val="0"/>
              <w:marTop w:val="0"/>
              <w:marBottom w:val="0"/>
              <w:divBdr>
                <w:top w:val="none" w:sz="0" w:space="0" w:color="auto"/>
                <w:left w:val="none" w:sz="0" w:space="0" w:color="auto"/>
                <w:bottom w:val="none" w:sz="0" w:space="0" w:color="auto"/>
                <w:right w:val="none" w:sz="0" w:space="0" w:color="auto"/>
              </w:divBdr>
            </w:div>
            <w:div w:id="1252082670">
              <w:marLeft w:val="0"/>
              <w:marRight w:val="0"/>
              <w:marTop w:val="0"/>
              <w:marBottom w:val="0"/>
              <w:divBdr>
                <w:top w:val="none" w:sz="0" w:space="0" w:color="auto"/>
                <w:left w:val="none" w:sz="0" w:space="0" w:color="auto"/>
                <w:bottom w:val="none" w:sz="0" w:space="0" w:color="auto"/>
                <w:right w:val="none" w:sz="0" w:space="0" w:color="auto"/>
              </w:divBdr>
            </w:div>
            <w:div w:id="1260530640">
              <w:marLeft w:val="0"/>
              <w:marRight w:val="0"/>
              <w:marTop w:val="0"/>
              <w:marBottom w:val="0"/>
              <w:divBdr>
                <w:top w:val="none" w:sz="0" w:space="0" w:color="auto"/>
                <w:left w:val="none" w:sz="0" w:space="0" w:color="auto"/>
                <w:bottom w:val="none" w:sz="0" w:space="0" w:color="auto"/>
                <w:right w:val="none" w:sz="0" w:space="0" w:color="auto"/>
              </w:divBdr>
            </w:div>
            <w:div w:id="1388840393">
              <w:marLeft w:val="0"/>
              <w:marRight w:val="0"/>
              <w:marTop w:val="0"/>
              <w:marBottom w:val="0"/>
              <w:divBdr>
                <w:top w:val="none" w:sz="0" w:space="0" w:color="auto"/>
                <w:left w:val="none" w:sz="0" w:space="0" w:color="auto"/>
                <w:bottom w:val="none" w:sz="0" w:space="0" w:color="auto"/>
                <w:right w:val="none" w:sz="0" w:space="0" w:color="auto"/>
              </w:divBdr>
            </w:div>
            <w:div w:id="1575510988">
              <w:marLeft w:val="0"/>
              <w:marRight w:val="0"/>
              <w:marTop w:val="0"/>
              <w:marBottom w:val="0"/>
              <w:divBdr>
                <w:top w:val="none" w:sz="0" w:space="0" w:color="auto"/>
                <w:left w:val="none" w:sz="0" w:space="0" w:color="auto"/>
                <w:bottom w:val="none" w:sz="0" w:space="0" w:color="auto"/>
                <w:right w:val="none" w:sz="0" w:space="0" w:color="auto"/>
              </w:divBdr>
            </w:div>
            <w:div w:id="1954901744">
              <w:marLeft w:val="0"/>
              <w:marRight w:val="0"/>
              <w:marTop w:val="0"/>
              <w:marBottom w:val="0"/>
              <w:divBdr>
                <w:top w:val="none" w:sz="0" w:space="0" w:color="auto"/>
                <w:left w:val="none" w:sz="0" w:space="0" w:color="auto"/>
                <w:bottom w:val="none" w:sz="0" w:space="0" w:color="auto"/>
                <w:right w:val="none" w:sz="0" w:space="0" w:color="auto"/>
              </w:divBdr>
            </w:div>
            <w:div w:id="2059432325">
              <w:marLeft w:val="0"/>
              <w:marRight w:val="0"/>
              <w:marTop w:val="0"/>
              <w:marBottom w:val="0"/>
              <w:divBdr>
                <w:top w:val="none" w:sz="0" w:space="0" w:color="auto"/>
                <w:left w:val="none" w:sz="0" w:space="0" w:color="auto"/>
                <w:bottom w:val="none" w:sz="0" w:space="0" w:color="auto"/>
                <w:right w:val="none" w:sz="0" w:space="0" w:color="auto"/>
              </w:divBdr>
            </w:div>
          </w:divsChild>
        </w:div>
        <w:div w:id="1380395377">
          <w:marLeft w:val="0"/>
          <w:marRight w:val="0"/>
          <w:marTop w:val="0"/>
          <w:marBottom w:val="0"/>
          <w:divBdr>
            <w:top w:val="none" w:sz="0" w:space="0" w:color="auto"/>
            <w:left w:val="none" w:sz="0" w:space="0" w:color="auto"/>
            <w:bottom w:val="none" w:sz="0" w:space="0" w:color="auto"/>
            <w:right w:val="none" w:sz="0" w:space="0" w:color="auto"/>
          </w:divBdr>
          <w:divsChild>
            <w:div w:id="564142334">
              <w:marLeft w:val="-75"/>
              <w:marRight w:val="0"/>
              <w:marTop w:val="30"/>
              <w:marBottom w:val="30"/>
              <w:divBdr>
                <w:top w:val="none" w:sz="0" w:space="0" w:color="auto"/>
                <w:left w:val="none" w:sz="0" w:space="0" w:color="auto"/>
                <w:bottom w:val="none" w:sz="0" w:space="0" w:color="auto"/>
                <w:right w:val="none" w:sz="0" w:space="0" w:color="auto"/>
              </w:divBdr>
              <w:divsChild>
                <w:div w:id="328287934">
                  <w:marLeft w:val="0"/>
                  <w:marRight w:val="0"/>
                  <w:marTop w:val="0"/>
                  <w:marBottom w:val="0"/>
                  <w:divBdr>
                    <w:top w:val="none" w:sz="0" w:space="0" w:color="auto"/>
                    <w:left w:val="none" w:sz="0" w:space="0" w:color="auto"/>
                    <w:bottom w:val="none" w:sz="0" w:space="0" w:color="auto"/>
                    <w:right w:val="none" w:sz="0" w:space="0" w:color="auto"/>
                  </w:divBdr>
                  <w:divsChild>
                    <w:div w:id="963342681">
                      <w:marLeft w:val="0"/>
                      <w:marRight w:val="0"/>
                      <w:marTop w:val="0"/>
                      <w:marBottom w:val="0"/>
                      <w:divBdr>
                        <w:top w:val="none" w:sz="0" w:space="0" w:color="auto"/>
                        <w:left w:val="none" w:sz="0" w:space="0" w:color="auto"/>
                        <w:bottom w:val="none" w:sz="0" w:space="0" w:color="auto"/>
                        <w:right w:val="none" w:sz="0" w:space="0" w:color="auto"/>
                      </w:divBdr>
                    </w:div>
                  </w:divsChild>
                </w:div>
                <w:div w:id="438069595">
                  <w:marLeft w:val="0"/>
                  <w:marRight w:val="0"/>
                  <w:marTop w:val="0"/>
                  <w:marBottom w:val="0"/>
                  <w:divBdr>
                    <w:top w:val="none" w:sz="0" w:space="0" w:color="auto"/>
                    <w:left w:val="none" w:sz="0" w:space="0" w:color="auto"/>
                    <w:bottom w:val="none" w:sz="0" w:space="0" w:color="auto"/>
                    <w:right w:val="none" w:sz="0" w:space="0" w:color="auto"/>
                  </w:divBdr>
                  <w:divsChild>
                    <w:div w:id="1158812040">
                      <w:marLeft w:val="0"/>
                      <w:marRight w:val="0"/>
                      <w:marTop w:val="0"/>
                      <w:marBottom w:val="0"/>
                      <w:divBdr>
                        <w:top w:val="none" w:sz="0" w:space="0" w:color="auto"/>
                        <w:left w:val="none" w:sz="0" w:space="0" w:color="auto"/>
                        <w:bottom w:val="none" w:sz="0" w:space="0" w:color="auto"/>
                        <w:right w:val="none" w:sz="0" w:space="0" w:color="auto"/>
                      </w:divBdr>
                    </w:div>
                  </w:divsChild>
                </w:div>
                <w:div w:id="447628027">
                  <w:marLeft w:val="0"/>
                  <w:marRight w:val="0"/>
                  <w:marTop w:val="0"/>
                  <w:marBottom w:val="0"/>
                  <w:divBdr>
                    <w:top w:val="none" w:sz="0" w:space="0" w:color="auto"/>
                    <w:left w:val="none" w:sz="0" w:space="0" w:color="auto"/>
                    <w:bottom w:val="none" w:sz="0" w:space="0" w:color="auto"/>
                    <w:right w:val="none" w:sz="0" w:space="0" w:color="auto"/>
                  </w:divBdr>
                  <w:divsChild>
                    <w:div w:id="1598053209">
                      <w:marLeft w:val="0"/>
                      <w:marRight w:val="0"/>
                      <w:marTop w:val="0"/>
                      <w:marBottom w:val="0"/>
                      <w:divBdr>
                        <w:top w:val="none" w:sz="0" w:space="0" w:color="auto"/>
                        <w:left w:val="none" w:sz="0" w:space="0" w:color="auto"/>
                        <w:bottom w:val="none" w:sz="0" w:space="0" w:color="auto"/>
                        <w:right w:val="none" w:sz="0" w:space="0" w:color="auto"/>
                      </w:divBdr>
                    </w:div>
                  </w:divsChild>
                </w:div>
                <w:div w:id="1177960351">
                  <w:marLeft w:val="0"/>
                  <w:marRight w:val="0"/>
                  <w:marTop w:val="0"/>
                  <w:marBottom w:val="0"/>
                  <w:divBdr>
                    <w:top w:val="none" w:sz="0" w:space="0" w:color="auto"/>
                    <w:left w:val="none" w:sz="0" w:space="0" w:color="auto"/>
                    <w:bottom w:val="none" w:sz="0" w:space="0" w:color="auto"/>
                    <w:right w:val="none" w:sz="0" w:space="0" w:color="auto"/>
                  </w:divBdr>
                  <w:divsChild>
                    <w:div w:id="12072552">
                      <w:marLeft w:val="0"/>
                      <w:marRight w:val="0"/>
                      <w:marTop w:val="0"/>
                      <w:marBottom w:val="0"/>
                      <w:divBdr>
                        <w:top w:val="none" w:sz="0" w:space="0" w:color="auto"/>
                        <w:left w:val="none" w:sz="0" w:space="0" w:color="auto"/>
                        <w:bottom w:val="none" w:sz="0" w:space="0" w:color="auto"/>
                        <w:right w:val="none" w:sz="0" w:space="0" w:color="auto"/>
                      </w:divBdr>
                    </w:div>
                  </w:divsChild>
                </w:div>
                <w:div w:id="1241065028">
                  <w:marLeft w:val="0"/>
                  <w:marRight w:val="0"/>
                  <w:marTop w:val="0"/>
                  <w:marBottom w:val="0"/>
                  <w:divBdr>
                    <w:top w:val="none" w:sz="0" w:space="0" w:color="auto"/>
                    <w:left w:val="none" w:sz="0" w:space="0" w:color="auto"/>
                    <w:bottom w:val="none" w:sz="0" w:space="0" w:color="auto"/>
                    <w:right w:val="none" w:sz="0" w:space="0" w:color="auto"/>
                  </w:divBdr>
                  <w:divsChild>
                    <w:div w:id="1019937387">
                      <w:marLeft w:val="0"/>
                      <w:marRight w:val="0"/>
                      <w:marTop w:val="0"/>
                      <w:marBottom w:val="0"/>
                      <w:divBdr>
                        <w:top w:val="none" w:sz="0" w:space="0" w:color="auto"/>
                        <w:left w:val="none" w:sz="0" w:space="0" w:color="auto"/>
                        <w:bottom w:val="none" w:sz="0" w:space="0" w:color="auto"/>
                        <w:right w:val="none" w:sz="0" w:space="0" w:color="auto"/>
                      </w:divBdr>
                    </w:div>
                  </w:divsChild>
                </w:div>
                <w:div w:id="1264656132">
                  <w:marLeft w:val="0"/>
                  <w:marRight w:val="0"/>
                  <w:marTop w:val="0"/>
                  <w:marBottom w:val="0"/>
                  <w:divBdr>
                    <w:top w:val="none" w:sz="0" w:space="0" w:color="auto"/>
                    <w:left w:val="none" w:sz="0" w:space="0" w:color="auto"/>
                    <w:bottom w:val="none" w:sz="0" w:space="0" w:color="auto"/>
                    <w:right w:val="none" w:sz="0" w:space="0" w:color="auto"/>
                  </w:divBdr>
                  <w:divsChild>
                    <w:div w:id="417485194">
                      <w:marLeft w:val="0"/>
                      <w:marRight w:val="0"/>
                      <w:marTop w:val="0"/>
                      <w:marBottom w:val="0"/>
                      <w:divBdr>
                        <w:top w:val="none" w:sz="0" w:space="0" w:color="auto"/>
                        <w:left w:val="none" w:sz="0" w:space="0" w:color="auto"/>
                        <w:bottom w:val="none" w:sz="0" w:space="0" w:color="auto"/>
                        <w:right w:val="none" w:sz="0" w:space="0" w:color="auto"/>
                      </w:divBdr>
                    </w:div>
                  </w:divsChild>
                </w:div>
                <w:div w:id="1380087186">
                  <w:marLeft w:val="0"/>
                  <w:marRight w:val="0"/>
                  <w:marTop w:val="0"/>
                  <w:marBottom w:val="0"/>
                  <w:divBdr>
                    <w:top w:val="none" w:sz="0" w:space="0" w:color="auto"/>
                    <w:left w:val="none" w:sz="0" w:space="0" w:color="auto"/>
                    <w:bottom w:val="none" w:sz="0" w:space="0" w:color="auto"/>
                    <w:right w:val="none" w:sz="0" w:space="0" w:color="auto"/>
                  </w:divBdr>
                  <w:divsChild>
                    <w:div w:id="687027005">
                      <w:marLeft w:val="0"/>
                      <w:marRight w:val="0"/>
                      <w:marTop w:val="0"/>
                      <w:marBottom w:val="0"/>
                      <w:divBdr>
                        <w:top w:val="none" w:sz="0" w:space="0" w:color="auto"/>
                        <w:left w:val="none" w:sz="0" w:space="0" w:color="auto"/>
                        <w:bottom w:val="none" w:sz="0" w:space="0" w:color="auto"/>
                        <w:right w:val="none" w:sz="0" w:space="0" w:color="auto"/>
                      </w:divBdr>
                    </w:div>
                  </w:divsChild>
                </w:div>
                <w:div w:id="1391346503">
                  <w:marLeft w:val="0"/>
                  <w:marRight w:val="0"/>
                  <w:marTop w:val="0"/>
                  <w:marBottom w:val="0"/>
                  <w:divBdr>
                    <w:top w:val="none" w:sz="0" w:space="0" w:color="auto"/>
                    <w:left w:val="none" w:sz="0" w:space="0" w:color="auto"/>
                    <w:bottom w:val="none" w:sz="0" w:space="0" w:color="auto"/>
                    <w:right w:val="none" w:sz="0" w:space="0" w:color="auto"/>
                  </w:divBdr>
                  <w:divsChild>
                    <w:div w:id="1956711323">
                      <w:marLeft w:val="0"/>
                      <w:marRight w:val="0"/>
                      <w:marTop w:val="0"/>
                      <w:marBottom w:val="0"/>
                      <w:divBdr>
                        <w:top w:val="none" w:sz="0" w:space="0" w:color="auto"/>
                        <w:left w:val="none" w:sz="0" w:space="0" w:color="auto"/>
                        <w:bottom w:val="none" w:sz="0" w:space="0" w:color="auto"/>
                        <w:right w:val="none" w:sz="0" w:space="0" w:color="auto"/>
                      </w:divBdr>
                    </w:div>
                  </w:divsChild>
                </w:div>
                <w:div w:id="1405759069">
                  <w:marLeft w:val="0"/>
                  <w:marRight w:val="0"/>
                  <w:marTop w:val="0"/>
                  <w:marBottom w:val="0"/>
                  <w:divBdr>
                    <w:top w:val="none" w:sz="0" w:space="0" w:color="auto"/>
                    <w:left w:val="none" w:sz="0" w:space="0" w:color="auto"/>
                    <w:bottom w:val="none" w:sz="0" w:space="0" w:color="auto"/>
                    <w:right w:val="none" w:sz="0" w:space="0" w:color="auto"/>
                  </w:divBdr>
                  <w:divsChild>
                    <w:div w:id="362558496">
                      <w:marLeft w:val="0"/>
                      <w:marRight w:val="0"/>
                      <w:marTop w:val="0"/>
                      <w:marBottom w:val="0"/>
                      <w:divBdr>
                        <w:top w:val="none" w:sz="0" w:space="0" w:color="auto"/>
                        <w:left w:val="none" w:sz="0" w:space="0" w:color="auto"/>
                        <w:bottom w:val="none" w:sz="0" w:space="0" w:color="auto"/>
                        <w:right w:val="none" w:sz="0" w:space="0" w:color="auto"/>
                      </w:divBdr>
                    </w:div>
                  </w:divsChild>
                </w:div>
                <w:div w:id="1739328332">
                  <w:marLeft w:val="0"/>
                  <w:marRight w:val="0"/>
                  <w:marTop w:val="0"/>
                  <w:marBottom w:val="0"/>
                  <w:divBdr>
                    <w:top w:val="none" w:sz="0" w:space="0" w:color="auto"/>
                    <w:left w:val="none" w:sz="0" w:space="0" w:color="auto"/>
                    <w:bottom w:val="none" w:sz="0" w:space="0" w:color="auto"/>
                    <w:right w:val="none" w:sz="0" w:space="0" w:color="auto"/>
                  </w:divBdr>
                  <w:divsChild>
                    <w:div w:id="1315722292">
                      <w:marLeft w:val="0"/>
                      <w:marRight w:val="0"/>
                      <w:marTop w:val="0"/>
                      <w:marBottom w:val="0"/>
                      <w:divBdr>
                        <w:top w:val="none" w:sz="0" w:space="0" w:color="auto"/>
                        <w:left w:val="none" w:sz="0" w:space="0" w:color="auto"/>
                        <w:bottom w:val="none" w:sz="0" w:space="0" w:color="auto"/>
                        <w:right w:val="none" w:sz="0" w:space="0" w:color="auto"/>
                      </w:divBdr>
                    </w:div>
                  </w:divsChild>
                </w:div>
                <w:div w:id="1993408805">
                  <w:marLeft w:val="0"/>
                  <w:marRight w:val="0"/>
                  <w:marTop w:val="0"/>
                  <w:marBottom w:val="0"/>
                  <w:divBdr>
                    <w:top w:val="none" w:sz="0" w:space="0" w:color="auto"/>
                    <w:left w:val="none" w:sz="0" w:space="0" w:color="auto"/>
                    <w:bottom w:val="none" w:sz="0" w:space="0" w:color="auto"/>
                    <w:right w:val="none" w:sz="0" w:space="0" w:color="auto"/>
                  </w:divBdr>
                  <w:divsChild>
                    <w:div w:id="1841508829">
                      <w:marLeft w:val="0"/>
                      <w:marRight w:val="0"/>
                      <w:marTop w:val="0"/>
                      <w:marBottom w:val="0"/>
                      <w:divBdr>
                        <w:top w:val="none" w:sz="0" w:space="0" w:color="auto"/>
                        <w:left w:val="none" w:sz="0" w:space="0" w:color="auto"/>
                        <w:bottom w:val="none" w:sz="0" w:space="0" w:color="auto"/>
                        <w:right w:val="none" w:sz="0" w:space="0" w:color="auto"/>
                      </w:divBdr>
                    </w:div>
                  </w:divsChild>
                </w:div>
                <w:div w:id="2002812375">
                  <w:marLeft w:val="0"/>
                  <w:marRight w:val="0"/>
                  <w:marTop w:val="0"/>
                  <w:marBottom w:val="0"/>
                  <w:divBdr>
                    <w:top w:val="none" w:sz="0" w:space="0" w:color="auto"/>
                    <w:left w:val="none" w:sz="0" w:space="0" w:color="auto"/>
                    <w:bottom w:val="none" w:sz="0" w:space="0" w:color="auto"/>
                    <w:right w:val="none" w:sz="0" w:space="0" w:color="auto"/>
                  </w:divBdr>
                  <w:divsChild>
                    <w:div w:id="200678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75467">
          <w:marLeft w:val="0"/>
          <w:marRight w:val="0"/>
          <w:marTop w:val="0"/>
          <w:marBottom w:val="0"/>
          <w:divBdr>
            <w:top w:val="none" w:sz="0" w:space="0" w:color="auto"/>
            <w:left w:val="none" w:sz="0" w:space="0" w:color="auto"/>
            <w:bottom w:val="none" w:sz="0" w:space="0" w:color="auto"/>
            <w:right w:val="none" w:sz="0" w:space="0" w:color="auto"/>
          </w:divBdr>
          <w:divsChild>
            <w:div w:id="593586689">
              <w:marLeft w:val="-75"/>
              <w:marRight w:val="0"/>
              <w:marTop w:val="30"/>
              <w:marBottom w:val="30"/>
              <w:divBdr>
                <w:top w:val="none" w:sz="0" w:space="0" w:color="auto"/>
                <w:left w:val="none" w:sz="0" w:space="0" w:color="auto"/>
                <w:bottom w:val="none" w:sz="0" w:space="0" w:color="auto"/>
                <w:right w:val="none" w:sz="0" w:space="0" w:color="auto"/>
              </w:divBdr>
              <w:divsChild>
                <w:div w:id="346641626">
                  <w:marLeft w:val="0"/>
                  <w:marRight w:val="0"/>
                  <w:marTop w:val="0"/>
                  <w:marBottom w:val="0"/>
                  <w:divBdr>
                    <w:top w:val="none" w:sz="0" w:space="0" w:color="auto"/>
                    <w:left w:val="none" w:sz="0" w:space="0" w:color="auto"/>
                    <w:bottom w:val="none" w:sz="0" w:space="0" w:color="auto"/>
                    <w:right w:val="none" w:sz="0" w:space="0" w:color="auto"/>
                  </w:divBdr>
                  <w:divsChild>
                    <w:div w:id="1908880688">
                      <w:marLeft w:val="0"/>
                      <w:marRight w:val="0"/>
                      <w:marTop w:val="0"/>
                      <w:marBottom w:val="0"/>
                      <w:divBdr>
                        <w:top w:val="none" w:sz="0" w:space="0" w:color="auto"/>
                        <w:left w:val="none" w:sz="0" w:space="0" w:color="auto"/>
                        <w:bottom w:val="none" w:sz="0" w:space="0" w:color="auto"/>
                        <w:right w:val="none" w:sz="0" w:space="0" w:color="auto"/>
                      </w:divBdr>
                    </w:div>
                  </w:divsChild>
                </w:div>
                <w:div w:id="359402054">
                  <w:marLeft w:val="0"/>
                  <w:marRight w:val="0"/>
                  <w:marTop w:val="0"/>
                  <w:marBottom w:val="0"/>
                  <w:divBdr>
                    <w:top w:val="none" w:sz="0" w:space="0" w:color="auto"/>
                    <w:left w:val="none" w:sz="0" w:space="0" w:color="auto"/>
                    <w:bottom w:val="none" w:sz="0" w:space="0" w:color="auto"/>
                    <w:right w:val="none" w:sz="0" w:space="0" w:color="auto"/>
                  </w:divBdr>
                  <w:divsChild>
                    <w:div w:id="1949922970">
                      <w:marLeft w:val="0"/>
                      <w:marRight w:val="0"/>
                      <w:marTop w:val="0"/>
                      <w:marBottom w:val="0"/>
                      <w:divBdr>
                        <w:top w:val="none" w:sz="0" w:space="0" w:color="auto"/>
                        <w:left w:val="none" w:sz="0" w:space="0" w:color="auto"/>
                        <w:bottom w:val="none" w:sz="0" w:space="0" w:color="auto"/>
                        <w:right w:val="none" w:sz="0" w:space="0" w:color="auto"/>
                      </w:divBdr>
                    </w:div>
                  </w:divsChild>
                </w:div>
                <w:div w:id="830415284">
                  <w:marLeft w:val="0"/>
                  <w:marRight w:val="0"/>
                  <w:marTop w:val="0"/>
                  <w:marBottom w:val="0"/>
                  <w:divBdr>
                    <w:top w:val="none" w:sz="0" w:space="0" w:color="auto"/>
                    <w:left w:val="none" w:sz="0" w:space="0" w:color="auto"/>
                    <w:bottom w:val="none" w:sz="0" w:space="0" w:color="auto"/>
                    <w:right w:val="none" w:sz="0" w:space="0" w:color="auto"/>
                  </w:divBdr>
                  <w:divsChild>
                    <w:div w:id="376274260">
                      <w:marLeft w:val="0"/>
                      <w:marRight w:val="0"/>
                      <w:marTop w:val="0"/>
                      <w:marBottom w:val="0"/>
                      <w:divBdr>
                        <w:top w:val="none" w:sz="0" w:space="0" w:color="auto"/>
                        <w:left w:val="none" w:sz="0" w:space="0" w:color="auto"/>
                        <w:bottom w:val="none" w:sz="0" w:space="0" w:color="auto"/>
                        <w:right w:val="none" w:sz="0" w:space="0" w:color="auto"/>
                      </w:divBdr>
                    </w:div>
                  </w:divsChild>
                </w:div>
                <w:div w:id="880287838">
                  <w:marLeft w:val="0"/>
                  <w:marRight w:val="0"/>
                  <w:marTop w:val="0"/>
                  <w:marBottom w:val="0"/>
                  <w:divBdr>
                    <w:top w:val="none" w:sz="0" w:space="0" w:color="auto"/>
                    <w:left w:val="none" w:sz="0" w:space="0" w:color="auto"/>
                    <w:bottom w:val="none" w:sz="0" w:space="0" w:color="auto"/>
                    <w:right w:val="none" w:sz="0" w:space="0" w:color="auto"/>
                  </w:divBdr>
                  <w:divsChild>
                    <w:div w:id="818379082">
                      <w:marLeft w:val="0"/>
                      <w:marRight w:val="0"/>
                      <w:marTop w:val="0"/>
                      <w:marBottom w:val="0"/>
                      <w:divBdr>
                        <w:top w:val="none" w:sz="0" w:space="0" w:color="auto"/>
                        <w:left w:val="none" w:sz="0" w:space="0" w:color="auto"/>
                        <w:bottom w:val="none" w:sz="0" w:space="0" w:color="auto"/>
                        <w:right w:val="none" w:sz="0" w:space="0" w:color="auto"/>
                      </w:divBdr>
                    </w:div>
                  </w:divsChild>
                </w:div>
                <w:div w:id="1441758234">
                  <w:marLeft w:val="0"/>
                  <w:marRight w:val="0"/>
                  <w:marTop w:val="0"/>
                  <w:marBottom w:val="0"/>
                  <w:divBdr>
                    <w:top w:val="none" w:sz="0" w:space="0" w:color="auto"/>
                    <w:left w:val="none" w:sz="0" w:space="0" w:color="auto"/>
                    <w:bottom w:val="none" w:sz="0" w:space="0" w:color="auto"/>
                    <w:right w:val="none" w:sz="0" w:space="0" w:color="auto"/>
                  </w:divBdr>
                  <w:divsChild>
                    <w:div w:id="115610504">
                      <w:marLeft w:val="0"/>
                      <w:marRight w:val="0"/>
                      <w:marTop w:val="0"/>
                      <w:marBottom w:val="0"/>
                      <w:divBdr>
                        <w:top w:val="none" w:sz="0" w:space="0" w:color="auto"/>
                        <w:left w:val="none" w:sz="0" w:space="0" w:color="auto"/>
                        <w:bottom w:val="none" w:sz="0" w:space="0" w:color="auto"/>
                        <w:right w:val="none" w:sz="0" w:space="0" w:color="auto"/>
                      </w:divBdr>
                    </w:div>
                  </w:divsChild>
                </w:div>
                <w:div w:id="1542936195">
                  <w:marLeft w:val="0"/>
                  <w:marRight w:val="0"/>
                  <w:marTop w:val="0"/>
                  <w:marBottom w:val="0"/>
                  <w:divBdr>
                    <w:top w:val="none" w:sz="0" w:space="0" w:color="auto"/>
                    <w:left w:val="none" w:sz="0" w:space="0" w:color="auto"/>
                    <w:bottom w:val="none" w:sz="0" w:space="0" w:color="auto"/>
                    <w:right w:val="none" w:sz="0" w:space="0" w:color="auto"/>
                  </w:divBdr>
                  <w:divsChild>
                    <w:div w:id="714505767">
                      <w:marLeft w:val="0"/>
                      <w:marRight w:val="0"/>
                      <w:marTop w:val="0"/>
                      <w:marBottom w:val="0"/>
                      <w:divBdr>
                        <w:top w:val="none" w:sz="0" w:space="0" w:color="auto"/>
                        <w:left w:val="none" w:sz="0" w:space="0" w:color="auto"/>
                        <w:bottom w:val="none" w:sz="0" w:space="0" w:color="auto"/>
                        <w:right w:val="none" w:sz="0" w:space="0" w:color="auto"/>
                      </w:divBdr>
                    </w:div>
                  </w:divsChild>
                </w:div>
                <w:div w:id="1774325117">
                  <w:marLeft w:val="0"/>
                  <w:marRight w:val="0"/>
                  <w:marTop w:val="0"/>
                  <w:marBottom w:val="0"/>
                  <w:divBdr>
                    <w:top w:val="none" w:sz="0" w:space="0" w:color="auto"/>
                    <w:left w:val="none" w:sz="0" w:space="0" w:color="auto"/>
                    <w:bottom w:val="none" w:sz="0" w:space="0" w:color="auto"/>
                    <w:right w:val="none" w:sz="0" w:space="0" w:color="auto"/>
                  </w:divBdr>
                  <w:divsChild>
                    <w:div w:id="11801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768253">
          <w:marLeft w:val="0"/>
          <w:marRight w:val="0"/>
          <w:marTop w:val="0"/>
          <w:marBottom w:val="0"/>
          <w:divBdr>
            <w:top w:val="none" w:sz="0" w:space="0" w:color="auto"/>
            <w:left w:val="none" w:sz="0" w:space="0" w:color="auto"/>
            <w:bottom w:val="none" w:sz="0" w:space="0" w:color="auto"/>
            <w:right w:val="none" w:sz="0" w:space="0" w:color="auto"/>
          </w:divBdr>
          <w:divsChild>
            <w:div w:id="285696461">
              <w:marLeft w:val="0"/>
              <w:marRight w:val="0"/>
              <w:marTop w:val="0"/>
              <w:marBottom w:val="0"/>
              <w:divBdr>
                <w:top w:val="none" w:sz="0" w:space="0" w:color="auto"/>
                <w:left w:val="none" w:sz="0" w:space="0" w:color="auto"/>
                <w:bottom w:val="none" w:sz="0" w:space="0" w:color="auto"/>
                <w:right w:val="none" w:sz="0" w:space="0" w:color="auto"/>
              </w:divBdr>
            </w:div>
            <w:div w:id="365300466">
              <w:marLeft w:val="0"/>
              <w:marRight w:val="0"/>
              <w:marTop w:val="0"/>
              <w:marBottom w:val="0"/>
              <w:divBdr>
                <w:top w:val="none" w:sz="0" w:space="0" w:color="auto"/>
                <w:left w:val="none" w:sz="0" w:space="0" w:color="auto"/>
                <w:bottom w:val="none" w:sz="0" w:space="0" w:color="auto"/>
                <w:right w:val="none" w:sz="0" w:space="0" w:color="auto"/>
              </w:divBdr>
            </w:div>
            <w:div w:id="369187357">
              <w:marLeft w:val="0"/>
              <w:marRight w:val="0"/>
              <w:marTop w:val="0"/>
              <w:marBottom w:val="0"/>
              <w:divBdr>
                <w:top w:val="none" w:sz="0" w:space="0" w:color="auto"/>
                <w:left w:val="none" w:sz="0" w:space="0" w:color="auto"/>
                <w:bottom w:val="none" w:sz="0" w:space="0" w:color="auto"/>
                <w:right w:val="none" w:sz="0" w:space="0" w:color="auto"/>
              </w:divBdr>
            </w:div>
            <w:div w:id="696932638">
              <w:marLeft w:val="0"/>
              <w:marRight w:val="0"/>
              <w:marTop w:val="0"/>
              <w:marBottom w:val="0"/>
              <w:divBdr>
                <w:top w:val="none" w:sz="0" w:space="0" w:color="auto"/>
                <w:left w:val="none" w:sz="0" w:space="0" w:color="auto"/>
                <w:bottom w:val="none" w:sz="0" w:space="0" w:color="auto"/>
                <w:right w:val="none" w:sz="0" w:space="0" w:color="auto"/>
              </w:divBdr>
            </w:div>
            <w:div w:id="805271189">
              <w:marLeft w:val="0"/>
              <w:marRight w:val="0"/>
              <w:marTop w:val="0"/>
              <w:marBottom w:val="0"/>
              <w:divBdr>
                <w:top w:val="none" w:sz="0" w:space="0" w:color="auto"/>
                <w:left w:val="none" w:sz="0" w:space="0" w:color="auto"/>
                <w:bottom w:val="none" w:sz="0" w:space="0" w:color="auto"/>
                <w:right w:val="none" w:sz="0" w:space="0" w:color="auto"/>
              </w:divBdr>
            </w:div>
            <w:div w:id="1232886760">
              <w:marLeft w:val="0"/>
              <w:marRight w:val="0"/>
              <w:marTop w:val="0"/>
              <w:marBottom w:val="0"/>
              <w:divBdr>
                <w:top w:val="none" w:sz="0" w:space="0" w:color="auto"/>
                <w:left w:val="none" w:sz="0" w:space="0" w:color="auto"/>
                <w:bottom w:val="none" w:sz="0" w:space="0" w:color="auto"/>
                <w:right w:val="none" w:sz="0" w:space="0" w:color="auto"/>
              </w:divBdr>
            </w:div>
            <w:div w:id="1349792482">
              <w:marLeft w:val="0"/>
              <w:marRight w:val="0"/>
              <w:marTop w:val="0"/>
              <w:marBottom w:val="0"/>
              <w:divBdr>
                <w:top w:val="none" w:sz="0" w:space="0" w:color="auto"/>
                <w:left w:val="none" w:sz="0" w:space="0" w:color="auto"/>
                <w:bottom w:val="none" w:sz="0" w:space="0" w:color="auto"/>
                <w:right w:val="none" w:sz="0" w:space="0" w:color="auto"/>
              </w:divBdr>
            </w:div>
            <w:div w:id="1724987113">
              <w:marLeft w:val="0"/>
              <w:marRight w:val="0"/>
              <w:marTop w:val="0"/>
              <w:marBottom w:val="0"/>
              <w:divBdr>
                <w:top w:val="none" w:sz="0" w:space="0" w:color="auto"/>
                <w:left w:val="none" w:sz="0" w:space="0" w:color="auto"/>
                <w:bottom w:val="none" w:sz="0" w:space="0" w:color="auto"/>
                <w:right w:val="none" w:sz="0" w:space="0" w:color="auto"/>
              </w:divBdr>
            </w:div>
            <w:div w:id="1875380312">
              <w:marLeft w:val="0"/>
              <w:marRight w:val="0"/>
              <w:marTop w:val="0"/>
              <w:marBottom w:val="0"/>
              <w:divBdr>
                <w:top w:val="none" w:sz="0" w:space="0" w:color="auto"/>
                <w:left w:val="none" w:sz="0" w:space="0" w:color="auto"/>
                <w:bottom w:val="none" w:sz="0" w:space="0" w:color="auto"/>
                <w:right w:val="none" w:sz="0" w:space="0" w:color="auto"/>
              </w:divBdr>
            </w:div>
            <w:div w:id="1907951554">
              <w:marLeft w:val="0"/>
              <w:marRight w:val="0"/>
              <w:marTop w:val="0"/>
              <w:marBottom w:val="0"/>
              <w:divBdr>
                <w:top w:val="none" w:sz="0" w:space="0" w:color="auto"/>
                <w:left w:val="none" w:sz="0" w:space="0" w:color="auto"/>
                <w:bottom w:val="none" w:sz="0" w:space="0" w:color="auto"/>
                <w:right w:val="none" w:sz="0" w:space="0" w:color="auto"/>
              </w:divBdr>
            </w:div>
            <w:div w:id="1972007314">
              <w:marLeft w:val="0"/>
              <w:marRight w:val="0"/>
              <w:marTop w:val="0"/>
              <w:marBottom w:val="0"/>
              <w:divBdr>
                <w:top w:val="none" w:sz="0" w:space="0" w:color="auto"/>
                <w:left w:val="none" w:sz="0" w:space="0" w:color="auto"/>
                <w:bottom w:val="none" w:sz="0" w:space="0" w:color="auto"/>
                <w:right w:val="none" w:sz="0" w:space="0" w:color="auto"/>
              </w:divBdr>
            </w:div>
          </w:divsChild>
        </w:div>
        <w:div w:id="1403412824">
          <w:marLeft w:val="0"/>
          <w:marRight w:val="0"/>
          <w:marTop w:val="0"/>
          <w:marBottom w:val="0"/>
          <w:divBdr>
            <w:top w:val="none" w:sz="0" w:space="0" w:color="auto"/>
            <w:left w:val="none" w:sz="0" w:space="0" w:color="auto"/>
            <w:bottom w:val="none" w:sz="0" w:space="0" w:color="auto"/>
            <w:right w:val="none" w:sz="0" w:space="0" w:color="auto"/>
          </w:divBdr>
          <w:divsChild>
            <w:div w:id="263996799">
              <w:marLeft w:val="0"/>
              <w:marRight w:val="0"/>
              <w:marTop w:val="0"/>
              <w:marBottom w:val="0"/>
              <w:divBdr>
                <w:top w:val="none" w:sz="0" w:space="0" w:color="auto"/>
                <w:left w:val="none" w:sz="0" w:space="0" w:color="auto"/>
                <w:bottom w:val="none" w:sz="0" w:space="0" w:color="auto"/>
                <w:right w:val="none" w:sz="0" w:space="0" w:color="auto"/>
              </w:divBdr>
            </w:div>
            <w:div w:id="478117318">
              <w:marLeft w:val="0"/>
              <w:marRight w:val="0"/>
              <w:marTop w:val="0"/>
              <w:marBottom w:val="0"/>
              <w:divBdr>
                <w:top w:val="none" w:sz="0" w:space="0" w:color="auto"/>
                <w:left w:val="none" w:sz="0" w:space="0" w:color="auto"/>
                <w:bottom w:val="none" w:sz="0" w:space="0" w:color="auto"/>
                <w:right w:val="none" w:sz="0" w:space="0" w:color="auto"/>
              </w:divBdr>
            </w:div>
            <w:div w:id="666637854">
              <w:marLeft w:val="0"/>
              <w:marRight w:val="0"/>
              <w:marTop w:val="0"/>
              <w:marBottom w:val="0"/>
              <w:divBdr>
                <w:top w:val="none" w:sz="0" w:space="0" w:color="auto"/>
                <w:left w:val="none" w:sz="0" w:space="0" w:color="auto"/>
                <w:bottom w:val="none" w:sz="0" w:space="0" w:color="auto"/>
                <w:right w:val="none" w:sz="0" w:space="0" w:color="auto"/>
              </w:divBdr>
            </w:div>
            <w:div w:id="978194272">
              <w:marLeft w:val="0"/>
              <w:marRight w:val="0"/>
              <w:marTop w:val="0"/>
              <w:marBottom w:val="0"/>
              <w:divBdr>
                <w:top w:val="none" w:sz="0" w:space="0" w:color="auto"/>
                <w:left w:val="none" w:sz="0" w:space="0" w:color="auto"/>
                <w:bottom w:val="none" w:sz="0" w:space="0" w:color="auto"/>
                <w:right w:val="none" w:sz="0" w:space="0" w:color="auto"/>
              </w:divBdr>
            </w:div>
            <w:div w:id="1452745030">
              <w:marLeft w:val="0"/>
              <w:marRight w:val="0"/>
              <w:marTop w:val="0"/>
              <w:marBottom w:val="0"/>
              <w:divBdr>
                <w:top w:val="none" w:sz="0" w:space="0" w:color="auto"/>
                <w:left w:val="none" w:sz="0" w:space="0" w:color="auto"/>
                <w:bottom w:val="none" w:sz="0" w:space="0" w:color="auto"/>
                <w:right w:val="none" w:sz="0" w:space="0" w:color="auto"/>
              </w:divBdr>
            </w:div>
            <w:div w:id="1659652140">
              <w:marLeft w:val="0"/>
              <w:marRight w:val="0"/>
              <w:marTop w:val="0"/>
              <w:marBottom w:val="0"/>
              <w:divBdr>
                <w:top w:val="none" w:sz="0" w:space="0" w:color="auto"/>
                <w:left w:val="none" w:sz="0" w:space="0" w:color="auto"/>
                <w:bottom w:val="none" w:sz="0" w:space="0" w:color="auto"/>
                <w:right w:val="none" w:sz="0" w:space="0" w:color="auto"/>
              </w:divBdr>
            </w:div>
            <w:div w:id="1932228635">
              <w:marLeft w:val="0"/>
              <w:marRight w:val="0"/>
              <w:marTop w:val="0"/>
              <w:marBottom w:val="0"/>
              <w:divBdr>
                <w:top w:val="none" w:sz="0" w:space="0" w:color="auto"/>
                <w:left w:val="none" w:sz="0" w:space="0" w:color="auto"/>
                <w:bottom w:val="none" w:sz="0" w:space="0" w:color="auto"/>
                <w:right w:val="none" w:sz="0" w:space="0" w:color="auto"/>
              </w:divBdr>
            </w:div>
          </w:divsChild>
        </w:div>
        <w:div w:id="1410618881">
          <w:marLeft w:val="0"/>
          <w:marRight w:val="0"/>
          <w:marTop w:val="0"/>
          <w:marBottom w:val="0"/>
          <w:divBdr>
            <w:top w:val="none" w:sz="0" w:space="0" w:color="auto"/>
            <w:left w:val="none" w:sz="0" w:space="0" w:color="auto"/>
            <w:bottom w:val="none" w:sz="0" w:space="0" w:color="auto"/>
            <w:right w:val="none" w:sz="0" w:space="0" w:color="auto"/>
          </w:divBdr>
        </w:div>
        <w:div w:id="1413356296">
          <w:marLeft w:val="0"/>
          <w:marRight w:val="0"/>
          <w:marTop w:val="0"/>
          <w:marBottom w:val="0"/>
          <w:divBdr>
            <w:top w:val="none" w:sz="0" w:space="0" w:color="auto"/>
            <w:left w:val="none" w:sz="0" w:space="0" w:color="auto"/>
            <w:bottom w:val="none" w:sz="0" w:space="0" w:color="auto"/>
            <w:right w:val="none" w:sz="0" w:space="0" w:color="auto"/>
          </w:divBdr>
        </w:div>
        <w:div w:id="1418744035">
          <w:marLeft w:val="0"/>
          <w:marRight w:val="0"/>
          <w:marTop w:val="0"/>
          <w:marBottom w:val="0"/>
          <w:divBdr>
            <w:top w:val="none" w:sz="0" w:space="0" w:color="auto"/>
            <w:left w:val="none" w:sz="0" w:space="0" w:color="auto"/>
            <w:bottom w:val="none" w:sz="0" w:space="0" w:color="auto"/>
            <w:right w:val="none" w:sz="0" w:space="0" w:color="auto"/>
          </w:divBdr>
        </w:div>
        <w:div w:id="1420566416">
          <w:marLeft w:val="0"/>
          <w:marRight w:val="0"/>
          <w:marTop w:val="0"/>
          <w:marBottom w:val="0"/>
          <w:divBdr>
            <w:top w:val="none" w:sz="0" w:space="0" w:color="auto"/>
            <w:left w:val="none" w:sz="0" w:space="0" w:color="auto"/>
            <w:bottom w:val="none" w:sz="0" w:space="0" w:color="auto"/>
            <w:right w:val="none" w:sz="0" w:space="0" w:color="auto"/>
          </w:divBdr>
        </w:div>
        <w:div w:id="1425685674">
          <w:marLeft w:val="0"/>
          <w:marRight w:val="0"/>
          <w:marTop w:val="0"/>
          <w:marBottom w:val="0"/>
          <w:divBdr>
            <w:top w:val="none" w:sz="0" w:space="0" w:color="auto"/>
            <w:left w:val="none" w:sz="0" w:space="0" w:color="auto"/>
            <w:bottom w:val="none" w:sz="0" w:space="0" w:color="auto"/>
            <w:right w:val="none" w:sz="0" w:space="0" w:color="auto"/>
          </w:divBdr>
          <w:divsChild>
            <w:div w:id="2121948245">
              <w:marLeft w:val="-75"/>
              <w:marRight w:val="0"/>
              <w:marTop w:val="30"/>
              <w:marBottom w:val="30"/>
              <w:divBdr>
                <w:top w:val="none" w:sz="0" w:space="0" w:color="auto"/>
                <w:left w:val="none" w:sz="0" w:space="0" w:color="auto"/>
                <w:bottom w:val="none" w:sz="0" w:space="0" w:color="auto"/>
                <w:right w:val="none" w:sz="0" w:space="0" w:color="auto"/>
              </w:divBdr>
              <w:divsChild>
                <w:div w:id="29184565">
                  <w:marLeft w:val="0"/>
                  <w:marRight w:val="0"/>
                  <w:marTop w:val="0"/>
                  <w:marBottom w:val="0"/>
                  <w:divBdr>
                    <w:top w:val="none" w:sz="0" w:space="0" w:color="auto"/>
                    <w:left w:val="none" w:sz="0" w:space="0" w:color="auto"/>
                    <w:bottom w:val="none" w:sz="0" w:space="0" w:color="auto"/>
                    <w:right w:val="none" w:sz="0" w:space="0" w:color="auto"/>
                  </w:divBdr>
                  <w:divsChild>
                    <w:div w:id="1867670131">
                      <w:marLeft w:val="0"/>
                      <w:marRight w:val="0"/>
                      <w:marTop w:val="0"/>
                      <w:marBottom w:val="0"/>
                      <w:divBdr>
                        <w:top w:val="none" w:sz="0" w:space="0" w:color="auto"/>
                        <w:left w:val="none" w:sz="0" w:space="0" w:color="auto"/>
                        <w:bottom w:val="none" w:sz="0" w:space="0" w:color="auto"/>
                        <w:right w:val="none" w:sz="0" w:space="0" w:color="auto"/>
                      </w:divBdr>
                    </w:div>
                  </w:divsChild>
                </w:div>
                <w:div w:id="37169656">
                  <w:marLeft w:val="0"/>
                  <w:marRight w:val="0"/>
                  <w:marTop w:val="0"/>
                  <w:marBottom w:val="0"/>
                  <w:divBdr>
                    <w:top w:val="none" w:sz="0" w:space="0" w:color="auto"/>
                    <w:left w:val="none" w:sz="0" w:space="0" w:color="auto"/>
                    <w:bottom w:val="none" w:sz="0" w:space="0" w:color="auto"/>
                    <w:right w:val="none" w:sz="0" w:space="0" w:color="auto"/>
                  </w:divBdr>
                  <w:divsChild>
                    <w:div w:id="1060976113">
                      <w:marLeft w:val="0"/>
                      <w:marRight w:val="0"/>
                      <w:marTop w:val="0"/>
                      <w:marBottom w:val="0"/>
                      <w:divBdr>
                        <w:top w:val="none" w:sz="0" w:space="0" w:color="auto"/>
                        <w:left w:val="none" w:sz="0" w:space="0" w:color="auto"/>
                        <w:bottom w:val="none" w:sz="0" w:space="0" w:color="auto"/>
                        <w:right w:val="none" w:sz="0" w:space="0" w:color="auto"/>
                      </w:divBdr>
                    </w:div>
                  </w:divsChild>
                </w:div>
                <w:div w:id="50545076">
                  <w:marLeft w:val="0"/>
                  <w:marRight w:val="0"/>
                  <w:marTop w:val="0"/>
                  <w:marBottom w:val="0"/>
                  <w:divBdr>
                    <w:top w:val="none" w:sz="0" w:space="0" w:color="auto"/>
                    <w:left w:val="none" w:sz="0" w:space="0" w:color="auto"/>
                    <w:bottom w:val="none" w:sz="0" w:space="0" w:color="auto"/>
                    <w:right w:val="none" w:sz="0" w:space="0" w:color="auto"/>
                  </w:divBdr>
                  <w:divsChild>
                    <w:div w:id="1228764392">
                      <w:marLeft w:val="0"/>
                      <w:marRight w:val="0"/>
                      <w:marTop w:val="0"/>
                      <w:marBottom w:val="0"/>
                      <w:divBdr>
                        <w:top w:val="none" w:sz="0" w:space="0" w:color="auto"/>
                        <w:left w:val="none" w:sz="0" w:space="0" w:color="auto"/>
                        <w:bottom w:val="none" w:sz="0" w:space="0" w:color="auto"/>
                        <w:right w:val="none" w:sz="0" w:space="0" w:color="auto"/>
                      </w:divBdr>
                    </w:div>
                  </w:divsChild>
                </w:div>
                <w:div w:id="76482622">
                  <w:marLeft w:val="0"/>
                  <w:marRight w:val="0"/>
                  <w:marTop w:val="0"/>
                  <w:marBottom w:val="0"/>
                  <w:divBdr>
                    <w:top w:val="none" w:sz="0" w:space="0" w:color="auto"/>
                    <w:left w:val="none" w:sz="0" w:space="0" w:color="auto"/>
                    <w:bottom w:val="none" w:sz="0" w:space="0" w:color="auto"/>
                    <w:right w:val="none" w:sz="0" w:space="0" w:color="auto"/>
                  </w:divBdr>
                  <w:divsChild>
                    <w:div w:id="897403578">
                      <w:marLeft w:val="0"/>
                      <w:marRight w:val="0"/>
                      <w:marTop w:val="0"/>
                      <w:marBottom w:val="0"/>
                      <w:divBdr>
                        <w:top w:val="none" w:sz="0" w:space="0" w:color="auto"/>
                        <w:left w:val="none" w:sz="0" w:space="0" w:color="auto"/>
                        <w:bottom w:val="none" w:sz="0" w:space="0" w:color="auto"/>
                        <w:right w:val="none" w:sz="0" w:space="0" w:color="auto"/>
                      </w:divBdr>
                    </w:div>
                    <w:div w:id="1477334669">
                      <w:marLeft w:val="0"/>
                      <w:marRight w:val="0"/>
                      <w:marTop w:val="0"/>
                      <w:marBottom w:val="0"/>
                      <w:divBdr>
                        <w:top w:val="none" w:sz="0" w:space="0" w:color="auto"/>
                        <w:left w:val="none" w:sz="0" w:space="0" w:color="auto"/>
                        <w:bottom w:val="none" w:sz="0" w:space="0" w:color="auto"/>
                        <w:right w:val="none" w:sz="0" w:space="0" w:color="auto"/>
                      </w:divBdr>
                    </w:div>
                  </w:divsChild>
                </w:div>
                <w:div w:id="287664151">
                  <w:marLeft w:val="0"/>
                  <w:marRight w:val="0"/>
                  <w:marTop w:val="0"/>
                  <w:marBottom w:val="0"/>
                  <w:divBdr>
                    <w:top w:val="none" w:sz="0" w:space="0" w:color="auto"/>
                    <w:left w:val="none" w:sz="0" w:space="0" w:color="auto"/>
                    <w:bottom w:val="none" w:sz="0" w:space="0" w:color="auto"/>
                    <w:right w:val="none" w:sz="0" w:space="0" w:color="auto"/>
                  </w:divBdr>
                  <w:divsChild>
                    <w:div w:id="838542045">
                      <w:marLeft w:val="0"/>
                      <w:marRight w:val="0"/>
                      <w:marTop w:val="0"/>
                      <w:marBottom w:val="0"/>
                      <w:divBdr>
                        <w:top w:val="none" w:sz="0" w:space="0" w:color="auto"/>
                        <w:left w:val="none" w:sz="0" w:space="0" w:color="auto"/>
                        <w:bottom w:val="none" w:sz="0" w:space="0" w:color="auto"/>
                        <w:right w:val="none" w:sz="0" w:space="0" w:color="auto"/>
                      </w:divBdr>
                    </w:div>
                  </w:divsChild>
                </w:div>
                <w:div w:id="312150552">
                  <w:marLeft w:val="0"/>
                  <w:marRight w:val="0"/>
                  <w:marTop w:val="0"/>
                  <w:marBottom w:val="0"/>
                  <w:divBdr>
                    <w:top w:val="none" w:sz="0" w:space="0" w:color="auto"/>
                    <w:left w:val="none" w:sz="0" w:space="0" w:color="auto"/>
                    <w:bottom w:val="none" w:sz="0" w:space="0" w:color="auto"/>
                    <w:right w:val="none" w:sz="0" w:space="0" w:color="auto"/>
                  </w:divBdr>
                  <w:divsChild>
                    <w:div w:id="818813030">
                      <w:marLeft w:val="0"/>
                      <w:marRight w:val="0"/>
                      <w:marTop w:val="0"/>
                      <w:marBottom w:val="0"/>
                      <w:divBdr>
                        <w:top w:val="none" w:sz="0" w:space="0" w:color="auto"/>
                        <w:left w:val="none" w:sz="0" w:space="0" w:color="auto"/>
                        <w:bottom w:val="none" w:sz="0" w:space="0" w:color="auto"/>
                        <w:right w:val="none" w:sz="0" w:space="0" w:color="auto"/>
                      </w:divBdr>
                    </w:div>
                  </w:divsChild>
                </w:div>
                <w:div w:id="589587393">
                  <w:marLeft w:val="0"/>
                  <w:marRight w:val="0"/>
                  <w:marTop w:val="0"/>
                  <w:marBottom w:val="0"/>
                  <w:divBdr>
                    <w:top w:val="none" w:sz="0" w:space="0" w:color="auto"/>
                    <w:left w:val="none" w:sz="0" w:space="0" w:color="auto"/>
                    <w:bottom w:val="none" w:sz="0" w:space="0" w:color="auto"/>
                    <w:right w:val="none" w:sz="0" w:space="0" w:color="auto"/>
                  </w:divBdr>
                  <w:divsChild>
                    <w:div w:id="1776975134">
                      <w:marLeft w:val="0"/>
                      <w:marRight w:val="0"/>
                      <w:marTop w:val="0"/>
                      <w:marBottom w:val="0"/>
                      <w:divBdr>
                        <w:top w:val="none" w:sz="0" w:space="0" w:color="auto"/>
                        <w:left w:val="none" w:sz="0" w:space="0" w:color="auto"/>
                        <w:bottom w:val="none" w:sz="0" w:space="0" w:color="auto"/>
                        <w:right w:val="none" w:sz="0" w:space="0" w:color="auto"/>
                      </w:divBdr>
                    </w:div>
                  </w:divsChild>
                </w:div>
                <w:div w:id="605237261">
                  <w:marLeft w:val="0"/>
                  <w:marRight w:val="0"/>
                  <w:marTop w:val="0"/>
                  <w:marBottom w:val="0"/>
                  <w:divBdr>
                    <w:top w:val="none" w:sz="0" w:space="0" w:color="auto"/>
                    <w:left w:val="none" w:sz="0" w:space="0" w:color="auto"/>
                    <w:bottom w:val="none" w:sz="0" w:space="0" w:color="auto"/>
                    <w:right w:val="none" w:sz="0" w:space="0" w:color="auto"/>
                  </w:divBdr>
                  <w:divsChild>
                    <w:div w:id="1732267725">
                      <w:marLeft w:val="0"/>
                      <w:marRight w:val="0"/>
                      <w:marTop w:val="0"/>
                      <w:marBottom w:val="0"/>
                      <w:divBdr>
                        <w:top w:val="none" w:sz="0" w:space="0" w:color="auto"/>
                        <w:left w:val="none" w:sz="0" w:space="0" w:color="auto"/>
                        <w:bottom w:val="none" w:sz="0" w:space="0" w:color="auto"/>
                        <w:right w:val="none" w:sz="0" w:space="0" w:color="auto"/>
                      </w:divBdr>
                    </w:div>
                  </w:divsChild>
                </w:div>
                <w:div w:id="832138691">
                  <w:marLeft w:val="0"/>
                  <w:marRight w:val="0"/>
                  <w:marTop w:val="0"/>
                  <w:marBottom w:val="0"/>
                  <w:divBdr>
                    <w:top w:val="none" w:sz="0" w:space="0" w:color="auto"/>
                    <w:left w:val="none" w:sz="0" w:space="0" w:color="auto"/>
                    <w:bottom w:val="none" w:sz="0" w:space="0" w:color="auto"/>
                    <w:right w:val="none" w:sz="0" w:space="0" w:color="auto"/>
                  </w:divBdr>
                  <w:divsChild>
                    <w:div w:id="2048404754">
                      <w:marLeft w:val="0"/>
                      <w:marRight w:val="0"/>
                      <w:marTop w:val="0"/>
                      <w:marBottom w:val="0"/>
                      <w:divBdr>
                        <w:top w:val="none" w:sz="0" w:space="0" w:color="auto"/>
                        <w:left w:val="none" w:sz="0" w:space="0" w:color="auto"/>
                        <w:bottom w:val="none" w:sz="0" w:space="0" w:color="auto"/>
                        <w:right w:val="none" w:sz="0" w:space="0" w:color="auto"/>
                      </w:divBdr>
                    </w:div>
                  </w:divsChild>
                </w:div>
                <w:div w:id="906456492">
                  <w:marLeft w:val="0"/>
                  <w:marRight w:val="0"/>
                  <w:marTop w:val="0"/>
                  <w:marBottom w:val="0"/>
                  <w:divBdr>
                    <w:top w:val="none" w:sz="0" w:space="0" w:color="auto"/>
                    <w:left w:val="none" w:sz="0" w:space="0" w:color="auto"/>
                    <w:bottom w:val="none" w:sz="0" w:space="0" w:color="auto"/>
                    <w:right w:val="none" w:sz="0" w:space="0" w:color="auto"/>
                  </w:divBdr>
                  <w:divsChild>
                    <w:div w:id="89591747">
                      <w:marLeft w:val="0"/>
                      <w:marRight w:val="0"/>
                      <w:marTop w:val="0"/>
                      <w:marBottom w:val="0"/>
                      <w:divBdr>
                        <w:top w:val="none" w:sz="0" w:space="0" w:color="auto"/>
                        <w:left w:val="none" w:sz="0" w:space="0" w:color="auto"/>
                        <w:bottom w:val="none" w:sz="0" w:space="0" w:color="auto"/>
                        <w:right w:val="none" w:sz="0" w:space="0" w:color="auto"/>
                      </w:divBdr>
                    </w:div>
                  </w:divsChild>
                </w:div>
                <w:div w:id="959646166">
                  <w:marLeft w:val="0"/>
                  <w:marRight w:val="0"/>
                  <w:marTop w:val="0"/>
                  <w:marBottom w:val="0"/>
                  <w:divBdr>
                    <w:top w:val="none" w:sz="0" w:space="0" w:color="auto"/>
                    <w:left w:val="none" w:sz="0" w:space="0" w:color="auto"/>
                    <w:bottom w:val="none" w:sz="0" w:space="0" w:color="auto"/>
                    <w:right w:val="none" w:sz="0" w:space="0" w:color="auto"/>
                  </w:divBdr>
                  <w:divsChild>
                    <w:div w:id="777876663">
                      <w:marLeft w:val="0"/>
                      <w:marRight w:val="0"/>
                      <w:marTop w:val="0"/>
                      <w:marBottom w:val="0"/>
                      <w:divBdr>
                        <w:top w:val="none" w:sz="0" w:space="0" w:color="auto"/>
                        <w:left w:val="none" w:sz="0" w:space="0" w:color="auto"/>
                        <w:bottom w:val="none" w:sz="0" w:space="0" w:color="auto"/>
                        <w:right w:val="none" w:sz="0" w:space="0" w:color="auto"/>
                      </w:divBdr>
                    </w:div>
                  </w:divsChild>
                </w:div>
                <w:div w:id="1191795970">
                  <w:marLeft w:val="0"/>
                  <w:marRight w:val="0"/>
                  <w:marTop w:val="0"/>
                  <w:marBottom w:val="0"/>
                  <w:divBdr>
                    <w:top w:val="none" w:sz="0" w:space="0" w:color="auto"/>
                    <w:left w:val="none" w:sz="0" w:space="0" w:color="auto"/>
                    <w:bottom w:val="none" w:sz="0" w:space="0" w:color="auto"/>
                    <w:right w:val="none" w:sz="0" w:space="0" w:color="auto"/>
                  </w:divBdr>
                  <w:divsChild>
                    <w:div w:id="1431731270">
                      <w:marLeft w:val="0"/>
                      <w:marRight w:val="0"/>
                      <w:marTop w:val="0"/>
                      <w:marBottom w:val="0"/>
                      <w:divBdr>
                        <w:top w:val="none" w:sz="0" w:space="0" w:color="auto"/>
                        <w:left w:val="none" w:sz="0" w:space="0" w:color="auto"/>
                        <w:bottom w:val="none" w:sz="0" w:space="0" w:color="auto"/>
                        <w:right w:val="none" w:sz="0" w:space="0" w:color="auto"/>
                      </w:divBdr>
                    </w:div>
                  </w:divsChild>
                </w:div>
                <w:div w:id="1513446362">
                  <w:marLeft w:val="0"/>
                  <w:marRight w:val="0"/>
                  <w:marTop w:val="0"/>
                  <w:marBottom w:val="0"/>
                  <w:divBdr>
                    <w:top w:val="none" w:sz="0" w:space="0" w:color="auto"/>
                    <w:left w:val="none" w:sz="0" w:space="0" w:color="auto"/>
                    <w:bottom w:val="none" w:sz="0" w:space="0" w:color="auto"/>
                    <w:right w:val="none" w:sz="0" w:space="0" w:color="auto"/>
                  </w:divBdr>
                  <w:divsChild>
                    <w:div w:id="1990087625">
                      <w:marLeft w:val="0"/>
                      <w:marRight w:val="0"/>
                      <w:marTop w:val="0"/>
                      <w:marBottom w:val="0"/>
                      <w:divBdr>
                        <w:top w:val="none" w:sz="0" w:space="0" w:color="auto"/>
                        <w:left w:val="none" w:sz="0" w:space="0" w:color="auto"/>
                        <w:bottom w:val="none" w:sz="0" w:space="0" w:color="auto"/>
                        <w:right w:val="none" w:sz="0" w:space="0" w:color="auto"/>
                      </w:divBdr>
                    </w:div>
                  </w:divsChild>
                </w:div>
                <w:div w:id="1756170278">
                  <w:marLeft w:val="0"/>
                  <w:marRight w:val="0"/>
                  <w:marTop w:val="0"/>
                  <w:marBottom w:val="0"/>
                  <w:divBdr>
                    <w:top w:val="none" w:sz="0" w:space="0" w:color="auto"/>
                    <w:left w:val="none" w:sz="0" w:space="0" w:color="auto"/>
                    <w:bottom w:val="none" w:sz="0" w:space="0" w:color="auto"/>
                    <w:right w:val="none" w:sz="0" w:space="0" w:color="auto"/>
                  </w:divBdr>
                  <w:divsChild>
                    <w:div w:id="1493645095">
                      <w:marLeft w:val="0"/>
                      <w:marRight w:val="0"/>
                      <w:marTop w:val="0"/>
                      <w:marBottom w:val="0"/>
                      <w:divBdr>
                        <w:top w:val="none" w:sz="0" w:space="0" w:color="auto"/>
                        <w:left w:val="none" w:sz="0" w:space="0" w:color="auto"/>
                        <w:bottom w:val="none" w:sz="0" w:space="0" w:color="auto"/>
                        <w:right w:val="none" w:sz="0" w:space="0" w:color="auto"/>
                      </w:divBdr>
                    </w:div>
                  </w:divsChild>
                </w:div>
                <w:div w:id="1889805016">
                  <w:marLeft w:val="0"/>
                  <w:marRight w:val="0"/>
                  <w:marTop w:val="0"/>
                  <w:marBottom w:val="0"/>
                  <w:divBdr>
                    <w:top w:val="none" w:sz="0" w:space="0" w:color="auto"/>
                    <w:left w:val="none" w:sz="0" w:space="0" w:color="auto"/>
                    <w:bottom w:val="none" w:sz="0" w:space="0" w:color="auto"/>
                    <w:right w:val="none" w:sz="0" w:space="0" w:color="auto"/>
                  </w:divBdr>
                  <w:divsChild>
                    <w:div w:id="20187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8380">
          <w:marLeft w:val="0"/>
          <w:marRight w:val="0"/>
          <w:marTop w:val="0"/>
          <w:marBottom w:val="0"/>
          <w:divBdr>
            <w:top w:val="none" w:sz="0" w:space="0" w:color="auto"/>
            <w:left w:val="none" w:sz="0" w:space="0" w:color="auto"/>
            <w:bottom w:val="none" w:sz="0" w:space="0" w:color="auto"/>
            <w:right w:val="none" w:sz="0" w:space="0" w:color="auto"/>
          </w:divBdr>
          <w:divsChild>
            <w:div w:id="1674840951">
              <w:marLeft w:val="-75"/>
              <w:marRight w:val="0"/>
              <w:marTop w:val="30"/>
              <w:marBottom w:val="30"/>
              <w:divBdr>
                <w:top w:val="none" w:sz="0" w:space="0" w:color="auto"/>
                <w:left w:val="none" w:sz="0" w:space="0" w:color="auto"/>
                <w:bottom w:val="none" w:sz="0" w:space="0" w:color="auto"/>
                <w:right w:val="none" w:sz="0" w:space="0" w:color="auto"/>
              </w:divBdr>
              <w:divsChild>
                <w:div w:id="107706152">
                  <w:marLeft w:val="0"/>
                  <w:marRight w:val="0"/>
                  <w:marTop w:val="0"/>
                  <w:marBottom w:val="0"/>
                  <w:divBdr>
                    <w:top w:val="none" w:sz="0" w:space="0" w:color="auto"/>
                    <w:left w:val="none" w:sz="0" w:space="0" w:color="auto"/>
                    <w:bottom w:val="none" w:sz="0" w:space="0" w:color="auto"/>
                    <w:right w:val="none" w:sz="0" w:space="0" w:color="auto"/>
                  </w:divBdr>
                  <w:divsChild>
                    <w:div w:id="1910142931">
                      <w:marLeft w:val="0"/>
                      <w:marRight w:val="0"/>
                      <w:marTop w:val="0"/>
                      <w:marBottom w:val="0"/>
                      <w:divBdr>
                        <w:top w:val="none" w:sz="0" w:space="0" w:color="auto"/>
                        <w:left w:val="none" w:sz="0" w:space="0" w:color="auto"/>
                        <w:bottom w:val="none" w:sz="0" w:space="0" w:color="auto"/>
                        <w:right w:val="none" w:sz="0" w:space="0" w:color="auto"/>
                      </w:divBdr>
                    </w:div>
                  </w:divsChild>
                </w:div>
                <w:div w:id="120223041">
                  <w:marLeft w:val="0"/>
                  <w:marRight w:val="0"/>
                  <w:marTop w:val="0"/>
                  <w:marBottom w:val="0"/>
                  <w:divBdr>
                    <w:top w:val="none" w:sz="0" w:space="0" w:color="auto"/>
                    <w:left w:val="none" w:sz="0" w:space="0" w:color="auto"/>
                    <w:bottom w:val="none" w:sz="0" w:space="0" w:color="auto"/>
                    <w:right w:val="none" w:sz="0" w:space="0" w:color="auto"/>
                  </w:divBdr>
                  <w:divsChild>
                    <w:div w:id="118914664">
                      <w:marLeft w:val="0"/>
                      <w:marRight w:val="0"/>
                      <w:marTop w:val="0"/>
                      <w:marBottom w:val="0"/>
                      <w:divBdr>
                        <w:top w:val="none" w:sz="0" w:space="0" w:color="auto"/>
                        <w:left w:val="none" w:sz="0" w:space="0" w:color="auto"/>
                        <w:bottom w:val="none" w:sz="0" w:space="0" w:color="auto"/>
                        <w:right w:val="none" w:sz="0" w:space="0" w:color="auto"/>
                      </w:divBdr>
                    </w:div>
                  </w:divsChild>
                </w:div>
                <w:div w:id="213545596">
                  <w:marLeft w:val="0"/>
                  <w:marRight w:val="0"/>
                  <w:marTop w:val="0"/>
                  <w:marBottom w:val="0"/>
                  <w:divBdr>
                    <w:top w:val="none" w:sz="0" w:space="0" w:color="auto"/>
                    <w:left w:val="none" w:sz="0" w:space="0" w:color="auto"/>
                    <w:bottom w:val="none" w:sz="0" w:space="0" w:color="auto"/>
                    <w:right w:val="none" w:sz="0" w:space="0" w:color="auto"/>
                  </w:divBdr>
                  <w:divsChild>
                    <w:div w:id="124589521">
                      <w:marLeft w:val="0"/>
                      <w:marRight w:val="0"/>
                      <w:marTop w:val="0"/>
                      <w:marBottom w:val="0"/>
                      <w:divBdr>
                        <w:top w:val="none" w:sz="0" w:space="0" w:color="auto"/>
                        <w:left w:val="none" w:sz="0" w:space="0" w:color="auto"/>
                        <w:bottom w:val="none" w:sz="0" w:space="0" w:color="auto"/>
                        <w:right w:val="none" w:sz="0" w:space="0" w:color="auto"/>
                      </w:divBdr>
                    </w:div>
                    <w:div w:id="718825057">
                      <w:marLeft w:val="0"/>
                      <w:marRight w:val="0"/>
                      <w:marTop w:val="0"/>
                      <w:marBottom w:val="0"/>
                      <w:divBdr>
                        <w:top w:val="none" w:sz="0" w:space="0" w:color="auto"/>
                        <w:left w:val="none" w:sz="0" w:space="0" w:color="auto"/>
                        <w:bottom w:val="none" w:sz="0" w:space="0" w:color="auto"/>
                        <w:right w:val="none" w:sz="0" w:space="0" w:color="auto"/>
                      </w:divBdr>
                    </w:div>
                  </w:divsChild>
                </w:div>
                <w:div w:id="228544055">
                  <w:marLeft w:val="0"/>
                  <w:marRight w:val="0"/>
                  <w:marTop w:val="0"/>
                  <w:marBottom w:val="0"/>
                  <w:divBdr>
                    <w:top w:val="none" w:sz="0" w:space="0" w:color="auto"/>
                    <w:left w:val="none" w:sz="0" w:space="0" w:color="auto"/>
                    <w:bottom w:val="none" w:sz="0" w:space="0" w:color="auto"/>
                    <w:right w:val="none" w:sz="0" w:space="0" w:color="auto"/>
                  </w:divBdr>
                  <w:divsChild>
                    <w:div w:id="247354004">
                      <w:marLeft w:val="0"/>
                      <w:marRight w:val="0"/>
                      <w:marTop w:val="0"/>
                      <w:marBottom w:val="0"/>
                      <w:divBdr>
                        <w:top w:val="none" w:sz="0" w:space="0" w:color="auto"/>
                        <w:left w:val="none" w:sz="0" w:space="0" w:color="auto"/>
                        <w:bottom w:val="none" w:sz="0" w:space="0" w:color="auto"/>
                        <w:right w:val="none" w:sz="0" w:space="0" w:color="auto"/>
                      </w:divBdr>
                    </w:div>
                  </w:divsChild>
                </w:div>
                <w:div w:id="502818751">
                  <w:marLeft w:val="0"/>
                  <w:marRight w:val="0"/>
                  <w:marTop w:val="0"/>
                  <w:marBottom w:val="0"/>
                  <w:divBdr>
                    <w:top w:val="none" w:sz="0" w:space="0" w:color="auto"/>
                    <w:left w:val="none" w:sz="0" w:space="0" w:color="auto"/>
                    <w:bottom w:val="none" w:sz="0" w:space="0" w:color="auto"/>
                    <w:right w:val="none" w:sz="0" w:space="0" w:color="auto"/>
                  </w:divBdr>
                  <w:divsChild>
                    <w:div w:id="1450664374">
                      <w:marLeft w:val="0"/>
                      <w:marRight w:val="0"/>
                      <w:marTop w:val="0"/>
                      <w:marBottom w:val="0"/>
                      <w:divBdr>
                        <w:top w:val="none" w:sz="0" w:space="0" w:color="auto"/>
                        <w:left w:val="none" w:sz="0" w:space="0" w:color="auto"/>
                        <w:bottom w:val="none" w:sz="0" w:space="0" w:color="auto"/>
                        <w:right w:val="none" w:sz="0" w:space="0" w:color="auto"/>
                      </w:divBdr>
                    </w:div>
                  </w:divsChild>
                </w:div>
                <w:div w:id="524291101">
                  <w:marLeft w:val="0"/>
                  <w:marRight w:val="0"/>
                  <w:marTop w:val="0"/>
                  <w:marBottom w:val="0"/>
                  <w:divBdr>
                    <w:top w:val="none" w:sz="0" w:space="0" w:color="auto"/>
                    <w:left w:val="none" w:sz="0" w:space="0" w:color="auto"/>
                    <w:bottom w:val="none" w:sz="0" w:space="0" w:color="auto"/>
                    <w:right w:val="none" w:sz="0" w:space="0" w:color="auto"/>
                  </w:divBdr>
                  <w:divsChild>
                    <w:div w:id="1793481081">
                      <w:marLeft w:val="0"/>
                      <w:marRight w:val="0"/>
                      <w:marTop w:val="0"/>
                      <w:marBottom w:val="0"/>
                      <w:divBdr>
                        <w:top w:val="none" w:sz="0" w:space="0" w:color="auto"/>
                        <w:left w:val="none" w:sz="0" w:space="0" w:color="auto"/>
                        <w:bottom w:val="none" w:sz="0" w:space="0" w:color="auto"/>
                        <w:right w:val="none" w:sz="0" w:space="0" w:color="auto"/>
                      </w:divBdr>
                    </w:div>
                  </w:divsChild>
                </w:div>
                <w:div w:id="625550285">
                  <w:marLeft w:val="0"/>
                  <w:marRight w:val="0"/>
                  <w:marTop w:val="0"/>
                  <w:marBottom w:val="0"/>
                  <w:divBdr>
                    <w:top w:val="none" w:sz="0" w:space="0" w:color="auto"/>
                    <w:left w:val="none" w:sz="0" w:space="0" w:color="auto"/>
                    <w:bottom w:val="none" w:sz="0" w:space="0" w:color="auto"/>
                    <w:right w:val="none" w:sz="0" w:space="0" w:color="auto"/>
                  </w:divBdr>
                  <w:divsChild>
                    <w:div w:id="2096703151">
                      <w:marLeft w:val="0"/>
                      <w:marRight w:val="0"/>
                      <w:marTop w:val="0"/>
                      <w:marBottom w:val="0"/>
                      <w:divBdr>
                        <w:top w:val="none" w:sz="0" w:space="0" w:color="auto"/>
                        <w:left w:val="none" w:sz="0" w:space="0" w:color="auto"/>
                        <w:bottom w:val="none" w:sz="0" w:space="0" w:color="auto"/>
                        <w:right w:val="none" w:sz="0" w:space="0" w:color="auto"/>
                      </w:divBdr>
                    </w:div>
                  </w:divsChild>
                </w:div>
                <w:div w:id="687370647">
                  <w:marLeft w:val="0"/>
                  <w:marRight w:val="0"/>
                  <w:marTop w:val="0"/>
                  <w:marBottom w:val="0"/>
                  <w:divBdr>
                    <w:top w:val="none" w:sz="0" w:space="0" w:color="auto"/>
                    <w:left w:val="none" w:sz="0" w:space="0" w:color="auto"/>
                    <w:bottom w:val="none" w:sz="0" w:space="0" w:color="auto"/>
                    <w:right w:val="none" w:sz="0" w:space="0" w:color="auto"/>
                  </w:divBdr>
                  <w:divsChild>
                    <w:div w:id="876236009">
                      <w:marLeft w:val="0"/>
                      <w:marRight w:val="0"/>
                      <w:marTop w:val="0"/>
                      <w:marBottom w:val="0"/>
                      <w:divBdr>
                        <w:top w:val="none" w:sz="0" w:space="0" w:color="auto"/>
                        <w:left w:val="none" w:sz="0" w:space="0" w:color="auto"/>
                        <w:bottom w:val="none" w:sz="0" w:space="0" w:color="auto"/>
                        <w:right w:val="none" w:sz="0" w:space="0" w:color="auto"/>
                      </w:divBdr>
                    </w:div>
                  </w:divsChild>
                </w:div>
                <w:div w:id="778720543">
                  <w:marLeft w:val="0"/>
                  <w:marRight w:val="0"/>
                  <w:marTop w:val="0"/>
                  <w:marBottom w:val="0"/>
                  <w:divBdr>
                    <w:top w:val="none" w:sz="0" w:space="0" w:color="auto"/>
                    <w:left w:val="none" w:sz="0" w:space="0" w:color="auto"/>
                    <w:bottom w:val="none" w:sz="0" w:space="0" w:color="auto"/>
                    <w:right w:val="none" w:sz="0" w:space="0" w:color="auto"/>
                  </w:divBdr>
                  <w:divsChild>
                    <w:div w:id="1357274176">
                      <w:marLeft w:val="0"/>
                      <w:marRight w:val="0"/>
                      <w:marTop w:val="0"/>
                      <w:marBottom w:val="0"/>
                      <w:divBdr>
                        <w:top w:val="none" w:sz="0" w:space="0" w:color="auto"/>
                        <w:left w:val="none" w:sz="0" w:space="0" w:color="auto"/>
                        <w:bottom w:val="none" w:sz="0" w:space="0" w:color="auto"/>
                        <w:right w:val="none" w:sz="0" w:space="0" w:color="auto"/>
                      </w:divBdr>
                    </w:div>
                  </w:divsChild>
                </w:div>
                <w:div w:id="818228873">
                  <w:marLeft w:val="0"/>
                  <w:marRight w:val="0"/>
                  <w:marTop w:val="0"/>
                  <w:marBottom w:val="0"/>
                  <w:divBdr>
                    <w:top w:val="none" w:sz="0" w:space="0" w:color="auto"/>
                    <w:left w:val="none" w:sz="0" w:space="0" w:color="auto"/>
                    <w:bottom w:val="none" w:sz="0" w:space="0" w:color="auto"/>
                    <w:right w:val="none" w:sz="0" w:space="0" w:color="auto"/>
                  </w:divBdr>
                  <w:divsChild>
                    <w:div w:id="575437140">
                      <w:marLeft w:val="0"/>
                      <w:marRight w:val="0"/>
                      <w:marTop w:val="0"/>
                      <w:marBottom w:val="0"/>
                      <w:divBdr>
                        <w:top w:val="none" w:sz="0" w:space="0" w:color="auto"/>
                        <w:left w:val="none" w:sz="0" w:space="0" w:color="auto"/>
                        <w:bottom w:val="none" w:sz="0" w:space="0" w:color="auto"/>
                        <w:right w:val="none" w:sz="0" w:space="0" w:color="auto"/>
                      </w:divBdr>
                    </w:div>
                  </w:divsChild>
                </w:div>
                <w:div w:id="1137602075">
                  <w:marLeft w:val="0"/>
                  <w:marRight w:val="0"/>
                  <w:marTop w:val="0"/>
                  <w:marBottom w:val="0"/>
                  <w:divBdr>
                    <w:top w:val="none" w:sz="0" w:space="0" w:color="auto"/>
                    <w:left w:val="none" w:sz="0" w:space="0" w:color="auto"/>
                    <w:bottom w:val="none" w:sz="0" w:space="0" w:color="auto"/>
                    <w:right w:val="none" w:sz="0" w:space="0" w:color="auto"/>
                  </w:divBdr>
                  <w:divsChild>
                    <w:div w:id="1249534414">
                      <w:marLeft w:val="0"/>
                      <w:marRight w:val="0"/>
                      <w:marTop w:val="0"/>
                      <w:marBottom w:val="0"/>
                      <w:divBdr>
                        <w:top w:val="none" w:sz="0" w:space="0" w:color="auto"/>
                        <w:left w:val="none" w:sz="0" w:space="0" w:color="auto"/>
                        <w:bottom w:val="none" w:sz="0" w:space="0" w:color="auto"/>
                        <w:right w:val="none" w:sz="0" w:space="0" w:color="auto"/>
                      </w:divBdr>
                    </w:div>
                  </w:divsChild>
                </w:div>
                <w:div w:id="1219633184">
                  <w:marLeft w:val="0"/>
                  <w:marRight w:val="0"/>
                  <w:marTop w:val="0"/>
                  <w:marBottom w:val="0"/>
                  <w:divBdr>
                    <w:top w:val="none" w:sz="0" w:space="0" w:color="auto"/>
                    <w:left w:val="none" w:sz="0" w:space="0" w:color="auto"/>
                    <w:bottom w:val="none" w:sz="0" w:space="0" w:color="auto"/>
                    <w:right w:val="none" w:sz="0" w:space="0" w:color="auto"/>
                  </w:divBdr>
                  <w:divsChild>
                    <w:div w:id="916324661">
                      <w:marLeft w:val="0"/>
                      <w:marRight w:val="0"/>
                      <w:marTop w:val="0"/>
                      <w:marBottom w:val="0"/>
                      <w:divBdr>
                        <w:top w:val="none" w:sz="0" w:space="0" w:color="auto"/>
                        <w:left w:val="none" w:sz="0" w:space="0" w:color="auto"/>
                        <w:bottom w:val="none" w:sz="0" w:space="0" w:color="auto"/>
                        <w:right w:val="none" w:sz="0" w:space="0" w:color="auto"/>
                      </w:divBdr>
                    </w:div>
                  </w:divsChild>
                </w:div>
                <w:div w:id="1271351572">
                  <w:marLeft w:val="0"/>
                  <w:marRight w:val="0"/>
                  <w:marTop w:val="0"/>
                  <w:marBottom w:val="0"/>
                  <w:divBdr>
                    <w:top w:val="none" w:sz="0" w:space="0" w:color="auto"/>
                    <w:left w:val="none" w:sz="0" w:space="0" w:color="auto"/>
                    <w:bottom w:val="none" w:sz="0" w:space="0" w:color="auto"/>
                    <w:right w:val="none" w:sz="0" w:space="0" w:color="auto"/>
                  </w:divBdr>
                  <w:divsChild>
                    <w:div w:id="683550841">
                      <w:marLeft w:val="0"/>
                      <w:marRight w:val="0"/>
                      <w:marTop w:val="0"/>
                      <w:marBottom w:val="0"/>
                      <w:divBdr>
                        <w:top w:val="none" w:sz="0" w:space="0" w:color="auto"/>
                        <w:left w:val="none" w:sz="0" w:space="0" w:color="auto"/>
                        <w:bottom w:val="none" w:sz="0" w:space="0" w:color="auto"/>
                        <w:right w:val="none" w:sz="0" w:space="0" w:color="auto"/>
                      </w:divBdr>
                    </w:div>
                  </w:divsChild>
                </w:div>
                <w:div w:id="1542085225">
                  <w:marLeft w:val="0"/>
                  <w:marRight w:val="0"/>
                  <w:marTop w:val="0"/>
                  <w:marBottom w:val="0"/>
                  <w:divBdr>
                    <w:top w:val="none" w:sz="0" w:space="0" w:color="auto"/>
                    <w:left w:val="none" w:sz="0" w:space="0" w:color="auto"/>
                    <w:bottom w:val="none" w:sz="0" w:space="0" w:color="auto"/>
                    <w:right w:val="none" w:sz="0" w:space="0" w:color="auto"/>
                  </w:divBdr>
                  <w:divsChild>
                    <w:div w:id="283780041">
                      <w:marLeft w:val="0"/>
                      <w:marRight w:val="0"/>
                      <w:marTop w:val="0"/>
                      <w:marBottom w:val="0"/>
                      <w:divBdr>
                        <w:top w:val="none" w:sz="0" w:space="0" w:color="auto"/>
                        <w:left w:val="none" w:sz="0" w:space="0" w:color="auto"/>
                        <w:bottom w:val="none" w:sz="0" w:space="0" w:color="auto"/>
                        <w:right w:val="none" w:sz="0" w:space="0" w:color="auto"/>
                      </w:divBdr>
                    </w:div>
                  </w:divsChild>
                </w:div>
                <w:div w:id="1851605074">
                  <w:marLeft w:val="0"/>
                  <w:marRight w:val="0"/>
                  <w:marTop w:val="0"/>
                  <w:marBottom w:val="0"/>
                  <w:divBdr>
                    <w:top w:val="none" w:sz="0" w:space="0" w:color="auto"/>
                    <w:left w:val="none" w:sz="0" w:space="0" w:color="auto"/>
                    <w:bottom w:val="none" w:sz="0" w:space="0" w:color="auto"/>
                    <w:right w:val="none" w:sz="0" w:space="0" w:color="auto"/>
                  </w:divBdr>
                  <w:divsChild>
                    <w:div w:id="729307789">
                      <w:marLeft w:val="0"/>
                      <w:marRight w:val="0"/>
                      <w:marTop w:val="0"/>
                      <w:marBottom w:val="0"/>
                      <w:divBdr>
                        <w:top w:val="none" w:sz="0" w:space="0" w:color="auto"/>
                        <w:left w:val="none" w:sz="0" w:space="0" w:color="auto"/>
                        <w:bottom w:val="none" w:sz="0" w:space="0" w:color="auto"/>
                        <w:right w:val="none" w:sz="0" w:space="0" w:color="auto"/>
                      </w:divBdr>
                    </w:div>
                  </w:divsChild>
                </w:div>
                <w:div w:id="1865169711">
                  <w:marLeft w:val="0"/>
                  <w:marRight w:val="0"/>
                  <w:marTop w:val="0"/>
                  <w:marBottom w:val="0"/>
                  <w:divBdr>
                    <w:top w:val="none" w:sz="0" w:space="0" w:color="auto"/>
                    <w:left w:val="none" w:sz="0" w:space="0" w:color="auto"/>
                    <w:bottom w:val="none" w:sz="0" w:space="0" w:color="auto"/>
                    <w:right w:val="none" w:sz="0" w:space="0" w:color="auto"/>
                  </w:divBdr>
                  <w:divsChild>
                    <w:div w:id="1938293870">
                      <w:marLeft w:val="0"/>
                      <w:marRight w:val="0"/>
                      <w:marTop w:val="0"/>
                      <w:marBottom w:val="0"/>
                      <w:divBdr>
                        <w:top w:val="none" w:sz="0" w:space="0" w:color="auto"/>
                        <w:left w:val="none" w:sz="0" w:space="0" w:color="auto"/>
                        <w:bottom w:val="none" w:sz="0" w:space="0" w:color="auto"/>
                        <w:right w:val="none" w:sz="0" w:space="0" w:color="auto"/>
                      </w:divBdr>
                    </w:div>
                  </w:divsChild>
                </w:div>
                <w:div w:id="1934123482">
                  <w:marLeft w:val="0"/>
                  <w:marRight w:val="0"/>
                  <w:marTop w:val="0"/>
                  <w:marBottom w:val="0"/>
                  <w:divBdr>
                    <w:top w:val="none" w:sz="0" w:space="0" w:color="auto"/>
                    <w:left w:val="none" w:sz="0" w:space="0" w:color="auto"/>
                    <w:bottom w:val="none" w:sz="0" w:space="0" w:color="auto"/>
                    <w:right w:val="none" w:sz="0" w:space="0" w:color="auto"/>
                  </w:divBdr>
                  <w:divsChild>
                    <w:div w:id="1629973811">
                      <w:marLeft w:val="0"/>
                      <w:marRight w:val="0"/>
                      <w:marTop w:val="0"/>
                      <w:marBottom w:val="0"/>
                      <w:divBdr>
                        <w:top w:val="none" w:sz="0" w:space="0" w:color="auto"/>
                        <w:left w:val="none" w:sz="0" w:space="0" w:color="auto"/>
                        <w:bottom w:val="none" w:sz="0" w:space="0" w:color="auto"/>
                        <w:right w:val="none" w:sz="0" w:space="0" w:color="auto"/>
                      </w:divBdr>
                    </w:div>
                  </w:divsChild>
                </w:div>
                <w:div w:id="1938949917">
                  <w:marLeft w:val="0"/>
                  <w:marRight w:val="0"/>
                  <w:marTop w:val="0"/>
                  <w:marBottom w:val="0"/>
                  <w:divBdr>
                    <w:top w:val="none" w:sz="0" w:space="0" w:color="auto"/>
                    <w:left w:val="none" w:sz="0" w:space="0" w:color="auto"/>
                    <w:bottom w:val="none" w:sz="0" w:space="0" w:color="auto"/>
                    <w:right w:val="none" w:sz="0" w:space="0" w:color="auto"/>
                  </w:divBdr>
                  <w:divsChild>
                    <w:div w:id="843012786">
                      <w:marLeft w:val="0"/>
                      <w:marRight w:val="0"/>
                      <w:marTop w:val="0"/>
                      <w:marBottom w:val="0"/>
                      <w:divBdr>
                        <w:top w:val="none" w:sz="0" w:space="0" w:color="auto"/>
                        <w:left w:val="none" w:sz="0" w:space="0" w:color="auto"/>
                        <w:bottom w:val="none" w:sz="0" w:space="0" w:color="auto"/>
                        <w:right w:val="none" w:sz="0" w:space="0" w:color="auto"/>
                      </w:divBdr>
                    </w:div>
                  </w:divsChild>
                </w:div>
                <w:div w:id="2067798067">
                  <w:marLeft w:val="0"/>
                  <w:marRight w:val="0"/>
                  <w:marTop w:val="0"/>
                  <w:marBottom w:val="0"/>
                  <w:divBdr>
                    <w:top w:val="none" w:sz="0" w:space="0" w:color="auto"/>
                    <w:left w:val="none" w:sz="0" w:space="0" w:color="auto"/>
                    <w:bottom w:val="none" w:sz="0" w:space="0" w:color="auto"/>
                    <w:right w:val="none" w:sz="0" w:space="0" w:color="auto"/>
                  </w:divBdr>
                  <w:divsChild>
                    <w:div w:id="1021779273">
                      <w:marLeft w:val="0"/>
                      <w:marRight w:val="0"/>
                      <w:marTop w:val="0"/>
                      <w:marBottom w:val="0"/>
                      <w:divBdr>
                        <w:top w:val="none" w:sz="0" w:space="0" w:color="auto"/>
                        <w:left w:val="none" w:sz="0" w:space="0" w:color="auto"/>
                        <w:bottom w:val="none" w:sz="0" w:space="0" w:color="auto"/>
                        <w:right w:val="none" w:sz="0" w:space="0" w:color="auto"/>
                      </w:divBdr>
                    </w:div>
                  </w:divsChild>
                </w:div>
                <w:div w:id="2077509940">
                  <w:marLeft w:val="0"/>
                  <w:marRight w:val="0"/>
                  <w:marTop w:val="0"/>
                  <w:marBottom w:val="0"/>
                  <w:divBdr>
                    <w:top w:val="none" w:sz="0" w:space="0" w:color="auto"/>
                    <w:left w:val="none" w:sz="0" w:space="0" w:color="auto"/>
                    <w:bottom w:val="none" w:sz="0" w:space="0" w:color="auto"/>
                    <w:right w:val="none" w:sz="0" w:space="0" w:color="auto"/>
                  </w:divBdr>
                  <w:divsChild>
                    <w:div w:id="125200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868044">
          <w:marLeft w:val="0"/>
          <w:marRight w:val="0"/>
          <w:marTop w:val="0"/>
          <w:marBottom w:val="0"/>
          <w:divBdr>
            <w:top w:val="none" w:sz="0" w:space="0" w:color="auto"/>
            <w:left w:val="none" w:sz="0" w:space="0" w:color="auto"/>
            <w:bottom w:val="none" w:sz="0" w:space="0" w:color="auto"/>
            <w:right w:val="none" w:sz="0" w:space="0" w:color="auto"/>
          </w:divBdr>
          <w:divsChild>
            <w:div w:id="505947254">
              <w:marLeft w:val="-75"/>
              <w:marRight w:val="0"/>
              <w:marTop w:val="30"/>
              <w:marBottom w:val="30"/>
              <w:divBdr>
                <w:top w:val="none" w:sz="0" w:space="0" w:color="auto"/>
                <w:left w:val="none" w:sz="0" w:space="0" w:color="auto"/>
                <w:bottom w:val="none" w:sz="0" w:space="0" w:color="auto"/>
                <w:right w:val="none" w:sz="0" w:space="0" w:color="auto"/>
              </w:divBdr>
              <w:divsChild>
                <w:div w:id="6837503">
                  <w:marLeft w:val="0"/>
                  <w:marRight w:val="0"/>
                  <w:marTop w:val="0"/>
                  <w:marBottom w:val="0"/>
                  <w:divBdr>
                    <w:top w:val="none" w:sz="0" w:space="0" w:color="auto"/>
                    <w:left w:val="none" w:sz="0" w:space="0" w:color="auto"/>
                    <w:bottom w:val="none" w:sz="0" w:space="0" w:color="auto"/>
                    <w:right w:val="none" w:sz="0" w:space="0" w:color="auto"/>
                  </w:divBdr>
                  <w:divsChild>
                    <w:div w:id="401878803">
                      <w:marLeft w:val="0"/>
                      <w:marRight w:val="0"/>
                      <w:marTop w:val="0"/>
                      <w:marBottom w:val="0"/>
                      <w:divBdr>
                        <w:top w:val="none" w:sz="0" w:space="0" w:color="auto"/>
                        <w:left w:val="none" w:sz="0" w:space="0" w:color="auto"/>
                        <w:bottom w:val="none" w:sz="0" w:space="0" w:color="auto"/>
                        <w:right w:val="none" w:sz="0" w:space="0" w:color="auto"/>
                      </w:divBdr>
                    </w:div>
                  </w:divsChild>
                </w:div>
                <w:div w:id="421220662">
                  <w:marLeft w:val="0"/>
                  <w:marRight w:val="0"/>
                  <w:marTop w:val="0"/>
                  <w:marBottom w:val="0"/>
                  <w:divBdr>
                    <w:top w:val="none" w:sz="0" w:space="0" w:color="auto"/>
                    <w:left w:val="none" w:sz="0" w:space="0" w:color="auto"/>
                    <w:bottom w:val="none" w:sz="0" w:space="0" w:color="auto"/>
                    <w:right w:val="none" w:sz="0" w:space="0" w:color="auto"/>
                  </w:divBdr>
                  <w:divsChild>
                    <w:div w:id="829173827">
                      <w:marLeft w:val="0"/>
                      <w:marRight w:val="0"/>
                      <w:marTop w:val="0"/>
                      <w:marBottom w:val="0"/>
                      <w:divBdr>
                        <w:top w:val="none" w:sz="0" w:space="0" w:color="auto"/>
                        <w:left w:val="none" w:sz="0" w:space="0" w:color="auto"/>
                        <w:bottom w:val="none" w:sz="0" w:space="0" w:color="auto"/>
                        <w:right w:val="none" w:sz="0" w:space="0" w:color="auto"/>
                      </w:divBdr>
                    </w:div>
                  </w:divsChild>
                </w:div>
                <w:div w:id="711150423">
                  <w:marLeft w:val="0"/>
                  <w:marRight w:val="0"/>
                  <w:marTop w:val="0"/>
                  <w:marBottom w:val="0"/>
                  <w:divBdr>
                    <w:top w:val="none" w:sz="0" w:space="0" w:color="auto"/>
                    <w:left w:val="none" w:sz="0" w:space="0" w:color="auto"/>
                    <w:bottom w:val="none" w:sz="0" w:space="0" w:color="auto"/>
                    <w:right w:val="none" w:sz="0" w:space="0" w:color="auto"/>
                  </w:divBdr>
                  <w:divsChild>
                    <w:div w:id="1897161199">
                      <w:marLeft w:val="0"/>
                      <w:marRight w:val="0"/>
                      <w:marTop w:val="0"/>
                      <w:marBottom w:val="0"/>
                      <w:divBdr>
                        <w:top w:val="none" w:sz="0" w:space="0" w:color="auto"/>
                        <w:left w:val="none" w:sz="0" w:space="0" w:color="auto"/>
                        <w:bottom w:val="none" w:sz="0" w:space="0" w:color="auto"/>
                        <w:right w:val="none" w:sz="0" w:space="0" w:color="auto"/>
                      </w:divBdr>
                    </w:div>
                  </w:divsChild>
                </w:div>
                <w:div w:id="823355309">
                  <w:marLeft w:val="0"/>
                  <w:marRight w:val="0"/>
                  <w:marTop w:val="0"/>
                  <w:marBottom w:val="0"/>
                  <w:divBdr>
                    <w:top w:val="none" w:sz="0" w:space="0" w:color="auto"/>
                    <w:left w:val="none" w:sz="0" w:space="0" w:color="auto"/>
                    <w:bottom w:val="none" w:sz="0" w:space="0" w:color="auto"/>
                    <w:right w:val="none" w:sz="0" w:space="0" w:color="auto"/>
                  </w:divBdr>
                  <w:divsChild>
                    <w:div w:id="2017880499">
                      <w:marLeft w:val="0"/>
                      <w:marRight w:val="0"/>
                      <w:marTop w:val="0"/>
                      <w:marBottom w:val="0"/>
                      <w:divBdr>
                        <w:top w:val="none" w:sz="0" w:space="0" w:color="auto"/>
                        <w:left w:val="none" w:sz="0" w:space="0" w:color="auto"/>
                        <w:bottom w:val="none" w:sz="0" w:space="0" w:color="auto"/>
                        <w:right w:val="none" w:sz="0" w:space="0" w:color="auto"/>
                      </w:divBdr>
                    </w:div>
                  </w:divsChild>
                </w:div>
                <w:div w:id="946084230">
                  <w:marLeft w:val="0"/>
                  <w:marRight w:val="0"/>
                  <w:marTop w:val="0"/>
                  <w:marBottom w:val="0"/>
                  <w:divBdr>
                    <w:top w:val="none" w:sz="0" w:space="0" w:color="auto"/>
                    <w:left w:val="none" w:sz="0" w:space="0" w:color="auto"/>
                    <w:bottom w:val="none" w:sz="0" w:space="0" w:color="auto"/>
                    <w:right w:val="none" w:sz="0" w:space="0" w:color="auto"/>
                  </w:divBdr>
                  <w:divsChild>
                    <w:div w:id="1592809810">
                      <w:marLeft w:val="0"/>
                      <w:marRight w:val="0"/>
                      <w:marTop w:val="0"/>
                      <w:marBottom w:val="0"/>
                      <w:divBdr>
                        <w:top w:val="none" w:sz="0" w:space="0" w:color="auto"/>
                        <w:left w:val="none" w:sz="0" w:space="0" w:color="auto"/>
                        <w:bottom w:val="none" w:sz="0" w:space="0" w:color="auto"/>
                        <w:right w:val="none" w:sz="0" w:space="0" w:color="auto"/>
                      </w:divBdr>
                    </w:div>
                  </w:divsChild>
                </w:div>
                <w:div w:id="1869484920">
                  <w:marLeft w:val="0"/>
                  <w:marRight w:val="0"/>
                  <w:marTop w:val="0"/>
                  <w:marBottom w:val="0"/>
                  <w:divBdr>
                    <w:top w:val="none" w:sz="0" w:space="0" w:color="auto"/>
                    <w:left w:val="none" w:sz="0" w:space="0" w:color="auto"/>
                    <w:bottom w:val="none" w:sz="0" w:space="0" w:color="auto"/>
                    <w:right w:val="none" w:sz="0" w:space="0" w:color="auto"/>
                  </w:divBdr>
                  <w:divsChild>
                    <w:div w:id="1600985947">
                      <w:marLeft w:val="0"/>
                      <w:marRight w:val="0"/>
                      <w:marTop w:val="0"/>
                      <w:marBottom w:val="0"/>
                      <w:divBdr>
                        <w:top w:val="none" w:sz="0" w:space="0" w:color="auto"/>
                        <w:left w:val="none" w:sz="0" w:space="0" w:color="auto"/>
                        <w:bottom w:val="none" w:sz="0" w:space="0" w:color="auto"/>
                        <w:right w:val="none" w:sz="0" w:space="0" w:color="auto"/>
                      </w:divBdr>
                    </w:div>
                  </w:divsChild>
                </w:div>
                <w:div w:id="1898931198">
                  <w:marLeft w:val="0"/>
                  <w:marRight w:val="0"/>
                  <w:marTop w:val="0"/>
                  <w:marBottom w:val="0"/>
                  <w:divBdr>
                    <w:top w:val="none" w:sz="0" w:space="0" w:color="auto"/>
                    <w:left w:val="none" w:sz="0" w:space="0" w:color="auto"/>
                    <w:bottom w:val="none" w:sz="0" w:space="0" w:color="auto"/>
                    <w:right w:val="none" w:sz="0" w:space="0" w:color="auto"/>
                  </w:divBdr>
                  <w:divsChild>
                    <w:div w:id="888954252">
                      <w:marLeft w:val="0"/>
                      <w:marRight w:val="0"/>
                      <w:marTop w:val="0"/>
                      <w:marBottom w:val="0"/>
                      <w:divBdr>
                        <w:top w:val="none" w:sz="0" w:space="0" w:color="auto"/>
                        <w:left w:val="none" w:sz="0" w:space="0" w:color="auto"/>
                        <w:bottom w:val="none" w:sz="0" w:space="0" w:color="auto"/>
                        <w:right w:val="none" w:sz="0" w:space="0" w:color="auto"/>
                      </w:divBdr>
                    </w:div>
                  </w:divsChild>
                </w:div>
                <w:div w:id="1934045955">
                  <w:marLeft w:val="0"/>
                  <w:marRight w:val="0"/>
                  <w:marTop w:val="0"/>
                  <w:marBottom w:val="0"/>
                  <w:divBdr>
                    <w:top w:val="none" w:sz="0" w:space="0" w:color="auto"/>
                    <w:left w:val="none" w:sz="0" w:space="0" w:color="auto"/>
                    <w:bottom w:val="none" w:sz="0" w:space="0" w:color="auto"/>
                    <w:right w:val="none" w:sz="0" w:space="0" w:color="auto"/>
                  </w:divBdr>
                  <w:divsChild>
                    <w:div w:id="515314282">
                      <w:marLeft w:val="0"/>
                      <w:marRight w:val="0"/>
                      <w:marTop w:val="0"/>
                      <w:marBottom w:val="0"/>
                      <w:divBdr>
                        <w:top w:val="none" w:sz="0" w:space="0" w:color="auto"/>
                        <w:left w:val="none" w:sz="0" w:space="0" w:color="auto"/>
                        <w:bottom w:val="none" w:sz="0" w:space="0" w:color="auto"/>
                        <w:right w:val="none" w:sz="0" w:space="0" w:color="auto"/>
                      </w:divBdr>
                    </w:div>
                  </w:divsChild>
                </w:div>
                <w:div w:id="2116554361">
                  <w:marLeft w:val="0"/>
                  <w:marRight w:val="0"/>
                  <w:marTop w:val="0"/>
                  <w:marBottom w:val="0"/>
                  <w:divBdr>
                    <w:top w:val="none" w:sz="0" w:space="0" w:color="auto"/>
                    <w:left w:val="none" w:sz="0" w:space="0" w:color="auto"/>
                    <w:bottom w:val="none" w:sz="0" w:space="0" w:color="auto"/>
                    <w:right w:val="none" w:sz="0" w:space="0" w:color="auto"/>
                  </w:divBdr>
                  <w:divsChild>
                    <w:div w:id="87072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664333">
          <w:marLeft w:val="0"/>
          <w:marRight w:val="0"/>
          <w:marTop w:val="0"/>
          <w:marBottom w:val="0"/>
          <w:divBdr>
            <w:top w:val="none" w:sz="0" w:space="0" w:color="auto"/>
            <w:left w:val="none" w:sz="0" w:space="0" w:color="auto"/>
            <w:bottom w:val="none" w:sz="0" w:space="0" w:color="auto"/>
            <w:right w:val="none" w:sz="0" w:space="0" w:color="auto"/>
          </w:divBdr>
          <w:divsChild>
            <w:div w:id="1892959075">
              <w:marLeft w:val="-75"/>
              <w:marRight w:val="0"/>
              <w:marTop w:val="30"/>
              <w:marBottom w:val="30"/>
              <w:divBdr>
                <w:top w:val="none" w:sz="0" w:space="0" w:color="auto"/>
                <w:left w:val="none" w:sz="0" w:space="0" w:color="auto"/>
                <w:bottom w:val="none" w:sz="0" w:space="0" w:color="auto"/>
                <w:right w:val="none" w:sz="0" w:space="0" w:color="auto"/>
              </w:divBdr>
              <w:divsChild>
                <w:div w:id="17853019">
                  <w:marLeft w:val="0"/>
                  <w:marRight w:val="0"/>
                  <w:marTop w:val="0"/>
                  <w:marBottom w:val="0"/>
                  <w:divBdr>
                    <w:top w:val="none" w:sz="0" w:space="0" w:color="auto"/>
                    <w:left w:val="none" w:sz="0" w:space="0" w:color="auto"/>
                    <w:bottom w:val="none" w:sz="0" w:space="0" w:color="auto"/>
                    <w:right w:val="none" w:sz="0" w:space="0" w:color="auto"/>
                  </w:divBdr>
                  <w:divsChild>
                    <w:div w:id="229967912">
                      <w:marLeft w:val="0"/>
                      <w:marRight w:val="0"/>
                      <w:marTop w:val="0"/>
                      <w:marBottom w:val="0"/>
                      <w:divBdr>
                        <w:top w:val="none" w:sz="0" w:space="0" w:color="auto"/>
                        <w:left w:val="none" w:sz="0" w:space="0" w:color="auto"/>
                        <w:bottom w:val="none" w:sz="0" w:space="0" w:color="auto"/>
                        <w:right w:val="none" w:sz="0" w:space="0" w:color="auto"/>
                      </w:divBdr>
                    </w:div>
                  </w:divsChild>
                </w:div>
                <w:div w:id="502864796">
                  <w:marLeft w:val="0"/>
                  <w:marRight w:val="0"/>
                  <w:marTop w:val="0"/>
                  <w:marBottom w:val="0"/>
                  <w:divBdr>
                    <w:top w:val="none" w:sz="0" w:space="0" w:color="auto"/>
                    <w:left w:val="none" w:sz="0" w:space="0" w:color="auto"/>
                    <w:bottom w:val="none" w:sz="0" w:space="0" w:color="auto"/>
                    <w:right w:val="none" w:sz="0" w:space="0" w:color="auto"/>
                  </w:divBdr>
                  <w:divsChild>
                    <w:div w:id="7298619">
                      <w:marLeft w:val="0"/>
                      <w:marRight w:val="0"/>
                      <w:marTop w:val="0"/>
                      <w:marBottom w:val="0"/>
                      <w:divBdr>
                        <w:top w:val="none" w:sz="0" w:space="0" w:color="auto"/>
                        <w:left w:val="none" w:sz="0" w:space="0" w:color="auto"/>
                        <w:bottom w:val="none" w:sz="0" w:space="0" w:color="auto"/>
                        <w:right w:val="none" w:sz="0" w:space="0" w:color="auto"/>
                      </w:divBdr>
                    </w:div>
                  </w:divsChild>
                </w:div>
                <w:div w:id="661932304">
                  <w:marLeft w:val="0"/>
                  <w:marRight w:val="0"/>
                  <w:marTop w:val="0"/>
                  <w:marBottom w:val="0"/>
                  <w:divBdr>
                    <w:top w:val="none" w:sz="0" w:space="0" w:color="auto"/>
                    <w:left w:val="none" w:sz="0" w:space="0" w:color="auto"/>
                    <w:bottom w:val="none" w:sz="0" w:space="0" w:color="auto"/>
                    <w:right w:val="none" w:sz="0" w:space="0" w:color="auto"/>
                  </w:divBdr>
                  <w:divsChild>
                    <w:div w:id="221909898">
                      <w:marLeft w:val="0"/>
                      <w:marRight w:val="0"/>
                      <w:marTop w:val="0"/>
                      <w:marBottom w:val="0"/>
                      <w:divBdr>
                        <w:top w:val="none" w:sz="0" w:space="0" w:color="auto"/>
                        <w:left w:val="none" w:sz="0" w:space="0" w:color="auto"/>
                        <w:bottom w:val="none" w:sz="0" w:space="0" w:color="auto"/>
                        <w:right w:val="none" w:sz="0" w:space="0" w:color="auto"/>
                      </w:divBdr>
                    </w:div>
                  </w:divsChild>
                </w:div>
                <w:div w:id="844130822">
                  <w:marLeft w:val="0"/>
                  <w:marRight w:val="0"/>
                  <w:marTop w:val="0"/>
                  <w:marBottom w:val="0"/>
                  <w:divBdr>
                    <w:top w:val="none" w:sz="0" w:space="0" w:color="auto"/>
                    <w:left w:val="none" w:sz="0" w:space="0" w:color="auto"/>
                    <w:bottom w:val="none" w:sz="0" w:space="0" w:color="auto"/>
                    <w:right w:val="none" w:sz="0" w:space="0" w:color="auto"/>
                  </w:divBdr>
                  <w:divsChild>
                    <w:div w:id="1040933169">
                      <w:marLeft w:val="0"/>
                      <w:marRight w:val="0"/>
                      <w:marTop w:val="0"/>
                      <w:marBottom w:val="0"/>
                      <w:divBdr>
                        <w:top w:val="none" w:sz="0" w:space="0" w:color="auto"/>
                        <w:left w:val="none" w:sz="0" w:space="0" w:color="auto"/>
                        <w:bottom w:val="none" w:sz="0" w:space="0" w:color="auto"/>
                        <w:right w:val="none" w:sz="0" w:space="0" w:color="auto"/>
                      </w:divBdr>
                    </w:div>
                  </w:divsChild>
                </w:div>
                <w:div w:id="929780836">
                  <w:marLeft w:val="0"/>
                  <w:marRight w:val="0"/>
                  <w:marTop w:val="0"/>
                  <w:marBottom w:val="0"/>
                  <w:divBdr>
                    <w:top w:val="none" w:sz="0" w:space="0" w:color="auto"/>
                    <w:left w:val="none" w:sz="0" w:space="0" w:color="auto"/>
                    <w:bottom w:val="none" w:sz="0" w:space="0" w:color="auto"/>
                    <w:right w:val="none" w:sz="0" w:space="0" w:color="auto"/>
                  </w:divBdr>
                  <w:divsChild>
                    <w:div w:id="1618028188">
                      <w:marLeft w:val="0"/>
                      <w:marRight w:val="0"/>
                      <w:marTop w:val="0"/>
                      <w:marBottom w:val="0"/>
                      <w:divBdr>
                        <w:top w:val="none" w:sz="0" w:space="0" w:color="auto"/>
                        <w:left w:val="none" w:sz="0" w:space="0" w:color="auto"/>
                        <w:bottom w:val="none" w:sz="0" w:space="0" w:color="auto"/>
                        <w:right w:val="none" w:sz="0" w:space="0" w:color="auto"/>
                      </w:divBdr>
                    </w:div>
                  </w:divsChild>
                </w:div>
                <w:div w:id="1141309820">
                  <w:marLeft w:val="0"/>
                  <w:marRight w:val="0"/>
                  <w:marTop w:val="0"/>
                  <w:marBottom w:val="0"/>
                  <w:divBdr>
                    <w:top w:val="none" w:sz="0" w:space="0" w:color="auto"/>
                    <w:left w:val="none" w:sz="0" w:space="0" w:color="auto"/>
                    <w:bottom w:val="none" w:sz="0" w:space="0" w:color="auto"/>
                    <w:right w:val="none" w:sz="0" w:space="0" w:color="auto"/>
                  </w:divBdr>
                  <w:divsChild>
                    <w:div w:id="440879201">
                      <w:marLeft w:val="0"/>
                      <w:marRight w:val="0"/>
                      <w:marTop w:val="0"/>
                      <w:marBottom w:val="0"/>
                      <w:divBdr>
                        <w:top w:val="none" w:sz="0" w:space="0" w:color="auto"/>
                        <w:left w:val="none" w:sz="0" w:space="0" w:color="auto"/>
                        <w:bottom w:val="none" w:sz="0" w:space="0" w:color="auto"/>
                        <w:right w:val="none" w:sz="0" w:space="0" w:color="auto"/>
                      </w:divBdr>
                    </w:div>
                  </w:divsChild>
                </w:div>
                <w:div w:id="1179386974">
                  <w:marLeft w:val="0"/>
                  <w:marRight w:val="0"/>
                  <w:marTop w:val="0"/>
                  <w:marBottom w:val="0"/>
                  <w:divBdr>
                    <w:top w:val="none" w:sz="0" w:space="0" w:color="auto"/>
                    <w:left w:val="none" w:sz="0" w:space="0" w:color="auto"/>
                    <w:bottom w:val="none" w:sz="0" w:space="0" w:color="auto"/>
                    <w:right w:val="none" w:sz="0" w:space="0" w:color="auto"/>
                  </w:divBdr>
                  <w:divsChild>
                    <w:div w:id="631979758">
                      <w:marLeft w:val="0"/>
                      <w:marRight w:val="0"/>
                      <w:marTop w:val="0"/>
                      <w:marBottom w:val="0"/>
                      <w:divBdr>
                        <w:top w:val="none" w:sz="0" w:space="0" w:color="auto"/>
                        <w:left w:val="none" w:sz="0" w:space="0" w:color="auto"/>
                        <w:bottom w:val="none" w:sz="0" w:space="0" w:color="auto"/>
                        <w:right w:val="none" w:sz="0" w:space="0" w:color="auto"/>
                      </w:divBdr>
                    </w:div>
                  </w:divsChild>
                </w:div>
                <w:div w:id="1648627433">
                  <w:marLeft w:val="0"/>
                  <w:marRight w:val="0"/>
                  <w:marTop w:val="0"/>
                  <w:marBottom w:val="0"/>
                  <w:divBdr>
                    <w:top w:val="none" w:sz="0" w:space="0" w:color="auto"/>
                    <w:left w:val="none" w:sz="0" w:space="0" w:color="auto"/>
                    <w:bottom w:val="none" w:sz="0" w:space="0" w:color="auto"/>
                    <w:right w:val="none" w:sz="0" w:space="0" w:color="auto"/>
                  </w:divBdr>
                  <w:divsChild>
                    <w:div w:id="1873884053">
                      <w:marLeft w:val="0"/>
                      <w:marRight w:val="0"/>
                      <w:marTop w:val="0"/>
                      <w:marBottom w:val="0"/>
                      <w:divBdr>
                        <w:top w:val="none" w:sz="0" w:space="0" w:color="auto"/>
                        <w:left w:val="none" w:sz="0" w:space="0" w:color="auto"/>
                        <w:bottom w:val="none" w:sz="0" w:space="0" w:color="auto"/>
                        <w:right w:val="none" w:sz="0" w:space="0" w:color="auto"/>
                      </w:divBdr>
                    </w:div>
                  </w:divsChild>
                </w:div>
                <w:div w:id="1659066896">
                  <w:marLeft w:val="0"/>
                  <w:marRight w:val="0"/>
                  <w:marTop w:val="0"/>
                  <w:marBottom w:val="0"/>
                  <w:divBdr>
                    <w:top w:val="none" w:sz="0" w:space="0" w:color="auto"/>
                    <w:left w:val="none" w:sz="0" w:space="0" w:color="auto"/>
                    <w:bottom w:val="none" w:sz="0" w:space="0" w:color="auto"/>
                    <w:right w:val="none" w:sz="0" w:space="0" w:color="auto"/>
                  </w:divBdr>
                  <w:divsChild>
                    <w:div w:id="289940301">
                      <w:marLeft w:val="0"/>
                      <w:marRight w:val="0"/>
                      <w:marTop w:val="0"/>
                      <w:marBottom w:val="0"/>
                      <w:divBdr>
                        <w:top w:val="none" w:sz="0" w:space="0" w:color="auto"/>
                        <w:left w:val="none" w:sz="0" w:space="0" w:color="auto"/>
                        <w:bottom w:val="none" w:sz="0" w:space="0" w:color="auto"/>
                        <w:right w:val="none" w:sz="0" w:space="0" w:color="auto"/>
                      </w:divBdr>
                    </w:div>
                  </w:divsChild>
                </w:div>
                <w:div w:id="1829206276">
                  <w:marLeft w:val="0"/>
                  <w:marRight w:val="0"/>
                  <w:marTop w:val="0"/>
                  <w:marBottom w:val="0"/>
                  <w:divBdr>
                    <w:top w:val="none" w:sz="0" w:space="0" w:color="auto"/>
                    <w:left w:val="none" w:sz="0" w:space="0" w:color="auto"/>
                    <w:bottom w:val="none" w:sz="0" w:space="0" w:color="auto"/>
                    <w:right w:val="none" w:sz="0" w:space="0" w:color="auto"/>
                  </w:divBdr>
                  <w:divsChild>
                    <w:div w:id="713578852">
                      <w:marLeft w:val="0"/>
                      <w:marRight w:val="0"/>
                      <w:marTop w:val="0"/>
                      <w:marBottom w:val="0"/>
                      <w:divBdr>
                        <w:top w:val="none" w:sz="0" w:space="0" w:color="auto"/>
                        <w:left w:val="none" w:sz="0" w:space="0" w:color="auto"/>
                        <w:bottom w:val="none" w:sz="0" w:space="0" w:color="auto"/>
                        <w:right w:val="none" w:sz="0" w:space="0" w:color="auto"/>
                      </w:divBdr>
                    </w:div>
                  </w:divsChild>
                </w:div>
                <w:div w:id="1929344119">
                  <w:marLeft w:val="0"/>
                  <w:marRight w:val="0"/>
                  <w:marTop w:val="0"/>
                  <w:marBottom w:val="0"/>
                  <w:divBdr>
                    <w:top w:val="none" w:sz="0" w:space="0" w:color="auto"/>
                    <w:left w:val="none" w:sz="0" w:space="0" w:color="auto"/>
                    <w:bottom w:val="none" w:sz="0" w:space="0" w:color="auto"/>
                    <w:right w:val="none" w:sz="0" w:space="0" w:color="auto"/>
                  </w:divBdr>
                  <w:divsChild>
                    <w:div w:id="1925214089">
                      <w:marLeft w:val="0"/>
                      <w:marRight w:val="0"/>
                      <w:marTop w:val="0"/>
                      <w:marBottom w:val="0"/>
                      <w:divBdr>
                        <w:top w:val="none" w:sz="0" w:space="0" w:color="auto"/>
                        <w:left w:val="none" w:sz="0" w:space="0" w:color="auto"/>
                        <w:bottom w:val="none" w:sz="0" w:space="0" w:color="auto"/>
                        <w:right w:val="none" w:sz="0" w:space="0" w:color="auto"/>
                      </w:divBdr>
                    </w:div>
                  </w:divsChild>
                </w:div>
                <w:div w:id="2109304856">
                  <w:marLeft w:val="0"/>
                  <w:marRight w:val="0"/>
                  <w:marTop w:val="0"/>
                  <w:marBottom w:val="0"/>
                  <w:divBdr>
                    <w:top w:val="none" w:sz="0" w:space="0" w:color="auto"/>
                    <w:left w:val="none" w:sz="0" w:space="0" w:color="auto"/>
                    <w:bottom w:val="none" w:sz="0" w:space="0" w:color="auto"/>
                    <w:right w:val="none" w:sz="0" w:space="0" w:color="auto"/>
                  </w:divBdr>
                  <w:divsChild>
                    <w:div w:id="56330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775903">
          <w:marLeft w:val="0"/>
          <w:marRight w:val="0"/>
          <w:marTop w:val="0"/>
          <w:marBottom w:val="0"/>
          <w:divBdr>
            <w:top w:val="none" w:sz="0" w:space="0" w:color="auto"/>
            <w:left w:val="none" w:sz="0" w:space="0" w:color="auto"/>
            <w:bottom w:val="none" w:sz="0" w:space="0" w:color="auto"/>
            <w:right w:val="none" w:sz="0" w:space="0" w:color="auto"/>
          </w:divBdr>
          <w:divsChild>
            <w:div w:id="171530432">
              <w:marLeft w:val="0"/>
              <w:marRight w:val="0"/>
              <w:marTop w:val="0"/>
              <w:marBottom w:val="0"/>
              <w:divBdr>
                <w:top w:val="none" w:sz="0" w:space="0" w:color="auto"/>
                <w:left w:val="none" w:sz="0" w:space="0" w:color="auto"/>
                <w:bottom w:val="none" w:sz="0" w:space="0" w:color="auto"/>
                <w:right w:val="none" w:sz="0" w:space="0" w:color="auto"/>
              </w:divBdr>
            </w:div>
            <w:div w:id="382407693">
              <w:marLeft w:val="0"/>
              <w:marRight w:val="0"/>
              <w:marTop w:val="0"/>
              <w:marBottom w:val="0"/>
              <w:divBdr>
                <w:top w:val="none" w:sz="0" w:space="0" w:color="auto"/>
                <w:left w:val="none" w:sz="0" w:space="0" w:color="auto"/>
                <w:bottom w:val="none" w:sz="0" w:space="0" w:color="auto"/>
                <w:right w:val="none" w:sz="0" w:space="0" w:color="auto"/>
              </w:divBdr>
            </w:div>
            <w:div w:id="637338685">
              <w:marLeft w:val="0"/>
              <w:marRight w:val="0"/>
              <w:marTop w:val="0"/>
              <w:marBottom w:val="0"/>
              <w:divBdr>
                <w:top w:val="none" w:sz="0" w:space="0" w:color="auto"/>
                <w:left w:val="none" w:sz="0" w:space="0" w:color="auto"/>
                <w:bottom w:val="none" w:sz="0" w:space="0" w:color="auto"/>
                <w:right w:val="none" w:sz="0" w:space="0" w:color="auto"/>
              </w:divBdr>
            </w:div>
            <w:div w:id="666834184">
              <w:marLeft w:val="0"/>
              <w:marRight w:val="0"/>
              <w:marTop w:val="0"/>
              <w:marBottom w:val="0"/>
              <w:divBdr>
                <w:top w:val="none" w:sz="0" w:space="0" w:color="auto"/>
                <w:left w:val="none" w:sz="0" w:space="0" w:color="auto"/>
                <w:bottom w:val="none" w:sz="0" w:space="0" w:color="auto"/>
                <w:right w:val="none" w:sz="0" w:space="0" w:color="auto"/>
              </w:divBdr>
            </w:div>
            <w:div w:id="897666116">
              <w:marLeft w:val="0"/>
              <w:marRight w:val="0"/>
              <w:marTop w:val="0"/>
              <w:marBottom w:val="0"/>
              <w:divBdr>
                <w:top w:val="none" w:sz="0" w:space="0" w:color="auto"/>
                <w:left w:val="none" w:sz="0" w:space="0" w:color="auto"/>
                <w:bottom w:val="none" w:sz="0" w:space="0" w:color="auto"/>
                <w:right w:val="none" w:sz="0" w:space="0" w:color="auto"/>
              </w:divBdr>
            </w:div>
            <w:div w:id="1141075827">
              <w:marLeft w:val="0"/>
              <w:marRight w:val="0"/>
              <w:marTop w:val="0"/>
              <w:marBottom w:val="0"/>
              <w:divBdr>
                <w:top w:val="none" w:sz="0" w:space="0" w:color="auto"/>
                <w:left w:val="none" w:sz="0" w:space="0" w:color="auto"/>
                <w:bottom w:val="none" w:sz="0" w:space="0" w:color="auto"/>
                <w:right w:val="none" w:sz="0" w:space="0" w:color="auto"/>
              </w:divBdr>
            </w:div>
            <w:div w:id="1261529669">
              <w:marLeft w:val="0"/>
              <w:marRight w:val="0"/>
              <w:marTop w:val="0"/>
              <w:marBottom w:val="0"/>
              <w:divBdr>
                <w:top w:val="none" w:sz="0" w:space="0" w:color="auto"/>
                <w:left w:val="none" w:sz="0" w:space="0" w:color="auto"/>
                <w:bottom w:val="none" w:sz="0" w:space="0" w:color="auto"/>
                <w:right w:val="none" w:sz="0" w:space="0" w:color="auto"/>
              </w:divBdr>
            </w:div>
            <w:div w:id="1886403413">
              <w:marLeft w:val="0"/>
              <w:marRight w:val="0"/>
              <w:marTop w:val="0"/>
              <w:marBottom w:val="0"/>
              <w:divBdr>
                <w:top w:val="none" w:sz="0" w:space="0" w:color="auto"/>
                <w:left w:val="none" w:sz="0" w:space="0" w:color="auto"/>
                <w:bottom w:val="none" w:sz="0" w:space="0" w:color="auto"/>
                <w:right w:val="none" w:sz="0" w:space="0" w:color="auto"/>
              </w:divBdr>
            </w:div>
            <w:div w:id="1971400410">
              <w:marLeft w:val="0"/>
              <w:marRight w:val="0"/>
              <w:marTop w:val="0"/>
              <w:marBottom w:val="0"/>
              <w:divBdr>
                <w:top w:val="none" w:sz="0" w:space="0" w:color="auto"/>
                <w:left w:val="none" w:sz="0" w:space="0" w:color="auto"/>
                <w:bottom w:val="none" w:sz="0" w:space="0" w:color="auto"/>
                <w:right w:val="none" w:sz="0" w:space="0" w:color="auto"/>
              </w:divBdr>
            </w:div>
            <w:div w:id="2115442904">
              <w:marLeft w:val="0"/>
              <w:marRight w:val="0"/>
              <w:marTop w:val="0"/>
              <w:marBottom w:val="0"/>
              <w:divBdr>
                <w:top w:val="none" w:sz="0" w:space="0" w:color="auto"/>
                <w:left w:val="none" w:sz="0" w:space="0" w:color="auto"/>
                <w:bottom w:val="none" w:sz="0" w:space="0" w:color="auto"/>
                <w:right w:val="none" w:sz="0" w:space="0" w:color="auto"/>
              </w:divBdr>
            </w:div>
            <w:div w:id="2139177738">
              <w:marLeft w:val="0"/>
              <w:marRight w:val="0"/>
              <w:marTop w:val="0"/>
              <w:marBottom w:val="0"/>
              <w:divBdr>
                <w:top w:val="none" w:sz="0" w:space="0" w:color="auto"/>
                <w:left w:val="none" w:sz="0" w:space="0" w:color="auto"/>
                <w:bottom w:val="none" w:sz="0" w:space="0" w:color="auto"/>
                <w:right w:val="none" w:sz="0" w:space="0" w:color="auto"/>
              </w:divBdr>
            </w:div>
          </w:divsChild>
        </w:div>
        <w:div w:id="1469400980">
          <w:marLeft w:val="0"/>
          <w:marRight w:val="0"/>
          <w:marTop w:val="0"/>
          <w:marBottom w:val="0"/>
          <w:divBdr>
            <w:top w:val="none" w:sz="0" w:space="0" w:color="auto"/>
            <w:left w:val="none" w:sz="0" w:space="0" w:color="auto"/>
            <w:bottom w:val="none" w:sz="0" w:space="0" w:color="auto"/>
            <w:right w:val="none" w:sz="0" w:space="0" w:color="auto"/>
          </w:divBdr>
          <w:divsChild>
            <w:div w:id="47733037">
              <w:marLeft w:val="0"/>
              <w:marRight w:val="0"/>
              <w:marTop w:val="0"/>
              <w:marBottom w:val="0"/>
              <w:divBdr>
                <w:top w:val="none" w:sz="0" w:space="0" w:color="auto"/>
                <w:left w:val="none" w:sz="0" w:space="0" w:color="auto"/>
                <w:bottom w:val="none" w:sz="0" w:space="0" w:color="auto"/>
                <w:right w:val="none" w:sz="0" w:space="0" w:color="auto"/>
              </w:divBdr>
            </w:div>
            <w:div w:id="179928709">
              <w:marLeft w:val="0"/>
              <w:marRight w:val="0"/>
              <w:marTop w:val="0"/>
              <w:marBottom w:val="0"/>
              <w:divBdr>
                <w:top w:val="none" w:sz="0" w:space="0" w:color="auto"/>
                <w:left w:val="none" w:sz="0" w:space="0" w:color="auto"/>
                <w:bottom w:val="none" w:sz="0" w:space="0" w:color="auto"/>
                <w:right w:val="none" w:sz="0" w:space="0" w:color="auto"/>
              </w:divBdr>
            </w:div>
            <w:div w:id="229077163">
              <w:marLeft w:val="0"/>
              <w:marRight w:val="0"/>
              <w:marTop w:val="0"/>
              <w:marBottom w:val="0"/>
              <w:divBdr>
                <w:top w:val="none" w:sz="0" w:space="0" w:color="auto"/>
                <w:left w:val="none" w:sz="0" w:space="0" w:color="auto"/>
                <w:bottom w:val="none" w:sz="0" w:space="0" w:color="auto"/>
                <w:right w:val="none" w:sz="0" w:space="0" w:color="auto"/>
              </w:divBdr>
            </w:div>
            <w:div w:id="442653346">
              <w:marLeft w:val="0"/>
              <w:marRight w:val="0"/>
              <w:marTop w:val="0"/>
              <w:marBottom w:val="0"/>
              <w:divBdr>
                <w:top w:val="none" w:sz="0" w:space="0" w:color="auto"/>
                <w:left w:val="none" w:sz="0" w:space="0" w:color="auto"/>
                <w:bottom w:val="none" w:sz="0" w:space="0" w:color="auto"/>
                <w:right w:val="none" w:sz="0" w:space="0" w:color="auto"/>
              </w:divBdr>
            </w:div>
            <w:div w:id="654604415">
              <w:marLeft w:val="0"/>
              <w:marRight w:val="0"/>
              <w:marTop w:val="0"/>
              <w:marBottom w:val="0"/>
              <w:divBdr>
                <w:top w:val="none" w:sz="0" w:space="0" w:color="auto"/>
                <w:left w:val="none" w:sz="0" w:space="0" w:color="auto"/>
                <w:bottom w:val="none" w:sz="0" w:space="0" w:color="auto"/>
                <w:right w:val="none" w:sz="0" w:space="0" w:color="auto"/>
              </w:divBdr>
            </w:div>
            <w:div w:id="749082910">
              <w:marLeft w:val="0"/>
              <w:marRight w:val="0"/>
              <w:marTop w:val="0"/>
              <w:marBottom w:val="0"/>
              <w:divBdr>
                <w:top w:val="none" w:sz="0" w:space="0" w:color="auto"/>
                <w:left w:val="none" w:sz="0" w:space="0" w:color="auto"/>
                <w:bottom w:val="none" w:sz="0" w:space="0" w:color="auto"/>
                <w:right w:val="none" w:sz="0" w:space="0" w:color="auto"/>
              </w:divBdr>
            </w:div>
            <w:div w:id="779378551">
              <w:marLeft w:val="0"/>
              <w:marRight w:val="0"/>
              <w:marTop w:val="0"/>
              <w:marBottom w:val="0"/>
              <w:divBdr>
                <w:top w:val="none" w:sz="0" w:space="0" w:color="auto"/>
                <w:left w:val="none" w:sz="0" w:space="0" w:color="auto"/>
                <w:bottom w:val="none" w:sz="0" w:space="0" w:color="auto"/>
                <w:right w:val="none" w:sz="0" w:space="0" w:color="auto"/>
              </w:divBdr>
            </w:div>
            <w:div w:id="886532246">
              <w:marLeft w:val="0"/>
              <w:marRight w:val="0"/>
              <w:marTop w:val="0"/>
              <w:marBottom w:val="0"/>
              <w:divBdr>
                <w:top w:val="none" w:sz="0" w:space="0" w:color="auto"/>
                <w:left w:val="none" w:sz="0" w:space="0" w:color="auto"/>
                <w:bottom w:val="none" w:sz="0" w:space="0" w:color="auto"/>
                <w:right w:val="none" w:sz="0" w:space="0" w:color="auto"/>
              </w:divBdr>
            </w:div>
            <w:div w:id="1032347055">
              <w:marLeft w:val="0"/>
              <w:marRight w:val="0"/>
              <w:marTop w:val="0"/>
              <w:marBottom w:val="0"/>
              <w:divBdr>
                <w:top w:val="none" w:sz="0" w:space="0" w:color="auto"/>
                <w:left w:val="none" w:sz="0" w:space="0" w:color="auto"/>
                <w:bottom w:val="none" w:sz="0" w:space="0" w:color="auto"/>
                <w:right w:val="none" w:sz="0" w:space="0" w:color="auto"/>
              </w:divBdr>
            </w:div>
            <w:div w:id="1405031638">
              <w:marLeft w:val="0"/>
              <w:marRight w:val="0"/>
              <w:marTop w:val="0"/>
              <w:marBottom w:val="0"/>
              <w:divBdr>
                <w:top w:val="none" w:sz="0" w:space="0" w:color="auto"/>
                <w:left w:val="none" w:sz="0" w:space="0" w:color="auto"/>
                <w:bottom w:val="none" w:sz="0" w:space="0" w:color="auto"/>
                <w:right w:val="none" w:sz="0" w:space="0" w:color="auto"/>
              </w:divBdr>
            </w:div>
            <w:div w:id="1762919161">
              <w:marLeft w:val="0"/>
              <w:marRight w:val="0"/>
              <w:marTop w:val="0"/>
              <w:marBottom w:val="0"/>
              <w:divBdr>
                <w:top w:val="none" w:sz="0" w:space="0" w:color="auto"/>
                <w:left w:val="none" w:sz="0" w:space="0" w:color="auto"/>
                <w:bottom w:val="none" w:sz="0" w:space="0" w:color="auto"/>
                <w:right w:val="none" w:sz="0" w:space="0" w:color="auto"/>
              </w:divBdr>
            </w:div>
            <w:div w:id="1817332293">
              <w:marLeft w:val="0"/>
              <w:marRight w:val="0"/>
              <w:marTop w:val="0"/>
              <w:marBottom w:val="0"/>
              <w:divBdr>
                <w:top w:val="none" w:sz="0" w:space="0" w:color="auto"/>
                <w:left w:val="none" w:sz="0" w:space="0" w:color="auto"/>
                <w:bottom w:val="none" w:sz="0" w:space="0" w:color="auto"/>
                <w:right w:val="none" w:sz="0" w:space="0" w:color="auto"/>
              </w:divBdr>
            </w:div>
          </w:divsChild>
        </w:div>
        <w:div w:id="1476950994">
          <w:marLeft w:val="0"/>
          <w:marRight w:val="0"/>
          <w:marTop w:val="0"/>
          <w:marBottom w:val="0"/>
          <w:divBdr>
            <w:top w:val="none" w:sz="0" w:space="0" w:color="auto"/>
            <w:left w:val="none" w:sz="0" w:space="0" w:color="auto"/>
            <w:bottom w:val="none" w:sz="0" w:space="0" w:color="auto"/>
            <w:right w:val="none" w:sz="0" w:space="0" w:color="auto"/>
          </w:divBdr>
          <w:divsChild>
            <w:div w:id="477382587">
              <w:marLeft w:val="0"/>
              <w:marRight w:val="0"/>
              <w:marTop w:val="0"/>
              <w:marBottom w:val="0"/>
              <w:divBdr>
                <w:top w:val="none" w:sz="0" w:space="0" w:color="auto"/>
                <w:left w:val="none" w:sz="0" w:space="0" w:color="auto"/>
                <w:bottom w:val="none" w:sz="0" w:space="0" w:color="auto"/>
                <w:right w:val="none" w:sz="0" w:space="0" w:color="auto"/>
              </w:divBdr>
            </w:div>
            <w:div w:id="909728690">
              <w:marLeft w:val="0"/>
              <w:marRight w:val="0"/>
              <w:marTop w:val="0"/>
              <w:marBottom w:val="0"/>
              <w:divBdr>
                <w:top w:val="none" w:sz="0" w:space="0" w:color="auto"/>
                <w:left w:val="none" w:sz="0" w:space="0" w:color="auto"/>
                <w:bottom w:val="none" w:sz="0" w:space="0" w:color="auto"/>
                <w:right w:val="none" w:sz="0" w:space="0" w:color="auto"/>
              </w:divBdr>
            </w:div>
            <w:div w:id="1004742338">
              <w:marLeft w:val="0"/>
              <w:marRight w:val="0"/>
              <w:marTop w:val="0"/>
              <w:marBottom w:val="0"/>
              <w:divBdr>
                <w:top w:val="none" w:sz="0" w:space="0" w:color="auto"/>
                <w:left w:val="none" w:sz="0" w:space="0" w:color="auto"/>
                <w:bottom w:val="none" w:sz="0" w:space="0" w:color="auto"/>
                <w:right w:val="none" w:sz="0" w:space="0" w:color="auto"/>
              </w:divBdr>
            </w:div>
            <w:div w:id="1344278620">
              <w:marLeft w:val="0"/>
              <w:marRight w:val="0"/>
              <w:marTop w:val="0"/>
              <w:marBottom w:val="0"/>
              <w:divBdr>
                <w:top w:val="none" w:sz="0" w:space="0" w:color="auto"/>
                <w:left w:val="none" w:sz="0" w:space="0" w:color="auto"/>
                <w:bottom w:val="none" w:sz="0" w:space="0" w:color="auto"/>
                <w:right w:val="none" w:sz="0" w:space="0" w:color="auto"/>
              </w:divBdr>
            </w:div>
            <w:div w:id="1704939430">
              <w:marLeft w:val="0"/>
              <w:marRight w:val="0"/>
              <w:marTop w:val="0"/>
              <w:marBottom w:val="0"/>
              <w:divBdr>
                <w:top w:val="none" w:sz="0" w:space="0" w:color="auto"/>
                <w:left w:val="none" w:sz="0" w:space="0" w:color="auto"/>
                <w:bottom w:val="none" w:sz="0" w:space="0" w:color="auto"/>
                <w:right w:val="none" w:sz="0" w:space="0" w:color="auto"/>
              </w:divBdr>
            </w:div>
            <w:div w:id="1775442018">
              <w:marLeft w:val="0"/>
              <w:marRight w:val="0"/>
              <w:marTop w:val="0"/>
              <w:marBottom w:val="0"/>
              <w:divBdr>
                <w:top w:val="none" w:sz="0" w:space="0" w:color="auto"/>
                <w:left w:val="none" w:sz="0" w:space="0" w:color="auto"/>
                <w:bottom w:val="none" w:sz="0" w:space="0" w:color="auto"/>
                <w:right w:val="none" w:sz="0" w:space="0" w:color="auto"/>
              </w:divBdr>
            </w:div>
            <w:div w:id="1783762963">
              <w:marLeft w:val="0"/>
              <w:marRight w:val="0"/>
              <w:marTop w:val="0"/>
              <w:marBottom w:val="0"/>
              <w:divBdr>
                <w:top w:val="none" w:sz="0" w:space="0" w:color="auto"/>
                <w:left w:val="none" w:sz="0" w:space="0" w:color="auto"/>
                <w:bottom w:val="none" w:sz="0" w:space="0" w:color="auto"/>
                <w:right w:val="none" w:sz="0" w:space="0" w:color="auto"/>
              </w:divBdr>
            </w:div>
            <w:div w:id="1968316710">
              <w:marLeft w:val="0"/>
              <w:marRight w:val="0"/>
              <w:marTop w:val="0"/>
              <w:marBottom w:val="0"/>
              <w:divBdr>
                <w:top w:val="none" w:sz="0" w:space="0" w:color="auto"/>
                <w:left w:val="none" w:sz="0" w:space="0" w:color="auto"/>
                <w:bottom w:val="none" w:sz="0" w:space="0" w:color="auto"/>
                <w:right w:val="none" w:sz="0" w:space="0" w:color="auto"/>
              </w:divBdr>
            </w:div>
          </w:divsChild>
        </w:div>
        <w:div w:id="1477181854">
          <w:marLeft w:val="0"/>
          <w:marRight w:val="0"/>
          <w:marTop w:val="0"/>
          <w:marBottom w:val="0"/>
          <w:divBdr>
            <w:top w:val="none" w:sz="0" w:space="0" w:color="auto"/>
            <w:left w:val="none" w:sz="0" w:space="0" w:color="auto"/>
            <w:bottom w:val="none" w:sz="0" w:space="0" w:color="auto"/>
            <w:right w:val="none" w:sz="0" w:space="0" w:color="auto"/>
          </w:divBdr>
          <w:divsChild>
            <w:div w:id="220674276">
              <w:marLeft w:val="0"/>
              <w:marRight w:val="0"/>
              <w:marTop w:val="0"/>
              <w:marBottom w:val="0"/>
              <w:divBdr>
                <w:top w:val="none" w:sz="0" w:space="0" w:color="auto"/>
                <w:left w:val="none" w:sz="0" w:space="0" w:color="auto"/>
                <w:bottom w:val="none" w:sz="0" w:space="0" w:color="auto"/>
                <w:right w:val="none" w:sz="0" w:space="0" w:color="auto"/>
              </w:divBdr>
            </w:div>
            <w:div w:id="535583916">
              <w:marLeft w:val="0"/>
              <w:marRight w:val="0"/>
              <w:marTop w:val="0"/>
              <w:marBottom w:val="0"/>
              <w:divBdr>
                <w:top w:val="none" w:sz="0" w:space="0" w:color="auto"/>
                <w:left w:val="none" w:sz="0" w:space="0" w:color="auto"/>
                <w:bottom w:val="none" w:sz="0" w:space="0" w:color="auto"/>
                <w:right w:val="none" w:sz="0" w:space="0" w:color="auto"/>
              </w:divBdr>
            </w:div>
            <w:div w:id="1090349467">
              <w:marLeft w:val="0"/>
              <w:marRight w:val="0"/>
              <w:marTop w:val="0"/>
              <w:marBottom w:val="0"/>
              <w:divBdr>
                <w:top w:val="none" w:sz="0" w:space="0" w:color="auto"/>
                <w:left w:val="none" w:sz="0" w:space="0" w:color="auto"/>
                <w:bottom w:val="none" w:sz="0" w:space="0" w:color="auto"/>
                <w:right w:val="none" w:sz="0" w:space="0" w:color="auto"/>
              </w:divBdr>
            </w:div>
            <w:div w:id="1256591727">
              <w:marLeft w:val="0"/>
              <w:marRight w:val="0"/>
              <w:marTop w:val="0"/>
              <w:marBottom w:val="0"/>
              <w:divBdr>
                <w:top w:val="none" w:sz="0" w:space="0" w:color="auto"/>
                <w:left w:val="none" w:sz="0" w:space="0" w:color="auto"/>
                <w:bottom w:val="none" w:sz="0" w:space="0" w:color="auto"/>
                <w:right w:val="none" w:sz="0" w:space="0" w:color="auto"/>
              </w:divBdr>
            </w:div>
            <w:div w:id="1257322586">
              <w:marLeft w:val="0"/>
              <w:marRight w:val="0"/>
              <w:marTop w:val="0"/>
              <w:marBottom w:val="0"/>
              <w:divBdr>
                <w:top w:val="none" w:sz="0" w:space="0" w:color="auto"/>
                <w:left w:val="none" w:sz="0" w:space="0" w:color="auto"/>
                <w:bottom w:val="none" w:sz="0" w:space="0" w:color="auto"/>
                <w:right w:val="none" w:sz="0" w:space="0" w:color="auto"/>
              </w:divBdr>
            </w:div>
            <w:div w:id="1346250787">
              <w:marLeft w:val="0"/>
              <w:marRight w:val="0"/>
              <w:marTop w:val="0"/>
              <w:marBottom w:val="0"/>
              <w:divBdr>
                <w:top w:val="none" w:sz="0" w:space="0" w:color="auto"/>
                <w:left w:val="none" w:sz="0" w:space="0" w:color="auto"/>
                <w:bottom w:val="none" w:sz="0" w:space="0" w:color="auto"/>
                <w:right w:val="none" w:sz="0" w:space="0" w:color="auto"/>
              </w:divBdr>
            </w:div>
            <w:div w:id="1382169616">
              <w:marLeft w:val="0"/>
              <w:marRight w:val="0"/>
              <w:marTop w:val="0"/>
              <w:marBottom w:val="0"/>
              <w:divBdr>
                <w:top w:val="none" w:sz="0" w:space="0" w:color="auto"/>
                <w:left w:val="none" w:sz="0" w:space="0" w:color="auto"/>
                <w:bottom w:val="none" w:sz="0" w:space="0" w:color="auto"/>
                <w:right w:val="none" w:sz="0" w:space="0" w:color="auto"/>
              </w:divBdr>
            </w:div>
            <w:div w:id="1924953133">
              <w:marLeft w:val="0"/>
              <w:marRight w:val="0"/>
              <w:marTop w:val="0"/>
              <w:marBottom w:val="0"/>
              <w:divBdr>
                <w:top w:val="none" w:sz="0" w:space="0" w:color="auto"/>
                <w:left w:val="none" w:sz="0" w:space="0" w:color="auto"/>
                <w:bottom w:val="none" w:sz="0" w:space="0" w:color="auto"/>
                <w:right w:val="none" w:sz="0" w:space="0" w:color="auto"/>
              </w:divBdr>
            </w:div>
            <w:div w:id="2036421323">
              <w:marLeft w:val="0"/>
              <w:marRight w:val="0"/>
              <w:marTop w:val="0"/>
              <w:marBottom w:val="0"/>
              <w:divBdr>
                <w:top w:val="none" w:sz="0" w:space="0" w:color="auto"/>
                <w:left w:val="none" w:sz="0" w:space="0" w:color="auto"/>
                <w:bottom w:val="none" w:sz="0" w:space="0" w:color="auto"/>
                <w:right w:val="none" w:sz="0" w:space="0" w:color="auto"/>
              </w:divBdr>
            </w:div>
          </w:divsChild>
        </w:div>
        <w:div w:id="1501651060">
          <w:marLeft w:val="0"/>
          <w:marRight w:val="0"/>
          <w:marTop w:val="0"/>
          <w:marBottom w:val="0"/>
          <w:divBdr>
            <w:top w:val="none" w:sz="0" w:space="0" w:color="auto"/>
            <w:left w:val="none" w:sz="0" w:space="0" w:color="auto"/>
            <w:bottom w:val="none" w:sz="0" w:space="0" w:color="auto"/>
            <w:right w:val="none" w:sz="0" w:space="0" w:color="auto"/>
          </w:divBdr>
        </w:div>
        <w:div w:id="1502112973">
          <w:marLeft w:val="0"/>
          <w:marRight w:val="0"/>
          <w:marTop w:val="0"/>
          <w:marBottom w:val="0"/>
          <w:divBdr>
            <w:top w:val="none" w:sz="0" w:space="0" w:color="auto"/>
            <w:left w:val="none" w:sz="0" w:space="0" w:color="auto"/>
            <w:bottom w:val="none" w:sz="0" w:space="0" w:color="auto"/>
            <w:right w:val="none" w:sz="0" w:space="0" w:color="auto"/>
          </w:divBdr>
        </w:div>
        <w:div w:id="1524246678">
          <w:marLeft w:val="0"/>
          <w:marRight w:val="0"/>
          <w:marTop w:val="0"/>
          <w:marBottom w:val="0"/>
          <w:divBdr>
            <w:top w:val="none" w:sz="0" w:space="0" w:color="auto"/>
            <w:left w:val="none" w:sz="0" w:space="0" w:color="auto"/>
            <w:bottom w:val="none" w:sz="0" w:space="0" w:color="auto"/>
            <w:right w:val="none" w:sz="0" w:space="0" w:color="auto"/>
          </w:divBdr>
        </w:div>
        <w:div w:id="1533298411">
          <w:marLeft w:val="0"/>
          <w:marRight w:val="0"/>
          <w:marTop w:val="0"/>
          <w:marBottom w:val="0"/>
          <w:divBdr>
            <w:top w:val="none" w:sz="0" w:space="0" w:color="auto"/>
            <w:left w:val="none" w:sz="0" w:space="0" w:color="auto"/>
            <w:bottom w:val="none" w:sz="0" w:space="0" w:color="auto"/>
            <w:right w:val="none" w:sz="0" w:space="0" w:color="auto"/>
          </w:divBdr>
          <w:divsChild>
            <w:div w:id="170224182">
              <w:marLeft w:val="0"/>
              <w:marRight w:val="0"/>
              <w:marTop w:val="0"/>
              <w:marBottom w:val="0"/>
              <w:divBdr>
                <w:top w:val="none" w:sz="0" w:space="0" w:color="auto"/>
                <w:left w:val="none" w:sz="0" w:space="0" w:color="auto"/>
                <w:bottom w:val="none" w:sz="0" w:space="0" w:color="auto"/>
                <w:right w:val="none" w:sz="0" w:space="0" w:color="auto"/>
              </w:divBdr>
            </w:div>
            <w:div w:id="244654930">
              <w:marLeft w:val="0"/>
              <w:marRight w:val="0"/>
              <w:marTop w:val="0"/>
              <w:marBottom w:val="0"/>
              <w:divBdr>
                <w:top w:val="none" w:sz="0" w:space="0" w:color="auto"/>
                <w:left w:val="none" w:sz="0" w:space="0" w:color="auto"/>
                <w:bottom w:val="none" w:sz="0" w:space="0" w:color="auto"/>
                <w:right w:val="none" w:sz="0" w:space="0" w:color="auto"/>
              </w:divBdr>
            </w:div>
            <w:div w:id="364448223">
              <w:marLeft w:val="0"/>
              <w:marRight w:val="0"/>
              <w:marTop w:val="0"/>
              <w:marBottom w:val="0"/>
              <w:divBdr>
                <w:top w:val="none" w:sz="0" w:space="0" w:color="auto"/>
                <w:left w:val="none" w:sz="0" w:space="0" w:color="auto"/>
                <w:bottom w:val="none" w:sz="0" w:space="0" w:color="auto"/>
                <w:right w:val="none" w:sz="0" w:space="0" w:color="auto"/>
              </w:divBdr>
            </w:div>
            <w:div w:id="1257255055">
              <w:marLeft w:val="0"/>
              <w:marRight w:val="0"/>
              <w:marTop w:val="0"/>
              <w:marBottom w:val="0"/>
              <w:divBdr>
                <w:top w:val="none" w:sz="0" w:space="0" w:color="auto"/>
                <w:left w:val="none" w:sz="0" w:space="0" w:color="auto"/>
                <w:bottom w:val="none" w:sz="0" w:space="0" w:color="auto"/>
                <w:right w:val="none" w:sz="0" w:space="0" w:color="auto"/>
              </w:divBdr>
            </w:div>
            <w:div w:id="1414548185">
              <w:marLeft w:val="0"/>
              <w:marRight w:val="0"/>
              <w:marTop w:val="0"/>
              <w:marBottom w:val="0"/>
              <w:divBdr>
                <w:top w:val="none" w:sz="0" w:space="0" w:color="auto"/>
                <w:left w:val="none" w:sz="0" w:space="0" w:color="auto"/>
                <w:bottom w:val="none" w:sz="0" w:space="0" w:color="auto"/>
                <w:right w:val="none" w:sz="0" w:space="0" w:color="auto"/>
              </w:divBdr>
            </w:div>
            <w:div w:id="2000304231">
              <w:marLeft w:val="0"/>
              <w:marRight w:val="0"/>
              <w:marTop w:val="0"/>
              <w:marBottom w:val="0"/>
              <w:divBdr>
                <w:top w:val="none" w:sz="0" w:space="0" w:color="auto"/>
                <w:left w:val="none" w:sz="0" w:space="0" w:color="auto"/>
                <w:bottom w:val="none" w:sz="0" w:space="0" w:color="auto"/>
                <w:right w:val="none" w:sz="0" w:space="0" w:color="auto"/>
              </w:divBdr>
            </w:div>
            <w:div w:id="2044284339">
              <w:marLeft w:val="0"/>
              <w:marRight w:val="0"/>
              <w:marTop w:val="0"/>
              <w:marBottom w:val="0"/>
              <w:divBdr>
                <w:top w:val="none" w:sz="0" w:space="0" w:color="auto"/>
                <w:left w:val="none" w:sz="0" w:space="0" w:color="auto"/>
                <w:bottom w:val="none" w:sz="0" w:space="0" w:color="auto"/>
                <w:right w:val="none" w:sz="0" w:space="0" w:color="auto"/>
              </w:divBdr>
            </w:div>
            <w:div w:id="2125271674">
              <w:marLeft w:val="0"/>
              <w:marRight w:val="0"/>
              <w:marTop w:val="0"/>
              <w:marBottom w:val="0"/>
              <w:divBdr>
                <w:top w:val="none" w:sz="0" w:space="0" w:color="auto"/>
                <w:left w:val="none" w:sz="0" w:space="0" w:color="auto"/>
                <w:bottom w:val="none" w:sz="0" w:space="0" w:color="auto"/>
                <w:right w:val="none" w:sz="0" w:space="0" w:color="auto"/>
              </w:divBdr>
            </w:div>
          </w:divsChild>
        </w:div>
        <w:div w:id="1537309354">
          <w:marLeft w:val="0"/>
          <w:marRight w:val="0"/>
          <w:marTop w:val="0"/>
          <w:marBottom w:val="0"/>
          <w:divBdr>
            <w:top w:val="none" w:sz="0" w:space="0" w:color="auto"/>
            <w:left w:val="none" w:sz="0" w:space="0" w:color="auto"/>
            <w:bottom w:val="none" w:sz="0" w:space="0" w:color="auto"/>
            <w:right w:val="none" w:sz="0" w:space="0" w:color="auto"/>
          </w:divBdr>
          <w:divsChild>
            <w:div w:id="1484934952">
              <w:marLeft w:val="-75"/>
              <w:marRight w:val="0"/>
              <w:marTop w:val="30"/>
              <w:marBottom w:val="30"/>
              <w:divBdr>
                <w:top w:val="none" w:sz="0" w:space="0" w:color="auto"/>
                <w:left w:val="none" w:sz="0" w:space="0" w:color="auto"/>
                <w:bottom w:val="none" w:sz="0" w:space="0" w:color="auto"/>
                <w:right w:val="none" w:sz="0" w:space="0" w:color="auto"/>
              </w:divBdr>
              <w:divsChild>
                <w:div w:id="354773417">
                  <w:marLeft w:val="0"/>
                  <w:marRight w:val="0"/>
                  <w:marTop w:val="0"/>
                  <w:marBottom w:val="0"/>
                  <w:divBdr>
                    <w:top w:val="none" w:sz="0" w:space="0" w:color="auto"/>
                    <w:left w:val="none" w:sz="0" w:space="0" w:color="auto"/>
                    <w:bottom w:val="none" w:sz="0" w:space="0" w:color="auto"/>
                    <w:right w:val="none" w:sz="0" w:space="0" w:color="auto"/>
                  </w:divBdr>
                  <w:divsChild>
                    <w:div w:id="1447191459">
                      <w:marLeft w:val="0"/>
                      <w:marRight w:val="0"/>
                      <w:marTop w:val="0"/>
                      <w:marBottom w:val="0"/>
                      <w:divBdr>
                        <w:top w:val="none" w:sz="0" w:space="0" w:color="auto"/>
                        <w:left w:val="none" w:sz="0" w:space="0" w:color="auto"/>
                        <w:bottom w:val="none" w:sz="0" w:space="0" w:color="auto"/>
                        <w:right w:val="none" w:sz="0" w:space="0" w:color="auto"/>
                      </w:divBdr>
                    </w:div>
                  </w:divsChild>
                </w:div>
                <w:div w:id="519244440">
                  <w:marLeft w:val="0"/>
                  <w:marRight w:val="0"/>
                  <w:marTop w:val="0"/>
                  <w:marBottom w:val="0"/>
                  <w:divBdr>
                    <w:top w:val="none" w:sz="0" w:space="0" w:color="auto"/>
                    <w:left w:val="none" w:sz="0" w:space="0" w:color="auto"/>
                    <w:bottom w:val="none" w:sz="0" w:space="0" w:color="auto"/>
                    <w:right w:val="none" w:sz="0" w:space="0" w:color="auto"/>
                  </w:divBdr>
                  <w:divsChild>
                    <w:div w:id="358556135">
                      <w:marLeft w:val="0"/>
                      <w:marRight w:val="0"/>
                      <w:marTop w:val="0"/>
                      <w:marBottom w:val="0"/>
                      <w:divBdr>
                        <w:top w:val="none" w:sz="0" w:space="0" w:color="auto"/>
                        <w:left w:val="none" w:sz="0" w:space="0" w:color="auto"/>
                        <w:bottom w:val="none" w:sz="0" w:space="0" w:color="auto"/>
                        <w:right w:val="none" w:sz="0" w:space="0" w:color="auto"/>
                      </w:divBdr>
                    </w:div>
                  </w:divsChild>
                </w:div>
                <w:div w:id="558058311">
                  <w:marLeft w:val="0"/>
                  <w:marRight w:val="0"/>
                  <w:marTop w:val="0"/>
                  <w:marBottom w:val="0"/>
                  <w:divBdr>
                    <w:top w:val="none" w:sz="0" w:space="0" w:color="auto"/>
                    <w:left w:val="none" w:sz="0" w:space="0" w:color="auto"/>
                    <w:bottom w:val="none" w:sz="0" w:space="0" w:color="auto"/>
                    <w:right w:val="none" w:sz="0" w:space="0" w:color="auto"/>
                  </w:divBdr>
                  <w:divsChild>
                    <w:div w:id="8677547">
                      <w:marLeft w:val="0"/>
                      <w:marRight w:val="0"/>
                      <w:marTop w:val="0"/>
                      <w:marBottom w:val="0"/>
                      <w:divBdr>
                        <w:top w:val="none" w:sz="0" w:space="0" w:color="auto"/>
                        <w:left w:val="none" w:sz="0" w:space="0" w:color="auto"/>
                        <w:bottom w:val="none" w:sz="0" w:space="0" w:color="auto"/>
                        <w:right w:val="none" w:sz="0" w:space="0" w:color="auto"/>
                      </w:divBdr>
                    </w:div>
                  </w:divsChild>
                </w:div>
                <w:div w:id="672730419">
                  <w:marLeft w:val="0"/>
                  <w:marRight w:val="0"/>
                  <w:marTop w:val="0"/>
                  <w:marBottom w:val="0"/>
                  <w:divBdr>
                    <w:top w:val="none" w:sz="0" w:space="0" w:color="auto"/>
                    <w:left w:val="none" w:sz="0" w:space="0" w:color="auto"/>
                    <w:bottom w:val="none" w:sz="0" w:space="0" w:color="auto"/>
                    <w:right w:val="none" w:sz="0" w:space="0" w:color="auto"/>
                  </w:divBdr>
                  <w:divsChild>
                    <w:div w:id="890772560">
                      <w:marLeft w:val="0"/>
                      <w:marRight w:val="0"/>
                      <w:marTop w:val="0"/>
                      <w:marBottom w:val="0"/>
                      <w:divBdr>
                        <w:top w:val="none" w:sz="0" w:space="0" w:color="auto"/>
                        <w:left w:val="none" w:sz="0" w:space="0" w:color="auto"/>
                        <w:bottom w:val="none" w:sz="0" w:space="0" w:color="auto"/>
                        <w:right w:val="none" w:sz="0" w:space="0" w:color="auto"/>
                      </w:divBdr>
                    </w:div>
                  </w:divsChild>
                </w:div>
                <w:div w:id="1337727623">
                  <w:marLeft w:val="0"/>
                  <w:marRight w:val="0"/>
                  <w:marTop w:val="0"/>
                  <w:marBottom w:val="0"/>
                  <w:divBdr>
                    <w:top w:val="none" w:sz="0" w:space="0" w:color="auto"/>
                    <w:left w:val="none" w:sz="0" w:space="0" w:color="auto"/>
                    <w:bottom w:val="none" w:sz="0" w:space="0" w:color="auto"/>
                    <w:right w:val="none" w:sz="0" w:space="0" w:color="auto"/>
                  </w:divBdr>
                  <w:divsChild>
                    <w:div w:id="47732727">
                      <w:marLeft w:val="0"/>
                      <w:marRight w:val="0"/>
                      <w:marTop w:val="0"/>
                      <w:marBottom w:val="0"/>
                      <w:divBdr>
                        <w:top w:val="none" w:sz="0" w:space="0" w:color="auto"/>
                        <w:left w:val="none" w:sz="0" w:space="0" w:color="auto"/>
                        <w:bottom w:val="none" w:sz="0" w:space="0" w:color="auto"/>
                        <w:right w:val="none" w:sz="0" w:space="0" w:color="auto"/>
                      </w:divBdr>
                    </w:div>
                  </w:divsChild>
                </w:div>
                <w:div w:id="1407192049">
                  <w:marLeft w:val="0"/>
                  <w:marRight w:val="0"/>
                  <w:marTop w:val="0"/>
                  <w:marBottom w:val="0"/>
                  <w:divBdr>
                    <w:top w:val="none" w:sz="0" w:space="0" w:color="auto"/>
                    <w:left w:val="none" w:sz="0" w:space="0" w:color="auto"/>
                    <w:bottom w:val="none" w:sz="0" w:space="0" w:color="auto"/>
                    <w:right w:val="none" w:sz="0" w:space="0" w:color="auto"/>
                  </w:divBdr>
                  <w:divsChild>
                    <w:div w:id="911083429">
                      <w:marLeft w:val="0"/>
                      <w:marRight w:val="0"/>
                      <w:marTop w:val="0"/>
                      <w:marBottom w:val="0"/>
                      <w:divBdr>
                        <w:top w:val="none" w:sz="0" w:space="0" w:color="auto"/>
                        <w:left w:val="none" w:sz="0" w:space="0" w:color="auto"/>
                        <w:bottom w:val="none" w:sz="0" w:space="0" w:color="auto"/>
                        <w:right w:val="none" w:sz="0" w:space="0" w:color="auto"/>
                      </w:divBdr>
                    </w:div>
                  </w:divsChild>
                </w:div>
                <w:div w:id="2016178355">
                  <w:marLeft w:val="0"/>
                  <w:marRight w:val="0"/>
                  <w:marTop w:val="0"/>
                  <w:marBottom w:val="0"/>
                  <w:divBdr>
                    <w:top w:val="none" w:sz="0" w:space="0" w:color="auto"/>
                    <w:left w:val="none" w:sz="0" w:space="0" w:color="auto"/>
                    <w:bottom w:val="none" w:sz="0" w:space="0" w:color="auto"/>
                    <w:right w:val="none" w:sz="0" w:space="0" w:color="auto"/>
                  </w:divBdr>
                  <w:divsChild>
                    <w:div w:id="694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20612">
          <w:marLeft w:val="0"/>
          <w:marRight w:val="0"/>
          <w:marTop w:val="0"/>
          <w:marBottom w:val="0"/>
          <w:divBdr>
            <w:top w:val="none" w:sz="0" w:space="0" w:color="auto"/>
            <w:left w:val="none" w:sz="0" w:space="0" w:color="auto"/>
            <w:bottom w:val="none" w:sz="0" w:space="0" w:color="auto"/>
            <w:right w:val="none" w:sz="0" w:space="0" w:color="auto"/>
          </w:divBdr>
        </w:div>
        <w:div w:id="1541092739">
          <w:marLeft w:val="0"/>
          <w:marRight w:val="0"/>
          <w:marTop w:val="0"/>
          <w:marBottom w:val="0"/>
          <w:divBdr>
            <w:top w:val="none" w:sz="0" w:space="0" w:color="auto"/>
            <w:left w:val="none" w:sz="0" w:space="0" w:color="auto"/>
            <w:bottom w:val="none" w:sz="0" w:space="0" w:color="auto"/>
            <w:right w:val="none" w:sz="0" w:space="0" w:color="auto"/>
          </w:divBdr>
          <w:divsChild>
            <w:div w:id="137188995">
              <w:marLeft w:val="0"/>
              <w:marRight w:val="0"/>
              <w:marTop w:val="0"/>
              <w:marBottom w:val="0"/>
              <w:divBdr>
                <w:top w:val="none" w:sz="0" w:space="0" w:color="auto"/>
                <w:left w:val="none" w:sz="0" w:space="0" w:color="auto"/>
                <w:bottom w:val="none" w:sz="0" w:space="0" w:color="auto"/>
                <w:right w:val="none" w:sz="0" w:space="0" w:color="auto"/>
              </w:divBdr>
            </w:div>
            <w:div w:id="234585420">
              <w:marLeft w:val="0"/>
              <w:marRight w:val="0"/>
              <w:marTop w:val="0"/>
              <w:marBottom w:val="0"/>
              <w:divBdr>
                <w:top w:val="none" w:sz="0" w:space="0" w:color="auto"/>
                <w:left w:val="none" w:sz="0" w:space="0" w:color="auto"/>
                <w:bottom w:val="none" w:sz="0" w:space="0" w:color="auto"/>
                <w:right w:val="none" w:sz="0" w:space="0" w:color="auto"/>
              </w:divBdr>
            </w:div>
            <w:div w:id="309750749">
              <w:marLeft w:val="0"/>
              <w:marRight w:val="0"/>
              <w:marTop w:val="0"/>
              <w:marBottom w:val="0"/>
              <w:divBdr>
                <w:top w:val="none" w:sz="0" w:space="0" w:color="auto"/>
                <w:left w:val="none" w:sz="0" w:space="0" w:color="auto"/>
                <w:bottom w:val="none" w:sz="0" w:space="0" w:color="auto"/>
                <w:right w:val="none" w:sz="0" w:space="0" w:color="auto"/>
              </w:divBdr>
            </w:div>
            <w:div w:id="399988380">
              <w:marLeft w:val="0"/>
              <w:marRight w:val="0"/>
              <w:marTop w:val="0"/>
              <w:marBottom w:val="0"/>
              <w:divBdr>
                <w:top w:val="none" w:sz="0" w:space="0" w:color="auto"/>
                <w:left w:val="none" w:sz="0" w:space="0" w:color="auto"/>
                <w:bottom w:val="none" w:sz="0" w:space="0" w:color="auto"/>
                <w:right w:val="none" w:sz="0" w:space="0" w:color="auto"/>
              </w:divBdr>
            </w:div>
            <w:div w:id="498934419">
              <w:marLeft w:val="0"/>
              <w:marRight w:val="0"/>
              <w:marTop w:val="0"/>
              <w:marBottom w:val="0"/>
              <w:divBdr>
                <w:top w:val="none" w:sz="0" w:space="0" w:color="auto"/>
                <w:left w:val="none" w:sz="0" w:space="0" w:color="auto"/>
                <w:bottom w:val="none" w:sz="0" w:space="0" w:color="auto"/>
                <w:right w:val="none" w:sz="0" w:space="0" w:color="auto"/>
              </w:divBdr>
            </w:div>
            <w:div w:id="540553128">
              <w:marLeft w:val="0"/>
              <w:marRight w:val="0"/>
              <w:marTop w:val="0"/>
              <w:marBottom w:val="0"/>
              <w:divBdr>
                <w:top w:val="none" w:sz="0" w:space="0" w:color="auto"/>
                <w:left w:val="none" w:sz="0" w:space="0" w:color="auto"/>
                <w:bottom w:val="none" w:sz="0" w:space="0" w:color="auto"/>
                <w:right w:val="none" w:sz="0" w:space="0" w:color="auto"/>
              </w:divBdr>
            </w:div>
            <w:div w:id="894464561">
              <w:marLeft w:val="0"/>
              <w:marRight w:val="0"/>
              <w:marTop w:val="0"/>
              <w:marBottom w:val="0"/>
              <w:divBdr>
                <w:top w:val="none" w:sz="0" w:space="0" w:color="auto"/>
                <w:left w:val="none" w:sz="0" w:space="0" w:color="auto"/>
                <w:bottom w:val="none" w:sz="0" w:space="0" w:color="auto"/>
                <w:right w:val="none" w:sz="0" w:space="0" w:color="auto"/>
              </w:divBdr>
            </w:div>
            <w:div w:id="1322928744">
              <w:marLeft w:val="0"/>
              <w:marRight w:val="0"/>
              <w:marTop w:val="0"/>
              <w:marBottom w:val="0"/>
              <w:divBdr>
                <w:top w:val="none" w:sz="0" w:space="0" w:color="auto"/>
                <w:left w:val="none" w:sz="0" w:space="0" w:color="auto"/>
                <w:bottom w:val="none" w:sz="0" w:space="0" w:color="auto"/>
                <w:right w:val="none" w:sz="0" w:space="0" w:color="auto"/>
              </w:divBdr>
            </w:div>
            <w:div w:id="1371607460">
              <w:marLeft w:val="0"/>
              <w:marRight w:val="0"/>
              <w:marTop w:val="0"/>
              <w:marBottom w:val="0"/>
              <w:divBdr>
                <w:top w:val="none" w:sz="0" w:space="0" w:color="auto"/>
                <w:left w:val="none" w:sz="0" w:space="0" w:color="auto"/>
                <w:bottom w:val="none" w:sz="0" w:space="0" w:color="auto"/>
                <w:right w:val="none" w:sz="0" w:space="0" w:color="auto"/>
              </w:divBdr>
            </w:div>
            <w:div w:id="1413576668">
              <w:marLeft w:val="0"/>
              <w:marRight w:val="0"/>
              <w:marTop w:val="0"/>
              <w:marBottom w:val="0"/>
              <w:divBdr>
                <w:top w:val="none" w:sz="0" w:space="0" w:color="auto"/>
                <w:left w:val="none" w:sz="0" w:space="0" w:color="auto"/>
                <w:bottom w:val="none" w:sz="0" w:space="0" w:color="auto"/>
                <w:right w:val="none" w:sz="0" w:space="0" w:color="auto"/>
              </w:divBdr>
            </w:div>
            <w:div w:id="1513034734">
              <w:marLeft w:val="0"/>
              <w:marRight w:val="0"/>
              <w:marTop w:val="0"/>
              <w:marBottom w:val="0"/>
              <w:divBdr>
                <w:top w:val="none" w:sz="0" w:space="0" w:color="auto"/>
                <w:left w:val="none" w:sz="0" w:space="0" w:color="auto"/>
                <w:bottom w:val="none" w:sz="0" w:space="0" w:color="auto"/>
                <w:right w:val="none" w:sz="0" w:space="0" w:color="auto"/>
              </w:divBdr>
            </w:div>
            <w:div w:id="1538858122">
              <w:marLeft w:val="0"/>
              <w:marRight w:val="0"/>
              <w:marTop w:val="0"/>
              <w:marBottom w:val="0"/>
              <w:divBdr>
                <w:top w:val="none" w:sz="0" w:space="0" w:color="auto"/>
                <w:left w:val="none" w:sz="0" w:space="0" w:color="auto"/>
                <w:bottom w:val="none" w:sz="0" w:space="0" w:color="auto"/>
                <w:right w:val="none" w:sz="0" w:space="0" w:color="auto"/>
              </w:divBdr>
            </w:div>
            <w:div w:id="1925987334">
              <w:marLeft w:val="0"/>
              <w:marRight w:val="0"/>
              <w:marTop w:val="0"/>
              <w:marBottom w:val="0"/>
              <w:divBdr>
                <w:top w:val="none" w:sz="0" w:space="0" w:color="auto"/>
                <w:left w:val="none" w:sz="0" w:space="0" w:color="auto"/>
                <w:bottom w:val="none" w:sz="0" w:space="0" w:color="auto"/>
                <w:right w:val="none" w:sz="0" w:space="0" w:color="auto"/>
              </w:divBdr>
            </w:div>
            <w:div w:id="2094357160">
              <w:marLeft w:val="0"/>
              <w:marRight w:val="0"/>
              <w:marTop w:val="0"/>
              <w:marBottom w:val="0"/>
              <w:divBdr>
                <w:top w:val="none" w:sz="0" w:space="0" w:color="auto"/>
                <w:left w:val="none" w:sz="0" w:space="0" w:color="auto"/>
                <w:bottom w:val="none" w:sz="0" w:space="0" w:color="auto"/>
                <w:right w:val="none" w:sz="0" w:space="0" w:color="auto"/>
              </w:divBdr>
            </w:div>
          </w:divsChild>
        </w:div>
        <w:div w:id="1543978818">
          <w:marLeft w:val="0"/>
          <w:marRight w:val="0"/>
          <w:marTop w:val="0"/>
          <w:marBottom w:val="0"/>
          <w:divBdr>
            <w:top w:val="none" w:sz="0" w:space="0" w:color="auto"/>
            <w:left w:val="none" w:sz="0" w:space="0" w:color="auto"/>
            <w:bottom w:val="none" w:sz="0" w:space="0" w:color="auto"/>
            <w:right w:val="none" w:sz="0" w:space="0" w:color="auto"/>
          </w:divBdr>
          <w:divsChild>
            <w:div w:id="1755935201">
              <w:marLeft w:val="-75"/>
              <w:marRight w:val="0"/>
              <w:marTop w:val="30"/>
              <w:marBottom w:val="30"/>
              <w:divBdr>
                <w:top w:val="none" w:sz="0" w:space="0" w:color="auto"/>
                <w:left w:val="none" w:sz="0" w:space="0" w:color="auto"/>
                <w:bottom w:val="none" w:sz="0" w:space="0" w:color="auto"/>
                <w:right w:val="none" w:sz="0" w:space="0" w:color="auto"/>
              </w:divBdr>
              <w:divsChild>
                <w:div w:id="183445270">
                  <w:marLeft w:val="0"/>
                  <w:marRight w:val="0"/>
                  <w:marTop w:val="0"/>
                  <w:marBottom w:val="0"/>
                  <w:divBdr>
                    <w:top w:val="none" w:sz="0" w:space="0" w:color="auto"/>
                    <w:left w:val="none" w:sz="0" w:space="0" w:color="auto"/>
                    <w:bottom w:val="none" w:sz="0" w:space="0" w:color="auto"/>
                    <w:right w:val="none" w:sz="0" w:space="0" w:color="auto"/>
                  </w:divBdr>
                  <w:divsChild>
                    <w:div w:id="1311059538">
                      <w:marLeft w:val="0"/>
                      <w:marRight w:val="0"/>
                      <w:marTop w:val="0"/>
                      <w:marBottom w:val="0"/>
                      <w:divBdr>
                        <w:top w:val="none" w:sz="0" w:space="0" w:color="auto"/>
                        <w:left w:val="none" w:sz="0" w:space="0" w:color="auto"/>
                        <w:bottom w:val="none" w:sz="0" w:space="0" w:color="auto"/>
                        <w:right w:val="none" w:sz="0" w:space="0" w:color="auto"/>
                      </w:divBdr>
                    </w:div>
                  </w:divsChild>
                </w:div>
                <w:div w:id="591550764">
                  <w:marLeft w:val="0"/>
                  <w:marRight w:val="0"/>
                  <w:marTop w:val="0"/>
                  <w:marBottom w:val="0"/>
                  <w:divBdr>
                    <w:top w:val="none" w:sz="0" w:space="0" w:color="auto"/>
                    <w:left w:val="none" w:sz="0" w:space="0" w:color="auto"/>
                    <w:bottom w:val="none" w:sz="0" w:space="0" w:color="auto"/>
                    <w:right w:val="none" w:sz="0" w:space="0" w:color="auto"/>
                  </w:divBdr>
                  <w:divsChild>
                    <w:div w:id="1720980856">
                      <w:marLeft w:val="0"/>
                      <w:marRight w:val="0"/>
                      <w:marTop w:val="0"/>
                      <w:marBottom w:val="0"/>
                      <w:divBdr>
                        <w:top w:val="none" w:sz="0" w:space="0" w:color="auto"/>
                        <w:left w:val="none" w:sz="0" w:space="0" w:color="auto"/>
                        <w:bottom w:val="none" w:sz="0" w:space="0" w:color="auto"/>
                        <w:right w:val="none" w:sz="0" w:space="0" w:color="auto"/>
                      </w:divBdr>
                    </w:div>
                  </w:divsChild>
                </w:div>
                <w:div w:id="940915705">
                  <w:marLeft w:val="0"/>
                  <w:marRight w:val="0"/>
                  <w:marTop w:val="0"/>
                  <w:marBottom w:val="0"/>
                  <w:divBdr>
                    <w:top w:val="none" w:sz="0" w:space="0" w:color="auto"/>
                    <w:left w:val="none" w:sz="0" w:space="0" w:color="auto"/>
                    <w:bottom w:val="none" w:sz="0" w:space="0" w:color="auto"/>
                    <w:right w:val="none" w:sz="0" w:space="0" w:color="auto"/>
                  </w:divBdr>
                  <w:divsChild>
                    <w:div w:id="121307221">
                      <w:marLeft w:val="0"/>
                      <w:marRight w:val="0"/>
                      <w:marTop w:val="0"/>
                      <w:marBottom w:val="0"/>
                      <w:divBdr>
                        <w:top w:val="none" w:sz="0" w:space="0" w:color="auto"/>
                        <w:left w:val="none" w:sz="0" w:space="0" w:color="auto"/>
                        <w:bottom w:val="none" w:sz="0" w:space="0" w:color="auto"/>
                        <w:right w:val="none" w:sz="0" w:space="0" w:color="auto"/>
                      </w:divBdr>
                    </w:div>
                  </w:divsChild>
                </w:div>
                <w:div w:id="1100492533">
                  <w:marLeft w:val="0"/>
                  <w:marRight w:val="0"/>
                  <w:marTop w:val="0"/>
                  <w:marBottom w:val="0"/>
                  <w:divBdr>
                    <w:top w:val="none" w:sz="0" w:space="0" w:color="auto"/>
                    <w:left w:val="none" w:sz="0" w:space="0" w:color="auto"/>
                    <w:bottom w:val="none" w:sz="0" w:space="0" w:color="auto"/>
                    <w:right w:val="none" w:sz="0" w:space="0" w:color="auto"/>
                  </w:divBdr>
                  <w:divsChild>
                    <w:div w:id="77287912">
                      <w:marLeft w:val="0"/>
                      <w:marRight w:val="0"/>
                      <w:marTop w:val="0"/>
                      <w:marBottom w:val="0"/>
                      <w:divBdr>
                        <w:top w:val="none" w:sz="0" w:space="0" w:color="auto"/>
                        <w:left w:val="none" w:sz="0" w:space="0" w:color="auto"/>
                        <w:bottom w:val="none" w:sz="0" w:space="0" w:color="auto"/>
                        <w:right w:val="none" w:sz="0" w:space="0" w:color="auto"/>
                      </w:divBdr>
                    </w:div>
                  </w:divsChild>
                </w:div>
                <w:div w:id="1587373751">
                  <w:marLeft w:val="0"/>
                  <w:marRight w:val="0"/>
                  <w:marTop w:val="0"/>
                  <w:marBottom w:val="0"/>
                  <w:divBdr>
                    <w:top w:val="none" w:sz="0" w:space="0" w:color="auto"/>
                    <w:left w:val="none" w:sz="0" w:space="0" w:color="auto"/>
                    <w:bottom w:val="none" w:sz="0" w:space="0" w:color="auto"/>
                    <w:right w:val="none" w:sz="0" w:space="0" w:color="auto"/>
                  </w:divBdr>
                  <w:divsChild>
                    <w:div w:id="1823153463">
                      <w:marLeft w:val="0"/>
                      <w:marRight w:val="0"/>
                      <w:marTop w:val="0"/>
                      <w:marBottom w:val="0"/>
                      <w:divBdr>
                        <w:top w:val="none" w:sz="0" w:space="0" w:color="auto"/>
                        <w:left w:val="none" w:sz="0" w:space="0" w:color="auto"/>
                        <w:bottom w:val="none" w:sz="0" w:space="0" w:color="auto"/>
                        <w:right w:val="none" w:sz="0" w:space="0" w:color="auto"/>
                      </w:divBdr>
                    </w:div>
                  </w:divsChild>
                </w:div>
                <w:div w:id="1812088800">
                  <w:marLeft w:val="0"/>
                  <w:marRight w:val="0"/>
                  <w:marTop w:val="0"/>
                  <w:marBottom w:val="0"/>
                  <w:divBdr>
                    <w:top w:val="none" w:sz="0" w:space="0" w:color="auto"/>
                    <w:left w:val="none" w:sz="0" w:space="0" w:color="auto"/>
                    <w:bottom w:val="none" w:sz="0" w:space="0" w:color="auto"/>
                    <w:right w:val="none" w:sz="0" w:space="0" w:color="auto"/>
                  </w:divBdr>
                  <w:divsChild>
                    <w:div w:id="6705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27278">
          <w:marLeft w:val="0"/>
          <w:marRight w:val="0"/>
          <w:marTop w:val="0"/>
          <w:marBottom w:val="0"/>
          <w:divBdr>
            <w:top w:val="none" w:sz="0" w:space="0" w:color="auto"/>
            <w:left w:val="none" w:sz="0" w:space="0" w:color="auto"/>
            <w:bottom w:val="none" w:sz="0" w:space="0" w:color="auto"/>
            <w:right w:val="none" w:sz="0" w:space="0" w:color="auto"/>
          </w:divBdr>
        </w:div>
        <w:div w:id="1561745094">
          <w:marLeft w:val="0"/>
          <w:marRight w:val="0"/>
          <w:marTop w:val="0"/>
          <w:marBottom w:val="0"/>
          <w:divBdr>
            <w:top w:val="none" w:sz="0" w:space="0" w:color="auto"/>
            <w:left w:val="none" w:sz="0" w:space="0" w:color="auto"/>
            <w:bottom w:val="none" w:sz="0" w:space="0" w:color="auto"/>
            <w:right w:val="none" w:sz="0" w:space="0" w:color="auto"/>
          </w:divBdr>
          <w:divsChild>
            <w:div w:id="125662087">
              <w:marLeft w:val="0"/>
              <w:marRight w:val="0"/>
              <w:marTop w:val="0"/>
              <w:marBottom w:val="0"/>
              <w:divBdr>
                <w:top w:val="none" w:sz="0" w:space="0" w:color="auto"/>
                <w:left w:val="none" w:sz="0" w:space="0" w:color="auto"/>
                <w:bottom w:val="none" w:sz="0" w:space="0" w:color="auto"/>
                <w:right w:val="none" w:sz="0" w:space="0" w:color="auto"/>
              </w:divBdr>
            </w:div>
            <w:div w:id="148712190">
              <w:marLeft w:val="0"/>
              <w:marRight w:val="0"/>
              <w:marTop w:val="0"/>
              <w:marBottom w:val="0"/>
              <w:divBdr>
                <w:top w:val="none" w:sz="0" w:space="0" w:color="auto"/>
                <w:left w:val="none" w:sz="0" w:space="0" w:color="auto"/>
                <w:bottom w:val="none" w:sz="0" w:space="0" w:color="auto"/>
                <w:right w:val="none" w:sz="0" w:space="0" w:color="auto"/>
              </w:divBdr>
            </w:div>
            <w:div w:id="172651005">
              <w:marLeft w:val="0"/>
              <w:marRight w:val="0"/>
              <w:marTop w:val="0"/>
              <w:marBottom w:val="0"/>
              <w:divBdr>
                <w:top w:val="none" w:sz="0" w:space="0" w:color="auto"/>
                <w:left w:val="none" w:sz="0" w:space="0" w:color="auto"/>
                <w:bottom w:val="none" w:sz="0" w:space="0" w:color="auto"/>
                <w:right w:val="none" w:sz="0" w:space="0" w:color="auto"/>
              </w:divBdr>
            </w:div>
            <w:div w:id="308560961">
              <w:marLeft w:val="0"/>
              <w:marRight w:val="0"/>
              <w:marTop w:val="0"/>
              <w:marBottom w:val="0"/>
              <w:divBdr>
                <w:top w:val="none" w:sz="0" w:space="0" w:color="auto"/>
                <w:left w:val="none" w:sz="0" w:space="0" w:color="auto"/>
                <w:bottom w:val="none" w:sz="0" w:space="0" w:color="auto"/>
                <w:right w:val="none" w:sz="0" w:space="0" w:color="auto"/>
              </w:divBdr>
            </w:div>
            <w:div w:id="327632406">
              <w:marLeft w:val="0"/>
              <w:marRight w:val="0"/>
              <w:marTop w:val="0"/>
              <w:marBottom w:val="0"/>
              <w:divBdr>
                <w:top w:val="none" w:sz="0" w:space="0" w:color="auto"/>
                <w:left w:val="none" w:sz="0" w:space="0" w:color="auto"/>
                <w:bottom w:val="none" w:sz="0" w:space="0" w:color="auto"/>
                <w:right w:val="none" w:sz="0" w:space="0" w:color="auto"/>
              </w:divBdr>
            </w:div>
            <w:div w:id="339160531">
              <w:marLeft w:val="0"/>
              <w:marRight w:val="0"/>
              <w:marTop w:val="0"/>
              <w:marBottom w:val="0"/>
              <w:divBdr>
                <w:top w:val="none" w:sz="0" w:space="0" w:color="auto"/>
                <w:left w:val="none" w:sz="0" w:space="0" w:color="auto"/>
                <w:bottom w:val="none" w:sz="0" w:space="0" w:color="auto"/>
                <w:right w:val="none" w:sz="0" w:space="0" w:color="auto"/>
              </w:divBdr>
            </w:div>
            <w:div w:id="494031768">
              <w:marLeft w:val="0"/>
              <w:marRight w:val="0"/>
              <w:marTop w:val="0"/>
              <w:marBottom w:val="0"/>
              <w:divBdr>
                <w:top w:val="none" w:sz="0" w:space="0" w:color="auto"/>
                <w:left w:val="none" w:sz="0" w:space="0" w:color="auto"/>
                <w:bottom w:val="none" w:sz="0" w:space="0" w:color="auto"/>
                <w:right w:val="none" w:sz="0" w:space="0" w:color="auto"/>
              </w:divBdr>
            </w:div>
            <w:div w:id="957643482">
              <w:marLeft w:val="0"/>
              <w:marRight w:val="0"/>
              <w:marTop w:val="0"/>
              <w:marBottom w:val="0"/>
              <w:divBdr>
                <w:top w:val="none" w:sz="0" w:space="0" w:color="auto"/>
                <w:left w:val="none" w:sz="0" w:space="0" w:color="auto"/>
                <w:bottom w:val="none" w:sz="0" w:space="0" w:color="auto"/>
                <w:right w:val="none" w:sz="0" w:space="0" w:color="auto"/>
              </w:divBdr>
            </w:div>
            <w:div w:id="1507937232">
              <w:marLeft w:val="0"/>
              <w:marRight w:val="0"/>
              <w:marTop w:val="0"/>
              <w:marBottom w:val="0"/>
              <w:divBdr>
                <w:top w:val="none" w:sz="0" w:space="0" w:color="auto"/>
                <w:left w:val="none" w:sz="0" w:space="0" w:color="auto"/>
                <w:bottom w:val="none" w:sz="0" w:space="0" w:color="auto"/>
                <w:right w:val="none" w:sz="0" w:space="0" w:color="auto"/>
              </w:divBdr>
            </w:div>
          </w:divsChild>
        </w:div>
        <w:div w:id="1567572342">
          <w:marLeft w:val="0"/>
          <w:marRight w:val="0"/>
          <w:marTop w:val="0"/>
          <w:marBottom w:val="0"/>
          <w:divBdr>
            <w:top w:val="none" w:sz="0" w:space="0" w:color="auto"/>
            <w:left w:val="none" w:sz="0" w:space="0" w:color="auto"/>
            <w:bottom w:val="none" w:sz="0" w:space="0" w:color="auto"/>
            <w:right w:val="none" w:sz="0" w:space="0" w:color="auto"/>
          </w:divBdr>
          <w:divsChild>
            <w:div w:id="1759406303">
              <w:marLeft w:val="-75"/>
              <w:marRight w:val="0"/>
              <w:marTop w:val="30"/>
              <w:marBottom w:val="30"/>
              <w:divBdr>
                <w:top w:val="none" w:sz="0" w:space="0" w:color="auto"/>
                <w:left w:val="none" w:sz="0" w:space="0" w:color="auto"/>
                <w:bottom w:val="none" w:sz="0" w:space="0" w:color="auto"/>
                <w:right w:val="none" w:sz="0" w:space="0" w:color="auto"/>
              </w:divBdr>
              <w:divsChild>
                <w:div w:id="178549743">
                  <w:marLeft w:val="0"/>
                  <w:marRight w:val="0"/>
                  <w:marTop w:val="0"/>
                  <w:marBottom w:val="0"/>
                  <w:divBdr>
                    <w:top w:val="none" w:sz="0" w:space="0" w:color="auto"/>
                    <w:left w:val="none" w:sz="0" w:space="0" w:color="auto"/>
                    <w:bottom w:val="none" w:sz="0" w:space="0" w:color="auto"/>
                    <w:right w:val="none" w:sz="0" w:space="0" w:color="auto"/>
                  </w:divBdr>
                  <w:divsChild>
                    <w:div w:id="2048556511">
                      <w:marLeft w:val="0"/>
                      <w:marRight w:val="0"/>
                      <w:marTop w:val="0"/>
                      <w:marBottom w:val="0"/>
                      <w:divBdr>
                        <w:top w:val="none" w:sz="0" w:space="0" w:color="auto"/>
                        <w:left w:val="none" w:sz="0" w:space="0" w:color="auto"/>
                        <w:bottom w:val="none" w:sz="0" w:space="0" w:color="auto"/>
                        <w:right w:val="none" w:sz="0" w:space="0" w:color="auto"/>
                      </w:divBdr>
                    </w:div>
                  </w:divsChild>
                </w:div>
                <w:div w:id="217058801">
                  <w:marLeft w:val="0"/>
                  <w:marRight w:val="0"/>
                  <w:marTop w:val="0"/>
                  <w:marBottom w:val="0"/>
                  <w:divBdr>
                    <w:top w:val="none" w:sz="0" w:space="0" w:color="auto"/>
                    <w:left w:val="none" w:sz="0" w:space="0" w:color="auto"/>
                    <w:bottom w:val="none" w:sz="0" w:space="0" w:color="auto"/>
                    <w:right w:val="none" w:sz="0" w:space="0" w:color="auto"/>
                  </w:divBdr>
                  <w:divsChild>
                    <w:div w:id="1056464903">
                      <w:marLeft w:val="0"/>
                      <w:marRight w:val="0"/>
                      <w:marTop w:val="0"/>
                      <w:marBottom w:val="0"/>
                      <w:divBdr>
                        <w:top w:val="none" w:sz="0" w:space="0" w:color="auto"/>
                        <w:left w:val="none" w:sz="0" w:space="0" w:color="auto"/>
                        <w:bottom w:val="none" w:sz="0" w:space="0" w:color="auto"/>
                        <w:right w:val="none" w:sz="0" w:space="0" w:color="auto"/>
                      </w:divBdr>
                    </w:div>
                  </w:divsChild>
                </w:div>
                <w:div w:id="221409455">
                  <w:marLeft w:val="0"/>
                  <w:marRight w:val="0"/>
                  <w:marTop w:val="0"/>
                  <w:marBottom w:val="0"/>
                  <w:divBdr>
                    <w:top w:val="none" w:sz="0" w:space="0" w:color="auto"/>
                    <w:left w:val="none" w:sz="0" w:space="0" w:color="auto"/>
                    <w:bottom w:val="none" w:sz="0" w:space="0" w:color="auto"/>
                    <w:right w:val="none" w:sz="0" w:space="0" w:color="auto"/>
                  </w:divBdr>
                  <w:divsChild>
                    <w:div w:id="1867908146">
                      <w:marLeft w:val="0"/>
                      <w:marRight w:val="0"/>
                      <w:marTop w:val="0"/>
                      <w:marBottom w:val="0"/>
                      <w:divBdr>
                        <w:top w:val="none" w:sz="0" w:space="0" w:color="auto"/>
                        <w:left w:val="none" w:sz="0" w:space="0" w:color="auto"/>
                        <w:bottom w:val="none" w:sz="0" w:space="0" w:color="auto"/>
                        <w:right w:val="none" w:sz="0" w:space="0" w:color="auto"/>
                      </w:divBdr>
                    </w:div>
                  </w:divsChild>
                </w:div>
                <w:div w:id="224537262">
                  <w:marLeft w:val="0"/>
                  <w:marRight w:val="0"/>
                  <w:marTop w:val="0"/>
                  <w:marBottom w:val="0"/>
                  <w:divBdr>
                    <w:top w:val="none" w:sz="0" w:space="0" w:color="auto"/>
                    <w:left w:val="none" w:sz="0" w:space="0" w:color="auto"/>
                    <w:bottom w:val="none" w:sz="0" w:space="0" w:color="auto"/>
                    <w:right w:val="none" w:sz="0" w:space="0" w:color="auto"/>
                  </w:divBdr>
                  <w:divsChild>
                    <w:div w:id="1556163744">
                      <w:marLeft w:val="0"/>
                      <w:marRight w:val="0"/>
                      <w:marTop w:val="0"/>
                      <w:marBottom w:val="0"/>
                      <w:divBdr>
                        <w:top w:val="none" w:sz="0" w:space="0" w:color="auto"/>
                        <w:left w:val="none" w:sz="0" w:space="0" w:color="auto"/>
                        <w:bottom w:val="none" w:sz="0" w:space="0" w:color="auto"/>
                        <w:right w:val="none" w:sz="0" w:space="0" w:color="auto"/>
                      </w:divBdr>
                    </w:div>
                  </w:divsChild>
                </w:div>
                <w:div w:id="554853874">
                  <w:marLeft w:val="0"/>
                  <w:marRight w:val="0"/>
                  <w:marTop w:val="0"/>
                  <w:marBottom w:val="0"/>
                  <w:divBdr>
                    <w:top w:val="none" w:sz="0" w:space="0" w:color="auto"/>
                    <w:left w:val="none" w:sz="0" w:space="0" w:color="auto"/>
                    <w:bottom w:val="none" w:sz="0" w:space="0" w:color="auto"/>
                    <w:right w:val="none" w:sz="0" w:space="0" w:color="auto"/>
                  </w:divBdr>
                  <w:divsChild>
                    <w:div w:id="1227760543">
                      <w:marLeft w:val="0"/>
                      <w:marRight w:val="0"/>
                      <w:marTop w:val="0"/>
                      <w:marBottom w:val="0"/>
                      <w:divBdr>
                        <w:top w:val="none" w:sz="0" w:space="0" w:color="auto"/>
                        <w:left w:val="none" w:sz="0" w:space="0" w:color="auto"/>
                        <w:bottom w:val="none" w:sz="0" w:space="0" w:color="auto"/>
                        <w:right w:val="none" w:sz="0" w:space="0" w:color="auto"/>
                      </w:divBdr>
                    </w:div>
                  </w:divsChild>
                </w:div>
                <w:div w:id="587344223">
                  <w:marLeft w:val="0"/>
                  <w:marRight w:val="0"/>
                  <w:marTop w:val="0"/>
                  <w:marBottom w:val="0"/>
                  <w:divBdr>
                    <w:top w:val="none" w:sz="0" w:space="0" w:color="auto"/>
                    <w:left w:val="none" w:sz="0" w:space="0" w:color="auto"/>
                    <w:bottom w:val="none" w:sz="0" w:space="0" w:color="auto"/>
                    <w:right w:val="none" w:sz="0" w:space="0" w:color="auto"/>
                  </w:divBdr>
                  <w:divsChild>
                    <w:div w:id="806967990">
                      <w:marLeft w:val="0"/>
                      <w:marRight w:val="0"/>
                      <w:marTop w:val="0"/>
                      <w:marBottom w:val="0"/>
                      <w:divBdr>
                        <w:top w:val="none" w:sz="0" w:space="0" w:color="auto"/>
                        <w:left w:val="none" w:sz="0" w:space="0" w:color="auto"/>
                        <w:bottom w:val="none" w:sz="0" w:space="0" w:color="auto"/>
                        <w:right w:val="none" w:sz="0" w:space="0" w:color="auto"/>
                      </w:divBdr>
                    </w:div>
                  </w:divsChild>
                </w:div>
                <w:div w:id="607812376">
                  <w:marLeft w:val="0"/>
                  <w:marRight w:val="0"/>
                  <w:marTop w:val="0"/>
                  <w:marBottom w:val="0"/>
                  <w:divBdr>
                    <w:top w:val="none" w:sz="0" w:space="0" w:color="auto"/>
                    <w:left w:val="none" w:sz="0" w:space="0" w:color="auto"/>
                    <w:bottom w:val="none" w:sz="0" w:space="0" w:color="auto"/>
                    <w:right w:val="none" w:sz="0" w:space="0" w:color="auto"/>
                  </w:divBdr>
                  <w:divsChild>
                    <w:div w:id="1412391907">
                      <w:marLeft w:val="0"/>
                      <w:marRight w:val="0"/>
                      <w:marTop w:val="0"/>
                      <w:marBottom w:val="0"/>
                      <w:divBdr>
                        <w:top w:val="none" w:sz="0" w:space="0" w:color="auto"/>
                        <w:left w:val="none" w:sz="0" w:space="0" w:color="auto"/>
                        <w:bottom w:val="none" w:sz="0" w:space="0" w:color="auto"/>
                        <w:right w:val="none" w:sz="0" w:space="0" w:color="auto"/>
                      </w:divBdr>
                    </w:div>
                  </w:divsChild>
                </w:div>
                <w:div w:id="616183109">
                  <w:marLeft w:val="0"/>
                  <w:marRight w:val="0"/>
                  <w:marTop w:val="0"/>
                  <w:marBottom w:val="0"/>
                  <w:divBdr>
                    <w:top w:val="none" w:sz="0" w:space="0" w:color="auto"/>
                    <w:left w:val="none" w:sz="0" w:space="0" w:color="auto"/>
                    <w:bottom w:val="none" w:sz="0" w:space="0" w:color="auto"/>
                    <w:right w:val="none" w:sz="0" w:space="0" w:color="auto"/>
                  </w:divBdr>
                  <w:divsChild>
                    <w:div w:id="677973848">
                      <w:marLeft w:val="0"/>
                      <w:marRight w:val="0"/>
                      <w:marTop w:val="0"/>
                      <w:marBottom w:val="0"/>
                      <w:divBdr>
                        <w:top w:val="none" w:sz="0" w:space="0" w:color="auto"/>
                        <w:left w:val="none" w:sz="0" w:space="0" w:color="auto"/>
                        <w:bottom w:val="none" w:sz="0" w:space="0" w:color="auto"/>
                        <w:right w:val="none" w:sz="0" w:space="0" w:color="auto"/>
                      </w:divBdr>
                    </w:div>
                  </w:divsChild>
                </w:div>
                <w:div w:id="649409504">
                  <w:marLeft w:val="0"/>
                  <w:marRight w:val="0"/>
                  <w:marTop w:val="0"/>
                  <w:marBottom w:val="0"/>
                  <w:divBdr>
                    <w:top w:val="none" w:sz="0" w:space="0" w:color="auto"/>
                    <w:left w:val="none" w:sz="0" w:space="0" w:color="auto"/>
                    <w:bottom w:val="none" w:sz="0" w:space="0" w:color="auto"/>
                    <w:right w:val="none" w:sz="0" w:space="0" w:color="auto"/>
                  </w:divBdr>
                  <w:divsChild>
                    <w:div w:id="663893670">
                      <w:marLeft w:val="0"/>
                      <w:marRight w:val="0"/>
                      <w:marTop w:val="0"/>
                      <w:marBottom w:val="0"/>
                      <w:divBdr>
                        <w:top w:val="none" w:sz="0" w:space="0" w:color="auto"/>
                        <w:left w:val="none" w:sz="0" w:space="0" w:color="auto"/>
                        <w:bottom w:val="none" w:sz="0" w:space="0" w:color="auto"/>
                        <w:right w:val="none" w:sz="0" w:space="0" w:color="auto"/>
                      </w:divBdr>
                    </w:div>
                  </w:divsChild>
                </w:div>
                <w:div w:id="759180213">
                  <w:marLeft w:val="0"/>
                  <w:marRight w:val="0"/>
                  <w:marTop w:val="0"/>
                  <w:marBottom w:val="0"/>
                  <w:divBdr>
                    <w:top w:val="none" w:sz="0" w:space="0" w:color="auto"/>
                    <w:left w:val="none" w:sz="0" w:space="0" w:color="auto"/>
                    <w:bottom w:val="none" w:sz="0" w:space="0" w:color="auto"/>
                    <w:right w:val="none" w:sz="0" w:space="0" w:color="auto"/>
                  </w:divBdr>
                  <w:divsChild>
                    <w:div w:id="1761023169">
                      <w:marLeft w:val="0"/>
                      <w:marRight w:val="0"/>
                      <w:marTop w:val="0"/>
                      <w:marBottom w:val="0"/>
                      <w:divBdr>
                        <w:top w:val="none" w:sz="0" w:space="0" w:color="auto"/>
                        <w:left w:val="none" w:sz="0" w:space="0" w:color="auto"/>
                        <w:bottom w:val="none" w:sz="0" w:space="0" w:color="auto"/>
                        <w:right w:val="none" w:sz="0" w:space="0" w:color="auto"/>
                      </w:divBdr>
                    </w:div>
                  </w:divsChild>
                </w:div>
                <w:div w:id="824972082">
                  <w:marLeft w:val="0"/>
                  <w:marRight w:val="0"/>
                  <w:marTop w:val="0"/>
                  <w:marBottom w:val="0"/>
                  <w:divBdr>
                    <w:top w:val="none" w:sz="0" w:space="0" w:color="auto"/>
                    <w:left w:val="none" w:sz="0" w:space="0" w:color="auto"/>
                    <w:bottom w:val="none" w:sz="0" w:space="0" w:color="auto"/>
                    <w:right w:val="none" w:sz="0" w:space="0" w:color="auto"/>
                  </w:divBdr>
                  <w:divsChild>
                    <w:div w:id="221798992">
                      <w:marLeft w:val="0"/>
                      <w:marRight w:val="0"/>
                      <w:marTop w:val="0"/>
                      <w:marBottom w:val="0"/>
                      <w:divBdr>
                        <w:top w:val="none" w:sz="0" w:space="0" w:color="auto"/>
                        <w:left w:val="none" w:sz="0" w:space="0" w:color="auto"/>
                        <w:bottom w:val="none" w:sz="0" w:space="0" w:color="auto"/>
                        <w:right w:val="none" w:sz="0" w:space="0" w:color="auto"/>
                      </w:divBdr>
                    </w:div>
                  </w:divsChild>
                </w:div>
                <w:div w:id="849611820">
                  <w:marLeft w:val="0"/>
                  <w:marRight w:val="0"/>
                  <w:marTop w:val="0"/>
                  <w:marBottom w:val="0"/>
                  <w:divBdr>
                    <w:top w:val="none" w:sz="0" w:space="0" w:color="auto"/>
                    <w:left w:val="none" w:sz="0" w:space="0" w:color="auto"/>
                    <w:bottom w:val="none" w:sz="0" w:space="0" w:color="auto"/>
                    <w:right w:val="none" w:sz="0" w:space="0" w:color="auto"/>
                  </w:divBdr>
                  <w:divsChild>
                    <w:div w:id="1380015776">
                      <w:marLeft w:val="0"/>
                      <w:marRight w:val="0"/>
                      <w:marTop w:val="0"/>
                      <w:marBottom w:val="0"/>
                      <w:divBdr>
                        <w:top w:val="none" w:sz="0" w:space="0" w:color="auto"/>
                        <w:left w:val="none" w:sz="0" w:space="0" w:color="auto"/>
                        <w:bottom w:val="none" w:sz="0" w:space="0" w:color="auto"/>
                        <w:right w:val="none" w:sz="0" w:space="0" w:color="auto"/>
                      </w:divBdr>
                    </w:div>
                  </w:divsChild>
                </w:div>
                <w:div w:id="924071233">
                  <w:marLeft w:val="0"/>
                  <w:marRight w:val="0"/>
                  <w:marTop w:val="0"/>
                  <w:marBottom w:val="0"/>
                  <w:divBdr>
                    <w:top w:val="none" w:sz="0" w:space="0" w:color="auto"/>
                    <w:left w:val="none" w:sz="0" w:space="0" w:color="auto"/>
                    <w:bottom w:val="none" w:sz="0" w:space="0" w:color="auto"/>
                    <w:right w:val="none" w:sz="0" w:space="0" w:color="auto"/>
                  </w:divBdr>
                  <w:divsChild>
                    <w:div w:id="1665232428">
                      <w:marLeft w:val="0"/>
                      <w:marRight w:val="0"/>
                      <w:marTop w:val="0"/>
                      <w:marBottom w:val="0"/>
                      <w:divBdr>
                        <w:top w:val="none" w:sz="0" w:space="0" w:color="auto"/>
                        <w:left w:val="none" w:sz="0" w:space="0" w:color="auto"/>
                        <w:bottom w:val="none" w:sz="0" w:space="0" w:color="auto"/>
                        <w:right w:val="none" w:sz="0" w:space="0" w:color="auto"/>
                      </w:divBdr>
                    </w:div>
                  </w:divsChild>
                </w:div>
                <w:div w:id="987366477">
                  <w:marLeft w:val="0"/>
                  <w:marRight w:val="0"/>
                  <w:marTop w:val="0"/>
                  <w:marBottom w:val="0"/>
                  <w:divBdr>
                    <w:top w:val="none" w:sz="0" w:space="0" w:color="auto"/>
                    <w:left w:val="none" w:sz="0" w:space="0" w:color="auto"/>
                    <w:bottom w:val="none" w:sz="0" w:space="0" w:color="auto"/>
                    <w:right w:val="none" w:sz="0" w:space="0" w:color="auto"/>
                  </w:divBdr>
                  <w:divsChild>
                    <w:div w:id="710227836">
                      <w:marLeft w:val="0"/>
                      <w:marRight w:val="0"/>
                      <w:marTop w:val="0"/>
                      <w:marBottom w:val="0"/>
                      <w:divBdr>
                        <w:top w:val="none" w:sz="0" w:space="0" w:color="auto"/>
                        <w:left w:val="none" w:sz="0" w:space="0" w:color="auto"/>
                        <w:bottom w:val="none" w:sz="0" w:space="0" w:color="auto"/>
                        <w:right w:val="none" w:sz="0" w:space="0" w:color="auto"/>
                      </w:divBdr>
                    </w:div>
                  </w:divsChild>
                </w:div>
                <w:div w:id="1199852963">
                  <w:marLeft w:val="0"/>
                  <w:marRight w:val="0"/>
                  <w:marTop w:val="0"/>
                  <w:marBottom w:val="0"/>
                  <w:divBdr>
                    <w:top w:val="none" w:sz="0" w:space="0" w:color="auto"/>
                    <w:left w:val="none" w:sz="0" w:space="0" w:color="auto"/>
                    <w:bottom w:val="none" w:sz="0" w:space="0" w:color="auto"/>
                    <w:right w:val="none" w:sz="0" w:space="0" w:color="auto"/>
                  </w:divBdr>
                  <w:divsChild>
                    <w:div w:id="1264801610">
                      <w:marLeft w:val="0"/>
                      <w:marRight w:val="0"/>
                      <w:marTop w:val="0"/>
                      <w:marBottom w:val="0"/>
                      <w:divBdr>
                        <w:top w:val="none" w:sz="0" w:space="0" w:color="auto"/>
                        <w:left w:val="none" w:sz="0" w:space="0" w:color="auto"/>
                        <w:bottom w:val="none" w:sz="0" w:space="0" w:color="auto"/>
                        <w:right w:val="none" w:sz="0" w:space="0" w:color="auto"/>
                      </w:divBdr>
                    </w:div>
                  </w:divsChild>
                </w:div>
                <w:div w:id="1216284112">
                  <w:marLeft w:val="0"/>
                  <w:marRight w:val="0"/>
                  <w:marTop w:val="0"/>
                  <w:marBottom w:val="0"/>
                  <w:divBdr>
                    <w:top w:val="none" w:sz="0" w:space="0" w:color="auto"/>
                    <w:left w:val="none" w:sz="0" w:space="0" w:color="auto"/>
                    <w:bottom w:val="none" w:sz="0" w:space="0" w:color="auto"/>
                    <w:right w:val="none" w:sz="0" w:space="0" w:color="auto"/>
                  </w:divBdr>
                  <w:divsChild>
                    <w:div w:id="597911778">
                      <w:marLeft w:val="0"/>
                      <w:marRight w:val="0"/>
                      <w:marTop w:val="0"/>
                      <w:marBottom w:val="0"/>
                      <w:divBdr>
                        <w:top w:val="none" w:sz="0" w:space="0" w:color="auto"/>
                        <w:left w:val="none" w:sz="0" w:space="0" w:color="auto"/>
                        <w:bottom w:val="none" w:sz="0" w:space="0" w:color="auto"/>
                        <w:right w:val="none" w:sz="0" w:space="0" w:color="auto"/>
                      </w:divBdr>
                    </w:div>
                  </w:divsChild>
                </w:div>
                <w:div w:id="1507741922">
                  <w:marLeft w:val="0"/>
                  <w:marRight w:val="0"/>
                  <w:marTop w:val="0"/>
                  <w:marBottom w:val="0"/>
                  <w:divBdr>
                    <w:top w:val="none" w:sz="0" w:space="0" w:color="auto"/>
                    <w:left w:val="none" w:sz="0" w:space="0" w:color="auto"/>
                    <w:bottom w:val="none" w:sz="0" w:space="0" w:color="auto"/>
                    <w:right w:val="none" w:sz="0" w:space="0" w:color="auto"/>
                  </w:divBdr>
                  <w:divsChild>
                    <w:div w:id="1511870338">
                      <w:marLeft w:val="0"/>
                      <w:marRight w:val="0"/>
                      <w:marTop w:val="0"/>
                      <w:marBottom w:val="0"/>
                      <w:divBdr>
                        <w:top w:val="none" w:sz="0" w:space="0" w:color="auto"/>
                        <w:left w:val="none" w:sz="0" w:space="0" w:color="auto"/>
                        <w:bottom w:val="none" w:sz="0" w:space="0" w:color="auto"/>
                        <w:right w:val="none" w:sz="0" w:space="0" w:color="auto"/>
                      </w:divBdr>
                    </w:div>
                  </w:divsChild>
                </w:div>
                <w:div w:id="1512991384">
                  <w:marLeft w:val="0"/>
                  <w:marRight w:val="0"/>
                  <w:marTop w:val="0"/>
                  <w:marBottom w:val="0"/>
                  <w:divBdr>
                    <w:top w:val="none" w:sz="0" w:space="0" w:color="auto"/>
                    <w:left w:val="none" w:sz="0" w:space="0" w:color="auto"/>
                    <w:bottom w:val="none" w:sz="0" w:space="0" w:color="auto"/>
                    <w:right w:val="none" w:sz="0" w:space="0" w:color="auto"/>
                  </w:divBdr>
                  <w:divsChild>
                    <w:div w:id="1712413097">
                      <w:marLeft w:val="0"/>
                      <w:marRight w:val="0"/>
                      <w:marTop w:val="0"/>
                      <w:marBottom w:val="0"/>
                      <w:divBdr>
                        <w:top w:val="none" w:sz="0" w:space="0" w:color="auto"/>
                        <w:left w:val="none" w:sz="0" w:space="0" w:color="auto"/>
                        <w:bottom w:val="none" w:sz="0" w:space="0" w:color="auto"/>
                        <w:right w:val="none" w:sz="0" w:space="0" w:color="auto"/>
                      </w:divBdr>
                    </w:div>
                  </w:divsChild>
                </w:div>
                <w:div w:id="1567649428">
                  <w:marLeft w:val="0"/>
                  <w:marRight w:val="0"/>
                  <w:marTop w:val="0"/>
                  <w:marBottom w:val="0"/>
                  <w:divBdr>
                    <w:top w:val="none" w:sz="0" w:space="0" w:color="auto"/>
                    <w:left w:val="none" w:sz="0" w:space="0" w:color="auto"/>
                    <w:bottom w:val="none" w:sz="0" w:space="0" w:color="auto"/>
                    <w:right w:val="none" w:sz="0" w:space="0" w:color="auto"/>
                  </w:divBdr>
                  <w:divsChild>
                    <w:div w:id="2092920068">
                      <w:marLeft w:val="0"/>
                      <w:marRight w:val="0"/>
                      <w:marTop w:val="0"/>
                      <w:marBottom w:val="0"/>
                      <w:divBdr>
                        <w:top w:val="none" w:sz="0" w:space="0" w:color="auto"/>
                        <w:left w:val="none" w:sz="0" w:space="0" w:color="auto"/>
                        <w:bottom w:val="none" w:sz="0" w:space="0" w:color="auto"/>
                        <w:right w:val="none" w:sz="0" w:space="0" w:color="auto"/>
                      </w:divBdr>
                    </w:div>
                  </w:divsChild>
                </w:div>
                <w:div w:id="1568497363">
                  <w:marLeft w:val="0"/>
                  <w:marRight w:val="0"/>
                  <w:marTop w:val="0"/>
                  <w:marBottom w:val="0"/>
                  <w:divBdr>
                    <w:top w:val="none" w:sz="0" w:space="0" w:color="auto"/>
                    <w:left w:val="none" w:sz="0" w:space="0" w:color="auto"/>
                    <w:bottom w:val="none" w:sz="0" w:space="0" w:color="auto"/>
                    <w:right w:val="none" w:sz="0" w:space="0" w:color="auto"/>
                  </w:divBdr>
                  <w:divsChild>
                    <w:div w:id="598178797">
                      <w:marLeft w:val="0"/>
                      <w:marRight w:val="0"/>
                      <w:marTop w:val="0"/>
                      <w:marBottom w:val="0"/>
                      <w:divBdr>
                        <w:top w:val="none" w:sz="0" w:space="0" w:color="auto"/>
                        <w:left w:val="none" w:sz="0" w:space="0" w:color="auto"/>
                        <w:bottom w:val="none" w:sz="0" w:space="0" w:color="auto"/>
                        <w:right w:val="none" w:sz="0" w:space="0" w:color="auto"/>
                      </w:divBdr>
                    </w:div>
                  </w:divsChild>
                </w:div>
                <w:div w:id="1587768597">
                  <w:marLeft w:val="0"/>
                  <w:marRight w:val="0"/>
                  <w:marTop w:val="0"/>
                  <w:marBottom w:val="0"/>
                  <w:divBdr>
                    <w:top w:val="none" w:sz="0" w:space="0" w:color="auto"/>
                    <w:left w:val="none" w:sz="0" w:space="0" w:color="auto"/>
                    <w:bottom w:val="none" w:sz="0" w:space="0" w:color="auto"/>
                    <w:right w:val="none" w:sz="0" w:space="0" w:color="auto"/>
                  </w:divBdr>
                  <w:divsChild>
                    <w:div w:id="343677196">
                      <w:marLeft w:val="0"/>
                      <w:marRight w:val="0"/>
                      <w:marTop w:val="0"/>
                      <w:marBottom w:val="0"/>
                      <w:divBdr>
                        <w:top w:val="none" w:sz="0" w:space="0" w:color="auto"/>
                        <w:left w:val="none" w:sz="0" w:space="0" w:color="auto"/>
                        <w:bottom w:val="none" w:sz="0" w:space="0" w:color="auto"/>
                        <w:right w:val="none" w:sz="0" w:space="0" w:color="auto"/>
                      </w:divBdr>
                    </w:div>
                  </w:divsChild>
                </w:div>
                <w:div w:id="1758017685">
                  <w:marLeft w:val="0"/>
                  <w:marRight w:val="0"/>
                  <w:marTop w:val="0"/>
                  <w:marBottom w:val="0"/>
                  <w:divBdr>
                    <w:top w:val="none" w:sz="0" w:space="0" w:color="auto"/>
                    <w:left w:val="none" w:sz="0" w:space="0" w:color="auto"/>
                    <w:bottom w:val="none" w:sz="0" w:space="0" w:color="auto"/>
                    <w:right w:val="none" w:sz="0" w:space="0" w:color="auto"/>
                  </w:divBdr>
                  <w:divsChild>
                    <w:div w:id="604119412">
                      <w:marLeft w:val="0"/>
                      <w:marRight w:val="0"/>
                      <w:marTop w:val="0"/>
                      <w:marBottom w:val="0"/>
                      <w:divBdr>
                        <w:top w:val="none" w:sz="0" w:space="0" w:color="auto"/>
                        <w:left w:val="none" w:sz="0" w:space="0" w:color="auto"/>
                        <w:bottom w:val="none" w:sz="0" w:space="0" w:color="auto"/>
                        <w:right w:val="none" w:sz="0" w:space="0" w:color="auto"/>
                      </w:divBdr>
                    </w:div>
                  </w:divsChild>
                </w:div>
                <w:div w:id="1871725312">
                  <w:marLeft w:val="0"/>
                  <w:marRight w:val="0"/>
                  <w:marTop w:val="0"/>
                  <w:marBottom w:val="0"/>
                  <w:divBdr>
                    <w:top w:val="none" w:sz="0" w:space="0" w:color="auto"/>
                    <w:left w:val="none" w:sz="0" w:space="0" w:color="auto"/>
                    <w:bottom w:val="none" w:sz="0" w:space="0" w:color="auto"/>
                    <w:right w:val="none" w:sz="0" w:space="0" w:color="auto"/>
                  </w:divBdr>
                  <w:divsChild>
                    <w:div w:id="387807310">
                      <w:marLeft w:val="0"/>
                      <w:marRight w:val="0"/>
                      <w:marTop w:val="0"/>
                      <w:marBottom w:val="0"/>
                      <w:divBdr>
                        <w:top w:val="none" w:sz="0" w:space="0" w:color="auto"/>
                        <w:left w:val="none" w:sz="0" w:space="0" w:color="auto"/>
                        <w:bottom w:val="none" w:sz="0" w:space="0" w:color="auto"/>
                        <w:right w:val="none" w:sz="0" w:space="0" w:color="auto"/>
                      </w:divBdr>
                    </w:div>
                  </w:divsChild>
                </w:div>
                <w:div w:id="1904363318">
                  <w:marLeft w:val="0"/>
                  <w:marRight w:val="0"/>
                  <w:marTop w:val="0"/>
                  <w:marBottom w:val="0"/>
                  <w:divBdr>
                    <w:top w:val="none" w:sz="0" w:space="0" w:color="auto"/>
                    <w:left w:val="none" w:sz="0" w:space="0" w:color="auto"/>
                    <w:bottom w:val="none" w:sz="0" w:space="0" w:color="auto"/>
                    <w:right w:val="none" w:sz="0" w:space="0" w:color="auto"/>
                  </w:divBdr>
                  <w:divsChild>
                    <w:div w:id="100613501">
                      <w:marLeft w:val="0"/>
                      <w:marRight w:val="0"/>
                      <w:marTop w:val="0"/>
                      <w:marBottom w:val="0"/>
                      <w:divBdr>
                        <w:top w:val="none" w:sz="0" w:space="0" w:color="auto"/>
                        <w:left w:val="none" w:sz="0" w:space="0" w:color="auto"/>
                        <w:bottom w:val="none" w:sz="0" w:space="0" w:color="auto"/>
                        <w:right w:val="none" w:sz="0" w:space="0" w:color="auto"/>
                      </w:divBdr>
                    </w:div>
                  </w:divsChild>
                </w:div>
                <w:div w:id="1931694637">
                  <w:marLeft w:val="0"/>
                  <w:marRight w:val="0"/>
                  <w:marTop w:val="0"/>
                  <w:marBottom w:val="0"/>
                  <w:divBdr>
                    <w:top w:val="none" w:sz="0" w:space="0" w:color="auto"/>
                    <w:left w:val="none" w:sz="0" w:space="0" w:color="auto"/>
                    <w:bottom w:val="none" w:sz="0" w:space="0" w:color="auto"/>
                    <w:right w:val="none" w:sz="0" w:space="0" w:color="auto"/>
                  </w:divBdr>
                  <w:divsChild>
                    <w:div w:id="186262373">
                      <w:marLeft w:val="0"/>
                      <w:marRight w:val="0"/>
                      <w:marTop w:val="0"/>
                      <w:marBottom w:val="0"/>
                      <w:divBdr>
                        <w:top w:val="none" w:sz="0" w:space="0" w:color="auto"/>
                        <w:left w:val="none" w:sz="0" w:space="0" w:color="auto"/>
                        <w:bottom w:val="none" w:sz="0" w:space="0" w:color="auto"/>
                        <w:right w:val="none" w:sz="0" w:space="0" w:color="auto"/>
                      </w:divBdr>
                    </w:div>
                  </w:divsChild>
                </w:div>
                <w:div w:id="1997219270">
                  <w:marLeft w:val="0"/>
                  <w:marRight w:val="0"/>
                  <w:marTop w:val="0"/>
                  <w:marBottom w:val="0"/>
                  <w:divBdr>
                    <w:top w:val="none" w:sz="0" w:space="0" w:color="auto"/>
                    <w:left w:val="none" w:sz="0" w:space="0" w:color="auto"/>
                    <w:bottom w:val="none" w:sz="0" w:space="0" w:color="auto"/>
                    <w:right w:val="none" w:sz="0" w:space="0" w:color="auto"/>
                  </w:divBdr>
                  <w:divsChild>
                    <w:div w:id="1804882836">
                      <w:marLeft w:val="0"/>
                      <w:marRight w:val="0"/>
                      <w:marTop w:val="0"/>
                      <w:marBottom w:val="0"/>
                      <w:divBdr>
                        <w:top w:val="none" w:sz="0" w:space="0" w:color="auto"/>
                        <w:left w:val="none" w:sz="0" w:space="0" w:color="auto"/>
                        <w:bottom w:val="none" w:sz="0" w:space="0" w:color="auto"/>
                        <w:right w:val="none" w:sz="0" w:space="0" w:color="auto"/>
                      </w:divBdr>
                    </w:div>
                  </w:divsChild>
                </w:div>
                <w:div w:id="2011367520">
                  <w:marLeft w:val="0"/>
                  <w:marRight w:val="0"/>
                  <w:marTop w:val="0"/>
                  <w:marBottom w:val="0"/>
                  <w:divBdr>
                    <w:top w:val="none" w:sz="0" w:space="0" w:color="auto"/>
                    <w:left w:val="none" w:sz="0" w:space="0" w:color="auto"/>
                    <w:bottom w:val="none" w:sz="0" w:space="0" w:color="auto"/>
                    <w:right w:val="none" w:sz="0" w:space="0" w:color="auto"/>
                  </w:divBdr>
                  <w:divsChild>
                    <w:div w:id="852112260">
                      <w:marLeft w:val="0"/>
                      <w:marRight w:val="0"/>
                      <w:marTop w:val="0"/>
                      <w:marBottom w:val="0"/>
                      <w:divBdr>
                        <w:top w:val="none" w:sz="0" w:space="0" w:color="auto"/>
                        <w:left w:val="none" w:sz="0" w:space="0" w:color="auto"/>
                        <w:bottom w:val="none" w:sz="0" w:space="0" w:color="auto"/>
                        <w:right w:val="none" w:sz="0" w:space="0" w:color="auto"/>
                      </w:divBdr>
                    </w:div>
                  </w:divsChild>
                </w:div>
                <w:div w:id="2078358098">
                  <w:marLeft w:val="0"/>
                  <w:marRight w:val="0"/>
                  <w:marTop w:val="0"/>
                  <w:marBottom w:val="0"/>
                  <w:divBdr>
                    <w:top w:val="none" w:sz="0" w:space="0" w:color="auto"/>
                    <w:left w:val="none" w:sz="0" w:space="0" w:color="auto"/>
                    <w:bottom w:val="none" w:sz="0" w:space="0" w:color="auto"/>
                    <w:right w:val="none" w:sz="0" w:space="0" w:color="auto"/>
                  </w:divBdr>
                  <w:divsChild>
                    <w:div w:id="17585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64630">
          <w:marLeft w:val="0"/>
          <w:marRight w:val="0"/>
          <w:marTop w:val="0"/>
          <w:marBottom w:val="0"/>
          <w:divBdr>
            <w:top w:val="none" w:sz="0" w:space="0" w:color="auto"/>
            <w:left w:val="none" w:sz="0" w:space="0" w:color="auto"/>
            <w:bottom w:val="none" w:sz="0" w:space="0" w:color="auto"/>
            <w:right w:val="none" w:sz="0" w:space="0" w:color="auto"/>
          </w:divBdr>
          <w:divsChild>
            <w:div w:id="119687111">
              <w:marLeft w:val="0"/>
              <w:marRight w:val="0"/>
              <w:marTop w:val="0"/>
              <w:marBottom w:val="0"/>
              <w:divBdr>
                <w:top w:val="none" w:sz="0" w:space="0" w:color="auto"/>
                <w:left w:val="none" w:sz="0" w:space="0" w:color="auto"/>
                <w:bottom w:val="none" w:sz="0" w:space="0" w:color="auto"/>
                <w:right w:val="none" w:sz="0" w:space="0" w:color="auto"/>
              </w:divBdr>
            </w:div>
            <w:div w:id="372848178">
              <w:marLeft w:val="0"/>
              <w:marRight w:val="0"/>
              <w:marTop w:val="0"/>
              <w:marBottom w:val="0"/>
              <w:divBdr>
                <w:top w:val="none" w:sz="0" w:space="0" w:color="auto"/>
                <w:left w:val="none" w:sz="0" w:space="0" w:color="auto"/>
                <w:bottom w:val="none" w:sz="0" w:space="0" w:color="auto"/>
                <w:right w:val="none" w:sz="0" w:space="0" w:color="auto"/>
              </w:divBdr>
            </w:div>
            <w:div w:id="421341344">
              <w:marLeft w:val="0"/>
              <w:marRight w:val="0"/>
              <w:marTop w:val="0"/>
              <w:marBottom w:val="0"/>
              <w:divBdr>
                <w:top w:val="none" w:sz="0" w:space="0" w:color="auto"/>
                <w:left w:val="none" w:sz="0" w:space="0" w:color="auto"/>
                <w:bottom w:val="none" w:sz="0" w:space="0" w:color="auto"/>
                <w:right w:val="none" w:sz="0" w:space="0" w:color="auto"/>
              </w:divBdr>
            </w:div>
            <w:div w:id="747187710">
              <w:marLeft w:val="0"/>
              <w:marRight w:val="0"/>
              <w:marTop w:val="0"/>
              <w:marBottom w:val="0"/>
              <w:divBdr>
                <w:top w:val="none" w:sz="0" w:space="0" w:color="auto"/>
                <w:left w:val="none" w:sz="0" w:space="0" w:color="auto"/>
                <w:bottom w:val="none" w:sz="0" w:space="0" w:color="auto"/>
                <w:right w:val="none" w:sz="0" w:space="0" w:color="auto"/>
              </w:divBdr>
            </w:div>
            <w:div w:id="810832565">
              <w:marLeft w:val="0"/>
              <w:marRight w:val="0"/>
              <w:marTop w:val="0"/>
              <w:marBottom w:val="0"/>
              <w:divBdr>
                <w:top w:val="none" w:sz="0" w:space="0" w:color="auto"/>
                <w:left w:val="none" w:sz="0" w:space="0" w:color="auto"/>
                <w:bottom w:val="none" w:sz="0" w:space="0" w:color="auto"/>
                <w:right w:val="none" w:sz="0" w:space="0" w:color="auto"/>
              </w:divBdr>
            </w:div>
            <w:div w:id="940143164">
              <w:marLeft w:val="0"/>
              <w:marRight w:val="0"/>
              <w:marTop w:val="0"/>
              <w:marBottom w:val="0"/>
              <w:divBdr>
                <w:top w:val="none" w:sz="0" w:space="0" w:color="auto"/>
                <w:left w:val="none" w:sz="0" w:space="0" w:color="auto"/>
                <w:bottom w:val="none" w:sz="0" w:space="0" w:color="auto"/>
                <w:right w:val="none" w:sz="0" w:space="0" w:color="auto"/>
              </w:divBdr>
            </w:div>
            <w:div w:id="1073968161">
              <w:marLeft w:val="0"/>
              <w:marRight w:val="0"/>
              <w:marTop w:val="0"/>
              <w:marBottom w:val="0"/>
              <w:divBdr>
                <w:top w:val="none" w:sz="0" w:space="0" w:color="auto"/>
                <w:left w:val="none" w:sz="0" w:space="0" w:color="auto"/>
                <w:bottom w:val="none" w:sz="0" w:space="0" w:color="auto"/>
                <w:right w:val="none" w:sz="0" w:space="0" w:color="auto"/>
              </w:divBdr>
            </w:div>
            <w:div w:id="1094016036">
              <w:marLeft w:val="0"/>
              <w:marRight w:val="0"/>
              <w:marTop w:val="0"/>
              <w:marBottom w:val="0"/>
              <w:divBdr>
                <w:top w:val="none" w:sz="0" w:space="0" w:color="auto"/>
                <w:left w:val="none" w:sz="0" w:space="0" w:color="auto"/>
                <w:bottom w:val="none" w:sz="0" w:space="0" w:color="auto"/>
                <w:right w:val="none" w:sz="0" w:space="0" w:color="auto"/>
              </w:divBdr>
            </w:div>
            <w:div w:id="1375810098">
              <w:marLeft w:val="0"/>
              <w:marRight w:val="0"/>
              <w:marTop w:val="0"/>
              <w:marBottom w:val="0"/>
              <w:divBdr>
                <w:top w:val="none" w:sz="0" w:space="0" w:color="auto"/>
                <w:left w:val="none" w:sz="0" w:space="0" w:color="auto"/>
                <w:bottom w:val="none" w:sz="0" w:space="0" w:color="auto"/>
                <w:right w:val="none" w:sz="0" w:space="0" w:color="auto"/>
              </w:divBdr>
            </w:div>
            <w:div w:id="1404181122">
              <w:marLeft w:val="0"/>
              <w:marRight w:val="0"/>
              <w:marTop w:val="0"/>
              <w:marBottom w:val="0"/>
              <w:divBdr>
                <w:top w:val="none" w:sz="0" w:space="0" w:color="auto"/>
                <w:left w:val="none" w:sz="0" w:space="0" w:color="auto"/>
                <w:bottom w:val="none" w:sz="0" w:space="0" w:color="auto"/>
                <w:right w:val="none" w:sz="0" w:space="0" w:color="auto"/>
              </w:divBdr>
            </w:div>
            <w:div w:id="1623731024">
              <w:marLeft w:val="0"/>
              <w:marRight w:val="0"/>
              <w:marTop w:val="0"/>
              <w:marBottom w:val="0"/>
              <w:divBdr>
                <w:top w:val="none" w:sz="0" w:space="0" w:color="auto"/>
                <w:left w:val="none" w:sz="0" w:space="0" w:color="auto"/>
                <w:bottom w:val="none" w:sz="0" w:space="0" w:color="auto"/>
                <w:right w:val="none" w:sz="0" w:space="0" w:color="auto"/>
              </w:divBdr>
            </w:div>
            <w:div w:id="1655446264">
              <w:marLeft w:val="0"/>
              <w:marRight w:val="0"/>
              <w:marTop w:val="0"/>
              <w:marBottom w:val="0"/>
              <w:divBdr>
                <w:top w:val="none" w:sz="0" w:space="0" w:color="auto"/>
                <w:left w:val="none" w:sz="0" w:space="0" w:color="auto"/>
                <w:bottom w:val="none" w:sz="0" w:space="0" w:color="auto"/>
                <w:right w:val="none" w:sz="0" w:space="0" w:color="auto"/>
              </w:divBdr>
            </w:div>
            <w:div w:id="1921716731">
              <w:marLeft w:val="0"/>
              <w:marRight w:val="0"/>
              <w:marTop w:val="0"/>
              <w:marBottom w:val="0"/>
              <w:divBdr>
                <w:top w:val="none" w:sz="0" w:space="0" w:color="auto"/>
                <w:left w:val="none" w:sz="0" w:space="0" w:color="auto"/>
                <w:bottom w:val="none" w:sz="0" w:space="0" w:color="auto"/>
                <w:right w:val="none" w:sz="0" w:space="0" w:color="auto"/>
              </w:divBdr>
            </w:div>
            <w:div w:id="2044207546">
              <w:marLeft w:val="0"/>
              <w:marRight w:val="0"/>
              <w:marTop w:val="0"/>
              <w:marBottom w:val="0"/>
              <w:divBdr>
                <w:top w:val="none" w:sz="0" w:space="0" w:color="auto"/>
                <w:left w:val="none" w:sz="0" w:space="0" w:color="auto"/>
                <w:bottom w:val="none" w:sz="0" w:space="0" w:color="auto"/>
                <w:right w:val="none" w:sz="0" w:space="0" w:color="auto"/>
              </w:divBdr>
            </w:div>
            <w:div w:id="2061203083">
              <w:marLeft w:val="0"/>
              <w:marRight w:val="0"/>
              <w:marTop w:val="0"/>
              <w:marBottom w:val="0"/>
              <w:divBdr>
                <w:top w:val="none" w:sz="0" w:space="0" w:color="auto"/>
                <w:left w:val="none" w:sz="0" w:space="0" w:color="auto"/>
                <w:bottom w:val="none" w:sz="0" w:space="0" w:color="auto"/>
                <w:right w:val="none" w:sz="0" w:space="0" w:color="auto"/>
              </w:divBdr>
            </w:div>
            <w:div w:id="2141026056">
              <w:marLeft w:val="0"/>
              <w:marRight w:val="0"/>
              <w:marTop w:val="0"/>
              <w:marBottom w:val="0"/>
              <w:divBdr>
                <w:top w:val="none" w:sz="0" w:space="0" w:color="auto"/>
                <w:left w:val="none" w:sz="0" w:space="0" w:color="auto"/>
                <w:bottom w:val="none" w:sz="0" w:space="0" w:color="auto"/>
                <w:right w:val="none" w:sz="0" w:space="0" w:color="auto"/>
              </w:divBdr>
            </w:div>
          </w:divsChild>
        </w:div>
        <w:div w:id="1582762058">
          <w:marLeft w:val="0"/>
          <w:marRight w:val="0"/>
          <w:marTop w:val="0"/>
          <w:marBottom w:val="0"/>
          <w:divBdr>
            <w:top w:val="none" w:sz="0" w:space="0" w:color="auto"/>
            <w:left w:val="none" w:sz="0" w:space="0" w:color="auto"/>
            <w:bottom w:val="none" w:sz="0" w:space="0" w:color="auto"/>
            <w:right w:val="none" w:sz="0" w:space="0" w:color="auto"/>
          </w:divBdr>
          <w:divsChild>
            <w:div w:id="116486786">
              <w:marLeft w:val="0"/>
              <w:marRight w:val="0"/>
              <w:marTop w:val="0"/>
              <w:marBottom w:val="0"/>
              <w:divBdr>
                <w:top w:val="none" w:sz="0" w:space="0" w:color="auto"/>
                <w:left w:val="none" w:sz="0" w:space="0" w:color="auto"/>
                <w:bottom w:val="none" w:sz="0" w:space="0" w:color="auto"/>
                <w:right w:val="none" w:sz="0" w:space="0" w:color="auto"/>
              </w:divBdr>
            </w:div>
            <w:div w:id="190071312">
              <w:marLeft w:val="0"/>
              <w:marRight w:val="0"/>
              <w:marTop w:val="0"/>
              <w:marBottom w:val="0"/>
              <w:divBdr>
                <w:top w:val="none" w:sz="0" w:space="0" w:color="auto"/>
                <w:left w:val="none" w:sz="0" w:space="0" w:color="auto"/>
                <w:bottom w:val="none" w:sz="0" w:space="0" w:color="auto"/>
                <w:right w:val="none" w:sz="0" w:space="0" w:color="auto"/>
              </w:divBdr>
            </w:div>
            <w:div w:id="363211035">
              <w:marLeft w:val="0"/>
              <w:marRight w:val="0"/>
              <w:marTop w:val="0"/>
              <w:marBottom w:val="0"/>
              <w:divBdr>
                <w:top w:val="none" w:sz="0" w:space="0" w:color="auto"/>
                <w:left w:val="none" w:sz="0" w:space="0" w:color="auto"/>
                <w:bottom w:val="none" w:sz="0" w:space="0" w:color="auto"/>
                <w:right w:val="none" w:sz="0" w:space="0" w:color="auto"/>
              </w:divBdr>
            </w:div>
            <w:div w:id="644623148">
              <w:marLeft w:val="0"/>
              <w:marRight w:val="0"/>
              <w:marTop w:val="0"/>
              <w:marBottom w:val="0"/>
              <w:divBdr>
                <w:top w:val="none" w:sz="0" w:space="0" w:color="auto"/>
                <w:left w:val="none" w:sz="0" w:space="0" w:color="auto"/>
                <w:bottom w:val="none" w:sz="0" w:space="0" w:color="auto"/>
                <w:right w:val="none" w:sz="0" w:space="0" w:color="auto"/>
              </w:divBdr>
            </w:div>
            <w:div w:id="663515236">
              <w:marLeft w:val="0"/>
              <w:marRight w:val="0"/>
              <w:marTop w:val="0"/>
              <w:marBottom w:val="0"/>
              <w:divBdr>
                <w:top w:val="none" w:sz="0" w:space="0" w:color="auto"/>
                <w:left w:val="none" w:sz="0" w:space="0" w:color="auto"/>
                <w:bottom w:val="none" w:sz="0" w:space="0" w:color="auto"/>
                <w:right w:val="none" w:sz="0" w:space="0" w:color="auto"/>
              </w:divBdr>
            </w:div>
            <w:div w:id="856698310">
              <w:marLeft w:val="0"/>
              <w:marRight w:val="0"/>
              <w:marTop w:val="0"/>
              <w:marBottom w:val="0"/>
              <w:divBdr>
                <w:top w:val="none" w:sz="0" w:space="0" w:color="auto"/>
                <w:left w:val="none" w:sz="0" w:space="0" w:color="auto"/>
                <w:bottom w:val="none" w:sz="0" w:space="0" w:color="auto"/>
                <w:right w:val="none" w:sz="0" w:space="0" w:color="auto"/>
              </w:divBdr>
            </w:div>
            <w:div w:id="1019503320">
              <w:marLeft w:val="0"/>
              <w:marRight w:val="0"/>
              <w:marTop w:val="0"/>
              <w:marBottom w:val="0"/>
              <w:divBdr>
                <w:top w:val="none" w:sz="0" w:space="0" w:color="auto"/>
                <w:left w:val="none" w:sz="0" w:space="0" w:color="auto"/>
                <w:bottom w:val="none" w:sz="0" w:space="0" w:color="auto"/>
                <w:right w:val="none" w:sz="0" w:space="0" w:color="auto"/>
              </w:divBdr>
            </w:div>
            <w:div w:id="1400515498">
              <w:marLeft w:val="0"/>
              <w:marRight w:val="0"/>
              <w:marTop w:val="0"/>
              <w:marBottom w:val="0"/>
              <w:divBdr>
                <w:top w:val="none" w:sz="0" w:space="0" w:color="auto"/>
                <w:left w:val="none" w:sz="0" w:space="0" w:color="auto"/>
                <w:bottom w:val="none" w:sz="0" w:space="0" w:color="auto"/>
                <w:right w:val="none" w:sz="0" w:space="0" w:color="auto"/>
              </w:divBdr>
            </w:div>
            <w:div w:id="1862817222">
              <w:marLeft w:val="0"/>
              <w:marRight w:val="0"/>
              <w:marTop w:val="0"/>
              <w:marBottom w:val="0"/>
              <w:divBdr>
                <w:top w:val="none" w:sz="0" w:space="0" w:color="auto"/>
                <w:left w:val="none" w:sz="0" w:space="0" w:color="auto"/>
                <w:bottom w:val="none" w:sz="0" w:space="0" w:color="auto"/>
                <w:right w:val="none" w:sz="0" w:space="0" w:color="auto"/>
              </w:divBdr>
            </w:div>
          </w:divsChild>
        </w:div>
        <w:div w:id="1590234117">
          <w:marLeft w:val="0"/>
          <w:marRight w:val="0"/>
          <w:marTop w:val="0"/>
          <w:marBottom w:val="0"/>
          <w:divBdr>
            <w:top w:val="none" w:sz="0" w:space="0" w:color="auto"/>
            <w:left w:val="none" w:sz="0" w:space="0" w:color="auto"/>
            <w:bottom w:val="none" w:sz="0" w:space="0" w:color="auto"/>
            <w:right w:val="none" w:sz="0" w:space="0" w:color="auto"/>
          </w:divBdr>
          <w:divsChild>
            <w:div w:id="812599140">
              <w:marLeft w:val="0"/>
              <w:marRight w:val="0"/>
              <w:marTop w:val="0"/>
              <w:marBottom w:val="0"/>
              <w:divBdr>
                <w:top w:val="none" w:sz="0" w:space="0" w:color="auto"/>
                <w:left w:val="none" w:sz="0" w:space="0" w:color="auto"/>
                <w:bottom w:val="none" w:sz="0" w:space="0" w:color="auto"/>
                <w:right w:val="none" w:sz="0" w:space="0" w:color="auto"/>
              </w:divBdr>
            </w:div>
            <w:div w:id="959337218">
              <w:marLeft w:val="0"/>
              <w:marRight w:val="0"/>
              <w:marTop w:val="0"/>
              <w:marBottom w:val="0"/>
              <w:divBdr>
                <w:top w:val="none" w:sz="0" w:space="0" w:color="auto"/>
                <w:left w:val="none" w:sz="0" w:space="0" w:color="auto"/>
                <w:bottom w:val="none" w:sz="0" w:space="0" w:color="auto"/>
                <w:right w:val="none" w:sz="0" w:space="0" w:color="auto"/>
              </w:divBdr>
            </w:div>
            <w:div w:id="1003632074">
              <w:marLeft w:val="0"/>
              <w:marRight w:val="0"/>
              <w:marTop w:val="0"/>
              <w:marBottom w:val="0"/>
              <w:divBdr>
                <w:top w:val="none" w:sz="0" w:space="0" w:color="auto"/>
                <w:left w:val="none" w:sz="0" w:space="0" w:color="auto"/>
                <w:bottom w:val="none" w:sz="0" w:space="0" w:color="auto"/>
                <w:right w:val="none" w:sz="0" w:space="0" w:color="auto"/>
              </w:divBdr>
            </w:div>
            <w:div w:id="1121996487">
              <w:marLeft w:val="0"/>
              <w:marRight w:val="0"/>
              <w:marTop w:val="0"/>
              <w:marBottom w:val="0"/>
              <w:divBdr>
                <w:top w:val="none" w:sz="0" w:space="0" w:color="auto"/>
                <w:left w:val="none" w:sz="0" w:space="0" w:color="auto"/>
                <w:bottom w:val="none" w:sz="0" w:space="0" w:color="auto"/>
                <w:right w:val="none" w:sz="0" w:space="0" w:color="auto"/>
              </w:divBdr>
            </w:div>
            <w:div w:id="1167481620">
              <w:marLeft w:val="0"/>
              <w:marRight w:val="0"/>
              <w:marTop w:val="0"/>
              <w:marBottom w:val="0"/>
              <w:divBdr>
                <w:top w:val="none" w:sz="0" w:space="0" w:color="auto"/>
                <w:left w:val="none" w:sz="0" w:space="0" w:color="auto"/>
                <w:bottom w:val="none" w:sz="0" w:space="0" w:color="auto"/>
                <w:right w:val="none" w:sz="0" w:space="0" w:color="auto"/>
              </w:divBdr>
            </w:div>
            <w:div w:id="1219048110">
              <w:marLeft w:val="0"/>
              <w:marRight w:val="0"/>
              <w:marTop w:val="0"/>
              <w:marBottom w:val="0"/>
              <w:divBdr>
                <w:top w:val="none" w:sz="0" w:space="0" w:color="auto"/>
                <w:left w:val="none" w:sz="0" w:space="0" w:color="auto"/>
                <w:bottom w:val="none" w:sz="0" w:space="0" w:color="auto"/>
                <w:right w:val="none" w:sz="0" w:space="0" w:color="auto"/>
              </w:divBdr>
            </w:div>
            <w:div w:id="1369068134">
              <w:marLeft w:val="0"/>
              <w:marRight w:val="0"/>
              <w:marTop w:val="0"/>
              <w:marBottom w:val="0"/>
              <w:divBdr>
                <w:top w:val="none" w:sz="0" w:space="0" w:color="auto"/>
                <w:left w:val="none" w:sz="0" w:space="0" w:color="auto"/>
                <w:bottom w:val="none" w:sz="0" w:space="0" w:color="auto"/>
                <w:right w:val="none" w:sz="0" w:space="0" w:color="auto"/>
              </w:divBdr>
            </w:div>
            <w:div w:id="1836528945">
              <w:marLeft w:val="0"/>
              <w:marRight w:val="0"/>
              <w:marTop w:val="0"/>
              <w:marBottom w:val="0"/>
              <w:divBdr>
                <w:top w:val="none" w:sz="0" w:space="0" w:color="auto"/>
                <w:left w:val="none" w:sz="0" w:space="0" w:color="auto"/>
                <w:bottom w:val="none" w:sz="0" w:space="0" w:color="auto"/>
                <w:right w:val="none" w:sz="0" w:space="0" w:color="auto"/>
              </w:divBdr>
            </w:div>
            <w:div w:id="1889104438">
              <w:marLeft w:val="0"/>
              <w:marRight w:val="0"/>
              <w:marTop w:val="0"/>
              <w:marBottom w:val="0"/>
              <w:divBdr>
                <w:top w:val="none" w:sz="0" w:space="0" w:color="auto"/>
                <w:left w:val="none" w:sz="0" w:space="0" w:color="auto"/>
                <w:bottom w:val="none" w:sz="0" w:space="0" w:color="auto"/>
                <w:right w:val="none" w:sz="0" w:space="0" w:color="auto"/>
              </w:divBdr>
            </w:div>
            <w:div w:id="1901743529">
              <w:marLeft w:val="0"/>
              <w:marRight w:val="0"/>
              <w:marTop w:val="0"/>
              <w:marBottom w:val="0"/>
              <w:divBdr>
                <w:top w:val="none" w:sz="0" w:space="0" w:color="auto"/>
                <w:left w:val="none" w:sz="0" w:space="0" w:color="auto"/>
                <w:bottom w:val="none" w:sz="0" w:space="0" w:color="auto"/>
                <w:right w:val="none" w:sz="0" w:space="0" w:color="auto"/>
              </w:divBdr>
            </w:div>
          </w:divsChild>
        </w:div>
        <w:div w:id="1592932049">
          <w:marLeft w:val="0"/>
          <w:marRight w:val="0"/>
          <w:marTop w:val="0"/>
          <w:marBottom w:val="0"/>
          <w:divBdr>
            <w:top w:val="none" w:sz="0" w:space="0" w:color="auto"/>
            <w:left w:val="none" w:sz="0" w:space="0" w:color="auto"/>
            <w:bottom w:val="none" w:sz="0" w:space="0" w:color="auto"/>
            <w:right w:val="none" w:sz="0" w:space="0" w:color="auto"/>
          </w:divBdr>
          <w:divsChild>
            <w:div w:id="567039491">
              <w:marLeft w:val="-75"/>
              <w:marRight w:val="0"/>
              <w:marTop w:val="30"/>
              <w:marBottom w:val="30"/>
              <w:divBdr>
                <w:top w:val="none" w:sz="0" w:space="0" w:color="auto"/>
                <w:left w:val="none" w:sz="0" w:space="0" w:color="auto"/>
                <w:bottom w:val="none" w:sz="0" w:space="0" w:color="auto"/>
                <w:right w:val="none" w:sz="0" w:space="0" w:color="auto"/>
              </w:divBdr>
              <w:divsChild>
                <w:div w:id="181865411">
                  <w:marLeft w:val="0"/>
                  <w:marRight w:val="0"/>
                  <w:marTop w:val="0"/>
                  <w:marBottom w:val="0"/>
                  <w:divBdr>
                    <w:top w:val="none" w:sz="0" w:space="0" w:color="auto"/>
                    <w:left w:val="none" w:sz="0" w:space="0" w:color="auto"/>
                    <w:bottom w:val="none" w:sz="0" w:space="0" w:color="auto"/>
                    <w:right w:val="none" w:sz="0" w:space="0" w:color="auto"/>
                  </w:divBdr>
                  <w:divsChild>
                    <w:div w:id="1198199963">
                      <w:marLeft w:val="0"/>
                      <w:marRight w:val="0"/>
                      <w:marTop w:val="0"/>
                      <w:marBottom w:val="0"/>
                      <w:divBdr>
                        <w:top w:val="none" w:sz="0" w:space="0" w:color="auto"/>
                        <w:left w:val="none" w:sz="0" w:space="0" w:color="auto"/>
                        <w:bottom w:val="none" w:sz="0" w:space="0" w:color="auto"/>
                        <w:right w:val="none" w:sz="0" w:space="0" w:color="auto"/>
                      </w:divBdr>
                    </w:div>
                  </w:divsChild>
                </w:div>
                <w:div w:id="250355483">
                  <w:marLeft w:val="0"/>
                  <w:marRight w:val="0"/>
                  <w:marTop w:val="0"/>
                  <w:marBottom w:val="0"/>
                  <w:divBdr>
                    <w:top w:val="none" w:sz="0" w:space="0" w:color="auto"/>
                    <w:left w:val="none" w:sz="0" w:space="0" w:color="auto"/>
                    <w:bottom w:val="none" w:sz="0" w:space="0" w:color="auto"/>
                    <w:right w:val="none" w:sz="0" w:space="0" w:color="auto"/>
                  </w:divBdr>
                  <w:divsChild>
                    <w:div w:id="1291865677">
                      <w:marLeft w:val="0"/>
                      <w:marRight w:val="0"/>
                      <w:marTop w:val="0"/>
                      <w:marBottom w:val="0"/>
                      <w:divBdr>
                        <w:top w:val="none" w:sz="0" w:space="0" w:color="auto"/>
                        <w:left w:val="none" w:sz="0" w:space="0" w:color="auto"/>
                        <w:bottom w:val="none" w:sz="0" w:space="0" w:color="auto"/>
                        <w:right w:val="none" w:sz="0" w:space="0" w:color="auto"/>
                      </w:divBdr>
                    </w:div>
                  </w:divsChild>
                </w:div>
                <w:div w:id="266547095">
                  <w:marLeft w:val="0"/>
                  <w:marRight w:val="0"/>
                  <w:marTop w:val="0"/>
                  <w:marBottom w:val="0"/>
                  <w:divBdr>
                    <w:top w:val="none" w:sz="0" w:space="0" w:color="auto"/>
                    <w:left w:val="none" w:sz="0" w:space="0" w:color="auto"/>
                    <w:bottom w:val="none" w:sz="0" w:space="0" w:color="auto"/>
                    <w:right w:val="none" w:sz="0" w:space="0" w:color="auto"/>
                  </w:divBdr>
                  <w:divsChild>
                    <w:div w:id="994378429">
                      <w:marLeft w:val="0"/>
                      <w:marRight w:val="0"/>
                      <w:marTop w:val="0"/>
                      <w:marBottom w:val="0"/>
                      <w:divBdr>
                        <w:top w:val="none" w:sz="0" w:space="0" w:color="auto"/>
                        <w:left w:val="none" w:sz="0" w:space="0" w:color="auto"/>
                        <w:bottom w:val="none" w:sz="0" w:space="0" w:color="auto"/>
                        <w:right w:val="none" w:sz="0" w:space="0" w:color="auto"/>
                      </w:divBdr>
                    </w:div>
                  </w:divsChild>
                </w:div>
                <w:div w:id="332613522">
                  <w:marLeft w:val="0"/>
                  <w:marRight w:val="0"/>
                  <w:marTop w:val="0"/>
                  <w:marBottom w:val="0"/>
                  <w:divBdr>
                    <w:top w:val="none" w:sz="0" w:space="0" w:color="auto"/>
                    <w:left w:val="none" w:sz="0" w:space="0" w:color="auto"/>
                    <w:bottom w:val="none" w:sz="0" w:space="0" w:color="auto"/>
                    <w:right w:val="none" w:sz="0" w:space="0" w:color="auto"/>
                  </w:divBdr>
                  <w:divsChild>
                    <w:div w:id="290552691">
                      <w:marLeft w:val="0"/>
                      <w:marRight w:val="0"/>
                      <w:marTop w:val="0"/>
                      <w:marBottom w:val="0"/>
                      <w:divBdr>
                        <w:top w:val="none" w:sz="0" w:space="0" w:color="auto"/>
                        <w:left w:val="none" w:sz="0" w:space="0" w:color="auto"/>
                        <w:bottom w:val="none" w:sz="0" w:space="0" w:color="auto"/>
                        <w:right w:val="none" w:sz="0" w:space="0" w:color="auto"/>
                      </w:divBdr>
                    </w:div>
                  </w:divsChild>
                </w:div>
                <w:div w:id="611982320">
                  <w:marLeft w:val="0"/>
                  <w:marRight w:val="0"/>
                  <w:marTop w:val="0"/>
                  <w:marBottom w:val="0"/>
                  <w:divBdr>
                    <w:top w:val="none" w:sz="0" w:space="0" w:color="auto"/>
                    <w:left w:val="none" w:sz="0" w:space="0" w:color="auto"/>
                    <w:bottom w:val="none" w:sz="0" w:space="0" w:color="auto"/>
                    <w:right w:val="none" w:sz="0" w:space="0" w:color="auto"/>
                  </w:divBdr>
                  <w:divsChild>
                    <w:div w:id="1797554076">
                      <w:marLeft w:val="0"/>
                      <w:marRight w:val="0"/>
                      <w:marTop w:val="0"/>
                      <w:marBottom w:val="0"/>
                      <w:divBdr>
                        <w:top w:val="none" w:sz="0" w:space="0" w:color="auto"/>
                        <w:left w:val="none" w:sz="0" w:space="0" w:color="auto"/>
                        <w:bottom w:val="none" w:sz="0" w:space="0" w:color="auto"/>
                        <w:right w:val="none" w:sz="0" w:space="0" w:color="auto"/>
                      </w:divBdr>
                    </w:div>
                  </w:divsChild>
                </w:div>
                <w:div w:id="654846153">
                  <w:marLeft w:val="0"/>
                  <w:marRight w:val="0"/>
                  <w:marTop w:val="0"/>
                  <w:marBottom w:val="0"/>
                  <w:divBdr>
                    <w:top w:val="none" w:sz="0" w:space="0" w:color="auto"/>
                    <w:left w:val="none" w:sz="0" w:space="0" w:color="auto"/>
                    <w:bottom w:val="none" w:sz="0" w:space="0" w:color="auto"/>
                    <w:right w:val="none" w:sz="0" w:space="0" w:color="auto"/>
                  </w:divBdr>
                  <w:divsChild>
                    <w:div w:id="691959404">
                      <w:marLeft w:val="0"/>
                      <w:marRight w:val="0"/>
                      <w:marTop w:val="0"/>
                      <w:marBottom w:val="0"/>
                      <w:divBdr>
                        <w:top w:val="none" w:sz="0" w:space="0" w:color="auto"/>
                        <w:left w:val="none" w:sz="0" w:space="0" w:color="auto"/>
                        <w:bottom w:val="none" w:sz="0" w:space="0" w:color="auto"/>
                        <w:right w:val="none" w:sz="0" w:space="0" w:color="auto"/>
                      </w:divBdr>
                    </w:div>
                  </w:divsChild>
                </w:div>
                <w:div w:id="764617320">
                  <w:marLeft w:val="0"/>
                  <w:marRight w:val="0"/>
                  <w:marTop w:val="0"/>
                  <w:marBottom w:val="0"/>
                  <w:divBdr>
                    <w:top w:val="none" w:sz="0" w:space="0" w:color="auto"/>
                    <w:left w:val="none" w:sz="0" w:space="0" w:color="auto"/>
                    <w:bottom w:val="none" w:sz="0" w:space="0" w:color="auto"/>
                    <w:right w:val="none" w:sz="0" w:space="0" w:color="auto"/>
                  </w:divBdr>
                  <w:divsChild>
                    <w:div w:id="1190992919">
                      <w:marLeft w:val="0"/>
                      <w:marRight w:val="0"/>
                      <w:marTop w:val="0"/>
                      <w:marBottom w:val="0"/>
                      <w:divBdr>
                        <w:top w:val="none" w:sz="0" w:space="0" w:color="auto"/>
                        <w:left w:val="none" w:sz="0" w:space="0" w:color="auto"/>
                        <w:bottom w:val="none" w:sz="0" w:space="0" w:color="auto"/>
                        <w:right w:val="none" w:sz="0" w:space="0" w:color="auto"/>
                      </w:divBdr>
                    </w:div>
                  </w:divsChild>
                </w:div>
                <w:div w:id="796139331">
                  <w:marLeft w:val="0"/>
                  <w:marRight w:val="0"/>
                  <w:marTop w:val="0"/>
                  <w:marBottom w:val="0"/>
                  <w:divBdr>
                    <w:top w:val="none" w:sz="0" w:space="0" w:color="auto"/>
                    <w:left w:val="none" w:sz="0" w:space="0" w:color="auto"/>
                    <w:bottom w:val="none" w:sz="0" w:space="0" w:color="auto"/>
                    <w:right w:val="none" w:sz="0" w:space="0" w:color="auto"/>
                  </w:divBdr>
                  <w:divsChild>
                    <w:div w:id="771432818">
                      <w:marLeft w:val="0"/>
                      <w:marRight w:val="0"/>
                      <w:marTop w:val="0"/>
                      <w:marBottom w:val="0"/>
                      <w:divBdr>
                        <w:top w:val="none" w:sz="0" w:space="0" w:color="auto"/>
                        <w:left w:val="none" w:sz="0" w:space="0" w:color="auto"/>
                        <w:bottom w:val="none" w:sz="0" w:space="0" w:color="auto"/>
                        <w:right w:val="none" w:sz="0" w:space="0" w:color="auto"/>
                      </w:divBdr>
                    </w:div>
                  </w:divsChild>
                </w:div>
                <w:div w:id="1324165236">
                  <w:marLeft w:val="0"/>
                  <w:marRight w:val="0"/>
                  <w:marTop w:val="0"/>
                  <w:marBottom w:val="0"/>
                  <w:divBdr>
                    <w:top w:val="none" w:sz="0" w:space="0" w:color="auto"/>
                    <w:left w:val="none" w:sz="0" w:space="0" w:color="auto"/>
                    <w:bottom w:val="none" w:sz="0" w:space="0" w:color="auto"/>
                    <w:right w:val="none" w:sz="0" w:space="0" w:color="auto"/>
                  </w:divBdr>
                  <w:divsChild>
                    <w:div w:id="86388161">
                      <w:marLeft w:val="0"/>
                      <w:marRight w:val="0"/>
                      <w:marTop w:val="0"/>
                      <w:marBottom w:val="0"/>
                      <w:divBdr>
                        <w:top w:val="none" w:sz="0" w:space="0" w:color="auto"/>
                        <w:left w:val="none" w:sz="0" w:space="0" w:color="auto"/>
                        <w:bottom w:val="none" w:sz="0" w:space="0" w:color="auto"/>
                        <w:right w:val="none" w:sz="0" w:space="0" w:color="auto"/>
                      </w:divBdr>
                    </w:div>
                  </w:divsChild>
                </w:div>
                <w:div w:id="1472559463">
                  <w:marLeft w:val="0"/>
                  <w:marRight w:val="0"/>
                  <w:marTop w:val="0"/>
                  <w:marBottom w:val="0"/>
                  <w:divBdr>
                    <w:top w:val="none" w:sz="0" w:space="0" w:color="auto"/>
                    <w:left w:val="none" w:sz="0" w:space="0" w:color="auto"/>
                    <w:bottom w:val="none" w:sz="0" w:space="0" w:color="auto"/>
                    <w:right w:val="none" w:sz="0" w:space="0" w:color="auto"/>
                  </w:divBdr>
                  <w:divsChild>
                    <w:div w:id="1018242189">
                      <w:marLeft w:val="0"/>
                      <w:marRight w:val="0"/>
                      <w:marTop w:val="0"/>
                      <w:marBottom w:val="0"/>
                      <w:divBdr>
                        <w:top w:val="none" w:sz="0" w:space="0" w:color="auto"/>
                        <w:left w:val="none" w:sz="0" w:space="0" w:color="auto"/>
                        <w:bottom w:val="none" w:sz="0" w:space="0" w:color="auto"/>
                        <w:right w:val="none" w:sz="0" w:space="0" w:color="auto"/>
                      </w:divBdr>
                    </w:div>
                  </w:divsChild>
                </w:div>
                <w:div w:id="1705326063">
                  <w:marLeft w:val="0"/>
                  <w:marRight w:val="0"/>
                  <w:marTop w:val="0"/>
                  <w:marBottom w:val="0"/>
                  <w:divBdr>
                    <w:top w:val="none" w:sz="0" w:space="0" w:color="auto"/>
                    <w:left w:val="none" w:sz="0" w:space="0" w:color="auto"/>
                    <w:bottom w:val="none" w:sz="0" w:space="0" w:color="auto"/>
                    <w:right w:val="none" w:sz="0" w:space="0" w:color="auto"/>
                  </w:divBdr>
                  <w:divsChild>
                    <w:div w:id="790440015">
                      <w:marLeft w:val="0"/>
                      <w:marRight w:val="0"/>
                      <w:marTop w:val="0"/>
                      <w:marBottom w:val="0"/>
                      <w:divBdr>
                        <w:top w:val="none" w:sz="0" w:space="0" w:color="auto"/>
                        <w:left w:val="none" w:sz="0" w:space="0" w:color="auto"/>
                        <w:bottom w:val="none" w:sz="0" w:space="0" w:color="auto"/>
                        <w:right w:val="none" w:sz="0" w:space="0" w:color="auto"/>
                      </w:divBdr>
                    </w:div>
                  </w:divsChild>
                </w:div>
                <w:div w:id="2080057010">
                  <w:marLeft w:val="0"/>
                  <w:marRight w:val="0"/>
                  <w:marTop w:val="0"/>
                  <w:marBottom w:val="0"/>
                  <w:divBdr>
                    <w:top w:val="none" w:sz="0" w:space="0" w:color="auto"/>
                    <w:left w:val="none" w:sz="0" w:space="0" w:color="auto"/>
                    <w:bottom w:val="none" w:sz="0" w:space="0" w:color="auto"/>
                    <w:right w:val="none" w:sz="0" w:space="0" w:color="auto"/>
                  </w:divBdr>
                  <w:divsChild>
                    <w:div w:id="11745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652562">
          <w:marLeft w:val="0"/>
          <w:marRight w:val="0"/>
          <w:marTop w:val="0"/>
          <w:marBottom w:val="0"/>
          <w:divBdr>
            <w:top w:val="none" w:sz="0" w:space="0" w:color="auto"/>
            <w:left w:val="none" w:sz="0" w:space="0" w:color="auto"/>
            <w:bottom w:val="none" w:sz="0" w:space="0" w:color="auto"/>
            <w:right w:val="none" w:sz="0" w:space="0" w:color="auto"/>
          </w:divBdr>
        </w:div>
        <w:div w:id="1605965729">
          <w:marLeft w:val="0"/>
          <w:marRight w:val="0"/>
          <w:marTop w:val="0"/>
          <w:marBottom w:val="0"/>
          <w:divBdr>
            <w:top w:val="none" w:sz="0" w:space="0" w:color="auto"/>
            <w:left w:val="none" w:sz="0" w:space="0" w:color="auto"/>
            <w:bottom w:val="none" w:sz="0" w:space="0" w:color="auto"/>
            <w:right w:val="none" w:sz="0" w:space="0" w:color="auto"/>
          </w:divBdr>
          <w:divsChild>
            <w:div w:id="463278096">
              <w:marLeft w:val="0"/>
              <w:marRight w:val="0"/>
              <w:marTop w:val="0"/>
              <w:marBottom w:val="0"/>
              <w:divBdr>
                <w:top w:val="none" w:sz="0" w:space="0" w:color="auto"/>
                <w:left w:val="none" w:sz="0" w:space="0" w:color="auto"/>
                <w:bottom w:val="none" w:sz="0" w:space="0" w:color="auto"/>
                <w:right w:val="none" w:sz="0" w:space="0" w:color="auto"/>
              </w:divBdr>
            </w:div>
            <w:div w:id="650254356">
              <w:marLeft w:val="0"/>
              <w:marRight w:val="0"/>
              <w:marTop w:val="0"/>
              <w:marBottom w:val="0"/>
              <w:divBdr>
                <w:top w:val="none" w:sz="0" w:space="0" w:color="auto"/>
                <w:left w:val="none" w:sz="0" w:space="0" w:color="auto"/>
                <w:bottom w:val="none" w:sz="0" w:space="0" w:color="auto"/>
                <w:right w:val="none" w:sz="0" w:space="0" w:color="auto"/>
              </w:divBdr>
            </w:div>
            <w:div w:id="1052315747">
              <w:marLeft w:val="0"/>
              <w:marRight w:val="0"/>
              <w:marTop w:val="0"/>
              <w:marBottom w:val="0"/>
              <w:divBdr>
                <w:top w:val="none" w:sz="0" w:space="0" w:color="auto"/>
                <w:left w:val="none" w:sz="0" w:space="0" w:color="auto"/>
                <w:bottom w:val="none" w:sz="0" w:space="0" w:color="auto"/>
                <w:right w:val="none" w:sz="0" w:space="0" w:color="auto"/>
              </w:divBdr>
            </w:div>
            <w:div w:id="1348367841">
              <w:marLeft w:val="0"/>
              <w:marRight w:val="0"/>
              <w:marTop w:val="0"/>
              <w:marBottom w:val="0"/>
              <w:divBdr>
                <w:top w:val="none" w:sz="0" w:space="0" w:color="auto"/>
                <w:left w:val="none" w:sz="0" w:space="0" w:color="auto"/>
                <w:bottom w:val="none" w:sz="0" w:space="0" w:color="auto"/>
                <w:right w:val="none" w:sz="0" w:space="0" w:color="auto"/>
              </w:divBdr>
            </w:div>
            <w:div w:id="1406950219">
              <w:marLeft w:val="0"/>
              <w:marRight w:val="0"/>
              <w:marTop w:val="0"/>
              <w:marBottom w:val="0"/>
              <w:divBdr>
                <w:top w:val="none" w:sz="0" w:space="0" w:color="auto"/>
                <w:left w:val="none" w:sz="0" w:space="0" w:color="auto"/>
                <w:bottom w:val="none" w:sz="0" w:space="0" w:color="auto"/>
                <w:right w:val="none" w:sz="0" w:space="0" w:color="auto"/>
              </w:divBdr>
            </w:div>
            <w:div w:id="1755736022">
              <w:marLeft w:val="0"/>
              <w:marRight w:val="0"/>
              <w:marTop w:val="0"/>
              <w:marBottom w:val="0"/>
              <w:divBdr>
                <w:top w:val="none" w:sz="0" w:space="0" w:color="auto"/>
                <w:left w:val="none" w:sz="0" w:space="0" w:color="auto"/>
                <w:bottom w:val="none" w:sz="0" w:space="0" w:color="auto"/>
                <w:right w:val="none" w:sz="0" w:space="0" w:color="auto"/>
              </w:divBdr>
            </w:div>
          </w:divsChild>
        </w:div>
        <w:div w:id="1615936743">
          <w:marLeft w:val="0"/>
          <w:marRight w:val="0"/>
          <w:marTop w:val="0"/>
          <w:marBottom w:val="0"/>
          <w:divBdr>
            <w:top w:val="none" w:sz="0" w:space="0" w:color="auto"/>
            <w:left w:val="none" w:sz="0" w:space="0" w:color="auto"/>
            <w:bottom w:val="none" w:sz="0" w:space="0" w:color="auto"/>
            <w:right w:val="none" w:sz="0" w:space="0" w:color="auto"/>
          </w:divBdr>
          <w:divsChild>
            <w:div w:id="299118101">
              <w:marLeft w:val="0"/>
              <w:marRight w:val="0"/>
              <w:marTop w:val="0"/>
              <w:marBottom w:val="0"/>
              <w:divBdr>
                <w:top w:val="none" w:sz="0" w:space="0" w:color="auto"/>
                <w:left w:val="none" w:sz="0" w:space="0" w:color="auto"/>
                <w:bottom w:val="none" w:sz="0" w:space="0" w:color="auto"/>
                <w:right w:val="none" w:sz="0" w:space="0" w:color="auto"/>
              </w:divBdr>
            </w:div>
            <w:div w:id="398288876">
              <w:marLeft w:val="0"/>
              <w:marRight w:val="0"/>
              <w:marTop w:val="0"/>
              <w:marBottom w:val="0"/>
              <w:divBdr>
                <w:top w:val="none" w:sz="0" w:space="0" w:color="auto"/>
                <w:left w:val="none" w:sz="0" w:space="0" w:color="auto"/>
                <w:bottom w:val="none" w:sz="0" w:space="0" w:color="auto"/>
                <w:right w:val="none" w:sz="0" w:space="0" w:color="auto"/>
              </w:divBdr>
            </w:div>
            <w:div w:id="932936865">
              <w:marLeft w:val="0"/>
              <w:marRight w:val="0"/>
              <w:marTop w:val="0"/>
              <w:marBottom w:val="0"/>
              <w:divBdr>
                <w:top w:val="none" w:sz="0" w:space="0" w:color="auto"/>
                <w:left w:val="none" w:sz="0" w:space="0" w:color="auto"/>
                <w:bottom w:val="none" w:sz="0" w:space="0" w:color="auto"/>
                <w:right w:val="none" w:sz="0" w:space="0" w:color="auto"/>
              </w:divBdr>
            </w:div>
            <w:div w:id="1358001530">
              <w:marLeft w:val="0"/>
              <w:marRight w:val="0"/>
              <w:marTop w:val="0"/>
              <w:marBottom w:val="0"/>
              <w:divBdr>
                <w:top w:val="none" w:sz="0" w:space="0" w:color="auto"/>
                <w:left w:val="none" w:sz="0" w:space="0" w:color="auto"/>
                <w:bottom w:val="none" w:sz="0" w:space="0" w:color="auto"/>
                <w:right w:val="none" w:sz="0" w:space="0" w:color="auto"/>
              </w:divBdr>
            </w:div>
            <w:div w:id="1602448466">
              <w:marLeft w:val="0"/>
              <w:marRight w:val="0"/>
              <w:marTop w:val="0"/>
              <w:marBottom w:val="0"/>
              <w:divBdr>
                <w:top w:val="none" w:sz="0" w:space="0" w:color="auto"/>
                <w:left w:val="none" w:sz="0" w:space="0" w:color="auto"/>
                <w:bottom w:val="none" w:sz="0" w:space="0" w:color="auto"/>
                <w:right w:val="none" w:sz="0" w:space="0" w:color="auto"/>
              </w:divBdr>
            </w:div>
            <w:div w:id="1922717936">
              <w:marLeft w:val="0"/>
              <w:marRight w:val="0"/>
              <w:marTop w:val="0"/>
              <w:marBottom w:val="0"/>
              <w:divBdr>
                <w:top w:val="none" w:sz="0" w:space="0" w:color="auto"/>
                <w:left w:val="none" w:sz="0" w:space="0" w:color="auto"/>
                <w:bottom w:val="none" w:sz="0" w:space="0" w:color="auto"/>
                <w:right w:val="none" w:sz="0" w:space="0" w:color="auto"/>
              </w:divBdr>
            </w:div>
            <w:div w:id="2057200250">
              <w:marLeft w:val="0"/>
              <w:marRight w:val="0"/>
              <w:marTop w:val="0"/>
              <w:marBottom w:val="0"/>
              <w:divBdr>
                <w:top w:val="none" w:sz="0" w:space="0" w:color="auto"/>
                <w:left w:val="none" w:sz="0" w:space="0" w:color="auto"/>
                <w:bottom w:val="none" w:sz="0" w:space="0" w:color="auto"/>
                <w:right w:val="none" w:sz="0" w:space="0" w:color="auto"/>
              </w:divBdr>
            </w:div>
            <w:div w:id="2074111229">
              <w:marLeft w:val="0"/>
              <w:marRight w:val="0"/>
              <w:marTop w:val="0"/>
              <w:marBottom w:val="0"/>
              <w:divBdr>
                <w:top w:val="none" w:sz="0" w:space="0" w:color="auto"/>
                <w:left w:val="none" w:sz="0" w:space="0" w:color="auto"/>
                <w:bottom w:val="none" w:sz="0" w:space="0" w:color="auto"/>
                <w:right w:val="none" w:sz="0" w:space="0" w:color="auto"/>
              </w:divBdr>
            </w:div>
            <w:div w:id="2104454793">
              <w:marLeft w:val="0"/>
              <w:marRight w:val="0"/>
              <w:marTop w:val="0"/>
              <w:marBottom w:val="0"/>
              <w:divBdr>
                <w:top w:val="none" w:sz="0" w:space="0" w:color="auto"/>
                <w:left w:val="none" w:sz="0" w:space="0" w:color="auto"/>
                <w:bottom w:val="none" w:sz="0" w:space="0" w:color="auto"/>
                <w:right w:val="none" w:sz="0" w:space="0" w:color="auto"/>
              </w:divBdr>
            </w:div>
          </w:divsChild>
        </w:div>
        <w:div w:id="1622958837">
          <w:marLeft w:val="0"/>
          <w:marRight w:val="0"/>
          <w:marTop w:val="0"/>
          <w:marBottom w:val="0"/>
          <w:divBdr>
            <w:top w:val="none" w:sz="0" w:space="0" w:color="auto"/>
            <w:left w:val="none" w:sz="0" w:space="0" w:color="auto"/>
            <w:bottom w:val="none" w:sz="0" w:space="0" w:color="auto"/>
            <w:right w:val="none" w:sz="0" w:space="0" w:color="auto"/>
          </w:divBdr>
          <w:divsChild>
            <w:div w:id="33043467">
              <w:marLeft w:val="0"/>
              <w:marRight w:val="0"/>
              <w:marTop w:val="0"/>
              <w:marBottom w:val="0"/>
              <w:divBdr>
                <w:top w:val="none" w:sz="0" w:space="0" w:color="auto"/>
                <w:left w:val="none" w:sz="0" w:space="0" w:color="auto"/>
                <w:bottom w:val="none" w:sz="0" w:space="0" w:color="auto"/>
                <w:right w:val="none" w:sz="0" w:space="0" w:color="auto"/>
              </w:divBdr>
            </w:div>
            <w:div w:id="280501072">
              <w:marLeft w:val="0"/>
              <w:marRight w:val="0"/>
              <w:marTop w:val="0"/>
              <w:marBottom w:val="0"/>
              <w:divBdr>
                <w:top w:val="none" w:sz="0" w:space="0" w:color="auto"/>
                <w:left w:val="none" w:sz="0" w:space="0" w:color="auto"/>
                <w:bottom w:val="none" w:sz="0" w:space="0" w:color="auto"/>
                <w:right w:val="none" w:sz="0" w:space="0" w:color="auto"/>
              </w:divBdr>
            </w:div>
            <w:div w:id="405499697">
              <w:marLeft w:val="0"/>
              <w:marRight w:val="0"/>
              <w:marTop w:val="0"/>
              <w:marBottom w:val="0"/>
              <w:divBdr>
                <w:top w:val="none" w:sz="0" w:space="0" w:color="auto"/>
                <w:left w:val="none" w:sz="0" w:space="0" w:color="auto"/>
                <w:bottom w:val="none" w:sz="0" w:space="0" w:color="auto"/>
                <w:right w:val="none" w:sz="0" w:space="0" w:color="auto"/>
              </w:divBdr>
            </w:div>
            <w:div w:id="549878108">
              <w:marLeft w:val="0"/>
              <w:marRight w:val="0"/>
              <w:marTop w:val="0"/>
              <w:marBottom w:val="0"/>
              <w:divBdr>
                <w:top w:val="none" w:sz="0" w:space="0" w:color="auto"/>
                <w:left w:val="none" w:sz="0" w:space="0" w:color="auto"/>
                <w:bottom w:val="none" w:sz="0" w:space="0" w:color="auto"/>
                <w:right w:val="none" w:sz="0" w:space="0" w:color="auto"/>
              </w:divBdr>
            </w:div>
            <w:div w:id="636764895">
              <w:marLeft w:val="0"/>
              <w:marRight w:val="0"/>
              <w:marTop w:val="0"/>
              <w:marBottom w:val="0"/>
              <w:divBdr>
                <w:top w:val="none" w:sz="0" w:space="0" w:color="auto"/>
                <w:left w:val="none" w:sz="0" w:space="0" w:color="auto"/>
                <w:bottom w:val="none" w:sz="0" w:space="0" w:color="auto"/>
                <w:right w:val="none" w:sz="0" w:space="0" w:color="auto"/>
              </w:divBdr>
            </w:div>
            <w:div w:id="1061249551">
              <w:marLeft w:val="0"/>
              <w:marRight w:val="0"/>
              <w:marTop w:val="0"/>
              <w:marBottom w:val="0"/>
              <w:divBdr>
                <w:top w:val="none" w:sz="0" w:space="0" w:color="auto"/>
                <w:left w:val="none" w:sz="0" w:space="0" w:color="auto"/>
                <w:bottom w:val="none" w:sz="0" w:space="0" w:color="auto"/>
                <w:right w:val="none" w:sz="0" w:space="0" w:color="auto"/>
              </w:divBdr>
            </w:div>
            <w:div w:id="1253927817">
              <w:marLeft w:val="0"/>
              <w:marRight w:val="0"/>
              <w:marTop w:val="0"/>
              <w:marBottom w:val="0"/>
              <w:divBdr>
                <w:top w:val="none" w:sz="0" w:space="0" w:color="auto"/>
                <w:left w:val="none" w:sz="0" w:space="0" w:color="auto"/>
                <w:bottom w:val="none" w:sz="0" w:space="0" w:color="auto"/>
                <w:right w:val="none" w:sz="0" w:space="0" w:color="auto"/>
              </w:divBdr>
            </w:div>
            <w:div w:id="1344237476">
              <w:marLeft w:val="0"/>
              <w:marRight w:val="0"/>
              <w:marTop w:val="0"/>
              <w:marBottom w:val="0"/>
              <w:divBdr>
                <w:top w:val="none" w:sz="0" w:space="0" w:color="auto"/>
                <w:left w:val="none" w:sz="0" w:space="0" w:color="auto"/>
                <w:bottom w:val="none" w:sz="0" w:space="0" w:color="auto"/>
                <w:right w:val="none" w:sz="0" w:space="0" w:color="auto"/>
              </w:divBdr>
            </w:div>
            <w:div w:id="1436288657">
              <w:marLeft w:val="0"/>
              <w:marRight w:val="0"/>
              <w:marTop w:val="0"/>
              <w:marBottom w:val="0"/>
              <w:divBdr>
                <w:top w:val="none" w:sz="0" w:space="0" w:color="auto"/>
                <w:left w:val="none" w:sz="0" w:space="0" w:color="auto"/>
                <w:bottom w:val="none" w:sz="0" w:space="0" w:color="auto"/>
                <w:right w:val="none" w:sz="0" w:space="0" w:color="auto"/>
              </w:divBdr>
            </w:div>
            <w:div w:id="1482428508">
              <w:marLeft w:val="0"/>
              <w:marRight w:val="0"/>
              <w:marTop w:val="0"/>
              <w:marBottom w:val="0"/>
              <w:divBdr>
                <w:top w:val="none" w:sz="0" w:space="0" w:color="auto"/>
                <w:left w:val="none" w:sz="0" w:space="0" w:color="auto"/>
                <w:bottom w:val="none" w:sz="0" w:space="0" w:color="auto"/>
                <w:right w:val="none" w:sz="0" w:space="0" w:color="auto"/>
              </w:divBdr>
            </w:div>
            <w:div w:id="1819954199">
              <w:marLeft w:val="0"/>
              <w:marRight w:val="0"/>
              <w:marTop w:val="0"/>
              <w:marBottom w:val="0"/>
              <w:divBdr>
                <w:top w:val="none" w:sz="0" w:space="0" w:color="auto"/>
                <w:left w:val="none" w:sz="0" w:space="0" w:color="auto"/>
                <w:bottom w:val="none" w:sz="0" w:space="0" w:color="auto"/>
                <w:right w:val="none" w:sz="0" w:space="0" w:color="auto"/>
              </w:divBdr>
            </w:div>
            <w:div w:id="1935936418">
              <w:marLeft w:val="0"/>
              <w:marRight w:val="0"/>
              <w:marTop w:val="0"/>
              <w:marBottom w:val="0"/>
              <w:divBdr>
                <w:top w:val="none" w:sz="0" w:space="0" w:color="auto"/>
                <w:left w:val="none" w:sz="0" w:space="0" w:color="auto"/>
                <w:bottom w:val="none" w:sz="0" w:space="0" w:color="auto"/>
                <w:right w:val="none" w:sz="0" w:space="0" w:color="auto"/>
              </w:divBdr>
            </w:div>
            <w:div w:id="2016036892">
              <w:marLeft w:val="0"/>
              <w:marRight w:val="0"/>
              <w:marTop w:val="0"/>
              <w:marBottom w:val="0"/>
              <w:divBdr>
                <w:top w:val="none" w:sz="0" w:space="0" w:color="auto"/>
                <w:left w:val="none" w:sz="0" w:space="0" w:color="auto"/>
                <w:bottom w:val="none" w:sz="0" w:space="0" w:color="auto"/>
                <w:right w:val="none" w:sz="0" w:space="0" w:color="auto"/>
              </w:divBdr>
            </w:div>
          </w:divsChild>
        </w:div>
        <w:div w:id="1633486518">
          <w:marLeft w:val="0"/>
          <w:marRight w:val="0"/>
          <w:marTop w:val="0"/>
          <w:marBottom w:val="0"/>
          <w:divBdr>
            <w:top w:val="none" w:sz="0" w:space="0" w:color="auto"/>
            <w:left w:val="none" w:sz="0" w:space="0" w:color="auto"/>
            <w:bottom w:val="none" w:sz="0" w:space="0" w:color="auto"/>
            <w:right w:val="none" w:sz="0" w:space="0" w:color="auto"/>
          </w:divBdr>
          <w:divsChild>
            <w:div w:id="154616203">
              <w:marLeft w:val="0"/>
              <w:marRight w:val="0"/>
              <w:marTop w:val="0"/>
              <w:marBottom w:val="0"/>
              <w:divBdr>
                <w:top w:val="none" w:sz="0" w:space="0" w:color="auto"/>
                <w:left w:val="none" w:sz="0" w:space="0" w:color="auto"/>
                <w:bottom w:val="none" w:sz="0" w:space="0" w:color="auto"/>
                <w:right w:val="none" w:sz="0" w:space="0" w:color="auto"/>
              </w:divBdr>
            </w:div>
            <w:div w:id="385033324">
              <w:marLeft w:val="0"/>
              <w:marRight w:val="0"/>
              <w:marTop w:val="0"/>
              <w:marBottom w:val="0"/>
              <w:divBdr>
                <w:top w:val="none" w:sz="0" w:space="0" w:color="auto"/>
                <w:left w:val="none" w:sz="0" w:space="0" w:color="auto"/>
                <w:bottom w:val="none" w:sz="0" w:space="0" w:color="auto"/>
                <w:right w:val="none" w:sz="0" w:space="0" w:color="auto"/>
              </w:divBdr>
            </w:div>
            <w:div w:id="451050547">
              <w:marLeft w:val="0"/>
              <w:marRight w:val="0"/>
              <w:marTop w:val="0"/>
              <w:marBottom w:val="0"/>
              <w:divBdr>
                <w:top w:val="none" w:sz="0" w:space="0" w:color="auto"/>
                <w:left w:val="none" w:sz="0" w:space="0" w:color="auto"/>
                <w:bottom w:val="none" w:sz="0" w:space="0" w:color="auto"/>
                <w:right w:val="none" w:sz="0" w:space="0" w:color="auto"/>
              </w:divBdr>
            </w:div>
            <w:div w:id="656767770">
              <w:marLeft w:val="0"/>
              <w:marRight w:val="0"/>
              <w:marTop w:val="0"/>
              <w:marBottom w:val="0"/>
              <w:divBdr>
                <w:top w:val="none" w:sz="0" w:space="0" w:color="auto"/>
                <w:left w:val="none" w:sz="0" w:space="0" w:color="auto"/>
                <w:bottom w:val="none" w:sz="0" w:space="0" w:color="auto"/>
                <w:right w:val="none" w:sz="0" w:space="0" w:color="auto"/>
              </w:divBdr>
            </w:div>
            <w:div w:id="844788707">
              <w:marLeft w:val="0"/>
              <w:marRight w:val="0"/>
              <w:marTop w:val="0"/>
              <w:marBottom w:val="0"/>
              <w:divBdr>
                <w:top w:val="none" w:sz="0" w:space="0" w:color="auto"/>
                <w:left w:val="none" w:sz="0" w:space="0" w:color="auto"/>
                <w:bottom w:val="none" w:sz="0" w:space="0" w:color="auto"/>
                <w:right w:val="none" w:sz="0" w:space="0" w:color="auto"/>
              </w:divBdr>
            </w:div>
            <w:div w:id="892154273">
              <w:marLeft w:val="0"/>
              <w:marRight w:val="0"/>
              <w:marTop w:val="0"/>
              <w:marBottom w:val="0"/>
              <w:divBdr>
                <w:top w:val="none" w:sz="0" w:space="0" w:color="auto"/>
                <w:left w:val="none" w:sz="0" w:space="0" w:color="auto"/>
                <w:bottom w:val="none" w:sz="0" w:space="0" w:color="auto"/>
                <w:right w:val="none" w:sz="0" w:space="0" w:color="auto"/>
              </w:divBdr>
            </w:div>
            <w:div w:id="1289318707">
              <w:marLeft w:val="0"/>
              <w:marRight w:val="0"/>
              <w:marTop w:val="0"/>
              <w:marBottom w:val="0"/>
              <w:divBdr>
                <w:top w:val="none" w:sz="0" w:space="0" w:color="auto"/>
                <w:left w:val="none" w:sz="0" w:space="0" w:color="auto"/>
                <w:bottom w:val="none" w:sz="0" w:space="0" w:color="auto"/>
                <w:right w:val="none" w:sz="0" w:space="0" w:color="auto"/>
              </w:divBdr>
            </w:div>
            <w:div w:id="1804155592">
              <w:marLeft w:val="0"/>
              <w:marRight w:val="0"/>
              <w:marTop w:val="0"/>
              <w:marBottom w:val="0"/>
              <w:divBdr>
                <w:top w:val="none" w:sz="0" w:space="0" w:color="auto"/>
                <w:left w:val="none" w:sz="0" w:space="0" w:color="auto"/>
                <w:bottom w:val="none" w:sz="0" w:space="0" w:color="auto"/>
                <w:right w:val="none" w:sz="0" w:space="0" w:color="auto"/>
              </w:divBdr>
            </w:div>
            <w:div w:id="2079010544">
              <w:marLeft w:val="0"/>
              <w:marRight w:val="0"/>
              <w:marTop w:val="0"/>
              <w:marBottom w:val="0"/>
              <w:divBdr>
                <w:top w:val="none" w:sz="0" w:space="0" w:color="auto"/>
                <w:left w:val="none" w:sz="0" w:space="0" w:color="auto"/>
                <w:bottom w:val="none" w:sz="0" w:space="0" w:color="auto"/>
                <w:right w:val="none" w:sz="0" w:space="0" w:color="auto"/>
              </w:divBdr>
            </w:div>
          </w:divsChild>
        </w:div>
        <w:div w:id="1635014981">
          <w:marLeft w:val="0"/>
          <w:marRight w:val="0"/>
          <w:marTop w:val="0"/>
          <w:marBottom w:val="0"/>
          <w:divBdr>
            <w:top w:val="none" w:sz="0" w:space="0" w:color="auto"/>
            <w:left w:val="none" w:sz="0" w:space="0" w:color="auto"/>
            <w:bottom w:val="none" w:sz="0" w:space="0" w:color="auto"/>
            <w:right w:val="none" w:sz="0" w:space="0" w:color="auto"/>
          </w:divBdr>
          <w:divsChild>
            <w:div w:id="285085531">
              <w:marLeft w:val="0"/>
              <w:marRight w:val="0"/>
              <w:marTop w:val="0"/>
              <w:marBottom w:val="0"/>
              <w:divBdr>
                <w:top w:val="none" w:sz="0" w:space="0" w:color="auto"/>
                <w:left w:val="none" w:sz="0" w:space="0" w:color="auto"/>
                <w:bottom w:val="none" w:sz="0" w:space="0" w:color="auto"/>
                <w:right w:val="none" w:sz="0" w:space="0" w:color="auto"/>
              </w:divBdr>
            </w:div>
            <w:div w:id="328800543">
              <w:marLeft w:val="0"/>
              <w:marRight w:val="0"/>
              <w:marTop w:val="0"/>
              <w:marBottom w:val="0"/>
              <w:divBdr>
                <w:top w:val="none" w:sz="0" w:space="0" w:color="auto"/>
                <w:left w:val="none" w:sz="0" w:space="0" w:color="auto"/>
                <w:bottom w:val="none" w:sz="0" w:space="0" w:color="auto"/>
                <w:right w:val="none" w:sz="0" w:space="0" w:color="auto"/>
              </w:divBdr>
            </w:div>
            <w:div w:id="694157862">
              <w:marLeft w:val="0"/>
              <w:marRight w:val="0"/>
              <w:marTop w:val="0"/>
              <w:marBottom w:val="0"/>
              <w:divBdr>
                <w:top w:val="none" w:sz="0" w:space="0" w:color="auto"/>
                <w:left w:val="none" w:sz="0" w:space="0" w:color="auto"/>
                <w:bottom w:val="none" w:sz="0" w:space="0" w:color="auto"/>
                <w:right w:val="none" w:sz="0" w:space="0" w:color="auto"/>
              </w:divBdr>
            </w:div>
            <w:div w:id="739861957">
              <w:marLeft w:val="0"/>
              <w:marRight w:val="0"/>
              <w:marTop w:val="0"/>
              <w:marBottom w:val="0"/>
              <w:divBdr>
                <w:top w:val="none" w:sz="0" w:space="0" w:color="auto"/>
                <w:left w:val="none" w:sz="0" w:space="0" w:color="auto"/>
                <w:bottom w:val="none" w:sz="0" w:space="0" w:color="auto"/>
                <w:right w:val="none" w:sz="0" w:space="0" w:color="auto"/>
              </w:divBdr>
            </w:div>
            <w:div w:id="1261986153">
              <w:marLeft w:val="0"/>
              <w:marRight w:val="0"/>
              <w:marTop w:val="0"/>
              <w:marBottom w:val="0"/>
              <w:divBdr>
                <w:top w:val="none" w:sz="0" w:space="0" w:color="auto"/>
                <w:left w:val="none" w:sz="0" w:space="0" w:color="auto"/>
                <w:bottom w:val="none" w:sz="0" w:space="0" w:color="auto"/>
                <w:right w:val="none" w:sz="0" w:space="0" w:color="auto"/>
              </w:divBdr>
            </w:div>
            <w:div w:id="1283807113">
              <w:marLeft w:val="0"/>
              <w:marRight w:val="0"/>
              <w:marTop w:val="0"/>
              <w:marBottom w:val="0"/>
              <w:divBdr>
                <w:top w:val="none" w:sz="0" w:space="0" w:color="auto"/>
                <w:left w:val="none" w:sz="0" w:space="0" w:color="auto"/>
                <w:bottom w:val="none" w:sz="0" w:space="0" w:color="auto"/>
                <w:right w:val="none" w:sz="0" w:space="0" w:color="auto"/>
              </w:divBdr>
            </w:div>
            <w:div w:id="1377970231">
              <w:marLeft w:val="0"/>
              <w:marRight w:val="0"/>
              <w:marTop w:val="0"/>
              <w:marBottom w:val="0"/>
              <w:divBdr>
                <w:top w:val="none" w:sz="0" w:space="0" w:color="auto"/>
                <w:left w:val="none" w:sz="0" w:space="0" w:color="auto"/>
                <w:bottom w:val="none" w:sz="0" w:space="0" w:color="auto"/>
                <w:right w:val="none" w:sz="0" w:space="0" w:color="auto"/>
              </w:divBdr>
            </w:div>
            <w:div w:id="1747190081">
              <w:marLeft w:val="0"/>
              <w:marRight w:val="0"/>
              <w:marTop w:val="0"/>
              <w:marBottom w:val="0"/>
              <w:divBdr>
                <w:top w:val="none" w:sz="0" w:space="0" w:color="auto"/>
                <w:left w:val="none" w:sz="0" w:space="0" w:color="auto"/>
                <w:bottom w:val="none" w:sz="0" w:space="0" w:color="auto"/>
                <w:right w:val="none" w:sz="0" w:space="0" w:color="auto"/>
              </w:divBdr>
            </w:div>
            <w:div w:id="2072844027">
              <w:marLeft w:val="0"/>
              <w:marRight w:val="0"/>
              <w:marTop w:val="0"/>
              <w:marBottom w:val="0"/>
              <w:divBdr>
                <w:top w:val="none" w:sz="0" w:space="0" w:color="auto"/>
                <w:left w:val="none" w:sz="0" w:space="0" w:color="auto"/>
                <w:bottom w:val="none" w:sz="0" w:space="0" w:color="auto"/>
                <w:right w:val="none" w:sz="0" w:space="0" w:color="auto"/>
              </w:divBdr>
            </w:div>
          </w:divsChild>
        </w:div>
        <w:div w:id="1638759392">
          <w:marLeft w:val="0"/>
          <w:marRight w:val="0"/>
          <w:marTop w:val="0"/>
          <w:marBottom w:val="0"/>
          <w:divBdr>
            <w:top w:val="none" w:sz="0" w:space="0" w:color="auto"/>
            <w:left w:val="none" w:sz="0" w:space="0" w:color="auto"/>
            <w:bottom w:val="none" w:sz="0" w:space="0" w:color="auto"/>
            <w:right w:val="none" w:sz="0" w:space="0" w:color="auto"/>
          </w:divBdr>
        </w:div>
        <w:div w:id="1640108942">
          <w:marLeft w:val="0"/>
          <w:marRight w:val="0"/>
          <w:marTop w:val="0"/>
          <w:marBottom w:val="0"/>
          <w:divBdr>
            <w:top w:val="none" w:sz="0" w:space="0" w:color="auto"/>
            <w:left w:val="none" w:sz="0" w:space="0" w:color="auto"/>
            <w:bottom w:val="none" w:sz="0" w:space="0" w:color="auto"/>
            <w:right w:val="none" w:sz="0" w:space="0" w:color="auto"/>
          </w:divBdr>
          <w:divsChild>
            <w:div w:id="1000740251">
              <w:marLeft w:val="-75"/>
              <w:marRight w:val="0"/>
              <w:marTop w:val="30"/>
              <w:marBottom w:val="30"/>
              <w:divBdr>
                <w:top w:val="none" w:sz="0" w:space="0" w:color="auto"/>
                <w:left w:val="none" w:sz="0" w:space="0" w:color="auto"/>
                <w:bottom w:val="none" w:sz="0" w:space="0" w:color="auto"/>
                <w:right w:val="none" w:sz="0" w:space="0" w:color="auto"/>
              </w:divBdr>
              <w:divsChild>
                <w:div w:id="16279907">
                  <w:marLeft w:val="0"/>
                  <w:marRight w:val="0"/>
                  <w:marTop w:val="0"/>
                  <w:marBottom w:val="0"/>
                  <w:divBdr>
                    <w:top w:val="none" w:sz="0" w:space="0" w:color="auto"/>
                    <w:left w:val="none" w:sz="0" w:space="0" w:color="auto"/>
                    <w:bottom w:val="none" w:sz="0" w:space="0" w:color="auto"/>
                    <w:right w:val="none" w:sz="0" w:space="0" w:color="auto"/>
                  </w:divBdr>
                  <w:divsChild>
                    <w:div w:id="725104080">
                      <w:marLeft w:val="0"/>
                      <w:marRight w:val="0"/>
                      <w:marTop w:val="0"/>
                      <w:marBottom w:val="0"/>
                      <w:divBdr>
                        <w:top w:val="none" w:sz="0" w:space="0" w:color="auto"/>
                        <w:left w:val="none" w:sz="0" w:space="0" w:color="auto"/>
                        <w:bottom w:val="none" w:sz="0" w:space="0" w:color="auto"/>
                        <w:right w:val="none" w:sz="0" w:space="0" w:color="auto"/>
                      </w:divBdr>
                    </w:div>
                  </w:divsChild>
                </w:div>
                <w:div w:id="73088108">
                  <w:marLeft w:val="0"/>
                  <w:marRight w:val="0"/>
                  <w:marTop w:val="0"/>
                  <w:marBottom w:val="0"/>
                  <w:divBdr>
                    <w:top w:val="none" w:sz="0" w:space="0" w:color="auto"/>
                    <w:left w:val="none" w:sz="0" w:space="0" w:color="auto"/>
                    <w:bottom w:val="none" w:sz="0" w:space="0" w:color="auto"/>
                    <w:right w:val="none" w:sz="0" w:space="0" w:color="auto"/>
                  </w:divBdr>
                  <w:divsChild>
                    <w:div w:id="898443467">
                      <w:marLeft w:val="0"/>
                      <w:marRight w:val="0"/>
                      <w:marTop w:val="0"/>
                      <w:marBottom w:val="0"/>
                      <w:divBdr>
                        <w:top w:val="none" w:sz="0" w:space="0" w:color="auto"/>
                        <w:left w:val="none" w:sz="0" w:space="0" w:color="auto"/>
                        <w:bottom w:val="none" w:sz="0" w:space="0" w:color="auto"/>
                        <w:right w:val="none" w:sz="0" w:space="0" w:color="auto"/>
                      </w:divBdr>
                    </w:div>
                  </w:divsChild>
                </w:div>
                <w:div w:id="74018722">
                  <w:marLeft w:val="0"/>
                  <w:marRight w:val="0"/>
                  <w:marTop w:val="0"/>
                  <w:marBottom w:val="0"/>
                  <w:divBdr>
                    <w:top w:val="none" w:sz="0" w:space="0" w:color="auto"/>
                    <w:left w:val="none" w:sz="0" w:space="0" w:color="auto"/>
                    <w:bottom w:val="none" w:sz="0" w:space="0" w:color="auto"/>
                    <w:right w:val="none" w:sz="0" w:space="0" w:color="auto"/>
                  </w:divBdr>
                  <w:divsChild>
                    <w:div w:id="686634418">
                      <w:marLeft w:val="0"/>
                      <w:marRight w:val="0"/>
                      <w:marTop w:val="0"/>
                      <w:marBottom w:val="0"/>
                      <w:divBdr>
                        <w:top w:val="none" w:sz="0" w:space="0" w:color="auto"/>
                        <w:left w:val="none" w:sz="0" w:space="0" w:color="auto"/>
                        <w:bottom w:val="none" w:sz="0" w:space="0" w:color="auto"/>
                        <w:right w:val="none" w:sz="0" w:space="0" w:color="auto"/>
                      </w:divBdr>
                    </w:div>
                  </w:divsChild>
                </w:div>
                <w:div w:id="125007130">
                  <w:marLeft w:val="0"/>
                  <w:marRight w:val="0"/>
                  <w:marTop w:val="0"/>
                  <w:marBottom w:val="0"/>
                  <w:divBdr>
                    <w:top w:val="none" w:sz="0" w:space="0" w:color="auto"/>
                    <w:left w:val="none" w:sz="0" w:space="0" w:color="auto"/>
                    <w:bottom w:val="none" w:sz="0" w:space="0" w:color="auto"/>
                    <w:right w:val="none" w:sz="0" w:space="0" w:color="auto"/>
                  </w:divBdr>
                  <w:divsChild>
                    <w:div w:id="147407395">
                      <w:marLeft w:val="0"/>
                      <w:marRight w:val="0"/>
                      <w:marTop w:val="0"/>
                      <w:marBottom w:val="0"/>
                      <w:divBdr>
                        <w:top w:val="none" w:sz="0" w:space="0" w:color="auto"/>
                        <w:left w:val="none" w:sz="0" w:space="0" w:color="auto"/>
                        <w:bottom w:val="none" w:sz="0" w:space="0" w:color="auto"/>
                        <w:right w:val="none" w:sz="0" w:space="0" w:color="auto"/>
                      </w:divBdr>
                    </w:div>
                    <w:div w:id="220605287">
                      <w:marLeft w:val="0"/>
                      <w:marRight w:val="0"/>
                      <w:marTop w:val="0"/>
                      <w:marBottom w:val="0"/>
                      <w:divBdr>
                        <w:top w:val="none" w:sz="0" w:space="0" w:color="auto"/>
                        <w:left w:val="none" w:sz="0" w:space="0" w:color="auto"/>
                        <w:bottom w:val="none" w:sz="0" w:space="0" w:color="auto"/>
                        <w:right w:val="none" w:sz="0" w:space="0" w:color="auto"/>
                      </w:divBdr>
                    </w:div>
                    <w:div w:id="368459272">
                      <w:marLeft w:val="0"/>
                      <w:marRight w:val="0"/>
                      <w:marTop w:val="0"/>
                      <w:marBottom w:val="0"/>
                      <w:divBdr>
                        <w:top w:val="none" w:sz="0" w:space="0" w:color="auto"/>
                        <w:left w:val="none" w:sz="0" w:space="0" w:color="auto"/>
                        <w:bottom w:val="none" w:sz="0" w:space="0" w:color="auto"/>
                        <w:right w:val="none" w:sz="0" w:space="0" w:color="auto"/>
                      </w:divBdr>
                    </w:div>
                    <w:div w:id="1152061284">
                      <w:marLeft w:val="0"/>
                      <w:marRight w:val="0"/>
                      <w:marTop w:val="0"/>
                      <w:marBottom w:val="0"/>
                      <w:divBdr>
                        <w:top w:val="none" w:sz="0" w:space="0" w:color="auto"/>
                        <w:left w:val="none" w:sz="0" w:space="0" w:color="auto"/>
                        <w:bottom w:val="none" w:sz="0" w:space="0" w:color="auto"/>
                        <w:right w:val="none" w:sz="0" w:space="0" w:color="auto"/>
                      </w:divBdr>
                    </w:div>
                    <w:div w:id="1632395128">
                      <w:marLeft w:val="0"/>
                      <w:marRight w:val="0"/>
                      <w:marTop w:val="0"/>
                      <w:marBottom w:val="0"/>
                      <w:divBdr>
                        <w:top w:val="none" w:sz="0" w:space="0" w:color="auto"/>
                        <w:left w:val="none" w:sz="0" w:space="0" w:color="auto"/>
                        <w:bottom w:val="none" w:sz="0" w:space="0" w:color="auto"/>
                        <w:right w:val="none" w:sz="0" w:space="0" w:color="auto"/>
                      </w:divBdr>
                    </w:div>
                    <w:div w:id="1683047058">
                      <w:marLeft w:val="0"/>
                      <w:marRight w:val="0"/>
                      <w:marTop w:val="0"/>
                      <w:marBottom w:val="0"/>
                      <w:divBdr>
                        <w:top w:val="none" w:sz="0" w:space="0" w:color="auto"/>
                        <w:left w:val="none" w:sz="0" w:space="0" w:color="auto"/>
                        <w:bottom w:val="none" w:sz="0" w:space="0" w:color="auto"/>
                        <w:right w:val="none" w:sz="0" w:space="0" w:color="auto"/>
                      </w:divBdr>
                    </w:div>
                  </w:divsChild>
                </w:div>
                <w:div w:id="126512312">
                  <w:marLeft w:val="0"/>
                  <w:marRight w:val="0"/>
                  <w:marTop w:val="0"/>
                  <w:marBottom w:val="0"/>
                  <w:divBdr>
                    <w:top w:val="none" w:sz="0" w:space="0" w:color="auto"/>
                    <w:left w:val="none" w:sz="0" w:space="0" w:color="auto"/>
                    <w:bottom w:val="none" w:sz="0" w:space="0" w:color="auto"/>
                    <w:right w:val="none" w:sz="0" w:space="0" w:color="auto"/>
                  </w:divBdr>
                  <w:divsChild>
                    <w:div w:id="553932396">
                      <w:marLeft w:val="0"/>
                      <w:marRight w:val="0"/>
                      <w:marTop w:val="0"/>
                      <w:marBottom w:val="0"/>
                      <w:divBdr>
                        <w:top w:val="none" w:sz="0" w:space="0" w:color="auto"/>
                        <w:left w:val="none" w:sz="0" w:space="0" w:color="auto"/>
                        <w:bottom w:val="none" w:sz="0" w:space="0" w:color="auto"/>
                        <w:right w:val="none" w:sz="0" w:space="0" w:color="auto"/>
                      </w:divBdr>
                    </w:div>
                  </w:divsChild>
                </w:div>
                <w:div w:id="153910021">
                  <w:marLeft w:val="0"/>
                  <w:marRight w:val="0"/>
                  <w:marTop w:val="0"/>
                  <w:marBottom w:val="0"/>
                  <w:divBdr>
                    <w:top w:val="none" w:sz="0" w:space="0" w:color="auto"/>
                    <w:left w:val="none" w:sz="0" w:space="0" w:color="auto"/>
                    <w:bottom w:val="none" w:sz="0" w:space="0" w:color="auto"/>
                    <w:right w:val="none" w:sz="0" w:space="0" w:color="auto"/>
                  </w:divBdr>
                  <w:divsChild>
                    <w:div w:id="1806772827">
                      <w:marLeft w:val="0"/>
                      <w:marRight w:val="0"/>
                      <w:marTop w:val="0"/>
                      <w:marBottom w:val="0"/>
                      <w:divBdr>
                        <w:top w:val="none" w:sz="0" w:space="0" w:color="auto"/>
                        <w:left w:val="none" w:sz="0" w:space="0" w:color="auto"/>
                        <w:bottom w:val="none" w:sz="0" w:space="0" w:color="auto"/>
                        <w:right w:val="none" w:sz="0" w:space="0" w:color="auto"/>
                      </w:divBdr>
                    </w:div>
                  </w:divsChild>
                </w:div>
                <w:div w:id="162739762">
                  <w:marLeft w:val="0"/>
                  <w:marRight w:val="0"/>
                  <w:marTop w:val="0"/>
                  <w:marBottom w:val="0"/>
                  <w:divBdr>
                    <w:top w:val="none" w:sz="0" w:space="0" w:color="auto"/>
                    <w:left w:val="none" w:sz="0" w:space="0" w:color="auto"/>
                    <w:bottom w:val="none" w:sz="0" w:space="0" w:color="auto"/>
                    <w:right w:val="none" w:sz="0" w:space="0" w:color="auto"/>
                  </w:divBdr>
                  <w:divsChild>
                    <w:div w:id="902182831">
                      <w:marLeft w:val="0"/>
                      <w:marRight w:val="0"/>
                      <w:marTop w:val="0"/>
                      <w:marBottom w:val="0"/>
                      <w:divBdr>
                        <w:top w:val="none" w:sz="0" w:space="0" w:color="auto"/>
                        <w:left w:val="none" w:sz="0" w:space="0" w:color="auto"/>
                        <w:bottom w:val="none" w:sz="0" w:space="0" w:color="auto"/>
                        <w:right w:val="none" w:sz="0" w:space="0" w:color="auto"/>
                      </w:divBdr>
                    </w:div>
                    <w:div w:id="1327782562">
                      <w:marLeft w:val="0"/>
                      <w:marRight w:val="0"/>
                      <w:marTop w:val="0"/>
                      <w:marBottom w:val="0"/>
                      <w:divBdr>
                        <w:top w:val="none" w:sz="0" w:space="0" w:color="auto"/>
                        <w:left w:val="none" w:sz="0" w:space="0" w:color="auto"/>
                        <w:bottom w:val="none" w:sz="0" w:space="0" w:color="auto"/>
                        <w:right w:val="none" w:sz="0" w:space="0" w:color="auto"/>
                      </w:divBdr>
                    </w:div>
                  </w:divsChild>
                </w:div>
                <w:div w:id="163790522">
                  <w:marLeft w:val="0"/>
                  <w:marRight w:val="0"/>
                  <w:marTop w:val="0"/>
                  <w:marBottom w:val="0"/>
                  <w:divBdr>
                    <w:top w:val="none" w:sz="0" w:space="0" w:color="auto"/>
                    <w:left w:val="none" w:sz="0" w:space="0" w:color="auto"/>
                    <w:bottom w:val="none" w:sz="0" w:space="0" w:color="auto"/>
                    <w:right w:val="none" w:sz="0" w:space="0" w:color="auto"/>
                  </w:divBdr>
                  <w:divsChild>
                    <w:div w:id="1226644719">
                      <w:marLeft w:val="0"/>
                      <w:marRight w:val="0"/>
                      <w:marTop w:val="0"/>
                      <w:marBottom w:val="0"/>
                      <w:divBdr>
                        <w:top w:val="none" w:sz="0" w:space="0" w:color="auto"/>
                        <w:left w:val="none" w:sz="0" w:space="0" w:color="auto"/>
                        <w:bottom w:val="none" w:sz="0" w:space="0" w:color="auto"/>
                        <w:right w:val="none" w:sz="0" w:space="0" w:color="auto"/>
                      </w:divBdr>
                    </w:div>
                  </w:divsChild>
                </w:div>
                <w:div w:id="182137037">
                  <w:marLeft w:val="0"/>
                  <w:marRight w:val="0"/>
                  <w:marTop w:val="0"/>
                  <w:marBottom w:val="0"/>
                  <w:divBdr>
                    <w:top w:val="none" w:sz="0" w:space="0" w:color="auto"/>
                    <w:left w:val="none" w:sz="0" w:space="0" w:color="auto"/>
                    <w:bottom w:val="none" w:sz="0" w:space="0" w:color="auto"/>
                    <w:right w:val="none" w:sz="0" w:space="0" w:color="auto"/>
                  </w:divBdr>
                  <w:divsChild>
                    <w:div w:id="2079352693">
                      <w:marLeft w:val="0"/>
                      <w:marRight w:val="0"/>
                      <w:marTop w:val="0"/>
                      <w:marBottom w:val="0"/>
                      <w:divBdr>
                        <w:top w:val="none" w:sz="0" w:space="0" w:color="auto"/>
                        <w:left w:val="none" w:sz="0" w:space="0" w:color="auto"/>
                        <w:bottom w:val="none" w:sz="0" w:space="0" w:color="auto"/>
                        <w:right w:val="none" w:sz="0" w:space="0" w:color="auto"/>
                      </w:divBdr>
                    </w:div>
                  </w:divsChild>
                </w:div>
                <w:div w:id="193927130">
                  <w:marLeft w:val="0"/>
                  <w:marRight w:val="0"/>
                  <w:marTop w:val="0"/>
                  <w:marBottom w:val="0"/>
                  <w:divBdr>
                    <w:top w:val="none" w:sz="0" w:space="0" w:color="auto"/>
                    <w:left w:val="none" w:sz="0" w:space="0" w:color="auto"/>
                    <w:bottom w:val="none" w:sz="0" w:space="0" w:color="auto"/>
                    <w:right w:val="none" w:sz="0" w:space="0" w:color="auto"/>
                  </w:divBdr>
                  <w:divsChild>
                    <w:div w:id="1508859234">
                      <w:marLeft w:val="0"/>
                      <w:marRight w:val="0"/>
                      <w:marTop w:val="0"/>
                      <w:marBottom w:val="0"/>
                      <w:divBdr>
                        <w:top w:val="none" w:sz="0" w:space="0" w:color="auto"/>
                        <w:left w:val="none" w:sz="0" w:space="0" w:color="auto"/>
                        <w:bottom w:val="none" w:sz="0" w:space="0" w:color="auto"/>
                        <w:right w:val="none" w:sz="0" w:space="0" w:color="auto"/>
                      </w:divBdr>
                    </w:div>
                  </w:divsChild>
                </w:div>
                <w:div w:id="206652042">
                  <w:marLeft w:val="0"/>
                  <w:marRight w:val="0"/>
                  <w:marTop w:val="0"/>
                  <w:marBottom w:val="0"/>
                  <w:divBdr>
                    <w:top w:val="none" w:sz="0" w:space="0" w:color="auto"/>
                    <w:left w:val="none" w:sz="0" w:space="0" w:color="auto"/>
                    <w:bottom w:val="none" w:sz="0" w:space="0" w:color="auto"/>
                    <w:right w:val="none" w:sz="0" w:space="0" w:color="auto"/>
                  </w:divBdr>
                  <w:divsChild>
                    <w:div w:id="1828203343">
                      <w:marLeft w:val="0"/>
                      <w:marRight w:val="0"/>
                      <w:marTop w:val="0"/>
                      <w:marBottom w:val="0"/>
                      <w:divBdr>
                        <w:top w:val="none" w:sz="0" w:space="0" w:color="auto"/>
                        <w:left w:val="none" w:sz="0" w:space="0" w:color="auto"/>
                        <w:bottom w:val="none" w:sz="0" w:space="0" w:color="auto"/>
                        <w:right w:val="none" w:sz="0" w:space="0" w:color="auto"/>
                      </w:divBdr>
                    </w:div>
                  </w:divsChild>
                </w:div>
                <w:div w:id="215236678">
                  <w:marLeft w:val="0"/>
                  <w:marRight w:val="0"/>
                  <w:marTop w:val="0"/>
                  <w:marBottom w:val="0"/>
                  <w:divBdr>
                    <w:top w:val="none" w:sz="0" w:space="0" w:color="auto"/>
                    <w:left w:val="none" w:sz="0" w:space="0" w:color="auto"/>
                    <w:bottom w:val="none" w:sz="0" w:space="0" w:color="auto"/>
                    <w:right w:val="none" w:sz="0" w:space="0" w:color="auto"/>
                  </w:divBdr>
                  <w:divsChild>
                    <w:div w:id="1725055044">
                      <w:marLeft w:val="0"/>
                      <w:marRight w:val="0"/>
                      <w:marTop w:val="0"/>
                      <w:marBottom w:val="0"/>
                      <w:divBdr>
                        <w:top w:val="none" w:sz="0" w:space="0" w:color="auto"/>
                        <w:left w:val="none" w:sz="0" w:space="0" w:color="auto"/>
                        <w:bottom w:val="none" w:sz="0" w:space="0" w:color="auto"/>
                        <w:right w:val="none" w:sz="0" w:space="0" w:color="auto"/>
                      </w:divBdr>
                    </w:div>
                  </w:divsChild>
                </w:div>
                <w:div w:id="244536579">
                  <w:marLeft w:val="0"/>
                  <w:marRight w:val="0"/>
                  <w:marTop w:val="0"/>
                  <w:marBottom w:val="0"/>
                  <w:divBdr>
                    <w:top w:val="none" w:sz="0" w:space="0" w:color="auto"/>
                    <w:left w:val="none" w:sz="0" w:space="0" w:color="auto"/>
                    <w:bottom w:val="none" w:sz="0" w:space="0" w:color="auto"/>
                    <w:right w:val="none" w:sz="0" w:space="0" w:color="auto"/>
                  </w:divBdr>
                  <w:divsChild>
                    <w:div w:id="770855989">
                      <w:marLeft w:val="0"/>
                      <w:marRight w:val="0"/>
                      <w:marTop w:val="0"/>
                      <w:marBottom w:val="0"/>
                      <w:divBdr>
                        <w:top w:val="none" w:sz="0" w:space="0" w:color="auto"/>
                        <w:left w:val="none" w:sz="0" w:space="0" w:color="auto"/>
                        <w:bottom w:val="none" w:sz="0" w:space="0" w:color="auto"/>
                        <w:right w:val="none" w:sz="0" w:space="0" w:color="auto"/>
                      </w:divBdr>
                    </w:div>
                  </w:divsChild>
                </w:div>
                <w:div w:id="244924110">
                  <w:marLeft w:val="0"/>
                  <w:marRight w:val="0"/>
                  <w:marTop w:val="0"/>
                  <w:marBottom w:val="0"/>
                  <w:divBdr>
                    <w:top w:val="none" w:sz="0" w:space="0" w:color="auto"/>
                    <w:left w:val="none" w:sz="0" w:space="0" w:color="auto"/>
                    <w:bottom w:val="none" w:sz="0" w:space="0" w:color="auto"/>
                    <w:right w:val="none" w:sz="0" w:space="0" w:color="auto"/>
                  </w:divBdr>
                  <w:divsChild>
                    <w:div w:id="142353644">
                      <w:marLeft w:val="0"/>
                      <w:marRight w:val="0"/>
                      <w:marTop w:val="0"/>
                      <w:marBottom w:val="0"/>
                      <w:divBdr>
                        <w:top w:val="none" w:sz="0" w:space="0" w:color="auto"/>
                        <w:left w:val="none" w:sz="0" w:space="0" w:color="auto"/>
                        <w:bottom w:val="none" w:sz="0" w:space="0" w:color="auto"/>
                        <w:right w:val="none" w:sz="0" w:space="0" w:color="auto"/>
                      </w:divBdr>
                    </w:div>
                  </w:divsChild>
                </w:div>
                <w:div w:id="273291291">
                  <w:marLeft w:val="0"/>
                  <w:marRight w:val="0"/>
                  <w:marTop w:val="0"/>
                  <w:marBottom w:val="0"/>
                  <w:divBdr>
                    <w:top w:val="none" w:sz="0" w:space="0" w:color="auto"/>
                    <w:left w:val="none" w:sz="0" w:space="0" w:color="auto"/>
                    <w:bottom w:val="none" w:sz="0" w:space="0" w:color="auto"/>
                    <w:right w:val="none" w:sz="0" w:space="0" w:color="auto"/>
                  </w:divBdr>
                  <w:divsChild>
                    <w:div w:id="1999117548">
                      <w:marLeft w:val="0"/>
                      <w:marRight w:val="0"/>
                      <w:marTop w:val="0"/>
                      <w:marBottom w:val="0"/>
                      <w:divBdr>
                        <w:top w:val="none" w:sz="0" w:space="0" w:color="auto"/>
                        <w:left w:val="none" w:sz="0" w:space="0" w:color="auto"/>
                        <w:bottom w:val="none" w:sz="0" w:space="0" w:color="auto"/>
                        <w:right w:val="none" w:sz="0" w:space="0" w:color="auto"/>
                      </w:divBdr>
                    </w:div>
                  </w:divsChild>
                </w:div>
                <w:div w:id="279149454">
                  <w:marLeft w:val="0"/>
                  <w:marRight w:val="0"/>
                  <w:marTop w:val="0"/>
                  <w:marBottom w:val="0"/>
                  <w:divBdr>
                    <w:top w:val="none" w:sz="0" w:space="0" w:color="auto"/>
                    <w:left w:val="none" w:sz="0" w:space="0" w:color="auto"/>
                    <w:bottom w:val="none" w:sz="0" w:space="0" w:color="auto"/>
                    <w:right w:val="none" w:sz="0" w:space="0" w:color="auto"/>
                  </w:divBdr>
                  <w:divsChild>
                    <w:div w:id="1342078448">
                      <w:marLeft w:val="0"/>
                      <w:marRight w:val="0"/>
                      <w:marTop w:val="0"/>
                      <w:marBottom w:val="0"/>
                      <w:divBdr>
                        <w:top w:val="none" w:sz="0" w:space="0" w:color="auto"/>
                        <w:left w:val="none" w:sz="0" w:space="0" w:color="auto"/>
                        <w:bottom w:val="none" w:sz="0" w:space="0" w:color="auto"/>
                        <w:right w:val="none" w:sz="0" w:space="0" w:color="auto"/>
                      </w:divBdr>
                    </w:div>
                  </w:divsChild>
                </w:div>
                <w:div w:id="350493414">
                  <w:marLeft w:val="0"/>
                  <w:marRight w:val="0"/>
                  <w:marTop w:val="0"/>
                  <w:marBottom w:val="0"/>
                  <w:divBdr>
                    <w:top w:val="none" w:sz="0" w:space="0" w:color="auto"/>
                    <w:left w:val="none" w:sz="0" w:space="0" w:color="auto"/>
                    <w:bottom w:val="none" w:sz="0" w:space="0" w:color="auto"/>
                    <w:right w:val="none" w:sz="0" w:space="0" w:color="auto"/>
                  </w:divBdr>
                  <w:divsChild>
                    <w:div w:id="1323701974">
                      <w:marLeft w:val="0"/>
                      <w:marRight w:val="0"/>
                      <w:marTop w:val="0"/>
                      <w:marBottom w:val="0"/>
                      <w:divBdr>
                        <w:top w:val="none" w:sz="0" w:space="0" w:color="auto"/>
                        <w:left w:val="none" w:sz="0" w:space="0" w:color="auto"/>
                        <w:bottom w:val="none" w:sz="0" w:space="0" w:color="auto"/>
                        <w:right w:val="none" w:sz="0" w:space="0" w:color="auto"/>
                      </w:divBdr>
                    </w:div>
                  </w:divsChild>
                </w:div>
                <w:div w:id="351805937">
                  <w:marLeft w:val="0"/>
                  <w:marRight w:val="0"/>
                  <w:marTop w:val="0"/>
                  <w:marBottom w:val="0"/>
                  <w:divBdr>
                    <w:top w:val="none" w:sz="0" w:space="0" w:color="auto"/>
                    <w:left w:val="none" w:sz="0" w:space="0" w:color="auto"/>
                    <w:bottom w:val="none" w:sz="0" w:space="0" w:color="auto"/>
                    <w:right w:val="none" w:sz="0" w:space="0" w:color="auto"/>
                  </w:divBdr>
                  <w:divsChild>
                    <w:div w:id="1652753245">
                      <w:marLeft w:val="0"/>
                      <w:marRight w:val="0"/>
                      <w:marTop w:val="0"/>
                      <w:marBottom w:val="0"/>
                      <w:divBdr>
                        <w:top w:val="none" w:sz="0" w:space="0" w:color="auto"/>
                        <w:left w:val="none" w:sz="0" w:space="0" w:color="auto"/>
                        <w:bottom w:val="none" w:sz="0" w:space="0" w:color="auto"/>
                        <w:right w:val="none" w:sz="0" w:space="0" w:color="auto"/>
                      </w:divBdr>
                    </w:div>
                  </w:divsChild>
                </w:div>
                <w:div w:id="363556800">
                  <w:marLeft w:val="0"/>
                  <w:marRight w:val="0"/>
                  <w:marTop w:val="0"/>
                  <w:marBottom w:val="0"/>
                  <w:divBdr>
                    <w:top w:val="none" w:sz="0" w:space="0" w:color="auto"/>
                    <w:left w:val="none" w:sz="0" w:space="0" w:color="auto"/>
                    <w:bottom w:val="none" w:sz="0" w:space="0" w:color="auto"/>
                    <w:right w:val="none" w:sz="0" w:space="0" w:color="auto"/>
                  </w:divBdr>
                  <w:divsChild>
                    <w:div w:id="62918334">
                      <w:marLeft w:val="0"/>
                      <w:marRight w:val="0"/>
                      <w:marTop w:val="0"/>
                      <w:marBottom w:val="0"/>
                      <w:divBdr>
                        <w:top w:val="none" w:sz="0" w:space="0" w:color="auto"/>
                        <w:left w:val="none" w:sz="0" w:space="0" w:color="auto"/>
                        <w:bottom w:val="none" w:sz="0" w:space="0" w:color="auto"/>
                        <w:right w:val="none" w:sz="0" w:space="0" w:color="auto"/>
                      </w:divBdr>
                    </w:div>
                  </w:divsChild>
                </w:div>
                <w:div w:id="407075225">
                  <w:marLeft w:val="0"/>
                  <w:marRight w:val="0"/>
                  <w:marTop w:val="0"/>
                  <w:marBottom w:val="0"/>
                  <w:divBdr>
                    <w:top w:val="none" w:sz="0" w:space="0" w:color="auto"/>
                    <w:left w:val="none" w:sz="0" w:space="0" w:color="auto"/>
                    <w:bottom w:val="none" w:sz="0" w:space="0" w:color="auto"/>
                    <w:right w:val="none" w:sz="0" w:space="0" w:color="auto"/>
                  </w:divBdr>
                  <w:divsChild>
                    <w:div w:id="1964461015">
                      <w:marLeft w:val="0"/>
                      <w:marRight w:val="0"/>
                      <w:marTop w:val="0"/>
                      <w:marBottom w:val="0"/>
                      <w:divBdr>
                        <w:top w:val="none" w:sz="0" w:space="0" w:color="auto"/>
                        <w:left w:val="none" w:sz="0" w:space="0" w:color="auto"/>
                        <w:bottom w:val="none" w:sz="0" w:space="0" w:color="auto"/>
                        <w:right w:val="none" w:sz="0" w:space="0" w:color="auto"/>
                      </w:divBdr>
                    </w:div>
                  </w:divsChild>
                </w:div>
                <w:div w:id="427821815">
                  <w:marLeft w:val="0"/>
                  <w:marRight w:val="0"/>
                  <w:marTop w:val="0"/>
                  <w:marBottom w:val="0"/>
                  <w:divBdr>
                    <w:top w:val="none" w:sz="0" w:space="0" w:color="auto"/>
                    <w:left w:val="none" w:sz="0" w:space="0" w:color="auto"/>
                    <w:bottom w:val="none" w:sz="0" w:space="0" w:color="auto"/>
                    <w:right w:val="none" w:sz="0" w:space="0" w:color="auto"/>
                  </w:divBdr>
                  <w:divsChild>
                    <w:div w:id="1466778492">
                      <w:marLeft w:val="0"/>
                      <w:marRight w:val="0"/>
                      <w:marTop w:val="0"/>
                      <w:marBottom w:val="0"/>
                      <w:divBdr>
                        <w:top w:val="none" w:sz="0" w:space="0" w:color="auto"/>
                        <w:left w:val="none" w:sz="0" w:space="0" w:color="auto"/>
                        <w:bottom w:val="none" w:sz="0" w:space="0" w:color="auto"/>
                        <w:right w:val="none" w:sz="0" w:space="0" w:color="auto"/>
                      </w:divBdr>
                    </w:div>
                  </w:divsChild>
                </w:div>
                <w:div w:id="430584752">
                  <w:marLeft w:val="0"/>
                  <w:marRight w:val="0"/>
                  <w:marTop w:val="0"/>
                  <w:marBottom w:val="0"/>
                  <w:divBdr>
                    <w:top w:val="none" w:sz="0" w:space="0" w:color="auto"/>
                    <w:left w:val="none" w:sz="0" w:space="0" w:color="auto"/>
                    <w:bottom w:val="none" w:sz="0" w:space="0" w:color="auto"/>
                    <w:right w:val="none" w:sz="0" w:space="0" w:color="auto"/>
                  </w:divBdr>
                  <w:divsChild>
                    <w:div w:id="2042054178">
                      <w:marLeft w:val="0"/>
                      <w:marRight w:val="0"/>
                      <w:marTop w:val="0"/>
                      <w:marBottom w:val="0"/>
                      <w:divBdr>
                        <w:top w:val="none" w:sz="0" w:space="0" w:color="auto"/>
                        <w:left w:val="none" w:sz="0" w:space="0" w:color="auto"/>
                        <w:bottom w:val="none" w:sz="0" w:space="0" w:color="auto"/>
                        <w:right w:val="none" w:sz="0" w:space="0" w:color="auto"/>
                      </w:divBdr>
                    </w:div>
                  </w:divsChild>
                </w:div>
                <w:div w:id="517693672">
                  <w:marLeft w:val="0"/>
                  <w:marRight w:val="0"/>
                  <w:marTop w:val="0"/>
                  <w:marBottom w:val="0"/>
                  <w:divBdr>
                    <w:top w:val="none" w:sz="0" w:space="0" w:color="auto"/>
                    <w:left w:val="none" w:sz="0" w:space="0" w:color="auto"/>
                    <w:bottom w:val="none" w:sz="0" w:space="0" w:color="auto"/>
                    <w:right w:val="none" w:sz="0" w:space="0" w:color="auto"/>
                  </w:divBdr>
                  <w:divsChild>
                    <w:div w:id="259801770">
                      <w:marLeft w:val="0"/>
                      <w:marRight w:val="0"/>
                      <w:marTop w:val="0"/>
                      <w:marBottom w:val="0"/>
                      <w:divBdr>
                        <w:top w:val="none" w:sz="0" w:space="0" w:color="auto"/>
                        <w:left w:val="none" w:sz="0" w:space="0" w:color="auto"/>
                        <w:bottom w:val="none" w:sz="0" w:space="0" w:color="auto"/>
                        <w:right w:val="none" w:sz="0" w:space="0" w:color="auto"/>
                      </w:divBdr>
                    </w:div>
                  </w:divsChild>
                </w:div>
                <w:div w:id="581641405">
                  <w:marLeft w:val="0"/>
                  <w:marRight w:val="0"/>
                  <w:marTop w:val="0"/>
                  <w:marBottom w:val="0"/>
                  <w:divBdr>
                    <w:top w:val="none" w:sz="0" w:space="0" w:color="auto"/>
                    <w:left w:val="none" w:sz="0" w:space="0" w:color="auto"/>
                    <w:bottom w:val="none" w:sz="0" w:space="0" w:color="auto"/>
                    <w:right w:val="none" w:sz="0" w:space="0" w:color="auto"/>
                  </w:divBdr>
                  <w:divsChild>
                    <w:div w:id="2005668042">
                      <w:marLeft w:val="0"/>
                      <w:marRight w:val="0"/>
                      <w:marTop w:val="0"/>
                      <w:marBottom w:val="0"/>
                      <w:divBdr>
                        <w:top w:val="none" w:sz="0" w:space="0" w:color="auto"/>
                        <w:left w:val="none" w:sz="0" w:space="0" w:color="auto"/>
                        <w:bottom w:val="none" w:sz="0" w:space="0" w:color="auto"/>
                        <w:right w:val="none" w:sz="0" w:space="0" w:color="auto"/>
                      </w:divBdr>
                    </w:div>
                  </w:divsChild>
                </w:div>
                <w:div w:id="588387378">
                  <w:marLeft w:val="0"/>
                  <w:marRight w:val="0"/>
                  <w:marTop w:val="0"/>
                  <w:marBottom w:val="0"/>
                  <w:divBdr>
                    <w:top w:val="none" w:sz="0" w:space="0" w:color="auto"/>
                    <w:left w:val="none" w:sz="0" w:space="0" w:color="auto"/>
                    <w:bottom w:val="none" w:sz="0" w:space="0" w:color="auto"/>
                    <w:right w:val="none" w:sz="0" w:space="0" w:color="auto"/>
                  </w:divBdr>
                  <w:divsChild>
                    <w:div w:id="1544295403">
                      <w:marLeft w:val="0"/>
                      <w:marRight w:val="0"/>
                      <w:marTop w:val="0"/>
                      <w:marBottom w:val="0"/>
                      <w:divBdr>
                        <w:top w:val="none" w:sz="0" w:space="0" w:color="auto"/>
                        <w:left w:val="none" w:sz="0" w:space="0" w:color="auto"/>
                        <w:bottom w:val="none" w:sz="0" w:space="0" w:color="auto"/>
                        <w:right w:val="none" w:sz="0" w:space="0" w:color="auto"/>
                      </w:divBdr>
                    </w:div>
                  </w:divsChild>
                </w:div>
                <w:div w:id="640885569">
                  <w:marLeft w:val="0"/>
                  <w:marRight w:val="0"/>
                  <w:marTop w:val="0"/>
                  <w:marBottom w:val="0"/>
                  <w:divBdr>
                    <w:top w:val="none" w:sz="0" w:space="0" w:color="auto"/>
                    <w:left w:val="none" w:sz="0" w:space="0" w:color="auto"/>
                    <w:bottom w:val="none" w:sz="0" w:space="0" w:color="auto"/>
                    <w:right w:val="none" w:sz="0" w:space="0" w:color="auto"/>
                  </w:divBdr>
                  <w:divsChild>
                    <w:div w:id="409234621">
                      <w:marLeft w:val="0"/>
                      <w:marRight w:val="0"/>
                      <w:marTop w:val="0"/>
                      <w:marBottom w:val="0"/>
                      <w:divBdr>
                        <w:top w:val="none" w:sz="0" w:space="0" w:color="auto"/>
                        <w:left w:val="none" w:sz="0" w:space="0" w:color="auto"/>
                        <w:bottom w:val="none" w:sz="0" w:space="0" w:color="auto"/>
                        <w:right w:val="none" w:sz="0" w:space="0" w:color="auto"/>
                      </w:divBdr>
                    </w:div>
                  </w:divsChild>
                </w:div>
                <w:div w:id="665060591">
                  <w:marLeft w:val="0"/>
                  <w:marRight w:val="0"/>
                  <w:marTop w:val="0"/>
                  <w:marBottom w:val="0"/>
                  <w:divBdr>
                    <w:top w:val="none" w:sz="0" w:space="0" w:color="auto"/>
                    <w:left w:val="none" w:sz="0" w:space="0" w:color="auto"/>
                    <w:bottom w:val="none" w:sz="0" w:space="0" w:color="auto"/>
                    <w:right w:val="none" w:sz="0" w:space="0" w:color="auto"/>
                  </w:divBdr>
                  <w:divsChild>
                    <w:div w:id="1147357827">
                      <w:marLeft w:val="0"/>
                      <w:marRight w:val="0"/>
                      <w:marTop w:val="0"/>
                      <w:marBottom w:val="0"/>
                      <w:divBdr>
                        <w:top w:val="none" w:sz="0" w:space="0" w:color="auto"/>
                        <w:left w:val="none" w:sz="0" w:space="0" w:color="auto"/>
                        <w:bottom w:val="none" w:sz="0" w:space="0" w:color="auto"/>
                        <w:right w:val="none" w:sz="0" w:space="0" w:color="auto"/>
                      </w:divBdr>
                    </w:div>
                  </w:divsChild>
                </w:div>
                <w:div w:id="692917983">
                  <w:marLeft w:val="0"/>
                  <w:marRight w:val="0"/>
                  <w:marTop w:val="0"/>
                  <w:marBottom w:val="0"/>
                  <w:divBdr>
                    <w:top w:val="none" w:sz="0" w:space="0" w:color="auto"/>
                    <w:left w:val="none" w:sz="0" w:space="0" w:color="auto"/>
                    <w:bottom w:val="none" w:sz="0" w:space="0" w:color="auto"/>
                    <w:right w:val="none" w:sz="0" w:space="0" w:color="auto"/>
                  </w:divBdr>
                  <w:divsChild>
                    <w:div w:id="127356404">
                      <w:marLeft w:val="0"/>
                      <w:marRight w:val="0"/>
                      <w:marTop w:val="0"/>
                      <w:marBottom w:val="0"/>
                      <w:divBdr>
                        <w:top w:val="none" w:sz="0" w:space="0" w:color="auto"/>
                        <w:left w:val="none" w:sz="0" w:space="0" w:color="auto"/>
                        <w:bottom w:val="none" w:sz="0" w:space="0" w:color="auto"/>
                        <w:right w:val="none" w:sz="0" w:space="0" w:color="auto"/>
                      </w:divBdr>
                    </w:div>
                  </w:divsChild>
                </w:div>
                <w:div w:id="711929150">
                  <w:marLeft w:val="0"/>
                  <w:marRight w:val="0"/>
                  <w:marTop w:val="0"/>
                  <w:marBottom w:val="0"/>
                  <w:divBdr>
                    <w:top w:val="none" w:sz="0" w:space="0" w:color="auto"/>
                    <w:left w:val="none" w:sz="0" w:space="0" w:color="auto"/>
                    <w:bottom w:val="none" w:sz="0" w:space="0" w:color="auto"/>
                    <w:right w:val="none" w:sz="0" w:space="0" w:color="auto"/>
                  </w:divBdr>
                  <w:divsChild>
                    <w:div w:id="1954894021">
                      <w:marLeft w:val="0"/>
                      <w:marRight w:val="0"/>
                      <w:marTop w:val="0"/>
                      <w:marBottom w:val="0"/>
                      <w:divBdr>
                        <w:top w:val="none" w:sz="0" w:space="0" w:color="auto"/>
                        <w:left w:val="none" w:sz="0" w:space="0" w:color="auto"/>
                        <w:bottom w:val="none" w:sz="0" w:space="0" w:color="auto"/>
                        <w:right w:val="none" w:sz="0" w:space="0" w:color="auto"/>
                      </w:divBdr>
                    </w:div>
                  </w:divsChild>
                </w:div>
                <w:div w:id="740179995">
                  <w:marLeft w:val="0"/>
                  <w:marRight w:val="0"/>
                  <w:marTop w:val="0"/>
                  <w:marBottom w:val="0"/>
                  <w:divBdr>
                    <w:top w:val="none" w:sz="0" w:space="0" w:color="auto"/>
                    <w:left w:val="none" w:sz="0" w:space="0" w:color="auto"/>
                    <w:bottom w:val="none" w:sz="0" w:space="0" w:color="auto"/>
                    <w:right w:val="none" w:sz="0" w:space="0" w:color="auto"/>
                  </w:divBdr>
                  <w:divsChild>
                    <w:div w:id="1822503524">
                      <w:marLeft w:val="0"/>
                      <w:marRight w:val="0"/>
                      <w:marTop w:val="0"/>
                      <w:marBottom w:val="0"/>
                      <w:divBdr>
                        <w:top w:val="none" w:sz="0" w:space="0" w:color="auto"/>
                        <w:left w:val="none" w:sz="0" w:space="0" w:color="auto"/>
                        <w:bottom w:val="none" w:sz="0" w:space="0" w:color="auto"/>
                        <w:right w:val="none" w:sz="0" w:space="0" w:color="auto"/>
                      </w:divBdr>
                    </w:div>
                  </w:divsChild>
                </w:div>
                <w:div w:id="755323566">
                  <w:marLeft w:val="0"/>
                  <w:marRight w:val="0"/>
                  <w:marTop w:val="0"/>
                  <w:marBottom w:val="0"/>
                  <w:divBdr>
                    <w:top w:val="none" w:sz="0" w:space="0" w:color="auto"/>
                    <w:left w:val="none" w:sz="0" w:space="0" w:color="auto"/>
                    <w:bottom w:val="none" w:sz="0" w:space="0" w:color="auto"/>
                    <w:right w:val="none" w:sz="0" w:space="0" w:color="auto"/>
                  </w:divBdr>
                  <w:divsChild>
                    <w:div w:id="698508510">
                      <w:marLeft w:val="0"/>
                      <w:marRight w:val="0"/>
                      <w:marTop w:val="0"/>
                      <w:marBottom w:val="0"/>
                      <w:divBdr>
                        <w:top w:val="none" w:sz="0" w:space="0" w:color="auto"/>
                        <w:left w:val="none" w:sz="0" w:space="0" w:color="auto"/>
                        <w:bottom w:val="none" w:sz="0" w:space="0" w:color="auto"/>
                        <w:right w:val="none" w:sz="0" w:space="0" w:color="auto"/>
                      </w:divBdr>
                    </w:div>
                  </w:divsChild>
                </w:div>
                <w:div w:id="814951401">
                  <w:marLeft w:val="0"/>
                  <w:marRight w:val="0"/>
                  <w:marTop w:val="0"/>
                  <w:marBottom w:val="0"/>
                  <w:divBdr>
                    <w:top w:val="none" w:sz="0" w:space="0" w:color="auto"/>
                    <w:left w:val="none" w:sz="0" w:space="0" w:color="auto"/>
                    <w:bottom w:val="none" w:sz="0" w:space="0" w:color="auto"/>
                    <w:right w:val="none" w:sz="0" w:space="0" w:color="auto"/>
                  </w:divBdr>
                  <w:divsChild>
                    <w:div w:id="719016510">
                      <w:marLeft w:val="0"/>
                      <w:marRight w:val="0"/>
                      <w:marTop w:val="0"/>
                      <w:marBottom w:val="0"/>
                      <w:divBdr>
                        <w:top w:val="none" w:sz="0" w:space="0" w:color="auto"/>
                        <w:left w:val="none" w:sz="0" w:space="0" w:color="auto"/>
                        <w:bottom w:val="none" w:sz="0" w:space="0" w:color="auto"/>
                        <w:right w:val="none" w:sz="0" w:space="0" w:color="auto"/>
                      </w:divBdr>
                    </w:div>
                  </w:divsChild>
                </w:div>
                <w:div w:id="882012272">
                  <w:marLeft w:val="0"/>
                  <w:marRight w:val="0"/>
                  <w:marTop w:val="0"/>
                  <w:marBottom w:val="0"/>
                  <w:divBdr>
                    <w:top w:val="none" w:sz="0" w:space="0" w:color="auto"/>
                    <w:left w:val="none" w:sz="0" w:space="0" w:color="auto"/>
                    <w:bottom w:val="none" w:sz="0" w:space="0" w:color="auto"/>
                    <w:right w:val="none" w:sz="0" w:space="0" w:color="auto"/>
                  </w:divBdr>
                  <w:divsChild>
                    <w:div w:id="1374843216">
                      <w:marLeft w:val="0"/>
                      <w:marRight w:val="0"/>
                      <w:marTop w:val="0"/>
                      <w:marBottom w:val="0"/>
                      <w:divBdr>
                        <w:top w:val="none" w:sz="0" w:space="0" w:color="auto"/>
                        <w:left w:val="none" w:sz="0" w:space="0" w:color="auto"/>
                        <w:bottom w:val="none" w:sz="0" w:space="0" w:color="auto"/>
                        <w:right w:val="none" w:sz="0" w:space="0" w:color="auto"/>
                      </w:divBdr>
                    </w:div>
                  </w:divsChild>
                </w:div>
                <w:div w:id="894244003">
                  <w:marLeft w:val="0"/>
                  <w:marRight w:val="0"/>
                  <w:marTop w:val="0"/>
                  <w:marBottom w:val="0"/>
                  <w:divBdr>
                    <w:top w:val="none" w:sz="0" w:space="0" w:color="auto"/>
                    <w:left w:val="none" w:sz="0" w:space="0" w:color="auto"/>
                    <w:bottom w:val="none" w:sz="0" w:space="0" w:color="auto"/>
                    <w:right w:val="none" w:sz="0" w:space="0" w:color="auto"/>
                  </w:divBdr>
                  <w:divsChild>
                    <w:div w:id="139159197">
                      <w:marLeft w:val="0"/>
                      <w:marRight w:val="0"/>
                      <w:marTop w:val="0"/>
                      <w:marBottom w:val="0"/>
                      <w:divBdr>
                        <w:top w:val="none" w:sz="0" w:space="0" w:color="auto"/>
                        <w:left w:val="none" w:sz="0" w:space="0" w:color="auto"/>
                        <w:bottom w:val="none" w:sz="0" w:space="0" w:color="auto"/>
                        <w:right w:val="none" w:sz="0" w:space="0" w:color="auto"/>
                      </w:divBdr>
                    </w:div>
                  </w:divsChild>
                </w:div>
                <w:div w:id="897861160">
                  <w:marLeft w:val="0"/>
                  <w:marRight w:val="0"/>
                  <w:marTop w:val="0"/>
                  <w:marBottom w:val="0"/>
                  <w:divBdr>
                    <w:top w:val="none" w:sz="0" w:space="0" w:color="auto"/>
                    <w:left w:val="none" w:sz="0" w:space="0" w:color="auto"/>
                    <w:bottom w:val="none" w:sz="0" w:space="0" w:color="auto"/>
                    <w:right w:val="none" w:sz="0" w:space="0" w:color="auto"/>
                  </w:divBdr>
                  <w:divsChild>
                    <w:div w:id="1613122486">
                      <w:marLeft w:val="0"/>
                      <w:marRight w:val="0"/>
                      <w:marTop w:val="0"/>
                      <w:marBottom w:val="0"/>
                      <w:divBdr>
                        <w:top w:val="none" w:sz="0" w:space="0" w:color="auto"/>
                        <w:left w:val="none" w:sz="0" w:space="0" w:color="auto"/>
                        <w:bottom w:val="none" w:sz="0" w:space="0" w:color="auto"/>
                        <w:right w:val="none" w:sz="0" w:space="0" w:color="auto"/>
                      </w:divBdr>
                    </w:div>
                  </w:divsChild>
                </w:div>
                <w:div w:id="910501360">
                  <w:marLeft w:val="0"/>
                  <w:marRight w:val="0"/>
                  <w:marTop w:val="0"/>
                  <w:marBottom w:val="0"/>
                  <w:divBdr>
                    <w:top w:val="none" w:sz="0" w:space="0" w:color="auto"/>
                    <w:left w:val="none" w:sz="0" w:space="0" w:color="auto"/>
                    <w:bottom w:val="none" w:sz="0" w:space="0" w:color="auto"/>
                    <w:right w:val="none" w:sz="0" w:space="0" w:color="auto"/>
                  </w:divBdr>
                  <w:divsChild>
                    <w:div w:id="1669988867">
                      <w:marLeft w:val="0"/>
                      <w:marRight w:val="0"/>
                      <w:marTop w:val="0"/>
                      <w:marBottom w:val="0"/>
                      <w:divBdr>
                        <w:top w:val="none" w:sz="0" w:space="0" w:color="auto"/>
                        <w:left w:val="none" w:sz="0" w:space="0" w:color="auto"/>
                        <w:bottom w:val="none" w:sz="0" w:space="0" w:color="auto"/>
                        <w:right w:val="none" w:sz="0" w:space="0" w:color="auto"/>
                      </w:divBdr>
                    </w:div>
                  </w:divsChild>
                </w:div>
                <w:div w:id="920407977">
                  <w:marLeft w:val="0"/>
                  <w:marRight w:val="0"/>
                  <w:marTop w:val="0"/>
                  <w:marBottom w:val="0"/>
                  <w:divBdr>
                    <w:top w:val="none" w:sz="0" w:space="0" w:color="auto"/>
                    <w:left w:val="none" w:sz="0" w:space="0" w:color="auto"/>
                    <w:bottom w:val="none" w:sz="0" w:space="0" w:color="auto"/>
                    <w:right w:val="none" w:sz="0" w:space="0" w:color="auto"/>
                  </w:divBdr>
                  <w:divsChild>
                    <w:div w:id="113715130">
                      <w:marLeft w:val="0"/>
                      <w:marRight w:val="0"/>
                      <w:marTop w:val="0"/>
                      <w:marBottom w:val="0"/>
                      <w:divBdr>
                        <w:top w:val="none" w:sz="0" w:space="0" w:color="auto"/>
                        <w:left w:val="none" w:sz="0" w:space="0" w:color="auto"/>
                        <w:bottom w:val="none" w:sz="0" w:space="0" w:color="auto"/>
                        <w:right w:val="none" w:sz="0" w:space="0" w:color="auto"/>
                      </w:divBdr>
                    </w:div>
                    <w:div w:id="476991808">
                      <w:marLeft w:val="0"/>
                      <w:marRight w:val="0"/>
                      <w:marTop w:val="0"/>
                      <w:marBottom w:val="0"/>
                      <w:divBdr>
                        <w:top w:val="none" w:sz="0" w:space="0" w:color="auto"/>
                        <w:left w:val="none" w:sz="0" w:space="0" w:color="auto"/>
                        <w:bottom w:val="none" w:sz="0" w:space="0" w:color="auto"/>
                        <w:right w:val="none" w:sz="0" w:space="0" w:color="auto"/>
                      </w:divBdr>
                    </w:div>
                  </w:divsChild>
                </w:div>
                <w:div w:id="949629877">
                  <w:marLeft w:val="0"/>
                  <w:marRight w:val="0"/>
                  <w:marTop w:val="0"/>
                  <w:marBottom w:val="0"/>
                  <w:divBdr>
                    <w:top w:val="none" w:sz="0" w:space="0" w:color="auto"/>
                    <w:left w:val="none" w:sz="0" w:space="0" w:color="auto"/>
                    <w:bottom w:val="none" w:sz="0" w:space="0" w:color="auto"/>
                    <w:right w:val="none" w:sz="0" w:space="0" w:color="auto"/>
                  </w:divBdr>
                  <w:divsChild>
                    <w:div w:id="1100680691">
                      <w:marLeft w:val="0"/>
                      <w:marRight w:val="0"/>
                      <w:marTop w:val="0"/>
                      <w:marBottom w:val="0"/>
                      <w:divBdr>
                        <w:top w:val="none" w:sz="0" w:space="0" w:color="auto"/>
                        <w:left w:val="none" w:sz="0" w:space="0" w:color="auto"/>
                        <w:bottom w:val="none" w:sz="0" w:space="0" w:color="auto"/>
                        <w:right w:val="none" w:sz="0" w:space="0" w:color="auto"/>
                      </w:divBdr>
                    </w:div>
                  </w:divsChild>
                </w:div>
                <w:div w:id="956066569">
                  <w:marLeft w:val="0"/>
                  <w:marRight w:val="0"/>
                  <w:marTop w:val="0"/>
                  <w:marBottom w:val="0"/>
                  <w:divBdr>
                    <w:top w:val="none" w:sz="0" w:space="0" w:color="auto"/>
                    <w:left w:val="none" w:sz="0" w:space="0" w:color="auto"/>
                    <w:bottom w:val="none" w:sz="0" w:space="0" w:color="auto"/>
                    <w:right w:val="none" w:sz="0" w:space="0" w:color="auto"/>
                  </w:divBdr>
                  <w:divsChild>
                    <w:div w:id="354814798">
                      <w:marLeft w:val="0"/>
                      <w:marRight w:val="0"/>
                      <w:marTop w:val="0"/>
                      <w:marBottom w:val="0"/>
                      <w:divBdr>
                        <w:top w:val="none" w:sz="0" w:space="0" w:color="auto"/>
                        <w:left w:val="none" w:sz="0" w:space="0" w:color="auto"/>
                        <w:bottom w:val="none" w:sz="0" w:space="0" w:color="auto"/>
                        <w:right w:val="none" w:sz="0" w:space="0" w:color="auto"/>
                      </w:divBdr>
                    </w:div>
                  </w:divsChild>
                </w:div>
                <w:div w:id="964387371">
                  <w:marLeft w:val="0"/>
                  <w:marRight w:val="0"/>
                  <w:marTop w:val="0"/>
                  <w:marBottom w:val="0"/>
                  <w:divBdr>
                    <w:top w:val="none" w:sz="0" w:space="0" w:color="auto"/>
                    <w:left w:val="none" w:sz="0" w:space="0" w:color="auto"/>
                    <w:bottom w:val="none" w:sz="0" w:space="0" w:color="auto"/>
                    <w:right w:val="none" w:sz="0" w:space="0" w:color="auto"/>
                  </w:divBdr>
                  <w:divsChild>
                    <w:div w:id="2129353002">
                      <w:marLeft w:val="0"/>
                      <w:marRight w:val="0"/>
                      <w:marTop w:val="0"/>
                      <w:marBottom w:val="0"/>
                      <w:divBdr>
                        <w:top w:val="none" w:sz="0" w:space="0" w:color="auto"/>
                        <w:left w:val="none" w:sz="0" w:space="0" w:color="auto"/>
                        <w:bottom w:val="none" w:sz="0" w:space="0" w:color="auto"/>
                        <w:right w:val="none" w:sz="0" w:space="0" w:color="auto"/>
                      </w:divBdr>
                    </w:div>
                  </w:divsChild>
                </w:div>
                <w:div w:id="976111972">
                  <w:marLeft w:val="0"/>
                  <w:marRight w:val="0"/>
                  <w:marTop w:val="0"/>
                  <w:marBottom w:val="0"/>
                  <w:divBdr>
                    <w:top w:val="none" w:sz="0" w:space="0" w:color="auto"/>
                    <w:left w:val="none" w:sz="0" w:space="0" w:color="auto"/>
                    <w:bottom w:val="none" w:sz="0" w:space="0" w:color="auto"/>
                    <w:right w:val="none" w:sz="0" w:space="0" w:color="auto"/>
                  </w:divBdr>
                  <w:divsChild>
                    <w:div w:id="246161688">
                      <w:marLeft w:val="0"/>
                      <w:marRight w:val="0"/>
                      <w:marTop w:val="0"/>
                      <w:marBottom w:val="0"/>
                      <w:divBdr>
                        <w:top w:val="none" w:sz="0" w:space="0" w:color="auto"/>
                        <w:left w:val="none" w:sz="0" w:space="0" w:color="auto"/>
                        <w:bottom w:val="none" w:sz="0" w:space="0" w:color="auto"/>
                        <w:right w:val="none" w:sz="0" w:space="0" w:color="auto"/>
                      </w:divBdr>
                    </w:div>
                  </w:divsChild>
                </w:div>
                <w:div w:id="978264381">
                  <w:marLeft w:val="0"/>
                  <w:marRight w:val="0"/>
                  <w:marTop w:val="0"/>
                  <w:marBottom w:val="0"/>
                  <w:divBdr>
                    <w:top w:val="none" w:sz="0" w:space="0" w:color="auto"/>
                    <w:left w:val="none" w:sz="0" w:space="0" w:color="auto"/>
                    <w:bottom w:val="none" w:sz="0" w:space="0" w:color="auto"/>
                    <w:right w:val="none" w:sz="0" w:space="0" w:color="auto"/>
                  </w:divBdr>
                  <w:divsChild>
                    <w:div w:id="49963650">
                      <w:marLeft w:val="0"/>
                      <w:marRight w:val="0"/>
                      <w:marTop w:val="0"/>
                      <w:marBottom w:val="0"/>
                      <w:divBdr>
                        <w:top w:val="none" w:sz="0" w:space="0" w:color="auto"/>
                        <w:left w:val="none" w:sz="0" w:space="0" w:color="auto"/>
                        <w:bottom w:val="none" w:sz="0" w:space="0" w:color="auto"/>
                        <w:right w:val="none" w:sz="0" w:space="0" w:color="auto"/>
                      </w:divBdr>
                    </w:div>
                  </w:divsChild>
                </w:div>
                <w:div w:id="983699014">
                  <w:marLeft w:val="0"/>
                  <w:marRight w:val="0"/>
                  <w:marTop w:val="0"/>
                  <w:marBottom w:val="0"/>
                  <w:divBdr>
                    <w:top w:val="none" w:sz="0" w:space="0" w:color="auto"/>
                    <w:left w:val="none" w:sz="0" w:space="0" w:color="auto"/>
                    <w:bottom w:val="none" w:sz="0" w:space="0" w:color="auto"/>
                    <w:right w:val="none" w:sz="0" w:space="0" w:color="auto"/>
                  </w:divBdr>
                  <w:divsChild>
                    <w:div w:id="916087110">
                      <w:marLeft w:val="0"/>
                      <w:marRight w:val="0"/>
                      <w:marTop w:val="0"/>
                      <w:marBottom w:val="0"/>
                      <w:divBdr>
                        <w:top w:val="none" w:sz="0" w:space="0" w:color="auto"/>
                        <w:left w:val="none" w:sz="0" w:space="0" w:color="auto"/>
                        <w:bottom w:val="none" w:sz="0" w:space="0" w:color="auto"/>
                        <w:right w:val="none" w:sz="0" w:space="0" w:color="auto"/>
                      </w:divBdr>
                    </w:div>
                    <w:div w:id="965354540">
                      <w:marLeft w:val="0"/>
                      <w:marRight w:val="0"/>
                      <w:marTop w:val="0"/>
                      <w:marBottom w:val="0"/>
                      <w:divBdr>
                        <w:top w:val="none" w:sz="0" w:space="0" w:color="auto"/>
                        <w:left w:val="none" w:sz="0" w:space="0" w:color="auto"/>
                        <w:bottom w:val="none" w:sz="0" w:space="0" w:color="auto"/>
                        <w:right w:val="none" w:sz="0" w:space="0" w:color="auto"/>
                      </w:divBdr>
                    </w:div>
                    <w:div w:id="1160118303">
                      <w:marLeft w:val="0"/>
                      <w:marRight w:val="0"/>
                      <w:marTop w:val="0"/>
                      <w:marBottom w:val="0"/>
                      <w:divBdr>
                        <w:top w:val="none" w:sz="0" w:space="0" w:color="auto"/>
                        <w:left w:val="none" w:sz="0" w:space="0" w:color="auto"/>
                        <w:bottom w:val="none" w:sz="0" w:space="0" w:color="auto"/>
                        <w:right w:val="none" w:sz="0" w:space="0" w:color="auto"/>
                      </w:divBdr>
                    </w:div>
                    <w:div w:id="2047480973">
                      <w:marLeft w:val="0"/>
                      <w:marRight w:val="0"/>
                      <w:marTop w:val="0"/>
                      <w:marBottom w:val="0"/>
                      <w:divBdr>
                        <w:top w:val="none" w:sz="0" w:space="0" w:color="auto"/>
                        <w:left w:val="none" w:sz="0" w:space="0" w:color="auto"/>
                        <w:bottom w:val="none" w:sz="0" w:space="0" w:color="auto"/>
                        <w:right w:val="none" w:sz="0" w:space="0" w:color="auto"/>
                      </w:divBdr>
                    </w:div>
                    <w:div w:id="2064325745">
                      <w:marLeft w:val="0"/>
                      <w:marRight w:val="0"/>
                      <w:marTop w:val="0"/>
                      <w:marBottom w:val="0"/>
                      <w:divBdr>
                        <w:top w:val="none" w:sz="0" w:space="0" w:color="auto"/>
                        <w:left w:val="none" w:sz="0" w:space="0" w:color="auto"/>
                        <w:bottom w:val="none" w:sz="0" w:space="0" w:color="auto"/>
                        <w:right w:val="none" w:sz="0" w:space="0" w:color="auto"/>
                      </w:divBdr>
                    </w:div>
                    <w:div w:id="2101951512">
                      <w:marLeft w:val="0"/>
                      <w:marRight w:val="0"/>
                      <w:marTop w:val="0"/>
                      <w:marBottom w:val="0"/>
                      <w:divBdr>
                        <w:top w:val="none" w:sz="0" w:space="0" w:color="auto"/>
                        <w:left w:val="none" w:sz="0" w:space="0" w:color="auto"/>
                        <w:bottom w:val="none" w:sz="0" w:space="0" w:color="auto"/>
                        <w:right w:val="none" w:sz="0" w:space="0" w:color="auto"/>
                      </w:divBdr>
                    </w:div>
                  </w:divsChild>
                </w:div>
                <w:div w:id="1018117527">
                  <w:marLeft w:val="0"/>
                  <w:marRight w:val="0"/>
                  <w:marTop w:val="0"/>
                  <w:marBottom w:val="0"/>
                  <w:divBdr>
                    <w:top w:val="none" w:sz="0" w:space="0" w:color="auto"/>
                    <w:left w:val="none" w:sz="0" w:space="0" w:color="auto"/>
                    <w:bottom w:val="none" w:sz="0" w:space="0" w:color="auto"/>
                    <w:right w:val="none" w:sz="0" w:space="0" w:color="auto"/>
                  </w:divBdr>
                  <w:divsChild>
                    <w:div w:id="643462023">
                      <w:marLeft w:val="0"/>
                      <w:marRight w:val="0"/>
                      <w:marTop w:val="0"/>
                      <w:marBottom w:val="0"/>
                      <w:divBdr>
                        <w:top w:val="none" w:sz="0" w:space="0" w:color="auto"/>
                        <w:left w:val="none" w:sz="0" w:space="0" w:color="auto"/>
                        <w:bottom w:val="none" w:sz="0" w:space="0" w:color="auto"/>
                        <w:right w:val="none" w:sz="0" w:space="0" w:color="auto"/>
                      </w:divBdr>
                    </w:div>
                  </w:divsChild>
                </w:div>
                <w:div w:id="1036925765">
                  <w:marLeft w:val="0"/>
                  <w:marRight w:val="0"/>
                  <w:marTop w:val="0"/>
                  <w:marBottom w:val="0"/>
                  <w:divBdr>
                    <w:top w:val="none" w:sz="0" w:space="0" w:color="auto"/>
                    <w:left w:val="none" w:sz="0" w:space="0" w:color="auto"/>
                    <w:bottom w:val="none" w:sz="0" w:space="0" w:color="auto"/>
                    <w:right w:val="none" w:sz="0" w:space="0" w:color="auto"/>
                  </w:divBdr>
                  <w:divsChild>
                    <w:div w:id="157498614">
                      <w:marLeft w:val="0"/>
                      <w:marRight w:val="0"/>
                      <w:marTop w:val="0"/>
                      <w:marBottom w:val="0"/>
                      <w:divBdr>
                        <w:top w:val="none" w:sz="0" w:space="0" w:color="auto"/>
                        <w:left w:val="none" w:sz="0" w:space="0" w:color="auto"/>
                        <w:bottom w:val="none" w:sz="0" w:space="0" w:color="auto"/>
                        <w:right w:val="none" w:sz="0" w:space="0" w:color="auto"/>
                      </w:divBdr>
                    </w:div>
                  </w:divsChild>
                </w:div>
                <w:div w:id="1052070849">
                  <w:marLeft w:val="0"/>
                  <w:marRight w:val="0"/>
                  <w:marTop w:val="0"/>
                  <w:marBottom w:val="0"/>
                  <w:divBdr>
                    <w:top w:val="none" w:sz="0" w:space="0" w:color="auto"/>
                    <w:left w:val="none" w:sz="0" w:space="0" w:color="auto"/>
                    <w:bottom w:val="none" w:sz="0" w:space="0" w:color="auto"/>
                    <w:right w:val="none" w:sz="0" w:space="0" w:color="auto"/>
                  </w:divBdr>
                  <w:divsChild>
                    <w:div w:id="757558324">
                      <w:marLeft w:val="0"/>
                      <w:marRight w:val="0"/>
                      <w:marTop w:val="0"/>
                      <w:marBottom w:val="0"/>
                      <w:divBdr>
                        <w:top w:val="none" w:sz="0" w:space="0" w:color="auto"/>
                        <w:left w:val="none" w:sz="0" w:space="0" w:color="auto"/>
                        <w:bottom w:val="none" w:sz="0" w:space="0" w:color="auto"/>
                        <w:right w:val="none" w:sz="0" w:space="0" w:color="auto"/>
                      </w:divBdr>
                    </w:div>
                  </w:divsChild>
                </w:div>
                <w:div w:id="1109357496">
                  <w:marLeft w:val="0"/>
                  <w:marRight w:val="0"/>
                  <w:marTop w:val="0"/>
                  <w:marBottom w:val="0"/>
                  <w:divBdr>
                    <w:top w:val="none" w:sz="0" w:space="0" w:color="auto"/>
                    <w:left w:val="none" w:sz="0" w:space="0" w:color="auto"/>
                    <w:bottom w:val="none" w:sz="0" w:space="0" w:color="auto"/>
                    <w:right w:val="none" w:sz="0" w:space="0" w:color="auto"/>
                  </w:divBdr>
                  <w:divsChild>
                    <w:div w:id="1747651299">
                      <w:marLeft w:val="0"/>
                      <w:marRight w:val="0"/>
                      <w:marTop w:val="0"/>
                      <w:marBottom w:val="0"/>
                      <w:divBdr>
                        <w:top w:val="none" w:sz="0" w:space="0" w:color="auto"/>
                        <w:left w:val="none" w:sz="0" w:space="0" w:color="auto"/>
                        <w:bottom w:val="none" w:sz="0" w:space="0" w:color="auto"/>
                        <w:right w:val="none" w:sz="0" w:space="0" w:color="auto"/>
                      </w:divBdr>
                    </w:div>
                  </w:divsChild>
                </w:div>
                <w:div w:id="1142041735">
                  <w:marLeft w:val="0"/>
                  <w:marRight w:val="0"/>
                  <w:marTop w:val="0"/>
                  <w:marBottom w:val="0"/>
                  <w:divBdr>
                    <w:top w:val="none" w:sz="0" w:space="0" w:color="auto"/>
                    <w:left w:val="none" w:sz="0" w:space="0" w:color="auto"/>
                    <w:bottom w:val="none" w:sz="0" w:space="0" w:color="auto"/>
                    <w:right w:val="none" w:sz="0" w:space="0" w:color="auto"/>
                  </w:divBdr>
                  <w:divsChild>
                    <w:div w:id="465468269">
                      <w:marLeft w:val="0"/>
                      <w:marRight w:val="0"/>
                      <w:marTop w:val="0"/>
                      <w:marBottom w:val="0"/>
                      <w:divBdr>
                        <w:top w:val="none" w:sz="0" w:space="0" w:color="auto"/>
                        <w:left w:val="none" w:sz="0" w:space="0" w:color="auto"/>
                        <w:bottom w:val="none" w:sz="0" w:space="0" w:color="auto"/>
                        <w:right w:val="none" w:sz="0" w:space="0" w:color="auto"/>
                      </w:divBdr>
                    </w:div>
                  </w:divsChild>
                </w:div>
                <w:div w:id="1213275807">
                  <w:marLeft w:val="0"/>
                  <w:marRight w:val="0"/>
                  <w:marTop w:val="0"/>
                  <w:marBottom w:val="0"/>
                  <w:divBdr>
                    <w:top w:val="none" w:sz="0" w:space="0" w:color="auto"/>
                    <w:left w:val="none" w:sz="0" w:space="0" w:color="auto"/>
                    <w:bottom w:val="none" w:sz="0" w:space="0" w:color="auto"/>
                    <w:right w:val="none" w:sz="0" w:space="0" w:color="auto"/>
                  </w:divBdr>
                  <w:divsChild>
                    <w:div w:id="456609159">
                      <w:marLeft w:val="0"/>
                      <w:marRight w:val="0"/>
                      <w:marTop w:val="0"/>
                      <w:marBottom w:val="0"/>
                      <w:divBdr>
                        <w:top w:val="none" w:sz="0" w:space="0" w:color="auto"/>
                        <w:left w:val="none" w:sz="0" w:space="0" w:color="auto"/>
                        <w:bottom w:val="none" w:sz="0" w:space="0" w:color="auto"/>
                        <w:right w:val="none" w:sz="0" w:space="0" w:color="auto"/>
                      </w:divBdr>
                    </w:div>
                  </w:divsChild>
                </w:div>
                <w:div w:id="1262303864">
                  <w:marLeft w:val="0"/>
                  <w:marRight w:val="0"/>
                  <w:marTop w:val="0"/>
                  <w:marBottom w:val="0"/>
                  <w:divBdr>
                    <w:top w:val="none" w:sz="0" w:space="0" w:color="auto"/>
                    <w:left w:val="none" w:sz="0" w:space="0" w:color="auto"/>
                    <w:bottom w:val="none" w:sz="0" w:space="0" w:color="auto"/>
                    <w:right w:val="none" w:sz="0" w:space="0" w:color="auto"/>
                  </w:divBdr>
                  <w:divsChild>
                    <w:div w:id="1329869806">
                      <w:marLeft w:val="0"/>
                      <w:marRight w:val="0"/>
                      <w:marTop w:val="0"/>
                      <w:marBottom w:val="0"/>
                      <w:divBdr>
                        <w:top w:val="none" w:sz="0" w:space="0" w:color="auto"/>
                        <w:left w:val="none" w:sz="0" w:space="0" w:color="auto"/>
                        <w:bottom w:val="none" w:sz="0" w:space="0" w:color="auto"/>
                        <w:right w:val="none" w:sz="0" w:space="0" w:color="auto"/>
                      </w:divBdr>
                    </w:div>
                  </w:divsChild>
                </w:div>
                <w:div w:id="1323460655">
                  <w:marLeft w:val="0"/>
                  <w:marRight w:val="0"/>
                  <w:marTop w:val="0"/>
                  <w:marBottom w:val="0"/>
                  <w:divBdr>
                    <w:top w:val="none" w:sz="0" w:space="0" w:color="auto"/>
                    <w:left w:val="none" w:sz="0" w:space="0" w:color="auto"/>
                    <w:bottom w:val="none" w:sz="0" w:space="0" w:color="auto"/>
                    <w:right w:val="none" w:sz="0" w:space="0" w:color="auto"/>
                  </w:divBdr>
                  <w:divsChild>
                    <w:div w:id="274601564">
                      <w:marLeft w:val="0"/>
                      <w:marRight w:val="0"/>
                      <w:marTop w:val="0"/>
                      <w:marBottom w:val="0"/>
                      <w:divBdr>
                        <w:top w:val="none" w:sz="0" w:space="0" w:color="auto"/>
                        <w:left w:val="none" w:sz="0" w:space="0" w:color="auto"/>
                        <w:bottom w:val="none" w:sz="0" w:space="0" w:color="auto"/>
                        <w:right w:val="none" w:sz="0" w:space="0" w:color="auto"/>
                      </w:divBdr>
                    </w:div>
                  </w:divsChild>
                </w:div>
                <w:div w:id="1477838340">
                  <w:marLeft w:val="0"/>
                  <w:marRight w:val="0"/>
                  <w:marTop w:val="0"/>
                  <w:marBottom w:val="0"/>
                  <w:divBdr>
                    <w:top w:val="none" w:sz="0" w:space="0" w:color="auto"/>
                    <w:left w:val="none" w:sz="0" w:space="0" w:color="auto"/>
                    <w:bottom w:val="none" w:sz="0" w:space="0" w:color="auto"/>
                    <w:right w:val="none" w:sz="0" w:space="0" w:color="auto"/>
                  </w:divBdr>
                  <w:divsChild>
                    <w:div w:id="1778215699">
                      <w:marLeft w:val="0"/>
                      <w:marRight w:val="0"/>
                      <w:marTop w:val="0"/>
                      <w:marBottom w:val="0"/>
                      <w:divBdr>
                        <w:top w:val="none" w:sz="0" w:space="0" w:color="auto"/>
                        <w:left w:val="none" w:sz="0" w:space="0" w:color="auto"/>
                        <w:bottom w:val="none" w:sz="0" w:space="0" w:color="auto"/>
                        <w:right w:val="none" w:sz="0" w:space="0" w:color="auto"/>
                      </w:divBdr>
                    </w:div>
                  </w:divsChild>
                </w:div>
                <w:div w:id="1482385556">
                  <w:marLeft w:val="0"/>
                  <w:marRight w:val="0"/>
                  <w:marTop w:val="0"/>
                  <w:marBottom w:val="0"/>
                  <w:divBdr>
                    <w:top w:val="none" w:sz="0" w:space="0" w:color="auto"/>
                    <w:left w:val="none" w:sz="0" w:space="0" w:color="auto"/>
                    <w:bottom w:val="none" w:sz="0" w:space="0" w:color="auto"/>
                    <w:right w:val="none" w:sz="0" w:space="0" w:color="auto"/>
                  </w:divBdr>
                  <w:divsChild>
                    <w:div w:id="1775322503">
                      <w:marLeft w:val="0"/>
                      <w:marRight w:val="0"/>
                      <w:marTop w:val="0"/>
                      <w:marBottom w:val="0"/>
                      <w:divBdr>
                        <w:top w:val="none" w:sz="0" w:space="0" w:color="auto"/>
                        <w:left w:val="none" w:sz="0" w:space="0" w:color="auto"/>
                        <w:bottom w:val="none" w:sz="0" w:space="0" w:color="auto"/>
                        <w:right w:val="none" w:sz="0" w:space="0" w:color="auto"/>
                      </w:divBdr>
                    </w:div>
                  </w:divsChild>
                </w:div>
                <w:div w:id="1500971818">
                  <w:marLeft w:val="0"/>
                  <w:marRight w:val="0"/>
                  <w:marTop w:val="0"/>
                  <w:marBottom w:val="0"/>
                  <w:divBdr>
                    <w:top w:val="none" w:sz="0" w:space="0" w:color="auto"/>
                    <w:left w:val="none" w:sz="0" w:space="0" w:color="auto"/>
                    <w:bottom w:val="none" w:sz="0" w:space="0" w:color="auto"/>
                    <w:right w:val="none" w:sz="0" w:space="0" w:color="auto"/>
                  </w:divBdr>
                  <w:divsChild>
                    <w:div w:id="268317702">
                      <w:marLeft w:val="0"/>
                      <w:marRight w:val="0"/>
                      <w:marTop w:val="0"/>
                      <w:marBottom w:val="0"/>
                      <w:divBdr>
                        <w:top w:val="none" w:sz="0" w:space="0" w:color="auto"/>
                        <w:left w:val="none" w:sz="0" w:space="0" w:color="auto"/>
                        <w:bottom w:val="none" w:sz="0" w:space="0" w:color="auto"/>
                        <w:right w:val="none" w:sz="0" w:space="0" w:color="auto"/>
                      </w:divBdr>
                    </w:div>
                  </w:divsChild>
                </w:div>
                <w:div w:id="1530609934">
                  <w:marLeft w:val="0"/>
                  <w:marRight w:val="0"/>
                  <w:marTop w:val="0"/>
                  <w:marBottom w:val="0"/>
                  <w:divBdr>
                    <w:top w:val="none" w:sz="0" w:space="0" w:color="auto"/>
                    <w:left w:val="none" w:sz="0" w:space="0" w:color="auto"/>
                    <w:bottom w:val="none" w:sz="0" w:space="0" w:color="auto"/>
                    <w:right w:val="none" w:sz="0" w:space="0" w:color="auto"/>
                  </w:divBdr>
                  <w:divsChild>
                    <w:div w:id="392699128">
                      <w:marLeft w:val="0"/>
                      <w:marRight w:val="0"/>
                      <w:marTop w:val="0"/>
                      <w:marBottom w:val="0"/>
                      <w:divBdr>
                        <w:top w:val="none" w:sz="0" w:space="0" w:color="auto"/>
                        <w:left w:val="none" w:sz="0" w:space="0" w:color="auto"/>
                        <w:bottom w:val="none" w:sz="0" w:space="0" w:color="auto"/>
                        <w:right w:val="none" w:sz="0" w:space="0" w:color="auto"/>
                      </w:divBdr>
                    </w:div>
                  </w:divsChild>
                </w:div>
                <w:div w:id="1534613927">
                  <w:marLeft w:val="0"/>
                  <w:marRight w:val="0"/>
                  <w:marTop w:val="0"/>
                  <w:marBottom w:val="0"/>
                  <w:divBdr>
                    <w:top w:val="none" w:sz="0" w:space="0" w:color="auto"/>
                    <w:left w:val="none" w:sz="0" w:space="0" w:color="auto"/>
                    <w:bottom w:val="none" w:sz="0" w:space="0" w:color="auto"/>
                    <w:right w:val="none" w:sz="0" w:space="0" w:color="auto"/>
                  </w:divBdr>
                  <w:divsChild>
                    <w:div w:id="1126122803">
                      <w:marLeft w:val="0"/>
                      <w:marRight w:val="0"/>
                      <w:marTop w:val="0"/>
                      <w:marBottom w:val="0"/>
                      <w:divBdr>
                        <w:top w:val="none" w:sz="0" w:space="0" w:color="auto"/>
                        <w:left w:val="none" w:sz="0" w:space="0" w:color="auto"/>
                        <w:bottom w:val="none" w:sz="0" w:space="0" w:color="auto"/>
                        <w:right w:val="none" w:sz="0" w:space="0" w:color="auto"/>
                      </w:divBdr>
                    </w:div>
                  </w:divsChild>
                </w:div>
                <w:div w:id="1602450402">
                  <w:marLeft w:val="0"/>
                  <w:marRight w:val="0"/>
                  <w:marTop w:val="0"/>
                  <w:marBottom w:val="0"/>
                  <w:divBdr>
                    <w:top w:val="none" w:sz="0" w:space="0" w:color="auto"/>
                    <w:left w:val="none" w:sz="0" w:space="0" w:color="auto"/>
                    <w:bottom w:val="none" w:sz="0" w:space="0" w:color="auto"/>
                    <w:right w:val="none" w:sz="0" w:space="0" w:color="auto"/>
                  </w:divBdr>
                  <w:divsChild>
                    <w:div w:id="1673220614">
                      <w:marLeft w:val="0"/>
                      <w:marRight w:val="0"/>
                      <w:marTop w:val="0"/>
                      <w:marBottom w:val="0"/>
                      <w:divBdr>
                        <w:top w:val="none" w:sz="0" w:space="0" w:color="auto"/>
                        <w:left w:val="none" w:sz="0" w:space="0" w:color="auto"/>
                        <w:bottom w:val="none" w:sz="0" w:space="0" w:color="auto"/>
                        <w:right w:val="none" w:sz="0" w:space="0" w:color="auto"/>
                      </w:divBdr>
                    </w:div>
                  </w:divsChild>
                </w:div>
                <w:div w:id="1628662984">
                  <w:marLeft w:val="0"/>
                  <w:marRight w:val="0"/>
                  <w:marTop w:val="0"/>
                  <w:marBottom w:val="0"/>
                  <w:divBdr>
                    <w:top w:val="none" w:sz="0" w:space="0" w:color="auto"/>
                    <w:left w:val="none" w:sz="0" w:space="0" w:color="auto"/>
                    <w:bottom w:val="none" w:sz="0" w:space="0" w:color="auto"/>
                    <w:right w:val="none" w:sz="0" w:space="0" w:color="auto"/>
                  </w:divBdr>
                  <w:divsChild>
                    <w:div w:id="1182015059">
                      <w:marLeft w:val="0"/>
                      <w:marRight w:val="0"/>
                      <w:marTop w:val="0"/>
                      <w:marBottom w:val="0"/>
                      <w:divBdr>
                        <w:top w:val="none" w:sz="0" w:space="0" w:color="auto"/>
                        <w:left w:val="none" w:sz="0" w:space="0" w:color="auto"/>
                        <w:bottom w:val="none" w:sz="0" w:space="0" w:color="auto"/>
                        <w:right w:val="none" w:sz="0" w:space="0" w:color="auto"/>
                      </w:divBdr>
                    </w:div>
                  </w:divsChild>
                </w:div>
                <w:div w:id="1652367760">
                  <w:marLeft w:val="0"/>
                  <w:marRight w:val="0"/>
                  <w:marTop w:val="0"/>
                  <w:marBottom w:val="0"/>
                  <w:divBdr>
                    <w:top w:val="none" w:sz="0" w:space="0" w:color="auto"/>
                    <w:left w:val="none" w:sz="0" w:space="0" w:color="auto"/>
                    <w:bottom w:val="none" w:sz="0" w:space="0" w:color="auto"/>
                    <w:right w:val="none" w:sz="0" w:space="0" w:color="auto"/>
                  </w:divBdr>
                  <w:divsChild>
                    <w:div w:id="600188910">
                      <w:marLeft w:val="0"/>
                      <w:marRight w:val="0"/>
                      <w:marTop w:val="0"/>
                      <w:marBottom w:val="0"/>
                      <w:divBdr>
                        <w:top w:val="none" w:sz="0" w:space="0" w:color="auto"/>
                        <w:left w:val="none" w:sz="0" w:space="0" w:color="auto"/>
                        <w:bottom w:val="none" w:sz="0" w:space="0" w:color="auto"/>
                        <w:right w:val="none" w:sz="0" w:space="0" w:color="auto"/>
                      </w:divBdr>
                    </w:div>
                  </w:divsChild>
                </w:div>
                <w:div w:id="1679695109">
                  <w:marLeft w:val="0"/>
                  <w:marRight w:val="0"/>
                  <w:marTop w:val="0"/>
                  <w:marBottom w:val="0"/>
                  <w:divBdr>
                    <w:top w:val="none" w:sz="0" w:space="0" w:color="auto"/>
                    <w:left w:val="none" w:sz="0" w:space="0" w:color="auto"/>
                    <w:bottom w:val="none" w:sz="0" w:space="0" w:color="auto"/>
                    <w:right w:val="none" w:sz="0" w:space="0" w:color="auto"/>
                  </w:divBdr>
                  <w:divsChild>
                    <w:div w:id="1414595053">
                      <w:marLeft w:val="0"/>
                      <w:marRight w:val="0"/>
                      <w:marTop w:val="0"/>
                      <w:marBottom w:val="0"/>
                      <w:divBdr>
                        <w:top w:val="none" w:sz="0" w:space="0" w:color="auto"/>
                        <w:left w:val="none" w:sz="0" w:space="0" w:color="auto"/>
                        <w:bottom w:val="none" w:sz="0" w:space="0" w:color="auto"/>
                        <w:right w:val="none" w:sz="0" w:space="0" w:color="auto"/>
                      </w:divBdr>
                    </w:div>
                  </w:divsChild>
                </w:div>
                <w:div w:id="1724138559">
                  <w:marLeft w:val="0"/>
                  <w:marRight w:val="0"/>
                  <w:marTop w:val="0"/>
                  <w:marBottom w:val="0"/>
                  <w:divBdr>
                    <w:top w:val="none" w:sz="0" w:space="0" w:color="auto"/>
                    <w:left w:val="none" w:sz="0" w:space="0" w:color="auto"/>
                    <w:bottom w:val="none" w:sz="0" w:space="0" w:color="auto"/>
                    <w:right w:val="none" w:sz="0" w:space="0" w:color="auto"/>
                  </w:divBdr>
                  <w:divsChild>
                    <w:div w:id="7022287">
                      <w:marLeft w:val="0"/>
                      <w:marRight w:val="0"/>
                      <w:marTop w:val="0"/>
                      <w:marBottom w:val="0"/>
                      <w:divBdr>
                        <w:top w:val="none" w:sz="0" w:space="0" w:color="auto"/>
                        <w:left w:val="none" w:sz="0" w:space="0" w:color="auto"/>
                        <w:bottom w:val="none" w:sz="0" w:space="0" w:color="auto"/>
                        <w:right w:val="none" w:sz="0" w:space="0" w:color="auto"/>
                      </w:divBdr>
                    </w:div>
                  </w:divsChild>
                </w:div>
                <w:div w:id="1805347482">
                  <w:marLeft w:val="0"/>
                  <w:marRight w:val="0"/>
                  <w:marTop w:val="0"/>
                  <w:marBottom w:val="0"/>
                  <w:divBdr>
                    <w:top w:val="none" w:sz="0" w:space="0" w:color="auto"/>
                    <w:left w:val="none" w:sz="0" w:space="0" w:color="auto"/>
                    <w:bottom w:val="none" w:sz="0" w:space="0" w:color="auto"/>
                    <w:right w:val="none" w:sz="0" w:space="0" w:color="auto"/>
                  </w:divBdr>
                  <w:divsChild>
                    <w:div w:id="1044478227">
                      <w:marLeft w:val="0"/>
                      <w:marRight w:val="0"/>
                      <w:marTop w:val="0"/>
                      <w:marBottom w:val="0"/>
                      <w:divBdr>
                        <w:top w:val="none" w:sz="0" w:space="0" w:color="auto"/>
                        <w:left w:val="none" w:sz="0" w:space="0" w:color="auto"/>
                        <w:bottom w:val="none" w:sz="0" w:space="0" w:color="auto"/>
                        <w:right w:val="none" w:sz="0" w:space="0" w:color="auto"/>
                      </w:divBdr>
                    </w:div>
                  </w:divsChild>
                </w:div>
                <w:div w:id="1811899164">
                  <w:marLeft w:val="0"/>
                  <w:marRight w:val="0"/>
                  <w:marTop w:val="0"/>
                  <w:marBottom w:val="0"/>
                  <w:divBdr>
                    <w:top w:val="none" w:sz="0" w:space="0" w:color="auto"/>
                    <w:left w:val="none" w:sz="0" w:space="0" w:color="auto"/>
                    <w:bottom w:val="none" w:sz="0" w:space="0" w:color="auto"/>
                    <w:right w:val="none" w:sz="0" w:space="0" w:color="auto"/>
                  </w:divBdr>
                  <w:divsChild>
                    <w:div w:id="297541624">
                      <w:marLeft w:val="0"/>
                      <w:marRight w:val="0"/>
                      <w:marTop w:val="0"/>
                      <w:marBottom w:val="0"/>
                      <w:divBdr>
                        <w:top w:val="none" w:sz="0" w:space="0" w:color="auto"/>
                        <w:left w:val="none" w:sz="0" w:space="0" w:color="auto"/>
                        <w:bottom w:val="none" w:sz="0" w:space="0" w:color="auto"/>
                        <w:right w:val="none" w:sz="0" w:space="0" w:color="auto"/>
                      </w:divBdr>
                    </w:div>
                  </w:divsChild>
                </w:div>
                <w:div w:id="1887253760">
                  <w:marLeft w:val="0"/>
                  <w:marRight w:val="0"/>
                  <w:marTop w:val="0"/>
                  <w:marBottom w:val="0"/>
                  <w:divBdr>
                    <w:top w:val="none" w:sz="0" w:space="0" w:color="auto"/>
                    <w:left w:val="none" w:sz="0" w:space="0" w:color="auto"/>
                    <w:bottom w:val="none" w:sz="0" w:space="0" w:color="auto"/>
                    <w:right w:val="none" w:sz="0" w:space="0" w:color="auto"/>
                  </w:divBdr>
                  <w:divsChild>
                    <w:div w:id="1177111887">
                      <w:marLeft w:val="0"/>
                      <w:marRight w:val="0"/>
                      <w:marTop w:val="0"/>
                      <w:marBottom w:val="0"/>
                      <w:divBdr>
                        <w:top w:val="none" w:sz="0" w:space="0" w:color="auto"/>
                        <w:left w:val="none" w:sz="0" w:space="0" w:color="auto"/>
                        <w:bottom w:val="none" w:sz="0" w:space="0" w:color="auto"/>
                        <w:right w:val="none" w:sz="0" w:space="0" w:color="auto"/>
                      </w:divBdr>
                    </w:div>
                  </w:divsChild>
                </w:div>
                <w:div w:id="1926185758">
                  <w:marLeft w:val="0"/>
                  <w:marRight w:val="0"/>
                  <w:marTop w:val="0"/>
                  <w:marBottom w:val="0"/>
                  <w:divBdr>
                    <w:top w:val="none" w:sz="0" w:space="0" w:color="auto"/>
                    <w:left w:val="none" w:sz="0" w:space="0" w:color="auto"/>
                    <w:bottom w:val="none" w:sz="0" w:space="0" w:color="auto"/>
                    <w:right w:val="none" w:sz="0" w:space="0" w:color="auto"/>
                  </w:divBdr>
                  <w:divsChild>
                    <w:div w:id="159514854">
                      <w:marLeft w:val="0"/>
                      <w:marRight w:val="0"/>
                      <w:marTop w:val="0"/>
                      <w:marBottom w:val="0"/>
                      <w:divBdr>
                        <w:top w:val="none" w:sz="0" w:space="0" w:color="auto"/>
                        <w:left w:val="none" w:sz="0" w:space="0" w:color="auto"/>
                        <w:bottom w:val="none" w:sz="0" w:space="0" w:color="auto"/>
                        <w:right w:val="none" w:sz="0" w:space="0" w:color="auto"/>
                      </w:divBdr>
                    </w:div>
                  </w:divsChild>
                </w:div>
                <w:div w:id="1971129102">
                  <w:marLeft w:val="0"/>
                  <w:marRight w:val="0"/>
                  <w:marTop w:val="0"/>
                  <w:marBottom w:val="0"/>
                  <w:divBdr>
                    <w:top w:val="none" w:sz="0" w:space="0" w:color="auto"/>
                    <w:left w:val="none" w:sz="0" w:space="0" w:color="auto"/>
                    <w:bottom w:val="none" w:sz="0" w:space="0" w:color="auto"/>
                    <w:right w:val="none" w:sz="0" w:space="0" w:color="auto"/>
                  </w:divBdr>
                  <w:divsChild>
                    <w:div w:id="1410493514">
                      <w:marLeft w:val="0"/>
                      <w:marRight w:val="0"/>
                      <w:marTop w:val="0"/>
                      <w:marBottom w:val="0"/>
                      <w:divBdr>
                        <w:top w:val="none" w:sz="0" w:space="0" w:color="auto"/>
                        <w:left w:val="none" w:sz="0" w:space="0" w:color="auto"/>
                        <w:bottom w:val="none" w:sz="0" w:space="0" w:color="auto"/>
                        <w:right w:val="none" w:sz="0" w:space="0" w:color="auto"/>
                      </w:divBdr>
                    </w:div>
                  </w:divsChild>
                </w:div>
                <w:div w:id="2031297759">
                  <w:marLeft w:val="0"/>
                  <w:marRight w:val="0"/>
                  <w:marTop w:val="0"/>
                  <w:marBottom w:val="0"/>
                  <w:divBdr>
                    <w:top w:val="none" w:sz="0" w:space="0" w:color="auto"/>
                    <w:left w:val="none" w:sz="0" w:space="0" w:color="auto"/>
                    <w:bottom w:val="none" w:sz="0" w:space="0" w:color="auto"/>
                    <w:right w:val="none" w:sz="0" w:space="0" w:color="auto"/>
                  </w:divBdr>
                  <w:divsChild>
                    <w:div w:id="1515993962">
                      <w:marLeft w:val="0"/>
                      <w:marRight w:val="0"/>
                      <w:marTop w:val="0"/>
                      <w:marBottom w:val="0"/>
                      <w:divBdr>
                        <w:top w:val="none" w:sz="0" w:space="0" w:color="auto"/>
                        <w:left w:val="none" w:sz="0" w:space="0" w:color="auto"/>
                        <w:bottom w:val="none" w:sz="0" w:space="0" w:color="auto"/>
                        <w:right w:val="none" w:sz="0" w:space="0" w:color="auto"/>
                      </w:divBdr>
                    </w:div>
                  </w:divsChild>
                </w:div>
                <w:div w:id="2046372341">
                  <w:marLeft w:val="0"/>
                  <w:marRight w:val="0"/>
                  <w:marTop w:val="0"/>
                  <w:marBottom w:val="0"/>
                  <w:divBdr>
                    <w:top w:val="none" w:sz="0" w:space="0" w:color="auto"/>
                    <w:left w:val="none" w:sz="0" w:space="0" w:color="auto"/>
                    <w:bottom w:val="none" w:sz="0" w:space="0" w:color="auto"/>
                    <w:right w:val="none" w:sz="0" w:space="0" w:color="auto"/>
                  </w:divBdr>
                  <w:divsChild>
                    <w:div w:id="1211527519">
                      <w:marLeft w:val="0"/>
                      <w:marRight w:val="0"/>
                      <w:marTop w:val="0"/>
                      <w:marBottom w:val="0"/>
                      <w:divBdr>
                        <w:top w:val="none" w:sz="0" w:space="0" w:color="auto"/>
                        <w:left w:val="none" w:sz="0" w:space="0" w:color="auto"/>
                        <w:bottom w:val="none" w:sz="0" w:space="0" w:color="auto"/>
                        <w:right w:val="none" w:sz="0" w:space="0" w:color="auto"/>
                      </w:divBdr>
                    </w:div>
                  </w:divsChild>
                </w:div>
                <w:div w:id="2064939009">
                  <w:marLeft w:val="0"/>
                  <w:marRight w:val="0"/>
                  <w:marTop w:val="0"/>
                  <w:marBottom w:val="0"/>
                  <w:divBdr>
                    <w:top w:val="none" w:sz="0" w:space="0" w:color="auto"/>
                    <w:left w:val="none" w:sz="0" w:space="0" w:color="auto"/>
                    <w:bottom w:val="none" w:sz="0" w:space="0" w:color="auto"/>
                    <w:right w:val="none" w:sz="0" w:space="0" w:color="auto"/>
                  </w:divBdr>
                  <w:divsChild>
                    <w:div w:id="1754159727">
                      <w:marLeft w:val="0"/>
                      <w:marRight w:val="0"/>
                      <w:marTop w:val="0"/>
                      <w:marBottom w:val="0"/>
                      <w:divBdr>
                        <w:top w:val="none" w:sz="0" w:space="0" w:color="auto"/>
                        <w:left w:val="none" w:sz="0" w:space="0" w:color="auto"/>
                        <w:bottom w:val="none" w:sz="0" w:space="0" w:color="auto"/>
                        <w:right w:val="none" w:sz="0" w:space="0" w:color="auto"/>
                      </w:divBdr>
                    </w:div>
                    <w:div w:id="1949848321">
                      <w:marLeft w:val="0"/>
                      <w:marRight w:val="0"/>
                      <w:marTop w:val="0"/>
                      <w:marBottom w:val="0"/>
                      <w:divBdr>
                        <w:top w:val="none" w:sz="0" w:space="0" w:color="auto"/>
                        <w:left w:val="none" w:sz="0" w:space="0" w:color="auto"/>
                        <w:bottom w:val="none" w:sz="0" w:space="0" w:color="auto"/>
                        <w:right w:val="none" w:sz="0" w:space="0" w:color="auto"/>
                      </w:divBdr>
                    </w:div>
                  </w:divsChild>
                </w:div>
                <w:div w:id="2072455915">
                  <w:marLeft w:val="0"/>
                  <w:marRight w:val="0"/>
                  <w:marTop w:val="0"/>
                  <w:marBottom w:val="0"/>
                  <w:divBdr>
                    <w:top w:val="none" w:sz="0" w:space="0" w:color="auto"/>
                    <w:left w:val="none" w:sz="0" w:space="0" w:color="auto"/>
                    <w:bottom w:val="none" w:sz="0" w:space="0" w:color="auto"/>
                    <w:right w:val="none" w:sz="0" w:space="0" w:color="auto"/>
                  </w:divBdr>
                  <w:divsChild>
                    <w:div w:id="1722635443">
                      <w:marLeft w:val="0"/>
                      <w:marRight w:val="0"/>
                      <w:marTop w:val="0"/>
                      <w:marBottom w:val="0"/>
                      <w:divBdr>
                        <w:top w:val="none" w:sz="0" w:space="0" w:color="auto"/>
                        <w:left w:val="none" w:sz="0" w:space="0" w:color="auto"/>
                        <w:bottom w:val="none" w:sz="0" w:space="0" w:color="auto"/>
                        <w:right w:val="none" w:sz="0" w:space="0" w:color="auto"/>
                      </w:divBdr>
                    </w:div>
                  </w:divsChild>
                </w:div>
                <w:div w:id="2113896396">
                  <w:marLeft w:val="0"/>
                  <w:marRight w:val="0"/>
                  <w:marTop w:val="0"/>
                  <w:marBottom w:val="0"/>
                  <w:divBdr>
                    <w:top w:val="none" w:sz="0" w:space="0" w:color="auto"/>
                    <w:left w:val="none" w:sz="0" w:space="0" w:color="auto"/>
                    <w:bottom w:val="none" w:sz="0" w:space="0" w:color="auto"/>
                    <w:right w:val="none" w:sz="0" w:space="0" w:color="auto"/>
                  </w:divBdr>
                  <w:divsChild>
                    <w:div w:id="1141926019">
                      <w:marLeft w:val="0"/>
                      <w:marRight w:val="0"/>
                      <w:marTop w:val="0"/>
                      <w:marBottom w:val="0"/>
                      <w:divBdr>
                        <w:top w:val="none" w:sz="0" w:space="0" w:color="auto"/>
                        <w:left w:val="none" w:sz="0" w:space="0" w:color="auto"/>
                        <w:bottom w:val="none" w:sz="0" w:space="0" w:color="auto"/>
                        <w:right w:val="none" w:sz="0" w:space="0" w:color="auto"/>
                      </w:divBdr>
                    </w:div>
                  </w:divsChild>
                </w:div>
                <w:div w:id="2123180346">
                  <w:marLeft w:val="0"/>
                  <w:marRight w:val="0"/>
                  <w:marTop w:val="0"/>
                  <w:marBottom w:val="0"/>
                  <w:divBdr>
                    <w:top w:val="none" w:sz="0" w:space="0" w:color="auto"/>
                    <w:left w:val="none" w:sz="0" w:space="0" w:color="auto"/>
                    <w:bottom w:val="none" w:sz="0" w:space="0" w:color="auto"/>
                    <w:right w:val="none" w:sz="0" w:space="0" w:color="auto"/>
                  </w:divBdr>
                  <w:divsChild>
                    <w:div w:id="1679575879">
                      <w:marLeft w:val="0"/>
                      <w:marRight w:val="0"/>
                      <w:marTop w:val="0"/>
                      <w:marBottom w:val="0"/>
                      <w:divBdr>
                        <w:top w:val="none" w:sz="0" w:space="0" w:color="auto"/>
                        <w:left w:val="none" w:sz="0" w:space="0" w:color="auto"/>
                        <w:bottom w:val="none" w:sz="0" w:space="0" w:color="auto"/>
                        <w:right w:val="none" w:sz="0" w:space="0" w:color="auto"/>
                      </w:divBdr>
                    </w:div>
                  </w:divsChild>
                </w:div>
                <w:div w:id="2129809324">
                  <w:marLeft w:val="0"/>
                  <w:marRight w:val="0"/>
                  <w:marTop w:val="0"/>
                  <w:marBottom w:val="0"/>
                  <w:divBdr>
                    <w:top w:val="none" w:sz="0" w:space="0" w:color="auto"/>
                    <w:left w:val="none" w:sz="0" w:space="0" w:color="auto"/>
                    <w:bottom w:val="none" w:sz="0" w:space="0" w:color="auto"/>
                    <w:right w:val="none" w:sz="0" w:space="0" w:color="auto"/>
                  </w:divBdr>
                  <w:divsChild>
                    <w:div w:id="9498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885578">
          <w:marLeft w:val="0"/>
          <w:marRight w:val="0"/>
          <w:marTop w:val="0"/>
          <w:marBottom w:val="0"/>
          <w:divBdr>
            <w:top w:val="none" w:sz="0" w:space="0" w:color="auto"/>
            <w:left w:val="none" w:sz="0" w:space="0" w:color="auto"/>
            <w:bottom w:val="none" w:sz="0" w:space="0" w:color="auto"/>
            <w:right w:val="none" w:sz="0" w:space="0" w:color="auto"/>
          </w:divBdr>
        </w:div>
        <w:div w:id="1650867746">
          <w:marLeft w:val="0"/>
          <w:marRight w:val="0"/>
          <w:marTop w:val="0"/>
          <w:marBottom w:val="0"/>
          <w:divBdr>
            <w:top w:val="none" w:sz="0" w:space="0" w:color="auto"/>
            <w:left w:val="none" w:sz="0" w:space="0" w:color="auto"/>
            <w:bottom w:val="none" w:sz="0" w:space="0" w:color="auto"/>
            <w:right w:val="none" w:sz="0" w:space="0" w:color="auto"/>
          </w:divBdr>
        </w:div>
        <w:div w:id="1661156568">
          <w:marLeft w:val="0"/>
          <w:marRight w:val="0"/>
          <w:marTop w:val="0"/>
          <w:marBottom w:val="0"/>
          <w:divBdr>
            <w:top w:val="none" w:sz="0" w:space="0" w:color="auto"/>
            <w:left w:val="none" w:sz="0" w:space="0" w:color="auto"/>
            <w:bottom w:val="none" w:sz="0" w:space="0" w:color="auto"/>
            <w:right w:val="none" w:sz="0" w:space="0" w:color="auto"/>
          </w:divBdr>
          <w:divsChild>
            <w:div w:id="66415653">
              <w:marLeft w:val="-75"/>
              <w:marRight w:val="0"/>
              <w:marTop w:val="30"/>
              <w:marBottom w:val="30"/>
              <w:divBdr>
                <w:top w:val="none" w:sz="0" w:space="0" w:color="auto"/>
                <w:left w:val="none" w:sz="0" w:space="0" w:color="auto"/>
                <w:bottom w:val="none" w:sz="0" w:space="0" w:color="auto"/>
                <w:right w:val="none" w:sz="0" w:space="0" w:color="auto"/>
              </w:divBdr>
              <w:divsChild>
                <w:div w:id="19405045">
                  <w:marLeft w:val="0"/>
                  <w:marRight w:val="0"/>
                  <w:marTop w:val="0"/>
                  <w:marBottom w:val="0"/>
                  <w:divBdr>
                    <w:top w:val="none" w:sz="0" w:space="0" w:color="auto"/>
                    <w:left w:val="none" w:sz="0" w:space="0" w:color="auto"/>
                    <w:bottom w:val="none" w:sz="0" w:space="0" w:color="auto"/>
                    <w:right w:val="none" w:sz="0" w:space="0" w:color="auto"/>
                  </w:divBdr>
                  <w:divsChild>
                    <w:div w:id="470513859">
                      <w:marLeft w:val="0"/>
                      <w:marRight w:val="0"/>
                      <w:marTop w:val="0"/>
                      <w:marBottom w:val="0"/>
                      <w:divBdr>
                        <w:top w:val="none" w:sz="0" w:space="0" w:color="auto"/>
                        <w:left w:val="none" w:sz="0" w:space="0" w:color="auto"/>
                        <w:bottom w:val="none" w:sz="0" w:space="0" w:color="auto"/>
                        <w:right w:val="none" w:sz="0" w:space="0" w:color="auto"/>
                      </w:divBdr>
                    </w:div>
                  </w:divsChild>
                </w:div>
                <w:div w:id="43607465">
                  <w:marLeft w:val="0"/>
                  <w:marRight w:val="0"/>
                  <w:marTop w:val="0"/>
                  <w:marBottom w:val="0"/>
                  <w:divBdr>
                    <w:top w:val="none" w:sz="0" w:space="0" w:color="auto"/>
                    <w:left w:val="none" w:sz="0" w:space="0" w:color="auto"/>
                    <w:bottom w:val="none" w:sz="0" w:space="0" w:color="auto"/>
                    <w:right w:val="none" w:sz="0" w:space="0" w:color="auto"/>
                  </w:divBdr>
                  <w:divsChild>
                    <w:div w:id="1377509962">
                      <w:marLeft w:val="0"/>
                      <w:marRight w:val="0"/>
                      <w:marTop w:val="0"/>
                      <w:marBottom w:val="0"/>
                      <w:divBdr>
                        <w:top w:val="none" w:sz="0" w:space="0" w:color="auto"/>
                        <w:left w:val="none" w:sz="0" w:space="0" w:color="auto"/>
                        <w:bottom w:val="none" w:sz="0" w:space="0" w:color="auto"/>
                        <w:right w:val="none" w:sz="0" w:space="0" w:color="auto"/>
                      </w:divBdr>
                    </w:div>
                  </w:divsChild>
                </w:div>
                <w:div w:id="53748345">
                  <w:marLeft w:val="0"/>
                  <w:marRight w:val="0"/>
                  <w:marTop w:val="0"/>
                  <w:marBottom w:val="0"/>
                  <w:divBdr>
                    <w:top w:val="none" w:sz="0" w:space="0" w:color="auto"/>
                    <w:left w:val="none" w:sz="0" w:space="0" w:color="auto"/>
                    <w:bottom w:val="none" w:sz="0" w:space="0" w:color="auto"/>
                    <w:right w:val="none" w:sz="0" w:space="0" w:color="auto"/>
                  </w:divBdr>
                  <w:divsChild>
                    <w:div w:id="1619950971">
                      <w:marLeft w:val="0"/>
                      <w:marRight w:val="0"/>
                      <w:marTop w:val="0"/>
                      <w:marBottom w:val="0"/>
                      <w:divBdr>
                        <w:top w:val="none" w:sz="0" w:space="0" w:color="auto"/>
                        <w:left w:val="none" w:sz="0" w:space="0" w:color="auto"/>
                        <w:bottom w:val="none" w:sz="0" w:space="0" w:color="auto"/>
                        <w:right w:val="none" w:sz="0" w:space="0" w:color="auto"/>
                      </w:divBdr>
                    </w:div>
                  </w:divsChild>
                </w:div>
                <w:div w:id="102969199">
                  <w:marLeft w:val="0"/>
                  <w:marRight w:val="0"/>
                  <w:marTop w:val="0"/>
                  <w:marBottom w:val="0"/>
                  <w:divBdr>
                    <w:top w:val="none" w:sz="0" w:space="0" w:color="auto"/>
                    <w:left w:val="none" w:sz="0" w:space="0" w:color="auto"/>
                    <w:bottom w:val="none" w:sz="0" w:space="0" w:color="auto"/>
                    <w:right w:val="none" w:sz="0" w:space="0" w:color="auto"/>
                  </w:divBdr>
                  <w:divsChild>
                    <w:div w:id="843087691">
                      <w:marLeft w:val="0"/>
                      <w:marRight w:val="0"/>
                      <w:marTop w:val="0"/>
                      <w:marBottom w:val="0"/>
                      <w:divBdr>
                        <w:top w:val="none" w:sz="0" w:space="0" w:color="auto"/>
                        <w:left w:val="none" w:sz="0" w:space="0" w:color="auto"/>
                        <w:bottom w:val="none" w:sz="0" w:space="0" w:color="auto"/>
                        <w:right w:val="none" w:sz="0" w:space="0" w:color="auto"/>
                      </w:divBdr>
                    </w:div>
                  </w:divsChild>
                </w:div>
                <w:div w:id="105544611">
                  <w:marLeft w:val="0"/>
                  <w:marRight w:val="0"/>
                  <w:marTop w:val="0"/>
                  <w:marBottom w:val="0"/>
                  <w:divBdr>
                    <w:top w:val="none" w:sz="0" w:space="0" w:color="auto"/>
                    <w:left w:val="none" w:sz="0" w:space="0" w:color="auto"/>
                    <w:bottom w:val="none" w:sz="0" w:space="0" w:color="auto"/>
                    <w:right w:val="none" w:sz="0" w:space="0" w:color="auto"/>
                  </w:divBdr>
                  <w:divsChild>
                    <w:div w:id="1455245534">
                      <w:marLeft w:val="0"/>
                      <w:marRight w:val="0"/>
                      <w:marTop w:val="0"/>
                      <w:marBottom w:val="0"/>
                      <w:divBdr>
                        <w:top w:val="none" w:sz="0" w:space="0" w:color="auto"/>
                        <w:left w:val="none" w:sz="0" w:space="0" w:color="auto"/>
                        <w:bottom w:val="none" w:sz="0" w:space="0" w:color="auto"/>
                        <w:right w:val="none" w:sz="0" w:space="0" w:color="auto"/>
                      </w:divBdr>
                    </w:div>
                  </w:divsChild>
                </w:div>
                <w:div w:id="141778354">
                  <w:marLeft w:val="0"/>
                  <w:marRight w:val="0"/>
                  <w:marTop w:val="0"/>
                  <w:marBottom w:val="0"/>
                  <w:divBdr>
                    <w:top w:val="none" w:sz="0" w:space="0" w:color="auto"/>
                    <w:left w:val="none" w:sz="0" w:space="0" w:color="auto"/>
                    <w:bottom w:val="none" w:sz="0" w:space="0" w:color="auto"/>
                    <w:right w:val="none" w:sz="0" w:space="0" w:color="auto"/>
                  </w:divBdr>
                  <w:divsChild>
                    <w:div w:id="106513550">
                      <w:marLeft w:val="0"/>
                      <w:marRight w:val="0"/>
                      <w:marTop w:val="0"/>
                      <w:marBottom w:val="0"/>
                      <w:divBdr>
                        <w:top w:val="none" w:sz="0" w:space="0" w:color="auto"/>
                        <w:left w:val="none" w:sz="0" w:space="0" w:color="auto"/>
                        <w:bottom w:val="none" w:sz="0" w:space="0" w:color="auto"/>
                        <w:right w:val="none" w:sz="0" w:space="0" w:color="auto"/>
                      </w:divBdr>
                    </w:div>
                  </w:divsChild>
                </w:div>
                <w:div w:id="183324240">
                  <w:marLeft w:val="0"/>
                  <w:marRight w:val="0"/>
                  <w:marTop w:val="0"/>
                  <w:marBottom w:val="0"/>
                  <w:divBdr>
                    <w:top w:val="none" w:sz="0" w:space="0" w:color="auto"/>
                    <w:left w:val="none" w:sz="0" w:space="0" w:color="auto"/>
                    <w:bottom w:val="none" w:sz="0" w:space="0" w:color="auto"/>
                    <w:right w:val="none" w:sz="0" w:space="0" w:color="auto"/>
                  </w:divBdr>
                  <w:divsChild>
                    <w:div w:id="1411350494">
                      <w:marLeft w:val="0"/>
                      <w:marRight w:val="0"/>
                      <w:marTop w:val="0"/>
                      <w:marBottom w:val="0"/>
                      <w:divBdr>
                        <w:top w:val="none" w:sz="0" w:space="0" w:color="auto"/>
                        <w:left w:val="none" w:sz="0" w:space="0" w:color="auto"/>
                        <w:bottom w:val="none" w:sz="0" w:space="0" w:color="auto"/>
                        <w:right w:val="none" w:sz="0" w:space="0" w:color="auto"/>
                      </w:divBdr>
                    </w:div>
                  </w:divsChild>
                </w:div>
                <w:div w:id="190145341">
                  <w:marLeft w:val="0"/>
                  <w:marRight w:val="0"/>
                  <w:marTop w:val="0"/>
                  <w:marBottom w:val="0"/>
                  <w:divBdr>
                    <w:top w:val="none" w:sz="0" w:space="0" w:color="auto"/>
                    <w:left w:val="none" w:sz="0" w:space="0" w:color="auto"/>
                    <w:bottom w:val="none" w:sz="0" w:space="0" w:color="auto"/>
                    <w:right w:val="none" w:sz="0" w:space="0" w:color="auto"/>
                  </w:divBdr>
                  <w:divsChild>
                    <w:div w:id="11956479">
                      <w:marLeft w:val="0"/>
                      <w:marRight w:val="0"/>
                      <w:marTop w:val="0"/>
                      <w:marBottom w:val="0"/>
                      <w:divBdr>
                        <w:top w:val="none" w:sz="0" w:space="0" w:color="auto"/>
                        <w:left w:val="none" w:sz="0" w:space="0" w:color="auto"/>
                        <w:bottom w:val="none" w:sz="0" w:space="0" w:color="auto"/>
                        <w:right w:val="none" w:sz="0" w:space="0" w:color="auto"/>
                      </w:divBdr>
                    </w:div>
                  </w:divsChild>
                </w:div>
                <w:div w:id="221255090">
                  <w:marLeft w:val="0"/>
                  <w:marRight w:val="0"/>
                  <w:marTop w:val="0"/>
                  <w:marBottom w:val="0"/>
                  <w:divBdr>
                    <w:top w:val="none" w:sz="0" w:space="0" w:color="auto"/>
                    <w:left w:val="none" w:sz="0" w:space="0" w:color="auto"/>
                    <w:bottom w:val="none" w:sz="0" w:space="0" w:color="auto"/>
                    <w:right w:val="none" w:sz="0" w:space="0" w:color="auto"/>
                  </w:divBdr>
                  <w:divsChild>
                    <w:div w:id="419909015">
                      <w:marLeft w:val="0"/>
                      <w:marRight w:val="0"/>
                      <w:marTop w:val="0"/>
                      <w:marBottom w:val="0"/>
                      <w:divBdr>
                        <w:top w:val="none" w:sz="0" w:space="0" w:color="auto"/>
                        <w:left w:val="none" w:sz="0" w:space="0" w:color="auto"/>
                        <w:bottom w:val="none" w:sz="0" w:space="0" w:color="auto"/>
                        <w:right w:val="none" w:sz="0" w:space="0" w:color="auto"/>
                      </w:divBdr>
                    </w:div>
                    <w:div w:id="787969871">
                      <w:marLeft w:val="0"/>
                      <w:marRight w:val="0"/>
                      <w:marTop w:val="0"/>
                      <w:marBottom w:val="0"/>
                      <w:divBdr>
                        <w:top w:val="none" w:sz="0" w:space="0" w:color="auto"/>
                        <w:left w:val="none" w:sz="0" w:space="0" w:color="auto"/>
                        <w:bottom w:val="none" w:sz="0" w:space="0" w:color="auto"/>
                        <w:right w:val="none" w:sz="0" w:space="0" w:color="auto"/>
                      </w:divBdr>
                    </w:div>
                    <w:div w:id="1105425670">
                      <w:marLeft w:val="0"/>
                      <w:marRight w:val="0"/>
                      <w:marTop w:val="0"/>
                      <w:marBottom w:val="0"/>
                      <w:divBdr>
                        <w:top w:val="none" w:sz="0" w:space="0" w:color="auto"/>
                        <w:left w:val="none" w:sz="0" w:space="0" w:color="auto"/>
                        <w:bottom w:val="none" w:sz="0" w:space="0" w:color="auto"/>
                        <w:right w:val="none" w:sz="0" w:space="0" w:color="auto"/>
                      </w:divBdr>
                    </w:div>
                    <w:div w:id="1358315239">
                      <w:marLeft w:val="0"/>
                      <w:marRight w:val="0"/>
                      <w:marTop w:val="0"/>
                      <w:marBottom w:val="0"/>
                      <w:divBdr>
                        <w:top w:val="none" w:sz="0" w:space="0" w:color="auto"/>
                        <w:left w:val="none" w:sz="0" w:space="0" w:color="auto"/>
                        <w:bottom w:val="none" w:sz="0" w:space="0" w:color="auto"/>
                        <w:right w:val="none" w:sz="0" w:space="0" w:color="auto"/>
                      </w:divBdr>
                    </w:div>
                    <w:div w:id="1454252909">
                      <w:marLeft w:val="0"/>
                      <w:marRight w:val="0"/>
                      <w:marTop w:val="0"/>
                      <w:marBottom w:val="0"/>
                      <w:divBdr>
                        <w:top w:val="none" w:sz="0" w:space="0" w:color="auto"/>
                        <w:left w:val="none" w:sz="0" w:space="0" w:color="auto"/>
                        <w:bottom w:val="none" w:sz="0" w:space="0" w:color="auto"/>
                        <w:right w:val="none" w:sz="0" w:space="0" w:color="auto"/>
                      </w:divBdr>
                    </w:div>
                  </w:divsChild>
                </w:div>
                <w:div w:id="266698572">
                  <w:marLeft w:val="0"/>
                  <w:marRight w:val="0"/>
                  <w:marTop w:val="0"/>
                  <w:marBottom w:val="0"/>
                  <w:divBdr>
                    <w:top w:val="none" w:sz="0" w:space="0" w:color="auto"/>
                    <w:left w:val="none" w:sz="0" w:space="0" w:color="auto"/>
                    <w:bottom w:val="none" w:sz="0" w:space="0" w:color="auto"/>
                    <w:right w:val="none" w:sz="0" w:space="0" w:color="auto"/>
                  </w:divBdr>
                  <w:divsChild>
                    <w:div w:id="1217275273">
                      <w:marLeft w:val="0"/>
                      <w:marRight w:val="0"/>
                      <w:marTop w:val="0"/>
                      <w:marBottom w:val="0"/>
                      <w:divBdr>
                        <w:top w:val="none" w:sz="0" w:space="0" w:color="auto"/>
                        <w:left w:val="none" w:sz="0" w:space="0" w:color="auto"/>
                        <w:bottom w:val="none" w:sz="0" w:space="0" w:color="auto"/>
                        <w:right w:val="none" w:sz="0" w:space="0" w:color="auto"/>
                      </w:divBdr>
                    </w:div>
                  </w:divsChild>
                </w:div>
                <w:div w:id="270824799">
                  <w:marLeft w:val="0"/>
                  <w:marRight w:val="0"/>
                  <w:marTop w:val="0"/>
                  <w:marBottom w:val="0"/>
                  <w:divBdr>
                    <w:top w:val="none" w:sz="0" w:space="0" w:color="auto"/>
                    <w:left w:val="none" w:sz="0" w:space="0" w:color="auto"/>
                    <w:bottom w:val="none" w:sz="0" w:space="0" w:color="auto"/>
                    <w:right w:val="none" w:sz="0" w:space="0" w:color="auto"/>
                  </w:divBdr>
                  <w:divsChild>
                    <w:div w:id="422530224">
                      <w:marLeft w:val="0"/>
                      <w:marRight w:val="0"/>
                      <w:marTop w:val="0"/>
                      <w:marBottom w:val="0"/>
                      <w:divBdr>
                        <w:top w:val="none" w:sz="0" w:space="0" w:color="auto"/>
                        <w:left w:val="none" w:sz="0" w:space="0" w:color="auto"/>
                        <w:bottom w:val="none" w:sz="0" w:space="0" w:color="auto"/>
                        <w:right w:val="none" w:sz="0" w:space="0" w:color="auto"/>
                      </w:divBdr>
                    </w:div>
                  </w:divsChild>
                </w:div>
                <w:div w:id="315231484">
                  <w:marLeft w:val="0"/>
                  <w:marRight w:val="0"/>
                  <w:marTop w:val="0"/>
                  <w:marBottom w:val="0"/>
                  <w:divBdr>
                    <w:top w:val="none" w:sz="0" w:space="0" w:color="auto"/>
                    <w:left w:val="none" w:sz="0" w:space="0" w:color="auto"/>
                    <w:bottom w:val="none" w:sz="0" w:space="0" w:color="auto"/>
                    <w:right w:val="none" w:sz="0" w:space="0" w:color="auto"/>
                  </w:divBdr>
                  <w:divsChild>
                    <w:div w:id="720862921">
                      <w:marLeft w:val="0"/>
                      <w:marRight w:val="0"/>
                      <w:marTop w:val="0"/>
                      <w:marBottom w:val="0"/>
                      <w:divBdr>
                        <w:top w:val="none" w:sz="0" w:space="0" w:color="auto"/>
                        <w:left w:val="none" w:sz="0" w:space="0" w:color="auto"/>
                        <w:bottom w:val="none" w:sz="0" w:space="0" w:color="auto"/>
                        <w:right w:val="none" w:sz="0" w:space="0" w:color="auto"/>
                      </w:divBdr>
                    </w:div>
                  </w:divsChild>
                </w:div>
                <w:div w:id="365107268">
                  <w:marLeft w:val="0"/>
                  <w:marRight w:val="0"/>
                  <w:marTop w:val="0"/>
                  <w:marBottom w:val="0"/>
                  <w:divBdr>
                    <w:top w:val="none" w:sz="0" w:space="0" w:color="auto"/>
                    <w:left w:val="none" w:sz="0" w:space="0" w:color="auto"/>
                    <w:bottom w:val="none" w:sz="0" w:space="0" w:color="auto"/>
                    <w:right w:val="none" w:sz="0" w:space="0" w:color="auto"/>
                  </w:divBdr>
                  <w:divsChild>
                    <w:div w:id="872037127">
                      <w:marLeft w:val="0"/>
                      <w:marRight w:val="0"/>
                      <w:marTop w:val="0"/>
                      <w:marBottom w:val="0"/>
                      <w:divBdr>
                        <w:top w:val="none" w:sz="0" w:space="0" w:color="auto"/>
                        <w:left w:val="none" w:sz="0" w:space="0" w:color="auto"/>
                        <w:bottom w:val="none" w:sz="0" w:space="0" w:color="auto"/>
                        <w:right w:val="none" w:sz="0" w:space="0" w:color="auto"/>
                      </w:divBdr>
                    </w:div>
                  </w:divsChild>
                </w:div>
                <w:div w:id="419328147">
                  <w:marLeft w:val="0"/>
                  <w:marRight w:val="0"/>
                  <w:marTop w:val="0"/>
                  <w:marBottom w:val="0"/>
                  <w:divBdr>
                    <w:top w:val="none" w:sz="0" w:space="0" w:color="auto"/>
                    <w:left w:val="none" w:sz="0" w:space="0" w:color="auto"/>
                    <w:bottom w:val="none" w:sz="0" w:space="0" w:color="auto"/>
                    <w:right w:val="none" w:sz="0" w:space="0" w:color="auto"/>
                  </w:divBdr>
                  <w:divsChild>
                    <w:div w:id="1187060922">
                      <w:marLeft w:val="0"/>
                      <w:marRight w:val="0"/>
                      <w:marTop w:val="0"/>
                      <w:marBottom w:val="0"/>
                      <w:divBdr>
                        <w:top w:val="none" w:sz="0" w:space="0" w:color="auto"/>
                        <w:left w:val="none" w:sz="0" w:space="0" w:color="auto"/>
                        <w:bottom w:val="none" w:sz="0" w:space="0" w:color="auto"/>
                        <w:right w:val="none" w:sz="0" w:space="0" w:color="auto"/>
                      </w:divBdr>
                    </w:div>
                  </w:divsChild>
                </w:div>
                <w:div w:id="436099166">
                  <w:marLeft w:val="0"/>
                  <w:marRight w:val="0"/>
                  <w:marTop w:val="0"/>
                  <w:marBottom w:val="0"/>
                  <w:divBdr>
                    <w:top w:val="none" w:sz="0" w:space="0" w:color="auto"/>
                    <w:left w:val="none" w:sz="0" w:space="0" w:color="auto"/>
                    <w:bottom w:val="none" w:sz="0" w:space="0" w:color="auto"/>
                    <w:right w:val="none" w:sz="0" w:space="0" w:color="auto"/>
                  </w:divBdr>
                  <w:divsChild>
                    <w:div w:id="1596206180">
                      <w:marLeft w:val="0"/>
                      <w:marRight w:val="0"/>
                      <w:marTop w:val="0"/>
                      <w:marBottom w:val="0"/>
                      <w:divBdr>
                        <w:top w:val="none" w:sz="0" w:space="0" w:color="auto"/>
                        <w:left w:val="none" w:sz="0" w:space="0" w:color="auto"/>
                        <w:bottom w:val="none" w:sz="0" w:space="0" w:color="auto"/>
                        <w:right w:val="none" w:sz="0" w:space="0" w:color="auto"/>
                      </w:divBdr>
                    </w:div>
                  </w:divsChild>
                </w:div>
                <w:div w:id="447966845">
                  <w:marLeft w:val="0"/>
                  <w:marRight w:val="0"/>
                  <w:marTop w:val="0"/>
                  <w:marBottom w:val="0"/>
                  <w:divBdr>
                    <w:top w:val="none" w:sz="0" w:space="0" w:color="auto"/>
                    <w:left w:val="none" w:sz="0" w:space="0" w:color="auto"/>
                    <w:bottom w:val="none" w:sz="0" w:space="0" w:color="auto"/>
                    <w:right w:val="none" w:sz="0" w:space="0" w:color="auto"/>
                  </w:divBdr>
                  <w:divsChild>
                    <w:div w:id="1149900445">
                      <w:marLeft w:val="0"/>
                      <w:marRight w:val="0"/>
                      <w:marTop w:val="0"/>
                      <w:marBottom w:val="0"/>
                      <w:divBdr>
                        <w:top w:val="none" w:sz="0" w:space="0" w:color="auto"/>
                        <w:left w:val="none" w:sz="0" w:space="0" w:color="auto"/>
                        <w:bottom w:val="none" w:sz="0" w:space="0" w:color="auto"/>
                        <w:right w:val="none" w:sz="0" w:space="0" w:color="auto"/>
                      </w:divBdr>
                    </w:div>
                  </w:divsChild>
                </w:div>
                <w:div w:id="452018440">
                  <w:marLeft w:val="0"/>
                  <w:marRight w:val="0"/>
                  <w:marTop w:val="0"/>
                  <w:marBottom w:val="0"/>
                  <w:divBdr>
                    <w:top w:val="none" w:sz="0" w:space="0" w:color="auto"/>
                    <w:left w:val="none" w:sz="0" w:space="0" w:color="auto"/>
                    <w:bottom w:val="none" w:sz="0" w:space="0" w:color="auto"/>
                    <w:right w:val="none" w:sz="0" w:space="0" w:color="auto"/>
                  </w:divBdr>
                  <w:divsChild>
                    <w:div w:id="1250507270">
                      <w:marLeft w:val="0"/>
                      <w:marRight w:val="0"/>
                      <w:marTop w:val="0"/>
                      <w:marBottom w:val="0"/>
                      <w:divBdr>
                        <w:top w:val="none" w:sz="0" w:space="0" w:color="auto"/>
                        <w:left w:val="none" w:sz="0" w:space="0" w:color="auto"/>
                        <w:bottom w:val="none" w:sz="0" w:space="0" w:color="auto"/>
                        <w:right w:val="none" w:sz="0" w:space="0" w:color="auto"/>
                      </w:divBdr>
                    </w:div>
                  </w:divsChild>
                </w:div>
                <w:div w:id="459079813">
                  <w:marLeft w:val="0"/>
                  <w:marRight w:val="0"/>
                  <w:marTop w:val="0"/>
                  <w:marBottom w:val="0"/>
                  <w:divBdr>
                    <w:top w:val="none" w:sz="0" w:space="0" w:color="auto"/>
                    <w:left w:val="none" w:sz="0" w:space="0" w:color="auto"/>
                    <w:bottom w:val="none" w:sz="0" w:space="0" w:color="auto"/>
                    <w:right w:val="none" w:sz="0" w:space="0" w:color="auto"/>
                  </w:divBdr>
                  <w:divsChild>
                    <w:div w:id="996495540">
                      <w:marLeft w:val="0"/>
                      <w:marRight w:val="0"/>
                      <w:marTop w:val="0"/>
                      <w:marBottom w:val="0"/>
                      <w:divBdr>
                        <w:top w:val="none" w:sz="0" w:space="0" w:color="auto"/>
                        <w:left w:val="none" w:sz="0" w:space="0" w:color="auto"/>
                        <w:bottom w:val="none" w:sz="0" w:space="0" w:color="auto"/>
                        <w:right w:val="none" w:sz="0" w:space="0" w:color="auto"/>
                      </w:divBdr>
                    </w:div>
                  </w:divsChild>
                </w:div>
                <w:div w:id="531311309">
                  <w:marLeft w:val="0"/>
                  <w:marRight w:val="0"/>
                  <w:marTop w:val="0"/>
                  <w:marBottom w:val="0"/>
                  <w:divBdr>
                    <w:top w:val="none" w:sz="0" w:space="0" w:color="auto"/>
                    <w:left w:val="none" w:sz="0" w:space="0" w:color="auto"/>
                    <w:bottom w:val="none" w:sz="0" w:space="0" w:color="auto"/>
                    <w:right w:val="none" w:sz="0" w:space="0" w:color="auto"/>
                  </w:divBdr>
                  <w:divsChild>
                    <w:div w:id="1091001329">
                      <w:marLeft w:val="0"/>
                      <w:marRight w:val="0"/>
                      <w:marTop w:val="0"/>
                      <w:marBottom w:val="0"/>
                      <w:divBdr>
                        <w:top w:val="none" w:sz="0" w:space="0" w:color="auto"/>
                        <w:left w:val="none" w:sz="0" w:space="0" w:color="auto"/>
                        <w:bottom w:val="none" w:sz="0" w:space="0" w:color="auto"/>
                        <w:right w:val="none" w:sz="0" w:space="0" w:color="auto"/>
                      </w:divBdr>
                    </w:div>
                    <w:div w:id="1354957090">
                      <w:marLeft w:val="0"/>
                      <w:marRight w:val="0"/>
                      <w:marTop w:val="0"/>
                      <w:marBottom w:val="0"/>
                      <w:divBdr>
                        <w:top w:val="none" w:sz="0" w:space="0" w:color="auto"/>
                        <w:left w:val="none" w:sz="0" w:space="0" w:color="auto"/>
                        <w:bottom w:val="none" w:sz="0" w:space="0" w:color="auto"/>
                        <w:right w:val="none" w:sz="0" w:space="0" w:color="auto"/>
                      </w:divBdr>
                    </w:div>
                    <w:div w:id="1445266650">
                      <w:marLeft w:val="0"/>
                      <w:marRight w:val="0"/>
                      <w:marTop w:val="0"/>
                      <w:marBottom w:val="0"/>
                      <w:divBdr>
                        <w:top w:val="none" w:sz="0" w:space="0" w:color="auto"/>
                        <w:left w:val="none" w:sz="0" w:space="0" w:color="auto"/>
                        <w:bottom w:val="none" w:sz="0" w:space="0" w:color="auto"/>
                        <w:right w:val="none" w:sz="0" w:space="0" w:color="auto"/>
                      </w:divBdr>
                    </w:div>
                    <w:div w:id="1520200557">
                      <w:marLeft w:val="0"/>
                      <w:marRight w:val="0"/>
                      <w:marTop w:val="0"/>
                      <w:marBottom w:val="0"/>
                      <w:divBdr>
                        <w:top w:val="none" w:sz="0" w:space="0" w:color="auto"/>
                        <w:left w:val="none" w:sz="0" w:space="0" w:color="auto"/>
                        <w:bottom w:val="none" w:sz="0" w:space="0" w:color="auto"/>
                        <w:right w:val="none" w:sz="0" w:space="0" w:color="auto"/>
                      </w:divBdr>
                    </w:div>
                    <w:div w:id="1844785588">
                      <w:marLeft w:val="0"/>
                      <w:marRight w:val="0"/>
                      <w:marTop w:val="0"/>
                      <w:marBottom w:val="0"/>
                      <w:divBdr>
                        <w:top w:val="none" w:sz="0" w:space="0" w:color="auto"/>
                        <w:left w:val="none" w:sz="0" w:space="0" w:color="auto"/>
                        <w:bottom w:val="none" w:sz="0" w:space="0" w:color="auto"/>
                        <w:right w:val="none" w:sz="0" w:space="0" w:color="auto"/>
                      </w:divBdr>
                    </w:div>
                  </w:divsChild>
                </w:div>
                <w:div w:id="629020758">
                  <w:marLeft w:val="0"/>
                  <w:marRight w:val="0"/>
                  <w:marTop w:val="0"/>
                  <w:marBottom w:val="0"/>
                  <w:divBdr>
                    <w:top w:val="none" w:sz="0" w:space="0" w:color="auto"/>
                    <w:left w:val="none" w:sz="0" w:space="0" w:color="auto"/>
                    <w:bottom w:val="none" w:sz="0" w:space="0" w:color="auto"/>
                    <w:right w:val="none" w:sz="0" w:space="0" w:color="auto"/>
                  </w:divBdr>
                  <w:divsChild>
                    <w:div w:id="549193346">
                      <w:marLeft w:val="0"/>
                      <w:marRight w:val="0"/>
                      <w:marTop w:val="0"/>
                      <w:marBottom w:val="0"/>
                      <w:divBdr>
                        <w:top w:val="none" w:sz="0" w:space="0" w:color="auto"/>
                        <w:left w:val="none" w:sz="0" w:space="0" w:color="auto"/>
                        <w:bottom w:val="none" w:sz="0" w:space="0" w:color="auto"/>
                        <w:right w:val="none" w:sz="0" w:space="0" w:color="auto"/>
                      </w:divBdr>
                    </w:div>
                  </w:divsChild>
                </w:div>
                <w:div w:id="632559252">
                  <w:marLeft w:val="0"/>
                  <w:marRight w:val="0"/>
                  <w:marTop w:val="0"/>
                  <w:marBottom w:val="0"/>
                  <w:divBdr>
                    <w:top w:val="none" w:sz="0" w:space="0" w:color="auto"/>
                    <w:left w:val="none" w:sz="0" w:space="0" w:color="auto"/>
                    <w:bottom w:val="none" w:sz="0" w:space="0" w:color="auto"/>
                    <w:right w:val="none" w:sz="0" w:space="0" w:color="auto"/>
                  </w:divBdr>
                  <w:divsChild>
                    <w:div w:id="473376792">
                      <w:marLeft w:val="0"/>
                      <w:marRight w:val="0"/>
                      <w:marTop w:val="0"/>
                      <w:marBottom w:val="0"/>
                      <w:divBdr>
                        <w:top w:val="none" w:sz="0" w:space="0" w:color="auto"/>
                        <w:left w:val="none" w:sz="0" w:space="0" w:color="auto"/>
                        <w:bottom w:val="none" w:sz="0" w:space="0" w:color="auto"/>
                        <w:right w:val="none" w:sz="0" w:space="0" w:color="auto"/>
                      </w:divBdr>
                    </w:div>
                  </w:divsChild>
                </w:div>
                <w:div w:id="633829585">
                  <w:marLeft w:val="0"/>
                  <w:marRight w:val="0"/>
                  <w:marTop w:val="0"/>
                  <w:marBottom w:val="0"/>
                  <w:divBdr>
                    <w:top w:val="none" w:sz="0" w:space="0" w:color="auto"/>
                    <w:left w:val="none" w:sz="0" w:space="0" w:color="auto"/>
                    <w:bottom w:val="none" w:sz="0" w:space="0" w:color="auto"/>
                    <w:right w:val="none" w:sz="0" w:space="0" w:color="auto"/>
                  </w:divBdr>
                  <w:divsChild>
                    <w:div w:id="412164539">
                      <w:marLeft w:val="0"/>
                      <w:marRight w:val="0"/>
                      <w:marTop w:val="0"/>
                      <w:marBottom w:val="0"/>
                      <w:divBdr>
                        <w:top w:val="none" w:sz="0" w:space="0" w:color="auto"/>
                        <w:left w:val="none" w:sz="0" w:space="0" w:color="auto"/>
                        <w:bottom w:val="none" w:sz="0" w:space="0" w:color="auto"/>
                        <w:right w:val="none" w:sz="0" w:space="0" w:color="auto"/>
                      </w:divBdr>
                    </w:div>
                  </w:divsChild>
                </w:div>
                <w:div w:id="788933665">
                  <w:marLeft w:val="0"/>
                  <w:marRight w:val="0"/>
                  <w:marTop w:val="0"/>
                  <w:marBottom w:val="0"/>
                  <w:divBdr>
                    <w:top w:val="none" w:sz="0" w:space="0" w:color="auto"/>
                    <w:left w:val="none" w:sz="0" w:space="0" w:color="auto"/>
                    <w:bottom w:val="none" w:sz="0" w:space="0" w:color="auto"/>
                    <w:right w:val="none" w:sz="0" w:space="0" w:color="auto"/>
                  </w:divBdr>
                  <w:divsChild>
                    <w:div w:id="416097480">
                      <w:marLeft w:val="0"/>
                      <w:marRight w:val="0"/>
                      <w:marTop w:val="0"/>
                      <w:marBottom w:val="0"/>
                      <w:divBdr>
                        <w:top w:val="none" w:sz="0" w:space="0" w:color="auto"/>
                        <w:left w:val="none" w:sz="0" w:space="0" w:color="auto"/>
                        <w:bottom w:val="none" w:sz="0" w:space="0" w:color="auto"/>
                        <w:right w:val="none" w:sz="0" w:space="0" w:color="auto"/>
                      </w:divBdr>
                    </w:div>
                  </w:divsChild>
                </w:div>
                <w:div w:id="797064963">
                  <w:marLeft w:val="0"/>
                  <w:marRight w:val="0"/>
                  <w:marTop w:val="0"/>
                  <w:marBottom w:val="0"/>
                  <w:divBdr>
                    <w:top w:val="none" w:sz="0" w:space="0" w:color="auto"/>
                    <w:left w:val="none" w:sz="0" w:space="0" w:color="auto"/>
                    <w:bottom w:val="none" w:sz="0" w:space="0" w:color="auto"/>
                    <w:right w:val="none" w:sz="0" w:space="0" w:color="auto"/>
                  </w:divBdr>
                  <w:divsChild>
                    <w:div w:id="554852166">
                      <w:marLeft w:val="0"/>
                      <w:marRight w:val="0"/>
                      <w:marTop w:val="0"/>
                      <w:marBottom w:val="0"/>
                      <w:divBdr>
                        <w:top w:val="none" w:sz="0" w:space="0" w:color="auto"/>
                        <w:left w:val="none" w:sz="0" w:space="0" w:color="auto"/>
                        <w:bottom w:val="none" w:sz="0" w:space="0" w:color="auto"/>
                        <w:right w:val="none" w:sz="0" w:space="0" w:color="auto"/>
                      </w:divBdr>
                    </w:div>
                  </w:divsChild>
                </w:div>
                <w:div w:id="811292955">
                  <w:marLeft w:val="0"/>
                  <w:marRight w:val="0"/>
                  <w:marTop w:val="0"/>
                  <w:marBottom w:val="0"/>
                  <w:divBdr>
                    <w:top w:val="none" w:sz="0" w:space="0" w:color="auto"/>
                    <w:left w:val="none" w:sz="0" w:space="0" w:color="auto"/>
                    <w:bottom w:val="none" w:sz="0" w:space="0" w:color="auto"/>
                    <w:right w:val="none" w:sz="0" w:space="0" w:color="auto"/>
                  </w:divBdr>
                  <w:divsChild>
                    <w:div w:id="473303589">
                      <w:marLeft w:val="0"/>
                      <w:marRight w:val="0"/>
                      <w:marTop w:val="0"/>
                      <w:marBottom w:val="0"/>
                      <w:divBdr>
                        <w:top w:val="none" w:sz="0" w:space="0" w:color="auto"/>
                        <w:left w:val="none" w:sz="0" w:space="0" w:color="auto"/>
                        <w:bottom w:val="none" w:sz="0" w:space="0" w:color="auto"/>
                        <w:right w:val="none" w:sz="0" w:space="0" w:color="auto"/>
                      </w:divBdr>
                    </w:div>
                  </w:divsChild>
                </w:div>
                <w:div w:id="916592398">
                  <w:marLeft w:val="0"/>
                  <w:marRight w:val="0"/>
                  <w:marTop w:val="0"/>
                  <w:marBottom w:val="0"/>
                  <w:divBdr>
                    <w:top w:val="none" w:sz="0" w:space="0" w:color="auto"/>
                    <w:left w:val="none" w:sz="0" w:space="0" w:color="auto"/>
                    <w:bottom w:val="none" w:sz="0" w:space="0" w:color="auto"/>
                    <w:right w:val="none" w:sz="0" w:space="0" w:color="auto"/>
                  </w:divBdr>
                  <w:divsChild>
                    <w:div w:id="240334069">
                      <w:marLeft w:val="0"/>
                      <w:marRight w:val="0"/>
                      <w:marTop w:val="0"/>
                      <w:marBottom w:val="0"/>
                      <w:divBdr>
                        <w:top w:val="none" w:sz="0" w:space="0" w:color="auto"/>
                        <w:left w:val="none" w:sz="0" w:space="0" w:color="auto"/>
                        <w:bottom w:val="none" w:sz="0" w:space="0" w:color="auto"/>
                        <w:right w:val="none" w:sz="0" w:space="0" w:color="auto"/>
                      </w:divBdr>
                    </w:div>
                  </w:divsChild>
                </w:div>
                <w:div w:id="962075730">
                  <w:marLeft w:val="0"/>
                  <w:marRight w:val="0"/>
                  <w:marTop w:val="0"/>
                  <w:marBottom w:val="0"/>
                  <w:divBdr>
                    <w:top w:val="none" w:sz="0" w:space="0" w:color="auto"/>
                    <w:left w:val="none" w:sz="0" w:space="0" w:color="auto"/>
                    <w:bottom w:val="none" w:sz="0" w:space="0" w:color="auto"/>
                    <w:right w:val="none" w:sz="0" w:space="0" w:color="auto"/>
                  </w:divBdr>
                  <w:divsChild>
                    <w:div w:id="1142314015">
                      <w:marLeft w:val="0"/>
                      <w:marRight w:val="0"/>
                      <w:marTop w:val="0"/>
                      <w:marBottom w:val="0"/>
                      <w:divBdr>
                        <w:top w:val="none" w:sz="0" w:space="0" w:color="auto"/>
                        <w:left w:val="none" w:sz="0" w:space="0" w:color="auto"/>
                        <w:bottom w:val="none" w:sz="0" w:space="0" w:color="auto"/>
                        <w:right w:val="none" w:sz="0" w:space="0" w:color="auto"/>
                      </w:divBdr>
                    </w:div>
                  </w:divsChild>
                </w:div>
                <w:div w:id="1015307486">
                  <w:marLeft w:val="0"/>
                  <w:marRight w:val="0"/>
                  <w:marTop w:val="0"/>
                  <w:marBottom w:val="0"/>
                  <w:divBdr>
                    <w:top w:val="none" w:sz="0" w:space="0" w:color="auto"/>
                    <w:left w:val="none" w:sz="0" w:space="0" w:color="auto"/>
                    <w:bottom w:val="none" w:sz="0" w:space="0" w:color="auto"/>
                    <w:right w:val="none" w:sz="0" w:space="0" w:color="auto"/>
                  </w:divBdr>
                  <w:divsChild>
                    <w:div w:id="1319578582">
                      <w:marLeft w:val="0"/>
                      <w:marRight w:val="0"/>
                      <w:marTop w:val="0"/>
                      <w:marBottom w:val="0"/>
                      <w:divBdr>
                        <w:top w:val="none" w:sz="0" w:space="0" w:color="auto"/>
                        <w:left w:val="none" w:sz="0" w:space="0" w:color="auto"/>
                        <w:bottom w:val="none" w:sz="0" w:space="0" w:color="auto"/>
                        <w:right w:val="none" w:sz="0" w:space="0" w:color="auto"/>
                      </w:divBdr>
                    </w:div>
                  </w:divsChild>
                </w:div>
                <w:div w:id="1035427764">
                  <w:marLeft w:val="0"/>
                  <w:marRight w:val="0"/>
                  <w:marTop w:val="0"/>
                  <w:marBottom w:val="0"/>
                  <w:divBdr>
                    <w:top w:val="none" w:sz="0" w:space="0" w:color="auto"/>
                    <w:left w:val="none" w:sz="0" w:space="0" w:color="auto"/>
                    <w:bottom w:val="none" w:sz="0" w:space="0" w:color="auto"/>
                    <w:right w:val="none" w:sz="0" w:space="0" w:color="auto"/>
                  </w:divBdr>
                  <w:divsChild>
                    <w:div w:id="1976327356">
                      <w:marLeft w:val="0"/>
                      <w:marRight w:val="0"/>
                      <w:marTop w:val="0"/>
                      <w:marBottom w:val="0"/>
                      <w:divBdr>
                        <w:top w:val="none" w:sz="0" w:space="0" w:color="auto"/>
                        <w:left w:val="none" w:sz="0" w:space="0" w:color="auto"/>
                        <w:bottom w:val="none" w:sz="0" w:space="0" w:color="auto"/>
                        <w:right w:val="none" w:sz="0" w:space="0" w:color="auto"/>
                      </w:divBdr>
                    </w:div>
                  </w:divsChild>
                </w:div>
                <w:div w:id="1051810133">
                  <w:marLeft w:val="0"/>
                  <w:marRight w:val="0"/>
                  <w:marTop w:val="0"/>
                  <w:marBottom w:val="0"/>
                  <w:divBdr>
                    <w:top w:val="none" w:sz="0" w:space="0" w:color="auto"/>
                    <w:left w:val="none" w:sz="0" w:space="0" w:color="auto"/>
                    <w:bottom w:val="none" w:sz="0" w:space="0" w:color="auto"/>
                    <w:right w:val="none" w:sz="0" w:space="0" w:color="auto"/>
                  </w:divBdr>
                  <w:divsChild>
                    <w:div w:id="1481732326">
                      <w:marLeft w:val="0"/>
                      <w:marRight w:val="0"/>
                      <w:marTop w:val="0"/>
                      <w:marBottom w:val="0"/>
                      <w:divBdr>
                        <w:top w:val="none" w:sz="0" w:space="0" w:color="auto"/>
                        <w:left w:val="none" w:sz="0" w:space="0" w:color="auto"/>
                        <w:bottom w:val="none" w:sz="0" w:space="0" w:color="auto"/>
                        <w:right w:val="none" w:sz="0" w:space="0" w:color="auto"/>
                      </w:divBdr>
                    </w:div>
                  </w:divsChild>
                </w:div>
                <w:div w:id="1055811556">
                  <w:marLeft w:val="0"/>
                  <w:marRight w:val="0"/>
                  <w:marTop w:val="0"/>
                  <w:marBottom w:val="0"/>
                  <w:divBdr>
                    <w:top w:val="none" w:sz="0" w:space="0" w:color="auto"/>
                    <w:left w:val="none" w:sz="0" w:space="0" w:color="auto"/>
                    <w:bottom w:val="none" w:sz="0" w:space="0" w:color="auto"/>
                    <w:right w:val="none" w:sz="0" w:space="0" w:color="auto"/>
                  </w:divBdr>
                  <w:divsChild>
                    <w:div w:id="2051568957">
                      <w:marLeft w:val="0"/>
                      <w:marRight w:val="0"/>
                      <w:marTop w:val="0"/>
                      <w:marBottom w:val="0"/>
                      <w:divBdr>
                        <w:top w:val="none" w:sz="0" w:space="0" w:color="auto"/>
                        <w:left w:val="none" w:sz="0" w:space="0" w:color="auto"/>
                        <w:bottom w:val="none" w:sz="0" w:space="0" w:color="auto"/>
                        <w:right w:val="none" w:sz="0" w:space="0" w:color="auto"/>
                      </w:divBdr>
                    </w:div>
                  </w:divsChild>
                </w:div>
                <w:div w:id="1143038590">
                  <w:marLeft w:val="0"/>
                  <w:marRight w:val="0"/>
                  <w:marTop w:val="0"/>
                  <w:marBottom w:val="0"/>
                  <w:divBdr>
                    <w:top w:val="none" w:sz="0" w:space="0" w:color="auto"/>
                    <w:left w:val="none" w:sz="0" w:space="0" w:color="auto"/>
                    <w:bottom w:val="none" w:sz="0" w:space="0" w:color="auto"/>
                    <w:right w:val="none" w:sz="0" w:space="0" w:color="auto"/>
                  </w:divBdr>
                  <w:divsChild>
                    <w:div w:id="466440079">
                      <w:marLeft w:val="0"/>
                      <w:marRight w:val="0"/>
                      <w:marTop w:val="0"/>
                      <w:marBottom w:val="0"/>
                      <w:divBdr>
                        <w:top w:val="none" w:sz="0" w:space="0" w:color="auto"/>
                        <w:left w:val="none" w:sz="0" w:space="0" w:color="auto"/>
                        <w:bottom w:val="none" w:sz="0" w:space="0" w:color="auto"/>
                        <w:right w:val="none" w:sz="0" w:space="0" w:color="auto"/>
                      </w:divBdr>
                    </w:div>
                  </w:divsChild>
                </w:div>
                <w:div w:id="1202978987">
                  <w:marLeft w:val="0"/>
                  <w:marRight w:val="0"/>
                  <w:marTop w:val="0"/>
                  <w:marBottom w:val="0"/>
                  <w:divBdr>
                    <w:top w:val="none" w:sz="0" w:space="0" w:color="auto"/>
                    <w:left w:val="none" w:sz="0" w:space="0" w:color="auto"/>
                    <w:bottom w:val="none" w:sz="0" w:space="0" w:color="auto"/>
                    <w:right w:val="none" w:sz="0" w:space="0" w:color="auto"/>
                  </w:divBdr>
                  <w:divsChild>
                    <w:div w:id="958299750">
                      <w:marLeft w:val="0"/>
                      <w:marRight w:val="0"/>
                      <w:marTop w:val="0"/>
                      <w:marBottom w:val="0"/>
                      <w:divBdr>
                        <w:top w:val="none" w:sz="0" w:space="0" w:color="auto"/>
                        <w:left w:val="none" w:sz="0" w:space="0" w:color="auto"/>
                        <w:bottom w:val="none" w:sz="0" w:space="0" w:color="auto"/>
                        <w:right w:val="none" w:sz="0" w:space="0" w:color="auto"/>
                      </w:divBdr>
                    </w:div>
                  </w:divsChild>
                </w:div>
                <w:div w:id="1215968155">
                  <w:marLeft w:val="0"/>
                  <w:marRight w:val="0"/>
                  <w:marTop w:val="0"/>
                  <w:marBottom w:val="0"/>
                  <w:divBdr>
                    <w:top w:val="none" w:sz="0" w:space="0" w:color="auto"/>
                    <w:left w:val="none" w:sz="0" w:space="0" w:color="auto"/>
                    <w:bottom w:val="none" w:sz="0" w:space="0" w:color="auto"/>
                    <w:right w:val="none" w:sz="0" w:space="0" w:color="auto"/>
                  </w:divBdr>
                  <w:divsChild>
                    <w:div w:id="969169484">
                      <w:marLeft w:val="0"/>
                      <w:marRight w:val="0"/>
                      <w:marTop w:val="0"/>
                      <w:marBottom w:val="0"/>
                      <w:divBdr>
                        <w:top w:val="none" w:sz="0" w:space="0" w:color="auto"/>
                        <w:left w:val="none" w:sz="0" w:space="0" w:color="auto"/>
                        <w:bottom w:val="none" w:sz="0" w:space="0" w:color="auto"/>
                        <w:right w:val="none" w:sz="0" w:space="0" w:color="auto"/>
                      </w:divBdr>
                    </w:div>
                  </w:divsChild>
                </w:div>
                <w:div w:id="1218125499">
                  <w:marLeft w:val="0"/>
                  <w:marRight w:val="0"/>
                  <w:marTop w:val="0"/>
                  <w:marBottom w:val="0"/>
                  <w:divBdr>
                    <w:top w:val="none" w:sz="0" w:space="0" w:color="auto"/>
                    <w:left w:val="none" w:sz="0" w:space="0" w:color="auto"/>
                    <w:bottom w:val="none" w:sz="0" w:space="0" w:color="auto"/>
                    <w:right w:val="none" w:sz="0" w:space="0" w:color="auto"/>
                  </w:divBdr>
                  <w:divsChild>
                    <w:div w:id="1732386460">
                      <w:marLeft w:val="0"/>
                      <w:marRight w:val="0"/>
                      <w:marTop w:val="0"/>
                      <w:marBottom w:val="0"/>
                      <w:divBdr>
                        <w:top w:val="none" w:sz="0" w:space="0" w:color="auto"/>
                        <w:left w:val="none" w:sz="0" w:space="0" w:color="auto"/>
                        <w:bottom w:val="none" w:sz="0" w:space="0" w:color="auto"/>
                        <w:right w:val="none" w:sz="0" w:space="0" w:color="auto"/>
                      </w:divBdr>
                    </w:div>
                  </w:divsChild>
                </w:div>
                <w:div w:id="1228419399">
                  <w:marLeft w:val="0"/>
                  <w:marRight w:val="0"/>
                  <w:marTop w:val="0"/>
                  <w:marBottom w:val="0"/>
                  <w:divBdr>
                    <w:top w:val="none" w:sz="0" w:space="0" w:color="auto"/>
                    <w:left w:val="none" w:sz="0" w:space="0" w:color="auto"/>
                    <w:bottom w:val="none" w:sz="0" w:space="0" w:color="auto"/>
                    <w:right w:val="none" w:sz="0" w:space="0" w:color="auto"/>
                  </w:divBdr>
                  <w:divsChild>
                    <w:div w:id="1775860022">
                      <w:marLeft w:val="0"/>
                      <w:marRight w:val="0"/>
                      <w:marTop w:val="0"/>
                      <w:marBottom w:val="0"/>
                      <w:divBdr>
                        <w:top w:val="none" w:sz="0" w:space="0" w:color="auto"/>
                        <w:left w:val="none" w:sz="0" w:space="0" w:color="auto"/>
                        <w:bottom w:val="none" w:sz="0" w:space="0" w:color="auto"/>
                        <w:right w:val="none" w:sz="0" w:space="0" w:color="auto"/>
                      </w:divBdr>
                    </w:div>
                  </w:divsChild>
                </w:div>
                <w:div w:id="1247154075">
                  <w:marLeft w:val="0"/>
                  <w:marRight w:val="0"/>
                  <w:marTop w:val="0"/>
                  <w:marBottom w:val="0"/>
                  <w:divBdr>
                    <w:top w:val="none" w:sz="0" w:space="0" w:color="auto"/>
                    <w:left w:val="none" w:sz="0" w:space="0" w:color="auto"/>
                    <w:bottom w:val="none" w:sz="0" w:space="0" w:color="auto"/>
                    <w:right w:val="none" w:sz="0" w:space="0" w:color="auto"/>
                  </w:divBdr>
                  <w:divsChild>
                    <w:div w:id="720832204">
                      <w:marLeft w:val="0"/>
                      <w:marRight w:val="0"/>
                      <w:marTop w:val="0"/>
                      <w:marBottom w:val="0"/>
                      <w:divBdr>
                        <w:top w:val="none" w:sz="0" w:space="0" w:color="auto"/>
                        <w:left w:val="none" w:sz="0" w:space="0" w:color="auto"/>
                        <w:bottom w:val="none" w:sz="0" w:space="0" w:color="auto"/>
                        <w:right w:val="none" w:sz="0" w:space="0" w:color="auto"/>
                      </w:divBdr>
                    </w:div>
                    <w:div w:id="1747652640">
                      <w:marLeft w:val="0"/>
                      <w:marRight w:val="0"/>
                      <w:marTop w:val="0"/>
                      <w:marBottom w:val="0"/>
                      <w:divBdr>
                        <w:top w:val="none" w:sz="0" w:space="0" w:color="auto"/>
                        <w:left w:val="none" w:sz="0" w:space="0" w:color="auto"/>
                        <w:bottom w:val="none" w:sz="0" w:space="0" w:color="auto"/>
                        <w:right w:val="none" w:sz="0" w:space="0" w:color="auto"/>
                      </w:divBdr>
                    </w:div>
                  </w:divsChild>
                </w:div>
                <w:div w:id="1346176779">
                  <w:marLeft w:val="0"/>
                  <w:marRight w:val="0"/>
                  <w:marTop w:val="0"/>
                  <w:marBottom w:val="0"/>
                  <w:divBdr>
                    <w:top w:val="none" w:sz="0" w:space="0" w:color="auto"/>
                    <w:left w:val="none" w:sz="0" w:space="0" w:color="auto"/>
                    <w:bottom w:val="none" w:sz="0" w:space="0" w:color="auto"/>
                    <w:right w:val="none" w:sz="0" w:space="0" w:color="auto"/>
                  </w:divBdr>
                  <w:divsChild>
                    <w:div w:id="135688315">
                      <w:marLeft w:val="0"/>
                      <w:marRight w:val="0"/>
                      <w:marTop w:val="0"/>
                      <w:marBottom w:val="0"/>
                      <w:divBdr>
                        <w:top w:val="none" w:sz="0" w:space="0" w:color="auto"/>
                        <w:left w:val="none" w:sz="0" w:space="0" w:color="auto"/>
                        <w:bottom w:val="none" w:sz="0" w:space="0" w:color="auto"/>
                        <w:right w:val="none" w:sz="0" w:space="0" w:color="auto"/>
                      </w:divBdr>
                    </w:div>
                  </w:divsChild>
                </w:div>
                <w:div w:id="1386099042">
                  <w:marLeft w:val="0"/>
                  <w:marRight w:val="0"/>
                  <w:marTop w:val="0"/>
                  <w:marBottom w:val="0"/>
                  <w:divBdr>
                    <w:top w:val="none" w:sz="0" w:space="0" w:color="auto"/>
                    <w:left w:val="none" w:sz="0" w:space="0" w:color="auto"/>
                    <w:bottom w:val="none" w:sz="0" w:space="0" w:color="auto"/>
                    <w:right w:val="none" w:sz="0" w:space="0" w:color="auto"/>
                  </w:divBdr>
                  <w:divsChild>
                    <w:div w:id="1325355720">
                      <w:marLeft w:val="0"/>
                      <w:marRight w:val="0"/>
                      <w:marTop w:val="0"/>
                      <w:marBottom w:val="0"/>
                      <w:divBdr>
                        <w:top w:val="none" w:sz="0" w:space="0" w:color="auto"/>
                        <w:left w:val="none" w:sz="0" w:space="0" w:color="auto"/>
                        <w:bottom w:val="none" w:sz="0" w:space="0" w:color="auto"/>
                        <w:right w:val="none" w:sz="0" w:space="0" w:color="auto"/>
                      </w:divBdr>
                    </w:div>
                  </w:divsChild>
                </w:div>
                <w:div w:id="1472945867">
                  <w:marLeft w:val="0"/>
                  <w:marRight w:val="0"/>
                  <w:marTop w:val="0"/>
                  <w:marBottom w:val="0"/>
                  <w:divBdr>
                    <w:top w:val="none" w:sz="0" w:space="0" w:color="auto"/>
                    <w:left w:val="none" w:sz="0" w:space="0" w:color="auto"/>
                    <w:bottom w:val="none" w:sz="0" w:space="0" w:color="auto"/>
                    <w:right w:val="none" w:sz="0" w:space="0" w:color="auto"/>
                  </w:divBdr>
                  <w:divsChild>
                    <w:div w:id="603921626">
                      <w:marLeft w:val="0"/>
                      <w:marRight w:val="0"/>
                      <w:marTop w:val="0"/>
                      <w:marBottom w:val="0"/>
                      <w:divBdr>
                        <w:top w:val="none" w:sz="0" w:space="0" w:color="auto"/>
                        <w:left w:val="none" w:sz="0" w:space="0" w:color="auto"/>
                        <w:bottom w:val="none" w:sz="0" w:space="0" w:color="auto"/>
                        <w:right w:val="none" w:sz="0" w:space="0" w:color="auto"/>
                      </w:divBdr>
                    </w:div>
                  </w:divsChild>
                </w:div>
                <w:div w:id="1485394577">
                  <w:marLeft w:val="0"/>
                  <w:marRight w:val="0"/>
                  <w:marTop w:val="0"/>
                  <w:marBottom w:val="0"/>
                  <w:divBdr>
                    <w:top w:val="none" w:sz="0" w:space="0" w:color="auto"/>
                    <w:left w:val="none" w:sz="0" w:space="0" w:color="auto"/>
                    <w:bottom w:val="none" w:sz="0" w:space="0" w:color="auto"/>
                    <w:right w:val="none" w:sz="0" w:space="0" w:color="auto"/>
                  </w:divBdr>
                  <w:divsChild>
                    <w:div w:id="658310083">
                      <w:marLeft w:val="0"/>
                      <w:marRight w:val="0"/>
                      <w:marTop w:val="0"/>
                      <w:marBottom w:val="0"/>
                      <w:divBdr>
                        <w:top w:val="none" w:sz="0" w:space="0" w:color="auto"/>
                        <w:left w:val="none" w:sz="0" w:space="0" w:color="auto"/>
                        <w:bottom w:val="none" w:sz="0" w:space="0" w:color="auto"/>
                        <w:right w:val="none" w:sz="0" w:space="0" w:color="auto"/>
                      </w:divBdr>
                    </w:div>
                  </w:divsChild>
                </w:div>
                <w:div w:id="1495686877">
                  <w:marLeft w:val="0"/>
                  <w:marRight w:val="0"/>
                  <w:marTop w:val="0"/>
                  <w:marBottom w:val="0"/>
                  <w:divBdr>
                    <w:top w:val="none" w:sz="0" w:space="0" w:color="auto"/>
                    <w:left w:val="none" w:sz="0" w:space="0" w:color="auto"/>
                    <w:bottom w:val="none" w:sz="0" w:space="0" w:color="auto"/>
                    <w:right w:val="none" w:sz="0" w:space="0" w:color="auto"/>
                  </w:divBdr>
                  <w:divsChild>
                    <w:div w:id="147788136">
                      <w:marLeft w:val="0"/>
                      <w:marRight w:val="0"/>
                      <w:marTop w:val="0"/>
                      <w:marBottom w:val="0"/>
                      <w:divBdr>
                        <w:top w:val="none" w:sz="0" w:space="0" w:color="auto"/>
                        <w:left w:val="none" w:sz="0" w:space="0" w:color="auto"/>
                        <w:bottom w:val="none" w:sz="0" w:space="0" w:color="auto"/>
                        <w:right w:val="none" w:sz="0" w:space="0" w:color="auto"/>
                      </w:divBdr>
                    </w:div>
                  </w:divsChild>
                </w:div>
                <w:div w:id="1697467053">
                  <w:marLeft w:val="0"/>
                  <w:marRight w:val="0"/>
                  <w:marTop w:val="0"/>
                  <w:marBottom w:val="0"/>
                  <w:divBdr>
                    <w:top w:val="none" w:sz="0" w:space="0" w:color="auto"/>
                    <w:left w:val="none" w:sz="0" w:space="0" w:color="auto"/>
                    <w:bottom w:val="none" w:sz="0" w:space="0" w:color="auto"/>
                    <w:right w:val="none" w:sz="0" w:space="0" w:color="auto"/>
                  </w:divBdr>
                  <w:divsChild>
                    <w:div w:id="342126869">
                      <w:marLeft w:val="0"/>
                      <w:marRight w:val="0"/>
                      <w:marTop w:val="0"/>
                      <w:marBottom w:val="0"/>
                      <w:divBdr>
                        <w:top w:val="none" w:sz="0" w:space="0" w:color="auto"/>
                        <w:left w:val="none" w:sz="0" w:space="0" w:color="auto"/>
                        <w:bottom w:val="none" w:sz="0" w:space="0" w:color="auto"/>
                        <w:right w:val="none" w:sz="0" w:space="0" w:color="auto"/>
                      </w:divBdr>
                    </w:div>
                    <w:div w:id="1673339023">
                      <w:marLeft w:val="0"/>
                      <w:marRight w:val="0"/>
                      <w:marTop w:val="0"/>
                      <w:marBottom w:val="0"/>
                      <w:divBdr>
                        <w:top w:val="none" w:sz="0" w:space="0" w:color="auto"/>
                        <w:left w:val="none" w:sz="0" w:space="0" w:color="auto"/>
                        <w:bottom w:val="none" w:sz="0" w:space="0" w:color="auto"/>
                        <w:right w:val="none" w:sz="0" w:space="0" w:color="auto"/>
                      </w:divBdr>
                    </w:div>
                  </w:divsChild>
                </w:div>
                <w:div w:id="1744913207">
                  <w:marLeft w:val="0"/>
                  <w:marRight w:val="0"/>
                  <w:marTop w:val="0"/>
                  <w:marBottom w:val="0"/>
                  <w:divBdr>
                    <w:top w:val="none" w:sz="0" w:space="0" w:color="auto"/>
                    <w:left w:val="none" w:sz="0" w:space="0" w:color="auto"/>
                    <w:bottom w:val="none" w:sz="0" w:space="0" w:color="auto"/>
                    <w:right w:val="none" w:sz="0" w:space="0" w:color="auto"/>
                  </w:divBdr>
                  <w:divsChild>
                    <w:div w:id="1103264846">
                      <w:marLeft w:val="0"/>
                      <w:marRight w:val="0"/>
                      <w:marTop w:val="0"/>
                      <w:marBottom w:val="0"/>
                      <w:divBdr>
                        <w:top w:val="none" w:sz="0" w:space="0" w:color="auto"/>
                        <w:left w:val="none" w:sz="0" w:space="0" w:color="auto"/>
                        <w:bottom w:val="none" w:sz="0" w:space="0" w:color="auto"/>
                        <w:right w:val="none" w:sz="0" w:space="0" w:color="auto"/>
                      </w:divBdr>
                    </w:div>
                  </w:divsChild>
                </w:div>
                <w:div w:id="1762292206">
                  <w:marLeft w:val="0"/>
                  <w:marRight w:val="0"/>
                  <w:marTop w:val="0"/>
                  <w:marBottom w:val="0"/>
                  <w:divBdr>
                    <w:top w:val="none" w:sz="0" w:space="0" w:color="auto"/>
                    <w:left w:val="none" w:sz="0" w:space="0" w:color="auto"/>
                    <w:bottom w:val="none" w:sz="0" w:space="0" w:color="auto"/>
                    <w:right w:val="none" w:sz="0" w:space="0" w:color="auto"/>
                  </w:divBdr>
                  <w:divsChild>
                    <w:div w:id="700783360">
                      <w:marLeft w:val="0"/>
                      <w:marRight w:val="0"/>
                      <w:marTop w:val="0"/>
                      <w:marBottom w:val="0"/>
                      <w:divBdr>
                        <w:top w:val="none" w:sz="0" w:space="0" w:color="auto"/>
                        <w:left w:val="none" w:sz="0" w:space="0" w:color="auto"/>
                        <w:bottom w:val="none" w:sz="0" w:space="0" w:color="auto"/>
                        <w:right w:val="none" w:sz="0" w:space="0" w:color="auto"/>
                      </w:divBdr>
                    </w:div>
                  </w:divsChild>
                </w:div>
                <w:div w:id="1773553994">
                  <w:marLeft w:val="0"/>
                  <w:marRight w:val="0"/>
                  <w:marTop w:val="0"/>
                  <w:marBottom w:val="0"/>
                  <w:divBdr>
                    <w:top w:val="none" w:sz="0" w:space="0" w:color="auto"/>
                    <w:left w:val="none" w:sz="0" w:space="0" w:color="auto"/>
                    <w:bottom w:val="none" w:sz="0" w:space="0" w:color="auto"/>
                    <w:right w:val="none" w:sz="0" w:space="0" w:color="auto"/>
                  </w:divBdr>
                  <w:divsChild>
                    <w:div w:id="713309301">
                      <w:marLeft w:val="0"/>
                      <w:marRight w:val="0"/>
                      <w:marTop w:val="0"/>
                      <w:marBottom w:val="0"/>
                      <w:divBdr>
                        <w:top w:val="none" w:sz="0" w:space="0" w:color="auto"/>
                        <w:left w:val="none" w:sz="0" w:space="0" w:color="auto"/>
                        <w:bottom w:val="none" w:sz="0" w:space="0" w:color="auto"/>
                        <w:right w:val="none" w:sz="0" w:space="0" w:color="auto"/>
                      </w:divBdr>
                    </w:div>
                  </w:divsChild>
                </w:div>
                <w:div w:id="1782452745">
                  <w:marLeft w:val="0"/>
                  <w:marRight w:val="0"/>
                  <w:marTop w:val="0"/>
                  <w:marBottom w:val="0"/>
                  <w:divBdr>
                    <w:top w:val="none" w:sz="0" w:space="0" w:color="auto"/>
                    <w:left w:val="none" w:sz="0" w:space="0" w:color="auto"/>
                    <w:bottom w:val="none" w:sz="0" w:space="0" w:color="auto"/>
                    <w:right w:val="none" w:sz="0" w:space="0" w:color="auto"/>
                  </w:divBdr>
                  <w:divsChild>
                    <w:div w:id="758869496">
                      <w:marLeft w:val="0"/>
                      <w:marRight w:val="0"/>
                      <w:marTop w:val="0"/>
                      <w:marBottom w:val="0"/>
                      <w:divBdr>
                        <w:top w:val="none" w:sz="0" w:space="0" w:color="auto"/>
                        <w:left w:val="none" w:sz="0" w:space="0" w:color="auto"/>
                        <w:bottom w:val="none" w:sz="0" w:space="0" w:color="auto"/>
                        <w:right w:val="none" w:sz="0" w:space="0" w:color="auto"/>
                      </w:divBdr>
                    </w:div>
                  </w:divsChild>
                </w:div>
                <w:div w:id="1811747705">
                  <w:marLeft w:val="0"/>
                  <w:marRight w:val="0"/>
                  <w:marTop w:val="0"/>
                  <w:marBottom w:val="0"/>
                  <w:divBdr>
                    <w:top w:val="none" w:sz="0" w:space="0" w:color="auto"/>
                    <w:left w:val="none" w:sz="0" w:space="0" w:color="auto"/>
                    <w:bottom w:val="none" w:sz="0" w:space="0" w:color="auto"/>
                    <w:right w:val="none" w:sz="0" w:space="0" w:color="auto"/>
                  </w:divBdr>
                  <w:divsChild>
                    <w:div w:id="1272930337">
                      <w:marLeft w:val="0"/>
                      <w:marRight w:val="0"/>
                      <w:marTop w:val="0"/>
                      <w:marBottom w:val="0"/>
                      <w:divBdr>
                        <w:top w:val="none" w:sz="0" w:space="0" w:color="auto"/>
                        <w:left w:val="none" w:sz="0" w:space="0" w:color="auto"/>
                        <w:bottom w:val="none" w:sz="0" w:space="0" w:color="auto"/>
                        <w:right w:val="none" w:sz="0" w:space="0" w:color="auto"/>
                      </w:divBdr>
                    </w:div>
                  </w:divsChild>
                </w:div>
                <w:div w:id="1844662752">
                  <w:marLeft w:val="0"/>
                  <w:marRight w:val="0"/>
                  <w:marTop w:val="0"/>
                  <w:marBottom w:val="0"/>
                  <w:divBdr>
                    <w:top w:val="none" w:sz="0" w:space="0" w:color="auto"/>
                    <w:left w:val="none" w:sz="0" w:space="0" w:color="auto"/>
                    <w:bottom w:val="none" w:sz="0" w:space="0" w:color="auto"/>
                    <w:right w:val="none" w:sz="0" w:space="0" w:color="auto"/>
                  </w:divBdr>
                  <w:divsChild>
                    <w:div w:id="762383977">
                      <w:marLeft w:val="0"/>
                      <w:marRight w:val="0"/>
                      <w:marTop w:val="0"/>
                      <w:marBottom w:val="0"/>
                      <w:divBdr>
                        <w:top w:val="none" w:sz="0" w:space="0" w:color="auto"/>
                        <w:left w:val="none" w:sz="0" w:space="0" w:color="auto"/>
                        <w:bottom w:val="none" w:sz="0" w:space="0" w:color="auto"/>
                        <w:right w:val="none" w:sz="0" w:space="0" w:color="auto"/>
                      </w:divBdr>
                    </w:div>
                  </w:divsChild>
                </w:div>
                <w:div w:id="1854562788">
                  <w:marLeft w:val="0"/>
                  <w:marRight w:val="0"/>
                  <w:marTop w:val="0"/>
                  <w:marBottom w:val="0"/>
                  <w:divBdr>
                    <w:top w:val="none" w:sz="0" w:space="0" w:color="auto"/>
                    <w:left w:val="none" w:sz="0" w:space="0" w:color="auto"/>
                    <w:bottom w:val="none" w:sz="0" w:space="0" w:color="auto"/>
                    <w:right w:val="none" w:sz="0" w:space="0" w:color="auto"/>
                  </w:divBdr>
                  <w:divsChild>
                    <w:div w:id="628587071">
                      <w:marLeft w:val="0"/>
                      <w:marRight w:val="0"/>
                      <w:marTop w:val="0"/>
                      <w:marBottom w:val="0"/>
                      <w:divBdr>
                        <w:top w:val="none" w:sz="0" w:space="0" w:color="auto"/>
                        <w:left w:val="none" w:sz="0" w:space="0" w:color="auto"/>
                        <w:bottom w:val="none" w:sz="0" w:space="0" w:color="auto"/>
                        <w:right w:val="none" w:sz="0" w:space="0" w:color="auto"/>
                      </w:divBdr>
                    </w:div>
                  </w:divsChild>
                </w:div>
                <w:div w:id="1943101324">
                  <w:marLeft w:val="0"/>
                  <w:marRight w:val="0"/>
                  <w:marTop w:val="0"/>
                  <w:marBottom w:val="0"/>
                  <w:divBdr>
                    <w:top w:val="none" w:sz="0" w:space="0" w:color="auto"/>
                    <w:left w:val="none" w:sz="0" w:space="0" w:color="auto"/>
                    <w:bottom w:val="none" w:sz="0" w:space="0" w:color="auto"/>
                    <w:right w:val="none" w:sz="0" w:space="0" w:color="auto"/>
                  </w:divBdr>
                  <w:divsChild>
                    <w:div w:id="1364474844">
                      <w:marLeft w:val="0"/>
                      <w:marRight w:val="0"/>
                      <w:marTop w:val="0"/>
                      <w:marBottom w:val="0"/>
                      <w:divBdr>
                        <w:top w:val="none" w:sz="0" w:space="0" w:color="auto"/>
                        <w:left w:val="none" w:sz="0" w:space="0" w:color="auto"/>
                        <w:bottom w:val="none" w:sz="0" w:space="0" w:color="auto"/>
                        <w:right w:val="none" w:sz="0" w:space="0" w:color="auto"/>
                      </w:divBdr>
                    </w:div>
                  </w:divsChild>
                </w:div>
                <w:div w:id="1963683440">
                  <w:marLeft w:val="0"/>
                  <w:marRight w:val="0"/>
                  <w:marTop w:val="0"/>
                  <w:marBottom w:val="0"/>
                  <w:divBdr>
                    <w:top w:val="none" w:sz="0" w:space="0" w:color="auto"/>
                    <w:left w:val="none" w:sz="0" w:space="0" w:color="auto"/>
                    <w:bottom w:val="none" w:sz="0" w:space="0" w:color="auto"/>
                    <w:right w:val="none" w:sz="0" w:space="0" w:color="auto"/>
                  </w:divBdr>
                  <w:divsChild>
                    <w:div w:id="597717026">
                      <w:marLeft w:val="0"/>
                      <w:marRight w:val="0"/>
                      <w:marTop w:val="0"/>
                      <w:marBottom w:val="0"/>
                      <w:divBdr>
                        <w:top w:val="none" w:sz="0" w:space="0" w:color="auto"/>
                        <w:left w:val="none" w:sz="0" w:space="0" w:color="auto"/>
                        <w:bottom w:val="none" w:sz="0" w:space="0" w:color="auto"/>
                        <w:right w:val="none" w:sz="0" w:space="0" w:color="auto"/>
                      </w:divBdr>
                    </w:div>
                  </w:divsChild>
                </w:div>
                <w:div w:id="2035761417">
                  <w:marLeft w:val="0"/>
                  <w:marRight w:val="0"/>
                  <w:marTop w:val="0"/>
                  <w:marBottom w:val="0"/>
                  <w:divBdr>
                    <w:top w:val="none" w:sz="0" w:space="0" w:color="auto"/>
                    <w:left w:val="none" w:sz="0" w:space="0" w:color="auto"/>
                    <w:bottom w:val="none" w:sz="0" w:space="0" w:color="auto"/>
                    <w:right w:val="none" w:sz="0" w:space="0" w:color="auto"/>
                  </w:divBdr>
                  <w:divsChild>
                    <w:div w:id="110394176">
                      <w:marLeft w:val="0"/>
                      <w:marRight w:val="0"/>
                      <w:marTop w:val="0"/>
                      <w:marBottom w:val="0"/>
                      <w:divBdr>
                        <w:top w:val="none" w:sz="0" w:space="0" w:color="auto"/>
                        <w:left w:val="none" w:sz="0" w:space="0" w:color="auto"/>
                        <w:bottom w:val="none" w:sz="0" w:space="0" w:color="auto"/>
                        <w:right w:val="none" w:sz="0" w:space="0" w:color="auto"/>
                      </w:divBdr>
                    </w:div>
                  </w:divsChild>
                </w:div>
                <w:div w:id="2052803341">
                  <w:marLeft w:val="0"/>
                  <w:marRight w:val="0"/>
                  <w:marTop w:val="0"/>
                  <w:marBottom w:val="0"/>
                  <w:divBdr>
                    <w:top w:val="none" w:sz="0" w:space="0" w:color="auto"/>
                    <w:left w:val="none" w:sz="0" w:space="0" w:color="auto"/>
                    <w:bottom w:val="none" w:sz="0" w:space="0" w:color="auto"/>
                    <w:right w:val="none" w:sz="0" w:space="0" w:color="auto"/>
                  </w:divBdr>
                  <w:divsChild>
                    <w:div w:id="1008336">
                      <w:marLeft w:val="0"/>
                      <w:marRight w:val="0"/>
                      <w:marTop w:val="0"/>
                      <w:marBottom w:val="0"/>
                      <w:divBdr>
                        <w:top w:val="none" w:sz="0" w:space="0" w:color="auto"/>
                        <w:left w:val="none" w:sz="0" w:space="0" w:color="auto"/>
                        <w:bottom w:val="none" w:sz="0" w:space="0" w:color="auto"/>
                        <w:right w:val="none" w:sz="0" w:space="0" w:color="auto"/>
                      </w:divBdr>
                    </w:div>
                  </w:divsChild>
                </w:div>
                <w:div w:id="2097440201">
                  <w:marLeft w:val="0"/>
                  <w:marRight w:val="0"/>
                  <w:marTop w:val="0"/>
                  <w:marBottom w:val="0"/>
                  <w:divBdr>
                    <w:top w:val="none" w:sz="0" w:space="0" w:color="auto"/>
                    <w:left w:val="none" w:sz="0" w:space="0" w:color="auto"/>
                    <w:bottom w:val="none" w:sz="0" w:space="0" w:color="auto"/>
                    <w:right w:val="none" w:sz="0" w:space="0" w:color="auto"/>
                  </w:divBdr>
                  <w:divsChild>
                    <w:div w:id="15599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97020">
          <w:marLeft w:val="0"/>
          <w:marRight w:val="0"/>
          <w:marTop w:val="0"/>
          <w:marBottom w:val="0"/>
          <w:divBdr>
            <w:top w:val="none" w:sz="0" w:space="0" w:color="auto"/>
            <w:left w:val="none" w:sz="0" w:space="0" w:color="auto"/>
            <w:bottom w:val="none" w:sz="0" w:space="0" w:color="auto"/>
            <w:right w:val="none" w:sz="0" w:space="0" w:color="auto"/>
          </w:divBdr>
          <w:divsChild>
            <w:div w:id="87771792">
              <w:marLeft w:val="0"/>
              <w:marRight w:val="0"/>
              <w:marTop w:val="0"/>
              <w:marBottom w:val="0"/>
              <w:divBdr>
                <w:top w:val="none" w:sz="0" w:space="0" w:color="auto"/>
                <w:left w:val="none" w:sz="0" w:space="0" w:color="auto"/>
                <w:bottom w:val="none" w:sz="0" w:space="0" w:color="auto"/>
                <w:right w:val="none" w:sz="0" w:space="0" w:color="auto"/>
              </w:divBdr>
            </w:div>
            <w:div w:id="257301082">
              <w:marLeft w:val="0"/>
              <w:marRight w:val="0"/>
              <w:marTop w:val="0"/>
              <w:marBottom w:val="0"/>
              <w:divBdr>
                <w:top w:val="none" w:sz="0" w:space="0" w:color="auto"/>
                <w:left w:val="none" w:sz="0" w:space="0" w:color="auto"/>
                <w:bottom w:val="none" w:sz="0" w:space="0" w:color="auto"/>
                <w:right w:val="none" w:sz="0" w:space="0" w:color="auto"/>
              </w:divBdr>
            </w:div>
            <w:div w:id="395325202">
              <w:marLeft w:val="0"/>
              <w:marRight w:val="0"/>
              <w:marTop w:val="0"/>
              <w:marBottom w:val="0"/>
              <w:divBdr>
                <w:top w:val="none" w:sz="0" w:space="0" w:color="auto"/>
                <w:left w:val="none" w:sz="0" w:space="0" w:color="auto"/>
                <w:bottom w:val="none" w:sz="0" w:space="0" w:color="auto"/>
                <w:right w:val="none" w:sz="0" w:space="0" w:color="auto"/>
              </w:divBdr>
            </w:div>
            <w:div w:id="638263918">
              <w:marLeft w:val="0"/>
              <w:marRight w:val="0"/>
              <w:marTop w:val="0"/>
              <w:marBottom w:val="0"/>
              <w:divBdr>
                <w:top w:val="none" w:sz="0" w:space="0" w:color="auto"/>
                <w:left w:val="none" w:sz="0" w:space="0" w:color="auto"/>
                <w:bottom w:val="none" w:sz="0" w:space="0" w:color="auto"/>
                <w:right w:val="none" w:sz="0" w:space="0" w:color="auto"/>
              </w:divBdr>
            </w:div>
            <w:div w:id="1292327869">
              <w:marLeft w:val="0"/>
              <w:marRight w:val="0"/>
              <w:marTop w:val="0"/>
              <w:marBottom w:val="0"/>
              <w:divBdr>
                <w:top w:val="none" w:sz="0" w:space="0" w:color="auto"/>
                <w:left w:val="none" w:sz="0" w:space="0" w:color="auto"/>
                <w:bottom w:val="none" w:sz="0" w:space="0" w:color="auto"/>
                <w:right w:val="none" w:sz="0" w:space="0" w:color="auto"/>
              </w:divBdr>
            </w:div>
            <w:div w:id="1580140024">
              <w:marLeft w:val="0"/>
              <w:marRight w:val="0"/>
              <w:marTop w:val="0"/>
              <w:marBottom w:val="0"/>
              <w:divBdr>
                <w:top w:val="none" w:sz="0" w:space="0" w:color="auto"/>
                <w:left w:val="none" w:sz="0" w:space="0" w:color="auto"/>
                <w:bottom w:val="none" w:sz="0" w:space="0" w:color="auto"/>
                <w:right w:val="none" w:sz="0" w:space="0" w:color="auto"/>
              </w:divBdr>
            </w:div>
            <w:div w:id="1814329416">
              <w:marLeft w:val="0"/>
              <w:marRight w:val="0"/>
              <w:marTop w:val="0"/>
              <w:marBottom w:val="0"/>
              <w:divBdr>
                <w:top w:val="none" w:sz="0" w:space="0" w:color="auto"/>
                <w:left w:val="none" w:sz="0" w:space="0" w:color="auto"/>
                <w:bottom w:val="none" w:sz="0" w:space="0" w:color="auto"/>
                <w:right w:val="none" w:sz="0" w:space="0" w:color="auto"/>
              </w:divBdr>
            </w:div>
            <w:div w:id="1938783499">
              <w:marLeft w:val="0"/>
              <w:marRight w:val="0"/>
              <w:marTop w:val="0"/>
              <w:marBottom w:val="0"/>
              <w:divBdr>
                <w:top w:val="none" w:sz="0" w:space="0" w:color="auto"/>
                <w:left w:val="none" w:sz="0" w:space="0" w:color="auto"/>
                <w:bottom w:val="none" w:sz="0" w:space="0" w:color="auto"/>
                <w:right w:val="none" w:sz="0" w:space="0" w:color="auto"/>
              </w:divBdr>
            </w:div>
            <w:div w:id="1980105417">
              <w:marLeft w:val="0"/>
              <w:marRight w:val="0"/>
              <w:marTop w:val="0"/>
              <w:marBottom w:val="0"/>
              <w:divBdr>
                <w:top w:val="none" w:sz="0" w:space="0" w:color="auto"/>
                <w:left w:val="none" w:sz="0" w:space="0" w:color="auto"/>
                <w:bottom w:val="none" w:sz="0" w:space="0" w:color="auto"/>
                <w:right w:val="none" w:sz="0" w:space="0" w:color="auto"/>
              </w:divBdr>
            </w:div>
            <w:div w:id="1990984478">
              <w:marLeft w:val="0"/>
              <w:marRight w:val="0"/>
              <w:marTop w:val="0"/>
              <w:marBottom w:val="0"/>
              <w:divBdr>
                <w:top w:val="none" w:sz="0" w:space="0" w:color="auto"/>
                <w:left w:val="none" w:sz="0" w:space="0" w:color="auto"/>
                <w:bottom w:val="none" w:sz="0" w:space="0" w:color="auto"/>
                <w:right w:val="none" w:sz="0" w:space="0" w:color="auto"/>
              </w:divBdr>
            </w:div>
          </w:divsChild>
        </w:div>
        <w:div w:id="1673338608">
          <w:marLeft w:val="0"/>
          <w:marRight w:val="0"/>
          <w:marTop w:val="0"/>
          <w:marBottom w:val="0"/>
          <w:divBdr>
            <w:top w:val="none" w:sz="0" w:space="0" w:color="auto"/>
            <w:left w:val="none" w:sz="0" w:space="0" w:color="auto"/>
            <w:bottom w:val="none" w:sz="0" w:space="0" w:color="auto"/>
            <w:right w:val="none" w:sz="0" w:space="0" w:color="auto"/>
          </w:divBdr>
          <w:divsChild>
            <w:div w:id="359479376">
              <w:marLeft w:val="-75"/>
              <w:marRight w:val="0"/>
              <w:marTop w:val="30"/>
              <w:marBottom w:val="30"/>
              <w:divBdr>
                <w:top w:val="none" w:sz="0" w:space="0" w:color="auto"/>
                <w:left w:val="none" w:sz="0" w:space="0" w:color="auto"/>
                <w:bottom w:val="none" w:sz="0" w:space="0" w:color="auto"/>
                <w:right w:val="none" w:sz="0" w:space="0" w:color="auto"/>
              </w:divBdr>
              <w:divsChild>
                <w:div w:id="50464187">
                  <w:marLeft w:val="0"/>
                  <w:marRight w:val="0"/>
                  <w:marTop w:val="0"/>
                  <w:marBottom w:val="0"/>
                  <w:divBdr>
                    <w:top w:val="none" w:sz="0" w:space="0" w:color="auto"/>
                    <w:left w:val="none" w:sz="0" w:space="0" w:color="auto"/>
                    <w:bottom w:val="none" w:sz="0" w:space="0" w:color="auto"/>
                    <w:right w:val="none" w:sz="0" w:space="0" w:color="auto"/>
                  </w:divBdr>
                  <w:divsChild>
                    <w:div w:id="662658235">
                      <w:marLeft w:val="0"/>
                      <w:marRight w:val="0"/>
                      <w:marTop w:val="0"/>
                      <w:marBottom w:val="0"/>
                      <w:divBdr>
                        <w:top w:val="none" w:sz="0" w:space="0" w:color="auto"/>
                        <w:left w:val="none" w:sz="0" w:space="0" w:color="auto"/>
                        <w:bottom w:val="none" w:sz="0" w:space="0" w:color="auto"/>
                        <w:right w:val="none" w:sz="0" w:space="0" w:color="auto"/>
                      </w:divBdr>
                    </w:div>
                  </w:divsChild>
                </w:div>
                <w:div w:id="249511949">
                  <w:marLeft w:val="0"/>
                  <w:marRight w:val="0"/>
                  <w:marTop w:val="0"/>
                  <w:marBottom w:val="0"/>
                  <w:divBdr>
                    <w:top w:val="none" w:sz="0" w:space="0" w:color="auto"/>
                    <w:left w:val="none" w:sz="0" w:space="0" w:color="auto"/>
                    <w:bottom w:val="none" w:sz="0" w:space="0" w:color="auto"/>
                    <w:right w:val="none" w:sz="0" w:space="0" w:color="auto"/>
                  </w:divBdr>
                  <w:divsChild>
                    <w:div w:id="1489205337">
                      <w:marLeft w:val="0"/>
                      <w:marRight w:val="0"/>
                      <w:marTop w:val="0"/>
                      <w:marBottom w:val="0"/>
                      <w:divBdr>
                        <w:top w:val="none" w:sz="0" w:space="0" w:color="auto"/>
                        <w:left w:val="none" w:sz="0" w:space="0" w:color="auto"/>
                        <w:bottom w:val="none" w:sz="0" w:space="0" w:color="auto"/>
                        <w:right w:val="none" w:sz="0" w:space="0" w:color="auto"/>
                      </w:divBdr>
                    </w:div>
                  </w:divsChild>
                </w:div>
                <w:div w:id="692652776">
                  <w:marLeft w:val="0"/>
                  <w:marRight w:val="0"/>
                  <w:marTop w:val="0"/>
                  <w:marBottom w:val="0"/>
                  <w:divBdr>
                    <w:top w:val="none" w:sz="0" w:space="0" w:color="auto"/>
                    <w:left w:val="none" w:sz="0" w:space="0" w:color="auto"/>
                    <w:bottom w:val="none" w:sz="0" w:space="0" w:color="auto"/>
                    <w:right w:val="none" w:sz="0" w:space="0" w:color="auto"/>
                  </w:divBdr>
                  <w:divsChild>
                    <w:div w:id="511920805">
                      <w:marLeft w:val="0"/>
                      <w:marRight w:val="0"/>
                      <w:marTop w:val="0"/>
                      <w:marBottom w:val="0"/>
                      <w:divBdr>
                        <w:top w:val="none" w:sz="0" w:space="0" w:color="auto"/>
                        <w:left w:val="none" w:sz="0" w:space="0" w:color="auto"/>
                        <w:bottom w:val="none" w:sz="0" w:space="0" w:color="auto"/>
                        <w:right w:val="none" w:sz="0" w:space="0" w:color="auto"/>
                      </w:divBdr>
                    </w:div>
                  </w:divsChild>
                </w:div>
                <w:div w:id="697465590">
                  <w:marLeft w:val="0"/>
                  <w:marRight w:val="0"/>
                  <w:marTop w:val="0"/>
                  <w:marBottom w:val="0"/>
                  <w:divBdr>
                    <w:top w:val="none" w:sz="0" w:space="0" w:color="auto"/>
                    <w:left w:val="none" w:sz="0" w:space="0" w:color="auto"/>
                    <w:bottom w:val="none" w:sz="0" w:space="0" w:color="auto"/>
                    <w:right w:val="none" w:sz="0" w:space="0" w:color="auto"/>
                  </w:divBdr>
                  <w:divsChild>
                    <w:div w:id="925379731">
                      <w:marLeft w:val="0"/>
                      <w:marRight w:val="0"/>
                      <w:marTop w:val="0"/>
                      <w:marBottom w:val="0"/>
                      <w:divBdr>
                        <w:top w:val="none" w:sz="0" w:space="0" w:color="auto"/>
                        <w:left w:val="none" w:sz="0" w:space="0" w:color="auto"/>
                        <w:bottom w:val="none" w:sz="0" w:space="0" w:color="auto"/>
                        <w:right w:val="none" w:sz="0" w:space="0" w:color="auto"/>
                      </w:divBdr>
                    </w:div>
                  </w:divsChild>
                </w:div>
                <w:div w:id="715738904">
                  <w:marLeft w:val="0"/>
                  <w:marRight w:val="0"/>
                  <w:marTop w:val="0"/>
                  <w:marBottom w:val="0"/>
                  <w:divBdr>
                    <w:top w:val="none" w:sz="0" w:space="0" w:color="auto"/>
                    <w:left w:val="none" w:sz="0" w:space="0" w:color="auto"/>
                    <w:bottom w:val="none" w:sz="0" w:space="0" w:color="auto"/>
                    <w:right w:val="none" w:sz="0" w:space="0" w:color="auto"/>
                  </w:divBdr>
                  <w:divsChild>
                    <w:div w:id="1595164798">
                      <w:marLeft w:val="0"/>
                      <w:marRight w:val="0"/>
                      <w:marTop w:val="0"/>
                      <w:marBottom w:val="0"/>
                      <w:divBdr>
                        <w:top w:val="none" w:sz="0" w:space="0" w:color="auto"/>
                        <w:left w:val="none" w:sz="0" w:space="0" w:color="auto"/>
                        <w:bottom w:val="none" w:sz="0" w:space="0" w:color="auto"/>
                        <w:right w:val="none" w:sz="0" w:space="0" w:color="auto"/>
                      </w:divBdr>
                    </w:div>
                  </w:divsChild>
                </w:div>
                <w:div w:id="1133401669">
                  <w:marLeft w:val="0"/>
                  <w:marRight w:val="0"/>
                  <w:marTop w:val="0"/>
                  <w:marBottom w:val="0"/>
                  <w:divBdr>
                    <w:top w:val="none" w:sz="0" w:space="0" w:color="auto"/>
                    <w:left w:val="none" w:sz="0" w:space="0" w:color="auto"/>
                    <w:bottom w:val="none" w:sz="0" w:space="0" w:color="auto"/>
                    <w:right w:val="none" w:sz="0" w:space="0" w:color="auto"/>
                  </w:divBdr>
                  <w:divsChild>
                    <w:div w:id="550115331">
                      <w:marLeft w:val="0"/>
                      <w:marRight w:val="0"/>
                      <w:marTop w:val="0"/>
                      <w:marBottom w:val="0"/>
                      <w:divBdr>
                        <w:top w:val="none" w:sz="0" w:space="0" w:color="auto"/>
                        <w:left w:val="none" w:sz="0" w:space="0" w:color="auto"/>
                        <w:bottom w:val="none" w:sz="0" w:space="0" w:color="auto"/>
                        <w:right w:val="none" w:sz="0" w:space="0" w:color="auto"/>
                      </w:divBdr>
                    </w:div>
                  </w:divsChild>
                </w:div>
                <w:div w:id="1147549773">
                  <w:marLeft w:val="0"/>
                  <w:marRight w:val="0"/>
                  <w:marTop w:val="0"/>
                  <w:marBottom w:val="0"/>
                  <w:divBdr>
                    <w:top w:val="none" w:sz="0" w:space="0" w:color="auto"/>
                    <w:left w:val="none" w:sz="0" w:space="0" w:color="auto"/>
                    <w:bottom w:val="none" w:sz="0" w:space="0" w:color="auto"/>
                    <w:right w:val="none" w:sz="0" w:space="0" w:color="auto"/>
                  </w:divBdr>
                  <w:divsChild>
                    <w:div w:id="462961483">
                      <w:marLeft w:val="0"/>
                      <w:marRight w:val="0"/>
                      <w:marTop w:val="0"/>
                      <w:marBottom w:val="0"/>
                      <w:divBdr>
                        <w:top w:val="none" w:sz="0" w:space="0" w:color="auto"/>
                        <w:left w:val="none" w:sz="0" w:space="0" w:color="auto"/>
                        <w:bottom w:val="none" w:sz="0" w:space="0" w:color="auto"/>
                        <w:right w:val="none" w:sz="0" w:space="0" w:color="auto"/>
                      </w:divBdr>
                    </w:div>
                  </w:divsChild>
                </w:div>
                <w:div w:id="1688562706">
                  <w:marLeft w:val="0"/>
                  <w:marRight w:val="0"/>
                  <w:marTop w:val="0"/>
                  <w:marBottom w:val="0"/>
                  <w:divBdr>
                    <w:top w:val="none" w:sz="0" w:space="0" w:color="auto"/>
                    <w:left w:val="none" w:sz="0" w:space="0" w:color="auto"/>
                    <w:bottom w:val="none" w:sz="0" w:space="0" w:color="auto"/>
                    <w:right w:val="none" w:sz="0" w:space="0" w:color="auto"/>
                  </w:divBdr>
                  <w:divsChild>
                    <w:div w:id="1446733237">
                      <w:marLeft w:val="0"/>
                      <w:marRight w:val="0"/>
                      <w:marTop w:val="0"/>
                      <w:marBottom w:val="0"/>
                      <w:divBdr>
                        <w:top w:val="none" w:sz="0" w:space="0" w:color="auto"/>
                        <w:left w:val="none" w:sz="0" w:space="0" w:color="auto"/>
                        <w:bottom w:val="none" w:sz="0" w:space="0" w:color="auto"/>
                        <w:right w:val="none" w:sz="0" w:space="0" w:color="auto"/>
                      </w:divBdr>
                    </w:div>
                  </w:divsChild>
                </w:div>
                <w:div w:id="2015958132">
                  <w:marLeft w:val="0"/>
                  <w:marRight w:val="0"/>
                  <w:marTop w:val="0"/>
                  <w:marBottom w:val="0"/>
                  <w:divBdr>
                    <w:top w:val="none" w:sz="0" w:space="0" w:color="auto"/>
                    <w:left w:val="none" w:sz="0" w:space="0" w:color="auto"/>
                    <w:bottom w:val="none" w:sz="0" w:space="0" w:color="auto"/>
                    <w:right w:val="none" w:sz="0" w:space="0" w:color="auto"/>
                  </w:divBdr>
                  <w:divsChild>
                    <w:div w:id="176148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73794">
          <w:marLeft w:val="0"/>
          <w:marRight w:val="0"/>
          <w:marTop w:val="0"/>
          <w:marBottom w:val="0"/>
          <w:divBdr>
            <w:top w:val="none" w:sz="0" w:space="0" w:color="auto"/>
            <w:left w:val="none" w:sz="0" w:space="0" w:color="auto"/>
            <w:bottom w:val="none" w:sz="0" w:space="0" w:color="auto"/>
            <w:right w:val="none" w:sz="0" w:space="0" w:color="auto"/>
          </w:divBdr>
          <w:divsChild>
            <w:div w:id="1062290993">
              <w:marLeft w:val="-75"/>
              <w:marRight w:val="0"/>
              <w:marTop w:val="30"/>
              <w:marBottom w:val="30"/>
              <w:divBdr>
                <w:top w:val="none" w:sz="0" w:space="0" w:color="auto"/>
                <w:left w:val="none" w:sz="0" w:space="0" w:color="auto"/>
                <w:bottom w:val="none" w:sz="0" w:space="0" w:color="auto"/>
                <w:right w:val="none" w:sz="0" w:space="0" w:color="auto"/>
              </w:divBdr>
              <w:divsChild>
                <w:div w:id="115568414">
                  <w:marLeft w:val="0"/>
                  <w:marRight w:val="0"/>
                  <w:marTop w:val="0"/>
                  <w:marBottom w:val="0"/>
                  <w:divBdr>
                    <w:top w:val="none" w:sz="0" w:space="0" w:color="auto"/>
                    <w:left w:val="none" w:sz="0" w:space="0" w:color="auto"/>
                    <w:bottom w:val="none" w:sz="0" w:space="0" w:color="auto"/>
                    <w:right w:val="none" w:sz="0" w:space="0" w:color="auto"/>
                  </w:divBdr>
                  <w:divsChild>
                    <w:div w:id="1229849847">
                      <w:marLeft w:val="0"/>
                      <w:marRight w:val="0"/>
                      <w:marTop w:val="0"/>
                      <w:marBottom w:val="0"/>
                      <w:divBdr>
                        <w:top w:val="none" w:sz="0" w:space="0" w:color="auto"/>
                        <w:left w:val="none" w:sz="0" w:space="0" w:color="auto"/>
                        <w:bottom w:val="none" w:sz="0" w:space="0" w:color="auto"/>
                        <w:right w:val="none" w:sz="0" w:space="0" w:color="auto"/>
                      </w:divBdr>
                    </w:div>
                  </w:divsChild>
                </w:div>
                <w:div w:id="234901589">
                  <w:marLeft w:val="0"/>
                  <w:marRight w:val="0"/>
                  <w:marTop w:val="0"/>
                  <w:marBottom w:val="0"/>
                  <w:divBdr>
                    <w:top w:val="none" w:sz="0" w:space="0" w:color="auto"/>
                    <w:left w:val="none" w:sz="0" w:space="0" w:color="auto"/>
                    <w:bottom w:val="none" w:sz="0" w:space="0" w:color="auto"/>
                    <w:right w:val="none" w:sz="0" w:space="0" w:color="auto"/>
                  </w:divBdr>
                  <w:divsChild>
                    <w:div w:id="689262247">
                      <w:marLeft w:val="0"/>
                      <w:marRight w:val="0"/>
                      <w:marTop w:val="0"/>
                      <w:marBottom w:val="0"/>
                      <w:divBdr>
                        <w:top w:val="none" w:sz="0" w:space="0" w:color="auto"/>
                        <w:left w:val="none" w:sz="0" w:space="0" w:color="auto"/>
                        <w:bottom w:val="none" w:sz="0" w:space="0" w:color="auto"/>
                        <w:right w:val="none" w:sz="0" w:space="0" w:color="auto"/>
                      </w:divBdr>
                    </w:div>
                  </w:divsChild>
                </w:div>
                <w:div w:id="330836263">
                  <w:marLeft w:val="0"/>
                  <w:marRight w:val="0"/>
                  <w:marTop w:val="0"/>
                  <w:marBottom w:val="0"/>
                  <w:divBdr>
                    <w:top w:val="none" w:sz="0" w:space="0" w:color="auto"/>
                    <w:left w:val="none" w:sz="0" w:space="0" w:color="auto"/>
                    <w:bottom w:val="none" w:sz="0" w:space="0" w:color="auto"/>
                    <w:right w:val="none" w:sz="0" w:space="0" w:color="auto"/>
                  </w:divBdr>
                  <w:divsChild>
                    <w:div w:id="1028915607">
                      <w:marLeft w:val="0"/>
                      <w:marRight w:val="0"/>
                      <w:marTop w:val="0"/>
                      <w:marBottom w:val="0"/>
                      <w:divBdr>
                        <w:top w:val="none" w:sz="0" w:space="0" w:color="auto"/>
                        <w:left w:val="none" w:sz="0" w:space="0" w:color="auto"/>
                        <w:bottom w:val="none" w:sz="0" w:space="0" w:color="auto"/>
                        <w:right w:val="none" w:sz="0" w:space="0" w:color="auto"/>
                      </w:divBdr>
                    </w:div>
                  </w:divsChild>
                </w:div>
                <w:div w:id="459568395">
                  <w:marLeft w:val="0"/>
                  <w:marRight w:val="0"/>
                  <w:marTop w:val="0"/>
                  <w:marBottom w:val="0"/>
                  <w:divBdr>
                    <w:top w:val="none" w:sz="0" w:space="0" w:color="auto"/>
                    <w:left w:val="none" w:sz="0" w:space="0" w:color="auto"/>
                    <w:bottom w:val="none" w:sz="0" w:space="0" w:color="auto"/>
                    <w:right w:val="none" w:sz="0" w:space="0" w:color="auto"/>
                  </w:divBdr>
                  <w:divsChild>
                    <w:div w:id="1044865745">
                      <w:marLeft w:val="0"/>
                      <w:marRight w:val="0"/>
                      <w:marTop w:val="0"/>
                      <w:marBottom w:val="0"/>
                      <w:divBdr>
                        <w:top w:val="none" w:sz="0" w:space="0" w:color="auto"/>
                        <w:left w:val="none" w:sz="0" w:space="0" w:color="auto"/>
                        <w:bottom w:val="none" w:sz="0" w:space="0" w:color="auto"/>
                        <w:right w:val="none" w:sz="0" w:space="0" w:color="auto"/>
                      </w:divBdr>
                    </w:div>
                  </w:divsChild>
                </w:div>
                <w:div w:id="608315896">
                  <w:marLeft w:val="0"/>
                  <w:marRight w:val="0"/>
                  <w:marTop w:val="0"/>
                  <w:marBottom w:val="0"/>
                  <w:divBdr>
                    <w:top w:val="none" w:sz="0" w:space="0" w:color="auto"/>
                    <w:left w:val="none" w:sz="0" w:space="0" w:color="auto"/>
                    <w:bottom w:val="none" w:sz="0" w:space="0" w:color="auto"/>
                    <w:right w:val="none" w:sz="0" w:space="0" w:color="auto"/>
                  </w:divBdr>
                  <w:divsChild>
                    <w:div w:id="35744646">
                      <w:marLeft w:val="0"/>
                      <w:marRight w:val="0"/>
                      <w:marTop w:val="0"/>
                      <w:marBottom w:val="0"/>
                      <w:divBdr>
                        <w:top w:val="none" w:sz="0" w:space="0" w:color="auto"/>
                        <w:left w:val="none" w:sz="0" w:space="0" w:color="auto"/>
                        <w:bottom w:val="none" w:sz="0" w:space="0" w:color="auto"/>
                        <w:right w:val="none" w:sz="0" w:space="0" w:color="auto"/>
                      </w:divBdr>
                    </w:div>
                  </w:divsChild>
                </w:div>
                <w:div w:id="750125544">
                  <w:marLeft w:val="0"/>
                  <w:marRight w:val="0"/>
                  <w:marTop w:val="0"/>
                  <w:marBottom w:val="0"/>
                  <w:divBdr>
                    <w:top w:val="none" w:sz="0" w:space="0" w:color="auto"/>
                    <w:left w:val="none" w:sz="0" w:space="0" w:color="auto"/>
                    <w:bottom w:val="none" w:sz="0" w:space="0" w:color="auto"/>
                    <w:right w:val="none" w:sz="0" w:space="0" w:color="auto"/>
                  </w:divBdr>
                  <w:divsChild>
                    <w:div w:id="1779369455">
                      <w:marLeft w:val="0"/>
                      <w:marRight w:val="0"/>
                      <w:marTop w:val="0"/>
                      <w:marBottom w:val="0"/>
                      <w:divBdr>
                        <w:top w:val="none" w:sz="0" w:space="0" w:color="auto"/>
                        <w:left w:val="none" w:sz="0" w:space="0" w:color="auto"/>
                        <w:bottom w:val="none" w:sz="0" w:space="0" w:color="auto"/>
                        <w:right w:val="none" w:sz="0" w:space="0" w:color="auto"/>
                      </w:divBdr>
                    </w:div>
                  </w:divsChild>
                </w:div>
                <w:div w:id="1339969739">
                  <w:marLeft w:val="0"/>
                  <w:marRight w:val="0"/>
                  <w:marTop w:val="0"/>
                  <w:marBottom w:val="0"/>
                  <w:divBdr>
                    <w:top w:val="none" w:sz="0" w:space="0" w:color="auto"/>
                    <w:left w:val="none" w:sz="0" w:space="0" w:color="auto"/>
                    <w:bottom w:val="none" w:sz="0" w:space="0" w:color="auto"/>
                    <w:right w:val="none" w:sz="0" w:space="0" w:color="auto"/>
                  </w:divBdr>
                  <w:divsChild>
                    <w:div w:id="476806155">
                      <w:marLeft w:val="0"/>
                      <w:marRight w:val="0"/>
                      <w:marTop w:val="0"/>
                      <w:marBottom w:val="0"/>
                      <w:divBdr>
                        <w:top w:val="none" w:sz="0" w:space="0" w:color="auto"/>
                        <w:left w:val="none" w:sz="0" w:space="0" w:color="auto"/>
                        <w:bottom w:val="none" w:sz="0" w:space="0" w:color="auto"/>
                        <w:right w:val="none" w:sz="0" w:space="0" w:color="auto"/>
                      </w:divBdr>
                    </w:div>
                  </w:divsChild>
                </w:div>
                <w:div w:id="1443186910">
                  <w:marLeft w:val="0"/>
                  <w:marRight w:val="0"/>
                  <w:marTop w:val="0"/>
                  <w:marBottom w:val="0"/>
                  <w:divBdr>
                    <w:top w:val="none" w:sz="0" w:space="0" w:color="auto"/>
                    <w:left w:val="none" w:sz="0" w:space="0" w:color="auto"/>
                    <w:bottom w:val="none" w:sz="0" w:space="0" w:color="auto"/>
                    <w:right w:val="none" w:sz="0" w:space="0" w:color="auto"/>
                  </w:divBdr>
                  <w:divsChild>
                    <w:div w:id="762186408">
                      <w:marLeft w:val="0"/>
                      <w:marRight w:val="0"/>
                      <w:marTop w:val="0"/>
                      <w:marBottom w:val="0"/>
                      <w:divBdr>
                        <w:top w:val="none" w:sz="0" w:space="0" w:color="auto"/>
                        <w:left w:val="none" w:sz="0" w:space="0" w:color="auto"/>
                        <w:bottom w:val="none" w:sz="0" w:space="0" w:color="auto"/>
                        <w:right w:val="none" w:sz="0" w:space="0" w:color="auto"/>
                      </w:divBdr>
                    </w:div>
                  </w:divsChild>
                </w:div>
                <w:div w:id="1516771305">
                  <w:marLeft w:val="0"/>
                  <w:marRight w:val="0"/>
                  <w:marTop w:val="0"/>
                  <w:marBottom w:val="0"/>
                  <w:divBdr>
                    <w:top w:val="none" w:sz="0" w:space="0" w:color="auto"/>
                    <w:left w:val="none" w:sz="0" w:space="0" w:color="auto"/>
                    <w:bottom w:val="none" w:sz="0" w:space="0" w:color="auto"/>
                    <w:right w:val="none" w:sz="0" w:space="0" w:color="auto"/>
                  </w:divBdr>
                  <w:divsChild>
                    <w:div w:id="6560582">
                      <w:marLeft w:val="0"/>
                      <w:marRight w:val="0"/>
                      <w:marTop w:val="0"/>
                      <w:marBottom w:val="0"/>
                      <w:divBdr>
                        <w:top w:val="none" w:sz="0" w:space="0" w:color="auto"/>
                        <w:left w:val="none" w:sz="0" w:space="0" w:color="auto"/>
                        <w:bottom w:val="none" w:sz="0" w:space="0" w:color="auto"/>
                        <w:right w:val="none" w:sz="0" w:space="0" w:color="auto"/>
                      </w:divBdr>
                    </w:div>
                  </w:divsChild>
                </w:div>
                <w:div w:id="1616327842">
                  <w:marLeft w:val="0"/>
                  <w:marRight w:val="0"/>
                  <w:marTop w:val="0"/>
                  <w:marBottom w:val="0"/>
                  <w:divBdr>
                    <w:top w:val="none" w:sz="0" w:space="0" w:color="auto"/>
                    <w:left w:val="none" w:sz="0" w:space="0" w:color="auto"/>
                    <w:bottom w:val="none" w:sz="0" w:space="0" w:color="auto"/>
                    <w:right w:val="none" w:sz="0" w:space="0" w:color="auto"/>
                  </w:divBdr>
                  <w:divsChild>
                    <w:div w:id="1044523277">
                      <w:marLeft w:val="0"/>
                      <w:marRight w:val="0"/>
                      <w:marTop w:val="0"/>
                      <w:marBottom w:val="0"/>
                      <w:divBdr>
                        <w:top w:val="none" w:sz="0" w:space="0" w:color="auto"/>
                        <w:left w:val="none" w:sz="0" w:space="0" w:color="auto"/>
                        <w:bottom w:val="none" w:sz="0" w:space="0" w:color="auto"/>
                        <w:right w:val="none" w:sz="0" w:space="0" w:color="auto"/>
                      </w:divBdr>
                    </w:div>
                  </w:divsChild>
                </w:div>
                <w:div w:id="1815636384">
                  <w:marLeft w:val="0"/>
                  <w:marRight w:val="0"/>
                  <w:marTop w:val="0"/>
                  <w:marBottom w:val="0"/>
                  <w:divBdr>
                    <w:top w:val="none" w:sz="0" w:space="0" w:color="auto"/>
                    <w:left w:val="none" w:sz="0" w:space="0" w:color="auto"/>
                    <w:bottom w:val="none" w:sz="0" w:space="0" w:color="auto"/>
                    <w:right w:val="none" w:sz="0" w:space="0" w:color="auto"/>
                  </w:divBdr>
                  <w:divsChild>
                    <w:div w:id="1014528628">
                      <w:marLeft w:val="0"/>
                      <w:marRight w:val="0"/>
                      <w:marTop w:val="0"/>
                      <w:marBottom w:val="0"/>
                      <w:divBdr>
                        <w:top w:val="none" w:sz="0" w:space="0" w:color="auto"/>
                        <w:left w:val="none" w:sz="0" w:space="0" w:color="auto"/>
                        <w:bottom w:val="none" w:sz="0" w:space="0" w:color="auto"/>
                        <w:right w:val="none" w:sz="0" w:space="0" w:color="auto"/>
                      </w:divBdr>
                    </w:div>
                  </w:divsChild>
                </w:div>
                <w:div w:id="1950774850">
                  <w:marLeft w:val="0"/>
                  <w:marRight w:val="0"/>
                  <w:marTop w:val="0"/>
                  <w:marBottom w:val="0"/>
                  <w:divBdr>
                    <w:top w:val="none" w:sz="0" w:space="0" w:color="auto"/>
                    <w:left w:val="none" w:sz="0" w:space="0" w:color="auto"/>
                    <w:bottom w:val="none" w:sz="0" w:space="0" w:color="auto"/>
                    <w:right w:val="none" w:sz="0" w:space="0" w:color="auto"/>
                  </w:divBdr>
                  <w:divsChild>
                    <w:div w:id="15015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82765">
          <w:marLeft w:val="0"/>
          <w:marRight w:val="0"/>
          <w:marTop w:val="0"/>
          <w:marBottom w:val="0"/>
          <w:divBdr>
            <w:top w:val="none" w:sz="0" w:space="0" w:color="auto"/>
            <w:left w:val="none" w:sz="0" w:space="0" w:color="auto"/>
            <w:bottom w:val="none" w:sz="0" w:space="0" w:color="auto"/>
            <w:right w:val="none" w:sz="0" w:space="0" w:color="auto"/>
          </w:divBdr>
          <w:divsChild>
            <w:div w:id="477495466">
              <w:marLeft w:val="0"/>
              <w:marRight w:val="0"/>
              <w:marTop w:val="0"/>
              <w:marBottom w:val="0"/>
              <w:divBdr>
                <w:top w:val="none" w:sz="0" w:space="0" w:color="auto"/>
                <w:left w:val="none" w:sz="0" w:space="0" w:color="auto"/>
                <w:bottom w:val="none" w:sz="0" w:space="0" w:color="auto"/>
                <w:right w:val="none" w:sz="0" w:space="0" w:color="auto"/>
              </w:divBdr>
            </w:div>
            <w:div w:id="550388152">
              <w:marLeft w:val="0"/>
              <w:marRight w:val="0"/>
              <w:marTop w:val="0"/>
              <w:marBottom w:val="0"/>
              <w:divBdr>
                <w:top w:val="none" w:sz="0" w:space="0" w:color="auto"/>
                <w:left w:val="none" w:sz="0" w:space="0" w:color="auto"/>
                <w:bottom w:val="none" w:sz="0" w:space="0" w:color="auto"/>
                <w:right w:val="none" w:sz="0" w:space="0" w:color="auto"/>
              </w:divBdr>
            </w:div>
            <w:div w:id="558980563">
              <w:marLeft w:val="0"/>
              <w:marRight w:val="0"/>
              <w:marTop w:val="0"/>
              <w:marBottom w:val="0"/>
              <w:divBdr>
                <w:top w:val="none" w:sz="0" w:space="0" w:color="auto"/>
                <w:left w:val="none" w:sz="0" w:space="0" w:color="auto"/>
                <w:bottom w:val="none" w:sz="0" w:space="0" w:color="auto"/>
                <w:right w:val="none" w:sz="0" w:space="0" w:color="auto"/>
              </w:divBdr>
            </w:div>
            <w:div w:id="620961176">
              <w:marLeft w:val="0"/>
              <w:marRight w:val="0"/>
              <w:marTop w:val="0"/>
              <w:marBottom w:val="0"/>
              <w:divBdr>
                <w:top w:val="none" w:sz="0" w:space="0" w:color="auto"/>
                <w:left w:val="none" w:sz="0" w:space="0" w:color="auto"/>
                <w:bottom w:val="none" w:sz="0" w:space="0" w:color="auto"/>
                <w:right w:val="none" w:sz="0" w:space="0" w:color="auto"/>
              </w:divBdr>
            </w:div>
            <w:div w:id="1224675810">
              <w:marLeft w:val="0"/>
              <w:marRight w:val="0"/>
              <w:marTop w:val="0"/>
              <w:marBottom w:val="0"/>
              <w:divBdr>
                <w:top w:val="none" w:sz="0" w:space="0" w:color="auto"/>
                <w:left w:val="none" w:sz="0" w:space="0" w:color="auto"/>
                <w:bottom w:val="none" w:sz="0" w:space="0" w:color="auto"/>
                <w:right w:val="none" w:sz="0" w:space="0" w:color="auto"/>
              </w:divBdr>
            </w:div>
            <w:div w:id="1416130436">
              <w:marLeft w:val="0"/>
              <w:marRight w:val="0"/>
              <w:marTop w:val="0"/>
              <w:marBottom w:val="0"/>
              <w:divBdr>
                <w:top w:val="none" w:sz="0" w:space="0" w:color="auto"/>
                <w:left w:val="none" w:sz="0" w:space="0" w:color="auto"/>
                <w:bottom w:val="none" w:sz="0" w:space="0" w:color="auto"/>
                <w:right w:val="none" w:sz="0" w:space="0" w:color="auto"/>
              </w:divBdr>
            </w:div>
            <w:div w:id="1471047798">
              <w:marLeft w:val="0"/>
              <w:marRight w:val="0"/>
              <w:marTop w:val="0"/>
              <w:marBottom w:val="0"/>
              <w:divBdr>
                <w:top w:val="none" w:sz="0" w:space="0" w:color="auto"/>
                <w:left w:val="none" w:sz="0" w:space="0" w:color="auto"/>
                <w:bottom w:val="none" w:sz="0" w:space="0" w:color="auto"/>
                <w:right w:val="none" w:sz="0" w:space="0" w:color="auto"/>
              </w:divBdr>
            </w:div>
            <w:div w:id="1677078321">
              <w:marLeft w:val="0"/>
              <w:marRight w:val="0"/>
              <w:marTop w:val="0"/>
              <w:marBottom w:val="0"/>
              <w:divBdr>
                <w:top w:val="none" w:sz="0" w:space="0" w:color="auto"/>
                <w:left w:val="none" w:sz="0" w:space="0" w:color="auto"/>
                <w:bottom w:val="none" w:sz="0" w:space="0" w:color="auto"/>
                <w:right w:val="none" w:sz="0" w:space="0" w:color="auto"/>
              </w:divBdr>
            </w:div>
            <w:div w:id="2035962566">
              <w:marLeft w:val="0"/>
              <w:marRight w:val="0"/>
              <w:marTop w:val="0"/>
              <w:marBottom w:val="0"/>
              <w:divBdr>
                <w:top w:val="none" w:sz="0" w:space="0" w:color="auto"/>
                <w:left w:val="none" w:sz="0" w:space="0" w:color="auto"/>
                <w:bottom w:val="none" w:sz="0" w:space="0" w:color="auto"/>
                <w:right w:val="none" w:sz="0" w:space="0" w:color="auto"/>
              </w:divBdr>
            </w:div>
            <w:div w:id="2038850394">
              <w:marLeft w:val="0"/>
              <w:marRight w:val="0"/>
              <w:marTop w:val="0"/>
              <w:marBottom w:val="0"/>
              <w:divBdr>
                <w:top w:val="none" w:sz="0" w:space="0" w:color="auto"/>
                <w:left w:val="none" w:sz="0" w:space="0" w:color="auto"/>
                <w:bottom w:val="none" w:sz="0" w:space="0" w:color="auto"/>
                <w:right w:val="none" w:sz="0" w:space="0" w:color="auto"/>
              </w:divBdr>
            </w:div>
            <w:div w:id="2076312346">
              <w:marLeft w:val="0"/>
              <w:marRight w:val="0"/>
              <w:marTop w:val="0"/>
              <w:marBottom w:val="0"/>
              <w:divBdr>
                <w:top w:val="none" w:sz="0" w:space="0" w:color="auto"/>
                <w:left w:val="none" w:sz="0" w:space="0" w:color="auto"/>
                <w:bottom w:val="none" w:sz="0" w:space="0" w:color="auto"/>
                <w:right w:val="none" w:sz="0" w:space="0" w:color="auto"/>
              </w:divBdr>
            </w:div>
          </w:divsChild>
        </w:div>
        <w:div w:id="1704205008">
          <w:marLeft w:val="0"/>
          <w:marRight w:val="0"/>
          <w:marTop w:val="0"/>
          <w:marBottom w:val="0"/>
          <w:divBdr>
            <w:top w:val="none" w:sz="0" w:space="0" w:color="auto"/>
            <w:left w:val="none" w:sz="0" w:space="0" w:color="auto"/>
            <w:bottom w:val="none" w:sz="0" w:space="0" w:color="auto"/>
            <w:right w:val="none" w:sz="0" w:space="0" w:color="auto"/>
          </w:divBdr>
          <w:divsChild>
            <w:div w:id="108672512">
              <w:marLeft w:val="0"/>
              <w:marRight w:val="0"/>
              <w:marTop w:val="0"/>
              <w:marBottom w:val="0"/>
              <w:divBdr>
                <w:top w:val="none" w:sz="0" w:space="0" w:color="auto"/>
                <w:left w:val="none" w:sz="0" w:space="0" w:color="auto"/>
                <w:bottom w:val="none" w:sz="0" w:space="0" w:color="auto"/>
                <w:right w:val="none" w:sz="0" w:space="0" w:color="auto"/>
              </w:divBdr>
            </w:div>
            <w:div w:id="109713913">
              <w:marLeft w:val="0"/>
              <w:marRight w:val="0"/>
              <w:marTop w:val="0"/>
              <w:marBottom w:val="0"/>
              <w:divBdr>
                <w:top w:val="none" w:sz="0" w:space="0" w:color="auto"/>
                <w:left w:val="none" w:sz="0" w:space="0" w:color="auto"/>
                <w:bottom w:val="none" w:sz="0" w:space="0" w:color="auto"/>
                <w:right w:val="none" w:sz="0" w:space="0" w:color="auto"/>
              </w:divBdr>
            </w:div>
            <w:div w:id="124275047">
              <w:marLeft w:val="0"/>
              <w:marRight w:val="0"/>
              <w:marTop w:val="0"/>
              <w:marBottom w:val="0"/>
              <w:divBdr>
                <w:top w:val="none" w:sz="0" w:space="0" w:color="auto"/>
                <w:left w:val="none" w:sz="0" w:space="0" w:color="auto"/>
                <w:bottom w:val="none" w:sz="0" w:space="0" w:color="auto"/>
                <w:right w:val="none" w:sz="0" w:space="0" w:color="auto"/>
              </w:divBdr>
            </w:div>
            <w:div w:id="1355811605">
              <w:marLeft w:val="0"/>
              <w:marRight w:val="0"/>
              <w:marTop w:val="0"/>
              <w:marBottom w:val="0"/>
              <w:divBdr>
                <w:top w:val="none" w:sz="0" w:space="0" w:color="auto"/>
                <w:left w:val="none" w:sz="0" w:space="0" w:color="auto"/>
                <w:bottom w:val="none" w:sz="0" w:space="0" w:color="auto"/>
                <w:right w:val="none" w:sz="0" w:space="0" w:color="auto"/>
              </w:divBdr>
            </w:div>
            <w:div w:id="1728383507">
              <w:marLeft w:val="0"/>
              <w:marRight w:val="0"/>
              <w:marTop w:val="0"/>
              <w:marBottom w:val="0"/>
              <w:divBdr>
                <w:top w:val="none" w:sz="0" w:space="0" w:color="auto"/>
                <w:left w:val="none" w:sz="0" w:space="0" w:color="auto"/>
                <w:bottom w:val="none" w:sz="0" w:space="0" w:color="auto"/>
                <w:right w:val="none" w:sz="0" w:space="0" w:color="auto"/>
              </w:divBdr>
            </w:div>
          </w:divsChild>
        </w:div>
        <w:div w:id="1716812858">
          <w:marLeft w:val="0"/>
          <w:marRight w:val="0"/>
          <w:marTop w:val="0"/>
          <w:marBottom w:val="0"/>
          <w:divBdr>
            <w:top w:val="none" w:sz="0" w:space="0" w:color="auto"/>
            <w:left w:val="none" w:sz="0" w:space="0" w:color="auto"/>
            <w:bottom w:val="none" w:sz="0" w:space="0" w:color="auto"/>
            <w:right w:val="none" w:sz="0" w:space="0" w:color="auto"/>
          </w:divBdr>
        </w:div>
        <w:div w:id="1725786618">
          <w:marLeft w:val="0"/>
          <w:marRight w:val="0"/>
          <w:marTop w:val="0"/>
          <w:marBottom w:val="0"/>
          <w:divBdr>
            <w:top w:val="none" w:sz="0" w:space="0" w:color="auto"/>
            <w:left w:val="none" w:sz="0" w:space="0" w:color="auto"/>
            <w:bottom w:val="none" w:sz="0" w:space="0" w:color="auto"/>
            <w:right w:val="none" w:sz="0" w:space="0" w:color="auto"/>
          </w:divBdr>
          <w:divsChild>
            <w:div w:id="1562054149">
              <w:marLeft w:val="0"/>
              <w:marRight w:val="0"/>
              <w:marTop w:val="0"/>
              <w:marBottom w:val="0"/>
              <w:divBdr>
                <w:top w:val="none" w:sz="0" w:space="0" w:color="auto"/>
                <w:left w:val="none" w:sz="0" w:space="0" w:color="auto"/>
                <w:bottom w:val="none" w:sz="0" w:space="0" w:color="auto"/>
                <w:right w:val="none" w:sz="0" w:space="0" w:color="auto"/>
              </w:divBdr>
            </w:div>
          </w:divsChild>
        </w:div>
        <w:div w:id="1734348866">
          <w:marLeft w:val="0"/>
          <w:marRight w:val="0"/>
          <w:marTop w:val="0"/>
          <w:marBottom w:val="0"/>
          <w:divBdr>
            <w:top w:val="none" w:sz="0" w:space="0" w:color="auto"/>
            <w:left w:val="none" w:sz="0" w:space="0" w:color="auto"/>
            <w:bottom w:val="none" w:sz="0" w:space="0" w:color="auto"/>
            <w:right w:val="none" w:sz="0" w:space="0" w:color="auto"/>
          </w:divBdr>
          <w:divsChild>
            <w:div w:id="222298398">
              <w:marLeft w:val="0"/>
              <w:marRight w:val="0"/>
              <w:marTop w:val="0"/>
              <w:marBottom w:val="0"/>
              <w:divBdr>
                <w:top w:val="none" w:sz="0" w:space="0" w:color="auto"/>
                <w:left w:val="none" w:sz="0" w:space="0" w:color="auto"/>
                <w:bottom w:val="none" w:sz="0" w:space="0" w:color="auto"/>
                <w:right w:val="none" w:sz="0" w:space="0" w:color="auto"/>
              </w:divBdr>
            </w:div>
            <w:div w:id="371661428">
              <w:marLeft w:val="0"/>
              <w:marRight w:val="0"/>
              <w:marTop w:val="0"/>
              <w:marBottom w:val="0"/>
              <w:divBdr>
                <w:top w:val="none" w:sz="0" w:space="0" w:color="auto"/>
                <w:left w:val="none" w:sz="0" w:space="0" w:color="auto"/>
                <w:bottom w:val="none" w:sz="0" w:space="0" w:color="auto"/>
                <w:right w:val="none" w:sz="0" w:space="0" w:color="auto"/>
              </w:divBdr>
            </w:div>
            <w:div w:id="397943336">
              <w:marLeft w:val="0"/>
              <w:marRight w:val="0"/>
              <w:marTop w:val="0"/>
              <w:marBottom w:val="0"/>
              <w:divBdr>
                <w:top w:val="none" w:sz="0" w:space="0" w:color="auto"/>
                <w:left w:val="none" w:sz="0" w:space="0" w:color="auto"/>
                <w:bottom w:val="none" w:sz="0" w:space="0" w:color="auto"/>
                <w:right w:val="none" w:sz="0" w:space="0" w:color="auto"/>
              </w:divBdr>
            </w:div>
            <w:div w:id="519927590">
              <w:marLeft w:val="0"/>
              <w:marRight w:val="0"/>
              <w:marTop w:val="0"/>
              <w:marBottom w:val="0"/>
              <w:divBdr>
                <w:top w:val="none" w:sz="0" w:space="0" w:color="auto"/>
                <w:left w:val="none" w:sz="0" w:space="0" w:color="auto"/>
                <w:bottom w:val="none" w:sz="0" w:space="0" w:color="auto"/>
                <w:right w:val="none" w:sz="0" w:space="0" w:color="auto"/>
              </w:divBdr>
            </w:div>
            <w:div w:id="588856706">
              <w:marLeft w:val="0"/>
              <w:marRight w:val="0"/>
              <w:marTop w:val="0"/>
              <w:marBottom w:val="0"/>
              <w:divBdr>
                <w:top w:val="none" w:sz="0" w:space="0" w:color="auto"/>
                <w:left w:val="none" w:sz="0" w:space="0" w:color="auto"/>
                <w:bottom w:val="none" w:sz="0" w:space="0" w:color="auto"/>
                <w:right w:val="none" w:sz="0" w:space="0" w:color="auto"/>
              </w:divBdr>
            </w:div>
            <w:div w:id="756170387">
              <w:marLeft w:val="0"/>
              <w:marRight w:val="0"/>
              <w:marTop w:val="0"/>
              <w:marBottom w:val="0"/>
              <w:divBdr>
                <w:top w:val="none" w:sz="0" w:space="0" w:color="auto"/>
                <w:left w:val="none" w:sz="0" w:space="0" w:color="auto"/>
                <w:bottom w:val="none" w:sz="0" w:space="0" w:color="auto"/>
                <w:right w:val="none" w:sz="0" w:space="0" w:color="auto"/>
              </w:divBdr>
            </w:div>
            <w:div w:id="1222980946">
              <w:marLeft w:val="0"/>
              <w:marRight w:val="0"/>
              <w:marTop w:val="0"/>
              <w:marBottom w:val="0"/>
              <w:divBdr>
                <w:top w:val="none" w:sz="0" w:space="0" w:color="auto"/>
                <w:left w:val="none" w:sz="0" w:space="0" w:color="auto"/>
                <w:bottom w:val="none" w:sz="0" w:space="0" w:color="auto"/>
                <w:right w:val="none" w:sz="0" w:space="0" w:color="auto"/>
              </w:divBdr>
            </w:div>
            <w:div w:id="1497333123">
              <w:marLeft w:val="0"/>
              <w:marRight w:val="0"/>
              <w:marTop w:val="0"/>
              <w:marBottom w:val="0"/>
              <w:divBdr>
                <w:top w:val="none" w:sz="0" w:space="0" w:color="auto"/>
                <w:left w:val="none" w:sz="0" w:space="0" w:color="auto"/>
                <w:bottom w:val="none" w:sz="0" w:space="0" w:color="auto"/>
                <w:right w:val="none" w:sz="0" w:space="0" w:color="auto"/>
              </w:divBdr>
            </w:div>
            <w:div w:id="1797600158">
              <w:marLeft w:val="0"/>
              <w:marRight w:val="0"/>
              <w:marTop w:val="0"/>
              <w:marBottom w:val="0"/>
              <w:divBdr>
                <w:top w:val="none" w:sz="0" w:space="0" w:color="auto"/>
                <w:left w:val="none" w:sz="0" w:space="0" w:color="auto"/>
                <w:bottom w:val="none" w:sz="0" w:space="0" w:color="auto"/>
                <w:right w:val="none" w:sz="0" w:space="0" w:color="auto"/>
              </w:divBdr>
            </w:div>
            <w:div w:id="1814443189">
              <w:marLeft w:val="0"/>
              <w:marRight w:val="0"/>
              <w:marTop w:val="0"/>
              <w:marBottom w:val="0"/>
              <w:divBdr>
                <w:top w:val="none" w:sz="0" w:space="0" w:color="auto"/>
                <w:left w:val="none" w:sz="0" w:space="0" w:color="auto"/>
                <w:bottom w:val="none" w:sz="0" w:space="0" w:color="auto"/>
                <w:right w:val="none" w:sz="0" w:space="0" w:color="auto"/>
              </w:divBdr>
            </w:div>
            <w:div w:id="1975524015">
              <w:marLeft w:val="0"/>
              <w:marRight w:val="0"/>
              <w:marTop w:val="0"/>
              <w:marBottom w:val="0"/>
              <w:divBdr>
                <w:top w:val="none" w:sz="0" w:space="0" w:color="auto"/>
                <w:left w:val="none" w:sz="0" w:space="0" w:color="auto"/>
                <w:bottom w:val="none" w:sz="0" w:space="0" w:color="auto"/>
                <w:right w:val="none" w:sz="0" w:space="0" w:color="auto"/>
              </w:divBdr>
            </w:div>
          </w:divsChild>
        </w:div>
        <w:div w:id="1742675564">
          <w:marLeft w:val="0"/>
          <w:marRight w:val="0"/>
          <w:marTop w:val="0"/>
          <w:marBottom w:val="0"/>
          <w:divBdr>
            <w:top w:val="none" w:sz="0" w:space="0" w:color="auto"/>
            <w:left w:val="none" w:sz="0" w:space="0" w:color="auto"/>
            <w:bottom w:val="none" w:sz="0" w:space="0" w:color="auto"/>
            <w:right w:val="none" w:sz="0" w:space="0" w:color="auto"/>
          </w:divBdr>
          <w:divsChild>
            <w:div w:id="623316281">
              <w:marLeft w:val="0"/>
              <w:marRight w:val="0"/>
              <w:marTop w:val="0"/>
              <w:marBottom w:val="0"/>
              <w:divBdr>
                <w:top w:val="none" w:sz="0" w:space="0" w:color="auto"/>
                <w:left w:val="none" w:sz="0" w:space="0" w:color="auto"/>
                <w:bottom w:val="none" w:sz="0" w:space="0" w:color="auto"/>
                <w:right w:val="none" w:sz="0" w:space="0" w:color="auto"/>
              </w:divBdr>
            </w:div>
            <w:div w:id="699205237">
              <w:marLeft w:val="0"/>
              <w:marRight w:val="0"/>
              <w:marTop w:val="0"/>
              <w:marBottom w:val="0"/>
              <w:divBdr>
                <w:top w:val="none" w:sz="0" w:space="0" w:color="auto"/>
                <w:left w:val="none" w:sz="0" w:space="0" w:color="auto"/>
                <w:bottom w:val="none" w:sz="0" w:space="0" w:color="auto"/>
                <w:right w:val="none" w:sz="0" w:space="0" w:color="auto"/>
              </w:divBdr>
            </w:div>
            <w:div w:id="1185053604">
              <w:marLeft w:val="0"/>
              <w:marRight w:val="0"/>
              <w:marTop w:val="0"/>
              <w:marBottom w:val="0"/>
              <w:divBdr>
                <w:top w:val="none" w:sz="0" w:space="0" w:color="auto"/>
                <w:left w:val="none" w:sz="0" w:space="0" w:color="auto"/>
                <w:bottom w:val="none" w:sz="0" w:space="0" w:color="auto"/>
                <w:right w:val="none" w:sz="0" w:space="0" w:color="auto"/>
              </w:divBdr>
            </w:div>
            <w:div w:id="1213495759">
              <w:marLeft w:val="0"/>
              <w:marRight w:val="0"/>
              <w:marTop w:val="0"/>
              <w:marBottom w:val="0"/>
              <w:divBdr>
                <w:top w:val="none" w:sz="0" w:space="0" w:color="auto"/>
                <w:left w:val="none" w:sz="0" w:space="0" w:color="auto"/>
                <w:bottom w:val="none" w:sz="0" w:space="0" w:color="auto"/>
                <w:right w:val="none" w:sz="0" w:space="0" w:color="auto"/>
              </w:divBdr>
            </w:div>
            <w:div w:id="1741824690">
              <w:marLeft w:val="0"/>
              <w:marRight w:val="0"/>
              <w:marTop w:val="0"/>
              <w:marBottom w:val="0"/>
              <w:divBdr>
                <w:top w:val="none" w:sz="0" w:space="0" w:color="auto"/>
                <w:left w:val="none" w:sz="0" w:space="0" w:color="auto"/>
                <w:bottom w:val="none" w:sz="0" w:space="0" w:color="auto"/>
                <w:right w:val="none" w:sz="0" w:space="0" w:color="auto"/>
              </w:divBdr>
            </w:div>
            <w:div w:id="2060202528">
              <w:marLeft w:val="0"/>
              <w:marRight w:val="0"/>
              <w:marTop w:val="0"/>
              <w:marBottom w:val="0"/>
              <w:divBdr>
                <w:top w:val="none" w:sz="0" w:space="0" w:color="auto"/>
                <w:left w:val="none" w:sz="0" w:space="0" w:color="auto"/>
                <w:bottom w:val="none" w:sz="0" w:space="0" w:color="auto"/>
                <w:right w:val="none" w:sz="0" w:space="0" w:color="auto"/>
              </w:divBdr>
            </w:div>
          </w:divsChild>
        </w:div>
        <w:div w:id="1762793710">
          <w:marLeft w:val="0"/>
          <w:marRight w:val="0"/>
          <w:marTop w:val="0"/>
          <w:marBottom w:val="0"/>
          <w:divBdr>
            <w:top w:val="none" w:sz="0" w:space="0" w:color="auto"/>
            <w:left w:val="none" w:sz="0" w:space="0" w:color="auto"/>
            <w:bottom w:val="none" w:sz="0" w:space="0" w:color="auto"/>
            <w:right w:val="none" w:sz="0" w:space="0" w:color="auto"/>
          </w:divBdr>
          <w:divsChild>
            <w:div w:id="1516263476">
              <w:marLeft w:val="-75"/>
              <w:marRight w:val="0"/>
              <w:marTop w:val="30"/>
              <w:marBottom w:val="30"/>
              <w:divBdr>
                <w:top w:val="none" w:sz="0" w:space="0" w:color="auto"/>
                <w:left w:val="none" w:sz="0" w:space="0" w:color="auto"/>
                <w:bottom w:val="none" w:sz="0" w:space="0" w:color="auto"/>
                <w:right w:val="none" w:sz="0" w:space="0" w:color="auto"/>
              </w:divBdr>
              <w:divsChild>
                <w:div w:id="119232060">
                  <w:marLeft w:val="0"/>
                  <w:marRight w:val="0"/>
                  <w:marTop w:val="0"/>
                  <w:marBottom w:val="0"/>
                  <w:divBdr>
                    <w:top w:val="none" w:sz="0" w:space="0" w:color="auto"/>
                    <w:left w:val="none" w:sz="0" w:space="0" w:color="auto"/>
                    <w:bottom w:val="none" w:sz="0" w:space="0" w:color="auto"/>
                    <w:right w:val="none" w:sz="0" w:space="0" w:color="auto"/>
                  </w:divBdr>
                  <w:divsChild>
                    <w:div w:id="1816943396">
                      <w:marLeft w:val="0"/>
                      <w:marRight w:val="0"/>
                      <w:marTop w:val="0"/>
                      <w:marBottom w:val="0"/>
                      <w:divBdr>
                        <w:top w:val="none" w:sz="0" w:space="0" w:color="auto"/>
                        <w:left w:val="none" w:sz="0" w:space="0" w:color="auto"/>
                        <w:bottom w:val="none" w:sz="0" w:space="0" w:color="auto"/>
                        <w:right w:val="none" w:sz="0" w:space="0" w:color="auto"/>
                      </w:divBdr>
                    </w:div>
                  </w:divsChild>
                </w:div>
                <w:div w:id="327832937">
                  <w:marLeft w:val="0"/>
                  <w:marRight w:val="0"/>
                  <w:marTop w:val="0"/>
                  <w:marBottom w:val="0"/>
                  <w:divBdr>
                    <w:top w:val="none" w:sz="0" w:space="0" w:color="auto"/>
                    <w:left w:val="none" w:sz="0" w:space="0" w:color="auto"/>
                    <w:bottom w:val="none" w:sz="0" w:space="0" w:color="auto"/>
                    <w:right w:val="none" w:sz="0" w:space="0" w:color="auto"/>
                  </w:divBdr>
                  <w:divsChild>
                    <w:div w:id="1543899904">
                      <w:marLeft w:val="0"/>
                      <w:marRight w:val="0"/>
                      <w:marTop w:val="0"/>
                      <w:marBottom w:val="0"/>
                      <w:divBdr>
                        <w:top w:val="none" w:sz="0" w:space="0" w:color="auto"/>
                        <w:left w:val="none" w:sz="0" w:space="0" w:color="auto"/>
                        <w:bottom w:val="none" w:sz="0" w:space="0" w:color="auto"/>
                        <w:right w:val="none" w:sz="0" w:space="0" w:color="auto"/>
                      </w:divBdr>
                    </w:div>
                  </w:divsChild>
                </w:div>
                <w:div w:id="363673693">
                  <w:marLeft w:val="0"/>
                  <w:marRight w:val="0"/>
                  <w:marTop w:val="0"/>
                  <w:marBottom w:val="0"/>
                  <w:divBdr>
                    <w:top w:val="none" w:sz="0" w:space="0" w:color="auto"/>
                    <w:left w:val="none" w:sz="0" w:space="0" w:color="auto"/>
                    <w:bottom w:val="none" w:sz="0" w:space="0" w:color="auto"/>
                    <w:right w:val="none" w:sz="0" w:space="0" w:color="auto"/>
                  </w:divBdr>
                  <w:divsChild>
                    <w:div w:id="1987004158">
                      <w:marLeft w:val="0"/>
                      <w:marRight w:val="0"/>
                      <w:marTop w:val="0"/>
                      <w:marBottom w:val="0"/>
                      <w:divBdr>
                        <w:top w:val="none" w:sz="0" w:space="0" w:color="auto"/>
                        <w:left w:val="none" w:sz="0" w:space="0" w:color="auto"/>
                        <w:bottom w:val="none" w:sz="0" w:space="0" w:color="auto"/>
                        <w:right w:val="none" w:sz="0" w:space="0" w:color="auto"/>
                      </w:divBdr>
                    </w:div>
                  </w:divsChild>
                </w:div>
                <w:div w:id="526254700">
                  <w:marLeft w:val="0"/>
                  <w:marRight w:val="0"/>
                  <w:marTop w:val="0"/>
                  <w:marBottom w:val="0"/>
                  <w:divBdr>
                    <w:top w:val="none" w:sz="0" w:space="0" w:color="auto"/>
                    <w:left w:val="none" w:sz="0" w:space="0" w:color="auto"/>
                    <w:bottom w:val="none" w:sz="0" w:space="0" w:color="auto"/>
                    <w:right w:val="none" w:sz="0" w:space="0" w:color="auto"/>
                  </w:divBdr>
                  <w:divsChild>
                    <w:div w:id="1209226390">
                      <w:marLeft w:val="0"/>
                      <w:marRight w:val="0"/>
                      <w:marTop w:val="0"/>
                      <w:marBottom w:val="0"/>
                      <w:divBdr>
                        <w:top w:val="none" w:sz="0" w:space="0" w:color="auto"/>
                        <w:left w:val="none" w:sz="0" w:space="0" w:color="auto"/>
                        <w:bottom w:val="none" w:sz="0" w:space="0" w:color="auto"/>
                        <w:right w:val="none" w:sz="0" w:space="0" w:color="auto"/>
                      </w:divBdr>
                    </w:div>
                  </w:divsChild>
                </w:div>
                <w:div w:id="780954034">
                  <w:marLeft w:val="0"/>
                  <w:marRight w:val="0"/>
                  <w:marTop w:val="0"/>
                  <w:marBottom w:val="0"/>
                  <w:divBdr>
                    <w:top w:val="none" w:sz="0" w:space="0" w:color="auto"/>
                    <w:left w:val="none" w:sz="0" w:space="0" w:color="auto"/>
                    <w:bottom w:val="none" w:sz="0" w:space="0" w:color="auto"/>
                    <w:right w:val="none" w:sz="0" w:space="0" w:color="auto"/>
                  </w:divBdr>
                  <w:divsChild>
                    <w:div w:id="1053581670">
                      <w:marLeft w:val="0"/>
                      <w:marRight w:val="0"/>
                      <w:marTop w:val="0"/>
                      <w:marBottom w:val="0"/>
                      <w:divBdr>
                        <w:top w:val="none" w:sz="0" w:space="0" w:color="auto"/>
                        <w:left w:val="none" w:sz="0" w:space="0" w:color="auto"/>
                        <w:bottom w:val="none" w:sz="0" w:space="0" w:color="auto"/>
                        <w:right w:val="none" w:sz="0" w:space="0" w:color="auto"/>
                      </w:divBdr>
                    </w:div>
                  </w:divsChild>
                </w:div>
                <w:div w:id="818151683">
                  <w:marLeft w:val="0"/>
                  <w:marRight w:val="0"/>
                  <w:marTop w:val="0"/>
                  <w:marBottom w:val="0"/>
                  <w:divBdr>
                    <w:top w:val="none" w:sz="0" w:space="0" w:color="auto"/>
                    <w:left w:val="none" w:sz="0" w:space="0" w:color="auto"/>
                    <w:bottom w:val="none" w:sz="0" w:space="0" w:color="auto"/>
                    <w:right w:val="none" w:sz="0" w:space="0" w:color="auto"/>
                  </w:divBdr>
                  <w:divsChild>
                    <w:div w:id="2125998544">
                      <w:marLeft w:val="0"/>
                      <w:marRight w:val="0"/>
                      <w:marTop w:val="0"/>
                      <w:marBottom w:val="0"/>
                      <w:divBdr>
                        <w:top w:val="none" w:sz="0" w:space="0" w:color="auto"/>
                        <w:left w:val="none" w:sz="0" w:space="0" w:color="auto"/>
                        <w:bottom w:val="none" w:sz="0" w:space="0" w:color="auto"/>
                        <w:right w:val="none" w:sz="0" w:space="0" w:color="auto"/>
                      </w:divBdr>
                    </w:div>
                  </w:divsChild>
                </w:div>
                <w:div w:id="1174150288">
                  <w:marLeft w:val="0"/>
                  <w:marRight w:val="0"/>
                  <w:marTop w:val="0"/>
                  <w:marBottom w:val="0"/>
                  <w:divBdr>
                    <w:top w:val="none" w:sz="0" w:space="0" w:color="auto"/>
                    <w:left w:val="none" w:sz="0" w:space="0" w:color="auto"/>
                    <w:bottom w:val="none" w:sz="0" w:space="0" w:color="auto"/>
                    <w:right w:val="none" w:sz="0" w:space="0" w:color="auto"/>
                  </w:divBdr>
                  <w:divsChild>
                    <w:div w:id="2122189616">
                      <w:marLeft w:val="0"/>
                      <w:marRight w:val="0"/>
                      <w:marTop w:val="0"/>
                      <w:marBottom w:val="0"/>
                      <w:divBdr>
                        <w:top w:val="none" w:sz="0" w:space="0" w:color="auto"/>
                        <w:left w:val="none" w:sz="0" w:space="0" w:color="auto"/>
                        <w:bottom w:val="none" w:sz="0" w:space="0" w:color="auto"/>
                        <w:right w:val="none" w:sz="0" w:space="0" w:color="auto"/>
                      </w:divBdr>
                    </w:div>
                  </w:divsChild>
                </w:div>
                <w:div w:id="1224681834">
                  <w:marLeft w:val="0"/>
                  <w:marRight w:val="0"/>
                  <w:marTop w:val="0"/>
                  <w:marBottom w:val="0"/>
                  <w:divBdr>
                    <w:top w:val="none" w:sz="0" w:space="0" w:color="auto"/>
                    <w:left w:val="none" w:sz="0" w:space="0" w:color="auto"/>
                    <w:bottom w:val="none" w:sz="0" w:space="0" w:color="auto"/>
                    <w:right w:val="none" w:sz="0" w:space="0" w:color="auto"/>
                  </w:divBdr>
                  <w:divsChild>
                    <w:div w:id="1593779725">
                      <w:marLeft w:val="0"/>
                      <w:marRight w:val="0"/>
                      <w:marTop w:val="0"/>
                      <w:marBottom w:val="0"/>
                      <w:divBdr>
                        <w:top w:val="none" w:sz="0" w:space="0" w:color="auto"/>
                        <w:left w:val="none" w:sz="0" w:space="0" w:color="auto"/>
                        <w:bottom w:val="none" w:sz="0" w:space="0" w:color="auto"/>
                        <w:right w:val="none" w:sz="0" w:space="0" w:color="auto"/>
                      </w:divBdr>
                    </w:div>
                  </w:divsChild>
                </w:div>
                <w:div w:id="1481386283">
                  <w:marLeft w:val="0"/>
                  <w:marRight w:val="0"/>
                  <w:marTop w:val="0"/>
                  <w:marBottom w:val="0"/>
                  <w:divBdr>
                    <w:top w:val="none" w:sz="0" w:space="0" w:color="auto"/>
                    <w:left w:val="none" w:sz="0" w:space="0" w:color="auto"/>
                    <w:bottom w:val="none" w:sz="0" w:space="0" w:color="auto"/>
                    <w:right w:val="none" w:sz="0" w:space="0" w:color="auto"/>
                  </w:divBdr>
                  <w:divsChild>
                    <w:div w:id="1798183847">
                      <w:marLeft w:val="0"/>
                      <w:marRight w:val="0"/>
                      <w:marTop w:val="0"/>
                      <w:marBottom w:val="0"/>
                      <w:divBdr>
                        <w:top w:val="none" w:sz="0" w:space="0" w:color="auto"/>
                        <w:left w:val="none" w:sz="0" w:space="0" w:color="auto"/>
                        <w:bottom w:val="none" w:sz="0" w:space="0" w:color="auto"/>
                        <w:right w:val="none" w:sz="0" w:space="0" w:color="auto"/>
                      </w:divBdr>
                    </w:div>
                  </w:divsChild>
                </w:div>
                <w:div w:id="1671054384">
                  <w:marLeft w:val="0"/>
                  <w:marRight w:val="0"/>
                  <w:marTop w:val="0"/>
                  <w:marBottom w:val="0"/>
                  <w:divBdr>
                    <w:top w:val="none" w:sz="0" w:space="0" w:color="auto"/>
                    <w:left w:val="none" w:sz="0" w:space="0" w:color="auto"/>
                    <w:bottom w:val="none" w:sz="0" w:space="0" w:color="auto"/>
                    <w:right w:val="none" w:sz="0" w:space="0" w:color="auto"/>
                  </w:divBdr>
                  <w:divsChild>
                    <w:div w:id="90972105">
                      <w:marLeft w:val="0"/>
                      <w:marRight w:val="0"/>
                      <w:marTop w:val="0"/>
                      <w:marBottom w:val="0"/>
                      <w:divBdr>
                        <w:top w:val="none" w:sz="0" w:space="0" w:color="auto"/>
                        <w:left w:val="none" w:sz="0" w:space="0" w:color="auto"/>
                        <w:bottom w:val="none" w:sz="0" w:space="0" w:color="auto"/>
                        <w:right w:val="none" w:sz="0" w:space="0" w:color="auto"/>
                      </w:divBdr>
                    </w:div>
                  </w:divsChild>
                </w:div>
                <w:div w:id="2054889060">
                  <w:marLeft w:val="0"/>
                  <w:marRight w:val="0"/>
                  <w:marTop w:val="0"/>
                  <w:marBottom w:val="0"/>
                  <w:divBdr>
                    <w:top w:val="none" w:sz="0" w:space="0" w:color="auto"/>
                    <w:left w:val="none" w:sz="0" w:space="0" w:color="auto"/>
                    <w:bottom w:val="none" w:sz="0" w:space="0" w:color="auto"/>
                    <w:right w:val="none" w:sz="0" w:space="0" w:color="auto"/>
                  </w:divBdr>
                  <w:divsChild>
                    <w:div w:id="1383287579">
                      <w:marLeft w:val="0"/>
                      <w:marRight w:val="0"/>
                      <w:marTop w:val="0"/>
                      <w:marBottom w:val="0"/>
                      <w:divBdr>
                        <w:top w:val="none" w:sz="0" w:space="0" w:color="auto"/>
                        <w:left w:val="none" w:sz="0" w:space="0" w:color="auto"/>
                        <w:bottom w:val="none" w:sz="0" w:space="0" w:color="auto"/>
                        <w:right w:val="none" w:sz="0" w:space="0" w:color="auto"/>
                      </w:divBdr>
                    </w:div>
                  </w:divsChild>
                </w:div>
                <w:div w:id="2117405292">
                  <w:marLeft w:val="0"/>
                  <w:marRight w:val="0"/>
                  <w:marTop w:val="0"/>
                  <w:marBottom w:val="0"/>
                  <w:divBdr>
                    <w:top w:val="none" w:sz="0" w:space="0" w:color="auto"/>
                    <w:left w:val="none" w:sz="0" w:space="0" w:color="auto"/>
                    <w:bottom w:val="none" w:sz="0" w:space="0" w:color="auto"/>
                    <w:right w:val="none" w:sz="0" w:space="0" w:color="auto"/>
                  </w:divBdr>
                  <w:divsChild>
                    <w:div w:id="1652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559">
          <w:marLeft w:val="0"/>
          <w:marRight w:val="0"/>
          <w:marTop w:val="0"/>
          <w:marBottom w:val="0"/>
          <w:divBdr>
            <w:top w:val="none" w:sz="0" w:space="0" w:color="auto"/>
            <w:left w:val="none" w:sz="0" w:space="0" w:color="auto"/>
            <w:bottom w:val="none" w:sz="0" w:space="0" w:color="auto"/>
            <w:right w:val="none" w:sz="0" w:space="0" w:color="auto"/>
          </w:divBdr>
          <w:divsChild>
            <w:div w:id="2830832">
              <w:marLeft w:val="0"/>
              <w:marRight w:val="0"/>
              <w:marTop w:val="0"/>
              <w:marBottom w:val="0"/>
              <w:divBdr>
                <w:top w:val="none" w:sz="0" w:space="0" w:color="auto"/>
                <w:left w:val="none" w:sz="0" w:space="0" w:color="auto"/>
                <w:bottom w:val="none" w:sz="0" w:space="0" w:color="auto"/>
                <w:right w:val="none" w:sz="0" w:space="0" w:color="auto"/>
              </w:divBdr>
            </w:div>
            <w:div w:id="173497730">
              <w:marLeft w:val="0"/>
              <w:marRight w:val="0"/>
              <w:marTop w:val="0"/>
              <w:marBottom w:val="0"/>
              <w:divBdr>
                <w:top w:val="none" w:sz="0" w:space="0" w:color="auto"/>
                <w:left w:val="none" w:sz="0" w:space="0" w:color="auto"/>
                <w:bottom w:val="none" w:sz="0" w:space="0" w:color="auto"/>
                <w:right w:val="none" w:sz="0" w:space="0" w:color="auto"/>
              </w:divBdr>
            </w:div>
            <w:div w:id="174882025">
              <w:marLeft w:val="0"/>
              <w:marRight w:val="0"/>
              <w:marTop w:val="0"/>
              <w:marBottom w:val="0"/>
              <w:divBdr>
                <w:top w:val="none" w:sz="0" w:space="0" w:color="auto"/>
                <w:left w:val="none" w:sz="0" w:space="0" w:color="auto"/>
                <w:bottom w:val="none" w:sz="0" w:space="0" w:color="auto"/>
                <w:right w:val="none" w:sz="0" w:space="0" w:color="auto"/>
              </w:divBdr>
            </w:div>
            <w:div w:id="270551457">
              <w:marLeft w:val="0"/>
              <w:marRight w:val="0"/>
              <w:marTop w:val="0"/>
              <w:marBottom w:val="0"/>
              <w:divBdr>
                <w:top w:val="none" w:sz="0" w:space="0" w:color="auto"/>
                <w:left w:val="none" w:sz="0" w:space="0" w:color="auto"/>
                <w:bottom w:val="none" w:sz="0" w:space="0" w:color="auto"/>
                <w:right w:val="none" w:sz="0" w:space="0" w:color="auto"/>
              </w:divBdr>
            </w:div>
            <w:div w:id="700085969">
              <w:marLeft w:val="0"/>
              <w:marRight w:val="0"/>
              <w:marTop w:val="0"/>
              <w:marBottom w:val="0"/>
              <w:divBdr>
                <w:top w:val="none" w:sz="0" w:space="0" w:color="auto"/>
                <w:left w:val="none" w:sz="0" w:space="0" w:color="auto"/>
                <w:bottom w:val="none" w:sz="0" w:space="0" w:color="auto"/>
                <w:right w:val="none" w:sz="0" w:space="0" w:color="auto"/>
              </w:divBdr>
            </w:div>
            <w:div w:id="1168207227">
              <w:marLeft w:val="0"/>
              <w:marRight w:val="0"/>
              <w:marTop w:val="0"/>
              <w:marBottom w:val="0"/>
              <w:divBdr>
                <w:top w:val="none" w:sz="0" w:space="0" w:color="auto"/>
                <w:left w:val="none" w:sz="0" w:space="0" w:color="auto"/>
                <w:bottom w:val="none" w:sz="0" w:space="0" w:color="auto"/>
                <w:right w:val="none" w:sz="0" w:space="0" w:color="auto"/>
              </w:divBdr>
            </w:div>
            <w:div w:id="1450395783">
              <w:marLeft w:val="0"/>
              <w:marRight w:val="0"/>
              <w:marTop w:val="0"/>
              <w:marBottom w:val="0"/>
              <w:divBdr>
                <w:top w:val="none" w:sz="0" w:space="0" w:color="auto"/>
                <w:left w:val="none" w:sz="0" w:space="0" w:color="auto"/>
                <w:bottom w:val="none" w:sz="0" w:space="0" w:color="auto"/>
                <w:right w:val="none" w:sz="0" w:space="0" w:color="auto"/>
              </w:divBdr>
            </w:div>
            <w:div w:id="1464423410">
              <w:marLeft w:val="0"/>
              <w:marRight w:val="0"/>
              <w:marTop w:val="0"/>
              <w:marBottom w:val="0"/>
              <w:divBdr>
                <w:top w:val="none" w:sz="0" w:space="0" w:color="auto"/>
                <w:left w:val="none" w:sz="0" w:space="0" w:color="auto"/>
                <w:bottom w:val="none" w:sz="0" w:space="0" w:color="auto"/>
                <w:right w:val="none" w:sz="0" w:space="0" w:color="auto"/>
              </w:divBdr>
            </w:div>
            <w:div w:id="2063476056">
              <w:marLeft w:val="0"/>
              <w:marRight w:val="0"/>
              <w:marTop w:val="0"/>
              <w:marBottom w:val="0"/>
              <w:divBdr>
                <w:top w:val="none" w:sz="0" w:space="0" w:color="auto"/>
                <w:left w:val="none" w:sz="0" w:space="0" w:color="auto"/>
                <w:bottom w:val="none" w:sz="0" w:space="0" w:color="auto"/>
                <w:right w:val="none" w:sz="0" w:space="0" w:color="auto"/>
              </w:divBdr>
            </w:div>
          </w:divsChild>
        </w:div>
        <w:div w:id="1773280636">
          <w:marLeft w:val="0"/>
          <w:marRight w:val="0"/>
          <w:marTop w:val="0"/>
          <w:marBottom w:val="0"/>
          <w:divBdr>
            <w:top w:val="none" w:sz="0" w:space="0" w:color="auto"/>
            <w:left w:val="none" w:sz="0" w:space="0" w:color="auto"/>
            <w:bottom w:val="none" w:sz="0" w:space="0" w:color="auto"/>
            <w:right w:val="none" w:sz="0" w:space="0" w:color="auto"/>
          </w:divBdr>
        </w:div>
        <w:div w:id="1778596374">
          <w:marLeft w:val="0"/>
          <w:marRight w:val="0"/>
          <w:marTop w:val="0"/>
          <w:marBottom w:val="0"/>
          <w:divBdr>
            <w:top w:val="none" w:sz="0" w:space="0" w:color="auto"/>
            <w:left w:val="none" w:sz="0" w:space="0" w:color="auto"/>
            <w:bottom w:val="none" w:sz="0" w:space="0" w:color="auto"/>
            <w:right w:val="none" w:sz="0" w:space="0" w:color="auto"/>
          </w:divBdr>
          <w:divsChild>
            <w:div w:id="260263092">
              <w:marLeft w:val="0"/>
              <w:marRight w:val="0"/>
              <w:marTop w:val="0"/>
              <w:marBottom w:val="0"/>
              <w:divBdr>
                <w:top w:val="none" w:sz="0" w:space="0" w:color="auto"/>
                <w:left w:val="none" w:sz="0" w:space="0" w:color="auto"/>
                <w:bottom w:val="none" w:sz="0" w:space="0" w:color="auto"/>
                <w:right w:val="none" w:sz="0" w:space="0" w:color="auto"/>
              </w:divBdr>
            </w:div>
            <w:div w:id="574054400">
              <w:marLeft w:val="0"/>
              <w:marRight w:val="0"/>
              <w:marTop w:val="0"/>
              <w:marBottom w:val="0"/>
              <w:divBdr>
                <w:top w:val="none" w:sz="0" w:space="0" w:color="auto"/>
                <w:left w:val="none" w:sz="0" w:space="0" w:color="auto"/>
                <w:bottom w:val="none" w:sz="0" w:space="0" w:color="auto"/>
                <w:right w:val="none" w:sz="0" w:space="0" w:color="auto"/>
              </w:divBdr>
            </w:div>
            <w:div w:id="598682012">
              <w:marLeft w:val="0"/>
              <w:marRight w:val="0"/>
              <w:marTop w:val="0"/>
              <w:marBottom w:val="0"/>
              <w:divBdr>
                <w:top w:val="none" w:sz="0" w:space="0" w:color="auto"/>
                <w:left w:val="none" w:sz="0" w:space="0" w:color="auto"/>
                <w:bottom w:val="none" w:sz="0" w:space="0" w:color="auto"/>
                <w:right w:val="none" w:sz="0" w:space="0" w:color="auto"/>
              </w:divBdr>
            </w:div>
            <w:div w:id="1329361053">
              <w:marLeft w:val="0"/>
              <w:marRight w:val="0"/>
              <w:marTop w:val="0"/>
              <w:marBottom w:val="0"/>
              <w:divBdr>
                <w:top w:val="none" w:sz="0" w:space="0" w:color="auto"/>
                <w:left w:val="none" w:sz="0" w:space="0" w:color="auto"/>
                <w:bottom w:val="none" w:sz="0" w:space="0" w:color="auto"/>
                <w:right w:val="none" w:sz="0" w:space="0" w:color="auto"/>
              </w:divBdr>
            </w:div>
            <w:div w:id="1615945068">
              <w:marLeft w:val="0"/>
              <w:marRight w:val="0"/>
              <w:marTop w:val="0"/>
              <w:marBottom w:val="0"/>
              <w:divBdr>
                <w:top w:val="none" w:sz="0" w:space="0" w:color="auto"/>
                <w:left w:val="none" w:sz="0" w:space="0" w:color="auto"/>
                <w:bottom w:val="none" w:sz="0" w:space="0" w:color="auto"/>
                <w:right w:val="none" w:sz="0" w:space="0" w:color="auto"/>
              </w:divBdr>
            </w:div>
            <w:div w:id="1957060750">
              <w:marLeft w:val="0"/>
              <w:marRight w:val="0"/>
              <w:marTop w:val="0"/>
              <w:marBottom w:val="0"/>
              <w:divBdr>
                <w:top w:val="none" w:sz="0" w:space="0" w:color="auto"/>
                <w:left w:val="none" w:sz="0" w:space="0" w:color="auto"/>
                <w:bottom w:val="none" w:sz="0" w:space="0" w:color="auto"/>
                <w:right w:val="none" w:sz="0" w:space="0" w:color="auto"/>
              </w:divBdr>
            </w:div>
          </w:divsChild>
        </w:div>
        <w:div w:id="1785151705">
          <w:marLeft w:val="0"/>
          <w:marRight w:val="0"/>
          <w:marTop w:val="0"/>
          <w:marBottom w:val="0"/>
          <w:divBdr>
            <w:top w:val="none" w:sz="0" w:space="0" w:color="auto"/>
            <w:left w:val="none" w:sz="0" w:space="0" w:color="auto"/>
            <w:bottom w:val="none" w:sz="0" w:space="0" w:color="auto"/>
            <w:right w:val="none" w:sz="0" w:space="0" w:color="auto"/>
          </w:divBdr>
          <w:divsChild>
            <w:div w:id="97603247">
              <w:marLeft w:val="0"/>
              <w:marRight w:val="0"/>
              <w:marTop w:val="0"/>
              <w:marBottom w:val="0"/>
              <w:divBdr>
                <w:top w:val="none" w:sz="0" w:space="0" w:color="auto"/>
                <w:left w:val="none" w:sz="0" w:space="0" w:color="auto"/>
                <w:bottom w:val="none" w:sz="0" w:space="0" w:color="auto"/>
                <w:right w:val="none" w:sz="0" w:space="0" w:color="auto"/>
              </w:divBdr>
            </w:div>
            <w:div w:id="140467904">
              <w:marLeft w:val="0"/>
              <w:marRight w:val="0"/>
              <w:marTop w:val="0"/>
              <w:marBottom w:val="0"/>
              <w:divBdr>
                <w:top w:val="none" w:sz="0" w:space="0" w:color="auto"/>
                <w:left w:val="none" w:sz="0" w:space="0" w:color="auto"/>
                <w:bottom w:val="none" w:sz="0" w:space="0" w:color="auto"/>
                <w:right w:val="none" w:sz="0" w:space="0" w:color="auto"/>
              </w:divBdr>
            </w:div>
            <w:div w:id="359819295">
              <w:marLeft w:val="0"/>
              <w:marRight w:val="0"/>
              <w:marTop w:val="0"/>
              <w:marBottom w:val="0"/>
              <w:divBdr>
                <w:top w:val="none" w:sz="0" w:space="0" w:color="auto"/>
                <w:left w:val="none" w:sz="0" w:space="0" w:color="auto"/>
                <w:bottom w:val="none" w:sz="0" w:space="0" w:color="auto"/>
                <w:right w:val="none" w:sz="0" w:space="0" w:color="auto"/>
              </w:divBdr>
            </w:div>
            <w:div w:id="609095012">
              <w:marLeft w:val="0"/>
              <w:marRight w:val="0"/>
              <w:marTop w:val="0"/>
              <w:marBottom w:val="0"/>
              <w:divBdr>
                <w:top w:val="none" w:sz="0" w:space="0" w:color="auto"/>
                <w:left w:val="none" w:sz="0" w:space="0" w:color="auto"/>
                <w:bottom w:val="none" w:sz="0" w:space="0" w:color="auto"/>
                <w:right w:val="none" w:sz="0" w:space="0" w:color="auto"/>
              </w:divBdr>
            </w:div>
            <w:div w:id="662700164">
              <w:marLeft w:val="0"/>
              <w:marRight w:val="0"/>
              <w:marTop w:val="0"/>
              <w:marBottom w:val="0"/>
              <w:divBdr>
                <w:top w:val="none" w:sz="0" w:space="0" w:color="auto"/>
                <w:left w:val="none" w:sz="0" w:space="0" w:color="auto"/>
                <w:bottom w:val="none" w:sz="0" w:space="0" w:color="auto"/>
                <w:right w:val="none" w:sz="0" w:space="0" w:color="auto"/>
              </w:divBdr>
            </w:div>
            <w:div w:id="754984417">
              <w:marLeft w:val="0"/>
              <w:marRight w:val="0"/>
              <w:marTop w:val="0"/>
              <w:marBottom w:val="0"/>
              <w:divBdr>
                <w:top w:val="none" w:sz="0" w:space="0" w:color="auto"/>
                <w:left w:val="none" w:sz="0" w:space="0" w:color="auto"/>
                <w:bottom w:val="none" w:sz="0" w:space="0" w:color="auto"/>
                <w:right w:val="none" w:sz="0" w:space="0" w:color="auto"/>
              </w:divBdr>
            </w:div>
            <w:div w:id="816341672">
              <w:marLeft w:val="0"/>
              <w:marRight w:val="0"/>
              <w:marTop w:val="0"/>
              <w:marBottom w:val="0"/>
              <w:divBdr>
                <w:top w:val="none" w:sz="0" w:space="0" w:color="auto"/>
                <w:left w:val="none" w:sz="0" w:space="0" w:color="auto"/>
                <w:bottom w:val="none" w:sz="0" w:space="0" w:color="auto"/>
                <w:right w:val="none" w:sz="0" w:space="0" w:color="auto"/>
              </w:divBdr>
            </w:div>
            <w:div w:id="1115297519">
              <w:marLeft w:val="0"/>
              <w:marRight w:val="0"/>
              <w:marTop w:val="0"/>
              <w:marBottom w:val="0"/>
              <w:divBdr>
                <w:top w:val="none" w:sz="0" w:space="0" w:color="auto"/>
                <w:left w:val="none" w:sz="0" w:space="0" w:color="auto"/>
                <w:bottom w:val="none" w:sz="0" w:space="0" w:color="auto"/>
                <w:right w:val="none" w:sz="0" w:space="0" w:color="auto"/>
              </w:divBdr>
            </w:div>
            <w:div w:id="1129862200">
              <w:marLeft w:val="0"/>
              <w:marRight w:val="0"/>
              <w:marTop w:val="0"/>
              <w:marBottom w:val="0"/>
              <w:divBdr>
                <w:top w:val="none" w:sz="0" w:space="0" w:color="auto"/>
                <w:left w:val="none" w:sz="0" w:space="0" w:color="auto"/>
                <w:bottom w:val="none" w:sz="0" w:space="0" w:color="auto"/>
                <w:right w:val="none" w:sz="0" w:space="0" w:color="auto"/>
              </w:divBdr>
            </w:div>
            <w:div w:id="1149982534">
              <w:marLeft w:val="0"/>
              <w:marRight w:val="0"/>
              <w:marTop w:val="0"/>
              <w:marBottom w:val="0"/>
              <w:divBdr>
                <w:top w:val="none" w:sz="0" w:space="0" w:color="auto"/>
                <w:left w:val="none" w:sz="0" w:space="0" w:color="auto"/>
                <w:bottom w:val="none" w:sz="0" w:space="0" w:color="auto"/>
                <w:right w:val="none" w:sz="0" w:space="0" w:color="auto"/>
              </w:divBdr>
            </w:div>
            <w:div w:id="1327125196">
              <w:marLeft w:val="0"/>
              <w:marRight w:val="0"/>
              <w:marTop w:val="0"/>
              <w:marBottom w:val="0"/>
              <w:divBdr>
                <w:top w:val="none" w:sz="0" w:space="0" w:color="auto"/>
                <w:left w:val="none" w:sz="0" w:space="0" w:color="auto"/>
                <w:bottom w:val="none" w:sz="0" w:space="0" w:color="auto"/>
                <w:right w:val="none" w:sz="0" w:space="0" w:color="auto"/>
              </w:divBdr>
            </w:div>
            <w:div w:id="1361080347">
              <w:marLeft w:val="0"/>
              <w:marRight w:val="0"/>
              <w:marTop w:val="0"/>
              <w:marBottom w:val="0"/>
              <w:divBdr>
                <w:top w:val="none" w:sz="0" w:space="0" w:color="auto"/>
                <w:left w:val="none" w:sz="0" w:space="0" w:color="auto"/>
                <w:bottom w:val="none" w:sz="0" w:space="0" w:color="auto"/>
                <w:right w:val="none" w:sz="0" w:space="0" w:color="auto"/>
              </w:divBdr>
            </w:div>
            <w:div w:id="1378159017">
              <w:marLeft w:val="0"/>
              <w:marRight w:val="0"/>
              <w:marTop w:val="0"/>
              <w:marBottom w:val="0"/>
              <w:divBdr>
                <w:top w:val="none" w:sz="0" w:space="0" w:color="auto"/>
                <w:left w:val="none" w:sz="0" w:space="0" w:color="auto"/>
                <w:bottom w:val="none" w:sz="0" w:space="0" w:color="auto"/>
                <w:right w:val="none" w:sz="0" w:space="0" w:color="auto"/>
              </w:divBdr>
            </w:div>
            <w:div w:id="1588033212">
              <w:marLeft w:val="0"/>
              <w:marRight w:val="0"/>
              <w:marTop w:val="0"/>
              <w:marBottom w:val="0"/>
              <w:divBdr>
                <w:top w:val="none" w:sz="0" w:space="0" w:color="auto"/>
                <w:left w:val="none" w:sz="0" w:space="0" w:color="auto"/>
                <w:bottom w:val="none" w:sz="0" w:space="0" w:color="auto"/>
                <w:right w:val="none" w:sz="0" w:space="0" w:color="auto"/>
              </w:divBdr>
            </w:div>
            <w:div w:id="1745030958">
              <w:marLeft w:val="0"/>
              <w:marRight w:val="0"/>
              <w:marTop w:val="0"/>
              <w:marBottom w:val="0"/>
              <w:divBdr>
                <w:top w:val="none" w:sz="0" w:space="0" w:color="auto"/>
                <w:left w:val="none" w:sz="0" w:space="0" w:color="auto"/>
                <w:bottom w:val="none" w:sz="0" w:space="0" w:color="auto"/>
                <w:right w:val="none" w:sz="0" w:space="0" w:color="auto"/>
              </w:divBdr>
            </w:div>
            <w:div w:id="1781874441">
              <w:marLeft w:val="0"/>
              <w:marRight w:val="0"/>
              <w:marTop w:val="0"/>
              <w:marBottom w:val="0"/>
              <w:divBdr>
                <w:top w:val="none" w:sz="0" w:space="0" w:color="auto"/>
                <w:left w:val="none" w:sz="0" w:space="0" w:color="auto"/>
                <w:bottom w:val="none" w:sz="0" w:space="0" w:color="auto"/>
                <w:right w:val="none" w:sz="0" w:space="0" w:color="auto"/>
              </w:divBdr>
            </w:div>
            <w:div w:id="1994874035">
              <w:marLeft w:val="0"/>
              <w:marRight w:val="0"/>
              <w:marTop w:val="0"/>
              <w:marBottom w:val="0"/>
              <w:divBdr>
                <w:top w:val="none" w:sz="0" w:space="0" w:color="auto"/>
                <w:left w:val="none" w:sz="0" w:space="0" w:color="auto"/>
                <w:bottom w:val="none" w:sz="0" w:space="0" w:color="auto"/>
                <w:right w:val="none" w:sz="0" w:space="0" w:color="auto"/>
              </w:divBdr>
            </w:div>
            <w:div w:id="2002730551">
              <w:marLeft w:val="0"/>
              <w:marRight w:val="0"/>
              <w:marTop w:val="0"/>
              <w:marBottom w:val="0"/>
              <w:divBdr>
                <w:top w:val="none" w:sz="0" w:space="0" w:color="auto"/>
                <w:left w:val="none" w:sz="0" w:space="0" w:color="auto"/>
                <w:bottom w:val="none" w:sz="0" w:space="0" w:color="auto"/>
                <w:right w:val="none" w:sz="0" w:space="0" w:color="auto"/>
              </w:divBdr>
            </w:div>
          </w:divsChild>
        </w:div>
        <w:div w:id="1795562166">
          <w:marLeft w:val="0"/>
          <w:marRight w:val="0"/>
          <w:marTop w:val="0"/>
          <w:marBottom w:val="0"/>
          <w:divBdr>
            <w:top w:val="none" w:sz="0" w:space="0" w:color="auto"/>
            <w:left w:val="none" w:sz="0" w:space="0" w:color="auto"/>
            <w:bottom w:val="none" w:sz="0" w:space="0" w:color="auto"/>
            <w:right w:val="none" w:sz="0" w:space="0" w:color="auto"/>
          </w:divBdr>
        </w:div>
        <w:div w:id="1800805080">
          <w:marLeft w:val="0"/>
          <w:marRight w:val="0"/>
          <w:marTop w:val="0"/>
          <w:marBottom w:val="0"/>
          <w:divBdr>
            <w:top w:val="none" w:sz="0" w:space="0" w:color="auto"/>
            <w:left w:val="none" w:sz="0" w:space="0" w:color="auto"/>
            <w:bottom w:val="none" w:sz="0" w:space="0" w:color="auto"/>
            <w:right w:val="none" w:sz="0" w:space="0" w:color="auto"/>
          </w:divBdr>
          <w:divsChild>
            <w:div w:id="749890714">
              <w:marLeft w:val="-75"/>
              <w:marRight w:val="0"/>
              <w:marTop w:val="30"/>
              <w:marBottom w:val="30"/>
              <w:divBdr>
                <w:top w:val="none" w:sz="0" w:space="0" w:color="auto"/>
                <w:left w:val="none" w:sz="0" w:space="0" w:color="auto"/>
                <w:bottom w:val="none" w:sz="0" w:space="0" w:color="auto"/>
                <w:right w:val="none" w:sz="0" w:space="0" w:color="auto"/>
              </w:divBdr>
              <w:divsChild>
                <w:div w:id="129177827">
                  <w:marLeft w:val="0"/>
                  <w:marRight w:val="0"/>
                  <w:marTop w:val="0"/>
                  <w:marBottom w:val="0"/>
                  <w:divBdr>
                    <w:top w:val="none" w:sz="0" w:space="0" w:color="auto"/>
                    <w:left w:val="none" w:sz="0" w:space="0" w:color="auto"/>
                    <w:bottom w:val="none" w:sz="0" w:space="0" w:color="auto"/>
                    <w:right w:val="none" w:sz="0" w:space="0" w:color="auto"/>
                  </w:divBdr>
                  <w:divsChild>
                    <w:div w:id="149297834">
                      <w:marLeft w:val="0"/>
                      <w:marRight w:val="0"/>
                      <w:marTop w:val="0"/>
                      <w:marBottom w:val="0"/>
                      <w:divBdr>
                        <w:top w:val="none" w:sz="0" w:space="0" w:color="auto"/>
                        <w:left w:val="none" w:sz="0" w:space="0" w:color="auto"/>
                        <w:bottom w:val="none" w:sz="0" w:space="0" w:color="auto"/>
                        <w:right w:val="none" w:sz="0" w:space="0" w:color="auto"/>
                      </w:divBdr>
                    </w:div>
                  </w:divsChild>
                </w:div>
                <w:div w:id="196701825">
                  <w:marLeft w:val="0"/>
                  <w:marRight w:val="0"/>
                  <w:marTop w:val="0"/>
                  <w:marBottom w:val="0"/>
                  <w:divBdr>
                    <w:top w:val="none" w:sz="0" w:space="0" w:color="auto"/>
                    <w:left w:val="none" w:sz="0" w:space="0" w:color="auto"/>
                    <w:bottom w:val="none" w:sz="0" w:space="0" w:color="auto"/>
                    <w:right w:val="none" w:sz="0" w:space="0" w:color="auto"/>
                  </w:divBdr>
                  <w:divsChild>
                    <w:div w:id="1540169564">
                      <w:marLeft w:val="0"/>
                      <w:marRight w:val="0"/>
                      <w:marTop w:val="0"/>
                      <w:marBottom w:val="0"/>
                      <w:divBdr>
                        <w:top w:val="none" w:sz="0" w:space="0" w:color="auto"/>
                        <w:left w:val="none" w:sz="0" w:space="0" w:color="auto"/>
                        <w:bottom w:val="none" w:sz="0" w:space="0" w:color="auto"/>
                        <w:right w:val="none" w:sz="0" w:space="0" w:color="auto"/>
                      </w:divBdr>
                    </w:div>
                  </w:divsChild>
                </w:div>
                <w:div w:id="399406486">
                  <w:marLeft w:val="0"/>
                  <w:marRight w:val="0"/>
                  <w:marTop w:val="0"/>
                  <w:marBottom w:val="0"/>
                  <w:divBdr>
                    <w:top w:val="none" w:sz="0" w:space="0" w:color="auto"/>
                    <w:left w:val="none" w:sz="0" w:space="0" w:color="auto"/>
                    <w:bottom w:val="none" w:sz="0" w:space="0" w:color="auto"/>
                    <w:right w:val="none" w:sz="0" w:space="0" w:color="auto"/>
                  </w:divBdr>
                  <w:divsChild>
                    <w:div w:id="1133208784">
                      <w:marLeft w:val="0"/>
                      <w:marRight w:val="0"/>
                      <w:marTop w:val="0"/>
                      <w:marBottom w:val="0"/>
                      <w:divBdr>
                        <w:top w:val="none" w:sz="0" w:space="0" w:color="auto"/>
                        <w:left w:val="none" w:sz="0" w:space="0" w:color="auto"/>
                        <w:bottom w:val="none" w:sz="0" w:space="0" w:color="auto"/>
                        <w:right w:val="none" w:sz="0" w:space="0" w:color="auto"/>
                      </w:divBdr>
                    </w:div>
                  </w:divsChild>
                </w:div>
                <w:div w:id="412750797">
                  <w:marLeft w:val="0"/>
                  <w:marRight w:val="0"/>
                  <w:marTop w:val="0"/>
                  <w:marBottom w:val="0"/>
                  <w:divBdr>
                    <w:top w:val="none" w:sz="0" w:space="0" w:color="auto"/>
                    <w:left w:val="none" w:sz="0" w:space="0" w:color="auto"/>
                    <w:bottom w:val="none" w:sz="0" w:space="0" w:color="auto"/>
                    <w:right w:val="none" w:sz="0" w:space="0" w:color="auto"/>
                  </w:divBdr>
                  <w:divsChild>
                    <w:div w:id="1405563368">
                      <w:marLeft w:val="0"/>
                      <w:marRight w:val="0"/>
                      <w:marTop w:val="0"/>
                      <w:marBottom w:val="0"/>
                      <w:divBdr>
                        <w:top w:val="none" w:sz="0" w:space="0" w:color="auto"/>
                        <w:left w:val="none" w:sz="0" w:space="0" w:color="auto"/>
                        <w:bottom w:val="none" w:sz="0" w:space="0" w:color="auto"/>
                        <w:right w:val="none" w:sz="0" w:space="0" w:color="auto"/>
                      </w:divBdr>
                    </w:div>
                  </w:divsChild>
                </w:div>
                <w:div w:id="440152511">
                  <w:marLeft w:val="0"/>
                  <w:marRight w:val="0"/>
                  <w:marTop w:val="0"/>
                  <w:marBottom w:val="0"/>
                  <w:divBdr>
                    <w:top w:val="none" w:sz="0" w:space="0" w:color="auto"/>
                    <w:left w:val="none" w:sz="0" w:space="0" w:color="auto"/>
                    <w:bottom w:val="none" w:sz="0" w:space="0" w:color="auto"/>
                    <w:right w:val="none" w:sz="0" w:space="0" w:color="auto"/>
                  </w:divBdr>
                  <w:divsChild>
                    <w:div w:id="1698696333">
                      <w:marLeft w:val="0"/>
                      <w:marRight w:val="0"/>
                      <w:marTop w:val="0"/>
                      <w:marBottom w:val="0"/>
                      <w:divBdr>
                        <w:top w:val="none" w:sz="0" w:space="0" w:color="auto"/>
                        <w:left w:val="none" w:sz="0" w:space="0" w:color="auto"/>
                        <w:bottom w:val="none" w:sz="0" w:space="0" w:color="auto"/>
                        <w:right w:val="none" w:sz="0" w:space="0" w:color="auto"/>
                      </w:divBdr>
                    </w:div>
                  </w:divsChild>
                </w:div>
                <w:div w:id="513686619">
                  <w:marLeft w:val="0"/>
                  <w:marRight w:val="0"/>
                  <w:marTop w:val="0"/>
                  <w:marBottom w:val="0"/>
                  <w:divBdr>
                    <w:top w:val="none" w:sz="0" w:space="0" w:color="auto"/>
                    <w:left w:val="none" w:sz="0" w:space="0" w:color="auto"/>
                    <w:bottom w:val="none" w:sz="0" w:space="0" w:color="auto"/>
                    <w:right w:val="none" w:sz="0" w:space="0" w:color="auto"/>
                  </w:divBdr>
                  <w:divsChild>
                    <w:div w:id="513803558">
                      <w:marLeft w:val="0"/>
                      <w:marRight w:val="0"/>
                      <w:marTop w:val="0"/>
                      <w:marBottom w:val="0"/>
                      <w:divBdr>
                        <w:top w:val="none" w:sz="0" w:space="0" w:color="auto"/>
                        <w:left w:val="none" w:sz="0" w:space="0" w:color="auto"/>
                        <w:bottom w:val="none" w:sz="0" w:space="0" w:color="auto"/>
                        <w:right w:val="none" w:sz="0" w:space="0" w:color="auto"/>
                      </w:divBdr>
                    </w:div>
                  </w:divsChild>
                </w:div>
                <w:div w:id="668170317">
                  <w:marLeft w:val="0"/>
                  <w:marRight w:val="0"/>
                  <w:marTop w:val="0"/>
                  <w:marBottom w:val="0"/>
                  <w:divBdr>
                    <w:top w:val="none" w:sz="0" w:space="0" w:color="auto"/>
                    <w:left w:val="none" w:sz="0" w:space="0" w:color="auto"/>
                    <w:bottom w:val="none" w:sz="0" w:space="0" w:color="auto"/>
                    <w:right w:val="none" w:sz="0" w:space="0" w:color="auto"/>
                  </w:divBdr>
                  <w:divsChild>
                    <w:div w:id="358239839">
                      <w:marLeft w:val="0"/>
                      <w:marRight w:val="0"/>
                      <w:marTop w:val="0"/>
                      <w:marBottom w:val="0"/>
                      <w:divBdr>
                        <w:top w:val="none" w:sz="0" w:space="0" w:color="auto"/>
                        <w:left w:val="none" w:sz="0" w:space="0" w:color="auto"/>
                        <w:bottom w:val="none" w:sz="0" w:space="0" w:color="auto"/>
                        <w:right w:val="none" w:sz="0" w:space="0" w:color="auto"/>
                      </w:divBdr>
                    </w:div>
                  </w:divsChild>
                </w:div>
                <w:div w:id="703288678">
                  <w:marLeft w:val="0"/>
                  <w:marRight w:val="0"/>
                  <w:marTop w:val="0"/>
                  <w:marBottom w:val="0"/>
                  <w:divBdr>
                    <w:top w:val="none" w:sz="0" w:space="0" w:color="auto"/>
                    <w:left w:val="none" w:sz="0" w:space="0" w:color="auto"/>
                    <w:bottom w:val="none" w:sz="0" w:space="0" w:color="auto"/>
                    <w:right w:val="none" w:sz="0" w:space="0" w:color="auto"/>
                  </w:divBdr>
                  <w:divsChild>
                    <w:div w:id="1397241661">
                      <w:marLeft w:val="0"/>
                      <w:marRight w:val="0"/>
                      <w:marTop w:val="0"/>
                      <w:marBottom w:val="0"/>
                      <w:divBdr>
                        <w:top w:val="none" w:sz="0" w:space="0" w:color="auto"/>
                        <w:left w:val="none" w:sz="0" w:space="0" w:color="auto"/>
                        <w:bottom w:val="none" w:sz="0" w:space="0" w:color="auto"/>
                        <w:right w:val="none" w:sz="0" w:space="0" w:color="auto"/>
                      </w:divBdr>
                    </w:div>
                  </w:divsChild>
                </w:div>
                <w:div w:id="1072852194">
                  <w:marLeft w:val="0"/>
                  <w:marRight w:val="0"/>
                  <w:marTop w:val="0"/>
                  <w:marBottom w:val="0"/>
                  <w:divBdr>
                    <w:top w:val="none" w:sz="0" w:space="0" w:color="auto"/>
                    <w:left w:val="none" w:sz="0" w:space="0" w:color="auto"/>
                    <w:bottom w:val="none" w:sz="0" w:space="0" w:color="auto"/>
                    <w:right w:val="none" w:sz="0" w:space="0" w:color="auto"/>
                  </w:divBdr>
                  <w:divsChild>
                    <w:div w:id="1777599573">
                      <w:marLeft w:val="0"/>
                      <w:marRight w:val="0"/>
                      <w:marTop w:val="0"/>
                      <w:marBottom w:val="0"/>
                      <w:divBdr>
                        <w:top w:val="none" w:sz="0" w:space="0" w:color="auto"/>
                        <w:left w:val="none" w:sz="0" w:space="0" w:color="auto"/>
                        <w:bottom w:val="none" w:sz="0" w:space="0" w:color="auto"/>
                        <w:right w:val="none" w:sz="0" w:space="0" w:color="auto"/>
                      </w:divBdr>
                    </w:div>
                  </w:divsChild>
                </w:div>
                <w:div w:id="1377390443">
                  <w:marLeft w:val="0"/>
                  <w:marRight w:val="0"/>
                  <w:marTop w:val="0"/>
                  <w:marBottom w:val="0"/>
                  <w:divBdr>
                    <w:top w:val="none" w:sz="0" w:space="0" w:color="auto"/>
                    <w:left w:val="none" w:sz="0" w:space="0" w:color="auto"/>
                    <w:bottom w:val="none" w:sz="0" w:space="0" w:color="auto"/>
                    <w:right w:val="none" w:sz="0" w:space="0" w:color="auto"/>
                  </w:divBdr>
                  <w:divsChild>
                    <w:div w:id="1643467067">
                      <w:marLeft w:val="0"/>
                      <w:marRight w:val="0"/>
                      <w:marTop w:val="0"/>
                      <w:marBottom w:val="0"/>
                      <w:divBdr>
                        <w:top w:val="none" w:sz="0" w:space="0" w:color="auto"/>
                        <w:left w:val="none" w:sz="0" w:space="0" w:color="auto"/>
                        <w:bottom w:val="none" w:sz="0" w:space="0" w:color="auto"/>
                        <w:right w:val="none" w:sz="0" w:space="0" w:color="auto"/>
                      </w:divBdr>
                    </w:div>
                  </w:divsChild>
                </w:div>
                <w:div w:id="1586571503">
                  <w:marLeft w:val="0"/>
                  <w:marRight w:val="0"/>
                  <w:marTop w:val="0"/>
                  <w:marBottom w:val="0"/>
                  <w:divBdr>
                    <w:top w:val="none" w:sz="0" w:space="0" w:color="auto"/>
                    <w:left w:val="none" w:sz="0" w:space="0" w:color="auto"/>
                    <w:bottom w:val="none" w:sz="0" w:space="0" w:color="auto"/>
                    <w:right w:val="none" w:sz="0" w:space="0" w:color="auto"/>
                  </w:divBdr>
                  <w:divsChild>
                    <w:div w:id="624234830">
                      <w:marLeft w:val="0"/>
                      <w:marRight w:val="0"/>
                      <w:marTop w:val="0"/>
                      <w:marBottom w:val="0"/>
                      <w:divBdr>
                        <w:top w:val="none" w:sz="0" w:space="0" w:color="auto"/>
                        <w:left w:val="none" w:sz="0" w:space="0" w:color="auto"/>
                        <w:bottom w:val="none" w:sz="0" w:space="0" w:color="auto"/>
                        <w:right w:val="none" w:sz="0" w:space="0" w:color="auto"/>
                      </w:divBdr>
                    </w:div>
                  </w:divsChild>
                </w:div>
                <w:div w:id="2074499254">
                  <w:marLeft w:val="0"/>
                  <w:marRight w:val="0"/>
                  <w:marTop w:val="0"/>
                  <w:marBottom w:val="0"/>
                  <w:divBdr>
                    <w:top w:val="none" w:sz="0" w:space="0" w:color="auto"/>
                    <w:left w:val="none" w:sz="0" w:space="0" w:color="auto"/>
                    <w:bottom w:val="none" w:sz="0" w:space="0" w:color="auto"/>
                    <w:right w:val="none" w:sz="0" w:space="0" w:color="auto"/>
                  </w:divBdr>
                  <w:divsChild>
                    <w:div w:id="36255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6121">
          <w:marLeft w:val="0"/>
          <w:marRight w:val="0"/>
          <w:marTop w:val="0"/>
          <w:marBottom w:val="0"/>
          <w:divBdr>
            <w:top w:val="none" w:sz="0" w:space="0" w:color="auto"/>
            <w:left w:val="none" w:sz="0" w:space="0" w:color="auto"/>
            <w:bottom w:val="none" w:sz="0" w:space="0" w:color="auto"/>
            <w:right w:val="none" w:sz="0" w:space="0" w:color="auto"/>
          </w:divBdr>
          <w:divsChild>
            <w:div w:id="1201935828">
              <w:marLeft w:val="-75"/>
              <w:marRight w:val="0"/>
              <w:marTop w:val="30"/>
              <w:marBottom w:val="30"/>
              <w:divBdr>
                <w:top w:val="none" w:sz="0" w:space="0" w:color="auto"/>
                <w:left w:val="none" w:sz="0" w:space="0" w:color="auto"/>
                <w:bottom w:val="none" w:sz="0" w:space="0" w:color="auto"/>
                <w:right w:val="none" w:sz="0" w:space="0" w:color="auto"/>
              </w:divBdr>
              <w:divsChild>
                <w:div w:id="28922679">
                  <w:marLeft w:val="0"/>
                  <w:marRight w:val="0"/>
                  <w:marTop w:val="0"/>
                  <w:marBottom w:val="0"/>
                  <w:divBdr>
                    <w:top w:val="none" w:sz="0" w:space="0" w:color="auto"/>
                    <w:left w:val="none" w:sz="0" w:space="0" w:color="auto"/>
                    <w:bottom w:val="none" w:sz="0" w:space="0" w:color="auto"/>
                    <w:right w:val="none" w:sz="0" w:space="0" w:color="auto"/>
                  </w:divBdr>
                  <w:divsChild>
                    <w:div w:id="1702441123">
                      <w:marLeft w:val="0"/>
                      <w:marRight w:val="0"/>
                      <w:marTop w:val="0"/>
                      <w:marBottom w:val="0"/>
                      <w:divBdr>
                        <w:top w:val="none" w:sz="0" w:space="0" w:color="auto"/>
                        <w:left w:val="none" w:sz="0" w:space="0" w:color="auto"/>
                        <w:bottom w:val="none" w:sz="0" w:space="0" w:color="auto"/>
                        <w:right w:val="none" w:sz="0" w:space="0" w:color="auto"/>
                      </w:divBdr>
                    </w:div>
                  </w:divsChild>
                </w:div>
                <w:div w:id="217673733">
                  <w:marLeft w:val="0"/>
                  <w:marRight w:val="0"/>
                  <w:marTop w:val="0"/>
                  <w:marBottom w:val="0"/>
                  <w:divBdr>
                    <w:top w:val="none" w:sz="0" w:space="0" w:color="auto"/>
                    <w:left w:val="none" w:sz="0" w:space="0" w:color="auto"/>
                    <w:bottom w:val="none" w:sz="0" w:space="0" w:color="auto"/>
                    <w:right w:val="none" w:sz="0" w:space="0" w:color="auto"/>
                  </w:divBdr>
                  <w:divsChild>
                    <w:div w:id="1386639134">
                      <w:marLeft w:val="0"/>
                      <w:marRight w:val="0"/>
                      <w:marTop w:val="0"/>
                      <w:marBottom w:val="0"/>
                      <w:divBdr>
                        <w:top w:val="none" w:sz="0" w:space="0" w:color="auto"/>
                        <w:left w:val="none" w:sz="0" w:space="0" w:color="auto"/>
                        <w:bottom w:val="none" w:sz="0" w:space="0" w:color="auto"/>
                        <w:right w:val="none" w:sz="0" w:space="0" w:color="auto"/>
                      </w:divBdr>
                    </w:div>
                  </w:divsChild>
                </w:div>
                <w:div w:id="238684712">
                  <w:marLeft w:val="0"/>
                  <w:marRight w:val="0"/>
                  <w:marTop w:val="0"/>
                  <w:marBottom w:val="0"/>
                  <w:divBdr>
                    <w:top w:val="none" w:sz="0" w:space="0" w:color="auto"/>
                    <w:left w:val="none" w:sz="0" w:space="0" w:color="auto"/>
                    <w:bottom w:val="none" w:sz="0" w:space="0" w:color="auto"/>
                    <w:right w:val="none" w:sz="0" w:space="0" w:color="auto"/>
                  </w:divBdr>
                  <w:divsChild>
                    <w:div w:id="314996171">
                      <w:marLeft w:val="0"/>
                      <w:marRight w:val="0"/>
                      <w:marTop w:val="0"/>
                      <w:marBottom w:val="0"/>
                      <w:divBdr>
                        <w:top w:val="none" w:sz="0" w:space="0" w:color="auto"/>
                        <w:left w:val="none" w:sz="0" w:space="0" w:color="auto"/>
                        <w:bottom w:val="none" w:sz="0" w:space="0" w:color="auto"/>
                        <w:right w:val="none" w:sz="0" w:space="0" w:color="auto"/>
                      </w:divBdr>
                    </w:div>
                  </w:divsChild>
                </w:div>
                <w:div w:id="753824448">
                  <w:marLeft w:val="0"/>
                  <w:marRight w:val="0"/>
                  <w:marTop w:val="0"/>
                  <w:marBottom w:val="0"/>
                  <w:divBdr>
                    <w:top w:val="none" w:sz="0" w:space="0" w:color="auto"/>
                    <w:left w:val="none" w:sz="0" w:space="0" w:color="auto"/>
                    <w:bottom w:val="none" w:sz="0" w:space="0" w:color="auto"/>
                    <w:right w:val="none" w:sz="0" w:space="0" w:color="auto"/>
                  </w:divBdr>
                  <w:divsChild>
                    <w:div w:id="706639298">
                      <w:marLeft w:val="0"/>
                      <w:marRight w:val="0"/>
                      <w:marTop w:val="0"/>
                      <w:marBottom w:val="0"/>
                      <w:divBdr>
                        <w:top w:val="none" w:sz="0" w:space="0" w:color="auto"/>
                        <w:left w:val="none" w:sz="0" w:space="0" w:color="auto"/>
                        <w:bottom w:val="none" w:sz="0" w:space="0" w:color="auto"/>
                        <w:right w:val="none" w:sz="0" w:space="0" w:color="auto"/>
                      </w:divBdr>
                    </w:div>
                  </w:divsChild>
                </w:div>
                <w:div w:id="1247421750">
                  <w:marLeft w:val="0"/>
                  <w:marRight w:val="0"/>
                  <w:marTop w:val="0"/>
                  <w:marBottom w:val="0"/>
                  <w:divBdr>
                    <w:top w:val="none" w:sz="0" w:space="0" w:color="auto"/>
                    <w:left w:val="none" w:sz="0" w:space="0" w:color="auto"/>
                    <w:bottom w:val="none" w:sz="0" w:space="0" w:color="auto"/>
                    <w:right w:val="none" w:sz="0" w:space="0" w:color="auto"/>
                  </w:divBdr>
                  <w:divsChild>
                    <w:div w:id="49110812">
                      <w:marLeft w:val="0"/>
                      <w:marRight w:val="0"/>
                      <w:marTop w:val="0"/>
                      <w:marBottom w:val="0"/>
                      <w:divBdr>
                        <w:top w:val="none" w:sz="0" w:space="0" w:color="auto"/>
                        <w:left w:val="none" w:sz="0" w:space="0" w:color="auto"/>
                        <w:bottom w:val="none" w:sz="0" w:space="0" w:color="auto"/>
                        <w:right w:val="none" w:sz="0" w:space="0" w:color="auto"/>
                      </w:divBdr>
                    </w:div>
                  </w:divsChild>
                </w:div>
                <w:div w:id="1297418468">
                  <w:marLeft w:val="0"/>
                  <w:marRight w:val="0"/>
                  <w:marTop w:val="0"/>
                  <w:marBottom w:val="0"/>
                  <w:divBdr>
                    <w:top w:val="none" w:sz="0" w:space="0" w:color="auto"/>
                    <w:left w:val="none" w:sz="0" w:space="0" w:color="auto"/>
                    <w:bottom w:val="none" w:sz="0" w:space="0" w:color="auto"/>
                    <w:right w:val="none" w:sz="0" w:space="0" w:color="auto"/>
                  </w:divBdr>
                  <w:divsChild>
                    <w:div w:id="120325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834002">
          <w:marLeft w:val="0"/>
          <w:marRight w:val="0"/>
          <w:marTop w:val="0"/>
          <w:marBottom w:val="0"/>
          <w:divBdr>
            <w:top w:val="none" w:sz="0" w:space="0" w:color="auto"/>
            <w:left w:val="none" w:sz="0" w:space="0" w:color="auto"/>
            <w:bottom w:val="none" w:sz="0" w:space="0" w:color="auto"/>
            <w:right w:val="none" w:sz="0" w:space="0" w:color="auto"/>
          </w:divBdr>
          <w:divsChild>
            <w:div w:id="1176112425">
              <w:marLeft w:val="-75"/>
              <w:marRight w:val="0"/>
              <w:marTop w:val="30"/>
              <w:marBottom w:val="30"/>
              <w:divBdr>
                <w:top w:val="none" w:sz="0" w:space="0" w:color="auto"/>
                <w:left w:val="none" w:sz="0" w:space="0" w:color="auto"/>
                <w:bottom w:val="none" w:sz="0" w:space="0" w:color="auto"/>
                <w:right w:val="none" w:sz="0" w:space="0" w:color="auto"/>
              </w:divBdr>
              <w:divsChild>
                <w:div w:id="74284886">
                  <w:marLeft w:val="0"/>
                  <w:marRight w:val="0"/>
                  <w:marTop w:val="0"/>
                  <w:marBottom w:val="0"/>
                  <w:divBdr>
                    <w:top w:val="none" w:sz="0" w:space="0" w:color="auto"/>
                    <w:left w:val="none" w:sz="0" w:space="0" w:color="auto"/>
                    <w:bottom w:val="none" w:sz="0" w:space="0" w:color="auto"/>
                    <w:right w:val="none" w:sz="0" w:space="0" w:color="auto"/>
                  </w:divBdr>
                  <w:divsChild>
                    <w:div w:id="2119444169">
                      <w:marLeft w:val="0"/>
                      <w:marRight w:val="0"/>
                      <w:marTop w:val="0"/>
                      <w:marBottom w:val="0"/>
                      <w:divBdr>
                        <w:top w:val="none" w:sz="0" w:space="0" w:color="auto"/>
                        <w:left w:val="none" w:sz="0" w:space="0" w:color="auto"/>
                        <w:bottom w:val="none" w:sz="0" w:space="0" w:color="auto"/>
                        <w:right w:val="none" w:sz="0" w:space="0" w:color="auto"/>
                      </w:divBdr>
                    </w:div>
                  </w:divsChild>
                </w:div>
                <w:div w:id="80179191">
                  <w:marLeft w:val="0"/>
                  <w:marRight w:val="0"/>
                  <w:marTop w:val="0"/>
                  <w:marBottom w:val="0"/>
                  <w:divBdr>
                    <w:top w:val="none" w:sz="0" w:space="0" w:color="auto"/>
                    <w:left w:val="none" w:sz="0" w:space="0" w:color="auto"/>
                    <w:bottom w:val="none" w:sz="0" w:space="0" w:color="auto"/>
                    <w:right w:val="none" w:sz="0" w:space="0" w:color="auto"/>
                  </w:divBdr>
                  <w:divsChild>
                    <w:div w:id="2091997971">
                      <w:marLeft w:val="0"/>
                      <w:marRight w:val="0"/>
                      <w:marTop w:val="0"/>
                      <w:marBottom w:val="0"/>
                      <w:divBdr>
                        <w:top w:val="none" w:sz="0" w:space="0" w:color="auto"/>
                        <w:left w:val="none" w:sz="0" w:space="0" w:color="auto"/>
                        <w:bottom w:val="none" w:sz="0" w:space="0" w:color="auto"/>
                        <w:right w:val="none" w:sz="0" w:space="0" w:color="auto"/>
                      </w:divBdr>
                    </w:div>
                  </w:divsChild>
                </w:div>
                <w:div w:id="195240800">
                  <w:marLeft w:val="0"/>
                  <w:marRight w:val="0"/>
                  <w:marTop w:val="0"/>
                  <w:marBottom w:val="0"/>
                  <w:divBdr>
                    <w:top w:val="none" w:sz="0" w:space="0" w:color="auto"/>
                    <w:left w:val="none" w:sz="0" w:space="0" w:color="auto"/>
                    <w:bottom w:val="none" w:sz="0" w:space="0" w:color="auto"/>
                    <w:right w:val="none" w:sz="0" w:space="0" w:color="auto"/>
                  </w:divBdr>
                  <w:divsChild>
                    <w:div w:id="1666935886">
                      <w:marLeft w:val="0"/>
                      <w:marRight w:val="0"/>
                      <w:marTop w:val="0"/>
                      <w:marBottom w:val="0"/>
                      <w:divBdr>
                        <w:top w:val="none" w:sz="0" w:space="0" w:color="auto"/>
                        <w:left w:val="none" w:sz="0" w:space="0" w:color="auto"/>
                        <w:bottom w:val="none" w:sz="0" w:space="0" w:color="auto"/>
                        <w:right w:val="none" w:sz="0" w:space="0" w:color="auto"/>
                      </w:divBdr>
                    </w:div>
                  </w:divsChild>
                </w:div>
                <w:div w:id="210729622">
                  <w:marLeft w:val="0"/>
                  <w:marRight w:val="0"/>
                  <w:marTop w:val="0"/>
                  <w:marBottom w:val="0"/>
                  <w:divBdr>
                    <w:top w:val="none" w:sz="0" w:space="0" w:color="auto"/>
                    <w:left w:val="none" w:sz="0" w:space="0" w:color="auto"/>
                    <w:bottom w:val="none" w:sz="0" w:space="0" w:color="auto"/>
                    <w:right w:val="none" w:sz="0" w:space="0" w:color="auto"/>
                  </w:divBdr>
                  <w:divsChild>
                    <w:div w:id="962275738">
                      <w:marLeft w:val="0"/>
                      <w:marRight w:val="0"/>
                      <w:marTop w:val="0"/>
                      <w:marBottom w:val="0"/>
                      <w:divBdr>
                        <w:top w:val="none" w:sz="0" w:space="0" w:color="auto"/>
                        <w:left w:val="none" w:sz="0" w:space="0" w:color="auto"/>
                        <w:bottom w:val="none" w:sz="0" w:space="0" w:color="auto"/>
                        <w:right w:val="none" w:sz="0" w:space="0" w:color="auto"/>
                      </w:divBdr>
                    </w:div>
                  </w:divsChild>
                </w:div>
                <w:div w:id="456139969">
                  <w:marLeft w:val="0"/>
                  <w:marRight w:val="0"/>
                  <w:marTop w:val="0"/>
                  <w:marBottom w:val="0"/>
                  <w:divBdr>
                    <w:top w:val="none" w:sz="0" w:space="0" w:color="auto"/>
                    <w:left w:val="none" w:sz="0" w:space="0" w:color="auto"/>
                    <w:bottom w:val="none" w:sz="0" w:space="0" w:color="auto"/>
                    <w:right w:val="none" w:sz="0" w:space="0" w:color="auto"/>
                  </w:divBdr>
                  <w:divsChild>
                    <w:div w:id="323701452">
                      <w:marLeft w:val="0"/>
                      <w:marRight w:val="0"/>
                      <w:marTop w:val="0"/>
                      <w:marBottom w:val="0"/>
                      <w:divBdr>
                        <w:top w:val="none" w:sz="0" w:space="0" w:color="auto"/>
                        <w:left w:val="none" w:sz="0" w:space="0" w:color="auto"/>
                        <w:bottom w:val="none" w:sz="0" w:space="0" w:color="auto"/>
                        <w:right w:val="none" w:sz="0" w:space="0" w:color="auto"/>
                      </w:divBdr>
                    </w:div>
                  </w:divsChild>
                </w:div>
                <w:div w:id="543955034">
                  <w:marLeft w:val="0"/>
                  <w:marRight w:val="0"/>
                  <w:marTop w:val="0"/>
                  <w:marBottom w:val="0"/>
                  <w:divBdr>
                    <w:top w:val="none" w:sz="0" w:space="0" w:color="auto"/>
                    <w:left w:val="none" w:sz="0" w:space="0" w:color="auto"/>
                    <w:bottom w:val="none" w:sz="0" w:space="0" w:color="auto"/>
                    <w:right w:val="none" w:sz="0" w:space="0" w:color="auto"/>
                  </w:divBdr>
                  <w:divsChild>
                    <w:div w:id="1026640635">
                      <w:marLeft w:val="0"/>
                      <w:marRight w:val="0"/>
                      <w:marTop w:val="0"/>
                      <w:marBottom w:val="0"/>
                      <w:divBdr>
                        <w:top w:val="none" w:sz="0" w:space="0" w:color="auto"/>
                        <w:left w:val="none" w:sz="0" w:space="0" w:color="auto"/>
                        <w:bottom w:val="none" w:sz="0" w:space="0" w:color="auto"/>
                        <w:right w:val="none" w:sz="0" w:space="0" w:color="auto"/>
                      </w:divBdr>
                    </w:div>
                  </w:divsChild>
                </w:div>
                <w:div w:id="546337618">
                  <w:marLeft w:val="0"/>
                  <w:marRight w:val="0"/>
                  <w:marTop w:val="0"/>
                  <w:marBottom w:val="0"/>
                  <w:divBdr>
                    <w:top w:val="none" w:sz="0" w:space="0" w:color="auto"/>
                    <w:left w:val="none" w:sz="0" w:space="0" w:color="auto"/>
                    <w:bottom w:val="none" w:sz="0" w:space="0" w:color="auto"/>
                    <w:right w:val="none" w:sz="0" w:space="0" w:color="auto"/>
                  </w:divBdr>
                  <w:divsChild>
                    <w:div w:id="568729927">
                      <w:marLeft w:val="0"/>
                      <w:marRight w:val="0"/>
                      <w:marTop w:val="0"/>
                      <w:marBottom w:val="0"/>
                      <w:divBdr>
                        <w:top w:val="none" w:sz="0" w:space="0" w:color="auto"/>
                        <w:left w:val="none" w:sz="0" w:space="0" w:color="auto"/>
                        <w:bottom w:val="none" w:sz="0" w:space="0" w:color="auto"/>
                        <w:right w:val="none" w:sz="0" w:space="0" w:color="auto"/>
                      </w:divBdr>
                    </w:div>
                  </w:divsChild>
                </w:div>
                <w:div w:id="576978952">
                  <w:marLeft w:val="0"/>
                  <w:marRight w:val="0"/>
                  <w:marTop w:val="0"/>
                  <w:marBottom w:val="0"/>
                  <w:divBdr>
                    <w:top w:val="none" w:sz="0" w:space="0" w:color="auto"/>
                    <w:left w:val="none" w:sz="0" w:space="0" w:color="auto"/>
                    <w:bottom w:val="none" w:sz="0" w:space="0" w:color="auto"/>
                    <w:right w:val="none" w:sz="0" w:space="0" w:color="auto"/>
                  </w:divBdr>
                  <w:divsChild>
                    <w:div w:id="1309479348">
                      <w:marLeft w:val="0"/>
                      <w:marRight w:val="0"/>
                      <w:marTop w:val="0"/>
                      <w:marBottom w:val="0"/>
                      <w:divBdr>
                        <w:top w:val="none" w:sz="0" w:space="0" w:color="auto"/>
                        <w:left w:val="none" w:sz="0" w:space="0" w:color="auto"/>
                        <w:bottom w:val="none" w:sz="0" w:space="0" w:color="auto"/>
                        <w:right w:val="none" w:sz="0" w:space="0" w:color="auto"/>
                      </w:divBdr>
                    </w:div>
                  </w:divsChild>
                </w:div>
                <w:div w:id="889462991">
                  <w:marLeft w:val="0"/>
                  <w:marRight w:val="0"/>
                  <w:marTop w:val="0"/>
                  <w:marBottom w:val="0"/>
                  <w:divBdr>
                    <w:top w:val="none" w:sz="0" w:space="0" w:color="auto"/>
                    <w:left w:val="none" w:sz="0" w:space="0" w:color="auto"/>
                    <w:bottom w:val="none" w:sz="0" w:space="0" w:color="auto"/>
                    <w:right w:val="none" w:sz="0" w:space="0" w:color="auto"/>
                  </w:divBdr>
                  <w:divsChild>
                    <w:div w:id="2068914169">
                      <w:marLeft w:val="0"/>
                      <w:marRight w:val="0"/>
                      <w:marTop w:val="0"/>
                      <w:marBottom w:val="0"/>
                      <w:divBdr>
                        <w:top w:val="none" w:sz="0" w:space="0" w:color="auto"/>
                        <w:left w:val="none" w:sz="0" w:space="0" w:color="auto"/>
                        <w:bottom w:val="none" w:sz="0" w:space="0" w:color="auto"/>
                        <w:right w:val="none" w:sz="0" w:space="0" w:color="auto"/>
                      </w:divBdr>
                    </w:div>
                  </w:divsChild>
                </w:div>
                <w:div w:id="1026633513">
                  <w:marLeft w:val="0"/>
                  <w:marRight w:val="0"/>
                  <w:marTop w:val="0"/>
                  <w:marBottom w:val="0"/>
                  <w:divBdr>
                    <w:top w:val="none" w:sz="0" w:space="0" w:color="auto"/>
                    <w:left w:val="none" w:sz="0" w:space="0" w:color="auto"/>
                    <w:bottom w:val="none" w:sz="0" w:space="0" w:color="auto"/>
                    <w:right w:val="none" w:sz="0" w:space="0" w:color="auto"/>
                  </w:divBdr>
                  <w:divsChild>
                    <w:div w:id="1459301110">
                      <w:marLeft w:val="0"/>
                      <w:marRight w:val="0"/>
                      <w:marTop w:val="0"/>
                      <w:marBottom w:val="0"/>
                      <w:divBdr>
                        <w:top w:val="none" w:sz="0" w:space="0" w:color="auto"/>
                        <w:left w:val="none" w:sz="0" w:space="0" w:color="auto"/>
                        <w:bottom w:val="none" w:sz="0" w:space="0" w:color="auto"/>
                        <w:right w:val="none" w:sz="0" w:space="0" w:color="auto"/>
                      </w:divBdr>
                    </w:div>
                  </w:divsChild>
                </w:div>
                <w:div w:id="1362050983">
                  <w:marLeft w:val="0"/>
                  <w:marRight w:val="0"/>
                  <w:marTop w:val="0"/>
                  <w:marBottom w:val="0"/>
                  <w:divBdr>
                    <w:top w:val="none" w:sz="0" w:space="0" w:color="auto"/>
                    <w:left w:val="none" w:sz="0" w:space="0" w:color="auto"/>
                    <w:bottom w:val="none" w:sz="0" w:space="0" w:color="auto"/>
                    <w:right w:val="none" w:sz="0" w:space="0" w:color="auto"/>
                  </w:divBdr>
                  <w:divsChild>
                    <w:div w:id="2039113057">
                      <w:marLeft w:val="0"/>
                      <w:marRight w:val="0"/>
                      <w:marTop w:val="0"/>
                      <w:marBottom w:val="0"/>
                      <w:divBdr>
                        <w:top w:val="none" w:sz="0" w:space="0" w:color="auto"/>
                        <w:left w:val="none" w:sz="0" w:space="0" w:color="auto"/>
                        <w:bottom w:val="none" w:sz="0" w:space="0" w:color="auto"/>
                        <w:right w:val="none" w:sz="0" w:space="0" w:color="auto"/>
                      </w:divBdr>
                    </w:div>
                  </w:divsChild>
                </w:div>
                <w:div w:id="1414546919">
                  <w:marLeft w:val="0"/>
                  <w:marRight w:val="0"/>
                  <w:marTop w:val="0"/>
                  <w:marBottom w:val="0"/>
                  <w:divBdr>
                    <w:top w:val="none" w:sz="0" w:space="0" w:color="auto"/>
                    <w:left w:val="none" w:sz="0" w:space="0" w:color="auto"/>
                    <w:bottom w:val="none" w:sz="0" w:space="0" w:color="auto"/>
                    <w:right w:val="none" w:sz="0" w:space="0" w:color="auto"/>
                  </w:divBdr>
                  <w:divsChild>
                    <w:div w:id="1903056781">
                      <w:marLeft w:val="0"/>
                      <w:marRight w:val="0"/>
                      <w:marTop w:val="0"/>
                      <w:marBottom w:val="0"/>
                      <w:divBdr>
                        <w:top w:val="none" w:sz="0" w:space="0" w:color="auto"/>
                        <w:left w:val="none" w:sz="0" w:space="0" w:color="auto"/>
                        <w:bottom w:val="none" w:sz="0" w:space="0" w:color="auto"/>
                        <w:right w:val="none" w:sz="0" w:space="0" w:color="auto"/>
                      </w:divBdr>
                    </w:div>
                  </w:divsChild>
                </w:div>
                <w:div w:id="1491291658">
                  <w:marLeft w:val="0"/>
                  <w:marRight w:val="0"/>
                  <w:marTop w:val="0"/>
                  <w:marBottom w:val="0"/>
                  <w:divBdr>
                    <w:top w:val="none" w:sz="0" w:space="0" w:color="auto"/>
                    <w:left w:val="none" w:sz="0" w:space="0" w:color="auto"/>
                    <w:bottom w:val="none" w:sz="0" w:space="0" w:color="auto"/>
                    <w:right w:val="none" w:sz="0" w:space="0" w:color="auto"/>
                  </w:divBdr>
                  <w:divsChild>
                    <w:div w:id="1332023142">
                      <w:marLeft w:val="0"/>
                      <w:marRight w:val="0"/>
                      <w:marTop w:val="0"/>
                      <w:marBottom w:val="0"/>
                      <w:divBdr>
                        <w:top w:val="none" w:sz="0" w:space="0" w:color="auto"/>
                        <w:left w:val="none" w:sz="0" w:space="0" w:color="auto"/>
                        <w:bottom w:val="none" w:sz="0" w:space="0" w:color="auto"/>
                        <w:right w:val="none" w:sz="0" w:space="0" w:color="auto"/>
                      </w:divBdr>
                    </w:div>
                  </w:divsChild>
                </w:div>
                <w:div w:id="1515878240">
                  <w:marLeft w:val="0"/>
                  <w:marRight w:val="0"/>
                  <w:marTop w:val="0"/>
                  <w:marBottom w:val="0"/>
                  <w:divBdr>
                    <w:top w:val="none" w:sz="0" w:space="0" w:color="auto"/>
                    <w:left w:val="none" w:sz="0" w:space="0" w:color="auto"/>
                    <w:bottom w:val="none" w:sz="0" w:space="0" w:color="auto"/>
                    <w:right w:val="none" w:sz="0" w:space="0" w:color="auto"/>
                  </w:divBdr>
                  <w:divsChild>
                    <w:div w:id="163209685">
                      <w:marLeft w:val="0"/>
                      <w:marRight w:val="0"/>
                      <w:marTop w:val="0"/>
                      <w:marBottom w:val="0"/>
                      <w:divBdr>
                        <w:top w:val="none" w:sz="0" w:space="0" w:color="auto"/>
                        <w:left w:val="none" w:sz="0" w:space="0" w:color="auto"/>
                        <w:bottom w:val="none" w:sz="0" w:space="0" w:color="auto"/>
                        <w:right w:val="none" w:sz="0" w:space="0" w:color="auto"/>
                      </w:divBdr>
                    </w:div>
                  </w:divsChild>
                </w:div>
                <w:div w:id="1779176161">
                  <w:marLeft w:val="0"/>
                  <w:marRight w:val="0"/>
                  <w:marTop w:val="0"/>
                  <w:marBottom w:val="0"/>
                  <w:divBdr>
                    <w:top w:val="none" w:sz="0" w:space="0" w:color="auto"/>
                    <w:left w:val="none" w:sz="0" w:space="0" w:color="auto"/>
                    <w:bottom w:val="none" w:sz="0" w:space="0" w:color="auto"/>
                    <w:right w:val="none" w:sz="0" w:space="0" w:color="auto"/>
                  </w:divBdr>
                  <w:divsChild>
                    <w:div w:id="1202286219">
                      <w:marLeft w:val="0"/>
                      <w:marRight w:val="0"/>
                      <w:marTop w:val="0"/>
                      <w:marBottom w:val="0"/>
                      <w:divBdr>
                        <w:top w:val="none" w:sz="0" w:space="0" w:color="auto"/>
                        <w:left w:val="none" w:sz="0" w:space="0" w:color="auto"/>
                        <w:bottom w:val="none" w:sz="0" w:space="0" w:color="auto"/>
                        <w:right w:val="none" w:sz="0" w:space="0" w:color="auto"/>
                      </w:divBdr>
                    </w:div>
                  </w:divsChild>
                </w:div>
                <w:div w:id="1897282141">
                  <w:marLeft w:val="0"/>
                  <w:marRight w:val="0"/>
                  <w:marTop w:val="0"/>
                  <w:marBottom w:val="0"/>
                  <w:divBdr>
                    <w:top w:val="none" w:sz="0" w:space="0" w:color="auto"/>
                    <w:left w:val="none" w:sz="0" w:space="0" w:color="auto"/>
                    <w:bottom w:val="none" w:sz="0" w:space="0" w:color="auto"/>
                    <w:right w:val="none" w:sz="0" w:space="0" w:color="auto"/>
                  </w:divBdr>
                  <w:divsChild>
                    <w:div w:id="695890855">
                      <w:marLeft w:val="0"/>
                      <w:marRight w:val="0"/>
                      <w:marTop w:val="0"/>
                      <w:marBottom w:val="0"/>
                      <w:divBdr>
                        <w:top w:val="none" w:sz="0" w:space="0" w:color="auto"/>
                        <w:left w:val="none" w:sz="0" w:space="0" w:color="auto"/>
                        <w:bottom w:val="none" w:sz="0" w:space="0" w:color="auto"/>
                        <w:right w:val="none" w:sz="0" w:space="0" w:color="auto"/>
                      </w:divBdr>
                    </w:div>
                  </w:divsChild>
                </w:div>
                <w:div w:id="1915779190">
                  <w:marLeft w:val="0"/>
                  <w:marRight w:val="0"/>
                  <w:marTop w:val="0"/>
                  <w:marBottom w:val="0"/>
                  <w:divBdr>
                    <w:top w:val="none" w:sz="0" w:space="0" w:color="auto"/>
                    <w:left w:val="none" w:sz="0" w:space="0" w:color="auto"/>
                    <w:bottom w:val="none" w:sz="0" w:space="0" w:color="auto"/>
                    <w:right w:val="none" w:sz="0" w:space="0" w:color="auto"/>
                  </w:divBdr>
                  <w:divsChild>
                    <w:div w:id="1848901705">
                      <w:marLeft w:val="0"/>
                      <w:marRight w:val="0"/>
                      <w:marTop w:val="0"/>
                      <w:marBottom w:val="0"/>
                      <w:divBdr>
                        <w:top w:val="none" w:sz="0" w:space="0" w:color="auto"/>
                        <w:left w:val="none" w:sz="0" w:space="0" w:color="auto"/>
                        <w:bottom w:val="none" w:sz="0" w:space="0" w:color="auto"/>
                        <w:right w:val="none" w:sz="0" w:space="0" w:color="auto"/>
                      </w:divBdr>
                    </w:div>
                  </w:divsChild>
                </w:div>
                <w:div w:id="1954097534">
                  <w:marLeft w:val="0"/>
                  <w:marRight w:val="0"/>
                  <w:marTop w:val="0"/>
                  <w:marBottom w:val="0"/>
                  <w:divBdr>
                    <w:top w:val="none" w:sz="0" w:space="0" w:color="auto"/>
                    <w:left w:val="none" w:sz="0" w:space="0" w:color="auto"/>
                    <w:bottom w:val="none" w:sz="0" w:space="0" w:color="auto"/>
                    <w:right w:val="none" w:sz="0" w:space="0" w:color="auto"/>
                  </w:divBdr>
                  <w:divsChild>
                    <w:div w:id="1698695415">
                      <w:marLeft w:val="0"/>
                      <w:marRight w:val="0"/>
                      <w:marTop w:val="0"/>
                      <w:marBottom w:val="0"/>
                      <w:divBdr>
                        <w:top w:val="none" w:sz="0" w:space="0" w:color="auto"/>
                        <w:left w:val="none" w:sz="0" w:space="0" w:color="auto"/>
                        <w:bottom w:val="none" w:sz="0" w:space="0" w:color="auto"/>
                        <w:right w:val="none" w:sz="0" w:space="0" w:color="auto"/>
                      </w:divBdr>
                    </w:div>
                  </w:divsChild>
                </w:div>
                <w:div w:id="1957709422">
                  <w:marLeft w:val="0"/>
                  <w:marRight w:val="0"/>
                  <w:marTop w:val="0"/>
                  <w:marBottom w:val="0"/>
                  <w:divBdr>
                    <w:top w:val="none" w:sz="0" w:space="0" w:color="auto"/>
                    <w:left w:val="none" w:sz="0" w:space="0" w:color="auto"/>
                    <w:bottom w:val="none" w:sz="0" w:space="0" w:color="auto"/>
                    <w:right w:val="none" w:sz="0" w:space="0" w:color="auto"/>
                  </w:divBdr>
                  <w:divsChild>
                    <w:div w:id="1038822363">
                      <w:marLeft w:val="0"/>
                      <w:marRight w:val="0"/>
                      <w:marTop w:val="0"/>
                      <w:marBottom w:val="0"/>
                      <w:divBdr>
                        <w:top w:val="none" w:sz="0" w:space="0" w:color="auto"/>
                        <w:left w:val="none" w:sz="0" w:space="0" w:color="auto"/>
                        <w:bottom w:val="none" w:sz="0" w:space="0" w:color="auto"/>
                        <w:right w:val="none" w:sz="0" w:space="0" w:color="auto"/>
                      </w:divBdr>
                    </w:div>
                  </w:divsChild>
                </w:div>
                <w:div w:id="2013415271">
                  <w:marLeft w:val="0"/>
                  <w:marRight w:val="0"/>
                  <w:marTop w:val="0"/>
                  <w:marBottom w:val="0"/>
                  <w:divBdr>
                    <w:top w:val="none" w:sz="0" w:space="0" w:color="auto"/>
                    <w:left w:val="none" w:sz="0" w:space="0" w:color="auto"/>
                    <w:bottom w:val="none" w:sz="0" w:space="0" w:color="auto"/>
                    <w:right w:val="none" w:sz="0" w:space="0" w:color="auto"/>
                  </w:divBdr>
                  <w:divsChild>
                    <w:div w:id="178071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9735">
          <w:marLeft w:val="0"/>
          <w:marRight w:val="0"/>
          <w:marTop w:val="0"/>
          <w:marBottom w:val="0"/>
          <w:divBdr>
            <w:top w:val="none" w:sz="0" w:space="0" w:color="auto"/>
            <w:left w:val="none" w:sz="0" w:space="0" w:color="auto"/>
            <w:bottom w:val="none" w:sz="0" w:space="0" w:color="auto"/>
            <w:right w:val="none" w:sz="0" w:space="0" w:color="auto"/>
          </w:divBdr>
          <w:divsChild>
            <w:div w:id="147870762">
              <w:marLeft w:val="-75"/>
              <w:marRight w:val="0"/>
              <w:marTop w:val="30"/>
              <w:marBottom w:val="30"/>
              <w:divBdr>
                <w:top w:val="none" w:sz="0" w:space="0" w:color="auto"/>
                <w:left w:val="none" w:sz="0" w:space="0" w:color="auto"/>
                <w:bottom w:val="none" w:sz="0" w:space="0" w:color="auto"/>
                <w:right w:val="none" w:sz="0" w:space="0" w:color="auto"/>
              </w:divBdr>
              <w:divsChild>
                <w:div w:id="416294762">
                  <w:marLeft w:val="0"/>
                  <w:marRight w:val="0"/>
                  <w:marTop w:val="0"/>
                  <w:marBottom w:val="0"/>
                  <w:divBdr>
                    <w:top w:val="none" w:sz="0" w:space="0" w:color="auto"/>
                    <w:left w:val="none" w:sz="0" w:space="0" w:color="auto"/>
                    <w:bottom w:val="none" w:sz="0" w:space="0" w:color="auto"/>
                    <w:right w:val="none" w:sz="0" w:space="0" w:color="auto"/>
                  </w:divBdr>
                  <w:divsChild>
                    <w:div w:id="1170828176">
                      <w:marLeft w:val="0"/>
                      <w:marRight w:val="0"/>
                      <w:marTop w:val="0"/>
                      <w:marBottom w:val="0"/>
                      <w:divBdr>
                        <w:top w:val="none" w:sz="0" w:space="0" w:color="auto"/>
                        <w:left w:val="none" w:sz="0" w:space="0" w:color="auto"/>
                        <w:bottom w:val="none" w:sz="0" w:space="0" w:color="auto"/>
                        <w:right w:val="none" w:sz="0" w:space="0" w:color="auto"/>
                      </w:divBdr>
                    </w:div>
                  </w:divsChild>
                </w:div>
                <w:div w:id="559099708">
                  <w:marLeft w:val="0"/>
                  <w:marRight w:val="0"/>
                  <w:marTop w:val="0"/>
                  <w:marBottom w:val="0"/>
                  <w:divBdr>
                    <w:top w:val="none" w:sz="0" w:space="0" w:color="auto"/>
                    <w:left w:val="none" w:sz="0" w:space="0" w:color="auto"/>
                    <w:bottom w:val="none" w:sz="0" w:space="0" w:color="auto"/>
                    <w:right w:val="none" w:sz="0" w:space="0" w:color="auto"/>
                  </w:divBdr>
                  <w:divsChild>
                    <w:div w:id="793207349">
                      <w:marLeft w:val="0"/>
                      <w:marRight w:val="0"/>
                      <w:marTop w:val="0"/>
                      <w:marBottom w:val="0"/>
                      <w:divBdr>
                        <w:top w:val="none" w:sz="0" w:space="0" w:color="auto"/>
                        <w:left w:val="none" w:sz="0" w:space="0" w:color="auto"/>
                        <w:bottom w:val="none" w:sz="0" w:space="0" w:color="auto"/>
                        <w:right w:val="none" w:sz="0" w:space="0" w:color="auto"/>
                      </w:divBdr>
                    </w:div>
                  </w:divsChild>
                </w:div>
                <w:div w:id="713193499">
                  <w:marLeft w:val="0"/>
                  <w:marRight w:val="0"/>
                  <w:marTop w:val="0"/>
                  <w:marBottom w:val="0"/>
                  <w:divBdr>
                    <w:top w:val="none" w:sz="0" w:space="0" w:color="auto"/>
                    <w:left w:val="none" w:sz="0" w:space="0" w:color="auto"/>
                    <w:bottom w:val="none" w:sz="0" w:space="0" w:color="auto"/>
                    <w:right w:val="none" w:sz="0" w:space="0" w:color="auto"/>
                  </w:divBdr>
                  <w:divsChild>
                    <w:div w:id="640888983">
                      <w:marLeft w:val="0"/>
                      <w:marRight w:val="0"/>
                      <w:marTop w:val="0"/>
                      <w:marBottom w:val="0"/>
                      <w:divBdr>
                        <w:top w:val="none" w:sz="0" w:space="0" w:color="auto"/>
                        <w:left w:val="none" w:sz="0" w:space="0" w:color="auto"/>
                        <w:bottom w:val="none" w:sz="0" w:space="0" w:color="auto"/>
                        <w:right w:val="none" w:sz="0" w:space="0" w:color="auto"/>
                      </w:divBdr>
                    </w:div>
                  </w:divsChild>
                </w:div>
                <w:div w:id="1136145926">
                  <w:marLeft w:val="0"/>
                  <w:marRight w:val="0"/>
                  <w:marTop w:val="0"/>
                  <w:marBottom w:val="0"/>
                  <w:divBdr>
                    <w:top w:val="none" w:sz="0" w:space="0" w:color="auto"/>
                    <w:left w:val="none" w:sz="0" w:space="0" w:color="auto"/>
                    <w:bottom w:val="none" w:sz="0" w:space="0" w:color="auto"/>
                    <w:right w:val="none" w:sz="0" w:space="0" w:color="auto"/>
                  </w:divBdr>
                  <w:divsChild>
                    <w:div w:id="743914809">
                      <w:marLeft w:val="0"/>
                      <w:marRight w:val="0"/>
                      <w:marTop w:val="0"/>
                      <w:marBottom w:val="0"/>
                      <w:divBdr>
                        <w:top w:val="none" w:sz="0" w:space="0" w:color="auto"/>
                        <w:left w:val="none" w:sz="0" w:space="0" w:color="auto"/>
                        <w:bottom w:val="none" w:sz="0" w:space="0" w:color="auto"/>
                        <w:right w:val="none" w:sz="0" w:space="0" w:color="auto"/>
                      </w:divBdr>
                    </w:div>
                  </w:divsChild>
                </w:div>
                <w:div w:id="1379010892">
                  <w:marLeft w:val="0"/>
                  <w:marRight w:val="0"/>
                  <w:marTop w:val="0"/>
                  <w:marBottom w:val="0"/>
                  <w:divBdr>
                    <w:top w:val="none" w:sz="0" w:space="0" w:color="auto"/>
                    <w:left w:val="none" w:sz="0" w:space="0" w:color="auto"/>
                    <w:bottom w:val="none" w:sz="0" w:space="0" w:color="auto"/>
                    <w:right w:val="none" w:sz="0" w:space="0" w:color="auto"/>
                  </w:divBdr>
                  <w:divsChild>
                    <w:div w:id="244191585">
                      <w:marLeft w:val="0"/>
                      <w:marRight w:val="0"/>
                      <w:marTop w:val="0"/>
                      <w:marBottom w:val="0"/>
                      <w:divBdr>
                        <w:top w:val="none" w:sz="0" w:space="0" w:color="auto"/>
                        <w:left w:val="none" w:sz="0" w:space="0" w:color="auto"/>
                        <w:bottom w:val="none" w:sz="0" w:space="0" w:color="auto"/>
                        <w:right w:val="none" w:sz="0" w:space="0" w:color="auto"/>
                      </w:divBdr>
                    </w:div>
                  </w:divsChild>
                </w:div>
                <w:div w:id="1670136656">
                  <w:marLeft w:val="0"/>
                  <w:marRight w:val="0"/>
                  <w:marTop w:val="0"/>
                  <w:marBottom w:val="0"/>
                  <w:divBdr>
                    <w:top w:val="none" w:sz="0" w:space="0" w:color="auto"/>
                    <w:left w:val="none" w:sz="0" w:space="0" w:color="auto"/>
                    <w:bottom w:val="none" w:sz="0" w:space="0" w:color="auto"/>
                    <w:right w:val="none" w:sz="0" w:space="0" w:color="auto"/>
                  </w:divBdr>
                  <w:divsChild>
                    <w:div w:id="1427577300">
                      <w:marLeft w:val="0"/>
                      <w:marRight w:val="0"/>
                      <w:marTop w:val="0"/>
                      <w:marBottom w:val="0"/>
                      <w:divBdr>
                        <w:top w:val="none" w:sz="0" w:space="0" w:color="auto"/>
                        <w:left w:val="none" w:sz="0" w:space="0" w:color="auto"/>
                        <w:bottom w:val="none" w:sz="0" w:space="0" w:color="auto"/>
                        <w:right w:val="none" w:sz="0" w:space="0" w:color="auto"/>
                      </w:divBdr>
                    </w:div>
                  </w:divsChild>
                </w:div>
                <w:div w:id="1886526460">
                  <w:marLeft w:val="0"/>
                  <w:marRight w:val="0"/>
                  <w:marTop w:val="0"/>
                  <w:marBottom w:val="0"/>
                  <w:divBdr>
                    <w:top w:val="none" w:sz="0" w:space="0" w:color="auto"/>
                    <w:left w:val="none" w:sz="0" w:space="0" w:color="auto"/>
                    <w:bottom w:val="none" w:sz="0" w:space="0" w:color="auto"/>
                    <w:right w:val="none" w:sz="0" w:space="0" w:color="auto"/>
                  </w:divBdr>
                  <w:divsChild>
                    <w:div w:id="754282583">
                      <w:marLeft w:val="0"/>
                      <w:marRight w:val="0"/>
                      <w:marTop w:val="0"/>
                      <w:marBottom w:val="0"/>
                      <w:divBdr>
                        <w:top w:val="none" w:sz="0" w:space="0" w:color="auto"/>
                        <w:left w:val="none" w:sz="0" w:space="0" w:color="auto"/>
                        <w:bottom w:val="none" w:sz="0" w:space="0" w:color="auto"/>
                        <w:right w:val="none" w:sz="0" w:space="0" w:color="auto"/>
                      </w:divBdr>
                    </w:div>
                  </w:divsChild>
                </w:div>
                <w:div w:id="1952391228">
                  <w:marLeft w:val="0"/>
                  <w:marRight w:val="0"/>
                  <w:marTop w:val="0"/>
                  <w:marBottom w:val="0"/>
                  <w:divBdr>
                    <w:top w:val="none" w:sz="0" w:space="0" w:color="auto"/>
                    <w:left w:val="none" w:sz="0" w:space="0" w:color="auto"/>
                    <w:bottom w:val="none" w:sz="0" w:space="0" w:color="auto"/>
                    <w:right w:val="none" w:sz="0" w:space="0" w:color="auto"/>
                  </w:divBdr>
                  <w:divsChild>
                    <w:div w:id="1363895993">
                      <w:marLeft w:val="0"/>
                      <w:marRight w:val="0"/>
                      <w:marTop w:val="0"/>
                      <w:marBottom w:val="0"/>
                      <w:divBdr>
                        <w:top w:val="none" w:sz="0" w:space="0" w:color="auto"/>
                        <w:left w:val="none" w:sz="0" w:space="0" w:color="auto"/>
                        <w:bottom w:val="none" w:sz="0" w:space="0" w:color="auto"/>
                        <w:right w:val="none" w:sz="0" w:space="0" w:color="auto"/>
                      </w:divBdr>
                    </w:div>
                  </w:divsChild>
                </w:div>
                <w:div w:id="2146923426">
                  <w:marLeft w:val="0"/>
                  <w:marRight w:val="0"/>
                  <w:marTop w:val="0"/>
                  <w:marBottom w:val="0"/>
                  <w:divBdr>
                    <w:top w:val="none" w:sz="0" w:space="0" w:color="auto"/>
                    <w:left w:val="none" w:sz="0" w:space="0" w:color="auto"/>
                    <w:bottom w:val="none" w:sz="0" w:space="0" w:color="auto"/>
                    <w:right w:val="none" w:sz="0" w:space="0" w:color="auto"/>
                  </w:divBdr>
                  <w:divsChild>
                    <w:div w:id="7361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638948">
          <w:marLeft w:val="0"/>
          <w:marRight w:val="0"/>
          <w:marTop w:val="0"/>
          <w:marBottom w:val="0"/>
          <w:divBdr>
            <w:top w:val="none" w:sz="0" w:space="0" w:color="auto"/>
            <w:left w:val="none" w:sz="0" w:space="0" w:color="auto"/>
            <w:bottom w:val="none" w:sz="0" w:space="0" w:color="auto"/>
            <w:right w:val="none" w:sz="0" w:space="0" w:color="auto"/>
          </w:divBdr>
          <w:divsChild>
            <w:div w:id="473064544">
              <w:marLeft w:val="-75"/>
              <w:marRight w:val="0"/>
              <w:marTop w:val="30"/>
              <w:marBottom w:val="30"/>
              <w:divBdr>
                <w:top w:val="none" w:sz="0" w:space="0" w:color="auto"/>
                <w:left w:val="none" w:sz="0" w:space="0" w:color="auto"/>
                <w:bottom w:val="none" w:sz="0" w:space="0" w:color="auto"/>
                <w:right w:val="none" w:sz="0" w:space="0" w:color="auto"/>
              </w:divBdr>
              <w:divsChild>
                <w:div w:id="81533336">
                  <w:marLeft w:val="0"/>
                  <w:marRight w:val="0"/>
                  <w:marTop w:val="0"/>
                  <w:marBottom w:val="0"/>
                  <w:divBdr>
                    <w:top w:val="none" w:sz="0" w:space="0" w:color="auto"/>
                    <w:left w:val="none" w:sz="0" w:space="0" w:color="auto"/>
                    <w:bottom w:val="none" w:sz="0" w:space="0" w:color="auto"/>
                    <w:right w:val="none" w:sz="0" w:space="0" w:color="auto"/>
                  </w:divBdr>
                  <w:divsChild>
                    <w:div w:id="1892375305">
                      <w:marLeft w:val="0"/>
                      <w:marRight w:val="0"/>
                      <w:marTop w:val="0"/>
                      <w:marBottom w:val="0"/>
                      <w:divBdr>
                        <w:top w:val="none" w:sz="0" w:space="0" w:color="auto"/>
                        <w:left w:val="none" w:sz="0" w:space="0" w:color="auto"/>
                        <w:bottom w:val="none" w:sz="0" w:space="0" w:color="auto"/>
                        <w:right w:val="none" w:sz="0" w:space="0" w:color="auto"/>
                      </w:divBdr>
                    </w:div>
                  </w:divsChild>
                </w:div>
                <w:div w:id="102040680">
                  <w:marLeft w:val="0"/>
                  <w:marRight w:val="0"/>
                  <w:marTop w:val="0"/>
                  <w:marBottom w:val="0"/>
                  <w:divBdr>
                    <w:top w:val="none" w:sz="0" w:space="0" w:color="auto"/>
                    <w:left w:val="none" w:sz="0" w:space="0" w:color="auto"/>
                    <w:bottom w:val="none" w:sz="0" w:space="0" w:color="auto"/>
                    <w:right w:val="none" w:sz="0" w:space="0" w:color="auto"/>
                  </w:divBdr>
                  <w:divsChild>
                    <w:div w:id="242758866">
                      <w:marLeft w:val="0"/>
                      <w:marRight w:val="0"/>
                      <w:marTop w:val="0"/>
                      <w:marBottom w:val="0"/>
                      <w:divBdr>
                        <w:top w:val="none" w:sz="0" w:space="0" w:color="auto"/>
                        <w:left w:val="none" w:sz="0" w:space="0" w:color="auto"/>
                        <w:bottom w:val="none" w:sz="0" w:space="0" w:color="auto"/>
                        <w:right w:val="none" w:sz="0" w:space="0" w:color="auto"/>
                      </w:divBdr>
                    </w:div>
                  </w:divsChild>
                </w:div>
                <w:div w:id="146945665">
                  <w:marLeft w:val="0"/>
                  <w:marRight w:val="0"/>
                  <w:marTop w:val="0"/>
                  <w:marBottom w:val="0"/>
                  <w:divBdr>
                    <w:top w:val="none" w:sz="0" w:space="0" w:color="auto"/>
                    <w:left w:val="none" w:sz="0" w:space="0" w:color="auto"/>
                    <w:bottom w:val="none" w:sz="0" w:space="0" w:color="auto"/>
                    <w:right w:val="none" w:sz="0" w:space="0" w:color="auto"/>
                  </w:divBdr>
                  <w:divsChild>
                    <w:div w:id="1594824973">
                      <w:marLeft w:val="0"/>
                      <w:marRight w:val="0"/>
                      <w:marTop w:val="0"/>
                      <w:marBottom w:val="0"/>
                      <w:divBdr>
                        <w:top w:val="none" w:sz="0" w:space="0" w:color="auto"/>
                        <w:left w:val="none" w:sz="0" w:space="0" w:color="auto"/>
                        <w:bottom w:val="none" w:sz="0" w:space="0" w:color="auto"/>
                        <w:right w:val="none" w:sz="0" w:space="0" w:color="auto"/>
                      </w:divBdr>
                    </w:div>
                  </w:divsChild>
                </w:div>
                <w:div w:id="254679742">
                  <w:marLeft w:val="0"/>
                  <w:marRight w:val="0"/>
                  <w:marTop w:val="0"/>
                  <w:marBottom w:val="0"/>
                  <w:divBdr>
                    <w:top w:val="none" w:sz="0" w:space="0" w:color="auto"/>
                    <w:left w:val="none" w:sz="0" w:space="0" w:color="auto"/>
                    <w:bottom w:val="none" w:sz="0" w:space="0" w:color="auto"/>
                    <w:right w:val="none" w:sz="0" w:space="0" w:color="auto"/>
                  </w:divBdr>
                  <w:divsChild>
                    <w:div w:id="1518471542">
                      <w:marLeft w:val="0"/>
                      <w:marRight w:val="0"/>
                      <w:marTop w:val="0"/>
                      <w:marBottom w:val="0"/>
                      <w:divBdr>
                        <w:top w:val="none" w:sz="0" w:space="0" w:color="auto"/>
                        <w:left w:val="none" w:sz="0" w:space="0" w:color="auto"/>
                        <w:bottom w:val="none" w:sz="0" w:space="0" w:color="auto"/>
                        <w:right w:val="none" w:sz="0" w:space="0" w:color="auto"/>
                      </w:divBdr>
                    </w:div>
                  </w:divsChild>
                </w:div>
                <w:div w:id="386610802">
                  <w:marLeft w:val="0"/>
                  <w:marRight w:val="0"/>
                  <w:marTop w:val="0"/>
                  <w:marBottom w:val="0"/>
                  <w:divBdr>
                    <w:top w:val="none" w:sz="0" w:space="0" w:color="auto"/>
                    <w:left w:val="none" w:sz="0" w:space="0" w:color="auto"/>
                    <w:bottom w:val="none" w:sz="0" w:space="0" w:color="auto"/>
                    <w:right w:val="none" w:sz="0" w:space="0" w:color="auto"/>
                  </w:divBdr>
                  <w:divsChild>
                    <w:div w:id="2047020841">
                      <w:marLeft w:val="0"/>
                      <w:marRight w:val="0"/>
                      <w:marTop w:val="0"/>
                      <w:marBottom w:val="0"/>
                      <w:divBdr>
                        <w:top w:val="none" w:sz="0" w:space="0" w:color="auto"/>
                        <w:left w:val="none" w:sz="0" w:space="0" w:color="auto"/>
                        <w:bottom w:val="none" w:sz="0" w:space="0" w:color="auto"/>
                        <w:right w:val="none" w:sz="0" w:space="0" w:color="auto"/>
                      </w:divBdr>
                    </w:div>
                  </w:divsChild>
                </w:div>
                <w:div w:id="485054073">
                  <w:marLeft w:val="0"/>
                  <w:marRight w:val="0"/>
                  <w:marTop w:val="0"/>
                  <w:marBottom w:val="0"/>
                  <w:divBdr>
                    <w:top w:val="none" w:sz="0" w:space="0" w:color="auto"/>
                    <w:left w:val="none" w:sz="0" w:space="0" w:color="auto"/>
                    <w:bottom w:val="none" w:sz="0" w:space="0" w:color="auto"/>
                    <w:right w:val="none" w:sz="0" w:space="0" w:color="auto"/>
                  </w:divBdr>
                  <w:divsChild>
                    <w:div w:id="1260064249">
                      <w:marLeft w:val="0"/>
                      <w:marRight w:val="0"/>
                      <w:marTop w:val="0"/>
                      <w:marBottom w:val="0"/>
                      <w:divBdr>
                        <w:top w:val="none" w:sz="0" w:space="0" w:color="auto"/>
                        <w:left w:val="none" w:sz="0" w:space="0" w:color="auto"/>
                        <w:bottom w:val="none" w:sz="0" w:space="0" w:color="auto"/>
                        <w:right w:val="none" w:sz="0" w:space="0" w:color="auto"/>
                      </w:divBdr>
                    </w:div>
                  </w:divsChild>
                </w:div>
                <w:div w:id="491332577">
                  <w:marLeft w:val="0"/>
                  <w:marRight w:val="0"/>
                  <w:marTop w:val="0"/>
                  <w:marBottom w:val="0"/>
                  <w:divBdr>
                    <w:top w:val="none" w:sz="0" w:space="0" w:color="auto"/>
                    <w:left w:val="none" w:sz="0" w:space="0" w:color="auto"/>
                    <w:bottom w:val="none" w:sz="0" w:space="0" w:color="auto"/>
                    <w:right w:val="none" w:sz="0" w:space="0" w:color="auto"/>
                  </w:divBdr>
                  <w:divsChild>
                    <w:div w:id="990789720">
                      <w:marLeft w:val="0"/>
                      <w:marRight w:val="0"/>
                      <w:marTop w:val="0"/>
                      <w:marBottom w:val="0"/>
                      <w:divBdr>
                        <w:top w:val="none" w:sz="0" w:space="0" w:color="auto"/>
                        <w:left w:val="none" w:sz="0" w:space="0" w:color="auto"/>
                        <w:bottom w:val="none" w:sz="0" w:space="0" w:color="auto"/>
                        <w:right w:val="none" w:sz="0" w:space="0" w:color="auto"/>
                      </w:divBdr>
                    </w:div>
                  </w:divsChild>
                </w:div>
                <w:div w:id="512963639">
                  <w:marLeft w:val="0"/>
                  <w:marRight w:val="0"/>
                  <w:marTop w:val="0"/>
                  <w:marBottom w:val="0"/>
                  <w:divBdr>
                    <w:top w:val="none" w:sz="0" w:space="0" w:color="auto"/>
                    <w:left w:val="none" w:sz="0" w:space="0" w:color="auto"/>
                    <w:bottom w:val="none" w:sz="0" w:space="0" w:color="auto"/>
                    <w:right w:val="none" w:sz="0" w:space="0" w:color="auto"/>
                  </w:divBdr>
                  <w:divsChild>
                    <w:div w:id="1507360297">
                      <w:marLeft w:val="0"/>
                      <w:marRight w:val="0"/>
                      <w:marTop w:val="0"/>
                      <w:marBottom w:val="0"/>
                      <w:divBdr>
                        <w:top w:val="none" w:sz="0" w:space="0" w:color="auto"/>
                        <w:left w:val="none" w:sz="0" w:space="0" w:color="auto"/>
                        <w:bottom w:val="none" w:sz="0" w:space="0" w:color="auto"/>
                        <w:right w:val="none" w:sz="0" w:space="0" w:color="auto"/>
                      </w:divBdr>
                    </w:div>
                  </w:divsChild>
                </w:div>
                <w:div w:id="513114022">
                  <w:marLeft w:val="0"/>
                  <w:marRight w:val="0"/>
                  <w:marTop w:val="0"/>
                  <w:marBottom w:val="0"/>
                  <w:divBdr>
                    <w:top w:val="none" w:sz="0" w:space="0" w:color="auto"/>
                    <w:left w:val="none" w:sz="0" w:space="0" w:color="auto"/>
                    <w:bottom w:val="none" w:sz="0" w:space="0" w:color="auto"/>
                    <w:right w:val="none" w:sz="0" w:space="0" w:color="auto"/>
                  </w:divBdr>
                  <w:divsChild>
                    <w:div w:id="1297444225">
                      <w:marLeft w:val="0"/>
                      <w:marRight w:val="0"/>
                      <w:marTop w:val="0"/>
                      <w:marBottom w:val="0"/>
                      <w:divBdr>
                        <w:top w:val="none" w:sz="0" w:space="0" w:color="auto"/>
                        <w:left w:val="none" w:sz="0" w:space="0" w:color="auto"/>
                        <w:bottom w:val="none" w:sz="0" w:space="0" w:color="auto"/>
                        <w:right w:val="none" w:sz="0" w:space="0" w:color="auto"/>
                      </w:divBdr>
                    </w:div>
                  </w:divsChild>
                </w:div>
                <w:div w:id="513570711">
                  <w:marLeft w:val="0"/>
                  <w:marRight w:val="0"/>
                  <w:marTop w:val="0"/>
                  <w:marBottom w:val="0"/>
                  <w:divBdr>
                    <w:top w:val="none" w:sz="0" w:space="0" w:color="auto"/>
                    <w:left w:val="none" w:sz="0" w:space="0" w:color="auto"/>
                    <w:bottom w:val="none" w:sz="0" w:space="0" w:color="auto"/>
                    <w:right w:val="none" w:sz="0" w:space="0" w:color="auto"/>
                  </w:divBdr>
                  <w:divsChild>
                    <w:div w:id="1039479786">
                      <w:marLeft w:val="0"/>
                      <w:marRight w:val="0"/>
                      <w:marTop w:val="0"/>
                      <w:marBottom w:val="0"/>
                      <w:divBdr>
                        <w:top w:val="none" w:sz="0" w:space="0" w:color="auto"/>
                        <w:left w:val="none" w:sz="0" w:space="0" w:color="auto"/>
                        <w:bottom w:val="none" w:sz="0" w:space="0" w:color="auto"/>
                        <w:right w:val="none" w:sz="0" w:space="0" w:color="auto"/>
                      </w:divBdr>
                    </w:div>
                  </w:divsChild>
                </w:div>
                <w:div w:id="532228455">
                  <w:marLeft w:val="0"/>
                  <w:marRight w:val="0"/>
                  <w:marTop w:val="0"/>
                  <w:marBottom w:val="0"/>
                  <w:divBdr>
                    <w:top w:val="none" w:sz="0" w:space="0" w:color="auto"/>
                    <w:left w:val="none" w:sz="0" w:space="0" w:color="auto"/>
                    <w:bottom w:val="none" w:sz="0" w:space="0" w:color="auto"/>
                    <w:right w:val="none" w:sz="0" w:space="0" w:color="auto"/>
                  </w:divBdr>
                  <w:divsChild>
                    <w:div w:id="343363720">
                      <w:marLeft w:val="0"/>
                      <w:marRight w:val="0"/>
                      <w:marTop w:val="0"/>
                      <w:marBottom w:val="0"/>
                      <w:divBdr>
                        <w:top w:val="none" w:sz="0" w:space="0" w:color="auto"/>
                        <w:left w:val="none" w:sz="0" w:space="0" w:color="auto"/>
                        <w:bottom w:val="none" w:sz="0" w:space="0" w:color="auto"/>
                        <w:right w:val="none" w:sz="0" w:space="0" w:color="auto"/>
                      </w:divBdr>
                    </w:div>
                  </w:divsChild>
                </w:div>
                <w:div w:id="562912340">
                  <w:marLeft w:val="0"/>
                  <w:marRight w:val="0"/>
                  <w:marTop w:val="0"/>
                  <w:marBottom w:val="0"/>
                  <w:divBdr>
                    <w:top w:val="none" w:sz="0" w:space="0" w:color="auto"/>
                    <w:left w:val="none" w:sz="0" w:space="0" w:color="auto"/>
                    <w:bottom w:val="none" w:sz="0" w:space="0" w:color="auto"/>
                    <w:right w:val="none" w:sz="0" w:space="0" w:color="auto"/>
                  </w:divBdr>
                  <w:divsChild>
                    <w:div w:id="1006904627">
                      <w:marLeft w:val="0"/>
                      <w:marRight w:val="0"/>
                      <w:marTop w:val="0"/>
                      <w:marBottom w:val="0"/>
                      <w:divBdr>
                        <w:top w:val="none" w:sz="0" w:space="0" w:color="auto"/>
                        <w:left w:val="none" w:sz="0" w:space="0" w:color="auto"/>
                        <w:bottom w:val="none" w:sz="0" w:space="0" w:color="auto"/>
                        <w:right w:val="none" w:sz="0" w:space="0" w:color="auto"/>
                      </w:divBdr>
                    </w:div>
                  </w:divsChild>
                </w:div>
                <w:div w:id="656307589">
                  <w:marLeft w:val="0"/>
                  <w:marRight w:val="0"/>
                  <w:marTop w:val="0"/>
                  <w:marBottom w:val="0"/>
                  <w:divBdr>
                    <w:top w:val="none" w:sz="0" w:space="0" w:color="auto"/>
                    <w:left w:val="none" w:sz="0" w:space="0" w:color="auto"/>
                    <w:bottom w:val="none" w:sz="0" w:space="0" w:color="auto"/>
                    <w:right w:val="none" w:sz="0" w:space="0" w:color="auto"/>
                  </w:divBdr>
                  <w:divsChild>
                    <w:div w:id="1053698395">
                      <w:marLeft w:val="0"/>
                      <w:marRight w:val="0"/>
                      <w:marTop w:val="0"/>
                      <w:marBottom w:val="0"/>
                      <w:divBdr>
                        <w:top w:val="none" w:sz="0" w:space="0" w:color="auto"/>
                        <w:left w:val="none" w:sz="0" w:space="0" w:color="auto"/>
                        <w:bottom w:val="none" w:sz="0" w:space="0" w:color="auto"/>
                        <w:right w:val="none" w:sz="0" w:space="0" w:color="auto"/>
                      </w:divBdr>
                    </w:div>
                  </w:divsChild>
                </w:div>
                <w:div w:id="740251228">
                  <w:marLeft w:val="0"/>
                  <w:marRight w:val="0"/>
                  <w:marTop w:val="0"/>
                  <w:marBottom w:val="0"/>
                  <w:divBdr>
                    <w:top w:val="none" w:sz="0" w:space="0" w:color="auto"/>
                    <w:left w:val="none" w:sz="0" w:space="0" w:color="auto"/>
                    <w:bottom w:val="none" w:sz="0" w:space="0" w:color="auto"/>
                    <w:right w:val="none" w:sz="0" w:space="0" w:color="auto"/>
                  </w:divBdr>
                  <w:divsChild>
                    <w:div w:id="5597479">
                      <w:marLeft w:val="0"/>
                      <w:marRight w:val="0"/>
                      <w:marTop w:val="0"/>
                      <w:marBottom w:val="0"/>
                      <w:divBdr>
                        <w:top w:val="none" w:sz="0" w:space="0" w:color="auto"/>
                        <w:left w:val="none" w:sz="0" w:space="0" w:color="auto"/>
                        <w:bottom w:val="none" w:sz="0" w:space="0" w:color="auto"/>
                        <w:right w:val="none" w:sz="0" w:space="0" w:color="auto"/>
                      </w:divBdr>
                    </w:div>
                  </w:divsChild>
                </w:div>
                <w:div w:id="744256032">
                  <w:marLeft w:val="0"/>
                  <w:marRight w:val="0"/>
                  <w:marTop w:val="0"/>
                  <w:marBottom w:val="0"/>
                  <w:divBdr>
                    <w:top w:val="none" w:sz="0" w:space="0" w:color="auto"/>
                    <w:left w:val="none" w:sz="0" w:space="0" w:color="auto"/>
                    <w:bottom w:val="none" w:sz="0" w:space="0" w:color="auto"/>
                    <w:right w:val="none" w:sz="0" w:space="0" w:color="auto"/>
                  </w:divBdr>
                  <w:divsChild>
                    <w:div w:id="1847359641">
                      <w:marLeft w:val="0"/>
                      <w:marRight w:val="0"/>
                      <w:marTop w:val="0"/>
                      <w:marBottom w:val="0"/>
                      <w:divBdr>
                        <w:top w:val="none" w:sz="0" w:space="0" w:color="auto"/>
                        <w:left w:val="none" w:sz="0" w:space="0" w:color="auto"/>
                        <w:bottom w:val="none" w:sz="0" w:space="0" w:color="auto"/>
                        <w:right w:val="none" w:sz="0" w:space="0" w:color="auto"/>
                      </w:divBdr>
                    </w:div>
                  </w:divsChild>
                </w:div>
                <w:div w:id="862741181">
                  <w:marLeft w:val="0"/>
                  <w:marRight w:val="0"/>
                  <w:marTop w:val="0"/>
                  <w:marBottom w:val="0"/>
                  <w:divBdr>
                    <w:top w:val="none" w:sz="0" w:space="0" w:color="auto"/>
                    <w:left w:val="none" w:sz="0" w:space="0" w:color="auto"/>
                    <w:bottom w:val="none" w:sz="0" w:space="0" w:color="auto"/>
                    <w:right w:val="none" w:sz="0" w:space="0" w:color="auto"/>
                  </w:divBdr>
                  <w:divsChild>
                    <w:div w:id="1060399636">
                      <w:marLeft w:val="0"/>
                      <w:marRight w:val="0"/>
                      <w:marTop w:val="0"/>
                      <w:marBottom w:val="0"/>
                      <w:divBdr>
                        <w:top w:val="none" w:sz="0" w:space="0" w:color="auto"/>
                        <w:left w:val="none" w:sz="0" w:space="0" w:color="auto"/>
                        <w:bottom w:val="none" w:sz="0" w:space="0" w:color="auto"/>
                        <w:right w:val="none" w:sz="0" w:space="0" w:color="auto"/>
                      </w:divBdr>
                    </w:div>
                  </w:divsChild>
                </w:div>
                <w:div w:id="878667553">
                  <w:marLeft w:val="0"/>
                  <w:marRight w:val="0"/>
                  <w:marTop w:val="0"/>
                  <w:marBottom w:val="0"/>
                  <w:divBdr>
                    <w:top w:val="none" w:sz="0" w:space="0" w:color="auto"/>
                    <w:left w:val="none" w:sz="0" w:space="0" w:color="auto"/>
                    <w:bottom w:val="none" w:sz="0" w:space="0" w:color="auto"/>
                    <w:right w:val="none" w:sz="0" w:space="0" w:color="auto"/>
                  </w:divBdr>
                  <w:divsChild>
                    <w:div w:id="573590004">
                      <w:marLeft w:val="0"/>
                      <w:marRight w:val="0"/>
                      <w:marTop w:val="0"/>
                      <w:marBottom w:val="0"/>
                      <w:divBdr>
                        <w:top w:val="none" w:sz="0" w:space="0" w:color="auto"/>
                        <w:left w:val="none" w:sz="0" w:space="0" w:color="auto"/>
                        <w:bottom w:val="none" w:sz="0" w:space="0" w:color="auto"/>
                        <w:right w:val="none" w:sz="0" w:space="0" w:color="auto"/>
                      </w:divBdr>
                    </w:div>
                  </w:divsChild>
                </w:div>
                <w:div w:id="1069112618">
                  <w:marLeft w:val="0"/>
                  <w:marRight w:val="0"/>
                  <w:marTop w:val="0"/>
                  <w:marBottom w:val="0"/>
                  <w:divBdr>
                    <w:top w:val="none" w:sz="0" w:space="0" w:color="auto"/>
                    <w:left w:val="none" w:sz="0" w:space="0" w:color="auto"/>
                    <w:bottom w:val="none" w:sz="0" w:space="0" w:color="auto"/>
                    <w:right w:val="none" w:sz="0" w:space="0" w:color="auto"/>
                  </w:divBdr>
                  <w:divsChild>
                    <w:div w:id="835074767">
                      <w:marLeft w:val="0"/>
                      <w:marRight w:val="0"/>
                      <w:marTop w:val="0"/>
                      <w:marBottom w:val="0"/>
                      <w:divBdr>
                        <w:top w:val="none" w:sz="0" w:space="0" w:color="auto"/>
                        <w:left w:val="none" w:sz="0" w:space="0" w:color="auto"/>
                        <w:bottom w:val="none" w:sz="0" w:space="0" w:color="auto"/>
                        <w:right w:val="none" w:sz="0" w:space="0" w:color="auto"/>
                      </w:divBdr>
                    </w:div>
                  </w:divsChild>
                </w:div>
                <w:div w:id="1086462974">
                  <w:marLeft w:val="0"/>
                  <w:marRight w:val="0"/>
                  <w:marTop w:val="0"/>
                  <w:marBottom w:val="0"/>
                  <w:divBdr>
                    <w:top w:val="none" w:sz="0" w:space="0" w:color="auto"/>
                    <w:left w:val="none" w:sz="0" w:space="0" w:color="auto"/>
                    <w:bottom w:val="none" w:sz="0" w:space="0" w:color="auto"/>
                    <w:right w:val="none" w:sz="0" w:space="0" w:color="auto"/>
                  </w:divBdr>
                  <w:divsChild>
                    <w:div w:id="1052268061">
                      <w:marLeft w:val="0"/>
                      <w:marRight w:val="0"/>
                      <w:marTop w:val="0"/>
                      <w:marBottom w:val="0"/>
                      <w:divBdr>
                        <w:top w:val="none" w:sz="0" w:space="0" w:color="auto"/>
                        <w:left w:val="none" w:sz="0" w:space="0" w:color="auto"/>
                        <w:bottom w:val="none" w:sz="0" w:space="0" w:color="auto"/>
                        <w:right w:val="none" w:sz="0" w:space="0" w:color="auto"/>
                      </w:divBdr>
                    </w:div>
                  </w:divsChild>
                </w:div>
                <w:div w:id="1189179079">
                  <w:marLeft w:val="0"/>
                  <w:marRight w:val="0"/>
                  <w:marTop w:val="0"/>
                  <w:marBottom w:val="0"/>
                  <w:divBdr>
                    <w:top w:val="none" w:sz="0" w:space="0" w:color="auto"/>
                    <w:left w:val="none" w:sz="0" w:space="0" w:color="auto"/>
                    <w:bottom w:val="none" w:sz="0" w:space="0" w:color="auto"/>
                    <w:right w:val="none" w:sz="0" w:space="0" w:color="auto"/>
                  </w:divBdr>
                  <w:divsChild>
                    <w:div w:id="567688568">
                      <w:marLeft w:val="0"/>
                      <w:marRight w:val="0"/>
                      <w:marTop w:val="0"/>
                      <w:marBottom w:val="0"/>
                      <w:divBdr>
                        <w:top w:val="none" w:sz="0" w:space="0" w:color="auto"/>
                        <w:left w:val="none" w:sz="0" w:space="0" w:color="auto"/>
                        <w:bottom w:val="none" w:sz="0" w:space="0" w:color="auto"/>
                        <w:right w:val="none" w:sz="0" w:space="0" w:color="auto"/>
                      </w:divBdr>
                    </w:div>
                  </w:divsChild>
                </w:div>
                <w:div w:id="1219245433">
                  <w:marLeft w:val="0"/>
                  <w:marRight w:val="0"/>
                  <w:marTop w:val="0"/>
                  <w:marBottom w:val="0"/>
                  <w:divBdr>
                    <w:top w:val="none" w:sz="0" w:space="0" w:color="auto"/>
                    <w:left w:val="none" w:sz="0" w:space="0" w:color="auto"/>
                    <w:bottom w:val="none" w:sz="0" w:space="0" w:color="auto"/>
                    <w:right w:val="none" w:sz="0" w:space="0" w:color="auto"/>
                  </w:divBdr>
                  <w:divsChild>
                    <w:div w:id="1082990319">
                      <w:marLeft w:val="0"/>
                      <w:marRight w:val="0"/>
                      <w:marTop w:val="0"/>
                      <w:marBottom w:val="0"/>
                      <w:divBdr>
                        <w:top w:val="none" w:sz="0" w:space="0" w:color="auto"/>
                        <w:left w:val="none" w:sz="0" w:space="0" w:color="auto"/>
                        <w:bottom w:val="none" w:sz="0" w:space="0" w:color="auto"/>
                        <w:right w:val="none" w:sz="0" w:space="0" w:color="auto"/>
                      </w:divBdr>
                    </w:div>
                  </w:divsChild>
                </w:div>
                <w:div w:id="1230771012">
                  <w:marLeft w:val="0"/>
                  <w:marRight w:val="0"/>
                  <w:marTop w:val="0"/>
                  <w:marBottom w:val="0"/>
                  <w:divBdr>
                    <w:top w:val="none" w:sz="0" w:space="0" w:color="auto"/>
                    <w:left w:val="none" w:sz="0" w:space="0" w:color="auto"/>
                    <w:bottom w:val="none" w:sz="0" w:space="0" w:color="auto"/>
                    <w:right w:val="none" w:sz="0" w:space="0" w:color="auto"/>
                  </w:divBdr>
                  <w:divsChild>
                    <w:div w:id="1358001389">
                      <w:marLeft w:val="0"/>
                      <w:marRight w:val="0"/>
                      <w:marTop w:val="0"/>
                      <w:marBottom w:val="0"/>
                      <w:divBdr>
                        <w:top w:val="none" w:sz="0" w:space="0" w:color="auto"/>
                        <w:left w:val="none" w:sz="0" w:space="0" w:color="auto"/>
                        <w:bottom w:val="none" w:sz="0" w:space="0" w:color="auto"/>
                        <w:right w:val="none" w:sz="0" w:space="0" w:color="auto"/>
                      </w:divBdr>
                    </w:div>
                  </w:divsChild>
                </w:div>
                <w:div w:id="1255434532">
                  <w:marLeft w:val="0"/>
                  <w:marRight w:val="0"/>
                  <w:marTop w:val="0"/>
                  <w:marBottom w:val="0"/>
                  <w:divBdr>
                    <w:top w:val="none" w:sz="0" w:space="0" w:color="auto"/>
                    <w:left w:val="none" w:sz="0" w:space="0" w:color="auto"/>
                    <w:bottom w:val="none" w:sz="0" w:space="0" w:color="auto"/>
                    <w:right w:val="none" w:sz="0" w:space="0" w:color="auto"/>
                  </w:divBdr>
                  <w:divsChild>
                    <w:div w:id="267277283">
                      <w:marLeft w:val="0"/>
                      <w:marRight w:val="0"/>
                      <w:marTop w:val="0"/>
                      <w:marBottom w:val="0"/>
                      <w:divBdr>
                        <w:top w:val="none" w:sz="0" w:space="0" w:color="auto"/>
                        <w:left w:val="none" w:sz="0" w:space="0" w:color="auto"/>
                        <w:bottom w:val="none" w:sz="0" w:space="0" w:color="auto"/>
                        <w:right w:val="none" w:sz="0" w:space="0" w:color="auto"/>
                      </w:divBdr>
                    </w:div>
                  </w:divsChild>
                </w:div>
                <w:div w:id="1268654551">
                  <w:marLeft w:val="0"/>
                  <w:marRight w:val="0"/>
                  <w:marTop w:val="0"/>
                  <w:marBottom w:val="0"/>
                  <w:divBdr>
                    <w:top w:val="none" w:sz="0" w:space="0" w:color="auto"/>
                    <w:left w:val="none" w:sz="0" w:space="0" w:color="auto"/>
                    <w:bottom w:val="none" w:sz="0" w:space="0" w:color="auto"/>
                    <w:right w:val="none" w:sz="0" w:space="0" w:color="auto"/>
                  </w:divBdr>
                  <w:divsChild>
                    <w:div w:id="939871826">
                      <w:marLeft w:val="0"/>
                      <w:marRight w:val="0"/>
                      <w:marTop w:val="0"/>
                      <w:marBottom w:val="0"/>
                      <w:divBdr>
                        <w:top w:val="none" w:sz="0" w:space="0" w:color="auto"/>
                        <w:left w:val="none" w:sz="0" w:space="0" w:color="auto"/>
                        <w:bottom w:val="none" w:sz="0" w:space="0" w:color="auto"/>
                        <w:right w:val="none" w:sz="0" w:space="0" w:color="auto"/>
                      </w:divBdr>
                    </w:div>
                  </w:divsChild>
                </w:div>
                <w:div w:id="1280381314">
                  <w:marLeft w:val="0"/>
                  <w:marRight w:val="0"/>
                  <w:marTop w:val="0"/>
                  <w:marBottom w:val="0"/>
                  <w:divBdr>
                    <w:top w:val="none" w:sz="0" w:space="0" w:color="auto"/>
                    <w:left w:val="none" w:sz="0" w:space="0" w:color="auto"/>
                    <w:bottom w:val="none" w:sz="0" w:space="0" w:color="auto"/>
                    <w:right w:val="none" w:sz="0" w:space="0" w:color="auto"/>
                  </w:divBdr>
                  <w:divsChild>
                    <w:div w:id="2111125336">
                      <w:marLeft w:val="0"/>
                      <w:marRight w:val="0"/>
                      <w:marTop w:val="0"/>
                      <w:marBottom w:val="0"/>
                      <w:divBdr>
                        <w:top w:val="none" w:sz="0" w:space="0" w:color="auto"/>
                        <w:left w:val="none" w:sz="0" w:space="0" w:color="auto"/>
                        <w:bottom w:val="none" w:sz="0" w:space="0" w:color="auto"/>
                        <w:right w:val="none" w:sz="0" w:space="0" w:color="auto"/>
                      </w:divBdr>
                    </w:div>
                  </w:divsChild>
                </w:div>
                <w:div w:id="1340238016">
                  <w:marLeft w:val="0"/>
                  <w:marRight w:val="0"/>
                  <w:marTop w:val="0"/>
                  <w:marBottom w:val="0"/>
                  <w:divBdr>
                    <w:top w:val="none" w:sz="0" w:space="0" w:color="auto"/>
                    <w:left w:val="none" w:sz="0" w:space="0" w:color="auto"/>
                    <w:bottom w:val="none" w:sz="0" w:space="0" w:color="auto"/>
                    <w:right w:val="none" w:sz="0" w:space="0" w:color="auto"/>
                  </w:divBdr>
                  <w:divsChild>
                    <w:div w:id="1407259898">
                      <w:marLeft w:val="0"/>
                      <w:marRight w:val="0"/>
                      <w:marTop w:val="0"/>
                      <w:marBottom w:val="0"/>
                      <w:divBdr>
                        <w:top w:val="none" w:sz="0" w:space="0" w:color="auto"/>
                        <w:left w:val="none" w:sz="0" w:space="0" w:color="auto"/>
                        <w:bottom w:val="none" w:sz="0" w:space="0" w:color="auto"/>
                        <w:right w:val="none" w:sz="0" w:space="0" w:color="auto"/>
                      </w:divBdr>
                    </w:div>
                  </w:divsChild>
                </w:div>
                <w:div w:id="1362246783">
                  <w:marLeft w:val="0"/>
                  <w:marRight w:val="0"/>
                  <w:marTop w:val="0"/>
                  <w:marBottom w:val="0"/>
                  <w:divBdr>
                    <w:top w:val="none" w:sz="0" w:space="0" w:color="auto"/>
                    <w:left w:val="none" w:sz="0" w:space="0" w:color="auto"/>
                    <w:bottom w:val="none" w:sz="0" w:space="0" w:color="auto"/>
                    <w:right w:val="none" w:sz="0" w:space="0" w:color="auto"/>
                  </w:divBdr>
                  <w:divsChild>
                    <w:div w:id="888103401">
                      <w:marLeft w:val="0"/>
                      <w:marRight w:val="0"/>
                      <w:marTop w:val="0"/>
                      <w:marBottom w:val="0"/>
                      <w:divBdr>
                        <w:top w:val="none" w:sz="0" w:space="0" w:color="auto"/>
                        <w:left w:val="none" w:sz="0" w:space="0" w:color="auto"/>
                        <w:bottom w:val="none" w:sz="0" w:space="0" w:color="auto"/>
                        <w:right w:val="none" w:sz="0" w:space="0" w:color="auto"/>
                      </w:divBdr>
                    </w:div>
                  </w:divsChild>
                </w:div>
                <w:div w:id="1362319843">
                  <w:marLeft w:val="0"/>
                  <w:marRight w:val="0"/>
                  <w:marTop w:val="0"/>
                  <w:marBottom w:val="0"/>
                  <w:divBdr>
                    <w:top w:val="none" w:sz="0" w:space="0" w:color="auto"/>
                    <w:left w:val="none" w:sz="0" w:space="0" w:color="auto"/>
                    <w:bottom w:val="none" w:sz="0" w:space="0" w:color="auto"/>
                    <w:right w:val="none" w:sz="0" w:space="0" w:color="auto"/>
                  </w:divBdr>
                  <w:divsChild>
                    <w:div w:id="111873320">
                      <w:marLeft w:val="0"/>
                      <w:marRight w:val="0"/>
                      <w:marTop w:val="0"/>
                      <w:marBottom w:val="0"/>
                      <w:divBdr>
                        <w:top w:val="none" w:sz="0" w:space="0" w:color="auto"/>
                        <w:left w:val="none" w:sz="0" w:space="0" w:color="auto"/>
                        <w:bottom w:val="none" w:sz="0" w:space="0" w:color="auto"/>
                        <w:right w:val="none" w:sz="0" w:space="0" w:color="auto"/>
                      </w:divBdr>
                    </w:div>
                  </w:divsChild>
                </w:div>
                <w:div w:id="1511943718">
                  <w:marLeft w:val="0"/>
                  <w:marRight w:val="0"/>
                  <w:marTop w:val="0"/>
                  <w:marBottom w:val="0"/>
                  <w:divBdr>
                    <w:top w:val="none" w:sz="0" w:space="0" w:color="auto"/>
                    <w:left w:val="none" w:sz="0" w:space="0" w:color="auto"/>
                    <w:bottom w:val="none" w:sz="0" w:space="0" w:color="auto"/>
                    <w:right w:val="none" w:sz="0" w:space="0" w:color="auto"/>
                  </w:divBdr>
                  <w:divsChild>
                    <w:div w:id="677389964">
                      <w:marLeft w:val="0"/>
                      <w:marRight w:val="0"/>
                      <w:marTop w:val="0"/>
                      <w:marBottom w:val="0"/>
                      <w:divBdr>
                        <w:top w:val="none" w:sz="0" w:space="0" w:color="auto"/>
                        <w:left w:val="none" w:sz="0" w:space="0" w:color="auto"/>
                        <w:bottom w:val="none" w:sz="0" w:space="0" w:color="auto"/>
                        <w:right w:val="none" w:sz="0" w:space="0" w:color="auto"/>
                      </w:divBdr>
                    </w:div>
                  </w:divsChild>
                </w:div>
                <w:div w:id="1577131335">
                  <w:marLeft w:val="0"/>
                  <w:marRight w:val="0"/>
                  <w:marTop w:val="0"/>
                  <w:marBottom w:val="0"/>
                  <w:divBdr>
                    <w:top w:val="none" w:sz="0" w:space="0" w:color="auto"/>
                    <w:left w:val="none" w:sz="0" w:space="0" w:color="auto"/>
                    <w:bottom w:val="none" w:sz="0" w:space="0" w:color="auto"/>
                    <w:right w:val="none" w:sz="0" w:space="0" w:color="auto"/>
                  </w:divBdr>
                  <w:divsChild>
                    <w:div w:id="1705985201">
                      <w:marLeft w:val="0"/>
                      <w:marRight w:val="0"/>
                      <w:marTop w:val="0"/>
                      <w:marBottom w:val="0"/>
                      <w:divBdr>
                        <w:top w:val="none" w:sz="0" w:space="0" w:color="auto"/>
                        <w:left w:val="none" w:sz="0" w:space="0" w:color="auto"/>
                        <w:bottom w:val="none" w:sz="0" w:space="0" w:color="auto"/>
                        <w:right w:val="none" w:sz="0" w:space="0" w:color="auto"/>
                      </w:divBdr>
                    </w:div>
                  </w:divsChild>
                </w:div>
                <w:div w:id="1758355914">
                  <w:marLeft w:val="0"/>
                  <w:marRight w:val="0"/>
                  <w:marTop w:val="0"/>
                  <w:marBottom w:val="0"/>
                  <w:divBdr>
                    <w:top w:val="none" w:sz="0" w:space="0" w:color="auto"/>
                    <w:left w:val="none" w:sz="0" w:space="0" w:color="auto"/>
                    <w:bottom w:val="none" w:sz="0" w:space="0" w:color="auto"/>
                    <w:right w:val="none" w:sz="0" w:space="0" w:color="auto"/>
                  </w:divBdr>
                  <w:divsChild>
                    <w:div w:id="1613586882">
                      <w:marLeft w:val="0"/>
                      <w:marRight w:val="0"/>
                      <w:marTop w:val="0"/>
                      <w:marBottom w:val="0"/>
                      <w:divBdr>
                        <w:top w:val="none" w:sz="0" w:space="0" w:color="auto"/>
                        <w:left w:val="none" w:sz="0" w:space="0" w:color="auto"/>
                        <w:bottom w:val="none" w:sz="0" w:space="0" w:color="auto"/>
                        <w:right w:val="none" w:sz="0" w:space="0" w:color="auto"/>
                      </w:divBdr>
                    </w:div>
                  </w:divsChild>
                </w:div>
                <w:div w:id="1867981968">
                  <w:marLeft w:val="0"/>
                  <w:marRight w:val="0"/>
                  <w:marTop w:val="0"/>
                  <w:marBottom w:val="0"/>
                  <w:divBdr>
                    <w:top w:val="none" w:sz="0" w:space="0" w:color="auto"/>
                    <w:left w:val="none" w:sz="0" w:space="0" w:color="auto"/>
                    <w:bottom w:val="none" w:sz="0" w:space="0" w:color="auto"/>
                    <w:right w:val="none" w:sz="0" w:space="0" w:color="auto"/>
                  </w:divBdr>
                  <w:divsChild>
                    <w:div w:id="1508208554">
                      <w:marLeft w:val="0"/>
                      <w:marRight w:val="0"/>
                      <w:marTop w:val="0"/>
                      <w:marBottom w:val="0"/>
                      <w:divBdr>
                        <w:top w:val="none" w:sz="0" w:space="0" w:color="auto"/>
                        <w:left w:val="none" w:sz="0" w:space="0" w:color="auto"/>
                        <w:bottom w:val="none" w:sz="0" w:space="0" w:color="auto"/>
                        <w:right w:val="none" w:sz="0" w:space="0" w:color="auto"/>
                      </w:divBdr>
                    </w:div>
                  </w:divsChild>
                </w:div>
                <w:div w:id="1940062221">
                  <w:marLeft w:val="0"/>
                  <w:marRight w:val="0"/>
                  <w:marTop w:val="0"/>
                  <w:marBottom w:val="0"/>
                  <w:divBdr>
                    <w:top w:val="none" w:sz="0" w:space="0" w:color="auto"/>
                    <w:left w:val="none" w:sz="0" w:space="0" w:color="auto"/>
                    <w:bottom w:val="none" w:sz="0" w:space="0" w:color="auto"/>
                    <w:right w:val="none" w:sz="0" w:space="0" w:color="auto"/>
                  </w:divBdr>
                  <w:divsChild>
                    <w:div w:id="2004122802">
                      <w:marLeft w:val="0"/>
                      <w:marRight w:val="0"/>
                      <w:marTop w:val="0"/>
                      <w:marBottom w:val="0"/>
                      <w:divBdr>
                        <w:top w:val="none" w:sz="0" w:space="0" w:color="auto"/>
                        <w:left w:val="none" w:sz="0" w:space="0" w:color="auto"/>
                        <w:bottom w:val="none" w:sz="0" w:space="0" w:color="auto"/>
                        <w:right w:val="none" w:sz="0" w:space="0" w:color="auto"/>
                      </w:divBdr>
                    </w:div>
                  </w:divsChild>
                </w:div>
                <w:div w:id="1979527401">
                  <w:marLeft w:val="0"/>
                  <w:marRight w:val="0"/>
                  <w:marTop w:val="0"/>
                  <w:marBottom w:val="0"/>
                  <w:divBdr>
                    <w:top w:val="none" w:sz="0" w:space="0" w:color="auto"/>
                    <w:left w:val="none" w:sz="0" w:space="0" w:color="auto"/>
                    <w:bottom w:val="none" w:sz="0" w:space="0" w:color="auto"/>
                    <w:right w:val="none" w:sz="0" w:space="0" w:color="auto"/>
                  </w:divBdr>
                  <w:divsChild>
                    <w:div w:id="273637182">
                      <w:marLeft w:val="0"/>
                      <w:marRight w:val="0"/>
                      <w:marTop w:val="0"/>
                      <w:marBottom w:val="0"/>
                      <w:divBdr>
                        <w:top w:val="none" w:sz="0" w:space="0" w:color="auto"/>
                        <w:left w:val="none" w:sz="0" w:space="0" w:color="auto"/>
                        <w:bottom w:val="none" w:sz="0" w:space="0" w:color="auto"/>
                        <w:right w:val="none" w:sz="0" w:space="0" w:color="auto"/>
                      </w:divBdr>
                    </w:div>
                  </w:divsChild>
                </w:div>
                <w:div w:id="1987779258">
                  <w:marLeft w:val="0"/>
                  <w:marRight w:val="0"/>
                  <w:marTop w:val="0"/>
                  <w:marBottom w:val="0"/>
                  <w:divBdr>
                    <w:top w:val="none" w:sz="0" w:space="0" w:color="auto"/>
                    <w:left w:val="none" w:sz="0" w:space="0" w:color="auto"/>
                    <w:bottom w:val="none" w:sz="0" w:space="0" w:color="auto"/>
                    <w:right w:val="none" w:sz="0" w:space="0" w:color="auto"/>
                  </w:divBdr>
                  <w:divsChild>
                    <w:div w:id="932906024">
                      <w:marLeft w:val="0"/>
                      <w:marRight w:val="0"/>
                      <w:marTop w:val="0"/>
                      <w:marBottom w:val="0"/>
                      <w:divBdr>
                        <w:top w:val="none" w:sz="0" w:space="0" w:color="auto"/>
                        <w:left w:val="none" w:sz="0" w:space="0" w:color="auto"/>
                        <w:bottom w:val="none" w:sz="0" w:space="0" w:color="auto"/>
                        <w:right w:val="none" w:sz="0" w:space="0" w:color="auto"/>
                      </w:divBdr>
                    </w:div>
                  </w:divsChild>
                </w:div>
                <w:div w:id="2018381744">
                  <w:marLeft w:val="0"/>
                  <w:marRight w:val="0"/>
                  <w:marTop w:val="0"/>
                  <w:marBottom w:val="0"/>
                  <w:divBdr>
                    <w:top w:val="none" w:sz="0" w:space="0" w:color="auto"/>
                    <w:left w:val="none" w:sz="0" w:space="0" w:color="auto"/>
                    <w:bottom w:val="none" w:sz="0" w:space="0" w:color="auto"/>
                    <w:right w:val="none" w:sz="0" w:space="0" w:color="auto"/>
                  </w:divBdr>
                  <w:divsChild>
                    <w:div w:id="1180780215">
                      <w:marLeft w:val="0"/>
                      <w:marRight w:val="0"/>
                      <w:marTop w:val="0"/>
                      <w:marBottom w:val="0"/>
                      <w:divBdr>
                        <w:top w:val="none" w:sz="0" w:space="0" w:color="auto"/>
                        <w:left w:val="none" w:sz="0" w:space="0" w:color="auto"/>
                        <w:bottom w:val="none" w:sz="0" w:space="0" w:color="auto"/>
                        <w:right w:val="none" w:sz="0" w:space="0" w:color="auto"/>
                      </w:divBdr>
                    </w:div>
                  </w:divsChild>
                </w:div>
                <w:div w:id="2039694997">
                  <w:marLeft w:val="0"/>
                  <w:marRight w:val="0"/>
                  <w:marTop w:val="0"/>
                  <w:marBottom w:val="0"/>
                  <w:divBdr>
                    <w:top w:val="none" w:sz="0" w:space="0" w:color="auto"/>
                    <w:left w:val="none" w:sz="0" w:space="0" w:color="auto"/>
                    <w:bottom w:val="none" w:sz="0" w:space="0" w:color="auto"/>
                    <w:right w:val="none" w:sz="0" w:space="0" w:color="auto"/>
                  </w:divBdr>
                  <w:divsChild>
                    <w:div w:id="399449937">
                      <w:marLeft w:val="0"/>
                      <w:marRight w:val="0"/>
                      <w:marTop w:val="0"/>
                      <w:marBottom w:val="0"/>
                      <w:divBdr>
                        <w:top w:val="none" w:sz="0" w:space="0" w:color="auto"/>
                        <w:left w:val="none" w:sz="0" w:space="0" w:color="auto"/>
                        <w:bottom w:val="none" w:sz="0" w:space="0" w:color="auto"/>
                        <w:right w:val="none" w:sz="0" w:space="0" w:color="auto"/>
                      </w:divBdr>
                    </w:div>
                  </w:divsChild>
                </w:div>
                <w:div w:id="2083484407">
                  <w:marLeft w:val="0"/>
                  <w:marRight w:val="0"/>
                  <w:marTop w:val="0"/>
                  <w:marBottom w:val="0"/>
                  <w:divBdr>
                    <w:top w:val="none" w:sz="0" w:space="0" w:color="auto"/>
                    <w:left w:val="none" w:sz="0" w:space="0" w:color="auto"/>
                    <w:bottom w:val="none" w:sz="0" w:space="0" w:color="auto"/>
                    <w:right w:val="none" w:sz="0" w:space="0" w:color="auto"/>
                  </w:divBdr>
                  <w:divsChild>
                    <w:div w:id="1381704790">
                      <w:marLeft w:val="0"/>
                      <w:marRight w:val="0"/>
                      <w:marTop w:val="0"/>
                      <w:marBottom w:val="0"/>
                      <w:divBdr>
                        <w:top w:val="none" w:sz="0" w:space="0" w:color="auto"/>
                        <w:left w:val="none" w:sz="0" w:space="0" w:color="auto"/>
                        <w:bottom w:val="none" w:sz="0" w:space="0" w:color="auto"/>
                        <w:right w:val="none" w:sz="0" w:space="0" w:color="auto"/>
                      </w:divBdr>
                    </w:div>
                  </w:divsChild>
                </w:div>
                <w:div w:id="2093237922">
                  <w:marLeft w:val="0"/>
                  <w:marRight w:val="0"/>
                  <w:marTop w:val="0"/>
                  <w:marBottom w:val="0"/>
                  <w:divBdr>
                    <w:top w:val="none" w:sz="0" w:space="0" w:color="auto"/>
                    <w:left w:val="none" w:sz="0" w:space="0" w:color="auto"/>
                    <w:bottom w:val="none" w:sz="0" w:space="0" w:color="auto"/>
                    <w:right w:val="none" w:sz="0" w:space="0" w:color="auto"/>
                  </w:divBdr>
                  <w:divsChild>
                    <w:div w:id="18774755">
                      <w:marLeft w:val="0"/>
                      <w:marRight w:val="0"/>
                      <w:marTop w:val="0"/>
                      <w:marBottom w:val="0"/>
                      <w:divBdr>
                        <w:top w:val="none" w:sz="0" w:space="0" w:color="auto"/>
                        <w:left w:val="none" w:sz="0" w:space="0" w:color="auto"/>
                        <w:bottom w:val="none" w:sz="0" w:space="0" w:color="auto"/>
                        <w:right w:val="none" w:sz="0" w:space="0" w:color="auto"/>
                      </w:divBdr>
                    </w:div>
                  </w:divsChild>
                </w:div>
                <w:div w:id="2122064052">
                  <w:marLeft w:val="0"/>
                  <w:marRight w:val="0"/>
                  <w:marTop w:val="0"/>
                  <w:marBottom w:val="0"/>
                  <w:divBdr>
                    <w:top w:val="none" w:sz="0" w:space="0" w:color="auto"/>
                    <w:left w:val="none" w:sz="0" w:space="0" w:color="auto"/>
                    <w:bottom w:val="none" w:sz="0" w:space="0" w:color="auto"/>
                    <w:right w:val="none" w:sz="0" w:space="0" w:color="auto"/>
                  </w:divBdr>
                  <w:divsChild>
                    <w:div w:id="20254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12518">
          <w:marLeft w:val="0"/>
          <w:marRight w:val="0"/>
          <w:marTop w:val="0"/>
          <w:marBottom w:val="0"/>
          <w:divBdr>
            <w:top w:val="none" w:sz="0" w:space="0" w:color="auto"/>
            <w:left w:val="none" w:sz="0" w:space="0" w:color="auto"/>
            <w:bottom w:val="none" w:sz="0" w:space="0" w:color="auto"/>
            <w:right w:val="none" w:sz="0" w:space="0" w:color="auto"/>
          </w:divBdr>
          <w:divsChild>
            <w:div w:id="1636520558">
              <w:marLeft w:val="-75"/>
              <w:marRight w:val="0"/>
              <w:marTop w:val="30"/>
              <w:marBottom w:val="30"/>
              <w:divBdr>
                <w:top w:val="none" w:sz="0" w:space="0" w:color="auto"/>
                <w:left w:val="none" w:sz="0" w:space="0" w:color="auto"/>
                <w:bottom w:val="none" w:sz="0" w:space="0" w:color="auto"/>
                <w:right w:val="none" w:sz="0" w:space="0" w:color="auto"/>
              </w:divBdr>
              <w:divsChild>
                <w:div w:id="10644481">
                  <w:marLeft w:val="0"/>
                  <w:marRight w:val="0"/>
                  <w:marTop w:val="0"/>
                  <w:marBottom w:val="0"/>
                  <w:divBdr>
                    <w:top w:val="none" w:sz="0" w:space="0" w:color="auto"/>
                    <w:left w:val="none" w:sz="0" w:space="0" w:color="auto"/>
                    <w:bottom w:val="none" w:sz="0" w:space="0" w:color="auto"/>
                    <w:right w:val="none" w:sz="0" w:space="0" w:color="auto"/>
                  </w:divBdr>
                  <w:divsChild>
                    <w:div w:id="1304846379">
                      <w:marLeft w:val="0"/>
                      <w:marRight w:val="0"/>
                      <w:marTop w:val="0"/>
                      <w:marBottom w:val="0"/>
                      <w:divBdr>
                        <w:top w:val="none" w:sz="0" w:space="0" w:color="auto"/>
                        <w:left w:val="none" w:sz="0" w:space="0" w:color="auto"/>
                        <w:bottom w:val="none" w:sz="0" w:space="0" w:color="auto"/>
                        <w:right w:val="none" w:sz="0" w:space="0" w:color="auto"/>
                      </w:divBdr>
                    </w:div>
                  </w:divsChild>
                </w:div>
                <w:div w:id="16659281">
                  <w:marLeft w:val="0"/>
                  <w:marRight w:val="0"/>
                  <w:marTop w:val="0"/>
                  <w:marBottom w:val="0"/>
                  <w:divBdr>
                    <w:top w:val="none" w:sz="0" w:space="0" w:color="auto"/>
                    <w:left w:val="none" w:sz="0" w:space="0" w:color="auto"/>
                    <w:bottom w:val="none" w:sz="0" w:space="0" w:color="auto"/>
                    <w:right w:val="none" w:sz="0" w:space="0" w:color="auto"/>
                  </w:divBdr>
                  <w:divsChild>
                    <w:div w:id="1276211955">
                      <w:marLeft w:val="0"/>
                      <w:marRight w:val="0"/>
                      <w:marTop w:val="0"/>
                      <w:marBottom w:val="0"/>
                      <w:divBdr>
                        <w:top w:val="none" w:sz="0" w:space="0" w:color="auto"/>
                        <w:left w:val="none" w:sz="0" w:space="0" w:color="auto"/>
                        <w:bottom w:val="none" w:sz="0" w:space="0" w:color="auto"/>
                        <w:right w:val="none" w:sz="0" w:space="0" w:color="auto"/>
                      </w:divBdr>
                    </w:div>
                  </w:divsChild>
                </w:div>
                <w:div w:id="90589883">
                  <w:marLeft w:val="0"/>
                  <w:marRight w:val="0"/>
                  <w:marTop w:val="0"/>
                  <w:marBottom w:val="0"/>
                  <w:divBdr>
                    <w:top w:val="none" w:sz="0" w:space="0" w:color="auto"/>
                    <w:left w:val="none" w:sz="0" w:space="0" w:color="auto"/>
                    <w:bottom w:val="none" w:sz="0" w:space="0" w:color="auto"/>
                    <w:right w:val="none" w:sz="0" w:space="0" w:color="auto"/>
                  </w:divBdr>
                  <w:divsChild>
                    <w:div w:id="695227721">
                      <w:marLeft w:val="0"/>
                      <w:marRight w:val="0"/>
                      <w:marTop w:val="0"/>
                      <w:marBottom w:val="0"/>
                      <w:divBdr>
                        <w:top w:val="none" w:sz="0" w:space="0" w:color="auto"/>
                        <w:left w:val="none" w:sz="0" w:space="0" w:color="auto"/>
                        <w:bottom w:val="none" w:sz="0" w:space="0" w:color="auto"/>
                        <w:right w:val="none" w:sz="0" w:space="0" w:color="auto"/>
                      </w:divBdr>
                    </w:div>
                  </w:divsChild>
                </w:div>
                <w:div w:id="113015188">
                  <w:marLeft w:val="0"/>
                  <w:marRight w:val="0"/>
                  <w:marTop w:val="0"/>
                  <w:marBottom w:val="0"/>
                  <w:divBdr>
                    <w:top w:val="none" w:sz="0" w:space="0" w:color="auto"/>
                    <w:left w:val="none" w:sz="0" w:space="0" w:color="auto"/>
                    <w:bottom w:val="none" w:sz="0" w:space="0" w:color="auto"/>
                    <w:right w:val="none" w:sz="0" w:space="0" w:color="auto"/>
                  </w:divBdr>
                  <w:divsChild>
                    <w:div w:id="1893929822">
                      <w:marLeft w:val="0"/>
                      <w:marRight w:val="0"/>
                      <w:marTop w:val="0"/>
                      <w:marBottom w:val="0"/>
                      <w:divBdr>
                        <w:top w:val="none" w:sz="0" w:space="0" w:color="auto"/>
                        <w:left w:val="none" w:sz="0" w:space="0" w:color="auto"/>
                        <w:bottom w:val="none" w:sz="0" w:space="0" w:color="auto"/>
                        <w:right w:val="none" w:sz="0" w:space="0" w:color="auto"/>
                      </w:divBdr>
                    </w:div>
                  </w:divsChild>
                </w:div>
                <w:div w:id="207499800">
                  <w:marLeft w:val="0"/>
                  <w:marRight w:val="0"/>
                  <w:marTop w:val="0"/>
                  <w:marBottom w:val="0"/>
                  <w:divBdr>
                    <w:top w:val="none" w:sz="0" w:space="0" w:color="auto"/>
                    <w:left w:val="none" w:sz="0" w:space="0" w:color="auto"/>
                    <w:bottom w:val="none" w:sz="0" w:space="0" w:color="auto"/>
                    <w:right w:val="none" w:sz="0" w:space="0" w:color="auto"/>
                  </w:divBdr>
                  <w:divsChild>
                    <w:div w:id="322248326">
                      <w:marLeft w:val="0"/>
                      <w:marRight w:val="0"/>
                      <w:marTop w:val="0"/>
                      <w:marBottom w:val="0"/>
                      <w:divBdr>
                        <w:top w:val="none" w:sz="0" w:space="0" w:color="auto"/>
                        <w:left w:val="none" w:sz="0" w:space="0" w:color="auto"/>
                        <w:bottom w:val="none" w:sz="0" w:space="0" w:color="auto"/>
                        <w:right w:val="none" w:sz="0" w:space="0" w:color="auto"/>
                      </w:divBdr>
                    </w:div>
                  </w:divsChild>
                </w:div>
                <w:div w:id="356928710">
                  <w:marLeft w:val="0"/>
                  <w:marRight w:val="0"/>
                  <w:marTop w:val="0"/>
                  <w:marBottom w:val="0"/>
                  <w:divBdr>
                    <w:top w:val="none" w:sz="0" w:space="0" w:color="auto"/>
                    <w:left w:val="none" w:sz="0" w:space="0" w:color="auto"/>
                    <w:bottom w:val="none" w:sz="0" w:space="0" w:color="auto"/>
                    <w:right w:val="none" w:sz="0" w:space="0" w:color="auto"/>
                  </w:divBdr>
                  <w:divsChild>
                    <w:div w:id="101538252">
                      <w:marLeft w:val="0"/>
                      <w:marRight w:val="0"/>
                      <w:marTop w:val="0"/>
                      <w:marBottom w:val="0"/>
                      <w:divBdr>
                        <w:top w:val="none" w:sz="0" w:space="0" w:color="auto"/>
                        <w:left w:val="none" w:sz="0" w:space="0" w:color="auto"/>
                        <w:bottom w:val="none" w:sz="0" w:space="0" w:color="auto"/>
                        <w:right w:val="none" w:sz="0" w:space="0" w:color="auto"/>
                      </w:divBdr>
                    </w:div>
                  </w:divsChild>
                </w:div>
                <w:div w:id="404685392">
                  <w:marLeft w:val="0"/>
                  <w:marRight w:val="0"/>
                  <w:marTop w:val="0"/>
                  <w:marBottom w:val="0"/>
                  <w:divBdr>
                    <w:top w:val="none" w:sz="0" w:space="0" w:color="auto"/>
                    <w:left w:val="none" w:sz="0" w:space="0" w:color="auto"/>
                    <w:bottom w:val="none" w:sz="0" w:space="0" w:color="auto"/>
                    <w:right w:val="none" w:sz="0" w:space="0" w:color="auto"/>
                  </w:divBdr>
                  <w:divsChild>
                    <w:div w:id="1547830993">
                      <w:marLeft w:val="0"/>
                      <w:marRight w:val="0"/>
                      <w:marTop w:val="0"/>
                      <w:marBottom w:val="0"/>
                      <w:divBdr>
                        <w:top w:val="none" w:sz="0" w:space="0" w:color="auto"/>
                        <w:left w:val="none" w:sz="0" w:space="0" w:color="auto"/>
                        <w:bottom w:val="none" w:sz="0" w:space="0" w:color="auto"/>
                        <w:right w:val="none" w:sz="0" w:space="0" w:color="auto"/>
                      </w:divBdr>
                    </w:div>
                  </w:divsChild>
                </w:div>
                <w:div w:id="457182204">
                  <w:marLeft w:val="0"/>
                  <w:marRight w:val="0"/>
                  <w:marTop w:val="0"/>
                  <w:marBottom w:val="0"/>
                  <w:divBdr>
                    <w:top w:val="none" w:sz="0" w:space="0" w:color="auto"/>
                    <w:left w:val="none" w:sz="0" w:space="0" w:color="auto"/>
                    <w:bottom w:val="none" w:sz="0" w:space="0" w:color="auto"/>
                    <w:right w:val="none" w:sz="0" w:space="0" w:color="auto"/>
                  </w:divBdr>
                  <w:divsChild>
                    <w:div w:id="244726735">
                      <w:marLeft w:val="0"/>
                      <w:marRight w:val="0"/>
                      <w:marTop w:val="0"/>
                      <w:marBottom w:val="0"/>
                      <w:divBdr>
                        <w:top w:val="none" w:sz="0" w:space="0" w:color="auto"/>
                        <w:left w:val="none" w:sz="0" w:space="0" w:color="auto"/>
                        <w:bottom w:val="none" w:sz="0" w:space="0" w:color="auto"/>
                        <w:right w:val="none" w:sz="0" w:space="0" w:color="auto"/>
                      </w:divBdr>
                    </w:div>
                  </w:divsChild>
                </w:div>
                <w:div w:id="476609144">
                  <w:marLeft w:val="0"/>
                  <w:marRight w:val="0"/>
                  <w:marTop w:val="0"/>
                  <w:marBottom w:val="0"/>
                  <w:divBdr>
                    <w:top w:val="none" w:sz="0" w:space="0" w:color="auto"/>
                    <w:left w:val="none" w:sz="0" w:space="0" w:color="auto"/>
                    <w:bottom w:val="none" w:sz="0" w:space="0" w:color="auto"/>
                    <w:right w:val="none" w:sz="0" w:space="0" w:color="auto"/>
                  </w:divBdr>
                  <w:divsChild>
                    <w:div w:id="381833029">
                      <w:marLeft w:val="0"/>
                      <w:marRight w:val="0"/>
                      <w:marTop w:val="0"/>
                      <w:marBottom w:val="0"/>
                      <w:divBdr>
                        <w:top w:val="none" w:sz="0" w:space="0" w:color="auto"/>
                        <w:left w:val="none" w:sz="0" w:space="0" w:color="auto"/>
                        <w:bottom w:val="none" w:sz="0" w:space="0" w:color="auto"/>
                        <w:right w:val="none" w:sz="0" w:space="0" w:color="auto"/>
                      </w:divBdr>
                    </w:div>
                  </w:divsChild>
                </w:div>
                <w:div w:id="651258482">
                  <w:marLeft w:val="0"/>
                  <w:marRight w:val="0"/>
                  <w:marTop w:val="0"/>
                  <w:marBottom w:val="0"/>
                  <w:divBdr>
                    <w:top w:val="none" w:sz="0" w:space="0" w:color="auto"/>
                    <w:left w:val="none" w:sz="0" w:space="0" w:color="auto"/>
                    <w:bottom w:val="none" w:sz="0" w:space="0" w:color="auto"/>
                    <w:right w:val="none" w:sz="0" w:space="0" w:color="auto"/>
                  </w:divBdr>
                  <w:divsChild>
                    <w:div w:id="485052432">
                      <w:marLeft w:val="0"/>
                      <w:marRight w:val="0"/>
                      <w:marTop w:val="0"/>
                      <w:marBottom w:val="0"/>
                      <w:divBdr>
                        <w:top w:val="none" w:sz="0" w:space="0" w:color="auto"/>
                        <w:left w:val="none" w:sz="0" w:space="0" w:color="auto"/>
                        <w:bottom w:val="none" w:sz="0" w:space="0" w:color="auto"/>
                        <w:right w:val="none" w:sz="0" w:space="0" w:color="auto"/>
                      </w:divBdr>
                    </w:div>
                  </w:divsChild>
                </w:div>
                <w:div w:id="674843864">
                  <w:marLeft w:val="0"/>
                  <w:marRight w:val="0"/>
                  <w:marTop w:val="0"/>
                  <w:marBottom w:val="0"/>
                  <w:divBdr>
                    <w:top w:val="none" w:sz="0" w:space="0" w:color="auto"/>
                    <w:left w:val="none" w:sz="0" w:space="0" w:color="auto"/>
                    <w:bottom w:val="none" w:sz="0" w:space="0" w:color="auto"/>
                    <w:right w:val="none" w:sz="0" w:space="0" w:color="auto"/>
                  </w:divBdr>
                  <w:divsChild>
                    <w:div w:id="1099905980">
                      <w:marLeft w:val="0"/>
                      <w:marRight w:val="0"/>
                      <w:marTop w:val="0"/>
                      <w:marBottom w:val="0"/>
                      <w:divBdr>
                        <w:top w:val="none" w:sz="0" w:space="0" w:color="auto"/>
                        <w:left w:val="none" w:sz="0" w:space="0" w:color="auto"/>
                        <w:bottom w:val="none" w:sz="0" w:space="0" w:color="auto"/>
                        <w:right w:val="none" w:sz="0" w:space="0" w:color="auto"/>
                      </w:divBdr>
                    </w:div>
                  </w:divsChild>
                </w:div>
                <w:div w:id="684476155">
                  <w:marLeft w:val="0"/>
                  <w:marRight w:val="0"/>
                  <w:marTop w:val="0"/>
                  <w:marBottom w:val="0"/>
                  <w:divBdr>
                    <w:top w:val="none" w:sz="0" w:space="0" w:color="auto"/>
                    <w:left w:val="none" w:sz="0" w:space="0" w:color="auto"/>
                    <w:bottom w:val="none" w:sz="0" w:space="0" w:color="auto"/>
                    <w:right w:val="none" w:sz="0" w:space="0" w:color="auto"/>
                  </w:divBdr>
                  <w:divsChild>
                    <w:div w:id="497768739">
                      <w:marLeft w:val="0"/>
                      <w:marRight w:val="0"/>
                      <w:marTop w:val="0"/>
                      <w:marBottom w:val="0"/>
                      <w:divBdr>
                        <w:top w:val="none" w:sz="0" w:space="0" w:color="auto"/>
                        <w:left w:val="none" w:sz="0" w:space="0" w:color="auto"/>
                        <w:bottom w:val="none" w:sz="0" w:space="0" w:color="auto"/>
                        <w:right w:val="none" w:sz="0" w:space="0" w:color="auto"/>
                      </w:divBdr>
                    </w:div>
                  </w:divsChild>
                </w:div>
                <w:div w:id="686760696">
                  <w:marLeft w:val="0"/>
                  <w:marRight w:val="0"/>
                  <w:marTop w:val="0"/>
                  <w:marBottom w:val="0"/>
                  <w:divBdr>
                    <w:top w:val="none" w:sz="0" w:space="0" w:color="auto"/>
                    <w:left w:val="none" w:sz="0" w:space="0" w:color="auto"/>
                    <w:bottom w:val="none" w:sz="0" w:space="0" w:color="auto"/>
                    <w:right w:val="none" w:sz="0" w:space="0" w:color="auto"/>
                  </w:divBdr>
                  <w:divsChild>
                    <w:div w:id="951979844">
                      <w:marLeft w:val="0"/>
                      <w:marRight w:val="0"/>
                      <w:marTop w:val="0"/>
                      <w:marBottom w:val="0"/>
                      <w:divBdr>
                        <w:top w:val="none" w:sz="0" w:space="0" w:color="auto"/>
                        <w:left w:val="none" w:sz="0" w:space="0" w:color="auto"/>
                        <w:bottom w:val="none" w:sz="0" w:space="0" w:color="auto"/>
                        <w:right w:val="none" w:sz="0" w:space="0" w:color="auto"/>
                      </w:divBdr>
                    </w:div>
                  </w:divsChild>
                </w:div>
                <w:div w:id="757749235">
                  <w:marLeft w:val="0"/>
                  <w:marRight w:val="0"/>
                  <w:marTop w:val="0"/>
                  <w:marBottom w:val="0"/>
                  <w:divBdr>
                    <w:top w:val="none" w:sz="0" w:space="0" w:color="auto"/>
                    <w:left w:val="none" w:sz="0" w:space="0" w:color="auto"/>
                    <w:bottom w:val="none" w:sz="0" w:space="0" w:color="auto"/>
                    <w:right w:val="none" w:sz="0" w:space="0" w:color="auto"/>
                  </w:divBdr>
                  <w:divsChild>
                    <w:div w:id="2045135358">
                      <w:marLeft w:val="0"/>
                      <w:marRight w:val="0"/>
                      <w:marTop w:val="0"/>
                      <w:marBottom w:val="0"/>
                      <w:divBdr>
                        <w:top w:val="none" w:sz="0" w:space="0" w:color="auto"/>
                        <w:left w:val="none" w:sz="0" w:space="0" w:color="auto"/>
                        <w:bottom w:val="none" w:sz="0" w:space="0" w:color="auto"/>
                        <w:right w:val="none" w:sz="0" w:space="0" w:color="auto"/>
                      </w:divBdr>
                    </w:div>
                  </w:divsChild>
                </w:div>
                <w:div w:id="765728597">
                  <w:marLeft w:val="0"/>
                  <w:marRight w:val="0"/>
                  <w:marTop w:val="0"/>
                  <w:marBottom w:val="0"/>
                  <w:divBdr>
                    <w:top w:val="none" w:sz="0" w:space="0" w:color="auto"/>
                    <w:left w:val="none" w:sz="0" w:space="0" w:color="auto"/>
                    <w:bottom w:val="none" w:sz="0" w:space="0" w:color="auto"/>
                    <w:right w:val="none" w:sz="0" w:space="0" w:color="auto"/>
                  </w:divBdr>
                  <w:divsChild>
                    <w:div w:id="1868061356">
                      <w:marLeft w:val="0"/>
                      <w:marRight w:val="0"/>
                      <w:marTop w:val="0"/>
                      <w:marBottom w:val="0"/>
                      <w:divBdr>
                        <w:top w:val="none" w:sz="0" w:space="0" w:color="auto"/>
                        <w:left w:val="none" w:sz="0" w:space="0" w:color="auto"/>
                        <w:bottom w:val="none" w:sz="0" w:space="0" w:color="auto"/>
                        <w:right w:val="none" w:sz="0" w:space="0" w:color="auto"/>
                      </w:divBdr>
                    </w:div>
                  </w:divsChild>
                </w:div>
                <w:div w:id="775639951">
                  <w:marLeft w:val="0"/>
                  <w:marRight w:val="0"/>
                  <w:marTop w:val="0"/>
                  <w:marBottom w:val="0"/>
                  <w:divBdr>
                    <w:top w:val="none" w:sz="0" w:space="0" w:color="auto"/>
                    <w:left w:val="none" w:sz="0" w:space="0" w:color="auto"/>
                    <w:bottom w:val="none" w:sz="0" w:space="0" w:color="auto"/>
                    <w:right w:val="none" w:sz="0" w:space="0" w:color="auto"/>
                  </w:divBdr>
                  <w:divsChild>
                    <w:div w:id="1173909663">
                      <w:marLeft w:val="0"/>
                      <w:marRight w:val="0"/>
                      <w:marTop w:val="0"/>
                      <w:marBottom w:val="0"/>
                      <w:divBdr>
                        <w:top w:val="none" w:sz="0" w:space="0" w:color="auto"/>
                        <w:left w:val="none" w:sz="0" w:space="0" w:color="auto"/>
                        <w:bottom w:val="none" w:sz="0" w:space="0" w:color="auto"/>
                        <w:right w:val="none" w:sz="0" w:space="0" w:color="auto"/>
                      </w:divBdr>
                    </w:div>
                  </w:divsChild>
                </w:div>
                <w:div w:id="776368643">
                  <w:marLeft w:val="0"/>
                  <w:marRight w:val="0"/>
                  <w:marTop w:val="0"/>
                  <w:marBottom w:val="0"/>
                  <w:divBdr>
                    <w:top w:val="none" w:sz="0" w:space="0" w:color="auto"/>
                    <w:left w:val="none" w:sz="0" w:space="0" w:color="auto"/>
                    <w:bottom w:val="none" w:sz="0" w:space="0" w:color="auto"/>
                    <w:right w:val="none" w:sz="0" w:space="0" w:color="auto"/>
                  </w:divBdr>
                  <w:divsChild>
                    <w:div w:id="1360396860">
                      <w:marLeft w:val="0"/>
                      <w:marRight w:val="0"/>
                      <w:marTop w:val="0"/>
                      <w:marBottom w:val="0"/>
                      <w:divBdr>
                        <w:top w:val="none" w:sz="0" w:space="0" w:color="auto"/>
                        <w:left w:val="none" w:sz="0" w:space="0" w:color="auto"/>
                        <w:bottom w:val="none" w:sz="0" w:space="0" w:color="auto"/>
                        <w:right w:val="none" w:sz="0" w:space="0" w:color="auto"/>
                      </w:divBdr>
                    </w:div>
                  </w:divsChild>
                </w:div>
                <w:div w:id="836504177">
                  <w:marLeft w:val="0"/>
                  <w:marRight w:val="0"/>
                  <w:marTop w:val="0"/>
                  <w:marBottom w:val="0"/>
                  <w:divBdr>
                    <w:top w:val="none" w:sz="0" w:space="0" w:color="auto"/>
                    <w:left w:val="none" w:sz="0" w:space="0" w:color="auto"/>
                    <w:bottom w:val="none" w:sz="0" w:space="0" w:color="auto"/>
                    <w:right w:val="none" w:sz="0" w:space="0" w:color="auto"/>
                  </w:divBdr>
                  <w:divsChild>
                    <w:div w:id="310601006">
                      <w:marLeft w:val="0"/>
                      <w:marRight w:val="0"/>
                      <w:marTop w:val="0"/>
                      <w:marBottom w:val="0"/>
                      <w:divBdr>
                        <w:top w:val="none" w:sz="0" w:space="0" w:color="auto"/>
                        <w:left w:val="none" w:sz="0" w:space="0" w:color="auto"/>
                        <w:bottom w:val="none" w:sz="0" w:space="0" w:color="auto"/>
                        <w:right w:val="none" w:sz="0" w:space="0" w:color="auto"/>
                      </w:divBdr>
                    </w:div>
                  </w:divsChild>
                </w:div>
                <w:div w:id="838539034">
                  <w:marLeft w:val="0"/>
                  <w:marRight w:val="0"/>
                  <w:marTop w:val="0"/>
                  <w:marBottom w:val="0"/>
                  <w:divBdr>
                    <w:top w:val="none" w:sz="0" w:space="0" w:color="auto"/>
                    <w:left w:val="none" w:sz="0" w:space="0" w:color="auto"/>
                    <w:bottom w:val="none" w:sz="0" w:space="0" w:color="auto"/>
                    <w:right w:val="none" w:sz="0" w:space="0" w:color="auto"/>
                  </w:divBdr>
                  <w:divsChild>
                    <w:div w:id="1210612636">
                      <w:marLeft w:val="0"/>
                      <w:marRight w:val="0"/>
                      <w:marTop w:val="0"/>
                      <w:marBottom w:val="0"/>
                      <w:divBdr>
                        <w:top w:val="none" w:sz="0" w:space="0" w:color="auto"/>
                        <w:left w:val="none" w:sz="0" w:space="0" w:color="auto"/>
                        <w:bottom w:val="none" w:sz="0" w:space="0" w:color="auto"/>
                        <w:right w:val="none" w:sz="0" w:space="0" w:color="auto"/>
                      </w:divBdr>
                    </w:div>
                  </w:divsChild>
                </w:div>
                <w:div w:id="847866174">
                  <w:marLeft w:val="0"/>
                  <w:marRight w:val="0"/>
                  <w:marTop w:val="0"/>
                  <w:marBottom w:val="0"/>
                  <w:divBdr>
                    <w:top w:val="none" w:sz="0" w:space="0" w:color="auto"/>
                    <w:left w:val="none" w:sz="0" w:space="0" w:color="auto"/>
                    <w:bottom w:val="none" w:sz="0" w:space="0" w:color="auto"/>
                    <w:right w:val="none" w:sz="0" w:space="0" w:color="auto"/>
                  </w:divBdr>
                  <w:divsChild>
                    <w:div w:id="1560093596">
                      <w:marLeft w:val="0"/>
                      <w:marRight w:val="0"/>
                      <w:marTop w:val="0"/>
                      <w:marBottom w:val="0"/>
                      <w:divBdr>
                        <w:top w:val="none" w:sz="0" w:space="0" w:color="auto"/>
                        <w:left w:val="none" w:sz="0" w:space="0" w:color="auto"/>
                        <w:bottom w:val="none" w:sz="0" w:space="0" w:color="auto"/>
                        <w:right w:val="none" w:sz="0" w:space="0" w:color="auto"/>
                      </w:divBdr>
                    </w:div>
                  </w:divsChild>
                </w:div>
                <w:div w:id="870650017">
                  <w:marLeft w:val="0"/>
                  <w:marRight w:val="0"/>
                  <w:marTop w:val="0"/>
                  <w:marBottom w:val="0"/>
                  <w:divBdr>
                    <w:top w:val="none" w:sz="0" w:space="0" w:color="auto"/>
                    <w:left w:val="none" w:sz="0" w:space="0" w:color="auto"/>
                    <w:bottom w:val="none" w:sz="0" w:space="0" w:color="auto"/>
                    <w:right w:val="none" w:sz="0" w:space="0" w:color="auto"/>
                  </w:divBdr>
                  <w:divsChild>
                    <w:div w:id="258146522">
                      <w:marLeft w:val="0"/>
                      <w:marRight w:val="0"/>
                      <w:marTop w:val="0"/>
                      <w:marBottom w:val="0"/>
                      <w:divBdr>
                        <w:top w:val="none" w:sz="0" w:space="0" w:color="auto"/>
                        <w:left w:val="none" w:sz="0" w:space="0" w:color="auto"/>
                        <w:bottom w:val="none" w:sz="0" w:space="0" w:color="auto"/>
                        <w:right w:val="none" w:sz="0" w:space="0" w:color="auto"/>
                      </w:divBdr>
                    </w:div>
                  </w:divsChild>
                </w:div>
                <w:div w:id="895816486">
                  <w:marLeft w:val="0"/>
                  <w:marRight w:val="0"/>
                  <w:marTop w:val="0"/>
                  <w:marBottom w:val="0"/>
                  <w:divBdr>
                    <w:top w:val="none" w:sz="0" w:space="0" w:color="auto"/>
                    <w:left w:val="none" w:sz="0" w:space="0" w:color="auto"/>
                    <w:bottom w:val="none" w:sz="0" w:space="0" w:color="auto"/>
                    <w:right w:val="none" w:sz="0" w:space="0" w:color="auto"/>
                  </w:divBdr>
                  <w:divsChild>
                    <w:div w:id="1481539254">
                      <w:marLeft w:val="0"/>
                      <w:marRight w:val="0"/>
                      <w:marTop w:val="0"/>
                      <w:marBottom w:val="0"/>
                      <w:divBdr>
                        <w:top w:val="none" w:sz="0" w:space="0" w:color="auto"/>
                        <w:left w:val="none" w:sz="0" w:space="0" w:color="auto"/>
                        <w:bottom w:val="none" w:sz="0" w:space="0" w:color="auto"/>
                        <w:right w:val="none" w:sz="0" w:space="0" w:color="auto"/>
                      </w:divBdr>
                    </w:div>
                  </w:divsChild>
                </w:div>
                <w:div w:id="911280749">
                  <w:marLeft w:val="0"/>
                  <w:marRight w:val="0"/>
                  <w:marTop w:val="0"/>
                  <w:marBottom w:val="0"/>
                  <w:divBdr>
                    <w:top w:val="none" w:sz="0" w:space="0" w:color="auto"/>
                    <w:left w:val="none" w:sz="0" w:space="0" w:color="auto"/>
                    <w:bottom w:val="none" w:sz="0" w:space="0" w:color="auto"/>
                    <w:right w:val="none" w:sz="0" w:space="0" w:color="auto"/>
                  </w:divBdr>
                  <w:divsChild>
                    <w:div w:id="1001390962">
                      <w:marLeft w:val="0"/>
                      <w:marRight w:val="0"/>
                      <w:marTop w:val="0"/>
                      <w:marBottom w:val="0"/>
                      <w:divBdr>
                        <w:top w:val="none" w:sz="0" w:space="0" w:color="auto"/>
                        <w:left w:val="none" w:sz="0" w:space="0" w:color="auto"/>
                        <w:bottom w:val="none" w:sz="0" w:space="0" w:color="auto"/>
                        <w:right w:val="none" w:sz="0" w:space="0" w:color="auto"/>
                      </w:divBdr>
                    </w:div>
                  </w:divsChild>
                </w:div>
                <w:div w:id="944994549">
                  <w:marLeft w:val="0"/>
                  <w:marRight w:val="0"/>
                  <w:marTop w:val="0"/>
                  <w:marBottom w:val="0"/>
                  <w:divBdr>
                    <w:top w:val="none" w:sz="0" w:space="0" w:color="auto"/>
                    <w:left w:val="none" w:sz="0" w:space="0" w:color="auto"/>
                    <w:bottom w:val="none" w:sz="0" w:space="0" w:color="auto"/>
                    <w:right w:val="none" w:sz="0" w:space="0" w:color="auto"/>
                  </w:divBdr>
                  <w:divsChild>
                    <w:div w:id="5442942">
                      <w:marLeft w:val="0"/>
                      <w:marRight w:val="0"/>
                      <w:marTop w:val="0"/>
                      <w:marBottom w:val="0"/>
                      <w:divBdr>
                        <w:top w:val="none" w:sz="0" w:space="0" w:color="auto"/>
                        <w:left w:val="none" w:sz="0" w:space="0" w:color="auto"/>
                        <w:bottom w:val="none" w:sz="0" w:space="0" w:color="auto"/>
                        <w:right w:val="none" w:sz="0" w:space="0" w:color="auto"/>
                      </w:divBdr>
                    </w:div>
                  </w:divsChild>
                </w:div>
                <w:div w:id="971402897">
                  <w:marLeft w:val="0"/>
                  <w:marRight w:val="0"/>
                  <w:marTop w:val="0"/>
                  <w:marBottom w:val="0"/>
                  <w:divBdr>
                    <w:top w:val="none" w:sz="0" w:space="0" w:color="auto"/>
                    <w:left w:val="none" w:sz="0" w:space="0" w:color="auto"/>
                    <w:bottom w:val="none" w:sz="0" w:space="0" w:color="auto"/>
                    <w:right w:val="none" w:sz="0" w:space="0" w:color="auto"/>
                  </w:divBdr>
                  <w:divsChild>
                    <w:div w:id="2005162362">
                      <w:marLeft w:val="0"/>
                      <w:marRight w:val="0"/>
                      <w:marTop w:val="0"/>
                      <w:marBottom w:val="0"/>
                      <w:divBdr>
                        <w:top w:val="none" w:sz="0" w:space="0" w:color="auto"/>
                        <w:left w:val="none" w:sz="0" w:space="0" w:color="auto"/>
                        <w:bottom w:val="none" w:sz="0" w:space="0" w:color="auto"/>
                        <w:right w:val="none" w:sz="0" w:space="0" w:color="auto"/>
                      </w:divBdr>
                    </w:div>
                  </w:divsChild>
                </w:div>
                <w:div w:id="1014652186">
                  <w:marLeft w:val="0"/>
                  <w:marRight w:val="0"/>
                  <w:marTop w:val="0"/>
                  <w:marBottom w:val="0"/>
                  <w:divBdr>
                    <w:top w:val="none" w:sz="0" w:space="0" w:color="auto"/>
                    <w:left w:val="none" w:sz="0" w:space="0" w:color="auto"/>
                    <w:bottom w:val="none" w:sz="0" w:space="0" w:color="auto"/>
                    <w:right w:val="none" w:sz="0" w:space="0" w:color="auto"/>
                  </w:divBdr>
                  <w:divsChild>
                    <w:div w:id="487326962">
                      <w:marLeft w:val="0"/>
                      <w:marRight w:val="0"/>
                      <w:marTop w:val="0"/>
                      <w:marBottom w:val="0"/>
                      <w:divBdr>
                        <w:top w:val="none" w:sz="0" w:space="0" w:color="auto"/>
                        <w:left w:val="none" w:sz="0" w:space="0" w:color="auto"/>
                        <w:bottom w:val="none" w:sz="0" w:space="0" w:color="auto"/>
                        <w:right w:val="none" w:sz="0" w:space="0" w:color="auto"/>
                      </w:divBdr>
                    </w:div>
                  </w:divsChild>
                </w:div>
                <w:div w:id="1062483505">
                  <w:marLeft w:val="0"/>
                  <w:marRight w:val="0"/>
                  <w:marTop w:val="0"/>
                  <w:marBottom w:val="0"/>
                  <w:divBdr>
                    <w:top w:val="none" w:sz="0" w:space="0" w:color="auto"/>
                    <w:left w:val="none" w:sz="0" w:space="0" w:color="auto"/>
                    <w:bottom w:val="none" w:sz="0" w:space="0" w:color="auto"/>
                    <w:right w:val="none" w:sz="0" w:space="0" w:color="auto"/>
                  </w:divBdr>
                  <w:divsChild>
                    <w:div w:id="1489328316">
                      <w:marLeft w:val="0"/>
                      <w:marRight w:val="0"/>
                      <w:marTop w:val="0"/>
                      <w:marBottom w:val="0"/>
                      <w:divBdr>
                        <w:top w:val="none" w:sz="0" w:space="0" w:color="auto"/>
                        <w:left w:val="none" w:sz="0" w:space="0" w:color="auto"/>
                        <w:bottom w:val="none" w:sz="0" w:space="0" w:color="auto"/>
                        <w:right w:val="none" w:sz="0" w:space="0" w:color="auto"/>
                      </w:divBdr>
                    </w:div>
                  </w:divsChild>
                </w:div>
                <w:div w:id="1145929495">
                  <w:marLeft w:val="0"/>
                  <w:marRight w:val="0"/>
                  <w:marTop w:val="0"/>
                  <w:marBottom w:val="0"/>
                  <w:divBdr>
                    <w:top w:val="none" w:sz="0" w:space="0" w:color="auto"/>
                    <w:left w:val="none" w:sz="0" w:space="0" w:color="auto"/>
                    <w:bottom w:val="none" w:sz="0" w:space="0" w:color="auto"/>
                    <w:right w:val="none" w:sz="0" w:space="0" w:color="auto"/>
                  </w:divBdr>
                  <w:divsChild>
                    <w:div w:id="2133546529">
                      <w:marLeft w:val="0"/>
                      <w:marRight w:val="0"/>
                      <w:marTop w:val="0"/>
                      <w:marBottom w:val="0"/>
                      <w:divBdr>
                        <w:top w:val="none" w:sz="0" w:space="0" w:color="auto"/>
                        <w:left w:val="none" w:sz="0" w:space="0" w:color="auto"/>
                        <w:bottom w:val="none" w:sz="0" w:space="0" w:color="auto"/>
                        <w:right w:val="none" w:sz="0" w:space="0" w:color="auto"/>
                      </w:divBdr>
                    </w:div>
                  </w:divsChild>
                </w:div>
                <w:div w:id="1199244444">
                  <w:marLeft w:val="0"/>
                  <w:marRight w:val="0"/>
                  <w:marTop w:val="0"/>
                  <w:marBottom w:val="0"/>
                  <w:divBdr>
                    <w:top w:val="none" w:sz="0" w:space="0" w:color="auto"/>
                    <w:left w:val="none" w:sz="0" w:space="0" w:color="auto"/>
                    <w:bottom w:val="none" w:sz="0" w:space="0" w:color="auto"/>
                    <w:right w:val="none" w:sz="0" w:space="0" w:color="auto"/>
                  </w:divBdr>
                  <w:divsChild>
                    <w:div w:id="925455554">
                      <w:marLeft w:val="0"/>
                      <w:marRight w:val="0"/>
                      <w:marTop w:val="0"/>
                      <w:marBottom w:val="0"/>
                      <w:divBdr>
                        <w:top w:val="none" w:sz="0" w:space="0" w:color="auto"/>
                        <w:left w:val="none" w:sz="0" w:space="0" w:color="auto"/>
                        <w:bottom w:val="none" w:sz="0" w:space="0" w:color="auto"/>
                        <w:right w:val="none" w:sz="0" w:space="0" w:color="auto"/>
                      </w:divBdr>
                    </w:div>
                  </w:divsChild>
                </w:div>
                <w:div w:id="1221669471">
                  <w:marLeft w:val="0"/>
                  <w:marRight w:val="0"/>
                  <w:marTop w:val="0"/>
                  <w:marBottom w:val="0"/>
                  <w:divBdr>
                    <w:top w:val="none" w:sz="0" w:space="0" w:color="auto"/>
                    <w:left w:val="none" w:sz="0" w:space="0" w:color="auto"/>
                    <w:bottom w:val="none" w:sz="0" w:space="0" w:color="auto"/>
                    <w:right w:val="none" w:sz="0" w:space="0" w:color="auto"/>
                  </w:divBdr>
                  <w:divsChild>
                    <w:div w:id="616185188">
                      <w:marLeft w:val="0"/>
                      <w:marRight w:val="0"/>
                      <w:marTop w:val="0"/>
                      <w:marBottom w:val="0"/>
                      <w:divBdr>
                        <w:top w:val="none" w:sz="0" w:space="0" w:color="auto"/>
                        <w:left w:val="none" w:sz="0" w:space="0" w:color="auto"/>
                        <w:bottom w:val="none" w:sz="0" w:space="0" w:color="auto"/>
                        <w:right w:val="none" w:sz="0" w:space="0" w:color="auto"/>
                      </w:divBdr>
                    </w:div>
                  </w:divsChild>
                </w:div>
                <w:div w:id="1222986033">
                  <w:marLeft w:val="0"/>
                  <w:marRight w:val="0"/>
                  <w:marTop w:val="0"/>
                  <w:marBottom w:val="0"/>
                  <w:divBdr>
                    <w:top w:val="none" w:sz="0" w:space="0" w:color="auto"/>
                    <w:left w:val="none" w:sz="0" w:space="0" w:color="auto"/>
                    <w:bottom w:val="none" w:sz="0" w:space="0" w:color="auto"/>
                    <w:right w:val="none" w:sz="0" w:space="0" w:color="auto"/>
                  </w:divBdr>
                  <w:divsChild>
                    <w:div w:id="116610333">
                      <w:marLeft w:val="0"/>
                      <w:marRight w:val="0"/>
                      <w:marTop w:val="0"/>
                      <w:marBottom w:val="0"/>
                      <w:divBdr>
                        <w:top w:val="none" w:sz="0" w:space="0" w:color="auto"/>
                        <w:left w:val="none" w:sz="0" w:space="0" w:color="auto"/>
                        <w:bottom w:val="none" w:sz="0" w:space="0" w:color="auto"/>
                        <w:right w:val="none" w:sz="0" w:space="0" w:color="auto"/>
                      </w:divBdr>
                    </w:div>
                  </w:divsChild>
                </w:div>
                <w:div w:id="1348673915">
                  <w:marLeft w:val="0"/>
                  <w:marRight w:val="0"/>
                  <w:marTop w:val="0"/>
                  <w:marBottom w:val="0"/>
                  <w:divBdr>
                    <w:top w:val="none" w:sz="0" w:space="0" w:color="auto"/>
                    <w:left w:val="none" w:sz="0" w:space="0" w:color="auto"/>
                    <w:bottom w:val="none" w:sz="0" w:space="0" w:color="auto"/>
                    <w:right w:val="none" w:sz="0" w:space="0" w:color="auto"/>
                  </w:divBdr>
                  <w:divsChild>
                    <w:div w:id="350301292">
                      <w:marLeft w:val="0"/>
                      <w:marRight w:val="0"/>
                      <w:marTop w:val="0"/>
                      <w:marBottom w:val="0"/>
                      <w:divBdr>
                        <w:top w:val="none" w:sz="0" w:space="0" w:color="auto"/>
                        <w:left w:val="none" w:sz="0" w:space="0" w:color="auto"/>
                        <w:bottom w:val="none" w:sz="0" w:space="0" w:color="auto"/>
                        <w:right w:val="none" w:sz="0" w:space="0" w:color="auto"/>
                      </w:divBdr>
                    </w:div>
                  </w:divsChild>
                </w:div>
                <w:div w:id="1452286939">
                  <w:marLeft w:val="0"/>
                  <w:marRight w:val="0"/>
                  <w:marTop w:val="0"/>
                  <w:marBottom w:val="0"/>
                  <w:divBdr>
                    <w:top w:val="none" w:sz="0" w:space="0" w:color="auto"/>
                    <w:left w:val="none" w:sz="0" w:space="0" w:color="auto"/>
                    <w:bottom w:val="none" w:sz="0" w:space="0" w:color="auto"/>
                    <w:right w:val="none" w:sz="0" w:space="0" w:color="auto"/>
                  </w:divBdr>
                  <w:divsChild>
                    <w:div w:id="841891576">
                      <w:marLeft w:val="0"/>
                      <w:marRight w:val="0"/>
                      <w:marTop w:val="0"/>
                      <w:marBottom w:val="0"/>
                      <w:divBdr>
                        <w:top w:val="none" w:sz="0" w:space="0" w:color="auto"/>
                        <w:left w:val="none" w:sz="0" w:space="0" w:color="auto"/>
                        <w:bottom w:val="none" w:sz="0" w:space="0" w:color="auto"/>
                        <w:right w:val="none" w:sz="0" w:space="0" w:color="auto"/>
                      </w:divBdr>
                    </w:div>
                  </w:divsChild>
                </w:div>
                <w:div w:id="1525436463">
                  <w:marLeft w:val="0"/>
                  <w:marRight w:val="0"/>
                  <w:marTop w:val="0"/>
                  <w:marBottom w:val="0"/>
                  <w:divBdr>
                    <w:top w:val="none" w:sz="0" w:space="0" w:color="auto"/>
                    <w:left w:val="none" w:sz="0" w:space="0" w:color="auto"/>
                    <w:bottom w:val="none" w:sz="0" w:space="0" w:color="auto"/>
                    <w:right w:val="none" w:sz="0" w:space="0" w:color="auto"/>
                  </w:divBdr>
                  <w:divsChild>
                    <w:div w:id="1409115008">
                      <w:marLeft w:val="0"/>
                      <w:marRight w:val="0"/>
                      <w:marTop w:val="0"/>
                      <w:marBottom w:val="0"/>
                      <w:divBdr>
                        <w:top w:val="none" w:sz="0" w:space="0" w:color="auto"/>
                        <w:left w:val="none" w:sz="0" w:space="0" w:color="auto"/>
                        <w:bottom w:val="none" w:sz="0" w:space="0" w:color="auto"/>
                        <w:right w:val="none" w:sz="0" w:space="0" w:color="auto"/>
                      </w:divBdr>
                    </w:div>
                  </w:divsChild>
                </w:div>
                <w:div w:id="1675450768">
                  <w:marLeft w:val="0"/>
                  <w:marRight w:val="0"/>
                  <w:marTop w:val="0"/>
                  <w:marBottom w:val="0"/>
                  <w:divBdr>
                    <w:top w:val="none" w:sz="0" w:space="0" w:color="auto"/>
                    <w:left w:val="none" w:sz="0" w:space="0" w:color="auto"/>
                    <w:bottom w:val="none" w:sz="0" w:space="0" w:color="auto"/>
                    <w:right w:val="none" w:sz="0" w:space="0" w:color="auto"/>
                  </w:divBdr>
                  <w:divsChild>
                    <w:div w:id="43455372">
                      <w:marLeft w:val="0"/>
                      <w:marRight w:val="0"/>
                      <w:marTop w:val="0"/>
                      <w:marBottom w:val="0"/>
                      <w:divBdr>
                        <w:top w:val="none" w:sz="0" w:space="0" w:color="auto"/>
                        <w:left w:val="none" w:sz="0" w:space="0" w:color="auto"/>
                        <w:bottom w:val="none" w:sz="0" w:space="0" w:color="auto"/>
                        <w:right w:val="none" w:sz="0" w:space="0" w:color="auto"/>
                      </w:divBdr>
                    </w:div>
                  </w:divsChild>
                </w:div>
                <w:div w:id="1725711667">
                  <w:marLeft w:val="0"/>
                  <w:marRight w:val="0"/>
                  <w:marTop w:val="0"/>
                  <w:marBottom w:val="0"/>
                  <w:divBdr>
                    <w:top w:val="none" w:sz="0" w:space="0" w:color="auto"/>
                    <w:left w:val="none" w:sz="0" w:space="0" w:color="auto"/>
                    <w:bottom w:val="none" w:sz="0" w:space="0" w:color="auto"/>
                    <w:right w:val="none" w:sz="0" w:space="0" w:color="auto"/>
                  </w:divBdr>
                  <w:divsChild>
                    <w:div w:id="529418705">
                      <w:marLeft w:val="0"/>
                      <w:marRight w:val="0"/>
                      <w:marTop w:val="0"/>
                      <w:marBottom w:val="0"/>
                      <w:divBdr>
                        <w:top w:val="none" w:sz="0" w:space="0" w:color="auto"/>
                        <w:left w:val="none" w:sz="0" w:space="0" w:color="auto"/>
                        <w:bottom w:val="none" w:sz="0" w:space="0" w:color="auto"/>
                        <w:right w:val="none" w:sz="0" w:space="0" w:color="auto"/>
                      </w:divBdr>
                    </w:div>
                  </w:divsChild>
                </w:div>
                <w:div w:id="1743913743">
                  <w:marLeft w:val="0"/>
                  <w:marRight w:val="0"/>
                  <w:marTop w:val="0"/>
                  <w:marBottom w:val="0"/>
                  <w:divBdr>
                    <w:top w:val="none" w:sz="0" w:space="0" w:color="auto"/>
                    <w:left w:val="none" w:sz="0" w:space="0" w:color="auto"/>
                    <w:bottom w:val="none" w:sz="0" w:space="0" w:color="auto"/>
                    <w:right w:val="none" w:sz="0" w:space="0" w:color="auto"/>
                  </w:divBdr>
                  <w:divsChild>
                    <w:div w:id="261687756">
                      <w:marLeft w:val="0"/>
                      <w:marRight w:val="0"/>
                      <w:marTop w:val="0"/>
                      <w:marBottom w:val="0"/>
                      <w:divBdr>
                        <w:top w:val="none" w:sz="0" w:space="0" w:color="auto"/>
                        <w:left w:val="none" w:sz="0" w:space="0" w:color="auto"/>
                        <w:bottom w:val="none" w:sz="0" w:space="0" w:color="auto"/>
                        <w:right w:val="none" w:sz="0" w:space="0" w:color="auto"/>
                      </w:divBdr>
                    </w:div>
                  </w:divsChild>
                </w:div>
                <w:div w:id="1758594333">
                  <w:marLeft w:val="0"/>
                  <w:marRight w:val="0"/>
                  <w:marTop w:val="0"/>
                  <w:marBottom w:val="0"/>
                  <w:divBdr>
                    <w:top w:val="none" w:sz="0" w:space="0" w:color="auto"/>
                    <w:left w:val="none" w:sz="0" w:space="0" w:color="auto"/>
                    <w:bottom w:val="none" w:sz="0" w:space="0" w:color="auto"/>
                    <w:right w:val="none" w:sz="0" w:space="0" w:color="auto"/>
                  </w:divBdr>
                  <w:divsChild>
                    <w:div w:id="1146245959">
                      <w:marLeft w:val="0"/>
                      <w:marRight w:val="0"/>
                      <w:marTop w:val="0"/>
                      <w:marBottom w:val="0"/>
                      <w:divBdr>
                        <w:top w:val="none" w:sz="0" w:space="0" w:color="auto"/>
                        <w:left w:val="none" w:sz="0" w:space="0" w:color="auto"/>
                        <w:bottom w:val="none" w:sz="0" w:space="0" w:color="auto"/>
                        <w:right w:val="none" w:sz="0" w:space="0" w:color="auto"/>
                      </w:divBdr>
                    </w:div>
                  </w:divsChild>
                </w:div>
                <w:div w:id="1836719936">
                  <w:marLeft w:val="0"/>
                  <w:marRight w:val="0"/>
                  <w:marTop w:val="0"/>
                  <w:marBottom w:val="0"/>
                  <w:divBdr>
                    <w:top w:val="none" w:sz="0" w:space="0" w:color="auto"/>
                    <w:left w:val="none" w:sz="0" w:space="0" w:color="auto"/>
                    <w:bottom w:val="none" w:sz="0" w:space="0" w:color="auto"/>
                    <w:right w:val="none" w:sz="0" w:space="0" w:color="auto"/>
                  </w:divBdr>
                  <w:divsChild>
                    <w:div w:id="436607628">
                      <w:marLeft w:val="0"/>
                      <w:marRight w:val="0"/>
                      <w:marTop w:val="0"/>
                      <w:marBottom w:val="0"/>
                      <w:divBdr>
                        <w:top w:val="none" w:sz="0" w:space="0" w:color="auto"/>
                        <w:left w:val="none" w:sz="0" w:space="0" w:color="auto"/>
                        <w:bottom w:val="none" w:sz="0" w:space="0" w:color="auto"/>
                        <w:right w:val="none" w:sz="0" w:space="0" w:color="auto"/>
                      </w:divBdr>
                    </w:div>
                  </w:divsChild>
                </w:div>
                <w:div w:id="1966232852">
                  <w:marLeft w:val="0"/>
                  <w:marRight w:val="0"/>
                  <w:marTop w:val="0"/>
                  <w:marBottom w:val="0"/>
                  <w:divBdr>
                    <w:top w:val="none" w:sz="0" w:space="0" w:color="auto"/>
                    <w:left w:val="none" w:sz="0" w:space="0" w:color="auto"/>
                    <w:bottom w:val="none" w:sz="0" w:space="0" w:color="auto"/>
                    <w:right w:val="none" w:sz="0" w:space="0" w:color="auto"/>
                  </w:divBdr>
                  <w:divsChild>
                    <w:div w:id="1596548623">
                      <w:marLeft w:val="0"/>
                      <w:marRight w:val="0"/>
                      <w:marTop w:val="0"/>
                      <w:marBottom w:val="0"/>
                      <w:divBdr>
                        <w:top w:val="none" w:sz="0" w:space="0" w:color="auto"/>
                        <w:left w:val="none" w:sz="0" w:space="0" w:color="auto"/>
                        <w:bottom w:val="none" w:sz="0" w:space="0" w:color="auto"/>
                        <w:right w:val="none" w:sz="0" w:space="0" w:color="auto"/>
                      </w:divBdr>
                    </w:div>
                  </w:divsChild>
                </w:div>
                <w:div w:id="2089955058">
                  <w:marLeft w:val="0"/>
                  <w:marRight w:val="0"/>
                  <w:marTop w:val="0"/>
                  <w:marBottom w:val="0"/>
                  <w:divBdr>
                    <w:top w:val="none" w:sz="0" w:space="0" w:color="auto"/>
                    <w:left w:val="none" w:sz="0" w:space="0" w:color="auto"/>
                    <w:bottom w:val="none" w:sz="0" w:space="0" w:color="auto"/>
                    <w:right w:val="none" w:sz="0" w:space="0" w:color="auto"/>
                  </w:divBdr>
                  <w:divsChild>
                    <w:div w:id="73673587">
                      <w:marLeft w:val="0"/>
                      <w:marRight w:val="0"/>
                      <w:marTop w:val="0"/>
                      <w:marBottom w:val="0"/>
                      <w:divBdr>
                        <w:top w:val="none" w:sz="0" w:space="0" w:color="auto"/>
                        <w:left w:val="none" w:sz="0" w:space="0" w:color="auto"/>
                        <w:bottom w:val="none" w:sz="0" w:space="0" w:color="auto"/>
                        <w:right w:val="none" w:sz="0" w:space="0" w:color="auto"/>
                      </w:divBdr>
                    </w:div>
                  </w:divsChild>
                </w:div>
                <w:div w:id="2110350524">
                  <w:marLeft w:val="0"/>
                  <w:marRight w:val="0"/>
                  <w:marTop w:val="0"/>
                  <w:marBottom w:val="0"/>
                  <w:divBdr>
                    <w:top w:val="none" w:sz="0" w:space="0" w:color="auto"/>
                    <w:left w:val="none" w:sz="0" w:space="0" w:color="auto"/>
                    <w:bottom w:val="none" w:sz="0" w:space="0" w:color="auto"/>
                    <w:right w:val="none" w:sz="0" w:space="0" w:color="auto"/>
                  </w:divBdr>
                  <w:divsChild>
                    <w:div w:id="44984874">
                      <w:marLeft w:val="0"/>
                      <w:marRight w:val="0"/>
                      <w:marTop w:val="0"/>
                      <w:marBottom w:val="0"/>
                      <w:divBdr>
                        <w:top w:val="none" w:sz="0" w:space="0" w:color="auto"/>
                        <w:left w:val="none" w:sz="0" w:space="0" w:color="auto"/>
                        <w:bottom w:val="none" w:sz="0" w:space="0" w:color="auto"/>
                        <w:right w:val="none" w:sz="0" w:space="0" w:color="auto"/>
                      </w:divBdr>
                    </w:div>
                  </w:divsChild>
                </w:div>
                <w:div w:id="2113626063">
                  <w:marLeft w:val="0"/>
                  <w:marRight w:val="0"/>
                  <w:marTop w:val="0"/>
                  <w:marBottom w:val="0"/>
                  <w:divBdr>
                    <w:top w:val="none" w:sz="0" w:space="0" w:color="auto"/>
                    <w:left w:val="none" w:sz="0" w:space="0" w:color="auto"/>
                    <w:bottom w:val="none" w:sz="0" w:space="0" w:color="auto"/>
                    <w:right w:val="none" w:sz="0" w:space="0" w:color="auto"/>
                  </w:divBdr>
                  <w:divsChild>
                    <w:div w:id="686444529">
                      <w:marLeft w:val="0"/>
                      <w:marRight w:val="0"/>
                      <w:marTop w:val="0"/>
                      <w:marBottom w:val="0"/>
                      <w:divBdr>
                        <w:top w:val="none" w:sz="0" w:space="0" w:color="auto"/>
                        <w:left w:val="none" w:sz="0" w:space="0" w:color="auto"/>
                        <w:bottom w:val="none" w:sz="0" w:space="0" w:color="auto"/>
                        <w:right w:val="none" w:sz="0" w:space="0" w:color="auto"/>
                      </w:divBdr>
                    </w:div>
                  </w:divsChild>
                </w:div>
                <w:div w:id="2131698937">
                  <w:marLeft w:val="0"/>
                  <w:marRight w:val="0"/>
                  <w:marTop w:val="0"/>
                  <w:marBottom w:val="0"/>
                  <w:divBdr>
                    <w:top w:val="none" w:sz="0" w:space="0" w:color="auto"/>
                    <w:left w:val="none" w:sz="0" w:space="0" w:color="auto"/>
                    <w:bottom w:val="none" w:sz="0" w:space="0" w:color="auto"/>
                    <w:right w:val="none" w:sz="0" w:space="0" w:color="auto"/>
                  </w:divBdr>
                  <w:divsChild>
                    <w:div w:id="22342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58495">
          <w:marLeft w:val="0"/>
          <w:marRight w:val="0"/>
          <w:marTop w:val="0"/>
          <w:marBottom w:val="0"/>
          <w:divBdr>
            <w:top w:val="none" w:sz="0" w:space="0" w:color="auto"/>
            <w:left w:val="none" w:sz="0" w:space="0" w:color="auto"/>
            <w:bottom w:val="none" w:sz="0" w:space="0" w:color="auto"/>
            <w:right w:val="none" w:sz="0" w:space="0" w:color="auto"/>
          </w:divBdr>
          <w:divsChild>
            <w:div w:id="132869873">
              <w:marLeft w:val="0"/>
              <w:marRight w:val="0"/>
              <w:marTop w:val="0"/>
              <w:marBottom w:val="0"/>
              <w:divBdr>
                <w:top w:val="none" w:sz="0" w:space="0" w:color="auto"/>
                <w:left w:val="none" w:sz="0" w:space="0" w:color="auto"/>
                <w:bottom w:val="none" w:sz="0" w:space="0" w:color="auto"/>
                <w:right w:val="none" w:sz="0" w:space="0" w:color="auto"/>
              </w:divBdr>
            </w:div>
            <w:div w:id="183595472">
              <w:marLeft w:val="0"/>
              <w:marRight w:val="0"/>
              <w:marTop w:val="0"/>
              <w:marBottom w:val="0"/>
              <w:divBdr>
                <w:top w:val="none" w:sz="0" w:space="0" w:color="auto"/>
                <w:left w:val="none" w:sz="0" w:space="0" w:color="auto"/>
                <w:bottom w:val="none" w:sz="0" w:space="0" w:color="auto"/>
                <w:right w:val="none" w:sz="0" w:space="0" w:color="auto"/>
              </w:divBdr>
            </w:div>
            <w:div w:id="215245137">
              <w:marLeft w:val="0"/>
              <w:marRight w:val="0"/>
              <w:marTop w:val="0"/>
              <w:marBottom w:val="0"/>
              <w:divBdr>
                <w:top w:val="none" w:sz="0" w:space="0" w:color="auto"/>
                <w:left w:val="none" w:sz="0" w:space="0" w:color="auto"/>
                <w:bottom w:val="none" w:sz="0" w:space="0" w:color="auto"/>
                <w:right w:val="none" w:sz="0" w:space="0" w:color="auto"/>
              </w:divBdr>
            </w:div>
            <w:div w:id="835531748">
              <w:marLeft w:val="0"/>
              <w:marRight w:val="0"/>
              <w:marTop w:val="0"/>
              <w:marBottom w:val="0"/>
              <w:divBdr>
                <w:top w:val="none" w:sz="0" w:space="0" w:color="auto"/>
                <w:left w:val="none" w:sz="0" w:space="0" w:color="auto"/>
                <w:bottom w:val="none" w:sz="0" w:space="0" w:color="auto"/>
                <w:right w:val="none" w:sz="0" w:space="0" w:color="auto"/>
              </w:divBdr>
            </w:div>
            <w:div w:id="872230001">
              <w:marLeft w:val="0"/>
              <w:marRight w:val="0"/>
              <w:marTop w:val="0"/>
              <w:marBottom w:val="0"/>
              <w:divBdr>
                <w:top w:val="none" w:sz="0" w:space="0" w:color="auto"/>
                <w:left w:val="none" w:sz="0" w:space="0" w:color="auto"/>
                <w:bottom w:val="none" w:sz="0" w:space="0" w:color="auto"/>
                <w:right w:val="none" w:sz="0" w:space="0" w:color="auto"/>
              </w:divBdr>
            </w:div>
            <w:div w:id="1342469313">
              <w:marLeft w:val="0"/>
              <w:marRight w:val="0"/>
              <w:marTop w:val="0"/>
              <w:marBottom w:val="0"/>
              <w:divBdr>
                <w:top w:val="none" w:sz="0" w:space="0" w:color="auto"/>
                <w:left w:val="none" w:sz="0" w:space="0" w:color="auto"/>
                <w:bottom w:val="none" w:sz="0" w:space="0" w:color="auto"/>
                <w:right w:val="none" w:sz="0" w:space="0" w:color="auto"/>
              </w:divBdr>
            </w:div>
            <w:div w:id="1378317422">
              <w:marLeft w:val="0"/>
              <w:marRight w:val="0"/>
              <w:marTop w:val="0"/>
              <w:marBottom w:val="0"/>
              <w:divBdr>
                <w:top w:val="none" w:sz="0" w:space="0" w:color="auto"/>
                <w:left w:val="none" w:sz="0" w:space="0" w:color="auto"/>
                <w:bottom w:val="none" w:sz="0" w:space="0" w:color="auto"/>
                <w:right w:val="none" w:sz="0" w:space="0" w:color="auto"/>
              </w:divBdr>
            </w:div>
            <w:div w:id="1524632601">
              <w:marLeft w:val="0"/>
              <w:marRight w:val="0"/>
              <w:marTop w:val="0"/>
              <w:marBottom w:val="0"/>
              <w:divBdr>
                <w:top w:val="none" w:sz="0" w:space="0" w:color="auto"/>
                <w:left w:val="none" w:sz="0" w:space="0" w:color="auto"/>
                <w:bottom w:val="none" w:sz="0" w:space="0" w:color="auto"/>
                <w:right w:val="none" w:sz="0" w:space="0" w:color="auto"/>
              </w:divBdr>
            </w:div>
            <w:div w:id="1548254890">
              <w:marLeft w:val="0"/>
              <w:marRight w:val="0"/>
              <w:marTop w:val="0"/>
              <w:marBottom w:val="0"/>
              <w:divBdr>
                <w:top w:val="none" w:sz="0" w:space="0" w:color="auto"/>
                <w:left w:val="none" w:sz="0" w:space="0" w:color="auto"/>
                <w:bottom w:val="none" w:sz="0" w:space="0" w:color="auto"/>
                <w:right w:val="none" w:sz="0" w:space="0" w:color="auto"/>
              </w:divBdr>
            </w:div>
            <w:div w:id="1750345834">
              <w:marLeft w:val="0"/>
              <w:marRight w:val="0"/>
              <w:marTop w:val="0"/>
              <w:marBottom w:val="0"/>
              <w:divBdr>
                <w:top w:val="none" w:sz="0" w:space="0" w:color="auto"/>
                <w:left w:val="none" w:sz="0" w:space="0" w:color="auto"/>
                <w:bottom w:val="none" w:sz="0" w:space="0" w:color="auto"/>
                <w:right w:val="none" w:sz="0" w:space="0" w:color="auto"/>
              </w:divBdr>
            </w:div>
            <w:div w:id="1847474289">
              <w:marLeft w:val="0"/>
              <w:marRight w:val="0"/>
              <w:marTop w:val="0"/>
              <w:marBottom w:val="0"/>
              <w:divBdr>
                <w:top w:val="none" w:sz="0" w:space="0" w:color="auto"/>
                <w:left w:val="none" w:sz="0" w:space="0" w:color="auto"/>
                <w:bottom w:val="none" w:sz="0" w:space="0" w:color="auto"/>
                <w:right w:val="none" w:sz="0" w:space="0" w:color="auto"/>
              </w:divBdr>
            </w:div>
            <w:div w:id="1880046860">
              <w:marLeft w:val="0"/>
              <w:marRight w:val="0"/>
              <w:marTop w:val="0"/>
              <w:marBottom w:val="0"/>
              <w:divBdr>
                <w:top w:val="none" w:sz="0" w:space="0" w:color="auto"/>
                <w:left w:val="none" w:sz="0" w:space="0" w:color="auto"/>
                <w:bottom w:val="none" w:sz="0" w:space="0" w:color="auto"/>
                <w:right w:val="none" w:sz="0" w:space="0" w:color="auto"/>
              </w:divBdr>
            </w:div>
            <w:div w:id="1992640571">
              <w:marLeft w:val="0"/>
              <w:marRight w:val="0"/>
              <w:marTop w:val="0"/>
              <w:marBottom w:val="0"/>
              <w:divBdr>
                <w:top w:val="none" w:sz="0" w:space="0" w:color="auto"/>
                <w:left w:val="none" w:sz="0" w:space="0" w:color="auto"/>
                <w:bottom w:val="none" w:sz="0" w:space="0" w:color="auto"/>
                <w:right w:val="none" w:sz="0" w:space="0" w:color="auto"/>
              </w:divBdr>
            </w:div>
            <w:div w:id="2082210844">
              <w:marLeft w:val="0"/>
              <w:marRight w:val="0"/>
              <w:marTop w:val="0"/>
              <w:marBottom w:val="0"/>
              <w:divBdr>
                <w:top w:val="none" w:sz="0" w:space="0" w:color="auto"/>
                <w:left w:val="none" w:sz="0" w:space="0" w:color="auto"/>
                <w:bottom w:val="none" w:sz="0" w:space="0" w:color="auto"/>
                <w:right w:val="none" w:sz="0" w:space="0" w:color="auto"/>
              </w:divBdr>
            </w:div>
            <w:div w:id="2138798327">
              <w:marLeft w:val="0"/>
              <w:marRight w:val="0"/>
              <w:marTop w:val="0"/>
              <w:marBottom w:val="0"/>
              <w:divBdr>
                <w:top w:val="none" w:sz="0" w:space="0" w:color="auto"/>
                <w:left w:val="none" w:sz="0" w:space="0" w:color="auto"/>
                <w:bottom w:val="none" w:sz="0" w:space="0" w:color="auto"/>
                <w:right w:val="none" w:sz="0" w:space="0" w:color="auto"/>
              </w:divBdr>
            </w:div>
          </w:divsChild>
        </w:div>
        <w:div w:id="1853185420">
          <w:marLeft w:val="0"/>
          <w:marRight w:val="0"/>
          <w:marTop w:val="0"/>
          <w:marBottom w:val="0"/>
          <w:divBdr>
            <w:top w:val="none" w:sz="0" w:space="0" w:color="auto"/>
            <w:left w:val="none" w:sz="0" w:space="0" w:color="auto"/>
            <w:bottom w:val="none" w:sz="0" w:space="0" w:color="auto"/>
            <w:right w:val="none" w:sz="0" w:space="0" w:color="auto"/>
          </w:divBdr>
          <w:divsChild>
            <w:div w:id="23528833">
              <w:marLeft w:val="0"/>
              <w:marRight w:val="0"/>
              <w:marTop w:val="0"/>
              <w:marBottom w:val="0"/>
              <w:divBdr>
                <w:top w:val="none" w:sz="0" w:space="0" w:color="auto"/>
                <w:left w:val="none" w:sz="0" w:space="0" w:color="auto"/>
                <w:bottom w:val="none" w:sz="0" w:space="0" w:color="auto"/>
                <w:right w:val="none" w:sz="0" w:space="0" w:color="auto"/>
              </w:divBdr>
            </w:div>
            <w:div w:id="103695752">
              <w:marLeft w:val="0"/>
              <w:marRight w:val="0"/>
              <w:marTop w:val="0"/>
              <w:marBottom w:val="0"/>
              <w:divBdr>
                <w:top w:val="none" w:sz="0" w:space="0" w:color="auto"/>
                <w:left w:val="none" w:sz="0" w:space="0" w:color="auto"/>
                <w:bottom w:val="none" w:sz="0" w:space="0" w:color="auto"/>
                <w:right w:val="none" w:sz="0" w:space="0" w:color="auto"/>
              </w:divBdr>
            </w:div>
            <w:div w:id="334655437">
              <w:marLeft w:val="0"/>
              <w:marRight w:val="0"/>
              <w:marTop w:val="0"/>
              <w:marBottom w:val="0"/>
              <w:divBdr>
                <w:top w:val="none" w:sz="0" w:space="0" w:color="auto"/>
                <w:left w:val="none" w:sz="0" w:space="0" w:color="auto"/>
                <w:bottom w:val="none" w:sz="0" w:space="0" w:color="auto"/>
                <w:right w:val="none" w:sz="0" w:space="0" w:color="auto"/>
              </w:divBdr>
            </w:div>
            <w:div w:id="355889679">
              <w:marLeft w:val="0"/>
              <w:marRight w:val="0"/>
              <w:marTop w:val="0"/>
              <w:marBottom w:val="0"/>
              <w:divBdr>
                <w:top w:val="none" w:sz="0" w:space="0" w:color="auto"/>
                <w:left w:val="none" w:sz="0" w:space="0" w:color="auto"/>
                <w:bottom w:val="none" w:sz="0" w:space="0" w:color="auto"/>
                <w:right w:val="none" w:sz="0" w:space="0" w:color="auto"/>
              </w:divBdr>
            </w:div>
            <w:div w:id="426998354">
              <w:marLeft w:val="0"/>
              <w:marRight w:val="0"/>
              <w:marTop w:val="0"/>
              <w:marBottom w:val="0"/>
              <w:divBdr>
                <w:top w:val="none" w:sz="0" w:space="0" w:color="auto"/>
                <w:left w:val="none" w:sz="0" w:space="0" w:color="auto"/>
                <w:bottom w:val="none" w:sz="0" w:space="0" w:color="auto"/>
                <w:right w:val="none" w:sz="0" w:space="0" w:color="auto"/>
              </w:divBdr>
            </w:div>
            <w:div w:id="577902923">
              <w:marLeft w:val="0"/>
              <w:marRight w:val="0"/>
              <w:marTop w:val="0"/>
              <w:marBottom w:val="0"/>
              <w:divBdr>
                <w:top w:val="none" w:sz="0" w:space="0" w:color="auto"/>
                <w:left w:val="none" w:sz="0" w:space="0" w:color="auto"/>
                <w:bottom w:val="none" w:sz="0" w:space="0" w:color="auto"/>
                <w:right w:val="none" w:sz="0" w:space="0" w:color="auto"/>
              </w:divBdr>
            </w:div>
            <w:div w:id="581332983">
              <w:marLeft w:val="0"/>
              <w:marRight w:val="0"/>
              <w:marTop w:val="0"/>
              <w:marBottom w:val="0"/>
              <w:divBdr>
                <w:top w:val="none" w:sz="0" w:space="0" w:color="auto"/>
                <w:left w:val="none" w:sz="0" w:space="0" w:color="auto"/>
                <w:bottom w:val="none" w:sz="0" w:space="0" w:color="auto"/>
                <w:right w:val="none" w:sz="0" w:space="0" w:color="auto"/>
              </w:divBdr>
            </w:div>
            <w:div w:id="770710990">
              <w:marLeft w:val="0"/>
              <w:marRight w:val="0"/>
              <w:marTop w:val="0"/>
              <w:marBottom w:val="0"/>
              <w:divBdr>
                <w:top w:val="none" w:sz="0" w:space="0" w:color="auto"/>
                <w:left w:val="none" w:sz="0" w:space="0" w:color="auto"/>
                <w:bottom w:val="none" w:sz="0" w:space="0" w:color="auto"/>
                <w:right w:val="none" w:sz="0" w:space="0" w:color="auto"/>
              </w:divBdr>
            </w:div>
            <w:div w:id="1372993357">
              <w:marLeft w:val="0"/>
              <w:marRight w:val="0"/>
              <w:marTop w:val="0"/>
              <w:marBottom w:val="0"/>
              <w:divBdr>
                <w:top w:val="none" w:sz="0" w:space="0" w:color="auto"/>
                <w:left w:val="none" w:sz="0" w:space="0" w:color="auto"/>
                <w:bottom w:val="none" w:sz="0" w:space="0" w:color="auto"/>
                <w:right w:val="none" w:sz="0" w:space="0" w:color="auto"/>
              </w:divBdr>
            </w:div>
            <w:div w:id="1435829849">
              <w:marLeft w:val="0"/>
              <w:marRight w:val="0"/>
              <w:marTop w:val="0"/>
              <w:marBottom w:val="0"/>
              <w:divBdr>
                <w:top w:val="none" w:sz="0" w:space="0" w:color="auto"/>
                <w:left w:val="none" w:sz="0" w:space="0" w:color="auto"/>
                <w:bottom w:val="none" w:sz="0" w:space="0" w:color="auto"/>
                <w:right w:val="none" w:sz="0" w:space="0" w:color="auto"/>
              </w:divBdr>
            </w:div>
            <w:div w:id="1518616170">
              <w:marLeft w:val="0"/>
              <w:marRight w:val="0"/>
              <w:marTop w:val="0"/>
              <w:marBottom w:val="0"/>
              <w:divBdr>
                <w:top w:val="none" w:sz="0" w:space="0" w:color="auto"/>
                <w:left w:val="none" w:sz="0" w:space="0" w:color="auto"/>
                <w:bottom w:val="none" w:sz="0" w:space="0" w:color="auto"/>
                <w:right w:val="none" w:sz="0" w:space="0" w:color="auto"/>
              </w:divBdr>
            </w:div>
            <w:div w:id="1683774281">
              <w:marLeft w:val="0"/>
              <w:marRight w:val="0"/>
              <w:marTop w:val="0"/>
              <w:marBottom w:val="0"/>
              <w:divBdr>
                <w:top w:val="none" w:sz="0" w:space="0" w:color="auto"/>
                <w:left w:val="none" w:sz="0" w:space="0" w:color="auto"/>
                <w:bottom w:val="none" w:sz="0" w:space="0" w:color="auto"/>
                <w:right w:val="none" w:sz="0" w:space="0" w:color="auto"/>
              </w:divBdr>
            </w:div>
            <w:div w:id="1948462721">
              <w:marLeft w:val="0"/>
              <w:marRight w:val="0"/>
              <w:marTop w:val="0"/>
              <w:marBottom w:val="0"/>
              <w:divBdr>
                <w:top w:val="none" w:sz="0" w:space="0" w:color="auto"/>
                <w:left w:val="none" w:sz="0" w:space="0" w:color="auto"/>
                <w:bottom w:val="none" w:sz="0" w:space="0" w:color="auto"/>
                <w:right w:val="none" w:sz="0" w:space="0" w:color="auto"/>
              </w:divBdr>
            </w:div>
            <w:div w:id="1954481189">
              <w:marLeft w:val="0"/>
              <w:marRight w:val="0"/>
              <w:marTop w:val="0"/>
              <w:marBottom w:val="0"/>
              <w:divBdr>
                <w:top w:val="none" w:sz="0" w:space="0" w:color="auto"/>
                <w:left w:val="none" w:sz="0" w:space="0" w:color="auto"/>
                <w:bottom w:val="none" w:sz="0" w:space="0" w:color="auto"/>
                <w:right w:val="none" w:sz="0" w:space="0" w:color="auto"/>
              </w:divBdr>
            </w:div>
            <w:div w:id="2042440665">
              <w:marLeft w:val="0"/>
              <w:marRight w:val="0"/>
              <w:marTop w:val="0"/>
              <w:marBottom w:val="0"/>
              <w:divBdr>
                <w:top w:val="none" w:sz="0" w:space="0" w:color="auto"/>
                <w:left w:val="none" w:sz="0" w:space="0" w:color="auto"/>
                <w:bottom w:val="none" w:sz="0" w:space="0" w:color="auto"/>
                <w:right w:val="none" w:sz="0" w:space="0" w:color="auto"/>
              </w:divBdr>
            </w:div>
            <w:div w:id="2133748990">
              <w:marLeft w:val="0"/>
              <w:marRight w:val="0"/>
              <w:marTop w:val="0"/>
              <w:marBottom w:val="0"/>
              <w:divBdr>
                <w:top w:val="none" w:sz="0" w:space="0" w:color="auto"/>
                <w:left w:val="none" w:sz="0" w:space="0" w:color="auto"/>
                <w:bottom w:val="none" w:sz="0" w:space="0" w:color="auto"/>
                <w:right w:val="none" w:sz="0" w:space="0" w:color="auto"/>
              </w:divBdr>
            </w:div>
          </w:divsChild>
        </w:div>
        <w:div w:id="1856262496">
          <w:marLeft w:val="0"/>
          <w:marRight w:val="0"/>
          <w:marTop w:val="0"/>
          <w:marBottom w:val="0"/>
          <w:divBdr>
            <w:top w:val="none" w:sz="0" w:space="0" w:color="auto"/>
            <w:left w:val="none" w:sz="0" w:space="0" w:color="auto"/>
            <w:bottom w:val="none" w:sz="0" w:space="0" w:color="auto"/>
            <w:right w:val="none" w:sz="0" w:space="0" w:color="auto"/>
          </w:divBdr>
          <w:divsChild>
            <w:div w:id="11036523">
              <w:marLeft w:val="0"/>
              <w:marRight w:val="0"/>
              <w:marTop w:val="0"/>
              <w:marBottom w:val="0"/>
              <w:divBdr>
                <w:top w:val="none" w:sz="0" w:space="0" w:color="auto"/>
                <w:left w:val="none" w:sz="0" w:space="0" w:color="auto"/>
                <w:bottom w:val="none" w:sz="0" w:space="0" w:color="auto"/>
                <w:right w:val="none" w:sz="0" w:space="0" w:color="auto"/>
              </w:divBdr>
            </w:div>
            <w:div w:id="300159327">
              <w:marLeft w:val="0"/>
              <w:marRight w:val="0"/>
              <w:marTop w:val="0"/>
              <w:marBottom w:val="0"/>
              <w:divBdr>
                <w:top w:val="none" w:sz="0" w:space="0" w:color="auto"/>
                <w:left w:val="none" w:sz="0" w:space="0" w:color="auto"/>
                <w:bottom w:val="none" w:sz="0" w:space="0" w:color="auto"/>
                <w:right w:val="none" w:sz="0" w:space="0" w:color="auto"/>
              </w:divBdr>
            </w:div>
            <w:div w:id="395278490">
              <w:marLeft w:val="0"/>
              <w:marRight w:val="0"/>
              <w:marTop w:val="0"/>
              <w:marBottom w:val="0"/>
              <w:divBdr>
                <w:top w:val="none" w:sz="0" w:space="0" w:color="auto"/>
                <w:left w:val="none" w:sz="0" w:space="0" w:color="auto"/>
                <w:bottom w:val="none" w:sz="0" w:space="0" w:color="auto"/>
                <w:right w:val="none" w:sz="0" w:space="0" w:color="auto"/>
              </w:divBdr>
            </w:div>
            <w:div w:id="726564521">
              <w:marLeft w:val="0"/>
              <w:marRight w:val="0"/>
              <w:marTop w:val="0"/>
              <w:marBottom w:val="0"/>
              <w:divBdr>
                <w:top w:val="none" w:sz="0" w:space="0" w:color="auto"/>
                <w:left w:val="none" w:sz="0" w:space="0" w:color="auto"/>
                <w:bottom w:val="none" w:sz="0" w:space="0" w:color="auto"/>
                <w:right w:val="none" w:sz="0" w:space="0" w:color="auto"/>
              </w:divBdr>
            </w:div>
            <w:div w:id="927081240">
              <w:marLeft w:val="0"/>
              <w:marRight w:val="0"/>
              <w:marTop w:val="0"/>
              <w:marBottom w:val="0"/>
              <w:divBdr>
                <w:top w:val="none" w:sz="0" w:space="0" w:color="auto"/>
                <w:left w:val="none" w:sz="0" w:space="0" w:color="auto"/>
                <w:bottom w:val="none" w:sz="0" w:space="0" w:color="auto"/>
                <w:right w:val="none" w:sz="0" w:space="0" w:color="auto"/>
              </w:divBdr>
            </w:div>
            <w:div w:id="1129319048">
              <w:marLeft w:val="0"/>
              <w:marRight w:val="0"/>
              <w:marTop w:val="0"/>
              <w:marBottom w:val="0"/>
              <w:divBdr>
                <w:top w:val="none" w:sz="0" w:space="0" w:color="auto"/>
                <w:left w:val="none" w:sz="0" w:space="0" w:color="auto"/>
                <w:bottom w:val="none" w:sz="0" w:space="0" w:color="auto"/>
                <w:right w:val="none" w:sz="0" w:space="0" w:color="auto"/>
              </w:divBdr>
            </w:div>
            <w:div w:id="1380088861">
              <w:marLeft w:val="0"/>
              <w:marRight w:val="0"/>
              <w:marTop w:val="0"/>
              <w:marBottom w:val="0"/>
              <w:divBdr>
                <w:top w:val="none" w:sz="0" w:space="0" w:color="auto"/>
                <w:left w:val="none" w:sz="0" w:space="0" w:color="auto"/>
                <w:bottom w:val="none" w:sz="0" w:space="0" w:color="auto"/>
                <w:right w:val="none" w:sz="0" w:space="0" w:color="auto"/>
              </w:divBdr>
            </w:div>
            <w:div w:id="1590770402">
              <w:marLeft w:val="0"/>
              <w:marRight w:val="0"/>
              <w:marTop w:val="0"/>
              <w:marBottom w:val="0"/>
              <w:divBdr>
                <w:top w:val="none" w:sz="0" w:space="0" w:color="auto"/>
                <w:left w:val="none" w:sz="0" w:space="0" w:color="auto"/>
                <w:bottom w:val="none" w:sz="0" w:space="0" w:color="auto"/>
                <w:right w:val="none" w:sz="0" w:space="0" w:color="auto"/>
              </w:divBdr>
            </w:div>
            <w:div w:id="1692993362">
              <w:marLeft w:val="0"/>
              <w:marRight w:val="0"/>
              <w:marTop w:val="0"/>
              <w:marBottom w:val="0"/>
              <w:divBdr>
                <w:top w:val="none" w:sz="0" w:space="0" w:color="auto"/>
                <w:left w:val="none" w:sz="0" w:space="0" w:color="auto"/>
                <w:bottom w:val="none" w:sz="0" w:space="0" w:color="auto"/>
                <w:right w:val="none" w:sz="0" w:space="0" w:color="auto"/>
              </w:divBdr>
            </w:div>
            <w:div w:id="1795632179">
              <w:marLeft w:val="0"/>
              <w:marRight w:val="0"/>
              <w:marTop w:val="0"/>
              <w:marBottom w:val="0"/>
              <w:divBdr>
                <w:top w:val="none" w:sz="0" w:space="0" w:color="auto"/>
                <w:left w:val="none" w:sz="0" w:space="0" w:color="auto"/>
                <w:bottom w:val="none" w:sz="0" w:space="0" w:color="auto"/>
                <w:right w:val="none" w:sz="0" w:space="0" w:color="auto"/>
              </w:divBdr>
            </w:div>
            <w:div w:id="1840656316">
              <w:marLeft w:val="0"/>
              <w:marRight w:val="0"/>
              <w:marTop w:val="0"/>
              <w:marBottom w:val="0"/>
              <w:divBdr>
                <w:top w:val="none" w:sz="0" w:space="0" w:color="auto"/>
                <w:left w:val="none" w:sz="0" w:space="0" w:color="auto"/>
                <w:bottom w:val="none" w:sz="0" w:space="0" w:color="auto"/>
                <w:right w:val="none" w:sz="0" w:space="0" w:color="auto"/>
              </w:divBdr>
            </w:div>
            <w:div w:id="1903363906">
              <w:marLeft w:val="0"/>
              <w:marRight w:val="0"/>
              <w:marTop w:val="0"/>
              <w:marBottom w:val="0"/>
              <w:divBdr>
                <w:top w:val="none" w:sz="0" w:space="0" w:color="auto"/>
                <w:left w:val="none" w:sz="0" w:space="0" w:color="auto"/>
                <w:bottom w:val="none" w:sz="0" w:space="0" w:color="auto"/>
                <w:right w:val="none" w:sz="0" w:space="0" w:color="auto"/>
              </w:divBdr>
            </w:div>
          </w:divsChild>
        </w:div>
        <w:div w:id="1865828827">
          <w:marLeft w:val="0"/>
          <w:marRight w:val="0"/>
          <w:marTop w:val="0"/>
          <w:marBottom w:val="0"/>
          <w:divBdr>
            <w:top w:val="none" w:sz="0" w:space="0" w:color="auto"/>
            <w:left w:val="none" w:sz="0" w:space="0" w:color="auto"/>
            <w:bottom w:val="none" w:sz="0" w:space="0" w:color="auto"/>
            <w:right w:val="none" w:sz="0" w:space="0" w:color="auto"/>
          </w:divBdr>
          <w:divsChild>
            <w:div w:id="2512186">
              <w:marLeft w:val="0"/>
              <w:marRight w:val="0"/>
              <w:marTop w:val="0"/>
              <w:marBottom w:val="0"/>
              <w:divBdr>
                <w:top w:val="none" w:sz="0" w:space="0" w:color="auto"/>
                <w:left w:val="none" w:sz="0" w:space="0" w:color="auto"/>
                <w:bottom w:val="none" w:sz="0" w:space="0" w:color="auto"/>
                <w:right w:val="none" w:sz="0" w:space="0" w:color="auto"/>
              </w:divBdr>
            </w:div>
            <w:div w:id="167334757">
              <w:marLeft w:val="0"/>
              <w:marRight w:val="0"/>
              <w:marTop w:val="0"/>
              <w:marBottom w:val="0"/>
              <w:divBdr>
                <w:top w:val="none" w:sz="0" w:space="0" w:color="auto"/>
                <w:left w:val="none" w:sz="0" w:space="0" w:color="auto"/>
                <w:bottom w:val="none" w:sz="0" w:space="0" w:color="auto"/>
                <w:right w:val="none" w:sz="0" w:space="0" w:color="auto"/>
              </w:divBdr>
            </w:div>
            <w:div w:id="219563319">
              <w:marLeft w:val="0"/>
              <w:marRight w:val="0"/>
              <w:marTop w:val="0"/>
              <w:marBottom w:val="0"/>
              <w:divBdr>
                <w:top w:val="none" w:sz="0" w:space="0" w:color="auto"/>
                <w:left w:val="none" w:sz="0" w:space="0" w:color="auto"/>
                <w:bottom w:val="none" w:sz="0" w:space="0" w:color="auto"/>
                <w:right w:val="none" w:sz="0" w:space="0" w:color="auto"/>
              </w:divBdr>
            </w:div>
            <w:div w:id="276257813">
              <w:marLeft w:val="0"/>
              <w:marRight w:val="0"/>
              <w:marTop w:val="0"/>
              <w:marBottom w:val="0"/>
              <w:divBdr>
                <w:top w:val="none" w:sz="0" w:space="0" w:color="auto"/>
                <w:left w:val="none" w:sz="0" w:space="0" w:color="auto"/>
                <w:bottom w:val="none" w:sz="0" w:space="0" w:color="auto"/>
                <w:right w:val="none" w:sz="0" w:space="0" w:color="auto"/>
              </w:divBdr>
            </w:div>
            <w:div w:id="895162122">
              <w:marLeft w:val="0"/>
              <w:marRight w:val="0"/>
              <w:marTop w:val="0"/>
              <w:marBottom w:val="0"/>
              <w:divBdr>
                <w:top w:val="none" w:sz="0" w:space="0" w:color="auto"/>
                <w:left w:val="none" w:sz="0" w:space="0" w:color="auto"/>
                <w:bottom w:val="none" w:sz="0" w:space="0" w:color="auto"/>
                <w:right w:val="none" w:sz="0" w:space="0" w:color="auto"/>
              </w:divBdr>
            </w:div>
            <w:div w:id="975990558">
              <w:marLeft w:val="0"/>
              <w:marRight w:val="0"/>
              <w:marTop w:val="0"/>
              <w:marBottom w:val="0"/>
              <w:divBdr>
                <w:top w:val="none" w:sz="0" w:space="0" w:color="auto"/>
                <w:left w:val="none" w:sz="0" w:space="0" w:color="auto"/>
                <w:bottom w:val="none" w:sz="0" w:space="0" w:color="auto"/>
                <w:right w:val="none" w:sz="0" w:space="0" w:color="auto"/>
              </w:divBdr>
            </w:div>
            <w:div w:id="1019551855">
              <w:marLeft w:val="0"/>
              <w:marRight w:val="0"/>
              <w:marTop w:val="0"/>
              <w:marBottom w:val="0"/>
              <w:divBdr>
                <w:top w:val="none" w:sz="0" w:space="0" w:color="auto"/>
                <w:left w:val="none" w:sz="0" w:space="0" w:color="auto"/>
                <w:bottom w:val="none" w:sz="0" w:space="0" w:color="auto"/>
                <w:right w:val="none" w:sz="0" w:space="0" w:color="auto"/>
              </w:divBdr>
            </w:div>
            <w:div w:id="1077828009">
              <w:marLeft w:val="0"/>
              <w:marRight w:val="0"/>
              <w:marTop w:val="0"/>
              <w:marBottom w:val="0"/>
              <w:divBdr>
                <w:top w:val="none" w:sz="0" w:space="0" w:color="auto"/>
                <w:left w:val="none" w:sz="0" w:space="0" w:color="auto"/>
                <w:bottom w:val="none" w:sz="0" w:space="0" w:color="auto"/>
                <w:right w:val="none" w:sz="0" w:space="0" w:color="auto"/>
              </w:divBdr>
            </w:div>
            <w:div w:id="1152139549">
              <w:marLeft w:val="0"/>
              <w:marRight w:val="0"/>
              <w:marTop w:val="0"/>
              <w:marBottom w:val="0"/>
              <w:divBdr>
                <w:top w:val="none" w:sz="0" w:space="0" w:color="auto"/>
                <w:left w:val="none" w:sz="0" w:space="0" w:color="auto"/>
                <w:bottom w:val="none" w:sz="0" w:space="0" w:color="auto"/>
                <w:right w:val="none" w:sz="0" w:space="0" w:color="auto"/>
              </w:divBdr>
            </w:div>
            <w:div w:id="1210994723">
              <w:marLeft w:val="0"/>
              <w:marRight w:val="0"/>
              <w:marTop w:val="0"/>
              <w:marBottom w:val="0"/>
              <w:divBdr>
                <w:top w:val="none" w:sz="0" w:space="0" w:color="auto"/>
                <w:left w:val="none" w:sz="0" w:space="0" w:color="auto"/>
                <w:bottom w:val="none" w:sz="0" w:space="0" w:color="auto"/>
                <w:right w:val="none" w:sz="0" w:space="0" w:color="auto"/>
              </w:divBdr>
            </w:div>
            <w:div w:id="1248342038">
              <w:marLeft w:val="0"/>
              <w:marRight w:val="0"/>
              <w:marTop w:val="0"/>
              <w:marBottom w:val="0"/>
              <w:divBdr>
                <w:top w:val="none" w:sz="0" w:space="0" w:color="auto"/>
                <w:left w:val="none" w:sz="0" w:space="0" w:color="auto"/>
                <w:bottom w:val="none" w:sz="0" w:space="0" w:color="auto"/>
                <w:right w:val="none" w:sz="0" w:space="0" w:color="auto"/>
              </w:divBdr>
            </w:div>
            <w:div w:id="1416591684">
              <w:marLeft w:val="0"/>
              <w:marRight w:val="0"/>
              <w:marTop w:val="0"/>
              <w:marBottom w:val="0"/>
              <w:divBdr>
                <w:top w:val="none" w:sz="0" w:space="0" w:color="auto"/>
                <w:left w:val="none" w:sz="0" w:space="0" w:color="auto"/>
                <w:bottom w:val="none" w:sz="0" w:space="0" w:color="auto"/>
                <w:right w:val="none" w:sz="0" w:space="0" w:color="auto"/>
              </w:divBdr>
            </w:div>
            <w:div w:id="1451585618">
              <w:marLeft w:val="0"/>
              <w:marRight w:val="0"/>
              <w:marTop w:val="0"/>
              <w:marBottom w:val="0"/>
              <w:divBdr>
                <w:top w:val="none" w:sz="0" w:space="0" w:color="auto"/>
                <w:left w:val="none" w:sz="0" w:space="0" w:color="auto"/>
                <w:bottom w:val="none" w:sz="0" w:space="0" w:color="auto"/>
                <w:right w:val="none" w:sz="0" w:space="0" w:color="auto"/>
              </w:divBdr>
            </w:div>
            <w:div w:id="1486436907">
              <w:marLeft w:val="0"/>
              <w:marRight w:val="0"/>
              <w:marTop w:val="0"/>
              <w:marBottom w:val="0"/>
              <w:divBdr>
                <w:top w:val="none" w:sz="0" w:space="0" w:color="auto"/>
                <w:left w:val="none" w:sz="0" w:space="0" w:color="auto"/>
                <w:bottom w:val="none" w:sz="0" w:space="0" w:color="auto"/>
                <w:right w:val="none" w:sz="0" w:space="0" w:color="auto"/>
              </w:divBdr>
            </w:div>
          </w:divsChild>
        </w:div>
        <w:div w:id="1867786125">
          <w:marLeft w:val="0"/>
          <w:marRight w:val="0"/>
          <w:marTop w:val="0"/>
          <w:marBottom w:val="0"/>
          <w:divBdr>
            <w:top w:val="none" w:sz="0" w:space="0" w:color="auto"/>
            <w:left w:val="none" w:sz="0" w:space="0" w:color="auto"/>
            <w:bottom w:val="none" w:sz="0" w:space="0" w:color="auto"/>
            <w:right w:val="none" w:sz="0" w:space="0" w:color="auto"/>
          </w:divBdr>
          <w:divsChild>
            <w:div w:id="1029453477">
              <w:marLeft w:val="-75"/>
              <w:marRight w:val="0"/>
              <w:marTop w:val="30"/>
              <w:marBottom w:val="30"/>
              <w:divBdr>
                <w:top w:val="none" w:sz="0" w:space="0" w:color="auto"/>
                <w:left w:val="none" w:sz="0" w:space="0" w:color="auto"/>
                <w:bottom w:val="none" w:sz="0" w:space="0" w:color="auto"/>
                <w:right w:val="none" w:sz="0" w:space="0" w:color="auto"/>
              </w:divBdr>
              <w:divsChild>
                <w:div w:id="22364865">
                  <w:marLeft w:val="0"/>
                  <w:marRight w:val="0"/>
                  <w:marTop w:val="0"/>
                  <w:marBottom w:val="0"/>
                  <w:divBdr>
                    <w:top w:val="none" w:sz="0" w:space="0" w:color="auto"/>
                    <w:left w:val="none" w:sz="0" w:space="0" w:color="auto"/>
                    <w:bottom w:val="none" w:sz="0" w:space="0" w:color="auto"/>
                    <w:right w:val="none" w:sz="0" w:space="0" w:color="auto"/>
                  </w:divBdr>
                  <w:divsChild>
                    <w:div w:id="855848186">
                      <w:marLeft w:val="0"/>
                      <w:marRight w:val="0"/>
                      <w:marTop w:val="0"/>
                      <w:marBottom w:val="0"/>
                      <w:divBdr>
                        <w:top w:val="none" w:sz="0" w:space="0" w:color="auto"/>
                        <w:left w:val="none" w:sz="0" w:space="0" w:color="auto"/>
                        <w:bottom w:val="none" w:sz="0" w:space="0" w:color="auto"/>
                        <w:right w:val="none" w:sz="0" w:space="0" w:color="auto"/>
                      </w:divBdr>
                    </w:div>
                  </w:divsChild>
                </w:div>
                <w:div w:id="97793843">
                  <w:marLeft w:val="0"/>
                  <w:marRight w:val="0"/>
                  <w:marTop w:val="0"/>
                  <w:marBottom w:val="0"/>
                  <w:divBdr>
                    <w:top w:val="none" w:sz="0" w:space="0" w:color="auto"/>
                    <w:left w:val="none" w:sz="0" w:space="0" w:color="auto"/>
                    <w:bottom w:val="none" w:sz="0" w:space="0" w:color="auto"/>
                    <w:right w:val="none" w:sz="0" w:space="0" w:color="auto"/>
                  </w:divBdr>
                  <w:divsChild>
                    <w:div w:id="1792355825">
                      <w:marLeft w:val="0"/>
                      <w:marRight w:val="0"/>
                      <w:marTop w:val="0"/>
                      <w:marBottom w:val="0"/>
                      <w:divBdr>
                        <w:top w:val="none" w:sz="0" w:space="0" w:color="auto"/>
                        <w:left w:val="none" w:sz="0" w:space="0" w:color="auto"/>
                        <w:bottom w:val="none" w:sz="0" w:space="0" w:color="auto"/>
                        <w:right w:val="none" w:sz="0" w:space="0" w:color="auto"/>
                      </w:divBdr>
                    </w:div>
                  </w:divsChild>
                </w:div>
                <w:div w:id="233787063">
                  <w:marLeft w:val="0"/>
                  <w:marRight w:val="0"/>
                  <w:marTop w:val="0"/>
                  <w:marBottom w:val="0"/>
                  <w:divBdr>
                    <w:top w:val="none" w:sz="0" w:space="0" w:color="auto"/>
                    <w:left w:val="none" w:sz="0" w:space="0" w:color="auto"/>
                    <w:bottom w:val="none" w:sz="0" w:space="0" w:color="auto"/>
                    <w:right w:val="none" w:sz="0" w:space="0" w:color="auto"/>
                  </w:divBdr>
                  <w:divsChild>
                    <w:div w:id="656298547">
                      <w:marLeft w:val="0"/>
                      <w:marRight w:val="0"/>
                      <w:marTop w:val="0"/>
                      <w:marBottom w:val="0"/>
                      <w:divBdr>
                        <w:top w:val="none" w:sz="0" w:space="0" w:color="auto"/>
                        <w:left w:val="none" w:sz="0" w:space="0" w:color="auto"/>
                        <w:bottom w:val="none" w:sz="0" w:space="0" w:color="auto"/>
                        <w:right w:val="none" w:sz="0" w:space="0" w:color="auto"/>
                      </w:divBdr>
                    </w:div>
                  </w:divsChild>
                </w:div>
                <w:div w:id="289898394">
                  <w:marLeft w:val="0"/>
                  <w:marRight w:val="0"/>
                  <w:marTop w:val="0"/>
                  <w:marBottom w:val="0"/>
                  <w:divBdr>
                    <w:top w:val="none" w:sz="0" w:space="0" w:color="auto"/>
                    <w:left w:val="none" w:sz="0" w:space="0" w:color="auto"/>
                    <w:bottom w:val="none" w:sz="0" w:space="0" w:color="auto"/>
                    <w:right w:val="none" w:sz="0" w:space="0" w:color="auto"/>
                  </w:divBdr>
                  <w:divsChild>
                    <w:div w:id="91249157">
                      <w:marLeft w:val="0"/>
                      <w:marRight w:val="0"/>
                      <w:marTop w:val="0"/>
                      <w:marBottom w:val="0"/>
                      <w:divBdr>
                        <w:top w:val="none" w:sz="0" w:space="0" w:color="auto"/>
                        <w:left w:val="none" w:sz="0" w:space="0" w:color="auto"/>
                        <w:bottom w:val="none" w:sz="0" w:space="0" w:color="auto"/>
                        <w:right w:val="none" w:sz="0" w:space="0" w:color="auto"/>
                      </w:divBdr>
                    </w:div>
                  </w:divsChild>
                </w:div>
                <w:div w:id="296187329">
                  <w:marLeft w:val="0"/>
                  <w:marRight w:val="0"/>
                  <w:marTop w:val="0"/>
                  <w:marBottom w:val="0"/>
                  <w:divBdr>
                    <w:top w:val="none" w:sz="0" w:space="0" w:color="auto"/>
                    <w:left w:val="none" w:sz="0" w:space="0" w:color="auto"/>
                    <w:bottom w:val="none" w:sz="0" w:space="0" w:color="auto"/>
                    <w:right w:val="none" w:sz="0" w:space="0" w:color="auto"/>
                  </w:divBdr>
                  <w:divsChild>
                    <w:div w:id="1057241292">
                      <w:marLeft w:val="0"/>
                      <w:marRight w:val="0"/>
                      <w:marTop w:val="0"/>
                      <w:marBottom w:val="0"/>
                      <w:divBdr>
                        <w:top w:val="none" w:sz="0" w:space="0" w:color="auto"/>
                        <w:left w:val="none" w:sz="0" w:space="0" w:color="auto"/>
                        <w:bottom w:val="none" w:sz="0" w:space="0" w:color="auto"/>
                        <w:right w:val="none" w:sz="0" w:space="0" w:color="auto"/>
                      </w:divBdr>
                    </w:div>
                  </w:divsChild>
                </w:div>
                <w:div w:id="601232097">
                  <w:marLeft w:val="0"/>
                  <w:marRight w:val="0"/>
                  <w:marTop w:val="0"/>
                  <w:marBottom w:val="0"/>
                  <w:divBdr>
                    <w:top w:val="none" w:sz="0" w:space="0" w:color="auto"/>
                    <w:left w:val="none" w:sz="0" w:space="0" w:color="auto"/>
                    <w:bottom w:val="none" w:sz="0" w:space="0" w:color="auto"/>
                    <w:right w:val="none" w:sz="0" w:space="0" w:color="auto"/>
                  </w:divBdr>
                  <w:divsChild>
                    <w:div w:id="662006976">
                      <w:marLeft w:val="0"/>
                      <w:marRight w:val="0"/>
                      <w:marTop w:val="0"/>
                      <w:marBottom w:val="0"/>
                      <w:divBdr>
                        <w:top w:val="none" w:sz="0" w:space="0" w:color="auto"/>
                        <w:left w:val="none" w:sz="0" w:space="0" w:color="auto"/>
                        <w:bottom w:val="none" w:sz="0" w:space="0" w:color="auto"/>
                        <w:right w:val="none" w:sz="0" w:space="0" w:color="auto"/>
                      </w:divBdr>
                    </w:div>
                  </w:divsChild>
                </w:div>
                <w:div w:id="698241906">
                  <w:marLeft w:val="0"/>
                  <w:marRight w:val="0"/>
                  <w:marTop w:val="0"/>
                  <w:marBottom w:val="0"/>
                  <w:divBdr>
                    <w:top w:val="none" w:sz="0" w:space="0" w:color="auto"/>
                    <w:left w:val="none" w:sz="0" w:space="0" w:color="auto"/>
                    <w:bottom w:val="none" w:sz="0" w:space="0" w:color="auto"/>
                    <w:right w:val="none" w:sz="0" w:space="0" w:color="auto"/>
                  </w:divBdr>
                  <w:divsChild>
                    <w:div w:id="756942329">
                      <w:marLeft w:val="0"/>
                      <w:marRight w:val="0"/>
                      <w:marTop w:val="0"/>
                      <w:marBottom w:val="0"/>
                      <w:divBdr>
                        <w:top w:val="none" w:sz="0" w:space="0" w:color="auto"/>
                        <w:left w:val="none" w:sz="0" w:space="0" w:color="auto"/>
                        <w:bottom w:val="none" w:sz="0" w:space="0" w:color="auto"/>
                        <w:right w:val="none" w:sz="0" w:space="0" w:color="auto"/>
                      </w:divBdr>
                    </w:div>
                  </w:divsChild>
                </w:div>
                <w:div w:id="1051535069">
                  <w:marLeft w:val="0"/>
                  <w:marRight w:val="0"/>
                  <w:marTop w:val="0"/>
                  <w:marBottom w:val="0"/>
                  <w:divBdr>
                    <w:top w:val="none" w:sz="0" w:space="0" w:color="auto"/>
                    <w:left w:val="none" w:sz="0" w:space="0" w:color="auto"/>
                    <w:bottom w:val="none" w:sz="0" w:space="0" w:color="auto"/>
                    <w:right w:val="none" w:sz="0" w:space="0" w:color="auto"/>
                  </w:divBdr>
                  <w:divsChild>
                    <w:div w:id="1646814273">
                      <w:marLeft w:val="0"/>
                      <w:marRight w:val="0"/>
                      <w:marTop w:val="0"/>
                      <w:marBottom w:val="0"/>
                      <w:divBdr>
                        <w:top w:val="none" w:sz="0" w:space="0" w:color="auto"/>
                        <w:left w:val="none" w:sz="0" w:space="0" w:color="auto"/>
                        <w:bottom w:val="none" w:sz="0" w:space="0" w:color="auto"/>
                        <w:right w:val="none" w:sz="0" w:space="0" w:color="auto"/>
                      </w:divBdr>
                    </w:div>
                  </w:divsChild>
                </w:div>
                <w:div w:id="1091660785">
                  <w:marLeft w:val="0"/>
                  <w:marRight w:val="0"/>
                  <w:marTop w:val="0"/>
                  <w:marBottom w:val="0"/>
                  <w:divBdr>
                    <w:top w:val="none" w:sz="0" w:space="0" w:color="auto"/>
                    <w:left w:val="none" w:sz="0" w:space="0" w:color="auto"/>
                    <w:bottom w:val="none" w:sz="0" w:space="0" w:color="auto"/>
                    <w:right w:val="none" w:sz="0" w:space="0" w:color="auto"/>
                  </w:divBdr>
                  <w:divsChild>
                    <w:div w:id="1826237261">
                      <w:marLeft w:val="0"/>
                      <w:marRight w:val="0"/>
                      <w:marTop w:val="0"/>
                      <w:marBottom w:val="0"/>
                      <w:divBdr>
                        <w:top w:val="none" w:sz="0" w:space="0" w:color="auto"/>
                        <w:left w:val="none" w:sz="0" w:space="0" w:color="auto"/>
                        <w:bottom w:val="none" w:sz="0" w:space="0" w:color="auto"/>
                        <w:right w:val="none" w:sz="0" w:space="0" w:color="auto"/>
                      </w:divBdr>
                    </w:div>
                  </w:divsChild>
                </w:div>
                <w:div w:id="1612589945">
                  <w:marLeft w:val="0"/>
                  <w:marRight w:val="0"/>
                  <w:marTop w:val="0"/>
                  <w:marBottom w:val="0"/>
                  <w:divBdr>
                    <w:top w:val="none" w:sz="0" w:space="0" w:color="auto"/>
                    <w:left w:val="none" w:sz="0" w:space="0" w:color="auto"/>
                    <w:bottom w:val="none" w:sz="0" w:space="0" w:color="auto"/>
                    <w:right w:val="none" w:sz="0" w:space="0" w:color="auto"/>
                  </w:divBdr>
                  <w:divsChild>
                    <w:div w:id="1713651168">
                      <w:marLeft w:val="0"/>
                      <w:marRight w:val="0"/>
                      <w:marTop w:val="0"/>
                      <w:marBottom w:val="0"/>
                      <w:divBdr>
                        <w:top w:val="none" w:sz="0" w:space="0" w:color="auto"/>
                        <w:left w:val="none" w:sz="0" w:space="0" w:color="auto"/>
                        <w:bottom w:val="none" w:sz="0" w:space="0" w:color="auto"/>
                        <w:right w:val="none" w:sz="0" w:space="0" w:color="auto"/>
                      </w:divBdr>
                    </w:div>
                  </w:divsChild>
                </w:div>
                <w:div w:id="1907956789">
                  <w:marLeft w:val="0"/>
                  <w:marRight w:val="0"/>
                  <w:marTop w:val="0"/>
                  <w:marBottom w:val="0"/>
                  <w:divBdr>
                    <w:top w:val="none" w:sz="0" w:space="0" w:color="auto"/>
                    <w:left w:val="none" w:sz="0" w:space="0" w:color="auto"/>
                    <w:bottom w:val="none" w:sz="0" w:space="0" w:color="auto"/>
                    <w:right w:val="none" w:sz="0" w:space="0" w:color="auto"/>
                  </w:divBdr>
                  <w:divsChild>
                    <w:div w:id="159127573">
                      <w:marLeft w:val="0"/>
                      <w:marRight w:val="0"/>
                      <w:marTop w:val="0"/>
                      <w:marBottom w:val="0"/>
                      <w:divBdr>
                        <w:top w:val="none" w:sz="0" w:space="0" w:color="auto"/>
                        <w:left w:val="none" w:sz="0" w:space="0" w:color="auto"/>
                        <w:bottom w:val="none" w:sz="0" w:space="0" w:color="auto"/>
                        <w:right w:val="none" w:sz="0" w:space="0" w:color="auto"/>
                      </w:divBdr>
                    </w:div>
                  </w:divsChild>
                </w:div>
                <w:div w:id="1928491539">
                  <w:marLeft w:val="0"/>
                  <w:marRight w:val="0"/>
                  <w:marTop w:val="0"/>
                  <w:marBottom w:val="0"/>
                  <w:divBdr>
                    <w:top w:val="none" w:sz="0" w:space="0" w:color="auto"/>
                    <w:left w:val="none" w:sz="0" w:space="0" w:color="auto"/>
                    <w:bottom w:val="none" w:sz="0" w:space="0" w:color="auto"/>
                    <w:right w:val="none" w:sz="0" w:space="0" w:color="auto"/>
                  </w:divBdr>
                  <w:divsChild>
                    <w:div w:id="191909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030624">
          <w:marLeft w:val="0"/>
          <w:marRight w:val="0"/>
          <w:marTop w:val="0"/>
          <w:marBottom w:val="0"/>
          <w:divBdr>
            <w:top w:val="none" w:sz="0" w:space="0" w:color="auto"/>
            <w:left w:val="none" w:sz="0" w:space="0" w:color="auto"/>
            <w:bottom w:val="none" w:sz="0" w:space="0" w:color="auto"/>
            <w:right w:val="none" w:sz="0" w:space="0" w:color="auto"/>
          </w:divBdr>
        </w:div>
        <w:div w:id="1875657734">
          <w:marLeft w:val="0"/>
          <w:marRight w:val="0"/>
          <w:marTop w:val="0"/>
          <w:marBottom w:val="0"/>
          <w:divBdr>
            <w:top w:val="none" w:sz="0" w:space="0" w:color="auto"/>
            <w:left w:val="none" w:sz="0" w:space="0" w:color="auto"/>
            <w:bottom w:val="none" w:sz="0" w:space="0" w:color="auto"/>
            <w:right w:val="none" w:sz="0" w:space="0" w:color="auto"/>
          </w:divBdr>
          <w:divsChild>
            <w:div w:id="92633130">
              <w:marLeft w:val="0"/>
              <w:marRight w:val="0"/>
              <w:marTop w:val="0"/>
              <w:marBottom w:val="0"/>
              <w:divBdr>
                <w:top w:val="none" w:sz="0" w:space="0" w:color="auto"/>
                <w:left w:val="none" w:sz="0" w:space="0" w:color="auto"/>
                <w:bottom w:val="none" w:sz="0" w:space="0" w:color="auto"/>
                <w:right w:val="none" w:sz="0" w:space="0" w:color="auto"/>
              </w:divBdr>
            </w:div>
            <w:div w:id="111243778">
              <w:marLeft w:val="0"/>
              <w:marRight w:val="0"/>
              <w:marTop w:val="0"/>
              <w:marBottom w:val="0"/>
              <w:divBdr>
                <w:top w:val="none" w:sz="0" w:space="0" w:color="auto"/>
                <w:left w:val="none" w:sz="0" w:space="0" w:color="auto"/>
                <w:bottom w:val="none" w:sz="0" w:space="0" w:color="auto"/>
                <w:right w:val="none" w:sz="0" w:space="0" w:color="auto"/>
              </w:divBdr>
            </w:div>
            <w:div w:id="351567186">
              <w:marLeft w:val="0"/>
              <w:marRight w:val="0"/>
              <w:marTop w:val="0"/>
              <w:marBottom w:val="0"/>
              <w:divBdr>
                <w:top w:val="none" w:sz="0" w:space="0" w:color="auto"/>
                <w:left w:val="none" w:sz="0" w:space="0" w:color="auto"/>
                <w:bottom w:val="none" w:sz="0" w:space="0" w:color="auto"/>
                <w:right w:val="none" w:sz="0" w:space="0" w:color="auto"/>
              </w:divBdr>
            </w:div>
            <w:div w:id="369689427">
              <w:marLeft w:val="0"/>
              <w:marRight w:val="0"/>
              <w:marTop w:val="0"/>
              <w:marBottom w:val="0"/>
              <w:divBdr>
                <w:top w:val="none" w:sz="0" w:space="0" w:color="auto"/>
                <w:left w:val="none" w:sz="0" w:space="0" w:color="auto"/>
                <w:bottom w:val="none" w:sz="0" w:space="0" w:color="auto"/>
                <w:right w:val="none" w:sz="0" w:space="0" w:color="auto"/>
              </w:divBdr>
            </w:div>
            <w:div w:id="403573579">
              <w:marLeft w:val="0"/>
              <w:marRight w:val="0"/>
              <w:marTop w:val="0"/>
              <w:marBottom w:val="0"/>
              <w:divBdr>
                <w:top w:val="none" w:sz="0" w:space="0" w:color="auto"/>
                <w:left w:val="none" w:sz="0" w:space="0" w:color="auto"/>
                <w:bottom w:val="none" w:sz="0" w:space="0" w:color="auto"/>
                <w:right w:val="none" w:sz="0" w:space="0" w:color="auto"/>
              </w:divBdr>
            </w:div>
            <w:div w:id="547760645">
              <w:marLeft w:val="0"/>
              <w:marRight w:val="0"/>
              <w:marTop w:val="0"/>
              <w:marBottom w:val="0"/>
              <w:divBdr>
                <w:top w:val="none" w:sz="0" w:space="0" w:color="auto"/>
                <w:left w:val="none" w:sz="0" w:space="0" w:color="auto"/>
                <w:bottom w:val="none" w:sz="0" w:space="0" w:color="auto"/>
                <w:right w:val="none" w:sz="0" w:space="0" w:color="auto"/>
              </w:divBdr>
            </w:div>
            <w:div w:id="1497378083">
              <w:marLeft w:val="0"/>
              <w:marRight w:val="0"/>
              <w:marTop w:val="0"/>
              <w:marBottom w:val="0"/>
              <w:divBdr>
                <w:top w:val="none" w:sz="0" w:space="0" w:color="auto"/>
                <w:left w:val="none" w:sz="0" w:space="0" w:color="auto"/>
                <w:bottom w:val="none" w:sz="0" w:space="0" w:color="auto"/>
                <w:right w:val="none" w:sz="0" w:space="0" w:color="auto"/>
              </w:divBdr>
            </w:div>
            <w:div w:id="1710758487">
              <w:marLeft w:val="0"/>
              <w:marRight w:val="0"/>
              <w:marTop w:val="0"/>
              <w:marBottom w:val="0"/>
              <w:divBdr>
                <w:top w:val="none" w:sz="0" w:space="0" w:color="auto"/>
                <w:left w:val="none" w:sz="0" w:space="0" w:color="auto"/>
                <w:bottom w:val="none" w:sz="0" w:space="0" w:color="auto"/>
                <w:right w:val="none" w:sz="0" w:space="0" w:color="auto"/>
              </w:divBdr>
            </w:div>
            <w:div w:id="1732531892">
              <w:marLeft w:val="0"/>
              <w:marRight w:val="0"/>
              <w:marTop w:val="0"/>
              <w:marBottom w:val="0"/>
              <w:divBdr>
                <w:top w:val="none" w:sz="0" w:space="0" w:color="auto"/>
                <w:left w:val="none" w:sz="0" w:space="0" w:color="auto"/>
                <w:bottom w:val="none" w:sz="0" w:space="0" w:color="auto"/>
                <w:right w:val="none" w:sz="0" w:space="0" w:color="auto"/>
              </w:divBdr>
            </w:div>
            <w:div w:id="1789082174">
              <w:marLeft w:val="0"/>
              <w:marRight w:val="0"/>
              <w:marTop w:val="0"/>
              <w:marBottom w:val="0"/>
              <w:divBdr>
                <w:top w:val="none" w:sz="0" w:space="0" w:color="auto"/>
                <w:left w:val="none" w:sz="0" w:space="0" w:color="auto"/>
                <w:bottom w:val="none" w:sz="0" w:space="0" w:color="auto"/>
                <w:right w:val="none" w:sz="0" w:space="0" w:color="auto"/>
              </w:divBdr>
            </w:div>
            <w:div w:id="1826160727">
              <w:marLeft w:val="0"/>
              <w:marRight w:val="0"/>
              <w:marTop w:val="0"/>
              <w:marBottom w:val="0"/>
              <w:divBdr>
                <w:top w:val="none" w:sz="0" w:space="0" w:color="auto"/>
                <w:left w:val="none" w:sz="0" w:space="0" w:color="auto"/>
                <w:bottom w:val="none" w:sz="0" w:space="0" w:color="auto"/>
                <w:right w:val="none" w:sz="0" w:space="0" w:color="auto"/>
              </w:divBdr>
            </w:div>
          </w:divsChild>
        </w:div>
        <w:div w:id="1886602732">
          <w:marLeft w:val="0"/>
          <w:marRight w:val="0"/>
          <w:marTop w:val="0"/>
          <w:marBottom w:val="0"/>
          <w:divBdr>
            <w:top w:val="none" w:sz="0" w:space="0" w:color="auto"/>
            <w:left w:val="none" w:sz="0" w:space="0" w:color="auto"/>
            <w:bottom w:val="none" w:sz="0" w:space="0" w:color="auto"/>
            <w:right w:val="none" w:sz="0" w:space="0" w:color="auto"/>
          </w:divBdr>
          <w:divsChild>
            <w:div w:id="2143763436">
              <w:marLeft w:val="-75"/>
              <w:marRight w:val="0"/>
              <w:marTop w:val="30"/>
              <w:marBottom w:val="30"/>
              <w:divBdr>
                <w:top w:val="none" w:sz="0" w:space="0" w:color="auto"/>
                <w:left w:val="none" w:sz="0" w:space="0" w:color="auto"/>
                <w:bottom w:val="none" w:sz="0" w:space="0" w:color="auto"/>
                <w:right w:val="none" w:sz="0" w:space="0" w:color="auto"/>
              </w:divBdr>
              <w:divsChild>
                <w:div w:id="22632672">
                  <w:marLeft w:val="0"/>
                  <w:marRight w:val="0"/>
                  <w:marTop w:val="0"/>
                  <w:marBottom w:val="0"/>
                  <w:divBdr>
                    <w:top w:val="none" w:sz="0" w:space="0" w:color="auto"/>
                    <w:left w:val="none" w:sz="0" w:space="0" w:color="auto"/>
                    <w:bottom w:val="none" w:sz="0" w:space="0" w:color="auto"/>
                    <w:right w:val="none" w:sz="0" w:space="0" w:color="auto"/>
                  </w:divBdr>
                  <w:divsChild>
                    <w:div w:id="665397454">
                      <w:marLeft w:val="0"/>
                      <w:marRight w:val="0"/>
                      <w:marTop w:val="0"/>
                      <w:marBottom w:val="0"/>
                      <w:divBdr>
                        <w:top w:val="none" w:sz="0" w:space="0" w:color="auto"/>
                        <w:left w:val="none" w:sz="0" w:space="0" w:color="auto"/>
                        <w:bottom w:val="none" w:sz="0" w:space="0" w:color="auto"/>
                        <w:right w:val="none" w:sz="0" w:space="0" w:color="auto"/>
                      </w:divBdr>
                    </w:div>
                  </w:divsChild>
                </w:div>
                <w:div w:id="32506938">
                  <w:marLeft w:val="0"/>
                  <w:marRight w:val="0"/>
                  <w:marTop w:val="0"/>
                  <w:marBottom w:val="0"/>
                  <w:divBdr>
                    <w:top w:val="none" w:sz="0" w:space="0" w:color="auto"/>
                    <w:left w:val="none" w:sz="0" w:space="0" w:color="auto"/>
                    <w:bottom w:val="none" w:sz="0" w:space="0" w:color="auto"/>
                    <w:right w:val="none" w:sz="0" w:space="0" w:color="auto"/>
                  </w:divBdr>
                  <w:divsChild>
                    <w:div w:id="1588728319">
                      <w:marLeft w:val="0"/>
                      <w:marRight w:val="0"/>
                      <w:marTop w:val="0"/>
                      <w:marBottom w:val="0"/>
                      <w:divBdr>
                        <w:top w:val="none" w:sz="0" w:space="0" w:color="auto"/>
                        <w:left w:val="none" w:sz="0" w:space="0" w:color="auto"/>
                        <w:bottom w:val="none" w:sz="0" w:space="0" w:color="auto"/>
                        <w:right w:val="none" w:sz="0" w:space="0" w:color="auto"/>
                      </w:divBdr>
                    </w:div>
                  </w:divsChild>
                </w:div>
                <w:div w:id="64836080">
                  <w:marLeft w:val="0"/>
                  <w:marRight w:val="0"/>
                  <w:marTop w:val="0"/>
                  <w:marBottom w:val="0"/>
                  <w:divBdr>
                    <w:top w:val="none" w:sz="0" w:space="0" w:color="auto"/>
                    <w:left w:val="none" w:sz="0" w:space="0" w:color="auto"/>
                    <w:bottom w:val="none" w:sz="0" w:space="0" w:color="auto"/>
                    <w:right w:val="none" w:sz="0" w:space="0" w:color="auto"/>
                  </w:divBdr>
                  <w:divsChild>
                    <w:div w:id="2113088765">
                      <w:marLeft w:val="0"/>
                      <w:marRight w:val="0"/>
                      <w:marTop w:val="0"/>
                      <w:marBottom w:val="0"/>
                      <w:divBdr>
                        <w:top w:val="none" w:sz="0" w:space="0" w:color="auto"/>
                        <w:left w:val="none" w:sz="0" w:space="0" w:color="auto"/>
                        <w:bottom w:val="none" w:sz="0" w:space="0" w:color="auto"/>
                        <w:right w:val="none" w:sz="0" w:space="0" w:color="auto"/>
                      </w:divBdr>
                    </w:div>
                  </w:divsChild>
                </w:div>
                <w:div w:id="75131659">
                  <w:marLeft w:val="0"/>
                  <w:marRight w:val="0"/>
                  <w:marTop w:val="0"/>
                  <w:marBottom w:val="0"/>
                  <w:divBdr>
                    <w:top w:val="none" w:sz="0" w:space="0" w:color="auto"/>
                    <w:left w:val="none" w:sz="0" w:space="0" w:color="auto"/>
                    <w:bottom w:val="none" w:sz="0" w:space="0" w:color="auto"/>
                    <w:right w:val="none" w:sz="0" w:space="0" w:color="auto"/>
                  </w:divBdr>
                  <w:divsChild>
                    <w:div w:id="179587521">
                      <w:marLeft w:val="0"/>
                      <w:marRight w:val="0"/>
                      <w:marTop w:val="0"/>
                      <w:marBottom w:val="0"/>
                      <w:divBdr>
                        <w:top w:val="none" w:sz="0" w:space="0" w:color="auto"/>
                        <w:left w:val="none" w:sz="0" w:space="0" w:color="auto"/>
                        <w:bottom w:val="none" w:sz="0" w:space="0" w:color="auto"/>
                        <w:right w:val="none" w:sz="0" w:space="0" w:color="auto"/>
                      </w:divBdr>
                    </w:div>
                  </w:divsChild>
                </w:div>
                <w:div w:id="92409673">
                  <w:marLeft w:val="0"/>
                  <w:marRight w:val="0"/>
                  <w:marTop w:val="0"/>
                  <w:marBottom w:val="0"/>
                  <w:divBdr>
                    <w:top w:val="none" w:sz="0" w:space="0" w:color="auto"/>
                    <w:left w:val="none" w:sz="0" w:space="0" w:color="auto"/>
                    <w:bottom w:val="none" w:sz="0" w:space="0" w:color="auto"/>
                    <w:right w:val="none" w:sz="0" w:space="0" w:color="auto"/>
                  </w:divBdr>
                  <w:divsChild>
                    <w:div w:id="124584352">
                      <w:marLeft w:val="0"/>
                      <w:marRight w:val="0"/>
                      <w:marTop w:val="0"/>
                      <w:marBottom w:val="0"/>
                      <w:divBdr>
                        <w:top w:val="none" w:sz="0" w:space="0" w:color="auto"/>
                        <w:left w:val="none" w:sz="0" w:space="0" w:color="auto"/>
                        <w:bottom w:val="none" w:sz="0" w:space="0" w:color="auto"/>
                        <w:right w:val="none" w:sz="0" w:space="0" w:color="auto"/>
                      </w:divBdr>
                    </w:div>
                    <w:div w:id="1682321235">
                      <w:marLeft w:val="0"/>
                      <w:marRight w:val="0"/>
                      <w:marTop w:val="0"/>
                      <w:marBottom w:val="0"/>
                      <w:divBdr>
                        <w:top w:val="none" w:sz="0" w:space="0" w:color="auto"/>
                        <w:left w:val="none" w:sz="0" w:space="0" w:color="auto"/>
                        <w:bottom w:val="none" w:sz="0" w:space="0" w:color="auto"/>
                        <w:right w:val="none" w:sz="0" w:space="0" w:color="auto"/>
                      </w:divBdr>
                    </w:div>
                    <w:div w:id="1914003006">
                      <w:marLeft w:val="0"/>
                      <w:marRight w:val="0"/>
                      <w:marTop w:val="0"/>
                      <w:marBottom w:val="0"/>
                      <w:divBdr>
                        <w:top w:val="none" w:sz="0" w:space="0" w:color="auto"/>
                        <w:left w:val="none" w:sz="0" w:space="0" w:color="auto"/>
                        <w:bottom w:val="none" w:sz="0" w:space="0" w:color="auto"/>
                        <w:right w:val="none" w:sz="0" w:space="0" w:color="auto"/>
                      </w:divBdr>
                    </w:div>
                  </w:divsChild>
                </w:div>
                <w:div w:id="93788517">
                  <w:marLeft w:val="0"/>
                  <w:marRight w:val="0"/>
                  <w:marTop w:val="0"/>
                  <w:marBottom w:val="0"/>
                  <w:divBdr>
                    <w:top w:val="none" w:sz="0" w:space="0" w:color="auto"/>
                    <w:left w:val="none" w:sz="0" w:space="0" w:color="auto"/>
                    <w:bottom w:val="none" w:sz="0" w:space="0" w:color="auto"/>
                    <w:right w:val="none" w:sz="0" w:space="0" w:color="auto"/>
                  </w:divBdr>
                  <w:divsChild>
                    <w:div w:id="1670255838">
                      <w:marLeft w:val="0"/>
                      <w:marRight w:val="0"/>
                      <w:marTop w:val="0"/>
                      <w:marBottom w:val="0"/>
                      <w:divBdr>
                        <w:top w:val="none" w:sz="0" w:space="0" w:color="auto"/>
                        <w:left w:val="none" w:sz="0" w:space="0" w:color="auto"/>
                        <w:bottom w:val="none" w:sz="0" w:space="0" w:color="auto"/>
                        <w:right w:val="none" w:sz="0" w:space="0" w:color="auto"/>
                      </w:divBdr>
                    </w:div>
                  </w:divsChild>
                </w:div>
                <w:div w:id="97023163">
                  <w:marLeft w:val="0"/>
                  <w:marRight w:val="0"/>
                  <w:marTop w:val="0"/>
                  <w:marBottom w:val="0"/>
                  <w:divBdr>
                    <w:top w:val="none" w:sz="0" w:space="0" w:color="auto"/>
                    <w:left w:val="none" w:sz="0" w:space="0" w:color="auto"/>
                    <w:bottom w:val="none" w:sz="0" w:space="0" w:color="auto"/>
                    <w:right w:val="none" w:sz="0" w:space="0" w:color="auto"/>
                  </w:divBdr>
                  <w:divsChild>
                    <w:div w:id="403383345">
                      <w:marLeft w:val="0"/>
                      <w:marRight w:val="0"/>
                      <w:marTop w:val="0"/>
                      <w:marBottom w:val="0"/>
                      <w:divBdr>
                        <w:top w:val="none" w:sz="0" w:space="0" w:color="auto"/>
                        <w:left w:val="none" w:sz="0" w:space="0" w:color="auto"/>
                        <w:bottom w:val="none" w:sz="0" w:space="0" w:color="auto"/>
                        <w:right w:val="none" w:sz="0" w:space="0" w:color="auto"/>
                      </w:divBdr>
                    </w:div>
                  </w:divsChild>
                </w:div>
                <w:div w:id="97530700">
                  <w:marLeft w:val="0"/>
                  <w:marRight w:val="0"/>
                  <w:marTop w:val="0"/>
                  <w:marBottom w:val="0"/>
                  <w:divBdr>
                    <w:top w:val="none" w:sz="0" w:space="0" w:color="auto"/>
                    <w:left w:val="none" w:sz="0" w:space="0" w:color="auto"/>
                    <w:bottom w:val="none" w:sz="0" w:space="0" w:color="auto"/>
                    <w:right w:val="none" w:sz="0" w:space="0" w:color="auto"/>
                  </w:divBdr>
                  <w:divsChild>
                    <w:div w:id="1451240364">
                      <w:marLeft w:val="0"/>
                      <w:marRight w:val="0"/>
                      <w:marTop w:val="0"/>
                      <w:marBottom w:val="0"/>
                      <w:divBdr>
                        <w:top w:val="none" w:sz="0" w:space="0" w:color="auto"/>
                        <w:left w:val="none" w:sz="0" w:space="0" w:color="auto"/>
                        <w:bottom w:val="none" w:sz="0" w:space="0" w:color="auto"/>
                        <w:right w:val="none" w:sz="0" w:space="0" w:color="auto"/>
                      </w:divBdr>
                    </w:div>
                  </w:divsChild>
                </w:div>
                <w:div w:id="100103709">
                  <w:marLeft w:val="0"/>
                  <w:marRight w:val="0"/>
                  <w:marTop w:val="0"/>
                  <w:marBottom w:val="0"/>
                  <w:divBdr>
                    <w:top w:val="none" w:sz="0" w:space="0" w:color="auto"/>
                    <w:left w:val="none" w:sz="0" w:space="0" w:color="auto"/>
                    <w:bottom w:val="none" w:sz="0" w:space="0" w:color="auto"/>
                    <w:right w:val="none" w:sz="0" w:space="0" w:color="auto"/>
                  </w:divBdr>
                  <w:divsChild>
                    <w:div w:id="1172141168">
                      <w:marLeft w:val="0"/>
                      <w:marRight w:val="0"/>
                      <w:marTop w:val="0"/>
                      <w:marBottom w:val="0"/>
                      <w:divBdr>
                        <w:top w:val="none" w:sz="0" w:space="0" w:color="auto"/>
                        <w:left w:val="none" w:sz="0" w:space="0" w:color="auto"/>
                        <w:bottom w:val="none" w:sz="0" w:space="0" w:color="auto"/>
                        <w:right w:val="none" w:sz="0" w:space="0" w:color="auto"/>
                      </w:divBdr>
                    </w:div>
                  </w:divsChild>
                </w:div>
                <w:div w:id="106396271">
                  <w:marLeft w:val="0"/>
                  <w:marRight w:val="0"/>
                  <w:marTop w:val="0"/>
                  <w:marBottom w:val="0"/>
                  <w:divBdr>
                    <w:top w:val="none" w:sz="0" w:space="0" w:color="auto"/>
                    <w:left w:val="none" w:sz="0" w:space="0" w:color="auto"/>
                    <w:bottom w:val="none" w:sz="0" w:space="0" w:color="auto"/>
                    <w:right w:val="none" w:sz="0" w:space="0" w:color="auto"/>
                  </w:divBdr>
                  <w:divsChild>
                    <w:div w:id="1539273606">
                      <w:marLeft w:val="0"/>
                      <w:marRight w:val="0"/>
                      <w:marTop w:val="0"/>
                      <w:marBottom w:val="0"/>
                      <w:divBdr>
                        <w:top w:val="none" w:sz="0" w:space="0" w:color="auto"/>
                        <w:left w:val="none" w:sz="0" w:space="0" w:color="auto"/>
                        <w:bottom w:val="none" w:sz="0" w:space="0" w:color="auto"/>
                        <w:right w:val="none" w:sz="0" w:space="0" w:color="auto"/>
                      </w:divBdr>
                    </w:div>
                  </w:divsChild>
                </w:div>
                <w:div w:id="123889809">
                  <w:marLeft w:val="0"/>
                  <w:marRight w:val="0"/>
                  <w:marTop w:val="0"/>
                  <w:marBottom w:val="0"/>
                  <w:divBdr>
                    <w:top w:val="none" w:sz="0" w:space="0" w:color="auto"/>
                    <w:left w:val="none" w:sz="0" w:space="0" w:color="auto"/>
                    <w:bottom w:val="none" w:sz="0" w:space="0" w:color="auto"/>
                    <w:right w:val="none" w:sz="0" w:space="0" w:color="auto"/>
                  </w:divBdr>
                  <w:divsChild>
                    <w:div w:id="1203131518">
                      <w:marLeft w:val="0"/>
                      <w:marRight w:val="0"/>
                      <w:marTop w:val="0"/>
                      <w:marBottom w:val="0"/>
                      <w:divBdr>
                        <w:top w:val="none" w:sz="0" w:space="0" w:color="auto"/>
                        <w:left w:val="none" w:sz="0" w:space="0" w:color="auto"/>
                        <w:bottom w:val="none" w:sz="0" w:space="0" w:color="auto"/>
                        <w:right w:val="none" w:sz="0" w:space="0" w:color="auto"/>
                      </w:divBdr>
                    </w:div>
                  </w:divsChild>
                </w:div>
                <w:div w:id="125205403">
                  <w:marLeft w:val="0"/>
                  <w:marRight w:val="0"/>
                  <w:marTop w:val="0"/>
                  <w:marBottom w:val="0"/>
                  <w:divBdr>
                    <w:top w:val="none" w:sz="0" w:space="0" w:color="auto"/>
                    <w:left w:val="none" w:sz="0" w:space="0" w:color="auto"/>
                    <w:bottom w:val="none" w:sz="0" w:space="0" w:color="auto"/>
                    <w:right w:val="none" w:sz="0" w:space="0" w:color="auto"/>
                  </w:divBdr>
                  <w:divsChild>
                    <w:div w:id="1082026425">
                      <w:marLeft w:val="0"/>
                      <w:marRight w:val="0"/>
                      <w:marTop w:val="0"/>
                      <w:marBottom w:val="0"/>
                      <w:divBdr>
                        <w:top w:val="none" w:sz="0" w:space="0" w:color="auto"/>
                        <w:left w:val="none" w:sz="0" w:space="0" w:color="auto"/>
                        <w:bottom w:val="none" w:sz="0" w:space="0" w:color="auto"/>
                        <w:right w:val="none" w:sz="0" w:space="0" w:color="auto"/>
                      </w:divBdr>
                    </w:div>
                  </w:divsChild>
                </w:div>
                <w:div w:id="132799070">
                  <w:marLeft w:val="0"/>
                  <w:marRight w:val="0"/>
                  <w:marTop w:val="0"/>
                  <w:marBottom w:val="0"/>
                  <w:divBdr>
                    <w:top w:val="none" w:sz="0" w:space="0" w:color="auto"/>
                    <w:left w:val="none" w:sz="0" w:space="0" w:color="auto"/>
                    <w:bottom w:val="none" w:sz="0" w:space="0" w:color="auto"/>
                    <w:right w:val="none" w:sz="0" w:space="0" w:color="auto"/>
                  </w:divBdr>
                  <w:divsChild>
                    <w:div w:id="928849645">
                      <w:marLeft w:val="0"/>
                      <w:marRight w:val="0"/>
                      <w:marTop w:val="0"/>
                      <w:marBottom w:val="0"/>
                      <w:divBdr>
                        <w:top w:val="none" w:sz="0" w:space="0" w:color="auto"/>
                        <w:left w:val="none" w:sz="0" w:space="0" w:color="auto"/>
                        <w:bottom w:val="none" w:sz="0" w:space="0" w:color="auto"/>
                        <w:right w:val="none" w:sz="0" w:space="0" w:color="auto"/>
                      </w:divBdr>
                    </w:div>
                  </w:divsChild>
                </w:div>
                <w:div w:id="136991365">
                  <w:marLeft w:val="0"/>
                  <w:marRight w:val="0"/>
                  <w:marTop w:val="0"/>
                  <w:marBottom w:val="0"/>
                  <w:divBdr>
                    <w:top w:val="none" w:sz="0" w:space="0" w:color="auto"/>
                    <w:left w:val="none" w:sz="0" w:space="0" w:color="auto"/>
                    <w:bottom w:val="none" w:sz="0" w:space="0" w:color="auto"/>
                    <w:right w:val="none" w:sz="0" w:space="0" w:color="auto"/>
                  </w:divBdr>
                  <w:divsChild>
                    <w:div w:id="1183473187">
                      <w:marLeft w:val="0"/>
                      <w:marRight w:val="0"/>
                      <w:marTop w:val="0"/>
                      <w:marBottom w:val="0"/>
                      <w:divBdr>
                        <w:top w:val="none" w:sz="0" w:space="0" w:color="auto"/>
                        <w:left w:val="none" w:sz="0" w:space="0" w:color="auto"/>
                        <w:bottom w:val="none" w:sz="0" w:space="0" w:color="auto"/>
                        <w:right w:val="none" w:sz="0" w:space="0" w:color="auto"/>
                      </w:divBdr>
                    </w:div>
                  </w:divsChild>
                </w:div>
                <w:div w:id="137500786">
                  <w:marLeft w:val="0"/>
                  <w:marRight w:val="0"/>
                  <w:marTop w:val="0"/>
                  <w:marBottom w:val="0"/>
                  <w:divBdr>
                    <w:top w:val="none" w:sz="0" w:space="0" w:color="auto"/>
                    <w:left w:val="none" w:sz="0" w:space="0" w:color="auto"/>
                    <w:bottom w:val="none" w:sz="0" w:space="0" w:color="auto"/>
                    <w:right w:val="none" w:sz="0" w:space="0" w:color="auto"/>
                  </w:divBdr>
                  <w:divsChild>
                    <w:div w:id="2067298683">
                      <w:marLeft w:val="0"/>
                      <w:marRight w:val="0"/>
                      <w:marTop w:val="0"/>
                      <w:marBottom w:val="0"/>
                      <w:divBdr>
                        <w:top w:val="none" w:sz="0" w:space="0" w:color="auto"/>
                        <w:left w:val="none" w:sz="0" w:space="0" w:color="auto"/>
                        <w:bottom w:val="none" w:sz="0" w:space="0" w:color="auto"/>
                        <w:right w:val="none" w:sz="0" w:space="0" w:color="auto"/>
                      </w:divBdr>
                    </w:div>
                  </w:divsChild>
                </w:div>
                <w:div w:id="154106329">
                  <w:marLeft w:val="0"/>
                  <w:marRight w:val="0"/>
                  <w:marTop w:val="0"/>
                  <w:marBottom w:val="0"/>
                  <w:divBdr>
                    <w:top w:val="none" w:sz="0" w:space="0" w:color="auto"/>
                    <w:left w:val="none" w:sz="0" w:space="0" w:color="auto"/>
                    <w:bottom w:val="none" w:sz="0" w:space="0" w:color="auto"/>
                    <w:right w:val="none" w:sz="0" w:space="0" w:color="auto"/>
                  </w:divBdr>
                  <w:divsChild>
                    <w:div w:id="690030699">
                      <w:marLeft w:val="0"/>
                      <w:marRight w:val="0"/>
                      <w:marTop w:val="0"/>
                      <w:marBottom w:val="0"/>
                      <w:divBdr>
                        <w:top w:val="none" w:sz="0" w:space="0" w:color="auto"/>
                        <w:left w:val="none" w:sz="0" w:space="0" w:color="auto"/>
                        <w:bottom w:val="none" w:sz="0" w:space="0" w:color="auto"/>
                        <w:right w:val="none" w:sz="0" w:space="0" w:color="auto"/>
                      </w:divBdr>
                    </w:div>
                  </w:divsChild>
                </w:div>
                <w:div w:id="158624476">
                  <w:marLeft w:val="0"/>
                  <w:marRight w:val="0"/>
                  <w:marTop w:val="0"/>
                  <w:marBottom w:val="0"/>
                  <w:divBdr>
                    <w:top w:val="none" w:sz="0" w:space="0" w:color="auto"/>
                    <w:left w:val="none" w:sz="0" w:space="0" w:color="auto"/>
                    <w:bottom w:val="none" w:sz="0" w:space="0" w:color="auto"/>
                    <w:right w:val="none" w:sz="0" w:space="0" w:color="auto"/>
                  </w:divBdr>
                  <w:divsChild>
                    <w:div w:id="676075488">
                      <w:marLeft w:val="0"/>
                      <w:marRight w:val="0"/>
                      <w:marTop w:val="0"/>
                      <w:marBottom w:val="0"/>
                      <w:divBdr>
                        <w:top w:val="none" w:sz="0" w:space="0" w:color="auto"/>
                        <w:left w:val="none" w:sz="0" w:space="0" w:color="auto"/>
                        <w:bottom w:val="none" w:sz="0" w:space="0" w:color="auto"/>
                        <w:right w:val="none" w:sz="0" w:space="0" w:color="auto"/>
                      </w:divBdr>
                    </w:div>
                  </w:divsChild>
                </w:div>
                <w:div w:id="163739223">
                  <w:marLeft w:val="0"/>
                  <w:marRight w:val="0"/>
                  <w:marTop w:val="0"/>
                  <w:marBottom w:val="0"/>
                  <w:divBdr>
                    <w:top w:val="none" w:sz="0" w:space="0" w:color="auto"/>
                    <w:left w:val="none" w:sz="0" w:space="0" w:color="auto"/>
                    <w:bottom w:val="none" w:sz="0" w:space="0" w:color="auto"/>
                    <w:right w:val="none" w:sz="0" w:space="0" w:color="auto"/>
                  </w:divBdr>
                  <w:divsChild>
                    <w:div w:id="943460994">
                      <w:marLeft w:val="0"/>
                      <w:marRight w:val="0"/>
                      <w:marTop w:val="0"/>
                      <w:marBottom w:val="0"/>
                      <w:divBdr>
                        <w:top w:val="none" w:sz="0" w:space="0" w:color="auto"/>
                        <w:left w:val="none" w:sz="0" w:space="0" w:color="auto"/>
                        <w:bottom w:val="none" w:sz="0" w:space="0" w:color="auto"/>
                        <w:right w:val="none" w:sz="0" w:space="0" w:color="auto"/>
                      </w:divBdr>
                    </w:div>
                  </w:divsChild>
                </w:div>
                <w:div w:id="170880061">
                  <w:marLeft w:val="0"/>
                  <w:marRight w:val="0"/>
                  <w:marTop w:val="0"/>
                  <w:marBottom w:val="0"/>
                  <w:divBdr>
                    <w:top w:val="none" w:sz="0" w:space="0" w:color="auto"/>
                    <w:left w:val="none" w:sz="0" w:space="0" w:color="auto"/>
                    <w:bottom w:val="none" w:sz="0" w:space="0" w:color="auto"/>
                    <w:right w:val="none" w:sz="0" w:space="0" w:color="auto"/>
                  </w:divBdr>
                  <w:divsChild>
                    <w:div w:id="1179537214">
                      <w:marLeft w:val="0"/>
                      <w:marRight w:val="0"/>
                      <w:marTop w:val="0"/>
                      <w:marBottom w:val="0"/>
                      <w:divBdr>
                        <w:top w:val="none" w:sz="0" w:space="0" w:color="auto"/>
                        <w:left w:val="none" w:sz="0" w:space="0" w:color="auto"/>
                        <w:bottom w:val="none" w:sz="0" w:space="0" w:color="auto"/>
                        <w:right w:val="none" w:sz="0" w:space="0" w:color="auto"/>
                      </w:divBdr>
                    </w:div>
                  </w:divsChild>
                </w:div>
                <w:div w:id="180969299">
                  <w:marLeft w:val="0"/>
                  <w:marRight w:val="0"/>
                  <w:marTop w:val="0"/>
                  <w:marBottom w:val="0"/>
                  <w:divBdr>
                    <w:top w:val="none" w:sz="0" w:space="0" w:color="auto"/>
                    <w:left w:val="none" w:sz="0" w:space="0" w:color="auto"/>
                    <w:bottom w:val="none" w:sz="0" w:space="0" w:color="auto"/>
                    <w:right w:val="none" w:sz="0" w:space="0" w:color="auto"/>
                  </w:divBdr>
                  <w:divsChild>
                    <w:div w:id="1389770155">
                      <w:marLeft w:val="0"/>
                      <w:marRight w:val="0"/>
                      <w:marTop w:val="0"/>
                      <w:marBottom w:val="0"/>
                      <w:divBdr>
                        <w:top w:val="none" w:sz="0" w:space="0" w:color="auto"/>
                        <w:left w:val="none" w:sz="0" w:space="0" w:color="auto"/>
                        <w:bottom w:val="none" w:sz="0" w:space="0" w:color="auto"/>
                        <w:right w:val="none" w:sz="0" w:space="0" w:color="auto"/>
                      </w:divBdr>
                    </w:div>
                  </w:divsChild>
                </w:div>
                <w:div w:id="187332515">
                  <w:marLeft w:val="0"/>
                  <w:marRight w:val="0"/>
                  <w:marTop w:val="0"/>
                  <w:marBottom w:val="0"/>
                  <w:divBdr>
                    <w:top w:val="none" w:sz="0" w:space="0" w:color="auto"/>
                    <w:left w:val="none" w:sz="0" w:space="0" w:color="auto"/>
                    <w:bottom w:val="none" w:sz="0" w:space="0" w:color="auto"/>
                    <w:right w:val="none" w:sz="0" w:space="0" w:color="auto"/>
                  </w:divBdr>
                  <w:divsChild>
                    <w:div w:id="1441029490">
                      <w:marLeft w:val="0"/>
                      <w:marRight w:val="0"/>
                      <w:marTop w:val="0"/>
                      <w:marBottom w:val="0"/>
                      <w:divBdr>
                        <w:top w:val="none" w:sz="0" w:space="0" w:color="auto"/>
                        <w:left w:val="none" w:sz="0" w:space="0" w:color="auto"/>
                        <w:bottom w:val="none" w:sz="0" w:space="0" w:color="auto"/>
                        <w:right w:val="none" w:sz="0" w:space="0" w:color="auto"/>
                      </w:divBdr>
                    </w:div>
                  </w:divsChild>
                </w:div>
                <w:div w:id="198671113">
                  <w:marLeft w:val="0"/>
                  <w:marRight w:val="0"/>
                  <w:marTop w:val="0"/>
                  <w:marBottom w:val="0"/>
                  <w:divBdr>
                    <w:top w:val="none" w:sz="0" w:space="0" w:color="auto"/>
                    <w:left w:val="none" w:sz="0" w:space="0" w:color="auto"/>
                    <w:bottom w:val="none" w:sz="0" w:space="0" w:color="auto"/>
                    <w:right w:val="none" w:sz="0" w:space="0" w:color="auto"/>
                  </w:divBdr>
                  <w:divsChild>
                    <w:div w:id="587344776">
                      <w:marLeft w:val="0"/>
                      <w:marRight w:val="0"/>
                      <w:marTop w:val="0"/>
                      <w:marBottom w:val="0"/>
                      <w:divBdr>
                        <w:top w:val="none" w:sz="0" w:space="0" w:color="auto"/>
                        <w:left w:val="none" w:sz="0" w:space="0" w:color="auto"/>
                        <w:bottom w:val="none" w:sz="0" w:space="0" w:color="auto"/>
                        <w:right w:val="none" w:sz="0" w:space="0" w:color="auto"/>
                      </w:divBdr>
                    </w:div>
                  </w:divsChild>
                </w:div>
                <w:div w:id="215700934">
                  <w:marLeft w:val="0"/>
                  <w:marRight w:val="0"/>
                  <w:marTop w:val="0"/>
                  <w:marBottom w:val="0"/>
                  <w:divBdr>
                    <w:top w:val="none" w:sz="0" w:space="0" w:color="auto"/>
                    <w:left w:val="none" w:sz="0" w:space="0" w:color="auto"/>
                    <w:bottom w:val="none" w:sz="0" w:space="0" w:color="auto"/>
                    <w:right w:val="none" w:sz="0" w:space="0" w:color="auto"/>
                  </w:divBdr>
                  <w:divsChild>
                    <w:div w:id="2055814422">
                      <w:marLeft w:val="0"/>
                      <w:marRight w:val="0"/>
                      <w:marTop w:val="0"/>
                      <w:marBottom w:val="0"/>
                      <w:divBdr>
                        <w:top w:val="none" w:sz="0" w:space="0" w:color="auto"/>
                        <w:left w:val="none" w:sz="0" w:space="0" w:color="auto"/>
                        <w:bottom w:val="none" w:sz="0" w:space="0" w:color="auto"/>
                        <w:right w:val="none" w:sz="0" w:space="0" w:color="auto"/>
                      </w:divBdr>
                    </w:div>
                  </w:divsChild>
                </w:div>
                <w:div w:id="217205209">
                  <w:marLeft w:val="0"/>
                  <w:marRight w:val="0"/>
                  <w:marTop w:val="0"/>
                  <w:marBottom w:val="0"/>
                  <w:divBdr>
                    <w:top w:val="none" w:sz="0" w:space="0" w:color="auto"/>
                    <w:left w:val="none" w:sz="0" w:space="0" w:color="auto"/>
                    <w:bottom w:val="none" w:sz="0" w:space="0" w:color="auto"/>
                    <w:right w:val="none" w:sz="0" w:space="0" w:color="auto"/>
                  </w:divBdr>
                  <w:divsChild>
                    <w:div w:id="1725132524">
                      <w:marLeft w:val="0"/>
                      <w:marRight w:val="0"/>
                      <w:marTop w:val="0"/>
                      <w:marBottom w:val="0"/>
                      <w:divBdr>
                        <w:top w:val="none" w:sz="0" w:space="0" w:color="auto"/>
                        <w:left w:val="none" w:sz="0" w:space="0" w:color="auto"/>
                        <w:bottom w:val="none" w:sz="0" w:space="0" w:color="auto"/>
                        <w:right w:val="none" w:sz="0" w:space="0" w:color="auto"/>
                      </w:divBdr>
                    </w:div>
                  </w:divsChild>
                </w:div>
                <w:div w:id="223951851">
                  <w:marLeft w:val="0"/>
                  <w:marRight w:val="0"/>
                  <w:marTop w:val="0"/>
                  <w:marBottom w:val="0"/>
                  <w:divBdr>
                    <w:top w:val="none" w:sz="0" w:space="0" w:color="auto"/>
                    <w:left w:val="none" w:sz="0" w:space="0" w:color="auto"/>
                    <w:bottom w:val="none" w:sz="0" w:space="0" w:color="auto"/>
                    <w:right w:val="none" w:sz="0" w:space="0" w:color="auto"/>
                  </w:divBdr>
                  <w:divsChild>
                    <w:div w:id="132216707">
                      <w:marLeft w:val="0"/>
                      <w:marRight w:val="0"/>
                      <w:marTop w:val="0"/>
                      <w:marBottom w:val="0"/>
                      <w:divBdr>
                        <w:top w:val="none" w:sz="0" w:space="0" w:color="auto"/>
                        <w:left w:val="none" w:sz="0" w:space="0" w:color="auto"/>
                        <w:bottom w:val="none" w:sz="0" w:space="0" w:color="auto"/>
                        <w:right w:val="none" w:sz="0" w:space="0" w:color="auto"/>
                      </w:divBdr>
                    </w:div>
                  </w:divsChild>
                </w:div>
                <w:div w:id="229079371">
                  <w:marLeft w:val="0"/>
                  <w:marRight w:val="0"/>
                  <w:marTop w:val="0"/>
                  <w:marBottom w:val="0"/>
                  <w:divBdr>
                    <w:top w:val="none" w:sz="0" w:space="0" w:color="auto"/>
                    <w:left w:val="none" w:sz="0" w:space="0" w:color="auto"/>
                    <w:bottom w:val="none" w:sz="0" w:space="0" w:color="auto"/>
                    <w:right w:val="none" w:sz="0" w:space="0" w:color="auto"/>
                  </w:divBdr>
                  <w:divsChild>
                    <w:div w:id="370107056">
                      <w:marLeft w:val="0"/>
                      <w:marRight w:val="0"/>
                      <w:marTop w:val="0"/>
                      <w:marBottom w:val="0"/>
                      <w:divBdr>
                        <w:top w:val="none" w:sz="0" w:space="0" w:color="auto"/>
                        <w:left w:val="none" w:sz="0" w:space="0" w:color="auto"/>
                        <w:bottom w:val="none" w:sz="0" w:space="0" w:color="auto"/>
                        <w:right w:val="none" w:sz="0" w:space="0" w:color="auto"/>
                      </w:divBdr>
                    </w:div>
                  </w:divsChild>
                </w:div>
                <w:div w:id="229466761">
                  <w:marLeft w:val="0"/>
                  <w:marRight w:val="0"/>
                  <w:marTop w:val="0"/>
                  <w:marBottom w:val="0"/>
                  <w:divBdr>
                    <w:top w:val="none" w:sz="0" w:space="0" w:color="auto"/>
                    <w:left w:val="none" w:sz="0" w:space="0" w:color="auto"/>
                    <w:bottom w:val="none" w:sz="0" w:space="0" w:color="auto"/>
                    <w:right w:val="none" w:sz="0" w:space="0" w:color="auto"/>
                  </w:divBdr>
                  <w:divsChild>
                    <w:div w:id="1545143810">
                      <w:marLeft w:val="0"/>
                      <w:marRight w:val="0"/>
                      <w:marTop w:val="0"/>
                      <w:marBottom w:val="0"/>
                      <w:divBdr>
                        <w:top w:val="none" w:sz="0" w:space="0" w:color="auto"/>
                        <w:left w:val="none" w:sz="0" w:space="0" w:color="auto"/>
                        <w:bottom w:val="none" w:sz="0" w:space="0" w:color="auto"/>
                        <w:right w:val="none" w:sz="0" w:space="0" w:color="auto"/>
                      </w:divBdr>
                    </w:div>
                  </w:divsChild>
                </w:div>
                <w:div w:id="242645586">
                  <w:marLeft w:val="0"/>
                  <w:marRight w:val="0"/>
                  <w:marTop w:val="0"/>
                  <w:marBottom w:val="0"/>
                  <w:divBdr>
                    <w:top w:val="none" w:sz="0" w:space="0" w:color="auto"/>
                    <w:left w:val="none" w:sz="0" w:space="0" w:color="auto"/>
                    <w:bottom w:val="none" w:sz="0" w:space="0" w:color="auto"/>
                    <w:right w:val="none" w:sz="0" w:space="0" w:color="auto"/>
                  </w:divBdr>
                  <w:divsChild>
                    <w:div w:id="74672786">
                      <w:marLeft w:val="0"/>
                      <w:marRight w:val="0"/>
                      <w:marTop w:val="0"/>
                      <w:marBottom w:val="0"/>
                      <w:divBdr>
                        <w:top w:val="none" w:sz="0" w:space="0" w:color="auto"/>
                        <w:left w:val="none" w:sz="0" w:space="0" w:color="auto"/>
                        <w:bottom w:val="none" w:sz="0" w:space="0" w:color="auto"/>
                        <w:right w:val="none" w:sz="0" w:space="0" w:color="auto"/>
                      </w:divBdr>
                    </w:div>
                  </w:divsChild>
                </w:div>
                <w:div w:id="254633027">
                  <w:marLeft w:val="0"/>
                  <w:marRight w:val="0"/>
                  <w:marTop w:val="0"/>
                  <w:marBottom w:val="0"/>
                  <w:divBdr>
                    <w:top w:val="none" w:sz="0" w:space="0" w:color="auto"/>
                    <w:left w:val="none" w:sz="0" w:space="0" w:color="auto"/>
                    <w:bottom w:val="none" w:sz="0" w:space="0" w:color="auto"/>
                    <w:right w:val="none" w:sz="0" w:space="0" w:color="auto"/>
                  </w:divBdr>
                  <w:divsChild>
                    <w:div w:id="836001729">
                      <w:marLeft w:val="0"/>
                      <w:marRight w:val="0"/>
                      <w:marTop w:val="0"/>
                      <w:marBottom w:val="0"/>
                      <w:divBdr>
                        <w:top w:val="none" w:sz="0" w:space="0" w:color="auto"/>
                        <w:left w:val="none" w:sz="0" w:space="0" w:color="auto"/>
                        <w:bottom w:val="none" w:sz="0" w:space="0" w:color="auto"/>
                        <w:right w:val="none" w:sz="0" w:space="0" w:color="auto"/>
                      </w:divBdr>
                    </w:div>
                  </w:divsChild>
                </w:div>
                <w:div w:id="262227417">
                  <w:marLeft w:val="0"/>
                  <w:marRight w:val="0"/>
                  <w:marTop w:val="0"/>
                  <w:marBottom w:val="0"/>
                  <w:divBdr>
                    <w:top w:val="none" w:sz="0" w:space="0" w:color="auto"/>
                    <w:left w:val="none" w:sz="0" w:space="0" w:color="auto"/>
                    <w:bottom w:val="none" w:sz="0" w:space="0" w:color="auto"/>
                    <w:right w:val="none" w:sz="0" w:space="0" w:color="auto"/>
                  </w:divBdr>
                  <w:divsChild>
                    <w:div w:id="1762943327">
                      <w:marLeft w:val="0"/>
                      <w:marRight w:val="0"/>
                      <w:marTop w:val="0"/>
                      <w:marBottom w:val="0"/>
                      <w:divBdr>
                        <w:top w:val="none" w:sz="0" w:space="0" w:color="auto"/>
                        <w:left w:val="none" w:sz="0" w:space="0" w:color="auto"/>
                        <w:bottom w:val="none" w:sz="0" w:space="0" w:color="auto"/>
                        <w:right w:val="none" w:sz="0" w:space="0" w:color="auto"/>
                      </w:divBdr>
                    </w:div>
                  </w:divsChild>
                </w:div>
                <w:div w:id="309478696">
                  <w:marLeft w:val="0"/>
                  <w:marRight w:val="0"/>
                  <w:marTop w:val="0"/>
                  <w:marBottom w:val="0"/>
                  <w:divBdr>
                    <w:top w:val="none" w:sz="0" w:space="0" w:color="auto"/>
                    <w:left w:val="none" w:sz="0" w:space="0" w:color="auto"/>
                    <w:bottom w:val="none" w:sz="0" w:space="0" w:color="auto"/>
                    <w:right w:val="none" w:sz="0" w:space="0" w:color="auto"/>
                  </w:divBdr>
                  <w:divsChild>
                    <w:div w:id="1332413184">
                      <w:marLeft w:val="0"/>
                      <w:marRight w:val="0"/>
                      <w:marTop w:val="0"/>
                      <w:marBottom w:val="0"/>
                      <w:divBdr>
                        <w:top w:val="none" w:sz="0" w:space="0" w:color="auto"/>
                        <w:left w:val="none" w:sz="0" w:space="0" w:color="auto"/>
                        <w:bottom w:val="none" w:sz="0" w:space="0" w:color="auto"/>
                        <w:right w:val="none" w:sz="0" w:space="0" w:color="auto"/>
                      </w:divBdr>
                    </w:div>
                  </w:divsChild>
                </w:div>
                <w:div w:id="335427728">
                  <w:marLeft w:val="0"/>
                  <w:marRight w:val="0"/>
                  <w:marTop w:val="0"/>
                  <w:marBottom w:val="0"/>
                  <w:divBdr>
                    <w:top w:val="none" w:sz="0" w:space="0" w:color="auto"/>
                    <w:left w:val="none" w:sz="0" w:space="0" w:color="auto"/>
                    <w:bottom w:val="none" w:sz="0" w:space="0" w:color="auto"/>
                    <w:right w:val="none" w:sz="0" w:space="0" w:color="auto"/>
                  </w:divBdr>
                  <w:divsChild>
                    <w:div w:id="1519000698">
                      <w:marLeft w:val="0"/>
                      <w:marRight w:val="0"/>
                      <w:marTop w:val="0"/>
                      <w:marBottom w:val="0"/>
                      <w:divBdr>
                        <w:top w:val="none" w:sz="0" w:space="0" w:color="auto"/>
                        <w:left w:val="none" w:sz="0" w:space="0" w:color="auto"/>
                        <w:bottom w:val="none" w:sz="0" w:space="0" w:color="auto"/>
                        <w:right w:val="none" w:sz="0" w:space="0" w:color="auto"/>
                      </w:divBdr>
                    </w:div>
                  </w:divsChild>
                </w:div>
                <w:div w:id="341396257">
                  <w:marLeft w:val="0"/>
                  <w:marRight w:val="0"/>
                  <w:marTop w:val="0"/>
                  <w:marBottom w:val="0"/>
                  <w:divBdr>
                    <w:top w:val="none" w:sz="0" w:space="0" w:color="auto"/>
                    <w:left w:val="none" w:sz="0" w:space="0" w:color="auto"/>
                    <w:bottom w:val="none" w:sz="0" w:space="0" w:color="auto"/>
                    <w:right w:val="none" w:sz="0" w:space="0" w:color="auto"/>
                  </w:divBdr>
                  <w:divsChild>
                    <w:div w:id="1729569608">
                      <w:marLeft w:val="0"/>
                      <w:marRight w:val="0"/>
                      <w:marTop w:val="0"/>
                      <w:marBottom w:val="0"/>
                      <w:divBdr>
                        <w:top w:val="none" w:sz="0" w:space="0" w:color="auto"/>
                        <w:left w:val="none" w:sz="0" w:space="0" w:color="auto"/>
                        <w:bottom w:val="none" w:sz="0" w:space="0" w:color="auto"/>
                        <w:right w:val="none" w:sz="0" w:space="0" w:color="auto"/>
                      </w:divBdr>
                    </w:div>
                  </w:divsChild>
                </w:div>
                <w:div w:id="342558331">
                  <w:marLeft w:val="0"/>
                  <w:marRight w:val="0"/>
                  <w:marTop w:val="0"/>
                  <w:marBottom w:val="0"/>
                  <w:divBdr>
                    <w:top w:val="none" w:sz="0" w:space="0" w:color="auto"/>
                    <w:left w:val="none" w:sz="0" w:space="0" w:color="auto"/>
                    <w:bottom w:val="none" w:sz="0" w:space="0" w:color="auto"/>
                    <w:right w:val="none" w:sz="0" w:space="0" w:color="auto"/>
                  </w:divBdr>
                  <w:divsChild>
                    <w:div w:id="1205869794">
                      <w:marLeft w:val="0"/>
                      <w:marRight w:val="0"/>
                      <w:marTop w:val="0"/>
                      <w:marBottom w:val="0"/>
                      <w:divBdr>
                        <w:top w:val="none" w:sz="0" w:space="0" w:color="auto"/>
                        <w:left w:val="none" w:sz="0" w:space="0" w:color="auto"/>
                        <w:bottom w:val="none" w:sz="0" w:space="0" w:color="auto"/>
                        <w:right w:val="none" w:sz="0" w:space="0" w:color="auto"/>
                      </w:divBdr>
                    </w:div>
                  </w:divsChild>
                </w:div>
                <w:div w:id="360010083">
                  <w:marLeft w:val="0"/>
                  <w:marRight w:val="0"/>
                  <w:marTop w:val="0"/>
                  <w:marBottom w:val="0"/>
                  <w:divBdr>
                    <w:top w:val="none" w:sz="0" w:space="0" w:color="auto"/>
                    <w:left w:val="none" w:sz="0" w:space="0" w:color="auto"/>
                    <w:bottom w:val="none" w:sz="0" w:space="0" w:color="auto"/>
                    <w:right w:val="none" w:sz="0" w:space="0" w:color="auto"/>
                  </w:divBdr>
                  <w:divsChild>
                    <w:div w:id="1511673452">
                      <w:marLeft w:val="0"/>
                      <w:marRight w:val="0"/>
                      <w:marTop w:val="0"/>
                      <w:marBottom w:val="0"/>
                      <w:divBdr>
                        <w:top w:val="none" w:sz="0" w:space="0" w:color="auto"/>
                        <w:left w:val="none" w:sz="0" w:space="0" w:color="auto"/>
                        <w:bottom w:val="none" w:sz="0" w:space="0" w:color="auto"/>
                        <w:right w:val="none" w:sz="0" w:space="0" w:color="auto"/>
                      </w:divBdr>
                    </w:div>
                  </w:divsChild>
                </w:div>
                <w:div w:id="360592886">
                  <w:marLeft w:val="0"/>
                  <w:marRight w:val="0"/>
                  <w:marTop w:val="0"/>
                  <w:marBottom w:val="0"/>
                  <w:divBdr>
                    <w:top w:val="none" w:sz="0" w:space="0" w:color="auto"/>
                    <w:left w:val="none" w:sz="0" w:space="0" w:color="auto"/>
                    <w:bottom w:val="none" w:sz="0" w:space="0" w:color="auto"/>
                    <w:right w:val="none" w:sz="0" w:space="0" w:color="auto"/>
                  </w:divBdr>
                  <w:divsChild>
                    <w:div w:id="409549675">
                      <w:marLeft w:val="0"/>
                      <w:marRight w:val="0"/>
                      <w:marTop w:val="0"/>
                      <w:marBottom w:val="0"/>
                      <w:divBdr>
                        <w:top w:val="none" w:sz="0" w:space="0" w:color="auto"/>
                        <w:left w:val="none" w:sz="0" w:space="0" w:color="auto"/>
                        <w:bottom w:val="none" w:sz="0" w:space="0" w:color="auto"/>
                        <w:right w:val="none" w:sz="0" w:space="0" w:color="auto"/>
                      </w:divBdr>
                    </w:div>
                  </w:divsChild>
                </w:div>
                <w:div w:id="457065587">
                  <w:marLeft w:val="0"/>
                  <w:marRight w:val="0"/>
                  <w:marTop w:val="0"/>
                  <w:marBottom w:val="0"/>
                  <w:divBdr>
                    <w:top w:val="none" w:sz="0" w:space="0" w:color="auto"/>
                    <w:left w:val="none" w:sz="0" w:space="0" w:color="auto"/>
                    <w:bottom w:val="none" w:sz="0" w:space="0" w:color="auto"/>
                    <w:right w:val="none" w:sz="0" w:space="0" w:color="auto"/>
                  </w:divBdr>
                  <w:divsChild>
                    <w:div w:id="125972838">
                      <w:marLeft w:val="0"/>
                      <w:marRight w:val="0"/>
                      <w:marTop w:val="0"/>
                      <w:marBottom w:val="0"/>
                      <w:divBdr>
                        <w:top w:val="none" w:sz="0" w:space="0" w:color="auto"/>
                        <w:left w:val="none" w:sz="0" w:space="0" w:color="auto"/>
                        <w:bottom w:val="none" w:sz="0" w:space="0" w:color="auto"/>
                        <w:right w:val="none" w:sz="0" w:space="0" w:color="auto"/>
                      </w:divBdr>
                    </w:div>
                  </w:divsChild>
                </w:div>
                <w:div w:id="481309496">
                  <w:marLeft w:val="0"/>
                  <w:marRight w:val="0"/>
                  <w:marTop w:val="0"/>
                  <w:marBottom w:val="0"/>
                  <w:divBdr>
                    <w:top w:val="none" w:sz="0" w:space="0" w:color="auto"/>
                    <w:left w:val="none" w:sz="0" w:space="0" w:color="auto"/>
                    <w:bottom w:val="none" w:sz="0" w:space="0" w:color="auto"/>
                    <w:right w:val="none" w:sz="0" w:space="0" w:color="auto"/>
                  </w:divBdr>
                  <w:divsChild>
                    <w:div w:id="644774591">
                      <w:marLeft w:val="0"/>
                      <w:marRight w:val="0"/>
                      <w:marTop w:val="0"/>
                      <w:marBottom w:val="0"/>
                      <w:divBdr>
                        <w:top w:val="none" w:sz="0" w:space="0" w:color="auto"/>
                        <w:left w:val="none" w:sz="0" w:space="0" w:color="auto"/>
                        <w:bottom w:val="none" w:sz="0" w:space="0" w:color="auto"/>
                        <w:right w:val="none" w:sz="0" w:space="0" w:color="auto"/>
                      </w:divBdr>
                    </w:div>
                  </w:divsChild>
                </w:div>
                <w:div w:id="501241040">
                  <w:marLeft w:val="0"/>
                  <w:marRight w:val="0"/>
                  <w:marTop w:val="0"/>
                  <w:marBottom w:val="0"/>
                  <w:divBdr>
                    <w:top w:val="none" w:sz="0" w:space="0" w:color="auto"/>
                    <w:left w:val="none" w:sz="0" w:space="0" w:color="auto"/>
                    <w:bottom w:val="none" w:sz="0" w:space="0" w:color="auto"/>
                    <w:right w:val="none" w:sz="0" w:space="0" w:color="auto"/>
                  </w:divBdr>
                  <w:divsChild>
                    <w:div w:id="495607859">
                      <w:marLeft w:val="0"/>
                      <w:marRight w:val="0"/>
                      <w:marTop w:val="0"/>
                      <w:marBottom w:val="0"/>
                      <w:divBdr>
                        <w:top w:val="none" w:sz="0" w:space="0" w:color="auto"/>
                        <w:left w:val="none" w:sz="0" w:space="0" w:color="auto"/>
                        <w:bottom w:val="none" w:sz="0" w:space="0" w:color="auto"/>
                        <w:right w:val="none" w:sz="0" w:space="0" w:color="auto"/>
                      </w:divBdr>
                    </w:div>
                  </w:divsChild>
                </w:div>
                <w:div w:id="501698167">
                  <w:marLeft w:val="0"/>
                  <w:marRight w:val="0"/>
                  <w:marTop w:val="0"/>
                  <w:marBottom w:val="0"/>
                  <w:divBdr>
                    <w:top w:val="none" w:sz="0" w:space="0" w:color="auto"/>
                    <w:left w:val="none" w:sz="0" w:space="0" w:color="auto"/>
                    <w:bottom w:val="none" w:sz="0" w:space="0" w:color="auto"/>
                    <w:right w:val="none" w:sz="0" w:space="0" w:color="auto"/>
                  </w:divBdr>
                  <w:divsChild>
                    <w:div w:id="563028581">
                      <w:marLeft w:val="0"/>
                      <w:marRight w:val="0"/>
                      <w:marTop w:val="0"/>
                      <w:marBottom w:val="0"/>
                      <w:divBdr>
                        <w:top w:val="none" w:sz="0" w:space="0" w:color="auto"/>
                        <w:left w:val="none" w:sz="0" w:space="0" w:color="auto"/>
                        <w:bottom w:val="none" w:sz="0" w:space="0" w:color="auto"/>
                        <w:right w:val="none" w:sz="0" w:space="0" w:color="auto"/>
                      </w:divBdr>
                    </w:div>
                  </w:divsChild>
                </w:div>
                <w:div w:id="501746833">
                  <w:marLeft w:val="0"/>
                  <w:marRight w:val="0"/>
                  <w:marTop w:val="0"/>
                  <w:marBottom w:val="0"/>
                  <w:divBdr>
                    <w:top w:val="none" w:sz="0" w:space="0" w:color="auto"/>
                    <w:left w:val="none" w:sz="0" w:space="0" w:color="auto"/>
                    <w:bottom w:val="none" w:sz="0" w:space="0" w:color="auto"/>
                    <w:right w:val="none" w:sz="0" w:space="0" w:color="auto"/>
                  </w:divBdr>
                  <w:divsChild>
                    <w:div w:id="31392876">
                      <w:marLeft w:val="0"/>
                      <w:marRight w:val="0"/>
                      <w:marTop w:val="0"/>
                      <w:marBottom w:val="0"/>
                      <w:divBdr>
                        <w:top w:val="none" w:sz="0" w:space="0" w:color="auto"/>
                        <w:left w:val="none" w:sz="0" w:space="0" w:color="auto"/>
                        <w:bottom w:val="none" w:sz="0" w:space="0" w:color="auto"/>
                        <w:right w:val="none" w:sz="0" w:space="0" w:color="auto"/>
                      </w:divBdr>
                    </w:div>
                  </w:divsChild>
                </w:div>
                <w:div w:id="516819922">
                  <w:marLeft w:val="0"/>
                  <w:marRight w:val="0"/>
                  <w:marTop w:val="0"/>
                  <w:marBottom w:val="0"/>
                  <w:divBdr>
                    <w:top w:val="none" w:sz="0" w:space="0" w:color="auto"/>
                    <w:left w:val="none" w:sz="0" w:space="0" w:color="auto"/>
                    <w:bottom w:val="none" w:sz="0" w:space="0" w:color="auto"/>
                    <w:right w:val="none" w:sz="0" w:space="0" w:color="auto"/>
                  </w:divBdr>
                  <w:divsChild>
                    <w:div w:id="661200855">
                      <w:marLeft w:val="0"/>
                      <w:marRight w:val="0"/>
                      <w:marTop w:val="0"/>
                      <w:marBottom w:val="0"/>
                      <w:divBdr>
                        <w:top w:val="none" w:sz="0" w:space="0" w:color="auto"/>
                        <w:left w:val="none" w:sz="0" w:space="0" w:color="auto"/>
                        <w:bottom w:val="none" w:sz="0" w:space="0" w:color="auto"/>
                        <w:right w:val="none" w:sz="0" w:space="0" w:color="auto"/>
                      </w:divBdr>
                    </w:div>
                  </w:divsChild>
                </w:div>
                <w:div w:id="523447040">
                  <w:marLeft w:val="0"/>
                  <w:marRight w:val="0"/>
                  <w:marTop w:val="0"/>
                  <w:marBottom w:val="0"/>
                  <w:divBdr>
                    <w:top w:val="none" w:sz="0" w:space="0" w:color="auto"/>
                    <w:left w:val="none" w:sz="0" w:space="0" w:color="auto"/>
                    <w:bottom w:val="none" w:sz="0" w:space="0" w:color="auto"/>
                    <w:right w:val="none" w:sz="0" w:space="0" w:color="auto"/>
                  </w:divBdr>
                  <w:divsChild>
                    <w:div w:id="158619080">
                      <w:marLeft w:val="0"/>
                      <w:marRight w:val="0"/>
                      <w:marTop w:val="0"/>
                      <w:marBottom w:val="0"/>
                      <w:divBdr>
                        <w:top w:val="none" w:sz="0" w:space="0" w:color="auto"/>
                        <w:left w:val="none" w:sz="0" w:space="0" w:color="auto"/>
                        <w:bottom w:val="none" w:sz="0" w:space="0" w:color="auto"/>
                        <w:right w:val="none" w:sz="0" w:space="0" w:color="auto"/>
                      </w:divBdr>
                    </w:div>
                    <w:div w:id="903102728">
                      <w:marLeft w:val="0"/>
                      <w:marRight w:val="0"/>
                      <w:marTop w:val="0"/>
                      <w:marBottom w:val="0"/>
                      <w:divBdr>
                        <w:top w:val="none" w:sz="0" w:space="0" w:color="auto"/>
                        <w:left w:val="none" w:sz="0" w:space="0" w:color="auto"/>
                        <w:bottom w:val="none" w:sz="0" w:space="0" w:color="auto"/>
                        <w:right w:val="none" w:sz="0" w:space="0" w:color="auto"/>
                      </w:divBdr>
                    </w:div>
                    <w:div w:id="975648205">
                      <w:marLeft w:val="0"/>
                      <w:marRight w:val="0"/>
                      <w:marTop w:val="0"/>
                      <w:marBottom w:val="0"/>
                      <w:divBdr>
                        <w:top w:val="none" w:sz="0" w:space="0" w:color="auto"/>
                        <w:left w:val="none" w:sz="0" w:space="0" w:color="auto"/>
                        <w:bottom w:val="none" w:sz="0" w:space="0" w:color="auto"/>
                        <w:right w:val="none" w:sz="0" w:space="0" w:color="auto"/>
                      </w:divBdr>
                    </w:div>
                    <w:div w:id="1963342447">
                      <w:marLeft w:val="0"/>
                      <w:marRight w:val="0"/>
                      <w:marTop w:val="0"/>
                      <w:marBottom w:val="0"/>
                      <w:divBdr>
                        <w:top w:val="none" w:sz="0" w:space="0" w:color="auto"/>
                        <w:left w:val="none" w:sz="0" w:space="0" w:color="auto"/>
                        <w:bottom w:val="none" w:sz="0" w:space="0" w:color="auto"/>
                        <w:right w:val="none" w:sz="0" w:space="0" w:color="auto"/>
                      </w:divBdr>
                    </w:div>
                    <w:div w:id="2141413383">
                      <w:marLeft w:val="0"/>
                      <w:marRight w:val="0"/>
                      <w:marTop w:val="0"/>
                      <w:marBottom w:val="0"/>
                      <w:divBdr>
                        <w:top w:val="none" w:sz="0" w:space="0" w:color="auto"/>
                        <w:left w:val="none" w:sz="0" w:space="0" w:color="auto"/>
                        <w:bottom w:val="none" w:sz="0" w:space="0" w:color="auto"/>
                        <w:right w:val="none" w:sz="0" w:space="0" w:color="auto"/>
                      </w:divBdr>
                    </w:div>
                  </w:divsChild>
                </w:div>
                <w:div w:id="538443790">
                  <w:marLeft w:val="0"/>
                  <w:marRight w:val="0"/>
                  <w:marTop w:val="0"/>
                  <w:marBottom w:val="0"/>
                  <w:divBdr>
                    <w:top w:val="none" w:sz="0" w:space="0" w:color="auto"/>
                    <w:left w:val="none" w:sz="0" w:space="0" w:color="auto"/>
                    <w:bottom w:val="none" w:sz="0" w:space="0" w:color="auto"/>
                    <w:right w:val="none" w:sz="0" w:space="0" w:color="auto"/>
                  </w:divBdr>
                  <w:divsChild>
                    <w:div w:id="38867703">
                      <w:marLeft w:val="0"/>
                      <w:marRight w:val="0"/>
                      <w:marTop w:val="0"/>
                      <w:marBottom w:val="0"/>
                      <w:divBdr>
                        <w:top w:val="none" w:sz="0" w:space="0" w:color="auto"/>
                        <w:left w:val="none" w:sz="0" w:space="0" w:color="auto"/>
                        <w:bottom w:val="none" w:sz="0" w:space="0" w:color="auto"/>
                        <w:right w:val="none" w:sz="0" w:space="0" w:color="auto"/>
                      </w:divBdr>
                    </w:div>
                  </w:divsChild>
                </w:div>
                <w:div w:id="539435777">
                  <w:marLeft w:val="0"/>
                  <w:marRight w:val="0"/>
                  <w:marTop w:val="0"/>
                  <w:marBottom w:val="0"/>
                  <w:divBdr>
                    <w:top w:val="none" w:sz="0" w:space="0" w:color="auto"/>
                    <w:left w:val="none" w:sz="0" w:space="0" w:color="auto"/>
                    <w:bottom w:val="none" w:sz="0" w:space="0" w:color="auto"/>
                    <w:right w:val="none" w:sz="0" w:space="0" w:color="auto"/>
                  </w:divBdr>
                  <w:divsChild>
                    <w:div w:id="991638125">
                      <w:marLeft w:val="0"/>
                      <w:marRight w:val="0"/>
                      <w:marTop w:val="0"/>
                      <w:marBottom w:val="0"/>
                      <w:divBdr>
                        <w:top w:val="none" w:sz="0" w:space="0" w:color="auto"/>
                        <w:left w:val="none" w:sz="0" w:space="0" w:color="auto"/>
                        <w:bottom w:val="none" w:sz="0" w:space="0" w:color="auto"/>
                        <w:right w:val="none" w:sz="0" w:space="0" w:color="auto"/>
                      </w:divBdr>
                    </w:div>
                  </w:divsChild>
                </w:div>
                <w:div w:id="548808299">
                  <w:marLeft w:val="0"/>
                  <w:marRight w:val="0"/>
                  <w:marTop w:val="0"/>
                  <w:marBottom w:val="0"/>
                  <w:divBdr>
                    <w:top w:val="none" w:sz="0" w:space="0" w:color="auto"/>
                    <w:left w:val="none" w:sz="0" w:space="0" w:color="auto"/>
                    <w:bottom w:val="none" w:sz="0" w:space="0" w:color="auto"/>
                    <w:right w:val="none" w:sz="0" w:space="0" w:color="auto"/>
                  </w:divBdr>
                  <w:divsChild>
                    <w:div w:id="2078044118">
                      <w:marLeft w:val="0"/>
                      <w:marRight w:val="0"/>
                      <w:marTop w:val="0"/>
                      <w:marBottom w:val="0"/>
                      <w:divBdr>
                        <w:top w:val="none" w:sz="0" w:space="0" w:color="auto"/>
                        <w:left w:val="none" w:sz="0" w:space="0" w:color="auto"/>
                        <w:bottom w:val="none" w:sz="0" w:space="0" w:color="auto"/>
                        <w:right w:val="none" w:sz="0" w:space="0" w:color="auto"/>
                      </w:divBdr>
                    </w:div>
                  </w:divsChild>
                </w:div>
                <w:div w:id="556092340">
                  <w:marLeft w:val="0"/>
                  <w:marRight w:val="0"/>
                  <w:marTop w:val="0"/>
                  <w:marBottom w:val="0"/>
                  <w:divBdr>
                    <w:top w:val="none" w:sz="0" w:space="0" w:color="auto"/>
                    <w:left w:val="none" w:sz="0" w:space="0" w:color="auto"/>
                    <w:bottom w:val="none" w:sz="0" w:space="0" w:color="auto"/>
                    <w:right w:val="none" w:sz="0" w:space="0" w:color="auto"/>
                  </w:divBdr>
                  <w:divsChild>
                    <w:div w:id="1608075994">
                      <w:marLeft w:val="0"/>
                      <w:marRight w:val="0"/>
                      <w:marTop w:val="0"/>
                      <w:marBottom w:val="0"/>
                      <w:divBdr>
                        <w:top w:val="none" w:sz="0" w:space="0" w:color="auto"/>
                        <w:left w:val="none" w:sz="0" w:space="0" w:color="auto"/>
                        <w:bottom w:val="none" w:sz="0" w:space="0" w:color="auto"/>
                        <w:right w:val="none" w:sz="0" w:space="0" w:color="auto"/>
                      </w:divBdr>
                    </w:div>
                  </w:divsChild>
                </w:div>
                <w:div w:id="571936909">
                  <w:marLeft w:val="0"/>
                  <w:marRight w:val="0"/>
                  <w:marTop w:val="0"/>
                  <w:marBottom w:val="0"/>
                  <w:divBdr>
                    <w:top w:val="none" w:sz="0" w:space="0" w:color="auto"/>
                    <w:left w:val="none" w:sz="0" w:space="0" w:color="auto"/>
                    <w:bottom w:val="none" w:sz="0" w:space="0" w:color="auto"/>
                    <w:right w:val="none" w:sz="0" w:space="0" w:color="auto"/>
                  </w:divBdr>
                  <w:divsChild>
                    <w:div w:id="136993352">
                      <w:marLeft w:val="0"/>
                      <w:marRight w:val="0"/>
                      <w:marTop w:val="0"/>
                      <w:marBottom w:val="0"/>
                      <w:divBdr>
                        <w:top w:val="none" w:sz="0" w:space="0" w:color="auto"/>
                        <w:left w:val="none" w:sz="0" w:space="0" w:color="auto"/>
                        <w:bottom w:val="none" w:sz="0" w:space="0" w:color="auto"/>
                        <w:right w:val="none" w:sz="0" w:space="0" w:color="auto"/>
                      </w:divBdr>
                    </w:div>
                  </w:divsChild>
                </w:div>
                <w:div w:id="587733710">
                  <w:marLeft w:val="0"/>
                  <w:marRight w:val="0"/>
                  <w:marTop w:val="0"/>
                  <w:marBottom w:val="0"/>
                  <w:divBdr>
                    <w:top w:val="none" w:sz="0" w:space="0" w:color="auto"/>
                    <w:left w:val="none" w:sz="0" w:space="0" w:color="auto"/>
                    <w:bottom w:val="none" w:sz="0" w:space="0" w:color="auto"/>
                    <w:right w:val="none" w:sz="0" w:space="0" w:color="auto"/>
                  </w:divBdr>
                  <w:divsChild>
                    <w:div w:id="168716266">
                      <w:marLeft w:val="0"/>
                      <w:marRight w:val="0"/>
                      <w:marTop w:val="0"/>
                      <w:marBottom w:val="0"/>
                      <w:divBdr>
                        <w:top w:val="none" w:sz="0" w:space="0" w:color="auto"/>
                        <w:left w:val="none" w:sz="0" w:space="0" w:color="auto"/>
                        <w:bottom w:val="none" w:sz="0" w:space="0" w:color="auto"/>
                        <w:right w:val="none" w:sz="0" w:space="0" w:color="auto"/>
                      </w:divBdr>
                    </w:div>
                  </w:divsChild>
                </w:div>
                <w:div w:id="603225584">
                  <w:marLeft w:val="0"/>
                  <w:marRight w:val="0"/>
                  <w:marTop w:val="0"/>
                  <w:marBottom w:val="0"/>
                  <w:divBdr>
                    <w:top w:val="none" w:sz="0" w:space="0" w:color="auto"/>
                    <w:left w:val="none" w:sz="0" w:space="0" w:color="auto"/>
                    <w:bottom w:val="none" w:sz="0" w:space="0" w:color="auto"/>
                    <w:right w:val="none" w:sz="0" w:space="0" w:color="auto"/>
                  </w:divBdr>
                  <w:divsChild>
                    <w:div w:id="84767152">
                      <w:marLeft w:val="0"/>
                      <w:marRight w:val="0"/>
                      <w:marTop w:val="0"/>
                      <w:marBottom w:val="0"/>
                      <w:divBdr>
                        <w:top w:val="none" w:sz="0" w:space="0" w:color="auto"/>
                        <w:left w:val="none" w:sz="0" w:space="0" w:color="auto"/>
                        <w:bottom w:val="none" w:sz="0" w:space="0" w:color="auto"/>
                        <w:right w:val="none" w:sz="0" w:space="0" w:color="auto"/>
                      </w:divBdr>
                    </w:div>
                  </w:divsChild>
                </w:div>
                <w:div w:id="608508203">
                  <w:marLeft w:val="0"/>
                  <w:marRight w:val="0"/>
                  <w:marTop w:val="0"/>
                  <w:marBottom w:val="0"/>
                  <w:divBdr>
                    <w:top w:val="none" w:sz="0" w:space="0" w:color="auto"/>
                    <w:left w:val="none" w:sz="0" w:space="0" w:color="auto"/>
                    <w:bottom w:val="none" w:sz="0" w:space="0" w:color="auto"/>
                    <w:right w:val="none" w:sz="0" w:space="0" w:color="auto"/>
                  </w:divBdr>
                  <w:divsChild>
                    <w:div w:id="858003889">
                      <w:marLeft w:val="0"/>
                      <w:marRight w:val="0"/>
                      <w:marTop w:val="0"/>
                      <w:marBottom w:val="0"/>
                      <w:divBdr>
                        <w:top w:val="none" w:sz="0" w:space="0" w:color="auto"/>
                        <w:left w:val="none" w:sz="0" w:space="0" w:color="auto"/>
                        <w:bottom w:val="none" w:sz="0" w:space="0" w:color="auto"/>
                        <w:right w:val="none" w:sz="0" w:space="0" w:color="auto"/>
                      </w:divBdr>
                    </w:div>
                  </w:divsChild>
                </w:div>
                <w:div w:id="610626380">
                  <w:marLeft w:val="0"/>
                  <w:marRight w:val="0"/>
                  <w:marTop w:val="0"/>
                  <w:marBottom w:val="0"/>
                  <w:divBdr>
                    <w:top w:val="none" w:sz="0" w:space="0" w:color="auto"/>
                    <w:left w:val="none" w:sz="0" w:space="0" w:color="auto"/>
                    <w:bottom w:val="none" w:sz="0" w:space="0" w:color="auto"/>
                    <w:right w:val="none" w:sz="0" w:space="0" w:color="auto"/>
                  </w:divBdr>
                  <w:divsChild>
                    <w:div w:id="858008643">
                      <w:marLeft w:val="0"/>
                      <w:marRight w:val="0"/>
                      <w:marTop w:val="0"/>
                      <w:marBottom w:val="0"/>
                      <w:divBdr>
                        <w:top w:val="none" w:sz="0" w:space="0" w:color="auto"/>
                        <w:left w:val="none" w:sz="0" w:space="0" w:color="auto"/>
                        <w:bottom w:val="none" w:sz="0" w:space="0" w:color="auto"/>
                        <w:right w:val="none" w:sz="0" w:space="0" w:color="auto"/>
                      </w:divBdr>
                    </w:div>
                  </w:divsChild>
                </w:div>
                <w:div w:id="624968115">
                  <w:marLeft w:val="0"/>
                  <w:marRight w:val="0"/>
                  <w:marTop w:val="0"/>
                  <w:marBottom w:val="0"/>
                  <w:divBdr>
                    <w:top w:val="none" w:sz="0" w:space="0" w:color="auto"/>
                    <w:left w:val="none" w:sz="0" w:space="0" w:color="auto"/>
                    <w:bottom w:val="none" w:sz="0" w:space="0" w:color="auto"/>
                    <w:right w:val="none" w:sz="0" w:space="0" w:color="auto"/>
                  </w:divBdr>
                  <w:divsChild>
                    <w:div w:id="1170635822">
                      <w:marLeft w:val="0"/>
                      <w:marRight w:val="0"/>
                      <w:marTop w:val="0"/>
                      <w:marBottom w:val="0"/>
                      <w:divBdr>
                        <w:top w:val="none" w:sz="0" w:space="0" w:color="auto"/>
                        <w:left w:val="none" w:sz="0" w:space="0" w:color="auto"/>
                        <w:bottom w:val="none" w:sz="0" w:space="0" w:color="auto"/>
                        <w:right w:val="none" w:sz="0" w:space="0" w:color="auto"/>
                      </w:divBdr>
                    </w:div>
                  </w:divsChild>
                </w:div>
                <w:div w:id="640424839">
                  <w:marLeft w:val="0"/>
                  <w:marRight w:val="0"/>
                  <w:marTop w:val="0"/>
                  <w:marBottom w:val="0"/>
                  <w:divBdr>
                    <w:top w:val="none" w:sz="0" w:space="0" w:color="auto"/>
                    <w:left w:val="none" w:sz="0" w:space="0" w:color="auto"/>
                    <w:bottom w:val="none" w:sz="0" w:space="0" w:color="auto"/>
                    <w:right w:val="none" w:sz="0" w:space="0" w:color="auto"/>
                  </w:divBdr>
                  <w:divsChild>
                    <w:div w:id="2147307733">
                      <w:marLeft w:val="0"/>
                      <w:marRight w:val="0"/>
                      <w:marTop w:val="0"/>
                      <w:marBottom w:val="0"/>
                      <w:divBdr>
                        <w:top w:val="none" w:sz="0" w:space="0" w:color="auto"/>
                        <w:left w:val="none" w:sz="0" w:space="0" w:color="auto"/>
                        <w:bottom w:val="none" w:sz="0" w:space="0" w:color="auto"/>
                        <w:right w:val="none" w:sz="0" w:space="0" w:color="auto"/>
                      </w:divBdr>
                    </w:div>
                  </w:divsChild>
                </w:div>
                <w:div w:id="649987437">
                  <w:marLeft w:val="0"/>
                  <w:marRight w:val="0"/>
                  <w:marTop w:val="0"/>
                  <w:marBottom w:val="0"/>
                  <w:divBdr>
                    <w:top w:val="none" w:sz="0" w:space="0" w:color="auto"/>
                    <w:left w:val="none" w:sz="0" w:space="0" w:color="auto"/>
                    <w:bottom w:val="none" w:sz="0" w:space="0" w:color="auto"/>
                    <w:right w:val="none" w:sz="0" w:space="0" w:color="auto"/>
                  </w:divBdr>
                  <w:divsChild>
                    <w:div w:id="391390565">
                      <w:marLeft w:val="0"/>
                      <w:marRight w:val="0"/>
                      <w:marTop w:val="0"/>
                      <w:marBottom w:val="0"/>
                      <w:divBdr>
                        <w:top w:val="none" w:sz="0" w:space="0" w:color="auto"/>
                        <w:left w:val="none" w:sz="0" w:space="0" w:color="auto"/>
                        <w:bottom w:val="none" w:sz="0" w:space="0" w:color="auto"/>
                        <w:right w:val="none" w:sz="0" w:space="0" w:color="auto"/>
                      </w:divBdr>
                    </w:div>
                  </w:divsChild>
                </w:div>
                <w:div w:id="677584581">
                  <w:marLeft w:val="0"/>
                  <w:marRight w:val="0"/>
                  <w:marTop w:val="0"/>
                  <w:marBottom w:val="0"/>
                  <w:divBdr>
                    <w:top w:val="none" w:sz="0" w:space="0" w:color="auto"/>
                    <w:left w:val="none" w:sz="0" w:space="0" w:color="auto"/>
                    <w:bottom w:val="none" w:sz="0" w:space="0" w:color="auto"/>
                    <w:right w:val="none" w:sz="0" w:space="0" w:color="auto"/>
                  </w:divBdr>
                  <w:divsChild>
                    <w:div w:id="1367216330">
                      <w:marLeft w:val="0"/>
                      <w:marRight w:val="0"/>
                      <w:marTop w:val="0"/>
                      <w:marBottom w:val="0"/>
                      <w:divBdr>
                        <w:top w:val="none" w:sz="0" w:space="0" w:color="auto"/>
                        <w:left w:val="none" w:sz="0" w:space="0" w:color="auto"/>
                        <w:bottom w:val="none" w:sz="0" w:space="0" w:color="auto"/>
                        <w:right w:val="none" w:sz="0" w:space="0" w:color="auto"/>
                      </w:divBdr>
                    </w:div>
                  </w:divsChild>
                </w:div>
                <w:div w:id="701133292">
                  <w:marLeft w:val="0"/>
                  <w:marRight w:val="0"/>
                  <w:marTop w:val="0"/>
                  <w:marBottom w:val="0"/>
                  <w:divBdr>
                    <w:top w:val="none" w:sz="0" w:space="0" w:color="auto"/>
                    <w:left w:val="none" w:sz="0" w:space="0" w:color="auto"/>
                    <w:bottom w:val="none" w:sz="0" w:space="0" w:color="auto"/>
                    <w:right w:val="none" w:sz="0" w:space="0" w:color="auto"/>
                  </w:divBdr>
                  <w:divsChild>
                    <w:div w:id="949240534">
                      <w:marLeft w:val="0"/>
                      <w:marRight w:val="0"/>
                      <w:marTop w:val="0"/>
                      <w:marBottom w:val="0"/>
                      <w:divBdr>
                        <w:top w:val="none" w:sz="0" w:space="0" w:color="auto"/>
                        <w:left w:val="none" w:sz="0" w:space="0" w:color="auto"/>
                        <w:bottom w:val="none" w:sz="0" w:space="0" w:color="auto"/>
                        <w:right w:val="none" w:sz="0" w:space="0" w:color="auto"/>
                      </w:divBdr>
                    </w:div>
                  </w:divsChild>
                </w:div>
                <w:div w:id="772944748">
                  <w:marLeft w:val="0"/>
                  <w:marRight w:val="0"/>
                  <w:marTop w:val="0"/>
                  <w:marBottom w:val="0"/>
                  <w:divBdr>
                    <w:top w:val="none" w:sz="0" w:space="0" w:color="auto"/>
                    <w:left w:val="none" w:sz="0" w:space="0" w:color="auto"/>
                    <w:bottom w:val="none" w:sz="0" w:space="0" w:color="auto"/>
                    <w:right w:val="none" w:sz="0" w:space="0" w:color="auto"/>
                  </w:divBdr>
                  <w:divsChild>
                    <w:div w:id="2082629103">
                      <w:marLeft w:val="0"/>
                      <w:marRight w:val="0"/>
                      <w:marTop w:val="0"/>
                      <w:marBottom w:val="0"/>
                      <w:divBdr>
                        <w:top w:val="none" w:sz="0" w:space="0" w:color="auto"/>
                        <w:left w:val="none" w:sz="0" w:space="0" w:color="auto"/>
                        <w:bottom w:val="none" w:sz="0" w:space="0" w:color="auto"/>
                        <w:right w:val="none" w:sz="0" w:space="0" w:color="auto"/>
                      </w:divBdr>
                    </w:div>
                  </w:divsChild>
                </w:div>
                <w:div w:id="775099638">
                  <w:marLeft w:val="0"/>
                  <w:marRight w:val="0"/>
                  <w:marTop w:val="0"/>
                  <w:marBottom w:val="0"/>
                  <w:divBdr>
                    <w:top w:val="none" w:sz="0" w:space="0" w:color="auto"/>
                    <w:left w:val="none" w:sz="0" w:space="0" w:color="auto"/>
                    <w:bottom w:val="none" w:sz="0" w:space="0" w:color="auto"/>
                    <w:right w:val="none" w:sz="0" w:space="0" w:color="auto"/>
                  </w:divBdr>
                  <w:divsChild>
                    <w:div w:id="728114356">
                      <w:marLeft w:val="0"/>
                      <w:marRight w:val="0"/>
                      <w:marTop w:val="0"/>
                      <w:marBottom w:val="0"/>
                      <w:divBdr>
                        <w:top w:val="none" w:sz="0" w:space="0" w:color="auto"/>
                        <w:left w:val="none" w:sz="0" w:space="0" w:color="auto"/>
                        <w:bottom w:val="none" w:sz="0" w:space="0" w:color="auto"/>
                        <w:right w:val="none" w:sz="0" w:space="0" w:color="auto"/>
                      </w:divBdr>
                    </w:div>
                  </w:divsChild>
                </w:div>
                <w:div w:id="795946591">
                  <w:marLeft w:val="0"/>
                  <w:marRight w:val="0"/>
                  <w:marTop w:val="0"/>
                  <w:marBottom w:val="0"/>
                  <w:divBdr>
                    <w:top w:val="none" w:sz="0" w:space="0" w:color="auto"/>
                    <w:left w:val="none" w:sz="0" w:space="0" w:color="auto"/>
                    <w:bottom w:val="none" w:sz="0" w:space="0" w:color="auto"/>
                    <w:right w:val="none" w:sz="0" w:space="0" w:color="auto"/>
                  </w:divBdr>
                  <w:divsChild>
                    <w:div w:id="580334657">
                      <w:marLeft w:val="0"/>
                      <w:marRight w:val="0"/>
                      <w:marTop w:val="0"/>
                      <w:marBottom w:val="0"/>
                      <w:divBdr>
                        <w:top w:val="none" w:sz="0" w:space="0" w:color="auto"/>
                        <w:left w:val="none" w:sz="0" w:space="0" w:color="auto"/>
                        <w:bottom w:val="none" w:sz="0" w:space="0" w:color="auto"/>
                        <w:right w:val="none" w:sz="0" w:space="0" w:color="auto"/>
                      </w:divBdr>
                    </w:div>
                    <w:div w:id="1249776759">
                      <w:marLeft w:val="0"/>
                      <w:marRight w:val="0"/>
                      <w:marTop w:val="0"/>
                      <w:marBottom w:val="0"/>
                      <w:divBdr>
                        <w:top w:val="none" w:sz="0" w:space="0" w:color="auto"/>
                        <w:left w:val="none" w:sz="0" w:space="0" w:color="auto"/>
                        <w:bottom w:val="none" w:sz="0" w:space="0" w:color="auto"/>
                        <w:right w:val="none" w:sz="0" w:space="0" w:color="auto"/>
                      </w:divBdr>
                    </w:div>
                  </w:divsChild>
                </w:div>
                <w:div w:id="808010695">
                  <w:marLeft w:val="0"/>
                  <w:marRight w:val="0"/>
                  <w:marTop w:val="0"/>
                  <w:marBottom w:val="0"/>
                  <w:divBdr>
                    <w:top w:val="none" w:sz="0" w:space="0" w:color="auto"/>
                    <w:left w:val="none" w:sz="0" w:space="0" w:color="auto"/>
                    <w:bottom w:val="none" w:sz="0" w:space="0" w:color="auto"/>
                    <w:right w:val="none" w:sz="0" w:space="0" w:color="auto"/>
                  </w:divBdr>
                  <w:divsChild>
                    <w:div w:id="1897206249">
                      <w:marLeft w:val="0"/>
                      <w:marRight w:val="0"/>
                      <w:marTop w:val="0"/>
                      <w:marBottom w:val="0"/>
                      <w:divBdr>
                        <w:top w:val="none" w:sz="0" w:space="0" w:color="auto"/>
                        <w:left w:val="none" w:sz="0" w:space="0" w:color="auto"/>
                        <w:bottom w:val="none" w:sz="0" w:space="0" w:color="auto"/>
                        <w:right w:val="none" w:sz="0" w:space="0" w:color="auto"/>
                      </w:divBdr>
                    </w:div>
                  </w:divsChild>
                </w:div>
                <w:div w:id="818886353">
                  <w:marLeft w:val="0"/>
                  <w:marRight w:val="0"/>
                  <w:marTop w:val="0"/>
                  <w:marBottom w:val="0"/>
                  <w:divBdr>
                    <w:top w:val="none" w:sz="0" w:space="0" w:color="auto"/>
                    <w:left w:val="none" w:sz="0" w:space="0" w:color="auto"/>
                    <w:bottom w:val="none" w:sz="0" w:space="0" w:color="auto"/>
                    <w:right w:val="none" w:sz="0" w:space="0" w:color="auto"/>
                  </w:divBdr>
                  <w:divsChild>
                    <w:div w:id="413170001">
                      <w:marLeft w:val="0"/>
                      <w:marRight w:val="0"/>
                      <w:marTop w:val="0"/>
                      <w:marBottom w:val="0"/>
                      <w:divBdr>
                        <w:top w:val="none" w:sz="0" w:space="0" w:color="auto"/>
                        <w:left w:val="none" w:sz="0" w:space="0" w:color="auto"/>
                        <w:bottom w:val="none" w:sz="0" w:space="0" w:color="auto"/>
                        <w:right w:val="none" w:sz="0" w:space="0" w:color="auto"/>
                      </w:divBdr>
                    </w:div>
                    <w:div w:id="1045715258">
                      <w:marLeft w:val="0"/>
                      <w:marRight w:val="0"/>
                      <w:marTop w:val="0"/>
                      <w:marBottom w:val="0"/>
                      <w:divBdr>
                        <w:top w:val="none" w:sz="0" w:space="0" w:color="auto"/>
                        <w:left w:val="none" w:sz="0" w:space="0" w:color="auto"/>
                        <w:bottom w:val="none" w:sz="0" w:space="0" w:color="auto"/>
                        <w:right w:val="none" w:sz="0" w:space="0" w:color="auto"/>
                      </w:divBdr>
                    </w:div>
                  </w:divsChild>
                </w:div>
                <w:div w:id="826551872">
                  <w:marLeft w:val="0"/>
                  <w:marRight w:val="0"/>
                  <w:marTop w:val="0"/>
                  <w:marBottom w:val="0"/>
                  <w:divBdr>
                    <w:top w:val="none" w:sz="0" w:space="0" w:color="auto"/>
                    <w:left w:val="none" w:sz="0" w:space="0" w:color="auto"/>
                    <w:bottom w:val="none" w:sz="0" w:space="0" w:color="auto"/>
                    <w:right w:val="none" w:sz="0" w:space="0" w:color="auto"/>
                  </w:divBdr>
                  <w:divsChild>
                    <w:div w:id="1574856906">
                      <w:marLeft w:val="0"/>
                      <w:marRight w:val="0"/>
                      <w:marTop w:val="0"/>
                      <w:marBottom w:val="0"/>
                      <w:divBdr>
                        <w:top w:val="none" w:sz="0" w:space="0" w:color="auto"/>
                        <w:left w:val="none" w:sz="0" w:space="0" w:color="auto"/>
                        <w:bottom w:val="none" w:sz="0" w:space="0" w:color="auto"/>
                        <w:right w:val="none" w:sz="0" w:space="0" w:color="auto"/>
                      </w:divBdr>
                    </w:div>
                  </w:divsChild>
                </w:div>
                <w:div w:id="835606551">
                  <w:marLeft w:val="0"/>
                  <w:marRight w:val="0"/>
                  <w:marTop w:val="0"/>
                  <w:marBottom w:val="0"/>
                  <w:divBdr>
                    <w:top w:val="none" w:sz="0" w:space="0" w:color="auto"/>
                    <w:left w:val="none" w:sz="0" w:space="0" w:color="auto"/>
                    <w:bottom w:val="none" w:sz="0" w:space="0" w:color="auto"/>
                    <w:right w:val="none" w:sz="0" w:space="0" w:color="auto"/>
                  </w:divBdr>
                  <w:divsChild>
                    <w:div w:id="1669865115">
                      <w:marLeft w:val="0"/>
                      <w:marRight w:val="0"/>
                      <w:marTop w:val="0"/>
                      <w:marBottom w:val="0"/>
                      <w:divBdr>
                        <w:top w:val="none" w:sz="0" w:space="0" w:color="auto"/>
                        <w:left w:val="none" w:sz="0" w:space="0" w:color="auto"/>
                        <w:bottom w:val="none" w:sz="0" w:space="0" w:color="auto"/>
                        <w:right w:val="none" w:sz="0" w:space="0" w:color="auto"/>
                      </w:divBdr>
                    </w:div>
                  </w:divsChild>
                </w:div>
                <w:div w:id="839930406">
                  <w:marLeft w:val="0"/>
                  <w:marRight w:val="0"/>
                  <w:marTop w:val="0"/>
                  <w:marBottom w:val="0"/>
                  <w:divBdr>
                    <w:top w:val="none" w:sz="0" w:space="0" w:color="auto"/>
                    <w:left w:val="none" w:sz="0" w:space="0" w:color="auto"/>
                    <w:bottom w:val="none" w:sz="0" w:space="0" w:color="auto"/>
                    <w:right w:val="none" w:sz="0" w:space="0" w:color="auto"/>
                  </w:divBdr>
                  <w:divsChild>
                    <w:div w:id="1240217458">
                      <w:marLeft w:val="0"/>
                      <w:marRight w:val="0"/>
                      <w:marTop w:val="0"/>
                      <w:marBottom w:val="0"/>
                      <w:divBdr>
                        <w:top w:val="none" w:sz="0" w:space="0" w:color="auto"/>
                        <w:left w:val="none" w:sz="0" w:space="0" w:color="auto"/>
                        <w:bottom w:val="none" w:sz="0" w:space="0" w:color="auto"/>
                        <w:right w:val="none" w:sz="0" w:space="0" w:color="auto"/>
                      </w:divBdr>
                    </w:div>
                  </w:divsChild>
                </w:div>
                <w:div w:id="849878767">
                  <w:marLeft w:val="0"/>
                  <w:marRight w:val="0"/>
                  <w:marTop w:val="0"/>
                  <w:marBottom w:val="0"/>
                  <w:divBdr>
                    <w:top w:val="none" w:sz="0" w:space="0" w:color="auto"/>
                    <w:left w:val="none" w:sz="0" w:space="0" w:color="auto"/>
                    <w:bottom w:val="none" w:sz="0" w:space="0" w:color="auto"/>
                    <w:right w:val="none" w:sz="0" w:space="0" w:color="auto"/>
                  </w:divBdr>
                  <w:divsChild>
                    <w:div w:id="186599260">
                      <w:marLeft w:val="0"/>
                      <w:marRight w:val="0"/>
                      <w:marTop w:val="0"/>
                      <w:marBottom w:val="0"/>
                      <w:divBdr>
                        <w:top w:val="none" w:sz="0" w:space="0" w:color="auto"/>
                        <w:left w:val="none" w:sz="0" w:space="0" w:color="auto"/>
                        <w:bottom w:val="none" w:sz="0" w:space="0" w:color="auto"/>
                        <w:right w:val="none" w:sz="0" w:space="0" w:color="auto"/>
                      </w:divBdr>
                    </w:div>
                  </w:divsChild>
                </w:div>
                <w:div w:id="897276892">
                  <w:marLeft w:val="0"/>
                  <w:marRight w:val="0"/>
                  <w:marTop w:val="0"/>
                  <w:marBottom w:val="0"/>
                  <w:divBdr>
                    <w:top w:val="none" w:sz="0" w:space="0" w:color="auto"/>
                    <w:left w:val="none" w:sz="0" w:space="0" w:color="auto"/>
                    <w:bottom w:val="none" w:sz="0" w:space="0" w:color="auto"/>
                    <w:right w:val="none" w:sz="0" w:space="0" w:color="auto"/>
                  </w:divBdr>
                  <w:divsChild>
                    <w:div w:id="1871145446">
                      <w:marLeft w:val="0"/>
                      <w:marRight w:val="0"/>
                      <w:marTop w:val="0"/>
                      <w:marBottom w:val="0"/>
                      <w:divBdr>
                        <w:top w:val="none" w:sz="0" w:space="0" w:color="auto"/>
                        <w:left w:val="none" w:sz="0" w:space="0" w:color="auto"/>
                        <w:bottom w:val="none" w:sz="0" w:space="0" w:color="auto"/>
                        <w:right w:val="none" w:sz="0" w:space="0" w:color="auto"/>
                      </w:divBdr>
                    </w:div>
                  </w:divsChild>
                </w:div>
                <w:div w:id="930699367">
                  <w:marLeft w:val="0"/>
                  <w:marRight w:val="0"/>
                  <w:marTop w:val="0"/>
                  <w:marBottom w:val="0"/>
                  <w:divBdr>
                    <w:top w:val="none" w:sz="0" w:space="0" w:color="auto"/>
                    <w:left w:val="none" w:sz="0" w:space="0" w:color="auto"/>
                    <w:bottom w:val="none" w:sz="0" w:space="0" w:color="auto"/>
                    <w:right w:val="none" w:sz="0" w:space="0" w:color="auto"/>
                  </w:divBdr>
                  <w:divsChild>
                    <w:div w:id="1544175885">
                      <w:marLeft w:val="0"/>
                      <w:marRight w:val="0"/>
                      <w:marTop w:val="0"/>
                      <w:marBottom w:val="0"/>
                      <w:divBdr>
                        <w:top w:val="none" w:sz="0" w:space="0" w:color="auto"/>
                        <w:left w:val="none" w:sz="0" w:space="0" w:color="auto"/>
                        <w:bottom w:val="none" w:sz="0" w:space="0" w:color="auto"/>
                        <w:right w:val="none" w:sz="0" w:space="0" w:color="auto"/>
                      </w:divBdr>
                    </w:div>
                  </w:divsChild>
                </w:div>
                <w:div w:id="938029896">
                  <w:marLeft w:val="0"/>
                  <w:marRight w:val="0"/>
                  <w:marTop w:val="0"/>
                  <w:marBottom w:val="0"/>
                  <w:divBdr>
                    <w:top w:val="none" w:sz="0" w:space="0" w:color="auto"/>
                    <w:left w:val="none" w:sz="0" w:space="0" w:color="auto"/>
                    <w:bottom w:val="none" w:sz="0" w:space="0" w:color="auto"/>
                    <w:right w:val="none" w:sz="0" w:space="0" w:color="auto"/>
                  </w:divBdr>
                  <w:divsChild>
                    <w:div w:id="382683129">
                      <w:marLeft w:val="0"/>
                      <w:marRight w:val="0"/>
                      <w:marTop w:val="0"/>
                      <w:marBottom w:val="0"/>
                      <w:divBdr>
                        <w:top w:val="none" w:sz="0" w:space="0" w:color="auto"/>
                        <w:left w:val="none" w:sz="0" w:space="0" w:color="auto"/>
                        <w:bottom w:val="none" w:sz="0" w:space="0" w:color="auto"/>
                        <w:right w:val="none" w:sz="0" w:space="0" w:color="auto"/>
                      </w:divBdr>
                    </w:div>
                  </w:divsChild>
                </w:div>
                <w:div w:id="941763369">
                  <w:marLeft w:val="0"/>
                  <w:marRight w:val="0"/>
                  <w:marTop w:val="0"/>
                  <w:marBottom w:val="0"/>
                  <w:divBdr>
                    <w:top w:val="none" w:sz="0" w:space="0" w:color="auto"/>
                    <w:left w:val="none" w:sz="0" w:space="0" w:color="auto"/>
                    <w:bottom w:val="none" w:sz="0" w:space="0" w:color="auto"/>
                    <w:right w:val="none" w:sz="0" w:space="0" w:color="auto"/>
                  </w:divBdr>
                  <w:divsChild>
                    <w:div w:id="737244059">
                      <w:marLeft w:val="0"/>
                      <w:marRight w:val="0"/>
                      <w:marTop w:val="0"/>
                      <w:marBottom w:val="0"/>
                      <w:divBdr>
                        <w:top w:val="none" w:sz="0" w:space="0" w:color="auto"/>
                        <w:left w:val="none" w:sz="0" w:space="0" w:color="auto"/>
                        <w:bottom w:val="none" w:sz="0" w:space="0" w:color="auto"/>
                        <w:right w:val="none" w:sz="0" w:space="0" w:color="auto"/>
                      </w:divBdr>
                    </w:div>
                  </w:divsChild>
                </w:div>
                <w:div w:id="942152054">
                  <w:marLeft w:val="0"/>
                  <w:marRight w:val="0"/>
                  <w:marTop w:val="0"/>
                  <w:marBottom w:val="0"/>
                  <w:divBdr>
                    <w:top w:val="none" w:sz="0" w:space="0" w:color="auto"/>
                    <w:left w:val="none" w:sz="0" w:space="0" w:color="auto"/>
                    <w:bottom w:val="none" w:sz="0" w:space="0" w:color="auto"/>
                    <w:right w:val="none" w:sz="0" w:space="0" w:color="auto"/>
                  </w:divBdr>
                  <w:divsChild>
                    <w:div w:id="2123112592">
                      <w:marLeft w:val="0"/>
                      <w:marRight w:val="0"/>
                      <w:marTop w:val="0"/>
                      <w:marBottom w:val="0"/>
                      <w:divBdr>
                        <w:top w:val="none" w:sz="0" w:space="0" w:color="auto"/>
                        <w:left w:val="none" w:sz="0" w:space="0" w:color="auto"/>
                        <w:bottom w:val="none" w:sz="0" w:space="0" w:color="auto"/>
                        <w:right w:val="none" w:sz="0" w:space="0" w:color="auto"/>
                      </w:divBdr>
                    </w:div>
                  </w:divsChild>
                </w:div>
                <w:div w:id="944267291">
                  <w:marLeft w:val="0"/>
                  <w:marRight w:val="0"/>
                  <w:marTop w:val="0"/>
                  <w:marBottom w:val="0"/>
                  <w:divBdr>
                    <w:top w:val="none" w:sz="0" w:space="0" w:color="auto"/>
                    <w:left w:val="none" w:sz="0" w:space="0" w:color="auto"/>
                    <w:bottom w:val="none" w:sz="0" w:space="0" w:color="auto"/>
                    <w:right w:val="none" w:sz="0" w:space="0" w:color="auto"/>
                  </w:divBdr>
                  <w:divsChild>
                    <w:div w:id="2016105816">
                      <w:marLeft w:val="0"/>
                      <w:marRight w:val="0"/>
                      <w:marTop w:val="0"/>
                      <w:marBottom w:val="0"/>
                      <w:divBdr>
                        <w:top w:val="none" w:sz="0" w:space="0" w:color="auto"/>
                        <w:left w:val="none" w:sz="0" w:space="0" w:color="auto"/>
                        <w:bottom w:val="none" w:sz="0" w:space="0" w:color="auto"/>
                        <w:right w:val="none" w:sz="0" w:space="0" w:color="auto"/>
                      </w:divBdr>
                    </w:div>
                  </w:divsChild>
                </w:div>
                <w:div w:id="951084986">
                  <w:marLeft w:val="0"/>
                  <w:marRight w:val="0"/>
                  <w:marTop w:val="0"/>
                  <w:marBottom w:val="0"/>
                  <w:divBdr>
                    <w:top w:val="none" w:sz="0" w:space="0" w:color="auto"/>
                    <w:left w:val="none" w:sz="0" w:space="0" w:color="auto"/>
                    <w:bottom w:val="none" w:sz="0" w:space="0" w:color="auto"/>
                    <w:right w:val="none" w:sz="0" w:space="0" w:color="auto"/>
                  </w:divBdr>
                  <w:divsChild>
                    <w:div w:id="98382146">
                      <w:marLeft w:val="0"/>
                      <w:marRight w:val="0"/>
                      <w:marTop w:val="0"/>
                      <w:marBottom w:val="0"/>
                      <w:divBdr>
                        <w:top w:val="none" w:sz="0" w:space="0" w:color="auto"/>
                        <w:left w:val="none" w:sz="0" w:space="0" w:color="auto"/>
                        <w:bottom w:val="none" w:sz="0" w:space="0" w:color="auto"/>
                        <w:right w:val="none" w:sz="0" w:space="0" w:color="auto"/>
                      </w:divBdr>
                    </w:div>
                  </w:divsChild>
                </w:div>
                <w:div w:id="952787388">
                  <w:marLeft w:val="0"/>
                  <w:marRight w:val="0"/>
                  <w:marTop w:val="0"/>
                  <w:marBottom w:val="0"/>
                  <w:divBdr>
                    <w:top w:val="none" w:sz="0" w:space="0" w:color="auto"/>
                    <w:left w:val="none" w:sz="0" w:space="0" w:color="auto"/>
                    <w:bottom w:val="none" w:sz="0" w:space="0" w:color="auto"/>
                    <w:right w:val="none" w:sz="0" w:space="0" w:color="auto"/>
                  </w:divBdr>
                  <w:divsChild>
                    <w:div w:id="2019501420">
                      <w:marLeft w:val="0"/>
                      <w:marRight w:val="0"/>
                      <w:marTop w:val="0"/>
                      <w:marBottom w:val="0"/>
                      <w:divBdr>
                        <w:top w:val="none" w:sz="0" w:space="0" w:color="auto"/>
                        <w:left w:val="none" w:sz="0" w:space="0" w:color="auto"/>
                        <w:bottom w:val="none" w:sz="0" w:space="0" w:color="auto"/>
                        <w:right w:val="none" w:sz="0" w:space="0" w:color="auto"/>
                      </w:divBdr>
                    </w:div>
                  </w:divsChild>
                </w:div>
                <w:div w:id="966011765">
                  <w:marLeft w:val="0"/>
                  <w:marRight w:val="0"/>
                  <w:marTop w:val="0"/>
                  <w:marBottom w:val="0"/>
                  <w:divBdr>
                    <w:top w:val="none" w:sz="0" w:space="0" w:color="auto"/>
                    <w:left w:val="none" w:sz="0" w:space="0" w:color="auto"/>
                    <w:bottom w:val="none" w:sz="0" w:space="0" w:color="auto"/>
                    <w:right w:val="none" w:sz="0" w:space="0" w:color="auto"/>
                  </w:divBdr>
                  <w:divsChild>
                    <w:div w:id="1947808700">
                      <w:marLeft w:val="0"/>
                      <w:marRight w:val="0"/>
                      <w:marTop w:val="0"/>
                      <w:marBottom w:val="0"/>
                      <w:divBdr>
                        <w:top w:val="none" w:sz="0" w:space="0" w:color="auto"/>
                        <w:left w:val="none" w:sz="0" w:space="0" w:color="auto"/>
                        <w:bottom w:val="none" w:sz="0" w:space="0" w:color="auto"/>
                        <w:right w:val="none" w:sz="0" w:space="0" w:color="auto"/>
                      </w:divBdr>
                    </w:div>
                  </w:divsChild>
                </w:div>
                <w:div w:id="992223324">
                  <w:marLeft w:val="0"/>
                  <w:marRight w:val="0"/>
                  <w:marTop w:val="0"/>
                  <w:marBottom w:val="0"/>
                  <w:divBdr>
                    <w:top w:val="none" w:sz="0" w:space="0" w:color="auto"/>
                    <w:left w:val="none" w:sz="0" w:space="0" w:color="auto"/>
                    <w:bottom w:val="none" w:sz="0" w:space="0" w:color="auto"/>
                    <w:right w:val="none" w:sz="0" w:space="0" w:color="auto"/>
                  </w:divBdr>
                  <w:divsChild>
                    <w:div w:id="1550072454">
                      <w:marLeft w:val="0"/>
                      <w:marRight w:val="0"/>
                      <w:marTop w:val="0"/>
                      <w:marBottom w:val="0"/>
                      <w:divBdr>
                        <w:top w:val="none" w:sz="0" w:space="0" w:color="auto"/>
                        <w:left w:val="none" w:sz="0" w:space="0" w:color="auto"/>
                        <w:bottom w:val="none" w:sz="0" w:space="0" w:color="auto"/>
                        <w:right w:val="none" w:sz="0" w:space="0" w:color="auto"/>
                      </w:divBdr>
                    </w:div>
                  </w:divsChild>
                </w:div>
                <w:div w:id="1016273781">
                  <w:marLeft w:val="0"/>
                  <w:marRight w:val="0"/>
                  <w:marTop w:val="0"/>
                  <w:marBottom w:val="0"/>
                  <w:divBdr>
                    <w:top w:val="none" w:sz="0" w:space="0" w:color="auto"/>
                    <w:left w:val="none" w:sz="0" w:space="0" w:color="auto"/>
                    <w:bottom w:val="none" w:sz="0" w:space="0" w:color="auto"/>
                    <w:right w:val="none" w:sz="0" w:space="0" w:color="auto"/>
                  </w:divBdr>
                  <w:divsChild>
                    <w:div w:id="2036687884">
                      <w:marLeft w:val="0"/>
                      <w:marRight w:val="0"/>
                      <w:marTop w:val="0"/>
                      <w:marBottom w:val="0"/>
                      <w:divBdr>
                        <w:top w:val="none" w:sz="0" w:space="0" w:color="auto"/>
                        <w:left w:val="none" w:sz="0" w:space="0" w:color="auto"/>
                        <w:bottom w:val="none" w:sz="0" w:space="0" w:color="auto"/>
                        <w:right w:val="none" w:sz="0" w:space="0" w:color="auto"/>
                      </w:divBdr>
                    </w:div>
                  </w:divsChild>
                </w:div>
                <w:div w:id="1019700472">
                  <w:marLeft w:val="0"/>
                  <w:marRight w:val="0"/>
                  <w:marTop w:val="0"/>
                  <w:marBottom w:val="0"/>
                  <w:divBdr>
                    <w:top w:val="none" w:sz="0" w:space="0" w:color="auto"/>
                    <w:left w:val="none" w:sz="0" w:space="0" w:color="auto"/>
                    <w:bottom w:val="none" w:sz="0" w:space="0" w:color="auto"/>
                    <w:right w:val="none" w:sz="0" w:space="0" w:color="auto"/>
                  </w:divBdr>
                  <w:divsChild>
                    <w:div w:id="1457216446">
                      <w:marLeft w:val="0"/>
                      <w:marRight w:val="0"/>
                      <w:marTop w:val="0"/>
                      <w:marBottom w:val="0"/>
                      <w:divBdr>
                        <w:top w:val="none" w:sz="0" w:space="0" w:color="auto"/>
                        <w:left w:val="none" w:sz="0" w:space="0" w:color="auto"/>
                        <w:bottom w:val="none" w:sz="0" w:space="0" w:color="auto"/>
                        <w:right w:val="none" w:sz="0" w:space="0" w:color="auto"/>
                      </w:divBdr>
                    </w:div>
                  </w:divsChild>
                </w:div>
                <w:div w:id="1037655384">
                  <w:marLeft w:val="0"/>
                  <w:marRight w:val="0"/>
                  <w:marTop w:val="0"/>
                  <w:marBottom w:val="0"/>
                  <w:divBdr>
                    <w:top w:val="none" w:sz="0" w:space="0" w:color="auto"/>
                    <w:left w:val="none" w:sz="0" w:space="0" w:color="auto"/>
                    <w:bottom w:val="none" w:sz="0" w:space="0" w:color="auto"/>
                    <w:right w:val="none" w:sz="0" w:space="0" w:color="auto"/>
                  </w:divBdr>
                  <w:divsChild>
                    <w:div w:id="68819591">
                      <w:marLeft w:val="0"/>
                      <w:marRight w:val="0"/>
                      <w:marTop w:val="0"/>
                      <w:marBottom w:val="0"/>
                      <w:divBdr>
                        <w:top w:val="none" w:sz="0" w:space="0" w:color="auto"/>
                        <w:left w:val="none" w:sz="0" w:space="0" w:color="auto"/>
                        <w:bottom w:val="none" w:sz="0" w:space="0" w:color="auto"/>
                        <w:right w:val="none" w:sz="0" w:space="0" w:color="auto"/>
                      </w:divBdr>
                    </w:div>
                  </w:divsChild>
                </w:div>
                <w:div w:id="1039744886">
                  <w:marLeft w:val="0"/>
                  <w:marRight w:val="0"/>
                  <w:marTop w:val="0"/>
                  <w:marBottom w:val="0"/>
                  <w:divBdr>
                    <w:top w:val="none" w:sz="0" w:space="0" w:color="auto"/>
                    <w:left w:val="none" w:sz="0" w:space="0" w:color="auto"/>
                    <w:bottom w:val="none" w:sz="0" w:space="0" w:color="auto"/>
                    <w:right w:val="none" w:sz="0" w:space="0" w:color="auto"/>
                  </w:divBdr>
                  <w:divsChild>
                    <w:div w:id="2044556908">
                      <w:marLeft w:val="0"/>
                      <w:marRight w:val="0"/>
                      <w:marTop w:val="0"/>
                      <w:marBottom w:val="0"/>
                      <w:divBdr>
                        <w:top w:val="none" w:sz="0" w:space="0" w:color="auto"/>
                        <w:left w:val="none" w:sz="0" w:space="0" w:color="auto"/>
                        <w:bottom w:val="none" w:sz="0" w:space="0" w:color="auto"/>
                        <w:right w:val="none" w:sz="0" w:space="0" w:color="auto"/>
                      </w:divBdr>
                    </w:div>
                  </w:divsChild>
                </w:div>
                <w:div w:id="1041900277">
                  <w:marLeft w:val="0"/>
                  <w:marRight w:val="0"/>
                  <w:marTop w:val="0"/>
                  <w:marBottom w:val="0"/>
                  <w:divBdr>
                    <w:top w:val="none" w:sz="0" w:space="0" w:color="auto"/>
                    <w:left w:val="none" w:sz="0" w:space="0" w:color="auto"/>
                    <w:bottom w:val="none" w:sz="0" w:space="0" w:color="auto"/>
                    <w:right w:val="none" w:sz="0" w:space="0" w:color="auto"/>
                  </w:divBdr>
                  <w:divsChild>
                    <w:div w:id="1079325164">
                      <w:marLeft w:val="0"/>
                      <w:marRight w:val="0"/>
                      <w:marTop w:val="0"/>
                      <w:marBottom w:val="0"/>
                      <w:divBdr>
                        <w:top w:val="none" w:sz="0" w:space="0" w:color="auto"/>
                        <w:left w:val="none" w:sz="0" w:space="0" w:color="auto"/>
                        <w:bottom w:val="none" w:sz="0" w:space="0" w:color="auto"/>
                        <w:right w:val="none" w:sz="0" w:space="0" w:color="auto"/>
                      </w:divBdr>
                    </w:div>
                  </w:divsChild>
                </w:div>
                <w:div w:id="1046178211">
                  <w:marLeft w:val="0"/>
                  <w:marRight w:val="0"/>
                  <w:marTop w:val="0"/>
                  <w:marBottom w:val="0"/>
                  <w:divBdr>
                    <w:top w:val="none" w:sz="0" w:space="0" w:color="auto"/>
                    <w:left w:val="none" w:sz="0" w:space="0" w:color="auto"/>
                    <w:bottom w:val="none" w:sz="0" w:space="0" w:color="auto"/>
                    <w:right w:val="none" w:sz="0" w:space="0" w:color="auto"/>
                  </w:divBdr>
                  <w:divsChild>
                    <w:div w:id="918561289">
                      <w:marLeft w:val="0"/>
                      <w:marRight w:val="0"/>
                      <w:marTop w:val="0"/>
                      <w:marBottom w:val="0"/>
                      <w:divBdr>
                        <w:top w:val="none" w:sz="0" w:space="0" w:color="auto"/>
                        <w:left w:val="none" w:sz="0" w:space="0" w:color="auto"/>
                        <w:bottom w:val="none" w:sz="0" w:space="0" w:color="auto"/>
                        <w:right w:val="none" w:sz="0" w:space="0" w:color="auto"/>
                      </w:divBdr>
                    </w:div>
                  </w:divsChild>
                </w:div>
                <w:div w:id="1074159698">
                  <w:marLeft w:val="0"/>
                  <w:marRight w:val="0"/>
                  <w:marTop w:val="0"/>
                  <w:marBottom w:val="0"/>
                  <w:divBdr>
                    <w:top w:val="none" w:sz="0" w:space="0" w:color="auto"/>
                    <w:left w:val="none" w:sz="0" w:space="0" w:color="auto"/>
                    <w:bottom w:val="none" w:sz="0" w:space="0" w:color="auto"/>
                    <w:right w:val="none" w:sz="0" w:space="0" w:color="auto"/>
                  </w:divBdr>
                  <w:divsChild>
                    <w:div w:id="148374903">
                      <w:marLeft w:val="0"/>
                      <w:marRight w:val="0"/>
                      <w:marTop w:val="0"/>
                      <w:marBottom w:val="0"/>
                      <w:divBdr>
                        <w:top w:val="none" w:sz="0" w:space="0" w:color="auto"/>
                        <w:left w:val="none" w:sz="0" w:space="0" w:color="auto"/>
                        <w:bottom w:val="none" w:sz="0" w:space="0" w:color="auto"/>
                        <w:right w:val="none" w:sz="0" w:space="0" w:color="auto"/>
                      </w:divBdr>
                    </w:div>
                  </w:divsChild>
                </w:div>
                <w:div w:id="1105274722">
                  <w:marLeft w:val="0"/>
                  <w:marRight w:val="0"/>
                  <w:marTop w:val="0"/>
                  <w:marBottom w:val="0"/>
                  <w:divBdr>
                    <w:top w:val="none" w:sz="0" w:space="0" w:color="auto"/>
                    <w:left w:val="none" w:sz="0" w:space="0" w:color="auto"/>
                    <w:bottom w:val="none" w:sz="0" w:space="0" w:color="auto"/>
                    <w:right w:val="none" w:sz="0" w:space="0" w:color="auto"/>
                  </w:divBdr>
                  <w:divsChild>
                    <w:div w:id="1798835836">
                      <w:marLeft w:val="0"/>
                      <w:marRight w:val="0"/>
                      <w:marTop w:val="0"/>
                      <w:marBottom w:val="0"/>
                      <w:divBdr>
                        <w:top w:val="none" w:sz="0" w:space="0" w:color="auto"/>
                        <w:left w:val="none" w:sz="0" w:space="0" w:color="auto"/>
                        <w:bottom w:val="none" w:sz="0" w:space="0" w:color="auto"/>
                        <w:right w:val="none" w:sz="0" w:space="0" w:color="auto"/>
                      </w:divBdr>
                    </w:div>
                  </w:divsChild>
                </w:div>
                <w:div w:id="1107389980">
                  <w:marLeft w:val="0"/>
                  <w:marRight w:val="0"/>
                  <w:marTop w:val="0"/>
                  <w:marBottom w:val="0"/>
                  <w:divBdr>
                    <w:top w:val="none" w:sz="0" w:space="0" w:color="auto"/>
                    <w:left w:val="none" w:sz="0" w:space="0" w:color="auto"/>
                    <w:bottom w:val="none" w:sz="0" w:space="0" w:color="auto"/>
                    <w:right w:val="none" w:sz="0" w:space="0" w:color="auto"/>
                  </w:divBdr>
                  <w:divsChild>
                    <w:div w:id="1910579321">
                      <w:marLeft w:val="0"/>
                      <w:marRight w:val="0"/>
                      <w:marTop w:val="0"/>
                      <w:marBottom w:val="0"/>
                      <w:divBdr>
                        <w:top w:val="none" w:sz="0" w:space="0" w:color="auto"/>
                        <w:left w:val="none" w:sz="0" w:space="0" w:color="auto"/>
                        <w:bottom w:val="none" w:sz="0" w:space="0" w:color="auto"/>
                        <w:right w:val="none" w:sz="0" w:space="0" w:color="auto"/>
                      </w:divBdr>
                    </w:div>
                  </w:divsChild>
                </w:div>
                <w:div w:id="1111556735">
                  <w:marLeft w:val="0"/>
                  <w:marRight w:val="0"/>
                  <w:marTop w:val="0"/>
                  <w:marBottom w:val="0"/>
                  <w:divBdr>
                    <w:top w:val="none" w:sz="0" w:space="0" w:color="auto"/>
                    <w:left w:val="none" w:sz="0" w:space="0" w:color="auto"/>
                    <w:bottom w:val="none" w:sz="0" w:space="0" w:color="auto"/>
                    <w:right w:val="none" w:sz="0" w:space="0" w:color="auto"/>
                  </w:divBdr>
                  <w:divsChild>
                    <w:div w:id="1367021254">
                      <w:marLeft w:val="0"/>
                      <w:marRight w:val="0"/>
                      <w:marTop w:val="0"/>
                      <w:marBottom w:val="0"/>
                      <w:divBdr>
                        <w:top w:val="none" w:sz="0" w:space="0" w:color="auto"/>
                        <w:left w:val="none" w:sz="0" w:space="0" w:color="auto"/>
                        <w:bottom w:val="none" w:sz="0" w:space="0" w:color="auto"/>
                        <w:right w:val="none" w:sz="0" w:space="0" w:color="auto"/>
                      </w:divBdr>
                    </w:div>
                  </w:divsChild>
                </w:div>
                <w:div w:id="1141385118">
                  <w:marLeft w:val="0"/>
                  <w:marRight w:val="0"/>
                  <w:marTop w:val="0"/>
                  <w:marBottom w:val="0"/>
                  <w:divBdr>
                    <w:top w:val="none" w:sz="0" w:space="0" w:color="auto"/>
                    <w:left w:val="none" w:sz="0" w:space="0" w:color="auto"/>
                    <w:bottom w:val="none" w:sz="0" w:space="0" w:color="auto"/>
                    <w:right w:val="none" w:sz="0" w:space="0" w:color="auto"/>
                  </w:divBdr>
                  <w:divsChild>
                    <w:div w:id="877855339">
                      <w:marLeft w:val="0"/>
                      <w:marRight w:val="0"/>
                      <w:marTop w:val="0"/>
                      <w:marBottom w:val="0"/>
                      <w:divBdr>
                        <w:top w:val="none" w:sz="0" w:space="0" w:color="auto"/>
                        <w:left w:val="none" w:sz="0" w:space="0" w:color="auto"/>
                        <w:bottom w:val="none" w:sz="0" w:space="0" w:color="auto"/>
                        <w:right w:val="none" w:sz="0" w:space="0" w:color="auto"/>
                      </w:divBdr>
                    </w:div>
                  </w:divsChild>
                </w:div>
                <w:div w:id="1160656682">
                  <w:marLeft w:val="0"/>
                  <w:marRight w:val="0"/>
                  <w:marTop w:val="0"/>
                  <w:marBottom w:val="0"/>
                  <w:divBdr>
                    <w:top w:val="none" w:sz="0" w:space="0" w:color="auto"/>
                    <w:left w:val="none" w:sz="0" w:space="0" w:color="auto"/>
                    <w:bottom w:val="none" w:sz="0" w:space="0" w:color="auto"/>
                    <w:right w:val="none" w:sz="0" w:space="0" w:color="auto"/>
                  </w:divBdr>
                  <w:divsChild>
                    <w:div w:id="523056931">
                      <w:marLeft w:val="0"/>
                      <w:marRight w:val="0"/>
                      <w:marTop w:val="0"/>
                      <w:marBottom w:val="0"/>
                      <w:divBdr>
                        <w:top w:val="none" w:sz="0" w:space="0" w:color="auto"/>
                        <w:left w:val="none" w:sz="0" w:space="0" w:color="auto"/>
                        <w:bottom w:val="none" w:sz="0" w:space="0" w:color="auto"/>
                        <w:right w:val="none" w:sz="0" w:space="0" w:color="auto"/>
                      </w:divBdr>
                    </w:div>
                  </w:divsChild>
                </w:div>
                <w:div w:id="1163662722">
                  <w:marLeft w:val="0"/>
                  <w:marRight w:val="0"/>
                  <w:marTop w:val="0"/>
                  <w:marBottom w:val="0"/>
                  <w:divBdr>
                    <w:top w:val="none" w:sz="0" w:space="0" w:color="auto"/>
                    <w:left w:val="none" w:sz="0" w:space="0" w:color="auto"/>
                    <w:bottom w:val="none" w:sz="0" w:space="0" w:color="auto"/>
                    <w:right w:val="none" w:sz="0" w:space="0" w:color="auto"/>
                  </w:divBdr>
                  <w:divsChild>
                    <w:div w:id="1998025638">
                      <w:marLeft w:val="0"/>
                      <w:marRight w:val="0"/>
                      <w:marTop w:val="0"/>
                      <w:marBottom w:val="0"/>
                      <w:divBdr>
                        <w:top w:val="none" w:sz="0" w:space="0" w:color="auto"/>
                        <w:left w:val="none" w:sz="0" w:space="0" w:color="auto"/>
                        <w:bottom w:val="none" w:sz="0" w:space="0" w:color="auto"/>
                        <w:right w:val="none" w:sz="0" w:space="0" w:color="auto"/>
                      </w:divBdr>
                    </w:div>
                  </w:divsChild>
                </w:div>
                <w:div w:id="1181040966">
                  <w:marLeft w:val="0"/>
                  <w:marRight w:val="0"/>
                  <w:marTop w:val="0"/>
                  <w:marBottom w:val="0"/>
                  <w:divBdr>
                    <w:top w:val="none" w:sz="0" w:space="0" w:color="auto"/>
                    <w:left w:val="none" w:sz="0" w:space="0" w:color="auto"/>
                    <w:bottom w:val="none" w:sz="0" w:space="0" w:color="auto"/>
                    <w:right w:val="none" w:sz="0" w:space="0" w:color="auto"/>
                  </w:divBdr>
                  <w:divsChild>
                    <w:div w:id="1786189270">
                      <w:marLeft w:val="0"/>
                      <w:marRight w:val="0"/>
                      <w:marTop w:val="0"/>
                      <w:marBottom w:val="0"/>
                      <w:divBdr>
                        <w:top w:val="none" w:sz="0" w:space="0" w:color="auto"/>
                        <w:left w:val="none" w:sz="0" w:space="0" w:color="auto"/>
                        <w:bottom w:val="none" w:sz="0" w:space="0" w:color="auto"/>
                        <w:right w:val="none" w:sz="0" w:space="0" w:color="auto"/>
                      </w:divBdr>
                    </w:div>
                  </w:divsChild>
                </w:div>
                <w:div w:id="1192767488">
                  <w:marLeft w:val="0"/>
                  <w:marRight w:val="0"/>
                  <w:marTop w:val="0"/>
                  <w:marBottom w:val="0"/>
                  <w:divBdr>
                    <w:top w:val="none" w:sz="0" w:space="0" w:color="auto"/>
                    <w:left w:val="none" w:sz="0" w:space="0" w:color="auto"/>
                    <w:bottom w:val="none" w:sz="0" w:space="0" w:color="auto"/>
                    <w:right w:val="none" w:sz="0" w:space="0" w:color="auto"/>
                  </w:divBdr>
                  <w:divsChild>
                    <w:div w:id="1630434934">
                      <w:marLeft w:val="0"/>
                      <w:marRight w:val="0"/>
                      <w:marTop w:val="0"/>
                      <w:marBottom w:val="0"/>
                      <w:divBdr>
                        <w:top w:val="none" w:sz="0" w:space="0" w:color="auto"/>
                        <w:left w:val="none" w:sz="0" w:space="0" w:color="auto"/>
                        <w:bottom w:val="none" w:sz="0" w:space="0" w:color="auto"/>
                        <w:right w:val="none" w:sz="0" w:space="0" w:color="auto"/>
                      </w:divBdr>
                    </w:div>
                  </w:divsChild>
                </w:div>
                <w:div w:id="1200169312">
                  <w:marLeft w:val="0"/>
                  <w:marRight w:val="0"/>
                  <w:marTop w:val="0"/>
                  <w:marBottom w:val="0"/>
                  <w:divBdr>
                    <w:top w:val="none" w:sz="0" w:space="0" w:color="auto"/>
                    <w:left w:val="none" w:sz="0" w:space="0" w:color="auto"/>
                    <w:bottom w:val="none" w:sz="0" w:space="0" w:color="auto"/>
                    <w:right w:val="none" w:sz="0" w:space="0" w:color="auto"/>
                  </w:divBdr>
                  <w:divsChild>
                    <w:div w:id="2128549865">
                      <w:marLeft w:val="0"/>
                      <w:marRight w:val="0"/>
                      <w:marTop w:val="0"/>
                      <w:marBottom w:val="0"/>
                      <w:divBdr>
                        <w:top w:val="none" w:sz="0" w:space="0" w:color="auto"/>
                        <w:left w:val="none" w:sz="0" w:space="0" w:color="auto"/>
                        <w:bottom w:val="none" w:sz="0" w:space="0" w:color="auto"/>
                        <w:right w:val="none" w:sz="0" w:space="0" w:color="auto"/>
                      </w:divBdr>
                    </w:div>
                  </w:divsChild>
                </w:div>
                <w:div w:id="1209683280">
                  <w:marLeft w:val="0"/>
                  <w:marRight w:val="0"/>
                  <w:marTop w:val="0"/>
                  <w:marBottom w:val="0"/>
                  <w:divBdr>
                    <w:top w:val="none" w:sz="0" w:space="0" w:color="auto"/>
                    <w:left w:val="none" w:sz="0" w:space="0" w:color="auto"/>
                    <w:bottom w:val="none" w:sz="0" w:space="0" w:color="auto"/>
                    <w:right w:val="none" w:sz="0" w:space="0" w:color="auto"/>
                  </w:divBdr>
                  <w:divsChild>
                    <w:div w:id="1337728721">
                      <w:marLeft w:val="0"/>
                      <w:marRight w:val="0"/>
                      <w:marTop w:val="0"/>
                      <w:marBottom w:val="0"/>
                      <w:divBdr>
                        <w:top w:val="none" w:sz="0" w:space="0" w:color="auto"/>
                        <w:left w:val="none" w:sz="0" w:space="0" w:color="auto"/>
                        <w:bottom w:val="none" w:sz="0" w:space="0" w:color="auto"/>
                        <w:right w:val="none" w:sz="0" w:space="0" w:color="auto"/>
                      </w:divBdr>
                    </w:div>
                  </w:divsChild>
                </w:div>
                <w:div w:id="1220632560">
                  <w:marLeft w:val="0"/>
                  <w:marRight w:val="0"/>
                  <w:marTop w:val="0"/>
                  <w:marBottom w:val="0"/>
                  <w:divBdr>
                    <w:top w:val="none" w:sz="0" w:space="0" w:color="auto"/>
                    <w:left w:val="none" w:sz="0" w:space="0" w:color="auto"/>
                    <w:bottom w:val="none" w:sz="0" w:space="0" w:color="auto"/>
                    <w:right w:val="none" w:sz="0" w:space="0" w:color="auto"/>
                  </w:divBdr>
                  <w:divsChild>
                    <w:div w:id="1640763738">
                      <w:marLeft w:val="0"/>
                      <w:marRight w:val="0"/>
                      <w:marTop w:val="0"/>
                      <w:marBottom w:val="0"/>
                      <w:divBdr>
                        <w:top w:val="none" w:sz="0" w:space="0" w:color="auto"/>
                        <w:left w:val="none" w:sz="0" w:space="0" w:color="auto"/>
                        <w:bottom w:val="none" w:sz="0" w:space="0" w:color="auto"/>
                        <w:right w:val="none" w:sz="0" w:space="0" w:color="auto"/>
                      </w:divBdr>
                    </w:div>
                  </w:divsChild>
                </w:div>
                <w:div w:id="1227303128">
                  <w:marLeft w:val="0"/>
                  <w:marRight w:val="0"/>
                  <w:marTop w:val="0"/>
                  <w:marBottom w:val="0"/>
                  <w:divBdr>
                    <w:top w:val="none" w:sz="0" w:space="0" w:color="auto"/>
                    <w:left w:val="none" w:sz="0" w:space="0" w:color="auto"/>
                    <w:bottom w:val="none" w:sz="0" w:space="0" w:color="auto"/>
                    <w:right w:val="none" w:sz="0" w:space="0" w:color="auto"/>
                  </w:divBdr>
                  <w:divsChild>
                    <w:div w:id="1457286544">
                      <w:marLeft w:val="0"/>
                      <w:marRight w:val="0"/>
                      <w:marTop w:val="0"/>
                      <w:marBottom w:val="0"/>
                      <w:divBdr>
                        <w:top w:val="none" w:sz="0" w:space="0" w:color="auto"/>
                        <w:left w:val="none" w:sz="0" w:space="0" w:color="auto"/>
                        <w:bottom w:val="none" w:sz="0" w:space="0" w:color="auto"/>
                        <w:right w:val="none" w:sz="0" w:space="0" w:color="auto"/>
                      </w:divBdr>
                    </w:div>
                  </w:divsChild>
                </w:div>
                <w:div w:id="1230727809">
                  <w:marLeft w:val="0"/>
                  <w:marRight w:val="0"/>
                  <w:marTop w:val="0"/>
                  <w:marBottom w:val="0"/>
                  <w:divBdr>
                    <w:top w:val="none" w:sz="0" w:space="0" w:color="auto"/>
                    <w:left w:val="none" w:sz="0" w:space="0" w:color="auto"/>
                    <w:bottom w:val="none" w:sz="0" w:space="0" w:color="auto"/>
                    <w:right w:val="none" w:sz="0" w:space="0" w:color="auto"/>
                  </w:divBdr>
                  <w:divsChild>
                    <w:div w:id="1548831374">
                      <w:marLeft w:val="0"/>
                      <w:marRight w:val="0"/>
                      <w:marTop w:val="0"/>
                      <w:marBottom w:val="0"/>
                      <w:divBdr>
                        <w:top w:val="none" w:sz="0" w:space="0" w:color="auto"/>
                        <w:left w:val="none" w:sz="0" w:space="0" w:color="auto"/>
                        <w:bottom w:val="none" w:sz="0" w:space="0" w:color="auto"/>
                        <w:right w:val="none" w:sz="0" w:space="0" w:color="auto"/>
                      </w:divBdr>
                    </w:div>
                  </w:divsChild>
                </w:div>
                <w:div w:id="1256402451">
                  <w:marLeft w:val="0"/>
                  <w:marRight w:val="0"/>
                  <w:marTop w:val="0"/>
                  <w:marBottom w:val="0"/>
                  <w:divBdr>
                    <w:top w:val="none" w:sz="0" w:space="0" w:color="auto"/>
                    <w:left w:val="none" w:sz="0" w:space="0" w:color="auto"/>
                    <w:bottom w:val="none" w:sz="0" w:space="0" w:color="auto"/>
                    <w:right w:val="none" w:sz="0" w:space="0" w:color="auto"/>
                  </w:divBdr>
                  <w:divsChild>
                    <w:div w:id="90246097">
                      <w:marLeft w:val="0"/>
                      <w:marRight w:val="0"/>
                      <w:marTop w:val="0"/>
                      <w:marBottom w:val="0"/>
                      <w:divBdr>
                        <w:top w:val="none" w:sz="0" w:space="0" w:color="auto"/>
                        <w:left w:val="none" w:sz="0" w:space="0" w:color="auto"/>
                        <w:bottom w:val="none" w:sz="0" w:space="0" w:color="auto"/>
                        <w:right w:val="none" w:sz="0" w:space="0" w:color="auto"/>
                      </w:divBdr>
                    </w:div>
                  </w:divsChild>
                </w:div>
                <w:div w:id="1260338128">
                  <w:marLeft w:val="0"/>
                  <w:marRight w:val="0"/>
                  <w:marTop w:val="0"/>
                  <w:marBottom w:val="0"/>
                  <w:divBdr>
                    <w:top w:val="none" w:sz="0" w:space="0" w:color="auto"/>
                    <w:left w:val="none" w:sz="0" w:space="0" w:color="auto"/>
                    <w:bottom w:val="none" w:sz="0" w:space="0" w:color="auto"/>
                    <w:right w:val="none" w:sz="0" w:space="0" w:color="auto"/>
                  </w:divBdr>
                  <w:divsChild>
                    <w:div w:id="1069767121">
                      <w:marLeft w:val="0"/>
                      <w:marRight w:val="0"/>
                      <w:marTop w:val="0"/>
                      <w:marBottom w:val="0"/>
                      <w:divBdr>
                        <w:top w:val="none" w:sz="0" w:space="0" w:color="auto"/>
                        <w:left w:val="none" w:sz="0" w:space="0" w:color="auto"/>
                        <w:bottom w:val="none" w:sz="0" w:space="0" w:color="auto"/>
                        <w:right w:val="none" w:sz="0" w:space="0" w:color="auto"/>
                      </w:divBdr>
                    </w:div>
                  </w:divsChild>
                </w:div>
                <w:div w:id="1272977946">
                  <w:marLeft w:val="0"/>
                  <w:marRight w:val="0"/>
                  <w:marTop w:val="0"/>
                  <w:marBottom w:val="0"/>
                  <w:divBdr>
                    <w:top w:val="none" w:sz="0" w:space="0" w:color="auto"/>
                    <w:left w:val="none" w:sz="0" w:space="0" w:color="auto"/>
                    <w:bottom w:val="none" w:sz="0" w:space="0" w:color="auto"/>
                    <w:right w:val="none" w:sz="0" w:space="0" w:color="auto"/>
                  </w:divBdr>
                  <w:divsChild>
                    <w:div w:id="2099134510">
                      <w:marLeft w:val="0"/>
                      <w:marRight w:val="0"/>
                      <w:marTop w:val="0"/>
                      <w:marBottom w:val="0"/>
                      <w:divBdr>
                        <w:top w:val="none" w:sz="0" w:space="0" w:color="auto"/>
                        <w:left w:val="none" w:sz="0" w:space="0" w:color="auto"/>
                        <w:bottom w:val="none" w:sz="0" w:space="0" w:color="auto"/>
                        <w:right w:val="none" w:sz="0" w:space="0" w:color="auto"/>
                      </w:divBdr>
                    </w:div>
                  </w:divsChild>
                </w:div>
                <w:div w:id="1277251107">
                  <w:marLeft w:val="0"/>
                  <w:marRight w:val="0"/>
                  <w:marTop w:val="0"/>
                  <w:marBottom w:val="0"/>
                  <w:divBdr>
                    <w:top w:val="none" w:sz="0" w:space="0" w:color="auto"/>
                    <w:left w:val="none" w:sz="0" w:space="0" w:color="auto"/>
                    <w:bottom w:val="none" w:sz="0" w:space="0" w:color="auto"/>
                    <w:right w:val="none" w:sz="0" w:space="0" w:color="auto"/>
                  </w:divBdr>
                  <w:divsChild>
                    <w:div w:id="533469054">
                      <w:marLeft w:val="0"/>
                      <w:marRight w:val="0"/>
                      <w:marTop w:val="0"/>
                      <w:marBottom w:val="0"/>
                      <w:divBdr>
                        <w:top w:val="none" w:sz="0" w:space="0" w:color="auto"/>
                        <w:left w:val="none" w:sz="0" w:space="0" w:color="auto"/>
                        <w:bottom w:val="none" w:sz="0" w:space="0" w:color="auto"/>
                        <w:right w:val="none" w:sz="0" w:space="0" w:color="auto"/>
                      </w:divBdr>
                    </w:div>
                  </w:divsChild>
                </w:div>
                <w:div w:id="1285843861">
                  <w:marLeft w:val="0"/>
                  <w:marRight w:val="0"/>
                  <w:marTop w:val="0"/>
                  <w:marBottom w:val="0"/>
                  <w:divBdr>
                    <w:top w:val="none" w:sz="0" w:space="0" w:color="auto"/>
                    <w:left w:val="none" w:sz="0" w:space="0" w:color="auto"/>
                    <w:bottom w:val="none" w:sz="0" w:space="0" w:color="auto"/>
                    <w:right w:val="none" w:sz="0" w:space="0" w:color="auto"/>
                  </w:divBdr>
                  <w:divsChild>
                    <w:div w:id="1359816538">
                      <w:marLeft w:val="0"/>
                      <w:marRight w:val="0"/>
                      <w:marTop w:val="0"/>
                      <w:marBottom w:val="0"/>
                      <w:divBdr>
                        <w:top w:val="none" w:sz="0" w:space="0" w:color="auto"/>
                        <w:left w:val="none" w:sz="0" w:space="0" w:color="auto"/>
                        <w:bottom w:val="none" w:sz="0" w:space="0" w:color="auto"/>
                        <w:right w:val="none" w:sz="0" w:space="0" w:color="auto"/>
                      </w:divBdr>
                    </w:div>
                  </w:divsChild>
                </w:div>
                <w:div w:id="1287271709">
                  <w:marLeft w:val="0"/>
                  <w:marRight w:val="0"/>
                  <w:marTop w:val="0"/>
                  <w:marBottom w:val="0"/>
                  <w:divBdr>
                    <w:top w:val="none" w:sz="0" w:space="0" w:color="auto"/>
                    <w:left w:val="none" w:sz="0" w:space="0" w:color="auto"/>
                    <w:bottom w:val="none" w:sz="0" w:space="0" w:color="auto"/>
                    <w:right w:val="none" w:sz="0" w:space="0" w:color="auto"/>
                  </w:divBdr>
                  <w:divsChild>
                    <w:div w:id="1059861256">
                      <w:marLeft w:val="0"/>
                      <w:marRight w:val="0"/>
                      <w:marTop w:val="0"/>
                      <w:marBottom w:val="0"/>
                      <w:divBdr>
                        <w:top w:val="none" w:sz="0" w:space="0" w:color="auto"/>
                        <w:left w:val="none" w:sz="0" w:space="0" w:color="auto"/>
                        <w:bottom w:val="none" w:sz="0" w:space="0" w:color="auto"/>
                        <w:right w:val="none" w:sz="0" w:space="0" w:color="auto"/>
                      </w:divBdr>
                    </w:div>
                  </w:divsChild>
                </w:div>
                <w:div w:id="1299072649">
                  <w:marLeft w:val="0"/>
                  <w:marRight w:val="0"/>
                  <w:marTop w:val="0"/>
                  <w:marBottom w:val="0"/>
                  <w:divBdr>
                    <w:top w:val="none" w:sz="0" w:space="0" w:color="auto"/>
                    <w:left w:val="none" w:sz="0" w:space="0" w:color="auto"/>
                    <w:bottom w:val="none" w:sz="0" w:space="0" w:color="auto"/>
                    <w:right w:val="none" w:sz="0" w:space="0" w:color="auto"/>
                  </w:divBdr>
                  <w:divsChild>
                    <w:div w:id="499733275">
                      <w:marLeft w:val="0"/>
                      <w:marRight w:val="0"/>
                      <w:marTop w:val="0"/>
                      <w:marBottom w:val="0"/>
                      <w:divBdr>
                        <w:top w:val="none" w:sz="0" w:space="0" w:color="auto"/>
                        <w:left w:val="none" w:sz="0" w:space="0" w:color="auto"/>
                        <w:bottom w:val="none" w:sz="0" w:space="0" w:color="auto"/>
                        <w:right w:val="none" w:sz="0" w:space="0" w:color="auto"/>
                      </w:divBdr>
                    </w:div>
                  </w:divsChild>
                </w:div>
                <w:div w:id="1303118870">
                  <w:marLeft w:val="0"/>
                  <w:marRight w:val="0"/>
                  <w:marTop w:val="0"/>
                  <w:marBottom w:val="0"/>
                  <w:divBdr>
                    <w:top w:val="none" w:sz="0" w:space="0" w:color="auto"/>
                    <w:left w:val="none" w:sz="0" w:space="0" w:color="auto"/>
                    <w:bottom w:val="none" w:sz="0" w:space="0" w:color="auto"/>
                    <w:right w:val="none" w:sz="0" w:space="0" w:color="auto"/>
                  </w:divBdr>
                  <w:divsChild>
                    <w:div w:id="221454884">
                      <w:marLeft w:val="0"/>
                      <w:marRight w:val="0"/>
                      <w:marTop w:val="0"/>
                      <w:marBottom w:val="0"/>
                      <w:divBdr>
                        <w:top w:val="none" w:sz="0" w:space="0" w:color="auto"/>
                        <w:left w:val="none" w:sz="0" w:space="0" w:color="auto"/>
                        <w:bottom w:val="none" w:sz="0" w:space="0" w:color="auto"/>
                        <w:right w:val="none" w:sz="0" w:space="0" w:color="auto"/>
                      </w:divBdr>
                    </w:div>
                  </w:divsChild>
                </w:div>
                <w:div w:id="1313634277">
                  <w:marLeft w:val="0"/>
                  <w:marRight w:val="0"/>
                  <w:marTop w:val="0"/>
                  <w:marBottom w:val="0"/>
                  <w:divBdr>
                    <w:top w:val="none" w:sz="0" w:space="0" w:color="auto"/>
                    <w:left w:val="none" w:sz="0" w:space="0" w:color="auto"/>
                    <w:bottom w:val="none" w:sz="0" w:space="0" w:color="auto"/>
                    <w:right w:val="none" w:sz="0" w:space="0" w:color="auto"/>
                  </w:divBdr>
                  <w:divsChild>
                    <w:div w:id="2014991071">
                      <w:marLeft w:val="0"/>
                      <w:marRight w:val="0"/>
                      <w:marTop w:val="0"/>
                      <w:marBottom w:val="0"/>
                      <w:divBdr>
                        <w:top w:val="none" w:sz="0" w:space="0" w:color="auto"/>
                        <w:left w:val="none" w:sz="0" w:space="0" w:color="auto"/>
                        <w:bottom w:val="none" w:sz="0" w:space="0" w:color="auto"/>
                        <w:right w:val="none" w:sz="0" w:space="0" w:color="auto"/>
                      </w:divBdr>
                    </w:div>
                  </w:divsChild>
                </w:div>
                <w:div w:id="1323394631">
                  <w:marLeft w:val="0"/>
                  <w:marRight w:val="0"/>
                  <w:marTop w:val="0"/>
                  <w:marBottom w:val="0"/>
                  <w:divBdr>
                    <w:top w:val="none" w:sz="0" w:space="0" w:color="auto"/>
                    <w:left w:val="none" w:sz="0" w:space="0" w:color="auto"/>
                    <w:bottom w:val="none" w:sz="0" w:space="0" w:color="auto"/>
                    <w:right w:val="none" w:sz="0" w:space="0" w:color="auto"/>
                  </w:divBdr>
                  <w:divsChild>
                    <w:div w:id="490409643">
                      <w:marLeft w:val="0"/>
                      <w:marRight w:val="0"/>
                      <w:marTop w:val="0"/>
                      <w:marBottom w:val="0"/>
                      <w:divBdr>
                        <w:top w:val="none" w:sz="0" w:space="0" w:color="auto"/>
                        <w:left w:val="none" w:sz="0" w:space="0" w:color="auto"/>
                        <w:bottom w:val="none" w:sz="0" w:space="0" w:color="auto"/>
                        <w:right w:val="none" w:sz="0" w:space="0" w:color="auto"/>
                      </w:divBdr>
                    </w:div>
                  </w:divsChild>
                </w:div>
                <w:div w:id="1351877843">
                  <w:marLeft w:val="0"/>
                  <w:marRight w:val="0"/>
                  <w:marTop w:val="0"/>
                  <w:marBottom w:val="0"/>
                  <w:divBdr>
                    <w:top w:val="none" w:sz="0" w:space="0" w:color="auto"/>
                    <w:left w:val="none" w:sz="0" w:space="0" w:color="auto"/>
                    <w:bottom w:val="none" w:sz="0" w:space="0" w:color="auto"/>
                    <w:right w:val="none" w:sz="0" w:space="0" w:color="auto"/>
                  </w:divBdr>
                  <w:divsChild>
                    <w:div w:id="1285310334">
                      <w:marLeft w:val="0"/>
                      <w:marRight w:val="0"/>
                      <w:marTop w:val="0"/>
                      <w:marBottom w:val="0"/>
                      <w:divBdr>
                        <w:top w:val="none" w:sz="0" w:space="0" w:color="auto"/>
                        <w:left w:val="none" w:sz="0" w:space="0" w:color="auto"/>
                        <w:bottom w:val="none" w:sz="0" w:space="0" w:color="auto"/>
                        <w:right w:val="none" w:sz="0" w:space="0" w:color="auto"/>
                      </w:divBdr>
                    </w:div>
                  </w:divsChild>
                </w:div>
                <w:div w:id="1355569087">
                  <w:marLeft w:val="0"/>
                  <w:marRight w:val="0"/>
                  <w:marTop w:val="0"/>
                  <w:marBottom w:val="0"/>
                  <w:divBdr>
                    <w:top w:val="none" w:sz="0" w:space="0" w:color="auto"/>
                    <w:left w:val="none" w:sz="0" w:space="0" w:color="auto"/>
                    <w:bottom w:val="none" w:sz="0" w:space="0" w:color="auto"/>
                    <w:right w:val="none" w:sz="0" w:space="0" w:color="auto"/>
                  </w:divBdr>
                  <w:divsChild>
                    <w:div w:id="1474062529">
                      <w:marLeft w:val="0"/>
                      <w:marRight w:val="0"/>
                      <w:marTop w:val="0"/>
                      <w:marBottom w:val="0"/>
                      <w:divBdr>
                        <w:top w:val="none" w:sz="0" w:space="0" w:color="auto"/>
                        <w:left w:val="none" w:sz="0" w:space="0" w:color="auto"/>
                        <w:bottom w:val="none" w:sz="0" w:space="0" w:color="auto"/>
                        <w:right w:val="none" w:sz="0" w:space="0" w:color="auto"/>
                      </w:divBdr>
                    </w:div>
                  </w:divsChild>
                </w:div>
                <w:div w:id="1359308348">
                  <w:marLeft w:val="0"/>
                  <w:marRight w:val="0"/>
                  <w:marTop w:val="0"/>
                  <w:marBottom w:val="0"/>
                  <w:divBdr>
                    <w:top w:val="none" w:sz="0" w:space="0" w:color="auto"/>
                    <w:left w:val="none" w:sz="0" w:space="0" w:color="auto"/>
                    <w:bottom w:val="none" w:sz="0" w:space="0" w:color="auto"/>
                    <w:right w:val="none" w:sz="0" w:space="0" w:color="auto"/>
                  </w:divBdr>
                  <w:divsChild>
                    <w:div w:id="1841384792">
                      <w:marLeft w:val="0"/>
                      <w:marRight w:val="0"/>
                      <w:marTop w:val="0"/>
                      <w:marBottom w:val="0"/>
                      <w:divBdr>
                        <w:top w:val="none" w:sz="0" w:space="0" w:color="auto"/>
                        <w:left w:val="none" w:sz="0" w:space="0" w:color="auto"/>
                        <w:bottom w:val="none" w:sz="0" w:space="0" w:color="auto"/>
                        <w:right w:val="none" w:sz="0" w:space="0" w:color="auto"/>
                      </w:divBdr>
                    </w:div>
                  </w:divsChild>
                </w:div>
                <w:div w:id="1364868997">
                  <w:marLeft w:val="0"/>
                  <w:marRight w:val="0"/>
                  <w:marTop w:val="0"/>
                  <w:marBottom w:val="0"/>
                  <w:divBdr>
                    <w:top w:val="none" w:sz="0" w:space="0" w:color="auto"/>
                    <w:left w:val="none" w:sz="0" w:space="0" w:color="auto"/>
                    <w:bottom w:val="none" w:sz="0" w:space="0" w:color="auto"/>
                    <w:right w:val="none" w:sz="0" w:space="0" w:color="auto"/>
                  </w:divBdr>
                  <w:divsChild>
                    <w:div w:id="1930769310">
                      <w:marLeft w:val="0"/>
                      <w:marRight w:val="0"/>
                      <w:marTop w:val="0"/>
                      <w:marBottom w:val="0"/>
                      <w:divBdr>
                        <w:top w:val="none" w:sz="0" w:space="0" w:color="auto"/>
                        <w:left w:val="none" w:sz="0" w:space="0" w:color="auto"/>
                        <w:bottom w:val="none" w:sz="0" w:space="0" w:color="auto"/>
                        <w:right w:val="none" w:sz="0" w:space="0" w:color="auto"/>
                      </w:divBdr>
                    </w:div>
                  </w:divsChild>
                </w:div>
                <w:div w:id="1391424091">
                  <w:marLeft w:val="0"/>
                  <w:marRight w:val="0"/>
                  <w:marTop w:val="0"/>
                  <w:marBottom w:val="0"/>
                  <w:divBdr>
                    <w:top w:val="none" w:sz="0" w:space="0" w:color="auto"/>
                    <w:left w:val="none" w:sz="0" w:space="0" w:color="auto"/>
                    <w:bottom w:val="none" w:sz="0" w:space="0" w:color="auto"/>
                    <w:right w:val="none" w:sz="0" w:space="0" w:color="auto"/>
                  </w:divBdr>
                  <w:divsChild>
                    <w:div w:id="1616252344">
                      <w:marLeft w:val="0"/>
                      <w:marRight w:val="0"/>
                      <w:marTop w:val="0"/>
                      <w:marBottom w:val="0"/>
                      <w:divBdr>
                        <w:top w:val="none" w:sz="0" w:space="0" w:color="auto"/>
                        <w:left w:val="none" w:sz="0" w:space="0" w:color="auto"/>
                        <w:bottom w:val="none" w:sz="0" w:space="0" w:color="auto"/>
                        <w:right w:val="none" w:sz="0" w:space="0" w:color="auto"/>
                      </w:divBdr>
                    </w:div>
                  </w:divsChild>
                </w:div>
                <w:div w:id="1395197581">
                  <w:marLeft w:val="0"/>
                  <w:marRight w:val="0"/>
                  <w:marTop w:val="0"/>
                  <w:marBottom w:val="0"/>
                  <w:divBdr>
                    <w:top w:val="none" w:sz="0" w:space="0" w:color="auto"/>
                    <w:left w:val="none" w:sz="0" w:space="0" w:color="auto"/>
                    <w:bottom w:val="none" w:sz="0" w:space="0" w:color="auto"/>
                    <w:right w:val="none" w:sz="0" w:space="0" w:color="auto"/>
                  </w:divBdr>
                  <w:divsChild>
                    <w:div w:id="57360611">
                      <w:marLeft w:val="0"/>
                      <w:marRight w:val="0"/>
                      <w:marTop w:val="0"/>
                      <w:marBottom w:val="0"/>
                      <w:divBdr>
                        <w:top w:val="none" w:sz="0" w:space="0" w:color="auto"/>
                        <w:left w:val="none" w:sz="0" w:space="0" w:color="auto"/>
                        <w:bottom w:val="none" w:sz="0" w:space="0" w:color="auto"/>
                        <w:right w:val="none" w:sz="0" w:space="0" w:color="auto"/>
                      </w:divBdr>
                    </w:div>
                  </w:divsChild>
                </w:div>
                <w:div w:id="1396469676">
                  <w:marLeft w:val="0"/>
                  <w:marRight w:val="0"/>
                  <w:marTop w:val="0"/>
                  <w:marBottom w:val="0"/>
                  <w:divBdr>
                    <w:top w:val="none" w:sz="0" w:space="0" w:color="auto"/>
                    <w:left w:val="none" w:sz="0" w:space="0" w:color="auto"/>
                    <w:bottom w:val="none" w:sz="0" w:space="0" w:color="auto"/>
                    <w:right w:val="none" w:sz="0" w:space="0" w:color="auto"/>
                  </w:divBdr>
                  <w:divsChild>
                    <w:div w:id="1984193035">
                      <w:marLeft w:val="0"/>
                      <w:marRight w:val="0"/>
                      <w:marTop w:val="0"/>
                      <w:marBottom w:val="0"/>
                      <w:divBdr>
                        <w:top w:val="none" w:sz="0" w:space="0" w:color="auto"/>
                        <w:left w:val="none" w:sz="0" w:space="0" w:color="auto"/>
                        <w:bottom w:val="none" w:sz="0" w:space="0" w:color="auto"/>
                        <w:right w:val="none" w:sz="0" w:space="0" w:color="auto"/>
                      </w:divBdr>
                    </w:div>
                  </w:divsChild>
                </w:div>
                <w:div w:id="1398630107">
                  <w:marLeft w:val="0"/>
                  <w:marRight w:val="0"/>
                  <w:marTop w:val="0"/>
                  <w:marBottom w:val="0"/>
                  <w:divBdr>
                    <w:top w:val="none" w:sz="0" w:space="0" w:color="auto"/>
                    <w:left w:val="none" w:sz="0" w:space="0" w:color="auto"/>
                    <w:bottom w:val="none" w:sz="0" w:space="0" w:color="auto"/>
                    <w:right w:val="none" w:sz="0" w:space="0" w:color="auto"/>
                  </w:divBdr>
                  <w:divsChild>
                    <w:div w:id="821584838">
                      <w:marLeft w:val="0"/>
                      <w:marRight w:val="0"/>
                      <w:marTop w:val="0"/>
                      <w:marBottom w:val="0"/>
                      <w:divBdr>
                        <w:top w:val="none" w:sz="0" w:space="0" w:color="auto"/>
                        <w:left w:val="none" w:sz="0" w:space="0" w:color="auto"/>
                        <w:bottom w:val="none" w:sz="0" w:space="0" w:color="auto"/>
                        <w:right w:val="none" w:sz="0" w:space="0" w:color="auto"/>
                      </w:divBdr>
                    </w:div>
                  </w:divsChild>
                </w:div>
                <w:div w:id="1451775805">
                  <w:marLeft w:val="0"/>
                  <w:marRight w:val="0"/>
                  <w:marTop w:val="0"/>
                  <w:marBottom w:val="0"/>
                  <w:divBdr>
                    <w:top w:val="none" w:sz="0" w:space="0" w:color="auto"/>
                    <w:left w:val="none" w:sz="0" w:space="0" w:color="auto"/>
                    <w:bottom w:val="none" w:sz="0" w:space="0" w:color="auto"/>
                    <w:right w:val="none" w:sz="0" w:space="0" w:color="auto"/>
                  </w:divBdr>
                  <w:divsChild>
                    <w:div w:id="1386297150">
                      <w:marLeft w:val="0"/>
                      <w:marRight w:val="0"/>
                      <w:marTop w:val="0"/>
                      <w:marBottom w:val="0"/>
                      <w:divBdr>
                        <w:top w:val="none" w:sz="0" w:space="0" w:color="auto"/>
                        <w:left w:val="none" w:sz="0" w:space="0" w:color="auto"/>
                        <w:bottom w:val="none" w:sz="0" w:space="0" w:color="auto"/>
                        <w:right w:val="none" w:sz="0" w:space="0" w:color="auto"/>
                      </w:divBdr>
                    </w:div>
                  </w:divsChild>
                </w:div>
                <w:div w:id="1484814622">
                  <w:marLeft w:val="0"/>
                  <w:marRight w:val="0"/>
                  <w:marTop w:val="0"/>
                  <w:marBottom w:val="0"/>
                  <w:divBdr>
                    <w:top w:val="none" w:sz="0" w:space="0" w:color="auto"/>
                    <w:left w:val="none" w:sz="0" w:space="0" w:color="auto"/>
                    <w:bottom w:val="none" w:sz="0" w:space="0" w:color="auto"/>
                    <w:right w:val="none" w:sz="0" w:space="0" w:color="auto"/>
                  </w:divBdr>
                  <w:divsChild>
                    <w:div w:id="123355249">
                      <w:marLeft w:val="0"/>
                      <w:marRight w:val="0"/>
                      <w:marTop w:val="0"/>
                      <w:marBottom w:val="0"/>
                      <w:divBdr>
                        <w:top w:val="none" w:sz="0" w:space="0" w:color="auto"/>
                        <w:left w:val="none" w:sz="0" w:space="0" w:color="auto"/>
                        <w:bottom w:val="none" w:sz="0" w:space="0" w:color="auto"/>
                        <w:right w:val="none" w:sz="0" w:space="0" w:color="auto"/>
                      </w:divBdr>
                    </w:div>
                  </w:divsChild>
                </w:div>
                <w:div w:id="1490051734">
                  <w:marLeft w:val="0"/>
                  <w:marRight w:val="0"/>
                  <w:marTop w:val="0"/>
                  <w:marBottom w:val="0"/>
                  <w:divBdr>
                    <w:top w:val="none" w:sz="0" w:space="0" w:color="auto"/>
                    <w:left w:val="none" w:sz="0" w:space="0" w:color="auto"/>
                    <w:bottom w:val="none" w:sz="0" w:space="0" w:color="auto"/>
                    <w:right w:val="none" w:sz="0" w:space="0" w:color="auto"/>
                  </w:divBdr>
                  <w:divsChild>
                    <w:div w:id="240410666">
                      <w:marLeft w:val="0"/>
                      <w:marRight w:val="0"/>
                      <w:marTop w:val="0"/>
                      <w:marBottom w:val="0"/>
                      <w:divBdr>
                        <w:top w:val="none" w:sz="0" w:space="0" w:color="auto"/>
                        <w:left w:val="none" w:sz="0" w:space="0" w:color="auto"/>
                        <w:bottom w:val="none" w:sz="0" w:space="0" w:color="auto"/>
                        <w:right w:val="none" w:sz="0" w:space="0" w:color="auto"/>
                      </w:divBdr>
                    </w:div>
                  </w:divsChild>
                </w:div>
                <w:div w:id="1491167683">
                  <w:marLeft w:val="0"/>
                  <w:marRight w:val="0"/>
                  <w:marTop w:val="0"/>
                  <w:marBottom w:val="0"/>
                  <w:divBdr>
                    <w:top w:val="none" w:sz="0" w:space="0" w:color="auto"/>
                    <w:left w:val="none" w:sz="0" w:space="0" w:color="auto"/>
                    <w:bottom w:val="none" w:sz="0" w:space="0" w:color="auto"/>
                    <w:right w:val="none" w:sz="0" w:space="0" w:color="auto"/>
                  </w:divBdr>
                  <w:divsChild>
                    <w:div w:id="926958395">
                      <w:marLeft w:val="0"/>
                      <w:marRight w:val="0"/>
                      <w:marTop w:val="0"/>
                      <w:marBottom w:val="0"/>
                      <w:divBdr>
                        <w:top w:val="none" w:sz="0" w:space="0" w:color="auto"/>
                        <w:left w:val="none" w:sz="0" w:space="0" w:color="auto"/>
                        <w:bottom w:val="none" w:sz="0" w:space="0" w:color="auto"/>
                        <w:right w:val="none" w:sz="0" w:space="0" w:color="auto"/>
                      </w:divBdr>
                    </w:div>
                  </w:divsChild>
                </w:div>
                <w:div w:id="1505587007">
                  <w:marLeft w:val="0"/>
                  <w:marRight w:val="0"/>
                  <w:marTop w:val="0"/>
                  <w:marBottom w:val="0"/>
                  <w:divBdr>
                    <w:top w:val="none" w:sz="0" w:space="0" w:color="auto"/>
                    <w:left w:val="none" w:sz="0" w:space="0" w:color="auto"/>
                    <w:bottom w:val="none" w:sz="0" w:space="0" w:color="auto"/>
                    <w:right w:val="none" w:sz="0" w:space="0" w:color="auto"/>
                  </w:divBdr>
                  <w:divsChild>
                    <w:div w:id="161435439">
                      <w:marLeft w:val="0"/>
                      <w:marRight w:val="0"/>
                      <w:marTop w:val="0"/>
                      <w:marBottom w:val="0"/>
                      <w:divBdr>
                        <w:top w:val="none" w:sz="0" w:space="0" w:color="auto"/>
                        <w:left w:val="none" w:sz="0" w:space="0" w:color="auto"/>
                        <w:bottom w:val="none" w:sz="0" w:space="0" w:color="auto"/>
                        <w:right w:val="none" w:sz="0" w:space="0" w:color="auto"/>
                      </w:divBdr>
                    </w:div>
                  </w:divsChild>
                </w:div>
                <w:div w:id="1531721482">
                  <w:marLeft w:val="0"/>
                  <w:marRight w:val="0"/>
                  <w:marTop w:val="0"/>
                  <w:marBottom w:val="0"/>
                  <w:divBdr>
                    <w:top w:val="none" w:sz="0" w:space="0" w:color="auto"/>
                    <w:left w:val="none" w:sz="0" w:space="0" w:color="auto"/>
                    <w:bottom w:val="none" w:sz="0" w:space="0" w:color="auto"/>
                    <w:right w:val="none" w:sz="0" w:space="0" w:color="auto"/>
                  </w:divBdr>
                  <w:divsChild>
                    <w:div w:id="1527327396">
                      <w:marLeft w:val="0"/>
                      <w:marRight w:val="0"/>
                      <w:marTop w:val="0"/>
                      <w:marBottom w:val="0"/>
                      <w:divBdr>
                        <w:top w:val="none" w:sz="0" w:space="0" w:color="auto"/>
                        <w:left w:val="none" w:sz="0" w:space="0" w:color="auto"/>
                        <w:bottom w:val="none" w:sz="0" w:space="0" w:color="auto"/>
                        <w:right w:val="none" w:sz="0" w:space="0" w:color="auto"/>
                      </w:divBdr>
                    </w:div>
                  </w:divsChild>
                </w:div>
                <w:div w:id="1532690660">
                  <w:marLeft w:val="0"/>
                  <w:marRight w:val="0"/>
                  <w:marTop w:val="0"/>
                  <w:marBottom w:val="0"/>
                  <w:divBdr>
                    <w:top w:val="none" w:sz="0" w:space="0" w:color="auto"/>
                    <w:left w:val="none" w:sz="0" w:space="0" w:color="auto"/>
                    <w:bottom w:val="none" w:sz="0" w:space="0" w:color="auto"/>
                    <w:right w:val="none" w:sz="0" w:space="0" w:color="auto"/>
                  </w:divBdr>
                  <w:divsChild>
                    <w:div w:id="898132268">
                      <w:marLeft w:val="0"/>
                      <w:marRight w:val="0"/>
                      <w:marTop w:val="0"/>
                      <w:marBottom w:val="0"/>
                      <w:divBdr>
                        <w:top w:val="none" w:sz="0" w:space="0" w:color="auto"/>
                        <w:left w:val="none" w:sz="0" w:space="0" w:color="auto"/>
                        <w:bottom w:val="none" w:sz="0" w:space="0" w:color="auto"/>
                        <w:right w:val="none" w:sz="0" w:space="0" w:color="auto"/>
                      </w:divBdr>
                    </w:div>
                  </w:divsChild>
                </w:div>
                <w:div w:id="1544755416">
                  <w:marLeft w:val="0"/>
                  <w:marRight w:val="0"/>
                  <w:marTop w:val="0"/>
                  <w:marBottom w:val="0"/>
                  <w:divBdr>
                    <w:top w:val="none" w:sz="0" w:space="0" w:color="auto"/>
                    <w:left w:val="none" w:sz="0" w:space="0" w:color="auto"/>
                    <w:bottom w:val="none" w:sz="0" w:space="0" w:color="auto"/>
                    <w:right w:val="none" w:sz="0" w:space="0" w:color="auto"/>
                  </w:divBdr>
                  <w:divsChild>
                    <w:div w:id="346561727">
                      <w:marLeft w:val="0"/>
                      <w:marRight w:val="0"/>
                      <w:marTop w:val="0"/>
                      <w:marBottom w:val="0"/>
                      <w:divBdr>
                        <w:top w:val="none" w:sz="0" w:space="0" w:color="auto"/>
                        <w:left w:val="none" w:sz="0" w:space="0" w:color="auto"/>
                        <w:bottom w:val="none" w:sz="0" w:space="0" w:color="auto"/>
                        <w:right w:val="none" w:sz="0" w:space="0" w:color="auto"/>
                      </w:divBdr>
                    </w:div>
                  </w:divsChild>
                </w:div>
                <w:div w:id="1552109040">
                  <w:marLeft w:val="0"/>
                  <w:marRight w:val="0"/>
                  <w:marTop w:val="0"/>
                  <w:marBottom w:val="0"/>
                  <w:divBdr>
                    <w:top w:val="none" w:sz="0" w:space="0" w:color="auto"/>
                    <w:left w:val="none" w:sz="0" w:space="0" w:color="auto"/>
                    <w:bottom w:val="none" w:sz="0" w:space="0" w:color="auto"/>
                    <w:right w:val="none" w:sz="0" w:space="0" w:color="auto"/>
                  </w:divBdr>
                  <w:divsChild>
                    <w:div w:id="1213074168">
                      <w:marLeft w:val="0"/>
                      <w:marRight w:val="0"/>
                      <w:marTop w:val="0"/>
                      <w:marBottom w:val="0"/>
                      <w:divBdr>
                        <w:top w:val="none" w:sz="0" w:space="0" w:color="auto"/>
                        <w:left w:val="none" w:sz="0" w:space="0" w:color="auto"/>
                        <w:bottom w:val="none" w:sz="0" w:space="0" w:color="auto"/>
                        <w:right w:val="none" w:sz="0" w:space="0" w:color="auto"/>
                      </w:divBdr>
                    </w:div>
                  </w:divsChild>
                </w:div>
                <w:div w:id="1552812863">
                  <w:marLeft w:val="0"/>
                  <w:marRight w:val="0"/>
                  <w:marTop w:val="0"/>
                  <w:marBottom w:val="0"/>
                  <w:divBdr>
                    <w:top w:val="none" w:sz="0" w:space="0" w:color="auto"/>
                    <w:left w:val="none" w:sz="0" w:space="0" w:color="auto"/>
                    <w:bottom w:val="none" w:sz="0" w:space="0" w:color="auto"/>
                    <w:right w:val="none" w:sz="0" w:space="0" w:color="auto"/>
                  </w:divBdr>
                  <w:divsChild>
                    <w:div w:id="1011681123">
                      <w:marLeft w:val="0"/>
                      <w:marRight w:val="0"/>
                      <w:marTop w:val="0"/>
                      <w:marBottom w:val="0"/>
                      <w:divBdr>
                        <w:top w:val="none" w:sz="0" w:space="0" w:color="auto"/>
                        <w:left w:val="none" w:sz="0" w:space="0" w:color="auto"/>
                        <w:bottom w:val="none" w:sz="0" w:space="0" w:color="auto"/>
                        <w:right w:val="none" w:sz="0" w:space="0" w:color="auto"/>
                      </w:divBdr>
                    </w:div>
                  </w:divsChild>
                </w:div>
                <w:div w:id="1582594220">
                  <w:marLeft w:val="0"/>
                  <w:marRight w:val="0"/>
                  <w:marTop w:val="0"/>
                  <w:marBottom w:val="0"/>
                  <w:divBdr>
                    <w:top w:val="none" w:sz="0" w:space="0" w:color="auto"/>
                    <w:left w:val="none" w:sz="0" w:space="0" w:color="auto"/>
                    <w:bottom w:val="none" w:sz="0" w:space="0" w:color="auto"/>
                    <w:right w:val="none" w:sz="0" w:space="0" w:color="auto"/>
                  </w:divBdr>
                  <w:divsChild>
                    <w:div w:id="1014575623">
                      <w:marLeft w:val="0"/>
                      <w:marRight w:val="0"/>
                      <w:marTop w:val="0"/>
                      <w:marBottom w:val="0"/>
                      <w:divBdr>
                        <w:top w:val="none" w:sz="0" w:space="0" w:color="auto"/>
                        <w:left w:val="none" w:sz="0" w:space="0" w:color="auto"/>
                        <w:bottom w:val="none" w:sz="0" w:space="0" w:color="auto"/>
                        <w:right w:val="none" w:sz="0" w:space="0" w:color="auto"/>
                      </w:divBdr>
                    </w:div>
                  </w:divsChild>
                </w:div>
                <w:div w:id="1660428268">
                  <w:marLeft w:val="0"/>
                  <w:marRight w:val="0"/>
                  <w:marTop w:val="0"/>
                  <w:marBottom w:val="0"/>
                  <w:divBdr>
                    <w:top w:val="none" w:sz="0" w:space="0" w:color="auto"/>
                    <w:left w:val="none" w:sz="0" w:space="0" w:color="auto"/>
                    <w:bottom w:val="none" w:sz="0" w:space="0" w:color="auto"/>
                    <w:right w:val="none" w:sz="0" w:space="0" w:color="auto"/>
                  </w:divBdr>
                  <w:divsChild>
                    <w:div w:id="1327392497">
                      <w:marLeft w:val="0"/>
                      <w:marRight w:val="0"/>
                      <w:marTop w:val="0"/>
                      <w:marBottom w:val="0"/>
                      <w:divBdr>
                        <w:top w:val="none" w:sz="0" w:space="0" w:color="auto"/>
                        <w:left w:val="none" w:sz="0" w:space="0" w:color="auto"/>
                        <w:bottom w:val="none" w:sz="0" w:space="0" w:color="auto"/>
                        <w:right w:val="none" w:sz="0" w:space="0" w:color="auto"/>
                      </w:divBdr>
                    </w:div>
                  </w:divsChild>
                </w:div>
                <w:div w:id="1662543131">
                  <w:marLeft w:val="0"/>
                  <w:marRight w:val="0"/>
                  <w:marTop w:val="0"/>
                  <w:marBottom w:val="0"/>
                  <w:divBdr>
                    <w:top w:val="none" w:sz="0" w:space="0" w:color="auto"/>
                    <w:left w:val="none" w:sz="0" w:space="0" w:color="auto"/>
                    <w:bottom w:val="none" w:sz="0" w:space="0" w:color="auto"/>
                    <w:right w:val="none" w:sz="0" w:space="0" w:color="auto"/>
                  </w:divBdr>
                  <w:divsChild>
                    <w:div w:id="1835950199">
                      <w:marLeft w:val="0"/>
                      <w:marRight w:val="0"/>
                      <w:marTop w:val="0"/>
                      <w:marBottom w:val="0"/>
                      <w:divBdr>
                        <w:top w:val="none" w:sz="0" w:space="0" w:color="auto"/>
                        <w:left w:val="none" w:sz="0" w:space="0" w:color="auto"/>
                        <w:bottom w:val="none" w:sz="0" w:space="0" w:color="auto"/>
                        <w:right w:val="none" w:sz="0" w:space="0" w:color="auto"/>
                      </w:divBdr>
                    </w:div>
                  </w:divsChild>
                </w:div>
                <w:div w:id="1683819492">
                  <w:marLeft w:val="0"/>
                  <w:marRight w:val="0"/>
                  <w:marTop w:val="0"/>
                  <w:marBottom w:val="0"/>
                  <w:divBdr>
                    <w:top w:val="none" w:sz="0" w:space="0" w:color="auto"/>
                    <w:left w:val="none" w:sz="0" w:space="0" w:color="auto"/>
                    <w:bottom w:val="none" w:sz="0" w:space="0" w:color="auto"/>
                    <w:right w:val="none" w:sz="0" w:space="0" w:color="auto"/>
                  </w:divBdr>
                  <w:divsChild>
                    <w:div w:id="174149930">
                      <w:marLeft w:val="0"/>
                      <w:marRight w:val="0"/>
                      <w:marTop w:val="0"/>
                      <w:marBottom w:val="0"/>
                      <w:divBdr>
                        <w:top w:val="none" w:sz="0" w:space="0" w:color="auto"/>
                        <w:left w:val="none" w:sz="0" w:space="0" w:color="auto"/>
                        <w:bottom w:val="none" w:sz="0" w:space="0" w:color="auto"/>
                        <w:right w:val="none" w:sz="0" w:space="0" w:color="auto"/>
                      </w:divBdr>
                    </w:div>
                  </w:divsChild>
                </w:div>
                <w:div w:id="1719359741">
                  <w:marLeft w:val="0"/>
                  <w:marRight w:val="0"/>
                  <w:marTop w:val="0"/>
                  <w:marBottom w:val="0"/>
                  <w:divBdr>
                    <w:top w:val="none" w:sz="0" w:space="0" w:color="auto"/>
                    <w:left w:val="none" w:sz="0" w:space="0" w:color="auto"/>
                    <w:bottom w:val="none" w:sz="0" w:space="0" w:color="auto"/>
                    <w:right w:val="none" w:sz="0" w:space="0" w:color="auto"/>
                  </w:divBdr>
                  <w:divsChild>
                    <w:div w:id="1636136290">
                      <w:marLeft w:val="0"/>
                      <w:marRight w:val="0"/>
                      <w:marTop w:val="0"/>
                      <w:marBottom w:val="0"/>
                      <w:divBdr>
                        <w:top w:val="none" w:sz="0" w:space="0" w:color="auto"/>
                        <w:left w:val="none" w:sz="0" w:space="0" w:color="auto"/>
                        <w:bottom w:val="none" w:sz="0" w:space="0" w:color="auto"/>
                        <w:right w:val="none" w:sz="0" w:space="0" w:color="auto"/>
                      </w:divBdr>
                    </w:div>
                  </w:divsChild>
                </w:div>
                <w:div w:id="1720788964">
                  <w:marLeft w:val="0"/>
                  <w:marRight w:val="0"/>
                  <w:marTop w:val="0"/>
                  <w:marBottom w:val="0"/>
                  <w:divBdr>
                    <w:top w:val="none" w:sz="0" w:space="0" w:color="auto"/>
                    <w:left w:val="none" w:sz="0" w:space="0" w:color="auto"/>
                    <w:bottom w:val="none" w:sz="0" w:space="0" w:color="auto"/>
                    <w:right w:val="none" w:sz="0" w:space="0" w:color="auto"/>
                  </w:divBdr>
                  <w:divsChild>
                    <w:div w:id="1025250488">
                      <w:marLeft w:val="0"/>
                      <w:marRight w:val="0"/>
                      <w:marTop w:val="0"/>
                      <w:marBottom w:val="0"/>
                      <w:divBdr>
                        <w:top w:val="none" w:sz="0" w:space="0" w:color="auto"/>
                        <w:left w:val="none" w:sz="0" w:space="0" w:color="auto"/>
                        <w:bottom w:val="none" w:sz="0" w:space="0" w:color="auto"/>
                        <w:right w:val="none" w:sz="0" w:space="0" w:color="auto"/>
                      </w:divBdr>
                    </w:div>
                  </w:divsChild>
                </w:div>
                <w:div w:id="1732537628">
                  <w:marLeft w:val="0"/>
                  <w:marRight w:val="0"/>
                  <w:marTop w:val="0"/>
                  <w:marBottom w:val="0"/>
                  <w:divBdr>
                    <w:top w:val="none" w:sz="0" w:space="0" w:color="auto"/>
                    <w:left w:val="none" w:sz="0" w:space="0" w:color="auto"/>
                    <w:bottom w:val="none" w:sz="0" w:space="0" w:color="auto"/>
                    <w:right w:val="none" w:sz="0" w:space="0" w:color="auto"/>
                  </w:divBdr>
                  <w:divsChild>
                    <w:div w:id="963585119">
                      <w:marLeft w:val="0"/>
                      <w:marRight w:val="0"/>
                      <w:marTop w:val="0"/>
                      <w:marBottom w:val="0"/>
                      <w:divBdr>
                        <w:top w:val="none" w:sz="0" w:space="0" w:color="auto"/>
                        <w:left w:val="none" w:sz="0" w:space="0" w:color="auto"/>
                        <w:bottom w:val="none" w:sz="0" w:space="0" w:color="auto"/>
                        <w:right w:val="none" w:sz="0" w:space="0" w:color="auto"/>
                      </w:divBdr>
                    </w:div>
                  </w:divsChild>
                </w:div>
                <w:div w:id="1743485778">
                  <w:marLeft w:val="0"/>
                  <w:marRight w:val="0"/>
                  <w:marTop w:val="0"/>
                  <w:marBottom w:val="0"/>
                  <w:divBdr>
                    <w:top w:val="none" w:sz="0" w:space="0" w:color="auto"/>
                    <w:left w:val="none" w:sz="0" w:space="0" w:color="auto"/>
                    <w:bottom w:val="none" w:sz="0" w:space="0" w:color="auto"/>
                    <w:right w:val="none" w:sz="0" w:space="0" w:color="auto"/>
                  </w:divBdr>
                  <w:divsChild>
                    <w:div w:id="977875117">
                      <w:marLeft w:val="0"/>
                      <w:marRight w:val="0"/>
                      <w:marTop w:val="0"/>
                      <w:marBottom w:val="0"/>
                      <w:divBdr>
                        <w:top w:val="none" w:sz="0" w:space="0" w:color="auto"/>
                        <w:left w:val="none" w:sz="0" w:space="0" w:color="auto"/>
                        <w:bottom w:val="none" w:sz="0" w:space="0" w:color="auto"/>
                        <w:right w:val="none" w:sz="0" w:space="0" w:color="auto"/>
                      </w:divBdr>
                    </w:div>
                  </w:divsChild>
                </w:div>
                <w:div w:id="1768384764">
                  <w:marLeft w:val="0"/>
                  <w:marRight w:val="0"/>
                  <w:marTop w:val="0"/>
                  <w:marBottom w:val="0"/>
                  <w:divBdr>
                    <w:top w:val="none" w:sz="0" w:space="0" w:color="auto"/>
                    <w:left w:val="none" w:sz="0" w:space="0" w:color="auto"/>
                    <w:bottom w:val="none" w:sz="0" w:space="0" w:color="auto"/>
                    <w:right w:val="none" w:sz="0" w:space="0" w:color="auto"/>
                  </w:divBdr>
                  <w:divsChild>
                    <w:div w:id="1335954912">
                      <w:marLeft w:val="0"/>
                      <w:marRight w:val="0"/>
                      <w:marTop w:val="0"/>
                      <w:marBottom w:val="0"/>
                      <w:divBdr>
                        <w:top w:val="none" w:sz="0" w:space="0" w:color="auto"/>
                        <w:left w:val="none" w:sz="0" w:space="0" w:color="auto"/>
                        <w:bottom w:val="none" w:sz="0" w:space="0" w:color="auto"/>
                        <w:right w:val="none" w:sz="0" w:space="0" w:color="auto"/>
                      </w:divBdr>
                    </w:div>
                  </w:divsChild>
                </w:div>
                <w:div w:id="1788423280">
                  <w:marLeft w:val="0"/>
                  <w:marRight w:val="0"/>
                  <w:marTop w:val="0"/>
                  <w:marBottom w:val="0"/>
                  <w:divBdr>
                    <w:top w:val="none" w:sz="0" w:space="0" w:color="auto"/>
                    <w:left w:val="none" w:sz="0" w:space="0" w:color="auto"/>
                    <w:bottom w:val="none" w:sz="0" w:space="0" w:color="auto"/>
                    <w:right w:val="none" w:sz="0" w:space="0" w:color="auto"/>
                  </w:divBdr>
                  <w:divsChild>
                    <w:div w:id="1058170700">
                      <w:marLeft w:val="0"/>
                      <w:marRight w:val="0"/>
                      <w:marTop w:val="0"/>
                      <w:marBottom w:val="0"/>
                      <w:divBdr>
                        <w:top w:val="none" w:sz="0" w:space="0" w:color="auto"/>
                        <w:left w:val="none" w:sz="0" w:space="0" w:color="auto"/>
                        <w:bottom w:val="none" w:sz="0" w:space="0" w:color="auto"/>
                        <w:right w:val="none" w:sz="0" w:space="0" w:color="auto"/>
                      </w:divBdr>
                    </w:div>
                  </w:divsChild>
                </w:div>
                <w:div w:id="1807165281">
                  <w:marLeft w:val="0"/>
                  <w:marRight w:val="0"/>
                  <w:marTop w:val="0"/>
                  <w:marBottom w:val="0"/>
                  <w:divBdr>
                    <w:top w:val="none" w:sz="0" w:space="0" w:color="auto"/>
                    <w:left w:val="none" w:sz="0" w:space="0" w:color="auto"/>
                    <w:bottom w:val="none" w:sz="0" w:space="0" w:color="auto"/>
                    <w:right w:val="none" w:sz="0" w:space="0" w:color="auto"/>
                  </w:divBdr>
                  <w:divsChild>
                    <w:div w:id="826290165">
                      <w:marLeft w:val="0"/>
                      <w:marRight w:val="0"/>
                      <w:marTop w:val="0"/>
                      <w:marBottom w:val="0"/>
                      <w:divBdr>
                        <w:top w:val="none" w:sz="0" w:space="0" w:color="auto"/>
                        <w:left w:val="none" w:sz="0" w:space="0" w:color="auto"/>
                        <w:bottom w:val="none" w:sz="0" w:space="0" w:color="auto"/>
                        <w:right w:val="none" w:sz="0" w:space="0" w:color="auto"/>
                      </w:divBdr>
                    </w:div>
                  </w:divsChild>
                </w:div>
                <w:div w:id="1832795848">
                  <w:marLeft w:val="0"/>
                  <w:marRight w:val="0"/>
                  <w:marTop w:val="0"/>
                  <w:marBottom w:val="0"/>
                  <w:divBdr>
                    <w:top w:val="none" w:sz="0" w:space="0" w:color="auto"/>
                    <w:left w:val="none" w:sz="0" w:space="0" w:color="auto"/>
                    <w:bottom w:val="none" w:sz="0" w:space="0" w:color="auto"/>
                    <w:right w:val="none" w:sz="0" w:space="0" w:color="auto"/>
                  </w:divBdr>
                  <w:divsChild>
                    <w:div w:id="1592738480">
                      <w:marLeft w:val="0"/>
                      <w:marRight w:val="0"/>
                      <w:marTop w:val="0"/>
                      <w:marBottom w:val="0"/>
                      <w:divBdr>
                        <w:top w:val="none" w:sz="0" w:space="0" w:color="auto"/>
                        <w:left w:val="none" w:sz="0" w:space="0" w:color="auto"/>
                        <w:bottom w:val="none" w:sz="0" w:space="0" w:color="auto"/>
                        <w:right w:val="none" w:sz="0" w:space="0" w:color="auto"/>
                      </w:divBdr>
                    </w:div>
                  </w:divsChild>
                </w:div>
                <w:div w:id="1848791219">
                  <w:marLeft w:val="0"/>
                  <w:marRight w:val="0"/>
                  <w:marTop w:val="0"/>
                  <w:marBottom w:val="0"/>
                  <w:divBdr>
                    <w:top w:val="none" w:sz="0" w:space="0" w:color="auto"/>
                    <w:left w:val="none" w:sz="0" w:space="0" w:color="auto"/>
                    <w:bottom w:val="none" w:sz="0" w:space="0" w:color="auto"/>
                    <w:right w:val="none" w:sz="0" w:space="0" w:color="auto"/>
                  </w:divBdr>
                  <w:divsChild>
                    <w:div w:id="2008049801">
                      <w:marLeft w:val="0"/>
                      <w:marRight w:val="0"/>
                      <w:marTop w:val="0"/>
                      <w:marBottom w:val="0"/>
                      <w:divBdr>
                        <w:top w:val="none" w:sz="0" w:space="0" w:color="auto"/>
                        <w:left w:val="none" w:sz="0" w:space="0" w:color="auto"/>
                        <w:bottom w:val="none" w:sz="0" w:space="0" w:color="auto"/>
                        <w:right w:val="none" w:sz="0" w:space="0" w:color="auto"/>
                      </w:divBdr>
                    </w:div>
                  </w:divsChild>
                </w:div>
                <w:div w:id="1880587956">
                  <w:marLeft w:val="0"/>
                  <w:marRight w:val="0"/>
                  <w:marTop w:val="0"/>
                  <w:marBottom w:val="0"/>
                  <w:divBdr>
                    <w:top w:val="none" w:sz="0" w:space="0" w:color="auto"/>
                    <w:left w:val="none" w:sz="0" w:space="0" w:color="auto"/>
                    <w:bottom w:val="none" w:sz="0" w:space="0" w:color="auto"/>
                    <w:right w:val="none" w:sz="0" w:space="0" w:color="auto"/>
                  </w:divBdr>
                  <w:divsChild>
                    <w:div w:id="1573807000">
                      <w:marLeft w:val="0"/>
                      <w:marRight w:val="0"/>
                      <w:marTop w:val="0"/>
                      <w:marBottom w:val="0"/>
                      <w:divBdr>
                        <w:top w:val="none" w:sz="0" w:space="0" w:color="auto"/>
                        <w:left w:val="none" w:sz="0" w:space="0" w:color="auto"/>
                        <w:bottom w:val="none" w:sz="0" w:space="0" w:color="auto"/>
                        <w:right w:val="none" w:sz="0" w:space="0" w:color="auto"/>
                      </w:divBdr>
                    </w:div>
                  </w:divsChild>
                </w:div>
                <w:div w:id="1893079023">
                  <w:marLeft w:val="0"/>
                  <w:marRight w:val="0"/>
                  <w:marTop w:val="0"/>
                  <w:marBottom w:val="0"/>
                  <w:divBdr>
                    <w:top w:val="none" w:sz="0" w:space="0" w:color="auto"/>
                    <w:left w:val="none" w:sz="0" w:space="0" w:color="auto"/>
                    <w:bottom w:val="none" w:sz="0" w:space="0" w:color="auto"/>
                    <w:right w:val="none" w:sz="0" w:space="0" w:color="auto"/>
                  </w:divBdr>
                  <w:divsChild>
                    <w:div w:id="30158907">
                      <w:marLeft w:val="0"/>
                      <w:marRight w:val="0"/>
                      <w:marTop w:val="0"/>
                      <w:marBottom w:val="0"/>
                      <w:divBdr>
                        <w:top w:val="none" w:sz="0" w:space="0" w:color="auto"/>
                        <w:left w:val="none" w:sz="0" w:space="0" w:color="auto"/>
                        <w:bottom w:val="none" w:sz="0" w:space="0" w:color="auto"/>
                        <w:right w:val="none" w:sz="0" w:space="0" w:color="auto"/>
                      </w:divBdr>
                    </w:div>
                  </w:divsChild>
                </w:div>
                <w:div w:id="1899854146">
                  <w:marLeft w:val="0"/>
                  <w:marRight w:val="0"/>
                  <w:marTop w:val="0"/>
                  <w:marBottom w:val="0"/>
                  <w:divBdr>
                    <w:top w:val="none" w:sz="0" w:space="0" w:color="auto"/>
                    <w:left w:val="none" w:sz="0" w:space="0" w:color="auto"/>
                    <w:bottom w:val="none" w:sz="0" w:space="0" w:color="auto"/>
                    <w:right w:val="none" w:sz="0" w:space="0" w:color="auto"/>
                  </w:divBdr>
                  <w:divsChild>
                    <w:div w:id="943264505">
                      <w:marLeft w:val="0"/>
                      <w:marRight w:val="0"/>
                      <w:marTop w:val="0"/>
                      <w:marBottom w:val="0"/>
                      <w:divBdr>
                        <w:top w:val="none" w:sz="0" w:space="0" w:color="auto"/>
                        <w:left w:val="none" w:sz="0" w:space="0" w:color="auto"/>
                        <w:bottom w:val="none" w:sz="0" w:space="0" w:color="auto"/>
                        <w:right w:val="none" w:sz="0" w:space="0" w:color="auto"/>
                      </w:divBdr>
                    </w:div>
                  </w:divsChild>
                </w:div>
                <w:div w:id="1901281950">
                  <w:marLeft w:val="0"/>
                  <w:marRight w:val="0"/>
                  <w:marTop w:val="0"/>
                  <w:marBottom w:val="0"/>
                  <w:divBdr>
                    <w:top w:val="none" w:sz="0" w:space="0" w:color="auto"/>
                    <w:left w:val="none" w:sz="0" w:space="0" w:color="auto"/>
                    <w:bottom w:val="none" w:sz="0" w:space="0" w:color="auto"/>
                    <w:right w:val="none" w:sz="0" w:space="0" w:color="auto"/>
                  </w:divBdr>
                  <w:divsChild>
                    <w:div w:id="1009605781">
                      <w:marLeft w:val="0"/>
                      <w:marRight w:val="0"/>
                      <w:marTop w:val="0"/>
                      <w:marBottom w:val="0"/>
                      <w:divBdr>
                        <w:top w:val="none" w:sz="0" w:space="0" w:color="auto"/>
                        <w:left w:val="none" w:sz="0" w:space="0" w:color="auto"/>
                        <w:bottom w:val="none" w:sz="0" w:space="0" w:color="auto"/>
                        <w:right w:val="none" w:sz="0" w:space="0" w:color="auto"/>
                      </w:divBdr>
                    </w:div>
                  </w:divsChild>
                </w:div>
                <w:div w:id="1910655095">
                  <w:marLeft w:val="0"/>
                  <w:marRight w:val="0"/>
                  <w:marTop w:val="0"/>
                  <w:marBottom w:val="0"/>
                  <w:divBdr>
                    <w:top w:val="none" w:sz="0" w:space="0" w:color="auto"/>
                    <w:left w:val="none" w:sz="0" w:space="0" w:color="auto"/>
                    <w:bottom w:val="none" w:sz="0" w:space="0" w:color="auto"/>
                    <w:right w:val="none" w:sz="0" w:space="0" w:color="auto"/>
                  </w:divBdr>
                  <w:divsChild>
                    <w:div w:id="758865823">
                      <w:marLeft w:val="0"/>
                      <w:marRight w:val="0"/>
                      <w:marTop w:val="0"/>
                      <w:marBottom w:val="0"/>
                      <w:divBdr>
                        <w:top w:val="none" w:sz="0" w:space="0" w:color="auto"/>
                        <w:left w:val="none" w:sz="0" w:space="0" w:color="auto"/>
                        <w:bottom w:val="none" w:sz="0" w:space="0" w:color="auto"/>
                        <w:right w:val="none" w:sz="0" w:space="0" w:color="auto"/>
                      </w:divBdr>
                    </w:div>
                  </w:divsChild>
                </w:div>
                <w:div w:id="1916477216">
                  <w:marLeft w:val="0"/>
                  <w:marRight w:val="0"/>
                  <w:marTop w:val="0"/>
                  <w:marBottom w:val="0"/>
                  <w:divBdr>
                    <w:top w:val="none" w:sz="0" w:space="0" w:color="auto"/>
                    <w:left w:val="none" w:sz="0" w:space="0" w:color="auto"/>
                    <w:bottom w:val="none" w:sz="0" w:space="0" w:color="auto"/>
                    <w:right w:val="none" w:sz="0" w:space="0" w:color="auto"/>
                  </w:divBdr>
                  <w:divsChild>
                    <w:div w:id="1412043480">
                      <w:marLeft w:val="0"/>
                      <w:marRight w:val="0"/>
                      <w:marTop w:val="0"/>
                      <w:marBottom w:val="0"/>
                      <w:divBdr>
                        <w:top w:val="none" w:sz="0" w:space="0" w:color="auto"/>
                        <w:left w:val="none" w:sz="0" w:space="0" w:color="auto"/>
                        <w:bottom w:val="none" w:sz="0" w:space="0" w:color="auto"/>
                        <w:right w:val="none" w:sz="0" w:space="0" w:color="auto"/>
                      </w:divBdr>
                    </w:div>
                  </w:divsChild>
                </w:div>
                <w:div w:id="1919904800">
                  <w:marLeft w:val="0"/>
                  <w:marRight w:val="0"/>
                  <w:marTop w:val="0"/>
                  <w:marBottom w:val="0"/>
                  <w:divBdr>
                    <w:top w:val="none" w:sz="0" w:space="0" w:color="auto"/>
                    <w:left w:val="none" w:sz="0" w:space="0" w:color="auto"/>
                    <w:bottom w:val="none" w:sz="0" w:space="0" w:color="auto"/>
                    <w:right w:val="none" w:sz="0" w:space="0" w:color="auto"/>
                  </w:divBdr>
                  <w:divsChild>
                    <w:div w:id="1483234657">
                      <w:marLeft w:val="0"/>
                      <w:marRight w:val="0"/>
                      <w:marTop w:val="0"/>
                      <w:marBottom w:val="0"/>
                      <w:divBdr>
                        <w:top w:val="none" w:sz="0" w:space="0" w:color="auto"/>
                        <w:left w:val="none" w:sz="0" w:space="0" w:color="auto"/>
                        <w:bottom w:val="none" w:sz="0" w:space="0" w:color="auto"/>
                        <w:right w:val="none" w:sz="0" w:space="0" w:color="auto"/>
                      </w:divBdr>
                    </w:div>
                  </w:divsChild>
                </w:div>
                <w:div w:id="1924558653">
                  <w:marLeft w:val="0"/>
                  <w:marRight w:val="0"/>
                  <w:marTop w:val="0"/>
                  <w:marBottom w:val="0"/>
                  <w:divBdr>
                    <w:top w:val="none" w:sz="0" w:space="0" w:color="auto"/>
                    <w:left w:val="none" w:sz="0" w:space="0" w:color="auto"/>
                    <w:bottom w:val="none" w:sz="0" w:space="0" w:color="auto"/>
                    <w:right w:val="none" w:sz="0" w:space="0" w:color="auto"/>
                  </w:divBdr>
                  <w:divsChild>
                    <w:div w:id="1947149814">
                      <w:marLeft w:val="0"/>
                      <w:marRight w:val="0"/>
                      <w:marTop w:val="0"/>
                      <w:marBottom w:val="0"/>
                      <w:divBdr>
                        <w:top w:val="none" w:sz="0" w:space="0" w:color="auto"/>
                        <w:left w:val="none" w:sz="0" w:space="0" w:color="auto"/>
                        <w:bottom w:val="none" w:sz="0" w:space="0" w:color="auto"/>
                        <w:right w:val="none" w:sz="0" w:space="0" w:color="auto"/>
                      </w:divBdr>
                    </w:div>
                  </w:divsChild>
                </w:div>
                <w:div w:id="1954097088">
                  <w:marLeft w:val="0"/>
                  <w:marRight w:val="0"/>
                  <w:marTop w:val="0"/>
                  <w:marBottom w:val="0"/>
                  <w:divBdr>
                    <w:top w:val="none" w:sz="0" w:space="0" w:color="auto"/>
                    <w:left w:val="none" w:sz="0" w:space="0" w:color="auto"/>
                    <w:bottom w:val="none" w:sz="0" w:space="0" w:color="auto"/>
                    <w:right w:val="none" w:sz="0" w:space="0" w:color="auto"/>
                  </w:divBdr>
                  <w:divsChild>
                    <w:div w:id="1009717979">
                      <w:marLeft w:val="0"/>
                      <w:marRight w:val="0"/>
                      <w:marTop w:val="0"/>
                      <w:marBottom w:val="0"/>
                      <w:divBdr>
                        <w:top w:val="none" w:sz="0" w:space="0" w:color="auto"/>
                        <w:left w:val="none" w:sz="0" w:space="0" w:color="auto"/>
                        <w:bottom w:val="none" w:sz="0" w:space="0" w:color="auto"/>
                        <w:right w:val="none" w:sz="0" w:space="0" w:color="auto"/>
                      </w:divBdr>
                    </w:div>
                  </w:divsChild>
                </w:div>
                <w:div w:id="2024817162">
                  <w:marLeft w:val="0"/>
                  <w:marRight w:val="0"/>
                  <w:marTop w:val="0"/>
                  <w:marBottom w:val="0"/>
                  <w:divBdr>
                    <w:top w:val="none" w:sz="0" w:space="0" w:color="auto"/>
                    <w:left w:val="none" w:sz="0" w:space="0" w:color="auto"/>
                    <w:bottom w:val="none" w:sz="0" w:space="0" w:color="auto"/>
                    <w:right w:val="none" w:sz="0" w:space="0" w:color="auto"/>
                  </w:divBdr>
                  <w:divsChild>
                    <w:div w:id="1985426205">
                      <w:marLeft w:val="0"/>
                      <w:marRight w:val="0"/>
                      <w:marTop w:val="0"/>
                      <w:marBottom w:val="0"/>
                      <w:divBdr>
                        <w:top w:val="none" w:sz="0" w:space="0" w:color="auto"/>
                        <w:left w:val="none" w:sz="0" w:space="0" w:color="auto"/>
                        <w:bottom w:val="none" w:sz="0" w:space="0" w:color="auto"/>
                        <w:right w:val="none" w:sz="0" w:space="0" w:color="auto"/>
                      </w:divBdr>
                    </w:div>
                  </w:divsChild>
                </w:div>
                <w:div w:id="2064016418">
                  <w:marLeft w:val="0"/>
                  <w:marRight w:val="0"/>
                  <w:marTop w:val="0"/>
                  <w:marBottom w:val="0"/>
                  <w:divBdr>
                    <w:top w:val="none" w:sz="0" w:space="0" w:color="auto"/>
                    <w:left w:val="none" w:sz="0" w:space="0" w:color="auto"/>
                    <w:bottom w:val="none" w:sz="0" w:space="0" w:color="auto"/>
                    <w:right w:val="none" w:sz="0" w:space="0" w:color="auto"/>
                  </w:divBdr>
                  <w:divsChild>
                    <w:div w:id="1673726576">
                      <w:marLeft w:val="0"/>
                      <w:marRight w:val="0"/>
                      <w:marTop w:val="0"/>
                      <w:marBottom w:val="0"/>
                      <w:divBdr>
                        <w:top w:val="none" w:sz="0" w:space="0" w:color="auto"/>
                        <w:left w:val="none" w:sz="0" w:space="0" w:color="auto"/>
                        <w:bottom w:val="none" w:sz="0" w:space="0" w:color="auto"/>
                        <w:right w:val="none" w:sz="0" w:space="0" w:color="auto"/>
                      </w:divBdr>
                    </w:div>
                  </w:divsChild>
                </w:div>
                <w:div w:id="2064795146">
                  <w:marLeft w:val="0"/>
                  <w:marRight w:val="0"/>
                  <w:marTop w:val="0"/>
                  <w:marBottom w:val="0"/>
                  <w:divBdr>
                    <w:top w:val="none" w:sz="0" w:space="0" w:color="auto"/>
                    <w:left w:val="none" w:sz="0" w:space="0" w:color="auto"/>
                    <w:bottom w:val="none" w:sz="0" w:space="0" w:color="auto"/>
                    <w:right w:val="none" w:sz="0" w:space="0" w:color="auto"/>
                  </w:divBdr>
                  <w:divsChild>
                    <w:div w:id="1579710572">
                      <w:marLeft w:val="0"/>
                      <w:marRight w:val="0"/>
                      <w:marTop w:val="0"/>
                      <w:marBottom w:val="0"/>
                      <w:divBdr>
                        <w:top w:val="none" w:sz="0" w:space="0" w:color="auto"/>
                        <w:left w:val="none" w:sz="0" w:space="0" w:color="auto"/>
                        <w:bottom w:val="none" w:sz="0" w:space="0" w:color="auto"/>
                        <w:right w:val="none" w:sz="0" w:space="0" w:color="auto"/>
                      </w:divBdr>
                    </w:div>
                  </w:divsChild>
                </w:div>
                <w:div w:id="2119443468">
                  <w:marLeft w:val="0"/>
                  <w:marRight w:val="0"/>
                  <w:marTop w:val="0"/>
                  <w:marBottom w:val="0"/>
                  <w:divBdr>
                    <w:top w:val="none" w:sz="0" w:space="0" w:color="auto"/>
                    <w:left w:val="none" w:sz="0" w:space="0" w:color="auto"/>
                    <w:bottom w:val="none" w:sz="0" w:space="0" w:color="auto"/>
                    <w:right w:val="none" w:sz="0" w:space="0" w:color="auto"/>
                  </w:divBdr>
                  <w:divsChild>
                    <w:div w:id="2134056632">
                      <w:marLeft w:val="0"/>
                      <w:marRight w:val="0"/>
                      <w:marTop w:val="0"/>
                      <w:marBottom w:val="0"/>
                      <w:divBdr>
                        <w:top w:val="none" w:sz="0" w:space="0" w:color="auto"/>
                        <w:left w:val="none" w:sz="0" w:space="0" w:color="auto"/>
                        <w:bottom w:val="none" w:sz="0" w:space="0" w:color="auto"/>
                        <w:right w:val="none" w:sz="0" w:space="0" w:color="auto"/>
                      </w:divBdr>
                    </w:div>
                  </w:divsChild>
                </w:div>
                <w:div w:id="2146507710">
                  <w:marLeft w:val="0"/>
                  <w:marRight w:val="0"/>
                  <w:marTop w:val="0"/>
                  <w:marBottom w:val="0"/>
                  <w:divBdr>
                    <w:top w:val="none" w:sz="0" w:space="0" w:color="auto"/>
                    <w:left w:val="none" w:sz="0" w:space="0" w:color="auto"/>
                    <w:bottom w:val="none" w:sz="0" w:space="0" w:color="auto"/>
                    <w:right w:val="none" w:sz="0" w:space="0" w:color="auto"/>
                  </w:divBdr>
                  <w:divsChild>
                    <w:div w:id="53111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059732">
          <w:marLeft w:val="0"/>
          <w:marRight w:val="0"/>
          <w:marTop w:val="0"/>
          <w:marBottom w:val="0"/>
          <w:divBdr>
            <w:top w:val="none" w:sz="0" w:space="0" w:color="auto"/>
            <w:left w:val="none" w:sz="0" w:space="0" w:color="auto"/>
            <w:bottom w:val="none" w:sz="0" w:space="0" w:color="auto"/>
            <w:right w:val="none" w:sz="0" w:space="0" w:color="auto"/>
          </w:divBdr>
        </w:div>
        <w:div w:id="1895388646">
          <w:marLeft w:val="0"/>
          <w:marRight w:val="0"/>
          <w:marTop w:val="0"/>
          <w:marBottom w:val="0"/>
          <w:divBdr>
            <w:top w:val="none" w:sz="0" w:space="0" w:color="auto"/>
            <w:left w:val="none" w:sz="0" w:space="0" w:color="auto"/>
            <w:bottom w:val="none" w:sz="0" w:space="0" w:color="auto"/>
            <w:right w:val="none" w:sz="0" w:space="0" w:color="auto"/>
          </w:divBdr>
          <w:divsChild>
            <w:div w:id="401484809">
              <w:marLeft w:val="-75"/>
              <w:marRight w:val="0"/>
              <w:marTop w:val="30"/>
              <w:marBottom w:val="30"/>
              <w:divBdr>
                <w:top w:val="none" w:sz="0" w:space="0" w:color="auto"/>
                <w:left w:val="none" w:sz="0" w:space="0" w:color="auto"/>
                <w:bottom w:val="none" w:sz="0" w:space="0" w:color="auto"/>
                <w:right w:val="none" w:sz="0" w:space="0" w:color="auto"/>
              </w:divBdr>
              <w:divsChild>
                <w:div w:id="376205801">
                  <w:marLeft w:val="0"/>
                  <w:marRight w:val="0"/>
                  <w:marTop w:val="0"/>
                  <w:marBottom w:val="0"/>
                  <w:divBdr>
                    <w:top w:val="none" w:sz="0" w:space="0" w:color="auto"/>
                    <w:left w:val="none" w:sz="0" w:space="0" w:color="auto"/>
                    <w:bottom w:val="none" w:sz="0" w:space="0" w:color="auto"/>
                    <w:right w:val="none" w:sz="0" w:space="0" w:color="auto"/>
                  </w:divBdr>
                  <w:divsChild>
                    <w:div w:id="1915116014">
                      <w:marLeft w:val="0"/>
                      <w:marRight w:val="0"/>
                      <w:marTop w:val="0"/>
                      <w:marBottom w:val="0"/>
                      <w:divBdr>
                        <w:top w:val="none" w:sz="0" w:space="0" w:color="auto"/>
                        <w:left w:val="none" w:sz="0" w:space="0" w:color="auto"/>
                        <w:bottom w:val="none" w:sz="0" w:space="0" w:color="auto"/>
                        <w:right w:val="none" w:sz="0" w:space="0" w:color="auto"/>
                      </w:divBdr>
                    </w:div>
                  </w:divsChild>
                </w:div>
                <w:div w:id="969359040">
                  <w:marLeft w:val="0"/>
                  <w:marRight w:val="0"/>
                  <w:marTop w:val="0"/>
                  <w:marBottom w:val="0"/>
                  <w:divBdr>
                    <w:top w:val="none" w:sz="0" w:space="0" w:color="auto"/>
                    <w:left w:val="none" w:sz="0" w:space="0" w:color="auto"/>
                    <w:bottom w:val="none" w:sz="0" w:space="0" w:color="auto"/>
                    <w:right w:val="none" w:sz="0" w:space="0" w:color="auto"/>
                  </w:divBdr>
                  <w:divsChild>
                    <w:div w:id="1442334186">
                      <w:marLeft w:val="0"/>
                      <w:marRight w:val="0"/>
                      <w:marTop w:val="0"/>
                      <w:marBottom w:val="0"/>
                      <w:divBdr>
                        <w:top w:val="none" w:sz="0" w:space="0" w:color="auto"/>
                        <w:left w:val="none" w:sz="0" w:space="0" w:color="auto"/>
                        <w:bottom w:val="none" w:sz="0" w:space="0" w:color="auto"/>
                        <w:right w:val="none" w:sz="0" w:space="0" w:color="auto"/>
                      </w:divBdr>
                    </w:div>
                  </w:divsChild>
                </w:div>
                <w:div w:id="1329364282">
                  <w:marLeft w:val="0"/>
                  <w:marRight w:val="0"/>
                  <w:marTop w:val="0"/>
                  <w:marBottom w:val="0"/>
                  <w:divBdr>
                    <w:top w:val="none" w:sz="0" w:space="0" w:color="auto"/>
                    <w:left w:val="none" w:sz="0" w:space="0" w:color="auto"/>
                    <w:bottom w:val="none" w:sz="0" w:space="0" w:color="auto"/>
                    <w:right w:val="none" w:sz="0" w:space="0" w:color="auto"/>
                  </w:divBdr>
                  <w:divsChild>
                    <w:div w:id="39719139">
                      <w:marLeft w:val="0"/>
                      <w:marRight w:val="0"/>
                      <w:marTop w:val="0"/>
                      <w:marBottom w:val="0"/>
                      <w:divBdr>
                        <w:top w:val="none" w:sz="0" w:space="0" w:color="auto"/>
                        <w:left w:val="none" w:sz="0" w:space="0" w:color="auto"/>
                        <w:bottom w:val="none" w:sz="0" w:space="0" w:color="auto"/>
                        <w:right w:val="none" w:sz="0" w:space="0" w:color="auto"/>
                      </w:divBdr>
                    </w:div>
                  </w:divsChild>
                </w:div>
                <w:div w:id="1383672983">
                  <w:marLeft w:val="0"/>
                  <w:marRight w:val="0"/>
                  <w:marTop w:val="0"/>
                  <w:marBottom w:val="0"/>
                  <w:divBdr>
                    <w:top w:val="none" w:sz="0" w:space="0" w:color="auto"/>
                    <w:left w:val="none" w:sz="0" w:space="0" w:color="auto"/>
                    <w:bottom w:val="none" w:sz="0" w:space="0" w:color="auto"/>
                    <w:right w:val="none" w:sz="0" w:space="0" w:color="auto"/>
                  </w:divBdr>
                  <w:divsChild>
                    <w:div w:id="507138386">
                      <w:marLeft w:val="0"/>
                      <w:marRight w:val="0"/>
                      <w:marTop w:val="0"/>
                      <w:marBottom w:val="0"/>
                      <w:divBdr>
                        <w:top w:val="none" w:sz="0" w:space="0" w:color="auto"/>
                        <w:left w:val="none" w:sz="0" w:space="0" w:color="auto"/>
                        <w:bottom w:val="none" w:sz="0" w:space="0" w:color="auto"/>
                        <w:right w:val="none" w:sz="0" w:space="0" w:color="auto"/>
                      </w:divBdr>
                    </w:div>
                    <w:div w:id="1100611908">
                      <w:marLeft w:val="0"/>
                      <w:marRight w:val="0"/>
                      <w:marTop w:val="0"/>
                      <w:marBottom w:val="0"/>
                      <w:divBdr>
                        <w:top w:val="none" w:sz="0" w:space="0" w:color="auto"/>
                        <w:left w:val="none" w:sz="0" w:space="0" w:color="auto"/>
                        <w:bottom w:val="none" w:sz="0" w:space="0" w:color="auto"/>
                        <w:right w:val="none" w:sz="0" w:space="0" w:color="auto"/>
                      </w:divBdr>
                    </w:div>
                  </w:divsChild>
                </w:div>
                <w:div w:id="1458330400">
                  <w:marLeft w:val="0"/>
                  <w:marRight w:val="0"/>
                  <w:marTop w:val="0"/>
                  <w:marBottom w:val="0"/>
                  <w:divBdr>
                    <w:top w:val="none" w:sz="0" w:space="0" w:color="auto"/>
                    <w:left w:val="none" w:sz="0" w:space="0" w:color="auto"/>
                    <w:bottom w:val="none" w:sz="0" w:space="0" w:color="auto"/>
                    <w:right w:val="none" w:sz="0" w:space="0" w:color="auto"/>
                  </w:divBdr>
                  <w:divsChild>
                    <w:div w:id="257297731">
                      <w:marLeft w:val="0"/>
                      <w:marRight w:val="0"/>
                      <w:marTop w:val="0"/>
                      <w:marBottom w:val="0"/>
                      <w:divBdr>
                        <w:top w:val="none" w:sz="0" w:space="0" w:color="auto"/>
                        <w:left w:val="none" w:sz="0" w:space="0" w:color="auto"/>
                        <w:bottom w:val="none" w:sz="0" w:space="0" w:color="auto"/>
                        <w:right w:val="none" w:sz="0" w:space="0" w:color="auto"/>
                      </w:divBdr>
                    </w:div>
                  </w:divsChild>
                </w:div>
                <w:div w:id="1600673578">
                  <w:marLeft w:val="0"/>
                  <w:marRight w:val="0"/>
                  <w:marTop w:val="0"/>
                  <w:marBottom w:val="0"/>
                  <w:divBdr>
                    <w:top w:val="none" w:sz="0" w:space="0" w:color="auto"/>
                    <w:left w:val="none" w:sz="0" w:space="0" w:color="auto"/>
                    <w:bottom w:val="none" w:sz="0" w:space="0" w:color="auto"/>
                    <w:right w:val="none" w:sz="0" w:space="0" w:color="auto"/>
                  </w:divBdr>
                  <w:divsChild>
                    <w:div w:id="7298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73009">
          <w:marLeft w:val="0"/>
          <w:marRight w:val="0"/>
          <w:marTop w:val="0"/>
          <w:marBottom w:val="0"/>
          <w:divBdr>
            <w:top w:val="none" w:sz="0" w:space="0" w:color="auto"/>
            <w:left w:val="none" w:sz="0" w:space="0" w:color="auto"/>
            <w:bottom w:val="none" w:sz="0" w:space="0" w:color="auto"/>
            <w:right w:val="none" w:sz="0" w:space="0" w:color="auto"/>
          </w:divBdr>
        </w:div>
        <w:div w:id="1914124110">
          <w:marLeft w:val="0"/>
          <w:marRight w:val="0"/>
          <w:marTop w:val="0"/>
          <w:marBottom w:val="0"/>
          <w:divBdr>
            <w:top w:val="none" w:sz="0" w:space="0" w:color="auto"/>
            <w:left w:val="none" w:sz="0" w:space="0" w:color="auto"/>
            <w:bottom w:val="none" w:sz="0" w:space="0" w:color="auto"/>
            <w:right w:val="none" w:sz="0" w:space="0" w:color="auto"/>
          </w:divBdr>
        </w:div>
        <w:div w:id="1929188854">
          <w:marLeft w:val="0"/>
          <w:marRight w:val="0"/>
          <w:marTop w:val="0"/>
          <w:marBottom w:val="0"/>
          <w:divBdr>
            <w:top w:val="none" w:sz="0" w:space="0" w:color="auto"/>
            <w:left w:val="none" w:sz="0" w:space="0" w:color="auto"/>
            <w:bottom w:val="none" w:sz="0" w:space="0" w:color="auto"/>
            <w:right w:val="none" w:sz="0" w:space="0" w:color="auto"/>
          </w:divBdr>
          <w:divsChild>
            <w:div w:id="349723527">
              <w:marLeft w:val="-75"/>
              <w:marRight w:val="0"/>
              <w:marTop w:val="30"/>
              <w:marBottom w:val="30"/>
              <w:divBdr>
                <w:top w:val="none" w:sz="0" w:space="0" w:color="auto"/>
                <w:left w:val="none" w:sz="0" w:space="0" w:color="auto"/>
                <w:bottom w:val="none" w:sz="0" w:space="0" w:color="auto"/>
                <w:right w:val="none" w:sz="0" w:space="0" w:color="auto"/>
              </w:divBdr>
              <w:divsChild>
                <w:div w:id="24840061">
                  <w:marLeft w:val="0"/>
                  <w:marRight w:val="0"/>
                  <w:marTop w:val="0"/>
                  <w:marBottom w:val="0"/>
                  <w:divBdr>
                    <w:top w:val="none" w:sz="0" w:space="0" w:color="auto"/>
                    <w:left w:val="none" w:sz="0" w:space="0" w:color="auto"/>
                    <w:bottom w:val="none" w:sz="0" w:space="0" w:color="auto"/>
                    <w:right w:val="none" w:sz="0" w:space="0" w:color="auto"/>
                  </w:divBdr>
                  <w:divsChild>
                    <w:div w:id="278026566">
                      <w:marLeft w:val="0"/>
                      <w:marRight w:val="0"/>
                      <w:marTop w:val="0"/>
                      <w:marBottom w:val="0"/>
                      <w:divBdr>
                        <w:top w:val="none" w:sz="0" w:space="0" w:color="auto"/>
                        <w:left w:val="none" w:sz="0" w:space="0" w:color="auto"/>
                        <w:bottom w:val="none" w:sz="0" w:space="0" w:color="auto"/>
                        <w:right w:val="none" w:sz="0" w:space="0" w:color="auto"/>
                      </w:divBdr>
                    </w:div>
                  </w:divsChild>
                </w:div>
                <w:div w:id="27613121">
                  <w:marLeft w:val="0"/>
                  <w:marRight w:val="0"/>
                  <w:marTop w:val="0"/>
                  <w:marBottom w:val="0"/>
                  <w:divBdr>
                    <w:top w:val="none" w:sz="0" w:space="0" w:color="auto"/>
                    <w:left w:val="none" w:sz="0" w:space="0" w:color="auto"/>
                    <w:bottom w:val="none" w:sz="0" w:space="0" w:color="auto"/>
                    <w:right w:val="none" w:sz="0" w:space="0" w:color="auto"/>
                  </w:divBdr>
                  <w:divsChild>
                    <w:div w:id="2138520400">
                      <w:marLeft w:val="0"/>
                      <w:marRight w:val="0"/>
                      <w:marTop w:val="0"/>
                      <w:marBottom w:val="0"/>
                      <w:divBdr>
                        <w:top w:val="none" w:sz="0" w:space="0" w:color="auto"/>
                        <w:left w:val="none" w:sz="0" w:space="0" w:color="auto"/>
                        <w:bottom w:val="none" w:sz="0" w:space="0" w:color="auto"/>
                        <w:right w:val="none" w:sz="0" w:space="0" w:color="auto"/>
                      </w:divBdr>
                    </w:div>
                  </w:divsChild>
                </w:div>
                <w:div w:id="86468735">
                  <w:marLeft w:val="0"/>
                  <w:marRight w:val="0"/>
                  <w:marTop w:val="0"/>
                  <w:marBottom w:val="0"/>
                  <w:divBdr>
                    <w:top w:val="none" w:sz="0" w:space="0" w:color="auto"/>
                    <w:left w:val="none" w:sz="0" w:space="0" w:color="auto"/>
                    <w:bottom w:val="none" w:sz="0" w:space="0" w:color="auto"/>
                    <w:right w:val="none" w:sz="0" w:space="0" w:color="auto"/>
                  </w:divBdr>
                  <w:divsChild>
                    <w:div w:id="1786970556">
                      <w:marLeft w:val="0"/>
                      <w:marRight w:val="0"/>
                      <w:marTop w:val="0"/>
                      <w:marBottom w:val="0"/>
                      <w:divBdr>
                        <w:top w:val="none" w:sz="0" w:space="0" w:color="auto"/>
                        <w:left w:val="none" w:sz="0" w:space="0" w:color="auto"/>
                        <w:bottom w:val="none" w:sz="0" w:space="0" w:color="auto"/>
                        <w:right w:val="none" w:sz="0" w:space="0" w:color="auto"/>
                      </w:divBdr>
                    </w:div>
                  </w:divsChild>
                </w:div>
                <w:div w:id="98065228">
                  <w:marLeft w:val="0"/>
                  <w:marRight w:val="0"/>
                  <w:marTop w:val="0"/>
                  <w:marBottom w:val="0"/>
                  <w:divBdr>
                    <w:top w:val="none" w:sz="0" w:space="0" w:color="auto"/>
                    <w:left w:val="none" w:sz="0" w:space="0" w:color="auto"/>
                    <w:bottom w:val="none" w:sz="0" w:space="0" w:color="auto"/>
                    <w:right w:val="none" w:sz="0" w:space="0" w:color="auto"/>
                  </w:divBdr>
                  <w:divsChild>
                    <w:div w:id="1197159875">
                      <w:marLeft w:val="0"/>
                      <w:marRight w:val="0"/>
                      <w:marTop w:val="0"/>
                      <w:marBottom w:val="0"/>
                      <w:divBdr>
                        <w:top w:val="none" w:sz="0" w:space="0" w:color="auto"/>
                        <w:left w:val="none" w:sz="0" w:space="0" w:color="auto"/>
                        <w:bottom w:val="none" w:sz="0" w:space="0" w:color="auto"/>
                        <w:right w:val="none" w:sz="0" w:space="0" w:color="auto"/>
                      </w:divBdr>
                    </w:div>
                  </w:divsChild>
                </w:div>
                <w:div w:id="122967105">
                  <w:marLeft w:val="0"/>
                  <w:marRight w:val="0"/>
                  <w:marTop w:val="0"/>
                  <w:marBottom w:val="0"/>
                  <w:divBdr>
                    <w:top w:val="none" w:sz="0" w:space="0" w:color="auto"/>
                    <w:left w:val="none" w:sz="0" w:space="0" w:color="auto"/>
                    <w:bottom w:val="none" w:sz="0" w:space="0" w:color="auto"/>
                    <w:right w:val="none" w:sz="0" w:space="0" w:color="auto"/>
                  </w:divBdr>
                  <w:divsChild>
                    <w:div w:id="1655135792">
                      <w:marLeft w:val="0"/>
                      <w:marRight w:val="0"/>
                      <w:marTop w:val="0"/>
                      <w:marBottom w:val="0"/>
                      <w:divBdr>
                        <w:top w:val="none" w:sz="0" w:space="0" w:color="auto"/>
                        <w:left w:val="none" w:sz="0" w:space="0" w:color="auto"/>
                        <w:bottom w:val="none" w:sz="0" w:space="0" w:color="auto"/>
                        <w:right w:val="none" w:sz="0" w:space="0" w:color="auto"/>
                      </w:divBdr>
                    </w:div>
                  </w:divsChild>
                </w:div>
                <w:div w:id="142935789">
                  <w:marLeft w:val="0"/>
                  <w:marRight w:val="0"/>
                  <w:marTop w:val="0"/>
                  <w:marBottom w:val="0"/>
                  <w:divBdr>
                    <w:top w:val="none" w:sz="0" w:space="0" w:color="auto"/>
                    <w:left w:val="none" w:sz="0" w:space="0" w:color="auto"/>
                    <w:bottom w:val="none" w:sz="0" w:space="0" w:color="auto"/>
                    <w:right w:val="none" w:sz="0" w:space="0" w:color="auto"/>
                  </w:divBdr>
                  <w:divsChild>
                    <w:div w:id="631908912">
                      <w:marLeft w:val="0"/>
                      <w:marRight w:val="0"/>
                      <w:marTop w:val="0"/>
                      <w:marBottom w:val="0"/>
                      <w:divBdr>
                        <w:top w:val="none" w:sz="0" w:space="0" w:color="auto"/>
                        <w:left w:val="none" w:sz="0" w:space="0" w:color="auto"/>
                        <w:bottom w:val="none" w:sz="0" w:space="0" w:color="auto"/>
                        <w:right w:val="none" w:sz="0" w:space="0" w:color="auto"/>
                      </w:divBdr>
                    </w:div>
                  </w:divsChild>
                </w:div>
                <w:div w:id="144203085">
                  <w:marLeft w:val="0"/>
                  <w:marRight w:val="0"/>
                  <w:marTop w:val="0"/>
                  <w:marBottom w:val="0"/>
                  <w:divBdr>
                    <w:top w:val="none" w:sz="0" w:space="0" w:color="auto"/>
                    <w:left w:val="none" w:sz="0" w:space="0" w:color="auto"/>
                    <w:bottom w:val="none" w:sz="0" w:space="0" w:color="auto"/>
                    <w:right w:val="none" w:sz="0" w:space="0" w:color="auto"/>
                  </w:divBdr>
                  <w:divsChild>
                    <w:div w:id="351492993">
                      <w:marLeft w:val="0"/>
                      <w:marRight w:val="0"/>
                      <w:marTop w:val="0"/>
                      <w:marBottom w:val="0"/>
                      <w:divBdr>
                        <w:top w:val="none" w:sz="0" w:space="0" w:color="auto"/>
                        <w:left w:val="none" w:sz="0" w:space="0" w:color="auto"/>
                        <w:bottom w:val="none" w:sz="0" w:space="0" w:color="auto"/>
                        <w:right w:val="none" w:sz="0" w:space="0" w:color="auto"/>
                      </w:divBdr>
                    </w:div>
                  </w:divsChild>
                </w:div>
                <w:div w:id="165832320">
                  <w:marLeft w:val="0"/>
                  <w:marRight w:val="0"/>
                  <w:marTop w:val="0"/>
                  <w:marBottom w:val="0"/>
                  <w:divBdr>
                    <w:top w:val="none" w:sz="0" w:space="0" w:color="auto"/>
                    <w:left w:val="none" w:sz="0" w:space="0" w:color="auto"/>
                    <w:bottom w:val="none" w:sz="0" w:space="0" w:color="auto"/>
                    <w:right w:val="none" w:sz="0" w:space="0" w:color="auto"/>
                  </w:divBdr>
                  <w:divsChild>
                    <w:div w:id="468597017">
                      <w:marLeft w:val="0"/>
                      <w:marRight w:val="0"/>
                      <w:marTop w:val="0"/>
                      <w:marBottom w:val="0"/>
                      <w:divBdr>
                        <w:top w:val="none" w:sz="0" w:space="0" w:color="auto"/>
                        <w:left w:val="none" w:sz="0" w:space="0" w:color="auto"/>
                        <w:bottom w:val="none" w:sz="0" w:space="0" w:color="auto"/>
                        <w:right w:val="none" w:sz="0" w:space="0" w:color="auto"/>
                      </w:divBdr>
                    </w:div>
                  </w:divsChild>
                </w:div>
                <w:div w:id="175537766">
                  <w:marLeft w:val="0"/>
                  <w:marRight w:val="0"/>
                  <w:marTop w:val="0"/>
                  <w:marBottom w:val="0"/>
                  <w:divBdr>
                    <w:top w:val="none" w:sz="0" w:space="0" w:color="auto"/>
                    <w:left w:val="none" w:sz="0" w:space="0" w:color="auto"/>
                    <w:bottom w:val="none" w:sz="0" w:space="0" w:color="auto"/>
                    <w:right w:val="none" w:sz="0" w:space="0" w:color="auto"/>
                  </w:divBdr>
                  <w:divsChild>
                    <w:div w:id="1608778289">
                      <w:marLeft w:val="0"/>
                      <w:marRight w:val="0"/>
                      <w:marTop w:val="0"/>
                      <w:marBottom w:val="0"/>
                      <w:divBdr>
                        <w:top w:val="none" w:sz="0" w:space="0" w:color="auto"/>
                        <w:left w:val="none" w:sz="0" w:space="0" w:color="auto"/>
                        <w:bottom w:val="none" w:sz="0" w:space="0" w:color="auto"/>
                        <w:right w:val="none" w:sz="0" w:space="0" w:color="auto"/>
                      </w:divBdr>
                    </w:div>
                  </w:divsChild>
                </w:div>
                <w:div w:id="181282508">
                  <w:marLeft w:val="0"/>
                  <w:marRight w:val="0"/>
                  <w:marTop w:val="0"/>
                  <w:marBottom w:val="0"/>
                  <w:divBdr>
                    <w:top w:val="none" w:sz="0" w:space="0" w:color="auto"/>
                    <w:left w:val="none" w:sz="0" w:space="0" w:color="auto"/>
                    <w:bottom w:val="none" w:sz="0" w:space="0" w:color="auto"/>
                    <w:right w:val="none" w:sz="0" w:space="0" w:color="auto"/>
                  </w:divBdr>
                  <w:divsChild>
                    <w:div w:id="395126720">
                      <w:marLeft w:val="0"/>
                      <w:marRight w:val="0"/>
                      <w:marTop w:val="0"/>
                      <w:marBottom w:val="0"/>
                      <w:divBdr>
                        <w:top w:val="none" w:sz="0" w:space="0" w:color="auto"/>
                        <w:left w:val="none" w:sz="0" w:space="0" w:color="auto"/>
                        <w:bottom w:val="none" w:sz="0" w:space="0" w:color="auto"/>
                        <w:right w:val="none" w:sz="0" w:space="0" w:color="auto"/>
                      </w:divBdr>
                    </w:div>
                  </w:divsChild>
                </w:div>
                <w:div w:id="184683014">
                  <w:marLeft w:val="0"/>
                  <w:marRight w:val="0"/>
                  <w:marTop w:val="0"/>
                  <w:marBottom w:val="0"/>
                  <w:divBdr>
                    <w:top w:val="none" w:sz="0" w:space="0" w:color="auto"/>
                    <w:left w:val="none" w:sz="0" w:space="0" w:color="auto"/>
                    <w:bottom w:val="none" w:sz="0" w:space="0" w:color="auto"/>
                    <w:right w:val="none" w:sz="0" w:space="0" w:color="auto"/>
                  </w:divBdr>
                  <w:divsChild>
                    <w:div w:id="518929749">
                      <w:marLeft w:val="0"/>
                      <w:marRight w:val="0"/>
                      <w:marTop w:val="0"/>
                      <w:marBottom w:val="0"/>
                      <w:divBdr>
                        <w:top w:val="none" w:sz="0" w:space="0" w:color="auto"/>
                        <w:left w:val="none" w:sz="0" w:space="0" w:color="auto"/>
                        <w:bottom w:val="none" w:sz="0" w:space="0" w:color="auto"/>
                        <w:right w:val="none" w:sz="0" w:space="0" w:color="auto"/>
                      </w:divBdr>
                    </w:div>
                  </w:divsChild>
                </w:div>
                <w:div w:id="202788622">
                  <w:marLeft w:val="0"/>
                  <w:marRight w:val="0"/>
                  <w:marTop w:val="0"/>
                  <w:marBottom w:val="0"/>
                  <w:divBdr>
                    <w:top w:val="none" w:sz="0" w:space="0" w:color="auto"/>
                    <w:left w:val="none" w:sz="0" w:space="0" w:color="auto"/>
                    <w:bottom w:val="none" w:sz="0" w:space="0" w:color="auto"/>
                    <w:right w:val="none" w:sz="0" w:space="0" w:color="auto"/>
                  </w:divBdr>
                  <w:divsChild>
                    <w:div w:id="331959595">
                      <w:marLeft w:val="0"/>
                      <w:marRight w:val="0"/>
                      <w:marTop w:val="0"/>
                      <w:marBottom w:val="0"/>
                      <w:divBdr>
                        <w:top w:val="none" w:sz="0" w:space="0" w:color="auto"/>
                        <w:left w:val="none" w:sz="0" w:space="0" w:color="auto"/>
                        <w:bottom w:val="none" w:sz="0" w:space="0" w:color="auto"/>
                        <w:right w:val="none" w:sz="0" w:space="0" w:color="auto"/>
                      </w:divBdr>
                    </w:div>
                  </w:divsChild>
                </w:div>
                <w:div w:id="210268553">
                  <w:marLeft w:val="0"/>
                  <w:marRight w:val="0"/>
                  <w:marTop w:val="0"/>
                  <w:marBottom w:val="0"/>
                  <w:divBdr>
                    <w:top w:val="none" w:sz="0" w:space="0" w:color="auto"/>
                    <w:left w:val="none" w:sz="0" w:space="0" w:color="auto"/>
                    <w:bottom w:val="none" w:sz="0" w:space="0" w:color="auto"/>
                    <w:right w:val="none" w:sz="0" w:space="0" w:color="auto"/>
                  </w:divBdr>
                  <w:divsChild>
                    <w:div w:id="1153134510">
                      <w:marLeft w:val="0"/>
                      <w:marRight w:val="0"/>
                      <w:marTop w:val="0"/>
                      <w:marBottom w:val="0"/>
                      <w:divBdr>
                        <w:top w:val="none" w:sz="0" w:space="0" w:color="auto"/>
                        <w:left w:val="none" w:sz="0" w:space="0" w:color="auto"/>
                        <w:bottom w:val="none" w:sz="0" w:space="0" w:color="auto"/>
                        <w:right w:val="none" w:sz="0" w:space="0" w:color="auto"/>
                      </w:divBdr>
                    </w:div>
                  </w:divsChild>
                </w:div>
                <w:div w:id="223878663">
                  <w:marLeft w:val="0"/>
                  <w:marRight w:val="0"/>
                  <w:marTop w:val="0"/>
                  <w:marBottom w:val="0"/>
                  <w:divBdr>
                    <w:top w:val="none" w:sz="0" w:space="0" w:color="auto"/>
                    <w:left w:val="none" w:sz="0" w:space="0" w:color="auto"/>
                    <w:bottom w:val="none" w:sz="0" w:space="0" w:color="auto"/>
                    <w:right w:val="none" w:sz="0" w:space="0" w:color="auto"/>
                  </w:divBdr>
                  <w:divsChild>
                    <w:div w:id="1227884780">
                      <w:marLeft w:val="0"/>
                      <w:marRight w:val="0"/>
                      <w:marTop w:val="0"/>
                      <w:marBottom w:val="0"/>
                      <w:divBdr>
                        <w:top w:val="none" w:sz="0" w:space="0" w:color="auto"/>
                        <w:left w:val="none" w:sz="0" w:space="0" w:color="auto"/>
                        <w:bottom w:val="none" w:sz="0" w:space="0" w:color="auto"/>
                        <w:right w:val="none" w:sz="0" w:space="0" w:color="auto"/>
                      </w:divBdr>
                    </w:div>
                    <w:div w:id="1330133955">
                      <w:marLeft w:val="0"/>
                      <w:marRight w:val="0"/>
                      <w:marTop w:val="0"/>
                      <w:marBottom w:val="0"/>
                      <w:divBdr>
                        <w:top w:val="none" w:sz="0" w:space="0" w:color="auto"/>
                        <w:left w:val="none" w:sz="0" w:space="0" w:color="auto"/>
                        <w:bottom w:val="none" w:sz="0" w:space="0" w:color="auto"/>
                        <w:right w:val="none" w:sz="0" w:space="0" w:color="auto"/>
                      </w:divBdr>
                    </w:div>
                    <w:div w:id="1665232250">
                      <w:marLeft w:val="0"/>
                      <w:marRight w:val="0"/>
                      <w:marTop w:val="0"/>
                      <w:marBottom w:val="0"/>
                      <w:divBdr>
                        <w:top w:val="none" w:sz="0" w:space="0" w:color="auto"/>
                        <w:left w:val="none" w:sz="0" w:space="0" w:color="auto"/>
                        <w:bottom w:val="none" w:sz="0" w:space="0" w:color="auto"/>
                        <w:right w:val="none" w:sz="0" w:space="0" w:color="auto"/>
                      </w:divBdr>
                    </w:div>
                  </w:divsChild>
                </w:div>
                <w:div w:id="246967046">
                  <w:marLeft w:val="0"/>
                  <w:marRight w:val="0"/>
                  <w:marTop w:val="0"/>
                  <w:marBottom w:val="0"/>
                  <w:divBdr>
                    <w:top w:val="none" w:sz="0" w:space="0" w:color="auto"/>
                    <w:left w:val="none" w:sz="0" w:space="0" w:color="auto"/>
                    <w:bottom w:val="none" w:sz="0" w:space="0" w:color="auto"/>
                    <w:right w:val="none" w:sz="0" w:space="0" w:color="auto"/>
                  </w:divBdr>
                  <w:divsChild>
                    <w:div w:id="62918637">
                      <w:marLeft w:val="0"/>
                      <w:marRight w:val="0"/>
                      <w:marTop w:val="0"/>
                      <w:marBottom w:val="0"/>
                      <w:divBdr>
                        <w:top w:val="none" w:sz="0" w:space="0" w:color="auto"/>
                        <w:left w:val="none" w:sz="0" w:space="0" w:color="auto"/>
                        <w:bottom w:val="none" w:sz="0" w:space="0" w:color="auto"/>
                        <w:right w:val="none" w:sz="0" w:space="0" w:color="auto"/>
                      </w:divBdr>
                    </w:div>
                  </w:divsChild>
                </w:div>
                <w:div w:id="255140944">
                  <w:marLeft w:val="0"/>
                  <w:marRight w:val="0"/>
                  <w:marTop w:val="0"/>
                  <w:marBottom w:val="0"/>
                  <w:divBdr>
                    <w:top w:val="none" w:sz="0" w:space="0" w:color="auto"/>
                    <w:left w:val="none" w:sz="0" w:space="0" w:color="auto"/>
                    <w:bottom w:val="none" w:sz="0" w:space="0" w:color="auto"/>
                    <w:right w:val="none" w:sz="0" w:space="0" w:color="auto"/>
                  </w:divBdr>
                  <w:divsChild>
                    <w:div w:id="1813254192">
                      <w:marLeft w:val="0"/>
                      <w:marRight w:val="0"/>
                      <w:marTop w:val="0"/>
                      <w:marBottom w:val="0"/>
                      <w:divBdr>
                        <w:top w:val="none" w:sz="0" w:space="0" w:color="auto"/>
                        <w:left w:val="none" w:sz="0" w:space="0" w:color="auto"/>
                        <w:bottom w:val="none" w:sz="0" w:space="0" w:color="auto"/>
                        <w:right w:val="none" w:sz="0" w:space="0" w:color="auto"/>
                      </w:divBdr>
                    </w:div>
                  </w:divsChild>
                </w:div>
                <w:div w:id="265583245">
                  <w:marLeft w:val="0"/>
                  <w:marRight w:val="0"/>
                  <w:marTop w:val="0"/>
                  <w:marBottom w:val="0"/>
                  <w:divBdr>
                    <w:top w:val="none" w:sz="0" w:space="0" w:color="auto"/>
                    <w:left w:val="none" w:sz="0" w:space="0" w:color="auto"/>
                    <w:bottom w:val="none" w:sz="0" w:space="0" w:color="auto"/>
                    <w:right w:val="none" w:sz="0" w:space="0" w:color="auto"/>
                  </w:divBdr>
                  <w:divsChild>
                    <w:div w:id="1341156794">
                      <w:marLeft w:val="0"/>
                      <w:marRight w:val="0"/>
                      <w:marTop w:val="0"/>
                      <w:marBottom w:val="0"/>
                      <w:divBdr>
                        <w:top w:val="none" w:sz="0" w:space="0" w:color="auto"/>
                        <w:left w:val="none" w:sz="0" w:space="0" w:color="auto"/>
                        <w:bottom w:val="none" w:sz="0" w:space="0" w:color="auto"/>
                        <w:right w:val="none" w:sz="0" w:space="0" w:color="auto"/>
                      </w:divBdr>
                    </w:div>
                  </w:divsChild>
                </w:div>
                <w:div w:id="270744751">
                  <w:marLeft w:val="0"/>
                  <w:marRight w:val="0"/>
                  <w:marTop w:val="0"/>
                  <w:marBottom w:val="0"/>
                  <w:divBdr>
                    <w:top w:val="none" w:sz="0" w:space="0" w:color="auto"/>
                    <w:left w:val="none" w:sz="0" w:space="0" w:color="auto"/>
                    <w:bottom w:val="none" w:sz="0" w:space="0" w:color="auto"/>
                    <w:right w:val="none" w:sz="0" w:space="0" w:color="auto"/>
                  </w:divBdr>
                  <w:divsChild>
                    <w:div w:id="1702510296">
                      <w:marLeft w:val="0"/>
                      <w:marRight w:val="0"/>
                      <w:marTop w:val="0"/>
                      <w:marBottom w:val="0"/>
                      <w:divBdr>
                        <w:top w:val="none" w:sz="0" w:space="0" w:color="auto"/>
                        <w:left w:val="none" w:sz="0" w:space="0" w:color="auto"/>
                        <w:bottom w:val="none" w:sz="0" w:space="0" w:color="auto"/>
                        <w:right w:val="none" w:sz="0" w:space="0" w:color="auto"/>
                      </w:divBdr>
                    </w:div>
                  </w:divsChild>
                </w:div>
                <w:div w:id="303386820">
                  <w:marLeft w:val="0"/>
                  <w:marRight w:val="0"/>
                  <w:marTop w:val="0"/>
                  <w:marBottom w:val="0"/>
                  <w:divBdr>
                    <w:top w:val="none" w:sz="0" w:space="0" w:color="auto"/>
                    <w:left w:val="none" w:sz="0" w:space="0" w:color="auto"/>
                    <w:bottom w:val="none" w:sz="0" w:space="0" w:color="auto"/>
                    <w:right w:val="none" w:sz="0" w:space="0" w:color="auto"/>
                  </w:divBdr>
                  <w:divsChild>
                    <w:div w:id="1019888078">
                      <w:marLeft w:val="0"/>
                      <w:marRight w:val="0"/>
                      <w:marTop w:val="0"/>
                      <w:marBottom w:val="0"/>
                      <w:divBdr>
                        <w:top w:val="none" w:sz="0" w:space="0" w:color="auto"/>
                        <w:left w:val="none" w:sz="0" w:space="0" w:color="auto"/>
                        <w:bottom w:val="none" w:sz="0" w:space="0" w:color="auto"/>
                        <w:right w:val="none" w:sz="0" w:space="0" w:color="auto"/>
                      </w:divBdr>
                    </w:div>
                  </w:divsChild>
                </w:div>
                <w:div w:id="310445673">
                  <w:marLeft w:val="0"/>
                  <w:marRight w:val="0"/>
                  <w:marTop w:val="0"/>
                  <w:marBottom w:val="0"/>
                  <w:divBdr>
                    <w:top w:val="none" w:sz="0" w:space="0" w:color="auto"/>
                    <w:left w:val="none" w:sz="0" w:space="0" w:color="auto"/>
                    <w:bottom w:val="none" w:sz="0" w:space="0" w:color="auto"/>
                    <w:right w:val="none" w:sz="0" w:space="0" w:color="auto"/>
                  </w:divBdr>
                  <w:divsChild>
                    <w:div w:id="151455465">
                      <w:marLeft w:val="0"/>
                      <w:marRight w:val="0"/>
                      <w:marTop w:val="0"/>
                      <w:marBottom w:val="0"/>
                      <w:divBdr>
                        <w:top w:val="none" w:sz="0" w:space="0" w:color="auto"/>
                        <w:left w:val="none" w:sz="0" w:space="0" w:color="auto"/>
                        <w:bottom w:val="none" w:sz="0" w:space="0" w:color="auto"/>
                        <w:right w:val="none" w:sz="0" w:space="0" w:color="auto"/>
                      </w:divBdr>
                    </w:div>
                  </w:divsChild>
                </w:div>
                <w:div w:id="340739334">
                  <w:marLeft w:val="0"/>
                  <w:marRight w:val="0"/>
                  <w:marTop w:val="0"/>
                  <w:marBottom w:val="0"/>
                  <w:divBdr>
                    <w:top w:val="none" w:sz="0" w:space="0" w:color="auto"/>
                    <w:left w:val="none" w:sz="0" w:space="0" w:color="auto"/>
                    <w:bottom w:val="none" w:sz="0" w:space="0" w:color="auto"/>
                    <w:right w:val="none" w:sz="0" w:space="0" w:color="auto"/>
                  </w:divBdr>
                  <w:divsChild>
                    <w:div w:id="1200168630">
                      <w:marLeft w:val="0"/>
                      <w:marRight w:val="0"/>
                      <w:marTop w:val="0"/>
                      <w:marBottom w:val="0"/>
                      <w:divBdr>
                        <w:top w:val="none" w:sz="0" w:space="0" w:color="auto"/>
                        <w:left w:val="none" w:sz="0" w:space="0" w:color="auto"/>
                        <w:bottom w:val="none" w:sz="0" w:space="0" w:color="auto"/>
                        <w:right w:val="none" w:sz="0" w:space="0" w:color="auto"/>
                      </w:divBdr>
                    </w:div>
                    <w:div w:id="1266229724">
                      <w:marLeft w:val="0"/>
                      <w:marRight w:val="0"/>
                      <w:marTop w:val="0"/>
                      <w:marBottom w:val="0"/>
                      <w:divBdr>
                        <w:top w:val="none" w:sz="0" w:space="0" w:color="auto"/>
                        <w:left w:val="none" w:sz="0" w:space="0" w:color="auto"/>
                        <w:bottom w:val="none" w:sz="0" w:space="0" w:color="auto"/>
                        <w:right w:val="none" w:sz="0" w:space="0" w:color="auto"/>
                      </w:divBdr>
                    </w:div>
                  </w:divsChild>
                </w:div>
                <w:div w:id="391805789">
                  <w:marLeft w:val="0"/>
                  <w:marRight w:val="0"/>
                  <w:marTop w:val="0"/>
                  <w:marBottom w:val="0"/>
                  <w:divBdr>
                    <w:top w:val="none" w:sz="0" w:space="0" w:color="auto"/>
                    <w:left w:val="none" w:sz="0" w:space="0" w:color="auto"/>
                    <w:bottom w:val="none" w:sz="0" w:space="0" w:color="auto"/>
                    <w:right w:val="none" w:sz="0" w:space="0" w:color="auto"/>
                  </w:divBdr>
                  <w:divsChild>
                    <w:div w:id="80219020">
                      <w:marLeft w:val="0"/>
                      <w:marRight w:val="0"/>
                      <w:marTop w:val="0"/>
                      <w:marBottom w:val="0"/>
                      <w:divBdr>
                        <w:top w:val="none" w:sz="0" w:space="0" w:color="auto"/>
                        <w:left w:val="none" w:sz="0" w:space="0" w:color="auto"/>
                        <w:bottom w:val="none" w:sz="0" w:space="0" w:color="auto"/>
                        <w:right w:val="none" w:sz="0" w:space="0" w:color="auto"/>
                      </w:divBdr>
                    </w:div>
                  </w:divsChild>
                </w:div>
                <w:div w:id="555819227">
                  <w:marLeft w:val="0"/>
                  <w:marRight w:val="0"/>
                  <w:marTop w:val="0"/>
                  <w:marBottom w:val="0"/>
                  <w:divBdr>
                    <w:top w:val="none" w:sz="0" w:space="0" w:color="auto"/>
                    <w:left w:val="none" w:sz="0" w:space="0" w:color="auto"/>
                    <w:bottom w:val="none" w:sz="0" w:space="0" w:color="auto"/>
                    <w:right w:val="none" w:sz="0" w:space="0" w:color="auto"/>
                  </w:divBdr>
                  <w:divsChild>
                    <w:div w:id="1689679784">
                      <w:marLeft w:val="0"/>
                      <w:marRight w:val="0"/>
                      <w:marTop w:val="0"/>
                      <w:marBottom w:val="0"/>
                      <w:divBdr>
                        <w:top w:val="none" w:sz="0" w:space="0" w:color="auto"/>
                        <w:left w:val="none" w:sz="0" w:space="0" w:color="auto"/>
                        <w:bottom w:val="none" w:sz="0" w:space="0" w:color="auto"/>
                        <w:right w:val="none" w:sz="0" w:space="0" w:color="auto"/>
                      </w:divBdr>
                    </w:div>
                  </w:divsChild>
                </w:div>
                <w:div w:id="562981754">
                  <w:marLeft w:val="0"/>
                  <w:marRight w:val="0"/>
                  <w:marTop w:val="0"/>
                  <w:marBottom w:val="0"/>
                  <w:divBdr>
                    <w:top w:val="none" w:sz="0" w:space="0" w:color="auto"/>
                    <w:left w:val="none" w:sz="0" w:space="0" w:color="auto"/>
                    <w:bottom w:val="none" w:sz="0" w:space="0" w:color="auto"/>
                    <w:right w:val="none" w:sz="0" w:space="0" w:color="auto"/>
                  </w:divBdr>
                  <w:divsChild>
                    <w:div w:id="162626970">
                      <w:marLeft w:val="0"/>
                      <w:marRight w:val="0"/>
                      <w:marTop w:val="0"/>
                      <w:marBottom w:val="0"/>
                      <w:divBdr>
                        <w:top w:val="none" w:sz="0" w:space="0" w:color="auto"/>
                        <w:left w:val="none" w:sz="0" w:space="0" w:color="auto"/>
                        <w:bottom w:val="none" w:sz="0" w:space="0" w:color="auto"/>
                        <w:right w:val="none" w:sz="0" w:space="0" w:color="auto"/>
                      </w:divBdr>
                    </w:div>
                  </w:divsChild>
                </w:div>
                <w:div w:id="608009681">
                  <w:marLeft w:val="0"/>
                  <w:marRight w:val="0"/>
                  <w:marTop w:val="0"/>
                  <w:marBottom w:val="0"/>
                  <w:divBdr>
                    <w:top w:val="none" w:sz="0" w:space="0" w:color="auto"/>
                    <w:left w:val="none" w:sz="0" w:space="0" w:color="auto"/>
                    <w:bottom w:val="none" w:sz="0" w:space="0" w:color="auto"/>
                    <w:right w:val="none" w:sz="0" w:space="0" w:color="auto"/>
                  </w:divBdr>
                  <w:divsChild>
                    <w:div w:id="1844053357">
                      <w:marLeft w:val="0"/>
                      <w:marRight w:val="0"/>
                      <w:marTop w:val="0"/>
                      <w:marBottom w:val="0"/>
                      <w:divBdr>
                        <w:top w:val="none" w:sz="0" w:space="0" w:color="auto"/>
                        <w:left w:val="none" w:sz="0" w:space="0" w:color="auto"/>
                        <w:bottom w:val="none" w:sz="0" w:space="0" w:color="auto"/>
                        <w:right w:val="none" w:sz="0" w:space="0" w:color="auto"/>
                      </w:divBdr>
                    </w:div>
                  </w:divsChild>
                </w:div>
                <w:div w:id="652755485">
                  <w:marLeft w:val="0"/>
                  <w:marRight w:val="0"/>
                  <w:marTop w:val="0"/>
                  <w:marBottom w:val="0"/>
                  <w:divBdr>
                    <w:top w:val="none" w:sz="0" w:space="0" w:color="auto"/>
                    <w:left w:val="none" w:sz="0" w:space="0" w:color="auto"/>
                    <w:bottom w:val="none" w:sz="0" w:space="0" w:color="auto"/>
                    <w:right w:val="none" w:sz="0" w:space="0" w:color="auto"/>
                  </w:divBdr>
                  <w:divsChild>
                    <w:div w:id="589242041">
                      <w:marLeft w:val="0"/>
                      <w:marRight w:val="0"/>
                      <w:marTop w:val="0"/>
                      <w:marBottom w:val="0"/>
                      <w:divBdr>
                        <w:top w:val="none" w:sz="0" w:space="0" w:color="auto"/>
                        <w:left w:val="none" w:sz="0" w:space="0" w:color="auto"/>
                        <w:bottom w:val="none" w:sz="0" w:space="0" w:color="auto"/>
                        <w:right w:val="none" w:sz="0" w:space="0" w:color="auto"/>
                      </w:divBdr>
                    </w:div>
                  </w:divsChild>
                </w:div>
                <w:div w:id="664674741">
                  <w:marLeft w:val="0"/>
                  <w:marRight w:val="0"/>
                  <w:marTop w:val="0"/>
                  <w:marBottom w:val="0"/>
                  <w:divBdr>
                    <w:top w:val="none" w:sz="0" w:space="0" w:color="auto"/>
                    <w:left w:val="none" w:sz="0" w:space="0" w:color="auto"/>
                    <w:bottom w:val="none" w:sz="0" w:space="0" w:color="auto"/>
                    <w:right w:val="none" w:sz="0" w:space="0" w:color="auto"/>
                  </w:divBdr>
                  <w:divsChild>
                    <w:div w:id="1227649133">
                      <w:marLeft w:val="0"/>
                      <w:marRight w:val="0"/>
                      <w:marTop w:val="0"/>
                      <w:marBottom w:val="0"/>
                      <w:divBdr>
                        <w:top w:val="none" w:sz="0" w:space="0" w:color="auto"/>
                        <w:left w:val="none" w:sz="0" w:space="0" w:color="auto"/>
                        <w:bottom w:val="none" w:sz="0" w:space="0" w:color="auto"/>
                        <w:right w:val="none" w:sz="0" w:space="0" w:color="auto"/>
                      </w:divBdr>
                    </w:div>
                  </w:divsChild>
                </w:div>
                <w:div w:id="668677874">
                  <w:marLeft w:val="0"/>
                  <w:marRight w:val="0"/>
                  <w:marTop w:val="0"/>
                  <w:marBottom w:val="0"/>
                  <w:divBdr>
                    <w:top w:val="none" w:sz="0" w:space="0" w:color="auto"/>
                    <w:left w:val="none" w:sz="0" w:space="0" w:color="auto"/>
                    <w:bottom w:val="none" w:sz="0" w:space="0" w:color="auto"/>
                    <w:right w:val="none" w:sz="0" w:space="0" w:color="auto"/>
                  </w:divBdr>
                  <w:divsChild>
                    <w:div w:id="1509641522">
                      <w:marLeft w:val="0"/>
                      <w:marRight w:val="0"/>
                      <w:marTop w:val="0"/>
                      <w:marBottom w:val="0"/>
                      <w:divBdr>
                        <w:top w:val="none" w:sz="0" w:space="0" w:color="auto"/>
                        <w:left w:val="none" w:sz="0" w:space="0" w:color="auto"/>
                        <w:bottom w:val="none" w:sz="0" w:space="0" w:color="auto"/>
                        <w:right w:val="none" w:sz="0" w:space="0" w:color="auto"/>
                      </w:divBdr>
                    </w:div>
                  </w:divsChild>
                </w:div>
                <w:div w:id="744035609">
                  <w:marLeft w:val="0"/>
                  <w:marRight w:val="0"/>
                  <w:marTop w:val="0"/>
                  <w:marBottom w:val="0"/>
                  <w:divBdr>
                    <w:top w:val="none" w:sz="0" w:space="0" w:color="auto"/>
                    <w:left w:val="none" w:sz="0" w:space="0" w:color="auto"/>
                    <w:bottom w:val="none" w:sz="0" w:space="0" w:color="auto"/>
                    <w:right w:val="none" w:sz="0" w:space="0" w:color="auto"/>
                  </w:divBdr>
                  <w:divsChild>
                    <w:div w:id="293214094">
                      <w:marLeft w:val="0"/>
                      <w:marRight w:val="0"/>
                      <w:marTop w:val="0"/>
                      <w:marBottom w:val="0"/>
                      <w:divBdr>
                        <w:top w:val="none" w:sz="0" w:space="0" w:color="auto"/>
                        <w:left w:val="none" w:sz="0" w:space="0" w:color="auto"/>
                        <w:bottom w:val="none" w:sz="0" w:space="0" w:color="auto"/>
                        <w:right w:val="none" w:sz="0" w:space="0" w:color="auto"/>
                      </w:divBdr>
                    </w:div>
                  </w:divsChild>
                </w:div>
                <w:div w:id="744306337">
                  <w:marLeft w:val="0"/>
                  <w:marRight w:val="0"/>
                  <w:marTop w:val="0"/>
                  <w:marBottom w:val="0"/>
                  <w:divBdr>
                    <w:top w:val="none" w:sz="0" w:space="0" w:color="auto"/>
                    <w:left w:val="none" w:sz="0" w:space="0" w:color="auto"/>
                    <w:bottom w:val="none" w:sz="0" w:space="0" w:color="auto"/>
                    <w:right w:val="none" w:sz="0" w:space="0" w:color="auto"/>
                  </w:divBdr>
                  <w:divsChild>
                    <w:div w:id="1909535705">
                      <w:marLeft w:val="0"/>
                      <w:marRight w:val="0"/>
                      <w:marTop w:val="0"/>
                      <w:marBottom w:val="0"/>
                      <w:divBdr>
                        <w:top w:val="none" w:sz="0" w:space="0" w:color="auto"/>
                        <w:left w:val="none" w:sz="0" w:space="0" w:color="auto"/>
                        <w:bottom w:val="none" w:sz="0" w:space="0" w:color="auto"/>
                        <w:right w:val="none" w:sz="0" w:space="0" w:color="auto"/>
                      </w:divBdr>
                    </w:div>
                  </w:divsChild>
                </w:div>
                <w:div w:id="765689691">
                  <w:marLeft w:val="0"/>
                  <w:marRight w:val="0"/>
                  <w:marTop w:val="0"/>
                  <w:marBottom w:val="0"/>
                  <w:divBdr>
                    <w:top w:val="none" w:sz="0" w:space="0" w:color="auto"/>
                    <w:left w:val="none" w:sz="0" w:space="0" w:color="auto"/>
                    <w:bottom w:val="none" w:sz="0" w:space="0" w:color="auto"/>
                    <w:right w:val="none" w:sz="0" w:space="0" w:color="auto"/>
                  </w:divBdr>
                  <w:divsChild>
                    <w:div w:id="121700730">
                      <w:marLeft w:val="0"/>
                      <w:marRight w:val="0"/>
                      <w:marTop w:val="0"/>
                      <w:marBottom w:val="0"/>
                      <w:divBdr>
                        <w:top w:val="none" w:sz="0" w:space="0" w:color="auto"/>
                        <w:left w:val="none" w:sz="0" w:space="0" w:color="auto"/>
                        <w:bottom w:val="none" w:sz="0" w:space="0" w:color="auto"/>
                        <w:right w:val="none" w:sz="0" w:space="0" w:color="auto"/>
                      </w:divBdr>
                    </w:div>
                    <w:div w:id="1485778927">
                      <w:marLeft w:val="0"/>
                      <w:marRight w:val="0"/>
                      <w:marTop w:val="0"/>
                      <w:marBottom w:val="0"/>
                      <w:divBdr>
                        <w:top w:val="none" w:sz="0" w:space="0" w:color="auto"/>
                        <w:left w:val="none" w:sz="0" w:space="0" w:color="auto"/>
                        <w:bottom w:val="none" w:sz="0" w:space="0" w:color="auto"/>
                        <w:right w:val="none" w:sz="0" w:space="0" w:color="auto"/>
                      </w:divBdr>
                    </w:div>
                    <w:div w:id="1727874499">
                      <w:marLeft w:val="0"/>
                      <w:marRight w:val="0"/>
                      <w:marTop w:val="0"/>
                      <w:marBottom w:val="0"/>
                      <w:divBdr>
                        <w:top w:val="none" w:sz="0" w:space="0" w:color="auto"/>
                        <w:left w:val="none" w:sz="0" w:space="0" w:color="auto"/>
                        <w:bottom w:val="none" w:sz="0" w:space="0" w:color="auto"/>
                        <w:right w:val="none" w:sz="0" w:space="0" w:color="auto"/>
                      </w:divBdr>
                    </w:div>
                  </w:divsChild>
                </w:div>
                <w:div w:id="793987971">
                  <w:marLeft w:val="0"/>
                  <w:marRight w:val="0"/>
                  <w:marTop w:val="0"/>
                  <w:marBottom w:val="0"/>
                  <w:divBdr>
                    <w:top w:val="none" w:sz="0" w:space="0" w:color="auto"/>
                    <w:left w:val="none" w:sz="0" w:space="0" w:color="auto"/>
                    <w:bottom w:val="none" w:sz="0" w:space="0" w:color="auto"/>
                    <w:right w:val="none" w:sz="0" w:space="0" w:color="auto"/>
                  </w:divBdr>
                  <w:divsChild>
                    <w:div w:id="770971721">
                      <w:marLeft w:val="0"/>
                      <w:marRight w:val="0"/>
                      <w:marTop w:val="0"/>
                      <w:marBottom w:val="0"/>
                      <w:divBdr>
                        <w:top w:val="none" w:sz="0" w:space="0" w:color="auto"/>
                        <w:left w:val="none" w:sz="0" w:space="0" w:color="auto"/>
                        <w:bottom w:val="none" w:sz="0" w:space="0" w:color="auto"/>
                        <w:right w:val="none" w:sz="0" w:space="0" w:color="auto"/>
                      </w:divBdr>
                    </w:div>
                  </w:divsChild>
                </w:div>
                <w:div w:id="1082263441">
                  <w:marLeft w:val="0"/>
                  <w:marRight w:val="0"/>
                  <w:marTop w:val="0"/>
                  <w:marBottom w:val="0"/>
                  <w:divBdr>
                    <w:top w:val="none" w:sz="0" w:space="0" w:color="auto"/>
                    <w:left w:val="none" w:sz="0" w:space="0" w:color="auto"/>
                    <w:bottom w:val="none" w:sz="0" w:space="0" w:color="auto"/>
                    <w:right w:val="none" w:sz="0" w:space="0" w:color="auto"/>
                  </w:divBdr>
                  <w:divsChild>
                    <w:div w:id="2003463577">
                      <w:marLeft w:val="0"/>
                      <w:marRight w:val="0"/>
                      <w:marTop w:val="0"/>
                      <w:marBottom w:val="0"/>
                      <w:divBdr>
                        <w:top w:val="none" w:sz="0" w:space="0" w:color="auto"/>
                        <w:left w:val="none" w:sz="0" w:space="0" w:color="auto"/>
                        <w:bottom w:val="none" w:sz="0" w:space="0" w:color="auto"/>
                        <w:right w:val="none" w:sz="0" w:space="0" w:color="auto"/>
                      </w:divBdr>
                    </w:div>
                  </w:divsChild>
                </w:div>
                <w:div w:id="1089234077">
                  <w:marLeft w:val="0"/>
                  <w:marRight w:val="0"/>
                  <w:marTop w:val="0"/>
                  <w:marBottom w:val="0"/>
                  <w:divBdr>
                    <w:top w:val="none" w:sz="0" w:space="0" w:color="auto"/>
                    <w:left w:val="none" w:sz="0" w:space="0" w:color="auto"/>
                    <w:bottom w:val="none" w:sz="0" w:space="0" w:color="auto"/>
                    <w:right w:val="none" w:sz="0" w:space="0" w:color="auto"/>
                  </w:divBdr>
                  <w:divsChild>
                    <w:div w:id="109052733">
                      <w:marLeft w:val="0"/>
                      <w:marRight w:val="0"/>
                      <w:marTop w:val="0"/>
                      <w:marBottom w:val="0"/>
                      <w:divBdr>
                        <w:top w:val="none" w:sz="0" w:space="0" w:color="auto"/>
                        <w:left w:val="none" w:sz="0" w:space="0" w:color="auto"/>
                        <w:bottom w:val="none" w:sz="0" w:space="0" w:color="auto"/>
                        <w:right w:val="none" w:sz="0" w:space="0" w:color="auto"/>
                      </w:divBdr>
                    </w:div>
                  </w:divsChild>
                </w:div>
                <w:div w:id="1108967238">
                  <w:marLeft w:val="0"/>
                  <w:marRight w:val="0"/>
                  <w:marTop w:val="0"/>
                  <w:marBottom w:val="0"/>
                  <w:divBdr>
                    <w:top w:val="none" w:sz="0" w:space="0" w:color="auto"/>
                    <w:left w:val="none" w:sz="0" w:space="0" w:color="auto"/>
                    <w:bottom w:val="none" w:sz="0" w:space="0" w:color="auto"/>
                    <w:right w:val="none" w:sz="0" w:space="0" w:color="auto"/>
                  </w:divBdr>
                  <w:divsChild>
                    <w:div w:id="1432161619">
                      <w:marLeft w:val="0"/>
                      <w:marRight w:val="0"/>
                      <w:marTop w:val="0"/>
                      <w:marBottom w:val="0"/>
                      <w:divBdr>
                        <w:top w:val="none" w:sz="0" w:space="0" w:color="auto"/>
                        <w:left w:val="none" w:sz="0" w:space="0" w:color="auto"/>
                        <w:bottom w:val="none" w:sz="0" w:space="0" w:color="auto"/>
                        <w:right w:val="none" w:sz="0" w:space="0" w:color="auto"/>
                      </w:divBdr>
                    </w:div>
                  </w:divsChild>
                </w:div>
                <w:div w:id="1128402578">
                  <w:marLeft w:val="0"/>
                  <w:marRight w:val="0"/>
                  <w:marTop w:val="0"/>
                  <w:marBottom w:val="0"/>
                  <w:divBdr>
                    <w:top w:val="none" w:sz="0" w:space="0" w:color="auto"/>
                    <w:left w:val="none" w:sz="0" w:space="0" w:color="auto"/>
                    <w:bottom w:val="none" w:sz="0" w:space="0" w:color="auto"/>
                    <w:right w:val="none" w:sz="0" w:space="0" w:color="auto"/>
                  </w:divBdr>
                  <w:divsChild>
                    <w:div w:id="1902328417">
                      <w:marLeft w:val="0"/>
                      <w:marRight w:val="0"/>
                      <w:marTop w:val="0"/>
                      <w:marBottom w:val="0"/>
                      <w:divBdr>
                        <w:top w:val="none" w:sz="0" w:space="0" w:color="auto"/>
                        <w:left w:val="none" w:sz="0" w:space="0" w:color="auto"/>
                        <w:bottom w:val="none" w:sz="0" w:space="0" w:color="auto"/>
                        <w:right w:val="none" w:sz="0" w:space="0" w:color="auto"/>
                      </w:divBdr>
                    </w:div>
                  </w:divsChild>
                </w:div>
                <w:div w:id="1128662130">
                  <w:marLeft w:val="0"/>
                  <w:marRight w:val="0"/>
                  <w:marTop w:val="0"/>
                  <w:marBottom w:val="0"/>
                  <w:divBdr>
                    <w:top w:val="none" w:sz="0" w:space="0" w:color="auto"/>
                    <w:left w:val="none" w:sz="0" w:space="0" w:color="auto"/>
                    <w:bottom w:val="none" w:sz="0" w:space="0" w:color="auto"/>
                    <w:right w:val="none" w:sz="0" w:space="0" w:color="auto"/>
                  </w:divBdr>
                  <w:divsChild>
                    <w:div w:id="3366840">
                      <w:marLeft w:val="0"/>
                      <w:marRight w:val="0"/>
                      <w:marTop w:val="0"/>
                      <w:marBottom w:val="0"/>
                      <w:divBdr>
                        <w:top w:val="none" w:sz="0" w:space="0" w:color="auto"/>
                        <w:left w:val="none" w:sz="0" w:space="0" w:color="auto"/>
                        <w:bottom w:val="none" w:sz="0" w:space="0" w:color="auto"/>
                        <w:right w:val="none" w:sz="0" w:space="0" w:color="auto"/>
                      </w:divBdr>
                    </w:div>
                  </w:divsChild>
                </w:div>
                <w:div w:id="1152061274">
                  <w:marLeft w:val="0"/>
                  <w:marRight w:val="0"/>
                  <w:marTop w:val="0"/>
                  <w:marBottom w:val="0"/>
                  <w:divBdr>
                    <w:top w:val="none" w:sz="0" w:space="0" w:color="auto"/>
                    <w:left w:val="none" w:sz="0" w:space="0" w:color="auto"/>
                    <w:bottom w:val="none" w:sz="0" w:space="0" w:color="auto"/>
                    <w:right w:val="none" w:sz="0" w:space="0" w:color="auto"/>
                  </w:divBdr>
                  <w:divsChild>
                    <w:div w:id="1308972970">
                      <w:marLeft w:val="0"/>
                      <w:marRight w:val="0"/>
                      <w:marTop w:val="0"/>
                      <w:marBottom w:val="0"/>
                      <w:divBdr>
                        <w:top w:val="none" w:sz="0" w:space="0" w:color="auto"/>
                        <w:left w:val="none" w:sz="0" w:space="0" w:color="auto"/>
                        <w:bottom w:val="none" w:sz="0" w:space="0" w:color="auto"/>
                        <w:right w:val="none" w:sz="0" w:space="0" w:color="auto"/>
                      </w:divBdr>
                    </w:div>
                  </w:divsChild>
                </w:div>
                <w:div w:id="1159737389">
                  <w:marLeft w:val="0"/>
                  <w:marRight w:val="0"/>
                  <w:marTop w:val="0"/>
                  <w:marBottom w:val="0"/>
                  <w:divBdr>
                    <w:top w:val="none" w:sz="0" w:space="0" w:color="auto"/>
                    <w:left w:val="none" w:sz="0" w:space="0" w:color="auto"/>
                    <w:bottom w:val="none" w:sz="0" w:space="0" w:color="auto"/>
                    <w:right w:val="none" w:sz="0" w:space="0" w:color="auto"/>
                  </w:divBdr>
                  <w:divsChild>
                    <w:div w:id="1963993643">
                      <w:marLeft w:val="0"/>
                      <w:marRight w:val="0"/>
                      <w:marTop w:val="0"/>
                      <w:marBottom w:val="0"/>
                      <w:divBdr>
                        <w:top w:val="none" w:sz="0" w:space="0" w:color="auto"/>
                        <w:left w:val="none" w:sz="0" w:space="0" w:color="auto"/>
                        <w:bottom w:val="none" w:sz="0" w:space="0" w:color="auto"/>
                        <w:right w:val="none" w:sz="0" w:space="0" w:color="auto"/>
                      </w:divBdr>
                    </w:div>
                  </w:divsChild>
                </w:div>
                <w:div w:id="1190727761">
                  <w:marLeft w:val="0"/>
                  <w:marRight w:val="0"/>
                  <w:marTop w:val="0"/>
                  <w:marBottom w:val="0"/>
                  <w:divBdr>
                    <w:top w:val="none" w:sz="0" w:space="0" w:color="auto"/>
                    <w:left w:val="none" w:sz="0" w:space="0" w:color="auto"/>
                    <w:bottom w:val="none" w:sz="0" w:space="0" w:color="auto"/>
                    <w:right w:val="none" w:sz="0" w:space="0" w:color="auto"/>
                  </w:divBdr>
                  <w:divsChild>
                    <w:div w:id="2113671965">
                      <w:marLeft w:val="0"/>
                      <w:marRight w:val="0"/>
                      <w:marTop w:val="0"/>
                      <w:marBottom w:val="0"/>
                      <w:divBdr>
                        <w:top w:val="none" w:sz="0" w:space="0" w:color="auto"/>
                        <w:left w:val="none" w:sz="0" w:space="0" w:color="auto"/>
                        <w:bottom w:val="none" w:sz="0" w:space="0" w:color="auto"/>
                        <w:right w:val="none" w:sz="0" w:space="0" w:color="auto"/>
                      </w:divBdr>
                    </w:div>
                  </w:divsChild>
                </w:div>
                <w:div w:id="1196502894">
                  <w:marLeft w:val="0"/>
                  <w:marRight w:val="0"/>
                  <w:marTop w:val="0"/>
                  <w:marBottom w:val="0"/>
                  <w:divBdr>
                    <w:top w:val="none" w:sz="0" w:space="0" w:color="auto"/>
                    <w:left w:val="none" w:sz="0" w:space="0" w:color="auto"/>
                    <w:bottom w:val="none" w:sz="0" w:space="0" w:color="auto"/>
                    <w:right w:val="none" w:sz="0" w:space="0" w:color="auto"/>
                  </w:divBdr>
                  <w:divsChild>
                    <w:div w:id="478157357">
                      <w:marLeft w:val="0"/>
                      <w:marRight w:val="0"/>
                      <w:marTop w:val="0"/>
                      <w:marBottom w:val="0"/>
                      <w:divBdr>
                        <w:top w:val="none" w:sz="0" w:space="0" w:color="auto"/>
                        <w:left w:val="none" w:sz="0" w:space="0" w:color="auto"/>
                        <w:bottom w:val="none" w:sz="0" w:space="0" w:color="auto"/>
                        <w:right w:val="none" w:sz="0" w:space="0" w:color="auto"/>
                      </w:divBdr>
                    </w:div>
                  </w:divsChild>
                </w:div>
                <w:div w:id="1199506864">
                  <w:marLeft w:val="0"/>
                  <w:marRight w:val="0"/>
                  <w:marTop w:val="0"/>
                  <w:marBottom w:val="0"/>
                  <w:divBdr>
                    <w:top w:val="none" w:sz="0" w:space="0" w:color="auto"/>
                    <w:left w:val="none" w:sz="0" w:space="0" w:color="auto"/>
                    <w:bottom w:val="none" w:sz="0" w:space="0" w:color="auto"/>
                    <w:right w:val="none" w:sz="0" w:space="0" w:color="auto"/>
                  </w:divBdr>
                  <w:divsChild>
                    <w:div w:id="499084274">
                      <w:marLeft w:val="0"/>
                      <w:marRight w:val="0"/>
                      <w:marTop w:val="0"/>
                      <w:marBottom w:val="0"/>
                      <w:divBdr>
                        <w:top w:val="none" w:sz="0" w:space="0" w:color="auto"/>
                        <w:left w:val="none" w:sz="0" w:space="0" w:color="auto"/>
                        <w:bottom w:val="none" w:sz="0" w:space="0" w:color="auto"/>
                        <w:right w:val="none" w:sz="0" w:space="0" w:color="auto"/>
                      </w:divBdr>
                    </w:div>
                  </w:divsChild>
                </w:div>
                <w:div w:id="1248810686">
                  <w:marLeft w:val="0"/>
                  <w:marRight w:val="0"/>
                  <w:marTop w:val="0"/>
                  <w:marBottom w:val="0"/>
                  <w:divBdr>
                    <w:top w:val="none" w:sz="0" w:space="0" w:color="auto"/>
                    <w:left w:val="none" w:sz="0" w:space="0" w:color="auto"/>
                    <w:bottom w:val="none" w:sz="0" w:space="0" w:color="auto"/>
                    <w:right w:val="none" w:sz="0" w:space="0" w:color="auto"/>
                  </w:divBdr>
                  <w:divsChild>
                    <w:div w:id="968319331">
                      <w:marLeft w:val="0"/>
                      <w:marRight w:val="0"/>
                      <w:marTop w:val="0"/>
                      <w:marBottom w:val="0"/>
                      <w:divBdr>
                        <w:top w:val="none" w:sz="0" w:space="0" w:color="auto"/>
                        <w:left w:val="none" w:sz="0" w:space="0" w:color="auto"/>
                        <w:bottom w:val="none" w:sz="0" w:space="0" w:color="auto"/>
                        <w:right w:val="none" w:sz="0" w:space="0" w:color="auto"/>
                      </w:divBdr>
                    </w:div>
                  </w:divsChild>
                </w:div>
                <w:div w:id="1258631778">
                  <w:marLeft w:val="0"/>
                  <w:marRight w:val="0"/>
                  <w:marTop w:val="0"/>
                  <w:marBottom w:val="0"/>
                  <w:divBdr>
                    <w:top w:val="none" w:sz="0" w:space="0" w:color="auto"/>
                    <w:left w:val="none" w:sz="0" w:space="0" w:color="auto"/>
                    <w:bottom w:val="none" w:sz="0" w:space="0" w:color="auto"/>
                    <w:right w:val="none" w:sz="0" w:space="0" w:color="auto"/>
                  </w:divBdr>
                  <w:divsChild>
                    <w:div w:id="1400789657">
                      <w:marLeft w:val="0"/>
                      <w:marRight w:val="0"/>
                      <w:marTop w:val="0"/>
                      <w:marBottom w:val="0"/>
                      <w:divBdr>
                        <w:top w:val="none" w:sz="0" w:space="0" w:color="auto"/>
                        <w:left w:val="none" w:sz="0" w:space="0" w:color="auto"/>
                        <w:bottom w:val="none" w:sz="0" w:space="0" w:color="auto"/>
                        <w:right w:val="none" w:sz="0" w:space="0" w:color="auto"/>
                      </w:divBdr>
                    </w:div>
                  </w:divsChild>
                </w:div>
                <w:div w:id="1274551028">
                  <w:marLeft w:val="0"/>
                  <w:marRight w:val="0"/>
                  <w:marTop w:val="0"/>
                  <w:marBottom w:val="0"/>
                  <w:divBdr>
                    <w:top w:val="none" w:sz="0" w:space="0" w:color="auto"/>
                    <w:left w:val="none" w:sz="0" w:space="0" w:color="auto"/>
                    <w:bottom w:val="none" w:sz="0" w:space="0" w:color="auto"/>
                    <w:right w:val="none" w:sz="0" w:space="0" w:color="auto"/>
                  </w:divBdr>
                  <w:divsChild>
                    <w:div w:id="1796171608">
                      <w:marLeft w:val="0"/>
                      <w:marRight w:val="0"/>
                      <w:marTop w:val="0"/>
                      <w:marBottom w:val="0"/>
                      <w:divBdr>
                        <w:top w:val="none" w:sz="0" w:space="0" w:color="auto"/>
                        <w:left w:val="none" w:sz="0" w:space="0" w:color="auto"/>
                        <w:bottom w:val="none" w:sz="0" w:space="0" w:color="auto"/>
                        <w:right w:val="none" w:sz="0" w:space="0" w:color="auto"/>
                      </w:divBdr>
                    </w:div>
                  </w:divsChild>
                </w:div>
                <w:div w:id="1279721891">
                  <w:marLeft w:val="0"/>
                  <w:marRight w:val="0"/>
                  <w:marTop w:val="0"/>
                  <w:marBottom w:val="0"/>
                  <w:divBdr>
                    <w:top w:val="none" w:sz="0" w:space="0" w:color="auto"/>
                    <w:left w:val="none" w:sz="0" w:space="0" w:color="auto"/>
                    <w:bottom w:val="none" w:sz="0" w:space="0" w:color="auto"/>
                    <w:right w:val="none" w:sz="0" w:space="0" w:color="auto"/>
                  </w:divBdr>
                  <w:divsChild>
                    <w:div w:id="2046563124">
                      <w:marLeft w:val="0"/>
                      <w:marRight w:val="0"/>
                      <w:marTop w:val="0"/>
                      <w:marBottom w:val="0"/>
                      <w:divBdr>
                        <w:top w:val="none" w:sz="0" w:space="0" w:color="auto"/>
                        <w:left w:val="none" w:sz="0" w:space="0" w:color="auto"/>
                        <w:bottom w:val="none" w:sz="0" w:space="0" w:color="auto"/>
                        <w:right w:val="none" w:sz="0" w:space="0" w:color="auto"/>
                      </w:divBdr>
                    </w:div>
                  </w:divsChild>
                </w:div>
                <w:div w:id="1336879397">
                  <w:marLeft w:val="0"/>
                  <w:marRight w:val="0"/>
                  <w:marTop w:val="0"/>
                  <w:marBottom w:val="0"/>
                  <w:divBdr>
                    <w:top w:val="none" w:sz="0" w:space="0" w:color="auto"/>
                    <w:left w:val="none" w:sz="0" w:space="0" w:color="auto"/>
                    <w:bottom w:val="none" w:sz="0" w:space="0" w:color="auto"/>
                    <w:right w:val="none" w:sz="0" w:space="0" w:color="auto"/>
                  </w:divBdr>
                  <w:divsChild>
                    <w:div w:id="1851405244">
                      <w:marLeft w:val="0"/>
                      <w:marRight w:val="0"/>
                      <w:marTop w:val="0"/>
                      <w:marBottom w:val="0"/>
                      <w:divBdr>
                        <w:top w:val="none" w:sz="0" w:space="0" w:color="auto"/>
                        <w:left w:val="none" w:sz="0" w:space="0" w:color="auto"/>
                        <w:bottom w:val="none" w:sz="0" w:space="0" w:color="auto"/>
                        <w:right w:val="none" w:sz="0" w:space="0" w:color="auto"/>
                      </w:divBdr>
                    </w:div>
                  </w:divsChild>
                </w:div>
                <w:div w:id="1398045085">
                  <w:marLeft w:val="0"/>
                  <w:marRight w:val="0"/>
                  <w:marTop w:val="0"/>
                  <w:marBottom w:val="0"/>
                  <w:divBdr>
                    <w:top w:val="none" w:sz="0" w:space="0" w:color="auto"/>
                    <w:left w:val="none" w:sz="0" w:space="0" w:color="auto"/>
                    <w:bottom w:val="none" w:sz="0" w:space="0" w:color="auto"/>
                    <w:right w:val="none" w:sz="0" w:space="0" w:color="auto"/>
                  </w:divBdr>
                  <w:divsChild>
                    <w:div w:id="1948535382">
                      <w:marLeft w:val="0"/>
                      <w:marRight w:val="0"/>
                      <w:marTop w:val="0"/>
                      <w:marBottom w:val="0"/>
                      <w:divBdr>
                        <w:top w:val="none" w:sz="0" w:space="0" w:color="auto"/>
                        <w:left w:val="none" w:sz="0" w:space="0" w:color="auto"/>
                        <w:bottom w:val="none" w:sz="0" w:space="0" w:color="auto"/>
                        <w:right w:val="none" w:sz="0" w:space="0" w:color="auto"/>
                      </w:divBdr>
                    </w:div>
                  </w:divsChild>
                </w:div>
                <w:div w:id="1415669328">
                  <w:marLeft w:val="0"/>
                  <w:marRight w:val="0"/>
                  <w:marTop w:val="0"/>
                  <w:marBottom w:val="0"/>
                  <w:divBdr>
                    <w:top w:val="none" w:sz="0" w:space="0" w:color="auto"/>
                    <w:left w:val="none" w:sz="0" w:space="0" w:color="auto"/>
                    <w:bottom w:val="none" w:sz="0" w:space="0" w:color="auto"/>
                    <w:right w:val="none" w:sz="0" w:space="0" w:color="auto"/>
                  </w:divBdr>
                  <w:divsChild>
                    <w:div w:id="896547616">
                      <w:marLeft w:val="0"/>
                      <w:marRight w:val="0"/>
                      <w:marTop w:val="0"/>
                      <w:marBottom w:val="0"/>
                      <w:divBdr>
                        <w:top w:val="none" w:sz="0" w:space="0" w:color="auto"/>
                        <w:left w:val="none" w:sz="0" w:space="0" w:color="auto"/>
                        <w:bottom w:val="none" w:sz="0" w:space="0" w:color="auto"/>
                        <w:right w:val="none" w:sz="0" w:space="0" w:color="auto"/>
                      </w:divBdr>
                    </w:div>
                  </w:divsChild>
                </w:div>
                <w:div w:id="1435708909">
                  <w:marLeft w:val="0"/>
                  <w:marRight w:val="0"/>
                  <w:marTop w:val="0"/>
                  <w:marBottom w:val="0"/>
                  <w:divBdr>
                    <w:top w:val="none" w:sz="0" w:space="0" w:color="auto"/>
                    <w:left w:val="none" w:sz="0" w:space="0" w:color="auto"/>
                    <w:bottom w:val="none" w:sz="0" w:space="0" w:color="auto"/>
                    <w:right w:val="none" w:sz="0" w:space="0" w:color="auto"/>
                  </w:divBdr>
                  <w:divsChild>
                    <w:div w:id="956183171">
                      <w:marLeft w:val="0"/>
                      <w:marRight w:val="0"/>
                      <w:marTop w:val="0"/>
                      <w:marBottom w:val="0"/>
                      <w:divBdr>
                        <w:top w:val="none" w:sz="0" w:space="0" w:color="auto"/>
                        <w:left w:val="none" w:sz="0" w:space="0" w:color="auto"/>
                        <w:bottom w:val="none" w:sz="0" w:space="0" w:color="auto"/>
                        <w:right w:val="none" w:sz="0" w:space="0" w:color="auto"/>
                      </w:divBdr>
                    </w:div>
                  </w:divsChild>
                </w:div>
                <w:div w:id="1457719643">
                  <w:marLeft w:val="0"/>
                  <w:marRight w:val="0"/>
                  <w:marTop w:val="0"/>
                  <w:marBottom w:val="0"/>
                  <w:divBdr>
                    <w:top w:val="none" w:sz="0" w:space="0" w:color="auto"/>
                    <w:left w:val="none" w:sz="0" w:space="0" w:color="auto"/>
                    <w:bottom w:val="none" w:sz="0" w:space="0" w:color="auto"/>
                    <w:right w:val="none" w:sz="0" w:space="0" w:color="auto"/>
                  </w:divBdr>
                  <w:divsChild>
                    <w:div w:id="1027365026">
                      <w:marLeft w:val="0"/>
                      <w:marRight w:val="0"/>
                      <w:marTop w:val="0"/>
                      <w:marBottom w:val="0"/>
                      <w:divBdr>
                        <w:top w:val="none" w:sz="0" w:space="0" w:color="auto"/>
                        <w:left w:val="none" w:sz="0" w:space="0" w:color="auto"/>
                        <w:bottom w:val="none" w:sz="0" w:space="0" w:color="auto"/>
                        <w:right w:val="none" w:sz="0" w:space="0" w:color="auto"/>
                      </w:divBdr>
                    </w:div>
                  </w:divsChild>
                </w:div>
                <w:div w:id="1467971392">
                  <w:marLeft w:val="0"/>
                  <w:marRight w:val="0"/>
                  <w:marTop w:val="0"/>
                  <w:marBottom w:val="0"/>
                  <w:divBdr>
                    <w:top w:val="none" w:sz="0" w:space="0" w:color="auto"/>
                    <w:left w:val="none" w:sz="0" w:space="0" w:color="auto"/>
                    <w:bottom w:val="none" w:sz="0" w:space="0" w:color="auto"/>
                    <w:right w:val="none" w:sz="0" w:space="0" w:color="auto"/>
                  </w:divBdr>
                  <w:divsChild>
                    <w:div w:id="1869559427">
                      <w:marLeft w:val="0"/>
                      <w:marRight w:val="0"/>
                      <w:marTop w:val="0"/>
                      <w:marBottom w:val="0"/>
                      <w:divBdr>
                        <w:top w:val="none" w:sz="0" w:space="0" w:color="auto"/>
                        <w:left w:val="none" w:sz="0" w:space="0" w:color="auto"/>
                        <w:bottom w:val="none" w:sz="0" w:space="0" w:color="auto"/>
                        <w:right w:val="none" w:sz="0" w:space="0" w:color="auto"/>
                      </w:divBdr>
                    </w:div>
                  </w:divsChild>
                </w:div>
                <w:div w:id="1482773073">
                  <w:marLeft w:val="0"/>
                  <w:marRight w:val="0"/>
                  <w:marTop w:val="0"/>
                  <w:marBottom w:val="0"/>
                  <w:divBdr>
                    <w:top w:val="none" w:sz="0" w:space="0" w:color="auto"/>
                    <w:left w:val="none" w:sz="0" w:space="0" w:color="auto"/>
                    <w:bottom w:val="none" w:sz="0" w:space="0" w:color="auto"/>
                    <w:right w:val="none" w:sz="0" w:space="0" w:color="auto"/>
                  </w:divBdr>
                  <w:divsChild>
                    <w:div w:id="1875386733">
                      <w:marLeft w:val="0"/>
                      <w:marRight w:val="0"/>
                      <w:marTop w:val="0"/>
                      <w:marBottom w:val="0"/>
                      <w:divBdr>
                        <w:top w:val="none" w:sz="0" w:space="0" w:color="auto"/>
                        <w:left w:val="none" w:sz="0" w:space="0" w:color="auto"/>
                        <w:bottom w:val="none" w:sz="0" w:space="0" w:color="auto"/>
                        <w:right w:val="none" w:sz="0" w:space="0" w:color="auto"/>
                      </w:divBdr>
                    </w:div>
                  </w:divsChild>
                </w:div>
                <w:div w:id="1503741622">
                  <w:marLeft w:val="0"/>
                  <w:marRight w:val="0"/>
                  <w:marTop w:val="0"/>
                  <w:marBottom w:val="0"/>
                  <w:divBdr>
                    <w:top w:val="none" w:sz="0" w:space="0" w:color="auto"/>
                    <w:left w:val="none" w:sz="0" w:space="0" w:color="auto"/>
                    <w:bottom w:val="none" w:sz="0" w:space="0" w:color="auto"/>
                    <w:right w:val="none" w:sz="0" w:space="0" w:color="auto"/>
                  </w:divBdr>
                  <w:divsChild>
                    <w:div w:id="2057268547">
                      <w:marLeft w:val="0"/>
                      <w:marRight w:val="0"/>
                      <w:marTop w:val="0"/>
                      <w:marBottom w:val="0"/>
                      <w:divBdr>
                        <w:top w:val="none" w:sz="0" w:space="0" w:color="auto"/>
                        <w:left w:val="none" w:sz="0" w:space="0" w:color="auto"/>
                        <w:bottom w:val="none" w:sz="0" w:space="0" w:color="auto"/>
                        <w:right w:val="none" w:sz="0" w:space="0" w:color="auto"/>
                      </w:divBdr>
                    </w:div>
                  </w:divsChild>
                </w:div>
                <w:div w:id="1514296601">
                  <w:marLeft w:val="0"/>
                  <w:marRight w:val="0"/>
                  <w:marTop w:val="0"/>
                  <w:marBottom w:val="0"/>
                  <w:divBdr>
                    <w:top w:val="none" w:sz="0" w:space="0" w:color="auto"/>
                    <w:left w:val="none" w:sz="0" w:space="0" w:color="auto"/>
                    <w:bottom w:val="none" w:sz="0" w:space="0" w:color="auto"/>
                    <w:right w:val="none" w:sz="0" w:space="0" w:color="auto"/>
                  </w:divBdr>
                  <w:divsChild>
                    <w:div w:id="1984508393">
                      <w:marLeft w:val="0"/>
                      <w:marRight w:val="0"/>
                      <w:marTop w:val="0"/>
                      <w:marBottom w:val="0"/>
                      <w:divBdr>
                        <w:top w:val="none" w:sz="0" w:space="0" w:color="auto"/>
                        <w:left w:val="none" w:sz="0" w:space="0" w:color="auto"/>
                        <w:bottom w:val="none" w:sz="0" w:space="0" w:color="auto"/>
                        <w:right w:val="none" w:sz="0" w:space="0" w:color="auto"/>
                      </w:divBdr>
                    </w:div>
                  </w:divsChild>
                </w:div>
                <w:div w:id="1517966808">
                  <w:marLeft w:val="0"/>
                  <w:marRight w:val="0"/>
                  <w:marTop w:val="0"/>
                  <w:marBottom w:val="0"/>
                  <w:divBdr>
                    <w:top w:val="none" w:sz="0" w:space="0" w:color="auto"/>
                    <w:left w:val="none" w:sz="0" w:space="0" w:color="auto"/>
                    <w:bottom w:val="none" w:sz="0" w:space="0" w:color="auto"/>
                    <w:right w:val="none" w:sz="0" w:space="0" w:color="auto"/>
                  </w:divBdr>
                  <w:divsChild>
                    <w:div w:id="1944530292">
                      <w:marLeft w:val="0"/>
                      <w:marRight w:val="0"/>
                      <w:marTop w:val="0"/>
                      <w:marBottom w:val="0"/>
                      <w:divBdr>
                        <w:top w:val="none" w:sz="0" w:space="0" w:color="auto"/>
                        <w:left w:val="none" w:sz="0" w:space="0" w:color="auto"/>
                        <w:bottom w:val="none" w:sz="0" w:space="0" w:color="auto"/>
                        <w:right w:val="none" w:sz="0" w:space="0" w:color="auto"/>
                      </w:divBdr>
                    </w:div>
                  </w:divsChild>
                </w:div>
                <w:div w:id="1527910845">
                  <w:marLeft w:val="0"/>
                  <w:marRight w:val="0"/>
                  <w:marTop w:val="0"/>
                  <w:marBottom w:val="0"/>
                  <w:divBdr>
                    <w:top w:val="none" w:sz="0" w:space="0" w:color="auto"/>
                    <w:left w:val="none" w:sz="0" w:space="0" w:color="auto"/>
                    <w:bottom w:val="none" w:sz="0" w:space="0" w:color="auto"/>
                    <w:right w:val="none" w:sz="0" w:space="0" w:color="auto"/>
                  </w:divBdr>
                  <w:divsChild>
                    <w:div w:id="1270939890">
                      <w:marLeft w:val="0"/>
                      <w:marRight w:val="0"/>
                      <w:marTop w:val="0"/>
                      <w:marBottom w:val="0"/>
                      <w:divBdr>
                        <w:top w:val="none" w:sz="0" w:space="0" w:color="auto"/>
                        <w:left w:val="none" w:sz="0" w:space="0" w:color="auto"/>
                        <w:bottom w:val="none" w:sz="0" w:space="0" w:color="auto"/>
                        <w:right w:val="none" w:sz="0" w:space="0" w:color="auto"/>
                      </w:divBdr>
                    </w:div>
                  </w:divsChild>
                </w:div>
                <w:div w:id="1554266896">
                  <w:marLeft w:val="0"/>
                  <w:marRight w:val="0"/>
                  <w:marTop w:val="0"/>
                  <w:marBottom w:val="0"/>
                  <w:divBdr>
                    <w:top w:val="none" w:sz="0" w:space="0" w:color="auto"/>
                    <w:left w:val="none" w:sz="0" w:space="0" w:color="auto"/>
                    <w:bottom w:val="none" w:sz="0" w:space="0" w:color="auto"/>
                    <w:right w:val="none" w:sz="0" w:space="0" w:color="auto"/>
                  </w:divBdr>
                  <w:divsChild>
                    <w:div w:id="1206259939">
                      <w:marLeft w:val="0"/>
                      <w:marRight w:val="0"/>
                      <w:marTop w:val="0"/>
                      <w:marBottom w:val="0"/>
                      <w:divBdr>
                        <w:top w:val="none" w:sz="0" w:space="0" w:color="auto"/>
                        <w:left w:val="none" w:sz="0" w:space="0" w:color="auto"/>
                        <w:bottom w:val="none" w:sz="0" w:space="0" w:color="auto"/>
                        <w:right w:val="none" w:sz="0" w:space="0" w:color="auto"/>
                      </w:divBdr>
                    </w:div>
                  </w:divsChild>
                </w:div>
                <w:div w:id="1622491853">
                  <w:marLeft w:val="0"/>
                  <w:marRight w:val="0"/>
                  <w:marTop w:val="0"/>
                  <w:marBottom w:val="0"/>
                  <w:divBdr>
                    <w:top w:val="none" w:sz="0" w:space="0" w:color="auto"/>
                    <w:left w:val="none" w:sz="0" w:space="0" w:color="auto"/>
                    <w:bottom w:val="none" w:sz="0" w:space="0" w:color="auto"/>
                    <w:right w:val="none" w:sz="0" w:space="0" w:color="auto"/>
                  </w:divBdr>
                  <w:divsChild>
                    <w:div w:id="1901136172">
                      <w:marLeft w:val="0"/>
                      <w:marRight w:val="0"/>
                      <w:marTop w:val="0"/>
                      <w:marBottom w:val="0"/>
                      <w:divBdr>
                        <w:top w:val="none" w:sz="0" w:space="0" w:color="auto"/>
                        <w:left w:val="none" w:sz="0" w:space="0" w:color="auto"/>
                        <w:bottom w:val="none" w:sz="0" w:space="0" w:color="auto"/>
                        <w:right w:val="none" w:sz="0" w:space="0" w:color="auto"/>
                      </w:divBdr>
                    </w:div>
                  </w:divsChild>
                </w:div>
                <w:div w:id="1630090516">
                  <w:marLeft w:val="0"/>
                  <w:marRight w:val="0"/>
                  <w:marTop w:val="0"/>
                  <w:marBottom w:val="0"/>
                  <w:divBdr>
                    <w:top w:val="none" w:sz="0" w:space="0" w:color="auto"/>
                    <w:left w:val="none" w:sz="0" w:space="0" w:color="auto"/>
                    <w:bottom w:val="none" w:sz="0" w:space="0" w:color="auto"/>
                    <w:right w:val="none" w:sz="0" w:space="0" w:color="auto"/>
                  </w:divBdr>
                  <w:divsChild>
                    <w:div w:id="1715957173">
                      <w:marLeft w:val="0"/>
                      <w:marRight w:val="0"/>
                      <w:marTop w:val="0"/>
                      <w:marBottom w:val="0"/>
                      <w:divBdr>
                        <w:top w:val="none" w:sz="0" w:space="0" w:color="auto"/>
                        <w:left w:val="none" w:sz="0" w:space="0" w:color="auto"/>
                        <w:bottom w:val="none" w:sz="0" w:space="0" w:color="auto"/>
                        <w:right w:val="none" w:sz="0" w:space="0" w:color="auto"/>
                      </w:divBdr>
                    </w:div>
                  </w:divsChild>
                </w:div>
                <w:div w:id="1642612144">
                  <w:marLeft w:val="0"/>
                  <w:marRight w:val="0"/>
                  <w:marTop w:val="0"/>
                  <w:marBottom w:val="0"/>
                  <w:divBdr>
                    <w:top w:val="none" w:sz="0" w:space="0" w:color="auto"/>
                    <w:left w:val="none" w:sz="0" w:space="0" w:color="auto"/>
                    <w:bottom w:val="none" w:sz="0" w:space="0" w:color="auto"/>
                    <w:right w:val="none" w:sz="0" w:space="0" w:color="auto"/>
                  </w:divBdr>
                  <w:divsChild>
                    <w:div w:id="1115636149">
                      <w:marLeft w:val="0"/>
                      <w:marRight w:val="0"/>
                      <w:marTop w:val="0"/>
                      <w:marBottom w:val="0"/>
                      <w:divBdr>
                        <w:top w:val="none" w:sz="0" w:space="0" w:color="auto"/>
                        <w:left w:val="none" w:sz="0" w:space="0" w:color="auto"/>
                        <w:bottom w:val="none" w:sz="0" w:space="0" w:color="auto"/>
                        <w:right w:val="none" w:sz="0" w:space="0" w:color="auto"/>
                      </w:divBdr>
                    </w:div>
                  </w:divsChild>
                </w:div>
                <w:div w:id="1705790591">
                  <w:marLeft w:val="0"/>
                  <w:marRight w:val="0"/>
                  <w:marTop w:val="0"/>
                  <w:marBottom w:val="0"/>
                  <w:divBdr>
                    <w:top w:val="none" w:sz="0" w:space="0" w:color="auto"/>
                    <w:left w:val="none" w:sz="0" w:space="0" w:color="auto"/>
                    <w:bottom w:val="none" w:sz="0" w:space="0" w:color="auto"/>
                    <w:right w:val="none" w:sz="0" w:space="0" w:color="auto"/>
                  </w:divBdr>
                  <w:divsChild>
                    <w:div w:id="2000422074">
                      <w:marLeft w:val="0"/>
                      <w:marRight w:val="0"/>
                      <w:marTop w:val="0"/>
                      <w:marBottom w:val="0"/>
                      <w:divBdr>
                        <w:top w:val="none" w:sz="0" w:space="0" w:color="auto"/>
                        <w:left w:val="none" w:sz="0" w:space="0" w:color="auto"/>
                        <w:bottom w:val="none" w:sz="0" w:space="0" w:color="auto"/>
                        <w:right w:val="none" w:sz="0" w:space="0" w:color="auto"/>
                      </w:divBdr>
                    </w:div>
                  </w:divsChild>
                </w:div>
                <w:div w:id="1708798618">
                  <w:marLeft w:val="0"/>
                  <w:marRight w:val="0"/>
                  <w:marTop w:val="0"/>
                  <w:marBottom w:val="0"/>
                  <w:divBdr>
                    <w:top w:val="none" w:sz="0" w:space="0" w:color="auto"/>
                    <w:left w:val="none" w:sz="0" w:space="0" w:color="auto"/>
                    <w:bottom w:val="none" w:sz="0" w:space="0" w:color="auto"/>
                    <w:right w:val="none" w:sz="0" w:space="0" w:color="auto"/>
                  </w:divBdr>
                  <w:divsChild>
                    <w:div w:id="1112355643">
                      <w:marLeft w:val="0"/>
                      <w:marRight w:val="0"/>
                      <w:marTop w:val="0"/>
                      <w:marBottom w:val="0"/>
                      <w:divBdr>
                        <w:top w:val="none" w:sz="0" w:space="0" w:color="auto"/>
                        <w:left w:val="none" w:sz="0" w:space="0" w:color="auto"/>
                        <w:bottom w:val="none" w:sz="0" w:space="0" w:color="auto"/>
                        <w:right w:val="none" w:sz="0" w:space="0" w:color="auto"/>
                      </w:divBdr>
                    </w:div>
                  </w:divsChild>
                </w:div>
                <w:div w:id="1730494104">
                  <w:marLeft w:val="0"/>
                  <w:marRight w:val="0"/>
                  <w:marTop w:val="0"/>
                  <w:marBottom w:val="0"/>
                  <w:divBdr>
                    <w:top w:val="none" w:sz="0" w:space="0" w:color="auto"/>
                    <w:left w:val="none" w:sz="0" w:space="0" w:color="auto"/>
                    <w:bottom w:val="none" w:sz="0" w:space="0" w:color="auto"/>
                    <w:right w:val="none" w:sz="0" w:space="0" w:color="auto"/>
                  </w:divBdr>
                  <w:divsChild>
                    <w:div w:id="332685852">
                      <w:marLeft w:val="0"/>
                      <w:marRight w:val="0"/>
                      <w:marTop w:val="0"/>
                      <w:marBottom w:val="0"/>
                      <w:divBdr>
                        <w:top w:val="none" w:sz="0" w:space="0" w:color="auto"/>
                        <w:left w:val="none" w:sz="0" w:space="0" w:color="auto"/>
                        <w:bottom w:val="none" w:sz="0" w:space="0" w:color="auto"/>
                        <w:right w:val="none" w:sz="0" w:space="0" w:color="auto"/>
                      </w:divBdr>
                    </w:div>
                  </w:divsChild>
                </w:div>
                <w:div w:id="1761371643">
                  <w:marLeft w:val="0"/>
                  <w:marRight w:val="0"/>
                  <w:marTop w:val="0"/>
                  <w:marBottom w:val="0"/>
                  <w:divBdr>
                    <w:top w:val="none" w:sz="0" w:space="0" w:color="auto"/>
                    <w:left w:val="none" w:sz="0" w:space="0" w:color="auto"/>
                    <w:bottom w:val="none" w:sz="0" w:space="0" w:color="auto"/>
                    <w:right w:val="none" w:sz="0" w:space="0" w:color="auto"/>
                  </w:divBdr>
                  <w:divsChild>
                    <w:div w:id="478497433">
                      <w:marLeft w:val="0"/>
                      <w:marRight w:val="0"/>
                      <w:marTop w:val="0"/>
                      <w:marBottom w:val="0"/>
                      <w:divBdr>
                        <w:top w:val="none" w:sz="0" w:space="0" w:color="auto"/>
                        <w:left w:val="none" w:sz="0" w:space="0" w:color="auto"/>
                        <w:bottom w:val="none" w:sz="0" w:space="0" w:color="auto"/>
                        <w:right w:val="none" w:sz="0" w:space="0" w:color="auto"/>
                      </w:divBdr>
                    </w:div>
                  </w:divsChild>
                </w:div>
                <w:div w:id="1796216227">
                  <w:marLeft w:val="0"/>
                  <w:marRight w:val="0"/>
                  <w:marTop w:val="0"/>
                  <w:marBottom w:val="0"/>
                  <w:divBdr>
                    <w:top w:val="none" w:sz="0" w:space="0" w:color="auto"/>
                    <w:left w:val="none" w:sz="0" w:space="0" w:color="auto"/>
                    <w:bottom w:val="none" w:sz="0" w:space="0" w:color="auto"/>
                    <w:right w:val="none" w:sz="0" w:space="0" w:color="auto"/>
                  </w:divBdr>
                  <w:divsChild>
                    <w:div w:id="240137513">
                      <w:marLeft w:val="0"/>
                      <w:marRight w:val="0"/>
                      <w:marTop w:val="0"/>
                      <w:marBottom w:val="0"/>
                      <w:divBdr>
                        <w:top w:val="none" w:sz="0" w:space="0" w:color="auto"/>
                        <w:left w:val="none" w:sz="0" w:space="0" w:color="auto"/>
                        <w:bottom w:val="none" w:sz="0" w:space="0" w:color="auto"/>
                        <w:right w:val="none" w:sz="0" w:space="0" w:color="auto"/>
                      </w:divBdr>
                    </w:div>
                  </w:divsChild>
                </w:div>
                <w:div w:id="1816677026">
                  <w:marLeft w:val="0"/>
                  <w:marRight w:val="0"/>
                  <w:marTop w:val="0"/>
                  <w:marBottom w:val="0"/>
                  <w:divBdr>
                    <w:top w:val="none" w:sz="0" w:space="0" w:color="auto"/>
                    <w:left w:val="none" w:sz="0" w:space="0" w:color="auto"/>
                    <w:bottom w:val="none" w:sz="0" w:space="0" w:color="auto"/>
                    <w:right w:val="none" w:sz="0" w:space="0" w:color="auto"/>
                  </w:divBdr>
                  <w:divsChild>
                    <w:div w:id="843782719">
                      <w:marLeft w:val="0"/>
                      <w:marRight w:val="0"/>
                      <w:marTop w:val="0"/>
                      <w:marBottom w:val="0"/>
                      <w:divBdr>
                        <w:top w:val="none" w:sz="0" w:space="0" w:color="auto"/>
                        <w:left w:val="none" w:sz="0" w:space="0" w:color="auto"/>
                        <w:bottom w:val="none" w:sz="0" w:space="0" w:color="auto"/>
                        <w:right w:val="none" w:sz="0" w:space="0" w:color="auto"/>
                      </w:divBdr>
                    </w:div>
                  </w:divsChild>
                </w:div>
                <w:div w:id="1821387311">
                  <w:marLeft w:val="0"/>
                  <w:marRight w:val="0"/>
                  <w:marTop w:val="0"/>
                  <w:marBottom w:val="0"/>
                  <w:divBdr>
                    <w:top w:val="none" w:sz="0" w:space="0" w:color="auto"/>
                    <w:left w:val="none" w:sz="0" w:space="0" w:color="auto"/>
                    <w:bottom w:val="none" w:sz="0" w:space="0" w:color="auto"/>
                    <w:right w:val="none" w:sz="0" w:space="0" w:color="auto"/>
                  </w:divBdr>
                  <w:divsChild>
                    <w:div w:id="1815563402">
                      <w:marLeft w:val="0"/>
                      <w:marRight w:val="0"/>
                      <w:marTop w:val="0"/>
                      <w:marBottom w:val="0"/>
                      <w:divBdr>
                        <w:top w:val="none" w:sz="0" w:space="0" w:color="auto"/>
                        <w:left w:val="none" w:sz="0" w:space="0" w:color="auto"/>
                        <w:bottom w:val="none" w:sz="0" w:space="0" w:color="auto"/>
                        <w:right w:val="none" w:sz="0" w:space="0" w:color="auto"/>
                      </w:divBdr>
                    </w:div>
                  </w:divsChild>
                </w:div>
                <w:div w:id="1842114866">
                  <w:marLeft w:val="0"/>
                  <w:marRight w:val="0"/>
                  <w:marTop w:val="0"/>
                  <w:marBottom w:val="0"/>
                  <w:divBdr>
                    <w:top w:val="none" w:sz="0" w:space="0" w:color="auto"/>
                    <w:left w:val="none" w:sz="0" w:space="0" w:color="auto"/>
                    <w:bottom w:val="none" w:sz="0" w:space="0" w:color="auto"/>
                    <w:right w:val="none" w:sz="0" w:space="0" w:color="auto"/>
                  </w:divBdr>
                  <w:divsChild>
                    <w:div w:id="1399596344">
                      <w:marLeft w:val="0"/>
                      <w:marRight w:val="0"/>
                      <w:marTop w:val="0"/>
                      <w:marBottom w:val="0"/>
                      <w:divBdr>
                        <w:top w:val="none" w:sz="0" w:space="0" w:color="auto"/>
                        <w:left w:val="none" w:sz="0" w:space="0" w:color="auto"/>
                        <w:bottom w:val="none" w:sz="0" w:space="0" w:color="auto"/>
                        <w:right w:val="none" w:sz="0" w:space="0" w:color="auto"/>
                      </w:divBdr>
                    </w:div>
                  </w:divsChild>
                </w:div>
                <w:div w:id="1892035126">
                  <w:marLeft w:val="0"/>
                  <w:marRight w:val="0"/>
                  <w:marTop w:val="0"/>
                  <w:marBottom w:val="0"/>
                  <w:divBdr>
                    <w:top w:val="none" w:sz="0" w:space="0" w:color="auto"/>
                    <w:left w:val="none" w:sz="0" w:space="0" w:color="auto"/>
                    <w:bottom w:val="none" w:sz="0" w:space="0" w:color="auto"/>
                    <w:right w:val="none" w:sz="0" w:space="0" w:color="auto"/>
                  </w:divBdr>
                  <w:divsChild>
                    <w:div w:id="1983848860">
                      <w:marLeft w:val="0"/>
                      <w:marRight w:val="0"/>
                      <w:marTop w:val="0"/>
                      <w:marBottom w:val="0"/>
                      <w:divBdr>
                        <w:top w:val="none" w:sz="0" w:space="0" w:color="auto"/>
                        <w:left w:val="none" w:sz="0" w:space="0" w:color="auto"/>
                        <w:bottom w:val="none" w:sz="0" w:space="0" w:color="auto"/>
                        <w:right w:val="none" w:sz="0" w:space="0" w:color="auto"/>
                      </w:divBdr>
                    </w:div>
                  </w:divsChild>
                </w:div>
                <w:div w:id="1900822706">
                  <w:marLeft w:val="0"/>
                  <w:marRight w:val="0"/>
                  <w:marTop w:val="0"/>
                  <w:marBottom w:val="0"/>
                  <w:divBdr>
                    <w:top w:val="none" w:sz="0" w:space="0" w:color="auto"/>
                    <w:left w:val="none" w:sz="0" w:space="0" w:color="auto"/>
                    <w:bottom w:val="none" w:sz="0" w:space="0" w:color="auto"/>
                    <w:right w:val="none" w:sz="0" w:space="0" w:color="auto"/>
                  </w:divBdr>
                  <w:divsChild>
                    <w:div w:id="2138839528">
                      <w:marLeft w:val="0"/>
                      <w:marRight w:val="0"/>
                      <w:marTop w:val="0"/>
                      <w:marBottom w:val="0"/>
                      <w:divBdr>
                        <w:top w:val="none" w:sz="0" w:space="0" w:color="auto"/>
                        <w:left w:val="none" w:sz="0" w:space="0" w:color="auto"/>
                        <w:bottom w:val="none" w:sz="0" w:space="0" w:color="auto"/>
                        <w:right w:val="none" w:sz="0" w:space="0" w:color="auto"/>
                      </w:divBdr>
                    </w:div>
                  </w:divsChild>
                </w:div>
                <w:div w:id="1920626939">
                  <w:marLeft w:val="0"/>
                  <w:marRight w:val="0"/>
                  <w:marTop w:val="0"/>
                  <w:marBottom w:val="0"/>
                  <w:divBdr>
                    <w:top w:val="none" w:sz="0" w:space="0" w:color="auto"/>
                    <w:left w:val="none" w:sz="0" w:space="0" w:color="auto"/>
                    <w:bottom w:val="none" w:sz="0" w:space="0" w:color="auto"/>
                    <w:right w:val="none" w:sz="0" w:space="0" w:color="auto"/>
                  </w:divBdr>
                  <w:divsChild>
                    <w:div w:id="1383820408">
                      <w:marLeft w:val="0"/>
                      <w:marRight w:val="0"/>
                      <w:marTop w:val="0"/>
                      <w:marBottom w:val="0"/>
                      <w:divBdr>
                        <w:top w:val="none" w:sz="0" w:space="0" w:color="auto"/>
                        <w:left w:val="none" w:sz="0" w:space="0" w:color="auto"/>
                        <w:bottom w:val="none" w:sz="0" w:space="0" w:color="auto"/>
                        <w:right w:val="none" w:sz="0" w:space="0" w:color="auto"/>
                      </w:divBdr>
                    </w:div>
                  </w:divsChild>
                </w:div>
                <w:div w:id="1968312294">
                  <w:marLeft w:val="0"/>
                  <w:marRight w:val="0"/>
                  <w:marTop w:val="0"/>
                  <w:marBottom w:val="0"/>
                  <w:divBdr>
                    <w:top w:val="none" w:sz="0" w:space="0" w:color="auto"/>
                    <w:left w:val="none" w:sz="0" w:space="0" w:color="auto"/>
                    <w:bottom w:val="none" w:sz="0" w:space="0" w:color="auto"/>
                    <w:right w:val="none" w:sz="0" w:space="0" w:color="auto"/>
                  </w:divBdr>
                  <w:divsChild>
                    <w:div w:id="270362564">
                      <w:marLeft w:val="0"/>
                      <w:marRight w:val="0"/>
                      <w:marTop w:val="0"/>
                      <w:marBottom w:val="0"/>
                      <w:divBdr>
                        <w:top w:val="none" w:sz="0" w:space="0" w:color="auto"/>
                        <w:left w:val="none" w:sz="0" w:space="0" w:color="auto"/>
                        <w:bottom w:val="none" w:sz="0" w:space="0" w:color="auto"/>
                        <w:right w:val="none" w:sz="0" w:space="0" w:color="auto"/>
                      </w:divBdr>
                    </w:div>
                  </w:divsChild>
                </w:div>
                <w:div w:id="2035958969">
                  <w:marLeft w:val="0"/>
                  <w:marRight w:val="0"/>
                  <w:marTop w:val="0"/>
                  <w:marBottom w:val="0"/>
                  <w:divBdr>
                    <w:top w:val="none" w:sz="0" w:space="0" w:color="auto"/>
                    <w:left w:val="none" w:sz="0" w:space="0" w:color="auto"/>
                    <w:bottom w:val="none" w:sz="0" w:space="0" w:color="auto"/>
                    <w:right w:val="none" w:sz="0" w:space="0" w:color="auto"/>
                  </w:divBdr>
                  <w:divsChild>
                    <w:div w:id="2131630612">
                      <w:marLeft w:val="0"/>
                      <w:marRight w:val="0"/>
                      <w:marTop w:val="0"/>
                      <w:marBottom w:val="0"/>
                      <w:divBdr>
                        <w:top w:val="none" w:sz="0" w:space="0" w:color="auto"/>
                        <w:left w:val="none" w:sz="0" w:space="0" w:color="auto"/>
                        <w:bottom w:val="none" w:sz="0" w:space="0" w:color="auto"/>
                        <w:right w:val="none" w:sz="0" w:space="0" w:color="auto"/>
                      </w:divBdr>
                    </w:div>
                  </w:divsChild>
                </w:div>
                <w:div w:id="2067336849">
                  <w:marLeft w:val="0"/>
                  <w:marRight w:val="0"/>
                  <w:marTop w:val="0"/>
                  <w:marBottom w:val="0"/>
                  <w:divBdr>
                    <w:top w:val="none" w:sz="0" w:space="0" w:color="auto"/>
                    <w:left w:val="none" w:sz="0" w:space="0" w:color="auto"/>
                    <w:bottom w:val="none" w:sz="0" w:space="0" w:color="auto"/>
                    <w:right w:val="none" w:sz="0" w:space="0" w:color="auto"/>
                  </w:divBdr>
                  <w:divsChild>
                    <w:div w:id="1393237758">
                      <w:marLeft w:val="0"/>
                      <w:marRight w:val="0"/>
                      <w:marTop w:val="0"/>
                      <w:marBottom w:val="0"/>
                      <w:divBdr>
                        <w:top w:val="none" w:sz="0" w:space="0" w:color="auto"/>
                        <w:left w:val="none" w:sz="0" w:space="0" w:color="auto"/>
                        <w:bottom w:val="none" w:sz="0" w:space="0" w:color="auto"/>
                        <w:right w:val="none" w:sz="0" w:space="0" w:color="auto"/>
                      </w:divBdr>
                    </w:div>
                  </w:divsChild>
                </w:div>
                <w:div w:id="2083333016">
                  <w:marLeft w:val="0"/>
                  <w:marRight w:val="0"/>
                  <w:marTop w:val="0"/>
                  <w:marBottom w:val="0"/>
                  <w:divBdr>
                    <w:top w:val="none" w:sz="0" w:space="0" w:color="auto"/>
                    <w:left w:val="none" w:sz="0" w:space="0" w:color="auto"/>
                    <w:bottom w:val="none" w:sz="0" w:space="0" w:color="auto"/>
                    <w:right w:val="none" w:sz="0" w:space="0" w:color="auto"/>
                  </w:divBdr>
                  <w:divsChild>
                    <w:div w:id="155091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017808">
          <w:marLeft w:val="0"/>
          <w:marRight w:val="0"/>
          <w:marTop w:val="0"/>
          <w:marBottom w:val="0"/>
          <w:divBdr>
            <w:top w:val="none" w:sz="0" w:space="0" w:color="auto"/>
            <w:left w:val="none" w:sz="0" w:space="0" w:color="auto"/>
            <w:bottom w:val="none" w:sz="0" w:space="0" w:color="auto"/>
            <w:right w:val="none" w:sz="0" w:space="0" w:color="auto"/>
          </w:divBdr>
        </w:div>
        <w:div w:id="1947417902">
          <w:marLeft w:val="0"/>
          <w:marRight w:val="0"/>
          <w:marTop w:val="0"/>
          <w:marBottom w:val="0"/>
          <w:divBdr>
            <w:top w:val="none" w:sz="0" w:space="0" w:color="auto"/>
            <w:left w:val="none" w:sz="0" w:space="0" w:color="auto"/>
            <w:bottom w:val="none" w:sz="0" w:space="0" w:color="auto"/>
            <w:right w:val="none" w:sz="0" w:space="0" w:color="auto"/>
          </w:divBdr>
          <w:divsChild>
            <w:div w:id="963074628">
              <w:marLeft w:val="-75"/>
              <w:marRight w:val="0"/>
              <w:marTop w:val="30"/>
              <w:marBottom w:val="30"/>
              <w:divBdr>
                <w:top w:val="none" w:sz="0" w:space="0" w:color="auto"/>
                <w:left w:val="none" w:sz="0" w:space="0" w:color="auto"/>
                <w:bottom w:val="none" w:sz="0" w:space="0" w:color="auto"/>
                <w:right w:val="none" w:sz="0" w:space="0" w:color="auto"/>
              </w:divBdr>
              <w:divsChild>
                <w:div w:id="19860765">
                  <w:marLeft w:val="0"/>
                  <w:marRight w:val="0"/>
                  <w:marTop w:val="0"/>
                  <w:marBottom w:val="0"/>
                  <w:divBdr>
                    <w:top w:val="none" w:sz="0" w:space="0" w:color="auto"/>
                    <w:left w:val="none" w:sz="0" w:space="0" w:color="auto"/>
                    <w:bottom w:val="none" w:sz="0" w:space="0" w:color="auto"/>
                    <w:right w:val="none" w:sz="0" w:space="0" w:color="auto"/>
                  </w:divBdr>
                  <w:divsChild>
                    <w:div w:id="1194880414">
                      <w:marLeft w:val="0"/>
                      <w:marRight w:val="0"/>
                      <w:marTop w:val="0"/>
                      <w:marBottom w:val="0"/>
                      <w:divBdr>
                        <w:top w:val="none" w:sz="0" w:space="0" w:color="auto"/>
                        <w:left w:val="none" w:sz="0" w:space="0" w:color="auto"/>
                        <w:bottom w:val="none" w:sz="0" w:space="0" w:color="auto"/>
                        <w:right w:val="none" w:sz="0" w:space="0" w:color="auto"/>
                      </w:divBdr>
                    </w:div>
                  </w:divsChild>
                </w:div>
                <w:div w:id="59254413">
                  <w:marLeft w:val="0"/>
                  <w:marRight w:val="0"/>
                  <w:marTop w:val="0"/>
                  <w:marBottom w:val="0"/>
                  <w:divBdr>
                    <w:top w:val="none" w:sz="0" w:space="0" w:color="auto"/>
                    <w:left w:val="none" w:sz="0" w:space="0" w:color="auto"/>
                    <w:bottom w:val="none" w:sz="0" w:space="0" w:color="auto"/>
                    <w:right w:val="none" w:sz="0" w:space="0" w:color="auto"/>
                  </w:divBdr>
                  <w:divsChild>
                    <w:div w:id="846333779">
                      <w:marLeft w:val="0"/>
                      <w:marRight w:val="0"/>
                      <w:marTop w:val="0"/>
                      <w:marBottom w:val="0"/>
                      <w:divBdr>
                        <w:top w:val="none" w:sz="0" w:space="0" w:color="auto"/>
                        <w:left w:val="none" w:sz="0" w:space="0" w:color="auto"/>
                        <w:bottom w:val="none" w:sz="0" w:space="0" w:color="auto"/>
                        <w:right w:val="none" w:sz="0" w:space="0" w:color="auto"/>
                      </w:divBdr>
                    </w:div>
                  </w:divsChild>
                </w:div>
                <w:div w:id="112794162">
                  <w:marLeft w:val="0"/>
                  <w:marRight w:val="0"/>
                  <w:marTop w:val="0"/>
                  <w:marBottom w:val="0"/>
                  <w:divBdr>
                    <w:top w:val="none" w:sz="0" w:space="0" w:color="auto"/>
                    <w:left w:val="none" w:sz="0" w:space="0" w:color="auto"/>
                    <w:bottom w:val="none" w:sz="0" w:space="0" w:color="auto"/>
                    <w:right w:val="none" w:sz="0" w:space="0" w:color="auto"/>
                  </w:divBdr>
                  <w:divsChild>
                    <w:div w:id="798842003">
                      <w:marLeft w:val="0"/>
                      <w:marRight w:val="0"/>
                      <w:marTop w:val="0"/>
                      <w:marBottom w:val="0"/>
                      <w:divBdr>
                        <w:top w:val="none" w:sz="0" w:space="0" w:color="auto"/>
                        <w:left w:val="none" w:sz="0" w:space="0" w:color="auto"/>
                        <w:bottom w:val="none" w:sz="0" w:space="0" w:color="auto"/>
                        <w:right w:val="none" w:sz="0" w:space="0" w:color="auto"/>
                      </w:divBdr>
                    </w:div>
                  </w:divsChild>
                </w:div>
                <w:div w:id="387608853">
                  <w:marLeft w:val="0"/>
                  <w:marRight w:val="0"/>
                  <w:marTop w:val="0"/>
                  <w:marBottom w:val="0"/>
                  <w:divBdr>
                    <w:top w:val="none" w:sz="0" w:space="0" w:color="auto"/>
                    <w:left w:val="none" w:sz="0" w:space="0" w:color="auto"/>
                    <w:bottom w:val="none" w:sz="0" w:space="0" w:color="auto"/>
                    <w:right w:val="none" w:sz="0" w:space="0" w:color="auto"/>
                  </w:divBdr>
                  <w:divsChild>
                    <w:div w:id="442311840">
                      <w:marLeft w:val="0"/>
                      <w:marRight w:val="0"/>
                      <w:marTop w:val="0"/>
                      <w:marBottom w:val="0"/>
                      <w:divBdr>
                        <w:top w:val="none" w:sz="0" w:space="0" w:color="auto"/>
                        <w:left w:val="none" w:sz="0" w:space="0" w:color="auto"/>
                        <w:bottom w:val="none" w:sz="0" w:space="0" w:color="auto"/>
                        <w:right w:val="none" w:sz="0" w:space="0" w:color="auto"/>
                      </w:divBdr>
                    </w:div>
                  </w:divsChild>
                </w:div>
                <w:div w:id="460922053">
                  <w:marLeft w:val="0"/>
                  <w:marRight w:val="0"/>
                  <w:marTop w:val="0"/>
                  <w:marBottom w:val="0"/>
                  <w:divBdr>
                    <w:top w:val="none" w:sz="0" w:space="0" w:color="auto"/>
                    <w:left w:val="none" w:sz="0" w:space="0" w:color="auto"/>
                    <w:bottom w:val="none" w:sz="0" w:space="0" w:color="auto"/>
                    <w:right w:val="none" w:sz="0" w:space="0" w:color="auto"/>
                  </w:divBdr>
                  <w:divsChild>
                    <w:div w:id="1627855491">
                      <w:marLeft w:val="0"/>
                      <w:marRight w:val="0"/>
                      <w:marTop w:val="0"/>
                      <w:marBottom w:val="0"/>
                      <w:divBdr>
                        <w:top w:val="none" w:sz="0" w:space="0" w:color="auto"/>
                        <w:left w:val="none" w:sz="0" w:space="0" w:color="auto"/>
                        <w:bottom w:val="none" w:sz="0" w:space="0" w:color="auto"/>
                        <w:right w:val="none" w:sz="0" w:space="0" w:color="auto"/>
                      </w:divBdr>
                    </w:div>
                  </w:divsChild>
                </w:div>
                <w:div w:id="1170606645">
                  <w:marLeft w:val="0"/>
                  <w:marRight w:val="0"/>
                  <w:marTop w:val="0"/>
                  <w:marBottom w:val="0"/>
                  <w:divBdr>
                    <w:top w:val="none" w:sz="0" w:space="0" w:color="auto"/>
                    <w:left w:val="none" w:sz="0" w:space="0" w:color="auto"/>
                    <w:bottom w:val="none" w:sz="0" w:space="0" w:color="auto"/>
                    <w:right w:val="none" w:sz="0" w:space="0" w:color="auto"/>
                  </w:divBdr>
                  <w:divsChild>
                    <w:div w:id="1261641445">
                      <w:marLeft w:val="0"/>
                      <w:marRight w:val="0"/>
                      <w:marTop w:val="0"/>
                      <w:marBottom w:val="0"/>
                      <w:divBdr>
                        <w:top w:val="none" w:sz="0" w:space="0" w:color="auto"/>
                        <w:left w:val="none" w:sz="0" w:space="0" w:color="auto"/>
                        <w:bottom w:val="none" w:sz="0" w:space="0" w:color="auto"/>
                        <w:right w:val="none" w:sz="0" w:space="0" w:color="auto"/>
                      </w:divBdr>
                    </w:div>
                  </w:divsChild>
                </w:div>
                <w:div w:id="1183711507">
                  <w:marLeft w:val="0"/>
                  <w:marRight w:val="0"/>
                  <w:marTop w:val="0"/>
                  <w:marBottom w:val="0"/>
                  <w:divBdr>
                    <w:top w:val="none" w:sz="0" w:space="0" w:color="auto"/>
                    <w:left w:val="none" w:sz="0" w:space="0" w:color="auto"/>
                    <w:bottom w:val="none" w:sz="0" w:space="0" w:color="auto"/>
                    <w:right w:val="none" w:sz="0" w:space="0" w:color="auto"/>
                  </w:divBdr>
                  <w:divsChild>
                    <w:div w:id="18556776">
                      <w:marLeft w:val="0"/>
                      <w:marRight w:val="0"/>
                      <w:marTop w:val="0"/>
                      <w:marBottom w:val="0"/>
                      <w:divBdr>
                        <w:top w:val="none" w:sz="0" w:space="0" w:color="auto"/>
                        <w:left w:val="none" w:sz="0" w:space="0" w:color="auto"/>
                        <w:bottom w:val="none" w:sz="0" w:space="0" w:color="auto"/>
                        <w:right w:val="none" w:sz="0" w:space="0" w:color="auto"/>
                      </w:divBdr>
                    </w:div>
                  </w:divsChild>
                </w:div>
                <w:div w:id="1344359207">
                  <w:marLeft w:val="0"/>
                  <w:marRight w:val="0"/>
                  <w:marTop w:val="0"/>
                  <w:marBottom w:val="0"/>
                  <w:divBdr>
                    <w:top w:val="none" w:sz="0" w:space="0" w:color="auto"/>
                    <w:left w:val="none" w:sz="0" w:space="0" w:color="auto"/>
                    <w:bottom w:val="none" w:sz="0" w:space="0" w:color="auto"/>
                    <w:right w:val="none" w:sz="0" w:space="0" w:color="auto"/>
                  </w:divBdr>
                  <w:divsChild>
                    <w:div w:id="1645620489">
                      <w:marLeft w:val="0"/>
                      <w:marRight w:val="0"/>
                      <w:marTop w:val="0"/>
                      <w:marBottom w:val="0"/>
                      <w:divBdr>
                        <w:top w:val="none" w:sz="0" w:space="0" w:color="auto"/>
                        <w:left w:val="none" w:sz="0" w:space="0" w:color="auto"/>
                        <w:bottom w:val="none" w:sz="0" w:space="0" w:color="auto"/>
                        <w:right w:val="none" w:sz="0" w:space="0" w:color="auto"/>
                      </w:divBdr>
                    </w:div>
                  </w:divsChild>
                </w:div>
                <w:div w:id="1550995957">
                  <w:marLeft w:val="0"/>
                  <w:marRight w:val="0"/>
                  <w:marTop w:val="0"/>
                  <w:marBottom w:val="0"/>
                  <w:divBdr>
                    <w:top w:val="none" w:sz="0" w:space="0" w:color="auto"/>
                    <w:left w:val="none" w:sz="0" w:space="0" w:color="auto"/>
                    <w:bottom w:val="none" w:sz="0" w:space="0" w:color="auto"/>
                    <w:right w:val="none" w:sz="0" w:space="0" w:color="auto"/>
                  </w:divBdr>
                  <w:divsChild>
                    <w:div w:id="1667899033">
                      <w:marLeft w:val="0"/>
                      <w:marRight w:val="0"/>
                      <w:marTop w:val="0"/>
                      <w:marBottom w:val="0"/>
                      <w:divBdr>
                        <w:top w:val="none" w:sz="0" w:space="0" w:color="auto"/>
                        <w:left w:val="none" w:sz="0" w:space="0" w:color="auto"/>
                        <w:bottom w:val="none" w:sz="0" w:space="0" w:color="auto"/>
                        <w:right w:val="none" w:sz="0" w:space="0" w:color="auto"/>
                      </w:divBdr>
                    </w:div>
                  </w:divsChild>
                </w:div>
                <w:div w:id="1637026048">
                  <w:marLeft w:val="0"/>
                  <w:marRight w:val="0"/>
                  <w:marTop w:val="0"/>
                  <w:marBottom w:val="0"/>
                  <w:divBdr>
                    <w:top w:val="none" w:sz="0" w:space="0" w:color="auto"/>
                    <w:left w:val="none" w:sz="0" w:space="0" w:color="auto"/>
                    <w:bottom w:val="none" w:sz="0" w:space="0" w:color="auto"/>
                    <w:right w:val="none" w:sz="0" w:space="0" w:color="auto"/>
                  </w:divBdr>
                  <w:divsChild>
                    <w:div w:id="31927558">
                      <w:marLeft w:val="0"/>
                      <w:marRight w:val="0"/>
                      <w:marTop w:val="0"/>
                      <w:marBottom w:val="0"/>
                      <w:divBdr>
                        <w:top w:val="none" w:sz="0" w:space="0" w:color="auto"/>
                        <w:left w:val="none" w:sz="0" w:space="0" w:color="auto"/>
                        <w:bottom w:val="none" w:sz="0" w:space="0" w:color="auto"/>
                        <w:right w:val="none" w:sz="0" w:space="0" w:color="auto"/>
                      </w:divBdr>
                    </w:div>
                  </w:divsChild>
                </w:div>
                <w:div w:id="1637030213">
                  <w:marLeft w:val="0"/>
                  <w:marRight w:val="0"/>
                  <w:marTop w:val="0"/>
                  <w:marBottom w:val="0"/>
                  <w:divBdr>
                    <w:top w:val="none" w:sz="0" w:space="0" w:color="auto"/>
                    <w:left w:val="none" w:sz="0" w:space="0" w:color="auto"/>
                    <w:bottom w:val="none" w:sz="0" w:space="0" w:color="auto"/>
                    <w:right w:val="none" w:sz="0" w:space="0" w:color="auto"/>
                  </w:divBdr>
                  <w:divsChild>
                    <w:div w:id="821391430">
                      <w:marLeft w:val="0"/>
                      <w:marRight w:val="0"/>
                      <w:marTop w:val="0"/>
                      <w:marBottom w:val="0"/>
                      <w:divBdr>
                        <w:top w:val="none" w:sz="0" w:space="0" w:color="auto"/>
                        <w:left w:val="none" w:sz="0" w:space="0" w:color="auto"/>
                        <w:bottom w:val="none" w:sz="0" w:space="0" w:color="auto"/>
                        <w:right w:val="none" w:sz="0" w:space="0" w:color="auto"/>
                      </w:divBdr>
                    </w:div>
                  </w:divsChild>
                </w:div>
                <w:div w:id="1663042590">
                  <w:marLeft w:val="0"/>
                  <w:marRight w:val="0"/>
                  <w:marTop w:val="0"/>
                  <w:marBottom w:val="0"/>
                  <w:divBdr>
                    <w:top w:val="none" w:sz="0" w:space="0" w:color="auto"/>
                    <w:left w:val="none" w:sz="0" w:space="0" w:color="auto"/>
                    <w:bottom w:val="none" w:sz="0" w:space="0" w:color="auto"/>
                    <w:right w:val="none" w:sz="0" w:space="0" w:color="auto"/>
                  </w:divBdr>
                  <w:divsChild>
                    <w:div w:id="16827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31933">
          <w:marLeft w:val="0"/>
          <w:marRight w:val="0"/>
          <w:marTop w:val="0"/>
          <w:marBottom w:val="0"/>
          <w:divBdr>
            <w:top w:val="none" w:sz="0" w:space="0" w:color="auto"/>
            <w:left w:val="none" w:sz="0" w:space="0" w:color="auto"/>
            <w:bottom w:val="none" w:sz="0" w:space="0" w:color="auto"/>
            <w:right w:val="none" w:sz="0" w:space="0" w:color="auto"/>
          </w:divBdr>
          <w:divsChild>
            <w:div w:id="687607048">
              <w:marLeft w:val="-75"/>
              <w:marRight w:val="0"/>
              <w:marTop w:val="30"/>
              <w:marBottom w:val="30"/>
              <w:divBdr>
                <w:top w:val="none" w:sz="0" w:space="0" w:color="auto"/>
                <w:left w:val="none" w:sz="0" w:space="0" w:color="auto"/>
                <w:bottom w:val="none" w:sz="0" w:space="0" w:color="auto"/>
                <w:right w:val="none" w:sz="0" w:space="0" w:color="auto"/>
              </w:divBdr>
              <w:divsChild>
                <w:div w:id="2975150">
                  <w:marLeft w:val="0"/>
                  <w:marRight w:val="0"/>
                  <w:marTop w:val="0"/>
                  <w:marBottom w:val="0"/>
                  <w:divBdr>
                    <w:top w:val="none" w:sz="0" w:space="0" w:color="auto"/>
                    <w:left w:val="none" w:sz="0" w:space="0" w:color="auto"/>
                    <w:bottom w:val="none" w:sz="0" w:space="0" w:color="auto"/>
                    <w:right w:val="none" w:sz="0" w:space="0" w:color="auto"/>
                  </w:divBdr>
                  <w:divsChild>
                    <w:div w:id="880752797">
                      <w:marLeft w:val="0"/>
                      <w:marRight w:val="0"/>
                      <w:marTop w:val="0"/>
                      <w:marBottom w:val="0"/>
                      <w:divBdr>
                        <w:top w:val="none" w:sz="0" w:space="0" w:color="auto"/>
                        <w:left w:val="none" w:sz="0" w:space="0" w:color="auto"/>
                        <w:bottom w:val="none" w:sz="0" w:space="0" w:color="auto"/>
                        <w:right w:val="none" w:sz="0" w:space="0" w:color="auto"/>
                      </w:divBdr>
                    </w:div>
                  </w:divsChild>
                </w:div>
                <w:div w:id="44911175">
                  <w:marLeft w:val="0"/>
                  <w:marRight w:val="0"/>
                  <w:marTop w:val="0"/>
                  <w:marBottom w:val="0"/>
                  <w:divBdr>
                    <w:top w:val="none" w:sz="0" w:space="0" w:color="auto"/>
                    <w:left w:val="none" w:sz="0" w:space="0" w:color="auto"/>
                    <w:bottom w:val="none" w:sz="0" w:space="0" w:color="auto"/>
                    <w:right w:val="none" w:sz="0" w:space="0" w:color="auto"/>
                  </w:divBdr>
                  <w:divsChild>
                    <w:div w:id="38358817">
                      <w:marLeft w:val="0"/>
                      <w:marRight w:val="0"/>
                      <w:marTop w:val="0"/>
                      <w:marBottom w:val="0"/>
                      <w:divBdr>
                        <w:top w:val="none" w:sz="0" w:space="0" w:color="auto"/>
                        <w:left w:val="none" w:sz="0" w:space="0" w:color="auto"/>
                        <w:bottom w:val="none" w:sz="0" w:space="0" w:color="auto"/>
                        <w:right w:val="none" w:sz="0" w:space="0" w:color="auto"/>
                      </w:divBdr>
                    </w:div>
                    <w:div w:id="1318609256">
                      <w:marLeft w:val="0"/>
                      <w:marRight w:val="0"/>
                      <w:marTop w:val="0"/>
                      <w:marBottom w:val="0"/>
                      <w:divBdr>
                        <w:top w:val="none" w:sz="0" w:space="0" w:color="auto"/>
                        <w:left w:val="none" w:sz="0" w:space="0" w:color="auto"/>
                        <w:bottom w:val="none" w:sz="0" w:space="0" w:color="auto"/>
                        <w:right w:val="none" w:sz="0" w:space="0" w:color="auto"/>
                      </w:divBdr>
                    </w:div>
                  </w:divsChild>
                </w:div>
                <w:div w:id="67702103">
                  <w:marLeft w:val="0"/>
                  <w:marRight w:val="0"/>
                  <w:marTop w:val="0"/>
                  <w:marBottom w:val="0"/>
                  <w:divBdr>
                    <w:top w:val="none" w:sz="0" w:space="0" w:color="auto"/>
                    <w:left w:val="none" w:sz="0" w:space="0" w:color="auto"/>
                    <w:bottom w:val="none" w:sz="0" w:space="0" w:color="auto"/>
                    <w:right w:val="none" w:sz="0" w:space="0" w:color="auto"/>
                  </w:divBdr>
                  <w:divsChild>
                    <w:div w:id="1130049332">
                      <w:marLeft w:val="0"/>
                      <w:marRight w:val="0"/>
                      <w:marTop w:val="0"/>
                      <w:marBottom w:val="0"/>
                      <w:divBdr>
                        <w:top w:val="none" w:sz="0" w:space="0" w:color="auto"/>
                        <w:left w:val="none" w:sz="0" w:space="0" w:color="auto"/>
                        <w:bottom w:val="none" w:sz="0" w:space="0" w:color="auto"/>
                        <w:right w:val="none" w:sz="0" w:space="0" w:color="auto"/>
                      </w:divBdr>
                    </w:div>
                  </w:divsChild>
                </w:div>
                <w:div w:id="77869239">
                  <w:marLeft w:val="0"/>
                  <w:marRight w:val="0"/>
                  <w:marTop w:val="0"/>
                  <w:marBottom w:val="0"/>
                  <w:divBdr>
                    <w:top w:val="none" w:sz="0" w:space="0" w:color="auto"/>
                    <w:left w:val="none" w:sz="0" w:space="0" w:color="auto"/>
                    <w:bottom w:val="none" w:sz="0" w:space="0" w:color="auto"/>
                    <w:right w:val="none" w:sz="0" w:space="0" w:color="auto"/>
                  </w:divBdr>
                  <w:divsChild>
                    <w:div w:id="1777476660">
                      <w:marLeft w:val="0"/>
                      <w:marRight w:val="0"/>
                      <w:marTop w:val="0"/>
                      <w:marBottom w:val="0"/>
                      <w:divBdr>
                        <w:top w:val="none" w:sz="0" w:space="0" w:color="auto"/>
                        <w:left w:val="none" w:sz="0" w:space="0" w:color="auto"/>
                        <w:bottom w:val="none" w:sz="0" w:space="0" w:color="auto"/>
                        <w:right w:val="none" w:sz="0" w:space="0" w:color="auto"/>
                      </w:divBdr>
                    </w:div>
                  </w:divsChild>
                </w:div>
                <w:div w:id="141240305">
                  <w:marLeft w:val="0"/>
                  <w:marRight w:val="0"/>
                  <w:marTop w:val="0"/>
                  <w:marBottom w:val="0"/>
                  <w:divBdr>
                    <w:top w:val="none" w:sz="0" w:space="0" w:color="auto"/>
                    <w:left w:val="none" w:sz="0" w:space="0" w:color="auto"/>
                    <w:bottom w:val="none" w:sz="0" w:space="0" w:color="auto"/>
                    <w:right w:val="none" w:sz="0" w:space="0" w:color="auto"/>
                  </w:divBdr>
                  <w:divsChild>
                    <w:div w:id="1138910665">
                      <w:marLeft w:val="0"/>
                      <w:marRight w:val="0"/>
                      <w:marTop w:val="0"/>
                      <w:marBottom w:val="0"/>
                      <w:divBdr>
                        <w:top w:val="none" w:sz="0" w:space="0" w:color="auto"/>
                        <w:left w:val="none" w:sz="0" w:space="0" w:color="auto"/>
                        <w:bottom w:val="none" w:sz="0" w:space="0" w:color="auto"/>
                        <w:right w:val="none" w:sz="0" w:space="0" w:color="auto"/>
                      </w:divBdr>
                    </w:div>
                  </w:divsChild>
                </w:div>
                <w:div w:id="222452724">
                  <w:marLeft w:val="0"/>
                  <w:marRight w:val="0"/>
                  <w:marTop w:val="0"/>
                  <w:marBottom w:val="0"/>
                  <w:divBdr>
                    <w:top w:val="none" w:sz="0" w:space="0" w:color="auto"/>
                    <w:left w:val="none" w:sz="0" w:space="0" w:color="auto"/>
                    <w:bottom w:val="none" w:sz="0" w:space="0" w:color="auto"/>
                    <w:right w:val="none" w:sz="0" w:space="0" w:color="auto"/>
                  </w:divBdr>
                  <w:divsChild>
                    <w:div w:id="735708868">
                      <w:marLeft w:val="0"/>
                      <w:marRight w:val="0"/>
                      <w:marTop w:val="0"/>
                      <w:marBottom w:val="0"/>
                      <w:divBdr>
                        <w:top w:val="none" w:sz="0" w:space="0" w:color="auto"/>
                        <w:left w:val="none" w:sz="0" w:space="0" w:color="auto"/>
                        <w:bottom w:val="none" w:sz="0" w:space="0" w:color="auto"/>
                        <w:right w:val="none" w:sz="0" w:space="0" w:color="auto"/>
                      </w:divBdr>
                    </w:div>
                  </w:divsChild>
                </w:div>
                <w:div w:id="224537827">
                  <w:marLeft w:val="0"/>
                  <w:marRight w:val="0"/>
                  <w:marTop w:val="0"/>
                  <w:marBottom w:val="0"/>
                  <w:divBdr>
                    <w:top w:val="none" w:sz="0" w:space="0" w:color="auto"/>
                    <w:left w:val="none" w:sz="0" w:space="0" w:color="auto"/>
                    <w:bottom w:val="none" w:sz="0" w:space="0" w:color="auto"/>
                    <w:right w:val="none" w:sz="0" w:space="0" w:color="auto"/>
                  </w:divBdr>
                  <w:divsChild>
                    <w:div w:id="1390877725">
                      <w:marLeft w:val="0"/>
                      <w:marRight w:val="0"/>
                      <w:marTop w:val="0"/>
                      <w:marBottom w:val="0"/>
                      <w:divBdr>
                        <w:top w:val="none" w:sz="0" w:space="0" w:color="auto"/>
                        <w:left w:val="none" w:sz="0" w:space="0" w:color="auto"/>
                        <w:bottom w:val="none" w:sz="0" w:space="0" w:color="auto"/>
                        <w:right w:val="none" w:sz="0" w:space="0" w:color="auto"/>
                      </w:divBdr>
                    </w:div>
                  </w:divsChild>
                </w:div>
                <w:div w:id="230433413">
                  <w:marLeft w:val="0"/>
                  <w:marRight w:val="0"/>
                  <w:marTop w:val="0"/>
                  <w:marBottom w:val="0"/>
                  <w:divBdr>
                    <w:top w:val="none" w:sz="0" w:space="0" w:color="auto"/>
                    <w:left w:val="none" w:sz="0" w:space="0" w:color="auto"/>
                    <w:bottom w:val="none" w:sz="0" w:space="0" w:color="auto"/>
                    <w:right w:val="none" w:sz="0" w:space="0" w:color="auto"/>
                  </w:divBdr>
                  <w:divsChild>
                    <w:div w:id="641227039">
                      <w:marLeft w:val="0"/>
                      <w:marRight w:val="0"/>
                      <w:marTop w:val="0"/>
                      <w:marBottom w:val="0"/>
                      <w:divBdr>
                        <w:top w:val="none" w:sz="0" w:space="0" w:color="auto"/>
                        <w:left w:val="none" w:sz="0" w:space="0" w:color="auto"/>
                        <w:bottom w:val="none" w:sz="0" w:space="0" w:color="auto"/>
                        <w:right w:val="none" w:sz="0" w:space="0" w:color="auto"/>
                      </w:divBdr>
                    </w:div>
                  </w:divsChild>
                </w:div>
                <w:div w:id="236786886">
                  <w:marLeft w:val="0"/>
                  <w:marRight w:val="0"/>
                  <w:marTop w:val="0"/>
                  <w:marBottom w:val="0"/>
                  <w:divBdr>
                    <w:top w:val="none" w:sz="0" w:space="0" w:color="auto"/>
                    <w:left w:val="none" w:sz="0" w:space="0" w:color="auto"/>
                    <w:bottom w:val="none" w:sz="0" w:space="0" w:color="auto"/>
                    <w:right w:val="none" w:sz="0" w:space="0" w:color="auto"/>
                  </w:divBdr>
                  <w:divsChild>
                    <w:div w:id="919875881">
                      <w:marLeft w:val="0"/>
                      <w:marRight w:val="0"/>
                      <w:marTop w:val="0"/>
                      <w:marBottom w:val="0"/>
                      <w:divBdr>
                        <w:top w:val="none" w:sz="0" w:space="0" w:color="auto"/>
                        <w:left w:val="none" w:sz="0" w:space="0" w:color="auto"/>
                        <w:bottom w:val="none" w:sz="0" w:space="0" w:color="auto"/>
                        <w:right w:val="none" w:sz="0" w:space="0" w:color="auto"/>
                      </w:divBdr>
                    </w:div>
                  </w:divsChild>
                </w:div>
                <w:div w:id="270746399">
                  <w:marLeft w:val="0"/>
                  <w:marRight w:val="0"/>
                  <w:marTop w:val="0"/>
                  <w:marBottom w:val="0"/>
                  <w:divBdr>
                    <w:top w:val="none" w:sz="0" w:space="0" w:color="auto"/>
                    <w:left w:val="none" w:sz="0" w:space="0" w:color="auto"/>
                    <w:bottom w:val="none" w:sz="0" w:space="0" w:color="auto"/>
                    <w:right w:val="none" w:sz="0" w:space="0" w:color="auto"/>
                  </w:divBdr>
                  <w:divsChild>
                    <w:div w:id="65612777">
                      <w:marLeft w:val="0"/>
                      <w:marRight w:val="0"/>
                      <w:marTop w:val="0"/>
                      <w:marBottom w:val="0"/>
                      <w:divBdr>
                        <w:top w:val="none" w:sz="0" w:space="0" w:color="auto"/>
                        <w:left w:val="none" w:sz="0" w:space="0" w:color="auto"/>
                        <w:bottom w:val="none" w:sz="0" w:space="0" w:color="auto"/>
                        <w:right w:val="none" w:sz="0" w:space="0" w:color="auto"/>
                      </w:divBdr>
                    </w:div>
                  </w:divsChild>
                </w:div>
                <w:div w:id="285308452">
                  <w:marLeft w:val="0"/>
                  <w:marRight w:val="0"/>
                  <w:marTop w:val="0"/>
                  <w:marBottom w:val="0"/>
                  <w:divBdr>
                    <w:top w:val="none" w:sz="0" w:space="0" w:color="auto"/>
                    <w:left w:val="none" w:sz="0" w:space="0" w:color="auto"/>
                    <w:bottom w:val="none" w:sz="0" w:space="0" w:color="auto"/>
                    <w:right w:val="none" w:sz="0" w:space="0" w:color="auto"/>
                  </w:divBdr>
                  <w:divsChild>
                    <w:div w:id="738329350">
                      <w:marLeft w:val="0"/>
                      <w:marRight w:val="0"/>
                      <w:marTop w:val="0"/>
                      <w:marBottom w:val="0"/>
                      <w:divBdr>
                        <w:top w:val="none" w:sz="0" w:space="0" w:color="auto"/>
                        <w:left w:val="none" w:sz="0" w:space="0" w:color="auto"/>
                        <w:bottom w:val="none" w:sz="0" w:space="0" w:color="auto"/>
                        <w:right w:val="none" w:sz="0" w:space="0" w:color="auto"/>
                      </w:divBdr>
                    </w:div>
                  </w:divsChild>
                </w:div>
                <w:div w:id="300429528">
                  <w:marLeft w:val="0"/>
                  <w:marRight w:val="0"/>
                  <w:marTop w:val="0"/>
                  <w:marBottom w:val="0"/>
                  <w:divBdr>
                    <w:top w:val="none" w:sz="0" w:space="0" w:color="auto"/>
                    <w:left w:val="none" w:sz="0" w:space="0" w:color="auto"/>
                    <w:bottom w:val="none" w:sz="0" w:space="0" w:color="auto"/>
                    <w:right w:val="none" w:sz="0" w:space="0" w:color="auto"/>
                  </w:divBdr>
                  <w:divsChild>
                    <w:div w:id="62337148">
                      <w:marLeft w:val="0"/>
                      <w:marRight w:val="0"/>
                      <w:marTop w:val="0"/>
                      <w:marBottom w:val="0"/>
                      <w:divBdr>
                        <w:top w:val="none" w:sz="0" w:space="0" w:color="auto"/>
                        <w:left w:val="none" w:sz="0" w:space="0" w:color="auto"/>
                        <w:bottom w:val="none" w:sz="0" w:space="0" w:color="auto"/>
                        <w:right w:val="none" w:sz="0" w:space="0" w:color="auto"/>
                      </w:divBdr>
                    </w:div>
                  </w:divsChild>
                </w:div>
                <w:div w:id="320547967">
                  <w:marLeft w:val="0"/>
                  <w:marRight w:val="0"/>
                  <w:marTop w:val="0"/>
                  <w:marBottom w:val="0"/>
                  <w:divBdr>
                    <w:top w:val="none" w:sz="0" w:space="0" w:color="auto"/>
                    <w:left w:val="none" w:sz="0" w:space="0" w:color="auto"/>
                    <w:bottom w:val="none" w:sz="0" w:space="0" w:color="auto"/>
                    <w:right w:val="none" w:sz="0" w:space="0" w:color="auto"/>
                  </w:divBdr>
                  <w:divsChild>
                    <w:div w:id="1269585269">
                      <w:marLeft w:val="0"/>
                      <w:marRight w:val="0"/>
                      <w:marTop w:val="0"/>
                      <w:marBottom w:val="0"/>
                      <w:divBdr>
                        <w:top w:val="none" w:sz="0" w:space="0" w:color="auto"/>
                        <w:left w:val="none" w:sz="0" w:space="0" w:color="auto"/>
                        <w:bottom w:val="none" w:sz="0" w:space="0" w:color="auto"/>
                        <w:right w:val="none" w:sz="0" w:space="0" w:color="auto"/>
                      </w:divBdr>
                    </w:div>
                  </w:divsChild>
                </w:div>
                <w:div w:id="320618484">
                  <w:marLeft w:val="0"/>
                  <w:marRight w:val="0"/>
                  <w:marTop w:val="0"/>
                  <w:marBottom w:val="0"/>
                  <w:divBdr>
                    <w:top w:val="none" w:sz="0" w:space="0" w:color="auto"/>
                    <w:left w:val="none" w:sz="0" w:space="0" w:color="auto"/>
                    <w:bottom w:val="none" w:sz="0" w:space="0" w:color="auto"/>
                    <w:right w:val="none" w:sz="0" w:space="0" w:color="auto"/>
                  </w:divBdr>
                  <w:divsChild>
                    <w:div w:id="17661708">
                      <w:marLeft w:val="0"/>
                      <w:marRight w:val="0"/>
                      <w:marTop w:val="0"/>
                      <w:marBottom w:val="0"/>
                      <w:divBdr>
                        <w:top w:val="none" w:sz="0" w:space="0" w:color="auto"/>
                        <w:left w:val="none" w:sz="0" w:space="0" w:color="auto"/>
                        <w:bottom w:val="none" w:sz="0" w:space="0" w:color="auto"/>
                        <w:right w:val="none" w:sz="0" w:space="0" w:color="auto"/>
                      </w:divBdr>
                    </w:div>
                  </w:divsChild>
                </w:div>
                <w:div w:id="327951453">
                  <w:marLeft w:val="0"/>
                  <w:marRight w:val="0"/>
                  <w:marTop w:val="0"/>
                  <w:marBottom w:val="0"/>
                  <w:divBdr>
                    <w:top w:val="none" w:sz="0" w:space="0" w:color="auto"/>
                    <w:left w:val="none" w:sz="0" w:space="0" w:color="auto"/>
                    <w:bottom w:val="none" w:sz="0" w:space="0" w:color="auto"/>
                    <w:right w:val="none" w:sz="0" w:space="0" w:color="auto"/>
                  </w:divBdr>
                  <w:divsChild>
                    <w:div w:id="394593147">
                      <w:marLeft w:val="0"/>
                      <w:marRight w:val="0"/>
                      <w:marTop w:val="0"/>
                      <w:marBottom w:val="0"/>
                      <w:divBdr>
                        <w:top w:val="none" w:sz="0" w:space="0" w:color="auto"/>
                        <w:left w:val="none" w:sz="0" w:space="0" w:color="auto"/>
                        <w:bottom w:val="none" w:sz="0" w:space="0" w:color="auto"/>
                        <w:right w:val="none" w:sz="0" w:space="0" w:color="auto"/>
                      </w:divBdr>
                    </w:div>
                  </w:divsChild>
                </w:div>
                <w:div w:id="331569675">
                  <w:marLeft w:val="0"/>
                  <w:marRight w:val="0"/>
                  <w:marTop w:val="0"/>
                  <w:marBottom w:val="0"/>
                  <w:divBdr>
                    <w:top w:val="none" w:sz="0" w:space="0" w:color="auto"/>
                    <w:left w:val="none" w:sz="0" w:space="0" w:color="auto"/>
                    <w:bottom w:val="none" w:sz="0" w:space="0" w:color="auto"/>
                    <w:right w:val="none" w:sz="0" w:space="0" w:color="auto"/>
                  </w:divBdr>
                  <w:divsChild>
                    <w:div w:id="1088427150">
                      <w:marLeft w:val="0"/>
                      <w:marRight w:val="0"/>
                      <w:marTop w:val="0"/>
                      <w:marBottom w:val="0"/>
                      <w:divBdr>
                        <w:top w:val="none" w:sz="0" w:space="0" w:color="auto"/>
                        <w:left w:val="none" w:sz="0" w:space="0" w:color="auto"/>
                        <w:bottom w:val="none" w:sz="0" w:space="0" w:color="auto"/>
                        <w:right w:val="none" w:sz="0" w:space="0" w:color="auto"/>
                      </w:divBdr>
                    </w:div>
                  </w:divsChild>
                </w:div>
                <w:div w:id="359739790">
                  <w:marLeft w:val="0"/>
                  <w:marRight w:val="0"/>
                  <w:marTop w:val="0"/>
                  <w:marBottom w:val="0"/>
                  <w:divBdr>
                    <w:top w:val="none" w:sz="0" w:space="0" w:color="auto"/>
                    <w:left w:val="none" w:sz="0" w:space="0" w:color="auto"/>
                    <w:bottom w:val="none" w:sz="0" w:space="0" w:color="auto"/>
                    <w:right w:val="none" w:sz="0" w:space="0" w:color="auto"/>
                  </w:divBdr>
                  <w:divsChild>
                    <w:div w:id="982199069">
                      <w:marLeft w:val="0"/>
                      <w:marRight w:val="0"/>
                      <w:marTop w:val="0"/>
                      <w:marBottom w:val="0"/>
                      <w:divBdr>
                        <w:top w:val="none" w:sz="0" w:space="0" w:color="auto"/>
                        <w:left w:val="none" w:sz="0" w:space="0" w:color="auto"/>
                        <w:bottom w:val="none" w:sz="0" w:space="0" w:color="auto"/>
                        <w:right w:val="none" w:sz="0" w:space="0" w:color="auto"/>
                      </w:divBdr>
                    </w:div>
                  </w:divsChild>
                </w:div>
                <w:div w:id="368722234">
                  <w:marLeft w:val="0"/>
                  <w:marRight w:val="0"/>
                  <w:marTop w:val="0"/>
                  <w:marBottom w:val="0"/>
                  <w:divBdr>
                    <w:top w:val="none" w:sz="0" w:space="0" w:color="auto"/>
                    <w:left w:val="none" w:sz="0" w:space="0" w:color="auto"/>
                    <w:bottom w:val="none" w:sz="0" w:space="0" w:color="auto"/>
                    <w:right w:val="none" w:sz="0" w:space="0" w:color="auto"/>
                  </w:divBdr>
                  <w:divsChild>
                    <w:div w:id="432167369">
                      <w:marLeft w:val="0"/>
                      <w:marRight w:val="0"/>
                      <w:marTop w:val="0"/>
                      <w:marBottom w:val="0"/>
                      <w:divBdr>
                        <w:top w:val="none" w:sz="0" w:space="0" w:color="auto"/>
                        <w:left w:val="none" w:sz="0" w:space="0" w:color="auto"/>
                        <w:bottom w:val="none" w:sz="0" w:space="0" w:color="auto"/>
                        <w:right w:val="none" w:sz="0" w:space="0" w:color="auto"/>
                      </w:divBdr>
                    </w:div>
                    <w:div w:id="483396848">
                      <w:marLeft w:val="0"/>
                      <w:marRight w:val="0"/>
                      <w:marTop w:val="0"/>
                      <w:marBottom w:val="0"/>
                      <w:divBdr>
                        <w:top w:val="none" w:sz="0" w:space="0" w:color="auto"/>
                        <w:left w:val="none" w:sz="0" w:space="0" w:color="auto"/>
                        <w:bottom w:val="none" w:sz="0" w:space="0" w:color="auto"/>
                        <w:right w:val="none" w:sz="0" w:space="0" w:color="auto"/>
                      </w:divBdr>
                    </w:div>
                    <w:div w:id="1230769993">
                      <w:marLeft w:val="0"/>
                      <w:marRight w:val="0"/>
                      <w:marTop w:val="0"/>
                      <w:marBottom w:val="0"/>
                      <w:divBdr>
                        <w:top w:val="none" w:sz="0" w:space="0" w:color="auto"/>
                        <w:left w:val="none" w:sz="0" w:space="0" w:color="auto"/>
                        <w:bottom w:val="none" w:sz="0" w:space="0" w:color="auto"/>
                        <w:right w:val="none" w:sz="0" w:space="0" w:color="auto"/>
                      </w:divBdr>
                    </w:div>
                    <w:div w:id="1363942826">
                      <w:marLeft w:val="0"/>
                      <w:marRight w:val="0"/>
                      <w:marTop w:val="0"/>
                      <w:marBottom w:val="0"/>
                      <w:divBdr>
                        <w:top w:val="none" w:sz="0" w:space="0" w:color="auto"/>
                        <w:left w:val="none" w:sz="0" w:space="0" w:color="auto"/>
                        <w:bottom w:val="none" w:sz="0" w:space="0" w:color="auto"/>
                        <w:right w:val="none" w:sz="0" w:space="0" w:color="auto"/>
                      </w:divBdr>
                    </w:div>
                    <w:div w:id="1638100071">
                      <w:marLeft w:val="0"/>
                      <w:marRight w:val="0"/>
                      <w:marTop w:val="0"/>
                      <w:marBottom w:val="0"/>
                      <w:divBdr>
                        <w:top w:val="none" w:sz="0" w:space="0" w:color="auto"/>
                        <w:left w:val="none" w:sz="0" w:space="0" w:color="auto"/>
                        <w:bottom w:val="none" w:sz="0" w:space="0" w:color="auto"/>
                        <w:right w:val="none" w:sz="0" w:space="0" w:color="auto"/>
                      </w:divBdr>
                    </w:div>
                    <w:div w:id="1732263104">
                      <w:marLeft w:val="0"/>
                      <w:marRight w:val="0"/>
                      <w:marTop w:val="0"/>
                      <w:marBottom w:val="0"/>
                      <w:divBdr>
                        <w:top w:val="none" w:sz="0" w:space="0" w:color="auto"/>
                        <w:left w:val="none" w:sz="0" w:space="0" w:color="auto"/>
                        <w:bottom w:val="none" w:sz="0" w:space="0" w:color="auto"/>
                        <w:right w:val="none" w:sz="0" w:space="0" w:color="auto"/>
                      </w:divBdr>
                    </w:div>
                  </w:divsChild>
                </w:div>
                <w:div w:id="395276722">
                  <w:marLeft w:val="0"/>
                  <w:marRight w:val="0"/>
                  <w:marTop w:val="0"/>
                  <w:marBottom w:val="0"/>
                  <w:divBdr>
                    <w:top w:val="none" w:sz="0" w:space="0" w:color="auto"/>
                    <w:left w:val="none" w:sz="0" w:space="0" w:color="auto"/>
                    <w:bottom w:val="none" w:sz="0" w:space="0" w:color="auto"/>
                    <w:right w:val="none" w:sz="0" w:space="0" w:color="auto"/>
                  </w:divBdr>
                  <w:divsChild>
                    <w:div w:id="970090053">
                      <w:marLeft w:val="0"/>
                      <w:marRight w:val="0"/>
                      <w:marTop w:val="0"/>
                      <w:marBottom w:val="0"/>
                      <w:divBdr>
                        <w:top w:val="none" w:sz="0" w:space="0" w:color="auto"/>
                        <w:left w:val="none" w:sz="0" w:space="0" w:color="auto"/>
                        <w:bottom w:val="none" w:sz="0" w:space="0" w:color="auto"/>
                        <w:right w:val="none" w:sz="0" w:space="0" w:color="auto"/>
                      </w:divBdr>
                    </w:div>
                  </w:divsChild>
                </w:div>
                <w:div w:id="445084808">
                  <w:marLeft w:val="0"/>
                  <w:marRight w:val="0"/>
                  <w:marTop w:val="0"/>
                  <w:marBottom w:val="0"/>
                  <w:divBdr>
                    <w:top w:val="none" w:sz="0" w:space="0" w:color="auto"/>
                    <w:left w:val="none" w:sz="0" w:space="0" w:color="auto"/>
                    <w:bottom w:val="none" w:sz="0" w:space="0" w:color="auto"/>
                    <w:right w:val="none" w:sz="0" w:space="0" w:color="auto"/>
                  </w:divBdr>
                  <w:divsChild>
                    <w:div w:id="155193005">
                      <w:marLeft w:val="0"/>
                      <w:marRight w:val="0"/>
                      <w:marTop w:val="0"/>
                      <w:marBottom w:val="0"/>
                      <w:divBdr>
                        <w:top w:val="none" w:sz="0" w:space="0" w:color="auto"/>
                        <w:left w:val="none" w:sz="0" w:space="0" w:color="auto"/>
                        <w:bottom w:val="none" w:sz="0" w:space="0" w:color="auto"/>
                        <w:right w:val="none" w:sz="0" w:space="0" w:color="auto"/>
                      </w:divBdr>
                    </w:div>
                  </w:divsChild>
                </w:div>
                <w:div w:id="465897221">
                  <w:marLeft w:val="0"/>
                  <w:marRight w:val="0"/>
                  <w:marTop w:val="0"/>
                  <w:marBottom w:val="0"/>
                  <w:divBdr>
                    <w:top w:val="none" w:sz="0" w:space="0" w:color="auto"/>
                    <w:left w:val="none" w:sz="0" w:space="0" w:color="auto"/>
                    <w:bottom w:val="none" w:sz="0" w:space="0" w:color="auto"/>
                    <w:right w:val="none" w:sz="0" w:space="0" w:color="auto"/>
                  </w:divBdr>
                  <w:divsChild>
                    <w:div w:id="510460645">
                      <w:marLeft w:val="0"/>
                      <w:marRight w:val="0"/>
                      <w:marTop w:val="0"/>
                      <w:marBottom w:val="0"/>
                      <w:divBdr>
                        <w:top w:val="none" w:sz="0" w:space="0" w:color="auto"/>
                        <w:left w:val="none" w:sz="0" w:space="0" w:color="auto"/>
                        <w:bottom w:val="none" w:sz="0" w:space="0" w:color="auto"/>
                        <w:right w:val="none" w:sz="0" w:space="0" w:color="auto"/>
                      </w:divBdr>
                    </w:div>
                  </w:divsChild>
                </w:div>
                <w:div w:id="533620495">
                  <w:marLeft w:val="0"/>
                  <w:marRight w:val="0"/>
                  <w:marTop w:val="0"/>
                  <w:marBottom w:val="0"/>
                  <w:divBdr>
                    <w:top w:val="none" w:sz="0" w:space="0" w:color="auto"/>
                    <w:left w:val="none" w:sz="0" w:space="0" w:color="auto"/>
                    <w:bottom w:val="none" w:sz="0" w:space="0" w:color="auto"/>
                    <w:right w:val="none" w:sz="0" w:space="0" w:color="auto"/>
                  </w:divBdr>
                  <w:divsChild>
                    <w:div w:id="1385447079">
                      <w:marLeft w:val="0"/>
                      <w:marRight w:val="0"/>
                      <w:marTop w:val="0"/>
                      <w:marBottom w:val="0"/>
                      <w:divBdr>
                        <w:top w:val="none" w:sz="0" w:space="0" w:color="auto"/>
                        <w:left w:val="none" w:sz="0" w:space="0" w:color="auto"/>
                        <w:bottom w:val="none" w:sz="0" w:space="0" w:color="auto"/>
                        <w:right w:val="none" w:sz="0" w:space="0" w:color="auto"/>
                      </w:divBdr>
                    </w:div>
                  </w:divsChild>
                </w:div>
                <w:div w:id="591161706">
                  <w:marLeft w:val="0"/>
                  <w:marRight w:val="0"/>
                  <w:marTop w:val="0"/>
                  <w:marBottom w:val="0"/>
                  <w:divBdr>
                    <w:top w:val="none" w:sz="0" w:space="0" w:color="auto"/>
                    <w:left w:val="none" w:sz="0" w:space="0" w:color="auto"/>
                    <w:bottom w:val="none" w:sz="0" w:space="0" w:color="auto"/>
                    <w:right w:val="none" w:sz="0" w:space="0" w:color="auto"/>
                  </w:divBdr>
                  <w:divsChild>
                    <w:div w:id="237598362">
                      <w:marLeft w:val="0"/>
                      <w:marRight w:val="0"/>
                      <w:marTop w:val="0"/>
                      <w:marBottom w:val="0"/>
                      <w:divBdr>
                        <w:top w:val="none" w:sz="0" w:space="0" w:color="auto"/>
                        <w:left w:val="none" w:sz="0" w:space="0" w:color="auto"/>
                        <w:bottom w:val="none" w:sz="0" w:space="0" w:color="auto"/>
                        <w:right w:val="none" w:sz="0" w:space="0" w:color="auto"/>
                      </w:divBdr>
                    </w:div>
                  </w:divsChild>
                </w:div>
                <w:div w:id="632834539">
                  <w:marLeft w:val="0"/>
                  <w:marRight w:val="0"/>
                  <w:marTop w:val="0"/>
                  <w:marBottom w:val="0"/>
                  <w:divBdr>
                    <w:top w:val="none" w:sz="0" w:space="0" w:color="auto"/>
                    <w:left w:val="none" w:sz="0" w:space="0" w:color="auto"/>
                    <w:bottom w:val="none" w:sz="0" w:space="0" w:color="auto"/>
                    <w:right w:val="none" w:sz="0" w:space="0" w:color="auto"/>
                  </w:divBdr>
                  <w:divsChild>
                    <w:div w:id="1607468844">
                      <w:marLeft w:val="0"/>
                      <w:marRight w:val="0"/>
                      <w:marTop w:val="0"/>
                      <w:marBottom w:val="0"/>
                      <w:divBdr>
                        <w:top w:val="none" w:sz="0" w:space="0" w:color="auto"/>
                        <w:left w:val="none" w:sz="0" w:space="0" w:color="auto"/>
                        <w:bottom w:val="none" w:sz="0" w:space="0" w:color="auto"/>
                        <w:right w:val="none" w:sz="0" w:space="0" w:color="auto"/>
                      </w:divBdr>
                    </w:div>
                  </w:divsChild>
                </w:div>
                <w:div w:id="711614430">
                  <w:marLeft w:val="0"/>
                  <w:marRight w:val="0"/>
                  <w:marTop w:val="0"/>
                  <w:marBottom w:val="0"/>
                  <w:divBdr>
                    <w:top w:val="none" w:sz="0" w:space="0" w:color="auto"/>
                    <w:left w:val="none" w:sz="0" w:space="0" w:color="auto"/>
                    <w:bottom w:val="none" w:sz="0" w:space="0" w:color="auto"/>
                    <w:right w:val="none" w:sz="0" w:space="0" w:color="auto"/>
                  </w:divBdr>
                  <w:divsChild>
                    <w:div w:id="766652857">
                      <w:marLeft w:val="0"/>
                      <w:marRight w:val="0"/>
                      <w:marTop w:val="0"/>
                      <w:marBottom w:val="0"/>
                      <w:divBdr>
                        <w:top w:val="none" w:sz="0" w:space="0" w:color="auto"/>
                        <w:left w:val="none" w:sz="0" w:space="0" w:color="auto"/>
                        <w:bottom w:val="none" w:sz="0" w:space="0" w:color="auto"/>
                        <w:right w:val="none" w:sz="0" w:space="0" w:color="auto"/>
                      </w:divBdr>
                    </w:div>
                  </w:divsChild>
                </w:div>
                <w:div w:id="753094016">
                  <w:marLeft w:val="0"/>
                  <w:marRight w:val="0"/>
                  <w:marTop w:val="0"/>
                  <w:marBottom w:val="0"/>
                  <w:divBdr>
                    <w:top w:val="none" w:sz="0" w:space="0" w:color="auto"/>
                    <w:left w:val="none" w:sz="0" w:space="0" w:color="auto"/>
                    <w:bottom w:val="none" w:sz="0" w:space="0" w:color="auto"/>
                    <w:right w:val="none" w:sz="0" w:space="0" w:color="auto"/>
                  </w:divBdr>
                  <w:divsChild>
                    <w:div w:id="2058893734">
                      <w:marLeft w:val="0"/>
                      <w:marRight w:val="0"/>
                      <w:marTop w:val="0"/>
                      <w:marBottom w:val="0"/>
                      <w:divBdr>
                        <w:top w:val="none" w:sz="0" w:space="0" w:color="auto"/>
                        <w:left w:val="none" w:sz="0" w:space="0" w:color="auto"/>
                        <w:bottom w:val="none" w:sz="0" w:space="0" w:color="auto"/>
                        <w:right w:val="none" w:sz="0" w:space="0" w:color="auto"/>
                      </w:divBdr>
                    </w:div>
                  </w:divsChild>
                </w:div>
                <w:div w:id="754982151">
                  <w:marLeft w:val="0"/>
                  <w:marRight w:val="0"/>
                  <w:marTop w:val="0"/>
                  <w:marBottom w:val="0"/>
                  <w:divBdr>
                    <w:top w:val="none" w:sz="0" w:space="0" w:color="auto"/>
                    <w:left w:val="none" w:sz="0" w:space="0" w:color="auto"/>
                    <w:bottom w:val="none" w:sz="0" w:space="0" w:color="auto"/>
                    <w:right w:val="none" w:sz="0" w:space="0" w:color="auto"/>
                  </w:divBdr>
                  <w:divsChild>
                    <w:div w:id="1368800535">
                      <w:marLeft w:val="0"/>
                      <w:marRight w:val="0"/>
                      <w:marTop w:val="0"/>
                      <w:marBottom w:val="0"/>
                      <w:divBdr>
                        <w:top w:val="none" w:sz="0" w:space="0" w:color="auto"/>
                        <w:left w:val="none" w:sz="0" w:space="0" w:color="auto"/>
                        <w:bottom w:val="none" w:sz="0" w:space="0" w:color="auto"/>
                        <w:right w:val="none" w:sz="0" w:space="0" w:color="auto"/>
                      </w:divBdr>
                    </w:div>
                  </w:divsChild>
                </w:div>
                <w:div w:id="757336839">
                  <w:marLeft w:val="0"/>
                  <w:marRight w:val="0"/>
                  <w:marTop w:val="0"/>
                  <w:marBottom w:val="0"/>
                  <w:divBdr>
                    <w:top w:val="none" w:sz="0" w:space="0" w:color="auto"/>
                    <w:left w:val="none" w:sz="0" w:space="0" w:color="auto"/>
                    <w:bottom w:val="none" w:sz="0" w:space="0" w:color="auto"/>
                    <w:right w:val="none" w:sz="0" w:space="0" w:color="auto"/>
                  </w:divBdr>
                  <w:divsChild>
                    <w:div w:id="497962768">
                      <w:marLeft w:val="0"/>
                      <w:marRight w:val="0"/>
                      <w:marTop w:val="0"/>
                      <w:marBottom w:val="0"/>
                      <w:divBdr>
                        <w:top w:val="none" w:sz="0" w:space="0" w:color="auto"/>
                        <w:left w:val="none" w:sz="0" w:space="0" w:color="auto"/>
                        <w:bottom w:val="none" w:sz="0" w:space="0" w:color="auto"/>
                        <w:right w:val="none" w:sz="0" w:space="0" w:color="auto"/>
                      </w:divBdr>
                    </w:div>
                  </w:divsChild>
                </w:div>
                <w:div w:id="760643061">
                  <w:marLeft w:val="0"/>
                  <w:marRight w:val="0"/>
                  <w:marTop w:val="0"/>
                  <w:marBottom w:val="0"/>
                  <w:divBdr>
                    <w:top w:val="none" w:sz="0" w:space="0" w:color="auto"/>
                    <w:left w:val="none" w:sz="0" w:space="0" w:color="auto"/>
                    <w:bottom w:val="none" w:sz="0" w:space="0" w:color="auto"/>
                    <w:right w:val="none" w:sz="0" w:space="0" w:color="auto"/>
                  </w:divBdr>
                  <w:divsChild>
                    <w:div w:id="492528865">
                      <w:marLeft w:val="0"/>
                      <w:marRight w:val="0"/>
                      <w:marTop w:val="0"/>
                      <w:marBottom w:val="0"/>
                      <w:divBdr>
                        <w:top w:val="none" w:sz="0" w:space="0" w:color="auto"/>
                        <w:left w:val="none" w:sz="0" w:space="0" w:color="auto"/>
                        <w:bottom w:val="none" w:sz="0" w:space="0" w:color="auto"/>
                        <w:right w:val="none" w:sz="0" w:space="0" w:color="auto"/>
                      </w:divBdr>
                    </w:div>
                  </w:divsChild>
                </w:div>
                <w:div w:id="855314465">
                  <w:marLeft w:val="0"/>
                  <w:marRight w:val="0"/>
                  <w:marTop w:val="0"/>
                  <w:marBottom w:val="0"/>
                  <w:divBdr>
                    <w:top w:val="none" w:sz="0" w:space="0" w:color="auto"/>
                    <w:left w:val="none" w:sz="0" w:space="0" w:color="auto"/>
                    <w:bottom w:val="none" w:sz="0" w:space="0" w:color="auto"/>
                    <w:right w:val="none" w:sz="0" w:space="0" w:color="auto"/>
                  </w:divBdr>
                  <w:divsChild>
                    <w:div w:id="1457022361">
                      <w:marLeft w:val="0"/>
                      <w:marRight w:val="0"/>
                      <w:marTop w:val="0"/>
                      <w:marBottom w:val="0"/>
                      <w:divBdr>
                        <w:top w:val="none" w:sz="0" w:space="0" w:color="auto"/>
                        <w:left w:val="none" w:sz="0" w:space="0" w:color="auto"/>
                        <w:bottom w:val="none" w:sz="0" w:space="0" w:color="auto"/>
                        <w:right w:val="none" w:sz="0" w:space="0" w:color="auto"/>
                      </w:divBdr>
                    </w:div>
                  </w:divsChild>
                </w:div>
                <w:div w:id="895362163">
                  <w:marLeft w:val="0"/>
                  <w:marRight w:val="0"/>
                  <w:marTop w:val="0"/>
                  <w:marBottom w:val="0"/>
                  <w:divBdr>
                    <w:top w:val="none" w:sz="0" w:space="0" w:color="auto"/>
                    <w:left w:val="none" w:sz="0" w:space="0" w:color="auto"/>
                    <w:bottom w:val="none" w:sz="0" w:space="0" w:color="auto"/>
                    <w:right w:val="none" w:sz="0" w:space="0" w:color="auto"/>
                  </w:divBdr>
                  <w:divsChild>
                    <w:div w:id="1935279583">
                      <w:marLeft w:val="0"/>
                      <w:marRight w:val="0"/>
                      <w:marTop w:val="0"/>
                      <w:marBottom w:val="0"/>
                      <w:divBdr>
                        <w:top w:val="none" w:sz="0" w:space="0" w:color="auto"/>
                        <w:left w:val="none" w:sz="0" w:space="0" w:color="auto"/>
                        <w:bottom w:val="none" w:sz="0" w:space="0" w:color="auto"/>
                        <w:right w:val="none" w:sz="0" w:space="0" w:color="auto"/>
                      </w:divBdr>
                    </w:div>
                  </w:divsChild>
                </w:div>
                <w:div w:id="903028971">
                  <w:marLeft w:val="0"/>
                  <w:marRight w:val="0"/>
                  <w:marTop w:val="0"/>
                  <w:marBottom w:val="0"/>
                  <w:divBdr>
                    <w:top w:val="none" w:sz="0" w:space="0" w:color="auto"/>
                    <w:left w:val="none" w:sz="0" w:space="0" w:color="auto"/>
                    <w:bottom w:val="none" w:sz="0" w:space="0" w:color="auto"/>
                    <w:right w:val="none" w:sz="0" w:space="0" w:color="auto"/>
                  </w:divBdr>
                  <w:divsChild>
                    <w:div w:id="1121264460">
                      <w:marLeft w:val="0"/>
                      <w:marRight w:val="0"/>
                      <w:marTop w:val="0"/>
                      <w:marBottom w:val="0"/>
                      <w:divBdr>
                        <w:top w:val="none" w:sz="0" w:space="0" w:color="auto"/>
                        <w:left w:val="none" w:sz="0" w:space="0" w:color="auto"/>
                        <w:bottom w:val="none" w:sz="0" w:space="0" w:color="auto"/>
                        <w:right w:val="none" w:sz="0" w:space="0" w:color="auto"/>
                      </w:divBdr>
                    </w:div>
                  </w:divsChild>
                </w:div>
                <w:div w:id="920064155">
                  <w:marLeft w:val="0"/>
                  <w:marRight w:val="0"/>
                  <w:marTop w:val="0"/>
                  <w:marBottom w:val="0"/>
                  <w:divBdr>
                    <w:top w:val="none" w:sz="0" w:space="0" w:color="auto"/>
                    <w:left w:val="none" w:sz="0" w:space="0" w:color="auto"/>
                    <w:bottom w:val="none" w:sz="0" w:space="0" w:color="auto"/>
                    <w:right w:val="none" w:sz="0" w:space="0" w:color="auto"/>
                  </w:divBdr>
                  <w:divsChild>
                    <w:div w:id="1787121437">
                      <w:marLeft w:val="0"/>
                      <w:marRight w:val="0"/>
                      <w:marTop w:val="0"/>
                      <w:marBottom w:val="0"/>
                      <w:divBdr>
                        <w:top w:val="none" w:sz="0" w:space="0" w:color="auto"/>
                        <w:left w:val="none" w:sz="0" w:space="0" w:color="auto"/>
                        <w:bottom w:val="none" w:sz="0" w:space="0" w:color="auto"/>
                        <w:right w:val="none" w:sz="0" w:space="0" w:color="auto"/>
                      </w:divBdr>
                    </w:div>
                  </w:divsChild>
                </w:div>
                <w:div w:id="950622524">
                  <w:marLeft w:val="0"/>
                  <w:marRight w:val="0"/>
                  <w:marTop w:val="0"/>
                  <w:marBottom w:val="0"/>
                  <w:divBdr>
                    <w:top w:val="none" w:sz="0" w:space="0" w:color="auto"/>
                    <w:left w:val="none" w:sz="0" w:space="0" w:color="auto"/>
                    <w:bottom w:val="none" w:sz="0" w:space="0" w:color="auto"/>
                    <w:right w:val="none" w:sz="0" w:space="0" w:color="auto"/>
                  </w:divBdr>
                  <w:divsChild>
                    <w:div w:id="1254820819">
                      <w:marLeft w:val="0"/>
                      <w:marRight w:val="0"/>
                      <w:marTop w:val="0"/>
                      <w:marBottom w:val="0"/>
                      <w:divBdr>
                        <w:top w:val="none" w:sz="0" w:space="0" w:color="auto"/>
                        <w:left w:val="none" w:sz="0" w:space="0" w:color="auto"/>
                        <w:bottom w:val="none" w:sz="0" w:space="0" w:color="auto"/>
                        <w:right w:val="none" w:sz="0" w:space="0" w:color="auto"/>
                      </w:divBdr>
                    </w:div>
                  </w:divsChild>
                </w:div>
                <w:div w:id="1028408379">
                  <w:marLeft w:val="0"/>
                  <w:marRight w:val="0"/>
                  <w:marTop w:val="0"/>
                  <w:marBottom w:val="0"/>
                  <w:divBdr>
                    <w:top w:val="none" w:sz="0" w:space="0" w:color="auto"/>
                    <w:left w:val="none" w:sz="0" w:space="0" w:color="auto"/>
                    <w:bottom w:val="none" w:sz="0" w:space="0" w:color="auto"/>
                    <w:right w:val="none" w:sz="0" w:space="0" w:color="auto"/>
                  </w:divBdr>
                  <w:divsChild>
                    <w:div w:id="171796445">
                      <w:marLeft w:val="0"/>
                      <w:marRight w:val="0"/>
                      <w:marTop w:val="0"/>
                      <w:marBottom w:val="0"/>
                      <w:divBdr>
                        <w:top w:val="none" w:sz="0" w:space="0" w:color="auto"/>
                        <w:left w:val="none" w:sz="0" w:space="0" w:color="auto"/>
                        <w:bottom w:val="none" w:sz="0" w:space="0" w:color="auto"/>
                        <w:right w:val="none" w:sz="0" w:space="0" w:color="auto"/>
                      </w:divBdr>
                    </w:div>
                  </w:divsChild>
                </w:div>
                <w:div w:id="1052658623">
                  <w:marLeft w:val="0"/>
                  <w:marRight w:val="0"/>
                  <w:marTop w:val="0"/>
                  <w:marBottom w:val="0"/>
                  <w:divBdr>
                    <w:top w:val="none" w:sz="0" w:space="0" w:color="auto"/>
                    <w:left w:val="none" w:sz="0" w:space="0" w:color="auto"/>
                    <w:bottom w:val="none" w:sz="0" w:space="0" w:color="auto"/>
                    <w:right w:val="none" w:sz="0" w:space="0" w:color="auto"/>
                  </w:divBdr>
                  <w:divsChild>
                    <w:div w:id="958949148">
                      <w:marLeft w:val="0"/>
                      <w:marRight w:val="0"/>
                      <w:marTop w:val="0"/>
                      <w:marBottom w:val="0"/>
                      <w:divBdr>
                        <w:top w:val="none" w:sz="0" w:space="0" w:color="auto"/>
                        <w:left w:val="none" w:sz="0" w:space="0" w:color="auto"/>
                        <w:bottom w:val="none" w:sz="0" w:space="0" w:color="auto"/>
                        <w:right w:val="none" w:sz="0" w:space="0" w:color="auto"/>
                      </w:divBdr>
                    </w:div>
                  </w:divsChild>
                </w:div>
                <w:div w:id="1072848570">
                  <w:marLeft w:val="0"/>
                  <w:marRight w:val="0"/>
                  <w:marTop w:val="0"/>
                  <w:marBottom w:val="0"/>
                  <w:divBdr>
                    <w:top w:val="none" w:sz="0" w:space="0" w:color="auto"/>
                    <w:left w:val="none" w:sz="0" w:space="0" w:color="auto"/>
                    <w:bottom w:val="none" w:sz="0" w:space="0" w:color="auto"/>
                    <w:right w:val="none" w:sz="0" w:space="0" w:color="auto"/>
                  </w:divBdr>
                  <w:divsChild>
                    <w:div w:id="795372777">
                      <w:marLeft w:val="0"/>
                      <w:marRight w:val="0"/>
                      <w:marTop w:val="0"/>
                      <w:marBottom w:val="0"/>
                      <w:divBdr>
                        <w:top w:val="none" w:sz="0" w:space="0" w:color="auto"/>
                        <w:left w:val="none" w:sz="0" w:space="0" w:color="auto"/>
                        <w:bottom w:val="none" w:sz="0" w:space="0" w:color="auto"/>
                        <w:right w:val="none" w:sz="0" w:space="0" w:color="auto"/>
                      </w:divBdr>
                    </w:div>
                  </w:divsChild>
                </w:div>
                <w:div w:id="1105885200">
                  <w:marLeft w:val="0"/>
                  <w:marRight w:val="0"/>
                  <w:marTop w:val="0"/>
                  <w:marBottom w:val="0"/>
                  <w:divBdr>
                    <w:top w:val="none" w:sz="0" w:space="0" w:color="auto"/>
                    <w:left w:val="none" w:sz="0" w:space="0" w:color="auto"/>
                    <w:bottom w:val="none" w:sz="0" w:space="0" w:color="auto"/>
                    <w:right w:val="none" w:sz="0" w:space="0" w:color="auto"/>
                  </w:divBdr>
                  <w:divsChild>
                    <w:div w:id="1669403888">
                      <w:marLeft w:val="0"/>
                      <w:marRight w:val="0"/>
                      <w:marTop w:val="0"/>
                      <w:marBottom w:val="0"/>
                      <w:divBdr>
                        <w:top w:val="none" w:sz="0" w:space="0" w:color="auto"/>
                        <w:left w:val="none" w:sz="0" w:space="0" w:color="auto"/>
                        <w:bottom w:val="none" w:sz="0" w:space="0" w:color="auto"/>
                        <w:right w:val="none" w:sz="0" w:space="0" w:color="auto"/>
                      </w:divBdr>
                    </w:div>
                  </w:divsChild>
                </w:div>
                <w:div w:id="1119715091">
                  <w:marLeft w:val="0"/>
                  <w:marRight w:val="0"/>
                  <w:marTop w:val="0"/>
                  <w:marBottom w:val="0"/>
                  <w:divBdr>
                    <w:top w:val="none" w:sz="0" w:space="0" w:color="auto"/>
                    <w:left w:val="none" w:sz="0" w:space="0" w:color="auto"/>
                    <w:bottom w:val="none" w:sz="0" w:space="0" w:color="auto"/>
                    <w:right w:val="none" w:sz="0" w:space="0" w:color="auto"/>
                  </w:divBdr>
                  <w:divsChild>
                    <w:div w:id="1507207970">
                      <w:marLeft w:val="0"/>
                      <w:marRight w:val="0"/>
                      <w:marTop w:val="0"/>
                      <w:marBottom w:val="0"/>
                      <w:divBdr>
                        <w:top w:val="none" w:sz="0" w:space="0" w:color="auto"/>
                        <w:left w:val="none" w:sz="0" w:space="0" w:color="auto"/>
                        <w:bottom w:val="none" w:sz="0" w:space="0" w:color="auto"/>
                        <w:right w:val="none" w:sz="0" w:space="0" w:color="auto"/>
                      </w:divBdr>
                    </w:div>
                  </w:divsChild>
                </w:div>
                <w:div w:id="1123227328">
                  <w:marLeft w:val="0"/>
                  <w:marRight w:val="0"/>
                  <w:marTop w:val="0"/>
                  <w:marBottom w:val="0"/>
                  <w:divBdr>
                    <w:top w:val="none" w:sz="0" w:space="0" w:color="auto"/>
                    <w:left w:val="none" w:sz="0" w:space="0" w:color="auto"/>
                    <w:bottom w:val="none" w:sz="0" w:space="0" w:color="auto"/>
                    <w:right w:val="none" w:sz="0" w:space="0" w:color="auto"/>
                  </w:divBdr>
                  <w:divsChild>
                    <w:div w:id="156967833">
                      <w:marLeft w:val="0"/>
                      <w:marRight w:val="0"/>
                      <w:marTop w:val="0"/>
                      <w:marBottom w:val="0"/>
                      <w:divBdr>
                        <w:top w:val="none" w:sz="0" w:space="0" w:color="auto"/>
                        <w:left w:val="none" w:sz="0" w:space="0" w:color="auto"/>
                        <w:bottom w:val="none" w:sz="0" w:space="0" w:color="auto"/>
                        <w:right w:val="none" w:sz="0" w:space="0" w:color="auto"/>
                      </w:divBdr>
                    </w:div>
                  </w:divsChild>
                </w:div>
                <w:div w:id="1148741721">
                  <w:marLeft w:val="0"/>
                  <w:marRight w:val="0"/>
                  <w:marTop w:val="0"/>
                  <w:marBottom w:val="0"/>
                  <w:divBdr>
                    <w:top w:val="none" w:sz="0" w:space="0" w:color="auto"/>
                    <w:left w:val="none" w:sz="0" w:space="0" w:color="auto"/>
                    <w:bottom w:val="none" w:sz="0" w:space="0" w:color="auto"/>
                    <w:right w:val="none" w:sz="0" w:space="0" w:color="auto"/>
                  </w:divBdr>
                  <w:divsChild>
                    <w:div w:id="1315454045">
                      <w:marLeft w:val="0"/>
                      <w:marRight w:val="0"/>
                      <w:marTop w:val="0"/>
                      <w:marBottom w:val="0"/>
                      <w:divBdr>
                        <w:top w:val="none" w:sz="0" w:space="0" w:color="auto"/>
                        <w:left w:val="none" w:sz="0" w:space="0" w:color="auto"/>
                        <w:bottom w:val="none" w:sz="0" w:space="0" w:color="auto"/>
                        <w:right w:val="none" w:sz="0" w:space="0" w:color="auto"/>
                      </w:divBdr>
                    </w:div>
                  </w:divsChild>
                </w:div>
                <w:div w:id="1181818296">
                  <w:marLeft w:val="0"/>
                  <w:marRight w:val="0"/>
                  <w:marTop w:val="0"/>
                  <w:marBottom w:val="0"/>
                  <w:divBdr>
                    <w:top w:val="none" w:sz="0" w:space="0" w:color="auto"/>
                    <w:left w:val="none" w:sz="0" w:space="0" w:color="auto"/>
                    <w:bottom w:val="none" w:sz="0" w:space="0" w:color="auto"/>
                    <w:right w:val="none" w:sz="0" w:space="0" w:color="auto"/>
                  </w:divBdr>
                  <w:divsChild>
                    <w:div w:id="1475098079">
                      <w:marLeft w:val="0"/>
                      <w:marRight w:val="0"/>
                      <w:marTop w:val="0"/>
                      <w:marBottom w:val="0"/>
                      <w:divBdr>
                        <w:top w:val="none" w:sz="0" w:space="0" w:color="auto"/>
                        <w:left w:val="none" w:sz="0" w:space="0" w:color="auto"/>
                        <w:bottom w:val="none" w:sz="0" w:space="0" w:color="auto"/>
                        <w:right w:val="none" w:sz="0" w:space="0" w:color="auto"/>
                      </w:divBdr>
                    </w:div>
                  </w:divsChild>
                </w:div>
                <w:div w:id="1194852801">
                  <w:marLeft w:val="0"/>
                  <w:marRight w:val="0"/>
                  <w:marTop w:val="0"/>
                  <w:marBottom w:val="0"/>
                  <w:divBdr>
                    <w:top w:val="none" w:sz="0" w:space="0" w:color="auto"/>
                    <w:left w:val="none" w:sz="0" w:space="0" w:color="auto"/>
                    <w:bottom w:val="none" w:sz="0" w:space="0" w:color="auto"/>
                    <w:right w:val="none" w:sz="0" w:space="0" w:color="auto"/>
                  </w:divBdr>
                  <w:divsChild>
                    <w:div w:id="347028569">
                      <w:marLeft w:val="0"/>
                      <w:marRight w:val="0"/>
                      <w:marTop w:val="0"/>
                      <w:marBottom w:val="0"/>
                      <w:divBdr>
                        <w:top w:val="none" w:sz="0" w:space="0" w:color="auto"/>
                        <w:left w:val="none" w:sz="0" w:space="0" w:color="auto"/>
                        <w:bottom w:val="none" w:sz="0" w:space="0" w:color="auto"/>
                        <w:right w:val="none" w:sz="0" w:space="0" w:color="auto"/>
                      </w:divBdr>
                    </w:div>
                  </w:divsChild>
                </w:div>
                <w:div w:id="1256674434">
                  <w:marLeft w:val="0"/>
                  <w:marRight w:val="0"/>
                  <w:marTop w:val="0"/>
                  <w:marBottom w:val="0"/>
                  <w:divBdr>
                    <w:top w:val="none" w:sz="0" w:space="0" w:color="auto"/>
                    <w:left w:val="none" w:sz="0" w:space="0" w:color="auto"/>
                    <w:bottom w:val="none" w:sz="0" w:space="0" w:color="auto"/>
                    <w:right w:val="none" w:sz="0" w:space="0" w:color="auto"/>
                  </w:divBdr>
                  <w:divsChild>
                    <w:div w:id="1876850795">
                      <w:marLeft w:val="0"/>
                      <w:marRight w:val="0"/>
                      <w:marTop w:val="0"/>
                      <w:marBottom w:val="0"/>
                      <w:divBdr>
                        <w:top w:val="none" w:sz="0" w:space="0" w:color="auto"/>
                        <w:left w:val="none" w:sz="0" w:space="0" w:color="auto"/>
                        <w:bottom w:val="none" w:sz="0" w:space="0" w:color="auto"/>
                        <w:right w:val="none" w:sz="0" w:space="0" w:color="auto"/>
                      </w:divBdr>
                    </w:div>
                  </w:divsChild>
                </w:div>
                <w:div w:id="1276595591">
                  <w:marLeft w:val="0"/>
                  <w:marRight w:val="0"/>
                  <w:marTop w:val="0"/>
                  <w:marBottom w:val="0"/>
                  <w:divBdr>
                    <w:top w:val="none" w:sz="0" w:space="0" w:color="auto"/>
                    <w:left w:val="none" w:sz="0" w:space="0" w:color="auto"/>
                    <w:bottom w:val="none" w:sz="0" w:space="0" w:color="auto"/>
                    <w:right w:val="none" w:sz="0" w:space="0" w:color="auto"/>
                  </w:divBdr>
                  <w:divsChild>
                    <w:div w:id="219102307">
                      <w:marLeft w:val="0"/>
                      <w:marRight w:val="0"/>
                      <w:marTop w:val="0"/>
                      <w:marBottom w:val="0"/>
                      <w:divBdr>
                        <w:top w:val="none" w:sz="0" w:space="0" w:color="auto"/>
                        <w:left w:val="none" w:sz="0" w:space="0" w:color="auto"/>
                        <w:bottom w:val="none" w:sz="0" w:space="0" w:color="auto"/>
                        <w:right w:val="none" w:sz="0" w:space="0" w:color="auto"/>
                      </w:divBdr>
                    </w:div>
                  </w:divsChild>
                </w:div>
                <w:div w:id="1291788746">
                  <w:marLeft w:val="0"/>
                  <w:marRight w:val="0"/>
                  <w:marTop w:val="0"/>
                  <w:marBottom w:val="0"/>
                  <w:divBdr>
                    <w:top w:val="none" w:sz="0" w:space="0" w:color="auto"/>
                    <w:left w:val="none" w:sz="0" w:space="0" w:color="auto"/>
                    <w:bottom w:val="none" w:sz="0" w:space="0" w:color="auto"/>
                    <w:right w:val="none" w:sz="0" w:space="0" w:color="auto"/>
                  </w:divBdr>
                  <w:divsChild>
                    <w:div w:id="755327307">
                      <w:marLeft w:val="0"/>
                      <w:marRight w:val="0"/>
                      <w:marTop w:val="0"/>
                      <w:marBottom w:val="0"/>
                      <w:divBdr>
                        <w:top w:val="none" w:sz="0" w:space="0" w:color="auto"/>
                        <w:left w:val="none" w:sz="0" w:space="0" w:color="auto"/>
                        <w:bottom w:val="none" w:sz="0" w:space="0" w:color="auto"/>
                        <w:right w:val="none" w:sz="0" w:space="0" w:color="auto"/>
                      </w:divBdr>
                    </w:div>
                    <w:div w:id="814493107">
                      <w:marLeft w:val="0"/>
                      <w:marRight w:val="0"/>
                      <w:marTop w:val="0"/>
                      <w:marBottom w:val="0"/>
                      <w:divBdr>
                        <w:top w:val="none" w:sz="0" w:space="0" w:color="auto"/>
                        <w:left w:val="none" w:sz="0" w:space="0" w:color="auto"/>
                        <w:bottom w:val="none" w:sz="0" w:space="0" w:color="auto"/>
                        <w:right w:val="none" w:sz="0" w:space="0" w:color="auto"/>
                      </w:divBdr>
                    </w:div>
                  </w:divsChild>
                </w:div>
                <w:div w:id="1332560755">
                  <w:marLeft w:val="0"/>
                  <w:marRight w:val="0"/>
                  <w:marTop w:val="0"/>
                  <w:marBottom w:val="0"/>
                  <w:divBdr>
                    <w:top w:val="none" w:sz="0" w:space="0" w:color="auto"/>
                    <w:left w:val="none" w:sz="0" w:space="0" w:color="auto"/>
                    <w:bottom w:val="none" w:sz="0" w:space="0" w:color="auto"/>
                    <w:right w:val="none" w:sz="0" w:space="0" w:color="auto"/>
                  </w:divBdr>
                  <w:divsChild>
                    <w:div w:id="1351682321">
                      <w:marLeft w:val="0"/>
                      <w:marRight w:val="0"/>
                      <w:marTop w:val="0"/>
                      <w:marBottom w:val="0"/>
                      <w:divBdr>
                        <w:top w:val="none" w:sz="0" w:space="0" w:color="auto"/>
                        <w:left w:val="none" w:sz="0" w:space="0" w:color="auto"/>
                        <w:bottom w:val="none" w:sz="0" w:space="0" w:color="auto"/>
                        <w:right w:val="none" w:sz="0" w:space="0" w:color="auto"/>
                      </w:divBdr>
                    </w:div>
                  </w:divsChild>
                </w:div>
                <w:div w:id="1344818537">
                  <w:marLeft w:val="0"/>
                  <w:marRight w:val="0"/>
                  <w:marTop w:val="0"/>
                  <w:marBottom w:val="0"/>
                  <w:divBdr>
                    <w:top w:val="none" w:sz="0" w:space="0" w:color="auto"/>
                    <w:left w:val="none" w:sz="0" w:space="0" w:color="auto"/>
                    <w:bottom w:val="none" w:sz="0" w:space="0" w:color="auto"/>
                    <w:right w:val="none" w:sz="0" w:space="0" w:color="auto"/>
                  </w:divBdr>
                  <w:divsChild>
                    <w:div w:id="2112433140">
                      <w:marLeft w:val="0"/>
                      <w:marRight w:val="0"/>
                      <w:marTop w:val="0"/>
                      <w:marBottom w:val="0"/>
                      <w:divBdr>
                        <w:top w:val="none" w:sz="0" w:space="0" w:color="auto"/>
                        <w:left w:val="none" w:sz="0" w:space="0" w:color="auto"/>
                        <w:bottom w:val="none" w:sz="0" w:space="0" w:color="auto"/>
                        <w:right w:val="none" w:sz="0" w:space="0" w:color="auto"/>
                      </w:divBdr>
                    </w:div>
                  </w:divsChild>
                </w:div>
                <w:div w:id="1470706729">
                  <w:marLeft w:val="0"/>
                  <w:marRight w:val="0"/>
                  <w:marTop w:val="0"/>
                  <w:marBottom w:val="0"/>
                  <w:divBdr>
                    <w:top w:val="none" w:sz="0" w:space="0" w:color="auto"/>
                    <w:left w:val="none" w:sz="0" w:space="0" w:color="auto"/>
                    <w:bottom w:val="none" w:sz="0" w:space="0" w:color="auto"/>
                    <w:right w:val="none" w:sz="0" w:space="0" w:color="auto"/>
                  </w:divBdr>
                  <w:divsChild>
                    <w:div w:id="1209991534">
                      <w:marLeft w:val="0"/>
                      <w:marRight w:val="0"/>
                      <w:marTop w:val="0"/>
                      <w:marBottom w:val="0"/>
                      <w:divBdr>
                        <w:top w:val="none" w:sz="0" w:space="0" w:color="auto"/>
                        <w:left w:val="none" w:sz="0" w:space="0" w:color="auto"/>
                        <w:bottom w:val="none" w:sz="0" w:space="0" w:color="auto"/>
                        <w:right w:val="none" w:sz="0" w:space="0" w:color="auto"/>
                      </w:divBdr>
                    </w:div>
                  </w:divsChild>
                </w:div>
                <w:div w:id="1493181926">
                  <w:marLeft w:val="0"/>
                  <w:marRight w:val="0"/>
                  <w:marTop w:val="0"/>
                  <w:marBottom w:val="0"/>
                  <w:divBdr>
                    <w:top w:val="none" w:sz="0" w:space="0" w:color="auto"/>
                    <w:left w:val="none" w:sz="0" w:space="0" w:color="auto"/>
                    <w:bottom w:val="none" w:sz="0" w:space="0" w:color="auto"/>
                    <w:right w:val="none" w:sz="0" w:space="0" w:color="auto"/>
                  </w:divBdr>
                  <w:divsChild>
                    <w:div w:id="1953173487">
                      <w:marLeft w:val="0"/>
                      <w:marRight w:val="0"/>
                      <w:marTop w:val="0"/>
                      <w:marBottom w:val="0"/>
                      <w:divBdr>
                        <w:top w:val="none" w:sz="0" w:space="0" w:color="auto"/>
                        <w:left w:val="none" w:sz="0" w:space="0" w:color="auto"/>
                        <w:bottom w:val="none" w:sz="0" w:space="0" w:color="auto"/>
                        <w:right w:val="none" w:sz="0" w:space="0" w:color="auto"/>
                      </w:divBdr>
                    </w:div>
                  </w:divsChild>
                </w:div>
                <w:div w:id="1511026955">
                  <w:marLeft w:val="0"/>
                  <w:marRight w:val="0"/>
                  <w:marTop w:val="0"/>
                  <w:marBottom w:val="0"/>
                  <w:divBdr>
                    <w:top w:val="none" w:sz="0" w:space="0" w:color="auto"/>
                    <w:left w:val="none" w:sz="0" w:space="0" w:color="auto"/>
                    <w:bottom w:val="none" w:sz="0" w:space="0" w:color="auto"/>
                    <w:right w:val="none" w:sz="0" w:space="0" w:color="auto"/>
                  </w:divBdr>
                  <w:divsChild>
                    <w:div w:id="2103139767">
                      <w:marLeft w:val="0"/>
                      <w:marRight w:val="0"/>
                      <w:marTop w:val="0"/>
                      <w:marBottom w:val="0"/>
                      <w:divBdr>
                        <w:top w:val="none" w:sz="0" w:space="0" w:color="auto"/>
                        <w:left w:val="none" w:sz="0" w:space="0" w:color="auto"/>
                        <w:bottom w:val="none" w:sz="0" w:space="0" w:color="auto"/>
                        <w:right w:val="none" w:sz="0" w:space="0" w:color="auto"/>
                      </w:divBdr>
                    </w:div>
                  </w:divsChild>
                </w:div>
                <w:div w:id="1552497326">
                  <w:marLeft w:val="0"/>
                  <w:marRight w:val="0"/>
                  <w:marTop w:val="0"/>
                  <w:marBottom w:val="0"/>
                  <w:divBdr>
                    <w:top w:val="none" w:sz="0" w:space="0" w:color="auto"/>
                    <w:left w:val="none" w:sz="0" w:space="0" w:color="auto"/>
                    <w:bottom w:val="none" w:sz="0" w:space="0" w:color="auto"/>
                    <w:right w:val="none" w:sz="0" w:space="0" w:color="auto"/>
                  </w:divBdr>
                  <w:divsChild>
                    <w:div w:id="235012962">
                      <w:marLeft w:val="0"/>
                      <w:marRight w:val="0"/>
                      <w:marTop w:val="0"/>
                      <w:marBottom w:val="0"/>
                      <w:divBdr>
                        <w:top w:val="none" w:sz="0" w:space="0" w:color="auto"/>
                        <w:left w:val="none" w:sz="0" w:space="0" w:color="auto"/>
                        <w:bottom w:val="none" w:sz="0" w:space="0" w:color="auto"/>
                        <w:right w:val="none" w:sz="0" w:space="0" w:color="auto"/>
                      </w:divBdr>
                    </w:div>
                    <w:div w:id="237525434">
                      <w:marLeft w:val="0"/>
                      <w:marRight w:val="0"/>
                      <w:marTop w:val="0"/>
                      <w:marBottom w:val="0"/>
                      <w:divBdr>
                        <w:top w:val="none" w:sz="0" w:space="0" w:color="auto"/>
                        <w:left w:val="none" w:sz="0" w:space="0" w:color="auto"/>
                        <w:bottom w:val="none" w:sz="0" w:space="0" w:color="auto"/>
                        <w:right w:val="none" w:sz="0" w:space="0" w:color="auto"/>
                      </w:divBdr>
                    </w:div>
                    <w:div w:id="648248515">
                      <w:marLeft w:val="0"/>
                      <w:marRight w:val="0"/>
                      <w:marTop w:val="0"/>
                      <w:marBottom w:val="0"/>
                      <w:divBdr>
                        <w:top w:val="none" w:sz="0" w:space="0" w:color="auto"/>
                        <w:left w:val="none" w:sz="0" w:space="0" w:color="auto"/>
                        <w:bottom w:val="none" w:sz="0" w:space="0" w:color="auto"/>
                        <w:right w:val="none" w:sz="0" w:space="0" w:color="auto"/>
                      </w:divBdr>
                    </w:div>
                    <w:div w:id="1012143389">
                      <w:marLeft w:val="0"/>
                      <w:marRight w:val="0"/>
                      <w:marTop w:val="0"/>
                      <w:marBottom w:val="0"/>
                      <w:divBdr>
                        <w:top w:val="none" w:sz="0" w:space="0" w:color="auto"/>
                        <w:left w:val="none" w:sz="0" w:space="0" w:color="auto"/>
                        <w:bottom w:val="none" w:sz="0" w:space="0" w:color="auto"/>
                        <w:right w:val="none" w:sz="0" w:space="0" w:color="auto"/>
                      </w:divBdr>
                    </w:div>
                    <w:div w:id="1318069851">
                      <w:marLeft w:val="0"/>
                      <w:marRight w:val="0"/>
                      <w:marTop w:val="0"/>
                      <w:marBottom w:val="0"/>
                      <w:divBdr>
                        <w:top w:val="none" w:sz="0" w:space="0" w:color="auto"/>
                        <w:left w:val="none" w:sz="0" w:space="0" w:color="auto"/>
                        <w:bottom w:val="none" w:sz="0" w:space="0" w:color="auto"/>
                        <w:right w:val="none" w:sz="0" w:space="0" w:color="auto"/>
                      </w:divBdr>
                    </w:div>
                    <w:div w:id="1981762440">
                      <w:marLeft w:val="0"/>
                      <w:marRight w:val="0"/>
                      <w:marTop w:val="0"/>
                      <w:marBottom w:val="0"/>
                      <w:divBdr>
                        <w:top w:val="none" w:sz="0" w:space="0" w:color="auto"/>
                        <w:left w:val="none" w:sz="0" w:space="0" w:color="auto"/>
                        <w:bottom w:val="none" w:sz="0" w:space="0" w:color="auto"/>
                        <w:right w:val="none" w:sz="0" w:space="0" w:color="auto"/>
                      </w:divBdr>
                    </w:div>
                  </w:divsChild>
                </w:div>
                <w:div w:id="1625310713">
                  <w:marLeft w:val="0"/>
                  <w:marRight w:val="0"/>
                  <w:marTop w:val="0"/>
                  <w:marBottom w:val="0"/>
                  <w:divBdr>
                    <w:top w:val="none" w:sz="0" w:space="0" w:color="auto"/>
                    <w:left w:val="none" w:sz="0" w:space="0" w:color="auto"/>
                    <w:bottom w:val="none" w:sz="0" w:space="0" w:color="auto"/>
                    <w:right w:val="none" w:sz="0" w:space="0" w:color="auto"/>
                  </w:divBdr>
                  <w:divsChild>
                    <w:div w:id="2017266077">
                      <w:marLeft w:val="0"/>
                      <w:marRight w:val="0"/>
                      <w:marTop w:val="0"/>
                      <w:marBottom w:val="0"/>
                      <w:divBdr>
                        <w:top w:val="none" w:sz="0" w:space="0" w:color="auto"/>
                        <w:left w:val="none" w:sz="0" w:space="0" w:color="auto"/>
                        <w:bottom w:val="none" w:sz="0" w:space="0" w:color="auto"/>
                        <w:right w:val="none" w:sz="0" w:space="0" w:color="auto"/>
                      </w:divBdr>
                    </w:div>
                  </w:divsChild>
                </w:div>
                <w:div w:id="1632444440">
                  <w:marLeft w:val="0"/>
                  <w:marRight w:val="0"/>
                  <w:marTop w:val="0"/>
                  <w:marBottom w:val="0"/>
                  <w:divBdr>
                    <w:top w:val="none" w:sz="0" w:space="0" w:color="auto"/>
                    <w:left w:val="none" w:sz="0" w:space="0" w:color="auto"/>
                    <w:bottom w:val="none" w:sz="0" w:space="0" w:color="auto"/>
                    <w:right w:val="none" w:sz="0" w:space="0" w:color="auto"/>
                  </w:divBdr>
                  <w:divsChild>
                    <w:div w:id="2142571370">
                      <w:marLeft w:val="0"/>
                      <w:marRight w:val="0"/>
                      <w:marTop w:val="0"/>
                      <w:marBottom w:val="0"/>
                      <w:divBdr>
                        <w:top w:val="none" w:sz="0" w:space="0" w:color="auto"/>
                        <w:left w:val="none" w:sz="0" w:space="0" w:color="auto"/>
                        <w:bottom w:val="none" w:sz="0" w:space="0" w:color="auto"/>
                        <w:right w:val="none" w:sz="0" w:space="0" w:color="auto"/>
                      </w:divBdr>
                    </w:div>
                  </w:divsChild>
                </w:div>
                <w:div w:id="1765953138">
                  <w:marLeft w:val="0"/>
                  <w:marRight w:val="0"/>
                  <w:marTop w:val="0"/>
                  <w:marBottom w:val="0"/>
                  <w:divBdr>
                    <w:top w:val="none" w:sz="0" w:space="0" w:color="auto"/>
                    <w:left w:val="none" w:sz="0" w:space="0" w:color="auto"/>
                    <w:bottom w:val="none" w:sz="0" w:space="0" w:color="auto"/>
                    <w:right w:val="none" w:sz="0" w:space="0" w:color="auto"/>
                  </w:divBdr>
                  <w:divsChild>
                    <w:div w:id="1586646885">
                      <w:marLeft w:val="0"/>
                      <w:marRight w:val="0"/>
                      <w:marTop w:val="0"/>
                      <w:marBottom w:val="0"/>
                      <w:divBdr>
                        <w:top w:val="none" w:sz="0" w:space="0" w:color="auto"/>
                        <w:left w:val="none" w:sz="0" w:space="0" w:color="auto"/>
                        <w:bottom w:val="none" w:sz="0" w:space="0" w:color="auto"/>
                        <w:right w:val="none" w:sz="0" w:space="0" w:color="auto"/>
                      </w:divBdr>
                    </w:div>
                  </w:divsChild>
                </w:div>
                <w:div w:id="1780222188">
                  <w:marLeft w:val="0"/>
                  <w:marRight w:val="0"/>
                  <w:marTop w:val="0"/>
                  <w:marBottom w:val="0"/>
                  <w:divBdr>
                    <w:top w:val="none" w:sz="0" w:space="0" w:color="auto"/>
                    <w:left w:val="none" w:sz="0" w:space="0" w:color="auto"/>
                    <w:bottom w:val="none" w:sz="0" w:space="0" w:color="auto"/>
                    <w:right w:val="none" w:sz="0" w:space="0" w:color="auto"/>
                  </w:divBdr>
                  <w:divsChild>
                    <w:div w:id="435442883">
                      <w:marLeft w:val="0"/>
                      <w:marRight w:val="0"/>
                      <w:marTop w:val="0"/>
                      <w:marBottom w:val="0"/>
                      <w:divBdr>
                        <w:top w:val="none" w:sz="0" w:space="0" w:color="auto"/>
                        <w:left w:val="none" w:sz="0" w:space="0" w:color="auto"/>
                        <w:bottom w:val="none" w:sz="0" w:space="0" w:color="auto"/>
                        <w:right w:val="none" w:sz="0" w:space="0" w:color="auto"/>
                      </w:divBdr>
                    </w:div>
                  </w:divsChild>
                </w:div>
                <w:div w:id="1834175508">
                  <w:marLeft w:val="0"/>
                  <w:marRight w:val="0"/>
                  <w:marTop w:val="0"/>
                  <w:marBottom w:val="0"/>
                  <w:divBdr>
                    <w:top w:val="none" w:sz="0" w:space="0" w:color="auto"/>
                    <w:left w:val="none" w:sz="0" w:space="0" w:color="auto"/>
                    <w:bottom w:val="none" w:sz="0" w:space="0" w:color="auto"/>
                    <w:right w:val="none" w:sz="0" w:space="0" w:color="auto"/>
                  </w:divBdr>
                  <w:divsChild>
                    <w:div w:id="38360293">
                      <w:marLeft w:val="0"/>
                      <w:marRight w:val="0"/>
                      <w:marTop w:val="0"/>
                      <w:marBottom w:val="0"/>
                      <w:divBdr>
                        <w:top w:val="none" w:sz="0" w:space="0" w:color="auto"/>
                        <w:left w:val="none" w:sz="0" w:space="0" w:color="auto"/>
                        <w:bottom w:val="none" w:sz="0" w:space="0" w:color="auto"/>
                        <w:right w:val="none" w:sz="0" w:space="0" w:color="auto"/>
                      </w:divBdr>
                    </w:div>
                  </w:divsChild>
                </w:div>
                <w:div w:id="1838688034">
                  <w:marLeft w:val="0"/>
                  <w:marRight w:val="0"/>
                  <w:marTop w:val="0"/>
                  <w:marBottom w:val="0"/>
                  <w:divBdr>
                    <w:top w:val="none" w:sz="0" w:space="0" w:color="auto"/>
                    <w:left w:val="none" w:sz="0" w:space="0" w:color="auto"/>
                    <w:bottom w:val="none" w:sz="0" w:space="0" w:color="auto"/>
                    <w:right w:val="none" w:sz="0" w:space="0" w:color="auto"/>
                  </w:divBdr>
                  <w:divsChild>
                    <w:div w:id="1889100529">
                      <w:marLeft w:val="0"/>
                      <w:marRight w:val="0"/>
                      <w:marTop w:val="0"/>
                      <w:marBottom w:val="0"/>
                      <w:divBdr>
                        <w:top w:val="none" w:sz="0" w:space="0" w:color="auto"/>
                        <w:left w:val="none" w:sz="0" w:space="0" w:color="auto"/>
                        <w:bottom w:val="none" w:sz="0" w:space="0" w:color="auto"/>
                        <w:right w:val="none" w:sz="0" w:space="0" w:color="auto"/>
                      </w:divBdr>
                    </w:div>
                  </w:divsChild>
                </w:div>
                <w:div w:id="1851873676">
                  <w:marLeft w:val="0"/>
                  <w:marRight w:val="0"/>
                  <w:marTop w:val="0"/>
                  <w:marBottom w:val="0"/>
                  <w:divBdr>
                    <w:top w:val="none" w:sz="0" w:space="0" w:color="auto"/>
                    <w:left w:val="none" w:sz="0" w:space="0" w:color="auto"/>
                    <w:bottom w:val="none" w:sz="0" w:space="0" w:color="auto"/>
                    <w:right w:val="none" w:sz="0" w:space="0" w:color="auto"/>
                  </w:divBdr>
                  <w:divsChild>
                    <w:div w:id="1182361180">
                      <w:marLeft w:val="0"/>
                      <w:marRight w:val="0"/>
                      <w:marTop w:val="0"/>
                      <w:marBottom w:val="0"/>
                      <w:divBdr>
                        <w:top w:val="none" w:sz="0" w:space="0" w:color="auto"/>
                        <w:left w:val="none" w:sz="0" w:space="0" w:color="auto"/>
                        <w:bottom w:val="none" w:sz="0" w:space="0" w:color="auto"/>
                        <w:right w:val="none" w:sz="0" w:space="0" w:color="auto"/>
                      </w:divBdr>
                    </w:div>
                  </w:divsChild>
                </w:div>
                <w:div w:id="1963222699">
                  <w:marLeft w:val="0"/>
                  <w:marRight w:val="0"/>
                  <w:marTop w:val="0"/>
                  <w:marBottom w:val="0"/>
                  <w:divBdr>
                    <w:top w:val="none" w:sz="0" w:space="0" w:color="auto"/>
                    <w:left w:val="none" w:sz="0" w:space="0" w:color="auto"/>
                    <w:bottom w:val="none" w:sz="0" w:space="0" w:color="auto"/>
                    <w:right w:val="none" w:sz="0" w:space="0" w:color="auto"/>
                  </w:divBdr>
                  <w:divsChild>
                    <w:div w:id="1085804721">
                      <w:marLeft w:val="0"/>
                      <w:marRight w:val="0"/>
                      <w:marTop w:val="0"/>
                      <w:marBottom w:val="0"/>
                      <w:divBdr>
                        <w:top w:val="none" w:sz="0" w:space="0" w:color="auto"/>
                        <w:left w:val="none" w:sz="0" w:space="0" w:color="auto"/>
                        <w:bottom w:val="none" w:sz="0" w:space="0" w:color="auto"/>
                        <w:right w:val="none" w:sz="0" w:space="0" w:color="auto"/>
                      </w:divBdr>
                    </w:div>
                  </w:divsChild>
                </w:div>
                <w:div w:id="2006593824">
                  <w:marLeft w:val="0"/>
                  <w:marRight w:val="0"/>
                  <w:marTop w:val="0"/>
                  <w:marBottom w:val="0"/>
                  <w:divBdr>
                    <w:top w:val="none" w:sz="0" w:space="0" w:color="auto"/>
                    <w:left w:val="none" w:sz="0" w:space="0" w:color="auto"/>
                    <w:bottom w:val="none" w:sz="0" w:space="0" w:color="auto"/>
                    <w:right w:val="none" w:sz="0" w:space="0" w:color="auto"/>
                  </w:divBdr>
                  <w:divsChild>
                    <w:div w:id="676153315">
                      <w:marLeft w:val="0"/>
                      <w:marRight w:val="0"/>
                      <w:marTop w:val="0"/>
                      <w:marBottom w:val="0"/>
                      <w:divBdr>
                        <w:top w:val="none" w:sz="0" w:space="0" w:color="auto"/>
                        <w:left w:val="none" w:sz="0" w:space="0" w:color="auto"/>
                        <w:bottom w:val="none" w:sz="0" w:space="0" w:color="auto"/>
                        <w:right w:val="none" w:sz="0" w:space="0" w:color="auto"/>
                      </w:divBdr>
                    </w:div>
                  </w:divsChild>
                </w:div>
                <w:div w:id="2033262261">
                  <w:marLeft w:val="0"/>
                  <w:marRight w:val="0"/>
                  <w:marTop w:val="0"/>
                  <w:marBottom w:val="0"/>
                  <w:divBdr>
                    <w:top w:val="none" w:sz="0" w:space="0" w:color="auto"/>
                    <w:left w:val="none" w:sz="0" w:space="0" w:color="auto"/>
                    <w:bottom w:val="none" w:sz="0" w:space="0" w:color="auto"/>
                    <w:right w:val="none" w:sz="0" w:space="0" w:color="auto"/>
                  </w:divBdr>
                  <w:divsChild>
                    <w:div w:id="615405163">
                      <w:marLeft w:val="0"/>
                      <w:marRight w:val="0"/>
                      <w:marTop w:val="0"/>
                      <w:marBottom w:val="0"/>
                      <w:divBdr>
                        <w:top w:val="none" w:sz="0" w:space="0" w:color="auto"/>
                        <w:left w:val="none" w:sz="0" w:space="0" w:color="auto"/>
                        <w:bottom w:val="none" w:sz="0" w:space="0" w:color="auto"/>
                        <w:right w:val="none" w:sz="0" w:space="0" w:color="auto"/>
                      </w:divBdr>
                    </w:div>
                  </w:divsChild>
                </w:div>
                <w:div w:id="2046438788">
                  <w:marLeft w:val="0"/>
                  <w:marRight w:val="0"/>
                  <w:marTop w:val="0"/>
                  <w:marBottom w:val="0"/>
                  <w:divBdr>
                    <w:top w:val="none" w:sz="0" w:space="0" w:color="auto"/>
                    <w:left w:val="none" w:sz="0" w:space="0" w:color="auto"/>
                    <w:bottom w:val="none" w:sz="0" w:space="0" w:color="auto"/>
                    <w:right w:val="none" w:sz="0" w:space="0" w:color="auto"/>
                  </w:divBdr>
                  <w:divsChild>
                    <w:div w:id="1934319339">
                      <w:marLeft w:val="0"/>
                      <w:marRight w:val="0"/>
                      <w:marTop w:val="0"/>
                      <w:marBottom w:val="0"/>
                      <w:divBdr>
                        <w:top w:val="none" w:sz="0" w:space="0" w:color="auto"/>
                        <w:left w:val="none" w:sz="0" w:space="0" w:color="auto"/>
                        <w:bottom w:val="none" w:sz="0" w:space="0" w:color="auto"/>
                        <w:right w:val="none" w:sz="0" w:space="0" w:color="auto"/>
                      </w:divBdr>
                    </w:div>
                  </w:divsChild>
                </w:div>
                <w:div w:id="2078044037">
                  <w:marLeft w:val="0"/>
                  <w:marRight w:val="0"/>
                  <w:marTop w:val="0"/>
                  <w:marBottom w:val="0"/>
                  <w:divBdr>
                    <w:top w:val="none" w:sz="0" w:space="0" w:color="auto"/>
                    <w:left w:val="none" w:sz="0" w:space="0" w:color="auto"/>
                    <w:bottom w:val="none" w:sz="0" w:space="0" w:color="auto"/>
                    <w:right w:val="none" w:sz="0" w:space="0" w:color="auto"/>
                  </w:divBdr>
                  <w:divsChild>
                    <w:div w:id="499079481">
                      <w:marLeft w:val="0"/>
                      <w:marRight w:val="0"/>
                      <w:marTop w:val="0"/>
                      <w:marBottom w:val="0"/>
                      <w:divBdr>
                        <w:top w:val="none" w:sz="0" w:space="0" w:color="auto"/>
                        <w:left w:val="none" w:sz="0" w:space="0" w:color="auto"/>
                        <w:bottom w:val="none" w:sz="0" w:space="0" w:color="auto"/>
                        <w:right w:val="none" w:sz="0" w:space="0" w:color="auto"/>
                      </w:divBdr>
                    </w:div>
                    <w:div w:id="1096096325">
                      <w:marLeft w:val="0"/>
                      <w:marRight w:val="0"/>
                      <w:marTop w:val="0"/>
                      <w:marBottom w:val="0"/>
                      <w:divBdr>
                        <w:top w:val="none" w:sz="0" w:space="0" w:color="auto"/>
                        <w:left w:val="none" w:sz="0" w:space="0" w:color="auto"/>
                        <w:bottom w:val="none" w:sz="0" w:space="0" w:color="auto"/>
                        <w:right w:val="none" w:sz="0" w:space="0" w:color="auto"/>
                      </w:divBdr>
                    </w:div>
                    <w:div w:id="1235748649">
                      <w:marLeft w:val="0"/>
                      <w:marRight w:val="0"/>
                      <w:marTop w:val="0"/>
                      <w:marBottom w:val="0"/>
                      <w:divBdr>
                        <w:top w:val="none" w:sz="0" w:space="0" w:color="auto"/>
                        <w:left w:val="none" w:sz="0" w:space="0" w:color="auto"/>
                        <w:bottom w:val="none" w:sz="0" w:space="0" w:color="auto"/>
                        <w:right w:val="none" w:sz="0" w:space="0" w:color="auto"/>
                      </w:divBdr>
                    </w:div>
                    <w:div w:id="1502544295">
                      <w:marLeft w:val="0"/>
                      <w:marRight w:val="0"/>
                      <w:marTop w:val="0"/>
                      <w:marBottom w:val="0"/>
                      <w:divBdr>
                        <w:top w:val="none" w:sz="0" w:space="0" w:color="auto"/>
                        <w:left w:val="none" w:sz="0" w:space="0" w:color="auto"/>
                        <w:bottom w:val="none" w:sz="0" w:space="0" w:color="auto"/>
                        <w:right w:val="none" w:sz="0" w:space="0" w:color="auto"/>
                      </w:divBdr>
                    </w:div>
                    <w:div w:id="1796021867">
                      <w:marLeft w:val="0"/>
                      <w:marRight w:val="0"/>
                      <w:marTop w:val="0"/>
                      <w:marBottom w:val="0"/>
                      <w:divBdr>
                        <w:top w:val="none" w:sz="0" w:space="0" w:color="auto"/>
                        <w:left w:val="none" w:sz="0" w:space="0" w:color="auto"/>
                        <w:bottom w:val="none" w:sz="0" w:space="0" w:color="auto"/>
                        <w:right w:val="none" w:sz="0" w:space="0" w:color="auto"/>
                      </w:divBdr>
                    </w:div>
                    <w:div w:id="1831628013">
                      <w:marLeft w:val="0"/>
                      <w:marRight w:val="0"/>
                      <w:marTop w:val="0"/>
                      <w:marBottom w:val="0"/>
                      <w:divBdr>
                        <w:top w:val="none" w:sz="0" w:space="0" w:color="auto"/>
                        <w:left w:val="none" w:sz="0" w:space="0" w:color="auto"/>
                        <w:bottom w:val="none" w:sz="0" w:space="0" w:color="auto"/>
                        <w:right w:val="none" w:sz="0" w:space="0" w:color="auto"/>
                      </w:divBdr>
                    </w:div>
                  </w:divsChild>
                </w:div>
                <w:div w:id="2093774067">
                  <w:marLeft w:val="0"/>
                  <w:marRight w:val="0"/>
                  <w:marTop w:val="0"/>
                  <w:marBottom w:val="0"/>
                  <w:divBdr>
                    <w:top w:val="none" w:sz="0" w:space="0" w:color="auto"/>
                    <w:left w:val="none" w:sz="0" w:space="0" w:color="auto"/>
                    <w:bottom w:val="none" w:sz="0" w:space="0" w:color="auto"/>
                    <w:right w:val="none" w:sz="0" w:space="0" w:color="auto"/>
                  </w:divBdr>
                  <w:divsChild>
                    <w:div w:id="1816485090">
                      <w:marLeft w:val="0"/>
                      <w:marRight w:val="0"/>
                      <w:marTop w:val="0"/>
                      <w:marBottom w:val="0"/>
                      <w:divBdr>
                        <w:top w:val="none" w:sz="0" w:space="0" w:color="auto"/>
                        <w:left w:val="none" w:sz="0" w:space="0" w:color="auto"/>
                        <w:bottom w:val="none" w:sz="0" w:space="0" w:color="auto"/>
                        <w:right w:val="none" w:sz="0" w:space="0" w:color="auto"/>
                      </w:divBdr>
                    </w:div>
                  </w:divsChild>
                </w:div>
                <w:div w:id="2104917121">
                  <w:marLeft w:val="0"/>
                  <w:marRight w:val="0"/>
                  <w:marTop w:val="0"/>
                  <w:marBottom w:val="0"/>
                  <w:divBdr>
                    <w:top w:val="none" w:sz="0" w:space="0" w:color="auto"/>
                    <w:left w:val="none" w:sz="0" w:space="0" w:color="auto"/>
                    <w:bottom w:val="none" w:sz="0" w:space="0" w:color="auto"/>
                    <w:right w:val="none" w:sz="0" w:space="0" w:color="auto"/>
                  </w:divBdr>
                  <w:divsChild>
                    <w:div w:id="1509712419">
                      <w:marLeft w:val="0"/>
                      <w:marRight w:val="0"/>
                      <w:marTop w:val="0"/>
                      <w:marBottom w:val="0"/>
                      <w:divBdr>
                        <w:top w:val="none" w:sz="0" w:space="0" w:color="auto"/>
                        <w:left w:val="none" w:sz="0" w:space="0" w:color="auto"/>
                        <w:bottom w:val="none" w:sz="0" w:space="0" w:color="auto"/>
                        <w:right w:val="none" w:sz="0" w:space="0" w:color="auto"/>
                      </w:divBdr>
                    </w:div>
                  </w:divsChild>
                </w:div>
                <w:div w:id="2142382995">
                  <w:marLeft w:val="0"/>
                  <w:marRight w:val="0"/>
                  <w:marTop w:val="0"/>
                  <w:marBottom w:val="0"/>
                  <w:divBdr>
                    <w:top w:val="none" w:sz="0" w:space="0" w:color="auto"/>
                    <w:left w:val="none" w:sz="0" w:space="0" w:color="auto"/>
                    <w:bottom w:val="none" w:sz="0" w:space="0" w:color="auto"/>
                    <w:right w:val="none" w:sz="0" w:space="0" w:color="auto"/>
                  </w:divBdr>
                  <w:divsChild>
                    <w:div w:id="9568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347456">
          <w:marLeft w:val="0"/>
          <w:marRight w:val="0"/>
          <w:marTop w:val="0"/>
          <w:marBottom w:val="0"/>
          <w:divBdr>
            <w:top w:val="none" w:sz="0" w:space="0" w:color="auto"/>
            <w:left w:val="none" w:sz="0" w:space="0" w:color="auto"/>
            <w:bottom w:val="none" w:sz="0" w:space="0" w:color="auto"/>
            <w:right w:val="none" w:sz="0" w:space="0" w:color="auto"/>
          </w:divBdr>
          <w:divsChild>
            <w:div w:id="435516193">
              <w:marLeft w:val="-75"/>
              <w:marRight w:val="0"/>
              <w:marTop w:val="30"/>
              <w:marBottom w:val="30"/>
              <w:divBdr>
                <w:top w:val="none" w:sz="0" w:space="0" w:color="auto"/>
                <w:left w:val="none" w:sz="0" w:space="0" w:color="auto"/>
                <w:bottom w:val="none" w:sz="0" w:space="0" w:color="auto"/>
                <w:right w:val="none" w:sz="0" w:space="0" w:color="auto"/>
              </w:divBdr>
              <w:divsChild>
                <w:div w:id="51543127">
                  <w:marLeft w:val="0"/>
                  <w:marRight w:val="0"/>
                  <w:marTop w:val="0"/>
                  <w:marBottom w:val="0"/>
                  <w:divBdr>
                    <w:top w:val="none" w:sz="0" w:space="0" w:color="auto"/>
                    <w:left w:val="none" w:sz="0" w:space="0" w:color="auto"/>
                    <w:bottom w:val="none" w:sz="0" w:space="0" w:color="auto"/>
                    <w:right w:val="none" w:sz="0" w:space="0" w:color="auto"/>
                  </w:divBdr>
                  <w:divsChild>
                    <w:div w:id="1121336578">
                      <w:marLeft w:val="0"/>
                      <w:marRight w:val="0"/>
                      <w:marTop w:val="0"/>
                      <w:marBottom w:val="0"/>
                      <w:divBdr>
                        <w:top w:val="none" w:sz="0" w:space="0" w:color="auto"/>
                        <w:left w:val="none" w:sz="0" w:space="0" w:color="auto"/>
                        <w:bottom w:val="none" w:sz="0" w:space="0" w:color="auto"/>
                        <w:right w:val="none" w:sz="0" w:space="0" w:color="auto"/>
                      </w:divBdr>
                    </w:div>
                  </w:divsChild>
                </w:div>
                <w:div w:id="108667162">
                  <w:marLeft w:val="0"/>
                  <w:marRight w:val="0"/>
                  <w:marTop w:val="0"/>
                  <w:marBottom w:val="0"/>
                  <w:divBdr>
                    <w:top w:val="none" w:sz="0" w:space="0" w:color="auto"/>
                    <w:left w:val="none" w:sz="0" w:space="0" w:color="auto"/>
                    <w:bottom w:val="none" w:sz="0" w:space="0" w:color="auto"/>
                    <w:right w:val="none" w:sz="0" w:space="0" w:color="auto"/>
                  </w:divBdr>
                  <w:divsChild>
                    <w:div w:id="793451338">
                      <w:marLeft w:val="0"/>
                      <w:marRight w:val="0"/>
                      <w:marTop w:val="0"/>
                      <w:marBottom w:val="0"/>
                      <w:divBdr>
                        <w:top w:val="none" w:sz="0" w:space="0" w:color="auto"/>
                        <w:left w:val="none" w:sz="0" w:space="0" w:color="auto"/>
                        <w:bottom w:val="none" w:sz="0" w:space="0" w:color="auto"/>
                        <w:right w:val="none" w:sz="0" w:space="0" w:color="auto"/>
                      </w:divBdr>
                    </w:div>
                  </w:divsChild>
                </w:div>
                <w:div w:id="128478627">
                  <w:marLeft w:val="0"/>
                  <w:marRight w:val="0"/>
                  <w:marTop w:val="0"/>
                  <w:marBottom w:val="0"/>
                  <w:divBdr>
                    <w:top w:val="none" w:sz="0" w:space="0" w:color="auto"/>
                    <w:left w:val="none" w:sz="0" w:space="0" w:color="auto"/>
                    <w:bottom w:val="none" w:sz="0" w:space="0" w:color="auto"/>
                    <w:right w:val="none" w:sz="0" w:space="0" w:color="auto"/>
                  </w:divBdr>
                  <w:divsChild>
                    <w:div w:id="1720518953">
                      <w:marLeft w:val="0"/>
                      <w:marRight w:val="0"/>
                      <w:marTop w:val="0"/>
                      <w:marBottom w:val="0"/>
                      <w:divBdr>
                        <w:top w:val="none" w:sz="0" w:space="0" w:color="auto"/>
                        <w:left w:val="none" w:sz="0" w:space="0" w:color="auto"/>
                        <w:bottom w:val="none" w:sz="0" w:space="0" w:color="auto"/>
                        <w:right w:val="none" w:sz="0" w:space="0" w:color="auto"/>
                      </w:divBdr>
                    </w:div>
                  </w:divsChild>
                </w:div>
                <w:div w:id="145588092">
                  <w:marLeft w:val="0"/>
                  <w:marRight w:val="0"/>
                  <w:marTop w:val="0"/>
                  <w:marBottom w:val="0"/>
                  <w:divBdr>
                    <w:top w:val="none" w:sz="0" w:space="0" w:color="auto"/>
                    <w:left w:val="none" w:sz="0" w:space="0" w:color="auto"/>
                    <w:bottom w:val="none" w:sz="0" w:space="0" w:color="auto"/>
                    <w:right w:val="none" w:sz="0" w:space="0" w:color="auto"/>
                  </w:divBdr>
                  <w:divsChild>
                    <w:div w:id="188106587">
                      <w:marLeft w:val="0"/>
                      <w:marRight w:val="0"/>
                      <w:marTop w:val="0"/>
                      <w:marBottom w:val="0"/>
                      <w:divBdr>
                        <w:top w:val="none" w:sz="0" w:space="0" w:color="auto"/>
                        <w:left w:val="none" w:sz="0" w:space="0" w:color="auto"/>
                        <w:bottom w:val="none" w:sz="0" w:space="0" w:color="auto"/>
                        <w:right w:val="none" w:sz="0" w:space="0" w:color="auto"/>
                      </w:divBdr>
                    </w:div>
                  </w:divsChild>
                </w:div>
                <w:div w:id="151800653">
                  <w:marLeft w:val="0"/>
                  <w:marRight w:val="0"/>
                  <w:marTop w:val="0"/>
                  <w:marBottom w:val="0"/>
                  <w:divBdr>
                    <w:top w:val="none" w:sz="0" w:space="0" w:color="auto"/>
                    <w:left w:val="none" w:sz="0" w:space="0" w:color="auto"/>
                    <w:bottom w:val="none" w:sz="0" w:space="0" w:color="auto"/>
                    <w:right w:val="none" w:sz="0" w:space="0" w:color="auto"/>
                  </w:divBdr>
                  <w:divsChild>
                    <w:div w:id="817500221">
                      <w:marLeft w:val="0"/>
                      <w:marRight w:val="0"/>
                      <w:marTop w:val="0"/>
                      <w:marBottom w:val="0"/>
                      <w:divBdr>
                        <w:top w:val="none" w:sz="0" w:space="0" w:color="auto"/>
                        <w:left w:val="none" w:sz="0" w:space="0" w:color="auto"/>
                        <w:bottom w:val="none" w:sz="0" w:space="0" w:color="auto"/>
                        <w:right w:val="none" w:sz="0" w:space="0" w:color="auto"/>
                      </w:divBdr>
                    </w:div>
                  </w:divsChild>
                </w:div>
                <w:div w:id="233711307">
                  <w:marLeft w:val="0"/>
                  <w:marRight w:val="0"/>
                  <w:marTop w:val="0"/>
                  <w:marBottom w:val="0"/>
                  <w:divBdr>
                    <w:top w:val="none" w:sz="0" w:space="0" w:color="auto"/>
                    <w:left w:val="none" w:sz="0" w:space="0" w:color="auto"/>
                    <w:bottom w:val="none" w:sz="0" w:space="0" w:color="auto"/>
                    <w:right w:val="none" w:sz="0" w:space="0" w:color="auto"/>
                  </w:divBdr>
                  <w:divsChild>
                    <w:div w:id="1775199663">
                      <w:marLeft w:val="0"/>
                      <w:marRight w:val="0"/>
                      <w:marTop w:val="0"/>
                      <w:marBottom w:val="0"/>
                      <w:divBdr>
                        <w:top w:val="none" w:sz="0" w:space="0" w:color="auto"/>
                        <w:left w:val="none" w:sz="0" w:space="0" w:color="auto"/>
                        <w:bottom w:val="none" w:sz="0" w:space="0" w:color="auto"/>
                        <w:right w:val="none" w:sz="0" w:space="0" w:color="auto"/>
                      </w:divBdr>
                    </w:div>
                  </w:divsChild>
                </w:div>
                <w:div w:id="277756665">
                  <w:marLeft w:val="0"/>
                  <w:marRight w:val="0"/>
                  <w:marTop w:val="0"/>
                  <w:marBottom w:val="0"/>
                  <w:divBdr>
                    <w:top w:val="none" w:sz="0" w:space="0" w:color="auto"/>
                    <w:left w:val="none" w:sz="0" w:space="0" w:color="auto"/>
                    <w:bottom w:val="none" w:sz="0" w:space="0" w:color="auto"/>
                    <w:right w:val="none" w:sz="0" w:space="0" w:color="auto"/>
                  </w:divBdr>
                  <w:divsChild>
                    <w:div w:id="1561943911">
                      <w:marLeft w:val="0"/>
                      <w:marRight w:val="0"/>
                      <w:marTop w:val="0"/>
                      <w:marBottom w:val="0"/>
                      <w:divBdr>
                        <w:top w:val="none" w:sz="0" w:space="0" w:color="auto"/>
                        <w:left w:val="none" w:sz="0" w:space="0" w:color="auto"/>
                        <w:bottom w:val="none" w:sz="0" w:space="0" w:color="auto"/>
                        <w:right w:val="none" w:sz="0" w:space="0" w:color="auto"/>
                      </w:divBdr>
                    </w:div>
                  </w:divsChild>
                </w:div>
                <w:div w:id="283463911">
                  <w:marLeft w:val="0"/>
                  <w:marRight w:val="0"/>
                  <w:marTop w:val="0"/>
                  <w:marBottom w:val="0"/>
                  <w:divBdr>
                    <w:top w:val="none" w:sz="0" w:space="0" w:color="auto"/>
                    <w:left w:val="none" w:sz="0" w:space="0" w:color="auto"/>
                    <w:bottom w:val="none" w:sz="0" w:space="0" w:color="auto"/>
                    <w:right w:val="none" w:sz="0" w:space="0" w:color="auto"/>
                  </w:divBdr>
                  <w:divsChild>
                    <w:div w:id="1235702490">
                      <w:marLeft w:val="0"/>
                      <w:marRight w:val="0"/>
                      <w:marTop w:val="0"/>
                      <w:marBottom w:val="0"/>
                      <w:divBdr>
                        <w:top w:val="none" w:sz="0" w:space="0" w:color="auto"/>
                        <w:left w:val="none" w:sz="0" w:space="0" w:color="auto"/>
                        <w:bottom w:val="none" w:sz="0" w:space="0" w:color="auto"/>
                        <w:right w:val="none" w:sz="0" w:space="0" w:color="auto"/>
                      </w:divBdr>
                    </w:div>
                  </w:divsChild>
                </w:div>
                <w:div w:id="379404841">
                  <w:marLeft w:val="0"/>
                  <w:marRight w:val="0"/>
                  <w:marTop w:val="0"/>
                  <w:marBottom w:val="0"/>
                  <w:divBdr>
                    <w:top w:val="none" w:sz="0" w:space="0" w:color="auto"/>
                    <w:left w:val="none" w:sz="0" w:space="0" w:color="auto"/>
                    <w:bottom w:val="none" w:sz="0" w:space="0" w:color="auto"/>
                    <w:right w:val="none" w:sz="0" w:space="0" w:color="auto"/>
                  </w:divBdr>
                  <w:divsChild>
                    <w:div w:id="1402950375">
                      <w:marLeft w:val="0"/>
                      <w:marRight w:val="0"/>
                      <w:marTop w:val="0"/>
                      <w:marBottom w:val="0"/>
                      <w:divBdr>
                        <w:top w:val="none" w:sz="0" w:space="0" w:color="auto"/>
                        <w:left w:val="none" w:sz="0" w:space="0" w:color="auto"/>
                        <w:bottom w:val="none" w:sz="0" w:space="0" w:color="auto"/>
                        <w:right w:val="none" w:sz="0" w:space="0" w:color="auto"/>
                      </w:divBdr>
                    </w:div>
                  </w:divsChild>
                </w:div>
                <w:div w:id="410125826">
                  <w:marLeft w:val="0"/>
                  <w:marRight w:val="0"/>
                  <w:marTop w:val="0"/>
                  <w:marBottom w:val="0"/>
                  <w:divBdr>
                    <w:top w:val="none" w:sz="0" w:space="0" w:color="auto"/>
                    <w:left w:val="none" w:sz="0" w:space="0" w:color="auto"/>
                    <w:bottom w:val="none" w:sz="0" w:space="0" w:color="auto"/>
                    <w:right w:val="none" w:sz="0" w:space="0" w:color="auto"/>
                  </w:divBdr>
                  <w:divsChild>
                    <w:div w:id="214662617">
                      <w:marLeft w:val="0"/>
                      <w:marRight w:val="0"/>
                      <w:marTop w:val="0"/>
                      <w:marBottom w:val="0"/>
                      <w:divBdr>
                        <w:top w:val="none" w:sz="0" w:space="0" w:color="auto"/>
                        <w:left w:val="none" w:sz="0" w:space="0" w:color="auto"/>
                        <w:bottom w:val="none" w:sz="0" w:space="0" w:color="auto"/>
                        <w:right w:val="none" w:sz="0" w:space="0" w:color="auto"/>
                      </w:divBdr>
                    </w:div>
                  </w:divsChild>
                </w:div>
                <w:div w:id="475605501">
                  <w:marLeft w:val="0"/>
                  <w:marRight w:val="0"/>
                  <w:marTop w:val="0"/>
                  <w:marBottom w:val="0"/>
                  <w:divBdr>
                    <w:top w:val="none" w:sz="0" w:space="0" w:color="auto"/>
                    <w:left w:val="none" w:sz="0" w:space="0" w:color="auto"/>
                    <w:bottom w:val="none" w:sz="0" w:space="0" w:color="auto"/>
                    <w:right w:val="none" w:sz="0" w:space="0" w:color="auto"/>
                  </w:divBdr>
                  <w:divsChild>
                    <w:div w:id="1286305334">
                      <w:marLeft w:val="0"/>
                      <w:marRight w:val="0"/>
                      <w:marTop w:val="0"/>
                      <w:marBottom w:val="0"/>
                      <w:divBdr>
                        <w:top w:val="none" w:sz="0" w:space="0" w:color="auto"/>
                        <w:left w:val="none" w:sz="0" w:space="0" w:color="auto"/>
                        <w:bottom w:val="none" w:sz="0" w:space="0" w:color="auto"/>
                        <w:right w:val="none" w:sz="0" w:space="0" w:color="auto"/>
                      </w:divBdr>
                    </w:div>
                  </w:divsChild>
                </w:div>
                <w:div w:id="476730305">
                  <w:marLeft w:val="0"/>
                  <w:marRight w:val="0"/>
                  <w:marTop w:val="0"/>
                  <w:marBottom w:val="0"/>
                  <w:divBdr>
                    <w:top w:val="none" w:sz="0" w:space="0" w:color="auto"/>
                    <w:left w:val="none" w:sz="0" w:space="0" w:color="auto"/>
                    <w:bottom w:val="none" w:sz="0" w:space="0" w:color="auto"/>
                    <w:right w:val="none" w:sz="0" w:space="0" w:color="auto"/>
                  </w:divBdr>
                  <w:divsChild>
                    <w:div w:id="391081502">
                      <w:marLeft w:val="0"/>
                      <w:marRight w:val="0"/>
                      <w:marTop w:val="0"/>
                      <w:marBottom w:val="0"/>
                      <w:divBdr>
                        <w:top w:val="none" w:sz="0" w:space="0" w:color="auto"/>
                        <w:left w:val="none" w:sz="0" w:space="0" w:color="auto"/>
                        <w:bottom w:val="none" w:sz="0" w:space="0" w:color="auto"/>
                        <w:right w:val="none" w:sz="0" w:space="0" w:color="auto"/>
                      </w:divBdr>
                    </w:div>
                  </w:divsChild>
                </w:div>
                <w:div w:id="524025958">
                  <w:marLeft w:val="0"/>
                  <w:marRight w:val="0"/>
                  <w:marTop w:val="0"/>
                  <w:marBottom w:val="0"/>
                  <w:divBdr>
                    <w:top w:val="none" w:sz="0" w:space="0" w:color="auto"/>
                    <w:left w:val="none" w:sz="0" w:space="0" w:color="auto"/>
                    <w:bottom w:val="none" w:sz="0" w:space="0" w:color="auto"/>
                    <w:right w:val="none" w:sz="0" w:space="0" w:color="auto"/>
                  </w:divBdr>
                  <w:divsChild>
                    <w:div w:id="1947617606">
                      <w:marLeft w:val="0"/>
                      <w:marRight w:val="0"/>
                      <w:marTop w:val="0"/>
                      <w:marBottom w:val="0"/>
                      <w:divBdr>
                        <w:top w:val="none" w:sz="0" w:space="0" w:color="auto"/>
                        <w:left w:val="none" w:sz="0" w:space="0" w:color="auto"/>
                        <w:bottom w:val="none" w:sz="0" w:space="0" w:color="auto"/>
                        <w:right w:val="none" w:sz="0" w:space="0" w:color="auto"/>
                      </w:divBdr>
                    </w:div>
                  </w:divsChild>
                </w:div>
                <w:div w:id="526330257">
                  <w:marLeft w:val="0"/>
                  <w:marRight w:val="0"/>
                  <w:marTop w:val="0"/>
                  <w:marBottom w:val="0"/>
                  <w:divBdr>
                    <w:top w:val="none" w:sz="0" w:space="0" w:color="auto"/>
                    <w:left w:val="none" w:sz="0" w:space="0" w:color="auto"/>
                    <w:bottom w:val="none" w:sz="0" w:space="0" w:color="auto"/>
                    <w:right w:val="none" w:sz="0" w:space="0" w:color="auto"/>
                  </w:divBdr>
                  <w:divsChild>
                    <w:div w:id="526796315">
                      <w:marLeft w:val="0"/>
                      <w:marRight w:val="0"/>
                      <w:marTop w:val="0"/>
                      <w:marBottom w:val="0"/>
                      <w:divBdr>
                        <w:top w:val="none" w:sz="0" w:space="0" w:color="auto"/>
                        <w:left w:val="none" w:sz="0" w:space="0" w:color="auto"/>
                        <w:bottom w:val="none" w:sz="0" w:space="0" w:color="auto"/>
                        <w:right w:val="none" w:sz="0" w:space="0" w:color="auto"/>
                      </w:divBdr>
                    </w:div>
                  </w:divsChild>
                </w:div>
                <w:div w:id="699627480">
                  <w:marLeft w:val="0"/>
                  <w:marRight w:val="0"/>
                  <w:marTop w:val="0"/>
                  <w:marBottom w:val="0"/>
                  <w:divBdr>
                    <w:top w:val="none" w:sz="0" w:space="0" w:color="auto"/>
                    <w:left w:val="none" w:sz="0" w:space="0" w:color="auto"/>
                    <w:bottom w:val="none" w:sz="0" w:space="0" w:color="auto"/>
                    <w:right w:val="none" w:sz="0" w:space="0" w:color="auto"/>
                  </w:divBdr>
                  <w:divsChild>
                    <w:div w:id="2042437422">
                      <w:marLeft w:val="0"/>
                      <w:marRight w:val="0"/>
                      <w:marTop w:val="0"/>
                      <w:marBottom w:val="0"/>
                      <w:divBdr>
                        <w:top w:val="none" w:sz="0" w:space="0" w:color="auto"/>
                        <w:left w:val="none" w:sz="0" w:space="0" w:color="auto"/>
                        <w:bottom w:val="none" w:sz="0" w:space="0" w:color="auto"/>
                        <w:right w:val="none" w:sz="0" w:space="0" w:color="auto"/>
                      </w:divBdr>
                    </w:div>
                  </w:divsChild>
                </w:div>
                <w:div w:id="746153418">
                  <w:marLeft w:val="0"/>
                  <w:marRight w:val="0"/>
                  <w:marTop w:val="0"/>
                  <w:marBottom w:val="0"/>
                  <w:divBdr>
                    <w:top w:val="none" w:sz="0" w:space="0" w:color="auto"/>
                    <w:left w:val="none" w:sz="0" w:space="0" w:color="auto"/>
                    <w:bottom w:val="none" w:sz="0" w:space="0" w:color="auto"/>
                    <w:right w:val="none" w:sz="0" w:space="0" w:color="auto"/>
                  </w:divBdr>
                  <w:divsChild>
                    <w:div w:id="840701754">
                      <w:marLeft w:val="0"/>
                      <w:marRight w:val="0"/>
                      <w:marTop w:val="0"/>
                      <w:marBottom w:val="0"/>
                      <w:divBdr>
                        <w:top w:val="none" w:sz="0" w:space="0" w:color="auto"/>
                        <w:left w:val="none" w:sz="0" w:space="0" w:color="auto"/>
                        <w:bottom w:val="none" w:sz="0" w:space="0" w:color="auto"/>
                        <w:right w:val="none" w:sz="0" w:space="0" w:color="auto"/>
                      </w:divBdr>
                    </w:div>
                  </w:divsChild>
                </w:div>
                <w:div w:id="747843214">
                  <w:marLeft w:val="0"/>
                  <w:marRight w:val="0"/>
                  <w:marTop w:val="0"/>
                  <w:marBottom w:val="0"/>
                  <w:divBdr>
                    <w:top w:val="none" w:sz="0" w:space="0" w:color="auto"/>
                    <w:left w:val="none" w:sz="0" w:space="0" w:color="auto"/>
                    <w:bottom w:val="none" w:sz="0" w:space="0" w:color="auto"/>
                    <w:right w:val="none" w:sz="0" w:space="0" w:color="auto"/>
                  </w:divBdr>
                  <w:divsChild>
                    <w:div w:id="1456677895">
                      <w:marLeft w:val="0"/>
                      <w:marRight w:val="0"/>
                      <w:marTop w:val="0"/>
                      <w:marBottom w:val="0"/>
                      <w:divBdr>
                        <w:top w:val="none" w:sz="0" w:space="0" w:color="auto"/>
                        <w:left w:val="none" w:sz="0" w:space="0" w:color="auto"/>
                        <w:bottom w:val="none" w:sz="0" w:space="0" w:color="auto"/>
                        <w:right w:val="none" w:sz="0" w:space="0" w:color="auto"/>
                      </w:divBdr>
                    </w:div>
                  </w:divsChild>
                </w:div>
                <w:div w:id="766078202">
                  <w:marLeft w:val="0"/>
                  <w:marRight w:val="0"/>
                  <w:marTop w:val="0"/>
                  <w:marBottom w:val="0"/>
                  <w:divBdr>
                    <w:top w:val="none" w:sz="0" w:space="0" w:color="auto"/>
                    <w:left w:val="none" w:sz="0" w:space="0" w:color="auto"/>
                    <w:bottom w:val="none" w:sz="0" w:space="0" w:color="auto"/>
                    <w:right w:val="none" w:sz="0" w:space="0" w:color="auto"/>
                  </w:divBdr>
                  <w:divsChild>
                    <w:div w:id="1619877122">
                      <w:marLeft w:val="0"/>
                      <w:marRight w:val="0"/>
                      <w:marTop w:val="0"/>
                      <w:marBottom w:val="0"/>
                      <w:divBdr>
                        <w:top w:val="none" w:sz="0" w:space="0" w:color="auto"/>
                        <w:left w:val="none" w:sz="0" w:space="0" w:color="auto"/>
                        <w:bottom w:val="none" w:sz="0" w:space="0" w:color="auto"/>
                        <w:right w:val="none" w:sz="0" w:space="0" w:color="auto"/>
                      </w:divBdr>
                    </w:div>
                  </w:divsChild>
                </w:div>
                <w:div w:id="861213591">
                  <w:marLeft w:val="0"/>
                  <w:marRight w:val="0"/>
                  <w:marTop w:val="0"/>
                  <w:marBottom w:val="0"/>
                  <w:divBdr>
                    <w:top w:val="none" w:sz="0" w:space="0" w:color="auto"/>
                    <w:left w:val="none" w:sz="0" w:space="0" w:color="auto"/>
                    <w:bottom w:val="none" w:sz="0" w:space="0" w:color="auto"/>
                    <w:right w:val="none" w:sz="0" w:space="0" w:color="auto"/>
                  </w:divBdr>
                  <w:divsChild>
                    <w:div w:id="723061562">
                      <w:marLeft w:val="0"/>
                      <w:marRight w:val="0"/>
                      <w:marTop w:val="0"/>
                      <w:marBottom w:val="0"/>
                      <w:divBdr>
                        <w:top w:val="none" w:sz="0" w:space="0" w:color="auto"/>
                        <w:left w:val="none" w:sz="0" w:space="0" w:color="auto"/>
                        <w:bottom w:val="none" w:sz="0" w:space="0" w:color="auto"/>
                        <w:right w:val="none" w:sz="0" w:space="0" w:color="auto"/>
                      </w:divBdr>
                    </w:div>
                  </w:divsChild>
                </w:div>
                <w:div w:id="895432629">
                  <w:marLeft w:val="0"/>
                  <w:marRight w:val="0"/>
                  <w:marTop w:val="0"/>
                  <w:marBottom w:val="0"/>
                  <w:divBdr>
                    <w:top w:val="none" w:sz="0" w:space="0" w:color="auto"/>
                    <w:left w:val="none" w:sz="0" w:space="0" w:color="auto"/>
                    <w:bottom w:val="none" w:sz="0" w:space="0" w:color="auto"/>
                    <w:right w:val="none" w:sz="0" w:space="0" w:color="auto"/>
                  </w:divBdr>
                  <w:divsChild>
                    <w:div w:id="1734347224">
                      <w:marLeft w:val="0"/>
                      <w:marRight w:val="0"/>
                      <w:marTop w:val="0"/>
                      <w:marBottom w:val="0"/>
                      <w:divBdr>
                        <w:top w:val="none" w:sz="0" w:space="0" w:color="auto"/>
                        <w:left w:val="none" w:sz="0" w:space="0" w:color="auto"/>
                        <w:bottom w:val="none" w:sz="0" w:space="0" w:color="auto"/>
                        <w:right w:val="none" w:sz="0" w:space="0" w:color="auto"/>
                      </w:divBdr>
                    </w:div>
                  </w:divsChild>
                </w:div>
                <w:div w:id="945505040">
                  <w:marLeft w:val="0"/>
                  <w:marRight w:val="0"/>
                  <w:marTop w:val="0"/>
                  <w:marBottom w:val="0"/>
                  <w:divBdr>
                    <w:top w:val="none" w:sz="0" w:space="0" w:color="auto"/>
                    <w:left w:val="none" w:sz="0" w:space="0" w:color="auto"/>
                    <w:bottom w:val="none" w:sz="0" w:space="0" w:color="auto"/>
                    <w:right w:val="none" w:sz="0" w:space="0" w:color="auto"/>
                  </w:divBdr>
                  <w:divsChild>
                    <w:div w:id="1018124309">
                      <w:marLeft w:val="0"/>
                      <w:marRight w:val="0"/>
                      <w:marTop w:val="0"/>
                      <w:marBottom w:val="0"/>
                      <w:divBdr>
                        <w:top w:val="none" w:sz="0" w:space="0" w:color="auto"/>
                        <w:left w:val="none" w:sz="0" w:space="0" w:color="auto"/>
                        <w:bottom w:val="none" w:sz="0" w:space="0" w:color="auto"/>
                        <w:right w:val="none" w:sz="0" w:space="0" w:color="auto"/>
                      </w:divBdr>
                    </w:div>
                  </w:divsChild>
                </w:div>
                <w:div w:id="1027218022">
                  <w:marLeft w:val="0"/>
                  <w:marRight w:val="0"/>
                  <w:marTop w:val="0"/>
                  <w:marBottom w:val="0"/>
                  <w:divBdr>
                    <w:top w:val="none" w:sz="0" w:space="0" w:color="auto"/>
                    <w:left w:val="none" w:sz="0" w:space="0" w:color="auto"/>
                    <w:bottom w:val="none" w:sz="0" w:space="0" w:color="auto"/>
                    <w:right w:val="none" w:sz="0" w:space="0" w:color="auto"/>
                  </w:divBdr>
                  <w:divsChild>
                    <w:div w:id="766079913">
                      <w:marLeft w:val="0"/>
                      <w:marRight w:val="0"/>
                      <w:marTop w:val="0"/>
                      <w:marBottom w:val="0"/>
                      <w:divBdr>
                        <w:top w:val="none" w:sz="0" w:space="0" w:color="auto"/>
                        <w:left w:val="none" w:sz="0" w:space="0" w:color="auto"/>
                        <w:bottom w:val="none" w:sz="0" w:space="0" w:color="auto"/>
                        <w:right w:val="none" w:sz="0" w:space="0" w:color="auto"/>
                      </w:divBdr>
                    </w:div>
                  </w:divsChild>
                </w:div>
                <w:div w:id="1180509191">
                  <w:marLeft w:val="0"/>
                  <w:marRight w:val="0"/>
                  <w:marTop w:val="0"/>
                  <w:marBottom w:val="0"/>
                  <w:divBdr>
                    <w:top w:val="none" w:sz="0" w:space="0" w:color="auto"/>
                    <w:left w:val="none" w:sz="0" w:space="0" w:color="auto"/>
                    <w:bottom w:val="none" w:sz="0" w:space="0" w:color="auto"/>
                    <w:right w:val="none" w:sz="0" w:space="0" w:color="auto"/>
                  </w:divBdr>
                  <w:divsChild>
                    <w:div w:id="1894345283">
                      <w:marLeft w:val="0"/>
                      <w:marRight w:val="0"/>
                      <w:marTop w:val="0"/>
                      <w:marBottom w:val="0"/>
                      <w:divBdr>
                        <w:top w:val="none" w:sz="0" w:space="0" w:color="auto"/>
                        <w:left w:val="none" w:sz="0" w:space="0" w:color="auto"/>
                        <w:bottom w:val="none" w:sz="0" w:space="0" w:color="auto"/>
                        <w:right w:val="none" w:sz="0" w:space="0" w:color="auto"/>
                      </w:divBdr>
                    </w:div>
                  </w:divsChild>
                </w:div>
                <w:div w:id="1230575002">
                  <w:marLeft w:val="0"/>
                  <w:marRight w:val="0"/>
                  <w:marTop w:val="0"/>
                  <w:marBottom w:val="0"/>
                  <w:divBdr>
                    <w:top w:val="none" w:sz="0" w:space="0" w:color="auto"/>
                    <w:left w:val="none" w:sz="0" w:space="0" w:color="auto"/>
                    <w:bottom w:val="none" w:sz="0" w:space="0" w:color="auto"/>
                    <w:right w:val="none" w:sz="0" w:space="0" w:color="auto"/>
                  </w:divBdr>
                  <w:divsChild>
                    <w:div w:id="1167283731">
                      <w:marLeft w:val="0"/>
                      <w:marRight w:val="0"/>
                      <w:marTop w:val="0"/>
                      <w:marBottom w:val="0"/>
                      <w:divBdr>
                        <w:top w:val="none" w:sz="0" w:space="0" w:color="auto"/>
                        <w:left w:val="none" w:sz="0" w:space="0" w:color="auto"/>
                        <w:bottom w:val="none" w:sz="0" w:space="0" w:color="auto"/>
                        <w:right w:val="none" w:sz="0" w:space="0" w:color="auto"/>
                      </w:divBdr>
                    </w:div>
                  </w:divsChild>
                </w:div>
                <w:div w:id="1279408973">
                  <w:marLeft w:val="0"/>
                  <w:marRight w:val="0"/>
                  <w:marTop w:val="0"/>
                  <w:marBottom w:val="0"/>
                  <w:divBdr>
                    <w:top w:val="none" w:sz="0" w:space="0" w:color="auto"/>
                    <w:left w:val="none" w:sz="0" w:space="0" w:color="auto"/>
                    <w:bottom w:val="none" w:sz="0" w:space="0" w:color="auto"/>
                    <w:right w:val="none" w:sz="0" w:space="0" w:color="auto"/>
                  </w:divBdr>
                  <w:divsChild>
                    <w:div w:id="379785396">
                      <w:marLeft w:val="0"/>
                      <w:marRight w:val="0"/>
                      <w:marTop w:val="0"/>
                      <w:marBottom w:val="0"/>
                      <w:divBdr>
                        <w:top w:val="none" w:sz="0" w:space="0" w:color="auto"/>
                        <w:left w:val="none" w:sz="0" w:space="0" w:color="auto"/>
                        <w:bottom w:val="none" w:sz="0" w:space="0" w:color="auto"/>
                        <w:right w:val="none" w:sz="0" w:space="0" w:color="auto"/>
                      </w:divBdr>
                    </w:div>
                  </w:divsChild>
                </w:div>
                <w:div w:id="1282154909">
                  <w:marLeft w:val="0"/>
                  <w:marRight w:val="0"/>
                  <w:marTop w:val="0"/>
                  <w:marBottom w:val="0"/>
                  <w:divBdr>
                    <w:top w:val="none" w:sz="0" w:space="0" w:color="auto"/>
                    <w:left w:val="none" w:sz="0" w:space="0" w:color="auto"/>
                    <w:bottom w:val="none" w:sz="0" w:space="0" w:color="auto"/>
                    <w:right w:val="none" w:sz="0" w:space="0" w:color="auto"/>
                  </w:divBdr>
                  <w:divsChild>
                    <w:div w:id="1205215560">
                      <w:marLeft w:val="0"/>
                      <w:marRight w:val="0"/>
                      <w:marTop w:val="0"/>
                      <w:marBottom w:val="0"/>
                      <w:divBdr>
                        <w:top w:val="none" w:sz="0" w:space="0" w:color="auto"/>
                        <w:left w:val="none" w:sz="0" w:space="0" w:color="auto"/>
                        <w:bottom w:val="none" w:sz="0" w:space="0" w:color="auto"/>
                        <w:right w:val="none" w:sz="0" w:space="0" w:color="auto"/>
                      </w:divBdr>
                    </w:div>
                  </w:divsChild>
                </w:div>
                <w:div w:id="1326587258">
                  <w:marLeft w:val="0"/>
                  <w:marRight w:val="0"/>
                  <w:marTop w:val="0"/>
                  <w:marBottom w:val="0"/>
                  <w:divBdr>
                    <w:top w:val="none" w:sz="0" w:space="0" w:color="auto"/>
                    <w:left w:val="none" w:sz="0" w:space="0" w:color="auto"/>
                    <w:bottom w:val="none" w:sz="0" w:space="0" w:color="auto"/>
                    <w:right w:val="none" w:sz="0" w:space="0" w:color="auto"/>
                  </w:divBdr>
                  <w:divsChild>
                    <w:div w:id="1497066255">
                      <w:marLeft w:val="0"/>
                      <w:marRight w:val="0"/>
                      <w:marTop w:val="0"/>
                      <w:marBottom w:val="0"/>
                      <w:divBdr>
                        <w:top w:val="none" w:sz="0" w:space="0" w:color="auto"/>
                        <w:left w:val="none" w:sz="0" w:space="0" w:color="auto"/>
                        <w:bottom w:val="none" w:sz="0" w:space="0" w:color="auto"/>
                        <w:right w:val="none" w:sz="0" w:space="0" w:color="auto"/>
                      </w:divBdr>
                    </w:div>
                  </w:divsChild>
                </w:div>
                <w:div w:id="1330982348">
                  <w:marLeft w:val="0"/>
                  <w:marRight w:val="0"/>
                  <w:marTop w:val="0"/>
                  <w:marBottom w:val="0"/>
                  <w:divBdr>
                    <w:top w:val="none" w:sz="0" w:space="0" w:color="auto"/>
                    <w:left w:val="none" w:sz="0" w:space="0" w:color="auto"/>
                    <w:bottom w:val="none" w:sz="0" w:space="0" w:color="auto"/>
                    <w:right w:val="none" w:sz="0" w:space="0" w:color="auto"/>
                  </w:divBdr>
                  <w:divsChild>
                    <w:div w:id="1115177570">
                      <w:marLeft w:val="0"/>
                      <w:marRight w:val="0"/>
                      <w:marTop w:val="0"/>
                      <w:marBottom w:val="0"/>
                      <w:divBdr>
                        <w:top w:val="none" w:sz="0" w:space="0" w:color="auto"/>
                        <w:left w:val="none" w:sz="0" w:space="0" w:color="auto"/>
                        <w:bottom w:val="none" w:sz="0" w:space="0" w:color="auto"/>
                        <w:right w:val="none" w:sz="0" w:space="0" w:color="auto"/>
                      </w:divBdr>
                    </w:div>
                  </w:divsChild>
                </w:div>
                <w:div w:id="1350527630">
                  <w:marLeft w:val="0"/>
                  <w:marRight w:val="0"/>
                  <w:marTop w:val="0"/>
                  <w:marBottom w:val="0"/>
                  <w:divBdr>
                    <w:top w:val="none" w:sz="0" w:space="0" w:color="auto"/>
                    <w:left w:val="none" w:sz="0" w:space="0" w:color="auto"/>
                    <w:bottom w:val="none" w:sz="0" w:space="0" w:color="auto"/>
                    <w:right w:val="none" w:sz="0" w:space="0" w:color="auto"/>
                  </w:divBdr>
                  <w:divsChild>
                    <w:div w:id="282539157">
                      <w:marLeft w:val="0"/>
                      <w:marRight w:val="0"/>
                      <w:marTop w:val="0"/>
                      <w:marBottom w:val="0"/>
                      <w:divBdr>
                        <w:top w:val="none" w:sz="0" w:space="0" w:color="auto"/>
                        <w:left w:val="none" w:sz="0" w:space="0" w:color="auto"/>
                        <w:bottom w:val="none" w:sz="0" w:space="0" w:color="auto"/>
                        <w:right w:val="none" w:sz="0" w:space="0" w:color="auto"/>
                      </w:divBdr>
                    </w:div>
                  </w:divsChild>
                </w:div>
                <w:div w:id="1387871050">
                  <w:marLeft w:val="0"/>
                  <w:marRight w:val="0"/>
                  <w:marTop w:val="0"/>
                  <w:marBottom w:val="0"/>
                  <w:divBdr>
                    <w:top w:val="none" w:sz="0" w:space="0" w:color="auto"/>
                    <w:left w:val="none" w:sz="0" w:space="0" w:color="auto"/>
                    <w:bottom w:val="none" w:sz="0" w:space="0" w:color="auto"/>
                    <w:right w:val="none" w:sz="0" w:space="0" w:color="auto"/>
                  </w:divBdr>
                  <w:divsChild>
                    <w:div w:id="608045879">
                      <w:marLeft w:val="0"/>
                      <w:marRight w:val="0"/>
                      <w:marTop w:val="0"/>
                      <w:marBottom w:val="0"/>
                      <w:divBdr>
                        <w:top w:val="none" w:sz="0" w:space="0" w:color="auto"/>
                        <w:left w:val="none" w:sz="0" w:space="0" w:color="auto"/>
                        <w:bottom w:val="none" w:sz="0" w:space="0" w:color="auto"/>
                        <w:right w:val="none" w:sz="0" w:space="0" w:color="auto"/>
                      </w:divBdr>
                    </w:div>
                  </w:divsChild>
                </w:div>
                <w:div w:id="1405689707">
                  <w:marLeft w:val="0"/>
                  <w:marRight w:val="0"/>
                  <w:marTop w:val="0"/>
                  <w:marBottom w:val="0"/>
                  <w:divBdr>
                    <w:top w:val="none" w:sz="0" w:space="0" w:color="auto"/>
                    <w:left w:val="none" w:sz="0" w:space="0" w:color="auto"/>
                    <w:bottom w:val="none" w:sz="0" w:space="0" w:color="auto"/>
                    <w:right w:val="none" w:sz="0" w:space="0" w:color="auto"/>
                  </w:divBdr>
                  <w:divsChild>
                    <w:div w:id="224951437">
                      <w:marLeft w:val="0"/>
                      <w:marRight w:val="0"/>
                      <w:marTop w:val="0"/>
                      <w:marBottom w:val="0"/>
                      <w:divBdr>
                        <w:top w:val="none" w:sz="0" w:space="0" w:color="auto"/>
                        <w:left w:val="none" w:sz="0" w:space="0" w:color="auto"/>
                        <w:bottom w:val="none" w:sz="0" w:space="0" w:color="auto"/>
                        <w:right w:val="none" w:sz="0" w:space="0" w:color="auto"/>
                      </w:divBdr>
                    </w:div>
                  </w:divsChild>
                </w:div>
                <w:div w:id="1418133833">
                  <w:marLeft w:val="0"/>
                  <w:marRight w:val="0"/>
                  <w:marTop w:val="0"/>
                  <w:marBottom w:val="0"/>
                  <w:divBdr>
                    <w:top w:val="none" w:sz="0" w:space="0" w:color="auto"/>
                    <w:left w:val="none" w:sz="0" w:space="0" w:color="auto"/>
                    <w:bottom w:val="none" w:sz="0" w:space="0" w:color="auto"/>
                    <w:right w:val="none" w:sz="0" w:space="0" w:color="auto"/>
                  </w:divBdr>
                  <w:divsChild>
                    <w:div w:id="1717117783">
                      <w:marLeft w:val="0"/>
                      <w:marRight w:val="0"/>
                      <w:marTop w:val="0"/>
                      <w:marBottom w:val="0"/>
                      <w:divBdr>
                        <w:top w:val="none" w:sz="0" w:space="0" w:color="auto"/>
                        <w:left w:val="none" w:sz="0" w:space="0" w:color="auto"/>
                        <w:bottom w:val="none" w:sz="0" w:space="0" w:color="auto"/>
                        <w:right w:val="none" w:sz="0" w:space="0" w:color="auto"/>
                      </w:divBdr>
                    </w:div>
                  </w:divsChild>
                </w:div>
                <w:div w:id="1511407370">
                  <w:marLeft w:val="0"/>
                  <w:marRight w:val="0"/>
                  <w:marTop w:val="0"/>
                  <w:marBottom w:val="0"/>
                  <w:divBdr>
                    <w:top w:val="none" w:sz="0" w:space="0" w:color="auto"/>
                    <w:left w:val="none" w:sz="0" w:space="0" w:color="auto"/>
                    <w:bottom w:val="none" w:sz="0" w:space="0" w:color="auto"/>
                    <w:right w:val="none" w:sz="0" w:space="0" w:color="auto"/>
                  </w:divBdr>
                  <w:divsChild>
                    <w:div w:id="1082987861">
                      <w:marLeft w:val="0"/>
                      <w:marRight w:val="0"/>
                      <w:marTop w:val="0"/>
                      <w:marBottom w:val="0"/>
                      <w:divBdr>
                        <w:top w:val="none" w:sz="0" w:space="0" w:color="auto"/>
                        <w:left w:val="none" w:sz="0" w:space="0" w:color="auto"/>
                        <w:bottom w:val="none" w:sz="0" w:space="0" w:color="auto"/>
                        <w:right w:val="none" w:sz="0" w:space="0" w:color="auto"/>
                      </w:divBdr>
                    </w:div>
                  </w:divsChild>
                </w:div>
                <w:div w:id="1558783029">
                  <w:marLeft w:val="0"/>
                  <w:marRight w:val="0"/>
                  <w:marTop w:val="0"/>
                  <w:marBottom w:val="0"/>
                  <w:divBdr>
                    <w:top w:val="none" w:sz="0" w:space="0" w:color="auto"/>
                    <w:left w:val="none" w:sz="0" w:space="0" w:color="auto"/>
                    <w:bottom w:val="none" w:sz="0" w:space="0" w:color="auto"/>
                    <w:right w:val="none" w:sz="0" w:space="0" w:color="auto"/>
                  </w:divBdr>
                  <w:divsChild>
                    <w:div w:id="1017001703">
                      <w:marLeft w:val="0"/>
                      <w:marRight w:val="0"/>
                      <w:marTop w:val="0"/>
                      <w:marBottom w:val="0"/>
                      <w:divBdr>
                        <w:top w:val="none" w:sz="0" w:space="0" w:color="auto"/>
                        <w:left w:val="none" w:sz="0" w:space="0" w:color="auto"/>
                        <w:bottom w:val="none" w:sz="0" w:space="0" w:color="auto"/>
                        <w:right w:val="none" w:sz="0" w:space="0" w:color="auto"/>
                      </w:divBdr>
                    </w:div>
                  </w:divsChild>
                </w:div>
                <w:div w:id="1647278443">
                  <w:marLeft w:val="0"/>
                  <w:marRight w:val="0"/>
                  <w:marTop w:val="0"/>
                  <w:marBottom w:val="0"/>
                  <w:divBdr>
                    <w:top w:val="none" w:sz="0" w:space="0" w:color="auto"/>
                    <w:left w:val="none" w:sz="0" w:space="0" w:color="auto"/>
                    <w:bottom w:val="none" w:sz="0" w:space="0" w:color="auto"/>
                    <w:right w:val="none" w:sz="0" w:space="0" w:color="auto"/>
                  </w:divBdr>
                  <w:divsChild>
                    <w:div w:id="173107253">
                      <w:marLeft w:val="0"/>
                      <w:marRight w:val="0"/>
                      <w:marTop w:val="0"/>
                      <w:marBottom w:val="0"/>
                      <w:divBdr>
                        <w:top w:val="none" w:sz="0" w:space="0" w:color="auto"/>
                        <w:left w:val="none" w:sz="0" w:space="0" w:color="auto"/>
                        <w:bottom w:val="none" w:sz="0" w:space="0" w:color="auto"/>
                        <w:right w:val="none" w:sz="0" w:space="0" w:color="auto"/>
                      </w:divBdr>
                    </w:div>
                  </w:divsChild>
                </w:div>
                <w:div w:id="1835683933">
                  <w:marLeft w:val="0"/>
                  <w:marRight w:val="0"/>
                  <w:marTop w:val="0"/>
                  <w:marBottom w:val="0"/>
                  <w:divBdr>
                    <w:top w:val="none" w:sz="0" w:space="0" w:color="auto"/>
                    <w:left w:val="none" w:sz="0" w:space="0" w:color="auto"/>
                    <w:bottom w:val="none" w:sz="0" w:space="0" w:color="auto"/>
                    <w:right w:val="none" w:sz="0" w:space="0" w:color="auto"/>
                  </w:divBdr>
                  <w:divsChild>
                    <w:div w:id="1585644730">
                      <w:marLeft w:val="0"/>
                      <w:marRight w:val="0"/>
                      <w:marTop w:val="0"/>
                      <w:marBottom w:val="0"/>
                      <w:divBdr>
                        <w:top w:val="none" w:sz="0" w:space="0" w:color="auto"/>
                        <w:left w:val="none" w:sz="0" w:space="0" w:color="auto"/>
                        <w:bottom w:val="none" w:sz="0" w:space="0" w:color="auto"/>
                        <w:right w:val="none" w:sz="0" w:space="0" w:color="auto"/>
                      </w:divBdr>
                    </w:div>
                  </w:divsChild>
                </w:div>
                <w:div w:id="1871726653">
                  <w:marLeft w:val="0"/>
                  <w:marRight w:val="0"/>
                  <w:marTop w:val="0"/>
                  <w:marBottom w:val="0"/>
                  <w:divBdr>
                    <w:top w:val="none" w:sz="0" w:space="0" w:color="auto"/>
                    <w:left w:val="none" w:sz="0" w:space="0" w:color="auto"/>
                    <w:bottom w:val="none" w:sz="0" w:space="0" w:color="auto"/>
                    <w:right w:val="none" w:sz="0" w:space="0" w:color="auto"/>
                  </w:divBdr>
                  <w:divsChild>
                    <w:div w:id="1498037725">
                      <w:marLeft w:val="0"/>
                      <w:marRight w:val="0"/>
                      <w:marTop w:val="0"/>
                      <w:marBottom w:val="0"/>
                      <w:divBdr>
                        <w:top w:val="none" w:sz="0" w:space="0" w:color="auto"/>
                        <w:left w:val="none" w:sz="0" w:space="0" w:color="auto"/>
                        <w:bottom w:val="none" w:sz="0" w:space="0" w:color="auto"/>
                        <w:right w:val="none" w:sz="0" w:space="0" w:color="auto"/>
                      </w:divBdr>
                    </w:div>
                  </w:divsChild>
                </w:div>
                <w:div w:id="1949391394">
                  <w:marLeft w:val="0"/>
                  <w:marRight w:val="0"/>
                  <w:marTop w:val="0"/>
                  <w:marBottom w:val="0"/>
                  <w:divBdr>
                    <w:top w:val="none" w:sz="0" w:space="0" w:color="auto"/>
                    <w:left w:val="none" w:sz="0" w:space="0" w:color="auto"/>
                    <w:bottom w:val="none" w:sz="0" w:space="0" w:color="auto"/>
                    <w:right w:val="none" w:sz="0" w:space="0" w:color="auto"/>
                  </w:divBdr>
                  <w:divsChild>
                    <w:div w:id="1297099502">
                      <w:marLeft w:val="0"/>
                      <w:marRight w:val="0"/>
                      <w:marTop w:val="0"/>
                      <w:marBottom w:val="0"/>
                      <w:divBdr>
                        <w:top w:val="none" w:sz="0" w:space="0" w:color="auto"/>
                        <w:left w:val="none" w:sz="0" w:space="0" w:color="auto"/>
                        <w:bottom w:val="none" w:sz="0" w:space="0" w:color="auto"/>
                        <w:right w:val="none" w:sz="0" w:space="0" w:color="auto"/>
                      </w:divBdr>
                    </w:div>
                  </w:divsChild>
                </w:div>
                <w:div w:id="1966690624">
                  <w:marLeft w:val="0"/>
                  <w:marRight w:val="0"/>
                  <w:marTop w:val="0"/>
                  <w:marBottom w:val="0"/>
                  <w:divBdr>
                    <w:top w:val="none" w:sz="0" w:space="0" w:color="auto"/>
                    <w:left w:val="none" w:sz="0" w:space="0" w:color="auto"/>
                    <w:bottom w:val="none" w:sz="0" w:space="0" w:color="auto"/>
                    <w:right w:val="none" w:sz="0" w:space="0" w:color="auto"/>
                  </w:divBdr>
                  <w:divsChild>
                    <w:div w:id="1762947603">
                      <w:marLeft w:val="0"/>
                      <w:marRight w:val="0"/>
                      <w:marTop w:val="0"/>
                      <w:marBottom w:val="0"/>
                      <w:divBdr>
                        <w:top w:val="none" w:sz="0" w:space="0" w:color="auto"/>
                        <w:left w:val="none" w:sz="0" w:space="0" w:color="auto"/>
                        <w:bottom w:val="none" w:sz="0" w:space="0" w:color="auto"/>
                        <w:right w:val="none" w:sz="0" w:space="0" w:color="auto"/>
                      </w:divBdr>
                    </w:div>
                  </w:divsChild>
                </w:div>
                <w:div w:id="1976837176">
                  <w:marLeft w:val="0"/>
                  <w:marRight w:val="0"/>
                  <w:marTop w:val="0"/>
                  <w:marBottom w:val="0"/>
                  <w:divBdr>
                    <w:top w:val="none" w:sz="0" w:space="0" w:color="auto"/>
                    <w:left w:val="none" w:sz="0" w:space="0" w:color="auto"/>
                    <w:bottom w:val="none" w:sz="0" w:space="0" w:color="auto"/>
                    <w:right w:val="none" w:sz="0" w:space="0" w:color="auto"/>
                  </w:divBdr>
                  <w:divsChild>
                    <w:div w:id="1251962253">
                      <w:marLeft w:val="0"/>
                      <w:marRight w:val="0"/>
                      <w:marTop w:val="0"/>
                      <w:marBottom w:val="0"/>
                      <w:divBdr>
                        <w:top w:val="none" w:sz="0" w:space="0" w:color="auto"/>
                        <w:left w:val="none" w:sz="0" w:space="0" w:color="auto"/>
                        <w:bottom w:val="none" w:sz="0" w:space="0" w:color="auto"/>
                        <w:right w:val="none" w:sz="0" w:space="0" w:color="auto"/>
                      </w:divBdr>
                    </w:div>
                  </w:divsChild>
                </w:div>
                <w:div w:id="2028943669">
                  <w:marLeft w:val="0"/>
                  <w:marRight w:val="0"/>
                  <w:marTop w:val="0"/>
                  <w:marBottom w:val="0"/>
                  <w:divBdr>
                    <w:top w:val="none" w:sz="0" w:space="0" w:color="auto"/>
                    <w:left w:val="none" w:sz="0" w:space="0" w:color="auto"/>
                    <w:bottom w:val="none" w:sz="0" w:space="0" w:color="auto"/>
                    <w:right w:val="none" w:sz="0" w:space="0" w:color="auto"/>
                  </w:divBdr>
                  <w:divsChild>
                    <w:div w:id="610167705">
                      <w:marLeft w:val="0"/>
                      <w:marRight w:val="0"/>
                      <w:marTop w:val="0"/>
                      <w:marBottom w:val="0"/>
                      <w:divBdr>
                        <w:top w:val="none" w:sz="0" w:space="0" w:color="auto"/>
                        <w:left w:val="none" w:sz="0" w:space="0" w:color="auto"/>
                        <w:bottom w:val="none" w:sz="0" w:space="0" w:color="auto"/>
                        <w:right w:val="none" w:sz="0" w:space="0" w:color="auto"/>
                      </w:divBdr>
                    </w:div>
                  </w:divsChild>
                </w:div>
                <w:div w:id="2063285789">
                  <w:marLeft w:val="0"/>
                  <w:marRight w:val="0"/>
                  <w:marTop w:val="0"/>
                  <w:marBottom w:val="0"/>
                  <w:divBdr>
                    <w:top w:val="none" w:sz="0" w:space="0" w:color="auto"/>
                    <w:left w:val="none" w:sz="0" w:space="0" w:color="auto"/>
                    <w:bottom w:val="none" w:sz="0" w:space="0" w:color="auto"/>
                    <w:right w:val="none" w:sz="0" w:space="0" w:color="auto"/>
                  </w:divBdr>
                  <w:divsChild>
                    <w:div w:id="621497796">
                      <w:marLeft w:val="0"/>
                      <w:marRight w:val="0"/>
                      <w:marTop w:val="0"/>
                      <w:marBottom w:val="0"/>
                      <w:divBdr>
                        <w:top w:val="none" w:sz="0" w:space="0" w:color="auto"/>
                        <w:left w:val="none" w:sz="0" w:space="0" w:color="auto"/>
                        <w:bottom w:val="none" w:sz="0" w:space="0" w:color="auto"/>
                        <w:right w:val="none" w:sz="0" w:space="0" w:color="auto"/>
                      </w:divBdr>
                    </w:div>
                  </w:divsChild>
                </w:div>
                <w:div w:id="2085494040">
                  <w:marLeft w:val="0"/>
                  <w:marRight w:val="0"/>
                  <w:marTop w:val="0"/>
                  <w:marBottom w:val="0"/>
                  <w:divBdr>
                    <w:top w:val="none" w:sz="0" w:space="0" w:color="auto"/>
                    <w:left w:val="none" w:sz="0" w:space="0" w:color="auto"/>
                    <w:bottom w:val="none" w:sz="0" w:space="0" w:color="auto"/>
                    <w:right w:val="none" w:sz="0" w:space="0" w:color="auto"/>
                  </w:divBdr>
                  <w:divsChild>
                    <w:div w:id="155727972">
                      <w:marLeft w:val="0"/>
                      <w:marRight w:val="0"/>
                      <w:marTop w:val="0"/>
                      <w:marBottom w:val="0"/>
                      <w:divBdr>
                        <w:top w:val="none" w:sz="0" w:space="0" w:color="auto"/>
                        <w:left w:val="none" w:sz="0" w:space="0" w:color="auto"/>
                        <w:bottom w:val="none" w:sz="0" w:space="0" w:color="auto"/>
                        <w:right w:val="none" w:sz="0" w:space="0" w:color="auto"/>
                      </w:divBdr>
                    </w:div>
                  </w:divsChild>
                </w:div>
                <w:div w:id="2103648429">
                  <w:marLeft w:val="0"/>
                  <w:marRight w:val="0"/>
                  <w:marTop w:val="0"/>
                  <w:marBottom w:val="0"/>
                  <w:divBdr>
                    <w:top w:val="none" w:sz="0" w:space="0" w:color="auto"/>
                    <w:left w:val="none" w:sz="0" w:space="0" w:color="auto"/>
                    <w:bottom w:val="none" w:sz="0" w:space="0" w:color="auto"/>
                    <w:right w:val="none" w:sz="0" w:space="0" w:color="auto"/>
                  </w:divBdr>
                  <w:divsChild>
                    <w:div w:id="124205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926">
          <w:marLeft w:val="0"/>
          <w:marRight w:val="0"/>
          <w:marTop w:val="0"/>
          <w:marBottom w:val="0"/>
          <w:divBdr>
            <w:top w:val="none" w:sz="0" w:space="0" w:color="auto"/>
            <w:left w:val="none" w:sz="0" w:space="0" w:color="auto"/>
            <w:bottom w:val="none" w:sz="0" w:space="0" w:color="auto"/>
            <w:right w:val="none" w:sz="0" w:space="0" w:color="auto"/>
          </w:divBdr>
        </w:div>
        <w:div w:id="2008172127">
          <w:marLeft w:val="0"/>
          <w:marRight w:val="0"/>
          <w:marTop w:val="0"/>
          <w:marBottom w:val="0"/>
          <w:divBdr>
            <w:top w:val="none" w:sz="0" w:space="0" w:color="auto"/>
            <w:left w:val="none" w:sz="0" w:space="0" w:color="auto"/>
            <w:bottom w:val="none" w:sz="0" w:space="0" w:color="auto"/>
            <w:right w:val="none" w:sz="0" w:space="0" w:color="auto"/>
          </w:divBdr>
        </w:div>
        <w:div w:id="2008555419">
          <w:marLeft w:val="0"/>
          <w:marRight w:val="0"/>
          <w:marTop w:val="0"/>
          <w:marBottom w:val="0"/>
          <w:divBdr>
            <w:top w:val="none" w:sz="0" w:space="0" w:color="auto"/>
            <w:left w:val="none" w:sz="0" w:space="0" w:color="auto"/>
            <w:bottom w:val="none" w:sz="0" w:space="0" w:color="auto"/>
            <w:right w:val="none" w:sz="0" w:space="0" w:color="auto"/>
          </w:divBdr>
          <w:divsChild>
            <w:div w:id="21979076">
              <w:marLeft w:val="0"/>
              <w:marRight w:val="0"/>
              <w:marTop w:val="0"/>
              <w:marBottom w:val="0"/>
              <w:divBdr>
                <w:top w:val="none" w:sz="0" w:space="0" w:color="auto"/>
                <w:left w:val="none" w:sz="0" w:space="0" w:color="auto"/>
                <w:bottom w:val="none" w:sz="0" w:space="0" w:color="auto"/>
                <w:right w:val="none" w:sz="0" w:space="0" w:color="auto"/>
              </w:divBdr>
            </w:div>
          </w:divsChild>
        </w:div>
        <w:div w:id="2015958694">
          <w:marLeft w:val="0"/>
          <w:marRight w:val="0"/>
          <w:marTop w:val="0"/>
          <w:marBottom w:val="0"/>
          <w:divBdr>
            <w:top w:val="none" w:sz="0" w:space="0" w:color="auto"/>
            <w:left w:val="none" w:sz="0" w:space="0" w:color="auto"/>
            <w:bottom w:val="none" w:sz="0" w:space="0" w:color="auto"/>
            <w:right w:val="none" w:sz="0" w:space="0" w:color="auto"/>
          </w:divBdr>
        </w:div>
        <w:div w:id="2017076300">
          <w:marLeft w:val="0"/>
          <w:marRight w:val="0"/>
          <w:marTop w:val="0"/>
          <w:marBottom w:val="0"/>
          <w:divBdr>
            <w:top w:val="none" w:sz="0" w:space="0" w:color="auto"/>
            <w:left w:val="none" w:sz="0" w:space="0" w:color="auto"/>
            <w:bottom w:val="none" w:sz="0" w:space="0" w:color="auto"/>
            <w:right w:val="none" w:sz="0" w:space="0" w:color="auto"/>
          </w:divBdr>
          <w:divsChild>
            <w:div w:id="44065043">
              <w:marLeft w:val="0"/>
              <w:marRight w:val="0"/>
              <w:marTop w:val="0"/>
              <w:marBottom w:val="0"/>
              <w:divBdr>
                <w:top w:val="none" w:sz="0" w:space="0" w:color="auto"/>
                <w:left w:val="none" w:sz="0" w:space="0" w:color="auto"/>
                <w:bottom w:val="none" w:sz="0" w:space="0" w:color="auto"/>
                <w:right w:val="none" w:sz="0" w:space="0" w:color="auto"/>
              </w:divBdr>
            </w:div>
            <w:div w:id="255360219">
              <w:marLeft w:val="0"/>
              <w:marRight w:val="0"/>
              <w:marTop w:val="0"/>
              <w:marBottom w:val="0"/>
              <w:divBdr>
                <w:top w:val="none" w:sz="0" w:space="0" w:color="auto"/>
                <w:left w:val="none" w:sz="0" w:space="0" w:color="auto"/>
                <w:bottom w:val="none" w:sz="0" w:space="0" w:color="auto"/>
                <w:right w:val="none" w:sz="0" w:space="0" w:color="auto"/>
              </w:divBdr>
            </w:div>
            <w:div w:id="723023870">
              <w:marLeft w:val="0"/>
              <w:marRight w:val="0"/>
              <w:marTop w:val="0"/>
              <w:marBottom w:val="0"/>
              <w:divBdr>
                <w:top w:val="none" w:sz="0" w:space="0" w:color="auto"/>
                <w:left w:val="none" w:sz="0" w:space="0" w:color="auto"/>
                <w:bottom w:val="none" w:sz="0" w:space="0" w:color="auto"/>
                <w:right w:val="none" w:sz="0" w:space="0" w:color="auto"/>
              </w:divBdr>
            </w:div>
            <w:div w:id="1290937104">
              <w:marLeft w:val="0"/>
              <w:marRight w:val="0"/>
              <w:marTop w:val="0"/>
              <w:marBottom w:val="0"/>
              <w:divBdr>
                <w:top w:val="none" w:sz="0" w:space="0" w:color="auto"/>
                <w:left w:val="none" w:sz="0" w:space="0" w:color="auto"/>
                <w:bottom w:val="none" w:sz="0" w:space="0" w:color="auto"/>
                <w:right w:val="none" w:sz="0" w:space="0" w:color="auto"/>
              </w:divBdr>
            </w:div>
            <w:div w:id="2113082860">
              <w:marLeft w:val="0"/>
              <w:marRight w:val="0"/>
              <w:marTop w:val="0"/>
              <w:marBottom w:val="0"/>
              <w:divBdr>
                <w:top w:val="none" w:sz="0" w:space="0" w:color="auto"/>
                <w:left w:val="none" w:sz="0" w:space="0" w:color="auto"/>
                <w:bottom w:val="none" w:sz="0" w:space="0" w:color="auto"/>
                <w:right w:val="none" w:sz="0" w:space="0" w:color="auto"/>
              </w:divBdr>
            </w:div>
            <w:div w:id="2115054981">
              <w:marLeft w:val="0"/>
              <w:marRight w:val="0"/>
              <w:marTop w:val="0"/>
              <w:marBottom w:val="0"/>
              <w:divBdr>
                <w:top w:val="none" w:sz="0" w:space="0" w:color="auto"/>
                <w:left w:val="none" w:sz="0" w:space="0" w:color="auto"/>
                <w:bottom w:val="none" w:sz="0" w:space="0" w:color="auto"/>
                <w:right w:val="none" w:sz="0" w:space="0" w:color="auto"/>
              </w:divBdr>
            </w:div>
          </w:divsChild>
        </w:div>
        <w:div w:id="2026517434">
          <w:marLeft w:val="0"/>
          <w:marRight w:val="0"/>
          <w:marTop w:val="0"/>
          <w:marBottom w:val="0"/>
          <w:divBdr>
            <w:top w:val="none" w:sz="0" w:space="0" w:color="auto"/>
            <w:left w:val="none" w:sz="0" w:space="0" w:color="auto"/>
            <w:bottom w:val="none" w:sz="0" w:space="0" w:color="auto"/>
            <w:right w:val="none" w:sz="0" w:space="0" w:color="auto"/>
          </w:divBdr>
          <w:divsChild>
            <w:div w:id="164903738">
              <w:marLeft w:val="0"/>
              <w:marRight w:val="0"/>
              <w:marTop w:val="0"/>
              <w:marBottom w:val="0"/>
              <w:divBdr>
                <w:top w:val="none" w:sz="0" w:space="0" w:color="auto"/>
                <w:left w:val="none" w:sz="0" w:space="0" w:color="auto"/>
                <w:bottom w:val="none" w:sz="0" w:space="0" w:color="auto"/>
                <w:right w:val="none" w:sz="0" w:space="0" w:color="auto"/>
              </w:divBdr>
            </w:div>
            <w:div w:id="423650524">
              <w:marLeft w:val="0"/>
              <w:marRight w:val="0"/>
              <w:marTop w:val="0"/>
              <w:marBottom w:val="0"/>
              <w:divBdr>
                <w:top w:val="none" w:sz="0" w:space="0" w:color="auto"/>
                <w:left w:val="none" w:sz="0" w:space="0" w:color="auto"/>
                <w:bottom w:val="none" w:sz="0" w:space="0" w:color="auto"/>
                <w:right w:val="none" w:sz="0" w:space="0" w:color="auto"/>
              </w:divBdr>
            </w:div>
            <w:div w:id="779688143">
              <w:marLeft w:val="0"/>
              <w:marRight w:val="0"/>
              <w:marTop w:val="0"/>
              <w:marBottom w:val="0"/>
              <w:divBdr>
                <w:top w:val="none" w:sz="0" w:space="0" w:color="auto"/>
                <w:left w:val="none" w:sz="0" w:space="0" w:color="auto"/>
                <w:bottom w:val="none" w:sz="0" w:space="0" w:color="auto"/>
                <w:right w:val="none" w:sz="0" w:space="0" w:color="auto"/>
              </w:divBdr>
            </w:div>
            <w:div w:id="897284197">
              <w:marLeft w:val="0"/>
              <w:marRight w:val="0"/>
              <w:marTop w:val="0"/>
              <w:marBottom w:val="0"/>
              <w:divBdr>
                <w:top w:val="none" w:sz="0" w:space="0" w:color="auto"/>
                <w:left w:val="none" w:sz="0" w:space="0" w:color="auto"/>
                <w:bottom w:val="none" w:sz="0" w:space="0" w:color="auto"/>
                <w:right w:val="none" w:sz="0" w:space="0" w:color="auto"/>
              </w:divBdr>
            </w:div>
            <w:div w:id="1055348196">
              <w:marLeft w:val="0"/>
              <w:marRight w:val="0"/>
              <w:marTop w:val="0"/>
              <w:marBottom w:val="0"/>
              <w:divBdr>
                <w:top w:val="none" w:sz="0" w:space="0" w:color="auto"/>
                <w:left w:val="none" w:sz="0" w:space="0" w:color="auto"/>
                <w:bottom w:val="none" w:sz="0" w:space="0" w:color="auto"/>
                <w:right w:val="none" w:sz="0" w:space="0" w:color="auto"/>
              </w:divBdr>
            </w:div>
            <w:div w:id="1429691808">
              <w:marLeft w:val="0"/>
              <w:marRight w:val="0"/>
              <w:marTop w:val="0"/>
              <w:marBottom w:val="0"/>
              <w:divBdr>
                <w:top w:val="none" w:sz="0" w:space="0" w:color="auto"/>
                <w:left w:val="none" w:sz="0" w:space="0" w:color="auto"/>
                <w:bottom w:val="none" w:sz="0" w:space="0" w:color="auto"/>
                <w:right w:val="none" w:sz="0" w:space="0" w:color="auto"/>
              </w:divBdr>
            </w:div>
            <w:div w:id="1623878124">
              <w:marLeft w:val="0"/>
              <w:marRight w:val="0"/>
              <w:marTop w:val="0"/>
              <w:marBottom w:val="0"/>
              <w:divBdr>
                <w:top w:val="none" w:sz="0" w:space="0" w:color="auto"/>
                <w:left w:val="none" w:sz="0" w:space="0" w:color="auto"/>
                <w:bottom w:val="none" w:sz="0" w:space="0" w:color="auto"/>
                <w:right w:val="none" w:sz="0" w:space="0" w:color="auto"/>
              </w:divBdr>
            </w:div>
            <w:div w:id="1934320857">
              <w:marLeft w:val="0"/>
              <w:marRight w:val="0"/>
              <w:marTop w:val="0"/>
              <w:marBottom w:val="0"/>
              <w:divBdr>
                <w:top w:val="none" w:sz="0" w:space="0" w:color="auto"/>
                <w:left w:val="none" w:sz="0" w:space="0" w:color="auto"/>
                <w:bottom w:val="none" w:sz="0" w:space="0" w:color="auto"/>
                <w:right w:val="none" w:sz="0" w:space="0" w:color="auto"/>
              </w:divBdr>
            </w:div>
            <w:div w:id="2074083500">
              <w:marLeft w:val="0"/>
              <w:marRight w:val="0"/>
              <w:marTop w:val="0"/>
              <w:marBottom w:val="0"/>
              <w:divBdr>
                <w:top w:val="none" w:sz="0" w:space="0" w:color="auto"/>
                <w:left w:val="none" w:sz="0" w:space="0" w:color="auto"/>
                <w:bottom w:val="none" w:sz="0" w:space="0" w:color="auto"/>
                <w:right w:val="none" w:sz="0" w:space="0" w:color="auto"/>
              </w:divBdr>
            </w:div>
          </w:divsChild>
        </w:div>
        <w:div w:id="2031445021">
          <w:marLeft w:val="0"/>
          <w:marRight w:val="0"/>
          <w:marTop w:val="0"/>
          <w:marBottom w:val="0"/>
          <w:divBdr>
            <w:top w:val="none" w:sz="0" w:space="0" w:color="auto"/>
            <w:left w:val="none" w:sz="0" w:space="0" w:color="auto"/>
            <w:bottom w:val="none" w:sz="0" w:space="0" w:color="auto"/>
            <w:right w:val="none" w:sz="0" w:space="0" w:color="auto"/>
          </w:divBdr>
          <w:divsChild>
            <w:div w:id="3290774">
              <w:marLeft w:val="0"/>
              <w:marRight w:val="0"/>
              <w:marTop w:val="0"/>
              <w:marBottom w:val="0"/>
              <w:divBdr>
                <w:top w:val="none" w:sz="0" w:space="0" w:color="auto"/>
                <w:left w:val="none" w:sz="0" w:space="0" w:color="auto"/>
                <w:bottom w:val="none" w:sz="0" w:space="0" w:color="auto"/>
                <w:right w:val="none" w:sz="0" w:space="0" w:color="auto"/>
              </w:divBdr>
            </w:div>
            <w:div w:id="191185155">
              <w:marLeft w:val="0"/>
              <w:marRight w:val="0"/>
              <w:marTop w:val="0"/>
              <w:marBottom w:val="0"/>
              <w:divBdr>
                <w:top w:val="none" w:sz="0" w:space="0" w:color="auto"/>
                <w:left w:val="none" w:sz="0" w:space="0" w:color="auto"/>
                <w:bottom w:val="none" w:sz="0" w:space="0" w:color="auto"/>
                <w:right w:val="none" w:sz="0" w:space="0" w:color="auto"/>
              </w:divBdr>
            </w:div>
            <w:div w:id="320888018">
              <w:marLeft w:val="0"/>
              <w:marRight w:val="0"/>
              <w:marTop w:val="0"/>
              <w:marBottom w:val="0"/>
              <w:divBdr>
                <w:top w:val="none" w:sz="0" w:space="0" w:color="auto"/>
                <w:left w:val="none" w:sz="0" w:space="0" w:color="auto"/>
                <w:bottom w:val="none" w:sz="0" w:space="0" w:color="auto"/>
                <w:right w:val="none" w:sz="0" w:space="0" w:color="auto"/>
              </w:divBdr>
            </w:div>
            <w:div w:id="450907300">
              <w:marLeft w:val="0"/>
              <w:marRight w:val="0"/>
              <w:marTop w:val="0"/>
              <w:marBottom w:val="0"/>
              <w:divBdr>
                <w:top w:val="none" w:sz="0" w:space="0" w:color="auto"/>
                <w:left w:val="none" w:sz="0" w:space="0" w:color="auto"/>
                <w:bottom w:val="none" w:sz="0" w:space="0" w:color="auto"/>
                <w:right w:val="none" w:sz="0" w:space="0" w:color="auto"/>
              </w:divBdr>
            </w:div>
            <w:div w:id="866286297">
              <w:marLeft w:val="0"/>
              <w:marRight w:val="0"/>
              <w:marTop w:val="0"/>
              <w:marBottom w:val="0"/>
              <w:divBdr>
                <w:top w:val="none" w:sz="0" w:space="0" w:color="auto"/>
                <w:left w:val="none" w:sz="0" w:space="0" w:color="auto"/>
                <w:bottom w:val="none" w:sz="0" w:space="0" w:color="auto"/>
                <w:right w:val="none" w:sz="0" w:space="0" w:color="auto"/>
              </w:divBdr>
            </w:div>
            <w:div w:id="970401116">
              <w:marLeft w:val="0"/>
              <w:marRight w:val="0"/>
              <w:marTop w:val="0"/>
              <w:marBottom w:val="0"/>
              <w:divBdr>
                <w:top w:val="none" w:sz="0" w:space="0" w:color="auto"/>
                <w:left w:val="none" w:sz="0" w:space="0" w:color="auto"/>
                <w:bottom w:val="none" w:sz="0" w:space="0" w:color="auto"/>
                <w:right w:val="none" w:sz="0" w:space="0" w:color="auto"/>
              </w:divBdr>
            </w:div>
            <w:div w:id="1100223669">
              <w:marLeft w:val="0"/>
              <w:marRight w:val="0"/>
              <w:marTop w:val="0"/>
              <w:marBottom w:val="0"/>
              <w:divBdr>
                <w:top w:val="none" w:sz="0" w:space="0" w:color="auto"/>
                <w:left w:val="none" w:sz="0" w:space="0" w:color="auto"/>
                <w:bottom w:val="none" w:sz="0" w:space="0" w:color="auto"/>
                <w:right w:val="none" w:sz="0" w:space="0" w:color="auto"/>
              </w:divBdr>
            </w:div>
            <w:div w:id="1183127351">
              <w:marLeft w:val="0"/>
              <w:marRight w:val="0"/>
              <w:marTop w:val="0"/>
              <w:marBottom w:val="0"/>
              <w:divBdr>
                <w:top w:val="none" w:sz="0" w:space="0" w:color="auto"/>
                <w:left w:val="none" w:sz="0" w:space="0" w:color="auto"/>
                <w:bottom w:val="none" w:sz="0" w:space="0" w:color="auto"/>
                <w:right w:val="none" w:sz="0" w:space="0" w:color="auto"/>
              </w:divBdr>
            </w:div>
            <w:div w:id="1296065694">
              <w:marLeft w:val="0"/>
              <w:marRight w:val="0"/>
              <w:marTop w:val="0"/>
              <w:marBottom w:val="0"/>
              <w:divBdr>
                <w:top w:val="none" w:sz="0" w:space="0" w:color="auto"/>
                <w:left w:val="none" w:sz="0" w:space="0" w:color="auto"/>
                <w:bottom w:val="none" w:sz="0" w:space="0" w:color="auto"/>
                <w:right w:val="none" w:sz="0" w:space="0" w:color="auto"/>
              </w:divBdr>
            </w:div>
            <w:div w:id="1837071410">
              <w:marLeft w:val="0"/>
              <w:marRight w:val="0"/>
              <w:marTop w:val="0"/>
              <w:marBottom w:val="0"/>
              <w:divBdr>
                <w:top w:val="none" w:sz="0" w:space="0" w:color="auto"/>
                <w:left w:val="none" w:sz="0" w:space="0" w:color="auto"/>
                <w:bottom w:val="none" w:sz="0" w:space="0" w:color="auto"/>
                <w:right w:val="none" w:sz="0" w:space="0" w:color="auto"/>
              </w:divBdr>
            </w:div>
          </w:divsChild>
        </w:div>
        <w:div w:id="2033453293">
          <w:marLeft w:val="0"/>
          <w:marRight w:val="0"/>
          <w:marTop w:val="0"/>
          <w:marBottom w:val="0"/>
          <w:divBdr>
            <w:top w:val="none" w:sz="0" w:space="0" w:color="auto"/>
            <w:left w:val="none" w:sz="0" w:space="0" w:color="auto"/>
            <w:bottom w:val="none" w:sz="0" w:space="0" w:color="auto"/>
            <w:right w:val="none" w:sz="0" w:space="0" w:color="auto"/>
          </w:divBdr>
        </w:div>
        <w:div w:id="2068141519">
          <w:marLeft w:val="0"/>
          <w:marRight w:val="0"/>
          <w:marTop w:val="0"/>
          <w:marBottom w:val="0"/>
          <w:divBdr>
            <w:top w:val="none" w:sz="0" w:space="0" w:color="auto"/>
            <w:left w:val="none" w:sz="0" w:space="0" w:color="auto"/>
            <w:bottom w:val="none" w:sz="0" w:space="0" w:color="auto"/>
            <w:right w:val="none" w:sz="0" w:space="0" w:color="auto"/>
          </w:divBdr>
        </w:div>
        <w:div w:id="2076203282">
          <w:marLeft w:val="0"/>
          <w:marRight w:val="0"/>
          <w:marTop w:val="0"/>
          <w:marBottom w:val="0"/>
          <w:divBdr>
            <w:top w:val="none" w:sz="0" w:space="0" w:color="auto"/>
            <w:left w:val="none" w:sz="0" w:space="0" w:color="auto"/>
            <w:bottom w:val="none" w:sz="0" w:space="0" w:color="auto"/>
            <w:right w:val="none" w:sz="0" w:space="0" w:color="auto"/>
          </w:divBdr>
          <w:divsChild>
            <w:div w:id="694424981">
              <w:marLeft w:val="-75"/>
              <w:marRight w:val="0"/>
              <w:marTop w:val="30"/>
              <w:marBottom w:val="30"/>
              <w:divBdr>
                <w:top w:val="none" w:sz="0" w:space="0" w:color="auto"/>
                <w:left w:val="none" w:sz="0" w:space="0" w:color="auto"/>
                <w:bottom w:val="none" w:sz="0" w:space="0" w:color="auto"/>
                <w:right w:val="none" w:sz="0" w:space="0" w:color="auto"/>
              </w:divBdr>
              <w:divsChild>
                <w:div w:id="449250980">
                  <w:marLeft w:val="0"/>
                  <w:marRight w:val="0"/>
                  <w:marTop w:val="0"/>
                  <w:marBottom w:val="0"/>
                  <w:divBdr>
                    <w:top w:val="none" w:sz="0" w:space="0" w:color="auto"/>
                    <w:left w:val="none" w:sz="0" w:space="0" w:color="auto"/>
                    <w:bottom w:val="none" w:sz="0" w:space="0" w:color="auto"/>
                    <w:right w:val="none" w:sz="0" w:space="0" w:color="auto"/>
                  </w:divBdr>
                  <w:divsChild>
                    <w:div w:id="543905225">
                      <w:marLeft w:val="0"/>
                      <w:marRight w:val="0"/>
                      <w:marTop w:val="0"/>
                      <w:marBottom w:val="0"/>
                      <w:divBdr>
                        <w:top w:val="none" w:sz="0" w:space="0" w:color="auto"/>
                        <w:left w:val="none" w:sz="0" w:space="0" w:color="auto"/>
                        <w:bottom w:val="none" w:sz="0" w:space="0" w:color="auto"/>
                        <w:right w:val="none" w:sz="0" w:space="0" w:color="auto"/>
                      </w:divBdr>
                    </w:div>
                  </w:divsChild>
                </w:div>
                <w:div w:id="462776557">
                  <w:marLeft w:val="0"/>
                  <w:marRight w:val="0"/>
                  <w:marTop w:val="0"/>
                  <w:marBottom w:val="0"/>
                  <w:divBdr>
                    <w:top w:val="none" w:sz="0" w:space="0" w:color="auto"/>
                    <w:left w:val="none" w:sz="0" w:space="0" w:color="auto"/>
                    <w:bottom w:val="none" w:sz="0" w:space="0" w:color="auto"/>
                    <w:right w:val="none" w:sz="0" w:space="0" w:color="auto"/>
                  </w:divBdr>
                  <w:divsChild>
                    <w:div w:id="1948004980">
                      <w:marLeft w:val="0"/>
                      <w:marRight w:val="0"/>
                      <w:marTop w:val="0"/>
                      <w:marBottom w:val="0"/>
                      <w:divBdr>
                        <w:top w:val="none" w:sz="0" w:space="0" w:color="auto"/>
                        <w:left w:val="none" w:sz="0" w:space="0" w:color="auto"/>
                        <w:bottom w:val="none" w:sz="0" w:space="0" w:color="auto"/>
                        <w:right w:val="none" w:sz="0" w:space="0" w:color="auto"/>
                      </w:divBdr>
                    </w:div>
                  </w:divsChild>
                </w:div>
                <w:div w:id="487407785">
                  <w:marLeft w:val="0"/>
                  <w:marRight w:val="0"/>
                  <w:marTop w:val="0"/>
                  <w:marBottom w:val="0"/>
                  <w:divBdr>
                    <w:top w:val="none" w:sz="0" w:space="0" w:color="auto"/>
                    <w:left w:val="none" w:sz="0" w:space="0" w:color="auto"/>
                    <w:bottom w:val="none" w:sz="0" w:space="0" w:color="auto"/>
                    <w:right w:val="none" w:sz="0" w:space="0" w:color="auto"/>
                  </w:divBdr>
                  <w:divsChild>
                    <w:div w:id="1891653152">
                      <w:marLeft w:val="0"/>
                      <w:marRight w:val="0"/>
                      <w:marTop w:val="0"/>
                      <w:marBottom w:val="0"/>
                      <w:divBdr>
                        <w:top w:val="none" w:sz="0" w:space="0" w:color="auto"/>
                        <w:left w:val="none" w:sz="0" w:space="0" w:color="auto"/>
                        <w:bottom w:val="none" w:sz="0" w:space="0" w:color="auto"/>
                        <w:right w:val="none" w:sz="0" w:space="0" w:color="auto"/>
                      </w:divBdr>
                    </w:div>
                  </w:divsChild>
                </w:div>
                <w:div w:id="686951862">
                  <w:marLeft w:val="0"/>
                  <w:marRight w:val="0"/>
                  <w:marTop w:val="0"/>
                  <w:marBottom w:val="0"/>
                  <w:divBdr>
                    <w:top w:val="none" w:sz="0" w:space="0" w:color="auto"/>
                    <w:left w:val="none" w:sz="0" w:space="0" w:color="auto"/>
                    <w:bottom w:val="none" w:sz="0" w:space="0" w:color="auto"/>
                    <w:right w:val="none" w:sz="0" w:space="0" w:color="auto"/>
                  </w:divBdr>
                  <w:divsChild>
                    <w:div w:id="603224253">
                      <w:marLeft w:val="0"/>
                      <w:marRight w:val="0"/>
                      <w:marTop w:val="0"/>
                      <w:marBottom w:val="0"/>
                      <w:divBdr>
                        <w:top w:val="none" w:sz="0" w:space="0" w:color="auto"/>
                        <w:left w:val="none" w:sz="0" w:space="0" w:color="auto"/>
                        <w:bottom w:val="none" w:sz="0" w:space="0" w:color="auto"/>
                        <w:right w:val="none" w:sz="0" w:space="0" w:color="auto"/>
                      </w:divBdr>
                    </w:div>
                  </w:divsChild>
                </w:div>
                <w:div w:id="703360263">
                  <w:marLeft w:val="0"/>
                  <w:marRight w:val="0"/>
                  <w:marTop w:val="0"/>
                  <w:marBottom w:val="0"/>
                  <w:divBdr>
                    <w:top w:val="none" w:sz="0" w:space="0" w:color="auto"/>
                    <w:left w:val="none" w:sz="0" w:space="0" w:color="auto"/>
                    <w:bottom w:val="none" w:sz="0" w:space="0" w:color="auto"/>
                    <w:right w:val="none" w:sz="0" w:space="0" w:color="auto"/>
                  </w:divBdr>
                  <w:divsChild>
                    <w:div w:id="1344553943">
                      <w:marLeft w:val="0"/>
                      <w:marRight w:val="0"/>
                      <w:marTop w:val="0"/>
                      <w:marBottom w:val="0"/>
                      <w:divBdr>
                        <w:top w:val="none" w:sz="0" w:space="0" w:color="auto"/>
                        <w:left w:val="none" w:sz="0" w:space="0" w:color="auto"/>
                        <w:bottom w:val="none" w:sz="0" w:space="0" w:color="auto"/>
                        <w:right w:val="none" w:sz="0" w:space="0" w:color="auto"/>
                      </w:divBdr>
                    </w:div>
                  </w:divsChild>
                </w:div>
                <w:div w:id="858935397">
                  <w:marLeft w:val="0"/>
                  <w:marRight w:val="0"/>
                  <w:marTop w:val="0"/>
                  <w:marBottom w:val="0"/>
                  <w:divBdr>
                    <w:top w:val="none" w:sz="0" w:space="0" w:color="auto"/>
                    <w:left w:val="none" w:sz="0" w:space="0" w:color="auto"/>
                    <w:bottom w:val="none" w:sz="0" w:space="0" w:color="auto"/>
                    <w:right w:val="none" w:sz="0" w:space="0" w:color="auto"/>
                  </w:divBdr>
                  <w:divsChild>
                    <w:div w:id="128517345">
                      <w:marLeft w:val="0"/>
                      <w:marRight w:val="0"/>
                      <w:marTop w:val="0"/>
                      <w:marBottom w:val="0"/>
                      <w:divBdr>
                        <w:top w:val="none" w:sz="0" w:space="0" w:color="auto"/>
                        <w:left w:val="none" w:sz="0" w:space="0" w:color="auto"/>
                        <w:bottom w:val="none" w:sz="0" w:space="0" w:color="auto"/>
                        <w:right w:val="none" w:sz="0" w:space="0" w:color="auto"/>
                      </w:divBdr>
                    </w:div>
                  </w:divsChild>
                </w:div>
                <w:div w:id="1206599277">
                  <w:marLeft w:val="0"/>
                  <w:marRight w:val="0"/>
                  <w:marTop w:val="0"/>
                  <w:marBottom w:val="0"/>
                  <w:divBdr>
                    <w:top w:val="none" w:sz="0" w:space="0" w:color="auto"/>
                    <w:left w:val="none" w:sz="0" w:space="0" w:color="auto"/>
                    <w:bottom w:val="none" w:sz="0" w:space="0" w:color="auto"/>
                    <w:right w:val="none" w:sz="0" w:space="0" w:color="auto"/>
                  </w:divBdr>
                  <w:divsChild>
                    <w:div w:id="51126543">
                      <w:marLeft w:val="0"/>
                      <w:marRight w:val="0"/>
                      <w:marTop w:val="0"/>
                      <w:marBottom w:val="0"/>
                      <w:divBdr>
                        <w:top w:val="none" w:sz="0" w:space="0" w:color="auto"/>
                        <w:left w:val="none" w:sz="0" w:space="0" w:color="auto"/>
                        <w:bottom w:val="none" w:sz="0" w:space="0" w:color="auto"/>
                        <w:right w:val="none" w:sz="0" w:space="0" w:color="auto"/>
                      </w:divBdr>
                    </w:div>
                  </w:divsChild>
                </w:div>
                <w:div w:id="1220281727">
                  <w:marLeft w:val="0"/>
                  <w:marRight w:val="0"/>
                  <w:marTop w:val="0"/>
                  <w:marBottom w:val="0"/>
                  <w:divBdr>
                    <w:top w:val="none" w:sz="0" w:space="0" w:color="auto"/>
                    <w:left w:val="none" w:sz="0" w:space="0" w:color="auto"/>
                    <w:bottom w:val="none" w:sz="0" w:space="0" w:color="auto"/>
                    <w:right w:val="none" w:sz="0" w:space="0" w:color="auto"/>
                  </w:divBdr>
                  <w:divsChild>
                    <w:div w:id="1288660687">
                      <w:marLeft w:val="0"/>
                      <w:marRight w:val="0"/>
                      <w:marTop w:val="0"/>
                      <w:marBottom w:val="0"/>
                      <w:divBdr>
                        <w:top w:val="none" w:sz="0" w:space="0" w:color="auto"/>
                        <w:left w:val="none" w:sz="0" w:space="0" w:color="auto"/>
                        <w:bottom w:val="none" w:sz="0" w:space="0" w:color="auto"/>
                        <w:right w:val="none" w:sz="0" w:space="0" w:color="auto"/>
                      </w:divBdr>
                    </w:div>
                  </w:divsChild>
                </w:div>
                <w:div w:id="1645699215">
                  <w:marLeft w:val="0"/>
                  <w:marRight w:val="0"/>
                  <w:marTop w:val="0"/>
                  <w:marBottom w:val="0"/>
                  <w:divBdr>
                    <w:top w:val="none" w:sz="0" w:space="0" w:color="auto"/>
                    <w:left w:val="none" w:sz="0" w:space="0" w:color="auto"/>
                    <w:bottom w:val="none" w:sz="0" w:space="0" w:color="auto"/>
                    <w:right w:val="none" w:sz="0" w:space="0" w:color="auto"/>
                  </w:divBdr>
                  <w:divsChild>
                    <w:div w:id="1018047026">
                      <w:marLeft w:val="0"/>
                      <w:marRight w:val="0"/>
                      <w:marTop w:val="0"/>
                      <w:marBottom w:val="0"/>
                      <w:divBdr>
                        <w:top w:val="none" w:sz="0" w:space="0" w:color="auto"/>
                        <w:left w:val="none" w:sz="0" w:space="0" w:color="auto"/>
                        <w:bottom w:val="none" w:sz="0" w:space="0" w:color="auto"/>
                        <w:right w:val="none" w:sz="0" w:space="0" w:color="auto"/>
                      </w:divBdr>
                    </w:div>
                  </w:divsChild>
                </w:div>
                <w:div w:id="1652636212">
                  <w:marLeft w:val="0"/>
                  <w:marRight w:val="0"/>
                  <w:marTop w:val="0"/>
                  <w:marBottom w:val="0"/>
                  <w:divBdr>
                    <w:top w:val="none" w:sz="0" w:space="0" w:color="auto"/>
                    <w:left w:val="none" w:sz="0" w:space="0" w:color="auto"/>
                    <w:bottom w:val="none" w:sz="0" w:space="0" w:color="auto"/>
                    <w:right w:val="none" w:sz="0" w:space="0" w:color="auto"/>
                  </w:divBdr>
                  <w:divsChild>
                    <w:div w:id="1421759660">
                      <w:marLeft w:val="0"/>
                      <w:marRight w:val="0"/>
                      <w:marTop w:val="0"/>
                      <w:marBottom w:val="0"/>
                      <w:divBdr>
                        <w:top w:val="none" w:sz="0" w:space="0" w:color="auto"/>
                        <w:left w:val="none" w:sz="0" w:space="0" w:color="auto"/>
                        <w:bottom w:val="none" w:sz="0" w:space="0" w:color="auto"/>
                        <w:right w:val="none" w:sz="0" w:space="0" w:color="auto"/>
                      </w:divBdr>
                    </w:div>
                  </w:divsChild>
                </w:div>
                <w:div w:id="1677145762">
                  <w:marLeft w:val="0"/>
                  <w:marRight w:val="0"/>
                  <w:marTop w:val="0"/>
                  <w:marBottom w:val="0"/>
                  <w:divBdr>
                    <w:top w:val="none" w:sz="0" w:space="0" w:color="auto"/>
                    <w:left w:val="none" w:sz="0" w:space="0" w:color="auto"/>
                    <w:bottom w:val="none" w:sz="0" w:space="0" w:color="auto"/>
                    <w:right w:val="none" w:sz="0" w:space="0" w:color="auto"/>
                  </w:divBdr>
                  <w:divsChild>
                    <w:div w:id="1457874747">
                      <w:marLeft w:val="0"/>
                      <w:marRight w:val="0"/>
                      <w:marTop w:val="0"/>
                      <w:marBottom w:val="0"/>
                      <w:divBdr>
                        <w:top w:val="none" w:sz="0" w:space="0" w:color="auto"/>
                        <w:left w:val="none" w:sz="0" w:space="0" w:color="auto"/>
                        <w:bottom w:val="none" w:sz="0" w:space="0" w:color="auto"/>
                        <w:right w:val="none" w:sz="0" w:space="0" w:color="auto"/>
                      </w:divBdr>
                    </w:div>
                  </w:divsChild>
                </w:div>
                <w:div w:id="2004160641">
                  <w:marLeft w:val="0"/>
                  <w:marRight w:val="0"/>
                  <w:marTop w:val="0"/>
                  <w:marBottom w:val="0"/>
                  <w:divBdr>
                    <w:top w:val="none" w:sz="0" w:space="0" w:color="auto"/>
                    <w:left w:val="none" w:sz="0" w:space="0" w:color="auto"/>
                    <w:bottom w:val="none" w:sz="0" w:space="0" w:color="auto"/>
                    <w:right w:val="none" w:sz="0" w:space="0" w:color="auto"/>
                  </w:divBdr>
                  <w:divsChild>
                    <w:div w:id="1318873482">
                      <w:marLeft w:val="0"/>
                      <w:marRight w:val="0"/>
                      <w:marTop w:val="0"/>
                      <w:marBottom w:val="0"/>
                      <w:divBdr>
                        <w:top w:val="none" w:sz="0" w:space="0" w:color="auto"/>
                        <w:left w:val="none" w:sz="0" w:space="0" w:color="auto"/>
                        <w:bottom w:val="none" w:sz="0" w:space="0" w:color="auto"/>
                        <w:right w:val="none" w:sz="0" w:space="0" w:color="auto"/>
                      </w:divBdr>
                    </w:div>
                  </w:divsChild>
                </w:div>
                <w:div w:id="2117823124">
                  <w:marLeft w:val="0"/>
                  <w:marRight w:val="0"/>
                  <w:marTop w:val="0"/>
                  <w:marBottom w:val="0"/>
                  <w:divBdr>
                    <w:top w:val="none" w:sz="0" w:space="0" w:color="auto"/>
                    <w:left w:val="none" w:sz="0" w:space="0" w:color="auto"/>
                    <w:bottom w:val="none" w:sz="0" w:space="0" w:color="auto"/>
                    <w:right w:val="none" w:sz="0" w:space="0" w:color="auto"/>
                  </w:divBdr>
                  <w:divsChild>
                    <w:div w:id="34401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086120">
          <w:marLeft w:val="0"/>
          <w:marRight w:val="0"/>
          <w:marTop w:val="0"/>
          <w:marBottom w:val="0"/>
          <w:divBdr>
            <w:top w:val="none" w:sz="0" w:space="0" w:color="auto"/>
            <w:left w:val="none" w:sz="0" w:space="0" w:color="auto"/>
            <w:bottom w:val="none" w:sz="0" w:space="0" w:color="auto"/>
            <w:right w:val="none" w:sz="0" w:space="0" w:color="auto"/>
          </w:divBdr>
          <w:divsChild>
            <w:div w:id="367222320">
              <w:marLeft w:val="0"/>
              <w:marRight w:val="0"/>
              <w:marTop w:val="0"/>
              <w:marBottom w:val="0"/>
              <w:divBdr>
                <w:top w:val="none" w:sz="0" w:space="0" w:color="auto"/>
                <w:left w:val="none" w:sz="0" w:space="0" w:color="auto"/>
                <w:bottom w:val="none" w:sz="0" w:space="0" w:color="auto"/>
                <w:right w:val="none" w:sz="0" w:space="0" w:color="auto"/>
              </w:divBdr>
            </w:div>
            <w:div w:id="560403493">
              <w:marLeft w:val="0"/>
              <w:marRight w:val="0"/>
              <w:marTop w:val="0"/>
              <w:marBottom w:val="0"/>
              <w:divBdr>
                <w:top w:val="none" w:sz="0" w:space="0" w:color="auto"/>
                <w:left w:val="none" w:sz="0" w:space="0" w:color="auto"/>
                <w:bottom w:val="none" w:sz="0" w:space="0" w:color="auto"/>
                <w:right w:val="none" w:sz="0" w:space="0" w:color="auto"/>
              </w:divBdr>
            </w:div>
            <w:div w:id="764033631">
              <w:marLeft w:val="0"/>
              <w:marRight w:val="0"/>
              <w:marTop w:val="0"/>
              <w:marBottom w:val="0"/>
              <w:divBdr>
                <w:top w:val="none" w:sz="0" w:space="0" w:color="auto"/>
                <w:left w:val="none" w:sz="0" w:space="0" w:color="auto"/>
                <w:bottom w:val="none" w:sz="0" w:space="0" w:color="auto"/>
                <w:right w:val="none" w:sz="0" w:space="0" w:color="auto"/>
              </w:divBdr>
            </w:div>
            <w:div w:id="883174658">
              <w:marLeft w:val="0"/>
              <w:marRight w:val="0"/>
              <w:marTop w:val="0"/>
              <w:marBottom w:val="0"/>
              <w:divBdr>
                <w:top w:val="none" w:sz="0" w:space="0" w:color="auto"/>
                <w:left w:val="none" w:sz="0" w:space="0" w:color="auto"/>
                <w:bottom w:val="none" w:sz="0" w:space="0" w:color="auto"/>
                <w:right w:val="none" w:sz="0" w:space="0" w:color="auto"/>
              </w:divBdr>
            </w:div>
            <w:div w:id="1092435495">
              <w:marLeft w:val="0"/>
              <w:marRight w:val="0"/>
              <w:marTop w:val="0"/>
              <w:marBottom w:val="0"/>
              <w:divBdr>
                <w:top w:val="none" w:sz="0" w:space="0" w:color="auto"/>
                <w:left w:val="none" w:sz="0" w:space="0" w:color="auto"/>
                <w:bottom w:val="none" w:sz="0" w:space="0" w:color="auto"/>
                <w:right w:val="none" w:sz="0" w:space="0" w:color="auto"/>
              </w:divBdr>
            </w:div>
            <w:div w:id="1184398258">
              <w:marLeft w:val="0"/>
              <w:marRight w:val="0"/>
              <w:marTop w:val="0"/>
              <w:marBottom w:val="0"/>
              <w:divBdr>
                <w:top w:val="none" w:sz="0" w:space="0" w:color="auto"/>
                <w:left w:val="none" w:sz="0" w:space="0" w:color="auto"/>
                <w:bottom w:val="none" w:sz="0" w:space="0" w:color="auto"/>
                <w:right w:val="none" w:sz="0" w:space="0" w:color="auto"/>
              </w:divBdr>
            </w:div>
            <w:div w:id="1200048359">
              <w:marLeft w:val="0"/>
              <w:marRight w:val="0"/>
              <w:marTop w:val="0"/>
              <w:marBottom w:val="0"/>
              <w:divBdr>
                <w:top w:val="none" w:sz="0" w:space="0" w:color="auto"/>
                <w:left w:val="none" w:sz="0" w:space="0" w:color="auto"/>
                <w:bottom w:val="none" w:sz="0" w:space="0" w:color="auto"/>
                <w:right w:val="none" w:sz="0" w:space="0" w:color="auto"/>
              </w:divBdr>
            </w:div>
            <w:div w:id="1602448646">
              <w:marLeft w:val="0"/>
              <w:marRight w:val="0"/>
              <w:marTop w:val="0"/>
              <w:marBottom w:val="0"/>
              <w:divBdr>
                <w:top w:val="none" w:sz="0" w:space="0" w:color="auto"/>
                <w:left w:val="none" w:sz="0" w:space="0" w:color="auto"/>
                <w:bottom w:val="none" w:sz="0" w:space="0" w:color="auto"/>
                <w:right w:val="none" w:sz="0" w:space="0" w:color="auto"/>
              </w:divBdr>
            </w:div>
            <w:div w:id="1669094883">
              <w:marLeft w:val="0"/>
              <w:marRight w:val="0"/>
              <w:marTop w:val="0"/>
              <w:marBottom w:val="0"/>
              <w:divBdr>
                <w:top w:val="none" w:sz="0" w:space="0" w:color="auto"/>
                <w:left w:val="none" w:sz="0" w:space="0" w:color="auto"/>
                <w:bottom w:val="none" w:sz="0" w:space="0" w:color="auto"/>
                <w:right w:val="none" w:sz="0" w:space="0" w:color="auto"/>
              </w:divBdr>
            </w:div>
            <w:div w:id="1781877214">
              <w:marLeft w:val="0"/>
              <w:marRight w:val="0"/>
              <w:marTop w:val="0"/>
              <w:marBottom w:val="0"/>
              <w:divBdr>
                <w:top w:val="none" w:sz="0" w:space="0" w:color="auto"/>
                <w:left w:val="none" w:sz="0" w:space="0" w:color="auto"/>
                <w:bottom w:val="none" w:sz="0" w:space="0" w:color="auto"/>
                <w:right w:val="none" w:sz="0" w:space="0" w:color="auto"/>
              </w:divBdr>
            </w:div>
            <w:div w:id="1796555010">
              <w:marLeft w:val="0"/>
              <w:marRight w:val="0"/>
              <w:marTop w:val="0"/>
              <w:marBottom w:val="0"/>
              <w:divBdr>
                <w:top w:val="none" w:sz="0" w:space="0" w:color="auto"/>
                <w:left w:val="none" w:sz="0" w:space="0" w:color="auto"/>
                <w:bottom w:val="none" w:sz="0" w:space="0" w:color="auto"/>
                <w:right w:val="none" w:sz="0" w:space="0" w:color="auto"/>
              </w:divBdr>
            </w:div>
            <w:div w:id="1806655464">
              <w:marLeft w:val="0"/>
              <w:marRight w:val="0"/>
              <w:marTop w:val="0"/>
              <w:marBottom w:val="0"/>
              <w:divBdr>
                <w:top w:val="none" w:sz="0" w:space="0" w:color="auto"/>
                <w:left w:val="none" w:sz="0" w:space="0" w:color="auto"/>
                <w:bottom w:val="none" w:sz="0" w:space="0" w:color="auto"/>
                <w:right w:val="none" w:sz="0" w:space="0" w:color="auto"/>
              </w:divBdr>
            </w:div>
            <w:div w:id="1858619345">
              <w:marLeft w:val="0"/>
              <w:marRight w:val="0"/>
              <w:marTop w:val="0"/>
              <w:marBottom w:val="0"/>
              <w:divBdr>
                <w:top w:val="none" w:sz="0" w:space="0" w:color="auto"/>
                <w:left w:val="none" w:sz="0" w:space="0" w:color="auto"/>
                <w:bottom w:val="none" w:sz="0" w:space="0" w:color="auto"/>
                <w:right w:val="none" w:sz="0" w:space="0" w:color="auto"/>
              </w:divBdr>
            </w:div>
            <w:div w:id="1899435186">
              <w:marLeft w:val="0"/>
              <w:marRight w:val="0"/>
              <w:marTop w:val="0"/>
              <w:marBottom w:val="0"/>
              <w:divBdr>
                <w:top w:val="none" w:sz="0" w:space="0" w:color="auto"/>
                <w:left w:val="none" w:sz="0" w:space="0" w:color="auto"/>
                <w:bottom w:val="none" w:sz="0" w:space="0" w:color="auto"/>
                <w:right w:val="none" w:sz="0" w:space="0" w:color="auto"/>
              </w:divBdr>
            </w:div>
            <w:div w:id="2048526616">
              <w:marLeft w:val="0"/>
              <w:marRight w:val="0"/>
              <w:marTop w:val="0"/>
              <w:marBottom w:val="0"/>
              <w:divBdr>
                <w:top w:val="none" w:sz="0" w:space="0" w:color="auto"/>
                <w:left w:val="none" w:sz="0" w:space="0" w:color="auto"/>
                <w:bottom w:val="none" w:sz="0" w:space="0" w:color="auto"/>
                <w:right w:val="none" w:sz="0" w:space="0" w:color="auto"/>
              </w:divBdr>
            </w:div>
            <w:div w:id="2058695461">
              <w:marLeft w:val="0"/>
              <w:marRight w:val="0"/>
              <w:marTop w:val="0"/>
              <w:marBottom w:val="0"/>
              <w:divBdr>
                <w:top w:val="none" w:sz="0" w:space="0" w:color="auto"/>
                <w:left w:val="none" w:sz="0" w:space="0" w:color="auto"/>
                <w:bottom w:val="none" w:sz="0" w:space="0" w:color="auto"/>
                <w:right w:val="none" w:sz="0" w:space="0" w:color="auto"/>
              </w:divBdr>
            </w:div>
          </w:divsChild>
        </w:div>
        <w:div w:id="2089572650">
          <w:marLeft w:val="0"/>
          <w:marRight w:val="0"/>
          <w:marTop w:val="0"/>
          <w:marBottom w:val="0"/>
          <w:divBdr>
            <w:top w:val="none" w:sz="0" w:space="0" w:color="auto"/>
            <w:left w:val="none" w:sz="0" w:space="0" w:color="auto"/>
            <w:bottom w:val="none" w:sz="0" w:space="0" w:color="auto"/>
            <w:right w:val="none" w:sz="0" w:space="0" w:color="auto"/>
          </w:divBdr>
          <w:divsChild>
            <w:div w:id="900991934">
              <w:marLeft w:val="-75"/>
              <w:marRight w:val="0"/>
              <w:marTop w:val="30"/>
              <w:marBottom w:val="30"/>
              <w:divBdr>
                <w:top w:val="none" w:sz="0" w:space="0" w:color="auto"/>
                <w:left w:val="none" w:sz="0" w:space="0" w:color="auto"/>
                <w:bottom w:val="none" w:sz="0" w:space="0" w:color="auto"/>
                <w:right w:val="none" w:sz="0" w:space="0" w:color="auto"/>
              </w:divBdr>
              <w:divsChild>
                <w:div w:id="30349375">
                  <w:marLeft w:val="0"/>
                  <w:marRight w:val="0"/>
                  <w:marTop w:val="0"/>
                  <w:marBottom w:val="0"/>
                  <w:divBdr>
                    <w:top w:val="none" w:sz="0" w:space="0" w:color="auto"/>
                    <w:left w:val="none" w:sz="0" w:space="0" w:color="auto"/>
                    <w:bottom w:val="none" w:sz="0" w:space="0" w:color="auto"/>
                    <w:right w:val="none" w:sz="0" w:space="0" w:color="auto"/>
                  </w:divBdr>
                  <w:divsChild>
                    <w:div w:id="1709715382">
                      <w:marLeft w:val="0"/>
                      <w:marRight w:val="0"/>
                      <w:marTop w:val="0"/>
                      <w:marBottom w:val="0"/>
                      <w:divBdr>
                        <w:top w:val="none" w:sz="0" w:space="0" w:color="auto"/>
                        <w:left w:val="none" w:sz="0" w:space="0" w:color="auto"/>
                        <w:bottom w:val="none" w:sz="0" w:space="0" w:color="auto"/>
                        <w:right w:val="none" w:sz="0" w:space="0" w:color="auto"/>
                      </w:divBdr>
                    </w:div>
                  </w:divsChild>
                </w:div>
                <w:div w:id="59057064">
                  <w:marLeft w:val="0"/>
                  <w:marRight w:val="0"/>
                  <w:marTop w:val="0"/>
                  <w:marBottom w:val="0"/>
                  <w:divBdr>
                    <w:top w:val="none" w:sz="0" w:space="0" w:color="auto"/>
                    <w:left w:val="none" w:sz="0" w:space="0" w:color="auto"/>
                    <w:bottom w:val="none" w:sz="0" w:space="0" w:color="auto"/>
                    <w:right w:val="none" w:sz="0" w:space="0" w:color="auto"/>
                  </w:divBdr>
                  <w:divsChild>
                    <w:div w:id="1199851145">
                      <w:marLeft w:val="0"/>
                      <w:marRight w:val="0"/>
                      <w:marTop w:val="0"/>
                      <w:marBottom w:val="0"/>
                      <w:divBdr>
                        <w:top w:val="none" w:sz="0" w:space="0" w:color="auto"/>
                        <w:left w:val="none" w:sz="0" w:space="0" w:color="auto"/>
                        <w:bottom w:val="none" w:sz="0" w:space="0" w:color="auto"/>
                        <w:right w:val="none" w:sz="0" w:space="0" w:color="auto"/>
                      </w:divBdr>
                    </w:div>
                  </w:divsChild>
                </w:div>
                <w:div w:id="80764666">
                  <w:marLeft w:val="0"/>
                  <w:marRight w:val="0"/>
                  <w:marTop w:val="0"/>
                  <w:marBottom w:val="0"/>
                  <w:divBdr>
                    <w:top w:val="none" w:sz="0" w:space="0" w:color="auto"/>
                    <w:left w:val="none" w:sz="0" w:space="0" w:color="auto"/>
                    <w:bottom w:val="none" w:sz="0" w:space="0" w:color="auto"/>
                    <w:right w:val="none" w:sz="0" w:space="0" w:color="auto"/>
                  </w:divBdr>
                  <w:divsChild>
                    <w:div w:id="1518231806">
                      <w:marLeft w:val="0"/>
                      <w:marRight w:val="0"/>
                      <w:marTop w:val="0"/>
                      <w:marBottom w:val="0"/>
                      <w:divBdr>
                        <w:top w:val="none" w:sz="0" w:space="0" w:color="auto"/>
                        <w:left w:val="none" w:sz="0" w:space="0" w:color="auto"/>
                        <w:bottom w:val="none" w:sz="0" w:space="0" w:color="auto"/>
                        <w:right w:val="none" w:sz="0" w:space="0" w:color="auto"/>
                      </w:divBdr>
                    </w:div>
                  </w:divsChild>
                </w:div>
                <w:div w:id="94256015">
                  <w:marLeft w:val="0"/>
                  <w:marRight w:val="0"/>
                  <w:marTop w:val="0"/>
                  <w:marBottom w:val="0"/>
                  <w:divBdr>
                    <w:top w:val="none" w:sz="0" w:space="0" w:color="auto"/>
                    <w:left w:val="none" w:sz="0" w:space="0" w:color="auto"/>
                    <w:bottom w:val="none" w:sz="0" w:space="0" w:color="auto"/>
                    <w:right w:val="none" w:sz="0" w:space="0" w:color="auto"/>
                  </w:divBdr>
                  <w:divsChild>
                    <w:div w:id="678654043">
                      <w:marLeft w:val="0"/>
                      <w:marRight w:val="0"/>
                      <w:marTop w:val="0"/>
                      <w:marBottom w:val="0"/>
                      <w:divBdr>
                        <w:top w:val="none" w:sz="0" w:space="0" w:color="auto"/>
                        <w:left w:val="none" w:sz="0" w:space="0" w:color="auto"/>
                        <w:bottom w:val="none" w:sz="0" w:space="0" w:color="auto"/>
                        <w:right w:val="none" w:sz="0" w:space="0" w:color="auto"/>
                      </w:divBdr>
                    </w:div>
                  </w:divsChild>
                </w:div>
                <w:div w:id="141502509">
                  <w:marLeft w:val="0"/>
                  <w:marRight w:val="0"/>
                  <w:marTop w:val="0"/>
                  <w:marBottom w:val="0"/>
                  <w:divBdr>
                    <w:top w:val="none" w:sz="0" w:space="0" w:color="auto"/>
                    <w:left w:val="none" w:sz="0" w:space="0" w:color="auto"/>
                    <w:bottom w:val="none" w:sz="0" w:space="0" w:color="auto"/>
                    <w:right w:val="none" w:sz="0" w:space="0" w:color="auto"/>
                  </w:divBdr>
                  <w:divsChild>
                    <w:div w:id="1290354586">
                      <w:marLeft w:val="0"/>
                      <w:marRight w:val="0"/>
                      <w:marTop w:val="0"/>
                      <w:marBottom w:val="0"/>
                      <w:divBdr>
                        <w:top w:val="none" w:sz="0" w:space="0" w:color="auto"/>
                        <w:left w:val="none" w:sz="0" w:space="0" w:color="auto"/>
                        <w:bottom w:val="none" w:sz="0" w:space="0" w:color="auto"/>
                        <w:right w:val="none" w:sz="0" w:space="0" w:color="auto"/>
                      </w:divBdr>
                    </w:div>
                    <w:div w:id="1507212931">
                      <w:marLeft w:val="0"/>
                      <w:marRight w:val="0"/>
                      <w:marTop w:val="0"/>
                      <w:marBottom w:val="0"/>
                      <w:divBdr>
                        <w:top w:val="none" w:sz="0" w:space="0" w:color="auto"/>
                        <w:left w:val="none" w:sz="0" w:space="0" w:color="auto"/>
                        <w:bottom w:val="none" w:sz="0" w:space="0" w:color="auto"/>
                        <w:right w:val="none" w:sz="0" w:space="0" w:color="auto"/>
                      </w:divBdr>
                    </w:div>
                  </w:divsChild>
                </w:div>
                <w:div w:id="300618197">
                  <w:marLeft w:val="0"/>
                  <w:marRight w:val="0"/>
                  <w:marTop w:val="0"/>
                  <w:marBottom w:val="0"/>
                  <w:divBdr>
                    <w:top w:val="none" w:sz="0" w:space="0" w:color="auto"/>
                    <w:left w:val="none" w:sz="0" w:space="0" w:color="auto"/>
                    <w:bottom w:val="none" w:sz="0" w:space="0" w:color="auto"/>
                    <w:right w:val="none" w:sz="0" w:space="0" w:color="auto"/>
                  </w:divBdr>
                  <w:divsChild>
                    <w:div w:id="1576937268">
                      <w:marLeft w:val="0"/>
                      <w:marRight w:val="0"/>
                      <w:marTop w:val="0"/>
                      <w:marBottom w:val="0"/>
                      <w:divBdr>
                        <w:top w:val="none" w:sz="0" w:space="0" w:color="auto"/>
                        <w:left w:val="none" w:sz="0" w:space="0" w:color="auto"/>
                        <w:bottom w:val="none" w:sz="0" w:space="0" w:color="auto"/>
                        <w:right w:val="none" w:sz="0" w:space="0" w:color="auto"/>
                      </w:divBdr>
                    </w:div>
                  </w:divsChild>
                </w:div>
                <w:div w:id="312948660">
                  <w:marLeft w:val="0"/>
                  <w:marRight w:val="0"/>
                  <w:marTop w:val="0"/>
                  <w:marBottom w:val="0"/>
                  <w:divBdr>
                    <w:top w:val="none" w:sz="0" w:space="0" w:color="auto"/>
                    <w:left w:val="none" w:sz="0" w:space="0" w:color="auto"/>
                    <w:bottom w:val="none" w:sz="0" w:space="0" w:color="auto"/>
                    <w:right w:val="none" w:sz="0" w:space="0" w:color="auto"/>
                  </w:divBdr>
                  <w:divsChild>
                    <w:div w:id="1563248562">
                      <w:marLeft w:val="0"/>
                      <w:marRight w:val="0"/>
                      <w:marTop w:val="0"/>
                      <w:marBottom w:val="0"/>
                      <w:divBdr>
                        <w:top w:val="none" w:sz="0" w:space="0" w:color="auto"/>
                        <w:left w:val="none" w:sz="0" w:space="0" w:color="auto"/>
                        <w:bottom w:val="none" w:sz="0" w:space="0" w:color="auto"/>
                        <w:right w:val="none" w:sz="0" w:space="0" w:color="auto"/>
                      </w:divBdr>
                    </w:div>
                  </w:divsChild>
                </w:div>
                <w:div w:id="425660309">
                  <w:marLeft w:val="0"/>
                  <w:marRight w:val="0"/>
                  <w:marTop w:val="0"/>
                  <w:marBottom w:val="0"/>
                  <w:divBdr>
                    <w:top w:val="none" w:sz="0" w:space="0" w:color="auto"/>
                    <w:left w:val="none" w:sz="0" w:space="0" w:color="auto"/>
                    <w:bottom w:val="none" w:sz="0" w:space="0" w:color="auto"/>
                    <w:right w:val="none" w:sz="0" w:space="0" w:color="auto"/>
                  </w:divBdr>
                  <w:divsChild>
                    <w:div w:id="1357389413">
                      <w:marLeft w:val="0"/>
                      <w:marRight w:val="0"/>
                      <w:marTop w:val="0"/>
                      <w:marBottom w:val="0"/>
                      <w:divBdr>
                        <w:top w:val="none" w:sz="0" w:space="0" w:color="auto"/>
                        <w:left w:val="none" w:sz="0" w:space="0" w:color="auto"/>
                        <w:bottom w:val="none" w:sz="0" w:space="0" w:color="auto"/>
                        <w:right w:val="none" w:sz="0" w:space="0" w:color="auto"/>
                      </w:divBdr>
                    </w:div>
                  </w:divsChild>
                </w:div>
                <w:div w:id="433792802">
                  <w:marLeft w:val="0"/>
                  <w:marRight w:val="0"/>
                  <w:marTop w:val="0"/>
                  <w:marBottom w:val="0"/>
                  <w:divBdr>
                    <w:top w:val="none" w:sz="0" w:space="0" w:color="auto"/>
                    <w:left w:val="none" w:sz="0" w:space="0" w:color="auto"/>
                    <w:bottom w:val="none" w:sz="0" w:space="0" w:color="auto"/>
                    <w:right w:val="none" w:sz="0" w:space="0" w:color="auto"/>
                  </w:divBdr>
                  <w:divsChild>
                    <w:div w:id="971637050">
                      <w:marLeft w:val="0"/>
                      <w:marRight w:val="0"/>
                      <w:marTop w:val="0"/>
                      <w:marBottom w:val="0"/>
                      <w:divBdr>
                        <w:top w:val="none" w:sz="0" w:space="0" w:color="auto"/>
                        <w:left w:val="none" w:sz="0" w:space="0" w:color="auto"/>
                        <w:bottom w:val="none" w:sz="0" w:space="0" w:color="auto"/>
                        <w:right w:val="none" w:sz="0" w:space="0" w:color="auto"/>
                      </w:divBdr>
                    </w:div>
                  </w:divsChild>
                </w:div>
                <w:div w:id="451438369">
                  <w:marLeft w:val="0"/>
                  <w:marRight w:val="0"/>
                  <w:marTop w:val="0"/>
                  <w:marBottom w:val="0"/>
                  <w:divBdr>
                    <w:top w:val="none" w:sz="0" w:space="0" w:color="auto"/>
                    <w:left w:val="none" w:sz="0" w:space="0" w:color="auto"/>
                    <w:bottom w:val="none" w:sz="0" w:space="0" w:color="auto"/>
                    <w:right w:val="none" w:sz="0" w:space="0" w:color="auto"/>
                  </w:divBdr>
                  <w:divsChild>
                    <w:div w:id="620262475">
                      <w:marLeft w:val="0"/>
                      <w:marRight w:val="0"/>
                      <w:marTop w:val="0"/>
                      <w:marBottom w:val="0"/>
                      <w:divBdr>
                        <w:top w:val="none" w:sz="0" w:space="0" w:color="auto"/>
                        <w:left w:val="none" w:sz="0" w:space="0" w:color="auto"/>
                        <w:bottom w:val="none" w:sz="0" w:space="0" w:color="auto"/>
                        <w:right w:val="none" w:sz="0" w:space="0" w:color="auto"/>
                      </w:divBdr>
                    </w:div>
                  </w:divsChild>
                </w:div>
                <w:div w:id="528644194">
                  <w:marLeft w:val="0"/>
                  <w:marRight w:val="0"/>
                  <w:marTop w:val="0"/>
                  <w:marBottom w:val="0"/>
                  <w:divBdr>
                    <w:top w:val="none" w:sz="0" w:space="0" w:color="auto"/>
                    <w:left w:val="none" w:sz="0" w:space="0" w:color="auto"/>
                    <w:bottom w:val="none" w:sz="0" w:space="0" w:color="auto"/>
                    <w:right w:val="none" w:sz="0" w:space="0" w:color="auto"/>
                  </w:divBdr>
                  <w:divsChild>
                    <w:div w:id="469858250">
                      <w:marLeft w:val="0"/>
                      <w:marRight w:val="0"/>
                      <w:marTop w:val="0"/>
                      <w:marBottom w:val="0"/>
                      <w:divBdr>
                        <w:top w:val="none" w:sz="0" w:space="0" w:color="auto"/>
                        <w:left w:val="none" w:sz="0" w:space="0" w:color="auto"/>
                        <w:bottom w:val="none" w:sz="0" w:space="0" w:color="auto"/>
                        <w:right w:val="none" w:sz="0" w:space="0" w:color="auto"/>
                      </w:divBdr>
                    </w:div>
                  </w:divsChild>
                </w:div>
                <w:div w:id="559902850">
                  <w:marLeft w:val="0"/>
                  <w:marRight w:val="0"/>
                  <w:marTop w:val="0"/>
                  <w:marBottom w:val="0"/>
                  <w:divBdr>
                    <w:top w:val="none" w:sz="0" w:space="0" w:color="auto"/>
                    <w:left w:val="none" w:sz="0" w:space="0" w:color="auto"/>
                    <w:bottom w:val="none" w:sz="0" w:space="0" w:color="auto"/>
                    <w:right w:val="none" w:sz="0" w:space="0" w:color="auto"/>
                  </w:divBdr>
                  <w:divsChild>
                    <w:div w:id="2038119993">
                      <w:marLeft w:val="0"/>
                      <w:marRight w:val="0"/>
                      <w:marTop w:val="0"/>
                      <w:marBottom w:val="0"/>
                      <w:divBdr>
                        <w:top w:val="none" w:sz="0" w:space="0" w:color="auto"/>
                        <w:left w:val="none" w:sz="0" w:space="0" w:color="auto"/>
                        <w:bottom w:val="none" w:sz="0" w:space="0" w:color="auto"/>
                        <w:right w:val="none" w:sz="0" w:space="0" w:color="auto"/>
                      </w:divBdr>
                    </w:div>
                  </w:divsChild>
                </w:div>
                <w:div w:id="572543672">
                  <w:marLeft w:val="0"/>
                  <w:marRight w:val="0"/>
                  <w:marTop w:val="0"/>
                  <w:marBottom w:val="0"/>
                  <w:divBdr>
                    <w:top w:val="none" w:sz="0" w:space="0" w:color="auto"/>
                    <w:left w:val="none" w:sz="0" w:space="0" w:color="auto"/>
                    <w:bottom w:val="none" w:sz="0" w:space="0" w:color="auto"/>
                    <w:right w:val="none" w:sz="0" w:space="0" w:color="auto"/>
                  </w:divBdr>
                  <w:divsChild>
                    <w:div w:id="1667124587">
                      <w:marLeft w:val="0"/>
                      <w:marRight w:val="0"/>
                      <w:marTop w:val="0"/>
                      <w:marBottom w:val="0"/>
                      <w:divBdr>
                        <w:top w:val="none" w:sz="0" w:space="0" w:color="auto"/>
                        <w:left w:val="none" w:sz="0" w:space="0" w:color="auto"/>
                        <w:bottom w:val="none" w:sz="0" w:space="0" w:color="auto"/>
                        <w:right w:val="none" w:sz="0" w:space="0" w:color="auto"/>
                      </w:divBdr>
                    </w:div>
                  </w:divsChild>
                </w:div>
                <w:div w:id="613437050">
                  <w:marLeft w:val="0"/>
                  <w:marRight w:val="0"/>
                  <w:marTop w:val="0"/>
                  <w:marBottom w:val="0"/>
                  <w:divBdr>
                    <w:top w:val="none" w:sz="0" w:space="0" w:color="auto"/>
                    <w:left w:val="none" w:sz="0" w:space="0" w:color="auto"/>
                    <w:bottom w:val="none" w:sz="0" w:space="0" w:color="auto"/>
                    <w:right w:val="none" w:sz="0" w:space="0" w:color="auto"/>
                  </w:divBdr>
                  <w:divsChild>
                    <w:div w:id="1095780968">
                      <w:marLeft w:val="0"/>
                      <w:marRight w:val="0"/>
                      <w:marTop w:val="0"/>
                      <w:marBottom w:val="0"/>
                      <w:divBdr>
                        <w:top w:val="none" w:sz="0" w:space="0" w:color="auto"/>
                        <w:left w:val="none" w:sz="0" w:space="0" w:color="auto"/>
                        <w:bottom w:val="none" w:sz="0" w:space="0" w:color="auto"/>
                        <w:right w:val="none" w:sz="0" w:space="0" w:color="auto"/>
                      </w:divBdr>
                    </w:div>
                  </w:divsChild>
                </w:div>
                <w:div w:id="623386142">
                  <w:marLeft w:val="0"/>
                  <w:marRight w:val="0"/>
                  <w:marTop w:val="0"/>
                  <w:marBottom w:val="0"/>
                  <w:divBdr>
                    <w:top w:val="none" w:sz="0" w:space="0" w:color="auto"/>
                    <w:left w:val="none" w:sz="0" w:space="0" w:color="auto"/>
                    <w:bottom w:val="none" w:sz="0" w:space="0" w:color="auto"/>
                    <w:right w:val="none" w:sz="0" w:space="0" w:color="auto"/>
                  </w:divBdr>
                  <w:divsChild>
                    <w:div w:id="1957564988">
                      <w:marLeft w:val="0"/>
                      <w:marRight w:val="0"/>
                      <w:marTop w:val="0"/>
                      <w:marBottom w:val="0"/>
                      <w:divBdr>
                        <w:top w:val="none" w:sz="0" w:space="0" w:color="auto"/>
                        <w:left w:val="none" w:sz="0" w:space="0" w:color="auto"/>
                        <w:bottom w:val="none" w:sz="0" w:space="0" w:color="auto"/>
                        <w:right w:val="none" w:sz="0" w:space="0" w:color="auto"/>
                      </w:divBdr>
                    </w:div>
                  </w:divsChild>
                </w:div>
                <w:div w:id="659507259">
                  <w:marLeft w:val="0"/>
                  <w:marRight w:val="0"/>
                  <w:marTop w:val="0"/>
                  <w:marBottom w:val="0"/>
                  <w:divBdr>
                    <w:top w:val="none" w:sz="0" w:space="0" w:color="auto"/>
                    <w:left w:val="none" w:sz="0" w:space="0" w:color="auto"/>
                    <w:bottom w:val="none" w:sz="0" w:space="0" w:color="auto"/>
                    <w:right w:val="none" w:sz="0" w:space="0" w:color="auto"/>
                  </w:divBdr>
                  <w:divsChild>
                    <w:div w:id="249118522">
                      <w:marLeft w:val="0"/>
                      <w:marRight w:val="0"/>
                      <w:marTop w:val="0"/>
                      <w:marBottom w:val="0"/>
                      <w:divBdr>
                        <w:top w:val="none" w:sz="0" w:space="0" w:color="auto"/>
                        <w:left w:val="none" w:sz="0" w:space="0" w:color="auto"/>
                        <w:bottom w:val="none" w:sz="0" w:space="0" w:color="auto"/>
                        <w:right w:val="none" w:sz="0" w:space="0" w:color="auto"/>
                      </w:divBdr>
                    </w:div>
                    <w:div w:id="684092631">
                      <w:marLeft w:val="0"/>
                      <w:marRight w:val="0"/>
                      <w:marTop w:val="0"/>
                      <w:marBottom w:val="0"/>
                      <w:divBdr>
                        <w:top w:val="none" w:sz="0" w:space="0" w:color="auto"/>
                        <w:left w:val="none" w:sz="0" w:space="0" w:color="auto"/>
                        <w:bottom w:val="none" w:sz="0" w:space="0" w:color="auto"/>
                        <w:right w:val="none" w:sz="0" w:space="0" w:color="auto"/>
                      </w:divBdr>
                    </w:div>
                  </w:divsChild>
                </w:div>
                <w:div w:id="679089354">
                  <w:marLeft w:val="0"/>
                  <w:marRight w:val="0"/>
                  <w:marTop w:val="0"/>
                  <w:marBottom w:val="0"/>
                  <w:divBdr>
                    <w:top w:val="none" w:sz="0" w:space="0" w:color="auto"/>
                    <w:left w:val="none" w:sz="0" w:space="0" w:color="auto"/>
                    <w:bottom w:val="none" w:sz="0" w:space="0" w:color="auto"/>
                    <w:right w:val="none" w:sz="0" w:space="0" w:color="auto"/>
                  </w:divBdr>
                  <w:divsChild>
                    <w:div w:id="1972057536">
                      <w:marLeft w:val="0"/>
                      <w:marRight w:val="0"/>
                      <w:marTop w:val="0"/>
                      <w:marBottom w:val="0"/>
                      <w:divBdr>
                        <w:top w:val="none" w:sz="0" w:space="0" w:color="auto"/>
                        <w:left w:val="none" w:sz="0" w:space="0" w:color="auto"/>
                        <w:bottom w:val="none" w:sz="0" w:space="0" w:color="auto"/>
                        <w:right w:val="none" w:sz="0" w:space="0" w:color="auto"/>
                      </w:divBdr>
                    </w:div>
                  </w:divsChild>
                </w:div>
                <w:div w:id="758722459">
                  <w:marLeft w:val="0"/>
                  <w:marRight w:val="0"/>
                  <w:marTop w:val="0"/>
                  <w:marBottom w:val="0"/>
                  <w:divBdr>
                    <w:top w:val="none" w:sz="0" w:space="0" w:color="auto"/>
                    <w:left w:val="none" w:sz="0" w:space="0" w:color="auto"/>
                    <w:bottom w:val="none" w:sz="0" w:space="0" w:color="auto"/>
                    <w:right w:val="none" w:sz="0" w:space="0" w:color="auto"/>
                  </w:divBdr>
                  <w:divsChild>
                    <w:div w:id="669285906">
                      <w:marLeft w:val="0"/>
                      <w:marRight w:val="0"/>
                      <w:marTop w:val="0"/>
                      <w:marBottom w:val="0"/>
                      <w:divBdr>
                        <w:top w:val="none" w:sz="0" w:space="0" w:color="auto"/>
                        <w:left w:val="none" w:sz="0" w:space="0" w:color="auto"/>
                        <w:bottom w:val="none" w:sz="0" w:space="0" w:color="auto"/>
                        <w:right w:val="none" w:sz="0" w:space="0" w:color="auto"/>
                      </w:divBdr>
                    </w:div>
                  </w:divsChild>
                </w:div>
                <w:div w:id="765616111">
                  <w:marLeft w:val="0"/>
                  <w:marRight w:val="0"/>
                  <w:marTop w:val="0"/>
                  <w:marBottom w:val="0"/>
                  <w:divBdr>
                    <w:top w:val="none" w:sz="0" w:space="0" w:color="auto"/>
                    <w:left w:val="none" w:sz="0" w:space="0" w:color="auto"/>
                    <w:bottom w:val="none" w:sz="0" w:space="0" w:color="auto"/>
                    <w:right w:val="none" w:sz="0" w:space="0" w:color="auto"/>
                  </w:divBdr>
                  <w:divsChild>
                    <w:div w:id="1762794312">
                      <w:marLeft w:val="0"/>
                      <w:marRight w:val="0"/>
                      <w:marTop w:val="0"/>
                      <w:marBottom w:val="0"/>
                      <w:divBdr>
                        <w:top w:val="none" w:sz="0" w:space="0" w:color="auto"/>
                        <w:left w:val="none" w:sz="0" w:space="0" w:color="auto"/>
                        <w:bottom w:val="none" w:sz="0" w:space="0" w:color="auto"/>
                        <w:right w:val="none" w:sz="0" w:space="0" w:color="auto"/>
                      </w:divBdr>
                    </w:div>
                  </w:divsChild>
                </w:div>
                <w:div w:id="839584164">
                  <w:marLeft w:val="0"/>
                  <w:marRight w:val="0"/>
                  <w:marTop w:val="0"/>
                  <w:marBottom w:val="0"/>
                  <w:divBdr>
                    <w:top w:val="none" w:sz="0" w:space="0" w:color="auto"/>
                    <w:left w:val="none" w:sz="0" w:space="0" w:color="auto"/>
                    <w:bottom w:val="none" w:sz="0" w:space="0" w:color="auto"/>
                    <w:right w:val="none" w:sz="0" w:space="0" w:color="auto"/>
                  </w:divBdr>
                  <w:divsChild>
                    <w:div w:id="646709353">
                      <w:marLeft w:val="0"/>
                      <w:marRight w:val="0"/>
                      <w:marTop w:val="0"/>
                      <w:marBottom w:val="0"/>
                      <w:divBdr>
                        <w:top w:val="none" w:sz="0" w:space="0" w:color="auto"/>
                        <w:left w:val="none" w:sz="0" w:space="0" w:color="auto"/>
                        <w:bottom w:val="none" w:sz="0" w:space="0" w:color="auto"/>
                        <w:right w:val="none" w:sz="0" w:space="0" w:color="auto"/>
                      </w:divBdr>
                    </w:div>
                  </w:divsChild>
                </w:div>
                <w:div w:id="956135944">
                  <w:marLeft w:val="0"/>
                  <w:marRight w:val="0"/>
                  <w:marTop w:val="0"/>
                  <w:marBottom w:val="0"/>
                  <w:divBdr>
                    <w:top w:val="none" w:sz="0" w:space="0" w:color="auto"/>
                    <w:left w:val="none" w:sz="0" w:space="0" w:color="auto"/>
                    <w:bottom w:val="none" w:sz="0" w:space="0" w:color="auto"/>
                    <w:right w:val="none" w:sz="0" w:space="0" w:color="auto"/>
                  </w:divBdr>
                  <w:divsChild>
                    <w:div w:id="827791750">
                      <w:marLeft w:val="0"/>
                      <w:marRight w:val="0"/>
                      <w:marTop w:val="0"/>
                      <w:marBottom w:val="0"/>
                      <w:divBdr>
                        <w:top w:val="none" w:sz="0" w:space="0" w:color="auto"/>
                        <w:left w:val="none" w:sz="0" w:space="0" w:color="auto"/>
                        <w:bottom w:val="none" w:sz="0" w:space="0" w:color="auto"/>
                        <w:right w:val="none" w:sz="0" w:space="0" w:color="auto"/>
                      </w:divBdr>
                    </w:div>
                  </w:divsChild>
                </w:div>
                <w:div w:id="1042092280">
                  <w:marLeft w:val="0"/>
                  <w:marRight w:val="0"/>
                  <w:marTop w:val="0"/>
                  <w:marBottom w:val="0"/>
                  <w:divBdr>
                    <w:top w:val="none" w:sz="0" w:space="0" w:color="auto"/>
                    <w:left w:val="none" w:sz="0" w:space="0" w:color="auto"/>
                    <w:bottom w:val="none" w:sz="0" w:space="0" w:color="auto"/>
                    <w:right w:val="none" w:sz="0" w:space="0" w:color="auto"/>
                  </w:divBdr>
                  <w:divsChild>
                    <w:div w:id="1154220721">
                      <w:marLeft w:val="0"/>
                      <w:marRight w:val="0"/>
                      <w:marTop w:val="0"/>
                      <w:marBottom w:val="0"/>
                      <w:divBdr>
                        <w:top w:val="none" w:sz="0" w:space="0" w:color="auto"/>
                        <w:left w:val="none" w:sz="0" w:space="0" w:color="auto"/>
                        <w:bottom w:val="none" w:sz="0" w:space="0" w:color="auto"/>
                        <w:right w:val="none" w:sz="0" w:space="0" w:color="auto"/>
                      </w:divBdr>
                    </w:div>
                  </w:divsChild>
                </w:div>
                <w:div w:id="1048869853">
                  <w:marLeft w:val="0"/>
                  <w:marRight w:val="0"/>
                  <w:marTop w:val="0"/>
                  <w:marBottom w:val="0"/>
                  <w:divBdr>
                    <w:top w:val="none" w:sz="0" w:space="0" w:color="auto"/>
                    <w:left w:val="none" w:sz="0" w:space="0" w:color="auto"/>
                    <w:bottom w:val="none" w:sz="0" w:space="0" w:color="auto"/>
                    <w:right w:val="none" w:sz="0" w:space="0" w:color="auto"/>
                  </w:divBdr>
                  <w:divsChild>
                    <w:div w:id="213740236">
                      <w:marLeft w:val="0"/>
                      <w:marRight w:val="0"/>
                      <w:marTop w:val="0"/>
                      <w:marBottom w:val="0"/>
                      <w:divBdr>
                        <w:top w:val="none" w:sz="0" w:space="0" w:color="auto"/>
                        <w:left w:val="none" w:sz="0" w:space="0" w:color="auto"/>
                        <w:bottom w:val="none" w:sz="0" w:space="0" w:color="auto"/>
                        <w:right w:val="none" w:sz="0" w:space="0" w:color="auto"/>
                      </w:divBdr>
                    </w:div>
                    <w:div w:id="1537426670">
                      <w:marLeft w:val="0"/>
                      <w:marRight w:val="0"/>
                      <w:marTop w:val="0"/>
                      <w:marBottom w:val="0"/>
                      <w:divBdr>
                        <w:top w:val="none" w:sz="0" w:space="0" w:color="auto"/>
                        <w:left w:val="none" w:sz="0" w:space="0" w:color="auto"/>
                        <w:bottom w:val="none" w:sz="0" w:space="0" w:color="auto"/>
                        <w:right w:val="none" w:sz="0" w:space="0" w:color="auto"/>
                      </w:divBdr>
                    </w:div>
                  </w:divsChild>
                </w:div>
                <w:div w:id="1050805959">
                  <w:marLeft w:val="0"/>
                  <w:marRight w:val="0"/>
                  <w:marTop w:val="0"/>
                  <w:marBottom w:val="0"/>
                  <w:divBdr>
                    <w:top w:val="none" w:sz="0" w:space="0" w:color="auto"/>
                    <w:left w:val="none" w:sz="0" w:space="0" w:color="auto"/>
                    <w:bottom w:val="none" w:sz="0" w:space="0" w:color="auto"/>
                    <w:right w:val="none" w:sz="0" w:space="0" w:color="auto"/>
                  </w:divBdr>
                  <w:divsChild>
                    <w:div w:id="548536962">
                      <w:marLeft w:val="0"/>
                      <w:marRight w:val="0"/>
                      <w:marTop w:val="0"/>
                      <w:marBottom w:val="0"/>
                      <w:divBdr>
                        <w:top w:val="none" w:sz="0" w:space="0" w:color="auto"/>
                        <w:left w:val="none" w:sz="0" w:space="0" w:color="auto"/>
                        <w:bottom w:val="none" w:sz="0" w:space="0" w:color="auto"/>
                        <w:right w:val="none" w:sz="0" w:space="0" w:color="auto"/>
                      </w:divBdr>
                    </w:div>
                  </w:divsChild>
                </w:div>
                <w:div w:id="1087460792">
                  <w:marLeft w:val="0"/>
                  <w:marRight w:val="0"/>
                  <w:marTop w:val="0"/>
                  <w:marBottom w:val="0"/>
                  <w:divBdr>
                    <w:top w:val="none" w:sz="0" w:space="0" w:color="auto"/>
                    <w:left w:val="none" w:sz="0" w:space="0" w:color="auto"/>
                    <w:bottom w:val="none" w:sz="0" w:space="0" w:color="auto"/>
                    <w:right w:val="none" w:sz="0" w:space="0" w:color="auto"/>
                  </w:divBdr>
                  <w:divsChild>
                    <w:div w:id="626350828">
                      <w:marLeft w:val="0"/>
                      <w:marRight w:val="0"/>
                      <w:marTop w:val="0"/>
                      <w:marBottom w:val="0"/>
                      <w:divBdr>
                        <w:top w:val="none" w:sz="0" w:space="0" w:color="auto"/>
                        <w:left w:val="none" w:sz="0" w:space="0" w:color="auto"/>
                        <w:bottom w:val="none" w:sz="0" w:space="0" w:color="auto"/>
                        <w:right w:val="none" w:sz="0" w:space="0" w:color="auto"/>
                      </w:divBdr>
                    </w:div>
                  </w:divsChild>
                </w:div>
                <w:div w:id="1129974326">
                  <w:marLeft w:val="0"/>
                  <w:marRight w:val="0"/>
                  <w:marTop w:val="0"/>
                  <w:marBottom w:val="0"/>
                  <w:divBdr>
                    <w:top w:val="none" w:sz="0" w:space="0" w:color="auto"/>
                    <w:left w:val="none" w:sz="0" w:space="0" w:color="auto"/>
                    <w:bottom w:val="none" w:sz="0" w:space="0" w:color="auto"/>
                    <w:right w:val="none" w:sz="0" w:space="0" w:color="auto"/>
                  </w:divBdr>
                  <w:divsChild>
                    <w:div w:id="16391615">
                      <w:marLeft w:val="0"/>
                      <w:marRight w:val="0"/>
                      <w:marTop w:val="0"/>
                      <w:marBottom w:val="0"/>
                      <w:divBdr>
                        <w:top w:val="none" w:sz="0" w:space="0" w:color="auto"/>
                        <w:left w:val="none" w:sz="0" w:space="0" w:color="auto"/>
                        <w:bottom w:val="none" w:sz="0" w:space="0" w:color="auto"/>
                        <w:right w:val="none" w:sz="0" w:space="0" w:color="auto"/>
                      </w:divBdr>
                    </w:div>
                  </w:divsChild>
                </w:div>
                <w:div w:id="1163277687">
                  <w:marLeft w:val="0"/>
                  <w:marRight w:val="0"/>
                  <w:marTop w:val="0"/>
                  <w:marBottom w:val="0"/>
                  <w:divBdr>
                    <w:top w:val="none" w:sz="0" w:space="0" w:color="auto"/>
                    <w:left w:val="none" w:sz="0" w:space="0" w:color="auto"/>
                    <w:bottom w:val="none" w:sz="0" w:space="0" w:color="auto"/>
                    <w:right w:val="none" w:sz="0" w:space="0" w:color="auto"/>
                  </w:divBdr>
                  <w:divsChild>
                    <w:div w:id="1711030238">
                      <w:marLeft w:val="0"/>
                      <w:marRight w:val="0"/>
                      <w:marTop w:val="0"/>
                      <w:marBottom w:val="0"/>
                      <w:divBdr>
                        <w:top w:val="none" w:sz="0" w:space="0" w:color="auto"/>
                        <w:left w:val="none" w:sz="0" w:space="0" w:color="auto"/>
                        <w:bottom w:val="none" w:sz="0" w:space="0" w:color="auto"/>
                        <w:right w:val="none" w:sz="0" w:space="0" w:color="auto"/>
                      </w:divBdr>
                    </w:div>
                  </w:divsChild>
                </w:div>
                <w:div w:id="1282345399">
                  <w:marLeft w:val="0"/>
                  <w:marRight w:val="0"/>
                  <w:marTop w:val="0"/>
                  <w:marBottom w:val="0"/>
                  <w:divBdr>
                    <w:top w:val="none" w:sz="0" w:space="0" w:color="auto"/>
                    <w:left w:val="none" w:sz="0" w:space="0" w:color="auto"/>
                    <w:bottom w:val="none" w:sz="0" w:space="0" w:color="auto"/>
                    <w:right w:val="none" w:sz="0" w:space="0" w:color="auto"/>
                  </w:divBdr>
                  <w:divsChild>
                    <w:div w:id="368460430">
                      <w:marLeft w:val="0"/>
                      <w:marRight w:val="0"/>
                      <w:marTop w:val="0"/>
                      <w:marBottom w:val="0"/>
                      <w:divBdr>
                        <w:top w:val="none" w:sz="0" w:space="0" w:color="auto"/>
                        <w:left w:val="none" w:sz="0" w:space="0" w:color="auto"/>
                        <w:bottom w:val="none" w:sz="0" w:space="0" w:color="auto"/>
                        <w:right w:val="none" w:sz="0" w:space="0" w:color="auto"/>
                      </w:divBdr>
                    </w:div>
                    <w:div w:id="1513179111">
                      <w:marLeft w:val="0"/>
                      <w:marRight w:val="0"/>
                      <w:marTop w:val="0"/>
                      <w:marBottom w:val="0"/>
                      <w:divBdr>
                        <w:top w:val="none" w:sz="0" w:space="0" w:color="auto"/>
                        <w:left w:val="none" w:sz="0" w:space="0" w:color="auto"/>
                        <w:bottom w:val="none" w:sz="0" w:space="0" w:color="auto"/>
                        <w:right w:val="none" w:sz="0" w:space="0" w:color="auto"/>
                      </w:divBdr>
                    </w:div>
                  </w:divsChild>
                </w:div>
                <w:div w:id="1337464572">
                  <w:marLeft w:val="0"/>
                  <w:marRight w:val="0"/>
                  <w:marTop w:val="0"/>
                  <w:marBottom w:val="0"/>
                  <w:divBdr>
                    <w:top w:val="none" w:sz="0" w:space="0" w:color="auto"/>
                    <w:left w:val="none" w:sz="0" w:space="0" w:color="auto"/>
                    <w:bottom w:val="none" w:sz="0" w:space="0" w:color="auto"/>
                    <w:right w:val="none" w:sz="0" w:space="0" w:color="auto"/>
                  </w:divBdr>
                  <w:divsChild>
                    <w:div w:id="293296280">
                      <w:marLeft w:val="0"/>
                      <w:marRight w:val="0"/>
                      <w:marTop w:val="0"/>
                      <w:marBottom w:val="0"/>
                      <w:divBdr>
                        <w:top w:val="none" w:sz="0" w:space="0" w:color="auto"/>
                        <w:left w:val="none" w:sz="0" w:space="0" w:color="auto"/>
                        <w:bottom w:val="none" w:sz="0" w:space="0" w:color="auto"/>
                        <w:right w:val="none" w:sz="0" w:space="0" w:color="auto"/>
                      </w:divBdr>
                    </w:div>
                  </w:divsChild>
                </w:div>
                <w:div w:id="1414621374">
                  <w:marLeft w:val="0"/>
                  <w:marRight w:val="0"/>
                  <w:marTop w:val="0"/>
                  <w:marBottom w:val="0"/>
                  <w:divBdr>
                    <w:top w:val="none" w:sz="0" w:space="0" w:color="auto"/>
                    <w:left w:val="none" w:sz="0" w:space="0" w:color="auto"/>
                    <w:bottom w:val="none" w:sz="0" w:space="0" w:color="auto"/>
                    <w:right w:val="none" w:sz="0" w:space="0" w:color="auto"/>
                  </w:divBdr>
                  <w:divsChild>
                    <w:div w:id="831801808">
                      <w:marLeft w:val="0"/>
                      <w:marRight w:val="0"/>
                      <w:marTop w:val="0"/>
                      <w:marBottom w:val="0"/>
                      <w:divBdr>
                        <w:top w:val="none" w:sz="0" w:space="0" w:color="auto"/>
                        <w:left w:val="none" w:sz="0" w:space="0" w:color="auto"/>
                        <w:bottom w:val="none" w:sz="0" w:space="0" w:color="auto"/>
                        <w:right w:val="none" w:sz="0" w:space="0" w:color="auto"/>
                      </w:divBdr>
                    </w:div>
                  </w:divsChild>
                </w:div>
                <w:div w:id="1442801167">
                  <w:marLeft w:val="0"/>
                  <w:marRight w:val="0"/>
                  <w:marTop w:val="0"/>
                  <w:marBottom w:val="0"/>
                  <w:divBdr>
                    <w:top w:val="none" w:sz="0" w:space="0" w:color="auto"/>
                    <w:left w:val="none" w:sz="0" w:space="0" w:color="auto"/>
                    <w:bottom w:val="none" w:sz="0" w:space="0" w:color="auto"/>
                    <w:right w:val="none" w:sz="0" w:space="0" w:color="auto"/>
                  </w:divBdr>
                  <w:divsChild>
                    <w:div w:id="490292271">
                      <w:marLeft w:val="0"/>
                      <w:marRight w:val="0"/>
                      <w:marTop w:val="0"/>
                      <w:marBottom w:val="0"/>
                      <w:divBdr>
                        <w:top w:val="none" w:sz="0" w:space="0" w:color="auto"/>
                        <w:left w:val="none" w:sz="0" w:space="0" w:color="auto"/>
                        <w:bottom w:val="none" w:sz="0" w:space="0" w:color="auto"/>
                        <w:right w:val="none" w:sz="0" w:space="0" w:color="auto"/>
                      </w:divBdr>
                    </w:div>
                  </w:divsChild>
                </w:div>
                <w:div w:id="1449395918">
                  <w:marLeft w:val="0"/>
                  <w:marRight w:val="0"/>
                  <w:marTop w:val="0"/>
                  <w:marBottom w:val="0"/>
                  <w:divBdr>
                    <w:top w:val="none" w:sz="0" w:space="0" w:color="auto"/>
                    <w:left w:val="none" w:sz="0" w:space="0" w:color="auto"/>
                    <w:bottom w:val="none" w:sz="0" w:space="0" w:color="auto"/>
                    <w:right w:val="none" w:sz="0" w:space="0" w:color="auto"/>
                  </w:divBdr>
                  <w:divsChild>
                    <w:div w:id="1237739833">
                      <w:marLeft w:val="0"/>
                      <w:marRight w:val="0"/>
                      <w:marTop w:val="0"/>
                      <w:marBottom w:val="0"/>
                      <w:divBdr>
                        <w:top w:val="none" w:sz="0" w:space="0" w:color="auto"/>
                        <w:left w:val="none" w:sz="0" w:space="0" w:color="auto"/>
                        <w:bottom w:val="none" w:sz="0" w:space="0" w:color="auto"/>
                        <w:right w:val="none" w:sz="0" w:space="0" w:color="auto"/>
                      </w:divBdr>
                    </w:div>
                  </w:divsChild>
                </w:div>
                <w:div w:id="1452289282">
                  <w:marLeft w:val="0"/>
                  <w:marRight w:val="0"/>
                  <w:marTop w:val="0"/>
                  <w:marBottom w:val="0"/>
                  <w:divBdr>
                    <w:top w:val="none" w:sz="0" w:space="0" w:color="auto"/>
                    <w:left w:val="none" w:sz="0" w:space="0" w:color="auto"/>
                    <w:bottom w:val="none" w:sz="0" w:space="0" w:color="auto"/>
                    <w:right w:val="none" w:sz="0" w:space="0" w:color="auto"/>
                  </w:divBdr>
                  <w:divsChild>
                    <w:div w:id="1945574000">
                      <w:marLeft w:val="0"/>
                      <w:marRight w:val="0"/>
                      <w:marTop w:val="0"/>
                      <w:marBottom w:val="0"/>
                      <w:divBdr>
                        <w:top w:val="none" w:sz="0" w:space="0" w:color="auto"/>
                        <w:left w:val="none" w:sz="0" w:space="0" w:color="auto"/>
                        <w:bottom w:val="none" w:sz="0" w:space="0" w:color="auto"/>
                        <w:right w:val="none" w:sz="0" w:space="0" w:color="auto"/>
                      </w:divBdr>
                    </w:div>
                  </w:divsChild>
                </w:div>
                <w:div w:id="1532262459">
                  <w:marLeft w:val="0"/>
                  <w:marRight w:val="0"/>
                  <w:marTop w:val="0"/>
                  <w:marBottom w:val="0"/>
                  <w:divBdr>
                    <w:top w:val="none" w:sz="0" w:space="0" w:color="auto"/>
                    <w:left w:val="none" w:sz="0" w:space="0" w:color="auto"/>
                    <w:bottom w:val="none" w:sz="0" w:space="0" w:color="auto"/>
                    <w:right w:val="none" w:sz="0" w:space="0" w:color="auto"/>
                  </w:divBdr>
                  <w:divsChild>
                    <w:div w:id="1122186152">
                      <w:marLeft w:val="0"/>
                      <w:marRight w:val="0"/>
                      <w:marTop w:val="0"/>
                      <w:marBottom w:val="0"/>
                      <w:divBdr>
                        <w:top w:val="none" w:sz="0" w:space="0" w:color="auto"/>
                        <w:left w:val="none" w:sz="0" w:space="0" w:color="auto"/>
                        <w:bottom w:val="none" w:sz="0" w:space="0" w:color="auto"/>
                        <w:right w:val="none" w:sz="0" w:space="0" w:color="auto"/>
                      </w:divBdr>
                    </w:div>
                  </w:divsChild>
                </w:div>
                <w:div w:id="1535075317">
                  <w:marLeft w:val="0"/>
                  <w:marRight w:val="0"/>
                  <w:marTop w:val="0"/>
                  <w:marBottom w:val="0"/>
                  <w:divBdr>
                    <w:top w:val="none" w:sz="0" w:space="0" w:color="auto"/>
                    <w:left w:val="none" w:sz="0" w:space="0" w:color="auto"/>
                    <w:bottom w:val="none" w:sz="0" w:space="0" w:color="auto"/>
                    <w:right w:val="none" w:sz="0" w:space="0" w:color="auto"/>
                  </w:divBdr>
                  <w:divsChild>
                    <w:div w:id="1625039580">
                      <w:marLeft w:val="0"/>
                      <w:marRight w:val="0"/>
                      <w:marTop w:val="0"/>
                      <w:marBottom w:val="0"/>
                      <w:divBdr>
                        <w:top w:val="none" w:sz="0" w:space="0" w:color="auto"/>
                        <w:left w:val="none" w:sz="0" w:space="0" w:color="auto"/>
                        <w:bottom w:val="none" w:sz="0" w:space="0" w:color="auto"/>
                        <w:right w:val="none" w:sz="0" w:space="0" w:color="auto"/>
                      </w:divBdr>
                    </w:div>
                  </w:divsChild>
                </w:div>
                <w:div w:id="1547375084">
                  <w:marLeft w:val="0"/>
                  <w:marRight w:val="0"/>
                  <w:marTop w:val="0"/>
                  <w:marBottom w:val="0"/>
                  <w:divBdr>
                    <w:top w:val="none" w:sz="0" w:space="0" w:color="auto"/>
                    <w:left w:val="none" w:sz="0" w:space="0" w:color="auto"/>
                    <w:bottom w:val="none" w:sz="0" w:space="0" w:color="auto"/>
                    <w:right w:val="none" w:sz="0" w:space="0" w:color="auto"/>
                  </w:divBdr>
                  <w:divsChild>
                    <w:div w:id="1191411009">
                      <w:marLeft w:val="0"/>
                      <w:marRight w:val="0"/>
                      <w:marTop w:val="0"/>
                      <w:marBottom w:val="0"/>
                      <w:divBdr>
                        <w:top w:val="none" w:sz="0" w:space="0" w:color="auto"/>
                        <w:left w:val="none" w:sz="0" w:space="0" w:color="auto"/>
                        <w:bottom w:val="none" w:sz="0" w:space="0" w:color="auto"/>
                        <w:right w:val="none" w:sz="0" w:space="0" w:color="auto"/>
                      </w:divBdr>
                    </w:div>
                  </w:divsChild>
                </w:div>
                <w:div w:id="1553157067">
                  <w:marLeft w:val="0"/>
                  <w:marRight w:val="0"/>
                  <w:marTop w:val="0"/>
                  <w:marBottom w:val="0"/>
                  <w:divBdr>
                    <w:top w:val="none" w:sz="0" w:space="0" w:color="auto"/>
                    <w:left w:val="none" w:sz="0" w:space="0" w:color="auto"/>
                    <w:bottom w:val="none" w:sz="0" w:space="0" w:color="auto"/>
                    <w:right w:val="none" w:sz="0" w:space="0" w:color="auto"/>
                  </w:divBdr>
                  <w:divsChild>
                    <w:div w:id="1941134612">
                      <w:marLeft w:val="0"/>
                      <w:marRight w:val="0"/>
                      <w:marTop w:val="0"/>
                      <w:marBottom w:val="0"/>
                      <w:divBdr>
                        <w:top w:val="none" w:sz="0" w:space="0" w:color="auto"/>
                        <w:left w:val="none" w:sz="0" w:space="0" w:color="auto"/>
                        <w:bottom w:val="none" w:sz="0" w:space="0" w:color="auto"/>
                        <w:right w:val="none" w:sz="0" w:space="0" w:color="auto"/>
                      </w:divBdr>
                    </w:div>
                  </w:divsChild>
                </w:div>
                <w:div w:id="1556970762">
                  <w:marLeft w:val="0"/>
                  <w:marRight w:val="0"/>
                  <w:marTop w:val="0"/>
                  <w:marBottom w:val="0"/>
                  <w:divBdr>
                    <w:top w:val="none" w:sz="0" w:space="0" w:color="auto"/>
                    <w:left w:val="none" w:sz="0" w:space="0" w:color="auto"/>
                    <w:bottom w:val="none" w:sz="0" w:space="0" w:color="auto"/>
                    <w:right w:val="none" w:sz="0" w:space="0" w:color="auto"/>
                  </w:divBdr>
                  <w:divsChild>
                    <w:div w:id="304286980">
                      <w:marLeft w:val="0"/>
                      <w:marRight w:val="0"/>
                      <w:marTop w:val="0"/>
                      <w:marBottom w:val="0"/>
                      <w:divBdr>
                        <w:top w:val="none" w:sz="0" w:space="0" w:color="auto"/>
                        <w:left w:val="none" w:sz="0" w:space="0" w:color="auto"/>
                        <w:bottom w:val="none" w:sz="0" w:space="0" w:color="auto"/>
                        <w:right w:val="none" w:sz="0" w:space="0" w:color="auto"/>
                      </w:divBdr>
                    </w:div>
                  </w:divsChild>
                </w:div>
                <w:div w:id="1599681325">
                  <w:marLeft w:val="0"/>
                  <w:marRight w:val="0"/>
                  <w:marTop w:val="0"/>
                  <w:marBottom w:val="0"/>
                  <w:divBdr>
                    <w:top w:val="none" w:sz="0" w:space="0" w:color="auto"/>
                    <w:left w:val="none" w:sz="0" w:space="0" w:color="auto"/>
                    <w:bottom w:val="none" w:sz="0" w:space="0" w:color="auto"/>
                    <w:right w:val="none" w:sz="0" w:space="0" w:color="auto"/>
                  </w:divBdr>
                  <w:divsChild>
                    <w:div w:id="239559422">
                      <w:marLeft w:val="0"/>
                      <w:marRight w:val="0"/>
                      <w:marTop w:val="0"/>
                      <w:marBottom w:val="0"/>
                      <w:divBdr>
                        <w:top w:val="none" w:sz="0" w:space="0" w:color="auto"/>
                        <w:left w:val="none" w:sz="0" w:space="0" w:color="auto"/>
                        <w:bottom w:val="none" w:sz="0" w:space="0" w:color="auto"/>
                        <w:right w:val="none" w:sz="0" w:space="0" w:color="auto"/>
                      </w:divBdr>
                    </w:div>
                  </w:divsChild>
                </w:div>
                <w:div w:id="1658608578">
                  <w:marLeft w:val="0"/>
                  <w:marRight w:val="0"/>
                  <w:marTop w:val="0"/>
                  <w:marBottom w:val="0"/>
                  <w:divBdr>
                    <w:top w:val="none" w:sz="0" w:space="0" w:color="auto"/>
                    <w:left w:val="none" w:sz="0" w:space="0" w:color="auto"/>
                    <w:bottom w:val="none" w:sz="0" w:space="0" w:color="auto"/>
                    <w:right w:val="none" w:sz="0" w:space="0" w:color="auto"/>
                  </w:divBdr>
                  <w:divsChild>
                    <w:div w:id="1720856662">
                      <w:marLeft w:val="0"/>
                      <w:marRight w:val="0"/>
                      <w:marTop w:val="0"/>
                      <w:marBottom w:val="0"/>
                      <w:divBdr>
                        <w:top w:val="none" w:sz="0" w:space="0" w:color="auto"/>
                        <w:left w:val="none" w:sz="0" w:space="0" w:color="auto"/>
                        <w:bottom w:val="none" w:sz="0" w:space="0" w:color="auto"/>
                        <w:right w:val="none" w:sz="0" w:space="0" w:color="auto"/>
                      </w:divBdr>
                    </w:div>
                  </w:divsChild>
                </w:div>
                <w:div w:id="1682589481">
                  <w:marLeft w:val="0"/>
                  <w:marRight w:val="0"/>
                  <w:marTop w:val="0"/>
                  <w:marBottom w:val="0"/>
                  <w:divBdr>
                    <w:top w:val="none" w:sz="0" w:space="0" w:color="auto"/>
                    <w:left w:val="none" w:sz="0" w:space="0" w:color="auto"/>
                    <w:bottom w:val="none" w:sz="0" w:space="0" w:color="auto"/>
                    <w:right w:val="none" w:sz="0" w:space="0" w:color="auto"/>
                  </w:divBdr>
                  <w:divsChild>
                    <w:div w:id="2106919729">
                      <w:marLeft w:val="0"/>
                      <w:marRight w:val="0"/>
                      <w:marTop w:val="0"/>
                      <w:marBottom w:val="0"/>
                      <w:divBdr>
                        <w:top w:val="none" w:sz="0" w:space="0" w:color="auto"/>
                        <w:left w:val="none" w:sz="0" w:space="0" w:color="auto"/>
                        <w:bottom w:val="none" w:sz="0" w:space="0" w:color="auto"/>
                        <w:right w:val="none" w:sz="0" w:space="0" w:color="auto"/>
                      </w:divBdr>
                    </w:div>
                  </w:divsChild>
                </w:div>
                <w:div w:id="1690136835">
                  <w:marLeft w:val="0"/>
                  <w:marRight w:val="0"/>
                  <w:marTop w:val="0"/>
                  <w:marBottom w:val="0"/>
                  <w:divBdr>
                    <w:top w:val="none" w:sz="0" w:space="0" w:color="auto"/>
                    <w:left w:val="none" w:sz="0" w:space="0" w:color="auto"/>
                    <w:bottom w:val="none" w:sz="0" w:space="0" w:color="auto"/>
                    <w:right w:val="none" w:sz="0" w:space="0" w:color="auto"/>
                  </w:divBdr>
                  <w:divsChild>
                    <w:div w:id="2020427416">
                      <w:marLeft w:val="0"/>
                      <w:marRight w:val="0"/>
                      <w:marTop w:val="0"/>
                      <w:marBottom w:val="0"/>
                      <w:divBdr>
                        <w:top w:val="none" w:sz="0" w:space="0" w:color="auto"/>
                        <w:left w:val="none" w:sz="0" w:space="0" w:color="auto"/>
                        <w:bottom w:val="none" w:sz="0" w:space="0" w:color="auto"/>
                        <w:right w:val="none" w:sz="0" w:space="0" w:color="auto"/>
                      </w:divBdr>
                    </w:div>
                  </w:divsChild>
                </w:div>
                <w:div w:id="1693917814">
                  <w:marLeft w:val="0"/>
                  <w:marRight w:val="0"/>
                  <w:marTop w:val="0"/>
                  <w:marBottom w:val="0"/>
                  <w:divBdr>
                    <w:top w:val="none" w:sz="0" w:space="0" w:color="auto"/>
                    <w:left w:val="none" w:sz="0" w:space="0" w:color="auto"/>
                    <w:bottom w:val="none" w:sz="0" w:space="0" w:color="auto"/>
                    <w:right w:val="none" w:sz="0" w:space="0" w:color="auto"/>
                  </w:divBdr>
                  <w:divsChild>
                    <w:div w:id="470095296">
                      <w:marLeft w:val="0"/>
                      <w:marRight w:val="0"/>
                      <w:marTop w:val="0"/>
                      <w:marBottom w:val="0"/>
                      <w:divBdr>
                        <w:top w:val="none" w:sz="0" w:space="0" w:color="auto"/>
                        <w:left w:val="none" w:sz="0" w:space="0" w:color="auto"/>
                        <w:bottom w:val="none" w:sz="0" w:space="0" w:color="auto"/>
                        <w:right w:val="none" w:sz="0" w:space="0" w:color="auto"/>
                      </w:divBdr>
                    </w:div>
                  </w:divsChild>
                </w:div>
                <w:div w:id="1706831840">
                  <w:marLeft w:val="0"/>
                  <w:marRight w:val="0"/>
                  <w:marTop w:val="0"/>
                  <w:marBottom w:val="0"/>
                  <w:divBdr>
                    <w:top w:val="none" w:sz="0" w:space="0" w:color="auto"/>
                    <w:left w:val="none" w:sz="0" w:space="0" w:color="auto"/>
                    <w:bottom w:val="none" w:sz="0" w:space="0" w:color="auto"/>
                    <w:right w:val="none" w:sz="0" w:space="0" w:color="auto"/>
                  </w:divBdr>
                  <w:divsChild>
                    <w:div w:id="1467351980">
                      <w:marLeft w:val="0"/>
                      <w:marRight w:val="0"/>
                      <w:marTop w:val="0"/>
                      <w:marBottom w:val="0"/>
                      <w:divBdr>
                        <w:top w:val="none" w:sz="0" w:space="0" w:color="auto"/>
                        <w:left w:val="none" w:sz="0" w:space="0" w:color="auto"/>
                        <w:bottom w:val="none" w:sz="0" w:space="0" w:color="auto"/>
                        <w:right w:val="none" w:sz="0" w:space="0" w:color="auto"/>
                      </w:divBdr>
                    </w:div>
                  </w:divsChild>
                </w:div>
                <w:div w:id="1720855792">
                  <w:marLeft w:val="0"/>
                  <w:marRight w:val="0"/>
                  <w:marTop w:val="0"/>
                  <w:marBottom w:val="0"/>
                  <w:divBdr>
                    <w:top w:val="none" w:sz="0" w:space="0" w:color="auto"/>
                    <w:left w:val="none" w:sz="0" w:space="0" w:color="auto"/>
                    <w:bottom w:val="none" w:sz="0" w:space="0" w:color="auto"/>
                    <w:right w:val="none" w:sz="0" w:space="0" w:color="auto"/>
                  </w:divBdr>
                  <w:divsChild>
                    <w:div w:id="773208838">
                      <w:marLeft w:val="0"/>
                      <w:marRight w:val="0"/>
                      <w:marTop w:val="0"/>
                      <w:marBottom w:val="0"/>
                      <w:divBdr>
                        <w:top w:val="none" w:sz="0" w:space="0" w:color="auto"/>
                        <w:left w:val="none" w:sz="0" w:space="0" w:color="auto"/>
                        <w:bottom w:val="none" w:sz="0" w:space="0" w:color="auto"/>
                        <w:right w:val="none" w:sz="0" w:space="0" w:color="auto"/>
                      </w:divBdr>
                    </w:div>
                  </w:divsChild>
                </w:div>
                <w:div w:id="1775251416">
                  <w:marLeft w:val="0"/>
                  <w:marRight w:val="0"/>
                  <w:marTop w:val="0"/>
                  <w:marBottom w:val="0"/>
                  <w:divBdr>
                    <w:top w:val="none" w:sz="0" w:space="0" w:color="auto"/>
                    <w:left w:val="none" w:sz="0" w:space="0" w:color="auto"/>
                    <w:bottom w:val="none" w:sz="0" w:space="0" w:color="auto"/>
                    <w:right w:val="none" w:sz="0" w:space="0" w:color="auto"/>
                  </w:divBdr>
                  <w:divsChild>
                    <w:div w:id="1380203280">
                      <w:marLeft w:val="0"/>
                      <w:marRight w:val="0"/>
                      <w:marTop w:val="0"/>
                      <w:marBottom w:val="0"/>
                      <w:divBdr>
                        <w:top w:val="none" w:sz="0" w:space="0" w:color="auto"/>
                        <w:left w:val="none" w:sz="0" w:space="0" w:color="auto"/>
                        <w:bottom w:val="none" w:sz="0" w:space="0" w:color="auto"/>
                        <w:right w:val="none" w:sz="0" w:space="0" w:color="auto"/>
                      </w:divBdr>
                    </w:div>
                  </w:divsChild>
                </w:div>
                <w:div w:id="1780753103">
                  <w:marLeft w:val="0"/>
                  <w:marRight w:val="0"/>
                  <w:marTop w:val="0"/>
                  <w:marBottom w:val="0"/>
                  <w:divBdr>
                    <w:top w:val="none" w:sz="0" w:space="0" w:color="auto"/>
                    <w:left w:val="none" w:sz="0" w:space="0" w:color="auto"/>
                    <w:bottom w:val="none" w:sz="0" w:space="0" w:color="auto"/>
                    <w:right w:val="none" w:sz="0" w:space="0" w:color="auto"/>
                  </w:divBdr>
                  <w:divsChild>
                    <w:div w:id="1475100215">
                      <w:marLeft w:val="0"/>
                      <w:marRight w:val="0"/>
                      <w:marTop w:val="0"/>
                      <w:marBottom w:val="0"/>
                      <w:divBdr>
                        <w:top w:val="none" w:sz="0" w:space="0" w:color="auto"/>
                        <w:left w:val="none" w:sz="0" w:space="0" w:color="auto"/>
                        <w:bottom w:val="none" w:sz="0" w:space="0" w:color="auto"/>
                        <w:right w:val="none" w:sz="0" w:space="0" w:color="auto"/>
                      </w:divBdr>
                    </w:div>
                  </w:divsChild>
                </w:div>
                <w:div w:id="1810590990">
                  <w:marLeft w:val="0"/>
                  <w:marRight w:val="0"/>
                  <w:marTop w:val="0"/>
                  <w:marBottom w:val="0"/>
                  <w:divBdr>
                    <w:top w:val="none" w:sz="0" w:space="0" w:color="auto"/>
                    <w:left w:val="none" w:sz="0" w:space="0" w:color="auto"/>
                    <w:bottom w:val="none" w:sz="0" w:space="0" w:color="auto"/>
                    <w:right w:val="none" w:sz="0" w:space="0" w:color="auto"/>
                  </w:divBdr>
                  <w:divsChild>
                    <w:div w:id="2071806863">
                      <w:marLeft w:val="0"/>
                      <w:marRight w:val="0"/>
                      <w:marTop w:val="0"/>
                      <w:marBottom w:val="0"/>
                      <w:divBdr>
                        <w:top w:val="none" w:sz="0" w:space="0" w:color="auto"/>
                        <w:left w:val="none" w:sz="0" w:space="0" w:color="auto"/>
                        <w:bottom w:val="none" w:sz="0" w:space="0" w:color="auto"/>
                        <w:right w:val="none" w:sz="0" w:space="0" w:color="auto"/>
                      </w:divBdr>
                    </w:div>
                  </w:divsChild>
                </w:div>
                <w:div w:id="1837769416">
                  <w:marLeft w:val="0"/>
                  <w:marRight w:val="0"/>
                  <w:marTop w:val="0"/>
                  <w:marBottom w:val="0"/>
                  <w:divBdr>
                    <w:top w:val="none" w:sz="0" w:space="0" w:color="auto"/>
                    <w:left w:val="none" w:sz="0" w:space="0" w:color="auto"/>
                    <w:bottom w:val="none" w:sz="0" w:space="0" w:color="auto"/>
                    <w:right w:val="none" w:sz="0" w:space="0" w:color="auto"/>
                  </w:divBdr>
                  <w:divsChild>
                    <w:div w:id="1720862047">
                      <w:marLeft w:val="0"/>
                      <w:marRight w:val="0"/>
                      <w:marTop w:val="0"/>
                      <w:marBottom w:val="0"/>
                      <w:divBdr>
                        <w:top w:val="none" w:sz="0" w:space="0" w:color="auto"/>
                        <w:left w:val="none" w:sz="0" w:space="0" w:color="auto"/>
                        <w:bottom w:val="none" w:sz="0" w:space="0" w:color="auto"/>
                        <w:right w:val="none" w:sz="0" w:space="0" w:color="auto"/>
                      </w:divBdr>
                    </w:div>
                  </w:divsChild>
                </w:div>
                <w:div w:id="1860124120">
                  <w:marLeft w:val="0"/>
                  <w:marRight w:val="0"/>
                  <w:marTop w:val="0"/>
                  <w:marBottom w:val="0"/>
                  <w:divBdr>
                    <w:top w:val="none" w:sz="0" w:space="0" w:color="auto"/>
                    <w:left w:val="none" w:sz="0" w:space="0" w:color="auto"/>
                    <w:bottom w:val="none" w:sz="0" w:space="0" w:color="auto"/>
                    <w:right w:val="none" w:sz="0" w:space="0" w:color="auto"/>
                  </w:divBdr>
                  <w:divsChild>
                    <w:div w:id="1452163399">
                      <w:marLeft w:val="0"/>
                      <w:marRight w:val="0"/>
                      <w:marTop w:val="0"/>
                      <w:marBottom w:val="0"/>
                      <w:divBdr>
                        <w:top w:val="none" w:sz="0" w:space="0" w:color="auto"/>
                        <w:left w:val="none" w:sz="0" w:space="0" w:color="auto"/>
                        <w:bottom w:val="none" w:sz="0" w:space="0" w:color="auto"/>
                        <w:right w:val="none" w:sz="0" w:space="0" w:color="auto"/>
                      </w:divBdr>
                    </w:div>
                  </w:divsChild>
                </w:div>
                <w:div w:id="1873879480">
                  <w:marLeft w:val="0"/>
                  <w:marRight w:val="0"/>
                  <w:marTop w:val="0"/>
                  <w:marBottom w:val="0"/>
                  <w:divBdr>
                    <w:top w:val="none" w:sz="0" w:space="0" w:color="auto"/>
                    <w:left w:val="none" w:sz="0" w:space="0" w:color="auto"/>
                    <w:bottom w:val="none" w:sz="0" w:space="0" w:color="auto"/>
                    <w:right w:val="none" w:sz="0" w:space="0" w:color="auto"/>
                  </w:divBdr>
                  <w:divsChild>
                    <w:div w:id="745998766">
                      <w:marLeft w:val="0"/>
                      <w:marRight w:val="0"/>
                      <w:marTop w:val="0"/>
                      <w:marBottom w:val="0"/>
                      <w:divBdr>
                        <w:top w:val="none" w:sz="0" w:space="0" w:color="auto"/>
                        <w:left w:val="none" w:sz="0" w:space="0" w:color="auto"/>
                        <w:bottom w:val="none" w:sz="0" w:space="0" w:color="auto"/>
                        <w:right w:val="none" w:sz="0" w:space="0" w:color="auto"/>
                      </w:divBdr>
                    </w:div>
                  </w:divsChild>
                </w:div>
                <w:div w:id="1952004376">
                  <w:marLeft w:val="0"/>
                  <w:marRight w:val="0"/>
                  <w:marTop w:val="0"/>
                  <w:marBottom w:val="0"/>
                  <w:divBdr>
                    <w:top w:val="none" w:sz="0" w:space="0" w:color="auto"/>
                    <w:left w:val="none" w:sz="0" w:space="0" w:color="auto"/>
                    <w:bottom w:val="none" w:sz="0" w:space="0" w:color="auto"/>
                    <w:right w:val="none" w:sz="0" w:space="0" w:color="auto"/>
                  </w:divBdr>
                  <w:divsChild>
                    <w:div w:id="1865629383">
                      <w:marLeft w:val="0"/>
                      <w:marRight w:val="0"/>
                      <w:marTop w:val="0"/>
                      <w:marBottom w:val="0"/>
                      <w:divBdr>
                        <w:top w:val="none" w:sz="0" w:space="0" w:color="auto"/>
                        <w:left w:val="none" w:sz="0" w:space="0" w:color="auto"/>
                        <w:bottom w:val="none" w:sz="0" w:space="0" w:color="auto"/>
                        <w:right w:val="none" w:sz="0" w:space="0" w:color="auto"/>
                      </w:divBdr>
                    </w:div>
                  </w:divsChild>
                </w:div>
                <w:div w:id="1960262297">
                  <w:marLeft w:val="0"/>
                  <w:marRight w:val="0"/>
                  <w:marTop w:val="0"/>
                  <w:marBottom w:val="0"/>
                  <w:divBdr>
                    <w:top w:val="none" w:sz="0" w:space="0" w:color="auto"/>
                    <w:left w:val="none" w:sz="0" w:space="0" w:color="auto"/>
                    <w:bottom w:val="none" w:sz="0" w:space="0" w:color="auto"/>
                    <w:right w:val="none" w:sz="0" w:space="0" w:color="auto"/>
                  </w:divBdr>
                  <w:divsChild>
                    <w:div w:id="2138062595">
                      <w:marLeft w:val="0"/>
                      <w:marRight w:val="0"/>
                      <w:marTop w:val="0"/>
                      <w:marBottom w:val="0"/>
                      <w:divBdr>
                        <w:top w:val="none" w:sz="0" w:space="0" w:color="auto"/>
                        <w:left w:val="none" w:sz="0" w:space="0" w:color="auto"/>
                        <w:bottom w:val="none" w:sz="0" w:space="0" w:color="auto"/>
                        <w:right w:val="none" w:sz="0" w:space="0" w:color="auto"/>
                      </w:divBdr>
                    </w:div>
                  </w:divsChild>
                </w:div>
                <w:div w:id="2013994263">
                  <w:marLeft w:val="0"/>
                  <w:marRight w:val="0"/>
                  <w:marTop w:val="0"/>
                  <w:marBottom w:val="0"/>
                  <w:divBdr>
                    <w:top w:val="none" w:sz="0" w:space="0" w:color="auto"/>
                    <w:left w:val="none" w:sz="0" w:space="0" w:color="auto"/>
                    <w:bottom w:val="none" w:sz="0" w:space="0" w:color="auto"/>
                    <w:right w:val="none" w:sz="0" w:space="0" w:color="auto"/>
                  </w:divBdr>
                  <w:divsChild>
                    <w:div w:id="237709648">
                      <w:marLeft w:val="0"/>
                      <w:marRight w:val="0"/>
                      <w:marTop w:val="0"/>
                      <w:marBottom w:val="0"/>
                      <w:divBdr>
                        <w:top w:val="none" w:sz="0" w:space="0" w:color="auto"/>
                        <w:left w:val="none" w:sz="0" w:space="0" w:color="auto"/>
                        <w:bottom w:val="none" w:sz="0" w:space="0" w:color="auto"/>
                        <w:right w:val="none" w:sz="0" w:space="0" w:color="auto"/>
                      </w:divBdr>
                    </w:div>
                  </w:divsChild>
                </w:div>
                <w:div w:id="2039551141">
                  <w:marLeft w:val="0"/>
                  <w:marRight w:val="0"/>
                  <w:marTop w:val="0"/>
                  <w:marBottom w:val="0"/>
                  <w:divBdr>
                    <w:top w:val="none" w:sz="0" w:space="0" w:color="auto"/>
                    <w:left w:val="none" w:sz="0" w:space="0" w:color="auto"/>
                    <w:bottom w:val="none" w:sz="0" w:space="0" w:color="auto"/>
                    <w:right w:val="none" w:sz="0" w:space="0" w:color="auto"/>
                  </w:divBdr>
                  <w:divsChild>
                    <w:div w:id="2043554982">
                      <w:marLeft w:val="0"/>
                      <w:marRight w:val="0"/>
                      <w:marTop w:val="0"/>
                      <w:marBottom w:val="0"/>
                      <w:divBdr>
                        <w:top w:val="none" w:sz="0" w:space="0" w:color="auto"/>
                        <w:left w:val="none" w:sz="0" w:space="0" w:color="auto"/>
                        <w:bottom w:val="none" w:sz="0" w:space="0" w:color="auto"/>
                        <w:right w:val="none" w:sz="0" w:space="0" w:color="auto"/>
                      </w:divBdr>
                    </w:div>
                    <w:div w:id="209481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71597">
          <w:marLeft w:val="0"/>
          <w:marRight w:val="0"/>
          <w:marTop w:val="0"/>
          <w:marBottom w:val="0"/>
          <w:divBdr>
            <w:top w:val="none" w:sz="0" w:space="0" w:color="auto"/>
            <w:left w:val="none" w:sz="0" w:space="0" w:color="auto"/>
            <w:bottom w:val="none" w:sz="0" w:space="0" w:color="auto"/>
            <w:right w:val="none" w:sz="0" w:space="0" w:color="auto"/>
          </w:divBdr>
          <w:divsChild>
            <w:div w:id="858664636">
              <w:marLeft w:val="-75"/>
              <w:marRight w:val="0"/>
              <w:marTop w:val="30"/>
              <w:marBottom w:val="30"/>
              <w:divBdr>
                <w:top w:val="none" w:sz="0" w:space="0" w:color="auto"/>
                <w:left w:val="none" w:sz="0" w:space="0" w:color="auto"/>
                <w:bottom w:val="none" w:sz="0" w:space="0" w:color="auto"/>
                <w:right w:val="none" w:sz="0" w:space="0" w:color="auto"/>
              </w:divBdr>
              <w:divsChild>
                <w:div w:id="622268783">
                  <w:marLeft w:val="0"/>
                  <w:marRight w:val="0"/>
                  <w:marTop w:val="0"/>
                  <w:marBottom w:val="0"/>
                  <w:divBdr>
                    <w:top w:val="none" w:sz="0" w:space="0" w:color="auto"/>
                    <w:left w:val="none" w:sz="0" w:space="0" w:color="auto"/>
                    <w:bottom w:val="none" w:sz="0" w:space="0" w:color="auto"/>
                    <w:right w:val="none" w:sz="0" w:space="0" w:color="auto"/>
                  </w:divBdr>
                  <w:divsChild>
                    <w:div w:id="1367365909">
                      <w:marLeft w:val="0"/>
                      <w:marRight w:val="0"/>
                      <w:marTop w:val="0"/>
                      <w:marBottom w:val="0"/>
                      <w:divBdr>
                        <w:top w:val="none" w:sz="0" w:space="0" w:color="auto"/>
                        <w:left w:val="none" w:sz="0" w:space="0" w:color="auto"/>
                        <w:bottom w:val="none" w:sz="0" w:space="0" w:color="auto"/>
                        <w:right w:val="none" w:sz="0" w:space="0" w:color="auto"/>
                      </w:divBdr>
                    </w:div>
                  </w:divsChild>
                </w:div>
                <w:div w:id="838496825">
                  <w:marLeft w:val="0"/>
                  <w:marRight w:val="0"/>
                  <w:marTop w:val="0"/>
                  <w:marBottom w:val="0"/>
                  <w:divBdr>
                    <w:top w:val="none" w:sz="0" w:space="0" w:color="auto"/>
                    <w:left w:val="none" w:sz="0" w:space="0" w:color="auto"/>
                    <w:bottom w:val="none" w:sz="0" w:space="0" w:color="auto"/>
                    <w:right w:val="none" w:sz="0" w:space="0" w:color="auto"/>
                  </w:divBdr>
                  <w:divsChild>
                    <w:div w:id="1273242377">
                      <w:marLeft w:val="0"/>
                      <w:marRight w:val="0"/>
                      <w:marTop w:val="0"/>
                      <w:marBottom w:val="0"/>
                      <w:divBdr>
                        <w:top w:val="none" w:sz="0" w:space="0" w:color="auto"/>
                        <w:left w:val="none" w:sz="0" w:space="0" w:color="auto"/>
                        <w:bottom w:val="none" w:sz="0" w:space="0" w:color="auto"/>
                        <w:right w:val="none" w:sz="0" w:space="0" w:color="auto"/>
                      </w:divBdr>
                    </w:div>
                  </w:divsChild>
                </w:div>
                <w:div w:id="903612428">
                  <w:marLeft w:val="0"/>
                  <w:marRight w:val="0"/>
                  <w:marTop w:val="0"/>
                  <w:marBottom w:val="0"/>
                  <w:divBdr>
                    <w:top w:val="none" w:sz="0" w:space="0" w:color="auto"/>
                    <w:left w:val="none" w:sz="0" w:space="0" w:color="auto"/>
                    <w:bottom w:val="none" w:sz="0" w:space="0" w:color="auto"/>
                    <w:right w:val="none" w:sz="0" w:space="0" w:color="auto"/>
                  </w:divBdr>
                  <w:divsChild>
                    <w:div w:id="982464357">
                      <w:marLeft w:val="0"/>
                      <w:marRight w:val="0"/>
                      <w:marTop w:val="0"/>
                      <w:marBottom w:val="0"/>
                      <w:divBdr>
                        <w:top w:val="none" w:sz="0" w:space="0" w:color="auto"/>
                        <w:left w:val="none" w:sz="0" w:space="0" w:color="auto"/>
                        <w:bottom w:val="none" w:sz="0" w:space="0" w:color="auto"/>
                        <w:right w:val="none" w:sz="0" w:space="0" w:color="auto"/>
                      </w:divBdr>
                    </w:div>
                  </w:divsChild>
                </w:div>
                <w:div w:id="1115634223">
                  <w:marLeft w:val="0"/>
                  <w:marRight w:val="0"/>
                  <w:marTop w:val="0"/>
                  <w:marBottom w:val="0"/>
                  <w:divBdr>
                    <w:top w:val="none" w:sz="0" w:space="0" w:color="auto"/>
                    <w:left w:val="none" w:sz="0" w:space="0" w:color="auto"/>
                    <w:bottom w:val="none" w:sz="0" w:space="0" w:color="auto"/>
                    <w:right w:val="none" w:sz="0" w:space="0" w:color="auto"/>
                  </w:divBdr>
                  <w:divsChild>
                    <w:div w:id="700597131">
                      <w:marLeft w:val="0"/>
                      <w:marRight w:val="0"/>
                      <w:marTop w:val="0"/>
                      <w:marBottom w:val="0"/>
                      <w:divBdr>
                        <w:top w:val="none" w:sz="0" w:space="0" w:color="auto"/>
                        <w:left w:val="none" w:sz="0" w:space="0" w:color="auto"/>
                        <w:bottom w:val="none" w:sz="0" w:space="0" w:color="auto"/>
                        <w:right w:val="none" w:sz="0" w:space="0" w:color="auto"/>
                      </w:divBdr>
                    </w:div>
                  </w:divsChild>
                </w:div>
                <w:div w:id="1392652181">
                  <w:marLeft w:val="0"/>
                  <w:marRight w:val="0"/>
                  <w:marTop w:val="0"/>
                  <w:marBottom w:val="0"/>
                  <w:divBdr>
                    <w:top w:val="none" w:sz="0" w:space="0" w:color="auto"/>
                    <w:left w:val="none" w:sz="0" w:space="0" w:color="auto"/>
                    <w:bottom w:val="none" w:sz="0" w:space="0" w:color="auto"/>
                    <w:right w:val="none" w:sz="0" w:space="0" w:color="auto"/>
                  </w:divBdr>
                  <w:divsChild>
                    <w:div w:id="1815216901">
                      <w:marLeft w:val="0"/>
                      <w:marRight w:val="0"/>
                      <w:marTop w:val="0"/>
                      <w:marBottom w:val="0"/>
                      <w:divBdr>
                        <w:top w:val="none" w:sz="0" w:space="0" w:color="auto"/>
                        <w:left w:val="none" w:sz="0" w:space="0" w:color="auto"/>
                        <w:bottom w:val="none" w:sz="0" w:space="0" w:color="auto"/>
                        <w:right w:val="none" w:sz="0" w:space="0" w:color="auto"/>
                      </w:divBdr>
                    </w:div>
                  </w:divsChild>
                </w:div>
                <w:div w:id="1434394679">
                  <w:marLeft w:val="0"/>
                  <w:marRight w:val="0"/>
                  <w:marTop w:val="0"/>
                  <w:marBottom w:val="0"/>
                  <w:divBdr>
                    <w:top w:val="none" w:sz="0" w:space="0" w:color="auto"/>
                    <w:left w:val="none" w:sz="0" w:space="0" w:color="auto"/>
                    <w:bottom w:val="none" w:sz="0" w:space="0" w:color="auto"/>
                    <w:right w:val="none" w:sz="0" w:space="0" w:color="auto"/>
                  </w:divBdr>
                  <w:divsChild>
                    <w:div w:id="355425569">
                      <w:marLeft w:val="0"/>
                      <w:marRight w:val="0"/>
                      <w:marTop w:val="0"/>
                      <w:marBottom w:val="0"/>
                      <w:divBdr>
                        <w:top w:val="none" w:sz="0" w:space="0" w:color="auto"/>
                        <w:left w:val="none" w:sz="0" w:space="0" w:color="auto"/>
                        <w:bottom w:val="none" w:sz="0" w:space="0" w:color="auto"/>
                        <w:right w:val="none" w:sz="0" w:space="0" w:color="auto"/>
                      </w:divBdr>
                    </w:div>
                  </w:divsChild>
                </w:div>
                <w:div w:id="1506821950">
                  <w:marLeft w:val="0"/>
                  <w:marRight w:val="0"/>
                  <w:marTop w:val="0"/>
                  <w:marBottom w:val="0"/>
                  <w:divBdr>
                    <w:top w:val="none" w:sz="0" w:space="0" w:color="auto"/>
                    <w:left w:val="none" w:sz="0" w:space="0" w:color="auto"/>
                    <w:bottom w:val="none" w:sz="0" w:space="0" w:color="auto"/>
                    <w:right w:val="none" w:sz="0" w:space="0" w:color="auto"/>
                  </w:divBdr>
                  <w:divsChild>
                    <w:div w:id="680201302">
                      <w:marLeft w:val="0"/>
                      <w:marRight w:val="0"/>
                      <w:marTop w:val="0"/>
                      <w:marBottom w:val="0"/>
                      <w:divBdr>
                        <w:top w:val="none" w:sz="0" w:space="0" w:color="auto"/>
                        <w:left w:val="none" w:sz="0" w:space="0" w:color="auto"/>
                        <w:bottom w:val="none" w:sz="0" w:space="0" w:color="auto"/>
                        <w:right w:val="none" w:sz="0" w:space="0" w:color="auto"/>
                      </w:divBdr>
                    </w:div>
                  </w:divsChild>
                </w:div>
                <w:div w:id="1889799569">
                  <w:marLeft w:val="0"/>
                  <w:marRight w:val="0"/>
                  <w:marTop w:val="0"/>
                  <w:marBottom w:val="0"/>
                  <w:divBdr>
                    <w:top w:val="none" w:sz="0" w:space="0" w:color="auto"/>
                    <w:left w:val="none" w:sz="0" w:space="0" w:color="auto"/>
                    <w:bottom w:val="none" w:sz="0" w:space="0" w:color="auto"/>
                    <w:right w:val="none" w:sz="0" w:space="0" w:color="auto"/>
                  </w:divBdr>
                  <w:divsChild>
                    <w:div w:id="1871719370">
                      <w:marLeft w:val="0"/>
                      <w:marRight w:val="0"/>
                      <w:marTop w:val="0"/>
                      <w:marBottom w:val="0"/>
                      <w:divBdr>
                        <w:top w:val="none" w:sz="0" w:space="0" w:color="auto"/>
                        <w:left w:val="none" w:sz="0" w:space="0" w:color="auto"/>
                        <w:bottom w:val="none" w:sz="0" w:space="0" w:color="auto"/>
                        <w:right w:val="none" w:sz="0" w:space="0" w:color="auto"/>
                      </w:divBdr>
                    </w:div>
                  </w:divsChild>
                </w:div>
                <w:div w:id="2097093331">
                  <w:marLeft w:val="0"/>
                  <w:marRight w:val="0"/>
                  <w:marTop w:val="0"/>
                  <w:marBottom w:val="0"/>
                  <w:divBdr>
                    <w:top w:val="none" w:sz="0" w:space="0" w:color="auto"/>
                    <w:left w:val="none" w:sz="0" w:space="0" w:color="auto"/>
                    <w:bottom w:val="none" w:sz="0" w:space="0" w:color="auto"/>
                    <w:right w:val="none" w:sz="0" w:space="0" w:color="auto"/>
                  </w:divBdr>
                  <w:divsChild>
                    <w:div w:id="18622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00289">
          <w:marLeft w:val="0"/>
          <w:marRight w:val="0"/>
          <w:marTop w:val="0"/>
          <w:marBottom w:val="0"/>
          <w:divBdr>
            <w:top w:val="none" w:sz="0" w:space="0" w:color="auto"/>
            <w:left w:val="none" w:sz="0" w:space="0" w:color="auto"/>
            <w:bottom w:val="none" w:sz="0" w:space="0" w:color="auto"/>
            <w:right w:val="none" w:sz="0" w:space="0" w:color="auto"/>
          </w:divBdr>
          <w:divsChild>
            <w:div w:id="7678074">
              <w:marLeft w:val="0"/>
              <w:marRight w:val="0"/>
              <w:marTop w:val="0"/>
              <w:marBottom w:val="0"/>
              <w:divBdr>
                <w:top w:val="none" w:sz="0" w:space="0" w:color="auto"/>
                <w:left w:val="none" w:sz="0" w:space="0" w:color="auto"/>
                <w:bottom w:val="none" w:sz="0" w:space="0" w:color="auto"/>
                <w:right w:val="none" w:sz="0" w:space="0" w:color="auto"/>
              </w:divBdr>
            </w:div>
            <w:div w:id="425658323">
              <w:marLeft w:val="0"/>
              <w:marRight w:val="0"/>
              <w:marTop w:val="0"/>
              <w:marBottom w:val="0"/>
              <w:divBdr>
                <w:top w:val="none" w:sz="0" w:space="0" w:color="auto"/>
                <w:left w:val="none" w:sz="0" w:space="0" w:color="auto"/>
                <w:bottom w:val="none" w:sz="0" w:space="0" w:color="auto"/>
                <w:right w:val="none" w:sz="0" w:space="0" w:color="auto"/>
              </w:divBdr>
            </w:div>
            <w:div w:id="677083050">
              <w:marLeft w:val="0"/>
              <w:marRight w:val="0"/>
              <w:marTop w:val="0"/>
              <w:marBottom w:val="0"/>
              <w:divBdr>
                <w:top w:val="none" w:sz="0" w:space="0" w:color="auto"/>
                <w:left w:val="none" w:sz="0" w:space="0" w:color="auto"/>
                <w:bottom w:val="none" w:sz="0" w:space="0" w:color="auto"/>
                <w:right w:val="none" w:sz="0" w:space="0" w:color="auto"/>
              </w:divBdr>
            </w:div>
            <w:div w:id="949704352">
              <w:marLeft w:val="0"/>
              <w:marRight w:val="0"/>
              <w:marTop w:val="0"/>
              <w:marBottom w:val="0"/>
              <w:divBdr>
                <w:top w:val="none" w:sz="0" w:space="0" w:color="auto"/>
                <w:left w:val="none" w:sz="0" w:space="0" w:color="auto"/>
                <w:bottom w:val="none" w:sz="0" w:space="0" w:color="auto"/>
                <w:right w:val="none" w:sz="0" w:space="0" w:color="auto"/>
              </w:divBdr>
            </w:div>
            <w:div w:id="1203860196">
              <w:marLeft w:val="0"/>
              <w:marRight w:val="0"/>
              <w:marTop w:val="0"/>
              <w:marBottom w:val="0"/>
              <w:divBdr>
                <w:top w:val="none" w:sz="0" w:space="0" w:color="auto"/>
                <w:left w:val="none" w:sz="0" w:space="0" w:color="auto"/>
                <w:bottom w:val="none" w:sz="0" w:space="0" w:color="auto"/>
                <w:right w:val="none" w:sz="0" w:space="0" w:color="auto"/>
              </w:divBdr>
            </w:div>
            <w:div w:id="1271666272">
              <w:marLeft w:val="0"/>
              <w:marRight w:val="0"/>
              <w:marTop w:val="0"/>
              <w:marBottom w:val="0"/>
              <w:divBdr>
                <w:top w:val="none" w:sz="0" w:space="0" w:color="auto"/>
                <w:left w:val="none" w:sz="0" w:space="0" w:color="auto"/>
                <w:bottom w:val="none" w:sz="0" w:space="0" w:color="auto"/>
                <w:right w:val="none" w:sz="0" w:space="0" w:color="auto"/>
              </w:divBdr>
            </w:div>
            <w:div w:id="1321428652">
              <w:marLeft w:val="0"/>
              <w:marRight w:val="0"/>
              <w:marTop w:val="0"/>
              <w:marBottom w:val="0"/>
              <w:divBdr>
                <w:top w:val="none" w:sz="0" w:space="0" w:color="auto"/>
                <w:left w:val="none" w:sz="0" w:space="0" w:color="auto"/>
                <w:bottom w:val="none" w:sz="0" w:space="0" w:color="auto"/>
                <w:right w:val="none" w:sz="0" w:space="0" w:color="auto"/>
              </w:divBdr>
            </w:div>
            <w:div w:id="1360204304">
              <w:marLeft w:val="0"/>
              <w:marRight w:val="0"/>
              <w:marTop w:val="0"/>
              <w:marBottom w:val="0"/>
              <w:divBdr>
                <w:top w:val="none" w:sz="0" w:space="0" w:color="auto"/>
                <w:left w:val="none" w:sz="0" w:space="0" w:color="auto"/>
                <w:bottom w:val="none" w:sz="0" w:space="0" w:color="auto"/>
                <w:right w:val="none" w:sz="0" w:space="0" w:color="auto"/>
              </w:divBdr>
            </w:div>
            <w:div w:id="1455636444">
              <w:marLeft w:val="0"/>
              <w:marRight w:val="0"/>
              <w:marTop w:val="0"/>
              <w:marBottom w:val="0"/>
              <w:divBdr>
                <w:top w:val="none" w:sz="0" w:space="0" w:color="auto"/>
                <w:left w:val="none" w:sz="0" w:space="0" w:color="auto"/>
                <w:bottom w:val="none" w:sz="0" w:space="0" w:color="auto"/>
                <w:right w:val="none" w:sz="0" w:space="0" w:color="auto"/>
              </w:divBdr>
            </w:div>
            <w:div w:id="1646622256">
              <w:marLeft w:val="0"/>
              <w:marRight w:val="0"/>
              <w:marTop w:val="0"/>
              <w:marBottom w:val="0"/>
              <w:divBdr>
                <w:top w:val="none" w:sz="0" w:space="0" w:color="auto"/>
                <w:left w:val="none" w:sz="0" w:space="0" w:color="auto"/>
                <w:bottom w:val="none" w:sz="0" w:space="0" w:color="auto"/>
                <w:right w:val="none" w:sz="0" w:space="0" w:color="auto"/>
              </w:divBdr>
            </w:div>
            <w:div w:id="1930693456">
              <w:marLeft w:val="0"/>
              <w:marRight w:val="0"/>
              <w:marTop w:val="0"/>
              <w:marBottom w:val="0"/>
              <w:divBdr>
                <w:top w:val="none" w:sz="0" w:space="0" w:color="auto"/>
                <w:left w:val="none" w:sz="0" w:space="0" w:color="auto"/>
                <w:bottom w:val="none" w:sz="0" w:space="0" w:color="auto"/>
                <w:right w:val="none" w:sz="0" w:space="0" w:color="auto"/>
              </w:divBdr>
            </w:div>
            <w:div w:id="1943413211">
              <w:marLeft w:val="0"/>
              <w:marRight w:val="0"/>
              <w:marTop w:val="0"/>
              <w:marBottom w:val="0"/>
              <w:divBdr>
                <w:top w:val="none" w:sz="0" w:space="0" w:color="auto"/>
                <w:left w:val="none" w:sz="0" w:space="0" w:color="auto"/>
                <w:bottom w:val="none" w:sz="0" w:space="0" w:color="auto"/>
                <w:right w:val="none" w:sz="0" w:space="0" w:color="auto"/>
              </w:divBdr>
            </w:div>
          </w:divsChild>
        </w:div>
        <w:div w:id="2105303898">
          <w:marLeft w:val="0"/>
          <w:marRight w:val="0"/>
          <w:marTop w:val="0"/>
          <w:marBottom w:val="0"/>
          <w:divBdr>
            <w:top w:val="none" w:sz="0" w:space="0" w:color="auto"/>
            <w:left w:val="none" w:sz="0" w:space="0" w:color="auto"/>
            <w:bottom w:val="none" w:sz="0" w:space="0" w:color="auto"/>
            <w:right w:val="none" w:sz="0" w:space="0" w:color="auto"/>
          </w:divBdr>
          <w:divsChild>
            <w:div w:id="1207523928">
              <w:marLeft w:val="-75"/>
              <w:marRight w:val="0"/>
              <w:marTop w:val="30"/>
              <w:marBottom w:val="30"/>
              <w:divBdr>
                <w:top w:val="none" w:sz="0" w:space="0" w:color="auto"/>
                <w:left w:val="none" w:sz="0" w:space="0" w:color="auto"/>
                <w:bottom w:val="none" w:sz="0" w:space="0" w:color="auto"/>
                <w:right w:val="none" w:sz="0" w:space="0" w:color="auto"/>
              </w:divBdr>
              <w:divsChild>
                <w:div w:id="148333103">
                  <w:marLeft w:val="0"/>
                  <w:marRight w:val="0"/>
                  <w:marTop w:val="0"/>
                  <w:marBottom w:val="0"/>
                  <w:divBdr>
                    <w:top w:val="none" w:sz="0" w:space="0" w:color="auto"/>
                    <w:left w:val="none" w:sz="0" w:space="0" w:color="auto"/>
                    <w:bottom w:val="none" w:sz="0" w:space="0" w:color="auto"/>
                    <w:right w:val="none" w:sz="0" w:space="0" w:color="auto"/>
                  </w:divBdr>
                  <w:divsChild>
                    <w:div w:id="1153329847">
                      <w:marLeft w:val="0"/>
                      <w:marRight w:val="0"/>
                      <w:marTop w:val="0"/>
                      <w:marBottom w:val="0"/>
                      <w:divBdr>
                        <w:top w:val="none" w:sz="0" w:space="0" w:color="auto"/>
                        <w:left w:val="none" w:sz="0" w:space="0" w:color="auto"/>
                        <w:bottom w:val="none" w:sz="0" w:space="0" w:color="auto"/>
                        <w:right w:val="none" w:sz="0" w:space="0" w:color="auto"/>
                      </w:divBdr>
                    </w:div>
                  </w:divsChild>
                </w:div>
                <w:div w:id="178743648">
                  <w:marLeft w:val="0"/>
                  <w:marRight w:val="0"/>
                  <w:marTop w:val="0"/>
                  <w:marBottom w:val="0"/>
                  <w:divBdr>
                    <w:top w:val="none" w:sz="0" w:space="0" w:color="auto"/>
                    <w:left w:val="none" w:sz="0" w:space="0" w:color="auto"/>
                    <w:bottom w:val="none" w:sz="0" w:space="0" w:color="auto"/>
                    <w:right w:val="none" w:sz="0" w:space="0" w:color="auto"/>
                  </w:divBdr>
                  <w:divsChild>
                    <w:div w:id="1202746410">
                      <w:marLeft w:val="0"/>
                      <w:marRight w:val="0"/>
                      <w:marTop w:val="0"/>
                      <w:marBottom w:val="0"/>
                      <w:divBdr>
                        <w:top w:val="none" w:sz="0" w:space="0" w:color="auto"/>
                        <w:left w:val="none" w:sz="0" w:space="0" w:color="auto"/>
                        <w:bottom w:val="none" w:sz="0" w:space="0" w:color="auto"/>
                        <w:right w:val="none" w:sz="0" w:space="0" w:color="auto"/>
                      </w:divBdr>
                    </w:div>
                  </w:divsChild>
                </w:div>
                <w:div w:id="224528468">
                  <w:marLeft w:val="0"/>
                  <w:marRight w:val="0"/>
                  <w:marTop w:val="0"/>
                  <w:marBottom w:val="0"/>
                  <w:divBdr>
                    <w:top w:val="none" w:sz="0" w:space="0" w:color="auto"/>
                    <w:left w:val="none" w:sz="0" w:space="0" w:color="auto"/>
                    <w:bottom w:val="none" w:sz="0" w:space="0" w:color="auto"/>
                    <w:right w:val="none" w:sz="0" w:space="0" w:color="auto"/>
                  </w:divBdr>
                  <w:divsChild>
                    <w:div w:id="1465388036">
                      <w:marLeft w:val="0"/>
                      <w:marRight w:val="0"/>
                      <w:marTop w:val="0"/>
                      <w:marBottom w:val="0"/>
                      <w:divBdr>
                        <w:top w:val="none" w:sz="0" w:space="0" w:color="auto"/>
                        <w:left w:val="none" w:sz="0" w:space="0" w:color="auto"/>
                        <w:bottom w:val="none" w:sz="0" w:space="0" w:color="auto"/>
                        <w:right w:val="none" w:sz="0" w:space="0" w:color="auto"/>
                      </w:divBdr>
                    </w:div>
                  </w:divsChild>
                </w:div>
                <w:div w:id="284503618">
                  <w:marLeft w:val="0"/>
                  <w:marRight w:val="0"/>
                  <w:marTop w:val="0"/>
                  <w:marBottom w:val="0"/>
                  <w:divBdr>
                    <w:top w:val="none" w:sz="0" w:space="0" w:color="auto"/>
                    <w:left w:val="none" w:sz="0" w:space="0" w:color="auto"/>
                    <w:bottom w:val="none" w:sz="0" w:space="0" w:color="auto"/>
                    <w:right w:val="none" w:sz="0" w:space="0" w:color="auto"/>
                  </w:divBdr>
                  <w:divsChild>
                    <w:div w:id="2073431418">
                      <w:marLeft w:val="0"/>
                      <w:marRight w:val="0"/>
                      <w:marTop w:val="0"/>
                      <w:marBottom w:val="0"/>
                      <w:divBdr>
                        <w:top w:val="none" w:sz="0" w:space="0" w:color="auto"/>
                        <w:left w:val="none" w:sz="0" w:space="0" w:color="auto"/>
                        <w:bottom w:val="none" w:sz="0" w:space="0" w:color="auto"/>
                        <w:right w:val="none" w:sz="0" w:space="0" w:color="auto"/>
                      </w:divBdr>
                    </w:div>
                  </w:divsChild>
                </w:div>
                <w:div w:id="368797672">
                  <w:marLeft w:val="0"/>
                  <w:marRight w:val="0"/>
                  <w:marTop w:val="0"/>
                  <w:marBottom w:val="0"/>
                  <w:divBdr>
                    <w:top w:val="none" w:sz="0" w:space="0" w:color="auto"/>
                    <w:left w:val="none" w:sz="0" w:space="0" w:color="auto"/>
                    <w:bottom w:val="none" w:sz="0" w:space="0" w:color="auto"/>
                    <w:right w:val="none" w:sz="0" w:space="0" w:color="auto"/>
                  </w:divBdr>
                  <w:divsChild>
                    <w:div w:id="2088073018">
                      <w:marLeft w:val="0"/>
                      <w:marRight w:val="0"/>
                      <w:marTop w:val="0"/>
                      <w:marBottom w:val="0"/>
                      <w:divBdr>
                        <w:top w:val="none" w:sz="0" w:space="0" w:color="auto"/>
                        <w:left w:val="none" w:sz="0" w:space="0" w:color="auto"/>
                        <w:bottom w:val="none" w:sz="0" w:space="0" w:color="auto"/>
                        <w:right w:val="none" w:sz="0" w:space="0" w:color="auto"/>
                      </w:divBdr>
                    </w:div>
                  </w:divsChild>
                </w:div>
                <w:div w:id="430009925">
                  <w:marLeft w:val="0"/>
                  <w:marRight w:val="0"/>
                  <w:marTop w:val="0"/>
                  <w:marBottom w:val="0"/>
                  <w:divBdr>
                    <w:top w:val="none" w:sz="0" w:space="0" w:color="auto"/>
                    <w:left w:val="none" w:sz="0" w:space="0" w:color="auto"/>
                    <w:bottom w:val="none" w:sz="0" w:space="0" w:color="auto"/>
                    <w:right w:val="none" w:sz="0" w:space="0" w:color="auto"/>
                  </w:divBdr>
                  <w:divsChild>
                    <w:div w:id="652873853">
                      <w:marLeft w:val="0"/>
                      <w:marRight w:val="0"/>
                      <w:marTop w:val="0"/>
                      <w:marBottom w:val="0"/>
                      <w:divBdr>
                        <w:top w:val="none" w:sz="0" w:space="0" w:color="auto"/>
                        <w:left w:val="none" w:sz="0" w:space="0" w:color="auto"/>
                        <w:bottom w:val="none" w:sz="0" w:space="0" w:color="auto"/>
                        <w:right w:val="none" w:sz="0" w:space="0" w:color="auto"/>
                      </w:divBdr>
                    </w:div>
                  </w:divsChild>
                </w:div>
                <w:div w:id="433062524">
                  <w:marLeft w:val="0"/>
                  <w:marRight w:val="0"/>
                  <w:marTop w:val="0"/>
                  <w:marBottom w:val="0"/>
                  <w:divBdr>
                    <w:top w:val="none" w:sz="0" w:space="0" w:color="auto"/>
                    <w:left w:val="none" w:sz="0" w:space="0" w:color="auto"/>
                    <w:bottom w:val="none" w:sz="0" w:space="0" w:color="auto"/>
                    <w:right w:val="none" w:sz="0" w:space="0" w:color="auto"/>
                  </w:divBdr>
                  <w:divsChild>
                    <w:div w:id="473302547">
                      <w:marLeft w:val="0"/>
                      <w:marRight w:val="0"/>
                      <w:marTop w:val="0"/>
                      <w:marBottom w:val="0"/>
                      <w:divBdr>
                        <w:top w:val="none" w:sz="0" w:space="0" w:color="auto"/>
                        <w:left w:val="none" w:sz="0" w:space="0" w:color="auto"/>
                        <w:bottom w:val="none" w:sz="0" w:space="0" w:color="auto"/>
                        <w:right w:val="none" w:sz="0" w:space="0" w:color="auto"/>
                      </w:divBdr>
                    </w:div>
                  </w:divsChild>
                </w:div>
                <w:div w:id="445857075">
                  <w:marLeft w:val="0"/>
                  <w:marRight w:val="0"/>
                  <w:marTop w:val="0"/>
                  <w:marBottom w:val="0"/>
                  <w:divBdr>
                    <w:top w:val="none" w:sz="0" w:space="0" w:color="auto"/>
                    <w:left w:val="none" w:sz="0" w:space="0" w:color="auto"/>
                    <w:bottom w:val="none" w:sz="0" w:space="0" w:color="auto"/>
                    <w:right w:val="none" w:sz="0" w:space="0" w:color="auto"/>
                  </w:divBdr>
                  <w:divsChild>
                    <w:div w:id="742875690">
                      <w:marLeft w:val="0"/>
                      <w:marRight w:val="0"/>
                      <w:marTop w:val="0"/>
                      <w:marBottom w:val="0"/>
                      <w:divBdr>
                        <w:top w:val="none" w:sz="0" w:space="0" w:color="auto"/>
                        <w:left w:val="none" w:sz="0" w:space="0" w:color="auto"/>
                        <w:bottom w:val="none" w:sz="0" w:space="0" w:color="auto"/>
                        <w:right w:val="none" w:sz="0" w:space="0" w:color="auto"/>
                      </w:divBdr>
                    </w:div>
                  </w:divsChild>
                </w:div>
                <w:div w:id="578177918">
                  <w:marLeft w:val="0"/>
                  <w:marRight w:val="0"/>
                  <w:marTop w:val="0"/>
                  <w:marBottom w:val="0"/>
                  <w:divBdr>
                    <w:top w:val="none" w:sz="0" w:space="0" w:color="auto"/>
                    <w:left w:val="none" w:sz="0" w:space="0" w:color="auto"/>
                    <w:bottom w:val="none" w:sz="0" w:space="0" w:color="auto"/>
                    <w:right w:val="none" w:sz="0" w:space="0" w:color="auto"/>
                  </w:divBdr>
                  <w:divsChild>
                    <w:div w:id="1633294262">
                      <w:marLeft w:val="0"/>
                      <w:marRight w:val="0"/>
                      <w:marTop w:val="0"/>
                      <w:marBottom w:val="0"/>
                      <w:divBdr>
                        <w:top w:val="none" w:sz="0" w:space="0" w:color="auto"/>
                        <w:left w:val="none" w:sz="0" w:space="0" w:color="auto"/>
                        <w:bottom w:val="none" w:sz="0" w:space="0" w:color="auto"/>
                        <w:right w:val="none" w:sz="0" w:space="0" w:color="auto"/>
                      </w:divBdr>
                    </w:div>
                  </w:divsChild>
                </w:div>
                <w:div w:id="588348479">
                  <w:marLeft w:val="0"/>
                  <w:marRight w:val="0"/>
                  <w:marTop w:val="0"/>
                  <w:marBottom w:val="0"/>
                  <w:divBdr>
                    <w:top w:val="none" w:sz="0" w:space="0" w:color="auto"/>
                    <w:left w:val="none" w:sz="0" w:space="0" w:color="auto"/>
                    <w:bottom w:val="none" w:sz="0" w:space="0" w:color="auto"/>
                    <w:right w:val="none" w:sz="0" w:space="0" w:color="auto"/>
                  </w:divBdr>
                  <w:divsChild>
                    <w:div w:id="362555773">
                      <w:marLeft w:val="0"/>
                      <w:marRight w:val="0"/>
                      <w:marTop w:val="0"/>
                      <w:marBottom w:val="0"/>
                      <w:divBdr>
                        <w:top w:val="none" w:sz="0" w:space="0" w:color="auto"/>
                        <w:left w:val="none" w:sz="0" w:space="0" w:color="auto"/>
                        <w:bottom w:val="none" w:sz="0" w:space="0" w:color="auto"/>
                        <w:right w:val="none" w:sz="0" w:space="0" w:color="auto"/>
                      </w:divBdr>
                    </w:div>
                  </w:divsChild>
                </w:div>
                <w:div w:id="618874746">
                  <w:marLeft w:val="0"/>
                  <w:marRight w:val="0"/>
                  <w:marTop w:val="0"/>
                  <w:marBottom w:val="0"/>
                  <w:divBdr>
                    <w:top w:val="none" w:sz="0" w:space="0" w:color="auto"/>
                    <w:left w:val="none" w:sz="0" w:space="0" w:color="auto"/>
                    <w:bottom w:val="none" w:sz="0" w:space="0" w:color="auto"/>
                    <w:right w:val="none" w:sz="0" w:space="0" w:color="auto"/>
                  </w:divBdr>
                  <w:divsChild>
                    <w:div w:id="1872647535">
                      <w:marLeft w:val="0"/>
                      <w:marRight w:val="0"/>
                      <w:marTop w:val="0"/>
                      <w:marBottom w:val="0"/>
                      <w:divBdr>
                        <w:top w:val="none" w:sz="0" w:space="0" w:color="auto"/>
                        <w:left w:val="none" w:sz="0" w:space="0" w:color="auto"/>
                        <w:bottom w:val="none" w:sz="0" w:space="0" w:color="auto"/>
                        <w:right w:val="none" w:sz="0" w:space="0" w:color="auto"/>
                      </w:divBdr>
                    </w:div>
                  </w:divsChild>
                </w:div>
                <w:div w:id="619797332">
                  <w:marLeft w:val="0"/>
                  <w:marRight w:val="0"/>
                  <w:marTop w:val="0"/>
                  <w:marBottom w:val="0"/>
                  <w:divBdr>
                    <w:top w:val="none" w:sz="0" w:space="0" w:color="auto"/>
                    <w:left w:val="none" w:sz="0" w:space="0" w:color="auto"/>
                    <w:bottom w:val="none" w:sz="0" w:space="0" w:color="auto"/>
                    <w:right w:val="none" w:sz="0" w:space="0" w:color="auto"/>
                  </w:divBdr>
                  <w:divsChild>
                    <w:div w:id="1772126158">
                      <w:marLeft w:val="0"/>
                      <w:marRight w:val="0"/>
                      <w:marTop w:val="0"/>
                      <w:marBottom w:val="0"/>
                      <w:divBdr>
                        <w:top w:val="none" w:sz="0" w:space="0" w:color="auto"/>
                        <w:left w:val="none" w:sz="0" w:space="0" w:color="auto"/>
                        <w:bottom w:val="none" w:sz="0" w:space="0" w:color="auto"/>
                        <w:right w:val="none" w:sz="0" w:space="0" w:color="auto"/>
                      </w:divBdr>
                    </w:div>
                  </w:divsChild>
                </w:div>
                <w:div w:id="644817414">
                  <w:marLeft w:val="0"/>
                  <w:marRight w:val="0"/>
                  <w:marTop w:val="0"/>
                  <w:marBottom w:val="0"/>
                  <w:divBdr>
                    <w:top w:val="none" w:sz="0" w:space="0" w:color="auto"/>
                    <w:left w:val="none" w:sz="0" w:space="0" w:color="auto"/>
                    <w:bottom w:val="none" w:sz="0" w:space="0" w:color="auto"/>
                    <w:right w:val="none" w:sz="0" w:space="0" w:color="auto"/>
                  </w:divBdr>
                  <w:divsChild>
                    <w:div w:id="2008705623">
                      <w:marLeft w:val="0"/>
                      <w:marRight w:val="0"/>
                      <w:marTop w:val="0"/>
                      <w:marBottom w:val="0"/>
                      <w:divBdr>
                        <w:top w:val="none" w:sz="0" w:space="0" w:color="auto"/>
                        <w:left w:val="none" w:sz="0" w:space="0" w:color="auto"/>
                        <w:bottom w:val="none" w:sz="0" w:space="0" w:color="auto"/>
                        <w:right w:val="none" w:sz="0" w:space="0" w:color="auto"/>
                      </w:divBdr>
                    </w:div>
                  </w:divsChild>
                </w:div>
                <w:div w:id="645595956">
                  <w:marLeft w:val="0"/>
                  <w:marRight w:val="0"/>
                  <w:marTop w:val="0"/>
                  <w:marBottom w:val="0"/>
                  <w:divBdr>
                    <w:top w:val="none" w:sz="0" w:space="0" w:color="auto"/>
                    <w:left w:val="none" w:sz="0" w:space="0" w:color="auto"/>
                    <w:bottom w:val="none" w:sz="0" w:space="0" w:color="auto"/>
                    <w:right w:val="none" w:sz="0" w:space="0" w:color="auto"/>
                  </w:divBdr>
                  <w:divsChild>
                    <w:div w:id="614946730">
                      <w:marLeft w:val="0"/>
                      <w:marRight w:val="0"/>
                      <w:marTop w:val="0"/>
                      <w:marBottom w:val="0"/>
                      <w:divBdr>
                        <w:top w:val="none" w:sz="0" w:space="0" w:color="auto"/>
                        <w:left w:val="none" w:sz="0" w:space="0" w:color="auto"/>
                        <w:bottom w:val="none" w:sz="0" w:space="0" w:color="auto"/>
                        <w:right w:val="none" w:sz="0" w:space="0" w:color="auto"/>
                      </w:divBdr>
                    </w:div>
                  </w:divsChild>
                </w:div>
                <w:div w:id="854420849">
                  <w:marLeft w:val="0"/>
                  <w:marRight w:val="0"/>
                  <w:marTop w:val="0"/>
                  <w:marBottom w:val="0"/>
                  <w:divBdr>
                    <w:top w:val="none" w:sz="0" w:space="0" w:color="auto"/>
                    <w:left w:val="none" w:sz="0" w:space="0" w:color="auto"/>
                    <w:bottom w:val="none" w:sz="0" w:space="0" w:color="auto"/>
                    <w:right w:val="none" w:sz="0" w:space="0" w:color="auto"/>
                  </w:divBdr>
                  <w:divsChild>
                    <w:div w:id="1869247254">
                      <w:marLeft w:val="0"/>
                      <w:marRight w:val="0"/>
                      <w:marTop w:val="0"/>
                      <w:marBottom w:val="0"/>
                      <w:divBdr>
                        <w:top w:val="none" w:sz="0" w:space="0" w:color="auto"/>
                        <w:left w:val="none" w:sz="0" w:space="0" w:color="auto"/>
                        <w:bottom w:val="none" w:sz="0" w:space="0" w:color="auto"/>
                        <w:right w:val="none" w:sz="0" w:space="0" w:color="auto"/>
                      </w:divBdr>
                    </w:div>
                  </w:divsChild>
                </w:div>
                <w:div w:id="1006319965">
                  <w:marLeft w:val="0"/>
                  <w:marRight w:val="0"/>
                  <w:marTop w:val="0"/>
                  <w:marBottom w:val="0"/>
                  <w:divBdr>
                    <w:top w:val="none" w:sz="0" w:space="0" w:color="auto"/>
                    <w:left w:val="none" w:sz="0" w:space="0" w:color="auto"/>
                    <w:bottom w:val="none" w:sz="0" w:space="0" w:color="auto"/>
                    <w:right w:val="none" w:sz="0" w:space="0" w:color="auto"/>
                  </w:divBdr>
                  <w:divsChild>
                    <w:div w:id="1087262680">
                      <w:marLeft w:val="0"/>
                      <w:marRight w:val="0"/>
                      <w:marTop w:val="0"/>
                      <w:marBottom w:val="0"/>
                      <w:divBdr>
                        <w:top w:val="none" w:sz="0" w:space="0" w:color="auto"/>
                        <w:left w:val="none" w:sz="0" w:space="0" w:color="auto"/>
                        <w:bottom w:val="none" w:sz="0" w:space="0" w:color="auto"/>
                        <w:right w:val="none" w:sz="0" w:space="0" w:color="auto"/>
                      </w:divBdr>
                    </w:div>
                  </w:divsChild>
                </w:div>
                <w:div w:id="1030568889">
                  <w:marLeft w:val="0"/>
                  <w:marRight w:val="0"/>
                  <w:marTop w:val="0"/>
                  <w:marBottom w:val="0"/>
                  <w:divBdr>
                    <w:top w:val="none" w:sz="0" w:space="0" w:color="auto"/>
                    <w:left w:val="none" w:sz="0" w:space="0" w:color="auto"/>
                    <w:bottom w:val="none" w:sz="0" w:space="0" w:color="auto"/>
                    <w:right w:val="none" w:sz="0" w:space="0" w:color="auto"/>
                  </w:divBdr>
                  <w:divsChild>
                    <w:div w:id="207689881">
                      <w:marLeft w:val="0"/>
                      <w:marRight w:val="0"/>
                      <w:marTop w:val="0"/>
                      <w:marBottom w:val="0"/>
                      <w:divBdr>
                        <w:top w:val="none" w:sz="0" w:space="0" w:color="auto"/>
                        <w:left w:val="none" w:sz="0" w:space="0" w:color="auto"/>
                        <w:bottom w:val="none" w:sz="0" w:space="0" w:color="auto"/>
                        <w:right w:val="none" w:sz="0" w:space="0" w:color="auto"/>
                      </w:divBdr>
                    </w:div>
                  </w:divsChild>
                </w:div>
                <w:div w:id="1041053980">
                  <w:marLeft w:val="0"/>
                  <w:marRight w:val="0"/>
                  <w:marTop w:val="0"/>
                  <w:marBottom w:val="0"/>
                  <w:divBdr>
                    <w:top w:val="none" w:sz="0" w:space="0" w:color="auto"/>
                    <w:left w:val="none" w:sz="0" w:space="0" w:color="auto"/>
                    <w:bottom w:val="none" w:sz="0" w:space="0" w:color="auto"/>
                    <w:right w:val="none" w:sz="0" w:space="0" w:color="auto"/>
                  </w:divBdr>
                  <w:divsChild>
                    <w:div w:id="1088118428">
                      <w:marLeft w:val="0"/>
                      <w:marRight w:val="0"/>
                      <w:marTop w:val="0"/>
                      <w:marBottom w:val="0"/>
                      <w:divBdr>
                        <w:top w:val="none" w:sz="0" w:space="0" w:color="auto"/>
                        <w:left w:val="none" w:sz="0" w:space="0" w:color="auto"/>
                        <w:bottom w:val="none" w:sz="0" w:space="0" w:color="auto"/>
                        <w:right w:val="none" w:sz="0" w:space="0" w:color="auto"/>
                      </w:divBdr>
                    </w:div>
                  </w:divsChild>
                </w:div>
                <w:div w:id="1044646597">
                  <w:marLeft w:val="0"/>
                  <w:marRight w:val="0"/>
                  <w:marTop w:val="0"/>
                  <w:marBottom w:val="0"/>
                  <w:divBdr>
                    <w:top w:val="none" w:sz="0" w:space="0" w:color="auto"/>
                    <w:left w:val="none" w:sz="0" w:space="0" w:color="auto"/>
                    <w:bottom w:val="none" w:sz="0" w:space="0" w:color="auto"/>
                    <w:right w:val="none" w:sz="0" w:space="0" w:color="auto"/>
                  </w:divBdr>
                  <w:divsChild>
                    <w:div w:id="927887519">
                      <w:marLeft w:val="0"/>
                      <w:marRight w:val="0"/>
                      <w:marTop w:val="0"/>
                      <w:marBottom w:val="0"/>
                      <w:divBdr>
                        <w:top w:val="none" w:sz="0" w:space="0" w:color="auto"/>
                        <w:left w:val="none" w:sz="0" w:space="0" w:color="auto"/>
                        <w:bottom w:val="none" w:sz="0" w:space="0" w:color="auto"/>
                        <w:right w:val="none" w:sz="0" w:space="0" w:color="auto"/>
                      </w:divBdr>
                    </w:div>
                  </w:divsChild>
                </w:div>
                <w:div w:id="1066685379">
                  <w:marLeft w:val="0"/>
                  <w:marRight w:val="0"/>
                  <w:marTop w:val="0"/>
                  <w:marBottom w:val="0"/>
                  <w:divBdr>
                    <w:top w:val="none" w:sz="0" w:space="0" w:color="auto"/>
                    <w:left w:val="none" w:sz="0" w:space="0" w:color="auto"/>
                    <w:bottom w:val="none" w:sz="0" w:space="0" w:color="auto"/>
                    <w:right w:val="none" w:sz="0" w:space="0" w:color="auto"/>
                  </w:divBdr>
                  <w:divsChild>
                    <w:div w:id="1767261187">
                      <w:marLeft w:val="0"/>
                      <w:marRight w:val="0"/>
                      <w:marTop w:val="0"/>
                      <w:marBottom w:val="0"/>
                      <w:divBdr>
                        <w:top w:val="none" w:sz="0" w:space="0" w:color="auto"/>
                        <w:left w:val="none" w:sz="0" w:space="0" w:color="auto"/>
                        <w:bottom w:val="none" w:sz="0" w:space="0" w:color="auto"/>
                        <w:right w:val="none" w:sz="0" w:space="0" w:color="auto"/>
                      </w:divBdr>
                    </w:div>
                  </w:divsChild>
                </w:div>
                <w:div w:id="1075785248">
                  <w:marLeft w:val="0"/>
                  <w:marRight w:val="0"/>
                  <w:marTop w:val="0"/>
                  <w:marBottom w:val="0"/>
                  <w:divBdr>
                    <w:top w:val="none" w:sz="0" w:space="0" w:color="auto"/>
                    <w:left w:val="none" w:sz="0" w:space="0" w:color="auto"/>
                    <w:bottom w:val="none" w:sz="0" w:space="0" w:color="auto"/>
                    <w:right w:val="none" w:sz="0" w:space="0" w:color="auto"/>
                  </w:divBdr>
                  <w:divsChild>
                    <w:div w:id="2025401545">
                      <w:marLeft w:val="0"/>
                      <w:marRight w:val="0"/>
                      <w:marTop w:val="0"/>
                      <w:marBottom w:val="0"/>
                      <w:divBdr>
                        <w:top w:val="none" w:sz="0" w:space="0" w:color="auto"/>
                        <w:left w:val="none" w:sz="0" w:space="0" w:color="auto"/>
                        <w:bottom w:val="none" w:sz="0" w:space="0" w:color="auto"/>
                        <w:right w:val="none" w:sz="0" w:space="0" w:color="auto"/>
                      </w:divBdr>
                    </w:div>
                  </w:divsChild>
                </w:div>
                <w:div w:id="1111822266">
                  <w:marLeft w:val="0"/>
                  <w:marRight w:val="0"/>
                  <w:marTop w:val="0"/>
                  <w:marBottom w:val="0"/>
                  <w:divBdr>
                    <w:top w:val="none" w:sz="0" w:space="0" w:color="auto"/>
                    <w:left w:val="none" w:sz="0" w:space="0" w:color="auto"/>
                    <w:bottom w:val="none" w:sz="0" w:space="0" w:color="auto"/>
                    <w:right w:val="none" w:sz="0" w:space="0" w:color="auto"/>
                  </w:divBdr>
                  <w:divsChild>
                    <w:div w:id="1312515274">
                      <w:marLeft w:val="0"/>
                      <w:marRight w:val="0"/>
                      <w:marTop w:val="0"/>
                      <w:marBottom w:val="0"/>
                      <w:divBdr>
                        <w:top w:val="none" w:sz="0" w:space="0" w:color="auto"/>
                        <w:left w:val="none" w:sz="0" w:space="0" w:color="auto"/>
                        <w:bottom w:val="none" w:sz="0" w:space="0" w:color="auto"/>
                        <w:right w:val="none" w:sz="0" w:space="0" w:color="auto"/>
                      </w:divBdr>
                    </w:div>
                  </w:divsChild>
                </w:div>
                <w:div w:id="1229220484">
                  <w:marLeft w:val="0"/>
                  <w:marRight w:val="0"/>
                  <w:marTop w:val="0"/>
                  <w:marBottom w:val="0"/>
                  <w:divBdr>
                    <w:top w:val="none" w:sz="0" w:space="0" w:color="auto"/>
                    <w:left w:val="none" w:sz="0" w:space="0" w:color="auto"/>
                    <w:bottom w:val="none" w:sz="0" w:space="0" w:color="auto"/>
                    <w:right w:val="none" w:sz="0" w:space="0" w:color="auto"/>
                  </w:divBdr>
                  <w:divsChild>
                    <w:div w:id="250511347">
                      <w:marLeft w:val="0"/>
                      <w:marRight w:val="0"/>
                      <w:marTop w:val="0"/>
                      <w:marBottom w:val="0"/>
                      <w:divBdr>
                        <w:top w:val="none" w:sz="0" w:space="0" w:color="auto"/>
                        <w:left w:val="none" w:sz="0" w:space="0" w:color="auto"/>
                        <w:bottom w:val="none" w:sz="0" w:space="0" w:color="auto"/>
                        <w:right w:val="none" w:sz="0" w:space="0" w:color="auto"/>
                      </w:divBdr>
                    </w:div>
                  </w:divsChild>
                </w:div>
                <w:div w:id="1239904460">
                  <w:marLeft w:val="0"/>
                  <w:marRight w:val="0"/>
                  <w:marTop w:val="0"/>
                  <w:marBottom w:val="0"/>
                  <w:divBdr>
                    <w:top w:val="none" w:sz="0" w:space="0" w:color="auto"/>
                    <w:left w:val="none" w:sz="0" w:space="0" w:color="auto"/>
                    <w:bottom w:val="none" w:sz="0" w:space="0" w:color="auto"/>
                    <w:right w:val="none" w:sz="0" w:space="0" w:color="auto"/>
                  </w:divBdr>
                  <w:divsChild>
                    <w:div w:id="1955361328">
                      <w:marLeft w:val="0"/>
                      <w:marRight w:val="0"/>
                      <w:marTop w:val="0"/>
                      <w:marBottom w:val="0"/>
                      <w:divBdr>
                        <w:top w:val="none" w:sz="0" w:space="0" w:color="auto"/>
                        <w:left w:val="none" w:sz="0" w:space="0" w:color="auto"/>
                        <w:bottom w:val="none" w:sz="0" w:space="0" w:color="auto"/>
                        <w:right w:val="none" w:sz="0" w:space="0" w:color="auto"/>
                      </w:divBdr>
                    </w:div>
                  </w:divsChild>
                </w:div>
                <w:div w:id="1261451391">
                  <w:marLeft w:val="0"/>
                  <w:marRight w:val="0"/>
                  <w:marTop w:val="0"/>
                  <w:marBottom w:val="0"/>
                  <w:divBdr>
                    <w:top w:val="none" w:sz="0" w:space="0" w:color="auto"/>
                    <w:left w:val="none" w:sz="0" w:space="0" w:color="auto"/>
                    <w:bottom w:val="none" w:sz="0" w:space="0" w:color="auto"/>
                    <w:right w:val="none" w:sz="0" w:space="0" w:color="auto"/>
                  </w:divBdr>
                  <w:divsChild>
                    <w:div w:id="382409668">
                      <w:marLeft w:val="0"/>
                      <w:marRight w:val="0"/>
                      <w:marTop w:val="0"/>
                      <w:marBottom w:val="0"/>
                      <w:divBdr>
                        <w:top w:val="none" w:sz="0" w:space="0" w:color="auto"/>
                        <w:left w:val="none" w:sz="0" w:space="0" w:color="auto"/>
                        <w:bottom w:val="none" w:sz="0" w:space="0" w:color="auto"/>
                        <w:right w:val="none" w:sz="0" w:space="0" w:color="auto"/>
                      </w:divBdr>
                    </w:div>
                  </w:divsChild>
                </w:div>
                <w:div w:id="1327856708">
                  <w:marLeft w:val="0"/>
                  <w:marRight w:val="0"/>
                  <w:marTop w:val="0"/>
                  <w:marBottom w:val="0"/>
                  <w:divBdr>
                    <w:top w:val="none" w:sz="0" w:space="0" w:color="auto"/>
                    <w:left w:val="none" w:sz="0" w:space="0" w:color="auto"/>
                    <w:bottom w:val="none" w:sz="0" w:space="0" w:color="auto"/>
                    <w:right w:val="none" w:sz="0" w:space="0" w:color="auto"/>
                  </w:divBdr>
                  <w:divsChild>
                    <w:div w:id="860439489">
                      <w:marLeft w:val="0"/>
                      <w:marRight w:val="0"/>
                      <w:marTop w:val="0"/>
                      <w:marBottom w:val="0"/>
                      <w:divBdr>
                        <w:top w:val="none" w:sz="0" w:space="0" w:color="auto"/>
                        <w:left w:val="none" w:sz="0" w:space="0" w:color="auto"/>
                        <w:bottom w:val="none" w:sz="0" w:space="0" w:color="auto"/>
                        <w:right w:val="none" w:sz="0" w:space="0" w:color="auto"/>
                      </w:divBdr>
                    </w:div>
                  </w:divsChild>
                </w:div>
                <w:div w:id="1368948514">
                  <w:marLeft w:val="0"/>
                  <w:marRight w:val="0"/>
                  <w:marTop w:val="0"/>
                  <w:marBottom w:val="0"/>
                  <w:divBdr>
                    <w:top w:val="none" w:sz="0" w:space="0" w:color="auto"/>
                    <w:left w:val="none" w:sz="0" w:space="0" w:color="auto"/>
                    <w:bottom w:val="none" w:sz="0" w:space="0" w:color="auto"/>
                    <w:right w:val="none" w:sz="0" w:space="0" w:color="auto"/>
                  </w:divBdr>
                  <w:divsChild>
                    <w:div w:id="1675913349">
                      <w:marLeft w:val="0"/>
                      <w:marRight w:val="0"/>
                      <w:marTop w:val="0"/>
                      <w:marBottom w:val="0"/>
                      <w:divBdr>
                        <w:top w:val="none" w:sz="0" w:space="0" w:color="auto"/>
                        <w:left w:val="none" w:sz="0" w:space="0" w:color="auto"/>
                        <w:bottom w:val="none" w:sz="0" w:space="0" w:color="auto"/>
                        <w:right w:val="none" w:sz="0" w:space="0" w:color="auto"/>
                      </w:divBdr>
                    </w:div>
                  </w:divsChild>
                </w:div>
                <w:div w:id="1400783955">
                  <w:marLeft w:val="0"/>
                  <w:marRight w:val="0"/>
                  <w:marTop w:val="0"/>
                  <w:marBottom w:val="0"/>
                  <w:divBdr>
                    <w:top w:val="none" w:sz="0" w:space="0" w:color="auto"/>
                    <w:left w:val="none" w:sz="0" w:space="0" w:color="auto"/>
                    <w:bottom w:val="none" w:sz="0" w:space="0" w:color="auto"/>
                    <w:right w:val="none" w:sz="0" w:space="0" w:color="auto"/>
                  </w:divBdr>
                  <w:divsChild>
                    <w:div w:id="705636734">
                      <w:marLeft w:val="0"/>
                      <w:marRight w:val="0"/>
                      <w:marTop w:val="0"/>
                      <w:marBottom w:val="0"/>
                      <w:divBdr>
                        <w:top w:val="none" w:sz="0" w:space="0" w:color="auto"/>
                        <w:left w:val="none" w:sz="0" w:space="0" w:color="auto"/>
                        <w:bottom w:val="none" w:sz="0" w:space="0" w:color="auto"/>
                        <w:right w:val="none" w:sz="0" w:space="0" w:color="auto"/>
                      </w:divBdr>
                    </w:div>
                  </w:divsChild>
                </w:div>
                <w:div w:id="1503466332">
                  <w:marLeft w:val="0"/>
                  <w:marRight w:val="0"/>
                  <w:marTop w:val="0"/>
                  <w:marBottom w:val="0"/>
                  <w:divBdr>
                    <w:top w:val="none" w:sz="0" w:space="0" w:color="auto"/>
                    <w:left w:val="none" w:sz="0" w:space="0" w:color="auto"/>
                    <w:bottom w:val="none" w:sz="0" w:space="0" w:color="auto"/>
                    <w:right w:val="none" w:sz="0" w:space="0" w:color="auto"/>
                  </w:divBdr>
                  <w:divsChild>
                    <w:div w:id="893585134">
                      <w:marLeft w:val="0"/>
                      <w:marRight w:val="0"/>
                      <w:marTop w:val="0"/>
                      <w:marBottom w:val="0"/>
                      <w:divBdr>
                        <w:top w:val="none" w:sz="0" w:space="0" w:color="auto"/>
                        <w:left w:val="none" w:sz="0" w:space="0" w:color="auto"/>
                        <w:bottom w:val="none" w:sz="0" w:space="0" w:color="auto"/>
                        <w:right w:val="none" w:sz="0" w:space="0" w:color="auto"/>
                      </w:divBdr>
                    </w:div>
                  </w:divsChild>
                </w:div>
                <w:div w:id="1524779851">
                  <w:marLeft w:val="0"/>
                  <w:marRight w:val="0"/>
                  <w:marTop w:val="0"/>
                  <w:marBottom w:val="0"/>
                  <w:divBdr>
                    <w:top w:val="none" w:sz="0" w:space="0" w:color="auto"/>
                    <w:left w:val="none" w:sz="0" w:space="0" w:color="auto"/>
                    <w:bottom w:val="none" w:sz="0" w:space="0" w:color="auto"/>
                    <w:right w:val="none" w:sz="0" w:space="0" w:color="auto"/>
                  </w:divBdr>
                  <w:divsChild>
                    <w:div w:id="991836773">
                      <w:marLeft w:val="0"/>
                      <w:marRight w:val="0"/>
                      <w:marTop w:val="0"/>
                      <w:marBottom w:val="0"/>
                      <w:divBdr>
                        <w:top w:val="none" w:sz="0" w:space="0" w:color="auto"/>
                        <w:left w:val="none" w:sz="0" w:space="0" w:color="auto"/>
                        <w:bottom w:val="none" w:sz="0" w:space="0" w:color="auto"/>
                        <w:right w:val="none" w:sz="0" w:space="0" w:color="auto"/>
                      </w:divBdr>
                    </w:div>
                  </w:divsChild>
                </w:div>
                <w:div w:id="1528830129">
                  <w:marLeft w:val="0"/>
                  <w:marRight w:val="0"/>
                  <w:marTop w:val="0"/>
                  <w:marBottom w:val="0"/>
                  <w:divBdr>
                    <w:top w:val="none" w:sz="0" w:space="0" w:color="auto"/>
                    <w:left w:val="none" w:sz="0" w:space="0" w:color="auto"/>
                    <w:bottom w:val="none" w:sz="0" w:space="0" w:color="auto"/>
                    <w:right w:val="none" w:sz="0" w:space="0" w:color="auto"/>
                  </w:divBdr>
                  <w:divsChild>
                    <w:div w:id="488517841">
                      <w:marLeft w:val="0"/>
                      <w:marRight w:val="0"/>
                      <w:marTop w:val="0"/>
                      <w:marBottom w:val="0"/>
                      <w:divBdr>
                        <w:top w:val="none" w:sz="0" w:space="0" w:color="auto"/>
                        <w:left w:val="none" w:sz="0" w:space="0" w:color="auto"/>
                        <w:bottom w:val="none" w:sz="0" w:space="0" w:color="auto"/>
                        <w:right w:val="none" w:sz="0" w:space="0" w:color="auto"/>
                      </w:divBdr>
                    </w:div>
                  </w:divsChild>
                </w:div>
                <w:div w:id="1565486365">
                  <w:marLeft w:val="0"/>
                  <w:marRight w:val="0"/>
                  <w:marTop w:val="0"/>
                  <w:marBottom w:val="0"/>
                  <w:divBdr>
                    <w:top w:val="none" w:sz="0" w:space="0" w:color="auto"/>
                    <w:left w:val="none" w:sz="0" w:space="0" w:color="auto"/>
                    <w:bottom w:val="none" w:sz="0" w:space="0" w:color="auto"/>
                    <w:right w:val="none" w:sz="0" w:space="0" w:color="auto"/>
                  </w:divBdr>
                  <w:divsChild>
                    <w:div w:id="141429863">
                      <w:marLeft w:val="0"/>
                      <w:marRight w:val="0"/>
                      <w:marTop w:val="0"/>
                      <w:marBottom w:val="0"/>
                      <w:divBdr>
                        <w:top w:val="none" w:sz="0" w:space="0" w:color="auto"/>
                        <w:left w:val="none" w:sz="0" w:space="0" w:color="auto"/>
                        <w:bottom w:val="none" w:sz="0" w:space="0" w:color="auto"/>
                        <w:right w:val="none" w:sz="0" w:space="0" w:color="auto"/>
                      </w:divBdr>
                    </w:div>
                  </w:divsChild>
                </w:div>
                <w:div w:id="1572890792">
                  <w:marLeft w:val="0"/>
                  <w:marRight w:val="0"/>
                  <w:marTop w:val="0"/>
                  <w:marBottom w:val="0"/>
                  <w:divBdr>
                    <w:top w:val="none" w:sz="0" w:space="0" w:color="auto"/>
                    <w:left w:val="none" w:sz="0" w:space="0" w:color="auto"/>
                    <w:bottom w:val="none" w:sz="0" w:space="0" w:color="auto"/>
                    <w:right w:val="none" w:sz="0" w:space="0" w:color="auto"/>
                  </w:divBdr>
                  <w:divsChild>
                    <w:div w:id="587424017">
                      <w:marLeft w:val="0"/>
                      <w:marRight w:val="0"/>
                      <w:marTop w:val="0"/>
                      <w:marBottom w:val="0"/>
                      <w:divBdr>
                        <w:top w:val="none" w:sz="0" w:space="0" w:color="auto"/>
                        <w:left w:val="none" w:sz="0" w:space="0" w:color="auto"/>
                        <w:bottom w:val="none" w:sz="0" w:space="0" w:color="auto"/>
                        <w:right w:val="none" w:sz="0" w:space="0" w:color="auto"/>
                      </w:divBdr>
                    </w:div>
                  </w:divsChild>
                </w:div>
                <w:div w:id="1612467506">
                  <w:marLeft w:val="0"/>
                  <w:marRight w:val="0"/>
                  <w:marTop w:val="0"/>
                  <w:marBottom w:val="0"/>
                  <w:divBdr>
                    <w:top w:val="none" w:sz="0" w:space="0" w:color="auto"/>
                    <w:left w:val="none" w:sz="0" w:space="0" w:color="auto"/>
                    <w:bottom w:val="none" w:sz="0" w:space="0" w:color="auto"/>
                    <w:right w:val="none" w:sz="0" w:space="0" w:color="auto"/>
                  </w:divBdr>
                  <w:divsChild>
                    <w:div w:id="789784998">
                      <w:marLeft w:val="0"/>
                      <w:marRight w:val="0"/>
                      <w:marTop w:val="0"/>
                      <w:marBottom w:val="0"/>
                      <w:divBdr>
                        <w:top w:val="none" w:sz="0" w:space="0" w:color="auto"/>
                        <w:left w:val="none" w:sz="0" w:space="0" w:color="auto"/>
                        <w:bottom w:val="none" w:sz="0" w:space="0" w:color="auto"/>
                        <w:right w:val="none" w:sz="0" w:space="0" w:color="auto"/>
                      </w:divBdr>
                    </w:div>
                  </w:divsChild>
                </w:div>
                <w:div w:id="1620406187">
                  <w:marLeft w:val="0"/>
                  <w:marRight w:val="0"/>
                  <w:marTop w:val="0"/>
                  <w:marBottom w:val="0"/>
                  <w:divBdr>
                    <w:top w:val="none" w:sz="0" w:space="0" w:color="auto"/>
                    <w:left w:val="none" w:sz="0" w:space="0" w:color="auto"/>
                    <w:bottom w:val="none" w:sz="0" w:space="0" w:color="auto"/>
                    <w:right w:val="none" w:sz="0" w:space="0" w:color="auto"/>
                  </w:divBdr>
                  <w:divsChild>
                    <w:div w:id="316032478">
                      <w:marLeft w:val="0"/>
                      <w:marRight w:val="0"/>
                      <w:marTop w:val="0"/>
                      <w:marBottom w:val="0"/>
                      <w:divBdr>
                        <w:top w:val="none" w:sz="0" w:space="0" w:color="auto"/>
                        <w:left w:val="none" w:sz="0" w:space="0" w:color="auto"/>
                        <w:bottom w:val="none" w:sz="0" w:space="0" w:color="auto"/>
                        <w:right w:val="none" w:sz="0" w:space="0" w:color="auto"/>
                      </w:divBdr>
                    </w:div>
                  </w:divsChild>
                </w:div>
                <w:div w:id="1635141853">
                  <w:marLeft w:val="0"/>
                  <w:marRight w:val="0"/>
                  <w:marTop w:val="0"/>
                  <w:marBottom w:val="0"/>
                  <w:divBdr>
                    <w:top w:val="none" w:sz="0" w:space="0" w:color="auto"/>
                    <w:left w:val="none" w:sz="0" w:space="0" w:color="auto"/>
                    <w:bottom w:val="none" w:sz="0" w:space="0" w:color="auto"/>
                    <w:right w:val="none" w:sz="0" w:space="0" w:color="auto"/>
                  </w:divBdr>
                  <w:divsChild>
                    <w:div w:id="1772966750">
                      <w:marLeft w:val="0"/>
                      <w:marRight w:val="0"/>
                      <w:marTop w:val="0"/>
                      <w:marBottom w:val="0"/>
                      <w:divBdr>
                        <w:top w:val="none" w:sz="0" w:space="0" w:color="auto"/>
                        <w:left w:val="none" w:sz="0" w:space="0" w:color="auto"/>
                        <w:bottom w:val="none" w:sz="0" w:space="0" w:color="auto"/>
                        <w:right w:val="none" w:sz="0" w:space="0" w:color="auto"/>
                      </w:divBdr>
                    </w:div>
                  </w:divsChild>
                </w:div>
                <w:div w:id="1730880017">
                  <w:marLeft w:val="0"/>
                  <w:marRight w:val="0"/>
                  <w:marTop w:val="0"/>
                  <w:marBottom w:val="0"/>
                  <w:divBdr>
                    <w:top w:val="none" w:sz="0" w:space="0" w:color="auto"/>
                    <w:left w:val="none" w:sz="0" w:space="0" w:color="auto"/>
                    <w:bottom w:val="none" w:sz="0" w:space="0" w:color="auto"/>
                    <w:right w:val="none" w:sz="0" w:space="0" w:color="auto"/>
                  </w:divBdr>
                  <w:divsChild>
                    <w:div w:id="1968051284">
                      <w:marLeft w:val="0"/>
                      <w:marRight w:val="0"/>
                      <w:marTop w:val="0"/>
                      <w:marBottom w:val="0"/>
                      <w:divBdr>
                        <w:top w:val="none" w:sz="0" w:space="0" w:color="auto"/>
                        <w:left w:val="none" w:sz="0" w:space="0" w:color="auto"/>
                        <w:bottom w:val="none" w:sz="0" w:space="0" w:color="auto"/>
                        <w:right w:val="none" w:sz="0" w:space="0" w:color="auto"/>
                      </w:divBdr>
                    </w:div>
                  </w:divsChild>
                </w:div>
                <w:div w:id="1736583299">
                  <w:marLeft w:val="0"/>
                  <w:marRight w:val="0"/>
                  <w:marTop w:val="0"/>
                  <w:marBottom w:val="0"/>
                  <w:divBdr>
                    <w:top w:val="none" w:sz="0" w:space="0" w:color="auto"/>
                    <w:left w:val="none" w:sz="0" w:space="0" w:color="auto"/>
                    <w:bottom w:val="none" w:sz="0" w:space="0" w:color="auto"/>
                    <w:right w:val="none" w:sz="0" w:space="0" w:color="auto"/>
                  </w:divBdr>
                  <w:divsChild>
                    <w:div w:id="422847296">
                      <w:marLeft w:val="0"/>
                      <w:marRight w:val="0"/>
                      <w:marTop w:val="0"/>
                      <w:marBottom w:val="0"/>
                      <w:divBdr>
                        <w:top w:val="none" w:sz="0" w:space="0" w:color="auto"/>
                        <w:left w:val="none" w:sz="0" w:space="0" w:color="auto"/>
                        <w:bottom w:val="none" w:sz="0" w:space="0" w:color="auto"/>
                        <w:right w:val="none" w:sz="0" w:space="0" w:color="auto"/>
                      </w:divBdr>
                    </w:div>
                  </w:divsChild>
                </w:div>
                <w:div w:id="1839152199">
                  <w:marLeft w:val="0"/>
                  <w:marRight w:val="0"/>
                  <w:marTop w:val="0"/>
                  <w:marBottom w:val="0"/>
                  <w:divBdr>
                    <w:top w:val="none" w:sz="0" w:space="0" w:color="auto"/>
                    <w:left w:val="none" w:sz="0" w:space="0" w:color="auto"/>
                    <w:bottom w:val="none" w:sz="0" w:space="0" w:color="auto"/>
                    <w:right w:val="none" w:sz="0" w:space="0" w:color="auto"/>
                  </w:divBdr>
                  <w:divsChild>
                    <w:div w:id="1196235921">
                      <w:marLeft w:val="0"/>
                      <w:marRight w:val="0"/>
                      <w:marTop w:val="0"/>
                      <w:marBottom w:val="0"/>
                      <w:divBdr>
                        <w:top w:val="none" w:sz="0" w:space="0" w:color="auto"/>
                        <w:left w:val="none" w:sz="0" w:space="0" w:color="auto"/>
                        <w:bottom w:val="none" w:sz="0" w:space="0" w:color="auto"/>
                        <w:right w:val="none" w:sz="0" w:space="0" w:color="auto"/>
                      </w:divBdr>
                    </w:div>
                  </w:divsChild>
                </w:div>
                <w:div w:id="1876850081">
                  <w:marLeft w:val="0"/>
                  <w:marRight w:val="0"/>
                  <w:marTop w:val="0"/>
                  <w:marBottom w:val="0"/>
                  <w:divBdr>
                    <w:top w:val="none" w:sz="0" w:space="0" w:color="auto"/>
                    <w:left w:val="none" w:sz="0" w:space="0" w:color="auto"/>
                    <w:bottom w:val="none" w:sz="0" w:space="0" w:color="auto"/>
                    <w:right w:val="none" w:sz="0" w:space="0" w:color="auto"/>
                  </w:divBdr>
                  <w:divsChild>
                    <w:div w:id="1994020055">
                      <w:marLeft w:val="0"/>
                      <w:marRight w:val="0"/>
                      <w:marTop w:val="0"/>
                      <w:marBottom w:val="0"/>
                      <w:divBdr>
                        <w:top w:val="none" w:sz="0" w:space="0" w:color="auto"/>
                        <w:left w:val="none" w:sz="0" w:space="0" w:color="auto"/>
                        <w:bottom w:val="none" w:sz="0" w:space="0" w:color="auto"/>
                        <w:right w:val="none" w:sz="0" w:space="0" w:color="auto"/>
                      </w:divBdr>
                    </w:div>
                  </w:divsChild>
                </w:div>
                <w:div w:id="1881277828">
                  <w:marLeft w:val="0"/>
                  <w:marRight w:val="0"/>
                  <w:marTop w:val="0"/>
                  <w:marBottom w:val="0"/>
                  <w:divBdr>
                    <w:top w:val="none" w:sz="0" w:space="0" w:color="auto"/>
                    <w:left w:val="none" w:sz="0" w:space="0" w:color="auto"/>
                    <w:bottom w:val="none" w:sz="0" w:space="0" w:color="auto"/>
                    <w:right w:val="none" w:sz="0" w:space="0" w:color="auto"/>
                  </w:divBdr>
                  <w:divsChild>
                    <w:div w:id="1531799946">
                      <w:marLeft w:val="0"/>
                      <w:marRight w:val="0"/>
                      <w:marTop w:val="0"/>
                      <w:marBottom w:val="0"/>
                      <w:divBdr>
                        <w:top w:val="none" w:sz="0" w:space="0" w:color="auto"/>
                        <w:left w:val="none" w:sz="0" w:space="0" w:color="auto"/>
                        <w:bottom w:val="none" w:sz="0" w:space="0" w:color="auto"/>
                        <w:right w:val="none" w:sz="0" w:space="0" w:color="auto"/>
                      </w:divBdr>
                    </w:div>
                  </w:divsChild>
                </w:div>
                <w:div w:id="1886327289">
                  <w:marLeft w:val="0"/>
                  <w:marRight w:val="0"/>
                  <w:marTop w:val="0"/>
                  <w:marBottom w:val="0"/>
                  <w:divBdr>
                    <w:top w:val="none" w:sz="0" w:space="0" w:color="auto"/>
                    <w:left w:val="none" w:sz="0" w:space="0" w:color="auto"/>
                    <w:bottom w:val="none" w:sz="0" w:space="0" w:color="auto"/>
                    <w:right w:val="none" w:sz="0" w:space="0" w:color="auto"/>
                  </w:divBdr>
                  <w:divsChild>
                    <w:div w:id="1347563059">
                      <w:marLeft w:val="0"/>
                      <w:marRight w:val="0"/>
                      <w:marTop w:val="0"/>
                      <w:marBottom w:val="0"/>
                      <w:divBdr>
                        <w:top w:val="none" w:sz="0" w:space="0" w:color="auto"/>
                        <w:left w:val="none" w:sz="0" w:space="0" w:color="auto"/>
                        <w:bottom w:val="none" w:sz="0" w:space="0" w:color="auto"/>
                        <w:right w:val="none" w:sz="0" w:space="0" w:color="auto"/>
                      </w:divBdr>
                    </w:div>
                  </w:divsChild>
                </w:div>
                <w:div w:id="1933857368">
                  <w:marLeft w:val="0"/>
                  <w:marRight w:val="0"/>
                  <w:marTop w:val="0"/>
                  <w:marBottom w:val="0"/>
                  <w:divBdr>
                    <w:top w:val="none" w:sz="0" w:space="0" w:color="auto"/>
                    <w:left w:val="none" w:sz="0" w:space="0" w:color="auto"/>
                    <w:bottom w:val="none" w:sz="0" w:space="0" w:color="auto"/>
                    <w:right w:val="none" w:sz="0" w:space="0" w:color="auto"/>
                  </w:divBdr>
                  <w:divsChild>
                    <w:div w:id="338046282">
                      <w:marLeft w:val="0"/>
                      <w:marRight w:val="0"/>
                      <w:marTop w:val="0"/>
                      <w:marBottom w:val="0"/>
                      <w:divBdr>
                        <w:top w:val="none" w:sz="0" w:space="0" w:color="auto"/>
                        <w:left w:val="none" w:sz="0" w:space="0" w:color="auto"/>
                        <w:bottom w:val="none" w:sz="0" w:space="0" w:color="auto"/>
                        <w:right w:val="none" w:sz="0" w:space="0" w:color="auto"/>
                      </w:divBdr>
                    </w:div>
                  </w:divsChild>
                </w:div>
                <w:div w:id="2008555967">
                  <w:marLeft w:val="0"/>
                  <w:marRight w:val="0"/>
                  <w:marTop w:val="0"/>
                  <w:marBottom w:val="0"/>
                  <w:divBdr>
                    <w:top w:val="none" w:sz="0" w:space="0" w:color="auto"/>
                    <w:left w:val="none" w:sz="0" w:space="0" w:color="auto"/>
                    <w:bottom w:val="none" w:sz="0" w:space="0" w:color="auto"/>
                    <w:right w:val="none" w:sz="0" w:space="0" w:color="auto"/>
                  </w:divBdr>
                  <w:divsChild>
                    <w:div w:id="1308626378">
                      <w:marLeft w:val="0"/>
                      <w:marRight w:val="0"/>
                      <w:marTop w:val="0"/>
                      <w:marBottom w:val="0"/>
                      <w:divBdr>
                        <w:top w:val="none" w:sz="0" w:space="0" w:color="auto"/>
                        <w:left w:val="none" w:sz="0" w:space="0" w:color="auto"/>
                        <w:bottom w:val="none" w:sz="0" w:space="0" w:color="auto"/>
                        <w:right w:val="none" w:sz="0" w:space="0" w:color="auto"/>
                      </w:divBdr>
                    </w:div>
                  </w:divsChild>
                </w:div>
                <w:div w:id="2040469229">
                  <w:marLeft w:val="0"/>
                  <w:marRight w:val="0"/>
                  <w:marTop w:val="0"/>
                  <w:marBottom w:val="0"/>
                  <w:divBdr>
                    <w:top w:val="none" w:sz="0" w:space="0" w:color="auto"/>
                    <w:left w:val="none" w:sz="0" w:space="0" w:color="auto"/>
                    <w:bottom w:val="none" w:sz="0" w:space="0" w:color="auto"/>
                    <w:right w:val="none" w:sz="0" w:space="0" w:color="auto"/>
                  </w:divBdr>
                  <w:divsChild>
                    <w:div w:id="128591014">
                      <w:marLeft w:val="0"/>
                      <w:marRight w:val="0"/>
                      <w:marTop w:val="0"/>
                      <w:marBottom w:val="0"/>
                      <w:divBdr>
                        <w:top w:val="none" w:sz="0" w:space="0" w:color="auto"/>
                        <w:left w:val="none" w:sz="0" w:space="0" w:color="auto"/>
                        <w:bottom w:val="none" w:sz="0" w:space="0" w:color="auto"/>
                        <w:right w:val="none" w:sz="0" w:space="0" w:color="auto"/>
                      </w:divBdr>
                    </w:div>
                  </w:divsChild>
                </w:div>
                <w:div w:id="2052420192">
                  <w:marLeft w:val="0"/>
                  <w:marRight w:val="0"/>
                  <w:marTop w:val="0"/>
                  <w:marBottom w:val="0"/>
                  <w:divBdr>
                    <w:top w:val="none" w:sz="0" w:space="0" w:color="auto"/>
                    <w:left w:val="none" w:sz="0" w:space="0" w:color="auto"/>
                    <w:bottom w:val="none" w:sz="0" w:space="0" w:color="auto"/>
                    <w:right w:val="none" w:sz="0" w:space="0" w:color="auto"/>
                  </w:divBdr>
                  <w:divsChild>
                    <w:div w:id="2069722520">
                      <w:marLeft w:val="0"/>
                      <w:marRight w:val="0"/>
                      <w:marTop w:val="0"/>
                      <w:marBottom w:val="0"/>
                      <w:divBdr>
                        <w:top w:val="none" w:sz="0" w:space="0" w:color="auto"/>
                        <w:left w:val="none" w:sz="0" w:space="0" w:color="auto"/>
                        <w:bottom w:val="none" w:sz="0" w:space="0" w:color="auto"/>
                        <w:right w:val="none" w:sz="0" w:space="0" w:color="auto"/>
                      </w:divBdr>
                    </w:div>
                  </w:divsChild>
                </w:div>
                <w:div w:id="2095786383">
                  <w:marLeft w:val="0"/>
                  <w:marRight w:val="0"/>
                  <w:marTop w:val="0"/>
                  <w:marBottom w:val="0"/>
                  <w:divBdr>
                    <w:top w:val="none" w:sz="0" w:space="0" w:color="auto"/>
                    <w:left w:val="none" w:sz="0" w:space="0" w:color="auto"/>
                    <w:bottom w:val="none" w:sz="0" w:space="0" w:color="auto"/>
                    <w:right w:val="none" w:sz="0" w:space="0" w:color="auto"/>
                  </w:divBdr>
                  <w:divsChild>
                    <w:div w:id="965547373">
                      <w:marLeft w:val="0"/>
                      <w:marRight w:val="0"/>
                      <w:marTop w:val="0"/>
                      <w:marBottom w:val="0"/>
                      <w:divBdr>
                        <w:top w:val="none" w:sz="0" w:space="0" w:color="auto"/>
                        <w:left w:val="none" w:sz="0" w:space="0" w:color="auto"/>
                        <w:bottom w:val="none" w:sz="0" w:space="0" w:color="auto"/>
                        <w:right w:val="none" w:sz="0" w:space="0" w:color="auto"/>
                      </w:divBdr>
                    </w:div>
                  </w:divsChild>
                </w:div>
                <w:div w:id="2143232932">
                  <w:marLeft w:val="0"/>
                  <w:marRight w:val="0"/>
                  <w:marTop w:val="0"/>
                  <w:marBottom w:val="0"/>
                  <w:divBdr>
                    <w:top w:val="none" w:sz="0" w:space="0" w:color="auto"/>
                    <w:left w:val="none" w:sz="0" w:space="0" w:color="auto"/>
                    <w:bottom w:val="none" w:sz="0" w:space="0" w:color="auto"/>
                    <w:right w:val="none" w:sz="0" w:space="0" w:color="auto"/>
                  </w:divBdr>
                  <w:divsChild>
                    <w:div w:id="198353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71094">
          <w:marLeft w:val="0"/>
          <w:marRight w:val="0"/>
          <w:marTop w:val="0"/>
          <w:marBottom w:val="0"/>
          <w:divBdr>
            <w:top w:val="none" w:sz="0" w:space="0" w:color="auto"/>
            <w:left w:val="none" w:sz="0" w:space="0" w:color="auto"/>
            <w:bottom w:val="none" w:sz="0" w:space="0" w:color="auto"/>
            <w:right w:val="none" w:sz="0" w:space="0" w:color="auto"/>
          </w:divBdr>
        </w:div>
        <w:div w:id="2109810163">
          <w:marLeft w:val="0"/>
          <w:marRight w:val="0"/>
          <w:marTop w:val="0"/>
          <w:marBottom w:val="0"/>
          <w:divBdr>
            <w:top w:val="none" w:sz="0" w:space="0" w:color="auto"/>
            <w:left w:val="none" w:sz="0" w:space="0" w:color="auto"/>
            <w:bottom w:val="none" w:sz="0" w:space="0" w:color="auto"/>
            <w:right w:val="none" w:sz="0" w:space="0" w:color="auto"/>
          </w:divBdr>
          <w:divsChild>
            <w:div w:id="1220243717">
              <w:marLeft w:val="-75"/>
              <w:marRight w:val="0"/>
              <w:marTop w:val="30"/>
              <w:marBottom w:val="30"/>
              <w:divBdr>
                <w:top w:val="none" w:sz="0" w:space="0" w:color="auto"/>
                <w:left w:val="none" w:sz="0" w:space="0" w:color="auto"/>
                <w:bottom w:val="none" w:sz="0" w:space="0" w:color="auto"/>
                <w:right w:val="none" w:sz="0" w:space="0" w:color="auto"/>
              </w:divBdr>
              <w:divsChild>
                <w:div w:id="311525234">
                  <w:marLeft w:val="0"/>
                  <w:marRight w:val="0"/>
                  <w:marTop w:val="0"/>
                  <w:marBottom w:val="0"/>
                  <w:divBdr>
                    <w:top w:val="none" w:sz="0" w:space="0" w:color="auto"/>
                    <w:left w:val="none" w:sz="0" w:space="0" w:color="auto"/>
                    <w:bottom w:val="none" w:sz="0" w:space="0" w:color="auto"/>
                    <w:right w:val="none" w:sz="0" w:space="0" w:color="auto"/>
                  </w:divBdr>
                  <w:divsChild>
                    <w:div w:id="577130629">
                      <w:marLeft w:val="0"/>
                      <w:marRight w:val="0"/>
                      <w:marTop w:val="0"/>
                      <w:marBottom w:val="0"/>
                      <w:divBdr>
                        <w:top w:val="none" w:sz="0" w:space="0" w:color="auto"/>
                        <w:left w:val="none" w:sz="0" w:space="0" w:color="auto"/>
                        <w:bottom w:val="none" w:sz="0" w:space="0" w:color="auto"/>
                        <w:right w:val="none" w:sz="0" w:space="0" w:color="auto"/>
                      </w:divBdr>
                    </w:div>
                  </w:divsChild>
                </w:div>
                <w:div w:id="313682451">
                  <w:marLeft w:val="0"/>
                  <w:marRight w:val="0"/>
                  <w:marTop w:val="0"/>
                  <w:marBottom w:val="0"/>
                  <w:divBdr>
                    <w:top w:val="none" w:sz="0" w:space="0" w:color="auto"/>
                    <w:left w:val="none" w:sz="0" w:space="0" w:color="auto"/>
                    <w:bottom w:val="none" w:sz="0" w:space="0" w:color="auto"/>
                    <w:right w:val="none" w:sz="0" w:space="0" w:color="auto"/>
                  </w:divBdr>
                  <w:divsChild>
                    <w:div w:id="13041948">
                      <w:marLeft w:val="0"/>
                      <w:marRight w:val="0"/>
                      <w:marTop w:val="0"/>
                      <w:marBottom w:val="0"/>
                      <w:divBdr>
                        <w:top w:val="none" w:sz="0" w:space="0" w:color="auto"/>
                        <w:left w:val="none" w:sz="0" w:space="0" w:color="auto"/>
                        <w:bottom w:val="none" w:sz="0" w:space="0" w:color="auto"/>
                        <w:right w:val="none" w:sz="0" w:space="0" w:color="auto"/>
                      </w:divBdr>
                    </w:div>
                  </w:divsChild>
                </w:div>
                <w:div w:id="443230100">
                  <w:marLeft w:val="0"/>
                  <w:marRight w:val="0"/>
                  <w:marTop w:val="0"/>
                  <w:marBottom w:val="0"/>
                  <w:divBdr>
                    <w:top w:val="none" w:sz="0" w:space="0" w:color="auto"/>
                    <w:left w:val="none" w:sz="0" w:space="0" w:color="auto"/>
                    <w:bottom w:val="none" w:sz="0" w:space="0" w:color="auto"/>
                    <w:right w:val="none" w:sz="0" w:space="0" w:color="auto"/>
                  </w:divBdr>
                  <w:divsChild>
                    <w:div w:id="12190731">
                      <w:marLeft w:val="0"/>
                      <w:marRight w:val="0"/>
                      <w:marTop w:val="0"/>
                      <w:marBottom w:val="0"/>
                      <w:divBdr>
                        <w:top w:val="none" w:sz="0" w:space="0" w:color="auto"/>
                        <w:left w:val="none" w:sz="0" w:space="0" w:color="auto"/>
                        <w:bottom w:val="none" w:sz="0" w:space="0" w:color="auto"/>
                        <w:right w:val="none" w:sz="0" w:space="0" w:color="auto"/>
                      </w:divBdr>
                    </w:div>
                  </w:divsChild>
                </w:div>
                <w:div w:id="593512554">
                  <w:marLeft w:val="0"/>
                  <w:marRight w:val="0"/>
                  <w:marTop w:val="0"/>
                  <w:marBottom w:val="0"/>
                  <w:divBdr>
                    <w:top w:val="none" w:sz="0" w:space="0" w:color="auto"/>
                    <w:left w:val="none" w:sz="0" w:space="0" w:color="auto"/>
                    <w:bottom w:val="none" w:sz="0" w:space="0" w:color="auto"/>
                    <w:right w:val="none" w:sz="0" w:space="0" w:color="auto"/>
                  </w:divBdr>
                  <w:divsChild>
                    <w:div w:id="585647623">
                      <w:marLeft w:val="0"/>
                      <w:marRight w:val="0"/>
                      <w:marTop w:val="0"/>
                      <w:marBottom w:val="0"/>
                      <w:divBdr>
                        <w:top w:val="none" w:sz="0" w:space="0" w:color="auto"/>
                        <w:left w:val="none" w:sz="0" w:space="0" w:color="auto"/>
                        <w:bottom w:val="none" w:sz="0" w:space="0" w:color="auto"/>
                        <w:right w:val="none" w:sz="0" w:space="0" w:color="auto"/>
                      </w:divBdr>
                    </w:div>
                  </w:divsChild>
                </w:div>
                <w:div w:id="699167046">
                  <w:marLeft w:val="0"/>
                  <w:marRight w:val="0"/>
                  <w:marTop w:val="0"/>
                  <w:marBottom w:val="0"/>
                  <w:divBdr>
                    <w:top w:val="none" w:sz="0" w:space="0" w:color="auto"/>
                    <w:left w:val="none" w:sz="0" w:space="0" w:color="auto"/>
                    <w:bottom w:val="none" w:sz="0" w:space="0" w:color="auto"/>
                    <w:right w:val="none" w:sz="0" w:space="0" w:color="auto"/>
                  </w:divBdr>
                  <w:divsChild>
                    <w:div w:id="12654051">
                      <w:marLeft w:val="0"/>
                      <w:marRight w:val="0"/>
                      <w:marTop w:val="0"/>
                      <w:marBottom w:val="0"/>
                      <w:divBdr>
                        <w:top w:val="none" w:sz="0" w:space="0" w:color="auto"/>
                        <w:left w:val="none" w:sz="0" w:space="0" w:color="auto"/>
                        <w:bottom w:val="none" w:sz="0" w:space="0" w:color="auto"/>
                        <w:right w:val="none" w:sz="0" w:space="0" w:color="auto"/>
                      </w:divBdr>
                    </w:div>
                    <w:div w:id="1310941234">
                      <w:marLeft w:val="0"/>
                      <w:marRight w:val="0"/>
                      <w:marTop w:val="0"/>
                      <w:marBottom w:val="0"/>
                      <w:divBdr>
                        <w:top w:val="none" w:sz="0" w:space="0" w:color="auto"/>
                        <w:left w:val="none" w:sz="0" w:space="0" w:color="auto"/>
                        <w:bottom w:val="none" w:sz="0" w:space="0" w:color="auto"/>
                        <w:right w:val="none" w:sz="0" w:space="0" w:color="auto"/>
                      </w:divBdr>
                    </w:div>
                  </w:divsChild>
                </w:div>
                <w:div w:id="960384479">
                  <w:marLeft w:val="0"/>
                  <w:marRight w:val="0"/>
                  <w:marTop w:val="0"/>
                  <w:marBottom w:val="0"/>
                  <w:divBdr>
                    <w:top w:val="none" w:sz="0" w:space="0" w:color="auto"/>
                    <w:left w:val="none" w:sz="0" w:space="0" w:color="auto"/>
                    <w:bottom w:val="none" w:sz="0" w:space="0" w:color="auto"/>
                    <w:right w:val="none" w:sz="0" w:space="0" w:color="auto"/>
                  </w:divBdr>
                  <w:divsChild>
                    <w:div w:id="936593238">
                      <w:marLeft w:val="0"/>
                      <w:marRight w:val="0"/>
                      <w:marTop w:val="0"/>
                      <w:marBottom w:val="0"/>
                      <w:divBdr>
                        <w:top w:val="none" w:sz="0" w:space="0" w:color="auto"/>
                        <w:left w:val="none" w:sz="0" w:space="0" w:color="auto"/>
                        <w:bottom w:val="none" w:sz="0" w:space="0" w:color="auto"/>
                        <w:right w:val="none" w:sz="0" w:space="0" w:color="auto"/>
                      </w:divBdr>
                    </w:div>
                  </w:divsChild>
                </w:div>
                <w:div w:id="1001542177">
                  <w:marLeft w:val="0"/>
                  <w:marRight w:val="0"/>
                  <w:marTop w:val="0"/>
                  <w:marBottom w:val="0"/>
                  <w:divBdr>
                    <w:top w:val="none" w:sz="0" w:space="0" w:color="auto"/>
                    <w:left w:val="none" w:sz="0" w:space="0" w:color="auto"/>
                    <w:bottom w:val="none" w:sz="0" w:space="0" w:color="auto"/>
                    <w:right w:val="none" w:sz="0" w:space="0" w:color="auto"/>
                  </w:divBdr>
                  <w:divsChild>
                    <w:div w:id="1142964667">
                      <w:marLeft w:val="0"/>
                      <w:marRight w:val="0"/>
                      <w:marTop w:val="0"/>
                      <w:marBottom w:val="0"/>
                      <w:divBdr>
                        <w:top w:val="none" w:sz="0" w:space="0" w:color="auto"/>
                        <w:left w:val="none" w:sz="0" w:space="0" w:color="auto"/>
                        <w:bottom w:val="none" w:sz="0" w:space="0" w:color="auto"/>
                        <w:right w:val="none" w:sz="0" w:space="0" w:color="auto"/>
                      </w:divBdr>
                    </w:div>
                  </w:divsChild>
                </w:div>
                <w:div w:id="1088387690">
                  <w:marLeft w:val="0"/>
                  <w:marRight w:val="0"/>
                  <w:marTop w:val="0"/>
                  <w:marBottom w:val="0"/>
                  <w:divBdr>
                    <w:top w:val="none" w:sz="0" w:space="0" w:color="auto"/>
                    <w:left w:val="none" w:sz="0" w:space="0" w:color="auto"/>
                    <w:bottom w:val="none" w:sz="0" w:space="0" w:color="auto"/>
                    <w:right w:val="none" w:sz="0" w:space="0" w:color="auto"/>
                  </w:divBdr>
                  <w:divsChild>
                    <w:div w:id="649670998">
                      <w:marLeft w:val="0"/>
                      <w:marRight w:val="0"/>
                      <w:marTop w:val="0"/>
                      <w:marBottom w:val="0"/>
                      <w:divBdr>
                        <w:top w:val="none" w:sz="0" w:space="0" w:color="auto"/>
                        <w:left w:val="none" w:sz="0" w:space="0" w:color="auto"/>
                        <w:bottom w:val="none" w:sz="0" w:space="0" w:color="auto"/>
                        <w:right w:val="none" w:sz="0" w:space="0" w:color="auto"/>
                      </w:divBdr>
                    </w:div>
                  </w:divsChild>
                </w:div>
                <w:div w:id="1283465485">
                  <w:marLeft w:val="0"/>
                  <w:marRight w:val="0"/>
                  <w:marTop w:val="0"/>
                  <w:marBottom w:val="0"/>
                  <w:divBdr>
                    <w:top w:val="none" w:sz="0" w:space="0" w:color="auto"/>
                    <w:left w:val="none" w:sz="0" w:space="0" w:color="auto"/>
                    <w:bottom w:val="none" w:sz="0" w:space="0" w:color="auto"/>
                    <w:right w:val="none" w:sz="0" w:space="0" w:color="auto"/>
                  </w:divBdr>
                  <w:divsChild>
                    <w:div w:id="662011881">
                      <w:marLeft w:val="0"/>
                      <w:marRight w:val="0"/>
                      <w:marTop w:val="0"/>
                      <w:marBottom w:val="0"/>
                      <w:divBdr>
                        <w:top w:val="none" w:sz="0" w:space="0" w:color="auto"/>
                        <w:left w:val="none" w:sz="0" w:space="0" w:color="auto"/>
                        <w:bottom w:val="none" w:sz="0" w:space="0" w:color="auto"/>
                        <w:right w:val="none" w:sz="0" w:space="0" w:color="auto"/>
                      </w:divBdr>
                    </w:div>
                  </w:divsChild>
                </w:div>
                <w:div w:id="1337460923">
                  <w:marLeft w:val="0"/>
                  <w:marRight w:val="0"/>
                  <w:marTop w:val="0"/>
                  <w:marBottom w:val="0"/>
                  <w:divBdr>
                    <w:top w:val="none" w:sz="0" w:space="0" w:color="auto"/>
                    <w:left w:val="none" w:sz="0" w:space="0" w:color="auto"/>
                    <w:bottom w:val="none" w:sz="0" w:space="0" w:color="auto"/>
                    <w:right w:val="none" w:sz="0" w:space="0" w:color="auto"/>
                  </w:divBdr>
                  <w:divsChild>
                    <w:div w:id="1500846727">
                      <w:marLeft w:val="0"/>
                      <w:marRight w:val="0"/>
                      <w:marTop w:val="0"/>
                      <w:marBottom w:val="0"/>
                      <w:divBdr>
                        <w:top w:val="none" w:sz="0" w:space="0" w:color="auto"/>
                        <w:left w:val="none" w:sz="0" w:space="0" w:color="auto"/>
                        <w:bottom w:val="none" w:sz="0" w:space="0" w:color="auto"/>
                        <w:right w:val="none" w:sz="0" w:space="0" w:color="auto"/>
                      </w:divBdr>
                    </w:div>
                  </w:divsChild>
                </w:div>
                <w:div w:id="1387334302">
                  <w:marLeft w:val="0"/>
                  <w:marRight w:val="0"/>
                  <w:marTop w:val="0"/>
                  <w:marBottom w:val="0"/>
                  <w:divBdr>
                    <w:top w:val="none" w:sz="0" w:space="0" w:color="auto"/>
                    <w:left w:val="none" w:sz="0" w:space="0" w:color="auto"/>
                    <w:bottom w:val="none" w:sz="0" w:space="0" w:color="auto"/>
                    <w:right w:val="none" w:sz="0" w:space="0" w:color="auto"/>
                  </w:divBdr>
                  <w:divsChild>
                    <w:div w:id="185288881">
                      <w:marLeft w:val="0"/>
                      <w:marRight w:val="0"/>
                      <w:marTop w:val="0"/>
                      <w:marBottom w:val="0"/>
                      <w:divBdr>
                        <w:top w:val="none" w:sz="0" w:space="0" w:color="auto"/>
                        <w:left w:val="none" w:sz="0" w:space="0" w:color="auto"/>
                        <w:bottom w:val="none" w:sz="0" w:space="0" w:color="auto"/>
                        <w:right w:val="none" w:sz="0" w:space="0" w:color="auto"/>
                      </w:divBdr>
                    </w:div>
                  </w:divsChild>
                </w:div>
                <w:div w:id="1473864148">
                  <w:marLeft w:val="0"/>
                  <w:marRight w:val="0"/>
                  <w:marTop w:val="0"/>
                  <w:marBottom w:val="0"/>
                  <w:divBdr>
                    <w:top w:val="none" w:sz="0" w:space="0" w:color="auto"/>
                    <w:left w:val="none" w:sz="0" w:space="0" w:color="auto"/>
                    <w:bottom w:val="none" w:sz="0" w:space="0" w:color="auto"/>
                    <w:right w:val="none" w:sz="0" w:space="0" w:color="auto"/>
                  </w:divBdr>
                  <w:divsChild>
                    <w:div w:id="14122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906893">
          <w:marLeft w:val="0"/>
          <w:marRight w:val="0"/>
          <w:marTop w:val="0"/>
          <w:marBottom w:val="0"/>
          <w:divBdr>
            <w:top w:val="none" w:sz="0" w:space="0" w:color="auto"/>
            <w:left w:val="none" w:sz="0" w:space="0" w:color="auto"/>
            <w:bottom w:val="none" w:sz="0" w:space="0" w:color="auto"/>
            <w:right w:val="none" w:sz="0" w:space="0" w:color="auto"/>
          </w:divBdr>
          <w:divsChild>
            <w:div w:id="795374360">
              <w:marLeft w:val="-75"/>
              <w:marRight w:val="0"/>
              <w:marTop w:val="30"/>
              <w:marBottom w:val="30"/>
              <w:divBdr>
                <w:top w:val="none" w:sz="0" w:space="0" w:color="auto"/>
                <w:left w:val="none" w:sz="0" w:space="0" w:color="auto"/>
                <w:bottom w:val="none" w:sz="0" w:space="0" w:color="auto"/>
                <w:right w:val="none" w:sz="0" w:space="0" w:color="auto"/>
              </w:divBdr>
              <w:divsChild>
                <w:div w:id="104081523">
                  <w:marLeft w:val="0"/>
                  <w:marRight w:val="0"/>
                  <w:marTop w:val="0"/>
                  <w:marBottom w:val="0"/>
                  <w:divBdr>
                    <w:top w:val="none" w:sz="0" w:space="0" w:color="auto"/>
                    <w:left w:val="none" w:sz="0" w:space="0" w:color="auto"/>
                    <w:bottom w:val="none" w:sz="0" w:space="0" w:color="auto"/>
                    <w:right w:val="none" w:sz="0" w:space="0" w:color="auto"/>
                  </w:divBdr>
                  <w:divsChild>
                    <w:div w:id="16397496">
                      <w:marLeft w:val="0"/>
                      <w:marRight w:val="0"/>
                      <w:marTop w:val="0"/>
                      <w:marBottom w:val="0"/>
                      <w:divBdr>
                        <w:top w:val="none" w:sz="0" w:space="0" w:color="auto"/>
                        <w:left w:val="none" w:sz="0" w:space="0" w:color="auto"/>
                        <w:bottom w:val="none" w:sz="0" w:space="0" w:color="auto"/>
                        <w:right w:val="none" w:sz="0" w:space="0" w:color="auto"/>
                      </w:divBdr>
                    </w:div>
                  </w:divsChild>
                </w:div>
                <w:div w:id="316614361">
                  <w:marLeft w:val="0"/>
                  <w:marRight w:val="0"/>
                  <w:marTop w:val="0"/>
                  <w:marBottom w:val="0"/>
                  <w:divBdr>
                    <w:top w:val="none" w:sz="0" w:space="0" w:color="auto"/>
                    <w:left w:val="none" w:sz="0" w:space="0" w:color="auto"/>
                    <w:bottom w:val="none" w:sz="0" w:space="0" w:color="auto"/>
                    <w:right w:val="none" w:sz="0" w:space="0" w:color="auto"/>
                  </w:divBdr>
                  <w:divsChild>
                    <w:div w:id="1135902709">
                      <w:marLeft w:val="0"/>
                      <w:marRight w:val="0"/>
                      <w:marTop w:val="0"/>
                      <w:marBottom w:val="0"/>
                      <w:divBdr>
                        <w:top w:val="none" w:sz="0" w:space="0" w:color="auto"/>
                        <w:left w:val="none" w:sz="0" w:space="0" w:color="auto"/>
                        <w:bottom w:val="none" w:sz="0" w:space="0" w:color="auto"/>
                        <w:right w:val="none" w:sz="0" w:space="0" w:color="auto"/>
                      </w:divBdr>
                    </w:div>
                  </w:divsChild>
                </w:div>
                <w:div w:id="680816884">
                  <w:marLeft w:val="0"/>
                  <w:marRight w:val="0"/>
                  <w:marTop w:val="0"/>
                  <w:marBottom w:val="0"/>
                  <w:divBdr>
                    <w:top w:val="none" w:sz="0" w:space="0" w:color="auto"/>
                    <w:left w:val="none" w:sz="0" w:space="0" w:color="auto"/>
                    <w:bottom w:val="none" w:sz="0" w:space="0" w:color="auto"/>
                    <w:right w:val="none" w:sz="0" w:space="0" w:color="auto"/>
                  </w:divBdr>
                  <w:divsChild>
                    <w:div w:id="463937312">
                      <w:marLeft w:val="0"/>
                      <w:marRight w:val="0"/>
                      <w:marTop w:val="0"/>
                      <w:marBottom w:val="0"/>
                      <w:divBdr>
                        <w:top w:val="none" w:sz="0" w:space="0" w:color="auto"/>
                        <w:left w:val="none" w:sz="0" w:space="0" w:color="auto"/>
                        <w:bottom w:val="none" w:sz="0" w:space="0" w:color="auto"/>
                        <w:right w:val="none" w:sz="0" w:space="0" w:color="auto"/>
                      </w:divBdr>
                    </w:div>
                  </w:divsChild>
                </w:div>
                <w:div w:id="795294944">
                  <w:marLeft w:val="0"/>
                  <w:marRight w:val="0"/>
                  <w:marTop w:val="0"/>
                  <w:marBottom w:val="0"/>
                  <w:divBdr>
                    <w:top w:val="none" w:sz="0" w:space="0" w:color="auto"/>
                    <w:left w:val="none" w:sz="0" w:space="0" w:color="auto"/>
                    <w:bottom w:val="none" w:sz="0" w:space="0" w:color="auto"/>
                    <w:right w:val="none" w:sz="0" w:space="0" w:color="auto"/>
                  </w:divBdr>
                  <w:divsChild>
                    <w:div w:id="2023433994">
                      <w:marLeft w:val="0"/>
                      <w:marRight w:val="0"/>
                      <w:marTop w:val="0"/>
                      <w:marBottom w:val="0"/>
                      <w:divBdr>
                        <w:top w:val="none" w:sz="0" w:space="0" w:color="auto"/>
                        <w:left w:val="none" w:sz="0" w:space="0" w:color="auto"/>
                        <w:bottom w:val="none" w:sz="0" w:space="0" w:color="auto"/>
                        <w:right w:val="none" w:sz="0" w:space="0" w:color="auto"/>
                      </w:divBdr>
                    </w:div>
                  </w:divsChild>
                </w:div>
                <w:div w:id="1167092320">
                  <w:marLeft w:val="0"/>
                  <w:marRight w:val="0"/>
                  <w:marTop w:val="0"/>
                  <w:marBottom w:val="0"/>
                  <w:divBdr>
                    <w:top w:val="none" w:sz="0" w:space="0" w:color="auto"/>
                    <w:left w:val="none" w:sz="0" w:space="0" w:color="auto"/>
                    <w:bottom w:val="none" w:sz="0" w:space="0" w:color="auto"/>
                    <w:right w:val="none" w:sz="0" w:space="0" w:color="auto"/>
                  </w:divBdr>
                  <w:divsChild>
                    <w:div w:id="818614492">
                      <w:marLeft w:val="0"/>
                      <w:marRight w:val="0"/>
                      <w:marTop w:val="0"/>
                      <w:marBottom w:val="0"/>
                      <w:divBdr>
                        <w:top w:val="none" w:sz="0" w:space="0" w:color="auto"/>
                        <w:left w:val="none" w:sz="0" w:space="0" w:color="auto"/>
                        <w:bottom w:val="none" w:sz="0" w:space="0" w:color="auto"/>
                        <w:right w:val="none" w:sz="0" w:space="0" w:color="auto"/>
                      </w:divBdr>
                    </w:div>
                  </w:divsChild>
                </w:div>
                <w:div w:id="1459178532">
                  <w:marLeft w:val="0"/>
                  <w:marRight w:val="0"/>
                  <w:marTop w:val="0"/>
                  <w:marBottom w:val="0"/>
                  <w:divBdr>
                    <w:top w:val="none" w:sz="0" w:space="0" w:color="auto"/>
                    <w:left w:val="none" w:sz="0" w:space="0" w:color="auto"/>
                    <w:bottom w:val="none" w:sz="0" w:space="0" w:color="auto"/>
                    <w:right w:val="none" w:sz="0" w:space="0" w:color="auto"/>
                  </w:divBdr>
                  <w:divsChild>
                    <w:div w:id="1760835226">
                      <w:marLeft w:val="0"/>
                      <w:marRight w:val="0"/>
                      <w:marTop w:val="0"/>
                      <w:marBottom w:val="0"/>
                      <w:divBdr>
                        <w:top w:val="none" w:sz="0" w:space="0" w:color="auto"/>
                        <w:left w:val="none" w:sz="0" w:space="0" w:color="auto"/>
                        <w:bottom w:val="none" w:sz="0" w:space="0" w:color="auto"/>
                        <w:right w:val="none" w:sz="0" w:space="0" w:color="auto"/>
                      </w:divBdr>
                    </w:div>
                  </w:divsChild>
                </w:div>
                <w:div w:id="1464537871">
                  <w:marLeft w:val="0"/>
                  <w:marRight w:val="0"/>
                  <w:marTop w:val="0"/>
                  <w:marBottom w:val="0"/>
                  <w:divBdr>
                    <w:top w:val="none" w:sz="0" w:space="0" w:color="auto"/>
                    <w:left w:val="none" w:sz="0" w:space="0" w:color="auto"/>
                    <w:bottom w:val="none" w:sz="0" w:space="0" w:color="auto"/>
                    <w:right w:val="none" w:sz="0" w:space="0" w:color="auto"/>
                  </w:divBdr>
                  <w:divsChild>
                    <w:div w:id="685907148">
                      <w:marLeft w:val="0"/>
                      <w:marRight w:val="0"/>
                      <w:marTop w:val="0"/>
                      <w:marBottom w:val="0"/>
                      <w:divBdr>
                        <w:top w:val="none" w:sz="0" w:space="0" w:color="auto"/>
                        <w:left w:val="none" w:sz="0" w:space="0" w:color="auto"/>
                        <w:bottom w:val="none" w:sz="0" w:space="0" w:color="auto"/>
                        <w:right w:val="none" w:sz="0" w:space="0" w:color="auto"/>
                      </w:divBdr>
                    </w:div>
                  </w:divsChild>
                </w:div>
                <w:div w:id="1604193067">
                  <w:marLeft w:val="0"/>
                  <w:marRight w:val="0"/>
                  <w:marTop w:val="0"/>
                  <w:marBottom w:val="0"/>
                  <w:divBdr>
                    <w:top w:val="none" w:sz="0" w:space="0" w:color="auto"/>
                    <w:left w:val="none" w:sz="0" w:space="0" w:color="auto"/>
                    <w:bottom w:val="none" w:sz="0" w:space="0" w:color="auto"/>
                    <w:right w:val="none" w:sz="0" w:space="0" w:color="auto"/>
                  </w:divBdr>
                  <w:divsChild>
                    <w:div w:id="992485080">
                      <w:marLeft w:val="0"/>
                      <w:marRight w:val="0"/>
                      <w:marTop w:val="0"/>
                      <w:marBottom w:val="0"/>
                      <w:divBdr>
                        <w:top w:val="none" w:sz="0" w:space="0" w:color="auto"/>
                        <w:left w:val="none" w:sz="0" w:space="0" w:color="auto"/>
                        <w:bottom w:val="none" w:sz="0" w:space="0" w:color="auto"/>
                        <w:right w:val="none" w:sz="0" w:space="0" w:color="auto"/>
                      </w:divBdr>
                    </w:div>
                  </w:divsChild>
                </w:div>
                <w:div w:id="2109108467">
                  <w:marLeft w:val="0"/>
                  <w:marRight w:val="0"/>
                  <w:marTop w:val="0"/>
                  <w:marBottom w:val="0"/>
                  <w:divBdr>
                    <w:top w:val="none" w:sz="0" w:space="0" w:color="auto"/>
                    <w:left w:val="none" w:sz="0" w:space="0" w:color="auto"/>
                    <w:bottom w:val="none" w:sz="0" w:space="0" w:color="auto"/>
                    <w:right w:val="none" w:sz="0" w:space="0" w:color="auto"/>
                  </w:divBdr>
                  <w:divsChild>
                    <w:div w:id="23455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596">
          <w:marLeft w:val="0"/>
          <w:marRight w:val="0"/>
          <w:marTop w:val="0"/>
          <w:marBottom w:val="0"/>
          <w:divBdr>
            <w:top w:val="none" w:sz="0" w:space="0" w:color="auto"/>
            <w:left w:val="none" w:sz="0" w:space="0" w:color="auto"/>
            <w:bottom w:val="none" w:sz="0" w:space="0" w:color="auto"/>
            <w:right w:val="none" w:sz="0" w:space="0" w:color="auto"/>
          </w:divBdr>
          <w:divsChild>
            <w:div w:id="1815296281">
              <w:marLeft w:val="-75"/>
              <w:marRight w:val="0"/>
              <w:marTop w:val="30"/>
              <w:marBottom w:val="30"/>
              <w:divBdr>
                <w:top w:val="none" w:sz="0" w:space="0" w:color="auto"/>
                <w:left w:val="none" w:sz="0" w:space="0" w:color="auto"/>
                <w:bottom w:val="none" w:sz="0" w:space="0" w:color="auto"/>
                <w:right w:val="none" w:sz="0" w:space="0" w:color="auto"/>
              </w:divBdr>
              <w:divsChild>
                <w:div w:id="279918458">
                  <w:marLeft w:val="0"/>
                  <w:marRight w:val="0"/>
                  <w:marTop w:val="0"/>
                  <w:marBottom w:val="0"/>
                  <w:divBdr>
                    <w:top w:val="none" w:sz="0" w:space="0" w:color="auto"/>
                    <w:left w:val="none" w:sz="0" w:space="0" w:color="auto"/>
                    <w:bottom w:val="none" w:sz="0" w:space="0" w:color="auto"/>
                    <w:right w:val="none" w:sz="0" w:space="0" w:color="auto"/>
                  </w:divBdr>
                  <w:divsChild>
                    <w:div w:id="1566648126">
                      <w:marLeft w:val="0"/>
                      <w:marRight w:val="0"/>
                      <w:marTop w:val="0"/>
                      <w:marBottom w:val="0"/>
                      <w:divBdr>
                        <w:top w:val="none" w:sz="0" w:space="0" w:color="auto"/>
                        <w:left w:val="none" w:sz="0" w:space="0" w:color="auto"/>
                        <w:bottom w:val="none" w:sz="0" w:space="0" w:color="auto"/>
                        <w:right w:val="none" w:sz="0" w:space="0" w:color="auto"/>
                      </w:divBdr>
                    </w:div>
                  </w:divsChild>
                </w:div>
                <w:div w:id="569314464">
                  <w:marLeft w:val="0"/>
                  <w:marRight w:val="0"/>
                  <w:marTop w:val="0"/>
                  <w:marBottom w:val="0"/>
                  <w:divBdr>
                    <w:top w:val="none" w:sz="0" w:space="0" w:color="auto"/>
                    <w:left w:val="none" w:sz="0" w:space="0" w:color="auto"/>
                    <w:bottom w:val="none" w:sz="0" w:space="0" w:color="auto"/>
                    <w:right w:val="none" w:sz="0" w:space="0" w:color="auto"/>
                  </w:divBdr>
                  <w:divsChild>
                    <w:div w:id="1462185037">
                      <w:marLeft w:val="0"/>
                      <w:marRight w:val="0"/>
                      <w:marTop w:val="0"/>
                      <w:marBottom w:val="0"/>
                      <w:divBdr>
                        <w:top w:val="none" w:sz="0" w:space="0" w:color="auto"/>
                        <w:left w:val="none" w:sz="0" w:space="0" w:color="auto"/>
                        <w:bottom w:val="none" w:sz="0" w:space="0" w:color="auto"/>
                        <w:right w:val="none" w:sz="0" w:space="0" w:color="auto"/>
                      </w:divBdr>
                    </w:div>
                  </w:divsChild>
                </w:div>
                <w:div w:id="688482453">
                  <w:marLeft w:val="0"/>
                  <w:marRight w:val="0"/>
                  <w:marTop w:val="0"/>
                  <w:marBottom w:val="0"/>
                  <w:divBdr>
                    <w:top w:val="none" w:sz="0" w:space="0" w:color="auto"/>
                    <w:left w:val="none" w:sz="0" w:space="0" w:color="auto"/>
                    <w:bottom w:val="none" w:sz="0" w:space="0" w:color="auto"/>
                    <w:right w:val="none" w:sz="0" w:space="0" w:color="auto"/>
                  </w:divBdr>
                  <w:divsChild>
                    <w:div w:id="1395350769">
                      <w:marLeft w:val="0"/>
                      <w:marRight w:val="0"/>
                      <w:marTop w:val="0"/>
                      <w:marBottom w:val="0"/>
                      <w:divBdr>
                        <w:top w:val="none" w:sz="0" w:space="0" w:color="auto"/>
                        <w:left w:val="none" w:sz="0" w:space="0" w:color="auto"/>
                        <w:bottom w:val="none" w:sz="0" w:space="0" w:color="auto"/>
                        <w:right w:val="none" w:sz="0" w:space="0" w:color="auto"/>
                      </w:divBdr>
                    </w:div>
                  </w:divsChild>
                </w:div>
                <w:div w:id="731316732">
                  <w:marLeft w:val="0"/>
                  <w:marRight w:val="0"/>
                  <w:marTop w:val="0"/>
                  <w:marBottom w:val="0"/>
                  <w:divBdr>
                    <w:top w:val="none" w:sz="0" w:space="0" w:color="auto"/>
                    <w:left w:val="none" w:sz="0" w:space="0" w:color="auto"/>
                    <w:bottom w:val="none" w:sz="0" w:space="0" w:color="auto"/>
                    <w:right w:val="none" w:sz="0" w:space="0" w:color="auto"/>
                  </w:divBdr>
                  <w:divsChild>
                    <w:div w:id="571038537">
                      <w:marLeft w:val="0"/>
                      <w:marRight w:val="0"/>
                      <w:marTop w:val="0"/>
                      <w:marBottom w:val="0"/>
                      <w:divBdr>
                        <w:top w:val="none" w:sz="0" w:space="0" w:color="auto"/>
                        <w:left w:val="none" w:sz="0" w:space="0" w:color="auto"/>
                        <w:bottom w:val="none" w:sz="0" w:space="0" w:color="auto"/>
                        <w:right w:val="none" w:sz="0" w:space="0" w:color="auto"/>
                      </w:divBdr>
                    </w:div>
                  </w:divsChild>
                </w:div>
                <w:div w:id="910308536">
                  <w:marLeft w:val="0"/>
                  <w:marRight w:val="0"/>
                  <w:marTop w:val="0"/>
                  <w:marBottom w:val="0"/>
                  <w:divBdr>
                    <w:top w:val="none" w:sz="0" w:space="0" w:color="auto"/>
                    <w:left w:val="none" w:sz="0" w:space="0" w:color="auto"/>
                    <w:bottom w:val="none" w:sz="0" w:space="0" w:color="auto"/>
                    <w:right w:val="none" w:sz="0" w:space="0" w:color="auto"/>
                  </w:divBdr>
                  <w:divsChild>
                    <w:div w:id="269704437">
                      <w:marLeft w:val="0"/>
                      <w:marRight w:val="0"/>
                      <w:marTop w:val="0"/>
                      <w:marBottom w:val="0"/>
                      <w:divBdr>
                        <w:top w:val="none" w:sz="0" w:space="0" w:color="auto"/>
                        <w:left w:val="none" w:sz="0" w:space="0" w:color="auto"/>
                        <w:bottom w:val="none" w:sz="0" w:space="0" w:color="auto"/>
                        <w:right w:val="none" w:sz="0" w:space="0" w:color="auto"/>
                      </w:divBdr>
                    </w:div>
                  </w:divsChild>
                </w:div>
                <w:div w:id="918176146">
                  <w:marLeft w:val="0"/>
                  <w:marRight w:val="0"/>
                  <w:marTop w:val="0"/>
                  <w:marBottom w:val="0"/>
                  <w:divBdr>
                    <w:top w:val="none" w:sz="0" w:space="0" w:color="auto"/>
                    <w:left w:val="none" w:sz="0" w:space="0" w:color="auto"/>
                    <w:bottom w:val="none" w:sz="0" w:space="0" w:color="auto"/>
                    <w:right w:val="none" w:sz="0" w:space="0" w:color="auto"/>
                  </w:divBdr>
                  <w:divsChild>
                    <w:div w:id="1946233246">
                      <w:marLeft w:val="0"/>
                      <w:marRight w:val="0"/>
                      <w:marTop w:val="0"/>
                      <w:marBottom w:val="0"/>
                      <w:divBdr>
                        <w:top w:val="none" w:sz="0" w:space="0" w:color="auto"/>
                        <w:left w:val="none" w:sz="0" w:space="0" w:color="auto"/>
                        <w:bottom w:val="none" w:sz="0" w:space="0" w:color="auto"/>
                        <w:right w:val="none" w:sz="0" w:space="0" w:color="auto"/>
                      </w:divBdr>
                    </w:div>
                  </w:divsChild>
                </w:div>
                <w:div w:id="967584533">
                  <w:marLeft w:val="0"/>
                  <w:marRight w:val="0"/>
                  <w:marTop w:val="0"/>
                  <w:marBottom w:val="0"/>
                  <w:divBdr>
                    <w:top w:val="none" w:sz="0" w:space="0" w:color="auto"/>
                    <w:left w:val="none" w:sz="0" w:space="0" w:color="auto"/>
                    <w:bottom w:val="none" w:sz="0" w:space="0" w:color="auto"/>
                    <w:right w:val="none" w:sz="0" w:space="0" w:color="auto"/>
                  </w:divBdr>
                  <w:divsChild>
                    <w:div w:id="402064369">
                      <w:marLeft w:val="0"/>
                      <w:marRight w:val="0"/>
                      <w:marTop w:val="0"/>
                      <w:marBottom w:val="0"/>
                      <w:divBdr>
                        <w:top w:val="none" w:sz="0" w:space="0" w:color="auto"/>
                        <w:left w:val="none" w:sz="0" w:space="0" w:color="auto"/>
                        <w:bottom w:val="none" w:sz="0" w:space="0" w:color="auto"/>
                        <w:right w:val="none" w:sz="0" w:space="0" w:color="auto"/>
                      </w:divBdr>
                    </w:div>
                  </w:divsChild>
                </w:div>
                <w:div w:id="1317345279">
                  <w:marLeft w:val="0"/>
                  <w:marRight w:val="0"/>
                  <w:marTop w:val="0"/>
                  <w:marBottom w:val="0"/>
                  <w:divBdr>
                    <w:top w:val="none" w:sz="0" w:space="0" w:color="auto"/>
                    <w:left w:val="none" w:sz="0" w:space="0" w:color="auto"/>
                    <w:bottom w:val="none" w:sz="0" w:space="0" w:color="auto"/>
                    <w:right w:val="none" w:sz="0" w:space="0" w:color="auto"/>
                  </w:divBdr>
                  <w:divsChild>
                    <w:div w:id="894005324">
                      <w:marLeft w:val="0"/>
                      <w:marRight w:val="0"/>
                      <w:marTop w:val="0"/>
                      <w:marBottom w:val="0"/>
                      <w:divBdr>
                        <w:top w:val="none" w:sz="0" w:space="0" w:color="auto"/>
                        <w:left w:val="none" w:sz="0" w:space="0" w:color="auto"/>
                        <w:bottom w:val="none" w:sz="0" w:space="0" w:color="auto"/>
                        <w:right w:val="none" w:sz="0" w:space="0" w:color="auto"/>
                      </w:divBdr>
                    </w:div>
                  </w:divsChild>
                </w:div>
                <w:div w:id="1686008684">
                  <w:marLeft w:val="0"/>
                  <w:marRight w:val="0"/>
                  <w:marTop w:val="0"/>
                  <w:marBottom w:val="0"/>
                  <w:divBdr>
                    <w:top w:val="none" w:sz="0" w:space="0" w:color="auto"/>
                    <w:left w:val="none" w:sz="0" w:space="0" w:color="auto"/>
                    <w:bottom w:val="none" w:sz="0" w:space="0" w:color="auto"/>
                    <w:right w:val="none" w:sz="0" w:space="0" w:color="auto"/>
                  </w:divBdr>
                  <w:divsChild>
                    <w:div w:id="400179811">
                      <w:marLeft w:val="0"/>
                      <w:marRight w:val="0"/>
                      <w:marTop w:val="0"/>
                      <w:marBottom w:val="0"/>
                      <w:divBdr>
                        <w:top w:val="none" w:sz="0" w:space="0" w:color="auto"/>
                        <w:left w:val="none" w:sz="0" w:space="0" w:color="auto"/>
                        <w:bottom w:val="none" w:sz="0" w:space="0" w:color="auto"/>
                        <w:right w:val="none" w:sz="0" w:space="0" w:color="auto"/>
                      </w:divBdr>
                    </w:div>
                  </w:divsChild>
                </w:div>
                <w:div w:id="1878739904">
                  <w:marLeft w:val="0"/>
                  <w:marRight w:val="0"/>
                  <w:marTop w:val="0"/>
                  <w:marBottom w:val="0"/>
                  <w:divBdr>
                    <w:top w:val="none" w:sz="0" w:space="0" w:color="auto"/>
                    <w:left w:val="none" w:sz="0" w:space="0" w:color="auto"/>
                    <w:bottom w:val="none" w:sz="0" w:space="0" w:color="auto"/>
                    <w:right w:val="none" w:sz="0" w:space="0" w:color="auto"/>
                  </w:divBdr>
                  <w:divsChild>
                    <w:div w:id="1605266723">
                      <w:marLeft w:val="0"/>
                      <w:marRight w:val="0"/>
                      <w:marTop w:val="0"/>
                      <w:marBottom w:val="0"/>
                      <w:divBdr>
                        <w:top w:val="none" w:sz="0" w:space="0" w:color="auto"/>
                        <w:left w:val="none" w:sz="0" w:space="0" w:color="auto"/>
                        <w:bottom w:val="none" w:sz="0" w:space="0" w:color="auto"/>
                        <w:right w:val="none" w:sz="0" w:space="0" w:color="auto"/>
                      </w:divBdr>
                    </w:div>
                  </w:divsChild>
                </w:div>
                <w:div w:id="1954898331">
                  <w:marLeft w:val="0"/>
                  <w:marRight w:val="0"/>
                  <w:marTop w:val="0"/>
                  <w:marBottom w:val="0"/>
                  <w:divBdr>
                    <w:top w:val="none" w:sz="0" w:space="0" w:color="auto"/>
                    <w:left w:val="none" w:sz="0" w:space="0" w:color="auto"/>
                    <w:bottom w:val="none" w:sz="0" w:space="0" w:color="auto"/>
                    <w:right w:val="none" w:sz="0" w:space="0" w:color="auto"/>
                  </w:divBdr>
                  <w:divsChild>
                    <w:div w:id="493107424">
                      <w:marLeft w:val="0"/>
                      <w:marRight w:val="0"/>
                      <w:marTop w:val="0"/>
                      <w:marBottom w:val="0"/>
                      <w:divBdr>
                        <w:top w:val="none" w:sz="0" w:space="0" w:color="auto"/>
                        <w:left w:val="none" w:sz="0" w:space="0" w:color="auto"/>
                        <w:bottom w:val="none" w:sz="0" w:space="0" w:color="auto"/>
                        <w:right w:val="none" w:sz="0" w:space="0" w:color="auto"/>
                      </w:divBdr>
                    </w:div>
                  </w:divsChild>
                </w:div>
                <w:div w:id="2092383146">
                  <w:marLeft w:val="0"/>
                  <w:marRight w:val="0"/>
                  <w:marTop w:val="0"/>
                  <w:marBottom w:val="0"/>
                  <w:divBdr>
                    <w:top w:val="none" w:sz="0" w:space="0" w:color="auto"/>
                    <w:left w:val="none" w:sz="0" w:space="0" w:color="auto"/>
                    <w:bottom w:val="none" w:sz="0" w:space="0" w:color="auto"/>
                    <w:right w:val="none" w:sz="0" w:space="0" w:color="auto"/>
                  </w:divBdr>
                  <w:divsChild>
                    <w:div w:id="28045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051760">
          <w:marLeft w:val="0"/>
          <w:marRight w:val="0"/>
          <w:marTop w:val="0"/>
          <w:marBottom w:val="0"/>
          <w:divBdr>
            <w:top w:val="none" w:sz="0" w:space="0" w:color="auto"/>
            <w:left w:val="none" w:sz="0" w:space="0" w:color="auto"/>
            <w:bottom w:val="none" w:sz="0" w:space="0" w:color="auto"/>
            <w:right w:val="none" w:sz="0" w:space="0" w:color="auto"/>
          </w:divBdr>
          <w:divsChild>
            <w:div w:id="54008964">
              <w:marLeft w:val="0"/>
              <w:marRight w:val="0"/>
              <w:marTop w:val="0"/>
              <w:marBottom w:val="0"/>
              <w:divBdr>
                <w:top w:val="none" w:sz="0" w:space="0" w:color="auto"/>
                <w:left w:val="none" w:sz="0" w:space="0" w:color="auto"/>
                <w:bottom w:val="none" w:sz="0" w:space="0" w:color="auto"/>
                <w:right w:val="none" w:sz="0" w:space="0" w:color="auto"/>
              </w:divBdr>
            </w:div>
            <w:div w:id="159581566">
              <w:marLeft w:val="0"/>
              <w:marRight w:val="0"/>
              <w:marTop w:val="0"/>
              <w:marBottom w:val="0"/>
              <w:divBdr>
                <w:top w:val="none" w:sz="0" w:space="0" w:color="auto"/>
                <w:left w:val="none" w:sz="0" w:space="0" w:color="auto"/>
                <w:bottom w:val="none" w:sz="0" w:space="0" w:color="auto"/>
                <w:right w:val="none" w:sz="0" w:space="0" w:color="auto"/>
              </w:divBdr>
            </w:div>
            <w:div w:id="263612040">
              <w:marLeft w:val="0"/>
              <w:marRight w:val="0"/>
              <w:marTop w:val="0"/>
              <w:marBottom w:val="0"/>
              <w:divBdr>
                <w:top w:val="none" w:sz="0" w:space="0" w:color="auto"/>
                <w:left w:val="none" w:sz="0" w:space="0" w:color="auto"/>
                <w:bottom w:val="none" w:sz="0" w:space="0" w:color="auto"/>
                <w:right w:val="none" w:sz="0" w:space="0" w:color="auto"/>
              </w:divBdr>
            </w:div>
            <w:div w:id="374890516">
              <w:marLeft w:val="0"/>
              <w:marRight w:val="0"/>
              <w:marTop w:val="0"/>
              <w:marBottom w:val="0"/>
              <w:divBdr>
                <w:top w:val="none" w:sz="0" w:space="0" w:color="auto"/>
                <w:left w:val="none" w:sz="0" w:space="0" w:color="auto"/>
                <w:bottom w:val="none" w:sz="0" w:space="0" w:color="auto"/>
                <w:right w:val="none" w:sz="0" w:space="0" w:color="auto"/>
              </w:divBdr>
            </w:div>
            <w:div w:id="438137413">
              <w:marLeft w:val="0"/>
              <w:marRight w:val="0"/>
              <w:marTop w:val="0"/>
              <w:marBottom w:val="0"/>
              <w:divBdr>
                <w:top w:val="none" w:sz="0" w:space="0" w:color="auto"/>
                <w:left w:val="none" w:sz="0" w:space="0" w:color="auto"/>
                <w:bottom w:val="none" w:sz="0" w:space="0" w:color="auto"/>
                <w:right w:val="none" w:sz="0" w:space="0" w:color="auto"/>
              </w:divBdr>
            </w:div>
            <w:div w:id="841554661">
              <w:marLeft w:val="0"/>
              <w:marRight w:val="0"/>
              <w:marTop w:val="0"/>
              <w:marBottom w:val="0"/>
              <w:divBdr>
                <w:top w:val="none" w:sz="0" w:space="0" w:color="auto"/>
                <w:left w:val="none" w:sz="0" w:space="0" w:color="auto"/>
                <w:bottom w:val="none" w:sz="0" w:space="0" w:color="auto"/>
                <w:right w:val="none" w:sz="0" w:space="0" w:color="auto"/>
              </w:divBdr>
            </w:div>
            <w:div w:id="1397975171">
              <w:marLeft w:val="0"/>
              <w:marRight w:val="0"/>
              <w:marTop w:val="0"/>
              <w:marBottom w:val="0"/>
              <w:divBdr>
                <w:top w:val="none" w:sz="0" w:space="0" w:color="auto"/>
                <w:left w:val="none" w:sz="0" w:space="0" w:color="auto"/>
                <w:bottom w:val="none" w:sz="0" w:space="0" w:color="auto"/>
                <w:right w:val="none" w:sz="0" w:space="0" w:color="auto"/>
              </w:divBdr>
            </w:div>
            <w:div w:id="1442341153">
              <w:marLeft w:val="0"/>
              <w:marRight w:val="0"/>
              <w:marTop w:val="0"/>
              <w:marBottom w:val="0"/>
              <w:divBdr>
                <w:top w:val="none" w:sz="0" w:space="0" w:color="auto"/>
                <w:left w:val="none" w:sz="0" w:space="0" w:color="auto"/>
                <w:bottom w:val="none" w:sz="0" w:space="0" w:color="auto"/>
                <w:right w:val="none" w:sz="0" w:space="0" w:color="auto"/>
              </w:divBdr>
            </w:div>
            <w:div w:id="1596983897">
              <w:marLeft w:val="0"/>
              <w:marRight w:val="0"/>
              <w:marTop w:val="0"/>
              <w:marBottom w:val="0"/>
              <w:divBdr>
                <w:top w:val="none" w:sz="0" w:space="0" w:color="auto"/>
                <w:left w:val="none" w:sz="0" w:space="0" w:color="auto"/>
                <w:bottom w:val="none" w:sz="0" w:space="0" w:color="auto"/>
                <w:right w:val="none" w:sz="0" w:space="0" w:color="auto"/>
              </w:divBdr>
            </w:div>
            <w:div w:id="1730031063">
              <w:marLeft w:val="0"/>
              <w:marRight w:val="0"/>
              <w:marTop w:val="0"/>
              <w:marBottom w:val="0"/>
              <w:divBdr>
                <w:top w:val="none" w:sz="0" w:space="0" w:color="auto"/>
                <w:left w:val="none" w:sz="0" w:space="0" w:color="auto"/>
                <w:bottom w:val="none" w:sz="0" w:space="0" w:color="auto"/>
                <w:right w:val="none" w:sz="0" w:space="0" w:color="auto"/>
              </w:divBdr>
            </w:div>
            <w:div w:id="2035301533">
              <w:marLeft w:val="0"/>
              <w:marRight w:val="0"/>
              <w:marTop w:val="0"/>
              <w:marBottom w:val="0"/>
              <w:divBdr>
                <w:top w:val="none" w:sz="0" w:space="0" w:color="auto"/>
                <w:left w:val="none" w:sz="0" w:space="0" w:color="auto"/>
                <w:bottom w:val="none" w:sz="0" w:space="0" w:color="auto"/>
                <w:right w:val="none" w:sz="0" w:space="0" w:color="auto"/>
              </w:divBdr>
            </w:div>
            <w:div w:id="2147156942">
              <w:marLeft w:val="0"/>
              <w:marRight w:val="0"/>
              <w:marTop w:val="0"/>
              <w:marBottom w:val="0"/>
              <w:divBdr>
                <w:top w:val="none" w:sz="0" w:space="0" w:color="auto"/>
                <w:left w:val="none" w:sz="0" w:space="0" w:color="auto"/>
                <w:bottom w:val="none" w:sz="0" w:space="0" w:color="auto"/>
                <w:right w:val="none" w:sz="0" w:space="0" w:color="auto"/>
              </w:divBdr>
            </w:div>
          </w:divsChild>
        </w:div>
        <w:div w:id="2142992359">
          <w:marLeft w:val="0"/>
          <w:marRight w:val="0"/>
          <w:marTop w:val="0"/>
          <w:marBottom w:val="0"/>
          <w:divBdr>
            <w:top w:val="none" w:sz="0" w:space="0" w:color="auto"/>
            <w:left w:val="none" w:sz="0" w:space="0" w:color="auto"/>
            <w:bottom w:val="none" w:sz="0" w:space="0" w:color="auto"/>
            <w:right w:val="none" w:sz="0" w:space="0" w:color="auto"/>
          </w:divBdr>
        </w:div>
      </w:divsChild>
    </w:div>
    <w:div w:id="32075450">
      <w:bodyDiv w:val="1"/>
      <w:marLeft w:val="0"/>
      <w:marRight w:val="0"/>
      <w:marTop w:val="0"/>
      <w:marBottom w:val="0"/>
      <w:divBdr>
        <w:top w:val="none" w:sz="0" w:space="0" w:color="auto"/>
        <w:left w:val="none" w:sz="0" w:space="0" w:color="auto"/>
        <w:bottom w:val="none" w:sz="0" w:space="0" w:color="auto"/>
        <w:right w:val="none" w:sz="0" w:space="0" w:color="auto"/>
      </w:divBdr>
    </w:div>
    <w:div w:id="36201047">
      <w:bodyDiv w:val="1"/>
      <w:marLeft w:val="0"/>
      <w:marRight w:val="0"/>
      <w:marTop w:val="0"/>
      <w:marBottom w:val="0"/>
      <w:divBdr>
        <w:top w:val="none" w:sz="0" w:space="0" w:color="auto"/>
        <w:left w:val="none" w:sz="0" w:space="0" w:color="auto"/>
        <w:bottom w:val="none" w:sz="0" w:space="0" w:color="auto"/>
        <w:right w:val="none" w:sz="0" w:space="0" w:color="auto"/>
      </w:divBdr>
    </w:div>
    <w:div w:id="37126100">
      <w:bodyDiv w:val="1"/>
      <w:marLeft w:val="0"/>
      <w:marRight w:val="0"/>
      <w:marTop w:val="0"/>
      <w:marBottom w:val="0"/>
      <w:divBdr>
        <w:top w:val="none" w:sz="0" w:space="0" w:color="auto"/>
        <w:left w:val="none" w:sz="0" w:space="0" w:color="auto"/>
        <w:bottom w:val="none" w:sz="0" w:space="0" w:color="auto"/>
        <w:right w:val="none" w:sz="0" w:space="0" w:color="auto"/>
      </w:divBdr>
    </w:div>
    <w:div w:id="55663655">
      <w:bodyDiv w:val="1"/>
      <w:marLeft w:val="0"/>
      <w:marRight w:val="0"/>
      <w:marTop w:val="0"/>
      <w:marBottom w:val="0"/>
      <w:divBdr>
        <w:top w:val="none" w:sz="0" w:space="0" w:color="auto"/>
        <w:left w:val="none" w:sz="0" w:space="0" w:color="auto"/>
        <w:bottom w:val="none" w:sz="0" w:space="0" w:color="auto"/>
        <w:right w:val="none" w:sz="0" w:space="0" w:color="auto"/>
      </w:divBdr>
    </w:div>
    <w:div w:id="62724615">
      <w:bodyDiv w:val="1"/>
      <w:marLeft w:val="0"/>
      <w:marRight w:val="0"/>
      <w:marTop w:val="0"/>
      <w:marBottom w:val="0"/>
      <w:divBdr>
        <w:top w:val="none" w:sz="0" w:space="0" w:color="auto"/>
        <w:left w:val="none" w:sz="0" w:space="0" w:color="auto"/>
        <w:bottom w:val="none" w:sz="0" w:space="0" w:color="auto"/>
        <w:right w:val="none" w:sz="0" w:space="0" w:color="auto"/>
      </w:divBdr>
      <w:divsChild>
        <w:div w:id="782656833">
          <w:marLeft w:val="835"/>
          <w:marRight w:val="0"/>
          <w:marTop w:val="0"/>
          <w:marBottom w:val="0"/>
          <w:divBdr>
            <w:top w:val="none" w:sz="0" w:space="0" w:color="auto"/>
            <w:left w:val="none" w:sz="0" w:space="0" w:color="auto"/>
            <w:bottom w:val="none" w:sz="0" w:space="0" w:color="auto"/>
            <w:right w:val="none" w:sz="0" w:space="0" w:color="auto"/>
          </w:divBdr>
        </w:div>
        <w:div w:id="1293049842">
          <w:marLeft w:val="274"/>
          <w:marRight w:val="0"/>
          <w:marTop w:val="0"/>
          <w:marBottom w:val="0"/>
          <w:divBdr>
            <w:top w:val="none" w:sz="0" w:space="0" w:color="auto"/>
            <w:left w:val="none" w:sz="0" w:space="0" w:color="auto"/>
            <w:bottom w:val="none" w:sz="0" w:space="0" w:color="auto"/>
            <w:right w:val="none" w:sz="0" w:space="0" w:color="auto"/>
          </w:divBdr>
        </w:div>
      </w:divsChild>
    </w:div>
    <w:div w:id="81461466">
      <w:bodyDiv w:val="1"/>
      <w:marLeft w:val="0"/>
      <w:marRight w:val="0"/>
      <w:marTop w:val="0"/>
      <w:marBottom w:val="0"/>
      <w:divBdr>
        <w:top w:val="none" w:sz="0" w:space="0" w:color="auto"/>
        <w:left w:val="none" w:sz="0" w:space="0" w:color="auto"/>
        <w:bottom w:val="none" w:sz="0" w:space="0" w:color="auto"/>
        <w:right w:val="none" w:sz="0" w:space="0" w:color="auto"/>
      </w:divBdr>
    </w:div>
    <w:div w:id="108355925">
      <w:bodyDiv w:val="1"/>
      <w:marLeft w:val="0"/>
      <w:marRight w:val="0"/>
      <w:marTop w:val="0"/>
      <w:marBottom w:val="0"/>
      <w:divBdr>
        <w:top w:val="none" w:sz="0" w:space="0" w:color="auto"/>
        <w:left w:val="none" w:sz="0" w:space="0" w:color="auto"/>
        <w:bottom w:val="none" w:sz="0" w:space="0" w:color="auto"/>
        <w:right w:val="none" w:sz="0" w:space="0" w:color="auto"/>
      </w:divBdr>
    </w:div>
    <w:div w:id="131489087">
      <w:bodyDiv w:val="1"/>
      <w:marLeft w:val="0"/>
      <w:marRight w:val="0"/>
      <w:marTop w:val="0"/>
      <w:marBottom w:val="0"/>
      <w:divBdr>
        <w:top w:val="none" w:sz="0" w:space="0" w:color="auto"/>
        <w:left w:val="none" w:sz="0" w:space="0" w:color="auto"/>
        <w:bottom w:val="none" w:sz="0" w:space="0" w:color="auto"/>
        <w:right w:val="none" w:sz="0" w:space="0" w:color="auto"/>
      </w:divBdr>
    </w:div>
    <w:div w:id="139470026">
      <w:bodyDiv w:val="1"/>
      <w:marLeft w:val="0"/>
      <w:marRight w:val="0"/>
      <w:marTop w:val="0"/>
      <w:marBottom w:val="0"/>
      <w:divBdr>
        <w:top w:val="none" w:sz="0" w:space="0" w:color="auto"/>
        <w:left w:val="none" w:sz="0" w:space="0" w:color="auto"/>
        <w:bottom w:val="none" w:sz="0" w:space="0" w:color="auto"/>
        <w:right w:val="none" w:sz="0" w:space="0" w:color="auto"/>
      </w:divBdr>
    </w:div>
    <w:div w:id="151920359">
      <w:bodyDiv w:val="1"/>
      <w:marLeft w:val="0"/>
      <w:marRight w:val="0"/>
      <w:marTop w:val="0"/>
      <w:marBottom w:val="0"/>
      <w:divBdr>
        <w:top w:val="none" w:sz="0" w:space="0" w:color="auto"/>
        <w:left w:val="none" w:sz="0" w:space="0" w:color="auto"/>
        <w:bottom w:val="none" w:sz="0" w:space="0" w:color="auto"/>
        <w:right w:val="none" w:sz="0" w:space="0" w:color="auto"/>
      </w:divBdr>
    </w:div>
    <w:div w:id="154339536">
      <w:bodyDiv w:val="1"/>
      <w:marLeft w:val="0"/>
      <w:marRight w:val="0"/>
      <w:marTop w:val="0"/>
      <w:marBottom w:val="0"/>
      <w:divBdr>
        <w:top w:val="none" w:sz="0" w:space="0" w:color="auto"/>
        <w:left w:val="none" w:sz="0" w:space="0" w:color="auto"/>
        <w:bottom w:val="none" w:sz="0" w:space="0" w:color="auto"/>
        <w:right w:val="none" w:sz="0" w:space="0" w:color="auto"/>
      </w:divBdr>
      <w:divsChild>
        <w:div w:id="249047091">
          <w:marLeft w:val="274"/>
          <w:marRight w:val="0"/>
          <w:marTop w:val="0"/>
          <w:marBottom w:val="0"/>
          <w:divBdr>
            <w:top w:val="none" w:sz="0" w:space="0" w:color="auto"/>
            <w:left w:val="none" w:sz="0" w:space="0" w:color="auto"/>
            <w:bottom w:val="none" w:sz="0" w:space="0" w:color="auto"/>
            <w:right w:val="none" w:sz="0" w:space="0" w:color="auto"/>
          </w:divBdr>
        </w:div>
        <w:div w:id="1192035906">
          <w:marLeft w:val="835"/>
          <w:marRight w:val="0"/>
          <w:marTop w:val="0"/>
          <w:marBottom w:val="0"/>
          <w:divBdr>
            <w:top w:val="none" w:sz="0" w:space="0" w:color="auto"/>
            <w:left w:val="none" w:sz="0" w:space="0" w:color="auto"/>
            <w:bottom w:val="none" w:sz="0" w:space="0" w:color="auto"/>
            <w:right w:val="none" w:sz="0" w:space="0" w:color="auto"/>
          </w:divBdr>
        </w:div>
      </w:divsChild>
    </w:div>
    <w:div w:id="180051794">
      <w:bodyDiv w:val="1"/>
      <w:marLeft w:val="0"/>
      <w:marRight w:val="0"/>
      <w:marTop w:val="0"/>
      <w:marBottom w:val="0"/>
      <w:divBdr>
        <w:top w:val="none" w:sz="0" w:space="0" w:color="auto"/>
        <w:left w:val="none" w:sz="0" w:space="0" w:color="auto"/>
        <w:bottom w:val="none" w:sz="0" w:space="0" w:color="auto"/>
        <w:right w:val="none" w:sz="0" w:space="0" w:color="auto"/>
      </w:divBdr>
    </w:div>
    <w:div w:id="195168704">
      <w:bodyDiv w:val="1"/>
      <w:marLeft w:val="0"/>
      <w:marRight w:val="0"/>
      <w:marTop w:val="0"/>
      <w:marBottom w:val="0"/>
      <w:divBdr>
        <w:top w:val="none" w:sz="0" w:space="0" w:color="auto"/>
        <w:left w:val="none" w:sz="0" w:space="0" w:color="auto"/>
        <w:bottom w:val="none" w:sz="0" w:space="0" w:color="auto"/>
        <w:right w:val="none" w:sz="0" w:space="0" w:color="auto"/>
      </w:divBdr>
    </w:div>
    <w:div w:id="229661376">
      <w:bodyDiv w:val="1"/>
      <w:marLeft w:val="0"/>
      <w:marRight w:val="0"/>
      <w:marTop w:val="0"/>
      <w:marBottom w:val="0"/>
      <w:divBdr>
        <w:top w:val="none" w:sz="0" w:space="0" w:color="auto"/>
        <w:left w:val="none" w:sz="0" w:space="0" w:color="auto"/>
        <w:bottom w:val="none" w:sz="0" w:space="0" w:color="auto"/>
        <w:right w:val="none" w:sz="0" w:space="0" w:color="auto"/>
      </w:divBdr>
    </w:div>
    <w:div w:id="234357342">
      <w:bodyDiv w:val="1"/>
      <w:marLeft w:val="0"/>
      <w:marRight w:val="0"/>
      <w:marTop w:val="0"/>
      <w:marBottom w:val="0"/>
      <w:divBdr>
        <w:top w:val="none" w:sz="0" w:space="0" w:color="auto"/>
        <w:left w:val="none" w:sz="0" w:space="0" w:color="auto"/>
        <w:bottom w:val="none" w:sz="0" w:space="0" w:color="auto"/>
        <w:right w:val="none" w:sz="0" w:space="0" w:color="auto"/>
      </w:divBdr>
    </w:div>
    <w:div w:id="242379841">
      <w:bodyDiv w:val="1"/>
      <w:marLeft w:val="0"/>
      <w:marRight w:val="0"/>
      <w:marTop w:val="0"/>
      <w:marBottom w:val="0"/>
      <w:divBdr>
        <w:top w:val="none" w:sz="0" w:space="0" w:color="auto"/>
        <w:left w:val="none" w:sz="0" w:space="0" w:color="auto"/>
        <w:bottom w:val="none" w:sz="0" w:space="0" w:color="auto"/>
        <w:right w:val="none" w:sz="0" w:space="0" w:color="auto"/>
      </w:divBdr>
    </w:div>
    <w:div w:id="250048975">
      <w:bodyDiv w:val="1"/>
      <w:marLeft w:val="0"/>
      <w:marRight w:val="0"/>
      <w:marTop w:val="0"/>
      <w:marBottom w:val="0"/>
      <w:divBdr>
        <w:top w:val="none" w:sz="0" w:space="0" w:color="auto"/>
        <w:left w:val="none" w:sz="0" w:space="0" w:color="auto"/>
        <w:bottom w:val="none" w:sz="0" w:space="0" w:color="auto"/>
        <w:right w:val="none" w:sz="0" w:space="0" w:color="auto"/>
      </w:divBdr>
    </w:div>
    <w:div w:id="256839118">
      <w:bodyDiv w:val="1"/>
      <w:marLeft w:val="0"/>
      <w:marRight w:val="0"/>
      <w:marTop w:val="0"/>
      <w:marBottom w:val="0"/>
      <w:divBdr>
        <w:top w:val="none" w:sz="0" w:space="0" w:color="auto"/>
        <w:left w:val="none" w:sz="0" w:space="0" w:color="auto"/>
        <w:bottom w:val="none" w:sz="0" w:space="0" w:color="auto"/>
        <w:right w:val="none" w:sz="0" w:space="0" w:color="auto"/>
      </w:divBdr>
    </w:div>
    <w:div w:id="265698397">
      <w:bodyDiv w:val="1"/>
      <w:marLeft w:val="0"/>
      <w:marRight w:val="0"/>
      <w:marTop w:val="0"/>
      <w:marBottom w:val="0"/>
      <w:divBdr>
        <w:top w:val="none" w:sz="0" w:space="0" w:color="auto"/>
        <w:left w:val="none" w:sz="0" w:space="0" w:color="auto"/>
        <w:bottom w:val="none" w:sz="0" w:space="0" w:color="auto"/>
        <w:right w:val="none" w:sz="0" w:space="0" w:color="auto"/>
      </w:divBdr>
      <w:divsChild>
        <w:div w:id="698698200">
          <w:marLeft w:val="0"/>
          <w:marRight w:val="0"/>
          <w:marTop w:val="0"/>
          <w:marBottom w:val="0"/>
          <w:divBdr>
            <w:top w:val="none" w:sz="0" w:space="0" w:color="auto"/>
            <w:left w:val="none" w:sz="0" w:space="0" w:color="auto"/>
            <w:bottom w:val="none" w:sz="0" w:space="0" w:color="auto"/>
            <w:right w:val="none" w:sz="0" w:space="0" w:color="auto"/>
          </w:divBdr>
        </w:div>
        <w:div w:id="1192034471">
          <w:marLeft w:val="0"/>
          <w:marRight w:val="0"/>
          <w:marTop w:val="0"/>
          <w:marBottom w:val="0"/>
          <w:divBdr>
            <w:top w:val="none" w:sz="0" w:space="0" w:color="auto"/>
            <w:left w:val="none" w:sz="0" w:space="0" w:color="auto"/>
            <w:bottom w:val="none" w:sz="0" w:space="0" w:color="auto"/>
            <w:right w:val="none" w:sz="0" w:space="0" w:color="auto"/>
          </w:divBdr>
        </w:div>
        <w:div w:id="1214807020">
          <w:marLeft w:val="0"/>
          <w:marRight w:val="0"/>
          <w:marTop w:val="0"/>
          <w:marBottom w:val="0"/>
          <w:divBdr>
            <w:top w:val="none" w:sz="0" w:space="0" w:color="auto"/>
            <w:left w:val="none" w:sz="0" w:space="0" w:color="auto"/>
            <w:bottom w:val="none" w:sz="0" w:space="0" w:color="auto"/>
            <w:right w:val="none" w:sz="0" w:space="0" w:color="auto"/>
          </w:divBdr>
          <w:divsChild>
            <w:div w:id="380793179">
              <w:marLeft w:val="-75"/>
              <w:marRight w:val="0"/>
              <w:marTop w:val="30"/>
              <w:marBottom w:val="30"/>
              <w:divBdr>
                <w:top w:val="none" w:sz="0" w:space="0" w:color="auto"/>
                <w:left w:val="none" w:sz="0" w:space="0" w:color="auto"/>
                <w:bottom w:val="none" w:sz="0" w:space="0" w:color="auto"/>
                <w:right w:val="none" w:sz="0" w:space="0" w:color="auto"/>
              </w:divBdr>
              <w:divsChild>
                <w:div w:id="61489098">
                  <w:marLeft w:val="0"/>
                  <w:marRight w:val="0"/>
                  <w:marTop w:val="0"/>
                  <w:marBottom w:val="0"/>
                  <w:divBdr>
                    <w:top w:val="none" w:sz="0" w:space="0" w:color="auto"/>
                    <w:left w:val="none" w:sz="0" w:space="0" w:color="auto"/>
                    <w:bottom w:val="none" w:sz="0" w:space="0" w:color="auto"/>
                    <w:right w:val="none" w:sz="0" w:space="0" w:color="auto"/>
                  </w:divBdr>
                  <w:divsChild>
                    <w:div w:id="1107583777">
                      <w:marLeft w:val="0"/>
                      <w:marRight w:val="0"/>
                      <w:marTop w:val="0"/>
                      <w:marBottom w:val="0"/>
                      <w:divBdr>
                        <w:top w:val="none" w:sz="0" w:space="0" w:color="auto"/>
                        <w:left w:val="none" w:sz="0" w:space="0" w:color="auto"/>
                        <w:bottom w:val="none" w:sz="0" w:space="0" w:color="auto"/>
                        <w:right w:val="none" w:sz="0" w:space="0" w:color="auto"/>
                      </w:divBdr>
                    </w:div>
                  </w:divsChild>
                </w:div>
                <w:div w:id="75252504">
                  <w:marLeft w:val="0"/>
                  <w:marRight w:val="0"/>
                  <w:marTop w:val="0"/>
                  <w:marBottom w:val="0"/>
                  <w:divBdr>
                    <w:top w:val="none" w:sz="0" w:space="0" w:color="auto"/>
                    <w:left w:val="none" w:sz="0" w:space="0" w:color="auto"/>
                    <w:bottom w:val="none" w:sz="0" w:space="0" w:color="auto"/>
                    <w:right w:val="none" w:sz="0" w:space="0" w:color="auto"/>
                  </w:divBdr>
                  <w:divsChild>
                    <w:div w:id="1590315210">
                      <w:marLeft w:val="0"/>
                      <w:marRight w:val="0"/>
                      <w:marTop w:val="0"/>
                      <w:marBottom w:val="0"/>
                      <w:divBdr>
                        <w:top w:val="none" w:sz="0" w:space="0" w:color="auto"/>
                        <w:left w:val="none" w:sz="0" w:space="0" w:color="auto"/>
                        <w:bottom w:val="none" w:sz="0" w:space="0" w:color="auto"/>
                        <w:right w:val="none" w:sz="0" w:space="0" w:color="auto"/>
                      </w:divBdr>
                    </w:div>
                  </w:divsChild>
                </w:div>
                <w:div w:id="240452297">
                  <w:marLeft w:val="0"/>
                  <w:marRight w:val="0"/>
                  <w:marTop w:val="0"/>
                  <w:marBottom w:val="0"/>
                  <w:divBdr>
                    <w:top w:val="none" w:sz="0" w:space="0" w:color="auto"/>
                    <w:left w:val="none" w:sz="0" w:space="0" w:color="auto"/>
                    <w:bottom w:val="none" w:sz="0" w:space="0" w:color="auto"/>
                    <w:right w:val="none" w:sz="0" w:space="0" w:color="auto"/>
                  </w:divBdr>
                  <w:divsChild>
                    <w:div w:id="2141262082">
                      <w:marLeft w:val="0"/>
                      <w:marRight w:val="0"/>
                      <w:marTop w:val="0"/>
                      <w:marBottom w:val="0"/>
                      <w:divBdr>
                        <w:top w:val="none" w:sz="0" w:space="0" w:color="auto"/>
                        <w:left w:val="none" w:sz="0" w:space="0" w:color="auto"/>
                        <w:bottom w:val="none" w:sz="0" w:space="0" w:color="auto"/>
                        <w:right w:val="none" w:sz="0" w:space="0" w:color="auto"/>
                      </w:divBdr>
                    </w:div>
                  </w:divsChild>
                </w:div>
                <w:div w:id="321853569">
                  <w:marLeft w:val="0"/>
                  <w:marRight w:val="0"/>
                  <w:marTop w:val="0"/>
                  <w:marBottom w:val="0"/>
                  <w:divBdr>
                    <w:top w:val="none" w:sz="0" w:space="0" w:color="auto"/>
                    <w:left w:val="none" w:sz="0" w:space="0" w:color="auto"/>
                    <w:bottom w:val="none" w:sz="0" w:space="0" w:color="auto"/>
                    <w:right w:val="none" w:sz="0" w:space="0" w:color="auto"/>
                  </w:divBdr>
                  <w:divsChild>
                    <w:div w:id="361440629">
                      <w:marLeft w:val="0"/>
                      <w:marRight w:val="0"/>
                      <w:marTop w:val="0"/>
                      <w:marBottom w:val="0"/>
                      <w:divBdr>
                        <w:top w:val="none" w:sz="0" w:space="0" w:color="auto"/>
                        <w:left w:val="none" w:sz="0" w:space="0" w:color="auto"/>
                        <w:bottom w:val="none" w:sz="0" w:space="0" w:color="auto"/>
                        <w:right w:val="none" w:sz="0" w:space="0" w:color="auto"/>
                      </w:divBdr>
                    </w:div>
                  </w:divsChild>
                </w:div>
                <w:div w:id="501969044">
                  <w:marLeft w:val="0"/>
                  <w:marRight w:val="0"/>
                  <w:marTop w:val="0"/>
                  <w:marBottom w:val="0"/>
                  <w:divBdr>
                    <w:top w:val="none" w:sz="0" w:space="0" w:color="auto"/>
                    <w:left w:val="none" w:sz="0" w:space="0" w:color="auto"/>
                    <w:bottom w:val="none" w:sz="0" w:space="0" w:color="auto"/>
                    <w:right w:val="none" w:sz="0" w:space="0" w:color="auto"/>
                  </w:divBdr>
                  <w:divsChild>
                    <w:div w:id="479227112">
                      <w:marLeft w:val="0"/>
                      <w:marRight w:val="0"/>
                      <w:marTop w:val="0"/>
                      <w:marBottom w:val="0"/>
                      <w:divBdr>
                        <w:top w:val="none" w:sz="0" w:space="0" w:color="auto"/>
                        <w:left w:val="none" w:sz="0" w:space="0" w:color="auto"/>
                        <w:bottom w:val="none" w:sz="0" w:space="0" w:color="auto"/>
                        <w:right w:val="none" w:sz="0" w:space="0" w:color="auto"/>
                      </w:divBdr>
                    </w:div>
                  </w:divsChild>
                </w:div>
                <w:div w:id="526990332">
                  <w:marLeft w:val="0"/>
                  <w:marRight w:val="0"/>
                  <w:marTop w:val="0"/>
                  <w:marBottom w:val="0"/>
                  <w:divBdr>
                    <w:top w:val="none" w:sz="0" w:space="0" w:color="auto"/>
                    <w:left w:val="none" w:sz="0" w:space="0" w:color="auto"/>
                    <w:bottom w:val="none" w:sz="0" w:space="0" w:color="auto"/>
                    <w:right w:val="none" w:sz="0" w:space="0" w:color="auto"/>
                  </w:divBdr>
                  <w:divsChild>
                    <w:div w:id="831724927">
                      <w:marLeft w:val="0"/>
                      <w:marRight w:val="0"/>
                      <w:marTop w:val="0"/>
                      <w:marBottom w:val="0"/>
                      <w:divBdr>
                        <w:top w:val="none" w:sz="0" w:space="0" w:color="auto"/>
                        <w:left w:val="none" w:sz="0" w:space="0" w:color="auto"/>
                        <w:bottom w:val="none" w:sz="0" w:space="0" w:color="auto"/>
                        <w:right w:val="none" w:sz="0" w:space="0" w:color="auto"/>
                      </w:divBdr>
                    </w:div>
                  </w:divsChild>
                </w:div>
                <w:div w:id="606934747">
                  <w:marLeft w:val="0"/>
                  <w:marRight w:val="0"/>
                  <w:marTop w:val="0"/>
                  <w:marBottom w:val="0"/>
                  <w:divBdr>
                    <w:top w:val="none" w:sz="0" w:space="0" w:color="auto"/>
                    <w:left w:val="none" w:sz="0" w:space="0" w:color="auto"/>
                    <w:bottom w:val="none" w:sz="0" w:space="0" w:color="auto"/>
                    <w:right w:val="none" w:sz="0" w:space="0" w:color="auto"/>
                  </w:divBdr>
                  <w:divsChild>
                    <w:div w:id="621571384">
                      <w:marLeft w:val="0"/>
                      <w:marRight w:val="0"/>
                      <w:marTop w:val="0"/>
                      <w:marBottom w:val="0"/>
                      <w:divBdr>
                        <w:top w:val="none" w:sz="0" w:space="0" w:color="auto"/>
                        <w:left w:val="none" w:sz="0" w:space="0" w:color="auto"/>
                        <w:bottom w:val="none" w:sz="0" w:space="0" w:color="auto"/>
                        <w:right w:val="none" w:sz="0" w:space="0" w:color="auto"/>
                      </w:divBdr>
                    </w:div>
                  </w:divsChild>
                </w:div>
                <w:div w:id="626277482">
                  <w:marLeft w:val="0"/>
                  <w:marRight w:val="0"/>
                  <w:marTop w:val="0"/>
                  <w:marBottom w:val="0"/>
                  <w:divBdr>
                    <w:top w:val="none" w:sz="0" w:space="0" w:color="auto"/>
                    <w:left w:val="none" w:sz="0" w:space="0" w:color="auto"/>
                    <w:bottom w:val="none" w:sz="0" w:space="0" w:color="auto"/>
                    <w:right w:val="none" w:sz="0" w:space="0" w:color="auto"/>
                  </w:divBdr>
                  <w:divsChild>
                    <w:div w:id="569121524">
                      <w:marLeft w:val="0"/>
                      <w:marRight w:val="0"/>
                      <w:marTop w:val="0"/>
                      <w:marBottom w:val="0"/>
                      <w:divBdr>
                        <w:top w:val="none" w:sz="0" w:space="0" w:color="auto"/>
                        <w:left w:val="none" w:sz="0" w:space="0" w:color="auto"/>
                        <w:bottom w:val="none" w:sz="0" w:space="0" w:color="auto"/>
                        <w:right w:val="none" w:sz="0" w:space="0" w:color="auto"/>
                      </w:divBdr>
                    </w:div>
                  </w:divsChild>
                </w:div>
                <w:div w:id="664017226">
                  <w:marLeft w:val="0"/>
                  <w:marRight w:val="0"/>
                  <w:marTop w:val="0"/>
                  <w:marBottom w:val="0"/>
                  <w:divBdr>
                    <w:top w:val="none" w:sz="0" w:space="0" w:color="auto"/>
                    <w:left w:val="none" w:sz="0" w:space="0" w:color="auto"/>
                    <w:bottom w:val="none" w:sz="0" w:space="0" w:color="auto"/>
                    <w:right w:val="none" w:sz="0" w:space="0" w:color="auto"/>
                  </w:divBdr>
                  <w:divsChild>
                    <w:div w:id="1018501643">
                      <w:marLeft w:val="0"/>
                      <w:marRight w:val="0"/>
                      <w:marTop w:val="0"/>
                      <w:marBottom w:val="0"/>
                      <w:divBdr>
                        <w:top w:val="none" w:sz="0" w:space="0" w:color="auto"/>
                        <w:left w:val="none" w:sz="0" w:space="0" w:color="auto"/>
                        <w:bottom w:val="none" w:sz="0" w:space="0" w:color="auto"/>
                        <w:right w:val="none" w:sz="0" w:space="0" w:color="auto"/>
                      </w:divBdr>
                    </w:div>
                  </w:divsChild>
                </w:div>
                <w:div w:id="1187988724">
                  <w:marLeft w:val="0"/>
                  <w:marRight w:val="0"/>
                  <w:marTop w:val="0"/>
                  <w:marBottom w:val="0"/>
                  <w:divBdr>
                    <w:top w:val="none" w:sz="0" w:space="0" w:color="auto"/>
                    <w:left w:val="none" w:sz="0" w:space="0" w:color="auto"/>
                    <w:bottom w:val="none" w:sz="0" w:space="0" w:color="auto"/>
                    <w:right w:val="none" w:sz="0" w:space="0" w:color="auto"/>
                  </w:divBdr>
                  <w:divsChild>
                    <w:div w:id="101147940">
                      <w:marLeft w:val="0"/>
                      <w:marRight w:val="0"/>
                      <w:marTop w:val="0"/>
                      <w:marBottom w:val="0"/>
                      <w:divBdr>
                        <w:top w:val="none" w:sz="0" w:space="0" w:color="auto"/>
                        <w:left w:val="none" w:sz="0" w:space="0" w:color="auto"/>
                        <w:bottom w:val="none" w:sz="0" w:space="0" w:color="auto"/>
                        <w:right w:val="none" w:sz="0" w:space="0" w:color="auto"/>
                      </w:divBdr>
                    </w:div>
                    <w:div w:id="1357728563">
                      <w:marLeft w:val="0"/>
                      <w:marRight w:val="0"/>
                      <w:marTop w:val="0"/>
                      <w:marBottom w:val="0"/>
                      <w:divBdr>
                        <w:top w:val="none" w:sz="0" w:space="0" w:color="auto"/>
                        <w:left w:val="none" w:sz="0" w:space="0" w:color="auto"/>
                        <w:bottom w:val="none" w:sz="0" w:space="0" w:color="auto"/>
                        <w:right w:val="none" w:sz="0" w:space="0" w:color="auto"/>
                      </w:divBdr>
                    </w:div>
                    <w:div w:id="1560048830">
                      <w:marLeft w:val="0"/>
                      <w:marRight w:val="0"/>
                      <w:marTop w:val="0"/>
                      <w:marBottom w:val="0"/>
                      <w:divBdr>
                        <w:top w:val="none" w:sz="0" w:space="0" w:color="auto"/>
                        <w:left w:val="none" w:sz="0" w:space="0" w:color="auto"/>
                        <w:bottom w:val="none" w:sz="0" w:space="0" w:color="auto"/>
                        <w:right w:val="none" w:sz="0" w:space="0" w:color="auto"/>
                      </w:divBdr>
                    </w:div>
                  </w:divsChild>
                </w:div>
                <w:div w:id="1199313404">
                  <w:marLeft w:val="0"/>
                  <w:marRight w:val="0"/>
                  <w:marTop w:val="0"/>
                  <w:marBottom w:val="0"/>
                  <w:divBdr>
                    <w:top w:val="none" w:sz="0" w:space="0" w:color="auto"/>
                    <w:left w:val="none" w:sz="0" w:space="0" w:color="auto"/>
                    <w:bottom w:val="none" w:sz="0" w:space="0" w:color="auto"/>
                    <w:right w:val="none" w:sz="0" w:space="0" w:color="auto"/>
                  </w:divBdr>
                  <w:divsChild>
                    <w:div w:id="669718274">
                      <w:marLeft w:val="0"/>
                      <w:marRight w:val="0"/>
                      <w:marTop w:val="0"/>
                      <w:marBottom w:val="0"/>
                      <w:divBdr>
                        <w:top w:val="none" w:sz="0" w:space="0" w:color="auto"/>
                        <w:left w:val="none" w:sz="0" w:space="0" w:color="auto"/>
                        <w:bottom w:val="none" w:sz="0" w:space="0" w:color="auto"/>
                        <w:right w:val="none" w:sz="0" w:space="0" w:color="auto"/>
                      </w:divBdr>
                    </w:div>
                  </w:divsChild>
                </w:div>
                <w:div w:id="1212033866">
                  <w:marLeft w:val="0"/>
                  <w:marRight w:val="0"/>
                  <w:marTop w:val="0"/>
                  <w:marBottom w:val="0"/>
                  <w:divBdr>
                    <w:top w:val="none" w:sz="0" w:space="0" w:color="auto"/>
                    <w:left w:val="none" w:sz="0" w:space="0" w:color="auto"/>
                    <w:bottom w:val="none" w:sz="0" w:space="0" w:color="auto"/>
                    <w:right w:val="none" w:sz="0" w:space="0" w:color="auto"/>
                  </w:divBdr>
                  <w:divsChild>
                    <w:div w:id="947390339">
                      <w:marLeft w:val="0"/>
                      <w:marRight w:val="0"/>
                      <w:marTop w:val="0"/>
                      <w:marBottom w:val="0"/>
                      <w:divBdr>
                        <w:top w:val="none" w:sz="0" w:space="0" w:color="auto"/>
                        <w:left w:val="none" w:sz="0" w:space="0" w:color="auto"/>
                        <w:bottom w:val="none" w:sz="0" w:space="0" w:color="auto"/>
                        <w:right w:val="none" w:sz="0" w:space="0" w:color="auto"/>
                      </w:divBdr>
                    </w:div>
                  </w:divsChild>
                </w:div>
                <w:div w:id="1310482518">
                  <w:marLeft w:val="0"/>
                  <w:marRight w:val="0"/>
                  <w:marTop w:val="0"/>
                  <w:marBottom w:val="0"/>
                  <w:divBdr>
                    <w:top w:val="none" w:sz="0" w:space="0" w:color="auto"/>
                    <w:left w:val="none" w:sz="0" w:space="0" w:color="auto"/>
                    <w:bottom w:val="none" w:sz="0" w:space="0" w:color="auto"/>
                    <w:right w:val="none" w:sz="0" w:space="0" w:color="auto"/>
                  </w:divBdr>
                  <w:divsChild>
                    <w:div w:id="1763136690">
                      <w:marLeft w:val="0"/>
                      <w:marRight w:val="0"/>
                      <w:marTop w:val="0"/>
                      <w:marBottom w:val="0"/>
                      <w:divBdr>
                        <w:top w:val="none" w:sz="0" w:space="0" w:color="auto"/>
                        <w:left w:val="none" w:sz="0" w:space="0" w:color="auto"/>
                        <w:bottom w:val="none" w:sz="0" w:space="0" w:color="auto"/>
                        <w:right w:val="none" w:sz="0" w:space="0" w:color="auto"/>
                      </w:divBdr>
                    </w:div>
                  </w:divsChild>
                </w:div>
                <w:div w:id="1310862415">
                  <w:marLeft w:val="0"/>
                  <w:marRight w:val="0"/>
                  <w:marTop w:val="0"/>
                  <w:marBottom w:val="0"/>
                  <w:divBdr>
                    <w:top w:val="none" w:sz="0" w:space="0" w:color="auto"/>
                    <w:left w:val="none" w:sz="0" w:space="0" w:color="auto"/>
                    <w:bottom w:val="none" w:sz="0" w:space="0" w:color="auto"/>
                    <w:right w:val="none" w:sz="0" w:space="0" w:color="auto"/>
                  </w:divBdr>
                  <w:divsChild>
                    <w:div w:id="1157308447">
                      <w:marLeft w:val="0"/>
                      <w:marRight w:val="0"/>
                      <w:marTop w:val="0"/>
                      <w:marBottom w:val="0"/>
                      <w:divBdr>
                        <w:top w:val="none" w:sz="0" w:space="0" w:color="auto"/>
                        <w:left w:val="none" w:sz="0" w:space="0" w:color="auto"/>
                        <w:bottom w:val="none" w:sz="0" w:space="0" w:color="auto"/>
                        <w:right w:val="none" w:sz="0" w:space="0" w:color="auto"/>
                      </w:divBdr>
                    </w:div>
                  </w:divsChild>
                </w:div>
                <w:div w:id="1316716101">
                  <w:marLeft w:val="0"/>
                  <w:marRight w:val="0"/>
                  <w:marTop w:val="0"/>
                  <w:marBottom w:val="0"/>
                  <w:divBdr>
                    <w:top w:val="none" w:sz="0" w:space="0" w:color="auto"/>
                    <w:left w:val="none" w:sz="0" w:space="0" w:color="auto"/>
                    <w:bottom w:val="none" w:sz="0" w:space="0" w:color="auto"/>
                    <w:right w:val="none" w:sz="0" w:space="0" w:color="auto"/>
                  </w:divBdr>
                  <w:divsChild>
                    <w:div w:id="1668552341">
                      <w:marLeft w:val="0"/>
                      <w:marRight w:val="0"/>
                      <w:marTop w:val="0"/>
                      <w:marBottom w:val="0"/>
                      <w:divBdr>
                        <w:top w:val="none" w:sz="0" w:space="0" w:color="auto"/>
                        <w:left w:val="none" w:sz="0" w:space="0" w:color="auto"/>
                        <w:bottom w:val="none" w:sz="0" w:space="0" w:color="auto"/>
                        <w:right w:val="none" w:sz="0" w:space="0" w:color="auto"/>
                      </w:divBdr>
                    </w:div>
                  </w:divsChild>
                </w:div>
                <w:div w:id="1341929289">
                  <w:marLeft w:val="0"/>
                  <w:marRight w:val="0"/>
                  <w:marTop w:val="0"/>
                  <w:marBottom w:val="0"/>
                  <w:divBdr>
                    <w:top w:val="none" w:sz="0" w:space="0" w:color="auto"/>
                    <w:left w:val="none" w:sz="0" w:space="0" w:color="auto"/>
                    <w:bottom w:val="none" w:sz="0" w:space="0" w:color="auto"/>
                    <w:right w:val="none" w:sz="0" w:space="0" w:color="auto"/>
                  </w:divBdr>
                  <w:divsChild>
                    <w:div w:id="1184981271">
                      <w:marLeft w:val="0"/>
                      <w:marRight w:val="0"/>
                      <w:marTop w:val="0"/>
                      <w:marBottom w:val="0"/>
                      <w:divBdr>
                        <w:top w:val="none" w:sz="0" w:space="0" w:color="auto"/>
                        <w:left w:val="none" w:sz="0" w:space="0" w:color="auto"/>
                        <w:bottom w:val="none" w:sz="0" w:space="0" w:color="auto"/>
                        <w:right w:val="none" w:sz="0" w:space="0" w:color="auto"/>
                      </w:divBdr>
                    </w:div>
                  </w:divsChild>
                </w:div>
                <w:div w:id="1342581724">
                  <w:marLeft w:val="0"/>
                  <w:marRight w:val="0"/>
                  <w:marTop w:val="0"/>
                  <w:marBottom w:val="0"/>
                  <w:divBdr>
                    <w:top w:val="none" w:sz="0" w:space="0" w:color="auto"/>
                    <w:left w:val="none" w:sz="0" w:space="0" w:color="auto"/>
                    <w:bottom w:val="none" w:sz="0" w:space="0" w:color="auto"/>
                    <w:right w:val="none" w:sz="0" w:space="0" w:color="auto"/>
                  </w:divBdr>
                  <w:divsChild>
                    <w:div w:id="119807143">
                      <w:marLeft w:val="0"/>
                      <w:marRight w:val="0"/>
                      <w:marTop w:val="0"/>
                      <w:marBottom w:val="0"/>
                      <w:divBdr>
                        <w:top w:val="none" w:sz="0" w:space="0" w:color="auto"/>
                        <w:left w:val="none" w:sz="0" w:space="0" w:color="auto"/>
                        <w:bottom w:val="none" w:sz="0" w:space="0" w:color="auto"/>
                        <w:right w:val="none" w:sz="0" w:space="0" w:color="auto"/>
                      </w:divBdr>
                    </w:div>
                  </w:divsChild>
                </w:div>
                <w:div w:id="1360351271">
                  <w:marLeft w:val="0"/>
                  <w:marRight w:val="0"/>
                  <w:marTop w:val="0"/>
                  <w:marBottom w:val="0"/>
                  <w:divBdr>
                    <w:top w:val="none" w:sz="0" w:space="0" w:color="auto"/>
                    <w:left w:val="none" w:sz="0" w:space="0" w:color="auto"/>
                    <w:bottom w:val="none" w:sz="0" w:space="0" w:color="auto"/>
                    <w:right w:val="none" w:sz="0" w:space="0" w:color="auto"/>
                  </w:divBdr>
                  <w:divsChild>
                    <w:div w:id="1236739887">
                      <w:marLeft w:val="0"/>
                      <w:marRight w:val="0"/>
                      <w:marTop w:val="0"/>
                      <w:marBottom w:val="0"/>
                      <w:divBdr>
                        <w:top w:val="none" w:sz="0" w:space="0" w:color="auto"/>
                        <w:left w:val="none" w:sz="0" w:space="0" w:color="auto"/>
                        <w:bottom w:val="none" w:sz="0" w:space="0" w:color="auto"/>
                        <w:right w:val="none" w:sz="0" w:space="0" w:color="auto"/>
                      </w:divBdr>
                    </w:div>
                  </w:divsChild>
                </w:div>
                <w:div w:id="1361737963">
                  <w:marLeft w:val="0"/>
                  <w:marRight w:val="0"/>
                  <w:marTop w:val="0"/>
                  <w:marBottom w:val="0"/>
                  <w:divBdr>
                    <w:top w:val="none" w:sz="0" w:space="0" w:color="auto"/>
                    <w:left w:val="none" w:sz="0" w:space="0" w:color="auto"/>
                    <w:bottom w:val="none" w:sz="0" w:space="0" w:color="auto"/>
                    <w:right w:val="none" w:sz="0" w:space="0" w:color="auto"/>
                  </w:divBdr>
                  <w:divsChild>
                    <w:div w:id="165287262">
                      <w:marLeft w:val="0"/>
                      <w:marRight w:val="0"/>
                      <w:marTop w:val="0"/>
                      <w:marBottom w:val="0"/>
                      <w:divBdr>
                        <w:top w:val="none" w:sz="0" w:space="0" w:color="auto"/>
                        <w:left w:val="none" w:sz="0" w:space="0" w:color="auto"/>
                        <w:bottom w:val="none" w:sz="0" w:space="0" w:color="auto"/>
                        <w:right w:val="none" w:sz="0" w:space="0" w:color="auto"/>
                      </w:divBdr>
                    </w:div>
                  </w:divsChild>
                </w:div>
                <w:div w:id="1384909979">
                  <w:marLeft w:val="0"/>
                  <w:marRight w:val="0"/>
                  <w:marTop w:val="0"/>
                  <w:marBottom w:val="0"/>
                  <w:divBdr>
                    <w:top w:val="none" w:sz="0" w:space="0" w:color="auto"/>
                    <w:left w:val="none" w:sz="0" w:space="0" w:color="auto"/>
                    <w:bottom w:val="none" w:sz="0" w:space="0" w:color="auto"/>
                    <w:right w:val="none" w:sz="0" w:space="0" w:color="auto"/>
                  </w:divBdr>
                  <w:divsChild>
                    <w:div w:id="1560823385">
                      <w:marLeft w:val="0"/>
                      <w:marRight w:val="0"/>
                      <w:marTop w:val="0"/>
                      <w:marBottom w:val="0"/>
                      <w:divBdr>
                        <w:top w:val="none" w:sz="0" w:space="0" w:color="auto"/>
                        <w:left w:val="none" w:sz="0" w:space="0" w:color="auto"/>
                        <w:bottom w:val="none" w:sz="0" w:space="0" w:color="auto"/>
                        <w:right w:val="none" w:sz="0" w:space="0" w:color="auto"/>
                      </w:divBdr>
                    </w:div>
                  </w:divsChild>
                </w:div>
                <w:div w:id="1407797661">
                  <w:marLeft w:val="0"/>
                  <w:marRight w:val="0"/>
                  <w:marTop w:val="0"/>
                  <w:marBottom w:val="0"/>
                  <w:divBdr>
                    <w:top w:val="none" w:sz="0" w:space="0" w:color="auto"/>
                    <w:left w:val="none" w:sz="0" w:space="0" w:color="auto"/>
                    <w:bottom w:val="none" w:sz="0" w:space="0" w:color="auto"/>
                    <w:right w:val="none" w:sz="0" w:space="0" w:color="auto"/>
                  </w:divBdr>
                  <w:divsChild>
                    <w:div w:id="1154877880">
                      <w:marLeft w:val="0"/>
                      <w:marRight w:val="0"/>
                      <w:marTop w:val="0"/>
                      <w:marBottom w:val="0"/>
                      <w:divBdr>
                        <w:top w:val="none" w:sz="0" w:space="0" w:color="auto"/>
                        <w:left w:val="none" w:sz="0" w:space="0" w:color="auto"/>
                        <w:bottom w:val="none" w:sz="0" w:space="0" w:color="auto"/>
                        <w:right w:val="none" w:sz="0" w:space="0" w:color="auto"/>
                      </w:divBdr>
                    </w:div>
                  </w:divsChild>
                </w:div>
                <w:div w:id="1712029059">
                  <w:marLeft w:val="0"/>
                  <w:marRight w:val="0"/>
                  <w:marTop w:val="0"/>
                  <w:marBottom w:val="0"/>
                  <w:divBdr>
                    <w:top w:val="none" w:sz="0" w:space="0" w:color="auto"/>
                    <w:left w:val="none" w:sz="0" w:space="0" w:color="auto"/>
                    <w:bottom w:val="none" w:sz="0" w:space="0" w:color="auto"/>
                    <w:right w:val="none" w:sz="0" w:space="0" w:color="auto"/>
                  </w:divBdr>
                  <w:divsChild>
                    <w:div w:id="916283945">
                      <w:marLeft w:val="0"/>
                      <w:marRight w:val="0"/>
                      <w:marTop w:val="0"/>
                      <w:marBottom w:val="0"/>
                      <w:divBdr>
                        <w:top w:val="none" w:sz="0" w:space="0" w:color="auto"/>
                        <w:left w:val="none" w:sz="0" w:space="0" w:color="auto"/>
                        <w:bottom w:val="none" w:sz="0" w:space="0" w:color="auto"/>
                        <w:right w:val="none" w:sz="0" w:space="0" w:color="auto"/>
                      </w:divBdr>
                    </w:div>
                  </w:divsChild>
                </w:div>
                <w:div w:id="1780220562">
                  <w:marLeft w:val="0"/>
                  <w:marRight w:val="0"/>
                  <w:marTop w:val="0"/>
                  <w:marBottom w:val="0"/>
                  <w:divBdr>
                    <w:top w:val="none" w:sz="0" w:space="0" w:color="auto"/>
                    <w:left w:val="none" w:sz="0" w:space="0" w:color="auto"/>
                    <w:bottom w:val="none" w:sz="0" w:space="0" w:color="auto"/>
                    <w:right w:val="none" w:sz="0" w:space="0" w:color="auto"/>
                  </w:divBdr>
                  <w:divsChild>
                    <w:div w:id="2142454211">
                      <w:marLeft w:val="0"/>
                      <w:marRight w:val="0"/>
                      <w:marTop w:val="0"/>
                      <w:marBottom w:val="0"/>
                      <w:divBdr>
                        <w:top w:val="none" w:sz="0" w:space="0" w:color="auto"/>
                        <w:left w:val="none" w:sz="0" w:space="0" w:color="auto"/>
                        <w:bottom w:val="none" w:sz="0" w:space="0" w:color="auto"/>
                        <w:right w:val="none" w:sz="0" w:space="0" w:color="auto"/>
                      </w:divBdr>
                    </w:div>
                  </w:divsChild>
                </w:div>
                <w:div w:id="1865365298">
                  <w:marLeft w:val="0"/>
                  <w:marRight w:val="0"/>
                  <w:marTop w:val="0"/>
                  <w:marBottom w:val="0"/>
                  <w:divBdr>
                    <w:top w:val="none" w:sz="0" w:space="0" w:color="auto"/>
                    <w:left w:val="none" w:sz="0" w:space="0" w:color="auto"/>
                    <w:bottom w:val="none" w:sz="0" w:space="0" w:color="auto"/>
                    <w:right w:val="none" w:sz="0" w:space="0" w:color="auto"/>
                  </w:divBdr>
                  <w:divsChild>
                    <w:div w:id="549466035">
                      <w:marLeft w:val="0"/>
                      <w:marRight w:val="0"/>
                      <w:marTop w:val="0"/>
                      <w:marBottom w:val="0"/>
                      <w:divBdr>
                        <w:top w:val="none" w:sz="0" w:space="0" w:color="auto"/>
                        <w:left w:val="none" w:sz="0" w:space="0" w:color="auto"/>
                        <w:bottom w:val="none" w:sz="0" w:space="0" w:color="auto"/>
                        <w:right w:val="none" w:sz="0" w:space="0" w:color="auto"/>
                      </w:divBdr>
                    </w:div>
                  </w:divsChild>
                </w:div>
                <w:div w:id="1912615047">
                  <w:marLeft w:val="0"/>
                  <w:marRight w:val="0"/>
                  <w:marTop w:val="0"/>
                  <w:marBottom w:val="0"/>
                  <w:divBdr>
                    <w:top w:val="none" w:sz="0" w:space="0" w:color="auto"/>
                    <w:left w:val="none" w:sz="0" w:space="0" w:color="auto"/>
                    <w:bottom w:val="none" w:sz="0" w:space="0" w:color="auto"/>
                    <w:right w:val="none" w:sz="0" w:space="0" w:color="auto"/>
                  </w:divBdr>
                  <w:divsChild>
                    <w:div w:id="1994750837">
                      <w:marLeft w:val="0"/>
                      <w:marRight w:val="0"/>
                      <w:marTop w:val="0"/>
                      <w:marBottom w:val="0"/>
                      <w:divBdr>
                        <w:top w:val="none" w:sz="0" w:space="0" w:color="auto"/>
                        <w:left w:val="none" w:sz="0" w:space="0" w:color="auto"/>
                        <w:bottom w:val="none" w:sz="0" w:space="0" w:color="auto"/>
                        <w:right w:val="none" w:sz="0" w:space="0" w:color="auto"/>
                      </w:divBdr>
                    </w:div>
                  </w:divsChild>
                </w:div>
                <w:div w:id="1919705655">
                  <w:marLeft w:val="0"/>
                  <w:marRight w:val="0"/>
                  <w:marTop w:val="0"/>
                  <w:marBottom w:val="0"/>
                  <w:divBdr>
                    <w:top w:val="none" w:sz="0" w:space="0" w:color="auto"/>
                    <w:left w:val="none" w:sz="0" w:space="0" w:color="auto"/>
                    <w:bottom w:val="none" w:sz="0" w:space="0" w:color="auto"/>
                    <w:right w:val="none" w:sz="0" w:space="0" w:color="auto"/>
                  </w:divBdr>
                  <w:divsChild>
                    <w:div w:id="342173979">
                      <w:marLeft w:val="0"/>
                      <w:marRight w:val="0"/>
                      <w:marTop w:val="0"/>
                      <w:marBottom w:val="0"/>
                      <w:divBdr>
                        <w:top w:val="none" w:sz="0" w:space="0" w:color="auto"/>
                        <w:left w:val="none" w:sz="0" w:space="0" w:color="auto"/>
                        <w:bottom w:val="none" w:sz="0" w:space="0" w:color="auto"/>
                        <w:right w:val="none" w:sz="0" w:space="0" w:color="auto"/>
                      </w:divBdr>
                    </w:div>
                  </w:divsChild>
                </w:div>
                <w:div w:id="2011133551">
                  <w:marLeft w:val="0"/>
                  <w:marRight w:val="0"/>
                  <w:marTop w:val="0"/>
                  <w:marBottom w:val="0"/>
                  <w:divBdr>
                    <w:top w:val="none" w:sz="0" w:space="0" w:color="auto"/>
                    <w:left w:val="none" w:sz="0" w:space="0" w:color="auto"/>
                    <w:bottom w:val="none" w:sz="0" w:space="0" w:color="auto"/>
                    <w:right w:val="none" w:sz="0" w:space="0" w:color="auto"/>
                  </w:divBdr>
                  <w:divsChild>
                    <w:div w:id="1471364197">
                      <w:marLeft w:val="0"/>
                      <w:marRight w:val="0"/>
                      <w:marTop w:val="0"/>
                      <w:marBottom w:val="0"/>
                      <w:divBdr>
                        <w:top w:val="none" w:sz="0" w:space="0" w:color="auto"/>
                        <w:left w:val="none" w:sz="0" w:space="0" w:color="auto"/>
                        <w:bottom w:val="none" w:sz="0" w:space="0" w:color="auto"/>
                        <w:right w:val="none" w:sz="0" w:space="0" w:color="auto"/>
                      </w:divBdr>
                    </w:div>
                  </w:divsChild>
                </w:div>
                <w:div w:id="2030518941">
                  <w:marLeft w:val="0"/>
                  <w:marRight w:val="0"/>
                  <w:marTop w:val="0"/>
                  <w:marBottom w:val="0"/>
                  <w:divBdr>
                    <w:top w:val="none" w:sz="0" w:space="0" w:color="auto"/>
                    <w:left w:val="none" w:sz="0" w:space="0" w:color="auto"/>
                    <w:bottom w:val="none" w:sz="0" w:space="0" w:color="auto"/>
                    <w:right w:val="none" w:sz="0" w:space="0" w:color="auto"/>
                  </w:divBdr>
                  <w:divsChild>
                    <w:div w:id="497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913931">
      <w:bodyDiv w:val="1"/>
      <w:marLeft w:val="0"/>
      <w:marRight w:val="0"/>
      <w:marTop w:val="0"/>
      <w:marBottom w:val="0"/>
      <w:divBdr>
        <w:top w:val="none" w:sz="0" w:space="0" w:color="auto"/>
        <w:left w:val="none" w:sz="0" w:space="0" w:color="auto"/>
        <w:bottom w:val="none" w:sz="0" w:space="0" w:color="auto"/>
        <w:right w:val="none" w:sz="0" w:space="0" w:color="auto"/>
      </w:divBdr>
    </w:div>
    <w:div w:id="323582318">
      <w:bodyDiv w:val="1"/>
      <w:marLeft w:val="0"/>
      <w:marRight w:val="0"/>
      <w:marTop w:val="0"/>
      <w:marBottom w:val="0"/>
      <w:divBdr>
        <w:top w:val="none" w:sz="0" w:space="0" w:color="auto"/>
        <w:left w:val="none" w:sz="0" w:space="0" w:color="auto"/>
        <w:bottom w:val="none" w:sz="0" w:space="0" w:color="auto"/>
        <w:right w:val="none" w:sz="0" w:space="0" w:color="auto"/>
      </w:divBdr>
    </w:div>
    <w:div w:id="340357538">
      <w:bodyDiv w:val="1"/>
      <w:marLeft w:val="0"/>
      <w:marRight w:val="0"/>
      <w:marTop w:val="0"/>
      <w:marBottom w:val="0"/>
      <w:divBdr>
        <w:top w:val="none" w:sz="0" w:space="0" w:color="auto"/>
        <w:left w:val="none" w:sz="0" w:space="0" w:color="auto"/>
        <w:bottom w:val="none" w:sz="0" w:space="0" w:color="auto"/>
        <w:right w:val="none" w:sz="0" w:space="0" w:color="auto"/>
      </w:divBdr>
    </w:div>
    <w:div w:id="362052263">
      <w:bodyDiv w:val="1"/>
      <w:marLeft w:val="0"/>
      <w:marRight w:val="0"/>
      <w:marTop w:val="0"/>
      <w:marBottom w:val="0"/>
      <w:divBdr>
        <w:top w:val="none" w:sz="0" w:space="0" w:color="auto"/>
        <w:left w:val="none" w:sz="0" w:space="0" w:color="auto"/>
        <w:bottom w:val="none" w:sz="0" w:space="0" w:color="auto"/>
        <w:right w:val="none" w:sz="0" w:space="0" w:color="auto"/>
      </w:divBdr>
    </w:div>
    <w:div w:id="364449040">
      <w:bodyDiv w:val="1"/>
      <w:marLeft w:val="0"/>
      <w:marRight w:val="0"/>
      <w:marTop w:val="0"/>
      <w:marBottom w:val="0"/>
      <w:divBdr>
        <w:top w:val="none" w:sz="0" w:space="0" w:color="auto"/>
        <w:left w:val="none" w:sz="0" w:space="0" w:color="auto"/>
        <w:bottom w:val="none" w:sz="0" w:space="0" w:color="auto"/>
        <w:right w:val="none" w:sz="0" w:space="0" w:color="auto"/>
      </w:divBdr>
    </w:div>
    <w:div w:id="373890773">
      <w:bodyDiv w:val="1"/>
      <w:marLeft w:val="0"/>
      <w:marRight w:val="0"/>
      <w:marTop w:val="0"/>
      <w:marBottom w:val="0"/>
      <w:divBdr>
        <w:top w:val="none" w:sz="0" w:space="0" w:color="auto"/>
        <w:left w:val="none" w:sz="0" w:space="0" w:color="auto"/>
        <w:bottom w:val="none" w:sz="0" w:space="0" w:color="auto"/>
        <w:right w:val="none" w:sz="0" w:space="0" w:color="auto"/>
      </w:divBdr>
      <w:divsChild>
        <w:div w:id="846168053">
          <w:marLeft w:val="835"/>
          <w:marRight w:val="0"/>
          <w:marTop w:val="0"/>
          <w:marBottom w:val="0"/>
          <w:divBdr>
            <w:top w:val="none" w:sz="0" w:space="0" w:color="auto"/>
            <w:left w:val="none" w:sz="0" w:space="0" w:color="auto"/>
            <w:bottom w:val="none" w:sz="0" w:space="0" w:color="auto"/>
            <w:right w:val="none" w:sz="0" w:space="0" w:color="auto"/>
          </w:divBdr>
        </w:div>
      </w:divsChild>
    </w:div>
    <w:div w:id="404301536">
      <w:bodyDiv w:val="1"/>
      <w:marLeft w:val="0"/>
      <w:marRight w:val="0"/>
      <w:marTop w:val="0"/>
      <w:marBottom w:val="0"/>
      <w:divBdr>
        <w:top w:val="none" w:sz="0" w:space="0" w:color="auto"/>
        <w:left w:val="none" w:sz="0" w:space="0" w:color="auto"/>
        <w:bottom w:val="none" w:sz="0" w:space="0" w:color="auto"/>
        <w:right w:val="none" w:sz="0" w:space="0" w:color="auto"/>
      </w:divBdr>
    </w:div>
    <w:div w:id="414017519">
      <w:bodyDiv w:val="1"/>
      <w:marLeft w:val="0"/>
      <w:marRight w:val="0"/>
      <w:marTop w:val="0"/>
      <w:marBottom w:val="0"/>
      <w:divBdr>
        <w:top w:val="none" w:sz="0" w:space="0" w:color="auto"/>
        <w:left w:val="none" w:sz="0" w:space="0" w:color="auto"/>
        <w:bottom w:val="none" w:sz="0" w:space="0" w:color="auto"/>
        <w:right w:val="none" w:sz="0" w:space="0" w:color="auto"/>
      </w:divBdr>
    </w:div>
    <w:div w:id="415831276">
      <w:bodyDiv w:val="1"/>
      <w:marLeft w:val="0"/>
      <w:marRight w:val="0"/>
      <w:marTop w:val="0"/>
      <w:marBottom w:val="0"/>
      <w:divBdr>
        <w:top w:val="none" w:sz="0" w:space="0" w:color="auto"/>
        <w:left w:val="none" w:sz="0" w:space="0" w:color="auto"/>
        <w:bottom w:val="none" w:sz="0" w:space="0" w:color="auto"/>
        <w:right w:val="none" w:sz="0" w:space="0" w:color="auto"/>
      </w:divBdr>
    </w:div>
    <w:div w:id="460270688">
      <w:bodyDiv w:val="1"/>
      <w:marLeft w:val="0"/>
      <w:marRight w:val="0"/>
      <w:marTop w:val="0"/>
      <w:marBottom w:val="0"/>
      <w:divBdr>
        <w:top w:val="none" w:sz="0" w:space="0" w:color="auto"/>
        <w:left w:val="none" w:sz="0" w:space="0" w:color="auto"/>
        <w:bottom w:val="none" w:sz="0" w:space="0" w:color="auto"/>
        <w:right w:val="none" w:sz="0" w:space="0" w:color="auto"/>
      </w:divBdr>
    </w:div>
    <w:div w:id="473256554">
      <w:bodyDiv w:val="1"/>
      <w:marLeft w:val="0"/>
      <w:marRight w:val="0"/>
      <w:marTop w:val="0"/>
      <w:marBottom w:val="0"/>
      <w:divBdr>
        <w:top w:val="none" w:sz="0" w:space="0" w:color="auto"/>
        <w:left w:val="none" w:sz="0" w:space="0" w:color="auto"/>
        <w:bottom w:val="none" w:sz="0" w:space="0" w:color="auto"/>
        <w:right w:val="none" w:sz="0" w:space="0" w:color="auto"/>
      </w:divBdr>
    </w:div>
    <w:div w:id="477262124">
      <w:bodyDiv w:val="1"/>
      <w:marLeft w:val="0"/>
      <w:marRight w:val="0"/>
      <w:marTop w:val="0"/>
      <w:marBottom w:val="0"/>
      <w:divBdr>
        <w:top w:val="none" w:sz="0" w:space="0" w:color="auto"/>
        <w:left w:val="none" w:sz="0" w:space="0" w:color="auto"/>
        <w:bottom w:val="none" w:sz="0" w:space="0" w:color="auto"/>
        <w:right w:val="none" w:sz="0" w:space="0" w:color="auto"/>
      </w:divBdr>
    </w:div>
    <w:div w:id="497235753">
      <w:bodyDiv w:val="1"/>
      <w:marLeft w:val="0"/>
      <w:marRight w:val="0"/>
      <w:marTop w:val="0"/>
      <w:marBottom w:val="0"/>
      <w:divBdr>
        <w:top w:val="none" w:sz="0" w:space="0" w:color="auto"/>
        <w:left w:val="none" w:sz="0" w:space="0" w:color="auto"/>
        <w:bottom w:val="none" w:sz="0" w:space="0" w:color="auto"/>
        <w:right w:val="none" w:sz="0" w:space="0" w:color="auto"/>
      </w:divBdr>
    </w:div>
    <w:div w:id="553858840">
      <w:bodyDiv w:val="1"/>
      <w:marLeft w:val="0"/>
      <w:marRight w:val="0"/>
      <w:marTop w:val="0"/>
      <w:marBottom w:val="0"/>
      <w:divBdr>
        <w:top w:val="none" w:sz="0" w:space="0" w:color="auto"/>
        <w:left w:val="none" w:sz="0" w:space="0" w:color="auto"/>
        <w:bottom w:val="none" w:sz="0" w:space="0" w:color="auto"/>
        <w:right w:val="none" w:sz="0" w:space="0" w:color="auto"/>
      </w:divBdr>
    </w:div>
    <w:div w:id="560992425">
      <w:bodyDiv w:val="1"/>
      <w:marLeft w:val="0"/>
      <w:marRight w:val="0"/>
      <w:marTop w:val="0"/>
      <w:marBottom w:val="0"/>
      <w:divBdr>
        <w:top w:val="none" w:sz="0" w:space="0" w:color="auto"/>
        <w:left w:val="none" w:sz="0" w:space="0" w:color="auto"/>
        <w:bottom w:val="none" w:sz="0" w:space="0" w:color="auto"/>
        <w:right w:val="none" w:sz="0" w:space="0" w:color="auto"/>
      </w:divBdr>
    </w:div>
    <w:div w:id="563835973">
      <w:bodyDiv w:val="1"/>
      <w:marLeft w:val="0"/>
      <w:marRight w:val="0"/>
      <w:marTop w:val="0"/>
      <w:marBottom w:val="0"/>
      <w:divBdr>
        <w:top w:val="none" w:sz="0" w:space="0" w:color="auto"/>
        <w:left w:val="none" w:sz="0" w:space="0" w:color="auto"/>
        <w:bottom w:val="none" w:sz="0" w:space="0" w:color="auto"/>
        <w:right w:val="none" w:sz="0" w:space="0" w:color="auto"/>
      </w:divBdr>
    </w:div>
    <w:div w:id="575168769">
      <w:bodyDiv w:val="1"/>
      <w:marLeft w:val="0"/>
      <w:marRight w:val="0"/>
      <w:marTop w:val="0"/>
      <w:marBottom w:val="0"/>
      <w:divBdr>
        <w:top w:val="none" w:sz="0" w:space="0" w:color="auto"/>
        <w:left w:val="none" w:sz="0" w:space="0" w:color="auto"/>
        <w:bottom w:val="none" w:sz="0" w:space="0" w:color="auto"/>
        <w:right w:val="none" w:sz="0" w:space="0" w:color="auto"/>
      </w:divBdr>
    </w:div>
    <w:div w:id="584069439">
      <w:bodyDiv w:val="1"/>
      <w:marLeft w:val="0"/>
      <w:marRight w:val="0"/>
      <w:marTop w:val="0"/>
      <w:marBottom w:val="0"/>
      <w:divBdr>
        <w:top w:val="none" w:sz="0" w:space="0" w:color="auto"/>
        <w:left w:val="none" w:sz="0" w:space="0" w:color="auto"/>
        <w:bottom w:val="none" w:sz="0" w:space="0" w:color="auto"/>
        <w:right w:val="none" w:sz="0" w:space="0" w:color="auto"/>
      </w:divBdr>
    </w:div>
    <w:div w:id="605504526">
      <w:bodyDiv w:val="1"/>
      <w:marLeft w:val="0"/>
      <w:marRight w:val="0"/>
      <w:marTop w:val="0"/>
      <w:marBottom w:val="0"/>
      <w:divBdr>
        <w:top w:val="none" w:sz="0" w:space="0" w:color="auto"/>
        <w:left w:val="none" w:sz="0" w:space="0" w:color="auto"/>
        <w:bottom w:val="none" w:sz="0" w:space="0" w:color="auto"/>
        <w:right w:val="none" w:sz="0" w:space="0" w:color="auto"/>
      </w:divBdr>
    </w:div>
    <w:div w:id="617219019">
      <w:bodyDiv w:val="1"/>
      <w:marLeft w:val="0"/>
      <w:marRight w:val="0"/>
      <w:marTop w:val="0"/>
      <w:marBottom w:val="0"/>
      <w:divBdr>
        <w:top w:val="none" w:sz="0" w:space="0" w:color="auto"/>
        <w:left w:val="none" w:sz="0" w:space="0" w:color="auto"/>
        <w:bottom w:val="none" w:sz="0" w:space="0" w:color="auto"/>
        <w:right w:val="none" w:sz="0" w:space="0" w:color="auto"/>
      </w:divBdr>
    </w:div>
    <w:div w:id="658533960">
      <w:bodyDiv w:val="1"/>
      <w:marLeft w:val="0"/>
      <w:marRight w:val="0"/>
      <w:marTop w:val="0"/>
      <w:marBottom w:val="0"/>
      <w:divBdr>
        <w:top w:val="none" w:sz="0" w:space="0" w:color="auto"/>
        <w:left w:val="none" w:sz="0" w:space="0" w:color="auto"/>
        <w:bottom w:val="none" w:sz="0" w:space="0" w:color="auto"/>
        <w:right w:val="none" w:sz="0" w:space="0" w:color="auto"/>
      </w:divBdr>
    </w:div>
    <w:div w:id="694039772">
      <w:bodyDiv w:val="1"/>
      <w:marLeft w:val="0"/>
      <w:marRight w:val="0"/>
      <w:marTop w:val="0"/>
      <w:marBottom w:val="0"/>
      <w:divBdr>
        <w:top w:val="none" w:sz="0" w:space="0" w:color="auto"/>
        <w:left w:val="none" w:sz="0" w:space="0" w:color="auto"/>
        <w:bottom w:val="none" w:sz="0" w:space="0" w:color="auto"/>
        <w:right w:val="none" w:sz="0" w:space="0" w:color="auto"/>
      </w:divBdr>
    </w:div>
    <w:div w:id="709259466">
      <w:bodyDiv w:val="1"/>
      <w:marLeft w:val="0"/>
      <w:marRight w:val="0"/>
      <w:marTop w:val="0"/>
      <w:marBottom w:val="0"/>
      <w:divBdr>
        <w:top w:val="none" w:sz="0" w:space="0" w:color="auto"/>
        <w:left w:val="none" w:sz="0" w:space="0" w:color="auto"/>
        <w:bottom w:val="none" w:sz="0" w:space="0" w:color="auto"/>
        <w:right w:val="none" w:sz="0" w:space="0" w:color="auto"/>
      </w:divBdr>
    </w:div>
    <w:div w:id="710687751">
      <w:bodyDiv w:val="1"/>
      <w:marLeft w:val="0"/>
      <w:marRight w:val="0"/>
      <w:marTop w:val="0"/>
      <w:marBottom w:val="0"/>
      <w:divBdr>
        <w:top w:val="none" w:sz="0" w:space="0" w:color="auto"/>
        <w:left w:val="none" w:sz="0" w:space="0" w:color="auto"/>
        <w:bottom w:val="none" w:sz="0" w:space="0" w:color="auto"/>
        <w:right w:val="none" w:sz="0" w:space="0" w:color="auto"/>
      </w:divBdr>
      <w:divsChild>
        <w:div w:id="1431849236">
          <w:marLeft w:val="274"/>
          <w:marRight w:val="0"/>
          <w:marTop w:val="0"/>
          <w:marBottom w:val="0"/>
          <w:divBdr>
            <w:top w:val="none" w:sz="0" w:space="0" w:color="auto"/>
            <w:left w:val="none" w:sz="0" w:space="0" w:color="auto"/>
            <w:bottom w:val="none" w:sz="0" w:space="0" w:color="auto"/>
            <w:right w:val="none" w:sz="0" w:space="0" w:color="auto"/>
          </w:divBdr>
        </w:div>
        <w:div w:id="1806696847">
          <w:marLeft w:val="274"/>
          <w:marRight w:val="0"/>
          <w:marTop w:val="0"/>
          <w:marBottom w:val="0"/>
          <w:divBdr>
            <w:top w:val="none" w:sz="0" w:space="0" w:color="auto"/>
            <w:left w:val="none" w:sz="0" w:space="0" w:color="auto"/>
            <w:bottom w:val="none" w:sz="0" w:space="0" w:color="auto"/>
            <w:right w:val="none" w:sz="0" w:space="0" w:color="auto"/>
          </w:divBdr>
        </w:div>
      </w:divsChild>
    </w:div>
    <w:div w:id="718168795">
      <w:bodyDiv w:val="1"/>
      <w:marLeft w:val="0"/>
      <w:marRight w:val="0"/>
      <w:marTop w:val="0"/>
      <w:marBottom w:val="0"/>
      <w:divBdr>
        <w:top w:val="none" w:sz="0" w:space="0" w:color="auto"/>
        <w:left w:val="none" w:sz="0" w:space="0" w:color="auto"/>
        <w:bottom w:val="none" w:sz="0" w:space="0" w:color="auto"/>
        <w:right w:val="none" w:sz="0" w:space="0" w:color="auto"/>
      </w:divBdr>
    </w:div>
    <w:div w:id="729232486">
      <w:bodyDiv w:val="1"/>
      <w:marLeft w:val="0"/>
      <w:marRight w:val="0"/>
      <w:marTop w:val="0"/>
      <w:marBottom w:val="0"/>
      <w:divBdr>
        <w:top w:val="none" w:sz="0" w:space="0" w:color="auto"/>
        <w:left w:val="none" w:sz="0" w:space="0" w:color="auto"/>
        <w:bottom w:val="none" w:sz="0" w:space="0" w:color="auto"/>
        <w:right w:val="none" w:sz="0" w:space="0" w:color="auto"/>
      </w:divBdr>
      <w:divsChild>
        <w:div w:id="634873484">
          <w:marLeft w:val="0"/>
          <w:marRight w:val="0"/>
          <w:marTop w:val="0"/>
          <w:marBottom w:val="0"/>
          <w:divBdr>
            <w:top w:val="none" w:sz="0" w:space="0" w:color="auto"/>
            <w:left w:val="none" w:sz="0" w:space="0" w:color="auto"/>
            <w:bottom w:val="none" w:sz="0" w:space="0" w:color="auto"/>
            <w:right w:val="none" w:sz="0" w:space="0" w:color="auto"/>
          </w:divBdr>
          <w:divsChild>
            <w:div w:id="775835314">
              <w:marLeft w:val="0"/>
              <w:marRight w:val="0"/>
              <w:marTop w:val="30"/>
              <w:marBottom w:val="30"/>
              <w:divBdr>
                <w:top w:val="none" w:sz="0" w:space="0" w:color="auto"/>
                <w:left w:val="none" w:sz="0" w:space="0" w:color="auto"/>
                <w:bottom w:val="none" w:sz="0" w:space="0" w:color="auto"/>
                <w:right w:val="none" w:sz="0" w:space="0" w:color="auto"/>
              </w:divBdr>
              <w:divsChild>
                <w:div w:id="475419291">
                  <w:marLeft w:val="0"/>
                  <w:marRight w:val="0"/>
                  <w:marTop w:val="0"/>
                  <w:marBottom w:val="0"/>
                  <w:divBdr>
                    <w:top w:val="none" w:sz="0" w:space="0" w:color="auto"/>
                    <w:left w:val="none" w:sz="0" w:space="0" w:color="auto"/>
                    <w:bottom w:val="none" w:sz="0" w:space="0" w:color="auto"/>
                    <w:right w:val="none" w:sz="0" w:space="0" w:color="auto"/>
                  </w:divBdr>
                  <w:divsChild>
                    <w:div w:id="1098016079">
                      <w:marLeft w:val="0"/>
                      <w:marRight w:val="0"/>
                      <w:marTop w:val="0"/>
                      <w:marBottom w:val="0"/>
                      <w:divBdr>
                        <w:top w:val="none" w:sz="0" w:space="0" w:color="auto"/>
                        <w:left w:val="none" w:sz="0" w:space="0" w:color="auto"/>
                        <w:bottom w:val="none" w:sz="0" w:space="0" w:color="auto"/>
                        <w:right w:val="none" w:sz="0" w:space="0" w:color="auto"/>
                      </w:divBdr>
                    </w:div>
                  </w:divsChild>
                </w:div>
                <w:div w:id="714085617">
                  <w:marLeft w:val="0"/>
                  <w:marRight w:val="0"/>
                  <w:marTop w:val="0"/>
                  <w:marBottom w:val="0"/>
                  <w:divBdr>
                    <w:top w:val="none" w:sz="0" w:space="0" w:color="auto"/>
                    <w:left w:val="none" w:sz="0" w:space="0" w:color="auto"/>
                    <w:bottom w:val="none" w:sz="0" w:space="0" w:color="auto"/>
                    <w:right w:val="none" w:sz="0" w:space="0" w:color="auto"/>
                  </w:divBdr>
                  <w:divsChild>
                    <w:div w:id="13699110">
                      <w:marLeft w:val="0"/>
                      <w:marRight w:val="0"/>
                      <w:marTop w:val="0"/>
                      <w:marBottom w:val="0"/>
                      <w:divBdr>
                        <w:top w:val="none" w:sz="0" w:space="0" w:color="auto"/>
                        <w:left w:val="none" w:sz="0" w:space="0" w:color="auto"/>
                        <w:bottom w:val="none" w:sz="0" w:space="0" w:color="auto"/>
                        <w:right w:val="none" w:sz="0" w:space="0" w:color="auto"/>
                      </w:divBdr>
                    </w:div>
                  </w:divsChild>
                </w:div>
                <w:div w:id="744187115">
                  <w:marLeft w:val="0"/>
                  <w:marRight w:val="0"/>
                  <w:marTop w:val="0"/>
                  <w:marBottom w:val="0"/>
                  <w:divBdr>
                    <w:top w:val="none" w:sz="0" w:space="0" w:color="auto"/>
                    <w:left w:val="none" w:sz="0" w:space="0" w:color="auto"/>
                    <w:bottom w:val="none" w:sz="0" w:space="0" w:color="auto"/>
                    <w:right w:val="none" w:sz="0" w:space="0" w:color="auto"/>
                  </w:divBdr>
                  <w:divsChild>
                    <w:div w:id="1815218451">
                      <w:marLeft w:val="0"/>
                      <w:marRight w:val="0"/>
                      <w:marTop w:val="0"/>
                      <w:marBottom w:val="0"/>
                      <w:divBdr>
                        <w:top w:val="none" w:sz="0" w:space="0" w:color="auto"/>
                        <w:left w:val="none" w:sz="0" w:space="0" w:color="auto"/>
                        <w:bottom w:val="none" w:sz="0" w:space="0" w:color="auto"/>
                        <w:right w:val="none" w:sz="0" w:space="0" w:color="auto"/>
                      </w:divBdr>
                    </w:div>
                  </w:divsChild>
                </w:div>
                <w:div w:id="839781280">
                  <w:marLeft w:val="0"/>
                  <w:marRight w:val="0"/>
                  <w:marTop w:val="0"/>
                  <w:marBottom w:val="0"/>
                  <w:divBdr>
                    <w:top w:val="none" w:sz="0" w:space="0" w:color="auto"/>
                    <w:left w:val="none" w:sz="0" w:space="0" w:color="auto"/>
                    <w:bottom w:val="none" w:sz="0" w:space="0" w:color="auto"/>
                    <w:right w:val="none" w:sz="0" w:space="0" w:color="auto"/>
                  </w:divBdr>
                  <w:divsChild>
                    <w:div w:id="1844512950">
                      <w:marLeft w:val="0"/>
                      <w:marRight w:val="0"/>
                      <w:marTop w:val="0"/>
                      <w:marBottom w:val="0"/>
                      <w:divBdr>
                        <w:top w:val="none" w:sz="0" w:space="0" w:color="auto"/>
                        <w:left w:val="none" w:sz="0" w:space="0" w:color="auto"/>
                        <w:bottom w:val="none" w:sz="0" w:space="0" w:color="auto"/>
                        <w:right w:val="none" w:sz="0" w:space="0" w:color="auto"/>
                      </w:divBdr>
                    </w:div>
                  </w:divsChild>
                </w:div>
                <w:div w:id="847603856">
                  <w:marLeft w:val="0"/>
                  <w:marRight w:val="0"/>
                  <w:marTop w:val="0"/>
                  <w:marBottom w:val="0"/>
                  <w:divBdr>
                    <w:top w:val="none" w:sz="0" w:space="0" w:color="auto"/>
                    <w:left w:val="none" w:sz="0" w:space="0" w:color="auto"/>
                    <w:bottom w:val="none" w:sz="0" w:space="0" w:color="auto"/>
                    <w:right w:val="none" w:sz="0" w:space="0" w:color="auto"/>
                  </w:divBdr>
                  <w:divsChild>
                    <w:div w:id="1486555638">
                      <w:marLeft w:val="0"/>
                      <w:marRight w:val="0"/>
                      <w:marTop w:val="0"/>
                      <w:marBottom w:val="0"/>
                      <w:divBdr>
                        <w:top w:val="none" w:sz="0" w:space="0" w:color="auto"/>
                        <w:left w:val="none" w:sz="0" w:space="0" w:color="auto"/>
                        <w:bottom w:val="none" w:sz="0" w:space="0" w:color="auto"/>
                        <w:right w:val="none" w:sz="0" w:space="0" w:color="auto"/>
                      </w:divBdr>
                    </w:div>
                  </w:divsChild>
                </w:div>
                <w:div w:id="1232424481">
                  <w:marLeft w:val="0"/>
                  <w:marRight w:val="0"/>
                  <w:marTop w:val="0"/>
                  <w:marBottom w:val="0"/>
                  <w:divBdr>
                    <w:top w:val="none" w:sz="0" w:space="0" w:color="auto"/>
                    <w:left w:val="none" w:sz="0" w:space="0" w:color="auto"/>
                    <w:bottom w:val="none" w:sz="0" w:space="0" w:color="auto"/>
                    <w:right w:val="none" w:sz="0" w:space="0" w:color="auto"/>
                  </w:divBdr>
                  <w:divsChild>
                    <w:div w:id="1432778235">
                      <w:marLeft w:val="0"/>
                      <w:marRight w:val="0"/>
                      <w:marTop w:val="0"/>
                      <w:marBottom w:val="0"/>
                      <w:divBdr>
                        <w:top w:val="none" w:sz="0" w:space="0" w:color="auto"/>
                        <w:left w:val="none" w:sz="0" w:space="0" w:color="auto"/>
                        <w:bottom w:val="none" w:sz="0" w:space="0" w:color="auto"/>
                        <w:right w:val="none" w:sz="0" w:space="0" w:color="auto"/>
                      </w:divBdr>
                    </w:div>
                  </w:divsChild>
                </w:div>
                <w:div w:id="1367562238">
                  <w:marLeft w:val="0"/>
                  <w:marRight w:val="0"/>
                  <w:marTop w:val="0"/>
                  <w:marBottom w:val="0"/>
                  <w:divBdr>
                    <w:top w:val="none" w:sz="0" w:space="0" w:color="auto"/>
                    <w:left w:val="none" w:sz="0" w:space="0" w:color="auto"/>
                    <w:bottom w:val="none" w:sz="0" w:space="0" w:color="auto"/>
                    <w:right w:val="none" w:sz="0" w:space="0" w:color="auto"/>
                  </w:divBdr>
                  <w:divsChild>
                    <w:div w:id="1663658794">
                      <w:marLeft w:val="0"/>
                      <w:marRight w:val="0"/>
                      <w:marTop w:val="0"/>
                      <w:marBottom w:val="0"/>
                      <w:divBdr>
                        <w:top w:val="none" w:sz="0" w:space="0" w:color="auto"/>
                        <w:left w:val="none" w:sz="0" w:space="0" w:color="auto"/>
                        <w:bottom w:val="none" w:sz="0" w:space="0" w:color="auto"/>
                        <w:right w:val="none" w:sz="0" w:space="0" w:color="auto"/>
                      </w:divBdr>
                    </w:div>
                  </w:divsChild>
                </w:div>
                <w:div w:id="1603876080">
                  <w:marLeft w:val="0"/>
                  <w:marRight w:val="0"/>
                  <w:marTop w:val="0"/>
                  <w:marBottom w:val="0"/>
                  <w:divBdr>
                    <w:top w:val="none" w:sz="0" w:space="0" w:color="auto"/>
                    <w:left w:val="none" w:sz="0" w:space="0" w:color="auto"/>
                    <w:bottom w:val="none" w:sz="0" w:space="0" w:color="auto"/>
                    <w:right w:val="none" w:sz="0" w:space="0" w:color="auto"/>
                  </w:divBdr>
                  <w:divsChild>
                    <w:div w:id="1501894283">
                      <w:marLeft w:val="0"/>
                      <w:marRight w:val="0"/>
                      <w:marTop w:val="0"/>
                      <w:marBottom w:val="0"/>
                      <w:divBdr>
                        <w:top w:val="none" w:sz="0" w:space="0" w:color="auto"/>
                        <w:left w:val="none" w:sz="0" w:space="0" w:color="auto"/>
                        <w:bottom w:val="none" w:sz="0" w:space="0" w:color="auto"/>
                        <w:right w:val="none" w:sz="0" w:space="0" w:color="auto"/>
                      </w:divBdr>
                    </w:div>
                  </w:divsChild>
                </w:div>
                <w:div w:id="1651711181">
                  <w:marLeft w:val="0"/>
                  <w:marRight w:val="0"/>
                  <w:marTop w:val="0"/>
                  <w:marBottom w:val="0"/>
                  <w:divBdr>
                    <w:top w:val="none" w:sz="0" w:space="0" w:color="auto"/>
                    <w:left w:val="none" w:sz="0" w:space="0" w:color="auto"/>
                    <w:bottom w:val="none" w:sz="0" w:space="0" w:color="auto"/>
                    <w:right w:val="none" w:sz="0" w:space="0" w:color="auto"/>
                  </w:divBdr>
                  <w:divsChild>
                    <w:div w:id="2116364357">
                      <w:marLeft w:val="0"/>
                      <w:marRight w:val="0"/>
                      <w:marTop w:val="0"/>
                      <w:marBottom w:val="0"/>
                      <w:divBdr>
                        <w:top w:val="none" w:sz="0" w:space="0" w:color="auto"/>
                        <w:left w:val="none" w:sz="0" w:space="0" w:color="auto"/>
                        <w:bottom w:val="none" w:sz="0" w:space="0" w:color="auto"/>
                        <w:right w:val="none" w:sz="0" w:space="0" w:color="auto"/>
                      </w:divBdr>
                    </w:div>
                  </w:divsChild>
                </w:div>
                <w:div w:id="1680499501">
                  <w:marLeft w:val="0"/>
                  <w:marRight w:val="0"/>
                  <w:marTop w:val="0"/>
                  <w:marBottom w:val="0"/>
                  <w:divBdr>
                    <w:top w:val="none" w:sz="0" w:space="0" w:color="auto"/>
                    <w:left w:val="none" w:sz="0" w:space="0" w:color="auto"/>
                    <w:bottom w:val="none" w:sz="0" w:space="0" w:color="auto"/>
                    <w:right w:val="none" w:sz="0" w:space="0" w:color="auto"/>
                  </w:divBdr>
                  <w:divsChild>
                    <w:div w:id="1640964197">
                      <w:marLeft w:val="0"/>
                      <w:marRight w:val="0"/>
                      <w:marTop w:val="0"/>
                      <w:marBottom w:val="0"/>
                      <w:divBdr>
                        <w:top w:val="none" w:sz="0" w:space="0" w:color="auto"/>
                        <w:left w:val="none" w:sz="0" w:space="0" w:color="auto"/>
                        <w:bottom w:val="none" w:sz="0" w:space="0" w:color="auto"/>
                        <w:right w:val="none" w:sz="0" w:space="0" w:color="auto"/>
                      </w:divBdr>
                    </w:div>
                  </w:divsChild>
                </w:div>
                <w:div w:id="1760322743">
                  <w:marLeft w:val="0"/>
                  <w:marRight w:val="0"/>
                  <w:marTop w:val="0"/>
                  <w:marBottom w:val="0"/>
                  <w:divBdr>
                    <w:top w:val="none" w:sz="0" w:space="0" w:color="auto"/>
                    <w:left w:val="none" w:sz="0" w:space="0" w:color="auto"/>
                    <w:bottom w:val="none" w:sz="0" w:space="0" w:color="auto"/>
                    <w:right w:val="none" w:sz="0" w:space="0" w:color="auto"/>
                  </w:divBdr>
                  <w:divsChild>
                    <w:div w:id="2125684201">
                      <w:marLeft w:val="0"/>
                      <w:marRight w:val="0"/>
                      <w:marTop w:val="0"/>
                      <w:marBottom w:val="0"/>
                      <w:divBdr>
                        <w:top w:val="none" w:sz="0" w:space="0" w:color="auto"/>
                        <w:left w:val="none" w:sz="0" w:space="0" w:color="auto"/>
                        <w:bottom w:val="none" w:sz="0" w:space="0" w:color="auto"/>
                        <w:right w:val="none" w:sz="0" w:space="0" w:color="auto"/>
                      </w:divBdr>
                    </w:div>
                  </w:divsChild>
                </w:div>
                <w:div w:id="1844658638">
                  <w:marLeft w:val="0"/>
                  <w:marRight w:val="0"/>
                  <w:marTop w:val="0"/>
                  <w:marBottom w:val="0"/>
                  <w:divBdr>
                    <w:top w:val="none" w:sz="0" w:space="0" w:color="auto"/>
                    <w:left w:val="none" w:sz="0" w:space="0" w:color="auto"/>
                    <w:bottom w:val="none" w:sz="0" w:space="0" w:color="auto"/>
                    <w:right w:val="none" w:sz="0" w:space="0" w:color="auto"/>
                  </w:divBdr>
                  <w:divsChild>
                    <w:div w:id="1816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3735">
          <w:marLeft w:val="0"/>
          <w:marRight w:val="0"/>
          <w:marTop w:val="0"/>
          <w:marBottom w:val="0"/>
          <w:divBdr>
            <w:top w:val="none" w:sz="0" w:space="0" w:color="auto"/>
            <w:left w:val="none" w:sz="0" w:space="0" w:color="auto"/>
            <w:bottom w:val="none" w:sz="0" w:space="0" w:color="auto"/>
            <w:right w:val="none" w:sz="0" w:space="0" w:color="auto"/>
          </w:divBdr>
          <w:divsChild>
            <w:div w:id="457604176">
              <w:marLeft w:val="0"/>
              <w:marRight w:val="0"/>
              <w:marTop w:val="30"/>
              <w:marBottom w:val="30"/>
              <w:divBdr>
                <w:top w:val="none" w:sz="0" w:space="0" w:color="auto"/>
                <w:left w:val="none" w:sz="0" w:space="0" w:color="auto"/>
                <w:bottom w:val="none" w:sz="0" w:space="0" w:color="auto"/>
                <w:right w:val="none" w:sz="0" w:space="0" w:color="auto"/>
              </w:divBdr>
              <w:divsChild>
                <w:div w:id="65884111">
                  <w:marLeft w:val="0"/>
                  <w:marRight w:val="0"/>
                  <w:marTop w:val="0"/>
                  <w:marBottom w:val="0"/>
                  <w:divBdr>
                    <w:top w:val="none" w:sz="0" w:space="0" w:color="auto"/>
                    <w:left w:val="none" w:sz="0" w:space="0" w:color="auto"/>
                    <w:bottom w:val="none" w:sz="0" w:space="0" w:color="auto"/>
                    <w:right w:val="none" w:sz="0" w:space="0" w:color="auto"/>
                  </w:divBdr>
                  <w:divsChild>
                    <w:div w:id="742803349">
                      <w:marLeft w:val="0"/>
                      <w:marRight w:val="0"/>
                      <w:marTop w:val="0"/>
                      <w:marBottom w:val="0"/>
                      <w:divBdr>
                        <w:top w:val="none" w:sz="0" w:space="0" w:color="auto"/>
                        <w:left w:val="none" w:sz="0" w:space="0" w:color="auto"/>
                        <w:bottom w:val="none" w:sz="0" w:space="0" w:color="auto"/>
                        <w:right w:val="none" w:sz="0" w:space="0" w:color="auto"/>
                      </w:divBdr>
                    </w:div>
                    <w:div w:id="1000697994">
                      <w:marLeft w:val="0"/>
                      <w:marRight w:val="0"/>
                      <w:marTop w:val="0"/>
                      <w:marBottom w:val="0"/>
                      <w:divBdr>
                        <w:top w:val="none" w:sz="0" w:space="0" w:color="auto"/>
                        <w:left w:val="none" w:sz="0" w:space="0" w:color="auto"/>
                        <w:bottom w:val="none" w:sz="0" w:space="0" w:color="auto"/>
                        <w:right w:val="none" w:sz="0" w:space="0" w:color="auto"/>
                      </w:divBdr>
                    </w:div>
                    <w:div w:id="1381906269">
                      <w:marLeft w:val="0"/>
                      <w:marRight w:val="0"/>
                      <w:marTop w:val="0"/>
                      <w:marBottom w:val="0"/>
                      <w:divBdr>
                        <w:top w:val="none" w:sz="0" w:space="0" w:color="auto"/>
                        <w:left w:val="none" w:sz="0" w:space="0" w:color="auto"/>
                        <w:bottom w:val="none" w:sz="0" w:space="0" w:color="auto"/>
                        <w:right w:val="none" w:sz="0" w:space="0" w:color="auto"/>
                      </w:divBdr>
                    </w:div>
                  </w:divsChild>
                </w:div>
                <w:div w:id="66997389">
                  <w:marLeft w:val="0"/>
                  <w:marRight w:val="0"/>
                  <w:marTop w:val="0"/>
                  <w:marBottom w:val="0"/>
                  <w:divBdr>
                    <w:top w:val="none" w:sz="0" w:space="0" w:color="auto"/>
                    <w:left w:val="none" w:sz="0" w:space="0" w:color="auto"/>
                    <w:bottom w:val="none" w:sz="0" w:space="0" w:color="auto"/>
                    <w:right w:val="none" w:sz="0" w:space="0" w:color="auto"/>
                  </w:divBdr>
                  <w:divsChild>
                    <w:div w:id="410662831">
                      <w:marLeft w:val="0"/>
                      <w:marRight w:val="0"/>
                      <w:marTop w:val="0"/>
                      <w:marBottom w:val="0"/>
                      <w:divBdr>
                        <w:top w:val="none" w:sz="0" w:space="0" w:color="auto"/>
                        <w:left w:val="none" w:sz="0" w:space="0" w:color="auto"/>
                        <w:bottom w:val="none" w:sz="0" w:space="0" w:color="auto"/>
                        <w:right w:val="none" w:sz="0" w:space="0" w:color="auto"/>
                      </w:divBdr>
                    </w:div>
                    <w:div w:id="432437627">
                      <w:marLeft w:val="0"/>
                      <w:marRight w:val="0"/>
                      <w:marTop w:val="0"/>
                      <w:marBottom w:val="0"/>
                      <w:divBdr>
                        <w:top w:val="none" w:sz="0" w:space="0" w:color="auto"/>
                        <w:left w:val="none" w:sz="0" w:space="0" w:color="auto"/>
                        <w:bottom w:val="none" w:sz="0" w:space="0" w:color="auto"/>
                        <w:right w:val="none" w:sz="0" w:space="0" w:color="auto"/>
                      </w:divBdr>
                    </w:div>
                    <w:div w:id="885725536">
                      <w:marLeft w:val="0"/>
                      <w:marRight w:val="0"/>
                      <w:marTop w:val="0"/>
                      <w:marBottom w:val="0"/>
                      <w:divBdr>
                        <w:top w:val="none" w:sz="0" w:space="0" w:color="auto"/>
                        <w:left w:val="none" w:sz="0" w:space="0" w:color="auto"/>
                        <w:bottom w:val="none" w:sz="0" w:space="0" w:color="auto"/>
                        <w:right w:val="none" w:sz="0" w:space="0" w:color="auto"/>
                      </w:divBdr>
                    </w:div>
                    <w:div w:id="1114205130">
                      <w:marLeft w:val="0"/>
                      <w:marRight w:val="0"/>
                      <w:marTop w:val="0"/>
                      <w:marBottom w:val="0"/>
                      <w:divBdr>
                        <w:top w:val="none" w:sz="0" w:space="0" w:color="auto"/>
                        <w:left w:val="none" w:sz="0" w:space="0" w:color="auto"/>
                        <w:bottom w:val="none" w:sz="0" w:space="0" w:color="auto"/>
                        <w:right w:val="none" w:sz="0" w:space="0" w:color="auto"/>
                      </w:divBdr>
                    </w:div>
                    <w:div w:id="1439717557">
                      <w:marLeft w:val="0"/>
                      <w:marRight w:val="0"/>
                      <w:marTop w:val="0"/>
                      <w:marBottom w:val="0"/>
                      <w:divBdr>
                        <w:top w:val="none" w:sz="0" w:space="0" w:color="auto"/>
                        <w:left w:val="none" w:sz="0" w:space="0" w:color="auto"/>
                        <w:bottom w:val="none" w:sz="0" w:space="0" w:color="auto"/>
                        <w:right w:val="none" w:sz="0" w:space="0" w:color="auto"/>
                      </w:divBdr>
                    </w:div>
                  </w:divsChild>
                </w:div>
                <w:div w:id="178395431">
                  <w:marLeft w:val="0"/>
                  <w:marRight w:val="0"/>
                  <w:marTop w:val="0"/>
                  <w:marBottom w:val="0"/>
                  <w:divBdr>
                    <w:top w:val="none" w:sz="0" w:space="0" w:color="auto"/>
                    <w:left w:val="none" w:sz="0" w:space="0" w:color="auto"/>
                    <w:bottom w:val="none" w:sz="0" w:space="0" w:color="auto"/>
                    <w:right w:val="none" w:sz="0" w:space="0" w:color="auto"/>
                  </w:divBdr>
                  <w:divsChild>
                    <w:div w:id="1554850358">
                      <w:marLeft w:val="0"/>
                      <w:marRight w:val="0"/>
                      <w:marTop w:val="0"/>
                      <w:marBottom w:val="0"/>
                      <w:divBdr>
                        <w:top w:val="none" w:sz="0" w:space="0" w:color="auto"/>
                        <w:left w:val="none" w:sz="0" w:space="0" w:color="auto"/>
                        <w:bottom w:val="none" w:sz="0" w:space="0" w:color="auto"/>
                        <w:right w:val="none" w:sz="0" w:space="0" w:color="auto"/>
                      </w:divBdr>
                    </w:div>
                  </w:divsChild>
                </w:div>
                <w:div w:id="344795072">
                  <w:marLeft w:val="0"/>
                  <w:marRight w:val="0"/>
                  <w:marTop w:val="0"/>
                  <w:marBottom w:val="0"/>
                  <w:divBdr>
                    <w:top w:val="none" w:sz="0" w:space="0" w:color="auto"/>
                    <w:left w:val="none" w:sz="0" w:space="0" w:color="auto"/>
                    <w:bottom w:val="none" w:sz="0" w:space="0" w:color="auto"/>
                    <w:right w:val="none" w:sz="0" w:space="0" w:color="auto"/>
                  </w:divBdr>
                  <w:divsChild>
                    <w:div w:id="723064517">
                      <w:marLeft w:val="0"/>
                      <w:marRight w:val="0"/>
                      <w:marTop w:val="0"/>
                      <w:marBottom w:val="0"/>
                      <w:divBdr>
                        <w:top w:val="none" w:sz="0" w:space="0" w:color="auto"/>
                        <w:left w:val="none" w:sz="0" w:space="0" w:color="auto"/>
                        <w:bottom w:val="none" w:sz="0" w:space="0" w:color="auto"/>
                        <w:right w:val="none" w:sz="0" w:space="0" w:color="auto"/>
                      </w:divBdr>
                    </w:div>
                  </w:divsChild>
                </w:div>
                <w:div w:id="429667794">
                  <w:marLeft w:val="0"/>
                  <w:marRight w:val="0"/>
                  <w:marTop w:val="0"/>
                  <w:marBottom w:val="0"/>
                  <w:divBdr>
                    <w:top w:val="none" w:sz="0" w:space="0" w:color="auto"/>
                    <w:left w:val="none" w:sz="0" w:space="0" w:color="auto"/>
                    <w:bottom w:val="none" w:sz="0" w:space="0" w:color="auto"/>
                    <w:right w:val="none" w:sz="0" w:space="0" w:color="auto"/>
                  </w:divBdr>
                  <w:divsChild>
                    <w:div w:id="594942735">
                      <w:marLeft w:val="0"/>
                      <w:marRight w:val="0"/>
                      <w:marTop w:val="0"/>
                      <w:marBottom w:val="0"/>
                      <w:divBdr>
                        <w:top w:val="none" w:sz="0" w:space="0" w:color="auto"/>
                        <w:left w:val="none" w:sz="0" w:space="0" w:color="auto"/>
                        <w:bottom w:val="none" w:sz="0" w:space="0" w:color="auto"/>
                        <w:right w:val="none" w:sz="0" w:space="0" w:color="auto"/>
                      </w:divBdr>
                    </w:div>
                  </w:divsChild>
                </w:div>
                <w:div w:id="459307136">
                  <w:marLeft w:val="0"/>
                  <w:marRight w:val="0"/>
                  <w:marTop w:val="0"/>
                  <w:marBottom w:val="0"/>
                  <w:divBdr>
                    <w:top w:val="none" w:sz="0" w:space="0" w:color="auto"/>
                    <w:left w:val="none" w:sz="0" w:space="0" w:color="auto"/>
                    <w:bottom w:val="none" w:sz="0" w:space="0" w:color="auto"/>
                    <w:right w:val="none" w:sz="0" w:space="0" w:color="auto"/>
                  </w:divBdr>
                  <w:divsChild>
                    <w:div w:id="1318414024">
                      <w:marLeft w:val="0"/>
                      <w:marRight w:val="0"/>
                      <w:marTop w:val="0"/>
                      <w:marBottom w:val="0"/>
                      <w:divBdr>
                        <w:top w:val="none" w:sz="0" w:space="0" w:color="auto"/>
                        <w:left w:val="none" w:sz="0" w:space="0" w:color="auto"/>
                        <w:bottom w:val="none" w:sz="0" w:space="0" w:color="auto"/>
                        <w:right w:val="none" w:sz="0" w:space="0" w:color="auto"/>
                      </w:divBdr>
                    </w:div>
                  </w:divsChild>
                </w:div>
                <w:div w:id="536285010">
                  <w:marLeft w:val="0"/>
                  <w:marRight w:val="0"/>
                  <w:marTop w:val="0"/>
                  <w:marBottom w:val="0"/>
                  <w:divBdr>
                    <w:top w:val="none" w:sz="0" w:space="0" w:color="auto"/>
                    <w:left w:val="none" w:sz="0" w:space="0" w:color="auto"/>
                    <w:bottom w:val="none" w:sz="0" w:space="0" w:color="auto"/>
                    <w:right w:val="none" w:sz="0" w:space="0" w:color="auto"/>
                  </w:divBdr>
                  <w:divsChild>
                    <w:div w:id="947591431">
                      <w:marLeft w:val="0"/>
                      <w:marRight w:val="0"/>
                      <w:marTop w:val="0"/>
                      <w:marBottom w:val="0"/>
                      <w:divBdr>
                        <w:top w:val="none" w:sz="0" w:space="0" w:color="auto"/>
                        <w:left w:val="none" w:sz="0" w:space="0" w:color="auto"/>
                        <w:bottom w:val="none" w:sz="0" w:space="0" w:color="auto"/>
                        <w:right w:val="none" w:sz="0" w:space="0" w:color="auto"/>
                      </w:divBdr>
                    </w:div>
                  </w:divsChild>
                </w:div>
                <w:div w:id="539978761">
                  <w:marLeft w:val="0"/>
                  <w:marRight w:val="0"/>
                  <w:marTop w:val="0"/>
                  <w:marBottom w:val="0"/>
                  <w:divBdr>
                    <w:top w:val="none" w:sz="0" w:space="0" w:color="auto"/>
                    <w:left w:val="none" w:sz="0" w:space="0" w:color="auto"/>
                    <w:bottom w:val="none" w:sz="0" w:space="0" w:color="auto"/>
                    <w:right w:val="none" w:sz="0" w:space="0" w:color="auto"/>
                  </w:divBdr>
                  <w:divsChild>
                    <w:div w:id="973676809">
                      <w:marLeft w:val="0"/>
                      <w:marRight w:val="0"/>
                      <w:marTop w:val="0"/>
                      <w:marBottom w:val="0"/>
                      <w:divBdr>
                        <w:top w:val="none" w:sz="0" w:space="0" w:color="auto"/>
                        <w:left w:val="none" w:sz="0" w:space="0" w:color="auto"/>
                        <w:bottom w:val="none" w:sz="0" w:space="0" w:color="auto"/>
                        <w:right w:val="none" w:sz="0" w:space="0" w:color="auto"/>
                      </w:divBdr>
                    </w:div>
                    <w:div w:id="1580097523">
                      <w:marLeft w:val="0"/>
                      <w:marRight w:val="0"/>
                      <w:marTop w:val="0"/>
                      <w:marBottom w:val="0"/>
                      <w:divBdr>
                        <w:top w:val="none" w:sz="0" w:space="0" w:color="auto"/>
                        <w:left w:val="none" w:sz="0" w:space="0" w:color="auto"/>
                        <w:bottom w:val="none" w:sz="0" w:space="0" w:color="auto"/>
                        <w:right w:val="none" w:sz="0" w:space="0" w:color="auto"/>
                      </w:divBdr>
                    </w:div>
                  </w:divsChild>
                </w:div>
                <w:div w:id="556204637">
                  <w:marLeft w:val="0"/>
                  <w:marRight w:val="0"/>
                  <w:marTop w:val="0"/>
                  <w:marBottom w:val="0"/>
                  <w:divBdr>
                    <w:top w:val="none" w:sz="0" w:space="0" w:color="auto"/>
                    <w:left w:val="none" w:sz="0" w:space="0" w:color="auto"/>
                    <w:bottom w:val="none" w:sz="0" w:space="0" w:color="auto"/>
                    <w:right w:val="none" w:sz="0" w:space="0" w:color="auto"/>
                  </w:divBdr>
                  <w:divsChild>
                    <w:div w:id="1362046726">
                      <w:marLeft w:val="0"/>
                      <w:marRight w:val="0"/>
                      <w:marTop w:val="0"/>
                      <w:marBottom w:val="0"/>
                      <w:divBdr>
                        <w:top w:val="none" w:sz="0" w:space="0" w:color="auto"/>
                        <w:left w:val="none" w:sz="0" w:space="0" w:color="auto"/>
                        <w:bottom w:val="none" w:sz="0" w:space="0" w:color="auto"/>
                        <w:right w:val="none" w:sz="0" w:space="0" w:color="auto"/>
                      </w:divBdr>
                    </w:div>
                  </w:divsChild>
                </w:div>
                <w:div w:id="580988571">
                  <w:marLeft w:val="0"/>
                  <w:marRight w:val="0"/>
                  <w:marTop w:val="0"/>
                  <w:marBottom w:val="0"/>
                  <w:divBdr>
                    <w:top w:val="none" w:sz="0" w:space="0" w:color="auto"/>
                    <w:left w:val="none" w:sz="0" w:space="0" w:color="auto"/>
                    <w:bottom w:val="none" w:sz="0" w:space="0" w:color="auto"/>
                    <w:right w:val="none" w:sz="0" w:space="0" w:color="auto"/>
                  </w:divBdr>
                  <w:divsChild>
                    <w:div w:id="2140760185">
                      <w:marLeft w:val="0"/>
                      <w:marRight w:val="0"/>
                      <w:marTop w:val="0"/>
                      <w:marBottom w:val="0"/>
                      <w:divBdr>
                        <w:top w:val="none" w:sz="0" w:space="0" w:color="auto"/>
                        <w:left w:val="none" w:sz="0" w:space="0" w:color="auto"/>
                        <w:bottom w:val="none" w:sz="0" w:space="0" w:color="auto"/>
                        <w:right w:val="none" w:sz="0" w:space="0" w:color="auto"/>
                      </w:divBdr>
                    </w:div>
                  </w:divsChild>
                </w:div>
                <w:div w:id="591664952">
                  <w:marLeft w:val="0"/>
                  <w:marRight w:val="0"/>
                  <w:marTop w:val="0"/>
                  <w:marBottom w:val="0"/>
                  <w:divBdr>
                    <w:top w:val="none" w:sz="0" w:space="0" w:color="auto"/>
                    <w:left w:val="none" w:sz="0" w:space="0" w:color="auto"/>
                    <w:bottom w:val="none" w:sz="0" w:space="0" w:color="auto"/>
                    <w:right w:val="none" w:sz="0" w:space="0" w:color="auto"/>
                  </w:divBdr>
                  <w:divsChild>
                    <w:div w:id="1346789877">
                      <w:marLeft w:val="0"/>
                      <w:marRight w:val="0"/>
                      <w:marTop w:val="0"/>
                      <w:marBottom w:val="0"/>
                      <w:divBdr>
                        <w:top w:val="none" w:sz="0" w:space="0" w:color="auto"/>
                        <w:left w:val="none" w:sz="0" w:space="0" w:color="auto"/>
                        <w:bottom w:val="none" w:sz="0" w:space="0" w:color="auto"/>
                        <w:right w:val="none" w:sz="0" w:space="0" w:color="auto"/>
                      </w:divBdr>
                    </w:div>
                  </w:divsChild>
                </w:div>
                <w:div w:id="678235356">
                  <w:marLeft w:val="0"/>
                  <w:marRight w:val="0"/>
                  <w:marTop w:val="0"/>
                  <w:marBottom w:val="0"/>
                  <w:divBdr>
                    <w:top w:val="none" w:sz="0" w:space="0" w:color="auto"/>
                    <w:left w:val="none" w:sz="0" w:space="0" w:color="auto"/>
                    <w:bottom w:val="none" w:sz="0" w:space="0" w:color="auto"/>
                    <w:right w:val="none" w:sz="0" w:space="0" w:color="auto"/>
                  </w:divBdr>
                  <w:divsChild>
                    <w:div w:id="1546484192">
                      <w:marLeft w:val="0"/>
                      <w:marRight w:val="0"/>
                      <w:marTop w:val="0"/>
                      <w:marBottom w:val="0"/>
                      <w:divBdr>
                        <w:top w:val="none" w:sz="0" w:space="0" w:color="auto"/>
                        <w:left w:val="none" w:sz="0" w:space="0" w:color="auto"/>
                        <w:bottom w:val="none" w:sz="0" w:space="0" w:color="auto"/>
                        <w:right w:val="none" w:sz="0" w:space="0" w:color="auto"/>
                      </w:divBdr>
                    </w:div>
                  </w:divsChild>
                </w:div>
                <w:div w:id="732236804">
                  <w:marLeft w:val="0"/>
                  <w:marRight w:val="0"/>
                  <w:marTop w:val="0"/>
                  <w:marBottom w:val="0"/>
                  <w:divBdr>
                    <w:top w:val="none" w:sz="0" w:space="0" w:color="auto"/>
                    <w:left w:val="none" w:sz="0" w:space="0" w:color="auto"/>
                    <w:bottom w:val="none" w:sz="0" w:space="0" w:color="auto"/>
                    <w:right w:val="none" w:sz="0" w:space="0" w:color="auto"/>
                  </w:divBdr>
                  <w:divsChild>
                    <w:div w:id="727345350">
                      <w:marLeft w:val="0"/>
                      <w:marRight w:val="0"/>
                      <w:marTop w:val="0"/>
                      <w:marBottom w:val="0"/>
                      <w:divBdr>
                        <w:top w:val="none" w:sz="0" w:space="0" w:color="auto"/>
                        <w:left w:val="none" w:sz="0" w:space="0" w:color="auto"/>
                        <w:bottom w:val="none" w:sz="0" w:space="0" w:color="auto"/>
                        <w:right w:val="none" w:sz="0" w:space="0" w:color="auto"/>
                      </w:divBdr>
                    </w:div>
                  </w:divsChild>
                </w:div>
                <w:div w:id="740712105">
                  <w:marLeft w:val="0"/>
                  <w:marRight w:val="0"/>
                  <w:marTop w:val="0"/>
                  <w:marBottom w:val="0"/>
                  <w:divBdr>
                    <w:top w:val="none" w:sz="0" w:space="0" w:color="auto"/>
                    <w:left w:val="none" w:sz="0" w:space="0" w:color="auto"/>
                    <w:bottom w:val="none" w:sz="0" w:space="0" w:color="auto"/>
                    <w:right w:val="none" w:sz="0" w:space="0" w:color="auto"/>
                  </w:divBdr>
                  <w:divsChild>
                    <w:div w:id="1630623985">
                      <w:marLeft w:val="0"/>
                      <w:marRight w:val="0"/>
                      <w:marTop w:val="0"/>
                      <w:marBottom w:val="0"/>
                      <w:divBdr>
                        <w:top w:val="none" w:sz="0" w:space="0" w:color="auto"/>
                        <w:left w:val="none" w:sz="0" w:space="0" w:color="auto"/>
                        <w:bottom w:val="none" w:sz="0" w:space="0" w:color="auto"/>
                        <w:right w:val="none" w:sz="0" w:space="0" w:color="auto"/>
                      </w:divBdr>
                    </w:div>
                  </w:divsChild>
                </w:div>
                <w:div w:id="750469314">
                  <w:marLeft w:val="0"/>
                  <w:marRight w:val="0"/>
                  <w:marTop w:val="0"/>
                  <w:marBottom w:val="0"/>
                  <w:divBdr>
                    <w:top w:val="none" w:sz="0" w:space="0" w:color="auto"/>
                    <w:left w:val="none" w:sz="0" w:space="0" w:color="auto"/>
                    <w:bottom w:val="none" w:sz="0" w:space="0" w:color="auto"/>
                    <w:right w:val="none" w:sz="0" w:space="0" w:color="auto"/>
                  </w:divBdr>
                  <w:divsChild>
                    <w:div w:id="1112632869">
                      <w:marLeft w:val="0"/>
                      <w:marRight w:val="0"/>
                      <w:marTop w:val="0"/>
                      <w:marBottom w:val="0"/>
                      <w:divBdr>
                        <w:top w:val="none" w:sz="0" w:space="0" w:color="auto"/>
                        <w:left w:val="none" w:sz="0" w:space="0" w:color="auto"/>
                        <w:bottom w:val="none" w:sz="0" w:space="0" w:color="auto"/>
                        <w:right w:val="none" w:sz="0" w:space="0" w:color="auto"/>
                      </w:divBdr>
                    </w:div>
                  </w:divsChild>
                </w:div>
                <w:div w:id="840463495">
                  <w:marLeft w:val="0"/>
                  <w:marRight w:val="0"/>
                  <w:marTop w:val="0"/>
                  <w:marBottom w:val="0"/>
                  <w:divBdr>
                    <w:top w:val="none" w:sz="0" w:space="0" w:color="auto"/>
                    <w:left w:val="none" w:sz="0" w:space="0" w:color="auto"/>
                    <w:bottom w:val="none" w:sz="0" w:space="0" w:color="auto"/>
                    <w:right w:val="none" w:sz="0" w:space="0" w:color="auto"/>
                  </w:divBdr>
                  <w:divsChild>
                    <w:div w:id="1736318979">
                      <w:marLeft w:val="0"/>
                      <w:marRight w:val="0"/>
                      <w:marTop w:val="0"/>
                      <w:marBottom w:val="0"/>
                      <w:divBdr>
                        <w:top w:val="none" w:sz="0" w:space="0" w:color="auto"/>
                        <w:left w:val="none" w:sz="0" w:space="0" w:color="auto"/>
                        <w:bottom w:val="none" w:sz="0" w:space="0" w:color="auto"/>
                        <w:right w:val="none" w:sz="0" w:space="0" w:color="auto"/>
                      </w:divBdr>
                    </w:div>
                  </w:divsChild>
                </w:div>
                <w:div w:id="890462694">
                  <w:marLeft w:val="0"/>
                  <w:marRight w:val="0"/>
                  <w:marTop w:val="0"/>
                  <w:marBottom w:val="0"/>
                  <w:divBdr>
                    <w:top w:val="none" w:sz="0" w:space="0" w:color="auto"/>
                    <w:left w:val="none" w:sz="0" w:space="0" w:color="auto"/>
                    <w:bottom w:val="none" w:sz="0" w:space="0" w:color="auto"/>
                    <w:right w:val="none" w:sz="0" w:space="0" w:color="auto"/>
                  </w:divBdr>
                  <w:divsChild>
                    <w:div w:id="1286421379">
                      <w:marLeft w:val="0"/>
                      <w:marRight w:val="0"/>
                      <w:marTop w:val="0"/>
                      <w:marBottom w:val="0"/>
                      <w:divBdr>
                        <w:top w:val="none" w:sz="0" w:space="0" w:color="auto"/>
                        <w:left w:val="none" w:sz="0" w:space="0" w:color="auto"/>
                        <w:bottom w:val="none" w:sz="0" w:space="0" w:color="auto"/>
                        <w:right w:val="none" w:sz="0" w:space="0" w:color="auto"/>
                      </w:divBdr>
                    </w:div>
                  </w:divsChild>
                </w:div>
                <w:div w:id="918321668">
                  <w:marLeft w:val="0"/>
                  <w:marRight w:val="0"/>
                  <w:marTop w:val="0"/>
                  <w:marBottom w:val="0"/>
                  <w:divBdr>
                    <w:top w:val="none" w:sz="0" w:space="0" w:color="auto"/>
                    <w:left w:val="none" w:sz="0" w:space="0" w:color="auto"/>
                    <w:bottom w:val="none" w:sz="0" w:space="0" w:color="auto"/>
                    <w:right w:val="none" w:sz="0" w:space="0" w:color="auto"/>
                  </w:divBdr>
                  <w:divsChild>
                    <w:div w:id="1334839358">
                      <w:marLeft w:val="0"/>
                      <w:marRight w:val="0"/>
                      <w:marTop w:val="0"/>
                      <w:marBottom w:val="0"/>
                      <w:divBdr>
                        <w:top w:val="none" w:sz="0" w:space="0" w:color="auto"/>
                        <w:left w:val="none" w:sz="0" w:space="0" w:color="auto"/>
                        <w:bottom w:val="none" w:sz="0" w:space="0" w:color="auto"/>
                        <w:right w:val="none" w:sz="0" w:space="0" w:color="auto"/>
                      </w:divBdr>
                    </w:div>
                  </w:divsChild>
                </w:div>
                <w:div w:id="989595437">
                  <w:marLeft w:val="0"/>
                  <w:marRight w:val="0"/>
                  <w:marTop w:val="0"/>
                  <w:marBottom w:val="0"/>
                  <w:divBdr>
                    <w:top w:val="none" w:sz="0" w:space="0" w:color="auto"/>
                    <w:left w:val="none" w:sz="0" w:space="0" w:color="auto"/>
                    <w:bottom w:val="none" w:sz="0" w:space="0" w:color="auto"/>
                    <w:right w:val="none" w:sz="0" w:space="0" w:color="auto"/>
                  </w:divBdr>
                  <w:divsChild>
                    <w:div w:id="122357405">
                      <w:marLeft w:val="0"/>
                      <w:marRight w:val="0"/>
                      <w:marTop w:val="0"/>
                      <w:marBottom w:val="0"/>
                      <w:divBdr>
                        <w:top w:val="none" w:sz="0" w:space="0" w:color="auto"/>
                        <w:left w:val="none" w:sz="0" w:space="0" w:color="auto"/>
                        <w:bottom w:val="none" w:sz="0" w:space="0" w:color="auto"/>
                        <w:right w:val="none" w:sz="0" w:space="0" w:color="auto"/>
                      </w:divBdr>
                    </w:div>
                  </w:divsChild>
                </w:div>
                <w:div w:id="1030885790">
                  <w:marLeft w:val="0"/>
                  <w:marRight w:val="0"/>
                  <w:marTop w:val="0"/>
                  <w:marBottom w:val="0"/>
                  <w:divBdr>
                    <w:top w:val="none" w:sz="0" w:space="0" w:color="auto"/>
                    <w:left w:val="none" w:sz="0" w:space="0" w:color="auto"/>
                    <w:bottom w:val="none" w:sz="0" w:space="0" w:color="auto"/>
                    <w:right w:val="none" w:sz="0" w:space="0" w:color="auto"/>
                  </w:divBdr>
                  <w:divsChild>
                    <w:div w:id="54397397">
                      <w:marLeft w:val="0"/>
                      <w:marRight w:val="0"/>
                      <w:marTop w:val="0"/>
                      <w:marBottom w:val="0"/>
                      <w:divBdr>
                        <w:top w:val="none" w:sz="0" w:space="0" w:color="auto"/>
                        <w:left w:val="none" w:sz="0" w:space="0" w:color="auto"/>
                        <w:bottom w:val="none" w:sz="0" w:space="0" w:color="auto"/>
                        <w:right w:val="none" w:sz="0" w:space="0" w:color="auto"/>
                      </w:divBdr>
                    </w:div>
                  </w:divsChild>
                </w:div>
                <w:div w:id="1036390371">
                  <w:marLeft w:val="0"/>
                  <w:marRight w:val="0"/>
                  <w:marTop w:val="0"/>
                  <w:marBottom w:val="0"/>
                  <w:divBdr>
                    <w:top w:val="none" w:sz="0" w:space="0" w:color="auto"/>
                    <w:left w:val="none" w:sz="0" w:space="0" w:color="auto"/>
                    <w:bottom w:val="none" w:sz="0" w:space="0" w:color="auto"/>
                    <w:right w:val="none" w:sz="0" w:space="0" w:color="auto"/>
                  </w:divBdr>
                  <w:divsChild>
                    <w:div w:id="1601136435">
                      <w:marLeft w:val="0"/>
                      <w:marRight w:val="0"/>
                      <w:marTop w:val="0"/>
                      <w:marBottom w:val="0"/>
                      <w:divBdr>
                        <w:top w:val="none" w:sz="0" w:space="0" w:color="auto"/>
                        <w:left w:val="none" w:sz="0" w:space="0" w:color="auto"/>
                        <w:bottom w:val="none" w:sz="0" w:space="0" w:color="auto"/>
                        <w:right w:val="none" w:sz="0" w:space="0" w:color="auto"/>
                      </w:divBdr>
                    </w:div>
                  </w:divsChild>
                </w:div>
                <w:div w:id="1047335310">
                  <w:marLeft w:val="0"/>
                  <w:marRight w:val="0"/>
                  <w:marTop w:val="0"/>
                  <w:marBottom w:val="0"/>
                  <w:divBdr>
                    <w:top w:val="none" w:sz="0" w:space="0" w:color="auto"/>
                    <w:left w:val="none" w:sz="0" w:space="0" w:color="auto"/>
                    <w:bottom w:val="none" w:sz="0" w:space="0" w:color="auto"/>
                    <w:right w:val="none" w:sz="0" w:space="0" w:color="auto"/>
                  </w:divBdr>
                  <w:divsChild>
                    <w:div w:id="495418926">
                      <w:marLeft w:val="0"/>
                      <w:marRight w:val="0"/>
                      <w:marTop w:val="0"/>
                      <w:marBottom w:val="0"/>
                      <w:divBdr>
                        <w:top w:val="none" w:sz="0" w:space="0" w:color="auto"/>
                        <w:left w:val="none" w:sz="0" w:space="0" w:color="auto"/>
                        <w:bottom w:val="none" w:sz="0" w:space="0" w:color="auto"/>
                        <w:right w:val="none" w:sz="0" w:space="0" w:color="auto"/>
                      </w:divBdr>
                    </w:div>
                    <w:div w:id="1295410429">
                      <w:marLeft w:val="0"/>
                      <w:marRight w:val="0"/>
                      <w:marTop w:val="0"/>
                      <w:marBottom w:val="0"/>
                      <w:divBdr>
                        <w:top w:val="none" w:sz="0" w:space="0" w:color="auto"/>
                        <w:left w:val="none" w:sz="0" w:space="0" w:color="auto"/>
                        <w:bottom w:val="none" w:sz="0" w:space="0" w:color="auto"/>
                        <w:right w:val="none" w:sz="0" w:space="0" w:color="auto"/>
                      </w:divBdr>
                    </w:div>
                    <w:div w:id="1543395262">
                      <w:marLeft w:val="0"/>
                      <w:marRight w:val="0"/>
                      <w:marTop w:val="0"/>
                      <w:marBottom w:val="0"/>
                      <w:divBdr>
                        <w:top w:val="none" w:sz="0" w:space="0" w:color="auto"/>
                        <w:left w:val="none" w:sz="0" w:space="0" w:color="auto"/>
                        <w:bottom w:val="none" w:sz="0" w:space="0" w:color="auto"/>
                        <w:right w:val="none" w:sz="0" w:space="0" w:color="auto"/>
                      </w:divBdr>
                    </w:div>
                    <w:div w:id="1901600857">
                      <w:marLeft w:val="0"/>
                      <w:marRight w:val="0"/>
                      <w:marTop w:val="0"/>
                      <w:marBottom w:val="0"/>
                      <w:divBdr>
                        <w:top w:val="none" w:sz="0" w:space="0" w:color="auto"/>
                        <w:left w:val="none" w:sz="0" w:space="0" w:color="auto"/>
                        <w:bottom w:val="none" w:sz="0" w:space="0" w:color="auto"/>
                        <w:right w:val="none" w:sz="0" w:space="0" w:color="auto"/>
                      </w:divBdr>
                    </w:div>
                    <w:div w:id="2082557775">
                      <w:marLeft w:val="0"/>
                      <w:marRight w:val="0"/>
                      <w:marTop w:val="0"/>
                      <w:marBottom w:val="0"/>
                      <w:divBdr>
                        <w:top w:val="none" w:sz="0" w:space="0" w:color="auto"/>
                        <w:left w:val="none" w:sz="0" w:space="0" w:color="auto"/>
                        <w:bottom w:val="none" w:sz="0" w:space="0" w:color="auto"/>
                        <w:right w:val="none" w:sz="0" w:space="0" w:color="auto"/>
                      </w:divBdr>
                    </w:div>
                  </w:divsChild>
                </w:div>
                <w:div w:id="1050305139">
                  <w:marLeft w:val="0"/>
                  <w:marRight w:val="0"/>
                  <w:marTop w:val="0"/>
                  <w:marBottom w:val="0"/>
                  <w:divBdr>
                    <w:top w:val="none" w:sz="0" w:space="0" w:color="auto"/>
                    <w:left w:val="none" w:sz="0" w:space="0" w:color="auto"/>
                    <w:bottom w:val="none" w:sz="0" w:space="0" w:color="auto"/>
                    <w:right w:val="none" w:sz="0" w:space="0" w:color="auto"/>
                  </w:divBdr>
                  <w:divsChild>
                    <w:div w:id="465663796">
                      <w:marLeft w:val="0"/>
                      <w:marRight w:val="0"/>
                      <w:marTop w:val="0"/>
                      <w:marBottom w:val="0"/>
                      <w:divBdr>
                        <w:top w:val="none" w:sz="0" w:space="0" w:color="auto"/>
                        <w:left w:val="none" w:sz="0" w:space="0" w:color="auto"/>
                        <w:bottom w:val="none" w:sz="0" w:space="0" w:color="auto"/>
                        <w:right w:val="none" w:sz="0" w:space="0" w:color="auto"/>
                      </w:divBdr>
                    </w:div>
                  </w:divsChild>
                </w:div>
                <w:div w:id="1090009417">
                  <w:marLeft w:val="0"/>
                  <w:marRight w:val="0"/>
                  <w:marTop w:val="0"/>
                  <w:marBottom w:val="0"/>
                  <w:divBdr>
                    <w:top w:val="none" w:sz="0" w:space="0" w:color="auto"/>
                    <w:left w:val="none" w:sz="0" w:space="0" w:color="auto"/>
                    <w:bottom w:val="none" w:sz="0" w:space="0" w:color="auto"/>
                    <w:right w:val="none" w:sz="0" w:space="0" w:color="auto"/>
                  </w:divBdr>
                  <w:divsChild>
                    <w:div w:id="182982936">
                      <w:marLeft w:val="0"/>
                      <w:marRight w:val="0"/>
                      <w:marTop w:val="0"/>
                      <w:marBottom w:val="0"/>
                      <w:divBdr>
                        <w:top w:val="none" w:sz="0" w:space="0" w:color="auto"/>
                        <w:left w:val="none" w:sz="0" w:space="0" w:color="auto"/>
                        <w:bottom w:val="none" w:sz="0" w:space="0" w:color="auto"/>
                        <w:right w:val="none" w:sz="0" w:space="0" w:color="auto"/>
                      </w:divBdr>
                    </w:div>
                  </w:divsChild>
                </w:div>
                <w:div w:id="1266646987">
                  <w:marLeft w:val="0"/>
                  <w:marRight w:val="0"/>
                  <w:marTop w:val="0"/>
                  <w:marBottom w:val="0"/>
                  <w:divBdr>
                    <w:top w:val="none" w:sz="0" w:space="0" w:color="auto"/>
                    <w:left w:val="none" w:sz="0" w:space="0" w:color="auto"/>
                    <w:bottom w:val="none" w:sz="0" w:space="0" w:color="auto"/>
                    <w:right w:val="none" w:sz="0" w:space="0" w:color="auto"/>
                  </w:divBdr>
                  <w:divsChild>
                    <w:div w:id="1770420311">
                      <w:marLeft w:val="0"/>
                      <w:marRight w:val="0"/>
                      <w:marTop w:val="0"/>
                      <w:marBottom w:val="0"/>
                      <w:divBdr>
                        <w:top w:val="none" w:sz="0" w:space="0" w:color="auto"/>
                        <w:left w:val="none" w:sz="0" w:space="0" w:color="auto"/>
                        <w:bottom w:val="none" w:sz="0" w:space="0" w:color="auto"/>
                        <w:right w:val="none" w:sz="0" w:space="0" w:color="auto"/>
                      </w:divBdr>
                    </w:div>
                  </w:divsChild>
                </w:div>
                <w:div w:id="1370951032">
                  <w:marLeft w:val="0"/>
                  <w:marRight w:val="0"/>
                  <w:marTop w:val="0"/>
                  <w:marBottom w:val="0"/>
                  <w:divBdr>
                    <w:top w:val="none" w:sz="0" w:space="0" w:color="auto"/>
                    <w:left w:val="none" w:sz="0" w:space="0" w:color="auto"/>
                    <w:bottom w:val="none" w:sz="0" w:space="0" w:color="auto"/>
                    <w:right w:val="none" w:sz="0" w:space="0" w:color="auto"/>
                  </w:divBdr>
                  <w:divsChild>
                    <w:div w:id="1003047006">
                      <w:marLeft w:val="0"/>
                      <w:marRight w:val="0"/>
                      <w:marTop w:val="0"/>
                      <w:marBottom w:val="0"/>
                      <w:divBdr>
                        <w:top w:val="none" w:sz="0" w:space="0" w:color="auto"/>
                        <w:left w:val="none" w:sz="0" w:space="0" w:color="auto"/>
                        <w:bottom w:val="none" w:sz="0" w:space="0" w:color="auto"/>
                        <w:right w:val="none" w:sz="0" w:space="0" w:color="auto"/>
                      </w:divBdr>
                    </w:div>
                  </w:divsChild>
                </w:div>
                <w:div w:id="1438403534">
                  <w:marLeft w:val="0"/>
                  <w:marRight w:val="0"/>
                  <w:marTop w:val="0"/>
                  <w:marBottom w:val="0"/>
                  <w:divBdr>
                    <w:top w:val="none" w:sz="0" w:space="0" w:color="auto"/>
                    <w:left w:val="none" w:sz="0" w:space="0" w:color="auto"/>
                    <w:bottom w:val="none" w:sz="0" w:space="0" w:color="auto"/>
                    <w:right w:val="none" w:sz="0" w:space="0" w:color="auto"/>
                  </w:divBdr>
                  <w:divsChild>
                    <w:div w:id="2044133792">
                      <w:marLeft w:val="0"/>
                      <w:marRight w:val="0"/>
                      <w:marTop w:val="0"/>
                      <w:marBottom w:val="0"/>
                      <w:divBdr>
                        <w:top w:val="none" w:sz="0" w:space="0" w:color="auto"/>
                        <w:left w:val="none" w:sz="0" w:space="0" w:color="auto"/>
                        <w:bottom w:val="none" w:sz="0" w:space="0" w:color="auto"/>
                        <w:right w:val="none" w:sz="0" w:space="0" w:color="auto"/>
                      </w:divBdr>
                    </w:div>
                  </w:divsChild>
                </w:div>
                <w:div w:id="1467550086">
                  <w:marLeft w:val="0"/>
                  <w:marRight w:val="0"/>
                  <w:marTop w:val="0"/>
                  <w:marBottom w:val="0"/>
                  <w:divBdr>
                    <w:top w:val="none" w:sz="0" w:space="0" w:color="auto"/>
                    <w:left w:val="none" w:sz="0" w:space="0" w:color="auto"/>
                    <w:bottom w:val="none" w:sz="0" w:space="0" w:color="auto"/>
                    <w:right w:val="none" w:sz="0" w:space="0" w:color="auto"/>
                  </w:divBdr>
                  <w:divsChild>
                    <w:div w:id="835538501">
                      <w:marLeft w:val="0"/>
                      <w:marRight w:val="0"/>
                      <w:marTop w:val="0"/>
                      <w:marBottom w:val="0"/>
                      <w:divBdr>
                        <w:top w:val="none" w:sz="0" w:space="0" w:color="auto"/>
                        <w:left w:val="none" w:sz="0" w:space="0" w:color="auto"/>
                        <w:bottom w:val="none" w:sz="0" w:space="0" w:color="auto"/>
                        <w:right w:val="none" w:sz="0" w:space="0" w:color="auto"/>
                      </w:divBdr>
                    </w:div>
                  </w:divsChild>
                </w:div>
                <w:div w:id="1589072415">
                  <w:marLeft w:val="0"/>
                  <w:marRight w:val="0"/>
                  <w:marTop w:val="0"/>
                  <w:marBottom w:val="0"/>
                  <w:divBdr>
                    <w:top w:val="none" w:sz="0" w:space="0" w:color="auto"/>
                    <w:left w:val="none" w:sz="0" w:space="0" w:color="auto"/>
                    <w:bottom w:val="none" w:sz="0" w:space="0" w:color="auto"/>
                    <w:right w:val="none" w:sz="0" w:space="0" w:color="auto"/>
                  </w:divBdr>
                  <w:divsChild>
                    <w:div w:id="587616504">
                      <w:marLeft w:val="0"/>
                      <w:marRight w:val="0"/>
                      <w:marTop w:val="0"/>
                      <w:marBottom w:val="0"/>
                      <w:divBdr>
                        <w:top w:val="none" w:sz="0" w:space="0" w:color="auto"/>
                        <w:left w:val="none" w:sz="0" w:space="0" w:color="auto"/>
                        <w:bottom w:val="none" w:sz="0" w:space="0" w:color="auto"/>
                        <w:right w:val="none" w:sz="0" w:space="0" w:color="auto"/>
                      </w:divBdr>
                    </w:div>
                  </w:divsChild>
                </w:div>
                <w:div w:id="1756895209">
                  <w:marLeft w:val="0"/>
                  <w:marRight w:val="0"/>
                  <w:marTop w:val="0"/>
                  <w:marBottom w:val="0"/>
                  <w:divBdr>
                    <w:top w:val="none" w:sz="0" w:space="0" w:color="auto"/>
                    <w:left w:val="none" w:sz="0" w:space="0" w:color="auto"/>
                    <w:bottom w:val="none" w:sz="0" w:space="0" w:color="auto"/>
                    <w:right w:val="none" w:sz="0" w:space="0" w:color="auto"/>
                  </w:divBdr>
                  <w:divsChild>
                    <w:div w:id="2056466932">
                      <w:marLeft w:val="0"/>
                      <w:marRight w:val="0"/>
                      <w:marTop w:val="0"/>
                      <w:marBottom w:val="0"/>
                      <w:divBdr>
                        <w:top w:val="none" w:sz="0" w:space="0" w:color="auto"/>
                        <w:left w:val="none" w:sz="0" w:space="0" w:color="auto"/>
                        <w:bottom w:val="none" w:sz="0" w:space="0" w:color="auto"/>
                        <w:right w:val="none" w:sz="0" w:space="0" w:color="auto"/>
                      </w:divBdr>
                    </w:div>
                  </w:divsChild>
                </w:div>
                <w:div w:id="1770076369">
                  <w:marLeft w:val="0"/>
                  <w:marRight w:val="0"/>
                  <w:marTop w:val="0"/>
                  <w:marBottom w:val="0"/>
                  <w:divBdr>
                    <w:top w:val="none" w:sz="0" w:space="0" w:color="auto"/>
                    <w:left w:val="none" w:sz="0" w:space="0" w:color="auto"/>
                    <w:bottom w:val="none" w:sz="0" w:space="0" w:color="auto"/>
                    <w:right w:val="none" w:sz="0" w:space="0" w:color="auto"/>
                  </w:divBdr>
                  <w:divsChild>
                    <w:div w:id="1375429068">
                      <w:marLeft w:val="0"/>
                      <w:marRight w:val="0"/>
                      <w:marTop w:val="0"/>
                      <w:marBottom w:val="0"/>
                      <w:divBdr>
                        <w:top w:val="none" w:sz="0" w:space="0" w:color="auto"/>
                        <w:left w:val="none" w:sz="0" w:space="0" w:color="auto"/>
                        <w:bottom w:val="none" w:sz="0" w:space="0" w:color="auto"/>
                        <w:right w:val="none" w:sz="0" w:space="0" w:color="auto"/>
                      </w:divBdr>
                    </w:div>
                  </w:divsChild>
                </w:div>
                <w:div w:id="1771778270">
                  <w:marLeft w:val="0"/>
                  <w:marRight w:val="0"/>
                  <w:marTop w:val="0"/>
                  <w:marBottom w:val="0"/>
                  <w:divBdr>
                    <w:top w:val="none" w:sz="0" w:space="0" w:color="auto"/>
                    <w:left w:val="none" w:sz="0" w:space="0" w:color="auto"/>
                    <w:bottom w:val="none" w:sz="0" w:space="0" w:color="auto"/>
                    <w:right w:val="none" w:sz="0" w:space="0" w:color="auto"/>
                  </w:divBdr>
                  <w:divsChild>
                    <w:div w:id="480778865">
                      <w:marLeft w:val="0"/>
                      <w:marRight w:val="0"/>
                      <w:marTop w:val="0"/>
                      <w:marBottom w:val="0"/>
                      <w:divBdr>
                        <w:top w:val="none" w:sz="0" w:space="0" w:color="auto"/>
                        <w:left w:val="none" w:sz="0" w:space="0" w:color="auto"/>
                        <w:bottom w:val="none" w:sz="0" w:space="0" w:color="auto"/>
                        <w:right w:val="none" w:sz="0" w:space="0" w:color="auto"/>
                      </w:divBdr>
                    </w:div>
                  </w:divsChild>
                </w:div>
                <w:div w:id="1827894964">
                  <w:marLeft w:val="0"/>
                  <w:marRight w:val="0"/>
                  <w:marTop w:val="0"/>
                  <w:marBottom w:val="0"/>
                  <w:divBdr>
                    <w:top w:val="none" w:sz="0" w:space="0" w:color="auto"/>
                    <w:left w:val="none" w:sz="0" w:space="0" w:color="auto"/>
                    <w:bottom w:val="none" w:sz="0" w:space="0" w:color="auto"/>
                    <w:right w:val="none" w:sz="0" w:space="0" w:color="auto"/>
                  </w:divBdr>
                  <w:divsChild>
                    <w:div w:id="317996022">
                      <w:marLeft w:val="0"/>
                      <w:marRight w:val="0"/>
                      <w:marTop w:val="0"/>
                      <w:marBottom w:val="0"/>
                      <w:divBdr>
                        <w:top w:val="none" w:sz="0" w:space="0" w:color="auto"/>
                        <w:left w:val="none" w:sz="0" w:space="0" w:color="auto"/>
                        <w:bottom w:val="none" w:sz="0" w:space="0" w:color="auto"/>
                        <w:right w:val="none" w:sz="0" w:space="0" w:color="auto"/>
                      </w:divBdr>
                    </w:div>
                  </w:divsChild>
                </w:div>
                <w:div w:id="2021276550">
                  <w:marLeft w:val="0"/>
                  <w:marRight w:val="0"/>
                  <w:marTop w:val="0"/>
                  <w:marBottom w:val="0"/>
                  <w:divBdr>
                    <w:top w:val="none" w:sz="0" w:space="0" w:color="auto"/>
                    <w:left w:val="none" w:sz="0" w:space="0" w:color="auto"/>
                    <w:bottom w:val="none" w:sz="0" w:space="0" w:color="auto"/>
                    <w:right w:val="none" w:sz="0" w:space="0" w:color="auto"/>
                  </w:divBdr>
                  <w:divsChild>
                    <w:div w:id="38938096">
                      <w:marLeft w:val="0"/>
                      <w:marRight w:val="0"/>
                      <w:marTop w:val="0"/>
                      <w:marBottom w:val="0"/>
                      <w:divBdr>
                        <w:top w:val="none" w:sz="0" w:space="0" w:color="auto"/>
                        <w:left w:val="none" w:sz="0" w:space="0" w:color="auto"/>
                        <w:bottom w:val="none" w:sz="0" w:space="0" w:color="auto"/>
                        <w:right w:val="none" w:sz="0" w:space="0" w:color="auto"/>
                      </w:divBdr>
                    </w:div>
                    <w:div w:id="79183729">
                      <w:marLeft w:val="0"/>
                      <w:marRight w:val="0"/>
                      <w:marTop w:val="0"/>
                      <w:marBottom w:val="0"/>
                      <w:divBdr>
                        <w:top w:val="none" w:sz="0" w:space="0" w:color="auto"/>
                        <w:left w:val="none" w:sz="0" w:space="0" w:color="auto"/>
                        <w:bottom w:val="none" w:sz="0" w:space="0" w:color="auto"/>
                        <w:right w:val="none" w:sz="0" w:space="0" w:color="auto"/>
                      </w:divBdr>
                    </w:div>
                    <w:div w:id="1601448081">
                      <w:marLeft w:val="0"/>
                      <w:marRight w:val="0"/>
                      <w:marTop w:val="0"/>
                      <w:marBottom w:val="0"/>
                      <w:divBdr>
                        <w:top w:val="none" w:sz="0" w:space="0" w:color="auto"/>
                        <w:left w:val="none" w:sz="0" w:space="0" w:color="auto"/>
                        <w:bottom w:val="none" w:sz="0" w:space="0" w:color="auto"/>
                        <w:right w:val="none" w:sz="0" w:space="0" w:color="auto"/>
                      </w:divBdr>
                    </w:div>
                    <w:div w:id="1730151331">
                      <w:marLeft w:val="0"/>
                      <w:marRight w:val="0"/>
                      <w:marTop w:val="0"/>
                      <w:marBottom w:val="0"/>
                      <w:divBdr>
                        <w:top w:val="none" w:sz="0" w:space="0" w:color="auto"/>
                        <w:left w:val="none" w:sz="0" w:space="0" w:color="auto"/>
                        <w:bottom w:val="none" w:sz="0" w:space="0" w:color="auto"/>
                        <w:right w:val="none" w:sz="0" w:space="0" w:color="auto"/>
                      </w:divBdr>
                    </w:div>
                    <w:div w:id="1969584005">
                      <w:marLeft w:val="0"/>
                      <w:marRight w:val="0"/>
                      <w:marTop w:val="0"/>
                      <w:marBottom w:val="0"/>
                      <w:divBdr>
                        <w:top w:val="none" w:sz="0" w:space="0" w:color="auto"/>
                        <w:left w:val="none" w:sz="0" w:space="0" w:color="auto"/>
                        <w:bottom w:val="none" w:sz="0" w:space="0" w:color="auto"/>
                        <w:right w:val="none" w:sz="0" w:space="0" w:color="auto"/>
                      </w:divBdr>
                    </w:div>
                  </w:divsChild>
                </w:div>
                <w:div w:id="2056348253">
                  <w:marLeft w:val="0"/>
                  <w:marRight w:val="0"/>
                  <w:marTop w:val="0"/>
                  <w:marBottom w:val="0"/>
                  <w:divBdr>
                    <w:top w:val="none" w:sz="0" w:space="0" w:color="auto"/>
                    <w:left w:val="none" w:sz="0" w:space="0" w:color="auto"/>
                    <w:bottom w:val="none" w:sz="0" w:space="0" w:color="auto"/>
                    <w:right w:val="none" w:sz="0" w:space="0" w:color="auto"/>
                  </w:divBdr>
                  <w:divsChild>
                    <w:div w:id="468286886">
                      <w:marLeft w:val="0"/>
                      <w:marRight w:val="0"/>
                      <w:marTop w:val="0"/>
                      <w:marBottom w:val="0"/>
                      <w:divBdr>
                        <w:top w:val="none" w:sz="0" w:space="0" w:color="auto"/>
                        <w:left w:val="none" w:sz="0" w:space="0" w:color="auto"/>
                        <w:bottom w:val="none" w:sz="0" w:space="0" w:color="auto"/>
                        <w:right w:val="none" w:sz="0" w:space="0" w:color="auto"/>
                      </w:divBdr>
                    </w:div>
                  </w:divsChild>
                </w:div>
                <w:div w:id="2071490909">
                  <w:marLeft w:val="0"/>
                  <w:marRight w:val="0"/>
                  <w:marTop w:val="0"/>
                  <w:marBottom w:val="0"/>
                  <w:divBdr>
                    <w:top w:val="none" w:sz="0" w:space="0" w:color="auto"/>
                    <w:left w:val="none" w:sz="0" w:space="0" w:color="auto"/>
                    <w:bottom w:val="none" w:sz="0" w:space="0" w:color="auto"/>
                    <w:right w:val="none" w:sz="0" w:space="0" w:color="auto"/>
                  </w:divBdr>
                  <w:divsChild>
                    <w:div w:id="19446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776883">
          <w:marLeft w:val="0"/>
          <w:marRight w:val="0"/>
          <w:marTop w:val="0"/>
          <w:marBottom w:val="0"/>
          <w:divBdr>
            <w:top w:val="none" w:sz="0" w:space="0" w:color="auto"/>
            <w:left w:val="none" w:sz="0" w:space="0" w:color="auto"/>
            <w:bottom w:val="none" w:sz="0" w:space="0" w:color="auto"/>
            <w:right w:val="none" w:sz="0" w:space="0" w:color="auto"/>
          </w:divBdr>
        </w:div>
        <w:div w:id="1222837126">
          <w:marLeft w:val="0"/>
          <w:marRight w:val="0"/>
          <w:marTop w:val="0"/>
          <w:marBottom w:val="0"/>
          <w:divBdr>
            <w:top w:val="none" w:sz="0" w:space="0" w:color="auto"/>
            <w:left w:val="none" w:sz="0" w:space="0" w:color="auto"/>
            <w:bottom w:val="none" w:sz="0" w:space="0" w:color="auto"/>
            <w:right w:val="none" w:sz="0" w:space="0" w:color="auto"/>
          </w:divBdr>
        </w:div>
        <w:div w:id="1785533213">
          <w:marLeft w:val="0"/>
          <w:marRight w:val="0"/>
          <w:marTop w:val="0"/>
          <w:marBottom w:val="0"/>
          <w:divBdr>
            <w:top w:val="none" w:sz="0" w:space="0" w:color="auto"/>
            <w:left w:val="none" w:sz="0" w:space="0" w:color="auto"/>
            <w:bottom w:val="none" w:sz="0" w:space="0" w:color="auto"/>
            <w:right w:val="none" w:sz="0" w:space="0" w:color="auto"/>
          </w:divBdr>
        </w:div>
        <w:div w:id="1847012391">
          <w:marLeft w:val="0"/>
          <w:marRight w:val="0"/>
          <w:marTop w:val="0"/>
          <w:marBottom w:val="0"/>
          <w:divBdr>
            <w:top w:val="none" w:sz="0" w:space="0" w:color="auto"/>
            <w:left w:val="none" w:sz="0" w:space="0" w:color="auto"/>
            <w:bottom w:val="none" w:sz="0" w:space="0" w:color="auto"/>
            <w:right w:val="none" w:sz="0" w:space="0" w:color="auto"/>
          </w:divBdr>
          <w:divsChild>
            <w:div w:id="420687845">
              <w:marLeft w:val="0"/>
              <w:marRight w:val="0"/>
              <w:marTop w:val="30"/>
              <w:marBottom w:val="30"/>
              <w:divBdr>
                <w:top w:val="none" w:sz="0" w:space="0" w:color="auto"/>
                <w:left w:val="none" w:sz="0" w:space="0" w:color="auto"/>
                <w:bottom w:val="none" w:sz="0" w:space="0" w:color="auto"/>
                <w:right w:val="none" w:sz="0" w:space="0" w:color="auto"/>
              </w:divBdr>
              <w:divsChild>
                <w:div w:id="77137891">
                  <w:marLeft w:val="0"/>
                  <w:marRight w:val="0"/>
                  <w:marTop w:val="0"/>
                  <w:marBottom w:val="0"/>
                  <w:divBdr>
                    <w:top w:val="none" w:sz="0" w:space="0" w:color="auto"/>
                    <w:left w:val="none" w:sz="0" w:space="0" w:color="auto"/>
                    <w:bottom w:val="none" w:sz="0" w:space="0" w:color="auto"/>
                    <w:right w:val="none" w:sz="0" w:space="0" w:color="auto"/>
                  </w:divBdr>
                  <w:divsChild>
                    <w:div w:id="350374961">
                      <w:marLeft w:val="0"/>
                      <w:marRight w:val="0"/>
                      <w:marTop w:val="0"/>
                      <w:marBottom w:val="0"/>
                      <w:divBdr>
                        <w:top w:val="none" w:sz="0" w:space="0" w:color="auto"/>
                        <w:left w:val="none" w:sz="0" w:space="0" w:color="auto"/>
                        <w:bottom w:val="none" w:sz="0" w:space="0" w:color="auto"/>
                        <w:right w:val="none" w:sz="0" w:space="0" w:color="auto"/>
                      </w:divBdr>
                    </w:div>
                    <w:div w:id="497691594">
                      <w:marLeft w:val="0"/>
                      <w:marRight w:val="0"/>
                      <w:marTop w:val="0"/>
                      <w:marBottom w:val="0"/>
                      <w:divBdr>
                        <w:top w:val="none" w:sz="0" w:space="0" w:color="auto"/>
                        <w:left w:val="none" w:sz="0" w:space="0" w:color="auto"/>
                        <w:bottom w:val="none" w:sz="0" w:space="0" w:color="auto"/>
                        <w:right w:val="none" w:sz="0" w:space="0" w:color="auto"/>
                      </w:divBdr>
                    </w:div>
                  </w:divsChild>
                </w:div>
                <w:div w:id="128402248">
                  <w:marLeft w:val="0"/>
                  <w:marRight w:val="0"/>
                  <w:marTop w:val="0"/>
                  <w:marBottom w:val="0"/>
                  <w:divBdr>
                    <w:top w:val="none" w:sz="0" w:space="0" w:color="auto"/>
                    <w:left w:val="none" w:sz="0" w:space="0" w:color="auto"/>
                    <w:bottom w:val="none" w:sz="0" w:space="0" w:color="auto"/>
                    <w:right w:val="none" w:sz="0" w:space="0" w:color="auto"/>
                  </w:divBdr>
                  <w:divsChild>
                    <w:div w:id="1793817846">
                      <w:marLeft w:val="0"/>
                      <w:marRight w:val="0"/>
                      <w:marTop w:val="0"/>
                      <w:marBottom w:val="0"/>
                      <w:divBdr>
                        <w:top w:val="none" w:sz="0" w:space="0" w:color="auto"/>
                        <w:left w:val="none" w:sz="0" w:space="0" w:color="auto"/>
                        <w:bottom w:val="none" w:sz="0" w:space="0" w:color="auto"/>
                        <w:right w:val="none" w:sz="0" w:space="0" w:color="auto"/>
                      </w:divBdr>
                    </w:div>
                  </w:divsChild>
                </w:div>
                <w:div w:id="131753600">
                  <w:marLeft w:val="0"/>
                  <w:marRight w:val="0"/>
                  <w:marTop w:val="0"/>
                  <w:marBottom w:val="0"/>
                  <w:divBdr>
                    <w:top w:val="none" w:sz="0" w:space="0" w:color="auto"/>
                    <w:left w:val="none" w:sz="0" w:space="0" w:color="auto"/>
                    <w:bottom w:val="none" w:sz="0" w:space="0" w:color="auto"/>
                    <w:right w:val="none" w:sz="0" w:space="0" w:color="auto"/>
                  </w:divBdr>
                  <w:divsChild>
                    <w:div w:id="1341615949">
                      <w:marLeft w:val="0"/>
                      <w:marRight w:val="0"/>
                      <w:marTop w:val="0"/>
                      <w:marBottom w:val="0"/>
                      <w:divBdr>
                        <w:top w:val="none" w:sz="0" w:space="0" w:color="auto"/>
                        <w:left w:val="none" w:sz="0" w:space="0" w:color="auto"/>
                        <w:bottom w:val="none" w:sz="0" w:space="0" w:color="auto"/>
                        <w:right w:val="none" w:sz="0" w:space="0" w:color="auto"/>
                      </w:divBdr>
                    </w:div>
                  </w:divsChild>
                </w:div>
                <w:div w:id="155075983">
                  <w:marLeft w:val="0"/>
                  <w:marRight w:val="0"/>
                  <w:marTop w:val="0"/>
                  <w:marBottom w:val="0"/>
                  <w:divBdr>
                    <w:top w:val="none" w:sz="0" w:space="0" w:color="auto"/>
                    <w:left w:val="none" w:sz="0" w:space="0" w:color="auto"/>
                    <w:bottom w:val="none" w:sz="0" w:space="0" w:color="auto"/>
                    <w:right w:val="none" w:sz="0" w:space="0" w:color="auto"/>
                  </w:divBdr>
                  <w:divsChild>
                    <w:div w:id="271714044">
                      <w:marLeft w:val="0"/>
                      <w:marRight w:val="0"/>
                      <w:marTop w:val="0"/>
                      <w:marBottom w:val="0"/>
                      <w:divBdr>
                        <w:top w:val="none" w:sz="0" w:space="0" w:color="auto"/>
                        <w:left w:val="none" w:sz="0" w:space="0" w:color="auto"/>
                        <w:bottom w:val="none" w:sz="0" w:space="0" w:color="auto"/>
                        <w:right w:val="none" w:sz="0" w:space="0" w:color="auto"/>
                      </w:divBdr>
                    </w:div>
                  </w:divsChild>
                </w:div>
                <w:div w:id="169957218">
                  <w:marLeft w:val="0"/>
                  <w:marRight w:val="0"/>
                  <w:marTop w:val="0"/>
                  <w:marBottom w:val="0"/>
                  <w:divBdr>
                    <w:top w:val="none" w:sz="0" w:space="0" w:color="auto"/>
                    <w:left w:val="none" w:sz="0" w:space="0" w:color="auto"/>
                    <w:bottom w:val="none" w:sz="0" w:space="0" w:color="auto"/>
                    <w:right w:val="none" w:sz="0" w:space="0" w:color="auto"/>
                  </w:divBdr>
                  <w:divsChild>
                    <w:div w:id="1765108957">
                      <w:marLeft w:val="0"/>
                      <w:marRight w:val="0"/>
                      <w:marTop w:val="0"/>
                      <w:marBottom w:val="0"/>
                      <w:divBdr>
                        <w:top w:val="none" w:sz="0" w:space="0" w:color="auto"/>
                        <w:left w:val="none" w:sz="0" w:space="0" w:color="auto"/>
                        <w:bottom w:val="none" w:sz="0" w:space="0" w:color="auto"/>
                        <w:right w:val="none" w:sz="0" w:space="0" w:color="auto"/>
                      </w:divBdr>
                    </w:div>
                  </w:divsChild>
                </w:div>
                <w:div w:id="176582510">
                  <w:marLeft w:val="0"/>
                  <w:marRight w:val="0"/>
                  <w:marTop w:val="0"/>
                  <w:marBottom w:val="0"/>
                  <w:divBdr>
                    <w:top w:val="none" w:sz="0" w:space="0" w:color="auto"/>
                    <w:left w:val="none" w:sz="0" w:space="0" w:color="auto"/>
                    <w:bottom w:val="none" w:sz="0" w:space="0" w:color="auto"/>
                    <w:right w:val="none" w:sz="0" w:space="0" w:color="auto"/>
                  </w:divBdr>
                  <w:divsChild>
                    <w:div w:id="2054840360">
                      <w:marLeft w:val="0"/>
                      <w:marRight w:val="0"/>
                      <w:marTop w:val="0"/>
                      <w:marBottom w:val="0"/>
                      <w:divBdr>
                        <w:top w:val="none" w:sz="0" w:space="0" w:color="auto"/>
                        <w:left w:val="none" w:sz="0" w:space="0" w:color="auto"/>
                        <w:bottom w:val="none" w:sz="0" w:space="0" w:color="auto"/>
                        <w:right w:val="none" w:sz="0" w:space="0" w:color="auto"/>
                      </w:divBdr>
                    </w:div>
                  </w:divsChild>
                </w:div>
                <w:div w:id="179391784">
                  <w:marLeft w:val="0"/>
                  <w:marRight w:val="0"/>
                  <w:marTop w:val="0"/>
                  <w:marBottom w:val="0"/>
                  <w:divBdr>
                    <w:top w:val="none" w:sz="0" w:space="0" w:color="auto"/>
                    <w:left w:val="none" w:sz="0" w:space="0" w:color="auto"/>
                    <w:bottom w:val="none" w:sz="0" w:space="0" w:color="auto"/>
                    <w:right w:val="none" w:sz="0" w:space="0" w:color="auto"/>
                  </w:divBdr>
                  <w:divsChild>
                    <w:div w:id="1894846152">
                      <w:marLeft w:val="0"/>
                      <w:marRight w:val="0"/>
                      <w:marTop w:val="0"/>
                      <w:marBottom w:val="0"/>
                      <w:divBdr>
                        <w:top w:val="none" w:sz="0" w:space="0" w:color="auto"/>
                        <w:left w:val="none" w:sz="0" w:space="0" w:color="auto"/>
                        <w:bottom w:val="none" w:sz="0" w:space="0" w:color="auto"/>
                        <w:right w:val="none" w:sz="0" w:space="0" w:color="auto"/>
                      </w:divBdr>
                    </w:div>
                  </w:divsChild>
                </w:div>
                <w:div w:id="197162279">
                  <w:marLeft w:val="0"/>
                  <w:marRight w:val="0"/>
                  <w:marTop w:val="0"/>
                  <w:marBottom w:val="0"/>
                  <w:divBdr>
                    <w:top w:val="none" w:sz="0" w:space="0" w:color="auto"/>
                    <w:left w:val="none" w:sz="0" w:space="0" w:color="auto"/>
                    <w:bottom w:val="none" w:sz="0" w:space="0" w:color="auto"/>
                    <w:right w:val="none" w:sz="0" w:space="0" w:color="auto"/>
                  </w:divBdr>
                  <w:divsChild>
                    <w:div w:id="1282227868">
                      <w:marLeft w:val="0"/>
                      <w:marRight w:val="0"/>
                      <w:marTop w:val="0"/>
                      <w:marBottom w:val="0"/>
                      <w:divBdr>
                        <w:top w:val="none" w:sz="0" w:space="0" w:color="auto"/>
                        <w:left w:val="none" w:sz="0" w:space="0" w:color="auto"/>
                        <w:bottom w:val="none" w:sz="0" w:space="0" w:color="auto"/>
                        <w:right w:val="none" w:sz="0" w:space="0" w:color="auto"/>
                      </w:divBdr>
                    </w:div>
                  </w:divsChild>
                </w:div>
                <w:div w:id="214123705">
                  <w:marLeft w:val="0"/>
                  <w:marRight w:val="0"/>
                  <w:marTop w:val="0"/>
                  <w:marBottom w:val="0"/>
                  <w:divBdr>
                    <w:top w:val="none" w:sz="0" w:space="0" w:color="auto"/>
                    <w:left w:val="none" w:sz="0" w:space="0" w:color="auto"/>
                    <w:bottom w:val="none" w:sz="0" w:space="0" w:color="auto"/>
                    <w:right w:val="none" w:sz="0" w:space="0" w:color="auto"/>
                  </w:divBdr>
                  <w:divsChild>
                    <w:div w:id="1361663880">
                      <w:marLeft w:val="0"/>
                      <w:marRight w:val="0"/>
                      <w:marTop w:val="0"/>
                      <w:marBottom w:val="0"/>
                      <w:divBdr>
                        <w:top w:val="none" w:sz="0" w:space="0" w:color="auto"/>
                        <w:left w:val="none" w:sz="0" w:space="0" w:color="auto"/>
                        <w:bottom w:val="none" w:sz="0" w:space="0" w:color="auto"/>
                        <w:right w:val="none" w:sz="0" w:space="0" w:color="auto"/>
                      </w:divBdr>
                    </w:div>
                  </w:divsChild>
                </w:div>
                <w:div w:id="228006969">
                  <w:marLeft w:val="0"/>
                  <w:marRight w:val="0"/>
                  <w:marTop w:val="0"/>
                  <w:marBottom w:val="0"/>
                  <w:divBdr>
                    <w:top w:val="none" w:sz="0" w:space="0" w:color="auto"/>
                    <w:left w:val="none" w:sz="0" w:space="0" w:color="auto"/>
                    <w:bottom w:val="none" w:sz="0" w:space="0" w:color="auto"/>
                    <w:right w:val="none" w:sz="0" w:space="0" w:color="auto"/>
                  </w:divBdr>
                  <w:divsChild>
                    <w:div w:id="916135825">
                      <w:marLeft w:val="0"/>
                      <w:marRight w:val="0"/>
                      <w:marTop w:val="0"/>
                      <w:marBottom w:val="0"/>
                      <w:divBdr>
                        <w:top w:val="none" w:sz="0" w:space="0" w:color="auto"/>
                        <w:left w:val="none" w:sz="0" w:space="0" w:color="auto"/>
                        <w:bottom w:val="none" w:sz="0" w:space="0" w:color="auto"/>
                        <w:right w:val="none" w:sz="0" w:space="0" w:color="auto"/>
                      </w:divBdr>
                    </w:div>
                  </w:divsChild>
                </w:div>
                <w:div w:id="257098731">
                  <w:marLeft w:val="0"/>
                  <w:marRight w:val="0"/>
                  <w:marTop w:val="0"/>
                  <w:marBottom w:val="0"/>
                  <w:divBdr>
                    <w:top w:val="none" w:sz="0" w:space="0" w:color="auto"/>
                    <w:left w:val="none" w:sz="0" w:space="0" w:color="auto"/>
                    <w:bottom w:val="none" w:sz="0" w:space="0" w:color="auto"/>
                    <w:right w:val="none" w:sz="0" w:space="0" w:color="auto"/>
                  </w:divBdr>
                  <w:divsChild>
                    <w:div w:id="377441172">
                      <w:marLeft w:val="0"/>
                      <w:marRight w:val="0"/>
                      <w:marTop w:val="0"/>
                      <w:marBottom w:val="0"/>
                      <w:divBdr>
                        <w:top w:val="none" w:sz="0" w:space="0" w:color="auto"/>
                        <w:left w:val="none" w:sz="0" w:space="0" w:color="auto"/>
                        <w:bottom w:val="none" w:sz="0" w:space="0" w:color="auto"/>
                        <w:right w:val="none" w:sz="0" w:space="0" w:color="auto"/>
                      </w:divBdr>
                    </w:div>
                  </w:divsChild>
                </w:div>
                <w:div w:id="296768210">
                  <w:marLeft w:val="0"/>
                  <w:marRight w:val="0"/>
                  <w:marTop w:val="0"/>
                  <w:marBottom w:val="0"/>
                  <w:divBdr>
                    <w:top w:val="none" w:sz="0" w:space="0" w:color="auto"/>
                    <w:left w:val="none" w:sz="0" w:space="0" w:color="auto"/>
                    <w:bottom w:val="none" w:sz="0" w:space="0" w:color="auto"/>
                    <w:right w:val="none" w:sz="0" w:space="0" w:color="auto"/>
                  </w:divBdr>
                  <w:divsChild>
                    <w:div w:id="575634181">
                      <w:marLeft w:val="0"/>
                      <w:marRight w:val="0"/>
                      <w:marTop w:val="0"/>
                      <w:marBottom w:val="0"/>
                      <w:divBdr>
                        <w:top w:val="none" w:sz="0" w:space="0" w:color="auto"/>
                        <w:left w:val="none" w:sz="0" w:space="0" w:color="auto"/>
                        <w:bottom w:val="none" w:sz="0" w:space="0" w:color="auto"/>
                        <w:right w:val="none" w:sz="0" w:space="0" w:color="auto"/>
                      </w:divBdr>
                    </w:div>
                  </w:divsChild>
                </w:div>
                <w:div w:id="340857740">
                  <w:marLeft w:val="0"/>
                  <w:marRight w:val="0"/>
                  <w:marTop w:val="0"/>
                  <w:marBottom w:val="0"/>
                  <w:divBdr>
                    <w:top w:val="none" w:sz="0" w:space="0" w:color="auto"/>
                    <w:left w:val="none" w:sz="0" w:space="0" w:color="auto"/>
                    <w:bottom w:val="none" w:sz="0" w:space="0" w:color="auto"/>
                    <w:right w:val="none" w:sz="0" w:space="0" w:color="auto"/>
                  </w:divBdr>
                  <w:divsChild>
                    <w:div w:id="305166472">
                      <w:marLeft w:val="0"/>
                      <w:marRight w:val="0"/>
                      <w:marTop w:val="0"/>
                      <w:marBottom w:val="0"/>
                      <w:divBdr>
                        <w:top w:val="none" w:sz="0" w:space="0" w:color="auto"/>
                        <w:left w:val="none" w:sz="0" w:space="0" w:color="auto"/>
                        <w:bottom w:val="none" w:sz="0" w:space="0" w:color="auto"/>
                        <w:right w:val="none" w:sz="0" w:space="0" w:color="auto"/>
                      </w:divBdr>
                    </w:div>
                  </w:divsChild>
                </w:div>
                <w:div w:id="356198897">
                  <w:marLeft w:val="0"/>
                  <w:marRight w:val="0"/>
                  <w:marTop w:val="0"/>
                  <w:marBottom w:val="0"/>
                  <w:divBdr>
                    <w:top w:val="none" w:sz="0" w:space="0" w:color="auto"/>
                    <w:left w:val="none" w:sz="0" w:space="0" w:color="auto"/>
                    <w:bottom w:val="none" w:sz="0" w:space="0" w:color="auto"/>
                    <w:right w:val="none" w:sz="0" w:space="0" w:color="auto"/>
                  </w:divBdr>
                  <w:divsChild>
                    <w:div w:id="348215129">
                      <w:marLeft w:val="0"/>
                      <w:marRight w:val="0"/>
                      <w:marTop w:val="0"/>
                      <w:marBottom w:val="0"/>
                      <w:divBdr>
                        <w:top w:val="none" w:sz="0" w:space="0" w:color="auto"/>
                        <w:left w:val="none" w:sz="0" w:space="0" w:color="auto"/>
                        <w:bottom w:val="none" w:sz="0" w:space="0" w:color="auto"/>
                        <w:right w:val="none" w:sz="0" w:space="0" w:color="auto"/>
                      </w:divBdr>
                    </w:div>
                  </w:divsChild>
                </w:div>
                <w:div w:id="397440740">
                  <w:marLeft w:val="0"/>
                  <w:marRight w:val="0"/>
                  <w:marTop w:val="0"/>
                  <w:marBottom w:val="0"/>
                  <w:divBdr>
                    <w:top w:val="none" w:sz="0" w:space="0" w:color="auto"/>
                    <w:left w:val="none" w:sz="0" w:space="0" w:color="auto"/>
                    <w:bottom w:val="none" w:sz="0" w:space="0" w:color="auto"/>
                    <w:right w:val="none" w:sz="0" w:space="0" w:color="auto"/>
                  </w:divBdr>
                  <w:divsChild>
                    <w:div w:id="1198199046">
                      <w:marLeft w:val="0"/>
                      <w:marRight w:val="0"/>
                      <w:marTop w:val="0"/>
                      <w:marBottom w:val="0"/>
                      <w:divBdr>
                        <w:top w:val="none" w:sz="0" w:space="0" w:color="auto"/>
                        <w:left w:val="none" w:sz="0" w:space="0" w:color="auto"/>
                        <w:bottom w:val="none" w:sz="0" w:space="0" w:color="auto"/>
                        <w:right w:val="none" w:sz="0" w:space="0" w:color="auto"/>
                      </w:divBdr>
                    </w:div>
                  </w:divsChild>
                </w:div>
                <w:div w:id="423036775">
                  <w:marLeft w:val="0"/>
                  <w:marRight w:val="0"/>
                  <w:marTop w:val="0"/>
                  <w:marBottom w:val="0"/>
                  <w:divBdr>
                    <w:top w:val="none" w:sz="0" w:space="0" w:color="auto"/>
                    <w:left w:val="none" w:sz="0" w:space="0" w:color="auto"/>
                    <w:bottom w:val="none" w:sz="0" w:space="0" w:color="auto"/>
                    <w:right w:val="none" w:sz="0" w:space="0" w:color="auto"/>
                  </w:divBdr>
                  <w:divsChild>
                    <w:div w:id="1342124733">
                      <w:marLeft w:val="0"/>
                      <w:marRight w:val="0"/>
                      <w:marTop w:val="0"/>
                      <w:marBottom w:val="0"/>
                      <w:divBdr>
                        <w:top w:val="none" w:sz="0" w:space="0" w:color="auto"/>
                        <w:left w:val="none" w:sz="0" w:space="0" w:color="auto"/>
                        <w:bottom w:val="none" w:sz="0" w:space="0" w:color="auto"/>
                        <w:right w:val="none" w:sz="0" w:space="0" w:color="auto"/>
                      </w:divBdr>
                    </w:div>
                  </w:divsChild>
                </w:div>
                <w:div w:id="470559576">
                  <w:marLeft w:val="0"/>
                  <w:marRight w:val="0"/>
                  <w:marTop w:val="0"/>
                  <w:marBottom w:val="0"/>
                  <w:divBdr>
                    <w:top w:val="none" w:sz="0" w:space="0" w:color="auto"/>
                    <w:left w:val="none" w:sz="0" w:space="0" w:color="auto"/>
                    <w:bottom w:val="none" w:sz="0" w:space="0" w:color="auto"/>
                    <w:right w:val="none" w:sz="0" w:space="0" w:color="auto"/>
                  </w:divBdr>
                  <w:divsChild>
                    <w:div w:id="2102866875">
                      <w:marLeft w:val="0"/>
                      <w:marRight w:val="0"/>
                      <w:marTop w:val="0"/>
                      <w:marBottom w:val="0"/>
                      <w:divBdr>
                        <w:top w:val="none" w:sz="0" w:space="0" w:color="auto"/>
                        <w:left w:val="none" w:sz="0" w:space="0" w:color="auto"/>
                        <w:bottom w:val="none" w:sz="0" w:space="0" w:color="auto"/>
                        <w:right w:val="none" w:sz="0" w:space="0" w:color="auto"/>
                      </w:divBdr>
                    </w:div>
                  </w:divsChild>
                </w:div>
                <w:div w:id="479224834">
                  <w:marLeft w:val="0"/>
                  <w:marRight w:val="0"/>
                  <w:marTop w:val="0"/>
                  <w:marBottom w:val="0"/>
                  <w:divBdr>
                    <w:top w:val="none" w:sz="0" w:space="0" w:color="auto"/>
                    <w:left w:val="none" w:sz="0" w:space="0" w:color="auto"/>
                    <w:bottom w:val="none" w:sz="0" w:space="0" w:color="auto"/>
                    <w:right w:val="none" w:sz="0" w:space="0" w:color="auto"/>
                  </w:divBdr>
                  <w:divsChild>
                    <w:div w:id="1899587532">
                      <w:marLeft w:val="0"/>
                      <w:marRight w:val="0"/>
                      <w:marTop w:val="0"/>
                      <w:marBottom w:val="0"/>
                      <w:divBdr>
                        <w:top w:val="none" w:sz="0" w:space="0" w:color="auto"/>
                        <w:left w:val="none" w:sz="0" w:space="0" w:color="auto"/>
                        <w:bottom w:val="none" w:sz="0" w:space="0" w:color="auto"/>
                        <w:right w:val="none" w:sz="0" w:space="0" w:color="auto"/>
                      </w:divBdr>
                    </w:div>
                  </w:divsChild>
                </w:div>
                <w:div w:id="481965750">
                  <w:marLeft w:val="0"/>
                  <w:marRight w:val="0"/>
                  <w:marTop w:val="0"/>
                  <w:marBottom w:val="0"/>
                  <w:divBdr>
                    <w:top w:val="none" w:sz="0" w:space="0" w:color="auto"/>
                    <w:left w:val="none" w:sz="0" w:space="0" w:color="auto"/>
                    <w:bottom w:val="none" w:sz="0" w:space="0" w:color="auto"/>
                    <w:right w:val="none" w:sz="0" w:space="0" w:color="auto"/>
                  </w:divBdr>
                  <w:divsChild>
                    <w:div w:id="798381283">
                      <w:marLeft w:val="0"/>
                      <w:marRight w:val="0"/>
                      <w:marTop w:val="0"/>
                      <w:marBottom w:val="0"/>
                      <w:divBdr>
                        <w:top w:val="none" w:sz="0" w:space="0" w:color="auto"/>
                        <w:left w:val="none" w:sz="0" w:space="0" w:color="auto"/>
                        <w:bottom w:val="none" w:sz="0" w:space="0" w:color="auto"/>
                        <w:right w:val="none" w:sz="0" w:space="0" w:color="auto"/>
                      </w:divBdr>
                    </w:div>
                  </w:divsChild>
                </w:div>
                <w:div w:id="516771911">
                  <w:marLeft w:val="0"/>
                  <w:marRight w:val="0"/>
                  <w:marTop w:val="0"/>
                  <w:marBottom w:val="0"/>
                  <w:divBdr>
                    <w:top w:val="none" w:sz="0" w:space="0" w:color="auto"/>
                    <w:left w:val="none" w:sz="0" w:space="0" w:color="auto"/>
                    <w:bottom w:val="none" w:sz="0" w:space="0" w:color="auto"/>
                    <w:right w:val="none" w:sz="0" w:space="0" w:color="auto"/>
                  </w:divBdr>
                  <w:divsChild>
                    <w:div w:id="1469779546">
                      <w:marLeft w:val="0"/>
                      <w:marRight w:val="0"/>
                      <w:marTop w:val="0"/>
                      <w:marBottom w:val="0"/>
                      <w:divBdr>
                        <w:top w:val="none" w:sz="0" w:space="0" w:color="auto"/>
                        <w:left w:val="none" w:sz="0" w:space="0" w:color="auto"/>
                        <w:bottom w:val="none" w:sz="0" w:space="0" w:color="auto"/>
                        <w:right w:val="none" w:sz="0" w:space="0" w:color="auto"/>
                      </w:divBdr>
                    </w:div>
                  </w:divsChild>
                </w:div>
                <w:div w:id="518856158">
                  <w:marLeft w:val="0"/>
                  <w:marRight w:val="0"/>
                  <w:marTop w:val="0"/>
                  <w:marBottom w:val="0"/>
                  <w:divBdr>
                    <w:top w:val="none" w:sz="0" w:space="0" w:color="auto"/>
                    <w:left w:val="none" w:sz="0" w:space="0" w:color="auto"/>
                    <w:bottom w:val="none" w:sz="0" w:space="0" w:color="auto"/>
                    <w:right w:val="none" w:sz="0" w:space="0" w:color="auto"/>
                  </w:divBdr>
                  <w:divsChild>
                    <w:div w:id="1883513105">
                      <w:marLeft w:val="0"/>
                      <w:marRight w:val="0"/>
                      <w:marTop w:val="0"/>
                      <w:marBottom w:val="0"/>
                      <w:divBdr>
                        <w:top w:val="none" w:sz="0" w:space="0" w:color="auto"/>
                        <w:left w:val="none" w:sz="0" w:space="0" w:color="auto"/>
                        <w:bottom w:val="none" w:sz="0" w:space="0" w:color="auto"/>
                        <w:right w:val="none" w:sz="0" w:space="0" w:color="auto"/>
                      </w:divBdr>
                    </w:div>
                  </w:divsChild>
                </w:div>
                <w:div w:id="524909107">
                  <w:marLeft w:val="0"/>
                  <w:marRight w:val="0"/>
                  <w:marTop w:val="0"/>
                  <w:marBottom w:val="0"/>
                  <w:divBdr>
                    <w:top w:val="none" w:sz="0" w:space="0" w:color="auto"/>
                    <w:left w:val="none" w:sz="0" w:space="0" w:color="auto"/>
                    <w:bottom w:val="none" w:sz="0" w:space="0" w:color="auto"/>
                    <w:right w:val="none" w:sz="0" w:space="0" w:color="auto"/>
                  </w:divBdr>
                  <w:divsChild>
                    <w:div w:id="565382893">
                      <w:marLeft w:val="0"/>
                      <w:marRight w:val="0"/>
                      <w:marTop w:val="0"/>
                      <w:marBottom w:val="0"/>
                      <w:divBdr>
                        <w:top w:val="none" w:sz="0" w:space="0" w:color="auto"/>
                        <w:left w:val="none" w:sz="0" w:space="0" w:color="auto"/>
                        <w:bottom w:val="none" w:sz="0" w:space="0" w:color="auto"/>
                        <w:right w:val="none" w:sz="0" w:space="0" w:color="auto"/>
                      </w:divBdr>
                    </w:div>
                  </w:divsChild>
                </w:div>
                <w:div w:id="527182837">
                  <w:marLeft w:val="0"/>
                  <w:marRight w:val="0"/>
                  <w:marTop w:val="0"/>
                  <w:marBottom w:val="0"/>
                  <w:divBdr>
                    <w:top w:val="none" w:sz="0" w:space="0" w:color="auto"/>
                    <w:left w:val="none" w:sz="0" w:space="0" w:color="auto"/>
                    <w:bottom w:val="none" w:sz="0" w:space="0" w:color="auto"/>
                    <w:right w:val="none" w:sz="0" w:space="0" w:color="auto"/>
                  </w:divBdr>
                  <w:divsChild>
                    <w:div w:id="578633296">
                      <w:marLeft w:val="0"/>
                      <w:marRight w:val="0"/>
                      <w:marTop w:val="0"/>
                      <w:marBottom w:val="0"/>
                      <w:divBdr>
                        <w:top w:val="none" w:sz="0" w:space="0" w:color="auto"/>
                        <w:left w:val="none" w:sz="0" w:space="0" w:color="auto"/>
                        <w:bottom w:val="none" w:sz="0" w:space="0" w:color="auto"/>
                        <w:right w:val="none" w:sz="0" w:space="0" w:color="auto"/>
                      </w:divBdr>
                    </w:div>
                  </w:divsChild>
                </w:div>
                <w:div w:id="539782765">
                  <w:marLeft w:val="0"/>
                  <w:marRight w:val="0"/>
                  <w:marTop w:val="0"/>
                  <w:marBottom w:val="0"/>
                  <w:divBdr>
                    <w:top w:val="none" w:sz="0" w:space="0" w:color="auto"/>
                    <w:left w:val="none" w:sz="0" w:space="0" w:color="auto"/>
                    <w:bottom w:val="none" w:sz="0" w:space="0" w:color="auto"/>
                    <w:right w:val="none" w:sz="0" w:space="0" w:color="auto"/>
                  </w:divBdr>
                  <w:divsChild>
                    <w:div w:id="1616672160">
                      <w:marLeft w:val="0"/>
                      <w:marRight w:val="0"/>
                      <w:marTop w:val="0"/>
                      <w:marBottom w:val="0"/>
                      <w:divBdr>
                        <w:top w:val="none" w:sz="0" w:space="0" w:color="auto"/>
                        <w:left w:val="none" w:sz="0" w:space="0" w:color="auto"/>
                        <w:bottom w:val="none" w:sz="0" w:space="0" w:color="auto"/>
                        <w:right w:val="none" w:sz="0" w:space="0" w:color="auto"/>
                      </w:divBdr>
                    </w:div>
                  </w:divsChild>
                </w:div>
                <w:div w:id="540291453">
                  <w:marLeft w:val="0"/>
                  <w:marRight w:val="0"/>
                  <w:marTop w:val="0"/>
                  <w:marBottom w:val="0"/>
                  <w:divBdr>
                    <w:top w:val="none" w:sz="0" w:space="0" w:color="auto"/>
                    <w:left w:val="none" w:sz="0" w:space="0" w:color="auto"/>
                    <w:bottom w:val="none" w:sz="0" w:space="0" w:color="auto"/>
                    <w:right w:val="none" w:sz="0" w:space="0" w:color="auto"/>
                  </w:divBdr>
                  <w:divsChild>
                    <w:div w:id="541941981">
                      <w:marLeft w:val="0"/>
                      <w:marRight w:val="0"/>
                      <w:marTop w:val="0"/>
                      <w:marBottom w:val="0"/>
                      <w:divBdr>
                        <w:top w:val="none" w:sz="0" w:space="0" w:color="auto"/>
                        <w:left w:val="none" w:sz="0" w:space="0" w:color="auto"/>
                        <w:bottom w:val="none" w:sz="0" w:space="0" w:color="auto"/>
                        <w:right w:val="none" w:sz="0" w:space="0" w:color="auto"/>
                      </w:divBdr>
                    </w:div>
                  </w:divsChild>
                </w:div>
                <w:div w:id="626856649">
                  <w:marLeft w:val="0"/>
                  <w:marRight w:val="0"/>
                  <w:marTop w:val="0"/>
                  <w:marBottom w:val="0"/>
                  <w:divBdr>
                    <w:top w:val="none" w:sz="0" w:space="0" w:color="auto"/>
                    <w:left w:val="none" w:sz="0" w:space="0" w:color="auto"/>
                    <w:bottom w:val="none" w:sz="0" w:space="0" w:color="auto"/>
                    <w:right w:val="none" w:sz="0" w:space="0" w:color="auto"/>
                  </w:divBdr>
                  <w:divsChild>
                    <w:div w:id="317078723">
                      <w:marLeft w:val="0"/>
                      <w:marRight w:val="0"/>
                      <w:marTop w:val="0"/>
                      <w:marBottom w:val="0"/>
                      <w:divBdr>
                        <w:top w:val="none" w:sz="0" w:space="0" w:color="auto"/>
                        <w:left w:val="none" w:sz="0" w:space="0" w:color="auto"/>
                        <w:bottom w:val="none" w:sz="0" w:space="0" w:color="auto"/>
                        <w:right w:val="none" w:sz="0" w:space="0" w:color="auto"/>
                      </w:divBdr>
                    </w:div>
                  </w:divsChild>
                </w:div>
                <w:div w:id="643122720">
                  <w:marLeft w:val="0"/>
                  <w:marRight w:val="0"/>
                  <w:marTop w:val="0"/>
                  <w:marBottom w:val="0"/>
                  <w:divBdr>
                    <w:top w:val="none" w:sz="0" w:space="0" w:color="auto"/>
                    <w:left w:val="none" w:sz="0" w:space="0" w:color="auto"/>
                    <w:bottom w:val="none" w:sz="0" w:space="0" w:color="auto"/>
                    <w:right w:val="none" w:sz="0" w:space="0" w:color="auto"/>
                  </w:divBdr>
                  <w:divsChild>
                    <w:div w:id="1412846856">
                      <w:marLeft w:val="0"/>
                      <w:marRight w:val="0"/>
                      <w:marTop w:val="0"/>
                      <w:marBottom w:val="0"/>
                      <w:divBdr>
                        <w:top w:val="none" w:sz="0" w:space="0" w:color="auto"/>
                        <w:left w:val="none" w:sz="0" w:space="0" w:color="auto"/>
                        <w:bottom w:val="none" w:sz="0" w:space="0" w:color="auto"/>
                        <w:right w:val="none" w:sz="0" w:space="0" w:color="auto"/>
                      </w:divBdr>
                    </w:div>
                  </w:divsChild>
                </w:div>
                <w:div w:id="658314369">
                  <w:marLeft w:val="0"/>
                  <w:marRight w:val="0"/>
                  <w:marTop w:val="0"/>
                  <w:marBottom w:val="0"/>
                  <w:divBdr>
                    <w:top w:val="none" w:sz="0" w:space="0" w:color="auto"/>
                    <w:left w:val="none" w:sz="0" w:space="0" w:color="auto"/>
                    <w:bottom w:val="none" w:sz="0" w:space="0" w:color="auto"/>
                    <w:right w:val="none" w:sz="0" w:space="0" w:color="auto"/>
                  </w:divBdr>
                  <w:divsChild>
                    <w:div w:id="232009889">
                      <w:marLeft w:val="0"/>
                      <w:marRight w:val="0"/>
                      <w:marTop w:val="0"/>
                      <w:marBottom w:val="0"/>
                      <w:divBdr>
                        <w:top w:val="none" w:sz="0" w:space="0" w:color="auto"/>
                        <w:left w:val="none" w:sz="0" w:space="0" w:color="auto"/>
                        <w:bottom w:val="none" w:sz="0" w:space="0" w:color="auto"/>
                        <w:right w:val="none" w:sz="0" w:space="0" w:color="auto"/>
                      </w:divBdr>
                    </w:div>
                  </w:divsChild>
                </w:div>
                <w:div w:id="715861354">
                  <w:marLeft w:val="0"/>
                  <w:marRight w:val="0"/>
                  <w:marTop w:val="0"/>
                  <w:marBottom w:val="0"/>
                  <w:divBdr>
                    <w:top w:val="none" w:sz="0" w:space="0" w:color="auto"/>
                    <w:left w:val="none" w:sz="0" w:space="0" w:color="auto"/>
                    <w:bottom w:val="none" w:sz="0" w:space="0" w:color="auto"/>
                    <w:right w:val="none" w:sz="0" w:space="0" w:color="auto"/>
                  </w:divBdr>
                  <w:divsChild>
                    <w:div w:id="1442189895">
                      <w:marLeft w:val="0"/>
                      <w:marRight w:val="0"/>
                      <w:marTop w:val="0"/>
                      <w:marBottom w:val="0"/>
                      <w:divBdr>
                        <w:top w:val="none" w:sz="0" w:space="0" w:color="auto"/>
                        <w:left w:val="none" w:sz="0" w:space="0" w:color="auto"/>
                        <w:bottom w:val="none" w:sz="0" w:space="0" w:color="auto"/>
                        <w:right w:val="none" w:sz="0" w:space="0" w:color="auto"/>
                      </w:divBdr>
                    </w:div>
                  </w:divsChild>
                </w:div>
                <w:div w:id="728303034">
                  <w:marLeft w:val="0"/>
                  <w:marRight w:val="0"/>
                  <w:marTop w:val="0"/>
                  <w:marBottom w:val="0"/>
                  <w:divBdr>
                    <w:top w:val="none" w:sz="0" w:space="0" w:color="auto"/>
                    <w:left w:val="none" w:sz="0" w:space="0" w:color="auto"/>
                    <w:bottom w:val="none" w:sz="0" w:space="0" w:color="auto"/>
                    <w:right w:val="none" w:sz="0" w:space="0" w:color="auto"/>
                  </w:divBdr>
                  <w:divsChild>
                    <w:div w:id="518350059">
                      <w:marLeft w:val="0"/>
                      <w:marRight w:val="0"/>
                      <w:marTop w:val="0"/>
                      <w:marBottom w:val="0"/>
                      <w:divBdr>
                        <w:top w:val="none" w:sz="0" w:space="0" w:color="auto"/>
                        <w:left w:val="none" w:sz="0" w:space="0" w:color="auto"/>
                        <w:bottom w:val="none" w:sz="0" w:space="0" w:color="auto"/>
                        <w:right w:val="none" w:sz="0" w:space="0" w:color="auto"/>
                      </w:divBdr>
                    </w:div>
                  </w:divsChild>
                </w:div>
                <w:div w:id="732658827">
                  <w:marLeft w:val="0"/>
                  <w:marRight w:val="0"/>
                  <w:marTop w:val="0"/>
                  <w:marBottom w:val="0"/>
                  <w:divBdr>
                    <w:top w:val="none" w:sz="0" w:space="0" w:color="auto"/>
                    <w:left w:val="none" w:sz="0" w:space="0" w:color="auto"/>
                    <w:bottom w:val="none" w:sz="0" w:space="0" w:color="auto"/>
                    <w:right w:val="none" w:sz="0" w:space="0" w:color="auto"/>
                  </w:divBdr>
                  <w:divsChild>
                    <w:div w:id="1884176096">
                      <w:marLeft w:val="0"/>
                      <w:marRight w:val="0"/>
                      <w:marTop w:val="0"/>
                      <w:marBottom w:val="0"/>
                      <w:divBdr>
                        <w:top w:val="none" w:sz="0" w:space="0" w:color="auto"/>
                        <w:left w:val="none" w:sz="0" w:space="0" w:color="auto"/>
                        <w:bottom w:val="none" w:sz="0" w:space="0" w:color="auto"/>
                        <w:right w:val="none" w:sz="0" w:space="0" w:color="auto"/>
                      </w:divBdr>
                    </w:div>
                  </w:divsChild>
                </w:div>
                <w:div w:id="762072792">
                  <w:marLeft w:val="0"/>
                  <w:marRight w:val="0"/>
                  <w:marTop w:val="0"/>
                  <w:marBottom w:val="0"/>
                  <w:divBdr>
                    <w:top w:val="none" w:sz="0" w:space="0" w:color="auto"/>
                    <w:left w:val="none" w:sz="0" w:space="0" w:color="auto"/>
                    <w:bottom w:val="none" w:sz="0" w:space="0" w:color="auto"/>
                    <w:right w:val="none" w:sz="0" w:space="0" w:color="auto"/>
                  </w:divBdr>
                  <w:divsChild>
                    <w:div w:id="1158888009">
                      <w:marLeft w:val="0"/>
                      <w:marRight w:val="0"/>
                      <w:marTop w:val="0"/>
                      <w:marBottom w:val="0"/>
                      <w:divBdr>
                        <w:top w:val="none" w:sz="0" w:space="0" w:color="auto"/>
                        <w:left w:val="none" w:sz="0" w:space="0" w:color="auto"/>
                        <w:bottom w:val="none" w:sz="0" w:space="0" w:color="auto"/>
                        <w:right w:val="none" w:sz="0" w:space="0" w:color="auto"/>
                      </w:divBdr>
                    </w:div>
                  </w:divsChild>
                </w:div>
                <w:div w:id="767846280">
                  <w:marLeft w:val="0"/>
                  <w:marRight w:val="0"/>
                  <w:marTop w:val="0"/>
                  <w:marBottom w:val="0"/>
                  <w:divBdr>
                    <w:top w:val="none" w:sz="0" w:space="0" w:color="auto"/>
                    <w:left w:val="none" w:sz="0" w:space="0" w:color="auto"/>
                    <w:bottom w:val="none" w:sz="0" w:space="0" w:color="auto"/>
                    <w:right w:val="none" w:sz="0" w:space="0" w:color="auto"/>
                  </w:divBdr>
                  <w:divsChild>
                    <w:div w:id="1040780580">
                      <w:marLeft w:val="0"/>
                      <w:marRight w:val="0"/>
                      <w:marTop w:val="0"/>
                      <w:marBottom w:val="0"/>
                      <w:divBdr>
                        <w:top w:val="none" w:sz="0" w:space="0" w:color="auto"/>
                        <w:left w:val="none" w:sz="0" w:space="0" w:color="auto"/>
                        <w:bottom w:val="none" w:sz="0" w:space="0" w:color="auto"/>
                        <w:right w:val="none" w:sz="0" w:space="0" w:color="auto"/>
                      </w:divBdr>
                    </w:div>
                  </w:divsChild>
                </w:div>
                <w:div w:id="768162816">
                  <w:marLeft w:val="0"/>
                  <w:marRight w:val="0"/>
                  <w:marTop w:val="0"/>
                  <w:marBottom w:val="0"/>
                  <w:divBdr>
                    <w:top w:val="none" w:sz="0" w:space="0" w:color="auto"/>
                    <w:left w:val="none" w:sz="0" w:space="0" w:color="auto"/>
                    <w:bottom w:val="none" w:sz="0" w:space="0" w:color="auto"/>
                    <w:right w:val="none" w:sz="0" w:space="0" w:color="auto"/>
                  </w:divBdr>
                  <w:divsChild>
                    <w:div w:id="447891120">
                      <w:marLeft w:val="0"/>
                      <w:marRight w:val="0"/>
                      <w:marTop w:val="0"/>
                      <w:marBottom w:val="0"/>
                      <w:divBdr>
                        <w:top w:val="none" w:sz="0" w:space="0" w:color="auto"/>
                        <w:left w:val="none" w:sz="0" w:space="0" w:color="auto"/>
                        <w:bottom w:val="none" w:sz="0" w:space="0" w:color="auto"/>
                        <w:right w:val="none" w:sz="0" w:space="0" w:color="auto"/>
                      </w:divBdr>
                    </w:div>
                    <w:div w:id="764155460">
                      <w:marLeft w:val="0"/>
                      <w:marRight w:val="0"/>
                      <w:marTop w:val="0"/>
                      <w:marBottom w:val="0"/>
                      <w:divBdr>
                        <w:top w:val="none" w:sz="0" w:space="0" w:color="auto"/>
                        <w:left w:val="none" w:sz="0" w:space="0" w:color="auto"/>
                        <w:bottom w:val="none" w:sz="0" w:space="0" w:color="auto"/>
                        <w:right w:val="none" w:sz="0" w:space="0" w:color="auto"/>
                      </w:divBdr>
                    </w:div>
                    <w:div w:id="1224369365">
                      <w:marLeft w:val="0"/>
                      <w:marRight w:val="0"/>
                      <w:marTop w:val="0"/>
                      <w:marBottom w:val="0"/>
                      <w:divBdr>
                        <w:top w:val="none" w:sz="0" w:space="0" w:color="auto"/>
                        <w:left w:val="none" w:sz="0" w:space="0" w:color="auto"/>
                        <w:bottom w:val="none" w:sz="0" w:space="0" w:color="auto"/>
                        <w:right w:val="none" w:sz="0" w:space="0" w:color="auto"/>
                      </w:divBdr>
                    </w:div>
                    <w:div w:id="1506631134">
                      <w:marLeft w:val="0"/>
                      <w:marRight w:val="0"/>
                      <w:marTop w:val="0"/>
                      <w:marBottom w:val="0"/>
                      <w:divBdr>
                        <w:top w:val="none" w:sz="0" w:space="0" w:color="auto"/>
                        <w:left w:val="none" w:sz="0" w:space="0" w:color="auto"/>
                        <w:bottom w:val="none" w:sz="0" w:space="0" w:color="auto"/>
                        <w:right w:val="none" w:sz="0" w:space="0" w:color="auto"/>
                      </w:divBdr>
                    </w:div>
                    <w:div w:id="1615599445">
                      <w:marLeft w:val="0"/>
                      <w:marRight w:val="0"/>
                      <w:marTop w:val="0"/>
                      <w:marBottom w:val="0"/>
                      <w:divBdr>
                        <w:top w:val="none" w:sz="0" w:space="0" w:color="auto"/>
                        <w:left w:val="none" w:sz="0" w:space="0" w:color="auto"/>
                        <w:bottom w:val="none" w:sz="0" w:space="0" w:color="auto"/>
                        <w:right w:val="none" w:sz="0" w:space="0" w:color="auto"/>
                      </w:divBdr>
                    </w:div>
                  </w:divsChild>
                </w:div>
                <w:div w:id="782503423">
                  <w:marLeft w:val="0"/>
                  <w:marRight w:val="0"/>
                  <w:marTop w:val="0"/>
                  <w:marBottom w:val="0"/>
                  <w:divBdr>
                    <w:top w:val="none" w:sz="0" w:space="0" w:color="auto"/>
                    <w:left w:val="none" w:sz="0" w:space="0" w:color="auto"/>
                    <w:bottom w:val="none" w:sz="0" w:space="0" w:color="auto"/>
                    <w:right w:val="none" w:sz="0" w:space="0" w:color="auto"/>
                  </w:divBdr>
                  <w:divsChild>
                    <w:div w:id="30768575">
                      <w:marLeft w:val="0"/>
                      <w:marRight w:val="0"/>
                      <w:marTop w:val="0"/>
                      <w:marBottom w:val="0"/>
                      <w:divBdr>
                        <w:top w:val="none" w:sz="0" w:space="0" w:color="auto"/>
                        <w:left w:val="none" w:sz="0" w:space="0" w:color="auto"/>
                        <w:bottom w:val="none" w:sz="0" w:space="0" w:color="auto"/>
                        <w:right w:val="none" w:sz="0" w:space="0" w:color="auto"/>
                      </w:divBdr>
                    </w:div>
                  </w:divsChild>
                </w:div>
                <w:div w:id="806623791">
                  <w:marLeft w:val="0"/>
                  <w:marRight w:val="0"/>
                  <w:marTop w:val="0"/>
                  <w:marBottom w:val="0"/>
                  <w:divBdr>
                    <w:top w:val="none" w:sz="0" w:space="0" w:color="auto"/>
                    <w:left w:val="none" w:sz="0" w:space="0" w:color="auto"/>
                    <w:bottom w:val="none" w:sz="0" w:space="0" w:color="auto"/>
                    <w:right w:val="none" w:sz="0" w:space="0" w:color="auto"/>
                  </w:divBdr>
                  <w:divsChild>
                    <w:div w:id="1283536187">
                      <w:marLeft w:val="0"/>
                      <w:marRight w:val="0"/>
                      <w:marTop w:val="0"/>
                      <w:marBottom w:val="0"/>
                      <w:divBdr>
                        <w:top w:val="none" w:sz="0" w:space="0" w:color="auto"/>
                        <w:left w:val="none" w:sz="0" w:space="0" w:color="auto"/>
                        <w:bottom w:val="none" w:sz="0" w:space="0" w:color="auto"/>
                        <w:right w:val="none" w:sz="0" w:space="0" w:color="auto"/>
                      </w:divBdr>
                    </w:div>
                  </w:divsChild>
                </w:div>
                <w:div w:id="812987111">
                  <w:marLeft w:val="0"/>
                  <w:marRight w:val="0"/>
                  <w:marTop w:val="0"/>
                  <w:marBottom w:val="0"/>
                  <w:divBdr>
                    <w:top w:val="none" w:sz="0" w:space="0" w:color="auto"/>
                    <w:left w:val="none" w:sz="0" w:space="0" w:color="auto"/>
                    <w:bottom w:val="none" w:sz="0" w:space="0" w:color="auto"/>
                    <w:right w:val="none" w:sz="0" w:space="0" w:color="auto"/>
                  </w:divBdr>
                  <w:divsChild>
                    <w:div w:id="413402173">
                      <w:marLeft w:val="0"/>
                      <w:marRight w:val="0"/>
                      <w:marTop w:val="0"/>
                      <w:marBottom w:val="0"/>
                      <w:divBdr>
                        <w:top w:val="none" w:sz="0" w:space="0" w:color="auto"/>
                        <w:left w:val="none" w:sz="0" w:space="0" w:color="auto"/>
                        <w:bottom w:val="none" w:sz="0" w:space="0" w:color="auto"/>
                        <w:right w:val="none" w:sz="0" w:space="0" w:color="auto"/>
                      </w:divBdr>
                    </w:div>
                  </w:divsChild>
                </w:div>
                <w:div w:id="824081150">
                  <w:marLeft w:val="0"/>
                  <w:marRight w:val="0"/>
                  <w:marTop w:val="0"/>
                  <w:marBottom w:val="0"/>
                  <w:divBdr>
                    <w:top w:val="none" w:sz="0" w:space="0" w:color="auto"/>
                    <w:left w:val="none" w:sz="0" w:space="0" w:color="auto"/>
                    <w:bottom w:val="none" w:sz="0" w:space="0" w:color="auto"/>
                    <w:right w:val="none" w:sz="0" w:space="0" w:color="auto"/>
                  </w:divBdr>
                  <w:divsChild>
                    <w:div w:id="1705792209">
                      <w:marLeft w:val="0"/>
                      <w:marRight w:val="0"/>
                      <w:marTop w:val="0"/>
                      <w:marBottom w:val="0"/>
                      <w:divBdr>
                        <w:top w:val="none" w:sz="0" w:space="0" w:color="auto"/>
                        <w:left w:val="none" w:sz="0" w:space="0" w:color="auto"/>
                        <w:bottom w:val="none" w:sz="0" w:space="0" w:color="auto"/>
                        <w:right w:val="none" w:sz="0" w:space="0" w:color="auto"/>
                      </w:divBdr>
                    </w:div>
                  </w:divsChild>
                </w:div>
                <w:div w:id="830485091">
                  <w:marLeft w:val="0"/>
                  <w:marRight w:val="0"/>
                  <w:marTop w:val="0"/>
                  <w:marBottom w:val="0"/>
                  <w:divBdr>
                    <w:top w:val="none" w:sz="0" w:space="0" w:color="auto"/>
                    <w:left w:val="none" w:sz="0" w:space="0" w:color="auto"/>
                    <w:bottom w:val="none" w:sz="0" w:space="0" w:color="auto"/>
                    <w:right w:val="none" w:sz="0" w:space="0" w:color="auto"/>
                  </w:divBdr>
                  <w:divsChild>
                    <w:div w:id="1145119954">
                      <w:marLeft w:val="0"/>
                      <w:marRight w:val="0"/>
                      <w:marTop w:val="0"/>
                      <w:marBottom w:val="0"/>
                      <w:divBdr>
                        <w:top w:val="none" w:sz="0" w:space="0" w:color="auto"/>
                        <w:left w:val="none" w:sz="0" w:space="0" w:color="auto"/>
                        <w:bottom w:val="none" w:sz="0" w:space="0" w:color="auto"/>
                        <w:right w:val="none" w:sz="0" w:space="0" w:color="auto"/>
                      </w:divBdr>
                    </w:div>
                  </w:divsChild>
                </w:div>
                <w:div w:id="834153347">
                  <w:marLeft w:val="0"/>
                  <w:marRight w:val="0"/>
                  <w:marTop w:val="0"/>
                  <w:marBottom w:val="0"/>
                  <w:divBdr>
                    <w:top w:val="none" w:sz="0" w:space="0" w:color="auto"/>
                    <w:left w:val="none" w:sz="0" w:space="0" w:color="auto"/>
                    <w:bottom w:val="none" w:sz="0" w:space="0" w:color="auto"/>
                    <w:right w:val="none" w:sz="0" w:space="0" w:color="auto"/>
                  </w:divBdr>
                  <w:divsChild>
                    <w:div w:id="852571391">
                      <w:marLeft w:val="0"/>
                      <w:marRight w:val="0"/>
                      <w:marTop w:val="0"/>
                      <w:marBottom w:val="0"/>
                      <w:divBdr>
                        <w:top w:val="none" w:sz="0" w:space="0" w:color="auto"/>
                        <w:left w:val="none" w:sz="0" w:space="0" w:color="auto"/>
                        <w:bottom w:val="none" w:sz="0" w:space="0" w:color="auto"/>
                        <w:right w:val="none" w:sz="0" w:space="0" w:color="auto"/>
                      </w:divBdr>
                    </w:div>
                  </w:divsChild>
                </w:div>
                <w:div w:id="872619519">
                  <w:marLeft w:val="0"/>
                  <w:marRight w:val="0"/>
                  <w:marTop w:val="0"/>
                  <w:marBottom w:val="0"/>
                  <w:divBdr>
                    <w:top w:val="none" w:sz="0" w:space="0" w:color="auto"/>
                    <w:left w:val="none" w:sz="0" w:space="0" w:color="auto"/>
                    <w:bottom w:val="none" w:sz="0" w:space="0" w:color="auto"/>
                    <w:right w:val="none" w:sz="0" w:space="0" w:color="auto"/>
                  </w:divBdr>
                  <w:divsChild>
                    <w:div w:id="1410424109">
                      <w:marLeft w:val="0"/>
                      <w:marRight w:val="0"/>
                      <w:marTop w:val="0"/>
                      <w:marBottom w:val="0"/>
                      <w:divBdr>
                        <w:top w:val="none" w:sz="0" w:space="0" w:color="auto"/>
                        <w:left w:val="none" w:sz="0" w:space="0" w:color="auto"/>
                        <w:bottom w:val="none" w:sz="0" w:space="0" w:color="auto"/>
                        <w:right w:val="none" w:sz="0" w:space="0" w:color="auto"/>
                      </w:divBdr>
                    </w:div>
                  </w:divsChild>
                </w:div>
                <w:div w:id="905145358">
                  <w:marLeft w:val="0"/>
                  <w:marRight w:val="0"/>
                  <w:marTop w:val="0"/>
                  <w:marBottom w:val="0"/>
                  <w:divBdr>
                    <w:top w:val="none" w:sz="0" w:space="0" w:color="auto"/>
                    <w:left w:val="none" w:sz="0" w:space="0" w:color="auto"/>
                    <w:bottom w:val="none" w:sz="0" w:space="0" w:color="auto"/>
                    <w:right w:val="none" w:sz="0" w:space="0" w:color="auto"/>
                  </w:divBdr>
                  <w:divsChild>
                    <w:div w:id="1425108587">
                      <w:marLeft w:val="0"/>
                      <w:marRight w:val="0"/>
                      <w:marTop w:val="0"/>
                      <w:marBottom w:val="0"/>
                      <w:divBdr>
                        <w:top w:val="none" w:sz="0" w:space="0" w:color="auto"/>
                        <w:left w:val="none" w:sz="0" w:space="0" w:color="auto"/>
                        <w:bottom w:val="none" w:sz="0" w:space="0" w:color="auto"/>
                        <w:right w:val="none" w:sz="0" w:space="0" w:color="auto"/>
                      </w:divBdr>
                    </w:div>
                  </w:divsChild>
                </w:div>
                <w:div w:id="911545069">
                  <w:marLeft w:val="0"/>
                  <w:marRight w:val="0"/>
                  <w:marTop w:val="0"/>
                  <w:marBottom w:val="0"/>
                  <w:divBdr>
                    <w:top w:val="none" w:sz="0" w:space="0" w:color="auto"/>
                    <w:left w:val="none" w:sz="0" w:space="0" w:color="auto"/>
                    <w:bottom w:val="none" w:sz="0" w:space="0" w:color="auto"/>
                    <w:right w:val="none" w:sz="0" w:space="0" w:color="auto"/>
                  </w:divBdr>
                  <w:divsChild>
                    <w:div w:id="1067343306">
                      <w:marLeft w:val="0"/>
                      <w:marRight w:val="0"/>
                      <w:marTop w:val="0"/>
                      <w:marBottom w:val="0"/>
                      <w:divBdr>
                        <w:top w:val="none" w:sz="0" w:space="0" w:color="auto"/>
                        <w:left w:val="none" w:sz="0" w:space="0" w:color="auto"/>
                        <w:bottom w:val="none" w:sz="0" w:space="0" w:color="auto"/>
                        <w:right w:val="none" w:sz="0" w:space="0" w:color="auto"/>
                      </w:divBdr>
                    </w:div>
                  </w:divsChild>
                </w:div>
                <w:div w:id="923219277">
                  <w:marLeft w:val="0"/>
                  <w:marRight w:val="0"/>
                  <w:marTop w:val="0"/>
                  <w:marBottom w:val="0"/>
                  <w:divBdr>
                    <w:top w:val="none" w:sz="0" w:space="0" w:color="auto"/>
                    <w:left w:val="none" w:sz="0" w:space="0" w:color="auto"/>
                    <w:bottom w:val="none" w:sz="0" w:space="0" w:color="auto"/>
                    <w:right w:val="none" w:sz="0" w:space="0" w:color="auto"/>
                  </w:divBdr>
                  <w:divsChild>
                    <w:div w:id="586812488">
                      <w:marLeft w:val="0"/>
                      <w:marRight w:val="0"/>
                      <w:marTop w:val="0"/>
                      <w:marBottom w:val="0"/>
                      <w:divBdr>
                        <w:top w:val="none" w:sz="0" w:space="0" w:color="auto"/>
                        <w:left w:val="none" w:sz="0" w:space="0" w:color="auto"/>
                        <w:bottom w:val="none" w:sz="0" w:space="0" w:color="auto"/>
                        <w:right w:val="none" w:sz="0" w:space="0" w:color="auto"/>
                      </w:divBdr>
                    </w:div>
                  </w:divsChild>
                </w:div>
                <w:div w:id="934553683">
                  <w:marLeft w:val="0"/>
                  <w:marRight w:val="0"/>
                  <w:marTop w:val="0"/>
                  <w:marBottom w:val="0"/>
                  <w:divBdr>
                    <w:top w:val="none" w:sz="0" w:space="0" w:color="auto"/>
                    <w:left w:val="none" w:sz="0" w:space="0" w:color="auto"/>
                    <w:bottom w:val="none" w:sz="0" w:space="0" w:color="auto"/>
                    <w:right w:val="none" w:sz="0" w:space="0" w:color="auto"/>
                  </w:divBdr>
                  <w:divsChild>
                    <w:div w:id="1717312218">
                      <w:marLeft w:val="0"/>
                      <w:marRight w:val="0"/>
                      <w:marTop w:val="0"/>
                      <w:marBottom w:val="0"/>
                      <w:divBdr>
                        <w:top w:val="none" w:sz="0" w:space="0" w:color="auto"/>
                        <w:left w:val="none" w:sz="0" w:space="0" w:color="auto"/>
                        <w:bottom w:val="none" w:sz="0" w:space="0" w:color="auto"/>
                        <w:right w:val="none" w:sz="0" w:space="0" w:color="auto"/>
                      </w:divBdr>
                    </w:div>
                  </w:divsChild>
                </w:div>
                <w:div w:id="941844567">
                  <w:marLeft w:val="0"/>
                  <w:marRight w:val="0"/>
                  <w:marTop w:val="0"/>
                  <w:marBottom w:val="0"/>
                  <w:divBdr>
                    <w:top w:val="none" w:sz="0" w:space="0" w:color="auto"/>
                    <w:left w:val="none" w:sz="0" w:space="0" w:color="auto"/>
                    <w:bottom w:val="none" w:sz="0" w:space="0" w:color="auto"/>
                    <w:right w:val="none" w:sz="0" w:space="0" w:color="auto"/>
                  </w:divBdr>
                  <w:divsChild>
                    <w:div w:id="1751610247">
                      <w:marLeft w:val="0"/>
                      <w:marRight w:val="0"/>
                      <w:marTop w:val="0"/>
                      <w:marBottom w:val="0"/>
                      <w:divBdr>
                        <w:top w:val="none" w:sz="0" w:space="0" w:color="auto"/>
                        <w:left w:val="none" w:sz="0" w:space="0" w:color="auto"/>
                        <w:bottom w:val="none" w:sz="0" w:space="0" w:color="auto"/>
                        <w:right w:val="none" w:sz="0" w:space="0" w:color="auto"/>
                      </w:divBdr>
                    </w:div>
                  </w:divsChild>
                </w:div>
                <w:div w:id="976490044">
                  <w:marLeft w:val="0"/>
                  <w:marRight w:val="0"/>
                  <w:marTop w:val="0"/>
                  <w:marBottom w:val="0"/>
                  <w:divBdr>
                    <w:top w:val="none" w:sz="0" w:space="0" w:color="auto"/>
                    <w:left w:val="none" w:sz="0" w:space="0" w:color="auto"/>
                    <w:bottom w:val="none" w:sz="0" w:space="0" w:color="auto"/>
                    <w:right w:val="none" w:sz="0" w:space="0" w:color="auto"/>
                  </w:divBdr>
                  <w:divsChild>
                    <w:div w:id="1341156881">
                      <w:marLeft w:val="0"/>
                      <w:marRight w:val="0"/>
                      <w:marTop w:val="0"/>
                      <w:marBottom w:val="0"/>
                      <w:divBdr>
                        <w:top w:val="none" w:sz="0" w:space="0" w:color="auto"/>
                        <w:left w:val="none" w:sz="0" w:space="0" w:color="auto"/>
                        <w:bottom w:val="none" w:sz="0" w:space="0" w:color="auto"/>
                        <w:right w:val="none" w:sz="0" w:space="0" w:color="auto"/>
                      </w:divBdr>
                    </w:div>
                  </w:divsChild>
                </w:div>
                <w:div w:id="1012607753">
                  <w:marLeft w:val="0"/>
                  <w:marRight w:val="0"/>
                  <w:marTop w:val="0"/>
                  <w:marBottom w:val="0"/>
                  <w:divBdr>
                    <w:top w:val="none" w:sz="0" w:space="0" w:color="auto"/>
                    <w:left w:val="none" w:sz="0" w:space="0" w:color="auto"/>
                    <w:bottom w:val="none" w:sz="0" w:space="0" w:color="auto"/>
                    <w:right w:val="none" w:sz="0" w:space="0" w:color="auto"/>
                  </w:divBdr>
                  <w:divsChild>
                    <w:div w:id="334843991">
                      <w:marLeft w:val="0"/>
                      <w:marRight w:val="0"/>
                      <w:marTop w:val="0"/>
                      <w:marBottom w:val="0"/>
                      <w:divBdr>
                        <w:top w:val="none" w:sz="0" w:space="0" w:color="auto"/>
                        <w:left w:val="none" w:sz="0" w:space="0" w:color="auto"/>
                        <w:bottom w:val="none" w:sz="0" w:space="0" w:color="auto"/>
                        <w:right w:val="none" w:sz="0" w:space="0" w:color="auto"/>
                      </w:divBdr>
                    </w:div>
                    <w:div w:id="349570593">
                      <w:marLeft w:val="0"/>
                      <w:marRight w:val="0"/>
                      <w:marTop w:val="0"/>
                      <w:marBottom w:val="0"/>
                      <w:divBdr>
                        <w:top w:val="none" w:sz="0" w:space="0" w:color="auto"/>
                        <w:left w:val="none" w:sz="0" w:space="0" w:color="auto"/>
                        <w:bottom w:val="none" w:sz="0" w:space="0" w:color="auto"/>
                        <w:right w:val="none" w:sz="0" w:space="0" w:color="auto"/>
                      </w:divBdr>
                    </w:div>
                    <w:div w:id="846479026">
                      <w:marLeft w:val="0"/>
                      <w:marRight w:val="0"/>
                      <w:marTop w:val="0"/>
                      <w:marBottom w:val="0"/>
                      <w:divBdr>
                        <w:top w:val="none" w:sz="0" w:space="0" w:color="auto"/>
                        <w:left w:val="none" w:sz="0" w:space="0" w:color="auto"/>
                        <w:bottom w:val="none" w:sz="0" w:space="0" w:color="auto"/>
                        <w:right w:val="none" w:sz="0" w:space="0" w:color="auto"/>
                      </w:divBdr>
                    </w:div>
                    <w:div w:id="1251085250">
                      <w:marLeft w:val="0"/>
                      <w:marRight w:val="0"/>
                      <w:marTop w:val="0"/>
                      <w:marBottom w:val="0"/>
                      <w:divBdr>
                        <w:top w:val="none" w:sz="0" w:space="0" w:color="auto"/>
                        <w:left w:val="none" w:sz="0" w:space="0" w:color="auto"/>
                        <w:bottom w:val="none" w:sz="0" w:space="0" w:color="auto"/>
                        <w:right w:val="none" w:sz="0" w:space="0" w:color="auto"/>
                      </w:divBdr>
                    </w:div>
                    <w:div w:id="1315063026">
                      <w:marLeft w:val="0"/>
                      <w:marRight w:val="0"/>
                      <w:marTop w:val="0"/>
                      <w:marBottom w:val="0"/>
                      <w:divBdr>
                        <w:top w:val="none" w:sz="0" w:space="0" w:color="auto"/>
                        <w:left w:val="none" w:sz="0" w:space="0" w:color="auto"/>
                        <w:bottom w:val="none" w:sz="0" w:space="0" w:color="auto"/>
                        <w:right w:val="none" w:sz="0" w:space="0" w:color="auto"/>
                      </w:divBdr>
                    </w:div>
                  </w:divsChild>
                </w:div>
                <w:div w:id="1017999130">
                  <w:marLeft w:val="0"/>
                  <w:marRight w:val="0"/>
                  <w:marTop w:val="0"/>
                  <w:marBottom w:val="0"/>
                  <w:divBdr>
                    <w:top w:val="none" w:sz="0" w:space="0" w:color="auto"/>
                    <w:left w:val="none" w:sz="0" w:space="0" w:color="auto"/>
                    <w:bottom w:val="none" w:sz="0" w:space="0" w:color="auto"/>
                    <w:right w:val="none" w:sz="0" w:space="0" w:color="auto"/>
                  </w:divBdr>
                  <w:divsChild>
                    <w:div w:id="464389976">
                      <w:marLeft w:val="0"/>
                      <w:marRight w:val="0"/>
                      <w:marTop w:val="0"/>
                      <w:marBottom w:val="0"/>
                      <w:divBdr>
                        <w:top w:val="none" w:sz="0" w:space="0" w:color="auto"/>
                        <w:left w:val="none" w:sz="0" w:space="0" w:color="auto"/>
                        <w:bottom w:val="none" w:sz="0" w:space="0" w:color="auto"/>
                        <w:right w:val="none" w:sz="0" w:space="0" w:color="auto"/>
                      </w:divBdr>
                    </w:div>
                  </w:divsChild>
                </w:div>
                <w:div w:id="1041831084">
                  <w:marLeft w:val="0"/>
                  <w:marRight w:val="0"/>
                  <w:marTop w:val="0"/>
                  <w:marBottom w:val="0"/>
                  <w:divBdr>
                    <w:top w:val="none" w:sz="0" w:space="0" w:color="auto"/>
                    <w:left w:val="none" w:sz="0" w:space="0" w:color="auto"/>
                    <w:bottom w:val="none" w:sz="0" w:space="0" w:color="auto"/>
                    <w:right w:val="none" w:sz="0" w:space="0" w:color="auto"/>
                  </w:divBdr>
                  <w:divsChild>
                    <w:div w:id="1631352735">
                      <w:marLeft w:val="0"/>
                      <w:marRight w:val="0"/>
                      <w:marTop w:val="0"/>
                      <w:marBottom w:val="0"/>
                      <w:divBdr>
                        <w:top w:val="none" w:sz="0" w:space="0" w:color="auto"/>
                        <w:left w:val="none" w:sz="0" w:space="0" w:color="auto"/>
                        <w:bottom w:val="none" w:sz="0" w:space="0" w:color="auto"/>
                        <w:right w:val="none" w:sz="0" w:space="0" w:color="auto"/>
                      </w:divBdr>
                    </w:div>
                  </w:divsChild>
                </w:div>
                <w:div w:id="1049840613">
                  <w:marLeft w:val="0"/>
                  <w:marRight w:val="0"/>
                  <w:marTop w:val="0"/>
                  <w:marBottom w:val="0"/>
                  <w:divBdr>
                    <w:top w:val="none" w:sz="0" w:space="0" w:color="auto"/>
                    <w:left w:val="none" w:sz="0" w:space="0" w:color="auto"/>
                    <w:bottom w:val="none" w:sz="0" w:space="0" w:color="auto"/>
                    <w:right w:val="none" w:sz="0" w:space="0" w:color="auto"/>
                  </w:divBdr>
                  <w:divsChild>
                    <w:div w:id="998189290">
                      <w:marLeft w:val="0"/>
                      <w:marRight w:val="0"/>
                      <w:marTop w:val="0"/>
                      <w:marBottom w:val="0"/>
                      <w:divBdr>
                        <w:top w:val="none" w:sz="0" w:space="0" w:color="auto"/>
                        <w:left w:val="none" w:sz="0" w:space="0" w:color="auto"/>
                        <w:bottom w:val="none" w:sz="0" w:space="0" w:color="auto"/>
                        <w:right w:val="none" w:sz="0" w:space="0" w:color="auto"/>
                      </w:divBdr>
                    </w:div>
                  </w:divsChild>
                </w:div>
                <w:div w:id="1066220668">
                  <w:marLeft w:val="0"/>
                  <w:marRight w:val="0"/>
                  <w:marTop w:val="0"/>
                  <w:marBottom w:val="0"/>
                  <w:divBdr>
                    <w:top w:val="none" w:sz="0" w:space="0" w:color="auto"/>
                    <w:left w:val="none" w:sz="0" w:space="0" w:color="auto"/>
                    <w:bottom w:val="none" w:sz="0" w:space="0" w:color="auto"/>
                    <w:right w:val="none" w:sz="0" w:space="0" w:color="auto"/>
                  </w:divBdr>
                  <w:divsChild>
                    <w:div w:id="281040654">
                      <w:marLeft w:val="0"/>
                      <w:marRight w:val="0"/>
                      <w:marTop w:val="0"/>
                      <w:marBottom w:val="0"/>
                      <w:divBdr>
                        <w:top w:val="none" w:sz="0" w:space="0" w:color="auto"/>
                        <w:left w:val="none" w:sz="0" w:space="0" w:color="auto"/>
                        <w:bottom w:val="none" w:sz="0" w:space="0" w:color="auto"/>
                        <w:right w:val="none" w:sz="0" w:space="0" w:color="auto"/>
                      </w:divBdr>
                    </w:div>
                    <w:div w:id="923298331">
                      <w:marLeft w:val="0"/>
                      <w:marRight w:val="0"/>
                      <w:marTop w:val="0"/>
                      <w:marBottom w:val="0"/>
                      <w:divBdr>
                        <w:top w:val="none" w:sz="0" w:space="0" w:color="auto"/>
                        <w:left w:val="none" w:sz="0" w:space="0" w:color="auto"/>
                        <w:bottom w:val="none" w:sz="0" w:space="0" w:color="auto"/>
                        <w:right w:val="none" w:sz="0" w:space="0" w:color="auto"/>
                      </w:divBdr>
                    </w:div>
                    <w:div w:id="994449973">
                      <w:marLeft w:val="0"/>
                      <w:marRight w:val="0"/>
                      <w:marTop w:val="0"/>
                      <w:marBottom w:val="0"/>
                      <w:divBdr>
                        <w:top w:val="none" w:sz="0" w:space="0" w:color="auto"/>
                        <w:left w:val="none" w:sz="0" w:space="0" w:color="auto"/>
                        <w:bottom w:val="none" w:sz="0" w:space="0" w:color="auto"/>
                        <w:right w:val="none" w:sz="0" w:space="0" w:color="auto"/>
                      </w:divBdr>
                    </w:div>
                    <w:div w:id="1631204440">
                      <w:marLeft w:val="0"/>
                      <w:marRight w:val="0"/>
                      <w:marTop w:val="0"/>
                      <w:marBottom w:val="0"/>
                      <w:divBdr>
                        <w:top w:val="none" w:sz="0" w:space="0" w:color="auto"/>
                        <w:left w:val="none" w:sz="0" w:space="0" w:color="auto"/>
                        <w:bottom w:val="none" w:sz="0" w:space="0" w:color="auto"/>
                        <w:right w:val="none" w:sz="0" w:space="0" w:color="auto"/>
                      </w:divBdr>
                    </w:div>
                    <w:div w:id="1831631495">
                      <w:marLeft w:val="0"/>
                      <w:marRight w:val="0"/>
                      <w:marTop w:val="0"/>
                      <w:marBottom w:val="0"/>
                      <w:divBdr>
                        <w:top w:val="none" w:sz="0" w:space="0" w:color="auto"/>
                        <w:left w:val="none" w:sz="0" w:space="0" w:color="auto"/>
                        <w:bottom w:val="none" w:sz="0" w:space="0" w:color="auto"/>
                        <w:right w:val="none" w:sz="0" w:space="0" w:color="auto"/>
                      </w:divBdr>
                    </w:div>
                  </w:divsChild>
                </w:div>
                <w:div w:id="1098255325">
                  <w:marLeft w:val="0"/>
                  <w:marRight w:val="0"/>
                  <w:marTop w:val="0"/>
                  <w:marBottom w:val="0"/>
                  <w:divBdr>
                    <w:top w:val="none" w:sz="0" w:space="0" w:color="auto"/>
                    <w:left w:val="none" w:sz="0" w:space="0" w:color="auto"/>
                    <w:bottom w:val="none" w:sz="0" w:space="0" w:color="auto"/>
                    <w:right w:val="none" w:sz="0" w:space="0" w:color="auto"/>
                  </w:divBdr>
                  <w:divsChild>
                    <w:div w:id="487095700">
                      <w:marLeft w:val="0"/>
                      <w:marRight w:val="0"/>
                      <w:marTop w:val="0"/>
                      <w:marBottom w:val="0"/>
                      <w:divBdr>
                        <w:top w:val="none" w:sz="0" w:space="0" w:color="auto"/>
                        <w:left w:val="none" w:sz="0" w:space="0" w:color="auto"/>
                        <w:bottom w:val="none" w:sz="0" w:space="0" w:color="auto"/>
                        <w:right w:val="none" w:sz="0" w:space="0" w:color="auto"/>
                      </w:divBdr>
                    </w:div>
                    <w:div w:id="1061632296">
                      <w:marLeft w:val="0"/>
                      <w:marRight w:val="0"/>
                      <w:marTop w:val="0"/>
                      <w:marBottom w:val="0"/>
                      <w:divBdr>
                        <w:top w:val="none" w:sz="0" w:space="0" w:color="auto"/>
                        <w:left w:val="none" w:sz="0" w:space="0" w:color="auto"/>
                        <w:bottom w:val="none" w:sz="0" w:space="0" w:color="auto"/>
                        <w:right w:val="none" w:sz="0" w:space="0" w:color="auto"/>
                      </w:divBdr>
                    </w:div>
                    <w:div w:id="1427456688">
                      <w:marLeft w:val="0"/>
                      <w:marRight w:val="0"/>
                      <w:marTop w:val="0"/>
                      <w:marBottom w:val="0"/>
                      <w:divBdr>
                        <w:top w:val="none" w:sz="0" w:space="0" w:color="auto"/>
                        <w:left w:val="none" w:sz="0" w:space="0" w:color="auto"/>
                        <w:bottom w:val="none" w:sz="0" w:space="0" w:color="auto"/>
                        <w:right w:val="none" w:sz="0" w:space="0" w:color="auto"/>
                      </w:divBdr>
                    </w:div>
                    <w:div w:id="1562252477">
                      <w:marLeft w:val="0"/>
                      <w:marRight w:val="0"/>
                      <w:marTop w:val="0"/>
                      <w:marBottom w:val="0"/>
                      <w:divBdr>
                        <w:top w:val="none" w:sz="0" w:space="0" w:color="auto"/>
                        <w:left w:val="none" w:sz="0" w:space="0" w:color="auto"/>
                        <w:bottom w:val="none" w:sz="0" w:space="0" w:color="auto"/>
                        <w:right w:val="none" w:sz="0" w:space="0" w:color="auto"/>
                      </w:divBdr>
                    </w:div>
                    <w:div w:id="2102405750">
                      <w:marLeft w:val="0"/>
                      <w:marRight w:val="0"/>
                      <w:marTop w:val="0"/>
                      <w:marBottom w:val="0"/>
                      <w:divBdr>
                        <w:top w:val="none" w:sz="0" w:space="0" w:color="auto"/>
                        <w:left w:val="none" w:sz="0" w:space="0" w:color="auto"/>
                        <w:bottom w:val="none" w:sz="0" w:space="0" w:color="auto"/>
                        <w:right w:val="none" w:sz="0" w:space="0" w:color="auto"/>
                      </w:divBdr>
                    </w:div>
                  </w:divsChild>
                </w:div>
                <w:div w:id="1135176413">
                  <w:marLeft w:val="0"/>
                  <w:marRight w:val="0"/>
                  <w:marTop w:val="0"/>
                  <w:marBottom w:val="0"/>
                  <w:divBdr>
                    <w:top w:val="none" w:sz="0" w:space="0" w:color="auto"/>
                    <w:left w:val="none" w:sz="0" w:space="0" w:color="auto"/>
                    <w:bottom w:val="none" w:sz="0" w:space="0" w:color="auto"/>
                    <w:right w:val="none" w:sz="0" w:space="0" w:color="auto"/>
                  </w:divBdr>
                  <w:divsChild>
                    <w:div w:id="1414666387">
                      <w:marLeft w:val="0"/>
                      <w:marRight w:val="0"/>
                      <w:marTop w:val="0"/>
                      <w:marBottom w:val="0"/>
                      <w:divBdr>
                        <w:top w:val="none" w:sz="0" w:space="0" w:color="auto"/>
                        <w:left w:val="none" w:sz="0" w:space="0" w:color="auto"/>
                        <w:bottom w:val="none" w:sz="0" w:space="0" w:color="auto"/>
                        <w:right w:val="none" w:sz="0" w:space="0" w:color="auto"/>
                      </w:divBdr>
                    </w:div>
                  </w:divsChild>
                </w:div>
                <w:div w:id="1158308538">
                  <w:marLeft w:val="0"/>
                  <w:marRight w:val="0"/>
                  <w:marTop w:val="0"/>
                  <w:marBottom w:val="0"/>
                  <w:divBdr>
                    <w:top w:val="none" w:sz="0" w:space="0" w:color="auto"/>
                    <w:left w:val="none" w:sz="0" w:space="0" w:color="auto"/>
                    <w:bottom w:val="none" w:sz="0" w:space="0" w:color="auto"/>
                    <w:right w:val="none" w:sz="0" w:space="0" w:color="auto"/>
                  </w:divBdr>
                  <w:divsChild>
                    <w:div w:id="2081057064">
                      <w:marLeft w:val="0"/>
                      <w:marRight w:val="0"/>
                      <w:marTop w:val="0"/>
                      <w:marBottom w:val="0"/>
                      <w:divBdr>
                        <w:top w:val="none" w:sz="0" w:space="0" w:color="auto"/>
                        <w:left w:val="none" w:sz="0" w:space="0" w:color="auto"/>
                        <w:bottom w:val="none" w:sz="0" w:space="0" w:color="auto"/>
                        <w:right w:val="none" w:sz="0" w:space="0" w:color="auto"/>
                      </w:divBdr>
                    </w:div>
                  </w:divsChild>
                </w:div>
                <w:div w:id="1160198640">
                  <w:marLeft w:val="0"/>
                  <w:marRight w:val="0"/>
                  <w:marTop w:val="0"/>
                  <w:marBottom w:val="0"/>
                  <w:divBdr>
                    <w:top w:val="none" w:sz="0" w:space="0" w:color="auto"/>
                    <w:left w:val="none" w:sz="0" w:space="0" w:color="auto"/>
                    <w:bottom w:val="none" w:sz="0" w:space="0" w:color="auto"/>
                    <w:right w:val="none" w:sz="0" w:space="0" w:color="auto"/>
                  </w:divBdr>
                  <w:divsChild>
                    <w:div w:id="1310941389">
                      <w:marLeft w:val="0"/>
                      <w:marRight w:val="0"/>
                      <w:marTop w:val="0"/>
                      <w:marBottom w:val="0"/>
                      <w:divBdr>
                        <w:top w:val="none" w:sz="0" w:space="0" w:color="auto"/>
                        <w:left w:val="none" w:sz="0" w:space="0" w:color="auto"/>
                        <w:bottom w:val="none" w:sz="0" w:space="0" w:color="auto"/>
                        <w:right w:val="none" w:sz="0" w:space="0" w:color="auto"/>
                      </w:divBdr>
                    </w:div>
                  </w:divsChild>
                </w:div>
                <w:div w:id="1185560963">
                  <w:marLeft w:val="0"/>
                  <w:marRight w:val="0"/>
                  <w:marTop w:val="0"/>
                  <w:marBottom w:val="0"/>
                  <w:divBdr>
                    <w:top w:val="none" w:sz="0" w:space="0" w:color="auto"/>
                    <w:left w:val="none" w:sz="0" w:space="0" w:color="auto"/>
                    <w:bottom w:val="none" w:sz="0" w:space="0" w:color="auto"/>
                    <w:right w:val="none" w:sz="0" w:space="0" w:color="auto"/>
                  </w:divBdr>
                  <w:divsChild>
                    <w:div w:id="1028070937">
                      <w:marLeft w:val="0"/>
                      <w:marRight w:val="0"/>
                      <w:marTop w:val="0"/>
                      <w:marBottom w:val="0"/>
                      <w:divBdr>
                        <w:top w:val="none" w:sz="0" w:space="0" w:color="auto"/>
                        <w:left w:val="none" w:sz="0" w:space="0" w:color="auto"/>
                        <w:bottom w:val="none" w:sz="0" w:space="0" w:color="auto"/>
                        <w:right w:val="none" w:sz="0" w:space="0" w:color="auto"/>
                      </w:divBdr>
                    </w:div>
                    <w:div w:id="1069645448">
                      <w:marLeft w:val="0"/>
                      <w:marRight w:val="0"/>
                      <w:marTop w:val="0"/>
                      <w:marBottom w:val="0"/>
                      <w:divBdr>
                        <w:top w:val="none" w:sz="0" w:space="0" w:color="auto"/>
                        <w:left w:val="none" w:sz="0" w:space="0" w:color="auto"/>
                        <w:bottom w:val="none" w:sz="0" w:space="0" w:color="auto"/>
                        <w:right w:val="none" w:sz="0" w:space="0" w:color="auto"/>
                      </w:divBdr>
                    </w:div>
                    <w:div w:id="1110472651">
                      <w:marLeft w:val="0"/>
                      <w:marRight w:val="0"/>
                      <w:marTop w:val="0"/>
                      <w:marBottom w:val="0"/>
                      <w:divBdr>
                        <w:top w:val="none" w:sz="0" w:space="0" w:color="auto"/>
                        <w:left w:val="none" w:sz="0" w:space="0" w:color="auto"/>
                        <w:bottom w:val="none" w:sz="0" w:space="0" w:color="auto"/>
                        <w:right w:val="none" w:sz="0" w:space="0" w:color="auto"/>
                      </w:divBdr>
                    </w:div>
                    <w:div w:id="1268856310">
                      <w:marLeft w:val="0"/>
                      <w:marRight w:val="0"/>
                      <w:marTop w:val="0"/>
                      <w:marBottom w:val="0"/>
                      <w:divBdr>
                        <w:top w:val="none" w:sz="0" w:space="0" w:color="auto"/>
                        <w:left w:val="none" w:sz="0" w:space="0" w:color="auto"/>
                        <w:bottom w:val="none" w:sz="0" w:space="0" w:color="auto"/>
                        <w:right w:val="none" w:sz="0" w:space="0" w:color="auto"/>
                      </w:divBdr>
                    </w:div>
                    <w:div w:id="1455245709">
                      <w:marLeft w:val="0"/>
                      <w:marRight w:val="0"/>
                      <w:marTop w:val="0"/>
                      <w:marBottom w:val="0"/>
                      <w:divBdr>
                        <w:top w:val="none" w:sz="0" w:space="0" w:color="auto"/>
                        <w:left w:val="none" w:sz="0" w:space="0" w:color="auto"/>
                        <w:bottom w:val="none" w:sz="0" w:space="0" w:color="auto"/>
                        <w:right w:val="none" w:sz="0" w:space="0" w:color="auto"/>
                      </w:divBdr>
                    </w:div>
                  </w:divsChild>
                </w:div>
                <w:div w:id="1190412287">
                  <w:marLeft w:val="0"/>
                  <w:marRight w:val="0"/>
                  <w:marTop w:val="0"/>
                  <w:marBottom w:val="0"/>
                  <w:divBdr>
                    <w:top w:val="none" w:sz="0" w:space="0" w:color="auto"/>
                    <w:left w:val="none" w:sz="0" w:space="0" w:color="auto"/>
                    <w:bottom w:val="none" w:sz="0" w:space="0" w:color="auto"/>
                    <w:right w:val="none" w:sz="0" w:space="0" w:color="auto"/>
                  </w:divBdr>
                  <w:divsChild>
                    <w:div w:id="229048649">
                      <w:marLeft w:val="0"/>
                      <w:marRight w:val="0"/>
                      <w:marTop w:val="0"/>
                      <w:marBottom w:val="0"/>
                      <w:divBdr>
                        <w:top w:val="none" w:sz="0" w:space="0" w:color="auto"/>
                        <w:left w:val="none" w:sz="0" w:space="0" w:color="auto"/>
                        <w:bottom w:val="none" w:sz="0" w:space="0" w:color="auto"/>
                        <w:right w:val="none" w:sz="0" w:space="0" w:color="auto"/>
                      </w:divBdr>
                    </w:div>
                  </w:divsChild>
                </w:div>
                <w:div w:id="1191187006">
                  <w:marLeft w:val="0"/>
                  <w:marRight w:val="0"/>
                  <w:marTop w:val="0"/>
                  <w:marBottom w:val="0"/>
                  <w:divBdr>
                    <w:top w:val="none" w:sz="0" w:space="0" w:color="auto"/>
                    <w:left w:val="none" w:sz="0" w:space="0" w:color="auto"/>
                    <w:bottom w:val="none" w:sz="0" w:space="0" w:color="auto"/>
                    <w:right w:val="none" w:sz="0" w:space="0" w:color="auto"/>
                  </w:divBdr>
                  <w:divsChild>
                    <w:div w:id="498934121">
                      <w:marLeft w:val="0"/>
                      <w:marRight w:val="0"/>
                      <w:marTop w:val="0"/>
                      <w:marBottom w:val="0"/>
                      <w:divBdr>
                        <w:top w:val="none" w:sz="0" w:space="0" w:color="auto"/>
                        <w:left w:val="none" w:sz="0" w:space="0" w:color="auto"/>
                        <w:bottom w:val="none" w:sz="0" w:space="0" w:color="auto"/>
                        <w:right w:val="none" w:sz="0" w:space="0" w:color="auto"/>
                      </w:divBdr>
                    </w:div>
                    <w:div w:id="1184052903">
                      <w:marLeft w:val="0"/>
                      <w:marRight w:val="0"/>
                      <w:marTop w:val="0"/>
                      <w:marBottom w:val="0"/>
                      <w:divBdr>
                        <w:top w:val="none" w:sz="0" w:space="0" w:color="auto"/>
                        <w:left w:val="none" w:sz="0" w:space="0" w:color="auto"/>
                        <w:bottom w:val="none" w:sz="0" w:space="0" w:color="auto"/>
                        <w:right w:val="none" w:sz="0" w:space="0" w:color="auto"/>
                      </w:divBdr>
                    </w:div>
                    <w:div w:id="1548227161">
                      <w:marLeft w:val="0"/>
                      <w:marRight w:val="0"/>
                      <w:marTop w:val="0"/>
                      <w:marBottom w:val="0"/>
                      <w:divBdr>
                        <w:top w:val="none" w:sz="0" w:space="0" w:color="auto"/>
                        <w:left w:val="none" w:sz="0" w:space="0" w:color="auto"/>
                        <w:bottom w:val="none" w:sz="0" w:space="0" w:color="auto"/>
                        <w:right w:val="none" w:sz="0" w:space="0" w:color="auto"/>
                      </w:divBdr>
                    </w:div>
                    <w:div w:id="1665356068">
                      <w:marLeft w:val="0"/>
                      <w:marRight w:val="0"/>
                      <w:marTop w:val="0"/>
                      <w:marBottom w:val="0"/>
                      <w:divBdr>
                        <w:top w:val="none" w:sz="0" w:space="0" w:color="auto"/>
                        <w:left w:val="none" w:sz="0" w:space="0" w:color="auto"/>
                        <w:bottom w:val="none" w:sz="0" w:space="0" w:color="auto"/>
                        <w:right w:val="none" w:sz="0" w:space="0" w:color="auto"/>
                      </w:divBdr>
                    </w:div>
                    <w:div w:id="1676806202">
                      <w:marLeft w:val="0"/>
                      <w:marRight w:val="0"/>
                      <w:marTop w:val="0"/>
                      <w:marBottom w:val="0"/>
                      <w:divBdr>
                        <w:top w:val="none" w:sz="0" w:space="0" w:color="auto"/>
                        <w:left w:val="none" w:sz="0" w:space="0" w:color="auto"/>
                        <w:bottom w:val="none" w:sz="0" w:space="0" w:color="auto"/>
                        <w:right w:val="none" w:sz="0" w:space="0" w:color="auto"/>
                      </w:divBdr>
                    </w:div>
                  </w:divsChild>
                </w:div>
                <w:div w:id="1200514767">
                  <w:marLeft w:val="0"/>
                  <w:marRight w:val="0"/>
                  <w:marTop w:val="0"/>
                  <w:marBottom w:val="0"/>
                  <w:divBdr>
                    <w:top w:val="none" w:sz="0" w:space="0" w:color="auto"/>
                    <w:left w:val="none" w:sz="0" w:space="0" w:color="auto"/>
                    <w:bottom w:val="none" w:sz="0" w:space="0" w:color="auto"/>
                    <w:right w:val="none" w:sz="0" w:space="0" w:color="auto"/>
                  </w:divBdr>
                  <w:divsChild>
                    <w:div w:id="1988433683">
                      <w:marLeft w:val="0"/>
                      <w:marRight w:val="0"/>
                      <w:marTop w:val="0"/>
                      <w:marBottom w:val="0"/>
                      <w:divBdr>
                        <w:top w:val="none" w:sz="0" w:space="0" w:color="auto"/>
                        <w:left w:val="none" w:sz="0" w:space="0" w:color="auto"/>
                        <w:bottom w:val="none" w:sz="0" w:space="0" w:color="auto"/>
                        <w:right w:val="none" w:sz="0" w:space="0" w:color="auto"/>
                      </w:divBdr>
                    </w:div>
                  </w:divsChild>
                </w:div>
                <w:div w:id="1201045373">
                  <w:marLeft w:val="0"/>
                  <w:marRight w:val="0"/>
                  <w:marTop w:val="0"/>
                  <w:marBottom w:val="0"/>
                  <w:divBdr>
                    <w:top w:val="none" w:sz="0" w:space="0" w:color="auto"/>
                    <w:left w:val="none" w:sz="0" w:space="0" w:color="auto"/>
                    <w:bottom w:val="none" w:sz="0" w:space="0" w:color="auto"/>
                    <w:right w:val="none" w:sz="0" w:space="0" w:color="auto"/>
                  </w:divBdr>
                  <w:divsChild>
                    <w:div w:id="1356733400">
                      <w:marLeft w:val="0"/>
                      <w:marRight w:val="0"/>
                      <w:marTop w:val="0"/>
                      <w:marBottom w:val="0"/>
                      <w:divBdr>
                        <w:top w:val="none" w:sz="0" w:space="0" w:color="auto"/>
                        <w:left w:val="none" w:sz="0" w:space="0" w:color="auto"/>
                        <w:bottom w:val="none" w:sz="0" w:space="0" w:color="auto"/>
                        <w:right w:val="none" w:sz="0" w:space="0" w:color="auto"/>
                      </w:divBdr>
                    </w:div>
                  </w:divsChild>
                </w:div>
                <w:div w:id="1213687144">
                  <w:marLeft w:val="0"/>
                  <w:marRight w:val="0"/>
                  <w:marTop w:val="0"/>
                  <w:marBottom w:val="0"/>
                  <w:divBdr>
                    <w:top w:val="none" w:sz="0" w:space="0" w:color="auto"/>
                    <w:left w:val="none" w:sz="0" w:space="0" w:color="auto"/>
                    <w:bottom w:val="none" w:sz="0" w:space="0" w:color="auto"/>
                    <w:right w:val="none" w:sz="0" w:space="0" w:color="auto"/>
                  </w:divBdr>
                  <w:divsChild>
                    <w:div w:id="201407697">
                      <w:marLeft w:val="0"/>
                      <w:marRight w:val="0"/>
                      <w:marTop w:val="0"/>
                      <w:marBottom w:val="0"/>
                      <w:divBdr>
                        <w:top w:val="none" w:sz="0" w:space="0" w:color="auto"/>
                        <w:left w:val="none" w:sz="0" w:space="0" w:color="auto"/>
                        <w:bottom w:val="none" w:sz="0" w:space="0" w:color="auto"/>
                        <w:right w:val="none" w:sz="0" w:space="0" w:color="auto"/>
                      </w:divBdr>
                    </w:div>
                  </w:divsChild>
                </w:div>
                <w:div w:id="1222982655">
                  <w:marLeft w:val="0"/>
                  <w:marRight w:val="0"/>
                  <w:marTop w:val="0"/>
                  <w:marBottom w:val="0"/>
                  <w:divBdr>
                    <w:top w:val="none" w:sz="0" w:space="0" w:color="auto"/>
                    <w:left w:val="none" w:sz="0" w:space="0" w:color="auto"/>
                    <w:bottom w:val="none" w:sz="0" w:space="0" w:color="auto"/>
                    <w:right w:val="none" w:sz="0" w:space="0" w:color="auto"/>
                  </w:divBdr>
                  <w:divsChild>
                    <w:div w:id="1474835698">
                      <w:marLeft w:val="0"/>
                      <w:marRight w:val="0"/>
                      <w:marTop w:val="0"/>
                      <w:marBottom w:val="0"/>
                      <w:divBdr>
                        <w:top w:val="none" w:sz="0" w:space="0" w:color="auto"/>
                        <w:left w:val="none" w:sz="0" w:space="0" w:color="auto"/>
                        <w:bottom w:val="none" w:sz="0" w:space="0" w:color="auto"/>
                        <w:right w:val="none" w:sz="0" w:space="0" w:color="auto"/>
                      </w:divBdr>
                    </w:div>
                  </w:divsChild>
                </w:div>
                <w:div w:id="1237010778">
                  <w:marLeft w:val="0"/>
                  <w:marRight w:val="0"/>
                  <w:marTop w:val="0"/>
                  <w:marBottom w:val="0"/>
                  <w:divBdr>
                    <w:top w:val="none" w:sz="0" w:space="0" w:color="auto"/>
                    <w:left w:val="none" w:sz="0" w:space="0" w:color="auto"/>
                    <w:bottom w:val="none" w:sz="0" w:space="0" w:color="auto"/>
                    <w:right w:val="none" w:sz="0" w:space="0" w:color="auto"/>
                  </w:divBdr>
                  <w:divsChild>
                    <w:div w:id="1442189588">
                      <w:marLeft w:val="0"/>
                      <w:marRight w:val="0"/>
                      <w:marTop w:val="0"/>
                      <w:marBottom w:val="0"/>
                      <w:divBdr>
                        <w:top w:val="none" w:sz="0" w:space="0" w:color="auto"/>
                        <w:left w:val="none" w:sz="0" w:space="0" w:color="auto"/>
                        <w:bottom w:val="none" w:sz="0" w:space="0" w:color="auto"/>
                        <w:right w:val="none" w:sz="0" w:space="0" w:color="auto"/>
                      </w:divBdr>
                    </w:div>
                  </w:divsChild>
                </w:div>
                <w:div w:id="1243567601">
                  <w:marLeft w:val="0"/>
                  <w:marRight w:val="0"/>
                  <w:marTop w:val="0"/>
                  <w:marBottom w:val="0"/>
                  <w:divBdr>
                    <w:top w:val="none" w:sz="0" w:space="0" w:color="auto"/>
                    <w:left w:val="none" w:sz="0" w:space="0" w:color="auto"/>
                    <w:bottom w:val="none" w:sz="0" w:space="0" w:color="auto"/>
                    <w:right w:val="none" w:sz="0" w:space="0" w:color="auto"/>
                  </w:divBdr>
                  <w:divsChild>
                    <w:div w:id="941500667">
                      <w:marLeft w:val="0"/>
                      <w:marRight w:val="0"/>
                      <w:marTop w:val="0"/>
                      <w:marBottom w:val="0"/>
                      <w:divBdr>
                        <w:top w:val="none" w:sz="0" w:space="0" w:color="auto"/>
                        <w:left w:val="none" w:sz="0" w:space="0" w:color="auto"/>
                        <w:bottom w:val="none" w:sz="0" w:space="0" w:color="auto"/>
                        <w:right w:val="none" w:sz="0" w:space="0" w:color="auto"/>
                      </w:divBdr>
                    </w:div>
                  </w:divsChild>
                </w:div>
                <w:div w:id="1279096875">
                  <w:marLeft w:val="0"/>
                  <w:marRight w:val="0"/>
                  <w:marTop w:val="0"/>
                  <w:marBottom w:val="0"/>
                  <w:divBdr>
                    <w:top w:val="none" w:sz="0" w:space="0" w:color="auto"/>
                    <w:left w:val="none" w:sz="0" w:space="0" w:color="auto"/>
                    <w:bottom w:val="none" w:sz="0" w:space="0" w:color="auto"/>
                    <w:right w:val="none" w:sz="0" w:space="0" w:color="auto"/>
                  </w:divBdr>
                  <w:divsChild>
                    <w:div w:id="172108762">
                      <w:marLeft w:val="0"/>
                      <w:marRight w:val="0"/>
                      <w:marTop w:val="0"/>
                      <w:marBottom w:val="0"/>
                      <w:divBdr>
                        <w:top w:val="none" w:sz="0" w:space="0" w:color="auto"/>
                        <w:left w:val="none" w:sz="0" w:space="0" w:color="auto"/>
                        <w:bottom w:val="none" w:sz="0" w:space="0" w:color="auto"/>
                        <w:right w:val="none" w:sz="0" w:space="0" w:color="auto"/>
                      </w:divBdr>
                    </w:div>
                  </w:divsChild>
                </w:div>
                <w:div w:id="1310132259">
                  <w:marLeft w:val="0"/>
                  <w:marRight w:val="0"/>
                  <w:marTop w:val="0"/>
                  <w:marBottom w:val="0"/>
                  <w:divBdr>
                    <w:top w:val="none" w:sz="0" w:space="0" w:color="auto"/>
                    <w:left w:val="none" w:sz="0" w:space="0" w:color="auto"/>
                    <w:bottom w:val="none" w:sz="0" w:space="0" w:color="auto"/>
                    <w:right w:val="none" w:sz="0" w:space="0" w:color="auto"/>
                  </w:divBdr>
                  <w:divsChild>
                    <w:div w:id="1886866916">
                      <w:marLeft w:val="0"/>
                      <w:marRight w:val="0"/>
                      <w:marTop w:val="0"/>
                      <w:marBottom w:val="0"/>
                      <w:divBdr>
                        <w:top w:val="none" w:sz="0" w:space="0" w:color="auto"/>
                        <w:left w:val="none" w:sz="0" w:space="0" w:color="auto"/>
                        <w:bottom w:val="none" w:sz="0" w:space="0" w:color="auto"/>
                        <w:right w:val="none" w:sz="0" w:space="0" w:color="auto"/>
                      </w:divBdr>
                    </w:div>
                  </w:divsChild>
                </w:div>
                <w:div w:id="1340694030">
                  <w:marLeft w:val="0"/>
                  <w:marRight w:val="0"/>
                  <w:marTop w:val="0"/>
                  <w:marBottom w:val="0"/>
                  <w:divBdr>
                    <w:top w:val="none" w:sz="0" w:space="0" w:color="auto"/>
                    <w:left w:val="none" w:sz="0" w:space="0" w:color="auto"/>
                    <w:bottom w:val="none" w:sz="0" w:space="0" w:color="auto"/>
                    <w:right w:val="none" w:sz="0" w:space="0" w:color="auto"/>
                  </w:divBdr>
                  <w:divsChild>
                    <w:div w:id="1195927781">
                      <w:marLeft w:val="0"/>
                      <w:marRight w:val="0"/>
                      <w:marTop w:val="0"/>
                      <w:marBottom w:val="0"/>
                      <w:divBdr>
                        <w:top w:val="none" w:sz="0" w:space="0" w:color="auto"/>
                        <w:left w:val="none" w:sz="0" w:space="0" w:color="auto"/>
                        <w:bottom w:val="none" w:sz="0" w:space="0" w:color="auto"/>
                        <w:right w:val="none" w:sz="0" w:space="0" w:color="auto"/>
                      </w:divBdr>
                    </w:div>
                  </w:divsChild>
                </w:div>
                <w:div w:id="1346790064">
                  <w:marLeft w:val="0"/>
                  <w:marRight w:val="0"/>
                  <w:marTop w:val="0"/>
                  <w:marBottom w:val="0"/>
                  <w:divBdr>
                    <w:top w:val="none" w:sz="0" w:space="0" w:color="auto"/>
                    <w:left w:val="none" w:sz="0" w:space="0" w:color="auto"/>
                    <w:bottom w:val="none" w:sz="0" w:space="0" w:color="auto"/>
                    <w:right w:val="none" w:sz="0" w:space="0" w:color="auto"/>
                  </w:divBdr>
                  <w:divsChild>
                    <w:div w:id="1704549848">
                      <w:marLeft w:val="0"/>
                      <w:marRight w:val="0"/>
                      <w:marTop w:val="0"/>
                      <w:marBottom w:val="0"/>
                      <w:divBdr>
                        <w:top w:val="none" w:sz="0" w:space="0" w:color="auto"/>
                        <w:left w:val="none" w:sz="0" w:space="0" w:color="auto"/>
                        <w:bottom w:val="none" w:sz="0" w:space="0" w:color="auto"/>
                        <w:right w:val="none" w:sz="0" w:space="0" w:color="auto"/>
                      </w:divBdr>
                    </w:div>
                  </w:divsChild>
                </w:div>
                <w:div w:id="1366832902">
                  <w:marLeft w:val="0"/>
                  <w:marRight w:val="0"/>
                  <w:marTop w:val="0"/>
                  <w:marBottom w:val="0"/>
                  <w:divBdr>
                    <w:top w:val="none" w:sz="0" w:space="0" w:color="auto"/>
                    <w:left w:val="none" w:sz="0" w:space="0" w:color="auto"/>
                    <w:bottom w:val="none" w:sz="0" w:space="0" w:color="auto"/>
                    <w:right w:val="none" w:sz="0" w:space="0" w:color="auto"/>
                  </w:divBdr>
                  <w:divsChild>
                    <w:div w:id="909383060">
                      <w:marLeft w:val="0"/>
                      <w:marRight w:val="0"/>
                      <w:marTop w:val="0"/>
                      <w:marBottom w:val="0"/>
                      <w:divBdr>
                        <w:top w:val="none" w:sz="0" w:space="0" w:color="auto"/>
                        <w:left w:val="none" w:sz="0" w:space="0" w:color="auto"/>
                        <w:bottom w:val="none" w:sz="0" w:space="0" w:color="auto"/>
                        <w:right w:val="none" w:sz="0" w:space="0" w:color="auto"/>
                      </w:divBdr>
                    </w:div>
                  </w:divsChild>
                </w:div>
                <w:div w:id="1401752842">
                  <w:marLeft w:val="0"/>
                  <w:marRight w:val="0"/>
                  <w:marTop w:val="0"/>
                  <w:marBottom w:val="0"/>
                  <w:divBdr>
                    <w:top w:val="none" w:sz="0" w:space="0" w:color="auto"/>
                    <w:left w:val="none" w:sz="0" w:space="0" w:color="auto"/>
                    <w:bottom w:val="none" w:sz="0" w:space="0" w:color="auto"/>
                    <w:right w:val="none" w:sz="0" w:space="0" w:color="auto"/>
                  </w:divBdr>
                  <w:divsChild>
                    <w:div w:id="1085881344">
                      <w:marLeft w:val="0"/>
                      <w:marRight w:val="0"/>
                      <w:marTop w:val="0"/>
                      <w:marBottom w:val="0"/>
                      <w:divBdr>
                        <w:top w:val="none" w:sz="0" w:space="0" w:color="auto"/>
                        <w:left w:val="none" w:sz="0" w:space="0" w:color="auto"/>
                        <w:bottom w:val="none" w:sz="0" w:space="0" w:color="auto"/>
                        <w:right w:val="none" w:sz="0" w:space="0" w:color="auto"/>
                      </w:divBdr>
                    </w:div>
                  </w:divsChild>
                </w:div>
                <w:div w:id="1417366205">
                  <w:marLeft w:val="0"/>
                  <w:marRight w:val="0"/>
                  <w:marTop w:val="0"/>
                  <w:marBottom w:val="0"/>
                  <w:divBdr>
                    <w:top w:val="none" w:sz="0" w:space="0" w:color="auto"/>
                    <w:left w:val="none" w:sz="0" w:space="0" w:color="auto"/>
                    <w:bottom w:val="none" w:sz="0" w:space="0" w:color="auto"/>
                    <w:right w:val="none" w:sz="0" w:space="0" w:color="auto"/>
                  </w:divBdr>
                  <w:divsChild>
                    <w:div w:id="910309999">
                      <w:marLeft w:val="0"/>
                      <w:marRight w:val="0"/>
                      <w:marTop w:val="0"/>
                      <w:marBottom w:val="0"/>
                      <w:divBdr>
                        <w:top w:val="none" w:sz="0" w:space="0" w:color="auto"/>
                        <w:left w:val="none" w:sz="0" w:space="0" w:color="auto"/>
                        <w:bottom w:val="none" w:sz="0" w:space="0" w:color="auto"/>
                        <w:right w:val="none" w:sz="0" w:space="0" w:color="auto"/>
                      </w:divBdr>
                    </w:div>
                  </w:divsChild>
                </w:div>
                <w:div w:id="1433237021">
                  <w:marLeft w:val="0"/>
                  <w:marRight w:val="0"/>
                  <w:marTop w:val="0"/>
                  <w:marBottom w:val="0"/>
                  <w:divBdr>
                    <w:top w:val="none" w:sz="0" w:space="0" w:color="auto"/>
                    <w:left w:val="none" w:sz="0" w:space="0" w:color="auto"/>
                    <w:bottom w:val="none" w:sz="0" w:space="0" w:color="auto"/>
                    <w:right w:val="none" w:sz="0" w:space="0" w:color="auto"/>
                  </w:divBdr>
                  <w:divsChild>
                    <w:div w:id="1753626413">
                      <w:marLeft w:val="0"/>
                      <w:marRight w:val="0"/>
                      <w:marTop w:val="0"/>
                      <w:marBottom w:val="0"/>
                      <w:divBdr>
                        <w:top w:val="none" w:sz="0" w:space="0" w:color="auto"/>
                        <w:left w:val="none" w:sz="0" w:space="0" w:color="auto"/>
                        <w:bottom w:val="none" w:sz="0" w:space="0" w:color="auto"/>
                        <w:right w:val="none" w:sz="0" w:space="0" w:color="auto"/>
                      </w:divBdr>
                    </w:div>
                  </w:divsChild>
                </w:div>
                <w:div w:id="1463618218">
                  <w:marLeft w:val="0"/>
                  <w:marRight w:val="0"/>
                  <w:marTop w:val="0"/>
                  <w:marBottom w:val="0"/>
                  <w:divBdr>
                    <w:top w:val="none" w:sz="0" w:space="0" w:color="auto"/>
                    <w:left w:val="none" w:sz="0" w:space="0" w:color="auto"/>
                    <w:bottom w:val="none" w:sz="0" w:space="0" w:color="auto"/>
                    <w:right w:val="none" w:sz="0" w:space="0" w:color="auto"/>
                  </w:divBdr>
                  <w:divsChild>
                    <w:div w:id="681473725">
                      <w:marLeft w:val="0"/>
                      <w:marRight w:val="0"/>
                      <w:marTop w:val="0"/>
                      <w:marBottom w:val="0"/>
                      <w:divBdr>
                        <w:top w:val="none" w:sz="0" w:space="0" w:color="auto"/>
                        <w:left w:val="none" w:sz="0" w:space="0" w:color="auto"/>
                        <w:bottom w:val="none" w:sz="0" w:space="0" w:color="auto"/>
                        <w:right w:val="none" w:sz="0" w:space="0" w:color="auto"/>
                      </w:divBdr>
                    </w:div>
                  </w:divsChild>
                </w:div>
                <w:div w:id="1464470273">
                  <w:marLeft w:val="0"/>
                  <w:marRight w:val="0"/>
                  <w:marTop w:val="0"/>
                  <w:marBottom w:val="0"/>
                  <w:divBdr>
                    <w:top w:val="none" w:sz="0" w:space="0" w:color="auto"/>
                    <w:left w:val="none" w:sz="0" w:space="0" w:color="auto"/>
                    <w:bottom w:val="none" w:sz="0" w:space="0" w:color="auto"/>
                    <w:right w:val="none" w:sz="0" w:space="0" w:color="auto"/>
                  </w:divBdr>
                  <w:divsChild>
                    <w:div w:id="2016180672">
                      <w:marLeft w:val="0"/>
                      <w:marRight w:val="0"/>
                      <w:marTop w:val="0"/>
                      <w:marBottom w:val="0"/>
                      <w:divBdr>
                        <w:top w:val="none" w:sz="0" w:space="0" w:color="auto"/>
                        <w:left w:val="none" w:sz="0" w:space="0" w:color="auto"/>
                        <w:bottom w:val="none" w:sz="0" w:space="0" w:color="auto"/>
                        <w:right w:val="none" w:sz="0" w:space="0" w:color="auto"/>
                      </w:divBdr>
                    </w:div>
                  </w:divsChild>
                </w:div>
                <w:div w:id="1490899414">
                  <w:marLeft w:val="0"/>
                  <w:marRight w:val="0"/>
                  <w:marTop w:val="0"/>
                  <w:marBottom w:val="0"/>
                  <w:divBdr>
                    <w:top w:val="none" w:sz="0" w:space="0" w:color="auto"/>
                    <w:left w:val="none" w:sz="0" w:space="0" w:color="auto"/>
                    <w:bottom w:val="none" w:sz="0" w:space="0" w:color="auto"/>
                    <w:right w:val="none" w:sz="0" w:space="0" w:color="auto"/>
                  </w:divBdr>
                  <w:divsChild>
                    <w:div w:id="689840092">
                      <w:marLeft w:val="0"/>
                      <w:marRight w:val="0"/>
                      <w:marTop w:val="0"/>
                      <w:marBottom w:val="0"/>
                      <w:divBdr>
                        <w:top w:val="none" w:sz="0" w:space="0" w:color="auto"/>
                        <w:left w:val="none" w:sz="0" w:space="0" w:color="auto"/>
                        <w:bottom w:val="none" w:sz="0" w:space="0" w:color="auto"/>
                        <w:right w:val="none" w:sz="0" w:space="0" w:color="auto"/>
                      </w:divBdr>
                    </w:div>
                  </w:divsChild>
                </w:div>
                <w:div w:id="1491630714">
                  <w:marLeft w:val="0"/>
                  <w:marRight w:val="0"/>
                  <w:marTop w:val="0"/>
                  <w:marBottom w:val="0"/>
                  <w:divBdr>
                    <w:top w:val="none" w:sz="0" w:space="0" w:color="auto"/>
                    <w:left w:val="none" w:sz="0" w:space="0" w:color="auto"/>
                    <w:bottom w:val="none" w:sz="0" w:space="0" w:color="auto"/>
                    <w:right w:val="none" w:sz="0" w:space="0" w:color="auto"/>
                  </w:divBdr>
                  <w:divsChild>
                    <w:div w:id="1063065757">
                      <w:marLeft w:val="0"/>
                      <w:marRight w:val="0"/>
                      <w:marTop w:val="0"/>
                      <w:marBottom w:val="0"/>
                      <w:divBdr>
                        <w:top w:val="none" w:sz="0" w:space="0" w:color="auto"/>
                        <w:left w:val="none" w:sz="0" w:space="0" w:color="auto"/>
                        <w:bottom w:val="none" w:sz="0" w:space="0" w:color="auto"/>
                        <w:right w:val="none" w:sz="0" w:space="0" w:color="auto"/>
                      </w:divBdr>
                    </w:div>
                  </w:divsChild>
                </w:div>
                <w:div w:id="1508639871">
                  <w:marLeft w:val="0"/>
                  <w:marRight w:val="0"/>
                  <w:marTop w:val="0"/>
                  <w:marBottom w:val="0"/>
                  <w:divBdr>
                    <w:top w:val="none" w:sz="0" w:space="0" w:color="auto"/>
                    <w:left w:val="none" w:sz="0" w:space="0" w:color="auto"/>
                    <w:bottom w:val="none" w:sz="0" w:space="0" w:color="auto"/>
                    <w:right w:val="none" w:sz="0" w:space="0" w:color="auto"/>
                  </w:divBdr>
                  <w:divsChild>
                    <w:div w:id="578058828">
                      <w:marLeft w:val="0"/>
                      <w:marRight w:val="0"/>
                      <w:marTop w:val="0"/>
                      <w:marBottom w:val="0"/>
                      <w:divBdr>
                        <w:top w:val="none" w:sz="0" w:space="0" w:color="auto"/>
                        <w:left w:val="none" w:sz="0" w:space="0" w:color="auto"/>
                        <w:bottom w:val="none" w:sz="0" w:space="0" w:color="auto"/>
                        <w:right w:val="none" w:sz="0" w:space="0" w:color="auto"/>
                      </w:divBdr>
                    </w:div>
                  </w:divsChild>
                </w:div>
                <w:div w:id="1518619593">
                  <w:marLeft w:val="0"/>
                  <w:marRight w:val="0"/>
                  <w:marTop w:val="0"/>
                  <w:marBottom w:val="0"/>
                  <w:divBdr>
                    <w:top w:val="none" w:sz="0" w:space="0" w:color="auto"/>
                    <w:left w:val="none" w:sz="0" w:space="0" w:color="auto"/>
                    <w:bottom w:val="none" w:sz="0" w:space="0" w:color="auto"/>
                    <w:right w:val="none" w:sz="0" w:space="0" w:color="auto"/>
                  </w:divBdr>
                  <w:divsChild>
                    <w:div w:id="644161587">
                      <w:marLeft w:val="0"/>
                      <w:marRight w:val="0"/>
                      <w:marTop w:val="0"/>
                      <w:marBottom w:val="0"/>
                      <w:divBdr>
                        <w:top w:val="none" w:sz="0" w:space="0" w:color="auto"/>
                        <w:left w:val="none" w:sz="0" w:space="0" w:color="auto"/>
                        <w:bottom w:val="none" w:sz="0" w:space="0" w:color="auto"/>
                        <w:right w:val="none" w:sz="0" w:space="0" w:color="auto"/>
                      </w:divBdr>
                    </w:div>
                  </w:divsChild>
                </w:div>
                <w:div w:id="1526285881">
                  <w:marLeft w:val="0"/>
                  <w:marRight w:val="0"/>
                  <w:marTop w:val="0"/>
                  <w:marBottom w:val="0"/>
                  <w:divBdr>
                    <w:top w:val="none" w:sz="0" w:space="0" w:color="auto"/>
                    <w:left w:val="none" w:sz="0" w:space="0" w:color="auto"/>
                    <w:bottom w:val="none" w:sz="0" w:space="0" w:color="auto"/>
                    <w:right w:val="none" w:sz="0" w:space="0" w:color="auto"/>
                  </w:divBdr>
                  <w:divsChild>
                    <w:div w:id="569073236">
                      <w:marLeft w:val="0"/>
                      <w:marRight w:val="0"/>
                      <w:marTop w:val="0"/>
                      <w:marBottom w:val="0"/>
                      <w:divBdr>
                        <w:top w:val="none" w:sz="0" w:space="0" w:color="auto"/>
                        <w:left w:val="none" w:sz="0" w:space="0" w:color="auto"/>
                        <w:bottom w:val="none" w:sz="0" w:space="0" w:color="auto"/>
                        <w:right w:val="none" w:sz="0" w:space="0" w:color="auto"/>
                      </w:divBdr>
                    </w:div>
                  </w:divsChild>
                </w:div>
                <w:div w:id="1531072328">
                  <w:marLeft w:val="0"/>
                  <w:marRight w:val="0"/>
                  <w:marTop w:val="0"/>
                  <w:marBottom w:val="0"/>
                  <w:divBdr>
                    <w:top w:val="none" w:sz="0" w:space="0" w:color="auto"/>
                    <w:left w:val="none" w:sz="0" w:space="0" w:color="auto"/>
                    <w:bottom w:val="none" w:sz="0" w:space="0" w:color="auto"/>
                    <w:right w:val="none" w:sz="0" w:space="0" w:color="auto"/>
                  </w:divBdr>
                  <w:divsChild>
                    <w:div w:id="1840071470">
                      <w:marLeft w:val="0"/>
                      <w:marRight w:val="0"/>
                      <w:marTop w:val="0"/>
                      <w:marBottom w:val="0"/>
                      <w:divBdr>
                        <w:top w:val="none" w:sz="0" w:space="0" w:color="auto"/>
                        <w:left w:val="none" w:sz="0" w:space="0" w:color="auto"/>
                        <w:bottom w:val="none" w:sz="0" w:space="0" w:color="auto"/>
                        <w:right w:val="none" w:sz="0" w:space="0" w:color="auto"/>
                      </w:divBdr>
                    </w:div>
                  </w:divsChild>
                </w:div>
                <w:div w:id="1536969464">
                  <w:marLeft w:val="0"/>
                  <w:marRight w:val="0"/>
                  <w:marTop w:val="0"/>
                  <w:marBottom w:val="0"/>
                  <w:divBdr>
                    <w:top w:val="none" w:sz="0" w:space="0" w:color="auto"/>
                    <w:left w:val="none" w:sz="0" w:space="0" w:color="auto"/>
                    <w:bottom w:val="none" w:sz="0" w:space="0" w:color="auto"/>
                    <w:right w:val="none" w:sz="0" w:space="0" w:color="auto"/>
                  </w:divBdr>
                  <w:divsChild>
                    <w:div w:id="700327280">
                      <w:marLeft w:val="0"/>
                      <w:marRight w:val="0"/>
                      <w:marTop w:val="0"/>
                      <w:marBottom w:val="0"/>
                      <w:divBdr>
                        <w:top w:val="none" w:sz="0" w:space="0" w:color="auto"/>
                        <w:left w:val="none" w:sz="0" w:space="0" w:color="auto"/>
                        <w:bottom w:val="none" w:sz="0" w:space="0" w:color="auto"/>
                        <w:right w:val="none" w:sz="0" w:space="0" w:color="auto"/>
                      </w:divBdr>
                    </w:div>
                  </w:divsChild>
                </w:div>
                <w:div w:id="1595356442">
                  <w:marLeft w:val="0"/>
                  <w:marRight w:val="0"/>
                  <w:marTop w:val="0"/>
                  <w:marBottom w:val="0"/>
                  <w:divBdr>
                    <w:top w:val="none" w:sz="0" w:space="0" w:color="auto"/>
                    <w:left w:val="none" w:sz="0" w:space="0" w:color="auto"/>
                    <w:bottom w:val="none" w:sz="0" w:space="0" w:color="auto"/>
                    <w:right w:val="none" w:sz="0" w:space="0" w:color="auto"/>
                  </w:divBdr>
                  <w:divsChild>
                    <w:div w:id="978652577">
                      <w:marLeft w:val="0"/>
                      <w:marRight w:val="0"/>
                      <w:marTop w:val="0"/>
                      <w:marBottom w:val="0"/>
                      <w:divBdr>
                        <w:top w:val="none" w:sz="0" w:space="0" w:color="auto"/>
                        <w:left w:val="none" w:sz="0" w:space="0" w:color="auto"/>
                        <w:bottom w:val="none" w:sz="0" w:space="0" w:color="auto"/>
                        <w:right w:val="none" w:sz="0" w:space="0" w:color="auto"/>
                      </w:divBdr>
                    </w:div>
                  </w:divsChild>
                </w:div>
                <w:div w:id="1616591823">
                  <w:marLeft w:val="0"/>
                  <w:marRight w:val="0"/>
                  <w:marTop w:val="0"/>
                  <w:marBottom w:val="0"/>
                  <w:divBdr>
                    <w:top w:val="none" w:sz="0" w:space="0" w:color="auto"/>
                    <w:left w:val="none" w:sz="0" w:space="0" w:color="auto"/>
                    <w:bottom w:val="none" w:sz="0" w:space="0" w:color="auto"/>
                    <w:right w:val="none" w:sz="0" w:space="0" w:color="auto"/>
                  </w:divBdr>
                  <w:divsChild>
                    <w:div w:id="557790811">
                      <w:marLeft w:val="0"/>
                      <w:marRight w:val="0"/>
                      <w:marTop w:val="0"/>
                      <w:marBottom w:val="0"/>
                      <w:divBdr>
                        <w:top w:val="none" w:sz="0" w:space="0" w:color="auto"/>
                        <w:left w:val="none" w:sz="0" w:space="0" w:color="auto"/>
                        <w:bottom w:val="none" w:sz="0" w:space="0" w:color="auto"/>
                        <w:right w:val="none" w:sz="0" w:space="0" w:color="auto"/>
                      </w:divBdr>
                    </w:div>
                  </w:divsChild>
                </w:div>
                <w:div w:id="1667588017">
                  <w:marLeft w:val="0"/>
                  <w:marRight w:val="0"/>
                  <w:marTop w:val="0"/>
                  <w:marBottom w:val="0"/>
                  <w:divBdr>
                    <w:top w:val="none" w:sz="0" w:space="0" w:color="auto"/>
                    <w:left w:val="none" w:sz="0" w:space="0" w:color="auto"/>
                    <w:bottom w:val="none" w:sz="0" w:space="0" w:color="auto"/>
                    <w:right w:val="none" w:sz="0" w:space="0" w:color="auto"/>
                  </w:divBdr>
                  <w:divsChild>
                    <w:div w:id="352808273">
                      <w:marLeft w:val="0"/>
                      <w:marRight w:val="0"/>
                      <w:marTop w:val="0"/>
                      <w:marBottom w:val="0"/>
                      <w:divBdr>
                        <w:top w:val="none" w:sz="0" w:space="0" w:color="auto"/>
                        <w:left w:val="none" w:sz="0" w:space="0" w:color="auto"/>
                        <w:bottom w:val="none" w:sz="0" w:space="0" w:color="auto"/>
                        <w:right w:val="none" w:sz="0" w:space="0" w:color="auto"/>
                      </w:divBdr>
                    </w:div>
                  </w:divsChild>
                </w:div>
                <w:div w:id="1719670564">
                  <w:marLeft w:val="0"/>
                  <w:marRight w:val="0"/>
                  <w:marTop w:val="0"/>
                  <w:marBottom w:val="0"/>
                  <w:divBdr>
                    <w:top w:val="none" w:sz="0" w:space="0" w:color="auto"/>
                    <w:left w:val="none" w:sz="0" w:space="0" w:color="auto"/>
                    <w:bottom w:val="none" w:sz="0" w:space="0" w:color="auto"/>
                    <w:right w:val="none" w:sz="0" w:space="0" w:color="auto"/>
                  </w:divBdr>
                  <w:divsChild>
                    <w:div w:id="207224925">
                      <w:marLeft w:val="0"/>
                      <w:marRight w:val="0"/>
                      <w:marTop w:val="0"/>
                      <w:marBottom w:val="0"/>
                      <w:divBdr>
                        <w:top w:val="none" w:sz="0" w:space="0" w:color="auto"/>
                        <w:left w:val="none" w:sz="0" w:space="0" w:color="auto"/>
                        <w:bottom w:val="none" w:sz="0" w:space="0" w:color="auto"/>
                        <w:right w:val="none" w:sz="0" w:space="0" w:color="auto"/>
                      </w:divBdr>
                    </w:div>
                    <w:div w:id="1041129261">
                      <w:marLeft w:val="0"/>
                      <w:marRight w:val="0"/>
                      <w:marTop w:val="0"/>
                      <w:marBottom w:val="0"/>
                      <w:divBdr>
                        <w:top w:val="none" w:sz="0" w:space="0" w:color="auto"/>
                        <w:left w:val="none" w:sz="0" w:space="0" w:color="auto"/>
                        <w:bottom w:val="none" w:sz="0" w:space="0" w:color="auto"/>
                        <w:right w:val="none" w:sz="0" w:space="0" w:color="auto"/>
                      </w:divBdr>
                    </w:div>
                    <w:div w:id="1295326452">
                      <w:marLeft w:val="0"/>
                      <w:marRight w:val="0"/>
                      <w:marTop w:val="0"/>
                      <w:marBottom w:val="0"/>
                      <w:divBdr>
                        <w:top w:val="none" w:sz="0" w:space="0" w:color="auto"/>
                        <w:left w:val="none" w:sz="0" w:space="0" w:color="auto"/>
                        <w:bottom w:val="none" w:sz="0" w:space="0" w:color="auto"/>
                        <w:right w:val="none" w:sz="0" w:space="0" w:color="auto"/>
                      </w:divBdr>
                    </w:div>
                    <w:div w:id="1647929665">
                      <w:marLeft w:val="0"/>
                      <w:marRight w:val="0"/>
                      <w:marTop w:val="0"/>
                      <w:marBottom w:val="0"/>
                      <w:divBdr>
                        <w:top w:val="none" w:sz="0" w:space="0" w:color="auto"/>
                        <w:left w:val="none" w:sz="0" w:space="0" w:color="auto"/>
                        <w:bottom w:val="none" w:sz="0" w:space="0" w:color="auto"/>
                        <w:right w:val="none" w:sz="0" w:space="0" w:color="auto"/>
                      </w:divBdr>
                    </w:div>
                    <w:div w:id="1649019070">
                      <w:marLeft w:val="0"/>
                      <w:marRight w:val="0"/>
                      <w:marTop w:val="0"/>
                      <w:marBottom w:val="0"/>
                      <w:divBdr>
                        <w:top w:val="none" w:sz="0" w:space="0" w:color="auto"/>
                        <w:left w:val="none" w:sz="0" w:space="0" w:color="auto"/>
                        <w:bottom w:val="none" w:sz="0" w:space="0" w:color="auto"/>
                        <w:right w:val="none" w:sz="0" w:space="0" w:color="auto"/>
                      </w:divBdr>
                    </w:div>
                  </w:divsChild>
                </w:div>
                <w:div w:id="1769736183">
                  <w:marLeft w:val="0"/>
                  <w:marRight w:val="0"/>
                  <w:marTop w:val="0"/>
                  <w:marBottom w:val="0"/>
                  <w:divBdr>
                    <w:top w:val="none" w:sz="0" w:space="0" w:color="auto"/>
                    <w:left w:val="none" w:sz="0" w:space="0" w:color="auto"/>
                    <w:bottom w:val="none" w:sz="0" w:space="0" w:color="auto"/>
                    <w:right w:val="none" w:sz="0" w:space="0" w:color="auto"/>
                  </w:divBdr>
                  <w:divsChild>
                    <w:div w:id="237987011">
                      <w:marLeft w:val="0"/>
                      <w:marRight w:val="0"/>
                      <w:marTop w:val="0"/>
                      <w:marBottom w:val="0"/>
                      <w:divBdr>
                        <w:top w:val="none" w:sz="0" w:space="0" w:color="auto"/>
                        <w:left w:val="none" w:sz="0" w:space="0" w:color="auto"/>
                        <w:bottom w:val="none" w:sz="0" w:space="0" w:color="auto"/>
                        <w:right w:val="none" w:sz="0" w:space="0" w:color="auto"/>
                      </w:divBdr>
                    </w:div>
                    <w:div w:id="935090729">
                      <w:marLeft w:val="0"/>
                      <w:marRight w:val="0"/>
                      <w:marTop w:val="0"/>
                      <w:marBottom w:val="0"/>
                      <w:divBdr>
                        <w:top w:val="none" w:sz="0" w:space="0" w:color="auto"/>
                        <w:left w:val="none" w:sz="0" w:space="0" w:color="auto"/>
                        <w:bottom w:val="none" w:sz="0" w:space="0" w:color="auto"/>
                        <w:right w:val="none" w:sz="0" w:space="0" w:color="auto"/>
                      </w:divBdr>
                    </w:div>
                  </w:divsChild>
                </w:div>
                <w:div w:id="1774588464">
                  <w:marLeft w:val="0"/>
                  <w:marRight w:val="0"/>
                  <w:marTop w:val="0"/>
                  <w:marBottom w:val="0"/>
                  <w:divBdr>
                    <w:top w:val="none" w:sz="0" w:space="0" w:color="auto"/>
                    <w:left w:val="none" w:sz="0" w:space="0" w:color="auto"/>
                    <w:bottom w:val="none" w:sz="0" w:space="0" w:color="auto"/>
                    <w:right w:val="none" w:sz="0" w:space="0" w:color="auto"/>
                  </w:divBdr>
                  <w:divsChild>
                    <w:div w:id="549074593">
                      <w:marLeft w:val="0"/>
                      <w:marRight w:val="0"/>
                      <w:marTop w:val="0"/>
                      <w:marBottom w:val="0"/>
                      <w:divBdr>
                        <w:top w:val="none" w:sz="0" w:space="0" w:color="auto"/>
                        <w:left w:val="none" w:sz="0" w:space="0" w:color="auto"/>
                        <w:bottom w:val="none" w:sz="0" w:space="0" w:color="auto"/>
                        <w:right w:val="none" w:sz="0" w:space="0" w:color="auto"/>
                      </w:divBdr>
                    </w:div>
                  </w:divsChild>
                </w:div>
                <w:div w:id="1789155820">
                  <w:marLeft w:val="0"/>
                  <w:marRight w:val="0"/>
                  <w:marTop w:val="0"/>
                  <w:marBottom w:val="0"/>
                  <w:divBdr>
                    <w:top w:val="none" w:sz="0" w:space="0" w:color="auto"/>
                    <w:left w:val="none" w:sz="0" w:space="0" w:color="auto"/>
                    <w:bottom w:val="none" w:sz="0" w:space="0" w:color="auto"/>
                    <w:right w:val="none" w:sz="0" w:space="0" w:color="auto"/>
                  </w:divBdr>
                  <w:divsChild>
                    <w:div w:id="336469257">
                      <w:marLeft w:val="0"/>
                      <w:marRight w:val="0"/>
                      <w:marTop w:val="0"/>
                      <w:marBottom w:val="0"/>
                      <w:divBdr>
                        <w:top w:val="none" w:sz="0" w:space="0" w:color="auto"/>
                        <w:left w:val="none" w:sz="0" w:space="0" w:color="auto"/>
                        <w:bottom w:val="none" w:sz="0" w:space="0" w:color="auto"/>
                        <w:right w:val="none" w:sz="0" w:space="0" w:color="auto"/>
                      </w:divBdr>
                    </w:div>
                  </w:divsChild>
                </w:div>
                <w:div w:id="1803888837">
                  <w:marLeft w:val="0"/>
                  <w:marRight w:val="0"/>
                  <w:marTop w:val="0"/>
                  <w:marBottom w:val="0"/>
                  <w:divBdr>
                    <w:top w:val="none" w:sz="0" w:space="0" w:color="auto"/>
                    <w:left w:val="none" w:sz="0" w:space="0" w:color="auto"/>
                    <w:bottom w:val="none" w:sz="0" w:space="0" w:color="auto"/>
                    <w:right w:val="none" w:sz="0" w:space="0" w:color="auto"/>
                  </w:divBdr>
                  <w:divsChild>
                    <w:div w:id="413358860">
                      <w:marLeft w:val="0"/>
                      <w:marRight w:val="0"/>
                      <w:marTop w:val="0"/>
                      <w:marBottom w:val="0"/>
                      <w:divBdr>
                        <w:top w:val="none" w:sz="0" w:space="0" w:color="auto"/>
                        <w:left w:val="none" w:sz="0" w:space="0" w:color="auto"/>
                        <w:bottom w:val="none" w:sz="0" w:space="0" w:color="auto"/>
                        <w:right w:val="none" w:sz="0" w:space="0" w:color="auto"/>
                      </w:divBdr>
                    </w:div>
                  </w:divsChild>
                </w:div>
                <w:div w:id="1870491035">
                  <w:marLeft w:val="0"/>
                  <w:marRight w:val="0"/>
                  <w:marTop w:val="0"/>
                  <w:marBottom w:val="0"/>
                  <w:divBdr>
                    <w:top w:val="none" w:sz="0" w:space="0" w:color="auto"/>
                    <w:left w:val="none" w:sz="0" w:space="0" w:color="auto"/>
                    <w:bottom w:val="none" w:sz="0" w:space="0" w:color="auto"/>
                    <w:right w:val="none" w:sz="0" w:space="0" w:color="auto"/>
                  </w:divBdr>
                  <w:divsChild>
                    <w:div w:id="696009903">
                      <w:marLeft w:val="0"/>
                      <w:marRight w:val="0"/>
                      <w:marTop w:val="0"/>
                      <w:marBottom w:val="0"/>
                      <w:divBdr>
                        <w:top w:val="none" w:sz="0" w:space="0" w:color="auto"/>
                        <w:left w:val="none" w:sz="0" w:space="0" w:color="auto"/>
                        <w:bottom w:val="none" w:sz="0" w:space="0" w:color="auto"/>
                        <w:right w:val="none" w:sz="0" w:space="0" w:color="auto"/>
                      </w:divBdr>
                    </w:div>
                    <w:div w:id="1403716801">
                      <w:marLeft w:val="0"/>
                      <w:marRight w:val="0"/>
                      <w:marTop w:val="0"/>
                      <w:marBottom w:val="0"/>
                      <w:divBdr>
                        <w:top w:val="none" w:sz="0" w:space="0" w:color="auto"/>
                        <w:left w:val="none" w:sz="0" w:space="0" w:color="auto"/>
                        <w:bottom w:val="none" w:sz="0" w:space="0" w:color="auto"/>
                        <w:right w:val="none" w:sz="0" w:space="0" w:color="auto"/>
                      </w:divBdr>
                    </w:div>
                    <w:div w:id="1484539191">
                      <w:marLeft w:val="0"/>
                      <w:marRight w:val="0"/>
                      <w:marTop w:val="0"/>
                      <w:marBottom w:val="0"/>
                      <w:divBdr>
                        <w:top w:val="none" w:sz="0" w:space="0" w:color="auto"/>
                        <w:left w:val="none" w:sz="0" w:space="0" w:color="auto"/>
                        <w:bottom w:val="none" w:sz="0" w:space="0" w:color="auto"/>
                        <w:right w:val="none" w:sz="0" w:space="0" w:color="auto"/>
                      </w:divBdr>
                    </w:div>
                    <w:div w:id="1876573193">
                      <w:marLeft w:val="0"/>
                      <w:marRight w:val="0"/>
                      <w:marTop w:val="0"/>
                      <w:marBottom w:val="0"/>
                      <w:divBdr>
                        <w:top w:val="none" w:sz="0" w:space="0" w:color="auto"/>
                        <w:left w:val="none" w:sz="0" w:space="0" w:color="auto"/>
                        <w:bottom w:val="none" w:sz="0" w:space="0" w:color="auto"/>
                        <w:right w:val="none" w:sz="0" w:space="0" w:color="auto"/>
                      </w:divBdr>
                    </w:div>
                    <w:div w:id="2132238101">
                      <w:marLeft w:val="0"/>
                      <w:marRight w:val="0"/>
                      <w:marTop w:val="0"/>
                      <w:marBottom w:val="0"/>
                      <w:divBdr>
                        <w:top w:val="none" w:sz="0" w:space="0" w:color="auto"/>
                        <w:left w:val="none" w:sz="0" w:space="0" w:color="auto"/>
                        <w:bottom w:val="none" w:sz="0" w:space="0" w:color="auto"/>
                        <w:right w:val="none" w:sz="0" w:space="0" w:color="auto"/>
                      </w:divBdr>
                    </w:div>
                  </w:divsChild>
                </w:div>
                <w:div w:id="1873765515">
                  <w:marLeft w:val="0"/>
                  <w:marRight w:val="0"/>
                  <w:marTop w:val="0"/>
                  <w:marBottom w:val="0"/>
                  <w:divBdr>
                    <w:top w:val="none" w:sz="0" w:space="0" w:color="auto"/>
                    <w:left w:val="none" w:sz="0" w:space="0" w:color="auto"/>
                    <w:bottom w:val="none" w:sz="0" w:space="0" w:color="auto"/>
                    <w:right w:val="none" w:sz="0" w:space="0" w:color="auto"/>
                  </w:divBdr>
                  <w:divsChild>
                    <w:div w:id="1277177395">
                      <w:marLeft w:val="0"/>
                      <w:marRight w:val="0"/>
                      <w:marTop w:val="0"/>
                      <w:marBottom w:val="0"/>
                      <w:divBdr>
                        <w:top w:val="none" w:sz="0" w:space="0" w:color="auto"/>
                        <w:left w:val="none" w:sz="0" w:space="0" w:color="auto"/>
                        <w:bottom w:val="none" w:sz="0" w:space="0" w:color="auto"/>
                        <w:right w:val="none" w:sz="0" w:space="0" w:color="auto"/>
                      </w:divBdr>
                    </w:div>
                  </w:divsChild>
                </w:div>
                <w:div w:id="1960453729">
                  <w:marLeft w:val="0"/>
                  <w:marRight w:val="0"/>
                  <w:marTop w:val="0"/>
                  <w:marBottom w:val="0"/>
                  <w:divBdr>
                    <w:top w:val="none" w:sz="0" w:space="0" w:color="auto"/>
                    <w:left w:val="none" w:sz="0" w:space="0" w:color="auto"/>
                    <w:bottom w:val="none" w:sz="0" w:space="0" w:color="auto"/>
                    <w:right w:val="none" w:sz="0" w:space="0" w:color="auto"/>
                  </w:divBdr>
                  <w:divsChild>
                    <w:div w:id="131752263">
                      <w:marLeft w:val="0"/>
                      <w:marRight w:val="0"/>
                      <w:marTop w:val="0"/>
                      <w:marBottom w:val="0"/>
                      <w:divBdr>
                        <w:top w:val="none" w:sz="0" w:space="0" w:color="auto"/>
                        <w:left w:val="none" w:sz="0" w:space="0" w:color="auto"/>
                        <w:bottom w:val="none" w:sz="0" w:space="0" w:color="auto"/>
                        <w:right w:val="none" w:sz="0" w:space="0" w:color="auto"/>
                      </w:divBdr>
                    </w:div>
                  </w:divsChild>
                </w:div>
                <w:div w:id="2007977306">
                  <w:marLeft w:val="0"/>
                  <w:marRight w:val="0"/>
                  <w:marTop w:val="0"/>
                  <w:marBottom w:val="0"/>
                  <w:divBdr>
                    <w:top w:val="none" w:sz="0" w:space="0" w:color="auto"/>
                    <w:left w:val="none" w:sz="0" w:space="0" w:color="auto"/>
                    <w:bottom w:val="none" w:sz="0" w:space="0" w:color="auto"/>
                    <w:right w:val="none" w:sz="0" w:space="0" w:color="auto"/>
                  </w:divBdr>
                  <w:divsChild>
                    <w:div w:id="1930456482">
                      <w:marLeft w:val="0"/>
                      <w:marRight w:val="0"/>
                      <w:marTop w:val="0"/>
                      <w:marBottom w:val="0"/>
                      <w:divBdr>
                        <w:top w:val="none" w:sz="0" w:space="0" w:color="auto"/>
                        <w:left w:val="none" w:sz="0" w:space="0" w:color="auto"/>
                        <w:bottom w:val="none" w:sz="0" w:space="0" w:color="auto"/>
                        <w:right w:val="none" w:sz="0" w:space="0" w:color="auto"/>
                      </w:divBdr>
                    </w:div>
                  </w:divsChild>
                </w:div>
                <w:div w:id="2009208989">
                  <w:marLeft w:val="0"/>
                  <w:marRight w:val="0"/>
                  <w:marTop w:val="0"/>
                  <w:marBottom w:val="0"/>
                  <w:divBdr>
                    <w:top w:val="none" w:sz="0" w:space="0" w:color="auto"/>
                    <w:left w:val="none" w:sz="0" w:space="0" w:color="auto"/>
                    <w:bottom w:val="none" w:sz="0" w:space="0" w:color="auto"/>
                    <w:right w:val="none" w:sz="0" w:space="0" w:color="auto"/>
                  </w:divBdr>
                  <w:divsChild>
                    <w:div w:id="2124766267">
                      <w:marLeft w:val="0"/>
                      <w:marRight w:val="0"/>
                      <w:marTop w:val="0"/>
                      <w:marBottom w:val="0"/>
                      <w:divBdr>
                        <w:top w:val="none" w:sz="0" w:space="0" w:color="auto"/>
                        <w:left w:val="none" w:sz="0" w:space="0" w:color="auto"/>
                        <w:bottom w:val="none" w:sz="0" w:space="0" w:color="auto"/>
                        <w:right w:val="none" w:sz="0" w:space="0" w:color="auto"/>
                      </w:divBdr>
                    </w:div>
                  </w:divsChild>
                </w:div>
                <w:div w:id="2010325725">
                  <w:marLeft w:val="0"/>
                  <w:marRight w:val="0"/>
                  <w:marTop w:val="0"/>
                  <w:marBottom w:val="0"/>
                  <w:divBdr>
                    <w:top w:val="none" w:sz="0" w:space="0" w:color="auto"/>
                    <w:left w:val="none" w:sz="0" w:space="0" w:color="auto"/>
                    <w:bottom w:val="none" w:sz="0" w:space="0" w:color="auto"/>
                    <w:right w:val="none" w:sz="0" w:space="0" w:color="auto"/>
                  </w:divBdr>
                  <w:divsChild>
                    <w:div w:id="1822229861">
                      <w:marLeft w:val="0"/>
                      <w:marRight w:val="0"/>
                      <w:marTop w:val="0"/>
                      <w:marBottom w:val="0"/>
                      <w:divBdr>
                        <w:top w:val="none" w:sz="0" w:space="0" w:color="auto"/>
                        <w:left w:val="none" w:sz="0" w:space="0" w:color="auto"/>
                        <w:bottom w:val="none" w:sz="0" w:space="0" w:color="auto"/>
                        <w:right w:val="none" w:sz="0" w:space="0" w:color="auto"/>
                      </w:divBdr>
                    </w:div>
                  </w:divsChild>
                </w:div>
                <w:div w:id="2037657811">
                  <w:marLeft w:val="0"/>
                  <w:marRight w:val="0"/>
                  <w:marTop w:val="0"/>
                  <w:marBottom w:val="0"/>
                  <w:divBdr>
                    <w:top w:val="none" w:sz="0" w:space="0" w:color="auto"/>
                    <w:left w:val="none" w:sz="0" w:space="0" w:color="auto"/>
                    <w:bottom w:val="none" w:sz="0" w:space="0" w:color="auto"/>
                    <w:right w:val="none" w:sz="0" w:space="0" w:color="auto"/>
                  </w:divBdr>
                  <w:divsChild>
                    <w:div w:id="995382551">
                      <w:marLeft w:val="0"/>
                      <w:marRight w:val="0"/>
                      <w:marTop w:val="0"/>
                      <w:marBottom w:val="0"/>
                      <w:divBdr>
                        <w:top w:val="none" w:sz="0" w:space="0" w:color="auto"/>
                        <w:left w:val="none" w:sz="0" w:space="0" w:color="auto"/>
                        <w:bottom w:val="none" w:sz="0" w:space="0" w:color="auto"/>
                        <w:right w:val="none" w:sz="0" w:space="0" w:color="auto"/>
                      </w:divBdr>
                    </w:div>
                  </w:divsChild>
                </w:div>
                <w:div w:id="2065519067">
                  <w:marLeft w:val="0"/>
                  <w:marRight w:val="0"/>
                  <w:marTop w:val="0"/>
                  <w:marBottom w:val="0"/>
                  <w:divBdr>
                    <w:top w:val="none" w:sz="0" w:space="0" w:color="auto"/>
                    <w:left w:val="none" w:sz="0" w:space="0" w:color="auto"/>
                    <w:bottom w:val="none" w:sz="0" w:space="0" w:color="auto"/>
                    <w:right w:val="none" w:sz="0" w:space="0" w:color="auto"/>
                  </w:divBdr>
                  <w:divsChild>
                    <w:div w:id="447894016">
                      <w:marLeft w:val="0"/>
                      <w:marRight w:val="0"/>
                      <w:marTop w:val="0"/>
                      <w:marBottom w:val="0"/>
                      <w:divBdr>
                        <w:top w:val="none" w:sz="0" w:space="0" w:color="auto"/>
                        <w:left w:val="none" w:sz="0" w:space="0" w:color="auto"/>
                        <w:bottom w:val="none" w:sz="0" w:space="0" w:color="auto"/>
                        <w:right w:val="none" w:sz="0" w:space="0" w:color="auto"/>
                      </w:divBdr>
                    </w:div>
                  </w:divsChild>
                </w:div>
                <w:div w:id="2133553145">
                  <w:marLeft w:val="0"/>
                  <w:marRight w:val="0"/>
                  <w:marTop w:val="0"/>
                  <w:marBottom w:val="0"/>
                  <w:divBdr>
                    <w:top w:val="none" w:sz="0" w:space="0" w:color="auto"/>
                    <w:left w:val="none" w:sz="0" w:space="0" w:color="auto"/>
                    <w:bottom w:val="none" w:sz="0" w:space="0" w:color="auto"/>
                    <w:right w:val="none" w:sz="0" w:space="0" w:color="auto"/>
                  </w:divBdr>
                  <w:divsChild>
                    <w:div w:id="726532099">
                      <w:marLeft w:val="0"/>
                      <w:marRight w:val="0"/>
                      <w:marTop w:val="0"/>
                      <w:marBottom w:val="0"/>
                      <w:divBdr>
                        <w:top w:val="none" w:sz="0" w:space="0" w:color="auto"/>
                        <w:left w:val="none" w:sz="0" w:space="0" w:color="auto"/>
                        <w:bottom w:val="none" w:sz="0" w:space="0" w:color="auto"/>
                        <w:right w:val="none" w:sz="0" w:space="0" w:color="auto"/>
                      </w:divBdr>
                    </w:div>
                  </w:divsChild>
                </w:div>
                <w:div w:id="2141267037">
                  <w:marLeft w:val="0"/>
                  <w:marRight w:val="0"/>
                  <w:marTop w:val="0"/>
                  <w:marBottom w:val="0"/>
                  <w:divBdr>
                    <w:top w:val="none" w:sz="0" w:space="0" w:color="auto"/>
                    <w:left w:val="none" w:sz="0" w:space="0" w:color="auto"/>
                    <w:bottom w:val="none" w:sz="0" w:space="0" w:color="auto"/>
                    <w:right w:val="none" w:sz="0" w:space="0" w:color="auto"/>
                  </w:divBdr>
                  <w:divsChild>
                    <w:div w:id="17643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798710">
      <w:bodyDiv w:val="1"/>
      <w:marLeft w:val="0"/>
      <w:marRight w:val="0"/>
      <w:marTop w:val="0"/>
      <w:marBottom w:val="0"/>
      <w:divBdr>
        <w:top w:val="none" w:sz="0" w:space="0" w:color="auto"/>
        <w:left w:val="none" w:sz="0" w:space="0" w:color="auto"/>
        <w:bottom w:val="none" w:sz="0" w:space="0" w:color="auto"/>
        <w:right w:val="none" w:sz="0" w:space="0" w:color="auto"/>
      </w:divBdr>
    </w:div>
    <w:div w:id="745884358">
      <w:bodyDiv w:val="1"/>
      <w:marLeft w:val="0"/>
      <w:marRight w:val="0"/>
      <w:marTop w:val="0"/>
      <w:marBottom w:val="0"/>
      <w:divBdr>
        <w:top w:val="none" w:sz="0" w:space="0" w:color="auto"/>
        <w:left w:val="none" w:sz="0" w:space="0" w:color="auto"/>
        <w:bottom w:val="none" w:sz="0" w:space="0" w:color="auto"/>
        <w:right w:val="none" w:sz="0" w:space="0" w:color="auto"/>
      </w:divBdr>
      <w:divsChild>
        <w:div w:id="22941715">
          <w:marLeft w:val="0"/>
          <w:marRight w:val="0"/>
          <w:marTop w:val="0"/>
          <w:marBottom w:val="0"/>
          <w:divBdr>
            <w:top w:val="none" w:sz="0" w:space="0" w:color="auto"/>
            <w:left w:val="none" w:sz="0" w:space="0" w:color="auto"/>
            <w:bottom w:val="none" w:sz="0" w:space="0" w:color="auto"/>
            <w:right w:val="none" w:sz="0" w:space="0" w:color="auto"/>
          </w:divBdr>
        </w:div>
        <w:div w:id="150682749">
          <w:marLeft w:val="0"/>
          <w:marRight w:val="0"/>
          <w:marTop w:val="0"/>
          <w:marBottom w:val="0"/>
          <w:divBdr>
            <w:top w:val="none" w:sz="0" w:space="0" w:color="auto"/>
            <w:left w:val="none" w:sz="0" w:space="0" w:color="auto"/>
            <w:bottom w:val="none" w:sz="0" w:space="0" w:color="auto"/>
            <w:right w:val="none" w:sz="0" w:space="0" w:color="auto"/>
          </w:divBdr>
        </w:div>
        <w:div w:id="196623998">
          <w:marLeft w:val="0"/>
          <w:marRight w:val="0"/>
          <w:marTop w:val="0"/>
          <w:marBottom w:val="0"/>
          <w:divBdr>
            <w:top w:val="none" w:sz="0" w:space="0" w:color="auto"/>
            <w:left w:val="none" w:sz="0" w:space="0" w:color="auto"/>
            <w:bottom w:val="none" w:sz="0" w:space="0" w:color="auto"/>
            <w:right w:val="none" w:sz="0" w:space="0" w:color="auto"/>
          </w:divBdr>
        </w:div>
        <w:div w:id="201678658">
          <w:marLeft w:val="0"/>
          <w:marRight w:val="0"/>
          <w:marTop w:val="0"/>
          <w:marBottom w:val="0"/>
          <w:divBdr>
            <w:top w:val="none" w:sz="0" w:space="0" w:color="auto"/>
            <w:left w:val="none" w:sz="0" w:space="0" w:color="auto"/>
            <w:bottom w:val="none" w:sz="0" w:space="0" w:color="auto"/>
            <w:right w:val="none" w:sz="0" w:space="0" w:color="auto"/>
          </w:divBdr>
        </w:div>
        <w:div w:id="203717232">
          <w:marLeft w:val="0"/>
          <w:marRight w:val="0"/>
          <w:marTop w:val="0"/>
          <w:marBottom w:val="0"/>
          <w:divBdr>
            <w:top w:val="none" w:sz="0" w:space="0" w:color="auto"/>
            <w:left w:val="none" w:sz="0" w:space="0" w:color="auto"/>
            <w:bottom w:val="none" w:sz="0" w:space="0" w:color="auto"/>
            <w:right w:val="none" w:sz="0" w:space="0" w:color="auto"/>
          </w:divBdr>
        </w:div>
        <w:div w:id="228735433">
          <w:marLeft w:val="0"/>
          <w:marRight w:val="0"/>
          <w:marTop w:val="0"/>
          <w:marBottom w:val="0"/>
          <w:divBdr>
            <w:top w:val="none" w:sz="0" w:space="0" w:color="auto"/>
            <w:left w:val="none" w:sz="0" w:space="0" w:color="auto"/>
            <w:bottom w:val="none" w:sz="0" w:space="0" w:color="auto"/>
            <w:right w:val="none" w:sz="0" w:space="0" w:color="auto"/>
          </w:divBdr>
        </w:div>
        <w:div w:id="255746554">
          <w:marLeft w:val="0"/>
          <w:marRight w:val="0"/>
          <w:marTop w:val="0"/>
          <w:marBottom w:val="0"/>
          <w:divBdr>
            <w:top w:val="none" w:sz="0" w:space="0" w:color="auto"/>
            <w:left w:val="none" w:sz="0" w:space="0" w:color="auto"/>
            <w:bottom w:val="none" w:sz="0" w:space="0" w:color="auto"/>
            <w:right w:val="none" w:sz="0" w:space="0" w:color="auto"/>
          </w:divBdr>
        </w:div>
        <w:div w:id="270553946">
          <w:marLeft w:val="-75"/>
          <w:marRight w:val="0"/>
          <w:marTop w:val="30"/>
          <w:marBottom w:val="30"/>
          <w:divBdr>
            <w:top w:val="none" w:sz="0" w:space="0" w:color="auto"/>
            <w:left w:val="none" w:sz="0" w:space="0" w:color="auto"/>
            <w:bottom w:val="none" w:sz="0" w:space="0" w:color="auto"/>
            <w:right w:val="none" w:sz="0" w:space="0" w:color="auto"/>
          </w:divBdr>
          <w:divsChild>
            <w:div w:id="170923612">
              <w:marLeft w:val="0"/>
              <w:marRight w:val="0"/>
              <w:marTop w:val="0"/>
              <w:marBottom w:val="0"/>
              <w:divBdr>
                <w:top w:val="none" w:sz="0" w:space="0" w:color="auto"/>
                <w:left w:val="none" w:sz="0" w:space="0" w:color="auto"/>
                <w:bottom w:val="none" w:sz="0" w:space="0" w:color="auto"/>
                <w:right w:val="none" w:sz="0" w:space="0" w:color="auto"/>
              </w:divBdr>
              <w:divsChild>
                <w:div w:id="1869677552">
                  <w:marLeft w:val="0"/>
                  <w:marRight w:val="0"/>
                  <w:marTop w:val="0"/>
                  <w:marBottom w:val="0"/>
                  <w:divBdr>
                    <w:top w:val="none" w:sz="0" w:space="0" w:color="auto"/>
                    <w:left w:val="none" w:sz="0" w:space="0" w:color="auto"/>
                    <w:bottom w:val="none" w:sz="0" w:space="0" w:color="auto"/>
                    <w:right w:val="none" w:sz="0" w:space="0" w:color="auto"/>
                  </w:divBdr>
                </w:div>
              </w:divsChild>
            </w:div>
            <w:div w:id="220210550">
              <w:marLeft w:val="0"/>
              <w:marRight w:val="0"/>
              <w:marTop w:val="0"/>
              <w:marBottom w:val="0"/>
              <w:divBdr>
                <w:top w:val="none" w:sz="0" w:space="0" w:color="auto"/>
                <w:left w:val="none" w:sz="0" w:space="0" w:color="auto"/>
                <w:bottom w:val="none" w:sz="0" w:space="0" w:color="auto"/>
                <w:right w:val="none" w:sz="0" w:space="0" w:color="auto"/>
              </w:divBdr>
              <w:divsChild>
                <w:div w:id="2041128432">
                  <w:marLeft w:val="0"/>
                  <w:marRight w:val="0"/>
                  <w:marTop w:val="0"/>
                  <w:marBottom w:val="0"/>
                  <w:divBdr>
                    <w:top w:val="none" w:sz="0" w:space="0" w:color="auto"/>
                    <w:left w:val="none" w:sz="0" w:space="0" w:color="auto"/>
                    <w:bottom w:val="none" w:sz="0" w:space="0" w:color="auto"/>
                    <w:right w:val="none" w:sz="0" w:space="0" w:color="auto"/>
                  </w:divBdr>
                </w:div>
              </w:divsChild>
            </w:div>
            <w:div w:id="608120451">
              <w:marLeft w:val="0"/>
              <w:marRight w:val="0"/>
              <w:marTop w:val="0"/>
              <w:marBottom w:val="0"/>
              <w:divBdr>
                <w:top w:val="none" w:sz="0" w:space="0" w:color="auto"/>
                <w:left w:val="none" w:sz="0" w:space="0" w:color="auto"/>
                <w:bottom w:val="none" w:sz="0" w:space="0" w:color="auto"/>
                <w:right w:val="none" w:sz="0" w:space="0" w:color="auto"/>
              </w:divBdr>
              <w:divsChild>
                <w:div w:id="1187451399">
                  <w:marLeft w:val="0"/>
                  <w:marRight w:val="0"/>
                  <w:marTop w:val="0"/>
                  <w:marBottom w:val="0"/>
                  <w:divBdr>
                    <w:top w:val="none" w:sz="0" w:space="0" w:color="auto"/>
                    <w:left w:val="none" w:sz="0" w:space="0" w:color="auto"/>
                    <w:bottom w:val="none" w:sz="0" w:space="0" w:color="auto"/>
                    <w:right w:val="none" w:sz="0" w:space="0" w:color="auto"/>
                  </w:divBdr>
                </w:div>
              </w:divsChild>
            </w:div>
            <w:div w:id="743911007">
              <w:marLeft w:val="0"/>
              <w:marRight w:val="0"/>
              <w:marTop w:val="0"/>
              <w:marBottom w:val="0"/>
              <w:divBdr>
                <w:top w:val="none" w:sz="0" w:space="0" w:color="auto"/>
                <w:left w:val="none" w:sz="0" w:space="0" w:color="auto"/>
                <w:bottom w:val="none" w:sz="0" w:space="0" w:color="auto"/>
                <w:right w:val="none" w:sz="0" w:space="0" w:color="auto"/>
              </w:divBdr>
              <w:divsChild>
                <w:div w:id="263926061">
                  <w:marLeft w:val="0"/>
                  <w:marRight w:val="0"/>
                  <w:marTop w:val="0"/>
                  <w:marBottom w:val="0"/>
                  <w:divBdr>
                    <w:top w:val="none" w:sz="0" w:space="0" w:color="auto"/>
                    <w:left w:val="none" w:sz="0" w:space="0" w:color="auto"/>
                    <w:bottom w:val="none" w:sz="0" w:space="0" w:color="auto"/>
                    <w:right w:val="none" w:sz="0" w:space="0" w:color="auto"/>
                  </w:divBdr>
                </w:div>
              </w:divsChild>
            </w:div>
            <w:div w:id="1059280872">
              <w:marLeft w:val="0"/>
              <w:marRight w:val="0"/>
              <w:marTop w:val="0"/>
              <w:marBottom w:val="0"/>
              <w:divBdr>
                <w:top w:val="none" w:sz="0" w:space="0" w:color="auto"/>
                <w:left w:val="none" w:sz="0" w:space="0" w:color="auto"/>
                <w:bottom w:val="none" w:sz="0" w:space="0" w:color="auto"/>
                <w:right w:val="none" w:sz="0" w:space="0" w:color="auto"/>
              </w:divBdr>
              <w:divsChild>
                <w:div w:id="897327698">
                  <w:marLeft w:val="0"/>
                  <w:marRight w:val="0"/>
                  <w:marTop w:val="0"/>
                  <w:marBottom w:val="0"/>
                  <w:divBdr>
                    <w:top w:val="none" w:sz="0" w:space="0" w:color="auto"/>
                    <w:left w:val="none" w:sz="0" w:space="0" w:color="auto"/>
                    <w:bottom w:val="none" w:sz="0" w:space="0" w:color="auto"/>
                    <w:right w:val="none" w:sz="0" w:space="0" w:color="auto"/>
                  </w:divBdr>
                </w:div>
              </w:divsChild>
            </w:div>
            <w:div w:id="1128745055">
              <w:marLeft w:val="0"/>
              <w:marRight w:val="0"/>
              <w:marTop w:val="0"/>
              <w:marBottom w:val="0"/>
              <w:divBdr>
                <w:top w:val="none" w:sz="0" w:space="0" w:color="auto"/>
                <w:left w:val="none" w:sz="0" w:space="0" w:color="auto"/>
                <w:bottom w:val="none" w:sz="0" w:space="0" w:color="auto"/>
                <w:right w:val="none" w:sz="0" w:space="0" w:color="auto"/>
              </w:divBdr>
              <w:divsChild>
                <w:div w:id="2109957629">
                  <w:marLeft w:val="0"/>
                  <w:marRight w:val="0"/>
                  <w:marTop w:val="0"/>
                  <w:marBottom w:val="0"/>
                  <w:divBdr>
                    <w:top w:val="none" w:sz="0" w:space="0" w:color="auto"/>
                    <w:left w:val="none" w:sz="0" w:space="0" w:color="auto"/>
                    <w:bottom w:val="none" w:sz="0" w:space="0" w:color="auto"/>
                    <w:right w:val="none" w:sz="0" w:space="0" w:color="auto"/>
                  </w:divBdr>
                </w:div>
              </w:divsChild>
            </w:div>
            <w:div w:id="1632056672">
              <w:marLeft w:val="0"/>
              <w:marRight w:val="0"/>
              <w:marTop w:val="0"/>
              <w:marBottom w:val="0"/>
              <w:divBdr>
                <w:top w:val="none" w:sz="0" w:space="0" w:color="auto"/>
                <w:left w:val="none" w:sz="0" w:space="0" w:color="auto"/>
                <w:bottom w:val="none" w:sz="0" w:space="0" w:color="auto"/>
                <w:right w:val="none" w:sz="0" w:space="0" w:color="auto"/>
              </w:divBdr>
              <w:divsChild>
                <w:div w:id="392891235">
                  <w:marLeft w:val="0"/>
                  <w:marRight w:val="0"/>
                  <w:marTop w:val="0"/>
                  <w:marBottom w:val="0"/>
                  <w:divBdr>
                    <w:top w:val="none" w:sz="0" w:space="0" w:color="auto"/>
                    <w:left w:val="none" w:sz="0" w:space="0" w:color="auto"/>
                    <w:bottom w:val="none" w:sz="0" w:space="0" w:color="auto"/>
                    <w:right w:val="none" w:sz="0" w:space="0" w:color="auto"/>
                  </w:divBdr>
                </w:div>
              </w:divsChild>
            </w:div>
            <w:div w:id="1712338511">
              <w:marLeft w:val="0"/>
              <w:marRight w:val="0"/>
              <w:marTop w:val="0"/>
              <w:marBottom w:val="0"/>
              <w:divBdr>
                <w:top w:val="none" w:sz="0" w:space="0" w:color="auto"/>
                <w:left w:val="none" w:sz="0" w:space="0" w:color="auto"/>
                <w:bottom w:val="none" w:sz="0" w:space="0" w:color="auto"/>
                <w:right w:val="none" w:sz="0" w:space="0" w:color="auto"/>
              </w:divBdr>
              <w:divsChild>
                <w:div w:id="608318400">
                  <w:marLeft w:val="0"/>
                  <w:marRight w:val="0"/>
                  <w:marTop w:val="0"/>
                  <w:marBottom w:val="0"/>
                  <w:divBdr>
                    <w:top w:val="none" w:sz="0" w:space="0" w:color="auto"/>
                    <w:left w:val="none" w:sz="0" w:space="0" w:color="auto"/>
                    <w:bottom w:val="none" w:sz="0" w:space="0" w:color="auto"/>
                    <w:right w:val="none" w:sz="0" w:space="0" w:color="auto"/>
                  </w:divBdr>
                </w:div>
              </w:divsChild>
            </w:div>
            <w:div w:id="1713311116">
              <w:marLeft w:val="0"/>
              <w:marRight w:val="0"/>
              <w:marTop w:val="0"/>
              <w:marBottom w:val="0"/>
              <w:divBdr>
                <w:top w:val="none" w:sz="0" w:space="0" w:color="auto"/>
                <w:left w:val="none" w:sz="0" w:space="0" w:color="auto"/>
                <w:bottom w:val="none" w:sz="0" w:space="0" w:color="auto"/>
                <w:right w:val="none" w:sz="0" w:space="0" w:color="auto"/>
              </w:divBdr>
              <w:divsChild>
                <w:div w:id="2712265">
                  <w:marLeft w:val="0"/>
                  <w:marRight w:val="0"/>
                  <w:marTop w:val="0"/>
                  <w:marBottom w:val="0"/>
                  <w:divBdr>
                    <w:top w:val="none" w:sz="0" w:space="0" w:color="auto"/>
                    <w:left w:val="none" w:sz="0" w:space="0" w:color="auto"/>
                    <w:bottom w:val="none" w:sz="0" w:space="0" w:color="auto"/>
                    <w:right w:val="none" w:sz="0" w:space="0" w:color="auto"/>
                  </w:divBdr>
                </w:div>
              </w:divsChild>
            </w:div>
            <w:div w:id="1781800970">
              <w:marLeft w:val="0"/>
              <w:marRight w:val="0"/>
              <w:marTop w:val="0"/>
              <w:marBottom w:val="0"/>
              <w:divBdr>
                <w:top w:val="none" w:sz="0" w:space="0" w:color="auto"/>
                <w:left w:val="none" w:sz="0" w:space="0" w:color="auto"/>
                <w:bottom w:val="none" w:sz="0" w:space="0" w:color="auto"/>
                <w:right w:val="none" w:sz="0" w:space="0" w:color="auto"/>
              </w:divBdr>
              <w:divsChild>
                <w:div w:id="10824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1802">
          <w:marLeft w:val="0"/>
          <w:marRight w:val="0"/>
          <w:marTop w:val="0"/>
          <w:marBottom w:val="0"/>
          <w:divBdr>
            <w:top w:val="none" w:sz="0" w:space="0" w:color="auto"/>
            <w:left w:val="none" w:sz="0" w:space="0" w:color="auto"/>
            <w:bottom w:val="none" w:sz="0" w:space="0" w:color="auto"/>
            <w:right w:val="none" w:sz="0" w:space="0" w:color="auto"/>
          </w:divBdr>
        </w:div>
        <w:div w:id="436605026">
          <w:marLeft w:val="0"/>
          <w:marRight w:val="0"/>
          <w:marTop w:val="0"/>
          <w:marBottom w:val="0"/>
          <w:divBdr>
            <w:top w:val="none" w:sz="0" w:space="0" w:color="auto"/>
            <w:left w:val="none" w:sz="0" w:space="0" w:color="auto"/>
            <w:bottom w:val="none" w:sz="0" w:space="0" w:color="auto"/>
            <w:right w:val="none" w:sz="0" w:space="0" w:color="auto"/>
          </w:divBdr>
        </w:div>
        <w:div w:id="454643025">
          <w:marLeft w:val="0"/>
          <w:marRight w:val="0"/>
          <w:marTop w:val="0"/>
          <w:marBottom w:val="0"/>
          <w:divBdr>
            <w:top w:val="none" w:sz="0" w:space="0" w:color="auto"/>
            <w:left w:val="none" w:sz="0" w:space="0" w:color="auto"/>
            <w:bottom w:val="none" w:sz="0" w:space="0" w:color="auto"/>
            <w:right w:val="none" w:sz="0" w:space="0" w:color="auto"/>
          </w:divBdr>
        </w:div>
        <w:div w:id="472212955">
          <w:marLeft w:val="0"/>
          <w:marRight w:val="0"/>
          <w:marTop w:val="0"/>
          <w:marBottom w:val="0"/>
          <w:divBdr>
            <w:top w:val="none" w:sz="0" w:space="0" w:color="auto"/>
            <w:left w:val="none" w:sz="0" w:space="0" w:color="auto"/>
            <w:bottom w:val="none" w:sz="0" w:space="0" w:color="auto"/>
            <w:right w:val="none" w:sz="0" w:space="0" w:color="auto"/>
          </w:divBdr>
        </w:div>
        <w:div w:id="535121486">
          <w:marLeft w:val="0"/>
          <w:marRight w:val="0"/>
          <w:marTop w:val="0"/>
          <w:marBottom w:val="0"/>
          <w:divBdr>
            <w:top w:val="none" w:sz="0" w:space="0" w:color="auto"/>
            <w:left w:val="none" w:sz="0" w:space="0" w:color="auto"/>
            <w:bottom w:val="none" w:sz="0" w:space="0" w:color="auto"/>
            <w:right w:val="none" w:sz="0" w:space="0" w:color="auto"/>
          </w:divBdr>
        </w:div>
        <w:div w:id="548804564">
          <w:marLeft w:val="0"/>
          <w:marRight w:val="0"/>
          <w:marTop w:val="0"/>
          <w:marBottom w:val="0"/>
          <w:divBdr>
            <w:top w:val="none" w:sz="0" w:space="0" w:color="auto"/>
            <w:left w:val="none" w:sz="0" w:space="0" w:color="auto"/>
            <w:bottom w:val="none" w:sz="0" w:space="0" w:color="auto"/>
            <w:right w:val="none" w:sz="0" w:space="0" w:color="auto"/>
          </w:divBdr>
        </w:div>
        <w:div w:id="638808426">
          <w:marLeft w:val="0"/>
          <w:marRight w:val="0"/>
          <w:marTop w:val="0"/>
          <w:marBottom w:val="0"/>
          <w:divBdr>
            <w:top w:val="none" w:sz="0" w:space="0" w:color="auto"/>
            <w:left w:val="none" w:sz="0" w:space="0" w:color="auto"/>
            <w:bottom w:val="none" w:sz="0" w:space="0" w:color="auto"/>
            <w:right w:val="none" w:sz="0" w:space="0" w:color="auto"/>
          </w:divBdr>
        </w:div>
        <w:div w:id="699862920">
          <w:marLeft w:val="0"/>
          <w:marRight w:val="0"/>
          <w:marTop w:val="0"/>
          <w:marBottom w:val="0"/>
          <w:divBdr>
            <w:top w:val="none" w:sz="0" w:space="0" w:color="auto"/>
            <w:left w:val="none" w:sz="0" w:space="0" w:color="auto"/>
            <w:bottom w:val="none" w:sz="0" w:space="0" w:color="auto"/>
            <w:right w:val="none" w:sz="0" w:space="0" w:color="auto"/>
          </w:divBdr>
        </w:div>
        <w:div w:id="902176940">
          <w:marLeft w:val="0"/>
          <w:marRight w:val="0"/>
          <w:marTop w:val="0"/>
          <w:marBottom w:val="0"/>
          <w:divBdr>
            <w:top w:val="none" w:sz="0" w:space="0" w:color="auto"/>
            <w:left w:val="none" w:sz="0" w:space="0" w:color="auto"/>
            <w:bottom w:val="none" w:sz="0" w:space="0" w:color="auto"/>
            <w:right w:val="none" w:sz="0" w:space="0" w:color="auto"/>
          </w:divBdr>
        </w:div>
        <w:div w:id="938608882">
          <w:marLeft w:val="0"/>
          <w:marRight w:val="0"/>
          <w:marTop w:val="0"/>
          <w:marBottom w:val="0"/>
          <w:divBdr>
            <w:top w:val="none" w:sz="0" w:space="0" w:color="auto"/>
            <w:left w:val="none" w:sz="0" w:space="0" w:color="auto"/>
            <w:bottom w:val="none" w:sz="0" w:space="0" w:color="auto"/>
            <w:right w:val="none" w:sz="0" w:space="0" w:color="auto"/>
          </w:divBdr>
        </w:div>
        <w:div w:id="1037659969">
          <w:marLeft w:val="0"/>
          <w:marRight w:val="0"/>
          <w:marTop w:val="0"/>
          <w:marBottom w:val="0"/>
          <w:divBdr>
            <w:top w:val="none" w:sz="0" w:space="0" w:color="auto"/>
            <w:left w:val="none" w:sz="0" w:space="0" w:color="auto"/>
            <w:bottom w:val="none" w:sz="0" w:space="0" w:color="auto"/>
            <w:right w:val="none" w:sz="0" w:space="0" w:color="auto"/>
          </w:divBdr>
        </w:div>
        <w:div w:id="1079520208">
          <w:marLeft w:val="0"/>
          <w:marRight w:val="0"/>
          <w:marTop w:val="0"/>
          <w:marBottom w:val="0"/>
          <w:divBdr>
            <w:top w:val="none" w:sz="0" w:space="0" w:color="auto"/>
            <w:left w:val="none" w:sz="0" w:space="0" w:color="auto"/>
            <w:bottom w:val="none" w:sz="0" w:space="0" w:color="auto"/>
            <w:right w:val="none" w:sz="0" w:space="0" w:color="auto"/>
          </w:divBdr>
        </w:div>
        <w:div w:id="1128207486">
          <w:marLeft w:val="0"/>
          <w:marRight w:val="0"/>
          <w:marTop w:val="0"/>
          <w:marBottom w:val="0"/>
          <w:divBdr>
            <w:top w:val="none" w:sz="0" w:space="0" w:color="auto"/>
            <w:left w:val="none" w:sz="0" w:space="0" w:color="auto"/>
            <w:bottom w:val="none" w:sz="0" w:space="0" w:color="auto"/>
            <w:right w:val="none" w:sz="0" w:space="0" w:color="auto"/>
          </w:divBdr>
        </w:div>
        <w:div w:id="1128401692">
          <w:marLeft w:val="0"/>
          <w:marRight w:val="0"/>
          <w:marTop w:val="0"/>
          <w:marBottom w:val="0"/>
          <w:divBdr>
            <w:top w:val="none" w:sz="0" w:space="0" w:color="auto"/>
            <w:left w:val="none" w:sz="0" w:space="0" w:color="auto"/>
            <w:bottom w:val="none" w:sz="0" w:space="0" w:color="auto"/>
            <w:right w:val="none" w:sz="0" w:space="0" w:color="auto"/>
          </w:divBdr>
        </w:div>
        <w:div w:id="1129859695">
          <w:marLeft w:val="-75"/>
          <w:marRight w:val="0"/>
          <w:marTop w:val="30"/>
          <w:marBottom w:val="30"/>
          <w:divBdr>
            <w:top w:val="none" w:sz="0" w:space="0" w:color="auto"/>
            <w:left w:val="none" w:sz="0" w:space="0" w:color="auto"/>
            <w:bottom w:val="none" w:sz="0" w:space="0" w:color="auto"/>
            <w:right w:val="none" w:sz="0" w:space="0" w:color="auto"/>
          </w:divBdr>
          <w:divsChild>
            <w:div w:id="212279943">
              <w:marLeft w:val="0"/>
              <w:marRight w:val="0"/>
              <w:marTop w:val="0"/>
              <w:marBottom w:val="0"/>
              <w:divBdr>
                <w:top w:val="none" w:sz="0" w:space="0" w:color="auto"/>
                <w:left w:val="none" w:sz="0" w:space="0" w:color="auto"/>
                <w:bottom w:val="none" w:sz="0" w:space="0" w:color="auto"/>
                <w:right w:val="none" w:sz="0" w:space="0" w:color="auto"/>
              </w:divBdr>
              <w:divsChild>
                <w:div w:id="1827360961">
                  <w:marLeft w:val="0"/>
                  <w:marRight w:val="0"/>
                  <w:marTop w:val="0"/>
                  <w:marBottom w:val="0"/>
                  <w:divBdr>
                    <w:top w:val="none" w:sz="0" w:space="0" w:color="auto"/>
                    <w:left w:val="none" w:sz="0" w:space="0" w:color="auto"/>
                    <w:bottom w:val="none" w:sz="0" w:space="0" w:color="auto"/>
                    <w:right w:val="none" w:sz="0" w:space="0" w:color="auto"/>
                  </w:divBdr>
                </w:div>
              </w:divsChild>
            </w:div>
            <w:div w:id="233206199">
              <w:marLeft w:val="0"/>
              <w:marRight w:val="0"/>
              <w:marTop w:val="0"/>
              <w:marBottom w:val="0"/>
              <w:divBdr>
                <w:top w:val="none" w:sz="0" w:space="0" w:color="auto"/>
                <w:left w:val="none" w:sz="0" w:space="0" w:color="auto"/>
                <w:bottom w:val="none" w:sz="0" w:space="0" w:color="auto"/>
                <w:right w:val="none" w:sz="0" w:space="0" w:color="auto"/>
              </w:divBdr>
              <w:divsChild>
                <w:div w:id="334501042">
                  <w:marLeft w:val="0"/>
                  <w:marRight w:val="0"/>
                  <w:marTop w:val="0"/>
                  <w:marBottom w:val="0"/>
                  <w:divBdr>
                    <w:top w:val="none" w:sz="0" w:space="0" w:color="auto"/>
                    <w:left w:val="none" w:sz="0" w:space="0" w:color="auto"/>
                    <w:bottom w:val="none" w:sz="0" w:space="0" w:color="auto"/>
                    <w:right w:val="none" w:sz="0" w:space="0" w:color="auto"/>
                  </w:divBdr>
                </w:div>
                <w:div w:id="1725988113">
                  <w:marLeft w:val="0"/>
                  <w:marRight w:val="0"/>
                  <w:marTop w:val="0"/>
                  <w:marBottom w:val="0"/>
                  <w:divBdr>
                    <w:top w:val="none" w:sz="0" w:space="0" w:color="auto"/>
                    <w:left w:val="none" w:sz="0" w:space="0" w:color="auto"/>
                    <w:bottom w:val="none" w:sz="0" w:space="0" w:color="auto"/>
                    <w:right w:val="none" w:sz="0" w:space="0" w:color="auto"/>
                  </w:divBdr>
                </w:div>
              </w:divsChild>
            </w:div>
            <w:div w:id="300690514">
              <w:marLeft w:val="0"/>
              <w:marRight w:val="0"/>
              <w:marTop w:val="0"/>
              <w:marBottom w:val="0"/>
              <w:divBdr>
                <w:top w:val="none" w:sz="0" w:space="0" w:color="auto"/>
                <w:left w:val="none" w:sz="0" w:space="0" w:color="auto"/>
                <w:bottom w:val="none" w:sz="0" w:space="0" w:color="auto"/>
                <w:right w:val="none" w:sz="0" w:space="0" w:color="auto"/>
              </w:divBdr>
              <w:divsChild>
                <w:div w:id="791554512">
                  <w:marLeft w:val="0"/>
                  <w:marRight w:val="0"/>
                  <w:marTop w:val="0"/>
                  <w:marBottom w:val="0"/>
                  <w:divBdr>
                    <w:top w:val="none" w:sz="0" w:space="0" w:color="auto"/>
                    <w:left w:val="none" w:sz="0" w:space="0" w:color="auto"/>
                    <w:bottom w:val="none" w:sz="0" w:space="0" w:color="auto"/>
                    <w:right w:val="none" w:sz="0" w:space="0" w:color="auto"/>
                  </w:divBdr>
                </w:div>
              </w:divsChild>
            </w:div>
            <w:div w:id="431247370">
              <w:marLeft w:val="0"/>
              <w:marRight w:val="0"/>
              <w:marTop w:val="0"/>
              <w:marBottom w:val="0"/>
              <w:divBdr>
                <w:top w:val="none" w:sz="0" w:space="0" w:color="auto"/>
                <w:left w:val="none" w:sz="0" w:space="0" w:color="auto"/>
                <w:bottom w:val="none" w:sz="0" w:space="0" w:color="auto"/>
                <w:right w:val="none" w:sz="0" w:space="0" w:color="auto"/>
              </w:divBdr>
              <w:divsChild>
                <w:div w:id="1157068310">
                  <w:marLeft w:val="0"/>
                  <w:marRight w:val="0"/>
                  <w:marTop w:val="0"/>
                  <w:marBottom w:val="0"/>
                  <w:divBdr>
                    <w:top w:val="none" w:sz="0" w:space="0" w:color="auto"/>
                    <w:left w:val="none" w:sz="0" w:space="0" w:color="auto"/>
                    <w:bottom w:val="none" w:sz="0" w:space="0" w:color="auto"/>
                    <w:right w:val="none" w:sz="0" w:space="0" w:color="auto"/>
                  </w:divBdr>
                </w:div>
                <w:div w:id="1290283488">
                  <w:marLeft w:val="0"/>
                  <w:marRight w:val="0"/>
                  <w:marTop w:val="0"/>
                  <w:marBottom w:val="0"/>
                  <w:divBdr>
                    <w:top w:val="none" w:sz="0" w:space="0" w:color="auto"/>
                    <w:left w:val="none" w:sz="0" w:space="0" w:color="auto"/>
                    <w:bottom w:val="none" w:sz="0" w:space="0" w:color="auto"/>
                    <w:right w:val="none" w:sz="0" w:space="0" w:color="auto"/>
                  </w:divBdr>
                </w:div>
              </w:divsChild>
            </w:div>
            <w:div w:id="1006054271">
              <w:marLeft w:val="0"/>
              <w:marRight w:val="0"/>
              <w:marTop w:val="0"/>
              <w:marBottom w:val="0"/>
              <w:divBdr>
                <w:top w:val="none" w:sz="0" w:space="0" w:color="auto"/>
                <w:left w:val="none" w:sz="0" w:space="0" w:color="auto"/>
                <w:bottom w:val="none" w:sz="0" w:space="0" w:color="auto"/>
                <w:right w:val="none" w:sz="0" w:space="0" w:color="auto"/>
              </w:divBdr>
              <w:divsChild>
                <w:div w:id="481774869">
                  <w:marLeft w:val="0"/>
                  <w:marRight w:val="0"/>
                  <w:marTop w:val="0"/>
                  <w:marBottom w:val="0"/>
                  <w:divBdr>
                    <w:top w:val="none" w:sz="0" w:space="0" w:color="auto"/>
                    <w:left w:val="none" w:sz="0" w:space="0" w:color="auto"/>
                    <w:bottom w:val="none" w:sz="0" w:space="0" w:color="auto"/>
                    <w:right w:val="none" w:sz="0" w:space="0" w:color="auto"/>
                  </w:divBdr>
                </w:div>
              </w:divsChild>
            </w:div>
            <w:div w:id="1043749239">
              <w:marLeft w:val="0"/>
              <w:marRight w:val="0"/>
              <w:marTop w:val="0"/>
              <w:marBottom w:val="0"/>
              <w:divBdr>
                <w:top w:val="none" w:sz="0" w:space="0" w:color="auto"/>
                <w:left w:val="none" w:sz="0" w:space="0" w:color="auto"/>
                <w:bottom w:val="none" w:sz="0" w:space="0" w:color="auto"/>
                <w:right w:val="none" w:sz="0" w:space="0" w:color="auto"/>
              </w:divBdr>
              <w:divsChild>
                <w:div w:id="467939470">
                  <w:marLeft w:val="0"/>
                  <w:marRight w:val="0"/>
                  <w:marTop w:val="0"/>
                  <w:marBottom w:val="0"/>
                  <w:divBdr>
                    <w:top w:val="none" w:sz="0" w:space="0" w:color="auto"/>
                    <w:left w:val="none" w:sz="0" w:space="0" w:color="auto"/>
                    <w:bottom w:val="none" w:sz="0" w:space="0" w:color="auto"/>
                    <w:right w:val="none" w:sz="0" w:space="0" w:color="auto"/>
                  </w:divBdr>
                </w:div>
              </w:divsChild>
            </w:div>
            <w:div w:id="1272274183">
              <w:marLeft w:val="0"/>
              <w:marRight w:val="0"/>
              <w:marTop w:val="0"/>
              <w:marBottom w:val="0"/>
              <w:divBdr>
                <w:top w:val="none" w:sz="0" w:space="0" w:color="auto"/>
                <w:left w:val="none" w:sz="0" w:space="0" w:color="auto"/>
                <w:bottom w:val="none" w:sz="0" w:space="0" w:color="auto"/>
                <w:right w:val="none" w:sz="0" w:space="0" w:color="auto"/>
              </w:divBdr>
              <w:divsChild>
                <w:div w:id="1235049500">
                  <w:marLeft w:val="0"/>
                  <w:marRight w:val="0"/>
                  <w:marTop w:val="0"/>
                  <w:marBottom w:val="0"/>
                  <w:divBdr>
                    <w:top w:val="none" w:sz="0" w:space="0" w:color="auto"/>
                    <w:left w:val="none" w:sz="0" w:space="0" w:color="auto"/>
                    <w:bottom w:val="none" w:sz="0" w:space="0" w:color="auto"/>
                    <w:right w:val="none" w:sz="0" w:space="0" w:color="auto"/>
                  </w:divBdr>
                </w:div>
              </w:divsChild>
            </w:div>
            <w:div w:id="1498114925">
              <w:marLeft w:val="0"/>
              <w:marRight w:val="0"/>
              <w:marTop w:val="0"/>
              <w:marBottom w:val="0"/>
              <w:divBdr>
                <w:top w:val="none" w:sz="0" w:space="0" w:color="auto"/>
                <w:left w:val="none" w:sz="0" w:space="0" w:color="auto"/>
                <w:bottom w:val="none" w:sz="0" w:space="0" w:color="auto"/>
                <w:right w:val="none" w:sz="0" w:space="0" w:color="auto"/>
              </w:divBdr>
              <w:divsChild>
                <w:div w:id="19111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044139">
          <w:marLeft w:val="0"/>
          <w:marRight w:val="0"/>
          <w:marTop w:val="0"/>
          <w:marBottom w:val="0"/>
          <w:divBdr>
            <w:top w:val="none" w:sz="0" w:space="0" w:color="auto"/>
            <w:left w:val="none" w:sz="0" w:space="0" w:color="auto"/>
            <w:bottom w:val="none" w:sz="0" w:space="0" w:color="auto"/>
            <w:right w:val="none" w:sz="0" w:space="0" w:color="auto"/>
          </w:divBdr>
        </w:div>
        <w:div w:id="1145775705">
          <w:marLeft w:val="0"/>
          <w:marRight w:val="0"/>
          <w:marTop w:val="0"/>
          <w:marBottom w:val="0"/>
          <w:divBdr>
            <w:top w:val="none" w:sz="0" w:space="0" w:color="auto"/>
            <w:left w:val="none" w:sz="0" w:space="0" w:color="auto"/>
            <w:bottom w:val="none" w:sz="0" w:space="0" w:color="auto"/>
            <w:right w:val="none" w:sz="0" w:space="0" w:color="auto"/>
          </w:divBdr>
        </w:div>
        <w:div w:id="1191067467">
          <w:marLeft w:val="0"/>
          <w:marRight w:val="0"/>
          <w:marTop w:val="0"/>
          <w:marBottom w:val="0"/>
          <w:divBdr>
            <w:top w:val="none" w:sz="0" w:space="0" w:color="auto"/>
            <w:left w:val="none" w:sz="0" w:space="0" w:color="auto"/>
            <w:bottom w:val="none" w:sz="0" w:space="0" w:color="auto"/>
            <w:right w:val="none" w:sz="0" w:space="0" w:color="auto"/>
          </w:divBdr>
        </w:div>
        <w:div w:id="1200779003">
          <w:marLeft w:val="0"/>
          <w:marRight w:val="0"/>
          <w:marTop w:val="0"/>
          <w:marBottom w:val="0"/>
          <w:divBdr>
            <w:top w:val="none" w:sz="0" w:space="0" w:color="auto"/>
            <w:left w:val="none" w:sz="0" w:space="0" w:color="auto"/>
            <w:bottom w:val="none" w:sz="0" w:space="0" w:color="auto"/>
            <w:right w:val="none" w:sz="0" w:space="0" w:color="auto"/>
          </w:divBdr>
        </w:div>
        <w:div w:id="1256398753">
          <w:marLeft w:val="0"/>
          <w:marRight w:val="0"/>
          <w:marTop w:val="0"/>
          <w:marBottom w:val="0"/>
          <w:divBdr>
            <w:top w:val="none" w:sz="0" w:space="0" w:color="auto"/>
            <w:left w:val="none" w:sz="0" w:space="0" w:color="auto"/>
            <w:bottom w:val="none" w:sz="0" w:space="0" w:color="auto"/>
            <w:right w:val="none" w:sz="0" w:space="0" w:color="auto"/>
          </w:divBdr>
        </w:div>
        <w:div w:id="1276445956">
          <w:marLeft w:val="0"/>
          <w:marRight w:val="0"/>
          <w:marTop w:val="0"/>
          <w:marBottom w:val="0"/>
          <w:divBdr>
            <w:top w:val="none" w:sz="0" w:space="0" w:color="auto"/>
            <w:left w:val="none" w:sz="0" w:space="0" w:color="auto"/>
            <w:bottom w:val="none" w:sz="0" w:space="0" w:color="auto"/>
            <w:right w:val="none" w:sz="0" w:space="0" w:color="auto"/>
          </w:divBdr>
        </w:div>
        <w:div w:id="1380713077">
          <w:marLeft w:val="0"/>
          <w:marRight w:val="0"/>
          <w:marTop w:val="0"/>
          <w:marBottom w:val="0"/>
          <w:divBdr>
            <w:top w:val="none" w:sz="0" w:space="0" w:color="auto"/>
            <w:left w:val="none" w:sz="0" w:space="0" w:color="auto"/>
            <w:bottom w:val="none" w:sz="0" w:space="0" w:color="auto"/>
            <w:right w:val="none" w:sz="0" w:space="0" w:color="auto"/>
          </w:divBdr>
        </w:div>
        <w:div w:id="1399090294">
          <w:marLeft w:val="0"/>
          <w:marRight w:val="0"/>
          <w:marTop w:val="0"/>
          <w:marBottom w:val="0"/>
          <w:divBdr>
            <w:top w:val="none" w:sz="0" w:space="0" w:color="auto"/>
            <w:left w:val="none" w:sz="0" w:space="0" w:color="auto"/>
            <w:bottom w:val="none" w:sz="0" w:space="0" w:color="auto"/>
            <w:right w:val="none" w:sz="0" w:space="0" w:color="auto"/>
          </w:divBdr>
        </w:div>
        <w:div w:id="1431507284">
          <w:marLeft w:val="0"/>
          <w:marRight w:val="0"/>
          <w:marTop w:val="0"/>
          <w:marBottom w:val="0"/>
          <w:divBdr>
            <w:top w:val="none" w:sz="0" w:space="0" w:color="auto"/>
            <w:left w:val="none" w:sz="0" w:space="0" w:color="auto"/>
            <w:bottom w:val="none" w:sz="0" w:space="0" w:color="auto"/>
            <w:right w:val="none" w:sz="0" w:space="0" w:color="auto"/>
          </w:divBdr>
        </w:div>
        <w:div w:id="1508208247">
          <w:marLeft w:val="0"/>
          <w:marRight w:val="0"/>
          <w:marTop w:val="0"/>
          <w:marBottom w:val="0"/>
          <w:divBdr>
            <w:top w:val="none" w:sz="0" w:space="0" w:color="auto"/>
            <w:left w:val="none" w:sz="0" w:space="0" w:color="auto"/>
            <w:bottom w:val="none" w:sz="0" w:space="0" w:color="auto"/>
            <w:right w:val="none" w:sz="0" w:space="0" w:color="auto"/>
          </w:divBdr>
        </w:div>
        <w:div w:id="1535534801">
          <w:marLeft w:val="0"/>
          <w:marRight w:val="0"/>
          <w:marTop w:val="0"/>
          <w:marBottom w:val="0"/>
          <w:divBdr>
            <w:top w:val="none" w:sz="0" w:space="0" w:color="auto"/>
            <w:left w:val="none" w:sz="0" w:space="0" w:color="auto"/>
            <w:bottom w:val="none" w:sz="0" w:space="0" w:color="auto"/>
            <w:right w:val="none" w:sz="0" w:space="0" w:color="auto"/>
          </w:divBdr>
        </w:div>
        <w:div w:id="1589728282">
          <w:marLeft w:val="0"/>
          <w:marRight w:val="0"/>
          <w:marTop w:val="0"/>
          <w:marBottom w:val="0"/>
          <w:divBdr>
            <w:top w:val="none" w:sz="0" w:space="0" w:color="auto"/>
            <w:left w:val="none" w:sz="0" w:space="0" w:color="auto"/>
            <w:bottom w:val="none" w:sz="0" w:space="0" w:color="auto"/>
            <w:right w:val="none" w:sz="0" w:space="0" w:color="auto"/>
          </w:divBdr>
        </w:div>
        <w:div w:id="1678458982">
          <w:marLeft w:val="0"/>
          <w:marRight w:val="0"/>
          <w:marTop w:val="0"/>
          <w:marBottom w:val="0"/>
          <w:divBdr>
            <w:top w:val="none" w:sz="0" w:space="0" w:color="auto"/>
            <w:left w:val="none" w:sz="0" w:space="0" w:color="auto"/>
            <w:bottom w:val="none" w:sz="0" w:space="0" w:color="auto"/>
            <w:right w:val="none" w:sz="0" w:space="0" w:color="auto"/>
          </w:divBdr>
        </w:div>
        <w:div w:id="1741244405">
          <w:marLeft w:val="0"/>
          <w:marRight w:val="0"/>
          <w:marTop w:val="0"/>
          <w:marBottom w:val="0"/>
          <w:divBdr>
            <w:top w:val="none" w:sz="0" w:space="0" w:color="auto"/>
            <w:left w:val="none" w:sz="0" w:space="0" w:color="auto"/>
            <w:bottom w:val="none" w:sz="0" w:space="0" w:color="auto"/>
            <w:right w:val="none" w:sz="0" w:space="0" w:color="auto"/>
          </w:divBdr>
        </w:div>
        <w:div w:id="1792018756">
          <w:marLeft w:val="0"/>
          <w:marRight w:val="0"/>
          <w:marTop w:val="0"/>
          <w:marBottom w:val="0"/>
          <w:divBdr>
            <w:top w:val="none" w:sz="0" w:space="0" w:color="auto"/>
            <w:left w:val="none" w:sz="0" w:space="0" w:color="auto"/>
            <w:bottom w:val="none" w:sz="0" w:space="0" w:color="auto"/>
            <w:right w:val="none" w:sz="0" w:space="0" w:color="auto"/>
          </w:divBdr>
        </w:div>
        <w:div w:id="1799297475">
          <w:marLeft w:val="0"/>
          <w:marRight w:val="0"/>
          <w:marTop w:val="0"/>
          <w:marBottom w:val="0"/>
          <w:divBdr>
            <w:top w:val="none" w:sz="0" w:space="0" w:color="auto"/>
            <w:left w:val="none" w:sz="0" w:space="0" w:color="auto"/>
            <w:bottom w:val="none" w:sz="0" w:space="0" w:color="auto"/>
            <w:right w:val="none" w:sz="0" w:space="0" w:color="auto"/>
          </w:divBdr>
        </w:div>
        <w:div w:id="1851022689">
          <w:marLeft w:val="0"/>
          <w:marRight w:val="0"/>
          <w:marTop w:val="0"/>
          <w:marBottom w:val="0"/>
          <w:divBdr>
            <w:top w:val="none" w:sz="0" w:space="0" w:color="auto"/>
            <w:left w:val="none" w:sz="0" w:space="0" w:color="auto"/>
            <w:bottom w:val="none" w:sz="0" w:space="0" w:color="auto"/>
            <w:right w:val="none" w:sz="0" w:space="0" w:color="auto"/>
          </w:divBdr>
        </w:div>
        <w:div w:id="1862887733">
          <w:marLeft w:val="0"/>
          <w:marRight w:val="0"/>
          <w:marTop w:val="0"/>
          <w:marBottom w:val="0"/>
          <w:divBdr>
            <w:top w:val="none" w:sz="0" w:space="0" w:color="auto"/>
            <w:left w:val="none" w:sz="0" w:space="0" w:color="auto"/>
            <w:bottom w:val="none" w:sz="0" w:space="0" w:color="auto"/>
            <w:right w:val="none" w:sz="0" w:space="0" w:color="auto"/>
          </w:divBdr>
        </w:div>
        <w:div w:id="1902473872">
          <w:marLeft w:val="0"/>
          <w:marRight w:val="0"/>
          <w:marTop w:val="0"/>
          <w:marBottom w:val="0"/>
          <w:divBdr>
            <w:top w:val="none" w:sz="0" w:space="0" w:color="auto"/>
            <w:left w:val="none" w:sz="0" w:space="0" w:color="auto"/>
            <w:bottom w:val="none" w:sz="0" w:space="0" w:color="auto"/>
            <w:right w:val="none" w:sz="0" w:space="0" w:color="auto"/>
          </w:divBdr>
        </w:div>
        <w:div w:id="1902863576">
          <w:marLeft w:val="-75"/>
          <w:marRight w:val="0"/>
          <w:marTop w:val="30"/>
          <w:marBottom w:val="30"/>
          <w:divBdr>
            <w:top w:val="none" w:sz="0" w:space="0" w:color="auto"/>
            <w:left w:val="none" w:sz="0" w:space="0" w:color="auto"/>
            <w:bottom w:val="none" w:sz="0" w:space="0" w:color="auto"/>
            <w:right w:val="none" w:sz="0" w:space="0" w:color="auto"/>
          </w:divBdr>
          <w:divsChild>
            <w:div w:id="6099419">
              <w:marLeft w:val="0"/>
              <w:marRight w:val="0"/>
              <w:marTop w:val="0"/>
              <w:marBottom w:val="0"/>
              <w:divBdr>
                <w:top w:val="none" w:sz="0" w:space="0" w:color="auto"/>
                <w:left w:val="none" w:sz="0" w:space="0" w:color="auto"/>
                <w:bottom w:val="none" w:sz="0" w:space="0" w:color="auto"/>
                <w:right w:val="none" w:sz="0" w:space="0" w:color="auto"/>
              </w:divBdr>
              <w:divsChild>
                <w:div w:id="200095251">
                  <w:marLeft w:val="0"/>
                  <w:marRight w:val="0"/>
                  <w:marTop w:val="0"/>
                  <w:marBottom w:val="0"/>
                  <w:divBdr>
                    <w:top w:val="none" w:sz="0" w:space="0" w:color="auto"/>
                    <w:left w:val="none" w:sz="0" w:space="0" w:color="auto"/>
                    <w:bottom w:val="none" w:sz="0" w:space="0" w:color="auto"/>
                    <w:right w:val="none" w:sz="0" w:space="0" w:color="auto"/>
                  </w:divBdr>
                </w:div>
              </w:divsChild>
            </w:div>
            <w:div w:id="18355840">
              <w:marLeft w:val="0"/>
              <w:marRight w:val="0"/>
              <w:marTop w:val="0"/>
              <w:marBottom w:val="0"/>
              <w:divBdr>
                <w:top w:val="none" w:sz="0" w:space="0" w:color="auto"/>
                <w:left w:val="none" w:sz="0" w:space="0" w:color="auto"/>
                <w:bottom w:val="none" w:sz="0" w:space="0" w:color="auto"/>
                <w:right w:val="none" w:sz="0" w:space="0" w:color="auto"/>
              </w:divBdr>
              <w:divsChild>
                <w:div w:id="1885755768">
                  <w:marLeft w:val="0"/>
                  <w:marRight w:val="0"/>
                  <w:marTop w:val="0"/>
                  <w:marBottom w:val="0"/>
                  <w:divBdr>
                    <w:top w:val="none" w:sz="0" w:space="0" w:color="auto"/>
                    <w:left w:val="none" w:sz="0" w:space="0" w:color="auto"/>
                    <w:bottom w:val="none" w:sz="0" w:space="0" w:color="auto"/>
                    <w:right w:val="none" w:sz="0" w:space="0" w:color="auto"/>
                  </w:divBdr>
                </w:div>
              </w:divsChild>
            </w:div>
            <w:div w:id="38602165">
              <w:marLeft w:val="0"/>
              <w:marRight w:val="0"/>
              <w:marTop w:val="0"/>
              <w:marBottom w:val="0"/>
              <w:divBdr>
                <w:top w:val="none" w:sz="0" w:space="0" w:color="auto"/>
                <w:left w:val="none" w:sz="0" w:space="0" w:color="auto"/>
                <w:bottom w:val="none" w:sz="0" w:space="0" w:color="auto"/>
                <w:right w:val="none" w:sz="0" w:space="0" w:color="auto"/>
              </w:divBdr>
              <w:divsChild>
                <w:div w:id="1547327444">
                  <w:marLeft w:val="0"/>
                  <w:marRight w:val="0"/>
                  <w:marTop w:val="0"/>
                  <w:marBottom w:val="0"/>
                  <w:divBdr>
                    <w:top w:val="none" w:sz="0" w:space="0" w:color="auto"/>
                    <w:left w:val="none" w:sz="0" w:space="0" w:color="auto"/>
                    <w:bottom w:val="none" w:sz="0" w:space="0" w:color="auto"/>
                    <w:right w:val="none" w:sz="0" w:space="0" w:color="auto"/>
                  </w:divBdr>
                </w:div>
              </w:divsChild>
            </w:div>
            <w:div w:id="75060131">
              <w:marLeft w:val="0"/>
              <w:marRight w:val="0"/>
              <w:marTop w:val="0"/>
              <w:marBottom w:val="0"/>
              <w:divBdr>
                <w:top w:val="none" w:sz="0" w:space="0" w:color="auto"/>
                <w:left w:val="none" w:sz="0" w:space="0" w:color="auto"/>
                <w:bottom w:val="none" w:sz="0" w:space="0" w:color="auto"/>
                <w:right w:val="none" w:sz="0" w:space="0" w:color="auto"/>
              </w:divBdr>
              <w:divsChild>
                <w:div w:id="1544513280">
                  <w:marLeft w:val="0"/>
                  <w:marRight w:val="0"/>
                  <w:marTop w:val="0"/>
                  <w:marBottom w:val="0"/>
                  <w:divBdr>
                    <w:top w:val="none" w:sz="0" w:space="0" w:color="auto"/>
                    <w:left w:val="none" w:sz="0" w:space="0" w:color="auto"/>
                    <w:bottom w:val="none" w:sz="0" w:space="0" w:color="auto"/>
                    <w:right w:val="none" w:sz="0" w:space="0" w:color="auto"/>
                  </w:divBdr>
                </w:div>
              </w:divsChild>
            </w:div>
            <w:div w:id="88624132">
              <w:marLeft w:val="0"/>
              <w:marRight w:val="0"/>
              <w:marTop w:val="0"/>
              <w:marBottom w:val="0"/>
              <w:divBdr>
                <w:top w:val="none" w:sz="0" w:space="0" w:color="auto"/>
                <w:left w:val="none" w:sz="0" w:space="0" w:color="auto"/>
                <w:bottom w:val="none" w:sz="0" w:space="0" w:color="auto"/>
                <w:right w:val="none" w:sz="0" w:space="0" w:color="auto"/>
              </w:divBdr>
              <w:divsChild>
                <w:div w:id="1616133101">
                  <w:marLeft w:val="0"/>
                  <w:marRight w:val="0"/>
                  <w:marTop w:val="0"/>
                  <w:marBottom w:val="0"/>
                  <w:divBdr>
                    <w:top w:val="none" w:sz="0" w:space="0" w:color="auto"/>
                    <w:left w:val="none" w:sz="0" w:space="0" w:color="auto"/>
                    <w:bottom w:val="none" w:sz="0" w:space="0" w:color="auto"/>
                    <w:right w:val="none" w:sz="0" w:space="0" w:color="auto"/>
                  </w:divBdr>
                </w:div>
              </w:divsChild>
            </w:div>
            <w:div w:id="144903093">
              <w:marLeft w:val="0"/>
              <w:marRight w:val="0"/>
              <w:marTop w:val="0"/>
              <w:marBottom w:val="0"/>
              <w:divBdr>
                <w:top w:val="none" w:sz="0" w:space="0" w:color="auto"/>
                <w:left w:val="none" w:sz="0" w:space="0" w:color="auto"/>
                <w:bottom w:val="none" w:sz="0" w:space="0" w:color="auto"/>
                <w:right w:val="none" w:sz="0" w:space="0" w:color="auto"/>
              </w:divBdr>
              <w:divsChild>
                <w:div w:id="19211553">
                  <w:marLeft w:val="0"/>
                  <w:marRight w:val="0"/>
                  <w:marTop w:val="0"/>
                  <w:marBottom w:val="0"/>
                  <w:divBdr>
                    <w:top w:val="none" w:sz="0" w:space="0" w:color="auto"/>
                    <w:left w:val="none" w:sz="0" w:space="0" w:color="auto"/>
                    <w:bottom w:val="none" w:sz="0" w:space="0" w:color="auto"/>
                    <w:right w:val="none" w:sz="0" w:space="0" w:color="auto"/>
                  </w:divBdr>
                </w:div>
              </w:divsChild>
            </w:div>
            <w:div w:id="284776632">
              <w:marLeft w:val="0"/>
              <w:marRight w:val="0"/>
              <w:marTop w:val="0"/>
              <w:marBottom w:val="0"/>
              <w:divBdr>
                <w:top w:val="none" w:sz="0" w:space="0" w:color="auto"/>
                <w:left w:val="none" w:sz="0" w:space="0" w:color="auto"/>
                <w:bottom w:val="none" w:sz="0" w:space="0" w:color="auto"/>
                <w:right w:val="none" w:sz="0" w:space="0" w:color="auto"/>
              </w:divBdr>
              <w:divsChild>
                <w:div w:id="793904976">
                  <w:marLeft w:val="0"/>
                  <w:marRight w:val="0"/>
                  <w:marTop w:val="0"/>
                  <w:marBottom w:val="0"/>
                  <w:divBdr>
                    <w:top w:val="none" w:sz="0" w:space="0" w:color="auto"/>
                    <w:left w:val="none" w:sz="0" w:space="0" w:color="auto"/>
                    <w:bottom w:val="none" w:sz="0" w:space="0" w:color="auto"/>
                    <w:right w:val="none" w:sz="0" w:space="0" w:color="auto"/>
                  </w:divBdr>
                </w:div>
                <w:div w:id="1000617132">
                  <w:marLeft w:val="0"/>
                  <w:marRight w:val="0"/>
                  <w:marTop w:val="0"/>
                  <w:marBottom w:val="0"/>
                  <w:divBdr>
                    <w:top w:val="none" w:sz="0" w:space="0" w:color="auto"/>
                    <w:left w:val="none" w:sz="0" w:space="0" w:color="auto"/>
                    <w:bottom w:val="none" w:sz="0" w:space="0" w:color="auto"/>
                    <w:right w:val="none" w:sz="0" w:space="0" w:color="auto"/>
                  </w:divBdr>
                </w:div>
              </w:divsChild>
            </w:div>
            <w:div w:id="319578390">
              <w:marLeft w:val="0"/>
              <w:marRight w:val="0"/>
              <w:marTop w:val="0"/>
              <w:marBottom w:val="0"/>
              <w:divBdr>
                <w:top w:val="none" w:sz="0" w:space="0" w:color="auto"/>
                <w:left w:val="none" w:sz="0" w:space="0" w:color="auto"/>
                <w:bottom w:val="none" w:sz="0" w:space="0" w:color="auto"/>
                <w:right w:val="none" w:sz="0" w:space="0" w:color="auto"/>
              </w:divBdr>
              <w:divsChild>
                <w:div w:id="820773912">
                  <w:marLeft w:val="0"/>
                  <w:marRight w:val="0"/>
                  <w:marTop w:val="0"/>
                  <w:marBottom w:val="0"/>
                  <w:divBdr>
                    <w:top w:val="none" w:sz="0" w:space="0" w:color="auto"/>
                    <w:left w:val="none" w:sz="0" w:space="0" w:color="auto"/>
                    <w:bottom w:val="none" w:sz="0" w:space="0" w:color="auto"/>
                    <w:right w:val="none" w:sz="0" w:space="0" w:color="auto"/>
                  </w:divBdr>
                </w:div>
              </w:divsChild>
            </w:div>
            <w:div w:id="389616937">
              <w:marLeft w:val="0"/>
              <w:marRight w:val="0"/>
              <w:marTop w:val="0"/>
              <w:marBottom w:val="0"/>
              <w:divBdr>
                <w:top w:val="none" w:sz="0" w:space="0" w:color="auto"/>
                <w:left w:val="none" w:sz="0" w:space="0" w:color="auto"/>
                <w:bottom w:val="none" w:sz="0" w:space="0" w:color="auto"/>
                <w:right w:val="none" w:sz="0" w:space="0" w:color="auto"/>
              </w:divBdr>
              <w:divsChild>
                <w:div w:id="1754737601">
                  <w:marLeft w:val="0"/>
                  <w:marRight w:val="0"/>
                  <w:marTop w:val="0"/>
                  <w:marBottom w:val="0"/>
                  <w:divBdr>
                    <w:top w:val="none" w:sz="0" w:space="0" w:color="auto"/>
                    <w:left w:val="none" w:sz="0" w:space="0" w:color="auto"/>
                    <w:bottom w:val="none" w:sz="0" w:space="0" w:color="auto"/>
                    <w:right w:val="none" w:sz="0" w:space="0" w:color="auto"/>
                  </w:divBdr>
                </w:div>
              </w:divsChild>
            </w:div>
            <w:div w:id="416563139">
              <w:marLeft w:val="0"/>
              <w:marRight w:val="0"/>
              <w:marTop w:val="0"/>
              <w:marBottom w:val="0"/>
              <w:divBdr>
                <w:top w:val="none" w:sz="0" w:space="0" w:color="auto"/>
                <w:left w:val="none" w:sz="0" w:space="0" w:color="auto"/>
                <w:bottom w:val="none" w:sz="0" w:space="0" w:color="auto"/>
                <w:right w:val="none" w:sz="0" w:space="0" w:color="auto"/>
              </w:divBdr>
              <w:divsChild>
                <w:div w:id="1048990131">
                  <w:marLeft w:val="0"/>
                  <w:marRight w:val="0"/>
                  <w:marTop w:val="0"/>
                  <w:marBottom w:val="0"/>
                  <w:divBdr>
                    <w:top w:val="none" w:sz="0" w:space="0" w:color="auto"/>
                    <w:left w:val="none" w:sz="0" w:space="0" w:color="auto"/>
                    <w:bottom w:val="none" w:sz="0" w:space="0" w:color="auto"/>
                    <w:right w:val="none" w:sz="0" w:space="0" w:color="auto"/>
                  </w:divBdr>
                </w:div>
                <w:div w:id="1771967019">
                  <w:marLeft w:val="0"/>
                  <w:marRight w:val="0"/>
                  <w:marTop w:val="0"/>
                  <w:marBottom w:val="0"/>
                  <w:divBdr>
                    <w:top w:val="none" w:sz="0" w:space="0" w:color="auto"/>
                    <w:left w:val="none" w:sz="0" w:space="0" w:color="auto"/>
                    <w:bottom w:val="none" w:sz="0" w:space="0" w:color="auto"/>
                    <w:right w:val="none" w:sz="0" w:space="0" w:color="auto"/>
                  </w:divBdr>
                </w:div>
              </w:divsChild>
            </w:div>
            <w:div w:id="441270250">
              <w:marLeft w:val="0"/>
              <w:marRight w:val="0"/>
              <w:marTop w:val="0"/>
              <w:marBottom w:val="0"/>
              <w:divBdr>
                <w:top w:val="none" w:sz="0" w:space="0" w:color="auto"/>
                <w:left w:val="none" w:sz="0" w:space="0" w:color="auto"/>
                <w:bottom w:val="none" w:sz="0" w:space="0" w:color="auto"/>
                <w:right w:val="none" w:sz="0" w:space="0" w:color="auto"/>
              </w:divBdr>
              <w:divsChild>
                <w:div w:id="238757788">
                  <w:marLeft w:val="0"/>
                  <w:marRight w:val="0"/>
                  <w:marTop w:val="0"/>
                  <w:marBottom w:val="0"/>
                  <w:divBdr>
                    <w:top w:val="none" w:sz="0" w:space="0" w:color="auto"/>
                    <w:left w:val="none" w:sz="0" w:space="0" w:color="auto"/>
                    <w:bottom w:val="none" w:sz="0" w:space="0" w:color="auto"/>
                    <w:right w:val="none" w:sz="0" w:space="0" w:color="auto"/>
                  </w:divBdr>
                </w:div>
                <w:div w:id="1842817918">
                  <w:marLeft w:val="0"/>
                  <w:marRight w:val="0"/>
                  <w:marTop w:val="0"/>
                  <w:marBottom w:val="0"/>
                  <w:divBdr>
                    <w:top w:val="none" w:sz="0" w:space="0" w:color="auto"/>
                    <w:left w:val="none" w:sz="0" w:space="0" w:color="auto"/>
                    <w:bottom w:val="none" w:sz="0" w:space="0" w:color="auto"/>
                    <w:right w:val="none" w:sz="0" w:space="0" w:color="auto"/>
                  </w:divBdr>
                </w:div>
              </w:divsChild>
            </w:div>
            <w:div w:id="520319923">
              <w:marLeft w:val="0"/>
              <w:marRight w:val="0"/>
              <w:marTop w:val="0"/>
              <w:marBottom w:val="0"/>
              <w:divBdr>
                <w:top w:val="none" w:sz="0" w:space="0" w:color="auto"/>
                <w:left w:val="none" w:sz="0" w:space="0" w:color="auto"/>
                <w:bottom w:val="none" w:sz="0" w:space="0" w:color="auto"/>
                <w:right w:val="none" w:sz="0" w:space="0" w:color="auto"/>
              </w:divBdr>
              <w:divsChild>
                <w:div w:id="519198824">
                  <w:marLeft w:val="0"/>
                  <w:marRight w:val="0"/>
                  <w:marTop w:val="0"/>
                  <w:marBottom w:val="0"/>
                  <w:divBdr>
                    <w:top w:val="none" w:sz="0" w:space="0" w:color="auto"/>
                    <w:left w:val="none" w:sz="0" w:space="0" w:color="auto"/>
                    <w:bottom w:val="none" w:sz="0" w:space="0" w:color="auto"/>
                    <w:right w:val="none" w:sz="0" w:space="0" w:color="auto"/>
                  </w:divBdr>
                </w:div>
              </w:divsChild>
            </w:div>
            <w:div w:id="659237175">
              <w:marLeft w:val="0"/>
              <w:marRight w:val="0"/>
              <w:marTop w:val="0"/>
              <w:marBottom w:val="0"/>
              <w:divBdr>
                <w:top w:val="none" w:sz="0" w:space="0" w:color="auto"/>
                <w:left w:val="none" w:sz="0" w:space="0" w:color="auto"/>
                <w:bottom w:val="none" w:sz="0" w:space="0" w:color="auto"/>
                <w:right w:val="none" w:sz="0" w:space="0" w:color="auto"/>
              </w:divBdr>
              <w:divsChild>
                <w:div w:id="2020040802">
                  <w:marLeft w:val="0"/>
                  <w:marRight w:val="0"/>
                  <w:marTop w:val="0"/>
                  <w:marBottom w:val="0"/>
                  <w:divBdr>
                    <w:top w:val="none" w:sz="0" w:space="0" w:color="auto"/>
                    <w:left w:val="none" w:sz="0" w:space="0" w:color="auto"/>
                    <w:bottom w:val="none" w:sz="0" w:space="0" w:color="auto"/>
                    <w:right w:val="none" w:sz="0" w:space="0" w:color="auto"/>
                  </w:divBdr>
                </w:div>
              </w:divsChild>
            </w:div>
            <w:div w:id="683552589">
              <w:marLeft w:val="0"/>
              <w:marRight w:val="0"/>
              <w:marTop w:val="0"/>
              <w:marBottom w:val="0"/>
              <w:divBdr>
                <w:top w:val="none" w:sz="0" w:space="0" w:color="auto"/>
                <w:left w:val="none" w:sz="0" w:space="0" w:color="auto"/>
                <w:bottom w:val="none" w:sz="0" w:space="0" w:color="auto"/>
                <w:right w:val="none" w:sz="0" w:space="0" w:color="auto"/>
              </w:divBdr>
              <w:divsChild>
                <w:div w:id="1623808551">
                  <w:marLeft w:val="0"/>
                  <w:marRight w:val="0"/>
                  <w:marTop w:val="0"/>
                  <w:marBottom w:val="0"/>
                  <w:divBdr>
                    <w:top w:val="none" w:sz="0" w:space="0" w:color="auto"/>
                    <w:left w:val="none" w:sz="0" w:space="0" w:color="auto"/>
                    <w:bottom w:val="none" w:sz="0" w:space="0" w:color="auto"/>
                    <w:right w:val="none" w:sz="0" w:space="0" w:color="auto"/>
                  </w:divBdr>
                </w:div>
              </w:divsChild>
            </w:div>
            <w:div w:id="711881532">
              <w:marLeft w:val="0"/>
              <w:marRight w:val="0"/>
              <w:marTop w:val="0"/>
              <w:marBottom w:val="0"/>
              <w:divBdr>
                <w:top w:val="none" w:sz="0" w:space="0" w:color="auto"/>
                <w:left w:val="none" w:sz="0" w:space="0" w:color="auto"/>
                <w:bottom w:val="none" w:sz="0" w:space="0" w:color="auto"/>
                <w:right w:val="none" w:sz="0" w:space="0" w:color="auto"/>
              </w:divBdr>
              <w:divsChild>
                <w:div w:id="1551070170">
                  <w:marLeft w:val="0"/>
                  <w:marRight w:val="0"/>
                  <w:marTop w:val="0"/>
                  <w:marBottom w:val="0"/>
                  <w:divBdr>
                    <w:top w:val="none" w:sz="0" w:space="0" w:color="auto"/>
                    <w:left w:val="none" w:sz="0" w:space="0" w:color="auto"/>
                    <w:bottom w:val="none" w:sz="0" w:space="0" w:color="auto"/>
                    <w:right w:val="none" w:sz="0" w:space="0" w:color="auto"/>
                  </w:divBdr>
                </w:div>
              </w:divsChild>
            </w:div>
            <w:div w:id="912206280">
              <w:marLeft w:val="0"/>
              <w:marRight w:val="0"/>
              <w:marTop w:val="0"/>
              <w:marBottom w:val="0"/>
              <w:divBdr>
                <w:top w:val="none" w:sz="0" w:space="0" w:color="auto"/>
                <w:left w:val="none" w:sz="0" w:space="0" w:color="auto"/>
                <w:bottom w:val="none" w:sz="0" w:space="0" w:color="auto"/>
                <w:right w:val="none" w:sz="0" w:space="0" w:color="auto"/>
              </w:divBdr>
              <w:divsChild>
                <w:div w:id="124590937">
                  <w:marLeft w:val="0"/>
                  <w:marRight w:val="0"/>
                  <w:marTop w:val="0"/>
                  <w:marBottom w:val="0"/>
                  <w:divBdr>
                    <w:top w:val="none" w:sz="0" w:space="0" w:color="auto"/>
                    <w:left w:val="none" w:sz="0" w:space="0" w:color="auto"/>
                    <w:bottom w:val="none" w:sz="0" w:space="0" w:color="auto"/>
                    <w:right w:val="none" w:sz="0" w:space="0" w:color="auto"/>
                  </w:divBdr>
                </w:div>
              </w:divsChild>
            </w:div>
            <w:div w:id="936404442">
              <w:marLeft w:val="0"/>
              <w:marRight w:val="0"/>
              <w:marTop w:val="0"/>
              <w:marBottom w:val="0"/>
              <w:divBdr>
                <w:top w:val="none" w:sz="0" w:space="0" w:color="auto"/>
                <w:left w:val="none" w:sz="0" w:space="0" w:color="auto"/>
                <w:bottom w:val="none" w:sz="0" w:space="0" w:color="auto"/>
                <w:right w:val="none" w:sz="0" w:space="0" w:color="auto"/>
              </w:divBdr>
              <w:divsChild>
                <w:div w:id="1752922582">
                  <w:marLeft w:val="0"/>
                  <w:marRight w:val="0"/>
                  <w:marTop w:val="0"/>
                  <w:marBottom w:val="0"/>
                  <w:divBdr>
                    <w:top w:val="none" w:sz="0" w:space="0" w:color="auto"/>
                    <w:left w:val="none" w:sz="0" w:space="0" w:color="auto"/>
                    <w:bottom w:val="none" w:sz="0" w:space="0" w:color="auto"/>
                    <w:right w:val="none" w:sz="0" w:space="0" w:color="auto"/>
                  </w:divBdr>
                </w:div>
              </w:divsChild>
            </w:div>
            <w:div w:id="1160124300">
              <w:marLeft w:val="0"/>
              <w:marRight w:val="0"/>
              <w:marTop w:val="0"/>
              <w:marBottom w:val="0"/>
              <w:divBdr>
                <w:top w:val="none" w:sz="0" w:space="0" w:color="auto"/>
                <w:left w:val="none" w:sz="0" w:space="0" w:color="auto"/>
                <w:bottom w:val="none" w:sz="0" w:space="0" w:color="auto"/>
                <w:right w:val="none" w:sz="0" w:space="0" w:color="auto"/>
              </w:divBdr>
              <w:divsChild>
                <w:div w:id="1821922618">
                  <w:marLeft w:val="0"/>
                  <w:marRight w:val="0"/>
                  <w:marTop w:val="0"/>
                  <w:marBottom w:val="0"/>
                  <w:divBdr>
                    <w:top w:val="none" w:sz="0" w:space="0" w:color="auto"/>
                    <w:left w:val="none" w:sz="0" w:space="0" w:color="auto"/>
                    <w:bottom w:val="none" w:sz="0" w:space="0" w:color="auto"/>
                    <w:right w:val="none" w:sz="0" w:space="0" w:color="auto"/>
                  </w:divBdr>
                </w:div>
              </w:divsChild>
            </w:div>
            <w:div w:id="1267814589">
              <w:marLeft w:val="0"/>
              <w:marRight w:val="0"/>
              <w:marTop w:val="0"/>
              <w:marBottom w:val="0"/>
              <w:divBdr>
                <w:top w:val="none" w:sz="0" w:space="0" w:color="auto"/>
                <w:left w:val="none" w:sz="0" w:space="0" w:color="auto"/>
                <w:bottom w:val="none" w:sz="0" w:space="0" w:color="auto"/>
                <w:right w:val="none" w:sz="0" w:space="0" w:color="auto"/>
              </w:divBdr>
              <w:divsChild>
                <w:div w:id="18093790">
                  <w:marLeft w:val="0"/>
                  <w:marRight w:val="0"/>
                  <w:marTop w:val="0"/>
                  <w:marBottom w:val="0"/>
                  <w:divBdr>
                    <w:top w:val="none" w:sz="0" w:space="0" w:color="auto"/>
                    <w:left w:val="none" w:sz="0" w:space="0" w:color="auto"/>
                    <w:bottom w:val="none" w:sz="0" w:space="0" w:color="auto"/>
                    <w:right w:val="none" w:sz="0" w:space="0" w:color="auto"/>
                  </w:divBdr>
                </w:div>
              </w:divsChild>
            </w:div>
            <w:div w:id="1269386475">
              <w:marLeft w:val="0"/>
              <w:marRight w:val="0"/>
              <w:marTop w:val="0"/>
              <w:marBottom w:val="0"/>
              <w:divBdr>
                <w:top w:val="none" w:sz="0" w:space="0" w:color="auto"/>
                <w:left w:val="none" w:sz="0" w:space="0" w:color="auto"/>
                <w:bottom w:val="none" w:sz="0" w:space="0" w:color="auto"/>
                <w:right w:val="none" w:sz="0" w:space="0" w:color="auto"/>
              </w:divBdr>
              <w:divsChild>
                <w:div w:id="634260189">
                  <w:marLeft w:val="0"/>
                  <w:marRight w:val="0"/>
                  <w:marTop w:val="0"/>
                  <w:marBottom w:val="0"/>
                  <w:divBdr>
                    <w:top w:val="none" w:sz="0" w:space="0" w:color="auto"/>
                    <w:left w:val="none" w:sz="0" w:space="0" w:color="auto"/>
                    <w:bottom w:val="none" w:sz="0" w:space="0" w:color="auto"/>
                    <w:right w:val="none" w:sz="0" w:space="0" w:color="auto"/>
                  </w:divBdr>
                </w:div>
              </w:divsChild>
            </w:div>
            <w:div w:id="1434401203">
              <w:marLeft w:val="0"/>
              <w:marRight w:val="0"/>
              <w:marTop w:val="0"/>
              <w:marBottom w:val="0"/>
              <w:divBdr>
                <w:top w:val="none" w:sz="0" w:space="0" w:color="auto"/>
                <w:left w:val="none" w:sz="0" w:space="0" w:color="auto"/>
                <w:bottom w:val="none" w:sz="0" w:space="0" w:color="auto"/>
                <w:right w:val="none" w:sz="0" w:space="0" w:color="auto"/>
              </w:divBdr>
              <w:divsChild>
                <w:div w:id="486628971">
                  <w:marLeft w:val="0"/>
                  <w:marRight w:val="0"/>
                  <w:marTop w:val="0"/>
                  <w:marBottom w:val="0"/>
                  <w:divBdr>
                    <w:top w:val="none" w:sz="0" w:space="0" w:color="auto"/>
                    <w:left w:val="none" w:sz="0" w:space="0" w:color="auto"/>
                    <w:bottom w:val="none" w:sz="0" w:space="0" w:color="auto"/>
                    <w:right w:val="none" w:sz="0" w:space="0" w:color="auto"/>
                  </w:divBdr>
                </w:div>
              </w:divsChild>
            </w:div>
            <w:div w:id="1440176144">
              <w:marLeft w:val="0"/>
              <w:marRight w:val="0"/>
              <w:marTop w:val="0"/>
              <w:marBottom w:val="0"/>
              <w:divBdr>
                <w:top w:val="none" w:sz="0" w:space="0" w:color="auto"/>
                <w:left w:val="none" w:sz="0" w:space="0" w:color="auto"/>
                <w:bottom w:val="none" w:sz="0" w:space="0" w:color="auto"/>
                <w:right w:val="none" w:sz="0" w:space="0" w:color="auto"/>
              </w:divBdr>
              <w:divsChild>
                <w:div w:id="1040856860">
                  <w:marLeft w:val="0"/>
                  <w:marRight w:val="0"/>
                  <w:marTop w:val="0"/>
                  <w:marBottom w:val="0"/>
                  <w:divBdr>
                    <w:top w:val="none" w:sz="0" w:space="0" w:color="auto"/>
                    <w:left w:val="none" w:sz="0" w:space="0" w:color="auto"/>
                    <w:bottom w:val="none" w:sz="0" w:space="0" w:color="auto"/>
                    <w:right w:val="none" w:sz="0" w:space="0" w:color="auto"/>
                  </w:divBdr>
                </w:div>
              </w:divsChild>
            </w:div>
            <w:div w:id="1463770311">
              <w:marLeft w:val="0"/>
              <w:marRight w:val="0"/>
              <w:marTop w:val="0"/>
              <w:marBottom w:val="0"/>
              <w:divBdr>
                <w:top w:val="none" w:sz="0" w:space="0" w:color="auto"/>
                <w:left w:val="none" w:sz="0" w:space="0" w:color="auto"/>
                <w:bottom w:val="none" w:sz="0" w:space="0" w:color="auto"/>
                <w:right w:val="none" w:sz="0" w:space="0" w:color="auto"/>
              </w:divBdr>
              <w:divsChild>
                <w:div w:id="1685933951">
                  <w:marLeft w:val="0"/>
                  <w:marRight w:val="0"/>
                  <w:marTop w:val="0"/>
                  <w:marBottom w:val="0"/>
                  <w:divBdr>
                    <w:top w:val="none" w:sz="0" w:space="0" w:color="auto"/>
                    <w:left w:val="none" w:sz="0" w:space="0" w:color="auto"/>
                    <w:bottom w:val="none" w:sz="0" w:space="0" w:color="auto"/>
                    <w:right w:val="none" w:sz="0" w:space="0" w:color="auto"/>
                  </w:divBdr>
                </w:div>
              </w:divsChild>
            </w:div>
            <w:div w:id="1577781986">
              <w:marLeft w:val="0"/>
              <w:marRight w:val="0"/>
              <w:marTop w:val="0"/>
              <w:marBottom w:val="0"/>
              <w:divBdr>
                <w:top w:val="none" w:sz="0" w:space="0" w:color="auto"/>
                <w:left w:val="none" w:sz="0" w:space="0" w:color="auto"/>
                <w:bottom w:val="none" w:sz="0" w:space="0" w:color="auto"/>
                <w:right w:val="none" w:sz="0" w:space="0" w:color="auto"/>
              </w:divBdr>
              <w:divsChild>
                <w:div w:id="576522356">
                  <w:marLeft w:val="0"/>
                  <w:marRight w:val="0"/>
                  <w:marTop w:val="0"/>
                  <w:marBottom w:val="0"/>
                  <w:divBdr>
                    <w:top w:val="none" w:sz="0" w:space="0" w:color="auto"/>
                    <w:left w:val="none" w:sz="0" w:space="0" w:color="auto"/>
                    <w:bottom w:val="none" w:sz="0" w:space="0" w:color="auto"/>
                    <w:right w:val="none" w:sz="0" w:space="0" w:color="auto"/>
                  </w:divBdr>
                </w:div>
              </w:divsChild>
            </w:div>
            <w:div w:id="1586765150">
              <w:marLeft w:val="0"/>
              <w:marRight w:val="0"/>
              <w:marTop w:val="0"/>
              <w:marBottom w:val="0"/>
              <w:divBdr>
                <w:top w:val="none" w:sz="0" w:space="0" w:color="auto"/>
                <w:left w:val="none" w:sz="0" w:space="0" w:color="auto"/>
                <w:bottom w:val="none" w:sz="0" w:space="0" w:color="auto"/>
                <w:right w:val="none" w:sz="0" w:space="0" w:color="auto"/>
              </w:divBdr>
              <w:divsChild>
                <w:div w:id="158666238">
                  <w:marLeft w:val="0"/>
                  <w:marRight w:val="0"/>
                  <w:marTop w:val="0"/>
                  <w:marBottom w:val="0"/>
                  <w:divBdr>
                    <w:top w:val="none" w:sz="0" w:space="0" w:color="auto"/>
                    <w:left w:val="none" w:sz="0" w:space="0" w:color="auto"/>
                    <w:bottom w:val="none" w:sz="0" w:space="0" w:color="auto"/>
                    <w:right w:val="none" w:sz="0" w:space="0" w:color="auto"/>
                  </w:divBdr>
                </w:div>
              </w:divsChild>
            </w:div>
            <w:div w:id="1615676166">
              <w:marLeft w:val="0"/>
              <w:marRight w:val="0"/>
              <w:marTop w:val="0"/>
              <w:marBottom w:val="0"/>
              <w:divBdr>
                <w:top w:val="none" w:sz="0" w:space="0" w:color="auto"/>
                <w:left w:val="none" w:sz="0" w:space="0" w:color="auto"/>
                <w:bottom w:val="none" w:sz="0" w:space="0" w:color="auto"/>
                <w:right w:val="none" w:sz="0" w:space="0" w:color="auto"/>
              </w:divBdr>
              <w:divsChild>
                <w:div w:id="2142070680">
                  <w:marLeft w:val="0"/>
                  <w:marRight w:val="0"/>
                  <w:marTop w:val="0"/>
                  <w:marBottom w:val="0"/>
                  <w:divBdr>
                    <w:top w:val="none" w:sz="0" w:space="0" w:color="auto"/>
                    <w:left w:val="none" w:sz="0" w:space="0" w:color="auto"/>
                    <w:bottom w:val="none" w:sz="0" w:space="0" w:color="auto"/>
                    <w:right w:val="none" w:sz="0" w:space="0" w:color="auto"/>
                  </w:divBdr>
                </w:div>
              </w:divsChild>
            </w:div>
            <w:div w:id="1680503563">
              <w:marLeft w:val="0"/>
              <w:marRight w:val="0"/>
              <w:marTop w:val="0"/>
              <w:marBottom w:val="0"/>
              <w:divBdr>
                <w:top w:val="none" w:sz="0" w:space="0" w:color="auto"/>
                <w:left w:val="none" w:sz="0" w:space="0" w:color="auto"/>
                <w:bottom w:val="none" w:sz="0" w:space="0" w:color="auto"/>
                <w:right w:val="none" w:sz="0" w:space="0" w:color="auto"/>
              </w:divBdr>
              <w:divsChild>
                <w:div w:id="801651235">
                  <w:marLeft w:val="0"/>
                  <w:marRight w:val="0"/>
                  <w:marTop w:val="0"/>
                  <w:marBottom w:val="0"/>
                  <w:divBdr>
                    <w:top w:val="none" w:sz="0" w:space="0" w:color="auto"/>
                    <w:left w:val="none" w:sz="0" w:space="0" w:color="auto"/>
                    <w:bottom w:val="none" w:sz="0" w:space="0" w:color="auto"/>
                    <w:right w:val="none" w:sz="0" w:space="0" w:color="auto"/>
                  </w:divBdr>
                </w:div>
              </w:divsChild>
            </w:div>
            <w:div w:id="1745688495">
              <w:marLeft w:val="0"/>
              <w:marRight w:val="0"/>
              <w:marTop w:val="0"/>
              <w:marBottom w:val="0"/>
              <w:divBdr>
                <w:top w:val="none" w:sz="0" w:space="0" w:color="auto"/>
                <w:left w:val="none" w:sz="0" w:space="0" w:color="auto"/>
                <w:bottom w:val="none" w:sz="0" w:space="0" w:color="auto"/>
                <w:right w:val="none" w:sz="0" w:space="0" w:color="auto"/>
              </w:divBdr>
              <w:divsChild>
                <w:div w:id="1847670867">
                  <w:marLeft w:val="0"/>
                  <w:marRight w:val="0"/>
                  <w:marTop w:val="0"/>
                  <w:marBottom w:val="0"/>
                  <w:divBdr>
                    <w:top w:val="none" w:sz="0" w:space="0" w:color="auto"/>
                    <w:left w:val="none" w:sz="0" w:space="0" w:color="auto"/>
                    <w:bottom w:val="none" w:sz="0" w:space="0" w:color="auto"/>
                    <w:right w:val="none" w:sz="0" w:space="0" w:color="auto"/>
                  </w:divBdr>
                </w:div>
              </w:divsChild>
            </w:div>
            <w:div w:id="1771662137">
              <w:marLeft w:val="0"/>
              <w:marRight w:val="0"/>
              <w:marTop w:val="0"/>
              <w:marBottom w:val="0"/>
              <w:divBdr>
                <w:top w:val="none" w:sz="0" w:space="0" w:color="auto"/>
                <w:left w:val="none" w:sz="0" w:space="0" w:color="auto"/>
                <w:bottom w:val="none" w:sz="0" w:space="0" w:color="auto"/>
                <w:right w:val="none" w:sz="0" w:space="0" w:color="auto"/>
              </w:divBdr>
              <w:divsChild>
                <w:div w:id="1077898884">
                  <w:marLeft w:val="0"/>
                  <w:marRight w:val="0"/>
                  <w:marTop w:val="0"/>
                  <w:marBottom w:val="0"/>
                  <w:divBdr>
                    <w:top w:val="none" w:sz="0" w:space="0" w:color="auto"/>
                    <w:left w:val="none" w:sz="0" w:space="0" w:color="auto"/>
                    <w:bottom w:val="none" w:sz="0" w:space="0" w:color="auto"/>
                    <w:right w:val="none" w:sz="0" w:space="0" w:color="auto"/>
                  </w:divBdr>
                </w:div>
              </w:divsChild>
            </w:div>
            <w:div w:id="1905750313">
              <w:marLeft w:val="0"/>
              <w:marRight w:val="0"/>
              <w:marTop w:val="0"/>
              <w:marBottom w:val="0"/>
              <w:divBdr>
                <w:top w:val="none" w:sz="0" w:space="0" w:color="auto"/>
                <w:left w:val="none" w:sz="0" w:space="0" w:color="auto"/>
                <w:bottom w:val="none" w:sz="0" w:space="0" w:color="auto"/>
                <w:right w:val="none" w:sz="0" w:space="0" w:color="auto"/>
              </w:divBdr>
              <w:divsChild>
                <w:div w:id="1850675858">
                  <w:marLeft w:val="0"/>
                  <w:marRight w:val="0"/>
                  <w:marTop w:val="0"/>
                  <w:marBottom w:val="0"/>
                  <w:divBdr>
                    <w:top w:val="none" w:sz="0" w:space="0" w:color="auto"/>
                    <w:left w:val="none" w:sz="0" w:space="0" w:color="auto"/>
                    <w:bottom w:val="none" w:sz="0" w:space="0" w:color="auto"/>
                    <w:right w:val="none" w:sz="0" w:space="0" w:color="auto"/>
                  </w:divBdr>
                </w:div>
              </w:divsChild>
            </w:div>
            <w:div w:id="1935168474">
              <w:marLeft w:val="0"/>
              <w:marRight w:val="0"/>
              <w:marTop w:val="0"/>
              <w:marBottom w:val="0"/>
              <w:divBdr>
                <w:top w:val="none" w:sz="0" w:space="0" w:color="auto"/>
                <w:left w:val="none" w:sz="0" w:space="0" w:color="auto"/>
                <w:bottom w:val="none" w:sz="0" w:space="0" w:color="auto"/>
                <w:right w:val="none" w:sz="0" w:space="0" w:color="auto"/>
              </w:divBdr>
              <w:divsChild>
                <w:div w:id="1184637557">
                  <w:marLeft w:val="0"/>
                  <w:marRight w:val="0"/>
                  <w:marTop w:val="0"/>
                  <w:marBottom w:val="0"/>
                  <w:divBdr>
                    <w:top w:val="none" w:sz="0" w:space="0" w:color="auto"/>
                    <w:left w:val="none" w:sz="0" w:space="0" w:color="auto"/>
                    <w:bottom w:val="none" w:sz="0" w:space="0" w:color="auto"/>
                    <w:right w:val="none" w:sz="0" w:space="0" w:color="auto"/>
                  </w:divBdr>
                </w:div>
              </w:divsChild>
            </w:div>
            <w:div w:id="1941913356">
              <w:marLeft w:val="0"/>
              <w:marRight w:val="0"/>
              <w:marTop w:val="0"/>
              <w:marBottom w:val="0"/>
              <w:divBdr>
                <w:top w:val="none" w:sz="0" w:space="0" w:color="auto"/>
                <w:left w:val="none" w:sz="0" w:space="0" w:color="auto"/>
                <w:bottom w:val="none" w:sz="0" w:space="0" w:color="auto"/>
                <w:right w:val="none" w:sz="0" w:space="0" w:color="auto"/>
              </w:divBdr>
              <w:divsChild>
                <w:div w:id="823814358">
                  <w:marLeft w:val="0"/>
                  <w:marRight w:val="0"/>
                  <w:marTop w:val="0"/>
                  <w:marBottom w:val="0"/>
                  <w:divBdr>
                    <w:top w:val="none" w:sz="0" w:space="0" w:color="auto"/>
                    <w:left w:val="none" w:sz="0" w:space="0" w:color="auto"/>
                    <w:bottom w:val="none" w:sz="0" w:space="0" w:color="auto"/>
                    <w:right w:val="none" w:sz="0" w:space="0" w:color="auto"/>
                  </w:divBdr>
                </w:div>
              </w:divsChild>
            </w:div>
            <w:div w:id="1995328430">
              <w:marLeft w:val="0"/>
              <w:marRight w:val="0"/>
              <w:marTop w:val="0"/>
              <w:marBottom w:val="0"/>
              <w:divBdr>
                <w:top w:val="none" w:sz="0" w:space="0" w:color="auto"/>
                <w:left w:val="none" w:sz="0" w:space="0" w:color="auto"/>
                <w:bottom w:val="none" w:sz="0" w:space="0" w:color="auto"/>
                <w:right w:val="none" w:sz="0" w:space="0" w:color="auto"/>
              </w:divBdr>
              <w:divsChild>
                <w:div w:id="276061530">
                  <w:marLeft w:val="0"/>
                  <w:marRight w:val="0"/>
                  <w:marTop w:val="0"/>
                  <w:marBottom w:val="0"/>
                  <w:divBdr>
                    <w:top w:val="none" w:sz="0" w:space="0" w:color="auto"/>
                    <w:left w:val="none" w:sz="0" w:space="0" w:color="auto"/>
                    <w:bottom w:val="none" w:sz="0" w:space="0" w:color="auto"/>
                    <w:right w:val="none" w:sz="0" w:space="0" w:color="auto"/>
                  </w:divBdr>
                </w:div>
              </w:divsChild>
            </w:div>
            <w:div w:id="1997606408">
              <w:marLeft w:val="0"/>
              <w:marRight w:val="0"/>
              <w:marTop w:val="0"/>
              <w:marBottom w:val="0"/>
              <w:divBdr>
                <w:top w:val="none" w:sz="0" w:space="0" w:color="auto"/>
                <w:left w:val="none" w:sz="0" w:space="0" w:color="auto"/>
                <w:bottom w:val="none" w:sz="0" w:space="0" w:color="auto"/>
                <w:right w:val="none" w:sz="0" w:space="0" w:color="auto"/>
              </w:divBdr>
              <w:divsChild>
                <w:div w:id="1656685835">
                  <w:marLeft w:val="0"/>
                  <w:marRight w:val="0"/>
                  <w:marTop w:val="0"/>
                  <w:marBottom w:val="0"/>
                  <w:divBdr>
                    <w:top w:val="none" w:sz="0" w:space="0" w:color="auto"/>
                    <w:left w:val="none" w:sz="0" w:space="0" w:color="auto"/>
                    <w:bottom w:val="none" w:sz="0" w:space="0" w:color="auto"/>
                    <w:right w:val="none" w:sz="0" w:space="0" w:color="auto"/>
                  </w:divBdr>
                </w:div>
              </w:divsChild>
            </w:div>
            <w:div w:id="2016878612">
              <w:marLeft w:val="0"/>
              <w:marRight w:val="0"/>
              <w:marTop w:val="0"/>
              <w:marBottom w:val="0"/>
              <w:divBdr>
                <w:top w:val="none" w:sz="0" w:space="0" w:color="auto"/>
                <w:left w:val="none" w:sz="0" w:space="0" w:color="auto"/>
                <w:bottom w:val="none" w:sz="0" w:space="0" w:color="auto"/>
                <w:right w:val="none" w:sz="0" w:space="0" w:color="auto"/>
              </w:divBdr>
              <w:divsChild>
                <w:div w:id="1345013905">
                  <w:marLeft w:val="0"/>
                  <w:marRight w:val="0"/>
                  <w:marTop w:val="0"/>
                  <w:marBottom w:val="0"/>
                  <w:divBdr>
                    <w:top w:val="none" w:sz="0" w:space="0" w:color="auto"/>
                    <w:left w:val="none" w:sz="0" w:space="0" w:color="auto"/>
                    <w:bottom w:val="none" w:sz="0" w:space="0" w:color="auto"/>
                    <w:right w:val="none" w:sz="0" w:space="0" w:color="auto"/>
                  </w:divBdr>
                </w:div>
              </w:divsChild>
            </w:div>
            <w:div w:id="2043506519">
              <w:marLeft w:val="0"/>
              <w:marRight w:val="0"/>
              <w:marTop w:val="0"/>
              <w:marBottom w:val="0"/>
              <w:divBdr>
                <w:top w:val="none" w:sz="0" w:space="0" w:color="auto"/>
                <w:left w:val="none" w:sz="0" w:space="0" w:color="auto"/>
                <w:bottom w:val="none" w:sz="0" w:space="0" w:color="auto"/>
                <w:right w:val="none" w:sz="0" w:space="0" w:color="auto"/>
              </w:divBdr>
              <w:divsChild>
                <w:div w:id="118667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43817">
          <w:marLeft w:val="0"/>
          <w:marRight w:val="0"/>
          <w:marTop w:val="0"/>
          <w:marBottom w:val="0"/>
          <w:divBdr>
            <w:top w:val="none" w:sz="0" w:space="0" w:color="auto"/>
            <w:left w:val="none" w:sz="0" w:space="0" w:color="auto"/>
            <w:bottom w:val="none" w:sz="0" w:space="0" w:color="auto"/>
            <w:right w:val="none" w:sz="0" w:space="0" w:color="auto"/>
          </w:divBdr>
        </w:div>
        <w:div w:id="2078435128">
          <w:marLeft w:val="0"/>
          <w:marRight w:val="0"/>
          <w:marTop w:val="0"/>
          <w:marBottom w:val="0"/>
          <w:divBdr>
            <w:top w:val="none" w:sz="0" w:space="0" w:color="auto"/>
            <w:left w:val="none" w:sz="0" w:space="0" w:color="auto"/>
            <w:bottom w:val="none" w:sz="0" w:space="0" w:color="auto"/>
            <w:right w:val="none" w:sz="0" w:space="0" w:color="auto"/>
          </w:divBdr>
        </w:div>
      </w:divsChild>
    </w:div>
    <w:div w:id="780880549">
      <w:bodyDiv w:val="1"/>
      <w:marLeft w:val="0"/>
      <w:marRight w:val="0"/>
      <w:marTop w:val="0"/>
      <w:marBottom w:val="0"/>
      <w:divBdr>
        <w:top w:val="none" w:sz="0" w:space="0" w:color="auto"/>
        <w:left w:val="none" w:sz="0" w:space="0" w:color="auto"/>
        <w:bottom w:val="none" w:sz="0" w:space="0" w:color="auto"/>
        <w:right w:val="none" w:sz="0" w:space="0" w:color="auto"/>
      </w:divBdr>
    </w:div>
    <w:div w:id="789782530">
      <w:bodyDiv w:val="1"/>
      <w:marLeft w:val="0"/>
      <w:marRight w:val="0"/>
      <w:marTop w:val="0"/>
      <w:marBottom w:val="0"/>
      <w:divBdr>
        <w:top w:val="none" w:sz="0" w:space="0" w:color="auto"/>
        <w:left w:val="none" w:sz="0" w:space="0" w:color="auto"/>
        <w:bottom w:val="none" w:sz="0" w:space="0" w:color="auto"/>
        <w:right w:val="none" w:sz="0" w:space="0" w:color="auto"/>
      </w:divBdr>
    </w:div>
    <w:div w:id="828524728">
      <w:bodyDiv w:val="1"/>
      <w:marLeft w:val="0"/>
      <w:marRight w:val="0"/>
      <w:marTop w:val="0"/>
      <w:marBottom w:val="0"/>
      <w:divBdr>
        <w:top w:val="none" w:sz="0" w:space="0" w:color="auto"/>
        <w:left w:val="none" w:sz="0" w:space="0" w:color="auto"/>
        <w:bottom w:val="none" w:sz="0" w:space="0" w:color="auto"/>
        <w:right w:val="none" w:sz="0" w:space="0" w:color="auto"/>
      </w:divBdr>
    </w:div>
    <w:div w:id="832063093">
      <w:bodyDiv w:val="1"/>
      <w:marLeft w:val="0"/>
      <w:marRight w:val="0"/>
      <w:marTop w:val="0"/>
      <w:marBottom w:val="0"/>
      <w:divBdr>
        <w:top w:val="none" w:sz="0" w:space="0" w:color="auto"/>
        <w:left w:val="none" w:sz="0" w:space="0" w:color="auto"/>
        <w:bottom w:val="none" w:sz="0" w:space="0" w:color="auto"/>
        <w:right w:val="none" w:sz="0" w:space="0" w:color="auto"/>
      </w:divBdr>
    </w:div>
    <w:div w:id="881405390">
      <w:bodyDiv w:val="1"/>
      <w:marLeft w:val="0"/>
      <w:marRight w:val="0"/>
      <w:marTop w:val="0"/>
      <w:marBottom w:val="0"/>
      <w:divBdr>
        <w:top w:val="none" w:sz="0" w:space="0" w:color="auto"/>
        <w:left w:val="none" w:sz="0" w:space="0" w:color="auto"/>
        <w:bottom w:val="none" w:sz="0" w:space="0" w:color="auto"/>
        <w:right w:val="none" w:sz="0" w:space="0" w:color="auto"/>
      </w:divBdr>
    </w:div>
    <w:div w:id="940912782">
      <w:bodyDiv w:val="1"/>
      <w:marLeft w:val="0"/>
      <w:marRight w:val="0"/>
      <w:marTop w:val="0"/>
      <w:marBottom w:val="0"/>
      <w:divBdr>
        <w:top w:val="none" w:sz="0" w:space="0" w:color="auto"/>
        <w:left w:val="none" w:sz="0" w:space="0" w:color="auto"/>
        <w:bottom w:val="none" w:sz="0" w:space="0" w:color="auto"/>
        <w:right w:val="none" w:sz="0" w:space="0" w:color="auto"/>
      </w:divBdr>
    </w:div>
    <w:div w:id="968514124">
      <w:bodyDiv w:val="1"/>
      <w:marLeft w:val="0"/>
      <w:marRight w:val="0"/>
      <w:marTop w:val="0"/>
      <w:marBottom w:val="0"/>
      <w:divBdr>
        <w:top w:val="none" w:sz="0" w:space="0" w:color="auto"/>
        <w:left w:val="none" w:sz="0" w:space="0" w:color="auto"/>
        <w:bottom w:val="none" w:sz="0" w:space="0" w:color="auto"/>
        <w:right w:val="none" w:sz="0" w:space="0" w:color="auto"/>
      </w:divBdr>
    </w:div>
    <w:div w:id="991376420">
      <w:bodyDiv w:val="1"/>
      <w:marLeft w:val="0"/>
      <w:marRight w:val="0"/>
      <w:marTop w:val="0"/>
      <w:marBottom w:val="0"/>
      <w:divBdr>
        <w:top w:val="none" w:sz="0" w:space="0" w:color="auto"/>
        <w:left w:val="none" w:sz="0" w:space="0" w:color="auto"/>
        <w:bottom w:val="none" w:sz="0" w:space="0" w:color="auto"/>
        <w:right w:val="none" w:sz="0" w:space="0" w:color="auto"/>
      </w:divBdr>
    </w:div>
    <w:div w:id="1001545876">
      <w:bodyDiv w:val="1"/>
      <w:marLeft w:val="0"/>
      <w:marRight w:val="0"/>
      <w:marTop w:val="0"/>
      <w:marBottom w:val="0"/>
      <w:divBdr>
        <w:top w:val="none" w:sz="0" w:space="0" w:color="auto"/>
        <w:left w:val="none" w:sz="0" w:space="0" w:color="auto"/>
        <w:bottom w:val="none" w:sz="0" w:space="0" w:color="auto"/>
        <w:right w:val="none" w:sz="0" w:space="0" w:color="auto"/>
      </w:divBdr>
    </w:div>
    <w:div w:id="1005548359">
      <w:bodyDiv w:val="1"/>
      <w:marLeft w:val="0"/>
      <w:marRight w:val="0"/>
      <w:marTop w:val="0"/>
      <w:marBottom w:val="0"/>
      <w:divBdr>
        <w:top w:val="none" w:sz="0" w:space="0" w:color="auto"/>
        <w:left w:val="none" w:sz="0" w:space="0" w:color="auto"/>
        <w:bottom w:val="none" w:sz="0" w:space="0" w:color="auto"/>
        <w:right w:val="none" w:sz="0" w:space="0" w:color="auto"/>
      </w:divBdr>
    </w:div>
    <w:div w:id="1034110268">
      <w:bodyDiv w:val="1"/>
      <w:marLeft w:val="0"/>
      <w:marRight w:val="0"/>
      <w:marTop w:val="0"/>
      <w:marBottom w:val="0"/>
      <w:divBdr>
        <w:top w:val="none" w:sz="0" w:space="0" w:color="auto"/>
        <w:left w:val="none" w:sz="0" w:space="0" w:color="auto"/>
        <w:bottom w:val="none" w:sz="0" w:space="0" w:color="auto"/>
        <w:right w:val="none" w:sz="0" w:space="0" w:color="auto"/>
      </w:divBdr>
      <w:divsChild>
        <w:div w:id="271472238">
          <w:marLeft w:val="0"/>
          <w:marRight w:val="0"/>
          <w:marTop w:val="0"/>
          <w:marBottom w:val="0"/>
          <w:divBdr>
            <w:top w:val="none" w:sz="0" w:space="0" w:color="auto"/>
            <w:left w:val="none" w:sz="0" w:space="0" w:color="auto"/>
            <w:bottom w:val="none" w:sz="0" w:space="0" w:color="auto"/>
            <w:right w:val="none" w:sz="0" w:space="0" w:color="auto"/>
          </w:divBdr>
          <w:divsChild>
            <w:div w:id="529688099">
              <w:marLeft w:val="0"/>
              <w:marRight w:val="0"/>
              <w:marTop w:val="0"/>
              <w:marBottom w:val="0"/>
              <w:divBdr>
                <w:top w:val="none" w:sz="0" w:space="0" w:color="auto"/>
                <w:left w:val="none" w:sz="0" w:space="0" w:color="auto"/>
                <w:bottom w:val="none" w:sz="0" w:space="0" w:color="auto"/>
                <w:right w:val="none" w:sz="0" w:space="0" w:color="auto"/>
              </w:divBdr>
            </w:div>
            <w:div w:id="908660497">
              <w:marLeft w:val="0"/>
              <w:marRight w:val="0"/>
              <w:marTop w:val="0"/>
              <w:marBottom w:val="0"/>
              <w:divBdr>
                <w:top w:val="none" w:sz="0" w:space="0" w:color="auto"/>
                <w:left w:val="none" w:sz="0" w:space="0" w:color="auto"/>
                <w:bottom w:val="none" w:sz="0" w:space="0" w:color="auto"/>
                <w:right w:val="none" w:sz="0" w:space="0" w:color="auto"/>
              </w:divBdr>
            </w:div>
            <w:div w:id="1219710428">
              <w:marLeft w:val="0"/>
              <w:marRight w:val="0"/>
              <w:marTop w:val="0"/>
              <w:marBottom w:val="0"/>
              <w:divBdr>
                <w:top w:val="none" w:sz="0" w:space="0" w:color="auto"/>
                <w:left w:val="none" w:sz="0" w:space="0" w:color="auto"/>
                <w:bottom w:val="none" w:sz="0" w:space="0" w:color="auto"/>
                <w:right w:val="none" w:sz="0" w:space="0" w:color="auto"/>
              </w:divBdr>
            </w:div>
            <w:div w:id="1376002215">
              <w:marLeft w:val="0"/>
              <w:marRight w:val="0"/>
              <w:marTop w:val="0"/>
              <w:marBottom w:val="0"/>
              <w:divBdr>
                <w:top w:val="none" w:sz="0" w:space="0" w:color="auto"/>
                <w:left w:val="none" w:sz="0" w:space="0" w:color="auto"/>
                <w:bottom w:val="none" w:sz="0" w:space="0" w:color="auto"/>
                <w:right w:val="none" w:sz="0" w:space="0" w:color="auto"/>
              </w:divBdr>
            </w:div>
          </w:divsChild>
        </w:div>
        <w:div w:id="281495860">
          <w:marLeft w:val="0"/>
          <w:marRight w:val="0"/>
          <w:marTop w:val="0"/>
          <w:marBottom w:val="0"/>
          <w:divBdr>
            <w:top w:val="none" w:sz="0" w:space="0" w:color="auto"/>
            <w:left w:val="none" w:sz="0" w:space="0" w:color="auto"/>
            <w:bottom w:val="none" w:sz="0" w:space="0" w:color="auto"/>
            <w:right w:val="none" w:sz="0" w:space="0" w:color="auto"/>
          </w:divBdr>
          <w:divsChild>
            <w:div w:id="172186704">
              <w:marLeft w:val="0"/>
              <w:marRight w:val="0"/>
              <w:marTop w:val="0"/>
              <w:marBottom w:val="0"/>
              <w:divBdr>
                <w:top w:val="none" w:sz="0" w:space="0" w:color="auto"/>
                <w:left w:val="none" w:sz="0" w:space="0" w:color="auto"/>
                <w:bottom w:val="none" w:sz="0" w:space="0" w:color="auto"/>
                <w:right w:val="none" w:sz="0" w:space="0" w:color="auto"/>
              </w:divBdr>
            </w:div>
            <w:div w:id="360280622">
              <w:marLeft w:val="0"/>
              <w:marRight w:val="0"/>
              <w:marTop w:val="0"/>
              <w:marBottom w:val="0"/>
              <w:divBdr>
                <w:top w:val="none" w:sz="0" w:space="0" w:color="auto"/>
                <w:left w:val="none" w:sz="0" w:space="0" w:color="auto"/>
                <w:bottom w:val="none" w:sz="0" w:space="0" w:color="auto"/>
                <w:right w:val="none" w:sz="0" w:space="0" w:color="auto"/>
              </w:divBdr>
            </w:div>
            <w:div w:id="469786584">
              <w:marLeft w:val="0"/>
              <w:marRight w:val="0"/>
              <w:marTop w:val="0"/>
              <w:marBottom w:val="0"/>
              <w:divBdr>
                <w:top w:val="none" w:sz="0" w:space="0" w:color="auto"/>
                <w:left w:val="none" w:sz="0" w:space="0" w:color="auto"/>
                <w:bottom w:val="none" w:sz="0" w:space="0" w:color="auto"/>
                <w:right w:val="none" w:sz="0" w:space="0" w:color="auto"/>
              </w:divBdr>
            </w:div>
            <w:div w:id="1555894394">
              <w:marLeft w:val="0"/>
              <w:marRight w:val="0"/>
              <w:marTop w:val="0"/>
              <w:marBottom w:val="0"/>
              <w:divBdr>
                <w:top w:val="none" w:sz="0" w:space="0" w:color="auto"/>
                <w:left w:val="none" w:sz="0" w:space="0" w:color="auto"/>
                <w:bottom w:val="none" w:sz="0" w:space="0" w:color="auto"/>
                <w:right w:val="none" w:sz="0" w:space="0" w:color="auto"/>
              </w:divBdr>
            </w:div>
            <w:div w:id="1704476809">
              <w:marLeft w:val="0"/>
              <w:marRight w:val="0"/>
              <w:marTop w:val="0"/>
              <w:marBottom w:val="0"/>
              <w:divBdr>
                <w:top w:val="none" w:sz="0" w:space="0" w:color="auto"/>
                <w:left w:val="none" w:sz="0" w:space="0" w:color="auto"/>
                <w:bottom w:val="none" w:sz="0" w:space="0" w:color="auto"/>
                <w:right w:val="none" w:sz="0" w:space="0" w:color="auto"/>
              </w:divBdr>
            </w:div>
            <w:div w:id="1984656136">
              <w:marLeft w:val="0"/>
              <w:marRight w:val="0"/>
              <w:marTop w:val="0"/>
              <w:marBottom w:val="0"/>
              <w:divBdr>
                <w:top w:val="none" w:sz="0" w:space="0" w:color="auto"/>
                <w:left w:val="none" w:sz="0" w:space="0" w:color="auto"/>
                <w:bottom w:val="none" w:sz="0" w:space="0" w:color="auto"/>
                <w:right w:val="none" w:sz="0" w:space="0" w:color="auto"/>
              </w:divBdr>
            </w:div>
          </w:divsChild>
        </w:div>
        <w:div w:id="429740622">
          <w:marLeft w:val="0"/>
          <w:marRight w:val="0"/>
          <w:marTop w:val="0"/>
          <w:marBottom w:val="0"/>
          <w:divBdr>
            <w:top w:val="none" w:sz="0" w:space="0" w:color="auto"/>
            <w:left w:val="none" w:sz="0" w:space="0" w:color="auto"/>
            <w:bottom w:val="none" w:sz="0" w:space="0" w:color="auto"/>
            <w:right w:val="none" w:sz="0" w:space="0" w:color="auto"/>
          </w:divBdr>
          <w:divsChild>
            <w:div w:id="317656763">
              <w:marLeft w:val="0"/>
              <w:marRight w:val="0"/>
              <w:marTop w:val="0"/>
              <w:marBottom w:val="0"/>
              <w:divBdr>
                <w:top w:val="none" w:sz="0" w:space="0" w:color="auto"/>
                <w:left w:val="none" w:sz="0" w:space="0" w:color="auto"/>
                <w:bottom w:val="none" w:sz="0" w:space="0" w:color="auto"/>
                <w:right w:val="none" w:sz="0" w:space="0" w:color="auto"/>
              </w:divBdr>
            </w:div>
            <w:div w:id="324210232">
              <w:marLeft w:val="0"/>
              <w:marRight w:val="0"/>
              <w:marTop w:val="0"/>
              <w:marBottom w:val="0"/>
              <w:divBdr>
                <w:top w:val="none" w:sz="0" w:space="0" w:color="auto"/>
                <w:left w:val="none" w:sz="0" w:space="0" w:color="auto"/>
                <w:bottom w:val="none" w:sz="0" w:space="0" w:color="auto"/>
                <w:right w:val="none" w:sz="0" w:space="0" w:color="auto"/>
              </w:divBdr>
            </w:div>
            <w:div w:id="442769617">
              <w:marLeft w:val="0"/>
              <w:marRight w:val="0"/>
              <w:marTop w:val="0"/>
              <w:marBottom w:val="0"/>
              <w:divBdr>
                <w:top w:val="none" w:sz="0" w:space="0" w:color="auto"/>
                <w:left w:val="none" w:sz="0" w:space="0" w:color="auto"/>
                <w:bottom w:val="none" w:sz="0" w:space="0" w:color="auto"/>
                <w:right w:val="none" w:sz="0" w:space="0" w:color="auto"/>
              </w:divBdr>
            </w:div>
          </w:divsChild>
        </w:div>
        <w:div w:id="650712976">
          <w:marLeft w:val="0"/>
          <w:marRight w:val="0"/>
          <w:marTop w:val="0"/>
          <w:marBottom w:val="0"/>
          <w:divBdr>
            <w:top w:val="none" w:sz="0" w:space="0" w:color="auto"/>
            <w:left w:val="none" w:sz="0" w:space="0" w:color="auto"/>
            <w:bottom w:val="none" w:sz="0" w:space="0" w:color="auto"/>
            <w:right w:val="none" w:sz="0" w:space="0" w:color="auto"/>
          </w:divBdr>
          <w:divsChild>
            <w:div w:id="1329211676">
              <w:marLeft w:val="-75"/>
              <w:marRight w:val="0"/>
              <w:marTop w:val="30"/>
              <w:marBottom w:val="30"/>
              <w:divBdr>
                <w:top w:val="none" w:sz="0" w:space="0" w:color="auto"/>
                <w:left w:val="none" w:sz="0" w:space="0" w:color="auto"/>
                <w:bottom w:val="none" w:sz="0" w:space="0" w:color="auto"/>
                <w:right w:val="none" w:sz="0" w:space="0" w:color="auto"/>
              </w:divBdr>
              <w:divsChild>
                <w:div w:id="313225504">
                  <w:marLeft w:val="0"/>
                  <w:marRight w:val="0"/>
                  <w:marTop w:val="0"/>
                  <w:marBottom w:val="0"/>
                  <w:divBdr>
                    <w:top w:val="none" w:sz="0" w:space="0" w:color="auto"/>
                    <w:left w:val="none" w:sz="0" w:space="0" w:color="auto"/>
                    <w:bottom w:val="none" w:sz="0" w:space="0" w:color="auto"/>
                    <w:right w:val="none" w:sz="0" w:space="0" w:color="auto"/>
                  </w:divBdr>
                  <w:divsChild>
                    <w:div w:id="1425607327">
                      <w:marLeft w:val="0"/>
                      <w:marRight w:val="0"/>
                      <w:marTop w:val="0"/>
                      <w:marBottom w:val="0"/>
                      <w:divBdr>
                        <w:top w:val="none" w:sz="0" w:space="0" w:color="auto"/>
                        <w:left w:val="none" w:sz="0" w:space="0" w:color="auto"/>
                        <w:bottom w:val="none" w:sz="0" w:space="0" w:color="auto"/>
                        <w:right w:val="none" w:sz="0" w:space="0" w:color="auto"/>
                      </w:divBdr>
                    </w:div>
                  </w:divsChild>
                </w:div>
                <w:div w:id="478620341">
                  <w:marLeft w:val="0"/>
                  <w:marRight w:val="0"/>
                  <w:marTop w:val="0"/>
                  <w:marBottom w:val="0"/>
                  <w:divBdr>
                    <w:top w:val="none" w:sz="0" w:space="0" w:color="auto"/>
                    <w:left w:val="none" w:sz="0" w:space="0" w:color="auto"/>
                    <w:bottom w:val="none" w:sz="0" w:space="0" w:color="auto"/>
                    <w:right w:val="none" w:sz="0" w:space="0" w:color="auto"/>
                  </w:divBdr>
                  <w:divsChild>
                    <w:div w:id="641151877">
                      <w:marLeft w:val="0"/>
                      <w:marRight w:val="0"/>
                      <w:marTop w:val="0"/>
                      <w:marBottom w:val="0"/>
                      <w:divBdr>
                        <w:top w:val="none" w:sz="0" w:space="0" w:color="auto"/>
                        <w:left w:val="none" w:sz="0" w:space="0" w:color="auto"/>
                        <w:bottom w:val="none" w:sz="0" w:space="0" w:color="auto"/>
                        <w:right w:val="none" w:sz="0" w:space="0" w:color="auto"/>
                      </w:divBdr>
                    </w:div>
                  </w:divsChild>
                </w:div>
                <w:div w:id="653686712">
                  <w:marLeft w:val="0"/>
                  <w:marRight w:val="0"/>
                  <w:marTop w:val="0"/>
                  <w:marBottom w:val="0"/>
                  <w:divBdr>
                    <w:top w:val="none" w:sz="0" w:space="0" w:color="auto"/>
                    <w:left w:val="none" w:sz="0" w:space="0" w:color="auto"/>
                    <w:bottom w:val="none" w:sz="0" w:space="0" w:color="auto"/>
                    <w:right w:val="none" w:sz="0" w:space="0" w:color="auto"/>
                  </w:divBdr>
                  <w:divsChild>
                    <w:div w:id="2045255293">
                      <w:marLeft w:val="0"/>
                      <w:marRight w:val="0"/>
                      <w:marTop w:val="0"/>
                      <w:marBottom w:val="0"/>
                      <w:divBdr>
                        <w:top w:val="none" w:sz="0" w:space="0" w:color="auto"/>
                        <w:left w:val="none" w:sz="0" w:space="0" w:color="auto"/>
                        <w:bottom w:val="none" w:sz="0" w:space="0" w:color="auto"/>
                        <w:right w:val="none" w:sz="0" w:space="0" w:color="auto"/>
                      </w:divBdr>
                    </w:div>
                  </w:divsChild>
                </w:div>
                <w:div w:id="959383079">
                  <w:marLeft w:val="0"/>
                  <w:marRight w:val="0"/>
                  <w:marTop w:val="0"/>
                  <w:marBottom w:val="0"/>
                  <w:divBdr>
                    <w:top w:val="none" w:sz="0" w:space="0" w:color="auto"/>
                    <w:left w:val="none" w:sz="0" w:space="0" w:color="auto"/>
                    <w:bottom w:val="none" w:sz="0" w:space="0" w:color="auto"/>
                    <w:right w:val="none" w:sz="0" w:space="0" w:color="auto"/>
                  </w:divBdr>
                  <w:divsChild>
                    <w:div w:id="1725979576">
                      <w:marLeft w:val="0"/>
                      <w:marRight w:val="0"/>
                      <w:marTop w:val="0"/>
                      <w:marBottom w:val="0"/>
                      <w:divBdr>
                        <w:top w:val="none" w:sz="0" w:space="0" w:color="auto"/>
                        <w:left w:val="none" w:sz="0" w:space="0" w:color="auto"/>
                        <w:bottom w:val="none" w:sz="0" w:space="0" w:color="auto"/>
                        <w:right w:val="none" w:sz="0" w:space="0" w:color="auto"/>
                      </w:divBdr>
                    </w:div>
                  </w:divsChild>
                </w:div>
                <w:div w:id="1144396249">
                  <w:marLeft w:val="0"/>
                  <w:marRight w:val="0"/>
                  <w:marTop w:val="0"/>
                  <w:marBottom w:val="0"/>
                  <w:divBdr>
                    <w:top w:val="none" w:sz="0" w:space="0" w:color="auto"/>
                    <w:left w:val="none" w:sz="0" w:space="0" w:color="auto"/>
                    <w:bottom w:val="none" w:sz="0" w:space="0" w:color="auto"/>
                    <w:right w:val="none" w:sz="0" w:space="0" w:color="auto"/>
                  </w:divBdr>
                  <w:divsChild>
                    <w:div w:id="1567302720">
                      <w:marLeft w:val="0"/>
                      <w:marRight w:val="0"/>
                      <w:marTop w:val="0"/>
                      <w:marBottom w:val="0"/>
                      <w:divBdr>
                        <w:top w:val="none" w:sz="0" w:space="0" w:color="auto"/>
                        <w:left w:val="none" w:sz="0" w:space="0" w:color="auto"/>
                        <w:bottom w:val="none" w:sz="0" w:space="0" w:color="auto"/>
                        <w:right w:val="none" w:sz="0" w:space="0" w:color="auto"/>
                      </w:divBdr>
                    </w:div>
                  </w:divsChild>
                </w:div>
                <w:div w:id="1204055564">
                  <w:marLeft w:val="0"/>
                  <w:marRight w:val="0"/>
                  <w:marTop w:val="0"/>
                  <w:marBottom w:val="0"/>
                  <w:divBdr>
                    <w:top w:val="none" w:sz="0" w:space="0" w:color="auto"/>
                    <w:left w:val="none" w:sz="0" w:space="0" w:color="auto"/>
                    <w:bottom w:val="none" w:sz="0" w:space="0" w:color="auto"/>
                    <w:right w:val="none" w:sz="0" w:space="0" w:color="auto"/>
                  </w:divBdr>
                  <w:divsChild>
                    <w:div w:id="169950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75120">
          <w:marLeft w:val="0"/>
          <w:marRight w:val="0"/>
          <w:marTop w:val="0"/>
          <w:marBottom w:val="0"/>
          <w:divBdr>
            <w:top w:val="none" w:sz="0" w:space="0" w:color="auto"/>
            <w:left w:val="none" w:sz="0" w:space="0" w:color="auto"/>
            <w:bottom w:val="none" w:sz="0" w:space="0" w:color="auto"/>
            <w:right w:val="none" w:sz="0" w:space="0" w:color="auto"/>
          </w:divBdr>
          <w:divsChild>
            <w:div w:id="226693968">
              <w:marLeft w:val="0"/>
              <w:marRight w:val="0"/>
              <w:marTop w:val="0"/>
              <w:marBottom w:val="0"/>
              <w:divBdr>
                <w:top w:val="none" w:sz="0" w:space="0" w:color="auto"/>
                <w:left w:val="none" w:sz="0" w:space="0" w:color="auto"/>
                <w:bottom w:val="none" w:sz="0" w:space="0" w:color="auto"/>
                <w:right w:val="none" w:sz="0" w:space="0" w:color="auto"/>
              </w:divBdr>
            </w:div>
            <w:div w:id="505900168">
              <w:marLeft w:val="0"/>
              <w:marRight w:val="0"/>
              <w:marTop w:val="0"/>
              <w:marBottom w:val="0"/>
              <w:divBdr>
                <w:top w:val="none" w:sz="0" w:space="0" w:color="auto"/>
                <w:left w:val="none" w:sz="0" w:space="0" w:color="auto"/>
                <w:bottom w:val="none" w:sz="0" w:space="0" w:color="auto"/>
                <w:right w:val="none" w:sz="0" w:space="0" w:color="auto"/>
              </w:divBdr>
            </w:div>
            <w:div w:id="866605307">
              <w:marLeft w:val="0"/>
              <w:marRight w:val="0"/>
              <w:marTop w:val="0"/>
              <w:marBottom w:val="0"/>
              <w:divBdr>
                <w:top w:val="none" w:sz="0" w:space="0" w:color="auto"/>
                <w:left w:val="none" w:sz="0" w:space="0" w:color="auto"/>
                <w:bottom w:val="none" w:sz="0" w:space="0" w:color="auto"/>
                <w:right w:val="none" w:sz="0" w:space="0" w:color="auto"/>
              </w:divBdr>
            </w:div>
            <w:div w:id="1705397475">
              <w:marLeft w:val="0"/>
              <w:marRight w:val="0"/>
              <w:marTop w:val="0"/>
              <w:marBottom w:val="0"/>
              <w:divBdr>
                <w:top w:val="none" w:sz="0" w:space="0" w:color="auto"/>
                <w:left w:val="none" w:sz="0" w:space="0" w:color="auto"/>
                <w:bottom w:val="none" w:sz="0" w:space="0" w:color="auto"/>
                <w:right w:val="none" w:sz="0" w:space="0" w:color="auto"/>
              </w:divBdr>
            </w:div>
          </w:divsChild>
        </w:div>
        <w:div w:id="766510818">
          <w:marLeft w:val="0"/>
          <w:marRight w:val="0"/>
          <w:marTop w:val="0"/>
          <w:marBottom w:val="0"/>
          <w:divBdr>
            <w:top w:val="none" w:sz="0" w:space="0" w:color="auto"/>
            <w:left w:val="none" w:sz="0" w:space="0" w:color="auto"/>
            <w:bottom w:val="none" w:sz="0" w:space="0" w:color="auto"/>
            <w:right w:val="none" w:sz="0" w:space="0" w:color="auto"/>
          </w:divBdr>
          <w:divsChild>
            <w:div w:id="613949186">
              <w:marLeft w:val="-75"/>
              <w:marRight w:val="0"/>
              <w:marTop w:val="30"/>
              <w:marBottom w:val="30"/>
              <w:divBdr>
                <w:top w:val="none" w:sz="0" w:space="0" w:color="auto"/>
                <w:left w:val="none" w:sz="0" w:space="0" w:color="auto"/>
                <w:bottom w:val="none" w:sz="0" w:space="0" w:color="auto"/>
                <w:right w:val="none" w:sz="0" w:space="0" w:color="auto"/>
              </w:divBdr>
              <w:divsChild>
                <w:div w:id="146559437">
                  <w:marLeft w:val="0"/>
                  <w:marRight w:val="0"/>
                  <w:marTop w:val="0"/>
                  <w:marBottom w:val="0"/>
                  <w:divBdr>
                    <w:top w:val="none" w:sz="0" w:space="0" w:color="auto"/>
                    <w:left w:val="none" w:sz="0" w:space="0" w:color="auto"/>
                    <w:bottom w:val="none" w:sz="0" w:space="0" w:color="auto"/>
                    <w:right w:val="none" w:sz="0" w:space="0" w:color="auto"/>
                  </w:divBdr>
                  <w:divsChild>
                    <w:div w:id="711224918">
                      <w:marLeft w:val="0"/>
                      <w:marRight w:val="0"/>
                      <w:marTop w:val="0"/>
                      <w:marBottom w:val="0"/>
                      <w:divBdr>
                        <w:top w:val="none" w:sz="0" w:space="0" w:color="auto"/>
                        <w:left w:val="none" w:sz="0" w:space="0" w:color="auto"/>
                        <w:bottom w:val="none" w:sz="0" w:space="0" w:color="auto"/>
                        <w:right w:val="none" w:sz="0" w:space="0" w:color="auto"/>
                      </w:divBdr>
                    </w:div>
                  </w:divsChild>
                </w:div>
                <w:div w:id="215119022">
                  <w:marLeft w:val="0"/>
                  <w:marRight w:val="0"/>
                  <w:marTop w:val="0"/>
                  <w:marBottom w:val="0"/>
                  <w:divBdr>
                    <w:top w:val="none" w:sz="0" w:space="0" w:color="auto"/>
                    <w:left w:val="none" w:sz="0" w:space="0" w:color="auto"/>
                    <w:bottom w:val="none" w:sz="0" w:space="0" w:color="auto"/>
                    <w:right w:val="none" w:sz="0" w:space="0" w:color="auto"/>
                  </w:divBdr>
                  <w:divsChild>
                    <w:div w:id="2041393312">
                      <w:marLeft w:val="0"/>
                      <w:marRight w:val="0"/>
                      <w:marTop w:val="0"/>
                      <w:marBottom w:val="0"/>
                      <w:divBdr>
                        <w:top w:val="none" w:sz="0" w:space="0" w:color="auto"/>
                        <w:left w:val="none" w:sz="0" w:space="0" w:color="auto"/>
                        <w:bottom w:val="none" w:sz="0" w:space="0" w:color="auto"/>
                        <w:right w:val="none" w:sz="0" w:space="0" w:color="auto"/>
                      </w:divBdr>
                    </w:div>
                  </w:divsChild>
                </w:div>
                <w:div w:id="247815182">
                  <w:marLeft w:val="0"/>
                  <w:marRight w:val="0"/>
                  <w:marTop w:val="0"/>
                  <w:marBottom w:val="0"/>
                  <w:divBdr>
                    <w:top w:val="none" w:sz="0" w:space="0" w:color="auto"/>
                    <w:left w:val="none" w:sz="0" w:space="0" w:color="auto"/>
                    <w:bottom w:val="none" w:sz="0" w:space="0" w:color="auto"/>
                    <w:right w:val="none" w:sz="0" w:space="0" w:color="auto"/>
                  </w:divBdr>
                  <w:divsChild>
                    <w:div w:id="21250300">
                      <w:marLeft w:val="0"/>
                      <w:marRight w:val="0"/>
                      <w:marTop w:val="0"/>
                      <w:marBottom w:val="0"/>
                      <w:divBdr>
                        <w:top w:val="none" w:sz="0" w:space="0" w:color="auto"/>
                        <w:left w:val="none" w:sz="0" w:space="0" w:color="auto"/>
                        <w:bottom w:val="none" w:sz="0" w:space="0" w:color="auto"/>
                        <w:right w:val="none" w:sz="0" w:space="0" w:color="auto"/>
                      </w:divBdr>
                    </w:div>
                    <w:div w:id="1150295479">
                      <w:marLeft w:val="0"/>
                      <w:marRight w:val="0"/>
                      <w:marTop w:val="0"/>
                      <w:marBottom w:val="0"/>
                      <w:divBdr>
                        <w:top w:val="none" w:sz="0" w:space="0" w:color="auto"/>
                        <w:left w:val="none" w:sz="0" w:space="0" w:color="auto"/>
                        <w:bottom w:val="none" w:sz="0" w:space="0" w:color="auto"/>
                        <w:right w:val="none" w:sz="0" w:space="0" w:color="auto"/>
                      </w:divBdr>
                    </w:div>
                  </w:divsChild>
                </w:div>
                <w:div w:id="280723160">
                  <w:marLeft w:val="0"/>
                  <w:marRight w:val="0"/>
                  <w:marTop w:val="0"/>
                  <w:marBottom w:val="0"/>
                  <w:divBdr>
                    <w:top w:val="none" w:sz="0" w:space="0" w:color="auto"/>
                    <w:left w:val="none" w:sz="0" w:space="0" w:color="auto"/>
                    <w:bottom w:val="none" w:sz="0" w:space="0" w:color="auto"/>
                    <w:right w:val="none" w:sz="0" w:space="0" w:color="auto"/>
                  </w:divBdr>
                  <w:divsChild>
                    <w:div w:id="865486683">
                      <w:marLeft w:val="0"/>
                      <w:marRight w:val="0"/>
                      <w:marTop w:val="0"/>
                      <w:marBottom w:val="0"/>
                      <w:divBdr>
                        <w:top w:val="none" w:sz="0" w:space="0" w:color="auto"/>
                        <w:left w:val="none" w:sz="0" w:space="0" w:color="auto"/>
                        <w:bottom w:val="none" w:sz="0" w:space="0" w:color="auto"/>
                        <w:right w:val="none" w:sz="0" w:space="0" w:color="auto"/>
                      </w:divBdr>
                    </w:div>
                  </w:divsChild>
                </w:div>
                <w:div w:id="301620221">
                  <w:marLeft w:val="0"/>
                  <w:marRight w:val="0"/>
                  <w:marTop w:val="0"/>
                  <w:marBottom w:val="0"/>
                  <w:divBdr>
                    <w:top w:val="none" w:sz="0" w:space="0" w:color="auto"/>
                    <w:left w:val="none" w:sz="0" w:space="0" w:color="auto"/>
                    <w:bottom w:val="none" w:sz="0" w:space="0" w:color="auto"/>
                    <w:right w:val="none" w:sz="0" w:space="0" w:color="auto"/>
                  </w:divBdr>
                  <w:divsChild>
                    <w:div w:id="2137481537">
                      <w:marLeft w:val="0"/>
                      <w:marRight w:val="0"/>
                      <w:marTop w:val="0"/>
                      <w:marBottom w:val="0"/>
                      <w:divBdr>
                        <w:top w:val="none" w:sz="0" w:space="0" w:color="auto"/>
                        <w:left w:val="none" w:sz="0" w:space="0" w:color="auto"/>
                        <w:bottom w:val="none" w:sz="0" w:space="0" w:color="auto"/>
                        <w:right w:val="none" w:sz="0" w:space="0" w:color="auto"/>
                      </w:divBdr>
                    </w:div>
                  </w:divsChild>
                </w:div>
                <w:div w:id="323315863">
                  <w:marLeft w:val="0"/>
                  <w:marRight w:val="0"/>
                  <w:marTop w:val="0"/>
                  <w:marBottom w:val="0"/>
                  <w:divBdr>
                    <w:top w:val="none" w:sz="0" w:space="0" w:color="auto"/>
                    <w:left w:val="none" w:sz="0" w:space="0" w:color="auto"/>
                    <w:bottom w:val="none" w:sz="0" w:space="0" w:color="auto"/>
                    <w:right w:val="none" w:sz="0" w:space="0" w:color="auto"/>
                  </w:divBdr>
                  <w:divsChild>
                    <w:div w:id="1192691222">
                      <w:marLeft w:val="0"/>
                      <w:marRight w:val="0"/>
                      <w:marTop w:val="0"/>
                      <w:marBottom w:val="0"/>
                      <w:divBdr>
                        <w:top w:val="none" w:sz="0" w:space="0" w:color="auto"/>
                        <w:left w:val="none" w:sz="0" w:space="0" w:color="auto"/>
                        <w:bottom w:val="none" w:sz="0" w:space="0" w:color="auto"/>
                        <w:right w:val="none" w:sz="0" w:space="0" w:color="auto"/>
                      </w:divBdr>
                    </w:div>
                  </w:divsChild>
                </w:div>
                <w:div w:id="588386394">
                  <w:marLeft w:val="0"/>
                  <w:marRight w:val="0"/>
                  <w:marTop w:val="0"/>
                  <w:marBottom w:val="0"/>
                  <w:divBdr>
                    <w:top w:val="none" w:sz="0" w:space="0" w:color="auto"/>
                    <w:left w:val="none" w:sz="0" w:space="0" w:color="auto"/>
                    <w:bottom w:val="none" w:sz="0" w:space="0" w:color="auto"/>
                    <w:right w:val="none" w:sz="0" w:space="0" w:color="auto"/>
                  </w:divBdr>
                  <w:divsChild>
                    <w:div w:id="981075816">
                      <w:marLeft w:val="0"/>
                      <w:marRight w:val="0"/>
                      <w:marTop w:val="0"/>
                      <w:marBottom w:val="0"/>
                      <w:divBdr>
                        <w:top w:val="none" w:sz="0" w:space="0" w:color="auto"/>
                        <w:left w:val="none" w:sz="0" w:space="0" w:color="auto"/>
                        <w:bottom w:val="none" w:sz="0" w:space="0" w:color="auto"/>
                        <w:right w:val="none" w:sz="0" w:space="0" w:color="auto"/>
                      </w:divBdr>
                    </w:div>
                  </w:divsChild>
                </w:div>
                <w:div w:id="603727002">
                  <w:marLeft w:val="0"/>
                  <w:marRight w:val="0"/>
                  <w:marTop w:val="0"/>
                  <w:marBottom w:val="0"/>
                  <w:divBdr>
                    <w:top w:val="none" w:sz="0" w:space="0" w:color="auto"/>
                    <w:left w:val="none" w:sz="0" w:space="0" w:color="auto"/>
                    <w:bottom w:val="none" w:sz="0" w:space="0" w:color="auto"/>
                    <w:right w:val="none" w:sz="0" w:space="0" w:color="auto"/>
                  </w:divBdr>
                  <w:divsChild>
                    <w:div w:id="123814224">
                      <w:marLeft w:val="0"/>
                      <w:marRight w:val="0"/>
                      <w:marTop w:val="0"/>
                      <w:marBottom w:val="0"/>
                      <w:divBdr>
                        <w:top w:val="none" w:sz="0" w:space="0" w:color="auto"/>
                        <w:left w:val="none" w:sz="0" w:space="0" w:color="auto"/>
                        <w:bottom w:val="none" w:sz="0" w:space="0" w:color="auto"/>
                        <w:right w:val="none" w:sz="0" w:space="0" w:color="auto"/>
                      </w:divBdr>
                    </w:div>
                  </w:divsChild>
                </w:div>
                <w:div w:id="721290857">
                  <w:marLeft w:val="0"/>
                  <w:marRight w:val="0"/>
                  <w:marTop w:val="0"/>
                  <w:marBottom w:val="0"/>
                  <w:divBdr>
                    <w:top w:val="none" w:sz="0" w:space="0" w:color="auto"/>
                    <w:left w:val="none" w:sz="0" w:space="0" w:color="auto"/>
                    <w:bottom w:val="none" w:sz="0" w:space="0" w:color="auto"/>
                    <w:right w:val="none" w:sz="0" w:space="0" w:color="auto"/>
                  </w:divBdr>
                  <w:divsChild>
                    <w:div w:id="1423795952">
                      <w:marLeft w:val="0"/>
                      <w:marRight w:val="0"/>
                      <w:marTop w:val="0"/>
                      <w:marBottom w:val="0"/>
                      <w:divBdr>
                        <w:top w:val="none" w:sz="0" w:space="0" w:color="auto"/>
                        <w:left w:val="none" w:sz="0" w:space="0" w:color="auto"/>
                        <w:bottom w:val="none" w:sz="0" w:space="0" w:color="auto"/>
                        <w:right w:val="none" w:sz="0" w:space="0" w:color="auto"/>
                      </w:divBdr>
                    </w:div>
                  </w:divsChild>
                </w:div>
                <w:div w:id="747963897">
                  <w:marLeft w:val="0"/>
                  <w:marRight w:val="0"/>
                  <w:marTop w:val="0"/>
                  <w:marBottom w:val="0"/>
                  <w:divBdr>
                    <w:top w:val="none" w:sz="0" w:space="0" w:color="auto"/>
                    <w:left w:val="none" w:sz="0" w:space="0" w:color="auto"/>
                    <w:bottom w:val="none" w:sz="0" w:space="0" w:color="auto"/>
                    <w:right w:val="none" w:sz="0" w:space="0" w:color="auto"/>
                  </w:divBdr>
                  <w:divsChild>
                    <w:div w:id="592907002">
                      <w:marLeft w:val="0"/>
                      <w:marRight w:val="0"/>
                      <w:marTop w:val="0"/>
                      <w:marBottom w:val="0"/>
                      <w:divBdr>
                        <w:top w:val="none" w:sz="0" w:space="0" w:color="auto"/>
                        <w:left w:val="none" w:sz="0" w:space="0" w:color="auto"/>
                        <w:bottom w:val="none" w:sz="0" w:space="0" w:color="auto"/>
                        <w:right w:val="none" w:sz="0" w:space="0" w:color="auto"/>
                      </w:divBdr>
                    </w:div>
                  </w:divsChild>
                </w:div>
                <w:div w:id="749695387">
                  <w:marLeft w:val="0"/>
                  <w:marRight w:val="0"/>
                  <w:marTop w:val="0"/>
                  <w:marBottom w:val="0"/>
                  <w:divBdr>
                    <w:top w:val="none" w:sz="0" w:space="0" w:color="auto"/>
                    <w:left w:val="none" w:sz="0" w:space="0" w:color="auto"/>
                    <w:bottom w:val="none" w:sz="0" w:space="0" w:color="auto"/>
                    <w:right w:val="none" w:sz="0" w:space="0" w:color="auto"/>
                  </w:divBdr>
                  <w:divsChild>
                    <w:div w:id="2106420426">
                      <w:marLeft w:val="0"/>
                      <w:marRight w:val="0"/>
                      <w:marTop w:val="0"/>
                      <w:marBottom w:val="0"/>
                      <w:divBdr>
                        <w:top w:val="none" w:sz="0" w:space="0" w:color="auto"/>
                        <w:left w:val="none" w:sz="0" w:space="0" w:color="auto"/>
                        <w:bottom w:val="none" w:sz="0" w:space="0" w:color="auto"/>
                        <w:right w:val="none" w:sz="0" w:space="0" w:color="auto"/>
                      </w:divBdr>
                    </w:div>
                  </w:divsChild>
                </w:div>
                <w:div w:id="760027563">
                  <w:marLeft w:val="0"/>
                  <w:marRight w:val="0"/>
                  <w:marTop w:val="0"/>
                  <w:marBottom w:val="0"/>
                  <w:divBdr>
                    <w:top w:val="none" w:sz="0" w:space="0" w:color="auto"/>
                    <w:left w:val="none" w:sz="0" w:space="0" w:color="auto"/>
                    <w:bottom w:val="none" w:sz="0" w:space="0" w:color="auto"/>
                    <w:right w:val="none" w:sz="0" w:space="0" w:color="auto"/>
                  </w:divBdr>
                  <w:divsChild>
                    <w:div w:id="1399279015">
                      <w:marLeft w:val="0"/>
                      <w:marRight w:val="0"/>
                      <w:marTop w:val="0"/>
                      <w:marBottom w:val="0"/>
                      <w:divBdr>
                        <w:top w:val="none" w:sz="0" w:space="0" w:color="auto"/>
                        <w:left w:val="none" w:sz="0" w:space="0" w:color="auto"/>
                        <w:bottom w:val="none" w:sz="0" w:space="0" w:color="auto"/>
                        <w:right w:val="none" w:sz="0" w:space="0" w:color="auto"/>
                      </w:divBdr>
                    </w:div>
                  </w:divsChild>
                </w:div>
                <w:div w:id="843014680">
                  <w:marLeft w:val="0"/>
                  <w:marRight w:val="0"/>
                  <w:marTop w:val="0"/>
                  <w:marBottom w:val="0"/>
                  <w:divBdr>
                    <w:top w:val="none" w:sz="0" w:space="0" w:color="auto"/>
                    <w:left w:val="none" w:sz="0" w:space="0" w:color="auto"/>
                    <w:bottom w:val="none" w:sz="0" w:space="0" w:color="auto"/>
                    <w:right w:val="none" w:sz="0" w:space="0" w:color="auto"/>
                  </w:divBdr>
                  <w:divsChild>
                    <w:div w:id="189031125">
                      <w:marLeft w:val="0"/>
                      <w:marRight w:val="0"/>
                      <w:marTop w:val="0"/>
                      <w:marBottom w:val="0"/>
                      <w:divBdr>
                        <w:top w:val="none" w:sz="0" w:space="0" w:color="auto"/>
                        <w:left w:val="none" w:sz="0" w:space="0" w:color="auto"/>
                        <w:bottom w:val="none" w:sz="0" w:space="0" w:color="auto"/>
                        <w:right w:val="none" w:sz="0" w:space="0" w:color="auto"/>
                      </w:divBdr>
                    </w:div>
                  </w:divsChild>
                </w:div>
                <w:div w:id="846217920">
                  <w:marLeft w:val="0"/>
                  <w:marRight w:val="0"/>
                  <w:marTop w:val="0"/>
                  <w:marBottom w:val="0"/>
                  <w:divBdr>
                    <w:top w:val="none" w:sz="0" w:space="0" w:color="auto"/>
                    <w:left w:val="none" w:sz="0" w:space="0" w:color="auto"/>
                    <w:bottom w:val="none" w:sz="0" w:space="0" w:color="auto"/>
                    <w:right w:val="none" w:sz="0" w:space="0" w:color="auto"/>
                  </w:divBdr>
                  <w:divsChild>
                    <w:div w:id="893151991">
                      <w:marLeft w:val="0"/>
                      <w:marRight w:val="0"/>
                      <w:marTop w:val="0"/>
                      <w:marBottom w:val="0"/>
                      <w:divBdr>
                        <w:top w:val="none" w:sz="0" w:space="0" w:color="auto"/>
                        <w:left w:val="none" w:sz="0" w:space="0" w:color="auto"/>
                        <w:bottom w:val="none" w:sz="0" w:space="0" w:color="auto"/>
                        <w:right w:val="none" w:sz="0" w:space="0" w:color="auto"/>
                      </w:divBdr>
                    </w:div>
                  </w:divsChild>
                </w:div>
                <w:div w:id="930704896">
                  <w:marLeft w:val="0"/>
                  <w:marRight w:val="0"/>
                  <w:marTop w:val="0"/>
                  <w:marBottom w:val="0"/>
                  <w:divBdr>
                    <w:top w:val="none" w:sz="0" w:space="0" w:color="auto"/>
                    <w:left w:val="none" w:sz="0" w:space="0" w:color="auto"/>
                    <w:bottom w:val="none" w:sz="0" w:space="0" w:color="auto"/>
                    <w:right w:val="none" w:sz="0" w:space="0" w:color="auto"/>
                  </w:divBdr>
                  <w:divsChild>
                    <w:div w:id="388111617">
                      <w:marLeft w:val="0"/>
                      <w:marRight w:val="0"/>
                      <w:marTop w:val="0"/>
                      <w:marBottom w:val="0"/>
                      <w:divBdr>
                        <w:top w:val="none" w:sz="0" w:space="0" w:color="auto"/>
                        <w:left w:val="none" w:sz="0" w:space="0" w:color="auto"/>
                        <w:bottom w:val="none" w:sz="0" w:space="0" w:color="auto"/>
                        <w:right w:val="none" w:sz="0" w:space="0" w:color="auto"/>
                      </w:divBdr>
                    </w:div>
                    <w:div w:id="831481771">
                      <w:marLeft w:val="0"/>
                      <w:marRight w:val="0"/>
                      <w:marTop w:val="0"/>
                      <w:marBottom w:val="0"/>
                      <w:divBdr>
                        <w:top w:val="none" w:sz="0" w:space="0" w:color="auto"/>
                        <w:left w:val="none" w:sz="0" w:space="0" w:color="auto"/>
                        <w:bottom w:val="none" w:sz="0" w:space="0" w:color="auto"/>
                        <w:right w:val="none" w:sz="0" w:space="0" w:color="auto"/>
                      </w:divBdr>
                    </w:div>
                  </w:divsChild>
                </w:div>
                <w:div w:id="945111800">
                  <w:marLeft w:val="0"/>
                  <w:marRight w:val="0"/>
                  <w:marTop w:val="0"/>
                  <w:marBottom w:val="0"/>
                  <w:divBdr>
                    <w:top w:val="none" w:sz="0" w:space="0" w:color="auto"/>
                    <w:left w:val="none" w:sz="0" w:space="0" w:color="auto"/>
                    <w:bottom w:val="none" w:sz="0" w:space="0" w:color="auto"/>
                    <w:right w:val="none" w:sz="0" w:space="0" w:color="auto"/>
                  </w:divBdr>
                  <w:divsChild>
                    <w:div w:id="479662469">
                      <w:marLeft w:val="0"/>
                      <w:marRight w:val="0"/>
                      <w:marTop w:val="0"/>
                      <w:marBottom w:val="0"/>
                      <w:divBdr>
                        <w:top w:val="none" w:sz="0" w:space="0" w:color="auto"/>
                        <w:left w:val="none" w:sz="0" w:space="0" w:color="auto"/>
                        <w:bottom w:val="none" w:sz="0" w:space="0" w:color="auto"/>
                        <w:right w:val="none" w:sz="0" w:space="0" w:color="auto"/>
                      </w:divBdr>
                    </w:div>
                  </w:divsChild>
                </w:div>
                <w:div w:id="999427493">
                  <w:marLeft w:val="0"/>
                  <w:marRight w:val="0"/>
                  <w:marTop w:val="0"/>
                  <w:marBottom w:val="0"/>
                  <w:divBdr>
                    <w:top w:val="none" w:sz="0" w:space="0" w:color="auto"/>
                    <w:left w:val="none" w:sz="0" w:space="0" w:color="auto"/>
                    <w:bottom w:val="none" w:sz="0" w:space="0" w:color="auto"/>
                    <w:right w:val="none" w:sz="0" w:space="0" w:color="auto"/>
                  </w:divBdr>
                  <w:divsChild>
                    <w:div w:id="1043167188">
                      <w:marLeft w:val="0"/>
                      <w:marRight w:val="0"/>
                      <w:marTop w:val="0"/>
                      <w:marBottom w:val="0"/>
                      <w:divBdr>
                        <w:top w:val="none" w:sz="0" w:space="0" w:color="auto"/>
                        <w:left w:val="none" w:sz="0" w:space="0" w:color="auto"/>
                        <w:bottom w:val="none" w:sz="0" w:space="0" w:color="auto"/>
                        <w:right w:val="none" w:sz="0" w:space="0" w:color="auto"/>
                      </w:divBdr>
                    </w:div>
                  </w:divsChild>
                </w:div>
                <w:div w:id="1086462425">
                  <w:marLeft w:val="0"/>
                  <w:marRight w:val="0"/>
                  <w:marTop w:val="0"/>
                  <w:marBottom w:val="0"/>
                  <w:divBdr>
                    <w:top w:val="none" w:sz="0" w:space="0" w:color="auto"/>
                    <w:left w:val="none" w:sz="0" w:space="0" w:color="auto"/>
                    <w:bottom w:val="none" w:sz="0" w:space="0" w:color="auto"/>
                    <w:right w:val="none" w:sz="0" w:space="0" w:color="auto"/>
                  </w:divBdr>
                  <w:divsChild>
                    <w:div w:id="804540216">
                      <w:marLeft w:val="0"/>
                      <w:marRight w:val="0"/>
                      <w:marTop w:val="0"/>
                      <w:marBottom w:val="0"/>
                      <w:divBdr>
                        <w:top w:val="none" w:sz="0" w:space="0" w:color="auto"/>
                        <w:left w:val="none" w:sz="0" w:space="0" w:color="auto"/>
                        <w:bottom w:val="none" w:sz="0" w:space="0" w:color="auto"/>
                        <w:right w:val="none" w:sz="0" w:space="0" w:color="auto"/>
                      </w:divBdr>
                    </w:div>
                  </w:divsChild>
                </w:div>
                <w:div w:id="1089279965">
                  <w:marLeft w:val="0"/>
                  <w:marRight w:val="0"/>
                  <w:marTop w:val="0"/>
                  <w:marBottom w:val="0"/>
                  <w:divBdr>
                    <w:top w:val="none" w:sz="0" w:space="0" w:color="auto"/>
                    <w:left w:val="none" w:sz="0" w:space="0" w:color="auto"/>
                    <w:bottom w:val="none" w:sz="0" w:space="0" w:color="auto"/>
                    <w:right w:val="none" w:sz="0" w:space="0" w:color="auto"/>
                  </w:divBdr>
                  <w:divsChild>
                    <w:div w:id="1850440591">
                      <w:marLeft w:val="0"/>
                      <w:marRight w:val="0"/>
                      <w:marTop w:val="0"/>
                      <w:marBottom w:val="0"/>
                      <w:divBdr>
                        <w:top w:val="none" w:sz="0" w:space="0" w:color="auto"/>
                        <w:left w:val="none" w:sz="0" w:space="0" w:color="auto"/>
                        <w:bottom w:val="none" w:sz="0" w:space="0" w:color="auto"/>
                        <w:right w:val="none" w:sz="0" w:space="0" w:color="auto"/>
                      </w:divBdr>
                    </w:div>
                  </w:divsChild>
                </w:div>
                <w:div w:id="1132095870">
                  <w:marLeft w:val="0"/>
                  <w:marRight w:val="0"/>
                  <w:marTop w:val="0"/>
                  <w:marBottom w:val="0"/>
                  <w:divBdr>
                    <w:top w:val="none" w:sz="0" w:space="0" w:color="auto"/>
                    <w:left w:val="none" w:sz="0" w:space="0" w:color="auto"/>
                    <w:bottom w:val="none" w:sz="0" w:space="0" w:color="auto"/>
                    <w:right w:val="none" w:sz="0" w:space="0" w:color="auto"/>
                  </w:divBdr>
                  <w:divsChild>
                    <w:div w:id="613446492">
                      <w:marLeft w:val="0"/>
                      <w:marRight w:val="0"/>
                      <w:marTop w:val="0"/>
                      <w:marBottom w:val="0"/>
                      <w:divBdr>
                        <w:top w:val="none" w:sz="0" w:space="0" w:color="auto"/>
                        <w:left w:val="none" w:sz="0" w:space="0" w:color="auto"/>
                        <w:bottom w:val="none" w:sz="0" w:space="0" w:color="auto"/>
                        <w:right w:val="none" w:sz="0" w:space="0" w:color="auto"/>
                      </w:divBdr>
                    </w:div>
                  </w:divsChild>
                </w:div>
                <w:div w:id="1255363740">
                  <w:marLeft w:val="0"/>
                  <w:marRight w:val="0"/>
                  <w:marTop w:val="0"/>
                  <w:marBottom w:val="0"/>
                  <w:divBdr>
                    <w:top w:val="none" w:sz="0" w:space="0" w:color="auto"/>
                    <w:left w:val="none" w:sz="0" w:space="0" w:color="auto"/>
                    <w:bottom w:val="none" w:sz="0" w:space="0" w:color="auto"/>
                    <w:right w:val="none" w:sz="0" w:space="0" w:color="auto"/>
                  </w:divBdr>
                  <w:divsChild>
                    <w:div w:id="329065339">
                      <w:marLeft w:val="0"/>
                      <w:marRight w:val="0"/>
                      <w:marTop w:val="0"/>
                      <w:marBottom w:val="0"/>
                      <w:divBdr>
                        <w:top w:val="none" w:sz="0" w:space="0" w:color="auto"/>
                        <w:left w:val="none" w:sz="0" w:space="0" w:color="auto"/>
                        <w:bottom w:val="none" w:sz="0" w:space="0" w:color="auto"/>
                        <w:right w:val="none" w:sz="0" w:space="0" w:color="auto"/>
                      </w:divBdr>
                    </w:div>
                  </w:divsChild>
                </w:div>
                <w:div w:id="1255821717">
                  <w:marLeft w:val="0"/>
                  <w:marRight w:val="0"/>
                  <w:marTop w:val="0"/>
                  <w:marBottom w:val="0"/>
                  <w:divBdr>
                    <w:top w:val="none" w:sz="0" w:space="0" w:color="auto"/>
                    <w:left w:val="none" w:sz="0" w:space="0" w:color="auto"/>
                    <w:bottom w:val="none" w:sz="0" w:space="0" w:color="auto"/>
                    <w:right w:val="none" w:sz="0" w:space="0" w:color="auto"/>
                  </w:divBdr>
                  <w:divsChild>
                    <w:div w:id="2012100874">
                      <w:marLeft w:val="0"/>
                      <w:marRight w:val="0"/>
                      <w:marTop w:val="0"/>
                      <w:marBottom w:val="0"/>
                      <w:divBdr>
                        <w:top w:val="none" w:sz="0" w:space="0" w:color="auto"/>
                        <w:left w:val="none" w:sz="0" w:space="0" w:color="auto"/>
                        <w:bottom w:val="none" w:sz="0" w:space="0" w:color="auto"/>
                        <w:right w:val="none" w:sz="0" w:space="0" w:color="auto"/>
                      </w:divBdr>
                    </w:div>
                  </w:divsChild>
                </w:div>
                <w:div w:id="1291281572">
                  <w:marLeft w:val="0"/>
                  <w:marRight w:val="0"/>
                  <w:marTop w:val="0"/>
                  <w:marBottom w:val="0"/>
                  <w:divBdr>
                    <w:top w:val="none" w:sz="0" w:space="0" w:color="auto"/>
                    <w:left w:val="none" w:sz="0" w:space="0" w:color="auto"/>
                    <w:bottom w:val="none" w:sz="0" w:space="0" w:color="auto"/>
                    <w:right w:val="none" w:sz="0" w:space="0" w:color="auto"/>
                  </w:divBdr>
                  <w:divsChild>
                    <w:div w:id="525870081">
                      <w:marLeft w:val="0"/>
                      <w:marRight w:val="0"/>
                      <w:marTop w:val="0"/>
                      <w:marBottom w:val="0"/>
                      <w:divBdr>
                        <w:top w:val="none" w:sz="0" w:space="0" w:color="auto"/>
                        <w:left w:val="none" w:sz="0" w:space="0" w:color="auto"/>
                        <w:bottom w:val="none" w:sz="0" w:space="0" w:color="auto"/>
                        <w:right w:val="none" w:sz="0" w:space="0" w:color="auto"/>
                      </w:divBdr>
                    </w:div>
                  </w:divsChild>
                </w:div>
                <w:div w:id="1343095258">
                  <w:marLeft w:val="0"/>
                  <w:marRight w:val="0"/>
                  <w:marTop w:val="0"/>
                  <w:marBottom w:val="0"/>
                  <w:divBdr>
                    <w:top w:val="none" w:sz="0" w:space="0" w:color="auto"/>
                    <w:left w:val="none" w:sz="0" w:space="0" w:color="auto"/>
                    <w:bottom w:val="none" w:sz="0" w:space="0" w:color="auto"/>
                    <w:right w:val="none" w:sz="0" w:space="0" w:color="auto"/>
                  </w:divBdr>
                  <w:divsChild>
                    <w:div w:id="1932662387">
                      <w:marLeft w:val="0"/>
                      <w:marRight w:val="0"/>
                      <w:marTop w:val="0"/>
                      <w:marBottom w:val="0"/>
                      <w:divBdr>
                        <w:top w:val="none" w:sz="0" w:space="0" w:color="auto"/>
                        <w:left w:val="none" w:sz="0" w:space="0" w:color="auto"/>
                        <w:bottom w:val="none" w:sz="0" w:space="0" w:color="auto"/>
                        <w:right w:val="none" w:sz="0" w:space="0" w:color="auto"/>
                      </w:divBdr>
                    </w:div>
                  </w:divsChild>
                </w:div>
                <w:div w:id="1344437777">
                  <w:marLeft w:val="0"/>
                  <w:marRight w:val="0"/>
                  <w:marTop w:val="0"/>
                  <w:marBottom w:val="0"/>
                  <w:divBdr>
                    <w:top w:val="none" w:sz="0" w:space="0" w:color="auto"/>
                    <w:left w:val="none" w:sz="0" w:space="0" w:color="auto"/>
                    <w:bottom w:val="none" w:sz="0" w:space="0" w:color="auto"/>
                    <w:right w:val="none" w:sz="0" w:space="0" w:color="auto"/>
                  </w:divBdr>
                  <w:divsChild>
                    <w:div w:id="1485898254">
                      <w:marLeft w:val="0"/>
                      <w:marRight w:val="0"/>
                      <w:marTop w:val="0"/>
                      <w:marBottom w:val="0"/>
                      <w:divBdr>
                        <w:top w:val="none" w:sz="0" w:space="0" w:color="auto"/>
                        <w:left w:val="none" w:sz="0" w:space="0" w:color="auto"/>
                        <w:bottom w:val="none" w:sz="0" w:space="0" w:color="auto"/>
                        <w:right w:val="none" w:sz="0" w:space="0" w:color="auto"/>
                      </w:divBdr>
                    </w:div>
                  </w:divsChild>
                </w:div>
                <w:div w:id="1381705984">
                  <w:marLeft w:val="0"/>
                  <w:marRight w:val="0"/>
                  <w:marTop w:val="0"/>
                  <w:marBottom w:val="0"/>
                  <w:divBdr>
                    <w:top w:val="none" w:sz="0" w:space="0" w:color="auto"/>
                    <w:left w:val="none" w:sz="0" w:space="0" w:color="auto"/>
                    <w:bottom w:val="none" w:sz="0" w:space="0" w:color="auto"/>
                    <w:right w:val="none" w:sz="0" w:space="0" w:color="auto"/>
                  </w:divBdr>
                  <w:divsChild>
                    <w:div w:id="958874984">
                      <w:marLeft w:val="0"/>
                      <w:marRight w:val="0"/>
                      <w:marTop w:val="0"/>
                      <w:marBottom w:val="0"/>
                      <w:divBdr>
                        <w:top w:val="none" w:sz="0" w:space="0" w:color="auto"/>
                        <w:left w:val="none" w:sz="0" w:space="0" w:color="auto"/>
                        <w:bottom w:val="none" w:sz="0" w:space="0" w:color="auto"/>
                        <w:right w:val="none" w:sz="0" w:space="0" w:color="auto"/>
                      </w:divBdr>
                    </w:div>
                  </w:divsChild>
                </w:div>
                <w:div w:id="1416632416">
                  <w:marLeft w:val="0"/>
                  <w:marRight w:val="0"/>
                  <w:marTop w:val="0"/>
                  <w:marBottom w:val="0"/>
                  <w:divBdr>
                    <w:top w:val="none" w:sz="0" w:space="0" w:color="auto"/>
                    <w:left w:val="none" w:sz="0" w:space="0" w:color="auto"/>
                    <w:bottom w:val="none" w:sz="0" w:space="0" w:color="auto"/>
                    <w:right w:val="none" w:sz="0" w:space="0" w:color="auto"/>
                  </w:divBdr>
                  <w:divsChild>
                    <w:div w:id="1642928065">
                      <w:marLeft w:val="0"/>
                      <w:marRight w:val="0"/>
                      <w:marTop w:val="0"/>
                      <w:marBottom w:val="0"/>
                      <w:divBdr>
                        <w:top w:val="none" w:sz="0" w:space="0" w:color="auto"/>
                        <w:left w:val="none" w:sz="0" w:space="0" w:color="auto"/>
                        <w:bottom w:val="none" w:sz="0" w:space="0" w:color="auto"/>
                        <w:right w:val="none" w:sz="0" w:space="0" w:color="auto"/>
                      </w:divBdr>
                    </w:div>
                  </w:divsChild>
                </w:div>
                <w:div w:id="1428694097">
                  <w:marLeft w:val="0"/>
                  <w:marRight w:val="0"/>
                  <w:marTop w:val="0"/>
                  <w:marBottom w:val="0"/>
                  <w:divBdr>
                    <w:top w:val="none" w:sz="0" w:space="0" w:color="auto"/>
                    <w:left w:val="none" w:sz="0" w:space="0" w:color="auto"/>
                    <w:bottom w:val="none" w:sz="0" w:space="0" w:color="auto"/>
                    <w:right w:val="none" w:sz="0" w:space="0" w:color="auto"/>
                  </w:divBdr>
                  <w:divsChild>
                    <w:div w:id="1766002224">
                      <w:marLeft w:val="0"/>
                      <w:marRight w:val="0"/>
                      <w:marTop w:val="0"/>
                      <w:marBottom w:val="0"/>
                      <w:divBdr>
                        <w:top w:val="none" w:sz="0" w:space="0" w:color="auto"/>
                        <w:left w:val="none" w:sz="0" w:space="0" w:color="auto"/>
                        <w:bottom w:val="none" w:sz="0" w:space="0" w:color="auto"/>
                        <w:right w:val="none" w:sz="0" w:space="0" w:color="auto"/>
                      </w:divBdr>
                    </w:div>
                  </w:divsChild>
                </w:div>
                <w:div w:id="1475097824">
                  <w:marLeft w:val="0"/>
                  <w:marRight w:val="0"/>
                  <w:marTop w:val="0"/>
                  <w:marBottom w:val="0"/>
                  <w:divBdr>
                    <w:top w:val="none" w:sz="0" w:space="0" w:color="auto"/>
                    <w:left w:val="none" w:sz="0" w:space="0" w:color="auto"/>
                    <w:bottom w:val="none" w:sz="0" w:space="0" w:color="auto"/>
                    <w:right w:val="none" w:sz="0" w:space="0" w:color="auto"/>
                  </w:divBdr>
                  <w:divsChild>
                    <w:div w:id="2082095394">
                      <w:marLeft w:val="0"/>
                      <w:marRight w:val="0"/>
                      <w:marTop w:val="0"/>
                      <w:marBottom w:val="0"/>
                      <w:divBdr>
                        <w:top w:val="none" w:sz="0" w:space="0" w:color="auto"/>
                        <w:left w:val="none" w:sz="0" w:space="0" w:color="auto"/>
                        <w:bottom w:val="none" w:sz="0" w:space="0" w:color="auto"/>
                        <w:right w:val="none" w:sz="0" w:space="0" w:color="auto"/>
                      </w:divBdr>
                    </w:div>
                  </w:divsChild>
                </w:div>
                <w:div w:id="1513491438">
                  <w:marLeft w:val="0"/>
                  <w:marRight w:val="0"/>
                  <w:marTop w:val="0"/>
                  <w:marBottom w:val="0"/>
                  <w:divBdr>
                    <w:top w:val="none" w:sz="0" w:space="0" w:color="auto"/>
                    <w:left w:val="none" w:sz="0" w:space="0" w:color="auto"/>
                    <w:bottom w:val="none" w:sz="0" w:space="0" w:color="auto"/>
                    <w:right w:val="none" w:sz="0" w:space="0" w:color="auto"/>
                  </w:divBdr>
                  <w:divsChild>
                    <w:div w:id="973485149">
                      <w:marLeft w:val="0"/>
                      <w:marRight w:val="0"/>
                      <w:marTop w:val="0"/>
                      <w:marBottom w:val="0"/>
                      <w:divBdr>
                        <w:top w:val="none" w:sz="0" w:space="0" w:color="auto"/>
                        <w:left w:val="none" w:sz="0" w:space="0" w:color="auto"/>
                        <w:bottom w:val="none" w:sz="0" w:space="0" w:color="auto"/>
                        <w:right w:val="none" w:sz="0" w:space="0" w:color="auto"/>
                      </w:divBdr>
                    </w:div>
                  </w:divsChild>
                </w:div>
                <w:div w:id="1607038720">
                  <w:marLeft w:val="0"/>
                  <w:marRight w:val="0"/>
                  <w:marTop w:val="0"/>
                  <w:marBottom w:val="0"/>
                  <w:divBdr>
                    <w:top w:val="none" w:sz="0" w:space="0" w:color="auto"/>
                    <w:left w:val="none" w:sz="0" w:space="0" w:color="auto"/>
                    <w:bottom w:val="none" w:sz="0" w:space="0" w:color="auto"/>
                    <w:right w:val="none" w:sz="0" w:space="0" w:color="auto"/>
                  </w:divBdr>
                  <w:divsChild>
                    <w:div w:id="1878926975">
                      <w:marLeft w:val="0"/>
                      <w:marRight w:val="0"/>
                      <w:marTop w:val="0"/>
                      <w:marBottom w:val="0"/>
                      <w:divBdr>
                        <w:top w:val="none" w:sz="0" w:space="0" w:color="auto"/>
                        <w:left w:val="none" w:sz="0" w:space="0" w:color="auto"/>
                        <w:bottom w:val="none" w:sz="0" w:space="0" w:color="auto"/>
                        <w:right w:val="none" w:sz="0" w:space="0" w:color="auto"/>
                      </w:divBdr>
                    </w:div>
                  </w:divsChild>
                </w:div>
                <w:div w:id="1674528159">
                  <w:marLeft w:val="0"/>
                  <w:marRight w:val="0"/>
                  <w:marTop w:val="0"/>
                  <w:marBottom w:val="0"/>
                  <w:divBdr>
                    <w:top w:val="none" w:sz="0" w:space="0" w:color="auto"/>
                    <w:left w:val="none" w:sz="0" w:space="0" w:color="auto"/>
                    <w:bottom w:val="none" w:sz="0" w:space="0" w:color="auto"/>
                    <w:right w:val="none" w:sz="0" w:space="0" w:color="auto"/>
                  </w:divBdr>
                  <w:divsChild>
                    <w:div w:id="498077996">
                      <w:marLeft w:val="0"/>
                      <w:marRight w:val="0"/>
                      <w:marTop w:val="0"/>
                      <w:marBottom w:val="0"/>
                      <w:divBdr>
                        <w:top w:val="none" w:sz="0" w:space="0" w:color="auto"/>
                        <w:left w:val="none" w:sz="0" w:space="0" w:color="auto"/>
                        <w:bottom w:val="none" w:sz="0" w:space="0" w:color="auto"/>
                        <w:right w:val="none" w:sz="0" w:space="0" w:color="auto"/>
                      </w:divBdr>
                    </w:div>
                  </w:divsChild>
                </w:div>
                <w:div w:id="1763261594">
                  <w:marLeft w:val="0"/>
                  <w:marRight w:val="0"/>
                  <w:marTop w:val="0"/>
                  <w:marBottom w:val="0"/>
                  <w:divBdr>
                    <w:top w:val="none" w:sz="0" w:space="0" w:color="auto"/>
                    <w:left w:val="none" w:sz="0" w:space="0" w:color="auto"/>
                    <w:bottom w:val="none" w:sz="0" w:space="0" w:color="auto"/>
                    <w:right w:val="none" w:sz="0" w:space="0" w:color="auto"/>
                  </w:divBdr>
                  <w:divsChild>
                    <w:div w:id="748306556">
                      <w:marLeft w:val="0"/>
                      <w:marRight w:val="0"/>
                      <w:marTop w:val="0"/>
                      <w:marBottom w:val="0"/>
                      <w:divBdr>
                        <w:top w:val="none" w:sz="0" w:space="0" w:color="auto"/>
                        <w:left w:val="none" w:sz="0" w:space="0" w:color="auto"/>
                        <w:bottom w:val="none" w:sz="0" w:space="0" w:color="auto"/>
                        <w:right w:val="none" w:sz="0" w:space="0" w:color="auto"/>
                      </w:divBdr>
                    </w:div>
                  </w:divsChild>
                </w:div>
                <w:div w:id="1790733795">
                  <w:marLeft w:val="0"/>
                  <w:marRight w:val="0"/>
                  <w:marTop w:val="0"/>
                  <w:marBottom w:val="0"/>
                  <w:divBdr>
                    <w:top w:val="none" w:sz="0" w:space="0" w:color="auto"/>
                    <w:left w:val="none" w:sz="0" w:space="0" w:color="auto"/>
                    <w:bottom w:val="none" w:sz="0" w:space="0" w:color="auto"/>
                    <w:right w:val="none" w:sz="0" w:space="0" w:color="auto"/>
                  </w:divBdr>
                  <w:divsChild>
                    <w:div w:id="1889607218">
                      <w:marLeft w:val="0"/>
                      <w:marRight w:val="0"/>
                      <w:marTop w:val="0"/>
                      <w:marBottom w:val="0"/>
                      <w:divBdr>
                        <w:top w:val="none" w:sz="0" w:space="0" w:color="auto"/>
                        <w:left w:val="none" w:sz="0" w:space="0" w:color="auto"/>
                        <w:bottom w:val="none" w:sz="0" w:space="0" w:color="auto"/>
                        <w:right w:val="none" w:sz="0" w:space="0" w:color="auto"/>
                      </w:divBdr>
                    </w:div>
                    <w:div w:id="2018382892">
                      <w:marLeft w:val="0"/>
                      <w:marRight w:val="0"/>
                      <w:marTop w:val="0"/>
                      <w:marBottom w:val="0"/>
                      <w:divBdr>
                        <w:top w:val="none" w:sz="0" w:space="0" w:color="auto"/>
                        <w:left w:val="none" w:sz="0" w:space="0" w:color="auto"/>
                        <w:bottom w:val="none" w:sz="0" w:space="0" w:color="auto"/>
                        <w:right w:val="none" w:sz="0" w:space="0" w:color="auto"/>
                      </w:divBdr>
                    </w:div>
                  </w:divsChild>
                </w:div>
                <w:div w:id="1836611017">
                  <w:marLeft w:val="0"/>
                  <w:marRight w:val="0"/>
                  <w:marTop w:val="0"/>
                  <w:marBottom w:val="0"/>
                  <w:divBdr>
                    <w:top w:val="none" w:sz="0" w:space="0" w:color="auto"/>
                    <w:left w:val="none" w:sz="0" w:space="0" w:color="auto"/>
                    <w:bottom w:val="none" w:sz="0" w:space="0" w:color="auto"/>
                    <w:right w:val="none" w:sz="0" w:space="0" w:color="auto"/>
                  </w:divBdr>
                  <w:divsChild>
                    <w:div w:id="2073116749">
                      <w:marLeft w:val="0"/>
                      <w:marRight w:val="0"/>
                      <w:marTop w:val="0"/>
                      <w:marBottom w:val="0"/>
                      <w:divBdr>
                        <w:top w:val="none" w:sz="0" w:space="0" w:color="auto"/>
                        <w:left w:val="none" w:sz="0" w:space="0" w:color="auto"/>
                        <w:bottom w:val="none" w:sz="0" w:space="0" w:color="auto"/>
                        <w:right w:val="none" w:sz="0" w:space="0" w:color="auto"/>
                      </w:divBdr>
                    </w:div>
                  </w:divsChild>
                </w:div>
                <w:div w:id="1843349193">
                  <w:marLeft w:val="0"/>
                  <w:marRight w:val="0"/>
                  <w:marTop w:val="0"/>
                  <w:marBottom w:val="0"/>
                  <w:divBdr>
                    <w:top w:val="none" w:sz="0" w:space="0" w:color="auto"/>
                    <w:left w:val="none" w:sz="0" w:space="0" w:color="auto"/>
                    <w:bottom w:val="none" w:sz="0" w:space="0" w:color="auto"/>
                    <w:right w:val="none" w:sz="0" w:space="0" w:color="auto"/>
                  </w:divBdr>
                  <w:divsChild>
                    <w:div w:id="1796411192">
                      <w:marLeft w:val="0"/>
                      <w:marRight w:val="0"/>
                      <w:marTop w:val="0"/>
                      <w:marBottom w:val="0"/>
                      <w:divBdr>
                        <w:top w:val="none" w:sz="0" w:space="0" w:color="auto"/>
                        <w:left w:val="none" w:sz="0" w:space="0" w:color="auto"/>
                        <w:bottom w:val="none" w:sz="0" w:space="0" w:color="auto"/>
                        <w:right w:val="none" w:sz="0" w:space="0" w:color="auto"/>
                      </w:divBdr>
                    </w:div>
                  </w:divsChild>
                </w:div>
                <w:div w:id="1860851049">
                  <w:marLeft w:val="0"/>
                  <w:marRight w:val="0"/>
                  <w:marTop w:val="0"/>
                  <w:marBottom w:val="0"/>
                  <w:divBdr>
                    <w:top w:val="none" w:sz="0" w:space="0" w:color="auto"/>
                    <w:left w:val="none" w:sz="0" w:space="0" w:color="auto"/>
                    <w:bottom w:val="none" w:sz="0" w:space="0" w:color="auto"/>
                    <w:right w:val="none" w:sz="0" w:space="0" w:color="auto"/>
                  </w:divBdr>
                  <w:divsChild>
                    <w:div w:id="752357737">
                      <w:marLeft w:val="0"/>
                      <w:marRight w:val="0"/>
                      <w:marTop w:val="0"/>
                      <w:marBottom w:val="0"/>
                      <w:divBdr>
                        <w:top w:val="none" w:sz="0" w:space="0" w:color="auto"/>
                        <w:left w:val="none" w:sz="0" w:space="0" w:color="auto"/>
                        <w:bottom w:val="none" w:sz="0" w:space="0" w:color="auto"/>
                        <w:right w:val="none" w:sz="0" w:space="0" w:color="auto"/>
                      </w:divBdr>
                    </w:div>
                  </w:divsChild>
                </w:div>
                <w:div w:id="1903442569">
                  <w:marLeft w:val="0"/>
                  <w:marRight w:val="0"/>
                  <w:marTop w:val="0"/>
                  <w:marBottom w:val="0"/>
                  <w:divBdr>
                    <w:top w:val="none" w:sz="0" w:space="0" w:color="auto"/>
                    <w:left w:val="none" w:sz="0" w:space="0" w:color="auto"/>
                    <w:bottom w:val="none" w:sz="0" w:space="0" w:color="auto"/>
                    <w:right w:val="none" w:sz="0" w:space="0" w:color="auto"/>
                  </w:divBdr>
                  <w:divsChild>
                    <w:div w:id="128985264">
                      <w:marLeft w:val="0"/>
                      <w:marRight w:val="0"/>
                      <w:marTop w:val="0"/>
                      <w:marBottom w:val="0"/>
                      <w:divBdr>
                        <w:top w:val="none" w:sz="0" w:space="0" w:color="auto"/>
                        <w:left w:val="none" w:sz="0" w:space="0" w:color="auto"/>
                        <w:bottom w:val="none" w:sz="0" w:space="0" w:color="auto"/>
                        <w:right w:val="none" w:sz="0" w:space="0" w:color="auto"/>
                      </w:divBdr>
                    </w:div>
                  </w:divsChild>
                </w:div>
                <w:div w:id="1977568857">
                  <w:marLeft w:val="0"/>
                  <w:marRight w:val="0"/>
                  <w:marTop w:val="0"/>
                  <w:marBottom w:val="0"/>
                  <w:divBdr>
                    <w:top w:val="none" w:sz="0" w:space="0" w:color="auto"/>
                    <w:left w:val="none" w:sz="0" w:space="0" w:color="auto"/>
                    <w:bottom w:val="none" w:sz="0" w:space="0" w:color="auto"/>
                    <w:right w:val="none" w:sz="0" w:space="0" w:color="auto"/>
                  </w:divBdr>
                  <w:divsChild>
                    <w:div w:id="996763892">
                      <w:marLeft w:val="0"/>
                      <w:marRight w:val="0"/>
                      <w:marTop w:val="0"/>
                      <w:marBottom w:val="0"/>
                      <w:divBdr>
                        <w:top w:val="none" w:sz="0" w:space="0" w:color="auto"/>
                        <w:left w:val="none" w:sz="0" w:space="0" w:color="auto"/>
                        <w:bottom w:val="none" w:sz="0" w:space="0" w:color="auto"/>
                        <w:right w:val="none" w:sz="0" w:space="0" w:color="auto"/>
                      </w:divBdr>
                    </w:div>
                  </w:divsChild>
                </w:div>
                <w:div w:id="1993021230">
                  <w:marLeft w:val="0"/>
                  <w:marRight w:val="0"/>
                  <w:marTop w:val="0"/>
                  <w:marBottom w:val="0"/>
                  <w:divBdr>
                    <w:top w:val="none" w:sz="0" w:space="0" w:color="auto"/>
                    <w:left w:val="none" w:sz="0" w:space="0" w:color="auto"/>
                    <w:bottom w:val="none" w:sz="0" w:space="0" w:color="auto"/>
                    <w:right w:val="none" w:sz="0" w:space="0" w:color="auto"/>
                  </w:divBdr>
                  <w:divsChild>
                    <w:div w:id="1905136524">
                      <w:marLeft w:val="0"/>
                      <w:marRight w:val="0"/>
                      <w:marTop w:val="0"/>
                      <w:marBottom w:val="0"/>
                      <w:divBdr>
                        <w:top w:val="none" w:sz="0" w:space="0" w:color="auto"/>
                        <w:left w:val="none" w:sz="0" w:space="0" w:color="auto"/>
                        <w:bottom w:val="none" w:sz="0" w:space="0" w:color="auto"/>
                        <w:right w:val="none" w:sz="0" w:space="0" w:color="auto"/>
                      </w:divBdr>
                    </w:div>
                  </w:divsChild>
                </w:div>
                <w:div w:id="2008054292">
                  <w:marLeft w:val="0"/>
                  <w:marRight w:val="0"/>
                  <w:marTop w:val="0"/>
                  <w:marBottom w:val="0"/>
                  <w:divBdr>
                    <w:top w:val="none" w:sz="0" w:space="0" w:color="auto"/>
                    <w:left w:val="none" w:sz="0" w:space="0" w:color="auto"/>
                    <w:bottom w:val="none" w:sz="0" w:space="0" w:color="auto"/>
                    <w:right w:val="none" w:sz="0" w:space="0" w:color="auto"/>
                  </w:divBdr>
                  <w:divsChild>
                    <w:div w:id="308291069">
                      <w:marLeft w:val="0"/>
                      <w:marRight w:val="0"/>
                      <w:marTop w:val="0"/>
                      <w:marBottom w:val="0"/>
                      <w:divBdr>
                        <w:top w:val="none" w:sz="0" w:space="0" w:color="auto"/>
                        <w:left w:val="none" w:sz="0" w:space="0" w:color="auto"/>
                        <w:bottom w:val="none" w:sz="0" w:space="0" w:color="auto"/>
                        <w:right w:val="none" w:sz="0" w:space="0" w:color="auto"/>
                      </w:divBdr>
                    </w:div>
                  </w:divsChild>
                </w:div>
                <w:div w:id="2008945499">
                  <w:marLeft w:val="0"/>
                  <w:marRight w:val="0"/>
                  <w:marTop w:val="0"/>
                  <w:marBottom w:val="0"/>
                  <w:divBdr>
                    <w:top w:val="none" w:sz="0" w:space="0" w:color="auto"/>
                    <w:left w:val="none" w:sz="0" w:space="0" w:color="auto"/>
                    <w:bottom w:val="none" w:sz="0" w:space="0" w:color="auto"/>
                    <w:right w:val="none" w:sz="0" w:space="0" w:color="auto"/>
                  </w:divBdr>
                  <w:divsChild>
                    <w:div w:id="105874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2843">
          <w:marLeft w:val="0"/>
          <w:marRight w:val="0"/>
          <w:marTop w:val="0"/>
          <w:marBottom w:val="0"/>
          <w:divBdr>
            <w:top w:val="none" w:sz="0" w:space="0" w:color="auto"/>
            <w:left w:val="none" w:sz="0" w:space="0" w:color="auto"/>
            <w:bottom w:val="none" w:sz="0" w:space="0" w:color="auto"/>
            <w:right w:val="none" w:sz="0" w:space="0" w:color="auto"/>
          </w:divBdr>
          <w:divsChild>
            <w:div w:id="521209670">
              <w:marLeft w:val="0"/>
              <w:marRight w:val="0"/>
              <w:marTop w:val="0"/>
              <w:marBottom w:val="0"/>
              <w:divBdr>
                <w:top w:val="none" w:sz="0" w:space="0" w:color="auto"/>
                <w:left w:val="none" w:sz="0" w:space="0" w:color="auto"/>
                <w:bottom w:val="none" w:sz="0" w:space="0" w:color="auto"/>
                <w:right w:val="none" w:sz="0" w:space="0" w:color="auto"/>
              </w:divBdr>
            </w:div>
            <w:div w:id="557281639">
              <w:marLeft w:val="0"/>
              <w:marRight w:val="0"/>
              <w:marTop w:val="0"/>
              <w:marBottom w:val="0"/>
              <w:divBdr>
                <w:top w:val="none" w:sz="0" w:space="0" w:color="auto"/>
                <w:left w:val="none" w:sz="0" w:space="0" w:color="auto"/>
                <w:bottom w:val="none" w:sz="0" w:space="0" w:color="auto"/>
                <w:right w:val="none" w:sz="0" w:space="0" w:color="auto"/>
              </w:divBdr>
            </w:div>
            <w:div w:id="1130515055">
              <w:marLeft w:val="0"/>
              <w:marRight w:val="0"/>
              <w:marTop w:val="0"/>
              <w:marBottom w:val="0"/>
              <w:divBdr>
                <w:top w:val="none" w:sz="0" w:space="0" w:color="auto"/>
                <w:left w:val="none" w:sz="0" w:space="0" w:color="auto"/>
                <w:bottom w:val="none" w:sz="0" w:space="0" w:color="auto"/>
                <w:right w:val="none" w:sz="0" w:space="0" w:color="auto"/>
              </w:divBdr>
            </w:div>
          </w:divsChild>
        </w:div>
        <w:div w:id="959067117">
          <w:marLeft w:val="0"/>
          <w:marRight w:val="0"/>
          <w:marTop w:val="0"/>
          <w:marBottom w:val="0"/>
          <w:divBdr>
            <w:top w:val="none" w:sz="0" w:space="0" w:color="auto"/>
            <w:left w:val="none" w:sz="0" w:space="0" w:color="auto"/>
            <w:bottom w:val="none" w:sz="0" w:space="0" w:color="auto"/>
            <w:right w:val="none" w:sz="0" w:space="0" w:color="auto"/>
          </w:divBdr>
          <w:divsChild>
            <w:div w:id="987130405">
              <w:marLeft w:val="-75"/>
              <w:marRight w:val="0"/>
              <w:marTop w:val="30"/>
              <w:marBottom w:val="30"/>
              <w:divBdr>
                <w:top w:val="none" w:sz="0" w:space="0" w:color="auto"/>
                <w:left w:val="none" w:sz="0" w:space="0" w:color="auto"/>
                <w:bottom w:val="none" w:sz="0" w:space="0" w:color="auto"/>
                <w:right w:val="none" w:sz="0" w:space="0" w:color="auto"/>
              </w:divBdr>
              <w:divsChild>
                <w:div w:id="371351057">
                  <w:marLeft w:val="0"/>
                  <w:marRight w:val="0"/>
                  <w:marTop w:val="0"/>
                  <w:marBottom w:val="0"/>
                  <w:divBdr>
                    <w:top w:val="none" w:sz="0" w:space="0" w:color="auto"/>
                    <w:left w:val="none" w:sz="0" w:space="0" w:color="auto"/>
                    <w:bottom w:val="none" w:sz="0" w:space="0" w:color="auto"/>
                    <w:right w:val="none" w:sz="0" w:space="0" w:color="auto"/>
                  </w:divBdr>
                  <w:divsChild>
                    <w:div w:id="1869637680">
                      <w:marLeft w:val="0"/>
                      <w:marRight w:val="0"/>
                      <w:marTop w:val="0"/>
                      <w:marBottom w:val="0"/>
                      <w:divBdr>
                        <w:top w:val="none" w:sz="0" w:space="0" w:color="auto"/>
                        <w:left w:val="none" w:sz="0" w:space="0" w:color="auto"/>
                        <w:bottom w:val="none" w:sz="0" w:space="0" w:color="auto"/>
                        <w:right w:val="none" w:sz="0" w:space="0" w:color="auto"/>
                      </w:divBdr>
                    </w:div>
                  </w:divsChild>
                </w:div>
                <w:div w:id="472718239">
                  <w:marLeft w:val="0"/>
                  <w:marRight w:val="0"/>
                  <w:marTop w:val="0"/>
                  <w:marBottom w:val="0"/>
                  <w:divBdr>
                    <w:top w:val="none" w:sz="0" w:space="0" w:color="auto"/>
                    <w:left w:val="none" w:sz="0" w:space="0" w:color="auto"/>
                    <w:bottom w:val="none" w:sz="0" w:space="0" w:color="auto"/>
                    <w:right w:val="none" w:sz="0" w:space="0" w:color="auto"/>
                  </w:divBdr>
                  <w:divsChild>
                    <w:div w:id="721292099">
                      <w:marLeft w:val="0"/>
                      <w:marRight w:val="0"/>
                      <w:marTop w:val="0"/>
                      <w:marBottom w:val="0"/>
                      <w:divBdr>
                        <w:top w:val="none" w:sz="0" w:space="0" w:color="auto"/>
                        <w:left w:val="none" w:sz="0" w:space="0" w:color="auto"/>
                        <w:bottom w:val="none" w:sz="0" w:space="0" w:color="auto"/>
                        <w:right w:val="none" w:sz="0" w:space="0" w:color="auto"/>
                      </w:divBdr>
                    </w:div>
                  </w:divsChild>
                </w:div>
                <w:div w:id="489175473">
                  <w:marLeft w:val="0"/>
                  <w:marRight w:val="0"/>
                  <w:marTop w:val="0"/>
                  <w:marBottom w:val="0"/>
                  <w:divBdr>
                    <w:top w:val="none" w:sz="0" w:space="0" w:color="auto"/>
                    <w:left w:val="none" w:sz="0" w:space="0" w:color="auto"/>
                    <w:bottom w:val="none" w:sz="0" w:space="0" w:color="auto"/>
                    <w:right w:val="none" w:sz="0" w:space="0" w:color="auto"/>
                  </w:divBdr>
                  <w:divsChild>
                    <w:div w:id="1946762085">
                      <w:marLeft w:val="0"/>
                      <w:marRight w:val="0"/>
                      <w:marTop w:val="0"/>
                      <w:marBottom w:val="0"/>
                      <w:divBdr>
                        <w:top w:val="none" w:sz="0" w:space="0" w:color="auto"/>
                        <w:left w:val="none" w:sz="0" w:space="0" w:color="auto"/>
                        <w:bottom w:val="none" w:sz="0" w:space="0" w:color="auto"/>
                        <w:right w:val="none" w:sz="0" w:space="0" w:color="auto"/>
                      </w:divBdr>
                    </w:div>
                  </w:divsChild>
                </w:div>
                <w:div w:id="490022450">
                  <w:marLeft w:val="0"/>
                  <w:marRight w:val="0"/>
                  <w:marTop w:val="0"/>
                  <w:marBottom w:val="0"/>
                  <w:divBdr>
                    <w:top w:val="none" w:sz="0" w:space="0" w:color="auto"/>
                    <w:left w:val="none" w:sz="0" w:space="0" w:color="auto"/>
                    <w:bottom w:val="none" w:sz="0" w:space="0" w:color="auto"/>
                    <w:right w:val="none" w:sz="0" w:space="0" w:color="auto"/>
                  </w:divBdr>
                  <w:divsChild>
                    <w:div w:id="925382157">
                      <w:marLeft w:val="0"/>
                      <w:marRight w:val="0"/>
                      <w:marTop w:val="0"/>
                      <w:marBottom w:val="0"/>
                      <w:divBdr>
                        <w:top w:val="none" w:sz="0" w:space="0" w:color="auto"/>
                        <w:left w:val="none" w:sz="0" w:space="0" w:color="auto"/>
                        <w:bottom w:val="none" w:sz="0" w:space="0" w:color="auto"/>
                        <w:right w:val="none" w:sz="0" w:space="0" w:color="auto"/>
                      </w:divBdr>
                    </w:div>
                  </w:divsChild>
                </w:div>
                <w:div w:id="848644852">
                  <w:marLeft w:val="0"/>
                  <w:marRight w:val="0"/>
                  <w:marTop w:val="0"/>
                  <w:marBottom w:val="0"/>
                  <w:divBdr>
                    <w:top w:val="none" w:sz="0" w:space="0" w:color="auto"/>
                    <w:left w:val="none" w:sz="0" w:space="0" w:color="auto"/>
                    <w:bottom w:val="none" w:sz="0" w:space="0" w:color="auto"/>
                    <w:right w:val="none" w:sz="0" w:space="0" w:color="auto"/>
                  </w:divBdr>
                  <w:divsChild>
                    <w:div w:id="1291328669">
                      <w:marLeft w:val="0"/>
                      <w:marRight w:val="0"/>
                      <w:marTop w:val="0"/>
                      <w:marBottom w:val="0"/>
                      <w:divBdr>
                        <w:top w:val="none" w:sz="0" w:space="0" w:color="auto"/>
                        <w:left w:val="none" w:sz="0" w:space="0" w:color="auto"/>
                        <w:bottom w:val="none" w:sz="0" w:space="0" w:color="auto"/>
                        <w:right w:val="none" w:sz="0" w:space="0" w:color="auto"/>
                      </w:divBdr>
                    </w:div>
                  </w:divsChild>
                </w:div>
                <w:div w:id="907375138">
                  <w:marLeft w:val="0"/>
                  <w:marRight w:val="0"/>
                  <w:marTop w:val="0"/>
                  <w:marBottom w:val="0"/>
                  <w:divBdr>
                    <w:top w:val="none" w:sz="0" w:space="0" w:color="auto"/>
                    <w:left w:val="none" w:sz="0" w:space="0" w:color="auto"/>
                    <w:bottom w:val="none" w:sz="0" w:space="0" w:color="auto"/>
                    <w:right w:val="none" w:sz="0" w:space="0" w:color="auto"/>
                  </w:divBdr>
                  <w:divsChild>
                    <w:div w:id="1121454475">
                      <w:marLeft w:val="0"/>
                      <w:marRight w:val="0"/>
                      <w:marTop w:val="0"/>
                      <w:marBottom w:val="0"/>
                      <w:divBdr>
                        <w:top w:val="none" w:sz="0" w:space="0" w:color="auto"/>
                        <w:left w:val="none" w:sz="0" w:space="0" w:color="auto"/>
                        <w:bottom w:val="none" w:sz="0" w:space="0" w:color="auto"/>
                        <w:right w:val="none" w:sz="0" w:space="0" w:color="auto"/>
                      </w:divBdr>
                    </w:div>
                  </w:divsChild>
                </w:div>
                <w:div w:id="1406950459">
                  <w:marLeft w:val="0"/>
                  <w:marRight w:val="0"/>
                  <w:marTop w:val="0"/>
                  <w:marBottom w:val="0"/>
                  <w:divBdr>
                    <w:top w:val="none" w:sz="0" w:space="0" w:color="auto"/>
                    <w:left w:val="none" w:sz="0" w:space="0" w:color="auto"/>
                    <w:bottom w:val="none" w:sz="0" w:space="0" w:color="auto"/>
                    <w:right w:val="none" w:sz="0" w:space="0" w:color="auto"/>
                  </w:divBdr>
                  <w:divsChild>
                    <w:div w:id="56974381">
                      <w:marLeft w:val="0"/>
                      <w:marRight w:val="0"/>
                      <w:marTop w:val="0"/>
                      <w:marBottom w:val="0"/>
                      <w:divBdr>
                        <w:top w:val="none" w:sz="0" w:space="0" w:color="auto"/>
                        <w:left w:val="none" w:sz="0" w:space="0" w:color="auto"/>
                        <w:bottom w:val="none" w:sz="0" w:space="0" w:color="auto"/>
                        <w:right w:val="none" w:sz="0" w:space="0" w:color="auto"/>
                      </w:divBdr>
                    </w:div>
                  </w:divsChild>
                </w:div>
                <w:div w:id="1980576339">
                  <w:marLeft w:val="0"/>
                  <w:marRight w:val="0"/>
                  <w:marTop w:val="0"/>
                  <w:marBottom w:val="0"/>
                  <w:divBdr>
                    <w:top w:val="none" w:sz="0" w:space="0" w:color="auto"/>
                    <w:left w:val="none" w:sz="0" w:space="0" w:color="auto"/>
                    <w:bottom w:val="none" w:sz="0" w:space="0" w:color="auto"/>
                    <w:right w:val="none" w:sz="0" w:space="0" w:color="auto"/>
                  </w:divBdr>
                  <w:divsChild>
                    <w:div w:id="863438838">
                      <w:marLeft w:val="0"/>
                      <w:marRight w:val="0"/>
                      <w:marTop w:val="0"/>
                      <w:marBottom w:val="0"/>
                      <w:divBdr>
                        <w:top w:val="none" w:sz="0" w:space="0" w:color="auto"/>
                        <w:left w:val="none" w:sz="0" w:space="0" w:color="auto"/>
                        <w:bottom w:val="none" w:sz="0" w:space="0" w:color="auto"/>
                        <w:right w:val="none" w:sz="0" w:space="0" w:color="auto"/>
                      </w:divBdr>
                    </w:div>
                  </w:divsChild>
                </w:div>
                <w:div w:id="2004122881">
                  <w:marLeft w:val="0"/>
                  <w:marRight w:val="0"/>
                  <w:marTop w:val="0"/>
                  <w:marBottom w:val="0"/>
                  <w:divBdr>
                    <w:top w:val="none" w:sz="0" w:space="0" w:color="auto"/>
                    <w:left w:val="none" w:sz="0" w:space="0" w:color="auto"/>
                    <w:bottom w:val="none" w:sz="0" w:space="0" w:color="auto"/>
                    <w:right w:val="none" w:sz="0" w:space="0" w:color="auto"/>
                  </w:divBdr>
                  <w:divsChild>
                    <w:div w:id="1591231132">
                      <w:marLeft w:val="0"/>
                      <w:marRight w:val="0"/>
                      <w:marTop w:val="0"/>
                      <w:marBottom w:val="0"/>
                      <w:divBdr>
                        <w:top w:val="none" w:sz="0" w:space="0" w:color="auto"/>
                        <w:left w:val="none" w:sz="0" w:space="0" w:color="auto"/>
                        <w:bottom w:val="none" w:sz="0" w:space="0" w:color="auto"/>
                        <w:right w:val="none" w:sz="0" w:space="0" w:color="auto"/>
                      </w:divBdr>
                    </w:div>
                  </w:divsChild>
                </w:div>
                <w:div w:id="2064791220">
                  <w:marLeft w:val="0"/>
                  <w:marRight w:val="0"/>
                  <w:marTop w:val="0"/>
                  <w:marBottom w:val="0"/>
                  <w:divBdr>
                    <w:top w:val="none" w:sz="0" w:space="0" w:color="auto"/>
                    <w:left w:val="none" w:sz="0" w:space="0" w:color="auto"/>
                    <w:bottom w:val="none" w:sz="0" w:space="0" w:color="auto"/>
                    <w:right w:val="none" w:sz="0" w:space="0" w:color="auto"/>
                  </w:divBdr>
                  <w:divsChild>
                    <w:div w:id="13164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9262">
          <w:marLeft w:val="0"/>
          <w:marRight w:val="0"/>
          <w:marTop w:val="0"/>
          <w:marBottom w:val="0"/>
          <w:divBdr>
            <w:top w:val="none" w:sz="0" w:space="0" w:color="auto"/>
            <w:left w:val="none" w:sz="0" w:space="0" w:color="auto"/>
            <w:bottom w:val="none" w:sz="0" w:space="0" w:color="auto"/>
            <w:right w:val="none" w:sz="0" w:space="0" w:color="auto"/>
          </w:divBdr>
          <w:divsChild>
            <w:div w:id="1425571680">
              <w:marLeft w:val="-75"/>
              <w:marRight w:val="0"/>
              <w:marTop w:val="30"/>
              <w:marBottom w:val="30"/>
              <w:divBdr>
                <w:top w:val="none" w:sz="0" w:space="0" w:color="auto"/>
                <w:left w:val="none" w:sz="0" w:space="0" w:color="auto"/>
                <w:bottom w:val="none" w:sz="0" w:space="0" w:color="auto"/>
                <w:right w:val="none" w:sz="0" w:space="0" w:color="auto"/>
              </w:divBdr>
              <w:divsChild>
                <w:div w:id="31544375">
                  <w:marLeft w:val="0"/>
                  <w:marRight w:val="0"/>
                  <w:marTop w:val="0"/>
                  <w:marBottom w:val="0"/>
                  <w:divBdr>
                    <w:top w:val="none" w:sz="0" w:space="0" w:color="auto"/>
                    <w:left w:val="none" w:sz="0" w:space="0" w:color="auto"/>
                    <w:bottom w:val="none" w:sz="0" w:space="0" w:color="auto"/>
                    <w:right w:val="none" w:sz="0" w:space="0" w:color="auto"/>
                  </w:divBdr>
                  <w:divsChild>
                    <w:div w:id="974918817">
                      <w:marLeft w:val="0"/>
                      <w:marRight w:val="0"/>
                      <w:marTop w:val="0"/>
                      <w:marBottom w:val="0"/>
                      <w:divBdr>
                        <w:top w:val="none" w:sz="0" w:space="0" w:color="auto"/>
                        <w:left w:val="none" w:sz="0" w:space="0" w:color="auto"/>
                        <w:bottom w:val="none" w:sz="0" w:space="0" w:color="auto"/>
                        <w:right w:val="none" w:sz="0" w:space="0" w:color="auto"/>
                      </w:divBdr>
                    </w:div>
                  </w:divsChild>
                </w:div>
                <w:div w:id="33583271">
                  <w:marLeft w:val="0"/>
                  <w:marRight w:val="0"/>
                  <w:marTop w:val="0"/>
                  <w:marBottom w:val="0"/>
                  <w:divBdr>
                    <w:top w:val="none" w:sz="0" w:space="0" w:color="auto"/>
                    <w:left w:val="none" w:sz="0" w:space="0" w:color="auto"/>
                    <w:bottom w:val="none" w:sz="0" w:space="0" w:color="auto"/>
                    <w:right w:val="none" w:sz="0" w:space="0" w:color="auto"/>
                  </w:divBdr>
                  <w:divsChild>
                    <w:div w:id="728263230">
                      <w:marLeft w:val="0"/>
                      <w:marRight w:val="0"/>
                      <w:marTop w:val="0"/>
                      <w:marBottom w:val="0"/>
                      <w:divBdr>
                        <w:top w:val="none" w:sz="0" w:space="0" w:color="auto"/>
                        <w:left w:val="none" w:sz="0" w:space="0" w:color="auto"/>
                        <w:bottom w:val="none" w:sz="0" w:space="0" w:color="auto"/>
                        <w:right w:val="none" w:sz="0" w:space="0" w:color="auto"/>
                      </w:divBdr>
                    </w:div>
                  </w:divsChild>
                </w:div>
                <w:div w:id="301662962">
                  <w:marLeft w:val="0"/>
                  <w:marRight w:val="0"/>
                  <w:marTop w:val="0"/>
                  <w:marBottom w:val="0"/>
                  <w:divBdr>
                    <w:top w:val="none" w:sz="0" w:space="0" w:color="auto"/>
                    <w:left w:val="none" w:sz="0" w:space="0" w:color="auto"/>
                    <w:bottom w:val="none" w:sz="0" w:space="0" w:color="auto"/>
                    <w:right w:val="none" w:sz="0" w:space="0" w:color="auto"/>
                  </w:divBdr>
                  <w:divsChild>
                    <w:div w:id="1804804626">
                      <w:marLeft w:val="0"/>
                      <w:marRight w:val="0"/>
                      <w:marTop w:val="0"/>
                      <w:marBottom w:val="0"/>
                      <w:divBdr>
                        <w:top w:val="none" w:sz="0" w:space="0" w:color="auto"/>
                        <w:left w:val="none" w:sz="0" w:space="0" w:color="auto"/>
                        <w:bottom w:val="none" w:sz="0" w:space="0" w:color="auto"/>
                        <w:right w:val="none" w:sz="0" w:space="0" w:color="auto"/>
                      </w:divBdr>
                    </w:div>
                  </w:divsChild>
                </w:div>
                <w:div w:id="355155739">
                  <w:marLeft w:val="0"/>
                  <w:marRight w:val="0"/>
                  <w:marTop w:val="0"/>
                  <w:marBottom w:val="0"/>
                  <w:divBdr>
                    <w:top w:val="none" w:sz="0" w:space="0" w:color="auto"/>
                    <w:left w:val="none" w:sz="0" w:space="0" w:color="auto"/>
                    <w:bottom w:val="none" w:sz="0" w:space="0" w:color="auto"/>
                    <w:right w:val="none" w:sz="0" w:space="0" w:color="auto"/>
                  </w:divBdr>
                  <w:divsChild>
                    <w:div w:id="1154489653">
                      <w:marLeft w:val="0"/>
                      <w:marRight w:val="0"/>
                      <w:marTop w:val="0"/>
                      <w:marBottom w:val="0"/>
                      <w:divBdr>
                        <w:top w:val="none" w:sz="0" w:space="0" w:color="auto"/>
                        <w:left w:val="none" w:sz="0" w:space="0" w:color="auto"/>
                        <w:bottom w:val="none" w:sz="0" w:space="0" w:color="auto"/>
                        <w:right w:val="none" w:sz="0" w:space="0" w:color="auto"/>
                      </w:divBdr>
                    </w:div>
                  </w:divsChild>
                </w:div>
                <w:div w:id="377362800">
                  <w:marLeft w:val="0"/>
                  <w:marRight w:val="0"/>
                  <w:marTop w:val="0"/>
                  <w:marBottom w:val="0"/>
                  <w:divBdr>
                    <w:top w:val="none" w:sz="0" w:space="0" w:color="auto"/>
                    <w:left w:val="none" w:sz="0" w:space="0" w:color="auto"/>
                    <w:bottom w:val="none" w:sz="0" w:space="0" w:color="auto"/>
                    <w:right w:val="none" w:sz="0" w:space="0" w:color="auto"/>
                  </w:divBdr>
                  <w:divsChild>
                    <w:div w:id="1231770500">
                      <w:marLeft w:val="0"/>
                      <w:marRight w:val="0"/>
                      <w:marTop w:val="0"/>
                      <w:marBottom w:val="0"/>
                      <w:divBdr>
                        <w:top w:val="none" w:sz="0" w:space="0" w:color="auto"/>
                        <w:left w:val="none" w:sz="0" w:space="0" w:color="auto"/>
                        <w:bottom w:val="none" w:sz="0" w:space="0" w:color="auto"/>
                        <w:right w:val="none" w:sz="0" w:space="0" w:color="auto"/>
                      </w:divBdr>
                    </w:div>
                  </w:divsChild>
                </w:div>
                <w:div w:id="387995706">
                  <w:marLeft w:val="0"/>
                  <w:marRight w:val="0"/>
                  <w:marTop w:val="0"/>
                  <w:marBottom w:val="0"/>
                  <w:divBdr>
                    <w:top w:val="none" w:sz="0" w:space="0" w:color="auto"/>
                    <w:left w:val="none" w:sz="0" w:space="0" w:color="auto"/>
                    <w:bottom w:val="none" w:sz="0" w:space="0" w:color="auto"/>
                    <w:right w:val="none" w:sz="0" w:space="0" w:color="auto"/>
                  </w:divBdr>
                  <w:divsChild>
                    <w:div w:id="1620455788">
                      <w:marLeft w:val="0"/>
                      <w:marRight w:val="0"/>
                      <w:marTop w:val="0"/>
                      <w:marBottom w:val="0"/>
                      <w:divBdr>
                        <w:top w:val="none" w:sz="0" w:space="0" w:color="auto"/>
                        <w:left w:val="none" w:sz="0" w:space="0" w:color="auto"/>
                        <w:bottom w:val="none" w:sz="0" w:space="0" w:color="auto"/>
                        <w:right w:val="none" w:sz="0" w:space="0" w:color="auto"/>
                      </w:divBdr>
                    </w:div>
                  </w:divsChild>
                </w:div>
                <w:div w:id="832796973">
                  <w:marLeft w:val="0"/>
                  <w:marRight w:val="0"/>
                  <w:marTop w:val="0"/>
                  <w:marBottom w:val="0"/>
                  <w:divBdr>
                    <w:top w:val="none" w:sz="0" w:space="0" w:color="auto"/>
                    <w:left w:val="none" w:sz="0" w:space="0" w:color="auto"/>
                    <w:bottom w:val="none" w:sz="0" w:space="0" w:color="auto"/>
                    <w:right w:val="none" w:sz="0" w:space="0" w:color="auto"/>
                  </w:divBdr>
                  <w:divsChild>
                    <w:div w:id="1753351003">
                      <w:marLeft w:val="0"/>
                      <w:marRight w:val="0"/>
                      <w:marTop w:val="0"/>
                      <w:marBottom w:val="0"/>
                      <w:divBdr>
                        <w:top w:val="none" w:sz="0" w:space="0" w:color="auto"/>
                        <w:left w:val="none" w:sz="0" w:space="0" w:color="auto"/>
                        <w:bottom w:val="none" w:sz="0" w:space="0" w:color="auto"/>
                        <w:right w:val="none" w:sz="0" w:space="0" w:color="auto"/>
                      </w:divBdr>
                    </w:div>
                  </w:divsChild>
                </w:div>
                <w:div w:id="1259682167">
                  <w:marLeft w:val="0"/>
                  <w:marRight w:val="0"/>
                  <w:marTop w:val="0"/>
                  <w:marBottom w:val="0"/>
                  <w:divBdr>
                    <w:top w:val="none" w:sz="0" w:space="0" w:color="auto"/>
                    <w:left w:val="none" w:sz="0" w:space="0" w:color="auto"/>
                    <w:bottom w:val="none" w:sz="0" w:space="0" w:color="auto"/>
                    <w:right w:val="none" w:sz="0" w:space="0" w:color="auto"/>
                  </w:divBdr>
                  <w:divsChild>
                    <w:div w:id="392198421">
                      <w:marLeft w:val="0"/>
                      <w:marRight w:val="0"/>
                      <w:marTop w:val="0"/>
                      <w:marBottom w:val="0"/>
                      <w:divBdr>
                        <w:top w:val="none" w:sz="0" w:space="0" w:color="auto"/>
                        <w:left w:val="none" w:sz="0" w:space="0" w:color="auto"/>
                        <w:bottom w:val="none" w:sz="0" w:space="0" w:color="auto"/>
                        <w:right w:val="none" w:sz="0" w:space="0" w:color="auto"/>
                      </w:divBdr>
                    </w:div>
                  </w:divsChild>
                </w:div>
                <w:div w:id="1271552489">
                  <w:marLeft w:val="0"/>
                  <w:marRight w:val="0"/>
                  <w:marTop w:val="0"/>
                  <w:marBottom w:val="0"/>
                  <w:divBdr>
                    <w:top w:val="none" w:sz="0" w:space="0" w:color="auto"/>
                    <w:left w:val="none" w:sz="0" w:space="0" w:color="auto"/>
                    <w:bottom w:val="none" w:sz="0" w:space="0" w:color="auto"/>
                    <w:right w:val="none" w:sz="0" w:space="0" w:color="auto"/>
                  </w:divBdr>
                  <w:divsChild>
                    <w:div w:id="1546520662">
                      <w:marLeft w:val="0"/>
                      <w:marRight w:val="0"/>
                      <w:marTop w:val="0"/>
                      <w:marBottom w:val="0"/>
                      <w:divBdr>
                        <w:top w:val="none" w:sz="0" w:space="0" w:color="auto"/>
                        <w:left w:val="none" w:sz="0" w:space="0" w:color="auto"/>
                        <w:bottom w:val="none" w:sz="0" w:space="0" w:color="auto"/>
                        <w:right w:val="none" w:sz="0" w:space="0" w:color="auto"/>
                      </w:divBdr>
                    </w:div>
                  </w:divsChild>
                </w:div>
                <w:div w:id="1284076043">
                  <w:marLeft w:val="0"/>
                  <w:marRight w:val="0"/>
                  <w:marTop w:val="0"/>
                  <w:marBottom w:val="0"/>
                  <w:divBdr>
                    <w:top w:val="none" w:sz="0" w:space="0" w:color="auto"/>
                    <w:left w:val="none" w:sz="0" w:space="0" w:color="auto"/>
                    <w:bottom w:val="none" w:sz="0" w:space="0" w:color="auto"/>
                    <w:right w:val="none" w:sz="0" w:space="0" w:color="auto"/>
                  </w:divBdr>
                  <w:divsChild>
                    <w:div w:id="2072191247">
                      <w:marLeft w:val="0"/>
                      <w:marRight w:val="0"/>
                      <w:marTop w:val="0"/>
                      <w:marBottom w:val="0"/>
                      <w:divBdr>
                        <w:top w:val="none" w:sz="0" w:space="0" w:color="auto"/>
                        <w:left w:val="none" w:sz="0" w:space="0" w:color="auto"/>
                        <w:bottom w:val="none" w:sz="0" w:space="0" w:color="auto"/>
                        <w:right w:val="none" w:sz="0" w:space="0" w:color="auto"/>
                      </w:divBdr>
                    </w:div>
                  </w:divsChild>
                </w:div>
                <w:div w:id="1616138646">
                  <w:marLeft w:val="0"/>
                  <w:marRight w:val="0"/>
                  <w:marTop w:val="0"/>
                  <w:marBottom w:val="0"/>
                  <w:divBdr>
                    <w:top w:val="none" w:sz="0" w:space="0" w:color="auto"/>
                    <w:left w:val="none" w:sz="0" w:space="0" w:color="auto"/>
                    <w:bottom w:val="none" w:sz="0" w:space="0" w:color="auto"/>
                    <w:right w:val="none" w:sz="0" w:space="0" w:color="auto"/>
                  </w:divBdr>
                  <w:divsChild>
                    <w:div w:id="238366162">
                      <w:marLeft w:val="0"/>
                      <w:marRight w:val="0"/>
                      <w:marTop w:val="0"/>
                      <w:marBottom w:val="0"/>
                      <w:divBdr>
                        <w:top w:val="none" w:sz="0" w:space="0" w:color="auto"/>
                        <w:left w:val="none" w:sz="0" w:space="0" w:color="auto"/>
                        <w:bottom w:val="none" w:sz="0" w:space="0" w:color="auto"/>
                        <w:right w:val="none" w:sz="0" w:space="0" w:color="auto"/>
                      </w:divBdr>
                    </w:div>
                  </w:divsChild>
                </w:div>
                <w:div w:id="1712221340">
                  <w:marLeft w:val="0"/>
                  <w:marRight w:val="0"/>
                  <w:marTop w:val="0"/>
                  <w:marBottom w:val="0"/>
                  <w:divBdr>
                    <w:top w:val="none" w:sz="0" w:space="0" w:color="auto"/>
                    <w:left w:val="none" w:sz="0" w:space="0" w:color="auto"/>
                    <w:bottom w:val="none" w:sz="0" w:space="0" w:color="auto"/>
                    <w:right w:val="none" w:sz="0" w:space="0" w:color="auto"/>
                  </w:divBdr>
                  <w:divsChild>
                    <w:div w:id="193134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59281">
          <w:marLeft w:val="0"/>
          <w:marRight w:val="0"/>
          <w:marTop w:val="0"/>
          <w:marBottom w:val="0"/>
          <w:divBdr>
            <w:top w:val="none" w:sz="0" w:space="0" w:color="auto"/>
            <w:left w:val="none" w:sz="0" w:space="0" w:color="auto"/>
            <w:bottom w:val="none" w:sz="0" w:space="0" w:color="auto"/>
            <w:right w:val="none" w:sz="0" w:space="0" w:color="auto"/>
          </w:divBdr>
          <w:divsChild>
            <w:div w:id="1679960012">
              <w:marLeft w:val="-75"/>
              <w:marRight w:val="0"/>
              <w:marTop w:val="30"/>
              <w:marBottom w:val="30"/>
              <w:divBdr>
                <w:top w:val="none" w:sz="0" w:space="0" w:color="auto"/>
                <w:left w:val="none" w:sz="0" w:space="0" w:color="auto"/>
                <w:bottom w:val="none" w:sz="0" w:space="0" w:color="auto"/>
                <w:right w:val="none" w:sz="0" w:space="0" w:color="auto"/>
              </w:divBdr>
              <w:divsChild>
                <w:div w:id="30813217">
                  <w:marLeft w:val="0"/>
                  <w:marRight w:val="0"/>
                  <w:marTop w:val="0"/>
                  <w:marBottom w:val="0"/>
                  <w:divBdr>
                    <w:top w:val="none" w:sz="0" w:space="0" w:color="auto"/>
                    <w:left w:val="none" w:sz="0" w:space="0" w:color="auto"/>
                    <w:bottom w:val="none" w:sz="0" w:space="0" w:color="auto"/>
                    <w:right w:val="none" w:sz="0" w:space="0" w:color="auto"/>
                  </w:divBdr>
                  <w:divsChild>
                    <w:div w:id="1601183809">
                      <w:marLeft w:val="0"/>
                      <w:marRight w:val="0"/>
                      <w:marTop w:val="0"/>
                      <w:marBottom w:val="0"/>
                      <w:divBdr>
                        <w:top w:val="none" w:sz="0" w:space="0" w:color="auto"/>
                        <w:left w:val="none" w:sz="0" w:space="0" w:color="auto"/>
                        <w:bottom w:val="none" w:sz="0" w:space="0" w:color="auto"/>
                        <w:right w:val="none" w:sz="0" w:space="0" w:color="auto"/>
                      </w:divBdr>
                    </w:div>
                  </w:divsChild>
                </w:div>
                <w:div w:id="124469861">
                  <w:marLeft w:val="0"/>
                  <w:marRight w:val="0"/>
                  <w:marTop w:val="0"/>
                  <w:marBottom w:val="0"/>
                  <w:divBdr>
                    <w:top w:val="none" w:sz="0" w:space="0" w:color="auto"/>
                    <w:left w:val="none" w:sz="0" w:space="0" w:color="auto"/>
                    <w:bottom w:val="none" w:sz="0" w:space="0" w:color="auto"/>
                    <w:right w:val="none" w:sz="0" w:space="0" w:color="auto"/>
                  </w:divBdr>
                  <w:divsChild>
                    <w:div w:id="1605384356">
                      <w:marLeft w:val="0"/>
                      <w:marRight w:val="0"/>
                      <w:marTop w:val="0"/>
                      <w:marBottom w:val="0"/>
                      <w:divBdr>
                        <w:top w:val="none" w:sz="0" w:space="0" w:color="auto"/>
                        <w:left w:val="none" w:sz="0" w:space="0" w:color="auto"/>
                        <w:bottom w:val="none" w:sz="0" w:space="0" w:color="auto"/>
                        <w:right w:val="none" w:sz="0" w:space="0" w:color="auto"/>
                      </w:divBdr>
                    </w:div>
                  </w:divsChild>
                </w:div>
                <w:div w:id="134445993">
                  <w:marLeft w:val="0"/>
                  <w:marRight w:val="0"/>
                  <w:marTop w:val="0"/>
                  <w:marBottom w:val="0"/>
                  <w:divBdr>
                    <w:top w:val="none" w:sz="0" w:space="0" w:color="auto"/>
                    <w:left w:val="none" w:sz="0" w:space="0" w:color="auto"/>
                    <w:bottom w:val="none" w:sz="0" w:space="0" w:color="auto"/>
                    <w:right w:val="none" w:sz="0" w:space="0" w:color="auto"/>
                  </w:divBdr>
                  <w:divsChild>
                    <w:div w:id="1436632359">
                      <w:marLeft w:val="0"/>
                      <w:marRight w:val="0"/>
                      <w:marTop w:val="0"/>
                      <w:marBottom w:val="0"/>
                      <w:divBdr>
                        <w:top w:val="none" w:sz="0" w:space="0" w:color="auto"/>
                        <w:left w:val="none" w:sz="0" w:space="0" w:color="auto"/>
                        <w:bottom w:val="none" w:sz="0" w:space="0" w:color="auto"/>
                        <w:right w:val="none" w:sz="0" w:space="0" w:color="auto"/>
                      </w:divBdr>
                    </w:div>
                  </w:divsChild>
                </w:div>
                <w:div w:id="495077677">
                  <w:marLeft w:val="0"/>
                  <w:marRight w:val="0"/>
                  <w:marTop w:val="0"/>
                  <w:marBottom w:val="0"/>
                  <w:divBdr>
                    <w:top w:val="none" w:sz="0" w:space="0" w:color="auto"/>
                    <w:left w:val="none" w:sz="0" w:space="0" w:color="auto"/>
                    <w:bottom w:val="none" w:sz="0" w:space="0" w:color="auto"/>
                    <w:right w:val="none" w:sz="0" w:space="0" w:color="auto"/>
                  </w:divBdr>
                  <w:divsChild>
                    <w:div w:id="766268539">
                      <w:marLeft w:val="0"/>
                      <w:marRight w:val="0"/>
                      <w:marTop w:val="0"/>
                      <w:marBottom w:val="0"/>
                      <w:divBdr>
                        <w:top w:val="none" w:sz="0" w:space="0" w:color="auto"/>
                        <w:left w:val="none" w:sz="0" w:space="0" w:color="auto"/>
                        <w:bottom w:val="none" w:sz="0" w:space="0" w:color="auto"/>
                        <w:right w:val="none" w:sz="0" w:space="0" w:color="auto"/>
                      </w:divBdr>
                    </w:div>
                  </w:divsChild>
                </w:div>
                <w:div w:id="570164909">
                  <w:marLeft w:val="0"/>
                  <w:marRight w:val="0"/>
                  <w:marTop w:val="0"/>
                  <w:marBottom w:val="0"/>
                  <w:divBdr>
                    <w:top w:val="none" w:sz="0" w:space="0" w:color="auto"/>
                    <w:left w:val="none" w:sz="0" w:space="0" w:color="auto"/>
                    <w:bottom w:val="none" w:sz="0" w:space="0" w:color="auto"/>
                    <w:right w:val="none" w:sz="0" w:space="0" w:color="auto"/>
                  </w:divBdr>
                  <w:divsChild>
                    <w:div w:id="308485536">
                      <w:marLeft w:val="0"/>
                      <w:marRight w:val="0"/>
                      <w:marTop w:val="0"/>
                      <w:marBottom w:val="0"/>
                      <w:divBdr>
                        <w:top w:val="none" w:sz="0" w:space="0" w:color="auto"/>
                        <w:left w:val="none" w:sz="0" w:space="0" w:color="auto"/>
                        <w:bottom w:val="none" w:sz="0" w:space="0" w:color="auto"/>
                        <w:right w:val="none" w:sz="0" w:space="0" w:color="auto"/>
                      </w:divBdr>
                    </w:div>
                  </w:divsChild>
                </w:div>
                <w:div w:id="789787238">
                  <w:marLeft w:val="0"/>
                  <w:marRight w:val="0"/>
                  <w:marTop w:val="0"/>
                  <w:marBottom w:val="0"/>
                  <w:divBdr>
                    <w:top w:val="none" w:sz="0" w:space="0" w:color="auto"/>
                    <w:left w:val="none" w:sz="0" w:space="0" w:color="auto"/>
                    <w:bottom w:val="none" w:sz="0" w:space="0" w:color="auto"/>
                    <w:right w:val="none" w:sz="0" w:space="0" w:color="auto"/>
                  </w:divBdr>
                  <w:divsChild>
                    <w:div w:id="422457532">
                      <w:marLeft w:val="0"/>
                      <w:marRight w:val="0"/>
                      <w:marTop w:val="0"/>
                      <w:marBottom w:val="0"/>
                      <w:divBdr>
                        <w:top w:val="none" w:sz="0" w:space="0" w:color="auto"/>
                        <w:left w:val="none" w:sz="0" w:space="0" w:color="auto"/>
                        <w:bottom w:val="none" w:sz="0" w:space="0" w:color="auto"/>
                        <w:right w:val="none" w:sz="0" w:space="0" w:color="auto"/>
                      </w:divBdr>
                    </w:div>
                  </w:divsChild>
                </w:div>
                <w:div w:id="886912686">
                  <w:marLeft w:val="0"/>
                  <w:marRight w:val="0"/>
                  <w:marTop w:val="0"/>
                  <w:marBottom w:val="0"/>
                  <w:divBdr>
                    <w:top w:val="none" w:sz="0" w:space="0" w:color="auto"/>
                    <w:left w:val="none" w:sz="0" w:space="0" w:color="auto"/>
                    <w:bottom w:val="none" w:sz="0" w:space="0" w:color="auto"/>
                    <w:right w:val="none" w:sz="0" w:space="0" w:color="auto"/>
                  </w:divBdr>
                  <w:divsChild>
                    <w:div w:id="1784955306">
                      <w:marLeft w:val="0"/>
                      <w:marRight w:val="0"/>
                      <w:marTop w:val="0"/>
                      <w:marBottom w:val="0"/>
                      <w:divBdr>
                        <w:top w:val="none" w:sz="0" w:space="0" w:color="auto"/>
                        <w:left w:val="none" w:sz="0" w:space="0" w:color="auto"/>
                        <w:bottom w:val="none" w:sz="0" w:space="0" w:color="auto"/>
                        <w:right w:val="none" w:sz="0" w:space="0" w:color="auto"/>
                      </w:divBdr>
                    </w:div>
                  </w:divsChild>
                </w:div>
                <w:div w:id="906651416">
                  <w:marLeft w:val="0"/>
                  <w:marRight w:val="0"/>
                  <w:marTop w:val="0"/>
                  <w:marBottom w:val="0"/>
                  <w:divBdr>
                    <w:top w:val="none" w:sz="0" w:space="0" w:color="auto"/>
                    <w:left w:val="none" w:sz="0" w:space="0" w:color="auto"/>
                    <w:bottom w:val="none" w:sz="0" w:space="0" w:color="auto"/>
                    <w:right w:val="none" w:sz="0" w:space="0" w:color="auto"/>
                  </w:divBdr>
                  <w:divsChild>
                    <w:div w:id="1574973174">
                      <w:marLeft w:val="0"/>
                      <w:marRight w:val="0"/>
                      <w:marTop w:val="0"/>
                      <w:marBottom w:val="0"/>
                      <w:divBdr>
                        <w:top w:val="none" w:sz="0" w:space="0" w:color="auto"/>
                        <w:left w:val="none" w:sz="0" w:space="0" w:color="auto"/>
                        <w:bottom w:val="none" w:sz="0" w:space="0" w:color="auto"/>
                        <w:right w:val="none" w:sz="0" w:space="0" w:color="auto"/>
                      </w:divBdr>
                    </w:div>
                  </w:divsChild>
                </w:div>
                <w:div w:id="907157844">
                  <w:marLeft w:val="0"/>
                  <w:marRight w:val="0"/>
                  <w:marTop w:val="0"/>
                  <w:marBottom w:val="0"/>
                  <w:divBdr>
                    <w:top w:val="none" w:sz="0" w:space="0" w:color="auto"/>
                    <w:left w:val="none" w:sz="0" w:space="0" w:color="auto"/>
                    <w:bottom w:val="none" w:sz="0" w:space="0" w:color="auto"/>
                    <w:right w:val="none" w:sz="0" w:space="0" w:color="auto"/>
                  </w:divBdr>
                  <w:divsChild>
                    <w:div w:id="678312648">
                      <w:marLeft w:val="0"/>
                      <w:marRight w:val="0"/>
                      <w:marTop w:val="0"/>
                      <w:marBottom w:val="0"/>
                      <w:divBdr>
                        <w:top w:val="none" w:sz="0" w:space="0" w:color="auto"/>
                        <w:left w:val="none" w:sz="0" w:space="0" w:color="auto"/>
                        <w:bottom w:val="none" w:sz="0" w:space="0" w:color="auto"/>
                        <w:right w:val="none" w:sz="0" w:space="0" w:color="auto"/>
                      </w:divBdr>
                    </w:div>
                  </w:divsChild>
                </w:div>
                <w:div w:id="990016663">
                  <w:marLeft w:val="0"/>
                  <w:marRight w:val="0"/>
                  <w:marTop w:val="0"/>
                  <w:marBottom w:val="0"/>
                  <w:divBdr>
                    <w:top w:val="none" w:sz="0" w:space="0" w:color="auto"/>
                    <w:left w:val="none" w:sz="0" w:space="0" w:color="auto"/>
                    <w:bottom w:val="none" w:sz="0" w:space="0" w:color="auto"/>
                    <w:right w:val="none" w:sz="0" w:space="0" w:color="auto"/>
                  </w:divBdr>
                  <w:divsChild>
                    <w:div w:id="1028260996">
                      <w:marLeft w:val="0"/>
                      <w:marRight w:val="0"/>
                      <w:marTop w:val="0"/>
                      <w:marBottom w:val="0"/>
                      <w:divBdr>
                        <w:top w:val="none" w:sz="0" w:space="0" w:color="auto"/>
                        <w:left w:val="none" w:sz="0" w:space="0" w:color="auto"/>
                        <w:bottom w:val="none" w:sz="0" w:space="0" w:color="auto"/>
                        <w:right w:val="none" w:sz="0" w:space="0" w:color="auto"/>
                      </w:divBdr>
                    </w:div>
                  </w:divsChild>
                </w:div>
                <w:div w:id="1151555484">
                  <w:marLeft w:val="0"/>
                  <w:marRight w:val="0"/>
                  <w:marTop w:val="0"/>
                  <w:marBottom w:val="0"/>
                  <w:divBdr>
                    <w:top w:val="none" w:sz="0" w:space="0" w:color="auto"/>
                    <w:left w:val="none" w:sz="0" w:space="0" w:color="auto"/>
                    <w:bottom w:val="none" w:sz="0" w:space="0" w:color="auto"/>
                    <w:right w:val="none" w:sz="0" w:space="0" w:color="auto"/>
                  </w:divBdr>
                  <w:divsChild>
                    <w:div w:id="1049645080">
                      <w:marLeft w:val="0"/>
                      <w:marRight w:val="0"/>
                      <w:marTop w:val="0"/>
                      <w:marBottom w:val="0"/>
                      <w:divBdr>
                        <w:top w:val="none" w:sz="0" w:space="0" w:color="auto"/>
                        <w:left w:val="none" w:sz="0" w:space="0" w:color="auto"/>
                        <w:bottom w:val="none" w:sz="0" w:space="0" w:color="auto"/>
                        <w:right w:val="none" w:sz="0" w:space="0" w:color="auto"/>
                      </w:divBdr>
                    </w:div>
                  </w:divsChild>
                </w:div>
                <w:div w:id="1166290454">
                  <w:marLeft w:val="0"/>
                  <w:marRight w:val="0"/>
                  <w:marTop w:val="0"/>
                  <w:marBottom w:val="0"/>
                  <w:divBdr>
                    <w:top w:val="none" w:sz="0" w:space="0" w:color="auto"/>
                    <w:left w:val="none" w:sz="0" w:space="0" w:color="auto"/>
                    <w:bottom w:val="none" w:sz="0" w:space="0" w:color="auto"/>
                    <w:right w:val="none" w:sz="0" w:space="0" w:color="auto"/>
                  </w:divBdr>
                  <w:divsChild>
                    <w:div w:id="198863224">
                      <w:marLeft w:val="0"/>
                      <w:marRight w:val="0"/>
                      <w:marTop w:val="0"/>
                      <w:marBottom w:val="0"/>
                      <w:divBdr>
                        <w:top w:val="none" w:sz="0" w:space="0" w:color="auto"/>
                        <w:left w:val="none" w:sz="0" w:space="0" w:color="auto"/>
                        <w:bottom w:val="none" w:sz="0" w:space="0" w:color="auto"/>
                        <w:right w:val="none" w:sz="0" w:space="0" w:color="auto"/>
                      </w:divBdr>
                    </w:div>
                  </w:divsChild>
                </w:div>
                <w:div w:id="1311981654">
                  <w:marLeft w:val="0"/>
                  <w:marRight w:val="0"/>
                  <w:marTop w:val="0"/>
                  <w:marBottom w:val="0"/>
                  <w:divBdr>
                    <w:top w:val="none" w:sz="0" w:space="0" w:color="auto"/>
                    <w:left w:val="none" w:sz="0" w:space="0" w:color="auto"/>
                    <w:bottom w:val="none" w:sz="0" w:space="0" w:color="auto"/>
                    <w:right w:val="none" w:sz="0" w:space="0" w:color="auto"/>
                  </w:divBdr>
                  <w:divsChild>
                    <w:div w:id="620844277">
                      <w:marLeft w:val="0"/>
                      <w:marRight w:val="0"/>
                      <w:marTop w:val="0"/>
                      <w:marBottom w:val="0"/>
                      <w:divBdr>
                        <w:top w:val="none" w:sz="0" w:space="0" w:color="auto"/>
                        <w:left w:val="none" w:sz="0" w:space="0" w:color="auto"/>
                        <w:bottom w:val="none" w:sz="0" w:space="0" w:color="auto"/>
                        <w:right w:val="none" w:sz="0" w:space="0" w:color="auto"/>
                      </w:divBdr>
                    </w:div>
                  </w:divsChild>
                </w:div>
                <w:div w:id="1390033792">
                  <w:marLeft w:val="0"/>
                  <w:marRight w:val="0"/>
                  <w:marTop w:val="0"/>
                  <w:marBottom w:val="0"/>
                  <w:divBdr>
                    <w:top w:val="none" w:sz="0" w:space="0" w:color="auto"/>
                    <w:left w:val="none" w:sz="0" w:space="0" w:color="auto"/>
                    <w:bottom w:val="none" w:sz="0" w:space="0" w:color="auto"/>
                    <w:right w:val="none" w:sz="0" w:space="0" w:color="auto"/>
                  </w:divBdr>
                  <w:divsChild>
                    <w:div w:id="348604370">
                      <w:marLeft w:val="0"/>
                      <w:marRight w:val="0"/>
                      <w:marTop w:val="0"/>
                      <w:marBottom w:val="0"/>
                      <w:divBdr>
                        <w:top w:val="none" w:sz="0" w:space="0" w:color="auto"/>
                        <w:left w:val="none" w:sz="0" w:space="0" w:color="auto"/>
                        <w:bottom w:val="none" w:sz="0" w:space="0" w:color="auto"/>
                        <w:right w:val="none" w:sz="0" w:space="0" w:color="auto"/>
                      </w:divBdr>
                    </w:div>
                  </w:divsChild>
                </w:div>
                <w:div w:id="1397436904">
                  <w:marLeft w:val="0"/>
                  <w:marRight w:val="0"/>
                  <w:marTop w:val="0"/>
                  <w:marBottom w:val="0"/>
                  <w:divBdr>
                    <w:top w:val="none" w:sz="0" w:space="0" w:color="auto"/>
                    <w:left w:val="none" w:sz="0" w:space="0" w:color="auto"/>
                    <w:bottom w:val="none" w:sz="0" w:space="0" w:color="auto"/>
                    <w:right w:val="none" w:sz="0" w:space="0" w:color="auto"/>
                  </w:divBdr>
                  <w:divsChild>
                    <w:div w:id="553084474">
                      <w:marLeft w:val="0"/>
                      <w:marRight w:val="0"/>
                      <w:marTop w:val="0"/>
                      <w:marBottom w:val="0"/>
                      <w:divBdr>
                        <w:top w:val="none" w:sz="0" w:space="0" w:color="auto"/>
                        <w:left w:val="none" w:sz="0" w:space="0" w:color="auto"/>
                        <w:bottom w:val="none" w:sz="0" w:space="0" w:color="auto"/>
                        <w:right w:val="none" w:sz="0" w:space="0" w:color="auto"/>
                      </w:divBdr>
                    </w:div>
                  </w:divsChild>
                </w:div>
                <w:div w:id="1508522628">
                  <w:marLeft w:val="0"/>
                  <w:marRight w:val="0"/>
                  <w:marTop w:val="0"/>
                  <w:marBottom w:val="0"/>
                  <w:divBdr>
                    <w:top w:val="none" w:sz="0" w:space="0" w:color="auto"/>
                    <w:left w:val="none" w:sz="0" w:space="0" w:color="auto"/>
                    <w:bottom w:val="none" w:sz="0" w:space="0" w:color="auto"/>
                    <w:right w:val="none" w:sz="0" w:space="0" w:color="auto"/>
                  </w:divBdr>
                  <w:divsChild>
                    <w:div w:id="1154031023">
                      <w:marLeft w:val="0"/>
                      <w:marRight w:val="0"/>
                      <w:marTop w:val="0"/>
                      <w:marBottom w:val="0"/>
                      <w:divBdr>
                        <w:top w:val="none" w:sz="0" w:space="0" w:color="auto"/>
                        <w:left w:val="none" w:sz="0" w:space="0" w:color="auto"/>
                        <w:bottom w:val="none" w:sz="0" w:space="0" w:color="auto"/>
                        <w:right w:val="none" w:sz="0" w:space="0" w:color="auto"/>
                      </w:divBdr>
                    </w:div>
                  </w:divsChild>
                </w:div>
                <w:div w:id="1630164162">
                  <w:marLeft w:val="0"/>
                  <w:marRight w:val="0"/>
                  <w:marTop w:val="0"/>
                  <w:marBottom w:val="0"/>
                  <w:divBdr>
                    <w:top w:val="none" w:sz="0" w:space="0" w:color="auto"/>
                    <w:left w:val="none" w:sz="0" w:space="0" w:color="auto"/>
                    <w:bottom w:val="none" w:sz="0" w:space="0" w:color="auto"/>
                    <w:right w:val="none" w:sz="0" w:space="0" w:color="auto"/>
                  </w:divBdr>
                  <w:divsChild>
                    <w:div w:id="746541521">
                      <w:marLeft w:val="0"/>
                      <w:marRight w:val="0"/>
                      <w:marTop w:val="0"/>
                      <w:marBottom w:val="0"/>
                      <w:divBdr>
                        <w:top w:val="none" w:sz="0" w:space="0" w:color="auto"/>
                        <w:left w:val="none" w:sz="0" w:space="0" w:color="auto"/>
                        <w:bottom w:val="none" w:sz="0" w:space="0" w:color="auto"/>
                        <w:right w:val="none" w:sz="0" w:space="0" w:color="auto"/>
                      </w:divBdr>
                    </w:div>
                  </w:divsChild>
                </w:div>
                <w:div w:id="1640962423">
                  <w:marLeft w:val="0"/>
                  <w:marRight w:val="0"/>
                  <w:marTop w:val="0"/>
                  <w:marBottom w:val="0"/>
                  <w:divBdr>
                    <w:top w:val="none" w:sz="0" w:space="0" w:color="auto"/>
                    <w:left w:val="none" w:sz="0" w:space="0" w:color="auto"/>
                    <w:bottom w:val="none" w:sz="0" w:space="0" w:color="auto"/>
                    <w:right w:val="none" w:sz="0" w:space="0" w:color="auto"/>
                  </w:divBdr>
                  <w:divsChild>
                    <w:div w:id="187722695">
                      <w:marLeft w:val="0"/>
                      <w:marRight w:val="0"/>
                      <w:marTop w:val="0"/>
                      <w:marBottom w:val="0"/>
                      <w:divBdr>
                        <w:top w:val="none" w:sz="0" w:space="0" w:color="auto"/>
                        <w:left w:val="none" w:sz="0" w:space="0" w:color="auto"/>
                        <w:bottom w:val="none" w:sz="0" w:space="0" w:color="auto"/>
                        <w:right w:val="none" w:sz="0" w:space="0" w:color="auto"/>
                      </w:divBdr>
                    </w:div>
                  </w:divsChild>
                </w:div>
                <w:div w:id="1828521055">
                  <w:marLeft w:val="0"/>
                  <w:marRight w:val="0"/>
                  <w:marTop w:val="0"/>
                  <w:marBottom w:val="0"/>
                  <w:divBdr>
                    <w:top w:val="none" w:sz="0" w:space="0" w:color="auto"/>
                    <w:left w:val="none" w:sz="0" w:space="0" w:color="auto"/>
                    <w:bottom w:val="none" w:sz="0" w:space="0" w:color="auto"/>
                    <w:right w:val="none" w:sz="0" w:space="0" w:color="auto"/>
                  </w:divBdr>
                  <w:divsChild>
                    <w:div w:id="207689312">
                      <w:marLeft w:val="0"/>
                      <w:marRight w:val="0"/>
                      <w:marTop w:val="0"/>
                      <w:marBottom w:val="0"/>
                      <w:divBdr>
                        <w:top w:val="none" w:sz="0" w:space="0" w:color="auto"/>
                        <w:left w:val="none" w:sz="0" w:space="0" w:color="auto"/>
                        <w:bottom w:val="none" w:sz="0" w:space="0" w:color="auto"/>
                        <w:right w:val="none" w:sz="0" w:space="0" w:color="auto"/>
                      </w:divBdr>
                    </w:div>
                  </w:divsChild>
                </w:div>
                <w:div w:id="1832015664">
                  <w:marLeft w:val="0"/>
                  <w:marRight w:val="0"/>
                  <w:marTop w:val="0"/>
                  <w:marBottom w:val="0"/>
                  <w:divBdr>
                    <w:top w:val="none" w:sz="0" w:space="0" w:color="auto"/>
                    <w:left w:val="none" w:sz="0" w:space="0" w:color="auto"/>
                    <w:bottom w:val="none" w:sz="0" w:space="0" w:color="auto"/>
                    <w:right w:val="none" w:sz="0" w:space="0" w:color="auto"/>
                  </w:divBdr>
                  <w:divsChild>
                    <w:div w:id="1231620973">
                      <w:marLeft w:val="0"/>
                      <w:marRight w:val="0"/>
                      <w:marTop w:val="0"/>
                      <w:marBottom w:val="0"/>
                      <w:divBdr>
                        <w:top w:val="none" w:sz="0" w:space="0" w:color="auto"/>
                        <w:left w:val="none" w:sz="0" w:space="0" w:color="auto"/>
                        <w:bottom w:val="none" w:sz="0" w:space="0" w:color="auto"/>
                        <w:right w:val="none" w:sz="0" w:space="0" w:color="auto"/>
                      </w:divBdr>
                    </w:div>
                  </w:divsChild>
                </w:div>
                <w:div w:id="1980528279">
                  <w:marLeft w:val="0"/>
                  <w:marRight w:val="0"/>
                  <w:marTop w:val="0"/>
                  <w:marBottom w:val="0"/>
                  <w:divBdr>
                    <w:top w:val="none" w:sz="0" w:space="0" w:color="auto"/>
                    <w:left w:val="none" w:sz="0" w:space="0" w:color="auto"/>
                    <w:bottom w:val="none" w:sz="0" w:space="0" w:color="auto"/>
                    <w:right w:val="none" w:sz="0" w:space="0" w:color="auto"/>
                  </w:divBdr>
                  <w:divsChild>
                    <w:div w:id="2078744294">
                      <w:marLeft w:val="0"/>
                      <w:marRight w:val="0"/>
                      <w:marTop w:val="0"/>
                      <w:marBottom w:val="0"/>
                      <w:divBdr>
                        <w:top w:val="none" w:sz="0" w:space="0" w:color="auto"/>
                        <w:left w:val="none" w:sz="0" w:space="0" w:color="auto"/>
                        <w:bottom w:val="none" w:sz="0" w:space="0" w:color="auto"/>
                        <w:right w:val="none" w:sz="0" w:space="0" w:color="auto"/>
                      </w:divBdr>
                    </w:div>
                  </w:divsChild>
                </w:div>
                <w:div w:id="2086107057">
                  <w:marLeft w:val="0"/>
                  <w:marRight w:val="0"/>
                  <w:marTop w:val="0"/>
                  <w:marBottom w:val="0"/>
                  <w:divBdr>
                    <w:top w:val="none" w:sz="0" w:space="0" w:color="auto"/>
                    <w:left w:val="none" w:sz="0" w:space="0" w:color="auto"/>
                    <w:bottom w:val="none" w:sz="0" w:space="0" w:color="auto"/>
                    <w:right w:val="none" w:sz="0" w:space="0" w:color="auto"/>
                  </w:divBdr>
                  <w:divsChild>
                    <w:div w:id="9908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52148">
          <w:marLeft w:val="0"/>
          <w:marRight w:val="0"/>
          <w:marTop w:val="0"/>
          <w:marBottom w:val="0"/>
          <w:divBdr>
            <w:top w:val="none" w:sz="0" w:space="0" w:color="auto"/>
            <w:left w:val="none" w:sz="0" w:space="0" w:color="auto"/>
            <w:bottom w:val="none" w:sz="0" w:space="0" w:color="auto"/>
            <w:right w:val="none" w:sz="0" w:space="0" w:color="auto"/>
          </w:divBdr>
          <w:divsChild>
            <w:div w:id="178739644">
              <w:marLeft w:val="0"/>
              <w:marRight w:val="0"/>
              <w:marTop w:val="0"/>
              <w:marBottom w:val="0"/>
              <w:divBdr>
                <w:top w:val="none" w:sz="0" w:space="0" w:color="auto"/>
                <w:left w:val="none" w:sz="0" w:space="0" w:color="auto"/>
                <w:bottom w:val="none" w:sz="0" w:space="0" w:color="auto"/>
                <w:right w:val="none" w:sz="0" w:space="0" w:color="auto"/>
              </w:divBdr>
            </w:div>
            <w:div w:id="188492373">
              <w:marLeft w:val="0"/>
              <w:marRight w:val="0"/>
              <w:marTop w:val="0"/>
              <w:marBottom w:val="0"/>
              <w:divBdr>
                <w:top w:val="none" w:sz="0" w:space="0" w:color="auto"/>
                <w:left w:val="none" w:sz="0" w:space="0" w:color="auto"/>
                <w:bottom w:val="none" w:sz="0" w:space="0" w:color="auto"/>
                <w:right w:val="none" w:sz="0" w:space="0" w:color="auto"/>
              </w:divBdr>
            </w:div>
            <w:div w:id="211116316">
              <w:marLeft w:val="0"/>
              <w:marRight w:val="0"/>
              <w:marTop w:val="0"/>
              <w:marBottom w:val="0"/>
              <w:divBdr>
                <w:top w:val="none" w:sz="0" w:space="0" w:color="auto"/>
                <w:left w:val="none" w:sz="0" w:space="0" w:color="auto"/>
                <w:bottom w:val="none" w:sz="0" w:space="0" w:color="auto"/>
                <w:right w:val="none" w:sz="0" w:space="0" w:color="auto"/>
              </w:divBdr>
            </w:div>
            <w:div w:id="508956577">
              <w:marLeft w:val="0"/>
              <w:marRight w:val="0"/>
              <w:marTop w:val="0"/>
              <w:marBottom w:val="0"/>
              <w:divBdr>
                <w:top w:val="none" w:sz="0" w:space="0" w:color="auto"/>
                <w:left w:val="none" w:sz="0" w:space="0" w:color="auto"/>
                <w:bottom w:val="none" w:sz="0" w:space="0" w:color="auto"/>
                <w:right w:val="none" w:sz="0" w:space="0" w:color="auto"/>
              </w:divBdr>
            </w:div>
            <w:div w:id="519121304">
              <w:marLeft w:val="0"/>
              <w:marRight w:val="0"/>
              <w:marTop w:val="0"/>
              <w:marBottom w:val="0"/>
              <w:divBdr>
                <w:top w:val="none" w:sz="0" w:space="0" w:color="auto"/>
                <w:left w:val="none" w:sz="0" w:space="0" w:color="auto"/>
                <w:bottom w:val="none" w:sz="0" w:space="0" w:color="auto"/>
                <w:right w:val="none" w:sz="0" w:space="0" w:color="auto"/>
              </w:divBdr>
            </w:div>
            <w:div w:id="529804823">
              <w:marLeft w:val="0"/>
              <w:marRight w:val="0"/>
              <w:marTop w:val="0"/>
              <w:marBottom w:val="0"/>
              <w:divBdr>
                <w:top w:val="none" w:sz="0" w:space="0" w:color="auto"/>
                <w:left w:val="none" w:sz="0" w:space="0" w:color="auto"/>
                <w:bottom w:val="none" w:sz="0" w:space="0" w:color="auto"/>
                <w:right w:val="none" w:sz="0" w:space="0" w:color="auto"/>
              </w:divBdr>
            </w:div>
            <w:div w:id="843861869">
              <w:marLeft w:val="0"/>
              <w:marRight w:val="0"/>
              <w:marTop w:val="0"/>
              <w:marBottom w:val="0"/>
              <w:divBdr>
                <w:top w:val="none" w:sz="0" w:space="0" w:color="auto"/>
                <w:left w:val="none" w:sz="0" w:space="0" w:color="auto"/>
                <w:bottom w:val="none" w:sz="0" w:space="0" w:color="auto"/>
                <w:right w:val="none" w:sz="0" w:space="0" w:color="auto"/>
              </w:divBdr>
            </w:div>
            <w:div w:id="971322824">
              <w:marLeft w:val="0"/>
              <w:marRight w:val="0"/>
              <w:marTop w:val="0"/>
              <w:marBottom w:val="0"/>
              <w:divBdr>
                <w:top w:val="none" w:sz="0" w:space="0" w:color="auto"/>
                <w:left w:val="none" w:sz="0" w:space="0" w:color="auto"/>
                <w:bottom w:val="none" w:sz="0" w:space="0" w:color="auto"/>
                <w:right w:val="none" w:sz="0" w:space="0" w:color="auto"/>
              </w:divBdr>
            </w:div>
            <w:div w:id="1127620947">
              <w:marLeft w:val="0"/>
              <w:marRight w:val="0"/>
              <w:marTop w:val="0"/>
              <w:marBottom w:val="0"/>
              <w:divBdr>
                <w:top w:val="none" w:sz="0" w:space="0" w:color="auto"/>
                <w:left w:val="none" w:sz="0" w:space="0" w:color="auto"/>
                <w:bottom w:val="none" w:sz="0" w:space="0" w:color="auto"/>
                <w:right w:val="none" w:sz="0" w:space="0" w:color="auto"/>
              </w:divBdr>
            </w:div>
            <w:div w:id="1129083166">
              <w:marLeft w:val="0"/>
              <w:marRight w:val="0"/>
              <w:marTop w:val="0"/>
              <w:marBottom w:val="0"/>
              <w:divBdr>
                <w:top w:val="none" w:sz="0" w:space="0" w:color="auto"/>
                <w:left w:val="none" w:sz="0" w:space="0" w:color="auto"/>
                <w:bottom w:val="none" w:sz="0" w:space="0" w:color="auto"/>
                <w:right w:val="none" w:sz="0" w:space="0" w:color="auto"/>
              </w:divBdr>
            </w:div>
            <w:div w:id="1694458799">
              <w:marLeft w:val="0"/>
              <w:marRight w:val="0"/>
              <w:marTop w:val="0"/>
              <w:marBottom w:val="0"/>
              <w:divBdr>
                <w:top w:val="none" w:sz="0" w:space="0" w:color="auto"/>
                <w:left w:val="none" w:sz="0" w:space="0" w:color="auto"/>
                <w:bottom w:val="none" w:sz="0" w:space="0" w:color="auto"/>
                <w:right w:val="none" w:sz="0" w:space="0" w:color="auto"/>
              </w:divBdr>
            </w:div>
            <w:div w:id="1807549881">
              <w:marLeft w:val="0"/>
              <w:marRight w:val="0"/>
              <w:marTop w:val="0"/>
              <w:marBottom w:val="0"/>
              <w:divBdr>
                <w:top w:val="none" w:sz="0" w:space="0" w:color="auto"/>
                <w:left w:val="none" w:sz="0" w:space="0" w:color="auto"/>
                <w:bottom w:val="none" w:sz="0" w:space="0" w:color="auto"/>
                <w:right w:val="none" w:sz="0" w:space="0" w:color="auto"/>
              </w:divBdr>
            </w:div>
          </w:divsChild>
        </w:div>
        <w:div w:id="1190534128">
          <w:marLeft w:val="0"/>
          <w:marRight w:val="0"/>
          <w:marTop w:val="0"/>
          <w:marBottom w:val="0"/>
          <w:divBdr>
            <w:top w:val="none" w:sz="0" w:space="0" w:color="auto"/>
            <w:left w:val="none" w:sz="0" w:space="0" w:color="auto"/>
            <w:bottom w:val="none" w:sz="0" w:space="0" w:color="auto"/>
            <w:right w:val="none" w:sz="0" w:space="0" w:color="auto"/>
          </w:divBdr>
          <w:divsChild>
            <w:div w:id="579023884">
              <w:marLeft w:val="-75"/>
              <w:marRight w:val="0"/>
              <w:marTop w:val="30"/>
              <w:marBottom w:val="30"/>
              <w:divBdr>
                <w:top w:val="none" w:sz="0" w:space="0" w:color="auto"/>
                <w:left w:val="none" w:sz="0" w:space="0" w:color="auto"/>
                <w:bottom w:val="none" w:sz="0" w:space="0" w:color="auto"/>
                <w:right w:val="none" w:sz="0" w:space="0" w:color="auto"/>
              </w:divBdr>
              <w:divsChild>
                <w:div w:id="57671835">
                  <w:marLeft w:val="0"/>
                  <w:marRight w:val="0"/>
                  <w:marTop w:val="0"/>
                  <w:marBottom w:val="0"/>
                  <w:divBdr>
                    <w:top w:val="none" w:sz="0" w:space="0" w:color="auto"/>
                    <w:left w:val="none" w:sz="0" w:space="0" w:color="auto"/>
                    <w:bottom w:val="none" w:sz="0" w:space="0" w:color="auto"/>
                    <w:right w:val="none" w:sz="0" w:space="0" w:color="auto"/>
                  </w:divBdr>
                  <w:divsChild>
                    <w:div w:id="466896060">
                      <w:marLeft w:val="0"/>
                      <w:marRight w:val="0"/>
                      <w:marTop w:val="0"/>
                      <w:marBottom w:val="0"/>
                      <w:divBdr>
                        <w:top w:val="none" w:sz="0" w:space="0" w:color="auto"/>
                        <w:left w:val="none" w:sz="0" w:space="0" w:color="auto"/>
                        <w:bottom w:val="none" w:sz="0" w:space="0" w:color="auto"/>
                        <w:right w:val="none" w:sz="0" w:space="0" w:color="auto"/>
                      </w:divBdr>
                    </w:div>
                  </w:divsChild>
                </w:div>
                <w:div w:id="97529347">
                  <w:marLeft w:val="0"/>
                  <w:marRight w:val="0"/>
                  <w:marTop w:val="0"/>
                  <w:marBottom w:val="0"/>
                  <w:divBdr>
                    <w:top w:val="none" w:sz="0" w:space="0" w:color="auto"/>
                    <w:left w:val="none" w:sz="0" w:space="0" w:color="auto"/>
                    <w:bottom w:val="none" w:sz="0" w:space="0" w:color="auto"/>
                    <w:right w:val="none" w:sz="0" w:space="0" w:color="auto"/>
                  </w:divBdr>
                  <w:divsChild>
                    <w:div w:id="25182349">
                      <w:marLeft w:val="0"/>
                      <w:marRight w:val="0"/>
                      <w:marTop w:val="0"/>
                      <w:marBottom w:val="0"/>
                      <w:divBdr>
                        <w:top w:val="none" w:sz="0" w:space="0" w:color="auto"/>
                        <w:left w:val="none" w:sz="0" w:space="0" w:color="auto"/>
                        <w:bottom w:val="none" w:sz="0" w:space="0" w:color="auto"/>
                        <w:right w:val="none" w:sz="0" w:space="0" w:color="auto"/>
                      </w:divBdr>
                    </w:div>
                  </w:divsChild>
                </w:div>
                <w:div w:id="102456993">
                  <w:marLeft w:val="0"/>
                  <w:marRight w:val="0"/>
                  <w:marTop w:val="0"/>
                  <w:marBottom w:val="0"/>
                  <w:divBdr>
                    <w:top w:val="none" w:sz="0" w:space="0" w:color="auto"/>
                    <w:left w:val="none" w:sz="0" w:space="0" w:color="auto"/>
                    <w:bottom w:val="none" w:sz="0" w:space="0" w:color="auto"/>
                    <w:right w:val="none" w:sz="0" w:space="0" w:color="auto"/>
                  </w:divBdr>
                  <w:divsChild>
                    <w:div w:id="616376066">
                      <w:marLeft w:val="0"/>
                      <w:marRight w:val="0"/>
                      <w:marTop w:val="0"/>
                      <w:marBottom w:val="0"/>
                      <w:divBdr>
                        <w:top w:val="none" w:sz="0" w:space="0" w:color="auto"/>
                        <w:left w:val="none" w:sz="0" w:space="0" w:color="auto"/>
                        <w:bottom w:val="none" w:sz="0" w:space="0" w:color="auto"/>
                        <w:right w:val="none" w:sz="0" w:space="0" w:color="auto"/>
                      </w:divBdr>
                    </w:div>
                  </w:divsChild>
                </w:div>
                <w:div w:id="291717187">
                  <w:marLeft w:val="0"/>
                  <w:marRight w:val="0"/>
                  <w:marTop w:val="0"/>
                  <w:marBottom w:val="0"/>
                  <w:divBdr>
                    <w:top w:val="none" w:sz="0" w:space="0" w:color="auto"/>
                    <w:left w:val="none" w:sz="0" w:space="0" w:color="auto"/>
                    <w:bottom w:val="none" w:sz="0" w:space="0" w:color="auto"/>
                    <w:right w:val="none" w:sz="0" w:space="0" w:color="auto"/>
                  </w:divBdr>
                  <w:divsChild>
                    <w:div w:id="833301723">
                      <w:marLeft w:val="0"/>
                      <w:marRight w:val="0"/>
                      <w:marTop w:val="0"/>
                      <w:marBottom w:val="0"/>
                      <w:divBdr>
                        <w:top w:val="none" w:sz="0" w:space="0" w:color="auto"/>
                        <w:left w:val="none" w:sz="0" w:space="0" w:color="auto"/>
                        <w:bottom w:val="none" w:sz="0" w:space="0" w:color="auto"/>
                        <w:right w:val="none" w:sz="0" w:space="0" w:color="auto"/>
                      </w:divBdr>
                    </w:div>
                    <w:div w:id="1439377051">
                      <w:marLeft w:val="0"/>
                      <w:marRight w:val="0"/>
                      <w:marTop w:val="0"/>
                      <w:marBottom w:val="0"/>
                      <w:divBdr>
                        <w:top w:val="none" w:sz="0" w:space="0" w:color="auto"/>
                        <w:left w:val="none" w:sz="0" w:space="0" w:color="auto"/>
                        <w:bottom w:val="none" w:sz="0" w:space="0" w:color="auto"/>
                        <w:right w:val="none" w:sz="0" w:space="0" w:color="auto"/>
                      </w:divBdr>
                    </w:div>
                  </w:divsChild>
                </w:div>
                <w:div w:id="329867599">
                  <w:marLeft w:val="0"/>
                  <w:marRight w:val="0"/>
                  <w:marTop w:val="0"/>
                  <w:marBottom w:val="0"/>
                  <w:divBdr>
                    <w:top w:val="none" w:sz="0" w:space="0" w:color="auto"/>
                    <w:left w:val="none" w:sz="0" w:space="0" w:color="auto"/>
                    <w:bottom w:val="none" w:sz="0" w:space="0" w:color="auto"/>
                    <w:right w:val="none" w:sz="0" w:space="0" w:color="auto"/>
                  </w:divBdr>
                  <w:divsChild>
                    <w:div w:id="1070153511">
                      <w:marLeft w:val="0"/>
                      <w:marRight w:val="0"/>
                      <w:marTop w:val="0"/>
                      <w:marBottom w:val="0"/>
                      <w:divBdr>
                        <w:top w:val="none" w:sz="0" w:space="0" w:color="auto"/>
                        <w:left w:val="none" w:sz="0" w:space="0" w:color="auto"/>
                        <w:bottom w:val="none" w:sz="0" w:space="0" w:color="auto"/>
                        <w:right w:val="none" w:sz="0" w:space="0" w:color="auto"/>
                      </w:divBdr>
                    </w:div>
                    <w:div w:id="1527913247">
                      <w:marLeft w:val="0"/>
                      <w:marRight w:val="0"/>
                      <w:marTop w:val="0"/>
                      <w:marBottom w:val="0"/>
                      <w:divBdr>
                        <w:top w:val="none" w:sz="0" w:space="0" w:color="auto"/>
                        <w:left w:val="none" w:sz="0" w:space="0" w:color="auto"/>
                        <w:bottom w:val="none" w:sz="0" w:space="0" w:color="auto"/>
                        <w:right w:val="none" w:sz="0" w:space="0" w:color="auto"/>
                      </w:divBdr>
                    </w:div>
                  </w:divsChild>
                </w:div>
                <w:div w:id="403838543">
                  <w:marLeft w:val="0"/>
                  <w:marRight w:val="0"/>
                  <w:marTop w:val="0"/>
                  <w:marBottom w:val="0"/>
                  <w:divBdr>
                    <w:top w:val="none" w:sz="0" w:space="0" w:color="auto"/>
                    <w:left w:val="none" w:sz="0" w:space="0" w:color="auto"/>
                    <w:bottom w:val="none" w:sz="0" w:space="0" w:color="auto"/>
                    <w:right w:val="none" w:sz="0" w:space="0" w:color="auto"/>
                  </w:divBdr>
                  <w:divsChild>
                    <w:div w:id="4862693">
                      <w:marLeft w:val="0"/>
                      <w:marRight w:val="0"/>
                      <w:marTop w:val="0"/>
                      <w:marBottom w:val="0"/>
                      <w:divBdr>
                        <w:top w:val="none" w:sz="0" w:space="0" w:color="auto"/>
                        <w:left w:val="none" w:sz="0" w:space="0" w:color="auto"/>
                        <w:bottom w:val="none" w:sz="0" w:space="0" w:color="auto"/>
                        <w:right w:val="none" w:sz="0" w:space="0" w:color="auto"/>
                      </w:divBdr>
                    </w:div>
                  </w:divsChild>
                </w:div>
                <w:div w:id="510222827">
                  <w:marLeft w:val="0"/>
                  <w:marRight w:val="0"/>
                  <w:marTop w:val="0"/>
                  <w:marBottom w:val="0"/>
                  <w:divBdr>
                    <w:top w:val="none" w:sz="0" w:space="0" w:color="auto"/>
                    <w:left w:val="none" w:sz="0" w:space="0" w:color="auto"/>
                    <w:bottom w:val="none" w:sz="0" w:space="0" w:color="auto"/>
                    <w:right w:val="none" w:sz="0" w:space="0" w:color="auto"/>
                  </w:divBdr>
                  <w:divsChild>
                    <w:div w:id="134612690">
                      <w:marLeft w:val="0"/>
                      <w:marRight w:val="0"/>
                      <w:marTop w:val="0"/>
                      <w:marBottom w:val="0"/>
                      <w:divBdr>
                        <w:top w:val="none" w:sz="0" w:space="0" w:color="auto"/>
                        <w:left w:val="none" w:sz="0" w:space="0" w:color="auto"/>
                        <w:bottom w:val="none" w:sz="0" w:space="0" w:color="auto"/>
                        <w:right w:val="none" w:sz="0" w:space="0" w:color="auto"/>
                      </w:divBdr>
                    </w:div>
                  </w:divsChild>
                </w:div>
                <w:div w:id="550462544">
                  <w:marLeft w:val="0"/>
                  <w:marRight w:val="0"/>
                  <w:marTop w:val="0"/>
                  <w:marBottom w:val="0"/>
                  <w:divBdr>
                    <w:top w:val="none" w:sz="0" w:space="0" w:color="auto"/>
                    <w:left w:val="none" w:sz="0" w:space="0" w:color="auto"/>
                    <w:bottom w:val="none" w:sz="0" w:space="0" w:color="auto"/>
                    <w:right w:val="none" w:sz="0" w:space="0" w:color="auto"/>
                  </w:divBdr>
                  <w:divsChild>
                    <w:div w:id="1019696421">
                      <w:marLeft w:val="0"/>
                      <w:marRight w:val="0"/>
                      <w:marTop w:val="0"/>
                      <w:marBottom w:val="0"/>
                      <w:divBdr>
                        <w:top w:val="none" w:sz="0" w:space="0" w:color="auto"/>
                        <w:left w:val="none" w:sz="0" w:space="0" w:color="auto"/>
                        <w:bottom w:val="none" w:sz="0" w:space="0" w:color="auto"/>
                        <w:right w:val="none" w:sz="0" w:space="0" w:color="auto"/>
                      </w:divBdr>
                    </w:div>
                  </w:divsChild>
                </w:div>
                <w:div w:id="630406795">
                  <w:marLeft w:val="0"/>
                  <w:marRight w:val="0"/>
                  <w:marTop w:val="0"/>
                  <w:marBottom w:val="0"/>
                  <w:divBdr>
                    <w:top w:val="none" w:sz="0" w:space="0" w:color="auto"/>
                    <w:left w:val="none" w:sz="0" w:space="0" w:color="auto"/>
                    <w:bottom w:val="none" w:sz="0" w:space="0" w:color="auto"/>
                    <w:right w:val="none" w:sz="0" w:space="0" w:color="auto"/>
                  </w:divBdr>
                  <w:divsChild>
                    <w:div w:id="295599127">
                      <w:marLeft w:val="0"/>
                      <w:marRight w:val="0"/>
                      <w:marTop w:val="0"/>
                      <w:marBottom w:val="0"/>
                      <w:divBdr>
                        <w:top w:val="none" w:sz="0" w:space="0" w:color="auto"/>
                        <w:left w:val="none" w:sz="0" w:space="0" w:color="auto"/>
                        <w:bottom w:val="none" w:sz="0" w:space="0" w:color="auto"/>
                        <w:right w:val="none" w:sz="0" w:space="0" w:color="auto"/>
                      </w:divBdr>
                    </w:div>
                  </w:divsChild>
                </w:div>
                <w:div w:id="786316012">
                  <w:marLeft w:val="0"/>
                  <w:marRight w:val="0"/>
                  <w:marTop w:val="0"/>
                  <w:marBottom w:val="0"/>
                  <w:divBdr>
                    <w:top w:val="none" w:sz="0" w:space="0" w:color="auto"/>
                    <w:left w:val="none" w:sz="0" w:space="0" w:color="auto"/>
                    <w:bottom w:val="none" w:sz="0" w:space="0" w:color="auto"/>
                    <w:right w:val="none" w:sz="0" w:space="0" w:color="auto"/>
                  </w:divBdr>
                  <w:divsChild>
                    <w:div w:id="1290239173">
                      <w:marLeft w:val="0"/>
                      <w:marRight w:val="0"/>
                      <w:marTop w:val="0"/>
                      <w:marBottom w:val="0"/>
                      <w:divBdr>
                        <w:top w:val="none" w:sz="0" w:space="0" w:color="auto"/>
                        <w:left w:val="none" w:sz="0" w:space="0" w:color="auto"/>
                        <w:bottom w:val="none" w:sz="0" w:space="0" w:color="auto"/>
                        <w:right w:val="none" w:sz="0" w:space="0" w:color="auto"/>
                      </w:divBdr>
                    </w:div>
                  </w:divsChild>
                </w:div>
                <w:div w:id="926840056">
                  <w:marLeft w:val="0"/>
                  <w:marRight w:val="0"/>
                  <w:marTop w:val="0"/>
                  <w:marBottom w:val="0"/>
                  <w:divBdr>
                    <w:top w:val="none" w:sz="0" w:space="0" w:color="auto"/>
                    <w:left w:val="none" w:sz="0" w:space="0" w:color="auto"/>
                    <w:bottom w:val="none" w:sz="0" w:space="0" w:color="auto"/>
                    <w:right w:val="none" w:sz="0" w:space="0" w:color="auto"/>
                  </w:divBdr>
                  <w:divsChild>
                    <w:div w:id="177232010">
                      <w:marLeft w:val="0"/>
                      <w:marRight w:val="0"/>
                      <w:marTop w:val="0"/>
                      <w:marBottom w:val="0"/>
                      <w:divBdr>
                        <w:top w:val="none" w:sz="0" w:space="0" w:color="auto"/>
                        <w:left w:val="none" w:sz="0" w:space="0" w:color="auto"/>
                        <w:bottom w:val="none" w:sz="0" w:space="0" w:color="auto"/>
                        <w:right w:val="none" w:sz="0" w:space="0" w:color="auto"/>
                      </w:divBdr>
                    </w:div>
                  </w:divsChild>
                </w:div>
                <w:div w:id="996305865">
                  <w:marLeft w:val="0"/>
                  <w:marRight w:val="0"/>
                  <w:marTop w:val="0"/>
                  <w:marBottom w:val="0"/>
                  <w:divBdr>
                    <w:top w:val="none" w:sz="0" w:space="0" w:color="auto"/>
                    <w:left w:val="none" w:sz="0" w:space="0" w:color="auto"/>
                    <w:bottom w:val="none" w:sz="0" w:space="0" w:color="auto"/>
                    <w:right w:val="none" w:sz="0" w:space="0" w:color="auto"/>
                  </w:divBdr>
                  <w:divsChild>
                    <w:div w:id="1623347033">
                      <w:marLeft w:val="0"/>
                      <w:marRight w:val="0"/>
                      <w:marTop w:val="0"/>
                      <w:marBottom w:val="0"/>
                      <w:divBdr>
                        <w:top w:val="none" w:sz="0" w:space="0" w:color="auto"/>
                        <w:left w:val="none" w:sz="0" w:space="0" w:color="auto"/>
                        <w:bottom w:val="none" w:sz="0" w:space="0" w:color="auto"/>
                        <w:right w:val="none" w:sz="0" w:space="0" w:color="auto"/>
                      </w:divBdr>
                    </w:div>
                  </w:divsChild>
                </w:div>
                <w:div w:id="1185552408">
                  <w:marLeft w:val="0"/>
                  <w:marRight w:val="0"/>
                  <w:marTop w:val="0"/>
                  <w:marBottom w:val="0"/>
                  <w:divBdr>
                    <w:top w:val="none" w:sz="0" w:space="0" w:color="auto"/>
                    <w:left w:val="none" w:sz="0" w:space="0" w:color="auto"/>
                    <w:bottom w:val="none" w:sz="0" w:space="0" w:color="auto"/>
                    <w:right w:val="none" w:sz="0" w:space="0" w:color="auto"/>
                  </w:divBdr>
                  <w:divsChild>
                    <w:div w:id="1408991213">
                      <w:marLeft w:val="0"/>
                      <w:marRight w:val="0"/>
                      <w:marTop w:val="0"/>
                      <w:marBottom w:val="0"/>
                      <w:divBdr>
                        <w:top w:val="none" w:sz="0" w:space="0" w:color="auto"/>
                        <w:left w:val="none" w:sz="0" w:space="0" w:color="auto"/>
                        <w:bottom w:val="none" w:sz="0" w:space="0" w:color="auto"/>
                        <w:right w:val="none" w:sz="0" w:space="0" w:color="auto"/>
                      </w:divBdr>
                    </w:div>
                  </w:divsChild>
                </w:div>
                <w:div w:id="1277063661">
                  <w:marLeft w:val="0"/>
                  <w:marRight w:val="0"/>
                  <w:marTop w:val="0"/>
                  <w:marBottom w:val="0"/>
                  <w:divBdr>
                    <w:top w:val="none" w:sz="0" w:space="0" w:color="auto"/>
                    <w:left w:val="none" w:sz="0" w:space="0" w:color="auto"/>
                    <w:bottom w:val="none" w:sz="0" w:space="0" w:color="auto"/>
                    <w:right w:val="none" w:sz="0" w:space="0" w:color="auto"/>
                  </w:divBdr>
                  <w:divsChild>
                    <w:div w:id="1442411907">
                      <w:marLeft w:val="0"/>
                      <w:marRight w:val="0"/>
                      <w:marTop w:val="0"/>
                      <w:marBottom w:val="0"/>
                      <w:divBdr>
                        <w:top w:val="none" w:sz="0" w:space="0" w:color="auto"/>
                        <w:left w:val="none" w:sz="0" w:space="0" w:color="auto"/>
                        <w:bottom w:val="none" w:sz="0" w:space="0" w:color="auto"/>
                        <w:right w:val="none" w:sz="0" w:space="0" w:color="auto"/>
                      </w:divBdr>
                    </w:div>
                  </w:divsChild>
                </w:div>
                <w:div w:id="1350255082">
                  <w:marLeft w:val="0"/>
                  <w:marRight w:val="0"/>
                  <w:marTop w:val="0"/>
                  <w:marBottom w:val="0"/>
                  <w:divBdr>
                    <w:top w:val="none" w:sz="0" w:space="0" w:color="auto"/>
                    <w:left w:val="none" w:sz="0" w:space="0" w:color="auto"/>
                    <w:bottom w:val="none" w:sz="0" w:space="0" w:color="auto"/>
                    <w:right w:val="none" w:sz="0" w:space="0" w:color="auto"/>
                  </w:divBdr>
                  <w:divsChild>
                    <w:div w:id="1877430820">
                      <w:marLeft w:val="0"/>
                      <w:marRight w:val="0"/>
                      <w:marTop w:val="0"/>
                      <w:marBottom w:val="0"/>
                      <w:divBdr>
                        <w:top w:val="none" w:sz="0" w:space="0" w:color="auto"/>
                        <w:left w:val="none" w:sz="0" w:space="0" w:color="auto"/>
                        <w:bottom w:val="none" w:sz="0" w:space="0" w:color="auto"/>
                        <w:right w:val="none" w:sz="0" w:space="0" w:color="auto"/>
                      </w:divBdr>
                    </w:div>
                  </w:divsChild>
                </w:div>
                <w:div w:id="1390155289">
                  <w:marLeft w:val="0"/>
                  <w:marRight w:val="0"/>
                  <w:marTop w:val="0"/>
                  <w:marBottom w:val="0"/>
                  <w:divBdr>
                    <w:top w:val="none" w:sz="0" w:space="0" w:color="auto"/>
                    <w:left w:val="none" w:sz="0" w:space="0" w:color="auto"/>
                    <w:bottom w:val="none" w:sz="0" w:space="0" w:color="auto"/>
                    <w:right w:val="none" w:sz="0" w:space="0" w:color="auto"/>
                  </w:divBdr>
                  <w:divsChild>
                    <w:div w:id="2019573116">
                      <w:marLeft w:val="0"/>
                      <w:marRight w:val="0"/>
                      <w:marTop w:val="0"/>
                      <w:marBottom w:val="0"/>
                      <w:divBdr>
                        <w:top w:val="none" w:sz="0" w:space="0" w:color="auto"/>
                        <w:left w:val="none" w:sz="0" w:space="0" w:color="auto"/>
                        <w:bottom w:val="none" w:sz="0" w:space="0" w:color="auto"/>
                        <w:right w:val="none" w:sz="0" w:space="0" w:color="auto"/>
                      </w:divBdr>
                    </w:div>
                  </w:divsChild>
                </w:div>
                <w:div w:id="1506937958">
                  <w:marLeft w:val="0"/>
                  <w:marRight w:val="0"/>
                  <w:marTop w:val="0"/>
                  <w:marBottom w:val="0"/>
                  <w:divBdr>
                    <w:top w:val="none" w:sz="0" w:space="0" w:color="auto"/>
                    <w:left w:val="none" w:sz="0" w:space="0" w:color="auto"/>
                    <w:bottom w:val="none" w:sz="0" w:space="0" w:color="auto"/>
                    <w:right w:val="none" w:sz="0" w:space="0" w:color="auto"/>
                  </w:divBdr>
                  <w:divsChild>
                    <w:div w:id="1296060310">
                      <w:marLeft w:val="0"/>
                      <w:marRight w:val="0"/>
                      <w:marTop w:val="0"/>
                      <w:marBottom w:val="0"/>
                      <w:divBdr>
                        <w:top w:val="none" w:sz="0" w:space="0" w:color="auto"/>
                        <w:left w:val="none" w:sz="0" w:space="0" w:color="auto"/>
                        <w:bottom w:val="none" w:sz="0" w:space="0" w:color="auto"/>
                        <w:right w:val="none" w:sz="0" w:space="0" w:color="auto"/>
                      </w:divBdr>
                    </w:div>
                  </w:divsChild>
                </w:div>
                <w:div w:id="1530072489">
                  <w:marLeft w:val="0"/>
                  <w:marRight w:val="0"/>
                  <w:marTop w:val="0"/>
                  <w:marBottom w:val="0"/>
                  <w:divBdr>
                    <w:top w:val="none" w:sz="0" w:space="0" w:color="auto"/>
                    <w:left w:val="none" w:sz="0" w:space="0" w:color="auto"/>
                    <w:bottom w:val="none" w:sz="0" w:space="0" w:color="auto"/>
                    <w:right w:val="none" w:sz="0" w:space="0" w:color="auto"/>
                  </w:divBdr>
                  <w:divsChild>
                    <w:div w:id="1522814256">
                      <w:marLeft w:val="0"/>
                      <w:marRight w:val="0"/>
                      <w:marTop w:val="0"/>
                      <w:marBottom w:val="0"/>
                      <w:divBdr>
                        <w:top w:val="none" w:sz="0" w:space="0" w:color="auto"/>
                        <w:left w:val="none" w:sz="0" w:space="0" w:color="auto"/>
                        <w:bottom w:val="none" w:sz="0" w:space="0" w:color="auto"/>
                        <w:right w:val="none" w:sz="0" w:space="0" w:color="auto"/>
                      </w:divBdr>
                    </w:div>
                  </w:divsChild>
                </w:div>
                <w:div w:id="1536578495">
                  <w:marLeft w:val="0"/>
                  <w:marRight w:val="0"/>
                  <w:marTop w:val="0"/>
                  <w:marBottom w:val="0"/>
                  <w:divBdr>
                    <w:top w:val="none" w:sz="0" w:space="0" w:color="auto"/>
                    <w:left w:val="none" w:sz="0" w:space="0" w:color="auto"/>
                    <w:bottom w:val="none" w:sz="0" w:space="0" w:color="auto"/>
                    <w:right w:val="none" w:sz="0" w:space="0" w:color="auto"/>
                  </w:divBdr>
                  <w:divsChild>
                    <w:div w:id="2016378614">
                      <w:marLeft w:val="0"/>
                      <w:marRight w:val="0"/>
                      <w:marTop w:val="0"/>
                      <w:marBottom w:val="0"/>
                      <w:divBdr>
                        <w:top w:val="none" w:sz="0" w:space="0" w:color="auto"/>
                        <w:left w:val="none" w:sz="0" w:space="0" w:color="auto"/>
                        <w:bottom w:val="none" w:sz="0" w:space="0" w:color="auto"/>
                        <w:right w:val="none" w:sz="0" w:space="0" w:color="auto"/>
                      </w:divBdr>
                    </w:div>
                  </w:divsChild>
                </w:div>
                <w:div w:id="1558977549">
                  <w:marLeft w:val="0"/>
                  <w:marRight w:val="0"/>
                  <w:marTop w:val="0"/>
                  <w:marBottom w:val="0"/>
                  <w:divBdr>
                    <w:top w:val="none" w:sz="0" w:space="0" w:color="auto"/>
                    <w:left w:val="none" w:sz="0" w:space="0" w:color="auto"/>
                    <w:bottom w:val="none" w:sz="0" w:space="0" w:color="auto"/>
                    <w:right w:val="none" w:sz="0" w:space="0" w:color="auto"/>
                  </w:divBdr>
                  <w:divsChild>
                    <w:div w:id="833880443">
                      <w:marLeft w:val="0"/>
                      <w:marRight w:val="0"/>
                      <w:marTop w:val="0"/>
                      <w:marBottom w:val="0"/>
                      <w:divBdr>
                        <w:top w:val="none" w:sz="0" w:space="0" w:color="auto"/>
                        <w:left w:val="none" w:sz="0" w:space="0" w:color="auto"/>
                        <w:bottom w:val="none" w:sz="0" w:space="0" w:color="auto"/>
                        <w:right w:val="none" w:sz="0" w:space="0" w:color="auto"/>
                      </w:divBdr>
                    </w:div>
                  </w:divsChild>
                </w:div>
                <w:div w:id="1659647502">
                  <w:marLeft w:val="0"/>
                  <w:marRight w:val="0"/>
                  <w:marTop w:val="0"/>
                  <w:marBottom w:val="0"/>
                  <w:divBdr>
                    <w:top w:val="none" w:sz="0" w:space="0" w:color="auto"/>
                    <w:left w:val="none" w:sz="0" w:space="0" w:color="auto"/>
                    <w:bottom w:val="none" w:sz="0" w:space="0" w:color="auto"/>
                    <w:right w:val="none" w:sz="0" w:space="0" w:color="auto"/>
                  </w:divBdr>
                  <w:divsChild>
                    <w:div w:id="464082722">
                      <w:marLeft w:val="0"/>
                      <w:marRight w:val="0"/>
                      <w:marTop w:val="0"/>
                      <w:marBottom w:val="0"/>
                      <w:divBdr>
                        <w:top w:val="none" w:sz="0" w:space="0" w:color="auto"/>
                        <w:left w:val="none" w:sz="0" w:space="0" w:color="auto"/>
                        <w:bottom w:val="none" w:sz="0" w:space="0" w:color="auto"/>
                        <w:right w:val="none" w:sz="0" w:space="0" w:color="auto"/>
                      </w:divBdr>
                    </w:div>
                  </w:divsChild>
                </w:div>
                <w:div w:id="1659772594">
                  <w:marLeft w:val="0"/>
                  <w:marRight w:val="0"/>
                  <w:marTop w:val="0"/>
                  <w:marBottom w:val="0"/>
                  <w:divBdr>
                    <w:top w:val="none" w:sz="0" w:space="0" w:color="auto"/>
                    <w:left w:val="none" w:sz="0" w:space="0" w:color="auto"/>
                    <w:bottom w:val="none" w:sz="0" w:space="0" w:color="auto"/>
                    <w:right w:val="none" w:sz="0" w:space="0" w:color="auto"/>
                  </w:divBdr>
                  <w:divsChild>
                    <w:div w:id="453141423">
                      <w:marLeft w:val="0"/>
                      <w:marRight w:val="0"/>
                      <w:marTop w:val="0"/>
                      <w:marBottom w:val="0"/>
                      <w:divBdr>
                        <w:top w:val="none" w:sz="0" w:space="0" w:color="auto"/>
                        <w:left w:val="none" w:sz="0" w:space="0" w:color="auto"/>
                        <w:bottom w:val="none" w:sz="0" w:space="0" w:color="auto"/>
                        <w:right w:val="none" w:sz="0" w:space="0" w:color="auto"/>
                      </w:divBdr>
                    </w:div>
                    <w:div w:id="1830823456">
                      <w:marLeft w:val="0"/>
                      <w:marRight w:val="0"/>
                      <w:marTop w:val="0"/>
                      <w:marBottom w:val="0"/>
                      <w:divBdr>
                        <w:top w:val="none" w:sz="0" w:space="0" w:color="auto"/>
                        <w:left w:val="none" w:sz="0" w:space="0" w:color="auto"/>
                        <w:bottom w:val="none" w:sz="0" w:space="0" w:color="auto"/>
                        <w:right w:val="none" w:sz="0" w:space="0" w:color="auto"/>
                      </w:divBdr>
                    </w:div>
                  </w:divsChild>
                </w:div>
                <w:div w:id="1688749162">
                  <w:marLeft w:val="0"/>
                  <w:marRight w:val="0"/>
                  <w:marTop w:val="0"/>
                  <w:marBottom w:val="0"/>
                  <w:divBdr>
                    <w:top w:val="none" w:sz="0" w:space="0" w:color="auto"/>
                    <w:left w:val="none" w:sz="0" w:space="0" w:color="auto"/>
                    <w:bottom w:val="none" w:sz="0" w:space="0" w:color="auto"/>
                    <w:right w:val="none" w:sz="0" w:space="0" w:color="auto"/>
                  </w:divBdr>
                  <w:divsChild>
                    <w:div w:id="1304430245">
                      <w:marLeft w:val="0"/>
                      <w:marRight w:val="0"/>
                      <w:marTop w:val="0"/>
                      <w:marBottom w:val="0"/>
                      <w:divBdr>
                        <w:top w:val="none" w:sz="0" w:space="0" w:color="auto"/>
                        <w:left w:val="none" w:sz="0" w:space="0" w:color="auto"/>
                        <w:bottom w:val="none" w:sz="0" w:space="0" w:color="auto"/>
                        <w:right w:val="none" w:sz="0" w:space="0" w:color="auto"/>
                      </w:divBdr>
                    </w:div>
                  </w:divsChild>
                </w:div>
                <w:div w:id="2133862612">
                  <w:marLeft w:val="0"/>
                  <w:marRight w:val="0"/>
                  <w:marTop w:val="0"/>
                  <w:marBottom w:val="0"/>
                  <w:divBdr>
                    <w:top w:val="none" w:sz="0" w:space="0" w:color="auto"/>
                    <w:left w:val="none" w:sz="0" w:space="0" w:color="auto"/>
                    <w:bottom w:val="none" w:sz="0" w:space="0" w:color="auto"/>
                    <w:right w:val="none" w:sz="0" w:space="0" w:color="auto"/>
                  </w:divBdr>
                  <w:divsChild>
                    <w:div w:id="23412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09876">
          <w:marLeft w:val="0"/>
          <w:marRight w:val="0"/>
          <w:marTop w:val="0"/>
          <w:marBottom w:val="0"/>
          <w:divBdr>
            <w:top w:val="none" w:sz="0" w:space="0" w:color="auto"/>
            <w:left w:val="none" w:sz="0" w:space="0" w:color="auto"/>
            <w:bottom w:val="none" w:sz="0" w:space="0" w:color="auto"/>
            <w:right w:val="none" w:sz="0" w:space="0" w:color="auto"/>
          </w:divBdr>
          <w:divsChild>
            <w:div w:id="623778836">
              <w:marLeft w:val="0"/>
              <w:marRight w:val="0"/>
              <w:marTop w:val="0"/>
              <w:marBottom w:val="0"/>
              <w:divBdr>
                <w:top w:val="none" w:sz="0" w:space="0" w:color="auto"/>
                <w:left w:val="none" w:sz="0" w:space="0" w:color="auto"/>
                <w:bottom w:val="none" w:sz="0" w:space="0" w:color="auto"/>
                <w:right w:val="none" w:sz="0" w:space="0" w:color="auto"/>
              </w:divBdr>
            </w:div>
            <w:div w:id="1158569602">
              <w:marLeft w:val="0"/>
              <w:marRight w:val="0"/>
              <w:marTop w:val="0"/>
              <w:marBottom w:val="0"/>
              <w:divBdr>
                <w:top w:val="none" w:sz="0" w:space="0" w:color="auto"/>
                <w:left w:val="none" w:sz="0" w:space="0" w:color="auto"/>
                <w:bottom w:val="none" w:sz="0" w:space="0" w:color="auto"/>
                <w:right w:val="none" w:sz="0" w:space="0" w:color="auto"/>
              </w:divBdr>
            </w:div>
            <w:div w:id="1727753532">
              <w:marLeft w:val="0"/>
              <w:marRight w:val="0"/>
              <w:marTop w:val="0"/>
              <w:marBottom w:val="0"/>
              <w:divBdr>
                <w:top w:val="none" w:sz="0" w:space="0" w:color="auto"/>
                <w:left w:val="none" w:sz="0" w:space="0" w:color="auto"/>
                <w:bottom w:val="none" w:sz="0" w:space="0" w:color="auto"/>
                <w:right w:val="none" w:sz="0" w:space="0" w:color="auto"/>
              </w:divBdr>
            </w:div>
          </w:divsChild>
        </w:div>
        <w:div w:id="1438716142">
          <w:marLeft w:val="0"/>
          <w:marRight w:val="0"/>
          <w:marTop w:val="0"/>
          <w:marBottom w:val="0"/>
          <w:divBdr>
            <w:top w:val="none" w:sz="0" w:space="0" w:color="auto"/>
            <w:left w:val="none" w:sz="0" w:space="0" w:color="auto"/>
            <w:bottom w:val="none" w:sz="0" w:space="0" w:color="auto"/>
            <w:right w:val="none" w:sz="0" w:space="0" w:color="auto"/>
          </w:divBdr>
          <w:divsChild>
            <w:div w:id="4943172">
              <w:marLeft w:val="0"/>
              <w:marRight w:val="0"/>
              <w:marTop w:val="0"/>
              <w:marBottom w:val="0"/>
              <w:divBdr>
                <w:top w:val="none" w:sz="0" w:space="0" w:color="auto"/>
                <w:left w:val="none" w:sz="0" w:space="0" w:color="auto"/>
                <w:bottom w:val="none" w:sz="0" w:space="0" w:color="auto"/>
                <w:right w:val="none" w:sz="0" w:space="0" w:color="auto"/>
              </w:divBdr>
            </w:div>
            <w:div w:id="344021521">
              <w:marLeft w:val="0"/>
              <w:marRight w:val="0"/>
              <w:marTop w:val="0"/>
              <w:marBottom w:val="0"/>
              <w:divBdr>
                <w:top w:val="none" w:sz="0" w:space="0" w:color="auto"/>
                <w:left w:val="none" w:sz="0" w:space="0" w:color="auto"/>
                <w:bottom w:val="none" w:sz="0" w:space="0" w:color="auto"/>
                <w:right w:val="none" w:sz="0" w:space="0" w:color="auto"/>
              </w:divBdr>
            </w:div>
            <w:div w:id="612520974">
              <w:marLeft w:val="0"/>
              <w:marRight w:val="0"/>
              <w:marTop w:val="0"/>
              <w:marBottom w:val="0"/>
              <w:divBdr>
                <w:top w:val="none" w:sz="0" w:space="0" w:color="auto"/>
                <w:left w:val="none" w:sz="0" w:space="0" w:color="auto"/>
                <w:bottom w:val="none" w:sz="0" w:space="0" w:color="auto"/>
                <w:right w:val="none" w:sz="0" w:space="0" w:color="auto"/>
              </w:divBdr>
            </w:div>
            <w:div w:id="656081730">
              <w:marLeft w:val="0"/>
              <w:marRight w:val="0"/>
              <w:marTop w:val="0"/>
              <w:marBottom w:val="0"/>
              <w:divBdr>
                <w:top w:val="none" w:sz="0" w:space="0" w:color="auto"/>
                <w:left w:val="none" w:sz="0" w:space="0" w:color="auto"/>
                <w:bottom w:val="none" w:sz="0" w:space="0" w:color="auto"/>
                <w:right w:val="none" w:sz="0" w:space="0" w:color="auto"/>
              </w:divBdr>
            </w:div>
            <w:div w:id="1052771201">
              <w:marLeft w:val="0"/>
              <w:marRight w:val="0"/>
              <w:marTop w:val="0"/>
              <w:marBottom w:val="0"/>
              <w:divBdr>
                <w:top w:val="none" w:sz="0" w:space="0" w:color="auto"/>
                <w:left w:val="none" w:sz="0" w:space="0" w:color="auto"/>
                <w:bottom w:val="none" w:sz="0" w:space="0" w:color="auto"/>
                <w:right w:val="none" w:sz="0" w:space="0" w:color="auto"/>
              </w:divBdr>
            </w:div>
            <w:div w:id="1679889259">
              <w:marLeft w:val="0"/>
              <w:marRight w:val="0"/>
              <w:marTop w:val="0"/>
              <w:marBottom w:val="0"/>
              <w:divBdr>
                <w:top w:val="none" w:sz="0" w:space="0" w:color="auto"/>
                <w:left w:val="none" w:sz="0" w:space="0" w:color="auto"/>
                <w:bottom w:val="none" w:sz="0" w:space="0" w:color="auto"/>
                <w:right w:val="none" w:sz="0" w:space="0" w:color="auto"/>
              </w:divBdr>
            </w:div>
            <w:div w:id="1728454258">
              <w:marLeft w:val="0"/>
              <w:marRight w:val="0"/>
              <w:marTop w:val="0"/>
              <w:marBottom w:val="0"/>
              <w:divBdr>
                <w:top w:val="none" w:sz="0" w:space="0" w:color="auto"/>
                <w:left w:val="none" w:sz="0" w:space="0" w:color="auto"/>
                <w:bottom w:val="none" w:sz="0" w:space="0" w:color="auto"/>
                <w:right w:val="none" w:sz="0" w:space="0" w:color="auto"/>
              </w:divBdr>
            </w:div>
            <w:div w:id="1798835826">
              <w:marLeft w:val="0"/>
              <w:marRight w:val="0"/>
              <w:marTop w:val="0"/>
              <w:marBottom w:val="0"/>
              <w:divBdr>
                <w:top w:val="none" w:sz="0" w:space="0" w:color="auto"/>
                <w:left w:val="none" w:sz="0" w:space="0" w:color="auto"/>
                <w:bottom w:val="none" w:sz="0" w:space="0" w:color="auto"/>
                <w:right w:val="none" w:sz="0" w:space="0" w:color="auto"/>
              </w:divBdr>
            </w:div>
            <w:div w:id="2058358184">
              <w:marLeft w:val="0"/>
              <w:marRight w:val="0"/>
              <w:marTop w:val="0"/>
              <w:marBottom w:val="0"/>
              <w:divBdr>
                <w:top w:val="none" w:sz="0" w:space="0" w:color="auto"/>
                <w:left w:val="none" w:sz="0" w:space="0" w:color="auto"/>
                <w:bottom w:val="none" w:sz="0" w:space="0" w:color="auto"/>
                <w:right w:val="none" w:sz="0" w:space="0" w:color="auto"/>
              </w:divBdr>
            </w:div>
            <w:div w:id="2124958965">
              <w:marLeft w:val="0"/>
              <w:marRight w:val="0"/>
              <w:marTop w:val="0"/>
              <w:marBottom w:val="0"/>
              <w:divBdr>
                <w:top w:val="none" w:sz="0" w:space="0" w:color="auto"/>
                <w:left w:val="none" w:sz="0" w:space="0" w:color="auto"/>
                <w:bottom w:val="none" w:sz="0" w:space="0" w:color="auto"/>
                <w:right w:val="none" w:sz="0" w:space="0" w:color="auto"/>
              </w:divBdr>
            </w:div>
          </w:divsChild>
        </w:div>
        <w:div w:id="1549688489">
          <w:marLeft w:val="0"/>
          <w:marRight w:val="0"/>
          <w:marTop w:val="0"/>
          <w:marBottom w:val="0"/>
          <w:divBdr>
            <w:top w:val="none" w:sz="0" w:space="0" w:color="auto"/>
            <w:left w:val="none" w:sz="0" w:space="0" w:color="auto"/>
            <w:bottom w:val="none" w:sz="0" w:space="0" w:color="auto"/>
            <w:right w:val="none" w:sz="0" w:space="0" w:color="auto"/>
          </w:divBdr>
          <w:divsChild>
            <w:div w:id="768083067">
              <w:marLeft w:val="-75"/>
              <w:marRight w:val="0"/>
              <w:marTop w:val="30"/>
              <w:marBottom w:val="30"/>
              <w:divBdr>
                <w:top w:val="none" w:sz="0" w:space="0" w:color="auto"/>
                <w:left w:val="none" w:sz="0" w:space="0" w:color="auto"/>
                <w:bottom w:val="none" w:sz="0" w:space="0" w:color="auto"/>
                <w:right w:val="none" w:sz="0" w:space="0" w:color="auto"/>
              </w:divBdr>
              <w:divsChild>
                <w:div w:id="44719469">
                  <w:marLeft w:val="0"/>
                  <w:marRight w:val="0"/>
                  <w:marTop w:val="0"/>
                  <w:marBottom w:val="0"/>
                  <w:divBdr>
                    <w:top w:val="none" w:sz="0" w:space="0" w:color="auto"/>
                    <w:left w:val="none" w:sz="0" w:space="0" w:color="auto"/>
                    <w:bottom w:val="none" w:sz="0" w:space="0" w:color="auto"/>
                    <w:right w:val="none" w:sz="0" w:space="0" w:color="auto"/>
                  </w:divBdr>
                  <w:divsChild>
                    <w:div w:id="1910071680">
                      <w:marLeft w:val="0"/>
                      <w:marRight w:val="0"/>
                      <w:marTop w:val="0"/>
                      <w:marBottom w:val="0"/>
                      <w:divBdr>
                        <w:top w:val="none" w:sz="0" w:space="0" w:color="auto"/>
                        <w:left w:val="none" w:sz="0" w:space="0" w:color="auto"/>
                        <w:bottom w:val="none" w:sz="0" w:space="0" w:color="auto"/>
                        <w:right w:val="none" w:sz="0" w:space="0" w:color="auto"/>
                      </w:divBdr>
                    </w:div>
                  </w:divsChild>
                </w:div>
                <w:div w:id="142744139">
                  <w:marLeft w:val="0"/>
                  <w:marRight w:val="0"/>
                  <w:marTop w:val="0"/>
                  <w:marBottom w:val="0"/>
                  <w:divBdr>
                    <w:top w:val="none" w:sz="0" w:space="0" w:color="auto"/>
                    <w:left w:val="none" w:sz="0" w:space="0" w:color="auto"/>
                    <w:bottom w:val="none" w:sz="0" w:space="0" w:color="auto"/>
                    <w:right w:val="none" w:sz="0" w:space="0" w:color="auto"/>
                  </w:divBdr>
                  <w:divsChild>
                    <w:div w:id="289747963">
                      <w:marLeft w:val="0"/>
                      <w:marRight w:val="0"/>
                      <w:marTop w:val="0"/>
                      <w:marBottom w:val="0"/>
                      <w:divBdr>
                        <w:top w:val="none" w:sz="0" w:space="0" w:color="auto"/>
                        <w:left w:val="none" w:sz="0" w:space="0" w:color="auto"/>
                        <w:bottom w:val="none" w:sz="0" w:space="0" w:color="auto"/>
                        <w:right w:val="none" w:sz="0" w:space="0" w:color="auto"/>
                      </w:divBdr>
                    </w:div>
                    <w:div w:id="1180314667">
                      <w:marLeft w:val="0"/>
                      <w:marRight w:val="0"/>
                      <w:marTop w:val="0"/>
                      <w:marBottom w:val="0"/>
                      <w:divBdr>
                        <w:top w:val="none" w:sz="0" w:space="0" w:color="auto"/>
                        <w:left w:val="none" w:sz="0" w:space="0" w:color="auto"/>
                        <w:bottom w:val="none" w:sz="0" w:space="0" w:color="auto"/>
                        <w:right w:val="none" w:sz="0" w:space="0" w:color="auto"/>
                      </w:divBdr>
                    </w:div>
                  </w:divsChild>
                </w:div>
                <w:div w:id="204489511">
                  <w:marLeft w:val="0"/>
                  <w:marRight w:val="0"/>
                  <w:marTop w:val="0"/>
                  <w:marBottom w:val="0"/>
                  <w:divBdr>
                    <w:top w:val="none" w:sz="0" w:space="0" w:color="auto"/>
                    <w:left w:val="none" w:sz="0" w:space="0" w:color="auto"/>
                    <w:bottom w:val="none" w:sz="0" w:space="0" w:color="auto"/>
                    <w:right w:val="none" w:sz="0" w:space="0" w:color="auto"/>
                  </w:divBdr>
                  <w:divsChild>
                    <w:div w:id="270742091">
                      <w:marLeft w:val="0"/>
                      <w:marRight w:val="0"/>
                      <w:marTop w:val="0"/>
                      <w:marBottom w:val="0"/>
                      <w:divBdr>
                        <w:top w:val="none" w:sz="0" w:space="0" w:color="auto"/>
                        <w:left w:val="none" w:sz="0" w:space="0" w:color="auto"/>
                        <w:bottom w:val="none" w:sz="0" w:space="0" w:color="auto"/>
                        <w:right w:val="none" w:sz="0" w:space="0" w:color="auto"/>
                      </w:divBdr>
                    </w:div>
                  </w:divsChild>
                </w:div>
                <w:div w:id="214699326">
                  <w:marLeft w:val="0"/>
                  <w:marRight w:val="0"/>
                  <w:marTop w:val="0"/>
                  <w:marBottom w:val="0"/>
                  <w:divBdr>
                    <w:top w:val="none" w:sz="0" w:space="0" w:color="auto"/>
                    <w:left w:val="none" w:sz="0" w:space="0" w:color="auto"/>
                    <w:bottom w:val="none" w:sz="0" w:space="0" w:color="auto"/>
                    <w:right w:val="none" w:sz="0" w:space="0" w:color="auto"/>
                  </w:divBdr>
                  <w:divsChild>
                    <w:div w:id="1887986402">
                      <w:marLeft w:val="0"/>
                      <w:marRight w:val="0"/>
                      <w:marTop w:val="0"/>
                      <w:marBottom w:val="0"/>
                      <w:divBdr>
                        <w:top w:val="none" w:sz="0" w:space="0" w:color="auto"/>
                        <w:left w:val="none" w:sz="0" w:space="0" w:color="auto"/>
                        <w:bottom w:val="none" w:sz="0" w:space="0" w:color="auto"/>
                        <w:right w:val="none" w:sz="0" w:space="0" w:color="auto"/>
                      </w:divBdr>
                    </w:div>
                  </w:divsChild>
                </w:div>
                <w:div w:id="238372162">
                  <w:marLeft w:val="0"/>
                  <w:marRight w:val="0"/>
                  <w:marTop w:val="0"/>
                  <w:marBottom w:val="0"/>
                  <w:divBdr>
                    <w:top w:val="none" w:sz="0" w:space="0" w:color="auto"/>
                    <w:left w:val="none" w:sz="0" w:space="0" w:color="auto"/>
                    <w:bottom w:val="none" w:sz="0" w:space="0" w:color="auto"/>
                    <w:right w:val="none" w:sz="0" w:space="0" w:color="auto"/>
                  </w:divBdr>
                  <w:divsChild>
                    <w:div w:id="475293934">
                      <w:marLeft w:val="0"/>
                      <w:marRight w:val="0"/>
                      <w:marTop w:val="0"/>
                      <w:marBottom w:val="0"/>
                      <w:divBdr>
                        <w:top w:val="none" w:sz="0" w:space="0" w:color="auto"/>
                        <w:left w:val="none" w:sz="0" w:space="0" w:color="auto"/>
                        <w:bottom w:val="none" w:sz="0" w:space="0" w:color="auto"/>
                        <w:right w:val="none" w:sz="0" w:space="0" w:color="auto"/>
                      </w:divBdr>
                    </w:div>
                  </w:divsChild>
                </w:div>
                <w:div w:id="240263441">
                  <w:marLeft w:val="0"/>
                  <w:marRight w:val="0"/>
                  <w:marTop w:val="0"/>
                  <w:marBottom w:val="0"/>
                  <w:divBdr>
                    <w:top w:val="none" w:sz="0" w:space="0" w:color="auto"/>
                    <w:left w:val="none" w:sz="0" w:space="0" w:color="auto"/>
                    <w:bottom w:val="none" w:sz="0" w:space="0" w:color="auto"/>
                    <w:right w:val="none" w:sz="0" w:space="0" w:color="auto"/>
                  </w:divBdr>
                  <w:divsChild>
                    <w:div w:id="842935179">
                      <w:marLeft w:val="0"/>
                      <w:marRight w:val="0"/>
                      <w:marTop w:val="0"/>
                      <w:marBottom w:val="0"/>
                      <w:divBdr>
                        <w:top w:val="none" w:sz="0" w:space="0" w:color="auto"/>
                        <w:left w:val="none" w:sz="0" w:space="0" w:color="auto"/>
                        <w:bottom w:val="none" w:sz="0" w:space="0" w:color="auto"/>
                        <w:right w:val="none" w:sz="0" w:space="0" w:color="auto"/>
                      </w:divBdr>
                    </w:div>
                  </w:divsChild>
                </w:div>
                <w:div w:id="248782161">
                  <w:marLeft w:val="0"/>
                  <w:marRight w:val="0"/>
                  <w:marTop w:val="0"/>
                  <w:marBottom w:val="0"/>
                  <w:divBdr>
                    <w:top w:val="none" w:sz="0" w:space="0" w:color="auto"/>
                    <w:left w:val="none" w:sz="0" w:space="0" w:color="auto"/>
                    <w:bottom w:val="none" w:sz="0" w:space="0" w:color="auto"/>
                    <w:right w:val="none" w:sz="0" w:space="0" w:color="auto"/>
                  </w:divBdr>
                  <w:divsChild>
                    <w:div w:id="1493065375">
                      <w:marLeft w:val="0"/>
                      <w:marRight w:val="0"/>
                      <w:marTop w:val="0"/>
                      <w:marBottom w:val="0"/>
                      <w:divBdr>
                        <w:top w:val="none" w:sz="0" w:space="0" w:color="auto"/>
                        <w:left w:val="none" w:sz="0" w:space="0" w:color="auto"/>
                        <w:bottom w:val="none" w:sz="0" w:space="0" w:color="auto"/>
                        <w:right w:val="none" w:sz="0" w:space="0" w:color="auto"/>
                      </w:divBdr>
                    </w:div>
                  </w:divsChild>
                </w:div>
                <w:div w:id="253711578">
                  <w:marLeft w:val="0"/>
                  <w:marRight w:val="0"/>
                  <w:marTop w:val="0"/>
                  <w:marBottom w:val="0"/>
                  <w:divBdr>
                    <w:top w:val="none" w:sz="0" w:space="0" w:color="auto"/>
                    <w:left w:val="none" w:sz="0" w:space="0" w:color="auto"/>
                    <w:bottom w:val="none" w:sz="0" w:space="0" w:color="auto"/>
                    <w:right w:val="none" w:sz="0" w:space="0" w:color="auto"/>
                  </w:divBdr>
                  <w:divsChild>
                    <w:div w:id="1436318916">
                      <w:marLeft w:val="0"/>
                      <w:marRight w:val="0"/>
                      <w:marTop w:val="0"/>
                      <w:marBottom w:val="0"/>
                      <w:divBdr>
                        <w:top w:val="none" w:sz="0" w:space="0" w:color="auto"/>
                        <w:left w:val="none" w:sz="0" w:space="0" w:color="auto"/>
                        <w:bottom w:val="none" w:sz="0" w:space="0" w:color="auto"/>
                        <w:right w:val="none" w:sz="0" w:space="0" w:color="auto"/>
                      </w:divBdr>
                    </w:div>
                  </w:divsChild>
                </w:div>
                <w:div w:id="259722358">
                  <w:marLeft w:val="0"/>
                  <w:marRight w:val="0"/>
                  <w:marTop w:val="0"/>
                  <w:marBottom w:val="0"/>
                  <w:divBdr>
                    <w:top w:val="none" w:sz="0" w:space="0" w:color="auto"/>
                    <w:left w:val="none" w:sz="0" w:space="0" w:color="auto"/>
                    <w:bottom w:val="none" w:sz="0" w:space="0" w:color="auto"/>
                    <w:right w:val="none" w:sz="0" w:space="0" w:color="auto"/>
                  </w:divBdr>
                  <w:divsChild>
                    <w:div w:id="1401556079">
                      <w:marLeft w:val="0"/>
                      <w:marRight w:val="0"/>
                      <w:marTop w:val="0"/>
                      <w:marBottom w:val="0"/>
                      <w:divBdr>
                        <w:top w:val="none" w:sz="0" w:space="0" w:color="auto"/>
                        <w:left w:val="none" w:sz="0" w:space="0" w:color="auto"/>
                        <w:bottom w:val="none" w:sz="0" w:space="0" w:color="auto"/>
                        <w:right w:val="none" w:sz="0" w:space="0" w:color="auto"/>
                      </w:divBdr>
                    </w:div>
                  </w:divsChild>
                </w:div>
                <w:div w:id="315495582">
                  <w:marLeft w:val="0"/>
                  <w:marRight w:val="0"/>
                  <w:marTop w:val="0"/>
                  <w:marBottom w:val="0"/>
                  <w:divBdr>
                    <w:top w:val="none" w:sz="0" w:space="0" w:color="auto"/>
                    <w:left w:val="none" w:sz="0" w:space="0" w:color="auto"/>
                    <w:bottom w:val="none" w:sz="0" w:space="0" w:color="auto"/>
                    <w:right w:val="none" w:sz="0" w:space="0" w:color="auto"/>
                  </w:divBdr>
                  <w:divsChild>
                    <w:div w:id="138349209">
                      <w:marLeft w:val="0"/>
                      <w:marRight w:val="0"/>
                      <w:marTop w:val="0"/>
                      <w:marBottom w:val="0"/>
                      <w:divBdr>
                        <w:top w:val="none" w:sz="0" w:space="0" w:color="auto"/>
                        <w:left w:val="none" w:sz="0" w:space="0" w:color="auto"/>
                        <w:bottom w:val="none" w:sz="0" w:space="0" w:color="auto"/>
                        <w:right w:val="none" w:sz="0" w:space="0" w:color="auto"/>
                      </w:divBdr>
                    </w:div>
                  </w:divsChild>
                </w:div>
                <w:div w:id="356778516">
                  <w:marLeft w:val="0"/>
                  <w:marRight w:val="0"/>
                  <w:marTop w:val="0"/>
                  <w:marBottom w:val="0"/>
                  <w:divBdr>
                    <w:top w:val="none" w:sz="0" w:space="0" w:color="auto"/>
                    <w:left w:val="none" w:sz="0" w:space="0" w:color="auto"/>
                    <w:bottom w:val="none" w:sz="0" w:space="0" w:color="auto"/>
                    <w:right w:val="none" w:sz="0" w:space="0" w:color="auto"/>
                  </w:divBdr>
                  <w:divsChild>
                    <w:div w:id="68163870">
                      <w:marLeft w:val="0"/>
                      <w:marRight w:val="0"/>
                      <w:marTop w:val="0"/>
                      <w:marBottom w:val="0"/>
                      <w:divBdr>
                        <w:top w:val="none" w:sz="0" w:space="0" w:color="auto"/>
                        <w:left w:val="none" w:sz="0" w:space="0" w:color="auto"/>
                        <w:bottom w:val="none" w:sz="0" w:space="0" w:color="auto"/>
                        <w:right w:val="none" w:sz="0" w:space="0" w:color="auto"/>
                      </w:divBdr>
                    </w:div>
                  </w:divsChild>
                </w:div>
                <w:div w:id="427819918">
                  <w:marLeft w:val="0"/>
                  <w:marRight w:val="0"/>
                  <w:marTop w:val="0"/>
                  <w:marBottom w:val="0"/>
                  <w:divBdr>
                    <w:top w:val="none" w:sz="0" w:space="0" w:color="auto"/>
                    <w:left w:val="none" w:sz="0" w:space="0" w:color="auto"/>
                    <w:bottom w:val="none" w:sz="0" w:space="0" w:color="auto"/>
                    <w:right w:val="none" w:sz="0" w:space="0" w:color="auto"/>
                  </w:divBdr>
                  <w:divsChild>
                    <w:div w:id="1760977787">
                      <w:marLeft w:val="0"/>
                      <w:marRight w:val="0"/>
                      <w:marTop w:val="0"/>
                      <w:marBottom w:val="0"/>
                      <w:divBdr>
                        <w:top w:val="none" w:sz="0" w:space="0" w:color="auto"/>
                        <w:left w:val="none" w:sz="0" w:space="0" w:color="auto"/>
                        <w:bottom w:val="none" w:sz="0" w:space="0" w:color="auto"/>
                        <w:right w:val="none" w:sz="0" w:space="0" w:color="auto"/>
                      </w:divBdr>
                    </w:div>
                  </w:divsChild>
                </w:div>
                <w:div w:id="439303924">
                  <w:marLeft w:val="0"/>
                  <w:marRight w:val="0"/>
                  <w:marTop w:val="0"/>
                  <w:marBottom w:val="0"/>
                  <w:divBdr>
                    <w:top w:val="none" w:sz="0" w:space="0" w:color="auto"/>
                    <w:left w:val="none" w:sz="0" w:space="0" w:color="auto"/>
                    <w:bottom w:val="none" w:sz="0" w:space="0" w:color="auto"/>
                    <w:right w:val="none" w:sz="0" w:space="0" w:color="auto"/>
                  </w:divBdr>
                  <w:divsChild>
                    <w:div w:id="1120030416">
                      <w:marLeft w:val="0"/>
                      <w:marRight w:val="0"/>
                      <w:marTop w:val="0"/>
                      <w:marBottom w:val="0"/>
                      <w:divBdr>
                        <w:top w:val="none" w:sz="0" w:space="0" w:color="auto"/>
                        <w:left w:val="none" w:sz="0" w:space="0" w:color="auto"/>
                        <w:bottom w:val="none" w:sz="0" w:space="0" w:color="auto"/>
                        <w:right w:val="none" w:sz="0" w:space="0" w:color="auto"/>
                      </w:divBdr>
                    </w:div>
                  </w:divsChild>
                </w:div>
                <w:div w:id="507058262">
                  <w:marLeft w:val="0"/>
                  <w:marRight w:val="0"/>
                  <w:marTop w:val="0"/>
                  <w:marBottom w:val="0"/>
                  <w:divBdr>
                    <w:top w:val="none" w:sz="0" w:space="0" w:color="auto"/>
                    <w:left w:val="none" w:sz="0" w:space="0" w:color="auto"/>
                    <w:bottom w:val="none" w:sz="0" w:space="0" w:color="auto"/>
                    <w:right w:val="none" w:sz="0" w:space="0" w:color="auto"/>
                  </w:divBdr>
                  <w:divsChild>
                    <w:div w:id="1047678562">
                      <w:marLeft w:val="0"/>
                      <w:marRight w:val="0"/>
                      <w:marTop w:val="0"/>
                      <w:marBottom w:val="0"/>
                      <w:divBdr>
                        <w:top w:val="none" w:sz="0" w:space="0" w:color="auto"/>
                        <w:left w:val="none" w:sz="0" w:space="0" w:color="auto"/>
                        <w:bottom w:val="none" w:sz="0" w:space="0" w:color="auto"/>
                        <w:right w:val="none" w:sz="0" w:space="0" w:color="auto"/>
                      </w:divBdr>
                    </w:div>
                  </w:divsChild>
                </w:div>
                <w:div w:id="629408642">
                  <w:marLeft w:val="0"/>
                  <w:marRight w:val="0"/>
                  <w:marTop w:val="0"/>
                  <w:marBottom w:val="0"/>
                  <w:divBdr>
                    <w:top w:val="none" w:sz="0" w:space="0" w:color="auto"/>
                    <w:left w:val="none" w:sz="0" w:space="0" w:color="auto"/>
                    <w:bottom w:val="none" w:sz="0" w:space="0" w:color="auto"/>
                    <w:right w:val="none" w:sz="0" w:space="0" w:color="auto"/>
                  </w:divBdr>
                  <w:divsChild>
                    <w:div w:id="1539511011">
                      <w:marLeft w:val="0"/>
                      <w:marRight w:val="0"/>
                      <w:marTop w:val="0"/>
                      <w:marBottom w:val="0"/>
                      <w:divBdr>
                        <w:top w:val="none" w:sz="0" w:space="0" w:color="auto"/>
                        <w:left w:val="none" w:sz="0" w:space="0" w:color="auto"/>
                        <w:bottom w:val="none" w:sz="0" w:space="0" w:color="auto"/>
                        <w:right w:val="none" w:sz="0" w:space="0" w:color="auto"/>
                      </w:divBdr>
                    </w:div>
                  </w:divsChild>
                </w:div>
                <w:div w:id="900017561">
                  <w:marLeft w:val="0"/>
                  <w:marRight w:val="0"/>
                  <w:marTop w:val="0"/>
                  <w:marBottom w:val="0"/>
                  <w:divBdr>
                    <w:top w:val="none" w:sz="0" w:space="0" w:color="auto"/>
                    <w:left w:val="none" w:sz="0" w:space="0" w:color="auto"/>
                    <w:bottom w:val="none" w:sz="0" w:space="0" w:color="auto"/>
                    <w:right w:val="none" w:sz="0" w:space="0" w:color="auto"/>
                  </w:divBdr>
                  <w:divsChild>
                    <w:div w:id="1472678041">
                      <w:marLeft w:val="0"/>
                      <w:marRight w:val="0"/>
                      <w:marTop w:val="0"/>
                      <w:marBottom w:val="0"/>
                      <w:divBdr>
                        <w:top w:val="none" w:sz="0" w:space="0" w:color="auto"/>
                        <w:left w:val="none" w:sz="0" w:space="0" w:color="auto"/>
                        <w:bottom w:val="none" w:sz="0" w:space="0" w:color="auto"/>
                        <w:right w:val="none" w:sz="0" w:space="0" w:color="auto"/>
                      </w:divBdr>
                    </w:div>
                  </w:divsChild>
                </w:div>
                <w:div w:id="945700874">
                  <w:marLeft w:val="0"/>
                  <w:marRight w:val="0"/>
                  <w:marTop w:val="0"/>
                  <w:marBottom w:val="0"/>
                  <w:divBdr>
                    <w:top w:val="none" w:sz="0" w:space="0" w:color="auto"/>
                    <w:left w:val="none" w:sz="0" w:space="0" w:color="auto"/>
                    <w:bottom w:val="none" w:sz="0" w:space="0" w:color="auto"/>
                    <w:right w:val="none" w:sz="0" w:space="0" w:color="auto"/>
                  </w:divBdr>
                  <w:divsChild>
                    <w:div w:id="671684364">
                      <w:marLeft w:val="0"/>
                      <w:marRight w:val="0"/>
                      <w:marTop w:val="0"/>
                      <w:marBottom w:val="0"/>
                      <w:divBdr>
                        <w:top w:val="none" w:sz="0" w:space="0" w:color="auto"/>
                        <w:left w:val="none" w:sz="0" w:space="0" w:color="auto"/>
                        <w:bottom w:val="none" w:sz="0" w:space="0" w:color="auto"/>
                        <w:right w:val="none" w:sz="0" w:space="0" w:color="auto"/>
                      </w:divBdr>
                    </w:div>
                  </w:divsChild>
                </w:div>
                <w:div w:id="1156070622">
                  <w:marLeft w:val="0"/>
                  <w:marRight w:val="0"/>
                  <w:marTop w:val="0"/>
                  <w:marBottom w:val="0"/>
                  <w:divBdr>
                    <w:top w:val="none" w:sz="0" w:space="0" w:color="auto"/>
                    <w:left w:val="none" w:sz="0" w:space="0" w:color="auto"/>
                    <w:bottom w:val="none" w:sz="0" w:space="0" w:color="auto"/>
                    <w:right w:val="none" w:sz="0" w:space="0" w:color="auto"/>
                  </w:divBdr>
                  <w:divsChild>
                    <w:div w:id="1214076709">
                      <w:marLeft w:val="0"/>
                      <w:marRight w:val="0"/>
                      <w:marTop w:val="0"/>
                      <w:marBottom w:val="0"/>
                      <w:divBdr>
                        <w:top w:val="none" w:sz="0" w:space="0" w:color="auto"/>
                        <w:left w:val="none" w:sz="0" w:space="0" w:color="auto"/>
                        <w:bottom w:val="none" w:sz="0" w:space="0" w:color="auto"/>
                        <w:right w:val="none" w:sz="0" w:space="0" w:color="auto"/>
                      </w:divBdr>
                    </w:div>
                  </w:divsChild>
                </w:div>
                <w:div w:id="1244486364">
                  <w:marLeft w:val="0"/>
                  <w:marRight w:val="0"/>
                  <w:marTop w:val="0"/>
                  <w:marBottom w:val="0"/>
                  <w:divBdr>
                    <w:top w:val="none" w:sz="0" w:space="0" w:color="auto"/>
                    <w:left w:val="none" w:sz="0" w:space="0" w:color="auto"/>
                    <w:bottom w:val="none" w:sz="0" w:space="0" w:color="auto"/>
                    <w:right w:val="none" w:sz="0" w:space="0" w:color="auto"/>
                  </w:divBdr>
                  <w:divsChild>
                    <w:div w:id="1862433752">
                      <w:marLeft w:val="0"/>
                      <w:marRight w:val="0"/>
                      <w:marTop w:val="0"/>
                      <w:marBottom w:val="0"/>
                      <w:divBdr>
                        <w:top w:val="none" w:sz="0" w:space="0" w:color="auto"/>
                        <w:left w:val="none" w:sz="0" w:space="0" w:color="auto"/>
                        <w:bottom w:val="none" w:sz="0" w:space="0" w:color="auto"/>
                        <w:right w:val="none" w:sz="0" w:space="0" w:color="auto"/>
                      </w:divBdr>
                    </w:div>
                  </w:divsChild>
                </w:div>
                <w:div w:id="1401250068">
                  <w:marLeft w:val="0"/>
                  <w:marRight w:val="0"/>
                  <w:marTop w:val="0"/>
                  <w:marBottom w:val="0"/>
                  <w:divBdr>
                    <w:top w:val="none" w:sz="0" w:space="0" w:color="auto"/>
                    <w:left w:val="none" w:sz="0" w:space="0" w:color="auto"/>
                    <w:bottom w:val="none" w:sz="0" w:space="0" w:color="auto"/>
                    <w:right w:val="none" w:sz="0" w:space="0" w:color="auto"/>
                  </w:divBdr>
                  <w:divsChild>
                    <w:div w:id="1065494353">
                      <w:marLeft w:val="0"/>
                      <w:marRight w:val="0"/>
                      <w:marTop w:val="0"/>
                      <w:marBottom w:val="0"/>
                      <w:divBdr>
                        <w:top w:val="none" w:sz="0" w:space="0" w:color="auto"/>
                        <w:left w:val="none" w:sz="0" w:space="0" w:color="auto"/>
                        <w:bottom w:val="none" w:sz="0" w:space="0" w:color="auto"/>
                        <w:right w:val="none" w:sz="0" w:space="0" w:color="auto"/>
                      </w:divBdr>
                    </w:div>
                  </w:divsChild>
                </w:div>
                <w:div w:id="1684360235">
                  <w:marLeft w:val="0"/>
                  <w:marRight w:val="0"/>
                  <w:marTop w:val="0"/>
                  <w:marBottom w:val="0"/>
                  <w:divBdr>
                    <w:top w:val="none" w:sz="0" w:space="0" w:color="auto"/>
                    <w:left w:val="none" w:sz="0" w:space="0" w:color="auto"/>
                    <w:bottom w:val="none" w:sz="0" w:space="0" w:color="auto"/>
                    <w:right w:val="none" w:sz="0" w:space="0" w:color="auto"/>
                  </w:divBdr>
                  <w:divsChild>
                    <w:div w:id="1059131632">
                      <w:marLeft w:val="0"/>
                      <w:marRight w:val="0"/>
                      <w:marTop w:val="0"/>
                      <w:marBottom w:val="0"/>
                      <w:divBdr>
                        <w:top w:val="none" w:sz="0" w:space="0" w:color="auto"/>
                        <w:left w:val="none" w:sz="0" w:space="0" w:color="auto"/>
                        <w:bottom w:val="none" w:sz="0" w:space="0" w:color="auto"/>
                        <w:right w:val="none" w:sz="0" w:space="0" w:color="auto"/>
                      </w:divBdr>
                    </w:div>
                  </w:divsChild>
                </w:div>
                <w:div w:id="1811164998">
                  <w:marLeft w:val="0"/>
                  <w:marRight w:val="0"/>
                  <w:marTop w:val="0"/>
                  <w:marBottom w:val="0"/>
                  <w:divBdr>
                    <w:top w:val="none" w:sz="0" w:space="0" w:color="auto"/>
                    <w:left w:val="none" w:sz="0" w:space="0" w:color="auto"/>
                    <w:bottom w:val="none" w:sz="0" w:space="0" w:color="auto"/>
                    <w:right w:val="none" w:sz="0" w:space="0" w:color="auto"/>
                  </w:divBdr>
                  <w:divsChild>
                    <w:div w:id="952713980">
                      <w:marLeft w:val="0"/>
                      <w:marRight w:val="0"/>
                      <w:marTop w:val="0"/>
                      <w:marBottom w:val="0"/>
                      <w:divBdr>
                        <w:top w:val="none" w:sz="0" w:space="0" w:color="auto"/>
                        <w:left w:val="none" w:sz="0" w:space="0" w:color="auto"/>
                        <w:bottom w:val="none" w:sz="0" w:space="0" w:color="auto"/>
                        <w:right w:val="none" w:sz="0" w:space="0" w:color="auto"/>
                      </w:divBdr>
                    </w:div>
                  </w:divsChild>
                </w:div>
                <w:div w:id="1857690711">
                  <w:marLeft w:val="0"/>
                  <w:marRight w:val="0"/>
                  <w:marTop w:val="0"/>
                  <w:marBottom w:val="0"/>
                  <w:divBdr>
                    <w:top w:val="none" w:sz="0" w:space="0" w:color="auto"/>
                    <w:left w:val="none" w:sz="0" w:space="0" w:color="auto"/>
                    <w:bottom w:val="none" w:sz="0" w:space="0" w:color="auto"/>
                    <w:right w:val="none" w:sz="0" w:space="0" w:color="auto"/>
                  </w:divBdr>
                  <w:divsChild>
                    <w:div w:id="17124897">
                      <w:marLeft w:val="0"/>
                      <w:marRight w:val="0"/>
                      <w:marTop w:val="0"/>
                      <w:marBottom w:val="0"/>
                      <w:divBdr>
                        <w:top w:val="none" w:sz="0" w:space="0" w:color="auto"/>
                        <w:left w:val="none" w:sz="0" w:space="0" w:color="auto"/>
                        <w:bottom w:val="none" w:sz="0" w:space="0" w:color="auto"/>
                        <w:right w:val="none" w:sz="0" w:space="0" w:color="auto"/>
                      </w:divBdr>
                    </w:div>
                  </w:divsChild>
                </w:div>
                <w:div w:id="1858156817">
                  <w:marLeft w:val="0"/>
                  <w:marRight w:val="0"/>
                  <w:marTop w:val="0"/>
                  <w:marBottom w:val="0"/>
                  <w:divBdr>
                    <w:top w:val="none" w:sz="0" w:space="0" w:color="auto"/>
                    <w:left w:val="none" w:sz="0" w:space="0" w:color="auto"/>
                    <w:bottom w:val="none" w:sz="0" w:space="0" w:color="auto"/>
                    <w:right w:val="none" w:sz="0" w:space="0" w:color="auto"/>
                  </w:divBdr>
                  <w:divsChild>
                    <w:div w:id="133433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033061">
          <w:marLeft w:val="0"/>
          <w:marRight w:val="0"/>
          <w:marTop w:val="0"/>
          <w:marBottom w:val="0"/>
          <w:divBdr>
            <w:top w:val="none" w:sz="0" w:space="0" w:color="auto"/>
            <w:left w:val="none" w:sz="0" w:space="0" w:color="auto"/>
            <w:bottom w:val="none" w:sz="0" w:space="0" w:color="auto"/>
            <w:right w:val="none" w:sz="0" w:space="0" w:color="auto"/>
          </w:divBdr>
          <w:divsChild>
            <w:div w:id="483132041">
              <w:marLeft w:val="0"/>
              <w:marRight w:val="0"/>
              <w:marTop w:val="0"/>
              <w:marBottom w:val="0"/>
              <w:divBdr>
                <w:top w:val="none" w:sz="0" w:space="0" w:color="auto"/>
                <w:left w:val="none" w:sz="0" w:space="0" w:color="auto"/>
                <w:bottom w:val="none" w:sz="0" w:space="0" w:color="auto"/>
                <w:right w:val="none" w:sz="0" w:space="0" w:color="auto"/>
              </w:divBdr>
            </w:div>
            <w:div w:id="1070469667">
              <w:marLeft w:val="0"/>
              <w:marRight w:val="0"/>
              <w:marTop w:val="0"/>
              <w:marBottom w:val="0"/>
              <w:divBdr>
                <w:top w:val="none" w:sz="0" w:space="0" w:color="auto"/>
                <w:left w:val="none" w:sz="0" w:space="0" w:color="auto"/>
                <w:bottom w:val="none" w:sz="0" w:space="0" w:color="auto"/>
                <w:right w:val="none" w:sz="0" w:space="0" w:color="auto"/>
              </w:divBdr>
            </w:div>
            <w:div w:id="1448546468">
              <w:marLeft w:val="0"/>
              <w:marRight w:val="0"/>
              <w:marTop w:val="0"/>
              <w:marBottom w:val="0"/>
              <w:divBdr>
                <w:top w:val="none" w:sz="0" w:space="0" w:color="auto"/>
                <w:left w:val="none" w:sz="0" w:space="0" w:color="auto"/>
                <w:bottom w:val="none" w:sz="0" w:space="0" w:color="auto"/>
                <w:right w:val="none" w:sz="0" w:space="0" w:color="auto"/>
              </w:divBdr>
            </w:div>
          </w:divsChild>
        </w:div>
        <w:div w:id="1780107150">
          <w:marLeft w:val="0"/>
          <w:marRight w:val="0"/>
          <w:marTop w:val="0"/>
          <w:marBottom w:val="0"/>
          <w:divBdr>
            <w:top w:val="none" w:sz="0" w:space="0" w:color="auto"/>
            <w:left w:val="none" w:sz="0" w:space="0" w:color="auto"/>
            <w:bottom w:val="none" w:sz="0" w:space="0" w:color="auto"/>
            <w:right w:val="none" w:sz="0" w:space="0" w:color="auto"/>
          </w:divBdr>
          <w:divsChild>
            <w:div w:id="207425140">
              <w:marLeft w:val="0"/>
              <w:marRight w:val="0"/>
              <w:marTop w:val="0"/>
              <w:marBottom w:val="0"/>
              <w:divBdr>
                <w:top w:val="none" w:sz="0" w:space="0" w:color="auto"/>
                <w:left w:val="none" w:sz="0" w:space="0" w:color="auto"/>
                <w:bottom w:val="none" w:sz="0" w:space="0" w:color="auto"/>
                <w:right w:val="none" w:sz="0" w:space="0" w:color="auto"/>
              </w:divBdr>
            </w:div>
            <w:div w:id="1258977294">
              <w:marLeft w:val="0"/>
              <w:marRight w:val="0"/>
              <w:marTop w:val="0"/>
              <w:marBottom w:val="0"/>
              <w:divBdr>
                <w:top w:val="none" w:sz="0" w:space="0" w:color="auto"/>
                <w:left w:val="none" w:sz="0" w:space="0" w:color="auto"/>
                <w:bottom w:val="none" w:sz="0" w:space="0" w:color="auto"/>
                <w:right w:val="none" w:sz="0" w:space="0" w:color="auto"/>
              </w:divBdr>
            </w:div>
            <w:div w:id="1845852942">
              <w:marLeft w:val="0"/>
              <w:marRight w:val="0"/>
              <w:marTop w:val="0"/>
              <w:marBottom w:val="0"/>
              <w:divBdr>
                <w:top w:val="none" w:sz="0" w:space="0" w:color="auto"/>
                <w:left w:val="none" w:sz="0" w:space="0" w:color="auto"/>
                <w:bottom w:val="none" w:sz="0" w:space="0" w:color="auto"/>
                <w:right w:val="none" w:sz="0" w:space="0" w:color="auto"/>
              </w:divBdr>
            </w:div>
          </w:divsChild>
        </w:div>
        <w:div w:id="1841966401">
          <w:marLeft w:val="0"/>
          <w:marRight w:val="0"/>
          <w:marTop w:val="0"/>
          <w:marBottom w:val="0"/>
          <w:divBdr>
            <w:top w:val="none" w:sz="0" w:space="0" w:color="auto"/>
            <w:left w:val="none" w:sz="0" w:space="0" w:color="auto"/>
            <w:bottom w:val="none" w:sz="0" w:space="0" w:color="auto"/>
            <w:right w:val="none" w:sz="0" w:space="0" w:color="auto"/>
          </w:divBdr>
        </w:div>
        <w:div w:id="1901936420">
          <w:marLeft w:val="0"/>
          <w:marRight w:val="0"/>
          <w:marTop w:val="0"/>
          <w:marBottom w:val="0"/>
          <w:divBdr>
            <w:top w:val="none" w:sz="0" w:space="0" w:color="auto"/>
            <w:left w:val="none" w:sz="0" w:space="0" w:color="auto"/>
            <w:bottom w:val="none" w:sz="0" w:space="0" w:color="auto"/>
            <w:right w:val="none" w:sz="0" w:space="0" w:color="auto"/>
          </w:divBdr>
          <w:divsChild>
            <w:div w:id="126357283">
              <w:marLeft w:val="0"/>
              <w:marRight w:val="0"/>
              <w:marTop w:val="0"/>
              <w:marBottom w:val="0"/>
              <w:divBdr>
                <w:top w:val="none" w:sz="0" w:space="0" w:color="auto"/>
                <w:left w:val="none" w:sz="0" w:space="0" w:color="auto"/>
                <w:bottom w:val="none" w:sz="0" w:space="0" w:color="auto"/>
                <w:right w:val="none" w:sz="0" w:space="0" w:color="auto"/>
              </w:divBdr>
            </w:div>
            <w:div w:id="439759114">
              <w:marLeft w:val="0"/>
              <w:marRight w:val="0"/>
              <w:marTop w:val="0"/>
              <w:marBottom w:val="0"/>
              <w:divBdr>
                <w:top w:val="none" w:sz="0" w:space="0" w:color="auto"/>
                <w:left w:val="none" w:sz="0" w:space="0" w:color="auto"/>
                <w:bottom w:val="none" w:sz="0" w:space="0" w:color="auto"/>
                <w:right w:val="none" w:sz="0" w:space="0" w:color="auto"/>
              </w:divBdr>
            </w:div>
            <w:div w:id="530722982">
              <w:marLeft w:val="0"/>
              <w:marRight w:val="0"/>
              <w:marTop w:val="0"/>
              <w:marBottom w:val="0"/>
              <w:divBdr>
                <w:top w:val="none" w:sz="0" w:space="0" w:color="auto"/>
                <w:left w:val="none" w:sz="0" w:space="0" w:color="auto"/>
                <w:bottom w:val="none" w:sz="0" w:space="0" w:color="auto"/>
                <w:right w:val="none" w:sz="0" w:space="0" w:color="auto"/>
              </w:divBdr>
            </w:div>
            <w:div w:id="622007522">
              <w:marLeft w:val="0"/>
              <w:marRight w:val="0"/>
              <w:marTop w:val="0"/>
              <w:marBottom w:val="0"/>
              <w:divBdr>
                <w:top w:val="none" w:sz="0" w:space="0" w:color="auto"/>
                <w:left w:val="none" w:sz="0" w:space="0" w:color="auto"/>
                <w:bottom w:val="none" w:sz="0" w:space="0" w:color="auto"/>
                <w:right w:val="none" w:sz="0" w:space="0" w:color="auto"/>
              </w:divBdr>
            </w:div>
            <w:div w:id="942421093">
              <w:marLeft w:val="0"/>
              <w:marRight w:val="0"/>
              <w:marTop w:val="0"/>
              <w:marBottom w:val="0"/>
              <w:divBdr>
                <w:top w:val="none" w:sz="0" w:space="0" w:color="auto"/>
                <w:left w:val="none" w:sz="0" w:space="0" w:color="auto"/>
                <w:bottom w:val="none" w:sz="0" w:space="0" w:color="auto"/>
                <w:right w:val="none" w:sz="0" w:space="0" w:color="auto"/>
              </w:divBdr>
            </w:div>
            <w:div w:id="982468302">
              <w:marLeft w:val="0"/>
              <w:marRight w:val="0"/>
              <w:marTop w:val="0"/>
              <w:marBottom w:val="0"/>
              <w:divBdr>
                <w:top w:val="none" w:sz="0" w:space="0" w:color="auto"/>
                <w:left w:val="none" w:sz="0" w:space="0" w:color="auto"/>
                <w:bottom w:val="none" w:sz="0" w:space="0" w:color="auto"/>
                <w:right w:val="none" w:sz="0" w:space="0" w:color="auto"/>
              </w:divBdr>
            </w:div>
            <w:div w:id="1308393390">
              <w:marLeft w:val="0"/>
              <w:marRight w:val="0"/>
              <w:marTop w:val="0"/>
              <w:marBottom w:val="0"/>
              <w:divBdr>
                <w:top w:val="none" w:sz="0" w:space="0" w:color="auto"/>
                <w:left w:val="none" w:sz="0" w:space="0" w:color="auto"/>
                <w:bottom w:val="none" w:sz="0" w:space="0" w:color="auto"/>
                <w:right w:val="none" w:sz="0" w:space="0" w:color="auto"/>
              </w:divBdr>
            </w:div>
            <w:div w:id="1457866324">
              <w:marLeft w:val="0"/>
              <w:marRight w:val="0"/>
              <w:marTop w:val="0"/>
              <w:marBottom w:val="0"/>
              <w:divBdr>
                <w:top w:val="none" w:sz="0" w:space="0" w:color="auto"/>
                <w:left w:val="none" w:sz="0" w:space="0" w:color="auto"/>
                <w:bottom w:val="none" w:sz="0" w:space="0" w:color="auto"/>
                <w:right w:val="none" w:sz="0" w:space="0" w:color="auto"/>
              </w:divBdr>
            </w:div>
            <w:div w:id="1525709420">
              <w:marLeft w:val="0"/>
              <w:marRight w:val="0"/>
              <w:marTop w:val="0"/>
              <w:marBottom w:val="0"/>
              <w:divBdr>
                <w:top w:val="none" w:sz="0" w:space="0" w:color="auto"/>
                <w:left w:val="none" w:sz="0" w:space="0" w:color="auto"/>
                <w:bottom w:val="none" w:sz="0" w:space="0" w:color="auto"/>
                <w:right w:val="none" w:sz="0" w:space="0" w:color="auto"/>
              </w:divBdr>
            </w:div>
            <w:div w:id="1677417871">
              <w:marLeft w:val="0"/>
              <w:marRight w:val="0"/>
              <w:marTop w:val="0"/>
              <w:marBottom w:val="0"/>
              <w:divBdr>
                <w:top w:val="none" w:sz="0" w:space="0" w:color="auto"/>
                <w:left w:val="none" w:sz="0" w:space="0" w:color="auto"/>
                <w:bottom w:val="none" w:sz="0" w:space="0" w:color="auto"/>
                <w:right w:val="none" w:sz="0" w:space="0" w:color="auto"/>
              </w:divBdr>
            </w:div>
          </w:divsChild>
        </w:div>
        <w:div w:id="1926458401">
          <w:marLeft w:val="0"/>
          <w:marRight w:val="0"/>
          <w:marTop w:val="0"/>
          <w:marBottom w:val="0"/>
          <w:divBdr>
            <w:top w:val="none" w:sz="0" w:space="0" w:color="auto"/>
            <w:left w:val="none" w:sz="0" w:space="0" w:color="auto"/>
            <w:bottom w:val="none" w:sz="0" w:space="0" w:color="auto"/>
            <w:right w:val="none" w:sz="0" w:space="0" w:color="auto"/>
          </w:divBdr>
          <w:divsChild>
            <w:div w:id="544491528">
              <w:marLeft w:val="-75"/>
              <w:marRight w:val="0"/>
              <w:marTop w:val="30"/>
              <w:marBottom w:val="30"/>
              <w:divBdr>
                <w:top w:val="none" w:sz="0" w:space="0" w:color="auto"/>
                <w:left w:val="none" w:sz="0" w:space="0" w:color="auto"/>
                <w:bottom w:val="none" w:sz="0" w:space="0" w:color="auto"/>
                <w:right w:val="none" w:sz="0" w:space="0" w:color="auto"/>
              </w:divBdr>
              <w:divsChild>
                <w:div w:id="199441273">
                  <w:marLeft w:val="0"/>
                  <w:marRight w:val="0"/>
                  <w:marTop w:val="0"/>
                  <w:marBottom w:val="0"/>
                  <w:divBdr>
                    <w:top w:val="none" w:sz="0" w:space="0" w:color="auto"/>
                    <w:left w:val="none" w:sz="0" w:space="0" w:color="auto"/>
                    <w:bottom w:val="none" w:sz="0" w:space="0" w:color="auto"/>
                    <w:right w:val="none" w:sz="0" w:space="0" w:color="auto"/>
                  </w:divBdr>
                  <w:divsChild>
                    <w:div w:id="1829709076">
                      <w:marLeft w:val="0"/>
                      <w:marRight w:val="0"/>
                      <w:marTop w:val="0"/>
                      <w:marBottom w:val="0"/>
                      <w:divBdr>
                        <w:top w:val="none" w:sz="0" w:space="0" w:color="auto"/>
                        <w:left w:val="none" w:sz="0" w:space="0" w:color="auto"/>
                        <w:bottom w:val="none" w:sz="0" w:space="0" w:color="auto"/>
                        <w:right w:val="none" w:sz="0" w:space="0" w:color="auto"/>
                      </w:divBdr>
                    </w:div>
                  </w:divsChild>
                </w:div>
                <w:div w:id="328213592">
                  <w:marLeft w:val="0"/>
                  <w:marRight w:val="0"/>
                  <w:marTop w:val="0"/>
                  <w:marBottom w:val="0"/>
                  <w:divBdr>
                    <w:top w:val="none" w:sz="0" w:space="0" w:color="auto"/>
                    <w:left w:val="none" w:sz="0" w:space="0" w:color="auto"/>
                    <w:bottom w:val="none" w:sz="0" w:space="0" w:color="auto"/>
                    <w:right w:val="none" w:sz="0" w:space="0" w:color="auto"/>
                  </w:divBdr>
                  <w:divsChild>
                    <w:div w:id="1496216261">
                      <w:marLeft w:val="0"/>
                      <w:marRight w:val="0"/>
                      <w:marTop w:val="0"/>
                      <w:marBottom w:val="0"/>
                      <w:divBdr>
                        <w:top w:val="none" w:sz="0" w:space="0" w:color="auto"/>
                        <w:left w:val="none" w:sz="0" w:space="0" w:color="auto"/>
                        <w:bottom w:val="none" w:sz="0" w:space="0" w:color="auto"/>
                        <w:right w:val="none" w:sz="0" w:space="0" w:color="auto"/>
                      </w:divBdr>
                    </w:div>
                  </w:divsChild>
                </w:div>
                <w:div w:id="331762506">
                  <w:marLeft w:val="0"/>
                  <w:marRight w:val="0"/>
                  <w:marTop w:val="0"/>
                  <w:marBottom w:val="0"/>
                  <w:divBdr>
                    <w:top w:val="none" w:sz="0" w:space="0" w:color="auto"/>
                    <w:left w:val="none" w:sz="0" w:space="0" w:color="auto"/>
                    <w:bottom w:val="none" w:sz="0" w:space="0" w:color="auto"/>
                    <w:right w:val="none" w:sz="0" w:space="0" w:color="auto"/>
                  </w:divBdr>
                  <w:divsChild>
                    <w:div w:id="940840068">
                      <w:marLeft w:val="0"/>
                      <w:marRight w:val="0"/>
                      <w:marTop w:val="0"/>
                      <w:marBottom w:val="0"/>
                      <w:divBdr>
                        <w:top w:val="none" w:sz="0" w:space="0" w:color="auto"/>
                        <w:left w:val="none" w:sz="0" w:space="0" w:color="auto"/>
                        <w:bottom w:val="none" w:sz="0" w:space="0" w:color="auto"/>
                        <w:right w:val="none" w:sz="0" w:space="0" w:color="auto"/>
                      </w:divBdr>
                    </w:div>
                  </w:divsChild>
                </w:div>
                <w:div w:id="446237430">
                  <w:marLeft w:val="0"/>
                  <w:marRight w:val="0"/>
                  <w:marTop w:val="0"/>
                  <w:marBottom w:val="0"/>
                  <w:divBdr>
                    <w:top w:val="none" w:sz="0" w:space="0" w:color="auto"/>
                    <w:left w:val="none" w:sz="0" w:space="0" w:color="auto"/>
                    <w:bottom w:val="none" w:sz="0" w:space="0" w:color="auto"/>
                    <w:right w:val="none" w:sz="0" w:space="0" w:color="auto"/>
                  </w:divBdr>
                  <w:divsChild>
                    <w:div w:id="110244871">
                      <w:marLeft w:val="0"/>
                      <w:marRight w:val="0"/>
                      <w:marTop w:val="0"/>
                      <w:marBottom w:val="0"/>
                      <w:divBdr>
                        <w:top w:val="none" w:sz="0" w:space="0" w:color="auto"/>
                        <w:left w:val="none" w:sz="0" w:space="0" w:color="auto"/>
                        <w:bottom w:val="none" w:sz="0" w:space="0" w:color="auto"/>
                        <w:right w:val="none" w:sz="0" w:space="0" w:color="auto"/>
                      </w:divBdr>
                    </w:div>
                  </w:divsChild>
                </w:div>
                <w:div w:id="586957642">
                  <w:marLeft w:val="0"/>
                  <w:marRight w:val="0"/>
                  <w:marTop w:val="0"/>
                  <w:marBottom w:val="0"/>
                  <w:divBdr>
                    <w:top w:val="none" w:sz="0" w:space="0" w:color="auto"/>
                    <w:left w:val="none" w:sz="0" w:space="0" w:color="auto"/>
                    <w:bottom w:val="none" w:sz="0" w:space="0" w:color="auto"/>
                    <w:right w:val="none" w:sz="0" w:space="0" w:color="auto"/>
                  </w:divBdr>
                  <w:divsChild>
                    <w:div w:id="330178146">
                      <w:marLeft w:val="0"/>
                      <w:marRight w:val="0"/>
                      <w:marTop w:val="0"/>
                      <w:marBottom w:val="0"/>
                      <w:divBdr>
                        <w:top w:val="none" w:sz="0" w:space="0" w:color="auto"/>
                        <w:left w:val="none" w:sz="0" w:space="0" w:color="auto"/>
                        <w:bottom w:val="none" w:sz="0" w:space="0" w:color="auto"/>
                        <w:right w:val="none" w:sz="0" w:space="0" w:color="auto"/>
                      </w:divBdr>
                    </w:div>
                  </w:divsChild>
                </w:div>
                <w:div w:id="602033779">
                  <w:marLeft w:val="0"/>
                  <w:marRight w:val="0"/>
                  <w:marTop w:val="0"/>
                  <w:marBottom w:val="0"/>
                  <w:divBdr>
                    <w:top w:val="none" w:sz="0" w:space="0" w:color="auto"/>
                    <w:left w:val="none" w:sz="0" w:space="0" w:color="auto"/>
                    <w:bottom w:val="none" w:sz="0" w:space="0" w:color="auto"/>
                    <w:right w:val="none" w:sz="0" w:space="0" w:color="auto"/>
                  </w:divBdr>
                  <w:divsChild>
                    <w:div w:id="11304823">
                      <w:marLeft w:val="0"/>
                      <w:marRight w:val="0"/>
                      <w:marTop w:val="0"/>
                      <w:marBottom w:val="0"/>
                      <w:divBdr>
                        <w:top w:val="none" w:sz="0" w:space="0" w:color="auto"/>
                        <w:left w:val="none" w:sz="0" w:space="0" w:color="auto"/>
                        <w:bottom w:val="none" w:sz="0" w:space="0" w:color="auto"/>
                        <w:right w:val="none" w:sz="0" w:space="0" w:color="auto"/>
                      </w:divBdr>
                    </w:div>
                    <w:div w:id="320013679">
                      <w:marLeft w:val="0"/>
                      <w:marRight w:val="0"/>
                      <w:marTop w:val="0"/>
                      <w:marBottom w:val="0"/>
                      <w:divBdr>
                        <w:top w:val="none" w:sz="0" w:space="0" w:color="auto"/>
                        <w:left w:val="none" w:sz="0" w:space="0" w:color="auto"/>
                        <w:bottom w:val="none" w:sz="0" w:space="0" w:color="auto"/>
                        <w:right w:val="none" w:sz="0" w:space="0" w:color="auto"/>
                      </w:divBdr>
                    </w:div>
                  </w:divsChild>
                </w:div>
                <w:div w:id="808204890">
                  <w:marLeft w:val="0"/>
                  <w:marRight w:val="0"/>
                  <w:marTop w:val="0"/>
                  <w:marBottom w:val="0"/>
                  <w:divBdr>
                    <w:top w:val="none" w:sz="0" w:space="0" w:color="auto"/>
                    <w:left w:val="none" w:sz="0" w:space="0" w:color="auto"/>
                    <w:bottom w:val="none" w:sz="0" w:space="0" w:color="auto"/>
                    <w:right w:val="none" w:sz="0" w:space="0" w:color="auto"/>
                  </w:divBdr>
                  <w:divsChild>
                    <w:div w:id="1056666226">
                      <w:marLeft w:val="0"/>
                      <w:marRight w:val="0"/>
                      <w:marTop w:val="0"/>
                      <w:marBottom w:val="0"/>
                      <w:divBdr>
                        <w:top w:val="none" w:sz="0" w:space="0" w:color="auto"/>
                        <w:left w:val="none" w:sz="0" w:space="0" w:color="auto"/>
                        <w:bottom w:val="none" w:sz="0" w:space="0" w:color="auto"/>
                        <w:right w:val="none" w:sz="0" w:space="0" w:color="auto"/>
                      </w:divBdr>
                    </w:div>
                    <w:div w:id="1810442892">
                      <w:marLeft w:val="0"/>
                      <w:marRight w:val="0"/>
                      <w:marTop w:val="0"/>
                      <w:marBottom w:val="0"/>
                      <w:divBdr>
                        <w:top w:val="none" w:sz="0" w:space="0" w:color="auto"/>
                        <w:left w:val="none" w:sz="0" w:space="0" w:color="auto"/>
                        <w:bottom w:val="none" w:sz="0" w:space="0" w:color="auto"/>
                        <w:right w:val="none" w:sz="0" w:space="0" w:color="auto"/>
                      </w:divBdr>
                    </w:div>
                  </w:divsChild>
                </w:div>
                <w:div w:id="910308704">
                  <w:marLeft w:val="0"/>
                  <w:marRight w:val="0"/>
                  <w:marTop w:val="0"/>
                  <w:marBottom w:val="0"/>
                  <w:divBdr>
                    <w:top w:val="none" w:sz="0" w:space="0" w:color="auto"/>
                    <w:left w:val="none" w:sz="0" w:space="0" w:color="auto"/>
                    <w:bottom w:val="none" w:sz="0" w:space="0" w:color="auto"/>
                    <w:right w:val="none" w:sz="0" w:space="0" w:color="auto"/>
                  </w:divBdr>
                  <w:divsChild>
                    <w:div w:id="1676374245">
                      <w:marLeft w:val="0"/>
                      <w:marRight w:val="0"/>
                      <w:marTop w:val="0"/>
                      <w:marBottom w:val="0"/>
                      <w:divBdr>
                        <w:top w:val="none" w:sz="0" w:space="0" w:color="auto"/>
                        <w:left w:val="none" w:sz="0" w:space="0" w:color="auto"/>
                        <w:bottom w:val="none" w:sz="0" w:space="0" w:color="auto"/>
                        <w:right w:val="none" w:sz="0" w:space="0" w:color="auto"/>
                      </w:divBdr>
                    </w:div>
                  </w:divsChild>
                </w:div>
                <w:div w:id="1079643803">
                  <w:marLeft w:val="0"/>
                  <w:marRight w:val="0"/>
                  <w:marTop w:val="0"/>
                  <w:marBottom w:val="0"/>
                  <w:divBdr>
                    <w:top w:val="none" w:sz="0" w:space="0" w:color="auto"/>
                    <w:left w:val="none" w:sz="0" w:space="0" w:color="auto"/>
                    <w:bottom w:val="none" w:sz="0" w:space="0" w:color="auto"/>
                    <w:right w:val="none" w:sz="0" w:space="0" w:color="auto"/>
                  </w:divBdr>
                  <w:divsChild>
                    <w:div w:id="2147047952">
                      <w:marLeft w:val="0"/>
                      <w:marRight w:val="0"/>
                      <w:marTop w:val="0"/>
                      <w:marBottom w:val="0"/>
                      <w:divBdr>
                        <w:top w:val="none" w:sz="0" w:space="0" w:color="auto"/>
                        <w:left w:val="none" w:sz="0" w:space="0" w:color="auto"/>
                        <w:bottom w:val="none" w:sz="0" w:space="0" w:color="auto"/>
                        <w:right w:val="none" w:sz="0" w:space="0" w:color="auto"/>
                      </w:divBdr>
                    </w:div>
                  </w:divsChild>
                </w:div>
                <w:div w:id="1090932262">
                  <w:marLeft w:val="0"/>
                  <w:marRight w:val="0"/>
                  <w:marTop w:val="0"/>
                  <w:marBottom w:val="0"/>
                  <w:divBdr>
                    <w:top w:val="none" w:sz="0" w:space="0" w:color="auto"/>
                    <w:left w:val="none" w:sz="0" w:space="0" w:color="auto"/>
                    <w:bottom w:val="none" w:sz="0" w:space="0" w:color="auto"/>
                    <w:right w:val="none" w:sz="0" w:space="0" w:color="auto"/>
                  </w:divBdr>
                  <w:divsChild>
                    <w:div w:id="2054426393">
                      <w:marLeft w:val="0"/>
                      <w:marRight w:val="0"/>
                      <w:marTop w:val="0"/>
                      <w:marBottom w:val="0"/>
                      <w:divBdr>
                        <w:top w:val="none" w:sz="0" w:space="0" w:color="auto"/>
                        <w:left w:val="none" w:sz="0" w:space="0" w:color="auto"/>
                        <w:bottom w:val="none" w:sz="0" w:space="0" w:color="auto"/>
                        <w:right w:val="none" w:sz="0" w:space="0" w:color="auto"/>
                      </w:divBdr>
                    </w:div>
                  </w:divsChild>
                </w:div>
                <w:div w:id="1361665647">
                  <w:marLeft w:val="0"/>
                  <w:marRight w:val="0"/>
                  <w:marTop w:val="0"/>
                  <w:marBottom w:val="0"/>
                  <w:divBdr>
                    <w:top w:val="none" w:sz="0" w:space="0" w:color="auto"/>
                    <w:left w:val="none" w:sz="0" w:space="0" w:color="auto"/>
                    <w:bottom w:val="none" w:sz="0" w:space="0" w:color="auto"/>
                    <w:right w:val="none" w:sz="0" w:space="0" w:color="auto"/>
                  </w:divBdr>
                  <w:divsChild>
                    <w:div w:id="108476942">
                      <w:marLeft w:val="0"/>
                      <w:marRight w:val="0"/>
                      <w:marTop w:val="0"/>
                      <w:marBottom w:val="0"/>
                      <w:divBdr>
                        <w:top w:val="none" w:sz="0" w:space="0" w:color="auto"/>
                        <w:left w:val="none" w:sz="0" w:space="0" w:color="auto"/>
                        <w:bottom w:val="none" w:sz="0" w:space="0" w:color="auto"/>
                        <w:right w:val="none" w:sz="0" w:space="0" w:color="auto"/>
                      </w:divBdr>
                    </w:div>
                  </w:divsChild>
                </w:div>
                <w:div w:id="1372069078">
                  <w:marLeft w:val="0"/>
                  <w:marRight w:val="0"/>
                  <w:marTop w:val="0"/>
                  <w:marBottom w:val="0"/>
                  <w:divBdr>
                    <w:top w:val="none" w:sz="0" w:space="0" w:color="auto"/>
                    <w:left w:val="none" w:sz="0" w:space="0" w:color="auto"/>
                    <w:bottom w:val="none" w:sz="0" w:space="0" w:color="auto"/>
                    <w:right w:val="none" w:sz="0" w:space="0" w:color="auto"/>
                  </w:divBdr>
                  <w:divsChild>
                    <w:div w:id="933826680">
                      <w:marLeft w:val="0"/>
                      <w:marRight w:val="0"/>
                      <w:marTop w:val="0"/>
                      <w:marBottom w:val="0"/>
                      <w:divBdr>
                        <w:top w:val="none" w:sz="0" w:space="0" w:color="auto"/>
                        <w:left w:val="none" w:sz="0" w:space="0" w:color="auto"/>
                        <w:bottom w:val="none" w:sz="0" w:space="0" w:color="auto"/>
                        <w:right w:val="none" w:sz="0" w:space="0" w:color="auto"/>
                      </w:divBdr>
                    </w:div>
                  </w:divsChild>
                </w:div>
                <w:div w:id="1374884889">
                  <w:marLeft w:val="0"/>
                  <w:marRight w:val="0"/>
                  <w:marTop w:val="0"/>
                  <w:marBottom w:val="0"/>
                  <w:divBdr>
                    <w:top w:val="none" w:sz="0" w:space="0" w:color="auto"/>
                    <w:left w:val="none" w:sz="0" w:space="0" w:color="auto"/>
                    <w:bottom w:val="none" w:sz="0" w:space="0" w:color="auto"/>
                    <w:right w:val="none" w:sz="0" w:space="0" w:color="auto"/>
                  </w:divBdr>
                  <w:divsChild>
                    <w:div w:id="1417752302">
                      <w:marLeft w:val="0"/>
                      <w:marRight w:val="0"/>
                      <w:marTop w:val="0"/>
                      <w:marBottom w:val="0"/>
                      <w:divBdr>
                        <w:top w:val="none" w:sz="0" w:space="0" w:color="auto"/>
                        <w:left w:val="none" w:sz="0" w:space="0" w:color="auto"/>
                        <w:bottom w:val="none" w:sz="0" w:space="0" w:color="auto"/>
                        <w:right w:val="none" w:sz="0" w:space="0" w:color="auto"/>
                      </w:divBdr>
                    </w:div>
                    <w:div w:id="1975914803">
                      <w:marLeft w:val="0"/>
                      <w:marRight w:val="0"/>
                      <w:marTop w:val="0"/>
                      <w:marBottom w:val="0"/>
                      <w:divBdr>
                        <w:top w:val="none" w:sz="0" w:space="0" w:color="auto"/>
                        <w:left w:val="none" w:sz="0" w:space="0" w:color="auto"/>
                        <w:bottom w:val="none" w:sz="0" w:space="0" w:color="auto"/>
                        <w:right w:val="none" w:sz="0" w:space="0" w:color="auto"/>
                      </w:divBdr>
                    </w:div>
                  </w:divsChild>
                </w:div>
                <w:div w:id="1424498794">
                  <w:marLeft w:val="0"/>
                  <w:marRight w:val="0"/>
                  <w:marTop w:val="0"/>
                  <w:marBottom w:val="0"/>
                  <w:divBdr>
                    <w:top w:val="none" w:sz="0" w:space="0" w:color="auto"/>
                    <w:left w:val="none" w:sz="0" w:space="0" w:color="auto"/>
                    <w:bottom w:val="none" w:sz="0" w:space="0" w:color="auto"/>
                    <w:right w:val="none" w:sz="0" w:space="0" w:color="auto"/>
                  </w:divBdr>
                  <w:divsChild>
                    <w:div w:id="708650402">
                      <w:marLeft w:val="0"/>
                      <w:marRight w:val="0"/>
                      <w:marTop w:val="0"/>
                      <w:marBottom w:val="0"/>
                      <w:divBdr>
                        <w:top w:val="none" w:sz="0" w:space="0" w:color="auto"/>
                        <w:left w:val="none" w:sz="0" w:space="0" w:color="auto"/>
                        <w:bottom w:val="none" w:sz="0" w:space="0" w:color="auto"/>
                        <w:right w:val="none" w:sz="0" w:space="0" w:color="auto"/>
                      </w:divBdr>
                    </w:div>
                  </w:divsChild>
                </w:div>
                <w:div w:id="1428887199">
                  <w:marLeft w:val="0"/>
                  <w:marRight w:val="0"/>
                  <w:marTop w:val="0"/>
                  <w:marBottom w:val="0"/>
                  <w:divBdr>
                    <w:top w:val="none" w:sz="0" w:space="0" w:color="auto"/>
                    <w:left w:val="none" w:sz="0" w:space="0" w:color="auto"/>
                    <w:bottom w:val="none" w:sz="0" w:space="0" w:color="auto"/>
                    <w:right w:val="none" w:sz="0" w:space="0" w:color="auto"/>
                  </w:divBdr>
                  <w:divsChild>
                    <w:div w:id="1152452410">
                      <w:marLeft w:val="0"/>
                      <w:marRight w:val="0"/>
                      <w:marTop w:val="0"/>
                      <w:marBottom w:val="0"/>
                      <w:divBdr>
                        <w:top w:val="none" w:sz="0" w:space="0" w:color="auto"/>
                        <w:left w:val="none" w:sz="0" w:space="0" w:color="auto"/>
                        <w:bottom w:val="none" w:sz="0" w:space="0" w:color="auto"/>
                        <w:right w:val="none" w:sz="0" w:space="0" w:color="auto"/>
                      </w:divBdr>
                    </w:div>
                  </w:divsChild>
                </w:div>
                <w:div w:id="1603873515">
                  <w:marLeft w:val="0"/>
                  <w:marRight w:val="0"/>
                  <w:marTop w:val="0"/>
                  <w:marBottom w:val="0"/>
                  <w:divBdr>
                    <w:top w:val="none" w:sz="0" w:space="0" w:color="auto"/>
                    <w:left w:val="none" w:sz="0" w:space="0" w:color="auto"/>
                    <w:bottom w:val="none" w:sz="0" w:space="0" w:color="auto"/>
                    <w:right w:val="none" w:sz="0" w:space="0" w:color="auto"/>
                  </w:divBdr>
                  <w:divsChild>
                    <w:div w:id="1393190501">
                      <w:marLeft w:val="0"/>
                      <w:marRight w:val="0"/>
                      <w:marTop w:val="0"/>
                      <w:marBottom w:val="0"/>
                      <w:divBdr>
                        <w:top w:val="none" w:sz="0" w:space="0" w:color="auto"/>
                        <w:left w:val="none" w:sz="0" w:space="0" w:color="auto"/>
                        <w:bottom w:val="none" w:sz="0" w:space="0" w:color="auto"/>
                        <w:right w:val="none" w:sz="0" w:space="0" w:color="auto"/>
                      </w:divBdr>
                    </w:div>
                  </w:divsChild>
                </w:div>
                <w:div w:id="1655836498">
                  <w:marLeft w:val="0"/>
                  <w:marRight w:val="0"/>
                  <w:marTop w:val="0"/>
                  <w:marBottom w:val="0"/>
                  <w:divBdr>
                    <w:top w:val="none" w:sz="0" w:space="0" w:color="auto"/>
                    <w:left w:val="none" w:sz="0" w:space="0" w:color="auto"/>
                    <w:bottom w:val="none" w:sz="0" w:space="0" w:color="auto"/>
                    <w:right w:val="none" w:sz="0" w:space="0" w:color="auto"/>
                  </w:divBdr>
                  <w:divsChild>
                    <w:div w:id="1099718412">
                      <w:marLeft w:val="0"/>
                      <w:marRight w:val="0"/>
                      <w:marTop w:val="0"/>
                      <w:marBottom w:val="0"/>
                      <w:divBdr>
                        <w:top w:val="none" w:sz="0" w:space="0" w:color="auto"/>
                        <w:left w:val="none" w:sz="0" w:space="0" w:color="auto"/>
                        <w:bottom w:val="none" w:sz="0" w:space="0" w:color="auto"/>
                        <w:right w:val="none" w:sz="0" w:space="0" w:color="auto"/>
                      </w:divBdr>
                    </w:div>
                  </w:divsChild>
                </w:div>
                <w:div w:id="1656226049">
                  <w:marLeft w:val="0"/>
                  <w:marRight w:val="0"/>
                  <w:marTop w:val="0"/>
                  <w:marBottom w:val="0"/>
                  <w:divBdr>
                    <w:top w:val="none" w:sz="0" w:space="0" w:color="auto"/>
                    <w:left w:val="none" w:sz="0" w:space="0" w:color="auto"/>
                    <w:bottom w:val="none" w:sz="0" w:space="0" w:color="auto"/>
                    <w:right w:val="none" w:sz="0" w:space="0" w:color="auto"/>
                  </w:divBdr>
                  <w:divsChild>
                    <w:div w:id="1661423090">
                      <w:marLeft w:val="0"/>
                      <w:marRight w:val="0"/>
                      <w:marTop w:val="0"/>
                      <w:marBottom w:val="0"/>
                      <w:divBdr>
                        <w:top w:val="none" w:sz="0" w:space="0" w:color="auto"/>
                        <w:left w:val="none" w:sz="0" w:space="0" w:color="auto"/>
                        <w:bottom w:val="none" w:sz="0" w:space="0" w:color="auto"/>
                        <w:right w:val="none" w:sz="0" w:space="0" w:color="auto"/>
                      </w:divBdr>
                    </w:div>
                  </w:divsChild>
                </w:div>
                <w:div w:id="1709376951">
                  <w:marLeft w:val="0"/>
                  <w:marRight w:val="0"/>
                  <w:marTop w:val="0"/>
                  <w:marBottom w:val="0"/>
                  <w:divBdr>
                    <w:top w:val="none" w:sz="0" w:space="0" w:color="auto"/>
                    <w:left w:val="none" w:sz="0" w:space="0" w:color="auto"/>
                    <w:bottom w:val="none" w:sz="0" w:space="0" w:color="auto"/>
                    <w:right w:val="none" w:sz="0" w:space="0" w:color="auto"/>
                  </w:divBdr>
                  <w:divsChild>
                    <w:div w:id="48114176">
                      <w:marLeft w:val="0"/>
                      <w:marRight w:val="0"/>
                      <w:marTop w:val="0"/>
                      <w:marBottom w:val="0"/>
                      <w:divBdr>
                        <w:top w:val="none" w:sz="0" w:space="0" w:color="auto"/>
                        <w:left w:val="none" w:sz="0" w:space="0" w:color="auto"/>
                        <w:bottom w:val="none" w:sz="0" w:space="0" w:color="auto"/>
                        <w:right w:val="none" w:sz="0" w:space="0" w:color="auto"/>
                      </w:divBdr>
                    </w:div>
                  </w:divsChild>
                </w:div>
                <w:div w:id="1720470934">
                  <w:marLeft w:val="0"/>
                  <w:marRight w:val="0"/>
                  <w:marTop w:val="0"/>
                  <w:marBottom w:val="0"/>
                  <w:divBdr>
                    <w:top w:val="none" w:sz="0" w:space="0" w:color="auto"/>
                    <w:left w:val="none" w:sz="0" w:space="0" w:color="auto"/>
                    <w:bottom w:val="none" w:sz="0" w:space="0" w:color="auto"/>
                    <w:right w:val="none" w:sz="0" w:space="0" w:color="auto"/>
                  </w:divBdr>
                  <w:divsChild>
                    <w:div w:id="1008289623">
                      <w:marLeft w:val="0"/>
                      <w:marRight w:val="0"/>
                      <w:marTop w:val="0"/>
                      <w:marBottom w:val="0"/>
                      <w:divBdr>
                        <w:top w:val="none" w:sz="0" w:space="0" w:color="auto"/>
                        <w:left w:val="none" w:sz="0" w:space="0" w:color="auto"/>
                        <w:bottom w:val="none" w:sz="0" w:space="0" w:color="auto"/>
                        <w:right w:val="none" w:sz="0" w:space="0" w:color="auto"/>
                      </w:divBdr>
                    </w:div>
                  </w:divsChild>
                </w:div>
                <w:div w:id="1768817115">
                  <w:marLeft w:val="0"/>
                  <w:marRight w:val="0"/>
                  <w:marTop w:val="0"/>
                  <w:marBottom w:val="0"/>
                  <w:divBdr>
                    <w:top w:val="none" w:sz="0" w:space="0" w:color="auto"/>
                    <w:left w:val="none" w:sz="0" w:space="0" w:color="auto"/>
                    <w:bottom w:val="none" w:sz="0" w:space="0" w:color="auto"/>
                    <w:right w:val="none" w:sz="0" w:space="0" w:color="auto"/>
                  </w:divBdr>
                  <w:divsChild>
                    <w:div w:id="1162702074">
                      <w:marLeft w:val="0"/>
                      <w:marRight w:val="0"/>
                      <w:marTop w:val="0"/>
                      <w:marBottom w:val="0"/>
                      <w:divBdr>
                        <w:top w:val="none" w:sz="0" w:space="0" w:color="auto"/>
                        <w:left w:val="none" w:sz="0" w:space="0" w:color="auto"/>
                        <w:bottom w:val="none" w:sz="0" w:space="0" w:color="auto"/>
                        <w:right w:val="none" w:sz="0" w:space="0" w:color="auto"/>
                      </w:divBdr>
                    </w:div>
                  </w:divsChild>
                </w:div>
                <w:div w:id="1986930704">
                  <w:marLeft w:val="0"/>
                  <w:marRight w:val="0"/>
                  <w:marTop w:val="0"/>
                  <w:marBottom w:val="0"/>
                  <w:divBdr>
                    <w:top w:val="none" w:sz="0" w:space="0" w:color="auto"/>
                    <w:left w:val="none" w:sz="0" w:space="0" w:color="auto"/>
                    <w:bottom w:val="none" w:sz="0" w:space="0" w:color="auto"/>
                    <w:right w:val="none" w:sz="0" w:space="0" w:color="auto"/>
                  </w:divBdr>
                  <w:divsChild>
                    <w:div w:id="419376711">
                      <w:marLeft w:val="0"/>
                      <w:marRight w:val="0"/>
                      <w:marTop w:val="0"/>
                      <w:marBottom w:val="0"/>
                      <w:divBdr>
                        <w:top w:val="none" w:sz="0" w:space="0" w:color="auto"/>
                        <w:left w:val="none" w:sz="0" w:space="0" w:color="auto"/>
                        <w:bottom w:val="none" w:sz="0" w:space="0" w:color="auto"/>
                        <w:right w:val="none" w:sz="0" w:space="0" w:color="auto"/>
                      </w:divBdr>
                    </w:div>
                  </w:divsChild>
                </w:div>
                <w:div w:id="2049449745">
                  <w:marLeft w:val="0"/>
                  <w:marRight w:val="0"/>
                  <w:marTop w:val="0"/>
                  <w:marBottom w:val="0"/>
                  <w:divBdr>
                    <w:top w:val="none" w:sz="0" w:space="0" w:color="auto"/>
                    <w:left w:val="none" w:sz="0" w:space="0" w:color="auto"/>
                    <w:bottom w:val="none" w:sz="0" w:space="0" w:color="auto"/>
                    <w:right w:val="none" w:sz="0" w:space="0" w:color="auto"/>
                  </w:divBdr>
                  <w:divsChild>
                    <w:div w:id="1201824464">
                      <w:marLeft w:val="0"/>
                      <w:marRight w:val="0"/>
                      <w:marTop w:val="0"/>
                      <w:marBottom w:val="0"/>
                      <w:divBdr>
                        <w:top w:val="none" w:sz="0" w:space="0" w:color="auto"/>
                        <w:left w:val="none" w:sz="0" w:space="0" w:color="auto"/>
                        <w:bottom w:val="none" w:sz="0" w:space="0" w:color="auto"/>
                        <w:right w:val="none" w:sz="0" w:space="0" w:color="auto"/>
                      </w:divBdr>
                    </w:div>
                  </w:divsChild>
                </w:div>
                <w:div w:id="2101217127">
                  <w:marLeft w:val="0"/>
                  <w:marRight w:val="0"/>
                  <w:marTop w:val="0"/>
                  <w:marBottom w:val="0"/>
                  <w:divBdr>
                    <w:top w:val="none" w:sz="0" w:space="0" w:color="auto"/>
                    <w:left w:val="none" w:sz="0" w:space="0" w:color="auto"/>
                    <w:bottom w:val="none" w:sz="0" w:space="0" w:color="auto"/>
                    <w:right w:val="none" w:sz="0" w:space="0" w:color="auto"/>
                  </w:divBdr>
                  <w:divsChild>
                    <w:div w:id="14688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2072">
          <w:marLeft w:val="0"/>
          <w:marRight w:val="0"/>
          <w:marTop w:val="0"/>
          <w:marBottom w:val="0"/>
          <w:divBdr>
            <w:top w:val="none" w:sz="0" w:space="0" w:color="auto"/>
            <w:left w:val="none" w:sz="0" w:space="0" w:color="auto"/>
            <w:bottom w:val="none" w:sz="0" w:space="0" w:color="auto"/>
            <w:right w:val="none" w:sz="0" w:space="0" w:color="auto"/>
          </w:divBdr>
          <w:divsChild>
            <w:div w:id="916859446">
              <w:marLeft w:val="-75"/>
              <w:marRight w:val="0"/>
              <w:marTop w:val="30"/>
              <w:marBottom w:val="30"/>
              <w:divBdr>
                <w:top w:val="none" w:sz="0" w:space="0" w:color="auto"/>
                <w:left w:val="none" w:sz="0" w:space="0" w:color="auto"/>
                <w:bottom w:val="none" w:sz="0" w:space="0" w:color="auto"/>
                <w:right w:val="none" w:sz="0" w:space="0" w:color="auto"/>
              </w:divBdr>
              <w:divsChild>
                <w:div w:id="143668019">
                  <w:marLeft w:val="0"/>
                  <w:marRight w:val="0"/>
                  <w:marTop w:val="0"/>
                  <w:marBottom w:val="0"/>
                  <w:divBdr>
                    <w:top w:val="none" w:sz="0" w:space="0" w:color="auto"/>
                    <w:left w:val="none" w:sz="0" w:space="0" w:color="auto"/>
                    <w:bottom w:val="none" w:sz="0" w:space="0" w:color="auto"/>
                    <w:right w:val="none" w:sz="0" w:space="0" w:color="auto"/>
                  </w:divBdr>
                  <w:divsChild>
                    <w:div w:id="1430614201">
                      <w:marLeft w:val="0"/>
                      <w:marRight w:val="0"/>
                      <w:marTop w:val="0"/>
                      <w:marBottom w:val="0"/>
                      <w:divBdr>
                        <w:top w:val="none" w:sz="0" w:space="0" w:color="auto"/>
                        <w:left w:val="none" w:sz="0" w:space="0" w:color="auto"/>
                        <w:bottom w:val="none" w:sz="0" w:space="0" w:color="auto"/>
                        <w:right w:val="none" w:sz="0" w:space="0" w:color="auto"/>
                      </w:divBdr>
                    </w:div>
                  </w:divsChild>
                </w:div>
                <w:div w:id="267466971">
                  <w:marLeft w:val="0"/>
                  <w:marRight w:val="0"/>
                  <w:marTop w:val="0"/>
                  <w:marBottom w:val="0"/>
                  <w:divBdr>
                    <w:top w:val="none" w:sz="0" w:space="0" w:color="auto"/>
                    <w:left w:val="none" w:sz="0" w:space="0" w:color="auto"/>
                    <w:bottom w:val="none" w:sz="0" w:space="0" w:color="auto"/>
                    <w:right w:val="none" w:sz="0" w:space="0" w:color="auto"/>
                  </w:divBdr>
                  <w:divsChild>
                    <w:div w:id="788478513">
                      <w:marLeft w:val="0"/>
                      <w:marRight w:val="0"/>
                      <w:marTop w:val="0"/>
                      <w:marBottom w:val="0"/>
                      <w:divBdr>
                        <w:top w:val="none" w:sz="0" w:space="0" w:color="auto"/>
                        <w:left w:val="none" w:sz="0" w:space="0" w:color="auto"/>
                        <w:bottom w:val="none" w:sz="0" w:space="0" w:color="auto"/>
                        <w:right w:val="none" w:sz="0" w:space="0" w:color="auto"/>
                      </w:divBdr>
                    </w:div>
                  </w:divsChild>
                </w:div>
                <w:div w:id="546836508">
                  <w:marLeft w:val="0"/>
                  <w:marRight w:val="0"/>
                  <w:marTop w:val="0"/>
                  <w:marBottom w:val="0"/>
                  <w:divBdr>
                    <w:top w:val="none" w:sz="0" w:space="0" w:color="auto"/>
                    <w:left w:val="none" w:sz="0" w:space="0" w:color="auto"/>
                    <w:bottom w:val="none" w:sz="0" w:space="0" w:color="auto"/>
                    <w:right w:val="none" w:sz="0" w:space="0" w:color="auto"/>
                  </w:divBdr>
                  <w:divsChild>
                    <w:div w:id="1225219800">
                      <w:marLeft w:val="0"/>
                      <w:marRight w:val="0"/>
                      <w:marTop w:val="0"/>
                      <w:marBottom w:val="0"/>
                      <w:divBdr>
                        <w:top w:val="none" w:sz="0" w:space="0" w:color="auto"/>
                        <w:left w:val="none" w:sz="0" w:space="0" w:color="auto"/>
                        <w:bottom w:val="none" w:sz="0" w:space="0" w:color="auto"/>
                        <w:right w:val="none" w:sz="0" w:space="0" w:color="auto"/>
                      </w:divBdr>
                    </w:div>
                  </w:divsChild>
                </w:div>
                <w:div w:id="678001389">
                  <w:marLeft w:val="0"/>
                  <w:marRight w:val="0"/>
                  <w:marTop w:val="0"/>
                  <w:marBottom w:val="0"/>
                  <w:divBdr>
                    <w:top w:val="none" w:sz="0" w:space="0" w:color="auto"/>
                    <w:left w:val="none" w:sz="0" w:space="0" w:color="auto"/>
                    <w:bottom w:val="none" w:sz="0" w:space="0" w:color="auto"/>
                    <w:right w:val="none" w:sz="0" w:space="0" w:color="auto"/>
                  </w:divBdr>
                  <w:divsChild>
                    <w:div w:id="1124421558">
                      <w:marLeft w:val="0"/>
                      <w:marRight w:val="0"/>
                      <w:marTop w:val="0"/>
                      <w:marBottom w:val="0"/>
                      <w:divBdr>
                        <w:top w:val="none" w:sz="0" w:space="0" w:color="auto"/>
                        <w:left w:val="none" w:sz="0" w:space="0" w:color="auto"/>
                        <w:bottom w:val="none" w:sz="0" w:space="0" w:color="auto"/>
                        <w:right w:val="none" w:sz="0" w:space="0" w:color="auto"/>
                      </w:divBdr>
                    </w:div>
                  </w:divsChild>
                </w:div>
                <w:div w:id="720322348">
                  <w:marLeft w:val="0"/>
                  <w:marRight w:val="0"/>
                  <w:marTop w:val="0"/>
                  <w:marBottom w:val="0"/>
                  <w:divBdr>
                    <w:top w:val="none" w:sz="0" w:space="0" w:color="auto"/>
                    <w:left w:val="none" w:sz="0" w:space="0" w:color="auto"/>
                    <w:bottom w:val="none" w:sz="0" w:space="0" w:color="auto"/>
                    <w:right w:val="none" w:sz="0" w:space="0" w:color="auto"/>
                  </w:divBdr>
                  <w:divsChild>
                    <w:div w:id="935988189">
                      <w:marLeft w:val="0"/>
                      <w:marRight w:val="0"/>
                      <w:marTop w:val="0"/>
                      <w:marBottom w:val="0"/>
                      <w:divBdr>
                        <w:top w:val="none" w:sz="0" w:space="0" w:color="auto"/>
                        <w:left w:val="none" w:sz="0" w:space="0" w:color="auto"/>
                        <w:bottom w:val="none" w:sz="0" w:space="0" w:color="auto"/>
                        <w:right w:val="none" w:sz="0" w:space="0" w:color="auto"/>
                      </w:divBdr>
                    </w:div>
                  </w:divsChild>
                </w:div>
                <w:div w:id="840050549">
                  <w:marLeft w:val="0"/>
                  <w:marRight w:val="0"/>
                  <w:marTop w:val="0"/>
                  <w:marBottom w:val="0"/>
                  <w:divBdr>
                    <w:top w:val="none" w:sz="0" w:space="0" w:color="auto"/>
                    <w:left w:val="none" w:sz="0" w:space="0" w:color="auto"/>
                    <w:bottom w:val="none" w:sz="0" w:space="0" w:color="auto"/>
                    <w:right w:val="none" w:sz="0" w:space="0" w:color="auto"/>
                  </w:divBdr>
                  <w:divsChild>
                    <w:div w:id="468740518">
                      <w:marLeft w:val="0"/>
                      <w:marRight w:val="0"/>
                      <w:marTop w:val="0"/>
                      <w:marBottom w:val="0"/>
                      <w:divBdr>
                        <w:top w:val="none" w:sz="0" w:space="0" w:color="auto"/>
                        <w:left w:val="none" w:sz="0" w:space="0" w:color="auto"/>
                        <w:bottom w:val="none" w:sz="0" w:space="0" w:color="auto"/>
                        <w:right w:val="none" w:sz="0" w:space="0" w:color="auto"/>
                      </w:divBdr>
                    </w:div>
                  </w:divsChild>
                </w:div>
                <w:div w:id="1010915195">
                  <w:marLeft w:val="0"/>
                  <w:marRight w:val="0"/>
                  <w:marTop w:val="0"/>
                  <w:marBottom w:val="0"/>
                  <w:divBdr>
                    <w:top w:val="none" w:sz="0" w:space="0" w:color="auto"/>
                    <w:left w:val="none" w:sz="0" w:space="0" w:color="auto"/>
                    <w:bottom w:val="none" w:sz="0" w:space="0" w:color="auto"/>
                    <w:right w:val="none" w:sz="0" w:space="0" w:color="auto"/>
                  </w:divBdr>
                  <w:divsChild>
                    <w:div w:id="60906544">
                      <w:marLeft w:val="0"/>
                      <w:marRight w:val="0"/>
                      <w:marTop w:val="0"/>
                      <w:marBottom w:val="0"/>
                      <w:divBdr>
                        <w:top w:val="none" w:sz="0" w:space="0" w:color="auto"/>
                        <w:left w:val="none" w:sz="0" w:space="0" w:color="auto"/>
                        <w:bottom w:val="none" w:sz="0" w:space="0" w:color="auto"/>
                        <w:right w:val="none" w:sz="0" w:space="0" w:color="auto"/>
                      </w:divBdr>
                    </w:div>
                  </w:divsChild>
                </w:div>
                <w:div w:id="1182401253">
                  <w:marLeft w:val="0"/>
                  <w:marRight w:val="0"/>
                  <w:marTop w:val="0"/>
                  <w:marBottom w:val="0"/>
                  <w:divBdr>
                    <w:top w:val="none" w:sz="0" w:space="0" w:color="auto"/>
                    <w:left w:val="none" w:sz="0" w:space="0" w:color="auto"/>
                    <w:bottom w:val="none" w:sz="0" w:space="0" w:color="auto"/>
                    <w:right w:val="none" w:sz="0" w:space="0" w:color="auto"/>
                  </w:divBdr>
                  <w:divsChild>
                    <w:div w:id="1027027186">
                      <w:marLeft w:val="0"/>
                      <w:marRight w:val="0"/>
                      <w:marTop w:val="0"/>
                      <w:marBottom w:val="0"/>
                      <w:divBdr>
                        <w:top w:val="none" w:sz="0" w:space="0" w:color="auto"/>
                        <w:left w:val="none" w:sz="0" w:space="0" w:color="auto"/>
                        <w:bottom w:val="none" w:sz="0" w:space="0" w:color="auto"/>
                        <w:right w:val="none" w:sz="0" w:space="0" w:color="auto"/>
                      </w:divBdr>
                    </w:div>
                  </w:divsChild>
                </w:div>
                <w:div w:id="1193038518">
                  <w:marLeft w:val="0"/>
                  <w:marRight w:val="0"/>
                  <w:marTop w:val="0"/>
                  <w:marBottom w:val="0"/>
                  <w:divBdr>
                    <w:top w:val="none" w:sz="0" w:space="0" w:color="auto"/>
                    <w:left w:val="none" w:sz="0" w:space="0" w:color="auto"/>
                    <w:bottom w:val="none" w:sz="0" w:space="0" w:color="auto"/>
                    <w:right w:val="none" w:sz="0" w:space="0" w:color="auto"/>
                  </w:divBdr>
                  <w:divsChild>
                    <w:div w:id="713625052">
                      <w:marLeft w:val="0"/>
                      <w:marRight w:val="0"/>
                      <w:marTop w:val="0"/>
                      <w:marBottom w:val="0"/>
                      <w:divBdr>
                        <w:top w:val="none" w:sz="0" w:space="0" w:color="auto"/>
                        <w:left w:val="none" w:sz="0" w:space="0" w:color="auto"/>
                        <w:bottom w:val="none" w:sz="0" w:space="0" w:color="auto"/>
                        <w:right w:val="none" w:sz="0" w:space="0" w:color="auto"/>
                      </w:divBdr>
                    </w:div>
                  </w:divsChild>
                </w:div>
                <w:div w:id="1343781154">
                  <w:marLeft w:val="0"/>
                  <w:marRight w:val="0"/>
                  <w:marTop w:val="0"/>
                  <w:marBottom w:val="0"/>
                  <w:divBdr>
                    <w:top w:val="none" w:sz="0" w:space="0" w:color="auto"/>
                    <w:left w:val="none" w:sz="0" w:space="0" w:color="auto"/>
                    <w:bottom w:val="none" w:sz="0" w:space="0" w:color="auto"/>
                    <w:right w:val="none" w:sz="0" w:space="0" w:color="auto"/>
                  </w:divBdr>
                  <w:divsChild>
                    <w:div w:id="353311521">
                      <w:marLeft w:val="0"/>
                      <w:marRight w:val="0"/>
                      <w:marTop w:val="0"/>
                      <w:marBottom w:val="0"/>
                      <w:divBdr>
                        <w:top w:val="none" w:sz="0" w:space="0" w:color="auto"/>
                        <w:left w:val="none" w:sz="0" w:space="0" w:color="auto"/>
                        <w:bottom w:val="none" w:sz="0" w:space="0" w:color="auto"/>
                        <w:right w:val="none" w:sz="0" w:space="0" w:color="auto"/>
                      </w:divBdr>
                    </w:div>
                  </w:divsChild>
                </w:div>
                <w:div w:id="1932347702">
                  <w:marLeft w:val="0"/>
                  <w:marRight w:val="0"/>
                  <w:marTop w:val="0"/>
                  <w:marBottom w:val="0"/>
                  <w:divBdr>
                    <w:top w:val="none" w:sz="0" w:space="0" w:color="auto"/>
                    <w:left w:val="none" w:sz="0" w:space="0" w:color="auto"/>
                    <w:bottom w:val="none" w:sz="0" w:space="0" w:color="auto"/>
                    <w:right w:val="none" w:sz="0" w:space="0" w:color="auto"/>
                  </w:divBdr>
                  <w:divsChild>
                    <w:div w:id="846406468">
                      <w:marLeft w:val="0"/>
                      <w:marRight w:val="0"/>
                      <w:marTop w:val="0"/>
                      <w:marBottom w:val="0"/>
                      <w:divBdr>
                        <w:top w:val="none" w:sz="0" w:space="0" w:color="auto"/>
                        <w:left w:val="none" w:sz="0" w:space="0" w:color="auto"/>
                        <w:bottom w:val="none" w:sz="0" w:space="0" w:color="auto"/>
                        <w:right w:val="none" w:sz="0" w:space="0" w:color="auto"/>
                      </w:divBdr>
                    </w:div>
                  </w:divsChild>
                </w:div>
                <w:div w:id="1945724022">
                  <w:marLeft w:val="0"/>
                  <w:marRight w:val="0"/>
                  <w:marTop w:val="0"/>
                  <w:marBottom w:val="0"/>
                  <w:divBdr>
                    <w:top w:val="none" w:sz="0" w:space="0" w:color="auto"/>
                    <w:left w:val="none" w:sz="0" w:space="0" w:color="auto"/>
                    <w:bottom w:val="none" w:sz="0" w:space="0" w:color="auto"/>
                    <w:right w:val="none" w:sz="0" w:space="0" w:color="auto"/>
                  </w:divBdr>
                  <w:divsChild>
                    <w:div w:id="144372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188451">
          <w:marLeft w:val="0"/>
          <w:marRight w:val="0"/>
          <w:marTop w:val="0"/>
          <w:marBottom w:val="0"/>
          <w:divBdr>
            <w:top w:val="none" w:sz="0" w:space="0" w:color="auto"/>
            <w:left w:val="none" w:sz="0" w:space="0" w:color="auto"/>
            <w:bottom w:val="none" w:sz="0" w:space="0" w:color="auto"/>
            <w:right w:val="none" w:sz="0" w:space="0" w:color="auto"/>
          </w:divBdr>
          <w:divsChild>
            <w:div w:id="48463460">
              <w:marLeft w:val="-75"/>
              <w:marRight w:val="0"/>
              <w:marTop w:val="30"/>
              <w:marBottom w:val="30"/>
              <w:divBdr>
                <w:top w:val="none" w:sz="0" w:space="0" w:color="auto"/>
                <w:left w:val="none" w:sz="0" w:space="0" w:color="auto"/>
                <w:bottom w:val="none" w:sz="0" w:space="0" w:color="auto"/>
                <w:right w:val="none" w:sz="0" w:space="0" w:color="auto"/>
              </w:divBdr>
              <w:divsChild>
                <w:div w:id="38550218">
                  <w:marLeft w:val="0"/>
                  <w:marRight w:val="0"/>
                  <w:marTop w:val="0"/>
                  <w:marBottom w:val="0"/>
                  <w:divBdr>
                    <w:top w:val="none" w:sz="0" w:space="0" w:color="auto"/>
                    <w:left w:val="none" w:sz="0" w:space="0" w:color="auto"/>
                    <w:bottom w:val="none" w:sz="0" w:space="0" w:color="auto"/>
                    <w:right w:val="none" w:sz="0" w:space="0" w:color="auto"/>
                  </w:divBdr>
                  <w:divsChild>
                    <w:div w:id="1714191098">
                      <w:marLeft w:val="0"/>
                      <w:marRight w:val="0"/>
                      <w:marTop w:val="0"/>
                      <w:marBottom w:val="0"/>
                      <w:divBdr>
                        <w:top w:val="none" w:sz="0" w:space="0" w:color="auto"/>
                        <w:left w:val="none" w:sz="0" w:space="0" w:color="auto"/>
                        <w:bottom w:val="none" w:sz="0" w:space="0" w:color="auto"/>
                        <w:right w:val="none" w:sz="0" w:space="0" w:color="auto"/>
                      </w:divBdr>
                    </w:div>
                  </w:divsChild>
                </w:div>
                <w:div w:id="381055505">
                  <w:marLeft w:val="0"/>
                  <w:marRight w:val="0"/>
                  <w:marTop w:val="0"/>
                  <w:marBottom w:val="0"/>
                  <w:divBdr>
                    <w:top w:val="none" w:sz="0" w:space="0" w:color="auto"/>
                    <w:left w:val="none" w:sz="0" w:space="0" w:color="auto"/>
                    <w:bottom w:val="none" w:sz="0" w:space="0" w:color="auto"/>
                    <w:right w:val="none" w:sz="0" w:space="0" w:color="auto"/>
                  </w:divBdr>
                  <w:divsChild>
                    <w:div w:id="1716350384">
                      <w:marLeft w:val="0"/>
                      <w:marRight w:val="0"/>
                      <w:marTop w:val="0"/>
                      <w:marBottom w:val="0"/>
                      <w:divBdr>
                        <w:top w:val="none" w:sz="0" w:space="0" w:color="auto"/>
                        <w:left w:val="none" w:sz="0" w:space="0" w:color="auto"/>
                        <w:bottom w:val="none" w:sz="0" w:space="0" w:color="auto"/>
                        <w:right w:val="none" w:sz="0" w:space="0" w:color="auto"/>
                      </w:divBdr>
                    </w:div>
                  </w:divsChild>
                </w:div>
                <w:div w:id="474840486">
                  <w:marLeft w:val="0"/>
                  <w:marRight w:val="0"/>
                  <w:marTop w:val="0"/>
                  <w:marBottom w:val="0"/>
                  <w:divBdr>
                    <w:top w:val="none" w:sz="0" w:space="0" w:color="auto"/>
                    <w:left w:val="none" w:sz="0" w:space="0" w:color="auto"/>
                    <w:bottom w:val="none" w:sz="0" w:space="0" w:color="auto"/>
                    <w:right w:val="none" w:sz="0" w:space="0" w:color="auto"/>
                  </w:divBdr>
                  <w:divsChild>
                    <w:div w:id="526723923">
                      <w:marLeft w:val="0"/>
                      <w:marRight w:val="0"/>
                      <w:marTop w:val="0"/>
                      <w:marBottom w:val="0"/>
                      <w:divBdr>
                        <w:top w:val="none" w:sz="0" w:space="0" w:color="auto"/>
                        <w:left w:val="none" w:sz="0" w:space="0" w:color="auto"/>
                        <w:bottom w:val="none" w:sz="0" w:space="0" w:color="auto"/>
                        <w:right w:val="none" w:sz="0" w:space="0" w:color="auto"/>
                      </w:divBdr>
                    </w:div>
                  </w:divsChild>
                </w:div>
                <w:div w:id="480734909">
                  <w:marLeft w:val="0"/>
                  <w:marRight w:val="0"/>
                  <w:marTop w:val="0"/>
                  <w:marBottom w:val="0"/>
                  <w:divBdr>
                    <w:top w:val="none" w:sz="0" w:space="0" w:color="auto"/>
                    <w:left w:val="none" w:sz="0" w:space="0" w:color="auto"/>
                    <w:bottom w:val="none" w:sz="0" w:space="0" w:color="auto"/>
                    <w:right w:val="none" w:sz="0" w:space="0" w:color="auto"/>
                  </w:divBdr>
                  <w:divsChild>
                    <w:div w:id="53895396">
                      <w:marLeft w:val="0"/>
                      <w:marRight w:val="0"/>
                      <w:marTop w:val="0"/>
                      <w:marBottom w:val="0"/>
                      <w:divBdr>
                        <w:top w:val="none" w:sz="0" w:space="0" w:color="auto"/>
                        <w:left w:val="none" w:sz="0" w:space="0" w:color="auto"/>
                        <w:bottom w:val="none" w:sz="0" w:space="0" w:color="auto"/>
                        <w:right w:val="none" w:sz="0" w:space="0" w:color="auto"/>
                      </w:divBdr>
                    </w:div>
                  </w:divsChild>
                </w:div>
                <w:div w:id="774328308">
                  <w:marLeft w:val="0"/>
                  <w:marRight w:val="0"/>
                  <w:marTop w:val="0"/>
                  <w:marBottom w:val="0"/>
                  <w:divBdr>
                    <w:top w:val="none" w:sz="0" w:space="0" w:color="auto"/>
                    <w:left w:val="none" w:sz="0" w:space="0" w:color="auto"/>
                    <w:bottom w:val="none" w:sz="0" w:space="0" w:color="auto"/>
                    <w:right w:val="none" w:sz="0" w:space="0" w:color="auto"/>
                  </w:divBdr>
                  <w:divsChild>
                    <w:div w:id="2039700558">
                      <w:marLeft w:val="0"/>
                      <w:marRight w:val="0"/>
                      <w:marTop w:val="0"/>
                      <w:marBottom w:val="0"/>
                      <w:divBdr>
                        <w:top w:val="none" w:sz="0" w:space="0" w:color="auto"/>
                        <w:left w:val="none" w:sz="0" w:space="0" w:color="auto"/>
                        <w:bottom w:val="none" w:sz="0" w:space="0" w:color="auto"/>
                        <w:right w:val="none" w:sz="0" w:space="0" w:color="auto"/>
                      </w:divBdr>
                    </w:div>
                  </w:divsChild>
                </w:div>
                <w:div w:id="872808891">
                  <w:marLeft w:val="0"/>
                  <w:marRight w:val="0"/>
                  <w:marTop w:val="0"/>
                  <w:marBottom w:val="0"/>
                  <w:divBdr>
                    <w:top w:val="none" w:sz="0" w:space="0" w:color="auto"/>
                    <w:left w:val="none" w:sz="0" w:space="0" w:color="auto"/>
                    <w:bottom w:val="none" w:sz="0" w:space="0" w:color="auto"/>
                    <w:right w:val="none" w:sz="0" w:space="0" w:color="auto"/>
                  </w:divBdr>
                  <w:divsChild>
                    <w:div w:id="1309479715">
                      <w:marLeft w:val="0"/>
                      <w:marRight w:val="0"/>
                      <w:marTop w:val="0"/>
                      <w:marBottom w:val="0"/>
                      <w:divBdr>
                        <w:top w:val="none" w:sz="0" w:space="0" w:color="auto"/>
                        <w:left w:val="none" w:sz="0" w:space="0" w:color="auto"/>
                        <w:bottom w:val="none" w:sz="0" w:space="0" w:color="auto"/>
                        <w:right w:val="none" w:sz="0" w:space="0" w:color="auto"/>
                      </w:divBdr>
                    </w:div>
                  </w:divsChild>
                </w:div>
                <w:div w:id="1071925246">
                  <w:marLeft w:val="0"/>
                  <w:marRight w:val="0"/>
                  <w:marTop w:val="0"/>
                  <w:marBottom w:val="0"/>
                  <w:divBdr>
                    <w:top w:val="none" w:sz="0" w:space="0" w:color="auto"/>
                    <w:left w:val="none" w:sz="0" w:space="0" w:color="auto"/>
                    <w:bottom w:val="none" w:sz="0" w:space="0" w:color="auto"/>
                    <w:right w:val="none" w:sz="0" w:space="0" w:color="auto"/>
                  </w:divBdr>
                  <w:divsChild>
                    <w:div w:id="1833059641">
                      <w:marLeft w:val="0"/>
                      <w:marRight w:val="0"/>
                      <w:marTop w:val="0"/>
                      <w:marBottom w:val="0"/>
                      <w:divBdr>
                        <w:top w:val="none" w:sz="0" w:space="0" w:color="auto"/>
                        <w:left w:val="none" w:sz="0" w:space="0" w:color="auto"/>
                        <w:bottom w:val="none" w:sz="0" w:space="0" w:color="auto"/>
                        <w:right w:val="none" w:sz="0" w:space="0" w:color="auto"/>
                      </w:divBdr>
                    </w:div>
                  </w:divsChild>
                </w:div>
                <w:div w:id="1244685157">
                  <w:marLeft w:val="0"/>
                  <w:marRight w:val="0"/>
                  <w:marTop w:val="0"/>
                  <w:marBottom w:val="0"/>
                  <w:divBdr>
                    <w:top w:val="none" w:sz="0" w:space="0" w:color="auto"/>
                    <w:left w:val="none" w:sz="0" w:space="0" w:color="auto"/>
                    <w:bottom w:val="none" w:sz="0" w:space="0" w:color="auto"/>
                    <w:right w:val="none" w:sz="0" w:space="0" w:color="auto"/>
                  </w:divBdr>
                  <w:divsChild>
                    <w:div w:id="1201168025">
                      <w:marLeft w:val="0"/>
                      <w:marRight w:val="0"/>
                      <w:marTop w:val="0"/>
                      <w:marBottom w:val="0"/>
                      <w:divBdr>
                        <w:top w:val="none" w:sz="0" w:space="0" w:color="auto"/>
                        <w:left w:val="none" w:sz="0" w:space="0" w:color="auto"/>
                        <w:bottom w:val="none" w:sz="0" w:space="0" w:color="auto"/>
                        <w:right w:val="none" w:sz="0" w:space="0" w:color="auto"/>
                      </w:divBdr>
                    </w:div>
                  </w:divsChild>
                </w:div>
                <w:div w:id="1564563926">
                  <w:marLeft w:val="0"/>
                  <w:marRight w:val="0"/>
                  <w:marTop w:val="0"/>
                  <w:marBottom w:val="0"/>
                  <w:divBdr>
                    <w:top w:val="none" w:sz="0" w:space="0" w:color="auto"/>
                    <w:left w:val="none" w:sz="0" w:space="0" w:color="auto"/>
                    <w:bottom w:val="none" w:sz="0" w:space="0" w:color="auto"/>
                    <w:right w:val="none" w:sz="0" w:space="0" w:color="auto"/>
                  </w:divBdr>
                  <w:divsChild>
                    <w:div w:id="502470657">
                      <w:marLeft w:val="0"/>
                      <w:marRight w:val="0"/>
                      <w:marTop w:val="0"/>
                      <w:marBottom w:val="0"/>
                      <w:divBdr>
                        <w:top w:val="none" w:sz="0" w:space="0" w:color="auto"/>
                        <w:left w:val="none" w:sz="0" w:space="0" w:color="auto"/>
                        <w:bottom w:val="none" w:sz="0" w:space="0" w:color="auto"/>
                        <w:right w:val="none" w:sz="0" w:space="0" w:color="auto"/>
                      </w:divBdr>
                    </w:div>
                  </w:divsChild>
                </w:div>
                <w:div w:id="1642034576">
                  <w:marLeft w:val="0"/>
                  <w:marRight w:val="0"/>
                  <w:marTop w:val="0"/>
                  <w:marBottom w:val="0"/>
                  <w:divBdr>
                    <w:top w:val="none" w:sz="0" w:space="0" w:color="auto"/>
                    <w:left w:val="none" w:sz="0" w:space="0" w:color="auto"/>
                    <w:bottom w:val="none" w:sz="0" w:space="0" w:color="auto"/>
                    <w:right w:val="none" w:sz="0" w:space="0" w:color="auto"/>
                  </w:divBdr>
                  <w:divsChild>
                    <w:div w:id="1989555326">
                      <w:marLeft w:val="0"/>
                      <w:marRight w:val="0"/>
                      <w:marTop w:val="0"/>
                      <w:marBottom w:val="0"/>
                      <w:divBdr>
                        <w:top w:val="none" w:sz="0" w:space="0" w:color="auto"/>
                        <w:left w:val="none" w:sz="0" w:space="0" w:color="auto"/>
                        <w:bottom w:val="none" w:sz="0" w:space="0" w:color="auto"/>
                        <w:right w:val="none" w:sz="0" w:space="0" w:color="auto"/>
                      </w:divBdr>
                    </w:div>
                  </w:divsChild>
                </w:div>
                <w:div w:id="1779174608">
                  <w:marLeft w:val="0"/>
                  <w:marRight w:val="0"/>
                  <w:marTop w:val="0"/>
                  <w:marBottom w:val="0"/>
                  <w:divBdr>
                    <w:top w:val="none" w:sz="0" w:space="0" w:color="auto"/>
                    <w:left w:val="none" w:sz="0" w:space="0" w:color="auto"/>
                    <w:bottom w:val="none" w:sz="0" w:space="0" w:color="auto"/>
                    <w:right w:val="none" w:sz="0" w:space="0" w:color="auto"/>
                  </w:divBdr>
                  <w:divsChild>
                    <w:div w:id="924461949">
                      <w:marLeft w:val="0"/>
                      <w:marRight w:val="0"/>
                      <w:marTop w:val="0"/>
                      <w:marBottom w:val="0"/>
                      <w:divBdr>
                        <w:top w:val="none" w:sz="0" w:space="0" w:color="auto"/>
                        <w:left w:val="none" w:sz="0" w:space="0" w:color="auto"/>
                        <w:bottom w:val="none" w:sz="0" w:space="0" w:color="auto"/>
                        <w:right w:val="none" w:sz="0" w:space="0" w:color="auto"/>
                      </w:divBdr>
                    </w:div>
                  </w:divsChild>
                </w:div>
                <w:div w:id="2055813446">
                  <w:marLeft w:val="0"/>
                  <w:marRight w:val="0"/>
                  <w:marTop w:val="0"/>
                  <w:marBottom w:val="0"/>
                  <w:divBdr>
                    <w:top w:val="none" w:sz="0" w:space="0" w:color="auto"/>
                    <w:left w:val="none" w:sz="0" w:space="0" w:color="auto"/>
                    <w:bottom w:val="none" w:sz="0" w:space="0" w:color="auto"/>
                    <w:right w:val="none" w:sz="0" w:space="0" w:color="auto"/>
                  </w:divBdr>
                  <w:divsChild>
                    <w:div w:id="168447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2484">
          <w:marLeft w:val="0"/>
          <w:marRight w:val="0"/>
          <w:marTop w:val="0"/>
          <w:marBottom w:val="0"/>
          <w:divBdr>
            <w:top w:val="none" w:sz="0" w:space="0" w:color="auto"/>
            <w:left w:val="none" w:sz="0" w:space="0" w:color="auto"/>
            <w:bottom w:val="none" w:sz="0" w:space="0" w:color="auto"/>
            <w:right w:val="none" w:sz="0" w:space="0" w:color="auto"/>
          </w:divBdr>
          <w:divsChild>
            <w:div w:id="1803422977">
              <w:marLeft w:val="-75"/>
              <w:marRight w:val="0"/>
              <w:marTop w:val="30"/>
              <w:marBottom w:val="30"/>
              <w:divBdr>
                <w:top w:val="none" w:sz="0" w:space="0" w:color="auto"/>
                <w:left w:val="none" w:sz="0" w:space="0" w:color="auto"/>
                <w:bottom w:val="none" w:sz="0" w:space="0" w:color="auto"/>
                <w:right w:val="none" w:sz="0" w:space="0" w:color="auto"/>
              </w:divBdr>
              <w:divsChild>
                <w:div w:id="19626386">
                  <w:marLeft w:val="0"/>
                  <w:marRight w:val="0"/>
                  <w:marTop w:val="0"/>
                  <w:marBottom w:val="0"/>
                  <w:divBdr>
                    <w:top w:val="none" w:sz="0" w:space="0" w:color="auto"/>
                    <w:left w:val="none" w:sz="0" w:space="0" w:color="auto"/>
                    <w:bottom w:val="none" w:sz="0" w:space="0" w:color="auto"/>
                    <w:right w:val="none" w:sz="0" w:space="0" w:color="auto"/>
                  </w:divBdr>
                  <w:divsChild>
                    <w:div w:id="639311884">
                      <w:marLeft w:val="0"/>
                      <w:marRight w:val="0"/>
                      <w:marTop w:val="0"/>
                      <w:marBottom w:val="0"/>
                      <w:divBdr>
                        <w:top w:val="none" w:sz="0" w:space="0" w:color="auto"/>
                        <w:left w:val="none" w:sz="0" w:space="0" w:color="auto"/>
                        <w:bottom w:val="none" w:sz="0" w:space="0" w:color="auto"/>
                        <w:right w:val="none" w:sz="0" w:space="0" w:color="auto"/>
                      </w:divBdr>
                    </w:div>
                  </w:divsChild>
                </w:div>
                <w:div w:id="106781879">
                  <w:marLeft w:val="0"/>
                  <w:marRight w:val="0"/>
                  <w:marTop w:val="0"/>
                  <w:marBottom w:val="0"/>
                  <w:divBdr>
                    <w:top w:val="none" w:sz="0" w:space="0" w:color="auto"/>
                    <w:left w:val="none" w:sz="0" w:space="0" w:color="auto"/>
                    <w:bottom w:val="none" w:sz="0" w:space="0" w:color="auto"/>
                    <w:right w:val="none" w:sz="0" w:space="0" w:color="auto"/>
                  </w:divBdr>
                  <w:divsChild>
                    <w:div w:id="1225339033">
                      <w:marLeft w:val="0"/>
                      <w:marRight w:val="0"/>
                      <w:marTop w:val="0"/>
                      <w:marBottom w:val="0"/>
                      <w:divBdr>
                        <w:top w:val="none" w:sz="0" w:space="0" w:color="auto"/>
                        <w:left w:val="none" w:sz="0" w:space="0" w:color="auto"/>
                        <w:bottom w:val="none" w:sz="0" w:space="0" w:color="auto"/>
                        <w:right w:val="none" w:sz="0" w:space="0" w:color="auto"/>
                      </w:divBdr>
                    </w:div>
                  </w:divsChild>
                </w:div>
                <w:div w:id="264967476">
                  <w:marLeft w:val="0"/>
                  <w:marRight w:val="0"/>
                  <w:marTop w:val="0"/>
                  <w:marBottom w:val="0"/>
                  <w:divBdr>
                    <w:top w:val="none" w:sz="0" w:space="0" w:color="auto"/>
                    <w:left w:val="none" w:sz="0" w:space="0" w:color="auto"/>
                    <w:bottom w:val="none" w:sz="0" w:space="0" w:color="auto"/>
                    <w:right w:val="none" w:sz="0" w:space="0" w:color="auto"/>
                  </w:divBdr>
                  <w:divsChild>
                    <w:div w:id="286014315">
                      <w:marLeft w:val="0"/>
                      <w:marRight w:val="0"/>
                      <w:marTop w:val="0"/>
                      <w:marBottom w:val="0"/>
                      <w:divBdr>
                        <w:top w:val="none" w:sz="0" w:space="0" w:color="auto"/>
                        <w:left w:val="none" w:sz="0" w:space="0" w:color="auto"/>
                        <w:bottom w:val="none" w:sz="0" w:space="0" w:color="auto"/>
                        <w:right w:val="none" w:sz="0" w:space="0" w:color="auto"/>
                      </w:divBdr>
                    </w:div>
                  </w:divsChild>
                </w:div>
                <w:div w:id="391391185">
                  <w:marLeft w:val="0"/>
                  <w:marRight w:val="0"/>
                  <w:marTop w:val="0"/>
                  <w:marBottom w:val="0"/>
                  <w:divBdr>
                    <w:top w:val="none" w:sz="0" w:space="0" w:color="auto"/>
                    <w:left w:val="none" w:sz="0" w:space="0" w:color="auto"/>
                    <w:bottom w:val="none" w:sz="0" w:space="0" w:color="auto"/>
                    <w:right w:val="none" w:sz="0" w:space="0" w:color="auto"/>
                  </w:divBdr>
                  <w:divsChild>
                    <w:div w:id="2030060079">
                      <w:marLeft w:val="0"/>
                      <w:marRight w:val="0"/>
                      <w:marTop w:val="0"/>
                      <w:marBottom w:val="0"/>
                      <w:divBdr>
                        <w:top w:val="none" w:sz="0" w:space="0" w:color="auto"/>
                        <w:left w:val="none" w:sz="0" w:space="0" w:color="auto"/>
                        <w:bottom w:val="none" w:sz="0" w:space="0" w:color="auto"/>
                        <w:right w:val="none" w:sz="0" w:space="0" w:color="auto"/>
                      </w:divBdr>
                    </w:div>
                    <w:div w:id="2099205626">
                      <w:marLeft w:val="0"/>
                      <w:marRight w:val="0"/>
                      <w:marTop w:val="0"/>
                      <w:marBottom w:val="0"/>
                      <w:divBdr>
                        <w:top w:val="none" w:sz="0" w:space="0" w:color="auto"/>
                        <w:left w:val="none" w:sz="0" w:space="0" w:color="auto"/>
                        <w:bottom w:val="none" w:sz="0" w:space="0" w:color="auto"/>
                        <w:right w:val="none" w:sz="0" w:space="0" w:color="auto"/>
                      </w:divBdr>
                    </w:div>
                  </w:divsChild>
                </w:div>
                <w:div w:id="530802850">
                  <w:marLeft w:val="0"/>
                  <w:marRight w:val="0"/>
                  <w:marTop w:val="0"/>
                  <w:marBottom w:val="0"/>
                  <w:divBdr>
                    <w:top w:val="none" w:sz="0" w:space="0" w:color="auto"/>
                    <w:left w:val="none" w:sz="0" w:space="0" w:color="auto"/>
                    <w:bottom w:val="none" w:sz="0" w:space="0" w:color="auto"/>
                    <w:right w:val="none" w:sz="0" w:space="0" w:color="auto"/>
                  </w:divBdr>
                  <w:divsChild>
                    <w:div w:id="1669214242">
                      <w:marLeft w:val="0"/>
                      <w:marRight w:val="0"/>
                      <w:marTop w:val="0"/>
                      <w:marBottom w:val="0"/>
                      <w:divBdr>
                        <w:top w:val="none" w:sz="0" w:space="0" w:color="auto"/>
                        <w:left w:val="none" w:sz="0" w:space="0" w:color="auto"/>
                        <w:bottom w:val="none" w:sz="0" w:space="0" w:color="auto"/>
                        <w:right w:val="none" w:sz="0" w:space="0" w:color="auto"/>
                      </w:divBdr>
                    </w:div>
                  </w:divsChild>
                </w:div>
                <w:div w:id="566843188">
                  <w:marLeft w:val="0"/>
                  <w:marRight w:val="0"/>
                  <w:marTop w:val="0"/>
                  <w:marBottom w:val="0"/>
                  <w:divBdr>
                    <w:top w:val="none" w:sz="0" w:space="0" w:color="auto"/>
                    <w:left w:val="none" w:sz="0" w:space="0" w:color="auto"/>
                    <w:bottom w:val="none" w:sz="0" w:space="0" w:color="auto"/>
                    <w:right w:val="none" w:sz="0" w:space="0" w:color="auto"/>
                  </w:divBdr>
                  <w:divsChild>
                    <w:div w:id="908884581">
                      <w:marLeft w:val="0"/>
                      <w:marRight w:val="0"/>
                      <w:marTop w:val="0"/>
                      <w:marBottom w:val="0"/>
                      <w:divBdr>
                        <w:top w:val="none" w:sz="0" w:space="0" w:color="auto"/>
                        <w:left w:val="none" w:sz="0" w:space="0" w:color="auto"/>
                        <w:bottom w:val="none" w:sz="0" w:space="0" w:color="auto"/>
                        <w:right w:val="none" w:sz="0" w:space="0" w:color="auto"/>
                      </w:divBdr>
                    </w:div>
                  </w:divsChild>
                </w:div>
                <w:div w:id="672296061">
                  <w:marLeft w:val="0"/>
                  <w:marRight w:val="0"/>
                  <w:marTop w:val="0"/>
                  <w:marBottom w:val="0"/>
                  <w:divBdr>
                    <w:top w:val="none" w:sz="0" w:space="0" w:color="auto"/>
                    <w:left w:val="none" w:sz="0" w:space="0" w:color="auto"/>
                    <w:bottom w:val="none" w:sz="0" w:space="0" w:color="auto"/>
                    <w:right w:val="none" w:sz="0" w:space="0" w:color="auto"/>
                  </w:divBdr>
                  <w:divsChild>
                    <w:div w:id="1918053183">
                      <w:marLeft w:val="0"/>
                      <w:marRight w:val="0"/>
                      <w:marTop w:val="0"/>
                      <w:marBottom w:val="0"/>
                      <w:divBdr>
                        <w:top w:val="none" w:sz="0" w:space="0" w:color="auto"/>
                        <w:left w:val="none" w:sz="0" w:space="0" w:color="auto"/>
                        <w:bottom w:val="none" w:sz="0" w:space="0" w:color="auto"/>
                        <w:right w:val="none" w:sz="0" w:space="0" w:color="auto"/>
                      </w:divBdr>
                    </w:div>
                  </w:divsChild>
                </w:div>
                <w:div w:id="693502527">
                  <w:marLeft w:val="0"/>
                  <w:marRight w:val="0"/>
                  <w:marTop w:val="0"/>
                  <w:marBottom w:val="0"/>
                  <w:divBdr>
                    <w:top w:val="none" w:sz="0" w:space="0" w:color="auto"/>
                    <w:left w:val="none" w:sz="0" w:space="0" w:color="auto"/>
                    <w:bottom w:val="none" w:sz="0" w:space="0" w:color="auto"/>
                    <w:right w:val="none" w:sz="0" w:space="0" w:color="auto"/>
                  </w:divBdr>
                  <w:divsChild>
                    <w:div w:id="248467266">
                      <w:marLeft w:val="0"/>
                      <w:marRight w:val="0"/>
                      <w:marTop w:val="0"/>
                      <w:marBottom w:val="0"/>
                      <w:divBdr>
                        <w:top w:val="none" w:sz="0" w:space="0" w:color="auto"/>
                        <w:left w:val="none" w:sz="0" w:space="0" w:color="auto"/>
                        <w:bottom w:val="none" w:sz="0" w:space="0" w:color="auto"/>
                        <w:right w:val="none" w:sz="0" w:space="0" w:color="auto"/>
                      </w:divBdr>
                    </w:div>
                  </w:divsChild>
                </w:div>
                <w:div w:id="715198532">
                  <w:marLeft w:val="0"/>
                  <w:marRight w:val="0"/>
                  <w:marTop w:val="0"/>
                  <w:marBottom w:val="0"/>
                  <w:divBdr>
                    <w:top w:val="none" w:sz="0" w:space="0" w:color="auto"/>
                    <w:left w:val="none" w:sz="0" w:space="0" w:color="auto"/>
                    <w:bottom w:val="none" w:sz="0" w:space="0" w:color="auto"/>
                    <w:right w:val="none" w:sz="0" w:space="0" w:color="auto"/>
                  </w:divBdr>
                  <w:divsChild>
                    <w:div w:id="2082673513">
                      <w:marLeft w:val="0"/>
                      <w:marRight w:val="0"/>
                      <w:marTop w:val="0"/>
                      <w:marBottom w:val="0"/>
                      <w:divBdr>
                        <w:top w:val="none" w:sz="0" w:space="0" w:color="auto"/>
                        <w:left w:val="none" w:sz="0" w:space="0" w:color="auto"/>
                        <w:bottom w:val="none" w:sz="0" w:space="0" w:color="auto"/>
                        <w:right w:val="none" w:sz="0" w:space="0" w:color="auto"/>
                      </w:divBdr>
                    </w:div>
                  </w:divsChild>
                </w:div>
                <w:div w:id="840317701">
                  <w:marLeft w:val="0"/>
                  <w:marRight w:val="0"/>
                  <w:marTop w:val="0"/>
                  <w:marBottom w:val="0"/>
                  <w:divBdr>
                    <w:top w:val="none" w:sz="0" w:space="0" w:color="auto"/>
                    <w:left w:val="none" w:sz="0" w:space="0" w:color="auto"/>
                    <w:bottom w:val="none" w:sz="0" w:space="0" w:color="auto"/>
                    <w:right w:val="none" w:sz="0" w:space="0" w:color="auto"/>
                  </w:divBdr>
                  <w:divsChild>
                    <w:div w:id="898830318">
                      <w:marLeft w:val="0"/>
                      <w:marRight w:val="0"/>
                      <w:marTop w:val="0"/>
                      <w:marBottom w:val="0"/>
                      <w:divBdr>
                        <w:top w:val="none" w:sz="0" w:space="0" w:color="auto"/>
                        <w:left w:val="none" w:sz="0" w:space="0" w:color="auto"/>
                        <w:bottom w:val="none" w:sz="0" w:space="0" w:color="auto"/>
                        <w:right w:val="none" w:sz="0" w:space="0" w:color="auto"/>
                      </w:divBdr>
                    </w:div>
                  </w:divsChild>
                </w:div>
                <w:div w:id="866672571">
                  <w:marLeft w:val="0"/>
                  <w:marRight w:val="0"/>
                  <w:marTop w:val="0"/>
                  <w:marBottom w:val="0"/>
                  <w:divBdr>
                    <w:top w:val="none" w:sz="0" w:space="0" w:color="auto"/>
                    <w:left w:val="none" w:sz="0" w:space="0" w:color="auto"/>
                    <w:bottom w:val="none" w:sz="0" w:space="0" w:color="auto"/>
                    <w:right w:val="none" w:sz="0" w:space="0" w:color="auto"/>
                  </w:divBdr>
                  <w:divsChild>
                    <w:div w:id="2004578013">
                      <w:marLeft w:val="0"/>
                      <w:marRight w:val="0"/>
                      <w:marTop w:val="0"/>
                      <w:marBottom w:val="0"/>
                      <w:divBdr>
                        <w:top w:val="none" w:sz="0" w:space="0" w:color="auto"/>
                        <w:left w:val="none" w:sz="0" w:space="0" w:color="auto"/>
                        <w:bottom w:val="none" w:sz="0" w:space="0" w:color="auto"/>
                        <w:right w:val="none" w:sz="0" w:space="0" w:color="auto"/>
                      </w:divBdr>
                    </w:div>
                  </w:divsChild>
                </w:div>
                <w:div w:id="920329531">
                  <w:marLeft w:val="0"/>
                  <w:marRight w:val="0"/>
                  <w:marTop w:val="0"/>
                  <w:marBottom w:val="0"/>
                  <w:divBdr>
                    <w:top w:val="none" w:sz="0" w:space="0" w:color="auto"/>
                    <w:left w:val="none" w:sz="0" w:space="0" w:color="auto"/>
                    <w:bottom w:val="none" w:sz="0" w:space="0" w:color="auto"/>
                    <w:right w:val="none" w:sz="0" w:space="0" w:color="auto"/>
                  </w:divBdr>
                  <w:divsChild>
                    <w:div w:id="2045137407">
                      <w:marLeft w:val="0"/>
                      <w:marRight w:val="0"/>
                      <w:marTop w:val="0"/>
                      <w:marBottom w:val="0"/>
                      <w:divBdr>
                        <w:top w:val="none" w:sz="0" w:space="0" w:color="auto"/>
                        <w:left w:val="none" w:sz="0" w:space="0" w:color="auto"/>
                        <w:bottom w:val="none" w:sz="0" w:space="0" w:color="auto"/>
                        <w:right w:val="none" w:sz="0" w:space="0" w:color="auto"/>
                      </w:divBdr>
                    </w:div>
                  </w:divsChild>
                </w:div>
                <w:div w:id="1010985032">
                  <w:marLeft w:val="0"/>
                  <w:marRight w:val="0"/>
                  <w:marTop w:val="0"/>
                  <w:marBottom w:val="0"/>
                  <w:divBdr>
                    <w:top w:val="none" w:sz="0" w:space="0" w:color="auto"/>
                    <w:left w:val="none" w:sz="0" w:space="0" w:color="auto"/>
                    <w:bottom w:val="none" w:sz="0" w:space="0" w:color="auto"/>
                    <w:right w:val="none" w:sz="0" w:space="0" w:color="auto"/>
                  </w:divBdr>
                  <w:divsChild>
                    <w:div w:id="2031371811">
                      <w:marLeft w:val="0"/>
                      <w:marRight w:val="0"/>
                      <w:marTop w:val="0"/>
                      <w:marBottom w:val="0"/>
                      <w:divBdr>
                        <w:top w:val="none" w:sz="0" w:space="0" w:color="auto"/>
                        <w:left w:val="none" w:sz="0" w:space="0" w:color="auto"/>
                        <w:bottom w:val="none" w:sz="0" w:space="0" w:color="auto"/>
                        <w:right w:val="none" w:sz="0" w:space="0" w:color="auto"/>
                      </w:divBdr>
                    </w:div>
                  </w:divsChild>
                </w:div>
                <w:div w:id="1031881724">
                  <w:marLeft w:val="0"/>
                  <w:marRight w:val="0"/>
                  <w:marTop w:val="0"/>
                  <w:marBottom w:val="0"/>
                  <w:divBdr>
                    <w:top w:val="none" w:sz="0" w:space="0" w:color="auto"/>
                    <w:left w:val="none" w:sz="0" w:space="0" w:color="auto"/>
                    <w:bottom w:val="none" w:sz="0" w:space="0" w:color="auto"/>
                    <w:right w:val="none" w:sz="0" w:space="0" w:color="auto"/>
                  </w:divBdr>
                  <w:divsChild>
                    <w:div w:id="2120104592">
                      <w:marLeft w:val="0"/>
                      <w:marRight w:val="0"/>
                      <w:marTop w:val="0"/>
                      <w:marBottom w:val="0"/>
                      <w:divBdr>
                        <w:top w:val="none" w:sz="0" w:space="0" w:color="auto"/>
                        <w:left w:val="none" w:sz="0" w:space="0" w:color="auto"/>
                        <w:bottom w:val="none" w:sz="0" w:space="0" w:color="auto"/>
                        <w:right w:val="none" w:sz="0" w:space="0" w:color="auto"/>
                      </w:divBdr>
                    </w:div>
                  </w:divsChild>
                </w:div>
                <w:div w:id="1225482868">
                  <w:marLeft w:val="0"/>
                  <w:marRight w:val="0"/>
                  <w:marTop w:val="0"/>
                  <w:marBottom w:val="0"/>
                  <w:divBdr>
                    <w:top w:val="none" w:sz="0" w:space="0" w:color="auto"/>
                    <w:left w:val="none" w:sz="0" w:space="0" w:color="auto"/>
                    <w:bottom w:val="none" w:sz="0" w:space="0" w:color="auto"/>
                    <w:right w:val="none" w:sz="0" w:space="0" w:color="auto"/>
                  </w:divBdr>
                  <w:divsChild>
                    <w:div w:id="485511659">
                      <w:marLeft w:val="0"/>
                      <w:marRight w:val="0"/>
                      <w:marTop w:val="0"/>
                      <w:marBottom w:val="0"/>
                      <w:divBdr>
                        <w:top w:val="none" w:sz="0" w:space="0" w:color="auto"/>
                        <w:left w:val="none" w:sz="0" w:space="0" w:color="auto"/>
                        <w:bottom w:val="none" w:sz="0" w:space="0" w:color="auto"/>
                        <w:right w:val="none" w:sz="0" w:space="0" w:color="auto"/>
                      </w:divBdr>
                    </w:div>
                  </w:divsChild>
                </w:div>
                <w:div w:id="1270352771">
                  <w:marLeft w:val="0"/>
                  <w:marRight w:val="0"/>
                  <w:marTop w:val="0"/>
                  <w:marBottom w:val="0"/>
                  <w:divBdr>
                    <w:top w:val="none" w:sz="0" w:space="0" w:color="auto"/>
                    <w:left w:val="none" w:sz="0" w:space="0" w:color="auto"/>
                    <w:bottom w:val="none" w:sz="0" w:space="0" w:color="auto"/>
                    <w:right w:val="none" w:sz="0" w:space="0" w:color="auto"/>
                  </w:divBdr>
                  <w:divsChild>
                    <w:div w:id="588395082">
                      <w:marLeft w:val="0"/>
                      <w:marRight w:val="0"/>
                      <w:marTop w:val="0"/>
                      <w:marBottom w:val="0"/>
                      <w:divBdr>
                        <w:top w:val="none" w:sz="0" w:space="0" w:color="auto"/>
                        <w:left w:val="none" w:sz="0" w:space="0" w:color="auto"/>
                        <w:bottom w:val="none" w:sz="0" w:space="0" w:color="auto"/>
                        <w:right w:val="none" w:sz="0" w:space="0" w:color="auto"/>
                      </w:divBdr>
                    </w:div>
                  </w:divsChild>
                </w:div>
                <w:div w:id="1278292632">
                  <w:marLeft w:val="0"/>
                  <w:marRight w:val="0"/>
                  <w:marTop w:val="0"/>
                  <w:marBottom w:val="0"/>
                  <w:divBdr>
                    <w:top w:val="none" w:sz="0" w:space="0" w:color="auto"/>
                    <w:left w:val="none" w:sz="0" w:space="0" w:color="auto"/>
                    <w:bottom w:val="none" w:sz="0" w:space="0" w:color="auto"/>
                    <w:right w:val="none" w:sz="0" w:space="0" w:color="auto"/>
                  </w:divBdr>
                  <w:divsChild>
                    <w:div w:id="1798647676">
                      <w:marLeft w:val="0"/>
                      <w:marRight w:val="0"/>
                      <w:marTop w:val="0"/>
                      <w:marBottom w:val="0"/>
                      <w:divBdr>
                        <w:top w:val="none" w:sz="0" w:space="0" w:color="auto"/>
                        <w:left w:val="none" w:sz="0" w:space="0" w:color="auto"/>
                        <w:bottom w:val="none" w:sz="0" w:space="0" w:color="auto"/>
                        <w:right w:val="none" w:sz="0" w:space="0" w:color="auto"/>
                      </w:divBdr>
                    </w:div>
                  </w:divsChild>
                </w:div>
                <w:div w:id="1284926570">
                  <w:marLeft w:val="0"/>
                  <w:marRight w:val="0"/>
                  <w:marTop w:val="0"/>
                  <w:marBottom w:val="0"/>
                  <w:divBdr>
                    <w:top w:val="none" w:sz="0" w:space="0" w:color="auto"/>
                    <w:left w:val="none" w:sz="0" w:space="0" w:color="auto"/>
                    <w:bottom w:val="none" w:sz="0" w:space="0" w:color="auto"/>
                    <w:right w:val="none" w:sz="0" w:space="0" w:color="auto"/>
                  </w:divBdr>
                  <w:divsChild>
                    <w:div w:id="247665070">
                      <w:marLeft w:val="0"/>
                      <w:marRight w:val="0"/>
                      <w:marTop w:val="0"/>
                      <w:marBottom w:val="0"/>
                      <w:divBdr>
                        <w:top w:val="none" w:sz="0" w:space="0" w:color="auto"/>
                        <w:left w:val="none" w:sz="0" w:space="0" w:color="auto"/>
                        <w:bottom w:val="none" w:sz="0" w:space="0" w:color="auto"/>
                        <w:right w:val="none" w:sz="0" w:space="0" w:color="auto"/>
                      </w:divBdr>
                    </w:div>
                  </w:divsChild>
                </w:div>
                <w:div w:id="1627082887">
                  <w:marLeft w:val="0"/>
                  <w:marRight w:val="0"/>
                  <w:marTop w:val="0"/>
                  <w:marBottom w:val="0"/>
                  <w:divBdr>
                    <w:top w:val="none" w:sz="0" w:space="0" w:color="auto"/>
                    <w:left w:val="none" w:sz="0" w:space="0" w:color="auto"/>
                    <w:bottom w:val="none" w:sz="0" w:space="0" w:color="auto"/>
                    <w:right w:val="none" w:sz="0" w:space="0" w:color="auto"/>
                  </w:divBdr>
                  <w:divsChild>
                    <w:div w:id="1994020319">
                      <w:marLeft w:val="0"/>
                      <w:marRight w:val="0"/>
                      <w:marTop w:val="0"/>
                      <w:marBottom w:val="0"/>
                      <w:divBdr>
                        <w:top w:val="none" w:sz="0" w:space="0" w:color="auto"/>
                        <w:left w:val="none" w:sz="0" w:space="0" w:color="auto"/>
                        <w:bottom w:val="none" w:sz="0" w:space="0" w:color="auto"/>
                        <w:right w:val="none" w:sz="0" w:space="0" w:color="auto"/>
                      </w:divBdr>
                    </w:div>
                  </w:divsChild>
                </w:div>
                <w:div w:id="1682855619">
                  <w:marLeft w:val="0"/>
                  <w:marRight w:val="0"/>
                  <w:marTop w:val="0"/>
                  <w:marBottom w:val="0"/>
                  <w:divBdr>
                    <w:top w:val="none" w:sz="0" w:space="0" w:color="auto"/>
                    <w:left w:val="none" w:sz="0" w:space="0" w:color="auto"/>
                    <w:bottom w:val="none" w:sz="0" w:space="0" w:color="auto"/>
                    <w:right w:val="none" w:sz="0" w:space="0" w:color="auto"/>
                  </w:divBdr>
                  <w:divsChild>
                    <w:div w:id="547885350">
                      <w:marLeft w:val="0"/>
                      <w:marRight w:val="0"/>
                      <w:marTop w:val="0"/>
                      <w:marBottom w:val="0"/>
                      <w:divBdr>
                        <w:top w:val="none" w:sz="0" w:space="0" w:color="auto"/>
                        <w:left w:val="none" w:sz="0" w:space="0" w:color="auto"/>
                        <w:bottom w:val="none" w:sz="0" w:space="0" w:color="auto"/>
                        <w:right w:val="none" w:sz="0" w:space="0" w:color="auto"/>
                      </w:divBdr>
                    </w:div>
                  </w:divsChild>
                </w:div>
                <w:div w:id="1868253323">
                  <w:marLeft w:val="0"/>
                  <w:marRight w:val="0"/>
                  <w:marTop w:val="0"/>
                  <w:marBottom w:val="0"/>
                  <w:divBdr>
                    <w:top w:val="none" w:sz="0" w:space="0" w:color="auto"/>
                    <w:left w:val="none" w:sz="0" w:space="0" w:color="auto"/>
                    <w:bottom w:val="none" w:sz="0" w:space="0" w:color="auto"/>
                    <w:right w:val="none" w:sz="0" w:space="0" w:color="auto"/>
                  </w:divBdr>
                  <w:divsChild>
                    <w:div w:id="501354523">
                      <w:marLeft w:val="0"/>
                      <w:marRight w:val="0"/>
                      <w:marTop w:val="0"/>
                      <w:marBottom w:val="0"/>
                      <w:divBdr>
                        <w:top w:val="none" w:sz="0" w:space="0" w:color="auto"/>
                        <w:left w:val="none" w:sz="0" w:space="0" w:color="auto"/>
                        <w:bottom w:val="none" w:sz="0" w:space="0" w:color="auto"/>
                        <w:right w:val="none" w:sz="0" w:space="0" w:color="auto"/>
                      </w:divBdr>
                    </w:div>
                  </w:divsChild>
                </w:div>
                <w:div w:id="1950579020">
                  <w:marLeft w:val="0"/>
                  <w:marRight w:val="0"/>
                  <w:marTop w:val="0"/>
                  <w:marBottom w:val="0"/>
                  <w:divBdr>
                    <w:top w:val="none" w:sz="0" w:space="0" w:color="auto"/>
                    <w:left w:val="none" w:sz="0" w:space="0" w:color="auto"/>
                    <w:bottom w:val="none" w:sz="0" w:space="0" w:color="auto"/>
                    <w:right w:val="none" w:sz="0" w:space="0" w:color="auto"/>
                  </w:divBdr>
                  <w:divsChild>
                    <w:div w:id="1584685850">
                      <w:marLeft w:val="0"/>
                      <w:marRight w:val="0"/>
                      <w:marTop w:val="0"/>
                      <w:marBottom w:val="0"/>
                      <w:divBdr>
                        <w:top w:val="none" w:sz="0" w:space="0" w:color="auto"/>
                        <w:left w:val="none" w:sz="0" w:space="0" w:color="auto"/>
                        <w:bottom w:val="none" w:sz="0" w:space="0" w:color="auto"/>
                        <w:right w:val="none" w:sz="0" w:space="0" w:color="auto"/>
                      </w:divBdr>
                    </w:div>
                  </w:divsChild>
                </w:div>
                <w:div w:id="1967850205">
                  <w:marLeft w:val="0"/>
                  <w:marRight w:val="0"/>
                  <w:marTop w:val="0"/>
                  <w:marBottom w:val="0"/>
                  <w:divBdr>
                    <w:top w:val="none" w:sz="0" w:space="0" w:color="auto"/>
                    <w:left w:val="none" w:sz="0" w:space="0" w:color="auto"/>
                    <w:bottom w:val="none" w:sz="0" w:space="0" w:color="auto"/>
                    <w:right w:val="none" w:sz="0" w:space="0" w:color="auto"/>
                  </w:divBdr>
                  <w:divsChild>
                    <w:div w:id="872495111">
                      <w:marLeft w:val="0"/>
                      <w:marRight w:val="0"/>
                      <w:marTop w:val="0"/>
                      <w:marBottom w:val="0"/>
                      <w:divBdr>
                        <w:top w:val="none" w:sz="0" w:space="0" w:color="auto"/>
                        <w:left w:val="none" w:sz="0" w:space="0" w:color="auto"/>
                        <w:bottom w:val="none" w:sz="0" w:space="0" w:color="auto"/>
                        <w:right w:val="none" w:sz="0" w:space="0" w:color="auto"/>
                      </w:divBdr>
                    </w:div>
                  </w:divsChild>
                </w:div>
                <w:div w:id="2085567922">
                  <w:marLeft w:val="0"/>
                  <w:marRight w:val="0"/>
                  <w:marTop w:val="0"/>
                  <w:marBottom w:val="0"/>
                  <w:divBdr>
                    <w:top w:val="none" w:sz="0" w:space="0" w:color="auto"/>
                    <w:left w:val="none" w:sz="0" w:space="0" w:color="auto"/>
                    <w:bottom w:val="none" w:sz="0" w:space="0" w:color="auto"/>
                    <w:right w:val="none" w:sz="0" w:space="0" w:color="auto"/>
                  </w:divBdr>
                  <w:divsChild>
                    <w:div w:id="173704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822115">
      <w:bodyDiv w:val="1"/>
      <w:marLeft w:val="0"/>
      <w:marRight w:val="0"/>
      <w:marTop w:val="0"/>
      <w:marBottom w:val="0"/>
      <w:divBdr>
        <w:top w:val="none" w:sz="0" w:space="0" w:color="auto"/>
        <w:left w:val="none" w:sz="0" w:space="0" w:color="auto"/>
        <w:bottom w:val="none" w:sz="0" w:space="0" w:color="auto"/>
        <w:right w:val="none" w:sz="0" w:space="0" w:color="auto"/>
      </w:divBdr>
    </w:div>
    <w:div w:id="1038899194">
      <w:bodyDiv w:val="1"/>
      <w:marLeft w:val="0"/>
      <w:marRight w:val="0"/>
      <w:marTop w:val="0"/>
      <w:marBottom w:val="0"/>
      <w:divBdr>
        <w:top w:val="none" w:sz="0" w:space="0" w:color="auto"/>
        <w:left w:val="none" w:sz="0" w:space="0" w:color="auto"/>
        <w:bottom w:val="none" w:sz="0" w:space="0" w:color="auto"/>
        <w:right w:val="none" w:sz="0" w:space="0" w:color="auto"/>
      </w:divBdr>
      <w:divsChild>
        <w:div w:id="218169395">
          <w:marLeft w:val="634"/>
          <w:marRight w:val="0"/>
          <w:marTop w:val="0"/>
          <w:marBottom w:val="0"/>
          <w:divBdr>
            <w:top w:val="none" w:sz="0" w:space="0" w:color="auto"/>
            <w:left w:val="none" w:sz="0" w:space="0" w:color="auto"/>
            <w:bottom w:val="none" w:sz="0" w:space="0" w:color="auto"/>
            <w:right w:val="none" w:sz="0" w:space="0" w:color="auto"/>
          </w:divBdr>
        </w:div>
        <w:div w:id="321277956">
          <w:marLeft w:val="274"/>
          <w:marRight w:val="0"/>
          <w:marTop w:val="0"/>
          <w:marBottom w:val="0"/>
          <w:divBdr>
            <w:top w:val="none" w:sz="0" w:space="0" w:color="auto"/>
            <w:left w:val="none" w:sz="0" w:space="0" w:color="auto"/>
            <w:bottom w:val="none" w:sz="0" w:space="0" w:color="auto"/>
            <w:right w:val="none" w:sz="0" w:space="0" w:color="auto"/>
          </w:divBdr>
        </w:div>
        <w:div w:id="510144830">
          <w:marLeft w:val="634"/>
          <w:marRight w:val="0"/>
          <w:marTop w:val="0"/>
          <w:marBottom w:val="0"/>
          <w:divBdr>
            <w:top w:val="none" w:sz="0" w:space="0" w:color="auto"/>
            <w:left w:val="none" w:sz="0" w:space="0" w:color="auto"/>
            <w:bottom w:val="none" w:sz="0" w:space="0" w:color="auto"/>
            <w:right w:val="none" w:sz="0" w:space="0" w:color="auto"/>
          </w:divBdr>
        </w:div>
        <w:div w:id="847721841">
          <w:marLeft w:val="634"/>
          <w:marRight w:val="0"/>
          <w:marTop w:val="0"/>
          <w:marBottom w:val="0"/>
          <w:divBdr>
            <w:top w:val="none" w:sz="0" w:space="0" w:color="auto"/>
            <w:left w:val="none" w:sz="0" w:space="0" w:color="auto"/>
            <w:bottom w:val="none" w:sz="0" w:space="0" w:color="auto"/>
            <w:right w:val="none" w:sz="0" w:space="0" w:color="auto"/>
          </w:divBdr>
        </w:div>
        <w:div w:id="1498112114">
          <w:marLeft w:val="634"/>
          <w:marRight w:val="0"/>
          <w:marTop w:val="0"/>
          <w:marBottom w:val="0"/>
          <w:divBdr>
            <w:top w:val="none" w:sz="0" w:space="0" w:color="auto"/>
            <w:left w:val="none" w:sz="0" w:space="0" w:color="auto"/>
            <w:bottom w:val="none" w:sz="0" w:space="0" w:color="auto"/>
            <w:right w:val="none" w:sz="0" w:space="0" w:color="auto"/>
          </w:divBdr>
        </w:div>
        <w:div w:id="1665814799">
          <w:marLeft w:val="634"/>
          <w:marRight w:val="0"/>
          <w:marTop w:val="0"/>
          <w:marBottom w:val="0"/>
          <w:divBdr>
            <w:top w:val="none" w:sz="0" w:space="0" w:color="auto"/>
            <w:left w:val="none" w:sz="0" w:space="0" w:color="auto"/>
            <w:bottom w:val="none" w:sz="0" w:space="0" w:color="auto"/>
            <w:right w:val="none" w:sz="0" w:space="0" w:color="auto"/>
          </w:divBdr>
        </w:div>
        <w:div w:id="1750156583">
          <w:marLeft w:val="274"/>
          <w:marRight w:val="0"/>
          <w:marTop w:val="0"/>
          <w:marBottom w:val="0"/>
          <w:divBdr>
            <w:top w:val="none" w:sz="0" w:space="0" w:color="auto"/>
            <w:left w:val="none" w:sz="0" w:space="0" w:color="auto"/>
            <w:bottom w:val="none" w:sz="0" w:space="0" w:color="auto"/>
            <w:right w:val="none" w:sz="0" w:space="0" w:color="auto"/>
          </w:divBdr>
        </w:div>
        <w:div w:id="1799685984">
          <w:marLeft w:val="634"/>
          <w:marRight w:val="0"/>
          <w:marTop w:val="0"/>
          <w:marBottom w:val="0"/>
          <w:divBdr>
            <w:top w:val="none" w:sz="0" w:space="0" w:color="auto"/>
            <w:left w:val="none" w:sz="0" w:space="0" w:color="auto"/>
            <w:bottom w:val="none" w:sz="0" w:space="0" w:color="auto"/>
            <w:right w:val="none" w:sz="0" w:space="0" w:color="auto"/>
          </w:divBdr>
        </w:div>
        <w:div w:id="1856265645">
          <w:marLeft w:val="274"/>
          <w:marRight w:val="0"/>
          <w:marTop w:val="0"/>
          <w:marBottom w:val="0"/>
          <w:divBdr>
            <w:top w:val="none" w:sz="0" w:space="0" w:color="auto"/>
            <w:left w:val="none" w:sz="0" w:space="0" w:color="auto"/>
            <w:bottom w:val="none" w:sz="0" w:space="0" w:color="auto"/>
            <w:right w:val="none" w:sz="0" w:space="0" w:color="auto"/>
          </w:divBdr>
        </w:div>
      </w:divsChild>
    </w:div>
    <w:div w:id="1051924428">
      <w:bodyDiv w:val="1"/>
      <w:marLeft w:val="0"/>
      <w:marRight w:val="0"/>
      <w:marTop w:val="0"/>
      <w:marBottom w:val="0"/>
      <w:divBdr>
        <w:top w:val="none" w:sz="0" w:space="0" w:color="auto"/>
        <w:left w:val="none" w:sz="0" w:space="0" w:color="auto"/>
        <w:bottom w:val="none" w:sz="0" w:space="0" w:color="auto"/>
        <w:right w:val="none" w:sz="0" w:space="0" w:color="auto"/>
      </w:divBdr>
    </w:div>
    <w:div w:id="1077826285">
      <w:bodyDiv w:val="1"/>
      <w:marLeft w:val="0"/>
      <w:marRight w:val="0"/>
      <w:marTop w:val="0"/>
      <w:marBottom w:val="0"/>
      <w:divBdr>
        <w:top w:val="none" w:sz="0" w:space="0" w:color="auto"/>
        <w:left w:val="none" w:sz="0" w:space="0" w:color="auto"/>
        <w:bottom w:val="none" w:sz="0" w:space="0" w:color="auto"/>
        <w:right w:val="none" w:sz="0" w:space="0" w:color="auto"/>
      </w:divBdr>
    </w:div>
    <w:div w:id="1086264583">
      <w:bodyDiv w:val="1"/>
      <w:marLeft w:val="0"/>
      <w:marRight w:val="0"/>
      <w:marTop w:val="0"/>
      <w:marBottom w:val="0"/>
      <w:divBdr>
        <w:top w:val="none" w:sz="0" w:space="0" w:color="auto"/>
        <w:left w:val="none" w:sz="0" w:space="0" w:color="auto"/>
        <w:bottom w:val="none" w:sz="0" w:space="0" w:color="auto"/>
        <w:right w:val="none" w:sz="0" w:space="0" w:color="auto"/>
      </w:divBdr>
      <w:divsChild>
        <w:div w:id="18897846">
          <w:marLeft w:val="0"/>
          <w:marRight w:val="0"/>
          <w:marTop w:val="0"/>
          <w:marBottom w:val="0"/>
          <w:divBdr>
            <w:top w:val="none" w:sz="0" w:space="0" w:color="auto"/>
            <w:left w:val="none" w:sz="0" w:space="0" w:color="auto"/>
            <w:bottom w:val="none" w:sz="0" w:space="0" w:color="auto"/>
            <w:right w:val="none" w:sz="0" w:space="0" w:color="auto"/>
          </w:divBdr>
        </w:div>
        <w:div w:id="22559103">
          <w:marLeft w:val="0"/>
          <w:marRight w:val="0"/>
          <w:marTop w:val="0"/>
          <w:marBottom w:val="0"/>
          <w:divBdr>
            <w:top w:val="none" w:sz="0" w:space="0" w:color="auto"/>
            <w:left w:val="none" w:sz="0" w:space="0" w:color="auto"/>
            <w:bottom w:val="none" w:sz="0" w:space="0" w:color="auto"/>
            <w:right w:val="none" w:sz="0" w:space="0" w:color="auto"/>
          </w:divBdr>
        </w:div>
        <w:div w:id="33628136">
          <w:marLeft w:val="0"/>
          <w:marRight w:val="0"/>
          <w:marTop w:val="0"/>
          <w:marBottom w:val="0"/>
          <w:divBdr>
            <w:top w:val="none" w:sz="0" w:space="0" w:color="auto"/>
            <w:left w:val="none" w:sz="0" w:space="0" w:color="auto"/>
            <w:bottom w:val="none" w:sz="0" w:space="0" w:color="auto"/>
            <w:right w:val="none" w:sz="0" w:space="0" w:color="auto"/>
          </w:divBdr>
        </w:div>
        <w:div w:id="72363511">
          <w:marLeft w:val="0"/>
          <w:marRight w:val="0"/>
          <w:marTop w:val="0"/>
          <w:marBottom w:val="0"/>
          <w:divBdr>
            <w:top w:val="none" w:sz="0" w:space="0" w:color="auto"/>
            <w:left w:val="none" w:sz="0" w:space="0" w:color="auto"/>
            <w:bottom w:val="none" w:sz="0" w:space="0" w:color="auto"/>
            <w:right w:val="none" w:sz="0" w:space="0" w:color="auto"/>
          </w:divBdr>
        </w:div>
        <w:div w:id="109445419">
          <w:marLeft w:val="0"/>
          <w:marRight w:val="0"/>
          <w:marTop w:val="0"/>
          <w:marBottom w:val="0"/>
          <w:divBdr>
            <w:top w:val="none" w:sz="0" w:space="0" w:color="auto"/>
            <w:left w:val="none" w:sz="0" w:space="0" w:color="auto"/>
            <w:bottom w:val="none" w:sz="0" w:space="0" w:color="auto"/>
            <w:right w:val="none" w:sz="0" w:space="0" w:color="auto"/>
          </w:divBdr>
        </w:div>
        <w:div w:id="156306608">
          <w:marLeft w:val="0"/>
          <w:marRight w:val="0"/>
          <w:marTop w:val="0"/>
          <w:marBottom w:val="0"/>
          <w:divBdr>
            <w:top w:val="none" w:sz="0" w:space="0" w:color="auto"/>
            <w:left w:val="none" w:sz="0" w:space="0" w:color="auto"/>
            <w:bottom w:val="none" w:sz="0" w:space="0" w:color="auto"/>
            <w:right w:val="none" w:sz="0" w:space="0" w:color="auto"/>
          </w:divBdr>
        </w:div>
        <w:div w:id="161548698">
          <w:marLeft w:val="0"/>
          <w:marRight w:val="0"/>
          <w:marTop w:val="0"/>
          <w:marBottom w:val="0"/>
          <w:divBdr>
            <w:top w:val="none" w:sz="0" w:space="0" w:color="auto"/>
            <w:left w:val="none" w:sz="0" w:space="0" w:color="auto"/>
            <w:bottom w:val="none" w:sz="0" w:space="0" w:color="auto"/>
            <w:right w:val="none" w:sz="0" w:space="0" w:color="auto"/>
          </w:divBdr>
        </w:div>
        <w:div w:id="291057519">
          <w:marLeft w:val="0"/>
          <w:marRight w:val="0"/>
          <w:marTop w:val="0"/>
          <w:marBottom w:val="0"/>
          <w:divBdr>
            <w:top w:val="none" w:sz="0" w:space="0" w:color="auto"/>
            <w:left w:val="none" w:sz="0" w:space="0" w:color="auto"/>
            <w:bottom w:val="none" w:sz="0" w:space="0" w:color="auto"/>
            <w:right w:val="none" w:sz="0" w:space="0" w:color="auto"/>
          </w:divBdr>
        </w:div>
        <w:div w:id="312301028">
          <w:marLeft w:val="0"/>
          <w:marRight w:val="0"/>
          <w:marTop w:val="0"/>
          <w:marBottom w:val="0"/>
          <w:divBdr>
            <w:top w:val="none" w:sz="0" w:space="0" w:color="auto"/>
            <w:left w:val="none" w:sz="0" w:space="0" w:color="auto"/>
            <w:bottom w:val="none" w:sz="0" w:space="0" w:color="auto"/>
            <w:right w:val="none" w:sz="0" w:space="0" w:color="auto"/>
          </w:divBdr>
        </w:div>
        <w:div w:id="352071440">
          <w:marLeft w:val="0"/>
          <w:marRight w:val="0"/>
          <w:marTop w:val="0"/>
          <w:marBottom w:val="0"/>
          <w:divBdr>
            <w:top w:val="none" w:sz="0" w:space="0" w:color="auto"/>
            <w:left w:val="none" w:sz="0" w:space="0" w:color="auto"/>
            <w:bottom w:val="none" w:sz="0" w:space="0" w:color="auto"/>
            <w:right w:val="none" w:sz="0" w:space="0" w:color="auto"/>
          </w:divBdr>
        </w:div>
        <w:div w:id="373307177">
          <w:marLeft w:val="0"/>
          <w:marRight w:val="0"/>
          <w:marTop w:val="0"/>
          <w:marBottom w:val="0"/>
          <w:divBdr>
            <w:top w:val="none" w:sz="0" w:space="0" w:color="auto"/>
            <w:left w:val="none" w:sz="0" w:space="0" w:color="auto"/>
            <w:bottom w:val="none" w:sz="0" w:space="0" w:color="auto"/>
            <w:right w:val="none" w:sz="0" w:space="0" w:color="auto"/>
          </w:divBdr>
        </w:div>
        <w:div w:id="516306542">
          <w:marLeft w:val="0"/>
          <w:marRight w:val="0"/>
          <w:marTop w:val="0"/>
          <w:marBottom w:val="0"/>
          <w:divBdr>
            <w:top w:val="none" w:sz="0" w:space="0" w:color="auto"/>
            <w:left w:val="none" w:sz="0" w:space="0" w:color="auto"/>
            <w:bottom w:val="none" w:sz="0" w:space="0" w:color="auto"/>
            <w:right w:val="none" w:sz="0" w:space="0" w:color="auto"/>
          </w:divBdr>
        </w:div>
        <w:div w:id="530800143">
          <w:marLeft w:val="0"/>
          <w:marRight w:val="0"/>
          <w:marTop w:val="0"/>
          <w:marBottom w:val="0"/>
          <w:divBdr>
            <w:top w:val="none" w:sz="0" w:space="0" w:color="auto"/>
            <w:left w:val="none" w:sz="0" w:space="0" w:color="auto"/>
            <w:bottom w:val="none" w:sz="0" w:space="0" w:color="auto"/>
            <w:right w:val="none" w:sz="0" w:space="0" w:color="auto"/>
          </w:divBdr>
        </w:div>
        <w:div w:id="578095247">
          <w:marLeft w:val="0"/>
          <w:marRight w:val="0"/>
          <w:marTop w:val="0"/>
          <w:marBottom w:val="0"/>
          <w:divBdr>
            <w:top w:val="none" w:sz="0" w:space="0" w:color="auto"/>
            <w:left w:val="none" w:sz="0" w:space="0" w:color="auto"/>
            <w:bottom w:val="none" w:sz="0" w:space="0" w:color="auto"/>
            <w:right w:val="none" w:sz="0" w:space="0" w:color="auto"/>
          </w:divBdr>
        </w:div>
        <w:div w:id="641277883">
          <w:marLeft w:val="0"/>
          <w:marRight w:val="0"/>
          <w:marTop w:val="0"/>
          <w:marBottom w:val="0"/>
          <w:divBdr>
            <w:top w:val="none" w:sz="0" w:space="0" w:color="auto"/>
            <w:left w:val="none" w:sz="0" w:space="0" w:color="auto"/>
            <w:bottom w:val="none" w:sz="0" w:space="0" w:color="auto"/>
            <w:right w:val="none" w:sz="0" w:space="0" w:color="auto"/>
          </w:divBdr>
        </w:div>
        <w:div w:id="656566990">
          <w:marLeft w:val="0"/>
          <w:marRight w:val="0"/>
          <w:marTop w:val="0"/>
          <w:marBottom w:val="0"/>
          <w:divBdr>
            <w:top w:val="none" w:sz="0" w:space="0" w:color="auto"/>
            <w:left w:val="none" w:sz="0" w:space="0" w:color="auto"/>
            <w:bottom w:val="none" w:sz="0" w:space="0" w:color="auto"/>
            <w:right w:val="none" w:sz="0" w:space="0" w:color="auto"/>
          </w:divBdr>
        </w:div>
        <w:div w:id="673802153">
          <w:marLeft w:val="0"/>
          <w:marRight w:val="0"/>
          <w:marTop w:val="0"/>
          <w:marBottom w:val="0"/>
          <w:divBdr>
            <w:top w:val="none" w:sz="0" w:space="0" w:color="auto"/>
            <w:left w:val="none" w:sz="0" w:space="0" w:color="auto"/>
            <w:bottom w:val="none" w:sz="0" w:space="0" w:color="auto"/>
            <w:right w:val="none" w:sz="0" w:space="0" w:color="auto"/>
          </w:divBdr>
        </w:div>
        <w:div w:id="675428560">
          <w:marLeft w:val="0"/>
          <w:marRight w:val="0"/>
          <w:marTop w:val="0"/>
          <w:marBottom w:val="0"/>
          <w:divBdr>
            <w:top w:val="none" w:sz="0" w:space="0" w:color="auto"/>
            <w:left w:val="none" w:sz="0" w:space="0" w:color="auto"/>
            <w:bottom w:val="none" w:sz="0" w:space="0" w:color="auto"/>
            <w:right w:val="none" w:sz="0" w:space="0" w:color="auto"/>
          </w:divBdr>
        </w:div>
        <w:div w:id="793642243">
          <w:marLeft w:val="0"/>
          <w:marRight w:val="0"/>
          <w:marTop w:val="0"/>
          <w:marBottom w:val="0"/>
          <w:divBdr>
            <w:top w:val="none" w:sz="0" w:space="0" w:color="auto"/>
            <w:left w:val="none" w:sz="0" w:space="0" w:color="auto"/>
            <w:bottom w:val="none" w:sz="0" w:space="0" w:color="auto"/>
            <w:right w:val="none" w:sz="0" w:space="0" w:color="auto"/>
          </w:divBdr>
        </w:div>
        <w:div w:id="876314233">
          <w:marLeft w:val="0"/>
          <w:marRight w:val="0"/>
          <w:marTop w:val="0"/>
          <w:marBottom w:val="0"/>
          <w:divBdr>
            <w:top w:val="none" w:sz="0" w:space="0" w:color="auto"/>
            <w:left w:val="none" w:sz="0" w:space="0" w:color="auto"/>
            <w:bottom w:val="none" w:sz="0" w:space="0" w:color="auto"/>
            <w:right w:val="none" w:sz="0" w:space="0" w:color="auto"/>
          </w:divBdr>
        </w:div>
        <w:div w:id="905917389">
          <w:marLeft w:val="0"/>
          <w:marRight w:val="0"/>
          <w:marTop w:val="0"/>
          <w:marBottom w:val="0"/>
          <w:divBdr>
            <w:top w:val="none" w:sz="0" w:space="0" w:color="auto"/>
            <w:left w:val="none" w:sz="0" w:space="0" w:color="auto"/>
            <w:bottom w:val="none" w:sz="0" w:space="0" w:color="auto"/>
            <w:right w:val="none" w:sz="0" w:space="0" w:color="auto"/>
          </w:divBdr>
        </w:div>
        <w:div w:id="955792464">
          <w:marLeft w:val="0"/>
          <w:marRight w:val="0"/>
          <w:marTop w:val="0"/>
          <w:marBottom w:val="0"/>
          <w:divBdr>
            <w:top w:val="none" w:sz="0" w:space="0" w:color="auto"/>
            <w:left w:val="none" w:sz="0" w:space="0" w:color="auto"/>
            <w:bottom w:val="none" w:sz="0" w:space="0" w:color="auto"/>
            <w:right w:val="none" w:sz="0" w:space="0" w:color="auto"/>
          </w:divBdr>
        </w:div>
        <w:div w:id="1077090047">
          <w:marLeft w:val="-75"/>
          <w:marRight w:val="0"/>
          <w:marTop w:val="30"/>
          <w:marBottom w:val="30"/>
          <w:divBdr>
            <w:top w:val="none" w:sz="0" w:space="0" w:color="auto"/>
            <w:left w:val="none" w:sz="0" w:space="0" w:color="auto"/>
            <w:bottom w:val="none" w:sz="0" w:space="0" w:color="auto"/>
            <w:right w:val="none" w:sz="0" w:space="0" w:color="auto"/>
          </w:divBdr>
          <w:divsChild>
            <w:div w:id="91316309">
              <w:marLeft w:val="0"/>
              <w:marRight w:val="0"/>
              <w:marTop w:val="0"/>
              <w:marBottom w:val="0"/>
              <w:divBdr>
                <w:top w:val="none" w:sz="0" w:space="0" w:color="auto"/>
                <w:left w:val="none" w:sz="0" w:space="0" w:color="auto"/>
                <w:bottom w:val="none" w:sz="0" w:space="0" w:color="auto"/>
                <w:right w:val="none" w:sz="0" w:space="0" w:color="auto"/>
              </w:divBdr>
              <w:divsChild>
                <w:div w:id="229654249">
                  <w:marLeft w:val="0"/>
                  <w:marRight w:val="0"/>
                  <w:marTop w:val="0"/>
                  <w:marBottom w:val="0"/>
                  <w:divBdr>
                    <w:top w:val="none" w:sz="0" w:space="0" w:color="auto"/>
                    <w:left w:val="none" w:sz="0" w:space="0" w:color="auto"/>
                    <w:bottom w:val="none" w:sz="0" w:space="0" w:color="auto"/>
                    <w:right w:val="none" w:sz="0" w:space="0" w:color="auto"/>
                  </w:divBdr>
                </w:div>
              </w:divsChild>
            </w:div>
            <w:div w:id="515849836">
              <w:marLeft w:val="0"/>
              <w:marRight w:val="0"/>
              <w:marTop w:val="0"/>
              <w:marBottom w:val="0"/>
              <w:divBdr>
                <w:top w:val="none" w:sz="0" w:space="0" w:color="auto"/>
                <w:left w:val="none" w:sz="0" w:space="0" w:color="auto"/>
                <w:bottom w:val="none" w:sz="0" w:space="0" w:color="auto"/>
                <w:right w:val="none" w:sz="0" w:space="0" w:color="auto"/>
              </w:divBdr>
              <w:divsChild>
                <w:div w:id="179201349">
                  <w:marLeft w:val="0"/>
                  <w:marRight w:val="0"/>
                  <w:marTop w:val="0"/>
                  <w:marBottom w:val="0"/>
                  <w:divBdr>
                    <w:top w:val="none" w:sz="0" w:space="0" w:color="auto"/>
                    <w:left w:val="none" w:sz="0" w:space="0" w:color="auto"/>
                    <w:bottom w:val="none" w:sz="0" w:space="0" w:color="auto"/>
                    <w:right w:val="none" w:sz="0" w:space="0" w:color="auto"/>
                  </w:divBdr>
                </w:div>
                <w:div w:id="903636512">
                  <w:marLeft w:val="0"/>
                  <w:marRight w:val="0"/>
                  <w:marTop w:val="0"/>
                  <w:marBottom w:val="0"/>
                  <w:divBdr>
                    <w:top w:val="none" w:sz="0" w:space="0" w:color="auto"/>
                    <w:left w:val="none" w:sz="0" w:space="0" w:color="auto"/>
                    <w:bottom w:val="none" w:sz="0" w:space="0" w:color="auto"/>
                    <w:right w:val="none" w:sz="0" w:space="0" w:color="auto"/>
                  </w:divBdr>
                </w:div>
              </w:divsChild>
            </w:div>
            <w:div w:id="594748573">
              <w:marLeft w:val="0"/>
              <w:marRight w:val="0"/>
              <w:marTop w:val="0"/>
              <w:marBottom w:val="0"/>
              <w:divBdr>
                <w:top w:val="none" w:sz="0" w:space="0" w:color="auto"/>
                <w:left w:val="none" w:sz="0" w:space="0" w:color="auto"/>
                <w:bottom w:val="none" w:sz="0" w:space="0" w:color="auto"/>
                <w:right w:val="none" w:sz="0" w:space="0" w:color="auto"/>
              </w:divBdr>
              <w:divsChild>
                <w:div w:id="567813322">
                  <w:marLeft w:val="0"/>
                  <w:marRight w:val="0"/>
                  <w:marTop w:val="0"/>
                  <w:marBottom w:val="0"/>
                  <w:divBdr>
                    <w:top w:val="none" w:sz="0" w:space="0" w:color="auto"/>
                    <w:left w:val="none" w:sz="0" w:space="0" w:color="auto"/>
                    <w:bottom w:val="none" w:sz="0" w:space="0" w:color="auto"/>
                    <w:right w:val="none" w:sz="0" w:space="0" w:color="auto"/>
                  </w:divBdr>
                </w:div>
                <w:div w:id="2058966977">
                  <w:marLeft w:val="0"/>
                  <w:marRight w:val="0"/>
                  <w:marTop w:val="0"/>
                  <w:marBottom w:val="0"/>
                  <w:divBdr>
                    <w:top w:val="none" w:sz="0" w:space="0" w:color="auto"/>
                    <w:left w:val="none" w:sz="0" w:space="0" w:color="auto"/>
                    <w:bottom w:val="none" w:sz="0" w:space="0" w:color="auto"/>
                    <w:right w:val="none" w:sz="0" w:space="0" w:color="auto"/>
                  </w:divBdr>
                </w:div>
              </w:divsChild>
            </w:div>
            <w:div w:id="891428998">
              <w:marLeft w:val="0"/>
              <w:marRight w:val="0"/>
              <w:marTop w:val="0"/>
              <w:marBottom w:val="0"/>
              <w:divBdr>
                <w:top w:val="none" w:sz="0" w:space="0" w:color="auto"/>
                <w:left w:val="none" w:sz="0" w:space="0" w:color="auto"/>
                <w:bottom w:val="none" w:sz="0" w:space="0" w:color="auto"/>
                <w:right w:val="none" w:sz="0" w:space="0" w:color="auto"/>
              </w:divBdr>
              <w:divsChild>
                <w:div w:id="1383627893">
                  <w:marLeft w:val="0"/>
                  <w:marRight w:val="0"/>
                  <w:marTop w:val="0"/>
                  <w:marBottom w:val="0"/>
                  <w:divBdr>
                    <w:top w:val="none" w:sz="0" w:space="0" w:color="auto"/>
                    <w:left w:val="none" w:sz="0" w:space="0" w:color="auto"/>
                    <w:bottom w:val="none" w:sz="0" w:space="0" w:color="auto"/>
                    <w:right w:val="none" w:sz="0" w:space="0" w:color="auto"/>
                  </w:divBdr>
                </w:div>
              </w:divsChild>
            </w:div>
            <w:div w:id="1067146312">
              <w:marLeft w:val="0"/>
              <w:marRight w:val="0"/>
              <w:marTop w:val="0"/>
              <w:marBottom w:val="0"/>
              <w:divBdr>
                <w:top w:val="none" w:sz="0" w:space="0" w:color="auto"/>
                <w:left w:val="none" w:sz="0" w:space="0" w:color="auto"/>
                <w:bottom w:val="none" w:sz="0" w:space="0" w:color="auto"/>
                <w:right w:val="none" w:sz="0" w:space="0" w:color="auto"/>
              </w:divBdr>
              <w:divsChild>
                <w:div w:id="907961252">
                  <w:marLeft w:val="0"/>
                  <w:marRight w:val="0"/>
                  <w:marTop w:val="0"/>
                  <w:marBottom w:val="0"/>
                  <w:divBdr>
                    <w:top w:val="none" w:sz="0" w:space="0" w:color="auto"/>
                    <w:left w:val="none" w:sz="0" w:space="0" w:color="auto"/>
                    <w:bottom w:val="none" w:sz="0" w:space="0" w:color="auto"/>
                    <w:right w:val="none" w:sz="0" w:space="0" w:color="auto"/>
                  </w:divBdr>
                </w:div>
              </w:divsChild>
            </w:div>
            <w:div w:id="1101949330">
              <w:marLeft w:val="0"/>
              <w:marRight w:val="0"/>
              <w:marTop w:val="0"/>
              <w:marBottom w:val="0"/>
              <w:divBdr>
                <w:top w:val="none" w:sz="0" w:space="0" w:color="auto"/>
                <w:left w:val="none" w:sz="0" w:space="0" w:color="auto"/>
                <w:bottom w:val="none" w:sz="0" w:space="0" w:color="auto"/>
                <w:right w:val="none" w:sz="0" w:space="0" w:color="auto"/>
              </w:divBdr>
              <w:divsChild>
                <w:div w:id="1445147633">
                  <w:marLeft w:val="0"/>
                  <w:marRight w:val="0"/>
                  <w:marTop w:val="0"/>
                  <w:marBottom w:val="0"/>
                  <w:divBdr>
                    <w:top w:val="none" w:sz="0" w:space="0" w:color="auto"/>
                    <w:left w:val="none" w:sz="0" w:space="0" w:color="auto"/>
                    <w:bottom w:val="none" w:sz="0" w:space="0" w:color="auto"/>
                    <w:right w:val="none" w:sz="0" w:space="0" w:color="auto"/>
                  </w:divBdr>
                </w:div>
              </w:divsChild>
            </w:div>
            <w:div w:id="1288900368">
              <w:marLeft w:val="0"/>
              <w:marRight w:val="0"/>
              <w:marTop w:val="0"/>
              <w:marBottom w:val="0"/>
              <w:divBdr>
                <w:top w:val="none" w:sz="0" w:space="0" w:color="auto"/>
                <w:left w:val="none" w:sz="0" w:space="0" w:color="auto"/>
                <w:bottom w:val="none" w:sz="0" w:space="0" w:color="auto"/>
                <w:right w:val="none" w:sz="0" w:space="0" w:color="auto"/>
              </w:divBdr>
              <w:divsChild>
                <w:div w:id="737020287">
                  <w:marLeft w:val="0"/>
                  <w:marRight w:val="0"/>
                  <w:marTop w:val="0"/>
                  <w:marBottom w:val="0"/>
                  <w:divBdr>
                    <w:top w:val="none" w:sz="0" w:space="0" w:color="auto"/>
                    <w:left w:val="none" w:sz="0" w:space="0" w:color="auto"/>
                    <w:bottom w:val="none" w:sz="0" w:space="0" w:color="auto"/>
                    <w:right w:val="none" w:sz="0" w:space="0" w:color="auto"/>
                  </w:divBdr>
                </w:div>
              </w:divsChild>
            </w:div>
            <w:div w:id="1968388010">
              <w:marLeft w:val="0"/>
              <w:marRight w:val="0"/>
              <w:marTop w:val="0"/>
              <w:marBottom w:val="0"/>
              <w:divBdr>
                <w:top w:val="none" w:sz="0" w:space="0" w:color="auto"/>
                <w:left w:val="none" w:sz="0" w:space="0" w:color="auto"/>
                <w:bottom w:val="none" w:sz="0" w:space="0" w:color="auto"/>
                <w:right w:val="none" w:sz="0" w:space="0" w:color="auto"/>
              </w:divBdr>
              <w:divsChild>
                <w:div w:id="16860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20184">
          <w:marLeft w:val="0"/>
          <w:marRight w:val="0"/>
          <w:marTop w:val="0"/>
          <w:marBottom w:val="0"/>
          <w:divBdr>
            <w:top w:val="none" w:sz="0" w:space="0" w:color="auto"/>
            <w:left w:val="none" w:sz="0" w:space="0" w:color="auto"/>
            <w:bottom w:val="none" w:sz="0" w:space="0" w:color="auto"/>
            <w:right w:val="none" w:sz="0" w:space="0" w:color="auto"/>
          </w:divBdr>
        </w:div>
        <w:div w:id="1244029423">
          <w:marLeft w:val="0"/>
          <w:marRight w:val="0"/>
          <w:marTop w:val="0"/>
          <w:marBottom w:val="0"/>
          <w:divBdr>
            <w:top w:val="none" w:sz="0" w:space="0" w:color="auto"/>
            <w:left w:val="none" w:sz="0" w:space="0" w:color="auto"/>
            <w:bottom w:val="none" w:sz="0" w:space="0" w:color="auto"/>
            <w:right w:val="none" w:sz="0" w:space="0" w:color="auto"/>
          </w:divBdr>
        </w:div>
        <w:div w:id="1284966481">
          <w:marLeft w:val="0"/>
          <w:marRight w:val="0"/>
          <w:marTop w:val="0"/>
          <w:marBottom w:val="0"/>
          <w:divBdr>
            <w:top w:val="none" w:sz="0" w:space="0" w:color="auto"/>
            <w:left w:val="none" w:sz="0" w:space="0" w:color="auto"/>
            <w:bottom w:val="none" w:sz="0" w:space="0" w:color="auto"/>
            <w:right w:val="none" w:sz="0" w:space="0" w:color="auto"/>
          </w:divBdr>
        </w:div>
        <w:div w:id="1327393532">
          <w:marLeft w:val="-75"/>
          <w:marRight w:val="0"/>
          <w:marTop w:val="30"/>
          <w:marBottom w:val="30"/>
          <w:divBdr>
            <w:top w:val="none" w:sz="0" w:space="0" w:color="auto"/>
            <w:left w:val="none" w:sz="0" w:space="0" w:color="auto"/>
            <w:bottom w:val="none" w:sz="0" w:space="0" w:color="auto"/>
            <w:right w:val="none" w:sz="0" w:space="0" w:color="auto"/>
          </w:divBdr>
          <w:divsChild>
            <w:div w:id="196046105">
              <w:marLeft w:val="0"/>
              <w:marRight w:val="0"/>
              <w:marTop w:val="0"/>
              <w:marBottom w:val="0"/>
              <w:divBdr>
                <w:top w:val="none" w:sz="0" w:space="0" w:color="auto"/>
                <w:left w:val="none" w:sz="0" w:space="0" w:color="auto"/>
                <w:bottom w:val="none" w:sz="0" w:space="0" w:color="auto"/>
                <w:right w:val="none" w:sz="0" w:space="0" w:color="auto"/>
              </w:divBdr>
              <w:divsChild>
                <w:div w:id="367223655">
                  <w:marLeft w:val="0"/>
                  <w:marRight w:val="0"/>
                  <w:marTop w:val="0"/>
                  <w:marBottom w:val="0"/>
                  <w:divBdr>
                    <w:top w:val="none" w:sz="0" w:space="0" w:color="auto"/>
                    <w:left w:val="none" w:sz="0" w:space="0" w:color="auto"/>
                    <w:bottom w:val="none" w:sz="0" w:space="0" w:color="auto"/>
                    <w:right w:val="none" w:sz="0" w:space="0" w:color="auto"/>
                  </w:divBdr>
                </w:div>
              </w:divsChild>
            </w:div>
            <w:div w:id="802120603">
              <w:marLeft w:val="0"/>
              <w:marRight w:val="0"/>
              <w:marTop w:val="0"/>
              <w:marBottom w:val="0"/>
              <w:divBdr>
                <w:top w:val="none" w:sz="0" w:space="0" w:color="auto"/>
                <w:left w:val="none" w:sz="0" w:space="0" w:color="auto"/>
                <w:bottom w:val="none" w:sz="0" w:space="0" w:color="auto"/>
                <w:right w:val="none" w:sz="0" w:space="0" w:color="auto"/>
              </w:divBdr>
              <w:divsChild>
                <w:div w:id="108550381">
                  <w:marLeft w:val="0"/>
                  <w:marRight w:val="0"/>
                  <w:marTop w:val="0"/>
                  <w:marBottom w:val="0"/>
                  <w:divBdr>
                    <w:top w:val="none" w:sz="0" w:space="0" w:color="auto"/>
                    <w:left w:val="none" w:sz="0" w:space="0" w:color="auto"/>
                    <w:bottom w:val="none" w:sz="0" w:space="0" w:color="auto"/>
                    <w:right w:val="none" w:sz="0" w:space="0" w:color="auto"/>
                  </w:divBdr>
                </w:div>
              </w:divsChild>
            </w:div>
            <w:div w:id="912351225">
              <w:marLeft w:val="0"/>
              <w:marRight w:val="0"/>
              <w:marTop w:val="0"/>
              <w:marBottom w:val="0"/>
              <w:divBdr>
                <w:top w:val="none" w:sz="0" w:space="0" w:color="auto"/>
                <w:left w:val="none" w:sz="0" w:space="0" w:color="auto"/>
                <w:bottom w:val="none" w:sz="0" w:space="0" w:color="auto"/>
                <w:right w:val="none" w:sz="0" w:space="0" w:color="auto"/>
              </w:divBdr>
              <w:divsChild>
                <w:div w:id="1589196368">
                  <w:marLeft w:val="0"/>
                  <w:marRight w:val="0"/>
                  <w:marTop w:val="0"/>
                  <w:marBottom w:val="0"/>
                  <w:divBdr>
                    <w:top w:val="none" w:sz="0" w:space="0" w:color="auto"/>
                    <w:left w:val="none" w:sz="0" w:space="0" w:color="auto"/>
                    <w:bottom w:val="none" w:sz="0" w:space="0" w:color="auto"/>
                    <w:right w:val="none" w:sz="0" w:space="0" w:color="auto"/>
                  </w:divBdr>
                </w:div>
              </w:divsChild>
            </w:div>
            <w:div w:id="1107431026">
              <w:marLeft w:val="0"/>
              <w:marRight w:val="0"/>
              <w:marTop w:val="0"/>
              <w:marBottom w:val="0"/>
              <w:divBdr>
                <w:top w:val="none" w:sz="0" w:space="0" w:color="auto"/>
                <w:left w:val="none" w:sz="0" w:space="0" w:color="auto"/>
                <w:bottom w:val="none" w:sz="0" w:space="0" w:color="auto"/>
                <w:right w:val="none" w:sz="0" w:space="0" w:color="auto"/>
              </w:divBdr>
              <w:divsChild>
                <w:div w:id="131027465">
                  <w:marLeft w:val="0"/>
                  <w:marRight w:val="0"/>
                  <w:marTop w:val="0"/>
                  <w:marBottom w:val="0"/>
                  <w:divBdr>
                    <w:top w:val="none" w:sz="0" w:space="0" w:color="auto"/>
                    <w:left w:val="none" w:sz="0" w:space="0" w:color="auto"/>
                    <w:bottom w:val="none" w:sz="0" w:space="0" w:color="auto"/>
                    <w:right w:val="none" w:sz="0" w:space="0" w:color="auto"/>
                  </w:divBdr>
                </w:div>
              </w:divsChild>
            </w:div>
            <w:div w:id="1321692222">
              <w:marLeft w:val="0"/>
              <w:marRight w:val="0"/>
              <w:marTop w:val="0"/>
              <w:marBottom w:val="0"/>
              <w:divBdr>
                <w:top w:val="none" w:sz="0" w:space="0" w:color="auto"/>
                <w:left w:val="none" w:sz="0" w:space="0" w:color="auto"/>
                <w:bottom w:val="none" w:sz="0" w:space="0" w:color="auto"/>
                <w:right w:val="none" w:sz="0" w:space="0" w:color="auto"/>
              </w:divBdr>
              <w:divsChild>
                <w:div w:id="869219621">
                  <w:marLeft w:val="0"/>
                  <w:marRight w:val="0"/>
                  <w:marTop w:val="0"/>
                  <w:marBottom w:val="0"/>
                  <w:divBdr>
                    <w:top w:val="none" w:sz="0" w:space="0" w:color="auto"/>
                    <w:left w:val="none" w:sz="0" w:space="0" w:color="auto"/>
                    <w:bottom w:val="none" w:sz="0" w:space="0" w:color="auto"/>
                    <w:right w:val="none" w:sz="0" w:space="0" w:color="auto"/>
                  </w:divBdr>
                </w:div>
              </w:divsChild>
            </w:div>
            <w:div w:id="1611274859">
              <w:marLeft w:val="0"/>
              <w:marRight w:val="0"/>
              <w:marTop w:val="0"/>
              <w:marBottom w:val="0"/>
              <w:divBdr>
                <w:top w:val="none" w:sz="0" w:space="0" w:color="auto"/>
                <w:left w:val="none" w:sz="0" w:space="0" w:color="auto"/>
                <w:bottom w:val="none" w:sz="0" w:space="0" w:color="auto"/>
                <w:right w:val="none" w:sz="0" w:space="0" w:color="auto"/>
              </w:divBdr>
              <w:divsChild>
                <w:div w:id="80955376">
                  <w:marLeft w:val="0"/>
                  <w:marRight w:val="0"/>
                  <w:marTop w:val="0"/>
                  <w:marBottom w:val="0"/>
                  <w:divBdr>
                    <w:top w:val="none" w:sz="0" w:space="0" w:color="auto"/>
                    <w:left w:val="none" w:sz="0" w:space="0" w:color="auto"/>
                    <w:bottom w:val="none" w:sz="0" w:space="0" w:color="auto"/>
                    <w:right w:val="none" w:sz="0" w:space="0" w:color="auto"/>
                  </w:divBdr>
                </w:div>
              </w:divsChild>
            </w:div>
            <w:div w:id="1658072908">
              <w:marLeft w:val="0"/>
              <w:marRight w:val="0"/>
              <w:marTop w:val="0"/>
              <w:marBottom w:val="0"/>
              <w:divBdr>
                <w:top w:val="none" w:sz="0" w:space="0" w:color="auto"/>
                <w:left w:val="none" w:sz="0" w:space="0" w:color="auto"/>
                <w:bottom w:val="none" w:sz="0" w:space="0" w:color="auto"/>
                <w:right w:val="none" w:sz="0" w:space="0" w:color="auto"/>
              </w:divBdr>
              <w:divsChild>
                <w:div w:id="582303250">
                  <w:marLeft w:val="0"/>
                  <w:marRight w:val="0"/>
                  <w:marTop w:val="0"/>
                  <w:marBottom w:val="0"/>
                  <w:divBdr>
                    <w:top w:val="none" w:sz="0" w:space="0" w:color="auto"/>
                    <w:left w:val="none" w:sz="0" w:space="0" w:color="auto"/>
                    <w:bottom w:val="none" w:sz="0" w:space="0" w:color="auto"/>
                    <w:right w:val="none" w:sz="0" w:space="0" w:color="auto"/>
                  </w:divBdr>
                </w:div>
              </w:divsChild>
            </w:div>
            <w:div w:id="1807625573">
              <w:marLeft w:val="0"/>
              <w:marRight w:val="0"/>
              <w:marTop w:val="0"/>
              <w:marBottom w:val="0"/>
              <w:divBdr>
                <w:top w:val="none" w:sz="0" w:space="0" w:color="auto"/>
                <w:left w:val="none" w:sz="0" w:space="0" w:color="auto"/>
                <w:bottom w:val="none" w:sz="0" w:space="0" w:color="auto"/>
                <w:right w:val="none" w:sz="0" w:space="0" w:color="auto"/>
              </w:divBdr>
              <w:divsChild>
                <w:div w:id="1375933911">
                  <w:marLeft w:val="0"/>
                  <w:marRight w:val="0"/>
                  <w:marTop w:val="0"/>
                  <w:marBottom w:val="0"/>
                  <w:divBdr>
                    <w:top w:val="none" w:sz="0" w:space="0" w:color="auto"/>
                    <w:left w:val="none" w:sz="0" w:space="0" w:color="auto"/>
                    <w:bottom w:val="none" w:sz="0" w:space="0" w:color="auto"/>
                    <w:right w:val="none" w:sz="0" w:space="0" w:color="auto"/>
                  </w:divBdr>
                </w:div>
              </w:divsChild>
            </w:div>
            <w:div w:id="1998529655">
              <w:marLeft w:val="0"/>
              <w:marRight w:val="0"/>
              <w:marTop w:val="0"/>
              <w:marBottom w:val="0"/>
              <w:divBdr>
                <w:top w:val="none" w:sz="0" w:space="0" w:color="auto"/>
                <w:left w:val="none" w:sz="0" w:space="0" w:color="auto"/>
                <w:bottom w:val="none" w:sz="0" w:space="0" w:color="auto"/>
                <w:right w:val="none" w:sz="0" w:space="0" w:color="auto"/>
              </w:divBdr>
              <w:divsChild>
                <w:div w:id="301157488">
                  <w:marLeft w:val="0"/>
                  <w:marRight w:val="0"/>
                  <w:marTop w:val="0"/>
                  <w:marBottom w:val="0"/>
                  <w:divBdr>
                    <w:top w:val="none" w:sz="0" w:space="0" w:color="auto"/>
                    <w:left w:val="none" w:sz="0" w:space="0" w:color="auto"/>
                    <w:bottom w:val="none" w:sz="0" w:space="0" w:color="auto"/>
                    <w:right w:val="none" w:sz="0" w:space="0" w:color="auto"/>
                  </w:divBdr>
                </w:div>
              </w:divsChild>
            </w:div>
            <w:div w:id="2001495098">
              <w:marLeft w:val="0"/>
              <w:marRight w:val="0"/>
              <w:marTop w:val="0"/>
              <w:marBottom w:val="0"/>
              <w:divBdr>
                <w:top w:val="none" w:sz="0" w:space="0" w:color="auto"/>
                <w:left w:val="none" w:sz="0" w:space="0" w:color="auto"/>
                <w:bottom w:val="none" w:sz="0" w:space="0" w:color="auto"/>
                <w:right w:val="none" w:sz="0" w:space="0" w:color="auto"/>
              </w:divBdr>
              <w:divsChild>
                <w:div w:id="807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81185">
          <w:marLeft w:val="0"/>
          <w:marRight w:val="0"/>
          <w:marTop w:val="0"/>
          <w:marBottom w:val="0"/>
          <w:divBdr>
            <w:top w:val="none" w:sz="0" w:space="0" w:color="auto"/>
            <w:left w:val="none" w:sz="0" w:space="0" w:color="auto"/>
            <w:bottom w:val="none" w:sz="0" w:space="0" w:color="auto"/>
            <w:right w:val="none" w:sz="0" w:space="0" w:color="auto"/>
          </w:divBdr>
        </w:div>
        <w:div w:id="1379429868">
          <w:marLeft w:val="0"/>
          <w:marRight w:val="0"/>
          <w:marTop w:val="0"/>
          <w:marBottom w:val="0"/>
          <w:divBdr>
            <w:top w:val="none" w:sz="0" w:space="0" w:color="auto"/>
            <w:left w:val="none" w:sz="0" w:space="0" w:color="auto"/>
            <w:bottom w:val="none" w:sz="0" w:space="0" w:color="auto"/>
            <w:right w:val="none" w:sz="0" w:space="0" w:color="auto"/>
          </w:divBdr>
        </w:div>
        <w:div w:id="1405104771">
          <w:marLeft w:val="0"/>
          <w:marRight w:val="0"/>
          <w:marTop w:val="0"/>
          <w:marBottom w:val="0"/>
          <w:divBdr>
            <w:top w:val="none" w:sz="0" w:space="0" w:color="auto"/>
            <w:left w:val="none" w:sz="0" w:space="0" w:color="auto"/>
            <w:bottom w:val="none" w:sz="0" w:space="0" w:color="auto"/>
            <w:right w:val="none" w:sz="0" w:space="0" w:color="auto"/>
          </w:divBdr>
        </w:div>
        <w:div w:id="1419057047">
          <w:marLeft w:val="0"/>
          <w:marRight w:val="0"/>
          <w:marTop w:val="0"/>
          <w:marBottom w:val="0"/>
          <w:divBdr>
            <w:top w:val="none" w:sz="0" w:space="0" w:color="auto"/>
            <w:left w:val="none" w:sz="0" w:space="0" w:color="auto"/>
            <w:bottom w:val="none" w:sz="0" w:space="0" w:color="auto"/>
            <w:right w:val="none" w:sz="0" w:space="0" w:color="auto"/>
          </w:divBdr>
        </w:div>
        <w:div w:id="1472943161">
          <w:marLeft w:val="0"/>
          <w:marRight w:val="0"/>
          <w:marTop w:val="0"/>
          <w:marBottom w:val="0"/>
          <w:divBdr>
            <w:top w:val="none" w:sz="0" w:space="0" w:color="auto"/>
            <w:left w:val="none" w:sz="0" w:space="0" w:color="auto"/>
            <w:bottom w:val="none" w:sz="0" w:space="0" w:color="auto"/>
            <w:right w:val="none" w:sz="0" w:space="0" w:color="auto"/>
          </w:divBdr>
        </w:div>
        <w:div w:id="1513455531">
          <w:marLeft w:val="0"/>
          <w:marRight w:val="0"/>
          <w:marTop w:val="0"/>
          <w:marBottom w:val="0"/>
          <w:divBdr>
            <w:top w:val="none" w:sz="0" w:space="0" w:color="auto"/>
            <w:left w:val="none" w:sz="0" w:space="0" w:color="auto"/>
            <w:bottom w:val="none" w:sz="0" w:space="0" w:color="auto"/>
            <w:right w:val="none" w:sz="0" w:space="0" w:color="auto"/>
          </w:divBdr>
        </w:div>
        <w:div w:id="1531718003">
          <w:marLeft w:val="0"/>
          <w:marRight w:val="0"/>
          <w:marTop w:val="0"/>
          <w:marBottom w:val="0"/>
          <w:divBdr>
            <w:top w:val="none" w:sz="0" w:space="0" w:color="auto"/>
            <w:left w:val="none" w:sz="0" w:space="0" w:color="auto"/>
            <w:bottom w:val="none" w:sz="0" w:space="0" w:color="auto"/>
            <w:right w:val="none" w:sz="0" w:space="0" w:color="auto"/>
          </w:divBdr>
        </w:div>
        <w:div w:id="1548179398">
          <w:marLeft w:val="0"/>
          <w:marRight w:val="0"/>
          <w:marTop w:val="0"/>
          <w:marBottom w:val="0"/>
          <w:divBdr>
            <w:top w:val="none" w:sz="0" w:space="0" w:color="auto"/>
            <w:left w:val="none" w:sz="0" w:space="0" w:color="auto"/>
            <w:bottom w:val="none" w:sz="0" w:space="0" w:color="auto"/>
            <w:right w:val="none" w:sz="0" w:space="0" w:color="auto"/>
          </w:divBdr>
        </w:div>
        <w:div w:id="1583951144">
          <w:marLeft w:val="0"/>
          <w:marRight w:val="0"/>
          <w:marTop w:val="0"/>
          <w:marBottom w:val="0"/>
          <w:divBdr>
            <w:top w:val="none" w:sz="0" w:space="0" w:color="auto"/>
            <w:left w:val="none" w:sz="0" w:space="0" w:color="auto"/>
            <w:bottom w:val="none" w:sz="0" w:space="0" w:color="auto"/>
            <w:right w:val="none" w:sz="0" w:space="0" w:color="auto"/>
          </w:divBdr>
        </w:div>
        <w:div w:id="1609703151">
          <w:marLeft w:val="0"/>
          <w:marRight w:val="0"/>
          <w:marTop w:val="0"/>
          <w:marBottom w:val="0"/>
          <w:divBdr>
            <w:top w:val="none" w:sz="0" w:space="0" w:color="auto"/>
            <w:left w:val="none" w:sz="0" w:space="0" w:color="auto"/>
            <w:bottom w:val="none" w:sz="0" w:space="0" w:color="auto"/>
            <w:right w:val="none" w:sz="0" w:space="0" w:color="auto"/>
          </w:divBdr>
        </w:div>
        <w:div w:id="1655252833">
          <w:marLeft w:val="0"/>
          <w:marRight w:val="0"/>
          <w:marTop w:val="0"/>
          <w:marBottom w:val="0"/>
          <w:divBdr>
            <w:top w:val="none" w:sz="0" w:space="0" w:color="auto"/>
            <w:left w:val="none" w:sz="0" w:space="0" w:color="auto"/>
            <w:bottom w:val="none" w:sz="0" w:space="0" w:color="auto"/>
            <w:right w:val="none" w:sz="0" w:space="0" w:color="auto"/>
          </w:divBdr>
        </w:div>
        <w:div w:id="1678146686">
          <w:marLeft w:val="0"/>
          <w:marRight w:val="0"/>
          <w:marTop w:val="0"/>
          <w:marBottom w:val="0"/>
          <w:divBdr>
            <w:top w:val="none" w:sz="0" w:space="0" w:color="auto"/>
            <w:left w:val="none" w:sz="0" w:space="0" w:color="auto"/>
            <w:bottom w:val="none" w:sz="0" w:space="0" w:color="auto"/>
            <w:right w:val="none" w:sz="0" w:space="0" w:color="auto"/>
          </w:divBdr>
        </w:div>
        <w:div w:id="1752191526">
          <w:marLeft w:val="-75"/>
          <w:marRight w:val="0"/>
          <w:marTop w:val="30"/>
          <w:marBottom w:val="30"/>
          <w:divBdr>
            <w:top w:val="none" w:sz="0" w:space="0" w:color="auto"/>
            <w:left w:val="none" w:sz="0" w:space="0" w:color="auto"/>
            <w:bottom w:val="none" w:sz="0" w:space="0" w:color="auto"/>
            <w:right w:val="none" w:sz="0" w:space="0" w:color="auto"/>
          </w:divBdr>
          <w:divsChild>
            <w:div w:id="126633664">
              <w:marLeft w:val="0"/>
              <w:marRight w:val="0"/>
              <w:marTop w:val="0"/>
              <w:marBottom w:val="0"/>
              <w:divBdr>
                <w:top w:val="none" w:sz="0" w:space="0" w:color="auto"/>
                <w:left w:val="none" w:sz="0" w:space="0" w:color="auto"/>
                <w:bottom w:val="none" w:sz="0" w:space="0" w:color="auto"/>
                <w:right w:val="none" w:sz="0" w:space="0" w:color="auto"/>
              </w:divBdr>
              <w:divsChild>
                <w:div w:id="416563009">
                  <w:marLeft w:val="0"/>
                  <w:marRight w:val="0"/>
                  <w:marTop w:val="0"/>
                  <w:marBottom w:val="0"/>
                  <w:divBdr>
                    <w:top w:val="none" w:sz="0" w:space="0" w:color="auto"/>
                    <w:left w:val="none" w:sz="0" w:space="0" w:color="auto"/>
                    <w:bottom w:val="none" w:sz="0" w:space="0" w:color="auto"/>
                    <w:right w:val="none" w:sz="0" w:space="0" w:color="auto"/>
                  </w:divBdr>
                </w:div>
                <w:div w:id="1299722567">
                  <w:marLeft w:val="0"/>
                  <w:marRight w:val="0"/>
                  <w:marTop w:val="0"/>
                  <w:marBottom w:val="0"/>
                  <w:divBdr>
                    <w:top w:val="none" w:sz="0" w:space="0" w:color="auto"/>
                    <w:left w:val="none" w:sz="0" w:space="0" w:color="auto"/>
                    <w:bottom w:val="none" w:sz="0" w:space="0" w:color="auto"/>
                    <w:right w:val="none" w:sz="0" w:space="0" w:color="auto"/>
                  </w:divBdr>
                </w:div>
              </w:divsChild>
            </w:div>
            <w:div w:id="156457695">
              <w:marLeft w:val="0"/>
              <w:marRight w:val="0"/>
              <w:marTop w:val="0"/>
              <w:marBottom w:val="0"/>
              <w:divBdr>
                <w:top w:val="none" w:sz="0" w:space="0" w:color="auto"/>
                <w:left w:val="none" w:sz="0" w:space="0" w:color="auto"/>
                <w:bottom w:val="none" w:sz="0" w:space="0" w:color="auto"/>
                <w:right w:val="none" w:sz="0" w:space="0" w:color="auto"/>
              </w:divBdr>
              <w:divsChild>
                <w:div w:id="268004240">
                  <w:marLeft w:val="0"/>
                  <w:marRight w:val="0"/>
                  <w:marTop w:val="0"/>
                  <w:marBottom w:val="0"/>
                  <w:divBdr>
                    <w:top w:val="none" w:sz="0" w:space="0" w:color="auto"/>
                    <w:left w:val="none" w:sz="0" w:space="0" w:color="auto"/>
                    <w:bottom w:val="none" w:sz="0" w:space="0" w:color="auto"/>
                    <w:right w:val="none" w:sz="0" w:space="0" w:color="auto"/>
                  </w:divBdr>
                </w:div>
                <w:div w:id="1066533388">
                  <w:marLeft w:val="0"/>
                  <w:marRight w:val="0"/>
                  <w:marTop w:val="0"/>
                  <w:marBottom w:val="0"/>
                  <w:divBdr>
                    <w:top w:val="none" w:sz="0" w:space="0" w:color="auto"/>
                    <w:left w:val="none" w:sz="0" w:space="0" w:color="auto"/>
                    <w:bottom w:val="none" w:sz="0" w:space="0" w:color="auto"/>
                    <w:right w:val="none" w:sz="0" w:space="0" w:color="auto"/>
                  </w:divBdr>
                </w:div>
              </w:divsChild>
            </w:div>
            <w:div w:id="234366289">
              <w:marLeft w:val="0"/>
              <w:marRight w:val="0"/>
              <w:marTop w:val="0"/>
              <w:marBottom w:val="0"/>
              <w:divBdr>
                <w:top w:val="none" w:sz="0" w:space="0" w:color="auto"/>
                <w:left w:val="none" w:sz="0" w:space="0" w:color="auto"/>
                <w:bottom w:val="none" w:sz="0" w:space="0" w:color="auto"/>
                <w:right w:val="none" w:sz="0" w:space="0" w:color="auto"/>
              </w:divBdr>
              <w:divsChild>
                <w:div w:id="2138058605">
                  <w:marLeft w:val="0"/>
                  <w:marRight w:val="0"/>
                  <w:marTop w:val="0"/>
                  <w:marBottom w:val="0"/>
                  <w:divBdr>
                    <w:top w:val="none" w:sz="0" w:space="0" w:color="auto"/>
                    <w:left w:val="none" w:sz="0" w:space="0" w:color="auto"/>
                    <w:bottom w:val="none" w:sz="0" w:space="0" w:color="auto"/>
                    <w:right w:val="none" w:sz="0" w:space="0" w:color="auto"/>
                  </w:divBdr>
                </w:div>
              </w:divsChild>
            </w:div>
            <w:div w:id="277490232">
              <w:marLeft w:val="0"/>
              <w:marRight w:val="0"/>
              <w:marTop w:val="0"/>
              <w:marBottom w:val="0"/>
              <w:divBdr>
                <w:top w:val="none" w:sz="0" w:space="0" w:color="auto"/>
                <w:left w:val="none" w:sz="0" w:space="0" w:color="auto"/>
                <w:bottom w:val="none" w:sz="0" w:space="0" w:color="auto"/>
                <w:right w:val="none" w:sz="0" w:space="0" w:color="auto"/>
              </w:divBdr>
              <w:divsChild>
                <w:div w:id="679281915">
                  <w:marLeft w:val="0"/>
                  <w:marRight w:val="0"/>
                  <w:marTop w:val="0"/>
                  <w:marBottom w:val="0"/>
                  <w:divBdr>
                    <w:top w:val="none" w:sz="0" w:space="0" w:color="auto"/>
                    <w:left w:val="none" w:sz="0" w:space="0" w:color="auto"/>
                    <w:bottom w:val="none" w:sz="0" w:space="0" w:color="auto"/>
                    <w:right w:val="none" w:sz="0" w:space="0" w:color="auto"/>
                  </w:divBdr>
                </w:div>
              </w:divsChild>
            </w:div>
            <w:div w:id="283999362">
              <w:marLeft w:val="0"/>
              <w:marRight w:val="0"/>
              <w:marTop w:val="0"/>
              <w:marBottom w:val="0"/>
              <w:divBdr>
                <w:top w:val="none" w:sz="0" w:space="0" w:color="auto"/>
                <w:left w:val="none" w:sz="0" w:space="0" w:color="auto"/>
                <w:bottom w:val="none" w:sz="0" w:space="0" w:color="auto"/>
                <w:right w:val="none" w:sz="0" w:space="0" w:color="auto"/>
              </w:divBdr>
              <w:divsChild>
                <w:div w:id="649090688">
                  <w:marLeft w:val="0"/>
                  <w:marRight w:val="0"/>
                  <w:marTop w:val="0"/>
                  <w:marBottom w:val="0"/>
                  <w:divBdr>
                    <w:top w:val="none" w:sz="0" w:space="0" w:color="auto"/>
                    <w:left w:val="none" w:sz="0" w:space="0" w:color="auto"/>
                    <w:bottom w:val="none" w:sz="0" w:space="0" w:color="auto"/>
                    <w:right w:val="none" w:sz="0" w:space="0" w:color="auto"/>
                  </w:divBdr>
                </w:div>
              </w:divsChild>
            </w:div>
            <w:div w:id="318115081">
              <w:marLeft w:val="0"/>
              <w:marRight w:val="0"/>
              <w:marTop w:val="0"/>
              <w:marBottom w:val="0"/>
              <w:divBdr>
                <w:top w:val="none" w:sz="0" w:space="0" w:color="auto"/>
                <w:left w:val="none" w:sz="0" w:space="0" w:color="auto"/>
                <w:bottom w:val="none" w:sz="0" w:space="0" w:color="auto"/>
                <w:right w:val="none" w:sz="0" w:space="0" w:color="auto"/>
              </w:divBdr>
              <w:divsChild>
                <w:div w:id="1886982599">
                  <w:marLeft w:val="0"/>
                  <w:marRight w:val="0"/>
                  <w:marTop w:val="0"/>
                  <w:marBottom w:val="0"/>
                  <w:divBdr>
                    <w:top w:val="none" w:sz="0" w:space="0" w:color="auto"/>
                    <w:left w:val="none" w:sz="0" w:space="0" w:color="auto"/>
                    <w:bottom w:val="none" w:sz="0" w:space="0" w:color="auto"/>
                    <w:right w:val="none" w:sz="0" w:space="0" w:color="auto"/>
                  </w:divBdr>
                </w:div>
              </w:divsChild>
            </w:div>
            <w:div w:id="372927697">
              <w:marLeft w:val="0"/>
              <w:marRight w:val="0"/>
              <w:marTop w:val="0"/>
              <w:marBottom w:val="0"/>
              <w:divBdr>
                <w:top w:val="none" w:sz="0" w:space="0" w:color="auto"/>
                <w:left w:val="none" w:sz="0" w:space="0" w:color="auto"/>
                <w:bottom w:val="none" w:sz="0" w:space="0" w:color="auto"/>
                <w:right w:val="none" w:sz="0" w:space="0" w:color="auto"/>
              </w:divBdr>
              <w:divsChild>
                <w:div w:id="1123500337">
                  <w:marLeft w:val="0"/>
                  <w:marRight w:val="0"/>
                  <w:marTop w:val="0"/>
                  <w:marBottom w:val="0"/>
                  <w:divBdr>
                    <w:top w:val="none" w:sz="0" w:space="0" w:color="auto"/>
                    <w:left w:val="none" w:sz="0" w:space="0" w:color="auto"/>
                    <w:bottom w:val="none" w:sz="0" w:space="0" w:color="auto"/>
                    <w:right w:val="none" w:sz="0" w:space="0" w:color="auto"/>
                  </w:divBdr>
                </w:div>
              </w:divsChild>
            </w:div>
            <w:div w:id="506796426">
              <w:marLeft w:val="0"/>
              <w:marRight w:val="0"/>
              <w:marTop w:val="0"/>
              <w:marBottom w:val="0"/>
              <w:divBdr>
                <w:top w:val="none" w:sz="0" w:space="0" w:color="auto"/>
                <w:left w:val="none" w:sz="0" w:space="0" w:color="auto"/>
                <w:bottom w:val="none" w:sz="0" w:space="0" w:color="auto"/>
                <w:right w:val="none" w:sz="0" w:space="0" w:color="auto"/>
              </w:divBdr>
              <w:divsChild>
                <w:div w:id="522473618">
                  <w:marLeft w:val="0"/>
                  <w:marRight w:val="0"/>
                  <w:marTop w:val="0"/>
                  <w:marBottom w:val="0"/>
                  <w:divBdr>
                    <w:top w:val="none" w:sz="0" w:space="0" w:color="auto"/>
                    <w:left w:val="none" w:sz="0" w:space="0" w:color="auto"/>
                    <w:bottom w:val="none" w:sz="0" w:space="0" w:color="auto"/>
                    <w:right w:val="none" w:sz="0" w:space="0" w:color="auto"/>
                  </w:divBdr>
                </w:div>
              </w:divsChild>
            </w:div>
            <w:div w:id="507209174">
              <w:marLeft w:val="0"/>
              <w:marRight w:val="0"/>
              <w:marTop w:val="0"/>
              <w:marBottom w:val="0"/>
              <w:divBdr>
                <w:top w:val="none" w:sz="0" w:space="0" w:color="auto"/>
                <w:left w:val="none" w:sz="0" w:space="0" w:color="auto"/>
                <w:bottom w:val="none" w:sz="0" w:space="0" w:color="auto"/>
                <w:right w:val="none" w:sz="0" w:space="0" w:color="auto"/>
              </w:divBdr>
              <w:divsChild>
                <w:div w:id="544295725">
                  <w:marLeft w:val="0"/>
                  <w:marRight w:val="0"/>
                  <w:marTop w:val="0"/>
                  <w:marBottom w:val="0"/>
                  <w:divBdr>
                    <w:top w:val="none" w:sz="0" w:space="0" w:color="auto"/>
                    <w:left w:val="none" w:sz="0" w:space="0" w:color="auto"/>
                    <w:bottom w:val="none" w:sz="0" w:space="0" w:color="auto"/>
                    <w:right w:val="none" w:sz="0" w:space="0" w:color="auto"/>
                  </w:divBdr>
                </w:div>
              </w:divsChild>
            </w:div>
            <w:div w:id="570425941">
              <w:marLeft w:val="0"/>
              <w:marRight w:val="0"/>
              <w:marTop w:val="0"/>
              <w:marBottom w:val="0"/>
              <w:divBdr>
                <w:top w:val="none" w:sz="0" w:space="0" w:color="auto"/>
                <w:left w:val="none" w:sz="0" w:space="0" w:color="auto"/>
                <w:bottom w:val="none" w:sz="0" w:space="0" w:color="auto"/>
                <w:right w:val="none" w:sz="0" w:space="0" w:color="auto"/>
              </w:divBdr>
              <w:divsChild>
                <w:div w:id="1679305225">
                  <w:marLeft w:val="0"/>
                  <w:marRight w:val="0"/>
                  <w:marTop w:val="0"/>
                  <w:marBottom w:val="0"/>
                  <w:divBdr>
                    <w:top w:val="none" w:sz="0" w:space="0" w:color="auto"/>
                    <w:left w:val="none" w:sz="0" w:space="0" w:color="auto"/>
                    <w:bottom w:val="none" w:sz="0" w:space="0" w:color="auto"/>
                    <w:right w:val="none" w:sz="0" w:space="0" w:color="auto"/>
                  </w:divBdr>
                </w:div>
              </w:divsChild>
            </w:div>
            <w:div w:id="578179838">
              <w:marLeft w:val="0"/>
              <w:marRight w:val="0"/>
              <w:marTop w:val="0"/>
              <w:marBottom w:val="0"/>
              <w:divBdr>
                <w:top w:val="none" w:sz="0" w:space="0" w:color="auto"/>
                <w:left w:val="none" w:sz="0" w:space="0" w:color="auto"/>
                <w:bottom w:val="none" w:sz="0" w:space="0" w:color="auto"/>
                <w:right w:val="none" w:sz="0" w:space="0" w:color="auto"/>
              </w:divBdr>
              <w:divsChild>
                <w:div w:id="1404260015">
                  <w:marLeft w:val="0"/>
                  <w:marRight w:val="0"/>
                  <w:marTop w:val="0"/>
                  <w:marBottom w:val="0"/>
                  <w:divBdr>
                    <w:top w:val="none" w:sz="0" w:space="0" w:color="auto"/>
                    <w:left w:val="none" w:sz="0" w:space="0" w:color="auto"/>
                    <w:bottom w:val="none" w:sz="0" w:space="0" w:color="auto"/>
                    <w:right w:val="none" w:sz="0" w:space="0" w:color="auto"/>
                  </w:divBdr>
                </w:div>
              </w:divsChild>
            </w:div>
            <w:div w:id="626202793">
              <w:marLeft w:val="0"/>
              <w:marRight w:val="0"/>
              <w:marTop w:val="0"/>
              <w:marBottom w:val="0"/>
              <w:divBdr>
                <w:top w:val="none" w:sz="0" w:space="0" w:color="auto"/>
                <w:left w:val="none" w:sz="0" w:space="0" w:color="auto"/>
                <w:bottom w:val="none" w:sz="0" w:space="0" w:color="auto"/>
                <w:right w:val="none" w:sz="0" w:space="0" w:color="auto"/>
              </w:divBdr>
              <w:divsChild>
                <w:div w:id="376902705">
                  <w:marLeft w:val="0"/>
                  <w:marRight w:val="0"/>
                  <w:marTop w:val="0"/>
                  <w:marBottom w:val="0"/>
                  <w:divBdr>
                    <w:top w:val="none" w:sz="0" w:space="0" w:color="auto"/>
                    <w:left w:val="none" w:sz="0" w:space="0" w:color="auto"/>
                    <w:bottom w:val="none" w:sz="0" w:space="0" w:color="auto"/>
                    <w:right w:val="none" w:sz="0" w:space="0" w:color="auto"/>
                  </w:divBdr>
                </w:div>
              </w:divsChild>
            </w:div>
            <w:div w:id="769353095">
              <w:marLeft w:val="0"/>
              <w:marRight w:val="0"/>
              <w:marTop w:val="0"/>
              <w:marBottom w:val="0"/>
              <w:divBdr>
                <w:top w:val="none" w:sz="0" w:space="0" w:color="auto"/>
                <w:left w:val="none" w:sz="0" w:space="0" w:color="auto"/>
                <w:bottom w:val="none" w:sz="0" w:space="0" w:color="auto"/>
                <w:right w:val="none" w:sz="0" w:space="0" w:color="auto"/>
              </w:divBdr>
              <w:divsChild>
                <w:div w:id="724522092">
                  <w:marLeft w:val="0"/>
                  <w:marRight w:val="0"/>
                  <w:marTop w:val="0"/>
                  <w:marBottom w:val="0"/>
                  <w:divBdr>
                    <w:top w:val="none" w:sz="0" w:space="0" w:color="auto"/>
                    <w:left w:val="none" w:sz="0" w:space="0" w:color="auto"/>
                    <w:bottom w:val="none" w:sz="0" w:space="0" w:color="auto"/>
                    <w:right w:val="none" w:sz="0" w:space="0" w:color="auto"/>
                  </w:divBdr>
                </w:div>
                <w:div w:id="1501500522">
                  <w:marLeft w:val="0"/>
                  <w:marRight w:val="0"/>
                  <w:marTop w:val="0"/>
                  <w:marBottom w:val="0"/>
                  <w:divBdr>
                    <w:top w:val="none" w:sz="0" w:space="0" w:color="auto"/>
                    <w:left w:val="none" w:sz="0" w:space="0" w:color="auto"/>
                    <w:bottom w:val="none" w:sz="0" w:space="0" w:color="auto"/>
                    <w:right w:val="none" w:sz="0" w:space="0" w:color="auto"/>
                  </w:divBdr>
                </w:div>
              </w:divsChild>
            </w:div>
            <w:div w:id="808133739">
              <w:marLeft w:val="0"/>
              <w:marRight w:val="0"/>
              <w:marTop w:val="0"/>
              <w:marBottom w:val="0"/>
              <w:divBdr>
                <w:top w:val="none" w:sz="0" w:space="0" w:color="auto"/>
                <w:left w:val="none" w:sz="0" w:space="0" w:color="auto"/>
                <w:bottom w:val="none" w:sz="0" w:space="0" w:color="auto"/>
                <w:right w:val="none" w:sz="0" w:space="0" w:color="auto"/>
              </w:divBdr>
              <w:divsChild>
                <w:div w:id="2040816441">
                  <w:marLeft w:val="0"/>
                  <w:marRight w:val="0"/>
                  <w:marTop w:val="0"/>
                  <w:marBottom w:val="0"/>
                  <w:divBdr>
                    <w:top w:val="none" w:sz="0" w:space="0" w:color="auto"/>
                    <w:left w:val="none" w:sz="0" w:space="0" w:color="auto"/>
                    <w:bottom w:val="none" w:sz="0" w:space="0" w:color="auto"/>
                    <w:right w:val="none" w:sz="0" w:space="0" w:color="auto"/>
                  </w:divBdr>
                </w:div>
              </w:divsChild>
            </w:div>
            <w:div w:id="809833212">
              <w:marLeft w:val="0"/>
              <w:marRight w:val="0"/>
              <w:marTop w:val="0"/>
              <w:marBottom w:val="0"/>
              <w:divBdr>
                <w:top w:val="none" w:sz="0" w:space="0" w:color="auto"/>
                <w:left w:val="none" w:sz="0" w:space="0" w:color="auto"/>
                <w:bottom w:val="none" w:sz="0" w:space="0" w:color="auto"/>
                <w:right w:val="none" w:sz="0" w:space="0" w:color="auto"/>
              </w:divBdr>
              <w:divsChild>
                <w:div w:id="1168134805">
                  <w:marLeft w:val="0"/>
                  <w:marRight w:val="0"/>
                  <w:marTop w:val="0"/>
                  <w:marBottom w:val="0"/>
                  <w:divBdr>
                    <w:top w:val="none" w:sz="0" w:space="0" w:color="auto"/>
                    <w:left w:val="none" w:sz="0" w:space="0" w:color="auto"/>
                    <w:bottom w:val="none" w:sz="0" w:space="0" w:color="auto"/>
                    <w:right w:val="none" w:sz="0" w:space="0" w:color="auto"/>
                  </w:divBdr>
                </w:div>
              </w:divsChild>
            </w:div>
            <w:div w:id="819006260">
              <w:marLeft w:val="0"/>
              <w:marRight w:val="0"/>
              <w:marTop w:val="0"/>
              <w:marBottom w:val="0"/>
              <w:divBdr>
                <w:top w:val="none" w:sz="0" w:space="0" w:color="auto"/>
                <w:left w:val="none" w:sz="0" w:space="0" w:color="auto"/>
                <w:bottom w:val="none" w:sz="0" w:space="0" w:color="auto"/>
                <w:right w:val="none" w:sz="0" w:space="0" w:color="auto"/>
              </w:divBdr>
              <w:divsChild>
                <w:div w:id="599529551">
                  <w:marLeft w:val="0"/>
                  <w:marRight w:val="0"/>
                  <w:marTop w:val="0"/>
                  <w:marBottom w:val="0"/>
                  <w:divBdr>
                    <w:top w:val="none" w:sz="0" w:space="0" w:color="auto"/>
                    <w:left w:val="none" w:sz="0" w:space="0" w:color="auto"/>
                    <w:bottom w:val="none" w:sz="0" w:space="0" w:color="auto"/>
                    <w:right w:val="none" w:sz="0" w:space="0" w:color="auto"/>
                  </w:divBdr>
                </w:div>
              </w:divsChild>
            </w:div>
            <w:div w:id="864486333">
              <w:marLeft w:val="0"/>
              <w:marRight w:val="0"/>
              <w:marTop w:val="0"/>
              <w:marBottom w:val="0"/>
              <w:divBdr>
                <w:top w:val="none" w:sz="0" w:space="0" w:color="auto"/>
                <w:left w:val="none" w:sz="0" w:space="0" w:color="auto"/>
                <w:bottom w:val="none" w:sz="0" w:space="0" w:color="auto"/>
                <w:right w:val="none" w:sz="0" w:space="0" w:color="auto"/>
              </w:divBdr>
              <w:divsChild>
                <w:div w:id="1696810337">
                  <w:marLeft w:val="0"/>
                  <w:marRight w:val="0"/>
                  <w:marTop w:val="0"/>
                  <w:marBottom w:val="0"/>
                  <w:divBdr>
                    <w:top w:val="none" w:sz="0" w:space="0" w:color="auto"/>
                    <w:left w:val="none" w:sz="0" w:space="0" w:color="auto"/>
                    <w:bottom w:val="none" w:sz="0" w:space="0" w:color="auto"/>
                    <w:right w:val="none" w:sz="0" w:space="0" w:color="auto"/>
                  </w:divBdr>
                </w:div>
              </w:divsChild>
            </w:div>
            <w:div w:id="919801379">
              <w:marLeft w:val="0"/>
              <w:marRight w:val="0"/>
              <w:marTop w:val="0"/>
              <w:marBottom w:val="0"/>
              <w:divBdr>
                <w:top w:val="none" w:sz="0" w:space="0" w:color="auto"/>
                <w:left w:val="none" w:sz="0" w:space="0" w:color="auto"/>
                <w:bottom w:val="none" w:sz="0" w:space="0" w:color="auto"/>
                <w:right w:val="none" w:sz="0" w:space="0" w:color="auto"/>
              </w:divBdr>
              <w:divsChild>
                <w:div w:id="1204977444">
                  <w:marLeft w:val="0"/>
                  <w:marRight w:val="0"/>
                  <w:marTop w:val="0"/>
                  <w:marBottom w:val="0"/>
                  <w:divBdr>
                    <w:top w:val="none" w:sz="0" w:space="0" w:color="auto"/>
                    <w:left w:val="none" w:sz="0" w:space="0" w:color="auto"/>
                    <w:bottom w:val="none" w:sz="0" w:space="0" w:color="auto"/>
                    <w:right w:val="none" w:sz="0" w:space="0" w:color="auto"/>
                  </w:divBdr>
                </w:div>
              </w:divsChild>
            </w:div>
            <w:div w:id="944653005">
              <w:marLeft w:val="0"/>
              <w:marRight w:val="0"/>
              <w:marTop w:val="0"/>
              <w:marBottom w:val="0"/>
              <w:divBdr>
                <w:top w:val="none" w:sz="0" w:space="0" w:color="auto"/>
                <w:left w:val="none" w:sz="0" w:space="0" w:color="auto"/>
                <w:bottom w:val="none" w:sz="0" w:space="0" w:color="auto"/>
                <w:right w:val="none" w:sz="0" w:space="0" w:color="auto"/>
              </w:divBdr>
              <w:divsChild>
                <w:div w:id="1809205725">
                  <w:marLeft w:val="0"/>
                  <w:marRight w:val="0"/>
                  <w:marTop w:val="0"/>
                  <w:marBottom w:val="0"/>
                  <w:divBdr>
                    <w:top w:val="none" w:sz="0" w:space="0" w:color="auto"/>
                    <w:left w:val="none" w:sz="0" w:space="0" w:color="auto"/>
                    <w:bottom w:val="none" w:sz="0" w:space="0" w:color="auto"/>
                    <w:right w:val="none" w:sz="0" w:space="0" w:color="auto"/>
                  </w:divBdr>
                </w:div>
              </w:divsChild>
            </w:div>
            <w:div w:id="1003168770">
              <w:marLeft w:val="0"/>
              <w:marRight w:val="0"/>
              <w:marTop w:val="0"/>
              <w:marBottom w:val="0"/>
              <w:divBdr>
                <w:top w:val="none" w:sz="0" w:space="0" w:color="auto"/>
                <w:left w:val="none" w:sz="0" w:space="0" w:color="auto"/>
                <w:bottom w:val="none" w:sz="0" w:space="0" w:color="auto"/>
                <w:right w:val="none" w:sz="0" w:space="0" w:color="auto"/>
              </w:divBdr>
              <w:divsChild>
                <w:div w:id="1895773509">
                  <w:marLeft w:val="0"/>
                  <w:marRight w:val="0"/>
                  <w:marTop w:val="0"/>
                  <w:marBottom w:val="0"/>
                  <w:divBdr>
                    <w:top w:val="none" w:sz="0" w:space="0" w:color="auto"/>
                    <w:left w:val="none" w:sz="0" w:space="0" w:color="auto"/>
                    <w:bottom w:val="none" w:sz="0" w:space="0" w:color="auto"/>
                    <w:right w:val="none" w:sz="0" w:space="0" w:color="auto"/>
                  </w:divBdr>
                </w:div>
              </w:divsChild>
            </w:div>
            <w:div w:id="1044253898">
              <w:marLeft w:val="0"/>
              <w:marRight w:val="0"/>
              <w:marTop w:val="0"/>
              <w:marBottom w:val="0"/>
              <w:divBdr>
                <w:top w:val="none" w:sz="0" w:space="0" w:color="auto"/>
                <w:left w:val="none" w:sz="0" w:space="0" w:color="auto"/>
                <w:bottom w:val="none" w:sz="0" w:space="0" w:color="auto"/>
                <w:right w:val="none" w:sz="0" w:space="0" w:color="auto"/>
              </w:divBdr>
              <w:divsChild>
                <w:div w:id="761532399">
                  <w:marLeft w:val="0"/>
                  <w:marRight w:val="0"/>
                  <w:marTop w:val="0"/>
                  <w:marBottom w:val="0"/>
                  <w:divBdr>
                    <w:top w:val="none" w:sz="0" w:space="0" w:color="auto"/>
                    <w:left w:val="none" w:sz="0" w:space="0" w:color="auto"/>
                    <w:bottom w:val="none" w:sz="0" w:space="0" w:color="auto"/>
                    <w:right w:val="none" w:sz="0" w:space="0" w:color="auto"/>
                  </w:divBdr>
                </w:div>
              </w:divsChild>
            </w:div>
            <w:div w:id="1064137226">
              <w:marLeft w:val="0"/>
              <w:marRight w:val="0"/>
              <w:marTop w:val="0"/>
              <w:marBottom w:val="0"/>
              <w:divBdr>
                <w:top w:val="none" w:sz="0" w:space="0" w:color="auto"/>
                <w:left w:val="none" w:sz="0" w:space="0" w:color="auto"/>
                <w:bottom w:val="none" w:sz="0" w:space="0" w:color="auto"/>
                <w:right w:val="none" w:sz="0" w:space="0" w:color="auto"/>
              </w:divBdr>
              <w:divsChild>
                <w:div w:id="1936278468">
                  <w:marLeft w:val="0"/>
                  <w:marRight w:val="0"/>
                  <w:marTop w:val="0"/>
                  <w:marBottom w:val="0"/>
                  <w:divBdr>
                    <w:top w:val="none" w:sz="0" w:space="0" w:color="auto"/>
                    <w:left w:val="none" w:sz="0" w:space="0" w:color="auto"/>
                    <w:bottom w:val="none" w:sz="0" w:space="0" w:color="auto"/>
                    <w:right w:val="none" w:sz="0" w:space="0" w:color="auto"/>
                  </w:divBdr>
                </w:div>
              </w:divsChild>
            </w:div>
            <w:div w:id="1079905288">
              <w:marLeft w:val="0"/>
              <w:marRight w:val="0"/>
              <w:marTop w:val="0"/>
              <w:marBottom w:val="0"/>
              <w:divBdr>
                <w:top w:val="none" w:sz="0" w:space="0" w:color="auto"/>
                <w:left w:val="none" w:sz="0" w:space="0" w:color="auto"/>
                <w:bottom w:val="none" w:sz="0" w:space="0" w:color="auto"/>
                <w:right w:val="none" w:sz="0" w:space="0" w:color="auto"/>
              </w:divBdr>
              <w:divsChild>
                <w:div w:id="199704185">
                  <w:marLeft w:val="0"/>
                  <w:marRight w:val="0"/>
                  <w:marTop w:val="0"/>
                  <w:marBottom w:val="0"/>
                  <w:divBdr>
                    <w:top w:val="none" w:sz="0" w:space="0" w:color="auto"/>
                    <w:left w:val="none" w:sz="0" w:space="0" w:color="auto"/>
                    <w:bottom w:val="none" w:sz="0" w:space="0" w:color="auto"/>
                    <w:right w:val="none" w:sz="0" w:space="0" w:color="auto"/>
                  </w:divBdr>
                </w:div>
              </w:divsChild>
            </w:div>
            <w:div w:id="1126970433">
              <w:marLeft w:val="0"/>
              <w:marRight w:val="0"/>
              <w:marTop w:val="0"/>
              <w:marBottom w:val="0"/>
              <w:divBdr>
                <w:top w:val="none" w:sz="0" w:space="0" w:color="auto"/>
                <w:left w:val="none" w:sz="0" w:space="0" w:color="auto"/>
                <w:bottom w:val="none" w:sz="0" w:space="0" w:color="auto"/>
                <w:right w:val="none" w:sz="0" w:space="0" w:color="auto"/>
              </w:divBdr>
              <w:divsChild>
                <w:div w:id="288241229">
                  <w:marLeft w:val="0"/>
                  <w:marRight w:val="0"/>
                  <w:marTop w:val="0"/>
                  <w:marBottom w:val="0"/>
                  <w:divBdr>
                    <w:top w:val="none" w:sz="0" w:space="0" w:color="auto"/>
                    <w:left w:val="none" w:sz="0" w:space="0" w:color="auto"/>
                    <w:bottom w:val="none" w:sz="0" w:space="0" w:color="auto"/>
                    <w:right w:val="none" w:sz="0" w:space="0" w:color="auto"/>
                  </w:divBdr>
                </w:div>
              </w:divsChild>
            </w:div>
            <w:div w:id="1147547550">
              <w:marLeft w:val="0"/>
              <w:marRight w:val="0"/>
              <w:marTop w:val="0"/>
              <w:marBottom w:val="0"/>
              <w:divBdr>
                <w:top w:val="none" w:sz="0" w:space="0" w:color="auto"/>
                <w:left w:val="none" w:sz="0" w:space="0" w:color="auto"/>
                <w:bottom w:val="none" w:sz="0" w:space="0" w:color="auto"/>
                <w:right w:val="none" w:sz="0" w:space="0" w:color="auto"/>
              </w:divBdr>
              <w:divsChild>
                <w:div w:id="1183517361">
                  <w:marLeft w:val="0"/>
                  <w:marRight w:val="0"/>
                  <w:marTop w:val="0"/>
                  <w:marBottom w:val="0"/>
                  <w:divBdr>
                    <w:top w:val="none" w:sz="0" w:space="0" w:color="auto"/>
                    <w:left w:val="none" w:sz="0" w:space="0" w:color="auto"/>
                    <w:bottom w:val="none" w:sz="0" w:space="0" w:color="auto"/>
                    <w:right w:val="none" w:sz="0" w:space="0" w:color="auto"/>
                  </w:divBdr>
                </w:div>
              </w:divsChild>
            </w:div>
            <w:div w:id="1170877379">
              <w:marLeft w:val="0"/>
              <w:marRight w:val="0"/>
              <w:marTop w:val="0"/>
              <w:marBottom w:val="0"/>
              <w:divBdr>
                <w:top w:val="none" w:sz="0" w:space="0" w:color="auto"/>
                <w:left w:val="none" w:sz="0" w:space="0" w:color="auto"/>
                <w:bottom w:val="none" w:sz="0" w:space="0" w:color="auto"/>
                <w:right w:val="none" w:sz="0" w:space="0" w:color="auto"/>
              </w:divBdr>
              <w:divsChild>
                <w:div w:id="592586850">
                  <w:marLeft w:val="0"/>
                  <w:marRight w:val="0"/>
                  <w:marTop w:val="0"/>
                  <w:marBottom w:val="0"/>
                  <w:divBdr>
                    <w:top w:val="none" w:sz="0" w:space="0" w:color="auto"/>
                    <w:left w:val="none" w:sz="0" w:space="0" w:color="auto"/>
                    <w:bottom w:val="none" w:sz="0" w:space="0" w:color="auto"/>
                    <w:right w:val="none" w:sz="0" w:space="0" w:color="auto"/>
                  </w:divBdr>
                </w:div>
              </w:divsChild>
            </w:div>
            <w:div w:id="1257905435">
              <w:marLeft w:val="0"/>
              <w:marRight w:val="0"/>
              <w:marTop w:val="0"/>
              <w:marBottom w:val="0"/>
              <w:divBdr>
                <w:top w:val="none" w:sz="0" w:space="0" w:color="auto"/>
                <w:left w:val="none" w:sz="0" w:space="0" w:color="auto"/>
                <w:bottom w:val="none" w:sz="0" w:space="0" w:color="auto"/>
                <w:right w:val="none" w:sz="0" w:space="0" w:color="auto"/>
              </w:divBdr>
              <w:divsChild>
                <w:div w:id="1929925623">
                  <w:marLeft w:val="0"/>
                  <w:marRight w:val="0"/>
                  <w:marTop w:val="0"/>
                  <w:marBottom w:val="0"/>
                  <w:divBdr>
                    <w:top w:val="none" w:sz="0" w:space="0" w:color="auto"/>
                    <w:left w:val="none" w:sz="0" w:space="0" w:color="auto"/>
                    <w:bottom w:val="none" w:sz="0" w:space="0" w:color="auto"/>
                    <w:right w:val="none" w:sz="0" w:space="0" w:color="auto"/>
                  </w:divBdr>
                </w:div>
              </w:divsChild>
            </w:div>
            <w:div w:id="1305432943">
              <w:marLeft w:val="0"/>
              <w:marRight w:val="0"/>
              <w:marTop w:val="0"/>
              <w:marBottom w:val="0"/>
              <w:divBdr>
                <w:top w:val="none" w:sz="0" w:space="0" w:color="auto"/>
                <w:left w:val="none" w:sz="0" w:space="0" w:color="auto"/>
                <w:bottom w:val="none" w:sz="0" w:space="0" w:color="auto"/>
                <w:right w:val="none" w:sz="0" w:space="0" w:color="auto"/>
              </w:divBdr>
              <w:divsChild>
                <w:div w:id="460733559">
                  <w:marLeft w:val="0"/>
                  <w:marRight w:val="0"/>
                  <w:marTop w:val="0"/>
                  <w:marBottom w:val="0"/>
                  <w:divBdr>
                    <w:top w:val="none" w:sz="0" w:space="0" w:color="auto"/>
                    <w:left w:val="none" w:sz="0" w:space="0" w:color="auto"/>
                    <w:bottom w:val="none" w:sz="0" w:space="0" w:color="auto"/>
                    <w:right w:val="none" w:sz="0" w:space="0" w:color="auto"/>
                  </w:divBdr>
                </w:div>
              </w:divsChild>
            </w:div>
            <w:div w:id="1352956224">
              <w:marLeft w:val="0"/>
              <w:marRight w:val="0"/>
              <w:marTop w:val="0"/>
              <w:marBottom w:val="0"/>
              <w:divBdr>
                <w:top w:val="none" w:sz="0" w:space="0" w:color="auto"/>
                <w:left w:val="none" w:sz="0" w:space="0" w:color="auto"/>
                <w:bottom w:val="none" w:sz="0" w:space="0" w:color="auto"/>
                <w:right w:val="none" w:sz="0" w:space="0" w:color="auto"/>
              </w:divBdr>
              <w:divsChild>
                <w:div w:id="1459185877">
                  <w:marLeft w:val="0"/>
                  <w:marRight w:val="0"/>
                  <w:marTop w:val="0"/>
                  <w:marBottom w:val="0"/>
                  <w:divBdr>
                    <w:top w:val="none" w:sz="0" w:space="0" w:color="auto"/>
                    <w:left w:val="none" w:sz="0" w:space="0" w:color="auto"/>
                    <w:bottom w:val="none" w:sz="0" w:space="0" w:color="auto"/>
                    <w:right w:val="none" w:sz="0" w:space="0" w:color="auto"/>
                  </w:divBdr>
                </w:div>
              </w:divsChild>
            </w:div>
            <w:div w:id="1443182867">
              <w:marLeft w:val="0"/>
              <w:marRight w:val="0"/>
              <w:marTop w:val="0"/>
              <w:marBottom w:val="0"/>
              <w:divBdr>
                <w:top w:val="none" w:sz="0" w:space="0" w:color="auto"/>
                <w:left w:val="none" w:sz="0" w:space="0" w:color="auto"/>
                <w:bottom w:val="none" w:sz="0" w:space="0" w:color="auto"/>
                <w:right w:val="none" w:sz="0" w:space="0" w:color="auto"/>
              </w:divBdr>
              <w:divsChild>
                <w:div w:id="318970417">
                  <w:marLeft w:val="0"/>
                  <w:marRight w:val="0"/>
                  <w:marTop w:val="0"/>
                  <w:marBottom w:val="0"/>
                  <w:divBdr>
                    <w:top w:val="none" w:sz="0" w:space="0" w:color="auto"/>
                    <w:left w:val="none" w:sz="0" w:space="0" w:color="auto"/>
                    <w:bottom w:val="none" w:sz="0" w:space="0" w:color="auto"/>
                    <w:right w:val="none" w:sz="0" w:space="0" w:color="auto"/>
                  </w:divBdr>
                </w:div>
              </w:divsChild>
            </w:div>
            <w:div w:id="1549490484">
              <w:marLeft w:val="0"/>
              <w:marRight w:val="0"/>
              <w:marTop w:val="0"/>
              <w:marBottom w:val="0"/>
              <w:divBdr>
                <w:top w:val="none" w:sz="0" w:space="0" w:color="auto"/>
                <w:left w:val="none" w:sz="0" w:space="0" w:color="auto"/>
                <w:bottom w:val="none" w:sz="0" w:space="0" w:color="auto"/>
                <w:right w:val="none" w:sz="0" w:space="0" w:color="auto"/>
              </w:divBdr>
              <w:divsChild>
                <w:div w:id="745735531">
                  <w:marLeft w:val="0"/>
                  <w:marRight w:val="0"/>
                  <w:marTop w:val="0"/>
                  <w:marBottom w:val="0"/>
                  <w:divBdr>
                    <w:top w:val="none" w:sz="0" w:space="0" w:color="auto"/>
                    <w:left w:val="none" w:sz="0" w:space="0" w:color="auto"/>
                    <w:bottom w:val="none" w:sz="0" w:space="0" w:color="auto"/>
                    <w:right w:val="none" w:sz="0" w:space="0" w:color="auto"/>
                  </w:divBdr>
                </w:div>
              </w:divsChild>
            </w:div>
            <w:div w:id="1574706131">
              <w:marLeft w:val="0"/>
              <w:marRight w:val="0"/>
              <w:marTop w:val="0"/>
              <w:marBottom w:val="0"/>
              <w:divBdr>
                <w:top w:val="none" w:sz="0" w:space="0" w:color="auto"/>
                <w:left w:val="none" w:sz="0" w:space="0" w:color="auto"/>
                <w:bottom w:val="none" w:sz="0" w:space="0" w:color="auto"/>
                <w:right w:val="none" w:sz="0" w:space="0" w:color="auto"/>
              </w:divBdr>
              <w:divsChild>
                <w:div w:id="392697143">
                  <w:marLeft w:val="0"/>
                  <w:marRight w:val="0"/>
                  <w:marTop w:val="0"/>
                  <w:marBottom w:val="0"/>
                  <w:divBdr>
                    <w:top w:val="none" w:sz="0" w:space="0" w:color="auto"/>
                    <w:left w:val="none" w:sz="0" w:space="0" w:color="auto"/>
                    <w:bottom w:val="none" w:sz="0" w:space="0" w:color="auto"/>
                    <w:right w:val="none" w:sz="0" w:space="0" w:color="auto"/>
                  </w:divBdr>
                </w:div>
              </w:divsChild>
            </w:div>
            <w:div w:id="1578707798">
              <w:marLeft w:val="0"/>
              <w:marRight w:val="0"/>
              <w:marTop w:val="0"/>
              <w:marBottom w:val="0"/>
              <w:divBdr>
                <w:top w:val="none" w:sz="0" w:space="0" w:color="auto"/>
                <w:left w:val="none" w:sz="0" w:space="0" w:color="auto"/>
                <w:bottom w:val="none" w:sz="0" w:space="0" w:color="auto"/>
                <w:right w:val="none" w:sz="0" w:space="0" w:color="auto"/>
              </w:divBdr>
              <w:divsChild>
                <w:div w:id="1032343270">
                  <w:marLeft w:val="0"/>
                  <w:marRight w:val="0"/>
                  <w:marTop w:val="0"/>
                  <w:marBottom w:val="0"/>
                  <w:divBdr>
                    <w:top w:val="none" w:sz="0" w:space="0" w:color="auto"/>
                    <w:left w:val="none" w:sz="0" w:space="0" w:color="auto"/>
                    <w:bottom w:val="none" w:sz="0" w:space="0" w:color="auto"/>
                    <w:right w:val="none" w:sz="0" w:space="0" w:color="auto"/>
                  </w:divBdr>
                </w:div>
              </w:divsChild>
            </w:div>
            <w:div w:id="1799757410">
              <w:marLeft w:val="0"/>
              <w:marRight w:val="0"/>
              <w:marTop w:val="0"/>
              <w:marBottom w:val="0"/>
              <w:divBdr>
                <w:top w:val="none" w:sz="0" w:space="0" w:color="auto"/>
                <w:left w:val="none" w:sz="0" w:space="0" w:color="auto"/>
                <w:bottom w:val="none" w:sz="0" w:space="0" w:color="auto"/>
                <w:right w:val="none" w:sz="0" w:space="0" w:color="auto"/>
              </w:divBdr>
              <w:divsChild>
                <w:div w:id="1477264375">
                  <w:marLeft w:val="0"/>
                  <w:marRight w:val="0"/>
                  <w:marTop w:val="0"/>
                  <w:marBottom w:val="0"/>
                  <w:divBdr>
                    <w:top w:val="none" w:sz="0" w:space="0" w:color="auto"/>
                    <w:left w:val="none" w:sz="0" w:space="0" w:color="auto"/>
                    <w:bottom w:val="none" w:sz="0" w:space="0" w:color="auto"/>
                    <w:right w:val="none" w:sz="0" w:space="0" w:color="auto"/>
                  </w:divBdr>
                </w:div>
              </w:divsChild>
            </w:div>
            <w:div w:id="1875118203">
              <w:marLeft w:val="0"/>
              <w:marRight w:val="0"/>
              <w:marTop w:val="0"/>
              <w:marBottom w:val="0"/>
              <w:divBdr>
                <w:top w:val="none" w:sz="0" w:space="0" w:color="auto"/>
                <w:left w:val="none" w:sz="0" w:space="0" w:color="auto"/>
                <w:bottom w:val="none" w:sz="0" w:space="0" w:color="auto"/>
                <w:right w:val="none" w:sz="0" w:space="0" w:color="auto"/>
              </w:divBdr>
              <w:divsChild>
                <w:div w:id="1657146041">
                  <w:marLeft w:val="0"/>
                  <w:marRight w:val="0"/>
                  <w:marTop w:val="0"/>
                  <w:marBottom w:val="0"/>
                  <w:divBdr>
                    <w:top w:val="none" w:sz="0" w:space="0" w:color="auto"/>
                    <w:left w:val="none" w:sz="0" w:space="0" w:color="auto"/>
                    <w:bottom w:val="none" w:sz="0" w:space="0" w:color="auto"/>
                    <w:right w:val="none" w:sz="0" w:space="0" w:color="auto"/>
                  </w:divBdr>
                </w:div>
              </w:divsChild>
            </w:div>
            <w:div w:id="1965115718">
              <w:marLeft w:val="0"/>
              <w:marRight w:val="0"/>
              <w:marTop w:val="0"/>
              <w:marBottom w:val="0"/>
              <w:divBdr>
                <w:top w:val="none" w:sz="0" w:space="0" w:color="auto"/>
                <w:left w:val="none" w:sz="0" w:space="0" w:color="auto"/>
                <w:bottom w:val="none" w:sz="0" w:space="0" w:color="auto"/>
                <w:right w:val="none" w:sz="0" w:space="0" w:color="auto"/>
              </w:divBdr>
              <w:divsChild>
                <w:div w:id="15634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3327">
          <w:marLeft w:val="0"/>
          <w:marRight w:val="0"/>
          <w:marTop w:val="0"/>
          <w:marBottom w:val="0"/>
          <w:divBdr>
            <w:top w:val="none" w:sz="0" w:space="0" w:color="auto"/>
            <w:left w:val="none" w:sz="0" w:space="0" w:color="auto"/>
            <w:bottom w:val="none" w:sz="0" w:space="0" w:color="auto"/>
            <w:right w:val="none" w:sz="0" w:space="0" w:color="auto"/>
          </w:divBdr>
        </w:div>
        <w:div w:id="1767844118">
          <w:marLeft w:val="0"/>
          <w:marRight w:val="0"/>
          <w:marTop w:val="0"/>
          <w:marBottom w:val="0"/>
          <w:divBdr>
            <w:top w:val="none" w:sz="0" w:space="0" w:color="auto"/>
            <w:left w:val="none" w:sz="0" w:space="0" w:color="auto"/>
            <w:bottom w:val="none" w:sz="0" w:space="0" w:color="auto"/>
            <w:right w:val="none" w:sz="0" w:space="0" w:color="auto"/>
          </w:divBdr>
        </w:div>
        <w:div w:id="1801411196">
          <w:marLeft w:val="0"/>
          <w:marRight w:val="0"/>
          <w:marTop w:val="0"/>
          <w:marBottom w:val="0"/>
          <w:divBdr>
            <w:top w:val="none" w:sz="0" w:space="0" w:color="auto"/>
            <w:left w:val="none" w:sz="0" w:space="0" w:color="auto"/>
            <w:bottom w:val="none" w:sz="0" w:space="0" w:color="auto"/>
            <w:right w:val="none" w:sz="0" w:space="0" w:color="auto"/>
          </w:divBdr>
        </w:div>
        <w:div w:id="1812601738">
          <w:marLeft w:val="0"/>
          <w:marRight w:val="0"/>
          <w:marTop w:val="0"/>
          <w:marBottom w:val="0"/>
          <w:divBdr>
            <w:top w:val="none" w:sz="0" w:space="0" w:color="auto"/>
            <w:left w:val="none" w:sz="0" w:space="0" w:color="auto"/>
            <w:bottom w:val="none" w:sz="0" w:space="0" w:color="auto"/>
            <w:right w:val="none" w:sz="0" w:space="0" w:color="auto"/>
          </w:divBdr>
        </w:div>
        <w:div w:id="1945188534">
          <w:marLeft w:val="0"/>
          <w:marRight w:val="0"/>
          <w:marTop w:val="0"/>
          <w:marBottom w:val="0"/>
          <w:divBdr>
            <w:top w:val="none" w:sz="0" w:space="0" w:color="auto"/>
            <w:left w:val="none" w:sz="0" w:space="0" w:color="auto"/>
            <w:bottom w:val="none" w:sz="0" w:space="0" w:color="auto"/>
            <w:right w:val="none" w:sz="0" w:space="0" w:color="auto"/>
          </w:divBdr>
        </w:div>
      </w:divsChild>
    </w:div>
    <w:div w:id="1086922873">
      <w:bodyDiv w:val="1"/>
      <w:marLeft w:val="0"/>
      <w:marRight w:val="0"/>
      <w:marTop w:val="0"/>
      <w:marBottom w:val="0"/>
      <w:divBdr>
        <w:top w:val="none" w:sz="0" w:space="0" w:color="auto"/>
        <w:left w:val="none" w:sz="0" w:space="0" w:color="auto"/>
        <w:bottom w:val="none" w:sz="0" w:space="0" w:color="auto"/>
        <w:right w:val="none" w:sz="0" w:space="0" w:color="auto"/>
      </w:divBdr>
    </w:div>
    <w:div w:id="1089155475">
      <w:bodyDiv w:val="1"/>
      <w:marLeft w:val="0"/>
      <w:marRight w:val="0"/>
      <w:marTop w:val="0"/>
      <w:marBottom w:val="0"/>
      <w:divBdr>
        <w:top w:val="none" w:sz="0" w:space="0" w:color="auto"/>
        <w:left w:val="none" w:sz="0" w:space="0" w:color="auto"/>
        <w:bottom w:val="none" w:sz="0" w:space="0" w:color="auto"/>
        <w:right w:val="none" w:sz="0" w:space="0" w:color="auto"/>
      </w:divBdr>
    </w:div>
    <w:div w:id="1102839917">
      <w:bodyDiv w:val="1"/>
      <w:marLeft w:val="0"/>
      <w:marRight w:val="0"/>
      <w:marTop w:val="0"/>
      <w:marBottom w:val="0"/>
      <w:divBdr>
        <w:top w:val="none" w:sz="0" w:space="0" w:color="auto"/>
        <w:left w:val="none" w:sz="0" w:space="0" w:color="auto"/>
        <w:bottom w:val="none" w:sz="0" w:space="0" w:color="auto"/>
        <w:right w:val="none" w:sz="0" w:space="0" w:color="auto"/>
      </w:divBdr>
    </w:div>
    <w:div w:id="1112751692">
      <w:bodyDiv w:val="1"/>
      <w:marLeft w:val="0"/>
      <w:marRight w:val="0"/>
      <w:marTop w:val="0"/>
      <w:marBottom w:val="0"/>
      <w:divBdr>
        <w:top w:val="none" w:sz="0" w:space="0" w:color="auto"/>
        <w:left w:val="none" w:sz="0" w:space="0" w:color="auto"/>
        <w:bottom w:val="none" w:sz="0" w:space="0" w:color="auto"/>
        <w:right w:val="none" w:sz="0" w:space="0" w:color="auto"/>
      </w:divBdr>
    </w:div>
    <w:div w:id="1116407317">
      <w:bodyDiv w:val="1"/>
      <w:marLeft w:val="0"/>
      <w:marRight w:val="0"/>
      <w:marTop w:val="0"/>
      <w:marBottom w:val="0"/>
      <w:divBdr>
        <w:top w:val="none" w:sz="0" w:space="0" w:color="auto"/>
        <w:left w:val="none" w:sz="0" w:space="0" w:color="auto"/>
        <w:bottom w:val="none" w:sz="0" w:space="0" w:color="auto"/>
        <w:right w:val="none" w:sz="0" w:space="0" w:color="auto"/>
      </w:divBdr>
    </w:div>
    <w:div w:id="1116606722">
      <w:bodyDiv w:val="1"/>
      <w:marLeft w:val="0"/>
      <w:marRight w:val="0"/>
      <w:marTop w:val="0"/>
      <w:marBottom w:val="0"/>
      <w:divBdr>
        <w:top w:val="none" w:sz="0" w:space="0" w:color="auto"/>
        <w:left w:val="none" w:sz="0" w:space="0" w:color="auto"/>
        <w:bottom w:val="none" w:sz="0" w:space="0" w:color="auto"/>
        <w:right w:val="none" w:sz="0" w:space="0" w:color="auto"/>
      </w:divBdr>
    </w:div>
    <w:div w:id="1121610150">
      <w:bodyDiv w:val="1"/>
      <w:marLeft w:val="0"/>
      <w:marRight w:val="0"/>
      <w:marTop w:val="0"/>
      <w:marBottom w:val="0"/>
      <w:divBdr>
        <w:top w:val="none" w:sz="0" w:space="0" w:color="auto"/>
        <w:left w:val="none" w:sz="0" w:space="0" w:color="auto"/>
        <w:bottom w:val="none" w:sz="0" w:space="0" w:color="auto"/>
        <w:right w:val="none" w:sz="0" w:space="0" w:color="auto"/>
      </w:divBdr>
      <w:divsChild>
        <w:div w:id="1029524337">
          <w:marLeft w:val="835"/>
          <w:marRight w:val="0"/>
          <w:marTop w:val="0"/>
          <w:marBottom w:val="0"/>
          <w:divBdr>
            <w:top w:val="none" w:sz="0" w:space="0" w:color="auto"/>
            <w:left w:val="none" w:sz="0" w:space="0" w:color="auto"/>
            <w:bottom w:val="none" w:sz="0" w:space="0" w:color="auto"/>
            <w:right w:val="none" w:sz="0" w:space="0" w:color="auto"/>
          </w:divBdr>
        </w:div>
      </w:divsChild>
    </w:div>
    <w:div w:id="1132334436">
      <w:bodyDiv w:val="1"/>
      <w:marLeft w:val="0"/>
      <w:marRight w:val="0"/>
      <w:marTop w:val="0"/>
      <w:marBottom w:val="0"/>
      <w:divBdr>
        <w:top w:val="none" w:sz="0" w:space="0" w:color="auto"/>
        <w:left w:val="none" w:sz="0" w:space="0" w:color="auto"/>
        <w:bottom w:val="none" w:sz="0" w:space="0" w:color="auto"/>
        <w:right w:val="none" w:sz="0" w:space="0" w:color="auto"/>
      </w:divBdr>
    </w:div>
    <w:div w:id="1138959186">
      <w:bodyDiv w:val="1"/>
      <w:marLeft w:val="0"/>
      <w:marRight w:val="0"/>
      <w:marTop w:val="0"/>
      <w:marBottom w:val="0"/>
      <w:divBdr>
        <w:top w:val="none" w:sz="0" w:space="0" w:color="auto"/>
        <w:left w:val="none" w:sz="0" w:space="0" w:color="auto"/>
        <w:bottom w:val="none" w:sz="0" w:space="0" w:color="auto"/>
        <w:right w:val="none" w:sz="0" w:space="0" w:color="auto"/>
      </w:divBdr>
    </w:div>
    <w:div w:id="1143620678">
      <w:bodyDiv w:val="1"/>
      <w:marLeft w:val="0"/>
      <w:marRight w:val="0"/>
      <w:marTop w:val="0"/>
      <w:marBottom w:val="0"/>
      <w:divBdr>
        <w:top w:val="none" w:sz="0" w:space="0" w:color="auto"/>
        <w:left w:val="none" w:sz="0" w:space="0" w:color="auto"/>
        <w:bottom w:val="none" w:sz="0" w:space="0" w:color="auto"/>
        <w:right w:val="none" w:sz="0" w:space="0" w:color="auto"/>
      </w:divBdr>
    </w:div>
    <w:div w:id="1172451884">
      <w:bodyDiv w:val="1"/>
      <w:marLeft w:val="0"/>
      <w:marRight w:val="0"/>
      <w:marTop w:val="0"/>
      <w:marBottom w:val="0"/>
      <w:divBdr>
        <w:top w:val="none" w:sz="0" w:space="0" w:color="auto"/>
        <w:left w:val="none" w:sz="0" w:space="0" w:color="auto"/>
        <w:bottom w:val="none" w:sz="0" w:space="0" w:color="auto"/>
        <w:right w:val="none" w:sz="0" w:space="0" w:color="auto"/>
      </w:divBdr>
    </w:div>
    <w:div w:id="1184707692">
      <w:bodyDiv w:val="1"/>
      <w:marLeft w:val="0"/>
      <w:marRight w:val="0"/>
      <w:marTop w:val="0"/>
      <w:marBottom w:val="0"/>
      <w:divBdr>
        <w:top w:val="none" w:sz="0" w:space="0" w:color="auto"/>
        <w:left w:val="none" w:sz="0" w:space="0" w:color="auto"/>
        <w:bottom w:val="none" w:sz="0" w:space="0" w:color="auto"/>
        <w:right w:val="none" w:sz="0" w:space="0" w:color="auto"/>
      </w:divBdr>
    </w:div>
    <w:div w:id="1185824001">
      <w:bodyDiv w:val="1"/>
      <w:marLeft w:val="0"/>
      <w:marRight w:val="0"/>
      <w:marTop w:val="0"/>
      <w:marBottom w:val="0"/>
      <w:divBdr>
        <w:top w:val="none" w:sz="0" w:space="0" w:color="auto"/>
        <w:left w:val="none" w:sz="0" w:space="0" w:color="auto"/>
        <w:bottom w:val="none" w:sz="0" w:space="0" w:color="auto"/>
        <w:right w:val="none" w:sz="0" w:space="0" w:color="auto"/>
      </w:divBdr>
    </w:div>
    <w:div w:id="1215458862">
      <w:bodyDiv w:val="1"/>
      <w:marLeft w:val="0"/>
      <w:marRight w:val="0"/>
      <w:marTop w:val="0"/>
      <w:marBottom w:val="0"/>
      <w:divBdr>
        <w:top w:val="none" w:sz="0" w:space="0" w:color="auto"/>
        <w:left w:val="none" w:sz="0" w:space="0" w:color="auto"/>
        <w:bottom w:val="none" w:sz="0" w:space="0" w:color="auto"/>
        <w:right w:val="none" w:sz="0" w:space="0" w:color="auto"/>
      </w:divBdr>
    </w:div>
    <w:div w:id="1239245375">
      <w:bodyDiv w:val="1"/>
      <w:marLeft w:val="0"/>
      <w:marRight w:val="0"/>
      <w:marTop w:val="0"/>
      <w:marBottom w:val="0"/>
      <w:divBdr>
        <w:top w:val="none" w:sz="0" w:space="0" w:color="auto"/>
        <w:left w:val="none" w:sz="0" w:space="0" w:color="auto"/>
        <w:bottom w:val="none" w:sz="0" w:space="0" w:color="auto"/>
        <w:right w:val="none" w:sz="0" w:space="0" w:color="auto"/>
      </w:divBdr>
    </w:div>
    <w:div w:id="1246839323">
      <w:bodyDiv w:val="1"/>
      <w:marLeft w:val="0"/>
      <w:marRight w:val="0"/>
      <w:marTop w:val="0"/>
      <w:marBottom w:val="0"/>
      <w:divBdr>
        <w:top w:val="none" w:sz="0" w:space="0" w:color="auto"/>
        <w:left w:val="none" w:sz="0" w:space="0" w:color="auto"/>
        <w:bottom w:val="none" w:sz="0" w:space="0" w:color="auto"/>
        <w:right w:val="none" w:sz="0" w:space="0" w:color="auto"/>
      </w:divBdr>
    </w:div>
    <w:div w:id="1267350180">
      <w:bodyDiv w:val="1"/>
      <w:marLeft w:val="0"/>
      <w:marRight w:val="0"/>
      <w:marTop w:val="0"/>
      <w:marBottom w:val="0"/>
      <w:divBdr>
        <w:top w:val="none" w:sz="0" w:space="0" w:color="auto"/>
        <w:left w:val="none" w:sz="0" w:space="0" w:color="auto"/>
        <w:bottom w:val="none" w:sz="0" w:space="0" w:color="auto"/>
        <w:right w:val="none" w:sz="0" w:space="0" w:color="auto"/>
      </w:divBdr>
      <w:divsChild>
        <w:div w:id="417488127">
          <w:marLeft w:val="0"/>
          <w:marRight w:val="0"/>
          <w:marTop w:val="0"/>
          <w:marBottom w:val="0"/>
          <w:divBdr>
            <w:top w:val="none" w:sz="0" w:space="0" w:color="auto"/>
            <w:left w:val="none" w:sz="0" w:space="0" w:color="auto"/>
            <w:bottom w:val="none" w:sz="0" w:space="0" w:color="auto"/>
            <w:right w:val="none" w:sz="0" w:space="0" w:color="auto"/>
          </w:divBdr>
        </w:div>
        <w:div w:id="1044792898">
          <w:marLeft w:val="0"/>
          <w:marRight w:val="0"/>
          <w:marTop w:val="0"/>
          <w:marBottom w:val="0"/>
          <w:divBdr>
            <w:top w:val="none" w:sz="0" w:space="0" w:color="auto"/>
            <w:left w:val="none" w:sz="0" w:space="0" w:color="auto"/>
            <w:bottom w:val="none" w:sz="0" w:space="0" w:color="auto"/>
            <w:right w:val="none" w:sz="0" w:space="0" w:color="auto"/>
          </w:divBdr>
          <w:divsChild>
            <w:div w:id="1019821128">
              <w:marLeft w:val="-75"/>
              <w:marRight w:val="0"/>
              <w:marTop w:val="30"/>
              <w:marBottom w:val="30"/>
              <w:divBdr>
                <w:top w:val="none" w:sz="0" w:space="0" w:color="auto"/>
                <w:left w:val="none" w:sz="0" w:space="0" w:color="auto"/>
                <w:bottom w:val="none" w:sz="0" w:space="0" w:color="auto"/>
                <w:right w:val="none" w:sz="0" w:space="0" w:color="auto"/>
              </w:divBdr>
              <w:divsChild>
                <w:div w:id="106193668">
                  <w:marLeft w:val="0"/>
                  <w:marRight w:val="0"/>
                  <w:marTop w:val="0"/>
                  <w:marBottom w:val="0"/>
                  <w:divBdr>
                    <w:top w:val="none" w:sz="0" w:space="0" w:color="auto"/>
                    <w:left w:val="none" w:sz="0" w:space="0" w:color="auto"/>
                    <w:bottom w:val="none" w:sz="0" w:space="0" w:color="auto"/>
                    <w:right w:val="none" w:sz="0" w:space="0" w:color="auto"/>
                  </w:divBdr>
                  <w:divsChild>
                    <w:div w:id="1336303272">
                      <w:marLeft w:val="0"/>
                      <w:marRight w:val="0"/>
                      <w:marTop w:val="0"/>
                      <w:marBottom w:val="0"/>
                      <w:divBdr>
                        <w:top w:val="none" w:sz="0" w:space="0" w:color="auto"/>
                        <w:left w:val="none" w:sz="0" w:space="0" w:color="auto"/>
                        <w:bottom w:val="none" w:sz="0" w:space="0" w:color="auto"/>
                        <w:right w:val="none" w:sz="0" w:space="0" w:color="auto"/>
                      </w:divBdr>
                    </w:div>
                  </w:divsChild>
                </w:div>
                <w:div w:id="118036651">
                  <w:marLeft w:val="0"/>
                  <w:marRight w:val="0"/>
                  <w:marTop w:val="0"/>
                  <w:marBottom w:val="0"/>
                  <w:divBdr>
                    <w:top w:val="none" w:sz="0" w:space="0" w:color="auto"/>
                    <w:left w:val="none" w:sz="0" w:space="0" w:color="auto"/>
                    <w:bottom w:val="none" w:sz="0" w:space="0" w:color="auto"/>
                    <w:right w:val="none" w:sz="0" w:space="0" w:color="auto"/>
                  </w:divBdr>
                  <w:divsChild>
                    <w:div w:id="1862429991">
                      <w:marLeft w:val="0"/>
                      <w:marRight w:val="0"/>
                      <w:marTop w:val="0"/>
                      <w:marBottom w:val="0"/>
                      <w:divBdr>
                        <w:top w:val="none" w:sz="0" w:space="0" w:color="auto"/>
                        <w:left w:val="none" w:sz="0" w:space="0" w:color="auto"/>
                        <w:bottom w:val="none" w:sz="0" w:space="0" w:color="auto"/>
                        <w:right w:val="none" w:sz="0" w:space="0" w:color="auto"/>
                      </w:divBdr>
                    </w:div>
                  </w:divsChild>
                </w:div>
                <w:div w:id="141504075">
                  <w:marLeft w:val="0"/>
                  <w:marRight w:val="0"/>
                  <w:marTop w:val="0"/>
                  <w:marBottom w:val="0"/>
                  <w:divBdr>
                    <w:top w:val="none" w:sz="0" w:space="0" w:color="auto"/>
                    <w:left w:val="none" w:sz="0" w:space="0" w:color="auto"/>
                    <w:bottom w:val="none" w:sz="0" w:space="0" w:color="auto"/>
                    <w:right w:val="none" w:sz="0" w:space="0" w:color="auto"/>
                  </w:divBdr>
                  <w:divsChild>
                    <w:div w:id="1288971553">
                      <w:marLeft w:val="0"/>
                      <w:marRight w:val="0"/>
                      <w:marTop w:val="0"/>
                      <w:marBottom w:val="0"/>
                      <w:divBdr>
                        <w:top w:val="none" w:sz="0" w:space="0" w:color="auto"/>
                        <w:left w:val="none" w:sz="0" w:space="0" w:color="auto"/>
                        <w:bottom w:val="none" w:sz="0" w:space="0" w:color="auto"/>
                        <w:right w:val="none" w:sz="0" w:space="0" w:color="auto"/>
                      </w:divBdr>
                    </w:div>
                  </w:divsChild>
                </w:div>
                <w:div w:id="159582551">
                  <w:marLeft w:val="0"/>
                  <w:marRight w:val="0"/>
                  <w:marTop w:val="0"/>
                  <w:marBottom w:val="0"/>
                  <w:divBdr>
                    <w:top w:val="none" w:sz="0" w:space="0" w:color="auto"/>
                    <w:left w:val="none" w:sz="0" w:space="0" w:color="auto"/>
                    <w:bottom w:val="none" w:sz="0" w:space="0" w:color="auto"/>
                    <w:right w:val="none" w:sz="0" w:space="0" w:color="auto"/>
                  </w:divBdr>
                  <w:divsChild>
                    <w:div w:id="387848801">
                      <w:marLeft w:val="0"/>
                      <w:marRight w:val="0"/>
                      <w:marTop w:val="0"/>
                      <w:marBottom w:val="0"/>
                      <w:divBdr>
                        <w:top w:val="none" w:sz="0" w:space="0" w:color="auto"/>
                        <w:left w:val="none" w:sz="0" w:space="0" w:color="auto"/>
                        <w:bottom w:val="none" w:sz="0" w:space="0" w:color="auto"/>
                        <w:right w:val="none" w:sz="0" w:space="0" w:color="auto"/>
                      </w:divBdr>
                    </w:div>
                  </w:divsChild>
                </w:div>
                <w:div w:id="232737867">
                  <w:marLeft w:val="0"/>
                  <w:marRight w:val="0"/>
                  <w:marTop w:val="0"/>
                  <w:marBottom w:val="0"/>
                  <w:divBdr>
                    <w:top w:val="none" w:sz="0" w:space="0" w:color="auto"/>
                    <w:left w:val="none" w:sz="0" w:space="0" w:color="auto"/>
                    <w:bottom w:val="none" w:sz="0" w:space="0" w:color="auto"/>
                    <w:right w:val="none" w:sz="0" w:space="0" w:color="auto"/>
                  </w:divBdr>
                  <w:divsChild>
                    <w:div w:id="1155342956">
                      <w:marLeft w:val="0"/>
                      <w:marRight w:val="0"/>
                      <w:marTop w:val="0"/>
                      <w:marBottom w:val="0"/>
                      <w:divBdr>
                        <w:top w:val="none" w:sz="0" w:space="0" w:color="auto"/>
                        <w:left w:val="none" w:sz="0" w:space="0" w:color="auto"/>
                        <w:bottom w:val="none" w:sz="0" w:space="0" w:color="auto"/>
                        <w:right w:val="none" w:sz="0" w:space="0" w:color="auto"/>
                      </w:divBdr>
                    </w:div>
                  </w:divsChild>
                </w:div>
                <w:div w:id="360016229">
                  <w:marLeft w:val="0"/>
                  <w:marRight w:val="0"/>
                  <w:marTop w:val="0"/>
                  <w:marBottom w:val="0"/>
                  <w:divBdr>
                    <w:top w:val="none" w:sz="0" w:space="0" w:color="auto"/>
                    <w:left w:val="none" w:sz="0" w:space="0" w:color="auto"/>
                    <w:bottom w:val="none" w:sz="0" w:space="0" w:color="auto"/>
                    <w:right w:val="none" w:sz="0" w:space="0" w:color="auto"/>
                  </w:divBdr>
                  <w:divsChild>
                    <w:div w:id="1508180229">
                      <w:marLeft w:val="0"/>
                      <w:marRight w:val="0"/>
                      <w:marTop w:val="0"/>
                      <w:marBottom w:val="0"/>
                      <w:divBdr>
                        <w:top w:val="none" w:sz="0" w:space="0" w:color="auto"/>
                        <w:left w:val="none" w:sz="0" w:space="0" w:color="auto"/>
                        <w:bottom w:val="none" w:sz="0" w:space="0" w:color="auto"/>
                        <w:right w:val="none" w:sz="0" w:space="0" w:color="auto"/>
                      </w:divBdr>
                    </w:div>
                  </w:divsChild>
                </w:div>
                <w:div w:id="447552493">
                  <w:marLeft w:val="0"/>
                  <w:marRight w:val="0"/>
                  <w:marTop w:val="0"/>
                  <w:marBottom w:val="0"/>
                  <w:divBdr>
                    <w:top w:val="none" w:sz="0" w:space="0" w:color="auto"/>
                    <w:left w:val="none" w:sz="0" w:space="0" w:color="auto"/>
                    <w:bottom w:val="none" w:sz="0" w:space="0" w:color="auto"/>
                    <w:right w:val="none" w:sz="0" w:space="0" w:color="auto"/>
                  </w:divBdr>
                  <w:divsChild>
                    <w:div w:id="916094048">
                      <w:marLeft w:val="0"/>
                      <w:marRight w:val="0"/>
                      <w:marTop w:val="0"/>
                      <w:marBottom w:val="0"/>
                      <w:divBdr>
                        <w:top w:val="none" w:sz="0" w:space="0" w:color="auto"/>
                        <w:left w:val="none" w:sz="0" w:space="0" w:color="auto"/>
                        <w:bottom w:val="none" w:sz="0" w:space="0" w:color="auto"/>
                        <w:right w:val="none" w:sz="0" w:space="0" w:color="auto"/>
                      </w:divBdr>
                    </w:div>
                  </w:divsChild>
                </w:div>
                <w:div w:id="462771078">
                  <w:marLeft w:val="0"/>
                  <w:marRight w:val="0"/>
                  <w:marTop w:val="0"/>
                  <w:marBottom w:val="0"/>
                  <w:divBdr>
                    <w:top w:val="none" w:sz="0" w:space="0" w:color="auto"/>
                    <w:left w:val="none" w:sz="0" w:space="0" w:color="auto"/>
                    <w:bottom w:val="none" w:sz="0" w:space="0" w:color="auto"/>
                    <w:right w:val="none" w:sz="0" w:space="0" w:color="auto"/>
                  </w:divBdr>
                  <w:divsChild>
                    <w:div w:id="1977106434">
                      <w:marLeft w:val="0"/>
                      <w:marRight w:val="0"/>
                      <w:marTop w:val="0"/>
                      <w:marBottom w:val="0"/>
                      <w:divBdr>
                        <w:top w:val="none" w:sz="0" w:space="0" w:color="auto"/>
                        <w:left w:val="none" w:sz="0" w:space="0" w:color="auto"/>
                        <w:bottom w:val="none" w:sz="0" w:space="0" w:color="auto"/>
                        <w:right w:val="none" w:sz="0" w:space="0" w:color="auto"/>
                      </w:divBdr>
                    </w:div>
                  </w:divsChild>
                </w:div>
                <w:div w:id="465050253">
                  <w:marLeft w:val="0"/>
                  <w:marRight w:val="0"/>
                  <w:marTop w:val="0"/>
                  <w:marBottom w:val="0"/>
                  <w:divBdr>
                    <w:top w:val="none" w:sz="0" w:space="0" w:color="auto"/>
                    <w:left w:val="none" w:sz="0" w:space="0" w:color="auto"/>
                    <w:bottom w:val="none" w:sz="0" w:space="0" w:color="auto"/>
                    <w:right w:val="none" w:sz="0" w:space="0" w:color="auto"/>
                  </w:divBdr>
                  <w:divsChild>
                    <w:div w:id="63456852">
                      <w:marLeft w:val="0"/>
                      <w:marRight w:val="0"/>
                      <w:marTop w:val="0"/>
                      <w:marBottom w:val="0"/>
                      <w:divBdr>
                        <w:top w:val="none" w:sz="0" w:space="0" w:color="auto"/>
                        <w:left w:val="none" w:sz="0" w:space="0" w:color="auto"/>
                        <w:bottom w:val="none" w:sz="0" w:space="0" w:color="auto"/>
                        <w:right w:val="none" w:sz="0" w:space="0" w:color="auto"/>
                      </w:divBdr>
                    </w:div>
                  </w:divsChild>
                </w:div>
                <w:div w:id="498236259">
                  <w:marLeft w:val="0"/>
                  <w:marRight w:val="0"/>
                  <w:marTop w:val="0"/>
                  <w:marBottom w:val="0"/>
                  <w:divBdr>
                    <w:top w:val="none" w:sz="0" w:space="0" w:color="auto"/>
                    <w:left w:val="none" w:sz="0" w:space="0" w:color="auto"/>
                    <w:bottom w:val="none" w:sz="0" w:space="0" w:color="auto"/>
                    <w:right w:val="none" w:sz="0" w:space="0" w:color="auto"/>
                  </w:divBdr>
                  <w:divsChild>
                    <w:div w:id="1348563123">
                      <w:marLeft w:val="0"/>
                      <w:marRight w:val="0"/>
                      <w:marTop w:val="0"/>
                      <w:marBottom w:val="0"/>
                      <w:divBdr>
                        <w:top w:val="none" w:sz="0" w:space="0" w:color="auto"/>
                        <w:left w:val="none" w:sz="0" w:space="0" w:color="auto"/>
                        <w:bottom w:val="none" w:sz="0" w:space="0" w:color="auto"/>
                        <w:right w:val="none" w:sz="0" w:space="0" w:color="auto"/>
                      </w:divBdr>
                    </w:div>
                  </w:divsChild>
                </w:div>
                <w:div w:id="586497767">
                  <w:marLeft w:val="0"/>
                  <w:marRight w:val="0"/>
                  <w:marTop w:val="0"/>
                  <w:marBottom w:val="0"/>
                  <w:divBdr>
                    <w:top w:val="none" w:sz="0" w:space="0" w:color="auto"/>
                    <w:left w:val="none" w:sz="0" w:space="0" w:color="auto"/>
                    <w:bottom w:val="none" w:sz="0" w:space="0" w:color="auto"/>
                    <w:right w:val="none" w:sz="0" w:space="0" w:color="auto"/>
                  </w:divBdr>
                  <w:divsChild>
                    <w:div w:id="366371464">
                      <w:marLeft w:val="0"/>
                      <w:marRight w:val="0"/>
                      <w:marTop w:val="0"/>
                      <w:marBottom w:val="0"/>
                      <w:divBdr>
                        <w:top w:val="none" w:sz="0" w:space="0" w:color="auto"/>
                        <w:left w:val="none" w:sz="0" w:space="0" w:color="auto"/>
                        <w:bottom w:val="none" w:sz="0" w:space="0" w:color="auto"/>
                        <w:right w:val="none" w:sz="0" w:space="0" w:color="auto"/>
                      </w:divBdr>
                    </w:div>
                  </w:divsChild>
                </w:div>
                <w:div w:id="636254722">
                  <w:marLeft w:val="0"/>
                  <w:marRight w:val="0"/>
                  <w:marTop w:val="0"/>
                  <w:marBottom w:val="0"/>
                  <w:divBdr>
                    <w:top w:val="none" w:sz="0" w:space="0" w:color="auto"/>
                    <w:left w:val="none" w:sz="0" w:space="0" w:color="auto"/>
                    <w:bottom w:val="none" w:sz="0" w:space="0" w:color="auto"/>
                    <w:right w:val="none" w:sz="0" w:space="0" w:color="auto"/>
                  </w:divBdr>
                  <w:divsChild>
                    <w:div w:id="1958562308">
                      <w:marLeft w:val="0"/>
                      <w:marRight w:val="0"/>
                      <w:marTop w:val="0"/>
                      <w:marBottom w:val="0"/>
                      <w:divBdr>
                        <w:top w:val="none" w:sz="0" w:space="0" w:color="auto"/>
                        <w:left w:val="none" w:sz="0" w:space="0" w:color="auto"/>
                        <w:bottom w:val="none" w:sz="0" w:space="0" w:color="auto"/>
                        <w:right w:val="none" w:sz="0" w:space="0" w:color="auto"/>
                      </w:divBdr>
                    </w:div>
                  </w:divsChild>
                </w:div>
                <w:div w:id="637800481">
                  <w:marLeft w:val="0"/>
                  <w:marRight w:val="0"/>
                  <w:marTop w:val="0"/>
                  <w:marBottom w:val="0"/>
                  <w:divBdr>
                    <w:top w:val="none" w:sz="0" w:space="0" w:color="auto"/>
                    <w:left w:val="none" w:sz="0" w:space="0" w:color="auto"/>
                    <w:bottom w:val="none" w:sz="0" w:space="0" w:color="auto"/>
                    <w:right w:val="none" w:sz="0" w:space="0" w:color="auto"/>
                  </w:divBdr>
                  <w:divsChild>
                    <w:div w:id="1348631261">
                      <w:marLeft w:val="0"/>
                      <w:marRight w:val="0"/>
                      <w:marTop w:val="0"/>
                      <w:marBottom w:val="0"/>
                      <w:divBdr>
                        <w:top w:val="none" w:sz="0" w:space="0" w:color="auto"/>
                        <w:left w:val="none" w:sz="0" w:space="0" w:color="auto"/>
                        <w:bottom w:val="none" w:sz="0" w:space="0" w:color="auto"/>
                        <w:right w:val="none" w:sz="0" w:space="0" w:color="auto"/>
                      </w:divBdr>
                    </w:div>
                  </w:divsChild>
                </w:div>
                <w:div w:id="737167908">
                  <w:marLeft w:val="0"/>
                  <w:marRight w:val="0"/>
                  <w:marTop w:val="0"/>
                  <w:marBottom w:val="0"/>
                  <w:divBdr>
                    <w:top w:val="none" w:sz="0" w:space="0" w:color="auto"/>
                    <w:left w:val="none" w:sz="0" w:space="0" w:color="auto"/>
                    <w:bottom w:val="none" w:sz="0" w:space="0" w:color="auto"/>
                    <w:right w:val="none" w:sz="0" w:space="0" w:color="auto"/>
                  </w:divBdr>
                  <w:divsChild>
                    <w:div w:id="1059089910">
                      <w:marLeft w:val="0"/>
                      <w:marRight w:val="0"/>
                      <w:marTop w:val="0"/>
                      <w:marBottom w:val="0"/>
                      <w:divBdr>
                        <w:top w:val="none" w:sz="0" w:space="0" w:color="auto"/>
                        <w:left w:val="none" w:sz="0" w:space="0" w:color="auto"/>
                        <w:bottom w:val="none" w:sz="0" w:space="0" w:color="auto"/>
                        <w:right w:val="none" w:sz="0" w:space="0" w:color="auto"/>
                      </w:divBdr>
                    </w:div>
                  </w:divsChild>
                </w:div>
                <w:div w:id="879898695">
                  <w:marLeft w:val="0"/>
                  <w:marRight w:val="0"/>
                  <w:marTop w:val="0"/>
                  <w:marBottom w:val="0"/>
                  <w:divBdr>
                    <w:top w:val="none" w:sz="0" w:space="0" w:color="auto"/>
                    <w:left w:val="none" w:sz="0" w:space="0" w:color="auto"/>
                    <w:bottom w:val="none" w:sz="0" w:space="0" w:color="auto"/>
                    <w:right w:val="none" w:sz="0" w:space="0" w:color="auto"/>
                  </w:divBdr>
                  <w:divsChild>
                    <w:div w:id="1574510362">
                      <w:marLeft w:val="0"/>
                      <w:marRight w:val="0"/>
                      <w:marTop w:val="0"/>
                      <w:marBottom w:val="0"/>
                      <w:divBdr>
                        <w:top w:val="none" w:sz="0" w:space="0" w:color="auto"/>
                        <w:left w:val="none" w:sz="0" w:space="0" w:color="auto"/>
                        <w:bottom w:val="none" w:sz="0" w:space="0" w:color="auto"/>
                        <w:right w:val="none" w:sz="0" w:space="0" w:color="auto"/>
                      </w:divBdr>
                    </w:div>
                  </w:divsChild>
                </w:div>
                <w:div w:id="920717099">
                  <w:marLeft w:val="0"/>
                  <w:marRight w:val="0"/>
                  <w:marTop w:val="0"/>
                  <w:marBottom w:val="0"/>
                  <w:divBdr>
                    <w:top w:val="none" w:sz="0" w:space="0" w:color="auto"/>
                    <w:left w:val="none" w:sz="0" w:space="0" w:color="auto"/>
                    <w:bottom w:val="none" w:sz="0" w:space="0" w:color="auto"/>
                    <w:right w:val="none" w:sz="0" w:space="0" w:color="auto"/>
                  </w:divBdr>
                  <w:divsChild>
                    <w:div w:id="1274871896">
                      <w:marLeft w:val="0"/>
                      <w:marRight w:val="0"/>
                      <w:marTop w:val="0"/>
                      <w:marBottom w:val="0"/>
                      <w:divBdr>
                        <w:top w:val="none" w:sz="0" w:space="0" w:color="auto"/>
                        <w:left w:val="none" w:sz="0" w:space="0" w:color="auto"/>
                        <w:bottom w:val="none" w:sz="0" w:space="0" w:color="auto"/>
                        <w:right w:val="none" w:sz="0" w:space="0" w:color="auto"/>
                      </w:divBdr>
                    </w:div>
                  </w:divsChild>
                </w:div>
                <w:div w:id="992639433">
                  <w:marLeft w:val="0"/>
                  <w:marRight w:val="0"/>
                  <w:marTop w:val="0"/>
                  <w:marBottom w:val="0"/>
                  <w:divBdr>
                    <w:top w:val="none" w:sz="0" w:space="0" w:color="auto"/>
                    <w:left w:val="none" w:sz="0" w:space="0" w:color="auto"/>
                    <w:bottom w:val="none" w:sz="0" w:space="0" w:color="auto"/>
                    <w:right w:val="none" w:sz="0" w:space="0" w:color="auto"/>
                  </w:divBdr>
                  <w:divsChild>
                    <w:div w:id="55276917">
                      <w:marLeft w:val="0"/>
                      <w:marRight w:val="0"/>
                      <w:marTop w:val="0"/>
                      <w:marBottom w:val="0"/>
                      <w:divBdr>
                        <w:top w:val="none" w:sz="0" w:space="0" w:color="auto"/>
                        <w:left w:val="none" w:sz="0" w:space="0" w:color="auto"/>
                        <w:bottom w:val="none" w:sz="0" w:space="0" w:color="auto"/>
                        <w:right w:val="none" w:sz="0" w:space="0" w:color="auto"/>
                      </w:divBdr>
                    </w:div>
                  </w:divsChild>
                </w:div>
                <w:div w:id="1004674528">
                  <w:marLeft w:val="0"/>
                  <w:marRight w:val="0"/>
                  <w:marTop w:val="0"/>
                  <w:marBottom w:val="0"/>
                  <w:divBdr>
                    <w:top w:val="none" w:sz="0" w:space="0" w:color="auto"/>
                    <w:left w:val="none" w:sz="0" w:space="0" w:color="auto"/>
                    <w:bottom w:val="none" w:sz="0" w:space="0" w:color="auto"/>
                    <w:right w:val="none" w:sz="0" w:space="0" w:color="auto"/>
                  </w:divBdr>
                  <w:divsChild>
                    <w:div w:id="1535267287">
                      <w:marLeft w:val="0"/>
                      <w:marRight w:val="0"/>
                      <w:marTop w:val="0"/>
                      <w:marBottom w:val="0"/>
                      <w:divBdr>
                        <w:top w:val="none" w:sz="0" w:space="0" w:color="auto"/>
                        <w:left w:val="none" w:sz="0" w:space="0" w:color="auto"/>
                        <w:bottom w:val="none" w:sz="0" w:space="0" w:color="auto"/>
                        <w:right w:val="none" w:sz="0" w:space="0" w:color="auto"/>
                      </w:divBdr>
                    </w:div>
                  </w:divsChild>
                </w:div>
                <w:div w:id="1021395481">
                  <w:marLeft w:val="0"/>
                  <w:marRight w:val="0"/>
                  <w:marTop w:val="0"/>
                  <w:marBottom w:val="0"/>
                  <w:divBdr>
                    <w:top w:val="none" w:sz="0" w:space="0" w:color="auto"/>
                    <w:left w:val="none" w:sz="0" w:space="0" w:color="auto"/>
                    <w:bottom w:val="none" w:sz="0" w:space="0" w:color="auto"/>
                    <w:right w:val="none" w:sz="0" w:space="0" w:color="auto"/>
                  </w:divBdr>
                  <w:divsChild>
                    <w:div w:id="460347219">
                      <w:marLeft w:val="0"/>
                      <w:marRight w:val="0"/>
                      <w:marTop w:val="0"/>
                      <w:marBottom w:val="0"/>
                      <w:divBdr>
                        <w:top w:val="none" w:sz="0" w:space="0" w:color="auto"/>
                        <w:left w:val="none" w:sz="0" w:space="0" w:color="auto"/>
                        <w:bottom w:val="none" w:sz="0" w:space="0" w:color="auto"/>
                        <w:right w:val="none" w:sz="0" w:space="0" w:color="auto"/>
                      </w:divBdr>
                    </w:div>
                  </w:divsChild>
                </w:div>
                <w:div w:id="1089693504">
                  <w:marLeft w:val="0"/>
                  <w:marRight w:val="0"/>
                  <w:marTop w:val="0"/>
                  <w:marBottom w:val="0"/>
                  <w:divBdr>
                    <w:top w:val="none" w:sz="0" w:space="0" w:color="auto"/>
                    <w:left w:val="none" w:sz="0" w:space="0" w:color="auto"/>
                    <w:bottom w:val="none" w:sz="0" w:space="0" w:color="auto"/>
                    <w:right w:val="none" w:sz="0" w:space="0" w:color="auto"/>
                  </w:divBdr>
                  <w:divsChild>
                    <w:div w:id="1757091873">
                      <w:marLeft w:val="0"/>
                      <w:marRight w:val="0"/>
                      <w:marTop w:val="0"/>
                      <w:marBottom w:val="0"/>
                      <w:divBdr>
                        <w:top w:val="none" w:sz="0" w:space="0" w:color="auto"/>
                        <w:left w:val="none" w:sz="0" w:space="0" w:color="auto"/>
                        <w:bottom w:val="none" w:sz="0" w:space="0" w:color="auto"/>
                        <w:right w:val="none" w:sz="0" w:space="0" w:color="auto"/>
                      </w:divBdr>
                    </w:div>
                  </w:divsChild>
                </w:div>
                <w:div w:id="1102066182">
                  <w:marLeft w:val="0"/>
                  <w:marRight w:val="0"/>
                  <w:marTop w:val="0"/>
                  <w:marBottom w:val="0"/>
                  <w:divBdr>
                    <w:top w:val="none" w:sz="0" w:space="0" w:color="auto"/>
                    <w:left w:val="none" w:sz="0" w:space="0" w:color="auto"/>
                    <w:bottom w:val="none" w:sz="0" w:space="0" w:color="auto"/>
                    <w:right w:val="none" w:sz="0" w:space="0" w:color="auto"/>
                  </w:divBdr>
                  <w:divsChild>
                    <w:div w:id="719327940">
                      <w:marLeft w:val="0"/>
                      <w:marRight w:val="0"/>
                      <w:marTop w:val="0"/>
                      <w:marBottom w:val="0"/>
                      <w:divBdr>
                        <w:top w:val="none" w:sz="0" w:space="0" w:color="auto"/>
                        <w:left w:val="none" w:sz="0" w:space="0" w:color="auto"/>
                        <w:bottom w:val="none" w:sz="0" w:space="0" w:color="auto"/>
                        <w:right w:val="none" w:sz="0" w:space="0" w:color="auto"/>
                      </w:divBdr>
                    </w:div>
                    <w:div w:id="1853641347">
                      <w:marLeft w:val="0"/>
                      <w:marRight w:val="0"/>
                      <w:marTop w:val="0"/>
                      <w:marBottom w:val="0"/>
                      <w:divBdr>
                        <w:top w:val="none" w:sz="0" w:space="0" w:color="auto"/>
                        <w:left w:val="none" w:sz="0" w:space="0" w:color="auto"/>
                        <w:bottom w:val="none" w:sz="0" w:space="0" w:color="auto"/>
                        <w:right w:val="none" w:sz="0" w:space="0" w:color="auto"/>
                      </w:divBdr>
                    </w:div>
                    <w:div w:id="2073194475">
                      <w:marLeft w:val="0"/>
                      <w:marRight w:val="0"/>
                      <w:marTop w:val="0"/>
                      <w:marBottom w:val="0"/>
                      <w:divBdr>
                        <w:top w:val="none" w:sz="0" w:space="0" w:color="auto"/>
                        <w:left w:val="none" w:sz="0" w:space="0" w:color="auto"/>
                        <w:bottom w:val="none" w:sz="0" w:space="0" w:color="auto"/>
                        <w:right w:val="none" w:sz="0" w:space="0" w:color="auto"/>
                      </w:divBdr>
                    </w:div>
                  </w:divsChild>
                </w:div>
                <w:div w:id="1142767622">
                  <w:marLeft w:val="0"/>
                  <w:marRight w:val="0"/>
                  <w:marTop w:val="0"/>
                  <w:marBottom w:val="0"/>
                  <w:divBdr>
                    <w:top w:val="none" w:sz="0" w:space="0" w:color="auto"/>
                    <w:left w:val="none" w:sz="0" w:space="0" w:color="auto"/>
                    <w:bottom w:val="none" w:sz="0" w:space="0" w:color="auto"/>
                    <w:right w:val="none" w:sz="0" w:space="0" w:color="auto"/>
                  </w:divBdr>
                  <w:divsChild>
                    <w:div w:id="773864557">
                      <w:marLeft w:val="0"/>
                      <w:marRight w:val="0"/>
                      <w:marTop w:val="0"/>
                      <w:marBottom w:val="0"/>
                      <w:divBdr>
                        <w:top w:val="none" w:sz="0" w:space="0" w:color="auto"/>
                        <w:left w:val="none" w:sz="0" w:space="0" w:color="auto"/>
                        <w:bottom w:val="none" w:sz="0" w:space="0" w:color="auto"/>
                        <w:right w:val="none" w:sz="0" w:space="0" w:color="auto"/>
                      </w:divBdr>
                    </w:div>
                  </w:divsChild>
                </w:div>
                <w:div w:id="1162772396">
                  <w:marLeft w:val="0"/>
                  <w:marRight w:val="0"/>
                  <w:marTop w:val="0"/>
                  <w:marBottom w:val="0"/>
                  <w:divBdr>
                    <w:top w:val="none" w:sz="0" w:space="0" w:color="auto"/>
                    <w:left w:val="none" w:sz="0" w:space="0" w:color="auto"/>
                    <w:bottom w:val="none" w:sz="0" w:space="0" w:color="auto"/>
                    <w:right w:val="none" w:sz="0" w:space="0" w:color="auto"/>
                  </w:divBdr>
                  <w:divsChild>
                    <w:div w:id="1045063739">
                      <w:marLeft w:val="0"/>
                      <w:marRight w:val="0"/>
                      <w:marTop w:val="0"/>
                      <w:marBottom w:val="0"/>
                      <w:divBdr>
                        <w:top w:val="none" w:sz="0" w:space="0" w:color="auto"/>
                        <w:left w:val="none" w:sz="0" w:space="0" w:color="auto"/>
                        <w:bottom w:val="none" w:sz="0" w:space="0" w:color="auto"/>
                        <w:right w:val="none" w:sz="0" w:space="0" w:color="auto"/>
                      </w:divBdr>
                    </w:div>
                  </w:divsChild>
                </w:div>
                <w:div w:id="1198010637">
                  <w:marLeft w:val="0"/>
                  <w:marRight w:val="0"/>
                  <w:marTop w:val="0"/>
                  <w:marBottom w:val="0"/>
                  <w:divBdr>
                    <w:top w:val="none" w:sz="0" w:space="0" w:color="auto"/>
                    <w:left w:val="none" w:sz="0" w:space="0" w:color="auto"/>
                    <w:bottom w:val="none" w:sz="0" w:space="0" w:color="auto"/>
                    <w:right w:val="none" w:sz="0" w:space="0" w:color="auto"/>
                  </w:divBdr>
                  <w:divsChild>
                    <w:div w:id="2013408704">
                      <w:marLeft w:val="0"/>
                      <w:marRight w:val="0"/>
                      <w:marTop w:val="0"/>
                      <w:marBottom w:val="0"/>
                      <w:divBdr>
                        <w:top w:val="none" w:sz="0" w:space="0" w:color="auto"/>
                        <w:left w:val="none" w:sz="0" w:space="0" w:color="auto"/>
                        <w:bottom w:val="none" w:sz="0" w:space="0" w:color="auto"/>
                        <w:right w:val="none" w:sz="0" w:space="0" w:color="auto"/>
                      </w:divBdr>
                    </w:div>
                  </w:divsChild>
                </w:div>
                <w:div w:id="1278442489">
                  <w:marLeft w:val="0"/>
                  <w:marRight w:val="0"/>
                  <w:marTop w:val="0"/>
                  <w:marBottom w:val="0"/>
                  <w:divBdr>
                    <w:top w:val="none" w:sz="0" w:space="0" w:color="auto"/>
                    <w:left w:val="none" w:sz="0" w:space="0" w:color="auto"/>
                    <w:bottom w:val="none" w:sz="0" w:space="0" w:color="auto"/>
                    <w:right w:val="none" w:sz="0" w:space="0" w:color="auto"/>
                  </w:divBdr>
                  <w:divsChild>
                    <w:div w:id="1686712782">
                      <w:marLeft w:val="0"/>
                      <w:marRight w:val="0"/>
                      <w:marTop w:val="0"/>
                      <w:marBottom w:val="0"/>
                      <w:divBdr>
                        <w:top w:val="none" w:sz="0" w:space="0" w:color="auto"/>
                        <w:left w:val="none" w:sz="0" w:space="0" w:color="auto"/>
                        <w:bottom w:val="none" w:sz="0" w:space="0" w:color="auto"/>
                        <w:right w:val="none" w:sz="0" w:space="0" w:color="auto"/>
                      </w:divBdr>
                    </w:div>
                  </w:divsChild>
                </w:div>
                <w:div w:id="1329476108">
                  <w:marLeft w:val="0"/>
                  <w:marRight w:val="0"/>
                  <w:marTop w:val="0"/>
                  <w:marBottom w:val="0"/>
                  <w:divBdr>
                    <w:top w:val="none" w:sz="0" w:space="0" w:color="auto"/>
                    <w:left w:val="none" w:sz="0" w:space="0" w:color="auto"/>
                    <w:bottom w:val="none" w:sz="0" w:space="0" w:color="auto"/>
                    <w:right w:val="none" w:sz="0" w:space="0" w:color="auto"/>
                  </w:divBdr>
                  <w:divsChild>
                    <w:div w:id="302006872">
                      <w:marLeft w:val="0"/>
                      <w:marRight w:val="0"/>
                      <w:marTop w:val="0"/>
                      <w:marBottom w:val="0"/>
                      <w:divBdr>
                        <w:top w:val="none" w:sz="0" w:space="0" w:color="auto"/>
                        <w:left w:val="none" w:sz="0" w:space="0" w:color="auto"/>
                        <w:bottom w:val="none" w:sz="0" w:space="0" w:color="auto"/>
                        <w:right w:val="none" w:sz="0" w:space="0" w:color="auto"/>
                      </w:divBdr>
                    </w:div>
                    <w:div w:id="785200232">
                      <w:marLeft w:val="0"/>
                      <w:marRight w:val="0"/>
                      <w:marTop w:val="0"/>
                      <w:marBottom w:val="0"/>
                      <w:divBdr>
                        <w:top w:val="none" w:sz="0" w:space="0" w:color="auto"/>
                        <w:left w:val="none" w:sz="0" w:space="0" w:color="auto"/>
                        <w:bottom w:val="none" w:sz="0" w:space="0" w:color="auto"/>
                        <w:right w:val="none" w:sz="0" w:space="0" w:color="auto"/>
                      </w:divBdr>
                    </w:div>
                  </w:divsChild>
                </w:div>
                <w:div w:id="1331442393">
                  <w:marLeft w:val="0"/>
                  <w:marRight w:val="0"/>
                  <w:marTop w:val="0"/>
                  <w:marBottom w:val="0"/>
                  <w:divBdr>
                    <w:top w:val="none" w:sz="0" w:space="0" w:color="auto"/>
                    <w:left w:val="none" w:sz="0" w:space="0" w:color="auto"/>
                    <w:bottom w:val="none" w:sz="0" w:space="0" w:color="auto"/>
                    <w:right w:val="none" w:sz="0" w:space="0" w:color="auto"/>
                  </w:divBdr>
                  <w:divsChild>
                    <w:div w:id="461920925">
                      <w:marLeft w:val="0"/>
                      <w:marRight w:val="0"/>
                      <w:marTop w:val="0"/>
                      <w:marBottom w:val="0"/>
                      <w:divBdr>
                        <w:top w:val="none" w:sz="0" w:space="0" w:color="auto"/>
                        <w:left w:val="none" w:sz="0" w:space="0" w:color="auto"/>
                        <w:bottom w:val="none" w:sz="0" w:space="0" w:color="auto"/>
                        <w:right w:val="none" w:sz="0" w:space="0" w:color="auto"/>
                      </w:divBdr>
                    </w:div>
                  </w:divsChild>
                </w:div>
                <w:div w:id="1372421883">
                  <w:marLeft w:val="0"/>
                  <w:marRight w:val="0"/>
                  <w:marTop w:val="0"/>
                  <w:marBottom w:val="0"/>
                  <w:divBdr>
                    <w:top w:val="none" w:sz="0" w:space="0" w:color="auto"/>
                    <w:left w:val="none" w:sz="0" w:space="0" w:color="auto"/>
                    <w:bottom w:val="none" w:sz="0" w:space="0" w:color="auto"/>
                    <w:right w:val="none" w:sz="0" w:space="0" w:color="auto"/>
                  </w:divBdr>
                  <w:divsChild>
                    <w:div w:id="796410056">
                      <w:marLeft w:val="0"/>
                      <w:marRight w:val="0"/>
                      <w:marTop w:val="0"/>
                      <w:marBottom w:val="0"/>
                      <w:divBdr>
                        <w:top w:val="none" w:sz="0" w:space="0" w:color="auto"/>
                        <w:left w:val="none" w:sz="0" w:space="0" w:color="auto"/>
                        <w:bottom w:val="none" w:sz="0" w:space="0" w:color="auto"/>
                        <w:right w:val="none" w:sz="0" w:space="0" w:color="auto"/>
                      </w:divBdr>
                    </w:div>
                  </w:divsChild>
                </w:div>
                <w:div w:id="1457600219">
                  <w:marLeft w:val="0"/>
                  <w:marRight w:val="0"/>
                  <w:marTop w:val="0"/>
                  <w:marBottom w:val="0"/>
                  <w:divBdr>
                    <w:top w:val="none" w:sz="0" w:space="0" w:color="auto"/>
                    <w:left w:val="none" w:sz="0" w:space="0" w:color="auto"/>
                    <w:bottom w:val="none" w:sz="0" w:space="0" w:color="auto"/>
                    <w:right w:val="none" w:sz="0" w:space="0" w:color="auto"/>
                  </w:divBdr>
                  <w:divsChild>
                    <w:div w:id="837111242">
                      <w:marLeft w:val="0"/>
                      <w:marRight w:val="0"/>
                      <w:marTop w:val="0"/>
                      <w:marBottom w:val="0"/>
                      <w:divBdr>
                        <w:top w:val="none" w:sz="0" w:space="0" w:color="auto"/>
                        <w:left w:val="none" w:sz="0" w:space="0" w:color="auto"/>
                        <w:bottom w:val="none" w:sz="0" w:space="0" w:color="auto"/>
                        <w:right w:val="none" w:sz="0" w:space="0" w:color="auto"/>
                      </w:divBdr>
                    </w:div>
                  </w:divsChild>
                </w:div>
                <w:div w:id="1507020274">
                  <w:marLeft w:val="0"/>
                  <w:marRight w:val="0"/>
                  <w:marTop w:val="0"/>
                  <w:marBottom w:val="0"/>
                  <w:divBdr>
                    <w:top w:val="none" w:sz="0" w:space="0" w:color="auto"/>
                    <w:left w:val="none" w:sz="0" w:space="0" w:color="auto"/>
                    <w:bottom w:val="none" w:sz="0" w:space="0" w:color="auto"/>
                    <w:right w:val="none" w:sz="0" w:space="0" w:color="auto"/>
                  </w:divBdr>
                  <w:divsChild>
                    <w:div w:id="942036076">
                      <w:marLeft w:val="0"/>
                      <w:marRight w:val="0"/>
                      <w:marTop w:val="0"/>
                      <w:marBottom w:val="0"/>
                      <w:divBdr>
                        <w:top w:val="none" w:sz="0" w:space="0" w:color="auto"/>
                        <w:left w:val="none" w:sz="0" w:space="0" w:color="auto"/>
                        <w:bottom w:val="none" w:sz="0" w:space="0" w:color="auto"/>
                        <w:right w:val="none" w:sz="0" w:space="0" w:color="auto"/>
                      </w:divBdr>
                    </w:div>
                  </w:divsChild>
                </w:div>
                <w:div w:id="1535077652">
                  <w:marLeft w:val="0"/>
                  <w:marRight w:val="0"/>
                  <w:marTop w:val="0"/>
                  <w:marBottom w:val="0"/>
                  <w:divBdr>
                    <w:top w:val="none" w:sz="0" w:space="0" w:color="auto"/>
                    <w:left w:val="none" w:sz="0" w:space="0" w:color="auto"/>
                    <w:bottom w:val="none" w:sz="0" w:space="0" w:color="auto"/>
                    <w:right w:val="none" w:sz="0" w:space="0" w:color="auto"/>
                  </w:divBdr>
                  <w:divsChild>
                    <w:div w:id="681586600">
                      <w:marLeft w:val="0"/>
                      <w:marRight w:val="0"/>
                      <w:marTop w:val="0"/>
                      <w:marBottom w:val="0"/>
                      <w:divBdr>
                        <w:top w:val="none" w:sz="0" w:space="0" w:color="auto"/>
                        <w:left w:val="none" w:sz="0" w:space="0" w:color="auto"/>
                        <w:bottom w:val="none" w:sz="0" w:space="0" w:color="auto"/>
                        <w:right w:val="none" w:sz="0" w:space="0" w:color="auto"/>
                      </w:divBdr>
                    </w:div>
                  </w:divsChild>
                </w:div>
                <w:div w:id="1578249738">
                  <w:marLeft w:val="0"/>
                  <w:marRight w:val="0"/>
                  <w:marTop w:val="0"/>
                  <w:marBottom w:val="0"/>
                  <w:divBdr>
                    <w:top w:val="none" w:sz="0" w:space="0" w:color="auto"/>
                    <w:left w:val="none" w:sz="0" w:space="0" w:color="auto"/>
                    <w:bottom w:val="none" w:sz="0" w:space="0" w:color="auto"/>
                    <w:right w:val="none" w:sz="0" w:space="0" w:color="auto"/>
                  </w:divBdr>
                  <w:divsChild>
                    <w:div w:id="382563445">
                      <w:marLeft w:val="0"/>
                      <w:marRight w:val="0"/>
                      <w:marTop w:val="0"/>
                      <w:marBottom w:val="0"/>
                      <w:divBdr>
                        <w:top w:val="none" w:sz="0" w:space="0" w:color="auto"/>
                        <w:left w:val="none" w:sz="0" w:space="0" w:color="auto"/>
                        <w:bottom w:val="none" w:sz="0" w:space="0" w:color="auto"/>
                        <w:right w:val="none" w:sz="0" w:space="0" w:color="auto"/>
                      </w:divBdr>
                    </w:div>
                  </w:divsChild>
                </w:div>
                <w:div w:id="1594388390">
                  <w:marLeft w:val="0"/>
                  <w:marRight w:val="0"/>
                  <w:marTop w:val="0"/>
                  <w:marBottom w:val="0"/>
                  <w:divBdr>
                    <w:top w:val="none" w:sz="0" w:space="0" w:color="auto"/>
                    <w:left w:val="none" w:sz="0" w:space="0" w:color="auto"/>
                    <w:bottom w:val="none" w:sz="0" w:space="0" w:color="auto"/>
                    <w:right w:val="none" w:sz="0" w:space="0" w:color="auto"/>
                  </w:divBdr>
                  <w:divsChild>
                    <w:div w:id="753088028">
                      <w:marLeft w:val="0"/>
                      <w:marRight w:val="0"/>
                      <w:marTop w:val="0"/>
                      <w:marBottom w:val="0"/>
                      <w:divBdr>
                        <w:top w:val="none" w:sz="0" w:space="0" w:color="auto"/>
                        <w:left w:val="none" w:sz="0" w:space="0" w:color="auto"/>
                        <w:bottom w:val="none" w:sz="0" w:space="0" w:color="auto"/>
                        <w:right w:val="none" w:sz="0" w:space="0" w:color="auto"/>
                      </w:divBdr>
                    </w:div>
                  </w:divsChild>
                </w:div>
                <w:div w:id="1599829732">
                  <w:marLeft w:val="0"/>
                  <w:marRight w:val="0"/>
                  <w:marTop w:val="0"/>
                  <w:marBottom w:val="0"/>
                  <w:divBdr>
                    <w:top w:val="none" w:sz="0" w:space="0" w:color="auto"/>
                    <w:left w:val="none" w:sz="0" w:space="0" w:color="auto"/>
                    <w:bottom w:val="none" w:sz="0" w:space="0" w:color="auto"/>
                    <w:right w:val="none" w:sz="0" w:space="0" w:color="auto"/>
                  </w:divBdr>
                  <w:divsChild>
                    <w:div w:id="1013655500">
                      <w:marLeft w:val="0"/>
                      <w:marRight w:val="0"/>
                      <w:marTop w:val="0"/>
                      <w:marBottom w:val="0"/>
                      <w:divBdr>
                        <w:top w:val="none" w:sz="0" w:space="0" w:color="auto"/>
                        <w:left w:val="none" w:sz="0" w:space="0" w:color="auto"/>
                        <w:bottom w:val="none" w:sz="0" w:space="0" w:color="auto"/>
                        <w:right w:val="none" w:sz="0" w:space="0" w:color="auto"/>
                      </w:divBdr>
                    </w:div>
                  </w:divsChild>
                </w:div>
                <w:div w:id="1664626375">
                  <w:marLeft w:val="0"/>
                  <w:marRight w:val="0"/>
                  <w:marTop w:val="0"/>
                  <w:marBottom w:val="0"/>
                  <w:divBdr>
                    <w:top w:val="none" w:sz="0" w:space="0" w:color="auto"/>
                    <w:left w:val="none" w:sz="0" w:space="0" w:color="auto"/>
                    <w:bottom w:val="none" w:sz="0" w:space="0" w:color="auto"/>
                    <w:right w:val="none" w:sz="0" w:space="0" w:color="auto"/>
                  </w:divBdr>
                  <w:divsChild>
                    <w:div w:id="944195782">
                      <w:marLeft w:val="0"/>
                      <w:marRight w:val="0"/>
                      <w:marTop w:val="0"/>
                      <w:marBottom w:val="0"/>
                      <w:divBdr>
                        <w:top w:val="none" w:sz="0" w:space="0" w:color="auto"/>
                        <w:left w:val="none" w:sz="0" w:space="0" w:color="auto"/>
                        <w:bottom w:val="none" w:sz="0" w:space="0" w:color="auto"/>
                        <w:right w:val="none" w:sz="0" w:space="0" w:color="auto"/>
                      </w:divBdr>
                    </w:div>
                  </w:divsChild>
                </w:div>
                <w:div w:id="1739547901">
                  <w:marLeft w:val="0"/>
                  <w:marRight w:val="0"/>
                  <w:marTop w:val="0"/>
                  <w:marBottom w:val="0"/>
                  <w:divBdr>
                    <w:top w:val="none" w:sz="0" w:space="0" w:color="auto"/>
                    <w:left w:val="none" w:sz="0" w:space="0" w:color="auto"/>
                    <w:bottom w:val="none" w:sz="0" w:space="0" w:color="auto"/>
                    <w:right w:val="none" w:sz="0" w:space="0" w:color="auto"/>
                  </w:divBdr>
                  <w:divsChild>
                    <w:div w:id="820080000">
                      <w:marLeft w:val="0"/>
                      <w:marRight w:val="0"/>
                      <w:marTop w:val="0"/>
                      <w:marBottom w:val="0"/>
                      <w:divBdr>
                        <w:top w:val="none" w:sz="0" w:space="0" w:color="auto"/>
                        <w:left w:val="none" w:sz="0" w:space="0" w:color="auto"/>
                        <w:bottom w:val="none" w:sz="0" w:space="0" w:color="auto"/>
                        <w:right w:val="none" w:sz="0" w:space="0" w:color="auto"/>
                      </w:divBdr>
                    </w:div>
                  </w:divsChild>
                </w:div>
                <w:div w:id="1805583104">
                  <w:marLeft w:val="0"/>
                  <w:marRight w:val="0"/>
                  <w:marTop w:val="0"/>
                  <w:marBottom w:val="0"/>
                  <w:divBdr>
                    <w:top w:val="none" w:sz="0" w:space="0" w:color="auto"/>
                    <w:left w:val="none" w:sz="0" w:space="0" w:color="auto"/>
                    <w:bottom w:val="none" w:sz="0" w:space="0" w:color="auto"/>
                    <w:right w:val="none" w:sz="0" w:space="0" w:color="auto"/>
                  </w:divBdr>
                  <w:divsChild>
                    <w:div w:id="429552060">
                      <w:marLeft w:val="0"/>
                      <w:marRight w:val="0"/>
                      <w:marTop w:val="0"/>
                      <w:marBottom w:val="0"/>
                      <w:divBdr>
                        <w:top w:val="none" w:sz="0" w:space="0" w:color="auto"/>
                        <w:left w:val="none" w:sz="0" w:space="0" w:color="auto"/>
                        <w:bottom w:val="none" w:sz="0" w:space="0" w:color="auto"/>
                        <w:right w:val="none" w:sz="0" w:space="0" w:color="auto"/>
                      </w:divBdr>
                    </w:div>
                  </w:divsChild>
                </w:div>
                <w:div w:id="1828549408">
                  <w:marLeft w:val="0"/>
                  <w:marRight w:val="0"/>
                  <w:marTop w:val="0"/>
                  <w:marBottom w:val="0"/>
                  <w:divBdr>
                    <w:top w:val="none" w:sz="0" w:space="0" w:color="auto"/>
                    <w:left w:val="none" w:sz="0" w:space="0" w:color="auto"/>
                    <w:bottom w:val="none" w:sz="0" w:space="0" w:color="auto"/>
                    <w:right w:val="none" w:sz="0" w:space="0" w:color="auto"/>
                  </w:divBdr>
                  <w:divsChild>
                    <w:div w:id="2109736166">
                      <w:marLeft w:val="0"/>
                      <w:marRight w:val="0"/>
                      <w:marTop w:val="0"/>
                      <w:marBottom w:val="0"/>
                      <w:divBdr>
                        <w:top w:val="none" w:sz="0" w:space="0" w:color="auto"/>
                        <w:left w:val="none" w:sz="0" w:space="0" w:color="auto"/>
                        <w:bottom w:val="none" w:sz="0" w:space="0" w:color="auto"/>
                        <w:right w:val="none" w:sz="0" w:space="0" w:color="auto"/>
                      </w:divBdr>
                    </w:div>
                  </w:divsChild>
                </w:div>
                <w:div w:id="1845590981">
                  <w:marLeft w:val="0"/>
                  <w:marRight w:val="0"/>
                  <w:marTop w:val="0"/>
                  <w:marBottom w:val="0"/>
                  <w:divBdr>
                    <w:top w:val="none" w:sz="0" w:space="0" w:color="auto"/>
                    <w:left w:val="none" w:sz="0" w:space="0" w:color="auto"/>
                    <w:bottom w:val="none" w:sz="0" w:space="0" w:color="auto"/>
                    <w:right w:val="none" w:sz="0" w:space="0" w:color="auto"/>
                  </w:divBdr>
                  <w:divsChild>
                    <w:div w:id="1696269055">
                      <w:marLeft w:val="0"/>
                      <w:marRight w:val="0"/>
                      <w:marTop w:val="0"/>
                      <w:marBottom w:val="0"/>
                      <w:divBdr>
                        <w:top w:val="none" w:sz="0" w:space="0" w:color="auto"/>
                        <w:left w:val="none" w:sz="0" w:space="0" w:color="auto"/>
                        <w:bottom w:val="none" w:sz="0" w:space="0" w:color="auto"/>
                        <w:right w:val="none" w:sz="0" w:space="0" w:color="auto"/>
                      </w:divBdr>
                    </w:div>
                  </w:divsChild>
                </w:div>
                <w:div w:id="1889948937">
                  <w:marLeft w:val="0"/>
                  <w:marRight w:val="0"/>
                  <w:marTop w:val="0"/>
                  <w:marBottom w:val="0"/>
                  <w:divBdr>
                    <w:top w:val="none" w:sz="0" w:space="0" w:color="auto"/>
                    <w:left w:val="none" w:sz="0" w:space="0" w:color="auto"/>
                    <w:bottom w:val="none" w:sz="0" w:space="0" w:color="auto"/>
                    <w:right w:val="none" w:sz="0" w:space="0" w:color="auto"/>
                  </w:divBdr>
                  <w:divsChild>
                    <w:div w:id="2036883672">
                      <w:marLeft w:val="0"/>
                      <w:marRight w:val="0"/>
                      <w:marTop w:val="0"/>
                      <w:marBottom w:val="0"/>
                      <w:divBdr>
                        <w:top w:val="none" w:sz="0" w:space="0" w:color="auto"/>
                        <w:left w:val="none" w:sz="0" w:space="0" w:color="auto"/>
                        <w:bottom w:val="none" w:sz="0" w:space="0" w:color="auto"/>
                        <w:right w:val="none" w:sz="0" w:space="0" w:color="auto"/>
                      </w:divBdr>
                    </w:div>
                  </w:divsChild>
                </w:div>
                <w:div w:id="2060395599">
                  <w:marLeft w:val="0"/>
                  <w:marRight w:val="0"/>
                  <w:marTop w:val="0"/>
                  <w:marBottom w:val="0"/>
                  <w:divBdr>
                    <w:top w:val="none" w:sz="0" w:space="0" w:color="auto"/>
                    <w:left w:val="none" w:sz="0" w:space="0" w:color="auto"/>
                    <w:bottom w:val="none" w:sz="0" w:space="0" w:color="auto"/>
                    <w:right w:val="none" w:sz="0" w:space="0" w:color="auto"/>
                  </w:divBdr>
                  <w:divsChild>
                    <w:div w:id="1346713630">
                      <w:marLeft w:val="0"/>
                      <w:marRight w:val="0"/>
                      <w:marTop w:val="0"/>
                      <w:marBottom w:val="0"/>
                      <w:divBdr>
                        <w:top w:val="none" w:sz="0" w:space="0" w:color="auto"/>
                        <w:left w:val="none" w:sz="0" w:space="0" w:color="auto"/>
                        <w:bottom w:val="none" w:sz="0" w:space="0" w:color="auto"/>
                        <w:right w:val="none" w:sz="0" w:space="0" w:color="auto"/>
                      </w:divBdr>
                    </w:div>
                  </w:divsChild>
                </w:div>
                <w:div w:id="2068145785">
                  <w:marLeft w:val="0"/>
                  <w:marRight w:val="0"/>
                  <w:marTop w:val="0"/>
                  <w:marBottom w:val="0"/>
                  <w:divBdr>
                    <w:top w:val="none" w:sz="0" w:space="0" w:color="auto"/>
                    <w:left w:val="none" w:sz="0" w:space="0" w:color="auto"/>
                    <w:bottom w:val="none" w:sz="0" w:space="0" w:color="auto"/>
                    <w:right w:val="none" w:sz="0" w:space="0" w:color="auto"/>
                  </w:divBdr>
                  <w:divsChild>
                    <w:div w:id="1375036526">
                      <w:marLeft w:val="0"/>
                      <w:marRight w:val="0"/>
                      <w:marTop w:val="0"/>
                      <w:marBottom w:val="0"/>
                      <w:divBdr>
                        <w:top w:val="none" w:sz="0" w:space="0" w:color="auto"/>
                        <w:left w:val="none" w:sz="0" w:space="0" w:color="auto"/>
                        <w:bottom w:val="none" w:sz="0" w:space="0" w:color="auto"/>
                        <w:right w:val="none" w:sz="0" w:space="0" w:color="auto"/>
                      </w:divBdr>
                    </w:div>
                  </w:divsChild>
                </w:div>
                <w:div w:id="2086301328">
                  <w:marLeft w:val="0"/>
                  <w:marRight w:val="0"/>
                  <w:marTop w:val="0"/>
                  <w:marBottom w:val="0"/>
                  <w:divBdr>
                    <w:top w:val="none" w:sz="0" w:space="0" w:color="auto"/>
                    <w:left w:val="none" w:sz="0" w:space="0" w:color="auto"/>
                    <w:bottom w:val="none" w:sz="0" w:space="0" w:color="auto"/>
                    <w:right w:val="none" w:sz="0" w:space="0" w:color="auto"/>
                  </w:divBdr>
                  <w:divsChild>
                    <w:div w:id="1570076693">
                      <w:marLeft w:val="0"/>
                      <w:marRight w:val="0"/>
                      <w:marTop w:val="0"/>
                      <w:marBottom w:val="0"/>
                      <w:divBdr>
                        <w:top w:val="none" w:sz="0" w:space="0" w:color="auto"/>
                        <w:left w:val="none" w:sz="0" w:space="0" w:color="auto"/>
                        <w:bottom w:val="none" w:sz="0" w:space="0" w:color="auto"/>
                        <w:right w:val="none" w:sz="0" w:space="0" w:color="auto"/>
                      </w:divBdr>
                    </w:div>
                  </w:divsChild>
                </w:div>
                <w:div w:id="2118062031">
                  <w:marLeft w:val="0"/>
                  <w:marRight w:val="0"/>
                  <w:marTop w:val="0"/>
                  <w:marBottom w:val="0"/>
                  <w:divBdr>
                    <w:top w:val="none" w:sz="0" w:space="0" w:color="auto"/>
                    <w:left w:val="none" w:sz="0" w:space="0" w:color="auto"/>
                    <w:bottom w:val="none" w:sz="0" w:space="0" w:color="auto"/>
                    <w:right w:val="none" w:sz="0" w:space="0" w:color="auto"/>
                  </w:divBdr>
                  <w:divsChild>
                    <w:div w:id="102737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91795">
          <w:marLeft w:val="0"/>
          <w:marRight w:val="0"/>
          <w:marTop w:val="0"/>
          <w:marBottom w:val="0"/>
          <w:divBdr>
            <w:top w:val="none" w:sz="0" w:space="0" w:color="auto"/>
            <w:left w:val="none" w:sz="0" w:space="0" w:color="auto"/>
            <w:bottom w:val="none" w:sz="0" w:space="0" w:color="auto"/>
            <w:right w:val="none" w:sz="0" w:space="0" w:color="auto"/>
          </w:divBdr>
        </w:div>
      </w:divsChild>
    </w:div>
    <w:div w:id="1290403977">
      <w:bodyDiv w:val="1"/>
      <w:marLeft w:val="0"/>
      <w:marRight w:val="0"/>
      <w:marTop w:val="0"/>
      <w:marBottom w:val="0"/>
      <w:divBdr>
        <w:top w:val="none" w:sz="0" w:space="0" w:color="auto"/>
        <w:left w:val="none" w:sz="0" w:space="0" w:color="auto"/>
        <w:bottom w:val="none" w:sz="0" w:space="0" w:color="auto"/>
        <w:right w:val="none" w:sz="0" w:space="0" w:color="auto"/>
      </w:divBdr>
    </w:div>
    <w:div w:id="1297494303">
      <w:bodyDiv w:val="1"/>
      <w:marLeft w:val="0"/>
      <w:marRight w:val="0"/>
      <w:marTop w:val="0"/>
      <w:marBottom w:val="0"/>
      <w:divBdr>
        <w:top w:val="none" w:sz="0" w:space="0" w:color="auto"/>
        <w:left w:val="none" w:sz="0" w:space="0" w:color="auto"/>
        <w:bottom w:val="none" w:sz="0" w:space="0" w:color="auto"/>
        <w:right w:val="none" w:sz="0" w:space="0" w:color="auto"/>
      </w:divBdr>
    </w:div>
    <w:div w:id="1299919821">
      <w:bodyDiv w:val="1"/>
      <w:marLeft w:val="0"/>
      <w:marRight w:val="0"/>
      <w:marTop w:val="0"/>
      <w:marBottom w:val="0"/>
      <w:divBdr>
        <w:top w:val="none" w:sz="0" w:space="0" w:color="auto"/>
        <w:left w:val="none" w:sz="0" w:space="0" w:color="auto"/>
        <w:bottom w:val="none" w:sz="0" w:space="0" w:color="auto"/>
        <w:right w:val="none" w:sz="0" w:space="0" w:color="auto"/>
      </w:divBdr>
    </w:div>
    <w:div w:id="1322199861">
      <w:bodyDiv w:val="1"/>
      <w:marLeft w:val="0"/>
      <w:marRight w:val="0"/>
      <w:marTop w:val="0"/>
      <w:marBottom w:val="0"/>
      <w:divBdr>
        <w:top w:val="none" w:sz="0" w:space="0" w:color="auto"/>
        <w:left w:val="none" w:sz="0" w:space="0" w:color="auto"/>
        <w:bottom w:val="none" w:sz="0" w:space="0" w:color="auto"/>
        <w:right w:val="none" w:sz="0" w:space="0" w:color="auto"/>
      </w:divBdr>
    </w:div>
    <w:div w:id="1326667039">
      <w:bodyDiv w:val="1"/>
      <w:marLeft w:val="0"/>
      <w:marRight w:val="0"/>
      <w:marTop w:val="0"/>
      <w:marBottom w:val="0"/>
      <w:divBdr>
        <w:top w:val="none" w:sz="0" w:space="0" w:color="auto"/>
        <w:left w:val="none" w:sz="0" w:space="0" w:color="auto"/>
        <w:bottom w:val="none" w:sz="0" w:space="0" w:color="auto"/>
        <w:right w:val="none" w:sz="0" w:space="0" w:color="auto"/>
      </w:divBdr>
    </w:div>
    <w:div w:id="1351029377">
      <w:bodyDiv w:val="1"/>
      <w:marLeft w:val="0"/>
      <w:marRight w:val="0"/>
      <w:marTop w:val="0"/>
      <w:marBottom w:val="0"/>
      <w:divBdr>
        <w:top w:val="none" w:sz="0" w:space="0" w:color="auto"/>
        <w:left w:val="none" w:sz="0" w:space="0" w:color="auto"/>
        <w:bottom w:val="none" w:sz="0" w:space="0" w:color="auto"/>
        <w:right w:val="none" w:sz="0" w:space="0" w:color="auto"/>
      </w:divBdr>
    </w:div>
    <w:div w:id="1367827975">
      <w:bodyDiv w:val="1"/>
      <w:marLeft w:val="0"/>
      <w:marRight w:val="0"/>
      <w:marTop w:val="0"/>
      <w:marBottom w:val="0"/>
      <w:divBdr>
        <w:top w:val="none" w:sz="0" w:space="0" w:color="auto"/>
        <w:left w:val="none" w:sz="0" w:space="0" w:color="auto"/>
        <w:bottom w:val="none" w:sz="0" w:space="0" w:color="auto"/>
        <w:right w:val="none" w:sz="0" w:space="0" w:color="auto"/>
      </w:divBdr>
      <w:divsChild>
        <w:div w:id="72436466">
          <w:marLeft w:val="0"/>
          <w:marRight w:val="0"/>
          <w:marTop w:val="0"/>
          <w:marBottom w:val="0"/>
          <w:divBdr>
            <w:top w:val="none" w:sz="0" w:space="0" w:color="auto"/>
            <w:left w:val="none" w:sz="0" w:space="0" w:color="auto"/>
            <w:bottom w:val="none" w:sz="0" w:space="0" w:color="auto"/>
            <w:right w:val="none" w:sz="0" w:space="0" w:color="auto"/>
          </w:divBdr>
          <w:divsChild>
            <w:div w:id="1471747744">
              <w:marLeft w:val="0"/>
              <w:marRight w:val="0"/>
              <w:marTop w:val="0"/>
              <w:marBottom w:val="0"/>
              <w:divBdr>
                <w:top w:val="none" w:sz="0" w:space="0" w:color="auto"/>
                <w:left w:val="none" w:sz="0" w:space="0" w:color="auto"/>
                <w:bottom w:val="none" w:sz="0" w:space="0" w:color="auto"/>
                <w:right w:val="none" w:sz="0" w:space="0" w:color="auto"/>
              </w:divBdr>
            </w:div>
          </w:divsChild>
        </w:div>
        <w:div w:id="78455195">
          <w:marLeft w:val="0"/>
          <w:marRight w:val="0"/>
          <w:marTop w:val="0"/>
          <w:marBottom w:val="0"/>
          <w:divBdr>
            <w:top w:val="none" w:sz="0" w:space="0" w:color="auto"/>
            <w:left w:val="none" w:sz="0" w:space="0" w:color="auto"/>
            <w:bottom w:val="none" w:sz="0" w:space="0" w:color="auto"/>
            <w:right w:val="none" w:sz="0" w:space="0" w:color="auto"/>
          </w:divBdr>
          <w:divsChild>
            <w:div w:id="24718486">
              <w:marLeft w:val="0"/>
              <w:marRight w:val="0"/>
              <w:marTop w:val="0"/>
              <w:marBottom w:val="0"/>
              <w:divBdr>
                <w:top w:val="none" w:sz="0" w:space="0" w:color="auto"/>
                <w:left w:val="none" w:sz="0" w:space="0" w:color="auto"/>
                <w:bottom w:val="none" w:sz="0" w:space="0" w:color="auto"/>
                <w:right w:val="none" w:sz="0" w:space="0" w:color="auto"/>
              </w:divBdr>
            </w:div>
          </w:divsChild>
        </w:div>
        <w:div w:id="94792669">
          <w:marLeft w:val="0"/>
          <w:marRight w:val="0"/>
          <w:marTop w:val="0"/>
          <w:marBottom w:val="0"/>
          <w:divBdr>
            <w:top w:val="none" w:sz="0" w:space="0" w:color="auto"/>
            <w:left w:val="none" w:sz="0" w:space="0" w:color="auto"/>
            <w:bottom w:val="none" w:sz="0" w:space="0" w:color="auto"/>
            <w:right w:val="none" w:sz="0" w:space="0" w:color="auto"/>
          </w:divBdr>
          <w:divsChild>
            <w:div w:id="320893454">
              <w:marLeft w:val="0"/>
              <w:marRight w:val="0"/>
              <w:marTop w:val="0"/>
              <w:marBottom w:val="0"/>
              <w:divBdr>
                <w:top w:val="none" w:sz="0" w:space="0" w:color="auto"/>
                <w:left w:val="none" w:sz="0" w:space="0" w:color="auto"/>
                <w:bottom w:val="none" w:sz="0" w:space="0" w:color="auto"/>
                <w:right w:val="none" w:sz="0" w:space="0" w:color="auto"/>
              </w:divBdr>
            </w:div>
            <w:div w:id="637762399">
              <w:marLeft w:val="0"/>
              <w:marRight w:val="0"/>
              <w:marTop w:val="0"/>
              <w:marBottom w:val="0"/>
              <w:divBdr>
                <w:top w:val="none" w:sz="0" w:space="0" w:color="auto"/>
                <w:left w:val="none" w:sz="0" w:space="0" w:color="auto"/>
                <w:bottom w:val="none" w:sz="0" w:space="0" w:color="auto"/>
                <w:right w:val="none" w:sz="0" w:space="0" w:color="auto"/>
              </w:divBdr>
            </w:div>
          </w:divsChild>
        </w:div>
        <w:div w:id="192422208">
          <w:marLeft w:val="0"/>
          <w:marRight w:val="0"/>
          <w:marTop w:val="0"/>
          <w:marBottom w:val="0"/>
          <w:divBdr>
            <w:top w:val="none" w:sz="0" w:space="0" w:color="auto"/>
            <w:left w:val="none" w:sz="0" w:space="0" w:color="auto"/>
            <w:bottom w:val="none" w:sz="0" w:space="0" w:color="auto"/>
            <w:right w:val="none" w:sz="0" w:space="0" w:color="auto"/>
          </w:divBdr>
          <w:divsChild>
            <w:div w:id="876115056">
              <w:marLeft w:val="0"/>
              <w:marRight w:val="0"/>
              <w:marTop w:val="0"/>
              <w:marBottom w:val="0"/>
              <w:divBdr>
                <w:top w:val="none" w:sz="0" w:space="0" w:color="auto"/>
                <w:left w:val="none" w:sz="0" w:space="0" w:color="auto"/>
                <w:bottom w:val="none" w:sz="0" w:space="0" w:color="auto"/>
                <w:right w:val="none" w:sz="0" w:space="0" w:color="auto"/>
              </w:divBdr>
            </w:div>
          </w:divsChild>
        </w:div>
        <w:div w:id="237633732">
          <w:marLeft w:val="0"/>
          <w:marRight w:val="0"/>
          <w:marTop w:val="0"/>
          <w:marBottom w:val="0"/>
          <w:divBdr>
            <w:top w:val="none" w:sz="0" w:space="0" w:color="auto"/>
            <w:left w:val="none" w:sz="0" w:space="0" w:color="auto"/>
            <w:bottom w:val="none" w:sz="0" w:space="0" w:color="auto"/>
            <w:right w:val="none" w:sz="0" w:space="0" w:color="auto"/>
          </w:divBdr>
          <w:divsChild>
            <w:div w:id="802237130">
              <w:marLeft w:val="0"/>
              <w:marRight w:val="0"/>
              <w:marTop w:val="0"/>
              <w:marBottom w:val="0"/>
              <w:divBdr>
                <w:top w:val="none" w:sz="0" w:space="0" w:color="auto"/>
                <w:left w:val="none" w:sz="0" w:space="0" w:color="auto"/>
                <w:bottom w:val="none" w:sz="0" w:space="0" w:color="auto"/>
                <w:right w:val="none" w:sz="0" w:space="0" w:color="auto"/>
              </w:divBdr>
            </w:div>
          </w:divsChild>
        </w:div>
        <w:div w:id="281811961">
          <w:marLeft w:val="0"/>
          <w:marRight w:val="0"/>
          <w:marTop w:val="0"/>
          <w:marBottom w:val="0"/>
          <w:divBdr>
            <w:top w:val="none" w:sz="0" w:space="0" w:color="auto"/>
            <w:left w:val="none" w:sz="0" w:space="0" w:color="auto"/>
            <w:bottom w:val="none" w:sz="0" w:space="0" w:color="auto"/>
            <w:right w:val="none" w:sz="0" w:space="0" w:color="auto"/>
          </w:divBdr>
          <w:divsChild>
            <w:div w:id="737945042">
              <w:marLeft w:val="0"/>
              <w:marRight w:val="0"/>
              <w:marTop w:val="0"/>
              <w:marBottom w:val="0"/>
              <w:divBdr>
                <w:top w:val="none" w:sz="0" w:space="0" w:color="auto"/>
                <w:left w:val="none" w:sz="0" w:space="0" w:color="auto"/>
                <w:bottom w:val="none" w:sz="0" w:space="0" w:color="auto"/>
                <w:right w:val="none" w:sz="0" w:space="0" w:color="auto"/>
              </w:divBdr>
            </w:div>
            <w:div w:id="789906671">
              <w:marLeft w:val="0"/>
              <w:marRight w:val="0"/>
              <w:marTop w:val="0"/>
              <w:marBottom w:val="0"/>
              <w:divBdr>
                <w:top w:val="none" w:sz="0" w:space="0" w:color="auto"/>
                <w:left w:val="none" w:sz="0" w:space="0" w:color="auto"/>
                <w:bottom w:val="none" w:sz="0" w:space="0" w:color="auto"/>
                <w:right w:val="none" w:sz="0" w:space="0" w:color="auto"/>
              </w:divBdr>
            </w:div>
            <w:div w:id="1152677105">
              <w:marLeft w:val="0"/>
              <w:marRight w:val="0"/>
              <w:marTop w:val="0"/>
              <w:marBottom w:val="0"/>
              <w:divBdr>
                <w:top w:val="none" w:sz="0" w:space="0" w:color="auto"/>
                <w:left w:val="none" w:sz="0" w:space="0" w:color="auto"/>
                <w:bottom w:val="none" w:sz="0" w:space="0" w:color="auto"/>
                <w:right w:val="none" w:sz="0" w:space="0" w:color="auto"/>
              </w:divBdr>
            </w:div>
            <w:div w:id="1458722327">
              <w:marLeft w:val="0"/>
              <w:marRight w:val="0"/>
              <w:marTop w:val="0"/>
              <w:marBottom w:val="0"/>
              <w:divBdr>
                <w:top w:val="none" w:sz="0" w:space="0" w:color="auto"/>
                <w:left w:val="none" w:sz="0" w:space="0" w:color="auto"/>
                <w:bottom w:val="none" w:sz="0" w:space="0" w:color="auto"/>
                <w:right w:val="none" w:sz="0" w:space="0" w:color="auto"/>
              </w:divBdr>
            </w:div>
            <w:div w:id="1696149214">
              <w:marLeft w:val="0"/>
              <w:marRight w:val="0"/>
              <w:marTop w:val="0"/>
              <w:marBottom w:val="0"/>
              <w:divBdr>
                <w:top w:val="none" w:sz="0" w:space="0" w:color="auto"/>
                <w:left w:val="none" w:sz="0" w:space="0" w:color="auto"/>
                <w:bottom w:val="none" w:sz="0" w:space="0" w:color="auto"/>
                <w:right w:val="none" w:sz="0" w:space="0" w:color="auto"/>
              </w:divBdr>
            </w:div>
            <w:div w:id="1766532006">
              <w:marLeft w:val="0"/>
              <w:marRight w:val="0"/>
              <w:marTop w:val="0"/>
              <w:marBottom w:val="0"/>
              <w:divBdr>
                <w:top w:val="none" w:sz="0" w:space="0" w:color="auto"/>
                <w:left w:val="none" w:sz="0" w:space="0" w:color="auto"/>
                <w:bottom w:val="none" w:sz="0" w:space="0" w:color="auto"/>
                <w:right w:val="none" w:sz="0" w:space="0" w:color="auto"/>
              </w:divBdr>
            </w:div>
            <w:div w:id="2109736439">
              <w:marLeft w:val="0"/>
              <w:marRight w:val="0"/>
              <w:marTop w:val="0"/>
              <w:marBottom w:val="0"/>
              <w:divBdr>
                <w:top w:val="none" w:sz="0" w:space="0" w:color="auto"/>
                <w:left w:val="none" w:sz="0" w:space="0" w:color="auto"/>
                <w:bottom w:val="none" w:sz="0" w:space="0" w:color="auto"/>
                <w:right w:val="none" w:sz="0" w:space="0" w:color="auto"/>
              </w:divBdr>
            </w:div>
          </w:divsChild>
        </w:div>
        <w:div w:id="415326806">
          <w:marLeft w:val="0"/>
          <w:marRight w:val="0"/>
          <w:marTop w:val="0"/>
          <w:marBottom w:val="0"/>
          <w:divBdr>
            <w:top w:val="none" w:sz="0" w:space="0" w:color="auto"/>
            <w:left w:val="none" w:sz="0" w:space="0" w:color="auto"/>
            <w:bottom w:val="none" w:sz="0" w:space="0" w:color="auto"/>
            <w:right w:val="none" w:sz="0" w:space="0" w:color="auto"/>
          </w:divBdr>
          <w:divsChild>
            <w:div w:id="1971667940">
              <w:marLeft w:val="0"/>
              <w:marRight w:val="0"/>
              <w:marTop w:val="0"/>
              <w:marBottom w:val="0"/>
              <w:divBdr>
                <w:top w:val="none" w:sz="0" w:space="0" w:color="auto"/>
                <w:left w:val="none" w:sz="0" w:space="0" w:color="auto"/>
                <w:bottom w:val="none" w:sz="0" w:space="0" w:color="auto"/>
                <w:right w:val="none" w:sz="0" w:space="0" w:color="auto"/>
              </w:divBdr>
            </w:div>
          </w:divsChild>
        </w:div>
        <w:div w:id="616958676">
          <w:marLeft w:val="0"/>
          <w:marRight w:val="0"/>
          <w:marTop w:val="0"/>
          <w:marBottom w:val="0"/>
          <w:divBdr>
            <w:top w:val="none" w:sz="0" w:space="0" w:color="auto"/>
            <w:left w:val="none" w:sz="0" w:space="0" w:color="auto"/>
            <w:bottom w:val="none" w:sz="0" w:space="0" w:color="auto"/>
            <w:right w:val="none" w:sz="0" w:space="0" w:color="auto"/>
          </w:divBdr>
          <w:divsChild>
            <w:div w:id="1875381260">
              <w:marLeft w:val="0"/>
              <w:marRight w:val="0"/>
              <w:marTop w:val="0"/>
              <w:marBottom w:val="0"/>
              <w:divBdr>
                <w:top w:val="none" w:sz="0" w:space="0" w:color="auto"/>
                <w:left w:val="none" w:sz="0" w:space="0" w:color="auto"/>
                <w:bottom w:val="none" w:sz="0" w:space="0" w:color="auto"/>
                <w:right w:val="none" w:sz="0" w:space="0" w:color="auto"/>
              </w:divBdr>
            </w:div>
          </w:divsChild>
        </w:div>
        <w:div w:id="681325026">
          <w:marLeft w:val="0"/>
          <w:marRight w:val="0"/>
          <w:marTop w:val="0"/>
          <w:marBottom w:val="0"/>
          <w:divBdr>
            <w:top w:val="none" w:sz="0" w:space="0" w:color="auto"/>
            <w:left w:val="none" w:sz="0" w:space="0" w:color="auto"/>
            <w:bottom w:val="none" w:sz="0" w:space="0" w:color="auto"/>
            <w:right w:val="none" w:sz="0" w:space="0" w:color="auto"/>
          </w:divBdr>
          <w:divsChild>
            <w:div w:id="2046127967">
              <w:marLeft w:val="0"/>
              <w:marRight w:val="0"/>
              <w:marTop w:val="0"/>
              <w:marBottom w:val="0"/>
              <w:divBdr>
                <w:top w:val="none" w:sz="0" w:space="0" w:color="auto"/>
                <w:left w:val="none" w:sz="0" w:space="0" w:color="auto"/>
                <w:bottom w:val="none" w:sz="0" w:space="0" w:color="auto"/>
                <w:right w:val="none" w:sz="0" w:space="0" w:color="auto"/>
              </w:divBdr>
            </w:div>
          </w:divsChild>
        </w:div>
        <w:div w:id="718477288">
          <w:marLeft w:val="0"/>
          <w:marRight w:val="0"/>
          <w:marTop w:val="0"/>
          <w:marBottom w:val="0"/>
          <w:divBdr>
            <w:top w:val="none" w:sz="0" w:space="0" w:color="auto"/>
            <w:left w:val="none" w:sz="0" w:space="0" w:color="auto"/>
            <w:bottom w:val="none" w:sz="0" w:space="0" w:color="auto"/>
            <w:right w:val="none" w:sz="0" w:space="0" w:color="auto"/>
          </w:divBdr>
          <w:divsChild>
            <w:div w:id="1039167320">
              <w:marLeft w:val="0"/>
              <w:marRight w:val="0"/>
              <w:marTop w:val="0"/>
              <w:marBottom w:val="0"/>
              <w:divBdr>
                <w:top w:val="none" w:sz="0" w:space="0" w:color="auto"/>
                <w:left w:val="none" w:sz="0" w:space="0" w:color="auto"/>
                <w:bottom w:val="none" w:sz="0" w:space="0" w:color="auto"/>
                <w:right w:val="none" w:sz="0" w:space="0" w:color="auto"/>
              </w:divBdr>
            </w:div>
          </w:divsChild>
        </w:div>
        <w:div w:id="759254393">
          <w:marLeft w:val="0"/>
          <w:marRight w:val="0"/>
          <w:marTop w:val="0"/>
          <w:marBottom w:val="0"/>
          <w:divBdr>
            <w:top w:val="none" w:sz="0" w:space="0" w:color="auto"/>
            <w:left w:val="none" w:sz="0" w:space="0" w:color="auto"/>
            <w:bottom w:val="none" w:sz="0" w:space="0" w:color="auto"/>
            <w:right w:val="none" w:sz="0" w:space="0" w:color="auto"/>
          </w:divBdr>
          <w:divsChild>
            <w:div w:id="846098187">
              <w:marLeft w:val="0"/>
              <w:marRight w:val="0"/>
              <w:marTop w:val="0"/>
              <w:marBottom w:val="0"/>
              <w:divBdr>
                <w:top w:val="none" w:sz="0" w:space="0" w:color="auto"/>
                <w:left w:val="none" w:sz="0" w:space="0" w:color="auto"/>
                <w:bottom w:val="none" w:sz="0" w:space="0" w:color="auto"/>
                <w:right w:val="none" w:sz="0" w:space="0" w:color="auto"/>
              </w:divBdr>
            </w:div>
          </w:divsChild>
        </w:div>
        <w:div w:id="816534143">
          <w:marLeft w:val="0"/>
          <w:marRight w:val="0"/>
          <w:marTop w:val="0"/>
          <w:marBottom w:val="0"/>
          <w:divBdr>
            <w:top w:val="none" w:sz="0" w:space="0" w:color="auto"/>
            <w:left w:val="none" w:sz="0" w:space="0" w:color="auto"/>
            <w:bottom w:val="none" w:sz="0" w:space="0" w:color="auto"/>
            <w:right w:val="none" w:sz="0" w:space="0" w:color="auto"/>
          </w:divBdr>
          <w:divsChild>
            <w:div w:id="530728145">
              <w:marLeft w:val="0"/>
              <w:marRight w:val="0"/>
              <w:marTop w:val="0"/>
              <w:marBottom w:val="0"/>
              <w:divBdr>
                <w:top w:val="none" w:sz="0" w:space="0" w:color="auto"/>
                <w:left w:val="none" w:sz="0" w:space="0" w:color="auto"/>
                <w:bottom w:val="none" w:sz="0" w:space="0" w:color="auto"/>
                <w:right w:val="none" w:sz="0" w:space="0" w:color="auto"/>
              </w:divBdr>
            </w:div>
          </w:divsChild>
        </w:div>
        <w:div w:id="827552393">
          <w:marLeft w:val="0"/>
          <w:marRight w:val="0"/>
          <w:marTop w:val="0"/>
          <w:marBottom w:val="0"/>
          <w:divBdr>
            <w:top w:val="none" w:sz="0" w:space="0" w:color="auto"/>
            <w:left w:val="none" w:sz="0" w:space="0" w:color="auto"/>
            <w:bottom w:val="none" w:sz="0" w:space="0" w:color="auto"/>
            <w:right w:val="none" w:sz="0" w:space="0" w:color="auto"/>
          </w:divBdr>
          <w:divsChild>
            <w:div w:id="918364744">
              <w:marLeft w:val="0"/>
              <w:marRight w:val="0"/>
              <w:marTop w:val="0"/>
              <w:marBottom w:val="0"/>
              <w:divBdr>
                <w:top w:val="none" w:sz="0" w:space="0" w:color="auto"/>
                <w:left w:val="none" w:sz="0" w:space="0" w:color="auto"/>
                <w:bottom w:val="none" w:sz="0" w:space="0" w:color="auto"/>
                <w:right w:val="none" w:sz="0" w:space="0" w:color="auto"/>
              </w:divBdr>
            </w:div>
          </w:divsChild>
        </w:div>
        <w:div w:id="879323971">
          <w:marLeft w:val="0"/>
          <w:marRight w:val="0"/>
          <w:marTop w:val="0"/>
          <w:marBottom w:val="0"/>
          <w:divBdr>
            <w:top w:val="none" w:sz="0" w:space="0" w:color="auto"/>
            <w:left w:val="none" w:sz="0" w:space="0" w:color="auto"/>
            <w:bottom w:val="none" w:sz="0" w:space="0" w:color="auto"/>
            <w:right w:val="none" w:sz="0" w:space="0" w:color="auto"/>
          </w:divBdr>
          <w:divsChild>
            <w:div w:id="1222249878">
              <w:marLeft w:val="0"/>
              <w:marRight w:val="0"/>
              <w:marTop w:val="0"/>
              <w:marBottom w:val="0"/>
              <w:divBdr>
                <w:top w:val="none" w:sz="0" w:space="0" w:color="auto"/>
                <w:left w:val="none" w:sz="0" w:space="0" w:color="auto"/>
                <w:bottom w:val="none" w:sz="0" w:space="0" w:color="auto"/>
                <w:right w:val="none" w:sz="0" w:space="0" w:color="auto"/>
              </w:divBdr>
            </w:div>
          </w:divsChild>
        </w:div>
        <w:div w:id="1362051085">
          <w:marLeft w:val="0"/>
          <w:marRight w:val="0"/>
          <w:marTop w:val="0"/>
          <w:marBottom w:val="0"/>
          <w:divBdr>
            <w:top w:val="none" w:sz="0" w:space="0" w:color="auto"/>
            <w:left w:val="none" w:sz="0" w:space="0" w:color="auto"/>
            <w:bottom w:val="none" w:sz="0" w:space="0" w:color="auto"/>
            <w:right w:val="none" w:sz="0" w:space="0" w:color="auto"/>
          </w:divBdr>
          <w:divsChild>
            <w:div w:id="1605723892">
              <w:marLeft w:val="0"/>
              <w:marRight w:val="0"/>
              <w:marTop w:val="0"/>
              <w:marBottom w:val="0"/>
              <w:divBdr>
                <w:top w:val="none" w:sz="0" w:space="0" w:color="auto"/>
                <w:left w:val="none" w:sz="0" w:space="0" w:color="auto"/>
                <w:bottom w:val="none" w:sz="0" w:space="0" w:color="auto"/>
                <w:right w:val="none" w:sz="0" w:space="0" w:color="auto"/>
              </w:divBdr>
            </w:div>
          </w:divsChild>
        </w:div>
        <w:div w:id="1380664686">
          <w:marLeft w:val="0"/>
          <w:marRight w:val="0"/>
          <w:marTop w:val="0"/>
          <w:marBottom w:val="0"/>
          <w:divBdr>
            <w:top w:val="none" w:sz="0" w:space="0" w:color="auto"/>
            <w:left w:val="none" w:sz="0" w:space="0" w:color="auto"/>
            <w:bottom w:val="none" w:sz="0" w:space="0" w:color="auto"/>
            <w:right w:val="none" w:sz="0" w:space="0" w:color="auto"/>
          </w:divBdr>
          <w:divsChild>
            <w:div w:id="575629538">
              <w:marLeft w:val="0"/>
              <w:marRight w:val="0"/>
              <w:marTop w:val="0"/>
              <w:marBottom w:val="0"/>
              <w:divBdr>
                <w:top w:val="none" w:sz="0" w:space="0" w:color="auto"/>
                <w:left w:val="none" w:sz="0" w:space="0" w:color="auto"/>
                <w:bottom w:val="none" w:sz="0" w:space="0" w:color="auto"/>
                <w:right w:val="none" w:sz="0" w:space="0" w:color="auto"/>
              </w:divBdr>
            </w:div>
            <w:div w:id="735977299">
              <w:marLeft w:val="0"/>
              <w:marRight w:val="0"/>
              <w:marTop w:val="0"/>
              <w:marBottom w:val="0"/>
              <w:divBdr>
                <w:top w:val="none" w:sz="0" w:space="0" w:color="auto"/>
                <w:left w:val="none" w:sz="0" w:space="0" w:color="auto"/>
                <w:bottom w:val="none" w:sz="0" w:space="0" w:color="auto"/>
                <w:right w:val="none" w:sz="0" w:space="0" w:color="auto"/>
              </w:divBdr>
            </w:div>
            <w:div w:id="915212639">
              <w:marLeft w:val="0"/>
              <w:marRight w:val="0"/>
              <w:marTop w:val="0"/>
              <w:marBottom w:val="0"/>
              <w:divBdr>
                <w:top w:val="none" w:sz="0" w:space="0" w:color="auto"/>
                <w:left w:val="none" w:sz="0" w:space="0" w:color="auto"/>
                <w:bottom w:val="none" w:sz="0" w:space="0" w:color="auto"/>
                <w:right w:val="none" w:sz="0" w:space="0" w:color="auto"/>
              </w:divBdr>
            </w:div>
          </w:divsChild>
        </w:div>
        <w:div w:id="1398092023">
          <w:marLeft w:val="0"/>
          <w:marRight w:val="0"/>
          <w:marTop w:val="0"/>
          <w:marBottom w:val="0"/>
          <w:divBdr>
            <w:top w:val="none" w:sz="0" w:space="0" w:color="auto"/>
            <w:left w:val="none" w:sz="0" w:space="0" w:color="auto"/>
            <w:bottom w:val="none" w:sz="0" w:space="0" w:color="auto"/>
            <w:right w:val="none" w:sz="0" w:space="0" w:color="auto"/>
          </w:divBdr>
          <w:divsChild>
            <w:div w:id="877085362">
              <w:marLeft w:val="0"/>
              <w:marRight w:val="0"/>
              <w:marTop w:val="0"/>
              <w:marBottom w:val="0"/>
              <w:divBdr>
                <w:top w:val="none" w:sz="0" w:space="0" w:color="auto"/>
                <w:left w:val="none" w:sz="0" w:space="0" w:color="auto"/>
                <w:bottom w:val="none" w:sz="0" w:space="0" w:color="auto"/>
                <w:right w:val="none" w:sz="0" w:space="0" w:color="auto"/>
              </w:divBdr>
            </w:div>
          </w:divsChild>
        </w:div>
        <w:div w:id="1401515027">
          <w:marLeft w:val="0"/>
          <w:marRight w:val="0"/>
          <w:marTop w:val="0"/>
          <w:marBottom w:val="0"/>
          <w:divBdr>
            <w:top w:val="none" w:sz="0" w:space="0" w:color="auto"/>
            <w:left w:val="none" w:sz="0" w:space="0" w:color="auto"/>
            <w:bottom w:val="none" w:sz="0" w:space="0" w:color="auto"/>
            <w:right w:val="none" w:sz="0" w:space="0" w:color="auto"/>
          </w:divBdr>
          <w:divsChild>
            <w:div w:id="1483885969">
              <w:marLeft w:val="0"/>
              <w:marRight w:val="0"/>
              <w:marTop w:val="0"/>
              <w:marBottom w:val="0"/>
              <w:divBdr>
                <w:top w:val="none" w:sz="0" w:space="0" w:color="auto"/>
                <w:left w:val="none" w:sz="0" w:space="0" w:color="auto"/>
                <w:bottom w:val="none" w:sz="0" w:space="0" w:color="auto"/>
                <w:right w:val="none" w:sz="0" w:space="0" w:color="auto"/>
              </w:divBdr>
            </w:div>
          </w:divsChild>
        </w:div>
        <w:div w:id="1517425581">
          <w:marLeft w:val="0"/>
          <w:marRight w:val="0"/>
          <w:marTop w:val="0"/>
          <w:marBottom w:val="0"/>
          <w:divBdr>
            <w:top w:val="none" w:sz="0" w:space="0" w:color="auto"/>
            <w:left w:val="none" w:sz="0" w:space="0" w:color="auto"/>
            <w:bottom w:val="none" w:sz="0" w:space="0" w:color="auto"/>
            <w:right w:val="none" w:sz="0" w:space="0" w:color="auto"/>
          </w:divBdr>
          <w:divsChild>
            <w:div w:id="1565333912">
              <w:marLeft w:val="0"/>
              <w:marRight w:val="0"/>
              <w:marTop w:val="0"/>
              <w:marBottom w:val="0"/>
              <w:divBdr>
                <w:top w:val="none" w:sz="0" w:space="0" w:color="auto"/>
                <w:left w:val="none" w:sz="0" w:space="0" w:color="auto"/>
                <w:bottom w:val="none" w:sz="0" w:space="0" w:color="auto"/>
                <w:right w:val="none" w:sz="0" w:space="0" w:color="auto"/>
              </w:divBdr>
            </w:div>
          </w:divsChild>
        </w:div>
        <w:div w:id="1630697280">
          <w:marLeft w:val="0"/>
          <w:marRight w:val="0"/>
          <w:marTop w:val="0"/>
          <w:marBottom w:val="0"/>
          <w:divBdr>
            <w:top w:val="none" w:sz="0" w:space="0" w:color="auto"/>
            <w:left w:val="none" w:sz="0" w:space="0" w:color="auto"/>
            <w:bottom w:val="none" w:sz="0" w:space="0" w:color="auto"/>
            <w:right w:val="none" w:sz="0" w:space="0" w:color="auto"/>
          </w:divBdr>
          <w:divsChild>
            <w:div w:id="1295791564">
              <w:marLeft w:val="0"/>
              <w:marRight w:val="0"/>
              <w:marTop w:val="0"/>
              <w:marBottom w:val="0"/>
              <w:divBdr>
                <w:top w:val="none" w:sz="0" w:space="0" w:color="auto"/>
                <w:left w:val="none" w:sz="0" w:space="0" w:color="auto"/>
                <w:bottom w:val="none" w:sz="0" w:space="0" w:color="auto"/>
                <w:right w:val="none" w:sz="0" w:space="0" w:color="auto"/>
              </w:divBdr>
            </w:div>
          </w:divsChild>
        </w:div>
        <w:div w:id="1790934891">
          <w:marLeft w:val="0"/>
          <w:marRight w:val="0"/>
          <w:marTop w:val="0"/>
          <w:marBottom w:val="0"/>
          <w:divBdr>
            <w:top w:val="none" w:sz="0" w:space="0" w:color="auto"/>
            <w:left w:val="none" w:sz="0" w:space="0" w:color="auto"/>
            <w:bottom w:val="none" w:sz="0" w:space="0" w:color="auto"/>
            <w:right w:val="none" w:sz="0" w:space="0" w:color="auto"/>
          </w:divBdr>
          <w:divsChild>
            <w:div w:id="465515079">
              <w:marLeft w:val="0"/>
              <w:marRight w:val="0"/>
              <w:marTop w:val="0"/>
              <w:marBottom w:val="0"/>
              <w:divBdr>
                <w:top w:val="none" w:sz="0" w:space="0" w:color="auto"/>
                <w:left w:val="none" w:sz="0" w:space="0" w:color="auto"/>
                <w:bottom w:val="none" w:sz="0" w:space="0" w:color="auto"/>
                <w:right w:val="none" w:sz="0" w:space="0" w:color="auto"/>
              </w:divBdr>
            </w:div>
          </w:divsChild>
        </w:div>
        <w:div w:id="1838613656">
          <w:marLeft w:val="0"/>
          <w:marRight w:val="0"/>
          <w:marTop w:val="0"/>
          <w:marBottom w:val="0"/>
          <w:divBdr>
            <w:top w:val="none" w:sz="0" w:space="0" w:color="auto"/>
            <w:left w:val="none" w:sz="0" w:space="0" w:color="auto"/>
            <w:bottom w:val="none" w:sz="0" w:space="0" w:color="auto"/>
            <w:right w:val="none" w:sz="0" w:space="0" w:color="auto"/>
          </w:divBdr>
          <w:divsChild>
            <w:div w:id="1695382272">
              <w:marLeft w:val="0"/>
              <w:marRight w:val="0"/>
              <w:marTop w:val="0"/>
              <w:marBottom w:val="0"/>
              <w:divBdr>
                <w:top w:val="none" w:sz="0" w:space="0" w:color="auto"/>
                <w:left w:val="none" w:sz="0" w:space="0" w:color="auto"/>
                <w:bottom w:val="none" w:sz="0" w:space="0" w:color="auto"/>
                <w:right w:val="none" w:sz="0" w:space="0" w:color="auto"/>
              </w:divBdr>
            </w:div>
          </w:divsChild>
        </w:div>
        <w:div w:id="1847089129">
          <w:marLeft w:val="0"/>
          <w:marRight w:val="0"/>
          <w:marTop w:val="0"/>
          <w:marBottom w:val="0"/>
          <w:divBdr>
            <w:top w:val="none" w:sz="0" w:space="0" w:color="auto"/>
            <w:left w:val="none" w:sz="0" w:space="0" w:color="auto"/>
            <w:bottom w:val="none" w:sz="0" w:space="0" w:color="auto"/>
            <w:right w:val="none" w:sz="0" w:space="0" w:color="auto"/>
          </w:divBdr>
          <w:divsChild>
            <w:div w:id="1627468646">
              <w:marLeft w:val="0"/>
              <w:marRight w:val="0"/>
              <w:marTop w:val="0"/>
              <w:marBottom w:val="0"/>
              <w:divBdr>
                <w:top w:val="none" w:sz="0" w:space="0" w:color="auto"/>
                <w:left w:val="none" w:sz="0" w:space="0" w:color="auto"/>
                <w:bottom w:val="none" w:sz="0" w:space="0" w:color="auto"/>
                <w:right w:val="none" w:sz="0" w:space="0" w:color="auto"/>
              </w:divBdr>
            </w:div>
          </w:divsChild>
        </w:div>
        <w:div w:id="2129351118">
          <w:marLeft w:val="0"/>
          <w:marRight w:val="0"/>
          <w:marTop w:val="0"/>
          <w:marBottom w:val="0"/>
          <w:divBdr>
            <w:top w:val="none" w:sz="0" w:space="0" w:color="auto"/>
            <w:left w:val="none" w:sz="0" w:space="0" w:color="auto"/>
            <w:bottom w:val="none" w:sz="0" w:space="0" w:color="auto"/>
            <w:right w:val="none" w:sz="0" w:space="0" w:color="auto"/>
          </w:divBdr>
          <w:divsChild>
            <w:div w:id="17114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0619">
      <w:bodyDiv w:val="1"/>
      <w:marLeft w:val="0"/>
      <w:marRight w:val="0"/>
      <w:marTop w:val="0"/>
      <w:marBottom w:val="0"/>
      <w:divBdr>
        <w:top w:val="none" w:sz="0" w:space="0" w:color="auto"/>
        <w:left w:val="none" w:sz="0" w:space="0" w:color="auto"/>
        <w:bottom w:val="none" w:sz="0" w:space="0" w:color="auto"/>
        <w:right w:val="none" w:sz="0" w:space="0" w:color="auto"/>
      </w:divBdr>
      <w:divsChild>
        <w:div w:id="290980877">
          <w:marLeft w:val="0"/>
          <w:marRight w:val="0"/>
          <w:marTop w:val="0"/>
          <w:marBottom w:val="0"/>
          <w:divBdr>
            <w:top w:val="none" w:sz="0" w:space="0" w:color="auto"/>
            <w:left w:val="none" w:sz="0" w:space="0" w:color="auto"/>
            <w:bottom w:val="none" w:sz="0" w:space="0" w:color="auto"/>
            <w:right w:val="none" w:sz="0" w:space="0" w:color="auto"/>
          </w:divBdr>
          <w:divsChild>
            <w:div w:id="348531237">
              <w:marLeft w:val="0"/>
              <w:marRight w:val="0"/>
              <w:marTop w:val="0"/>
              <w:marBottom w:val="0"/>
              <w:divBdr>
                <w:top w:val="none" w:sz="0" w:space="0" w:color="auto"/>
                <w:left w:val="none" w:sz="0" w:space="0" w:color="auto"/>
                <w:bottom w:val="none" w:sz="0" w:space="0" w:color="auto"/>
                <w:right w:val="none" w:sz="0" w:space="0" w:color="auto"/>
              </w:divBdr>
            </w:div>
            <w:div w:id="423841965">
              <w:marLeft w:val="0"/>
              <w:marRight w:val="0"/>
              <w:marTop w:val="0"/>
              <w:marBottom w:val="0"/>
              <w:divBdr>
                <w:top w:val="none" w:sz="0" w:space="0" w:color="auto"/>
                <w:left w:val="none" w:sz="0" w:space="0" w:color="auto"/>
                <w:bottom w:val="none" w:sz="0" w:space="0" w:color="auto"/>
                <w:right w:val="none" w:sz="0" w:space="0" w:color="auto"/>
              </w:divBdr>
            </w:div>
            <w:div w:id="472480270">
              <w:marLeft w:val="0"/>
              <w:marRight w:val="0"/>
              <w:marTop w:val="0"/>
              <w:marBottom w:val="0"/>
              <w:divBdr>
                <w:top w:val="none" w:sz="0" w:space="0" w:color="auto"/>
                <w:left w:val="none" w:sz="0" w:space="0" w:color="auto"/>
                <w:bottom w:val="none" w:sz="0" w:space="0" w:color="auto"/>
                <w:right w:val="none" w:sz="0" w:space="0" w:color="auto"/>
              </w:divBdr>
            </w:div>
            <w:div w:id="588586291">
              <w:marLeft w:val="0"/>
              <w:marRight w:val="0"/>
              <w:marTop w:val="0"/>
              <w:marBottom w:val="0"/>
              <w:divBdr>
                <w:top w:val="none" w:sz="0" w:space="0" w:color="auto"/>
                <w:left w:val="none" w:sz="0" w:space="0" w:color="auto"/>
                <w:bottom w:val="none" w:sz="0" w:space="0" w:color="auto"/>
                <w:right w:val="none" w:sz="0" w:space="0" w:color="auto"/>
              </w:divBdr>
            </w:div>
            <w:div w:id="688800785">
              <w:marLeft w:val="0"/>
              <w:marRight w:val="0"/>
              <w:marTop w:val="0"/>
              <w:marBottom w:val="0"/>
              <w:divBdr>
                <w:top w:val="none" w:sz="0" w:space="0" w:color="auto"/>
                <w:left w:val="none" w:sz="0" w:space="0" w:color="auto"/>
                <w:bottom w:val="none" w:sz="0" w:space="0" w:color="auto"/>
                <w:right w:val="none" w:sz="0" w:space="0" w:color="auto"/>
              </w:divBdr>
            </w:div>
            <w:div w:id="722026174">
              <w:marLeft w:val="0"/>
              <w:marRight w:val="0"/>
              <w:marTop w:val="0"/>
              <w:marBottom w:val="0"/>
              <w:divBdr>
                <w:top w:val="none" w:sz="0" w:space="0" w:color="auto"/>
                <w:left w:val="none" w:sz="0" w:space="0" w:color="auto"/>
                <w:bottom w:val="none" w:sz="0" w:space="0" w:color="auto"/>
                <w:right w:val="none" w:sz="0" w:space="0" w:color="auto"/>
              </w:divBdr>
            </w:div>
            <w:div w:id="779452341">
              <w:marLeft w:val="0"/>
              <w:marRight w:val="0"/>
              <w:marTop w:val="0"/>
              <w:marBottom w:val="0"/>
              <w:divBdr>
                <w:top w:val="none" w:sz="0" w:space="0" w:color="auto"/>
                <w:left w:val="none" w:sz="0" w:space="0" w:color="auto"/>
                <w:bottom w:val="none" w:sz="0" w:space="0" w:color="auto"/>
                <w:right w:val="none" w:sz="0" w:space="0" w:color="auto"/>
              </w:divBdr>
            </w:div>
            <w:div w:id="1367757309">
              <w:marLeft w:val="0"/>
              <w:marRight w:val="0"/>
              <w:marTop w:val="0"/>
              <w:marBottom w:val="0"/>
              <w:divBdr>
                <w:top w:val="none" w:sz="0" w:space="0" w:color="auto"/>
                <w:left w:val="none" w:sz="0" w:space="0" w:color="auto"/>
                <w:bottom w:val="none" w:sz="0" w:space="0" w:color="auto"/>
                <w:right w:val="none" w:sz="0" w:space="0" w:color="auto"/>
              </w:divBdr>
            </w:div>
            <w:div w:id="1480659257">
              <w:marLeft w:val="0"/>
              <w:marRight w:val="0"/>
              <w:marTop w:val="0"/>
              <w:marBottom w:val="0"/>
              <w:divBdr>
                <w:top w:val="none" w:sz="0" w:space="0" w:color="auto"/>
                <w:left w:val="none" w:sz="0" w:space="0" w:color="auto"/>
                <w:bottom w:val="none" w:sz="0" w:space="0" w:color="auto"/>
                <w:right w:val="none" w:sz="0" w:space="0" w:color="auto"/>
              </w:divBdr>
            </w:div>
            <w:div w:id="1636334571">
              <w:marLeft w:val="0"/>
              <w:marRight w:val="0"/>
              <w:marTop w:val="0"/>
              <w:marBottom w:val="0"/>
              <w:divBdr>
                <w:top w:val="none" w:sz="0" w:space="0" w:color="auto"/>
                <w:left w:val="none" w:sz="0" w:space="0" w:color="auto"/>
                <w:bottom w:val="none" w:sz="0" w:space="0" w:color="auto"/>
                <w:right w:val="none" w:sz="0" w:space="0" w:color="auto"/>
              </w:divBdr>
            </w:div>
            <w:div w:id="1640065806">
              <w:marLeft w:val="0"/>
              <w:marRight w:val="0"/>
              <w:marTop w:val="0"/>
              <w:marBottom w:val="0"/>
              <w:divBdr>
                <w:top w:val="none" w:sz="0" w:space="0" w:color="auto"/>
                <w:left w:val="none" w:sz="0" w:space="0" w:color="auto"/>
                <w:bottom w:val="none" w:sz="0" w:space="0" w:color="auto"/>
                <w:right w:val="none" w:sz="0" w:space="0" w:color="auto"/>
              </w:divBdr>
            </w:div>
            <w:div w:id="1762991958">
              <w:marLeft w:val="0"/>
              <w:marRight w:val="0"/>
              <w:marTop w:val="0"/>
              <w:marBottom w:val="0"/>
              <w:divBdr>
                <w:top w:val="none" w:sz="0" w:space="0" w:color="auto"/>
                <w:left w:val="none" w:sz="0" w:space="0" w:color="auto"/>
                <w:bottom w:val="none" w:sz="0" w:space="0" w:color="auto"/>
                <w:right w:val="none" w:sz="0" w:space="0" w:color="auto"/>
              </w:divBdr>
            </w:div>
            <w:div w:id="1822115439">
              <w:marLeft w:val="0"/>
              <w:marRight w:val="0"/>
              <w:marTop w:val="0"/>
              <w:marBottom w:val="0"/>
              <w:divBdr>
                <w:top w:val="none" w:sz="0" w:space="0" w:color="auto"/>
                <w:left w:val="none" w:sz="0" w:space="0" w:color="auto"/>
                <w:bottom w:val="none" w:sz="0" w:space="0" w:color="auto"/>
                <w:right w:val="none" w:sz="0" w:space="0" w:color="auto"/>
              </w:divBdr>
            </w:div>
            <w:div w:id="1927760878">
              <w:marLeft w:val="0"/>
              <w:marRight w:val="0"/>
              <w:marTop w:val="0"/>
              <w:marBottom w:val="0"/>
              <w:divBdr>
                <w:top w:val="none" w:sz="0" w:space="0" w:color="auto"/>
                <w:left w:val="none" w:sz="0" w:space="0" w:color="auto"/>
                <w:bottom w:val="none" w:sz="0" w:space="0" w:color="auto"/>
                <w:right w:val="none" w:sz="0" w:space="0" w:color="auto"/>
              </w:divBdr>
            </w:div>
            <w:div w:id="1937861426">
              <w:marLeft w:val="0"/>
              <w:marRight w:val="0"/>
              <w:marTop w:val="0"/>
              <w:marBottom w:val="0"/>
              <w:divBdr>
                <w:top w:val="none" w:sz="0" w:space="0" w:color="auto"/>
                <w:left w:val="none" w:sz="0" w:space="0" w:color="auto"/>
                <w:bottom w:val="none" w:sz="0" w:space="0" w:color="auto"/>
                <w:right w:val="none" w:sz="0" w:space="0" w:color="auto"/>
              </w:divBdr>
            </w:div>
            <w:div w:id="1963415915">
              <w:marLeft w:val="0"/>
              <w:marRight w:val="0"/>
              <w:marTop w:val="0"/>
              <w:marBottom w:val="0"/>
              <w:divBdr>
                <w:top w:val="none" w:sz="0" w:space="0" w:color="auto"/>
                <w:left w:val="none" w:sz="0" w:space="0" w:color="auto"/>
                <w:bottom w:val="none" w:sz="0" w:space="0" w:color="auto"/>
                <w:right w:val="none" w:sz="0" w:space="0" w:color="auto"/>
              </w:divBdr>
            </w:div>
            <w:div w:id="2009869943">
              <w:marLeft w:val="0"/>
              <w:marRight w:val="0"/>
              <w:marTop w:val="0"/>
              <w:marBottom w:val="0"/>
              <w:divBdr>
                <w:top w:val="none" w:sz="0" w:space="0" w:color="auto"/>
                <w:left w:val="none" w:sz="0" w:space="0" w:color="auto"/>
                <w:bottom w:val="none" w:sz="0" w:space="0" w:color="auto"/>
                <w:right w:val="none" w:sz="0" w:space="0" w:color="auto"/>
              </w:divBdr>
            </w:div>
            <w:div w:id="2092462361">
              <w:marLeft w:val="0"/>
              <w:marRight w:val="0"/>
              <w:marTop w:val="0"/>
              <w:marBottom w:val="0"/>
              <w:divBdr>
                <w:top w:val="none" w:sz="0" w:space="0" w:color="auto"/>
                <w:left w:val="none" w:sz="0" w:space="0" w:color="auto"/>
                <w:bottom w:val="none" w:sz="0" w:space="0" w:color="auto"/>
                <w:right w:val="none" w:sz="0" w:space="0" w:color="auto"/>
              </w:divBdr>
            </w:div>
          </w:divsChild>
        </w:div>
        <w:div w:id="638388734">
          <w:marLeft w:val="0"/>
          <w:marRight w:val="0"/>
          <w:marTop w:val="0"/>
          <w:marBottom w:val="0"/>
          <w:divBdr>
            <w:top w:val="none" w:sz="0" w:space="0" w:color="auto"/>
            <w:left w:val="none" w:sz="0" w:space="0" w:color="auto"/>
            <w:bottom w:val="none" w:sz="0" w:space="0" w:color="auto"/>
            <w:right w:val="none" w:sz="0" w:space="0" w:color="auto"/>
          </w:divBdr>
          <w:divsChild>
            <w:div w:id="1786539407">
              <w:marLeft w:val="-75"/>
              <w:marRight w:val="0"/>
              <w:marTop w:val="30"/>
              <w:marBottom w:val="30"/>
              <w:divBdr>
                <w:top w:val="none" w:sz="0" w:space="0" w:color="auto"/>
                <w:left w:val="none" w:sz="0" w:space="0" w:color="auto"/>
                <w:bottom w:val="none" w:sz="0" w:space="0" w:color="auto"/>
                <w:right w:val="none" w:sz="0" w:space="0" w:color="auto"/>
              </w:divBdr>
              <w:divsChild>
                <w:div w:id="255673336">
                  <w:marLeft w:val="0"/>
                  <w:marRight w:val="0"/>
                  <w:marTop w:val="0"/>
                  <w:marBottom w:val="0"/>
                  <w:divBdr>
                    <w:top w:val="none" w:sz="0" w:space="0" w:color="auto"/>
                    <w:left w:val="none" w:sz="0" w:space="0" w:color="auto"/>
                    <w:bottom w:val="none" w:sz="0" w:space="0" w:color="auto"/>
                    <w:right w:val="none" w:sz="0" w:space="0" w:color="auto"/>
                  </w:divBdr>
                  <w:divsChild>
                    <w:div w:id="569193943">
                      <w:marLeft w:val="0"/>
                      <w:marRight w:val="0"/>
                      <w:marTop w:val="0"/>
                      <w:marBottom w:val="0"/>
                      <w:divBdr>
                        <w:top w:val="none" w:sz="0" w:space="0" w:color="auto"/>
                        <w:left w:val="none" w:sz="0" w:space="0" w:color="auto"/>
                        <w:bottom w:val="none" w:sz="0" w:space="0" w:color="auto"/>
                        <w:right w:val="none" w:sz="0" w:space="0" w:color="auto"/>
                      </w:divBdr>
                    </w:div>
                  </w:divsChild>
                </w:div>
                <w:div w:id="275059977">
                  <w:marLeft w:val="0"/>
                  <w:marRight w:val="0"/>
                  <w:marTop w:val="0"/>
                  <w:marBottom w:val="0"/>
                  <w:divBdr>
                    <w:top w:val="none" w:sz="0" w:space="0" w:color="auto"/>
                    <w:left w:val="none" w:sz="0" w:space="0" w:color="auto"/>
                    <w:bottom w:val="none" w:sz="0" w:space="0" w:color="auto"/>
                    <w:right w:val="none" w:sz="0" w:space="0" w:color="auto"/>
                  </w:divBdr>
                  <w:divsChild>
                    <w:div w:id="1248540566">
                      <w:marLeft w:val="0"/>
                      <w:marRight w:val="0"/>
                      <w:marTop w:val="0"/>
                      <w:marBottom w:val="0"/>
                      <w:divBdr>
                        <w:top w:val="none" w:sz="0" w:space="0" w:color="auto"/>
                        <w:left w:val="none" w:sz="0" w:space="0" w:color="auto"/>
                        <w:bottom w:val="none" w:sz="0" w:space="0" w:color="auto"/>
                        <w:right w:val="none" w:sz="0" w:space="0" w:color="auto"/>
                      </w:divBdr>
                    </w:div>
                  </w:divsChild>
                </w:div>
                <w:div w:id="477192631">
                  <w:marLeft w:val="0"/>
                  <w:marRight w:val="0"/>
                  <w:marTop w:val="0"/>
                  <w:marBottom w:val="0"/>
                  <w:divBdr>
                    <w:top w:val="none" w:sz="0" w:space="0" w:color="auto"/>
                    <w:left w:val="none" w:sz="0" w:space="0" w:color="auto"/>
                    <w:bottom w:val="none" w:sz="0" w:space="0" w:color="auto"/>
                    <w:right w:val="none" w:sz="0" w:space="0" w:color="auto"/>
                  </w:divBdr>
                  <w:divsChild>
                    <w:div w:id="2088645199">
                      <w:marLeft w:val="0"/>
                      <w:marRight w:val="0"/>
                      <w:marTop w:val="0"/>
                      <w:marBottom w:val="0"/>
                      <w:divBdr>
                        <w:top w:val="none" w:sz="0" w:space="0" w:color="auto"/>
                        <w:left w:val="none" w:sz="0" w:space="0" w:color="auto"/>
                        <w:bottom w:val="none" w:sz="0" w:space="0" w:color="auto"/>
                        <w:right w:val="none" w:sz="0" w:space="0" w:color="auto"/>
                      </w:divBdr>
                    </w:div>
                  </w:divsChild>
                </w:div>
                <w:div w:id="845097563">
                  <w:marLeft w:val="0"/>
                  <w:marRight w:val="0"/>
                  <w:marTop w:val="0"/>
                  <w:marBottom w:val="0"/>
                  <w:divBdr>
                    <w:top w:val="none" w:sz="0" w:space="0" w:color="auto"/>
                    <w:left w:val="none" w:sz="0" w:space="0" w:color="auto"/>
                    <w:bottom w:val="none" w:sz="0" w:space="0" w:color="auto"/>
                    <w:right w:val="none" w:sz="0" w:space="0" w:color="auto"/>
                  </w:divBdr>
                  <w:divsChild>
                    <w:div w:id="797257466">
                      <w:marLeft w:val="0"/>
                      <w:marRight w:val="0"/>
                      <w:marTop w:val="0"/>
                      <w:marBottom w:val="0"/>
                      <w:divBdr>
                        <w:top w:val="none" w:sz="0" w:space="0" w:color="auto"/>
                        <w:left w:val="none" w:sz="0" w:space="0" w:color="auto"/>
                        <w:bottom w:val="none" w:sz="0" w:space="0" w:color="auto"/>
                        <w:right w:val="none" w:sz="0" w:space="0" w:color="auto"/>
                      </w:divBdr>
                    </w:div>
                  </w:divsChild>
                </w:div>
                <w:div w:id="977104453">
                  <w:marLeft w:val="0"/>
                  <w:marRight w:val="0"/>
                  <w:marTop w:val="0"/>
                  <w:marBottom w:val="0"/>
                  <w:divBdr>
                    <w:top w:val="none" w:sz="0" w:space="0" w:color="auto"/>
                    <w:left w:val="none" w:sz="0" w:space="0" w:color="auto"/>
                    <w:bottom w:val="none" w:sz="0" w:space="0" w:color="auto"/>
                    <w:right w:val="none" w:sz="0" w:space="0" w:color="auto"/>
                  </w:divBdr>
                  <w:divsChild>
                    <w:div w:id="450976179">
                      <w:marLeft w:val="0"/>
                      <w:marRight w:val="0"/>
                      <w:marTop w:val="0"/>
                      <w:marBottom w:val="0"/>
                      <w:divBdr>
                        <w:top w:val="none" w:sz="0" w:space="0" w:color="auto"/>
                        <w:left w:val="none" w:sz="0" w:space="0" w:color="auto"/>
                        <w:bottom w:val="none" w:sz="0" w:space="0" w:color="auto"/>
                        <w:right w:val="none" w:sz="0" w:space="0" w:color="auto"/>
                      </w:divBdr>
                    </w:div>
                  </w:divsChild>
                </w:div>
                <w:div w:id="1121650151">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 w:id="1737587467">
                  <w:marLeft w:val="0"/>
                  <w:marRight w:val="0"/>
                  <w:marTop w:val="0"/>
                  <w:marBottom w:val="0"/>
                  <w:divBdr>
                    <w:top w:val="none" w:sz="0" w:space="0" w:color="auto"/>
                    <w:left w:val="none" w:sz="0" w:space="0" w:color="auto"/>
                    <w:bottom w:val="none" w:sz="0" w:space="0" w:color="auto"/>
                    <w:right w:val="none" w:sz="0" w:space="0" w:color="auto"/>
                  </w:divBdr>
                  <w:divsChild>
                    <w:div w:id="474110391">
                      <w:marLeft w:val="0"/>
                      <w:marRight w:val="0"/>
                      <w:marTop w:val="0"/>
                      <w:marBottom w:val="0"/>
                      <w:divBdr>
                        <w:top w:val="none" w:sz="0" w:space="0" w:color="auto"/>
                        <w:left w:val="none" w:sz="0" w:space="0" w:color="auto"/>
                        <w:bottom w:val="none" w:sz="0" w:space="0" w:color="auto"/>
                        <w:right w:val="none" w:sz="0" w:space="0" w:color="auto"/>
                      </w:divBdr>
                    </w:div>
                  </w:divsChild>
                </w:div>
                <w:div w:id="2012174337">
                  <w:marLeft w:val="0"/>
                  <w:marRight w:val="0"/>
                  <w:marTop w:val="0"/>
                  <w:marBottom w:val="0"/>
                  <w:divBdr>
                    <w:top w:val="none" w:sz="0" w:space="0" w:color="auto"/>
                    <w:left w:val="none" w:sz="0" w:space="0" w:color="auto"/>
                    <w:bottom w:val="none" w:sz="0" w:space="0" w:color="auto"/>
                    <w:right w:val="none" w:sz="0" w:space="0" w:color="auto"/>
                  </w:divBdr>
                  <w:divsChild>
                    <w:div w:id="1514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05935">
          <w:marLeft w:val="0"/>
          <w:marRight w:val="0"/>
          <w:marTop w:val="0"/>
          <w:marBottom w:val="0"/>
          <w:divBdr>
            <w:top w:val="none" w:sz="0" w:space="0" w:color="auto"/>
            <w:left w:val="none" w:sz="0" w:space="0" w:color="auto"/>
            <w:bottom w:val="none" w:sz="0" w:space="0" w:color="auto"/>
            <w:right w:val="none" w:sz="0" w:space="0" w:color="auto"/>
          </w:divBdr>
          <w:divsChild>
            <w:div w:id="99183547">
              <w:marLeft w:val="0"/>
              <w:marRight w:val="0"/>
              <w:marTop w:val="0"/>
              <w:marBottom w:val="0"/>
              <w:divBdr>
                <w:top w:val="none" w:sz="0" w:space="0" w:color="auto"/>
                <w:left w:val="none" w:sz="0" w:space="0" w:color="auto"/>
                <w:bottom w:val="none" w:sz="0" w:space="0" w:color="auto"/>
                <w:right w:val="none" w:sz="0" w:space="0" w:color="auto"/>
              </w:divBdr>
            </w:div>
            <w:div w:id="568854578">
              <w:marLeft w:val="0"/>
              <w:marRight w:val="0"/>
              <w:marTop w:val="0"/>
              <w:marBottom w:val="0"/>
              <w:divBdr>
                <w:top w:val="none" w:sz="0" w:space="0" w:color="auto"/>
                <w:left w:val="none" w:sz="0" w:space="0" w:color="auto"/>
                <w:bottom w:val="none" w:sz="0" w:space="0" w:color="auto"/>
                <w:right w:val="none" w:sz="0" w:space="0" w:color="auto"/>
              </w:divBdr>
            </w:div>
            <w:div w:id="1737429835">
              <w:marLeft w:val="0"/>
              <w:marRight w:val="0"/>
              <w:marTop w:val="0"/>
              <w:marBottom w:val="0"/>
              <w:divBdr>
                <w:top w:val="none" w:sz="0" w:space="0" w:color="auto"/>
                <w:left w:val="none" w:sz="0" w:space="0" w:color="auto"/>
                <w:bottom w:val="none" w:sz="0" w:space="0" w:color="auto"/>
                <w:right w:val="none" w:sz="0" w:space="0" w:color="auto"/>
              </w:divBdr>
            </w:div>
          </w:divsChild>
        </w:div>
        <w:div w:id="1163013984">
          <w:marLeft w:val="0"/>
          <w:marRight w:val="0"/>
          <w:marTop w:val="0"/>
          <w:marBottom w:val="0"/>
          <w:divBdr>
            <w:top w:val="none" w:sz="0" w:space="0" w:color="auto"/>
            <w:left w:val="none" w:sz="0" w:space="0" w:color="auto"/>
            <w:bottom w:val="none" w:sz="0" w:space="0" w:color="auto"/>
            <w:right w:val="none" w:sz="0" w:space="0" w:color="auto"/>
          </w:divBdr>
          <w:divsChild>
            <w:div w:id="1739865427">
              <w:marLeft w:val="-75"/>
              <w:marRight w:val="0"/>
              <w:marTop w:val="30"/>
              <w:marBottom w:val="30"/>
              <w:divBdr>
                <w:top w:val="none" w:sz="0" w:space="0" w:color="auto"/>
                <w:left w:val="none" w:sz="0" w:space="0" w:color="auto"/>
                <w:bottom w:val="none" w:sz="0" w:space="0" w:color="auto"/>
                <w:right w:val="none" w:sz="0" w:space="0" w:color="auto"/>
              </w:divBdr>
              <w:divsChild>
                <w:div w:id="334384435">
                  <w:marLeft w:val="0"/>
                  <w:marRight w:val="0"/>
                  <w:marTop w:val="0"/>
                  <w:marBottom w:val="0"/>
                  <w:divBdr>
                    <w:top w:val="none" w:sz="0" w:space="0" w:color="auto"/>
                    <w:left w:val="none" w:sz="0" w:space="0" w:color="auto"/>
                    <w:bottom w:val="none" w:sz="0" w:space="0" w:color="auto"/>
                    <w:right w:val="none" w:sz="0" w:space="0" w:color="auto"/>
                  </w:divBdr>
                  <w:divsChild>
                    <w:div w:id="649871195">
                      <w:marLeft w:val="0"/>
                      <w:marRight w:val="0"/>
                      <w:marTop w:val="0"/>
                      <w:marBottom w:val="0"/>
                      <w:divBdr>
                        <w:top w:val="none" w:sz="0" w:space="0" w:color="auto"/>
                        <w:left w:val="none" w:sz="0" w:space="0" w:color="auto"/>
                        <w:bottom w:val="none" w:sz="0" w:space="0" w:color="auto"/>
                        <w:right w:val="none" w:sz="0" w:space="0" w:color="auto"/>
                      </w:divBdr>
                    </w:div>
                  </w:divsChild>
                </w:div>
                <w:div w:id="516233435">
                  <w:marLeft w:val="0"/>
                  <w:marRight w:val="0"/>
                  <w:marTop w:val="0"/>
                  <w:marBottom w:val="0"/>
                  <w:divBdr>
                    <w:top w:val="none" w:sz="0" w:space="0" w:color="auto"/>
                    <w:left w:val="none" w:sz="0" w:space="0" w:color="auto"/>
                    <w:bottom w:val="none" w:sz="0" w:space="0" w:color="auto"/>
                    <w:right w:val="none" w:sz="0" w:space="0" w:color="auto"/>
                  </w:divBdr>
                  <w:divsChild>
                    <w:div w:id="758603216">
                      <w:marLeft w:val="0"/>
                      <w:marRight w:val="0"/>
                      <w:marTop w:val="0"/>
                      <w:marBottom w:val="0"/>
                      <w:divBdr>
                        <w:top w:val="none" w:sz="0" w:space="0" w:color="auto"/>
                        <w:left w:val="none" w:sz="0" w:space="0" w:color="auto"/>
                        <w:bottom w:val="none" w:sz="0" w:space="0" w:color="auto"/>
                        <w:right w:val="none" w:sz="0" w:space="0" w:color="auto"/>
                      </w:divBdr>
                    </w:div>
                  </w:divsChild>
                </w:div>
                <w:div w:id="724529446">
                  <w:marLeft w:val="0"/>
                  <w:marRight w:val="0"/>
                  <w:marTop w:val="0"/>
                  <w:marBottom w:val="0"/>
                  <w:divBdr>
                    <w:top w:val="none" w:sz="0" w:space="0" w:color="auto"/>
                    <w:left w:val="none" w:sz="0" w:space="0" w:color="auto"/>
                    <w:bottom w:val="none" w:sz="0" w:space="0" w:color="auto"/>
                    <w:right w:val="none" w:sz="0" w:space="0" w:color="auto"/>
                  </w:divBdr>
                  <w:divsChild>
                    <w:div w:id="1752658553">
                      <w:marLeft w:val="0"/>
                      <w:marRight w:val="0"/>
                      <w:marTop w:val="0"/>
                      <w:marBottom w:val="0"/>
                      <w:divBdr>
                        <w:top w:val="none" w:sz="0" w:space="0" w:color="auto"/>
                        <w:left w:val="none" w:sz="0" w:space="0" w:color="auto"/>
                        <w:bottom w:val="none" w:sz="0" w:space="0" w:color="auto"/>
                        <w:right w:val="none" w:sz="0" w:space="0" w:color="auto"/>
                      </w:divBdr>
                    </w:div>
                  </w:divsChild>
                </w:div>
                <w:div w:id="847447431">
                  <w:marLeft w:val="0"/>
                  <w:marRight w:val="0"/>
                  <w:marTop w:val="0"/>
                  <w:marBottom w:val="0"/>
                  <w:divBdr>
                    <w:top w:val="none" w:sz="0" w:space="0" w:color="auto"/>
                    <w:left w:val="none" w:sz="0" w:space="0" w:color="auto"/>
                    <w:bottom w:val="none" w:sz="0" w:space="0" w:color="auto"/>
                    <w:right w:val="none" w:sz="0" w:space="0" w:color="auto"/>
                  </w:divBdr>
                  <w:divsChild>
                    <w:div w:id="2143039843">
                      <w:marLeft w:val="0"/>
                      <w:marRight w:val="0"/>
                      <w:marTop w:val="0"/>
                      <w:marBottom w:val="0"/>
                      <w:divBdr>
                        <w:top w:val="none" w:sz="0" w:space="0" w:color="auto"/>
                        <w:left w:val="none" w:sz="0" w:space="0" w:color="auto"/>
                        <w:bottom w:val="none" w:sz="0" w:space="0" w:color="auto"/>
                        <w:right w:val="none" w:sz="0" w:space="0" w:color="auto"/>
                      </w:divBdr>
                    </w:div>
                  </w:divsChild>
                </w:div>
                <w:div w:id="849366649">
                  <w:marLeft w:val="0"/>
                  <w:marRight w:val="0"/>
                  <w:marTop w:val="0"/>
                  <w:marBottom w:val="0"/>
                  <w:divBdr>
                    <w:top w:val="none" w:sz="0" w:space="0" w:color="auto"/>
                    <w:left w:val="none" w:sz="0" w:space="0" w:color="auto"/>
                    <w:bottom w:val="none" w:sz="0" w:space="0" w:color="auto"/>
                    <w:right w:val="none" w:sz="0" w:space="0" w:color="auto"/>
                  </w:divBdr>
                  <w:divsChild>
                    <w:div w:id="513958333">
                      <w:marLeft w:val="0"/>
                      <w:marRight w:val="0"/>
                      <w:marTop w:val="0"/>
                      <w:marBottom w:val="0"/>
                      <w:divBdr>
                        <w:top w:val="none" w:sz="0" w:space="0" w:color="auto"/>
                        <w:left w:val="none" w:sz="0" w:space="0" w:color="auto"/>
                        <w:bottom w:val="none" w:sz="0" w:space="0" w:color="auto"/>
                        <w:right w:val="none" w:sz="0" w:space="0" w:color="auto"/>
                      </w:divBdr>
                    </w:div>
                  </w:divsChild>
                </w:div>
                <w:div w:id="963660094">
                  <w:marLeft w:val="0"/>
                  <w:marRight w:val="0"/>
                  <w:marTop w:val="0"/>
                  <w:marBottom w:val="0"/>
                  <w:divBdr>
                    <w:top w:val="none" w:sz="0" w:space="0" w:color="auto"/>
                    <w:left w:val="none" w:sz="0" w:space="0" w:color="auto"/>
                    <w:bottom w:val="none" w:sz="0" w:space="0" w:color="auto"/>
                    <w:right w:val="none" w:sz="0" w:space="0" w:color="auto"/>
                  </w:divBdr>
                  <w:divsChild>
                    <w:div w:id="1972251739">
                      <w:marLeft w:val="0"/>
                      <w:marRight w:val="0"/>
                      <w:marTop w:val="0"/>
                      <w:marBottom w:val="0"/>
                      <w:divBdr>
                        <w:top w:val="none" w:sz="0" w:space="0" w:color="auto"/>
                        <w:left w:val="none" w:sz="0" w:space="0" w:color="auto"/>
                        <w:bottom w:val="none" w:sz="0" w:space="0" w:color="auto"/>
                        <w:right w:val="none" w:sz="0" w:space="0" w:color="auto"/>
                      </w:divBdr>
                    </w:div>
                  </w:divsChild>
                </w:div>
                <w:div w:id="1072697022">
                  <w:marLeft w:val="0"/>
                  <w:marRight w:val="0"/>
                  <w:marTop w:val="0"/>
                  <w:marBottom w:val="0"/>
                  <w:divBdr>
                    <w:top w:val="none" w:sz="0" w:space="0" w:color="auto"/>
                    <w:left w:val="none" w:sz="0" w:space="0" w:color="auto"/>
                    <w:bottom w:val="none" w:sz="0" w:space="0" w:color="auto"/>
                    <w:right w:val="none" w:sz="0" w:space="0" w:color="auto"/>
                  </w:divBdr>
                  <w:divsChild>
                    <w:div w:id="352414065">
                      <w:marLeft w:val="0"/>
                      <w:marRight w:val="0"/>
                      <w:marTop w:val="0"/>
                      <w:marBottom w:val="0"/>
                      <w:divBdr>
                        <w:top w:val="none" w:sz="0" w:space="0" w:color="auto"/>
                        <w:left w:val="none" w:sz="0" w:space="0" w:color="auto"/>
                        <w:bottom w:val="none" w:sz="0" w:space="0" w:color="auto"/>
                        <w:right w:val="none" w:sz="0" w:space="0" w:color="auto"/>
                      </w:divBdr>
                    </w:div>
                  </w:divsChild>
                </w:div>
                <w:div w:id="1398623494">
                  <w:marLeft w:val="0"/>
                  <w:marRight w:val="0"/>
                  <w:marTop w:val="0"/>
                  <w:marBottom w:val="0"/>
                  <w:divBdr>
                    <w:top w:val="none" w:sz="0" w:space="0" w:color="auto"/>
                    <w:left w:val="none" w:sz="0" w:space="0" w:color="auto"/>
                    <w:bottom w:val="none" w:sz="0" w:space="0" w:color="auto"/>
                    <w:right w:val="none" w:sz="0" w:space="0" w:color="auto"/>
                  </w:divBdr>
                  <w:divsChild>
                    <w:div w:id="1126462524">
                      <w:marLeft w:val="0"/>
                      <w:marRight w:val="0"/>
                      <w:marTop w:val="0"/>
                      <w:marBottom w:val="0"/>
                      <w:divBdr>
                        <w:top w:val="none" w:sz="0" w:space="0" w:color="auto"/>
                        <w:left w:val="none" w:sz="0" w:space="0" w:color="auto"/>
                        <w:bottom w:val="none" w:sz="0" w:space="0" w:color="auto"/>
                        <w:right w:val="none" w:sz="0" w:space="0" w:color="auto"/>
                      </w:divBdr>
                    </w:div>
                  </w:divsChild>
                </w:div>
                <w:div w:id="1465195086">
                  <w:marLeft w:val="0"/>
                  <w:marRight w:val="0"/>
                  <w:marTop w:val="0"/>
                  <w:marBottom w:val="0"/>
                  <w:divBdr>
                    <w:top w:val="none" w:sz="0" w:space="0" w:color="auto"/>
                    <w:left w:val="none" w:sz="0" w:space="0" w:color="auto"/>
                    <w:bottom w:val="none" w:sz="0" w:space="0" w:color="auto"/>
                    <w:right w:val="none" w:sz="0" w:space="0" w:color="auto"/>
                  </w:divBdr>
                  <w:divsChild>
                    <w:div w:id="1857229417">
                      <w:marLeft w:val="0"/>
                      <w:marRight w:val="0"/>
                      <w:marTop w:val="0"/>
                      <w:marBottom w:val="0"/>
                      <w:divBdr>
                        <w:top w:val="none" w:sz="0" w:space="0" w:color="auto"/>
                        <w:left w:val="none" w:sz="0" w:space="0" w:color="auto"/>
                        <w:bottom w:val="none" w:sz="0" w:space="0" w:color="auto"/>
                        <w:right w:val="none" w:sz="0" w:space="0" w:color="auto"/>
                      </w:divBdr>
                    </w:div>
                  </w:divsChild>
                </w:div>
                <w:div w:id="1562979542">
                  <w:marLeft w:val="0"/>
                  <w:marRight w:val="0"/>
                  <w:marTop w:val="0"/>
                  <w:marBottom w:val="0"/>
                  <w:divBdr>
                    <w:top w:val="none" w:sz="0" w:space="0" w:color="auto"/>
                    <w:left w:val="none" w:sz="0" w:space="0" w:color="auto"/>
                    <w:bottom w:val="none" w:sz="0" w:space="0" w:color="auto"/>
                    <w:right w:val="none" w:sz="0" w:space="0" w:color="auto"/>
                  </w:divBdr>
                  <w:divsChild>
                    <w:div w:id="1821922142">
                      <w:marLeft w:val="0"/>
                      <w:marRight w:val="0"/>
                      <w:marTop w:val="0"/>
                      <w:marBottom w:val="0"/>
                      <w:divBdr>
                        <w:top w:val="none" w:sz="0" w:space="0" w:color="auto"/>
                        <w:left w:val="none" w:sz="0" w:space="0" w:color="auto"/>
                        <w:bottom w:val="none" w:sz="0" w:space="0" w:color="auto"/>
                        <w:right w:val="none" w:sz="0" w:space="0" w:color="auto"/>
                      </w:divBdr>
                    </w:div>
                  </w:divsChild>
                </w:div>
                <w:div w:id="1588266239">
                  <w:marLeft w:val="0"/>
                  <w:marRight w:val="0"/>
                  <w:marTop w:val="0"/>
                  <w:marBottom w:val="0"/>
                  <w:divBdr>
                    <w:top w:val="none" w:sz="0" w:space="0" w:color="auto"/>
                    <w:left w:val="none" w:sz="0" w:space="0" w:color="auto"/>
                    <w:bottom w:val="none" w:sz="0" w:space="0" w:color="auto"/>
                    <w:right w:val="none" w:sz="0" w:space="0" w:color="auto"/>
                  </w:divBdr>
                  <w:divsChild>
                    <w:div w:id="164052448">
                      <w:marLeft w:val="0"/>
                      <w:marRight w:val="0"/>
                      <w:marTop w:val="0"/>
                      <w:marBottom w:val="0"/>
                      <w:divBdr>
                        <w:top w:val="none" w:sz="0" w:space="0" w:color="auto"/>
                        <w:left w:val="none" w:sz="0" w:space="0" w:color="auto"/>
                        <w:bottom w:val="none" w:sz="0" w:space="0" w:color="auto"/>
                        <w:right w:val="none" w:sz="0" w:space="0" w:color="auto"/>
                      </w:divBdr>
                    </w:div>
                  </w:divsChild>
                </w:div>
                <w:div w:id="1605842407">
                  <w:marLeft w:val="0"/>
                  <w:marRight w:val="0"/>
                  <w:marTop w:val="0"/>
                  <w:marBottom w:val="0"/>
                  <w:divBdr>
                    <w:top w:val="none" w:sz="0" w:space="0" w:color="auto"/>
                    <w:left w:val="none" w:sz="0" w:space="0" w:color="auto"/>
                    <w:bottom w:val="none" w:sz="0" w:space="0" w:color="auto"/>
                    <w:right w:val="none" w:sz="0" w:space="0" w:color="auto"/>
                  </w:divBdr>
                  <w:divsChild>
                    <w:div w:id="336268528">
                      <w:marLeft w:val="0"/>
                      <w:marRight w:val="0"/>
                      <w:marTop w:val="0"/>
                      <w:marBottom w:val="0"/>
                      <w:divBdr>
                        <w:top w:val="none" w:sz="0" w:space="0" w:color="auto"/>
                        <w:left w:val="none" w:sz="0" w:space="0" w:color="auto"/>
                        <w:bottom w:val="none" w:sz="0" w:space="0" w:color="auto"/>
                        <w:right w:val="none" w:sz="0" w:space="0" w:color="auto"/>
                      </w:divBdr>
                    </w:div>
                  </w:divsChild>
                </w:div>
                <w:div w:id="1772162692">
                  <w:marLeft w:val="0"/>
                  <w:marRight w:val="0"/>
                  <w:marTop w:val="0"/>
                  <w:marBottom w:val="0"/>
                  <w:divBdr>
                    <w:top w:val="none" w:sz="0" w:space="0" w:color="auto"/>
                    <w:left w:val="none" w:sz="0" w:space="0" w:color="auto"/>
                    <w:bottom w:val="none" w:sz="0" w:space="0" w:color="auto"/>
                    <w:right w:val="none" w:sz="0" w:space="0" w:color="auto"/>
                  </w:divBdr>
                  <w:divsChild>
                    <w:div w:id="356279699">
                      <w:marLeft w:val="0"/>
                      <w:marRight w:val="0"/>
                      <w:marTop w:val="0"/>
                      <w:marBottom w:val="0"/>
                      <w:divBdr>
                        <w:top w:val="none" w:sz="0" w:space="0" w:color="auto"/>
                        <w:left w:val="none" w:sz="0" w:space="0" w:color="auto"/>
                        <w:bottom w:val="none" w:sz="0" w:space="0" w:color="auto"/>
                        <w:right w:val="none" w:sz="0" w:space="0" w:color="auto"/>
                      </w:divBdr>
                    </w:div>
                  </w:divsChild>
                </w:div>
                <w:div w:id="1834906031">
                  <w:marLeft w:val="0"/>
                  <w:marRight w:val="0"/>
                  <w:marTop w:val="0"/>
                  <w:marBottom w:val="0"/>
                  <w:divBdr>
                    <w:top w:val="none" w:sz="0" w:space="0" w:color="auto"/>
                    <w:left w:val="none" w:sz="0" w:space="0" w:color="auto"/>
                    <w:bottom w:val="none" w:sz="0" w:space="0" w:color="auto"/>
                    <w:right w:val="none" w:sz="0" w:space="0" w:color="auto"/>
                  </w:divBdr>
                  <w:divsChild>
                    <w:div w:id="6949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09692">
          <w:marLeft w:val="0"/>
          <w:marRight w:val="0"/>
          <w:marTop w:val="0"/>
          <w:marBottom w:val="0"/>
          <w:divBdr>
            <w:top w:val="none" w:sz="0" w:space="0" w:color="auto"/>
            <w:left w:val="none" w:sz="0" w:space="0" w:color="auto"/>
            <w:bottom w:val="none" w:sz="0" w:space="0" w:color="auto"/>
            <w:right w:val="none" w:sz="0" w:space="0" w:color="auto"/>
          </w:divBdr>
          <w:divsChild>
            <w:div w:id="182985364">
              <w:marLeft w:val="0"/>
              <w:marRight w:val="0"/>
              <w:marTop w:val="0"/>
              <w:marBottom w:val="0"/>
              <w:divBdr>
                <w:top w:val="none" w:sz="0" w:space="0" w:color="auto"/>
                <w:left w:val="none" w:sz="0" w:space="0" w:color="auto"/>
                <w:bottom w:val="none" w:sz="0" w:space="0" w:color="auto"/>
                <w:right w:val="none" w:sz="0" w:space="0" w:color="auto"/>
              </w:divBdr>
            </w:div>
            <w:div w:id="582372964">
              <w:marLeft w:val="0"/>
              <w:marRight w:val="0"/>
              <w:marTop w:val="0"/>
              <w:marBottom w:val="0"/>
              <w:divBdr>
                <w:top w:val="none" w:sz="0" w:space="0" w:color="auto"/>
                <w:left w:val="none" w:sz="0" w:space="0" w:color="auto"/>
                <w:bottom w:val="none" w:sz="0" w:space="0" w:color="auto"/>
                <w:right w:val="none" w:sz="0" w:space="0" w:color="auto"/>
              </w:divBdr>
            </w:div>
            <w:div w:id="946162119">
              <w:marLeft w:val="0"/>
              <w:marRight w:val="0"/>
              <w:marTop w:val="0"/>
              <w:marBottom w:val="0"/>
              <w:divBdr>
                <w:top w:val="none" w:sz="0" w:space="0" w:color="auto"/>
                <w:left w:val="none" w:sz="0" w:space="0" w:color="auto"/>
                <w:bottom w:val="none" w:sz="0" w:space="0" w:color="auto"/>
                <w:right w:val="none" w:sz="0" w:space="0" w:color="auto"/>
              </w:divBdr>
            </w:div>
            <w:div w:id="1212422642">
              <w:marLeft w:val="0"/>
              <w:marRight w:val="0"/>
              <w:marTop w:val="0"/>
              <w:marBottom w:val="0"/>
              <w:divBdr>
                <w:top w:val="none" w:sz="0" w:space="0" w:color="auto"/>
                <w:left w:val="none" w:sz="0" w:space="0" w:color="auto"/>
                <w:bottom w:val="none" w:sz="0" w:space="0" w:color="auto"/>
                <w:right w:val="none" w:sz="0" w:space="0" w:color="auto"/>
              </w:divBdr>
            </w:div>
            <w:div w:id="1648361647">
              <w:marLeft w:val="0"/>
              <w:marRight w:val="0"/>
              <w:marTop w:val="0"/>
              <w:marBottom w:val="0"/>
              <w:divBdr>
                <w:top w:val="none" w:sz="0" w:space="0" w:color="auto"/>
                <w:left w:val="none" w:sz="0" w:space="0" w:color="auto"/>
                <w:bottom w:val="none" w:sz="0" w:space="0" w:color="auto"/>
                <w:right w:val="none" w:sz="0" w:space="0" w:color="auto"/>
              </w:divBdr>
            </w:div>
            <w:div w:id="1922330856">
              <w:marLeft w:val="0"/>
              <w:marRight w:val="0"/>
              <w:marTop w:val="0"/>
              <w:marBottom w:val="0"/>
              <w:divBdr>
                <w:top w:val="none" w:sz="0" w:space="0" w:color="auto"/>
                <w:left w:val="none" w:sz="0" w:space="0" w:color="auto"/>
                <w:bottom w:val="none" w:sz="0" w:space="0" w:color="auto"/>
                <w:right w:val="none" w:sz="0" w:space="0" w:color="auto"/>
              </w:divBdr>
            </w:div>
          </w:divsChild>
        </w:div>
        <w:div w:id="1229652570">
          <w:marLeft w:val="0"/>
          <w:marRight w:val="0"/>
          <w:marTop w:val="0"/>
          <w:marBottom w:val="0"/>
          <w:divBdr>
            <w:top w:val="none" w:sz="0" w:space="0" w:color="auto"/>
            <w:left w:val="none" w:sz="0" w:space="0" w:color="auto"/>
            <w:bottom w:val="none" w:sz="0" w:space="0" w:color="auto"/>
            <w:right w:val="none" w:sz="0" w:space="0" w:color="auto"/>
          </w:divBdr>
          <w:divsChild>
            <w:div w:id="271059935">
              <w:marLeft w:val="0"/>
              <w:marRight w:val="0"/>
              <w:marTop w:val="0"/>
              <w:marBottom w:val="0"/>
              <w:divBdr>
                <w:top w:val="none" w:sz="0" w:space="0" w:color="auto"/>
                <w:left w:val="none" w:sz="0" w:space="0" w:color="auto"/>
                <w:bottom w:val="none" w:sz="0" w:space="0" w:color="auto"/>
                <w:right w:val="none" w:sz="0" w:space="0" w:color="auto"/>
              </w:divBdr>
            </w:div>
            <w:div w:id="577979119">
              <w:marLeft w:val="0"/>
              <w:marRight w:val="0"/>
              <w:marTop w:val="0"/>
              <w:marBottom w:val="0"/>
              <w:divBdr>
                <w:top w:val="none" w:sz="0" w:space="0" w:color="auto"/>
                <w:left w:val="none" w:sz="0" w:space="0" w:color="auto"/>
                <w:bottom w:val="none" w:sz="0" w:space="0" w:color="auto"/>
                <w:right w:val="none" w:sz="0" w:space="0" w:color="auto"/>
              </w:divBdr>
            </w:div>
            <w:div w:id="642077877">
              <w:marLeft w:val="0"/>
              <w:marRight w:val="0"/>
              <w:marTop w:val="0"/>
              <w:marBottom w:val="0"/>
              <w:divBdr>
                <w:top w:val="none" w:sz="0" w:space="0" w:color="auto"/>
                <w:left w:val="none" w:sz="0" w:space="0" w:color="auto"/>
                <w:bottom w:val="none" w:sz="0" w:space="0" w:color="auto"/>
                <w:right w:val="none" w:sz="0" w:space="0" w:color="auto"/>
              </w:divBdr>
            </w:div>
            <w:div w:id="653265609">
              <w:marLeft w:val="0"/>
              <w:marRight w:val="0"/>
              <w:marTop w:val="0"/>
              <w:marBottom w:val="0"/>
              <w:divBdr>
                <w:top w:val="none" w:sz="0" w:space="0" w:color="auto"/>
                <w:left w:val="none" w:sz="0" w:space="0" w:color="auto"/>
                <w:bottom w:val="none" w:sz="0" w:space="0" w:color="auto"/>
                <w:right w:val="none" w:sz="0" w:space="0" w:color="auto"/>
              </w:divBdr>
            </w:div>
            <w:div w:id="747964558">
              <w:marLeft w:val="0"/>
              <w:marRight w:val="0"/>
              <w:marTop w:val="0"/>
              <w:marBottom w:val="0"/>
              <w:divBdr>
                <w:top w:val="none" w:sz="0" w:space="0" w:color="auto"/>
                <w:left w:val="none" w:sz="0" w:space="0" w:color="auto"/>
                <w:bottom w:val="none" w:sz="0" w:space="0" w:color="auto"/>
                <w:right w:val="none" w:sz="0" w:space="0" w:color="auto"/>
              </w:divBdr>
            </w:div>
            <w:div w:id="1092707239">
              <w:marLeft w:val="0"/>
              <w:marRight w:val="0"/>
              <w:marTop w:val="0"/>
              <w:marBottom w:val="0"/>
              <w:divBdr>
                <w:top w:val="none" w:sz="0" w:space="0" w:color="auto"/>
                <w:left w:val="none" w:sz="0" w:space="0" w:color="auto"/>
                <w:bottom w:val="none" w:sz="0" w:space="0" w:color="auto"/>
                <w:right w:val="none" w:sz="0" w:space="0" w:color="auto"/>
              </w:divBdr>
            </w:div>
            <w:div w:id="1325351199">
              <w:marLeft w:val="0"/>
              <w:marRight w:val="0"/>
              <w:marTop w:val="0"/>
              <w:marBottom w:val="0"/>
              <w:divBdr>
                <w:top w:val="none" w:sz="0" w:space="0" w:color="auto"/>
                <w:left w:val="none" w:sz="0" w:space="0" w:color="auto"/>
                <w:bottom w:val="none" w:sz="0" w:space="0" w:color="auto"/>
                <w:right w:val="none" w:sz="0" w:space="0" w:color="auto"/>
              </w:divBdr>
            </w:div>
            <w:div w:id="1343167578">
              <w:marLeft w:val="0"/>
              <w:marRight w:val="0"/>
              <w:marTop w:val="0"/>
              <w:marBottom w:val="0"/>
              <w:divBdr>
                <w:top w:val="none" w:sz="0" w:space="0" w:color="auto"/>
                <w:left w:val="none" w:sz="0" w:space="0" w:color="auto"/>
                <w:bottom w:val="none" w:sz="0" w:space="0" w:color="auto"/>
                <w:right w:val="none" w:sz="0" w:space="0" w:color="auto"/>
              </w:divBdr>
            </w:div>
            <w:div w:id="1417824463">
              <w:marLeft w:val="0"/>
              <w:marRight w:val="0"/>
              <w:marTop w:val="0"/>
              <w:marBottom w:val="0"/>
              <w:divBdr>
                <w:top w:val="none" w:sz="0" w:space="0" w:color="auto"/>
                <w:left w:val="none" w:sz="0" w:space="0" w:color="auto"/>
                <w:bottom w:val="none" w:sz="0" w:space="0" w:color="auto"/>
                <w:right w:val="none" w:sz="0" w:space="0" w:color="auto"/>
              </w:divBdr>
            </w:div>
            <w:div w:id="1516772567">
              <w:marLeft w:val="0"/>
              <w:marRight w:val="0"/>
              <w:marTop w:val="0"/>
              <w:marBottom w:val="0"/>
              <w:divBdr>
                <w:top w:val="none" w:sz="0" w:space="0" w:color="auto"/>
                <w:left w:val="none" w:sz="0" w:space="0" w:color="auto"/>
                <w:bottom w:val="none" w:sz="0" w:space="0" w:color="auto"/>
                <w:right w:val="none" w:sz="0" w:space="0" w:color="auto"/>
              </w:divBdr>
            </w:div>
            <w:div w:id="1589578171">
              <w:marLeft w:val="0"/>
              <w:marRight w:val="0"/>
              <w:marTop w:val="0"/>
              <w:marBottom w:val="0"/>
              <w:divBdr>
                <w:top w:val="none" w:sz="0" w:space="0" w:color="auto"/>
                <w:left w:val="none" w:sz="0" w:space="0" w:color="auto"/>
                <w:bottom w:val="none" w:sz="0" w:space="0" w:color="auto"/>
                <w:right w:val="none" w:sz="0" w:space="0" w:color="auto"/>
              </w:divBdr>
            </w:div>
            <w:div w:id="1613973738">
              <w:marLeft w:val="0"/>
              <w:marRight w:val="0"/>
              <w:marTop w:val="0"/>
              <w:marBottom w:val="0"/>
              <w:divBdr>
                <w:top w:val="none" w:sz="0" w:space="0" w:color="auto"/>
                <w:left w:val="none" w:sz="0" w:space="0" w:color="auto"/>
                <w:bottom w:val="none" w:sz="0" w:space="0" w:color="auto"/>
                <w:right w:val="none" w:sz="0" w:space="0" w:color="auto"/>
              </w:divBdr>
            </w:div>
            <w:div w:id="1717777894">
              <w:marLeft w:val="0"/>
              <w:marRight w:val="0"/>
              <w:marTop w:val="0"/>
              <w:marBottom w:val="0"/>
              <w:divBdr>
                <w:top w:val="none" w:sz="0" w:space="0" w:color="auto"/>
                <w:left w:val="none" w:sz="0" w:space="0" w:color="auto"/>
                <w:bottom w:val="none" w:sz="0" w:space="0" w:color="auto"/>
                <w:right w:val="none" w:sz="0" w:space="0" w:color="auto"/>
              </w:divBdr>
            </w:div>
            <w:div w:id="1748109198">
              <w:marLeft w:val="0"/>
              <w:marRight w:val="0"/>
              <w:marTop w:val="0"/>
              <w:marBottom w:val="0"/>
              <w:divBdr>
                <w:top w:val="none" w:sz="0" w:space="0" w:color="auto"/>
                <w:left w:val="none" w:sz="0" w:space="0" w:color="auto"/>
                <w:bottom w:val="none" w:sz="0" w:space="0" w:color="auto"/>
                <w:right w:val="none" w:sz="0" w:space="0" w:color="auto"/>
              </w:divBdr>
            </w:div>
            <w:div w:id="1783189457">
              <w:marLeft w:val="0"/>
              <w:marRight w:val="0"/>
              <w:marTop w:val="0"/>
              <w:marBottom w:val="0"/>
              <w:divBdr>
                <w:top w:val="none" w:sz="0" w:space="0" w:color="auto"/>
                <w:left w:val="none" w:sz="0" w:space="0" w:color="auto"/>
                <w:bottom w:val="none" w:sz="0" w:space="0" w:color="auto"/>
                <w:right w:val="none" w:sz="0" w:space="0" w:color="auto"/>
              </w:divBdr>
            </w:div>
            <w:div w:id="1786193087">
              <w:marLeft w:val="0"/>
              <w:marRight w:val="0"/>
              <w:marTop w:val="0"/>
              <w:marBottom w:val="0"/>
              <w:divBdr>
                <w:top w:val="none" w:sz="0" w:space="0" w:color="auto"/>
                <w:left w:val="none" w:sz="0" w:space="0" w:color="auto"/>
                <w:bottom w:val="none" w:sz="0" w:space="0" w:color="auto"/>
                <w:right w:val="none" w:sz="0" w:space="0" w:color="auto"/>
              </w:divBdr>
            </w:div>
            <w:div w:id="1889142066">
              <w:marLeft w:val="0"/>
              <w:marRight w:val="0"/>
              <w:marTop w:val="0"/>
              <w:marBottom w:val="0"/>
              <w:divBdr>
                <w:top w:val="none" w:sz="0" w:space="0" w:color="auto"/>
                <w:left w:val="none" w:sz="0" w:space="0" w:color="auto"/>
                <w:bottom w:val="none" w:sz="0" w:space="0" w:color="auto"/>
                <w:right w:val="none" w:sz="0" w:space="0" w:color="auto"/>
              </w:divBdr>
            </w:div>
            <w:div w:id="2026518444">
              <w:marLeft w:val="0"/>
              <w:marRight w:val="0"/>
              <w:marTop w:val="0"/>
              <w:marBottom w:val="0"/>
              <w:divBdr>
                <w:top w:val="none" w:sz="0" w:space="0" w:color="auto"/>
                <w:left w:val="none" w:sz="0" w:space="0" w:color="auto"/>
                <w:bottom w:val="none" w:sz="0" w:space="0" w:color="auto"/>
                <w:right w:val="none" w:sz="0" w:space="0" w:color="auto"/>
              </w:divBdr>
            </w:div>
            <w:div w:id="2038773353">
              <w:marLeft w:val="0"/>
              <w:marRight w:val="0"/>
              <w:marTop w:val="0"/>
              <w:marBottom w:val="0"/>
              <w:divBdr>
                <w:top w:val="none" w:sz="0" w:space="0" w:color="auto"/>
                <w:left w:val="none" w:sz="0" w:space="0" w:color="auto"/>
                <w:bottom w:val="none" w:sz="0" w:space="0" w:color="auto"/>
                <w:right w:val="none" w:sz="0" w:space="0" w:color="auto"/>
              </w:divBdr>
            </w:div>
            <w:div w:id="2131703278">
              <w:marLeft w:val="0"/>
              <w:marRight w:val="0"/>
              <w:marTop w:val="0"/>
              <w:marBottom w:val="0"/>
              <w:divBdr>
                <w:top w:val="none" w:sz="0" w:space="0" w:color="auto"/>
                <w:left w:val="none" w:sz="0" w:space="0" w:color="auto"/>
                <w:bottom w:val="none" w:sz="0" w:space="0" w:color="auto"/>
                <w:right w:val="none" w:sz="0" w:space="0" w:color="auto"/>
              </w:divBdr>
            </w:div>
          </w:divsChild>
        </w:div>
        <w:div w:id="1315834627">
          <w:marLeft w:val="0"/>
          <w:marRight w:val="0"/>
          <w:marTop w:val="0"/>
          <w:marBottom w:val="0"/>
          <w:divBdr>
            <w:top w:val="none" w:sz="0" w:space="0" w:color="auto"/>
            <w:left w:val="none" w:sz="0" w:space="0" w:color="auto"/>
            <w:bottom w:val="none" w:sz="0" w:space="0" w:color="auto"/>
            <w:right w:val="none" w:sz="0" w:space="0" w:color="auto"/>
          </w:divBdr>
          <w:divsChild>
            <w:div w:id="896163638">
              <w:marLeft w:val="0"/>
              <w:marRight w:val="0"/>
              <w:marTop w:val="0"/>
              <w:marBottom w:val="0"/>
              <w:divBdr>
                <w:top w:val="none" w:sz="0" w:space="0" w:color="auto"/>
                <w:left w:val="none" w:sz="0" w:space="0" w:color="auto"/>
                <w:bottom w:val="none" w:sz="0" w:space="0" w:color="auto"/>
                <w:right w:val="none" w:sz="0" w:space="0" w:color="auto"/>
              </w:divBdr>
            </w:div>
            <w:div w:id="1120102382">
              <w:marLeft w:val="0"/>
              <w:marRight w:val="0"/>
              <w:marTop w:val="0"/>
              <w:marBottom w:val="0"/>
              <w:divBdr>
                <w:top w:val="none" w:sz="0" w:space="0" w:color="auto"/>
                <w:left w:val="none" w:sz="0" w:space="0" w:color="auto"/>
                <w:bottom w:val="none" w:sz="0" w:space="0" w:color="auto"/>
                <w:right w:val="none" w:sz="0" w:space="0" w:color="auto"/>
              </w:divBdr>
            </w:div>
            <w:div w:id="1676305423">
              <w:marLeft w:val="0"/>
              <w:marRight w:val="0"/>
              <w:marTop w:val="0"/>
              <w:marBottom w:val="0"/>
              <w:divBdr>
                <w:top w:val="none" w:sz="0" w:space="0" w:color="auto"/>
                <w:left w:val="none" w:sz="0" w:space="0" w:color="auto"/>
                <w:bottom w:val="none" w:sz="0" w:space="0" w:color="auto"/>
                <w:right w:val="none" w:sz="0" w:space="0" w:color="auto"/>
              </w:divBdr>
            </w:div>
          </w:divsChild>
        </w:div>
        <w:div w:id="1360350942">
          <w:marLeft w:val="0"/>
          <w:marRight w:val="0"/>
          <w:marTop w:val="0"/>
          <w:marBottom w:val="0"/>
          <w:divBdr>
            <w:top w:val="none" w:sz="0" w:space="0" w:color="auto"/>
            <w:left w:val="none" w:sz="0" w:space="0" w:color="auto"/>
            <w:bottom w:val="none" w:sz="0" w:space="0" w:color="auto"/>
            <w:right w:val="none" w:sz="0" w:space="0" w:color="auto"/>
          </w:divBdr>
          <w:divsChild>
            <w:div w:id="1994331500">
              <w:marLeft w:val="-75"/>
              <w:marRight w:val="0"/>
              <w:marTop w:val="30"/>
              <w:marBottom w:val="30"/>
              <w:divBdr>
                <w:top w:val="none" w:sz="0" w:space="0" w:color="auto"/>
                <w:left w:val="none" w:sz="0" w:space="0" w:color="auto"/>
                <w:bottom w:val="none" w:sz="0" w:space="0" w:color="auto"/>
                <w:right w:val="none" w:sz="0" w:space="0" w:color="auto"/>
              </w:divBdr>
              <w:divsChild>
                <w:div w:id="39329231">
                  <w:marLeft w:val="0"/>
                  <w:marRight w:val="0"/>
                  <w:marTop w:val="0"/>
                  <w:marBottom w:val="0"/>
                  <w:divBdr>
                    <w:top w:val="none" w:sz="0" w:space="0" w:color="auto"/>
                    <w:left w:val="none" w:sz="0" w:space="0" w:color="auto"/>
                    <w:bottom w:val="none" w:sz="0" w:space="0" w:color="auto"/>
                    <w:right w:val="none" w:sz="0" w:space="0" w:color="auto"/>
                  </w:divBdr>
                  <w:divsChild>
                    <w:div w:id="711999142">
                      <w:marLeft w:val="0"/>
                      <w:marRight w:val="0"/>
                      <w:marTop w:val="0"/>
                      <w:marBottom w:val="0"/>
                      <w:divBdr>
                        <w:top w:val="none" w:sz="0" w:space="0" w:color="auto"/>
                        <w:left w:val="none" w:sz="0" w:space="0" w:color="auto"/>
                        <w:bottom w:val="none" w:sz="0" w:space="0" w:color="auto"/>
                        <w:right w:val="none" w:sz="0" w:space="0" w:color="auto"/>
                      </w:divBdr>
                    </w:div>
                  </w:divsChild>
                </w:div>
                <w:div w:id="77992986">
                  <w:marLeft w:val="0"/>
                  <w:marRight w:val="0"/>
                  <w:marTop w:val="0"/>
                  <w:marBottom w:val="0"/>
                  <w:divBdr>
                    <w:top w:val="none" w:sz="0" w:space="0" w:color="auto"/>
                    <w:left w:val="none" w:sz="0" w:space="0" w:color="auto"/>
                    <w:bottom w:val="none" w:sz="0" w:space="0" w:color="auto"/>
                    <w:right w:val="none" w:sz="0" w:space="0" w:color="auto"/>
                  </w:divBdr>
                  <w:divsChild>
                    <w:div w:id="598488016">
                      <w:marLeft w:val="0"/>
                      <w:marRight w:val="0"/>
                      <w:marTop w:val="0"/>
                      <w:marBottom w:val="0"/>
                      <w:divBdr>
                        <w:top w:val="none" w:sz="0" w:space="0" w:color="auto"/>
                        <w:left w:val="none" w:sz="0" w:space="0" w:color="auto"/>
                        <w:bottom w:val="none" w:sz="0" w:space="0" w:color="auto"/>
                        <w:right w:val="none" w:sz="0" w:space="0" w:color="auto"/>
                      </w:divBdr>
                    </w:div>
                    <w:div w:id="1509785002">
                      <w:marLeft w:val="0"/>
                      <w:marRight w:val="0"/>
                      <w:marTop w:val="0"/>
                      <w:marBottom w:val="0"/>
                      <w:divBdr>
                        <w:top w:val="none" w:sz="0" w:space="0" w:color="auto"/>
                        <w:left w:val="none" w:sz="0" w:space="0" w:color="auto"/>
                        <w:bottom w:val="none" w:sz="0" w:space="0" w:color="auto"/>
                        <w:right w:val="none" w:sz="0" w:space="0" w:color="auto"/>
                      </w:divBdr>
                    </w:div>
                  </w:divsChild>
                </w:div>
                <w:div w:id="185368335">
                  <w:marLeft w:val="0"/>
                  <w:marRight w:val="0"/>
                  <w:marTop w:val="0"/>
                  <w:marBottom w:val="0"/>
                  <w:divBdr>
                    <w:top w:val="none" w:sz="0" w:space="0" w:color="auto"/>
                    <w:left w:val="none" w:sz="0" w:space="0" w:color="auto"/>
                    <w:bottom w:val="none" w:sz="0" w:space="0" w:color="auto"/>
                    <w:right w:val="none" w:sz="0" w:space="0" w:color="auto"/>
                  </w:divBdr>
                  <w:divsChild>
                    <w:div w:id="1521775908">
                      <w:marLeft w:val="0"/>
                      <w:marRight w:val="0"/>
                      <w:marTop w:val="0"/>
                      <w:marBottom w:val="0"/>
                      <w:divBdr>
                        <w:top w:val="none" w:sz="0" w:space="0" w:color="auto"/>
                        <w:left w:val="none" w:sz="0" w:space="0" w:color="auto"/>
                        <w:bottom w:val="none" w:sz="0" w:space="0" w:color="auto"/>
                        <w:right w:val="none" w:sz="0" w:space="0" w:color="auto"/>
                      </w:divBdr>
                    </w:div>
                  </w:divsChild>
                </w:div>
                <w:div w:id="189806061">
                  <w:marLeft w:val="0"/>
                  <w:marRight w:val="0"/>
                  <w:marTop w:val="0"/>
                  <w:marBottom w:val="0"/>
                  <w:divBdr>
                    <w:top w:val="none" w:sz="0" w:space="0" w:color="auto"/>
                    <w:left w:val="none" w:sz="0" w:space="0" w:color="auto"/>
                    <w:bottom w:val="none" w:sz="0" w:space="0" w:color="auto"/>
                    <w:right w:val="none" w:sz="0" w:space="0" w:color="auto"/>
                  </w:divBdr>
                  <w:divsChild>
                    <w:div w:id="320237226">
                      <w:marLeft w:val="0"/>
                      <w:marRight w:val="0"/>
                      <w:marTop w:val="0"/>
                      <w:marBottom w:val="0"/>
                      <w:divBdr>
                        <w:top w:val="none" w:sz="0" w:space="0" w:color="auto"/>
                        <w:left w:val="none" w:sz="0" w:space="0" w:color="auto"/>
                        <w:bottom w:val="none" w:sz="0" w:space="0" w:color="auto"/>
                        <w:right w:val="none" w:sz="0" w:space="0" w:color="auto"/>
                      </w:divBdr>
                    </w:div>
                  </w:divsChild>
                </w:div>
                <w:div w:id="209153047">
                  <w:marLeft w:val="0"/>
                  <w:marRight w:val="0"/>
                  <w:marTop w:val="0"/>
                  <w:marBottom w:val="0"/>
                  <w:divBdr>
                    <w:top w:val="none" w:sz="0" w:space="0" w:color="auto"/>
                    <w:left w:val="none" w:sz="0" w:space="0" w:color="auto"/>
                    <w:bottom w:val="none" w:sz="0" w:space="0" w:color="auto"/>
                    <w:right w:val="none" w:sz="0" w:space="0" w:color="auto"/>
                  </w:divBdr>
                  <w:divsChild>
                    <w:div w:id="677148947">
                      <w:marLeft w:val="0"/>
                      <w:marRight w:val="0"/>
                      <w:marTop w:val="0"/>
                      <w:marBottom w:val="0"/>
                      <w:divBdr>
                        <w:top w:val="none" w:sz="0" w:space="0" w:color="auto"/>
                        <w:left w:val="none" w:sz="0" w:space="0" w:color="auto"/>
                        <w:bottom w:val="none" w:sz="0" w:space="0" w:color="auto"/>
                        <w:right w:val="none" w:sz="0" w:space="0" w:color="auto"/>
                      </w:divBdr>
                    </w:div>
                  </w:divsChild>
                </w:div>
                <w:div w:id="214900335">
                  <w:marLeft w:val="0"/>
                  <w:marRight w:val="0"/>
                  <w:marTop w:val="0"/>
                  <w:marBottom w:val="0"/>
                  <w:divBdr>
                    <w:top w:val="none" w:sz="0" w:space="0" w:color="auto"/>
                    <w:left w:val="none" w:sz="0" w:space="0" w:color="auto"/>
                    <w:bottom w:val="none" w:sz="0" w:space="0" w:color="auto"/>
                    <w:right w:val="none" w:sz="0" w:space="0" w:color="auto"/>
                  </w:divBdr>
                  <w:divsChild>
                    <w:div w:id="1883980218">
                      <w:marLeft w:val="0"/>
                      <w:marRight w:val="0"/>
                      <w:marTop w:val="0"/>
                      <w:marBottom w:val="0"/>
                      <w:divBdr>
                        <w:top w:val="none" w:sz="0" w:space="0" w:color="auto"/>
                        <w:left w:val="none" w:sz="0" w:space="0" w:color="auto"/>
                        <w:bottom w:val="none" w:sz="0" w:space="0" w:color="auto"/>
                        <w:right w:val="none" w:sz="0" w:space="0" w:color="auto"/>
                      </w:divBdr>
                    </w:div>
                  </w:divsChild>
                </w:div>
                <w:div w:id="248387904">
                  <w:marLeft w:val="0"/>
                  <w:marRight w:val="0"/>
                  <w:marTop w:val="0"/>
                  <w:marBottom w:val="0"/>
                  <w:divBdr>
                    <w:top w:val="none" w:sz="0" w:space="0" w:color="auto"/>
                    <w:left w:val="none" w:sz="0" w:space="0" w:color="auto"/>
                    <w:bottom w:val="none" w:sz="0" w:space="0" w:color="auto"/>
                    <w:right w:val="none" w:sz="0" w:space="0" w:color="auto"/>
                  </w:divBdr>
                  <w:divsChild>
                    <w:div w:id="172305551">
                      <w:marLeft w:val="0"/>
                      <w:marRight w:val="0"/>
                      <w:marTop w:val="0"/>
                      <w:marBottom w:val="0"/>
                      <w:divBdr>
                        <w:top w:val="none" w:sz="0" w:space="0" w:color="auto"/>
                        <w:left w:val="none" w:sz="0" w:space="0" w:color="auto"/>
                        <w:bottom w:val="none" w:sz="0" w:space="0" w:color="auto"/>
                        <w:right w:val="none" w:sz="0" w:space="0" w:color="auto"/>
                      </w:divBdr>
                    </w:div>
                  </w:divsChild>
                </w:div>
                <w:div w:id="283313242">
                  <w:marLeft w:val="0"/>
                  <w:marRight w:val="0"/>
                  <w:marTop w:val="0"/>
                  <w:marBottom w:val="0"/>
                  <w:divBdr>
                    <w:top w:val="none" w:sz="0" w:space="0" w:color="auto"/>
                    <w:left w:val="none" w:sz="0" w:space="0" w:color="auto"/>
                    <w:bottom w:val="none" w:sz="0" w:space="0" w:color="auto"/>
                    <w:right w:val="none" w:sz="0" w:space="0" w:color="auto"/>
                  </w:divBdr>
                  <w:divsChild>
                    <w:div w:id="1450005547">
                      <w:marLeft w:val="0"/>
                      <w:marRight w:val="0"/>
                      <w:marTop w:val="0"/>
                      <w:marBottom w:val="0"/>
                      <w:divBdr>
                        <w:top w:val="none" w:sz="0" w:space="0" w:color="auto"/>
                        <w:left w:val="none" w:sz="0" w:space="0" w:color="auto"/>
                        <w:bottom w:val="none" w:sz="0" w:space="0" w:color="auto"/>
                        <w:right w:val="none" w:sz="0" w:space="0" w:color="auto"/>
                      </w:divBdr>
                    </w:div>
                  </w:divsChild>
                </w:div>
                <w:div w:id="316539935">
                  <w:marLeft w:val="0"/>
                  <w:marRight w:val="0"/>
                  <w:marTop w:val="0"/>
                  <w:marBottom w:val="0"/>
                  <w:divBdr>
                    <w:top w:val="none" w:sz="0" w:space="0" w:color="auto"/>
                    <w:left w:val="none" w:sz="0" w:space="0" w:color="auto"/>
                    <w:bottom w:val="none" w:sz="0" w:space="0" w:color="auto"/>
                    <w:right w:val="none" w:sz="0" w:space="0" w:color="auto"/>
                  </w:divBdr>
                  <w:divsChild>
                    <w:div w:id="729035433">
                      <w:marLeft w:val="0"/>
                      <w:marRight w:val="0"/>
                      <w:marTop w:val="0"/>
                      <w:marBottom w:val="0"/>
                      <w:divBdr>
                        <w:top w:val="none" w:sz="0" w:space="0" w:color="auto"/>
                        <w:left w:val="none" w:sz="0" w:space="0" w:color="auto"/>
                        <w:bottom w:val="none" w:sz="0" w:space="0" w:color="auto"/>
                        <w:right w:val="none" w:sz="0" w:space="0" w:color="auto"/>
                      </w:divBdr>
                    </w:div>
                  </w:divsChild>
                </w:div>
                <w:div w:id="350109703">
                  <w:marLeft w:val="0"/>
                  <w:marRight w:val="0"/>
                  <w:marTop w:val="0"/>
                  <w:marBottom w:val="0"/>
                  <w:divBdr>
                    <w:top w:val="none" w:sz="0" w:space="0" w:color="auto"/>
                    <w:left w:val="none" w:sz="0" w:space="0" w:color="auto"/>
                    <w:bottom w:val="none" w:sz="0" w:space="0" w:color="auto"/>
                    <w:right w:val="none" w:sz="0" w:space="0" w:color="auto"/>
                  </w:divBdr>
                  <w:divsChild>
                    <w:div w:id="255091645">
                      <w:marLeft w:val="0"/>
                      <w:marRight w:val="0"/>
                      <w:marTop w:val="0"/>
                      <w:marBottom w:val="0"/>
                      <w:divBdr>
                        <w:top w:val="none" w:sz="0" w:space="0" w:color="auto"/>
                        <w:left w:val="none" w:sz="0" w:space="0" w:color="auto"/>
                        <w:bottom w:val="none" w:sz="0" w:space="0" w:color="auto"/>
                        <w:right w:val="none" w:sz="0" w:space="0" w:color="auto"/>
                      </w:divBdr>
                    </w:div>
                    <w:div w:id="1181313772">
                      <w:marLeft w:val="0"/>
                      <w:marRight w:val="0"/>
                      <w:marTop w:val="0"/>
                      <w:marBottom w:val="0"/>
                      <w:divBdr>
                        <w:top w:val="none" w:sz="0" w:space="0" w:color="auto"/>
                        <w:left w:val="none" w:sz="0" w:space="0" w:color="auto"/>
                        <w:bottom w:val="none" w:sz="0" w:space="0" w:color="auto"/>
                        <w:right w:val="none" w:sz="0" w:space="0" w:color="auto"/>
                      </w:divBdr>
                    </w:div>
                    <w:div w:id="1834105403">
                      <w:marLeft w:val="0"/>
                      <w:marRight w:val="0"/>
                      <w:marTop w:val="0"/>
                      <w:marBottom w:val="0"/>
                      <w:divBdr>
                        <w:top w:val="none" w:sz="0" w:space="0" w:color="auto"/>
                        <w:left w:val="none" w:sz="0" w:space="0" w:color="auto"/>
                        <w:bottom w:val="none" w:sz="0" w:space="0" w:color="auto"/>
                        <w:right w:val="none" w:sz="0" w:space="0" w:color="auto"/>
                      </w:divBdr>
                    </w:div>
                  </w:divsChild>
                </w:div>
                <w:div w:id="359858504">
                  <w:marLeft w:val="0"/>
                  <w:marRight w:val="0"/>
                  <w:marTop w:val="0"/>
                  <w:marBottom w:val="0"/>
                  <w:divBdr>
                    <w:top w:val="none" w:sz="0" w:space="0" w:color="auto"/>
                    <w:left w:val="none" w:sz="0" w:space="0" w:color="auto"/>
                    <w:bottom w:val="none" w:sz="0" w:space="0" w:color="auto"/>
                    <w:right w:val="none" w:sz="0" w:space="0" w:color="auto"/>
                  </w:divBdr>
                  <w:divsChild>
                    <w:div w:id="1333289975">
                      <w:marLeft w:val="0"/>
                      <w:marRight w:val="0"/>
                      <w:marTop w:val="0"/>
                      <w:marBottom w:val="0"/>
                      <w:divBdr>
                        <w:top w:val="none" w:sz="0" w:space="0" w:color="auto"/>
                        <w:left w:val="none" w:sz="0" w:space="0" w:color="auto"/>
                        <w:bottom w:val="none" w:sz="0" w:space="0" w:color="auto"/>
                        <w:right w:val="none" w:sz="0" w:space="0" w:color="auto"/>
                      </w:divBdr>
                    </w:div>
                  </w:divsChild>
                </w:div>
                <w:div w:id="428700117">
                  <w:marLeft w:val="0"/>
                  <w:marRight w:val="0"/>
                  <w:marTop w:val="0"/>
                  <w:marBottom w:val="0"/>
                  <w:divBdr>
                    <w:top w:val="none" w:sz="0" w:space="0" w:color="auto"/>
                    <w:left w:val="none" w:sz="0" w:space="0" w:color="auto"/>
                    <w:bottom w:val="none" w:sz="0" w:space="0" w:color="auto"/>
                    <w:right w:val="none" w:sz="0" w:space="0" w:color="auto"/>
                  </w:divBdr>
                  <w:divsChild>
                    <w:div w:id="847673503">
                      <w:marLeft w:val="0"/>
                      <w:marRight w:val="0"/>
                      <w:marTop w:val="0"/>
                      <w:marBottom w:val="0"/>
                      <w:divBdr>
                        <w:top w:val="none" w:sz="0" w:space="0" w:color="auto"/>
                        <w:left w:val="none" w:sz="0" w:space="0" w:color="auto"/>
                        <w:bottom w:val="none" w:sz="0" w:space="0" w:color="auto"/>
                        <w:right w:val="none" w:sz="0" w:space="0" w:color="auto"/>
                      </w:divBdr>
                    </w:div>
                  </w:divsChild>
                </w:div>
                <w:div w:id="454980828">
                  <w:marLeft w:val="0"/>
                  <w:marRight w:val="0"/>
                  <w:marTop w:val="0"/>
                  <w:marBottom w:val="0"/>
                  <w:divBdr>
                    <w:top w:val="none" w:sz="0" w:space="0" w:color="auto"/>
                    <w:left w:val="none" w:sz="0" w:space="0" w:color="auto"/>
                    <w:bottom w:val="none" w:sz="0" w:space="0" w:color="auto"/>
                    <w:right w:val="none" w:sz="0" w:space="0" w:color="auto"/>
                  </w:divBdr>
                  <w:divsChild>
                    <w:div w:id="2052147549">
                      <w:marLeft w:val="0"/>
                      <w:marRight w:val="0"/>
                      <w:marTop w:val="0"/>
                      <w:marBottom w:val="0"/>
                      <w:divBdr>
                        <w:top w:val="none" w:sz="0" w:space="0" w:color="auto"/>
                        <w:left w:val="none" w:sz="0" w:space="0" w:color="auto"/>
                        <w:bottom w:val="none" w:sz="0" w:space="0" w:color="auto"/>
                        <w:right w:val="none" w:sz="0" w:space="0" w:color="auto"/>
                      </w:divBdr>
                    </w:div>
                  </w:divsChild>
                </w:div>
                <w:div w:id="468402556">
                  <w:marLeft w:val="0"/>
                  <w:marRight w:val="0"/>
                  <w:marTop w:val="0"/>
                  <w:marBottom w:val="0"/>
                  <w:divBdr>
                    <w:top w:val="none" w:sz="0" w:space="0" w:color="auto"/>
                    <w:left w:val="none" w:sz="0" w:space="0" w:color="auto"/>
                    <w:bottom w:val="none" w:sz="0" w:space="0" w:color="auto"/>
                    <w:right w:val="none" w:sz="0" w:space="0" w:color="auto"/>
                  </w:divBdr>
                  <w:divsChild>
                    <w:div w:id="921719451">
                      <w:marLeft w:val="0"/>
                      <w:marRight w:val="0"/>
                      <w:marTop w:val="0"/>
                      <w:marBottom w:val="0"/>
                      <w:divBdr>
                        <w:top w:val="none" w:sz="0" w:space="0" w:color="auto"/>
                        <w:left w:val="none" w:sz="0" w:space="0" w:color="auto"/>
                        <w:bottom w:val="none" w:sz="0" w:space="0" w:color="auto"/>
                        <w:right w:val="none" w:sz="0" w:space="0" w:color="auto"/>
                      </w:divBdr>
                    </w:div>
                  </w:divsChild>
                </w:div>
                <w:div w:id="589119456">
                  <w:marLeft w:val="0"/>
                  <w:marRight w:val="0"/>
                  <w:marTop w:val="0"/>
                  <w:marBottom w:val="0"/>
                  <w:divBdr>
                    <w:top w:val="none" w:sz="0" w:space="0" w:color="auto"/>
                    <w:left w:val="none" w:sz="0" w:space="0" w:color="auto"/>
                    <w:bottom w:val="none" w:sz="0" w:space="0" w:color="auto"/>
                    <w:right w:val="none" w:sz="0" w:space="0" w:color="auto"/>
                  </w:divBdr>
                  <w:divsChild>
                    <w:div w:id="481966628">
                      <w:marLeft w:val="0"/>
                      <w:marRight w:val="0"/>
                      <w:marTop w:val="0"/>
                      <w:marBottom w:val="0"/>
                      <w:divBdr>
                        <w:top w:val="none" w:sz="0" w:space="0" w:color="auto"/>
                        <w:left w:val="none" w:sz="0" w:space="0" w:color="auto"/>
                        <w:bottom w:val="none" w:sz="0" w:space="0" w:color="auto"/>
                        <w:right w:val="none" w:sz="0" w:space="0" w:color="auto"/>
                      </w:divBdr>
                    </w:div>
                    <w:div w:id="554239287">
                      <w:marLeft w:val="0"/>
                      <w:marRight w:val="0"/>
                      <w:marTop w:val="0"/>
                      <w:marBottom w:val="0"/>
                      <w:divBdr>
                        <w:top w:val="none" w:sz="0" w:space="0" w:color="auto"/>
                        <w:left w:val="none" w:sz="0" w:space="0" w:color="auto"/>
                        <w:bottom w:val="none" w:sz="0" w:space="0" w:color="auto"/>
                        <w:right w:val="none" w:sz="0" w:space="0" w:color="auto"/>
                      </w:divBdr>
                    </w:div>
                    <w:div w:id="1173493739">
                      <w:marLeft w:val="0"/>
                      <w:marRight w:val="0"/>
                      <w:marTop w:val="0"/>
                      <w:marBottom w:val="0"/>
                      <w:divBdr>
                        <w:top w:val="none" w:sz="0" w:space="0" w:color="auto"/>
                        <w:left w:val="none" w:sz="0" w:space="0" w:color="auto"/>
                        <w:bottom w:val="none" w:sz="0" w:space="0" w:color="auto"/>
                        <w:right w:val="none" w:sz="0" w:space="0" w:color="auto"/>
                      </w:divBdr>
                    </w:div>
                  </w:divsChild>
                </w:div>
                <w:div w:id="734473643">
                  <w:marLeft w:val="0"/>
                  <w:marRight w:val="0"/>
                  <w:marTop w:val="0"/>
                  <w:marBottom w:val="0"/>
                  <w:divBdr>
                    <w:top w:val="none" w:sz="0" w:space="0" w:color="auto"/>
                    <w:left w:val="none" w:sz="0" w:space="0" w:color="auto"/>
                    <w:bottom w:val="none" w:sz="0" w:space="0" w:color="auto"/>
                    <w:right w:val="none" w:sz="0" w:space="0" w:color="auto"/>
                  </w:divBdr>
                  <w:divsChild>
                    <w:div w:id="111634220">
                      <w:marLeft w:val="0"/>
                      <w:marRight w:val="0"/>
                      <w:marTop w:val="0"/>
                      <w:marBottom w:val="0"/>
                      <w:divBdr>
                        <w:top w:val="none" w:sz="0" w:space="0" w:color="auto"/>
                        <w:left w:val="none" w:sz="0" w:space="0" w:color="auto"/>
                        <w:bottom w:val="none" w:sz="0" w:space="0" w:color="auto"/>
                        <w:right w:val="none" w:sz="0" w:space="0" w:color="auto"/>
                      </w:divBdr>
                    </w:div>
                  </w:divsChild>
                </w:div>
                <w:div w:id="737094793">
                  <w:marLeft w:val="0"/>
                  <w:marRight w:val="0"/>
                  <w:marTop w:val="0"/>
                  <w:marBottom w:val="0"/>
                  <w:divBdr>
                    <w:top w:val="none" w:sz="0" w:space="0" w:color="auto"/>
                    <w:left w:val="none" w:sz="0" w:space="0" w:color="auto"/>
                    <w:bottom w:val="none" w:sz="0" w:space="0" w:color="auto"/>
                    <w:right w:val="none" w:sz="0" w:space="0" w:color="auto"/>
                  </w:divBdr>
                  <w:divsChild>
                    <w:div w:id="981665323">
                      <w:marLeft w:val="0"/>
                      <w:marRight w:val="0"/>
                      <w:marTop w:val="0"/>
                      <w:marBottom w:val="0"/>
                      <w:divBdr>
                        <w:top w:val="none" w:sz="0" w:space="0" w:color="auto"/>
                        <w:left w:val="none" w:sz="0" w:space="0" w:color="auto"/>
                        <w:bottom w:val="none" w:sz="0" w:space="0" w:color="auto"/>
                        <w:right w:val="none" w:sz="0" w:space="0" w:color="auto"/>
                      </w:divBdr>
                    </w:div>
                    <w:div w:id="1087923099">
                      <w:marLeft w:val="0"/>
                      <w:marRight w:val="0"/>
                      <w:marTop w:val="0"/>
                      <w:marBottom w:val="0"/>
                      <w:divBdr>
                        <w:top w:val="none" w:sz="0" w:space="0" w:color="auto"/>
                        <w:left w:val="none" w:sz="0" w:space="0" w:color="auto"/>
                        <w:bottom w:val="none" w:sz="0" w:space="0" w:color="auto"/>
                        <w:right w:val="none" w:sz="0" w:space="0" w:color="auto"/>
                      </w:divBdr>
                    </w:div>
                  </w:divsChild>
                </w:div>
                <w:div w:id="836306975">
                  <w:marLeft w:val="0"/>
                  <w:marRight w:val="0"/>
                  <w:marTop w:val="0"/>
                  <w:marBottom w:val="0"/>
                  <w:divBdr>
                    <w:top w:val="none" w:sz="0" w:space="0" w:color="auto"/>
                    <w:left w:val="none" w:sz="0" w:space="0" w:color="auto"/>
                    <w:bottom w:val="none" w:sz="0" w:space="0" w:color="auto"/>
                    <w:right w:val="none" w:sz="0" w:space="0" w:color="auto"/>
                  </w:divBdr>
                  <w:divsChild>
                    <w:div w:id="998851567">
                      <w:marLeft w:val="0"/>
                      <w:marRight w:val="0"/>
                      <w:marTop w:val="0"/>
                      <w:marBottom w:val="0"/>
                      <w:divBdr>
                        <w:top w:val="none" w:sz="0" w:space="0" w:color="auto"/>
                        <w:left w:val="none" w:sz="0" w:space="0" w:color="auto"/>
                        <w:bottom w:val="none" w:sz="0" w:space="0" w:color="auto"/>
                        <w:right w:val="none" w:sz="0" w:space="0" w:color="auto"/>
                      </w:divBdr>
                    </w:div>
                  </w:divsChild>
                </w:div>
                <w:div w:id="906500773">
                  <w:marLeft w:val="0"/>
                  <w:marRight w:val="0"/>
                  <w:marTop w:val="0"/>
                  <w:marBottom w:val="0"/>
                  <w:divBdr>
                    <w:top w:val="none" w:sz="0" w:space="0" w:color="auto"/>
                    <w:left w:val="none" w:sz="0" w:space="0" w:color="auto"/>
                    <w:bottom w:val="none" w:sz="0" w:space="0" w:color="auto"/>
                    <w:right w:val="none" w:sz="0" w:space="0" w:color="auto"/>
                  </w:divBdr>
                  <w:divsChild>
                    <w:div w:id="1011880776">
                      <w:marLeft w:val="0"/>
                      <w:marRight w:val="0"/>
                      <w:marTop w:val="0"/>
                      <w:marBottom w:val="0"/>
                      <w:divBdr>
                        <w:top w:val="none" w:sz="0" w:space="0" w:color="auto"/>
                        <w:left w:val="none" w:sz="0" w:space="0" w:color="auto"/>
                        <w:bottom w:val="none" w:sz="0" w:space="0" w:color="auto"/>
                        <w:right w:val="none" w:sz="0" w:space="0" w:color="auto"/>
                      </w:divBdr>
                    </w:div>
                  </w:divsChild>
                </w:div>
                <w:div w:id="1022589442">
                  <w:marLeft w:val="0"/>
                  <w:marRight w:val="0"/>
                  <w:marTop w:val="0"/>
                  <w:marBottom w:val="0"/>
                  <w:divBdr>
                    <w:top w:val="none" w:sz="0" w:space="0" w:color="auto"/>
                    <w:left w:val="none" w:sz="0" w:space="0" w:color="auto"/>
                    <w:bottom w:val="none" w:sz="0" w:space="0" w:color="auto"/>
                    <w:right w:val="none" w:sz="0" w:space="0" w:color="auto"/>
                  </w:divBdr>
                  <w:divsChild>
                    <w:div w:id="294608317">
                      <w:marLeft w:val="0"/>
                      <w:marRight w:val="0"/>
                      <w:marTop w:val="0"/>
                      <w:marBottom w:val="0"/>
                      <w:divBdr>
                        <w:top w:val="none" w:sz="0" w:space="0" w:color="auto"/>
                        <w:left w:val="none" w:sz="0" w:space="0" w:color="auto"/>
                        <w:bottom w:val="none" w:sz="0" w:space="0" w:color="auto"/>
                        <w:right w:val="none" w:sz="0" w:space="0" w:color="auto"/>
                      </w:divBdr>
                    </w:div>
                    <w:div w:id="1217739439">
                      <w:marLeft w:val="0"/>
                      <w:marRight w:val="0"/>
                      <w:marTop w:val="0"/>
                      <w:marBottom w:val="0"/>
                      <w:divBdr>
                        <w:top w:val="none" w:sz="0" w:space="0" w:color="auto"/>
                        <w:left w:val="none" w:sz="0" w:space="0" w:color="auto"/>
                        <w:bottom w:val="none" w:sz="0" w:space="0" w:color="auto"/>
                        <w:right w:val="none" w:sz="0" w:space="0" w:color="auto"/>
                      </w:divBdr>
                    </w:div>
                    <w:div w:id="1320304293">
                      <w:marLeft w:val="0"/>
                      <w:marRight w:val="0"/>
                      <w:marTop w:val="0"/>
                      <w:marBottom w:val="0"/>
                      <w:divBdr>
                        <w:top w:val="none" w:sz="0" w:space="0" w:color="auto"/>
                        <w:left w:val="none" w:sz="0" w:space="0" w:color="auto"/>
                        <w:bottom w:val="none" w:sz="0" w:space="0" w:color="auto"/>
                        <w:right w:val="none" w:sz="0" w:space="0" w:color="auto"/>
                      </w:divBdr>
                    </w:div>
                    <w:div w:id="1967158976">
                      <w:marLeft w:val="0"/>
                      <w:marRight w:val="0"/>
                      <w:marTop w:val="0"/>
                      <w:marBottom w:val="0"/>
                      <w:divBdr>
                        <w:top w:val="none" w:sz="0" w:space="0" w:color="auto"/>
                        <w:left w:val="none" w:sz="0" w:space="0" w:color="auto"/>
                        <w:bottom w:val="none" w:sz="0" w:space="0" w:color="auto"/>
                        <w:right w:val="none" w:sz="0" w:space="0" w:color="auto"/>
                      </w:divBdr>
                    </w:div>
                  </w:divsChild>
                </w:div>
                <w:div w:id="1128477489">
                  <w:marLeft w:val="0"/>
                  <w:marRight w:val="0"/>
                  <w:marTop w:val="0"/>
                  <w:marBottom w:val="0"/>
                  <w:divBdr>
                    <w:top w:val="none" w:sz="0" w:space="0" w:color="auto"/>
                    <w:left w:val="none" w:sz="0" w:space="0" w:color="auto"/>
                    <w:bottom w:val="none" w:sz="0" w:space="0" w:color="auto"/>
                    <w:right w:val="none" w:sz="0" w:space="0" w:color="auto"/>
                  </w:divBdr>
                  <w:divsChild>
                    <w:div w:id="1833794664">
                      <w:marLeft w:val="0"/>
                      <w:marRight w:val="0"/>
                      <w:marTop w:val="0"/>
                      <w:marBottom w:val="0"/>
                      <w:divBdr>
                        <w:top w:val="none" w:sz="0" w:space="0" w:color="auto"/>
                        <w:left w:val="none" w:sz="0" w:space="0" w:color="auto"/>
                        <w:bottom w:val="none" w:sz="0" w:space="0" w:color="auto"/>
                        <w:right w:val="none" w:sz="0" w:space="0" w:color="auto"/>
                      </w:divBdr>
                    </w:div>
                  </w:divsChild>
                </w:div>
                <w:div w:id="1132751460">
                  <w:marLeft w:val="0"/>
                  <w:marRight w:val="0"/>
                  <w:marTop w:val="0"/>
                  <w:marBottom w:val="0"/>
                  <w:divBdr>
                    <w:top w:val="none" w:sz="0" w:space="0" w:color="auto"/>
                    <w:left w:val="none" w:sz="0" w:space="0" w:color="auto"/>
                    <w:bottom w:val="none" w:sz="0" w:space="0" w:color="auto"/>
                    <w:right w:val="none" w:sz="0" w:space="0" w:color="auto"/>
                  </w:divBdr>
                  <w:divsChild>
                    <w:div w:id="134837501">
                      <w:marLeft w:val="0"/>
                      <w:marRight w:val="0"/>
                      <w:marTop w:val="0"/>
                      <w:marBottom w:val="0"/>
                      <w:divBdr>
                        <w:top w:val="none" w:sz="0" w:space="0" w:color="auto"/>
                        <w:left w:val="none" w:sz="0" w:space="0" w:color="auto"/>
                        <w:bottom w:val="none" w:sz="0" w:space="0" w:color="auto"/>
                        <w:right w:val="none" w:sz="0" w:space="0" w:color="auto"/>
                      </w:divBdr>
                    </w:div>
                    <w:div w:id="881287844">
                      <w:marLeft w:val="0"/>
                      <w:marRight w:val="0"/>
                      <w:marTop w:val="0"/>
                      <w:marBottom w:val="0"/>
                      <w:divBdr>
                        <w:top w:val="none" w:sz="0" w:space="0" w:color="auto"/>
                        <w:left w:val="none" w:sz="0" w:space="0" w:color="auto"/>
                        <w:bottom w:val="none" w:sz="0" w:space="0" w:color="auto"/>
                        <w:right w:val="none" w:sz="0" w:space="0" w:color="auto"/>
                      </w:divBdr>
                    </w:div>
                  </w:divsChild>
                </w:div>
                <w:div w:id="1185705266">
                  <w:marLeft w:val="0"/>
                  <w:marRight w:val="0"/>
                  <w:marTop w:val="0"/>
                  <w:marBottom w:val="0"/>
                  <w:divBdr>
                    <w:top w:val="none" w:sz="0" w:space="0" w:color="auto"/>
                    <w:left w:val="none" w:sz="0" w:space="0" w:color="auto"/>
                    <w:bottom w:val="none" w:sz="0" w:space="0" w:color="auto"/>
                    <w:right w:val="none" w:sz="0" w:space="0" w:color="auto"/>
                  </w:divBdr>
                  <w:divsChild>
                    <w:div w:id="818033890">
                      <w:marLeft w:val="0"/>
                      <w:marRight w:val="0"/>
                      <w:marTop w:val="0"/>
                      <w:marBottom w:val="0"/>
                      <w:divBdr>
                        <w:top w:val="none" w:sz="0" w:space="0" w:color="auto"/>
                        <w:left w:val="none" w:sz="0" w:space="0" w:color="auto"/>
                        <w:bottom w:val="none" w:sz="0" w:space="0" w:color="auto"/>
                        <w:right w:val="none" w:sz="0" w:space="0" w:color="auto"/>
                      </w:divBdr>
                    </w:div>
                  </w:divsChild>
                </w:div>
                <w:div w:id="1232429298">
                  <w:marLeft w:val="0"/>
                  <w:marRight w:val="0"/>
                  <w:marTop w:val="0"/>
                  <w:marBottom w:val="0"/>
                  <w:divBdr>
                    <w:top w:val="none" w:sz="0" w:space="0" w:color="auto"/>
                    <w:left w:val="none" w:sz="0" w:space="0" w:color="auto"/>
                    <w:bottom w:val="none" w:sz="0" w:space="0" w:color="auto"/>
                    <w:right w:val="none" w:sz="0" w:space="0" w:color="auto"/>
                  </w:divBdr>
                  <w:divsChild>
                    <w:div w:id="1654528484">
                      <w:marLeft w:val="0"/>
                      <w:marRight w:val="0"/>
                      <w:marTop w:val="0"/>
                      <w:marBottom w:val="0"/>
                      <w:divBdr>
                        <w:top w:val="none" w:sz="0" w:space="0" w:color="auto"/>
                        <w:left w:val="none" w:sz="0" w:space="0" w:color="auto"/>
                        <w:bottom w:val="none" w:sz="0" w:space="0" w:color="auto"/>
                        <w:right w:val="none" w:sz="0" w:space="0" w:color="auto"/>
                      </w:divBdr>
                    </w:div>
                  </w:divsChild>
                </w:div>
                <w:div w:id="1269116271">
                  <w:marLeft w:val="0"/>
                  <w:marRight w:val="0"/>
                  <w:marTop w:val="0"/>
                  <w:marBottom w:val="0"/>
                  <w:divBdr>
                    <w:top w:val="none" w:sz="0" w:space="0" w:color="auto"/>
                    <w:left w:val="none" w:sz="0" w:space="0" w:color="auto"/>
                    <w:bottom w:val="none" w:sz="0" w:space="0" w:color="auto"/>
                    <w:right w:val="none" w:sz="0" w:space="0" w:color="auto"/>
                  </w:divBdr>
                  <w:divsChild>
                    <w:div w:id="996761989">
                      <w:marLeft w:val="0"/>
                      <w:marRight w:val="0"/>
                      <w:marTop w:val="0"/>
                      <w:marBottom w:val="0"/>
                      <w:divBdr>
                        <w:top w:val="none" w:sz="0" w:space="0" w:color="auto"/>
                        <w:left w:val="none" w:sz="0" w:space="0" w:color="auto"/>
                        <w:bottom w:val="none" w:sz="0" w:space="0" w:color="auto"/>
                        <w:right w:val="none" w:sz="0" w:space="0" w:color="auto"/>
                      </w:divBdr>
                    </w:div>
                  </w:divsChild>
                </w:div>
                <w:div w:id="1299650711">
                  <w:marLeft w:val="0"/>
                  <w:marRight w:val="0"/>
                  <w:marTop w:val="0"/>
                  <w:marBottom w:val="0"/>
                  <w:divBdr>
                    <w:top w:val="none" w:sz="0" w:space="0" w:color="auto"/>
                    <w:left w:val="none" w:sz="0" w:space="0" w:color="auto"/>
                    <w:bottom w:val="none" w:sz="0" w:space="0" w:color="auto"/>
                    <w:right w:val="none" w:sz="0" w:space="0" w:color="auto"/>
                  </w:divBdr>
                  <w:divsChild>
                    <w:div w:id="1122922209">
                      <w:marLeft w:val="0"/>
                      <w:marRight w:val="0"/>
                      <w:marTop w:val="0"/>
                      <w:marBottom w:val="0"/>
                      <w:divBdr>
                        <w:top w:val="none" w:sz="0" w:space="0" w:color="auto"/>
                        <w:left w:val="none" w:sz="0" w:space="0" w:color="auto"/>
                        <w:bottom w:val="none" w:sz="0" w:space="0" w:color="auto"/>
                        <w:right w:val="none" w:sz="0" w:space="0" w:color="auto"/>
                      </w:divBdr>
                    </w:div>
                  </w:divsChild>
                </w:div>
                <w:div w:id="1338532034">
                  <w:marLeft w:val="0"/>
                  <w:marRight w:val="0"/>
                  <w:marTop w:val="0"/>
                  <w:marBottom w:val="0"/>
                  <w:divBdr>
                    <w:top w:val="none" w:sz="0" w:space="0" w:color="auto"/>
                    <w:left w:val="none" w:sz="0" w:space="0" w:color="auto"/>
                    <w:bottom w:val="none" w:sz="0" w:space="0" w:color="auto"/>
                    <w:right w:val="none" w:sz="0" w:space="0" w:color="auto"/>
                  </w:divBdr>
                  <w:divsChild>
                    <w:div w:id="1740977801">
                      <w:marLeft w:val="0"/>
                      <w:marRight w:val="0"/>
                      <w:marTop w:val="0"/>
                      <w:marBottom w:val="0"/>
                      <w:divBdr>
                        <w:top w:val="none" w:sz="0" w:space="0" w:color="auto"/>
                        <w:left w:val="none" w:sz="0" w:space="0" w:color="auto"/>
                        <w:bottom w:val="none" w:sz="0" w:space="0" w:color="auto"/>
                        <w:right w:val="none" w:sz="0" w:space="0" w:color="auto"/>
                      </w:divBdr>
                    </w:div>
                  </w:divsChild>
                </w:div>
                <w:div w:id="1353990070">
                  <w:marLeft w:val="0"/>
                  <w:marRight w:val="0"/>
                  <w:marTop w:val="0"/>
                  <w:marBottom w:val="0"/>
                  <w:divBdr>
                    <w:top w:val="none" w:sz="0" w:space="0" w:color="auto"/>
                    <w:left w:val="none" w:sz="0" w:space="0" w:color="auto"/>
                    <w:bottom w:val="none" w:sz="0" w:space="0" w:color="auto"/>
                    <w:right w:val="none" w:sz="0" w:space="0" w:color="auto"/>
                  </w:divBdr>
                  <w:divsChild>
                    <w:div w:id="194277266">
                      <w:marLeft w:val="0"/>
                      <w:marRight w:val="0"/>
                      <w:marTop w:val="0"/>
                      <w:marBottom w:val="0"/>
                      <w:divBdr>
                        <w:top w:val="none" w:sz="0" w:space="0" w:color="auto"/>
                        <w:left w:val="none" w:sz="0" w:space="0" w:color="auto"/>
                        <w:bottom w:val="none" w:sz="0" w:space="0" w:color="auto"/>
                        <w:right w:val="none" w:sz="0" w:space="0" w:color="auto"/>
                      </w:divBdr>
                    </w:div>
                  </w:divsChild>
                </w:div>
                <w:div w:id="1378047200">
                  <w:marLeft w:val="0"/>
                  <w:marRight w:val="0"/>
                  <w:marTop w:val="0"/>
                  <w:marBottom w:val="0"/>
                  <w:divBdr>
                    <w:top w:val="none" w:sz="0" w:space="0" w:color="auto"/>
                    <w:left w:val="none" w:sz="0" w:space="0" w:color="auto"/>
                    <w:bottom w:val="none" w:sz="0" w:space="0" w:color="auto"/>
                    <w:right w:val="none" w:sz="0" w:space="0" w:color="auto"/>
                  </w:divBdr>
                  <w:divsChild>
                    <w:div w:id="1468624802">
                      <w:marLeft w:val="0"/>
                      <w:marRight w:val="0"/>
                      <w:marTop w:val="0"/>
                      <w:marBottom w:val="0"/>
                      <w:divBdr>
                        <w:top w:val="none" w:sz="0" w:space="0" w:color="auto"/>
                        <w:left w:val="none" w:sz="0" w:space="0" w:color="auto"/>
                        <w:bottom w:val="none" w:sz="0" w:space="0" w:color="auto"/>
                        <w:right w:val="none" w:sz="0" w:space="0" w:color="auto"/>
                      </w:divBdr>
                    </w:div>
                  </w:divsChild>
                </w:div>
                <w:div w:id="1383403801">
                  <w:marLeft w:val="0"/>
                  <w:marRight w:val="0"/>
                  <w:marTop w:val="0"/>
                  <w:marBottom w:val="0"/>
                  <w:divBdr>
                    <w:top w:val="none" w:sz="0" w:space="0" w:color="auto"/>
                    <w:left w:val="none" w:sz="0" w:space="0" w:color="auto"/>
                    <w:bottom w:val="none" w:sz="0" w:space="0" w:color="auto"/>
                    <w:right w:val="none" w:sz="0" w:space="0" w:color="auto"/>
                  </w:divBdr>
                  <w:divsChild>
                    <w:div w:id="1985961245">
                      <w:marLeft w:val="0"/>
                      <w:marRight w:val="0"/>
                      <w:marTop w:val="0"/>
                      <w:marBottom w:val="0"/>
                      <w:divBdr>
                        <w:top w:val="none" w:sz="0" w:space="0" w:color="auto"/>
                        <w:left w:val="none" w:sz="0" w:space="0" w:color="auto"/>
                        <w:bottom w:val="none" w:sz="0" w:space="0" w:color="auto"/>
                        <w:right w:val="none" w:sz="0" w:space="0" w:color="auto"/>
                      </w:divBdr>
                    </w:div>
                  </w:divsChild>
                </w:div>
                <w:div w:id="1500533790">
                  <w:marLeft w:val="0"/>
                  <w:marRight w:val="0"/>
                  <w:marTop w:val="0"/>
                  <w:marBottom w:val="0"/>
                  <w:divBdr>
                    <w:top w:val="none" w:sz="0" w:space="0" w:color="auto"/>
                    <w:left w:val="none" w:sz="0" w:space="0" w:color="auto"/>
                    <w:bottom w:val="none" w:sz="0" w:space="0" w:color="auto"/>
                    <w:right w:val="none" w:sz="0" w:space="0" w:color="auto"/>
                  </w:divBdr>
                  <w:divsChild>
                    <w:div w:id="532571439">
                      <w:marLeft w:val="0"/>
                      <w:marRight w:val="0"/>
                      <w:marTop w:val="0"/>
                      <w:marBottom w:val="0"/>
                      <w:divBdr>
                        <w:top w:val="none" w:sz="0" w:space="0" w:color="auto"/>
                        <w:left w:val="none" w:sz="0" w:space="0" w:color="auto"/>
                        <w:bottom w:val="none" w:sz="0" w:space="0" w:color="auto"/>
                        <w:right w:val="none" w:sz="0" w:space="0" w:color="auto"/>
                      </w:divBdr>
                    </w:div>
                  </w:divsChild>
                </w:div>
                <w:div w:id="1528056003">
                  <w:marLeft w:val="0"/>
                  <w:marRight w:val="0"/>
                  <w:marTop w:val="0"/>
                  <w:marBottom w:val="0"/>
                  <w:divBdr>
                    <w:top w:val="none" w:sz="0" w:space="0" w:color="auto"/>
                    <w:left w:val="none" w:sz="0" w:space="0" w:color="auto"/>
                    <w:bottom w:val="none" w:sz="0" w:space="0" w:color="auto"/>
                    <w:right w:val="none" w:sz="0" w:space="0" w:color="auto"/>
                  </w:divBdr>
                  <w:divsChild>
                    <w:div w:id="722796810">
                      <w:marLeft w:val="0"/>
                      <w:marRight w:val="0"/>
                      <w:marTop w:val="0"/>
                      <w:marBottom w:val="0"/>
                      <w:divBdr>
                        <w:top w:val="none" w:sz="0" w:space="0" w:color="auto"/>
                        <w:left w:val="none" w:sz="0" w:space="0" w:color="auto"/>
                        <w:bottom w:val="none" w:sz="0" w:space="0" w:color="auto"/>
                        <w:right w:val="none" w:sz="0" w:space="0" w:color="auto"/>
                      </w:divBdr>
                    </w:div>
                  </w:divsChild>
                </w:div>
                <w:div w:id="1563711379">
                  <w:marLeft w:val="0"/>
                  <w:marRight w:val="0"/>
                  <w:marTop w:val="0"/>
                  <w:marBottom w:val="0"/>
                  <w:divBdr>
                    <w:top w:val="none" w:sz="0" w:space="0" w:color="auto"/>
                    <w:left w:val="none" w:sz="0" w:space="0" w:color="auto"/>
                    <w:bottom w:val="none" w:sz="0" w:space="0" w:color="auto"/>
                    <w:right w:val="none" w:sz="0" w:space="0" w:color="auto"/>
                  </w:divBdr>
                  <w:divsChild>
                    <w:div w:id="194346522">
                      <w:marLeft w:val="0"/>
                      <w:marRight w:val="0"/>
                      <w:marTop w:val="0"/>
                      <w:marBottom w:val="0"/>
                      <w:divBdr>
                        <w:top w:val="none" w:sz="0" w:space="0" w:color="auto"/>
                        <w:left w:val="none" w:sz="0" w:space="0" w:color="auto"/>
                        <w:bottom w:val="none" w:sz="0" w:space="0" w:color="auto"/>
                        <w:right w:val="none" w:sz="0" w:space="0" w:color="auto"/>
                      </w:divBdr>
                    </w:div>
                  </w:divsChild>
                </w:div>
                <w:div w:id="1644188532">
                  <w:marLeft w:val="0"/>
                  <w:marRight w:val="0"/>
                  <w:marTop w:val="0"/>
                  <w:marBottom w:val="0"/>
                  <w:divBdr>
                    <w:top w:val="none" w:sz="0" w:space="0" w:color="auto"/>
                    <w:left w:val="none" w:sz="0" w:space="0" w:color="auto"/>
                    <w:bottom w:val="none" w:sz="0" w:space="0" w:color="auto"/>
                    <w:right w:val="none" w:sz="0" w:space="0" w:color="auto"/>
                  </w:divBdr>
                  <w:divsChild>
                    <w:div w:id="569072446">
                      <w:marLeft w:val="0"/>
                      <w:marRight w:val="0"/>
                      <w:marTop w:val="0"/>
                      <w:marBottom w:val="0"/>
                      <w:divBdr>
                        <w:top w:val="none" w:sz="0" w:space="0" w:color="auto"/>
                        <w:left w:val="none" w:sz="0" w:space="0" w:color="auto"/>
                        <w:bottom w:val="none" w:sz="0" w:space="0" w:color="auto"/>
                        <w:right w:val="none" w:sz="0" w:space="0" w:color="auto"/>
                      </w:divBdr>
                    </w:div>
                    <w:div w:id="1902979451">
                      <w:marLeft w:val="0"/>
                      <w:marRight w:val="0"/>
                      <w:marTop w:val="0"/>
                      <w:marBottom w:val="0"/>
                      <w:divBdr>
                        <w:top w:val="none" w:sz="0" w:space="0" w:color="auto"/>
                        <w:left w:val="none" w:sz="0" w:space="0" w:color="auto"/>
                        <w:bottom w:val="none" w:sz="0" w:space="0" w:color="auto"/>
                        <w:right w:val="none" w:sz="0" w:space="0" w:color="auto"/>
                      </w:divBdr>
                    </w:div>
                  </w:divsChild>
                </w:div>
                <w:div w:id="1651983497">
                  <w:marLeft w:val="0"/>
                  <w:marRight w:val="0"/>
                  <w:marTop w:val="0"/>
                  <w:marBottom w:val="0"/>
                  <w:divBdr>
                    <w:top w:val="none" w:sz="0" w:space="0" w:color="auto"/>
                    <w:left w:val="none" w:sz="0" w:space="0" w:color="auto"/>
                    <w:bottom w:val="none" w:sz="0" w:space="0" w:color="auto"/>
                    <w:right w:val="none" w:sz="0" w:space="0" w:color="auto"/>
                  </w:divBdr>
                  <w:divsChild>
                    <w:div w:id="180708325">
                      <w:marLeft w:val="0"/>
                      <w:marRight w:val="0"/>
                      <w:marTop w:val="0"/>
                      <w:marBottom w:val="0"/>
                      <w:divBdr>
                        <w:top w:val="none" w:sz="0" w:space="0" w:color="auto"/>
                        <w:left w:val="none" w:sz="0" w:space="0" w:color="auto"/>
                        <w:bottom w:val="none" w:sz="0" w:space="0" w:color="auto"/>
                        <w:right w:val="none" w:sz="0" w:space="0" w:color="auto"/>
                      </w:divBdr>
                    </w:div>
                  </w:divsChild>
                </w:div>
                <w:div w:id="1825243770">
                  <w:marLeft w:val="0"/>
                  <w:marRight w:val="0"/>
                  <w:marTop w:val="0"/>
                  <w:marBottom w:val="0"/>
                  <w:divBdr>
                    <w:top w:val="none" w:sz="0" w:space="0" w:color="auto"/>
                    <w:left w:val="none" w:sz="0" w:space="0" w:color="auto"/>
                    <w:bottom w:val="none" w:sz="0" w:space="0" w:color="auto"/>
                    <w:right w:val="none" w:sz="0" w:space="0" w:color="auto"/>
                  </w:divBdr>
                  <w:divsChild>
                    <w:div w:id="1634092837">
                      <w:marLeft w:val="0"/>
                      <w:marRight w:val="0"/>
                      <w:marTop w:val="0"/>
                      <w:marBottom w:val="0"/>
                      <w:divBdr>
                        <w:top w:val="none" w:sz="0" w:space="0" w:color="auto"/>
                        <w:left w:val="none" w:sz="0" w:space="0" w:color="auto"/>
                        <w:bottom w:val="none" w:sz="0" w:space="0" w:color="auto"/>
                        <w:right w:val="none" w:sz="0" w:space="0" w:color="auto"/>
                      </w:divBdr>
                    </w:div>
                    <w:div w:id="2090611378">
                      <w:marLeft w:val="0"/>
                      <w:marRight w:val="0"/>
                      <w:marTop w:val="0"/>
                      <w:marBottom w:val="0"/>
                      <w:divBdr>
                        <w:top w:val="none" w:sz="0" w:space="0" w:color="auto"/>
                        <w:left w:val="none" w:sz="0" w:space="0" w:color="auto"/>
                        <w:bottom w:val="none" w:sz="0" w:space="0" w:color="auto"/>
                        <w:right w:val="none" w:sz="0" w:space="0" w:color="auto"/>
                      </w:divBdr>
                    </w:div>
                  </w:divsChild>
                </w:div>
                <w:div w:id="1842500137">
                  <w:marLeft w:val="0"/>
                  <w:marRight w:val="0"/>
                  <w:marTop w:val="0"/>
                  <w:marBottom w:val="0"/>
                  <w:divBdr>
                    <w:top w:val="none" w:sz="0" w:space="0" w:color="auto"/>
                    <w:left w:val="none" w:sz="0" w:space="0" w:color="auto"/>
                    <w:bottom w:val="none" w:sz="0" w:space="0" w:color="auto"/>
                    <w:right w:val="none" w:sz="0" w:space="0" w:color="auto"/>
                  </w:divBdr>
                  <w:divsChild>
                    <w:div w:id="1819106397">
                      <w:marLeft w:val="0"/>
                      <w:marRight w:val="0"/>
                      <w:marTop w:val="0"/>
                      <w:marBottom w:val="0"/>
                      <w:divBdr>
                        <w:top w:val="none" w:sz="0" w:space="0" w:color="auto"/>
                        <w:left w:val="none" w:sz="0" w:space="0" w:color="auto"/>
                        <w:bottom w:val="none" w:sz="0" w:space="0" w:color="auto"/>
                        <w:right w:val="none" w:sz="0" w:space="0" w:color="auto"/>
                      </w:divBdr>
                    </w:div>
                  </w:divsChild>
                </w:div>
                <w:div w:id="1851682441">
                  <w:marLeft w:val="0"/>
                  <w:marRight w:val="0"/>
                  <w:marTop w:val="0"/>
                  <w:marBottom w:val="0"/>
                  <w:divBdr>
                    <w:top w:val="none" w:sz="0" w:space="0" w:color="auto"/>
                    <w:left w:val="none" w:sz="0" w:space="0" w:color="auto"/>
                    <w:bottom w:val="none" w:sz="0" w:space="0" w:color="auto"/>
                    <w:right w:val="none" w:sz="0" w:space="0" w:color="auto"/>
                  </w:divBdr>
                  <w:divsChild>
                    <w:div w:id="172232995">
                      <w:marLeft w:val="0"/>
                      <w:marRight w:val="0"/>
                      <w:marTop w:val="0"/>
                      <w:marBottom w:val="0"/>
                      <w:divBdr>
                        <w:top w:val="none" w:sz="0" w:space="0" w:color="auto"/>
                        <w:left w:val="none" w:sz="0" w:space="0" w:color="auto"/>
                        <w:bottom w:val="none" w:sz="0" w:space="0" w:color="auto"/>
                        <w:right w:val="none" w:sz="0" w:space="0" w:color="auto"/>
                      </w:divBdr>
                    </w:div>
                  </w:divsChild>
                </w:div>
                <w:div w:id="1959026181">
                  <w:marLeft w:val="0"/>
                  <w:marRight w:val="0"/>
                  <w:marTop w:val="0"/>
                  <w:marBottom w:val="0"/>
                  <w:divBdr>
                    <w:top w:val="none" w:sz="0" w:space="0" w:color="auto"/>
                    <w:left w:val="none" w:sz="0" w:space="0" w:color="auto"/>
                    <w:bottom w:val="none" w:sz="0" w:space="0" w:color="auto"/>
                    <w:right w:val="none" w:sz="0" w:space="0" w:color="auto"/>
                  </w:divBdr>
                  <w:divsChild>
                    <w:div w:id="329219971">
                      <w:marLeft w:val="0"/>
                      <w:marRight w:val="0"/>
                      <w:marTop w:val="0"/>
                      <w:marBottom w:val="0"/>
                      <w:divBdr>
                        <w:top w:val="none" w:sz="0" w:space="0" w:color="auto"/>
                        <w:left w:val="none" w:sz="0" w:space="0" w:color="auto"/>
                        <w:bottom w:val="none" w:sz="0" w:space="0" w:color="auto"/>
                        <w:right w:val="none" w:sz="0" w:space="0" w:color="auto"/>
                      </w:divBdr>
                    </w:div>
                  </w:divsChild>
                </w:div>
                <w:div w:id="1971938812">
                  <w:marLeft w:val="0"/>
                  <w:marRight w:val="0"/>
                  <w:marTop w:val="0"/>
                  <w:marBottom w:val="0"/>
                  <w:divBdr>
                    <w:top w:val="none" w:sz="0" w:space="0" w:color="auto"/>
                    <w:left w:val="none" w:sz="0" w:space="0" w:color="auto"/>
                    <w:bottom w:val="none" w:sz="0" w:space="0" w:color="auto"/>
                    <w:right w:val="none" w:sz="0" w:space="0" w:color="auto"/>
                  </w:divBdr>
                  <w:divsChild>
                    <w:div w:id="1226768704">
                      <w:marLeft w:val="0"/>
                      <w:marRight w:val="0"/>
                      <w:marTop w:val="0"/>
                      <w:marBottom w:val="0"/>
                      <w:divBdr>
                        <w:top w:val="none" w:sz="0" w:space="0" w:color="auto"/>
                        <w:left w:val="none" w:sz="0" w:space="0" w:color="auto"/>
                        <w:bottom w:val="none" w:sz="0" w:space="0" w:color="auto"/>
                        <w:right w:val="none" w:sz="0" w:space="0" w:color="auto"/>
                      </w:divBdr>
                    </w:div>
                  </w:divsChild>
                </w:div>
                <w:div w:id="1981037145">
                  <w:marLeft w:val="0"/>
                  <w:marRight w:val="0"/>
                  <w:marTop w:val="0"/>
                  <w:marBottom w:val="0"/>
                  <w:divBdr>
                    <w:top w:val="none" w:sz="0" w:space="0" w:color="auto"/>
                    <w:left w:val="none" w:sz="0" w:space="0" w:color="auto"/>
                    <w:bottom w:val="none" w:sz="0" w:space="0" w:color="auto"/>
                    <w:right w:val="none" w:sz="0" w:space="0" w:color="auto"/>
                  </w:divBdr>
                  <w:divsChild>
                    <w:div w:id="941839779">
                      <w:marLeft w:val="0"/>
                      <w:marRight w:val="0"/>
                      <w:marTop w:val="0"/>
                      <w:marBottom w:val="0"/>
                      <w:divBdr>
                        <w:top w:val="none" w:sz="0" w:space="0" w:color="auto"/>
                        <w:left w:val="none" w:sz="0" w:space="0" w:color="auto"/>
                        <w:bottom w:val="none" w:sz="0" w:space="0" w:color="auto"/>
                        <w:right w:val="none" w:sz="0" w:space="0" w:color="auto"/>
                      </w:divBdr>
                    </w:div>
                  </w:divsChild>
                </w:div>
                <w:div w:id="1998877274">
                  <w:marLeft w:val="0"/>
                  <w:marRight w:val="0"/>
                  <w:marTop w:val="0"/>
                  <w:marBottom w:val="0"/>
                  <w:divBdr>
                    <w:top w:val="none" w:sz="0" w:space="0" w:color="auto"/>
                    <w:left w:val="none" w:sz="0" w:space="0" w:color="auto"/>
                    <w:bottom w:val="none" w:sz="0" w:space="0" w:color="auto"/>
                    <w:right w:val="none" w:sz="0" w:space="0" w:color="auto"/>
                  </w:divBdr>
                  <w:divsChild>
                    <w:div w:id="913465951">
                      <w:marLeft w:val="0"/>
                      <w:marRight w:val="0"/>
                      <w:marTop w:val="0"/>
                      <w:marBottom w:val="0"/>
                      <w:divBdr>
                        <w:top w:val="none" w:sz="0" w:space="0" w:color="auto"/>
                        <w:left w:val="none" w:sz="0" w:space="0" w:color="auto"/>
                        <w:bottom w:val="none" w:sz="0" w:space="0" w:color="auto"/>
                        <w:right w:val="none" w:sz="0" w:space="0" w:color="auto"/>
                      </w:divBdr>
                    </w:div>
                  </w:divsChild>
                </w:div>
                <w:div w:id="2021153656">
                  <w:marLeft w:val="0"/>
                  <w:marRight w:val="0"/>
                  <w:marTop w:val="0"/>
                  <w:marBottom w:val="0"/>
                  <w:divBdr>
                    <w:top w:val="none" w:sz="0" w:space="0" w:color="auto"/>
                    <w:left w:val="none" w:sz="0" w:space="0" w:color="auto"/>
                    <w:bottom w:val="none" w:sz="0" w:space="0" w:color="auto"/>
                    <w:right w:val="none" w:sz="0" w:space="0" w:color="auto"/>
                  </w:divBdr>
                  <w:divsChild>
                    <w:div w:id="1594968776">
                      <w:marLeft w:val="0"/>
                      <w:marRight w:val="0"/>
                      <w:marTop w:val="0"/>
                      <w:marBottom w:val="0"/>
                      <w:divBdr>
                        <w:top w:val="none" w:sz="0" w:space="0" w:color="auto"/>
                        <w:left w:val="none" w:sz="0" w:space="0" w:color="auto"/>
                        <w:bottom w:val="none" w:sz="0" w:space="0" w:color="auto"/>
                        <w:right w:val="none" w:sz="0" w:space="0" w:color="auto"/>
                      </w:divBdr>
                    </w:div>
                  </w:divsChild>
                </w:div>
                <w:div w:id="2037660876">
                  <w:marLeft w:val="0"/>
                  <w:marRight w:val="0"/>
                  <w:marTop w:val="0"/>
                  <w:marBottom w:val="0"/>
                  <w:divBdr>
                    <w:top w:val="none" w:sz="0" w:space="0" w:color="auto"/>
                    <w:left w:val="none" w:sz="0" w:space="0" w:color="auto"/>
                    <w:bottom w:val="none" w:sz="0" w:space="0" w:color="auto"/>
                    <w:right w:val="none" w:sz="0" w:space="0" w:color="auto"/>
                  </w:divBdr>
                  <w:divsChild>
                    <w:div w:id="1278292171">
                      <w:marLeft w:val="0"/>
                      <w:marRight w:val="0"/>
                      <w:marTop w:val="0"/>
                      <w:marBottom w:val="0"/>
                      <w:divBdr>
                        <w:top w:val="none" w:sz="0" w:space="0" w:color="auto"/>
                        <w:left w:val="none" w:sz="0" w:space="0" w:color="auto"/>
                        <w:bottom w:val="none" w:sz="0" w:space="0" w:color="auto"/>
                        <w:right w:val="none" w:sz="0" w:space="0" w:color="auto"/>
                      </w:divBdr>
                    </w:div>
                    <w:div w:id="2135754267">
                      <w:marLeft w:val="0"/>
                      <w:marRight w:val="0"/>
                      <w:marTop w:val="0"/>
                      <w:marBottom w:val="0"/>
                      <w:divBdr>
                        <w:top w:val="none" w:sz="0" w:space="0" w:color="auto"/>
                        <w:left w:val="none" w:sz="0" w:space="0" w:color="auto"/>
                        <w:bottom w:val="none" w:sz="0" w:space="0" w:color="auto"/>
                        <w:right w:val="none" w:sz="0" w:space="0" w:color="auto"/>
                      </w:divBdr>
                    </w:div>
                  </w:divsChild>
                </w:div>
                <w:div w:id="2039699791">
                  <w:marLeft w:val="0"/>
                  <w:marRight w:val="0"/>
                  <w:marTop w:val="0"/>
                  <w:marBottom w:val="0"/>
                  <w:divBdr>
                    <w:top w:val="none" w:sz="0" w:space="0" w:color="auto"/>
                    <w:left w:val="none" w:sz="0" w:space="0" w:color="auto"/>
                    <w:bottom w:val="none" w:sz="0" w:space="0" w:color="auto"/>
                    <w:right w:val="none" w:sz="0" w:space="0" w:color="auto"/>
                  </w:divBdr>
                  <w:divsChild>
                    <w:div w:id="308942499">
                      <w:marLeft w:val="0"/>
                      <w:marRight w:val="0"/>
                      <w:marTop w:val="0"/>
                      <w:marBottom w:val="0"/>
                      <w:divBdr>
                        <w:top w:val="none" w:sz="0" w:space="0" w:color="auto"/>
                        <w:left w:val="none" w:sz="0" w:space="0" w:color="auto"/>
                        <w:bottom w:val="none" w:sz="0" w:space="0" w:color="auto"/>
                        <w:right w:val="none" w:sz="0" w:space="0" w:color="auto"/>
                      </w:divBdr>
                    </w:div>
                  </w:divsChild>
                </w:div>
                <w:div w:id="2052143884">
                  <w:marLeft w:val="0"/>
                  <w:marRight w:val="0"/>
                  <w:marTop w:val="0"/>
                  <w:marBottom w:val="0"/>
                  <w:divBdr>
                    <w:top w:val="none" w:sz="0" w:space="0" w:color="auto"/>
                    <w:left w:val="none" w:sz="0" w:space="0" w:color="auto"/>
                    <w:bottom w:val="none" w:sz="0" w:space="0" w:color="auto"/>
                    <w:right w:val="none" w:sz="0" w:space="0" w:color="auto"/>
                  </w:divBdr>
                  <w:divsChild>
                    <w:div w:id="1336806964">
                      <w:marLeft w:val="0"/>
                      <w:marRight w:val="0"/>
                      <w:marTop w:val="0"/>
                      <w:marBottom w:val="0"/>
                      <w:divBdr>
                        <w:top w:val="none" w:sz="0" w:space="0" w:color="auto"/>
                        <w:left w:val="none" w:sz="0" w:space="0" w:color="auto"/>
                        <w:bottom w:val="none" w:sz="0" w:space="0" w:color="auto"/>
                        <w:right w:val="none" w:sz="0" w:space="0" w:color="auto"/>
                      </w:divBdr>
                    </w:div>
                  </w:divsChild>
                </w:div>
                <w:div w:id="2093307739">
                  <w:marLeft w:val="0"/>
                  <w:marRight w:val="0"/>
                  <w:marTop w:val="0"/>
                  <w:marBottom w:val="0"/>
                  <w:divBdr>
                    <w:top w:val="none" w:sz="0" w:space="0" w:color="auto"/>
                    <w:left w:val="none" w:sz="0" w:space="0" w:color="auto"/>
                    <w:bottom w:val="none" w:sz="0" w:space="0" w:color="auto"/>
                    <w:right w:val="none" w:sz="0" w:space="0" w:color="auto"/>
                  </w:divBdr>
                  <w:divsChild>
                    <w:div w:id="1714575329">
                      <w:marLeft w:val="0"/>
                      <w:marRight w:val="0"/>
                      <w:marTop w:val="0"/>
                      <w:marBottom w:val="0"/>
                      <w:divBdr>
                        <w:top w:val="none" w:sz="0" w:space="0" w:color="auto"/>
                        <w:left w:val="none" w:sz="0" w:space="0" w:color="auto"/>
                        <w:bottom w:val="none" w:sz="0" w:space="0" w:color="auto"/>
                        <w:right w:val="none" w:sz="0" w:space="0" w:color="auto"/>
                      </w:divBdr>
                    </w:div>
                  </w:divsChild>
                </w:div>
                <w:div w:id="2137871985">
                  <w:marLeft w:val="0"/>
                  <w:marRight w:val="0"/>
                  <w:marTop w:val="0"/>
                  <w:marBottom w:val="0"/>
                  <w:divBdr>
                    <w:top w:val="none" w:sz="0" w:space="0" w:color="auto"/>
                    <w:left w:val="none" w:sz="0" w:space="0" w:color="auto"/>
                    <w:bottom w:val="none" w:sz="0" w:space="0" w:color="auto"/>
                    <w:right w:val="none" w:sz="0" w:space="0" w:color="auto"/>
                  </w:divBdr>
                  <w:divsChild>
                    <w:div w:id="206197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809579">
          <w:marLeft w:val="0"/>
          <w:marRight w:val="0"/>
          <w:marTop w:val="0"/>
          <w:marBottom w:val="0"/>
          <w:divBdr>
            <w:top w:val="none" w:sz="0" w:space="0" w:color="auto"/>
            <w:left w:val="none" w:sz="0" w:space="0" w:color="auto"/>
            <w:bottom w:val="none" w:sz="0" w:space="0" w:color="auto"/>
            <w:right w:val="none" w:sz="0" w:space="0" w:color="auto"/>
          </w:divBdr>
          <w:divsChild>
            <w:div w:id="1497914597">
              <w:marLeft w:val="-75"/>
              <w:marRight w:val="0"/>
              <w:marTop w:val="30"/>
              <w:marBottom w:val="30"/>
              <w:divBdr>
                <w:top w:val="none" w:sz="0" w:space="0" w:color="auto"/>
                <w:left w:val="none" w:sz="0" w:space="0" w:color="auto"/>
                <w:bottom w:val="none" w:sz="0" w:space="0" w:color="auto"/>
                <w:right w:val="none" w:sz="0" w:space="0" w:color="auto"/>
              </w:divBdr>
              <w:divsChild>
                <w:div w:id="11615207">
                  <w:marLeft w:val="0"/>
                  <w:marRight w:val="0"/>
                  <w:marTop w:val="0"/>
                  <w:marBottom w:val="0"/>
                  <w:divBdr>
                    <w:top w:val="none" w:sz="0" w:space="0" w:color="auto"/>
                    <w:left w:val="none" w:sz="0" w:space="0" w:color="auto"/>
                    <w:bottom w:val="none" w:sz="0" w:space="0" w:color="auto"/>
                    <w:right w:val="none" w:sz="0" w:space="0" w:color="auto"/>
                  </w:divBdr>
                  <w:divsChild>
                    <w:div w:id="2036078493">
                      <w:marLeft w:val="0"/>
                      <w:marRight w:val="0"/>
                      <w:marTop w:val="0"/>
                      <w:marBottom w:val="0"/>
                      <w:divBdr>
                        <w:top w:val="none" w:sz="0" w:space="0" w:color="auto"/>
                        <w:left w:val="none" w:sz="0" w:space="0" w:color="auto"/>
                        <w:bottom w:val="none" w:sz="0" w:space="0" w:color="auto"/>
                        <w:right w:val="none" w:sz="0" w:space="0" w:color="auto"/>
                      </w:divBdr>
                    </w:div>
                  </w:divsChild>
                </w:div>
                <w:div w:id="12996849">
                  <w:marLeft w:val="0"/>
                  <w:marRight w:val="0"/>
                  <w:marTop w:val="0"/>
                  <w:marBottom w:val="0"/>
                  <w:divBdr>
                    <w:top w:val="none" w:sz="0" w:space="0" w:color="auto"/>
                    <w:left w:val="none" w:sz="0" w:space="0" w:color="auto"/>
                    <w:bottom w:val="none" w:sz="0" w:space="0" w:color="auto"/>
                    <w:right w:val="none" w:sz="0" w:space="0" w:color="auto"/>
                  </w:divBdr>
                  <w:divsChild>
                    <w:div w:id="2039698635">
                      <w:marLeft w:val="0"/>
                      <w:marRight w:val="0"/>
                      <w:marTop w:val="0"/>
                      <w:marBottom w:val="0"/>
                      <w:divBdr>
                        <w:top w:val="none" w:sz="0" w:space="0" w:color="auto"/>
                        <w:left w:val="none" w:sz="0" w:space="0" w:color="auto"/>
                        <w:bottom w:val="none" w:sz="0" w:space="0" w:color="auto"/>
                        <w:right w:val="none" w:sz="0" w:space="0" w:color="auto"/>
                      </w:divBdr>
                    </w:div>
                  </w:divsChild>
                </w:div>
                <w:div w:id="83768826">
                  <w:marLeft w:val="0"/>
                  <w:marRight w:val="0"/>
                  <w:marTop w:val="0"/>
                  <w:marBottom w:val="0"/>
                  <w:divBdr>
                    <w:top w:val="none" w:sz="0" w:space="0" w:color="auto"/>
                    <w:left w:val="none" w:sz="0" w:space="0" w:color="auto"/>
                    <w:bottom w:val="none" w:sz="0" w:space="0" w:color="auto"/>
                    <w:right w:val="none" w:sz="0" w:space="0" w:color="auto"/>
                  </w:divBdr>
                  <w:divsChild>
                    <w:div w:id="1690571227">
                      <w:marLeft w:val="0"/>
                      <w:marRight w:val="0"/>
                      <w:marTop w:val="0"/>
                      <w:marBottom w:val="0"/>
                      <w:divBdr>
                        <w:top w:val="none" w:sz="0" w:space="0" w:color="auto"/>
                        <w:left w:val="none" w:sz="0" w:space="0" w:color="auto"/>
                        <w:bottom w:val="none" w:sz="0" w:space="0" w:color="auto"/>
                        <w:right w:val="none" w:sz="0" w:space="0" w:color="auto"/>
                      </w:divBdr>
                    </w:div>
                  </w:divsChild>
                </w:div>
                <w:div w:id="107893709">
                  <w:marLeft w:val="0"/>
                  <w:marRight w:val="0"/>
                  <w:marTop w:val="0"/>
                  <w:marBottom w:val="0"/>
                  <w:divBdr>
                    <w:top w:val="none" w:sz="0" w:space="0" w:color="auto"/>
                    <w:left w:val="none" w:sz="0" w:space="0" w:color="auto"/>
                    <w:bottom w:val="none" w:sz="0" w:space="0" w:color="auto"/>
                    <w:right w:val="none" w:sz="0" w:space="0" w:color="auto"/>
                  </w:divBdr>
                  <w:divsChild>
                    <w:div w:id="878014669">
                      <w:marLeft w:val="0"/>
                      <w:marRight w:val="0"/>
                      <w:marTop w:val="0"/>
                      <w:marBottom w:val="0"/>
                      <w:divBdr>
                        <w:top w:val="none" w:sz="0" w:space="0" w:color="auto"/>
                        <w:left w:val="none" w:sz="0" w:space="0" w:color="auto"/>
                        <w:bottom w:val="none" w:sz="0" w:space="0" w:color="auto"/>
                        <w:right w:val="none" w:sz="0" w:space="0" w:color="auto"/>
                      </w:divBdr>
                    </w:div>
                  </w:divsChild>
                </w:div>
                <w:div w:id="199172626">
                  <w:marLeft w:val="0"/>
                  <w:marRight w:val="0"/>
                  <w:marTop w:val="0"/>
                  <w:marBottom w:val="0"/>
                  <w:divBdr>
                    <w:top w:val="none" w:sz="0" w:space="0" w:color="auto"/>
                    <w:left w:val="none" w:sz="0" w:space="0" w:color="auto"/>
                    <w:bottom w:val="none" w:sz="0" w:space="0" w:color="auto"/>
                    <w:right w:val="none" w:sz="0" w:space="0" w:color="auto"/>
                  </w:divBdr>
                  <w:divsChild>
                    <w:div w:id="303631044">
                      <w:marLeft w:val="0"/>
                      <w:marRight w:val="0"/>
                      <w:marTop w:val="0"/>
                      <w:marBottom w:val="0"/>
                      <w:divBdr>
                        <w:top w:val="none" w:sz="0" w:space="0" w:color="auto"/>
                        <w:left w:val="none" w:sz="0" w:space="0" w:color="auto"/>
                        <w:bottom w:val="none" w:sz="0" w:space="0" w:color="auto"/>
                        <w:right w:val="none" w:sz="0" w:space="0" w:color="auto"/>
                      </w:divBdr>
                    </w:div>
                  </w:divsChild>
                </w:div>
                <w:div w:id="343240413">
                  <w:marLeft w:val="0"/>
                  <w:marRight w:val="0"/>
                  <w:marTop w:val="0"/>
                  <w:marBottom w:val="0"/>
                  <w:divBdr>
                    <w:top w:val="none" w:sz="0" w:space="0" w:color="auto"/>
                    <w:left w:val="none" w:sz="0" w:space="0" w:color="auto"/>
                    <w:bottom w:val="none" w:sz="0" w:space="0" w:color="auto"/>
                    <w:right w:val="none" w:sz="0" w:space="0" w:color="auto"/>
                  </w:divBdr>
                  <w:divsChild>
                    <w:div w:id="607465359">
                      <w:marLeft w:val="0"/>
                      <w:marRight w:val="0"/>
                      <w:marTop w:val="0"/>
                      <w:marBottom w:val="0"/>
                      <w:divBdr>
                        <w:top w:val="none" w:sz="0" w:space="0" w:color="auto"/>
                        <w:left w:val="none" w:sz="0" w:space="0" w:color="auto"/>
                        <w:bottom w:val="none" w:sz="0" w:space="0" w:color="auto"/>
                        <w:right w:val="none" w:sz="0" w:space="0" w:color="auto"/>
                      </w:divBdr>
                    </w:div>
                  </w:divsChild>
                </w:div>
                <w:div w:id="352457867">
                  <w:marLeft w:val="0"/>
                  <w:marRight w:val="0"/>
                  <w:marTop w:val="0"/>
                  <w:marBottom w:val="0"/>
                  <w:divBdr>
                    <w:top w:val="none" w:sz="0" w:space="0" w:color="auto"/>
                    <w:left w:val="none" w:sz="0" w:space="0" w:color="auto"/>
                    <w:bottom w:val="none" w:sz="0" w:space="0" w:color="auto"/>
                    <w:right w:val="none" w:sz="0" w:space="0" w:color="auto"/>
                  </w:divBdr>
                  <w:divsChild>
                    <w:div w:id="547836871">
                      <w:marLeft w:val="0"/>
                      <w:marRight w:val="0"/>
                      <w:marTop w:val="0"/>
                      <w:marBottom w:val="0"/>
                      <w:divBdr>
                        <w:top w:val="none" w:sz="0" w:space="0" w:color="auto"/>
                        <w:left w:val="none" w:sz="0" w:space="0" w:color="auto"/>
                        <w:bottom w:val="none" w:sz="0" w:space="0" w:color="auto"/>
                        <w:right w:val="none" w:sz="0" w:space="0" w:color="auto"/>
                      </w:divBdr>
                    </w:div>
                  </w:divsChild>
                </w:div>
                <w:div w:id="379789583">
                  <w:marLeft w:val="0"/>
                  <w:marRight w:val="0"/>
                  <w:marTop w:val="0"/>
                  <w:marBottom w:val="0"/>
                  <w:divBdr>
                    <w:top w:val="none" w:sz="0" w:space="0" w:color="auto"/>
                    <w:left w:val="none" w:sz="0" w:space="0" w:color="auto"/>
                    <w:bottom w:val="none" w:sz="0" w:space="0" w:color="auto"/>
                    <w:right w:val="none" w:sz="0" w:space="0" w:color="auto"/>
                  </w:divBdr>
                  <w:divsChild>
                    <w:div w:id="554700057">
                      <w:marLeft w:val="0"/>
                      <w:marRight w:val="0"/>
                      <w:marTop w:val="0"/>
                      <w:marBottom w:val="0"/>
                      <w:divBdr>
                        <w:top w:val="none" w:sz="0" w:space="0" w:color="auto"/>
                        <w:left w:val="none" w:sz="0" w:space="0" w:color="auto"/>
                        <w:bottom w:val="none" w:sz="0" w:space="0" w:color="auto"/>
                        <w:right w:val="none" w:sz="0" w:space="0" w:color="auto"/>
                      </w:divBdr>
                    </w:div>
                  </w:divsChild>
                </w:div>
                <w:div w:id="391973040">
                  <w:marLeft w:val="0"/>
                  <w:marRight w:val="0"/>
                  <w:marTop w:val="0"/>
                  <w:marBottom w:val="0"/>
                  <w:divBdr>
                    <w:top w:val="none" w:sz="0" w:space="0" w:color="auto"/>
                    <w:left w:val="none" w:sz="0" w:space="0" w:color="auto"/>
                    <w:bottom w:val="none" w:sz="0" w:space="0" w:color="auto"/>
                    <w:right w:val="none" w:sz="0" w:space="0" w:color="auto"/>
                  </w:divBdr>
                  <w:divsChild>
                    <w:div w:id="2109352383">
                      <w:marLeft w:val="0"/>
                      <w:marRight w:val="0"/>
                      <w:marTop w:val="0"/>
                      <w:marBottom w:val="0"/>
                      <w:divBdr>
                        <w:top w:val="none" w:sz="0" w:space="0" w:color="auto"/>
                        <w:left w:val="none" w:sz="0" w:space="0" w:color="auto"/>
                        <w:bottom w:val="none" w:sz="0" w:space="0" w:color="auto"/>
                        <w:right w:val="none" w:sz="0" w:space="0" w:color="auto"/>
                      </w:divBdr>
                    </w:div>
                  </w:divsChild>
                </w:div>
                <w:div w:id="403726879">
                  <w:marLeft w:val="0"/>
                  <w:marRight w:val="0"/>
                  <w:marTop w:val="0"/>
                  <w:marBottom w:val="0"/>
                  <w:divBdr>
                    <w:top w:val="none" w:sz="0" w:space="0" w:color="auto"/>
                    <w:left w:val="none" w:sz="0" w:space="0" w:color="auto"/>
                    <w:bottom w:val="none" w:sz="0" w:space="0" w:color="auto"/>
                    <w:right w:val="none" w:sz="0" w:space="0" w:color="auto"/>
                  </w:divBdr>
                  <w:divsChild>
                    <w:div w:id="516425842">
                      <w:marLeft w:val="0"/>
                      <w:marRight w:val="0"/>
                      <w:marTop w:val="0"/>
                      <w:marBottom w:val="0"/>
                      <w:divBdr>
                        <w:top w:val="none" w:sz="0" w:space="0" w:color="auto"/>
                        <w:left w:val="none" w:sz="0" w:space="0" w:color="auto"/>
                        <w:bottom w:val="none" w:sz="0" w:space="0" w:color="auto"/>
                        <w:right w:val="none" w:sz="0" w:space="0" w:color="auto"/>
                      </w:divBdr>
                    </w:div>
                  </w:divsChild>
                </w:div>
                <w:div w:id="412553394">
                  <w:marLeft w:val="0"/>
                  <w:marRight w:val="0"/>
                  <w:marTop w:val="0"/>
                  <w:marBottom w:val="0"/>
                  <w:divBdr>
                    <w:top w:val="none" w:sz="0" w:space="0" w:color="auto"/>
                    <w:left w:val="none" w:sz="0" w:space="0" w:color="auto"/>
                    <w:bottom w:val="none" w:sz="0" w:space="0" w:color="auto"/>
                    <w:right w:val="none" w:sz="0" w:space="0" w:color="auto"/>
                  </w:divBdr>
                  <w:divsChild>
                    <w:div w:id="1015617365">
                      <w:marLeft w:val="0"/>
                      <w:marRight w:val="0"/>
                      <w:marTop w:val="0"/>
                      <w:marBottom w:val="0"/>
                      <w:divBdr>
                        <w:top w:val="none" w:sz="0" w:space="0" w:color="auto"/>
                        <w:left w:val="none" w:sz="0" w:space="0" w:color="auto"/>
                        <w:bottom w:val="none" w:sz="0" w:space="0" w:color="auto"/>
                        <w:right w:val="none" w:sz="0" w:space="0" w:color="auto"/>
                      </w:divBdr>
                    </w:div>
                  </w:divsChild>
                </w:div>
                <w:div w:id="419765430">
                  <w:marLeft w:val="0"/>
                  <w:marRight w:val="0"/>
                  <w:marTop w:val="0"/>
                  <w:marBottom w:val="0"/>
                  <w:divBdr>
                    <w:top w:val="none" w:sz="0" w:space="0" w:color="auto"/>
                    <w:left w:val="none" w:sz="0" w:space="0" w:color="auto"/>
                    <w:bottom w:val="none" w:sz="0" w:space="0" w:color="auto"/>
                    <w:right w:val="none" w:sz="0" w:space="0" w:color="auto"/>
                  </w:divBdr>
                  <w:divsChild>
                    <w:div w:id="105582673">
                      <w:marLeft w:val="0"/>
                      <w:marRight w:val="0"/>
                      <w:marTop w:val="0"/>
                      <w:marBottom w:val="0"/>
                      <w:divBdr>
                        <w:top w:val="none" w:sz="0" w:space="0" w:color="auto"/>
                        <w:left w:val="none" w:sz="0" w:space="0" w:color="auto"/>
                        <w:bottom w:val="none" w:sz="0" w:space="0" w:color="auto"/>
                        <w:right w:val="none" w:sz="0" w:space="0" w:color="auto"/>
                      </w:divBdr>
                    </w:div>
                    <w:div w:id="584723384">
                      <w:marLeft w:val="0"/>
                      <w:marRight w:val="0"/>
                      <w:marTop w:val="0"/>
                      <w:marBottom w:val="0"/>
                      <w:divBdr>
                        <w:top w:val="none" w:sz="0" w:space="0" w:color="auto"/>
                        <w:left w:val="none" w:sz="0" w:space="0" w:color="auto"/>
                        <w:bottom w:val="none" w:sz="0" w:space="0" w:color="auto"/>
                        <w:right w:val="none" w:sz="0" w:space="0" w:color="auto"/>
                      </w:divBdr>
                    </w:div>
                    <w:div w:id="1108156968">
                      <w:marLeft w:val="0"/>
                      <w:marRight w:val="0"/>
                      <w:marTop w:val="0"/>
                      <w:marBottom w:val="0"/>
                      <w:divBdr>
                        <w:top w:val="none" w:sz="0" w:space="0" w:color="auto"/>
                        <w:left w:val="none" w:sz="0" w:space="0" w:color="auto"/>
                        <w:bottom w:val="none" w:sz="0" w:space="0" w:color="auto"/>
                        <w:right w:val="none" w:sz="0" w:space="0" w:color="auto"/>
                      </w:divBdr>
                    </w:div>
                    <w:div w:id="1109274358">
                      <w:marLeft w:val="0"/>
                      <w:marRight w:val="0"/>
                      <w:marTop w:val="0"/>
                      <w:marBottom w:val="0"/>
                      <w:divBdr>
                        <w:top w:val="none" w:sz="0" w:space="0" w:color="auto"/>
                        <w:left w:val="none" w:sz="0" w:space="0" w:color="auto"/>
                        <w:bottom w:val="none" w:sz="0" w:space="0" w:color="auto"/>
                        <w:right w:val="none" w:sz="0" w:space="0" w:color="auto"/>
                      </w:divBdr>
                    </w:div>
                    <w:div w:id="1231311088">
                      <w:marLeft w:val="0"/>
                      <w:marRight w:val="0"/>
                      <w:marTop w:val="0"/>
                      <w:marBottom w:val="0"/>
                      <w:divBdr>
                        <w:top w:val="none" w:sz="0" w:space="0" w:color="auto"/>
                        <w:left w:val="none" w:sz="0" w:space="0" w:color="auto"/>
                        <w:bottom w:val="none" w:sz="0" w:space="0" w:color="auto"/>
                        <w:right w:val="none" w:sz="0" w:space="0" w:color="auto"/>
                      </w:divBdr>
                    </w:div>
                    <w:div w:id="1407603478">
                      <w:marLeft w:val="0"/>
                      <w:marRight w:val="0"/>
                      <w:marTop w:val="0"/>
                      <w:marBottom w:val="0"/>
                      <w:divBdr>
                        <w:top w:val="none" w:sz="0" w:space="0" w:color="auto"/>
                        <w:left w:val="none" w:sz="0" w:space="0" w:color="auto"/>
                        <w:bottom w:val="none" w:sz="0" w:space="0" w:color="auto"/>
                        <w:right w:val="none" w:sz="0" w:space="0" w:color="auto"/>
                      </w:divBdr>
                    </w:div>
                    <w:div w:id="1531722501">
                      <w:marLeft w:val="0"/>
                      <w:marRight w:val="0"/>
                      <w:marTop w:val="0"/>
                      <w:marBottom w:val="0"/>
                      <w:divBdr>
                        <w:top w:val="none" w:sz="0" w:space="0" w:color="auto"/>
                        <w:left w:val="none" w:sz="0" w:space="0" w:color="auto"/>
                        <w:bottom w:val="none" w:sz="0" w:space="0" w:color="auto"/>
                        <w:right w:val="none" w:sz="0" w:space="0" w:color="auto"/>
                      </w:divBdr>
                    </w:div>
                    <w:div w:id="1555894475">
                      <w:marLeft w:val="0"/>
                      <w:marRight w:val="0"/>
                      <w:marTop w:val="0"/>
                      <w:marBottom w:val="0"/>
                      <w:divBdr>
                        <w:top w:val="none" w:sz="0" w:space="0" w:color="auto"/>
                        <w:left w:val="none" w:sz="0" w:space="0" w:color="auto"/>
                        <w:bottom w:val="none" w:sz="0" w:space="0" w:color="auto"/>
                        <w:right w:val="none" w:sz="0" w:space="0" w:color="auto"/>
                      </w:divBdr>
                    </w:div>
                    <w:div w:id="1672566893">
                      <w:marLeft w:val="0"/>
                      <w:marRight w:val="0"/>
                      <w:marTop w:val="0"/>
                      <w:marBottom w:val="0"/>
                      <w:divBdr>
                        <w:top w:val="none" w:sz="0" w:space="0" w:color="auto"/>
                        <w:left w:val="none" w:sz="0" w:space="0" w:color="auto"/>
                        <w:bottom w:val="none" w:sz="0" w:space="0" w:color="auto"/>
                        <w:right w:val="none" w:sz="0" w:space="0" w:color="auto"/>
                      </w:divBdr>
                    </w:div>
                    <w:div w:id="1784573507">
                      <w:marLeft w:val="0"/>
                      <w:marRight w:val="0"/>
                      <w:marTop w:val="0"/>
                      <w:marBottom w:val="0"/>
                      <w:divBdr>
                        <w:top w:val="none" w:sz="0" w:space="0" w:color="auto"/>
                        <w:left w:val="none" w:sz="0" w:space="0" w:color="auto"/>
                        <w:bottom w:val="none" w:sz="0" w:space="0" w:color="auto"/>
                        <w:right w:val="none" w:sz="0" w:space="0" w:color="auto"/>
                      </w:divBdr>
                    </w:div>
                    <w:div w:id="1824813947">
                      <w:marLeft w:val="0"/>
                      <w:marRight w:val="0"/>
                      <w:marTop w:val="0"/>
                      <w:marBottom w:val="0"/>
                      <w:divBdr>
                        <w:top w:val="none" w:sz="0" w:space="0" w:color="auto"/>
                        <w:left w:val="none" w:sz="0" w:space="0" w:color="auto"/>
                        <w:bottom w:val="none" w:sz="0" w:space="0" w:color="auto"/>
                        <w:right w:val="none" w:sz="0" w:space="0" w:color="auto"/>
                      </w:divBdr>
                    </w:div>
                    <w:div w:id="2071534211">
                      <w:marLeft w:val="0"/>
                      <w:marRight w:val="0"/>
                      <w:marTop w:val="0"/>
                      <w:marBottom w:val="0"/>
                      <w:divBdr>
                        <w:top w:val="none" w:sz="0" w:space="0" w:color="auto"/>
                        <w:left w:val="none" w:sz="0" w:space="0" w:color="auto"/>
                        <w:bottom w:val="none" w:sz="0" w:space="0" w:color="auto"/>
                        <w:right w:val="none" w:sz="0" w:space="0" w:color="auto"/>
                      </w:divBdr>
                    </w:div>
                    <w:div w:id="2074809252">
                      <w:marLeft w:val="0"/>
                      <w:marRight w:val="0"/>
                      <w:marTop w:val="0"/>
                      <w:marBottom w:val="0"/>
                      <w:divBdr>
                        <w:top w:val="none" w:sz="0" w:space="0" w:color="auto"/>
                        <w:left w:val="none" w:sz="0" w:space="0" w:color="auto"/>
                        <w:bottom w:val="none" w:sz="0" w:space="0" w:color="auto"/>
                        <w:right w:val="none" w:sz="0" w:space="0" w:color="auto"/>
                      </w:divBdr>
                    </w:div>
                  </w:divsChild>
                </w:div>
                <w:div w:id="428238329">
                  <w:marLeft w:val="0"/>
                  <w:marRight w:val="0"/>
                  <w:marTop w:val="0"/>
                  <w:marBottom w:val="0"/>
                  <w:divBdr>
                    <w:top w:val="none" w:sz="0" w:space="0" w:color="auto"/>
                    <w:left w:val="none" w:sz="0" w:space="0" w:color="auto"/>
                    <w:bottom w:val="none" w:sz="0" w:space="0" w:color="auto"/>
                    <w:right w:val="none" w:sz="0" w:space="0" w:color="auto"/>
                  </w:divBdr>
                  <w:divsChild>
                    <w:div w:id="1700159135">
                      <w:marLeft w:val="0"/>
                      <w:marRight w:val="0"/>
                      <w:marTop w:val="0"/>
                      <w:marBottom w:val="0"/>
                      <w:divBdr>
                        <w:top w:val="none" w:sz="0" w:space="0" w:color="auto"/>
                        <w:left w:val="none" w:sz="0" w:space="0" w:color="auto"/>
                        <w:bottom w:val="none" w:sz="0" w:space="0" w:color="auto"/>
                        <w:right w:val="none" w:sz="0" w:space="0" w:color="auto"/>
                      </w:divBdr>
                    </w:div>
                  </w:divsChild>
                </w:div>
                <w:div w:id="459106975">
                  <w:marLeft w:val="0"/>
                  <w:marRight w:val="0"/>
                  <w:marTop w:val="0"/>
                  <w:marBottom w:val="0"/>
                  <w:divBdr>
                    <w:top w:val="none" w:sz="0" w:space="0" w:color="auto"/>
                    <w:left w:val="none" w:sz="0" w:space="0" w:color="auto"/>
                    <w:bottom w:val="none" w:sz="0" w:space="0" w:color="auto"/>
                    <w:right w:val="none" w:sz="0" w:space="0" w:color="auto"/>
                  </w:divBdr>
                  <w:divsChild>
                    <w:div w:id="1262254012">
                      <w:marLeft w:val="0"/>
                      <w:marRight w:val="0"/>
                      <w:marTop w:val="0"/>
                      <w:marBottom w:val="0"/>
                      <w:divBdr>
                        <w:top w:val="none" w:sz="0" w:space="0" w:color="auto"/>
                        <w:left w:val="none" w:sz="0" w:space="0" w:color="auto"/>
                        <w:bottom w:val="none" w:sz="0" w:space="0" w:color="auto"/>
                        <w:right w:val="none" w:sz="0" w:space="0" w:color="auto"/>
                      </w:divBdr>
                    </w:div>
                  </w:divsChild>
                </w:div>
                <w:div w:id="474566622">
                  <w:marLeft w:val="0"/>
                  <w:marRight w:val="0"/>
                  <w:marTop w:val="0"/>
                  <w:marBottom w:val="0"/>
                  <w:divBdr>
                    <w:top w:val="none" w:sz="0" w:space="0" w:color="auto"/>
                    <w:left w:val="none" w:sz="0" w:space="0" w:color="auto"/>
                    <w:bottom w:val="none" w:sz="0" w:space="0" w:color="auto"/>
                    <w:right w:val="none" w:sz="0" w:space="0" w:color="auto"/>
                  </w:divBdr>
                  <w:divsChild>
                    <w:div w:id="1451363937">
                      <w:marLeft w:val="0"/>
                      <w:marRight w:val="0"/>
                      <w:marTop w:val="0"/>
                      <w:marBottom w:val="0"/>
                      <w:divBdr>
                        <w:top w:val="none" w:sz="0" w:space="0" w:color="auto"/>
                        <w:left w:val="none" w:sz="0" w:space="0" w:color="auto"/>
                        <w:bottom w:val="none" w:sz="0" w:space="0" w:color="auto"/>
                        <w:right w:val="none" w:sz="0" w:space="0" w:color="auto"/>
                      </w:divBdr>
                    </w:div>
                  </w:divsChild>
                </w:div>
                <w:div w:id="513107591">
                  <w:marLeft w:val="0"/>
                  <w:marRight w:val="0"/>
                  <w:marTop w:val="0"/>
                  <w:marBottom w:val="0"/>
                  <w:divBdr>
                    <w:top w:val="none" w:sz="0" w:space="0" w:color="auto"/>
                    <w:left w:val="none" w:sz="0" w:space="0" w:color="auto"/>
                    <w:bottom w:val="none" w:sz="0" w:space="0" w:color="auto"/>
                    <w:right w:val="none" w:sz="0" w:space="0" w:color="auto"/>
                  </w:divBdr>
                  <w:divsChild>
                    <w:div w:id="1909922195">
                      <w:marLeft w:val="0"/>
                      <w:marRight w:val="0"/>
                      <w:marTop w:val="0"/>
                      <w:marBottom w:val="0"/>
                      <w:divBdr>
                        <w:top w:val="none" w:sz="0" w:space="0" w:color="auto"/>
                        <w:left w:val="none" w:sz="0" w:space="0" w:color="auto"/>
                        <w:bottom w:val="none" w:sz="0" w:space="0" w:color="auto"/>
                        <w:right w:val="none" w:sz="0" w:space="0" w:color="auto"/>
                      </w:divBdr>
                    </w:div>
                  </w:divsChild>
                </w:div>
                <w:div w:id="544827394">
                  <w:marLeft w:val="0"/>
                  <w:marRight w:val="0"/>
                  <w:marTop w:val="0"/>
                  <w:marBottom w:val="0"/>
                  <w:divBdr>
                    <w:top w:val="none" w:sz="0" w:space="0" w:color="auto"/>
                    <w:left w:val="none" w:sz="0" w:space="0" w:color="auto"/>
                    <w:bottom w:val="none" w:sz="0" w:space="0" w:color="auto"/>
                    <w:right w:val="none" w:sz="0" w:space="0" w:color="auto"/>
                  </w:divBdr>
                  <w:divsChild>
                    <w:div w:id="19943234">
                      <w:marLeft w:val="0"/>
                      <w:marRight w:val="0"/>
                      <w:marTop w:val="0"/>
                      <w:marBottom w:val="0"/>
                      <w:divBdr>
                        <w:top w:val="none" w:sz="0" w:space="0" w:color="auto"/>
                        <w:left w:val="none" w:sz="0" w:space="0" w:color="auto"/>
                        <w:bottom w:val="none" w:sz="0" w:space="0" w:color="auto"/>
                        <w:right w:val="none" w:sz="0" w:space="0" w:color="auto"/>
                      </w:divBdr>
                    </w:div>
                    <w:div w:id="142427099">
                      <w:marLeft w:val="0"/>
                      <w:marRight w:val="0"/>
                      <w:marTop w:val="0"/>
                      <w:marBottom w:val="0"/>
                      <w:divBdr>
                        <w:top w:val="none" w:sz="0" w:space="0" w:color="auto"/>
                        <w:left w:val="none" w:sz="0" w:space="0" w:color="auto"/>
                        <w:bottom w:val="none" w:sz="0" w:space="0" w:color="auto"/>
                        <w:right w:val="none" w:sz="0" w:space="0" w:color="auto"/>
                      </w:divBdr>
                    </w:div>
                    <w:div w:id="371930156">
                      <w:marLeft w:val="0"/>
                      <w:marRight w:val="0"/>
                      <w:marTop w:val="0"/>
                      <w:marBottom w:val="0"/>
                      <w:divBdr>
                        <w:top w:val="none" w:sz="0" w:space="0" w:color="auto"/>
                        <w:left w:val="none" w:sz="0" w:space="0" w:color="auto"/>
                        <w:bottom w:val="none" w:sz="0" w:space="0" w:color="auto"/>
                        <w:right w:val="none" w:sz="0" w:space="0" w:color="auto"/>
                      </w:divBdr>
                    </w:div>
                    <w:div w:id="558327624">
                      <w:marLeft w:val="0"/>
                      <w:marRight w:val="0"/>
                      <w:marTop w:val="0"/>
                      <w:marBottom w:val="0"/>
                      <w:divBdr>
                        <w:top w:val="none" w:sz="0" w:space="0" w:color="auto"/>
                        <w:left w:val="none" w:sz="0" w:space="0" w:color="auto"/>
                        <w:bottom w:val="none" w:sz="0" w:space="0" w:color="auto"/>
                        <w:right w:val="none" w:sz="0" w:space="0" w:color="auto"/>
                      </w:divBdr>
                    </w:div>
                    <w:div w:id="593822489">
                      <w:marLeft w:val="0"/>
                      <w:marRight w:val="0"/>
                      <w:marTop w:val="0"/>
                      <w:marBottom w:val="0"/>
                      <w:divBdr>
                        <w:top w:val="none" w:sz="0" w:space="0" w:color="auto"/>
                        <w:left w:val="none" w:sz="0" w:space="0" w:color="auto"/>
                        <w:bottom w:val="none" w:sz="0" w:space="0" w:color="auto"/>
                        <w:right w:val="none" w:sz="0" w:space="0" w:color="auto"/>
                      </w:divBdr>
                    </w:div>
                    <w:div w:id="805469651">
                      <w:marLeft w:val="0"/>
                      <w:marRight w:val="0"/>
                      <w:marTop w:val="0"/>
                      <w:marBottom w:val="0"/>
                      <w:divBdr>
                        <w:top w:val="none" w:sz="0" w:space="0" w:color="auto"/>
                        <w:left w:val="none" w:sz="0" w:space="0" w:color="auto"/>
                        <w:bottom w:val="none" w:sz="0" w:space="0" w:color="auto"/>
                        <w:right w:val="none" w:sz="0" w:space="0" w:color="auto"/>
                      </w:divBdr>
                    </w:div>
                    <w:div w:id="1127040890">
                      <w:marLeft w:val="0"/>
                      <w:marRight w:val="0"/>
                      <w:marTop w:val="0"/>
                      <w:marBottom w:val="0"/>
                      <w:divBdr>
                        <w:top w:val="none" w:sz="0" w:space="0" w:color="auto"/>
                        <w:left w:val="none" w:sz="0" w:space="0" w:color="auto"/>
                        <w:bottom w:val="none" w:sz="0" w:space="0" w:color="auto"/>
                        <w:right w:val="none" w:sz="0" w:space="0" w:color="auto"/>
                      </w:divBdr>
                    </w:div>
                    <w:div w:id="1361005307">
                      <w:marLeft w:val="0"/>
                      <w:marRight w:val="0"/>
                      <w:marTop w:val="0"/>
                      <w:marBottom w:val="0"/>
                      <w:divBdr>
                        <w:top w:val="none" w:sz="0" w:space="0" w:color="auto"/>
                        <w:left w:val="none" w:sz="0" w:space="0" w:color="auto"/>
                        <w:bottom w:val="none" w:sz="0" w:space="0" w:color="auto"/>
                        <w:right w:val="none" w:sz="0" w:space="0" w:color="auto"/>
                      </w:divBdr>
                    </w:div>
                    <w:div w:id="2036804535">
                      <w:marLeft w:val="0"/>
                      <w:marRight w:val="0"/>
                      <w:marTop w:val="0"/>
                      <w:marBottom w:val="0"/>
                      <w:divBdr>
                        <w:top w:val="none" w:sz="0" w:space="0" w:color="auto"/>
                        <w:left w:val="none" w:sz="0" w:space="0" w:color="auto"/>
                        <w:bottom w:val="none" w:sz="0" w:space="0" w:color="auto"/>
                        <w:right w:val="none" w:sz="0" w:space="0" w:color="auto"/>
                      </w:divBdr>
                    </w:div>
                  </w:divsChild>
                </w:div>
                <w:div w:id="561212370">
                  <w:marLeft w:val="0"/>
                  <w:marRight w:val="0"/>
                  <w:marTop w:val="0"/>
                  <w:marBottom w:val="0"/>
                  <w:divBdr>
                    <w:top w:val="none" w:sz="0" w:space="0" w:color="auto"/>
                    <w:left w:val="none" w:sz="0" w:space="0" w:color="auto"/>
                    <w:bottom w:val="none" w:sz="0" w:space="0" w:color="auto"/>
                    <w:right w:val="none" w:sz="0" w:space="0" w:color="auto"/>
                  </w:divBdr>
                  <w:divsChild>
                    <w:div w:id="1668555783">
                      <w:marLeft w:val="0"/>
                      <w:marRight w:val="0"/>
                      <w:marTop w:val="0"/>
                      <w:marBottom w:val="0"/>
                      <w:divBdr>
                        <w:top w:val="none" w:sz="0" w:space="0" w:color="auto"/>
                        <w:left w:val="none" w:sz="0" w:space="0" w:color="auto"/>
                        <w:bottom w:val="none" w:sz="0" w:space="0" w:color="auto"/>
                        <w:right w:val="none" w:sz="0" w:space="0" w:color="auto"/>
                      </w:divBdr>
                    </w:div>
                  </w:divsChild>
                </w:div>
                <w:div w:id="576017162">
                  <w:marLeft w:val="0"/>
                  <w:marRight w:val="0"/>
                  <w:marTop w:val="0"/>
                  <w:marBottom w:val="0"/>
                  <w:divBdr>
                    <w:top w:val="none" w:sz="0" w:space="0" w:color="auto"/>
                    <w:left w:val="none" w:sz="0" w:space="0" w:color="auto"/>
                    <w:bottom w:val="none" w:sz="0" w:space="0" w:color="auto"/>
                    <w:right w:val="none" w:sz="0" w:space="0" w:color="auto"/>
                  </w:divBdr>
                  <w:divsChild>
                    <w:div w:id="433743553">
                      <w:marLeft w:val="0"/>
                      <w:marRight w:val="0"/>
                      <w:marTop w:val="0"/>
                      <w:marBottom w:val="0"/>
                      <w:divBdr>
                        <w:top w:val="none" w:sz="0" w:space="0" w:color="auto"/>
                        <w:left w:val="none" w:sz="0" w:space="0" w:color="auto"/>
                        <w:bottom w:val="none" w:sz="0" w:space="0" w:color="auto"/>
                        <w:right w:val="none" w:sz="0" w:space="0" w:color="auto"/>
                      </w:divBdr>
                    </w:div>
                  </w:divsChild>
                </w:div>
                <w:div w:id="589512647">
                  <w:marLeft w:val="0"/>
                  <w:marRight w:val="0"/>
                  <w:marTop w:val="0"/>
                  <w:marBottom w:val="0"/>
                  <w:divBdr>
                    <w:top w:val="none" w:sz="0" w:space="0" w:color="auto"/>
                    <w:left w:val="none" w:sz="0" w:space="0" w:color="auto"/>
                    <w:bottom w:val="none" w:sz="0" w:space="0" w:color="auto"/>
                    <w:right w:val="none" w:sz="0" w:space="0" w:color="auto"/>
                  </w:divBdr>
                  <w:divsChild>
                    <w:div w:id="829640964">
                      <w:marLeft w:val="0"/>
                      <w:marRight w:val="0"/>
                      <w:marTop w:val="0"/>
                      <w:marBottom w:val="0"/>
                      <w:divBdr>
                        <w:top w:val="none" w:sz="0" w:space="0" w:color="auto"/>
                        <w:left w:val="none" w:sz="0" w:space="0" w:color="auto"/>
                        <w:bottom w:val="none" w:sz="0" w:space="0" w:color="auto"/>
                        <w:right w:val="none" w:sz="0" w:space="0" w:color="auto"/>
                      </w:divBdr>
                    </w:div>
                  </w:divsChild>
                </w:div>
                <w:div w:id="592469673">
                  <w:marLeft w:val="0"/>
                  <w:marRight w:val="0"/>
                  <w:marTop w:val="0"/>
                  <w:marBottom w:val="0"/>
                  <w:divBdr>
                    <w:top w:val="none" w:sz="0" w:space="0" w:color="auto"/>
                    <w:left w:val="none" w:sz="0" w:space="0" w:color="auto"/>
                    <w:bottom w:val="none" w:sz="0" w:space="0" w:color="auto"/>
                    <w:right w:val="none" w:sz="0" w:space="0" w:color="auto"/>
                  </w:divBdr>
                  <w:divsChild>
                    <w:div w:id="12345445">
                      <w:marLeft w:val="0"/>
                      <w:marRight w:val="0"/>
                      <w:marTop w:val="0"/>
                      <w:marBottom w:val="0"/>
                      <w:divBdr>
                        <w:top w:val="none" w:sz="0" w:space="0" w:color="auto"/>
                        <w:left w:val="none" w:sz="0" w:space="0" w:color="auto"/>
                        <w:bottom w:val="none" w:sz="0" w:space="0" w:color="auto"/>
                        <w:right w:val="none" w:sz="0" w:space="0" w:color="auto"/>
                      </w:divBdr>
                    </w:div>
                  </w:divsChild>
                </w:div>
                <w:div w:id="665548636">
                  <w:marLeft w:val="0"/>
                  <w:marRight w:val="0"/>
                  <w:marTop w:val="0"/>
                  <w:marBottom w:val="0"/>
                  <w:divBdr>
                    <w:top w:val="none" w:sz="0" w:space="0" w:color="auto"/>
                    <w:left w:val="none" w:sz="0" w:space="0" w:color="auto"/>
                    <w:bottom w:val="none" w:sz="0" w:space="0" w:color="auto"/>
                    <w:right w:val="none" w:sz="0" w:space="0" w:color="auto"/>
                  </w:divBdr>
                  <w:divsChild>
                    <w:div w:id="830145527">
                      <w:marLeft w:val="0"/>
                      <w:marRight w:val="0"/>
                      <w:marTop w:val="0"/>
                      <w:marBottom w:val="0"/>
                      <w:divBdr>
                        <w:top w:val="none" w:sz="0" w:space="0" w:color="auto"/>
                        <w:left w:val="none" w:sz="0" w:space="0" w:color="auto"/>
                        <w:bottom w:val="none" w:sz="0" w:space="0" w:color="auto"/>
                        <w:right w:val="none" w:sz="0" w:space="0" w:color="auto"/>
                      </w:divBdr>
                    </w:div>
                  </w:divsChild>
                </w:div>
                <w:div w:id="675772537">
                  <w:marLeft w:val="0"/>
                  <w:marRight w:val="0"/>
                  <w:marTop w:val="0"/>
                  <w:marBottom w:val="0"/>
                  <w:divBdr>
                    <w:top w:val="none" w:sz="0" w:space="0" w:color="auto"/>
                    <w:left w:val="none" w:sz="0" w:space="0" w:color="auto"/>
                    <w:bottom w:val="none" w:sz="0" w:space="0" w:color="auto"/>
                    <w:right w:val="none" w:sz="0" w:space="0" w:color="auto"/>
                  </w:divBdr>
                  <w:divsChild>
                    <w:div w:id="1313368005">
                      <w:marLeft w:val="0"/>
                      <w:marRight w:val="0"/>
                      <w:marTop w:val="0"/>
                      <w:marBottom w:val="0"/>
                      <w:divBdr>
                        <w:top w:val="none" w:sz="0" w:space="0" w:color="auto"/>
                        <w:left w:val="none" w:sz="0" w:space="0" w:color="auto"/>
                        <w:bottom w:val="none" w:sz="0" w:space="0" w:color="auto"/>
                        <w:right w:val="none" w:sz="0" w:space="0" w:color="auto"/>
                      </w:divBdr>
                    </w:div>
                  </w:divsChild>
                </w:div>
                <w:div w:id="703868193">
                  <w:marLeft w:val="0"/>
                  <w:marRight w:val="0"/>
                  <w:marTop w:val="0"/>
                  <w:marBottom w:val="0"/>
                  <w:divBdr>
                    <w:top w:val="none" w:sz="0" w:space="0" w:color="auto"/>
                    <w:left w:val="none" w:sz="0" w:space="0" w:color="auto"/>
                    <w:bottom w:val="none" w:sz="0" w:space="0" w:color="auto"/>
                    <w:right w:val="none" w:sz="0" w:space="0" w:color="auto"/>
                  </w:divBdr>
                  <w:divsChild>
                    <w:div w:id="618613272">
                      <w:marLeft w:val="0"/>
                      <w:marRight w:val="0"/>
                      <w:marTop w:val="0"/>
                      <w:marBottom w:val="0"/>
                      <w:divBdr>
                        <w:top w:val="none" w:sz="0" w:space="0" w:color="auto"/>
                        <w:left w:val="none" w:sz="0" w:space="0" w:color="auto"/>
                        <w:bottom w:val="none" w:sz="0" w:space="0" w:color="auto"/>
                        <w:right w:val="none" w:sz="0" w:space="0" w:color="auto"/>
                      </w:divBdr>
                    </w:div>
                  </w:divsChild>
                </w:div>
                <w:div w:id="725759073">
                  <w:marLeft w:val="0"/>
                  <w:marRight w:val="0"/>
                  <w:marTop w:val="0"/>
                  <w:marBottom w:val="0"/>
                  <w:divBdr>
                    <w:top w:val="none" w:sz="0" w:space="0" w:color="auto"/>
                    <w:left w:val="none" w:sz="0" w:space="0" w:color="auto"/>
                    <w:bottom w:val="none" w:sz="0" w:space="0" w:color="auto"/>
                    <w:right w:val="none" w:sz="0" w:space="0" w:color="auto"/>
                  </w:divBdr>
                  <w:divsChild>
                    <w:div w:id="1723402442">
                      <w:marLeft w:val="0"/>
                      <w:marRight w:val="0"/>
                      <w:marTop w:val="0"/>
                      <w:marBottom w:val="0"/>
                      <w:divBdr>
                        <w:top w:val="none" w:sz="0" w:space="0" w:color="auto"/>
                        <w:left w:val="none" w:sz="0" w:space="0" w:color="auto"/>
                        <w:bottom w:val="none" w:sz="0" w:space="0" w:color="auto"/>
                        <w:right w:val="none" w:sz="0" w:space="0" w:color="auto"/>
                      </w:divBdr>
                    </w:div>
                  </w:divsChild>
                </w:div>
                <w:div w:id="741879107">
                  <w:marLeft w:val="0"/>
                  <w:marRight w:val="0"/>
                  <w:marTop w:val="0"/>
                  <w:marBottom w:val="0"/>
                  <w:divBdr>
                    <w:top w:val="none" w:sz="0" w:space="0" w:color="auto"/>
                    <w:left w:val="none" w:sz="0" w:space="0" w:color="auto"/>
                    <w:bottom w:val="none" w:sz="0" w:space="0" w:color="auto"/>
                    <w:right w:val="none" w:sz="0" w:space="0" w:color="auto"/>
                  </w:divBdr>
                  <w:divsChild>
                    <w:div w:id="643857504">
                      <w:marLeft w:val="0"/>
                      <w:marRight w:val="0"/>
                      <w:marTop w:val="0"/>
                      <w:marBottom w:val="0"/>
                      <w:divBdr>
                        <w:top w:val="none" w:sz="0" w:space="0" w:color="auto"/>
                        <w:left w:val="none" w:sz="0" w:space="0" w:color="auto"/>
                        <w:bottom w:val="none" w:sz="0" w:space="0" w:color="auto"/>
                        <w:right w:val="none" w:sz="0" w:space="0" w:color="auto"/>
                      </w:divBdr>
                    </w:div>
                  </w:divsChild>
                </w:div>
                <w:div w:id="792866458">
                  <w:marLeft w:val="0"/>
                  <w:marRight w:val="0"/>
                  <w:marTop w:val="0"/>
                  <w:marBottom w:val="0"/>
                  <w:divBdr>
                    <w:top w:val="none" w:sz="0" w:space="0" w:color="auto"/>
                    <w:left w:val="none" w:sz="0" w:space="0" w:color="auto"/>
                    <w:bottom w:val="none" w:sz="0" w:space="0" w:color="auto"/>
                    <w:right w:val="none" w:sz="0" w:space="0" w:color="auto"/>
                  </w:divBdr>
                  <w:divsChild>
                    <w:div w:id="2002392967">
                      <w:marLeft w:val="0"/>
                      <w:marRight w:val="0"/>
                      <w:marTop w:val="0"/>
                      <w:marBottom w:val="0"/>
                      <w:divBdr>
                        <w:top w:val="none" w:sz="0" w:space="0" w:color="auto"/>
                        <w:left w:val="none" w:sz="0" w:space="0" w:color="auto"/>
                        <w:bottom w:val="none" w:sz="0" w:space="0" w:color="auto"/>
                        <w:right w:val="none" w:sz="0" w:space="0" w:color="auto"/>
                      </w:divBdr>
                    </w:div>
                  </w:divsChild>
                </w:div>
                <w:div w:id="835531261">
                  <w:marLeft w:val="0"/>
                  <w:marRight w:val="0"/>
                  <w:marTop w:val="0"/>
                  <w:marBottom w:val="0"/>
                  <w:divBdr>
                    <w:top w:val="none" w:sz="0" w:space="0" w:color="auto"/>
                    <w:left w:val="none" w:sz="0" w:space="0" w:color="auto"/>
                    <w:bottom w:val="none" w:sz="0" w:space="0" w:color="auto"/>
                    <w:right w:val="none" w:sz="0" w:space="0" w:color="auto"/>
                  </w:divBdr>
                  <w:divsChild>
                    <w:div w:id="407463364">
                      <w:marLeft w:val="0"/>
                      <w:marRight w:val="0"/>
                      <w:marTop w:val="0"/>
                      <w:marBottom w:val="0"/>
                      <w:divBdr>
                        <w:top w:val="none" w:sz="0" w:space="0" w:color="auto"/>
                        <w:left w:val="none" w:sz="0" w:space="0" w:color="auto"/>
                        <w:bottom w:val="none" w:sz="0" w:space="0" w:color="auto"/>
                        <w:right w:val="none" w:sz="0" w:space="0" w:color="auto"/>
                      </w:divBdr>
                    </w:div>
                  </w:divsChild>
                </w:div>
                <w:div w:id="875124783">
                  <w:marLeft w:val="0"/>
                  <w:marRight w:val="0"/>
                  <w:marTop w:val="0"/>
                  <w:marBottom w:val="0"/>
                  <w:divBdr>
                    <w:top w:val="none" w:sz="0" w:space="0" w:color="auto"/>
                    <w:left w:val="none" w:sz="0" w:space="0" w:color="auto"/>
                    <w:bottom w:val="none" w:sz="0" w:space="0" w:color="auto"/>
                    <w:right w:val="none" w:sz="0" w:space="0" w:color="auto"/>
                  </w:divBdr>
                  <w:divsChild>
                    <w:div w:id="1136951253">
                      <w:marLeft w:val="0"/>
                      <w:marRight w:val="0"/>
                      <w:marTop w:val="0"/>
                      <w:marBottom w:val="0"/>
                      <w:divBdr>
                        <w:top w:val="none" w:sz="0" w:space="0" w:color="auto"/>
                        <w:left w:val="none" w:sz="0" w:space="0" w:color="auto"/>
                        <w:bottom w:val="none" w:sz="0" w:space="0" w:color="auto"/>
                        <w:right w:val="none" w:sz="0" w:space="0" w:color="auto"/>
                      </w:divBdr>
                    </w:div>
                  </w:divsChild>
                </w:div>
                <w:div w:id="989406041">
                  <w:marLeft w:val="0"/>
                  <w:marRight w:val="0"/>
                  <w:marTop w:val="0"/>
                  <w:marBottom w:val="0"/>
                  <w:divBdr>
                    <w:top w:val="none" w:sz="0" w:space="0" w:color="auto"/>
                    <w:left w:val="none" w:sz="0" w:space="0" w:color="auto"/>
                    <w:bottom w:val="none" w:sz="0" w:space="0" w:color="auto"/>
                    <w:right w:val="none" w:sz="0" w:space="0" w:color="auto"/>
                  </w:divBdr>
                  <w:divsChild>
                    <w:div w:id="136803127">
                      <w:marLeft w:val="0"/>
                      <w:marRight w:val="0"/>
                      <w:marTop w:val="0"/>
                      <w:marBottom w:val="0"/>
                      <w:divBdr>
                        <w:top w:val="none" w:sz="0" w:space="0" w:color="auto"/>
                        <w:left w:val="none" w:sz="0" w:space="0" w:color="auto"/>
                        <w:bottom w:val="none" w:sz="0" w:space="0" w:color="auto"/>
                        <w:right w:val="none" w:sz="0" w:space="0" w:color="auto"/>
                      </w:divBdr>
                    </w:div>
                  </w:divsChild>
                </w:div>
                <w:div w:id="990325203">
                  <w:marLeft w:val="0"/>
                  <w:marRight w:val="0"/>
                  <w:marTop w:val="0"/>
                  <w:marBottom w:val="0"/>
                  <w:divBdr>
                    <w:top w:val="none" w:sz="0" w:space="0" w:color="auto"/>
                    <w:left w:val="none" w:sz="0" w:space="0" w:color="auto"/>
                    <w:bottom w:val="none" w:sz="0" w:space="0" w:color="auto"/>
                    <w:right w:val="none" w:sz="0" w:space="0" w:color="auto"/>
                  </w:divBdr>
                  <w:divsChild>
                    <w:div w:id="1131243365">
                      <w:marLeft w:val="0"/>
                      <w:marRight w:val="0"/>
                      <w:marTop w:val="0"/>
                      <w:marBottom w:val="0"/>
                      <w:divBdr>
                        <w:top w:val="none" w:sz="0" w:space="0" w:color="auto"/>
                        <w:left w:val="none" w:sz="0" w:space="0" w:color="auto"/>
                        <w:bottom w:val="none" w:sz="0" w:space="0" w:color="auto"/>
                        <w:right w:val="none" w:sz="0" w:space="0" w:color="auto"/>
                      </w:divBdr>
                    </w:div>
                  </w:divsChild>
                </w:div>
                <w:div w:id="1048257160">
                  <w:marLeft w:val="0"/>
                  <w:marRight w:val="0"/>
                  <w:marTop w:val="0"/>
                  <w:marBottom w:val="0"/>
                  <w:divBdr>
                    <w:top w:val="none" w:sz="0" w:space="0" w:color="auto"/>
                    <w:left w:val="none" w:sz="0" w:space="0" w:color="auto"/>
                    <w:bottom w:val="none" w:sz="0" w:space="0" w:color="auto"/>
                    <w:right w:val="none" w:sz="0" w:space="0" w:color="auto"/>
                  </w:divBdr>
                  <w:divsChild>
                    <w:div w:id="1284968858">
                      <w:marLeft w:val="0"/>
                      <w:marRight w:val="0"/>
                      <w:marTop w:val="0"/>
                      <w:marBottom w:val="0"/>
                      <w:divBdr>
                        <w:top w:val="none" w:sz="0" w:space="0" w:color="auto"/>
                        <w:left w:val="none" w:sz="0" w:space="0" w:color="auto"/>
                        <w:bottom w:val="none" w:sz="0" w:space="0" w:color="auto"/>
                        <w:right w:val="none" w:sz="0" w:space="0" w:color="auto"/>
                      </w:divBdr>
                    </w:div>
                  </w:divsChild>
                </w:div>
                <w:div w:id="1082218353">
                  <w:marLeft w:val="0"/>
                  <w:marRight w:val="0"/>
                  <w:marTop w:val="0"/>
                  <w:marBottom w:val="0"/>
                  <w:divBdr>
                    <w:top w:val="none" w:sz="0" w:space="0" w:color="auto"/>
                    <w:left w:val="none" w:sz="0" w:space="0" w:color="auto"/>
                    <w:bottom w:val="none" w:sz="0" w:space="0" w:color="auto"/>
                    <w:right w:val="none" w:sz="0" w:space="0" w:color="auto"/>
                  </w:divBdr>
                  <w:divsChild>
                    <w:div w:id="682173768">
                      <w:marLeft w:val="0"/>
                      <w:marRight w:val="0"/>
                      <w:marTop w:val="0"/>
                      <w:marBottom w:val="0"/>
                      <w:divBdr>
                        <w:top w:val="none" w:sz="0" w:space="0" w:color="auto"/>
                        <w:left w:val="none" w:sz="0" w:space="0" w:color="auto"/>
                        <w:bottom w:val="none" w:sz="0" w:space="0" w:color="auto"/>
                        <w:right w:val="none" w:sz="0" w:space="0" w:color="auto"/>
                      </w:divBdr>
                    </w:div>
                  </w:divsChild>
                </w:div>
                <w:div w:id="1108935066">
                  <w:marLeft w:val="0"/>
                  <w:marRight w:val="0"/>
                  <w:marTop w:val="0"/>
                  <w:marBottom w:val="0"/>
                  <w:divBdr>
                    <w:top w:val="none" w:sz="0" w:space="0" w:color="auto"/>
                    <w:left w:val="none" w:sz="0" w:space="0" w:color="auto"/>
                    <w:bottom w:val="none" w:sz="0" w:space="0" w:color="auto"/>
                    <w:right w:val="none" w:sz="0" w:space="0" w:color="auto"/>
                  </w:divBdr>
                  <w:divsChild>
                    <w:div w:id="1163351114">
                      <w:marLeft w:val="0"/>
                      <w:marRight w:val="0"/>
                      <w:marTop w:val="0"/>
                      <w:marBottom w:val="0"/>
                      <w:divBdr>
                        <w:top w:val="none" w:sz="0" w:space="0" w:color="auto"/>
                        <w:left w:val="none" w:sz="0" w:space="0" w:color="auto"/>
                        <w:bottom w:val="none" w:sz="0" w:space="0" w:color="auto"/>
                        <w:right w:val="none" w:sz="0" w:space="0" w:color="auto"/>
                      </w:divBdr>
                    </w:div>
                  </w:divsChild>
                </w:div>
                <w:div w:id="1169641727">
                  <w:marLeft w:val="0"/>
                  <w:marRight w:val="0"/>
                  <w:marTop w:val="0"/>
                  <w:marBottom w:val="0"/>
                  <w:divBdr>
                    <w:top w:val="none" w:sz="0" w:space="0" w:color="auto"/>
                    <w:left w:val="none" w:sz="0" w:space="0" w:color="auto"/>
                    <w:bottom w:val="none" w:sz="0" w:space="0" w:color="auto"/>
                    <w:right w:val="none" w:sz="0" w:space="0" w:color="auto"/>
                  </w:divBdr>
                  <w:divsChild>
                    <w:div w:id="126975397">
                      <w:marLeft w:val="0"/>
                      <w:marRight w:val="0"/>
                      <w:marTop w:val="0"/>
                      <w:marBottom w:val="0"/>
                      <w:divBdr>
                        <w:top w:val="none" w:sz="0" w:space="0" w:color="auto"/>
                        <w:left w:val="none" w:sz="0" w:space="0" w:color="auto"/>
                        <w:bottom w:val="none" w:sz="0" w:space="0" w:color="auto"/>
                        <w:right w:val="none" w:sz="0" w:space="0" w:color="auto"/>
                      </w:divBdr>
                    </w:div>
                  </w:divsChild>
                </w:div>
                <w:div w:id="1199006778">
                  <w:marLeft w:val="0"/>
                  <w:marRight w:val="0"/>
                  <w:marTop w:val="0"/>
                  <w:marBottom w:val="0"/>
                  <w:divBdr>
                    <w:top w:val="none" w:sz="0" w:space="0" w:color="auto"/>
                    <w:left w:val="none" w:sz="0" w:space="0" w:color="auto"/>
                    <w:bottom w:val="none" w:sz="0" w:space="0" w:color="auto"/>
                    <w:right w:val="none" w:sz="0" w:space="0" w:color="auto"/>
                  </w:divBdr>
                  <w:divsChild>
                    <w:div w:id="1239947671">
                      <w:marLeft w:val="0"/>
                      <w:marRight w:val="0"/>
                      <w:marTop w:val="0"/>
                      <w:marBottom w:val="0"/>
                      <w:divBdr>
                        <w:top w:val="none" w:sz="0" w:space="0" w:color="auto"/>
                        <w:left w:val="none" w:sz="0" w:space="0" w:color="auto"/>
                        <w:bottom w:val="none" w:sz="0" w:space="0" w:color="auto"/>
                        <w:right w:val="none" w:sz="0" w:space="0" w:color="auto"/>
                      </w:divBdr>
                    </w:div>
                  </w:divsChild>
                </w:div>
                <w:div w:id="1208838628">
                  <w:marLeft w:val="0"/>
                  <w:marRight w:val="0"/>
                  <w:marTop w:val="0"/>
                  <w:marBottom w:val="0"/>
                  <w:divBdr>
                    <w:top w:val="none" w:sz="0" w:space="0" w:color="auto"/>
                    <w:left w:val="none" w:sz="0" w:space="0" w:color="auto"/>
                    <w:bottom w:val="none" w:sz="0" w:space="0" w:color="auto"/>
                    <w:right w:val="none" w:sz="0" w:space="0" w:color="auto"/>
                  </w:divBdr>
                  <w:divsChild>
                    <w:div w:id="200484721">
                      <w:marLeft w:val="0"/>
                      <w:marRight w:val="0"/>
                      <w:marTop w:val="0"/>
                      <w:marBottom w:val="0"/>
                      <w:divBdr>
                        <w:top w:val="none" w:sz="0" w:space="0" w:color="auto"/>
                        <w:left w:val="none" w:sz="0" w:space="0" w:color="auto"/>
                        <w:bottom w:val="none" w:sz="0" w:space="0" w:color="auto"/>
                        <w:right w:val="none" w:sz="0" w:space="0" w:color="auto"/>
                      </w:divBdr>
                    </w:div>
                    <w:div w:id="516893284">
                      <w:marLeft w:val="0"/>
                      <w:marRight w:val="0"/>
                      <w:marTop w:val="0"/>
                      <w:marBottom w:val="0"/>
                      <w:divBdr>
                        <w:top w:val="none" w:sz="0" w:space="0" w:color="auto"/>
                        <w:left w:val="none" w:sz="0" w:space="0" w:color="auto"/>
                        <w:bottom w:val="none" w:sz="0" w:space="0" w:color="auto"/>
                        <w:right w:val="none" w:sz="0" w:space="0" w:color="auto"/>
                      </w:divBdr>
                    </w:div>
                  </w:divsChild>
                </w:div>
                <w:div w:id="1217354619">
                  <w:marLeft w:val="0"/>
                  <w:marRight w:val="0"/>
                  <w:marTop w:val="0"/>
                  <w:marBottom w:val="0"/>
                  <w:divBdr>
                    <w:top w:val="none" w:sz="0" w:space="0" w:color="auto"/>
                    <w:left w:val="none" w:sz="0" w:space="0" w:color="auto"/>
                    <w:bottom w:val="none" w:sz="0" w:space="0" w:color="auto"/>
                    <w:right w:val="none" w:sz="0" w:space="0" w:color="auto"/>
                  </w:divBdr>
                  <w:divsChild>
                    <w:div w:id="1383363654">
                      <w:marLeft w:val="0"/>
                      <w:marRight w:val="0"/>
                      <w:marTop w:val="0"/>
                      <w:marBottom w:val="0"/>
                      <w:divBdr>
                        <w:top w:val="none" w:sz="0" w:space="0" w:color="auto"/>
                        <w:left w:val="none" w:sz="0" w:space="0" w:color="auto"/>
                        <w:bottom w:val="none" w:sz="0" w:space="0" w:color="auto"/>
                        <w:right w:val="none" w:sz="0" w:space="0" w:color="auto"/>
                      </w:divBdr>
                    </w:div>
                  </w:divsChild>
                </w:div>
                <w:div w:id="1238975018">
                  <w:marLeft w:val="0"/>
                  <w:marRight w:val="0"/>
                  <w:marTop w:val="0"/>
                  <w:marBottom w:val="0"/>
                  <w:divBdr>
                    <w:top w:val="none" w:sz="0" w:space="0" w:color="auto"/>
                    <w:left w:val="none" w:sz="0" w:space="0" w:color="auto"/>
                    <w:bottom w:val="none" w:sz="0" w:space="0" w:color="auto"/>
                    <w:right w:val="none" w:sz="0" w:space="0" w:color="auto"/>
                  </w:divBdr>
                  <w:divsChild>
                    <w:div w:id="2112318560">
                      <w:marLeft w:val="0"/>
                      <w:marRight w:val="0"/>
                      <w:marTop w:val="0"/>
                      <w:marBottom w:val="0"/>
                      <w:divBdr>
                        <w:top w:val="none" w:sz="0" w:space="0" w:color="auto"/>
                        <w:left w:val="none" w:sz="0" w:space="0" w:color="auto"/>
                        <w:bottom w:val="none" w:sz="0" w:space="0" w:color="auto"/>
                        <w:right w:val="none" w:sz="0" w:space="0" w:color="auto"/>
                      </w:divBdr>
                    </w:div>
                  </w:divsChild>
                </w:div>
                <w:div w:id="1274678304">
                  <w:marLeft w:val="0"/>
                  <w:marRight w:val="0"/>
                  <w:marTop w:val="0"/>
                  <w:marBottom w:val="0"/>
                  <w:divBdr>
                    <w:top w:val="none" w:sz="0" w:space="0" w:color="auto"/>
                    <w:left w:val="none" w:sz="0" w:space="0" w:color="auto"/>
                    <w:bottom w:val="none" w:sz="0" w:space="0" w:color="auto"/>
                    <w:right w:val="none" w:sz="0" w:space="0" w:color="auto"/>
                  </w:divBdr>
                  <w:divsChild>
                    <w:div w:id="661203246">
                      <w:marLeft w:val="0"/>
                      <w:marRight w:val="0"/>
                      <w:marTop w:val="0"/>
                      <w:marBottom w:val="0"/>
                      <w:divBdr>
                        <w:top w:val="none" w:sz="0" w:space="0" w:color="auto"/>
                        <w:left w:val="none" w:sz="0" w:space="0" w:color="auto"/>
                        <w:bottom w:val="none" w:sz="0" w:space="0" w:color="auto"/>
                        <w:right w:val="none" w:sz="0" w:space="0" w:color="auto"/>
                      </w:divBdr>
                    </w:div>
                  </w:divsChild>
                </w:div>
                <w:div w:id="1290011764">
                  <w:marLeft w:val="0"/>
                  <w:marRight w:val="0"/>
                  <w:marTop w:val="0"/>
                  <w:marBottom w:val="0"/>
                  <w:divBdr>
                    <w:top w:val="none" w:sz="0" w:space="0" w:color="auto"/>
                    <w:left w:val="none" w:sz="0" w:space="0" w:color="auto"/>
                    <w:bottom w:val="none" w:sz="0" w:space="0" w:color="auto"/>
                    <w:right w:val="none" w:sz="0" w:space="0" w:color="auto"/>
                  </w:divBdr>
                  <w:divsChild>
                    <w:div w:id="189221358">
                      <w:marLeft w:val="0"/>
                      <w:marRight w:val="0"/>
                      <w:marTop w:val="0"/>
                      <w:marBottom w:val="0"/>
                      <w:divBdr>
                        <w:top w:val="none" w:sz="0" w:space="0" w:color="auto"/>
                        <w:left w:val="none" w:sz="0" w:space="0" w:color="auto"/>
                        <w:bottom w:val="none" w:sz="0" w:space="0" w:color="auto"/>
                        <w:right w:val="none" w:sz="0" w:space="0" w:color="auto"/>
                      </w:divBdr>
                    </w:div>
                  </w:divsChild>
                </w:div>
                <w:div w:id="1313411085">
                  <w:marLeft w:val="0"/>
                  <w:marRight w:val="0"/>
                  <w:marTop w:val="0"/>
                  <w:marBottom w:val="0"/>
                  <w:divBdr>
                    <w:top w:val="none" w:sz="0" w:space="0" w:color="auto"/>
                    <w:left w:val="none" w:sz="0" w:space="0" w:color="auto"/>
                    <w:bottom w:val="none" w:sz="0" w:space="0" w:color="auto"/>
                    <w:right w:val="none" w:sz="0" w:space="0" w:color="auto"/>
                  </w:divBdr>
                  <w:divsChild>
                    <w:div w:id="518812232">
                      <w:marLeft w:val="0"/>
                      <w:marRight w:val="0"/>
                      <w:marTop w:val="0"/>
                      <w:marBottom w:val="0"/>
                      <w:divBdr>
                        <w:top w:val="none" w:sz="0" w:space="0" w:color="auto"/>
                        <w:left w:val="none" w:sz="0" w:space="0" w:color="auto"/>
                        <w:bottom w:val="none" w:sz="0" w:space="0" w:color="auto"/>
                        <w:right w:val="none" w:sz="0" w:space="0" w:color="auto"/>
                      </w:divBdr>
                    </w:div>
                  </w:divsChild>
                </w:div>
                <w:div w:id="1341079273">
                  <w:marLeft w:val="0"/>
                  <w:marRight w:val="0"/>
                  <w:marTop w:val="0"/>
                  <w:marBottom w:val="0"/>
                  <w:divBdr>
                    <w:top w:val="none" w:sz="0" w:space="0" w:color="auto"/>
                    <w:left w:val="none" w:sz="0" w:space="0" w:color="auto"/>
                    <w:bottom w:val="none" w:sz="0" w:space="0" w:color="auto"/>
                    <w:right w:val="none" w:sz="0" w:space="0" w:color="auto"/>
                  </w:divBdr>
                  <w:divsChild>
                    <w:div w:id="819730105">
                      <w:marLeft w:val="0"/>
                      <w:marRight w:val="0"/>
                      <w:marTop w:val="0"/>
                      <w:marBottom w:val="0"/>
                      <w:divBdr>
                        <w:top w:val="none" w:sz="0" w:space="0" w:color="auto"/>
                        <w:left w:val="none" w:sz="0" w:space="0" w:color="auto"/>
                        <w:bottom w:val="none" w:sz="0" w:space="0" w:color="auto"/>
                        <w:right w:val="none" w:sz="0" w:space="0" w:color="auto"/>
                      </w:divBdr>
                    </w:div>
                  </w:divsChild>
                </w:div>
                <w:div w:id="1355888604">
                  <w:marLeft w:val="0"/>
                  <w:marRight w:val="0"/>
                  <w:marTop w:val="0"/>
                  <w:marBottom w:val="0"/>
                  <w:divBdr>
                    <w:top w:val="none" w:sz="0" w:space="0" w:color="auto"/>
                    <w:left w:val="none" w:sz="0" w:space="0" w:color="auto"/>
                    <w:bottom w:val="none" w:sz="0" w:space="0" w:color="auto"/>
                    <w:right w:val="none" w:sz="0" w:space="0" w:color="auto"/>
                  </w:divBdr>
                  <w:divsChild>
                    <w:div w:id="1607426774">
                      <w:marLeft w:val="0"/>
                      <w:marRight w:val="0"/>
                      <w:marTop w:val="0"/>
                      <w:marBottom w:val="0"/>
                      <w:divBdr>
                        <w:top w:val="none" w:sz="0" w:space="0" w:color="auto"/>
                        <w:left w:val="none" w:sz="0" w:space="0" w:color="auto"/>
                        <w:bottom w:val="none" w:sz="0" w:space="0" w:color="auto"/>
                        <w:right w:val="none" w:sz="0" w:space="0" w:color="auto"/>
                      </w:divBdr>
                    </w:div>
                  </w:divsChild>
                </w:div>
                <w:div w:id="1378239446">
                  <w:marLeft w:val="0"/>
                  <w:marRight w:val="0"/>
                  <w:marTop w:val="0"/>
                  <w:marBottom w:val="0"/>
                  <w:divBdr>
                    <w:top w:val="none" w:sz="0" w:space="0" w:color="auto"/>
                    <w:left w:val="none" w:sz="0" w:space="0" w:color="auto"/>
                    <w:bottom w:val="none" w:sz="0" w:space="0" w:color="auto"/>
                    <w:right w:val="none" w:sz="0" w:space="0" w:color="auto"/>
                  </w:divBdr>
                  <w:divsChild>
                    <w:div w:id="1429084654">
                      <w:marLeft w:val="0"/>
                      <w:marRight w:val="0"/>
                      <w:marTop w:val="0"/>
                      <w:marBottom w:val="0"/>
                      <w:divBdr>
                        <w:top w:val="none" w:sz="0" w:space="0" w:color="auto"/>
                        <w:left w:val="none" w:sz="0" w:space="0" w:color="auto"/>
                        <w:bottom w:val="none" w:sz="0" w:space="0" w:color="auto"/>
                        <w:right w:val="none" w:sz="0" w:space="0" w:color="auto"/>
                      </w:divBdr>
                    </w:div>
                  </w:divsChild>
                </w:div>
                <w:div w:id="1413964574">
                  <w:marLeft w:val="0"/>
                  <w:marRight w:val="0"/>
                  <w:marTop w:val="0"/>
                  <w:marBottom w:val="0"/>
                  <w:divBdr>
                    <w:top w:val="none" w:sz="0" w:space="0" w:color="auto"/>
                    <w:left w:val="none" w:sz="0" w:space="0" w:color="auto"/>
                    <w:bottom w:val="none" w:sz="0" w:space="0" w:color="auto"/>
                    <w:right w:val="none" w:sz="0" w:space="0" w:color="auto"/>
                  </w:divBdr>
                  <w:divsChild>
                    <w:div w:id="94056380">
                      <w:marLeft w:val="0"/>
                      <w:marRight w:val="0"/>
                      <w:marTop w:val="0"/>
                      <w:marBottom w:val="0"/>
                      <w:divBdr>
                        <w:top w:val="none" w:sz="0" w:space="0" w:color="auto"/>
                        <w:left w:val="none" w:sz="0" w:space="0" w:color="auto"/>
                        <w:bottom w:val="none" w:sz="0" w:space="0" w:color="auto"/>
                        <w:right w:val="none" w:sz="0" w:space="0" w:color="auto"/>
                      </w:divBdr>
                    </w:div>
                    <w:div w:id="167794957">
                      <w:marLeft w:val="0"/>
                      <w:marRight w:val="0"/>
                      <w:marTop w:val="0"/>
                      <w:marBottom w:val="0"/>
                      <w:divBdr>
                        <w:top w:val="none" w:sz="0" w:space="0" w:color="auto"/>
                        <w:left w:val="none" w:sz="0" w:space="0" w:color="auto"/>
                        <w:bottom w:val="none" w:sz="0" w:space="0" w:color="auto"/>
                        <w:right w:val="none" w:sz="0" w:space="0" w:color="auto"/>
                      </w:divBdr>
                    </w:div>
                    <w:div w:id="179047077">
                      <w:marLeft w:val="0"/>
                      <w:marRight w:val="0"/>
                      <w:marTop w:val="0"/>
                      <w:marBottom w:val="0"/>
                      <w:divBdr>
                        <w:top w:val="none" w:sz="0" w:space="0" w:color="auto"/>
                        <w:left w:val="none" w:sz="0" w:space="0" w:color="auto"/>
                        <w:bottom w:val="none" w:sz="0" w:space="0" w:color="auto"/>
                        <w:right w:val="none" w:sz="0" w:space="0" w:color="auto"/>
                      </w:divBdr>
                    </w:div>
                    <w:div w:id="843201532">
                      <w:marLeft w:val="0"/>
                      <w:marRight w:val="0"/>
                      <w:marTop w:val="0"/>
                      <w:marBottom w:val="0"/>
                      <w:divBdr>
                        <w:top w:val="none" w:sz="0" w:space="0" w:color="auto"/>
                        <w:left w:val="none" w:sz="0" w:space="0" w:color="auto"/>
                        <w:bottom w:val="none" w:sz="0" w:space="0" w:color="auto"/>
                        <w:right w:val="none" w:sz="0" w:space="0" w:color="auto"/>
                      </w:divBdr>
                    </w:div>
                    <w:div w:id="963315718">
                      <w:marLeft w:val="0"/>
                      <w:marRight w:val="0"/>
                      <w:marTop w:val="0"/>
                      <w:marBottom w:val="0"/>
                      <w:divBdr>
                        <w:top w:val="none" w:sz="0" w:space="0" w:color="auto"/>
                        <w:left w:val="none" w:sz="0" w:space="0" w:color="auto"/>
                        <w:bottom w:val="none" w:sz="0" w:space="0" w:color="auto"/>
                        <w:right w:val="none" w:sz="0" w:space="0" w:color="auto"/>
                      </w:divBdr>
                    </w:div>
                    <w:div w:id="1318529916">
                      <w:marLeft w:val="0"/>
                      <w:marRight w:val="0"/>
                      <w:marTop w:val="0"/>
                      <w:marBottom w:val="0"/>
                      <w:divBdr>
                        <w:top w:val="none" w:sz="0" w:space="0" w:color="auto"/>
                        <w:left w:val="none" w:sz="0" w:space="0" w:color="auto"/>
                        <w:bottom w:val="none" w:sz="0" w:space="0" w:color="auto"/>
                        <w:right w:val="none" w:sz="0" w:space="0" w:color="auto"/>
                      </w:divBdr>
                    </w:div>
                    <w:div w:id="1537235364">
                      <w:marLeft w:val="0"/>
                      <w:marRight w:val="0"/>
                      <w:marTop w:val="0"/>
                      <w:marBottom w:val="0"/>
                      <w:divBdr>
                        <w:top w:val="none" w:sz="0" w:space="0" w:color="auto"/>
                        <w:left w:val="none" w:sz="0" w:space="0" w:color="auto"/>
                        <w:bottom w:val="none" w:sz="0" w:space="0" w:color="auto"/>
                        <w:right w:val="none" w:sz="0" w:space="0" w:color="auto"/>
                      </w:divBdr>
                    </w:div>
                    <w:div w:id="1561405990">
                      <w:marLeft w:val="0"/>
                      <w:marRight w:val="0"/>
                      <w:marTop w:val="0"/>
                      <w:marBottom w:val="0"/>
                      <w:divBdr>
                        <w:top w:val="none" w:sz="0" w:space="0" w:color="auto"/>
                        <w:left w:val="none" w:sz="0" w:space="0" w:color="auto"/>
                        <w:bottom w:val="none" w:sz="0" w:space="0" w:color="auto"/>
                        <w:right w:val="none" w:sz="0" w:space="0" w:color="auto"/>
                      </w:divBdr>
                    </w:div>
                    <w:div w:id="1575162209">
                      <w:marLeft w:val="0"/>
                      <w:marRight w:val="0"/>
                      <w:marTop w:val="0"/>
                      <w:marBottom w:val="0"/>
                      <w:divBdr>
                        <w:top w:val="none" w:sz="0" w:space="0" w:color="auto"/>
                        <w:left w:val="none" w:sz="0" w:space="0" w:color="auto"/>
                        <w:bottom w:val="none" w:sz="0" w:space="0" w:color="auto"/>
                        <w:right w:val="none" w:sz="0" w:space="0" w:color="auto"/>
                      </w:divBdr>
                    </w:div>
                    <w:div w:id="1757558357">
                      <w:marLeft w:val="0"/>
                      <w:marRight w:val="0"/>
                      <w:marTop w:val="0"/>
                      <w:marBottom w:val="0"/>
                      <w:divBdr>
                        <w:top w:val="none" w:sz="0" w:space="0" w:color="auto"/>
                        <w:left w:val="none" w:sz="0" w:space="0" w:color="auto"/>
                        <w:bottom w:val="none" w:sz="0" w:space="0" w:color="auto"/>
                        <w:right w:val="none" w:sz="0" w:space="0" w:color="auto"/>
                      </w:divBdr>
                    </w:div>
                    <w:div w:id="1765684634">
                      <w:marLeft w:val="0"/>
                      <w:marRight w:val="0"/>
                      <w:marTop w:val="0"/>
                      <w:marBottom w:val="0"/>
                      <w:divBdr>
                        <w:top w:val="none" w:sz="0" w:space="0" w:color="auto"/>
                        <w:left w:val="none" w:sz="0" w:space="0" w:color="auto"/>
                        <w:bottom w:val="none" w:sz="0" w:space="0" w:color="auto"/>
                        <w:right w:val="none" w:sz="0" w:space="0" w:color="auto"/>
                      </w:divBdr>
                    </w:div>
                    <w:div w:id="1793402164">
                      <w:marLeft w:val="0"/>
                      <w:marRight w:val="0"/>
                      <w:marTop w:val="0"/>
                      <w:marBottom w:val="0"/>
                      <w:divBdr>
                        <w:top w:val="none" w:sz="0" w:space="0" w:color="auto"/>
                        <w:left w:val="none" w:sz="0" w:space="0" w:color="auto"/>
                        <w:bottom w:val="none" w:sz="0" w:space="0" w:color="auto"/>
                        <w:right w:val="none" w:sz="0" w:space="0" w:color="auto"/>
                      </w:divBdr>
                    </w:div>
                    <w:div w:id="1901406219">
                      <w:marLeft w:val="0"/>
                      <w:marRight w:val="0"/>
                      <w:marTop w:val="0"/>
                      <w:marBottom w:val="0"/>
                      <w:divBdr>
                        <w:top w:val="none" w:sz="0" w:space="0" w:color="auto"/>
                        <w:left w:val="none" w:sz="0" w:space="0" w:color="auto"/>
                        <w:bottom w:val="none" w:sz="0" w:space="0" w:color="auto"/>
                        <w:right w:val="none" w:sz="0" w:space="0" w:color="auto"/>
                      </w:divBdr>
                    </w:div>
                  </w:divsChild>
                </w:div>
                <w:div w:id="1422212659">
                  <w:marLeft w:val="0"/>
                  <w:marRight w:val="0"/>
                  <w:marTop w:val="0"/>
                  <w:marBottom w:val="0"/>
                  <w:divBdr>
                    <w:top w:val="none" w:sz="0" w:space="0" w:color="auto"/>
                    <w:left w:val="none" w:sz="0" w:space="0" w:color="auto"/>
                    <w:bottom w:val="none" w:sz="0" w:space="0" w:color="auto"/>
                    <w:right w:val="none" w:sz="0" w:space="0" w:color="auto"/>
                  </w:divBdr>
                  <w:divsChild>
                    <w:div w:id="336883448">
                      <w:marLeft w:val="0"/>
                      <w:marRight w:val="0"/>
                      <w:marTop w:val="0"/>
                      <w:marBottom w:val="0"/>
                      <w:divBdr>
                        <w:top w:val="none" w:sz="0" w:space="0" w:color="auto"/>
                        <w:left w:val="none" w:sz="0" w:space="0" w:color="auto"/>
                        <w:bottom w:val="none" w:sz="0" w:space="0" w:color="auto"/>
                        <w:right w:val="none" w:sz="0" w:space="0" w:color="auto"/>
                      </w:divBdr>
                    </w:div>
                  </w:divsChild>
                </w:div>
                <w:div w:id="1424297128">
                  <w:marLeft w:val="0"/>
                  <w:marRight w:val="0"/>
                  <w:marTop w:val="0"/>
                  <w:marBottom w:val="0"/>
                  <w:divBdr>
                    <w:top w:val="none" w:sz="0" w:space="0" w:color="auto"/>
                    <w:left w:val="none" w:sz="0" w:space="0" w:color="auto"/>
                    <w:bottom w:val="none" w:sz="0" w:space="0" w:color="auto"/>
                    <w:right w:val="none" w:sz="0" w:space="0" w:color="auto"/>
                  </w:divBdr>
                  <w:divsChild>
                    <w:div w:id="403646419">
                      <w:marLeft w:val="0"/>
                      <w:marRight w:val="0"/>
                      <w:marTop w:val="0"/>
                      <w:marBottom w:val="0"/>
                      <w:divBdr>
                        <w:top w:val="none" w:sz="0" w:space="0" w:color="auto"/>
                        <w:left w:val="none" w:sz="0" w:space="0" w:color="auto"/>
                        <w:bottom w:val="none" w:sz="0" w:space="0" w:color="auto"/>
                        <w:right w:val="none" w:sz="0" w:space="0" w:color="auto"/>
                      </w:divBdr>
                    </w:div>
                  </w:divsChild>
                </w:div>
                <w:div w:id="1425803382">
                  <w:marLeft w:val="0"/>
                  <w:marRight w:val="0"/>
                  <w:marTop w:val="0"/>
                  <w:marBottom w:val="0"/>
                  <w:divBdr>
                    <w:top w:val="none" w:sz="0" w:space="0" w:color="auto"/>
                    <w:left w:val="none" w:sz="0" w:space="0" w:color="auto"/>
                    <w:bottom w:val="none" w:sz="0" w:space="0" w:color="auto"/>
                    <w:right w:val="none" w:sz="0" w:space="0" w:color="auto"/>
                  </w:divBdr>
                  <w:divsChild>
                    <w:div w:id="121925624">
                      <w:marLeft w:val="0"/>
                      <w:marRight w:val="0"/>
                      <w:marTop w:val="0"/>
                      <w:marBottom w:val="0"/>
                      <w:divBdr>
                        <w:top w:val="none" w:sz="0" w:space="0" w:color="auto"/>
                        <w:left w:val="none" w:sz="0" w:space="0" w:color="auto"/>
                        <w:bottom w:val="none" w:sz="0" w:space="0" w:color="auto"/>
                        <w:right w:val="none" w:sz="0" w:space="0" w:color="auto"/>
                      </w:divBdr>
                    </w:div>
                    <w:div w:id="309795777">
                      <w:marLeft w:val="0"/>
                      <w:marRight w:val="0"/>
                      <w:marTop w:val="0"/>
                      <w:marBottom w:val="0"/>
                      <w:divBdr>
                        <w:top w:val="none" w:sz="0" w:space="0" w:color="auto"/>
                        <w:left w:val="none" w:sz="0" w:space="0" w:color="auto"/>
                        <w:bottom w:val="none" w:sz="0" w:space="0" w:color="auto"/>
                        <w:right w:val="none" w:sz="0" w:space="0" w:color="auto"/>
                      </w:divBdr>
                    </w:div>
                    <w:div w:id="719944102">
                      <w:marLeft w:val="0"/>
                      <w:marRight w:val="0"/>
                      <w:marTop w:val="0"/>
                      <w:marBottom w:val="0"/>
                      <w:divBdr>
                        <w:top w:val="none" w:sz="0" w:space="0" w:color="auto"/>
                        <w:left w:val="none" w:sz="0" w:space="0" w:color="auto"/>
                        <w:bottom w:val="none" w:sz="0" w:space="0" w:color="auto"/>
                        <w:right w:val="none" w:sz="0" w:space="0" w:color="auto"/>
                      </w:divBdr>
                    </w:div>
                    <w:div w:id="722674893">
                      <w:marLeft w:val="0"/>
                      <w:marRight w:val="0"/>
                      <w:marTop w:val="0"/>
                      <w:marBottom w:val="0"/>
                      <w:divBdr>
                        <w:top w:val="none" w:sz="0" w:space="0" w:color="auto"/>
                        <w:left w:val="none" w:sz="0" w:space="0" w:color="auto"/>
                        <w:bottom w:val="none" w:sz="0" w:space="0" w:color="auto"/>
                        <w:right w:val="none" w:sz="0" w:space="0" w:color="auto"/>
                      </w:divBdr>
                    </w:div>
                    <w:div w:id="1566260497">
                      <w:marLeft w:val="0"/>
                      <w:marRight w:val="0"/>
                      <w:marTop w:val="0"/>
                      <w:marBottom w:val="0"/>
                      <w:divBdr>
                        <w:top w:val="none" w:sz="0" w:space="0" w:color="auto"/>
                        <w:left w:val="none" w:sz="0" w:space="0" w:color="auto"/>
                        <w:bottom w:val="none" w:sz="0" w:space="0" w:color="auto"/>
                        <w:right w:val="none" w:sz="0" w:space="0" w:color="auto"/>
                      </w:divBdr>
                    </w:div>
                    <w:div w:id="1806700150">
                      <w:marLeft w:val="0"/>
                      <w:marRight w:val="0"/>
                      <w:marTop w:val="0"/>
                      <w:marBottom w:val="0"/>
                      <w:divBdr>
                        <w:top w:val="none" w:sz="0" w:space="0" w:color="auto"/>
                        <w:left w:val="none" w:sz="0" w:space="0" w:color="auto"/>
                        <w:bottom w:val="none" w:sz="0" w:space="0" w:color="auto"/>
                        <w:right w:val="none" w:sz="0" w:space="0" w:color="auto"/>
                      </w:divBdr>
                    </w:div>
                    <w:div w:id="1856840614">
                      <w:marLeft w:val="0"/>
                      <w:marRight w:val="0"/>
                      <w:marTop w:val="0"/>
                      <w:marBottom w:val="0"/>
                      <w:divBdr>
                        <w:top w:val="none" w:sz="0" w:space="0" w:color="auto"/>
                        <w:left w:val="none" w:sz="0" w:space="0" w:color="auto"/>
                        <w:bottom w:val="none" w:sz="0" w:space="0" w:color="auto"/>
                        <w:right w:val="none" w:sz="0" w:space="0" w:color="auto"/>
                      </w:divBdr>
                    </w:div>
                  </w:divsChild>
                </w:div>
                <w:div w:id="1431513657">
                  <w:marLeft w:val="0"/>
                  <w:marRight w:val="0"/>
                  <w:marTop w:val="0"/>
                  <w:marBottom w:val="0"/>
                  <w:divBdr>
                    <w:top w:val="none" w:sz="0" w:space="0" w:color="auto"/>
                    <w:left w:val="none" w:sz="0" w:space="0" w:color="auto"/>
                    <w:bottom w:val="none" w:sz="0" w:space="0" w:color="auto"/>
                    <w:right w:val="none" w:sz="0" w:space="0" w:color="auto"/>
                  </w:divBdr>
                  <w:divsChild>
                    <w:div w:id="226380702">
                      <w:marLeft w:val="0"/>
                      <w:marRight w:val="0"/>
                      <w:marTop w:val="0"/>
                      <w:marBottom w:val="0"/>
                      <w:divBdr>
                        <w:top w:val="none" w:sz="0" w:space="0" w:color="auto"/>
                        <w:left w:val="none" w:sz="0" w:space="0" w:color="auto"/>
                        <w:bottom w:val="none" w:sz="0" w:space="0" w:color="auto"/>
                        <w:right w:val="none" w:sz="0" w:space="0" w:color="auto"/>
                      </w:divBdr>
                    </w:div>
                    <w:div w:id="538707919">
                      <w:marLeft w:val="0"/>
                      <w:marRight w:val="0"/>
                      <w:marTop w:val="0"/>
                      <w:marBottom w:val="0"/>
                      <w:divBdr>
                        <w:top w:val="none" w:sz="0" w:space="0" w:color="auto"/>
                        <w:left w:val="none" w:sz="0" w:space="0" w:color="auto"/>
                        <w:bottom w:val="none" w:sz="0" w:space="0" w:color="auto"/>
                        <w:right w:val="none" w:sz="0" w:space="0" w:color="auto"/>
                      </w:divBdr>
                    </w:div>
                    <w:div w:id="653488979">
                      <w:marLeft w:val="0"/>
                      <w:marRight w:val="0"/>
                      <w:marTop w:val="0"/>
                      <w:marBottom w:val="0"/>
                      <w:divBdr>
                        <w:top w:val="none" w:sz="0" w:space="0" w:color="auto"/>
                        <w:left w:val="none" w:sz="0" w:space="0" w:color="auto"/>
                        <w:bottom w:val="none" w:sz="0" w:space="0" w:color="auto"/>
                        <w:right w:val="none" w:sz="0" w:space="0" w:color="auto"/>
                      </w:divBdr>
                    </w:div>
                    <w:div w:id="908733576">
                      <w:marLeft w:val="0"/>
                      <w:marRight w:val="0"/>
                      <w:marTop w:val="0"/>
                      <w:marBottom w:val="0"/>
                      <w:divBdr>
                        <w:top w:val="none" w:sz="0" w:space="0" w:color="auto"/>
                        <w:left w:val="none" w:sz="0" w:space="0" w:color="auto"/>
                        <w:bottom w:val="none" w:sz="0" w:space="0" w:color="auto"/>
                        <w:right w:val="none" w:sz="0" w:space="0" w:color="auto"/>
                      </w:divBdr>
                    </w:div>
                    <w:div w:id="1143040665">
                      <w:marLeft w:val="0"/>
                      <w:marRight w:val="0"/>
                      <w:marTop w:val="0"/>
                      <w:marBottom w:val="0"/>
                      <w:divBdr>
                        <w:top w:val="none" w:sz="0" w:space="0" w:color="auto"/>
                        <w:left w:val="none" w:sz="0" w:space="0" w:color="auto"/>
                        <w:bottom w:val="none" w:sz="0" w:space="0" w:color="auto"/>
                        <w:right w:val="none" w:sz="0" w:space="0" w:color="auto"/>
                      </w:divBdr>
                    </w:div>
                    <w:div w:id="1272779687">
                      <w:marLeft w:val="0"/>
                      <w:marRight w:val="0"/>
                      <w:marTop w:val="0"/>
                      <w:marBottom w:val="0"/>
                      <w:divBdr>
                        <w:top w:val="none" w:sz="0" w:space="0" w:color="auto"/>
                        <w:left w:val="none" w:sz="0" w:space="0" w:color="auto"/>
                        <w:bottom w:val="none" w:sz="0" w:space="0" w:color="auto"/>
                        <w:right w:val="none" w:sz="0" w:space="0" w:color="auto"/>
                      </w:divBdr>
                    </w:div>
                    <w:div w:id="1279490679">
                      <w:marLeft w:val="0"/>
                      <w:marRight w:val="0"/>
                      <w:marTop w:val="0"/>
                      <w:marBottom w:val="0"/>
                      <w:divBdr>
                        <w:top w:val="none" w:sz="0" w:space="0" w:color="auto"/>
                        <w:left w:val="none" w:sz="0" w:space="0" w:color="auto"/>
                        <w:bottom w:val="none" w:sz="0" w:space="0" w:color="auto"/>
                        <w:right w:val="none" w:sz="0" w:space="0" w:color="auto"/>
                      </w:divBdr>
                    </w:div>
                    <w:div w:id="1343628785">
                      <w:marLeft w:val="0"/>
                      <w:marRight w:val="0"/>
                      <w:marTop w:val="0"/>
                      <w:marBottom w:val="0"/>
                      <w:divBdr>
                        <w:top w:val="none" w:sz="0" w:space="0" w:color="auto"/>
                        <w:left w:val="none" w:sz="0" w:space="0" w:color="auto"/>
                        <w:bottom w:val="none" w:sz="0" w:space="0" w:color="auto"/>
                        <w:right w:val="none" w:sz="0" w:space="0" w:color="auto"/>
                      </w:divBdr>
                    </w:div>
                    <w:div w:id="1447239594">
                      <w:marLeft w:val="0"/>
                      <w:marRight w:val="0"/>
                      <w:marTop w:val="0"/>
                      <w:marBottom w:val="0"/>
                      <w:divBdr>
                        <w:top w:val="none" w:sz="0" w:space="0" w:color="auto"/>
                        <w:left w:val="none" w:sz="0" w:space="0" w:color="auto"/>
                        <w:bottom w:val="none" w:sz="0" w:space="0" w:color="auto"/>
                        <w:right w:val="none" w:sz="0" w:space="0" w:color="auto"/>
                      </w:divBdr>
                    </w:div>
                    <w:div w:id="1511987010">
                      <w:marLeft w:val="0"/>
                      <w:marRight w:val="0"/>
                      <w:marTop w:val="0"/>
                      <w:marBottom w:val="0"/>
                      <w:divBdr>
                        <w:top w:val="none" w:sz="0" w:space="0" w:color="auto"/>
                        <w:left w:val="none" w:sz="0" w:space="0" w:color="auto"/>
                        <w:bottom w:val="none" w:sz="0" w:space="0" w:color="auto"/>
                        <w:right w:val="none" w:sz="0" w:space="0" w:color="auto"/>
                      </w:divBdr>
                    </w:div>
                    <w:div w:id="1573732848">
                      <w:marLeft w:val="0"/>
                      <w:marRight w:val="0"/>
                      <w:marTop w:val="0"/>
                      <w:marBottom w:val="0"/>
                      <w:divBdr>
                        <w:top w:val="none" w:sz="0" w:space="0" w:color="auto"/>
                        <w:left w:val="none" w:sz="0" w:space="0" w:color="auto"/>
                        <w:bottom w:val="none" w:sz="0" w:space="0" w:color="auto"/>
                        <w:right w:val="none" w:sz="0" w:space="0" w:color="auto"/>
                      </w:divBdr>
                    </w:div>
                  </w:divsChild>
                </w:div>
                <w:div w:id="1446775953">
                  <w:marLeft w:val="0"/>
                  <w:marRight w:val="0"/>
                  <w:marTop w:val="0"/>
                  <w:marBottom w:val="0"/>
                  <w:divBdr>
                    <w:top w:val="none" w:sz="0" w:space="0" w:color="auto"/>
                    <w:left w:val="none" w:sz="0" w:space="0" w:color="auto"/>
                    <w:bottom w:val="none" w:sz="0" w:space="0" w:color="auto"/>
                    <w:right w:val="none" w:sz="0" w:space="0" w:color="auto"/>
                  </w:divBdr>
                  <w:divsChild>
                    <w:div w:id="694421794">
                      <w:marLeft w:val="0"/>
                      <w:marRight w:val="0"/>
                      <w:marTop w:val="0"/>
                      <w:marBottom w:val="0"/>
                      <w:divBdr>
                        <w:top w:val="none" w:sz="0" w:space="0" w:color="auto"/>
                        <w:left w:val="none" w:sz="0" w:space="0" w:color="auto"/>
                        <w:bottom w:val="none" w:sz="0" w:space="0" w:color="auto"/>
                        <w:right w:val="none" w:sz="0" w:space="0" w:color="auto"/>
                      </w:divBdr>
                    </w:div>
                  </w:divsChild>
                </w:div>
                <w:div w:id="1463116117">
                  <w:marLeft w:val="0"/>
                  <w:marRight w:val="0"/>
                  <w:marTop w:val="0"/>
                  <w:marBottom w:val="0"/>
                  <w:divBdr>
                    <w:top w:val="none" w:sz="0" w:space="0" w:color="auto"/>
                    <w:left w:val="none" w:sz="0" w:space="0" w:color="auto"/>
                    <w:bottom w:val="none" w:sz="0" w:space="0" w:color="auto"/>
                    <w:right w:val="none" w:sz="0" w:space="0" w:color="auto"/>
                  </w:divBdr>
                  <w:divsChild>
                    <w:div w:id="311715053">
                      <w:marLeft w:val="0"/>
                      <w:marRight w:val="0"/>
                      <w:marTop w:val="0"/>
                      <w:marBottom w:val="0"/>
                      <w:divBdr>
                        <w:top w:val="none" w:sz="0" w:space="0" w:color="auto"/>
                        <w:left w:val="none" w:sz="0" w:space="0" w:color="auto"/>
                        <w:bottom w:val="none" w:sz="0" w:space="0" w:color="auto"/>
                        <w:right w:val="none" w:sz="0" w:space="0" w:color="auto"/>
                      </w:divBdr>
                    </w:div>
                    <w:div w:id="319047341">
                      <w:marLeft w:val="0"/>
                      <w:marRight w:val="0"/>
                      <w:marTop w:val="0"/>
                      <w:marBottom w:val="0"/>
                      <w:divBdr>
                        <w:top w:val="none" w:sz="0" w:space="0" w:color="auto"/>
                        <w:left w:val="none" w:sz="0" w:space="0" w:color="auto"/>
                        <w:bottom w:val="none" w:sz="0" w:space="0" w:color="auto"/>
                        <w:right w:val="none" w:sz="0" w:space="0" w:color="auto"/>
                      </w:divBdr>
                    </w:div>
                    <w:div w:id="857234841">
                      <w:marLeft w:val="0"/>
                      <w:marRight w:val="0"/>
                      <w:marTop w:val="0"/>
                      <w:marBottom w:val="0"/>
                      <w:divBdr>
                        <w:top w:val="none" w:sz="0" w:space="0" w:color="auto"/>
                        <w:left w:val="none" w:sz="0" w:space="0" w:color="auto"/>
                        <w:bottom w:val="none" w:sz="0" w:space="0" w:color="auto"/>
                        <w:right w:val="none" w:sz="0" w:space="0" w:color="auto"/>
                      </w:divBdr>
                    </w:div>
                    <w:div w:id="874542668">
                      <w:marLeft w:val="0"/>
                      <w:marRight w:val="0"/>
                      <w:marTop w:val="0"/>
                      <w:marBottom w:val="0"/>
                      <w:divBdr>
                        <w:top w:val="none" w:sz="0" w:space="0" w:color="auto"/>
                        <w:left w:val="none" w:sz="0" w:space="0" w:color="auto"/>
                        <w:bottom w:val="none" w:sz="0" w:space="0" w:color="auto"/>
                        <w:right w:val="none" w:sz="0" w:space="0" w:color="auto"/>
                      </w:divBdr>
                    </w:div>
                    <w:div w:id="1125537930">
                      <w:marLeft w:val="0"/>
                      <w:marRight w:val="0"/>
                      <w:marTop w:val="0"/>
                      <w:marBottom w:val="0"/>
                      <w:divBdr>
                        <w:top w:val="none" w:sz="0" w:space="0" w:color="auto"/>
                        <w:left w:val="none" w:sz="0" w:space="0" w:color="auto"/>
                        <w:bottom w:val="none" w:sz="0" w:space="0" w:color="auto"/>
                        <w:right w:val="none" w:sz="0" w:space="0" w:color="auto"/>
                      </w:divBdr>
                    </w:div>
                    <w:div w:id="1125658159">
                      <w:marLeft w:val="0"/>
                      <w:marRight w:val="0"/>
                      <w:marTop w:val="0"/>
                      <w:marBottom w:val="0"/>
                      <w:divBdr>
                        <w:top w:val="none" w:sz="0" w:space="0" w:color="auto"/>
                        <w:left w:val="none" w:sz="0" w:space="0" w:color="auto"/>
                        <w:bottom w:val="none" w:sz="0" w:space="0" w:color="auto"/>
                        <w:right w:val="none" w:sz="0" w:space="0" w:color="auto"/>
                      </w:divBdr>
                    </w:div>
                    <w:div w:id="1427723903">
                      <w:marLeft w:val="0"/>
                      <w:marRight w:val="0"/>
                      <w:marTop w:val="0"/>
                      <w:marBottom w:val="0"/>
                      <w:divBdr>
                        <w:top w:val="none" w:sz="0" w:space="0" w:color="auto"/>
                        <w:left w:val="none" w:sz="0" w:space="0" w:color="auto"/>
                        <w:bottom w:val="none" w:sz="0" w:space="0" w:color="auto"/>
                        <w:right w:val="none" w:sz="0" w:space="0" w:color="auto"/>
                      </w:divBdr>
                    </w:div>
                    <w:div w:id="1514879171">
                      <w:marLeft w:val="0"/>
                      <w:marRight w:val="0"/>
                      <w:marTop w:val="0"/>
                      <w:marBottom w:val="0"/>
                      <w:divBdr>
                        <w:top w:val="none" w:sz="0" w:space="0" w:color="auto"/>
                        <w:left w:val="none" w:sz="0" w:space="0" w:color="auto"/>
                        <w:bottom w:val="none" w:sz="0" w:space="0" w:color="auto"/>
                        <w:right w:val="none" w:sz="0" w:space="0" w:color="auto"/>
                      </w:divBdr>
                    </w:div>
                    <w:div w:id="1625849366">
                      <w:marLeft w:val="0"/>
                      <w:marRight w:val="0"/>
                      <w:marTop w:val="0"/>
                      <w:marBottom w:val="0"/>
                      <w:divBdr>
                        <w:top w:val="none" w:sz="0" w:space="0" w:color="auto"/>
                        <w:left w:val="none" w:sz="0" w:space="0" w:color="auto"/>
                        <w:bottom w:val="none" w:sz="0" w:space="0" w:color="auto"/>
                        <w:right w:val="none" w:sz="0" w:space="0" w:color="auto"/>
                      </w:divBdr>
                    </w:div>
                    <w:div w:id="2127850086">
                      <w:marLeft w:val="0"/>
                      <w:marRight w:val="0"/>
                      <w:marTop w:val="0"/>
                      <w:marBottom w:val="0"/>
                      <w:divBdr>
                        <w:top w:val="none" w:sz="0" w:space="0" w:color="auto"/>
                        <w:left w:val="none" w:sz="0" w:space="0" w:color="auto"/>
                        <w:bottom w:val="none" w:sz="0" w:space="0" w:color="auto"/>
                        <w:right w:val="none" w:sz="0" w:space="0" w:color="auto"/>
                      </w:divBdr>
                    </w:div>
                  </w:divsChild>
                </w:div>
                <w:div w:id="1509179816">
                  <w:marLeft w:val="0"/>
                  <w:marRight w:val="0"/>
                  <w:marTop w:val="0"/>
                  <w:marBottom w:val="0"/>
                  <w:divBdr>
                    <w:top w:val="none" w:sz="0" w:space="0" w:color="auto"/>
                    <w:left w:val="none" w:sz="0" w:space="0" w:color="auto"/>
                    <w:bottom w:val="none" w:sz="0" w:space="0" w:color="auto"/>
                    <w:right w:val="none" w:sz="0" w:space="0" w:color="auto"/>
                  </w:divBdr>
                  <w:divsChild>
                    <w:div w:id="541402447">
                      <w:marLeft w:val="0"/>
                      <w:marRight w:val="0"/>
                      <w:marTop w:val="0"/>
                      <w:marBottom w:val="0"/>
                      <w:divBdr>
                        <w:top w:val="none" w:sz="0" w:space="0" w:color="auto"/>
                        <w:left w:val="none" w:sz="0" w:space="0" w:color="auto"/>
                        <w:bottom w:val="none" w:sz="0" w:space="0" w:color="auto"/>
                        <w:right w:val="none" w:sz="0" w:space="0" w:color="auto"/>
                      </w:divBdr>
                    </w:div>
                  </w:divsChild>
                </w:div>
                <w:div w:id="1511289276">
                  <w:marLeft w:val="0"/>
                  <w:marRight w:val="0"/>
                  <w:marTop w:val="0"/>
                  <w:marBottom w:val="0"/>
                  <w:divBdr>
                    <w:top w:val="none" w:sz="0" w:space="0" w:color="auto"/>
                    <w:left w:val="none" w:sz="0" w:space="0" w:color="auto"/>
                    <w:bottom w:val="none" w:sz="0" w:space="0" w:color="auto"/>
                    <w:right w:val="none" w:sz="0" w:space="0" w:color="auto"/>
                  </w:divBdr>
                  <w:divsChild>
                    <w:div w:id="701052534">
                      <w:marLeft w:val="0"/>
                      <w:marRight w:val="0"/>
                      <w:marTop w:val="0"/>
                      <w:marBottom w:val="0"/>
                      <w:divBdr>
                        <w:top w:val="none" w:sz="0" w:space="0" w:color="auto"/>
                        <w:left w:val="none" w:sz="0" w:space="0" w:color="auto"/>
                        <w:bottom w:val="none" w:sz="0" w:space="0" w:color="auto"/>
                        <w:right w:val="none" w:sz="0" w:space="0" w:color="auto"/>
                      </w:divBdr>
                    </w:div>
                  </w:divsChild>
                </w:div>
                <w:div w:id="1554846008">
                  <w:marLeft w:val="0"/>
                  <w:marRight w:val="0"/>
                  <w:marTop w:val="0"/>
                  <w:marBottom w:val="0"/>
                  <w:divBdr>
                    <w:top w:val="none" w:sz="0" w:space="0" w:color="auto"/>
                    <w:left w:val="none" w:sz="0" w:space="0" w:color="auto"/>
                    <w:bottom w:val="none" w:sz="0" w:space="0" w:color="auto"/>
                    <w:right w:val="none" w:sz="0" w:space="0" w:color="auto"/>
                  </w:divBdr>
                  <w:divsChild>
                    <w:div w:id="100538007">
                      <w:marLeft w:val="0"/>
                      <w:marRight w:val="0"/>
                      <w:marTop w:val="0"/>
                      <w:marBottom w:val="0"/>
                      <w:divBdr>
                        <w:top w:val="none" w:sz="0" w:space="0" w:color="auto"/>
                        <w:left w:val="none" w:sz="0" w:space="0" w:color="auto"/>
                        <w:bottom w:val="none" w:sz="0" w:space="0" w:color="auto"/>
                        <w:right w:val="none" w:sz="0" w:space="0" w:color="auto"/>
                      </w:divBdr>
                    </w:div>
                    <w:div w:id="436757474">
                      <w:marLeft w:val="0"/>
                      <w:marRight w:val="0"/>
                      <w:marTop w:val="0"/>
                      <w:marBottom w:val="0"/>
                      <w:divBdr>
                        <w:top w:val="none" w:sz="0" w:space="0" w:color="auto"/>
                        <w:left w:val="none" w:sz="0" w:space="0" w:color="auto"/>
                        <w:bottom w:val="none" w:sz="0" w:space="0" w:color="auto"/>
                        <w:right w:val="none" w:sz="0" w:space="0" w:color="auto"/>
                      </w:divBdr>
                    </w:div>
                    <w:div w:id="442111036">
                      <w:marLeft w:val="0"/>
                      <w:marRight w:val="0"/>
                      <w:marTop w:val="0"/>
                      <w:marBottom w:val="0"/>
                      <w:divBdr>
                        <w:top w:val="none" w:sz="0" w:space="0" w:color="auto"/>
                        <w:left w:val="none" w:sz="0" w:space="0" w:color="auto"/>
                        <w:bottom w:val="none" w:sz="0" w:space="0" w:color="auto"/>
                        <w:right w:val="none" w:sz="0" w:space="0" w:color="auto"/>
                      </w:divBdr>
                    </w:div>
                    <w:div w:id="478961771">
                      <w:marLeft w:val="0"/>
                      <w:marRight w:val="0"/>
                      <w:marTop w:val="0"/>
                      <w:marBottom w:val="0"/>
                      <w:divBdr>
                        <w:top w:val="none" w:sz="0" w:space="0" w:color="auto"/>
                        <w:left w:val="none" w:sz="0" w:space="0" w:color="auto"/>
                        <w:bottom w:val="none" w:sz="0" w:space="0" w:color="auto"/>
                        <w:right w:val="none" w:sz="0" w:space="0" w:color="auto"/>
                      </w:divBdr>
                    </w:div>
                    <w:div w:id="672222684">
                      <w:marLeft w:val="0"/>
                      <w:marRight w:val="0"/>
                      <w:marTop w:val="0"/>
                      <w:marBottom w:val="0"/>
                      <w:divBdr>
                        <w:top w:val="none" w:sz="0" w:space="0" w:color="auto"/>
                        <w:left w:val="none" w:sz="0" w:space="0" w:color="auto"/>
                        <w:bottom w:val="none" w:sz="0" w:space="0" w:color="auto"/>
                        <w:right w:val="none" w:sz="0" w:space="0" w:color="auto"/>
                      </w:divBdr>
                    </w:div>
                    <w:div w:id="759910311">
                      <w:marLeft w:val="0"/>
                      <w:marRight w:val="0"/>
                      <w:marTop w:val="0"/>
                      <w:marBottom w:val="0"/>
                      <w:divBdr>
                        <w:top w:val="none" w:sz="0" w:space="0" w:color="auto"/>
                        <w:left w:val="none" w:sz="0" w:space="0" w:color="auto"/>
                        <w:bottom w:val="none" w:sz="0" w:space="0" w:color="auto"/>
                        <w:right w:val="none" w:sz="0" w:space="0" w:color="auto"/>
                      </w:divBdr>
                    </w:div>
                    <w:div w:id="857281636">
                      <w:marLeft w:val="0"/>
                      <w:marRight w:val="0"/>
                      <w:marTop w:val="0"/>
                      <w:marBottom w:val="0"/>
                      <w:divBdr>
                        <w:top w:val="none" w:sz="0" w:space="0" w:color="auto"/>
                        <w:left w:val="none" w:sz="0" w:space="0" w:color="auto"/>
                        <w:bottom w:val="none" w:sz="0" w:space="0" w:color="auto"/>
                        <w:right w:val="none" w:sz="0" w:space="0" w:color="auto"/>
                      </w:divBdr>
                    </w:div>
                    <w:div w:id="1096946882">
                      <w:marLeft w:val="0"/>
                      <w:marRight w:val="0"/>
                      <w:marTop w:val="0"/>
                      <w:marBottom w:val="0"/>
                      <w:divBdr>
                        <w:top w:val="none" w:sz="0" w:space="0" w:color="auto"/>
                        <w:left w:val="none" w:sz="0" w:space="0" w:color="auto"/>
                        <w:bottom w:val="none" w:sz="0" w:space="0" w:color="auto"/>
                        <w:right w:val="none" w:sz="0" w:space="0" w:color="auto"/>
                      </w:divBdr>
                    </w:div>
                    <w:div w:id="1259098756">
                      <w:marLeft w:val="0"/>
                      <w:marRight w:val="0"/>
                      <w:marTop w:val="0"/>
                      <w:marBottom w:val="0"/>
                      <w:divBdr>
                        <w:top w:val="none" w:sz="0" w:space="0" w:color="auto"/>
                        <w:left w:val="none" w:sz="0" w:space="0" w:color="auto"/>
                        <w:bottom w:val="none" w:sz="0" w:space="0" w:color="auto"/>
                        <w:right w:val="none" w:sz="0" w:space="0" w:color="auto"/>
                      </w:divBdr>
                    </w:div>
                    <w:div w:id="1409841203">
                      <w:marLeft w:val="0"/>
                      <w:marRight w:val="0"/>
                      <w:marTop w:val="0"/>
                      <w:marBottom w:val="0"/>
                      <w:divBdr>
                        <w:top w:val="none" w:sz="0" w:space="0" w:color="auto"/>
                        <w:left w:val="none" w:sz="0" w:space="0" w:color="auto"/>
                        <w:bottom w:val="none" w:sz="0" w:space="0" w:color="auto"/>
                        <w:right w:val="none" w:sz="0" w:space="0" w:color="auto"/>
                      </w:divBdr>
                    </w:div>
                    <w:div w:id="1421221544">
                      <w:marLeft w:val="0"/>
                      <w:marRight w:val="0"/>
                      <w:marTop w:val="0"/>
                      <w:marBottom w:val="0"/>
                      <w:divBdr>
                        <w:top w:val="none" w:sz="0" w:space="0" w:color="auto"/>
                        <w:left w:val="none" w:sz="0" w:space="0" w:color="auto"/>
                        <w:bottom w:val="none" w:sz="0" w:space="0" w:color="auto"/>
                        <w:right w:val="none" w:sz="0" w:space="0" w:color="auto"/>
                      </w:divBdr>
                    </w:div>
                    <w:div w:id="1896235266">
                      <w:marLeft w:val="0"/>
                      <w:marRight w:val="0"/>
                      <w:marTop w:val="0"/>
                      <w:marBottom w:val="0"/>
                      <w:divBdr>
                        <w:top w:val="none" w:sz="0" w:space="0" w:color="auto"/>
                        <w:left w:val="none" w:sz="0" w:space="0" w:color="auto"/>
                        <w:bottom w:val="none" w:sz="0" w:space="0" w:color="auto"/>
                        <w:right w:val="none" w:sz="0" w:space="0" w:color="auto"/>
                      </w:divBdr>
                    </w:div>
                  </w:divsChild>
                </w:div>
                <w:div w:id="1562906997">
                  <w:marLeft w:val="0"/>
                  <w:marRight w:val="0"/>
                  <w:marTop w:val="0"/>
                  <w:marBottom w:val="0"/>
                  <w:divBdr>
                    <w:top w:val="none" w:sz="0" w:space="0" w:color="auto"/>
                    <w:left w:val="none" w:sz="0" w:space="0" w:color="auto"/>
                    <w:bottom w:val="none" w:sz="0" w:space="0" w:color="auto"/>
                    <w:right w:val="none" w:sz="0" w:space="0" w:color="auto"/>
                  </w:divBdr>
                  <w:divsChild>
                    <w:div w:id="82532762">
                      <w:marLeft w:val="0"/>
                      <w:marRight w:val="0"/>
                      <w:marTop w:val="0"/>
                      <w:marBottom w:val="0"/>
                      <w:divBdr>
                        <w:top w:val="none" w:sz="0" w:space="0" w:color="auto"/>
                        <w:left w:val="none" w:sz="0" w:space="0" w:color="auto"/>
                        <w:bottom w:val="none" w:sz="0" w:space="0" w:color="auto"/>
                        <w:right w:val="none" w:sz="0" w:space="0" w:color="auto"/>
                      </w:divBdr>
                    </w:div>
                    <w:div w:id="210387551">
                      <w:marLeft w:val="0"/>
                      <w:marRight w:val="0"/>
                      <w:marTop w:val="0"/>
                      <w:marBottom w:val="0"/>
                      <w:divBdr>
                        <w:top w:val="none" w:sz="0" w:space="0" w:color="auto"/>
                        <w:left w:val="none" w:sz="0" w:space="0" w:color="auto"/>
                        <w:bottom w:val="none" w:sz="0" w:space="0" w:color="auto"/>
                        <w:right w:val="none" w:sz="0" w:space="0" w:color="auto"/>
                      </w:divBdr>
                    </w:div>
                    <w:div w:id="391274511">
                      <w:marLeft w:val="0"/>
                      <w:marRight w:val="0"/>
                      <w:marTop w:val="0"/>
                      <w:marBottom w:val="0"/>
                      <w:divBdr>
                        <w:top w:val="none" w:sz="0" w:space="0" w:color="auto"/>
                        <w:left w:val="none" w:sz="0" w:space="0" w:color="auto"/>
                        <w:bottom w:val="none" w:sz="0" w:space="0" w:color="auto"/>
                        <w:right w:val="none" w:sz="0" w:space="0" w:color="auto"/>
                      </w:divBdr>
                    </w:div>
                    <w:div w:id="1266770232">
                      <w:marLeft w:val="0"/>
                      <w:marRight w:val="0"/>
                      <w:marTop w:val="0"/>
                      <w:marBottom w:val="0"/>
                      <w:divBdr>
                        <w:top w:val="none" w:sz="0" w:space="0" w:color="auto"/>
                        <w:left w:val="none" w:sz="0" w:space="0" w:color="auto"/>
                        <w:bottom w:val="none" w:sz="0" w:space="0" w:color="auto"/>
                        <w:right w:val="none" w:sz="0" w:space="0" w:color="auto"/>
                      </w:divBdr>
                    </w:div>
                    <w:div w:id="1456556129">
                      <w:marLeft w:val="0"/>
                      <w:marRight w:val="0"/>
                      <w:marTop w:val="0"/>
                      <w:marBottom w:val="0"/>
                      <w:divBdr>
                        <w:top w:val="none" w:sz="0" w:space="0" w:color="auto"/>
                        <w:left w:val="none" w:sz="0" w:space="0" w:color="auto"/>
                        <w:bottom w:val="none" w:sz="0" w:space="0" w:color="auto"/>
                        <w:right w:val="none" w:sz="0" w:space="0" w:color="auto"/>
                      </w:divBdr>
                    </w:div>
                    <w:div w:id="1840466948">
                      <w:marLeft w:val="0"/>
                      <w:marRight w:val="0"/>
                      <w:marTop w:val="0"/>
                      <w:marBottom w:val="0"/>
                      <w:divBdr>
                        <w:top w:val="none" w:sz="0" w:space="0" w:color="auto"/>
                        <w:left w:val="none" w:sz="0" w:space="0" w:color="auto"/>
                        <w:bottom w:val="none" w:sz="0" w:space="0" w:color="auto"/>
                        <w:right w:val="none" w:sz="0" w:space="0" w:color="auto"/>
                      </w:divBdr>
                    </w:div>
                    <w:div w:id="1864634635">
                      <w:marLeft w:val="0"/>
                      <w:marRight w:val="0"/>
                      <w:marTop w:val="0"/>
                      <w:marBottom w:val="0"/>
                      <w:divBdr>
                        <w:top w:val="none" w:sz="0" w:space="0" w:color="auto"/>
                        <w:left w:val="none" w:sz="0" w:space="0" w:color="auto"/>
                        <w:bottom w:val="none" w:sz="0" w:space="0" w:color="auto"/>
                        <w:right w:val="none" w:sz="0" w:space="0" w:color="auto"/>
                      </w:divBdr>
                    </w:div>
                  </w:divsChild>
                </w:div>
                <w:div w:id="1598053735">
                  <w:marLeft w:val="0"/>
                  <w:marRight w:val="0"/>
                  <w:marTop w:val="0"/>
                  <w:marBottom w:val="0"/>
                  <w:divBdr>
                    <w:top w:val="none" w:sz="0" w:space="0" w:color="auto"/>
                    <w:left w:val="none" w:sz="0" w:space="0" w:color="auto"/>
                    <w:bottom w:val="none" w:sz="0" w:space="0" w:color="auto"/>
                    <w:right w:val="none" w:sz="0" w:space="0" w:color="auto"/>
                  </w:divBdr>
                  <w:divsChild>
                    <w:div w:id="781074966">
                      <w:marLeft w:val="0"/>
                      <w:marRight w:val="0"/>
                      <w:marTop w:val="0"/>
                      <w:marBottom w:val="0"/>
                      <w:divBdr>
                        <w:top w:val="none" w:sz="0" w:space="0" w:color="auto"/>
                        <w:left w:val="none" w:sz="0" w:space="0" w:color="auto"/>
                        <w:bottom w:val="none" w:sz="0" w:space="0" w:color="auto"/>
                        <w:right w:val="none" w:sz="0" w:space="0" w:color="auto"/>
                      </w:divBdr>
                    </w:div>
                    <w:div w:id="1789084012">
                      <w:marLeft w:val="0"/>
                      <w:marRight w:val="0"/>
                      <w:marTop w:val="0"/>
                      <w:marBottom w:val="0"/>
                      <w:divBdr>
                        <w:top w:val="none" w:sz="0" w:space="0" w:color="auto"/>
                        <w:left w:val="none" w:sz="0" w:space="0" w:color="auto"/>
                        <w:bottom w:val="none" w:sz="0" w:space="0" w:color="auto"/>
                        <w:right w:val="none" w:sz="0" w:space="0" w:color="auto"/>
                      </w:divBdr>
                    </w:div>
                  </w:divsChild>
                </w:div>
                <w:div w:id="1627345551">
                  <w:marLeft w:val="0"/>
                  <w:marRight w:val="0"/>
                  <w:marTop w:val="0"/>
                  <w:marBottom w:val="0"/>
                  <w:divBdr>
                    <w:top w:val="none" w:sz="0" w:space="0" w:color="auto"/>
                    <w:left w:val="none" w:sz="0" w:space="0" w:color="auto"/>
                    <w:bottom w:val="none" w:sz="0" w:space="0" w:color="auto"/>
                    <w:right w:val="none" w:sz="0" w:space="0" w:color="auto"/>
                  </w:divBdr>
                  <w:divsChild>
                    <w:div w:id="1856920288">
                      <w:marLeft w:val="0"/>
                      <w:marRight w:val="0"/>
                      <w:marTop w:val="0"/>
                      <w:marBottom w:val="0"/>
                      <w:divBdr>
                        <w:top w:val="none" w:sz="0" w:space="0" w:color="auto"/>
                        <w:left w:val="none" w:sz="0" w:space="0" w:color="auto"/>
                        <w:bottom w:val="none" w:sz="0" w:space="0" w:color="auto"/>
                        <w:right w:val="none" w:sz="0" w:space="0" w:color="auto"/>
                      </w:divBdr>
                    </w:div>
                  </w:divsChild>
                </w:div>
                <w:div w:id="1666781725">
                  <w:marLeft w:val="0"/>
                  <w:marRight w:val="0"/>
                  <w:marTop w:val="0"/>
                  <w:marBottom w:val="0"/>
                  <w:divBdr>
                    <w:top w:val="none" w:sz="0" w:space="0" w:color="auto"/>
                    <w:left w:val="none" w:sz="0" w:space="0" w:color="auto"/>
                    <w:bottom w:val="none" w:sz="0" w:space="0" w:color="auto"/>
                    <w:right w:val="none" w:sz="0" w:space="0" w:color="auto"/>
                  </w:divBdr>
                  <w:divsChild>
                    <w:div w:id="422262898">
                      <w:marLeft w:val="0"/>
                      <w:marRight w:val="0"/>
                      <w:marTop w:val="0"/>
                      <w:marBottom w:val="0"/>
                      <w:divBdr>
                        <w:top w:val="none" w:sz="0" w:space="0" w:color="auto"/>
                        <w:left w:val="none" w:sz="0" w:space="0" w:color="auto"/>
                        <w:bottom w:val="none" w:sz="0" w:space="0" w:color="auto"/>
                        <w:right w:val="none" w:sz="0" w:space="0" w:color="auto"/>
                      </w:divBdr>
                    </w:div>
                    <w:div w:id="711730514">
                      <w:marLeft w:val="0"/>
                      <w:marRight w:val="0"/>
                      <w:marTop w:val="0"/>
                      <w:marBottom w:val="0"/>
                      <w:divBdr>
                        <w:top w:val="none" w:sz="0" w:space="0" w:color="auto"/>
                        <w:left w:val="none" w:sz="0" w:space="0" w:color="auto"/>
                        <w:bottom w:val="none" w:sz="0" w:space="0" w:color="auto"/>
                        <w:right w:val="none" w:sz="0" w:space="0" w:color="auto"/>
                      </w:divBdr>
                    </w:div>
                    <w:div w:id="1222445976">
                      <w:marLeft w:val="0"/>
                      <w:marRight w:val="0"/>
                      <w:marTop w:val="0"/>
                      <w:marBottom w:val="0"/>
                      <w:divBdr>
                        <w:top w:val="none" w:sz="0" w:space="0" w:color="auto"/>
                        <w:left w:val="none" w:sz="0" w:space="0" w:color="auto"/>
                        <w:bottom w:val="none" w:sz="0" w:space="0" w:color="auto"/>
                        <w:right w:val="none" w:sz="0" w:space="0" w:color="auto"/>
                      </w:divBdr>
                    </w:div>
                    <w:div w:id="1785922116">
                      <w:marLeft w:val="0"/>
                      <w:marRight w:val="0"/>
                      <w:marTop w:val="0"/>
                      <w:marBottom w:val="0"/>
                      <w:divBdr>
                        <w:top w:val="none" w:sz="0" w:space="0" w:color="auto"/>
                        <w:left w:val="none" w:sz="0" w:space="0" w:color="auto"/>
                        <w:bottom w:val="none" w:sz="0" w:space="0" w:color="auto"/>
                        <w:right w:val="none" w:sz="0" w:space="0" w:color="auto"/>
                      </w:divBdr>
                    </w:div>
                    <w:div w:id="1825394855">
                      <w:marLeft w:val="0"/>
                      <w:marRight w:val="0"/>
                      <w:marTop w:val="0"/>
                      <w:marBottom w:val="0"/>
                      <w:divBdr>
                        <w:top w:val="none" w:sz="0" w:space="0" w:color="auto"/>
                        <w:left w:val="none" w:sz="0" w:space="0" w:color="auto"/>
                        <w:bottom w:val="none" w:sz="0" w:space="0" w:color="auto"/>
                        <w:right w:val="none" w:sz="0" w:space="0" w:color="auto"/>
                      </w:divBdr>
                    </w:div>
                    <w:div w:id="1995525861">
                      <w:marLeft w:val="0"/>
                      <w:marRight w:val="0"/>
                      <w:marTop w:val="0"/>
                      <w:marBottom w:val="0"/>
                      <w:divBdr>
                        <w:top w:val="none" w:sz="0" w:space="0" w:color="auto"/>
                        <w:left w:val="none" w:sz="0" w:space="0" w:color="auto"/>
                        <w:bottom w:val="none" w:sz="0" w:space="0" w:color="auto"/>
                        <w:right w:val="none" w:sz="0" w:space="0" w:color="auto"/>
                      </w:divBdr>
                    </w:div>
                    <w:div w:id="2072078719">
                      <w:marLeft w:val="0"/>
                      <w:marRight w:val="0"/>
                      <w:marTop w:val="0"/>
                      <w:marBottom w:val="0"/>
                      <w:divBdr>
                        <w:top w:val="none" w:sz="0" w:space="0" w:color="auto"/>
                        <w:left w:val="none" w:sz="0" w:space="0" w:color="auto"/>
                        <w:bottom w:val="none" w:sz="0" w:space="0" w:color="auto"/>
                        <w:right w:val="none" w:sz="0" w:space="0" w:color="auto"/>
                      </w:divBdr>
                    </w:div>
                    <w:div w:id="2102068762">
                      <w:marLeft w:val="0"/>
                      <w:marRight w:val="0"/>
                      <w:marTop w:val="0"/>
                      <w:marBottom w:val="0"/>
                      <w:divBdr>
                        <w:top w:val="none" w:sz="0" w:space="0" w:color="auto"/>
                        <w:left w:val="none" w:sz="0" w:space="0" w:color="auto"/>
                        <w:bottom w:val="none" w:sz="0" w:space="0" w:color="auto"/>
                        <w:right w:val="none" w:sz="0" w:space="0" w:color="auto"/>
                      </w:divBdr>
                    </w:div>
                  </w:divsChild>
                </w:div>
                <w:div w:id="1679304687">
                  <w:marLeft w:val="0"/>
                  <w:marRight w:val="0"/>
                  <w:marTop w:val="0"/>
                  <w:marBottom w:val="0"/>
                  <w:divBdr>
                    <w:top w:val="none" w:sz="0" w:space="0" w:color="auto"/>
                    <w:left w:val="none" w:sz="0" w:space="0" w:color="auto"/>
                    <w:bottom w:val="none" w:sz="0" w:space="0" w:color="auto"/>
                    <w:right w:val="none" w:sz="0" w:space="0" w:color="auto"/>
                  </w:divBdr>
                  <w:divsChild>
                    <w:div w:id="756440450">
                      <w:marLeft w:val="0"/>
                      <w:marRight w:val="0"/>
                      <w:marTop w:val="0"/>
                      <w:marBottom w:val="0"/>
                      <w:divBdr>
                        <w:top w:val="none" w:sz="0" w:space="0" w:color="auto"/>
                        <w:left w:val="none" w:sz="0" w:space="0" w:color="auto"/>
                        <w:bottom w:val="none" w:sz="0" w:space="0" w:color="auto"/>
                        <w:right w:val="none" w:sz="0" w:space="0" w:color="auto"/>
                      </w:divBdr>
                    </w:div>
                  </w:divsChild>
                </w:div>
                <w:div w:id="1684474808">
                  <w:marLeft w:val="0"/>
                  <w:marRight w:val="0"/>
                  <w:marTop w:val="0"/>
                  <w:marBottom w:val="0"/>
                  <w:divBdr>
                    <w:top w:val="none" w:sz="0" w:space="0" w:color="auto"/>
                    <w:left w:val="none" w:sz="0" w:space="0" w:color="auto"/>
                    <w:bottom w:val="none" w:sz="0" w:space="0" w:color="auto"/>
                    <w:right w:val="none" w:sz="0" w:space="0" w:color="auto"/>
                  </w:divBdr>
                  <w:divsChild>
                    <w:div w:id="500388622">
                      <w:marLeft w:val="0"/>
                      <w:marRight w:val="0"/>
                      <w:marTop w:val="0"/>
                      <w:marBottom w:val="0"/>
                      <w:divBdr>
                        <w:top w:val="none" w:sz="0" w:space="0" w:color="auto"/>
                        <w:left w:val="none" w:sz="0" w:space="0" w:color="auto"/>
                        <w:bottom w:val="none" w:sz="0" w:space="0" w:color="auto"/>
                        <w:right w:val="none" w:sz="0" w:space="0" w:color="auto"/>
                      </w:divBdr>
                    </w:div>
                    <w:div w:id="1836609468">
                      <w:marLeft w:val="0"/>
                      <w:marRight w:val="0"/>
                      <w:marTop w:val="0"/>
                      <w:marBottom w:val="0"/>
                      <w:divBdr>
                        <w:top w:val="none" w:sz="0" w:space="0" w:color="auto"/>
                        <w:left w:val="none" w:sz="0" w:space="0" w:color="auto"/>
                        <w:bottom w:val="none" w:sz="0" w:space="0" w:color="auto"/>
                        <w:right w:val="none" w:sz="0" w:space="0" w:color="auto"/>
                      </w:divBdr>
                    </w:div>
                  </w:divsChild>
                </w:div>
                <w:div w:id="1691181560">
                  <w:marLeft w:val="0"/>
                  <w:marRight w:val="0"/>
                  <w:marTop w:val="0"/>
                  <w:marBottom w:val="0"/>
                  <w:divBdr>
                    <w:top w:val="none" w:sz="0" w:space="0" w:color="auto"/>
                    <w:left w:val="none" w:sz="0" w:space="0" w:color="auto"/>
                    <w:bottom w:val="none" w:sz="0" w:space="0" w:color="auto"/>
                    <w:right w:val="none" w:sz="0" w:space="0" w:color="auto"/>
                  </w:divBdr>
                  <w:divsChild>
                    <w:div w:id="2026974030">
                      <w:marLeft w:val="0"/>
                      <w:marRight w:val="0"/>
                      <w:marTop w:val="0"/>
                      <w:marBottom w:val="0"/>
                      <w:divBdr>
                        <w:top w:val="none" w:sz="0" w:space="0" w:color="auto"/>
                        <w:left w:val="none" w:sz="0" w:space="0" w:color="auto"/>
                        <w:bottom w:val="none" w:sz="0" w:space="0" w:color="auto"/>
                        <w:right w:val="none" w:sz="0" w:space="0" w:color="auto"/>
                      </w:divBdr>
                    </w:div>
                  </w:divsChild>
                </w:div>
                <w:div w:id="1692367911">
                  <w:marLeft w:val="0"/>
                  <w:marRight w:val="0"/>
                  <w:marTop w:val="0"/>
                  <w:marBottom w:val="0"/>
                  <w:divBdr>
                    <w:top w:val="none" w:sz="0" w:space="0" w:color="auto"/>
                    <w:left w:val="none" w:sz="0" w:space="0" w:color="auto"/>
                    <w:bottom w:val="none" w:sz="0" w:space="0" w:color="auto"/>
                    <w:right w:val="none" w:sz="0" w:space="0" w:color="auto"/>
                  </w:divBdr>
                  <w:divsChild>
                    <w:div w:id="1539124443">
                      <w:marLeft w:val="0"/>
                      <w:marRight w:val="0"/>
                      <w:marTop w:val="0"/>
                      <w:marBottom w:val="0"/>
                      <w:divBdr>
                        <w:top w:val="none" w:sz="0" w:space="0" w:color="auto"/>
                        <w:left w:val="none" w:sz="0" w:space="0" w:color="auto"/>
                        <w:bottom w:val="none" w:sz="0" w:space="0" w:color="auto"/>
                        <w:right w:val="none" w:sz="0" w:space="0" w:color="auto"/>
                      </w:divBdr>
                    </w:div>
                  </w:divsChild>
                </w:div>
                <w:div w:id="1719547520">
                  <w:marLeft w:val="0"/>
                  <w:marRight w:val="0"/>
                  <w:marTop w:val="0"/>
                  <w:marBottom w:val="0"/>
                  <w:divBdr>
                    <w:top w:val="none" w:sz="0" w:space="0" w:color="auto"/>
                    <w:left w:val="none" w:sz="0" w:space="0" w:color="auto"/>
                    <w:bottom w:val="none" w:sz="0" w:space="0" w:color="auto"/>
                    <w:right w:val="none" w:sz="0" w:space="0" w:color="auto"/>
                  </w:divBdr>
                  <w:divsChild>
                    <w:div w:id="231622657">
                      <w:marLeft w:val="0"/>
                      <w:marRight w:val="0"/>
                      <w:marTop w:val="0"/>
                      <w:marBottom w:val="0"/>
                      <w:divBdr>
                        <w:top w:val="none" w:sz="0" w:space="0" w:color="auto"/>
                        <w:left w:val="none" w:sz="0" w:space="0" w:color="auto"/>
                        <w:bottom w:val="none" w:sz="0" w:space="0" w:color="auto"/>
                        <w:right w:val="none" w:sz="0" w:space="0" w:color="auto"/>
                      </w:divBdr>
                    </w:div>
                  </w:divsChild>
                </w:div>
                <w:div w:id="1723014299">
                  <w:marLeft w:val="0"/>
                  <w:marRight w:val="0"/>
                  <w:marTop w:val="0"/>
                  <w:marBottom w:val="0"/>
                  <w:divBdr>
                    <w:top w:val="none" w:sz="0" w:space="0" w:color="auto"/>
                    <w:left w:val="none" w:sz="0" w:space="0" w:color="auto"/>
                    <w:bottom w:val="none" w:sz="0" w:space="0" w:color="auto"/>
                    <w:right w:val="none" w:sz="0" w:space="0" w:color="auto"/>
                  </w:divBdr>
                  <w:divsChild>
                    <w:div w:id="2030788320">
                      <w:marLeft w:val="0"/>
                      <w:marRight w:val="0"/>
                      <w:marTop w:val="0"/>
                      <w:marBottom w:val="0"/>
                      <w:divBdr>
                        <w:top w:val="none" w:sz="0" w:space="0" w:color="auto"/>
                        <w:left w:val="none" w:sz="0" w:space="0" w:color="auto"/>
                        <w:bottom w:val="none" w:sz="0" w:space="0" w:color="auto"/>
                        <w:right w:val="none" w:sz="0" w:space="0" w:color="auto"/>
                      </w:divBdr>
                    </w:div>
                  </w:divsChild>
                </w:div>
                <w:div w:id="1743679169">
                  <w:marLeft w:val="0"/>
                  <w:marRight w:val="0"/>
                  <w:marTop w:val="0"/>
                  <w:marBottom w:val="0"/>
                  <w:divBdr>
                    <w:top w:val="none" w:sz="0" w:space="0" w:color="auto"/>
                    <w:left w:val="none" w:sz="0" w:space="0" w:color="auto"/>
                    <w:bottom w:val="none" w:sz="0" w:space="0" w:color="auto"/>
                    <w:right w:val="none" w:sz="0" w:space="0" w:color="auto"/>
                  </w:divBdr>
                  <w:divsChild>
                    <w:div w:id="1163160282">
                      <w:marLeft w:val="0"/>
                      <w:marRight w:val="0"/>
                      <w:marTop w:val="0"/>
                      <w:marBottom w:val="0"/>
                      <w:divBdr>
                        <w:top w:val="none" w:sz="0" w:space="0" w:color="auto"/>
                        <w:left w:val="none" w:sz="0" w:space="0" w:color="auto"/>
                        <w:bottom w:val="none" w:sz="0" w:space="0" w:color="auto"/>
                        <w:right w:val="none" w:sz="0" w:space="0" w:color="auto"/>
                      </w:divBdr>
                    </w:div>
                  </w:divsChild>
                </w:div>
                <w:div w:id="1756514826">
                  <w:marLeft w:val="0"/>
                  <w:marRight w:val="0"/>
                  <w:marTop w:val="0"/>
                  <w:marBottom w:val="0"/>
                  <w:divBdr>
                    <w:top w:val="none" w:sz="0" w:space="0" w:color="auto"/>
                    <w:left w:val="none" w:sz="0" w:space="0" w:color="auto"/>
                    <w:bottom w:val="none" w:sz="0" w:space="0" w:color="auto"/>
                    <w:right w:val="none" w:sz="0" w:space="0" w:color="auto"/>
                  </w:divBdr>
                  <w:divsChild>
                    <w:div w:id="52436759">
                      <w:marLeft w:val="0"/>
                      <w:marRight w:val="0"/>
                      <w:marTop w:val="0"/>
                      <w:marBottom w:val="0"/>
                      <w:divBdr>
                        <w:top w:val="none" w:sz="0" w:space="0" w:color="auto"/>
                        <w:left w:val="none" w:sz="0" w:space="0" w:color="auto"/>
                        <w:bottom w:val="none" w:sz="0" w:space="0" w:color="auto"/>
                        <w:right w:val="none" w:sz="0" w:space="0" w:color="auto"/>
                      </w:divBdr>
                    </w:div>
                    <w:div w:id="181675929">
                      <w:marLeft w:val="0"/>
                      <w:marRight w:val="0"/>
                      <w:marTop w:val="0"/>
                      <w:marBottom w:val="0"/>
                      <w:divBdr>
                        <w:top w:val="none" w:sz="0" w:space="0" w:color="auto"/>
                        <w:left w:val="none" w:sz="0" w:space="0" w:color="auto"/>
                        <w:bottom w:val="none" w:sz="0" w:space="0" w:color="auto"/>
                        <w:right w:val="none" w:sz="0" w:space="0" w:color="auto"/>
                      </w:divBdr>
                    </w:div>
                    <w:div w:id="343286387">
                      <w:marLeft w:val="0"/>
                      <w:marRight w:val="0"/>
                      <w:marTop w:val="0"/>
                      <w:marBottom w:val="0"/>
                      <w:divBdr>
                        <w:top w:val="none" w:sz="0" w:space="0" w:color="auto"/>
                        <w:left w:val="none" w:sz="0" w:space="0" w:color="auto"/>
                        <w:bottom w:val="none" w:sz="0" w:space="0" w:color="auto"/>
                        <w:right w:val="none" w:sz="0" w:space="0" w:color="auto"/>
                      </w:divBdr>
                    </w:div>
                    <w:div w:id="1046175199">
                      <w:marLeft w:val="0"/>
                      <w:marRight w:val="0"/>
                      <w:marTop w:val="0"/>
                      <w:marBottom w:val="0"/>
                      <w:divBdr>
                        <w:top w:val="none" w:sz="0" w:space="0" w:color="auto"/>
                        <w:left w:val="none" w:sz="0" w:space="0" w:color="auto"/>
                        <w:bottom w:val="none" w:sz="0" w:space="0" w:color="auto"/>
                        <w:right w:val="none" w:sz="0" w:space="0" w:color="auto"/>
                      </w:divBdr>
                    </w:div>
                    <w:div w:id="1178545477">
                      <w:marLeft w:val="0"/>
                      <w:marRight w:val="0"/>
                      <w:marTop w:val="0"/>
                      <w:marBottom w:val="0"/>
                      <w:divBdr>
                        <w:top w:val="none" w:sz="0" w:space="0" w:color="auto"/>
                        <w:left w:val="none" w:sz="0" w:space="0" w:color="auto"/>
                        <w:bottom w:val="none" w:sz="0" w:space="0" w:color="auto"/>
                        <w:right w:val="none" w:sz="0" w:space="0" w:color="auto"/>
                      </w:divBdr>
                    </w:div>
                    <w:div w:id="1242133523">
                      <w:marLeft w:val="0"/>
                      <w:marRight w:val="0"/>
                      <w:marTop w:val="0"/>
                      <w:marBottom w:val="0"/>
                      <w:divBdr>
                        <w:top w:val="none" w:sz="0" w:space="0" w:color="auto"/>
                        <w:left w:val="none" w:sz="0" w:space="0" w:color="auto"/>
                        <w:bottom w:val="none" w:sz="0" w:space="0" w:color="auto"/>
                        <w:right w:val="none" w:sz="0" w:space="0" w:color="auto"/>
                      </w:divBdr>
                    </w:div>
                    <w:div w:id="1277374309">
                      <w:marLeft w:val="0"/>
                      <w:marRight w:val="0"/>
                      <w:marTop w:val="0"/>
                      <w:marBottom w:val="0"/>
                      <w:divBdr>
                        <w:top w:val="none" w:sz="0" w:space="0" w:color="auto"/>
                        <w:left w:val="none" w:sz="0" w:space="0" w:color="auto"/>
                        <w:bottom w:val="none" w:sz="0" w:space="0" w:color="auto"/>
                        <w:right w:val="none" w:sz="0" w:space="0" w:color="auto"/>
                      </w:divBdr>
                    </w:div>
                    <w:div w:id="1325359344">
                      <w:marLeft w:val="0"/>
                      <w:marRight w:val="0"/>
                      <w:marTop w:val="0"/>
                      <w:marBottom w:val="0"/>
                      <w:divBdr>
                        <w:top w:val="none" w:sz="0" w:space="0" w:color="auto"/>
                        <w:left w:val="none" w:sz="0" w:space="0" w:color="auto"/>
                        <w:bottom w:val="none" w:sz="0" w:space="0" w:color="auto"/>
                        <w:right w:val="none" w:sz="0" w:space="0" w:color="auto"/>
                      </w:divBdr>
                    </w:div>
                    <w:div w:id="1515264694">
                      <w:marLeft w:val="0"/>
                      <w:marRight w:val="0"/>
                      <w:marTop w:val="0"/>
                      <w:marBottom w:val="0"/>
                      <w:divBdr>
                        <w:top w:val="none" w:sz="0" w:space="0" w:color="auto"/>
                        <w:left w:val="none" w:sz="0" w:space="0" w:color="auto"/>
                        <w:bottom w:val="none" w:sz="0" w:space="0" w:color="auto"/>
                        <w:right w:val="none" w:sz="0" w:space="0" w:color="auto"/>
                      </w:divBdr>
                    </w:div>
                    <w:div w:id="1620408601">
                      <w:marLeft w:val="0"/>
                      <w:marRight w:val="0"/>
                      <w:marTop w:val="0"/>
                      <w:marBottom w:val="0"/>
                      <w:divBdr>
                        <w:top w:val="none" w:sz="0" w:space="0" w:color="auto"/>
                        <w:left w:val="none" w:sz="0" w:space="0" w:color="auto"/>
                        <w:bottom w:val="none" w:sz="0" w:space="0" w:color="auto"/>
                        <w:right w:val="none" w:sz="0" w:space="0" w:color="auto"/>
                      </w:divBdr>
                    </w:div>
                    <w:div w:id="1628661487">
                      <w:marLeft w:val="0"/>
                      <w:marRight w:val="0"/>
                      <w:marTop w:val="0"/>
                      <w:marBottom w:val="0"/>
                      <w:divBdr>
                        <w:top w:val="none" w:sz="0" w:space="0" w:color="auto"/>
                        <w:left w:val="none" w:sz="0" w:space="0" w:color="auto"/>
                        <w:bottom w:val="none" w:sz="0" w:space="0" w:color="auto"/>
                        <w:right w:val="none" w:sz="0" w:space="0" w:color="auto"/>
                      </w:divBdr>
                    </w:div>
                    <w:div w:id="1862161698">
                      <w:marLeft w:val="0"/>
                      <w:marRight w:val="0"/>
                      <w:marTop w:val="0"/>
                      <w:marBottom w:val="0"/>
                      <w:divBdr>
                        <w:top w:val="none" w:sz="0" w:space="0" w:color="auto"/>
                        <w:left w:val="none" w:sz="0" w:space="0" w:color="auto"/>
                        <w:bottom w:val="none" w:sz="0" w:space="0" w:color="auto"/>
                        <w:right w:val="none" w:sz="0" w:space="0" w:color="auto"/>
                      </w:divBdr>
                    </w:div>
                    <w:div w:id="1972858627">
                      <w:marLeft w:val="0"/>
                      <w:marRight w:val="0"/>
                      <w:marTop w:val="0"/>
                      <w:marBottom w:val="0"/>
                      <w:divBdr>
                        <w:top w:val="none" w:sz="0" w:space="0" w:color="auto"/>
                        <w:left w:val="none" w:sz="0" w:space="0" w:color="auto"/>
                        <w:bottom w:val="none" w:sz="0" w:space="0" w:color="auto"/>
                        <w:right w:val="none" w:sz="0" w:space="0" w:color="auto"/>
                      </w:divBdr>
                    </w:div>
                    <w:div w:id="2093579233">
                      <w:marLeft w:val="0"/>
                      <w:marRight w:val="0"/>
                      <w:marTop w:val="0"/>
                      <w:marBottom w:val="0"/>
                      <w:divBdr>
                        <w:top w:val="none" w:sz="0" w:space="0" w:color="auto"/>
                        <w:left w:val="none" w:sz="0" w:space="0" w:color="auto"/>
                        <w:bottom w:val="none" w:sz="0" w:space="0" w:color="auto"/>
                        <w:right w:val="none" w:sz="0" w:space="0" w:color="auto"/>
                      </w:divBdr>
                    </w:div>
                  </w:divsChild>
                </w:div>
                <w:div w:id="1835757069">
                  <w:marLeft w:val="0"/>
                  <w:marRight w:val="0"/>
                  <w:marTop w:val="0"/>
                  <w:marBottom w:val="0"/>
                  <w:divBdr>
                    <w:top w:val="none" w:sz="0" w:space="0" w:color="auto"/>
                    <w:left w:val="none" w:sz="0" w:space="0" w:color="auto"/>
                    <w:bottom w:val="none" w:sz="0" w:space="0" w:color="auto"/>
                    <w:right w:val="none" w:sz="0" w:space="0" w:color="auto"/>
                  </w:divBdr>
                  <w:divsChild>
                    <w:div w:id="1738436659">
                      <w:marLeft w:val="0"/>
                      <w:marRight w:val="0"/>
                      <w:marTop w:val="0"/>
                      <w:marBottom w:val="0"/>
                      <w:divBdr>
                        <w:top w:val="none" w:sz="0" w:space="0" w:color="auto"/>
                        <w:left w:val="none" w:sz="0" w:space="0" w:color="auto"/>
                        <w:bottom w:val="none" w:sz="0" w:space="0" w:color="auto"/>
                        <w:right w:val="none" w:sz="0" w:space="0" w:color="auto"/>
                      </w:divBdr>
                    </w:div>
                  </w:divsChild>
                </w:div>
                <w:div w:id="1849713807">
                  <w:marLeft w:val="0"/>
                  <w:marRight w:val="0"/>
                  <w:marTop w:val="0"/>
                  <w:marBottom w:val="0"/>
                  <w:divBdr>
                    <w:top w:val="none" w:sz="0" w:space="0" w:color="auto"/>
                    <w:left w:val="none" w:sz="0" w:space="0" w:color="auto"/>
                    <w:bottom w:val="none" w:sz="0" w:space="0" w:color="auto"/>
                    <w:right w:val="none" w:sz="0" w:space="0" w:color="auto"/>
                  </w:divBdr>
                  <w:divsChild>
                    <w:div w:id="1677658365">
                      <w:marLeft w:val="0"/>
                      <w:marRight w:val="0"/>
                      <w:marTop w:val="0"/>
                      <w:marBottom w:val="0"/>
                      <w:divBdr>
                        <w:top w:val="none" w:sz="0" w:space="0" w:color="auto"/>
                        <w:left w:val="none" w:sz="0" w:space="0" w:color="auto"/>
                        <w:bottom w:val="none" w:sz="0" w:space="0" w:color="auto"/>
                        <w:right w:val="none" w:sz="0" w:space="0" w:color="auto"/>
                      </w:divBdr>
                    </w:div>
                  </w:divsChild>
                </w:div>
                <w:div w:id="1893496168">
                  <w:marLeft w:val="0"/>
                  <w:marRight w:val="0"/>
                  <w:marTop w:val="0"/>
                  <w:marBottom w:val="0"/>
                  <w:divBdr>
                    <w:top w:val="none" w:sz="0" w:space="0" w:color="auto"/>
                    <w:left w:val="none" w:sz="0" w:space="0" w:color="auto"/>
                    <w:bottom w:val="none" w:sz="0" w:space="0" w:color="auto"/>
                    <w:right w:val="none" w:sz="0" w:space="0" w:color="auto"/>
                  </w:divBdr>
                  <w:divsChild>
                    <w:div w:id="161820675">
                      <w:marLeft w:val="0"/>
                      <w:marRight w:val="0"/>
                      <w:marTop w:val="0"/>
                      <w:marBottom w:val="0"/>
                      <w:divBdr>
                        <w:top w:val="none" w:sz="0" w:space="0" w:color="auto"/>
                        <w:left w:val="none" w:sz="0" w:space="0" w:color="auto"/>
                        <w:bottom w:val="none" w:sz="0" w:space="0" w:color="auto"/>
                        <w:right w:val="none" w:sz="0" w:space="0" w:color="auto"/>
                      </w:divBdr>
                    </w:div>
                    <w:div w:id="433089887">
                      <w:marLeft w:val="0"/>
                      <w:marRight w:val="0"/>
                      <w:marTop w:val="0"/>
                      <w:marBottom w:val="0"/>
                      <w:divBdr>
                        <w:top w:val="none" w:sz="0" w:space="0" w:color="auto"/>
                        <w:left w:val="none" w:sz="0" w:space="0" w:color="auto"/>
                        <w:bottom w:val="none" w:sz="0" w:space="0" w:color="auto"/>
                        <w:right w:val="none" w:sz="0" w:space="0" w:color="auto"/>
                      </w:divBdr>
                    </w:div>
                    <w:div w:id="723869539">
                      <w:marLeft w:val="0"/>
                      <w:marRight w:val="0"/>
                      <w:marTop w:val="0"/>
                      <w:marBottom w:val="0"/>
                      <w:divBdr>
                        <w:top w:val="none" w:sz="0" w:space="0" w:color="auto"/>
                        <w:left w:val="none" w:sz="0" w:space="0" w:color="auto"/>
                        <w:bottom w:val="none" w:sz="0" w:space="0" w:color="auto"/>
                        <w:right w:val="none" w:sz="0" w:space="0" w:color="auto"/>
                      </w:divBdr>
                    </w:div>
                    <w:div w:id="728529584">
                      <w:marLeft w:val="0"/>
                      <w:marRight w:val="0"/>
                      <w:marTop w:val="0"/>
                      <w:marBottom w:val="0"/>
                      <w:divBdr>
                        <w:top w:val="none" w:sz="0" w:space="0" w:color="auto"/>
                        <w:left w:val="none" w:sz="0" w:space="0" w:color="auto"/>
                        <w:bottom w:val="none" w:sz="0" w:space="0" w:color="auto"/>
                        <w:right w:val="none" w:sz="0" w:space="0" w:color="auto"/>
                      </w:divBdr>
                    </w:div>
                    <w:div w:id="1130637438">
                      <w:marLeft w:val="0"/>
                      <w:marRight w:val="0"/>
                      <w:marTop w:val="0"/>
                      <w:marBottom w:val="0"/>
                      <w:divBdr>
                        <w:top w:val="none" w:sz="0" w:space="0" w:color="auto"/>
                        <w:left w:val="none" w:sz="0" w:space="0" w:color="auto"/>
                        <w:bottom w:val="none" w:sz="0" w:space="0" w:color="auto"/>
                        <w:right w:val="none" w:sz="0" w:space="0" w:color="auto"/>
                      </w:divBdr>
                    </w:div>
                    <w:div w:id="1781100982">
                      <w:marLeft w:val="0"/>
                      <w:marRight w:val="0"/>
                      <w:marTop w:val="0"/>
                      <w:marBottom w:val="0"/>
                      <w:divBdr>
                        <w:top w:val="none" w:sz="0" w:space="0" w:color="auto"/>
                        <w:left w:val="none" w:sz="0" w:space="0" w:color="auto"/>
                        <w:bottom w:val="none" w:sz="0" w:space="0" w:color="auto"/>
                        <w:right w:val="none" w:sz="0" w:space="0" w:color="auto"/>
                      </w:divBdr>
                    </w:div>
                    <w:div w:id="1819226395">
                      <w:marLeft w:val="0"/>
                      <w:marRight w:val="0"/>
                      <w:marTop w:val="0"/>
                      <w:marBottom w:val="0"/>
                      <w:divBdr>
                        <w:top w:val="none" w:sz="0" w:space="0" w:color="auto"/>
                        <w:left w:val="none" w:sz="0" w:space="0" w:color="auto"/>
                        <w:bottom w:val="none" w:sz="0" w:space="0" w:color="auto"/>
                        <w:right w:val="none" w:sz="0" w:space="0" w:color="auto"/>
                      </w:divBdr>
                    </w:div>
                    <w:div w:id="1935824929">
                      <w:marLeft w:val="0"/>
                      <w:marRight w:val="0"/>
                      <w:marTop w:val="0"/>
                      <w:marBottom w:val="0"/>
                      <w:divBdr>
                        <w:top w:val="none" w:sz="0" w:space="0" w:color="auto"/>
                        <w:left w:val="none" w:sz="0" w:space="0" w:color="auto"/>
                        <w:bottom w:val="none" w:sz="0" w:space="0" w:color="auto"/>
                        <w:right w:val="none" w:sz="0" w:space="0" w:color="auto"/>
                      </w:divBdr>
                    </w:div>
                    <w:div w:id="2045251597">
                      <w:marLeft w:val="0"/>
                      <w:marRight w:val="0"/>
                      <w:marTop w:val="0"/>
                      <w:marBottom w:val="0"/>
                      <w:divBdr>
                        <w:top w:val="none" w:sz="0" w:space="0" w:color="auto"/>
                        <w:left w:val="none" w:sz="0" w:space="0" w:color="auto"/>
                        <w:bottom w:val="none" w:sz="0" w:space="0" w:color="auto"/>
                        <w:right w:val="none" w:sz="0" w:space="0" w:color="auto"/>
                      </w:divBdr>
                    </w:div>
                  </w:divsChild>
                </w:div>
                <w:div w:id="1915508406">
                  <w:marLeft w:val="0"/>
                  <w:marRight w:val="0"/>
                  <w:marTop w:val="0"/>
                  <w:marBottom w:val="0"/>
                  <w:divBdr>
                    <w:top w:val="none" w:sz="0" w:space="0" w:color="auto"/>
                    <w:left w:val="none" w:sz="0" w:space="0" w:color="auto"/>
                    <w:bottom w:val="none" w:sz="0" w:space="0" w:color="auto"/>
                    <w:right w:val="none" w:sz="0" w:space="0" w:color="auto"/>
                  </w:divBdr>
                  <w:divsChild>
                    <w:div w:id="557741017">
                      <w:marLeft w:val="0"/>
                      <w:marRight w:val="0"/>
                      <w:marTop w:val="0"/>
                      <w:marBottom w:val="0"/>
                      <w:divBdr>
                        <w:top w:val="none" w:sz="0" w:space="0" w:color="auto"/>
                        <w:left w:val="none" w:sz="0" w:space="0" w:color="auto"/>
                        <w:bottom w:val="none" w:sz="0" w:space="0" w:color="auto"/>
                        <w:right w:val="none" w:sz="0" w:space="0" w:color="auto"/>
                      </w:divBdr>
                    </w:div>
                  </w:divsChild>
                </w:div>
                <w:div w:id="1919630472">
                  <w:marLeft w:val="0"/>
                  <w:marRight w:val="0"/>
                  <w:marTop w:val="0"/>
                  <w:marBottom w:val="0"/>
                  <w:divBdr>
                    <w:top w:val="none" w:sz="0" w:space="0" w:color="auto"/>
                    <w:left w:val="none" w:sz="0" w:space="0" w:color="auto"/>
                    <w:bottom w:val="none" w:sz="0" w:space="0" w:color="auto"/>
                    <w:right w:val="none" w:sz="0" w:space="0" w:color="auto"/>
                  </w:divBdr>
                  <w:divsChild>
                    <w:div w:id="1909684662">
                      <w:marLeft w:val="0"/>
                      <w:marRight w:val="0"/>
                      <w:marTop w:val="0"/>
                      <w:marBottom w:val="0"/>
                      <w:divBdr>
                        <w:top w:val="none" w:sz="0" w:space="0" w:color="auto"/>
                        <w:left w:val="none" w:sz="0" w:space="0" w:color="auto"/>
                        <w:bottom w:val="none" w:sz="0" w:space="0" w:color="auto"/>
                        <w:right w:val="none" w:sz="0" w:space="0" w:color="auto"/>
                      </w:divBdr>
                    </w:div>
                  </w:divsChild>
                </w:div>
                <w:div w:id="1920483888">
                  <w:marLeft w:val="0"/>
                  <w:marRight w:val="0"/>
                  <w:marTop w:val="0"/>
                  <w:marBottom w:val="0"/>
                  <w:divBdr>
                    <w:top w:val="none" w:sz="0" w:space="0" w:color="auto"/>
                    <w:left w:val="none" w:sz="0" w:space="0" w:color="auto"/>
                    <w:bottom w:val="none" w:sz="0" w:space="0" w:color="auto"/>
                    <w:right w:val="none" w:sz="0" w:space="0" w:color="auto"/>
                  </w:divBdr>
                  <w:divsChild>
                    <w:div w:id="1050350016">
                      <w:marLeft w:val="0"/>
                      <w:marRight w:val="0"/>
                      <w:marTop w:val="0"/>
                      <w:marBottom w:val="0"/>
                      <w:divBdr>
                        <w:top w:val="none" w:sz="0" w:space="0" w:color="auto"/>
                        <w:left w:val="none" w:sz="0" w:space="0" w:color="auto"/>
                        <w:bottom w:val="none" w:sz="0" w:space="0" w:color="auto"/>
                        <w:right w:val="none" w:sz="0" w:space="0" w:color="auto"/>
                      </w:divBdr>
                    </w:div>
                  </w:divsChild>
                </w:div>
                <w:div w:id="1938362760">
                  <w:marLeft w:val="0"/>
                  <w:marRight w:val="0"/>
                  <w:marTop w:val="0"/>
                  <w:marBottom w:val="0"/>
                  <w:divBdr>
                    <w:top w:val="none" w:sz="0" w:space="0" w:color="auto"/>
                    <w:left w:val="none" w:sz="0" w:space="0" w:color="auto"/>
                    <w:bottom w:val="none" w:sz="0" w:space="0" w:color="auto"/>
                    <w:right w:val="none" w:sz="0" w:space="0" w:color="auto"/>
                  </w:divBdr>
                  <w:divsChild>
                    <w:div w:id="772162951">
                      <w:marLeft w:val="0"/>
                      <w:marRight w:val="0"/>
                      <w:marTop w:val="0"/>
                      <w:marBottom w:val="0"/>
                      <w:divBdr>
                        <w:top w:val="none" w:sz="0" w:space="0" w:color="auto"/>
                        <w:left w:val="none" w:sz="0" w:space="0" w:color="auto"/>
                        <w:bottom w:val="none" w:sz="0" w:space="0" w:color="auto"/>
                        <w:right w:val="none" w:sz="0" w:space="0" w:color="auto"/>
                      </w:divBdr>
                    </w:div>
                  </w:divsChild>
                </w:div>
                <w:div w:id="1963538754">
                  <w:marLeft w:val="0"/>
                  <w:marRight w:val="0"/>
                  <w:marTop w:val="0"/>
                  <w:marBottom w:val="0"/>
                  <w:divBdr>
                    <w:top w:val="none" w:sz="0" w:space="0" w:color="auto"/>
                    <w:left w:val="none" w:sz="0" w:space="0" w:color="auto"/>
                    <w:bottom w:val="none" w:sz="0" w:space="0" w:color="auto"/>
                    <w:right w:val="none" w:sz="0" w:space="0" w:color="auto"/>
                  </w:divBdr>
                  <w:divsChild>
                    <w:div w:id="296840169">
                      <w:marLeft w:val="0"/>
                      <w:marRight w:val="0"/>
                      <w:marTop w:val="0"/>
                      <w:marBottom w:val="0"/>
                      <w:divBdr>
                        <w:top w:val="none" w:sz="0" w:space="0" w:color="auto"/>
                        <w:left w:val="none" w:sz="0" w:space="0" w:color="auto"/>
                        <w:bottom w:val="none" w:sz="0" w:space="0" w:color="auto"/>
                        <w:right w:val="none" w:sz="0" w:space="0" w:color="auto"/>
                      </w:divBdr>
                    </w:div>
                  </w:divsChild>
                </w:div>
                <w:div w:id="1983004362">
                  <w:marLeft w:val="0"/>
                  <w:marRight w:val="0"/>
                  <w:marTop w:val="0"/>
                  <w:marBottom w:val="0"/>
                  <w:divBdr>
                    <w:top w:val="none" w:sz="0" w:space="0" w:color="auto"/>
                    <w:left w:val="none" w:sz="0" w:space="0" w:color="auto"/>
                    <w:bottom w:val="none" w:sz="0" w:space="0" w:color="auto"/>
                    <w:right w:val="none" w:sz="0" w:space="0" w:color="auto"/>
                  </w:divBdr>
                  <w:divsChild>
                    <w:div w:id="1855338516">
                      <w:marLeft w:val="0"/>
                      <w:marRight w:val="0"/>
                      <w:marTop w:val="0"/>
                      <w:marBottom w:val="0"/>
                      <w:divBdr>
                        <w:top w:val="none" w:sz="0" w:space="0" w:color="auto"/>
                        <w:left w:val="none" w:sz="0" w:space="0" w:color="auto"/>
                        <w:bottom w:val="none" w:sz="0" w:space="0" w:color="auto"/>
                        <w:right w:val="none" w:sz="0" w:space="0" w:color="auto"/>
                      </w:divBdr>
                    </w:div>
                  </w:divsChild>
                </w:div>
                <w:div w:id="1990942774">
                  <w:marLeft w:val="0"/>
                  <w:marRight w:val="0"/>
                  <w:marTop w:val="0"/>
                  <w:marBottom w:val="0"/>
                  <w:divBdr>
                    <w:top w:val="none" w:sz="0" w:space="0" w:color="auto"/>
                    <w:left w:val="none" w:sz="0" w:space="0" w:color="auto"/>
                    <w:bottom w:val="none" w:sz="0" w:space="0" w:color="auto"/>
                    <w:right w:val="none" w:sz="0" w:space="0" w:color="auto"/>
                  </w:divBdr>
                  <w:divsChild>
                    <w:div w:id="141240998">
                      <w:marLeft w:val="0"/>
                      <w:marRight w:val="0"/>
                      <w:marTop w:val="0"/>
                      <w:marBottom w:val="0"/>
                      <w:divBdr>
                        <w:top w:val="none" w:sz="0" w:space="0" w:color="auto"/>
                        <w:left w:val="none" w:sz="0" w:space="0" w:color="auto"/>
                        <w:bottom w:val="none" w:sz="0" w:space="0" w:color="auto"/>
                        <w:right w:val="none" w:sz="0" w:space="0" w:color="auto"/>
                      </w:divBdr>
                    </w:div>
                    <w:div w:id="174461176">
                      <w:marLeft w:val="0"/>
                      <w:marRight w:val="0"/>
                      <w:marTop w:val="0"/>
                      <w:marBottom w:val="0"/>
                      <w:divBdr>
                        <w:top w:val="none" w:sz="0" w:space="0" w:color="auto"/>
                        <w:left w:val="none" w:sz="0" w:space="0" w:color="auto"/>
                        <w:bottom w:val="none" w:sz="0" w:space="0" w:color="auto"/>
                        <w:right w:val="none" w:sz="0" w:space="0" w:color="auto"/>
                      </w:divBdr>
                    </w:div>
                    <w:div w:id="249051360">
                      <w:marLeft w:val="0"/>
                      <w:marRight w:val="0"/>
                      <w:marTop w:val="0"/>
                      <w:marBottom w:val="0"/>
                      <w:divBdr>
                        <w:top w:val="none" w:sz="0" w:space="0" w:color="auto"/>
                        <w:left w:val="none" w:sz="0" w:space="0" w:color="auto"/>
                        <w:bottom w:val="none" w:sz="0" w:space="0" w:color="auto"/>
                        <w:right w:val="none" w:sz="0" w:space="0" w:color="auto"/>
                      </w:divBdr>
                    </w:div>
                    <w:div w:id="834611077">
                      <w:marLeft w:val="0"/>
                      <w:marRight w:val="0"/>
                      <w:marTop w:val="0"/>
                      <w:marBottom w:val="0"/>
                      <w:divBdr>
                        <w:top w:val="none" w:sz="0" w:space="0" w:color="auto"/>
                        <w:left w:val="none" w:sz="0" w:space="0" w:color="auto"/>
                        <w:bottom w:val="none" w:sz="0" w:space="0" w:color="auto"/>
                        <w:right w:val="none" w:sz="0" w:space="0" w:color="auto"/>
                      </w:divBdr>
                    </w:div>
                    <w:div w:id="1387678702">
                      <w:marLeft w:val="0"/>
                      <w:marRight w:val="0"/>
                      <w:marTop w:val="0"/>
                      <w:marBottom w:val="0"/>
                      <w:divBdr>
                        <w:top w:val="none" w:sz="0" w:space="0" w:color="auto"/>
                        <w:left w:val="none" w:sz="0" w:space="0" w:color="auto"/>
                        <w:bottom w:val="none" w:sz="0" w:space="0" w:color="auto"/>
                        <w:right w:val="none" w:sz="0" w:space="0" w:color="auto"/>
                      </w:divBdr>
                    </w:div>
                    <w:div w:id="1444105763">
                      <w:marLeft w:val="0"/>
                      <w:marRight w:val="0"/>
                      <w:marTop w:val="0"/>
                      <w:marBottom w:val="0"/>
                      <w:divBdr>
                        <w:top w:val="none" w:sz="0" w:space="0" w:color="auto"/>
                        <w:left w:val="none" w:sz="0" w:space="0" w:color="auto"/>
                        <w:bottom w:val="none" w:sz="0" w:space="0" w:color="auto"/>
                        <w:right w:val="none" w:sz="0" w:space="0" w:color="auto"/>
                      </w:divBdr>
                    </w:div>
                    <w:div w:id="1445927828">
                      <w:marLeft w:val="0"/>
                      <w:marRight w:val="0"/>
                      <w:marTop w:val="0"/>
                      <w:marBottom w:val="0"/>
                      <w:divBdr>
                        <w:top w:val="none" w:sz="0" w:space="0" w:color="auto"/>
                        <w:left w:val="none" w:sz="0" w:space="0" w:color="auto"/>
                        <w:bottom w:val="none" w:sz="0" w:space="0" w:color="auto"/>
                        <w:right w:val="none" w:sz="0" w:space="0" w:color="auto"/>
                      </w:divBdr>
                    </w:div>
                    <w:div w:id="1535381556">
                      <w:marLeft w:val="0"/>
                      <w:marRight w:val="0"/>
                      <w:marTop w:val="0"/>
                      <w:marBottom w:val="0"/>
                      <w:divBdr>
                        <w:top w:val="none" w:sz="0" w:space="0" w:color="auto"/>
                        <w:left w:val="none" w:sz="0" w:space="0" w:color="auto"/>
                        <w:bottom w:val="none" w:sz="0" w:space="0" w:color="auto"/>
                        <w:right w:val="none" w:sz="0" w:space="0" w:color="auto"/>
                      </w:divBdr>
                    </w:div>
                    <w:div w:id="1670253929">
                      <w:marLeft w:val="0"/>
                      <w:marRight w:val="0"/>
                      <w:marTop w:val="0"/>
                      <w:marBottom w:val="0"/>
                      <w:divBdr>
                        <w:top w:val="none" w:sz="0" w:space="0" w:color="auto"/>
                        <w:left w:val="none" w:sz="0" w:space="0" w:color="auto"/>
                        <w:bottom w:val="none" w:sz="0" w:space="0" w:color="auto"/>
                        <w:right w:val="none" w:sz="0" w:space="0" w:color="auto"/>
                      </w:divBdr>
                    </w:div>
                    <w:div w:id="1775859552">
                      <w:marLeft w:val="0"/>
                      <w:marRight w:val="0"/>
                      <w:marTop w:val="0"/>
                      <w:marBottom w:val="0"/>
                      <w:divBdr>
                        <w:top w:val="none" w:sz="0" w:space="0" w:color="auto"/>
                        <w:left w:val="none" w:sz="0" w:space="0" w:color="auto"/>
                        <w:bottom w:val="none" w:sz="0" w:space="0" w:color="auto"/>
                        <w:right w:val="none" w:sz="0" w:space="0" w:color="auto"/>
                      </w:divBdr>
                    </w:div>
                    <w:div w:id="1867868507">
                      <w:marLeft w:val="0"/>
                      <w:marRight w:val="0"/>
                      <w:marTop w:val="0"/>
                      <w:marBottom w:val="0"/>
                      <w:divBdr>
                        <w:top w:val="none" w:sz="0" w:space="0" w:color="auto"/>
                        <w:left w:val="none" w:sz="0" w:space="0" w:color="auto"/>
                        <w:bottom w:val="none" w:sz="0" w:space="0" w:color="auto"/>
                        <w:right w:val="none" w:sz="0" w:space="0" w:color="auto"/>
                      </w:divBdr>
                    </w:div>
                  </w:divsChild>
                </w:div>
                <w:div w:id="1992175517">
                  <w:marLeft w:val="0"/>
                  <w:marRight w:val="0"/>
                  <w:marTop w:val="0"/>
                  <w:marBottom w:val="0"/>
                  <w:divBdr>
                    <w:top w:val="none" w:sz="0" w:space="0" w:color="auto"/>
                    <w:left w:val="none" w:sz="0" w:space="0" w:color="auto"/>
                    <w:bottom w:val="none" w:sz="0" w:space="0" w:color="auto"/>
                    <w:right w:val="none" w:sz="0" w:space="0" w:color="auto"/>
                  </w:divBdr>
                  <w:divsChild>
                    <w:div w:id="38016331">
                      <w:marLeft w:val="0"/>
                      <w:marRight w:val="0"/>
                      <w:marTop w:val="0"/>
                      <w:marBottom w:val="0"/>
                      <w:divBdr>
                        <w:top w:val="none" w:sz="0" w:space="0" w:color="auto"/>
                        <w:left w:val="none" w:sz="0" w:space="0" w:color="auto"/>
                        <w:bottom w:val="none" w:sz="0" w:space="0" w:color="auto"/>
                        <w:right w:val="none" w:sz="0" w:space="0" w:color="auto"/>
                      </w:divBdr>
                    </w:div>
                    <w:div w:id="443811326">
                      <w:marLeft w:val="0"/>
                      <w:marRight w:val="0"/>
                      <w:marTop w:val="0"/>
                      <w:marBottom w:val="0"/>
                      <w:divBdr>
                        <w:top w:val="none" w:sz="0" w:space="0" w:color="auto"/>
                        <w:left w:val="none" w:sz="0" w:space="0" w:color="auto"/>
                        <w:bottom w:val="none" w:sz="0" w:space="0" w:color="auto"/>
                        <w:right w:val="none" w:sz="0" w:space="0" w:color="auto"/>
                      </w:divBdr>
                    </w:div>
                    <w:div w:id="657736131">
                      <w:marLeft w:val="0"/>
                      <w:marRight w:val="0"/>
                      <w:marTop w:val="0"/>
                      <w:marBottom w:val="0"/>
                      <w:divBdr>
                        <w:top w:val="none" w:sz="0" w:space="0" w:color="auto"/>
                        <w:left w:val="none" w:sz="0" w:space="0" w:color="auto"/>
                        <w:bottom w:val="none" w:sz="0" w:space="0" w:color="auto"/>
                        <w:right w:val="none" w:sz="0" w:space="0" w:color="auto"/>
                      </w:divBdr>
                    </w:div>
                    <w:div w:id="744373230">
                      <w:marLeft w:val="0"/>
                      <w:marRight w:val="0"/>
                      <w:marTop w:val="0"/>
                      <w:marBottom w:val="0"/>
                      <w:divBdr>
                        <w:top w:val="none" w:sz="0" w:space="0" w:color="auto"/>
                        <w:left w:val="none" w:sz="0" w:space="0" w:color="auto"/>
                        <w:bottom w:val="none" w:sz="0" w:space="0" w:color="auto"/>
                        <w:right w:val="none" w:sz="0" w:space="0" w:color="auto"/>
                      </w:divBdr>
                    </w:div>
                    <w:div w:id="1131020483">
                      <w:marLeft w:val="0"/>
                      <w:marRight w:val="0"/>
                      <w:marTop w:val="0"/>
                      <w:marBottom w:val="0"/>
                      <w:divBdr>
                        <w:top w:val="none" w:sz="0" w:space="0" w:color="auto"/>
                        <w:left w:val="none" w:sz="0" w:space="0" w:color="auto"/>
                        <w:bottom w:val="none" w:sz="0" w:space="0" w:color="auto"/>
                        <w:right w:val="none" w:sz="0" w:space="0" w:color="auto"/>
                      </w:divBdr>
                    </w:div>
                    <w:div w:id="1205370666">
                      <w:marLeft w:val="0"/>
                      <w:marRight w:val="0"/>
                      <w:marTop w:val="0"/>
                      <w:marBottom w:val="0"/>
                      <w:divBdr>
                        <w:top w:val="none" w:sz="0" w:space="0" w:color="auto"/>
                        <w:left w:val="none" w:sz="0" w:space="0" w:color="auto"/>
                        <w:bottom w:val="none" w:sz="0" w:space="0" w:color="auto"/>
                        <w:right w:val="none" w:sz="0" w:space="0" w:color="auto"/>
                      </w:divBdr>
                    </w:div>
                    <w:div w:id="1276598144">
                      <w:marLeft w:val="0"/>
                      <w:marRight w:val="0"/>
                      <w:marTop w:val="0"/>
                      <w:marBottom w:val="0"/>
                      <w:divBdr>
                        <w:top w:val="none" w:sz="0" w:space="0" w:color="auto"/>
                        <w:left w:val="none" w:sz="0" w:space="0" w:color="auto"/>
                        <w:bottom w:val="none" w:sz="0" w:space="0" w:color="auto"/>
                        <w:right w:val="none" w:sz="0" w:space="0" w:color="auto"/>
                      </w:divBdr>
                    </w:div>
                    <w:div w:id="1306853783">
                      <w:marLeft w:val="0"/>
                      <w:marRight w:val="0"/>
                      <w:marTop w:val="0"/>
                      <w:marBottom w:val="0"/>
                      <w:divBdr>
                        <w:top w:val="none" w:sz="0" w:space="0" w:color="auto"/>
                        <w:left w:val="none" w:sz="0" w:space="0" w:color="auto"/>
                        <w:bottom w:val="none" w:sz="0" w:space="0" w:color="auto"/>
                        <w:right w:val="none" w:sz="0" w:space="0" w:color="auto"/>
                      </w:divBdr>
                    </w:div>
                    <w:div w:id="1364987663">
                      <w:marLeft w:val="0"/>
                      <w:marRight w:val="0"/>
                      <w:marTop w:val="0"/>
                      <w:marBottom w:val="0"/>
                      <w:divBdr>
                        <w:top w:val="none" w:sz="0" w:space="0" w:color="auto"/>
                        <w:left w:val="none" w:sz="0" w:space="0" w:color="auto"/>
                        <w:bottom w:val="none" w:sz="0" w:space="0" w:color="auto"/>
                        <w:right w:val="none" w:sz="0" w:space="0" w:color="auto"/>
                      </w:divBdr>
                    </w:div>
                    <w:div w:id="1493377358">
                      <w:marLeft w:val="0"/>
                      <w:marRight w:val="0"/>
                      <w:marTop w:val="0"/>
                      <w:marBottom w:val="0"/>
                      <w:divBdr>
                        <w:top w:val="none" w:sz="0" w:space="0" w:color="auto"/>
                        <w:left w:val="none" w:sz="0" w:space="0" w:color="auto"/>
                        <w:bottom w:val="none" w:sz="0" w:space="0" w:color="auto"/>
                        <w:right w:val="none" w:sz="0" w:space="0" w:color="auto"/>
                      </w:divBdr>
                    </w:div>
                  </w:divsChild>
                </w:div>
                <w:div w:id="2004970875">
                  <w:marLeft w:val="0"/>
                  <w:marRight w:val="0"/>
                  <w:marTop w:val="0"/>
                  <w:marBottom w:val="0"/>
                  <w:divBdr>
                    <w:top w:val="none" w:sz="0" w:space="0" w:color="auto"/>
                    <w:left w:val="none" w:sz="0" w:space="0" w:color="auto"/>
                    <w:bottom w:val="none" w:sz="0" w:space="0" w:color="auto"/>
                    <w:right w:val="none" w:sz="0" w:space="0" w:color="auto"/>
                  </w:divBdr>
                  <w:divsChild>
                    <w:div w:id="149715449">
                      <w:marLeft w:val="0"/>
                      <w:marRight w:val="0"/>
                      <w:marTop w:val="0"/>
                      <w:marBottom w:val="0"/>
                      <w:divBdr>
                        <w:top w:val="none" w:sz="0" w:space="0" w:color="auto"/>
                        <w:left w:val="none" w:sz="0" w:space="0" w:color="auto"/>
                        <w:bottom w:val="none" w:sz="0" w:space="0" w:color="auto"/>
                        <w:right w:val="none" w:sz="0" w:space="0" w:color="auto"/>
                      </w:divBdr>
                    </w:div>
                  </w:divsChild>
                </w:div>
                <w:div w:id="2019699438">
                  <w:marLeft w:val="0"/>
                  <w:marRight w:val="0"/>
                  <w:marTop w:val="0"/>
                  <w:marBottom w:val="0"/>
                  <w:divBdr>
                    <w:top w:val="none" w:sz="0" w:space="0" w:color="auto"/>
                    <w:left w:val="none" w:sz="0" w:space="0" w:color="auto"/>
                    <w:bottom w:val="none" w:sz="0" w:space="0" w:color="auto"/>
                    <w:right w:val="none" w:sz="0" w:space="0" w:color="auto"/>
                  </w:divBdr>
                  <w:divsChild>
                    <w:div w:id="40399680">
                      <w:marLeft w:val="0"/>
                      <w:marRight w:val="0"/>
                      <w:marTop w:val="0"/>
                      <w:marBottom w:val="0"/>
                      <w:divBdr>
                        <w:top w:val="none" w:sz="0" w:space="0" w:color="auto"/>
                        <w:left w:val="none" w:sz="0" w:space="0" w:color="auto"/>
                        <w:bottom w:val="none" w:sz="0" w:space="0" w:color="auto"/>
                        <w:right w:val="none" w:sz="0" w:space="0" w:color="auto"/>
                      </w:divBdr>
                    </w:div>
                  </w:divsChild>
                </w:div>
                <w:div w:id="2037847932">
                  <w:marLeft w:val="0"/>
                  <w:marRight w:val="0"/>
                  <w:marTop w:val="0"/>
                  <w:marBottom w:val="0"/>
                  <w:divBdr>
                    <w:top w:val="none" w:sz="0" w:space="0" w:color="auto"/>
                    <w:left w:val="none" w:sz="0" w:space="0" w:color="auto"/>
                    <w:bottom w:val="none" w:sz="0" w:space="0" w:color="auto"/>
                    <w:right w:val="none" w:sz="0" w:space="0" w:color="auto"/>
                  </w:divBdr>
                  <w:divsChild>
                    <w:div w:id="1786273128">
                      <w:marLeft w:val="0"/>
                      <w:marRight w:val="0"/>
                      <w:marTop w:val="0"/>
                      <w:marBottom w:val="0"/>
                      <w:divBdr>
                        <w:top w:val="none" w:sz="0" w:space="0" w:color="auto"/>
                        <w:left w:val="none" w:sz="0" w:space="0" w:color="auto"/>
                        <w:bottom w:val="none" w:sz="0" w:space="0" w:color="auto"/>
                        <w:right w:val="none" w:sz="0" w:space="0" w:color="auto"/>
                      </w:divBdr>
                    </w:div>
                  </w:divsChild>
                </w:div>
                <w:div w:id="2076778628">
                  <w:marLeft w:val="0"/>
                  <w:marRight w:val="0"/>
                  <w:marTop w:val="0"/>
                  <w:marBottom w:val="0"/>
                  <w:divBdr>
                    <w:top w:val="none" w:sz="0" w:space="0" w:color="auto"/>
                    <w:left w:val="none" w:sz="0" w:space="0" w:color="auto"/>
                    <w:bottom w:val="none" w:sz="0" w:space="0" w:color="auto"/>
                    <w:right w:val="none" w:sz="0" w:space="0" w:color="auto"/>
                  </w:divBdr>
                  <w:divsChild>
                    <w:div w:id="1850873357">
                      <w:marLeft w:val="0"/>
                      <w:marRight w:val="0"/>
                      <w:marTop w:val="0"/>
                      <w:marBottom w:val="0"/>
                      <w:divBdr>
                        <w:top w:val="none" w:sz="0" w:space="0" w:color="auto"/>
                        <w:left w:val="none" w:sz="0" w:space="0" w:color="auto"/>
                        <w:bottom w:val="none" w:sz="0" w:space="0" w:color="auto"/>
                        <w:right w:val="none" w:sz="0" w:space="0" w:color="auto"/>
                      </w:divBdr>
                    </w:div>
                  </w:divsChild>
                </w:div>
                <w:div w:id="2087610673">
                  <w:marLeft w:val="0"/>
                  <w:marRight w:val="0"/>
                  <w:marTop w:val="0"/>
                  <w:marBottom w:val="0"/>
                  <w:divBdr>
                    <w:top w:val="none" w:sz="0" w:space="0" w:color="auto"/>
                    <w:left w:val="none" w:sz="0" w:space="0" w:color="auto"/>
                    <w:bottom w:val="none" w:sz="0" w:space="0" w:color="auto"/>
                    <w:right w:val="none" w:sz="0" w:space="0" w:color="auto"/>
                  </w:divBdr>
                  <w:divsChild>
                    <w:div w:id="438720301">
                      <w:marLeft w:val="0"/>
                      <w:marRight w:val="0"/>
                      <w:marTop w:val="0"/>
                      <w:marBottom w:val="0"/>
                      <w:divBdr>
                        <w:top w:val="none" w:sz="0" w:space="0" w:color="auto"/>
                        <w:left w:val="none" w:sz="0" w:space="0" w:color="auto"/>
                        <w:bottom w:val="none" w:sz="0" w:space="0" w:color="auto"/>
                        <w:right w:val="none" w:sz="0" w:space="0" w:color="auto"/>
                      </w:divBdr>
                    </w:div>
                  </w:divsChild>
                </w:div>
                <w:div w:id="2112318572">
                  <w:marLeft w:val="0"/>
                  <w:marRight w:val="0"/>
                  <w:marTop w:val="0"/>
                  <w:marBottom w:val="0"/>
                  <w:divBdr>
                    <w:top w:val="none" w:sz="0" w:space="0" w:color="auto"/>
                    <w:left w:val="none" w:sz="0" w:space="0" w:color="auto"/>
                    <w:bottom w:val="none" w:sz="0" w:space="0" w:color="auto"/>
                    <w:right w:val="none" w:sz="0" w:space="0" w:color="auto"/>
                  </w:divBdr>
                  <w:divsChild>
                    <w:div w:id="16980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257931">
          <w:marLeft w:val="0"/>
          <w:marRight w:val="0"/>
          <w:marTop w:val="0"/>
          <w:marBottom w:val="0"/>
          <w:divBdr>
            <w:top w:val="none" w:sz="0" w:space="0" w:color="auto"/>
            <w:left w:val="none" w:sz="0" w:space="0" w:color="auto"/>
            <w:bottom w:val="none" w:sz="0" w:space="0" w:color="auto"/>
            <w:right w:val="none" w:sz="0" w:space="0" w:color="auto"/>
          </w:divBdr>
          <w:divsChild>
            <w:div w:id="13700272">
              <w:marLeft w:val="0"/>
              <w:marRight w:val="0"/>
              <w:marTop w:val="0"/>
              <w:marBottom w:val="0"/>
              <w:divBdr>
                <w:top w:val="none" w:sz="0" w:space="0" w:color="auto"/>
                <w:left w:val="none" w:sz="0" w:space="0" w:color="auto"/>
                <w:bottom w:val="none" w:sz="0" w:space="0" w:color="auto"/>
                <w:right w:val="none" w:sz="0" w:space="0" w:color="auto"/>
              </w:divBdr>
            </w:div>
            <w:div w:id="249898660">
              <w:marLeft w:val="0"/>
              <w:marRight w:val="0"/>
              <w:marTop w:val="0"/>
              <w:marBottom w:val="0"/>
              <w:divBdr>
                <w:top w:val="none" w:sz="0" w:space="0" w:color="auto"/>
                <w:left w:val="none" w:sz="0" w:space="0" w:color="auto"/>
                <w:bottom w:val="none" w:sz="0" w:space="0" w:color="auto"/>
                <w:right w:val="none" w:sz="0" w:space="0" w:color="auto"/>
              </w:divBdr>
            </w:div>
            <w:div w:id="362635922">
              <w:marLeft w:val="0"/>
              <w:marRight w:val="0"/>
              <w:marTop w:val="0"/>
              <w:marBottom w:val="0"/>
              <w:divBdr>
                <w:top w:val="none" w:sz="0" w:space="0" w:color="auto"/>
                <w:left w:val="none" w:sz="0" w:space="0" w:color="auto"/>
                <w:bottom w:val="none" w:sz="0" w:space="0" w:color="auto"/>
                <w:right w:val="none" w:sz="0" w:space="0" w:color="auto"/>
              </w:divBdr>
            </w:div>
            <w:div w:id="370612191">
              <w:marLeft w:val="0"/>
              <w:marRight w:val="0"/>
              <w:marTop w:val="0"/>
              <w:marBottom w:val="0"/>
              <w:divBdr>
                <w:top w:val="none" w:sz="0" w:space="0" w:color="auto"/>
                <w:left w:val="none" w:sz="0" w:space="0" w:color="auto"/>
                <w:bottom w:val="none" w:sz="0" w:space="0" w:color="auto"/>
                <w:right w:val="none" w:sz="0" w:space="0" w:color="auto"/>
              </w:divBdr>
            </w:div>
            <w:div w:id="465634460">
              <w:marLeft w:val="0"/>
              <w:marRight w:val="0"/>
              <w:marTop w:val="0"/>
              <w:marBottom w:val="0"/>
              <w:divBdr>
                <w:top w:val="none" w:sz="0" w:space="0" w:color="auto"/>
                <w:left w:val="none" w:sz="0" w:space="0" w:color="auto"/>
                <w:bottom w:val="none" w:sz="0" w:space="0" w:color="auto"/>
                <w:right w:val="none" w:sz="0" w:space="0" w:color="auto"/>
              </w:divBdr>
            </w:div>
            <w:div w:id="472526309">
              <w:marLeft w:val="0"/>
              <w:marRight w:val="0"/>
              <w:marTop w:val="0"/>
              <w:marBottom w:val="0"/>
              <w:divBdr>
                <w:top w:val="none" w:sz="0" w:space="0" w:color="auto"/>
                <w:left w:val="none" w:sz="0" w:space="0" w:color="auto"/>
                <w:bottom w:val="none" w:sz="0" w:space="0" w:color="auto"/>
                <w:right w:val="none" w:sz="0" w:space="0" w:color="auto"/>
              </w:divBdr>
            </w:div>
            <w:div w:id="536894025">
              <w:marLeft w:val="0"/>
              <w:marRight w:val="0"/>
              <w:marTop w:val="0"/>
              <w:marBottom w:val="0"/>
              <w:divBdr>
                <w:top w:val="none" w:sz="0" w:space="0" w:color="auto"/>
                <w:left w:val="none" w:sz="0" w:space="0" w:color="auto"/>
                <w:bottom w:val="none" w:sz="0" w:space="0" w:color="auto"/>
                <w:right w:val="none" w:sz="0" w:space="0" w:color="auto"/>
              </w:divBdr>
            </w:div>
            <w:div w:id="879127927">
              <w:marLeft w:val="0"/>
              <w:marRight w:val="0"/>
              <w:marTop w:val="0"/>
              <w:marBottom w:val="0"/>
              <w:divBdr>
                <w:top w:val="none" w:sz="0" w:space="0" w:color="auto"/>
                <w:left w:val="none" w:sz="0" w:space="0" w:color="auto"/>
                <w:bottom w:val="none" w:sz="0" w:space="0" w:color="auto"/>
                <w:right w:val="none" w:sz="0" w:space="0" w:color="auto"/>
              </w:divBdr>
            </w:div>
            <w:div w:id="997149877">
              <w:marLeft w:val="0"/>
              <w:marRight w:val="0"/>
              <w:marTop w:val="0"/>
              <w:marBottom w:val="0"/>
              <w:divBdr>
                <w:top w:val="none" w:sz="0" w:space="0" w:color="auto"/>
                <w:left w:val="none" w:sz="0" w:space="0" w:color="auto"/>
                <w:bottom w:val="none" w:sz="0" w:space="0" w:color="auto"/>
                <w:right w:val="none" w:sz="0" w:space="0" w:color="auto"/>
              </w:divBdr>
            </w:div>
            <w:div w:id="1007365769">
              <w:marLeft w:val="0"/>
              <w:marRight w:val="0"/>
              <w:marTop w:val="0"/>
              <w:marBottom w:val="0"/>
              <w:divBdr>
                <w:top w:val="none" w:sz="0" w:space="0" w:color="auto"/>
                <w:left w:val="none" w:sz="0" w:space="0" w:color="auto"/>
                <w:bottom w:val="none" w:sz="0" w:space="0" w:color="auto"/>
                <w:right w:val="none" w:sz="0" w:space="0" w:color="auto"/>
              </w:divBdr>
            </w:div>
            <w:div w:id="1041394588">
              <w:marLeft w:val="0"/>
              <w:marRight w:val="0"/>
              <w:marTop w:val="0"/>
              <w:marBottom w:val="0"/>
              <w:divBdr>
                <w:top w:val="none" w:sz="0" w:space="0" w:color="auto"/>
                <w:left w:val="none" w:sz="0" w:space="0" w:color="auto"/>
                <w:bottom w:val="none" w:sz="0" w:space="0" w:color="auto"/>
                <w:right w:val="none" w:sz="0" w:space="0" w:color="auto"/>
              </w:divBdr>
            </w:div>
            <w:div w:id="1064065665">
              <w:marLeft w:val="0"/>
              <w:marRight w:val="0"/>
              <w:marTop w:val="0"/>
              <w:marBottom w:val="0"/>
              <w:divBdr>
                <w:top w:val="none" w:sz="0" w:space="0" w:color="auto"/>
                <w:left w:val="none" w:sz="0" w:space="0" w:color="auto"/>
                <w:bottom w:val="none" w:sz="0" w:space="0" w:color="auto"/>
                <w:right w:val="none" w:sz="0" w:space="0" w:color="auto"/>
              </w:divBdr>
            </w:div>
            <w:div w:id="1086921074">
              <w:marLeft w:val="0"/>
              <w:marRight w:val="0"/>
              <w:marTop w:val="0"/>
              <w:marBottom w:val="0"/>
              <w:divBdr>
                <w:top w:val="none" w:sz="0" w:space="0" w:color="auto"/>
                <w:left w:val="none" w:sz="0" w:space="0" w:color="auto"/>
                <w:bottom w:val="none" w:sz="0" w:space="0" w:color="auto"/>
                <w:right w:val="none" w:sz="0" w:space="0" w:color="auto"/>
              </w:divBdr>
            </w:div>
            <w:div w:id="1123766843">
              <w:marLeft w:val="0"/>
              <w:marRight w:val="0"/>
              <w:marTop w:val="0"/>
              <w:marBottom w:val="0"/>
              <w:divBdr>
                <w:top w:val="none" w:sz="0" w:space="0" w:color="auto"/>
                <w:left w:val="none" w:sz="0" w:space="0" w:color="auto"/>
                <w:bottom w:val="none" w:sz="0" w:space="0" w:color="auto"/>
                <w:right w:val="none" w:sz="0" w:space="0" w:color="auto"/>
              </w:divBdr>
            </w:div>
            <w:div w:id="1390611682">
              <w:marLeft w:val="0"/>
              <w:marRight w:val="0"/>
              <w:marTop w:val="0"/>
              <w:marBottom w:val="0"/>
              <w:divBdr>
                <w:top w:val="none" w:sz="0" w:space="0" w:color="auto"/>
                <w:left w:val="none" w:sz="0" w:space="0" w:color="auto"/>
                <w:bottom w:val="none" w:sz="0" w:space="0" w:color="auto"/>
                <w:right w:val="none" w:sz="0" w:space="0" w:color="auto"/>
              </w:divBdr>
            </w:div>
            <w:div w:id="1419909715">
              <w:marLeft w:val="0"/>
              <w:marRight w:val="0"/>
              <w:marTop w:val="0"/>
              <w:marBottom w:val="0"/>
              <w:divBdr>
                <w:top w:val="none" w:sz="0" w:space="0" w:color="auto"/>
                <w:left w:val="none" w:sz="0" w:space="0" w:color="auto"/>
                <w:bottom w:val="none" w:sz="0" w:space="0" w:color="auto"/>
                <w:right w:val="none" w:sz="0" w:space="0" w:color="auto"/>
              </w:divBdr>
            </w:div>
            <w:div w:id="1420977917">
              <w:marLeft w:val="0"/>
              <w:marRight w:val="0"/>
              <w:marTop w:val="0"/>
              <w:marBottom w:val="0"/>
              <w:divBdr>
                <w:top w:val="none" w:sz="0" w:space="0" w:color="auto"/>
                <w:left w:val="none" w:sz="0" w:space="0" w:color="auto"/>
                <w:bottom w:val="none" w:sz="0" w:space="0" w:color="auto"/>
                <w:right w:val="none" w:sz="0" w:space="0" w:color="auto"/>
              </w:divBdr>
            </w:div>
            <w:div w:id="1639457238">
              <w:marLeft w:val="0"/>
              <w:marRight w:val="0"/>
              <w:marTop w:val="0"/>
              <w:marBottom w:val="0"/>
              <w:divBdr>
                <w:top w:val="none" w:sz="0" w:space="0" w:color="auto"/>
                <w:left w:val="none" w:sz="0" w:space="0" w:color="auto"/>
                <w:bottom w:val="none" w:sz="0" w:space="0" w:color="auto"/>
                <w:right w:val="none" w:sz="0" w:space="0" w:color="auto"/>
              </w:divBdr>
            </w:div>
            <w:div w:id="1685280847">
              <w:marLeft w:val="0"/>
              <w:marRight w:val="0"/>
              <w:marTop w:val="0"/>
              <w:marBottom w:val="0"/>
              <w:divBdr>
                <w:top w:val="none" w:sz="0" w:space="0" w:color="auto"/>
                <w:left w:val="none" w:sz="0" w:space="0" w:color="auto"/>
                <w:bottom w:val="none" w:sz="0" w:space="0" w:color="auto"/>
                <w:right w:val="none" w:sz="0" w:space="0" w:color="auto"/>
              </w:divBdr>
            </w:div>
            <w:div w:id="2125614784">
              <w:marLeft w:val="0"/>
              <w:marRight w:val="0"/>
              <w:marTop w:val="0"/>
              <w:marBottom w:val="0"/>
              <w:divBdr>
                <w:top w:val="none" w:sz="0" w:space="0" w:color="auto"/>
                <w:left w:val="none" w:sz="0" w:space="0" w:color="auto"/>
                <w:bottom w:val="none" w:sz="0" w:space="0" w:color="auto"/>
                <w:right w:val="none" w:sz="0" w:space="0" w:color="auto"/>
              </w:divBdr>
            </w:div>
          </w:divsChild>
        </w:div>
        <w:div w:id="1673677405">
          <w:marLeft w:val="0"/>
          <w:marRight w:val="0"/>
          <w:marTop w:val="0"/>
          <w:marBottom w:val="0"/>
          <w:divBdr>
            <w:top w:val="none" w:sz="0" w:space="0" w:color="auto"/>
            <w:left w:val="none" w:sz="0" w:space="0" w:color="auto"/>
            <w:bottom w:val="none" w:sz="0" w:space="0" w:color="auto"/>
            <w:right w:val="none" w:sz="0" w:space="0" w:color="auto"/>
          </w:divBdr>
          <w:divsChild>
            <w:div w:id="96562385">
              <w:marLeft w:val="0"/>
              <w:marRight w:val="0"/>
              <w:marTop w:val="0"/>
              <w:marBottom w:val="0"/>
              <w:divBdr>
                <w:top w:val="none" w:sz="0" w:space="0" w:color="auto"/>
                <w:left w:val="none" w:sz="0" w:space="0" w:color="auto"/>
                <w:bottom w:val="none" w:sz="0" w:space="0" w:color="auto"/>
                <w:right w:val="none" w:sz="0" w:space="0" w:color="auto"/>
              </w:divBdr>
            </w:div>
            <w:div w:id="191186954">
              <w:marLeft w:val="0"/>
              <w:marRight w:val="0"/>
              <w:marTop w:val="0"/>
              <w:marBottom w:val="0"/>
              <w:divBdr>
                <w:top w:val="none" w:sz="0" w:space="0" w:color="auto"/>
                <w:left w:val="none" w:sz="0" w:space="0" w:color="auto"/>
                <w:bottom w:val="none" w:sz="0" w:space="0" w:color="auto"/>
                <w:right w:val="none" w:sz="0" w:space="0" w:color="auto"/>
              </w:divBdr>
            </w:div>
            <w:div w:id="430128495">
              <w:marLeft w:val="0"/>
              <w:marRight w:val="0"/>
              <w:marTop w:val="0"/>
              <w:marBottom w:val="0"/>
              <w:divBdr>
                <w:top w:val="none" w:sz="0" w:space="0" w:color="auto"/>
                <w:left w:val="none" w:sz="0" w:space="0" w:color="auto"/>
                <w:bottom w:val="none" w:sz="0" w:space="0" w:color="auto"/>
                <w:right w:val="none" w:sz="0" w:space="0" w:color="auto"/>
              </w:divBdr>
            </w:div>
            <w:div w:id="511800151">
              <w:marLeft w:val="0"/>
              <w:marRight w:val="0"/>
              <w:marTop w:val="0"/>
              <w:marBottom w:val="0"/>
              <w:divBdr>
                <w:top w:val="none" w:sz="0" w:space="0" w:color="auto"/>
                <w:left w:val="none" w:sz="0" w:space="0" w:color="auto"/>
                <w:bottom w:val="none" w:sz="0" w:space="0" w:color="auto"/>
                <w:right w:val="none" w:sz="0" w:space="0" w:color="auto"/>
              </w:divBdr>
            </w:div>
            <w:div w:id="866143935">
              <w:marLeft w:val="0"/>
              <w:marRight w:val="0"/>
              <w:marTop w:val="0"/>
              <w:marBottom w:val="0"/>
              <w:divBdr>
                <w:top w:val="none" w:sz="0" w:space="0" w:color="auto"/>
                <w:left w:val="none" w:sz="0" w:space="0" w:color="auto"/>
                <w:bottom w:val="none" w:sz="0" w:space="0" w:color="auto"/>
                <w:right w:val="none" w:sz="0" w:space="0" w:color="auto"/>
              </w:divBdr>
            </w:div>
            <w:div w:id="911235275">
              <w:marLeft w:val="0"/>
              <w:marRight w:val="0"/>
              <w:marTop w:val="0"/>
              <w:marBottom w:val="0"/>
              <w:divBdr>
                <w:top w:val="none" w:sz="0" w:space="0" w:color="auto"/>
                <w:left w:val="none" w:sz="0" w:space="0" w:color="auto"/>
                <w:bottom w:val="none" w:sz="0" w:space="0" w:color="auto"/>
                <w:right w:val="none" w:sz="0" w:space="0" w:color="auto"/>
              </w:divBdr>
            </w:div>
            <w:div w:id="968050057">
              <w:marLeft w:val="0"/>
              <w:marRight w:val="0"/>
              <w:marTop w:val="0"/>
              <w:marBottom w:val="0"/>
              <w:divBdr>
                <w:top w:val="none" w:sz="0" w:space="0" w:color="auto"/>
                <w:left w:val="none" w:sz="0" w:space="0" w:color="auto"/>
                <w:bottom w:val="none" w:sz="0" w:space="0" w:color="auto"/>
                <w:right w:val="none" w:sz="0" w:space="0" w:color="auto"/>
              </w:divBdr>
            </w:div>
            <w:div w:id="1008362080">
              <w:marLeft w:val="0"/>
              <w:marRight w:val="0"/>
              <w:marTop w:val="0"/>
              <w:marBottom w:val="0"/>
              <w:divBdr>
                <w:top w:val="none" w:sz="0" w:space="0" w:color="auto"/>
                <w:left w:val="none" w:sz="0" w:space="0" w:color="auto"/>
                <w:bottom w:val="none" w:sz="0" w:space="0" w:color="auto"/>
                <w:right w:val="none" w:sz="0" w:space="0" w:color="auto"/>
              </w:divBdr>
            </w:div>
            <w:div w:id="1052115590">
              <w:marLeft w:val="0"/>
              <w:marRight w:val="0"/>
              <w:marTop w:val="0"/>
              <w:marBottom w:val="0"/>
              <w:divBdr>
                <w:top w:val="none" w:sz="0" w:space="0" w:color="auto"/>
                <w:left w:val="none" w:sz="0" w:space="0" w:color="auto"/>
                <w:bottom w:val="none" w:sz="0" w:space="0" w:color="auto"/>
                <w:right w:val="none" w:sz="0" w:space="0" w:color="auto"/>
              </w:divBdr>
            </w:div>
            <w:div w:id="1301761729">
              <w:marLeft w:val="0"/>
              <w:marRight w:val="0"/>
              <w:marTop w:val="0"/>
              <w:marBottom w:val="0"/>
              <w:divBdr>
                <w:top w:val="none" w:sz="0" w:space="0" w:color="auto"/>
                <w:left w:val="none" w:sz="0" w:space="0" w:color="auto"/>
                <w:bottom w:val="none" w:sz="0" w:space="0" w:color="auto"/>
                <w:right w:val="none" w:sz="0" w:space="0" w:color="auto"/>
              </w:divBdr>
            </w:div>
            <w:div w:id="1463576061">
              <w:marLeft w:val="0"/>
              <w:marRight w:val="0"/>
              <w:marTop w:val="0"/>
              <w:marBottom w:val="0"/>
              <w:divBdr>
                <w:top w:val="none" w:sz="0" w:space="0" w:color="auto"/>
                <w:left w:val="none" w:sz="0" w:space="0" w:color="auto"/>
                <w:bottom w:val="none" w:sz="0" w:space="0" w:color="auto"/>
                <w:right w:val="none" w:sz="0" w:space="0" w:color="auto"/>
              </w:divBdr>
            </w:div>
            <w:div w:id="1579825713">
              <w:marLeft w:val="0"/>
              <w:marRight w:val="0"/>
              <w:marTop w:val="0"/>
              <w:marBottom w:val="0"/>
              <w:divBdr>
                <w:top w:val="none" w:sz="0" w:space="0" w:color="auto"/>
                <w:left w:val="none" w:sz="0" w:space="0" w:color="auto"/>
                <w:bottom w:val="none" w:sz="0" w:space="0" w:color="auto"/>
                <w:right w:val="none" w:sz="0" w:space="0" w:color="auto"/>
              </w:divBdr>
            </w:div>
            <w:div w:id="1591886732">
              <w:marLeft w:val="0"/>
              <w:marRight w:val="0"/>
              <w:marTop w:val="0"/>
              <w:marBottom w:val="0"/>
              <w:divBdr>
                <w:top w:val="none" w:sz="0" w:space="0" w:color="auto"/>
                <w:left w:val="none" w:sz="0" w:space="0" w:color="auto"/>
                <w:bottom w:val="none" w:sz="0" w:space="0" w:color="auto"/>
                <w:right w:val="none" w:sz="0" w:space="0" w:color="auto"/>
              </w:divBdr>
            </w:div>
            <w:div w:id="1667661633">
              <w:marLeft w:val="0"/>
              <w:marRight w:val="0"/>
              <w:marTop w:val="0"/>
              <w:marBottom w:val="0"/>
              <w:divBdr>
                <w:top w:val="none" w:sz="0" w:space="0" w:color="auto"/>
                <w:left w:val="none" w:sz="0" w:space="0" w:color="auto"/>
                <w:bottom w:val="none" w:sz="0" w:space="0" w:color="auto"/>
                <w:right w:val="none" w:sz="0" w:space="0" w:color="auto"/>
              </w:divBdr>
            </w:div>
            <w:div w:id="1683165052">
              <w:marLeft w:val="0"/>
              <w:marRight w:val="0"/>
              <w:marTop w:val="0"/>
              <w:marBottom w:val="0"/>
              <w:divBdr>
                <w:top w:val="none" w:sz="0" w:space="0" w:color="auto"/>
                <w:left w:val="none" w:sz="0" w:space="0" w:color="auto"/>
                <w:bottom w:val="none" w:sz="0" w:space="0" w:color="auto"/>
                <w:right w:val="none" w:sz="0" w:space="0" w:color="auto"/>
              </w:divBdr>
            </w:div>
            <w:div w:id="1862695954">
              <w:marLeft w:val="0"/>
              <w:marRight w:val="0"/>
              <w:marTop w:val="0"/>
              <w:marBottom w:val="0"/>
              <w:divBdr>
                <w:top w:val="none" w:sz="0" w:space="0" w:color="auto"/>
                <w:left w:val="none" w:sz="0" w:space="0" w:color="auto"/>
                <w:bottom w:val="none" w:sz="0" w:space="0" w:color="auto"/>
                <w:right w:val="none" w:sz="0" w:space="0" w:color="auto"/>
              </w:divBdr>
            </w:div>
            <w:div w:id="2035880012">
              <w:marLeft w:val="0"/>
              <w:marRight w:val="0"/>
              <w:marTop w:val="0"/>
              <w:marBottom w:val="0"/>
              <w:divBdr>
                <w:top w:val="none" w:sz="0" w:space="0" w:color="auto"/>
                <w:left w:val="none" w:sz="0" w:space="0" w:color="auto"/>
                <w:bottom w:val="none" w:sz="0" w:space="0" w:color="auto"/>
                <w:right w:val="none" w:sz="0" w:space="0" w:color="auto"/>
              </w:divBdr>
            </w:div>
          </w:divsChild>
        </w:div>
        <w:div w:id="1725836099">
          <w:marLeft w:val="0"/>
          <w:marRight w:val="0"/>
          <w:marTop w:val="0"/>
          <w:marBottom w:val="0"/>
          <w:divBdr>
            <w:top w:val="none" w:sz="0" w:space="0" w:color="auto"/>
            <w:left w:val="none" w:sz="0" w:space="0" w:color="auto"/>
            <w:bottom w:val="none" w:sz="0" w:space="0" w:color="auto"/>
            <w:right w:val="none" w:sz="0" w:space="0" w:color="auto"/>
          </w:divBdr>
          <w:divsChild>
            <w:div w:id="277297271">
              <w:marLeft w:val="0"/>
              <w:marRight w:val="0"/>
              <w:marTop w:val="0"/>
              <w:marBottom w:val="0"/>
              <w:divBdr>
                <w:top w:val="none" w:sz="0" w:space="0" w:color="auto"/>
                <w:left w:val="none" w:sz="0" w:space="0" w:color="auto"/>
                <w:bottom w:val="none" w:sz="0" w:space="0" w:color="auto"/>
                <w:right w:val="none" w:sz="0" w:space="0" w:color="auto"/>
              </w:divBdr>
            </w:div>
            <w:div w:id="457915627">
              <w:marLeft w:val="0"/>
              <w:marRight w:val="0"/>
              <w:marTop w:val="0"/>
              <w:marBottom w:val="0"/>
              <w:divBdr>
                <w:top w:val="none" w:sz="0" w:space="0" w:color="auto"/>
                <w:left w:val="none" w:sz="0" w:space="0" w:color="auto"/>
                <w:bottom w:val="none" w:sz="0" w:space="0" w:color="auto"/>
                <w:right w:val="none" w:sz="0" w:space="0" w:color="auto"/>
              </w:divBdr>
            </w:div>
            <w:div w:id="527762011">
              <w:marLeft w:val="0"/>
              <w:marRight w:val="0"/>
              <w:marTop w:val="0"/>
              <w:marBottom w:val="0"/>
              <w:divBdr>
                <w:top w:val="none" w:sz="0" w:space="0" w:color="auto"/>
                <w:left w:val="none" w:sz="0" w:space="0" w:color="auto"/>
                <w:bottom w:val="none" w:sz="0" w:space="0" w:color="auto"/>
                <w:right w:val="none" w:sz="0" w:space="0" w:color="auto"/>
              </w:divBdr>
            </w:div>
            <w:div w:id="1412897791">
              <w:marLeft w:val="0"/>
              <w:marRight w:val="0"/>
              <w:marTop w:val="0"/>
              <w:marBottom w:val="0"/>
              <w:divBdr>
                <w:top w:val="none" w:sz="0" w:space="0" w:color="auto"/>
                <w:left w:val="none" w:sz="0" w:space="0" w:color="auto"/>
                <w:bottom w:val="none" w:sz="0" w:space="0" w:color="auto"/>
                <w:right w:val="none" w:sz="0" w:space="0" w:color="auto"/>
              </w:divBdr>
            </w:div>
            <w:div w:id="1718117694">
              <w:marLeft w:val="0"/>
              <w:marRight w:val="0"/>
              <w:marTop w:val="0"/>
              <w:marBottom w:val="0"/>
              <w:divBdr>
                <w:top w:val="none" w:sz="0" w:space="0" w:color="auto"/>
                <w:left w:val="none" w:sz="0" w:space="0" w:color="auto"/>
                <w:bottom w:val="none" w:sz="0" w:space="0" w:color="auto"/>
                <w:right w:val="none" w:sz="0" w:space="0" w:color="auto"/>
              </w:divBdr>
            </w:div>
          </w:divsChild>
        </w:div>
        <w:div w:id="1869904798">
          <w:marLeft w:val="0"/>
          <w:marRight w:val="0"/>
          <w:marTop w:val="0"/>
          <w:marBottom w:val="0"/>
          <w:divBdr>
            <w:top w:val="none" w:sz="0" w:space="0" w:color="auto"/>
            <w:left w:val="none" w:sz="0" w:space="0" w:color="auto"/>
            <w:bottom w:val="none" w:sz="0" w:space="0" w:color="auto"/>
            <w:right w:val="none" w:sz="0" w:space="0" w:color="auto"/>
          </w:divBdr>
          <w:divsChild>
            <w:div w:id="1860462802">
              <w:marLeft w:val="-75"/>
              <w:marRight w:val="0"/>
              <w:marTop w:val="30"/>
              <w:marBottom w:val="30"/>
              <w:divBdr>
                <w:top w:val="none" w:sz="0" w:space="0" w:color="auto"/>
                <w:left w:val="none" w:sz="0" w:space="0" w:color="auto"/>
                <w:bottom w:val="none" w:sz="0" w:space="0" w:color="auto"/>
                <w:right w:val="none" w:sz="0" w:space="0" w:color="auto"/>
              </w:divBdr>
              <w:divsChild>
                <w:div w:id="24066894">
                  <w:marLeft w:val="0"/>
                  <w:marRight w:val="0"/>
                  <w:marTop w:val="0"/>
                  <w:marBottom w:val="0"/>
                  <w:divBdr>
                    <w:top w:val="none" w:sz="0" w:space="0" w:color="auto"/>
                    <w:left w:val="none" w:sz="0" w:space="0" w:color="auto"/>
                    <w:bottom w:val="none" w:sz="0" w:space="0" w:color="auto"/>
                    <w:right w:val="none" w:sz="0" w:space="0" w:color="auto"/>
                  </w:divBdr>
                  <w:divsChild>
                    <w:div w:id="1884630209">
                      <w:marLeft w:val="0"/>
                      <w:marRight w:val="0"/>
                      <w:marTop w:val="0"/>
                      <w:marBottom w:val="0"/>
                      <w:divBdr>
                        <w:top w:val="none" w:sz="0" w:space="0" w:color="auto"/>
                        <w:left w:val="none" w:sz="0" w:space="0" w:color="auto"/>
                        <w:bottom w:val="none" w:sz="0" w:space="0" w:color="auto"/>
                        <w:right w:val="none" w:sz="0" w:space="0" w:color="auto"/>
                      </w:divBdr>
                    </w:div>
                  </w:divsChild>
                </w:div>
                <w:div w:id="43992911">
                  <w:marLeft w:val="0"/>
                  <w:marRight w:val="0"/>
                  <w:marTop w:val="0"/>
                  <w:marBottom w:val="0"/>
                  <w:divBdr>
                    <w:top w:val="none" w:sz="0" w:space="0" w:color="auto"/>
                    <w:left w:val="none" w:sz="0" w:space="0" w:color="auto"/>
                    <w:bottom w:val="none" w:sz="0" w:space="0" w:color="auto"/>
                    <w:right w:val="none" w:sz="0" w:space="0" w:color="auto"/>
                  </w:divBdr>
                  <w:divsChild>
                    <w:div w:id="376390657">
                      <w:marLeft w:val="0"/>
                      <w:marRight w:val="0"/>
                      <w:marTop w:val="0"/>
                      <w:marBottom w:val="0"/>
                      <w:divBdr>
                        <w:top w:val="none" w:sz="0" w:space="0" w:color="auto"/>
                        <w:left w:val="none" w:sz="0" w:space="0" w:color="auto"/>
                        <w:bottom w:val="none" w:sz="0" w:space="0" w:color="auto"/>
                        <w:right w:val="none" w:sz="0" w:space="0" w:color="auto"/>
                      </w:divBdr>
                    </w:div>
                  </w:divsChild>
                </w:div>
                <w:div w:id="50690055">
                  <w:marLeft w:val="0"/>
                  <w:marRight w:val="0"/>
                  <w:marTop w:val="0"/>
                  <w:marBottom w:val="0"/>
                  <w:divBdr>
                    <w:top w:val="none" w:sz="0" w:space="0" w:color="auto"/>
                    <w:left w:val="none" w:sz="0" w:space="0" w:color="auto"/>
                    <w:bottom w:val="none" w:sz="0" w:space="0" w:color="auto"/>
                    <w:right w:val="none" w:sz="0" w:space="0" w:color="auto"/>
                  </w:divBdr>
                  <w:divsChild>
                    <w:div w:id="316888267">
                      <w:marLeft w:val="0"/>
                      <w:marRight w:val="0"/>
                      <w:marTop w:val="0"/>
                      <w:marBottom w:val="0"/>
                      <w:divBdr>
                        <w:top w:val="none" w:sz="0" w:space="0" w:color="auto"/>
                        <w:left w:val="none" w:sz="0" w:space="0" w:color="auto"/>
                        <w:bottom w:val="none" w:sz="0" w:space="0" w:color="auto"/>
                        <w:right w:val="none" w:sz="0" w:space="0" w:color="auto"/>
                      </w:divBdr>
                    </w:div>
                  </w:divsChild>
                </w:div>
                <w:div w:id="57478308">
                  <w:marLeft w:val="0"/>
                  <w:marRight w:val="0"/>
                  <w:marTop w:val="0"/>
                  <w:marBottom w:val="0"/>
                  <w:divBdr>
                    <w:top w:val="none" w:sz="0" w:space="0" w:color="auto"/>
                    <w:left w:val="none" w:sz="0" w:space="0" w:color="auto"/>
                    <w:bottom w:val="none" w:sz="0" w:space="0" w:color="auto"/>
                    <w:right w:val="none" w:sz="0" w:space="0" w:color="auto"/>
                  </w:divBdr>
                  <w:divsChild>
                    <w:div w:id="1533301315">
                      <w:marLeft w:val="0"/>
                      <w:marRight w:val="0"/>
                      <w:marTop w:val="0"/>
                      <w:marBottom w:val="0"/>
                      <w:divBdr>
                        <w:top w:val="none" w:sz="0" w:space="0" w:color="auto"/>
                        <w:left w:val="none" w:sz="0" w:space="0" w:color="auto"/>
                        <w:bottom w:val="none" w:sz="0" w:space="0" w:color="auto"/>
                        <w:right w:val="none" w:sz="0" w:space="0" w:color="auto"/>
                      </w:divBdr>
                    </w:div>
                    <w:div w:id="1657224315">
                      <w:marLeft w:val="0"/>
                      <w:marRight w:val="0"/>
                      <w:marTop w:val="0"/>
                      <w:marBottom w:val="0"/>
                      <w:divBdr>
                        <w:top w:val="none" w:sz="0" w:space="0" w:color="auto"/>
                        <w:left w:val="none" w:sz="0" w:space="0" w:color="auto"/>
                        <w:bottom w:val="none" w:sz="0" w:space="0" w:color="auto"/>
                        <w:right w:val="none" w:sz="0" w:space="0" w:color="auto"/>
                      </w:divBdr>
                    </w:div>
                  </w:divsChild>
                </w:div>
                <w:div w:id="119805061">
                  <w:marLeft w:val="0"/>
                  <w:marRight w:val="0"/>
                  <w:marTop w:val="0"/>
                  <w:marBottom w:val="0"/>
                  <w:divBdr>
                    <w:top w:val="none" w:sz="0" w:space="0" w:color="auto"/>
                    <w:left w:val="none" w:sz="0" w:space="0" w:color="auto"/>
                    <w:bottom w:val="none" w:sz="0" w:space="0" w:color="auto"/>
                    <w:right w:val="none" w:sz="0" w:space="0" w:color="auto"/>
                  </w:divBdr>
                  <w:divsChild>
                    <w:div w:id="1926304108">
                      <w:marLeft w:val="0"/>
                      <w:marRight w:val="0"/>
                      <w:marTop w:val="0"/>
                      <w:marBottom w:val="0"/>
                      <w:divBdr>
                        <w:top w:val="none" w:sz="0" w:space="0" w:color="auto"/>
                        <w:left w:val="none" w:sz="0" w:space="0" w:color="auto"/>
                        <w:bottom w:val="none" w:sz="0" w:space="0" w:color="auto"/>
                        <w:right w:val="none" w:sz="0" w:space="0" w:color="auto"/>
                      </w:divBdr>
                    </w:div>
                    <w:div w:id="1931158998">
                      <w:marLeft w:val="0"/>
                      <w:marRight w:val="0"/>
                      <w:marTop w:val="0"/>
                      <w:marBottom w:val="0"/>
                      <w:divBdr>
                        <w:top w:val="none" w:sz="0" w:space="0" w:color="auto"/>
                        <w:left w:val="none" w:sz="0" w:space="0" w:color="auto"/>
                        <w:bottom w:val="none" w:sz="0" w:space="0" w:color="auto"/>
                        <w:right w:val="none" w:sz="0" w:space="0" w:color="auto"/>
                      </w:divBdr>
                    </w:div>
                  </w:divsChild>
                </w:div>
                <w:div w:id="146748578">
                  <w:marLeft w:val="0"/>
                  <w:marRight w:val="0"/>
                  <w:marTop w:val="0"/>
                  <w:marBottom w:val="0"/>
                  <w:divBdr>
                    <w:top w:val="none" w:sz="0" w:space="0" w:color="auto"/>
                    <w:left w:val="none" w:sz="0" w:space="0" w:color="auto"/>
                    <w:bottom w:val="none" w:sz="0" w:space="0" w:color="auto"/>
                    <w:right w:val="none" w:sz="0" w:space="0" w:color="auto"/>
                  </w:divBdr>
                  <w:divsChild>
                    <w:div w:id="406148839">
                      <w:marLeft w:val="0"/>
                      <w:marRight w:val="0"/>
                      <w:marTop w:val="0"/>
                      <w:marBottom w:val="0"/>
                      <w:divBdr>
                        <w:top w:val="none" w:sz="0" w:space="0" w:color="auto"/>
                        <w:left w:val="none" w:sz="0" w:space="0" w:color="auto"/>
                        <w:bottom w:val="none" w:sz="0" w:space="0" w:color="auto"/>
                        <w:right w:val="none" w:sz="0" w:space="0" w:color="auto"/>
                      </w:divBdr>
                    </w:div>
                  </w:divsChild>
                </w:div>
                <w:div w:id="147290966">
                  <w:marLeft w:val="0"/>
                  <w:marRight w:val="0"/>
                  <w:marTop w:val="0"/>
                  <w:marBottom w:val="0"/>
                  <w:divBdr>
                    <w:top w:val="none" w:sz="0" w:space="0" w:color="auto"/>
                    <w:left w:val="none" w:sz="0" w:space="0" w:color="auto"/>
                    <w:bottom w:val="none" w:sz="0" w:space="0" w:color="auto"/>
                    <w:right w:val="none" w:sz="0" w:space="0" w:color="auto"/>
                  </w:divBdr>
                  <w:divsChild>
                    <w:div w:id="643193125">
                      <w:marLeft w:val="0"/>
                      <w:marRight w:val="0"/>
                      <w:marTop w:val="0"/>
                      <w:marBottom w:val="0"/>
                      <w:divBdr>
                        <w:top w:val="none" w:sz="0" w:space="0" w:color="auto"/>
                        <w:left w:val="none" w:sz="0" w:space="0" w:color="auto"/>
                        <w:bottom w:val="none" w:sz="0" w:space="0" w:color="auto"/>
                        <w:right w:val="none" w:sz="0" w:space="0" w:color="auto"/>
                      </w:divBdr>
                    </w:div>
                  </w:divsChild>
                </w:div>
                <w:div w:id="156501227">
                  <w:marLeft w:val="0"/>
                  <w:marRight w:val="0"/>
                  <w:marTop w:val="0"/>
                  <w:marBottom w:val="0"/>
                  <w:divBdr>
                    <w:top w:val="none" w:sz="0" w:space="0" w:color="auto"/>
                    <w:left w:val="none" w:sz="0" w:space="0" w:color="auto"/>
                    <w:bottom w:val="none" w:sz="0" w:space="0" w:color="auto"/>
                    <w:right w:val="none" w:sz="0" w:space="0" w:color="auto"/>
                  </w:divBdr>
                  <w:divsChild>
                    <w:div w:id="1013189743">
                      <w:marLeft w:val="0"/>
                      <w:marRight w:val="0"/>
                      <w:marTop w:val="0"/>
                      <w:marBottom w:val="0"/>
                      <w:divBdr>
                        <w:top w:val="none" w:sz="0" w:space="0" w:color="auto"/>
                        <w:left w:val="none" w:sz="0" w:space="0" w:color="auto"/>
                        <w:bottom w:val="none" w:sz="0" w:space="0" w:color="auto"/>
                        <w:right w:val="none" w:sz="0" w:space="0" w:color="auto"/>
                      </w:divBdr>
                    </w:div>
                  </w:divsChild>
                </w:div>
                <w:div w:id="161432674">
                  <w:marLeft w:val="0"/>
                  <w:marRight w:val="0"/>
                  <w:marTop w:val="0"/>
                  <w:marBottom w:val="0"/>
                  <w:divBdr>
                    <w:top w:val="none" w:sz="0" w:space="0" w:color="auto"/>
                    <w:left w:val="none" w:sz="0" w:space="0" w:color="auto"/>
                    <w:bottom w:val="none" w:sz="0" w:space="0" w:color="auto"/>
                    <w:right w:val="none" w:sz="0" w:space="0" w:color="auto"/>
                  </w:divBdr>
                  <w:divsChild>
                    <w:div w:id="874781188">
                      <w:marLeft w:val="0"/>
                      <w:marRight w:val="0"/>
                      <w:marTop w:val="0"/>
                      <w:marBottom w:val="0"/>
                      <w:divBdr>
                        <w:top w:val="none" w:sz="0" w:space="0" w:color="auto"/>
                        <w:left w:val="none" w:sz="0" w:space="0" w:color="auto"/>
                        <w:bottom w:val="none" w:sz="0" w:space="0" w:color="auto"/>
                        <w:right w:val="none" w:sz="0" w:space="0" w:color="auto"/>
                      </w:divBdr>
                    </w:div>
                  </w:divsChild>
                </w:div>
                <w:div w:id="211580769">
                  <w:marLeft w:val="0"/>
                  <w:marRight w:val="0"/>
                  <w:marTop w:val="0"/>
                  <w:marBottom w:val="0"/>
                  <w:divBdr>
                    <w:top w:val="none" w:sz="0" w:space="0" w:color="auto"/>
                    <w:left w:val="none" w:sz="0" w:space="0" w:color="auto"/>
                    <w:bottom w:val="none" w:sz="0" w:space="0" w:color="auto"/>
                    <w:right w:val="none" w:sz="0" w:space="0" w:color="auto"/>
                  </w:divBdr>
                  <w:divsChild>
                    <w:div w:id="1982734448">
                      <w:marLeft w:val="0"/>
                      <w:marRight w:val="0"/>
                      <w:marTop w:val="0"/>
                      <w:marBottom w:val="0"/>
                      <w:divBdr>
                        <w:top w:val="none" w:sz="0" w:space="0" w:color="auto"/>
                        <w:left w:val="none" w:sz="0" w:space="0" w:color="auto"/>
                        <w:bottom w:val="none" w:sz="0" w:space="0" w:color="auto"/>
                        <w:right w:val="none" w:sz="0" w:space="0" w:color="auto"/>
                      </w:divBdr>
                    </w:div>
                  </w:divsChild>
                </w:div>
                <w:div w:id="217782949">
                  <w:marLeft w:val="0"/>
                  <w:marRight w:val="0"/>
                  <w:marTop w:val="0"/>
                  <w:marBottom w:val="0"/>
                  <w:divBdr>
                    <w:top w:val="none" w:sz="0" w:space="0" w:color="auto"/>
                    <w:left w:val="none" w:sz="0" w:space="0" w:color="auto"/>
                    <w:bottom w:val="none" w:sz="0" w:space="0" w:color="auto"/>
                    <w:right w:val="none" w:sz="0" w:space="0" w:color="auto"/>
                  </w:divBdr>
                  <w:divsChild>
                    <w:div w:id="1369985861">
                      <w:marLeft w:val="0"/>
                      <w:marRight w:val="0"/>
                      <w:marTop w:val="0"/>
                      <w:marBottom w:val="0"/>
                      <w:divBdr>
                        <w:top w:val="none" w:sz="0" w:space="0" w:color="auto"/>
                        <w:left w:val="none" w:sz="0" w:space="0" w:color="auto"/>
                        <w:bottom w:val="none" w:sz="0" w:space="0" w:color="auto"/>
                        <w:right w:val="none" w:sz="0" w:space="0" w:color="auto"/>
                      </w:divBdr>
                    </w:div>
                  </w:divsChild>
                </w:div>
                <w:div w:id="272711958">
                  <w:marLeft w:val="0"/>
                  <w:marRight w:val="0"/>
                  <w:marTop w:val="0"/>
                  <w:marBottom w:val="0"/>
                  <w:divBdr>
                    <w:top w:val="none" w:sz="0" w:space="0" w:color="auto"/>
                    <w:left w:val="none" w:sz="0" w:space="0" w:color="auto"/>
                    <w:bottom w:val="none" w:sz="0" w:space="0" w:color="auto"/>
                    <w:right w:val="none" w:sz="0" w:space="0" w:color="auto"/>
                  </w:divBdr>
                  <w:divsChild>
                    <w:div w:id="1350912312">
                      <w:marLeft w:val="0"/>
                      <w:marRight w:val="0"/>
                      <w:marTop w:val="0"/>
                      <w:marBottom w:val="0"/>
                      <w:divBdr>
                        <w:top w:val="none" w:sz="0" w:space="0" w:color="auto"/>
                        <w:left w:val="none" w:sz="0" w:space="0" w:color="auto"/>
                        <w:bottom w:val="none" w:sz="0" w:space="0" w:color="auto"/>
                        <w:right w:val="none" w:sz="0" w:space="0" w:color="auto"/>
                      </w:divBdr>
                    </w:div>
                  </w:divsChild>
                </w:div>
                <w:div w:id="352270271">
                  <w:marLeft w:val="0"/>
                  <w:marRight w:val="0"/>
                  <w:marTop w:val="0"/>
                  <w:marBottom w:val="0"/>
                  <w:divBdr>
                    <w:top w:val="none" w:sz="0" w:space="0" w:color="auto"/>
                    <w:left w:val="none" w:sz="0" w:space="0" w:color="auto"/>
                    <w:bottom w:val="none" w:sz="0" w:space="0" w:color="auto"/>
                    <w:right w:val="none" w:sz="0" w:space="0" w:color="auto"/>
                  </w:divBdr>
                  <w:divsChild>
                    <w:div w:id="1365327133">
                      <w:marLeft w:val="0"/>
                      <w:marRight w:val="0"/>
                      <w:marTop w:val="0"/>
                      <w:marBottom w:val="0"/>
                      <w:divBdr>
                        <w:top w:val="none" w:sz="0" w:space="0" w:color="auto"/>
                        <w:left w:val="none" w:sz="0" w:space="0" w:color="auto"/>
                        <w:bottom w:val="none" w:sz="0" w:space="0" w:color="auto"/>
                        <w:right w:val="none" w:sz="0" w:space="0" w:color="auto"/>
                      </w:divBdr>
                    </w:div>
                  </w:divsChild>
                </w:div>
                <w:div w:id="357632474">
                  <w:marLeft w:val="0"/>
                  <w:marRight w:val="0"/>
                  <w:marTop w:val="0"/>
                  <w:marBottom w:val="0"/>
                  <w:divBdr>
                    <w:top w:val="none" w:sz="0" w:space="0" w:color="auto"/>
                    <w:left w:val="none" w:sz="0" w:space="0" w:color="auto"/>
                    <w:bottom w:val="none" w:sz="0" w:space="0" w:color="auto"/>
                    <w:right w:val="none" w:sz="0" w:space="0" w:color="auto"/>
                  </w:divBdr>
                  <w:divsChild>
                    <w:div w:id="816998262">
                      <w:marLeft w:val="0"/>
                      <w:marRight w:val="0"/>
                      <w:marTop w:val="0"/>
                      <w:marBottom w:val="0"/>
                      <w:divBdr>
                        <w:top w:val="none" w:sz="0" w:space="0" w:color="auto"/>
                        <w:left w:val="none" w:sz="0" w:space="0" w:color="auto"/>
                        <w:bottom w:val="none" w:sz="0" w:space="0" w:color="auto"/>
                        <w:right w:val="none" w:sz="0" w:space="0" w:color="auto"/>
                      </w:divBdr>
                    </w:div>
                    <w:div w:id="1192110235">
                      <w:marLeft w:val="0"/>
                      <w:marRight w:val="0"/>
                      <w:marTop w:val="0"/>
                      <w:marBottom w:val="0"/>
                      <w:divBdr>
                        <w:top w:val="none" w:sz="0" w:space="0" w:color="auto"/>
                        <w:left w:val="none" w:sz="0" w:space="0" w:color="auto"/>
                        <w:bottom w:val="none" w:sz="0" w:space="0" w:color="auto"/>
                        <w:right w:val="none" w:sz="0" w:space="0" w:color="auto"/>
                      </w:divBdr>
                    </w:div>
                    <w:div w:id="1252394865">
                      <w:marLeft w:val="0"/>
                      <w:marRight w:val="0"/>
                      <w:marTop w:val="0"/>
                      <w:marBottom w:val="0"/>
                      <w:divBdr>
                        <w:top w:val="none" w:sz="0" w:space="0" w:color="auto"/>
                        <w:left w:val="none" w:sz="0" w:space="0" w:color="auto"/>
                        <w:bottom w:val="none" w:sz="0" w:space="0" w:color="auto"/>
                        <w:right w:val="none" w:sz="0" w:space="0" w:color="auto"/>
                      </w:divBdr>
                    </w:div>
                    <w:div w:id="1695569731">
                      <w:marLeft w:val="0"/>
                      <w:marRight w:val="0"/>
                      <w:marTop w:val="0"/>
                      <w:marBottom w:val="0"/>
                      <w:divBdr>
                        <w:top w:val="none" w:sz="0" w:space="0" w:color="auto"/>
                        <w:left w:val="none" w:sz="0" w:space="0" w:color="auto"/>
                        <w:bottom w:val="none" w:sz="0" w:space="0" w:color="auto"/>
                        <w:right w:val="none" w:sz="0" w:space="0" w:color="auto"/>
                      </w:divBdr>
                    </w:div>
                  </w:divsChild>
                </w:div>
                <w:div w:id="365448182">
                  <w:marLeft w:val="0"/>
                  <w:marRight w:val="0"/>
                  <w:marTop w:val="0"/>
                  <w:marBottom w:val="0"/>
                  <w:divBdr>
                    <w:top w:val="none" w:sz="0" w:space="0" w:color="auto"/>
                    <w:left w:val="none" w:sz="0" w:space="0" w:color="auto"/>
                    <w:bottom w:val="none" w:sz="0" w:space="0" w:color="auto"/>
                    <w:right w:val="none" w:sz="0" w:space="0" w:color="auto"/>
                  </w:divBdr>
                  <w:divsChild>
                    <w:div w:id="1639535736">
                      <w:marLeft w:val="0"/>
                      <w:marRight w:val="0"/>
                      <w:marTop w:val="0"/>
                      <w:marBottom w:val="0"/>
                      <w:divBdr>
                        <w:top w:val="none" w:sz="0" w:space="0" w:color="auto"/>
                        <w:left w:val="none" w:sz="0" w:space="0" w:color="auto"/>
                        <w:bottom w:val="none" w:sz="0" w:space="0" w:color="auto"/>
                        <w:right w:val="none" w:sz="0" w:space="0" w:color="auto"/>
                      </w:divBdr>
                    </w:div>
                  </w:divsChild>
                </w:div>
                <w:div w:id="464547030">
                  <w:marLeft w:val="0"/>
                  <w:marRight w:val="0"/>
                  <w:marTop w:val="0"/>
                  <w:marBottom w:val="0"/>
                  <w:divBdr>
                    <w:top w:val="none" w:sz="0" w:space="0" w:color="auto"/>
                    <w:left w:val="none" w:sz="0" w:space="0" w:color="auto"/>
                    <w:bottom w:val="none" w:sz="0" w:space="0" w:color="auto"/>
                    <w:right w:val="none" w:sz="0" w:space="0" w:color="auto"/>
                  </w:divBdr>
                  <w:divsChild>
                    <w:div w:id="805241737">
                      <w:marLeft w:val="0"/>
                      <w:marRight w:val="0"/>
                      <w:marTop w:val="0"/>
                      <w:marBottom w:val="0"/>
                      <w:divBdr>
                        <w:top w:val="none" w:sz="0" w:space="0" w:color="auto"/>
                        <w:left w:val="none" w:sz="0" w:space="0" w:color="auto"/>
                        <w:bottom w:val="none" w:sz="0" w:space="0" w:color="auto"/>
                        <w:right w:val="none" w:sz="0" w:space="0" w:color="auto"/>
                      </w:divBdr>
                    </w:div>
                    <w:div w:id="816915922">
                      <w:marLeft w:val="0"/>
                      <w:marRight w:val="0"/>
                      <w:marTop w:val="0"/>
                      <w:marBottom w:val="0"/>
                      <w:divBdr>
                        <w:top w:val="none" w:sz="0" w:space="0" w:color="auto"/>
                        <w:left w:val="none" w:sz="0" w:space="0" w:color="auto"/>
                        <w:bottom w:val="none" w:sz="0" w:space="0" w:color="auto"/>
                        <w:right w:val="none" w:sz="0" w:space="0" w:color="auto"/>
                      </w:divBdr>
                    </w:div>
                    <w:div w:id="1838693211">
                      <w:marLeft w:val="0"/>
                      <w:marRight w:val="0"/>
                      <w:marTop w:val="0"/>
                      <w:marBottom w:val="0"/>
                      <w:divBdr>
                        <w:top w:val="none" w:sz="0" w:space="0" w:color="auto"/>
                        <w:left w:val="none" w:sz="0" w:space="0" w:color="auto"/>
                        <w:bottom w:val="none" w:sz="0" w:space="0" w:color="auto"/>
                        <w:right w:val="none" w:sz="0" w:space="0" w:color="auto"/>
                      </w:divBdr>
                    </w:div>
                  </w:divsChild>
                </w:div>
                <w:div w:id="497769076">
                  <w:marLeft w:val="0"/>
                  <w:marRight w:val="0"/>
                  <w:marTop w:val="0"/>
                  <w:marBottom w:val="0"/>
                  <w:divBdr>
                    <w:top w:val="none" w:sz="0" w:space="0" w:color="auto"/>
                    <w:left w:val="none" w:sz="0" w:space="0" w:color="auto"/>
                    <w:bottom w:val="none" w:sz="0" w:space="0" w:color="auto"/>
                    <w:right w:val="none" w:sz="0" w:space="0" w:color="auto"/>
                  </w:divBdr>
                  <w:divsChild>
                    <w:div w:id="1533496536">
                      <w:marLeft w:val="0"/>
                      <w:marRight w:val="0"/>
                      <w:marTop w:val="0"/>
                      <w:marBottom w:val="0"/>
                      <w:divBdr>
                        <w:top w:val="none" w:sz="0" w:space="0" w:color="auto"/>
                        <w:left w:val="none" w:sz="0" w:space="0" w:color="auto"/>
                        <w:bottom w:val="none" w:sz="0" w:space="0" w:color="auto"/>
                        <w:right w:val="none" w:sz="0" w:space="0" w:color="auto"/>
                      </w:divBdr>
                    </w:div>
                  </w:divsChild>
                </w:div>
                <w:div w:id="570119441">
                  <w:marLeft w:val="0"/>
                  <w:marRight w:val="0"/>
                  <w:marTop w:val="0"/>
                  <w:marBottom w:val="0"/>
                  <w:divBdr>
                    <w:top w:val="none" w:sz="0" w:space="0" w:color="auto"/>
                    <w:left w:val="none" w:sz="0" w:space="0" w:color="auto"/>
                    <w:bottom w:val="none" w:sz="0" w:space="0" w:color="auto"/>
                    <w:right w:val="none" w:sz="0" w:space="0" w:color="auto"/>
                  </w:divBdr>
                  <w:divsChild>
                    <w:div w:id="1041321513">
                      <w:marLeft w:val="0"/>
                      <w:marRight w:val="0"/>
                      <w:marTop w:val="0"/>
                      <w:marBottom w:val="0"/>
                      <w:divBdr>
                        <w:top w:val="none" w:sz="0" w:space="0" w:color="auto"/>
                        <w:left w:val="none" w:sz="0" w:space="0" w:color="auto"/>
                        <w:bottom w:val="none" w:sz="0" w:space="0" w:color="auto"/>
                        <w:right w:val="none" w:sz="0" w:space="0" w:color="auto"/>
                      </w:divBdr>
                    </w:div>
                  </w:divsChild>
                </w:div>
                <w:div w:id="643003273">
                  <w:marLeft w:val="0"/>
                  <w:marRight w:val="0"/>
                  <w:marTop w:val="0"/>
                  <w:marBottom w:val="0"/>
                  <w:divBdr>
                    <w:top w:val="none" w:sz="0" w:space="0" w:color="auto"/>
                    <w:left w:val="none" w:sz="0" w:space="0" w:color="auto"/>
                    <w:bottom w:val="none" w:sz="0" w:space="0" w:color="auto"/>
                    <w:right w:val="none" w:sz="0" w:space="0" w:color="auto"/>
                  </w:divBdr>
                  <w:divsChild>
                    <w:div w:id="662203117">
                      <w:marLeft w:val="0"/>
                      <w:marRight w:val="0"/>
                      <w:marTop w:val="0"/>
                      <w:marBottom w:val="0"/>
                      <w:divBdr>
                        <w:top w:val="none" w:sz="0" w:space="0" w:color="auto"/>
                        <w:left w:val="none" w:sz="0" w:space="0" w:color="auto"/>
                        <w:bottom w:val="none" w:sz="0" w:space="0" w:color="auto"/>
                        <w:right w:val="none" w:sz="0" w:space="0" w:color="auto"/>
                      </w:divBdr>
                    </w:div>
                  </w:divsChild>
                </w:div>
                <w:div w:id="677779715">
                  <w:marLeft w:val="0"/>
                  <w:marRight w:val="0"/>
                  <w:marTop w:val="0"/>
                  <w:marBottom w:val="0"/>
                  <w:divBdr>
                    <w:top w:val="none" w:sz="0" w:space="0" w:color="auto"/>
                    <w:left w:val="none" w:sz="0" w:space="0" w:color="auto"/>
                    <w:bottom w:val="none" w:sz="0" w:space="0" w:color="auto"/>
                    <w:right w:val="none" w:sz="0" w:space="0" w:color="auto"/>
                  </w:divBdr>
                  <w:divsChild>
                    <w:div w:id="2016109012">
                      <w:marLeft w:val="0"/>
                      <w:marRight w:val="0"/>
                      <w:marTop w:val="0"/>
                      <w:marBottom w:val="0"/>
                      <w:divBdr>
                        <w:top w:val="none" w:sz="0" w:space="0" w:color="auto"/>
                        <w:left w:val="none" w:sz="0" w:space="0" w:color="auto"/>
                        <w:bottom w:val="none" w:sz="0" w:space="0" w:color="auto"/>
                        <w:right w:val="none" w:sz="0" w:space="0" w:color="auto"/>
                      </w:divBdr>
                    </w:div>
                  </w:divsChild>
                </w:div>
                <w:div w:id="704715738">
                  <w:marLeft w:val="0"/>
                  <w:marRight w:val="0"/>
                  <w:marTop w:val="0"/>
                  <w:marBottom w:val="0"/>
                  <w:divBdr>
                    <w:top w:val="none" w:sz="0" w:space="0" w:color="auto"/>
                    <w:left w:val="none" w:sz="0" w:space="0" w:color="auto"/>
                    <w:bottom w:val="none" w:sz="0" w:space="0" w:color="auto"/>
                    <w:right w:val="none" w:sz="0" w:space="0" w:color="auto"/>
                  </w:divBdr>
                  <w:divsChild>
                    <w:div w:id="686561556">
                      <w:marLeft w:val="0"/>
                      <w:marRight w:val="0"/>
                      <w:marTop w:val="0"/>
                      <w:marBottom w:val="0"/>
                      <w:divBdr>
                        <w:top w:val="none" w:sz="0" w:space="0" w:color="auto"/>
                        <w:left w:val="none" w:sz="0" w:space="0" w:color="auto"/>
                        <w:bottom w:val="none" w:sz="0" w:space="0" w:color="auto"/>
                        <w:right w:val="none" w:sz="0" w:space="0" w:color="auto"/>
                      </w:divBdr>
                    </w:div>
                  </w:divsChild>
                </w:div>
                <w:div w:id="716004768">
                  <w:marLeft w:val="0"/>
                  <w:marRight w:val="0"/>
                  <w:marTop w:val="0"/>
                  <w:marBottom w:val="0"/>
                  <w:divBdr>
                    <w:top w:val="none" w:sz="0" w:space="0" w:color="auto"/>
                    <w:left w:val="none" w:sz="0" w:space="0" w:color="auto"/>
                    <w:bottom w:val="none" w:sz="0" w:space="0" w:color="auto"/>
                    <w:right w:val="none" w:sz="0" w:space="0" w:color="auto"/>
                  </w:divBdr>
                  <w:divsChild>
                    <w:div w:id="1270940049">
                      <w:marLeft w:val="0"/>
                      <w:marRight w:val="0"/>
                      <w:marTop w:val="0"/>
                      <w:marBottom w:val="0"/>
                      <w:divBdr>
                        <w:top w:val="none" w:sz="0" w:space="0" w:color="auto"/>
                        <w:left w:val="none" w:sz="0" w:space="0" w:color="auto"/>
                        <w:bottom w:val="none" w:sz="0" w:space="0" w:color="auto"/>
                        <w:right w:val="none" w:sz="0" w:space="0" w:color="auto"/>
                      </w:divBdr>
                    </w:div>
                  </w:divsChild>
                </w:div>
                <w:div w:id="739056874">
                  <w:marLeft w:val="0"/>
                  <w:marRight w:val="0"/>
                  <w:marTop w:val="0"/>
                  <w:marBottom w:val="0"/>
                  <w:divBdr>
                    <w:top w:val="none" w:sz="0" w:space="0" w:color="auto"/>
                    <w:left w:val="none" w:sz="0" w:space="0" w:color="auto"/>
                    <w:bottom w:val="none" w:sz="0" w:space="0" w:color="auto"/>
                    <w:right w:val="none" w:sz="0" w:space="0" w:color="auto"/>
                  </w:divBdr>
                  <w:divsChild>
                    <w:div w:id="1053429242">
                      <w:marLeft w:val="0"/>
                      <w:marRight w:val="0"/>
                      <w:marTop w:val="0"/>
                      <w:marBottom w:val="0"/>
                      <w:divBdr>
                        <w:top w:val="none" w:sz="0" w:space="0" w:color="auto"/>
                        <w:left w:val="none" w:sz="0" w:space="0" w:color="auto"/>
                        <w:bottom w:val="none" w:sz="0" w:space="0" w:color="auto"/>
                        <w:right w:val="none" w:sz="0" w:space="0" w:color="auto"/>
                      </w:divBdr>
                    </w:div>
                  </w:divsChild>
                </w:div>
                <w:div w:id="798306335">
                  <w:marLeft w:val="0"/>
                  <w:marRight w:val="0"/>
                  <w:marTop w:val="0"/>
                  <w:marBottom w:val="0"/>
                  <w:divBdr>
                    <w:top w:val="none" w:sz="0" w:space="0" w:color="auto"/>
                    <w:left w:val="none" w:sz="0" w:space="0" w:color="auto"/>
                    <w:bottom w:val="none" w:sz="0" w:space="0" w:color="auto"/>
                    <w:right w:val="none" w:sz="0" w:space="0" w:color="auto"/>
                  </w:divBdr>
                  <w:divsChild>
                    <w:div w:id="1878276425">
                      <w:marLeft w:val="0"/>
                      <w:marRight w:val="0"/>
                      <w:marTop w:val="0"/>
                      <w:marBottom w:val="0"/>
                      <w:divBdr>
                        <w:top w:val="none" w:sz="0" w:space="0" w:color="auto"/>
                        <w:left w:val="none" w:sz="0" w:space="0" w:color="auto"/>
                        <w:bottom w:val="none" w:sz="0" w:space="0" w:color="auto"/>
                        <w:right w:val="none" w:sz="0" w:space="0" w:color="auto"/>
                      </w:divBdr>
                    </w:div>
                  </w:divsChild>
                </w:div>
                <w:div w:id="803543941">
                  <w:marLeft w:val="0"/>
                  <w:marRight w:val="0"/>
                  <w:marTop w:val="0"/>
                  <w:marBottom w:val="0"/>
                  <w:divBdr>
                    <w:top w:val="none" w:sz="0" w:space="0" w:color="auto"/>
                    <w:left w:val="none" w:sz="0" w:space="0" w:color="auto"/>
                    <w:bottom w:val="none" w:sz="0" w:space="0" w:color="auto"/>
                    <w:right w:val="none" w:sz="0" w:space="0" w:color="auto"/>
                  </w:divBdr>
                  <w:divsChild>
                    <w:div w:id="450633101">
                      <w:marLeft w:val="0"/>
                      <w:marRight w:val="0"/>
                      <w:marTop w:val="0"/>
                      <w:marBottom w:val="0"/>
                      <w:divBdr>
                        <w:top w:val="none" w:sz="0" w:space="0" w:color="auto"/>
                        <w:left w:val="none" w:sz="0" w:space="0" w:color="auto"/>
                        <w:bottom w:val="none" w:sz="0" w:space="0" w:color="auto"/>
                        <w:right w:val="none" w:sz="0" w:space="0" w:color="auto"/>
                      </w:divBdr>
                    </w:div>
                  </w:divsChild>
                </w:div>
                <w:div w:id="882400253">
                  <w:marLeft w:val="0"/>
                  <w:marRight w:val="0"/>
                  <w:marTop w:val="0"/>
                  <w:marBottom w:val="0"/>
                  <w:divBdr>
                    <w:top w:val="none" w:sz="0" w:space="0" w:color="auto"/>
                    <w:left w:val="none" w:sz="0" w:space="0" w:color="auto"/>
                    <w:bottom w:val="none" w:sz="0" w:space="0" w:color="auto"/>
                    <w:right w:val="none" w:sz="0" w:space="0" w:color="auto"/>
                  </w:divBdr>
                  <w:divsChild>
                    <w:div w:id="749352985">
                      <w:marLeft w:val="0"/>
                      <w:marRight w:val="0"/>
                      <w:marTop w:val="0"/>
                      <w:marBottom w:val="0"/>
                      <w:divBdr>
                        <w:top w:val="none" w:sz="0" w:space="0" w:color="auto"/>
                        <w:left w:val="none" w:sz="0" w:space="0" w:color="auto"/>
                        <w:bottom w:val="none" w:sz="0" w:space="0" w:color="auto"/>
                        <w:right w:val="none" w:sz="0" w:space="0" w:color="auto"/>
                      </w:divBdr>
                    </w:div>
                  </w:divsChild>
                </w:div>
                <w:div w:id="1014767271">
                  <w:marLeft w:val="0"/>
                  <w:marRight w:val="0"/>
                  <w:marTop w:val="0"/>
                  <w:marBottom w:val="0"/>
                  <w:divBdr>
                    <w:top w:val="none" w:sz="0" w:space="0" w:color="auto"/>
                    <w:left w:val="none" w:sz="0" w:space="0" w:color="auto"/>
                    <w:bottom w:val="none" w:sz="0" w:space="0" w:color="auto"/>
                    <w:right w:val="none" w:sz="0" w:space="0" w:color="auto"/>
                  </w:divBdr>
                  <w:divsChild>
                    <w:div w:id="2057007107">
                      <w:marLeft w:val="0"/>
                      <w:marRight w:val="0"/>
                      <w:marTop w:val="0"/>
                      <w:marBottom w:val="0"/>
                      <w:divBdr>
                        <w:top w:val="none" w:sz="0" w:space="0" w:color="auto"/>
                        <w:left w:val="none" w:sz="0" w:space="0" w:color="auto"/>
                        <w:bottom w:val="none" w:sz="0" w:space="0" w:color="auto"/>
                        <w:right w:val="none" w:sz="0" w:space="0" w:color="auto"/>
                      </w:divBdr>
                    </w:div>
                  </w:divsChild>
                </w:div>
                <w:div w:id="1052389847">
                  <w:marLeft w:val="0"/>
                  <w:marRight w:val="0"/>
                  <w:marTop w:val="0"/>
                  <w:marBottom w:val="0"/>
                  <w:divBdr>
                    <w:top w:val="none" w:sz="0" w:space="0" w:color="auto"/>
                    <w:left w:val="none" w:sz="0" w:space="0" w:color="auto"/>
                    <w:bottom w:val="none" w:sz="0" w:space="0" w:color="auto"/>
                    <w:right w:val="none" w:sz="0" w:space="0" w:color="auto"/>
                  </w:divBdr>
                  <w:divsChild>
                    <w:div w:id="1458718227">
                      <w:marLeft w:val="0"/>
                      <w:marRight w:val="0"/>
                      <w:marTop w:val="0"/>
                      <w:marBottom w:val="0"/>
                      <w:divBdr>
                        <w:top w:val="none" w:sz="0" w:space="0" w:color="auto"/>
                        <w:left w:val="none" w:sz="0" w:space="0" w:color="auto"/>
                        <w:bottom w:val="none" w:sz="0" w:space="0" w:color="auto"/>
                        <w:right w:val="none" w:sz="0" w:space="0" w:color="auto"/>
                      </w:divBdr>
                    </w:div>
                    <w:div w:id="1659839819">
                      <w:marLeft w:val="0"/>
                      <w:marRight w:val="0"/>
                      <w:marTop w:val="0"/>
                      <w:marBottom w:val="0"/>
                      <w:divBdr>
                        <w:top w:val="none" w:sz="0" w:space="0" w:color="auto"/>
                        <w:left w:val="none" w:sz="0" w:space="0" w:color="auto"/>
                        <w:bottom w:val="none" w:sz="0" w:space="0" w:color="auto"/>
                        <w:right w:val="none" w:sz="0" w:space="0" w:color="auto"/>
                      </w:divBdr>
                    </w:div>
                  </w:divsChild>
                </w:div>
                <w:div w:id="1093210123">
                  <w:marLeft w:val="0"/>
                  <w:marRight w:val="0"/>
                  <w:marTop w:val="0"/>
                  <w:marBottom w:val="0"/>
                  <w:divBdr>
                    <w:top w:val="none" w:sz="0" w:space="0" w:color="auto"/>
                    <w:left w:val="none" w:sz="0" w:space="0" w:color="auto"/>
                    <w:bottom w:val="none" w:sz="0" w:space="0" w:color="auto"/>
                    <w:right w:val="none" w:sz="0" w:space="0" w:color="auto"/>
                  </w:divBdr>
                  <w:divsChild>
                    <w:div w:id="94132031">
                      <w:marLeft w:val="0"/>
                      <w:marRight w:val="0"/>
                      <w:marTop w:val="0"/>
                      <w:marBottom w:val="0"/>
                      <w:divBdr>
                        <w:top w:val="none" w:sz="0" w:space="0" w:color="auto"/>
                        <w:left w:val="none" w:sz="0" w:space="0" w:color="auto"/>
                        <w:bottom w:val="none" w:sz="0" w:space="0" w:color="auto"/>
                        <w:right w:val="none" w:sz="0" w:space="0" w:color="auto"/>
                      </w:divBdr>
                    </w:div>
                    <w:div w:id="758791434">
                      <w:marLeft w:val="0"/>
                      <w:marRight w:val="0"/>
                      <w:marTop w:val="0"/>
                      <w:marBottom w:val="0"/>
                      <w:divBdr>
                        <w:top w:val="none" w:sz="0" w:space="0" w:color="auto"/>
                        <w:left w:val="none" w:sz="0" w:space="0" w:color="auto"/>
                        <w:bottom w:val="none" w:sz="0" w:space="0" w:color="auto"/>
                        <w:right w:val="none" w:sz="0" w:space="0" w:color="auto"/>
                      </w:divBdr>
                    </w:div>
                  </w:divsChild>
                </w:div>
                <w:div w:id="1115248572">
                  <w:marLeft w:val="0"/>
                  <w:marRight w:val="0"/>
                  <w:marTop w:val="0"/>
                  <w:marBottom w:val="0"/>
                  <w:divBdr>
                    <w:top w:val="none" w:sz="0" w:space="0" w:color="auto"/>
                    <w:left w:val="none" w:sz="0" w:space="0" w:color="auto"/>
                    <w:bottom w:val="none" w:sz="0" w:space="0" w:color="auto"/>
                    <w:right w:val="none" w:sz="0" w:space="0" w:color="auto"/>
                  </w:divBdr>
                  <w:divsChild>
                    <w:div w:id="1568569781">
                      <w:marLeft w:val="0"/>
                      <w:marRight w:val="0"/>
                      <w:marTop w:val="0"/>
                      <w:marBottom w:val="0"/>
                      <w:divBdr>
                        <w:top w:val="none" w:sz="0" w:space="0" w:color="auto"/>
                        <w:left w:val="none" w:sz="0" w:space="0" w:color="auto"/>
                        <w:bottom w:val="none" w:sz="0" w:space="0" w:color="auto"/>
                        <w:right w:val="none" w:sz="0" w:space="0" w:color="auto"/>
                      </w:divBdr>
                    </w:div>
                  </w:divsChild>
                </w:div>
                <w:div w:id="1198470132">
                  <w:marLeft w:val="0"/>
                  <w:marRight w:val="0"/>
                  <w:marTop w:val="0"/>
                  <w:marBottom w:val="0"/>
                  <w:divBdr>
                    <w:top w:val="none" w:sz="0" w:space="0" w:color="auto"/>
                    <w:left w:val="none" w:sz="0" w:space="0" w:color="auto"/>
                    <w:bottom w:val="none" w:sz="0" w:space="0" w:color="auto"/>
                    <w:right w:val="none" w:sz="0" w:space="0" w:color="auto"/>
                  </w:divBdr>
                  <w:divsChild>
                    <w:div w:id="1859271052">
                      <w:marLeft w:val="0"/>
                      <w:marRight w:val="0"/>
                      <w:marTop w:val="0"/>
                      <w:marBottom w:val="0"/>
                      <w:divBdr>
                        <w:top w:val="none" w:sz="0" w:space="0" w:color="auto"/>
                        <w:left w:val="none" w:sz="0" w:space="0" w:color="auto"/>
                        <w:bottom w:val="none" w:sz="0" w:space="0" w:color="auto"/>
                        <w:right w:val="none" w:sz="0" w:space="0" w:color="auto"/>
                      </w:divBdr>
                    </w:div>
                  </w:divsChild>
                </w:div>
                <w:div w:id="1269122787">
                  <w:marLeft w:val="0"/>
                  <w:marRight w:val="0"/>
                  <w:marTop w:val="0"/>
                  <w:marBottom w:val="0"/>
                  <w:divBdr>
                    <w:top w:val="none" w:sz="0" w:space="0" w:color="auto"/>
                    <w:left w:val="none" w:sz="0" w:space="0" w:color="auto"/>
                    <w:bottom w:val="none" w:sz="0" w:space="0" w:color="auto"/>
                    <w:right w:val="none" w:sz="0" w:space="0" w:color="auto"/>
                  </w:divBdr>
                  <w:divsChild>
                    <w:div w:id="1266232829">
                      <w:marLeft w:val="0"/>
                      <w:marRight w:val="0"/>
                      <w:marTop w:val="0"/>
                      <w:marBottom w:val="0"/>
                      <w:divBdr>
                        <w:top w:val="none" w:sz="0" w:space="0" w:color="auto"/>
                        <w:left w:val="none" w:sz="0" w:space="0" w:color="auto"/>
                        <w:bottom w:val="none" w:sz="0" w:space="0" w:color="auto"/>
                        <w:right w:val="none" w:sz="0" w:space="0" w:color="auto"/>
                      </w:divBdr>
                    </w:div>
                  </w:divsChild>
                </w:div>
                <w:div w:id="1283196118">
                  <w:marLeft w:val="0"/>
                  <w:marRight w:val="0"/>
                  <w:marTop w:val="0"/>
                  <w:marBottom w:val="0"/>
                  <w:divBdr>
                    <w:top w:val="none" w:sz="0" w:space="0" w:color="auto"/>
                    <w:left w:val="none" w:sz="0" w:space="0" w:color="auto"/>
                    <w:bottom w:val="none" w:sz="0" w:space="0" w:color="auto"/>
                    <w:right w:val="none" w:sz="0" w:space="0" w:color="auto"/>
                  </w:divBdr>
                  <w:divsChild>
                    <w:div w:id="1198197519">
                      <w:marLeft w:val="0"/>
                      <w:marRight w:val="0"/>
                      <w:marTop w:val="0"/>
                      <w:marBottom w:val="0"/>
                      <w:divBdr>
                        <w:top w:val="none" w:sz="0" w:space="0" w:color="auto"/>
                        <w:left w:val="none" w:sz="0" w:space="0" w:color="auto"/>
                        <w:bottom w:val="none" w:sz="0" w:space="0" w:color="auto"/>
                        <w:right w:val="none" w:sz="0" w:space="0" w:color="auto"/>
                      </w:divBdr>
                    </w:div>
                  </w:divsChild>
                </w:div>
                <w:div w:id="1374767143">
                  <w:marLeft w:val="0"/>
                  <w:marRight w:val="0"/>
                  <w:marTop w:val="0"/>
                  <w:marBottom w:val="0"/>
                  <w:divBdr>
                    <w:top w:val="none" w:sz="0" w:space="0" w:color="auto"/>
                    <w:left w:val="none" w:sz="0" w:space="0" w:color="auto"/>
                    <w:bottom w:val="none" w:sz="0" w:space="0" w:color="auto"/>
                    <w:right w:val="none" w:sz="0" w:space="0" w:color="auto"/>
                  </w:divBdr>
                  <w:divsChild>
                    <w:div w:id="1016423847">
                      <w:marLeft w:val="0"/>
                      <w:marRight w:val="0"/>
                      <w:marTop w:val="0"/>
                      <w:marBottom w:val="0"/>
                      <w:divBdr>
                        <w:top w:val="none" w:sz="0" w:space="0" w:color="auto"/>
                        <w:left w:val="none" w:sz="0" w:space="0" w:color="auto"/>
                        <w:bottom w:val="none" w:sz="0" w:space="0" w:color="auto"/>
                        <w:right w:val="none" w:sz="0" w:space="0" w:color="auto"/>
                      </w:divBdr>
                    </w:div>
                  </w:divsChild>
                </w:div>
                <w:div w:id="1383679292">
                  <w:marLeft w:val="0"/>
                  <w:marRight w:val="0"/>
                  <w:marTop w:val="0"/>
                  <w:marBottom w:val="0"/>
                  <w:divBdr>
                    <w:top w:val="none" w:sz="0" w:space="0" w:color="auto"/>
                    <w:left w:val="none" w:sz="0" w:space="0" w:color="auto"/>
                    <w:bottom w:val="none" w:sz="0" w:space="0" w:color="auto"/>
                    <w:right w:val="none" w:sz="0" w:space="0" w:color="auto"/>
                  </w:divBdr>
                  <w:divsChild>
                    <w:div w:id="307899424">
                      <w:marLeft w:val="0"/>
                      <w:marRight w:val="0"/>
                      <w:marTop w:val="0"/>
                      <w:marBottom w:val="0"/>
                      <w:divBdr>
                        <w:top w:val="none" w:sz="0" w:space="0" w:color="auto"/>
                        <w:left w:val="none" w:sz="0" w:space="0" w:color="auto"/>
                        <w:bottom w:val="none" w:sz="0" w:space="0" w:color="auto"/>
                        <w:right w:val="none" w:sz="0" w:space="0" w:color="auto"/>
                      </w:divBdr>
                    </w:div>
                  </w:divsChild>
                </w:div>
                <w:div w:id="1514608322">
                  <w:marLeft w:val="0"/>
                  <w:marRight w:val="0"/>
                  <w:marTop w:val="0"/>
                  <w:marBottom w:val="0"/>
                  <w:divBdr>
                    <w:top w:val="none" w:sz="0" w:space="0" w:color="auto"/>
                    <w:left w:val="none" w:sz="0" w:space="0" w:color="auto"/>
                    <w:bottom w:val="none" w:sz="0" w:space="0" w:color="auto"/>
                    <w:right w:val="none" w:sz="0" w:space="0" w:color="auto"/>
                  </w:divBdr>
                  <w:divsChild>
                    <w:div w:id="906765327">
                      <w:marLeft w:val="0"/>
                      <w:marRight w:val="0"/>
                      <w:marTop w:val="0"/>
                      <w:marBottom w:val="0"/>
                      <w:divBdr>
                        <w:top w:val="none" w:sz="0" w:space="0" w:color="auto"/>
                        <w:left w:val="none" w:sz="0" w:space="0" w:color="auto"/>
                        <w:bottom w:val="none" w:sz="0" w:space="0" w:color="auto"/>
                        <w:right w:val="none" w:sz="0" w:space="0" w:color="auto"/>
                      </w:divBdr>
                    </w:div>
                  </w:divsChild>
                </w:div>
                <w:div w:id="1557277400">
                  <w:marLeft w:val="0"/>
                  <w:marRight w:val="0"/>
                  <w:marTop w:val="0"/>
                  <w:marBottom w:val="0"/>
                  <w:divBdr>
                    <w:top w:val="none" w:sz="0" w:space="0" w:color="auto"/>
                    <w:left w:val="none" w:sz="0" w:space="0" w:color="auto"/>
                    <w:bottom w:val="none" w:sz="0" w:space="0" w:color="auto"/>
                    <w:right w:val="none" w:sz="0" w:space="0" w:color="auto"/>
                  </w:divBdr>
                  <w:divsChild>
                    <w:div w:id="1084492946">
                      <w:marLeft w:val="0"/>
                      <w:marRight w:val="0"/>
                      <w:marTop w:val="0"/>
                      <w:marBottom w:val="0"/>
                      <w:divBdr>
                        <w:top w:val="none" w:sz="0" w:space="0" w:color="auto"/>
                        <w:left w:val="none" w:sz="0" w:space="0" w:color="auto"/>
                        <w:bottom w:val="none" w:sz="0" w:space="0" w:color="auto"/>
                        <w:right w:val="none" w:sz="0" w:space="0" w:color="auto"/>
                      </w:divBdr>
                    </w:div>
                    <w:div w:id="1173178798">
                      <w:marLeft w:val="0"/>
                      <w:marRight w:val="0"/>
                      <w:marTop w:val="0"/>
                      <w:marBottom w:val="0"/>
                      <w:divBdr>
                        <w:top w:val="none" w:sz="0" w:space="0" w:color="auto"/>
                        <w:left w:val="none" w:sz="0" w:space="0" w:color="auto"/>
                        <w:bottom w:val="none" w:sz="0" w:space="0" w:color="auto"/>
                        <w:right w:val="none" w:sz="0" w:space="0" w:color="auto"/>
                      </w:divBdr>
                    </w:div>
                    <w:div w:id="1305309398">
                      <w:marLeft w:val="0"/>
                      <w:marRight w:val="0"/>
                      <w:marTop w:val="0"/>
                      <w:marBottom w:val="0"/>
                      <w:divBdr>
                        <w:top w:val="none" w:sz="0" w:space="0" w:color="auto"/>
                        <w:left w:val="none" w:sz="0" w:space="0" w:color="auto"/>
                        <w:bottom w:val="none" w:sz="0" w:space="0" w:color="auto"/>
                        <w:right w:val="none" w:sz="0" w:space="0" w:color="auto"/>
                      </w:divBdr>
                    </w:div>
                  </w:divsChild>
                </w:div>
                <w:div w:id="1561207319">
                  <w:marLeft w:val="0"/>
                  <w:marRight w:val="0"/>
                  <w:marTop w:val="0"/>
                  <w:marBottom w:val="0"/>
                  <w:divBdr>
                    <w:top w:val="none" w:sz="0" w:space="0" w:color="auto"/>
                    <w:left w:val="none" w:sz="0" w:space="0" w:color="auto"/>
                    <w:bottom w:val="none" w:sz="0" w:space="0" w:color="auto"/>
                    <w:right w:val="none" w:sz="0" w:space="0" w:color="auto"/>
                  </w:divBdr>
                  <w:divsChild>
                    <w:div w:id="1225332163">
                      <w:marLeft w:val="0"/>
                      <w:marRight w:val="0"/>
                      <w:marTop w:val="0"/>
                      <w:marBottom w:val="0"/>
                      <w:divBdr>
                        <w:top w:val="none" w:sz="0" w:space="0" w:color="auto"/>
                        <w:left w:val="none" w:sz="0" w:space="0" w:color="auto"/>
                        <w:bottom w:val="none" w:sz="0" w:space="0" w:color="auto"/>
                        <w:right w:val="none" w:sz="0" w:space="0" w:color="auto"/>
                      </w:divBdr>
                    </w:div>
                  </w:divsChild>
                </w:div>
                <w:div w:id="1562062464">
                  <w:marLeft w:val="0"/>
                  <w:marRight w:val="0"/>
                  <w:marTop w:val="0"/>
                  <w:marBottom w:val="0"/>
                  <w:divBdr>
                    <w:top w:val="none" w:sz="0" w:space="0" w:color="auto"/>
                    <w:left w:val="none" w:sz="0" w:space="0" w:color="auto"/>
                    <w:bottom w:val="none" w:sz="0" w:space="0" w:color="auto"/>
                    <w:right w:val="none" w:sz="0" w:space="0" w:color="auto"/>
                  </w:divBdr>
                  <w:divsChild>
                    <w:div w:id="227573718">
                      <w:marLeft w:val="0"/>
                      <w:marRight w:val="0"/>
                      <w:marTop w:val="0"/>
                      <w:marBottom w:val="0"/>
                      <w:divBdr>
                        <w:top w:val="none" w:sz="0" w:space="0" w:color="auto"/>
                        <w:left w:val="none" w:sz="0" w:space="0" w:color="auto"/>
                        <w:bottom w:val="none" w:sz="0" w:space="0" w:color="auto"/>
                        <w:right w:val="none" w:sz="0" w:space="0" w:color="auto"/>
                      </w:divBdr>
                    </w:div>
                  </w:divsChild>
                </w:div>
                <w:div w:id="1714497688">
                  <w:marLeft w:val="0"/>
                  <w:marRight w:val="0"/>
                  <w:marTop w:val="0"/>
                  <w:marBottom w:val="0"/>
                  <w:divBdr>
                    <w:top w:val="none" w:sz="0" w:space="0" w:color="auto"/>
                    <w:left w:val="none" w:sz="0" w:space="0" w:color="auto"/>
                    <w:bottom w:val="none" w:sz="0" w:space="0" w:color="auto"/>
                    <w:right w:val="none" w:sz="0" w:space="0" w:color="auto"/>
                  </w:divBdr>
                  <w:divsChild>
                    <w:div w:id="1909609791">
                      <w:marLeft w:val="0"/>
                      <w:marRight w:val="0"/>
                      <w:marTop w:val="0"/>
                      <w:marBottom w:val="0"/>
                      <w:divBdr>
                        <w:top w:val="none" w:sz="0" w:space="0" w:color="auto"/>
                        <w:left w:val="none" w:sz="0" w:space="0" w:color="auto"/>
                        <w:bottom w:val="none" w:sz="0" w:space="0" w:color="auto"/>
                        <w:right w:val="none" w:sz="0" w:space="0" w:color="auto"/>
                      </w:divBdr>
                    </w:div>
                  </w:divsChild>
                </w:div>
                <w:div w:id="1728215665">
                  <w:marLeft w:val="0"/>
                  <w:marRight w:val="0"/>
                  <w:marTop w:val="0"/>
                  <w:marBottom w:val="0"/>
                  <w:divBdr>
                    <w:top w:val="none" w:sz="0" w:space="0" w:color="auto"/>
                    <w:left w:val="none" w:sz="0" w:space="0" w:color="auto"/>
                    <w:bottom w:val="none" w:sz="0" w:space="0" w:color="auto"/>
                    <w:right w:val="none" w:sz="0" w:space="0" w:color="auto"/>
                  </w:divBdr>
                  <w:divsChild>
                    <w:div w:id="1637486786">
                      <w:marLeft w:val="0"/>
                      <w:marRight w:val="0"/>
                      <w:marTop w:val="0"/>
                      <w:marBottom w:val="0"/>
                      <w:divBdr>
                        <w:top w:val="none" w:sz="0" w:space="0" w:color="auto"/>
                        <w:left w:val="none" w:sz="0" w:space="0" w:color="auto"/>
                        <w:bottom w:val="none" w:sz="0" w:space="0" w:color="auto"/>
                        <w:right w:val="none" w:sz="0" w:space="0" w:color="auto"/>
                      </w:divBdr>
                    </w:div>
                  </w:divsChild>
                </w:div>
                <w:div w:id="1757553705">
                  <w:marLeft w:val="0"/>
                  <w:marRight w:val="0"/>
                  <w:marTop w:val="0"/>
                  <w:marBottom w:val="0"/>
                  <w:divBdr>
                    <w:top w:val="none" w:sz="0" w:space="0" w:color="auto"/>
                    <w:left w:val="none" w:sz="0" w:space="0" w:color="auto"/>
                    <w:bottom w:val="none" w:sz="0" w:space="0" w:color="auto"/>
                    <w:right w:val="none" w:sz="0" w:space="0" w:color="auto"/>
                  </w:divBdr>
                  <w:divsChild>
                    <w:div w:id="557323745">
                      <w:marLeft w:val="0"/>
                      <w:marRight w:val="0"/>
                      <w:marTop w:val="0"/>
                      <w:marBottom w:val="0"/>
                      <w:divBdr>
                        <w:top w:val="none" w:sz="0" w:space="0" w:color="auto"/>
                        <w:left w:val="none" w:sz="0" w:space="0" w:color="auto"/>
                        <w:bottom w:val="none" w:sz="0" w:space="0" w:color="auto"/>
                        <w:right w:val="none" w:sz="0" w:space="0" w:color="auto"/>
                      </w:divBdr>
                    </w:div>
                  </w:divsChild>
                </w:div>
                <w:div w:id="1791433210">
                  <w:marLeft w:val="0"/>
                  <w:marRight w:val="0"/>
                  <w:marTop w:val="0"/>
                  <w:marBottom w:val="0"/>
                  <w:divBdr>
                    <w:top w:val="none" w:sz="0" w:space="0" w:color="auto"/>
                    <w:left w:val="none" w:sz="0" w:space="0" w:color="auto"/>
                    <w:bottom w:val="none" w:sz="0" w:space="0" w:color="auto"/>
                    <w:right w:val="none" w:sz="0" w:space="0" w:color="auto"/>
                  </w:divBdr>
                  <w:divsChild>
                    <w:div w:id="981694335">
                      <w:marLeft w:val="0"/>
                      <w:marRight w:val="0"/>
                      <w:marTop w:val="0"/>
                      <w:marBottom w:val="0"/>
                      <w:divBdr>
                        <w:top w:val="none" w:sz="0" w:space="0" w:color="auto"/>
                        <w:left w:val="none" w:sz="0" w:space="0" w:color="auto"/>
                        <w:bottom w:val="none" w:sz="0" w:space="0" w:color="auto"/>
                        <w:right w:val="none" w:sz="0" w:space="0" w:color="auto"/>
                      </w:divBdr>
                    </w:div>
                  </w:divsChild>
                </w:div>
                <w:div w:id="1877738898">
                  <w:marLeft w:val="0"/>
                  <w:marRight w:val="0"/>
                  <w:marTop w:val="0"/>
                  <w:marBottom w:val="0"/>
                  <w:divBdr>
                    <w:top w:val="none" w:sz="0" w:space="0" w:color="auto"/>
                    <w:left w:val="none" w:sz="0" w:space="0" w:color="auto"/>
                    <w:bottom w:val="none" w:sz="0" w:space="0" w:color="auto"/>
                    <w:right w:val="none" w:sz="0" w:space="0" w:color="auto"/>
                  </w:divBdr>
                  <w:divsChild>
                    <w:div w:id="929312854">
                      <w:marLeft w:val="0"/>
                      <w:marRight w:val="0"/>
                      <w:marTop w:val="0"/>
                      <w:marBottom w:val="0"/>
                      <w:divBdr>
                        <w:top w:val="none" w:sz="0" w:space="0" w:color="auto"/>
                        <w:left w:val="none" w:sz="0" w:space="0" w:color="auto"/>
                        <w:bottom w:val="none" w:sz="0" w:space="0" w:color="auto"/>
                        <w:right w:val="none" w:sz="0" w:space="0" w:color="auto"/>
                      </w:divBdr>
                    </w:div>
                    <w:div w:id="2045209000">
                      <w:marLeft w:val="0"/>
                      <w:marRight w:val="0"/>
                      <w:marTop w:val="0"/>
                      <w:marBottom w:val="0"/>
                      <w:divBdr>
                        <w:top w:val="none" w:sz="0" w:space="0" w:color="auto"/>
                        <w:left w:val="none" w:sz="0" w:space="0" w:color="auto"/>
                        <w:bottom w:val="none" w:sz="0" w:space="0" w:color="auto"/>
                        <w:right w:val="none" w:sz="0" w:space="0" w:color="auto"/>
                      </w:divBdr>
                    </w:div>
                  </w:divsChild>
                </w:div>
                <w:div w:id="1882356682">
                  <w:marLeft w:val="0"/>
                  <w:marRight w:val="0"/>
                  <w:marTop w:val="0"/>
                  <w:marBottom w:val="0"/>
                  <w:divBdr>
                    <w:top w:val="none" w:sz="0" w:space="0" w:color="auto"/>
                    <w:left w:val="none" w:sz="0" w:space="0" w:color="auto"/>
                    <w:bottom w:val="none" w:sz="0" w:space="0" w:color="auto"/>
                    <w:right w:val="none" w:sz="0" w:space="0" w:color="auto"/>
                  </w:divBdr>
                  <w:divsChild>
                    <w:div w:id="78986891">
                      <w:marLeft w:val="0"/>
                      <w:marRight w:val="0"/>
                      <w:marTop w:val="0"/>
                      <w:marBottom w:val="0"/>
                      <w:divBdr>
                        <w:top w:val="none" w:sz="0" w:space="0" w:color="auto"/>
                        <w:left w:val="none" w:sz="0" w:space="0" w:color="auto"/>
                        <w:bottom w:val="none" w:sz="0" w:space="0" w:color="auto"/>
                        <w:right w:val="none" w:sz="0" w:space="0" w:color="auto"/>
                      </w:divBdr>
                    </w:div>
                  </w:divsChild>
                </w:div>
                <w:div w:id="1901288069">
                  <w:marLeft w:val="0"/>
                  <w:marRight w:val="0"/>
                  <w:marTop w:val="0"/>
                  <w:marBottom w:val="0"/>
                  <w:divBdr>
                    <w:top w:val="none" w:sz="0" w:space="0" w:color="auto"/>
                    <w:left w:val="none" w:sz="0" w:space="0" w:color="auto"/>
                    <w:bottom w:val="none" w:sz="0" w:space="0" w:color="auto"/>
                    <w:right w:val="none" w:sz="0" w:space="0" w:color="auto"/>
                  </w:divBdr>
                  <w:divsChild>
                    <w:div w:id="1312175684">
                      <w:marLeft w:val="0"/>
                      <w:marRight w:val="0"/>
                      <w:marTop w:val="0"/>
                      <w:marBottom w:val="0"/>
                      <w:divBdr>
                        <w:top w:val="none" w:sz="0" w:space="0" w:color="auto"/>
                        <w:left w:val="none" w:sz="0" w:space="0" w:color="auto"/>
                        <w:bottom w:val="none" w:sz="0" w:space="0" w:color="auto"/>
                        <w:right w:val="none" w:sz="0" w:space="0" w:color="auto"/>
                      </w:divBdr>
                    </w:div>
                  </w:divsChild>
                </w:div>
                <w:div w:id="1912351315">
                  <w:marLeft w:val="0"/>
                  <w:marRight w:val="0"/>
                  <w:marTop w:val="0"/>
                  <w:marBottom w:val="0"/>
                  <w:divBdr>
                    <w:top w:val="none" w:sz="0" w:space="0" w:color="auto"/>
                    <w:left w:val="none" w:sz="0" w:space="0" w:color="auto"/>
                    <w:bottom w:val="none" w:sz="0" w:space="0" w:color="auto"/>
                    <w:right w:val="none" w:sz="0" w:space="0" w:color="auto"/>
                  </w:divBdr>
                  <w:divsChild>
                    <w:div w:id="438598144">
                      <w:marLeft w:val="0"/>
                      <w:marRight w:val="0"/>
                      <w:marTop w:val="0"/>
                      <w:marBottom w:val="0"/>
                      <w:divBdr>
                        <w:top w:val="none" w:sz="0" w:space="0" w:color="auto"/>
                        <w:left w:val="none" w:sz="0" w:space="0" w:color="auto"/>
                        <w:bottom w:val="none" w:sz="0" w:space="0" w:color="auto"/>
                        <w:right w:val="none" w:sz="0" w:space="0" w:color="auto"/>
                      </w:divBdr>
                    </w:div>
                  </w:divsChild>
                </w:div>
                <w:div w:id="1968583328">
                  <w:marLeft w:val="0"/>
                  <w:marRight w:val="0"/>
                  <w:marTop w:val="0"/>
                  <w:marBottom w:val="0"/>
                  <w:divBdr>
                    <w:top w:val="none" w:sz="0" w:space="0" w:color="auto"/>
                    <w:left w:val="none" w:sz="0" w:space="0" w:color="auto"/>
                    <w:bottom w:val="none" w:sz="0" w:space="0" w:color="auto"/>
                    <w:right w:val="none" w:sz="0" w:space="0" w:color="auto"/>
                  </w:divBdr>
                  <w:divsChild>
                    <w:div w:id="11265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852476">
          <w:marLeft w:val="0"/>
          <w:marRight w:val="0"/>
          <w:marTop w:val="0"/>
          <w:marBottom w:val="0"/>
          <w:divBdr>
            <w:top w:val="none" w:sz="0" w:space="0" w:color="auto"/>
            <w:left w:val="none" w:sz="0" w:space="0" w:color="auto"/>
            <w:bottom w:val="none" w:sz="0" w:space="0" w:color="auto"/>
            <w:right w:val="none" w:sz="0" w:space="0" w:color="auto"/>
          </w:divBdr>
        </w:div>
      </w:divsChild>
    </w:div>
    <w:div w:id="1385300921">
      <w:bodyDiv w:val="1"/>
      <w:marLeft w:val="0"/>
      <w:marRight w:val="0"/>
      <w:marTop w:val="0"/>
      <w:marBottom w:val="0"/>
      <w:divBdr>
        <w:top w:val="none" w:sz="0" w:space="0" w:color="auto"/>
        <w:left w:val="none" w:sz="0" w:space="0" w:color="auto"/>
        <w:bottom w:val="none" w:sz="0" w:space="0" w:color="auto"/>
        <w:right w:val="none" w:sz="0" w:space="0" w:color="auto"/>
      </w:divBdr>
    </w:div>
    <w:div w:id="1388993048">
      <w:bodyDiv w:val="1"/>
      <w:marLeft w:val="0"/>
      <w:marRight w:val="0"/>
      <w:marTop w:val="0"/>
      <w:marBottom w:val="0"/>
      <w:divBdr>
        <w:top w:val="none" w:sz="0" w:space="0" w:color="auto"/>
        <w:left w:val="none" w:sz="0" w:space="0" w:color="auto"/>
        <w:bottom w:val="none" w:sz="0" w:space="0" w:color="auto"/>
        <w:right w:val="none" w:sz="0" w:space="0" w:color="auto"/>
      </w:divBdr>
    </w:div>
    <w:div w:id="1412657625">
      <w:bodyDiv w:val="1"/>
      <w:marLeft w:val="0"/>
      <w:marRight w:val="0"/>
      <w:marTop w:val="0"/>
      <w:marBottom w:val="0"/>
      <w:divBdr>
        <w:top w:val="none" w:sz="0" w:space="0" w:color="auto"/>
        <w:left w:val="none" w:sz="0" w:space="0" w:color="auto"/>
        <w:bottom w:val="none" w:sz="0" w:space="0" w:color="auto"/>
        <w:right w:val="none" w:sz="0" w:space="0" w:color="auto"/>
      </w:divBdr>
    </w:div>
    <w:div w:id="1422870698">
      <w:bodyDiv w:val="1"/>
      <w:marLeft w:val="0"/>
      <w:marRight w:val="0"/>
      <w:marTop w:val="0"/>
      <w:marBottom w:val="0"/>
      <w:divBdr>
        <w:top w:val="none" w:sz="0" w:space="0" w:color="auto"/>
        <w:left w:val="none" w:sz="0" w:space="0" w:color="auto"/>
        <w:bottom w:val="none" w:sz="0" w:space="0" w:color="auto"/>
        <w:right w:val="none" w:sz="0" w:space="0" w:color="auto"/>
      </w:divBdr>
    </w:div>
    <w:div w:id="1437408648">
      <w:bodyDiv w:val="1"/>
      <w:marLeft w:val="0"/>
      <w:marRight w:val="0"/>
      <w:marTop w:val="0"/>
      <w:marBottom w:val="0"/>
      <w:divBdr>
        <w:top w:val="none" w:sz="0" w:space="0" w:color="auto"/>
        <w:left w:val="none" w:sz="0" w:space="0" w:color="auto"/>
        <w:bottom w:val="none" w:sz="0" w:space="0" w:color="auto"/>
        <w:right w:val="none" w:sz="0" w:space="0" w:color="auto"/>
      </w:divBdr>
      <w:divsChild>
        <w:div w:id="26639563">
          <w:marLeft w:val="0"/>
          <w:marRight w:val="0"/>
          <w:marTop w:val="0"/>
          <w:marBottom w:val="0"/>
          <w:divBdr>
            <w:top w:val="none" w:sz="0" w:space="0" w:color="auto"/>
            <w:left w:val="none" w:sz="0" w:space="0" w:color="auto"/>
            <w:bottom w:val="none" w:sz="0" w:space="0" w:color="auto"/>
            <w:right w:val="none" w:sz="0" w:space="0" w:color="auto"/>
          </w:divBdr>
          <w:divsChild>
            <w:div w:id="780224323">
              <w:marLeft w:val="-75"/>
              <w:marRight w:val="0"/>
              <w:marTop w:val="30"/>
              <w:marBottom w:val="30"/>
              <w:divBdr>
                <w:top w:val="none" w:sz="0" w:space="0" w:color="auto"/>
                <w:left w:val="none" w:sz="0" w:space="0" w:color="auto"/>
                <w:bottom w:val="none" w:sz="0" w:space="0" w:color="auto"/>
                <w:right w:val="none" w:sz="0" w:space="0" w:color="auto"/>
              </w:divBdr>
              <w:divsChild>
                <w:div w:id="627979840">
                  <w:marLeft w:val="0"/>
                  <w:marRight w:val="0"/>
                  <w:marTop w:val="0"/>
                  <w:marBottom w:val="0"/>
                  <w:divBdr>
                    <w:top w:val="none" w:sz="0" w:space="0" w:color="auto"/>
                    <w:left w:val="none" w:sz="0" w:space="0" w:color="auto"/>
                    <w:bottom w:val="none" w:sz="0" w:space="0" w:color="auto"/>
                    <w:right w:val="none" w:sz="0" w:space="0" w:color="auto"/>
                  </w:divBdr>
                  <w:divsChild>
                    <w:div w:id="1619022368">
                      <w:marLeft w:val="0"/>
                      <w:marRight w:val="0"/>
                      <w:marTop w:val="0"/>
                      <w:marBottom w:val="0"/>
                      <w:divBdr>
                        <w:top w:val="none" w:sz="0" w:space="0" w:color="auto"/>
                        <w:left w:val="none" w:sz="0" w:space="0" w:color="auto"/>
                        <w:bottom w:val="none" w:sz="0" w:space="0" w:color="auto"/>
                        <w:right w:val="none" w:sz="0" w:space="0" w:color="auto"/>
                      </w:divBdr>
                    </w:div>
                  </w:divsChild>
                </w:div>
                <w:div w:id="879128293">
                  <w:marLeft w:val="0"/>
                  <w:marRight w:val="0"/>
                  <w:marTop w:val="0"/>
                  <w:marBottom w:val="0"/>
                  <w:divBdr>
                    <w:top w:val="none" w:sz="0" w:space="0" w:color="auto"/>
                    <w:left w:val="none" w:sz="0" w:space="0" w:color="auto"/>
                    <w:bottom w:val="none" w:sz="0" w:space="0" w:color="auto"/>
                    <w:right w:val="none" w:sz="0" w:space="0" w:color="auto"/>
                  </w:divBdr>
                  <w:divsChild>
                    <w:div w:id="1783842562">
                      <w:marLeft w:val="0"/>
                      <w:marRight w:val="0"/>
                      <w:marTop w:val="0"/>
                      <w:marBottom w:val="0"/>
                      <w:divBdr>
                        <w:top w:val="none" w:sz="0" w:space="0" w:color="auto"/>
                        <w:left w:val="none" w:sz="0" w:space="0" w:color="auto"/>
                        <w:bottom w:val="none" w:sz="0" w:space="0" w:color="auto"/>
                        <w:right w:val="none" w:sz="0" w:space="0" w:color="auto"/>
                      </w:divBdr>
                    </w:div>
                  </w:divsChild>
                </w:div>
                <w:div w:id="1152990141">
                  <w:marLeft w:val="0"/>
                  <w:marRight w:val="0"/>
                  <w:marTop w:val="0"/>
                  <w:marBottom w:val="0"/>
                  <w:divBdr>
                    <w:top w:val="none" w:sz="0" w:space="0" w:color="auto"/>
                    <w:left w:val="none" w:sz="0" w:space="0" w:color="auto"/>
                    <w:bottom w:val="none" w:sz="0" w:space="0" w:color="auto"/>
                    <w:right w:val="none" w:sz="0" w:space="0" w:color="auto"/>
                  </w:divBdr>
                  <w:divsChild>
                    <w:div w:id="1459252584">
                      <w:marLeft w:val="0"/>
                      <w:marRight w:val="0"/>
                      <w:marTop w:val="0"/>
                      <w:marBottom w:val="0"/>
                      <w:divBdr>
                        <w:top w:val="none" w:sz="0" w:space="0" w:color="auto"/>
                        <w:left w:val="none" w:sz="0" w:space="0" w:color="auto"/>
                        <w:bottom w:val="none" w:sz="0" w:space="0" w:color="auto"/>
                        <w:right w:val="none" w:sz="0" w:space="0" w:color="auto"/>
                      </w:divBdr>
                    </w:div>
                  </w:divsChild>
                </w:div>
                <w:div w:id="1257132154">
                  <w:marLeft w:val="0"/>
                  <w:marRight w:val="0"/>
                  <w:marTop w:val="0"/>
                  <w:marBottom w:val="0"/>
                  <w:divBdr>
                    <w:top w:val="none" w:sz="0" w:space="0" w:color="auto"/>
                    <w:left w:val="none" w:sz="0" w:space="0" w:color="auto"/>
                    <w:bottom w:val="none" w:sz="0" w:space="0" w:color="auto"/>
                    <w:right w:val="none" w:sz="0" w:space="0" w:color="auto"/>
                  </w:divBdr>
                  <w:divsChild>
                    <w:div w:id="173142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26255">
          <w:marLeft w:val="0"/>
          <w:marRight w:val="0"/>
          <w:marTop w:val="0"/>
          <w:marBottom w:val="0"/>
          <w:divBdr>
            <w:top w:val="none" w:sz="0" w:space="0" w:color="auto"/>
            <w:left w:val="none" w:sz="0" w:space="0" w:color="auto"/>
            <w:bottom w:val="none" w:sz="0" w:space="0" w:color="auto"/>
            <w:right w:val="none" w:sz="0" w:space="0" w:color="auto"/>
          </w:divBdr>
          <w:divsChild>
            <w:div w:id="441069073">
              <w:marLeft w:val="0"/>
              <w:marRight w:val="0"/>
              <w:marTop w:val="0"/>
              <w:marBottom w:val="0"/>
              <w:divBdr>
                <w:top w:val="none" w:sz="0" w:space="0" w:color="auto"/>
                <w:left w:val="none" w:sz="0" w:space="0" w:color="auto"/>
                <w:bottom w:val="none" w:sz="0" w:space="0" w:color="auto"/>
                <w:right w:val="none" w:sz="0" w:space="0" w:color="auto"/>
              </w:divBdr>
            </w:div>
            <w:div w:id="1205211531">
              <w:marLeft w:val="0"/>
              <w:marRight w:val="0"/>
              <w:marTop w:val="0"/>
              <w:marBottom w:val="0"/>
              <w:divBdr>
                <w:top w:val="none" w:sz="0" w:space="0" w:color="auto"/>
                <w:left w:val="none" w:sz="0" w:space="0" w:color="auto"/>
                <w:bottom w:val="none" w:sz="0" w:space="0" w:color="auto"/>
                <w:right w:val="none" w:sz="0" w:space="0" w:color="auto"/>
              </w:divBdr>
            </w:div>
            <w:div w:id="1528250334">
              <w:marLeft w:val="0"/>
              <w:marRight w:val="0"/>
              <w:marTop w:val="0"/>
              <w:marBottom w:val="0"/>
              <w:divBdr>
                <w:top w:val="none" w:sz="0" w:space="0" w:color="auto"/>
                <w:left w:val="none" w:sz="0" w:space="0" w:color="auto"/>
                <w:bottom w:val="none" w:sz="0" w:space="0" w:color="auto"/>
                <w:right w:val="none" w:sz="0" w:space="0" w:color="auto"/>
              </w:divBdr>
            </w:div>
          </w:divsChild>
        </w:div>
        <w:div w:id="1554852682">
          <w:marLeft w:val="0"/>
          <w:marRight w:val="0"/>
          <w:marTop w:val="0"/>
          <w:marBottom w:val="0"/>
          <w:divBdr>
            <w:top w:val="none" w:sz="0" w:space="0" w:color="auto"/>
            <w:left w:val="none" w:sz="0" w:space="0" w:color="auto"/>
            <w:bottom w:val="none" w:sz="0" w:space="0" w:color="auto"/>
            <w:right w:val="none" w:sz="0" w:space="0" w:color="auto"/>
          </w:divBdr>
          <w:divsChild>
            <w:div w:id="124930884">
              <w:marLeft w:val="0"/>
              <w:marRight w:val="0"/>
              <w:marTop w:val="0"/>
              <w:marBottom w:val="0"/>
              <w:divBdr>
                <w:top w:val="none" w:sz="0" w:space="0" w:color="auto"/>
                <w:left w:val="none" w:sz="0" w:space="0" w:color="auto"/>
                <w:bottom w:val="none" w:sz="0" w:space="0" w:color="auto"/>
                <w:right w:val="none" w:sz="0" w:space="0" w:color="auto"/>
              </w:divBdr>
            </w:div>
            <w:div w:id="216359296">
              <w:marLeft w:val="0"/>
              <w:marRight w:val="0"/>
              <w:marTop w:val="0"/>
              <w:marBottom w:val="0"/>
              <w:divBdr>
                <w:top w:val="none" w:sz="0" w:space="0" w:color="auto"/>
                <w:left w:val="none" w:sz="0" w:space="0" w:color="auto"/>
                <w:bottom w:val="none" w:sz="0" w:space="0" w:color="auto"/>
                <w:right w:val="none" w:sz="0" w:space="0" w:color="auto"/>
              </w:divBdr>
            </w:div>
            <w:div w:id="309212273">
              <w:marLeft w:val="0"/>
              <w:marRight w:val="0"/>
              <w:marTop w:val="0"/>
              <w:marBottom w:val="0"/>
              <w:divBdr>
                <w:top w:val="none" w:sz="0" w:space="0" w:color="auto"/>
                <w:left w:val="none" w:sz="0" w:space="0" w:color="auto"/>
                <w:bottom w:val="none" w:sz="0" w:space="0" w:color="auto"/>
                <w:right w:val="none" w:sz="0" w:space="0" w:color="auto"/>
              </w:divBdr>
            </w:div>
            <w:div w:id="364793946">
              <w:marLeft w:val="0"/>
              <w:marRight w:val="0"/>
              <w:marTop w:val="0"/>
              <w:marBottom w:val="0"/>
              <w:divBdr>
                <w:top w:val="none" w:sz="0" w:space="0" w:color="auto"/>
                <w:left w:val="none" w:sz="0" w:space="0" w:color="auto"/>
                <w:bottom w:val="none" w:sz="0" w:space="0" w:color="auto"/>
                <w:right w:val="none" w:sz="0" w:space="0" w:color="auto"/>
              </w:divBdr>
            </w:div>
            <w:div w:id="383339184">
              <w:marLeft w:val="0"/>
              <w:marRight w:val="0"/>
              <w:marTop w:val="0"/>
              <w:marBottom w:val="0"/>
              <w:divBdr>
                <w:top w:val="none" w:sz="0" w:space="0" w:color="auto"/>
                <w:left w:val="none" w:sz="0" w:space="0" w:color="auto"/>
                <w:bottom w:val="none" w:sz="0" w:space="0" w:color="auto"/>
                <w:right w:val="none" w:sz="0" w:space="0" w:color="auto"/>
              </w:divBdr>
            </w:div>
            <w:div w:id="589971856">
              <w:marLeft w:val="0"/>
              <w:marRight w:val="0"/>
              <w:marTop w:val="0"/>
              <w:marBottom w:val="0"/>
              <w:divBdr>
                <w:top w:val="none" w:sz="0" w:space="0" w:color="auto"/>
                <w:left w:val="none" w:sz="0" w:space="0" w:color="auto"/>
                <w:bottom w:val="none" w:sz="0" w:space="0" w:color="auto"/>
                <w:right w:val="none" w:sz="0" w:space="0" w:color="auto"/>
              </w:divBdr>
            </w:div>
            <w:div w:id="603609213">
              <w:marLeft w:val="0"/>
              <w:marRight w:val="0"/>
              <w:marTop w:val="0"/>
              <w:marBottom w:val="0"/>
              <w:divBdr>
                <w:top w:val="none" w:sz="0" w:space="0" w:color="auto"/>
                <w:left w:val="none" w:sz="0" w:space="0" w:color="auto"/>
                <w:bottom w:val="none" w:sz="0" w:space="0" w:color="auto"/>
                <w:right w:val="none" w:sz="0" w:space="0" w:color="auto"/>
              </w:divBdr>
            </w:div>
            <w:div w:id="660501778">
              <w:marLeft w:val="0"/>
              <w:marRight w:val="0"/>
              <w:marTop w:val="0"/>
              <w:marBottom w:val="0"/>
              <w:divBdr>
                <w:top w:val="none" w:sz="0" w:space="0" w:color="auto"/>
                <w:left w:val="none" w:sz="0" w:space="0" w:color="auto"/>
                <w:bottom w:val="none" w:sz="0" w:space="0" w:color="auto"/>
                <w:right w:val="none" w:sz="0" w:space="0" w:color="auto"/>
              </w:divBdr>
            </w:div>
            <w:div w:id="804355633">
              <w:marLeft w:val="0"/>
              <w:marRight w:val="0"/>
              <w:marTop w:val="0"/>
              <w:marBottom w:val="0"/>
              <w:divBdr>
                <w:top w:val="none" w:sz="0" w:space="0" w:color="auto"/>
                <w:left w:val="none" w:sz="0" w:space="0" w:color="auto"/>
                <w:bottom w:val="none" w:sz="0" w:space="0" w:color="auto"/>
                <w:right w:val="none" w:sz="0" w:space="0" w:color="auto"/>
              </w:divBdr>
            </w:div>
            <w:div w:id="856234747">
              <w:marLeft w:val="0"/>
              <w:marRight w:val="0"/>
              <w:marTop w:val="0"/>
              <w:marBottom w:val="0"/>
              <w:divBdr>
                <w:top w:val="none" w:sz="0" w:space="0" w:color="auto"/>
                <w:left w:val="none" w:sz="0" w:space="0" w:color="auto"/>
                <w:bottom w:val="none" w:sz="0" w:space="0" w:color="auto"/>
                <w:right w:val="none" w:sz="0" w:space="0" w:color="auto"/>
              </w:divBdr>
            </w:div>
            <w:div w:id="1067194208">
              <w:marLeft w:val="0"/>
              <w:marRight w:val="0"/>
              <w:marTop w:val="0"/>
              <w:marBottom w:val="0"/>
              <w:divBdr>
                <w:top w:val="none" w:sz="0" w:space="0" w:color="auto"/>
                <w:left w:val="none" w:sz="0" w:space="0" w:color="auto"/>
                <w:bottom w:val="none" w:sz="0" w:space="0" w:color="auto"/>
                <w:right w:val="none" w:sz="0" w:space="0" w:color="auto"/>
              </w:divBdr>
            </w:div>
            <w:div w:id="1128283024">
              <w:marLeft w:val="0"/>
              <w:marRight w:val="0"/>
              <w:marTop w:val="0"/>
              <w:marBottom w:val="0"/>
              <w:divBdr>
                <w:top w:val="none" w:sz="0" w:space="0" w:color="auto"/>
                <w:left w:val="none" w:sz="0" w:space="0" w:color="auto"/>
                <w:bottom w:val="none" w:sz="0" w:space="0" w:color="auto"/>
                <w:right w:val="none" w:sz="0" w:space="0" w:color="auto"/>
              </w:divBdr>
            </w:div>
            <w:div w:id="1280335654">
              <w:marLeft w:val="0"/>
              <w:marRight w:val="0"/>
              <w:marTop w:val="0"/>
              <w:marBottom w:val="0"/>
              <w:divBdr>
                <w:top w:val="none" w:sz="0" w:space="0" w:color="auto"/>
                <w:left w:val="none" w:sz="0" w:space="0" w:color="auto"/>
                <w:bottom w:val="none" w:sz="0" w:space="0" w:color="auto"/>
                <w:right w:val="none" w:sz="0" w:space="0" w:color="auto"/>
              </w:divBdr>
            </w:div>
            <w:div w:id="1306158885">
              <w:marLeft w:val="0"/>
              <w:marRight w:val="0"/>
              <w:marTop w:val="0"/>
              <w:marBottom w:val="0"/>
              <w:divBdr>
                <w:top w:val="none" w:sz="0" w:space="0" w:color="auto"/>
                <w:left w:val="none" w:sz="0" w:space="0" w:color="auto"/>
                <w:bottom w:val="none" w:sz="0" w:space="0" w:color="auto"/>
                <w:right w:val="none" w:sz="0" w:space="0" w:color="auto"/>
              </w:divBdr>
            </w:div>
            <w:div w:id="1431706558">
              <w:marLeft w:val="0"/>
              <w:marRight w:val="0"/>
              <w:marTop w:val="0"/>
              <w:marBottom w:val="0"/>
              <w:divBdr>
                <w:top w:val="none" w:sz="0" w:space="0" w:color="auto"/>
                <w:left w:val="none" w:sz="0" w:space="0" w:color="auto"/>
                <w:bottom w:val="none" w:sz="0" w:space="0" w:color="auto"/>
                <w:right w:val="none" w:sz="0" w:space="0" w:color="auto"/>
              </w:divBdr>
            </w:div>
            <w:div w:id="1467627765">
              <w:marLeft w:val="0"/>
              <w:marRight w:val="0"/>
              <w:marTop w:val="0"/>
              <w:marBottom w:val="0"/>
              <w:divBdr>
                <w:top w:val="none" w:sz="0" w:space="0" w:color="auto"/>
                <w:left w:val="none" w:sz="0" w:space="0" w:color="auto"/>
                <w:bottom w:val="none" w:sz="0" w:space="0" w:color="auto"/>
                <w:right w:val="none" w:sz="0" w:space="0" w:color="auto"/>
              </w:divBdr>
            </w:div>
            <w:div w:id="1801462566">
              <w:marLeft w:val="0"/>
              <w:marRight w:val="0"/>
              <w:marTop w:val="0"/>
              <w:marBottom w:val="0"/>
              <w:divBdr>
                <w:top w:val="none" w:sz="0" w:space="0" w:color="auto"/>
                <w:left w:val="none" w:sz="0" w:space="0" w:color="auto"/>
                <w:bottom w:val="none" w:sz="0" w:space="0" w:color="auto"/>
                <w:right w:val="none" w:sz="0" w:space="0" w:color="auto"/>
              </w:divBdr>
            </w:div>
          </w:divsChild>
        </w:div>
        <w:div w:id="1564440413">
          <w:marLeft w:val="0"/>
          <w:marRight w:val="0"/>
          <w:marTop w:val="0"/>
          <w:marBottom w:val="0"/>
          <w:divBdr>
            <w:top w:val="none" w:sz="0" w:space="0" w:color="auto"/>
            <w:left w:val="none" w:sz="0" w:space="0" w:color="auto"/>
            <w:bottom w:val="none" w:sz="0" w:space="0" w:color="auto"/>
            <w:right w:val="none" w:sz="0" w:space="0" w:color="auto"/>
          </w:divBdr>
          <w:divsChild>
            <w:div w:id="223027108">
              <w:marLeft w:val="0"/>
              <w:marRight w:val="0"/>
              <w:marTop w:val="0"/>
              <w:marBottom w:val="0"/>
              <w:divBdr>
                <w:top w:val="none" w:sz="0" w:space="0" w:color="auto"/>
                <w:left w:val="none" w:sz="0" w:space="0" w:color="auto"/>
                <w:bottom w:val="none" w:sz="0" w:space="0" w:color="auto"/>
                <w:right w:val="none" w:sz="0" w:space="0" w:color="auto"/>
              </w:divBdr>
            </w:div>
            <w:div w:id="361516914">
              <w:marLeft w:val="0"/>
              <w:marRight w:val="0"/>
              <w:marTop w:val="0"/>
              <w:marBottom w:val="0"/>
              <w:divBdr>
                <w:top w:val="none" w:sz="0" w:space="0" w:color="auto"/>
                <w:left w:val="none" w:sz="0" w:space="0" w:color="auto"/>
                <w:bottom w:val="none" w:sz="0" w:space="0" w:color="auto"/>
                <w:right w:val="none" w:sz="0" w:space="0" w:color="auto"/>
              </w:divBdr>
            </w:div>
            <w:div w:id="748189279">
              <w:marLeft w:val="0"/>
              <w:marRight w:val="0"/>
              <w:marTop w:val="0"/>
              <w:marBottom w:val="0"/>
              <w:divBdr>
                <w:top w:val="none" w:sz="0" w:space="0" w:color="auto"/>
                <w:left w:val="none" w:sz="0" w:space="0" w:color="auto"/>
                <w:bottom w:val="none" w:sz="0" w:space="0" w:color="auto"/>
                <w:right w:val="none" w:sz="0" w:space="0" w:color="auto"/>
              </w:divBdr>
            </w:div>
            <w:div w:id="1260525864">
              <w:marLeft w:val="0"/>
              <w:marRight w:val="0"/>
              <w:marTop w:val="0"/>
              <w:marBottom w:val="0"/>
              <w:divBdr>
                <w:top w:val="none" w:sz="0" w:space="0" w:color="auto"/>
                <w:left w:val="none" w:sz="0" w:space="0" w:color="auto"/>
                <w:bottom w:val="none" w:sz="0" w:space="0" w:color="auto"/>
                <w:right w:val="none" w:sz="0" w:space="0" w:color="auto"/>
              </w:divBdr>
            </w:div>
            <w:div w:id="1830977396">
              <w:marLeft w:val="0"/>
              <w:marRight w:val="0"/>
              <w:marTop w:val="0"/>
              <w:marBottom w:val="0"/>
              <w:divBdr>
                <w:top w:val="none" w:sz="0" w:space="0" w:color="auto"/>
                <w:left w:val="none" w:sz="0" w:space="0" w:color="auto"/>
                <w:bottom w:val="none" w:sz="0" w:space="0" w:color="auto"/>
                <w:right w:val="none" w:sz="0" w:space="0" w:color="auto"/>
              </w:divBdr>
            </w:div>
            <w:div w:id="1849324488">
              <w:marLeft w:val="0"/>
              <w:marRight w:val="0"/>
              <w:marTop w:val="0"/>
              <w:marBottom w:val="0"/>
              <w:divBdr>
                <w:top w:val="none" w:sz="0" w:space="0" w:color="auto"/>
                <w:left w:val="none" w:sz="0" w:space="0" w:color="auto"/>
                <w:bottom w:val="none" w:sz="0" w:space="0" w:color="auto"/>
                <w:right w:val="none" w:sz="0" w:space="0" w:color="auto"/>
              </w:divBdr>
            </w:div>
            <w:div w:id="1918589928">
              <w:marLeft w:val="0"/>
              <w:marRight w:val="0"/>
              <w:marTop w:val="0"/>
              <w:marBottom w:val="0"/>
              <w:divBdr>
                <w:top w:val="none" w:sz="0" w:space="0" w:color="auto"/>
                <w:left w:val="none" w:sz="0" w:space="0" w:color="auto"/>
                <w:bottom w:val="none" w:sz="0" w:space="0" w:color="auto"/>
                <w:right w:val="none" w:sz="0" w:space="0" w:color="auto"/>
              </w:divBdr>
            </w:div>
            <w:div w:id="2056344610">
              <w:marLeft w:val="0"/>
              <w:marRight w:val="0"/>
              <w:marTop w:val="0"/>
              <w:marBottom w:val="0"/>
              <w:divBdr>
                <w:top w:val="none" w:sz="0" w:space="0" w:color="auto"/>
                <w:left w:val="none" w:sz="0" w:space="0" w:color="auto"/>
                <w:bottom w:val="none" w:sz="0" w:space="0" w:color="auto"/>
                <w:right w:val="none" w:sz="0" w:space="0" w:color="auto"/>
              </w:divBdr>
            </w:div>
            <w:div w:id="2061586919">
              <w:marLeft w:val="0"/>
              <w:marRight w:val="0"/>
              <w:marTop w:val="0"/>
              <w:marBottom w:val="0"/>
              <w:divBdr>
                <w:top w:val="none" w:sz="0" w:space="0" w:color="auto"/>
                <w:left w:val="none" w:sz="0" w:space="0" w:color="auto"/>
                <w:bottom w:val="none" w:sz="0" w:space="0" w:color="auto"/>
                <w:right w:val="none" w:sz="0" w:space="0" w:color="auto"/>
              </w:divBdr>
            </w:div>
            <w:div w:id="2125807319">
              <w:marLeft w:val="0"/>
              <w:marRight w:val="0"/>
              <w:marTop w:val="0"/>
              <w:marBottom w:val="0"/>
              <w:divBdr>
                <w:top w:val="none" w:sz="0" w:space="0" w:color="auto"/>
                <w:left w:val="none" w:sz="0" w:space="0" w:color="auto"/>
                <w:bottom w:val="none" w:sz="0" w:space="0" w:color="auto"/>
                <w:right w:val="none" w:sz="0" w:space="0" w:color="auto"/>
              </w:divBdr>
            </w:div>
          </w:divsChild>
        </w:div>
        <w:div w:id="1730762661">
          <w:marLeft w:val="0"/>
          <w:marRight w:val="0"/>
          <w:marTop w:val="0"/>
          <w:marBottom w:val="0"/>
          <w:divBdr>
            <w:top w:val="none" w:sz="0" w:space="0" w:color="auto"/>
            <w:left w:val="none" w:sz="0" w:space="0" w:color="auto"/>
            <w:bottom w:val="none" w:sz="0" w:space="0" w:color="auto"/>
            <w:right w:val="none" w:sz="0" w:space="0" w:color="auto"/>
          </w:divBdr>
          <w:divsChild>
            <w:div w:id="581912627">
              <w:marLeft w:val="-75"/>
              <w:marRight w:val="0"/>
              <w:marTop w:val="30"/>
              <w:marBottom w:val="30"/>
              <w:divBdr>
                <w:top w:val="none" w:sz="0" w:space="0" w:color="auto"/>
                <w:left w:val="none" w:sz="0" w:space="0" w:color="auto"/>
                <w:bottom w:val="none" w:sz="0" w:space="0" w:color="auto"/>
                <w:right w:val="none" w:sz="0" w:space="0" w:color="auto"/>
              </w:divBdr>
              <w:divsChild>
                <w:div w:id="142161087">
                  <w:marLeft w:val="0"/>
                  <w:marRight w:val="0"/>
                  <w:marTop w:val="0"/>
                  <w:marBottom w:val="0"/>
                  <w:divBdr>
                    <w:top w:val="none" w:sz="0" w:space="0" w:color="auto"/>
                    <w:left w:val="none" w:sz="0" w:space="0" w:color="auto"/>
                    <w:bottom w:val="none" w:sz="0" w:space="0" w:color="auto"/>
                    <w:right w:val="none" w:sz="0" w:space="0" w:color="auto"/>
                  </w:divBdr>
                  <w:divsChild>
                    <w:div w:id="819544906">
                      <w:marLeft w:val="0"/>
                      <w:marRight w:val="0"/>
                      <w:marTop w:val="0"/>
                      <w:marBottom w:val="0"/>
                      <w:divBdr>
                        <w:top w:val="none" w:sz="0" w:space="0" w:color="auto"/>
                        <w:left w:val="none" w:sz="0" w:space="0" w:color="auto"/>
                        <w:bottom w:val="none" w:sz="0" w:space="0" w:color="auto"/>
                        <w:right w:val="none" w:sz="0" w:space="0" w:color="auto"/>
                      </w:divBdr>
                    </w:div>
                    <w:div w:id="1431851162">
                      <w:marLeft w:val="0"/>
                      <w:marRight w:val="0"/>
                      <w:marTop w:val="0"/>
                      <w:marBottom w:val="0"/>
                      <w:divBdr>
                        <w:top w:val="none" w:sz="0" w:space="0" w:color="auto"/>
                        <w:left w:val="none" w:sz="0" w:space="0" w:color="auto"/>
                        <w:bottom w:val="none" w:sz="0" w:space="0" w:color="auto"/>
                        <w:right w:val="none" w:sz="0" w:space="0" w:color="auto"/>
                      </w:divBdr>
                    </w:div>
                  </w:divsChild>
                </w:div>
                <w:div w:id="239600150">
                  <w:marLeft w:val="0"/>
                  <w:marRight w:val="0"/>
                  <w:marTop w:val="0"/>
                  <w:marBottom w:val="0"/>
                  <w:divBdr>
                    <w:top w:val="none" w:sz="0" w:space="0" w:color="auto"/>
                    <w:left w:val="none" w:sz="0" w:space="0" w:color="auto"/>
                    <w:bottom w:val="none" w:sz="0" w:space="0" w:color="auto"/>
                    <w:right w:val="none" w:sz="0" w:space="0" w:color="auto"/>
                  </w:divBdr>
                  <w:divsChild>
                    <w:div w:id="2102480518">
                      <w:marLeft w:val="0"/>
                      <w:marRight w:val="0"/>
                      <w:marTop w:val="0"/>
                      <w:marBottom w:val="0"/>
                      <w:divBdr>
                        <w:top w:val="none" w:sz="0" w:space="0" w:color="auto"/>
                        <w:left w:val="none" w:sz="0" w:space="0" w:color="auto"/>
                        <w:bottom w:val="none" w:sz="0" w:space="0" w:color="auto"/>
                        <w:right w:val="none" w:sz="0" w:space="0" w:color="auto"/>
                      </w:divBdr>
                    </w:div>
                  </w:divsChild>
                </w:div>
                <w:div w:id="248539016">
                  <w:marLeft w:val="0"/>
                  <w:marRight w:val="0"/>
                  <w:marTop w:val="0"/>
                  <w:marBottom w:val="0"/>
                  <w:divBdr>
                    <w:top w:val="none" w:sz="0" w:space="0" w:color="auto"/>
                    <w:left w:val="none" w:sz="0" w:space="0" w:color="auto"/>
                    <w:bottom w:val="none" w:sz="0" w:space="0" w:color="auto"/>
                    <w:right w:val="none" w:sz="0" w:space="0" w:color="auto"/>
                  </w:divBdr>
                  <w:divsChild>
                    <w:div w:id="1155031617">
                      <w:marLeft w:val="0"/>
                      <w:marRight w:val="0"/>
                      <w:marTop w:val="0"/>
                      <w:marBottom w:val="0"/>
                      <w:divBdr>
                        <w:top w:val="none" w:sz="0" w:space="0" w:color="auto"/>
                        <w:left w:val="none" w:sz="0" w:space="0" w:color="auto"/>
                        <w:bottom w:val="none" w:sz="0" w:space="0" w:color="auto"/>
                        <w:right w:val="none" w:sz="0" w:space="0" w:color="auto"/>
                      </w:divBdr>
                    </w:div>
                  </w:divsChild>
                </w:div>
                <w:div w:id="333650068">
                  <w:marLeft w:val="0"/>
                  <w:marRight w:val="0"/>
                  <w:marTop w:val="0"/>
                  <w:marBottom w:val="0"/>
                  <w:divBdr>
                    <w:top w:val="none" w:sz="0" w:space="0" w:color="auto"/>
                    <w:left w:val="none" w:sz="0" w:space="0" w:color="auto"/>
                    <w:bottom w:val="none" w:sz="0" w:space="0" w:color="auto"/>
                    <w:right w:val="none" w:sz="0" w:space="0" w:color="auto"/>
                  </w:divBdr>
                  <w:divsChild>
                    <w:div w:id="551160493">
                      <w:marLeft w:val="0"/>
                      <w:marRight w:val="0"/>
                      <w:marTop w:val="0"/>
                      <w:marBottom w:val="0"/>
                      <w:divBdr>
                        <w:top w:val="none" w:sz="0" w:space="0" w:color="auto"/>
                        <w:left w:val="none" w:sz="0" w:space="0" w:color="auto"/>
                        <w:bottom w:val="none" w:sz="0" w:space="0" w:color="auto"/>
                        <w:right w:val="none" w:sz="0" w:space="0" w:color="auto"/>
                      </w:divBdr>
                    </w:div>
                    <w:div w:id="1160542658">
                      <w:marLeft w:val="0"/>
                      <w:marRight w:val="0"/>
                      <w:marTop w:val="0"/>
                      <w:marBottom w:val="0"/>
                      <w:divBdr>
                        <w:top w:val="none" w:sz="0" w:space="0" w:color="auto"/>
                        <w:left w:val="none" w:sz="0" w:space="0" w:color="auto"/>
                        <w:bottom w:val="none" w:sz="0" w:space="0" w:color="auto"/>
                        <w:right w:val="none" w:sz="0" w:space="0" w:color="auto"/>
                      </w:divBdr>
                    </w:div>
                    <w:div w:id="1893534694">
                      <w:marLeft w:val="0"/>
                      <w:marRight w:val="0"/>
                      <w:marTop w:val="0"/>
                      <w:marBottom w:val="0"/>
                      <w:divBdr>
                        <w:top w:val="none" w:sz="0" w:space="0" w:color="auto"/>
                        <w:left w:val="none" w:sz="0" w:space="0" w:color="auto"/>
                        <w:bottom w:val="none" w:sz="0" w:space="0" w:color="auto"/>
                        <w:right w:val="none" w:sz="0" w:space="0" w:color="auto"/>
                      </w:divBdr>
                    </w:div>
                  </w:divsChild>
                </w:div>
                <w:div w:id="466897898">
                  <w:marLeft w:val="0"/>
                  <w:marRight w:val="0"/>
                  <w:marTop w:val="0"/>
                  <w:marBottom w:val="0"/>
                  <w:divBdr>
                    <w:top w:val="none" w:sz="0" w:space="0" w:color="auto"/>
                    <w:left w:val="none" w:sz="0" w:space="0" w:color="auto"/>
                    <w:bottom w:val="none" w:sz="0" w:space="0" w:color="auto"/>
                    <w:right w:val="none" w:sz="0" w:space="0" w:color="auto"/>
                  </w:divBdr>
                  <w:divsChild>
                    <w:div w:id="1674450122">
                      <w:marLeft w:val="0"/>
                      <w:marRight w:val="0"/>
                      <w:marTop w:val="0"/>
                      <w:marBottom w:val="0"/>
                      <w:divBdr>
                        <w:top w:val="none" w:sz="0" w:space="0" w:color="auto"/>
                        <w:left w:val="none" w:sz="0" w:space="0" w:color="auto"/>
                        <w:bottom w:val="none" w:sz="0" w:space="0" w:color="auto"/>
                        <w:right w:val="none" w:sz="0" w:space="0" w:color="auto"/>
                      </w:divBdr>
                    </w:div>
                  </w:divsChild>
                </w:div>
                <w:div w:id="494608722">
                  <w:marLeft w:val="0"/>
                  <w:marRight w:val="0"/>
                  <w:marTop w:val="0"/>
                  <w:marBottom w:val="0"/>
                  <w:divBdr>
                    <w:top w:val="none" w:sz="0" w:space="0" w:color="auto"/>
                    <w:left w:val="none" w:sz="0" w:space="0" w:color="auto"/>
                    <w:bottom w:val="none" w:sz="0" w:space="0" w:color="auto"/>
                    <w:right w:val="none" w:sz="0" w:space="0" w:color="auto"/>
                  </w:divBdr>
                  <w:divsChild>
                    <w:div w:id="56631859">
                      <w:marLeft w:val="0"/>
                      <w:marRight w:val="0"/>
                      <w:marTop w:val="0"/>
                      <w:marBottom w:val="0"/>
                      <w:divBdr>
                        <w:top w:val="none" w:sz="0" w:space="0" w:color="auto"/>
                        <w:left w:val="none" w:sz="0" w:space="0" w:color="auto"/>
                        <w:bottom w:val="none" w:sz="0" w:space="0" w:color="auto"/>
                        <w:right w:val="none" w:sz="0" w:space="0" w:color="auto"/>
                      </w:divBdr>
                    </w:div>
                    <w:div w:id="296691228">
                      <w:marLeft w:val="0"/>
                      <w:marRight w:val="0"/>
                      <w:marTop w:val="0"/>
                      <w:marBottom w:val="0"/>
                      <w:divBdr>
                        <w:top w:val="none" w:sz="0" w:space="0" w:color="auto"/>
                        <w:left w:val="none" w:sz="0" w:space="0" w:color="auto"/>
                        <w:bottom w:val="none" w:sz="0" w:space="0" w:color="auto"/>
                        <w:right w:val="none" w:sz="0" w:space="0" w:color="auto"/>
                      </w:divBdr>
                    </w:div>
                    <w:div w:id="1084765927">
                      <w:marLeft w:val="0"/>
                      <w:marRight w:val="0"/>
                      <w:marTop w:val="0"/>
                      <w:marBottom w:val="0"/>
                      <w:divBdr>
                        <w:top w:val="none" w:sz="0" w:space="0" w:color="auto"/>
                        <w:left w:val="none" w:sz="0" w:space="0" w:color="auto"/>
                        <w:bottom w:val="none" w:sz="0" w:space="0" w:color="auto"/>
                        <w:right w:val="none" w:sz="0" w:space="0" w:color="auto"/>
                      </w:divBdr>
                    </w:div>
                    <w:div w:id="1585382018">
                      <w:marLeft w:val="0"/>
                      <w:marRight w:val="0"/>
                      <w:marTop w:val="0"/>
                      <w:marBottom w:val="0"/>
                      <w:divBdr>
                        <w:top w:val="none" w:sz="0" w:space="0" w:color="auto"/>
                        <w:left w:val="none" w:sz="0" w:space="0" w:color="auto"/>
                        <w:bottom w:val="none" w:sz="0" w:space="0" w:color="auto"/>
                        <w:right w:val="none" w:sz="0" w:space="0" w:color="auto"/>
                      </w:divBdr>
                    </w:div>
                  </w:divsChild>
                </w:div>
                <w:div w:id="597711983">
                  <w:marLeft w:val="0"/>
                  <w:marRight w:val="0"/>
                  <w:marTop w:val="0"/>
                  <w:marBottom w:val="0"/>
                  <w:divBdr>
                    <w:top w:val="none" w:sz="0" w:space="0" w:color="auto"/>
                    <w:left w:val="none" w:sz="0" w:space="0" w:color="auto"/>
                    <w:bottom w:val="none" w:sz="0" w:space="0" w:color="auto"/>
                    <w:right w:val="none" w:sz="0" w:space="0" w:color="auto"/>
                  </w:divBdr>
                  <w:divsChild>
                    <w:div w:id="406390288">
                      <w:marLeft w:val="0"/>
                      <w:marRight w:val="0"/>
                      <w:marTop w:val="0"/>
                      <w:marBottom w:val="0"/>
                      <w:divBdr>
                        <w:top w:val="none" w:sz="0" w:space="0" w:color="auto"/>
                        <w:left w:val="none" w:sz="0" w:space="0" w:color="auto"/>
                        <w:bottom w:val="none" w:sz="0" w:space="0" w:color="auto"/>
                        <w:right w:val="none" w:sz="0" w:space="0" w:color="auto"/>
                      </w:divBdr>
                    </w:div>
                  </w:divsChild>
                </w:div>
                <w:div w:id="678654319">
                  <w:marLeft w:val="0"/>
                  <w:marRight w:val="0"/>
                  <w:marTop w:val="0"/>
                  <w:marBottom w:val="0"/>
                  <w:divBdr>
                    <w:top w:val="none" w:sz="0" w:space="0" w:color="auto"/>
                    <w:left w:val="none" w:sz="0" w:space="0" w:color="auto"/>
                    <w:bottom w:val="none" w:sz="0" w:space="0" w:color="auto"/>
                    <w:right w:val="none" w:sz="0" w:space="0" w:color="auto"/>
                  </w:divBdr>
                  <w:divsChild>
                    <w:div w:id="1454978283">
                      <w:marLeft w:val="0"/>
                      <w:marRight w:val="0"/>
                      <w:marTop w:val="0"/>
                      <w:marBottom w:val="0"/>
                      <w:divBdr>
                        <w:top w:val="none" w:sz="0" w:space="0" w:color="auto"/>
                        <w:left w:val="none" w:sz="0" w:space="0" w:color="auto"/>
                        <w:bottom w:val="none" w:sz="0" w:space="0" w:color="auto"/>
                        <w:right w:val="none" w:sz="0" w:space="0" w:color="auto"/>
                      </w:divBdr>
                    </w:div>
                  </w:divsChild>
                </w:div>
                <w:div w:id="890264765">
                  <w:marLeft w:val="0"/>
                  <w:marRight w:val="0"/>
                  <w:marTop w:val="0"/>
                  <w:marBottom w:val="0"/>
                  <w:divBdr>
                    <w:top w:val="none" w:sz="0" w:space="0" w:color="auto"/>
                    <w:left w:val="none" w:sz="0" w:space="0" w:color="auto"/>
                    <w:bottom w:val="none" w:sz="0" w:space="0" w:color="auto"/>
                    <w:right w:val="none" w:sz="0" w:space="0" w:color="auto"/>
                  </w:divBdr>
                  <w:divsChild>
                    <w:div w:id="970548806">
                      <w:marLeft w:val="0"/>
                      <w:marRight w:val="0"/>
                      <w:marTop w:val="0"/>
                      <w:marBottom w:val="0"/>
                      <w:divBdr>
                        <w:top w:val="none" w:sz="0" w:space="0" w:color="auto"/>
                        <w:left w:val="none" w:sz="0" w:space="0" w:color="auto"/>
                        <w:bottom w:val="none" w:sz="0" w:space="0" w:color="auto"/>
                        <w:right w:val="none" w:sz="0" w:space="0" w:color="auto"/>
                      </w:divBdr>
                    </w:div>
                  </w:divsChild>
                </w:div>
                <w:div w:id="1295986854">
                  <w:marLeft w:val="0"/>
                  <w:marRight w:val="0"/>
                  <w:marTop w:val="0"/>
                  <w:marBottom w:val="0"/>
                  <w:divBdr>
                    <w:top w:val="none" w:sz="0" w:space="0" w:color="auto"/>
                    <w:left w:val="none" w:sz="0" w:space="0" w:color="auto"/>
                    <w:bottom w:val="none" w:sz="0" w:space="0" w:color="auto"/>
                    <w:right w:val="none" w:sz="0" w:space="0" w:color="auto"/>
                  </w:divBdr>
                  <w:divsChild>
                    <w:div w:id="578254988">
                      <w:marLeft w:val="0"/>
                      <w:marRight w:val="0"/>
                      <w:marTop w:val="0"/>
                      <w:marBottom w:val="0"/>
                      <w:divBdr>
                        <w:top w:val="none" w:sz="0" w:space="0" w:color="auto"/>
                        <w:left w:val="none" w:sz="0" w:space="0" w:color="auto"/>
                        <w:bottom w:val="none" w:sz="0" w:space="0" w:color="auto"/>
                        <w:right w:val="none" w:sz="0" w:space="0" w:color="auto"/>
                      </w:divBdr>
                    </w:div>
                  </w:divsChild>
                </w:div>
                <w:div w:id="1354569652">
                  <w:marLeft w:val="0"/>
                  <w:marRight w:val="0"/>
                  <w:marTop w:val="0"/>
                  <w:marBottom w:val="0"/>
                  <w:divBdr>
                    <w:top w:val="none" w:sz="0" w:space="0" w:color="auto"/>
                    <w:left w:val="none" w:sz="0" w:space="0" w:color="auto"/>
                    <w:bottom w:val="none" w:sz="0" w:space="0" w:color="auto"/>
                    <w:right w:val="none" w:sz="0" w:space="0" w:color="auto"/>
                  </w:divBdr>
                  <w:divsChild>
                    <w:div w:id="235364784">
                      <w:marLeft w:val="0"/>
                      <w:marRight w:val="0"/>
                      <w:marTop w:val="0"/>
                      <w:marBottom w:val="0"/>
                      <w:divBdr>
                        <w:top w:val="none" w:sz="0" w:space="0" w:color="auto"/>
                        <w:left w:val="none" w:sz="0" w:space="0" w:color="auto"/>
                        <w:bottom w:val="none" w:sz="0" w:space="0" w:color="auto"/>
                        <w:right w:val="none" w:sz="0" w:space="0" w:color="auto"/>
                      </w:divBdr>
                    </w:div>
                  </w:divsChild>
                </w:div>
                <w:div w:id="1705212319">
                  <w:marLeft w:val="0"/>
                  <w:marRight w:val="0"/>
                  <w:marTop w:val="0"/>
                  <w:marBottom w:val="0"/>
                  <w:divBdr>
                    <w:top w:val="none" w:sz="0" w:space="0" w:color="auto"/>
                    <w:left w:val="none" w:sz="0" w:space="0" w:color="auto"/>
                    <w:bottom w:val="none" w:sz="0" w:space="0" w:color="auto"/>
                    <w:right w:val="none" w:sz="0" w:space="0" w:color="auto"/>
                  </w:divBdr>
                  <w:divsChild>
                    <w:div w:id="1440251255">
                      <w:marLeft w:val="0"/>
                      <w:marRight w:val="0"/>
                      <w:marTop w:val="0"/>
                      <w:marBottom w:val="0"/>
                      <w:divBdr>
                        <w:top w:val="none" w:sz="0" w:space="0" w:color="auto"/>
                        <w:left w:val="none" w:sz="0" w:space="0" w:color="auto"/>
                        <w:bottom w:val="none" w:sz="0" w:space="0" w:color="auto"/>
                        <w:right w:val="none" w:sz="0" w:space="0" w:color="auto"/>
                      </w:divBdr>
                    </w:div>
                  </w:divsChild>
                </w:div>
                <w:div w:id="1720277203">
                  <w:marLeft w:val="0"/>
                  <w:marRight w:val="0"/>
                  <w:marTop w:val="0"/>
                  <w:marBottom w:val="0"/>
                  <w:divBdr>
                    <w:top w:val="none" w:sz="0" w:space="0" w:color="auto"/>
                    <w:left w:val="none" w:sz="0" w:space="0" w:color="auto"/>
                    <w:bottom w:val="none" w:sz="0" w:space="0" w:color="auto"/>
                    <w:right w:val="none" w:sz="0" w:space="0" w:color="auto"/>
                  </w:divBdr>
                  <w:divsChild>
                    <w:div w:id="1921525028">
                      <w:marLeft w:val="0"/>
                      <w:marRight w:val="0"/>
                      <w:marTop w:val="0"/>
                      <w:marBottom w:val="0"/>
                      <w:divBdr>
                        <w:top w:val="none" w:sz="0" w:space="0" w:color="auto"/>
                        <w:left w:val="none" w:sz="0" w:space="0" w:color="auto"/>
                        <w:bottom w:val="none" w:sz="0" w:space="0" w:color="auto"/>
                        <w:right w:val="none" w:sz="0" w:space="0" w:color="auto"/>
                      </w:divBdr>
                    </w:div>
                    <w:div w:id="2121408157">
                      <w:marLeft w:val="0"/>
                      <w:marRight w:val="0"/>
                      <w:marTop w:val="0"/>
                      <w:marBottom w:val="0"/>
                      <w:divBdr>
                        <w:top w:val="none" w:sz="0" w:space="0" w:color="auto"/>
                        <w:left w:val="none" w:sz="0" w:space="0" w:color="auto"/>
                        <w:bottom w:val="none" w:sz="0" w:space="0" w:color="auto"/>
                        <w:right w:val="none" w:sz="0" w:space="0" w:color="auto"/>
                      </w:divBdr>
                    </w:div>
                  </w:divsChild>
                </w:div>
                <w:div w:id="1858537110">
                  <w:marLeft w:val="0"/>
                  <w:marRight w:val="0"/>
                  <w:marTop w:val="0"/>
                  <w:marBottom w:val="0"/>
                  <w:divBdr>
                    <w:top w:val="none" w:sz="0" w:space="0" w:color="auto"/>
                    <w:left w:val="none" w:sz="0" w:space="0" w:color="auto"/>
                    <w:bottom w:val="none" w:sz="0" w:space="0" w:color="auto"/>
                    <w:right w:val="none" w:sz="0" w:space="0" w:color="auto"/>
                  </w:divBdr>
                  <w:divsChild>
                    <w:div w:id="102768651">
                      <w:marLeft w:val="0"/>
                      <w:marRight w:val="0"/>
                      <w:marTop w:val="0"/>
                      <w:marBottom w:val="0"/>
                      <w:divBdr>
                        <w:top w:val="none" w:sz="0" w:space="0" w:color="auto"/>
                        <w:left w:val="none" w:sz="0" w:space="0" w:color="auto"/>
                        <w:bottom w:val="none" w:sz="0" w:space="0" w:color="auto"/>
                        <w:right w:val="none" w:sz="0" w:space="0" w:color="auto"/>
                      </w:divBdr>
                    </w:div>
                    <w:div w:id="604920774">
                      <w:marLeft w:val="0"/>
                      <w:marRight w:val="0"/>
                      <w:marTop w:val="0"/>
                      <w:marBottom w:val="0"/>
                      <w:divBdr>
                        <w:top w:val="none" w:sz="0" w:space="0" w:color="auto"/>
                        <w:left w:val="none" w:sz="0" w:space="0" w:color="auto"/>
                        <w:bottom w:val="none" w:sz="0" w:space="0" w:color="auto"/>
                        <w:right w:val="none" w:sz="0" w:space="0" w:color="auto"/>
                      </w:divBdr>
                    </w:div>
                    <w:div w:id="1513228017">
                      <w:marLeft w:val="0"/>
                      <w:marRight w:val="0"/>
                      <w:marTop w:val="0"/>
                      <w:marBottom w:val="0"/>
                      <w:divBdr>
                        <w:top w:val="none" w:sz="0" w:space="0" w:color="auto"/>
                        <w:left w:val="none" w:sz="0" w:space="0" w:color="auto"/>
                        <w:bottom w:val="none" w:sz="0" w:space="0" w:color="auto"/>
                        <w:right w:val="none" w:sz="0" w:space="0" w:color="auto"/>
                      </w:divBdr>
                    </w:div>
                    <w:div w:id="202789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85224">
          <w:marLeft w:val="0"/>
          <w:marRight w:val="0"/>
          <w:marTop w:val="0"/>
          <w:marBottom w:val="0"/>
          <w:divBdr>
            <w:top w:val="none" w:sz="0" w:space="0" w:color="auto"/>
            <w:left w:val="none" w:sz="0" w:space="0" w:color="auto"/>
            <w:bottom w:val="none" w:sz="0" w:space="0" w:color="auto"/>
            <w:right w:val="none" w:sz="0" w:space="0" w:color="auto"/>
          </w:divBdr>
        </w:div>
      </w:divsChild>
    </w:div>
    <w:div w:id="1441339034">
      <w:bodyDiv w:val="1"/>
      <w:marLeft w:val="0"/>
      <w:marRight w:val="0"/>
      <w:marTop w:val="0"/>
      <w:marBottom w:val="0"/>
      <w:divBdr>
        <w:top w:val="none" w:sz="0" w:space="0" w:color="auto"/>
        <w:left w:val="none" w:sz="0" w:space="0" w:color="auto"/>
        <w:bottom w:val="none" w:sz="0" w:space="0" w:color="auto"/>
        <w:right w:val="none" w:sz="0" w:space="0" w:color="auto"/>
      </w:divBdr>
    </w:div>
    <w:div w:id="1446391916">
      <w:bodyDiv w:val="1"/>
      <w:marLeft w:val="0"/>
      <w:marRight w:val="0"/>
      <w:marTop w:val="0"/>
      <w:marBottom w:val="0"/>
      <w:divBdr>
        <w:top w:val="none" w:sz="0" w:space="0" w:color="auto"/>
        <w:left w:val="none" w:sz="0" w:space="0" w:color="auto"/>
        <w:bottom w:val="none" w:sz="0" w:space="0" w:color="auto"/>
        <w:right w:val="none" w:sz="0" w:space="0" w:color="auto"/>
      </w:divBdr>
    </w:div>
    <w:div w:id="1452629235">
      <w:bodyDiv w:val="1"/>
      <w:marLeft w:val="0"/>
      <w:marRight w:val="0"/>
      <w:marTop w:val="0"/>
      <w:marBottom w:val="0"/>
      <w:divBdr>
        <w:top w:val="none" w:sz="0" w:space="0" w:color="auto"/>
        <w:left w:val="none" w:sz="0" w:space="0" w:color="auto"/>
        <w:bottom w:val="none" w:sz="0" w:space="0" w:color="auto"/>
        <w:right w:val="none" w:sz="0" w:space="0" w:color="auto"/>
      </w:divBdr>
    </w:div>
    <w:div w:id="1457679956">
      <w:bodyDiv w:val="1"/>
      <w:marLeft w:val="0"/>
      <w:marRight w:val="0"/>
      <w:marTop w:val="0"/>
      <w:marBottom w:val="0"/>
      <w:divBdr>
        <w:top w:val="none" w:sz="0" w:space="0" w:color="auto"/>
        <w:left w:val="none" w:sz="0" w:space="0" w:color="auto"/>
        <w:bottom w:val="none" w:sz="0" w:space="0" w:color="auto"/>
        <w:right w:val="none" w:sz="0" w:space="0" w:color="auto"/>
      </w:divBdr>
    </w:div>
    <w:div w:id="1477407040">
      <w:bodyDiv w:val="1"/>
      <w:marLeft w:val="0"/>
      <w:marRight w:val="0"/>
      <w:marTop w:val="0"/>
      <w:marBottom w:val="0"/>
      <w:divBdr>
        <w:top w:val="none" w:sz="0" w:space="0" w:color="auto"/>
        <w:left w:val="none" w:sz="0" w:space="0" w:color="auto"/>
        <w:bottom w:val="none" w:sz="0" w:space="0" w:color="auto"/>
        <w:right w:val="none" w:sz="0" w:space="0" w:color="auto"/>
      </w:divBdr>
    </w:div>
    <w:div w:id="1482965498">
      <w:bodyDiv w:val="1"/>
      <w:marLeft w:val="0"/>
      <w:marRight w:val="0"/>
      <w:marTop w:val="0"/>
      <w:marBottom w:val="0"/>
      <w:divBdr>
        <w:top w:val="none" w:sz="0" w:space="0" w:color="auto"/>
        <w:left w:val="none" w:sz="0" w:space="0" w:color="auto"/>
        <w:bottom w:val="none" w:sz="0" w:space="0" w:color="auto"/>
        <w:right w:val="none" w:sz="0" w:space="0" w:color="auto"/>
      </w:divBdr>
      <w:divsChild>
        <w:div w:id="5134243">
          <w:marLeft w:val="274"/>
          <w:marRight w:val="0"/>
          <w:marTop w:val="0"/>
          <w:marBottom w:val="0"/>
          <w:divBdr>
            <w:top w:val="none" w:sz="0" w:space="0" w:color="auto"/>
            <w:left w:val="none" w:sz="0" w:space="0" w:color="auto"/>
            <w:bottom w:val="none" w:sz="0" w:space="0" w:color="auto"/>
            <w:right w:val="none" w:sz="0" w:space="0" w:color="auto"/>
          </w:divBdr>
        </w:div>
        <w:div w:id="7874163">
          <w:marLeft w:val="274"/>
          <w:marRight w:val="0"/>
          <w:marTop w:val="0"/>
          <w:marBottom w:val="0"/>
          <w:divBdr>
            <w:top w:val="none" w:sz="0" w:space="0" w:color="auto"/>
            <w:left w:val="none" w:sz="0" w:space="0" w:color="auto"/>
            <w:bottom w:val="none" w:sz="0" w:space="0" w:color="auto"/>
            <w:right w:val="none" w:sz="0" w:space="0" w:color="auto"/>
          </w:divBdr>
        </w:div>
        <w:div w:id="171843788">
          <w:marLeft w:val="274"/>
          <w:marRight w:val="0"/>
          <w:marTop w:val="0"/>
          <w:marBottom w:val="0"/>
          <w:divBdr>
            <w:top w:val="none" w:sz="0" w:space="0" w:color="auto"/>
            <w:left w:val="none" w:sz="0" w:space="0" w:color="auto"/>
            <w:bottom w:val="none" w:sz="0" w:space="0" w:color="auto"/>
            <w:right w:val="none" w:sz="0" w:space="0" w:color="auto"/>
          </w:divBdr>
        </w:div>
        <w:div w:id="830562336">
          <w:marLeft w:val="274"/>
          <w:marRight w:val="0"/>
          <w:marTop w:val="0"/>
          <w:marBottom w:val="0"/>
          <w:divBdr>
            <w:top w:val="none" w:sz="0" w:space="0" w:color="auto"/>
            <w:left w:val="none" w:sz="0" w:space="0" w:color="auto"/>
            <w:bottom w:val="none" w:sz="0" w:space="0" w:color="auto"/>
            <w:right w:val="none" w:sz="0" w:space="0" w:color="auto"/>
          </w:divBdr>
        </w:div>
        <w:div w:id="1006522533">
          <w:marLeft w:val="274"/>
          <w:marRight w:val="0"/>
          <w:marTop w:val="0"/>
          <w:marBottom w:val="0"/>
          <w:divBdr>
            <w:top w:val="none" w:sz="0" w:space="0" w:color="auto"/>
            <w:left w:val="none" w:sz="0" w:space="0" w:color="auto"/>
            <w:bottom w:val="none" w:sz="0" w:space="0" w:color="auto"/>
            <w:right w:val="none" w:sz="0" w:space="0" w:color="auto"/>
          </w:divBdr>
        </w:div>
        <w:div w:id="1390373926">
          <w:marLeft w:val="274"/>
          <w:marRight w:val="0"/>
          <w:marTop w:val="0"/>
          <w:marBottom w:val="0"/>
          <w:divBdr>
            <w:top w:val="none" w:sz="0" w:space="0" w:color="auto"/>
            <w:left w:val="none" w:sz="0" w:space="0" w:color="auto"/>
            <w:bottom w:val="none" w:sz="0" w:space="0" w:color="auto"/>
            <w:right w:val="none" w:sz="0" w:space="0" w:color="auto"/>
          </w:divBdr>
        </w:div>
        <w:div w:id="1399088669">
          <w:marLeft w:val="274"/>
          <w:marRight w:val="0"/>
          <w:marTop w:val="0"/>
          <w:marBottom w:val="0"/>
          <w:divBdr>
            <w:top w:val="none" w:sz="0" w:space="0" w:color="auto"/>
            <w:left w:val="none" w:sz="0" w:space="0" w:color="auto"/>
            <w:bottom w:val="none" w:sz="0" w:space="0" w:color="auto"/>
            <w:right w:val="none" w:sz="0" w:space="0" w:color="auto"/>
          </w:divBdr>
        </w:div>
        <w:div w:id="1407654117">
          <w:marLeft w:val="274"/>
          <w:marRight w:val="0"/>
          <w:marTop w:val="0"/>
          <w:marBottom w:val="0"/>
          <w:divBdr>
            <w:top w:val="none" w:sz="0" w:space="0" w:color="auto"/>
            <w:left w:val="none" w:sz="0" w:space="0" w:color="auto"/>
            <w:bottom w:val="none" w:sz="0" w:space="0" w:color="auto"/>
            <w:right w:val="none" w:sz="0" w:space="0" w:color="auto"/>
          </w:divBdr>
        </w:div>
        <w:div w:id="1516458409">
          <w:marLeft w:val="274"/>
          <w:marRight w:val="0"/>
          <w:marTop w:val="0"/>
          <w:marBottom w:val="0"/>
          <w:divBdr>
            <w:top w:val="none" w:sz="0" w:space="0" w:color="auto"/>
            <w:left w:val="none" w:sz="0" w:space="0" w:color="auto"/>
            <w:bottom w:val="none" w:sz="0" w:space="0" w:color="auto"/>
            <w:right w:val="none" w:sz="0" w:space="0" w:color="auto"/>
          </w:divBdr>
        </w:div>
        <w:div w:id="1814717122">
          <w:marLeft w:val="274"/>
          <w:marRight w:val="0"/>
          <w:marTop w:val="0"/>
          <w:marBottom w:val="0"/>
          <w:divBdr>
            <w:top w:val="none" w:sz="0" w:space="0" w:color="auto"/>
            <w:left w:val="none" w:sz="0" w:space="0" w:color="auto"/>
            <w:bottom w:val="none" w:sz="0" w:space="0" w:color="auto"/>
            <w:right w:val="none" w:sz="0" w:space="0" w:color="auto"/>
          </w:divBdr>
        </w:div>
      </w:divsChild>
    </w:div>
    <w:div w:id="1484009748">
      <w:bodyDiv w:val="1"/>
      <w:marLeft w:val="0"/>
      <w:marRight w:val="0"/>
      <w:marTop w:val="0"/>
      <w:marBottom w:val="0"/>
      <w:divBdr>
        <w:top w:val="none" w:sz="0" w:space="0" w:color="auto"/>
        <w:left w:val="none" w:sz="0" w:space="0" w:color="auto"/>
        <w:bottom w:val="none" w:sz="0" w:space="0" w:color="auto"/>
        <w:right w:val="none" w:sz="0" w:space="0" w:color="auto"/>
      </w:divBdr>
      <w:divsChild>
        <w:div w:id="41295466">
          <w:marLeft w:val="835"/>
          <w:marRight w:val="0"/>
          <w:marTop w:val="0"/>
          <w:marBottom w:val="0"/>
          <w:divBdr>
            <w:top w:val="none" w:sz="0" w:space="0" w:color="auto"/>
            <w:left w:val="none" w:sz="0" w:space="0" w:color="auto"/>
            <w:bottom w:val="none" w:sz="0" w:space="0" w:color="auto"/>
            <w:right w:val="none" w:sz="0" w:space="0" w:color="auto"/>
          </w:divBdr>
        </w:div>
        <w:div w:id="80107687">
          <w:marLeft w:val="835"/>
          <w:marRight w:val="0"/>
          <w:marTop w:val="0"/>
          <w:marBottom w:val="0"/>
          <w:divBdr>
            <w:top w:val="none" w:sz="0" w:space="0" w:color="auto"/>
            <w:left w:val="none" w:sz="0" w:space="0" w:color="auto"/>
            <w:bottom w:val="none" w:sz="0" w:space="0" w:color="auto"/>
            <w:right w:val="none" w:sz="0" w:space="0" w:color="auto"/>
          </w:divBdr>
        </w:div>
      </w:divsChild>
    </w:div>
    <w:div w:id="1525748612">
      <w:bodyDiv w:val="1"/>
      <w:marLeft w:val="0"/>
      <w:marRight w:val="0"/>
      <w:marTop w:val="0"/>
      <w:marBottom w:val="0"/>
      <w:divBdr>
        <w:top w:val="none" w:sz="0" w:space="0" w:color="auto"/>
        <w:left w:val="none" w:sz="0" w:space="0" w:color="auto"/>
        <w:bottom w:val="none" w:sz="0" w:space="0" w:color="auto"/>
        <w:right w:val="none" w:sz="0" w:space="0" w:color="auto"/>
      </w:divBdr>
    </w:div>
    <w:div w:id="1528640573">
      <w:bodyDiv w:val="1"/>
      <w:marLeft w:val="0"/>
      <w:marRight w:val="0"/>
      <w:marTop w:val="0"/>
      <w:marBottom w:val="0"/>
      <w:divBdr>
        <w:top w:val="none" w:sz="0" w:space="0" w:color="auto"/>
        <w:left w:val="none" w:sz="0" w:space="0" w:color="auto"/>
        <w:bottom w:val="none" w:sz="0" w:space="0" w:color="auto"/>
        <w:right w:val="none" w:sz="0" w:space="0" w:color="auto"/>
      </w:divBdr>
    </w:div>
    <w:div w:id="1533955737">
      <w:bodyDiv w:val="1"/>
      <w:marLeft w:val="0"/>
      <w:marRight w:val="0"/>
      <w:marTop w:val="0"/>
      <w:marBottom w:val="0"/>
      <w:divBdr>
        <w:top w:val="none" w:sz="0" w:space="0" w:color="auto"/>
        <w:left w:val="none" w:sz="0" w:space="0" w:color="auto"/>
        <w:bottom w:val="none" w:sz="0" w:space="0" w:color="auto"/>
        <w:right w:val="none" w:sz="0" w:space="0" w:color="auto"/>
      </w:divBdr>
    </w:div>
    <w:div w:id="1568690865">
      <w:bodyDiv w:val="1"/>
      <w:marLeft w:val="0"/>
      <w:marRight w:val="0"/>
      <w:marTop w:val="0"/>
      <w:marBottom w:val="0"/>
      <w:divBdr>
        <w:top w:val="none" w:sz="0" w:space="0" w:color="auto"/>
        <w:left w:val="none" w:sz="0" w:space="0" w:color="auto"/>
        <w:bottom w:val="none" w:sz="0" w:space="0" w:color="auto"/>
        <w:right w:val="none" w:sz="0" w:space="0" w:color="auto"/>
      </w:divBdr>
    </w:div>
    <w:div w:id="1570072216">
      <w:bodyDiv w:val="1"/>
      <w:marLeft w:val="0"/>
      <w:marRight w:val="0"/>
      <w:marTop w:val="0"/>
      <w:marBottom w:val="0"/>
      <w:divBdr>
        <w:top w:val="none" w:sz="0" w:space="0" w:color="auto"/>
        <w:left w:val="none" w:sz="0" w:space="0" w:color="auto"/>
        <w:bottom w:val="none" w:sz="0" w:space="0" w:color="auto"/>
        <w:right w:val="none" w:sz="0" w:space="0" w:color="auto"/>
      </w:divBdr>
    </w:div>
    <w:div w:id="1571427918">
      <w:bodyDiv w:val="1"/>
      <w:marLeft w:val="0"/>
      <w:marRight w:val="0"/>
      <w:marTop w:val="0"/>
      <w:marBottom w:val="0"/>
      <w:divBdr>
        <w:top w:val="none" w:sz="0" w:space="0" w:color="auto"/>
        <w:left w:val="none" w:sz="0" w:space="0" w:color="auto"/>
        <w:bottom w:val="none" w:sz="0" w:space="0" w:color="auto"/>
        <w:right w:val="none" w:sz="0" w:space="0" w:color="auto"/>
      </w:divBdr>
    </w:div>
    <w:div w:id="1616209002">
      <w:bodyDiv w:val="1"/>
      <w:marLeft w:val="0"/>
      <w:marRight w:val="0"/>
      <w:marTop w:val="0"/>
      <w:marBottom w:val="0"/>
      <w:divBdr>
        <w:top w:val="none" w:sz="0" w:space="0" w:color="auto"/>
        <w:left w:val="none" w:sz="0" w:space="0" w:color="auto"/>
        <w:bottom w:val="none" w:sz="0" w:space="0" w:color="auto"/>
        <w:right w:val="none" w:sz="0" w:space="0" w:color="auto"/>
      </w:divBdr>
    </w:div>
    <w:div w:id="1643851427">
      <w:bodyDiv w:val="1"/>
      <w:marLeft w:val="0"/>
      <w:marRight w:val="0"/>
      <w:marTop w:val="0"/>
      <w:marBottom w:val="0"/>
      <w:divBdr>
        <w:top w:val="none" w:sz="0" w:space="0" w:color="auto"/>
        <w:left w:val="none" w:sz="0" w:space="0" w:color="auto"/>
        <w:bottom w:val="none" w:sz="0" w:space="0" w:color="auto"/>
        <w:right w:val="none" w:sz="0" w:space="0" w:color="auto"/>
      </w:divBdr>
    </w:div>
    <w:div w:id="1684042467">
      <w:bodyDiv w:val="1"/>
      <w:marLeft w:val="0"/>
      <w:marRight w:val="0"/>
      <w:marTop w:val="0"/>
      <w:marBottom w:val="0"/>
      <w:divBdr>
        <w:top w:val="none" w:sz="0" w:space="0" w:color="auto"/>
        <w:left w:val="none" w:sz="0" w:space="0" w:color="auto"/>
        <w:bottom w:val="none" w:sz="0" w:space="0" w:color="auto"/>
        <w:right w:val="none" w:sz="0" w:space="0" w:color="auto"/>
      </w:divBdr>
    </w:div>
    <w:div w:id="1729567156">
      <w:bodyDiv w:val="1"/>
      <w:marLeft w:val="0"/>
      <w:marRight w:val="0"/>
      <w:marTop w:val="0"/>
      <w:marBottom w:val="0"/>
      <w:divBdr>
        <w:top w:val="none" w:sz="0" w:space="0" w:color="auto"/>
        <w:left w:val="none" w:sz="0" w:space="0" w:color="auto"/>
        <w:bottom w:val="none" w:sz="0" w:space="0" w:color="auto"/>
        <w:right w:val="none" w:sz="0" w:space="0" w:color="auto"/>
      </w:divBdr>
    </w:div>
    <w:div w:id="1735854239">
      <w:bodyDiv w:val="1"/>
      <w:marLeft w:val="0"/>
      <w:marRight w:val="0"/>
      <w:marTop w:val="0"/>
      <w:marBottom w:val="0"/>
      <w:divBdr>
        <w:top w:val="none" w:sz="0" w:space="0" w:color="auto"/>
        <w:left w:val="none" w:sz="0" w:space="0" w:color="auto"/>
        <w:bottom w:val="none" w:sz="0" w:space="0" w:color="auto"/>
        <w:right w:val="none" w:sz="0" w:space="0" w:color="auto"/>
      </w:divBdr>
    </w:div>
    <w:div w:id="1760247495">
      <w:bodyDiv w:val="1"/>
      <w:marLeft w:val="0"/>
      <w:marRight w:val="0"/>
      <w:marTop w:val="0"/>
      <w:marBottom w:val="0"/>
      <w:divBdr>
        <w:top w:val="none" w:sz="0" w:space="0" w:color="auto"/>
        <w:left w:val="none" w:sz="0" w:space="0" w:color="auto"/>
        <w:bottom w:val="none" w:sz="0" w:space="0" w:color="auto"/>
        <w:right w:val="none" w:sz="0" w:space="0" w:color="auto"/>
      </w:divBdr>
    </w:div>
    <w:div w:id="1780831625">
      <w:bodyDiv w:val="1"/>
      <w:marLeft w:val="0"/>
      <w:marRight w:val="0"/>
      <w:marTop w:val="0"/>
      <w:marBottom w:val="0"/>
      <w:divBdr>
        <w:top w:val="none" w:sz="0" w:space="0" w:color="auto"/>
        <w:left w:val="none" w:sz="0" w:space="0" w:color="auto"/>
        <w:bottom w:val="none" w:sz="0" w:space="0" w:color="auto"/>
        <w:right w:val="none" w:sz="0" w:space="0" w:color="auto"/>
      </w:divBdr>
    </w:div>
    <w:div w:id="1817338119">
      <w:bodyDiv w:val="1"/>
      <w:marLeft w:val="0"/>
      <w:marRight w:val="0"/>
      <w:marTop w:val="0"/>
      <w:marBottom w:val="0"/>
      <w:divBdr>
        <w:top w:val="none" w:sz="0" w:space="0" w:color="auto"/>
        <w:left w:val="none" w:sz="0" w:space="0" w:color="auto"/>
        <w:bottom w:val="none" w:sz="0" w:space="0" w:color="auto"/>
        <w:right w:val="none" w:sz="0" w:space="0" w:color="auto"/>
      </w:divBdr>
    </w:div>
    <w:div w:id="1850682736">
      <w:bodyDiv w:val="1"/>
      <w:marLeft w:val="0"/>
      <w:marRight w:val="0"/>
      <w:marTop w:val="0"/>
      <w:marBottom w:val="0"/>
      <w:divBdr>
        <w:top w:val="none" w:sz="0" w:space="0" w:color="auto"/>
        <w:left w:val="none" w:sz="0" w:space="0" w:color="auto"/>
        <w:bottom w:val="none" w:sz="0" w:space="0" w:color="auto"/>
        <w:right w:val="none" w:sz="0" w:space="0" w:color="auto"/>
      </w:divBdr>
    </w:div>
    <w:div w:id="1891919976">
      <w:bodyDiv w:val="1"/>
      <w:marLeft w:val="0"/>
      <w:marRight w:val="0"/>
      <w:marTop w:val="0"/>
      <w:marBottom w:val="0"/>
      <w:divBdr>
        <w:top w:val="none" w:sz="0" w:space="0" w:color="auto"/>
        <w:left w:val="none" w:sz="0" w:space="0" w:color="auto"/>
        <w:bottom w:val="none" w:sz="0" w:space="0" w:color="auto"/>
        <w:right w:val="none" w:sz="0" w:space="0" w:color="auto"/>
      </w:divBdr>
      <w:divsChild>
        <w:div w:id="1098990636">
          <w:marLeft w:val="835"/>
          <w:marRight w:val="0"/>
          <w:marTop w:val="0"/>
          <w:marBottom w:val="0"/>
          <w:divBdr>
            <w:top w:val="none" w:sz="0" w:space="0" w:color="auto"/>
            <w:left w:val="none" w:sz="0" w:space="0" w:color="auto"/>
            <w:bottom w:val="none" w:sz="0" w:space="0" w:color="auto"/>
            <w:right w:val="none" w:sz="0" w:space="0" w:color="auto"/>
          </w:divBdr>
        </w:div>
      </w:divsChild>
    </w:div>
    <w:div w:id="1898123358">
      <w:bodyDiv w:val="1"/>
      <w:marLeft w:val="0"/>
      <w:marRight w:val="0"/>
      <w:marTop w:val="0"/>
      <w:marBottom w:val="0"/>
      <w:divBdr>
        <w:top w:val="none" w:sz="0" w:space="0" w:color="auto"/>
        <w:left w:val="none" w:sz="0" w:space="0" w:color="auto"/>
        <w:bottom w:val="none" w:sz="0" w:space="0" w:color="auto"/>
        <w:right w:val="none" w:sz="0" w:space="0" w:color="auto"/>
      </w:divBdr>
    </w:div>
    <w:div w:id="1898543622">
      <w:bodyDiv w:val="1"/>
      <w:marLeft w:val="0"/>
      <w:marRight w:val="0"/>
      <w:marTop w:val="0"/>
      <w:marBottom w:val="0"/>
      <w:divBdr>
        <w:top w:val="none" w:sz="0" w:space="0" w:color="auto"/>
        <w:left w:val="none" w:sz="0" w:space="0" w:color="auto"/>
        <w:bottom w:val="none" w:sz="0" w:space="0" w:color="auto"/>
        <w:right w:val="none" w:sz="0" w:space="0" w:color="auto"/>
      </w:divBdr>
    </w:div>
    <w:div w:id="1903364557">
      <w:bodyDiv w:val="1"/>
      <w:marLeft w:val="0"/>
      <w:marRight w:val="0"/>
      <w:marTop w:val="0"/>
      <w:marBottom w:val="0"/>
      <w:divBdr>
        <w:top w:val="none" w:sz="0" w:space="0" w:color="auto"/>
        <w:left w:val="none" w:sz="0" w:space="0" w:color="auto"/>
        <w:bottom w:val="none" w:sz="0" w:space="0" w:color="auto"/>
        <w:right w:val="none" w:sz="0" w:space="0" w:color="auto"/>
      </w:divBdr>
    </w:div>
    <w:div w:id="1906140232">
      <w:bodyDiv w:val="1"/>
      <w:marLeft w:val="0"/>
      <w:marRight w:val="0"/>
      <w:marTop w:val="0"/>
      <w:marBottom w:val="0"/>
      <w:divBdr>
        <w:top w:val="none" w:sz="0" w:space="0" w:color="auto"/>
        <w:left w:val="none" w:sz="0" w:space="0" w:color="auto"/>
        <w:bottom w:val="none" w:sz="0" w:space="0" w:color="auto"/>
        <w:right w:val="none" w:sz="0" w:space="0" w:color="auto"/>
      </w:divBdr>
    </w:div>
    <w:div w:id="1926920059">
      <w:bodyDiv w:val="1"/>
      <w:marLeft w:val="0"/>
      <w:marRight w:val="0"/>
      <w:marTop w:val="0"/>
      <w:marBottom w:val="0"/>
      <w:divBdr>
        <w:top w:val="none" w:sz="0" w:space="0" w:color="auto"/>
        <w:left w:val="none" w:sz="0" w:space="0" w:color="auto"/>
        <w:bottom w:val="none" w:sz="0" w:space="0" w:color="auto"/>
        <w:right w:val="none" w:sz="0" w:space="0" w:color="auto"/>
      </w:divBdr>
    </w:div>
    <w:div w:id="1935817678">
      <w:bodyDiv w:val="1"/>
      <w:marLeft w:val="0"/>
      <w:marRight w:val="0"/>
      <w:marTop w:val="0"/>
      <w:marBottom w:val="0"/>
      <w:divBdr>
        <w:top w:val="none" w:sz="0" w:space="0" w:color="auto"/>
        <w:left w:val="none" w:sz="0" w:space="0" w:color="auto"/>
        <w:bottom w:val="none" w:sz="0" w:space="0" w:color="auto"/>
        <w:right w:val="none" w:sz="0" w:space="0" w:color="auto"/>
      </w:divBdr>
    </w:div>
    <w:div w:id="1939825851">
      <w:bodyDiv w:val="1"/>
      <w:marLeft w:val="0"/>
      <w:marRight w:val="0"/>
      <w:marTop w:val="0"/>
      <w:marBottom w:val="0"/>
      <w:divBdr>
        <w:top w:val="none" w:sz="0" w:space="0" w:color="auto"/>
        <w:left w:val="none" w:sz="0" w:space="0" w:color="auto"/>
        <w:bottom w:val="none" w:sz="0" w:space="0" w:color="auto"/>
        <w:right w:val="none" w:sz="0" w:space="0" w:color="auto"/>
      </w:divBdr>
    </w:div>
    <w:div w:id="1956213737">
      <w:bodyDiv w:val="1"/>
      <w:marLeft w:val="0"/>
      <w:marRight w:val="0"/>
      <w:marTop w:val="0"/>
      <w:marBottom w:val="0"/>
      <w:divBdr>
        <w:top w:val="none" w:sz="0" w:space="0" w:color="auto"/>
        <w:left w:val="none" w:sz="0" w:space="0" w:color="auto"/>
        <w:bottom w:val="none" w:sz="0" w:space="0" w:color="auto"/>
        <w:right w:val="none" w:sz="0" w:space="0" w:color="auto"/>
      </w:divBdr>
    </w:div>
    <w:div w:id="1956717557">
      <w:bodyDiv w:val="1"/>
      <w:marLeft w:val="0"/>
      <w:marRight w:val="0"/>
      <w:marTop w:val="0"/>
      <w:marBottom w:val="0"/>
      <w:divBdr>
        <w:top w:val="none" w:sz="0" w:space="0" w:color="auto"/>
        <w:left w:val="none" w:sz="0" w:space="0" w:color="auto"/>
        <w:bottom w:val="none" w:sz="0" w:space="0" w:color="auto"/>
        <w:right w:val="none" w:sz="0" w:space="0" w:color="auto"/>
      </w:divBdr>
    </w:div>
    <w:div w:id="1974021882">
      <w:bodyDiv w:val="1"/>
      <w:marLeft w:val="0"/>
      <w:marRight w:val="0"/>
      <w:marTop w:val="0"/>
      <w:marBottom w:val="0"/>
      <w:divBdr>
        <w:top w:val="none" w:sz="0" w:space="0" w:color="auto"/>
        <w:left w:val="none" w:sz="0" w:space="0" w:color="auto"/>
        <w:bottom w:val="none" w:sz="0" w:space="0" w:color="auto"/>
        <w:right w:val="none" w:sz="0" w:space="0" w:color="auto"/>
      </w:divBdr>
    </w:div>
    <w:div w:id="1993830840">
      <w:bodyDiv w:val="1"/>
      <w:marLeft w:val="0"/>
      <w:marRight w:val="0"/>
      <w:marTop w:val="0"/>
      <w:marBottom w:val="0"/>
      <w:divBdr>
        <w:top w:val="none" w:sz="0" w:space="0" w:color="auto"/>
        <w:left w:val="none" w:sz="0" w:space="0" w:color="auto"/>
        <w:bottom w:val="none" w:sz="0" w:space="0" w:color="auto"/>
        <w:right w:val="none" w:sz="0" w:space="0" w:color="auto"/>
      </w:divBdr>
    </w:div>
    <w:div w:id="1999110330">
      <w:bodyDiv w:val="1"/>
      <w:marLeft w:val="0"/>
      <w:marRight w:val="0"/>
      <w:marTop w:val="0"/>
      <w:marBottom w:val="0"/>
      <w:divBdr>
        <w:top w:val="none" w:sz="0" w:space="0" w:color="auto"/>
        <w:left w:val="none" w:sz="0" w:space="0" w:color="auto"/>
        <w:bottom w:val="none" w:sz="0" w:space="0" w:color="auto"/>
        <w:right w:val="none" w:sz="0" w:space="0" w:color="auto"/>
      </w:divBdr>
    </w:div>
    <w:div w:id="2004696990">
      <w:bodyDiv w:val="1"/>
      <w:marLeft w:val="0"/>
      <w:marRight w:val="0"/>
      <w:marTop w:val="0"/>
      <w:marBottom w:val="0"/>
      <w:divBdr>
        <w:top w:val="none" w:sz="0" w:space="0" w:color="auto"/>
        <w:left w:val="none" w:sz="0" w:space="0" w:color="auto"/>
        <w:bottom w:val="none" w:sz="0" w:space="0" w:color="auto"/>
        <w:right w:val="none" w:sz="0" w:space="0" w:color="auto"/>
      </w:divBdr>
    </w:div>
    <w:div w:id="2021882617">
      <w:bodyDiv w:val="1"/>
      <w:marLeft w:val="0"/>
      <w:marRight w:val="0"/>
      <w:marTop w:val="0"/>
      <w:marBottom w:val="0"/>
      <w:divBdr>
        <w:top w:val="none" w:sz="0" w:space="0" w:color="auto"/>
        <w:left w:val="none" w:sz="0" w:space="0" w:color="auto"/>
        <w:bottom w:val="none" w:sz="0" w:space="0" w:color="auto"/>
        <w:right w:val="none" w:sz="0" w:space="0" w:color="auto"/>
      </w:divBdr>
    </w:div>
    <w:div w:id="2041121690">
      <w:bodyDiv w:val="1"/>
      <w:marLeft w:val="0"/>
      <w:marRight w:val="0"/>
      <w:marTop w:val="0"/>
      <w:marBottom w:val="0"/>
      <w:divBdr>
        <w:top w:val="none" w:sz="0" w:space="0" w:color="auto"/>
        <w:left w:val="none" w:sz="0" w:space="0" w:color="auto"/>
        <w:bottom w:val="none" w:sz="0" w:space="0" w:color="auto"/>
        <w:right w:val="none" w:sz="0" w:space="0" w:color="auto"/>
      </w:divBdr>
      <w:divsChild>
        <w:div w:id="195310078">
          <w:marLeft w:val="274"/>
          <w:marRight w:val="0"/>
          <w:marTop w:val="0"/>
          <w:marBottom w:val="0"/>
          <w:divBdr>
            <w:top w:val="none" w:sz="0" w:space="0" w:color="auto"/>
            <w:left w:val="none" w:sz="0" w:space="0" w:color="auto"/>
            <w:bottom w:val="none" w:sz="0" w:space="0" w:color="auto"/>
            <w:right w:val="none" w:sz="0" w:space="0" w:color="auto"/>
          </w:divBdr>
        </w:div>
        <w:div w:id="196890536">
          <w:marLeft w:val="274"/>
          <w:marRight w:val="0"/>
          <w:marTop w:val="0"/>
          <w:marBottom w:val="0"/>
          <w:divBdr>
            <w:top w:val="none" w:sz="0" w:space="0" w:color="auto"/>
            <w:left w:val="none" w:sz="0" w:space="0" w:color="auto"/>
            <w:bottom w:val="none" w:sz="0" w:space="0" w:color="auto"/>
            <w:right w:val="none" w:sz="0" w:space="0" w:color="auto"/>
          </w:divBdr>
        </w:div>
        <w:div w:id="567686591">
          <w:marLeft w:val="274"/>
          <w:marRight w:val="0"/>
          <w:marTop w:val="0"/>
          <w:marBottom w:val="0"/>
          <w:divBdr>
            <w:top w:val="none" w:sz="0" w:space="0" w:color="auto"/>
            <w:left w:val="none" w:sz="0" w:space="0" w:color="auto"/>
            <w:bottom w:val="none" w:sz="0" w:space="0" w:color="auto"/>
            <w:right w:val="none" w:sz="0" w:space="0" w:color="auto"/>
          </w:divBdr>
        </w:div>
        <w:div w:id="1381898054">
          <w:marLeft w:val="274"/>
          <w:marRight w:val="0"/>
          <w:marTop w:val="0"/>
          <w:marBottom w:val="0"/>
          <w:divBdr>
            <w:top w:val="none" w:sz="0" w:space="0" w:color="auto"/>
            <w:left w:val="none" w:sz="0" w:space="0" w:color="auto"/>
            <w:bottom w:val="none" w:sz="0" w:space="0" w:color="auto"/>
            <w:right w:val="none" w:sz="0" w:space="0" w:color="auto"/>
          </w:divBdr>
        </w:div>
        <w:div w:id="1546865426">
          <w:marLeft w:val="274"/>
          <w:marRight w:val="0"/>
          <w:marTop w:val="0"/>
          <w:marBottom w:val="0"/>
          <w:divBdr>
            <w:top w:val="none" w:sz="0" w:space="0" w:color="auto"/>
            <w:left w:val="none" w:sz="0" w:space="0" w:color="auto"/>
            <w:bottom w:val="none" w:sz="0" w:space="0" w:color="auto"/>
            <w:right w:val="none" w:sz="0" w:space="0" w:color="auto"/>
          </w:divBdr>
        </w:div>
        <w:div w:id="1605263279">
          <w:marLeft w:val="274"/>
          <w:marRight w:val="0"/>
          <w:marTop w:val="0"/>
          <w:marBottom w:val="0"/>
          <w:divBdr>
            <w:top w:val="none" w:sz="0" w:space="0" w:color="auto"/>
            <w:left w:val="none" w:sz="0" w:space="0" w:color="auto"/>
            <w:bottom w:val="none" w:sz="0" w:space="0" w:color="auto"/>
            <w:right w:val="none" w:sz="0" w:space="0" w:color="auto"/>
          </w:divBdr>
        </w:div>
        <w:div w:id="1944874492">
          <w:marLeft w:val="274"/>
          <w:marRight w:val="0"/>
          <w:marTop w:val="0"/>
          <w:marBottom w:val="0"/>
          <w:divBdr>
            <w:top w:val="none" w:sz="0" w:space="0" w:color="auto"/>
            <w:left w:val="none" w:sz="0" w:space="0" w:color="auto"/>
            <w:bottom w:val="none" w:sz="0" w:space="0" w:color="auto"/>
            <w:right w:val="none" w:sz="0" w:space="0" w:color="auto"/>
          </w:divBdr>
        </w:div>
        <w:div w:id="1953590513">
          <w:marLeft w:val="274"/>
          <w:marRight w:val="0"/>
          <w:marTop w:val="0"/>
          <w:marBottom w:val="0"/>
          <w:divBdr>
            <w:top w:val="none" w:sz="0" w:space="0" w:color="auto"/>
            <w:left w:val="none" w:sz="0" w:space="0" w:color="auto"/>
            <w:bottom w:val="none" w:sz="0" w:space="0" w:color="auto"/>
            <w:right w:val="none" w:sz="0" w:space="0" w:color="auto"/>
          </w:divBdr>
        </w:div>
        <w:div w:id="2064327485">
          <w:marLeft w:val="274"/>
          <w:marRight w:val="0"/>
          <w:marTop w:val="0"/>
          <w:marBottom w:val="0"/>
          <w:divBdr>
            <w:top w:val="none" w:sz="0" w:space="0" w:color="auto"/>
            <w:left w:val="none" w:sz="0" w:space="0" w:color="auto"/>
            <w:bottom w:val="none" w:sz="0" w:space="0" w:color="auto"/>
            <w:right w:val="none" w:sz="0" w:space="0" w:color="auto"/>
          </w:divBdr>
        </w:div>
      </w:divsChild>
    </w:div>
    <w:div w:id="2047639361">
      <w:bodyDiv w:val="1"/>
      <w:marLeft w:val="0"/>
      <w:marRight w:val="0"/>
      <w:marTop w:val="0"/>
      <w:marBottom w:val="0"/>
      <w:divBdr>
        <w:top w:val="none" w:sz="0" w:space="0" w:color="auto"/>
        <w:left w:val="none" w:sz="0" w:space="0" w:color="auto"/>
        <w:bottom w:val="none" w:sz="0" w:space="0" w:color="auto"/>
        <w:right w:val="none" w:sz="0" w:space="0" w:color="auto"/>
      </w:divBdr>
    </w:div>
    <w:div w:id="2073041237">
      <w:bodyDiv w:val="1"/>
      <w:marLeft w:val="0"/>
      <w:marRight w:val="0"/>
      <w:marTop w:val="0"/>
      <w:marBottom w:val="0"/>
      <w:divBdr>
        <w:top w:val="none" w:sz="0" w:space="0" w:color="auto"/>
        <w:left w:val="none" w:sz="0" w:space="0" w:color="auto"/>
        <w:bottom w:val="none" w:sz="0" w:space="0" w:color="auto"/>
        <w:right w:val="none" w:sz="0" w:space="0" w:color="auto"/>
      </w:divBdr>
    </w:div>
    <w:div w:id="2090077398">
      <w:bodyDiv w:val="1"/>
      <w:marLeft w:val="0"/>
      <w:marRight w:val="0"/>
      <w:marTop w:val="0"/>
      <w:marBottom w:val="0"/>
      <w:divBdr>
        <w:top w:val="none" w:sz="0" w:space="0" w:color="auto"/>
        <w:left w:val="none" w:sz="0" w:space="0" w:color="auto"/>
        <w:bottom w:val="none" w:sz="0" w:space="0" w:color="auto"/>
        <w:right w:val="none" w:sz="0" w:space="0" w:color="auto"/>
      </w:divBdr>
    </w:div>
    <w:div w:id="2111654249">
      <w:bodyDiv w:val="1"/>
      <w:marLeft w:val="0"/>
      <w:marRight w:val="0"/>
      <w:marTop w:val="0"/>
      <w:marBottom w:val="0"/>
      <w:divBdr>
        <w:top w:val="none" w:sz="0" w:space="0" w:color="auto"/>
        <w:left w:val="none" w:sz="0" w:space="0" w:color="auto"/>
        <w:bottom w:val="none" w:sz="0" w:space="0" w:color="auto"/>
        <w:right w:val="none" w:sz="0" w:space="0" w:color="auto"/>
      </w:divBdr>
    </w:div>
    <w:div w:id="2114548277">
      <w:bodyDiv w:val="1"/>
      <w:marLeft w:val="0"/>
      <w:marRight w:val="0"/>
      <w:marTop w:val="0"/>
      <w:marBottom w:val="0"/>
      <w:divBdr>
        <w:top w:val="none" w:sz="0" w:space="0" w:color="auto"/>
        <w:left w:val="none" w:sz="0" w:space="0" w:color="auto"/>
        <w:bottom w:val="none" w:sz="0" w:space="0" w:color="auto"/>
        <w:right w:val="none" w:sz="0" w:space="0" w:color="auto"/>
      </w:divBdr>
    </w:div>
    <w:div w:id="2121869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117" Type="http://schemas.openxmlformats.org/officeDocument/2006/relationships/image" Target="media/image49.emf"/><Relationship Id="rId21" Type="http://schemas.openxmlformats.org/officeDocument/2006/relationships/header" Target="header5.xml"/><Relationship Id="rId42" Type="http://schemas.openxmlformats.org/officeDocument/2006/relationships/image" Target="media/image20.emf"/><Relationship Id="rId47" Type="http://schemas.openxmlformats.org/officeDocument/2006/relationships/package" Target="embeddings/Microsoft_Visio_Drawing2.vsdx"/><Relationship Id="rId63" Type="http://schemas.openxmlformats.org/officeDocument/2006/relationships/image" Target="media/image31.emf"/><Relationship Id="rId68" Type="http://schemas.openxmlformats.org/officeDocument/2006/relationships/image" Target="media/image32.emf"/><Relationship Id="rId84" Type="http://schemas.openxmlformats.org/officeDocument/2006/relationships/package" Target="embeddings/Microsoft_Visio_Drawing7.vsdx"/><Relationship Id="rId89" Type="http://schemas.openxmlformats.org/officeDocument/2006/relationships/footer" Target="footer17.xml"/><Relationship Id="rId112" Type="http://schemas.openxmlformats.org/officeDocument/2006/relationships/image" Target="media/image48.png"/><Relationship Id="rId16" Type="http://schemas.openxmlformats.org/officeDocument/2006/relationships/footer" Target="footer5.xml"/><Relationship Id="rId107" Type="http://schemas.openxmlformats.org/officeDocument/2006/relationships/footer" Target="footer22.xml"/><Relationship Id="rId11" Type="http://schemas.openxmlformats.org/officeDocument/2006/relationships/footer" Target="footer1.xml"/><Relationship Id="rId32" Type="http://schemas.openxmlformats.org/officeDocument/2006/relationships/image" Target="media/image11.emf"/><Relationship Id="rId37" Type="http://schemas.openxmlformats.org/officeDocument/2006/relationships/image" Target="media/image16.emf"/><Relationship Id="rId53" Type="http://schemas.openxmlformats.org/officeDocument/2006/relationships/package" Target="embeddings/Microsoft_Visio_Drawing3.vsdx"/><Relationship Id="rId58" Type="http://schemas.openxmlformats.org/officeDocument/2006/relationships/footer" Target="footer9.xml"/><Relationship Id="rId74" Type="http://schemas.openxmlformats.org/officeDocument/2006/relationships/image" Target="media/image34.emf"/><Relationship Id="rId79" Type="http://schemas.openxmlformats.org/officeDocument/2006/relationships/header" Target="header15.xml"/><Relationship Id="rId102" Type="http://schemas.openxmlformats.org/officeDocument/2006/relationships/header" Target="header20.xml"/><Relationship Id="rId123" Type="http://schemas.openxmlformats.org/officeDocument/2006/relationships/header" Target="header27.xml"/><Relationship Id="rId128" Type="http://schemas.openxmlformats.org/officeDocument/2006/relationships/theme" Target="theme/theme1.xml"/><Relationship Id="rId5" Type="http://schemas.openxmlformats.org/officeDocument/2006/relationships/styles" Target="styles.xml"/><Relationship Id="rId90" Type="http://schemas.openxmlformats.org/officeDocument/2006/relationships/image" Target="media/image40.emf"/><Relationship Id="rId95" Type="http://schemas.openxmlformats.org/officeDocument/2006/relationships/image" Target="media/image41.emf"/><Relationship Id="rId22" Type="http://schemas.openxmlformats.org/officeDocument/2006/relationships/footer" Target="footer7.xml"/><Relationship Id="rId27" Type="http://schemas.openxmlformats.org/officeDocument/2006/relationships/image" Target="media/image7.emf"/><Relationship Id="rId43" Type="http://schemas.openxmlformats.org/officeDocument/2006/relationships/image" Target="media/image21.emf"/><Relationship Id="rId48" Type="http://schemas.openxmlformats.org/officeDocument/2006/relationships/image" Target="media/image25.png"/><Relationship Id="rId64" Type="http://schemas.openxmlformats.org/officeDocument/2006/relationships/package" Target="embeddings/Microsoft_Visio_Drawing4.vsdx"/><Relationship Id="rId69" Type="http://schemas.openxmlformats.org/officeDocument/2006/relationships/header" Target="header12.xml"/><Relationship Id="rId113" Type="http://schemas.openxmlformats.org/officeDocument/2006/relationships/header" Target="header24.xml"/><Relationship Id="rId118" Type="http://schemas.openxmlformats.org/officeDocument/2006/relationships/package" Target="embeddings/Microsoft_Visio_Drawing10.vsdx"/><Relationship Id="rId80" Type="http://schemas.openxmlformats.org/officeDocument/2006/relationships/footer" Target="footer15.xml"/><Relationship Id="rId85" Type="http://schemas.openxmlformats.org/officeDocument/2006/relationships/image" Target="media/image39.emf"/><Relationship Id="rId12" Type="http://schemas.openxmlformats.org/officeDocument/2006/relationships/footer" Target="footer2.xml"/><Relationship Id="rId17" Type="http://schemas.openxmlformats.org/officeDocument/2006/relationships/header" Target="header3.xml"/><Relationship Id="rId33" Type="http://schemas.openxmlformats.org/officeDocument/2006/relationships/image" Target="media/image12.emf"/><Relationship Id="rId38" Type="http://schemas.openxmlformats.org/officeDocument/2006/relationships/image" Target="media/image17.emf"/><Relationship Id="rId59" Type="http://schemas.openxmlformats.org/officeDocument/2006/relationships/header" Target="header8.xml"/><Relationship Id="rId103" Type="http://schemas.openxmlformats.org/officeDocument/2006/relationships/footer" Target="footer20.xml"/><Relationship Id="rId108" Type="http://schemas.openxmlformats.org/officeDocument/2006/relationships/header" Target="header23.xml"/><Relationship Id="rId124" Type="http://schemas.openxmlformats.org/officeDocument/2006/relationships/footer" Target="footer27.xml"/><Relationship Id="rId54" Type="http://schemas.openxmlformats.org/officeDocument/2006/relationships/image" Target="media/image30.png"/><Relationship Id="rId70" Type="http://schemas.openxmlformats.org/officeDocument/2006/relationships/footer" Target="footer13.xml"/><Relationship Id="rId75" Type="http://schemas.openxmlformats.org/officeDocument/2006/relationships/image" Target="media/image35.png"/><Relationship Id="rId91" Type="http://schemas.openxmlformats.org/officeDocument/2006/relationships/header" Target="header18.xml"/><Relationship Id="rId96"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3.png"/><Relationship Id="rId28" Type="http://schemas.openxmlformats.org/officeDocument/2006/relationships/image" Target="media/image8.emf"/><Relationship Id="rId49" Type="http://schemas.openxmlformats.org/officeDocument/2006/relationships/image" Target="media/image26.PNG"/><Relationship Id="rId114" Type="http://schemas.openxmlformats.org/officeDocument/2006/relationships/footer" Target="footer24.xml"/><Relationship Id="rId119" Type="http://schemas.openxmlformats.org/officeDocument/2006/relationships/image" Target="media/image50.emf"/><Relationship Id="rId44" Type="http://schemas.openxmlformats.org/officeDocument/2006/relationships/image" Target="media/image22.emf"/><Relationship Id="rId60" Type="http://schemas.openxmlformats.org/officeDocument/2006/relationships/footer" Target="footer10.xml"/><Relationship Id="rId65" Type="http://schemas.openxmlformats.org/officeDocument/2006/relationships/header" Target="header10.xml"/><Relationship Id="rId81" Type="http://schemas.openxmlformats.org/officeDocument/2006/relationships/image" Target="media/image37.emf"/><Relationship Id="rId86" Type="http://schemas.openxmlformats.org/officeDocument/2006/relationships/header" Target="header16.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package" Target="embeddings/Microsoft_Visio_Drawing1.vsdx"/><Relationship Id="rId109" Type="http://schemas.openxmlformats.org/officeDocument/2006/relationships/footer" Target="footer23.xml"/><Relationship Id="rId34" Type="http://schemas.openxmlformats.org/officeDocument/2006/relationships/image" Target="media/image13.emf"/><Relationship Id="rId50" Type="http://schemas.openxmlformats.org/officeDocument/2006/relationships/image" Target="media/image27.PNG"/><Relationship Id="rId55" Type="http://schemas.openxmlformats.org/officeDocument/2006/relationships/header" Target="header6.xml"/><Relationship Id="rId76" Type="http://schemas.openxmlformats.org/officeDocument/2006/relationships/image" Target="media/image36.png"/><Relationship Id="rId97" Type="http://schemas.openxmlformats.org/officeDocument/2006/relationships/image" Target="media/image43.emf"/><Relationship Id="rId104" Type="http://schemas.openxmlformats.org/officeDocument/2006/relationships/header" Target="header21.xml"/><Relationship Id="rId120" Type="http://schemas.openxmlformats.org/officeDocument/2006/relationships/package" Target="embeddings/Microsoft_Visio_Drawing11.vsdx"/><Relationship Id="rId125" Type="http://schemas.openxmlformats.org/officeDocument/2006/relationships/header" Target="header28.xml"/><Relationship Id="rId7" Type="http://schemas.openxmlformats.org/officeDocument/2006/relationships/webSettings" Target="webSettings.xml"/><Relationship Id="rId71" Type="http://schemas.openxmlformats.org/officeDocument/2006/relationships/header" Target="header13.xml"/><Relationship Id="rId92" Type="http://schemas.openxmlformats.org/officeDocument/2006/relationships/footer" Target="footer18.xml"/><Relationship Id="rId2" Type="http://schemas.openxmlformats.org/officeDocument/2006/relationships/customXml" Target="../customXml/item2.xml"/><Relationship Id="rId29" Type="http://schemas.openxmlformats.org/officeDocument/2006/relationships/image" Target="media/image9.emf"/><Relationship Id="rId24" Type="http://schemas.openxmlformats.org/officeDocument/2006/relationships/image" Target="media/image4.svg"/><Relationship Id="rId40" Type="http://schemas.openxmlformats.org/officeDocument/2006/relationships/image" Target="media/image18.png"/><Relationship Id="rId45" Type="http://schemas.openxmlformats.org/officeDocument/2006/relationships/image" Target="media/image23.png"/><Relationship Id="rId66" Type="http://schemas.openxmlformats.org/officeDocument/2006/relationships/footer" Target="footer12.xml"/><Relationship Id="rId87" Type="http://schemas.openxmlformats.org/officeDocument/2006/relationships/footer" Target="footer16.xml"/><Relationship Id="rId110" Type="http://schemas.openxmlformats.org/officeDocument/2006/relationships/image" Target="media/image47.emf"/><Relationship Id="rId115" Type="http://schemas.openxmlformats.org/officeDocument/2006/relationships/header" Target="header25.xml"/><Relationship Id="rId61" Type="http://schemas.openxmlformats.org/officeDocument/2006/relationships/header" Target="header9.xml"/><Relationship Id="rId82" Type="http://schemas.openxmlformats.org/officeDocument/2006/relationships/package" Target="embeddings/Microsoft_Visio_Drawing6.vsdx"/><Relationship Id="rId19" Type="http://schemas.openxmlformats.org/officeDocument/2006/relationships/header" Target="header4.xml"/><Relationship Id="rId14" Type="http://schemas.openxmlformats.org/officeDocument/2006/relationships/footer" Target="footer3.xml"/><Relationship Id="rId30" Type="http://schemas.openxmlformats.org/officeDocument/2006/relationships/image" Target="media/image10.emf"/><Relationship Id="rId35" Type="http://schemas.openxmlformats.org/officeDocument/2006/relationships/image" Target="media/image14.emf"/><Relationship Id="rId56" Type="http://schemas.openxmlformats.org/officeDocument/2006/relationships/footer" Target="footer8.xml"/><Relationship Id="rId77" Type="http://schemas.openxmlformats.org/officeDocument/2006/relationships/header" Target="header14.xml"/><Relationship Id="rId100" Type="http://schemas.openxmlformats.org/officeDocument/2006/relationships/image" Target="media/image46.emf"/><Relationship Id="rId105" Type="http://schemas.openxmlformats.org/officeDocument/2006/relationships/footer" Target="footer21.xml"/><Relationship Id="rId126" Type="http://schemas.openxmlformats.org/officeDocument/2006/relationships/footer" Target="footer28.xml"/><Relationship Id="rId8" Type="http://schemas.openxmlformats.org/officeDocument/2006/relationships/footnotes" Target="footnotes.xml"/><Relationship Id="rId51" Type="http://schemas.openxmlformats.org/officeDocument/2006/relationships/image" Target="media/image28.emf"/><Relationship Id="rId72" Type="http://schemas.openxmlformats.org/officeDocument/2006/relationships/image" Target="media/image33.emf"/><Relationship Id="rId93" Type="http://schemas.openxmlformats.org/officeDocument/2006/relationships/header" Target="header19.xml"/><Relationship Id="rId98" Type="http://schemas.openxmlformats.org/officeDocument/2006/relationships/image" Target="media/image44.png"/><Relationship Id="rId121" Type="http://schemas.openxmlformats.org/officeDocument/2006/relationships/header" Target="header26.xml"/><Relationship Id="rId3" Type="http://schemas.openxmlformats.org/officeDocument/2006/relationships/customXml" Target="../customXml/item3.xml"/><Relationship Id="rId25" Type="http://schemas.openxmlformats.org/officeDocument/2006/relationships/image" Target="media/image5.emf"/><Relationship Id="rId46" Type="http://schemas.openxmlformats.org/officeDocument/2006/relationships/image" Target="media/image24.emf"/><Relationship Id="rId67" Type="http://schemas.openxmlformats.org/officeDocument/2006/relationships/header" Target="header11.xml"/><Relationship Id="rId116" Type="http://schemas.openxmlformats.org/officeDocument/2006/relationships/footer" Target="footer25.xml"/><Relationship Id="rId20" Type="http://schemas.openxmlformats.org/officeDocument/2006/relationships/footer" Target="footer6.xml"/><Relationship Id="rId41" Type="http://schemas.openxmlformats.org/officeDocument/2006/relationships/image" Target="media/image19.png"/><Relationship Id="rId62" Type="http://schemas.openxmlformats.org/officeDocument/2006/relationships/footer" Target="footer11.xml"/><Relationship Id="rId83" Type="http://schemas.openxmlformats.org/officeDocument/2006/relationships/image" Target="media/image38.emf"/><Relationship Id="rId88" Type="http://schemas.openxmlformats.org/officeDocument/2006/relationships/header" Target="header17.xml"/><Relationship Id="rId111" Type="http://schemas.openxmlformats.org/officeDocument/2006/relationships/package" Target="embeddings/Microsoft_Visio_Drawing9.vsdx"/><Relationship Id="rId15" Type="http://schemas.openxmlformats.org/officeDocument/2006/relationships/footer" Target="footer4.xml"/><Relationship Id="rId36" Type="http://schemas.openxmlformats.org/officeDocument/2006/relationships/image" Target="media/image15.emf"/><Relationship Id="rId57" Type="http://schemas.openxmlformats.org/officeDocument/2006/relationships/header" Target="header7.xml"/><Relationship Id="rId106" Type="http://schemas.openxmlformats.org/officeDocument/2006/relationships/header" Target="header22.xml"/><Relationship Id="rId12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package" Target="embeddings/Microsoft_Visio_Drawing.vsdx"/><Relationship Id="rId52" Type="http://schemas.openxmlformats.org/officeDocument/2006/relationships/image" Target="media/image29.emf"/><Relationship Id="rId73" Type="http://schemas.openxmlformats.org/officeDocument/2006/relationships/package" Target="embeddings/Microsoft_Visio_Drawing5.vsdx"/><Relationship Id="rId78" Type="http://schemas.openxmlformats.org/officeDocument/2006/relationships/footer" Target="footer14.xml"/><Relationship Id="rId94" Type="http://schemas.openxmlformats.org/officeDocument/2006/relationships/footer" Target="footer19.xml"/><Relationship Id="rId99" Type="http://schemas.openxmlformats.org/officeDocument/2006/relationships/image" Target="media/image45.emf"/><Relationship Id="rId101" Type="http://schemas.openxmlformats.org/officeDocument/2006/relationships/package" Target="embeddings/Microsoft_Visio_Drawing8.vsdx"/><Relationship Id="rId122" Type="http://schemas.openxmlformats.org/officeDocument/2006/relationships/footer" Target="footer26.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4.xml.rels><?xml version="1.0" encoding="UTF-8" standalone="yes"?>
<Relationships xmlns="http://schemas.openxmlformats.org/package/2006/relationships"><Relationship Id="rId1" Type="http://schemas.openxmlformats.org/officeDocument/2006/relationships/image" Target="media/image1.jpeg"/></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_rels/header2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dc6660-d970-45f6-8602-8628eaab6697">
      <Terms xmlns="http://schemas.microsoft.com/office/infopath/2007/PartnerControls"/>
    </lcf76f155ced4ddcb4097134ff3c332f>
    <TaxCatchAll xmlns="57e83c26-6806-4dd0-9029-f565b2628a0b" xsi:nil="true"/>
  </documentManagement>
</p:properties>
</file>

<file path=customXml/itemProps1.xml><?xml version="1.0" encoding="utf-8"?>
<ds:datastoreItem xmlns:ds="http://schemas.openxmlformats.org/officeDocument/2006/customXml" ds:itemID="{30CF6057-5665-489F-9AD4-6925187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7A02E0-D4DC-45B1-9F0E-ECED3B8B61AC}">
  <ds:schemaRefs>
    <ds:schemaRef ds:uri="http://schemas.microsoft.com/sharepoint/v3/contenttype/forms"/>
  </ds:schemaRefs>
</ds:datastoreItem>
</file>

<file path=customXml/itemProps3.xml><?xml version="1.0" encoding="utf-8"?>
<ds:datastoreItem xmlns:ds="http://schemas.openxmlformats.org/officeDocument/2006/customXml" ds:itemID="{E597AF00-91E2-4C3C-A6D9-BC27F9C45E4A}">
  <ds:schemaRefs>
    <ds:schemaRef ds:uri="http://schemas.microsoft.com/office/2006/metadata/properties"/>
    <ds:schemaRef ds:uri="http://schemas.microsoft.com/office/infopath/2007/PartnerControls"/>
    <ds:schemaRef ds:uri="77dc6660-d970-45f6-8602-8628eaab6697"/>
    <ds:schemaRef ds:uri="57e83c26-6806-4dd0-9029-f565b2628a0b"/>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5</TotalTime>
  <Pages>302</Pages>
  <Words>84624</Words>
  <Characters>482362</Characters>
  <Application>Microsoft Office Word</Application>
  <DocSecurity>0</DocSecurity>
  <Lines>4019</Lines>
  <Paragraphs>1131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TAS_E&amp;E 015_Exhibit G.17 - MECM System and AMS Project Management Plan_DRAFT redacted</dc:title>
  <dc:subject/>
  <dc:creator/>
  <cp:keywords/>
  <dc:description/>
  <cp:lastModifiedBy>Wright, Frances (HEALTH-CONTRACTOR)</cp:lastModifiedBy>
  <cp:revision>4</cp:revision>
  <dcterms:created xsi:type="dcterms:W3CDTF">2026-08-24T19:03:00Z</dcterms:created>
  <dcterms:modified xsi:type="dcterms:W3CDTF">2026-08-31T14:29:00Z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2023-11-07T15:35:52Z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3e7f301a-6db8-469b-8963-2f4a63c249e6</vt:lpwstr>
  </property>
  <property fmtid="{D5CDD505-2E9C-101B-9397-08002B2CF9AE}" pid="8" name="MSIP_Label_ea60d57e-af5b-4752-ac57-3e4f28ca11dc_ContentBits">
    <vt:lpwstr>0</vt:lpwstr>
  </property>
  <property fmtid="{D5CDD505-2E9C-101B-9397-08002B2CF9AE}" pid="9" name="SharedWithUsers">
    <vt:lpwstr>2093;#Eisenberg, Joshua;#22;#Chowdhary, Tanvi;#1328;#Lee, Brian;#3265;#Yi, Sarah;#1684;#Tessness, Tori;#3213;#Entwisle, Anne;#341;#Ganesan, Premkumar;#3027;#Bollen, Alaina;#587;#Saz, Amy</vt:lpwstr>
  </property>
  <property fmtid="{D5CDD505-2E9C-101B-9397-08002B2CF9AE}" pid="10" name="lcf76f155ced4ddcb4097134ff3c332f">
    <vt:lpwstr/>
  </property>
  <property fmtid="{D5CDD505-2E9C-101B-9397-08002B2CF9AE}" pid="11" name="TaxCatchAll">
    <vt:lpwstr/>
  </property>
  <property fmtid="{D5CDD505-2E9C-101B-9397-08002B2CF9AE}" pid="12" name="ContentTypeId">
    <vt:lpwstr>0x010100D276C6A6E7668346AE0A59FCBFA3BDEB</vt:lpwstr>
  </property>
  <property fmtid="{D5CDD505-2E9C-101B-9397-08002B2CF9AE}" pid="13" name="MediaServiceImageTags">
    <vt:lpwstr/>
  </property>
</Properties>
</file>